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A5E" w:rsidRPr="00F9522B" w:rsidRDefault="002A5A5E">
      <w:pPr>
        <w:jc w:val="center"/>
        <w:rPr>
          <w:rFonts w:eastAsiaTheme="minorEastAsia"/>
          <w:sz w:val="32"/>
        </w:rPr>
      </w:pPr>
    </w:p>
    <w:p w:rsidR="002A5A5E" w:rsidRPr="00F9522B" w:rsidRDefault="002A5A5E">
      <w:pPr>
        <w:jc w:val="center"/>
        <w:rPr>
          <w:rFonts w:eastAsiaTheme="minorEastAsia"/>
          <w:sz w:val="36"/>
        </w:rPr>
      </w:pPr>
    </w:p>
    <w:p w:rsidR="002A5A5E" w:rsidRPr="00F9522B" w:rsidRDefault="002A5A5E">
      <w:pPr>
        <w:jc w:val="center"/>
        <w:rPr>
          <w:rFonts w:eastAsiaTheme="minorEastAsia"/>
          <w:sz w:val="36"/>
        </w:rPr>
      </w:pPr>
    </w:p>
    <w:p w:rsidR="002A5A5E" w:rsidRPr="00F9522B" w:rsidRDefault="002A5A5E">
      <w:pPr>
        <w:jc w:val="center"/>
        <w:rPr>
          <w:rFonts w:eastAsiaTheme="minorEastAsia"/>
          <w:sz w:val="36"/>
        </w:rPr>
      </w:pPr>
    </w:p>
    <w:p w:rsidR="002A5A5E" w:rsidRPr="00F9522B" w:rsidRDefault="003A7922">
      <w:pPr>
        <w:jc w:val="center"/>
        <w:rPr>
          <w:rFonts w:eastAsia="黑体"/>
          <w:b/>
          <w:sz w:val="36"/>
          <w:szCs w:val="36"/>
        </w:rPr>
      </w:pPr>
      <w:r w:rsidRPr="00F9522B">
        <w:rPr>
          <w:rFonts w:eastAsia="黑体"/>
          <w:b/>
          <w:sz w:val="36"/>
          <w:szCs w:val="36"/>
        </w:rPr>
        <w:t>呼兰区</w:t>
      </w:r>
      <w:r w:rsidRPr="00F9522B">
        <w:rPr>
          <w:rFonts w:eastAsia="黑体"/>
          <w:b/>
          <w:sz w:val="36"/>
          <w:szCs w:val="36"/>
        </w:rPr>
        <w:t>2026</w:t>
      </w:r>
      <w:r w:rsidRPr="00F9522B">
        <w:rPr>
          <w:rFonts w:eastAsia="黑体"/>
          <w:b/>
          <w:sz w:val="36"/>
          <w:szCs w:val="36"/>
        </w:rPr>
        <w:t>年高标准农田建设项目</w:t>
      </w:r>
    </w:p>
    <w:p w:rsidR="002A5A5E" w:rsidRPr="00F9522B" w:rsidRDefault="00611CBA">
      <w:pPr>
        <w:spacing w:line="720" w:lineRule="auto"/>
        <w:jc w:val="center"/>
        <w:rPr>
          <w:rFonts w:eastAsia="方正小标宋简体"/>
          <w:bCs/>
          <w:spacing w:val="36"/>
          <w:sz w:val="84"/>
        </w:rPr>
      </w:pPr>
      <w:r w:rsidRPr="00F9522B">
        <w:rPr>
          <w:rFonts w:eastAsia="方正小标宋简体"/>
          <w:bCs/>
          <w:spacing w:val="36"/>
          <w:sz w:val="84"/>
        </w:rPr>
        <w:t>环境影响报告书</w:t>
      </w:r>
    </w:p>
    <w:p w:rsidR="002A5A5E" w:rsidRPr="00F9522B" w:rsidRDefault="002A5A5E">
      <w:pPr>
        <w:spacing w:line="360" w:lineRule="auto"/>
        <w:jc w:val="center"/>
        <w:rPr>
          <w:rFonts w:eastAsiaTheme="minorEastAsia"/>
          <w:b/>
          <w:bCs/>
          <w:sz w:val="30"/>
          <w:szCs w:val="30"/>
        </w:rPr>
      </w:pPr>
    </w:p>
    <w:p w:rsidR="002A5A5E" w:rsidRPr="00F9522B" w:rsidRDefault="002A5A5E">
      <w:pPr>
        <w:jc w:val="center"/>
        <w:rPr>
          <w:rFonts w:eastAsiaTheme="minorEastAsia"/>
          <w:sz w:val="30"/>
        </w:rPr>
      </w:pPr>
    </w:p>
    <w:p w:rsidR="002A5A5E" w:rsidRPr="00F9522B" w:rsidRDefault="002A5A5E">
      <w:pPr>
        <w:jc w:val="center"/>
        <w:rPr>
          <w:rFonts w:eastAsiaTheme="minorEastAsia"/>
          <w:b/>
          <w:sz w:val="36"/>
          <w:szCs w:val="36"/>
        </w:rPr>
      </w:pPr>
    </w:p>
    <w:p w:rsidR="002A5A5E" w:rsidRPr="00F9522B" w:rsidRDefault="002A5A5E">
      <w:pPr>
        <w:jc w:val="center"/>
        <w:rPr>
          <w:rFonts w:eastAsiaTheme="minorEastAsia"/>
          <w:sz w:val="28"/>
        </w:rPr>
      </w:pPr>
    </w:p>
    <w:p w:rsidR="002A5A5E" w:rsidRPr="00F9522B" w:rsidRDefault="002A5A5E">
      <w:pPr>
        <w:jc w:val="center"/>
        <w:rPr>
          <w:rFonts w:eastAsiaTheme="minorEastAsia"/>
          <w:sz w:val="28"/>
        </w:rPr>
      </w:pPr>
    </w:p>
    <w:p w:rsidR="002A5A5E" w:rsidRPr="00F9522B" w:rsidRDefault="002A5A5E">
      <w:pPr>
        <w:jc w:val="center"/>
        <w:rPr>
          <w:rFonts w:eastAsiaTheme="minorEastAsia"/>
          <w:sz w:val="28"/>
        </w:rPr>
      </w:pPr>
    </w:p>
    <w:p w:rsidR="002A5A5E" w:rsidRPr="00F9522B" w:rsidRDefault="002A5A5E">
      <w:pPr>
        <w:jc w:val="center"/>
        <w:rPr>
          <w:rFonts w:eastAsiaTheme="minorEastAsia"/>
          <w:sz w:val="28"/>
        </w:rPr>
      </w:pPr>
    </w:p>
    <w:p w:rsidR="002A5A5E" w:rsidRPr="00F9522B" w:rsidRDefault="002A5A5E">
      <w:pPr>
        <w:jc w:val="center"/>
        <w:rPr>
          <w:rFonts w:eastAsiaTheme="minorEastAsia"/>
          <w:sz w:val="28"/>
        </w:rPr>
      </w:pPr>
    </w:p>
    <w:p w:rsidR="002A5A5E" w:rsidRPr="00F9522B" w:rsidRDefault="002A5A5E">
      <w:pPr>
        <w:jc w:val="center"/>
        <w:rPr>
          <w:rFonts w:eastAsiaTheme="minorEastAsia"/>
          <w:sz w:val="28"/>
        </w:rPr>
      </w:pPr>
    </w:p>
    <w:p w:rsidR="002A5A5E" w:rsidRPr="00F9522B" w:rsidRDefault="002A5A5E">
      <w:pPr>
        <w:jc w:val="center"/>
        <w:rPr>
          <w:rFonts w:eastAsiaTheme="minorEastAsia"/>
          <w:sz w:val="28"/>
        </w:rPr>
      </w:pPr>
    </w:p>
    <w:p w:rsidR="002A5A5E" w:rsidRPr="00F9522B" w:rsidRDefault="00611CBA">
      <w:pPr>
        <w:jc w:val="center"/>
        <w:rPr>
          <w:rFonts w:eastAsia="黑体"/>
          <w:b/>
          <w:snapToGrid w:val="0"/>
          <w:kern w:val="0"/>
          <w:sz w:val="32"/>
          <w:szCs w:val="32"/>
        </w:rPr>
      </w:pPr>
      <w:r w:rsidRPr="00F9522B">
        <w:rPr>
          <w:rFonts w:eastAsia="黑体"/>
          <w:b/>
          <w:snapToGrid w:val="0"/>
          <w:kern w:val="0"/>
          <w:sz w:val="32"/>
          <w:szCs w:val="32"/>
        </w:rPr>
        <w:t>建设单位：哈尔滨市呼兰区农业技术推广中心</w:t>
      </w:r>
    </w:p>
    <w:p w:rsidR="002A5A5E" w:rsidRPr="00F9522B" w:rsidRDefault="00611CBA">
      <w:pPr>
        <w:jc w:val="center"/>
        <w:rPr>
          <w:rFonts w:eastAsia="黑体"/>
          <w:b/>
          <w:snapToGrid w:val="0"/>
          <w:kern w:val="0"/>
          <w:sz w:val="32"/>
          <w:szCs w:val="32"/>
        </w:rPr>
      </w:pPr>
      <w:r w:rsidRPr="00F9522B">
        <w:rPr>
          <w:rFonts w:eastAsia="黑体"/>
          <w:b/>
          <w:snapToGrid w:val="0"/>
          <w:kern w:val="0"/>
          <w:sz w:val="32"/>
          <w:szCs w:val="32"/>
        </w:rPr>
        <w:t>编制单位：哈尔滨茸昌环保科技有限公司</w:t>
      </w:r>
    </w:p>
    <w:p w:rsidR="002A5A5E" w:rsidRPr="00F9522B" w:rsidRDefault="00611CBA">
      <w:pPr>
        <w:jc w:val="center"/>
        <w:rPr>
          <w:rFonts w:eastAsia="黑体"/>
          <w:b/>
          <w:sz w:val="28"/>
        </w:rPr>
      </w:pPr>
      <w:r w:rsidRPr="00F9522B">
        <w:rPr>
          <w:rFonts w:eastAsia="黑体"/>
          <w:b/>
          <w:sz w:val="28"/>
        </w:rPr>
        <w:t>编制日期：二〇二</w:t>
      </w:r>
      <w:r w:rsidR="00DC2530" w:rsidRPr="00F9522B">
        <w:rPr>
          <w:rFonts w:eastAsia="黑体"/>
          <w:b/>
          <w:sz w:val="28"/>
        </w:rPr>
        <w:t>六</w:t>
      </w:r>
      <w:r w:rsidRPr="00F9522B">
        <w:rPr>
          <w:rFonts w:eastAsia="黑体"/>
          <w:b/>
          <w:sz w:val="28"/>
        </w:rPr>
        <w:t>年</w:t>
      </w:r>
      <w:r w:rsidR="00DC2530" w:rsidRPr="00F9522B">
        <w:rPr>
          <w:rFonts w:eastAsia="黑体"/>
          <w:b/>
          <w:sz w:val="28"/>
        </w:rPr>
        <w:t>六</w:t>
      </w:r>
      <w:r w:rsidRPr="00F9522B">
        <w:rPr>
          <w:rFonts w:eastAsia="黑体"/>
          <w:b/>
          <w:sz w:val="28"/>
        </w:rPr>
        <w:t>月</w:t>
      </w:r>
    </w:p>
    <w:p w:rsidR="002A5A5E" w:rsidRPr="00F9522B" w:rsidRDefault="002A5A5E">
      <w:pPr>
        <w:jc w:val="center"/>
        <w:rPr>
          <w:rFonts w:eastAsiaTheme="minorEastAsia"/>
          <w:b/>
          <w:sz w:val="28"/>
        </w:rPr>
      </w:pPr>
    </w:p>
    <w:p w:rsidR="005B7A33" w:rsidRPr="00F9522B" w:rsidRDefault="005B7A33">
      <w:pPr>
        <w:jc w:val="center"/>
        <w:rPr>
          <w:rFonts w:eastAsiaTheme="minorEastAsia"/>
          <w:b/>
          <w:sz w:val="28"/>
        </w:rPr>
      </w:pPr>
    </w:p>
    <w:p w:rsidR="002A5A5E" w:rsidRPr="00F9522B" w:rsidRDefault="005B7A33">
      <w:pPr>
        <w:jc w:val="center"/>
        <w:rPr>
          <w:rFonts w:eastAsiaTheme="minorEastAsia"/>
          <w:b/>
          <w:sz w:val="28"/>
        </w:rPr>
      </w:pPr>
      <w:r w:rsidRPr="00F9522B">
        <w:rPr>
          <w:rFonts w:eastAsiaTheme="minorEastAsia"/>
          <w:b/>
          <w:noProof/>
          <w:sz w:val="28"/>
        </w:rPr>
        <w:lastRenderedPageBreak/>
        <w:drawing>
          <wp:inline distT="0" distB="0" distL="0" distR="0">
            <wp:extent cx="5225415" cy="7433945"/>
            <wp:effectExtent l="19050" t="19050" r="13335" b="14605"/>
            <wp:docPr id="3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5225415" cy="7433945"/>
                    </a:xfrm>
                    <a:prstGeom prst="rect">
                      <a:avLst/>
                    </a:prstGeom>
                    <a:noFill/>
                    <a:ln w="9525">
                      <a:solidFill>
                        <a:schemeClr val="tx1"/>
                      </a:solidFill>
                      <a:miter lim="800000"/>
                      <a:headEnd/>
                      <a:tailEnd/>
                    </a:ln>
                  </pic:spPr>
                </pic:pic>
              </a:graphicData>
            </a:graphic>
          </wp:inline>
        </w:drawing>
      </w:r>
    </w:p>
    <w:p w:rsidR="002A5A5E" w:rsidRPr="00F9522B" w:rsidRDefault="002A5A5E">
      <w:pPr>
        <w:jc w:val="center"/>
        <w:rPr>
          <w:rFonts w:eastAsiaTheme="minorEastAsia"/>
          <w:b/>
          <w:sz w:val="28"/>
        </w:rPr>
        <w:sectPr w:rsidR="002A5A5E" w:rsidRPr="00F9522B">
          <w:pgSz w:w="11906" w:h="16838"/>
          <w:pgMar w:top="1440" w:right="1800" w:bottom="1440" w:left="1800" w:header="851" w:footer="992" w:gutter="0"/>
          <w:pgNumType w:fmt="upperRoman" w:start="1"/>
          <w:cols w:space="425"/>
          <w:docGrid w:type="lines" w:linePitch="312"/>
        </w:sectPr>
      </w:pPr>
    </w:p>
    <w:p w:rsidR="002A5A5E" w:rsidRPr="00F9522B" w:rsidRDefault="00611CBA">
      <w:pPr>
        <w:pStyle w:val="11"/>
      </w:pPr>
      <w:bookmarkStart w:id="0" w:name="_Toc479252796"/>
      <w:r w:rsidRPr="00F9522B">
        <w:lastRenderedPageBreak/>
        <w:t>目</w:t>
      </w:r>
      <w:r w:rsidRPr="00F9522B">
        <w:t xml:space="preserve">  </w:t>
      </w:r>
      <w:r w:rsidRPr="00F9522B">
        <w:t>录</w:t>
      </w:r>
    </w:p>
    <w:p w:rsidR="002A5A5E" w:rsidRPr="00F9522B" w:rsidRDefault="005273A1">
      <w:pPr>
        <w:pStyle w:val="11"/>
        <w:spacing w:line="240" w:lineRule="auto"/>
        <w:jc w:val="both"/>
        <w:rPr>
          <w:b w:val="0"/>
          <w:bCs w:val="0"/>
          <w:iCs w:val="0"/>
          <w:noProof/>
          <w:kern w:val="2"/>
          <w:sz w:val="24"/>
          <w:szCs w:val="24"/>
        </w:rPr>
      </w:pPr>
      <w:r w:rsidRPr="005273A1">
        <w:rPr>
          <w:sz w:val="24"/>
          <w:szCs w:val="24"/>
        </w:rPr>
        <w:fldChar w:fldCharType="begin"/>
      </w:r>
      <w:r w:rsidR="00611CBA" w:rsidRPr="00F9522B">
        <w:rPr>
          <w:sz w:val="24"/>
          <w:szCs w:val="24"/>
        </w:rPr>
        <w:instrText xml:space="preserve"> TOC \o "1-2" \h \z \u </w:instrText>
      </w:r>
      <w:r w:rsidRPr="005273A1">
        <w:rPr>
          <w:sz w:val="24"/>
          <w:szCs w:val="24"/>
        </w:rPr>
        <w:fldChar w:fldCharType="separate"/>
      </w:r>
      <w:hyperlink w:anchor="_Toc208906216" w:history="1">
        <w:r w:rsidR="00611CBA" w:rsidRPr="00F9522B">
          <w:rPr>
            <w:rStyle w:val="aff2"/>
            <w:b w:val="0"/>
            <w:noProof/>
            <w:color w:val="auto"/>
            <w:sz w:val="24"/>
            <w:szCs w:val="24"/>
          </w:rPr>
          <w:t>1</w:t>
        </w:r>
        <w:r w:rsidR="00611CBA" w:rsidRPr="00F9522B">
          <w:rPr>
            <w:rStyle w:val="aff2"/>
            <w:b w:val="0"/>
            <w:noProof/>
            <w:color w:val="auto"/>
            <w:sz w:val="24"/>
            <w:szCs w:val="24"/>
          </w:rPr>
          <w:t>概述</w:t>
        </w:r>
        <w:r w:rsidR="00611CBA" w:rsidRPr="00F9522B">
          <w:rPr>
            <w:b w:val="0"/>
            <w:noProof/>
            <w:sz w:val="24"/>
            <w:szCs w:val="24"/>
          </w:rPr>
          <w:tab/>
        </w:r>
        <w:r w:rsidRPr="00F9522B">
          <w:rPr>
            <w:b w:val="0"/>
            <w:noProof/>
            <w:sz w:val="24"/>
            <w:szCs w:val="24"/>
          </w:rPr>
          <w:fldChar w:fldCharType="begin"/>
        </w:r>
        <w:r w:rsidR="00611CBA" w:rsidRPr="00F9522B">
          <w:rPr>
            <w:b w:val="0"/>
            <w:noProof/>
            <w:sz w:val="24"/>
            <w:szCs w:val="24"/>
          </w:rPr>
          <w:instrText xml:space="preserve"> PAGEREF _Toc208906216 \h </w:instrText>
        </w:r>
        <w:r w:rsidRPr="00F9522B">
          <w:rPr>
            <w:b w:val="0"/>
            <w:noProof/>
            <w:sz w:val="24"/>
            <w:szCs w:val="24"/>
          </w:rPr>
        </w:r>
        <w:r w:rsidRPr="00F9522B">
          <w:rPr>
            <w:b w:val="0"/>
            <w:noProof/>
            <w:sz w:val="24"/>
            <w:szCs w:val="24"/>
          </w:rPr>
          <w:fldChar w:fldCharType="separate"/>
        </w:r>
        <w:r w:rsidR="005B7A33" w:rsidRPr="00F9522B">
          <w:rPr>
            <w:b w:val="0"/>
            <w:noProof/>
            <w:sz w:val="24"/>
            <w:szCs w:val="24"/>
          </w:rPr>
          <w:t>1</w:t>
        </w:r>
        <w:r w:rsidRPr="00F9522B">
          <w:rPr>
            <w:b w:val="0"/>
            <w:noProof/>
            <w:sz w:val="24"/>
            <w:szCs w:val="24"/>
          </w:rPr>
          <w:fldChar w:fldCharType="end"/>
        </w:r>
      </w:hyperlink>
    </w:p>
    <w:p w:rsidR="002A5A5E" w:rsidRPr="00F9522B" w:rsidRDefault="005273A1">
      <w:pPr>
        <w:pStyle w:val="23"/>
        <w:tabs>
          <w:tab w:val="right" w:leader="dot" w:pos="8296"/>
        </w:tabs>
        <w:spacing w:before="0" w:line="240" w:lineRule="auto"/>
        <w:ind w:left="0" w:firstLine="426"/>
        <w:rPr>
          <w:rFonts w:eastAsiaTheme="minorEastAsia"/>
          <w:b w:val="0"/>
          <w:bCs w:val="0"/>
          <w:noProof/>
          <w:color w:val="auto"/>
        </w:rPr>
      </w:pPr>
      <w:hyperlink w:anchor="_Toc208906217" w:history="1">
        <w:r w:rsidR="00611CBA" w:rsidRPr="00F9522B">
          <w:rPr>
            <w:rStyle w:val="aff2"/>
            <w:rFonts w:eastAsiaTheme="minorEastAsia"/>
            <w:b w:val="0"/>
            <w:noProof/>
            <w:color w:val="auto"/>
            <w:kern w:val="44"/>
          </w:rPr>
          <w:t>1.1</w:t>
        </w:r>
        <w:r w:rsidR="00611CBA" w:rsidRPr="00F9522B">
          <w:rPr>
            <w:rStyle w:val="aff2"/>
            <w:rFonts w:eastAsiaTheme="minorEastAsia"/>
            <w:b w:val="0"/>
            <w:noProof/>
            <w:color w:val="auto"/>
            <w:kern w:val="44"/>
          </w:rPr>
          <w:t>项目由来</w:t>
        </w:r>
        <w:r w:rsidR="00611CBA" w:rsidRPr="00F9522B">
          <w:rPr>
            <w:rFonts w:eastAsiaTheme="minorEastAsia"/>
            <w:b w:val="0"/>
            <w:noProof/>
            <w:color w:val="auto"/>
          </w:rPr>
          <w:tab/>
        </w:r>
        <w:r w:rsidRPr="00F9522B">
          <w:rPr>
            <w:rFonts w:eastAsiaTheme="minorEastAsia"/>
            <w:b w:val="0"/>
            <w:noProof/>
            <w:color w:val="auto"/>
          </w:rPr>
          <w:fldChar w:fldCharType="begin"/>
        </w:r>
        <w:r w:rsidR="00611CBA" w:rsidRPr="00F9522B">
          <w:rPr>
            <w:rFonts w:eastAsiaTheme="minorEastAsia"/>
            <w:b w:val="0"/>
            <w:noProof/>
            <w:color w:val="auto"/>
          </w:rPr>
          <w:instrText xml:space="preserve"> PAGEREF _Toc208906217 \h </w:instrText>
        </w:r>
        <w:r w:rsidRPr="00F9522B">
          <w:rPr>
            <w:rFonts w:eastAsiaTheme="minorEastAsia"/>
            <w:b w:val="0"/>
            <w:noProof/>
            <w:color w:val="auto"/>
          </w:rPr>
        </w:r>
        <w:r w:rsidRPr="00F9522B">
          <w:rPr>
            <w:rFonts w:eastAsiaTheme="minorEastAsia"/>
            <w:b w:val="0"/>
            <w:noProof/>
            <w:color w:val="auto"/>
          </w:rPr>
          <w:fldChar w:fldCharType="separate"/>
        </w:r>
        <w:r w:rsidR="005B7A33" w:rsidRPr="00F9522B">
          <w:rPr>
            <w:rFonts w:eastAsiaTheme="minorEastAsia"/>
            <w:b w:val="0"/>
            <w:noProof/>
            <w:color w:val="auto"/>
          </w:rPr>
          <w:t>1</w:t>
        </w:r>
        <w:r w:rsidRPr="00F9522B">
          <w:rPr>
            <w:rFonts w:eastAsiaTheme="minorEastAsia"/>
            <w:b w:val="0"/>
            <w:noProof/>
            <w:color w:val="auto"/>
          </w:rPr>
          <w:fldChar w:fldCharType="end"/>
        </w:r>
      </w:hyperlink>
    </w:p>
    <w:p w:rsidR="002A5A5E" w:rsidRPr="00F9522B" w:rsidRDefault="005273A1">
      <w:pPr>
        <w:pStyle w:val="23"/>
        <w:tabs>
          <w:tab w:val="right" w:leader="dot" w:pos="8296"/>
        </w:tabs>
        <w:spacing w:before="0" w:line="240" w:lineRule="auto"/>
        <w:ind w:left="0" w:firstLine="426"/>
        <w:rPr>
          <w:rStyle w:val="aff2"/>
          <w:rFonts w:eastAsiaTheme="minorEastAsia"/>
          <w:b w:val="0"/>
          <w:noProof/>
          <w:color w:val="auto"/>
          <w:kern w:val="44"/>
        </w:rPr>
      </w:pPr>
      <w:hyperlink w:anchor="_Toc208906218" w:history="1">
        <w:r w:rsidR="00611CBA" w:rsidRPr="00F9522B">
          <w:rPr>
            <w:rStyle w:val="aff2"/>
            <w:rFonts w:eastAsiaTheme="minorEastAsia"/>
            <w:b w:val="0"/>
            <w:noProof/>
            <w:color w:val="auto"/>
            <w:kern w:val="44"/>
          </w:rPr>
          <w:t>1.2</w:t>
        </w:r>
        <w:r w:rsidR="00611CBA" w:rsidRPr="00F9522B">
          <w:rPr>
            <w:rStyle w:val="aff2"/>
            <w:rFonts w:eastAsiaTheme="minorEastAsia"/>
            <w:b w:val="0"/>
            <w:noProof/>
            <w:color w:val="auto"/>
            <w:kern w:val="44"/>
          </w:rPr>
          <w:t>项目特点</w:t>
        </w:r>
        <w:r w:rsidR="00611CBA" w:rsidRPr="00F9522B">
          <w:rPr>
            <w:rStyle w:val="aff2"/>
            <w:rFonts w:eastAsiaTheme="minorEastAsia"/>
            <w:b w:val="0"/>
            <w:noProof/>
            <w:color w:val="auto"/>
            <w:kern w:val="44"/>
          </w:rPr>
          <w:tab/>
        </w:r>
        <w:r w:rsidRPr="00F9522B">
          <w:rPr>
            <w:rStyle w:val="aff2"/>
            <w:rFonts w:eastAsiaTheme="minorEastAsia"/>
            <w:b w:val="0"/>
            <w:noProof/>
            <w:color w:val="auto"/>
            <w:kern w:val="44"/>
          </w:rPr>
          <w:fldChar w:fldCharType="begin"/>
        </w:r>
        <w:r w:rsidR="00611CBA" w:rsidRPr="00F9522B">
          <w:rPr>
            <w:rStyle w:val="aff2"/>
            <w:rFonts w:eastAsiaTheme="minorEastAsia"/>
            <w:b w:val="0"/>
            <w:noProof/>
            <w:color w:val="auto"/>
            <w:kern w:val="44"/>
          </w:rPr>
          <w:instrText xml:space="preserve"> PAGEREF _Toc208906218 \h </w:instrText>
        </w:r>
        <w:r w:rsidRPr="00F9522B">
          <w:rPr>
            <w:rStyle w:val="aff2"/>
            <w:rFonts w:eastAsiaTheme="minorEastAsia"/>
            <w:b w:val="0"/>
            <w:noProof/>
            <w:color w:val="auto"/>
            <w:kern w:val="44"/>
          </w:rPr>
        </w:r>
        <w:r w:rsidRPr="00F9522B">
          <w:rPr>
            <w:rStyle w:val="aff2"/>
            <w:rFonts w:eastAsiaTheme="minorEastAsia"/>
            <w:b w:val="0"/>
            <w:noProof/>
            <w:color w:val="auto"/>
            <w:kern w:val="44"/>
          </w:rPr>
          <w:fldChar w:fldCharType="separate"/>
        </w:r>
        <w:r w:rsidR="005B7A33" w:rsidRPr="00F9522B">
          <w:rPr>
            <w:rStyle w:val="aff2"/>
            <w:rFonts w:eastAsiaTheme="minorEastAsia"/>
            <w:b w:val="0"/>
            <w:noProof/>
            <w:color w:val="auto"/>
            <w:kern w:val="44"/>
          </w:rPr>
          <w:t>4</w:t>
        </w:r>
        <w:r w:rsidRPr="00F9522B">
          <w:rPr>
            <w:rStyle w:val="aff2"/>
            <w:rFonts w:eastAsiaTheme="minorEastAsia"/>
            <w:b w:val="0"/>
            <w:noProof/>
            <w:color w:val="auto"/>
            <w:kern w:val="44"/>
          </w:rPr>
          <w:fldChar w:fldCharType="end"/>
        </w:r>
      </w:hyperlink>
    </w:p>
    <w:p w:rsidR="002A5A5E" w:rsidRPr="00F9522B" w:rsidRDefault="005273A1">
      <w:pPr>
        <w:pStyle w:val="23"/>
        <w:tabs>
          <w:tab w:val="right" w:leader="dot" w:pos="8296"/>
        </w:tabs>
        <w:spacing w:before="0" w:line="240" w:lineRule="auto"/>
        <w:ind w:left="0" w:firstLine="426"/>
        <w:rPr>
          <w:rStyle w:val="aff2"/>
          <w:rFonts w:eastAsiaTheme="minorEastAsia"/>
          <w:b w:val="0"/>
          <w:noProof/>
          <w:color w:val="auto"/>
          <w:kern w:val="44"/>
        </w:rPr>
      </w:pPr>
      <w:hyperlink w:anchor="_Toc208906219" w:history="1">
        <w:r w:rsidR="00611CBA" w:rsidRPr="00F9522B">
          <w:rPr>
            <w:rStyle w:val="aff2"/>
            <w:rFonts w:eastAsiaTheme="minorEastAsia"/>
            <w:b w:val="0"/>
            <w:noProof/>
            <w:color w:val="auto"/>
            <w:kern w:val="44"/>
          </w:rPr>
          <w:t>1.3</w:t>
        </w:r>
        <w:r w:rsidR="00611CBA" w:rsidRPr="00F9522B">
          <w:rPr>
            <w:rStyle w:val="aff2"/>
            <w:rFonts w:eastAsiaTheme="minorEastAsia"/>
            <w:b w:val="0"/>
            <w:noProof/>
            <w:color w:val="auto"/>
            <w:kern w:val="44"/>
          </w:rPr>
          <w:t>环境影响评价工作过程</w:t>
        </w:r>
        <w:r w:rsidR="00611CBA" w:rsidRPr="00F9522B">
          <w:rPr>
            <w:rStyle w:val="aff2"/>
            <w:rFonts w:eastAsiaTheme="minorEastAsia"/>
            <w:b w:val="0"/>
            <w:noProof/>
            <w:color w:val="auto"/>
            <w:kern w:val="44"/>
          </w:rPr>
          <w:tab/>
        </w:r>
        <w:r w:rsidRPr="00F9522B">
          <w:rPr>
            <w:rStyle w:val="aff2"/>
            <w:rFonts w:eastAsiaTheme="minorEastAsia"/>
            <w:b w:val="0"/>
            <w:noProof/>
            <w:color w:val="auto"/>
            <w:kern w:val="44"/>
          </w:rPr>
          <w:fldChar w:fldCharType="begin"/>
        </w:r>
        <w:r w:rsidR="00611CBA" w:rsidRPr="00F9522B">
          <w:rPr>
            <w:rStyle w:val="aff2"/>
            <w:rFonts w:eastAsiaTheme="minorEastAsia"/>
            <w:b w:val="0"/>
            <w:noProof/>
            <w:color w:val="auto"/>
            <w:kern w:val="44"/>
          </w:rPr>
          <w:instrText xml:space="preserve"> PAGEREF _Toc208906219 \h </w:instrText>
        </w:r>
        <w:r w:rsidRPr="00F9522B">
          <w:rPr>
            <w:rStyle w:val="aff2"/>
            <w:rFonts w:eastAsiaTheme="minorEastAsia"/>
            <w:b w:val="0"/>
            <w:noProof/>
            <w:color w:val="auto"/>
            <w:kern w:val="44"/>
          </w:rPr>
        </w:r>
        <w:r w:rsidRPr="00F9522B">
          <w:rPr>
            <w:rStyle w:val="aff2"/>
            <w:rFonts w:eastAsiaTheme="minorEastAsia"/>
            <w:b w:val="0"/>
            <w:noProof/>
            <w:color w:val="auto"/>
            <w:kern w:val="44"/>
          </w:rPr>
          <w:fldChar w:fldCharType="separate"/>
        </w:r>
        <w:r w:rsidR="005B7A33" w:rsidRPr="00F9522B">
          <w:rPr>
            <w:rStyle w:val="aff2"/>
            <w:rFonts w:eastAsiaTheme="minorEastAsia"/>
            <w:b w:val="0"/>
            <w:noProof/>
            <w:color w:val="auto"/>
            <w:kern w:val="44"/>
          </w:rPr>
          <w:t>7</w:t>
        </w:r>
        <w:r w:rsidRPr="00F9522B">
          <w:rPr>
            <w:rStyle w:val="aff2"/>
            <w:rFonts w:eastAsiaTheme="minorEastAsia"/>
            <w:b w:val="0"/>
            <w:noProof/>
            <w:color w:val="auto"/>
            <w:kern w:val="44"/>
          </w:rPr>
          <w:fldChar w:fldCharType="end"/>
        </w:r>
      </w:hyperlink>
    </w:p>
    <w:p w:rsidR="002A5A5E" w:rsidRPr="00F9522B" w:rsidRDefault="005273A1">
      <w:pPr>
        <w:pStyle w:val="23"/>
        <w:tabs>
          <w:tab w:val="right" w:leader="dot" w:pos="8296"/>
        </w:tabs>
        <w:spacing w:before="0" w:line="240" w:lineRule="auto"/>
        <w:ind w:left="0" w:firstLine="426"/>
        <w:rPr>
          <w:rStyle w:val="aff2"/>
          <w:rFonts w:eastAsiaTheme="minorEastAsia"/>
          <w:b w:val="0"/>
          <w:noProof/>
          <w:color w:val="auto"/>
          <w:kern w:val="44"/>
        </w:rPr>
      </w:pPr>
      <w:hyperlink w:anchor="_Toc208906220" w:history="1">
        <w:r w:rsidR="00611CBA" w:rsidRPr="00F9522B">
          <w:rPr>
            <w:rStyle w:val="aff2"/>
            <w:rFonts w:eastAsiaTheme="minorEastAsia"/>
            <w:b w:val="0"/>
            <w:noProof/>
            <w:color w:val="auto"/>
            <w:kern w:val="44"/>
          </w:rPr>
          <w:t>1.4</w:t>
        </w:r>
        <w:r w:rsidR="00611CBA" w:rsidRPr="00F9522B">
          <w:rPr>
            <w:rStyle w:val="aff2"/>
            <w:rFonts w:eastAsiaTheme="minorEastAsia"/>
            <w:b w:val="0"/>
            <w:noProof/>
            <w:color w:val="auto"/>
            <w:kern w:val="44"/>
          </w:rPr>
          <w:t>分析判定相关情况</w:t>
        </w:r>
        <w:r w:rsidR="00611CBA" w:rsidRPr="00F9522B">
          <w:rPr>
            <w:rStyle w:val="aff2"/>
            <w:rFonts w:eastAsiaTheme="minorEastAsia"/>
            <w:b w:val="0"/>
            <w:noProof/>
            <w:color w:val="auto"/>
            <w:kern w:val="44"/>
          </w:rPr>
          <w:tab/>
        </w:r>
        <w:r w:rsidRPr="00F9522B">
          <w:rPr>
            <w:rStyle w:val="aff2"/>
            <w:rFonts w:eastAsiaTheme="minorEastAsia"/>
            <w:b w:val="0"/>
            <w:noProof/>
            <w:color w:val="auto"/>
            <w:kern w:val="44"/>
          </w:rPr>
          <w:fldChar w:fldCharType="begin"/>
        </w:r>
        <w:r w:rsidR="00611CBA" w:rsidRPr="00F9522B">
          <w:rPr>
            <w:rStyle w:val="aff2"/>
            <w:rFonts w:eastAsiaTheme="minorEastAsia"/>
            <w:b w:val="0"/>
            <w:noProof/>
            <w:color w:val="auto"/>
            <w:kern w:val="44"/>
          </w:rPr>
          <w:instrText xml:space="preserve"> PAGEREF _Toc208906220 \h </w:instrText>
        </w:r>
        <w:r w:rsidRPr="00F9522B">
          <w:rPr>
            <w:rStyle w:val="aff2"/>
            <w:rFonts w:eastAsiaTheme="minorEastAsia"/>
            <w:b w:val="0"/>
            <w:noProof/>
            <w:color w:val="auto"/>
            <w:kern w:val="44"/>
          </w:rPr>
        </w:r>
        <w:r w:rsidRPr="00F9522B">
          <w:rPr>
            <w:rStyle w:val="aff2"/>
            <w:rFonts w:eastAsiaTheme="minorEastAsia"/>
            <w:b w:val="0"/>
            <w:noProof/>
            <w:color w:val="auto"/>
            <w:kern w:val="44"/>
          </w:rPr>
          <w:fldChar w:fldCharType="separate"/>
        </w:r>
        <w:r w:rsidR="005B7A33" w:rsidRPr="00F9522B">
          <w:rPr>
            <w:rStyle w:val="aff2"/>
            <w:rFonts w:eastAsiaTheme="minorEastAsia"/>
            <w:b w:val="0"/>
            <w:noProof/>
            <w:color w:val="auto"/>
            <w:kern w:val="44"/>
          </w:rPr>
          <w:t>8</w:t>
        </w:r>
        <w:r w:rsidRPr="00F9522B">
          <w:rPr>
            <w:rStyle w:val="aff2"/>
            <w:rFonts w:eastAsiaTheme="minorEastAsia"/>
            <w:b w:val="0"/>
            <w:noProof/>
            <w:color w:val="auto"/>
            <w:kern w:val="44"/>
          </w:rPr>
          <w:fldChar w:fldCharType="end"/>
        </w:r>
      </w:hyperlink>
    </w:p>
    <w:p w:rsidR="002A5A5E" w:rsidRPr="00F9522B" w:rsidRDefault="005273A1">
      <w:pPr>
        <w:pStyle w:val="23"/>
        <w:tabs>
          <w:tab w:val="right" w:leader="dot" w:pos="8296"/>
        </w:tabs>
        <w:spacing w:before="0" w:line="240" w:lineRule="auto"/>
        <w:ind w:left="0" w:firstLine="426"/>
        <w:rPr>
          <w:rFonts w:eastAsiaTheme="minorEastAsia"/>
          <w:b w:val="0"/>
          <w:bCs w:val="0"/>
          <w:noProof/>
          <w:color w:val="auto"/>
        </w:rPr>
      </w:pPr>
      <w:hyperlink w:anchor="_Toc208906221" w:history="1">
        <w:r w:rsidR="00611CBA" w:rsidRPr="00F9522B">
          <w:rPr>
            <w:rStyle w:val="aff2"/>
            <w:rFonts w:eastAsiaTheme="minorEastAsia"/>
            <w:b w:val="0"/>
            <w:noProof/>
            <w:color w:val="auto"/>
            <w:kern w:val="44"/>
          </w:rPr>
          <w:t>1.5</w:t>
        </w:r>
        <w:r w:rsidR="00611CBA" w:rsidRPr="00F9522B">
          <w:rPr>
            <w:rStyle w:val="aff2"/>
            <w:rFonts w:eastAsiaTheme="minorEastAsia"/>
            <w:b w:val="0"/>
            <w:noProof/>
            <w:color w:val="auto"/>
            <w:kern w:val="44"/>
          </w:rPr>
          <w:t>关注的主要环境问题及环境影响</w:t>
        </w:r>
        <w:r w:rsidR="00611CBA" w:rsidRPr="00F9522B">
          <w:rPr>
            <w:rFonts w:eastAsiaTheme="minorEastAsia"/>
            <w:b w:val="0"/>
            <w:noProof/>
            <w:color w:val="auto"/>
          </w:rPr>
          <w:tab/>
        </w:r>
        <w:r w:rsidRPr="00F9522B">
          <w:rPr>
            <w:rFonts w:eastAsiaTheme="minorEastAsia"/>
            <w:b w:val="0"/>
            <w:noProof/>
            <w:color w:val="auto"/>
          </w:rPr>
          <w:fldChar w:fldCharType="begin"/>
        </w:r>
        <w:r w:rsidR="00611CBA" w:rsidRPr="00F9522B">
          <w:rPr>
            <w:rFonts w:eastAsiaTheme="minorEastAsia"/>
            <w:b w:val="0"/>
            <w:noProof/>
            <w:color w:val="auto"/>
          </w:rPr>
          <w:instrText xml:space="preserve"> PAGEREF _Toc208906221 \h </w:instrText>
        </w:r>
        <w:r w:rsidRPr="00F9522B">
          <w:rPr>
            <w:rFonts w:eastAsiaTheme="minorEastAsia"/>
            <w:b w:val="0"/>
            <w:noProof/>
            <w:color w:val="auto"/>
          </w:rPr>
        </w:r>
        <w:r w:rsidRPr="00F9522B">
          <w:rPr>
            <w:rFonts w:eastAsiaTheme="minorEastAsia"/>
            <w:b w:val="0"/>
            <w:noProof/>
            <w:color w:val="auto"/>
          </w:rPr>
          <w:fldChar w:fldCharType="separate"/>
        </w:r>
        <w:r w:rsidR="005B7A33" w:rsidRPr="00F9522B">
          <w:rPr>
            <w:rFonts w:eastAsiaTheme="minorEastAsia"/>
            <w:b w:val="0"/>
            <w:noProof/>
            <w:color w:val="auto"/>
          </w:rPr>
          <w:t>48</w:t>
        </w:r>
        <w:r w:rsidRPr="00F9522B">
          <w:rPr>
            <w:rFonts w:eastAsiaTheme="minorEastAsia"/>
            <w:b w:val="0"/>
            <w:noProof/>
            <w:color w:val="auto"/>
          </w:rPr>
          <w:fldChar w:fldCharType="end"/>
        </w:r>
      </w:hyperlink>
    </w:p>
    <w:p w:rsidR="002A5A5E" w:rsidRPr="00F9522B" w:rsidRDefault="005273A1">
      <w:pPr>
        <w:pStyle w:val="23"/>
        <w:tabs>
          <w:tab w:val="right" w:leader="dot" w:pos="8296"/>
        </w:tabs>
        <w:spacing w:before="0" w:line="240" w:lineRule="auto"/>
        <w:ind w:left="0" w:firstLine="426"/>
        <w:rPr>
          <w:rFonts w:eastAsiaTheme="minorEastAsia"/>
          <w:b w:val="0"/>
          <w:bCs w:val="0"/>
          <w:noProof/>
          <w:color w:val="auto"/>
        </w:rPr>
      </w:pPr>
      <w:hyperlink w:anchor="_Toc208906222" w:history="1">
        <w:r w:rsidR="00611CBA" w:rsidRPr="00F9522B">
          <w:rPr>
            <w:rStyle w:val="aff2"/>
            <w:rFonts w:eastAsiaTheme="minorEastAsia"/>
            <w:b w:val="0"/>
            <w:noProof/>
            <w:color w:val="auto"/>
            <w:kern w:val="44"/>
          </w:rPr>
          <w:t>1.6</w:t>
        </w:r>
        <w:r w:rsidR="00611CBA" w:rsidRPr="00F9522B">
          <w:rPr>
            <w:rStyle w:val="aff2"/>
            <w:rFonts w:eastAsiaTheme="minorEastAsia"/>
            <w:b w:val="0"/>
            <w:noProof/>
            <w:color w:val="auto"/>
            <w:kern w:val="44"/>
          </w:rPr>
          <w:t>环境影响评价主要结论</w:t>
        </w:r>
        <w:r w:rsidR="00611CBA" w:rsidRPr="00F9522B">
          <w:rPr>
            <w:rFonts w:eastAsiaTheme="minorEastAsia"/>
            <w:b w:val="0"/>
            <w:noProof/>
            <w:color w:val="auto"/>
          </w:rPr>
          <w:tab/>
        </w:r>
        <w:r w:rsidRPr="00F9522B">
          <w:rPr>
            <w:rFonts w:eastAsiaTheme="minorEastAsia"/>
            <w:b w:val="0"/>
            <w:noProof/>
            <w:color w:val="auto"/>
          </w:rPr>
          <w:fldChar w:fldCharType="begin"/>
        </w:r>
        <w:r w:rsidR="00611CBA" w:rsidRPr="00F9522B">
          <w:rPr>
            <w:rFonts w:eastAsiaTheme="minorEastAsia"/>
            <w:b w:val="0"/>
            <w:noProof/>
            <w:color w:val="auto"/>
          </w:rPr>
          <w:instrText xml:space="preserve"> PAGEREF _Toc208906222 \h </w:instrText>
        </w:r>
        <w:r w:rsidRPr="00F9522B">
          <w:rPr>
            <w:rFonts w:eastAsiaTheme="minorEastAsia"/>
            <w:b w:val="0"/>
            <w:noProof/>
            <w:color w:val="auto"/>
          </w:rPr>
        </w:r>
        <w:r w:rsidRPr="00F9522B">
          <w:rPr>
            <w:rFonts w:eastAsiaTheme="minorEastAsia"/>
            <w:b w:val="0"/>
            <w:noProof/>
            <w:color w:val="auto"/>
          </w:rPr>
          <w:fldChar w:fldCharType="separate"/>
        </w:r>
        <w:r w:rsidR="005B7A33" w:rsidRPr="00F9522B">
          <w:rPr>
            <w:rFonts w:eastAsiaTheme="minorEastAsia"/>
            <w:b w:val="0"/>
            <w:noProof/>
            <w:color w:val="auto"/>
          </w:rPr>
          <w:t>50</w:t>
        </w:r>
        <w:r w:rsidRPr="00F9522B">
          <w:rPr>
            <w:rFonts w:eastAsiaTheme="minorEastAsia"/>
            <w:b w:val="0"/>
            <w:noProof/>
            <w:color w:val="auto"/>
          </w:rPr>
          <w:fldChar w:fldCharType="end"/>
        </w:r>
      </w:hyperlink>
    </w:p>
    <w:p w:rsidR="002A5A5E" w:rsidRPr="00F9522B" w:rsidRDefault="005273A1">
      <w:pPr>
        <w:pStyle w:val="11"/>
        <w:spacing w:line="240" w:lineRule="auto"/>
        <w:rPr>
          <w:b w:val="0"/>
          <w:bCs w:val="0"/>
          <w:iCs w:val="0"/>
          <w:noProof/>
          <w:kern w:val="2"/>
          <w:sz w:val="24"/>
          <w:szCs w:val="24"/>
        </w:rPr>
      </w:pPr>
      <w:hyperlink w:anchor="_Toc208906223" w:history="1">
        <w:r w:rsidR="00611CBA" w:rsidRPr="00F9522B">
          <w:rPr>
            <w:rStyle w:val="aff2"/>
            <w:b w:val="0"/>
            <w:noProof/>
            <w:color w:val="auto"/>
            <w:sz w:val="24"/>
            <w:szCs w:val="24"/>
          </w:rPr>
          <w:t>2</w:t>
        </w:r>
        <w:r w:rsidR="00611CBA" w:rsidRPr="00F9522B">
          <w:rPr>
            <w:rStyle w:val="aff2"/>
            <w:b w:val="0"/>
            <w:noProof/>
            <w:color w:val="auto"/>
            <w:sz w:val="24"/>
            <w:szCs w:val="24"/>
          </w:rPr>
          <w:t>总则</w:t>
        </w:r>
        <w:r w:rsidR="00611CBA" w:rsidRPr="00F9522B">
          <w:rPr>
            <w:b w:val="0"/>
            <w:noProof/>
            <w:sz w:val="24"/>
            <w:szCs w:val="24"/>
          </w:rPr>
          <w:tab/>
        </w:r>
        <w:r w:rsidRPr="00F9522B">
          <w:rPr>
            <w:b w:val="0"/>
            <w:noProof/>
            <w:sz w:val="24"/>
            <w:szCs w:val="24"/>
          </w:rPr>
          <w:fldChar w:fldCharType="begin"/>
        </w:r>
        <w:r w:rsidR="00611CBA" w:rsidRPr="00F9522B">
          <w:rPr>
            <w:b w:val="0"/>
            <w:noProof/>
            <w:sz w:val="24"/>
            <w:szCs w:val="24"/>
          </w:rPr>
          <w:instrText xml:space="preserve"> PAGEREF _Toc208906223 \h </w:instrText>
        </w:r>
        <w:r w:rsidRPr="00F9522B">
          <w:rPr>
            <w:b w:val="0"/>
            <w:noProof/>
            <w:sz w:val="24"/>
            <w:szCs w:val="24"/>
          </w:rPr>
        </w:r>
        <w:r w:rsidRPr="00F9522B">
          <w:rPr>
            <w:b w:val="0"/>
            <w:noProof/>
            <w:sz w:val="24"/>
            <w:szCs w:val="24"/>
          </w:rPr>
          <w:fldChar w:fldCharType="separate"/>
        </w:r>
        <w:r w:rsidR="005B7A33" w:rsidRPr="00F9522B">
          <w:rPr>
            <w:b w:val="0"/>
            <w:noProof/>
            <w:sz w:val="24"/>
            <w:szCs w:val="24"/>
          </w:rPr>
          <w:t>51</w:t>
        </w:r>
        <w:r w:rsidRPr="00F9522B">
          <w:rPr>
            <w:b w:val="0"/>
            <w:noProof/>
            <w:sz w:val="24"/>
            <w:szCs w:val="24"/>
          </w:rPr>
          <w:fldChar w:fldCharType="end"/>
        </w:r>
      </w:hyperlink>
    </w:p>
    <w:p w:rsidR="002A5A5E" w:rsidRPr="00F9522B" w:rsidRDefault="005273A1">
      <w:pPr>
        <w:pStyle w:val="23"/>
        <w:tabs>
          <w:tab w:val="right" w:leader="dot" w:pos="8296"/>
        </w:tabs>
        <w:spacing w:before="0" w:line="240" w:lineRule="auto"/>
        <w:ind w:left="0" w:firstLine="426"/>
        <w:rPr>
          <w:rFonts w:eastAsiaTheme="minorEastAsia"/>
          <w:b w:val="0"/>
          <w:bCs w:val="0"/>
          <w:noProof/>
          <w:color w:val="auto"/>
        </w:rPr>
      </w:pPr>
      <w:hyperlink w:anchor="_Toc208906224" w:history="1">
        <w:r w:rsidR="00611CBA" w:rsidRPr="00F9522B">
          <w:rPr>
            <w:rStyle w:val="aff2"/>
            <w:rFonts w:eastAsiaTheme="minorEastAsia"/>
            <w:b w:val="0"/>
            <w:noProof/>
            <w:color w:val="auto"/>
            <w:kern w:val="44"/>
          </w:rPr>
          <w:t>2.1</w:t>
        </w:r>
        <w:r w:rsidR="00611CBA" w:rsidRPr="00F9522B">
          <w:rPr>
            <w:rStyle w:val="aff2"/>
            <w:rFonts w:eastAsiaTheme="minorEastAsia"/>
            <w:b w:val="0"/>
            <w:noProof/>
            <w:color w:val="auto"/>
            <w:kern w:val="44"/>
          </w:rPr>
          <w:t>编制依据</w:t>
        </w:r>
        <w:r w:rsidR="00611CBA" w:rsidRPr="00F9522B">
          <w:rPr>
            <w:rFonts w:eastAsiaTheme="minorEastAsia"/>
            <w:b w:val="0"/>
            <w:noProof/>
            <w:color w:val="auto"/>
          </w:rPr>
          <w:tab/>
        </w:r>
        <w:r w:rsidRPr="00F9522B">
          <w:rPr>
            <w:rFonts w:eastAsiaTheme="minorEastAsia"/>
            <w:b w:val="0"/>
            <w:noProof/>
            <w:color w:val="auto"/>
          </w:rPr>
          <w:fldChar w:fldCharType="begin"/>
        </w:r>
        <w:r w:rsidR="00611CBA" w:rsidRPr="00F9522B">
          <w:rPr>
            <w:rFonts w:eastAsiaTheme="minorEastAsia"/>
            <w:b w:val="0"/>
            <w:noProof/>
            <w:color w:val="auto"/>
          </w:rPr>
          <w:instrText xml:space="preserve"> PAGEREF _Toc208906224 \h </w:instrText>
        </w:r>
        <w:r w:rsidRPr="00F9522B">
          <w:rPr>
            <w:rFonts w:eastAsiaTheme="minorEastAsia"/>
            <w:b w:val="0"/>
            <w:noProof/>
            <w:color w:val="auto"/>
          </w:rPr>
        </w:r>
        <w:r w:rsidRPr="00F9522B">
          <w:rPr>
            <w:rFonts w:eastAsiaTheme="minorEastAsia"/>
            <w:b w:val="0"/>
            <w:noProof/>
            <w:color w:val="auto"/>
          </w:rPr>
          <w:fldChar w:fldCharType="separate"/>
        </w:r>
        <w:r w:rsidR="005B7A33" w:rsidRPr="00F9522B">
          <w:rPr>
            <w:rFonts w:eastAsiaTheme="minorEastAsia"/>
            <w:b w:val="0"/>
            <w:noProof/>
            <w:color w:val="auto"/>
          </w:rPr>
          <w:t>51</w:t>
        </w:r>
        <w:r w:rsidRPr="00F9522B">
          <w:rPr>
            <w:rFonts w:eastAsiaTheme="minorEastAsia"/>
            <w:b w:val="0"/>
            <w:noProof/>
            <w:color w:val="auto"/>
          </w:rPr>
          <w:fldChar w:fldCharType="end"/>
        </w:r>
      </w:hyperlink>
    </w:p>
    <w:p w:rsidR="002A5A5E" w:rsidRPr="00F9522B" w:rsidRDefault="005273A1">
      <w:pPr>
        <w:pStyle w:val="23"/>
        <w:tabs>
          <w:tab w:val="right" w:leader="dot" w:pos="8296"/>
        </w:tabs>
        <w:spacing w:before="0" w:line="240" w:lineRule="auto"/>
        <w:ind w:left="0" w:firstLine="426"/>
        <w:rPr>
          <w:rFonts w:eastAsiaTheme="minorEastAsia"/>
          <w:b w:val="0"/>
          <w:bCs w:val="0"/>
          <w:noProof/>
          <w:color w:val="auto"/>
        </w:rPr>
      </w:pPr>
      <w:hyperlink w:anchor="_Toc208906225" w:history="1">
        <w:r w:rsidR="00611CBA" w:rsidRPr="00F9522B">
          <w:rPr>
            <w:rStyle w:val="aff2"/>
            <w:rFonts w:eastAsiaTheme="minorEastAsia"/>
            <w:b w:val="0"/>
            <w:noProof/>
            <w:color w:val="auto"/>
            <w:kern w:val="44"/>
          </w:rPr>
          <w:t>2.2</w:t>
        </w:r>
        <w:r w:rsidR="00611CBA" w:rsidRPr="00F9522B">
          <w:rPr>
            <w:rStyle w:val="aff2"/>
            <w:rFonts w:eastAsiaTheme="minorEastAsia"/>
            <w:b w:val="0"/>
            <w:noProof/>
            <w:color w:val="auto"/>
            <w:kern w:val="44"/>
          </w:rPr>
          <w:t>评价目的与原则</w:t>
        </w:r>
        <w:r w:rsidR="00611CBA" w:rsidRPr="00F9522B">
          <w:rPr>
            <w:rFonts w:eastAsiaTheme="minorEastAsia"/>
            <w:b w:val="0"/>
            <w:noProof/>
            <w:color w:val="auto"/>
          </w:rPr>
          <w:tab/>
        </w:r>
        <w:r w:rsidRPr="00F9522B">
          <w:rPr>
            <w:rFonts w:eastAsiaTheme="minorEastAsia"/>
            <w:b w:val="0"/>
            <w:noProof/>
            <w:color w:val="auto"/>
          </w:rPr>
          <w:fldChar w:fldCharType="begin"/>
        </w:r>
        <w:r w:rsidR="00611CBA" w:rsidRPr="00F9522B">
          <w:rPr>
            <w:rFonts w:eastAsiaTheme="minorEastAsia"/>
            <w:b w:val="0"/>
            <w:noProof/>
            <w:color w:val="auto"/>
          </w:rPr>
          <w:instrText xml:space="preserve"> PAGEREF _Toc208906225 \h </w:instrText>
        </w:r>
        <w:r w:rsidRPr="00F9522B">
          <w:rPr>
            <w:rFonts w:eastAsiaTheme="minorEastAsia"/>
            <w:b w:val="0"/>
            <w:noProof/>
            <w:color w:val="auto"/>
          </w:rPr>
        </w:r>
        <w:r w:rsidRPr="00F9522B">
          <w:rPr>
            <w:rFonts w:eastAsiaTheme="minorEastAsia"/>
            <w:b w:val="0"/>
            <w:noProof/>
            <w:color w:val="auto"/>
          </w:rPr>
          <w:fldChar w:fldCharType="separate"/>
        </w:r>
        <w:r w:rsidR="005B7A33" w:rsidRPr="00F9522B">
          <w:rPr>
            <w:rFonts w:eastAsiaTheme="minorEastAsia"/>
            <w:b w:val="0"/>
            <w:noProof/>
            <w:color w:val="auto"/>
          </w:rPr>
          <w:t>53</w:t>
        </w:r>
        <w:r w:rsidRPr="00F9522B">
          <w:rPr>
            <w:rFonts w:eastAsiaTheme="minorEastAsia"/>
            <w:b w:val="0"/>
            <w:noProof/>
            <w:color w:val="auto"/>
          </w:rPr>
          <w:fldChar w:fldCharType="end"/>
        </w:r>
      </w:hyperlink>
    </w:p>
    <w:p w:rsidR="002A5A5E" w:rsidRPr="00F9522B" w:rsidRDefault="005273A1">
      <w:pPr>
        <w:pStyle w:val="23"/>
        <w:tabs>
          <w:tab w:val="right" w:leader="dot" w:pos="8296"/>
        </w:tabs>
        <w:spacing w:before="0" w:line="240" w:lineRule="auto"/>
        <w:ind w:left="0" w:firstLine="426"/>
        <w:rPr>
          <w:rFonts w:eastAsiaTheme="minorEastAsia"/>
          <w:b w:val="0"/>
          <w:bCs w:val="0"/>
          <w:noProof/>
          <w:color w:val="auto"/>
        </w:rPr>
      </w:pPr>
      <w:hyperlink w:anchor="_Toc208906226" w:history="1">
        <w:r w:rsidR="00611CBA" w:rsidRPr="00F9522B">
          <w:rPr>
            <w:rStyle w:val="aff2"/>
            <w:rFonts w:eastAsiaTheme="minorEastAsia"/>
            <w:b w:val="0"/>
            <w:noProof/>
            <w:color w:val="auto"/>
            <w:kern w:val="44"/>
          </w:rPr>
          <w:t>2.3</w:t>
        </w:r>
        <w:r w:rsidR="00611CBA" w:rsidRPr="00F9522B">
          <w:rPr>
            <w:rStyle w:val="aff2"/>
            <w:rFonts w:eastAsiaTheme="minorEastAsia"/>
            <w:b w:val="0"/>
            <w:noProof/>
            <w:color w:val="auto"/>
            <w:kern w:val="44"/>
          </w:rPr>
          <w:t>评价内容及评价重点</w:t>
        </w:r>
        <w:r w:rsidR="00611CBA" w:rsidRPr="00F9522B">
          <w:rPr>
            <w:rFonts w:eastAsiaTheme="minorEastAsia"/>
            <w:b w:val="0"/>
            <w:noProof/>
            <w:color w:val="auto"/>
          </w:rPr>
          <w:tab/>
        </w:r>
        <w:r w:rsidRPr="00F9522B">
          <w:rPr>
            <w:rFonts w:eastAsiaTheme="minorEastAsia"/>
            <w:b w:val="0"/>
            <w:noProof/>
            <w:color w:val="auto"/>
          </w:rPr>
          <w:fldChar w:fldCharType="begin"/>
        </w:r>
        <w:r w:rsidR="00611CBA" w:rsidRPr="00F9522B">
          <w:rPr>
            <w:rFonts w:eastAsiaTheme="minorEastAsia"/>
            <w:b w:val="0"/>
            <w:noProof/>
            <w:color w:val="auto"/>
          </w:rPr>
          <w:instrText xml:space="preserve"> PAGEREF _Toc208906226 \h </w:instrText>
        </w:r>
        <w:r w:rsidRPr="00F9522B">
          <w:rPr>
            <w:rFonts w:eastAsiaTheme="minorEastAsia"/>
            <w:b w:val="0"/>
            <w:noProof/>
            <w:color w:val="auto"/>
          </w:rPr>
        </w:r>
        <w:r w:rsidRPr="00F9522B">
          <w:rPr>
            <w:rFonts w:eastAsiaTheme="minorEastAsia"/>
            <w:b w:val="0"/>
            <w:noProof/>
            <w:color w:val="auto"/>
          </w:rPr>
          <w:fldChar w:fldCharType="separate"/>
        </w:r>
        <w:r w:rsidR="005B7A33" w:rsidRPr="00F9522B">
          <w:rPr>
            <w:rFonts w:eastAsiaTheme="minorEastAsia"/>
            <w:b w:val="0"/>
            <w:noProof/>
            <w:color w:val="auto"/>
          </w:rPr>
          <w:t>55</w:t>
        </w:r>
        <w:r w:rsidRPr="00F9522B">
          <w:rPr>
            <w:rFonts w:eastAsiaTheme="minorEastAsia"/>
            <w:b w:val="0"/>
            <w:noProof/>
            <w:color w:val="auto"/>
          </w:rPr>
          <w:fldChar w:fldCharType="end"/>
        </w:r>
      </w:hyperlink>
    </w:p>
    <w:p w:rsidR="002A5A5E" w:rsidRPr="00F9522B" w:rsidRDefault="005273A1">
      <w:pPr>
        <w:pStyle w:val="23"/>
        <w:tabs>
          <w:tab w:val="right" w:leader="dot" w:pos="8296"/>
        </w:tabs>
        <w:spacing w:before="0" w:line="240" w:lineRule="auto"/>
        <w:ind w:left="0" w:firstLine="426"/>
        <w:rPr>
          <w:rFonts w:eastAsiaTheme="minorEastAsia"/>
          <w:b w:val="0"/>
          <w:bCs w:val="0"/>
          <w:noProof/>
          <w:color w:val="auto"/>
        </w:rPr>
      </w:pPr>
      <w:hyperlink w:anchor="_Toc208906227" w:history="1">
        <w:r w:rsidR="00611CBA" w:rsidRPr="00F9522B">
          <w:rPr>
            <w:rStyle w:val="aff2"/>
            <w:rFonts w:eastAsiaTheme="minorEastAsia"/>
            <w:b w:val="0"/>
            <w:noProof/>
            <w:color w:val="auto"/>
            <w:kern w:val="44"/>
          </w:rPr>
          <w:t>2.4</w:t>
        </w:r>
        <w:r w:rsidR="00611CBA" w:rsidRPr="00F9522B">
          <w:rPr>
            <w:rStyle w:val="aff2"/>
            <w:rFonts w:eastAsiaTheme="minorEastAsia"/>
            <w:b w:val="0"/>
            <w:noProof/>
            <w:color w:val="auto"/>
            <w:kern w:val="44"/>
          </w:rPr>
          <w:t>环境影响因素识别与评价因子筛选</w:t>
        </w:r>
        <w:r w:rsidR="00611CBA" w:rsidRPr="00F9522B">
          <w:rPr>
            <w:rFonts w:eastAsiaTheme="minorEastAsia"/>
            <w:b w:val="0"/>
            <w:noProof/>
            <w:color w:val="auto"/>
          </w:rPr>
          <w:tab/>
        </w:r>
        <w:r w:rsidRPr="00F9522B">
          <w:rPr>
            <w:rFonts w:eastAsiaTheme="minorEastAsia"/>
            <w:b w:val="0"/>
            <w:noProof/>
            <w:color w:val="auto"/>
          </w:rPr>
          <w:fldChar w:fldCharType="begin"/>
        </w:r>
        <w:r w:rsidR="00611CBA" w:rsidRPr="00F9522B">
          <w:rPr>
            <w:rFonts w:eastAsiaTheme="minorEastAsia"/>
            <w:b w:val="0"/>
            <w:noProof/>
            <w:color w:val="auto"/>
          </w:rPr>
          <w:instrText xml:space="preserve"> PAGEREF _Toc208906227 \h </w:instrText>
        </w:r>
        <w:r w:rsidRPr="00F9522B">
          <w:rPr>
            <w:rFonts w:eastAsiaTheme="minorEastAsia"/>
            <w:b w:val="0"/>
            <w:noProof/>
            <w:color w:val="auto"/>
          </w:rPr>
        </w:r>
        <w:r w:rsidRPr="00F9522B">
          <w:rPr>
            <w:rFonts w:eastAsiaTheme="minorEastAsia"/>
            <w:b w:val="0"/>
            <w:noProof/>
            <w:color w:val="auto"/>
          </w:rPr>
          <w:fldChar w:fldCharType="separate"/>
        </w:r>
        <w:r w:rsidR="005B7A33" w:rsidRPr="00F9522B">
          <w:rPr>
            <w:rFonts w:eastAsiaTheme="minorEastAsia"/>
            <w:b w:val="0"/>
            <w:noProof/>
            <w:color w:val="auto"/>
          </w:rPr>
          <w:t>55</w:t>
        </w:r>
        <w:r w:rsidRPr="00F9522B">
          <w:rPr>
            <w:rFonts w:eastAsiaTheme="minorEastAsia"/>
            <w:b w:val="0"/>
            <w:noProof/>
            <w:color w:val="auto"/>
          </w:rPr>
          <w:fldChar w:fldCharType="end"/>
        </w:r>
      </w:hyperlink>
    </w:p>
    <w:p w:rsidR="002A5A5E" w:rsidRPr="00F9522B" w:rsidRDefault="005273A1">
      <w:pPr>
        <w:pStyle w:val="23"/>
        <w:tabs>
          <w:tab w:val="right" w:leader="dot" w:pos="8296"/>
        </w:tabs>
        <w:spacing w:before="0" w:line="240" w:lineRule="auto"/>
        <w:ind w:left="0" w:firstLine="426"/>
        <w:rPr>
          <w:rFonts w:eastAsiaTheme="minorEastAsia"/>
          <w:b w:val="0"/>
          <w:bCs w:val="0"/>
          <w:noProof/>
          <w:color w:val="auto"/>
        </w:rPr>
      </w:pPr>
      <w:hyperlink w:anchor="_Toc208906228" w:history="1">
        <w:r w:rsidR="00611CBA" w:rsidRPr="00F9522B">
          <w:rPr>
            <w:rStyle w:val="aff2"/>
            <w:rFonts w:eastAsiaTheme="minorEastAsia"/>
            <w:b w:val="0"/>
            <w:noProof/>
            <w:color w:val="auto"/>
            <w:kern w:val="44"/>
          </w:rPr>
          <w:t>2.5</w:t>
        </w:r>
        <w:r w:rsidR="00611CBA" w:rsidRPr="00F9522B">
          <w:rPr>
            <w:rStyle w:val="aff2"/>
            <w:rFonts w:eastAsiaTheme="minorEastAsia"/>
            <w:b w:val="0"/>
            <w:noProof/>
            <w:color w:val="auto"/>
            <w:kern w:val="44"/>
          </w:rPr>
          <w:t>环境功能区划及评价标准</w:t>
        </w:r>
        <w:r w:rsidR="00611CBA" w:rsidRPr="00F9522B">
          <w:rPr>
            <w:rFonts w:eastAsiaTheme="minorEastAsia"/>
            <w:b w:val="0"/>
            <w:noProof/>
            <w:color w:val="auto"/>
          </w:rPr>
          <w:tab/>
        </w:r>
        <w:r w:rsidRPr="00F9522B">
          <w:rPr>
            <w:rFonts w:eastAsiaTheme="minorEastAsia"/>
            <w:b w:val="0"/>
            <w:noProof/>
            <w:color w:val="auto"/>
          </w:rPr>
          <w:fldChar w:fldCharType="begin"/>
        </w:r>
        <w:r w:rsidR="00611CBA" w:rsidRPr="00F9522B">
          <w:rPr>
            <w:rFonts w:eastAsiaTheme="minorEastAsia"/>
            <w:b w:val="0"/>
            <w:noProof/>
            <w:color w:val="auto"/>
          </w:rPr>
          <w:instrText xml:space="preserve"> PAGEREF _Toc208906228 \h </w:instrText>
        </w:r>
        <w:r w:rsidRPr="00F9522B">
          <w:rPr>
            <w:rFonts w:eastAsiaTheme="minorEastAsia"/>
            <w:b w:val="0"/>
            <w:noProof/>
            <w:color w:val="auto"/>
          </w:rPr>
        </w:r>
        <w:r w:rsidRPr="00F9522B">
          <w:rPr>
            <w:rFonts w:eastAsiaTheme="minorEastAsia"/>
            <w:b w:val="0"/>
            <w:noProof/>
            <w:color w:val="auto"/>
          </w:rPr>
          <w:fldChar w:fldCharType="separate"/>
        </w:r>
        <w:r w:rsidR="005B7A33" w:rsidRPr="00F9522B">
          <w:rPr>
            <w:rFonts w:eastAsiaTheme="minorEastAsia"/>
            <w:b w:val="0"/>
            <w:noProof/>
            <w:color w:val="auto"/>
          </w:rPr>
          <w:t>59</w:t>
        </w:r>
        <w:r w:rsidRPr="00F9522B">
          <w:rPr>
            <w:rFonts w:eastAsiaTheme="minorEastAsia"/>
            <w:b w:val="0"/>
            <w:noProof/>
            <w:color w:val="auto"/>
          </w:rPr>
          <w:fldChar w:fldCharType="end"/>
        </w:r>
      </w:hyperlink>
    </w:p>
    <w:p w:rsidR="002A5A5E" w:rsidRPr="00F9522B" w:rsidRDefault="005273A1">
      <w:pPr>
        <w:pStyle w:val="23"/>
        <w:tabs>
          <w:tab w:val="right" w:leader="dot" w:pos="8296"/>
        </w:tabs>
        <w:spacing w:before="0" w:line="240" w:lineRule="auto"/>
        <w:ind w:left="0" w:firstLine="426"/>
        <w:rPr>
          <w:rFonts w:eastAsiaTheme="minorEastAsia"/>
          <w:b w:val="0"/>
          <w:bCs w:val="0"/>
          <w:noProof/>
          <w:color w:val="auto"/>
        </w:rPr>
      </w:pPr>
      <w:hyperlink w:anchor="_Toc208906229" w:history="1">
        <w:r w:rsidR="00611CBA" w:rsidRPr="00F9522B">
          <w:rPr>
            <w:rStyle w:val="aff2"/>
            <w:rFonts w:eastAsiaTheme="minorEastAsia"/>
            <w:b w:val="0"/>
            <w:noProof/>
            <w:color w:val="auto"/>
            <w:kern w:val="44"/>
          </w:rPr>
          <w:t>2.6</w:t>
        </w:r>
        <w:r w:rsidR="00611CBA" w:rsidRPr="00F9522B">
          <w:rPr>
            <w:rStyle w:val="aff2"/>
            <w:rFonts w:eastAsiaTheme="minorEastAsia"/>
            <w:b w:val="0"/>
            <w:noProof/>
            <w:color w:val="auto"/>
            <w:kern w:val="44"/>
          </w:rPr>
          <w:t>评价工作等级</w:t>
        </w:r>
        <w:r w:rsidR="00611CBA" w:rsidRPr="00F9522B">
          <w:rPr>
            <w:rFonts w:eastAsiaTheme="minorEastAsia"/>
            <w:b w:val="0"/>
            <w:noProof/>
            <w:color w:val="auto"/>
          </w:rPr>
          <w:tab/>
        </w:r>
        <w:r w:rsidRPr="00F9522B">
          <w:rPr>
            <w:rFonts w:eastAsiaTheme="minorEastAsia"/>
            <w:b w:val="0"/>
            <w:noProof/>
            <w:color w:val="auto"/>
          </w:rPr>
          <w:fldChar w:fldCharType="begin"/>
        </w:r>
        <w:r w:rsidR="00611CBA" w:rsidRPr="00F9522B">
          <w:rPr>
            <w:rFonts w:eastAsiaTheme="minorEastAsia"/>
            <w:b w:val="0"/>
            <w:noProof/>
            <w:color w:val="auto"/>
          </w:rPr>
          <w:instrText xml:space="preserve"> PAGEREF _Toc208906229 \h </w:instrText>
        </w:r>
        <w:r w:rsidRPr="00F9522B">
          <w:rPr>
            <w:rFonts w:eastAsiaTheme="minorEastAsia"/>
            <w:b w:val="0"/>
            <w:noProof/>
            <w:color w:val="auto"/>
          </w:rPr>
        </w:r>
        <w:r w:rsidRPr="00F9522B">
          <w:rPr>
            <w:rFonts w:eastAsiaTheme="minorEastAsia"/>
            <w:b w:val="0"/>
            <w:noProof/>
            <w:color w:val="auto"/>
          </w:rPr>
          <w:fldChar w:fldCharType="separate"/>
        </w:r>
        <w:r w:rsidR="005B7A33" w:rsidRPr="00F9522B">
          <w:rPr>
            <w:rFonts w:eastAsiaTheme="minorEastAsia"/>
            <w:b w:val="0"/>
            <w:noProof/>
            <w:color w:val="auto"/>
          </w:rPr>
          <w:t>63</w:t>
        </w:r>
        <w:r w:rsidRPr="00F9522B">
          <w:rPr>
            <w:rFonts w:eastAsiaTheme="minorEastAsia"/>
            <w:b w:val="0"/>
            <w:noProof/>
            <w:color w:val="auto"/>
          </w:rPr>
          <w:fldChar w:fldCharType="end"/>
        </w:r>
      </w:hyperlink>
    </w:p>
    <w:p w:rsidR="002A5A5E" w:rsidRPr="00F9522B" w:rsidRDefault="005273A1">
      <w:pPr>
        <w:pStyle w:val="23"/>
        <w:tabs>
          <w:tab w:val="right" w:leader="dot" w:pos="8296"/>
        </w:tabs>
        <w:spacing w:before="0" w:line="240" w:lineRule="auto"/>
        <w:ind w:left="0" w:firstLine="426"/>
        <w:rPr>
          <w:rFonts w:eastAsiaTheme="minorEastAsia"/>
          <w:b w:val="0"/>
          <w:bCs w:val="0"/>
          <w:noProof/>
          <w:color w:val="auto"/>
        </w:rPr>
      </w:pPr>
      <w:hyperlink w:anchor="_Toc208906230" w:history="1">
        <w:r w:rsidR="00611CBA" w:rsidRPr="00F9522B">
          <w:rPr>
            <w:rStyle w:val="aff2"/>
            <w:rFonts w:eastAsiaTheme="minorEastAsia"/>
            <w:b w:val="0"/>
            <w:noProof/>
            <w:color w:val="auto"/>
            <w:kern w:val="44"/>
          </w:rPr>
          <w:t>2.7</w:t>
        </w:r>
        <w:r w:rsidR="00611CBA" w:rsidRPr="00F9522B">
          <w:rPr>
            <w:rStyle w:val="aff2"/>
            <w:rFonts w:eastAsiaTheme="minorEastAsia"/>
            <w:b w:val="0"/>
            <w:noProof/>
            <w:color w:val="auto"/>
            <w:kern w:val="44"/>
          </w:rPr>
          <w:t>评价范围及评价时段</w:t>
        </w:r>
        <w:r w:rsidR="00611CBA" w:rsidRPr="00F9522B">
          <w:rPr>
            <w:rFonts w:eastAsiaTheme="minorEastAsia"/>
            <w:b w:val="0"/>
            <w:noProof/>
            <w:color w:val="auto"/>
          </w:rPr>
          <w:tab/>
        </w:r>
        <w:r w:rsidRPr="00F9522B">
          <w:rPr>
            <w:rFonts w:eastAsiaTheme="minorEastAsia"/>
            <w:b w:val="0"/>
            <w:noProof/>
            <w:color w:val="auto"/>
          </w:rPr>
          <w:fldChar w:fldCharType="begin"/>
        </w:r>
        <w:r w:rsidR="00611CBA" w:rsidRPr="00F9522B">
          <w:rPr>
            <w:rFonts w:eastAsiaTheme="minorEastAsia"/>
            <w:b w:val="0"/>
            <w:noProof/>
            <w:color w:val="auto"/>
          </w:rPr>
          <w:instrText xml:space="preserve"> PAGEREF _Toc208906230 \h </w:instrText>
        </w:r>
        <w:r w:rsidRPr="00F9522B">
          <w:rPr>
            <w:rFonts w:eastAsiaTheme="minorEastAsia"/>
            <w:b w:val="0"/>
            <w:noProof/>
            <w:color w:val="auto"/>
          </w:rPr>
        </w:r>
        <w:r w:rsidRPr="00F9522B">
          <w:rPr>
            <w:rFonts w:eastAsiaTheme="minorEastAsia"/>
            <w:b w:val="0"/>
            <w:noProof/>
            <w:color w:val="auto"/>
          </w:rPr>
          <w:fldChar w:fldCharType="separate"/>
        </w:r>
        <w:r w:rsidR="005B7A33" w:rsidRPr="00F9522B">
          <w:rPr>
            <w:rFonts w:eastAsiaTheme="minorEastAsia"/>
            <w:b w:val="0"/>
            <w:noProof/>
            <w:color w:val="auto"/>
          </w:rPr>
          <w:t>73</w:t>
        </w:r>
        <w:r w:rsidRPr="00F9522B">
          <w:rPr>
            <w:rFonts w:eastAsiaTheme="minorEastAsia"/>
            <w:b w:val="0"/>
            <w:noProof/>
            <w:color w:val="auto"/>
          </w:rPr>
          <w:fldChar w:fldCharType="end"/>
        </w:r>
      </w:hyperlink>
    </w:p>
    <w:p w:rsidR="002A5A5E" w:rsidRPr="00F9522B" w:rsidRDefault="005273A1">
      <w:pPr>
        <w:pStyle w:val="23"/>
        <w:tabs>
          <w:tab w:val="right" w:leader="dot" w:pos="8296"/>
        </w:tabs>
        <w:spacing w:before="0" w:line="240" w:lineRule="auto"/>
        <w:ind w:left="0" w:firstLine="426"/>
        <w:rPr>
          <w:rFonts w:eastAsiaTheme="minorEastAsia"/>
          <w:b w:val="0"/>
          <w:bCs w:val="0"/>
          <w:noProof/>
          <w:color w:val="auto"/>
        </w:rPr>
      </w:pPr>
      <w:hyperlink w:anchor="_Toc208906231" w:history="1">
        <w:r w:rsidR="00611CBA" w:rsidRPr="00F9522B">
          <w:rPr>
            <w:rStyle w:val="aff2"/>
            <w:rFonts w:eastAsiaTheme="minorEastAsia"/>
            <w:b w:val="0"/>
            <w:noProof/>
            <w:color w:val="auto"/>
            <w:kern w:val="44"/>
          </w:rPr>
          <w:t>2.8</w:t>
        </w:r>
        <w:r w:rsidR="00611CBA" w:rsidRPr="00F9522B">
          <w:rPr>
            <w:rStyle w:val="aff2"/>
            <w:rFonts w:eastAsiaTheme="minorEastAsia"/>
            <w:b w:val="0"/>
            <w:noProof/>
            <w:color w:val="auto"/>
            <w:kern w:val="44"/>
          </w:rPr>
          <w:t>污染控制与环境保护目标</w:t>
        </w:r>
        <w:r w:rsidR="00611CBA" w:rsidRPr="00F9522B">
          <w:rPr>
            <w:rFonts w:eastAsiaTheme="minorEastAsia"/>
            <w:b w:val="0"/>
            <w:noProof/>
            <w:color w:val="auto"/>
          </w:rPr>
          <w:tab/>
        </w:r>
        <w:r w:rsidRPr="00F9522B">
          <w:rPr>
            <w:rFonts w:eastAsiaTheme="minorEastAsia"/>
            <w:b w:val="0"/>
            <w:noProof/>
            <w:color w:val="auto"/>
          </w:rPr>
          <w:fldChar w:fldCharType="begin"/>
        </w:r>
        <w:r w:rsidR="00611CBA" w:rsidRPr="00F9522B">
          <w:rPr>
            <w:rFonts w:eastAsiaTheme="minorEastAsia"/>
            <w:b w:val="0"/>
            <w:noProof/>
            <w:color w:val="auto"/>
          </w:rPr>
          <w:instrText xml:space="preserve"> PAGEREF _Toc208906231 \h </w:instrText>
        </w:r>
        <w:r w:rsidRPr="00F9522B">
          <w:rPr>
            <w:rFonts w:eastAsiaTheme="minorEastAsia"/>
            <w:b w:val="0"/>
            <w:noProof/>
            <w:color w:val="auto"/>
          </w:rPr>
        </w:r>
        <w:r w:rsidRPr="00F9522B">
          <w:rPr>
            <w:rFonts w:eastAsiaTheme="minorEastAsia"/>
            <w:b w:val="0"/>
            <w:noProof/>
            <w:color w:val="auto"/>
          </w:rPr>
          <w:fldChar w:fldCharType="separate"/>
        </w:r>
        <w:r w:rsidR="005B7A33" w:rsidRPr="00F9522B">
          <w:rPr>
            <w:rFonts w:eastAsiaTheme="minorEastAsia"/>
            <w:b w:val="0"/>
            <w:noProof/>
            <w:color w:val="auto"/>
          </w:rPr>
          <w:t>76</w:t>
        </w:r>
        <w:r w:rsidRPr="00F9522B">
          <w:rPr>
            <w:rFonts w:eastAsiaTheme="minorEastAsia"/>
            <w:b w:val="0"/>
            <w:noProof/>
            <w:color w:val="auto"/>
          </w:rPr>
          <w:fldChar w:fldCharType="end"/>
        </w:r>
      </w:hyperlink>
    </w:p>
    <w:p w:rsidR="002A5A5E" w:rsidRPr="00F9522B" w:rsidRDefault="005273A1">
      <w:pPr>
        <w:pStyle w:val="11"/>
        <w:spacing w:line="240" w:lineRule="auto"/>
        <w:rPr>
          <w:b w:val="0"/>
          <w:bCs w:val="0"/>
          <w:iCs w:val="0"/>
          <w:noProof/>
          <w:kern w:val="2"/>
          <w:sz w:val="24"/>
          <w:szCs w:val="24"/>
        </w:rPr>
      </w:pPr>
      <w:hyperlink w:anchor="_Toc208906232" w:history="1">
        <w:r w:rsidR="00611CBA" w:rsidRPr="00F9522B">
          <w:rPr>
            <w:rStyle w:val="aff2"/>
            <w:b w:val="0"/>
            <w:noProof/>
            <w:color w:val="auto"/>
            <w:sz w:val="24"/>
            <w:szCs w:val="24"/>
          </w:rPr>
          <w:t>3</w:t>
        </w:r>
        <w:r w:rsidR="00611CBA" w:rsidRPr="00F9522B">
          <w:rPr>
            <w:rStyle w:val="aff2"/>
            <w:b w:val="0"/>
            <w:noProof/>
            <w:color w:val="auto"/>
            <w:sz w:val="24"/>
            <w:szCs w:val="24"/>
          </w:rPr>
          <w:t>建设项目工程分析</w:t>
        </w:r>
        <w:r w:rsidR="00611CBA" w:rsidRPr="00F9522B">
          <w:rPr>
            <w:b w:val="0"/>
            <w:noProof/>
            <w:sz w:val="24"/>
            <w:szCs w:val="24"/>
          </w:rPr>
          <w:tab/>
        </w:r>
        <w:r w:rsidRPr="00F9522B">
          <w:rPr>
            <w:b w:val="0"/>
            <w:noProof/>
            <w:sz w:val="24"/>
            <w:szCs w:val="24"/>
          </w:rPr>
          <w:fldChar w:fldCharType="begin"/>
        </w:r>
        <w:r w:rsidR="00611CBA" w:rsidRPr="00F9522B">
          <w:rPr>
            <w:b w:val="0"/>
            <w:noProof/>
            <w:sz w:val="24"/>
            <w:szCs w:val="24"/>
          </w:rPr>
          <w:instrText xml:space="preserve"> PAGEREF _Toc208906232 \h </w:instrText>
        </w:r>
        <w:r w:rsidRPr="00F9522B">
          <w:rPr>
            <w:b w:val="0"/>
            <w:noProof/>
            <w:sz w:val="24"/>
            <w:szCs w:val="24"/>
          </w:rPr>
        </w:r>
        <w:r w:rsidRPr="00F9522B">
          <w:rPr>
            <w:b w:val="0"/>
            <w:noProof/>
            <w:sz w:val="24"/>
            <w:szCs w:val="24"/>
          </w:rPr>
          <w:fldChar w:fldCharType="separate"/>
        </w:r>
        <w:r w:rsidR="005B7A33" w:rsidRPr="00F9522B">
          <w:rPr>
            <w:b w:val="0"/>
            <w:noProof/>
            <w:sz w:val="24"/>
            <w:szCs w:val="24"/>
          </w:rPr>
          <w:t>87</w:t>
        </w:r>
        <w:r w:rsidRPr="00F9522B">
          <w:rPr>
            <w:b w:val="0"/>
            <w:noProof/>
            <w:sz w:val="24"/>
            <w:szCs w:val="24"/>
          </w:rPr>
          <w:fldChar w:fldCharType="end"/>
        </w:r>
      </w:hyperlink>
    </w:p>
    <w:p w:rsidR="002A5A5E" w:rsidRPr="00F9522B" w:rsidRDefault="005273A1">
      <w:pPr>
        <w:pStyle w:val="23"/>
        <w:tabs>
          <w:tab w:val="right" w:leader="dot" w:pos="8296"/>
        </w:tabs>
        <w:spacing w:before="0" w:line="240" w:lineRule="auto"/>
        <w:ind w:left="0" w:firstLine="426"/>
        <w:rPr>
          <w:rFonts w:eastAsiaTheme="minorEastAsia"/>
          <w:b w:val="0"/>
          <w:bCs w:val="0"/>
          <w:noProof/>
          <w:color w:val="auto"/>
        </w:rPr>
      </w:pPr>
      <w:hyperlink w:anchor="_Toc208906233" w:history="1">
        <w:r w:rsidR="00611CBA" w:rsidRPr="00F9522B">
          <w:rPr>
            <w:rStyle w:val="aff2"/>
            <w:rFonts w:eastAsiaTheme="minorEastAsia"/>
            <w:b w:val="0"/>
            <w:noProof/>
            <w:color w:val="auto"/>
            <w:kern w:val="44"/>
          </w:rPr>
          <w:t>3.1</w:t>
        </w:r>
        <w:r w:rsidR="00611CBA" w:rsidRPr="00F9522B">
          <w:rPr>
            <w:rStyle w:val="aff2"/>
            <w:rFonts w:eastAsiaTheme="minorEastAsia"/>
            <w:b w:val="0"/>
            <w:noProof/>
            <w:color w:val="auto"/>
            <w:kern w:val="44"/>
          </w:rPr>
          <w:t>原有工程回顾性分析</w:t>
        </w:r>
        <w:r w:rsidR="00611CBA" w:rsidRPr="00F9522B">
          <w:rPr>
            <w:rFonts w:eastAsiaTheme="minorEastAsia"/>
            <w:b w:val="0"/>
            <w:noProof/>
            <w:color w:val="auto"/>
          </w:rPr>
          <w:tab/>
        </w:r>
        <w:r w:rsidRPr="00F9522B">
          <w:rPr>
            <w:rFonts w:eastAsiaTheme="minorEastAsia"/>
            <w:b w:val="0"/>
            <w:noProof/>
            <w:color w:val="auto"/>
          </w:rPr>
          <w:fldChar w:fldCharType="begin"/>
        </w:r>
        <w:r w:rsidR="00611CBA" w:rsidRPr="00F9522B">
          <w:rPr>
            <w:rFonts w:eastAsiaTheme="minorEastAsia"/>
            <w:b w:val="0"/>
            <w:noProof/>
            <w:color w:val="auto"/>
          </w:rPr>
          <w:instrText xml:space="preserve"> PAGEREF _Toc208906233 \h </w:instrText>
        </w:r>
        <w:r w:rsidRPr="00F9522B">
          <w:rPr>
            <w:rFonts w:eastAsiaTheme="minorEastAsia"/>
            <w:b w:val="0"/>
            <w:noProof/>
            <w:color w:val="auto"/>
          </w:rPr>
        </w:r>
        <w:r w:rsidRPr="00F9522B">
          <w:rPr>
            <w:rFonts w:eastAsiaTheme="minorEastAsia"/>
            <w:b w:val="0"/>
            <w:noProof/>
            <w:color w:val="auto"/>
          </w:rPr>
          <w:fldChar w:fldCharType="separate"/>
        </w:r>
        <w:r w:rsidR="005B7A33" w:rsidRPr="00F9522B">
          <w:rPr>
            <w:rFonts w:eastAsiaTheme="minorEastAsia"/>
            <w:b w:val="0"/>
            <w:noProof/>
            <w:color w:val="auto"/>
          </w:rPr>
          <w:t>87</w:t>
        </w:r>
        <w:r w:rsidRPr="00F9522B">
          <w:rPr>
            <w:rFonts w:eastAsiaTheme="minorEastAsia"/>
            <w:b w:val="0"/>
            <w:noProof/>
            <w:color w:val="auto"/>
          </w:rPr>
          <w:fldChar w:fldCharType="end"/>
        </w:r>
      </w:hyperlink>
    </w:p>
    <w:p w:rsidR="002A5A5E" w:rsidRPr="00F9522B" w:rsidRDefault="005273A1">
      <w:pPr>
        <w:pStyle w:val="23"/>
        <w:tabs>
          <w:tab w:val="right" w:leader="dot" w:pos="8296"/>
        </w:tabs>
        <w:spacing w:before="0" w:line="240" w:lineRule="auto"/>
        <w:ind w:left="0" w:firstLine="426"/>
        <w:rPr>
          <w:rFonts w:eastAsiaTheme="minorEastAsia"/>
          <w:b w:val="0"/>
          <w:bCs w:val="0"/>
          <w:noProof/>
          <w:color w:val="auto"/>
        </w:rPr>
      </w:pPr>
      <w:hyperlink w:anchor="_Toc208906234" w:history="1">
        <w:r w:rsidR="00611CBA" w:rsidRPr="00F9522B">
          <w:rPr>
            <w:rStyle w:val="aff2"/>
            <w:rFonts w:eastAsiaTheme="minorEastAsia"/>
            <w:b w:val="0"/>
            <w:noProof/>
            <w:color w:val="auto"/>
            <w:kern w:val="44"/>
          </w:rPr>
          <w:t>3.2</w:t>
        </w:r>
        <w:r w:rsidR="00611CBA" w:rsidRPr="00F9522B">
          <w:rPr>
            <w:rStyle w:val="aff2"/>
            <w:rFonts w:eastAsiaTheme="minorEastAsia"/>
            <w:b w:val="0"/>
            <w:noProof/>
            <w:color w:val="auto"/>
            <w:kern w:val="44"/>
          </w:rPr>
          <w:t>影响因素分析</w:t>
        </w:r>
        <w:r w:rsidR="00611CBA" w:rsidRPr="00F9522B">
          <w:rPr>
            <w:rFonts w:eastAsiaTheme="minorEastAsia"/>
            <w:b w:val="0"/>
            <w:noProof/>
            <w:color w:val="auto"/>
          </w:rPr>
          <w:tab/>
        </w:r>
        <w:r w:rsidRPr="00F9522B">
          <w:rPr>
            <w:rFonts w:eastAsiaTheme="minorEastAsia"/>
            <w:b w:val="0"/>
            <w:noProof/>
            <w:color w:val="auto"/>
          </w:rPr>
          <w:fldChar w:fldCharType="begin"/>
        </w:r>
        <w:r w:rsidR="00611CBA" w:rsidRPr="00F9522B">
          <w:rPr>
            <w:rFonts w:eastAsiaTheme="minorEastAsia"/>
            <w:b w:val="0"/>
            <w:noProof/>
            <w:color w:val="auto"/>
          </w:rPr>
          <w:instrText xml:space="preserve"> PAGEREF _Toc208906234 \h </w:instrText>
        </w:r>
        <w:r w:rsidRPr="00F9522B">
          <w:rPr>
            <w:rFonts w:eastAsiaTheme="minorEastAsia"/>
            <w:b w:val="0"/>
            <w:noProof/>
            <w:color w:val="auto"/>
          </w:rPr>
        </w:r>
        <w:r w:rsidRPr="00F9522B">
          <w:rPr>
            <w:rFonts w:eastAsiaTheme="minorEastAsia"/>
            <w:b w:val="0"/>
            <w:noProof/>
            <w:color w:val="auto"/>
          </w:rPr>
          <w:fldChar w:fldCharType="separate"/>
        </w:r>
        <w:r w:rsidR="005B7A33" w:rsidRPr="00F9522B">
          <w:rPr>
            <w:rFonts w:eastAsiaTheme="minorEastAsia"/>
            <w:b w:val="0"/>
            <w:noProof/>
            <w:color w:val="auto"/>
          </w:rPr>
          <w:t>130</w:t>
        </w:r>
        <w:r w:rsidRPr="00F9522B">
          <w:rPr>
            <w:rFonts w:eastAsiaTheme="minorEastAsia"/>
            <w:b w:val="0"/>
            <w:noProof/>
            <w:color w:val="auto"/>
          </w:rPr>
          <w:fldChar w:fldCharType="end"/>
        </w:r>
      </w:hyperlink>
    </w:p>
    <w:p w:rsidR="002A5A5E" w:rsidRPr="00F9522B" w:rsidRDefault="005273A1">
      <w:pPr>
        <w:pStyle w:val="23"/>
        <w:tabs>
          <w:tab w:val="right" w:leader="dot" w:pos="8296"/>
        </w:tabs>
        <w:spacing w:before="0" w:line="240" w:lineRule="auto"/>
        <w:ind w:left="0" w:firstLine="426"/>
        <w:rPr>
          <w:rFonts w:eastAsiaTheme="minorEastAsia"/>
          <w:b w:val="0"/>
          <w:bCs w:val="0"/>
          <w:noProof/>
          <w:color w:val="auto"/>
        </w:rPr>
      </w:pPr>
      <w:hyperlink w:anchor="_Toc208906235" w:history="1">
        <w:r w:rsidR="00611CBA" w:rsidRPr="00F9522B">
          <w:rPr>
            <w:rStyle w:val="aff2"/>
            <w:rFonts w:eastAsiaTheme="minorEastAsia"/>
            <w:b w:val="0"/>
            <w:noProof/>
            <w:color w:val="auto"/>
            <w:kern w:val="44"/>
          </w:rPr>
          <w:t>3.3</w:t>
        </w:r>
        <w:r w:rsidR="00611CBA" w:rsidRPr="00F9522B">
          <w:rPr>
            <w:rStyle w:val="aff2"/>
            <w:rFonts w:eastAsiaTheme="minorEastAsia"/>
            <w:b w:val="0"/>
            <w:noProof/>
            <w:color w:val="auto"/>
            <w:kern w:val="44"/>
          </w:rPr>
          <w:t>污染源源强核算</w:t>
        </w:r>
        <w:r w:rsidR="00611CBA" w:rsidRPr="00F9522B">
          <w:rPr>
            <w:rFonts w:eastAsiaTheme="minorEastAsia"/>
            <w:b w:val="0"/>
            <w:noProof/>
            <w:color w:val="auto"/>
          </w:rPr>
          <w:tab/>
        </w:r>
        <w:r w:rsidRPr="00F9522B">
          <w:rPr>
            <w:rFonts w:eastAsiaTheme="minorEastAsia"/>
            <w:b w:val="0"/>
            <w:noProof/>
            <w:color w:val="auto"/>
          </w:rPr>
          <w:fldChar w:fldCharType="begin"/>
        </w:r>
        <w:r w:rsidR="00611CBA" w:rsidRPr="00F9522B">
          <w:rPr>
            <w:rFonts w:eastAsiaTheme="minorEastAsia"/>
            <w:b w:val="0"/>
            <w:noProof/>
            <w:color w:val="auto"/>
          </w:rPr>
          <w:instrText xml:space="preserve"> PAGEREF _Toc208906235 \h </w:instrText>
        </w:r>
        <w:r w:rsidRPr="00F9522B">
          <w:rPr>
            <w:rFonts w:eastAsiaTheme="minorEastAsia"/>
            <w:b w:val="0"/>
            <w:noProof/>
            <w:color w:val="auto"/>
          </w:rPr>
        </w:r>
        <w:r w:rsidRPr="00F9522B">
          <w:rPr>
            <w:rFonts w:eastAsiaTheme="minorEastAsia"/>
            <w:b w:val="0"/>
            <w:noProof/>
            <w:color w:val="auto"/>
          </w:rPr>
          <w:fldChar w:fldCharType="separate"/>
        </w:r>
        <w:r w:rsidR="005B7A33" w:rsidRPr="00F9522B">
          <w:rPr>
            <w:rFonts w:eastAsiaTheme="minorEastAsia"/>
            <w:b w:val="0"/>
            <w:noProof/>
            <w:color w:val="auto"/>
          </w:rPr>
          <w:t>140</w:t>
        </w:r>
        <w:r w:rsidRPr="00F9522B">
          <w:rPr>
            <w:rFonts w:eastAsiaTheme="minorEastAsia"/>
            <w:b w:val="0"/>
            <w:noProof/>
            <w:color w:val="auto"/>
          </w:rPr>
          <w:fldChar w:fldCharType="end"/>
        </w:r>
      </w:hyperlink>
    </w:p>
    <w:p w:rsidR="002A5A5E" w:rsidRPr="00F9522B" w:rsidRDefault="005273A1">
      <w:pPr>
        <w:pStyle w:val="11"/>
        <w:spacing w:line="240" w:lineRule="auto"/>
        <w:rPr>
          <w:b w:val="0"/>
          <w:bCs w:val="0"/>
          <w:iCs w:val="0"/>
          <w:noProof/>
          <w:kern w:val="2"/>
          <w:sz w:val="24"/>
          <w:szCs w:val="24"/>
        </w:rPr>
      </w:pPr>
      <w:hyperlink w:anchor="_Toc208906236" w:history="1">
        <w:r w:rsidR="00611CBA" w:rsidRPr="00F9522B">
          <w:rPr>
            <w:rStyle w:val="aff2"/>
            <w:b w:val="0"/>
            <w:noProof/>
            <w:color w:val="auto"/>
            <w:sz w:val="24"/>
            <w:szCs w:val="24"/>
          </w:rPr>
          <w:t>4</w:t>
        </w:r>
        <w:r w:rsidR="00611CBA" w:rsidRPr="00F9522B">
          <w:rPr>
            <w:rStyle w:val="aff2"/>
            <w:b w:val="0"/>
            <w:noProof/>
            <w:color w:val="auto"/>
            <w:sz w:val="24"/>
            <w:szCs w:val="24"/>
          </w:rPr>
          <w:t>环境现状调查与评价</w:t>
        </w:r>
        <w:r w:rsidR="00611CBA" w:rsidRPr="00F9522B">
          <w:rPr>
            <w:b w:val="0"/>
            <w:noProof/>
            <w:sz w:val="24"/>
            <w:szCs w:val="24"/>
          </w:rPr>
          <w:tab/>
        </w:r>
        <w:r w:rsidRPr="00F9522B">
          <w:rPr>
            <w:b w:val="0"/>
            <w:noProof/>
            <w:sz w:val="24"/>
            <w:szCs w:val="24"/>
          </w:rPr>
          <w:fldChar w:fldCharType="begin"/>
        </w:r>
        <w:r w:rsidR="00611CBA" w:rsidRPr="00F9522B">
          <w:rPr>
            <w:b w:val="0"/>
            <w:noProof/>
            <w:sz w:val="24"/>
            <w:szCs w:val="24"/>
          </w:rPr>
          <w:instrText xml:space="preserve"> PAGEREF _Toc208906236 \h </w:instrText>
        </w:r>
        <w:r w:rsidRPr="00F9522B">
          <w:rPr>
            <w:b w:val="0"/>
            <w:noProof/>
            <w:sz w:val="24"/>
            <w:szCs w:val="24"/>
          </w:rPr>
        </w:r>
        <w:r w:rsidRPr="00F9522B">
          <w:rPr>
            <w:b w:val="0"/>
            <w:noProof/>
            <w:sz w:val="24"/>
            <w:szCs w:val="24"/>
          </w:rPr>
          <w:fldChar w:fldCharType="separate"/>
        </w:r>
        <w:r w:rsidR="005B7A33" w:rsidRPr="00F9522B">
          <w:rPr>
            <w:b w:val="0"/>
            <w:noProof/>
            <w:sz w:val="24"/>
            <w:szCs w:val="24"/>
          </w:rPr>
          <w:t>153</w:t>
        </w:r>
        <w:r w:rsidRPr="00F9522B">
          <w:rPr>
            <w:b w:val="0"/>
            <w:noProof/>
            <w:sz w:val="24"/>
            <w:szCs w:val="24"/>
          </w:rPr>
          <w:fldChar w:fldCharType="end"/>
        </w:r>
      </w:hyperlink>
    </w:p>
    <w:p w:rsidR="002A5A5E" w:rsidRPr="00F9522B" w:rsidRDefault="005273A1">
      <w:pPr>
        <w:pStyle w:val="23"/>
        <w:tabs>
          <w:tab w:val="right" w:leader="dot" w:pos="8296"/>
        </w:tabs>
        <w:spacing w:before="0" w:line="240" w:lineRule="auto"/>
        <w:ind w:left="0" w:firstLine="426"/>
        <w:rPr>
          <w:rFonts w:eastAsiaTheme="minorEastAsia"/>
          <w:b w:val="0"/>
          <w:bCs w:val="0"/>
          <w:noProof/>
          <w:color w:val="auto"/>
        </w:rPr>
      </w:pPr>
      <w:hyperlink w:anchor="_Toc208906237" w:history="1">
        <w:r w:rsidR="00611CBA" w:rsidRPr="00F9522B">
          <w:rPr>
            <w:rStyle w:val="aff2"/>
            <w:rFonts w:eastAsiaTheme="minorEastAsia"/>
            <w:b w:val="0"/>
            <w:noProof/>
            <w:color w:val="auto"/>
            <w:kern w:val="44"/>
          </w:rPr>
          <w:t>4.1</w:t>
        </w:r>
        <w:r w:rsidR="00611CBA" w:rsidRPr="00F9522B">
          <w:rPr>
            <w:rStyle w:val="aff2"/>
            <w:rFonts w:eastAsiaTheme="minorEastAsia"/>
            <w:b w:val="0"/>
            <w:noProof/>
            <w:color w:val="auto"/>
            <w:kern w:val="44"/>
          </w:rPr>
          <w:t>自然环境概况</w:t>
        </w:r>
        <w:r w:rsidR="00611CBA" w:rsidRPr="00F9522B">
          <w:rPr>
            <w:rFonts w:eastAsiaTheme="minorEastAsia"/>
            <w:b w:val="0"/>
            <w:noProof/>
            <w:color w:val="auto"/>
          </w:rPr>
          <w:tab/>
        </w:r>
        <w:r w:rsidRPr="00F9522B">
          <w:rPr>
            <w:rFonts w:eastAsiaTheme="minorEastAsia"/>
            <w:b w:val="0"/>
            <w:noProof/>
            <w:color w:val="auto"/>
          </w:rPr>
          <w:fldChar w:fldCharType="begin"/>
        </w:r>
        <w:r w:rsidR="00611CBA" w:rsidRPr="00F9522B">
          <w:rPr>
            <w:rFonts w:eastAsiaTheme="minorEastAsia"/>
            <w:b w:val="0"/>
            <w:noProof/>
            <w:color w:val="auto"/>
          </w:rPr>
          <w:instrText xml:space="preserve"> PAGEREF _Toc208906237 \h </w:instrText>
        </w:r>
        <w:r w:rsidRPr="00F9522B">
          <w:rPr>
            <w:rFonts w:eastAsiaTheme="minorEastAsia"/>
            <w:b w:val="0"/>
            <w:noProof/>
            <w:color w:val="auto"/>
          </w:rPr>
        </w:r>
        <w:r w:rsidRPr="00F9522B">
          <w:rPr>
            <w:rFonts w:eastAsiaTheme="minorEastAsia"/>
            <w:b w:val="0"/>
            <w:noProof/>
            <w:color w:val="auto"/>
          </w:rPr>
          <w:fldChar w:fldCharType="separate"/>
        </w:r>
        <w:r w:rsidR="005B7A33" w:rsidRPr="00F9522B">
          <w:rPr>
            <w:rFonts w:eastAsiaTheme="minorEastAsia"/>
            <w:b w:val="0"/>
            <w:noProof/>
            <w:color w:val="auto"/>
          </w:rPr>
          <w:t>153</w:t>
        </w:r>
        <w:r w:rsidRPr="00F9522B">
          <w:rPr>
            <w:rFonts w:eastAsiaTheme="minorEastAsia"/>
            <w:b w:val="0"/>
            <w:noProof/>
            <w:color w:val="auto"/>
          </w:rPr>
          <w:fldChar w:fldCharType="end"/>
        </w:r>
      </w:hyperlink>
    </w:p>
    <w:p w:rsidR="002A5A5E" w:rsidRPr="00F9522B" w:rsidRDefault="005273A1">
      <w:pPr>
        <w:pStyle w:val="23"/>
        <w:tabs>
          <w:tab w:val="right" w:leader="dot" w:pos="8296"/>
        </w:tabs>
        <w:spacing w:before="0" w:line="240" w:lineRule="auto"/>
        <w:ind w:left="0" w:firstLine="426"/>
        <w:rPr>
          <w:rFonts w:eastAsiaTheme="minorEastAsia"/>
          <w:b w:val="0"/>
          <w:bCs w:val="0"/>
          <w:noProof/>
          <w:color w:val="auto"/>
        </w:rPr>
      </w:pPr>
      <w:hyperlink w:anchor="_Toc208906238" w:history="1">
        <w:r w:rsidR="00611CBA" w:rsidRPr="00F9522B">
          <w:rPr>
            <w:rStyle w:val="aff2"/>
            <w:rFonts w:eastAsiaTheme="minorEastAsia"/>
            <w:b w:val="0"/>
            <w:noProof/>
            <w:color w:val="auto"/>
            <w:kern w:val="44"/>
          </w:rPr>
          <w:t>4.2</w:t>
        </w:r>
        <w:r w:rsidR="00611CBA" w:rsidRPr="00F9522B">
          <w:rPr>
            <w:rStyle w:val="aff2"/>
            <w:rFonts w:eastAsiaTheme="minorEastAsia"/>
            <w:b w:val="0"/>
            <w:noProof/>
            <w:color w:val="auto"/>
            <w:kern w:val="44"/>
          </w:rPr>
          <w:t>环境质量现状调查</w:t>
        </w:r>
        <w:r w:rsidR="00611CBA" w:rsidRPr="00F9522B">
          <w:rPr>
            <w:rFonts w:eastAsiaTheme="minorEastAsia"/>
            <w:b w:val="0"/>
            <w:noProof/>
            <w:color w:val="auto"/>
          </w:rPr>
          <w:tab/>
        </w:r>
        <w:r w:rsidRPr="00F9522B">
          <w:rPr>
            <w:rFonts w:eastAsiaTheme="minorEastAsia"/>
            <w:b w:val="0"/>
            <w:noProof/>
            <w:color w:val="auto"/>
          </w:rPr>
          <w:fldChar w:fldCharType="begin"/>
        </w:r>
        <w:r w:rsidR="00611CBA" w:rsidRPr="00F9522B">
          <w:rPr>
            <w:rFonts w:eastAsiaTheme="minorEastAsia"/>
            <w:b w:val="0"/>
            <w:noProof/>
            <w:color w:val="auto"/>
          </w:rPr>
          <w:instrText xml:space="preserve"> PAGEREF _Toc208906238 \h </w:instrText>
        </w:r>
        <w:r w:rsidRPr="00F9522B">
          <w:rPr>
            <w:rFonts w:eastAsiaTheme="minorEastAsia"/>
            <w:b w:val="0"/>
            <w:noProof/>
            <w:color w:val="auto"/>
          </w:rPr>
        </w:r>
        <w:r w:rsidRPr="00F9522B">
          <w:rPr>
            <w:rFonts w:eastAsiaTheme="minorEastAsia"/>
            <w:b w:val="0"/>
            <w:noProof/>
            <w:color w:val="auto"/>
          </w:rPr>
          <w:fldChar w:fldCharType="separate"/>
        </w:r>
        <w:r w:rsidR="005B7A33" w:rsidRPr="00F9522B">
          <w:rPr>
            <w:rFonts w:eastAsiaTheme="minorEastAsia"/>
            <w:b w:val="0"/>
            <w:noProof/>
            <w:color w:val="auto"/>
          </w:rPr>
          <w:t>159</w:t>
        </w:r>
        <w:r w:rsidRPr="00F9522B">
          <w:rPr>
            <w:rFonts w:eastAsiaTheme="minorEastAsia"/>
            <w:b w:val="0"/>
            <w:noProof/>
            <w:color w:val="auto"/>
          </w:rPr>
          <w:fldChar w:fldCharType="end"/>
        </w:r>
      </w:hyperlink>
    </w:p>
    <w:p w:rsidR="002A5A5E" w:rsidRPr="00F9522B" w:rsidRDefault="005273A1">
      <w:pPr>
        <w:pStyle w:val="23"/>
        <w:tabs>
          <w:tab w:val="right" w:leader="dot" w:pos="8296"/>
        </w:tabs>
        <w:spacing w:before="0" w:line="240" w:lineRule="auto"/>
        <w:ind w:left="0" w:firstLine="426"/>
        <w:rPr>
          <w:rFonts w:eastAsiaTheme="minorEastAsia"/>
          <w:b w:val="0"/>
          <w:bCs w:val="0"/>
          <w:noProof/>
          <w:color w:val="auto"/>
        </w:rPr>
      </w:pPr>
      <w:hyperlink w:anchor="_Toc208906239" w:history="1">
        <w:r w:rsidR="00611CBA" w:rsidRPr="00F9522B">
          <w:rPr>
            <w:rStyle w:val="aff2"/>
            <w:rFonts w:eastAsiaTheme="minorEastAsia"/>
            <w:b w:val="0"/>
            <w:noProof/>
            <w:color w:val="auto"/>
            <w:kern w:val="44"/>
          </w:rPr>
          <w:t>4.3</w:t>
        </w:r>
        <w:r w:rsidR="00611CBA" w:rsidRPr="00F9522B">
          <w:rPr>
            <w:rStyle w:val="aff2"/>
            <w:rFonts w:eastAsiaTheme="minorEastAsia"/>
            <w:b w:val="0"/>
            <w:noProof/>
            <w:color w:val="auto"/>
            <w:kern w:val="44"/>
          </w:rPr>
          <w:t>区域污染源调查</w:t>
        </w:r>
        <w:r w:rsidR="00611CBA" w:rsidRPr="00F9522B">
          <w:rPr>
            <w:rFonts w:eastAsiaTheme="minorEastAsia"/>
            <w:b w:val="0"/>
            <w:noProof/>
            <w:color w:val="auto"/>
          </w:rPr>
          <w:tab/>
        </w:r>
        <w:r w:rsidRPr="00F9522B">
          <w:rPr>
            <w:rFonts w:eastAsiaTheme="minorEastAsia"/>
            <w:b w:val="0"/>
            <w:noProof/>
            <w:color w:val="auto"/>
          </w:rPr>
          <w:fldChar w:fldCharType="begin"/>
        </w:r>
        <w:r w:rsidR="00611CBA" w:rsidRPr="00F9522B">
          <w:rPr>
            <w:rFonts w:eastAsiaTheme="minorEastAsia"/>
            <w:b w:val="0"/>
            <w:noProof/>
            <w:color w:val="auto"/>
          </w:rPr>
          <w:instrText xml:space="preserve"> PAGEREF _Toc208906239 \h </w:instrText>
        </w:r>
        <w:r w:rsidRPr="00F9522B">
          <w:rPr>
            <w:rFonts w:eastAsiaTheme="minorEastAsia"/>
            <w:b w:val="0"/>
            <w:noProof/>
            <w:color w:val="auto"/>
          </w:rPr>
        </w:r>
        <w:r w:rsidRPr="00F9522B">
          <w:rPr>
            <w:rFonts w:eastAsiaTheme="minorEastAsia"/>
            <w:b w:val="0"/>
            <w:noProof/>
            <w:color w:val="auto"/>
          </w:rPr>
          <w:fldChar w:fldCharType="separate"/>
        </w:r>
        <w:r w:rsidR="005B7A33" w:rsidRPr="00F9522B">
          <w:rPr>
            <w:rFonts w:eastAsiaTheme="minorEastAsia"/>
            <w:b w:val="0"/>
            <w:noProof/>
            <w:color w:val="auto"/>
          </w:rPr>
          <w:t>210</w:t>
        </w:r>
        <w:r w:rsidRPr="00F9522B">
          <w:rPr>
            <w:rFonts w:eastAsiaTheme="minorEastAsia"/>
            <w:b w:val="0"/>
            <w:noProof/>
            <w:color w:val="auto"/>
          </w:rPr>
          <w:fldChar w:fldCharType="end"/>
        </w:r>
      </w:hyperlink>
    </w:p>
    <w:p w:rsidR="002A5A5E" w:rsidRPr="00F9522B" w:rsidRDefault="005273A1">
      <w:pPr>
        <w:pStyle w:val="23"/>
        <w:tabs>
          <w:tab w:val="right" w:leader="dot" w:pos="8296"/>
        </w:tabs>
        <w:spacing w:before="0" w:line="240" w:lineRule="auto"/>
        <w:ind w:left="0" w:firstLine="426"/>
        <w:rPr>
          <w:rFonts w:eastAsiaTheme="minorEastAsia"/>
          <w:b w:val="0"/>
          <w:bCs w:val="0"/>
          <w:noProof/>
          <w:color w:val="auto"/>
        </w:rPr>
      </w:pPr>
      <w:hyperlink w:anchor="_Toc208906240" w:history="1">
        <w:r w:rsidR="00611CBA" w:rsidRPr="00F9522B">
          <w:rPr>
            <w:rStyle w:val="aff2"/>
            <w:rFonts w:eastAsiaTheme="minorEastAsia"/>
            <w:b w:val="0"/>
            <w:noProof/>
            <w:color w:val="auto"/>
            <w:kern w:val="44"/>
          </w:rPr>
          <w:t>4.4</w:t>
        </w:r>
        <w:r w:rsidR="00611CBA" w:rsidRPr="00F9522B">
          <w:rPr>
            <w:rStyle w:val="aff2"/>
            <w:rFonts w:eastAsiaTheme="minorEastAsia"/>
            <w:b w:val="0"/>
            <w:noProof/>
            <w:color w:val="auto"/>
            <w:kern w:val="44"/>
          </w:rPr>
          <w:t>环境保护目标调查</w:t>
        </w:r>
        <w:r w:rsidR="00611CBA" w:rsidRPr="00F9522B">
          <w:rPr>
            <w:rFonts w:eastAsiaTheme="minorEastAsia"/>
            <w:b w:val="0"/>
            <w:noProof/>
            <w:color w:val="auto"/>
          </w:rPr>
          <w:tab/>
        </w:r>
        <w:r w:rsidRPr="00F9522B">
          <w:rPr>
            <w:rFonts w:eastAsiaTheme="minorEastAsia"/>
            <w:b w:val="0"/>
            <w:noProof/>
            <w:color w:val="auto"/>
          </w:rPr>
          <w:fldChar w:fldCharType="begin"/>
        </w:r>
        <w:r w:rsidR="00611CBA" w:rsidRPr="00F9522B">
          <w:rPr>
            <w:rFonts w:eastAsiaTheme="minorEastAsia"/>
            <w:b w:val="0"/>
            <w:noProof/>
            <w:color w:val="auto"/>
          </w:rPr>
          <w:instrText xml:space="preserve"> PAGEREF _Toc208906240 \h </w:instrText>
        </w:r>
        <w:r w:rsidRPr="00F9522B">
          <w:rPr>
            <w:rFonts w:eastAsiaTheme="minorEastAsia"/>
            <w:b w:val="0"/>
            <w:noProof/>
            <w:color w:val="auto"/>
          </w:rPr>
        </w:r>
        <w:r w:rsidRPr="00F9522B">
          <w:rPr>
            <w:rFonts w:eastAsiaTheme="minorEastAsia"/>
            <w:b w:val="0"/>
            <w:noProof/>
            <w:color w:val="auto"/>
          </w:rPr>
          <w:fldChar w:fldCharType="separate"/>
        </w:r>
        <w:r w:rsidR="005B7A33" w:rsidRPr="00F9522B">
          <w:rPr>
            <w:rFonts w:eastAsiaTheme="minorEastAsia"/>
            <w:b w:val="0"/>
            <w:noProof/>
            <w:color w:val="auto"/>
          </w:rPr>
          <w:t>213</w:t>
        </w:r>
        <w:r w:rsidRPr="00F9522B">
          <w:rPr>
            <w:rFonts w:eastAsiaTheme="minorEastAsia"/>
            <w:b w:val="0"/>
            <w:noProof/>
            <w:color w:val="auto"/>
          </w:rPr>
          <w:fldChar w:fldCharType="end"/>
        </w:r>
      </w:hyperlink>
    </w:p>
    <w:p w:rsidR="002A5A5E" w:rsidRPr="00F9522B" w:rsidRDefault="005273A1">
      <w:pPr>
        <w:pStyle w:val="11"/>
        <w:spacing w:line="240" w:lineRule="auto"/>
        <w:rPr>
          <w:b w:val="0"/>
          <w:bCs w:val="0"/>
          <w:iCs w:val="0"/>
          <w:noProof/>
          <w:kern w:val="2"/>
          <w:sz w:val="24"/>
          <w:szCs w:val="24"/>
        </w:rPr>
      </w:pPr>
      <w:hyperlink w:anchor="_Toc208906241" w:history="1">
        <w:r w:rsidR="00611CBA" w:rsidRPr="00F9522B">
          <w:rPr>
            <w:rStyle w:val="aff2"/>
            <w:b w:val="0"/>
            <w:noProof/>
            <w:color w:val="auto"/>
            <w:sz w:val="24"/>
            <w:szCs w:val="24"/>
          </w:rPr>
          <w:t>5</w:t>
        </w:r>
        <w:r w:rsidR="00611CBA" w:rsidRPr="00F9522B">
          <w:rPr>
            <w:rStyle w:val="aff2"/>
            <w:b w:val="0"/>
            <w:noProof/>
            <w:color w:val="auto"/>
            <w:sz w:val="24"/>
            <w:szCs w:val="24"/>
          </w:rPr>
          <w:t>环境影响预测与评价</w:t>
        </w:r>
        <w:r w:rsidR="00611CBA" w:rsidRPr="00F9522B">
          <w:rPr>
            <w:b w:val="0"/>
            <w:noProof/>
            <w:sz w:val="24"/>
            <w:szCs w:val="24"/>
          </w:rPr>
          <w:tab/>
        </w:r>
        <w:r w:rsidRPr="00F9522B">
          <w:rPr>
            <w:b w:val="0"/>
            <w:noProof/>
            <w:sz w:val="24"/>
            <w:szCs w:val="24"/>
          </w:rPr>
          <w:fldChar w:fldCharType="begin"/>
        </w:r>
        <w:r w:rsidR="00611CBA" w:rsidRPr="00F9522B">
          <w:rPr>
            <w:b w:val="0"/>
            <w:noProof/>
            <w:sz w:val="24"/>
            <w:szCs w:val="24"/>
          </w:rPr>
          <w:instrText xml:space="preserve"> PAGEREF _Toc208906241 \h </w:instrText>
        </w:r>
        <w:r w:rsidRPr="00F9522B">
          <w:rPr>
            <w:b w:val="0"/>
            <w:noProof/>
            <w:sz w:val="24"/>
            <w:szCs w:val="24"/>
          </w:rPr>
        </w:r>
        <w:r w:rsidRPr="00F9522B">
          <w:rPr>
            <w:b w:val="0"/>
            <w:noProof/>
            <w:sz w:val="24"/>
            <w:szCs w:val="24"/>
          </w:rPr>
          <w:fldChar w:fldCharType="separate"/>
        </w:r>
        <w:r w:rsidR="005B7A33" w:rsidRPr="00F9522B">
          <w:rPr>
            <w:b w:val="0"/>
            <w:noProof/>
            <w:sz w:val="24"/>
            <w:szCs w:val="24"/>
          </w:rPr>
          <w:t>220</w:t>
        </w:r>
        <w:r w:rsidRPr="00F9522B">
          <w:rPr>
            <w:b w:val="0"/>
            <w:noProof/>
            <w:sz w:val="24"/>
            <w:szCs w:val="24"/>
          </w:rPr>
          <w:fldChar w:fldCharType="end"/>
        </w:r>
      </w:hyperlink>
    </w:p>
    <w:p w:rsidR="002A5A5E" w:rsidRPr="00F9522B" w:rsidRDefault="005273A1">
      <w:pPr>
        <w:pStyle w:val="23"/>
        <w:tabs>
          <w:tab w:val="right" w:leader="dot" w:pos="8296"/>
        </w:tabs>
        <w:spacing w:before="0" w:line="240" w:lineRule="auto"/>
        <w:ind w:left="0" w:firstLine="426"/>
        <w:rPr>
          <w:rFonts w:eastAsiaTheme="minorEastAsia"/>
          <w:b w:val="0"/>
          <w:bCs w:val="0"/>
          <w:noProof/>
          <w:color w:val="auto"/>
        </w:rPr>
      </w:pPr>
      <w:hyperlink w:anchor="_Toc208906242" w:history="1">
        <w:r w:rsidR="00611CBA" w:rsidRPr="00F9522B">
          <w:rPr>
            <w:rStyle w:val="aff2"/>
            <w:rFonts w:eastAsiaTheme="minorEastAsia"/>
            <w:b w:val="0"/>
            <w:noProof/>
            <w:color w:val="auto"/>
            <w:kern w:val="44"/>
          </w:rPr>
          <w:t>5.1</w:t>
        </w:r>
        <w:r w:rsidR="00611CBA" w:rsidRPr="00F9522B">
          <w:rPr>
            <w:rStyle w:val="aff2"/>
            <w:rFonts w:eastAsiaTheme="minorEastAsia"/>
            <w:b w:val="0"/>
            <w:noProof/>
            <w:color w:val="auto"/>
            <w:kern w:val="44"/>
          </w:rPr>
          <w:t>施工期环境影响分析</w:t>
        </w:r>
        <w:r w:rsidR="00611CBA" w:rsidRPr="00F9522B">
          <w:rPr>
            <w:rFonts w:eastAsiaTheme="minorEastAsia"/>
            <w:b w:val="0"/>
            <w:noProof/>
            <w:color w:val="auto"/>
          </w:rPr>
          <w:tab/>
        </w:r>
        <w:r w:rsidRPr="00F9522B">
          <w:rPr>
            <w:rFonts w:eastAsiaTheme="minorEastAsia"/>
            <w:b w:val="0"/>
            <w:noProof/>
            <w:color w:val="auto"/>
          </w:rPr>
          <w:fldChar w:fldCharType="begin"/>
        </w:r>
        <w:r w:rsidR="00611CBA" w:rsidRPr="00F9522B">
          <w:rPr>
            <w:rFonts w:eastAsiaTheme="minorEastAsia"/>
            <w:b w:val="0"/>
            <w:noProof/>
            <w:color w:val="auto"/>
          </w:rPr>
          <w:instrText xml:space="preserve"> PAGEREF _Toc208906242 \h </w:instrText>
        </w:r>
        <w:r w:rsidRPr="00F9522B">
          <w:rPr>
            <w:rFonts w:eastAsiaTheme="minorEastAsia"/>
            <w:b w:val="0"/>
            <w:noProof/>
            <w:color w:val="auto"/>
          </w:rPr>
        </w:r>
        <w:r w:rsidRPr="00F9522B">
          <w:rPr>
            <w:rFonts w:eastAsiaTheme="minorEastAsia"/>
            <w:b w:val="0"/>
            <w:noProof/>
            <w:color w:val="auto"/>
          </w:rPr>
          <w:fldChar w:fldCharType="separate"/>
        </w:r>
        <w:r w:rsidR="005B7A33" w:rsidRPr="00F9522B">
          <w:rPr>
            <w:rFonts w:eastAsiaTheme="minorEastAsia"/>
            <w:b w:val="0"/>
            <w:noProof/>
            <w:color w:val="auto"/>
          </w:rPr>
          <w:t>220</w:t>
        </w:r>
        <w:r w:rsidRPr="00F9522B">
          <w:rPr>
            <w:rFonts w:eastAsiaTheme="minorEastAsia"/>
            <w:b w:val="0"/>
            <w:noProof/>
            <w:color w:val="auto"/>
          </w:rPr>
          <w:fldChar w:fldCharType="end"/>
        </w:r>
      </w:hyperlink>
    </w:p>
    <w:p w:rsidR="002A5A5E" w:rsidRPr="00F9522B" w:rsidRDefault="005273A1">
      <w:pPr>
        <w:pStyle w:val="23"/>
        <w:tabs>
          <w:tab w:val="right" w:leader="dot" w:pos="8296"/>
        </w:tabs>
        <w:spacing w:before="0" w:line="240" w:lineRule="auto"/>
        <w:ind w:left="0" w:firstLine="426"/>
        <w:rPr>
          <w:rFonts w:eastAsiaTheme="minorEastAsia"/>
          <w:b w:val="0"/>
          <w:bCs w:val="0"/>
          <w:noProof/>
          <w:color w:val="auto"/>
        </w:rPr>
      </w:pPr>
      <w:hyperlink w:anchor="_Toc208906243" w:history="1">
        <w:r w:rsidR="00611CBA" w:rsidRPr="00F9522B">
          <w:rPr>
            <w:rStyle w:val="aff2"/>
            <w:rFonts w:eastAsiaTheme="minorEastAsia"/>
            <w:b w:val="0"/>
            <w:noProof/>
            <w:color w:val="auto"/>
            <w:kern w:val="44"/>
          </w:rPr>
          <w:t>5.2</w:t>
        </w:r>
        <w:r w:rsidR="00611CBA" w:rsidRPr="00F9522B">
          <w:rPr>
            <w:rStyle w:val="aff2"/>
            <w:rFonts w:eastAsiaTheme="minorEastAsia"/>
            <w:b w:val="0"/>
            <w:noProof/>
            <w:color w:val="auto"/>
            <w:kern w:val="44"/>
          </w:rPr>
          <w:t>运营期环境影响预测与评价</w:t>
        </w:r>
        <w:r w:rsidR="00611CBA" w:rsidRPr="00F9522B">
          <w:rPr>
            <w:rFonts w:eastAsiaTheme="minorEastAsia"/>
            <w:b w:val="0"/>
            <w:noProof/>
            <w:color w:val="auto"/>
          </w:rPr>
          <w:tab/>
        </w:r>
        <w:r w:rsidRPr="00F9522B">
          <w:rPr>
            <w:rFonts w:eastAsiaTheme="minorEastAsia"/>
            <w:b w:val="0"/>
            <w:noProof/>
            <w:color w:val="auto"/>
          </w:rPr>
          <w:fldChar w:fldCharType="begin"/>
        </w:r>
        <w:r w:rsidR="00611CBA" w:rsidRPr="00F9522B">
          <w:rPr>
            <w:rFonts w:eastAsiaTheme="minorEastAsia"/>
            <w:b w:val="0"/>
            <w:noProof/>
            <w:color w:val="auto"/>
          </w:rPr>
          <w:instrText xml:space="preserve"> PAGEREF _Toc208906243 \h </w:instrText>
        </w:r>
        <w:r w:rsidRPr="00F9522B">
          <w:rPr>
            <w:rFonts w:eastAsiaTheme="minorEastAsia"/>
            <w:b w:val="0"/>
            <w:noProof/>
            <w:color w:val="auto"/>
          </w:rPr>
        </w:r>
        <w:r w:rsidRPr="00F9522B">
          <w:rPr>
            <w:rFonts w:eastAsiaTheme="minorEastAsia"/>
            <w:b w:val="0"/>
            <w:noProof/>
            <w:color w:val="auto"/>
          </w:rPr>
          <w:fldChar w:fldCharType="separate"/>
        </w:r>
        <w:r w:rsidR="005B7A33" w:rsidRPr="00F9522B">
          <w:rPr>
            <w:rFonts w:eastAsiaTheme="minorEastAsia"/>
            <w:b w:val="0"/>
            <w:noProof/>
            <w:color w:val="auto"/>
          </w:rPr>
          <w:t>238</w:t>
        </w:r>
        <w:r w:rsidRPr="00F9522B">
          <w:rPr>
            <w:rFonts w:eastAsiaTheme="minorEastAsia"/>
            <w:b w:val="0"/>
            <w:noProof/>
            <w:color w:val="auto"/>
          </w:rPr>
          <w:fldChar w:fldCharType="end"/>
        </w:r>
      </w:hyperlink>
    </w:p>
    <w:p w:rsidR="002A5A5E" w:rsidRPr="00F9522B" w:rsidRDefault="005273A1">
      <w:pPr>
        <w:pStyle w:val="11"/>
        <w:spacing w:line="240" w:lineRule="auto"/>
        <w:rPr>
          <w:b w:val="0"/>
          <w:bCs w:val="0"/>
          <w:iCs w:val="0"/>
          <w:noProof/>
          <w:kern w:val="2"/>
          <w:sz w:val="24"/>
          <w:szCs w:val="24"/>
        </w:rPr>
      </w:pPr>
      <w:hyperlink w:anchor="_Toc208906244" w:history="1">
        <w:r w:rsidR="00611CBA" w:rsidRPr="00F9522B">
          <w:rPr>
            <w:rStyle w:val="aff2"/>
            <w:b w:val="0"/>
            <w:noProof/>
            <w:color w:val="auto"/>
            <w:sz w:val="24"/>
            <w:szCs w:val="24"/>
          </w:rPr>
          <w:t>6</w:t>
        </w:r>
        <w:r w:rsidR="00611CBA" w:rsidRPr="00F9522B">
          <w:rPr>
            <w:rStyle w:val="aff2"/>
            <w:b w:val="0"/>
            <w:noProof/>
            <w:color w:val="auto"/>
            <w:sz w:val="24"/>
            <w:szCs w:val="24"/>
          </w:rPr>
          <w:t>环境保护措施及其可行性论证</w:t>
        </w:r>
        <w:r w:rsidR="00611CBA" w:rsidRPr="00F9522B">
          <w:rPr>
            <w:b w:val="0"/>
            <w:noProof/>
            <w:sz w:val="24"/>
            <w:szCs w:val="24"/>
          </w:rPr>
          <w:tab/>
        </w:r>
        <w:r w:rsidRPr="00F9522B">
          <w:rPr>
            <w:b w:val="0"/>
            <w:noProof/>
            <w:sz w:val="24"/>
            <w:szCs w:val="24"/>
          </w:rPr>
          <w:fldChar w:fldCharType="begin"/>
        </w:r>
        <w:r w:rsidR="00611CBA" w:rsidRPr="00F9522B">
          <w:rPr>
            <w:b w:val="0"/>
            <w:noProof/>
            <w:sz w:val="24"/>
            <w:szCs w:val="24"/>
          </w:rPr>
          <w:instrText xml:space="preserve"> PAGEREF _Toc208906244 \h </w:instrText>
        </w:r>
        <w:r w:rsidRPr="00F9522B">
          <w:rPr>
            <w:b w:val="0"/>
            <w:noProof/>
            <w:sz w:val="24"/>
            <w:szCs w:val="24"/>
          </w:rPr>
        </w:r>
        <w:r w:rsidRPr="00F9522B">
          <w:rPr>
            <w:b w:val="0"/>
            <w:noProof/>
            <w:sz w:val="24"/>
            <w:szCs w:val="24"/>
          </w:rPr>
          <w:fldChar w:fldCharType="separate"/>
        </w:r>
        <w:r w:rsidR="005B7A33" w:rsidRPr="00F9522B">
          <w:rPr>
            <w:b w:val="0"/>
            <w:noProof/>
            <w:sz w:val="24"/>
            <w:szCs w:val="24"/>
          </w:rPr>
          <w:t>264</w:t>
        </w:r>
        <w:r w:rsidRPr="00F9522B">
          <w:rPr>
            <w:b w:val="0"/>
            <w:noProof/>
            <w:sz w:val="24"/>
            <w:szCs w:val="24"/>
          </w:rPr>
          <w:fldChar w:fldCharType="end"/>
        </w:r>
      </w:hyperlink>
    </w:p>
    <w:p w:rsidR="002A5A5E" w:rsidRPr="00F9522B" w:rsidRDefault="005273A1">
      <w:pPr>
        <w:pStyle w:val="23"/>
        <w:tabs>
          <w:tab w:val="right" w:leader="dot" w:pos="8296"/>
        </w:tabs>
        <w:spacing w:before="0" w:line="240" w:lineRule="auto"/>
        <w:ind w:left="0" w:firstLine="426"/>
        <w:rPr>
          <w:rFonts w:eastAsiaTheme="minorEastAsia"/>
          <w:b w:val="0"/>
          <w:bCs w:val="0"/>
          <w:noProof/>
          <w:color w:val="auto"/>
        </w:rPr>
      </w:pPr>
      <w:hyperlink w:anchor="_Toc208906245" w:history="1">
        <w:r w:rsidR="00611CBA" w:rsidRPr="00F9522B">
          <w:rPr>
            <w:rStyle w:val="aff2"/>
            <w:rFonts w:eastAsiaTheme="minorEastAsia"/>
            <w:b w:val="0"/>
            <w:noProof/>
            <w:color w:val="auto"/>
          </w:rPr>
          <w:t>6.1</w:t>
        </w:r>
        <w:r w:rsidR="00611CBA" w:rsidRPr="00F9522B">
          <w:rPr>
            <w:rStyle w:val="aff2"/>
            <w:rFonts w:eastAsiaTheme="minorEastAsia"/>
            <w:b w:val="0"/>
            <w:noProof/>
            <w:color w:val="auto"/>
          </w:rPr>
          <w:t>施工期环境保护措施及其可行性论证</w:t>
        </w:r>
        <w:r w:rsidR="00611CBA" w:rsidRPr="00F9522B">
          <w:rPr>
            <w:rFonts w:eastAsiaTheme="minorEastAsia"/>
            <w:b w:val="0"/>
            <w:noProof/>
            <w:color w:val="auto"/>
          </w:rPr>
          <w:tab/>
        </w:r>
        <w:r w:rsidRPr="00F9522B">
          <w:rPr>
            <w:rFonts w:eastAsiaTheme="minorEastAsia"/>
            <w:b w:val="0"/>
            <w:noProof/>
            <w:color w:val="auto"/>
          </w:rPr>
          <w:fldChar w:fldCharType="begin"/>
        </w:r>
        <w:r w:rsidR="00611CBA" w:rsidRPr="00F9522B">
          <w:rPr>
            <w:rFonts w:eastAsiaTheme="minorEastAsia"/>
            <w:b w:val="0"/>
            <w:noProof/>
            <w:color w:val="auto"/>
          </w:rPr>
          <w:instrText xml:space="preserve"> PAGEREF _Toc208906245 \h </w:instrText>
        </w:r>
        <w:r w:rsidRPr="00F9522B">
          <w:rPr>
            <w:rFonts w:eastAsiaTheme="minorEastAsia"/>
            <w:b w:val="0"/>
            <w:noProof/>
            <w:color w:val="auto"/>
          </w:rPr>
        </w:r>
        <w:r w:rsidRPr="00F9522B">
          <w:rPr>
            <w:rFonts w:eastAsiaTheme="minorEastAsia"/>
            <w:b w:val="0"/>
            <w:noProof/>
            <w:color w:val="auto"/>
          </w:rPr>
          <w:fldChar w:fldCharType="separate"/>
        </w:r>
        <w:r w:rsidR="005B7A33" w:rsidRPr="00F9522B">
          <w:rPr>
            <w:rFonts w:eastAsiaTheme="minorEastAsia"/>
            <w:b w:val="0"/>
            <w:noProof/>
            <w:color w:val="auto"/>
          </w:rPr>
          <w:t>264</w:t>
        </w:r>
        <w:r w:rsidRPr="00F9522B">
          <w:rPr>
            <w:rFonts w:eastAsiaTheme="minorEastAsia"/>
            <w:b w:val="0"/>
            <w:noProof/>
            <w:color w:val="auto"/>
          </w:rPr>
          <w:fldChar w:fldCharType="end"/>
        </w:r>
      </w:hyperlink>
    </w:p>
    <w:p w:rsidR="002A5A5E" w:rsidRPr="00F9522B" w:rsidRDefault="005273A1">
      <w:pPr>
        <w:pStyle w:val="23"/>
        <w:tabs>
          <w:tab w:val="right" w:leader="dot" w:pos="8296"/>
        </w:tabs>
        <w:spacing w:before="0" w:line="240" w:lineRule="auto"/>
        <w:ind w:left="0" w:firstLine="426"/>
        <w:rPr>
          <w:rFonts w:eastAsiaTheme="minorEastAsia"/>
          <w:b w:val="0"/>
          <w:bCs w:val="0"/>
          <w:noProof/>
          <w:color w:val="auto"/>
        </w:rPr>
      </w:pPr>
      <w:hyperlink w:anchor="_Toc208906246" w:history="1">
        <w:r w:rsidR="00611CBA" w:rsidRPr="00F9522B">
          <w:rPr>
            <w:rStyle w:val="aff2"/>
            <w:rFonts w:eastAsiaTheme="minorEastAsia"/>
            <w:b w:val="0"/>
            <w:noProof/>
            <w:color w:val="auto"/>
            <w:kern w:val="44"/>
          </w:rPr>
          <w:t>6.2</w:t>
        </w:r>
        <w:r w:rsidR="00611CBA" w:rsidRPr="00F9522B">
          <w:rPr>
            <w:rStyle w:val="aff2"/>
            <w:rFonts w:eastAsiaTheme="minorEastAsia"/>
            <w:b w:val="0"/>
            <w:noProof/>
            <w:color w:val="auto"/>
            <w:kern w:val="44"/>
          </w:rPr>
          <w:t>运营期环境保护措施及其可行性论证</w:t>
        </w:r>
        <w:r w:rsidR="00611CBA" w:rsidRPr="00F9522B">
          <w:rPr>
            <w:rFonts w:eastAsiaTheme="minorEastAsia"/>
            <w:b w:val="0"/>
            <w:noProof/>
            <w:color w:val="auto"/>
          </w:rPr>
          <w:tab/>
        </w:r>
        <w:r w:rsidRPr="00F9522B">
          <w:rPr>
            <w:rFonts w:eastAsiaTheme="minorEastAsia"/>
            <w:b w:val="0"/>
            <w:noProof/>
            <w:color w:val="auto"/>
          </w:rPr>
          <w:fldChar w:fldCharType="begin"/>
        </w:r>
        <w:r w:rsidR="00611CBA" w:rsidRPr="00F9522B">
          <w:rPr>
            <w:rFonts w:eastAsiaTheme="minorEastAsia"/>
            <w:b w:val="0"/>
            <w:noProof/>
            <w:color w:val="auto"/>
          </w:rPr>
          <w:instrText xml:space="preserve"> PAGEREF _Toc208906246 \h </w:instrText>
        </w:r>
        <w:r w:rsidRPr="00F9522B">
          <w:rPr>
            <w:rFonts w:eastAsiaTheme="minorEastAsia"/>
            <w:b w:val="0"/>
            <w:noProof/>
            <w:color w:val="auto"/>
          </w:rPr>
        </w:r>
        <w:r w:rsidRPr="00F9522B">
          <w:rPr>
            <w:rFonts w:eastAsiaTheme="minorEastAsia"/>
            <w:b w:val="0"/>
            <w:noProof/>
            <w:color w:val="auto"/>
          </w:rPr>
          <w:fldChar w:fldCharType="separate"/>
        </w:r>
        <w:r w:rsidR="005B7A33" w:rsidRPr="00F9522B">
          <w:rPr>
            <w:rFonts w:eastAsiaTheme="minorEastAsia"/>
            <w:b w:val="0"/>
            <w:noProof/>
            <w:color w:val="auto"/>
          </w:rPr>
          <w:t>271</w:t>
        </w:r>
        <w:r w:rsidRPr="00F9522B">
          <w:rPr>
            <w:rFonts w:eastAsiaTheme="minorEastAsia"/>
            <w:b w:val="0"/>
            <w:noProof/>
            <w:color w:val="auto"/>
          </w:rPr>
          <w:fldChar w:fldCharType="end"/>
        </w:r>
      </w:hyperlink>
    </w:p>
    <w:p w:rsidR="002A5A5E" w:rsidRPr="00F9522B" w:rsidRDefault="005273A1">
      <w:pPr>
        <w:pStyle w:val="23"/>
        <w:tabs>
          <w:tab w:val="right" w:leader="dot" w:pos="8296"/>
        </w:tabs>
        <w:spacing w:before="0" w:line="240" w:lineRule="auto"/>
        <w:ind w:left="0" w:firstLine="426"/>
        <w:rPr>
          <w:rFonts w:eastAsiaTheme="minorEastAsia"/>
          <w:b w:val="0"/>
          <w:bCs w:val="0"/>
          <w:noProof/>
          <w:color w:val="auto"/>
        </w:rPr>
      </w:pPr>
      <w:hyperlink w:anchor="_Toc208906247" w:history="1">
        <w:r w:rsidR="00611CBA" w:rsidRPr="00F9522B">
          <w:rPr>
            <w:rStyle w:val="aff2"/>
            <w:rFonts w:eastAsiaTheme="minorEastAsia"/>
            <w:b w:val="0"/>
            <w:noProof/>
            <w:color w:val="auto"/>
          </w:rPr>
          <w:t>6.3</w:t>
        </w:r>
        <w:r w:rsidR="00611CBA" w:rsidRPr="00F9522B">
          <w:rPr>
            <w:rStyle w:val="aff2"/>
            <w:rFonts w:eastAsiaTheme="minorEastAsia"/>
            <w:b w:val="0"/>
            <w:noProof/>
            <w:color w:val="auto"/>
          </w:rPr>
          <w:t>环境保护投资估算</w:t>
        </w:r>
        <w:r w:rsidR="00611CBA" w:rsidRPr="00F9522B">
          <w:rPr>
            <w:rFonts w:eastAsiaTheme="minorEastAsia"/>
            <w:b w:val="0"/>
            <w:noProof/>
            <w:color w:val="auto"/>
          </w:rPr>
          <w:tab/>
        </w:r>
        <w:r w:rsidRPr="00F9522B">
          <w:rPr>
            <w:rFonts w:eastAsiaTheme="minorEastAsia"/>
            <w:b w:val="0"/>
            <w:noProof/>
            <w:color w:val="auto"/>
          </w:rPr>
          <w:fldChar w:fldCharType="begin"/>
        </w:r>
        <w:r w:rsidR="00611CBA" w:rsidRPr="00F9522B">
          <w:rPr>
            <w:rFonts w:eastAsiaTheme="minorEastAsia"/>
            <w:b w:val="0"/>
            <w:noProof/>
            <w:color w:val="auto"/>
          </w:rPr>
          <w:instrText xml:space="preserve"> PAGEREF _Toc208906247 \h </w:instrText>
        </w:r>
        <w:r w:rsidRPr="00F9522B">
          <w:rPr>
            <w:rFonts w:eastAsiaTheme="minorEastAsia"/>
            <w:b w:val="0"/>
            <w:noProof/>
            <w:color w:val="auto"/>
          </w:rPr>
        </w:r>
        <w:r w:rsidRPr="00F9522B">
          <w:rPr>
            <w:rFonts w:eastAsiaTheme="minorEastAsia"/>
            <w:b w:val="0"/>
            <w:noProof/>
            <w:color w:val="auto"/>
          </w:rPr>
          <w:fldChar w:fldCharType="separate"/>
        </w:r>
        <w:r w:rsidR="005B7A33" w:rsidRPr="00F9522B">
          <w:rPr>
            <w:rFonts w:eastAsiaTheme="minorEastAsia"/>
            <w:b w:val="0"/>
            <w:noProof/>
            <w:color w:val="auto"/>
          </w:rPr>
          <w:t>276</w:t>
        </w:r>
        <w:r w:rsidRPr="00F9522B">
          <w:rPr>
            <w:rFonts w:eastAsiaTheme="minorEastAsia"/>
            <w:b w:val="0"/>
            <w:noProof/>
            <w:color w:val="auto"/>
          </w:rPr>
          <w:fldChar w:fldCharType="end"/>
        </w:r>
      </w:hyperlink>
    </w:p>
    <w:p w:rsidR="002A5A5E" w:rsidRPr="00F9522B" w:rsidRDefault="005273A1">
      <w:pPr>
        <w:pStyle w:val="11"/>
        <w:spacing w:line="240" w:lineRule="auto"/>
        <w:rPr>
          <w:b w:val="0"/>
          <w:bCs w:val="0"/>
          <w:iCs w:val="0"/>
          <w:noProof/>
          <w:kern w:val="2"/>
          <w:sz w:val="24"/>
          <w:szCs w:val="24"/>
        </w:rPr>
      </w:pPr>
      <w:hyperlink w:anchor="_Toc208906248" w:history="1">
        <w:r w:rsidR="00611CBA" w:rsidRPr="00F9522B">
          <w:rPr>
            <w:rStyle w:val="aff2"/>
            <w:b w:val="0"/>
            <w:noProof/>
            <w:color w:val="auto"/>
            <w:sz w:val="24"/>
            <w:szCs w:val="24"/>
          </w:rPr>
          <w:t>7</w:t>
        </w:r>
        <w:r w:rsidR="00611CBA" w:rsidRPr="00F9522B">
          <w:rPr>
            <w:rStyle w:val="aff2"/>
            <w:b w:val="0"/>
            <w:noProof/>
            <w:color w:val="auto"/>
            <w:sz w:val="24"/>
            <w:szCs w:val="24"/>
          </w:rPr>
          <w:t>环境影响经济损益分析</w:t>
        </w:r>
        <w:r w:rsidR="00611CBA" w:rsidRPr="00F9522B">
          <w:rPr>
            <w:b w:val="0"/>
            <w:noProof/>
            <w:sz w:val="24"/>
            <w:szCs w:val="24"/>
          </w:rPr>
          <w:tab/>
        </w:r>
        <w:r w:rsidRPr="00F9522B">
          <w:rPr>
            <w:b w:val="0"/>
            <w:noProof/>
            <w:sz w:val="24"/>
            <w:szCs w:val="24"/>
          </w:rPr>
          <w:fldChar w:fldCharType="begin"/>
        </w:r>
        <w:r w:rsidR="00611CBA" w:rsidRPr="00F9522B">
          <w:rPr>
            <w:b w:val="0"/>
            <w:noProof/>
            <w:sz w:val="24"/>
            <w:szCs w:val="24"/>
          </w:rPr>
          <w:instrText xml:space="preserve"> PAGEREF _Toc208906248 \h </w:instrText>
        </w:r>
        <w:r w:rsidRPr="00F9522B">
          <w:rPr>
            <w:b w:val="0"/>
            <w:noProof/>
            <w:sz w:val="24"/>
            <w:szCs w:val="24"/>
          </w:rPr>
        </w:r>
        <w:r w:rsidRPr="00F9522B">
          <w:rPr>
            <w:b w:val="0"/>
            <w:noProof/>
            <w:sz w:val="24"/>
            <w:szCs w:val="24"/>
          </w:rPr>
          <w:fldChar w:fldCharType="separate"/>
        </w:r>
        <w:r w:rsidR="005B7A33" w:rsidRPr="00F9522B">
          <w:rPr>
            <w:b w:val="0"/>
            <w:noProof/>
            <w:sz w:val="24"/>
            <w:szCs w:val="24"/>
          </w:rPr>
          <w:t>278</w:t>
        </w:r>
        <w:r w:rsidRPr="00F9522B">
          <w:rPr>
            <w:b w:val="0"/>
            <w:noProof/>
            <w:sz w:val="24"/>
            <w:szCs w:val="24"/>
          </w:rPr>
          <w:fldChar w:fldCharType="end"/>
        </w:r>
      </w:hyperlink>
    </w:p>
    <w:p w:rsidR="002A5A5E" w:rsidRPr="00F9522B" w:rsidRDefault="005273A1">
      <w:pPr>
        <w:pStyle w:val="23"/>
        <w:tabs>
          <w:tab w:val="right" w:leader="dot" w:pos="8296"/>
        </w:tabs>
        <w:spacing w:before="0" w:line="240" w:lineRule="auto"/>
        <w:ind w:left="0" w:firstLine="426"/>
        <w:rPr>
          <w:rFonts w:eastAsiaTheme="minorEastAsia"/>
          <w:b w:val="0"/>
          <w:bCs w:val="0"/>
          <w:noProof/>
          <w:color w:val="auto"/>
        </w:rPr>
      </w:pPr>
      <w:hyperlink w:anchor="_Toc208906249" w:history="1">
        <w:r w:rsidR="00611CBA" w:rsidRPr="00F9522B">
          <w:rPr>
            <w:rStyle w:val="aff2"/>
            <w:rFonts w:eastAsiaTheme="minorEastAsia"/>
            <w:b w:val="0"/>
            <w:noProof/>
            <w:color w:val="auto"/>
            <w:kern w:val="44"/>
          </w:rPr>
          <w:t>7.1</w:t>
        </w:r>
        <w:r w:rsidR="00611CBA" w:rsidRPr="00F9522B">
          <w:rPr>
            <w:rStyle w:val="aff2"/>
            <w:rFonts w:eastAsiaTheme="minorEastAsia"/>
            <w:b w:val="0"/>
            <w:noProof/>
            <w:color w:val="auto"/>
            <w:kern w:val="44"/>
          </w:rPr>
          <w:t>社会经济效益分析</w:t>
        </w:r>
        <w:r w:rsidR="00611CBA" w:rsidRPr="00F9522B">
          <w:rPr>
            <w:rFonts w:eastAsiaTheme="minorEastAsia"/>
            <w:b w:val="0"/>
            <w:noProof/>
            <w:color w:val="auto"/>
          </w:rPr>
          <w:tab/>
        </w:r>
        <w:r w:rsidRPr="00F9522B">
          <w:rPr>
            <w:rFonts w:eastAsiaTheme="minorEastAsia"/>
            <w:b w:val="0"/>
            <w:noProof/>
            <w:color w:val="auto"/>
          </w:rPr>
          <w:fldChar w:fldCharType="begin"/>
        </w:r>
        <w:r w:rsidR="00611CBA" w:rsidRPr="00F9522B">
          <w:rPr>
            <w:rFonts w:eastAsiaTheme="minorEastAsia"/>
            <w:b w:val="0"/>
            <w:noProof/>
            <w:color w:val="auto"/>
          </w:rPr>
          <w:instrText xml:space="preserve"> PAGEREF _Toc208906249 \h </w:instrText>
        </w:r>
        <w:r w:rsidRPr="00F9522B">
          <w:rPr>
            <w:rFonts w:eastAsiaTheme="minorEastAsia"/>
            <w:b w:val="0"/>
            <w:noProof/>
            <w:color w:val="auto"/>
          </w:rPr>
        </w:r>
        <w:r w:rsidRPr="00F9522B">
          <w:rPr>
            <w:rFonts w:eastAsiaTheme="minorEastAsia"/>
            <w:b w:val="0"/>
            <w:noProof/>
            <w:color w:val="auto"/>
          </w:rPr>
          <w:fldChar w:fldCharType="separate"/>
        </w:r>
        <w:r w:rsidR="005B7A33" w:rsidRPr="00F9522B">
          <w:rPr>
            <w:rFonts w:eastAsiaTheme="minorEastAsia"/>
            <w:b w:val="0"/>
            <w:noProof/>
            <w:color w:val="auto"/>
          </w:rPr>
          <w:t>278</w:t>
        </w:r>
        <w:r w:rsidRPr="00F9522B">
          <w:rPr>
            <w:rFonts w:eastAsiaTheme="minorEastAsia"/>
            <w:b w:val="0"/>
            <w:noProof/>
            <w:color w:val="auto"/>
          </w:rPr>
          <w:fldChar w:fldCharType="end"/>
        </w:r>
      </w:hyperlink>
    </w:p>
    <w:p w:rsidR="002A5A5E" w:rsidRPr="00F9522B" w:rsidRDefault="005273A1">
      <w:pPr>
        <w:pStyle w:val="23"/>
        <w:tabs>
          <w:tab w:val="right" w:leader="dot" w:pos="8296"/>
        </w:tabs>
        <w:spacing w:before="0" w:line="240" w:lineRule="auto"/>
        <w:ind w:left="0" w:firstLine="426"/>
        <w:rPr>
          <w:rFonts w:eastAsiaTheme="minorEastAsia"/>
          <w:b w:val="0"/>
          <w:bCs w:val="0"/>
          <w:noProof/>
          <w:color w:val="auto"/>
        </w:rPr>
      </w:pPr>
      <w:hyperlink w:anchor="_Toc208906250" w:history="1">
        <w:r w:rsidR="00611CBA" w:rsidRPr="00F9522B">
          <w:rPr>
            <w:rStyle w:val="aff2"/>
            <w:rFonts w:eastAsiaTheme="minorEastAsia"/>
            <w:b w:val="0"/>
            <w:noProof/>
            <w:color w:val="auto"/>
            <w:kern w:val="44"/>
          </w:rPr>
          <w:t>7.2</w:t>
        </w:r>
        <w:r w:rsidR="00611CBA" w:rsidRPr="00F9522B">
          <w:rPr>
            <w:rStyle w:val="aff2"/>
            <w:rFonts w:eastAsiaTheme="minorEastAsia"/>
            <w:b w:val="0"/>
            <w:noProof/>
            <w:color w:val="auto"/>
            <w:kern w:val="44"/>
          </w:rPr>
          <w:t>环境效益分析</w:t>
        </w:r>
        <w:r w:rsidR="00611CBA" w:rsidRPr="00F9522B">
          <w:rPr>
            <w:rFonts w:eastAsiaTheme="minorEastAsia"/>
            <w:b w:val="0"/>
            <w:noProof/>
            <w:color w:val="auto"/>
          </w:rPr>
          <w:tab/>
        </w:r>
        <w:r w:rsidRPr="00F9522B">
          <w:rPr>
            <w:rFonts w:eastAsiaTheme="minorEastAsia"/>
            <w:b w:val="0"/>
            <w:noProof/>
            <w:color w:val="auto"/>
          </w:rPr>
          <w:fldChar w:fldCharType="begin"/>
        </w:r>
        <w:r w:rsidR="00611CBA" w:rsidRPr="00F9522B">
          <w:rPr>
            <w:rFonts w:eastAsiaTheme="minorEastAsia"/>
            <w:b w:val="0"/>
            <w:noProof/>
            <w:color w:val="auto"/>
          </w:rPr>
          <w:instrText xml:space="preserve"> PAGEREF _Toc208906250 \h </w:instrText>
        </w:r>
        <w:r w:rsidRPr="00F9522B">
          <w:rPr>
            <w:rFonts w:eastAsiaTheme="minorEastAsia"/>
            <w:b w:val="0"/>
            <w:noProof/>
            <w:color w:val="auto"/>
          </w:rPr>
        </w:r>
        <w:r w:rsidRPr="00F9522B">
          <w:rPr>
            <w:rFonts w:eastAsiaTheme="minorEastAsia"/>
            <w:b w:val="0"/>
            <w:noProof/>
            <w:color w:val="auto"/>
          </w:rPr>
          <w:fldChar w:fldCharType="separate"/>
        </w:r>
        <w:r w:rsidR="005B7A33" w:rsidRPr="00F9522B">
          <w:rPr>
            <w:rFonts w:eastAsiaTheme="minorEastAsia"/>
            <w:b w:val="0"/>
            <w:noProof/>
            <w:color w:val="auto"/>
          </w:rPr>
          <w:t>278</w:t>
        </w:r>
        <w:r w:rsidRPr="00F9522B">
          <w:rPr>
            <w:rFonts w:eastAsiaTheme="minorEastAsia"/>
            <w:b w:val="0"/>
            <w:noProof/>
            <w:color w:val="auto"/>
          </w:rPr>
          <w:fldChar w:fldCharType="end"/>
        </w:r>
      </w:hyperlink>
    </w:p>
    <w:p w:rsidR="002A5A5E" w:rsidRPr="00F9522B" w:rsidRDefault="005273A1">
      <w:pPr>
        <w:pStyle w:val="11"/>
        <w:spacing w:line="240" w:lineRule="auto"/>
        <w:rPr>
          <w:b w:val="0"/>
          <w:bCs w:val="0"/>
          <w:iCs w:val="0"/>
          <w:noProof/>
          <w:kern w:val="2"/>
          <w:sz w:val="24"/>
          <w:szCs w:val="24"/>
        </w:rPr>
      </w:pPr>
      <w:hyperlink w:anchor="_Toc208906251" w:history="1">
        <w:r w:rsidR="00611CBA" w:rsidRPr="00F9522B">
          <w:rPr>
            <w:rStyle w:val="aff2"/>
            <w:b w:val="0"/>
            <w:noProof/>
            <w:color w:val="auto"/>
            <w:sz w:val="24"/>
            <w:szCs w:val="24"/>
          </w:rPr>
          <w:t>8</w:t>
        </w:r>
        <w:r w:rsidR="00611CBA" w:rsidRPr="00F9522B">
          <w:rPr>
            <w:rStyle w:val="aff2"/>
            <w:b w:val="0"/>
            <w:noProof/>
            <w:color w:val="auto"/>
            <w:sz w:val="24"/>
            <w:szCs w:val="24"/>
          </w:rPr>
          <w:t>环境管理与监测计划</w:t>
        </w:r>
        <w:r w:rsidR="00611CBA" w:rsidRPr="00F9522B">
          <w:rPr>
            <w:b w:val="0"/>
            <w:noProof/>
            <w:sz w:val="24"/>
            <w:szCs w:val="24"/>
          </w:rPr>
          <w:tab/>
        </w:r>
        <w:r w:rsidRPr="00F9522B">
          <w:rPr>
            <w:b w:val="0"/>
            <w:noProof/>
            <w:sz w:val="24"/>
            <w:szCs w:val="24"/>
          </w:rPr>
          <w:fldChar w:fldCharType="begin"/>
        </w:r>
        <w:r w:rsidR="00611CBA" w:rsidRPr="00F9522B">
          <w:rPr>
            <w:b w:val="0"/>
            <w:noProof/>
            <w:sz w:val="24"/>
            <w:szCs w:val="24"/>
          </w:rPr>
          <w:instrText xml:space="preserve"> PAGEREF _Toc208906251 \h </w:instrText>
        </w:r>
        <w:r w:rsidRPr="00F9522B">
          <w:rPr>
            <w:b w:val="0"/>
            <w:noProof/>
            <w:sz w:val="24"/>
            <w:szCs w:val="24"/>
          </w:rPr>
        </w:r>
        <w:r w:rsidRPr="00F9522B">
          <w:rPr>
            <w:b w:val="0"/>
            <w:noProof/>
            <w:sz w:val="24"/>
            <w:szCs w:val="24"/>
          </w:rPr>
          <w:fldChar w:fldCharType="separate"/>
        </w:r>
        <w:r w:rsidR="005B7A33" w:rsidRPr="00F9522B">
          <w:rPr>
            <w:b w:val="0"/>
            <w:noProof/>
            <w:sz w:val="24"/>
            <w:szCs w:val="24"/>
          </w:rPr>
          <w:t>280</w:t>
        </w:r>
        <w:r w:rsidRPr="00F9522B">
          <w:rPr>
            <w:b w:val="0"/>
            <w:noProof/>
            <w:sz w:val="24"/>
            <w:szCs w:val="24"/>
          </w:rPr>
          <w:fldChar w:fldCharType="end"/>
        </w:r>
      </w:hyperlink>
    </w:p>
    <w:p w:rsidR="002A5A5E" w:rsidRPr="00F9522B" w:rsidRDefault="005273A1">
      <w:pPr>
        <w:pStyle w:val="23"/>
        <w:tabs>
          <w:tab w:val="right" w:leader="dot" w:pos="8296"/>
        </w:tabs>
        <w:spacing w:before="0" w:line="240" w:lineRule="auto"/>
        <w:ind w:left="0" w:firstLine="426"/>
        <w:rPr>
          <w:rFonts w:eastAsiaTheme="minorEastAsia"/>
          <w:b w:val="0"/>
          <w:bCs w:val="0"/>
          <w:noProof/>
          <w:color w:val="auto"/>
        </w:rPr>
      </w:pPr>
      <w:hyperlink w:anchor="_Toc208906252" w:history="1">
        <w:r w:rsidR="00611CBA" w:rsidRPr="00F9522B">
          <w:rPr>
            <w:rStyle w:val="aff2"/>
            <w:rFonts w:eastAsiaTheme="minorEastAsia"/>
            <w:b w:val="0"/>
            <w:noProof/>
            <w:color w:val="auto"/>
            <w:kern w:val="44"/>
          </w:rPr>
          <w:t>8.1</w:t>
        </w:r>
        <w:r w:rsidR="00611CBA" w:rsidRPr="00F9522B">
          <w:rPr>
            <w:rStyle w:val="aff2"/>
            <w:rFonts w:eastAsiaTheme="minorEastAsia"/>
            <w:b w:val="0"/>
            <w:noProof/>
            <w:color w:val="auto"/>
            <w:kern w:val="44"/>
          </w:rPr>
          <w:t>环境管理</w:t>
        </w:r>
        <w:r w:rsidR="00611CBA" w:rsidRPr="00F9522B">
          <w:rPr>
            <w:rFonts w:eastAsiaTheme="minorEastAsia"/>
            <w:b w:val="0"/>
            <w:noProof/>
            <w:color w:val="auto"/>
          </w:rPr>
          <w:tab/>
        </w:r>
        <w:r w:rsidRPr="00F9522B">
          <w:rPr>
            <w:rFonts w:eastAsiaTheme="minorEastAsia"/>
            <w:b w:val="0"/>
            <w:noProof/>
            <w:color w:val="auto"/>
          </w:rPr>
          <w:fldChar w:fldCharType="begin"/>
        </w:r>
        <w:r w:rsidR="00611CBA" w:rsidRPr="00F9522B">
          <w:rPr>
            <w:rFonts w:eastAsiaTheme="minorEastAsia"/>
            <w:b w:val="0"/>
            <w:noProof/>
            <w:color w:val="auto"/>
          </w:rPr>
          <w:instrText xml:space="preserve"> PAGEREF _Toc208906252 \h </w:instrText>
        </w:r>
        <w:r w:rsidRPr="00F9522B">
          <w:rPr>
            <w:rFonts w:eastAsiaTheme="minorEastAsia"/>
            <w:b w:val="0"/>
            <w:noProof/>
            <w:color w:val="auto"/>
          </w:rPr>
        </w:r>
        <w:r w:rsidRPr="00F9522B">
          <w:rPr>
            <w:rFonts w:eastAsiaTheme="minorEastAsia"/>
            <w:b w:val="0"/>
            <w:noProof/>
            <w:color w:val="auto"/>
          </w:rPr>
          <w:fldChar w:fldCharType="separate"/>
        </w:r>
        <w:r w:rsidR="005B7A33" w:rsidRPr="00F9522B">
          <w:rPr>
            <w:rFonts w:eastAsiaTheme="minorEastAsia"/>
            <w:b w:val="0"/>
            <w:noProof/>
            <w:color w:val="auto"/>
          </w:rPr>
          <w:t>280</w:t>
        </w:r>
        <w:r w:rsidRPr="00F9522B">
          <w:rPr>
            <w:rFonts w:eastAsiaTheme="minorEastAsia"/>
            <w:b w:val="0"/>
            <w:noProof/>
            <w:color w:val="auto"/>
          </w:rPr>
          <w:fldChar w:fldCharType="end"/>
        </w:r>
      </w:hyperlink>
    </w:p>
    <w:p w:rsidR="002A5A5E" w:rsidRPr="00F9522B" w:rsidRDefault="005273A1">
      <w:pPr>
        <w:pStyle w:val="23"/>
        <w:tabs>
          <w:tab w:val="right" w:leader="dot" w:pos="8296"/>
        </w:tabs>
        <w:spacing w:before="0" w:line="240" w:lineRule="auto"/>
        <w:ind w:left="0" w:firstLine="426"/>
        <w:rPr>
          <w:rFonts w:eastAsiaTheme="minorEastAsia"/>
          <w:b w:val="0"/>
          <w:bCs w:val="0"/>
          <w:noProof/>
          <w:color w:val="auto"/>
        </w:rPr>
      </w:pPr>
      <w:hyperlink w:anchor="_Toc208906253" w:history="1">
        <w:r w:rsidR="00611CBA" w:rsidRPr="00F9522B">
          <w:rPr>
            <w:rStyle w:val="aff2"/>
            <w:rFonts w:eastAsiaTheme="minorEastAsia"/>
            <w:b w:val="0"/>
            <w:noProof/>
            <w:color w:val="auto"/>
            <w:kern w:val="44"/>
          </w:rPr>
          <w:t>8.2</w:t>
        </w:r>
        <w:r w:rsidR="00611CBA" w:rsidRPr="00F9522B">
          <w:rPr>
            <w:rStyle w:val="aff2"/>
            <w:rFonts w:eastAsiaTheme="minorEastAsia"/>
            <w:b w:val="0"/>
            <w:noProof/>
            <w:color w:val="auto"/>
            <w:kern w:val="44"/>
          </w:rPr>
          <w:t>环境监测</w:t>
        </w:r>
        <w:r w:rsidR="00611CBA" w:rsidRPr="00F9522B">
          <w:rPr>
            <w:rFonts w:eastAsiaTheme="minorEastAsia"/>
            <w:b w:val="0"/>
            <w:noProof/>
            <w:color w:val="auto"/>
          </w:rPr>
          <w:tab/>
        </w:r>
        <w:r w:rsidRPr="00F9522B">
          <w:rPr>
            <w:rFonts w:eastAsiaTheme="minorEastAsia"/>
            <w:b w:val="0"/>
            <w:noProof/>
            <w:color w:val="auto"/>
          </w:rPr>
          <w:fldChar w:fldCharType="begin"/>
        </w:r>
        <w:r w:rsidR="00611CBA" w:rsidRPr="00F9522B">
          <w:rPr>
            <w:rFonts w:eastAsiaTheme="minorEastAsia"/>
            <w:b w:val="0"/>
            <w:noProof/>
            <w:color w:val="auto"/>
          </w:rPr>
          <w:instrText xml:space="preserve"> PAGEREF _Toc208906253 \h </w:instrText>
        </w:r>
        <w:r w:rsidRPr="00F9522B">
          <w:rPr>
            <w:rFonts w:eastAsiaTheme="minorEastAsia"/>
            <w:b w:val="0"/>
            <w:noProof/>
            <w:color w:val="auto"/>
          </w:rPr>
        </w:r>
        <w:r w:rsidRPr="00F9522B">
          <w:rPr>
            <w:rFonts w:eastAsiaTheme="minorEastAsia"/>
            <w:b w:val="0"/>
            <w:noProof/>
            <w:color w:val="auto"/>
          </w:rPr>
          <w:fldChar w:fldCharType="separate"/>
        </w:r>
        <w:r w:rsidR="005B7A33" w:rsidRPr="00F9522B">
          <w:rPr>
            <w:rFonts w:eastAsiaTheme="minorEastAsia"/>
            <w:b w:val="0"/>
            <w:noProof/>
            <w:color w:val="auto"/>
          </w:rPr>
          <w:t>286</w:t>
        </w:r>
        <w:r w:rsidRPr="00F9522B">
          <w:rPr>
            <w:rFonts w:eastAsiaTheme="minorEastAsia"/>
            <w:b w:val="0"/>
            <w:noProof/>
            <w:color w:val="auto"/>
          </w:rPr>
          <w:fldChar w:fldCharType="end"/>
        </w:r>
      </w:hyperlink>
    </w:p>
    <w:p w:rsidR="002A5A5E" w:rsidRPr="00F9522B" w:rsidRDefault="005273A1">
      <w:pPr>
        <w:pStyle w:val="23"/>
        <w:tabs>
          <w:tab w:val="right" w:leader="dot" w:pos="8296"/>
        </w:tabs>
        <w:spacing w:before="0" w:line="240" w:lineRule="auto"/>
        <w:ind w:left="0" w:firstLine="426"/>
        <w:rPr>
          <w:rFonts w:eastAsiaTheme="minorEastAsia"/>
          <w:b w:val="0"/>
          <w:bCs w:val="0"/>
          <w:noProof/>
          <w:color w:val="auto"/>
        </w:rPr>
      </w:pPr>
      <w:hyperlink w:anchor="_Toc208906254" w:history="1">
        <w:r w:rsidR="00611CBA" w:rsidRPr="00F9522B">
          <w:rPr>
            <w:rStyle w:val="aff2"/>
            <w:rFonts w:eastAsiaTheme="minorEastAsia"/>
            <w:b w:val="0"/>
            <w:noProof/>
            <w:color w:val="auto"/>
            <w:kern w:val="44"/>
          </w:rPr>
          <w:t>8.3</w:t>
        </w:r>
        <w:r w:rsidR="00611CBA" w:rsidRPr="00F9522B">
          <w:rPr>
            <w:rStyle w:val="aff2"/>
            <w:rFonts w:eastAsiaTheme="minorEastAsia"/>
            <w:b w:val="0"/>
            <w:noProof/>
            <w:color w:val="auto"/>
            <w:kern w:val="44"/>
          </w:rPr>
          <w:t>环境保护竣工验收</w:t>
        </w:r>
        <w:r w:rsidR="00611CBA" w:rsidRPr="00F9522B">
          <w:rPr>
            <w:rFonts w:eastAsiaTheme="minorEastAsia"/>
            <w:b w:val="0"/>
            <w:noProof/>
            <w:color w:val="auto"/>
          </w:rPr>
          <w:tab/>
        </w:r>
        <w:r w:rsidRPr="00F9522B">
          <w:rPr>
            <w:rFonts w:eastAsiaTheme="minorEastAsia"/>
            <w:b w:val="0"/>
            <w:noProof/>
            <w:color w:val="auto"/>
          </w:rPr>
          <w:fldChar w:fldCharType="begin"/>
        </w:r>
        <w:r w:rsidR="00611CBA" w:rsidRPr="00F9522B">
          <w:rPr>
            <w:rFonts w:eastAsiaTheme="minorEastAsia"/>
            <w:b w:val="0"/>
            <w:noProof/>
            <w:color w:val="auto"/>
          </w:rPr>
          <w:instrText xml:space="preserve"> PAGEREF _Toc208906254 \h </w:instrText>
        </w:r>
        <w:r w:rsidRPr="00F9522B">
          <w:rPr>
            <w:rFonts w:eastAsiaTheme="minorEastAsia"/>
            <w:b w:val="0"/>
            <w:noProof/>
            <w:color w:val="auto"/>
          </w:rPr>
        </w:r>
        <w:r w:rsidRPr="00F9522B">
          <w:rPr>
            <w:rFonts w:eastAsiaTheme="minorEastAsia"/>
            <w:b w:val="0"/>
            <w:noProof/>
            <w:color w:val="auto"/>
          </w:rPr>
          <w:fldChar w:fldCharType="separate"/>
        </w:r>
        <w:r w:rsidR="005B7A33" w:rsidRPr="00F9522B">
          <w:rPr>
            <w:rFonts w:eastAsiaTheme="minorEastAsia"/>
            <w:b w:val="0"/>
            <w:noProof/>
            <w:color w:val="auto"/>
          </w:rPr>
          <w:t>291</w:t>
        </w:r>
        <w:r w:rsidRPr="00F9522B">
          <w:rPr>
            <w:rFonts w:eastAsiaTheme="minorEastAsia"/>
            <w:b w:val="0"/>
            <w:noProof/>
            <w:color w:val="auto"/>
          </w:rPr>
          <w:fldChar w:fldCharType="end"/>
        </w:r>
      </w:hyperlink>
    </w:p>
    <w:p w:rsidR="002A5A5E" w:rsidRPr="00F9522B" w:rsidRDefault="005273A1">
      <w:pPr>
        <w:pStyle w:val="23"/>
        <w:tabs>
          <w:tab w:val="right" w:leader="dot" w:pos="8296"/>
        </w:tabs>
        <w:spacing w:before="0" w:line="240" w:lineRule="auto"/>
        <w:ind w:left="0" w:firstLine="426"/>
        <w:rPr>
          <w:rFonts w:eastAsiaTheme="minorEastAsia"/>
          <w:b w:val="0"/>
          <w:bCs w:val="0"/>
          <w:noProof/>
          <w:color w:val="auto"/>
        </w:rPr>
      </w:pPr>
      <w:hyperlink w:anchor="_Toc208906255" w:history="1">
        <w:r w:rsidR="00611CBA" w:rsidRPr="00F9522B">
          <w:rPr>
            <w:rStyle w:val="aff2"/>
            <w:rFonts w:eastAsiaTheme="minorEastAsia"/>
            <w:b w:val="0"/>
            <w:noProof/>
            <w:color w:val="auto"/>
            <w:kern w:val="44"/>
          </w:rPr>
          <w:t>8.4</w:t>
        </w:r>
        <w:r w:rsidR="00611CBA" w:rsidRPr="00F9522B">
          <w:rPr>
            <w:rStyle w:val="aff2"/>
            <w:rFonts w:eastAsiaTheme="minorEastAsia"/>
            <w:b w:val="0"/>
            <w:noProof/>
            <w:color w:val="auto"/>
            <w:kern w:val="44"/>
          </w:rPr>
          <w:t>总量控制</w:t>
        </w:r>
        <w:r w:rsidR="00611CBA" w:rsidRPr="00F9522B">
          <w:rPr>
            <w:rFonts w:eastAsiaTheme="minorEastAsia"/>
            <w:b w:val="0"/>
            <w:noProof/>
            <w:color w:val="auto"/>
          </w:rPr>
          <w:tab/>
        </w:r>
        <w:r w:rsidRPr="00F9522B">
          <w:rPr>
            <w:rFonts w:eastAsiaTheme="minorEastAsia"/>
            <w:b w:val="0"/>
            <w:noProof/>
            <w:color w:val="auto"/>
          </w:rPr>
          <w:fldChar w:fldCharType="begin"/>
        </w:r>
        <w:r w:rsidR="00611CBA" w:rsidRPr="00F9522B">
          <w:rPr>
            <w:rFonts w:eastAsiaTheme="minorEastAsia"/>
            <w:b w:val="0"/>
            <w:noProof/>
            <w:color w:val="auto"/>
          </w:rPr>
          <w:instrText xml:space="preserve"> PAGEREF _Toc208906255 \h </w:instrText>
        </w:r>
        <w:r w:rsidRPr="00F9522B">
          <w:rPr>
            <w:rFonts w:eastAsiaTheme="minorEastAsia"/>
            <w:b w:val="0"/>
            <w:noProof/>
            <w:color w:val="auto"/>
          </w:rPr>
        </w:r>
        <w:r w:rsidRPr="00F9522B">
          <w:rPr>
            <w:rFonts w:eastAsiaTheme="minorEastAsia"/>
            <w:b w:val="0"/>
            <w:noProof/>
            <w:color w:val="auto"/>
          </w:rPr>
          <w:fldChar w:fldCharType="separate"/>
        </w:r>
        <w:r w:rsidR="005B7A33" w:rsidRPr="00F9522B">
          <w:rPr>
            <w:rFonts w:eastAsiaTheme="minorEastAsia"/>
            <w:b w:val="0"/>
            <w:noProof/>
            <w:color w:val="auto"/>
          </w:rPr>
          <w:t>295</w:t>
        </w:r>
        <w:r w:rsidRPr="00F9522B">
          <w:rPr>
            <w:rFonts w:eastAsiaTheme="minorEastAsia"/>
            <w:b w:val="0"/>
            <w:noProof/>
            <w:color w:val="auto"/>
          </w:rPr>
          <w:fldChar w:fldCharType="end"/>
        </w:r>
      </w:hyperlink>
    </w:p>
    <w:p w:rsidR="002A5A5E" w:rsidRPr="00F9522B" w:rsidRDefault="005273A1">
      <w:pPr>
        <w:pStyle w:val="11"/>
        <w:spacing w:line="240" w:lineRule="auto"/>
        <w:rPr>
          <w:b w:val="0"/>
          <w:bCs w:val="0"/>
          <w:iCs w:val="0"/>
          <w:noProof/>
          <w:kern w:val="2"/>
          <w:sz w:val="24"/>
          <w:szCs w:val="24"/>
        </w:rPr>
      </w:pPr>
      <w:hyperlink w:anchor="_Toc208906256" w:history="1">
        <w:r w:rsidR="00611CBA" w:rsidRPr="00F9522B">
          <w:rPr>
            <w:rStyle w:val="aff2"/>
            <w:b w:val="0"/>
            <w:noProof/>
            <w:color w:val="auto"/>
            <w:sz w:val="24"/>
            <w:szCs w:val="24"/>
          </w:rPr>
          <w:t>9</w:t>
        </w:r>
        <w:r w:rsidR="00611CBA" w:rsidRPr="00F9522B">
          <w:rPr>
            <w:rStyle w:val="aff2"/>
            <w:b w:val="0"/>
            <w:noProof/>
            <w:color w:val="auto"/>
            <w:sz w:val="24"/>
            <w:szCs w:val="24"/>
          </w:rPr>
          <w:t>环境影响评价结论</w:t>
        </w:r>
        <w:r w:rsidR="00611CBA" w:rsidRPr="00F9522B">
          <w:rPr>
            <w:b w:val="0"/>
            <w:noProof/>
            <w:sz w:val="24"/>
            <w:szCs w:val="24"/>
          </w:rPr>
          <w:tab/>
        </w:r>
        <w:r w:rsidRPr="00F9522B">
          <w:rPr>
            <w:b w:val="0"/>
            <w:noProof/>
            <w:sz w:val="24"/>
            <w:szCs w:val="24"/>
          </w:rPr>
          <w:fldChar w:fldCharType="begin"/>
        </w:r>
        <w:r w:rsidR="00611CBA" w:rsidRPr="00F9522B">
          <w:rPr>
            <w:b w:val="0"/>
            <w:noProof/>
            <w:sz w:val="24"/>
            <w:szCs w:val="24"/>
          </w:rPr>
          <w:instrText xml:space="preserve"> PAGEREF _Toc208906256 \h </w:instrText>
        </w:r>
        <w:r w:rsidRPr="00F9522B">
          <w:rPr>
            <w:b w:val="0"/>
            <w:noProof/>
            <w:sz w:val="24"/>
            <w:szCs w:val="24"/>
          </w:rPr>
        </w:r>
        <w:r w:rsidRPr="00F9522B">
          <w:rPr>
            <w:b w:val="0"/>
            <w:noProof/>
            <w:sz w:val="24"/>
            <w:szCs w:val="24"/>
          </w:rPr>
          <w:fldChar w:fldCharType="separate"/>
        </w:r>
        <w:r w:rsidR="005B7A33" w:rsidRPr="00F9522B">
          <w:rPr>
            <w:b w:val="0"/>
            <w:noProof/>
            <w:sz w:val="24"/>
            <w:szCs w:val="24"/>
          </w:rPr>
          <w:t>296</w:t>
        </w:r>
        <w:r w:rsidRPr="00F9522B">
          <w:rPr>
            <w:b w:val="0"/>
            <w:noProof/>
            <w:sz w:val="24"/>
            <w:szCs w:val="24"/>
          </w:rPr>
          <w:fldChar w:fldCharType="end"/>
        </w:r>
      </w:hyperlink>
    </w:p>
    <w:p w:rsidR="002A5A5E" w:rsidRPr="00F9522B" w:rsidRDefault="005273A1">
      <w:pPr>
        <w:pStyle w:val="23"/>
        <w:tabs>
          <w:tab w:val="right" w:leader="dot" w:pos="8296"/>
        </w:tabs>
        <w:spacing w:before="0" w:line="240" w:lineRule="auto"/>
        <w:ind w:left="0" w:firstLine="426"/>
        <w:rPr>
          <w:rFonts w:eastAsiaTheme="minorEastAsia"/>
          <w:b w:val="0"/>
          <w:bCs w:val="0"/>
          <w:noProof/>
          <w:color w:val="auto"/>
          <w:sz w:val="21"/>
          <w:szCs w:val="22"/>
        </w:rPr>
      </w:pPr>
      <w:hyperlink w:anchor="_Toc208906257" w:history="1">
        <w:r w:rsidR="00611CBA" w:rsidRPr="00F9522B">
          <w:rPr>
            <w:rStyle w:val="aff2"/>
            <w:rFonts w:eastAsiaTheme="minorEastAsia"/>
            <w:b w:val="0"/>
            <w:noProof/>
            <w:color w:val="auto"/>
            <w:kern w:val="44"/>
          </w:rPr>
          <w:t>9.1</w:t>
        </w:r>
        <w:r w:rsidR="00611CBA" w:rsidRPr="00F9522B">
          <w:rPr>
            <w:rStyle w:val="aff2"/>
            <w:rFonts w:eastAsiaTheme="minorEastAsia"/>
            <w:b w:val="0"/>
            <w:noProof/>
            <w:color w:val="auto"/>
            <w:kern w:val="44"/>
          </w:rPr>
          <w:t>评价结论</w:t>
        </w:r>
        <w:r w:rsidR="00611CBA" w:rsidRPr="00F9522B">
          <w:rPr>
            <w:rFonts w:eastAsiaTheme="minorEastAsia"/>
            <w:b w:val="0"/>
            <w:noProof/>
            <w:color w:val="auto"/>
          </w:rPr>
          <w:tab/>
        </w:r>
        <w:r w:rsidRPr="00F9522B">
          <w:rPr>
            <w:rFonts w:eastAsiaTheme="minorEastAsia"/>
            <w:b w:val="0"/>
            <w:noProof/>
            <w:color w:val="auto"/>
          </w:rPr>
          <w:fldChar w:fldCharType="begin"/>
        </w:r>
        <w:r w:rsidR="00611CBA" w:rsidRPr="00F9522B">
          <w:rPr>
            <w:rFonts w:eastAsiaTheme="minorEastAsia"/>
            <w:b w:val="0"/>
            <w:noProof/>
            <w:color w:val="auto"/>
          </w:rPr>
          <w:instrText xml:space="preserve"> PAGEREF _Toc208906257 \h </w:instrText>
        </w:r>
        <w:r w:rsidRPr="00F9522B">
          <w:rPr>
            <w:rFonts w:eastAsiaTheme="minorEastAsia"/>
            <w:b w:val="0"/>
            <w:noProof/>
            <w:color w:val="auto"/>
          </w:rPr>
        </w:r>
        <w:r w:rsidRPr="00F9522B">
          <w:rPr>
            <w:rFonts w:eastAsiaTheme="minorEastAsia"/>
            <w:b w:val="0"/>
            <w:noProof/>
            <w:color w:val="auto"/>
          </w:rPr>
          <w:fldChar w:fldCharType="separate"/>
        </w:r>
        <w:r w:rsidR="005B7A33" w:rsidRPr="00F9522B">
          <w:rPr>
            <w:rFonts w:eastAsiaTheme="minorEastAsia"/>
            <w:b w:val="0"/>
            <w:noProof/>
            <w:color w:val="auto"/>
          </w:rPr>
          <w:t>296</w:t>
        </w:r>
        <w:r w:rsidRPr="00F9522B">
          <w:rPr>
            <w:rFonts w:eastAsiaTheme="minorEastAsia"/>
            <w:b w:val="0"/>
            <w:noProof/>
            <w:color w:val="auto"/>
          </w:rPr>
          <w:fldChar w:fldCharType="end"/>
        </w:r>
      </w:hyperlink>
    </w:p>
    <w:p w:rsidR="002A5A5E" w:rsidRPr="00F9522B" w:rsidRDefault="005273A1">
      <w:pPr>
        <w:rPr>
          <w:rFonts w:eastAsiaTheme="minorEastAsia"/>
          <w:sz w:val="24"/>
        </w:rPr>
      </w:pPr>
      <w:r w:rsidRPr="00F9522B">
        <w:rPr>
          <w:rFonts w:eastAsiaTheme="minorEastAsia"/>
          <w:sz w:val="24"/>
        </w:rPr>
        <w:lastRenderedPageBreak/>
        <w:fldChar w:fldCharType="end"/>
      </w:r>
      <w:r w:rsidR="00611CBA" w:rsidRPr="00F9522B">
        <w:rPr>
          <w:rFonts w:eastAsiaTheme="minorEastAsia"/>
          <w:sz w:val="24"/>
        </w:rPr>
        <w:t>附件：</w:t>
      </w:r>
    </w:p>
    <w:p w:rsidR="002A5A5E" w:rsidRPr="00F9522B" w:rsidRDefault="00611CBA">
      <w:pPr>
        <w:ind w:firstLineChars="200" w:firstLine="480"/>
        <w:rPr>
          <w:rFonts w:eastAsiaTheme="minorEastAsia"/>
          <w:sz w:val="24"/>
        </w:rPr>
      </w:pPr>
      <w:r w:rsidRPr="00F9522B">
        <w:rPr>
          <w:rFonts w:eastAsiaTheme="minorEastAsia"/>
          <w:sz w:val="24"/>
        </w:rPr>
        <w:t>附件</w:t>
      </w:r>
      <w:r w:rsidRPr="00F9522B">
        <w:rPr>
          <w:rFonts w:eastAsiaTheme="minorEastAsia"/>
          <w:sz w:val="24"/>
        </w:rPr>
        <w:t>1</w:t>
      </w:r>
      <w:r w:rsidRPr="00F9522B">
        <w:rPr>
          <w:rFonts w:eastAsiaTheme="minorEastAsia"/>
          <w:sz w:val="24"/>
        </w:rPr>
        <w:t>：事业单位法人证书</w:t>
      </w:r>
    </w:p>
    <w:p w:rsidR="002A5A5E" w:rsidRPr="00F9522B" w:rsidRDefault="00611CBA">
      <w:pPr>
        <w:ind w:firstLineChars="200" w:firstLine="480"/>
        <w:rPr>
          <w:rFonts w:eastAsiaTheme="minorEastAsia"/>
          <w:sz w:val="24"/>
        </w:rPr>
      </w:pPr>
      <w:r w:rsidRPr="00F9522B">
        <w:rPr>
          <w:rFonts w:eastAsiaTheme="minorEastAsia"/>
          <w:sz w:val="24"/>
        </w:rPr>
        <w:t>附件</w:t>
      </w:r>
      <w:r w:rsidRPr="00F9522B">
        <w:rPr>
          <w:rFonts w:eastAsiaTheme="minorEastAsia"/>
          <w:sz w:val="24"/>
        </w:rPr>
        <w:t>2</w:t>
      </w:r>
      <w:r w:rsidRPr="00F9522B">
        <w:rPr>
          <w:rFonts w:eastAsiaTheme="minorEastAsia"/>
          <w:sz w:val="24"/>
        </w:rPr>
        <w:t>：现状监测报告</w:t>
      </w:r>
    </w:p>
    <w:p w:rsidR="002A5A5E" w:rsidRPr="00F9522B" w:rsidRDefault="00611CBA">
      <w:pPr>
        <w:ind w:firstLineChars="200" w:firstLine="480"/>
        <w:rPr>
          <w:rFonts w:eastAsiaTheme="minorEastAsia"/>
          <w:sz w:val="24"/>
        </w:rPr>
      </w:pPr>
      <w:r w:rsidRPr="00F9522B">
        <w:rPr>
          <w:rFonts w:eastAsiaTheme="minorEastAsia"/>
          <w:sz w:val="24"/>
        </w:rPr>
        <w:t>附件</w:t>
      </w:r>
      <w:r w:rsidRPr="00F9522B">
        <w:rPr>
          <w:rFonts w:eastAsiaTheme="minorEastAsia"/>
          <w:sz w:val="24"/>
        </w:rPr>
        <w:t>3</w:t>
      </w:r>
      <w:r w:rsidRPr="00F9522B">
        <w:rPr>
          <w:rFonts w:eastAsiaTheme="minorEastAsia"/>
          <w:sz w:val="24"/>
        </w:rPr>
        <w:t>：初设批复</w:t>
      </w:r>
    </w:p>
    <w:p w:rsidR="002A5A5E" w:rsidRPr="00F9522B" w:rsidRDefault="00611CBA">
      <w:pPr>
        <w:ind w:firstLineChars="200" w:firstLine="480"/>
        <w:rPr>
          <w:rFonts w:eastAsiaTheme="minorEastAsia"/>
          <w:color w:val="FF0000"/>
          <w:sz w:val="24"/>
        </w:rPr>
      </w:pPr>
      <w:r w:rsidRPr="00F9522B">
        <w:rPr>
          <w:rFonts w:eastAsiaTheme="minorEastAsia"/>
          <w:color w:val="FF0000"/>
          <w:sz w:val="24"/>
        </w:rPr>
        <w:t>附件</w:t>
      </w:r>
      <w:r w:rsidR="00BE2F69" w:rsidRPr="00F9522B">
        <w:rPr>
          <w:rFonts w:eastAsiaTheme="minorEastAsia"/>
          <w:color w:val="FF0000"/>
          <w:sz w:val="24"/>
        </w:rPr>
        <w:t>4</w:t>
      </w:r>
      <w:r w:rsidRPr="00F9522B">
        <w:rPr>
          <w:rFonts w:eastAsiaTheme="minorEastAsia"/>
          <w:color w:val="FF0000"/>
          <w:sz w:val="24"/>
        </w:rPr>
        <w:t>：项目取水许可批复</w:t>
      </w:r>
      <w:r w:rsidR="0008339D" w:rsidRPr="00F9522B">
        <w:rPr>
          <w:rFonts w:eastAsiaTheme="minorEastAsia"/>
          <w:color w:val="FF0000"/>
          <w:sz w:val="24"/>
        </w:rPr>
        <w:t>及水资源论证专家评审意见</w:t>
      </w:r>
    </w:p>
    <w:p w:rsidR="002A5A5E" w:rsidRPr="00F9522B" w:rsidRDefault="00611CBA">
      <w:pPr>
        <w:ind w:leftChars="228" w:left="1319" w:hangingChars="350" w:hanging="840"/>
        <w:rPr>
          <w:rFonts w:eastAsiaTheme="minorEastAsia"/>
          <w:sz w:val="24"/>
        </w:rPr>
      </w:pPr>
      <w:r w:rsidRPr="00F9522B">
        <w:rPr>
          <w:rFonts w:eastAsiaTheme="minorEastAsia"/>
          <w:sz w:val="24"/>
        </w:rPr>
        <w:t>附件</w:t>
      </w:r>
      <w:r w:rsidR="00BE2F69" w:rsidRPr="00F9522B">
        <w:rPr>
          <w:rFonts w:eastAsiaTheme="minorEastAsia"/>
          <w:sz w:val="24"/>
        </w:rPr>
        <w:t>5</w:t>
      </w:r>
      <w:r w:rsidRPr="00F9522B">
        <w:rPr>
          <w:rFonts w:eastAsiaTheme="minorEastAsia"/>
          <w:sz w:val="24"/>
        </w:rPr>
        <w:t>：《</w:t>
      </w:r>
      <w:r w:rsidR="003A7922" w:rsidRPr="00F9522B">
        <w:rPr>
          <w:rFonts w:eastAsiaTheme="minorEastAsia"/>
          <w:sz w:val="24"/>
        </w:rPr>
        <w:t>呼兰区</w:t>
      </w:r>
      <w:r w:rsidR="003A7922" w:rsidRPr="00F9522B">
        <w:rPr>
          <w:rFonts w:eastAsiaTheme="minorEastAsia"/>
          <w:sz w:val="24"/>
        </w:rPr>
        <w:t>2026</w:t>
      </w:r>
      <w:r w:rsidR="003A7922" w:rsidRPr="00F9522B">
        <w:rPr>
          <w:rFonts w:eastAsiaTheme="minorEastAsia"/>
          <w:sz w:val="24"/>
        </w:rPr>
        <w:t>年高标准农田建设项目</w:t>
      </w:r>
      <w:r w:rsidRPr="00F9522B">
        <w:rPr>
          <w:rFonts w:eastAsiaTheme="minorEastAsia"/>
          <w:sz w:val="24"/>
        </w:rPr>
        <w:t>生态环境分区管控分析报告》</w:t>
      </w:r>
    </w:p>
    <w:p w:rsidR="002A5A5E" w:rsidRPr="00F9522B" w:rsidRDefault="00611CBA">
      <w:pPr>
        <w:rPr>
          <w:rFonts w:eastAsiaTheme="minorEastAsia"/>
          <w:sz w:val="24"/>
        </w:rPr>
      </w:pPr>
      <w:r w:rsidRPr="00F9522B">
        <w:rPr>
          <w:rFonts w:eastAsiaTheme="minorEastAsia"/>
          <w:sz w:val="24"/>
        </w:rPr>
        <w:t>附图：</w:t>
      </w:r>
    </w:p>
    <w:p w:rsidR="002A5A5E" w:rsidRPr="00F9522B" w:rsidRDefault="00611CBA">
      <w:pPr>
        <w:ind w:firstLineChars="200" w:firstLine="480"/>
        <w:rPr>
          <w:rFonts w:eastAsiaTheme="minorEastAsia"/>
          <w:sz w:val="24"/>
        </w:rPr>
      </w:pPr>
      <w:r w:rsidRPr="00F9522B">
        <w:rPr>
          <w:rFonts w:eastAsiaTheme="minorEastAsia"/>
          <w:sz w:val="24"/>
        </w:rPr>
        <w:t>附图</w:t>
      </w:r>
      <w:r w:rsidRPr="00F9522B">
        <w:rPr>
          <w:rFonts w:eastAsiaTheme="minorEastAsia"/>
          <w:sz w:val="24"/>
        </w:rPr>
        <w:t>1</w:t>
      </w:r>
      <w:r w:rsidRPr="00F9522B">
        <w:rPr>
          <w:rFonts w:eastAsiaTheme="minorEastAsia"/>
          <w:sz w:val="24"/>
        </w:rPr>
        <w:t>：项目地理位置图</w:t>
      </w:r>
    </w:p>
    <w:p w:rsidR="002A5A5E" w:rsidRPr="00F9522B" w:rsidRDefault="00611CBA">
      <w:pPr>
        <w:ind w:firstLineChars="200" w:firstLine="480"/>
        <w:rPr>
          <w:rFonts w:eastAsiaTheme="minorEastAsia"/>
          <w:sz w:val="24"/>
        </w:rPr>
      </w:pPr>
      <w:r w:rsidRPr="00F9522B">
        <w:rPr>
          <w:rFonts w:eastAsiaTheme="minorEastAsia"/>
          <w:sz w:val="24"/>
        </w:rPr>
        <w:t>附图</w:t>
      </w:r>
      <w:r w:rsidRPr="00F9522B">
        <w:rPr>
          <w:rFonts w:eastAsiaTheme="minorEastAsia"/>
          <w:sz w:val="24"/>
        </w:rPr>
        <w:t>2</w:t>
      </w:r>
      <w:r w:rsidRPr="00F9522B">
        <w:rPr>
          <w:rFonts w:eastAsiaTheme="minorEastAsia"/>
          <w:sz w:val="24"/>
        </w:rPr>
        <w:t>：项目生态及地下水评价范围</w:t>
      </w:r>
    </w:p>
    <w:p w:rsidR="002A5A5E" w:rsidRPr="00F9522B" w:rsidRDefault="00611CBA">
      <w:pPr>
        <w:ind w:firstLineChars="200" w:firstLine="480"/>
        <w:rPr>
          <w:rFonts w:eastAsiaTheme="minorEastAsia"/>
          <w:sz w:val="24"/>
        </w:rPr>
      </w:pPr>
      <w:r w:rsidRPr="00F9522B">
        <w:rPr>
          <w:rFonts w:eastAsiaTheme="minorEastAsia"/>
          <w:sz w:val="24"/>
        </w:rPr>
        <w:t>附图</w:t>
      </w:r>
      <w:r w:rsidRPr="00F9522B">
        <w:rPr>
          <w:rFonts w:eastAsiaTheme="minorEastAsia"/>
          <w:sz w:val="24"/>
        </w:rPr>
        <w:t>3</w:t>
      </w:r>
      <w:r w:rsidRPr="00F9522B">
        <w:rPr>
          <w:rFonts w:eastAsiaTheme="minorEastAsia"/>
          <w:sz w:val="24"/>
        </w:rPr>
        <w:t>：</w:t>
      </w:r>
      <w:r w:rsidRPr="00F9522B">
        <w:rPr>
          <w:rFonts w:eastAsiaTheme="minorEastAsia"/>
          <w:bCs/>
          <w:sz w:val="24"/>
        </w:rPr>
        <w:t>生态恢复措施平面布置示意图</w:t>
      </w:r>
    </w:p>
    <w:p w:rsidR="002A5A5E" w:rsidRPr="00F9522B" w:rsidRDefault="00611CBA">
      <w:pPr>
        <w:ind w:firstLineChars="200" w:firstLine="480"/>
        <w:rPr>
          <w:rFonts w:eastAsiaTheme="minorEastAsia"/>
          <w:bCs/>
          <w:sz w:val="24"/>
        </w:rPr>
      </w:pPr>
      <w:r w:rsidRPr="00F9522B">
        <w:rPr>
          <w:rFonts w:eastAsiaTheme="minorEastAsia"/>
          <w:sz w:val="24"/>
        </w:rPr>
        <w:t>附图</w:t>
      </w:r>
      <w:r w:rsidRPr="00F9522B">
        <w:rPr>
          <w:rFonts w:eastAsiaTheme="minorEastAsia"/>
          <w:sz w:val="24"/>
        </w:rPr>
        <w:t>4</w:t>
      </w:r>
      <w:r w:rsidRPr="00F9522B">
        <w:rPr>
          <w:rFonts w:eastAsiaTheme="minorEastAsia"/>
          <w:sz w:val="24"/>
        </w:rPr>
        <w:t>：</w:t>
      </w:r>
      <w:r w:rsidRPr="00F9522B">
        <w:rPr>
          <w:rFonts w:eastAsiaTheme="minorEastAsia"/>
          <w:bCs/>
          <w:sz w:val="24"/>
        </w:rPr>
        <w:t>典型生态污染防治措施图</w:t>
      </w:r>
    </w:p>
    <w:p w:rsidR="002A5A5E" w:rsidRPr="00F9522B" w:rsidRDefault="00611CBA">
      <w:pPr>
        <w:ind w:firstLineChars="200" w:firstLine="480"/>
        <w:rPr>
          <w:rFonts w:eastAsiaTheme="minorEastAsia"/>
          <w:bCs/>
          <w:sz w:val="24"/>
        </w:rPr>
      </w:pPr>
      <w:r w:rsidRPr="00F9522B">
        <w:rPr>
          <w:rFonts w:eastAsiaTheme="minorEastAsia"/>
          <w:bCs/>
          <w:sz w:val="24"/>
        </w:rPr>
        <w:t>附图</w:t>
      </w:r>
      <w:r w:rsidRPr="00F9522B">
        <w:rPr>
          <w:rFonts w:eastAsiaTheme="minorEastAsia"/>
          <w:bCs/>
          <w:sz w:val="24"/>
        </w:rPr>
        <w:t>5</w:t>
      </w:r>
      <w:r w:rsidRPr="00F9522B">
        <w:rPr>
          <w:rFonts w:eastAsiaTheme="minorEastAsia"/>
          <w:bCs/>
          <w:sz w:val="24"/>
        </w:rPr>
        <w:t>：生态监测布点图</w:t>
      </w:r>
    </w:p>
    <w:p w:rsidR="002A5A5E" w:rsidRPr="00F9522B" w:rsidRDefault="00611CBA">
      <w:pPr>
        <w:ind w:firstLineChars="200" w:firstLine="480"/>
        <w:rPr>
          <w:rFonts w:eastAsiaTheme="minorEastAsia"/>
          <w:bCs/>
          <w:sz w:val="24"/>
        </w:rPr>
      </w:pPr>
      <w:r w:rsidRPr="00F9522B">
        <w:rPr>
          <w:rFonts w:eastAsiaTheme="minorEastAsia"/>
          <w:bCs/>
          <w:sz w:val="24"/>
        </w:rPr>
        <w:t>附图</w:t>
      </w:r>
      <w:r w:rsidRPr="00F9522B">
        <w:rPr>
          <w:rFonts w:eastAsiaTheme="minorEastAsia"/>
          <w:bCs/>
          <w:sz w:val="24"/>
        </w:rPr>
        <w:t>6</w:t>
      </w:r>
      <w:r w:rsidRPr="00F9522B">
        <w:rPr>
          <w:rFonts w:eastAsiaTheme="minorEastAsia"/>
          <w:bCs/>
          <w:sz w:val="24"/>
        </w:rPr>
        <w:t>：植被类型图</w:t>
      </w:r>
    </w:p>
    <w:p w:rsidR="002A5A5E" w:rsidRPr="00F9522B" w:rsidRDefault="00611CBA">
      <w:pPr>
        <w:ind w:firstLineChars="200" w:firstLine="480"/>
        <w:rPr>
          <w:rFonts w:eastAsiaTheme="minorEastAsia"/>
          <w:sz w:val="24"/>
        </w:rPr>
      </w:pPr>
      <w:r w:rsidRPr="00F9522B">
        <w:rPr>
          <w:rFonts w:eastAsiaTheme="minorEastAsia"/>
          <w:sz w:val="24"/>
        </w:rPr>
        <w:t>附图</w:t>
      </w:r>
      <w:r w:rsidRPr="00F9522B">
        <w:rPr>
          <w:rFonts w:eastAsiaTheme="minorEastAsia"/>
          <w:sz w:val="24"/>
        </w:rPr>
        <w:t>7-1~7-2</w:t>
      </w:r>
      <w:r w:rsidRPr="00F9522B">
        <w:rPr>
          <w:rFonts w:eastAsiaTheme="minorEastAsia"/>
          <w:sz w:val="24"/>
        </w:rPr>
        <w:t>：环境空气及声环境敏感目标分布图</w:t>
      </w:r>
    </w:p>
    <w:p w:rsidR="002A5A5E" w:rsidRPr="00F9522B" w:rsidRDefault="00611CBA">
      <w:pPr>
        <w:ind w:firstLineChars="200" w:firstLine="480"/>
        <w:rPr>
          <w:rFonts w:eastAsiaTheme="minorEastAsia"/>
          <w:sz w:val="24"/>
        </w:rPr>
      </w:pPr>
      <w:r w:rsidRPr="00F9522B">
        <w:rPr>
          <w:rFonts w:eastAsiaTheme="minorEastAsia"/>
          <w:sz w:val="24"/>
        </w:rPr>
        <w:t>附图</w:t>
      </w:r>
      <w:r w:rsidRPr="00F9522B">
        <w:rPr>
          <w:rFonts w:eastAsiaTheme="minorEastAsia"/>
          <w:sz w:val="24"/>
        </w:rPr>
        <w:t>8</w:t>
      </w:r>
      <w:r w:rsidRPr="00F9522B">
        <w:rPr>
          <w:rFonts w:eastAsiaTheme="minorEastAsia"/>
          <w:sz w:val="24"/>
        </w:rPr>
        <w:t>：土地利用现状图</w:t>
      </w:r>
    </w:p>
    <w:p w:rsidR="002A5A5E" w:rsidRPr="00F9522B" w:rsidRDefault="00611CBA">
      <w:pPr>
        <w:ind w:firstLineChars="200" w:firstLine="480"/>
        <w:rPr>
          <w:rFonts w:eastAsiaTheme="minorEastAsia"/>
          <w:sz w:val="24"/>
        </w:rPr>
        <w:sectPr w:rsidR="002A5A5E" w:rsidRPr="00F9522B">
          <w:footerReference w:type="default" r:id="rId10"/>
          <w:pgSz w:w="11906" w:h="16838"/>
          <w:pgMar w:top="1440" w:right="1800" w:bottom="1440" w:left="1800" w:header="851" w:footer="992" w:gutter="0"/>
          <w:pgNumType w:fmt="upperRoman" w:start="1"/>
          <w:cols w:space="425"/>
          <w:docGrid w:type="lines" w:linePitch="312"/>
        </w:sectPr>
      </w:pPr>
      <w:r w:rsidRPr="00F9522B">
        <w:rPr>
          <w:rFonts w:eastAsiaTheme="minorEastAsia"/>
          <w:sz w:val="24"/>
        </w:rPr>
        <w:t>附图</w:t>
      </w:r>
      <w:r w:rsidRPr="00F9522B">
        <w:rPr>
          <w:rFonts w:eastAsiaTheme="minorEastAsia"/>
          <w:sz w:val="24"/>
        </w:rPr>
        <w:t>9</w:t>
      </w:r>
      <w:r w:rsidRPr="00F9522B">
        <w:rPr>
          <w:rFonts w:eastAsiaTheme="minorEastAsia"/>
          <w:sz w:val="24"/>
        </w:rPr>
        <w:t>：项目</w:t>
      </w:r>
      <w:r w:rsidRPr="00F9522B">
        <w:rPr>
          <w:rFonts w:eastAsiaTheme="minorEastAsia"/>
          <w:bCs/>
          <w:sz w:val="24"/>
        </w:rPr>
        <w:t>工程及施工总平面布置</w:t>
      </w:r>
      <w:r w:rsidRPr="00F9522B">
        <w:rPr>
          <w:rFonts w:eastAsiaTheme="minorEastAsia"/>
          <w:sz w:val="24"/>
        </w:rPr>
        <w:t>、退水路线及水系图</w:t>
      </w:r>
      <w:r w:rsidRPr="00F9522B">
        <w:rPr>
          <w:rFonts w:eastAsiaTheme="minorEastAsia"/>
          <w:sz w:val="24"/>
        </w:rPr>
        <w:t xml:space="preserve">  </w:t>
      </w:r>
    </w:p>
    <w:p w:rsidR="002A5A5E" w:rsidRPr="00F9522B" w:rsidRDefault="00611CBA">
      <w:pPr>
        <w:widowControl/>
        <w:tabs>
          <w:tab w:val="left" w:leader="middleDot" w:pos="7371"/>
        </w:tabs>
        <w:spacing w:before="100" w:beforeAutospacing="1" w:after="100" w:afterAutospacing="1"/>
        <w:contextualSpacing/>
        <w:jc w:val="left"/>
        <w:outlineLvl w:val="0"/>
        <w:rPr>
          <w:rFonts w:eastAsiaTheme="minorEastAsia"/>
          <w:b/>
          <w:kern w:val="0"/>
          <w:sz w:val="32"/>
          <w:szCs w:val="32"/>
        </w:rPr>
      </w:pPr>
      <w:bookmarkStart w:id="1" w:name="_Toc208906216"/>
      <w:r w:rsidRPr="00F9522B">
        <w:rPr>
          <w:rFonts w:eastAsiaTheme="minorEastAsia"/>
          <w:b/>
          <w:kern w:val="0"/>
          <w:sz w:val="32"/>
          <w:szCs w:val="32"/>
        </w:rPr>
        <w:lastRenderedPageBreak/>
        <w:t>1</w:t>
      </w:r>
      <w:r w:rsidRPr="00F9522B">
        <w:rPr>
          <w:rFonts w:eastAsiaTheme="minorEastAsia"/>
          <w:b/>
          <w:kern w:val="0"/>
          <w:sz w:val="32"/>
          <w:szCs w:val="32"/>
        </w:rPr>
        <w:t>概述</w:t>
      </w:r>
      <w:bookmarkEnd w:id="0"/>
      <w:bookmarkEnd w:id="1"/>
    </w:p>
    <w:p w:rsidR="002A5A5E" w:rsidRPr="00F9522B" w:rsidRDefault="00611CBA">
      <w:pPr>
        <w:spacing w:before="100" w:beforeAutospacing="1" w:after="100" w:afterAutospacing="1"/>
        <w:contextualSpacing/>
        <w:jc w:val="left"/>
        <w:outlineLvl w:val="1"/>
        <w:rPr>
          <w:rFonts w:eastAsiaTheme="minorEastAsia"/>
          <w:b/>
          <w:bCs/>
          <w:kern w:val="44"/>
          <w:sz w:val="30"/>
          <w:szCs w:val="30"/>
        </w:rPr>
      </w:pPr>
      <w:bookmarkStart w:id="2" w:name="_Toc208906217"/>
      <w:r w:rsidRPr="00F9522B">
        <w:rPr>
          <w:rFonts w:eastAsiaTheme="minorEastAsia"/>
          <w:b/>
          <w:bCs/>
          <w:kern w:val="44"/>
          <w:sz w:val="30"/>
          <w:szCs w:val="30"/>
        </w:rPr>
        <w:t>1.1</w:t>
      </w:r>
      <w:r w:rsidRPr="00F9522B">
        <w:rPr>
          <w:rFonts w:eastAsiaTheme="minorEastAsia"/>
          <w:b/>
          <w:bCs/>
          <w:kern w:val="44"/>
          <w:sz w:val="30"/>
          <w:szCs w:val="30"/>
        </w:rPr>
        <w:t>项目由来</w:t>
      </w:r>
      <w:bookmarkEnd w:id="2"/>
    </w:p>
    <w:p w:rsidR="002A5A5E" w:rsidRPr="00F9522B" w:rsidRDefault="00611CBA">
      <w:pPr>
        <w:spacing w:line="360" w:lineRule="auto"/>
        <w:ind w:firstLineChars="200" w:firstLine="480"/>
        <w:rPr>
          <w:rFonts w:eastAsiaTheme="minorEastAsia"/>
          <w:snapToGrid w:val="0"/>
          <w:kern w:val="0"/>
          <w:sz w:val="24"/>
        </w:rPr>
      </w:pPr>
      <w:bookmarkStart w:id="3" w:name="_Toc479252798"/>
      <w:r w:rsidRPr="00F9522B">
        <w:rPr>
          <w:rFonts w:eastAsiaTheme="minorEastAsia"/>
          <w:snapToGrid w:val="0"/>
          <w:kern w:val="0"/>
          <w:sz w:val="24"/>
        </w:rPr>
        <w:t>耕地是粮食生产的第一资源，解决我国粮食问题必须立足于国内基本自给的方针。随着人口增长和生活水平的提高，我国粮食需求将继续增加，保护耕地、确保国家粮食安全的压力将日益加重。要切实做到有效控制耕地减少过多的状况，确保粮食安全，必须稳定一定数量和质量的耕地，特别是基本农田，这是建设高标准农田工作首要的目标和任务，是加强基本农田基础设施建设、提高基本农田质量、改善基本农田生产条件的主要手段。</w:t>
      </w:r>
    </w:p>
    <w:p w:rsidR="002A5A5E" w:rsidRPr="00F9522B" w:rsidRDefault="00611CBA" w:rsidP="008004FE">
      <w:pPr>
        <w:spacing w:line="360" w:lineRule="auto"/>
        <w:ind w:firstLineChars="200" w:firstLine="480"/>
        <w:rPr>
          <w:bCs/>
          <w:sz w:val="24"/>
        </w:rPr>
      </w:pPr>
      <w:r w:rsidRPr="00F9522B">
        <w:rPr>
          <w:sz w:val="24"/>
        </w:rPr>
        <w:t>哈尔滨市呼兰生态环境局于</w:t>
      </w:r>
      <w:r w:rsidRPr="00F9522B">
        <w:rPr>
          <w:sz w:val="24"/>
        </w:rPr>
        <w:t>2024</w:t>
      </w:r>
      <w:r w:rsidRPr="00F9522B">
        <w:rPr>
          <w:sz w:val="24"/>
        </w:rPr>
        <w:t>年</w:t>
      </w:r>
      <w:r w:rsidRPr="00F9522B">
        <w:rPr>
          <w:sz w:val="24"/>
        </w:rPr>
        <w:t>12</w:t>
      </w:r>
      <w:r w:rsidRPr="00F9522B">
        <w:rPr>
          <w:sz w:val="24"/>
        </w:rPr>
        <w:t>月</w:t>
      </w:r>
      <w:r w:rsidRPr="00F9522B">
        <w:rPr>
          <w:sz w:val="24"/>
        </w:rPr>
        <w:t>31</w:t>
      </w:r>
      <w:r w:rsidRPr="00F9522B">
        <w:rPr>
          <w:sz w:val="24"/>
        </w:rPr>
        <w:t>日以《关于呼兰区</w:t>
      </w:r>
      <w:r w:rsidRPr="00F9522B">
        <w:rPr>
          <w:sz w:val="24"/>
        </w:rPr>
        <w:t>2024</w:t>
      </w:r>
      <w:r w:rsidRPr="00F9522B">
        <w:rPr>
          <w:sz w:val="24"/>
        </w:rPr>
        <w:t>年高标准农田建设项目环境影响报告书的批复》（哈环呼审书【</w:t>
      </w:r>
      <w:r w:rsidRPr="00F9522B">
        <w:rPr>
          <w:sz w:val="24"/>
        </w:rPr>
        <w:t>2024</w:t>
      </w:r>
      <w:r w:rsidRPr="00F9522B">
        <w:rPr>
          <w:sz w:val="24"/>
        </w:rPr>
        <w:t>】</w:t>
      </w:r>
      <w:r w:rsidRPr="00F9522B">
        <w:rPr>
          <w:sz w:val="24"/>
        </w:rPr>
        <w:t>2</w:t>
      </w:r>
      <w:r w:rsidRPr="00F9522B">
        <w:rPr>
          <w:sz w:val="24"/>
        </w:rPr>
        <w:t>号）对</w:t>
      </w:r>
      <w:r w:rsidRPr="00F9522B">
        <w:rPr>
          <w:sz w:val="24"/>
        </w:rPr>
        <w:t>2024</w:t>
      </w:r>
      <w:r w:rsidRPr="00F9522B">
        <w:rPr>
          <w:sz w:val="24"/>
        </w:rPr>
        <w:t>年呼兰区高标准农田建设项目进行环评批复。</w:t>
      </w:r>
      <w:r w:rsidR="008004FE" w:rsidRPr="00F9522B">
        <w:rPr>
          <w:bCs/>
          <w:sz w:val="24"/>
        </w:rPr>
        <w:t>建设</w:t>
      </w:r>
      <w:r w:rsidR="008004FE" w:rsidRPr="00F9522B">
        <w:rPr>
          <w:bCs/>
          <w:sz w:val="24"/>
        </w:rPr>
        <w:t>30.4</w:t>
      </w:r>
      <w:r w:rsidR="008004FE" w:rsidRPr="00F9522B">
        <w:rPr>
          <w:bCs/>
          <w:sz w:val="24"/>
        </w:rPr>
        <w:t>万亩高标准农田（旱田</w:t>
      </w:r>
      <w:r w:rsidR="008004FE" w:rsidRPr="00F9522B">
        <w:rPr>
          <w:bCs/>
          <w:sz w:val="24"/>
        </w:rPr>
        <w:t>21.1</w:t>
      </w:r>
      <w:r w:rsidR="008004FE" w:rsidRPr="00F9522B">
        <w:rPr>
          <w:bCs/>
          <w:sz w:val="24"/>
        </w:rPr>
        <w:t>万亩，水田</w:t>
      </w:r>
      <w:r w:rsidR="008004FE" w:rsidRPr="00F9522B">
        <w:rPr>
          <w:bCs/>
          <w:sz w:val="24"/>
        </w:rPr>
        <w:t>9.3</w:t>
      </w:r>
      <w:r w:rsidR="008004FE" w:rsidRPr="00F9522B">
        <w:rPr>
          <w:bCs/>
          <w:sz w:val="24"/>
        </w:rPr>
        <w:t>万亩）。</w:t>
      </w:r>
      <w:r w:rsidR="00AE56B3" w:rsidRPr="00F9522B">
        <w:rPr>
          <w:sz w:val="24"/>
        </w:rPr>
        <w:t>于</w:t>
      </w:r>
      <w:r w:rsidR="00AE56B3" w:rsidRPr="00F9522B">
        <w:rPr>
          <w:sz w:val="24"/>
        </w:rPr>
        <w:t>2025</w:t>
      </w:r>
      <w:r w:rsidR="00AE56B3" w:rsidRPr="00F9522B">
        <w:rPr>
          <w:sz w:val="24"/>
        </w:rPr>
        <w:t>年</w:t>
      </w:r>
      <w:r w:rsidR="00AE56B3" w:rsidRPr="00F9522B">
        <w:rPr>
          <w:sz w:val="24"/>
        </w:rPr>
        <w:t>12</w:t>
      </w:r>
      <w:r w:rsidR="00AE56B3" w:rsidRPr="00F9522B">
        <w:rPr>
          <w:sz w:val="24"/>
        </w:rPr>
        <w:t>月</w:t>
      </w:r>
      <w:r w:rsidR="00AE56B3" w:rsidRPr="00F9522B">
        <w:rPr>
          <w:sz w:val="24"/>
        </w:rPr>
        <w:t>23</w:t>
      </w:r>
      <w:r w:rsidR="00AE56B3" w:rsidRPr="00F9522B">
        <w:rPr>
          <w:sz w:val="24"/>
        </w:rPr>
        <w:t>日以《关于呼兰区</w:t>
      </w:r>
      <w:r w:rsidR="00AE56B3" w:rsidRPr="00F9522B">
        <w:rPr>
          <w:sz w:val="24"/>
        </w:rPr>
        <w:t>2025</w:t>
      </w:r>
      <w:r w:rsidR="00AE56B3" w:rsidRPr="00F9522B">
        <w:rPr>
          <w:sz w:val="24"/>
        </w:rPr>
        <w:t>年高标准农田建设项目环境影响报告书的批复》（哈环呼审书【</w:t>
      </w:r>
      <w:r w:rsidR="00AE56B3" w:rsidRPr="00F9522B">
        <w:rPr>
          <w:sz w:val="24"/>
        </w:rPr>
        <w:t>2025</w:t>
      </w:r>
      <w:r w:rsidR="00AE56B3" w:rsidRPr="00F9522B">
        <w:rPr>
          <w:sz w:val="24"/>
        </w:rPr>
        <w:t>】</w:t>
      </w:r>
      <w:r w:rsidR="00AE56B3" w:rsidRPr="00F9522B">
        <w:rPr>
          <w:sz w:val="24"/>
        </w:rPr>
        <w:t>25</w:t>
      </w:r>
      <w:r w:rsidR="00AE56B3" w:rsidRPr="00F9522B">
        <w:rPr>
          <w:sz w:val="24"/>
        </w:rPr>
        <w:t>号）对</w:t>
      </w:r>
      <w:r w:rsidR="00AE56B3" w:rsidRPr="00F9522B">
        <w:rPr>
          <w:sz w:val="24"/>
        </w:rPr>
        <w:t>2025</w:t>
      </w:r>
      <w:r w:rsidR="00AE56B3" w:rsidRPr="00F9522B">
        <w:rPr>
          <w:sz w:val="24"/>
        </w:rPr>
        <w:t>年呼兰区高标准农田建设项目进行环评批复。</w:t>
      </w:r>
      <w:r w:rsidR="008004FE" w:rsidRPr="00F9522B">
        <w:rPr>
          <w:rFonts w:eastAsiaTheme="minorEastAsia"/>
          <w:bCs/>
          <w:sz w:val="24"/>
        </w:rPr>
        <w:t>建设</w:t>
      </w:r>
      <w:r w:rsidR="008004FE" w:rsidRPr="00F9522B">
        <w:rPr>
          <w:rFonts w:eastAsiaTheme="minorEastAsia"/>
          <w:bCs/>
          <w:sz w:val="24"/>
        </w:rPr>
        <w:t>32</w:t>
      </w:r>
      <w:r w:rsidR="008004FE" w:rsidRPr="00F9522B">
        <w:rPr>
          <w:rFonts w:eastAsiaTheme="minorEastAsia"/>
          <w:bCs/>
          <w:sz w:val="24"/>
        </w:rPr>
        <w:t>万亩高标准农田（旱田</w:t>
      </w:r>
      <w:r w:rsidR="008004FE" w:rsidRPr="00F9522B">
        <w:rPr>
          <w:rFonts w:eastAsiaTheme="minorEastAsia"/>
          <w:bCs/>
          <w:sz w:val="24"/>
        </w:rPr>
        <w:t>31.53</w:t>
      </w:r>
      <w:r w:rsidR="008004FE" w:rsidRPr="00F9522B">
        <w:rPr>
          <w:rFonts w:eastAsiaTheme="minorEastAsia"/>
          <w:bCs/>
          <w:sz w:val="24"/>
        </w:rPr>
        <w:t>万亩，水田</w:t>
      </w:r>
      <w:r w:rsidR="008004FE" w:rsidRPr="00F9522B">
        <w:rPr>
          <w:rFonts w:eastAsiaTheme="minorEastAsia"/>
          <w:bCs/>
          <w:sz w:val="24"/>
        </w:rPr>
        <w:t>0.47</w:t>
      </w:r>
      <w:r w:rsidR="008004FE" w:rsidRPr="00F9522B">
        <w:rPr>
          <w:rFonts w:eastAsiaTheme="minorEastAsia"/>
          <w:bCs/>
          <w:sz w:val="24"/>
        </w:rPr>
        <w:t>万亩）</w:t>
      </w:r>
      <w:r w:rsidR="008004FE" w:rsidRPr="00F9522B">
        <w:rPr>
          <w:rFonts w:eastAsiaTheme="minorEastAsia"/>
          <w:bCs/>
          <w:snapToGrid w:val="0"/>
          <w:kern w:val="0"/>
          <w:sz w:val="24"/>
        </w:rPr>
        <w:t>。</w:t>
      </w:r>
    </w:p>
    <w:p w:rsidR="00DE64E8" w:rsidRPr="00F9522B" w:rsidRDefault="00AE56B3" w:rsidP="00DE64E8">
      <w:pPr>
        <w:spacing w:line="360" w:lineRule="auto"/>
        <w:ind w:firstLineChars="200" w:firstLine="480"/>
        <w:rPr>
          <w:color w:val="FF0000"/>
          <w:sz w:val="24"/>
        </w:rPr>
      </w:pPr>
      <w:r w:rsidRPr="00F9522B">
        <w:rPr>
          <w:sz w:val="24"/>
        </w:rPr>
        <w:t>2024</w:t>
      </w:r>
      <w:r w:rsidRPr="00F9522B">
        <w:rPr>
          <w:sz w:val="24"/>
        </w:rPr>
        <w:t>年、</w:t>
      </w:r>
      <w:r w:rsidRPr="00F9522B">
        <w:rPr>
          <w:sz w:val="24"/>
        </w:rPr>
        <w:t>2025</w:t>
      </w:r>
      <w:r w:rsidRPr="00F9522B">
        <w:rPr>
          <w:sz w:val="24"/>
        </w:rPr>
        <w:t>年高标准农田建设项目</w:t>
      </w:r>
      <w:r w:rsidR="00611CBA" w:rsidRPr="00F9522B">
        <w:rPr>
          <w:sz w:val="24"/>
        </w:rPr>
        <w:t>暂未建设完成，未进行环保验收。</w:t>
      </w:r>
      <w:r w:rsidR="00E03AD9" w:rsidRPr="00F9522B">
        <w:rPr>
          <w:color w:val="FF0000"/>
          <w:sz w:val="24"/>
        </w:rPr>
        <w:t>本项目与</w:t>
      </w:r>
      <w:r w:rsidR="00E03AD9" w:rsidRPr="00F9522B">
        <w:rPr>
          <w:color w:val="FF0000"/>
          <w:sz w:val="24"/>
        </w:rPr>
        <w:t>2024</w:t>
      </w:r>
      <w:r w:rsidR="00E03AD9" w:rsidRPr="00F9522B">
        <w:rPr>
          <w:color w:val="FF0000"/>
          <w:sz w:val="24"/>
        </w:rPr>
        <w:t>年、</w:t>
      </w:r>
      <w:r w:rsidR="00E03AD9" w:rsidRPr="00F9522B">
        <w:rPr>
          <w:color w:val="FF0000"/>
          <w:sz w:val="24"/>
        </w:rPr>
        <w:t>2025</w:t>
      </w:r>
      <w:r w:rsidR="00E03AD9" w:rsidRPr="00F9522B">
        <w:rPr>
          <w:color w:val="FF0000"/>
          <w:sz w:val="24"/>
        </w:rPr>
        <w:t>年高标准农田建设项目不存在工程</w:t>
      </w:r>
      <w:r w:rsidR="008004FE" w:rsidRPr="00F9522B">
        <w:rPr>
          <w:color w:val="FF0000"/>
          <w:sz w:val="24"/>
        </w:rPr>
        <w:t>内容</w:t>
      </w:r>
      <w:r w:rsidR="00E03AD9" w:rsidRPr="00F9522B">
        <w:rPr>
          <w:color w:val="FF0000"/>
          <w:sz w:val="24"/>
        </w:rPr>
        <w:t>重叠区</w:t>
      </w:r>
      <w:r w:rsidR="00DE64E8" w:rsidRPr="00F9522B">
        <w:rPr>
          <w:color w:val="FF0000"/>
          <w:sz w:val="24"/>
        </w:rPr>
        <w:t>。相对位置关系见图</w:t>
      </w:r>
      <w:r w:rsidR="008004FE" w:rsidRPr="00F9522B">
        <w:rPr>
          <w:color w:val="FF0000"/>
          <w:sz w:val="24"/>
        </w:rPr>
        <w:t>1-1-1</w:t>
      </w:r>
      <w:r w:rsidR="00DE64E8" w:rsidRPr="00F9522B">
        <w:rPr>
          <w:color w:val="FF0000"/>
          <w:sz w:val="24"/>
        </w:rPr>
        <w:t>。</w:t>
      </w:r>
    </w:p>
    <w:p w:rsidR="00DE64E8" w:rsidRPr="00F9522B" w:rsidRDefault="005273A1" w:rsidP="00876BDE">
      <w:pPr>
        <w:spacing w:line="0" w:lineRule="atLeast"/>
        <w:jc w:val="left"/>
        <w:rPr>
          <w:rFonts w:eastAsiaTheme="minorEastAsia"/>
          <w:kern w:val="0"/>
          <w:sz w:val="24"/>
        </w:rPr>
      </w:pPr>
      <w:r>
        <w:rPr>
          <w:rFonts w:eastAsiaTheme="minorEastAsia"/>
          <w:noProof/>
          <w:kern w:val="0"/>
          <w:sz w:val="24"/>
        </w:rPr>
        <w:lastRenderedPageBreak/>
        <w:pict>
          <v:rect id="_x0000_s697210" style="position:absolute;margin-left:339pt;margin-top:252.9pt;width:11pt;height:7.5pt;z-index:251849728" strokecolor="#07c93a"/>
        </w:pict>
      </w:r>
      <w:r>
        <w:rPr>
          <w:rFonts w:eastAsiaTheme="minorEastAsia"/>
          <w:noProof/>
          <w:kern w:val="0"/>
          <w:sz w:val="24"/>
        </w:rPr>
        <w:pict>
          <v:rect id="_x0000_s697209" style="position:absolute;margin-left:339pt;margin-top:243.85pt;width:11pt;height:7.5pt;z-index:251848704" strokecolor="#b81ee8"/>
        </w:pict>
      </w:r>
      <w:r>
        <w:rPr>
          <w:rFonts w:eastAsiaTheme="minorEastAsia"/>
          <w:noProof/>
          <w:kern w:val="0"/>
          <w:sz w:val="24"/>
        </w:rPr>
        <w:pict>
          <v:rect id="_x0000_s697208" style="position:absolute;margin-left:339pt;margin-top:234.3pt;width:11pt;height:7.5pt;z-index:251847680" strokecolor="#974706 [1609]"/>
        </w:pict>
      </w:r>
      <w:r>
        <w:rPr>
          <w:rFonts w:eastAsiaTheme="minorEastAsia"/>
          <w:noProof/>
          <w:kern w:val="0"/>
          <w:sz w:val="24"/>
        </w:rPr>
        <w:pict>
          <v:shapetype id="_x0000_t202" coordsize="21600,21600" o:spt="202" path="m,l,21600r21600,l21600,xe">
            <v:stroke joinstyle="miter"/>
            <v:path gradientshapeok="t" o:connecttype="rect"/>
          </v:shapetype>
          <v:shape id="_x0000_s697207" type="#_x0000_t202" style="position:absolute;margin-left:333pt;margin-top:218.7pt;width:83.5pt;height:45pt;z-index:251846656" strokecolor="black [3213]">
            <v:textbox style="mso-next-textbox:#_x0000_s697207">
              <w:txbxContent>
                <w:p w:rsidR="000D2D13" w:rsidRDefault="000D2D13" w:rsidP="00DE64E8">
                  <w:pPr>
                    <w:spacing w:line="0" w:lineRule="atLeast"/>
                    <w:jc w:val="center"/>
                    <w:rPr>
                      <w:sz w:val="15"/>
                      <w:szCs w:val="15"/>
                    </w:rPr>
                  </w:pPr>
                  <w:r w:rsidRPr="00DE64E8">
                    <w:rPr>
                      <w:sz w:val="15"/>
                      <w:szCs w:val="15"/>
                    </w:rPr>
                    <w:t>图例</w:t>
                  </w:r>
                </w:p>
                <w:p w:rsidR="000D2D13" w:rsidRDefault="000D2D13" w:rsidP="00DE64E8">
                  <w:pPr>
                    <w:spacing w:line="0" w:lineRule="atLeast"/>
                    <w:jc w:val="right"/>
                    <w:rPr>
                      <w:sz w:val="15"/>
                      <w:szCs w:val="15"/>
                    </w:rPr>
                  </w:pPr>
                  <w:r>
                    <w:rPr>
                      <w:rFonts w:hint="eastAsia"/>
                      <w:sz w:val="15"/>
                      <w:szCs w:val="15"/>
                    </w:rPr>
                    <w:t xml:space="preserve"> 2024</w:t>
                  </w:r>
                  <w:r>
                    <w:rPr>
                      <w:rFonts w:hint="eastAsia"/>
                      <w:sz w:val="15"/>
                      <w:szCs w:val="15"/>
                    </w:rPr>
                    <w:t>年高标项目</w:t>
                  </w:r>
                </w:p>
                <w:p w:rsidR="000D2D13" w:rsidRDefault="000D2D13" w:rsidP="00DE64E8">
                  <w:pPr>
                    <w:spacing w:line="0" w:lineRule="atLeast"/>
                    <w:jc w:val="right"/>
                    <w:rPr>
                      <w:sz w:val="15"/>
                      <w:szCs w:val="15"/>
                    </w:rPr>
                  </w:pPr>
                  <w:r>
                    <w:rPr>
                      <w:rFonts w:hint="eastAsia"/>
                      <w:sz w:val="15"/>
                      <w:szCs w:val="15"/>
                    </w:rPr>
                    <w:t>2025</w:t>
                  </w:r>
                  <w:r>
                    <w:rPr>
                      <w:rFonts w:hint="eastAsia"/>
                      <w:sz w:val="15"/>
                      <w:szCs w:val="15"/>
                    </w:rPr>
                    <w:t>年高标项目</w:t>
                  </w:r>
                </w:p>
                <w:p w:rsidR="000D2D13" w:rsidRPr="00DE64E8" w:rsidRDefault="000D2D13" w:rsidP="00DE64E8">
                  <w:pPr>
                    <w:spacing w:line="0" w:lineRule="atLeast"/>
                    <w:jc w:val="right"/>
                    <w:rPr>
                      <w:sz w:val="15"/>
                      <w:szCs w:val="15"/>
                    </w:rPr>
                  </w:pPr>
                  <w:r>
                    <w:rPr>
                      <w:rFonts w:hint="eastAsia"/>
                      <w:sz w:val="15"/>
                      <w:szCs w:val="15"/>
                    </w:rPr>
                    <w:t>2026</w:t>
                  </w:r>
                  <w:r>
                    <w:rPr>
                      <w:rFonts w:hint="eastAsia"/>
                      <w:sz w:val="15"/>
                      <w:szCs w:val="15"/>
                    </w:rPr>
                    <w:t>年高标项目</w:t>
                  </w:r>
                </w:p>
              </w:txbxContent>
            </v:textbox>
          </v:shape>
        </w:pict>
      </w:r>
      <w:r w:rsidR="00876BDE" w:rsidRPr="00F9522B">
        <w:rPr>
          <w:rFonts w:eastAsiaTheme="minorEastAsia"/>
          <w:noProof/>
          <w:kern w:val="0"/>
          <w:sz w:val="24"/>
        </w:rPr>
        <w:drawing>
          <wp:anchor distT="0" distB="0" distL="114300" distR="114300" simplePos="0" relativeHeight="251852800" behindDoc="0" locked="0" layoutInCell="1" allowOverlap="1">
            <wp:simplePos x="0" y="0"/>
            <wp:positionH relativeFrom="column">
              <wp:posOffset>2931215</wp:posOffset>
            </wp:positionH>
            <wp:positionV relativeFrom="paragraph">
              <wp:posOffset>2814762</wp:posOffset>
            </wp:positionV>
            <wp:extent cx="275148" cy="246490"/>
            <wp:effectExtent l="19050" t="0" r="0" b="0"/>
            <wp:wrapNone/>
            <wp:docPr id="7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srcRect/>
                    <a:stretch>
                      <a:fillRect/>
                    </a:stretch>
                  </pic:blipFill>
                  <pic:spPr bwMode="auto">
                    <a:xfrm>
                      <a:off x="0" y="0"/>
                      <a:ext cx="275148" cy="246490"/>
                    </a:xfrm>
                    <a:prstGeom prst="rect">
                      <a:avLst/>
                    </a:prstGeom>
                    <a:noFill/>
                    <a:ln w="9525">
                      <a:noFill/>
                      <a:miter lim="800000"/>
                      <a:headEnd/>
                      <a:tailEnd/>
                    </a:ln>
                  </pic:spPr>
                </pic:pic>
              </a:graphicData>
            </a:graphic>
          </wp:anchor>
        </w:drawing>
      </w:r>
      <w:r w:rsidR="00876BDE" w:rsidRPr="00F9522B">
        <w:rPr>
          <w:rFonts w:eastAsiaTheme="minorEastAsia"/>
          <w:noProof/>
          <w:kern w:val="0"/>
          <w:sz w:val="24"/>
        </w:rPr>
        <w:drawing>
          <wp:anchor distT="0" distB="0" distL="114300" distR="114300" simplePos="0" relativeHeight="251850752" behindDoc="0" locked="0" layoutInCell="1" allowOverlap="1">
            <wp:simplePos x="0" y="0"/>
            <wp:positionH relativeFrom="column">
              <wp:posOffset>219820</wp:posOffset>
            </wp:positionH>
            <wp:positionV relativeFrom="paragraph">
              <wp:posOffset>3013545</wp:posOffset>
            </wp:positionV>
            <wp:extent cx="370564" cy="246490"/>
            <wp:effectExtent l="19050" t="0" r="0" b="0"/>
            <wp:wrapNone/>
            <wp:docPr id="6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srcRect/>
                    <a:stretch>
                      <a:fillRect/>
                    </a:stretch>
                  </pic:blipFill>
                  <pic:spPr bwMode="auto">
                    <a:xfrm>
                      <a:off x="0" y="0"/>
                      <a:ext cx="370564" cy="246490"/>
                    </a:xfrm>
                    <a:prstGeom prst="rect">
                      <a:avLst/>
                    </a:prstGeom>
                    <a:noFill/>
                    <a:ln w="9525">
                      <a:noFill/>
                      <a:miter lim="800000"/>
                      <a:headEnd/>
                      <a:tailEnd/>
                    </a:ln>
                  </pic:spPr>
                </pic:pic>
              </a:graphicData>
            </a:graphic>
          </wp:anchor>
        </w:drawing>
      </w:r>
      <w:r w:rsidR="00DE64E8" w:rsidRPr="00F9522B">
        <w:rPr>
          <w:rFonts w:eastAsiaTheme="minorEastAsia"/>
          <w:noProof/>
          <w:kern w:val="0"/>
          <w:sz w:val="24"/>
        </w:rPr>
        <w:drawing>
          <wp:inline distT="0" distB="0" distL="0" distR="0">
            <wp:extent cx="5274310" cy="3335327"/>
            <wp:effectExtent l="19050" t="19050" r="21590" b="17473"/>
            <wp:docPr id="6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srcRect/>
                    <a:stretch>
                      <a:fillRect/>
                    </a:stretch>
                  </pic:blipFill>
                  <pic:spPr bwMode="auto">
                    <a:xfrm>
                      <a:off x="0" y="0"/>
                      <a:ext cx="5274310" cy="3335327"/>
                    </a:xfrm>
                    <a:prstGeom prst="rect">
                      <a:avLst/>
                    </a:prstGeom>
                    <a:noFill/>
                    <a:ln w="9525">
                      <a:solidFill>
                        <a:schemeClr val="tx1"/>
                      </a:solidFill>
                      <a:miter lim="800000"/>
                      <a:headEnd/>
                      <a:tailEnd/>
                    </a:ln>
                  </pic:spPr>
                </pic:pic>
              </a:graphicData>
            </a:graphic>
          </wp:inline>
        </w:drawing>
      </w:r>
    </w:p>
    <w:p w:rsidR="00DE64E8" w:rsidRPr="00F9522B" w:rsidRDefault="00DE64E8" w:rsidP="00876BDE">
      <w:pPr>
        <w:contextualSpacing/>
        <w:jc w:val="center"/>
        <w:rPr>
          <w:rFonts w:eastAsiaTheme="minorEastAsia"/>
          <w:b/>
          <w:color w:val="FF0000"/>
          <w:kern w:val="0"/>
          <w:szCs w:val="21"/>
        </w:rPr>
      </w:pPr>
      <w:r w:rsidRPr="00F9522B">
        <w:rPr>
          <w:rFonts w:eastAsiaTheme="minorEastAsia"/>
          <w:b/>
          <w:color w:val="FF0000"/>
          <w:kern w:val="0"/>
          <w:szCs w:val="21"/>
        </w:rPr>
        <w:t>图</w:t>
      </w:r>
      <w:r w:rsidRPr="00F9522B">
        <w:rPr>
          <w:rFonts w:eastAsiaTheme="minorEastAsia"/>
          <w:b/>
          <w:color w:val="FF0000"/>
          <w:kern w:val="0"/>
          <w:szCs w:val="21"/>
        </w:rPr>
        <w:t xml:space="preserve">1-1-1 </w:t>
      </w:r>
      <w:r w:rsidRPr="00F9522B">
        <w:rPr>
          <w:rFonts w:eastAsiaTheme="minorEastAsia"/>
          <w:b/>
          <w:color w:val="FF0000"/>
          <w:kern w:val="0"/>
          <w:szCs w:val="21"/>
        </w:rPr>
        <w:t>本项目与</w:t>
      </w:r>
      <w:r w:rsidRPr="00F9522B">
        <w:rPr>
          <w:rFonts w:eastAsiaTheme="minorEastAsia"/>
          <w:b/>
          <w:color w:val="FF0000"/>
          <w:kern w:val="0"/>
          <w:szCs w:val="21"/>
        </w:rPr>
        <w:t>2024</w:t>
      </w:r>
      <w:r w:rsidRPr="00F9522B">
        <w:rPr>
          <w:rFonts w:eastAsiaTheme="minorEastAsia"/>
          <w:b/>
          <w:color w:val="FF0000"/>
          <w:kern w:val="0"/>
          <w:szCs w:val="21"/>
        </w:rPr>
        <w:t>年、</w:t>
      </w:r>
      <w:r w:rsidRPr="00F9522B">
        <w:rPr>
          <w:rFonts w:eastAsiaTheme="minorEastAsia"/>
          <w:b/>
          <w:color w:val="FF0000"/>
          <w:kern w:val="0"/>
          <w:szCs w:val="21"/>
        </w:rPr>
        <w:t>2025</w:t>
      </w:r>
      <w:r w:rsidRPr="00F9522B">
        <w:rPr>
          <w:rFonts w:eastAsiaTheme="minorEastAsia"/>
          <w:b/>
          <w:color w:val="FF0000"/>
          <w:kern w:val="0"/>
          <w:szCs w:val="21"/>
        </w:rPr>
        <w:t>年高标准农田建设项目相对位置关系图</w:t>
      </w:r>
    </w:p>
    <w:p w:rsidR="002A5A5E" w:rsidRPr="00F9522B" w:rsidRDefault="00611CBA">
      <w:pPr>
        <w:spacing w:line="360" w:lineRule="auto"/>
        <w:ind w:firstLineChars="200" w:firstLine="480"/>
        <w:rPr>
          <w:rFonts w:eastAsiaTheme="minorEastAsia"/>
          <w:snapToGrid w:val="0"/>
          <w:kern w:val="0"/>
          <w:sz w:val="24"/>
        </w:rPr>
      </w:pPr>
      <w:r w:rsidRPr="00F9522B">
        <w:rPr>
          <w:rFonts w:eastAsiaTheme="minorEastAsia"/>
          <w:snapToGrid w:val="0"/>
          <w:kern w:val="0"/>
          <w:sz w:val="24"/>
        </w:rPr>
        <w:t>根据黑龙江省农业农村厅和黑龙江省发展与改革委员会联合印发的《</w:t>
      </w:r>
      <w:r w:rsidRPr="00F9522B">
        <w:rPr>
          <w:rFonts w:eastAsiaTheme="minorEastAsia"/>
          <w:snapToGrid w:val="0"/>
          <w:kern w:val="0"/>
          <w:sz w:val="24"/>
        </w:rPr>
        <w:t>2025</w:t>
      </w:r>
      <w:r w:rsidRPr="00F9522B">
        <w:rPr>
          <w:rFonts w:eastAsiaTheme="minorEastAsia"/>
          <w:snapToGrid w:val="0"/>
          <w:kern w:val="0"/>
          <w:sz w:val="24"/>
        </w:rPr>
        <w:t>年全省高标准农田建设工作实施方案》（黑农厅联发〔</w:t>
      </w:r>
      <w:r w:rsidRPr="00F9522B">
        <w:rPr>
          <w:rFonts w:eastAsiaTheme="minorEastAsia"/>
          <w:snapToGrid w:val="0"/>
          <w:kern w:val="0"/>
          <w:sz w:val="24"/>
        </w:rPr>
        <w:t>2025</w:t>
      </w:r>
      <w:r w:rsidRPr="00F9522B">
        <w:rPr>
          <w:rFonts w:eastAsiaTheme="minorEastAsia"/>
          <w:snapToGrid w:val="0"/>
          <w:kern w:val="0"/>
          <w:sz w:val="24"/>
        </w:rPr>
        <w:t>〕</w:t>
      </w:r>
      <w:r w:rsidRPr="00F9522B">
        <w:rPr>
          <w:rFonts w:eastAsiaTheme="minorEastAsia"/>
          <w:snapToGrid w:val="0"/>
          <w:kern w:val="0"/>
          <w:sz w:val="24"/>
        </w:rPr>
        <w:t>38</w:t>
      </w:r>
      <w:r w:rsidRPr="00F9522B">
        <w:rPr>
          <w:rFonts w:eastAsiaTheme="minorEastAsia"/>
          <w:snapToGrid w:val="0"/>
          <w:kern w:val="0"/>
          <w:sz w:val="24"/>
        </w:rPr>
        <w:t>号）的总体要求，深入实施</w:t>
      </w:r>
      <w:r w:rsidRPr="00F9522B">
        <w:rPr>
          <w:rFonts w:eastAsiaTheme="minorEastAsia"/>
          <w:snapToGrid w:val="0"/>
          <w:kern w:val="0"/>
          <w:sz w:val="24"/>
        </w:rPr>
        <w:t>“</w:t>
      </w:r>
      <w:r w:rsidRPr="00F9522B">
        <w:rPr>
          <w:rFonts w:eastAsiaTheme="minorEastAsia"/>
          <w:snapToGrid w:val="0"/>
          <w:kern w:val="0"/>
          <w:sz w:val="24"/>
        </w:rPr>
        <w:t>藏粮于地、藏粮于技</w:t>
      </w:r>
      <w:r w:rsidRPr="00F9522B">
        <w:rPr>
          <w:rFonts w:eastAsiaTheme="minorEastAsia"/>
          <w:snapToGrid w:val="0"/>
          <w:kern w:val="0"/>
          <w:sz w:val="24"/>
        </w:rPr>
        <w:t>”</w:t>
      </w:r>
      <w:r w:rsidRPr="00F9522B">
        <w:rPr>
          <w:rFonts w:eastAsiaTheme="minorEastAsia"/>
          <w:snapToGrid w:val="0"/>
          <w:kern w:val="0"/>
          <w:sz w:val="24"/>
        </w:rPr>
        <w:t>战略，以提高粮食和重要农产品生产能力为首要任务，以</w:t>
      </w:r>
      <w:r w:rsidRPr="00F9522B">
        <w:rPr>
          <w:rFonts w:eastAsiaTheme="minorEastAsia"/>
          <w:snapToGrid w:val="0"/>
          <w:kern w:val="0"/>
          <w:sz w:val="24"/>
        </w:rPr>
        <w:t>“</w:t>
      </w:r>
      <w:r w:rsidRPr="00F9522B">
        <w:rPr>
          <w:rFonts w:eastAsiaTheme="minorEastAsia"/>
          <w:snapToGrid w:val="0"/>
          <w:kern w:val="0"/>
          <w:sz w:val="24"/>
        </w:rPr>
        <w:t>一平（田块平整）、两通（通水通路）、三提升（提升地力、产量、效益）</w:t>
      </w:r>
      <w:r w:rsidRPr="00F9522B">
        <w:rPr>
          <w:rFonts w:eastAsiaTheme="minorEastAsia"/>
          <w:snapToGrid w:val="0"/>
          <w:kern w:val="0"/>
          <w:sz w:val="24"/>
        </w:rPr>
        <w:t>”</w:t>
      </w:r>
      <w:r w:rsidRPr="00F9522B">
        <w:rPr>
          <w:rFonts w:eastAsiaTheme="minorEastAsia"/>
          <w:snapToGrid w:val="0"/>
          <w:kern w:val="0"/>
          <w:sz w:val="24"/>
        </w:rPr>
        <w:t>为基本标准，紧扣田块整治、灌溉与排水、田间道路、农田防护与生态环境、农田输配电、农田地力提升等建设工程，坚持新增建设和改造提升并重、建设数量和建设质量并重、工程建设和建后管护并重、产能提升和绿色发展相协调，切实把耕地特别是永久基本农田建成适宜耕作、旱涝保收、高产稳产的现代化良田，为保障国家粮食安全和重要农产品有效供给奠定坚实基础，确定</w:t>
      </w:r>
      <w:r w:rsidR="003A7922" w:rsidRPr="00F9522B">
        <w:rPr>
          <w:rFonts w:eastAsiaTheme="minorEastAsia"/>
          <w:snapToGrid w:val="0"/>
          <w:kern w:val="0"/>
          <w:sz w:val="24"/>
        </w:rPr>
        <w:t>呼兰区</w:t>
      </w:r>
      <w:r w:rsidR="003A7922" w:rsidRPr="00F9522B">
        <w:rPr>
          <w:rFonts w:eastAsiaTheme="minorEastAsia"/>
          <w:snapToGrid w:val="0"/>
          <w:kern w:val="0"/>
          <w:sz w:val="24"/>
        </w:rPr>
        <w:t>2026</w:t>
      </w:r>
      <w:r w:rsidR="003A7922" w:rsidRPr="00F9522B">
        <w:rPr>
          <w:rFonts w:eastAsiaTheme="minorEastAsia"/>
          <w:snapToGrid w:val="0"/>
          <w:kern w:val="0"/>
          <w:sz w:val="24"/>
        </w:rPr>
        <w:t>年高标准农田建设项目</w:t>
      </w:r>
      <w:r w:rsidRPr="00F9522B">
        <w:rPr>
          <w:rFonts w:eastAsiaTheme="minorEastAsia"/>
          <w:snapToGrid w:val="0"/>
          <w:kern w:val="0"/>
          <w:sz w:val="24"/>
        </w:rPr>
        <w:t>建设规模</w:t>
      </w:r>
      <w:r w:rsidRPr="00F9522B">
        <w:rPr>
          <w:rFonts w:eastAsiaTheme="minorEastAsia"/>
          <w:snapToGrid w:val="0"/>
          <w:kern w:val="0"/>
          <w:sz w:val="24"/>
        </w:rPr>
        <w:t>3</w:t>
      </w:r>
      <w:r w:rsidR="00AD4150" w:rsidRPr="00F9522B">
        <w:rPr>
          <w:rFonts w:eastAsiaTheme="minorEastAsia"/>
          <w:snapToGrid w:val="0"/>
          <w:kern w:val="0"/>
          <w:sz w:val="24"/>
        </w:rPr>
        <w:t>2</w:t>
      </w:r>
      <w:r w:rsidRPr="00F9522B">
        <w:rPr>
          <w:rFonts w:eastAsiaTheme="minorEastAsia"/>
          <w:snapToGrid w:val="0"/>
          <w:kern w:val="0"/>
          <w:sz w:val="24"/>
        </w:rPr>
        <w:t>万亩。项目已取得《关于</w:t>
      </w:r>
      <w:r w:rsidR="003A7922" w:rsidRPr="00F9522B">
        <w:rPr>
          <w:rFonts w:eastAsiaTheme="minorEastAsia"/>
          <w:snapToGrid w:val="0"/>
          <w:kern w:val="0"/>
          <w:sz w:val="24"/>
        </w:rPr>
        <w:t>呼兰区</w:t>
      </w:r>
      <w:r w:rsidR="003A7922" w:rsidRPr="00F9522B">
        <w:rPr>
          <w:rFonts w:eastAsiaTheme="minorEastAsia"/>
          <w:snapToGrid w:val="0"/>
          <w:kern w:val="0"/>
          <w:sz w:val="24"/>
        </w:rPr>
        <w:t>2026</w:t>
      </w:r>
      <w:r w:rsidR="003A7922" w:rsidRPr="00F9522B">
        <w:rPr>
          <w:rFonts w:eastAsiaTheme="minorEastAsia"/>
          <w:snapToGrid w:val="0"/>
          <w:kern w:val="0"/>
          <w:sz w:val="24"/>
        </w:rPr>
        <w:t>年高标准农田建设项目</w:t>
      </w:r>
      <w:r w:rsidR="00AD4150" w:rsidRPr="00F9522B">
        <w:rPr>
          <w:rFonts w:eastAsiaTheme="minorEastAsia"/>
          <w:snapToGrid w:val="0"/>
          <w:kern w:val="0"/>
          <w:sz w:val="24"/>
        </w:rPr>
        <w:t>审定投资及补充</w:t>
      </w:r>
      <w:r w:rsidRPr="00F9522B">
        <w:rPr>
          <w:rFonts w:eastAsiaTheme="minorEastAsia"/>
          <w:snapToGrid w:val="0"/>
          <w:kern w:val="0"/>
          <w:sz w:val="24"/>
        </w:rPr>
        <w:t>设计的批复》（哈农复〔</w:t>
      </w:r>
      <w:r w:rsidRPr="00F9522B">
        <w:rPr>
          <w:rFonts w:eastAsiaTheme="minorEastAsia"/>
          <w:snapToGrid w:val="0"/>
          <w:kern w:val="0"/>
          <w:sz w:val="24"/>
        </w:rPr>
        <w:t>202</w:t>
      </w:r>
      <w:r w:rsidR="00AD4150" w:rsidRPr="00F9522B">
        <w:rPr>
          <w:rFonts w:eastAsiaTheme="minorEastAsia"/>
          <w:snapToGrid w:val="0"/>
          <w:kern w:val="0"/>
          <w:sz w:val="24"/>
        </w:rPr>
        <w:t>6</w:t>
      </w:r>
      <w:r w:rsidRPr="00F9522B">
        <w:rPr>
          <w:rFonts w:eastAsiaTheme="minorEastAsia"/>
          <w:snapToGrid w:val="0"/>
          <w:kern w:val="0"/>
          <w:sz w:val="24"/>
        </w:rPr>
        <w:t>〕</w:t>
      </w:r>
      <w:r w:rsidR="00AD4150" w:rsidRPr="00F9522B">
        <w:rPr>
          <w:rFonts w:eastAsiaTheme="minorEastAsia"/>
          <w:snapToGrid w:val="0"/>
          <w:kern w:val="0"/>
          <w:sz w:val="24"/>
        </w:rPr>
        <w:t>13</w:t>
      </w:r>
      <w:r w:rsidRPr="00F9522B">
        <w:rPr>
          <w:rFonts w:eastAsiaTheme="minorEastAsia"/>
          <w:snapToGrid w:val="0"/>
          <w:kern w:val="0"/>
          <w:sz w:val="24"/>
        </w:rPr>
        <w:t>号），批复见附件</w:t>
      </w:r>
      <w:r w:rsidRPr="00F9522B">
        <w:rPr>
          <w:rFonts w:eastAsiaTheme="minorEastAsia"/>
          <w:snapToGrid w:val="0"/>
          <w:kern w:val="0"/>
          <w:sz w:val="24"/>
        </w:rPr>
        <w:t>3</w:t>
      </w:r>
      <w:r w:rsidRPr="00F9522B">
        <w:rPr>
          <w:rFonts w:eastAsiaTheme="minorEastAsia"/>
          <w:snapToGrid w:val="0"/>
          <w:kern w:val="0"/>
          <w:sz w:val="24"/>
        </w:rPr>
        <w:t>。</w:t>
      </w:r>
    </w:p>
    <w:p w:rsidR="002A5A5E" w:rsidRPr="00F9522B" w:rsidRDefault="00611CBA">
      <w:pPr>
        <w:spacing w:line="360" w:lineRule="auto"/>
        <w:ind w:firstLineChars="200" w:firstLine="480"/>
        <w:rPr>
          <w:smallCaps/>
          <w:sz w:val="24"/>
        </w:rPr>
      </w:pPr>
      <w:r w:rsidRPr="00F9522B">
        <w:rPr>
          <w:sz w:val="24"/>
        </w:rPr>
        <w:t>本项目为改扩建项目。</w:t>
      </w:r>
      <w:r w:rsidR="003A7922" w:rsidRPr="00F9522B">
        <w:rPr>
          <w:rFonts w:eastAsiaTheme="minorEastAsia"/>
          <w:snapToGrid w:val="0"/>
          <w:kern w:val="0"/>
          <w:sz w:val="24"/>
        </w:rPr>
        <w:t>呼兰区</w:t>
      </w:r>
      <w:r w:rsidR="003A7922" w:rsidRPr="00F9522B">
        <w:rPr>
          <w:rFonts w:eastAsiaTheme="minorEastAsia"/>
          <w:snapToGrid w:val="0"/>
          <w:kern w:val="0"/>
          <w:sz w:val="24"/>
        </w:rPr>
        <w:t>2026</w:t>
      </w:r>
      <w:r w:rsidR="003A7922" w:rsidRPr="00F9522B">
        <w:rPr>
          <w:rFonts w:eastAsiaTheme="minorEastAsia"/>
          <w:snapToGrid w:val="0"/>
          <w:kern w:val="0"/>
          <w:sz w:val="24"/>
        </w:rPr>
        <w:t>年高标准农田建设项目</w:t>
      </w:r>
      <w:r w:rsidRPr="00F9522B">
        <w:rPr>
          <w:rFonts w:eastAsiaTheme="minorEastAsia"/>
          <w:snapToGrid w:val="0"/>
          <w:kern w:val="0"/>
          <w:sz w:val="24"/>
        </w:rPr>
        <w:t>涉及</w:t>
      </w:r>
      <w:r w:rsidR="00140B49" w:rsidRPr="00F9522B">
        <w:rPr>
          <w:rFonts w:eastAsiaTheme="minorEastAsia"/>
          <w:snapToGrid w:val="0"/>
          <w:kern w:val="0"/>
          <w:sz w:val="24"/>
        </w:rPr>
        <w:t>4</w:t>
      </w:r>
      <w:r w:rsidRPr="00F9522B">
        <w:rPr>
          <w:rFonts w:eastAsiaTheme="minorEastAsia"/>
          <w:snapToGrid w:val="0"/>
          <w:kern w:val="0"/>
          <w:sz w:val="24"/>
        </w:rPr>
        <w:t>个乡镇</w:t>
      </w:r>
      <w:r w:rsidRPr="00F9522B">
        <w:rPr>
          <w:rFonts w:eastAsiaTheme="minorEastAsia"/>
          <w:snapToGrid w:val="0"/>
          <w:kern w:val="0"/>
          <w:sz w:val="24"/>
        </w:rPr>
        <w:t>3</w:t>
      </w:r>
      <w:r w:rsidR="00140B49" w:rsidRPr="00F9522B">
        <w:rPr>
          <w:rFonts w:eastAsiaTheme="minorEastAsia"/>
          <w:snapToGrid w:val="0"/>
          <w:kern w:val="0"/>
          <w:sz w:val="24"/>
        </w:rPr>
        <w:t>5</w:t>
      </w:r>
      <w:r w:rsidRPr="00F9522B">
        <w:rPr>
          <w:rFonts w:eastAsiaTheme="minorEastAsia"/>
          <w:snapToGrid w:val="0"/>
          <w:kern w:val="0"/>
          <w:sz w:val="24"/>
        </w:rPr>
        <w:t>个行政村：</w:t>
      </w:r>
      <w:r w:rsidRPr="00F9522B">
        <w:rPr>
          <w:rFonts w:eastAsiaTheme="minorEastAsia"/>
          <w:bCs/>
          <w:sz w:val="24"/>
        </w:rPr>
        <w:t>黑龙江省哈尔滨</w:t>
      </w:r>
      <w:r w:rsidRPr="00F9522B">
        <w:rPr>
          <w:rFonts w:eastAsiaTheme="minorEastAsia"/>
          <w:snapToGrid w:val="0"/>
          <w:kern w:val="0"/>
          <w:sz w:val="24"/>
        </w:rPr>
        <w:t>市呼兰区</w:t>
      </w:r>
      <w:r w:rsidR="00140308" w:rsidRPr="00F9522B">
        <w:rPr>
          <w:rFonts w:eastAsiaTheme="minorEastAsia"/>
          <w:snapToGrid w:val="0"/>
          <w:kern w:val="0"/>
          <w:sz w:val="24"/>
        </w:rPr>
        <w:t>二八镇</w:t>
      </w:r>
      <w:r w:rsidR="00140B49" w:rsidRPr="00F9522B">
        <w:rPr>
          <w:rFonts w:eastAsiaTheme="minorEastAsia"/>
          <w:snapToGrid w:val="0"/>
          <w:kern w:val="0"/>
          <w:sz w:val="24"/>
        </w:rPr>
        <w:t>阿堡村、鲍堡村、二八村、傅井村、头屯村、王柱村、元宝村、长山村；方台镇的方台村、高家村、宋家村、榆林村；康金街道的金城村、永胜村、历井村、孟井村、双合村、苏德村、王牛村、王佩村、东井村、西井村、杨木村、东腰村、历井农场、新农村；石人镇的城子村、</w:t>
      </w:r>
      <w:r w:rsidR="00140B49" w:rsidRPr="00F9522B">
        <w:rPr>
          <w:rFonts w:eastAsiaTheme="minorEastAsia"/>
          <w:snapToGrid w:val="0"/>
          <w:kern w:val="0"/>
          <w:sz w:val="24"/>
        </w:rPr>
        <w:lastRenderedPageBreak/>
        <w:t>古城村、金星村、石人村、永发村、永平村、于家村、双宝村、站前村</w:t>
      </w:r>
      <w:r w:rsidRPr="00F9522B">
        <w:rPr>
          <w:rFonts w:eastAsiaTheme="minorEastAsia"/>
          <w:snapToGrid w:val="0"/>
          <w:kern w:val="0"/>
          <w:sz w:val="24"/>
        </w:rPr>
        <w:t>。总投资</w:t>
      </w:r>
      <w:r w:rsidR="00140B49" w:rsidRPr="00F9522B">
        <w:rPr>
          <w:rFonts w:eastAsiaTheme="minorEastAsia"/>
          <w:snapToGrid w:val="0"/>
          <w:kern w:val="0"/>
          <w:sz w:val="24"/>
        </w:rPr>
        <w:t>78948</w:t>
      </w:r>
      <w:r w:rsidR="00140B49" w:rsidRPr="00F9522B">
        <w:rPr>
          <w:rFonts w:eastAsiaTheme="minorEastAsia"/>
          <w:snapToGrid w:val="0"/>
          <w:kern w:val="0"/>
          <w:sz w:val="24"/>
        </w:rPr>
        <w:t>万元</w:t>
      </w:r>
      <w:r w:rsidRPr="00F9522B">
        <w:rPr>
          <w:rFonts w:eastAsiaTheme="minorEastAsia"/>
          <w:snapToGrid w:val="0"/>
          <w:kern w:val="0"/>
          <w:sz w:val="24"/>
        </w:rPr>
        <w:t>。本项目不占用生态红线，</w:t>
      </w:r>
      <w:r w:rsidRPr="00F9522B">
        <w:rPr>
          <w:rFonts w:eastAsiaTheme="minorEastAsia"/>
          <w:bCs/>
          <w:sz w:val="24"/>
        </w:rPr>
        <w:t>建设</w:t>
      </w:r>
      <w:r w:rsidRPr="00F9522B">
        <w:rPr>
          <w:rFonts w:eastAsiaTheme="minorEastAsia"/>
          <w:bCs/>
          <w:sz w:val="24"/>
        </w:rPr>
        <w:t>3</w:t>
      </w:r>
      <w:r w:rsidR="00140B49" w:rsidRPr="00F9522B">
        <w:rPr>
          <w:rFonts w:eastAsiaTheme="minorEastAsia"/>
          <w:bCs/>
          <w:sz w:val="24"/>
        </w:rPr>
        <w:t>2</w:t>
      </w:r>
      <w:r w:rsidRPr="00F9522B">
        <w:rPr>
          <w:rFonts w:eastAsiaTheme="minorEastAsia"/>
          <w:bCs/>
          <w:sz w:val="24"/>
        </w:rPr>
        <w:t>万亩高标准农田（旱田</w:t>
      </w:r>
      <w:r w:rsidR="00140B49" w:rsidRPr="00F9522B">
        <w:rPr>
          <w:rFonts w:eastAsiaTheme="minorEastAsia"/>
          <w:bCs/>
          <w:sz w:val="24"/>
        </w:rPr>
        <w:t>31.53</w:t>
      </w:r>
      <w:r w:rsidRPr="00F9522B">
        <w:rPr>
          <w:rFonts w:eastAsiaTheme="minorEastAsia"/>
          <w:bCs/>
          <w:sz w:val="24"/>
        </w:rPr>
        <w:t>万亩，水田</w:t>
      </w:r>
      <w:r w:rsidR="00140B49" w:rsidRPr="00F9522B">
        <w:rPr>
          <w:rFonts w:eastAsiaTheme="minorEastAsia"/>
          <w:bCs/>
          <w:sz w:val="24"/>
        </w:rPr>
        <w:t>0.47</w:t>
      </w:r>
      <w:r w:rsidRPr="00F9522B">
        <w:rPr>
          <w:rFonts w:eastAsiaTheme="minorEastAsia"/>
          <w:bCs/>
          <w:sz w:val="24"/>
        </w:rPr>
        <w:t>万亩）</w:t>
      </w:r>
      <w:r w:rsidRPr="00F9522B">
        <w:rPr>
          <w:rFonts w:eastAsiaTheme="minorEastAsia"/>
          <w:bCs/>
          <w:snapToGrid w:val="0"/>
          <w:kern w:val="0"/>
          <w:sz w:val="24"/>
        </w:rPr>
        <w:t>。具体建设内容见项目概况，</w:t>
      </w:r>
      <w:r w:rsidRPr="00F9522B">
        <w:rPr>
          <w:rFonts w:eastAsiaTheme="minorEastAsia"/>
          <w:sz w:val="24"/>
        </w:rPr>
        <w:t>本项目</w:t>
      </w:r>
      <w:r w:rsidRPr="00F9522B">
        <w:rPr>
          <w:rFonts w:eastAsiaTheme="minorEastAsia"/>
          <w:bCs/>
          <w:sz w:val="24"/>
        </w:rPr>
        <w:t>新建机电井</w:t>
      </w:r>
      <w:r w:rsidR="00140B49" w:rsidRPr="00F9522B">
        <w:rPr>
          <w:rFonts w:eastAsiaTheme="minorEastAsia"/>
          <w:bCs/>
          <w:sz w:val="24"/>
        </w:rPr>
        <w:t>264</w:t>
      </w:r>
      <w:r w:rsidRPr="00F9522B">
        <w:rPr>
          <w:rFonts w:eastAsiaTheme="minorEastAsia"/>
          <w:bCs/>
          <w:sz w:val="24"/>
        </w:rPr>
        <w:t>眼，</w:t>
      </w:r>
      <w:r w:rsidRPr="00F9522B">
        <w:rPr>
          <w:rFonts w:eastAsiaTheme="minorEastAsia"/>
          <w:sz w:val="24"/>
        </w:rPr>
        <w:t>项目区取水量为</w:t>
      </w:r>
      <w:r w:rsidR="00140B49" w:rsidRPr="00F9522B">
        <w:rPr>
          <w:rFonts w:eastAsiaTheme="minorEastAsia"/>
          <w:sz w:val="24"/>
        </w:rPr>
        <w:t>242.74</w:t>
      </w:r>
      <w:r w:rsidRPr="00F9522B">
        <w:rPr>
          <w:rFonts w:eastAsiaTheme="minorEastAsia"/>
          <w:sz w:val="24"/>
        </w:rPr>
        <w:t>万</w:t>
      </w:r>
      <w:r w:rsidRPr="00F9522B">
        <w:rPr>
          <w:rFonts w:eastAsiaTheme="minorEastAsia"/>
          <w:sz w:val="24"/>
        </w:rPr>
        <w:t>m³/a</w:t>
      </w:r>
      <w:r w:rsidRPr="00F9522B">
        <w:rPr>
          <w:rFonts w:eastAsiaTheme="minorEastAsia"/>
          <w:sz w:val="24"/>
        </w:rPr>
        <w:t>。项目建成后灌区年退水量与现状相比</w:t>
      </w:r>
      <w:r w:rsidR="004A0FF6" w:rsidRPr="00F9522B">
        <w:rPr>
          <w:rFonts w:eastAsiaTheme="minorEastAsia"/>
          <w:sz w:val="24"/>
        </w:rPr>
        <w:t>减少</w:t>
      </w:r>
      <w:r w:rsidR="004A0FF6" w:rsidRPr="00F9522B">
        <w:rPr>
          <w:rFonts w:eastAsiaTheme="minorEastAsia"/>
          <w:sz w:val="24"/>
        </w:rPr>
        <w:t>15</w:t>
      </w:r>
      <w:r w:rsidR="004A0FF6" w:rsidRPr="00F9522B">
        <w:rPr>
          <w:rFonts w:eastAsiaTheme="minorEastAsia"/>
          <w:sz w:val="24"/>
        </w:rPr>
        <w:t>万</w:t>
      </w:r>
      <w:r w:rsidRPr="00F9522B">
        <w:rPr>
          <w:rFonts w:eastAsiaTheme="minorEastAsia"/>
          <w:sz w:val="24"/>
        </w:rPr>
        <w:t>m</w:t>
      </w:r>
      <w:r w:rsidRPr="00F9522B">
        <w:rPr>
          <w:rFonts w:eastAsiaTheme="minorEastAsia"/>
          <w:sz w:val="24"/>
          <w:vertAlign w:val="superscript"/>
        </w:rPr>
        <w:t>3</w:t>
      </w:r>
      <w:r w:rsidRPr="00F9522B">
        <w:rPr>
          <w:rFonts w:eastAsiaTheme="minorEastAsia"/>
          <w:sz w:val="24"/>
        </w:rPr>
        <w:t>。</w:t>
      </w:r>
      <w:r w:rsidR="00E03AD9" w:rsidRPr="00F9522B">
        <w:rPr>
          <w:rFonts w:eastAsiaTheme="minorEastAsia"/>
          <w:bCs/>
          <w:sz w:val="24"/>
        </w:rPr>
        <w:t>COD</w:t>
      </w:r>
      <w:r w:rsidR="00E03AD9" w:rsidRPr="00F9522B">
        <w:rPr>
          <w:rFonts w:eastAsiaTheme="minorEastAsia"/>
          <w:bCs/>
          <w:sz w:val="24"/>
        </w:rPr>
        <w:t>、氨氮、总磷及总氮排放量分别减少</w:t>
      </w:r>
      <w:r w:rsidR="00E03AD9" w:rsidRPr="00F9522B">
        <w:rPr>
          <w:rFonts w:eastAsiaTheme="minorEastAsia"/>
          <w:bCs/>
          <w:sz w:val="24"/>
        </w:rPr>
        <w:t>7.905t/a</w:t>
      </w:r>
      <w:r w:rsidR="00E03AD9" w:rsidRPr="00F9522B">
        <w:rPr>
          <w:rFonts w:eastAsiaTheme="minorEastAsia"/>
          <w:bCs/>
          <w:sz w:val="24"/>
        </w:rPr>
        <w:t>、</w:t>
      </w:r>
      <w:r w:rsidR="00E03AD9" w:rsidRPr="00F9522B">
        <w:rPr>
          <w:rFonts w:eastAsiaTheme="minorEastAsia"/>
          <w:bCs/>
          <w:sz w:val="24"/>
        </w:rPr>
        <w:t>0.189t/a</w:t>
      </w:r>
      <w:r w:rsidR="00E03AD9" w:rsidRPr="00F9522B">
        <w:rPr>
          <w:rFonts w:eastAsiaTheme="minorEastAsia"/>
          <w:bCs/>
          <w:sz w:val="24"/>
        </w:rPr>
        <w:t>、</w:t>
      </w:r>
      <w:r w:rsidR="00E03AD9" w:rsidRPr="00F9522B">
        <w:rPr>
          <w:rFonts w:eastAsiaTheme="minorEastAsia"/>
          <w:bCs/>
          <w:sz w:val="24"/>
        </w:rPr>
        <w:t>0.276t/a</w:t>
      </w:r>
      <w:r w:rsidR="00E03AD9" w:rsidRPr="00F9522B">
        <w:rPr>
          <w:rFonts w:eastAsiaTheme="minorEastAsia"/>
          <w:bCs/>
          <w:sz w:val="24"/>
        </w:rPr>
        <w:t>、</w:t>
      </w:r>
      <w:r w:rsidR="00E03AD9" w:rsidRPr="00F9522B">
        <w:rPr>
          <w:rFonts w:eastAsiaTheme="minorEastAsia"/>
          <w:bCs/>
          <w:sz w:val="24"/>
        </w:rPr>
        <w:t>0.63t/a</w:t>
      </w:r>
      <w:r w:rsidRPr="00F9522B">
        <w:rPr>
          <w:rFonts w:eastAsiaTheme="minorEastAsia"/>
          <w:bCs/>
          <w:sz w:val="24"/>
        </w:rPr>
        <w:t>。</w:t>
      </w:r>
      <w:r w:rsidRPr="00F9522B">
        <w:rPr>
          <w:bCs/>
          <w:sz w:val="24"/>
        </w:rPr>
        <w:t>排水承泄区为</w:t>
      </w:r>
      <w:r w:rsidR="00507669" w:rsidRPr="00F9522B">
        <w:rPr>
          <w:rFonts w:eastAsiaTheme="minorEastAsia"/>
          <w:sz w:val="24"/>
        </w:rPr>
        <w:t>松花江</w:t>
      </w:r>
      <w:r w:rsidRPr="00F9522B">
        <w:rPr>
          <w:bCs/>
          <w:sz w:val="24"/>
        </w:rPr>
        <w:t>及漂河</w:t>
      </w:r>
      <w:r w:rsidRPr="00F9522B">
        <w:rPr>
          <w:smallCaps/>
          <w:sz w:val="24"/>
        </w:rPr>
        <w:t>。本项目施工期环境影响途径主要为田块整治工程、灌溉与排水工程、田间道路工程、农田输配电工程建设过程中产生的扬尘、施工期机械设备、淤泥恶臭及汽车尾气对周围环境空气的影响，施工废水对地表水、地下水环境的影响，各施工机械噪声对周围声环境的影响，施工固体废物对周围环境的影响，表土剥离对黑土地及基本农田的影响及对生态环境的影响；运营期环境影响途径主要为对地下水的影响，柴油机移动泵车、道路车辆尾气对周围环境的影响，固体废物对周围环境的影响，设备噪声对周围环保目标的影响以及对生态环境的影响。</w:t>
      </w:r>
    </w:p>
    <w:p w:rsidR="002A5A5E" w:rsidRPr="00F9522B" w:rsidRDefault="00611CBA">
      <w:pPr>
        <w:spacing w:line="360" w:lineRule="auto"/>
        <w:ind w:firstLineChars="200" w:firstLine="480"/>
        <w:rPr>
          <w:rFonts w:eastAsiaTheme="minorEastAsia"/>
          <w:snapToGrid w:val="0"/>
          <w:kern w:val="0"/>
          <w:sz w:val="24"/>
        </w:rPr>
      </w:pPr>
      <w:r w:rsidRPr="00F9522B">
        <w:rPr>
          <w:rFonts w:eastAsiaTheme="minorEastAsia"/>
          <w:snapToGrid w:val="0"/>
          <w:kern w:val="0"/>
          <w:sz w:val="24"/>
        </w:rPr>
        <w:t>通过本项目工程规划，提高基础设施配套程度，改善农业机械化、规模化生产条件，增强抵御自然灾害能力，改善生态景观，提高粮食生产保障能力，落实高标准农田规划确定的高标准基本农田建设目标任务，达到土地肥沃、生态良好、抗灾能力强、旱涝保收、高产稳产的目标，促进高标准基本农田建设目标任务，促进高标准基本农田持续利用。</w:t>
      </w:r>
    </w:p>
    <w:p w:rsidR="002A5A5E" w:rsidRPr="00F9522B" w:rsidRDefault="00611CBA">
      <w:pPr>
        <w:pStyle w:val="aff4"/>
        <w:adjustRightInd/>
        <w:snapToGrid/>
        <w:contextualSpacing/>
        <w:rPr>
          <w:rFonts w:ascii="Times New Roman" w:hAnsi="Times New Roman" w:cs="Times New Roman"/>
        </w:rPr>
      </w:pPr>
      <w:r w:rsidRPr="00F9522B">
        <w:rPr>
          <w:rFonts w:ascii="Times New Roman" w:hAnsi="Times New Roman" w:cs="Times New Roman"/>
        </w:rPr>
        <w:t>按照《中华人民共和国环境影响评价法》和《建设项目环境保护管理条例》等环保法规和条例中的有关规定，需对该项目进行环境影响评价，受哈尔滨市呼兰区农业技术推广中心委托，哈尔滨茸昌环保科技有限公司承担了本项目的环境影响评价工作，对</w:t>
      </w:r>
      <w:r w:rsidR="003A7922" w:rsidRPr="00F9522B">
        <w:rPr>
          <w:rFonts w:ascii="Times New Roman" w:hAnsi="Times New Roman" w:cs="Times New Roman"/>
        </w:rPr>
        <w:t>呼兰区</w:t>
      </w:r>
      <w:r w:rsidR="003A7922" w:rsidRPr="00F9522B">
        <w:rPr>
          <w:rFonts w:ascii="Times New Roman" w:hAnsi="Times New Roman" w:cs="Times New Roman"/>
        </w:rPr>
        <w:t>2026</w:t>
      </w:r>
      <w:r w:rsidR="003A7922" w:rsidRPr="00F9522B">
        <w:rPr>
          <w:rFonts w:ascii="Times New Roman" w:hAnsi="Times New Roman" w:cs="Times New Roman"/>
        </w:rPr>
        <w:t>年高标准农田建设项目</w:t>
      </w:r>
      <w:r w:rsidRPr="00F9522B">
        <w:rPr>
          <w:rFonts w:ascii="Times New Roman" w:hAnsi="Times New Roman" w:cs="Times New Roman"/>
        </w:rPr>
        <w:t>的建设与运营可能产生的环境影响进行分析、预测与评估，提出减缓不利环境影响的对策与措施，从环境保护角度论证项目建设的可行性，给出明确的环境影响评价结论。</w:t>
      </w:r>
    </w:p>
    <w:p w:rsidR="002A5A5E" w:rsidRPr="00F9522B" w:rsidRDefault="00611CBA">
      <w:pPr>
        <w:widowControl/>
        <w:tabs>
          <w:tab w:val="left" w:leader="middleDot" w:pos="7371"/>
        </w:tabs>
        <w:spacing w:before="100" w:beforeAutospacing="1" w:after="100" w:afterAutospacing="1"/>
        <w:contextualSpacing/>
        <w:jc w:val="left"/>
        <w:outlineLvl w:val="0"/>
        <w:rPr>
          <w:rFonts w:eastAsiaTheme="minorEastAsia"/>
          <w:b/>
          <w:kern w:val="0"/>
          <w:sz w:val="32"/>
          <w:szCs w:val="32"/>
        </w:rPr>
      </w:pPr>
      <w:bookmarkStart w:id="4" w:name="_Toc208906218"/>
      <w:bookmarkStart w:id="5" w:name="_Toc15991611"/>
      <w:bookmarkStart w:id="6" w:name="_Toc524431260"/>
      <w:bookmarkEnd w:id="3"/>
      <w:r w:rsidRPr="00F9522B">
        <w:rPr>
          <w:rFonts w:eastAsiaTheme="minorEastAsia"/>
          <w:b/>
          <w:kern w:val="0"/>
          <w:sz w:val="32"/>
          <w:szCs w:val="32"/>
        </w:rPr>
        <w:t>1.2</w:t>
      </w:r>
      <w:r w:rsidRPr="00F9522B">
        <w:rPr>
          <w:rFonts w:eastAsiaTheme="minorEastAsia"/>
          <w:b/>
          <w:kern w:val="0"/>
          <w:sz w:val="32"/>
          <w:szCs w:val="32"/>
        </w:rPr>
        <w:t>项目特点</w:t>
      </w:r>
      <w:bookmarkEnd w:id="4"/>
      <w:bookmarkEnd w:id="5"/>
      <w:bookmarkEnd w:id="6"/>
    </w:p>
    <w:p w:rsidR="002A5A5E" w:rsidRPr="00F9522B" w:rsidRDefault="00611CBA">
      <w:pPr>
        <w:spacing w:before="100" w:beforeAutospacing="1" w:after="100" w:afterAutospacing="1"/>
        <w:contextualSpacing/>
        <w:jc w:val="left"/>
        <w:outlineLvl w:val="2"/>
        <w:rPr>
          <w:rFonts w:eastAsiaTheme="minorEastAsia"/>
          <w:b/>
          <w:bCs/>
          <w:kern w:val="44"/>
          <w:sz w:val="28"/>
          <w:szCs w:val="28"/>
        </w:rPr>
      </w:pPr>
      <w:bookmarkStart w:id="7" w:name="_Toc524431261"/>
      <w:bookmarkStart w:id="8" w:name="_Toc15991612"/>
      <w:bookmarkStart w:id="9" w:name="_Toc184823186"/>
      <w:r w:rsidRPr="00F9522B">
        <w:rPr>
          <w:rFonts w:eastAsiaTheme="minorEastAsia"/>
          <w:b/>
          <w:bCs/>
          <w:kern w:val="44"/>
          <w:sz w:val="28"/>
          <w:szCs w:val="28"/>
        </w:rPr>
        <w:t>1.2.1</w:t>
      </w:r>
      <w:r w:rsidRPr="00F9522B">
        <w:rPr>
          <w:rFonts w:eastAsiaTheme="minorEastAsia"/>
          <w:b/>
          <w:bCs/>
          <w:kern w:val="44"/>
          <w:sz w:val="28"/>
          <w:szCs w:val="28"/>
        </w:rPr>
        <w:t>项目概况</w:t>
      </w:r>
      <w:bookmarkEnd w:id="7"/>
      <w:bookmarkEnd w:id="8"/>
      <w:bookmarkEnd w:id="9"/>
    </w:p>
    <w:p w:rsidR="002A5A5E" w:rsidRPr="00F9522B" w:rsidRDefault="00611CBA">
      <w:pPr>
        <w:spacing w:line="360" w:lineRule="auto"/>
        <w:ind w:firstLineChars="200" w:firstLine="480"/>
        <w:contextualSpacing/>
        <w:rPr>
          <w:rFonts w:eastAsiaTheme="minorEastAsia"/>
          <w:bCs/>
          <w:sz w:val="24"/>
        </w:rPr>
      </w:pPr>
      <w:r w:rsidRPr="00F9522B">
        <w:rPr>
          <w:rFonts w:eastAsiaTheme="minorEastAsia"/>
          <w:bCs/>
          <w:sz w:val="24"/>
        </w:rPr>
        <w:t>本项目为</w:t>
      </w:r>
      <w:r w:rsidR="003A7922" w:rsidRPr="00F9522B">
        <w:rPr>
          <w:rFonts w:eastAsiaTheme="minorEastAsia"/>
          <w:bCs/>
          <w:sz w:val="24"/>
        </w:rPr>
        <w:t>呼兰区</w:t>
      </w:r>
      <w:r w:rsidR="003A7922" w:rsidRPr="00F9522B">
        <w:rPr>
          <w:rFonts w:eastAsiaTheme="minorEastAsia"/>
          <w:bCs/>
          <w:sz w:val="24"/>
        </w:rPr>
        <w:t>2026</w:t>
      </w:r>
      <w:r w:rsidR="003A7922" w:rsidRPr="00F9522B">
        <w:rPr>
          <w:rFonts w:eastAsiaTheme="minorEastAsia"/>
          <w:bCs/>
          <w:sz w:val="24"/>
        </w:rPr>
        <w:t>年高标准农田建设项目</w:t>
      </w:r>
      <w:r w:rsidRPr="00F9522B">
        <w:rPr>
          <w:rFonts w:eastAsiaTheme="minorEastAsia"/>
          <w:bCs/>
          <w:sz w:val="24"/>
        </w:rPr>
        <w:t>，</w:t>
      </w:r>
      <w:r w:rsidR="00140B49" w:rsidRPr="00F9522B">
        <w:rPr>
          <w:rFonts w:eastAsiaTheme="minorEastAsia"/>
          <w:bCs/>
          <w:sz w:val="24"/>
        </w:rPr>
        <w:t>涉及</w:t>
      </w:r>
      <w:r w:rsidR="00140B49" w:rsidRPr="00F9522B">
        <w:rPr>
          <w:rFonts w:eastAsiaTheme="minorEastAsia"/>
          <w:bCs/>
          <w:sz w:val="24"/>
        </w:rPr>
        <w:t>4</w:t>
      </w:r>
      <w:r w:rsidR="00140B49" w:rsidRPr="00F9522B">
        <w:rPr>
          <w:rFonts w:eastAsiaTheme="minorEastAsia"/>
          <w:bCs/>
          <w:sz w:val="24"/>
        </w:rPr>
        <w:t>个乡镇</w:t>
      </w:r>
      <w:r w:rsidR="00140B49" w:rsidRPr="00F9522B">
        <w:rPr>
          <w:rFonts w:eastAsiaTheme="minorEastAsia"/>
          <w:bCs/>
          <w:sz w:val="24"/>
        </w:rPr>
        <w:t>35</w:t>
      </w:r>
      <w:r w:rsidR="00140B49" w:rsidRPr="00F9522B">
        <w:rPr>
          <w:rFonts w:eastAsiaTheme="minorEastAsia"/>
          <w:bCs/>
          <w:sz w:val="24"/>
        </w:rPr>
        <w:t>个行政村：黑龙江省哈尔滨市呼兰区二八镇阿堡村、鲍堡村、二八村、傅井村、头屯村、王</w:t>
      </w:r>
      <w:r w:rsidR="00140B49" w:rsidRPr="00F9522B">
        <w:rPr>
          <w:rFonts w:eastAsiaTheme="minorEastAsia"/>
          <w:bCs/>
          <w:sz w:val="24"/>
        </w:rPr>
        <w:lastRenderedPageBreak/>
        <w:t>柱村、元宝村、长山村；方台镇的方台村、高家村、宋家村、榆林村；康金街道的金城村、永胜村、历井村、孟井村、双合村、苏德村、王牛村、王佩村、东井村、西井村、杨木村、东腰村、历井农场、新农村；石人镇的城子村、古城村、金星村、石人村、永发村、永平村、于家村、双宝村、站前村</w:t>
      </w:r>
      <w:r w:rsidRPr="00F9522B">
        <w:rPr>
          <w:rFonts w:eastAsiaTheme="minorEastAsia"/>
          <w:bCs/>
          <w:sz w:val="24"/>
        </w:rPr>
        <w:t>。</w:t>
      </w:r>
    </w:p>
    <w:p w:rsidR="002A5A5E" w:rsidRPr="00F9522B" w:rsidRDefault="00611CBA">
      <w:pPr>
        <w:spacing w:line="360" w:lineRule="auto"/>
        <w:ind w:firstLineChars="200" w:firstLine="480"/>
        <w:contextualSpacing/>
        <w:rPr>
          <w:rFonts w:eastAsiaTheme="minorEastAsia"/>
          <w:sz w:val="24"/>
        </w:rPr>
      </w:pPr>
      <w:r w:rsidRPr="00F9522B">
        <w:rPr>
          <w:rFonts w:eastAsiaTheme="minorEastAsia"/>
          <w:bCs/>
          <w:sz w:val="24"/>
        </w:rPr>
        <w:t>主要建</w:t>
      </w:r>
      <w:r w:rsidRPr="00F9522B">
        <w:rPr>
          <w:rFonts w:eastAsiaTheme="minorEastAsia"/>
          <w:sz w:val="24"/>
        </w:rPr>
        <w:t>设内容：</w:t>
      </w:r>
    </w:p>
    <w:p w:rsidR="002A5A5E" w:rsidRPr="00F9522B" w:rsidRDefault="00611CBA">
      <w:pPr>
        <w:spacing w:line="360" w:lineRule="auto"/>
        <w:ind w:firstLineChars="200" w:firstLine="480"/>
        <w:contextualSpacing/>
        <w:rPr>
          <w:rFonts w:eastAsiaTheme="minorEastAsia"/>
          <w:bCs/>
          <w:sz w:val="24"/>
        </w:rPr>
      </w:pPr>
      <w:r w:rsidRPr="00F9522B">
        <w:rPr>
          <w:rFonts w:eastAsiaTheme="minorEastAsia"/>
          <w:bCs/>
          <w:sz w:val="24"/>
        </w:rPr>
        <w:t>田块整治工程：</w:t>
      </w:r>
      <w:r w:rsidR="00FD2A15" w:rsidRPr="00F9522B">
        <w:rPr>
          <w:rFonts w:eastAsiaTheme="minorEastAsia"/>
          <w:bCs/>
          <w:sz w:val="24"/>
        </w:rPr>
        <w:t>旱田田块平整面积</w:t>
      </w:r>
      <w:r w:rsidR="001722A2" w:rsidRPr="00F9522B">
        <w:rPr>
          <w:rFonts w:eastAsiaTheme="minorEastAsia"/>
          <w:bCs/>
          <w:sz w:val="24"/>
        </w:rPr>
        <w:t>1351.29</w:t>
      </w:r>
      <w:r w:rsidR="00FD2A15" w:rsidRPr="00F9522B">
        <w:rPr>
          <w:rFonts w:eastAsiaTheme="minorEastAsia"/>
          <w:bCs/>
          <w:sz w:val="24"/>
        </w:rPr>
        <w:t>亩，客土回填面积</w:t>
      </w:r>
      <w:r w:rsidR="00FD2A15" w:rsidRPr="00F9522B">
        <w:rPr>
          <w:rFonts w:eastAsiaTheme="minorEastAsia"/>
          <w:bCs/>
          <w:sz w:val="24"/>
        </w:rPr>
        <w:t>1659.91</w:t>
      </w:r>
      <w:r w:rsidR="00FD2A15" w:rsidRPr="00F9522B">
        <w:rPr>
          <w:rFonts w:eastAsiaTheme="minorEastAsia"/>
          <w:bCs/>
          <w:sz w:val="24"/>
        </w:rPr>
        <w:t>亩；水田格田改造面积</w:t>
      </w:r>
      <w:r w:rsidR="00FD2A15" w:rsidRPr="00F9522B">
        <w:rPr>
          <w:rFonts w:eastAsiaTheme="minorEastAsia"/>
          <w:bCs/>
          <w:sz w:val="24"/>
        </w:rPr>
        <w:t>428.89</w:t>
      </w:r>
      <w:r w:rsidR="00FD2A15" w:rsidRPr="00F9522B">
        <w:rPr>
          <w:rFonts w:eastAsiaTheme="minorEastAsia"/>
          <w:bCs/>
          <w:sz w:val="24"/>
        </w:rPr>
        <w:t>亩；旱田障碍土层消除</w:t>
      </w:r>
      <w:r w:rsidR="00FD2A15" w:rsidRPr="00F9522B">
        <w:rPr>
          <w:rFonts w:eastAsiaTheme="minorEastAsia"/>
          <w:bCs/>
          <w:sz w:val="24"/>
        </w:rPr>
        <w:t>47888</w:t>
      </w:r>
      <w:r w:rsidR="00FD2A15" w:rsidRPr="00F9522B">
        <w:rPr>
          <w:rFonts w:eastAsiaTheme="minorEastAsia"/>
          <w:bCs/>
          <w:sz w:val="24"/>
        </w:rPr>
        <w:t>亩；沟头防护</w:t>
      </w:r>
      <w:r w:rsidR="002C7F07" w:rsidRPr="00F9522B">
        <w:rPr>
          <w:rFonts w:eastAsiaTheme="minorEastAsia"/>
          <w:bCs/>
          <w:sz w:val="24"/>
        </w:rPr>
        <w:t>200</w:t>
      </w:r>
      <w:r w:rsidR="00FD2A15" w:rsidRPr="00F9522B">
        <w:rPr>
          <w:rFonts w:eastAsiaTheme="minorEastAsia"/>
          <w:bCs/>
          <w:sz w:val="24"/>
        </w:rPr>
        <w:t>座；岸坡防护</w:t>
      </w:r>
      <w:r w:rsidR="00FD2A15" w:rsidRPr="00F9522B">
        <w:rPr>
          <w:rFonts w:eastAsiaTheme="minorEastAsia"/>
          <w:bCs/>
          <w:sz w:val="24"/>
        </w:rPr>
        <w:t>1</w:t>
      </w:r>
      <w:r w:rsidR="001722A2" w:rsidRPr="00F9522B">
        <w:rPr>
          <w:rFonts w:eastAsiaTheme="minorEastAsia"/>
          <w:bCs/>
          <w:sz w:val="24"/>
        </w:rPr>
        <w:t>5.558</w:t>
      </w:r>
      <w:r w:rsidR="00FD2A15" w:rsidRPr="00F9522B">
        <w:rPr>
          <w:rFonts w:eastAsiaTheme="minorEastAsia"/>
          <w:bCs/>
          <w:sz w:val="24"/>
        </w:rPr>
        <w:t>公里</w:t>
      </w:r>
      <w:r w:rsidRPr="00F9522B">
        <w:rPr>
          <w:rFonts w:eastAsiaTheme="minorEastAsia"/>
          <w:bCs/>
          <w:sz w:val="24"/>
        </w:rPr>
        <w:t>。</w:t>
      </w:r>
    </w:p>
    <w:p w:rsidR="002A5A5E" w:rsidRPr="00F9522B" w:rsidRDefault="00611CBA">
      <w:pPr>
        <w:spacing w:line="360" w:lineRule="auto"/>
        <w:ind w:firstLineChars="200" w:firstLine="480"/>
        <w:contextualSpacing/>
        <w:rPr>
          <w:rFonts w:eastAsiaTheme="minorEastAsia"/>
          <w:bCs/>
          <w:sz w:val="24"/>
        </w:rPr>
      </w:pPr>
      <w:r w:rsidRPr="00F9522B">
        <w:rPr>
          <w:rFonts w:eastAsiaTheme="minorEastAsia"/>
          <w:bCs/>
          <w:sz w:val="24"/>
        </w:rPr>
        <w:t>灌溉与排水工程：新打机电井</w:t>
      </w:r>
      <w:r w:rsidR="00FD2A15" w:rsidRPr="00F9522B">
        <w:rPr>
          <w:rFonts w:eastAsiaTheme="minorEastAsia"/>
          <w:bCs/>
          <w:sz w:val="24"/>
        </w:rPr>
        <w:t>264</w:t>
      </w:r>
      <w:r w:rsidRPr="00F9522B">
        <w:rPr>
          <w:rFonts w:eastAsiaTheme="minorEastAsia"/>
          <w:bCs/>
          <w:sz w:val="24"/>
        </w:rPr>
        <w:t>眼，配套井房</w:t>
      </w:r>
      <w:r w:rsidR="00FD2A15" w:rsidRPr="00F9522B">
        <w:rPr>
          <w:rFonts w:eastAsiaTheme="minorEastAsia"/>
          <w:bCs/>
          <w:sz w:val="24"/>
        </w:rPr>
        <w:t>264</w:t>
      </w:r>
      <w:r w:rsidRPr="00F9522B">
        <w:rPr>
          <w:rFonts w:eastAsiaTheme="minorEastAsia"/>
          <w:bCs/>
          <w:sz w:val="24"/>
        </w:rPr>
        <w:t>座、井泵</w:t>
      </w:r>
      <w:r w:rsidR="00FD2A15" w:rsidRPr="00F9522B">
        <w:rPr>
          <w:rFonts w:eastAsiaTheme="minorEastAsia"/>
          <w:bCs/>
          <w:sz w:val="24"/>
        </w:rPr>
        <w:t>264</w:t>
      </w:r>
      <w:r w:rsidRPr="00F9522B">
        <w:rPr>
          <w:rFonts w:eastAsiaTheme="minorEastAsia"/>
          <w:bCs/>
          <w:sz w:val="24"/>
        </w:rPr>
        <w:t>台</w:t>
      </w:r>
      <w:r w:rsidR="00FD2A15" w:rsidRPr="00F9522B">
        <w:rPr>
          <w:rFonts w:eastAsiaTheme="minorEastAsia"/>
          <w:bCs/>
          <w:sz w:val="24"/>
        </w:rPr>
        <w:t>，水肥一体灌溉面积</w:t>
      </w:r>
      <w:r w:rsidR="00FD2A15" w:rsidRPr="00F9522B">
        <w:rPr>
          <w:rFonts w:eastAsiaTheme="minorEastAsia"/>
          <w:bCs/>
          <w:sz w:val="24"/>
        </w:rPr>
        <w:t>1.63</w:t>
      </w:r>
      <w:r w:rsidR="00FD2A15" w:rsidRPr="00F9522B">
        <w:rPr>
          <w:rFonts w:eastAsiaTheme="minorEastAsia"/>
          <w:bCs/>
          <w:sz w:val="24"/>
        </w:rPr>
        <w:t>万亩</w:t>
      </w:r>
      <w:r w:rsidRPr="00F9522B">
        <w:rPr>
          <w:rFonts w:eastAsiaTheme="minorEastAsia"/>
          <w:bCs/>
          <w:sz w:val="24"/>
        </w:rPr>
        <w:t>；渠道衬砌</w:t>
      </w:r>
      <w:r w:rsidR="00FD2A15" w:rsidRPr="00F9522B">
        <w:rPr>
          <w:rFonts w:eastAsiaTheme="minorEastAsia"/>
          <w:bCs/>
          <w:sz w:val="24"/>
        </w:rPr>
        <w:t>1.368</w:t>
      </w:r>
      <w:r w:rsidRPr="00F9522B">
        <w:rPr>
          <w:rFonts w:eastAsiaTheme="minorEastAsia"/>
          <w:bCs/>
          <w:sz w:val="24"/>
        </w:rPr>
        <w:t>km</w:t>
      </w:r>
      <w:r w:rsidRPr="00F9522B">
        <w:rPr>
          <w:rFonts w:eastAsiaTheme="minorEastAsia"/>
          <w:bCs/>
          <w:sz w:val="24"/>
        </w:rPr>
        <w:t>；购置移动泵车</w:t>
      </w:r>
      <w:r w:rsidR="00FD2A15" w:rsidRPr="00F9522B">
        <w:rPr>
          <w:rFonts w:eastAsiaTheme="minorEastAsia"/>
          <w:bCs/>
          <w:sz w:val="24"/>
        </w:rPr>
        <w:t>78</w:t>
      </w:r>
      <w:r w:rsidRPr="00F9522B">
        <w:rPr>
          <w:rFonts w:eastAsiaTheme="minorEastAsia"/>
          <w:bCs/>
          <w:sz w:val="24"/>
        </w:rPr>
        <w:t>台；排水沟清淤</w:t>
      </w:r>
      <w:r w:rsidRPr="00F9522B">
        <w:rPr>
          <w:rFonts w:eastAsiaTheme="minorEastAsia"/>
          <w:bCs/>
          <w:sz w:val="24"/>
        </w:rPr>
        <w:t>1</w:t>
      </w:r>
      <w:r w:rsidR="001722A2" w:rsidRPr="00F9522B">
        <w:rPr>
          <w:rFonts w:eastAsiaTheme="minorEastAsia"/>
          <w:bCs/>
          <w:sz w:val="24"/>
        </w:rPr>
        <w:t>4.073</w:t>
      </w:r>
      <w:r w:rsidRPr="00F9522B">
        <w:rPr>
          <w:rFonts w:eastAsiaTheme="minorEastAsia"/>
          <w:bCs/>
          <w:sz w:val="24"/>
        </w:rPr>
        <w:t>km</w:t>
      </w:r>
      <w:r w:rsidRPr="00F9522B">
        <w:rPr>
          <w:rFonts w:eastAsiaTheme="minorEastAsia"/>
          <w:bCs/>
          <w:sz w:val="24"/>
        </w:rPr>
        <w:t>，排水沟护砌</w:t>
      </w:r>
      <w:r w:rsidR="001722A2" w:rsidRPr="00F9522B">
        <w:rPr>
          <w:rFonts w:eastAsiaTheme="minorEastAsia"/>
          <w:bCs/>
          <w:sz w:val="24"/>
        </w:rPr>
        <w:t>78.697</w:t>
      </w:r>
      <w:r w:rsidRPr="00F9522B">
        <w:rPr>
          <w:rFonts w:eastAsiaTheme="minorEastAsia"/>
          <w:bCs/>
          <w:sz w:val="24"/>
        </w:rPr>
        <w:t>km</w:t>
      </w:r>
      <w:r w:rsidRPr="00F9522B">
        <w:rPr>
          <w:rFonts w:eastAsiaTheme="minorEastAsia"/>
          <w:bCs/>
          <w:sz w:val="24"/>
        </w:rPr>
        <w:t>；新建建筑物</w:t>
      </w:r>
      <w:r w:rsidRPr="00F9522B">
        <w:rPr>
          <w:rFonts w:eastAsiaTheme="minorEastAsia"/>
          <w:bCs/>
          <w:sz w:val="24"/>
        </w:rPr>
        <w:t>1</w:t>
      </w:r>
      <w:r w:rsidR="001722A2" w:rsidRPr="00F9522B">
        <w:rPr>
          <w:rFonts w:eastAsiaTheme="minorEastAsia"/>
          <w:bCs/>
          <w:sz w:val="24"/>
        </w:rPr>
        <w:t>450</w:t>
      </w:r>
      <w:r w:rsidRPr="00F9522B">
        <w:rPr>
          <w:rFonts w:eastAsiaTheme="minorEastAsia"/>
          <w:bCs/>
          <w:sz w:val="24"/>
        </w:rPr>
        <w:t>座，其中：涵洞</w:t>
      </w:r>
      <w:r w:rsidR="001722A2" w:rsidRPr="00F9522B">
        <w:rPr>
          <w:rFonts w:eastAsiaTheme="minorEastAsia"/>
          <w:bCs/>
          <w:sz w:val="24"/>
        </w:rPr>
        <w:t>707</w:t>
      </w:r>
      <w:r w:rsidRPr="00F9522B">
        <w:rPr>
          <w:rFonts w:eastAsiaTheme="minorEastAsia"/>
          <w:bCs/>
          <w:sz w:val="24"/>
        </w:rPr>
        <w:t>座，过水路面</w:t>
      </w:r>
      <w:r w:rsidR="001722A2" w:rsidRPr="00F9522B">
        <w:rPr>
          <w:rFonts w:eastAsiaTheme="minorEastAsia"/>
          <w:bCs/>
          <w:sz w:val="24"/>
        </w:rPr>
        <w:t>742</w:t>
      </w:r>
      <w:r w:rsidRPr="00F9522B">
        <w:rPr>
          <w:rFonts w:eastAsiaTheme="minorEastAsia"/>
          <w:bCs/>
          <w:sz w:val="24"/>
        </w:rPr>
        <w:t>座，</w:t>
      </w:r>
      <w:r w:rsidR="00FD2A15" w:rsidRPr="00F9522B">
        <w:rPr>
          <w:rFonts w:eastAsiaTheme="minorEastAsia"/>
          <w:bCs/>
          <w:sz w:val="24"/>
        </w:rPr>
        <w:t>渡槽</w:t>
      </w:r>
      <w:r w:rsidR="00FD2A15" w:rsidRPr="00F9522B">
        <w:rPr>
          <w:rFonts w:eastAsiaTheme="minorEastAsia"/>
          <w:bCs/>
          <w:sz w:val="24"/>
        </w:rPr>
        <w:t>1</w:t>
      </w:r>
      <w:r w:rsidRPr="00F9522B">
        <w:rPr>
          <w:rFonts w:eastAsiaTheme="minorEastAsia"/>
          <w:bCs/>
          <w:sz w:val="24"/>
        </w:rPr>
        <w:t>座。</w:t>
      </w:r>
    </w:p>
    <w:p w:rsidR="002A5A5E" w:rsidRPr="00F9522B" w:rsidRDefault="00611CBA">
      <w:pPr>
        <w:spacing w:line="360" w:lineRule="auto"/>
        <w:ind w:firstLineChars="200" w:firstLine="480"/>
        <w:contextualSpacing/>
        <w:rPr>
          <w:rFonts w:eastAsiaTheme="minorEastAsia"/>
          <w:bCs/>
          <w:sz w:val="24"/>
        </w:rPr>
      </w:pPr>
      <w:r w:rsidRPr="00F9522B">
        <w:rPr>
          <w:rFonts w:eastAsiaTheme="minorEastAsia"/>
          <w:bCs/>
          <w:sz w:val="24"/>
        </w:rPr>
        <w:t>田间道路工程：修缮道路</w:t>
      </w:r>
      <w:r w:rsidR="008044F7" w:rsidRPr="00F9522B">
        <w:rPr>
          <w:rFonts w:eastAsiaTheme="minorEastAsia"/>
          <w:bCs/>
          <w:sz w:val="24"/>
        </w:rPr>
        <w:t>7</w:t>
      </w:r>
      <w:r w:rsidR="001722A2" w:rsidRPr="00F9522B">
        <w:rPr>
          <w:rFonts w:eastAsiaTheme="minorEastAsia"/>
          <w:bCs/>
          <w:sz w:val="24"/>
        </w:rPr>
        <w:t>92</w:t>
      </w:r>
      <w:r w:rsidRPr="00F9522B">
        <w:rPr>
          <w:rFonts w:eastAsiaTheme="minorEastAsia"/>
          <w:bCs/>
          <w:sz w:val="24"/>
        </w:rPr>
        <w:t>条，共</w:t>
      </w:r>
      <w:r w:rsidR="001722A2" w:rsidRPr="00F9522B">
        <w:rPr>
          <w:rFonts w:eastAsiaTheme="minorEastAsia"/>
          <w:bCs/>
          <w:sz w:val="24"/>
        </w:rPr>
        <w:t>537.512</w:t>
      </w:r>
      <w:r w:rsidRPr="00F9522B">
        <w:rPr>
          <w:rFonts w:eastAsiaTheme="minorEastAsia"/>
          <w:bCs/>
          <w:sz w:val="24"/>
        </w:rPr>
        <w:t>km</w:t>
      </w:r>
      <w:r w:rsidRPr="00F9522B">
        <w:rPr>
          <w:rFonts w:eastAsiaTheme="minorEastAsia"/>
          <w:bCs/>
          <w:sz w:val="24"/>
        </w:rPr>
        <w:t>，其中：机耕路（混凝土路面）</w:t>
      </w:r>
      <w:r w:rsidR="001722A2" w:rsidRPr="00F9522B">
        <w:rPr>
          <w:rFonts w:eastAsiaTheme="minorEastAsia"/>
          <w:bCs/>
          <w:sz w:val="24"/>
        </w:rPr>
        <w:t>157</w:t>
      </w:r>
      <w:r w:rsidRPr="00F9522B">
        <w:rPr>
          <w:rFonts w:eastAsiaTheme="minorEastAsia"/>
          <w:bCs/>
          <w:sz w:val="24"/>
        </w:rPr>
        <w:t>条，共</w:t>
      </w:r>
      <w:r w:rsidRPr="00F9522B">
        <w:rPr>
          <w:rFonts w:eastAsiaTheme="minorEastAsia"/>
          <w:bCs/>
          <w:sz w:val="24"/>
        </w:rPr>
        <w:t>1</w:t>
      </w:r>
      <w:r w:rsidR="001722A2" w:rsidRPr="00F9522B">
        <w:rPr>
          <w:rFonts w:eastAsiaTheme="minorEastAsia"/>
          <w:bCs/>
          <w:sz w:val="24"/>
        </w:rPr>
        <w:t>29.289</w:t>
      </w:r>
      <w:r w:rsidRPr="00F9522B">
        <w:rPr>
          <w:rFonts w:eastAsiaTheme="minorEastAsia"/>
          <w:bCs/>
          <w:sz w:val="24"/>
        </w:rPr>
        <w:t>km</w:t>
      </w:r>
      <w:r w:rsidRPr="00F9522B">
        <w:rPr>
          <w:rFonts w:eastAsiaTheme="minorEastAsia"/>
          <w:bCs/>
          <w:sz w:val="24"/>
        </w:rPr>
        <w:t>；生产路（砂石路面）</w:t>
      </w:r>
      <w:r w:rsidR="001722A2" w:rsidRPr="00F9522B">
        <w:rPr>
          <w:rFonts w:eastAsiaTheme="minorEastAsia"/>
          <w:bCs/>
          <w:sz w:val="24"/>
        </w:rPr>
        <w:t>635</w:t>
      </w:r>
      <w:r w:rsidRPr="00F9522B">
        <w:rPr>
          <w:rFonts w:eastAsiaTheme="minorEastAsia"/>
          <w:bCs/>
          <w:sz w:val="24"/>
        </w:rPr>
        <w:t>条，共</w:t>
      </w:r>
      <w:r w:rsidR="001722A2" w:rsidRPr="00F9522B">
        <w:rPr>
          <w:rFonts w:eastAsiaTheme="minorEastAsia"/>
          <w:bCs/>
          <w:sz w:val="24"/>
        </w:rPr>
        <w:t>408.223</w:t>
      </w:r>
      <w:r w:rsidRPr="00F9522B">
        <w:rPr>
          <w:rFonts w:eastAsiaTheme="minorEastAsia"/>
          <w:bCs/>
          <w:sz w:val="24"/>
        </w:rPr>
        <w:t>km</w:t>
      </w:r>
      <w:r w:rsidRPr="00F9522B">
        <w:rPr>
          <w:rFonts w:eastAsiaTheme="minorEastAsia"/>
          <w:bCs/>
          <w:sz w:val="24"/>
        </w:rPr>
        <w:t>。</w:t>
      </w:r>
    </w:p>
    <w:p w:rsidR="002A5A5E" w:rsidRPr="00F9522B" w:rsidRDefault="00611CBA">
      <w:pPr>
        <w:spacing w:line="360" w:lineRule="auto"/>
        <w:ind w:firstLineChars="200" w:firstLine="480"/>
        <w:contextualSpacing/>
        <w:rPr>
          <w:rFonts w:eastAsiaTheme="minorEastAsia"/>
          <w:bCs/>
          <w:sz w:val="24"/>
        </w:rPr>
      </w:pPr>
      <w:r w:rsidRPr="00F9522B">
        <w:rPr>
          <w:rFonts w:eastAsiaTheme="minorEastAsia"/>
          <w:bCs/>
          <w:sz w:val="24"/>
        </w:rPr>
        <w:t>农田输配电工程：新建</w:t>
      </w:r>
      <w:r w:rsidRPr="00F9522B">
        <w:rPr>
          <w:rFonts w:eastAsiaTheme="minorEastAsia"/>
          <w:bCs/>
          <w:sz w:val="24"/>
        </w:rPr>
        <w:t>10kV</w:t>
      </w:r>
      <w:r w:rsidRPr="00F9522B">
        <w:rPr>
          <w:rFonts w:eastAsiaTheme="minorEastAsia"/>
          <w:bCs/>
          <w:sz w:val="24"/>
        </w:rPr>
        <w:t>高压电缆线路</w:t>
      </w:r>
      <w:r w:rsidR="007B1CBC" w:rsidRPr="00F9522B">
        <w:rPr>
          <w:rFonts w:eastAsiaTheme="minorEastAsia"/>
          <w:bCs/>
          <w:sz w:val="24"/>
        </w:rPr>
        <w:t>97.31</w:t>
      </w:r>
      <w:r w:rsidRPr="00F9522B">
        <w:rPr>
          <w:rFonts w:eastAsiaTheme="minorEastAsia"/>
          <w:bCs/>
          <w:sz w:val="24"/>
        </w:rPr>
        <w:t>km</w:t>
      </w:r>
      <w:r w:rsidRPr="00F9522B">
        <w:rPr>
          <w:rFonts w:eastAsiaTheme="minorEastAsia"/>
          <w:bCs/>
          <w:sz w:val="24"/>
        </w:rPr>
        <w:t>，其中</w:t>
      </w:r>
      <w:r w:rsidRPr="00F9522B">
        <w:rPr>
          <w:rFonts w:eastAsiaTheme="minorEastAsia"/>
          <w:bCs/>
          <w:sz w:val="24"/>
        </w:rPr>
        <w:t>10kV</w:t>
      </w:r>
      <w:r w:rsidRPr="00F9522B">
        <w:rPr>
          <w:rFonts w:eastAsiaTheme="minorEastAsia"/>
          <w:bCs/>
          <w:sz w:val="24"/>
        </w:rPr>
        <w:t>高压架空线路</w:t>
      </w:r>
      <w:r w:rsidR="007B1CBC" w:rsidRPr="00F9522B">
        <w:rPr>
          <w:rFonts w:eastAsiaTheme="minorEastAsia"/>
          <w:bCs/>
          <w:sz w:val="24"/>
        </w:rPr>
        <w:t>48.086</w:t>
      </w:r>
      <w:r w:rsidRPr="00F9522B">
        <w:rPr>
          <w:rFonts w:eastAsiaTheme="minorEastAsia"/>
          <w:bCs/>
          <w:sz w:val="24"/>
        </w:rPr>
        <w:t>km</w:t>
      </w:r>
      <w:r w:rsidRPr="00F9522B">
        <w:rPr>
          <w:rFonts w:eastAsiaTheme="minorEastAsia"/>
          <w:bCs/>
          <w:sz w:val="24"/>
        </w:rPr>
        <w:t>、地埋线路</w:t>
      </w:r>
      <w:r w:rsidR="007B1CBC" w:rsidRPr="00F9522B">
        <w:rPr>
          <w:rFonts w:eastAsiaTheme="minorEastAsia"/>
          <w:bCs/>
          <w:sz w:val="24"/>
        </w:rPr>
        <w:t>49.224</w:t>
      </w:r>
      <w:r w:rsidRPr="00F9522B">
        <w:rPr>
          <w:rFonts w:eastAsiaTheme="minorEastAsia"/>
          <w:bCs/>
          <w:sz w:val="24"/>
        </w:rPr>
        <w:t>km</w:t>
      </w:r>
      <w:r w:rsidRPr="00F9522B">
        <w:rPr>
          <w:rFonts w:eastAsiaTheme="minorEastAsia"/>
          <w:bCs/>
          <w:sz w:val="24"/>
        </w:rPr>
        <w:t>；新建</w:t>
      </w:r>
      <w:r w:rsidRPr="00F9522B">
        <w:rPr>
          <w:rFonts w:eastAsiaTheme="minorEastAsia"/>
          <w:bCs/>
          <w:sz w:val="24"/>
        </w:rPr>
        <w:t>0.4kV</w:t>
      </w:r>
      <w:r w:rsidRPr="00F9522B">
        <w:rPr>
          <w:rFonts w:eastAsiaTheme="minorEastAsia"/>
          <w:bCs/>
          <w:sz w:val="24"/>
        </w:rPr>
        <w:t>低压地埋线路</w:t>
      </w:r>
      <w:r w:rsidR="007B1CBC" w:rsidRPr="00F9522B">
        <w:rPr>
          <w:rFonts w:eastAsiaTheme="minorEastAsia"/>
          <w:bCs/>
          <w:sz w:val="24"/>
        </w:rPr>
        <w:t>29.676</w:t>
      </w:r>
      <w:r w:rsidRPr="00F9522B">
        <w:rPr>
          <w:rFonts w:eastAsiaTheme="minorEastAsia"/>
          <w:bCs/>
          <w:sz w:val="24"/>
        </w:rPr>
        <w:t>km</w:t>
      </w:r>
      <w:r w:rsidRPr="00F9522B">
        <w:rPr>
          <w:rFonts w:eastAsiaTheme="minorEastAsia"/>
          <w:bCs/>
          <w:sz w:val="24"/>
        </w:rPr>
        <w:t>。配套变压器</w:t>
      </w:r>
      <w:r w:rsidR="007B1CBC" w:rsidRPr="00F9522B">
        <w:rPr>
          <w:rFonts w:eastAsiaTheme="minorEastAsia"/>
          <w:bCs/>
          <w:sz w:val="24"/>
        </w:rPr>
        <w:t>256</w:t>
      </w:r>
      <w:r w:rsidR="007B1CBC" w:rsidRPr="00F9522B">
        <w:rPr>
          <w:rFonts w:eastAsiaTheme="minorEastAsia"/>
          <w:bCs/>
          <w:sz w:val="24"/>
        </w:rPr>
        <w:t>台</w:t>
      </w:r>
      <w:r w:rsidRPr="00F9522B">
        <w:rPr>
          <w:rFonts w:eastAsiaTheme="minorEastAsia"/>
          <w:bCs/>
          <w:sz w:val="24"/>
        </w:rPr>
        <w:t>。</w:t>
      </w:r>
    </w:p>
    <w:p w:rsidR="002A5A5E" w:rsidRPr="00F9522B" w:rsidRDefault="00140B49">
      <w:pPr>
        <w:spacing w:line="360" w:lineRule="auto"/>
        <w:ind w:firstLineChars="200" w:firstLine="480"/>
        <w:contextualSpacing/>
        <w:rPr>
          <w:rFonts w:eastAsiaTheme="minorEastAsia"/>
          <w:bCs/>
          <w:sz w:val="24"/>
        </w:rPr>
      </w:pPr>
      <w:r w:rsidRPr="00F9522B">
        <w:rPr>
          <w:rFonts w:eastAsiaTheme="minorEastAsia"/>
          <w:bCs/>
          <w:sz w:val="24"/>
        </w:rPr>
        <w:t>建设</w:t>
      </w:r>
      <w:r w:rsidRPr="00F9522B">
        <w:rPr>
          <w:rFonts w:eastAsiaTheme="minorEastAsia"/>
          <w:bCs/>
          <w:sz w:val="24"/>
        </w:rPr>
        <w:t>32</w:t>
      </w:r>
      <w:r w:rsidRPr="00F9522B">
        <w:rPr>
          <w:rFonts w:eastAsiaTheme="minorEastAsia"/>
          <w:bCs/>
          <w:sz w:val="24"/>
        </w:rPr>
        <w:t>万亩高标准农田（旱田</w:t>
      </w:r>
      <w:r w:rsidRPr="00F9522B">
        <w:rPr>
          <w:rFonts w:eastAsiaTheme="minorEastAsia"/>
          <w:bCs/>
          <w:sz w:val="24"/>
        </w:rPr>
        <w:t>31.53</w:t>
      </w:r>
      <w:r w:rsidRPr="00F9522B">
        <w:rPr>
          <w:rFonts w:eastAsiaTheme="minorEastAsia"/>
          <w:bCs/>
          <w:sz w:val="24"/>
        </w:rPr>
        <w:t>万亩，水田</w:t>
      </w:r>
      <w:r w:rsidRPr="00F9522B">
        <w:rPr>
          <w:rFonts w:eastAsiaTheme="minorEastAsia"/>
          <w:bCs/>
          <w:sz w:val="24"/>
        </w:rPr>
        <w:t>0.47</w:t>
      </w:r>
      <w:r w:rsidRPr="00F9522B">
        <w:rPr>
          <w:rFonts w:eastAsiaTheme="minorEastAsia"/>
          <w:bCs/>
          <w:sz w:val="24"/>
        </w:rPr>
        <w:t>万亩）</w:t>
      </w:r>
      <w:r w:rsidR="00611CBA" w:rsidRPr="00F9522B">
        <w:rPr>
          <w:rFonts w:eastAsiaTheme="minorEastAsia"/>
          <w:bCs/>
          <w:sz w:val="24"/>
        </w:rPr>
        <w:t>。</w:t>
      </w:r>
    </w:p>
    <w:p w:rsidR="002A5A5E" w:rsidRPr="00F9522B" w:rsidRDefault="00611CBA">
      <w:pPr>
        <w:spacing w:before="100" w:beforeAutospacing="1" w:after="100" w:afterAutospacing="1"/>
        <w:contextualSpacing/>
        <w:jc w:val="left"/>
        <w:outlineLvl w:val="2"/>
        <w:rPr>
          <w:rFonts w:eastAsiaTheme="minorEastAsia"/>
          <w:b/>
          <w:bCs/>
          <w:kern w:val="44"/>
          <w:sz w:val="28"/>
          <w:szCs w:val="28"/>
        </w:rPr>
      </w:pPr>
      <w:bookmarkStart w:id="10" w:name="_Toc184823187"/>
      <w:r w:rsidRPr="00F9522B">
        <w:rPr>
          <w:rFonts w:eastAsiaTheme="minorEastAsia"/>
          <w:b/>
          <w:bCs/>
          <w:kern w:val="44"/>
          <w:sz w:val="28"/>
          <w:szCs w:val="28"/>
        </w:rPr>
        <w:t>1.2.2</w:t>
      </w:r>
      <w:r w:rsidRPr="00F9522B">
        <w:rPr>
          <w:rFonts w:eastAsiaTheme="minorEastAsia"/>
          <w:b/>
          <w:bCs/>
          <w:kern w:val="44"/>
          <w:sz w:val="28"/>
          <w:szCs w:val="28"/>
        </w:rPr>
        <w:t>项目特点</w:t>
      </w:r>
      <w:bookmarkEnd w:id="10"/>
    </w:p>
    <w:p w:rsidR="002A5A5E" w:rsidRPr="00F9522B" w:rsidRDefault="00611CBA">
      <w:pPr>
        <w:pStyle w:val="aaa"/>
        <w:spacing w:line="360" w:lineRule="auto"/>
        <w:ind w:firstLine="480"/>
        <w:rPr>
          <w:rFonts w:eastAsiaTheme="minorEastAsia" w:hAnsi="Times New Roman"/>
        </w:rPr>
      </w:pPr>
      <w:r w:rsidRPr="00F9522B">
        <w:rPr>
          <w:rFonts w:eastAsiaTheme="minorEastAsia" w:hAnsi="Times New Roman"/>
        </w:rPr>
        <w:t>项目区域共</w:t>
      </w:r>
      <w:r w:rsidR="004451AD" w:rsidRPr="00F9522B">
        <w:rPr>
          <w:rFonts w:eastAsiaTheme="minorEastAsia" w:hAnsi="Times New Roman"/>
          <w:bCs/>
          <w:snapToGrid w:val="0"/>
        </w:rPr>
        <w:t>31.53</w:t>
      </w:r>
      <w:r w:rsidRPr="00F9522B">
        <w:rPr>
          <w:rFonts w:eastAsiaTheme="minorEastAsia" w:hAnsi="Times New Roman"/>
          <w:bCs/>
          <w:snapToGrid w:val="0"/>
        </w:rPr>
        <w:t>万亩旱田，其中</w:t>
      </w:r>
      <w:r w:rsidRPr="00F9522B">
        <w:rPr>
          <w:rFonts w:eastAsiaTheme="minorEastAsia" w:hAnsi="Times New Roman"/>
        </w:rPr>
        <w:t>原有农户自己打的机电井</w:t>
      </w:r>
      <w:r w:rsidR="00904BE7" w:rsidRPr="00F9522B">
        <w:rPr>
          <w:rFonts w:eastAsiaTheme="minorEastAsia" w:hAnsi="Times New Roman"/>
        </w:rPr>
        <w:t>80</w:t>
      </w:r>
      <w:r w:rsidRPr="00F9522B">
        <w:rPr>
          <w:rFonts w:eastAsiaTheme="minorEastAsia" w:hAnsi="Times New Roman"/>
        </w:rPr>
        <w:t>眼，能够满足</w:t>
      </w:r>
      <w:r w:rsidR="00904BE7" w:rsidRPr="00F9522B">
        <w:rPr>
          <w:rFonts w:eastAsiaTheme="minorEastAsia" w:hAnsi="Times New Roman"/>
        </w:rPr>
        <w:t>1.16</w:t>
      </w:r>
      <w:r w:rsidRPr="00F9522B">
        <w:rPr>
          <w:rFonts w:eastAsiaTheme="minorEastAsia" w:hAnsi="Times New Roman"/>
        </w:rPr>
        <w:t>万亩旱田的灌溉需求，其他地块依靠天然降水。本项目灌溉井（</w:t>
      </w:r>
      <w:r w:rsidR="004451AD" w:rsidRPr="00F9522B">
        <w:rPr>
          <w:rFonts w:eastAsiaTheme="minorEastAsia" w:hAnsi="Times New Roman"/>
          <w:bCs/>
        </w:rPr>
        <w:t>70</w:t>
      </w:r>
      <w:r w:rsidRPr="00F9522B">
        <w:rPr>
          <w:rFonts w:eastAsiaTheme="minorEastAsia" w:hAnsi="Times New Roman"/>
          <w:bCs/>
        </w:rPr>
        <w:t>口滴灌井，</w:t>
      </w:r>
      <w:r w:rsidR="004451AD" w:rsidRPr="00F9522B">
        <w:rPr>
          <w:rFonts w:eastAsiaTheme="minorEastAsia" w:hAnsi="Times New Roman"/>
          <w:bCs/>
        </w:rPr>
        <w:t>194</w:t>
      </w:r>
      <w:r w:rsidRPr="00F9522B">
        <w:rPr>
          <w:rFonts w:eastAsiaTheme="minorEastAsia" w:hAnsi="Times New Roman"/>
          <w:bCs/>
        </w:rPr>
        <w:t>口抗旱井</w:t>
      </w:r>
      <w:r w:rsidRPr="00F9522B">
        <w:rPr>
          <w:rFonts w:eastAsiaTheme="minorEastAsia" w:hAnsi="Times New Roman"/>
        </w:rPr>
        <w:t>）建设完成后，现有地下水井依然</w:t>
      </w:r>
      <w:r w:rsidR="00760E2B" w:rsidRPr="00F9522B">
        <w:rPr>
          <w:rFonts w:eastAsiaTheme="minorEastAsia" w:hAnsi="Times New Roman"/>
        </w:rPr>
        <w:t>沿</w:t>
      </w:r>
      <w:r w:rsidRPr="00F9522B">
        <w:rPr>
          <w:rFonts w:eastAsiaTheme="minorEastAsia" w:hAnsi="Times New Roman"/>
        </w:rPr>
        <w:t>用。项目区域共</w:t>
      </w:r>
      <w:r w:rsidR="004451AD" w:rsidRPr="00F9522B">
        <w:rPr>
          <w:rFonts w:eastAsiaTheme="minorEastAsia" w:hAnsi="Times New Roman"/>
        </w:rPr>
        <w:t>0.47</w:t>
      </w:r>
      <w:r w:rsidRPr="00F9522B">
        <w:rPr>
          <w:rFonts w:eastAsiaTheme="minorEastAsia" w:hAnsi="Times New Roman"/>
        </w:rPr>
        <w:t>万亩水田，</w:t>
      </w:r>
      <w:r w:rsidRPr="00F9522B">
        <w:rPr>
          <w:rFonts w:eastAsiaTheme="minorEastAsia" w:hAnsi="Times New Roman"/>
          <w:bCs/>
        </w:rPr>
        <w:t>水田灌溉采用</w:t>
      </w:r>
      <w:r w:rsidRPr="00F9522B">
        <w:rPr>
          <w:rFonts w:eastAsiaTheme="minorEastAsia" w:hAnsi="Times New Roman"/>
          <w:szCs w:val="21"/>
        </w:rPr>
        <w:t>地下水</w:t>
      </w:r>
      <w:r w:rsidRPr="00F9522B">
        <w:rPr>
          <w:rFonts w:eastAsiaTheme="minorEastAsia" w:hAnsi="Times New Roman"/>
          <w:bCs/>
        </w:rPr>
        <w:t>井灌的方式。</w:t>
      </w:r>
      <w:r w:rsidRPr="00F9522B">
        <w:rPr>
          <w:rFonts w:eastAsiaTheme="minorEastAsia" w:hAnsi="Times New Roman"/>
        </w:rPr>
        <w:t>农户自行抽取</w:t>
      </w:r>
      <w:r w:rsidR="00904BE7" w:rsidRPr="00F9522B">
        <w:rPr>
          <w:rFonts w:eastAsiaTheme="minorEastAsia" w:hAnsi="Times New Roman"/>
        </w:rPr>
        <w:t>94</w:t>
      </w:r>
      <w:r w:rsidRPr="00F9522B">
        <w:rPr>
          <w:rFonts w:eastAsiaTheme="minorEastAsia" w:hAnsi="Times New Roman"/>
        </w:rPr>
        <w:t>眼机电井地下水进行灌溉，并且多年运行下来基本能够满足水田的生长需求。</w:t>
      </w:r>
    </w:p>
    <w:p w:rsidR="002A5A5E" w:rsidRPr="00F9522B" w:rsidRDefault="00611CBA">
      <w:pPr>
        <w:pStyle w:val="1120"/>
        <w:spacing w:line="360" w:lineRule="auto"/>
        <w:ind w:firstLine="480"/>
        <w:rPr>
          <w:rFonts w:ascii="Times New Roman" w:eastAsiaTheme="minorEastAsia" w:hAnsi="Times New Roman" w:cs="Times New Roman"/>
          <w:color w:val="auto"/>
          <w:sz w:val="24"/>
          <w:szCs w:val="24"/>
        </w:rPr>
      </w:pPr>
      <w:r w:rsidRPr="00F9522B">
        <w:rPr>
          <w:rFonts w:ascii="Times New Roman" w:hAnsi="Times New Roman" w:cs="Times New Roman"/>
          <w:color w:val="auto"/>
          <w:sz w:val="24"/>
        </w:rPr>
        <w:t>项目建设性质、工程内容：本项目为改扩建项目，</w:t>
      </w:r>
      <w:r w:rsidRPr="00F9522B">
        <w:rPr>
          <w:rFonts w:ascii="Times New Roman" w:eastAsiaTheme="minorEastAsia" w:hAnsi="Times New Roman" w:cs="Times New Roman"/>
          <w:color w:val="auto"/>
          <w:sz w:val="24"/>
          <w:szCs w:val="24"/>
        </w:rPr>
        <w:t>为高标准农田建设项目，属于生态影响型项目，分布有田块整治工程、灌溉与排水工程、田间道路工程、农田输配电工程。工程分散，环境影响分为施工期及运营期。</w:t>
      </w:r>
    </w:p>
    <w:p w:rsidR="002A5A5E" w:rsidRPr="00F9522B" w:rsidRDefault="00611CBA">
      <w:pPr>
        <w:pStyle w:val="1120"/>
        <w:spacing w:line="360" w:lineRule="auto"/>
        <w:ind w:firstLine="480"/>
        <w:rPr>
          <w:rFonts w:ascii="Times New Roman" w:eastAsiaTheme="minorEastAsia" w:hAnsi="Times New Roman" w:cs="Times New Roman"/>
          <w:color w:val="auto"/>
          <w:sz w:val="24"/>
          <w:szCs w:val="24"/>
        </w:rPr>
      </w:pPr>
      <w:r w:rsidRPr="00F9522B">
        <w:rPr>
          <w:rFonts w:ascii="Times New Roman" w:eastAsiaTheme="minorEastAsia" w:hAnsi="Times New Roman" w:cs="Times New Roman"/>
          <w:color w:val="auto"/>
          <w:sz w:val="24"/>
          <w:szCs w:val="24"/>
        </w:rPr>
        <w:t>运行方式：本项目</w:t>
      </w:r>
      <w:r w:rsidRPr="00F9522B">
        <w:rPr>
          <w:rFonts w:ascii="Times New Roman" w:eastAsiaTheme="minorEastAsia" w:hAnsi="Times New Roman" w:cs="Times New Roman"/>
          <w:bCs/>
          <w:color w:val="auto"/>
          <w:sz w:val="24"/>
          <w:szCs w:val="24"/>
        </w:rPr>
        <w:t>新建机电井</w:t>
      </w:r>
      <w:r w:rsidR="009F0766" w:rsidRPr="00F9522B">
        <w:rPr>
          <w:rFonts w:ascii="Times New Roman" w:eastAsiaTheme="minorEastAsia" w:hAnsi="Times New Roman" w:cs="Times New Roman"/>
          <w:bCs/>
          <w:color w:val="auto"/>
          <w:sz w:val="24"/>
          <w:szCs w:val="24"/>
        </w:rPr>
        <w:t>264</w:t>
      </w:r>
      <w:r w:rsidRPr="00F9522B">
        <w:rPr>
          <w:rFonts w:ascii="Times New Roman" w:eastAsiaTheme="minorEastAsia" w:hAnsi="Times New Roman" w:cs="Times New Roman"/>
          <w:bCs/>
          <w:color w:val="auto"/>
          <w:sz w:val="24"/>
          <w:szCs w:val="24"/>
        </w:rPr>
        <w:t>眼，其中</w:t>
      </w:r>
      <w:r w:rsidR="009F0766" w:rsidRPr="00F9522B">
        <w:rPr>
          <w:rFonts w:ascii="Times New Roman" w:eastAsiaTheme="minorEastAsia" w:hAnsi="Times New Roman" w:cs="Times New Roman"/>
          <w:bCs/>
          <w:color w:val="auto"/>
          <w:sz w:val="24"/>
          <w:szCs w:val="24"/>
        </w:rPr>
        <w:t>70</w:t>
      </w:r>
      <w:r w:rsidRPr="00F9522B">
        <w:rPr>
          <w:rFonts w:ascii="Times New Roman" w:eastAsiaTheme="minorEastAsia" w:hAnsi="Times New Roman" w:cs="Times New Roman"/>
          <w:bCs/>
          <w:color w:val="auto"/>
          <w:sz w:val="24"/>
          <w:szCs w:val="24"/>
        </w:rPr>
        <w:t>口滴灌井，</w:t>
      </w:r>
      <w:r w:rsidR="009F0766" w:rsidRPr="00F9522B">
        <w:rPr>
          <w:rFonts w:ascii="Times New Roman" w:eastAsiaTheme="minorEastAsia" w:hAnsi="Times New Roman" w:cs="Times New Roman"/>
          <w:bCs/>
          <w:color w:val="auto"/>
          <w:sz w:val="24"/>
          <w:szCs w:val="24"/>
        </w:rPr>
        <w:t>194</w:t>
      </w:r>
      <w:r w:rsidRPr="00F9522B">
        <w:rPr>
          <w:rFonts w:ascii="Times New Roman" w:eastAsiaTheme="minorEastAsia" w:hAnsi="Times New Roman" w:cs="Times New Roman"/>
          <w:bCs/>
          <w:color w:val="auto"/>
          <w:sz w:val="24"/>
          <w:szCs w:val="24"/>
        </w:rPr>
        <w:t>口抗旱井（干旱时使用），</w:t>
      </w:r>
      <w:r w:rsidRPr="00F9522B">
        <w:rPr>
          <w:rFonts w:ascii="Times New Roman" w:eastAsiaTheme="minorEastAsia" w:hAnsi="Times New Roman" w:cs="Times New Roman"/>
          <w:color w:val="auto"/>
          <w:sz w:val="24"/>
          <w:szCs w:val="24"/>
        </w:rPr>
        <w:t>运营期设计</w:t>
      </w:r>
      <w:r w:rsidRPr="00F9522B">
        <w:rPr>
          <w:rFonts w:ascii="Times New Roman" w:eastAsiaTheme="minorEastAsia" w:hAnsi="Times New Roman" w:cs="Times New Roman"/>
          <w:bCs/>
          <w:color w:val="auto"/>
          <w:sz w:val="24"/>
          <w:szCs w:val="24"/>
        </w:rPr>
        <w:t>抗旱井</w:t>
      </w:r>
      <w:r w:rsidRPr="00F9522B">
        <w:rPr>
          <w:rFonts w:ascii="Times New Roman" w:eastAsiaTheme="minorEastAsia" w:hAnsi="Times New Roman" w:cs="Times New Roman"/>
          <w:color w:val="auto"/>
          <w:sz w:val="24"/>
          <w:szCs w:val="24"/>
        </w:rPr>
        <w:t>每年</w:t>
      </w:r>
      <w:r w:rsidRPr="00F9522B">
        <w:rPr>
          <w:rFonts w:ascii="Times New Roman" w:eastAsiaTheme="minorEastAsia" w:hAnsi="Times New Roman" w:cs="Times New Roman"/>
          <w:color w:val="auto"/>
          <w:sz w:val="24"/>
          <w:szCs w:val="24"/>
        </w:rPr>
        <w:t>5-7</w:t>
      </w:r>
      <w:r w:rsidRPr="00F9522B">
        <w:rPr>
          <w:rFonts w:ascii="Times New Roman" w:eastAsiaTheme="minorEastAsia" w:hAnsi="Times New Roman" w:cs="Times New Roman"/>
          <w:color w:val="auto"/>
          <w:sz w:val="24"/>
          <w:szCs w:val="24"/>
        </w:rPr>
        <w:t>月干旱时灌水</w:t>
      </w:r>
      <w:r w:rsidRPr="00F9522B">
        <w:rPr>
          <w:rFonts w:ascii="Times New Roman" w:eastAsiaTheme="minorEastAsia" w:hAnsi="Times New Roman" w:cs="Times New Roman"/>
          <w:color w:val="auto"/>
          <w:sz w:val="24"/>
          <w:szCs w:val="24"/>
        </w:rPr>
        <w:t>15d</w:t>
      </w:r>
      <w:r w:rsidRPr="00F9522B">
        <w:rPr>
          <w:rFonts w:ascii="Times New Roman" w:eastAsiaTheme="minorEastAsia" w:hAnsi="Times New Roman" w:cs="Times New Roman"/>
          <w:color w:val="auto"/>
          <w:sz w:val="24"/>
          <w:szCs w:val="24"/>
        </w:rPr>
        <w:t>，每天灌溉时间</w:t>
      </w:r>
      <w:r w:rsidR="00184D0D" w:rsidRPr="00F9522B">
        <w:rPr>
          <w:rFonts w:ascii="Times New Roman" w:eastAsiaTheme="minorEastAsia" w:hAnsi="Times New Roman" w:cs="Times New Roman"/>
          <w:color w:val="auto"/>
          <w:sz w:val="24"/>
          <w:szCs w:val="24"/>
        </w:rPr>
        <w:t>约</w:t>
      </w:r>
      <w:r w:rsidRPr="00F9522B">
        <w:rPr>
          <w:rFonts w:ascii="Times New Roman" w:eastAsiaTheme="minorEastAsia" w:hAnsi="Times New Roman" w:cs="Times New Roman"/>
          <w:color w:val="auto"/>
          <w:sz w:val="24"/>
          <w:szCs w:val="24"/>
        </w:rPr>
        <w:t>为</w:t>
      </w:r>
      <w:r w:rsidR="00184D0D" w:rsidRPr="00F9522B">
        <w:rPr>
          <w:rFonts w:ascii="Times New Roman" w:eastAsiaTheme="minorEastAsia" w:hAnsi="Times New Roman" w:cs="Times New Roman"/>
          <w:color w:val="auto"/>
          <w:sz w:val="24"/>
          <w:szCs w:val="24"/>
        </w:rPr>
        <w:lastRenderedPageBreak/>
        <w:t>8</w:t>
      </w:r>
      <w:r w:rsidRPr="00F9522B">
        <w:rPr>
          <w:rFonts w:ascii="Times New Roman" w:eastAsiaTheme="minorEastAsia" w:hAnsi="Times New Roman" w:cs="Times New Roman"/>
          <w:color w:val="auto"/>
          <w:sz w:val="24"/>
          <w:szCs w:val="24"/>
        </w:rPr>
        <w:t>h</w:t>
      </w:r>
      <w:r w:rsidRPr="00F9522B">
        <w:rPr>
          <w:rFonts w:ascii="Times New Roman" w:eastAsiaTheme="minorEastAsia" w:hAnsi="Times New Roman" w:cs="Times New Roman"/>
          <w:color w:val="auto"/>
          <w:sz w:val="24"/>
          <w:szCs w:val="24"/>
        </w:rPr>
        <w:t>，总灌水时间</w:t>
      </w:r>
      <w:r w:rsidR="00184D0D" w:rsidRPr="00F9522B">
        <w:rPr>
          <w:rFonts w:ascii="Times New Roman" w:eastAsiaTheme="minorEastAsia" w:hAnsi="Times New Roman" w:cs="Times New Roman"/>
          <w:color w:val="auto"/>
          <w:sz w:val="24"/>
          <w:szCs w:val="24"/>
        </w:rPr>
        <w:t>约</w:t>
      </w:r>
      <w:r w:rsidR="00184D0D" w:rsidRPr="00F9522B">
        <w:rPr>
          <w:rFonts w:ascii="Times New Roman" w:eastAsiaTheme="minorEastAsia" w:hAnsi="Times New Roman" w:cs="Times New Roman"/>
          <w:color w:val="auto"/>
          <w:sz w:val="24"/>
          <w:szCs w:val="24"/>
        </w:rPr>
        <w:t>120</w:t>
      </w:r>
      <w:r w:rsidRPr="00F9522B">
        <w:rPr>
          <w:rFonts w:ascii="Times New Roman" w:eastAsiaTheme="minorEastAsia" w:hAnsi="Times New Roman" w:cs="Times New Roman"/>
          <w:color w:val="auto"/>
          <w:sz w:val="24"/>
          <w:szCs w:val="24"/>
        </w:rPr>
        <w:t>h</w:t>
      </w:r>
      <w:r w:rsidRPr="00F9522B">
        <w:rPr>
          <w:rFonts w:ascii="Times New Roman" w:eastAsiaTheme="minorEastAsia" w:hAnsi="Times New Roman" w:cs="Times New Roman"/>
          <w:color w:val="auto"/>
          <w:sz w:val="24"/>
          <w:szCs w:val="24"/>
        </w:rPr>
        <w:t>，设计单井涌水量为</w:t>
      </w:r>
      <w:r w:rsidRPr="00F9522B">
        <w:rPr>
          <w:rFonts w:ascii="Times New Roman" w:eastAsiaTheme="minorEastAsia" w:hAnsi="Times New Roman" w:cs="Times New Roman"/>
          <w:color w:val="auto"/>
          <w:sz w:val="24"/>
          <w:szCs w:val="24"/>
        </w:rPr>
        <w:t>30m</w:t>
      </w:r>
      <w:r w:rsidRPr="00F9522B">
        <w:rPr>
          <w:rFonts w:ascii="Times New Roman" w:eastAsiaTheme="minorEastAsia" w:hAnsi="Times New Roman" w:cs="Times New Roman"/>
          <w:color w:val="auto"/>
          <w:sz w:val="24"/>
          <w:szCs w:val="24"/>
          <w:vertAlign w:val="superscript"/>
        </w:rPr>
        <w:t>3</w:t>
      </w:r>
      <w:r w:rsidRPr="00F9522B">
        <w:rPr>
          <w:rFonts w:ascii="Times New Roman" w:eastAsiaTheme="minorEastAsia" w:hAnsi="Times New Roman" w:cs="Times New Roman"/>
          <w:color w:val="auto"/>
          <w:sz w:val="24"/>
          <w:szCs w:val="24"/>
        </w:rPr>
        <w:t>/h</w:t>
      </w:r>
      <w:r w:rsidRPr="00F9522B">
        <w:rPr>
          <w:rFonts w:ascii="Times New Roman" w:eastAsiaTheme="minorEastAsia" w:hAnsi="Times New Roman" w:cs="Times New Roman"/>
          <w:color w:val="auto"/>
          <w:sz w:val="24"/>
          <w:szCs w:val="24"/>
        </w:rPr>
        <w:t>，</w:t>
      </w:r>
      <w:r w:rsidRPr="00F9522B">
        <w:rPr>
          <w:rFonts w:ascii="Times New Roman" w:eastAsiaTheme="minorEastAsia" w:hAnsi="Times New Roman" w:cs="Times New Roman"/>
          <w:bCs/>
          <w:color w:val="auto"/>
          <w:sz w:val="24"/>
          <w:szCs w:val="24"/>
        </w:rPr>
        <w:t>滴灌井生育期灌溉总天数</w:t>
      </w:r>
      <w:r w:rsidR="00184D0D" w:rsidRPr="00F9522B">
        <w:rPr>
          <w:rFonts w:ascii="Times New Roman" w:eastAsiaTheme="minorEastAsia" w:hAnsi="Times New Roman" w:cs="Times New Roman"/>
          <w:bCs/>
          <w:color w:val="auto"/>
          <w:sz w:val="24"/>
          <w:szCs w:val="24"/>
        </w:rPr>
        <w:t>43</w:t>
      </w:r>
      <w:r w:rsidRPr="00F9522B">
        <w:rPr>
          <w:rFonts w:ascii="Times New Roman" w:eastAsiaTheme="minorEastAsia" w:hAnsi="Times New Roman" w:cs="Times New Roman"/>
          <w:bCs/>
          <w:color w:val="auto"/>
          <w:sz w:val="24"/>
          <w:szCs w:val="24"/>
        </w:rPr>
        <w:t>d</w:t>
      </w:r>
      <w:r w:rsidRPr="00F9522B">
        <w:rPr>
          <w:rFonts w:ascii="Times New Roman" w:eastAsiaTheme="minorEastAsia" w:hAnsi="Times New Roman" w:cs="Times New Roman"/>
          <w:bCs/>
          <w:color w:val="auto"/>
          <w:sz w:val="24"/>
          <w:szCs w:val="24"/>
        </w:rPr>
        <w:t>，</w:t>
      </w:r>
      <w:r w:rsidRPr="00F9522B">
        <w:rPr>
          <w:rFonts w:ascii="Times New Roman" w:eastAsiaTheme="minorEastAsia" w:hAnsi="Times New Roman" w:cs="Times New Roman"/>
          <w:color w:val="auto"/>
          <w:sz w:val="24"/>
          <w:szCs w:val="24"/>
        </w:rPr>
        <w:t>每天灌溉时间</w:t>
      </w:r>
      <w:r w:rsidR="00184D0D" w:rsidRPr="00F9522B">
        <w:rPr>
          <w:rFonts w:ascii="Times New Roman" w:eastAsiaTheme="minorEastAsia" w:hAnsi="Times New Roman" w:cs="Times New Roman"/>
          <w:color w:val="auto"/>
          <w:sz w:val="24"/>
          <w:szCs w:val="24"/>
        </w:rPr>
        <w:t>约</w:t>
      </w:r>
      <w:r w:rsidRPr="00F9522B">
        <w:rPr>
          <w:rFonts w:ascii="Times New Roman" w:eastAsiaTheme="minorEastAsia" w:hAnsi="Times New Roman" w:cs="Times New Roman"/>
          <w:color w:val="auto"/>
          <w:sz w:val="24"/>
          <w:szCs w:val="24"/>
        </w:rPr>
        <w:t>为</w:t>
      </w:r>
      <w:r w:rsidRPr="00F9522B">
        <w:rPr>
          <w:rFonts w:ascii="Times New Roman" w:eastAsiaTheme="minorEastAsia" w:hAnsi="Times New Roman" w:cs="Times New Roman"/>
          <w:color w:val="auto"/>
          <w:sz w:val="24"/>
          <w:szCs w:val="24"/>
        </w:rPr>
        <w:t>2</w:t>
      </w:r>
      <w:r w:rsidR="00184D0D" w:rsidRPr="00F9522B">
        <w:rPr>
          <w:rFonts w:ascii="Times New Roman" w:eastAsiaTheme="minorEastAsia" w:hAnsi="Times New Roman" w:cs="Times New Roman"/>
          <w:color w:val="auto"/>
          <w:sz w:val="24"/>
          <w:szCs w:val="24"/>
        </w:rPr>
        <w:t>0</w:t>
      </w:r>
      <w:r w:rsidRPr="00F9522B">
        <w:rPr>
          <w:rFonts w:ascii="Times New Roman" w:eastAsiaTheme="minorEastAsia" w:hAnsi="Times New Roman" w:cs="Times New Roman"/>
          <w:color w:val="auto"/>
          <w:sz w:val="24"/>
          <w:szCs w:val="24"/>
        </w:rPr>
        <w:t>h</w:t>
      </w:r>
      <w:r w:rsidRPr="00F9522B">
        <w:rPr>
          <w:rFonts w:ascii="Times New Roman" w:eastAsiaTheme="minorEastAsia" w:hAnsi="Times New Roman" w:cs="Times New Roman"/>
          <w:color w:val="auto"/>
          <w:sz w:val="24"/>
          <w:szCs w:val="24"/>
        </w:rPr>
        <w:t>，总灌水时间</w:t>
      </w:r>
      <w:r w:rsidR="00184D0D" w:rsidRPr="00F9522B">
        <w:rPr>
          <w:rFonts w:ascii="Times New Roman" w:eastAsiaTheme="minorEastAsia" w:hAnsi="Times New Roman" w:cs="Times New Roman"/>
          <w:color w:val="auto"/>
          <w:sz w:val="24"/>
          <w:szCs w:val="24"/>
        </w:rPr>
        <w:t>约</w:t>
      </w:r>
      <w:r w:rsidR="00184D0D" w:rsidRPr="00F9522B">
        <w:rPr>
          <w:rFonts w:ascii="Times New Roman" w:eastAsiaTheme="minorEastAsia" w:hAnsi="Times New Roman" w:cs="Times New Roman"/>
          <w:color w:val="auto"/>
          <w:sz w:val="24"/>
          <w:szCs w:val="24"/>
        </w:rPr>
        <w:t>86</w:t>
      </w:r>
      <w:r w:rsidRPr="00F9522B">
        <w:rPr>
          <w:rFonts w:ascii="Times New Roman" w:eastAsiaTheme="minorEastAsia" w:hAnsi="Times New Roman" w:cs="Times New Roman"/>
          <w:color w:val="auto"/>
          <w:sz w:val="24"/>
          <w:szCs w:val="24"/>
        </w:rPr>
        <w:t>0h</w:t>
      </w:r>
      <w:r w:rsidRPr="00F9522B">
        <w:rPr>
          <w:rFonts w:ascii="Times New Roman" w:eastAsiaTheme="minorEastAsia" w:hAnsi="Times New Roman" w:cs="Times New Roman"/>
          <w:color w:val="auto"/>
          <w:sz w:val="24"/>
          <w:szCs w:val="24"/>
        </w:rPr>
        <w:t>，设计单井涌水量为</w:t>
      </w:r>
      <w:r w:rsidRPr="00F9522B">
        <w:rPr>
          <w:rFonts w:ascii="Times New Roman" w:eastAsiaTheme="minorEastAsia" w:hAnsi="Times New Roman" w:cs="Times New Roman"/>
          <w:color w:val="auto"/>
          <w:sz w:val="24"/>
          <w:szCs w:val="24"/>
        </w:rPr>
        <w:t>30m</w:t>
      </w:r>
      <w:r w:rsidRPr="00F9522B">
        <w:rPr>
          <w:rFonts w:ascii="Times New Roman" w:eastAsiaTheme="minorEastAsia" w:hAnsi="Times New Roman" w:cs="Times New Roman"/>
          <w:color w:val="auto"/>
          <w:sz w:val="24"/>
          <w:szCs w:val="24"/>
          <w:vertAlign w:val="superscript"/>
        </w:rPr>
        <w:t>3</w:t>
      </w:r>
      <w:r w:rsidRPr="00F9522B">
        <w:rPr>
          <w:rFonts w:ascii="Times New Roman" w:eastAsiaTheme="minorEastAsia" w:hAnsi="Times New Roman" w:cs="Times New Roman"/>
          <w:color w:val="auto"/>
          <w:sz w:val="24"/>
          <w:szCs w:val="24"/>
        </w:rPr>
        <w:t>/h</w:t>
      </w:r>
      <w:r w:rsidRPr="00F9522B">
        <w:rPr>
          <w:rFonts w:ascii="Times New Roman" w:eastAsiaTheme="minorEastAsia" w:hAnsi="Times New Roman" w:cs="Times New Roman"/>
          <w:color w:val="auto"/>
          <w:sz w:val="24"/>
          <w:szCs w:val="24"/>
        </w:rPr>
        <w:t>。根据项目区的灌溉定额和灌溉水利用系数，项目区取水量为</w:t>
      </w:r>
      <w:r w:rsidR="009F0766" w:rsidRPr="00F9522B">
        <w:rPr>
          <w:rFonts w:ascii="Times New Roman" w:eastAsiaTheme="minorEastAsia" w:hAnsi="Times New Roman" w:cs="Times New Roman"/>
          <w:color w:val="auto"/>
          <w:sz w:val="24"/>
          <w:szCs w:val="24"/>
        </w:rPr>
        <w:t>242.74</w:t>
      </w:r>
      <w:r w:rsidR="009F0766" w:rsidRPr="00F9522B">
        <w:rPr>
          <w:rFonts w:ascii="Times New Roman" w:eastAsiaTheme="minorEastAsia" w:hAnsi="Times New Roman" w:cs="Times New Roman"/>
          <w:color w:val="auto"/>
          <w:sz w:val="24"/>
          <w:szCs w:val="24"/>
        </w:rPr>
        <w:t>万</w:t>
      </w:r>
      <w:r w:rsidRPr="00F9522B">
        <w:rPr>
          <w:rFonts w:ascii="Times New Roman" w:eastAsiaTheme="minorEastAsia" w:hAnsi="Times New Roman" w:cs="Times New Roman"/>
          <w:color w:val="auto"/>
          <w:sz w:val="24"/>
          <w:szCs w:val="24"/>
        </w:rPr>
        <w:t>m³/a</w:t>
      </w:r>
      <w:r w:rsidRPr="00F9522B">
        <w:rPr>
          <w:rFonts w:ascii="Times New Roman" w:eastAsiaTheme="minorEastAsia" w:hAnsi="Times New Roman" w:cs="Times New Roman"/>
          <w:color w:val="auto"/>
          <w:sz w:val="24"/>
          <w:szCs w:val="24"/>
        </w:rPr>
        <w:t>（其中</w:t>
      </w:r>
      <w:r w:rsidRPr="00F9522B">
        <w:rPr>
          <w:rFonts w:ascii="Times New Roman" w:eastAsiaTheme="minorEastAsia" w:hAnsi="Times New Roman" w:cs="Times New Roman"/>
          <w:bCs/>
          <w:color w:val="auto"/>
          <w:sz w:val="24"/>
          <w:szCs w:val="24"/>
        </w:rPr>
        <w:t>抗旱井</w:t>
      </w:r>
      <w:r w:rsidR="009F0766" w:rsidRPr="00F9522B">
        <w:rPr>
          <w:rFonts w:ascii="Times New Roman" w:eastAsiaTheme="minorEastAsia" w:hAnsi="Times New Roman" w:cs="Times New Roman"/>
          <w:bCs/>
          <w:color w:val="auto"/>
          <w:sz w:val="24"/>
          <w:szCs w:val="24"/>
        </w:rPr>
        <w:t>63.44</w:t>
      </w:r>
      <w:r w:rsidRPr="00F9522B">
        <w:rPr>
          <w:rFonts w:ascii="Times New Roman" w:eastAsiaTheme="minorEastAsia" w:hAnsi="Times New Roman" w:cs="Times New Roman"/>
          <w:bCs/>
          <w:color w:val="auto"/>
          <w:sz w:val="24"/>
          <w:szCs w:val="24"/>
        </w:rPr>
        <w:t>万</w:t>
      </w:r>
      <w:r w:rsidRPr="00F9522B">
        <w:rPr>
          <w:rFonts w:ascii="Times New Roman" w:eastAsiaTheme="minorEastAsia" w:hAnsi="Times New Roman" w:cs="Times New Roman"/>
          <w:color w:val="auto"/>
          <w:sz w:val="24"/>
          <w:szCs w:val="24"/>
        </w:rPr>
        <w:t>m³/a</w:t>
      </w:r>
      <w:r w:rsidRPr="00F9522B">
        <w:rPr>
          <w:rFonts w:ascii="Times New Roman" w:eastAsiaTheme="minorEastAsia" w:hAnsi="Times New Roman" w:cs="Times New Roman"/>
          <w:color w:val="auto"/>
          <w:sz w:val="24"/>
          <w:szCs w:val="24"/>
        </w:rPr>
        <w:t>、</w:t>
      </w:r>
      <w:r w:rsidRPr="00F9522B">
        <w:rPr>
          <w:rFonts w:ascii="Times New Roman" w:eastAsiaTheme="minorEastAsia" w:hAnsi="Times New Roman" w:cs="Times New Roman"/>
          <w:bCs/>
          <w:color w:val="auto"/>
          <w:sz w:val="24"/>
          <w:szCs w:val="24"/>
        </w:rPr>
        <w:t>滴灌井</w:t>
      </w:r>
      <w:r w:rsidR="009F0766" w:rsidRPr="00F9522B">
        <w:rPr>
          <w:rFonts w:ascii="Times New Roman" w:eastAsiaTheme="minorEastAsia" w:hAnsi="Times New Roman" w:cs="Times New Roman"/>
          <w:bCs/>
          <w:color w:val="auto"/>
          <w:sz w:val="24"/>
          <w:szCs w:val="24"/>
        </w:rPr>
        <w:t>179.3</w:t>
      </w:r>
      <w:r w:rsidRPr="00F9522B">
        <w:rPr>
          <w:rFonts w:ascii="Times New Roman" w:eastAsiaTheme="minorEastAsia" w:hAnsi="Times New Roman" w:cs="Times New Roman"/>
          <w:bCs/>
          <w:color w:val="auto"/>
          <w:sz w:val="24"/>
          <w:szCs w:val="24"/>
        </w:rPr>
        <w:t>万</w:t>
      </w:r>
      <w:r w:rsidRPr="00F9522B">
        <w:rPr>
          <w:rFonts w:ascii="Times New Roman" w:eastAsiaTheme="minorEastAsia" w:hAnsi="Times New Roman" w:cs="Times New Roman"/>
          <w:color w:val="auto"/>
          <w:sz w:val="24"/>
          <w:szCs w:val="24"/>
        </w:rPr>
        <w:t>m³/a</w:t>
      </w:r>
      <w:r w:rsidRPr="00F9522B">
        <w:rPr>
          <w:rFonts w:ascii="Times New Roman" w:eastAsiaTheme="minorEastAsia" w:hAnsi="Times New Roman" w:cs="Times New Roman"/>
          <w:color w:val="auto"/>
          <w:sz w:val="24"/>
          <w:szCs w:val="24"/>
        </w:rPr>
        <w:t>），日取水量</w:t>
      </w:r>
      <w:r w:rsidR="004E26F5" w:rsidRPr="00F9522B">
        <w:rPr>
          <w:rFonts w:ascii="Times New Roman" w:eastAsiaTheme="minorEastAsia" w:hAnsi="Times New Roman" w:cs="Times New Roman"/>
          <w:color w:val="auto"/>
          <w:sz w:val="24"/>
          <w:szCs w:val="24"/>
        </w:rPr>
        <w:t>约</w:t>
      </w:r>
      <w:r w:rsidRPr="00F9522B">
        <w:rPr>
          <w:rFonts w:ascii="Times New Roman" w:eastAsiaTheme="minorEastAsia" w:hAnsi="Times New Roman" w:cs="Times New Roman"/>
          <w:color w:val="auto"/>
          <w:sz w:val="24"/>
          <w:szCs w:val="24"/>
        </w:rPr>
        <w:t>为</w:t>
      </w:r>
      <w:r w:rsidR="00184D0D" w:rsidRPr="00F9522B">
        <w:rPr>
          <w:rFonts w:ascii="Times New Roman" w:eastAsiaTheme="minorEastAsia" w:hAnsi="Times New Roman" w:cs="Times New Roman"/>
          <w:color w:val="auto"/>
          <w:sz w:val="24"/>
          <w:szCs w:val="24"/>
        </w:rPr>
        <w:t>83991</w:t>
      </w:r>
      <w:r w:rsidRPr="00F9522B">
        <w:rPr>
          <w:rFonts w:ascii="Times New Roman" w:eastAsiaTheme="minorEastAsia" w:hAnsi="Times New Roman" w:cs="Times New Roman"/>
          <w:color w:val="auto"/>
          <w:sz w:val="24"/>
          <w:szCs w:val="24"/>
        </w:rPr>
        <w:t>m</w:t>
      </w:r>
      <w:r w:rsidRPr="00F9522B">
        <w:rPr>
          <w:rFonts w:ascii="Times New Roman" w:eastAsiaTheme="minorEastAsia" w:hAnsi="Times New Roman" w:cs="Times New Roman"/>
          <w:color w:val="auto"/>
          <w:sz w:val="24"/>
          <w:szCs w:val="24"/>
          <w:vertAlign w:val="superscript"/>
        </w:rPr>
        <w:t>3</w:t>
      </w:r>
      <w:r w:rsidRPr="00F9522B">
        <w:rPr>
          <w:rFonts w:ascii="Times New Roman" w:eastAsiaTheme="minorEastAsia" w:hAnsi="Times New Roman" w:cs="Times New Roman"/>
          <w:color w:val="auto"/>
          <w:sz w:val="24"/>
          <w:szCs w:val="24"/>
        </w:rPr>
        <w:t>（其中</w:t>
      </w:r>
      <w:r w:rsidRPr="00F9522B">
        <w:rPr>
          <w:rFonts w:ascii="Times New Roman" w:eastAsiaTheme="minorEastAsia" w:hAnsi="Times New Roman" w:cs="Times New Roman"/>
          <w:bCs/>
          <w:color w:val="auto"/>
          <w:sz w:val="24"/>
          <w:szCs w:val="24"/>
        </w:rPr>
        <w:t>抗旱井</w:t>
      </w:r>
      <w:r w:rsidR="00184D0D" w:rsidRPr="00F9522B">
        <w:rPr>
          <w:rFonts w:ascii="Times New Roman" w:eastAsiaTheme="minorEastAsia" w:hAnsi="Times New Roman" w:cs="Times New Roman"/>
          <w:bCs/>
          <w:color w:val="auto"/>
          <w:sz w:val="24"/>
          <w:szCs w:val="24"/>
        </w:rPr>
        <w:t>42293</w:t>
      </w:r>
      <w:r w:rsidRPr="00F9522B">
        <w:rPr>
          <w:rFonts w:ascii="Times New Roman" w:eastAsiaTheme="minorEastAsia" w:hAnsi="Times New Roman" w:cs="Times New Roman"/>
          <w:color w:val="auto"/>
          <w:sz w:val="24"/>
          <w:szCs w:val="24"/>
        </w:rPr>
        <w:t>m³</w:t>
      </w:r>
      <w:r w:rsidRPr="00F9522B">
        <w:rPr>
          <w:rFonts w:ascii="Times New Roman" w:eastAsiaTheme="minorEastAsia" w:hAnsi="Times New Roman" w:cs="Times New Roman"/>
          <w:color w:val="auto"/>
          <w:sz w:val="24"/>
          <w:szCs w:val="24"/>
        </w:rPr>
        <w:t>、</w:t>
      </w:r>
      <w:r w:rsidRPr="00F9522B">
        <w:rPr>
          <w:rFonts w:ascii="Times New Roman" w:eastAsiaTheme="minorEastAsia" w:hAnsi="Times New Roman" w:cs="Times New Roman"/>
          <w:bCs/>
          <w:color w:val="auto"/>
          <w:sz w:val="24"/>
          <w:szCs w:val="24"/>
        </w:rPr>
        <w:t>滴灌井</w:t>
      </w:r>
      <w:r w:rsidR="00184D0D" w:rsidRPr="00F9522B">
        <w:rPr>
          <w:rFonts w:ascii="Times New Roman" w:eastAsiaTheme="minorEastAsia" w:hAnsi="Times New Roman" w:cs="Times New Roman"/>
          <w:bCs/>
          <w:color w:val="auto"/>
          <w:sz w:val="24"/>
          <w:szCs w:val="24"/>
        </w:rPr>
        <w:t>41698</w:t>
      </w:r>
      <w:r w:rsidRPr="00F9522B">
        <w:rPr>
          <w:rFonts w:ascii="Times New Roman" w:eastAsiaTheme="minorEastAsia" w:hAnsi="Times New Roman" w:cs="Times New Roman"/>
          <w:color w:val="auto"/>
          <w:sz w:val="24"/>
          <w:szCs w:val="24"/>
        </w:rPr>
        <w:t>m³</w:t>
      </w:r>
      <w:r w:rsidRPr="00F9522B">
        <w:rPr>
          <w:rFonts w:ascii="Times New Roman" w:eastAsiaTheme="minorEastAsia" w:hAnsi="Times New Roman" w:cs="Times New Roman"/>
          <w:color w:val="auto"/>
          <w:sz w:val="24"/>
          <w:szCs w:val="24"/>
        </w:rPr>
        <w:t>）。</w:t>
      </w:r>
      <w:r w:rsidR="009F0766" w:rsidRPr="00F9522B">
        <w:rPr>
          <w:rFonts w:ascii="Times New Roman" w:eastAsiaTheme="minorEastAsia" w:hAnsi="Times New Roman" w:cs="Times New Roman"/>
          <w:color w:val="auto"/>
          <w:kern w:val="0"/>
          <w:sz w:val="24"/>
        </w:rPr>
        <w:t>灌溉面积</w:t>
      </w:r>
      <w:r w:rsidR="009F0766" w:rsidRPr="00F9522B">
        <w:rPr>
          <w:rFonts w:ascii="Times New Roman" w:eastAsiaTheme="minorEastAsia" w:hAnsi="Times New Roman" w:cs="Times New Roman"/>
          <w:color w:val="auto"/>
          <w:kern w:val="0"/>
          <w:sz w:val="24"/>
        </w:rPr>
        <w:t>122041.64</w:t>
      </w:r>
      <w:r w:rsidR="009F0766" w:rsidRPr="00F9522B">
        <w:rPr>
          <w:rFonts w:ascii="Times New Roman" w:eastAsiaTheme="minorEastAsia" w:hAnsi="Times New Roman" w:cs="Times New Roman"/>
          <w:color w:val="auto"/>
          <w:kern w:val="0"/>
          <w:sz w:val="24"/>
        </w:rPr>
        <w:t>亩</w:t>
      </w:r>
      <w:r w:rsidRPr="00F9522B">
        <w:rPr>
          <w:rFonts w:ascii="Times New Roman" w:eastAsiaTheme="minorEastAsia" w:hAnsi="Times New Roman" w:cs="Times New Roman"/>
          <w:color w:val="auto"/>
          <w:kern w:val="0"/>
          <w:sz w:val="24"/>
        </w:rPr>
        <w:t>，均为旱田，无水田。</w:t>
      </w:r>
      <w:r w:rsidRPr="00F9522B">
        <w:rPr>
          <w:rFonts w:ascii="Times New Roman" w:eastAsiaTheme="minorEastAsia" w:hAnsi="Times New Roman" w:cs="Times New Roman"/>
          <w:color w:val="auto"/>
          <w:sz w:val="24"/>
          <w:szCs w:val="21"/>
        </w:rPr>
        <w:t>本项目</w:t>
      </w:r>
      <w:r w:rsidR="00140B49" w:rsidRPr="00F9522B">
        <w:rPr>
          <w:rFonts w:ascii="Times New Roman" w:eastAsiaTheme="minorEastAsia" w:hAnsi="Times New Roman" w:cs="Times New Roman"/>
          <w:color w:val="auto"/>
          <w:sz w:val="24"/>
          <w:szCs w:val="21"/>
        </w:rPr>
        <w:t>建设</w:t>
      </w:r>
      <w:r w:rsidR="00140B49" w:rsidRPr="00F9522B">
        <w:rPr>
          <w:rFonts w:ascii="Times New Roman" w:eastAsiaTheme="minorEastAsia" w:hAnsi="Times New Roman" w:cs="Times New Roman"/>
          <w:color w:val="auto"/>
          <w:sz w:val="24"/>
          <w:szCs w:val="21"/>
        </w:rPr>
        <w:t>32</w:t>
      </w:r>
      <w:r w:rsidR="00140B49" w:rsidRPr="00F9522B">
        <w:rPr>
          <w:rFonts w:ascii="Times New Roman" w:eastAsiaTheme="minorEastAsia" w:hAnsi="Times New Roman" w:cs="Times New Roman"/>
          <w:color w:val="auto"/>
          <w:sz w:val="24"/>
          <w:szCs w:val="21"/>
        </w:rPr>
        <w:t>万亩高标准农田（旱田</w:t>
      </w:r>
      <w:r w:rsidR="00140B49" w:rsidRPr="00F9522B">
        <w:rPr>
          <w:rFonts w:ascii="Times New Roman" w:eastAsiaTheme="minorEastAsia" w:hAnsi="Times New Roman" w:cs="Times New Roman"/>
          <w:color w:val="auto"/>
          <w:sz w:val="24"/>
          <w:szCs w:val="21"/>
        </w:rPr>
        <w:t>31.53</w:t>
      </w:r>
      <w:r w:rsidR="00140B49" w:rsidRPr="00F9522B">
        <w:rPr>
          <w:rFonts w:ascii="Times New Roman" w:eastAsiaTheme="minorEastAsia" w:hAnsi="Times New Roman" w:cs="Times New Roman"/>
          <w:color w:val="auto"/>
          <w:sz w:val="24"/>
          <w:szCs w:val="21"/>
        </w:rPr>
        <w:t>万亩，水田</w:t>
      </w:r>
      <w:r w:rsidR="00140B49" w:rsidRPr="00F9522B">
        <w:rPr>
          <w:rFonts w:ascii="Times New Roman" w:eastAsiaTheme="minorEastAsia" w:hAnsi="Times New Roman" w:cs="Times New Roman"/>
          <w:color w:val="auto"/>
          <w:sz w:val="24"/>
          <w:szCs w:val="21"/>
        </w:rPr>
        <w:t>0.47</w:t>
      </w:r>
      <w:r w:rsidR="00140B49" w:rsidRPr="00F9522B">
        <w:rPr>
          <w:rFonts w:ascii="Times New Roman" w:eastAsiaTheme="minorEastAsia" w:hAnsi="Times New Roman" w:cs="Times New Roman"/>
          <w:color w:val="auto"/>
          <w:sz w:val="24"/>
          <w:szCs w:val="21"/>
        </w:rPr>
        <w:t>万亩）</w:t>
      </w:r>
      <w:r w:rsidRPr="00F9522B">
        <w:rPr>
          <w:rFonts w:ascii="Times New Roman" w:eastAsiaTheme="minorEastAsia" w:hAnsi="Times New Roman" w:cs="Times New Roman"/>
          <w:color w:val="auto"/>
          <w:sz w:val="24"/>
          <w:szCs w:val="21"/>
        </w:rPr>
        <w:t>。</w:t>
      </w:r>
    </w:p>
    <w:p w:rsidR="002A5A5E" w:rsidRPr="00F9522B" w:rsidRDefault="00611CBA">
      <w:pPr>
        <w:pStyle w:val="1120"/>
        <w:spacing w:line="360" w:lineRule="auto"/>
        <w:ind w:firstLine="480"/>
        <w:rPr>
          <w:rFonts w:ascii="Times New Roman" w:eastAsiaTheme="minorEastAsia" w:hAnsi="Times New Roman" w:cs="Times New Roman"/>
          <w:color w:val="auto"/>
          <w:sz w:val="24"/>
          <w:szCs w:val="24"/>
        </w:rPr>
      </w:pPr>
      <w:r w:rsidRPr="00F9522B">
        <w:rPr>
          <w:rFonts w:ascii="Times New Roman" w:eastAsiaTheme="minorEastAsia" w:hAnsi="Times New Roman" w:cs="Times New Roman"/>
          <w:color w:val="auto"/>
          <w:kern w:val="0"/>
          <w:sz w:val="24"/>
        </w:rPr>
        <w:t>项目区</w:t>
      </w:r>
      <w:r w:rsidR="00B20E72" w:rsidRPr="00F9522B">
        <w:rPr>
          <w:rFonts w:ascii="Times New Roman" w:eastAsiaTheme="minorEastAsia" w:hAnsi="Times New Roman" w:cs="Times New Roman"/>
          <w:kern w:val="0"/>
          <w:sz w:val="24"/>
        </w:rPr>
        <w:t>现有</w:t>
      </w:r>
      <w:r w:rsidRPr="00F9522B">
        <w:rPr>
          <w:rFonts w:ascii="Times New Roman" w:eastAsiaTheme="minorEastAsia" w:hAnsi="Times New Roman" w:cs="Times New Roman"/>
          <w:color w:val="auto"/>
          <w:sz w:val="24"/>
        </w:rPr>
        <w:t>水田</w:t>
      </w:r>
      <w:r w:rsidR="00B20E72" w:rsidRPr="00F9522B">
        <w:rPr>
          <w:rFonts w:ascii="Times New Roman" w:eastAsiaTheme="minorEastAsia" w:hAnsi="Times New Roman" w:cs="Times New Roman"/>
          <w:color w:val="auto"/>
          <w:sz w:val="24"/>
        </w:rPr>
        <w:t>（</w:t>
      </w:r>
      <w:r w:rsidR="00B20E72" w:rsidRPr="00F9522B">
        <w:rPr>
          <w:rFonts w:ascii="Times New Roman" w:eastAsiaTheme="minorEastAsia" w:hAnsi="Times New Roman" w:cs="Times New Roman"/>
          <w:color w:val="auto"/>
          <w:sz w:val="24"/>
          <w:szCs w:val="21"/>
        </w:rPr>
        <w:t>0.47</w:t>
      </w:r>
      <w:r w:rsidR="00B20E72" w:rsidRPr="00F9522B">
        <w:rPr>
          <w:rFonts w:ascii="Times New Roman" w:eastAsiaTheme="minorEastAsia" w:hAnsi="Times New Roman" w:cs="Times New Roman"/>
          <w:color w:val="auto"/>
          <w:sz w:val="24"/>
          <w:szCs w:val="21"/>
        </w:rPr>
        <w:t>万亩</w:t>
      </w:r>
      <w:r w:rsidR="00B20E72" w:rsidRPr="00F9522B">
        <w:rPr>
          <w:rFonts w:ascii="Times New Roman" w:eastAsiaTheme="minorEastAsia" w:hAnsi="Times New Roman" w:cs="Times New Roman"/>
          <w:color w:val="auto"/>
          <w:sz w:val="24"/>
        </w:rPr>
        <w:t>）</w:t>
      </w:r>
      <w:r w:rsidRPr="00F9522B">
        <w:rPr>
          <w:rFonts w:ascii="Times New Roman" w:eastAsiaTheme="minorEastAsia" w:hAnsi="Times New Roman" w:cs="Times New Roman"/>
          <w:color w:val="auto"/>
          <w:sz w:val="24"/>
        </w:rPr>
        <w:t>利用现有地下水灌溉设施，无地表水取水口，退水口利用现有。退水口位于</w:t>
      </w:r>
      <w:r w:rsidR="004E26F5" w:rsidRPr="00F9522B">
        <w:rPr>
          <w:rFonts w:ascii="Times New Roman" w:eastAsiaTheme="minorEastAsia" w:hAnsi="Times New Roman" w:cs="Times New Roman"/>
          <w:color w:val="auto"/>
          <w:sz w:val="24"/>
        </w:rPr>
        <w:t>公家沟</w:t>
      </w:r>
      <w:r w:rsidRPr="00F9522B">
        <w:rPr>
          <w:rFonts w:ascii="Times New Roman" w:eastAsiaTheme="minorEastAsia" w:hAnsi="Times New Roman" w:cs="Times New Roman"/>
          <w:color w:val="auto"/>
          <w:sz w:val="24"/>
        </w:rPr>
        <w:t>及漂河。</w:t>
      </w:r>
      <w:r w:rsidRPr="00F9522B">
        <w:rPr>
          <w:rFonts w:ascii="Times New Roman" w:eastAsiaTheme="minorEastAsia" w:hAnsi="Times New Roman" w:cs="Times New Roman"/>
          <w:color w:val="auto"/>
          <w:sz w:val="24"/>
          <w:szCs w:val="21"/>
        </w:rPr>
        <w:t>本项目实施后，不新增水田面积</w:t>
      </w:r>
      <w:r w:rsidRPr="00F9522B">
        <w:rPr>
          <w:rFonts w:ascii="Times New Roman" w:eastAsiaTheme="minorEastAsia" w:hAnsi="Times New Roman" w:cs="Times New Roman"/>
          <w:color w:val="auto"/>
          <w:kern w:val="0"/>
          <w:sz w:val="24"/>
        </w:rPr>
        <w:t>。</w:t>
      </w:r>
      <w:r w:rsidR="00142C81" w:rsidRPr="00F9522B">
        <w:rPr>
          <w:rFonts w:ascii="Times New Roman" w:eastAsiaTheme="minorEastAsia" w:hAnsi="Times New Roman" w:cs="Times New Roman"/>
          <w:color w:val="auto"/>
          <w:sz w:val="24"/>
        </w:rPr>
        <w:t>项目区排水工程已基本形成规模，项目区西部排水通过原有沟汇入公家沟，最终汇入松花江，承泄区为松花江。项目区东部排水汇入原有沟，最终承泄区为漂河。片区内排水承泄区为松花江及漂河</w:t>
      </w:r>
      <w:r w:rsidRPr="00F9522B">
        <w:rPr>
          <w:rFonts w:ascii="Times New Roman" w:eastAsiaTheme="minorEastAsia" w:hAnsi="Times New Roman" w:cs="Times New Roman"/>
          <w:color w:val="auto"/>
          <w:sz w:val="24"/>
          <w:szCs w:val="24"/>
        </w:rPr>
        <w:t>。</w:t>
      </w:r>
    </w:p>
    <w:p w:rsidR="002A5A5E" w:rsidRPr="00F9522B" w:rsidRDefault="00611CBA">
      <w:pPr>
        <w:pStyle w:val="1120"/>
        <w:spacing w:line="360" w:lineRule="auto"/>
        <w:ind w:firstLine="480"/>
        <w:rPr>
          <w:rFonts w:ascii="Times New Roman" w:eastAsiaTheme="minorEastAsia" w:hAnsi="Times New Roman" w:cs="Times New Roman"/>
          <w:color w:val="auto"/>
          <w:sz w:val="24"/>
        </w:rPr>
      </w:pPr>
      <w:r w:rsidRPr="00F9522B">
        <w:rPr>
          <w:rFonts w:ascii="Times New Roman" w:eastAsiaTheme="minorEastAsia" w:hAnsi="Times New Roman" w:cs="Times New Roman"/>
          <w:color w:val="auto"/>
          <w:sz w:val="24"/>
          <w:szCs w:val="24"/>
          <w:highlight w:val="green"/>
        </w:rPr>
        <w:t>项目实施后，由于灌溉水利用系数的提升、农田保水能力增强以及渠系配套系统的完善，</w:t>
      </w:r>
      <w:r w:rsidRPr="00F9522B">
        <w:rPr>
          <w:rFonts w:ascii="Times New Roman" w:eastAsiaTheme="minorEastAsia" w:hAnsi="Times New Roman" w:cs="Times New Roman"/>
          <w:color w:val="auto"/>
          <w:sz w:val="24"/>
          <w:szCs w:val="24"/>
        </w:rPr>
        <w:t>地表水退水量减少，相应污染物入河量与现状相比也有一定程度的削减，项目建成后灌区年退水量与现状相比</w:t>
      </w:r>
      <w:r w:rsidR="004A0FF6" w:rsidRPr="00F9522B">
        <w:rPr>
          <w:rFonts w:ascii="Times New Roman" w:eastAsiaTheme="minorEastAsia" w:hAnsi="Times New Roman" w:cs="Times New Roman"/>
          <w:color w:val="auto"/>
          <w:sz w:val="24"/>
          <w:szCs w:val="24"/>
        </w:rPr>
        <w:t>减少</w:t>
      </w:r>
      <w:r w:rsidR="004A0FF6" w:rsidRPr="00F9522B">
        <w:rPr>
          <w:rFonts w:ascii="Times New Roman" w:eastAsiaTheme="minorEastAsia" w:hAnsi="Times New Roman" w:cs="Times New Roman"/>
          <w:color w:val="auto"/>
          <w:sz w:val="24"/>
          <w:szCs w:val="24"/>
        </w:rPr>
        <w:t>15</w:t>
      </w:r>
      <w:r w:rsidR="004A0FF6" w:rsidRPr="00F9522B">
        <w:rPr>
          <w:rFonts w:ascii="Times New Roman" w:eastAsiaTheme="minorEastAsia" w:hAnsi="Times New Roman" w:cs="Times New Roman"/>
          <w:color w:val="auto"/>
          <w:sz w:val="24"/>
          <w:szCs w:val="24"/>
        </w:rPr>
        <w:t>万</w:t>
      </w:r>
      <w:r w:rsidRPr="00F9522B">
        <w:rPr>
          <w:rFonts w:ascii="Times New Roman" w:eastAsiaTheme="minorEastAsia" w:hAnsi="Times New Roman" w:cs="Times New Roman"/>
          <w:color w:val="auto"/>
          <w:sz w:val="24"/>
          <w:szCs w:val="24"/>
        </w:rPr>
        <w:t>m</w:t>
      </w:r>
      <w:r w:rsidRPr="00F9522B">
        <w:rPr>
          <w:rFonts w:ascii="Times New Roman" w:eastAsiaTheme="minorEastAsia" w:hAnsi="Times New Roman" w:cs="Times New Roman"/>
          <w:color w:val="auto"/>
          <w:sz w:val="24"/>
          <w:szCs w:val="24"/>
          <w:vertAlign w:val="superscript"/>
        </w:rPr>
        <w:t>3</w:t>
      </w:r>
      <w:r w:rsidRPr="00F9522B">
        <w:rPr>
          <w:rFonts w:ascii="Times New Roman" w:eastAsiaTheme="minorEastAsia" w:hAnsi="Times New Roman" w:cs="Times New Roman"/>
          <w:color w:val="auto"/>
          <w:sz w:val="24"/>
          <w:szCs w:val="24"/>
        </w:rPr>
        <w:t>。</w:t>
      </w:r>
      <w:r w:rsidR="00E03AD9" w:rsidRPr="00F9522B">
        <w:rPr>
          <w:rFonts w:ascii="Times New Roman" w:eastAsiaTheme="minorEastAsia" w:hAnsi="Times New Roman" w:cs="Times New Roman"/>
          <w:bCs/>
          <w:sz w:val="24"/>
          <w:szCs w:val="24"/>
        </w:rPr>
        <w:t>COD</w:t>
      </w:r>
      <w:r w:rsidR="00E03AD9" w:rsidRPr="00F9522B">
        <w:rPr>
          <w:rFonts w:ascii="Times New Roman" w:eastAsiaTheme="minorEastAsia" w:hAnsi="Times New Roman" w:cs="Times New Roman"/>
          <w:bCs/>
          <w:sz w:val="24"/>
          <w:szCs w:val="24"/>
        </w:rPr>
        <w:t>、氨氮、总磷及总氮排放量分别减少</w:t>
      </w:r>
      <w:r w:rsidR="00E03AD9" w:rsidRPr="00F9522B">
        <w:rPr>
          <w:rFonts w:ascii="Times New Roman" w:eastAsiaTheme="minorEastAsia" w:hAnsi="Times New Roman" w:cs="Times New Roman"/>
          <w:bCs/>
          <w:sz w:val="24"/>
          <w:szCs w:val="24"/>
        </w:rPr>
        <w:t>7.905t/a</w:t>
      </w:r>
      <w:r w:rsidR="00E03AD9" w:rsidRPr="00F9522B">
        <w:rPr>
          <w:rFonts w:ascii="Times New Roman" w:eastAsiaTheme="minorEastAsia" w:hAnsi="Times New Roman" w:cs="Times New Roman"/>
          <w:bCs/>
          <w:sz w:val="24"/>
          <w:szCs w:val="24"/>
        </w:rPr>
        <w:t>、</w:t>
      </w:r>
      <w:r w:rsidR="00E03AD9" w:rsidRPr="00F9522B">
        <w:rPr>
          <w:rFonts w:ascii="Times New Roman" w:eastAsiaTheme="minorEastAsia" w:hAnsi="Times New Roman" w:cs="Times New Roman"/>
          <w:bCs/>
          <w:sz w:val="24"/>
          <w:szCs w:val="24"/>
        </w:rPr>
        <w:t>0.189t/a</w:t>
      </w:r>
      <w:r w:rsidR="00E03AD9" w:rsidRPr="00F9522B">
        <w:rPr>
          <w:rFonts w:ascii="Times New Roman" w:eastAsiaTheme="minorEastAsia" w:hAnsi="Times New Roman" w:cs="Times New Roman"/>
          <w:bCs/>
          <w:sz w:val="24"/>
          <w:szCs w:val="24"/>
        </w:rPr>
        <w:t>、</w:t>
      </w:r>
      <w:r w:rsidR="00E03AD9" w:rsidRPr="00F9522B">
        <w:rPr>
          <w:rFonts w:ascii="Times New Roman" w:eastAsiaTheme="minorEastAsia" w:hAnsi="Times New Roman" w:cs="Times New Roman"/>
          <w:bCs/>
          <w:sz w:val="24"/>
          <w:szCs w:val="24"/>
        </w:rPr>
        <w:t>0.276t/a</w:t>
      </w:r>
      <w:r w:rsidR="00E03AD9" w:rsidRPr="00F9522B">
        <w:rPr>
          <w:rFonts w:ascii="Times New Roman" w:eastAsiaTheme="minorEastAsia" w:hAnsi="Times New Roman" w:cs="Times New Roman"/>
          <w:bCs/>
          <w:sz w:val="24"/>
          <w:szCs w:val="24"/>
        </w:rPr>
        <w:t>、</w:t>
      </w:r>
      <w:r w:rsidR="00E03AD9" w:rsidRPr="00F9522B">
        <w:rPr>
          <w:rFonts w:ascii="Times New Roman" w:eastAsiaTheme="minorEastAsia" w:hAnsi="Times New Roman" w:cs="Times New Roman"/>
          <w:bCs/>
          <w:sz w:val="24"/>
          <w:szCs w:val="24"/>
        </w:rPr>
        <w:t>0.63t/a</w:t>
      </w:r>
      <w:r w:rsidRPr="00F9522B">
        <w:rPr>
          <w:rFonts w:ascii="Times New Roman" w:eastAsiaTheme="minorEastAsia" w:hAnsi="Times New Roman" w:cs="Times New Roman"/>
          <w:bCs/>
          <w:sz w:val="24"/>
          <w:szCs w:val="24"/>
        </w:rPr>
        <w:t>。</w:t>
      </w:r>
      <w:r w:rsidRPr="00F9522B">
        <w:rPr>
          <w:rFonts w:ascii="Times New Roman" w:eastAsiaTheme="minorEastAsia" w:hAnsi="Times New Roman" w:cs="Times New Roman"/>
          <w:color w:val="auto"/>
          <w:sz w:val="24"/>
        </w:rPr>
        <w:t>故工程实施后对</w:t>
      </w:r>
      <w:r w:rsidR="00507669" w:rsidRPr="00F9522B">
        <w:rPr>
          <w:rFonts w:ascii="Times New Roman" w:eastAsiaTheme="minorEastAsia" w:hAnsi="Times New Roman" w:cs="Times New Roman"/>
          <w:color w:val="auto"/>
          <w:sz w:val="24"/>
        </w:rPr>
        <w:t>松花江</w:t>
      </w:r>
      <w:r w:rsidRPr="00F9522B">
        <w:rPr>
          <w:rFonts w:ascii="Times New Roman" w:eastAsiaTheme="minorEastAsia" w:hAnsi="Times New Roman" w:cs="Times New Roman"/>
          <w:color w:val="auto"/>
          <w:sz w:val="24"/>
        </w:rPr>
        <w:t>及漂河、</w:t>
      </w:r>
      <w:r w:rsidR="0097424D" w:rsidRPr="00F9522B">
        <w:rPr>
          <w:rFonts w:ascii="Times New Roman" w:eastAsiaTheme="minorEastAsia" w:hAnsi="Times New Roman" w:cs="Times New Roman"/>
          <w:bCs/>
          <w:color w:val="auto"/>
          <w:sz w:val="24"/>
        </w:rPr>
        <w:t>呼兰河口湿地自然保护区</w:t>
      </w:r>
      <w:r w:rsidRPr="00F9522B">
        <w:rPr>
          <w:rFonts w:ascii="Times New Roman" w:eastAsiaTheme="minorEastAsia" w:hAnsi="Times New Roman" w:cs="Times New Roman"/>
          <w:color w:val="auto"/>
          <w:sz w:val="24"/>
        </w:rPr>
        <w:t>水质、水生生态环境起到一定改善作用。</w:t>
      </w:r>
    </w:p>
    <w:p w:rsidR="002A5A5E" w:rsidRPr="00F9522B" w:rsidRDefault="00611CBA">
      <w:pPr>
        <w:spacing w:line="360" w:lineRule="auto"/>
        <w:ind w:firstLineChars="200" w:firstLine="480"/>
        <w:contextualSpacing/>
        <w:rPr>
          <w:rFonts w:eastAsiaTheme="minorEastAsia"/>
          <w:bCs/>
          <w:snapToGrid w:val="0"/>
          <w:kern w:val="0"/>
          <w:sz w:val="24"/>
        </w:rPr>
      </w:pPr>
      <w:r w:rsidRPr="00F9522B">
        <w:rPr>
          <w:rFonts w:eastAsiaTheme="minorEastAsia"/>
          <w:sz w:val="24"/>
        </w:rPr>
        <w:t>区域生态环境现状：根据黑龙江省生态环境分区管控数据应用平台出具的《</w:t>
      </w:r>
      <w:r w:rsidR="003A7922" w:rsidRPr="00F9522B">
        <w:rPr>
          <w:rFonts w:eastAsiaTheme="minorEastAsia"/>
          <w:sz w:val="24"/>
        </w:rPr>
        <w:t>呼兰区</w:t>
      </w:r>
      <w:r w:rsidR="003A7922" w:rsidRPr="00F9522B">
        <w:rPr>
          <w:rFonts w:eastAsiaTheme="minorEastAsia"/>
          <w:sz w:val="24"/>
        </w:rPr>
        <w:t>2026</w:t>
      </w:r>
      <w:r w:rsidR="003A7922" w:rsidRPr="00F9522B">
        <w:rPr>
          <w:rFonts w:eastAsiaTheme="minorEastAsia"/>
          <w:sz w:val="24"/>
        </w:rPr>
        <w:t>年高标准农田建设项目</w:t>
      </w:r>
      <w:r w:rsidRPr="00F9522B">
        <w:rPr>
          <w:rFonts w:eastAsiaTheme="minorEastAsia"/>
          <w:sz w:val="24"/>
        </w:rPr>
        <w:t>生态环境分区管控分析报告》可见，本项目工程占地及评价区域内不涉及生态保护红线、</w:t>
      </w:r>
      <w:r w:rsidRPr="00F9522B">
        <w:rPr>
          <w:rFonts w:eastAsiaTheme="minorEastAsia"/>
          <w:snapToGrid w:val="0"/>
          <w:sz w:val="24"/>
        </w:rPr>
        <w:t>国家、省、市重点保护文物、濒危珍稀动植物、森林公园、地质公园、天然林、公益林、重要湿地等生态保护目标。现有退水路线不涉及重要水生生物的自然产卵场、索饵场、越冬场和洄游通道。</w:t>
      </w:r>
    </w:p>
    <w:p w:rsidR="002A5A5E" w:rsidRPr="00F9522B" w:rsidRDefault="0097424D">
      <w:pPr>
        <w:spacing w:line="360" w:lineRule="auto"/>
        <w:ind w:firstLineChars="200" w:firstLine="480"/>
        <w:contextualSpacing/>
        <w:rPr>
          <w:rFonts w:eastAsiaTheme="minorEastAsia"/>
          <w:bCs/>
          <w:snapToGrid w:val="0"/>
          <w:kern w:val="0"/>
          <w:sz w:val="24"/>
        </w:rPr>
      </w:pPr>
      <w:r w:rsidRPr="00F9522B">
        <w:rPr>
          <w:rFonts w:eastAsiaTheme="minorEastAsia"/>
          <w:bCs/>
          <w:snapToGrid w:val="0"/>
          <w:kern w:val="0"/>
          <w:sz w:val="24"/>
        </w:rPr>
        <w:t>本项目现有水田</w:t>
      </w:r>
      <w:r w:rsidR="00A311C8" w:rsidRPr="00F9522B">
        <w:rPr>
          <w:rFonts w:eastAsiaTheme="minorEastAsia"/>
          <w:bCs/>
          <w:snapToGrid w:val="0"/>
          <w:kern w:val="0"/>
          <w:sz w:val="24"/>
        </w:rPr>
        <w:t>公家沟</w:t>
      </w:r>
      <w:r w:rsidRPr="00F9522B">
        <w:rPr>
          <w:rFonts w:eastAsiaTheme="minorEastAsia"/>
          <w:bCs/>
          <w:snapToGrid w:val="0"/>
          <w:kern w:val="0"/>
          <w:sz w:val="24"/>
        </w:rPr>
        <w:t>退水承泄区下游涉及呼兰河口湿地自然保护区</w:t>
      </w:r>
      <w:r w:rsidR="00611CBA" w:rsidRPr="00F9522B">
        <w:rPr>
          <w:rFonts w:eastAsiaTheme="minorEastAsia"/>
          <w:bCs/>
          <w:snapToGrid w:val="0"/>
          <w:kern w:val="0"/>
          <w:sz w:val="24"/>
        </w:rPr>
        <w:t>，现有</w:t>
      </w:r>
      <w:r w:rsidR="00A311C8" w:rsidRPr="00F9522B">
        <w:rPr>
          <w:rFonts w:eastAsiaTheme="minorEastAsia"/>
          <w:bCs/>
          <w:snapToGrid w:val="0"/>
          <w:kern w:val="0"/>
          <w:sz w:val="24"/>
        </w:rPr>
        <w:t>公家沟</w:t>
      </w:r>
      <w:r w:rsidR="00611CBA" w:rsidRPr="00F9522B">
        <w:rPr>
          <w:rFonts w:eastAsiaTheme="minorEastAsia"/>
          <w:bCs/>
          <w:snapToGrid w:val="0"/>
          <w:kern w:val="0"/>
          <w:sz w:val="24"/>
        </w:rPr>
        <w:t>农田退水口距离黑龙江呼兰河口湿地省级自然保护区约</w:t>
      </w:r>
      <w:r w:rsidR="00160559" w:rsidRPr="00F9522B">
        <w:rPr>
          <w:rFonts w:eastAsiaTheme="minorEastAsia"/>
          <w:bCs/>
          <w:snapToGrid w:val="0"/>
          <w:kern w:val="0"/>
          <w:sz w:val="24"/>
        </w:rPr>
        <w:t>2</w:t>
      </w:r>
      <w:r w:rsidR="00C50480" w:rsidRPr="00F9522B">
        <w:rPr>
          <w:rFonts w:eastAsiaTheme="minorEastAsia"/>
          <w:bCs/>
          <w:snapToGrid w:val="0"/>
          <w:kern w:val="0"/>
          <w:sz w:val="24"/>
        </w:rPr>
        <w:t>5</w:t>
      </w:r>
      <w:r w:rsidR="00611CBA" w:rsidRPr="00F9522B">
        <w:rPr>
          <w:rFonts w:eastAsiaTheme="minorEastAsia"/>
          <w:bCs/>
          <w:snapToGrid w:val="0"/>
          <w:kern w:val="0"/>
          <w:sz w:val="24"/>
        </w:rPr>
        <w:t>m</w:t>
      </w:r>
      <w:r w:rsidR="00611CBA" w:rsidRPr="00F9522B">
        <w:rPr>
          <w:rFonts w:eastAsiaTheme="minorEastAsia"/>
          <w:bCs/>
          <w:snapToGrid w:val="0"/>
          <w:kern w:val="0"/>
          <w:sz w:val="24"/>
        </w:rPr>
        <w:t>。</w:t>
      </w:r>
    </w:p>
    <w:p w:rsidR="002A5A5E" w:rsidRPr="00F9522B" w:rsidRDefault="00611CBA">
      <w:pPr>
        <w:spacing w:line="360" w:lineRule="auto"/>
        <w:ind w:firstLineChars="200" w:firstLine="480"/>
        <w:contextualSpacing/>
        <w:rPr>
          <w:rFonts w:eastAsiaTheme="minorEastAsia"/>
          <w:bCs/>
          <w:snapToGrid w:val="0"/>
          <w:kern w:val="0"/>
          <w:sz w:val="24"/>
        </w:rPr>
      </w:pPr>
      <w:r w:rsidRPr="00F9522B">
        <w:rPr>
          <w:rFonts w:eastAsiaTheme="minorEastAsia"/>
          <w:bCs/>
          <w:snapToGrid w:val="0"/>
          <w:kern w:val="0"/>
          <w:sz w:val="24"/>
        </w:rPr>
        <w:t>施工方式：本项目各工程施工</w:t>
      </w:r>
      <w:r w:rsidRPr="00F9522B">
        <w:rPr>
          <w:rFonts w:eastAsiaTheme="minorEastAsia"/>
          <w:sz w:val="24"/>
        </w:rPr>
        <w:t>方式为机械及人工相结合。</w:t>
      </w:r>
    </w:p>
    <w:p w:rsidR="002A5A5E" w:rsidRPr="00F9522B" w:rsidRDefault="00611CBA">
      <w:pPr>
        <w:spacing w:line="360" w:lineRule="auto"/>
        <w:ind w:firstLineChars="200" w:firstLine="480"/>
        <w:contextualSpacing/>
        <w:rPr>
          <w:rFonts w:eastAsiaTheme="minorEastAsia"/>
          <w:snapToGrid w:val="0"/>
          <w:sz w:val="24"/>
        </w:rPr>
      </w:pPr>
      <w:r w:rsidRPr="00F9522B">
        <w:rPr>
          <w:rFonts w:eastAsiaTheme="minorEastAsia"/>
          <w:bCs/>
          <w:snapToGrid w:val="0"/>
          <w:kern w:val="0"/>
          <w:sz w:val="24"/>
        </w:rPr>
        <w:t>施工占地：</w:t>
      </w:r>
      <w:r w:rsidR="004E26F5" w:rsidRPr="00F9522B">
        <w:rPr>
          <w:rFonts w:eastAsiaTheme="minorEastAsia"/>
          <w:kern w:val="0"/>
          <w:sz w:val="24"/>
        </w:rPr>
        <w:t>本工程尽可能减少占地。</w:t>
      </w:r>
      <w:r w:rsidRPr="00F9522B">
        <w:rPr>
          <w:rFonts w:eastAsiaTheme="minorEastAsia"/>
          <w:bCs/>
          <w:snapToGrid w:val="0"/>
          <w:kern w:val="0"/>
          <w:sz w:val="24"/>
        </w:rPr>
        <w:t>本项目永久占地主要</w:t>
      </w:r>
      <w:r w:rsidR="0097424D" w:rsidRPr="00F9522B">
        <w:rPr>
          <w:rFonts w:eastAsiaTheme="minorEastAsia"/>
          <w:bCs/>
          <w:snapToGrid w:val="0"/>
          <w:kern w:val="0"/>
          <w:sz w:val="24"/>
        </w:rPr>
        <w:t>包括田间道路工程、灌溉和排水工程、田块整治工程、农田输配电工程</w:t>
      </w:r>
      <w:r w:rsidRPr="00F9522B">
        <w:rPr>
          <w:rFonts w:eastAsiaTheme="minorEastAsia"/>
          <w:bCs/>
          <w:snapToGrid w:val="0"/>
          <w:kern w:val="0"/>
          <w:sz w:val="24"/>
        </w:rPr>
        <w:t>占地。</w:t>
      </w:r>
      <w:r w:rsidRPr="00F9522B">
        <w:rPr>
          <w:rFonts w:eastAsiaTheme="minorEastAsia"/>
          <w:kern w:val="0"/>
          <w:sz w:val="24"/>
        </w:rPr>
        <w:t>本项目为高标准农田建设项目，为农业建设项目，无法避让基本农田。</w:t>
      </w:r>
      <w:r w:rsidRPr="00F9522B">
        <w:rPr>
          <w:rFonts w:eastAsiaTheme="minorEastAsia"/>
          <w:bCs/>
          <w:snapToGrid w:val="0"/>
          <w:kern w:val="0"/>
          <w:sz w:val="24"/>
        </w:rPr>
        <w:t>田间道路工程在原有道路上铺设，现有灌溉渠</w:t>
      </w:r>
      <w:r w:rsidR="00121DFD" w:rsidRPr="00F9522B">
        <w:rPr>
          <w:rFonts w:eastAsiaTheme="minorEastAsia"/>
          <w:bCs/>
          <w:snapToGrid w:val="0"/>
          <w:kern w:val="0"/>
          <w:sz w:val="24"/>
        </w:rPr>
        <w:t>道衬砌，现有排水沟清淤，淤泥堆放在排水沟两侧，现有农田田块整</w:t>
      </w:r>
      <w:r w:rsidR="00121DFD" w:rsidRPr="00F9522B">
        <w:rPr>
          <w:rFonts w:eastAsiaTheme="minorEastAsia"/>
          <w:bCs/>
          <w:snapToGrid w:val="0"/>
          <w:kern w:val="0"/>
          <w:sz w:val="24"/>
        </w:rPr>
        <w:lastRenderedPageBreak/>
        <w:t>治</w:t>
      </w:r>
      <w:r w:rsidRPr="00F9522B">
        <w:rPr>
          <w:rFonts w:eastAsiaTheme="minorEastAsia"/>
          <w:bCs/>
          <w:snapToGrid w:val="0"/>
          <w:kern w:val="0"/>
          <w:sz w:val="24"/>
        </w:rPr>
        <w:t>。</w:t>
      </w:r>
      <w:r w:rsidRPr="00F9522B">
        <w:rPr>
          <w:rFonts w:eastAsiaTheme="minorEastAsia"/>
          <w:kern w:val="0"/>
          <w:sz w:val="24"/>
        </w:rPr>
        <w:t>本项目新增永久占用旱地、草地、坑塘水面、</w:t>
      </w:r>
      <w:r w:rsidRPr="00F9522B">
        <w:rPr>
          <w:rFonts w:eastAsiaTheme="minorEastAsia"/>
          <w:bCs/>
          <w:kern w:val="0"/>
          <w:sz w:val="24"/>
        </w:rPr>
        <w:t>水利设施用地、水田共</w:t>
      </w:r>
      <w:r w:rsidR="00B42C98" w:rsidRPr="00F9522B">
        <w:rPr>
          <w:rFonts w:eastAsiaTheme="minorEastAsia"/>
          <w:bCs/>
          <w:kern w:val="0"/>
          <w:sz w:val="24"/>
        </w:rPr>
        <w:t>46260</w:t>
      </w:r>
      <w:r w:rsidRPr="00F9522B">
        <w:rPr>
          <w:rFonts w:eastAsiaTheme="minorEastAsia"/>
          <w:bCs/>
          <w:kern w:val="0"/>
          <w:sz w:val="24"/>
        </w:rPr>
        <w:t>m</w:t>
      </w:r>
      <w:r w:rsidRPr="00F9522B">
        <w:rPr>
          <w:rFonts w:eastAsiaTheme="minorEastAsia"/>
          <w:kern w:val="0"/>
          <w:sz w:val="24"/>
          <w:vertAlign w:val="superscript"/>
        </w:rPr>
        <w:t>2</w:t>
      </w:r>
      <w:r w:rsidRPr="00F9522B">
        <w:rPr>
          <w:rFonts w:eastAsiaTheme="minorEastAsia"/>
          <w:kern w:val="0"/>
          <w:sz w:val="24"/>
        </w:rPr>
        <w:t>，临时占用</w:t>
      </w:r>
      <w:r w:rsidRPr="00F9522B">
        <w:rPr>
          <w:rFonts w:eastAsiaTheme="minorEastAsia"/>
          <w:sz w:val="24"/>
        </w:rPr>
        <w:t>旱地、草地</w:t>
      </w:r>
      <w:r w:rsidRPr="00F9522B">
        <w:rPr>
          <w:rFonts w:eastAsiaTheme="minorEastAsia"/>
          <w:kern w:val="0"/>
          <w:sz w:val="24"/>
        </w:rPr>
        <w:t>共</w:t>
      </w:r>
      <w:r w:rsidR="00AA4603">
        <w:rPr>
          <w:rFonts w:eastAsiaTheme="minorEastAsia"/>
          <w:kern w:val="0"/>
          <w:sz w:val="24"/>
        </w:rPr>
        <w:t>294140</w:t>
      </w:r>
      <w:r w:rsidRPr="00F9522B">
        <w:rPr>
          <w:rFonts w:eastAsiaTheme="minorEastAsia"/>
          <w:kern w:val="0"/>
          <w:sz w:val="24"/>
        </w:rPr>
        <w:t>m</w:t>
      </w:r>
      <w:r w:rsidRPr="00F9522B">
        <w:rPr>
          <w:rFonts w:eastAsiaTheme="minorEastAsia"/>
          <w:kern w:val="0"/>
          <w:sz w:val="24"/>
          <w:vertAlign w:val="superscript"/>
        </w:rPr>
        <w:t>2</w:t>
      </w:r>
      <w:r w:rsidR="004E26F5" w:rsidRPr="00F9522B">
        <w:rPr>
          <w:rFonts w:eastAsiaTheme="minorEastAsia"/>
          <w:kern w:val="0"/>
          <w:sz w:val="24"/>
        </w:rPr>
        <w:t>。</w:t>
      </w:r>
    </w:p>
    <w:p w:rsidR="002A5A5E" w:rsidRPr="00F9522B" w:rsidRDefault="00611CBA">
      <w:pPr>
        <w:spacing w:line="360" w:lineRule="auto"/>
        <w:ind w:firstLineChars="200" w:firstLine="480"/>
        <w:rPr>
          <w:rFonts w:eastAsiaTheme="minorEastAsia"/>
          <w:bCs/>
          <w:smallCaps/>
          <w:sz w:val="24"/>
        </w:rPr>
      </w:pPr>
      <w:r w:rsidRPr="00F9522B">
        <w:rPr>
          <w:rFonts w:eastAsiaTheme="minorEastAsia"/>
          <w:sz w:val="24"/>
        </w:rPr>
        <w:t>施工时序：施工期严格控制施工范围，夜间不施工，</w:t>
      </w:r>
      <w:r w:rsidRPr="00F9522B">
        <w:rPr>
          <w:rFonts w:eastAsiaTheme="minorEastAsia"/>
          <w:sz w:val="24"/>
          <w:szCs w:val="21"/>
        </w:rPr>
        <w:t>合理安排施工时序，选择</w:t>
      </w:r>
      <w:r w:rsidRPr="00F9522B">
        <w:rPr>
          <w:rFonts w:eastAsiaTheme="minorEastAsia"/>
          <w:sz w:val="24"/>
          <w:szCs w:val="21"/>
        </w:rPr>
        <w:t>3</w:t>
      </w:r>
      <w:r w:rsidRPr="00F9522B">
        <w:rPr>
          <w:rFonts w:eastAsiaTheme="minorEastAsia"/>
          <w:sz w:val="24"/>
          <w:szCs w:val="21"/>
        </w:rPr>
        <w:t>月至</w:t>
      </w:r>
      <w:r w:rsidRPr="00F9522B">
        <w:rPr>
          <w:rFonts w:eastAsiaTheme="minorEastAsia"/>
          <w:sz w:val="24"/>
          <w:szCs w:val="21"/>
        </w:rPr>
        <w:t>4</w:t>
      </w:r>
      <w:r w:rsidRPr="00F9522B">
        <w:rPr>
          <w:rFonts w:eastAsiaTheme="minorEastAsia"/>
          <w:sz w:val="24"/>
          <w:szCs w:val="21"/>
        </w:rPr>
        <w:t>月进行清淤及护砌等，</w:t>
      </w:r>
      <w:r w:rsidRPr="00F9522B">
        <w:rPr>
          <w:rFonts w:eastAsiaTheme="minorEastAsia"/>
          <w:snapToGrid w:val="0"/>
          <w:kern w:val="0"/>
          <w:sz w:val="24"/>
        </w:rPr>
        <w:t>在枯水期进行，</w:t>
      </w:r>
      <w:r w:rsidRPr="00F9522B">
        <w:rPr>
          <w:rFonts w:eastAsiaTheme="minorEastAsia"/>
          <w:sz w:val="24"/>
          <w:szCs w:val="21"/>
        </w:rPr>
        <w:t>沟</w:t>
      </w:r>
      <w:r w:rsidRPr="00F9522B">
        <w:rPr>
          <w:rFonts w:eastAsiaTheme="minorEastAsia"/>
          <w:snapToGrid w:val="0"/>
          <w:kern w:val="0"/>
          <w:sz w:val="24"/>
        </w:rPr>
        <w:t>渠</w:t>
      </w:r>
      <w:r w:rsidRPr="00F9522B">
        <w:rPr>
          <w:rFonts w:eastAsiaTheme="minorEastAsia"/>
          <w:sz w:val="24"/>
          <w:szCs w:val="21"/>
        </w:rPr>
        <w:t>干涸，不涉水，避免对地表水体的影响</w:t>
      </w:r>
      <w:r w:rsidRPr="00F9522B">
        <w:rPr>
          <w:rFonts w:eastAsiaTheme="minorEastAsia"/>
          <w:bCs/>
          <w:smallCaps/>
          <w:sz w:val="24"/>
        </w:rPr>
        <w:t>。</w:t>
      </w:r>
    </w:p>
    <w:p w:rsidR="002A5A5E" w:rsidRPr="00F9522B" w:rsidRDefault="00611CBA">
      <w:pPr>
        <w:pStyle w:val="1120"/>
        <w:spacing w:line="360" w:lineRule="auto"/>
        <w:ind w:firstLine="480"/>
        <w:rPr>
          <w:rFonts w:ascii="Times New Roman" w:eastAsiaTheme="minorEastAsia" w:hAnsi="Times New Roman" w:cs="Times New Roman"/>
          <w:color w:val="auto"/>
          <w:sz w:val="24"/>
          <w:szCs w:val="24"/>
        </w:rPr>
      </w:pPr>
      <w:r w:rsidRPr="00F9522B">
        <w:rPr>
          <w:rFonts w:ascii="Times New Roman" w:eastAsiaTheme="minorEastAsia" w:hAnsi="Times New Roman" w:cs="Times New Roman"/>
          <w:color w:val="auto"/>
          <w:sz w:val="24"/>
          <w:szCs w:val="24"/>
        </w:rPr>
        <w:t>现有工程存在的问题及</w:t>
      </w:r>
      <w:r w:rsidRPr="00F9522B">
        <w:rPr>
          <w:rFonts w:ascii="Times New Roman" w:eastAsiaTheme="minorEastAsia" w:hAnsi="Times New Roman" w:cs="Times New Roman"/>
          <w:color w:val="auto"/>
          <w:sz w:val="24"/>
          <w:szCs w:val="24"/>
        </w:rPr>
        <w:t>“</w:t>
      </w:r>
      <w:r w:rsidRPr="00F9522B">
        <w:rPr>
          <w:rFonts w:ascii="Times New Roman" w:eastAsiaTheme="minorEastAsia" w:hAnsi="Times New Roman" w:cs="Times New Roman"/>
          <w:color w:val="auto"/>
          <w:sz w:val="24"/>
          <w:szCs w:val="24"/>
        </w:rPr>
        <w:t>以新带老</w:t>
      </w:r>
      <w:r w:rsidRPr="00F9522B">
        <w:rPr>
          <w:rFonts w:ascii="Times New Roman" w:eastAsiaTheme="minorEastAsia" w:hAnsi="Times New Roman" w:cs="Times New Roman"/>
          <w:color w:val="auto"/>
          <w:sz w:val="24"/>
          <w:szCs w:val="24"/>
        </w:rPr>
        <w:t>”</w:t>
      </w:r>
      <w:r w:rsidRPr="00F9522B">
        <w:rPr>
          <w:rFonts w:ascii="Times New Roman" w:eastAsiaTheme="minorEastAsia" w:hAnsi="Times New Roman" w:cs="Times New Roman"/>
          <w:color w:val="auto"/>
          <w:sz w:val="24"/>
          <w:szCs w:val="24"/>
        </w:rPr>
        <w:t>措施：</w:t>
      </w:r>
    </w:p>
    <w:p w:rsidR="002A5A5E" w:rsidRPr="00F9522B" w:rsidRDefault="00611CBA">
      <w:pPr>
        <w:pStyle w:val="1120"/>
        <w:spacing w:line="360" w:lineRule="auto"/>
        <w:ind w:firstLine="480"/>
        <w:rPr>
          <w:rFonts w:ascii="Times New Roman" w:eastAsiaTheme="minorEastAsia" w:hAnsi="Times New Roman" w:cs="Times New Roman"/>
          <w:bCs/>
          <w:color w:val="auto"/>
          <w:sz w:val="24"/>
          <w:szCs w:val="24"/>
        </w:rPr>
      </w:pPr>
      <w:r w:rsidRPr="00F9522B">
        <w:rPr>
          <w:rFonts w:ascii="Times New Roman" w:eastAsiaTheme="minorEastAsia" w:hAnsi="Times New Roman" w:cs="Times New Roman"/>
          <w:bCs/>
          <w:color w:val="auto"/>
          <w:sz w:val="24"/>
          <w:szCs w:val="24"/>
        </w:rPr>
        <w:t>1</w:t>
      </w:r>
      <w:r w:rsidR="00760E2B" w:rsidRPr="00F9522B">
        <w:rPr>
          <w:rFonts w:ascii="Times New Roman" w:eastAsiaTheme="minorEastAsia" w:hAnsi="Times New Roman" w:cs="Times New Roman"/>
          <w:bCs/>
          <w:color w:val="auto"/>
          <w:sz w:val="24"/>
          <w:szCs w:val="24"/>
        </w:rPr>
        <w:t>.</w:t>
      </w:r>
      <w:r w:rsidRPr="00F9522B">
        <w:rPr>
          <w:rFonts w:ascii="Times New Roman" w:eastAsiaTheme="minorEastAsia" w:hAnsi="Times New Roman" w:cs="Times New Roman"/>
          <w:bCs/>
          <w:color w:val="auto"/>
          <w:sz w:val="24"/>
          <w:szCs w:val="24"/>
        </w:rPr>
        <w:t>灌区干渠上现有部分涵洞、过水路面等渠系建筑物部分已到达合理使用年限，老化破损严重，年久失修，无法继续满足基本灌溉需求；渠道衬砌长度较短，渗漏损失大，导致渠道输水效率低，部分输水渠段跑、冒、漏严重，致使渠道沿程水损失较大，水资源浪费严重。项目区部分排水沟淤积严重，排水不畅。</w:t>
      </w:r>
    </w:p>
    <w:p w:rsidR="002A5A5E" w:rsidRPr="00F9522B" w:rsidRDefault="00611CBA">
      <w:pPr>
        <w:pStyle w:val="1120"/>
        <w:spacing w:line="360" w:lineRule="auto"/>
        <w:ind w:firstLine="480"/>
        <w:rPr>
          <w:rFonts w:ascii="Times New Roman" w:eastAsiaTheme="minorEastAsia" w:hAnsi="Times New Roman" w:cs="Times New Roman"/>
          <w:bCs/>
          <w:color w:val="auto"/>
          <w:sz w:val="24"/>
          <w:szCs w:val="24"/>
        </w:rPr>
      </w:pPr>
      <w:r w:rsidRPr="00F9522B">
        <w:rPr>
          <w:rFonts w:ascii="Times New Roman" w:eastAsiaTheme="minorEastAsia" w:hAnsi="Times New Roman" w:cs="Times New Roman"/>
          <w:color w:val="auto"/>
          <w:sz w:val="24"/>
          <w:szCs w:val="24"/>
        </w:rPr>
        <w:t>“</w:t>
      </w:r>
      <w:r w:rsidRPr="00F9522B">
        <w:rPr>
          <w:rFonts w:ascii="Times New Roman" w:eastAsiaTheme="minorEastAsia" w:hAnsi="Times New Roman" w:cs="Times New Roman"/>
          <w:color w:val="auto"/>
          <w:sz w:val="24"/>
          <w:szCs w:val="24"/>
        </w:rPr>
        <w:t>以新带老</w:t>
      </w:r>
      <w:r w:rsidRPr="00F9522B">
        <w:rPr>
          <w:rFonts w:ascii="Times New Roman" w:eastAsiaTheme="minorEastAsia" w:hAnsi="Times New Roman" w:cs="Times New Roman"/>
          <w:color w:val="auto"/>
          <w:sz w:val="24"/>
          <w:szCs w:val="24"/>
        </w:rPr>
        <w:t>”</w:t>
      </w:r>
      <w:r w:rsidRPr="00F9522B">
        <w:rPr>
          <w:rFonts w:ascii="Times New Roman" w:eastAsiaTheme="minorEastAsia" w:hAnsi="Times New Roman" w:cs="Times New Roman"/>
          <w:color w:val="auto"/>
          <w:sz w:val="24"/>
          <w:szCs w:val="24"/>
        </w:rPr>
        <w:t>措施：</w:t>
      </w:r>
      <w:r w:rsidRPr="00F9522B">
        <w:rPr>
          <w:rFonts w:ascii="Times New Roman" w:eastAsiaTheme="minorEastAsia" w:hAnsi="Times New Roman" w:cs="Times New Roman"/>
          <w:bCs/>
          <w:color w:val="auto"/>
          <w:sz w:val="24"/>
          <w:szCs w:val="24"/>
        </w:rPr>
        <w:t>本项目对现有渠道进行衬砌，对建筑物进行新建或拆除重建。对部分现有排水沟进行清淤、衬砌。</w:t>
      </w:r>
    </w:p>
    <w:p w:rsidR="002A5A5E" w:rsidRPr="00F9522B" w:rsidRDefault="00611CBA">
      <w:pPr>
        <w:pStyle w:val="1120"/>
        <w:spacing w:line="360" w:lineRule="auto"/>
        <w:ind w:firstLine="480"/>
        <w:rPr>
          <w:rFonts w:ascii="Times New Roman" w:eastAsiaTheme="minorEastAsia" w:hAnsi="Times New Roman" w:cs="Times New Roman"/>
          <w:bCs/>
          <w:color w:val="auto"/>
          <w:sz w:val="24"/>
          <w:szCs w:val="24"/>
        </w:rPr>
      </w:pPr>
      <w:r w:rsidRPr="00F9522B">
        <w:rPr>
          <w:rFonts w:ascii="Times New Roman" w:eastAsiaTheme="minorEastAsia" w:hAnsi="Times New Roman" w:cs="Times New Roman"/>
          <w:bCs/>
          <w:color w:val="auto"/>
          <w:sz w:val="24"/>
          <w:szCs w:val="24"/>
        </w:rPr>
        <w:t>2</w:t>
      </w:r>
      <w:r w:rsidR="00760E2B" w:rsidRPr="00F9522B">
        <w:rPr>
          <w:rFonts w:ascii="Times New Roman" w:eastAsiaTheme="minorEastAsia" w:hAnsi="Times New Roman" w:cs="Times New Roman"/>
          <w:bCs/>
          <w:color w:val="auto"/>
          <w:sz w:val="24"/>
          <w:szCs w:val="24"/>
        </w:rPr>
        <w:t>.</w:t>
      </w:r>
      <w:r w:rsidRPr="00F9522B">
        <w:rPr>
          <w:rFonts w:ascii="Times New Roman" w:eastAsiaTheme="minorEastAsia" w:hAnsi="Times New Roman" w:cs="Times New Roman"/>
          <w:bCs/>
          <w:color w:val="auto"/>
          <w:sz w:val="24"/>
          <w:szCs w:val="24"/>
        </w:rPr>
        <w:t>农田退水对水环境产生一定的影响。本项目现有入河排污口暂未进行审批登记，未进行排污口规范化建设。</w:t>
      </w:r>
    </w:p>
    <w:p w:rsidR="002A5A5E" w:rsidRPr="00F9522B" w:rsidRDefault="00611CBA">
      <w:pPr>
        <w:pStyle w:val="1120"/>
        <w:spacing w:line="360" w:lineRule="auto"/>
        <w:ind w:firstLine="480"/>
        <w:rPr>
          <w:rFonts w:ascii="Times New Roman" w:eastAsiaTheme="minorEastAsia" w:hAnsi="Times New Roman" w:cs="Times New Roman"/>
          <w:bCs/>
          <w:color w:val="auto"/>
          <w:sz w:val="24"/>
          <w:szCs w:val="24"/>
        </w:rPr>
      </w:pPr>
      <w:r w:rsidRPr="00F9522B">
        <w:rPr>
          <w:rFonts w:ascii="Times New Roman" w:eastAsiaTheme="minorEastAsia" w:hAnsi="Times New Roman" w:cs="Times New Roman"/>
          <w:color w:val="auto"/>
          <w:sz w:val="24"/>
          <w:szCs w:val="24"/>
        </w:rPr>
        <w:t xml:space="preserve"> “</w:t>
      </w:r>
      <w:r w:rsidRPr="00F9522B">
        <w:rPr>
          <w:rFonts w:ascii="Times New Roman" w:eastAsiaTheme="minorEastAsia" w:hAnsi="Times New Roman" w:cs="Times New Roman"/>
          <w:color w:val="auto"/>
          <w:sz w:val="24"/>
          <w:szCs w:val="24"/>
        </w:rPr>
        <w:t>以新带老</w:t>
      </w:r>
      <w:r w:rsidRPr="00F9522B">
        <w:rPr>
          <w:rFonts w:ascii="Times New Roman" w:eastAsiaTheme="minorEastAsia" w:hAnsi="Times New Roman" w:cs="Times New Roman"/>
          <w:color w:val="auto"/>
          <w:sz w:val="24"/>
          <w:szCs w:val="24"/>
        </w:rPr>
        <w:t>”</w:t>
      </w:r>
      <w:r w:rsidRPr="00F9522B">
        <w:rPr>
          <w:rFonts w:ascii="Times New Roman" w:eastAsiaTheme="minorEastAsia" w:hAnsi="Times New Roman" w:cs="Times New Roman"/>
          <w:color w:val="auto"/>
          <w:sz w:val="24"/>
          <w:szCs w:val="24"/>
        </w:rPr>
        <w:t>措施：</w:t>
      </w:r>
      <w:r w:rsidRPr="00F9522B">
        <w:rPr>
          <w:rFonts w:ascii="Times New Roman" w:eastAsiaTheme="minorEastAsia" w:hAnsi="Times New Roman" w:cs="Times New Roman"/>
          <w:bCs/>
          <w:color w:val="auto"/>
          <w:sz w:val="24"/>
          <w:szCs w:val="24"/>
        </w:rPr>
        <w:t>本项目运行期加强管理，科学、合理使用化肥，减少农药化肥的施用。对现有入河排污口办理入河排污口登记程序并进行排污口规范化建设。</w:t>
      </w:r>
    </w:p>
    <w:p w:rsidR="002A5A5E" w:rsidRPr="00F9522B" w:rsidRDefault="00611CBA">
      <w:pPr>
        <w:pStyle w:val="1120"/>
        <w:spacing w:line="360" w:lineRule="auto"/>
        <w:ind w:firstLine="480"/>
        <w:rPr>
          <w:rFonts w:ascii="Times New Roman" w:eastAsiaTheme="minorEastAsia" w:hAnsi="Times New Roman" w:cs="Times New Roman"/>
          <w:bCs/>
          <w:color w:val="auto"/>
          <w:sz w:val="24"/>
          <w:szCs w:val="24"/>
        </w:rPr>
      </w:pPr>
      <w:r w:rsidRPr="00F9522B">
        <w:rPr>
          <w:rFonts w:ascii="Times New Roman" w:eastAsiaTheme="minorEastAsia" w:hAnsi="Times New Roman" w:cs="Times New Roman"/>
          <w:bCs/>
          <w:color w:val="auto"/>
          <w:sz w:val="24"/>
          <w:szCs w:val="24"/>
        </w:rPr>
        <w:t>3</w:t>
      </w:r>
      <w:r w:rsidR="00760E2B" w:rsidRPr="00F9522B">
        <w:rPr>
          <w:rFonts w:ascii="Times New Roman" w:eastAsiaTheme="minorEastAsia" w:hAnsi="Times New Roman" w:cs="Times New Roman"/>
          <w:bCs/>
          <w:color w:val="auto"/>
          <w:sz w:val="24"/>
          <w:szCs w:val="24"/>
        </w:rPr>
        <w:t>.</w:t>
      </w:r>
      <w:r w:rsidRPr="00F9522B">
        <w:rPr>
          <w:rFonts w:ascii="Times New Roman" w:eastAsiaTheme="minorEastAsia" w:hAnsi="Times New Roman" w:cs="Times New Roman"/>
          <w:bCs/>
          <w:color w:val="auto"/>
          <w:sz w:val="24"/>
          <w:szCs w:val="24"/>
        </w:rPr>
        <w:t>灌区已运行多年，由于水流冲刷原因，对坡面的植被造成破坏，渠道边坡等局部水土流失、输水效率低、渗漏损失大等。</w:t>
      </w:r>
    </w:p>
    <w:p w:rsidR="002A5A5E" w:rsidRPr="00F9522B" w:rsidRDefault="00611CBA">
      <w:pPr>
        <w:pStyle w:val="1120"/>
        <w:spacing w:line="360" w:lineRule="auto"/>
        <w:ind w:firstLine="480"/>
        <w:rPr>
          <w:rFonts w:ascii="Times New Roman" w:eastAsiaTheme="minorEastAsia" w:hAnsi="Times New Roman" w:cs="Times New Roman"/>
          <w:bCs/>
          <w:color w:val="auto"/>
          <w:sz w:val="24"/>
          <w:szCs w:val="24"/>
        </w:rPr>
      </w:pPr>
      <w:r w:rsidRPr="00F9522B">
        <w:rPr>
          <w:rFonts w:ascii="Times New Roman" w:eastAsiaTheme="minorEastAsia" w:hAnsi="Times New Roman" w:cs="Times New Roman"/>
          <w:color w:val="auto"/>
          <w:sz w:val="24"/>
          <w:szCs w:val="24"/>
        </w:rPr>
        <w:t>“</w:t>
      </w:r>
      <w:r w:rsidRPr="00F9522B">
        <w:rPr>
          <w:rFonts w:ascii="Times New Roman" w:eastAsiaTheme="minorEastAsia" w:hAnsi="Times New Roman" w:cs="Times New Roman"/>
          <w:color w:val="auto"/>
          <w:sz w:val="24"/>
          <w:szCs w:val="24"/>
        </w:rPr>
        <w:t>以新带老</w:t>
      </w:r>
      <w:r w:rsidRPr="00F9522B">
        <w:rPr>
          <w:rFonts w:ascii="Times New Roman" w:eastAsiaTheme="minorEastAsia" w:hAnsi="Times New Roman" w:cs="Times New Roman"/>
          <w:color w:val="auto"/>
          <w:sz w:val="24"/>
          <w:szCs w:val="24"/>
        </w:rPr>
        <w:t>”</w:t>
      </w:r>
      <w:r w:rsidRPr="00F9522B">
        <w:rPr>
          <w:rFonts w:ascii="Times New Roman" w:eastAsiaTheme="minorEastAsia" w:hAnsi="Times New Roman" w:cs="Times New Roman"/>
          <w:color w:val="auto"/>
          <w:sz w:val="24"/>
          <w:szCs w:val="24"/>
        </w:rPr>
        <w:t>措施：</w:t>
      </w:r>
      <w:r w:rsidRPr="00F9522B">
        <w:rPr>
          <w:rFonts w:ascii="Times New Roman" w:eastAsiaTheme="minorEastAsia" w:hAnsi="Times New Roman" w:cs="Times New Roman"/>
          <w:bCs/>
          <w:color w:val="auto"/>
          <w:sz w:val="24"/>
          <w:szCs w:val="24"/>
        </w:rPr>
        <w:t>本工程对渠道两侧进行衬砌，减轻水土流失。</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施工期影响主</w:t>
      </w:r>
      <w:r w:rsidR="0097424D" w:rsidRPr="00F9522B">
        <w:rPr>
          <w:rFonts w:eastAsiaTheme="minorEastAsia"/>
          <w:sz w:val="24"/>
        </w:rPr>
        <w:t>要为田块整治工程、灌溉与排水工程、田间道路工程、农田输配电工程</w:t>
      </w:r>
      <w:r w:rsidRPr="00F9522B">
        <w:rPr>
          <w:rFonts w:eastAsiaTheme="minorEastAsia"/>
          <w:sz w:val="24"/>
        </w:rPr>
        <w:t>建设过程中产生的扬尘、施工期机械设备及汽车尾气对周围环境空气的影响，施工废水对地表水、地下水环境的影响，各施工机械噪声对周围声环境的影响，施工固体废物对周围环境的影响，表土剥离对黑土地及基本农田的影响及对生态环境的影响；运营期农田取水、退水对地下水、土壤、地表水、生态环境的影响，柴油机移动泵车、道路车辆尾气对周围环境的影响，设备噪声对周围环保目标的影响以及对生态环境的影响。</w:t>
      </w:r>
    </w:p>
    <w:p w:rsidR="002A5A5E" w:rsidRPr="00F9522B" w:rsidRDefault="00611CBA">
      <w:pPr>
        <w:widowControl/>
        <w:tabs>
          <w:tab w:val="left" w:leader="middleDot" w:pos="7371"/>
        </w:tabs>
        <w:spacing w:before="100" w:beforeAutospacing="1" w:after="100" w:afterAutospacing="1"/>
        <w:contextualSpacing/>
        <w:jc w:val="left"/>
        <w:outlineLvl w:val="0"/>
        <w:rPr>
          <w:rFonts w:eastAsiaTheme="minorEastAsia"/>
          <w:b/>
          <w:kern w:val="0"/>
          <w:sz w:val="32"/>
          <w:szCs w:val="32"/>
        </w:rPr>
      </w:pPr>
      <w:bookmarkStart w:id="11" w:name="_Toc479252799"/>
      <w:bookmarkStart w:id="12" w:name="_Toc208906219"/>
      <w:r w:rsidRPr="00F9522B">
        <w:rPr>
          <w:rFonts w:eastAsiaTheme="minorEastAsia"/>
          <w:b/>
          <w:kern w:val="0"/>
          <w:sz w:val="32"/>
          <w:szCs w:val="32"/>
        </w:rPr>
        <w:t>1.3</w:t>
      </w:r>
      <w:bookmarkEnd w:id="11"/>
      <w:r w:rsidRPr="00F9522B">
        <w:rPr>
          <w:rFonts w:eastAsiaTheme="minorEastAsia"/>
          <w:b/>
          <w:kern w:val="0"/>
          <w:sz w:val="32"/>
          <w:szCs w:val="32"/>
        </w:rPr>
        <w:t>环境影响评价工作过程</w:t>
      </w:r>
      <w:bookmarkEnd w:id="12"/>
    </w:p>
    <w:p w:rsidR="002A5A5E" w:rsidRPr="00F9522B" w:rsidRDefault="00611CBA">
      <w:pPr>
        <w:spacing w:line="360" w:lineRule="auto"/>
        <w:ind w:firstLineChars="200" w:firstLine="480"/>
        <w:rPr>
          <w:rFonts w:eastAsiaTheme="minorEastAsia"/>
          <w:sz w:val="24"/>
        </w:rPr>
      </w:pPr>
      <w:r w:rsidRPr="00F9522B">
        <w:rPr>
          <w:rFonts w:eastAsiaTheme="minorEastAsia"/>
          <w:bCs/>
          <w:sz w:val="24"/>
        </w:rPr>
        <w:t>本项目为高标准农田建设项目。项目含灌溉工程，建设</w:t>
      </w:r>
      <w:r w:rsidR="004E26F5" w:rsidRPr="00F9522B">
        <w:rPr>
          <w:rFonts w:eastAsiaTheme="minorEastAsia"/>
          <w:bCs/>
          <w:sz w:val="24"/>
        </w:rPr>
        <w:t>264</w:t>
      </w:r>
      <w:r w:rsidRPr="00F9522B">
        <w:rPr>
          <w:rFonts w:eastAsiaTheme="minorEastAsia"/>
          <w:bCs/>
          <w:sz w:val="24"/>
        </w:rPr>
        <w:t>口灌溉井，</w:t>
      </w:r>
      <w:r w:rsidRPr="00F9522B">
        <w:rPr>
          <w:rFonts w:eastAsiaTheme="minorEastAsia"/>
          <w:sz w:val="24"/>
        </w:rPr>
        <w:t>属于</w:t>
      </w:r>
      <w:r w:rsidRPr="00F9522B">
        <w:rPr>
          <w:rFonts w:eastAsiaTheme="minorEastAsia"/>
          <w:sz w:val="24"/>
        </w:rPr>
        <w:lastRenderedPageBreak/>
        <w:t>地下水开采</w:t>
      </w:r>
      <w:r w:rsidRPr="00F9522B">
        <w:rPr>
          <w:rFonts w:eastAsiaTheme="minorEastAsia"/>
          <w:bCs/>
          <w:sz w:val="24"/>
        </w:rPr>
        <w:t>，</w:t>
      </w:r>
      <w:r w:rsidRPr="00F9522B">
        <w:rPr>
          <w:rFonts w:eastAsiaTheme="minorEastAsia"/>
          <w:sz w:val="24"/>
        </w:rPr>
        <w:t>根据《建设项目环境影响评价分类管理名录》</w:t>
      </w:r>
      <w:r w:rsidRPr="00F9522B">
        <w:rPr>
          <w:rFonts w:eastAsiaTheme="minorEastAsia"/>
          <w:bCs/>
          <w:sz w:val="24"/>
        </w:rPr>
        <w:t>中</w:t>
      </w:r>
      <w:r w:rsidRPr="00F9522B">
        <w:rPr>
          <w:rFonts w:eastAsiaTheme="minorEastAsia"/>
          <w:bCs/>
          <w:sz w:val="24"/>
        </w:rPr>
        <w:t>“</w:t>
      </w:r>
      <w:r w:rsidRPr="00F9522B">
        <w:rPr>
          <w:rFonts w:eastAsiaTheme="minorEastAsia"/>
          <w:bCs/>
          <w:sz w:val="24"/>
        </w:rPr>
        <w:t>五十一、水利</w:t>
      </w:r>
      <w:r w:rsidRPr="00F9522B">
        <w:rPr>
          <w:rFonts w:eastAsiaTheme="minorEastAsia"/>
          <w:bCs/>
          <w:sz w:val="24"/>
        </w:rPr>
        <w:t>”</w:t>
      </w:r>
      <w:r w:rsidRPr="00F9522B">
        <w:rPr>
          <w:rFonts w:eastAsiaTheme="minorEastAsia"/>
          <w:bCs/>
          <w:sz w:val="24"/>
        </w:rPr>
        <w:t>中的</w:t>
      </w:r>
      <w:r w:rsidRPr="00F9522B">
        <w:rPr>
          <w:rFonts w:eastAsiaTheme="minorEastAsia"/>
          <w:bCs/>
          <w:sz w:val="24"/>
        </w:rPr>
        <w:t>“125</w:t>
      </w:r>
      <w:r w:rsidRPr="00F9522B">
        <w:rPr>
          <w:rFonts w:eastAsiaTheme="minorEastAsia"/>
          <w:bCs/>
          <w:sz w:val="24"/>
        </w:rPr>
        <w:t>、灌区工程（不含水源工程的），涉及环境敏感区的</w:t>
      </w:r>
      <w:r w:rsidRPr="00F9522B">
        <w:rPr>
          <w:rFonts w:eastAsiaTheme="minorEastAsia"/>
          <w:bCs/>
          <w:sz w:val="24"/>
        </w:rPr>
        <w:t>”</w:t>
      </w:r>
      <w:r w:rsidRPr="00F9522B">
        <w:rPr>
          <w:rFonts w:eastAsiaTheme="minorEastAsia"/>
          <w:sz w:val="24"/>
        </w:rPr>
        <w:t>，应做报告书，</w:t>
      </w:r>
      <w:r w:rsidRPr="00F9522B">
        <w:rPr>
          <w:rFonts w:eastAsiaTheme="minorEastAsia"/>
          <w:bCs/>
          <w:sz w:val="24"/>
        </w:rPr>
        <w:t>“</w:t>
      </w:r>
      <w:r w:rsidRPr="00F9522B">
        <w:rPr>
          <w:rFonts w:eastAsiaTheme="minorEastAsia"/>
          <w:sz w:val="24"/>
        </w:rPr>
        <w:t>其他（不含高标准农田、滴灌等节水改造工程）</w:t>
      </w:r>
      <w:r w:rsidRPr="00F9522B">
        <w:rPr>
          <w:rFonts w:eastAsiaTheme="minorEastAsia"/>
          <w:bCs/>
          <w:sz w:val="24"/>
        </w:rPr>
        <w:t>”</w:t>
      </w:r>
      <w:r w:rsidRPr="00F9522B">
        <w:rPr>
          <w:rFonts w:eastAsiaTheme="minorEastAsia"/>
          <w:sz w:val="24"/>
        </w:rPr>
        <w:t>，应做报告表。</w:t>
      </w:r>
      <w:r w:rsidRPr="00F9522B">
        <w:rPr>
          <w:rFonts w:eastAsiaTheme="minorEastAsia"/>
          <w:bCs/>
          <w:sz w:val="24"/>
        </w:rPr>
        <w:t>“129</w:t>
      </w:r>
      <w:r w:rsidRPr="00F9522B">
        <w:rPr>
          <w:rFonts w:eastAsiaTheme="minorEastAsia"/>
          <w:bCs/>
          <w:sz w:val="24"/>
        </w:rPr>
        <w:t>、地下水开采（农村分散式家庭生活自用水井除外）中的日取水量</w:t>
      </w:r>
      <w:r w:rsidRPr="00F9522B">
        <w:rPr>
          <w:rFonts w:eastAsiaTheme="minorEastAsia"/>
          <w:bCs/>
          <w:sz w:val="24"/>
        </w:rPr>
        <w:t>1</w:t>
      </w:r>
      <w:r w:rsidRPr="00F9522B">
        <w:rPr>
          <w:rFonts w:eastAsiaTheme="minorEastAsia"/>
          <w:bCs/>
          <w:sz w:val="24"/>
        </w:rPr>
        <w:t>万立方米及以上及涉及环境敏感区的（不新增供水规模，不改变供水对象的改建工程除外）</w:t>
      </w:r>
      <w:r w:rsidRPr="00F9522B">
        <w:rPr>
          <w:rFonts w:eastAsiaTheme="minorEastAsia"/>
          <w:bCs/>
          <w:sz w:val="24"/>
        </w:rPr>
        <w:t>”</w:t>
      </w:r>
      <w:r w:rsidRPr="00F9522B">
        <w:rPr>
          <w:rFonts w:eastAsiaTheme="minorEastAsia"/>
          <w:sz w:val="24"/>
        </w:rPr>
        <w:t>，应做报告书。本项目现有灌区不新增排水，现有水田退水承泄区下游涉及</w:t>
      </w:r>
      <w:r w:rsidR="00121DFD" w:rsidRPr="00F9522B">
        <w:rPr>
          <w:rFonts w:eastAsiaTheme="minorEastAsia"/>
          <w:bCs/>
          <w:sz w:val="24"/>
        </w:rPr>
        <w:t>呼兰河口湿地自然保护区</w:t>
      </w:r>
      <w:r w:rsidRPr="00F9522B">
        <w:rPr>
          <w:rFonts w:eastAsiaTheme="minorEastAsia"/>
          <w:sz w:val="24"/>
        </w:rPr>
        <w:t>，本项目为</w:t>
      </w:r>
      <w:r w:rsidRPr="00F9522B">
        <w:rPr>
          <w:rFonts w:eastAsiaTheme="minorEastAsia"/>
          <w:bCs/>
          <w:sz w:val="24"/>
        </w:rPr>
        <w:t>高标准农田建设项目</w:t>
      </w:r>
      <w:r w:rsidRPr="00F9522B">
        <w:rPr>
          <w:rFonts w:eastAsiaTheme="minorEastAsia"/>
          <w:sz w:val="24"/>
        </w:rPr>
        <w:t>，</w:t>
      </w:r>
      <w:r w:rsidRPr="00F9522B">
        <w:rPr>
          <w:rFonts w:eastAsiaTheme="minorEastAsia"/>
          <w:bCs/>
          <w:sz w:val="24"/>
        </w:rPr>
        <w:t>根据已批复水资源论证报告可知，本项目灌溉井对</w:t>
      </w:r>
      <w:r w:rsidRPr="00F9522B">
        <w:rPr>
          <w:rFonts w:eastAsiaTheme="minorEastAsia"/>
          <w:sz w:val="24"/>
        </w:rPr>
        <w:t>地下水</w:t>
      </w:r>
      <w:r w:rsidRPr="00F9522B">
        <w:rPr>
          <w:rFonts w:eastAsiaTheme="minorEastAsia"/>
          <w:bCs/>
          <w:sz w:val="24"/>
        </w:rPr>
        <w:t>日最大</w:t>
      </w:r>
      <w:r w:rsidRPr="00F9522B">
        <w:rPr>
          <w:rFonts w:eastAsiaTheme="minorEastAsia"/>
          <w:sz w:val="24"/>
        </w:rPr>
        <w:t>取量</w:t>
      </w:r>
      <w:r w:rsidR="004E26F5" w:rsidRPr="00F9522B">
        <w:rPr>
          <w:rFonts w:eastAsiaTheme="minorEastAsia"/>
          <w:sz w:val="24"/>
        </w:rPr>
        <w:t>约</w:t>
      </w:r>
      <w:r w:rsidRPr="00F9522B">
        <w:rPr>
          <w:rFonts w:eastAsiaTheme="minorEastAsia"/>
          <w:sz w:val="24"/>
        </w:rPr>
        <w:t>为</w:t>
      </w:r>
      <w:r w:rsidR="00121DFD" w:rsidRPr="00F9522B">
        <w:rPr>
          <w:rFonts w:eastAsiaTheme="minorEastAsia"/>
          <w:sz w:val="24"/>
        </w:rPr>
        <w:t>83991</w:t>
      </w:r>
      <w:r w:rsidRPr="00F9522B">
        <w:rPr>
          <w:rFonts w:eastAsiaTheme="minorEastAsia"/>
          <w:sz w:val="24"/>
        </w:rPr>
        <w:t>m</w:t>
      </w:r>
      <w:r w:rsidRPr="00F9522B">
        <w:rPr>
          <w:rFonts w:eastAsiaTheme="minorEastAsia"/>
          <w:sz w:val="24"/>
          <w:vertAlign w:val="superscript"/>
        </w:rPr>
        <w:t>3</w:t>
      </w:r>
      <w:r w:rsidRPr="00F9522B">
        <w:rPr>
          <w:rFonts w:eastAsiaTheme="minorEastAsia"/>
          <w:bCs/>
          <w:sz w:val="24"/>
        </w:rPr>
        <w:t>，属于</w:t>
      </w:r>
      <w:r w:rsidRPr="00F9522B">
        <w:rPr>
          <w:rFonts w:eastAsiaTheme="minorEastAsia"/>
          <w:bCs/>
          <w:sz w:val="24"/>
        </w:rPr>
        <w:t>129</w:t>
      </w:r>
      <w:r w:rsidRPr="00F9522B">
        <w:rPr>
          <w:rFonts w:eastAsiaTheme="minorEastAsia"/>
          <w:bCs/>
          <w:sz w:val="24"/>
        </w:rPr>
        <w:t>、地下水开采（农村分散式家庭生活自用水井除外）中的日取水量</w:t>
      </w:r>
      <w:r w:rsidRPr="00F9522B">
        <w:rPr>
          <w:rFonts w:eastAsiaTheme="minorEastAsia"/>
          <w:bCs/>
          <w:sz w:val="24"/>
        </w:rPr>
        <w:t>1</w:t>
      </w:r>
      <w:r w:rsidRPr="00F9522B">
        <w:rPr>
          <w:rFonts w:eastAsiaTheme="minorEastAsia"/>
          <w:bCs/>
          <w:sz w:val="24"/>
        </w:rPr>
        <w:t>万立方米及以上，故应编制环境影响报告书</w:t>
      </w:r>
      <w:r w:rsidRPr="00F9522B">
        <w:rPr>
          <w:rFonts w:eastAsiaTheme="minorEastAsia"/>
          <w:spacing w:val="-32"/>
          <w:sz w:val="24"/>
        </w:rPr>
        <w:t>。</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评价单位</w:t>
      </w:r>
      <w:r w:rsidRPr="00F9522B">
        <w:rPr>
          <w:rFonts w:eastAsiaTheme="minorEastAsia"/>
          <w:sz w:val="24"/>
        </w:rPr>
        <w:t>根据</w:t>
      </w:r>
      <w:r w:rsidRPr="00F9522B">
        <w:rPr>
          <w:rFonts w:eastAsiaTheme="minorEastAsia"/>
          <w:kern w:val="0"/>
          <w:sz w:val="24"/>
        </w:rPr>
        <w:t>《建设项目环境影响评价技术导则</w:t>
      </w:r>
      <w:r w:rsidRPr="00F9522B">
        <w:rPr>
          <w:rFonts w:eastAsiaTheme="minorEastAsia"/>
          <w:kern w:val="0"/>
          <w:sz w:val="24"/>
        </w:rPr>
        <w:t xml:space="preserve"> </w:t>
      </w:r>
      <w:r w:rsidRPr="00F9522B">
        <w:rPr>
          <w:rFonts w:eastAsiaTheme="minorEastAsia"/>
          <w:kern w:val="0"/>
          <w:sz w:val="24"/>
        </w:rPr>
        <w:t>总纲》</w:t>
      </w:r>
      <w:r w:rsidRPr="00F9522B">
        <w:rPr>
          <w:rFonts w:eastAsiaTheme="minorEastAsia"/>
          <w:sz w:val="24"/>
        </w:rPr>
        <w:t>（</w:t>
      </w:r>
      <w:r w:rsidRPr="00F9522B">
        <w:rPr>
          <w:rFonts w:eastAsiaTheme="minorEastAsia"/>
          <w:sz w:val="24"/>
        </w:rPr>
        <w:t>HJ 2.1-2016</w:t>
      </w:r>
      <w:r w:rsidRPr="00F9522B">
        <w:rPr>
          <w:rFonts w:eastAsiaTheme="minorEastAsia"/>
          <w:sz w:val="24"/>
        </w:rPr>
        <w:t>）</w:t>
      </w:r>
      <w:r w:rsidRPr="00F9522B">
        <w:rPr>
          <w:rFonts w:eastAsiaTheme="minorEastAsia"/>
          <w:kern w:val="0"/>
          <w:sz w:val="24"/>
        </w:rPr>
        <w:t>的要求，分三个阶段展开环境影响评价工作：</w:t>
      </w:r>
    </w:p>
    <w:p w:rsidR="002A5A5E" w:rsidRPr="00F9522B" w:rsidRDefault="00611CBA">
      <w:pPr>
        <w:widowControl/>
        <w:tabs>
          <w:tab w:val="right" w:leader="dot" w:pos="8505"/>
        </w:tabs>
        <w:spacing w:line="360" w:lineRule="auto"/>
        <w:ind w:firstLineChars="200" w:firstLine="480"/>
        <w:jc w:val="left"/>
        <w:rPr>
          <w:rFonts w:eastAsiaTheme="minorEastAsia"/>
          <w:kern w:val="0"/>
          <w:sz w:val="24"/>
        </w:rPr>
      </w:pPr>
      <w:r w:rsidRPr="00F9522B">
        <w:rPr>
          <w:rFonts w:eastAsiaTheme="minorEastAsia"/>
          <w:kern w:val="0"/>
          <w:sz w:val="24"/>
        </w:rPr>
        <w:t>第一阶段，首先依据相关规定确定环境影响评价文件类型，之后研究相关技术文件和其他有关文件，进行初步工程分析，开展初步的环境现状调查，接着进行环境影响识别和筛选评价因子，明确评价重点和环境保护目标，确定工作等级、评价范围和评价标准，最后制定工作方案。</w:t>
      </w:r>
    </w:p>
    <w:p w:rsidR="002A5A5E" w:rsidRPr="00F9522B" w:rsidRDefault="00611CBA">
      <w:pPr>
        <w:widowControl/>
        <w:tabs>
          <w:tab w:val="right" w:leader="dot" w:pos="8505"/>
        </w:tabs>
        <w:spacing w:line="360" w:lineRule="auto"/>
        <w:ind w:firstLineChars="200" w:firstLine="480"/>
        <w:jc w:val="left"/>
        <w:rPr>
          <w:rFonts w:eastAsiaTheme="minorEastAsia"/>
          <w:kern w:val="0"/>
          <w:sz w:val="24"/>
        </w:rPr>
      </w:pPr>
      <w:r w:rsidRPr="00F9522B">
        <w:rPr>
          <w:rFonts w:eastAsiaTheme="minorEastAsia"/>
          <w:kern w:val="0"/>
          <w:sz w:val="24"/>
        </w:rPr>
        <w:t>第二阶段，同步进行环境现状调查、监测与评价和建设项目工程分析，继而分别开展各环境要素和各专题环境影响分析与评价。</w:t>
      </w:r>
    </w:p>
    <w:p w:rsidR="002A5A5E" w:rsidRPr="00F9522B" w:rsidRDefault="00611CBA">
      <w:pPr>
        <w:widowControl/>
        <w:tabs>
          <w:tab w:val="right" w:leader="dot" w:pos="8505"/>
        </w:tabs>
        <w:spacing w:line="360" w:lineRule="auto"/>
        <w:ind w:firstLineChars="200" w:firstLine="480"/>
        <w:jc w:val="left"/>
        <w:rPr>
          <w:rFonts w:eastAsiaTheme="minorEastAsia"/>
          <w:kern w:val="0"/>
          <w:sz w:val="24"/>
        </w:rPr>
      </w:pPr>
      <w:r w:rsidRPr="00F9522B">
        <w:rPr>
          <w:rFonts w:eastAsiaTheme="minorEastAsia"/>
          <w:kern w:val="0"/>
          <w:sz w:val="24"/>
        </w:rPr>
        <w:t>第三阶段，提出环境保护措施，进行技术经济论证，给出污染物排放清单，给出建设项目环境影响评价结论，最后编制环境影响报告书。</w:t>
      </w:r>
    </w:p>
    <w:p w:rsidR="002A5A5E" w:rsidRPr="00F9522B" w:rsidRDefault="00611CBA">
      <w:pPr>
        <w:jc w:val="center"/>
        <w:rPr>
          <w:rStyle w:val="Charf3"/>
          <w:rFonts w:ascii="Times New Roman" w:eastAsiaTheme="minorEastAsia" w:hAnsi="Times New Roman"/>
        </w:rPr>
      </w:pPr>
      <w:r w:rsidRPr="00F9522B">
        <w:rPr>
          <w:rFonts w:eastAsiaTheme="minorEastAsia"/>
          <w:noProof/>
          <w:kern w:val="0"/>
        </w:rPr>
        <w:lastRenderedPageBreak/>
        <w:drawing>
          <wp:inline distT="0" distB="0" distL="0" distR="0">
            <wp:extent cx="5220335" cy="4998720"/>
            <wp:effectExtent l="19050" t="0" r="0" b="0"/>
            <wp:docPr id="1"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6"/>
                    <pic:cNvPicPr>
                      <a:picLocks noChangeAspect="1" noChangeArrowheads="1"/>
                    </pic:cNvPicPr>
                  </pic:nvPicPr>
                  <pic:blipFill>
                    <a:blip r:embed="rId13" cstate="print"/>
                    <a:srcRect l="2990" t="2215" r="3015" b="3780"/>
                    <a:stretch>
                      <a:fillRect/>
                    </a:stretch>
                  </pic:blipFill>
                  <pic:spPr>
                    <a:xfrm>
                      <a:off x="0" y="0"/>
                      <a:ext cx="5220518" cy="4999293"/>
                    </a:xfrm>
                    <a:prstGeom prst="rect">
                      <a:avLst/>
                    </a:prstGeom>
                    <a:noFill/>
                    <a:ln w="9525">
                      <a:noFill/>
                      <a:miter lim="800000"/>
                      <a:headEnd/>
                      <a:tailEnd/>
                    </a:ln>
                  </pic:spPr>
                </pic:pic>
              </a:graphicData>
            </a:graphic>
          </wp:inline>
        </w:drawing>
      </w:r>
      <w:r w:rsidRPr="00F9522B">
        <w:rPr>
          <w:rStyle w:val="Charf3"/>
          <w:rFonts w:ascii="Times New Roman" w:eastAsiaTheme="minorEastAsia" w:hAnsi="Times New Roman"/>
        </w:rPr>
        <w:t>图</w:t>
      </w:r>
      <w:r w:rsidRPr="00F9522B">
        <w:rPr>
          <w:rStyle w:val="Charf3"/>
          <w:rFonts w:ascii="Times New Roman" w:eastAsiaTheme="minorEastAsia" w:hAnsi="Times New Roman"/>
        </w:rPr>
        <w:t>1-3-1</w:t>
      </w:r>
      <w:r w:rsidRPr="00F9522B">
        <w:rPr>
          <w:rStyle w:val="Charf3"/>
          <w:rFonts w:ascii="Times New Roman" w:eastAsiaTheme="minorEastAsia" w:hAnsi="Times New Roman"/>
        </w:rPr>
        <w:t>环境影响评价工作程序</w:t>
      </w:r>
    </w:p>
    <w:p w:rsidR="002A5A5E" w:rsidRPr="00F9522B" w:rsidRDefault="00611CBA">
      <w:pPr>
        <w:widowControl/>
        <w:tabs>
          <w:tab w:val="left" w:leader="middleDot" w:pos="7371"/>
        </w:tabs>
        <w:spacing w:before="100" w:beforeAutospacing="1" w:after="100" w:afterAutospacing="1"/>
        <w:contextualSpacing/>
        <w:jc w:val="left"/>
        <w:outlineLvl w:val="0"/>
        <w:rPr>
          <w:rFonts w:eastAsiaTheme="minorEastAsia"/>
          <w:b/>
          <w:kern w:val="0"/>
          <w:sz w:val="32"/>
          <w:szCs w:val="32"/>
        </w:rPr>
      </w:pPr>
      <w:bookmarkStart w:id="13" w:name="_Toc486932294"/>
      <w:bookmarkStart w:id="14" w:name="_Toc488072911"/>
      <w:bookmarkStart w:id="15" w:name="_Toc208906220"/>
      <w:r w:rsidRPr="00F9522B">
        <w:rPr>
          <w:rFonts w:eastAsiaTheme="minorEastAsia"/>
          <w:b/>
          <w:kern w:val="0"/>
          <w:sz w:val="32"/>
          <w:szCs w:val="32"/>
        </w:rPr>
        <w:t>1.4</w:t>
      </w:r>
      <w:r w:rsidRPr="00F9522B">
        <w:rPr>
          <w:rFonts w:eastAsiaTheme="minorEastAsia"/>
          <w:b/>
          <w:kern w:val="0"/>
          <w:sz w:val="32"/>
          <w:szCs w:val="32"/>
        </w:rPr>
        <w:t>分析判定相关情况</w:t>
      </w:r>
      <w:bookmarkEnd w:id="13"/>
      <w:bookmarkEnd w:id="14"/>
      <w:bookmarkEnd w:id="15"/>
    </w:p>
    <w:p w:rsidR="002A5A5E" w:rsidRPr="00F9522B" w:rsidRDefault="00611CBA">
      <w:pPr>
        <w:pStyle w:val="30"/>
        <w:spacing w:before="100" w:beforeAutospacing="1" w:after="100" w:afterAutospacing="1" w:line="240" w:lineRule="auto"/>
        <w:ind w:firstLineChars="0" w:firstLine="0"/>
        <w:rPr>
          <w:rFonts w:ascii="Times New Roman" w:eastAsiaTheme="minorEastAsia" w:hAnsi="Times New Roman" w:cs="Times New Roman"/>
          <w:b/>
          <w:sz w:val="28"/>
          <w:szCs w:val="28"/>
        </w:rPr>
      </w:pPr>
      <w:r w:rsidRPr="00F9522B">
        <w:rPr>
          <w:rFonts w:ascii="Times New Roman" w:eastAsiaTheme="minorEastAsia" w:hAnsi="Times New Roman" w:cs="Times New Roman"/>
          <w:b/>
          <w:sz w:val="28"/>
          <w:szCs w:val="28"/>
        </w:rPr>
        <w:t>1.4.1</w:t>
      </w:r>
      <w:r w:rsidRPr="00F9522B">
        <w:rPr>
          <w:rFonts w:ascii="Times New Roman" w:eastAsiaTheme="minorEastAsia" w:hAnsi="Times New Roman" w:cs="Times New Roman"/>
          <w:b/>
          <w:sz w:val="28"/>
          <w:szCs w:val="28"/>
        </w:rPr>
        <w:t>与产业政策规划符合性分析</w:t>
      </w:r>
    </w:p>
    <w:p w:rsidR="002A5A5E" w:rsidRPr="00F9522B" w:rsidRDefault="00611CBA">
      <w:pPr>
        <w:pStyle w:val="aff4"/>
        <w:adjustRightInd/>
        <w:snapToGrid/>
        <w:jc w:val="both"/>
        <w:rPr>
          <w:rFonts w:ascii="Times New Roman" w:hAnsi="Times New Roman" w:cs="Times New Roman"/>
        </w:rPr>
      </w:pPr>
      <w:r w:rsidRPr="00F9522B">
        <w:rPr>
          <w:rFonts w:ascii="Times New Roman" w:hAnsi="Times New Roman" w:cs="Times New Roman"/>
        </w:rPr>
        <w:t>本项目为高标准农田建设项目，根据《产业结构调整指导目录（</w:t>
      </w:r>
      <w:r w:rsidRPr="00F9522B">
        <w:rPr>
          <w:rFonts w:ascii="Times New Roman" w:hAnsi="Times New Roman" w:cs="Times New Roman"/>
        </w:rPr>
        <w:t>2024</w:t>
      </w:r>
      <w:r w:rsidRPr="00F9522B">
        <w:rPr>
          <w:rFonts w:ascii="Times New Roman" w:hAnsi="Times New Roman" w:cs="Times New Roman"/>
        </w:rPr>
        <w:t>年本）》，本项目属于第一类鼓励类、第一项</w:t>
      </w:r>
      <w:r w:rsidRPr="00F9522B">
        <w:rPr>
          <w:rFonts w:ascii="Times New Roman" w:hAnsi="Times New Roman" w:cs="Times New Roman"/>
        </w:rPr>
        <w:t>“</w:t>
      </w:r>
      <w:r w:rsidRPr="00F9522B">
        <w:rPr>
          <w:rFonts w:ascii="Times New Roman" w:hAnsi="Times New Roman" w:cs="Times New Roman"/>
        </w:rPr>
        <w:t>农林业</w:t>
      </w:r>
      <w:r w:rsidRPr="00F9522B">
        <w:rPr>
          <w:rFonts w:ascii="Times New Roman" w:hAnsi="Times New Roman" w:cs="Times New Roman"/>
        </w:rPr>
        <w:t>”</w:t>
      </w:r>
      <w:r w:rsidRPr="00F9522B">
        <w:rPr>
          <w:rFonts w:ascii="Times New Roman" w:hAnsi="Times New Roman" w:cs="Times New Roman"/>
        </w:rPr>
        <w:t>中</w:t>
      </w:r>
      <w:r w:rsidRPr="00F9522B">
        <w:rPr>
          <w:rFonts w:ascii="Times New Roman" w:hAnsi="Times New Roman" w:cs="Times New Roman"/>
        </w:rPr>
        <w:t>“1</w:t>
      </w:r>
      <w:r w:rsidRPr="00F9522B">
        <w:rPr>
          <w:rFonts w:ascii="Times New Roman" w:hAnsi="Times New Roman" w:cs="Times New Roman"/>
        </w:rPr>
        <w:t>、农田建设与保护工程（含高标准农田建设、农田水利建设、高效节水灌溉、农田整治等），土地综合整治</w:t>
      </w:r>
      <w:r w:rsidRPr="00F9522B">
        <w:rPr>
          <w:rFonts w:ascii="Times New Roman" w:hAnsi="Times New Roman" w:cs="Times New Roman"/>
        </w:rPr>
        <w:t>”</w:t>
      </w:r>
      <w:r w:rsidRPr="00F9522B">
        <w:rPr>
          <w:rFonts w:ascii="Times New Roman" w:hAnsi="Times New Roman" w:cs="Times New Roman"/>
        </w:rPr>
        <w:t>及鼓励类二、水利中</w:t>
      </w:r>
      <w:r w:rsidRPr="00F9522B">
        <w:rPr>
          <w:rFonts w:ascii="Times New Roman" w:hAnsi="Times New Roman" w:cs="Times New Roman"/>
        </w:rPr>
        <w:t xml:space="preserve"> 2.</w:t>
      </w:r>
      <w:r w:rsidRPr="00F9522B">
        <w:rPr>
          <w:rFonts w:ascii="Times New Roman" w:hAnsi="Times New Roman" w:cs="Times New Roman"/>
        </w:rPr>
        <w:t>节水供水工程：灌区及配套设施建设、改造，属于鼓励类项目，符合国家现行产业政策要求。</w:t>
      </w:r>
    </w:p>
    <w:p w:rsidR="002A5A5E" w:rsidRPr="00F9522B" w:rsidRDefault="00611CBA">
      <w:pPr>
        <w:pStyle w:val="30"/>
        <w:spacing w:before="100" w:beforeAutospacing="1" w:after="100" w:afterAutospacing="1" w:line="240" w:lineRule="auto"/>
        <w:ind w:firstLineChars="0" w:firstLine="0"/>
        <w:rPr>
          <w:rFonts w:ascii="Times New Roman" w:eastAsiaTheme="minorEastAsia" w:hAnsi="Times New Roman" w:cs="Times New Roman"/>
          <w:b/>
          <w:sz w:val="28"/>
          <w:szCs w:val="28"/>
        </w:rPr>
      </w:pPr>
      <w:r w:rsidRPr="00F9522B">
        <w:rPr>
          <w:rFonts w:ascii="Times New Roman" w:eastAsiaTheme="minorEastAsia" w:hAnsi="Times New Roman" w:cs="Times New Roman"/>
          <w:b/>
          <w:sz w:val="28"/>
          <w:szCs w:val="28"/>
        </w:rPr>
        <w:lastRenderedPageBreak/>
        <w:t>1.4.2</w:t>
      </w:r>
      <w:r w:rsidRPr="00F9522B">
        <w:rPr>
          <w:rFonts w:ascii="Times New Roman" w:eastAsiaTheme="minorEastAsia" w:hAnsi="Times New Roman" w:cs="Times New Roman"/>
          <w:b/>
          <w:sz w:val="28"/>
          <w:szCs w:val="28"/>
        </w:rPr>
        <w:t>与相关法律、法规符合性分析</w:t>
      </w:r>
    </w:p>
    <w:p w:rsidR="002A5A5E" w:rsidRPr="00F9522B" w:rsidRDefault="00760E2B">
      <w:pPr>
        <w:spacing w:line="360" w:lineRule="auto"/>
        <w:ind w:firstLineChars="200" w:firstLine="480"/>
        <w:jc w:val="left"/>
        <w:rPr>
          <w:rFonts w:eastAsiaTheme="minorEastAsia"/>
          <w:sz w:val="24"/>
          <w:shd w:val="clear" w:color="auto" w:fill="FFFFFF"/>
        </w:rPr>
      </w:pPr>
      <w:r w:rsidRPr="00F9522B">
        <w:rPr>
          <w:rFonts w:eastAsiaTheme="minorEastAsia"/>
          <w:sz w:val="24"/>
          <w:shd w:val="clear" w:color="auto" w:fill="FFFFFF"/>
        </w:rPr>
        <w:t>（</w:t>
      </w:r>
      <w:r w:rsidRPr="00F9522B">
        <w:rPr>
          <w:rFonts w:eastAsiaTheme="minorEastAsia"/>
          <w:sz w:val="24"/>
          <w:shd w:val="clear" w:color="auto" w:fill="FFFFFF"/>
        </w:rPr>
        <w:t>1</w:t>
      </w:r>
      <w:r w:rsidRPr="00F9522B">
        <w:rPr>
          <w:rFonts w:eastAsiaTheme="minorEastAsia"/>
          <w:sz w:val="24"/>
          <w:shd w:val="clear" w:color="auto" w:fill="FFFFFF"/>
        </w:rPr>
        <w:t>）</w:t>
      </w:r>
      <w:r w:rsidR="00611CBA" w:rsidRPr="00F9522B">
        <w:rPr>
          <w:rFonts w:eastAsiaTheme="minorEastAsia"/>
          <w:kern w:val="0"/>
          <w:sz w:val="24"/>
        </w:rPr>
        <w:t>与</w:t>
      </w:r>
      <w:r w:rsidR="00611CBA" w:rsidRPr="00F9522B">
        <w:rPr>
          <w:rFonts w:eastAsiaTheme="minorEastAsia"/>
          <w:snapToGrid w:val="0"/>
          <w:kern w:val="0"/>
          <w:sz w:val="24"/>
        </w:rPr>
        <w:t>《中华人民共和国环境保护法》</w:t>
      </w:r>
      <w:r w:rsidR="00611CBA" w:rsidRPr="00F9522B">
        <w:rPr>
          <w:rFonts w:eastAsiaTheme="minorEastAsia"/>
          <w:kern w:val="0"/>
          <w:sz w:val="24"/>
        </w:rPr>
        <w:t>符合性分析</w:t>
      </w:r>
    </w:p>
    <w:p w:rsidR="002A5A5E" w:rsidRPr="00F9522B" w:rsidRDefault="00611CBA">
      <w:pPr>
        <w:spacing w:line="360" w:lineRule="auto"/>
        <w:ind w:firstLineChars="200" w:firstLine="480"/>
        <w:jc w:val="left"/>
        <w:rPr>
          <w:rFonts w:eastAsiaTheme="minorEastAsia"/>
          <w:kern w:val="0"/>
          <w:sz w:val="24"/>
          <w:szCs w:val="20"/>
        </w:rPr>
      </w:pPr>
      <w:r w:rsidRPr="00F9522B">
        <w:rPr>
          <w:rFonts w:eastAsiaTheme="minorEastAsia"/>
          <w:kern w:val="0"/>
          <w:sz w:val="24"/>
          <w:szCs w:val="20"/>
        </w:rPr>
        <w:t>《中华人民共和国环境保护法》第二十九条规定：</w:t>
      </w:r>
      <w:r w:rsidRPr="00F9522B">
        <w:rPr>
          <w:rFonts w:eastAsiaTheme="minorEastAsia"/>
          <w:kern w:val="0"/>
          <w:sz w:val="24"/>
          <w:szCs w:val="20"/>
        </w:rPr>
        <w:t>“</w:t>
      </w:r>
      <w:r w:rsidRPr="00F9522B">
        <w:rPr>
          <w:rFonts w:eastAsiaTheme="minorEastAsia"/>
          <w:kern w:val="0"/>
          <w:sz w:val="24"/>
          <w:szCs w:val="20"/>
        </w:rPr>
        <w:t>国家在重点生态功能区、生态环境敏感区和脆弱区等区域划定生态保护红线，实行严格保护。各级人民政府对具有代表性的各种类型的自然生态系统区域，珍稀、濒危的野生动植物自然分布区域，重要的水源涵养区域，具有重大科学文化价值的地质构造、著名溶洞和化石分布区、冰川、火山、温泉等自然遗迹，以及人文遗迹、古树名木，应当采取措施予以保护，严禁破坏</w:t>
      </w:r>
      <w:r w:rsidRPr="00F9522B">
        <w:rPr>
          <w:rFonts w:eastAsiaTheme="minorEastAsia"/>
          <w:kern w:val="0"/>
          <w:sz w:val="24"/>
          <w:szCs w:val="20"/>
        </w:rPr>
        <w:t>”</w:t>
      </w:r>
      <w:r w:rsidRPr="00F9522B">
        <w:rPr>
          <w:rFonts w:eastAsiaTheme="minorEastAsia"/>
          <w:kern w:val="0"/>
          <w:sz w:val="24"/>
          <w:szCs w:val="20"/>
        </w:rPr>
        <w:t>。第三十条规定：</w:t>
      </w:r>
      <w:r w:rsidRPr="00F9522B">
        <w:rPr>
          <w:rFonts w:eastAsiaTheme="minorEastAsia"/>
          <w:kern w:val="0"/>
          <w:sz w:val="24"/>
          <w:szCs w:val="20"/>
        </w:rPr>
        <w:t>“</w:t>
      </w:r>
      <w:r w:rsidRPr="00F9522B">
        <w:rPr>
          <w:rFonts w:eastAsiaTheme="minorEastAsia"/>
          <w:kern w:val="0"/>
          <w:sz w:val="24"/>
          <w:szCs w:val="20"/>
        </w:rPr>
        <w:t>开发利用自然资源，应当合理开发，保护生物多样性，保障生态安全，依法制定有关生态保护和恢复治理方案并予以实施</w:t>
      </w:r>
      <w:r w:rsidRPr="00F9522B">
        <w:rPr>
          <w:rFonts w:eastAsiaTheme="minorEastAsia"/>
          <w:kern w:val="0"/>
          <w:sz w:val="24"/>
          <w:szCs w:val="20"/>
        </w:rPr>
        <w:t>”</w:t>
      </w:r>
      <w:r w:rsidRPr="00F9522B">
        <w:rPr>
          <w:rFonts w:eastAsiaTheme="minorEastAsia"/>
          <w:kern w:val="0"/>
          <w:sz w:val="24"/>
          <w:szCs w:val="20"/>
        </w:rPr>
        <w:t>。</w:t>
      </w:r>
    </w:p>
    <w:p w:rsidR="002A5A5E" w:rsidRPr="00F9522B" w:rsidRDefault="00611CBA">
      <w:pPr>
        <w:spacing w:line="360" w:lineRule="auto"/>
        <w:ind w:firstLineChars="200" w:firstLine="480"/>
        <w:jc w:val="left"/>
        <w:rPr>
          <w:rFonts w:eastAsiaTheme="minorEastAsia"/>
          <w:sz w:val="24"/>
          <w:shd w:val="clear" w:color="auto" w:fill="FFFFFF"/>
        </w:rPr>
      </w:pPr>
      <w:r w:rsidRPr="00F9522B">
        <w:rPr>
          <w:rFonts w:eastAsiaTheme="minorEastAsia"/>
          <w:sz w:val="24"/>
          <w:shd w:val="clear" w:color="auto" w:fill="FFFFFF"/>
        </w:rPr>
        <w:t>本项目</w:t>
      </w:r>
      <w:r w:rsidRPr="00F9522B">
        <w:rPr>
          <w:rFonts w:eastAsiaTheme="minorEastAsia"/>
          <w:snapToGrid w:val="0"/>
          <w:kern w:val="0"/>
          <w:sz w:val="24"/>
          <w:lang w:bidi="en-US"/>
        </w:rPr>
        <w:t>不占用国家公园、自然保护区、世界自然遗产、自然公园、自然公园、重要生境、重要湿地、生态保护红线等生态敏感区。</w:t>
      </w:r>
      <w:r w:rsidRPr="00F9522B">
        <w:rPr>
          <w:rFonts w:eastAsiaTheme="minorEastAsia"/>
          <w:sz w:val="24"/>
          <w:shd w:val="clear" w:color="auto" w:fill="FFFFFF"/>
        </w:rPr>
        <w:t>项目针对实施过程中可能产生的生态环境问题，提出了相关的生态保护及恢复治理措施，因此，本项目的建设符合《中华人民共和国环境保护法》的有关规定。</w:t>
      </w:r>
    </w:p>
    <w:p w:rsidR="002A5A5E" w:rsidRPr="00F9522B" w:rsidRDefault="00760E2B">
      <w:pPr>
        <w:spacing w:line="360" w:lineRule="auto"/>
        <w:ind w:firstLineChars="200" w:firstLine="480"/>
        <w:jc w:val="left"/>
        <w:rPr>
          <w:rFonts w:eastAsiaTheme="minorEastAsia"/>
          <w:sz w:val="24"/>
          <w:shd w:val="clear" w:color="auto" w:fill="FFFFFF"/>
        </w:rPr>
      </w:pPr>
      <w:r w:rsidRPr="00F9522B">
        <w:rPr>
          <w:rFonts w:eastAsiaTheme="minorEastAsia"/>
          <w:sz w:val="24"/>
          <w:shd w:val="clear" w:color="auto" w:fill="FFFFFF"/>
        </w:rPr>
        <w:t>（</w:t>
      </w:r>
      <w:r w:rsidRPr="00F9522B">
        <w:rPr>
          <w:rFonts w:eastAsiaTheme="minorEastAsia"/>
          <w:sz w:val="24"/>
          <w:shd w:val="clear" w:color="auto" w:fill="FFFFFF"/>
        </w:rPr>
        <w:t>2</w:t>
      </w:r>
      <w:r w:rsidRPr="00F9522B">
        <w:rPr>
          <w:rFonts w:eastAsiaTheme="minorEastAsia"/>
          <w:sz w:val="24"/>
          <w:shd w:val="clear" w:color="auto" w:fill="FFFFFF"/>
        </w:rPr>
        <w:t>）</w:t>
      </w:r>
      <w:r w:rsidR="00611CBA" w:rsidRPr="00F9522B">
        <w:rPr>
          <w:rFonts w:eastAsiaTheme="minorEastAsia"/>
          <w:kern w:val="0"/>
          <w:sz w:val="24"/>
        </w:rPr>
        <w:t>与</w:t>
      </w:r>
      <w:r w:rsidR="00611CBA" w:rsidRPr="00F9522B">
        <w:rPr>
          <w:rFonts w:eastAsiaTheme="minorEastAsia"/>
          <w:snapToGrid w:val="0"/>
          <w:kern w:val="0"/>
          <w:sz w:val="24"/>
        </w:rPr>
        <w:t>《中华人民共和国水污染防治法》</w:t>
      </w:r>
      <w:r w:rsidR="00611CBA" w:rsidRPr="00F9522B">
        <w:rPr>
          <w:rFonts w:eastAsiaTheme="minorEastAsia"/>
          <w:kern w:val="0"/>
          <w:sz w:val="24"/>
        </w:rPr>
        <w:t>符合性分析</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《中华人民共和国水污染防治法》第四十一条规定：多层地下水的含水层水质差异大的，应当分层开采；对已受污染的潜水和承压水，不得混合开采。第五十八条规定：</w:t>
      </w:r>
      <w:r w:rsidRPr="00F9522B">
        <w:rPr>
          <w:rFonts w:eastAsiaTheme="minorEastAsia"/>
          <w:kern w:val="0"/>
          <w:sz w:val="24"/>
        </w:rPr>
        <w:t>“</w:t>
      </w:r>
      <w:r w:rsidRPr="00F9522B">
        <w:rPr>
          <w:rFonts w:eastAsiaTheme="minorEastAsia"/>
          <w:kern w:val="0"/>
          <w:sz w:val="24"/>
        </w:rPr>
        <w:t>农田灌溉用水应当符合相应的水质标准，防止污染土壤、地下水和农产品。</w:t>
      </w:r>
      <w:r w:rsidRPr="00F9522B">
        <w:rPr>
          <w:rFonts w:eastAsiaTheme="minorEastAsia"/>
          <w:kern w:val="0"/>
          <w:sz w:val="24"/>
        </w:rPr>
        <w:t>”</w:t>
      </w:r>
      <w:r w:rsidRPr="00F9522B">
        <w:rPr>
          <w:rFonts w:eastAsiaTheme="minorEastAsia"/>
          <w:kern w:val="0"/>
          <w:sz w:val="24"/>
        </w:rPr>
        <w:t>第六十四条规定：在</w:t>
      </w:r>
      <w:bookmarkStart w:id="16" w:name="_Hlk158090460"/>
      <w:r w:rsidRPr="00F9522B">
        <w:rPr>
          <w:rFonts w:eastAsiaTheme="minorEastAsia"/>
          <w:kern w:val="0"/>
          <w:sz w:val="24"/>
        </w:rPr>
        <w:t>饮用水水源保护区</w:t>
      </w:r>
      <w:bookmarkEnd w:id="16"/>
      <w:r w:rsidRPr="00F9522B">
        <w:rPr>
          <w:rFonts w:eastAsiaTheme="minorEastAsia"/>
          <w:kern w:val="0"/>
          <w:sz w:val="24"/>
        </w:rPr>
        <w:t>内，禁止设置排污口；第六十六条规定；</w:t>
      </w:r>
      <w:r w:rsidRPr="00F9522B">
        <w:rPr>
          <w:rFonts w:eastAsiaTheme="minorEastAsia"/>
          <w:kern w:val="0"/>
          <w:sz w:val="24"/>
        </w:rPr>
        <w:t>“</w:t>
      </w:r>
      <w:r w:rsidRPr="00F9522B">
        <w:rPr>
          <w:rFonts w:eastAsiaTheme="minorEastAsia"/>
          <w:kern w:val="0"/>
          <w:sz w:val="24"/>
        </w:rPr>
        <w:t>禁止在饮用水水源二级保护区内新建、改建、扩建排放污染物的建设项目；已建成的排放污染物的建设项目，由县级以上人民政府责令拆除或者关闭。</w:t>
      </w:r>
      <w:r w:rsidRPr="00F9522B">
        <w:rPr>
          <w:rFonts w:eastAsiaTheme="minorEastAsia"/>
          <w:kern w:val="0"/>
          <w:sz w:val="24"/>
        </w:rPr>
        <w:t>”</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color w:val="FF0000"/>
          <w:sz w:val="24"/>
          <w:szCs w:val="21"/>
        </w:rPr>
        <w:t>本项目灌溉井</w:t>
      </w:r>
      <w:r w:rsidRPr="00F9522B">
        <w:rPr>
          <w:rFonts w:eastAsiaTheme="minorEastAsia"/>
          <w:color w:val="FF0000"/>
          <w:kern w:val="0"/>
          <w:sz w:val="24"/>
        </w:rPr>
        <w:t>取水目的层为第四系松散岩类孔隙承压水</w:t>
      </w:r>
      <w:r w:rsidR="0079178B" w:rsidRPr="00F9522B">
        <w:rPr>
          <w:rFonts w:eastAsiaTheme="minorEastAsia"/>
          <w:color w:val="FF0000"/>
          <w:kern w:val="0"/>
          <w:sz w:val="24"/>
        </w:rPr>
        <w:t>，不进行</w:t>
      </w:r>
      <w:r w:rsidRPr="00F9522B">
        <w:rPr>
          <w:rFonts w:eastAsiaTheme="minorEastAsia"/>
          <w:color w:val="FF0000"/>
          <w:kern w:val="0"/>
          <w:sz w:val="24"/>
        </w:rPr>
        <w:t>混合开采</w:t>
      </w:r>
      <w:r w:rsidR="0079178B" w:rsidRPr="00F9522B">
        <w:rPr>
          <w:rFonts w:eastAsiaTheme="minorEastAsia"/>
          <w:color w:val="FF0000"/>
          <w:kern w:val="0"/>
          <w:sz w:val="24"/>
        </w:rPr>
        <w:t>。</w:t>
      </w:r>
      <w:r w:rsidRPr="00F9522B">
        <w:rPr>
          <w:rFonts w:eastAsiaTheme="minorEastAsia"/>
          <w:color w:val="FF0000"/>
          <w:sz w:val="24"/>
          <w:shd w:val="clear" w:color="auto" w:fill="FFFFFF"/>
        </w:rPr>
        <w:t>根据本项目地下水监测报告数据可知，项目区水质满足《农田灌溉水质标准》（</w:t>
      </w:r>
      <w:r w:rsidRPr="00F9522B">
        <w:rPr>
          <w:rFonts w:eastAsiaTheme="minorEastAsia"/>
          <w:color w:val="FF0000"/>
          <w:sz w:val="24"/>
          <w:shd w:val="clear" w:color="auto" w:fill="FFFFFF"/>
        </w:rPr>
        <w:t>GB5048-2021</w:t>
      </w:r>
      <w:r w:rsidRPr="00F9522B">
        <w:rPr>
          <w:rFonts w:eastAsiaTheme="minorEastAsia"/>
          <w:color w:val="FF0000"/>
          <w:sz w:val="24"/>
          <w:shd w:val="clear" w:color="auto" w:fill="FFFFFF"/>
        </w:rPr>
        <w:t>）中旱</w:t>
      </w:r>
      <w:r w:rsidR="0079178B" w:rsidRPr="00F9522B">
        <w:rPr>
          <w:rFonts w:eastAsiaTheme="minorEastAsia"/>
          <w:color w:val="FF0000"/>
          <w:sz w:val="24"/>
          <w:shd w:val="clear" w:color="auto" w:fill="FFFFFF"/>
        </w:rPr>
        <w:t>地</w:t>
      </w:r>
      <w:r w:rsidRPr="00F9522B">
        <w:rPr>
          <w:rFonts w:eastAsiaTheme="minorEastAsia"/>
          <w:color w:val="FF0000"/>
          <w:sz w:val="24"/>
          <w:shd w:val="clear" w:color="auto" w:fill="FFFFFF"/>
        </w:rPr>
        <w:t>作物</w:t>
      </w:r>
      <w:r w:rsidR="0079178B" w:rsidRPr="00F9522B">
        <w:rPr>
          <w:rFonts w:eastAsiaTheme="minorEastAsia"/>
          <w:color w:val="FF0000"/>
          <w:sz w:val="24"/>
          <w:shd w:val="clear" w:color="auto" w:fill="FFFFFF"/>
        </w:rPr>
        <w:t>及水田作物</w:t>
      </w:r>
      <w:r w:rsidRPr="00F9522B">
        <w:rPr>
          <w:rFonts w:eastAsiaTheme="minorEastAsia"/>
          <w:color w:val="FF0000"/>
          <w:sz w:val="24"/>
          <w:shd w:val="clear" w:color="auto" w:fill="FFFFFF"/>
        </w:rPr>
        <w:t>水质要求。</w:t>
      </w:r>
      <w:r w:rsidRPr="00F9522B">
        <w:rPr>
          <w:rFonts w:eastAsiaTheme="minorEastAsia"/>
          <w:sz w:val="24"/>
          <w:shd w:val="clear" w:color="auto" w:fill="FFFFFF"/>
        </w:rPr>
        <w:t>工程建设不在</w:t>
      </w:r>
      <w:r w:rsidRPr="00F9522B">
        <w:rPr>
          <w:rFonts w:eastAsiaTheme="minorEastAsia"/>
          <w:kern w:val="0"/>
          <w:sz w:val="24"/>
        </w:rPr>
        <w:t>饮用水水源保护区内。因此，项目的建设符合《中华人民共和国水污染防治法》要求。</w:t>
      </w:r>
    </w:p>
    <w:p w:rsidR="002A5A5E" w:rsidRPr="00F9522B" w:rsidRDefault="00760E2B">
      <w:pPr>
        <w:spacing w:line="360" w:lineRule="auto"/>
        <w:ind w:firstLineChars="200" w:firstLine="480"/>
        <w:jc w:val="left"/>
        <w:rPr>
          <w:rFonts w:eastAsiaTheme="minorEastAsia"/>
        </w:rPr>
      </w:pPr>
      <w:r w:rsidRPr="00F9522B">
        <w:rPr>
          <w:rFonts w:eastAsiaTheme="minorEastAsia"/>
          <w:sz w:val="24"/>
          <w:shd w:val="clear" w:color="auto" w:fill="FFFFFF"/>
        </w:rPr>
        <w:t>（</w:t>
      </w:r>
      <w:r w:rsidRPr="00F9522B">
        <w:rPr>
          <w:rFonts w:eastAsiaTheme="minorEastAsia"/>
          <w:sz w:val="24"/>
          <w:shd w:val="clear" w:color="auto" w:fill="FFFFFF"/>
        </w:rPr>
        <w:t>3</w:t>
      </w:r>
      <w:r w:rsidRPr="00F9522B">
        <w:rPr>
          <w:rFonts w:eastAsiaTheme="minorEastAsia"/>
          <w:sz w:val="24"/>
          <w:shd w:val="clear" w:color="auto" w:fill="FFFFFF"/>
        </w:rPr>
        <w:t>）</w:t>
      </w:r>
      <w:r w:rsidR="00611CBA" w:rsidRPr="00F9522B">
        <w:rPr>
          <w:rFonts w:eastAsiaTheme="minorEastAsia"/>
          <w:kern w:val="0"/>
          <w:sz w:val="24"/>
        </w:rPr>
        <w:t>与</w:t>
      </w:r>
      <w:r w:rsidR="00611CBA" w:rsidRPr="00F9522B">
        <w:rPr>
          <w:rFonts w:eastAsiaTheme="minorEastAsia"/>
          <w:snapToGrid w:val="0"/>
          <w:kern w:val="0"/>
          <w:sz w:val="24"/>
        </w:rPr>
        <w:t>《中华人民共和国水法》</w:t>
      </w:r>
      <w:r w:rsidR="00611CBA" w:rsidRPr="00F9522B">
        <w:rPr>
          <w:rFonts w:eastAsiaTheme="minorEastAsia"/>
          <w:kern w:val="0"/>
          <w:sz w:val="24"/>
        </w:rPr>
        <w:t>符合性分析</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《中华人民共和国水法》第五十条规定：</w:t>
      </w:r>
      <w:r w:rsidRPr="00F9522B">
        <w:rPr>
          <w:rFonts w:eastAsiaTheme="minorEastAsia"/>
          <w:kern w:val="0"/>
          <w:sz w:val="24"/>
        </w:rPr>
        <w:t>“</w:t>
      </w:r>
      <w:r w:rsidRPr="00F9522B">
        <w:rPr>
          <w:rFonts w:eastAsiaTheme="minorEastAsia"/>
          <w:kern w:val="0"/>
          <w:sz w:val="24"/>
        </w:rPr>
        <w:t>各级人民政府应当推行节水灌溉方式和节水技术，对农业蓄水、输水工程采取必要的防渗漏措施，提高农业用水</w:t>
      </w:r>
      <w:r w:rsidRPr="00F9522B">
        <w:rPr>
          <w:rFonts w:eastAsiaTheme="minorEastAsia"/>
          <w:kern w:val="0"/>
          <w:sz w:val="24"/>
        </w:rPr>
        <w:lastRenderedPageBreak/>
        <w:t>效率。</w:t>
      </w:r>
      <w:r w:rsidRPr="00F9522B">
        <w:rPr>
          <w:rFonts w:eastAsiaTheme="minorEastAsia"/>
          <w:kern w:val="0"/>
          <w:sz w:val="24"/>
        </w:rPr>
        <w:t>”</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sz w:val="24"/>
        </w:rPr>
        <w:t>根据已批复《</w:t>
      </w:r>
      <w:r w:rsidR="003A7922" w:rsidRPr="00F9522B">
        <w:rPr>
          <w:rFonts w:eastAsiaTheme="minorEastAsia"/>
          <w:sz w:val="24"/>
        </w:rPr>
        <w:t>呼兰区</w:t>
      </w:r>
      <w:r w:rsidR="003A7922" w:rsidRPr="00F9522B">
        <w:rPr>
          <w:rFonts w:eastAsiaTheme="minorEastAsia"/>
          <w:sz w:val="24"/>
        </w:rPr>
        <w:t>2026</w:t>
      </w:r>
      <w:r w:rsidR="003A7922" w:rsidRPr="00F9522B">
        <w:rPr>
          <w:rFonts w:eastAsiaTheme="minorEastAsia"/>
          <w:sz w:val="24"/>
        </w:rPr>
        <w:t>年高标准农田建设项目</w:t>
      </w:r>
      <w:r w:rsidRPr="00F9522B">
        <w:rPr>
          <w:rFonts w:eastAsiaTheme="minorEastAsia"/>
          <w:sz w:val="24"/>
        </w:rPr>
        <w:t>水资源论证报告书》，</w:t>
      </w:r>
      <w:r w:rsidRPr="00F9522B">
        <w:rPr>
          <w:rFonts w:eastAsiaTheme="minorEastAsia"/>
          <w:sz w:val="24"/>
          <w:shd w:val="clear" w:color="auto" w:fill="FFFFFF"/>
        </w:rPr>
        <w:t>本项目</w:t>
      </w:r>
      <w:r w:rsidRPr="00F9522B">
        <w:rPr>
          <w:rFonts w:eastAsiaTheme="minorEastAsia"/>
          <w:kern w:val="0"/>
          <w:sz w:val="24"/>
        </w:rPr>
        <w:t>设计灌溉保证率为</w:t>
      </w:r>
      <w:r w:rsidRPr="00F9522B">
        <w:rPr>
          <w:rFonts w:eastAsiaTheme="minorEastAsia"/>
          <w:kern w:val="0"/>
          <w:sz w:val="24"/>
        </w:rPr>
        <w:t>90%</w:t>
      </w:r>
      <w:r w:rsidRPr="00F9522B">
        <w:rPr>
          <w:rFonts w:eastAsiaTheme="minorEastAsia"/>
          <w:kern w:val="0"/>
          <w:sz w:val="24"/>
        </w:rPr>
        <w:t>，</w:t>
      </w:r>
      <w:r w:rsidR="00C44A54" w:rsidRPr="00F9522B">
        <w:rPr>
          <w:rFonts w:eastAsiaTheme="minorEastAsia"/>
          <w:kern w:val="0"/>
          <w:sz w:val="24"/>
        </w:rPr>
        <w:t>坐水种灌溉水利用系数</w:t>
      </w:r>
      <w:r w:rsidR="00C44A54" w:rsidRPr="00F9522B">
        <w:rPr>
          <w:rFonts w:eastAsiaTheme="minorEastAsia"/>
          <w:kern w:val="0"/>
          <w:sz w:val="24"/>
        </w:rPr>
        <w:t>0.9</w:t>
      </w:r>
      <w:r w:rsidR="00C44A54" w:rsidRPr="00F9522B">
        <w:rPr>
          <w:rFonts w:eastAsiaTheme="minorEastAsia"/>
          <w:kern w:val="0"/>
          <w:sz w:val="24"/>
        </w:rPr>
        <w:t>，滴灌灌溉水利用系数</w:t>
      </w:r>
      <w:r w:rsidR="00C44A54" w:rsidRPr="00F9522B">
        <w:rPr>
          <w:rFonts w:eastAsiaTheme="minorEastAsia"/>
          <w:kern w:val="0"/>
          <w:sz w:val="24"/>
        </w:rPr>
        <w:t>0.93</w:t>
      </w:r>
      <w:r w:rsidRPr="00F9522B">
        <w:rPr>
          <w:rFonts w:eastAsiaTheme="minorEastAsia"/>
          <w:kern w:val="0"/>
          <w:sz w:val="24"/>
        </w:rPr>
        <w:t>，并采取节水措施。</w:t>
      </w:r>
      <w:r w:rsidRPr="00F9522B">
        <w:rPr>
          <w:rFonts w:eastAsiaTheme="minorEastAsia"/>
          <w:sz w:val="24"/>
          <w:shd w:val="clear" w:color="auto" w:fill="FFFFFF"/>
        </w:rPr>
        <w:t>因此，项目</w:t>
      </w:r>
      <w:r w:rsidRPr="00F9522B">
        <w:rPr>
          <w:rFonts w:eastAsiaTheme="minorEastAsia"/>
          <w:kern w:val="0"/>
          <w:sz w:val="24"/>
        </w:rPr>
        <w:t>与《中华人民共和国水法》相符合。</w:t>
      </w:r>
    </w:p>
    <w:p w:rsidR="002A5A5E" w:rsidRPr="00F9522B" w:rsidRDefault="00760E2B">
      <w:pPr>
        <w:spacing w:line="360" w:lineRule="auto"/>
        <w:ind w:firstLineChars="200" w:firstLine="480"/>
        <w:jc w:val="left"/>
        <w:rPr>
          <w:rFonts w:eastAsiaTheme="minorEastAsia"/>
          <w:kern w:val="0"/>
          <w:sz w:val="24"/>
        </w:rPr>
      </w:pPr>
      <w:r w:rsidRPr="00F9522B">
        <w:rPr>
          <w:rFonts w:eastAsiaTheme="minorEastAsia"/>
          <w:kern w:val="0"/>
          <w:sz w:val="24"/>
        </w:rPr>
        <w:t>（</w:t>
      </w:r>
      <w:r w:rsidRPr="00F9522B">
        <w:rPr>
          <w:rFonts w:eastAsiaTheme="minorEastAsia"/>
          <w:kern w:val="0"/>
          <w:sz w:val="24"/>
        </w:rPr>
        <w:t>4</w:t>
      </w:r>
      <w:r w:rsidRPr="00F9522B">
        <w:rPr>
          <w:rFonts w:eastAsiaTheme="minorEastAsia"/>
          <w:kern w:val="0"/>
          <w:sz w:val="24"/>
        </w:rPr>
        <w:t>）</w:t>
      </w:r>
      <w:r w:rsidR="00611CBA" w:rsidRPr="00F9522B">
        <w:rPr>
          <w:rFonts w:eastAsiaTheme="minorEastAsia"/>
          <w:kern w:val="0"/>
          <w:sz w:val="24"/>
        </w:rPr>
        <w:t>与《中华人民共和国森林法》符合性分析</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《中华人民共和国森林法》第三十七条规定：</w:t>
      </w:r>
      <w:r w:rsidRPr="00F9522B">
        <w:rPr>
          <w:rFonts w:eastAsiaTheme="minorEastAsia"/>
          <w:kern w:val="0"/>
          <w:sz w:val="24"/>
        </w:rPr>
        <w:t>“</w:t>
      </w:r>
      <w:r w:rsidRPr="00F9522B">
        <w:rPr>
          <w:rFonts w:eastAsiaTheme="minorEastAsia"/>
          <w:kern w:val="0"/>
          <w:sz w:val="24"/>
        </w:rPr>
        <w:t>矿藏勘查、开采以及其他各类工程建设，应当不占或者少占林地；确需占用林地的，应当经县级以上人民政府林业主管部门审核同意，依法办理建设用地审批手续。占用林地的单位应当缴纳森林植被恢复费。森林植被恢复费征收使用管理办法由国务院财政部门会同林业主管部门制定。</w:t>
      </w:r>
      <w:r w:rsidRPr="00F9522B">
        <w:rPr>
          <w:rFonts w:eastAsiaTheme="minorEastAsia"/>
          <w:kern w:val="0"/>
          <w:sz w:val="24"/>
        </w:rPr>
        <w:t>”</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snapToGrid w:val="0"/>
          <w:kern w:val="0"/>
          <w:sz w:val="24"/>
        </w:rPr>
        <w:t>本项目田间道路工程在现有</w:t>
      </w:r>
      <w:r w:rsidR="0097424D" w:rsidRPr="00F9522B">
        <w:rPr>
          <w:rFonts w:eastAsiaTheme="minorEastAsia"/>
          <w:snapToGrid w:val="0"/>
          <w:kern w:val="0"/>
          <w:sz w:val="24"/>
        </w:rPr>
        <w:t>道路基础上修建，现有灌溉渠道衬砌，现有排水沟清淤，田块整治工程</w:t>
      </w:r>
      <w:r w:rsidRPr="00F9522B">
        <w:rPr>
          <w:rFonts w:eastAsiaTheme="minorEastAsia"/>
          <w:bCs/>
          <w:snapToGrid w:val="0"/>
          <w:kern w:val="0"/>
          <w:sz w:val="24"/>
        </w:rPr>
        <w:t>在永久占地范围内</w:t>
      </w:r>
      <w:r w:rsidRPr="00F9522B">
        <w:rPr>
          <w:rFonts w:eastAsiaTheme="minorEastAsia"/>
          <w:snapToGrid w:val="0"/>
          <w:kern w:val="0"/>
          <w:sz w:val="24"/>
        </w:rPr>
        <w:t>，不新增临时占地</w:t>
      </w:r>
      <w:r w:rsidRPr="00F9522B">
        <w:rPr>
          <w:rFonts w:eastAsiaTheme="minorEastAsia"/>
          <w:sz w:val="24"/>
        </w:rPr>
        <w:t>。临时占地类型为旱地、草地。不占用林地</w:t>
      </w:r>
      <w:r w:rsidRPr="00F9522B">
        <w:rPr>
          <w:rFonts w:eastAsiaTheme="minorEastAsia"/>
          <w:kern w:val="0"/>
          <w:sz w:val="24"/>
        </w:rPr>
        <w:t>，因此，本项目的建设符合《中华人民共和国森林法》的有关规定。</w:t>
      </w:r>
    </w:p>
    <w:p w:rsidR="002A5A5E" w:rsidRPr="00F9522B" w:rsidRDefault="00760E2B">
      <w:pPr>
        <w:spacing w:line="360" w:lineRule="auto"/>
        <w:ind w:firstLineChars="200" w:firstLine="480"/>
        <w:jc w:val="left"/>
        <w:rPr>
          <w:rFonts w:eastAsiaTheme="minorEastAsia"/>
          <w:kern w:val="0"/>
          <w:sz w:val="24"/>
        </w:rPr>
      </w:pPr>
      <w:r w:rsidRPr="00F9522B">
        <w:rPr>
          <w:rFonts w:eastAsiaTheme="minorEastAsia"/>
          <w:kern w:val="0"/>
          <w:sz w:val="24"/>
        </w:rPr>
        <w:t>（</w:t>
      </w:r>
      <w:r w:rsidRPr="00F9522B">
        <w:rPr>
          <w:rFonts w:eastAsiaTheme="minorEastAsia"/>
          <w:kern w:val="0"/>
          <w:sz w:val="24"/>
        </w:rPr>
        <w:t>5</w:t>
      </w:r>
      <w:r w:rsidRPr="00F9522B">
        <w:rPr>
          <w:rFonts w:eastAsiaTheme="minorEastAsia"/>
          <w:kern w:val="0"/>
          <w:sz w:val="24"/>
        </w:rPr>
        <w:t>）</w:t>
      </w:r>
      <w:r w:rsidR="00611CBA" w:rsidRPr="00F9522B">
        <w:rPr>
          <w:rFonts w:eastAsiaTheme="minorEastAsia"/>
          <w:kern w:val="0"/>
          <w:sz w:val="24"/>
        </w:rPr>
        <w:t>与《中华人民共和国土地管理法》符合性分析</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《中华人民共和国土地管理法》第十七条规定：严格保护永久基本农田，严格控制非农业建设占用农用地；保护和改善生态环境，保障土地的可持续利用。</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本项目为高标准农田建设项目，为农业建设项目，无法避让基本农田，</w:t>
      </w:r>
      <w:r w:rsidRPr="00F9522B">
        <w:rPr>
          <w:rFonts w:eastAsiaTheme="minorEastAsia"/>
          <w:snapToGrid w:val="0"/>
          <w:kern w:val="0"/>
          <w:sz w:val="24"/>
        </w:rPr>
        <w:t>本项目田间道路工程在现有</w:t>
      </w:r>
      <w:r w:rsidR="0097424D" w:rsidRPr="00F9522B">
        <w:rPr>
          <w:rFonts w:eastAsiaTheme="minorEastAsia"/>
          <w:snapToGrid w:val="0"/>
          <w:kern w:val="0"/>
          <w:sz w:val="24"/>
        </w:rPr>
        <w:t>道路基础上修建，现有灌溉渠道衬砌，现有排水沟清淤，田块整治工程</w:t>
      </w:r>
      <w:r w:rsidRPr="00F9522B">
        <w:rPr>
          <w:rFonts w:eastAsiaTheme="minorEastAsia"/>
          <w:bCs/>
          <w:snapToGrid w:val="0"/>
          <w:kern w:val="0"/>
          <w:sz w:val="24"/>
        </w:rPr>
        <w:t>在永久占地范围内</w:t>
      </w:r>
      <w:r w:rsidRPr="00F9522B">
        <w:rPr>
          <w:rFonts w:eastAsiaTheme="minorEastAsia"/>
          <w:snapToGrid w:val="0"/>
          <w:kern w:val="0"/>
          <w:sz w:val="24"/>
        </w:rPr>
        <w:t>，不新增临时占地</w:t>
      </w:r>
      <w:r w:rsidRPr="00F9522B">
        <w:rPr>
          <w:rFonts w:eastAsiaTheme="minorEastAsia"/>
          <w:bCs/>
          <w:kern w:val="0"/>
          <w:sz w:val="24"/>
        </w:rPr>
        <w:t>。</w:t>
      </w:r>
      <w:r w:rsidRPr="00F9522B">
        <w:rPr>
          <w:rFonts w:eastAsiaTheme="minorEastAsia"/>
          <w:kern w:val="0"/>
          <w:sz w:val="24"/>
        </w:rPr>
        <w:t>本项目新增永久占用旱地、草地、坑塘水面、</w:t>
      </w:r>
      <w:r w:rsidRPr="00F9522B">
        <w:rPr>
          <w:rFonts w:eastAsiaTheme="minorEastAsia"/>
          <w:bCs/>
          <w:kern w:val="0"/>
          <w:sz w:val="24"/>
        </w:rPr>
        <w:t>水利设施用地、水田共</w:t>
      </w:r>
      <w:r w:rsidR="00B42C98" w:rsidRPr="00F9522B">
        <w:rPr>
          <w:rFonts w:eastAsiaTheme="minorEastAsia"/>
          <w:bCs/>
          <w:kern w:val="0"/>
          <w:sz w:val="24"/>
        </w:rPr>
        <w:t>46260</w:t>
      </w:r>
      <w:r w:rsidRPr="00F9522B">
        <w:rPr>
          <w:rFonts w:eastAsiaTheme="minorEastAsia"/>
          <w:bCs/>
          <w:kern w:val="0"/>
          <w:sz w:val="24"/>
        </w:rPr>
        <w:t>m</w:t>
      </w:r>
      <w:r w:rsidRPr="00F9522B">
        <w:rPr>
          <w:rFonts w:eastAsiaTheme="minorEastAsia"/>
          <w:kern w:val="0"/>
          <w:sz w:val="24"/>
          <w:vertAlign w:val="superscript"/>
        </w:rPr>
        <w:t>2</w:t>
      </w:r>
      <w:r w:rsidRPr="00F9522B">
        <w:rPr>
          <w:rFonts w:eastAsiaTheme="minorEastAsia"/>
          <w:kern w:val="0"/>
          <w:sz w:val="24"/>
        </w:rPr>
        <w:t>，</w:t>
      </w:r>
      <w:r w:rsidRPr="00AA4603">
        <w:rPr>
          <w:rFonts w:eastAsiaTheme="minorEastAsia"/>
          <w:color w:val="FF0000"/>
          <w:kern w:val="0"/>
          <w:sz w:val="24"/>
        </w:rPr>
        <w:t>临时占用</w:t>
      </w:r>
      <w:r w:rsidRPr="00AA4603">
        <w:rPr>
          <w:rFonts w:eastAsiaTheme="minorEastAsia"/>
          <w:color w:val="FF0000"/>
          <w:sz w:val="24"/>
        </w:rPr>
        <w:t>旱地、草地</w:t>
      </w:r>
      <w:r w:rsidRPr="00AA4603">
        <w:rPr>
          <w:rFonts w:eastAsiaTheme="minorEastAsia"/>
          <w:color w:val="FF0000"/>
          <w:kern w:val="0"/>
          <w:sz w:val="24"/>
        </w:rPr>
        <w:t>共</w:t>
      </w:r>
      <w:r w:rsidR="00AA4603" w:rsidRPr="00AA4603">
        <w:rPr>
          <w:rFonts w:eastAsiaTheme="minorEastAsia"/>
          <w:color w:val="FF0000"/>
          <w:kern w:val="0"/>
          <w:sz w:val="24"/>
        </w:rPr>
        <w:t>294140</w:t>
      </w:r>
      <w:r w:rsidRPr="00AA4603">
        <w:rPr>
          <w:rFonts w:eastAsiaTheme="minorEastAsia"/>
          <w:color w:val="FF0000"/>
          <w:kern w:val="0"/>
          <w:sz w:val="24"/>
        </w:rPr>
        <w:t>m</w:t>
      </w:r>
      <w:r w:rsidRPr="00AA4603">
        <w:rPr>
          <w:rFonts w:eastAsiaTheme="minorEastAsia"/>
          <w:color w:val="FF0000"/>
          <w:kern w:val="0"/>
          <w:sz w:val="24"/>
          <w:vertAlign w:val="superscript"/>
        </w:rPr>
        <w:t>2</w:t>
      </w:r>
      <w:r w:rsidRPr="00AA4603">
        <w:rPr>
          <w:rFonts w:eastAsiaTheme="minorEastAsia"/>
          <w:color w:val="FF0000"/>
          <w:kern w:val="0"/>
          <w:sz w:val="24"/>
        </w:rPr>
        <w:t>，</w:t>
      </w:r>
      <w:r w:rsidRPr="00F9522B">
        <w:rPr>
          <w:rFonts w:eastAsiaTheme="minorEastAsia"/>
          <w:kern w:val="0"/>
          <w:sz w:val="24"/>
        </w:rPr>
        <w:t>本工程尽可能减少占地。因此，本项目的建设符合《中华人民共和国土地管理法》的有关规定。</w:t>
      </w:r>
    </w:p>
    <w:p w:rsidR="002A5A5E" w:rsidRPr="00F9522B" w:rsidRDefault="00760E2B">
      <w:pPr>
        <w:spacing w:line="360" w:lineRule="auto"/>
        <w:ind w:firstLineChars="200" w:firstLine="480"/>
        <w:jc w:val="left"/>
        <w:rPr>
          <w:rFonts w:eastAsiaTheme="minorEastAsia"/>
          <w:kern w:val="0"/>
          <w:sz w:val="24"/>
        </w:rPr>
      </w:pPr>
      <w:r w:rsidRPr="00F9522B">
        <w:rPr>
          <w:rFonts w:eastAsiaTheme="minorEastAsia"/>
          <w:kern w:val="0"/>
          <w:sz w:val="24"/>
        </w:rPr>
        <w:t>（</w:t>
      </w:r>
      <w:r w:rsidRPr="00F9522B">
        <w:rPr>
          <w:rFonts w:eastAsiaTheme="minorEastAsia"/>
          <w:kern w:val="0"/>
          <w:sz w:val="24"/>
        </w:rPr>
        <w:t>6</w:t>
      </w:r>
      <w:r w:rsidRPr="00F9522B">
        <w:rPr>
          <w:rFonts w:eastAsiaTheme="minorEastAsia"/>
          <w:kern w:val="0"/>
          <w:sz w:val="24"/>
        </w:rPr>
        <w:t>）</w:t>
      </w:r>
      <w:r w:rsidR="00611CBA" w:rsidRPr="00F9522B">
        <w:rPr>
          <w:rFonts w:eastAsiaTheme="minorEastAsia"/>
          <w:kern w:val="0"/>
          <w:sz w:val="24"/>
        </w:rPr>
        <w:t>与《中华人民共和国黑土地保护法》符合性分析</w:t>
      </w:r>
    </w:p>
    <w:p w:rsidR="002A5A5E" w:rsidRPr="00F9522B" w:rsidRDefault="00611CBA" w:rsidP="00760E2B">
      <w:pPr>
        <w:spacing w:line="360" w:lineRule="auto"/>
        <w:ind w:firstLineChars="200" w:firstLine="480"/>
        <w:jc w:val="left"/>
        <w:rPr>
          <w:rFonts w:eastAsiaTheme="minorEastAsia"/>
          <w:kern w:val="0"/>
          <w:sz w:val="24"/>
        </w:rPr>
      </w:pPr>
      <w:r w:rsidRPr="00F9522B">
        <w:rPr>
          <w:rFonts w:eastAsiaTheme="minorEastAsia"/>
          <w:kern w:val="0"/>
          <w:sz w:val="24"/>
        </w:rPr>
        <w:t>相关内容</w:t>
      </w:r>
      <w:r w:rsidR="00760E2B" w:rsidRPr="00F9522B">
        <w:rPr>
          <w:rFonts w:eastAsiaTheme="minorEastAsia"/>
          <w:kern w:val="0"/>
          <w:sz w:val="24"/>
        </w:rPr>
        <w:t>：</w:t>
      </w:r>
      <w:r w:rsidRPr="00F9522B">
        <w:rPr>
          <w:rFonts w:eastAsiaTheme="minorEastAsia"/>
          <w:kern w:val="0"/>
          <w:sz w:val="24"/>
        </w:rPr>
        <w:t>建设项目占用黑土地的，应当按照规定的标准对耕作层的土壤进行剥离。剥离的黑土应当就近用于新开垦耕地和劣质耕地改良、被污染耕地的治理、高标准农田建设、土地复垦等。</w:t>
      </w:r>
    </w:p>
    <w:p w:rsidR="002A5A5E" w:rsidRPr="00F9522B" w:rsidRDefault="00611CBA" w:rsidP="00760E2B">
      <w:pPr>
        <w:spacing w:line="360" w:lineRule="auto"/>
        <w:ind w:firstLineChars="200" w:firstLine="480"/>
        <w:jc w:val="left"/>
        <w:rPr>
          <w:rFonts w:eastAsiaTheme="minorEastAsia"/>
          <w:kern w:val="0"/>
          <w:sz w:val="24"/>
        </w:rPr>
      </w:pPr>
      <w:r w:rsidRPr="00F9522B">
        <w:rPr>
          <w:rFonts w:eastAsiaTheme="minorEastAsia"/>
          <w:kern w:val="0"/>
          <w:sz w:val="24"/>
        </w:rPr>
        <w:t>符合性分析</w:t>
      </w:r>
      <w:r w:rsidR="00760E2B" w:rsidRPr="00F9522B">
        <w:rPr>
          <w:rFonts w:eastAsiaTheme="minorEastAsia"/>
          <w:kern w:val="0"/>
          <w:sz w:val="24"/>
        </w:rPr>
        <w:t>：</w:t>
      </w:r>
      <w:r w:rsidRPr="00F9522B">
        <w:rPr>
          <w:rFonts w:eastAsiaTheme="minorEastAsia"/>
          <w:kern w:val="0"/>
          <w:sz w:val="24"/>
        </w:rPr>
        <w:t>本项目按照《黑龙江省人民政府办公厅关于建设占用耕地耕作层土壤剥离利用工作的指导意见（试行）》黑政办规【</w:t>
      </w:r>
      <w:r w:rsidRPr="00F9522B">
        <w:rPr>
          <w:rFonts w:eastAsiaTheme="minorEastAsia"/>
          <w:kern w:val="0"/>
          <w:sz w:val="24"/>
        </w:rPr>
        <w:t>2021</w:t>
      </w:r>
      <w:r w:rsidRPr="00F9522B">
        <w:rPr>
          <w:rFonts w:eastAsiaTheme="minorEastAsia"/>
          <w:kern w:val="0"/>
          <w:sz w:val="24"/>
        </w:rPr>
        <w:t>】</w:t>
      </w:r>
      <w:r w:rsidRPr="00F9522B">
        <w:rPr>
          <w:rFonts w:eastAsiaTheme="minorEastAsia"/>
          <w:kern w:val="0"/>
          <w:sz w:val="24"/>
        </w:rPr>
        <w:t>18</w:t>
      </w:r>
      <w:r w:rsidRPr="00F9522B">
        <w:rPr>
          <w:rFonts w:eastAsiaTheme="minorEastAsia"/>
          <w:kern w:val="0"/>
          <w:sz w:val="24"/>
        </w:rPr>
        <w:t>号、黑龙江省</w:t>
      </w:r>
      <w:r w:rsidRPr="00F9522B">
        <w:rPr>
          <w:rFonts w:eastAsiaTheme="minorEastAsia"/>
          <w:kern w:val="0"/>
          <w:sz w:val="24"/>
        </w:rPr>
        <w:lastRenderedPageBreak/>
        <w:t>地方标准《建设占用耕地耕作层土壤剥离利用技术规范》（</w:t>
      </w:r>
      <w:r w:rsidRPr="00F9522B">
        <w:rPr>
          <w:rFonts w:eastAsiaTheme="minorEastAsia"/>
          <w:kern w:val="0"/>
          <w:sz w:val="24"/>
        </w:rPr>
        <w:t>DB23/T2913-2021</w:t>
      </w:r>
      <w:r w:rsidRPr="00F9522B">
        <w:rPr>
          <w:rFonts w:eastAsiaTheme="minorEastAsia"/>
          <w:kern w:val="0"/>
          <w:sz w:val="24"/>
        </w:rPr>
        <w:t>）要求进行土壤剥离。根据剥离机械设备性能，确定每次剥离的宽度和轴线及适宜剥离厚度，机械的剥离宽度</w:t>
      </w:r>
      <w:r w:rsidRPr="00F9522B">
        <w:rPr>
          <w:rFonts w:eastAsiaTheme="minorEastAsia"/>
          <w:kern w:val="0"/>
          <w:sz w:val="24"/>
        </w:rPr>
        <w:t>2m-4m</w:t>
      </w:r>
      <w:r w:rsidRPr="00F9522B">
        <w:rPr>
          <w:rFonts w:eastAsiaTheme="minorEastAsia"/>
          <w:kern w:val="0"/>
          <w:sz w:val="24"/>
        </w:rPr>
        <w:t>为宜。耕作层土壤剥离厚度宜在</w:t>
      </w:r>
      <w:r w:rsidRPr="00F9522B">
        <w:rPr>
          <w:rFonts w:eastAsiaTheme="minorEastAsia"/>
          <w:kern w:val="0"/>
          <w:sz w:val="24"/>
        </w:rPr>
        <w:t>20cm~30cm</w:t>
      </w:r>
      <w:r w:rsidRPr="00F9522B">
        <w:rPr>
          <w:rFonts w:eastAsiaTheme="minorEastAsia"/>
          <w:kern w:val="0"/>
          <w:sz w:val="24"/>
        </w:rPr>
        <w:t>。单次土壤剥离厚度不宜大于</w:t>
      </w:r>
      <w:r w:rsidRPr="00F9522B">
        <w:rPr>
          <w:rFonts w:eastAsiaTheme="minorEastAsia"/>
          <w:kern w:val="0"/>
          <w:sz w:val="24"/>
        </w:rPr>
        <w:t>30cm</w:t>
      </w:r>
      <w:r w:rsidRPr="00F9522B">
        <w:rPr>
          <w:rFonts w:eastAsiaTheme="minorEastAsia"/>
          <w:kern w:val="0"/>
          <w:sz w:val="24"/>
        </w:rPr>
        <w:t>。耕作层较厚的区域可适当增加剥离厚度，原则上土壤剥离厚度不超过</w:t>
      </w:r>
      <w:r w:rsidRPr="00F9522B">
        <w:rPr>
          <w:rFonts w:eastAsiaTheme="minorEastAsia"/>
          <w:kern w:val="0"/>
          <w:sz w:val="24"/>
        </w:rPr>
        <w:t>50cm</w:t>
      </w:r>
      <w:r w:rsidRPr="00F9522B">
        <w:rPr>
          <w:rFonts w:eastAsiaTheme="minorEastAsia"/>
          <w:kern w:val="0"/>
          <w:sz w:val="24"/>
        </w:rPr>
        <w:t>。</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本项目除</w:t>
      </w:r>
      <w:r w:rsidRPr="00F9522B">
        <w:rPr>
          <w:rFonts w:eastAsiaTheme="minorEastAsia"/>
          <w:bCs/>
          <w:kern w:val="0"/>
          <w:sz w:val="24"/>
          <w:szCs w:val="20"/>
        </w:rPr>
        <w:t>田块整治工程外</w:t>
      </w:r>
      <w:r w:rsidRPr="00F9522B">
        <w:rPr>
          <w:rFonts w:eastAsiaTheme="minorEastAsia"/>
          <w:kern w:val="0"/>
          <w:sz w:val="24"/>
        </w:rPr>
        <w:t>占用的黑土地耕作层厚度，耕地剥离厚度为</w:t>
      </w:r>
      <w:r w:rsidRPr="00F9522B">
        <w:rPr>
          <w:rFonts w:eastAsiaTheme="minorEastAsia"/>
          <w:kern w:val="0"/>
          <w:sz w:val="24"/>
        </w:rPr>
        <w:t>30cm</w:t>
      </w:r>
      <w:r w:rsidRPr="00F9522B">
        <w:rPr>
          <w:rFonts w:eastAsiaTheme="minorEastAsia"/>
          <w:kern w:val="0"/>
          <w:sz w:val="24"/>
        </w:rPr>
        <w:t>，剥离的黑土除用于临时占地复垦外，其余用于本项目高标准农田建设。</w:t>
      </w:r>
      <w:r w:rsidRPr="00F9522B">
        <w:rPr>
          <w:rFonts w:eastAsiaTheme="minorEastAsia"/>
          <w:bCs/>
          <w:kern w:val="0"/>
          <w:sz w:val="24"/>
          <w:szCs w:val="20"/>
        </w:rPr>
        <w:t>田块整治工程</w:t>
      </w:r>
      <w:r w:rsidRPr="00F9522B">
        <w:rPr>
          <w:rFonts w:eastAsiaTheme="minorEastAsia"/>
          <w:sz w:val="24"/>
        </w:rPr>
        <w:t>根据平整地块所在村的平均土壤厚度确定表土剥离厚度约</w:t>
      </w:r>
      <w:r w:rsidRPr="00F9522B">
        <w:rPr>
          <w:rFonts w:eastAsiaTheme="minorEastAsia"/>
          <w:sz w:val="24"/>
        </w:rPr>
        <w:t>25cm</w:t>
      </w:r>
      <w:r w:rsidRPr="00F9522B">
        <w:rPr>
          <w:rFonts w:eastAsiaTheme="minorEastAsia"/>
          <w:bCs/>
          <w:kern w:val="0"/>
          <w:sz w:val="24"/>
          <w:szCs w:val="20"/>
        </w:rPr>
        <w:t>，</w:t>
      </w:r>
      <w:r w:rsidRPr="00F9522B">
        <w:rPr>
          <w:rFonts w:eastAsiaTheme="minorEastAsia"/>
          <w:kern w:val="0"/>
          <w:sz w:val="24"/>
          <w:szCs w:val="20"/>
        </w:rPr>
        <w:t>剥离后的表土在施工现场贮存，用于田块整治工程表土恢复</w:t>
      </w:r>
      <w:r w:rsidRPr="00F9522B">
        <w:rPr>
          <w:rFonts w:eastAsiaTheme="minorEastAsia"/>
          <w:bCs/>
          <w:kern w:val="0"/>
          <w:sz w:val="24"/>
          <w:szCs w:val="20"/>
        </w:rPr>
        <w:t>。</w:t>
      </w:r>
      <w:r w:rsidRPr="00F9522B">
        <w:rPr>
          <w:rFonts w:eastAsiaTheme="minorEastAsia"/>
          <w:kern w:val="0"/>
          <w:sz w:val="24"/>
        </w:rPr>
        <w:t>因此项目建设符合《中华人民共和国黑土地保护法》要求。</w:t>
      </w:r>
    </w:p>
    <w:p w:rsidR="002A5A5E" w:rsidRPr="00F9522B" w:rsidRDefault="00760E2B">
      <w:pPr>
        <w:spacing w:line="360" w:lineRule="auto"/>
        <w:ind w:firstLineChars="200" w:firstLine="480"/>
        <w:jc w:val="left"/>
        <w:rPr>
          <w:rFonts w:eastAsiaTheme="minorEastAsia"/>
          <w:kern w:val="0"/>
          <w:sz w:val="24"/>
        </w:rPr>
      </w:pPr>
      <w:r w:rsidRPr="00F9522B">
        <w:rPr>
          <w:rFonts w:eastAsiaTheme="minorEastAsia"/>
          <w:kern w:val="0"/>
          <w:sz w:val="24"/>
        </w:rPr>
        <w:t>（</w:t>
      </w:r>
      <w:r w:rsidRPr="00F9522B">
        <w:rPr>
          <w:rFonts w:eastAsiaTheme="minorEastAsia"/>
          <w:kern w:val="0"/>
          <w:sz w:val="24"/>
        </w:rPr>
        <w:t>7</w:t>
      </w:r>
      <w:r w:rsidRPr="00F9522B">
        <w:rPr>
          <w:rFonts w:eastAsiaTheme="minorEastAsia"/>
          <w:kern w:val="0"/>
          <w:sz w:val="24"/>
        </w:rPr>
        <w:t>）</w:t>
      </w:r>
      <w:r w:rsidR="00611CBA" w:rsidRPr="00F9522B">
        <w:rPr>
          <w:rFonts w:eastAsiaTheme="minorEastAsia"/>
          <w:kern w:val="0"/>
          <w:sz w:val="24"/>
        </w:rPr>
        <w:t>与</w:t>
      </w:r>
      <w:r w:rsidR="00611CBA" w:rsidRPr="00F9522B">
        <w:rPr>
          <w:rFonts w:eastAsiaTheme="minorEastAsia"/>
          <w:bCs/>
          <w:snapToGrid w:val="0"/>
          <w:kern w:val="0"/>
          <w:sz w:val="24"/>
        </w:rPr>
        <w:t>《黑龙江省水污染防治条例》（</w:t>
      </w:r>
      <w:r w:rsidR="00611CBA" w:rsidRPr="00F9522B">
        <w:rPr>
          <w:rFonts w:eastAsiaTheme="minorEastAsia"/>
          <w:bCs/>
          <w:snapToGrid w:val="0"/>
          <w:kern w:val="0"/>
          <w:sz w:val="24"/>
        </w:rPr>
        <w:t>2023.12.01</w:t>
      </w:r>
      <w:r w:rsidR="00611CBA" w:rsidRPr="00F9522B">
        <w:rPr>
          <w:rFonts w:eastAsiaTheme="minorEastAsia"/>
          <w:bCs/>
          <w:snapToGrid w:val="0"/>
          <w:kern w:val="0"/>
          <w:sz w:val="24"/>
        </w:rPr>
        <w:t>施行）</w:t>
      </w:r>
      <w:r w:rsidR="00611CBA" w:rsidRPr="00F9522B">
        <w:rPr>
          <w:rFonts w:eastAsiaTheme="minorEastAsia"/>
          <w:kern w:val="0"/>
          <w:sz w:val="24"/>
        </w:rPr>
        <w:t>符合性分析</w:t>
      </w:r>
    </w:p>
    <w:p w:rsidR="002A5A5E" w:rsidRPr="00F9522B" w:rsidRDefault="00611CBA" w:rsidP="00760E2B">
      <w:pPr>
        <w:spacing w:line="360" w:lineRule="auto"/>
        <w:ind w:firstLineChars="200" w:firstLine="480"/>
        <w:rPr>
          <w:rFonts w:eastAsiaTheme="minorEastAsia"/>
          <w:sz w:val="24"/>
        </w:rPr>
      </w:pPr>
      <w:r w:rsidRPr="00F9522B">
        <w:rPr>
          <w:rFonts w:eastAsiaTheme="minorEastAsia"/>
          <w:sz w:val="24"/>
        </w:rPr>
        <w:t>相关内容</w:t>
      </w:r>
      <w:r w:rsidR="00760E2B" w:rsidRPr="00F9522B">
        <w:rPr>
          <w:rFonts w:eastAsiaTheme="minorEastAsia"/>
          <w:sz w:val="24"/>
        </w:rPr>
        <w:t>：</w:t>
      </w:r>
      <w:r w:rsidRPr="00F9522B">
        <w:rPr>
          <w:rFonts w:eastAsiaTheme="minorEastAsia"/>
          <w:sz w:val="24"/>
        </w:rPr>
        <w:t>新建、改建、扩建直接或者间接向水体排放污染物的建设项目和其他水上设施，应当依法进行环境影响评价，并符合国家、省、市</w:t>
      </w:r>
      <w:r w:rsidRPr="00F9522B">
        <w:rPr>
          <w:rFonts w:eastAsiaTheme="minorEastAsia"/>
          <w:sz w:val="24"/>
        </w:rPr>
        <w:t>(</w:t>
      </w:r>
      <w:r w:rsidRPr="00F9522B">
        <w:rPr>
          <w:rFonts w:eastAsiaTheme="minorEastAsia"/>
          <w:sz w:val="24"/>
        </w:rPr>
        <w:t>地</w:t>
      </w:r>
      <w:r w:rsidRPr="00F9522B">
        <w:rPr>
          <w:rFonts w:eastAsiaTheme="minorEastAsia"/>
          <w:sz w:val="24"/>
        </w:rPr>
        <w:t>)</w:t>
      </w:r>
      <w:r w:rsidRPr="00F9522B">
        <w:rPr>
          <w:rFonts w:eastAsiaTheme="minorEastAsia"/>
          <w:sz w:val="24"/>
        </w:rPr>
        <w:t>有关生态保护红线、环境质量底线、资源利用上线和生态环境准入清单的要求。</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县级以上人民政府农业农村主管部门和其他有关部门，应当采取措施，指导农业生产者科学、合理地施用化肥和农药，控制化肥和农药的过量使用，防止造成水污染。</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禁止在饮用水水源一级保护区内新建、改建、扩建与供水设施和保护水源无关的建设项目；已建成的与供水设施和保护水源无关的建设项目，依照法律规定处理。</w:t>
      </w:r>
    </w:p>
    <w:p w:rsidR="002A5A5E" w:rsidRPr="00F9522B" w:rsidRDefault="00611CBA" w:rsidP="00760E2B">
      <w:pPr>
        <w:spacing w:line="360" w:lineRule="auto"/>
        <w:ind w:firstLineChars="200" w:firstLine="480"/>
        <w:rPr>
          <w:rFonts w:eastAsiaTheme="minorEastAsia"/>
          <w:sz w:val="24"/>
        </w:rPr>
      </w:pPr>
      <w:r w:rsidRPr="00F9522B">
        <w:rPr>
          <w:rFonts w:eastAsiaTheme="minorEastAsia"/>
          <w:sz w:val="24"/>
        </w:rPr>
        <w:t>符合性分析</w:t>
      </w:r>
      <w:r w:rsidR="00760E2B" w:rsidRPr="00F9522B">
        <w:rPr>
          <w:rFonts w:eastAsiaTheme="minorEastAsia"/>
          <w:sz w:val="24"/>
        </w:rPr>
        <w:t>：</w:t>
      </w:r>
      <w:r w:rsidRPr="00F9522B">
        <w:rPr>
          <w:rFonts w:eastAsiaTheme="minorEastAsia"/>
          <w:kern w:val="0"/>
          <w:sz w:val="24"/>
        </w:rPr>
        <w:t>本项目为高标准农田建设项目，新增灌溉范围均为旱田，无水田，无退水产生。项目施行</w:t>
      </w:r>
      <w:r w:rsidRPr="00F9522B">
        <w:rPr>
          <w:rFonts w:eastAsiaTheme="minorEastAsia"/>
          <w:kern w:val="0"/>
          <w:sz w:val="24"/>
        </w:rPr>
        <w:t>“</w:t>
      </w:r>
      <w:r w:rsidRPr="00F9522B">
        <w:rPr>
          <w:rFonts w:eastAsiaTheme="minorEastAsia"/>
          <w:kern w:val="0"/>
          <w:sz w:val="24"/>
        </w:rPr>
        <w:t>三减</w:t>
      </w:r>
      <w:r w:rsidRPr="00F9522B">
        <w:rPr>
          <w:rFonts w:eastAsiaTheme="minorEastAsia"/>
          <w:kern w:val="0"/>
          <w:sz w:val="24"/>
        </w:rPr>
        <w:t>”</w:t>
      </w:r>
      <w:r w:rsidRPr="00F9522B">
        <w:rPr>
          <w:rFonts w:eastAsiaTheme="minorEastAsia"/>
          <w:kern w:val="0"/>
          <w:sz w:val="24"/>
        </w:rPr>
        <w:t>行动，即减化肥、减农药、减除草剂，提出测土配方施肥、水肥一体化、控制农药与化肥施用种类及数量措施，项目符合</w:t>
      </w:r>
      <w:r w:rsidRPr="00F9522B">
        <w:rPr>
          <w:rFonts w:eastAsiaTheme="minorEastAsia"/>
          <w:kern w:val="0"/>
          <w:sz w:val="24"/>
        </w:rPr>
        <w:t>“</w:t>
      </w:r>
      <w:r w:rsidRPr="00F9522B">
        <w:rPr>
          <w:rFonts w:eastAsiaTheme="minorEastAsia"/>
          <w:sz w:val="24"/>
        </w:rPr>
        <w:t>生态环境准入清单</w:t>
      </w:r>
      <w:r w:rsidRPr="00F9522B">
        <w:rPr>
          <w:rFonts w:eastAsiaTheme="minorEastAsia"/>
          <w:kern w:val="0"/>
          <w:sz w:val="24"/>
        </w:rPr>
        <w:t>”</w:t>
      </w:r>
      <w:r w:rsidRPr="00F9522B">
        <w:rPr>
          <w:rFonts w:eastAsiaTheme="minorEastAsia"/>
          <w:kern w:val="0"/>
          <w:sz w:val="24"/>
        </w:rPr>
        <w:t>管理要求。项目建设地点不在</w:t>
      </w:r>
      <w:r w:rsidRPr="00F9522B">
        <w:rPr>
          <w:rFonts w:eastAsiaTheme="minorEastAsia"/>
          <w:sz w:val="24"/>
        </w:rPr>
        <w:t>饮用水水源保护区内，故本项目</w:t>
      </w:r>
      <w:r w:rsidRPr="00F9522B">
        <w:rPr>
          <w:rFonts w:eastAsiaTheme="minorEastAsia"/>
          <w:kern w:val="0"/>
          <w:sz w:val="24"/>
        </w:rPr>
        <w:t>与</w:t>
      </w:r>
      <w:r w:rsidRPr="00F9522B">
        <w:rPr>
          <w:rFonts w:eastAsiaTheme="minorEastAsia"/>
          <w:bCs/>
          <w:snapToGrid w:val="0"/>
          <w:kern w:val="0"/>
          <w:sz w:val="24"/>
        </w:rPr>
        <w:t>《黑龙江省水污染防治条例》（</w:t>
      </w:r>
      <w:r w:rsidRPr="00F9522B">
        <w:rPr>
          <w:rFonts w:eastAsiaTheme="minorEastAsia"/>
          <w:bCs/>
          <w:snapToGrid w:val="0"/>
          <w:kern w:val="0"/>
          <w:sz w:val="24"/>
        </w:rPr>
        <w:t>2023.12.01</w:t>
      </w:r>
      <w:r w:rsidRPr="00F9522B">
        <w:rPr>
          <w:rFonts w:eastAsiaTheme="minorEastAsia"/>
          <w:bCs/>
          <w:snapToGrid w:val="0"/>
          <w:kern w:val="0"/>
          <w:sz w:val="24"/>
        </w:rPr>
        <w:t>施行）相</w:t>
      </w:r>
      <w:r w:rsidRPr="00F9522B">
        <w:rPr>
          <w:rFonts w:eastAsiaTheme="minorEastAsia"/>
          <w:kern w:val="0"/>
          <w:sz w:val="24"/>
        </w:rPr>
        <w:t>符合。</w:t>
      </w:r>
    </w:p>
    <w:p w:rsidR="002A5A5E" w:rsidRPr="00F9522B" w:rsidRDefault="00760E2B">
      <w:pPr>
        <w:spacing w:line="360" w:lineRule="auto"/>
        <w:ind w:firstLineChars="200" w:firstLine="480"/>
        <w:jc w:val="left"/>
        <w:rPr>
          <w:rFonts w:eastAsiaTheme="minorEastAsia"/>
          <w:kern w:val="0"/>
          <w:sz w:val="24"/>
        </w:rPr>
      </w:pPr>
      <w:r w:rsidRPr="00F9522B">
        <w:rPr>
          <w:rFonts w:eastAsiaTheme="minorEastAsia"/>
          <w:kern w:val="0"/>
          <w:sz w:val="24"/>
        </w:rPr>
        <w:t>（</w:t>
      </w:r>
      <w:r w:rsidRPr="00F9522B">
        <w:rPr>
          <w:rFonts w:eastAsiaTheme="minorEastAsia"/>
          <w:kern w:val="0"/>
          <w:sz w:val="24"/>
        </w:rPr>
        <w:t>8</w:t>
      </w:r>
      <w:r w:rsidRPr="00F9522B">
        <w:rPr>
          <w:rFonts w:eastAsiaTheme="minorEastAsia"/>
          <w:kern w:val="0"/>
          <w:sz w:val="24"/>
        </w:rPr>
        <w:t>）</w:t>
      </w:r>
      <w:r w:rsidR="00611CBA" w:rsidRPr="00F9522B">
        <w:rPr>
          <w:rFonts w:eastAsiaTheme="minorEastAsia"/>
          <w:kern w:val="0"/>
          <w:sz w:val="24"/>
        </w:rPr>
        <w:t>与《</w:t>
      </w:r>
      <w:hyperlink r:id="rId14" w:tgtFrame="https://www.so.com/_blank" w:history="1">
        <w:r w:rsidR="00611CBA" w:rsidRPr="00F9522B">
          <w:rPr>
            <w:rFonts w:eastAsiaTheme="minorEastAsia"/>
            <w:kern w:val="0"/>
            <w:sz w:val="24"/>
          </w:rPr>
          <w:t>黑龙江省黑土地保护利用条例</w:t>
        </w:r>
      </w:hyperlink>
      <w:r w:rsidR="00611CBA" w:rsidRPr="00F9522B">
        <w:rPr>
          <w:rFonts w:eastAsiaTheme="minorEastAsia"/>
          <w:kern w:val="0"/>
          <w:sz w:val="24"/>
        </w:rPr>
        <w:t>》</w:t>
      </w:r>
      <w:r w:rsidR="00611CBA" w:rsidRPr="00F9522B">
        <w:rPr>
          <w:rFonts w:eastAsiaTheme="minorEastAsia"/>
          <w:bCs/>
          <w:kern w:val="0"/>
          <w:sz w:val="24"/>
        </w:rPr>
        <w:t>（</w:t>
      </w:r>
      <w:r w:rsidR="00611CBA" w:rsidRPr="00F9522B">
        <w:rPr>
          <w:rFonts w:eastAsiaTheme="minorEastAsia"/>
          <w:bCs/>
          <w:kern w:val="0"/>
          <w:sz w:val="24"/>
        </w:rPr>
        <w:t>2022.03.01</w:t>
      </w:r>
      <w:r w:rsidR="00611CBA" w:rsidRPr="00F9522B">
        <w:rPr>
          <w:rFonts w:eastAsiaTheme="minorEastAsia"/>
          <w:bCs/>
          <w:kern w:val="0"/>
          <w:sz w:val="24"/>
        </w:rPr>
        <w:t>施行）</w:t>
      </w:r>
      <w:r w:rsidR="00611CBA" w:rsidRPr="00F9522B">
        <w:rPr>
          <w:rFonts w:eastAsiaTheme="minorEastAsia"/>
          <w:kern w:val="0"/>
          <w:sz w:val="24"/>
        </w:rPr>
        <w:t>符合性分析</w:t>
      </w:r>
    </w:p>
    <w:p w:rsidR="002A5A5E" w:rsidRPr="00F9522B" w:rsidRDefault="00611CBA">
      <w:pPr>
        <w:spacing w:line="500" w:lineRule="exact"/>
        <w:ind w:firstLineChars="200" w:firstLine="480"/>
        <w:rPr>
          <w:rFonts w:eastAsiaTheme="minorEastAsia"/>
          <w:kern w:val="0"/>
          <w:sz w:val="24"/>
        </w:rPr>
      </w:pPr>
      <w:r w:rsidRPr="00F9522B">
        <w:rPr>
          <w:rFonts w:eastAsiaTheme="minorEastAsia"/>
          <w:kern w:val="0"/>
          <w:sz w:val="24"/>
        </w:rPr>
        <w:t>本项目与《黑龙江省黑土地保护利用条例》相关要求符合性分析详见表</w:t>
      </w:r>
      <w:r w:rsidRPr="00F9522B">
        <w:rPr>
          <w:rFonts w:eastAsiaTheme="minorEastAsia"/>
          <w:kern w:val="0"/>
          <w:sz w:val="24"/>
        </w:rPr>
        <w:t>1-4-1</w:t>
      </w:r>
      <w:r w:rsidRPr="00F9522B">
        <w:rPr>
          <w:rFonts w:eastAsiaTheme="minorEastAsia"/>
          <w:kern w:val="0"/>
          <w:sz w:val="24"/>
        </w:rPr>
        <w:t>。</w:t>
      </w:r>
    </w:p>
    <w:p w:rsidR="00600084" w:rsidRPr="00F9522B" w:rsidRDefault="00600084">
      <w:pPr>
        <w:jc w:val="center"/>
        <w:rPr>
          <w:rFonts w:eastAsiaTheme="minorEastAsia"/>
          <w:b/>
          <w:bCs/>
          <w:kern w:val="21"/>
          <w:szCs w:val="21"/>
        </w:rPr>
      </w:pPr>
    </w:p>
    <w:p w:rsidR="00600084" w:rsidRPr="00F9522B" w:rsidRDefault="00600084">
      <w:pPr>
        <w:jc w:val="center"/>
        <w:rPr>
          <w:rFonts w:eastAsiaTheme="minorEastAsia"/>
          <w:b/>
          <w:bCs/>
          <w:kern w:val="21"/>
          <w:szCs w:val="21"/>
        </w:rPr>
      </w:pPr>
    </w:p>
    <w:p w:rsidR="00600084" w:rsidRPr="00F9522B" w:rsidRDefault="00600084">
      <w:pPr>
        <w:jc w:val="center"/>
        <w:rPr>
          <w:rFonts w:eastAsiaTheme="minorEastAsia"/>
          <w:b/>
          <w:bCs/>
          <w:kern w:val="21"/>
          <w:szCs w:val="21"/>
        </w:rPr>
      </w:pPr>
    </w:p>
    <w:p w:rsidR="00600084" w:rsidRPr="00F9522B" w:rsidRDefault="00600084">
      <w:pPr>
        <w:jc w:val="center"/>
        <w:rPr>
          <w:rFonts w:eastAsiaTheme="minorEastAsia"/>
          <w:b/>
          <w:bCs/>
          <w:kern w:val="21"/>
          <w:szCs w:val="21"/>
        </w:rPr>
      </w:pPr>
    </w:p>
    <w:p w:rsidR="002A5A5E" w:rsidRPr="00F9522B" w:rsidRDefault="00611CBA">
      <w:pPr>
        <w:jc w:val="center"/>
        <w:rPr>
          <w:rFonts w:eastAsiaTheme="minorEastAsia"/>
          <w:b/>
          <w:bCs/>
          <w:kern w:val="21"/>
          <w:szCs w:val="21"/>
        </w:rPr>
      </w:pPr>
      <w:r w:rsidRPr="00F9522B">
        <w:rPr>
          <w:rFonts w:eastAsiaTheme="minorEastAsia"/>
          <w:b/>
          <w:bCs/>
          <w:kern w:val="21"/>
          <w:szCs w:val="21"/>
        </w:rPr>
        <w:lastRenderedPageBreak/>
        <w:t>表</w:t>
      </w:r>
      <w:r w:rsidRPr="00F9522B">
        <w:rPr>
          <w:rFonts w:eastAsiaTheme="minorEastAsia"/>
          <w:b/>
          <w:bCs/>
          <w:kern w:val="21"/>
          <w:szCs w:val="21"/>
        </w:rPr>
        <w:t>1-4-1</w:t>
      </w:r>
      <w:r w:rsidRPr="00F9522B">
        <w:rPr>
          <w:rFonts w:eastAsiaTheme="minorEastAsia"/>
          <w:b/>
          <w:bCs/>
          <w:kern w:val="21"/>
          <w:szCs w:val="21"/>
        </w:rPr>
        <w:t>本项目与</w:t>
      </w:r>
      <w:r w:rsidRPr="00F9522B">
        <w:rPr>
          <w:rFonts w:eastAsiaTheme="minorEastAsia"/>
          <w:b/>
          <w:bCs/>
          <w:szCs w:val="21"/>
        </w:rPr>
        <w:t>《黑龙江省黑土地保护利用条例》</w:t>
      </w:r>
      <w:r w:rsidRPr="00F9522B">
        <w:rPr>
          <w:rFonts w:eastAsiaTheme="minorEastAsia"/>
          <w:b/>
          <w:bCs/>
          <w:kern w:val="21"/>
          <w:szCs w:val="21"/>
        </w:rPr>
        <w:t>符合性分析</w:t>
      </w:r>
    </w:p>
    <w:tbl>
      <w:tblPr>
        <w:tblW w:w="4924" w:type="pct"/>
        <w:jc w:val="center"/>
        <w:tblBorders>
          <w:top w:val="single" w:sz="12" w:space="0" w:color="auto"/>
          <w:bottom w:val="single" w:sz="12" w:space="0" w:color="auto"/>
          <w:insideH w:val="single" w:sz="4" w:space="0" w:color="auto"/>
          <w:insideV w:val="single" w:sz="4" w:space="0" w:color="auto"/>
        </w:tblBorders>
        <w:tblLayout w:type="fixed"/>
        <w:tblLook w:val="04A0"/>
      </w:tblPr>
      <w:tblGrid>
        <w:gridCol w:w="680"/>
        <w:gridCol w:w="2765"/>
        <w:gridCol w:w="4196"/>
        <w:gridCol w:w="751"/>
      </w:tblGrid>
      <w:tr w:rsidR="002A5A5E" w:rsidRPr="00F9522B">
        <w:trPr>
          <w:trHeight w:val="325"/>
          <w:jc w:val="center"/>
        </w:trPr>
        <w:tc>
          <w:tcPr>
            <w:tcW w:w="680" w:type="dxa"/>
            <w:tcBorders>
              <w:tl2br w:val="nil"/>
              <w:tr2bl w:val="nil"/>
            </w:tcBorders>
            <w:vAlign w:val="center"/>
          </w:tcPr>
          <w:p w:rsidR="002A5A5E" w:rsidRPr="00F9522B" w:rsidRDefault="00611CBA">
            <w:pPr>
              <w:jc w:val="center"/>
              <w:rPr>
                <w:rFonts w:eastAsiaTheme="minorEastAsia"/>
                <w:kern w:val="0"/>
                <w:szCs w:val="21"/>
              </w:rPr>
            </w:pPr>
            <w:r w:rsidRPr="00F9522B">
              <w:rPr>
                <w:rFonts w:eastAsiaTheme="minorEastAsia"/>
                <w:kern w:val="0"/>
                <w:szCs w:val="21"/>
              </w:rPr>
              <w:t>序号</w:t>
            </w:r>
          </w:p>
        </w:tc>
        <w:tc>
          <w:tcPr>
            <w:tcW w:w="2765" w:type="dxa"/>
            <w:tcBorders>
              <w:tl2br w:val="nil"/>
              <w:tr2bl w:val="nil"/>
            </w:tcBorders>
            <w:vAlign w:val="center"/>
          </w:tcPr>
          <w:p w:rsidR="002A5A5E" w:rsidRPr="00F9522B" w:rsidRDefault="00611CBA">
            <w:pPr>
              <w:jc w:val="center"/>
              <w:rPr>
                <w:rFonts w:eastAsiaTheme="minorEastAsia"/>
                <w:kern w:val="0"/>
                <w:szCs w:val="21"/>
              </w:rPr>
            </w:pPr>
            <w:r w:rsidRPr="00F9522B">
              <w:rPr>
                <w:rFonts w:eastAsiaTheme="minorEastAsia"/>
                <w:kern w:val="0"/>
                <w:szCs w:val="21"/>
              </w:rPr>
              <w:t>相关要求</w:t>
            </w:r>
          </w:p>
        </w:tc>
        <w:tc>
          <w:tcPr>
            <w:tcW w:w="4196" w:type="dxa"/>
            <w:tcBorders>
              <w:tl2br w:val="nil"/>
              <w:tr2bl w:val="nil"/>
            </w:tcBorders>
            <w:vAlign w:val="center"/>
          </w:tcPr>
          <w:p w:rsidR="002A5A5E" w:rsidRPr="00F9522B" w:rsidRDefault="00611CBA">
            <w:pPr>
              <w:jc w:val="center"/>
              <w:rPr>
                <w:rFonts w:eastAsiaTheme="minorEastAsia"/>
                <w:kern w:val="0"/>
                <w:szCs w:val="21"/>
              </w:rPr>
            </w:pPr>
            <w:r w:rsidRPr="00F9522B">
              <w:rPr>
                <w:rFonts w:eastAsiaTheme="minorEastAsia"/>
                <w:kern w:val="0"/>
                <w:szCs w:val="21"/>
              </w:rPr>
              <w:t>符合性分析</w:t>
            </w:r>
          </w:p>
        </w:tc>
        <w:tc>
          <w:tcPr>
            <w:tcW w:w="751" w:type="dxa"/>
            <w:tcBorders>
              <w:tl2br w:val="nil"/>
              <w:tr2bl w:val="nil"/>
            </w:tcBorders>
            <w:vAlign w:val="center"/>
          </w:tcPr>
          <w:p w:rsidR="002A5A5E" w:rsidRPr="00F9522B" w:rsidRDefault="00611CBA">
            <w:pPr>
              <w:jc w:val="center"/>
              <w:rPr>
                <w:rFonts w:eastAsiaTheme="minorEastAsia"/>
                <w:kern w:val="0"/>
                <w:szCs w:val="21"/>
              </w:rPr>
            </w:pPr>
            <w:r w:rsidRPr="00F9522B">
              <w:rPr>
                <w:rFonts w:eastAsiaTheme="minorEastAsia"/>
                <w:kern w:val="0"/>
                <w:szCs w:val="21"/>
              </w:rPr>
              <w:t>结论</w:t>
            </w:r>
          </w:p>
        </w:tc>
      </w:tr>
      <w:tr w:rsidR="002A5A5E" w:rsidRPr="00F9522B">
        <w:trPr>
          <w:trHeight w:val="1672"/>
          <w:jc w:val="center"/>
        </w:trPr>
        <w:tc>
          <w:tcPr>
            <w:tcW w:w="680" w:type="dxa"/>
            <w:tcBorders>
              <w:tl2br w:val="nil"/>
              <w:tr2bl w:val="nil"/>
            </w:tcBorders>
            <w:vAlign w:val="center"/>
          </w:tcPr>
          <w:p w:rsidR="002A5A5E" w:rsidRPr="00F9522B" w:rsidRDefault="00611CBA">
            <w:pPr>
              <w:jc w:val="center"/>
              <w:rPr>
                <w:rFonts w:eastAsiaTheme="minorEastAsia"/>
                <w:kern w:val="0"/>
                <w:szCs w:val="21"/>
              </w:rPr>
            </w:pPr>
            <w:r w:rsidRPr="00F9522B">
              <w:rPr>
                <w:rFonts w:eastAsiaTheme="minorEastAsia"/>
                <w:kern w:val="0"/>
                <w:szCs w:val="21"/>
              </w:rPr>
              <w:t>1</w:t>
            </w:r>
          </w:p>
        </w:tc>
        <w:tc>
          <w:tcPr>
            <w:tcW w:w="2765" w:type="dxa"/>
            <w:tcBorders>
              <w:bottom w:val="single" w:sz="4" w:space="0" w:color="auto"/>
              <w:tl2br w:val="nil"/>
              <w:tr2bl w:val="nil"/>
            </w:tcBorders>
            <w:vAlign w:val="center"/>
          </w:tcPr>
          <w:p w:rsidR="002A5A5E" w:rsidRPr="00F9522B" w:rsidRDefault="00611CBA">
            <w:pPr>
              <w:jc w:val="left"/>
              <w:rPr>
                <w:rFonts w:eastAsiaTheme="minorEastAsia"/>
                <w:kern w:val="0"/>
                <w:szCs w:val="21"/>
              </w:rPr>
            </w:pPr>
            <w:r w:rsidRPr="00F9522B">
              <w:rPr>
                <w:rFonts w:eastAsiaTheme="minorEastAsia"/>
                <w:kern w:val="0"/>
                <w:szCs w:val="21"/>
              </w:rPr>
              <w:t>黑土地保护利用实行土地用途管制制度。严格限制农用地转为建设用地，严格控制耕地转为非耕地，禁止违法占用耕地。</w:t>
            </w:r>
          </w:p>
        </w:tc>
        <w:tc>
          <w:tcPr>
            <w:tcW w:w="4196" w:type="dxa"/>
            <w:vMerge w:val="restart"/>
            <w:tcBorders>
              <w:tl2br w:val="nil"/>
              <w:tr2bl w:val="nil"/>
            </w:tcBorders>
            <w:vAlign w:val="center"/>
          </w:tcPr>
          <w:p w:rsidR="002A5A5E" w:rsidRPr="00F9522B" w:rsidRDefault="00611CBA" w:rsidP="00772BB1">
            <w:pPr>
              <w:jc w:val="left"/>
              <w:rPr>
                <w:rFonts w:eastAsiaTheme="minorEastAsia"/>
                <w:kern w:val="0"/>
                <w:szCs w:val="21"/>
              </w:rPr>
            </w:pPr>
            <w:r w:rsidRPr="00F9522B">
              <w:rPr>
                <w:rFonts w:eastAsiaTheme="minorEastAsia"/>
                <w:kern w:val="0"/>
                <w:szCs w:val="21"/>
              </w:rPr>
              <w:t>本项目为高标准农田建设项目，无法避让耕地（黑土地），本工程尽可能减少占地。</w:t>
            </w:r>
            <w:r w:rsidRPr="00F9522B">
              <w:rPr>
                <w:rFonts w:eastAsiaTheme="minorEastAsia"/>
                <w:bCs/>
                <w:kern w:val="0"/>
                <w:szCs w:val="21"/>
              </w:rPr>
              <w:t>本项目田间道路工程在现有</w:t>
            </w:r>
            <w:r w:rsidR="0097424D" w:rsidRPr="00F9522B">
              <w:rPr>
                <w:rFonts w:eastAsiaTheme="minorEastAsia"/>
                <w:bCs/>
                <w:kern w:val="0"/>
                <w:szCs w:val="21"/>
              </w:rPr>
              <w:t>道路基础上修建，现有灌溉渠道衬砌，现有排水沟清淤，田块整治工程</w:t>
            </w:r>
            <w:r w:rsidRPr="00F9522B">
              <w:rPr>
                <w:rFonts w:eastAsiaTheme="minorEastAsia"/>
                <w:bCs/>
                <w:kern w:val="0"/>
                <w:szCs w:val="21"/>
              </w:rPr>
              <w:t>在永久占地范围内，不新增临时占地。施工临时占用</w:t>
            </w:r>
            <w:r w:rsidR="00772BB1" w:rsidRPr="00F9522B">
              <w:rPr>
                <w:rFonts w:eastAsiaTheme="minorEastAsia"/>
                <w:bCs/>
                <w:kern w:val="0"/>
                <w:szCs w:val="21"/>
              </w:rPr>
              <w:t>农田</w:t>
            </w:r>
            <w:r w:rsidR="00772BB1" w:rsidRPr="00F9522B">
              <w:rPr>
                <w:rFonts w:eastAsiaTheme="minorEastAsia"/>
                <w:bCs/>
                <w:kern w:val="0"/>
                <w:szCs w:val="21"/>
              </w:rPr>
              <w:t>50978</w:t>
            </w:r>
            <w:r w:rsidRPr="00F9522B">
              <w:rPr>
                <w:rFonts w:eastAsiaTheme="minorEastAsia"/>
                <w:bCs/>
                <w:kern w:val="0"/>
                <w:szCs w:val="21"/>
              </w:rPr>
              <w:t>m</w:t>
            </w:r>
            <w:r w:rsidRPr="00F9522B">
              <w:rPr>
                <w:rFonts w:eastAsiaTheme="minorEastAsia"/>
                <w:bCs/>
                <w:kern w:val="0"/>
                <w:szCs w:val="21"/>
                <w:vertAlign w:val="superscript"/>
              </w:rPr>
              <w:t>2</w:t>
            </w:r>
            <w:r w:rsidRPr="00F9522B">
              <w:rPr>
                <w:rFonts w:eastAsiaTheme="minorEastAsia"/>
                <w:bCs/>
                <w:kern w:val="0"/>
                <w:szCs w:val="21"/>
              </w:rPr>
              <w:t>，施工结束后恢复为旱地。灌溉井井房永久占用</w:t>
            </w:r>
            <w:r w:rsidR="00772BB1" w:rsidRPr="00F9522B">
              <w:rPr>
                <w:rFonts w:eastAsiaTheme="minorEastAsia"/>
                <w:bCs/>
                <w:kern w:val="0"/>
                <w:szCs w:val="21"/>
              </w:rPr>
              <w:t>农田</w:t>
            </w:r>
            <w:r w:rsidR="00772BB1" w:rsidRPr="00F9522B">
              <w:rPr>
                <w:rFonts w:eastAsiaTheme="minorEastAsia"/>
                <w:bCs/>
                <w:kern w:val="0"/>
                <w:szCs w:val="21"/>
              </w:rPr>
              <w:t>2076</w:t>
            </w:r>
            <w:r w:rsidRPr="00F9522B">
              <w:rPr>
                <w:rFonts w:eastAsiaTheme="minorEastAsia"/>
                <w:bCs/>
                <w:kern w:val="0"/>
                <w:szCs w:val="21"/>
              </w:rPr>
              <w:t>m</w:t>
            </w:r>
            <w:r w:rsidRPr="00F9522B">
              <w:rPr>
                <w:rFonts w:eastAsiaTheme="minorEastAsia"/>
                <w:bCs/>
                <w:kern w:val="0"/>
                <w:szCs w:val="21"/>
                <w:vertAlign w:val="superscript"/>
              </w:rPr>
              <w:t>2</w:t>
            </w:r>
            <w:r w:rsidRPr="00F9522B">
              <w:rPr>
                <w:rFonts w:eastAsiaTheme="minorEastAsia"/>
                <w:bCs/>
                <w:kern w:val="0"/>
                <w:szCs w:val="21"/>
              </w:rPr>
              <w:t>，涵洞等建筑物工程永久占用</w:t>
            </w:r>
            <w:r w:rsidR="00772BB1" w:rsidRPr="00F9522B">
              <w:rPr>
                <w:rFonts w:eastAsiaTheme="minorEastAsia"/>
                <w:bCs/>
                <w:kern w:val="0"/>
                <w:szCs w:val="21"/>
              </w:rPr>
              <w:t>农田</w:t>
            </w:r>
            <w:r w:rsidRPr="00F9522B">
              <w:rPr>
                <w:rFonts w:eastAsiaTheme="minorEastAsia"/>
                <w:bCs/>
                <w:kern w:val="0"/>
                <w:szCs w:val="21"/>
              </w:rPr>
              <w:t>1200m</w:t>
            </w:r>
            <w:r w:rsidRPr="00F9522B">
              <w:rPr>
                <w:rFonts w:eastAsiaTheme="minorEastAsia"/>
                <w:bCs/>
                <w:kern w:val="0"/>
                <w:szCs w:val="21"/>
                <w:vertAlign w:val="superscript"/>
              </w:rPr>
              <w:t>2</w:t>
            </w:r>
            <w:r w:rsidRPr="00F9522B">
              <w:rPr>
                <w:rFonts w:eastAsiaTheme="minorEastAsia"/>
                <w:bCs/>
                <w:kern w:val="0"/>
                <w:szCs w:val="21"/>
              </w:rPr>
              <w:t>。由于项目属于农业生产设施配套服务项目，项目建设后抗旱效果明显，新建灌溉井及建筑物呈点状分布，单个占地面积较小，不涉及补偿问题</w:t>
            </w:r>
            <w:r w:rsidR="00772BB1" w:rsidRPr="00F9522B">
              <w:rPr>
                <w:rFonts w:eastAsiaTheme="minorEastAsia"/>
                <w:bCs/>
                <w:kern w:val="0"/>
                <w:szCs w:val="21"/>
              </w:rPr>
              <w:t>。</w:t>
            </w:r>
          </w:p>
        </w:tc>
        <w:tc>
          <w:tcPr>
            <w:tcW w:w="751" w:type="dxa"/>
            <w:tcBorders>
              <w:bottom w:val="single" w:sz="4" w:space="0" w:color="auto"/>
              <w:tl2br w:val="nil"/>
              <w:tr2bl w:val="nil"/>
            </w:tcBorders>
            <w:vAlign w:val="center"/>
          </w:tcPr>
          <w:p w:rsidR="002A5A5E" w:rsidRPr="00F9522B" w:rsidRDefault="00611CBA">
            <w:pPr>
              <w:jc w:val="center"/>
              <w:rPr>
                <w:rFonts w:eastAsiaTheme="minorEastAsia"/>
                <w:kern w:val="0"/>
                <w:szCs w:val="21"/>
              </w:rPr>
            </w:pPr>
            <w:r w:rsidRPr="00F9522B">
              <w:rPr>
                <w:rFonts w:eastAsiaTheme="minorEastAsia"/>
                <w:kern w:val="0"/>
                <w:szCs w:val="21"/>
              </w:rPr>
              <w:t>符合</w:t>
            </w:r>
          </w:p>
        </w:tc>
      </w:tr>
      <w:tr w:rsidR="002A5A5E" w:rsidRPr="00F9522B">
        <w:trPr>
          <w:trHeight w:val="931"/>
          <w:jc w:val="center"/>
        </w:trPr>
        <w:tc>
          <w:tcPr>
            <w:tcW w:w="680" w:type="dxa"/>
            <w:tcBorders>
              <w:tl2br w:val="nil"/>
              <w:tr2bl w:val="nil"/>
            </w:tcBorders>
            <w:vAlign w:val="center"/>
          </w:tcPr>
          <w:p w:rsidR="002A5A5E" w:rsidRPr="00F9522B" w:rsidRDefault="00611CBA">
            <w:pPr>
              <w:jc w:val="center"/>
              <w:rPr>
                <w:rFonts w:eastAsiaTheme="minorEastAsia"/>
                <w:kern w:val="0"/>
                <w:szCs w:val="21"/>
              </w:rPr>
            </w:pPr>
            <w:r w:rsidRPr="00F9522B">
              <w:rPr>
                <w:rFonts w:eastAsiaTheme="minorEastAsia"/>
                <w:kern w:val="0"/>
                <w:szCs w:val="21"/>
              </w:rPr>
              <w:t>2</w:t>
            </w:r>
          </w:p>
        </w:tc>
        <w:tc>
          <w:tcPr>
            <w:tcW w:w="2765" w:type="dxa"/>
            <w:tcBorders>
              <w:top w:val="single" w:sz="4" w:space="0" w:color="auto"/>
              <w:tl2br w:val="nil"/>
              <w:tr2bl w:val="nil"/>
            </w:tcBorders>
            <w:vAlign w:val="center"/>
          </w:tcPr>
          <w:p w:rsidR="002A5A5E" w:rsidRPr="00F9522B" w:rsidRDefault="00611CBA">
            <w:pPr>
              <w:jc w:val="left"/>
              <w:rPr>
                <w:rFonts w:eastAsiaTheme="minorEastAsia"/>
                <w:kern w:val="0"/>
                <w:szCs w:val="21"/>
              </w:rPr>
            </w:pPr>
            <w:r w:rsidRPr="00F9522B">
              <w:rPr>
                <w:rFonts w:eastAsiaTheme="minorEastAsia"/>
                <w:kern w:val="0"/>
                <w:szCs w:val="21"/>
              </w:rPr>
              <w:t> </w:t>
            </w:r>
            <w:r w:rsidRPr="00F9522B">
              <w:rPr>
                <w:rFonts w:eastAsiaTheme="minorEastAsia"/>
                <w:kern w:val="0"/>
                <w:szCs w:val="21"/>
              </w:rPr>
              <w:t>建立和完善建设用地增减挂钩机制。建设项目应当节约、集约使用黑土地，不占或者少占黑土地。</w:t>
            </w:r>
          </w:p>
        </w:tc>
        <w:tc>
          <w:tcPr>
            <w:tcW w:w="4196" w:type="dxa"/>
            <w:vMerge/>
            <w:tcBorders>
              <w:tl2br w:val="nil"/>
              <w:tr2bl w:val="nil"/>
            </w:tcBorders>
            <w:vAlign w:val="center"/>
          </w:tcPr>
          <w:p w:rsidR="002A5A5E" w:rsidRPr="00F9522B" w:rsidRDefault="002A5A5E">
            <w:pPr>
              <w:jc w:val="left"/>
              <w:rPr>
                <w:rFonts w:eastAsiaTheme="minorEastAsia"/>
                <w:kern w:val="0"/>
                <w:szCs w:val="21"/>
              </w:rPr>
            </w:pPr>
          </w:p>
        </w:tc>
        <w:tc>
          <w:tcPr>
            <w:tcW w:w="751" w:type="dxa"/>
            <w:tcBorders>
              <w:top w:val="single" w:sz="4" w:space="0" w:color="auto"/>
              <w:tl2br w:val="nil"/>
              <w:tr2bl w:val="nil"/>
            </w:tcBorders>
            <w:vAlign w:val="center"/>
          </w:tcPr>
          <w:p w:rsidR="002A5A5E" w:rsidRPr="00F9522B" w:rsidRDefault="00611CBA">
            <w:pPr>
              <w:jc w:val="center"/>
              <w:rPr>
                <w:rFonts w:eastAsiaTheme="minorEastAsia"/>
                <w:kern w:val="0"/>
                <w:szCs w:val="21"/>
              </w:rPr>
            </w:pPr>
            <w:r w:rsidRPr="00F9522B">
              <w:rPr>
                <w:rFonts w:eastAsiaTheme="minorEastAsia"/>
                <w:kern w:val="0"/>
                <w:szCs w:val="21"/>
              </w:rPr>
              <w:t>符合</w:t>
            </w:r>
          </w:p>
        </w:tc>
      </w:tr>
      <w:tr w:rsidR="002A5A5E" w:rsidRPr="00F9522B">
        <w:trPr>
          <w:trHeight w:val="1942"/>
          <w:jc w:val="center"/>
        </w:trPr>
        <w:tc>
          <w:tcPr>
            <w:tcW w:w="680" w:type="dxa"/>
            <w:tcBorders>
              <w:tl2br w:val="nil"/>
              <w:tr2bl w:val="nil"/>
            </w:tcBorders>
            <w:vAlign w:val="center"/>
          </w:tcPr>
          <w:p w:rsidR="002A5A5E" w:rsidRPr="00F9522B" w:rsidRDefault="00611CBA">
            <w:pPr>
              <w:jc w:val="center"/>
              <w:rPr>
                <w:rFonts w:eastAsiaTheme="minorEastAsia"/>
                <w:kern w:val="0"/>
                <w:szCs w:val="21"/>
              </w:rPr>
            </w:pPr>
            <w:r w:rsidRPr="00F9522B">
              <w:rPr>
                <w:rFonts w:eastAsiaTheme="minorEastAsia"/>
                <w:kern w:val="0"/>
                <w:szCs w:val="21"/>
              </w:rPr>
              <w:t>3</w:t>
            </w:r>
          </w:p>
        </w:tc>
        <w:tc>
          <w:tcPr>
            <w:tcW w:w="2765" w:type="dxa"/>
            <w:tcBorders>
              <w:tl2br w:val="nil"/>
              <w:tr2bl w:val="nil"/>
            </w:tcBorders>
            <w:vAlign w:val="center"/>
          </w:tcPr>
          <w:p w:rsidR="002A5A5E" w:rsidRPr="00F9522B" w:rsidRDefault="00611CBA">
            <w:pPr>
              <w:jc w:val="left"/>
              <w:rPr>
                <w:rFonts w:eastAsiaTheme="minorEastAsia"/>
                <w:kern w:val="0"/>
                <w:szCs w:val="21"/>
              </w:rPr>
            </w:pPr>
            <w:r w:rsidRPr="00F9522B">
              <w:rPr>
                <w:rFonts w:eastAsiaTheme="minorEastAsia"/>
                <w:kern w:val="0"/>
                <w:szCs w:val="21"/>
              </w:rPr>
              <w:t>生产建设活动占用黑土地的，应当按照有关标准、规范和管理规定剥离表土。</w:t>
            </w:r>
          </w:p>
        </w:tc>
        <w:tc>
          <w:tcPr>
            <w:tcW w:w="4196" w:type="dxa"/>
            <w:tcBorders>
              <w:tl2br w:val="nil"/>
              <w:tr2bl w:val="nil"/>
            </w:tcBorders>
            <w:vAlign w:val="center"/>
          </w:tcPr>
          <w:p w:rsidR="002A5A5E" w:rsidRPr="00F9522B" w:rsidRDefault="00611CBA">
            <w:pPr>
              <w:jc w:val="left"/>
              <w:rPr>
                <w:rFonts w:eastAsiaTheme="minorEastAsia"/>
                <w:kern w:val="0"/>
                <w:szCs w:val="21"/>
              </w:rPr>
            </w:pPr>
            <w:r w:rsidRPr="00F9522B">
              <w:rPr>
                <w:rFonts w:eastAsiaTheme="minorEastAsia"/>
                <w:kern w:val="0"/>
                <w:szCs w:val="21"/>
              </w:rPr>
              <w:t>本项目施工前对占用的土地进行表土剥离。在土壤剥离及运输过程中，采取水土保持和扬尘防治措施，</w:t>
            </w:r>
            <w:r w:rsidRPr="00F9522B">
              <w:rPr>
                <w:rFonts w:eastAsiaTheme="minorEastAsia"/>
              </w:rPr>
              <w:t>可有效防止</w:t>
            </w:r>
            <w:r w:rsidRPr="00F9522B">
              <w:rPr>
                <w:rFonts w:eastAsiaTheme="minorEastAsia"/>
                <w:kern w:val="0"/>
                <w:szCs w:val="21"/>
              </w:rPr>
              <w:t>土壤和环境污染。表土剥离后存储于项目施工场地表土堆场内。表土储存时</w:t>
            </w:r>
            <w:r w:rsidRPr="00F9522B">
              <w:rPr>
                <w:rFonts w:eastAsiaTheme="minorEastAsia"/>
                <w:bCs/>
                <w:kern w:val="0"/>
                <w:szCs w:val="21"/>
              </w:rPr>
              <w:t>表土堆场设置临时拦挡，采用密目网苫盖，</w:t>
            </w:r>
            <w:r w:rsidRPr="00F9522B">
              <w:rPr>
                <w:rFonts w:eastAsiaTheme="minorEastAsia"/>
                <w:kern w:val="0"/>
                <w:szCs w:val="21"/>
              </w:rPr>
              <w:t>在项目施工结束后，剥离的表土优先用于临时占地生态恢复，其余用于本项目高标准农田建设。</w:t>
            </w:r>
          </w:p>
        </w:tc>
        <w:tc>
          <w:tcPr>
            <w:tcW w:w="751" w:type="dxa"/>
            <w:tcBorders>
              <w:tl2br w:val="nil"/>
              <w:tr2bl w:val="nil"/>
            </w:tcBorders>
            <w:vAlign w:val="center"/>
          </w:tcPr>
          <w:p w:rsidR="002A5A5E" w:rsidRPr="00F9522B" w:rsidRDefault="00611CBA">
            <w:pPr>
              <w:jc w:val="center"/>
              <w:rPr>
                <w:rFonts w:eastAsiaTheme="minorEastAsia"/>
                <w:kern w:val="0"/>
                <w:szCs w:val="21"/>
              </w:rPr>
            </w:pPr>
            <w:r w:rsidRPr="00F9522B">
              <w:rPr>
                <w:rFonts w:eastAsiaTheme="minorEastAsia"/>
                <w:kern w:val="0"/>
                <w:szCs w:val="21"/>
              </w:rPr>
              <w:t>符合</w:t>
            </w:r>
          </w:p>
        </w:tc>
      </w:tr>
    </w:tbl>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在采取以上措施后，本项目符合《黑龙江省黑土地保护利用条例》要求。</w:t>
      </w:r>
    </w:p>
    <w:p w:rsidR="002A5A5E" w:rsidRPr="00F9522B" w:rsidRDefault="00760E2B">
      <w:pPr>
        <w:spacing w:line="360" w:lineRule="auto"/>
        <w:ind w:firstLineChars="200" w:firstLine="480"/>
        <w:jc w:val="left"/>
        <w:rPr>
          <w:rFonts w:eastAsiaTheme="minorEastAsia"/>
          <w:kern w:val="0"/>
          <w:sz w:val="24"/>
        </w:rPr>
      </w:pPr>
      <w:r w:rsidRPr="00F9522B">
        <w:rPr>
          <w:rFonts w:eastAsiaTheme="minorEastAsia"/>
          <w:kern w:val="0"/>
          <w:sz w:val="24"/>
        </w:rPr>
        <w:t>（</w:t>
      </w:r>
      <w:r w:rsidRPr="00F9522B">
        <w:rPr>
          <w:rFonts w:eastAsiaTheme="minorEastAsia"/>
          <w:kern w:val="0"/>
          <w:sz w:val="24"/>
        </w:rPr>
        <w:t>9</w:t>
      </w:r>
      <w:r w:rsidRPr="00F9522B">
        <w:rPr>
          <w:rFonts w:eastAsiaTheme="minorEastAsia"/>
          <w:kern w:val="0"/>
          <w:sz w:val="24"/>
        </w:rPr>
        <w:t>）</w:t>
      </w:r>
      <w:r w:rsidR="00611CBA" w:rsidRPr="00F9522B">
        <w:rPr>
          <w:rFonts w:eastAsiaTheme="minorEastAsia"/>
          <w:kern w:val="0"/>
          <w:sz w:val="24"/>
        </w:rPr>
        <w:t>与《基本农田保护条例》（</w:t>
      </w:r>
      <w:r w:rsidR="00611CBA" w:rsidRPr="00F9522B">
        <w:rPr>
          <w:rFonts w:eastAsiaTheme="minorEastAsia"/>
          <w:kern w:val="0"/>
          <w:sz w:val="24"/>
        </w:rPr>
        <w:t>1999.01.01</w:t>
      </w:r>
      <w:r w:rsidR="00611CBA" w:rsidRPr="00F9522B">
        <w:rPr>
          <w:rFonts w:eastAsiaTheme="minorEastAsia"/>
          <w:kern w:val="0"/>
          <w:sz w:val="24"/>
        </w:rPr>
        <w:t>施行）符合性分析</w:t>
      </w:r>
    </w:p>
    <w:p w:rsidR="002A5A5E" w:rsidRPr="00F9522B" w:rsidRDefault="00611CBA">
      <w:pPr>
        <w:spacing w:line="360" w:lineRule="auto"/>
        <w:ind w:firstLineChars="200" w:firstLine="480"/>
        <w:jc w:val="left"/>
        <w:rPr>
          <w:rFonts w:eastAsiaTheme="minorEastAsia"/>
          <w:bCs/>
          <w:kern w:val="0"/>
          <w:sz w:val="24"/>
        </w:rPr>
      </w:pPr>
      <w:r w:rsidRPr="00F9522B">
        <w:rPr>
          <w:rFonts w:eastAsiaTheme="minorEastAsia"/>
          <w:bCs/>
          <w:kern w:val="0"/>
          <w:sz w:val="24"/>
        </w:rPr>
        <w:t>第十五条国家能源、交通、水利、军事设施等重点建设项目选址，需要占用基本农田，涉及农用地转用或者征用土地的，必须经国务院批准；</w:t>
      </w:r>
    </w:p>
    <w:p w:rsidR="002A5A5E" w:rsidRPr="00F9522B" w:rsidRDefault="00611CBA">
      <w:pPr>
        <w:spacing w:line="360" w:lineRule="auto"/>
        <w:ind w:firstLineChars="200" w:firstLine="480"/>
        <w:jc w:val="left"/>
        <w:rPr>
          <w:rFonts w:eastAsiaTheme="minorEastAsia"/>
          <w:bCs/>
          <w:kern w:val="0"/>
          <w:sz w:val="24"/>
        </w:rPr>
      </w:pPr>
      <w:r w:rsidRPr="00F9522B">
        <w:rPr>
          <w:rFonts w:eastAsiaTheme="minorEastAsia"/>
          <w:bCs/>
          <w:kern w:val="0"/>
          <w:sz w:val="24"/>
        </w:rPr>
        <w:t>第十六条经国务院批准占用基本农田的，当地人民政府应当按照国务院的批准文件修改土地利用总体规划，并补充划入数量和质量相当的基本农田。占用单位应当按照占多少、垦多少的原则，负责开垦与所占基本农田的数量与质量相当的耕地；没有条件开垦或者开垦的耕地不符合要求的，应当按照省、自治区、直辖市的规定缴纳耕地开垦费，专款用于开垦新的耕地。占用基本农田的单位应当按照县级以上地方人民政府的要求，将所占用基本农田耕作层的土壤用于新开垦耕地、劣质地或者其他耕地的土壤改良。</w:t>
      </w:r>
    </w:p>
    <w:p w:rsidR="002A5A5E" w:rsidRPr="00F9522B" w:rsidRDefault="00611CBA">
      <w:pPr>
        <w:spacing w:line="360" w:lineRule="auto"/>
        <w:ind w:firstLineChars="200" w:firstLine="480"/>
        <w:jc w:val="left"/>
        <w:rPr>
          <w:rFonts w:eastAsiaTheme="minorEastAsia"/>
          <w:bCs/>
          <w:kern w:val="0"/>
          <w:sz w:val="24"/>
        </w:rPr>
      </w:pPr>
      <w:r w:rsidRPr="00F9522B">
        <w:rPr>
          <w:rFonts w:eastAsiaTheme="minorEastAsia"/>
          <w:bCs/>
          <w:kern w:val="0"/>
          <w:sz w:val="24"/>
        </w:rPr>
        <w:t>第十七条</w:t>
      </w:r>
      <w:r w:rsidRPr="00F9522B">
        <w:rPr>
          <w:rFonts w:eastAsiaTheme="minorEastAsia"/>
          <w:bCs/>
          <w:kern w:val="0"/>
          <w:sz w:val="24"/>
        </w:rPr>
        <w:t xml:space="preserve"> </w:t>
      </w:r>
      <w:r w:rsidRPr="00F9522B">
        <w:rPr>
          <w:rFonts w:eastAsiaTheme="minorEastAsia"/>
          <w:bCs/>
          <w:kern w:val="0"/>
          <w:sz w:val="24"/>
        </w:rPr>
        <w:t>禁止任何单位和个人在基本农田保护区内建窑、建房、建坟、挖砂、采石、采矿、取土、堆放固体废弃物或者进行其他破坏基本农田的活动。禁止任何单位和个人占用基本农田发展林果业和挖塘养鱼。</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bCs/>
          <w:kern w:val="0"/>
          <w:sz w:val="24"/>
        </w:rPr>
        <w:t>本项目为高标准农田建设项目，田块整治工程在现状农田上建设，不可避免</w:t>
      </w:r>
      <w:r w:rsidRPr="00F9522B">
        <w:rPr>
          <w:rFonts w:eastAsiaTheme="minorEastAsia"/>
          <w:bCs/>
          <w:kern w:val="0"/>
          <w:sz w:val="24"/>
        </w:rPr>
        <w:lastRenderedPageBreak/>
        <w:t>将占用基本农田，占用面积约为</w:t>
      </w:r>
      <w:r w:rsidRPr="00F9522B">
        <w:rPr>
          <w:rFonts w:eastAsiaTheme="minorEastAsia"/>
          <w:bCs/>
          <w:kern w:val="0"/>
          <w:sz w:val="24"/>
        </w:rPr>
        <w:t>0.03</w:t>
      </w:r>
      <w:r w:rsidRPr="00F9522B">
        <w:rPr>
          <w:rFonts w:eastAsiaTheme="minorEastAsia"/>
          <w:bCs/>
          <w:kern w:val="0"/>
          <w:sz w:val="24"/>
        </w:rPr>
        <w:t>平方公里，施工过程中不向农用地排放重金属或者其他有毒有害物质含量超标的污水、污泥，以及可能造成土壤污染的清淤底泥、尾矿、矿渣等，不会造成永久基本农田污染。</w:t>
      </w:r>
    </w:p>
    <w:p w:rsidR="002A5A5E" w:rsidRPr="00F9522B" w:rsidRDefault="00760E2B">
      <w:pPr>
        <w:spacing w:line="360" w:lineRule="auto"/>
        <w:ind w:firstLineChars="200" w:firstLine="480"/>
        <w:jc w:val="left"/>
        <w:rPr>
          <w:rFonts w:eastAsiaTheme="minorEastAsia"/>
          <w:kern w:val="0"/>
          <w:sz w:val="24"/>
        </w:rPr>
      </w:pPr>
      <w:r w:rsidRPr="00F9522B">
        <w:rPr>
          <w:rFonts w:eastAsiaTheme="minorEastAsia"/>
          <w:kern w:val="0"/>
          <w:sz w:val="24"/>
        </w:rPr>
        <w:t>（</w:t>
      </w:r>
      <w:r w:rsidRPr="00F9522B">
        <w:rPr>
          <w:rFonts w:eastAsiaTheme="minorEastAsia"/>
          <w:kern w:val="0"/>
          <w:sz w:val="24"/>
        </w:rPr>
        <w:t>10</w:t>
      </w:r>
      <w:r w:rsidRPr="00F9522B">
        <w:rPr>
          <w:rFonts w:eastAsiaTheme="minorEastAsia"/>
          <w:kern w:val="0"/>
          <w:sz w:val="24"/>
        </w:rPr>
        <w:t>）</w:t>
      </w:r>
      <w:r w:rsidR="00611CBA" w:rsidRPr="00F9522B">
        <w:rPr>
          <w:rFonts w:eastAsiaTheme="minorEastAsia"/>
          <w:kern w:val="0"/>
          <w:sz w:val="24"/>
        </w:rPr>
        <w:t>与《黑龙江省耕地保护条例》（</w:t>
      </w:r>
      <w:r w:rsidR="00611CBA" w:rsidRPr="00F9522B">
        <w:rPr>
          <w:rFonts w:eastAsiaTheme="minorEastAsia"/>
          <w:kern w:val="0"/>
          <w:sz w:val="24"/>
        </w:rPr>
        <w:t>2016.07.01</w:t>
      </w:r>
      <w:r w:rsidR="00611CBA" w:rsidRPr="00F9522B">
        <w:rPr>
          <w:rFonts w:eastAsiaTheme="minorEastAsia"/>
          <w:kern w:val="0"/>
          <w:sz w:val="24"/>
        </w:rPr>
        <w:t>施行）符合性分析</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第十七条建设生态高产标准农田应当以平原区为重点；松嫩平原、三江平原以及中部粮食主产区的中、高产田，应当优先建设为生态高产标准农田。</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第二十条县级以上人民政府应当组织开展下列耕地基础设施建设：</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（一）农田水利以及水土保持设施；</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（二）田间道路；</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（三）田间用电设施；</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（四）农田监测设施；</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（五）植物保护设施；</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（六）农田机械临时存放设施；</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（七）其他有利于保护耕地和提高耕地质量的相关配套基础设施。</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sz w:val="24"/>
        </w:rPr>
        <w:t>本项目为高标准农田建设项目，主要建设内容为灌溉与排水工程、田间道路工程、农田输配电工程。本项目</w:t>
      </w:r>
      <w:r w:rsidR="00140B49" w:rsidRPr="00F9522B">
        <w:rPr>
          <w:rFonts w:eastAsiaTheme="minorEastAsia"/>
          <w:bCs/>
          <w:sz w:val="24"/>
        </w:rPr>
        <w:t>建设</w:t>
      </w:r>
      <w:r w:rsidR="00140B49" w:rsidRPr="00F9522B">
        <w:rPr>
          <w:rFonts w:eastAsiaTheme="minorEastAsia"/>
          <w:bCs/>
          <w:sz w:val="24"/>
        </w:rPr>
        <w:t>32</w:t>
      </w:r>
      <w:r w:rsidR="00140B49" w:rsidRPr="00F9522B">
        <w:rPr>
          <w:rFonts w:eastAsiaTheme="minorEastAsia"/>
          <w:bCs/>
          <w:sz w:val="24"/>
        </w:rPr>
        <w:t>万亩高标准农田（旱田</w:t>
      </w:r>
      <w:r w:rsidR="00140B49" w:rsidRPr="00F9522B">
        <w:rPr>
          <w:rFonts w:eastAsiaTheme="minorEastAsia"/>
          <w:bCs/>
          <w:sz w:val="24"/>
        </w:rPr>
        <w:t>31.53</w:t>
      </w:r>
      <w:r w:rsidR="00140B49" w:rsidRPr="00F9522B">
        <w:rPr>
          <w:rFonts w:eastAsiaTheme="minorEastAsia"/>
          <w:bCs/>
          <w:sz w:val="24"/>
        </w:rPr>
        <w:t>万亩，水田</w:t>
      </w:r>
      <w:r w:rsidR="00140B49" w:rsidRPr="00F9522B">
        <w:rPr>
          <w:rFonts w:eastAsiaTheme="minorEastAsia"/>
          <w:bCs/>
          <w:sz w:val="24"/>
        </w:rPr>
        <w:t>0.47</w:t>
      </w:r>
      <w:r w:rsidR="00140B49" w:rsidRPr="00F9522B">
        <w:rPr>
          <w:rFonts w:eastAsiaTheme="minorEastAsia"/>
          <w:bCs/>
          <w:sz w:val="24"/>
        </w:rPr>
        <w:t>万亩）</w:t>
      </w:r>
      <w:r w:rsidRPr="00F9522B">
        <w:rPr>
          <w:rFonts w:eastAsiaTheme="minorEastAsia"/>
          <w:sz w:val="24"/>
        </w:rPr>
        <w:t>，提高作物产量，促进当地经济发展，改善人民生活水平。临时占用耕地在施工结束后进行土地复垦。</w:t>
      </w:r>
      <w:r w:rsidRPr="00F9522B">
        <w:rPr>
          <w:rFonts w:eastAsiaTheme="minorEastAsia"/>
          <w:bCs/>
          <w:sz w:val="24"/>
        </w:rPr>
        <w:t>因此，本项目符合</w:t>
      </w:r>
      <w:r w:rsidRPr="00F9522B">
        <w:rPr>
          <w:rFonts w:eastAsiaTheme="minorEastAsia"/>
          <w:sz w:val="24"/>
        </w:rPr>
        <w:t>《黑龙江省耕地保护条例》中</w:t>
      </w:r>
      <w:r w:rsidRPr="00F9522B">
        <w:rPr>
          <w:rFonts w:eastAsiaTheme="minorEastAsia"/>
          <w:sz w:val="24"/>
        </w:rPr>
        <w:t>“</w:t>
      </w:r>
      <w:r w:rsidRPr="00F9522B">
        <w:rPr>
          <w:rFonts w:eastAsiaTheme="minorEastAsia"/>
          <w:sz w:val="24"/>
        </w:rPr>
        <w:t>建设生态高产标准农田</w:t>
      </w:r>
      <w:r w:rsidRPr="00F9522B">
        <w:rPr>
          <w:rFonts w:eastAsiaTheme="minorEastAsia"/>
          <w:sz w:val="24"/>
        </w:rPr>
        <w:t>”</w:t>
      </w:r>
      <w:r w:rsidRPr="00F9522B">
        <w:rPr>
          <w:rFonts w:eastAsiaTheme="minorEastAsia"/>
          <w:sz w:val="24"/>
        </w:rPr>
        <w:t>的要求。</w:t>
      </w:r>
    </w:p>
    <w:p w:rsidR="002A5A5E" w:rsidRPr="00F9522B" w:rsidRDefault="00760E2B" w:rsidP="0017557C">
      <w:pPr>
        <w:spacing w:line="360" w:lineRule="auto"/>
        <w:ind w:firstLineChars="200" w:firstLine="480"/>
        <w:jc w:val="left"/>
        <w:rPr>
          <w:rFonts w:eastAsiaTheme="minorEastAsia"/>
          <w:color w:val="FF0000"/>
          <w:kern w:val="0"/>
          <w:sz w:val="24"/>
        </w:rPr>
      </w:pPr>
      <w:r w:rsidRPr="00F9522B">
        <w:rPr>
          <w:rFonts w:eastAsiaTheme="minorEastAsia"/>
          <w:color w:val="FF0000"/>
          <w:kern w:val="0"/>
          <w:sz w:val="24"/>
        </w:rPr>
        <w:t>（</w:t>
      </w:r>
      <w:r w:rsidRPr="00F9522B">
        <w:rPr>
          <w:rFonts w:eastAsiaTheme="minorEastAsia"/>
          <w:color w:val="FF0000"/>
          <w:kern w:val="0"/>
          <w:sz w:val="24"/>
        </w:rPr>
        <w:t>11</w:t>
      </w:r>
      <w:r w:rsidRPr="00F9522B">
        <w:rPr>
          <w:rFonts w:eastAsiaTheme="minorEastAsia"/>
          <w:color w:val="FF0000"/>
          <w:kern w:val="0"/>
          <w:sz w:val="24"/>
        </w:rPr>
        <w:t>）</w:t>
      </w:r>
      <w:r w:rsidR="00611CBA" w:rsidRPr="00F9522B">
        <w:rPr>
          <w:rFonts w:eastAsiaTheme="minorEastAsia"/>
          <w:color w:val="FF0000"/>
          <w:kern w:val="0"/>
          <w:sz w:val="24"/>
        </w:rPr>
        <w:t>与</w:t>
      </w:r>
      <w:r w:rsidR="0017557C" w:rsidRPr="00F9522B">
        <w:rPr>
          <w:rFonts w:eastAsiaTheme="minorEastAsia"/>
          <w:color w:val="FF0000"/>
          <w:kern w:val="0"/>
          <w:sz w:val="24"/>
        </w:rPr>
        <w:t>《国务院关于印发固体废物综合治理行动计划的通知》（国发〔</w:t>
      </w:r>
      <w:r w:rsidR="0017557C" w:rsidRPr="00F9522B">
        <w:rPr>
          <w:rFonts w:eastAsiaTheme="minorEastAsia"/>
          <w:color w:val="FF0000"/>
          <w:kern w:val="0"/>
          <w:sz w:val="24"/>
        </w:rPr>
        <w:t>2025</w:t>
      </w:r>
      <w:r w:rsidR="0017557C" w:rsidRPr="00F9522B">
        <w:rPr>
          <w:rFonts w:eastAsiaTheme="minorEastAsia"/>
          <w:color w:val="FF0000"/>
          <w:kern w:val="0"/>
          <w:sz w:val="24"/>
        </w:rPr>
        <w:t>〕</w:t>
      </w:r>
      <w:r w:rsidR="0017557C" w:rsidRPr="00F9522B">
        <w:rPr>
          <w:rFonts w:eastAsiaTheme="minorEastAsia"/>
          <w:color w:val="FF0000"/>
          <w:kern w:val="0"/>
          <w:sz w:val="24"/>
        </w:rPr>
        <w:t>14</w:t>
      </w:r>
      <w:r w:rsidR="0017557C" w:rsidRPr="00F9522B">
        <w:rPr>
          <w:rFonts w:eastAsiaTheme="minorEastAsia"/>
          <w:color w:val="FF0000"/>
          <w:kern w:val="0"/>
          <w:sz w:val="24"/>
        </w:rPr>
        <w:t>号）</w:t>
      </w:r>
      <w:r w:rsidR="00611CBA" w:rsidRPr="00F9522B">
        <w:rPr>
          <w:rFonts w:eastAsiaTheme="minorEastAsia"/>
          <w:color w:val="FF0000"/>
          <w:kern w:val="0"/>
          <w:sz w:val="24"/>
        </w:rPr>
        <w:t>的符合性</w:t>
      </w:r>
    </w:p>
    <w:p w:rsidR="002A5A5E" w:rsidRPr="00F9522B" w:rsidRDefault="00CC20E4" w:rsidP="00CC20E4">
      <w:pPr>
        <w:spacing w:line="360" w:lineRule="auto"/>
        <w:ind w:firstLineChars="200" w:firstLine="480"/>
        <w:jc w:val="left"/>
        <w:rPr>
          <w:rFonts w:eastAsiaTheme="minorEastAsia"/>
          <w:color w:val="FF0000"/>
          <w:sz w:val="24"/>
        </w:rPr>
      </w:pPr>
      <w:r w:rsidRPr="00F9522B">
        <w:rPr>
          <w:rFonts w:eastAsiaTheme="minorEastAsia"/>
          <w:color w:val="FF0000"/>
          <w:sz w:val="24"/>
        </w:rPr>
        <w:t>加强工业固体废物源头减量。加强工业固体废物规范化管理。提高农林固体废物收集转运能力。加强大宗固体废弃物综合利用。</w:t>
      </w:r>
    </w:p>
    <w:p w:rsidR="002A5A5E" w:rsidRPr="00F9522B" w:rsidRDefault="00611CBA">
      <w:pPr>
        <w:spacing w:line="360" w:lineRule="auto"/>
        <w:ind w:firstLineChars="200" w:firstLine="480"/>
        <w:jc w:val="left"/>
        <w:rPr>
          <w:rFonts w:eastAsiaTheme="minorEastAsia"/>
          <w:color w:val="FF0000"/>
          <w:kern w:val="0"/>
          <w:sz w:val="24"/>
        </w:rPr>
      </w:pPr>
      <w:r w:rsidRPr="00F9522B">
        <w:rPr>
          <w:rFonts w:eastAsiaTheme="minorEastAsia"/>
          <w:color w:val="FF0000"/>
          <w:sz w:val="24"/>
        </w:rPr>
        <w:t>本项目为高标准农田建设项</w:t>
      </w:r>
      <w:r w:rsidR="0097424D" w:rsidRPr="00F9522B">
        <w:rPr>
          <w:rFonts w:eastAsiaTheme="minorEastAsia"/>
          <w:color w:val="FF0000"/>
          <w:sz w:val="24"/>
        </w:rPr>
        <w:t>目，</w:t>
      </w:r>
      <w:r w:rsidR="00CC20E4" w:rsidRPr="00F9522B">
        <w:rPr>
          <w:rFonts w:eastAsiaTheme="minorEastAsia"/>
          <w:color w:val="FF0000"/>
          <w:sz w:val="24"/>
        </w:rPr>
        <w:t>施工期建筑垃圾大部分用于田块整治工程，剩余送至建筑公司回用；钻井泥浆循环利用，废泥浆暂存于施工场地</w:t>
      </w:r>
      <w:r w:rsidR="00CC20E4" w:rsidRPr="00F9522B">
        <w:rPr>
          <w:rFonts w:eastAsiaTheme="minorEastAsia"/>
          <w:color w:val="FF0000"/>
          <w:sz w:val="24"/>
        </w:rPr>
        <w:t>5</w:t>
      </w:r>
      <w:r w:rsidR="00CC20E4" w:rsidRPr="00F9522B">
        <w:rPr>
          <w:rFonts w:eastAsiaTheme="minorEastAsia"/>
          <w:color w:val="FF0000"/>
          <w:sz w:val="24"/>
        </w:rPr>
        <w:t>个</w:t>
      </w:r>
      <w:r w:rsidR="00CC20E4" w:rsidRPr="00F9522B">
        <w:rPr>
          <w:rFonts w:eastAsiaTheme="minorEastAsia"/>
          <w:color w:val="FF0000"/>
          <w:sz w:val="24"/>
        </w:rPr>
        <w:t>20m</w:t>
      </w:r>
      <w:r w:rsidR="00CC20E4" w:rsidRPr="00F9522B">
        <w:rPr>
          <w:rFonts w:eastAsiaTheme="minorEastAsia"/>
          <w:color w:val="FF0000"/>
          <w:sz w:val="24"/>
          <w:vertAlign w:val="superscript"/>
        </w:rPr>
        <w:t>3</w:t>
      </w:r>
      <w:r w:rsidR="00CC20E4" w:rsidRPr="00F9522B">
        <w:rPr>
          <w:rFonts w:eastAsiaTheme="minorEastAsia"/>
          <w:color w:val="FF0000"/>
          <w:sz w:val="24"/>
        </w:rPr>
        <w:t>移动式不锈钢沉淀池内，沉淀后上层清水用于洒水降尘，下层钻井</w:t>
      </w:r>
      <w:r w:rsidR="00CC20E4" w:rsidRPr="00F9522B">
        <w:rPr>
          <w:rFonts w:eastAsiaTheme="minorEastAsia"/>
          <w:bCs/>
          <w:color w:val="FF0000"/>
          <w:sz w:val="24"/>
        </w:rPr>
        <w:t>泥浆自然干化后用于周围路面平整</w:t>
      </w:r>
      <w:r w:rsidR="00CC20E4" w:rsidRPr="00F9522B">
        <w:rPr>
          <w:rFonts w:eastAsiaTheme="minorEastAsia"/>
          <w:color w:val="FF0000"/>
          <w:sz w:val="24"/>
        </w:rPr>
        <w:t>；表土全部用于临时工程土地恢复及田块整治工程；</w:t>
      </w:r>
      <w:r w:rsidR="00730492" w:rsidRPr="00730492">
        <w:rPr>
          <w:rFonts w:eastAsiaTheme="minorEastAsia" w:hint="eastAsia"/>
          <w:bCs/>
          <w:color w:val="FF0000"/>
          <w:sz w:val="24"/>
        </w:rPr>
        <w:t>排水沟淤泥培至工程附近</w:t>
      </w:r>
      <w:r w:rsidR="00730492" w:rsidRPr="00730492">
        <w:rPr>
          <w:rFonts w:eastAsiaTheme="minorEastAsia" w:hint="eastAsia"/>
          <w:bCs/>
          <w:color w:val="FF0000"/>
          <w:sz w:val="24"/>
        </w:rPr>
        <w:t>200</w:t>
      </w:r>
      <w:r w:rsidR="00730492" w:rsidRPr="00730492">
        <w:rPr>
          <w:rFonts w:eastAsiaTheme="minorEastAsia" w:hint="eastAsia"/>
          <w:bCs/>
          <w:color w:val="FF0000"/>
          <w:sz w:val="24"/>
        </w:rPr>
        <w:t>米范围内无环境保护目标的排水沟两侧（避开南城李、方台镇、宋家村等</w:t>
      </w:r>
      <w:r w:rsidR="00730492" w:rsidRPr="00730492">
        <w:rPr>
          <w:rFonts w:eastAsiaTheme="minorEastAsia" w:hint="eastAsia"/>
          <w:bCs/>
          <w:color w:val="FF0000"/>
          <w:sz w:val="24"/>
        </w:rPr>
        <w:t>33</w:t>
      </w:r>
      <w:r w:rsidR="00730492" w:rsidRPr="00730492">
        <w:rPr>
          <w:rFonts w:eastAsiaTheme="minorEastAsia" w:hint="eastAsia"/>
          <w:bCs/>
          <w:color w:val="FF0000"/>
          <w:sz w:val="24"/>
        </w:rPr>
        <w:t>个村屯，具体见表</w:t>
      </w:r>
      <w:r w:rsidR="00730492" w:rsidRPr="00730492">
        <w:rPr>
          <w:rFonts w:eastAsiaTheme="minorEastAsia" w:hint="eastAsia"/>
          <w:bCs/>
          <w:color w:val="FF0000"/>
          <w:sz w:val="24"/>
        </w:rPr>
        <w:t>2-8-2</w:t>
      </w:r>
      <w:r w:rsidR="00730492" w:rsidRPr="00730492">
        <w:rPr>
          <w:rFonts w:eastAsiaTheme="minorEastAsia" w:hint="eastAsia"/>
          <w:bCs/>
          <w:color w:val="FF0000"/>
          <w:sz w:val="24"/>
        </w:rPr>
        <w:t>）</w:t>
      </w:r>
      <w:r w:rsidR="00CC20E4" w:rsidRPr="00F9522B">
        <w:rPr>
          <w:rFonts w:eastAsiaTheme="minorEastAsia"/>
          <w:color w:val="FF0000"/>
          <w:sz w:val="24"/>
        </w:rPr>
        <w:t>；</w:t>
      </w:r>
      <w:r w:rsidR="00CC20E4" w:rsidRPr="00F9522B">
        <w:rPr>
          <w:rFonts w:eastAsiaTheme="minorEastAsia"/>
          <w:bCs/>
          <w:color w:val="FF0000"/>
          <w:sz w:val="24"/>
        </w:rPr>
        <w:t>废肥料包装袋，外售废品收购站</w:t>
      </w:r>
      <w:r w:rsidR="00CC20E4" w:rsidRPr="00F9522B">
        <w:rPr>
          <w:rFonts w:eastAsiaTheme="minorEastAsia"/>
          <w:color w:val="FF0000"/>
          <w:sz w:val="24"/>
        </w:rPr>
        <w:t>；</w:t>
      </w:r>
      <w:r w:rsidR="00CC20E4" w:rsidRPr="00F9522B">
        <w:rPr>
          <w:rFonts w:eastAsiaTheme="minorEastAsia"/>
          <w:color w:val="FF0000"/>
          <w:sz w:val="24"/>
        </w:rPr>
        <w:lastRenderedPageBreak/>
        <w:t>运营期秸秆、</w:t>
      </w:r>
      <w:r w:rsidR="00CC20E4" w:rsidRPr="00F9522B">
        <w:rPr>
          <w:rFonts w:eastAsiaTheme="minorEastAsia"/>
          <w:bCs/>
          <w:color w:val="FF0000"/>
          <w:sz w:val="24"/>
        </w:rPr>
        <w:t>废肥料包装袋由当地农民负责外售综合利用；农业使用者及时收集农药包装物，由并交回农药经营者或回收站</w:t>
      </w:r>
      <w:r w:rsidR="00B40F06" w:rsidRPr="00F9522B">
        <w:rPr>
          <w:rFonts w:eastAsiaTheme="minorEastAsia"/>
          <w:color w:val="FF0000"/>
          <w:sz w:val="24"/>
        </w:rPr>
        <w:t>，</w:t>
      </w:r>
      <w:r w:rsidR="00CC20E4" w:rsidRPr="00F9522B">
        <w:rPr>
          <w:rFonts w:eastAsiaTheme="minorEastAsia"/>
          <w:color w:val="FF0000"/>
          <w:sz w:val="24"/>
        </w:rPr>
        <w:t>实现固体废物源头减量</w:t>
      </w:r>
      <w:r w:rsidR="00B40F06" w:rsidRPr="00F9522B">
        <w:rPr>
          <w:rFonts w:eastAsiaTheme="minorEastAsia"/>
          <w:color w:val="FF0000"/>
          <w:sz w:val="24"/>
        </w:rPr>
        <w:t>，</w:t>
      </w:r>
      <w:r w:rsidR="00CC20E4" w:rsidRPr="00F9522B">
        <w:rPr>
          <w:rFonts w:eastAsiaTheme="minorEastAsia"/>
          <w:color w:val="FF0000"/>
          <w:sz w:val="24"/>
        </w:rPr>
        <w:t>加强固体废弃物综合利用</w:t>
      </w:r>
      <w:r w:rsidR="00B40F06" w:rsidRPr="00F9522B">
        <w:rPr>
          <w:rFonts w:eastAsiaTheme="minorEastAsia"/>
          <w:color w:val="FF0000"/>
          <w:sz w:val="24"/>
        </w:rPr>
        <w:t>。</w:t>
      </w:r>
      <w:r w:rsidRPr="00F9522B">
        <w:rPr>
          <w:rFonts w:eastAsiaTheme="minorEastAsia"/>
          <w:bCs/>
          <w:color w:val="FF0000"/>
          <w:sz w:val="24"/>
        </w:rPr>
        <w:t>因此，本项目符合</w:t>
      </w:r>
      <w:r w:rsidR="0017557C" w:rsidRPr="00F9522B">
        <w:rPr>
          <w:rFonts w:eastAsiaTheme="minorEastAsia"/>
          <w:color w:val="FF0000"/>
          <w:kern w:val="0"/>
          <w:sz w:val="24"/>
        </w:rPr>
        <w:t>《国务院关于印发固体废物综合治理行动计划的通知》（国发〔</w:t>
      </w:r>
      <w:r w:rsidR="0017557C" w:rsidRPr="00F9522B">
        <w:rPr>
          <w:rFonts w:eastAsiaTheme="minorEastAsia"/>
          <w:color w:val="FF0000"/>
          <w:kern w:val="0"/>
          <w:sz w:val="24"/>
        </w:rPr>
        <w:t>2025</w:t>
      </w:r>
      <w:r w:rsidR="0017557C" w:rsidRPr="00F9522B">
        <w:rPr>
          <w:rFonts w:eastAsiaTheme="minorEastAsia"/>
          <w:color w:val="FF0000"/>
          <w:kern w:val="0"/>
          <w:sz w:val="24"/>
        </w:rPr>
        <w:t>〕</w:t>
      </w:r>
      <w:r w:rsidR="0017557C" w:rsidRPr="00F9522B">
        <w:rPr>
          <w:rFonts w:eastAsiaTheme="minorEastAsia"/>
          <w:color w:val="FF0000"/>
          <w:kern w:val="0"/>
          <w:sz w:val="24"/>
        </w:rPr>
        <w:t>14</w:t>
      </w:r>
      <w:r w:rsidR="0017557C" w:rsidRPr="00F9522B">
        <w:rPr>
          <w:rFonts w:eastAsiaTheme="minorEastAsia"/>
          <w:color w:val="FF0000"/>
          <w:kern w:val="0"/>
          <w:sz w:val="24"/>
        </w:rPr>
        <w:t>号）</w:t>
      </w:r>
      <w:r w:rsidRPr="00F9522B">
        <w:rPr>
          <w:rFonts w:eastAsiaTheme="minorEastAsia"/>
          <w:color w:val="FF0000"/>
          <w:sz w:val="24"/>
        </w:rPr>
        <w:t>要求。</w:t>
      </w:r>
    </w:p>
    <w:p w:rsidR="002A5A5E" w:rsidRPr="00F9522B" w:rsidRDefault="00760E2B">
      <w:pPr>
        <w:spacing w:line="360" w:lineRule="auto"/>
        <w:ind w:firstLineChars="200" w:firstLine="480"/>
        <w:jc w:val="left"/>
        <w:rPr>
          <w:rFonts w:eastAsiaTheme="minorEastAsia"/>
          <w:color w:val="FF0000"/>
          <w:kern w:val="0"/>
          <w:sz w:val="24"/>
        </w:rPr>
      </w:pPr>
      <w:r w:rsidRPr="00F9522B">
        <w:rPr>
          <w:rFonts w:eastAsiaTheme="minorEastAsia"/>
          <w:color w:val="FF0000"/>
          <w:kern w:val="0"/>
          <w:sz w:val="24"/>
        </w:rPr>
        <w:t>（</w:t>
      </w:r>
      <w:r w:rsidRPr="00F9522B">
        <w:rPr>
          <w:rFonts w:eastAsiaTheme="minorEastAsia"/>
          <w:color w:val="FF0000"/>
          <w:kern w:val="0"/>
          <w:sz w:val="24"/>
        </w:rPr>
        <w:t>12</w:t>
      </w:r>
      <w:r w:rsidRPr="00F9522B">
        <w:rPr>
          <w:rFonts w:eastAsiaTheme="minorEastAsia"/>
          <w:color w:val="FF0000"/>
          <w:kern w:val="0"/>
          <w:sz w:val="24"/>
        </w:rPr>
        <w:t>）</w:t>
      </w:r>
      <w:r w:rsidR="00611CBA" w:rsidRPr="00F9522B">
        <w:rPr>
          <w:rFonts w:eastAsiaTheme="minorEastAsia"/>
          <w:color w:val="FF0000"/>
          <w:kern w:val="0"/>
          <w:sz w:val="24"/>
        </w:rPr>
        <w:t>与</w:t>
      </w:r>
      <w:r w:rsidR="000B259F" w:rsidRPr="00F9522B">
        <w:rPr>
          <w:rFonts w:eastAsiaTheme="minorEastAsia"/>
          <w:color w:val="FF0000"/>
          <w:kern w:val="0"/>
          <w:sz w:val="24"/>
        </w:rPr>
        <w:t>《</w:t>
      </w:r>
      <w:r w:rsidR="000047FC" w:rsidRPr="00F9522B">
        <w:rPr>
          <w:rFonts w:eastAsiaTheme="minorEastAsia"/>
          <w:bCs/>
          <w:color w:val="FF0000"/>
          <w:kern w:val="0"/>
          <w:sz w:val="24"/>
        </w:rPr>
        <w:t>哈尔滨市人民政府办公厅关于印发哈尔滨市地下水管理和保护工作实施方案的通</w:t>
      </w:r>
      <w:r w:rsidR="000047FC" w:rsidRPr="00F9522B">
        <w:rPr>
          <w:rFonts w:eastAsiaTheme="minorEastAsia"/>
          <w:color w:val="FF0000"/>
          <w:kern w:val="0"/>
          <w:sz w:val="24"/>
        </w:rPr>
        <w:t>知</w:t>
      </w:r>
      <w:r w:rsidR="000B259F" w:rsidRPr="00F9522B">
        <w:rPr>
          <w:rFonts w:eastAsiaTheme="minorEastAsia"/>
          <w:color w:val="FF0000"/>
          <w:kern w:val="0"/>
          <w:sz w:val="24"/>
        </w:rPr>
        <w:t>》</w:t>
      </w:r>
      <w:r w:rsidR="000B259F" w:rsidRPr="00F9522B">
        <w:rPr>
          <w:rFonts w:eastAsiaTheme="minorEastAsia"/>
          <w:color w:val="FF0000"/>
          <w:kern w:val="0"/>
          <w:sz w:val="24"/>
        </w:rPr>
        <w:t>(</w:t>
      </w:r>
      <w:r w:rsidR="000047FC" w:rsidRPr="00F9522B">
        <w:rPr>
          <w:rFonts w:eastAsiaTheme="minorEastAsia"/>
          <w:color w:val="FF0000"/>
          <w:kern w:val="0"/>
          <w:sz w:val="24"/>
        </w:rPr>
        <w:t>哈政办规〔</w:t>
      </w:r>
      <w:r w:rsidR="000047FC" w:rsidRPr="00F9522B">
        <w:rPr>
          <w:rFonts w:eastAsiaTheme="minorEastAsia"/>
          <w:color w:val="FF0000"/>
          <w:kern w:val="0"/>
          <w:sz w:val="24"/>
        </w:rPr>
        <w:t>2019</w:t>
      </w:r>
      <w:r w:rsidR="000047FC" w:rsidRPr="00F9522B">
        <w:rPr>
          <w:rFonts w:eastAsiaTheme="minorEastAsia"/>
          <w:color w:val="FF0000"/>
          <w:kern w:val="0"/>
          <w:sz w:val="24"/>
        </w:rPr>
        <w:t>〕</w:t>
      </w:r>
      <w:r w:rsidR="000047FC" w:rsidRPr="00F9522B">
        <w:rPr>
          <w:rFonts w:eastAsiaTheme="minorEastAsia"/>
          <w:color w:val="FF0000"/>
          <w:kern w:val="0"/>
          <w:sz w:val="24"/>
        </w:rPr>
        <w:t>7</w:t>
      </w:r>
      <w:r w:rsidR="000047FC" w:rsidRPr="00F9522B">
        <w:rPr>
          <w:rFonts w:eastAsiaTheme="minorEastAsia"/>
          <w:color w:val="FF0000"/>
          <w:kern w:val="0"/>
          <w:sz w:val="24"/>
        </w:rPr>
        <w:t>号</w:t>
      </w:r>
      <w:r w:rsidR="000B259F" w:rsidRPr="00F9522B">
        <w:rPr>
          <w:rFonts w:eastAsiaTheme="minorEastAsia"/>
          <w:color w:val="FF0000"/>
          <w:kern w:val="0"/>
          <w:sz w:val="24"/>
        </w:rPr>
        <w:t>)</w:t>
      </w:r>
      <w:r w:rsidR="00611CBA" w:rsidRPr="00F9522B">
        <w:rPr>
          <w:rFonts w:eastAsiaTheme="minorEastAsia"/>
          <w:color w:val="FF0000"/>
          <w:kern w:val="0"/>
          <w:sz w:val="24"/>
        </w:rPr>
        <w:t>的符合性分析</w:t>
      </w:r>
    </w:p>
    <w:p w:rsidR="002A5A5E" w:rsidRPr="00F9522B" w:rsidRDefault="000047FC" w:rsidP="000047FC">
      <w:pPr>
        <w:spacing w:line="360" w:lineRule="auto"/>
        <w:ind w:firstLineChars="200" w:firstLine="480"/>
        <w:jc w:val="left"/>
        <w:rPr>
          <w:rFonts w:eastAsiaTheme="minorEastAsia"/>
          <w:color w:val="FF0000"/>
          <w:sz w:val="24"/>
        </w:rPr>
      </w:pPr>
      <w:r w:rsidRPr="00F9522B">
        <w:rPr>
          <w:rFonts w:eastAsiaTheme="minorEastAsia"/>
          <w:color w:val="FF0000"/>
          <w:sz w:val="24"/>
        </w:rPr>
        <w:t>严格地下水资源超载地区和地下水超采区管理。全面实施农业灌溉取水许可管理。加强对农用灌溉机电井的管理。加强涉农取用地下水建设项目管理。有关部门建设的取用地下水的农业灌溉项目，需按规定进行水资源论证，并申请取水许可。采取综合节水措施。</w:t>
      </w:r>
    </w:p>
    <w:p w:rsidR="002A5A5E" w:rsidRPr="00F9522B" w:rsidRDefault="00611CBA">
      <w:pPr>
        <w:spacing w:line="360" w:lineRule="auto"/>
        <w:ind w:firstLineChars="200" w:firstLine="480"/>
        <w:jc w:val="left"/>
        <w:rPr>
          <w:rFonts w:eastAsiaTheme="minorEastAsia"/>
          <w:color w:val="FF0000"/>
          <w:kern w:val="0"/>
          <w:sz w:val="24"/>
        </w:rPr>
      </w:pPr>
      <w:r w:rsidRPr="00F9522B">
        <w:rPr>
          <w:rFonts w:eastAsiaTheme="minorEastAsia"/>
          <w:color w:val="FF0000"/>
          <w:sz w:val="24"/>
        </w:rPr>
        <w:t>本项目为高标准农田建设项</w:t>
      </w:r>
      <w:r w:rsidR="0097424D" w:rsidRPr="00F9522B">
        <w:rPr>
          <w:rFonts w:eastAsiaTheme="minorEastAsia"/>
          <w:color w:val="FF0000"/>
          <w:sz w:val="24"/>
        </w:rPr>
        <w:t>目，</w:t>
      </w:r>
      <w:r w:rsidR="0017557C" w:rsidRPr="00F9522B">
        <w:rPr>
          <w:rFonts w:eastAsiaTheme="minorEastAsia"/>
          <w:color w:val="FF0000"/>
          <w:sz w:val="24"/>
        </w:rPr>
        <w:t>本项目取用地下水为农田灌溉，采取节水灌溉方式，降低用水消耗。根据《呼兰区</w:t>
      </w:r>
      <w:r w:rsidR="0017557C" w:rsidRPr="00F9522B">
        <w:rPr>
          <w:rFonts w:eastAsiaTheme="minorEastAsia"/>
          <w:color w:val="FF0000"/>
          <w:sz w:val="24"/>
        </w:rPr>
        <w:t>2026</w:t>
      </w:r>
      <w:r w:rsidR="0017557C" w:rsidRPr="00F9522B">
        <w:rPr>
          <w:rFonts w:eastAsiaTheme="minorEastAsia"/>
          <w:color w:val="FF0000"/>
          <w:sz w:val="24"/>
        </w:rPr>
        <w:t>年高标准农田建设项目生态环境分区管控分析报告》，本项目位于呼兰区地下水环境一般管控区，不位于地下水开采重点管控区（超载区）。</w:t>
      </w:r>
      <w:r w:rsidR="0017557C" w:rsidRPr="00F9522B">
        <w:rPr>
          <w:rFonts w:eastAsiaTheme="minorEastAsia"/>
          <w:bCs/>
          <w:color w:val="FF0000"/>
          <w:sz w:val="24"/>
        </w:rPr>
        <w:t>大庆市润泽水利工程技术咨询有限责任公司于</w:t>
      </w:r>
      <w:r w:rsidR="0017557C" w:rsidRPr="00F9522B">
        <w:rPr>
          <w:rFonts w:eastAsiaTheme="minorEastAsia"/>
          <w:bCs/>
          <w:color w:val="FF0000"/>
          <w:sz w:val="24"/>
        </w:rPr>
        <w:t>2026</w:t>
      </w:r>
      <w:r w:rsidR="0017557C" w:rsidRPr="00F9522B">
        <w:rPr>
          <w:rFonts w:eastAsiaTheme="minorEastAsia"/>
          <w:bCs/>
          <w:color w:val="FF0000"/>
          <w:sz w:val="24"/>
        </w:rPr>
        <w:t>年</w:t>
      </w:r>
      <w:r w:rsidR="0017557C" w:rsidRPr="00F9522B">
        <w:rPr>
          <w:rFonts w:eastAsiaTheme="minorEastAsia"/>
          <w:bCs/>
          <w:color w:val="FF0000"/>
          <w:sz w:val="24"/>
        </w:rPr>
        <w:t>1</w:t>
      </w:r>
      <w:r w:rsidR="0017557C" w:rsidRPr="00F9522B">
        <w:rPr>
          <w:rFonts w:eastAsiaTheme="minorEastAsia"/>
          <w:bCs/>
          <w:color w:val="FF0000"/>
          <w:sz w:val="24"/>
        </w:rPr>
        <w:t>月编制的《呼兰区</w:t>
      </w:r>
      <w:r w:rsidR="0017557C" w:rsidRPr="00F9522B">
        <w:rPr>
          <w:rFonts w:eastAsiaTheme="minorEastAsia"/>
          <w:bCs/>
          <w:color w:val="FF0000"/>
          <w:sz w:val="24"/>
        </w:rPr>
        <w:t>2026</w:t>
      </w:r>
      <w:r w:rsidR="0017557C" w:rsidRPr="00F9522B">
        <w:rPr>
          <w:rFonts w:eastAsiaTheme="minorEastAsia"/>
          <w:bCs/>
          <w:color w:val="FF0000"/>
          <w:sz w:val="24"/>
        </w:rPr>
        <w:t>年高标准农田建设项目水资源论证报告书》已通过专家审查。</w:t>
      </w:r>
      <w:r w:rsidR="0017557C" w:rsidRPr="00F9522B">
        <w:rPr>
          <w:rFonts w:eastAsiaTheme="minorEastAsia"/>
          <w:color w:val="FF0000"/>
          <w:sz w:val="24"/>
        </w:rPr>
        <w:t>本项目已取得《关于呼兰区</w:t>
      </w:r>
      <w:r w:rsidR="0017557C" w:rsidRPr="00F9522B">
        <w:rPr>
          <w:rFonts w:eastAsiaTheme="minorEastAsia"/>
          <w:color w:val="FF0000"/>
          <w:sz w:val="24"/>
        </w:rPr>
        <w:t>2026</w:t>
      </w:r>
      <w:r w:rsidR="0017557C" w:rsidRPr="00F9522B">
        <w:rPr>
          <w:rFonts w:eastAsiaTheme="minorEastAsia"/>
          <w:color w:val="FF0000"/>
          <w:sz w:val="24"/>
        </w:rPr>
        <w:t>年高标准农田建设项目取水许可申请的批复》（哈呼水发〔</w:t>
      </w:r>
      <w:r w:rsidR="0017557C" w:rsidRPr="00F9522B">
        <w:rPr>
          <w:rFonts w:eastAsiaTheme="minorEastAsia"/>
          <w:color w:val="FF0000"/>
          <w:sz w:val="24"/>
        </w:rPr>
        <w:t>2026</w:t>
      </w:r>
      <w:r w:rsidR="0017557C" w:rsidRPr="00F9522B">
        <w:rPr>
          <w:rFonts w:eastAsiaTheme="minorEastAsia"/>
          <w:color w:val="FF0000"/>
          <w:sz w:val="24"/>
        </w:rPr>
        <w:t>〕</w:t>
      </w:r>
      <w:r w:rsidR="0017557C" w:rsidRPr="00F9522B">
        <w:rPr>
          <w:rFonts w:eastAsiaTheme="minorEastAsia"/>
          <w:color w:val="FF0000"/>
          <w:sz w:val="24"/>
        </w:rPr>
        <w:t>1</w:t>
      </w:r>
      <w:r w:rsidR="0017557C" w:rsidRPr="00F9522B">
        <w:rPr>
          <w:rFonts w:eastAsiaTheme="minorEastAsia"/>
          <w:color w:val="FF0000"/>
          <w:sz w:val="24"/>
        </w:rPr>
        <w:t>号），见附件</w:t>
      </w:r>
      <w:r w:rsidR="0017557C" w:rsidRPr="00F9522B">
        <w:rPr>
          <w:rFonts w:eastAsiaTheme="minorEastAsia"/>
          <w:color w:val="FF0000"/>
          <w:sz w:val="24"/>
        </w:rPr>
        <w:t>5</w:t>
      </w:r>
      <w:r w:rsidR="0017557C" w:rsidRPr="00F9522B">
        <w:rPr>
          <w:rFonts w:eastAsiaTheme="minorEastAsia"/>
          <w:color w:val="FF0000"/>
          <w:sz w:val="24"/>
        </w:rPr>
        <w:t>。</w:t>
      </w:r>
      <w:r w:rsidRPr="00F9522B">
        <w:rPr>
          <w:rFonts w:eastAsiaTheme="minorEastAsia"/>
          <w:bCs/>
          <w:color w:val="FF0000"/>
          <w:sz w:val="24"/>
        </w:rPr>
        <w:t>因此，本项目的建设符合</w:t>
      </w:r>
      <w:r w:rsidR="000047FC" w:rsidRPr="00F9522B">
        <w:rPr>
          <w:rFonts w:eastAsiaTheme="minorEastAsia"/>
          <w:bCs/>
          <w:color w:val="FF0000"/>
          <w:sz w:val="24"/>
        </w:rPr>
        <w:t>《哈尔滨市人民政府办公厅关于印发哈尔滨市地下水管理和保护工作实施方案的通知》</w:t>
      </w:r>
      <w:r w:rsidR="000047FC" w:rsidRPr="00F9522B">
        <w:rPr>
          <w:rFonts w:eastAsiaTheme="minorEastAsia"/>
          <w:bCs/>
          <w:color w:val="FF0000"/>
          <w:sz w:val="24"/>
        </w:rPr>
        <w:t>(</w:t>
      </w:r>
      <w:r w:rsidR="000047FC" w:rsidRPr="00F9522B">
        <w:rPr>
          <w:rFonts w:eastAsiaTheme="minorEastAsia"/>
          <w:bCs/>
          <w:color w:val="FF0000"/>
          <w:sz w:val="24"/>
        </w:rPr>
        <w:t>哈政办规〔</w:t>
      </w:r>
      <w:r w:rsidR="000047FC" w:rsidRPr="00F9522B">
        <w:rPr>
          <w:rFonts w:eastAsiaTheme="minorEastAsia"/>
          <w:bCs/>
          <w:color w:val="FF0000"/>
          <w:sz w:val="24"/>
        </w:rPr>
        <w:t>2019</w:t>
      </w:r>
      <w:r w:rsidR="000047FC" w:rsidRPr="00F9522B">
        <w:rPr>
          <w:rFonts w:eastAsiaTheme="minorEastAsia"/>
          <w:bCs/>
          <w:color w:val="FF0000"/>
          <w:sz w:val="24"/>
        </w:rPr>
        <w:t>〕</w:t>
      </w:r>
      <w:r w:rsidR="000047FC" w:rsidRPr="00F9522B">
        <w:rPr>
          <w:rFonts w:eastAsiaTheme="minorEastAsia"/>
          <w:bCs/>
          <w:color w:val="FF0000"/>
          <w:sz w:val="24"/>
        </w:rPr>
        <w:t>7</w:t>
      </w:r>
      <w:r w:rsidR="000047FC" w:rsidRPr="00F9522B">
        <w:rPr>
          <w:rFonts w:eastAsiaTheme="minorEastAsia"/>
          <w:bCs/>
          <w:color w:val="FF0000"/>
          <w:sz w:val="24"/>
        </w:rPr>
        <w:t>号</w:t>
      </w:r>
      <w:r w:rsidR="000047FC" w:rsidRPr="00F9522B">
        <w:rPr>
          <w:rFonts w:eastAsiaTheme="minorEastAsia"/>
          <w:bCs/>
          <w:color w:val="FF0000"/>
          <w:sz w:val="24"/>
        </w:rPr>
        <w:t>)</w:t>
      </w:r>
      <w:r w:rsidRPr="00F9522B">
        <w:rPr>
          <w:rFonts w:eastAsiaTheme="minorEastAsia"/>
          <w:bCs/>
          <w:color w:val="FF0000"/>
          <w:sz w:val="24"/>
        </w:rPr>
        <w:t>要求。</w:t>
      </w:r>
    </w:p>
    <w:p w:rsidR="002A5A5E" w:rsidRPr="00F9522B" w:rsidRDefault="00760E2B">
      <w:pPr>
        <w:spacing w:line="360" w:lineRule="auto"/>
        <w:ind w:firstLineChars="200" w:firstLine="480"/>
        <w:jc w:val="left"/>
        <w:rPr>
          <w:rFonts w:eastAsiaTheme="minorEastAsia"/>
          <w:kern w:val="0"/>
          <w:sz w:val="24"/>
        </w:rPr>
      </w:pPr>
      <w:r w:rsidRPr="00F9522B">
        <w:rPr>
          <w:rFonts w:eastAsiaTheme="minorEastAsia"/>
          <w:kern w:val="0"/>
          <w:sz w:val="24"/>
        </w:rPr>
        <w:t>（</w:t>
      </w:r>
      <w:r w:rsidRPr="00F9522B">
        <w:rPr>
          <w:rFonts w:eastAsiaTheme="minorEastAsia"/>
          <w:kern w:val="0"/>
          <w:sz w:val="24"/>
        </w:rPr>
        <w:t>13</w:t>
      </w:r>
      <w:r w:rsidRPr="00F9522B">
        <w:rPr>
          <w:rFonts w:eastAsiaTheme="minorEastAsia"/>
          <w:kern w:val="0"/>
          <w:sz w:val="24"/>
        </w:rPr>
        <w:t>）</w:t>
      </w:r>
      <w:r w:rsidR="00611CBA" w:rsidRPr="00F9522B">
        <w:rPr>
          <w:rFonts w:eastAsiaTheme="minorEastAsia"/>
          <w:kern w:val="0"/>
          <w:sz w:val="24"/>
        </w:rPr>
        <w:t>与《全国农业可持续发展规划（</w:t>
      </w:r>
      <w:r w:rsidR="00611CBA" w:rsidRPr="00F9522B">
        <w:rPr>
          <w:rFonts w:eastAsiaTheme="minorEastAsia"/>
          <w:kern w:val="0"/>
          <w:sz w:val="24"/>
        </w:rPr>
        <w:t>2015—2030</w:t>
      </w:r>
      <w:r w:rsidR="00611CBA" w:rsidRPr="00F9522B">
        <w:rPr>
          <w:rFonts w:eastAsiaTheme="minorEastAsia"/>
          <w:kern w:val="0"/>
          <w:sz w:val="24"/>
        </w:rPr>
        <w:t>年）》的符合性分析</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提升耕地质量。采取深耕深松、保护性耕作、秸秆还田、增施有机肥、种植绿肥等土壤改良方式，增加土壤有机质，提升土壤肥力。恢复和培育土壤微生物群落，构建养分健康循环通道，促进农业废弃物和环境有机物分解。加强东北黑土地保护，减缓黑土层流失。开展土地整治、中低产田改造、农田水利设施建设，</w:t>
      </w:r>
      <w:bookmarkStart w:id="17" w:name="_Hlk164416529"/>
      <w:r w:rsidRPr="00F9522B">
        <w:rPr>
          <w:rFonts w:eastAsiaTheme="minorEastAsia"/>
          <w:kern w:val="0"/>
          <w:sz w:val="24"/>
        </w:rPr>
        <w:t>加大高标准农田建设力度</w:t>
      </w:r>
      <w:bookmarkEnd w:id="17"/>
      <w:r w:rsidRPr="00F9522B">
        <w:rPr>
          <w:rFonts w:eastAsiaTheme="minorEastAsia"/>
          <w:kern w:val="0"/>
          <w:sz w:val="24"/>
        </w:rPr>
        <w:t>，到</w:t>
      </w:r>
      <w:r w:rsidRPr="00F9522B">
        <w:rPr>
          <w:rFonts w:eastAsiaTheme="minorEastAsia"/>
          <w:kern w:val="0"/>
          <w:sz w:val="24"/>
        </w:rPr>
        <w:t>2020</w:t>
      </w:r>
      <w:r w:rsidRPr="00F9522B">
        <w:rPr>
          <w:rFonts w:eastAsiaTheme="minorEastAsia"/>
          <w:kern w:val="0"/>
          <w:sz w:val="24"/>
        </w:rPr>
        <w:t>年建成集中连片、旱涝保收的</w:t>
      </w:r>
      <w:r w:rsidRPr="00F9522B">
        <w:rPr>
          <w:rFonts w:eastAsiaTheme="minorEastAsia"/>
          <w:kern w:val="0"/>
          <w:sz w:val="24"/>
        </w:rPr>
        <w:t>8</w:t>
      </w:r>
      <w:r w:rsidRPr="00F9522B">
        <w:rPr>
          <w:rFonts w:eastAsiaTheme="minorEastAsia"/>
          <w:kern w:val="0"/>
          <w:sz w:val="24"/>
        </w:rPr>
        <w:t>亿亩高标准农田。</w:t>
      </w:r>
    </w:p>
    <w:p w:rsidR="002A5A5E" w:rsidRPr="00F9522B" w:rsidRDefault="00611CBA">
      <w:pPr>
        <w:spacing w:line="360" w:lineRule="auto"/>
        <w:ind w:firstLineChars="200" w:firstLine="480"/>
        <w:jc w:val="left"/>
        <w:rPr>
          <w:rFonts w:eastAsiaTheme="minorEastAsia"/>
          <w:sz w:val="24"/>
        </w:rPr>
      </w:pPr>
      <w:r w:rsidRPr="00F9522B">
        <w:rPr>
          <w:rFonts w:eastAsiaTheme="minorEastAsia"/>
          <w:sz w:val="24"/>
        </w:rPr>
        <w:t>本项目为高标准农田建设项目，建设</w:t>
      </w:r>
      <w:r w:rsidR="00D61453" w:rsidRPr="00F9522B">
        <w:rPr>
          <w:rFonts w:eastAsiaTheme="minorEastAsia"/>
          <w:sz w:val="24"/>
        </w:rPr>
        <w:t>田块整治</w:t>
      </w:r>
      <w:r w:rsidRPr="00F9522B">
        <w:rPr>
          <w:rFonts w:eastAsiaTheme="minorEastAsia"/>
          <w:sz w:val="24"/>
        </w:rPr>
        <w:t>工程，</w:t>
      </w:r>
      <w:r w:rsidRPr="00F9522B">
        <w:rPr>
          <w:rFonts w:eastAsiaTheme="minorEastAsia"/>
          <w:kern w:val="0"/>
          <w:sz w:val="24"/>
        </w:rPr>
        <w:t>增施有机肥，增加土壤有机质，提升土壤肥力</w:t>
      </w:r>
      <w:r w:rsidRPr="00F9522B">
        <w:rPr>
          <w:rFonts w:eastAsiaTheme="minorEastAsia"/>
          <w:sz w:val="24"/>
        </w:rPr>
        <w:t>。因此，本项目的建设符合《全国农业可持续发展规划（</w:t>
      </w:r>
      <w:r w:rsidRPr="00F9522B">
        <w:rPr>
          <w:rFonts w:eastAsiaTheme="minorEastAsia"/>
          <w:sz w:val="24"/>
        </w:rPr>
        <w:t>2015—2030</w:t>
      </w:r>
      <w:r w:rsidRPr="00F9522B">
        <w:rPr>
          <w:rFonts w:eastAsiaTheme="minorEastAsia"/>
          <w:sz w:val="24"/>
        </w:rPr>
        <w:t>年）》中</w:t>
      </w:r>
      <w:r w:rsidRPr="00F9522B">
        <w:rPr>
          <w:rFonts w:eastAsiaTheme="minorEastAsia"/>
          <w:sz w:val="24"/>
        </w:rPr>
        <w:t>“</w:t>
      </w:r>
      <w:r w:rsidRPr="00F9522B">
        <w:rPr>
          <w:rFonts w:eastAsiaTheme="minorEastAsia"/>
          <w:sz w:val="24"/>
        </w:rPr>
        <w:t>提升耕地质量</w:t>
      </w:r>
      <w:r w:rsidRPr="00F9522B">
        <w:rPr>
          <w:rFonts w:eastAsiaTheme="minorEastAsia"/>
          <w:sz w:val="24"/>
        </w:rPr>
        <w:t>”</w:t>
      </w:r>
      <w:r w:rsidRPr="00F9522B">
        <w:rPr>
          <w:rFonts w:eastAsiaTheme="minorEastAsia"/>
          <w:sz w:val="24"/>
        </w:rPr>
        <w:t>的要求。</w:t>
      </w:r>
    </w:p>
    <w:p w:rsidR="002A5A5E" w:rsidRPr="00F9522B" w:rsidRDefault="00760E2B">
      <w:pPr>
        <w:spacing w:line="360" w:lineRule="auto"/>
        <w:ind w:firstLineChars="200" w:firstLine="480"/>
        <w:jc w:val="left"/>
        <w:rPr>
          <w:rFonts w:eastAsiaTheme="minorEastAsia"/>
          <w:sz w:val="24"/>
        </w:rPr>
      </w:pPr>
      <w:r w:rsidRPr="00F9522B">
        <w:rPr>
          <w:rFonts w:eastAsiaTheme="minorEastAsia"/>
          <w:sz w:val="24"/>
        </w:rPr>
        <w:lastRenderedPageBreak/>
        <w:t>（</w:t>
      </w:r>
      <w:r w:rsidRPr="00F9522B">
        <w:rPr>
          <w:rFonts w:eastAsiaTheme="minorEastAsia"/>
          <w:sz w:val="24"/>
        </w:rPr>
        <w:t>14</w:t>
      </w:r>
      <w:r w:rsidRPr="00F9522B">
        <w:rPr>
          <w:rFonts w:eastAsiaTheme="minorEastAsia"/>
          <w:sz w:val="24"/>
        </w:rPr>
        <w:t>）</w:t>
      </w:r>
      <w:r w:rsidR="00611CBA" w:rsidRPr="00F9522B">
        <w:rPr>
          <w:rFonts w:eastAsiaTheme="minorEastAsia"/>
          <w:sz w:val="24"/>
        </w:rPr>
        <w:t>与《国务院办公厅关于加强入河入海排污口监督管理工作的实施意见》的符合性</w:t>
      </w:r>
    </w:p>
    <w:p w:rsidR="002A5A5E" w:rsidRPr="00F9522B" w:rsidRDefault="00611CBA">
      <w:pPr>
        <w:spacing w:line="360" w:lineRule="auto"/>
        <w:ind w:firstLineChars="200" w:firstLine="480"/>
        <w:jc w:val="left"/>
        <w:rPr>
          <w:rFonts w:eastAsiaTheme="minorEastAsia"/>
          <w:sz w:val="24"/>
        </w:rPr>
      </w:pPr>
      <w:r w:rsidRPr="00F9522B">
        <w:rPr>
          <w:rFonts w:eastAsiaTheme="minorEastAsia"/>
          <w:sz w:val="24"/>
        </w:rPr>
        <w:t>《国务院办公厅关于加强入河入海排污口监督管理工作的实施意见》（以下简称《意见》）一、总体要求中指出：明晰责任，严格监督。明确每个排污口责任主体，确保事有人管、责有人负。六、明确排污口分类。根据排污口责任主体所属行业及排放特征，将排污口分为工业排污口、城镇污水处理厂排污口、农业排口、其他排口等四种类型。其中，工业排污口包括工矿企业排污口和雨洪排口、工业及其他各类园区污水处理厂排污口和雨洪排口等。</w:t>
      </w:r>
    </w:p>
    <w:p w:rsidR="002A5A5E" w:rsidRPr="00F9522B" w:rsidRDefault="00611CBA">
      <w:pPr>
        <w:spacing w:line="360" w:lineRule="auto"/>
        <w:ind w:firstLineChars="200" w:firstLine="480"/>
        <w:jc w:val="left"/>
        <w:rPr>
          <w:rFonts w:eastAsiaTheme="minorEastAsia"/>
          <w:sz w:val="24"/>
        </w:rPr>
      </w:pPr>
      <w:r w:rsidRPr="00F9522B">
        <w:rPr>
          <w:rFonts w:eastAsiaTheme="minorEastAsia"/>
          <w:sz w:val="24"/>
          <w:highlight w:val="yellow"/>
        </w:rPr>
        <w:t>本项目现有水田入河排污口类型为农业排口。暂未进行审批登记，未进行排污口规范化建设。排污口责任主体等暂未明确，本项目将其列为</w:t>
      </w:r>
      <w:r w:rsidRPr="00F9522B">
        <w:rPr>
          <w:rFonts w:eastAsiaTheme="minorEastAsia"/>
          <w:sz w:val="24"/>
          <w:highlight w:val="yellow"/>
        </w:rPr>
        <w:t>“</w:t>
      </w:r>
      <w:r w:rsidRPr="00F9522B">
        <w:rPr>
          <w:rFonts w:eastAsiaTheme="minorEastAsia"/>
          <w:sz w:val="24"/>
          <w:highlight w:val="yellow"/>
        </w:rPr>
        <w:t>以新带老</w:t>
      </w:r>
      <w:r w:rsidRPr="00F9522B">
        <w:rPr>
          <w:rFonts w:eastAsiaTheme="minorEastAsia"/>
          <w:sz w:val="24"/>
          <w:highlight w:val="yellow"/>
        </w:rPr>
        <w:t>”</w:t>
      </w:r>
      <w:r w:rsidRPr="00F9522B">
        <w:rPr>
          <w:rFonts w:eastAsiaTheme="minorEastAsia"/>
          <w:sz w:val="24"/>
          <w:highlight w:val="yellow"/>
        </w:rPr>
        <w:t>措施，</w:t>
      </w:r>
      <w:r w:rsidRPr="00F9522B">
        <w:rPr>
          <w:rFonts w:eastAsiaTheme="minorEastAsia"/>
          <w:bCs/>
          <w:sz w:val="24"/>
          <w:highlight w:val="yellow"/>
        </w:rPr>
        <w:t>应对现有入河排污口办理入河排污口登记程序并进行排污口规范化建设</w:t>
      </w:r>
      <w:r w:rsidRPr="00F9522B">
        <w:rPr>
          <w:rFonts w:eastAsiaTheme="minorEastAsia"/>
          <w:sz w:val="24"/>
          <w:highlight w:val="yellow"/>
        </w:rPr>
        <w:t>。</w:t>
      </w:r>
    </w:p>
    <w:p w:rsidR="002A5A5E" w:rsidRPr="00F9522B" w:rsidRDefault="00611CBA">
      <w:pPr>
        <w:pStyle w:val="30"/>
        <w:spacing w:before="100" w:beforeAutospacing="1" w:after="100" w:afterAutospacing="1" w:line="240" w:lineRule="auto"/>
        <w:ind w:firstLineChars="0" w:firstLine="0"/>
        <w:rPr>
          <w:rFonts w:ascii="Times New Roman" w:eastAsiaTheme="minorEastAsia" w:hAnsi="Times New Roman" w:cs="Times New Roman"/>
          <w:b/>
          <w:sz w:val="28"/>
          <w:szCs w:val="28"/>
        </w:rPr>
      </w:pPr>
      <w:bookmarkStart w:id="18" w:name="_Toc11758453"/>
      <w:r w:rsidRPr="00F9522B">
        <w:rPr>
          <w:rFonts w:ascii="Times New Roman" w:eastAsiaTheme="minorEastAsia" w:hAnsi="Times New Roman" w:cs="Times New Roman"/>
          <w:b/>
          <w:sz w:val="28"/>
          <w:szCs w:val="28"/>
        </w:rPr>
        <w:t>1.4.</w:t>
      </w:r>
      <w:bookmarkEnd w:id="18"/>
      <w:r w:rsidRPr="00F9522B">
        <w:rPr>
          <w:rFonts w:ascii="Times New Roman" w:eastAsiaTheme="minorEastAsia" w:hAnsi="Times New Roman" w:cs="Times New Roman"/>
          <w:b/>
          <w:sz w:val="28"/>
          <w:szCs w:val="28"/>
        </w:rPr>
        <w:t>3</w:t>
      </w:r>
      <w:r w:rsidRPr="00F9522B">
        <w:rPr>
          <w:rFonts w:ascii="Times New Roman" w:eastAsiaTheme="minorEastAsia" w:hAnsi="Times New Roman" w:cs="Times New Roman"/>
          <w:b/>
          <w:sz w:val="28"/>
          <w:szCs w:val="28"/>
        </w:rPr>
        <w:t>与《地下水管理条例》符合性分析</w:t>
      </w:r>
    </w:p>
    <w:p w:rsidR="00F9080B" w:rsidRPr="00F9522B" w:rsidRDefault="00611CBA" w:rsidP="00F9080B">
      <w:pPr>
        <w:spacing w:line="360" w:lineRule="auto"/>
        <w:ind w:firstLineChars="200" w:firstLine="480"/>
        <w:rPr>
          <w:rFonts w:eastAsiaTheme="minorEastAsia"/>
          <w:sz w:val="24"/>
          <w:lang w:val="zh-CN"/>
        </w:rPr>
      </w:pPr>
      <w:r w:rsidRPr="00F9522B">
        <w:rPr>
          <w:rFonts w:eastAsiaTheme="minorEastAsia"/>
          <w:sz w:val="24"/>
        </w:rPr>
        <w:t>根据下表分析，本项目符合</w:t>
      </w:r>
      <w:r w:rsidRPr="00F9522B">
        <w:rPr>
          <w:rFonts w:eastAsiaTheme="minorEastAsia"/>
          <w:bCs/>
          <w:sz w:val="24"/>
        </w:rPr>
        <w:t>《地下水管理条例》（中华人民共和国国务院令第</w:t>
      </w:r>
      <w:r w:rsidRPr="00F9522B">
        <w:rPr>
          <w:rFonts w:eastAsiaTheme="minorEastAsia"/>
          <w:bCs/>
          <w:sz w:val="24"/>
        </w:rPr>
        <w:t>748</w:t>
      </w:r>
      <w:r w:rsidRPr="00F9522B">
        <w:rPr>
          <w:rFonts w:eastAsiaTheme="minorEastAsia"/>
          <w:bCs/>
          <w:sz w:val="24"/>
        </w:rPr>
        <w:t>号）</w:t>
      </w:r>
      <w:r w:rsidRPr="00F9522B">
        <w:rPr>
          <w:rFonts w:eastAsiaTheme="minorEastAsia"/>
          <w:sz w:val="24"/>
          <w:lang w:val="zh-CN"/>
        </w:rPr>
        <w:t>。</w:t>
      </w:r>
    </w:p>
    <w:p w:rsidR="002A5A5E" w:rsidRPr="00F9522B" w:rsidRDefault="00611CBA" w:rsidP="00F9080B">
      <w:pPr>
        <w:contextualSpacing/>
        <w:jc w:val="center"/>
        <w:rPr>
          <w:rFonts w:eastAsiaTheme="minorEastAsia"/>
          <w:b/>
          <w:bCs/>
          <w:szCs w:val="21"/>
        </w:rPr>
      </w:pPr>
      <w:r w:rsidRPr="00F9522B">
        <w:rPr>
          <w:rFonts w:eastAsiaTheme="minorEastAsia"/>
          <w:b/>
          <w:bCs/>
          <w:szCs w:val="21"/>
        </w:rPr>
        <w:t>表</w:t>
      </w:r>
      <w:r w:rsidRPr="00F9522B">
        <w:rPr>
          <w:rFonts w:eastAsiaTheme="minorEastAsia"/>
          <w:b/>
          <w:bCs/>
          <w:szCs w:val="21"/>
        </w:rPr>
        <w:t>1-4-2</w:t>
      </w:r>
      <w:r w:rsidRPr="00F9522B">
        <w:rPr>
          <w:rFonts w:eastAsiaTheme="minorEastAsia"/>
          <w:b/>
          <w:bCs/>
          <w:szCs w:val="21"/>
        </w:rPr>
        <w:t>符合性分析</w:t>
      </w:r>
    </w:p>
    <w:tbl>
      <w:tblPr>
        <w:tblW w:w="5000" w:type="pct"/>
        <w:tblBorders>
          <w:top w:val="single" w:sz="12" w:space="0" w:color="auto"/>
          <w:bottom w:val="single" w:sz="12" w:space="0" w:color="auto"/>
          <w:insideH w:val="single" w:sz="4" w:space="0" w:color="auto"/>
          <w:insideV w:val="single" w:sz="4" w:space="0" w:color="auto"/>
        </w:tblBorders>
        <w:tblLook w:val="04A0"/>
      </w:tblPr>
      <w:tblGrid>
        <w:gridCol w:w="675"/>
        <w:gridCol w:w="4535"/>
        <w:gridCol w:w="3312"/>
      </w:tblGrid>
      <w:tr w:rsidR="002A5A5E" w:rsidRPr="00F9522B" w:rsidTr="0079178B">
        <w:trPr>
          <w:trHeight w:val="170"/>
        </w:trPr>
        <w:tc>
          <w:tcPr>
            <w:tcW w:w="396" w:type="pct"/>
            <w:vAlign w:val="center"/>
          </w:tcPr>
          <w:p w:rsidR="002A5A5E" w:rsidRPr="00F9522B" w:rsidRDefault="00611CBA">
            <w:pPr>
              <w:adjustRightInd w:val="0"/>
              <w:snapToGrid w:val="0"/>
              <w:jc w:val="center"/>
              <w:rPr>
                <w:rFonts w:eastAsiaTheme="minorEastAsia"/>
              </w:rPr>
            </w:pPr>
            <w:bookmarkStart w:id="19" w:name="_Toc11758454"/>
            <w:r w:rsidRPr="00F9522B">
              <w:rPr>
                <w:rFonts w:eastAsiaTheme="minorEastAsia"/>
              </w:rPr>
              <w:t>序号</w:t>
            </w:r>
          </w:p>
        </w:tc>
        <w:tc>
          <w:tcPr>
            <w:tcW w:w="2661" w:type="pct"/>
            <w:vAlign w:val="center"/>
          </w:tcPr>
          <w:p w:rsidR="002A5A5E" w:rsidRPr="00F9522B" w:rsidRDefault="00611CBA">
            <w:pPr>
              <w:adjustRightInd w:val="0"/>
              <w:snapToGrid w:val="0"/>
              <w:jc w:val="center"/>
              <w:rPr>
                <w:rFonts w:eastAsiaTheme="minorEastAsia"/>
              </w:rPr>
            </w:pPr>
            <w:r w:rsidRPr="00F9522B">
              <w:rPr>
                <w:rFonts w:eastAsiaTheme="minorEastAsia"/>
              </w:rPr>
              <w:t>条例要求</w:t>
            </w:r>
          </w:p>
        </w:tc>
        <w:tc>
          <w:tcPr>
            <w:tcW w:w="1943" w:type="pct"/>
            <w:vAlign w:val="center"/>
          </w:tcPr>
          <w:p w:rsidR="002A5A5E" w:rsidRPr="00F9522B" w:rsidRDefault="00611CBA">
            <w:pPr>
              <w:adjustRightInd w:val="0"/>
              <w:snapToGrid w:val="0"/>
              <w:jc w:val="center"/>
              <w:rPr>
                <w:rFonts w:eastAsiaTheme="minorEastAsia"/>
              </w:rPr>
            </w:pPr>
            <w:r w:rsidRPr="00F9522B">
              <w:rPr>
                <w:rFonts w:eastAsiaTheme="minorEastAsia"/>
              </w:rPr>
              <w:t>本项目符合性</w:t>
            </w:r>
          </w:p>
        </w:tc>
      </w:tr>
      <w:tr w:rsidR="002A5A5E" w:rsidRPr="00F9522B" w:rsidTr="0079178B">
        <w:trPr>
          <w:trHeight w:val="90"/>
        </w:trPr>
        <w:tc>
          <w:tcPr>
            <w:tcW w:w="396" w:type="pct"/>
            <w:vAlign w:val="center"/>
          </w:tcPr>
          <w:p w:rsidR="002A5A5E" w:rsidRPr="00F9522B" w:rsidRDefault="00611CBA">
            <w:pPr>
              <w:adjustRightInd w:val="0"/>
              <w:snapToGrid w:val="0"/>
              <w:jc w:val="center"/>
              <w:rPr>
                <w:rFonts w:eastAsiaTheme="minorEastAsia"/>
              </w:rPr>
            </w:pPr>
            <w:r w:rsidRPr="00F9522B">
              <w:rPr>
                <w:rFonts w:eastAsiaTheme="minorEastAsia"/>
              </w:rPr>
              <w:t>1</w:t>
            </w:r>
          </w:p>
        </w:tc>
        <w:tc>
          <w:tcPr>
            <w:tcW w:w="2661" w:type="pct"/>
            <w:vAlign w:val="center"/>
          </w:tcPr>
          <w:p w:rsidR="002A5A5E" w:rsidRPr="00F9522B" w:rsidRDefault="00611CBA">
            <w:pPr>
              <w:adjustRightInd w:val="0"/>
              <w:snapToGrid w:val="0"/>
              <w:jc w:val="left"/>
              <w:rPr>
                <w:rFonts w:eastAsiaTheme="minorEastAsia"/>
                <w:szCs w:val="21"/>
              </w:rPr>
            </w:pPr>
            <w:r w:rsidRPr="00F9522B">
              <w:rPr>
                <w:rFonts w:eastAsiaTheme="minorEastAsia"/>
                <w:szCs w:val="21"/>
              </w:rPr>
              <w:t>取用地下水的单位和个人应当遵守取水总量控制和定额管理要求，使用先进节约用水技术、工艺和设备，采取循环用水、综合利用及废水处理回用等措施，实施技术改造，降低用水消耗</w:t>
            </w:r>
          </w:p>
        </w:tc>
        <w:tc>
          <w:tcPr>
            <w:tcW w:w="1943" w:type="pct"/>
            <w:vAlign w:val="center"/>
          </w:tcPr>
          <w:p w:rsidR="002A5A5E" w:rsidRPr="00F9522B" w:rsidRDefault="00611CBA">
            <w:pPr>
              <w:adjustRightInd w:val="0"/>
              <w:snapToGrid w:val="0"/>
              <w:jc w:val="left"/>
              <w:rPr>
                <w:rFonts w:eastAsiaTheme="minorEastAsia"/>
                <w:szCs w:val="21"/>
              </w:rPr>
            </w:pPr>
            <w:r w:rsidRPr="00F9522B">
              <w:rPr>
                <w:rFonts w:eastAsiaTheme="minorEastAsia"/>
                <w:szCs w:val="21"/>
              </w:rPr>
              <w:t>本项目取用地下水为农田灌溉，采取节水灌溉方式，降低用水消耗，符合要求</w:t>
            </w:r>
          </w:p>
        </w:tc>
      </w:tr>
      <w:tr w:rsidR="002A5A5E" w:rsidRPr="00F9522B" w:rsidTr="0079178B">
        <w:trPr>
          <w:trHeight w:val="90"/>
        </w:trPr>
        <w:tc>
          <w:tcPr>
            <w:tcW w:w="396" w:type="pct"/>
            <w:vAlign w:val="center"/>
          </w:tcPr>
          <w:p w:rsidR="002A5A5E" w:rsidRPr="00F9522B" w:rsidRDefault="00611CBA">
            <w:pPr>
              <w:adjustRightInd w:val="0"/>
              <w:snapToGrid w:val="0"/>
              <w:jc w:val="center"/>
              <w:rPr>
                <w:rFonts w:eastAsiaTheme="minorEastAsia"/>
              </w:rPr>
            </w:pPr>
            <w:r w:rsidRPr="00F9522B">
              <w:rPr>
                <w:rFonts w:eastAsiaTheme="minorEastAsia"/>
              </w:rPr>
              <w:t>2</w:t>
            </w:r>
          </w:p>
        </w:tc>
        <w:tc>
          <w:tcPr>
            <w:tcW w:w="2661" w:type="pct"/>
            <w:vAlign w:val="center"/>
          </w:tcPr>
          <w:p w:rsidR="002A5A5E" w:rsidRPr="00F9522B" w:rsidRDefault="00611CBA">
            <w:pPr>
              <w:adjustRightInd w:val="0"/>
              <w:snapToGrid w:val="0"/>
              <w:jc w:val="left"/>
              <w:rPr>
                <w:rFonts w:eastAsiaTheme="minorEastAsia"/>
                <w:szCs w:val="21"/>
              </w:rPr>
            </w:pPr>
            <w:r w:rsidRPr="00F9522B">
              <w:rPr>
                <w:rFonts w:eastAsiaTheme="minorEastAsia"/>
                <w:szCs w:val="21"/>
              </w:rPr>
              <w:t>新建、改建、扩建地下水取水工程，应当同时安装计量设施</w:t>
            </w:r>
          </w:p>
        </w:tc>
        <w:tc>
          <w:tcPr>
            <w:tcW w:w="1943" w:type="pct"/>
            <w:vAlign w:val="center"/>
          </w:tcPr>
          <w:p w:rsidR="002A5A5E" w:rsidRPr="00F9522B" w:rsidRDefault="00611CBA">
            <w:pPr>
              <w:adjustRightInd w:val="0"/>
              <w:snapToGrid w:val="0"/>
              <w:jc w:val="left"/>
              <w:rPr>
                <w:rFonts w:eastAsiaTheme="minorEastAsia"/>
                <w:szCs w:val="21"/>
              </w:rPr>
            </w:pPr>
            <w:r w:rsidRPr="00F9522B">
              <w:rPr>
                <w:rFonts w:eastAsiaTheme="minorEastAsia"/>
                <w:szCs w:val="21"/>
              </w:rPr>
              <w:t>本项目地下水取水井配备计量设施，符合要求</w:t>
            </w:r>
          </w:p>
        </w:tc>
      </w:tr>
      <w:tr w:rsidR="002A5A5E" w:rsidRPr="00F9522B" w:rsidTr="0079178B">
        <w:trPr>
          <w:trHeight w:val="90"/>
        </w:trPr>
        <w:tc>
          <w:tcPr>
            <w:tcW w:w="396" w:type="pct"/>
            <w:vAlign w:val="center"/>
          </w:tcPr>
          <w:p w:rsidR="002A5A5E" w:rsidRPr="00F9522B" w:rsidRDefault="00611CBA">
            <w:pPr>
              <w:adjustRightInd w:val="0"/>
              <w:snapToGrid w:val="0"/>
              <w:jc w:val="center"/>
              <w:rPr>
                <w:rFonts w:eastAsiaTheme="minorEastAsia"/>
              </w:rPr>
            </w:pPr>
            <w:r w:rsidRPr="00F9522B">
              <w:rPr>
                <w:rFonts w:eastAsiaTheme="minorEastAsia"/>
              </w:rPr>
              <w:t>3</w:t>
            </w:r>
          </w:p>
        </w:tc>
        <w:tc>
          <w:tcPr>
            <w:tcW w:w="2661" w:type="pct"/>
            <w:vAlign w:val="center"/>
          </w:tcPr>
          <w:p w:rsidR="002A5A5E" w:rsidRPr="00F9522B" w:rsidRDefault="00611CBA">
            <w:pPr>
              <w:adjustRightInd w:val="0"/>
              <w:snapToGrid w:val="0"/>
              <w:jc w:val="left"/>
              <w:rPr>
                <w:rFonts w:eastAsiaTheme="minorEastAsia"/>
                <w:szCs w:val="21"/>
              </w:rPr>
            </w:pPr>
            <w:r w:rsidRPr="00F9522B">
              <w:rPr>
                <w:rFonts w:eastAsiaTheme="minorEastAsia"/>
                <w:szCs w:val="21"/>
              </w:rPr>
              <w:t>以地下水为灌溉水源的地区，县级以上地方人民政府应当采取保障建设投入、加大对企业信贷支持力度、建立健全基层水利服务体系等措施，鼓励发展节水农业，推广应用喷灌、微灌、管道输水灌溉、渠道防渗输水灌溉等节水灌溉技术，以及先进的农机、农艺和生物技术等，提高农业用水效率，节约农业用水</w:t>
            </w:r>
          </w:p>
        </w:tc>
        <w:tc>
          <w:tcPr>
            <w:tcW w:w="1943" w:type="pct"/>
            <w:vAlign w:val="center"/>
          </w:tcPr>
          <w:p w:rsidR="002A5A5E" w:rsidRPr="00F9522B" w:rsidRDefault="00611CBA">
            <w:pPr>
              <w:adjustRightInd w:val="0"/>
              <w:snapToGrid w:val="0"/>
              <w:jc w:val="left"/>
              <w:rPr>
                <w:rFonts w:eastAsiaTheme="minorEastAsia"/>
                <w:szCs w:val="21"/>
              </w:rPr>
            </w:pPr>
            <w:r w:rsidRPr="00F9522B">
              <w:rPr>
                <w:rFonts w:eastAsiaTheme="minorEastAsia"/>
                <w:szCs w:val="21"/>
              </w:rPr>
              <w:t>本项目采用节水灌溉模式，含滴灌井，提高农业用水效率，节约农业用水，符合要求</w:t>
            </w:r>
          </w:p>
        </w:tc>
      </w:tr>
      <w:tr w:rsidR="002A5A5E" w:rsidRPr="00F9522B" w:rsidTr="0079178B">
        <w:trPr>
          <w:trHeight w:val="90"/>
        </w:trPr>
        <w:tc>
          <w:tcPr>
            <w:tcW w:w="396" w:type="pct"/>
            <w:vAlign w:val="center"/>
          </w:tcPr>
          <w:p w:rsidR="002A5A5E" w:rsidRPr="00F9522B" w:rsidRDefault="00611CBA">
            <w:pPr>
              <w:adjustRightInd w:val="0"/>
              <w:snapToGrid w:val="0"/>
              <w:jc w:val="center"/>
              <w:rPr>
                <w:rFonts w:eastAsiaTheme="minorEastAsia"/>
              </w:rPr>
            </w:pPr>
            <w:r w:rsidRPr="00F9522B">
              <w:rPr>
                <w:rFonts w:eastAsiaTheme="minorEastAsia"/>
              </w:rPr>
              <w:t>4</w:t>
            </w:r>
          </w:p>
        </w:tc>
        <w:tc>
          <w:tcPr>
            <w:tcW w:w="2661" w:type="pct"/>
            <w:vAlign w:val="center"/>
          </w:tcPr>
          <w:p w:rsidR="002A5A5E" w:rsidRPr="00F9522B" w:rsidRDefault="00611CBA">
            <w:pPr>
              <w:adjustRightInd w:val="0"/>
              <w:snapToGrid w:val="0"/>
              <w:jc w:val="left"/>
              <w:rPr>
                <w:rFonts w:eastAsiaTheme="minorEastAsia"/>
                <w:szCs w:val="21"/>
              </w:rPr>
            </w:pPr>
            <w:r w:rsidRPr="00F9522B">
              <w:rPr>
                <w:rFonts w:eastAsiaTheme="minorEastAsia"/>
                <w:szCs w:val="21"/>
              </w:rPr>
              <w:t>建设单位和个人应当采取措施防止地下工程建设对地下水补给、径流、排泄等造成重大不利影响</w:t>
            </w:r>
          </w:p>
        </w:tc>
        <w:tc>
          <w:tcPr>
            <w:tcW w:w="1943" w:type="pct"/>
            <w:vAlign w:val="center"/>
          </w:tcPr>
          <w:p w:rsidR="002A5A5E" w:rsidRPr="00F9522B" w:rsidRDefault="00611CBA">
            <w:pPr>
              <w:adjustRightInd w:val="0"/>
              <w:snapToGrid w:val="0"/>
              <w:jc w:val="left"/>
              <w:rPr>
                <w:rFonts w:eastAsiaTheme="minorEastAsia"/>
                <w:szCs w:val="21"/>
              </w:rPr>
            </w:pPr>
            <w:r w:rsidRPr="00F9522B">
              <w:rPr>
                <w:rFonts w:eastAsiaTheme="minorEastAsia"/>
                <w:szCs w:val="21"/>
              </w:rPr>
              <w:t>本项目合理开采和利用地下水资源，严格执行灌溉制度，制定合理的用水计划，采取有效的地下水保护措施，不会造成重大影响，符合要求</w:t>
            </w:r>
          </w:p>
        </w:tc>
      </w:tr>
    </w:tbl>
    <w:p w:rsidR="00F9080B" w:rsidRPr="00F9522B" w:rsidRDefault="00F9080B"/>
    <w:p w:rsidR="00F9080B" w:rsidRPr="00F9522B" w:rsidRDefault="00F9080B"/>
    <w:p w:rsidR="00F9080B" w:rsidRPr="00F9522B" w:rsidRDefault="00F9080B"/>
    <w:p w:rsidR="00F9080B" w:rsidRPr="00F9522B" w:rsidRDefault="00F9080B" w:rsidP="00F9080B">
      <w:pPr>
        <w:contextualSpacing/>
        <w:jc w:val="center"/>
        <w:rPr>
          <w:rFonts w:eastAsiaTheme="minorEastAsia"/>
          <w:b/>
          <w:bCs/>
          <w:szCs w:val="21"/>
        </w:rPr>
      </w:pPr>
      <w:r w:rsidRPr="00F9522B">
        <w:rPr>
          <w:rFonts w:eastAsiaTheme="minorEastAsia"/>
          <w:b/>
          <w:bCs/>
          <w:szCs w:val="21"/>
        </w:rPr>
        <w:lastRenderedPageBreak/>
        <w:t>续表</w:t>
      </w:r>
      <w:r w:rsidRPr="00F9522B">
        <w:rPr>
          <w:rFonts w:eastAsiaTheme="minorEastAsia"/>
          <w:b/>
          <w:bCs/>
          <w:szCs w:val="21"/>
        </w:rPr>
        <w:t>1-4-2</w:t>
      </w:r>
      <w:r w:rsidRPr="00F9522B">
        <w:rPr>
          <w:rFonts w:eastAsiaTheme="minorEastAsia"/>
          <w:b/>
          <w:bCs/>
          <w:szCs w:val="21"/>
        </w:rPr>
        <w:t>符合性分析</w:t>
      </w:r>
    </w:p>
    <w:tbl>
      <w:tblPr>
        <w:tblW w:w="5000" w:type="pct"/>
        <w:tblBorders>
          <w:top w:val="single" w:sz="12" w:space="0" w:color="auto"/>
          <w:bottom w:val="single" w:sz="12" w:space="0" w:color="auto"/>
          <w:insideH w:val="single" w:sz="4" w:space="0" w:color="auto"/>
          <w:insideV w:val="single" w:sz="4" w:space="0" w:color="auto"/>
        </w:tblBorders>
        <w:tblLook w:val="04A0"/>
      </w:tblPr>
      <w:tblGrid>
        <w:gridCol w:w="675"/>
        <w:gridCol w:w="4535"/>
        <w:gridCol w:w="3312"/>
      </w:tblGrid>
      <w:tr w:rsidR="002A5A5E" w:rsidRPr="00F9522B" w:rsidTr="0079178B">
        <w:trPr>
          <w:trHeight w:val="90"/>
        </w:trPr>
        <w:tc>
          <w:tcPr>
            <w:tcW w:w="396" w:type="pct"/>
            <w:vAlign w:val="center"/>
          </w:tcPr>
          <w:p w:rsidR="002A5A5E" w:rsidRPr="00F9522B" w:rsidRDefault="00611CBA">
            <w:pPr>
              <w:adjustRightInd w:val="0"/>
              <w:snapToGrid w:val="0"/>
              <w:jc w:val="center"/>
              <w:rPr>
                <w:rFonts w:eastAsiaTheme="minorEastAsia"/>
              </w:rPr>
            </w:pPr>
            <w:r w:rsidRPr="00F9522B">
              <w:rPr>
                <w:rFonts w:eastAsiaTheme="minorEastAsia"/>
              </w:rPr>
              <w:t>5</w:t>
            </w:r>
          </w:p>
        </w:tc>
        <w:tc>
          <w:tcPr>
            <w:tcW w:w="2661" w:type="pct"/>
            <w:vAlign w:val="center"/>
          </w:tcPr>
          <w:p w:rsidR="002A5A5E" w:rsidRPr="00F9522B" w:rsidRDefault="00611CBA">
            <w:pPr>
              <w:adjustRightInd w:val="0"/>
              <w:snapToGrid w:val="0"/>
              <w:jc w:val="left"/>
              <w:rPr>
                <w:rFonts w:eastAsiaTheme="minorEastAsia"/>
                <w:szCs w:val="21"/>
              </w:rPr>
            </w:pPr>
            <w:r w:rsidRPr="00F9522B">
              <w:rPr>
                <w:rFonts w:eastAsiaTheme="minorEastAsia"/>
                <w:szCs w:val="21"/>
              </w:rPr>
              <w:t>禁止下列污染或者可能污染地下水的行为：</w:t>
            </w:r>
            <w:r w:rsidRPr="00F9522B">
              <w:rPr>
                <w:rFonts w:ascii="宋体" w:hAnsi="宋体" w:cs="宋体" w:hint="eastAsia"/>
                <w:szCs w:val="21"/>
              </w:rPr>
              <w:t>①</w:t>
            </w:r>
            <w:r w:rsidRPr="00F9522B">
              <w:rPr>
                <w:rFonts w:eastAsiaTheme="minorEastAsia"/>
                <w:szCs w:val="21"/>
              </w:rPr>
              <w:t>利用渗井、渗坑、裂隙、溶洞以及私设暗管等逃避监管的方式排放水污染物，</w:t>
            </w:r>
            <w:r w:rsidRPr="00F9522B">
              <w:rPr>
                <w:rFonts w:ascii="宋体" w:hAnsi="宋体" w:cs="宋体" w:hint="eastAsia"/>
                <w:szCs w:val="21"/>
              </w:rPr>
              <w:t>②</w:t>
            </w:r>
            <w:r w:rsidRPr="00F9522B">
              <w:rPr>
                <w:rFonts w:eastAsiaTheme="minorEastAsia"/>
                <w:szCs w:val="21"/>
              </w:rPr>
              <w:t>利用岩层孔隙、裂隙、溶洞、废弃矿坑等贮存石化原料及产品、农药、危险废物、城镇污水处理设施产生的污泥和处理后的污泥或者其他有毒有害物质，</w:t>
            </w:r>
            <w:r w:rsidRPr="00F9522B">
              <w:rPr>
                <w:rFonts w:ascii="宋体" w:hAnsi="宋体" w:cs="宋体" w:hint="eastAsia"/>
                <w:szCs w:val="21"/>
              </w:rPr>
              <w:t>③</w:t>
            </w:r>
            <w:r w:rsidRPr="00F9522B">
              <w:rPr>
                <w:rFonts w:eastAsiaTheme="minorEastAsia"/>
                <w:szCs w:val="21"/>
              </w:rPr>
              <w:t>利用无防渗漏措施的沟渠、坑塘等输送或者贮存含有毒污染物的废水、含病原体的污水和其他废弃物，</w:t>
            </w:r>
            <w:r w:rsidRPr="00F9522B">
              <w:rPr>
                <w:rFonts w:ascii="宋体" w:hAnsi="宋体" w:cs="宋体" w:hint="eastAsia"/>
                <w:szCs w:val="21"/>
              </w:rPr>
              <w:t>④</w:t>
            </w:r>
            <w:r w:rsidRPr="00F9522B">
              <w:rPr>
                <w:rFonts w:eastAsiaTheme="minorEastAsia"/>
                <w:szCs w:val="21"/>
              </w:rPr>
              <w:t>法律、法规禁止的其他污染或者可能污染地下水的行为</w:t>
            </w:r>
          </w:p>
        </w:tc>
        <w:tc>
          <w:tcPr>
            <w:tcW w:w="1943" w:type="pct"/>
            <w:vAlign w:val="center"/>
          </w:tcPr>
          <w:p w:rsidR="002A5A5E" w:rsidRPr="00F9522B" w:rsidRDefault="00611CBA">
            <w:pPr>
              <w:adjustRightInd w:val="0"/>
              <w:snapToGrid w:val="0"/>
              <w:jc w:val="left"/>
              <w:rPr>
                <w:rFonts w:eastAsiaTheme="minorEastAsia"/>
                <w:szCs w:val="21"/>
              </w:rPr>
            </w:pPr>
            <w:r w:rsidRPr="00F9522B">
              <w:rPr>
                <w:rFonts w:eastAsiaTheme="minorEastAsia"/>
                <w:szCs w:val="21"/>
              </w:rPr>
              <w:t>本项目施工期</w:t>
            </w:r>
            <w:r w:rsidRPr="00F9522B">
              <w:rPr>
                <w:rFonts w:eastAsiaTheme="minorEastAsia"/>
                <w:bCs/>
                <w:szCs w:val="21"/>
              </w:rPr>
              <w:t>生活污水依托附近民房防渗旱厕，定期清掏，外运堆肥，不外排</w:t>
            </w:r>
            <w:r w:rsidRPr="00F9522B">
              <w:rPr>
                <w:rFonts w:eastAsiaTheme="minorEastAsia"/>
                <w:szCs w:val="21"/>
              </w:rPr>
              <w:t>。洗井废水用于洒水降尘，不外排，不会污染地下水，符合要求</w:t>
            </w:r>
          </w:p>
        </w:tc>
      </w:tr>
      <w:tr w:rsidR="002A5A5E" w:rsidRPr="00F9522B" w:rsidTr="0079178B">
        <w:trPr>
          <w:trHeight w:val="90"/>
        </w:trPr>
        <w:tc>
          <w:tcPr>
            <w:tcW w:w="396" w:type="pct"/>
            <w:vAlign w:val="center"/>
          </w:tcPr>
          <w:p w:rsidR="002A5A5E" w:rsidRPr="00F9522B" w:rsidRDefault="00611CBA">
            <w:pPr>
              <w:adjustRightInd w:val="0"/>
              <w:snapToGrid w:val="0"/>
              <w:jc w:val="center"/>
              <w:rPr>
                <w:rFonts w:eastAsiaTheme="minorEastAsia"/>
              </w:rPr>
            </w:pPr>
            <w:r w:rsidRPr="00F9522B">
              <w:rPr>
                <w:rFonts w:eastAsiaTheme="minorEastAsia"/>
              </w:rPr>
              <w:t>6</w:t>
            </w:r>
          </w:p>
        </w:tc>
        <w:tc>
          <w:tcPr>
            <w:tcW w:w="2661" w:type="pct"/>
            <w:vAlign w:val="center"/>
          </w:tcPr>
          <w:p w:rsidR="002A5A5E" w:rsidRPr="00F9522B" w:rsidRDefault="00611CBA">
            <w:pPr>
              <w:adjustRightInd w:val="0"/>
              <w:snapToGrid w:val="0"/>
              <w:jc w:val="left"/>
              <w:rPr>
                <w:rFonts w:eastAsiaTheme="minorEastAsia"/>
                <w:szCs w:val="21"/>
              </w:rPr>
            </w:pPr>
            <w:r w:rsidRPr="00F9522B">
              <w:rPr>
                <w:rFonts w:eastAsiaTheme="minorEastAsia"/>
                <w:szCs w:val="21"/>
              </w:rPr>
              <w:t>农业生产经营者等有关单位和个人应当科学、合理使用农药、肥料等农业投入品，农田灌溉用水应当符合相关水质标准，防止地下水污染</w:t>
            </w:r>
          </w:p>
        </w:tc>
        <w:tc>
          <w:tcPr>
            <w:tcW w:w="1943" w:type="pct"/>
            <w:vAlign w:val="center"/>
          </w:tcPr>
          <w:p w:rsidR="002A5A5E" w:rsidRPr="00F9522B" w:rsidRDefault="00611CBA">
            <w:pPr>
              <w:adjustRightInd w:val="0"/>
              <w:snapToGrid w:val="0"/>
              <w:jc w:val="left"/>
              <w:rPr>
                <w:rFonts w:eastAsiaTheme="minorEastAsia"/>
                <w:szCs w:val="21"/>
              </w:rPr>
            </w:pPr>
            <w:r w:rsidRPr="00F9522B">
              <w:rPr>
                <w:rFonts w:eastAsiaTheme="minorEastAsia"/>
                <w:szCs w:val="21"/>
              </w:rPr>
              <w:t>本项目运营期科学、合理使用农药、肥料，实行三减措施，实施测土配方施肥、水肥一体化等措施，控制农药、肥料施用种类及数量。根据本项目地下水监测报告数据可知，</w:t>
            </w:r>
            <w:r w:rsidR="0079178B" w:rsidRPr="00F9522B">
              <w:rPr>
                <w:rFonts w:eastAsiaTheme="minorEastAsia"/>
                <w:szCs w:val="21"/>
              </w:rPr>
              <w:t>项目区水质满足《农田灌溉水质标准》（</w:t>
            </w:r>
            <w:r w:rsidR="0079178B" w:rsidRPr="00F9522B">
              <w:rPr>
                <w:rFonts w:eastAsiaTheme="minorEastAsia"/>
                <w:szCs w:val="21"/>
              </w:rPr>
              <w:t>GB5048-2021</w:t>
            </w:r>
            <w:r w:rsidR="0079178B" w:rsidRPr="00F9522B">
              <w:rPr>
                <w:rFonts w:eastAsiaTheme="minorEastAsia"/>
                <w:szCs w:val="21"/>
              </w:rPr>
              <w:t>）中旱地作物及水田作物水质要求</w:t>
            </w:r>
          </w:p>
        </w:tc>
      </w:tr>
      <w:tr w:rsidR="002A5A5E" w:rsidRPr="00F9522B" w:rsidTr="0079178B">
        <w:trPr>
          <w:trHeight w:val="90"/>
        </w:trPr>
        <w:tc>
          <w:tcPr>
            <w:tcW w:w="396" w:type="pct"/>
            <w:vAlign w:val="center"/>
          </w:tcPr>
          <w:p w:rsidR="002A5A5E" w:rsidRPr="00F9522B" w:rsidRDefault="00611CBA">
            <w:pPr>
              <w:adjustRightInd w:val="0"/>
              <w:snapToGrid w:val="0"/>
              <w:jc w:val="center"/>
              <w:rPr>
                <w:rFonts w:eastAsiaTheme="minorEastAsia"/>
              </w:rPr>
            </w:pPr>
            <w:r w:rsidRPr="00F9522B">
              <w:rPr>
                <w:rFonts w:eastAsiaTheme="minorEastAsia"/>
              </w:rPr>
              <w:t>7</w:t>
            </w:r>
          </w:p>
        </w:tc>
        <w:tc>
          <w:tcPr>
            <w:tcW w:w="2661" w:type="pct"/>
            <w:vAlign w:val="center"/>
          </w:tcPr>
          <w:p w:rsidR="002A5A5E" w:rsidRPr="00F9522B" w:rsidRDefault="00611CBA">
            <w:pPr>
              <w:jc w:val="left"/>
              <w:rPr>
                <w:rFonts w:eastAsiaTheme="minorEastAsia"/>
                <w:szCs w:val="21"/>
              </w:rPr>
            </w:pPr>
            <w:r w:rsidRPr="00F9522B">
              <w:rPr>
                <w:rFonts w:eastAsiaTheme="minorEastAsia"/>
                <w:szCs w:val="21"/>
              </w:rPr>
              <w:t>有下列情形之一的，应当划为地下水禁止开采区：</w:t>
            </w:r>
            <w:r w:rsidRPr="00F9522B">
              <w:rPr>
                <w:rFonts w:ascii="宋体" w:hAnsi="宋体" w:cs="宋体" w:hint="eastAsia"/>
                <w:szCs w:val="21"/>
              </w:rPr>
              <w:t>①</w:t>
            </w:r>
            <w:r w:rsidRPr="00F9522B">
              <w:rPr>
                <w:rFonts w:eastAsiaTheme="minorEastAsia"/>
                <w:szCs w:val="21"/>
              </w:rPr>
              <w:t>已发生严重的地面沉降、地裂缝、海（咸）水入侵、植被退化等地质灾害或者生态损害的区域，</w:t>
            </w:r>
            <w:r w:rsidRPr="00F9522B">
              <w:rPr>
                <w:rFonts w:ascii="宋体" w:hAnsi="宋体" w:cs="宋体" w:hint="eastAsia"/>
                <w:szCs w:val="21"/>
              </w:rPr>
              <w:t>②</w:t>
            </w:r>
            <w:r w:rsidRPr="00F9522B">
              <w:rPr>
                <w:rFonts w:eastAsiaTheme="minorEastAsia"/>
                <w:szCs w:val="21"/>
              </w:rPr>
              <w:t>地下水超采区内公共供水管网覆盖或者通过替代水源已经解决供水需求的区域，</w:t>
            </w:r>
            <w:r w:rsidRPr="00F9522B">
              <w:rPr>
                <w:rFonts w:ascii="宋体" w:hAnsi="宋体" w:cs="宋体" w:hint="eastAsia"/>
                <w:szCs w:val="21"/>
              </w:rPr>
              <w:t>③</w:t>
            </w:r>
            <w:r w:rsidRPr="00F9522B">
              <w:rPr>
                <w:rFonts w:eastAsiaTheme="minorEastAsia"/>
                <w:szCs w:val="21"/>
              </w:rPr>
              <w:t>法律、法规规定禁止开采地下水的其他区域</w:t>
            </w:r>
          </w:p>
        </w:tc>
        <w:tc>
          <w:tcPr>
            <w:tcW w:w="1943" w:type="pct"/>
            <w:vMerge w:val="restart"/>
            <w:vAlign w:val="center"/>
          </w:tcPr>
          <w:p w:rsidR="002A5A5E" w:rsidRPr="00F9522B" w:rsidRDefault="00611CBA">
            <w:pPr>
              <w:adjustRightInd w:val="0"/>
              <w:snapToGrid w:val="0"/>
              <w:jc w:val="left"/>
              <w:rPr>
                <w:rFonts w:eastAsiaTheme="minorEastAsia"/>
                <w:szCs w:val="21"/>
              </w:rPr>
            </w:pPr>
            <w:r w:rsidRPr="00F9522B">
              <w:rPr>
                <w:rFonts w:eastAsiaTheme="minorEastAsia"/>
                <w:szCs w:val="21"/>
              </w:rPr>
              <w:t>本项目所在区域不属于已发生严重的地面沉降、地裂缝、海（咸）水入侵、植被退化等地质灾害或者生态损害的区域。不属于地下水开采量接近可开采量的区域。不位于地下水开采重点管控区及超采区。不属于法律、法规规定禁止、限制开采地下水的其他区域。本项目开采地下水不会引发地质灾害或者生态损害，符合要求</w:t>
            </w:r>
          </w:p>
        </w:tc>
      </w:tr>
      <w:tr w:rsidR="002A5A5E" w:rsidRPr="00F9522B" w:rsidTr="0079178B">
        <w:trPr>
          <w:trHeight w:val="90"/>
        </w:trPr>
        <w:tc>
          <w:tcPr>
            <w:tcW w:w="396" w:type="pct"/>
            <w:vAlign w:val="center"/>
          </w:tcPr>
          <w:p w:rsidR="002A5A5E" w:rsidRPr="00F9522B" w:rsidRDefault="00611CBA">
            <w:pPr>
              <w:adjustRightInd w:val="0"/>
              <w:snapToGrid w:val="0"/>
              <w:jc w:val="center"/>
              <w:rPr>
                <w:rFonts w:eastAsiaTheme="minorEastAsia"/>
              </w:rPr>
            </w:pPr>
            <w:r w:rsidRPr="00F9522B">
              <w:rPr>
                <w:rFonts w:eastAsiaTheme="minorEastAsia"/>
              </w:rPr>
              <w:t>8</w:t>
            </w:r>
          </w:p>
        </w:tc>
        <w:tc>
          <w:tcPr>
            <w:tcW w:w="2661" w:type="pct"/>
            <w:vAlign w:val="center"/>
          </w:tcPr>
          <w:p w:rsidR="002A5A5E" w:rsidRPr="00F9522B" w:rsidRDefault="00611CBA">
            <w:pPr>
              <w:adjustRightInd w:val="0"/>
              <w:snapToGrid w:val="0"/>
              <w:jc w:val="left"/>
              <w:rPr>
                <w:rFonts w:eastAsiaTheme="minorEastAsia"/>
                <w:szCs w:val="21"/>
              </w:rPr>
            </w:pPr>
            <w:r w:rsidRPr="00F9522B">
              <w:rPr>
                <w:rFonts w:eastAsiaTheme="minorEastAsia"/>
                <w:szCs w:val="21"/>
              </w:rPr>
              <w:t>有下列情形之一的，应当划为地下水限制开采区：</w:t>
            </w:r>
            <w:r w:rsidRPr="00F9522B">
              <w:rPr>
                <w:rFonts w:ascii="宋体" w:hAnsi="宋体" w:cs="宋体" w:hint="eastAsia"/>
                <w:szCs w:val="21"/>
              </w:rPr>
              <w:t>①</w:t>
            </w:r>
            <w:r w:rsidRPr="00F9522B">
              <w:rPr>
                <w:rFonts w:eastAsiaTheme="minorEastAsia"/>
                <w:szCs w:val="21"/>
              </w:rPr>
              <w:t>地下水开采量接近可开采量的区域</w:t>
            </w:r>
            <w:r w:rsidRPr="00F9522B">
              <w:rPr>
                <w:rFonts w:ascii="宋体" w:hAnsi="宋体" w:cs="宋体" w:hint="eastAsia"/>
                <w:szCs w:val="21"/>
              </w:rPr>
              <w:t>②</w:t>
            </w:r>
            <w:r w:rsidRPr="00F9522B">
              <w:rPr>
                <w:rFonts w:eastAsiaTheme="minorEastAsia"/>
                <w:szCs w:val="21"/>
              </w:rPr>
              <w:t>开采地下水可能引发地质灾害或者生态损害的区域，</w:t>
            </w:r>
            <w:r w:rsidRPr="00F9522B">
              <w:rPr>
                <w:rFonts w:ascii="宋体" w:hAnsi="宋体" w:cs="宋体" w:hint="eastAsia"/>
                <w:szCs w:val="21"/>
              </w:rPr>
              <w:t>③</w:t>
            </w:r>
            <w:r w:rsidRPr="00F9522B">
              <w:rPr>
                <w:rFonts w:eastAsiaTheme="minorEastAsia"/>
                <w:szCs w:val="21"/>
              </w:rPr>
              <w:t>法律、法规规定限制开采地下水的其他区域</w:t>
            </w:r>
          </w:p>
        </w:tc>
        <w:tc>
          <w:tcPr>
            <w:tcW w:w="1943" w:type="pct"/>
            <w:vMerge/>
            <w:vAlign w:val="center"/>
          </w:tcPr>
          <w:p w:rsidR="002A5A5E" w:rsidRPr="00F9522B" w:rsidRDefault="002A5A5E">
            <w:pPr>
              <w:adjustRightInd w:val="0"/>
              <w:snapToGrid w:val="0"/>
              <w:rPr>
                <w:rFonts w:eastAsiaTheme="minorEastAsia"/>
                <w:szCs w:val="21"/>
              </w:rPr>
            </w:pPr>
          </w:p>
        </w:tc>
      </w:tr>
      <w:tr w:rsidR="00F9080B" w:rsidRPr="00F9522B" w:rsidTr="0079178B">
        <w:trPr>
          <w:trHeight w:val="90"/>
        </w:trPr>
        <w:tc>
          <w:tcPr>
            <w:tcW w:w="396" w:type="pct"/>
            <w:vAlign w:val="center"/>
          </w:tcPr>
          <w:p w:rsidR="00F9080B" w:rsidRPr="00F9522B" w:rsidRDefault="00F9080B">
            <w:pPr>
              <w:adjustRightInd w:val="0"/>
              <w:snapToGrid w:val="0"/>
              <w:jc w:val="center"/>
              <w:rPr>
                <w:rFonts w:eastAsiaTheme="minorEastAsia"/>
                <w:color w:val="FF0000"/>
              </w:rPr>
            </w:pPr>
            <w:r w:rsidRPr="00F9522B">
              <w:rPr>
                <w:rFonts w:eastAsiaTheme="minorEastAsia"/>
                <w:color w:val="FF0000"/>
              </w:rPr>
              <w:t>9</w:t>
            </w:r>
          </w:p>
        </w:tc>
        <w:tc>
          <w:tcPr>
            <w:tcW w:w="2661" w:type="pct"/>
            <w:vAlign w:val="center"/>
          </w:tcPr>
          <w:p w:rsidR="00F9080B" w:rsidRPr="00F9522B" w:rsidRDefault="00F9080B">
            <w:pPr>
              <w:adjustRightInd w:val="0"/>
              <w:snapToGrid w:val="0"/>
              <w:jc w:val="left"/>
              <w:rPr>
                <w:rFonts w:eastAsiaTheme="minorEastAsia"/>
                <w:color w:val="FF0000"/>
                <w:szCs w:val="21"/>
              </w:rPr>
            </w:pPr>
            <w:r w:rsidRPr="00F9522B">
              <w:rPr>
                <w:rFonts w:eastAsiaTheme="minorEastAsia"/>
                <w:color w:val="FF0000"/>
                <w:szCs w:val="21"/>
              </w:rPr>
              <w:t>多层地下水的含水层水质差异大的，应当分层开采；对已受污染的潜水和承压水，不得混合开采。</w:t>
            </w:r>
          </w:p>
        </w:tc>
        <w:tc>
          <w:tcPr>
            <w:tcW w:w="1943" w:type="pct"/>
            <w:vAlign w:val="center"/>
          </w:tcPr>
          <w:p w:rsidR="00F9080B" w:rsidRPr="00F9522B" w:rsidRDefault="00F9080B">
            <w:pPr>
              <w:adjustRightInd w:val="0"/>
              <w:snapToGrid w:val="0"/>
              <w:rPr>
                <w:rFonts w:eastAsiaTheme="minorEastAsia"/>
                <w:color w:val="FF0000"/>
                <w:szCs w:val="21"/>
              </w:rPr>
            </w:pPr>
            <w:r w:rsidRPr="00F9522B">
              <w:rPr>
                <w:rFonts w:eastAsiaTheme="minorEastAsia"/>
                <w:color w:val="FF0000"/>
                <w:szCs w:val="21"/>
              </w:rPr>
              <w:t>本项目灌溉井取水目的层为第四系松散岩类孔隙承压水，不进行混合开采。</w:t>
            </w:r>
          </w:p>
        </w:tc>
      </w:tr>
    </w:tbl>
    <w:p w:rsidR="002A5A5E" w:rsidRPr="00F9522B" w:rsidRDefault="002A5A5E">
      <w:pPr>
        <w:pStyle w:val="aff4"/>
        <w:ind w:firstLineChars="0" w:firstLine="0"/>
        <w:rPr>
          <w:rFonts w:ascii="Times New Roman" w:hAnsi="Times New Roman" w:cs="Times New Roman"/>
        </w:rPr>
        <w:sectPr w:rsidR="002A5A5E" w:rsidRPr="00F9522B">
          <w:headerReference w:type="default" r:id="rId15"/>
          <w:pgSz w:w="11906" w:h="16838"/>
          <w:pgMar w:top="1440" w:right="1800" w:bottom="1440" w:left="1800" w:header="851" w:footer="992" w:gutter="0"/>
          <w:cols w:space="425"/>
          <w:docGrid w:type="lines" w:linePitch="312"/>
        </w:sectPr>
      </w:pPr>
    </w:p>
    <w:p w:rsidR="002A5A5E" w:rsidRPr="00F9522B" w:rsidRDefault="00611CBA">
      <w:pPr>
        <w:pStyle w:val="30"/>
        <w:spacing w:before="100" w:beforeAutospacing="1" w:after="100" w:afterAutospacing="1" w:line="240" w:lineRule="auto"/>
        <w:ind w:firstLineChars="0" w:firstLine="0"/>
        <w:rPr>
          <w:rFonts w:ascii="Times New Roman" w:eastAsiaTheme="minorEastAsia" w:hAnsi="Times New Roman" w:cs="Times New Roman"/>
          <w:b/>
          <w:sz w:val="28"/>
          <w:szCs w:val="28"/>
        </w:rPr>
      </w:pPr>
      <w:r w:rsidRPr="00F9522B">
        <w:rPr>
          <w:rFonts w:ascii="Times New Roman" w:eastAsiaTheme="minorEastAsia" w:hAnsi="Times New Roman" w:cs="Times New Roman"/>
          <w:b/>
          <w:sz w:val="28"/>
          <w:szCs w:val="28"/>
        </w:rPr>
        <w:lastRenderedPageBreak/>
        <w:t>1.4.4</w:t>
      </w:r>
      <w:r w:rsidRPr="00F9522B">
        <w:rPr>
          <w:rFonts w:ascii="Times New Roman" w:eastAsiaTheme="minorEastAsia" w:hAnsi="Times New Roman" w:cs="Times New Roman"/>
          <w:b/>
          <w:sz w:val="28"/>
          <w:szCs w:val="28"/>
        </w:rPr>
        <w:t>与</w:t>
      </w:r>
      <w:r w:rsidRPr="00F9522B">
        <w:rPr>
          <w:rFonts w:ascii="Times New Roman" w:eastAsiaTheme="minorEastAsia" w:hAnsi="Times New Roman" w:cs="Times New Roman"/>
          <w:b/>
          <w:sz w:val="28"/>
          <w:szCs w:val="28"/>
        </w:rPr>
        <w:t>“</w:t>
      </w:r>
      <w:r w:rsidRPr="00F9522B">
        <w:rPr>
          <w:rFonts w:ascii="Times New Roman" w:eastAsiaTheme="minorEastAsia" w:hAnsi="Times New Roman" w:cs="Times New Roman"/>
          <w:b/>
          <w:sz w:val="28"/>
          <w:szCs w:val="28"/>
        </w:rPr>
        <w:t>黑龙江省生态环境分区管控</w:t>
      </w:r>
      <w:r w:rsidRPr="00F9522B">
        <w:rPr>
          <w:rFonts w:ascii="Times New Roman" w:eastAsiaTheme="minorEastAsia" w:hAnsi="Times New Roman" w:cs="Times New Roman"/>
          <w:b/>
          <w:sz w:val="28"/>
          <w:szCs w:val="28"/>
        </w:rPr>
        <w:t>”</w:t>
      </w:r>
      <w:r w:rsidRPr="00F9522B">
        <w:rPr>
          <w:rFonts w:ascii="Times New Roman" w:eastAsiaTheme="minorEastAsia" w:hAnsi="Times New Roman" w:cs="Times New Roman"/>
          <w:b/>
          <w:sz w:val="28"/>
          <w:szCs w:val="28"/>
        </w:rPr>
        <w:t>符合性分析</w:t>
      </w:r>
    </w:p>
    <w:p w:rsidR="002A5A5E" w:rsidRPr="00F9522B" w:rsidRDefault="00611CBA" w:rsidP="00432235">
      <w:pPr>
        <w:autoSpaceDE w:val="0"/>
        <w:autoSpaceDN w:val="0"/>
        <w:adjustRightInd w:val="0"/>
        <w:snapToGrid w:val="0"/>
        <w:spacing w:line="360" w:lineRule="auto"/>
        <w:ind w:firstLineChars="200" w:firstLine="480"/>
        <w:jc w:val="left"/>
        <w:rPr>
          <w:rFonts w:eastAsiaTheme="minorEastAsia"/>
          <w:sz w:val="24"/>
        </w:rPr>
      </w:pPr>
      <w:r w:rsidRPr="00F9522B">
        <w:rPr>
          <w:rFonts w:eastAsiaTheme="minorEastAsia"/>
          <w:sz w:val="24"/>
        </w:rPr>
        <w:t>根据</w:t>
      </w:r>
      <w:r w:rsidRPr="00F9522B">
        <w:rPr>
          <w:rFonts w:eastAsiaTheme="minorEastAsia"/>
          <w:sz w:val="24"/>
        </w:rPr>
        <w:t>“</w:t>
      </w:r>
      <w:r w:rsidRPr="00F9522B">
        <w:rPr>
          <w:rFonts w:eastAsiaTheme="minorEastAsia"/>
          <w:sz w:val="24"/>
        </w:rPr>
        <w:t>黑龙江省生态环境分区管控数据应用平台</w:t>
      </w:r>
      <w:r w:rsidRPr="00F9522B">
        <w:rPr>
          <w:rFonts w:eastAsiaTheme="minorEastAsia"/>
          <w:sz w:val="24"/>
        </w:rPr>
        <w:t>”</w:t>
      </w:r>
      <w:r w:rsidRPr="00F9522B">
        <w:rPr>
          <w:rFonts w:eastAsiaTheme="minorEastAsia"/>
          <w:sz w:val="24"/>
        </w:rPr>
        <w:t>出具的《</w:t>
      </w:r>
      <w:r w:rsidR="003A7922" w:rsidRPr="00F9522B">
        <w:rPr>
          <w:rFonts w:eastAsiaTheme="minorEastAsia"/>
          <w:sz w:val="24"/>
        </w:rPr>
        <w:t>呼兰区</w:t>
      </w:r>
      <w:r w:rsidR="003A7922" w:rsidRPr="00F9522B">
        <w:rPr>
          <w:rFonts w:eastAsiaTheme="minorEastAsia"/>
          <w:sz w:val="24"/>
        </w:rPr>
        <w:t>2026</w:t>
      </w:r>
      <w:r w:rsidR="003A7922" w:rsidRPr="00F9522B">
        <w:rPr>
          <w:rFonts w:eastAsiaTheme="minorEastAsia"/>
          <w:sz w:val="24"/>
        </w:rPr>
        <w:t>年高标准农田建设项目</w:t>
      </w:r>
      <w:r w:rsidRPr="00F9522B">
        <w:rPr>
          <w:rFonts w:eastAsiaTheme="minorEastAsia"/>
          <w:sz w:val="24"/>
        </w:rPr>
        <w:t>生态环境分区管控分析报告》，本项目属于呼兰区一般生态空间（优先保护单元）、呼兰区城镇空间（</w:t>
      </w:r>
      <w:r w:rsidR="00432235" w:rsidRPr="00F9522B">
        <w:rPr>
          <w:rFonts w:eastAsiaTheme="minorEastAsia"/>
          <w:sz w:val="24"/>
        </w:rPr>
        <w:t>重点管控单元）、呼兰区水环境农业污染重点管控区（重点管控单元）</w:t>
      </w:r>
      <w:r w:rsidRPr="00F9522B">
        <w:rPr>
          <w:rFonts w:eastAsiaTheme="minorEastAsia"/>
          <w:sz w:val="24"/>
        </w:rPr>
        <w:t>、呼兰区永久基本农田（一般管控单元）、呼兰区其他区域（一般管控单元）。</w:t>
      </w:r>
    </w:p>
    <w:p w:rsidR="002A5A5E" w:rsidRPr="00F9522B" w:rsidRDefault="00611CBA">
      <w:pPr>
        <w:autoSpaceDE w:val="0"/>
        <w:autoSpaceDN w:val="0"/>
        <w:adjustRightInd w:val="0"/>
        <w:snapToGrid w:val="0"/>
        <w:spacing w:line="360" w:lineRule="auto"/>
        <w:ind w:firstLineChars="200" w:firstLine="480"/>
        <w:jc w:val="left"/>
        <w:rPr>
          <w:rFonts w:eastAsiaTheme="minorEastAsia"/>
          <w:sz w:val="24"/>
        </w:rPr>
      </w:pPr>
      <w:r w:rsidRPr="00F9522B">
        <w:rPr>
          <w:rFonts w:eastAsiaTheme="minorEastAsia"/>
          <w:sz w:val="24"/>
        </w:rPr>
        <w:t>结合本项目施工工艺、排污状况和区域环境及环境质量现状进行调查的基础上，本工程与</w:t>
      </w:r>
      <w:r w:rsidRPr="00F9522B">
        <w:rPr>
          <w:rFonts w:eastAsiaTheme="minorEastAsia"/>
          <w:sz w:val="24"/>
        </w:rPr>
        <w:t>“</w:t>
      </w:r>
      <w:r w:rsidRPr="00F9522B">
        <w:rPr>
          <w:rFonts w:eastAsiaTheme="minorEastAsia"/>
          <w:sz w:val="24"/>
        </w:rPr>
        <w:t>黑龙江省生态环境分区管控</w:t>
      </w:r>
      <w:r w:rsidRPr="00F9522B">
        <w:rPr>
          <w:rFonts w:eastAsiaTheme="minorEastAsia"/>
          <w:sz w:val="24"/>
        </w:rPr>
        <w:t>”</w:t>
      </w:r>
      <w:r w:rsidRPr="00F9522B">
        <w:rPr>
          <w:rFonts w:eastAsiaTheme="minorEastAsia"/>
          <w:sz w:val="24"/>
        </w:rPr>
        <w:t>符合情况如下：</w:t>
      </w:r>
    </w:p>
    <w:p w:rsidR="002A5A5E" w:rsidRPr="00F9522B" w:rsidRDefault="00611CBA">
      <w:pPr>
        <w:autoSpaceDE w:val="0"/>
        <w:autoSpaceDN w:val="0"/>
        <w:adjustRightInd w:val="0"/>
        <w:snapToGrid w:val="0"/>
        <w:spacing w:line="360" w:lineRule="auto"/>
        <w:ind w:firstLineChars="200" w:firstLine="480"/>
        <w:jc w:val="left"/>
        <w:rPr>
          <w:rFonts w:eastAsiaTheme="minorEastAsia"/>
          <w:sz w:val="24"/>
        </w:rPr>
      </w:pPr>
      <w:r w:rsidRPr="00F9522B">
        <w:rPr>
          <w:rFonts w:eastAsiaTheme="minorEastAsia"/>
          <w:sz w:val="24"/>
        </w:rPr>
        <w:t>本项目与黑龙江省生态环境分区管控成果数据相交情况汇总表见下表。</w:t>
      </w:r>
    </w:p>
    <w:p w:rsidR="002A5A5E" w:rsidRPr="00F9522B" w:rsidRDefault="00611CBA">
      <w:pPr>
        <w:contextualSpacing/>
        <w:jc w:val="center"/>
        <w:rPr>
          <w:rFonts w:eastAsiaTheme="minorEastAsia"/>
          <w:b/>
          <w:bCs/>
          <w:szCs w:val="21"/>
        </w:rPr>
      </w:pPr>
      <w:r w:rsidRPr="00F9522B">
        <w:rPr>
          <w:rFonts w:eastAsiaTheme="minorEastAsia"/>
          <w:b/>
          <w:bCs/>
          <w:szCs w:val="21"/>
        </w:rPr>
        <w:t>表</w:t>
      </w:r>
      <w:r w:rsidRPr="00F9522B">
        <w:rPr>
          <w:rFonts w:eastAsiaTheme="minorEastAsia"/>
          <w:b/>
          <w:bCs/>
          <w:szCs w:val="21"/>
        </w:rPr>
        <w:t xml:space="preserve">1-4-3 </w:t>
      </w:r>
      <w:r w:rsidRPr="00F9522B">
        <w:rPr>
          <w:rFonts w:eastAsiaTheme="minorEastAsia"/>
          <w:b/>
          <w:bCs/>
          <w:szCs w:val="21"/>
        </w:rPr>
        <w:t>本项目与黑龙江省生态环境分区管控成果相交情况一览表</w:t>
      </w:r>
    </w:p>
    <w:tbl>
      <w:tblPr>
        <w:tblW w:w="4933" w:type="pct"/>
        <w:jc w:val="center"/>
        <w:tblBorders>
          <w:top w:val="single" w:sz="12" w:space="0" w:color="auto"/>
          <w:bottom w:val="single" w:sz="12" w:space="0" w:color="auto"/>
          <w:insideH w:val="single" w:sz="4" w:space="0" w:color="auto"/>
          <w:insideV w:val="single" w:sz="4" w:space="0" w:color="auto"/>
        </w:tblBorders>
        <w:tblCellMar>
          <w:left w:w="23" w:type="dxa"/>
          <w:right w:w="23" w:type="dxa"/>
        </w:tblCellMar>
        <w:tblLook w:val="04A0"/>
      </w:tblPr>
      <w:tblGrid>
        <w:gridCol w:w="1185"/>
        <w:gridCol w:w="1561"/>
        <w:gridCol w:w="708"/>
        <w:gridCol w:w="994"/>
        <w:gridCol w:w="851"/>
        <w:gridCol w:w="3109"/>
      </w:tblGrid>
      <w:tr w:rsidR="002A5A5E" w:rsidRPr="00F9522B" w:rsidTr="00FC45EA">
        <w:trPr>
          <w:trHeight w:val="609"/>
          <w:tblHeader/>
          <w:jc w:val="center"/>
        </w:trPr>
        <w:tc>
          <w:tcPr>
            <w:tcW w:w="705" w:type="pct"/>
            <w:tcBorders>
              <w:tl2br w:val="nil"/>
              <w:tr2bl w:val="nil"/>
            </w:tcBorders>
            <w:tcMar>
              <w:top w:w="15" w:type="dxa"/>
              <w:left w:w="108" w:type="dxa"/>
              <w:bottom w:w="15" w:type="dxa"/>
              <w:right w:w="108" w:type="dxa"/>
            </w:tcMar>
            <w:vAlign w:val="center"/>
          </w:tcPr>
          <w:p w:rsidR="002A5A5E" w:rsidRPr="00F9522B" w:rsidRDefault="00611CBA">
            <w:pPr>
              <w:jc w:val="center"/>
              <w:rPr>
                <w:rFonts w:eastAsiaTheme="minorEastAsia"/>
                <w:szCs w:val="21"/>
                <w:lang w:val="zh-CN"/>
              </w:rPr>
            </w:pPr>
            <w:r w:rsidRPr="00F9522B">
              <w:rPr>
                <w:rFonts w:eastAsiaTheme="minorEastAsia"/>
                <w:szCs w:val="21"/>
                <w:lang w:val="zh-CN"/>
              </w:rPr>
              <w:t>一级分类</w:t>
            </w:r>
          </w:p>
        </w:tc>
        <w:tc>
          <w:tcPr>
            <w:tcW w:w="928" w:type="pct"/>
            <w:tcBorders>
              <w:tl2br w:val="nil"/>
              <w:tr2bl w:val="nil"/>
            </w:tcBorders>
            <w:tcMar>
              <w:top w:w="15" w:type="dxa"/>
              <w:left w:w="108" w:type="dxa"/>
              <w:bottom w:w="15" w:type="dxa"/>
              <w:right w:w="108" w:type="dxa"/>
            </w:tcMar>
            <w:vAlign w:val="center"/>
          </w:tcPr>
          <w:p w:rsidR="002A5A5E" w:rsidRPr="00F9522B" w:rsidRDefault="00611CBA">
            <w:pPr>
              <w:jc w:val="center"/>
              <w:rPr>
                <w:rFonts w:eastAsiaTheme="minorEastAsia"/>
                <w:szCs w:val="21"/>
                <w:lang w:val="zh-CN"/>
              </w:rPr>
            </w:pPr>
            <w:r w:rsidRPr="00F9522B">
              <w:rPr>
                <w:rFonts w:eastAsiaTheme="minorEastAsia"/>
                <w:szCs w:val="21"/>
                <w:lang w:val="zh-CN"/>
              </w:rPr>
              <w:t>二级分类</w:t>
            </w:r>
          </w:p>
        </w:tc>
        <w:tc>
          <w:tcPr>
            <w:tcW w:w="421" w:type="pct"/>
            <w:tcBorders>
              <w:tl2br w:val="nil"/>
              <w:tr2bl w:val="nil"/>
            </w:tcBorders>
            <w:tcMar>
              <w:top w:w="15" w:type="dxa"/>
              <w:left w:w="108" w:type="dxa"/>
              <w:bottom w:w="15" w:type="dxa"/>
              <w:right w:w="108" w:type="dxa"/>
            </w:tcMar>
            <w:vAlign w:val="center"/>
          </w:tcPr>
          <w:p w:rsidR="002A5A5E" w:rsidRPr="00F9522B" w:rsidRDefault="00611CBA">
            <w:pPr>
              <w:jc w:val="center"/>
              <w:rPr>
                <w:rFonts w:eastAsiaTheme="minorEastAsia"/>
                <w:szCs w:val="21"/>
                <w:lang w:val="zh-CN"/>
              </w:rPr>
            </w:pPr>
            <w:r w:rsidRPr="00F9522B">
              <w:rPr>
                <w:rFonts w:eastAsiaTheme="minorEastAsia"/>
                <w:szCs w:val="21"/>
              </w:rPr>
              <w:t>是否相交</w:t>
            </w:r>
          </w:p>
        </w:tc>
        <w:tc>
          <w:tcPr>
            <w:tcW w:w="591" w:type="pct"/>
            <w:tcBorders>
              <w:tl2br w:val="nil"/>
              <w:tr2bl w:val="nil"/>
            </w:tcBorders>
            <w:tcMar>
              <w:top w:w="15" w:type="dxa"/>
              <w:left w:w="108" w:type="dxa"/>
              <w:bottom w:w="15" w:type="dxa"/>
              <w:right w:w="108" w:type="dxa"/>
            </w:tcMar>
            <w:vAlign w:val="center"/>
          </w:tcPr>
          <w:p w:rsidR="002A5A5E" w:rsidRPr="00F9522B" w:rsidRDefault="00611CBA">
            <w:pPr>
              <w:jc w:val="center"/>
              <w:rPr>
                <w:rFonts w:eastAsiaTheme="minorEastAsia"/>
                <w:szCs w:val="21"/>
                <w:lang w:val="zh-CN"/>
              </w:rPr>
            </w:pPr>
            <w:r w:rsidRPr="00F9522B">
              <w:rPr>
                <w:rFonts w:eastAsiaTheme="minorEastAsia"/>
                <w:szCs w:val="21"/>
              </w:rPr>
              <w:t>所属地市</w:t>
            </w:r>
          </w:p>
        </w:tc>
        <w:tc>
          <w:tcPr>
            <w:tcW w:w="506" w:type="pct"/>
            <w:tcBorders>
              <w:tl2br w:val="nil"/>
              <w:tr2bl w:val="nil"/>
            </w:tcBorders>
            <w:tcMar>
              <w:top w:w="15" w:type="dxa"/>
              <w:left w:w="108" w:type="dxa"/>
              <w:bottom w:w="15" w:type="dxa"/>
              <w:right w:w="108" w:type="dxa"/>
            </w:tcMar>
            <w:vAlign w:val="center"/>
          </w:tcPr>
          <w:p w:rsidR="002A5A5E" w:rsidRPr="00F9522B" w:rsidRDefault="00611CBA">
            <w:pPr>
              <w:jc w:val="center"/>
              <w:rPr>
                <w:rFonts w:eastAsiaTheme="minorEastAsia"/>
                <w:szCs w:val="21"/>
                <w:lang w:val="zh-CN"/>
              </w:rPr>
            </w:pPr>
            <w:r w:rsidRPr="00F9522B">
              <w:rPr>
                <w:rFonts w:eastAsiaTheme="minorEastAsia"/>
                <w:szCs w:val="21"/>
              </w:rPr>
              <w:t>所属区县</w:t>
            </w:r>
          </w:p>
        </w:tc>
        <w:tc>
          <w:tcPr>
            <w:tcW w:w="1849" w:type="pct"/>
            <w:tcBorders>
              <w:tl2br w:val="nil"/>
              <w:tr2bl w:val="nil"/>
            </w:tcBorders>
            <w:tcMar>
              <w:top w:w="15" w:type="dxa"/>
              <w:left w:w="108" w:type="dxa"/>
              <w:bottom w:w="15" w:type="dxa"/>
              <w:right w:w="108" w:type="dxa"/>
            </w:tcMar>
            <w:vAlign w:val="center"/>
          </w:tcPr>
          <w:p w:rsidR="002A5A5E" w:rsidRPr="00F9522B" w:rsidRDefault="00611CBA">
            <w:pPr>
              <w:jc w:val="center"/>
              <w:rPr>
                <w:rFonts w:eastAsiaTheme="minorEastAsia"/>
                <w:szCs w:val="21"/>
              </w:rPr>
            </w:pPr>
            <w:r w:rsidRPr="00F9522B">
              <w:rPr>
                <w:rFonts w:eastAsiaTheme="minorEastAsia"/>
                <w:szCs w:val="21"/>
                <w:lang w:val="zh-CN"/>
              </w:rPr>
              <w:t>相交</w:t>
            </w:r>
            <w:r w:rsidRPr="00F9522B">
              <w:rPr>
                <w:rFonts w:eastAsiaTheme="minorEastAsia"/>
                <w:szCs w:val="21"/>
              </w:rPr>
              <w:t>区域</w:t>
            </w:r>
          </w:p>
        </w:tc>
      </w:tr>
      <w:tr w:rsidR="002A5A5E" w:rsidRPr="00F9522B" w:rsidTr="00FC45EA">
        <w:trPr>
          <w:trHeight w:val="609"/>
          <w:tblHeader/>
          <w:jc w:val="center"/>
        </w:trPr>
        <w:tc>
          <w:tcPr>
            <w:tcW w:w="705" w:type="pct"/>
            <w:tcBorders>
              <w:tl2br w:val="nil"/>
              <w:tr2bl w:val="nil"/>
            </w:tcBorders>
            <w:tcMar>
              <w:top w:w="15" w:type="dxa"/>
              <w:left w:w="108" w:type="dxa"/>
              <w:bottom w:w="15" w:type="dxa"/>
              <w:right w:w="108" w:type="dxa"/>
            </w:tcMar>
            <w:vAlign w:val="center"/>
          </w:tcPr>
          <w:p w:rsidR="002A5A5E" w:rsidRPr="00F9522B" w:rsidRDefault="00611CBA">
            <w:pPr>
              <w:jc w:val="center"/>
              <w:rPr>
                <w:rFonts w:eastAsiaTheme="minorEastAsia"/>
                <w:szCs w:val="21"/>
              </w:rPr>
            </w:pPr>
            <w:r w:rsidRPr="00F9522B">
              <w:rPr>
                <w:rFonts w:eastAsiaTheme="minorEastAsia"/>
                <w:szCs w:val="21"/>
              </w:rPr>
              <w:t>生态保护红线与一般生态空间</w:t>
            </w:r>
          </w:p>
        </w:tc>
        <w:tc>
          <w:tcPr>
            <w:tcW w:w="928" w:type="pct"/>
            <w:tcBorders>
              <w:tl2br w:val="nil"/>
              <w:tr2bl w:val="nil"/>
            </w:tcBorders>
            <w:tcMar>
              <w:top w:w="15" w:type="dxa"/>
              <w:left w:w="108" w:type="dxa"/>
              <w:bottom w:w="15" w:type="dxa"/>
              <w:right w:w="108" w:type="dxa"/>
            </w:tcMar>
            <w:vAlign w:val="center"/>
          </w:tcPr>
          <w:p w:rsidR="002A5A5E" w:rsidRPr="00F9522B" w:rsidRDefault="00611CBA">
            <w:pPr>
              <w:jc w:val="center"/>
              <w:rPr>
                <w:rFonts w:eastAsiaTheme="minorEastAsia"/>
                <w:szCs w:val="21"/>
              </w:rPr>
            </w:pPr>
            <w:r w:rsidRPr="00F9522B">
              <w:rPr>
                <w:rFonts w:eastAsiaTheme="minorEastAsia"/>
                <w:szCs w:val="21"/>
              </w:rPr>
              <w:t>一般生态空间</w:t>
            </w:r>
          </w:p>
        </w:tc>
        <w:tc>
          <w:tcPr>
            <w:tcW w:w="421" w:type="pct"/>
            <w:tcBorders>
              <w:tl2br w:val="nil"/>
              <w:tr2bl w:val="nil"/>
            </w:tcBorders>
            <w:tcMar>
              <w:top w:w="15" w:type="dxa"/>
              <w:left w:w="108" w:type="dxa"/>
              <w:bottom w:w="15" w:type="dxa"/>
              <w:right w:w="108" w:type="dxa"/>
            </w:tcMar>
            <w:vAlign w:val="center"/>
          </w:tcPr>
          <w:p w:rsidR="002A5A5E" w:rsidRPr="00F9522B" w:rsidRDefault="00611CBA">
            <w:pPr>
              <w:jc w:val="center"/>
              <w:rPr>
                <w:rFonts w:eastAsiaTheme="minorEastAsia"/>
                <w:szCs w:val="21"/>
                <w:lang w:val="zh-CN"/>
              </w:rPr>
            </w:pPr>
            <w:r w:rsidRPr="00F9522B">
              <w:rPr>
                <w:rFonts w:eastAsiaTheme="minorEastAsia"/>
                <w:szCs w:val="21"/>
                <w:lang w:val="zh-CN"/>
              </w:rPr>
              <w:t>是</w:t>
            </w:r>
          </w:p>
        </w:tc>
        <w:tc>
          <w:tcPr>
            <w:tcW w:w="591" w:type="pct"/>
            <w:tcBorders>
              <w:tl2br w:val="nil"/>
              <w:tr2bl w:val="nil"/>
            </w:tcBorders>
            <w:tcMar>
              <w:top w:w="15" w:type="dxa"/>
              <w:left w:w="108" w:type="dxa"/>
              <w:bottom w:w="15" w:type="dxa"/>
              <w:right w:w="108" w:type="dxa"/>
            </w:tcMar>
            <w:vAlign w:val="center"/>
          </w:tcPr>
          <w:p w:rsidR="002A5A5E" w:rsidRPr="00F9522B" w:rsidRDefault="00611CBA">
            <w:pPr>
              <w:jc w:val="center"/>
              <w:rPr>
                <w:rFonts w:eastAsiaTheme="minorEastAsia"/>
                <w:szCs w:val="21"/>
                <w:lang w:val="zh-CN"/>
              </w:rPr>
            </w:pPr>
            <w:r w:rsidRPr="00F9522B">
              <w:rPr>
                <w:rFonts w:eastAsiaTheme="minorEastAsia"/>
                <w:szCs w:val="21"/>
              </w:rPr>
              <w:t>哈尔滨市</w:t>
            </w:r>
          </w:p>
        </w:tc>
        <w:tc>
          <w:tcPr>
            <w:tcW w:w="506" w:type="pct"/>
            <w:tcBorders>
              <w:tl2br w:val="nil"/>
              <w:tr2bl w:val="nil"/>
            </w:tcBorders>
            <w:tcMar>
              <w:top w:w="15" w:type="dxa"/>
              <w:left w:w="108" w:type="dxa"/>
              <w:bottom w:w="15" w:type="dxa"/>
              <w:right w:w="108" w:type="dxa"/>
            </w:tcMar>
            <w:vAlign w:val="center"/>
          </w:tcPr>
          <w:p w:rsidR="002A5A5E" w:rsidRPr="00F9522B" w:rsidRDefault="00611CBA">
            <w:pPr>
              <w:jc w:val="center"/>
              <w:rPr>
                <w:rFonts w:eastAsiaTheme="minorEastAsia"/>
                <w:szCs w:val="21"/>
              </w:rPr>
            </w:pPr>
            <w:r w:rsidRPr="00F9522B">
              <w:rPr>
                <w:rFonts w:eastAsiaTheme="minorEastAsia"/>
                <w:szCs w:val="21"/>
              </w:rPr>
              <w:t>呼兰区</w:t>
            </w:r>
          </w:p>
        </w:tc>
        <w:tc>
          <w:tcPr>
            <w:tcW w:w="1849" w:type="pct"/>
            <w:tcBorders>
              <w:tl2br w:val="nil"/>
              <w:tr2bl w:val="nil"/>
            </w:tcBorders>
            <w:tcMar>
              <w:top w:w="15" w:type="dxa"/>
              <w:left w:w="108" w:type="dxa"/>
              <w:bottom w:w="15" w:type="dxa"/>
              <w:right w:w="108" w:type="dxa"/>
            </w:tcMar>
            <w:vAlign w:val="center"/>
          </w:tcPr>
          <w:p w:rsidR="002A5A5E" w:rsidRPr="00F9522B" w:rsidRDefault="00611CBA">
            <w:pPr>
              <w:jc w:val="center"/>
              <w:rPr>
                <w:rFonts w:eastAsiaTheme="minorEastAsia"/>
                <w:szCs w:val="21"/>
                <w:lang w:val="zh-CN"/>
              </w:rPr>
            </w:pPr>
            <w:r w:rsidRPr="00F9522B">
              <w:rPr>
                <w:rFonts w:eastAsiaTheme="minorEastAsia"/>
                <w:szCs w:val="21"/>
              </w:rPr>
              <w:t>呼兰区一般生态空间区</w:t>
            </w:r>
          </w:p>
        </w:tc>
      </w:tr>
      <w:tr w:rsidR="002A5A5E" w:rsidRPr="00F9522B" w:rsidTr="00FC45EA">
        <w:trPr>
          <w:trHeight w:val="363"/>
          <w:jc w:val="center"/>
        </w:trPr>
        <w:tc>
          <w:tcPr>
            <w:tcW w:w="705" w:type="pct"/>
            <w:vMerge w:val="restart"/>
            <w:tcBorders>
              <w:tl2br w:val="nil"/>
              <w:tr2bl w:val="nil"/>
            </w:tcBorders>
            <w:tcMar>
              <w:top w:w="15" w:type="dxa"/>
              <w:left w:w="108" w:type="dxa"/>
              <w:bottom w:w="15" w:type="dxa"/>
              <w:right w:w="108" w:type="dxa"/>
            </w:tcMar>
            <w:vAlign w:val="center"/>
          </w:tcPr>
          <w:p w:rsidR="002A5A5E" w:rsidRPr="00F9522B" w:rsidRDefault="00611CBA">
            <w:pPr>
              <w:jc w:val="center"/>
              <w:rPr>
                <w:rFonts w:eastAsiaTheme="minorEastAsia"/>
                <w:szCs w:val="21"/>
                <w:lang w:val="zh-CN"/>
              </w:rPr>
            </w:pPr>
            <w:r w:rsidRPr="00F9522B">
              <w:rPr>
                <w:rFonts w:eastAsiaTheme="minorEastAsia"/>
                <w:szCs w:val="21"/>
              </w:rPr>
              <w:t>环境质量底线</w:t>
            </w:r>
          </w:p>
        </w:tc>
        <w:tc>
          <w:tcPr>
            <w:tcW w:w="928" w:type="pct"/>
            <w:tcBorders>
              <w:tl2br w:val="nil"/>
              <w:tr2bl w:val="nil"/>
            </w:tcBorders>
            <w:tcMar>
              <w:top w:w="15" w:type="dxa"/>
              <w:left w:w="108" w:type="dxa"/>
              <w:bottom w:w="15" w:type="dxa"/>
              <w:right w:w="108" w:type="dxa"/>
            </w:tcMar>
            <w:vAlign w:val="center"/>
          </w:tcPr>
          <w:p w:rsidR="002A5A5E" w:rsidRPr="00F9522B" w:rsidRDefault="00611CBA">
            <w:pPr>
              <w:jc w:val="center"/>
              <w:rPr>
                <w:rFonts w:eastAsiaTheme="minorEastAsia"/>
                <w:szCs w:val="21"/>
              </w:rPr>
            </w:pPr>
            <w:r w:rsidRPr="00F9522B">
              <w:rPr>
                <w:rFonts w:eastAsiaTheme="minorEastAsia"/>
                <w:szCs w:val="21"/>
              </w:rPr>
              <w:t>大气环境一般管控区</w:t>
            </w:r>
          </w:p>
        </w:tc>
        <w:tc>
          <w:tcPr>
            <w:tcW w:w="421" w:type="pct"/>
            <w:tcBorders>
              <w:tl2br w:val="nil"/>
              <w:tr2bl w:val="nil"/>
            </w:tcBorders>
            <w:tcMar>
              <w:top w:w="15" w:type="dxa"/>
              <w:left w:w="108" w:type="dxa"/>
              <w:bottom w:w="15" w:type="dxa"/>
              <w:right w:w="108" w:type="dxa"/>
            </w:tcMar>
            <w:vAlign w:val="center"/>
          </w:tcPr>
          <w:p w:rsidR="002A5A5E" w:rsidRPr="00F9522B" w:rsidRDefault="00611CBA">
            <w:pPr>
              <w:jc w:val="center"/>
              <w:rPr>
                <w:rFonts w:eastAsiaTheme="minorEastAsia"/>
                <w:szCs w:val="21"/>
                <w:lang w:val="zh-CN"/>
              </w:rPr>
            </w:pPr>
            <w:r w:rsidRPr="00F9522B">
              <w:rPr>
                <w:rFonts w:eastAsiaTheme="minorEastAsia"/>
                <w:szCs w:val="21"/>
                <w:lang w:val="zh-CN"/>
              </w:rPr>
              <w:t>是</w:t>
            </w:r>
          </w:p>
        </w:tc>
        <w:tc>
          <w:tcPr>
            <w:tcW w:w="591" w:type="pct"/>
            <w:tcBorders>
              <w:tl2br w:val="nil"/>
              <w:tr2bl w:val="nil"/>
            </w:tcBorders>
            <w:tcMar>
              <w:top w:w="15" w:type="dxa"/>
              <w:left w:w="108" w:type="dxa"/>
              <w:bottom w:w="15" w:type="dxa"/>
              <w:right w:w="108" w:type="dxa"/>
            </w:tcMar>
            <w:vAlign w:val="center"/>
          </w:tcPr>
          <w:p w:rsidR="002A5A5E" w:rsidRPr="00F9522B" w:rsidRDefault="00611CBA">
            <w:pPr>
              <w:jc w:val="center"/>
              <w:rPr>
                <w:rFonts w:eastAsiaTheme="minorEastAsia"/>
                <w:szCs w:val="21"/>
                <w:lang w:val="zh-CN"/>
              </w:rPr>
            </w:pPr>
            <w:r w:rsidRPr="00F9522B">
              <w:rPr>
                <w:rFonts w:eastAsiaTheme="minorEastAsia"/>
                <w:szCs w:val="21"/>
              </w:rPr>
              <w:t>哈尔滨市</w:t>
            </w:r>
          </w:p>
        </w:tc>
        <w:tc>
          <w:tcPr>
            <w:tcW w:w="506" w:type="pct"/>
            <w:tcBorders>
              <w:tl2br w:val="nil"/>
              <w:tr2bl w:val="nil"/>
            </w:tcBorders>
            <w:tcMar>
              <w:top w:w="15" w:type="dxa"/>
              <w:left w:w="108" w:type="dxa"/>
              <w:bottom w:w="15" w:type="dxa"/>
              <w:right w:w="108" w:type="dxa"/>
            </w:tcMar>
            <w:vAlign w:val="center"/>
          </w:tcPr>
          <w:p w:rsidR="002A5A5E" w:rsidRPr="00F9522B" w:rsidRDefault="00611CBA">
            <w:pPr>
              <w:jc w:val="center"/>
              <w:rPr>
                <w:rFonts w:eastAsiaTheme="minorEastAsia"/>
                <w:szCs w:val="21"/>
              </w:rPr>
            </w:pPr>
            <w:r w:rsidRPr="00F9522B">
              <w:rPr>
                <w:rFonts w:eastAsiaTheme="minorEastAsia"/>
                <w:szCs w:val="21"/>
              </w:rPr>
              <w:t>呼兰区</w:t>
            </w:r>
          </w:p>
        </w:tc>
        <w:tc>
          <w:tcPr>
            <w:tcW w:w="1849" w:type="pct"/>
            <w:tcBorders>
              <w:tl2br w:val="nil"/>
              <w:tr2bl w:val="nil"/>
            </w:tcBorders>
            <w:tcMar>
              <w:top w:w="15" w:type="dxa"/>
              <w:left w:w="108" w:type="dxa"/>
              <w:bottom w:w="15" w:type="dxa"/>
              <w:right w:w="108" w:type="dxa"/>
            </w:tcMar>
            <w:vAlign w:val="center"/>
          </w:tcPr>
          <w:p w:rsidR="002A5A5E" w:rsidRPr="00F9522B" w:rsidRDefault="00611CBA">
            <w:pPr>
              <w:jc w:val="center"/>
              <w:rPr>
                <w:rFonts w:eastAsiaTheme="minorEastAsia"/>
                <w:szCs w:val="21"/>
              </w:rPr>
            </w:pPr>
            <w:r w:rsidRPr="00F9522B">
              <w:rPr>
                <w:rFonts w:eastAsiaTheme="minorEastAsia"/>
                <w:szCs w:val="21"/>
              </w:rPr>
              <w:t>呼兰区大气环境一般管控区</w:t>
            </w:r>
          </w:p>
        </w:tc>
      </w:tr>
      <w:tr w:rsidR="002A5A5E" w:rsidRPr="00F9522B" w:rsidTr="00FC45EA">
        <w:trPr>
          <w:trHeight w:val="363"/>
          <w:jc w:val="center"/>
        </w:trPr>
        <w:tc>
          <w:tcPr>
            <w:tcW w:w="705" w:type="pct"/>
            <w:vMerge/>
            <w:tcBorders>
              <w:tl2br w:val="nil"/>
              <w:tr2bl w:val="nil"/>
            </w:tcBorders>
            <w:tcMar>
              <w:top w:w="15" w:type="dxa"/>
              <w:left w:w="108" w:type="dxa"/>
              <w:bottom w:w="15" w:type="dxa"/>
              <w:right w:w="108" w:type="dxa"/>
            </w:tcMar>
            <w:vAlign w:val="center"/>
          </w:tcPr>
          <w:p w:rsidR="002A5A5E" w:rsidRPr="00F9522B" w:rsidRDefault="002A5A5E">
            <w:pPr>
              <w:jc w:val="center"/>
              <w:rPr>
                <w:rFonts w:eastAsiaTheme="minorEastAsia"/>
                <w:szCs w:val="21"/>
              </w:rPr>
            </w:pPr>
          </w:p>
        </w:tc>
        <w:tc>
          <w:tcPr>
            <w:tcW w:w="928" w:type="pct"/>
            <w:tcBorders>
              <w:tl2br w:val="nil"/>
              <w:tr2bl w:val="nil"/>
            </w:tcBorders>
            <w:tcMar>
              <w:top w:w="15" w:type="dxa"/>
              <w:left w:w="108" w:type="dxa"/>
              <w:bottom w:w="15" w:type="dxa"/>
              <w:right w:w="108" w:type="dxa"/>
            </w:tcMar>
            <w:vAlign w:val="center"/>
          </w:tcPr>
          <w:p w:rsidR="002A5A5E" w:rsidRPr="00F9522B" w:rsidRDefault="00432235">
            <w:pPr>
              <w:jc w:val="center"/>
              <w:rPr>
                <w:rFonts w:eastAsiaTheme="minorEastAsia"/>
                <w:szCs w:val="21"/>
              </w:rPr>
            </w:pPr>
            <w:r w:rsidRPr="00F9522B">
              <w:rPr>
                <w:rFonts w:eastAsiaTheme="minorEastAsia"/>
                <w:szCs w:val="21"/>
              </w:rPr>
              <w:t>其他区域</w:t>
            </w:r>
          </w:p>
        </w:tc>
        <w:tc>
          <w:tcPr>
            <w:tcW w:w="421" w:type="pct"/>
            <w:tcBorders>
              <w:tl2br w:val="nil"/>
              <w:tr2bl w:val="nil"/>
            </w:tcBorders>
            <w:tcMar>
              <w:top w:w="15" w:type="dxa"/>
              <w:left w:w="108" w:type="dxa"/>
              <w:bottom w:w="15" w:type="dxa"/>
              <w:right w:w="108" w:type="dxa"/>
            </w:tcMar>
            <w:vAlign w:val="center"/>
          </w:tcPr>
          <w:p w:rsidR="002A5A5E" w:rsidRPr="00F9522B" w:rsidRDefault="00611CBA">
            <w:pPr>
              <w:jc w:val="center"/>
              <w:rPr>
                <w:rFonts w:eastAsiaTheme="minorEastAsia"/>
                <w:szCs w:val="21"/>
                <w:lang w:val="zh-CN"/>
              </w:rPr>
            </w:pPr>
            <w:r w:rsidRPr="00F9522B">
              <w:rPr>
                <w:rFonts w:eastAsiaTheme="minorEastAsia"/>
                <w:szCs w:val="21"/>
                <w:lang w:val="zh-CN"/>
              </w:rPr>
              <w:t>是</w:t>
            </w:r>
          </w:p>
        </w:tc>
        <w:tc>
          <w:tcPr>
            <w:tcW w:w="591" w:type="pct"/>
            <w:tcBorders>
              <w:tl2br w:val="nil"/>
              <w:tr2bl w:val="nil"/>
            </w:tcBorders>
            <w:tcMar>
              <w:top w:w="15" w:type="dxa"/>
              <w:left w:w="108" w:type="dxa"/>
              <w:bottom w:w="15" w:type="dxa"/>
              <w:right w:w="108" w:type="dxa"/>
            </w:tcMar>
            <w:vAlign w:val="center"/>
          </w:tcPr>
          <w:p w:rsidR="002A5A5E" w:rsidRPr="00F9522B" w:rsidRDefault="00611CBA">
            <w:pPr>
              <w:jc w:val="center"/>
              <w:rPr>
                <w:rFonts w:eastAsiaTheme="minorEastAsia"/>
                <w:szCs w:val="21"/>
                <w:lang w:val="zh-CN"/>
              </w:rPr>
            </w:pPr>
            <w:r w:rsidRPr="00F9522B">
              <w:rPr>
                <w:rFonts w:eastAsiaTheme="minorEastAsia"/>
                <w:szCs w:val="21"/>
              </w:rPr>
              <w:t>哈尔滨市</w:t>
            </w:r>
          </w:p>
        </w:tc>
        <w:tc>
          <w:tcPr>
            <w:tcW w:w="506" w:type="pct"/>
            <w:tcBorders>
              <w:tl2br w:val="nil"/>
              <w:tr2bl w:val="nil"/>
            </w:tcBorders>
            <w:tcMar>
              <w:top w:w="15" w:type="dxa"/>
              <w:left w:w="108" w:type="dxa"/>
              <w:bottom w:w="15" w:type="dxa"/>
              <w:right w:w="108" w:type="dxa"/>
            </w:tcMar>
            <w:vAlign w:val="center"/>
          </w:tcPr>
          <w:p w:rsidR="002A5A5E" w:rsidRPr="00F9522B" w:rsidRDefault="00611CBA">
            <w:pPr>
              <w:jc w:val="center"/>
              <w:rPr>
                <w:rFonts w:eastAsiaTheme="minorEastAsia"/>
                <w:szCs w:val="21"/>
              </w:rPr>
            </w:pPr>
            <w:r w:rsidRPr="00F9522B">
              <w:rPr>
                <w:rFonts w:eastAsiaTheme="minorEastAsia"/>
                <w:szCs w:val="21"/>
              </w:rPr>
              <w:t>呼兰区</w:t>
            </w:r>
          </w:p>
        </w:tc>
        <w:tc>
          <w:tcPr>
            <w:tcW w:w="1849" w:type="pct"/>
            <w:tcBorders>
              <w:tl2br w:val="nil"/>
              <w:tr2bl w:val="nil"/>
            </w:tcBorders>
            <w:tcMar>
              <w:top w:w="15" w:type="dxa"/>
              <w:left w:w="108" w:type="dxa"/>
              <w:bottom w:w="15" w:type="dxa"/>
              <w:right w:w="108" w:type="dxa"/>
            </w:tcMar>
            <w:vAlign w:val="center"/>
          </w:tcPr>
          <w:p w:rsidR="002A5A5E" w:rsidRPr="00F9522B" w:rsidRDefault="00611CBA">
            <w:pPr>
              <w:jc w:val="center"/>
              <w:rPr>
                <w:rFonts w:eastAsiaTheme="minorEastAsia"/>
                <w:szCs w:val="21"/>
              </w:rPr>
            </w:pPr>
            <w:r w:rsidRPr="00F9522B">
              <w:rPr>
                <w:rFonts w:eastAsiaTheme="minorEastAsia"/>
                <w:szCs w:val="21"/>
              </w:rPr>
              <w:t>松花江大顶子山呼兰区</w:t>
            </w:r>
          </w:p>
        </w:tc>
      </w:tr>
      <w:tr w:rsidR="002A5A5E" w:rsidRPr="00F9522B" w:rsidTr="00FC45EA">
        <w:trPr>
          <w:trHeight w:val="363"/>
          <w:jc w:val="center"/>
        </w:trPr>
        <w:tc>
          <w:tcPr>
            <w:tcW w:w="705" w:type="pct"/>
            <w:vMerge/>
            <w:tcBorders>
              <w:tl2br w:val="nil"/>
              <w:tr2bl w:val="nil"/>
            </w:tcBorders>
            <w:tcMar>
              <w:top w:w="15" w:type="dxa"/>
              <w:left w:w="108" w:type="dxa"/>
              <w:bottom w:w="15" w:type="dxa"/>
              <w:right w:w="108" w:type="dxa"/>
            </w:tcMar>
            <w:vAlign w:val="center"/>
          </w:tcPr>
          <w:p w:rsidR="002A5A5E" w:rsidRPr="00F9522B" w:rsidRDefault="002A5A5E">
            <w:pPr>
              <w:jc w:val="center"/>
              <w:rPr>
                <w:rFonts w:eastAsiaTheme="minorEastAsia"/>
                <w:szCs w:val="21"/>
              </w:rPr>
            </w:pPr>
          </w:p>
        </w:tc>
        <w:tc>
          <w:tcPr>
            <w:tcW w:w="928" w:type="pct"/>
            <w:tcBorders>
              <w:tl2br w:val="nil"/>
              <w:tr2bl w:val="nil"/>
            </w:tcBorders>
            <w:tcMar>
              <w:top w:w="15" w:type="dxa"/>
              <w:left w:w="108" w:type="dxa"/>
              <w:bottom w:w="15" w:type="dxa"/>
              <w:right w:w="108" w:type="dxa"/>
            </w:tcMar>
            <w:vAlign w:val="center"/>
          </w:tcPr>
          <w:p w:rsidR="002A5A5E" w:rsidRPr="00F9522B" w:rsidRDefault="00611CBA">
            <w:pPr>
              <w:jc w:val="center"/>
              <w:rPr>
                <w:rFonts w:eastAsiaTheme="minorEastAsia"/>
                <w:szCs w:val="21"/>
              </w:rPr>
            </w:pPr>
            <w:r w:rsidRPr="00F9522B">
              <w:rPr>
                <w:rFonts w:eastAsiaTheme="minorEastAsia"/>
                <w:szCs w:val="21"/>
              </w:rPr>
              <w:t>大气环境受体敏感重点管控区</w:t>
            </w:r>
          </w:p>
        </w:tc>
        <w:tc>
          <w:tcPr>
            <w:tcW w:w="421" w:type="pct"/>
            <w:tcBorders>
              <w:tl2br w:val="nil"/>
              <w:tr2bl w:val="nil"/>
            </w:tcBorders>
            <w:tcMar>
              <w:top w:w="15" w:type="dxa"/>
              <w:left w:w="108" w:type="dxa"/>
              <w:bottom w:w="15" w:type="dxa"/>
              <w:right w:w="108" w:type="dxa"/>
            </w:tcMar>
            <w:vAlign w:val="center"/>
          </w:tcPr>
          <w:p w:rsidR="002A5A5E" w:rsidRPr="00F9522B" w:rsidRDefault="00611CBA">
            <w:pPr>
              <w:jc w:val="center"/>
              <w:rPr>
                <w:rFonts w:eastAsiaTheme="minorEastAsia"/>
                <w:szCs w:val="21"/>
              </w:rPr>
            </w:pPr>
            <w:r w:rsidRPr="00F9522B">
              <w:rPr>
                <w:rFonts w:eastAsiaTheme="minorEastAsia"/>
                <w:szCs w:val="21"/>
              </w:rPr>
              <w:t>是</w:t>
            </w:r>
          </w:p>
        </w:tc>
        <w:tc>
          <w:tcPr>
            <w:tcW w:w="591" w:type="pct"/>
            <w:tcBorders>
              <w:tl2br w:val="nil"/>
              <w:tr2bl w:val="nil"/>
            </w:tcBorders>
            <w:tcMar>
              <w:top w:w="15" w:type="dxa"/>
              <w:left w:w="108" w:type="dxa"/>
              <w:bottom w:w="15" w:type="dxa"/>
              <w:right w:w="108" w:type="dxa"/>
            </w:tcMar>
            <w:vAlign w:val="center"/>
          </w:tcPr>
          <w:p w:rsidR="002A5A5E" w:rsidRPr="00F9522B" w:rsidRDefault="00611CBA">
            <w:pPr>
              <w:jc w:val="center"/>
              <w:rPr>
                <w:rFonts w:eastAsiaTheme="minorEastAsia"/>
                <w:szCs w:val="21"/>
              </w:rPr>
            </w:pPr>
            <w:r w:rsidRPr="00F9522B">
              <w:rPr>
                <w:rFonts w:eastAsiaTheme="minorEastAsia"/>
                <w:szCs w:val="21"/>
              </w:rPr>
              <w:t>哈尔滨市</w:t>
            </w:r>
          </w:p>
        </w:tc>
        <w:tc>
          <w:tcPr>
            <w:tcW w:w="506" w:type="pct"/>
            <w:tcBorders>
              <w:tl2br w:val="nil"/>
              <w:tr2bl w:val="nil"/>
            </w:tcBorders>
            <w:tcMar>
              <w:top w:w="15" w:type="dxa"/>
              <w:left w:w="108" w:type="dxa"/>
              <w:bottom w:w="15" w:type="dxa"/>
              <w:right w:w="108" w:type="dxa"/>
            </w:tcMar>
            <w:vAlign w:val="center"/>
          </w:tcPr>
          <w:p w:rsidR="002A5A5E" w:rsidRPr="00F9522B" w:rsidRDefault="00611CBA">
            <w:pPr>
              <w:jc w:val="center"/>
              <w:rPr>
                <w:rFonts w:eastAsiaTheme="minorEastAsia"/>
                <w:szCs w:val="21"/>
              </w:rPr>
            </w:pPr>
            <w:r w:rsidRPr="00F9522B">
              <w:rPr>
                <w:rFonts w:eastAsiaTheme="minorEastAsia"/>
                <w:szCs w:val="21"/>
              </w:rPr>
              <w:t>呼兰区</w:t>
            </w:r>
          </w:p>
        </w:tc>
        <w:tc>
          <w:tcPr>
            <w:tcW w:w="1849" w:type="pct"/>
            <w:tcBorders>
              <w:tl2br w:val="nil"/>
              <w:tr2bl w:val="nil"/>
            </w:tcBorders>
            <w:tcMar>
              <w:top w:w="15" w:type="dxa"/>
              <w:left w:w="108" w:type="dxa"/>
              <w:bottom w:w="15" w:type="dxa"/>
              <w:right w:w="108" w:type="dxa"/>
            </w:tcMar>
            <w:vAlign w:val="center"/>
          </w:tcPr>
          <w:p w:rsidR="002A5A5E" w:rsidRPr="00F9522B" w:rsidRDefault="00611CBA">
            <w:pPr>
              <w:jc w:val="center"/>
              <w:rPr>
                <w:rFonts w:eastAsiaTheme="minorEastAsia"/>
                <w:szCs w:val="21"/>
              </w:rPr>
            </w:pPr>
            <w:r w:rsidRPr="00F9522B">
              <w:rPr>
                <w:rFonts w:eastAsiaTheme="minorEastAsia"/>
                <w:szCs w:val="21"/>
              </w:rPr>
              <w:t>呼兰区大气环境受体敏感重点管控区</w:t>
            </w:r>
          </w:p>
        </w:tc>
      </w:tr>
      <w:tr w:rsidR="00DF4FD5" w:rsidRPr="00F9522B" w:rsidTr="00FC45EA">
        <w:trPr>
          <w:trHeight w:val="363"/>
          <w:jc w:val="center"/>
        </w:trPr>
        <w:tc>
          <w:tcPr>
            <w:tcW w:w="705" w:type="pct"/>
            <w:vMerge/>
            <w:tcBorders>
              <w:tl2br w:val="nil"/>
              <w:tr2bl w:val="nil"/>
            </w:tcBorders>
            <w:tcMar>
              <w:top w:w="15" w:type="dxa"/>
              <w:left w:w="108" w:type="dxa"/>
              <w:bottom w:w="15" w:type="dxa"/>
              <w:right w:w="108" w:type="dxa"/>
            </w:tcMar>
            <w:vAlign w:val="center"/>
          </w:tcPr>
          <w:p w:rsidR="00DF4FD5" w:rsidRPr="00F9522B" w:rsidRDefault="00DF4FD5">
            <w:pPr>
              <w:jc w:val="center"/>
              <w:rPr>
                <w:rFonts w:eastAsiaTheme="minorEastAsia"/>
                <w:szCs w:val="21"/>
              </w:rPr>
            </w:pPr>
          </w:p>
        </w:tc>
        <w:tc>
          <w:tcPr>
            <w:tcW w:w="928" w:type="pct"/>
            <w:tcBorders>
              <w:tl2br w:val="nil"/>
              <w:tr2bl w:val="nil"/>
            </w:tcBorders>
            <w:tcMar>
              <w:top w:w="15" w:type="dxa"/>
              <w:left w:w="108" w:type="dxa"/>
              <w:bottom w:w="15" w:type="dxa"/>
              <w:right w:w="108" w:type="dxa"/>
            </w:tcMar>
            <w:vAlign w:val="center"/>
          </w:tcPr>
          <w:p w:rsidR="00DF4FD5" w:rsidRPr="00F9522B" w:rsidRDefault="00DF4FD5" w:rsidP="00DF4FD5">
            <w:pPr>
              <w:jc w:val="center"/>
              <w:rPr>
                <w:rFonts w:eastAsiaTheme="minorEastAsia"/>
                <w:szCs w:val="21"/>
              </w:rPr>
            </w:pPr>
            <w:r w:rsidRPr="00F9522B">
              <w:rPr>
                <w:rFonts w:eastAsiaTheme="minorEastAsia"/>
                <w:szCs w:val="21"/>
              </w:rPr>
              <w:t>水环境城镇生活污染重点管控区</w:t>
            </w:r>
          </w:p>
        </w:tc>
        <w:tc>
          <w:tcPr>
            <w:tcW w:w="421" w:type="pct"/>
            <w:tcBorders>
              <w:tl2br w:val="nil"/>
              <w:tr2bl w:val="nil"/>
            </w:tcBorders>
            <w:tcMar>
              <w:top w:w="15" w:type="dxa"/>
              <w:left w:w="108" w:type="dxa"/>
              <w:bottom w:w="15" w:type="dxa"/>
              <w:right w:w="108" w:type="dxa"/>
            </w:tcMar>
            <w:vAlign w:val="center"/>
          </w:tcPr>
          <w:p w:rsidR="00DF4FD5" w:rsidRPr="00F9522B" w:rsidRDefault="00DF4FD5" w:rsidP="004E26F5">
            <w:pPr>
              <w:jc w:val="center"/>
              <w:rPr>
                <w:rFonts w:eastAsiaTheme="minorEastAsia"/>
                <w:szCs w:val="21"/>
              </w:rPr>
            </w:pPr>
            <w:r w:rsidRPr="00F9522B">
              <w:rPr>
                <w:rFonts w:eastAsiaTheme="minorEastAsia"/>
                <w:szCs w:val="21"/>
              </w:rPr>
              <w:t>是</w:t>
            </w:r>
          </w:p>
        </w:tc>
        <w:tc>
          <w:tcPr>
            <w:tcW w:w="591" w:type="pct"/>
            <w:tcBorders>
              <w:tl2br w:val="nil"/>
              <w:tr2bl w:val="nil"/>
            </w:tcBorders>
            <w:tcMar>
              <w:top w:w="15" w:type="dxa"/>
              <w:left w:w="108" w:type="dxa"/>
              <w:bottom w:w="15" w:type="dxa"/>
              <w:right w:w="108" w:type="dxa"/>
            </w:tcMar>
            <w:vAlign w:val="center"/>
          </w:tcPr>
          <w:p w:rsidR="00DF4FD5" w:rsidRPr="00F9522B" w:rsidRDefault="00DF4FD5" w:rsidP="004E26F5">
            <w:pPr>
              <w:jc w:val="center"/>
              <w:rPr>
                <w:rFonts w:eastAsiaTheme="minorEastAsia"/>
                <w:szCs w:val="21"/>
              </w:rPr>
            </w:pPr>
            <w:r w:rsidRPr="00F9522B">
              <w:rPr>
                <w:rFonts w:eastAsiaTheme="minorEastAsia"/>
                <w:szCs w:val="21"/>
              </w:rPr>
              <w:t>哈尔滨市</w:t>
            </w:r>
          </w:p>
        </w:tc>
        <w:tc>
          <w:tcPr>
            <w:tcW w:w="506" w:type="pct"/>
            <w:tcBorders>
              <w:tl2br w:val="nil"/>
              <w:tr2bl w:val="nil"/>
            </w:tcBorders>
            <w:tcMar>
              <w:top w:w="15" w:type="dxa"/>
              <w:left w:w="108" w:type="dxa"/>
              <w:bottom w:w="15" w:type="dxa"/>
              <w:right w:w="108" w:type="dxa"/>
            </w:tcMar>
            <w:vAlign w:val="center"/>
          </w:tcPr>
          <w:p w:rsidR="00DF4FD5" w:rsidRPr="00F9522B" w:rsidRDefault="00DF4FD5" w:rsidP="004E26F5">
            <w:pPr>
              <w:jc w:val="center"/>
              <w:rPr>
                <w:rFonts w:eastAsiaTheme="minorEastAsia"/>
                <w:szCs w:val="21"/>
              </w:rPr>
            </w:pPr>
            <w:r w:rsidRPr="00F9522B">
              <w:rPr>
                <w:rFonts w:eastAsiaTheme="minorEastAsia"/>
                <w:szCs w:val="21"/>
              </w:rPr>
              <w:t>呼兰区</w:t>
            </w:r>
          </w:p>
        </w:tc>
        <w:tc>
          <w:tcPr>
            <w:tcW w:w="1849" w:type="pct"/>
            <w:tcBorders>
              <w:tl2br w:val="nil"/>
              <w:tr2bl w:val="nil"/>
            </w:tcBorders>
            <w:tcMar>
              <w:top w:w="15" w:type="dxa"/>
              <w:left w:w="108" w:type="dxa"/>
              <w:bottom w:w="15" w:type="dxa"/>
              <w:right w:w="108" w:type="dxa"/>
            </w:tcMar>
            <w:vAlign w:val="center"/>
          </w:tcPr>
          <w:p w:rsidR="00DF4FD5" w:rsidRPr="00F9522B" w:rsidRDefault="00DF4FD5">
            <w:pPr>
              <w:jc w:val="center"/>
              <w:rPr>
                <w:rFonts w:eastAsiaTheme="minorEastAsia"/>
                <w:szCs w:val="21"/>
              </w:rPr>
            </w:pPr>
            <w:r w:rsidRPr="00F9522B">
              <w:rPr>
                <w:rFonts w:eastAsiaTheme="minorEastAsia"/>
                <w:szCs w:val="21"/>
              </w:rPr>
              <w:t>少陵河漂河少陵河桥呼兰区</w:t>
            </w:r>
            <w:r w:rsidRPr="00F9522B">
              <w:rPr>
                <w:rFonts w:eastAsiaTheme="minorEastAsia"/>
                <w:szCs w:val="21"/>
              </w:rPr>
              <w:t>2</w:t>
            </w:r>
          </w:p>
        </w:tc>
      </w:tr>
      <w:tr w:rsidR="00DF4FD5" w:rsidRPr="00F9522B" w:rsidTr="00FC45EA">
        <w:trPr>
          <w:trHeight w:val="363"/>
          <w:jc w:val="center"/>
        </w:trPr>
        <w:tc>
          <w:tcPr>
            <w:tcW w:w="705" w:type="pct"/>
            <w:vMerge/>
            <w:tcBorders>
              <w:tl2br w:val="nil"/>
              <w:tr2bl w:val="nil"/>
            </w:tcBorders>
            <w:tcMar>
              <w:top w:w="15" w:type="dxa"/>
              <w:left w:w="108" w:type="dxa"/>
              <w:bottom w:w="15" w:type="dxa"/>
              <w:right w:w="108" w:type="dxa"/>
            </w:tcMar>
            <w:vAlign w:val="center"/>
          </w:tcPr>
          <w:p w:rsidR="00DF4FD5" w:rsidRPr="00F9522B" w:rsidRDefault="00DF4FD5">
            <w:pPr>
              <w:jc w:val="center"/>
              <w:rPr>
                <w:rFonts w:eastAsiaTheme="minorEastAsia"/>
                <w:szCs w:val="21"/>
              </w:rPr>
            </w:pPr>
          </w:p>
        </w:tc>
        <w:tc>
          <w:tcPr>
            <w:tcW w:w="928" w:type="pct"/>
            <w:tcBorders>
              <w:tl2br w:val="nil"/>
              <w:tr2bl w:val="nil"/>
            </w:tcBorders>
            <w:tcMar>
              <w:top w:w="15" w:type="dxa"/>
              <w:left w:w="108" w:type="dxa"/>
              <w:bottom w:w="15" w:type="dxa"/>
              <w:right w:w="108" w:type="dxa"/>
            </w:tcMar>
            <w:vAlign w:val="center"/>
          </w:tcPr>
          <w:p w:rsidR="00DF4FD5" w:rsidRPr="00F9522B" w:rsidRDefault="00DF4FD5">
            <w:pPr>
              <w:jc w:val="center"/>
              <w:rPr>
                <w:rFonts w:eastAsiaTheme="minorEastAsia"/>
                <w:szCs w:val="21"/>
              </w:rPr>
            </w:pPr>
            <w:r w:rsidRPr="00F9522B">
              <w:rPr>
                <w:rFonts w:eastAsiaTheme="minorEastAsia"/>
                <w:szCs w:val="21"/>
              </w:rPr>
              <w:t>呼兰区水环境农业污染重点管控区</w:t>
            </w:r>
          </w:p>
        </w:tc>
        <w:tc>
          <w:tcPr>
            <w:tcW w:w="421" w:type="pct"/>
            <w:tcBorders>
              <w:tl2br w:val="nil"/>
              <w:tr2bl w:val="nil"/>
            </w:tcBorders>
            <w:tcMar>
              <w:top w:w="15" w:type="dxa"/>
              <w:left w:w="108" w:type="dxa"/>
              <w:bottom w:w="15" w:type="dxa"/>
              <w:right w:w="108" w:type="dxa"/>
            </w:tcMar>
            <w:vAlign w:val="center"/>
          </w:tcPr>
          <w:p w:rsidR="00DF4FD5" w:rsidRPr="00F9522B" w:rsidRDefault="00DF4FD5">
            <w:pPr>
              <w:jc w:val="center"/>
              <w:rPr>
                <w:rFonts w:eastAsiaTheme="minorEastAsia"/>
                <w:szCs w:val="21"/>
              </w:rPr>
            </w:pPr>
            <w:r w:rsidRPr="00F9522B">
              <w:rPr>
                <w:rFonts w:eastAsiaTheme="minorEastAsia"/>
                <w:szCs w:val="21"/>
                <w:lang w:val="zh-CN"/>
              </w:rPr>
              <w:t>是</w:t>
            </w:r>
          </w:p>
        </w:tc>
        <w:tc>
          <w:tcPr>
            <w:tcW w:w="591" w:type="pct"/>
            <w:tcBorders>
              <w:tl2br w:val="nil"/>
              <w:tr2bl w:val="nil"/>
            </w:tcBorders>
            <w:tcMar>
              <w:top w:w="15" w:type="dxa"/>
              <w:left w:w="108" w:type="dxa"/>
              <w:bottom w:w="15" w:type="dxa"/>
              <w:right w:w="108" w:type="dxa"/>
            </w:tcMar>
            <w:vAlign w:val="center"/>
          </w:tcPr>
          <w:p w:rsidR="00DF4FD5" w:rsidRPr="00F9522B" w:rsidRDefault="00DF4FD5">
            <w:pPr>
              <w:jc w:val="center"/>
              <w:rPr>
                <w:rFonts w:eastAsiaTheme="minorEastAsia"/>
                <w:szCs w:val="21"/>
              </w:rPr>
            </w:pPr>
            <w:r w:rsidRPr="00F9522B">
              <w:rPr>
                <w:rFonts w:eastAsiaTheme="minorEastAsia"/>
                <w:szCs w:val="21"/>
              </w:rPr>
              <w:t>哈尔滨市</w:t>
            </w:r>
          </w:p>
        </w:tc>
        <w:tc>
          <w:tcPr>
            <w:tcW w:w="506" w:type="pct"/>
            <w:tcBorders>
              <w:tl2br w:val="nil"/>
              <w:tr2bl w:val="nil"/>
            </w:tcBorders>
            <w:tcMar>
              <w:top w:w="15" w:type="dxa"/>
              <w:left w:w="108" w:type="dxa"/>
              <w:bottom w:w="15" w:type="dxa"/>
              <w:right w:w="108" w:type="dxa"/>
            </w:tcMar>
            <w:vAlign w:val="center"/>
          </w:tcPr>
          <w:p w:rsidR="00DF4FD5" w:rsidRPr="00F9522B" w:rsidRDefault="00DF4FD5">
            <w:pPr>
              <w:jc w:val="center"/>
              <w:rPr>
                <w:rFonts w:eastAsiaTheme="minorEastAsia"/>
                <w:szCs w:val="21"/>
              </w:rPr>
            </w:pPr>
            <w:r w:rsidRPr="00F9522B">
              <w:rPr>
                <w:rFonts w:eastAsiaTheme="minorEastAsia"/>
                <w:szCs w:val="21"/>
              </w:rPr>
              <w:t>呼兰区</w:t>
            </w:r>
          </w:p>
        </w:tc>
        <w:tc>
          <w:tcPr>
            <w:tcW w:w="1849" w:type="pct"/>
            <w:tcBorders>
              <w:tl2br w:val="nil"/>
              <w:tr2bl w:val="nil"/>
            </w:tcBorders>
            <w:tcMar>
              <w:top w:w="15" w:type="dxa"/>
              <w:left w:w="108" w:type="dxa"/>
              <w:bottom w:w="15" w:type="dxa"/>
              <w:right w:w="108" w:type="dxa"/>
            </w:tcMar>
            <w:vAlign w:val="center"/>
          </w:tcPr>
          <w:p w:rsidR="00DF4FD5" w:rsidRPr="00F9522B" w:rsidRDefault="00DF4FD5" w:rsidP="00432235">
            <w:pPr>
              <w:jc w:val="center"/>
              <w:rPr>
                <w:rFonts w:eastAsiaTheme="minorEastAsia"/>
                <w:szCs w:val="21"/>
              </w:rPr>
            </w:pPr>
            <w:r w:rsidRPr="00F9522B">
              <w:rPr>
                <w:rFonts w:eastAsiaTheme="minorEastAsia"/>
                <w:szCs w:val="21"/>
              </w:rPr>
              <w:t>少陵河漂河少陵河桥呼兰区</w:t>
            </w:r>
            <w:r w:rsidRPr="00F9522B">
              <w:rPr>
                <w:rFonts w:eastAsiaTheme="minorEastAsia"/>
                <w:szCs w:val="21"/>
              </w:rPr>
              <w:t>1</w:t>
            </w:r>
            <w:r w:rsidRPr="00F9522B">
              <w:rPr>
                <w:rFonts w:eastAsiaTheme="minorEastAsia"/>
                <w:szCs w:val="21"/>
              </w:rPr>
              <w:t>、</w:t>
            </w:r>
            <w:r w:rsidRPr="00F9522B">
              <w:rPr>
                <w:rFonts w:eastAsiaTheme="minorEastAsia"/>
                <w:szCs w:val="21"/>
              </w:rPr>
              <w:t>3</w:t>
            </w:r>
            <w:r w:rsidRPr="00F9522B">
              <w:rPr>
                <w:rFonts w:eastAsiaTheme="minorEastAsia"/>
                <w:szCs w:val="21"/>
              </w:rPr>
              <w:t>、</w:t>
            </w:r>
            <w:r w:rsidRPr="00F9522B">
              <w:rPr>
                <w:rFonts w:eastAsiaTheme="minorEastAsia"/>
                <w:szCs w:val="21"/>
              </w:rPr>
              <w:t>4</w:t>
            </w:r>
            <w:r w:rsidRPr="00F9522B">
              <w:rPr>
                <w:rFonts w:eastAsiaTheme="minorEastAsia"/>
                <w:szCs w:val="21"/>
              </w:rPr>
              <w:t>、</w:t>
            </w:r>
            <w:r w:rsidRPr="00F9522B">
              <w:rPr>
                <w:rFonts w:eastAsiaTheme="minorEastAsia"/>
                <w:szCs w:val="21"/>
              </w:rPr>
              <w:t>5</w:t>
            </w:r>
            <w:r w:rsidRPr="00F9522B">
              <w:rPr>
                <w:rFonts w:eastAsiaTheme="minorEastAsia"/>
                <w:szCs w:val="21"/>
              </w:rPr>
              <w:t>；泥河泥河水库呼兰区</w:t>
            </w:r>
            <w:r w:rsidR="00CB74D8" w:rsidRPr="00F9522B">
              <w:rPr>
                <w:rFonts w:eastAsiaTheme="minorEastAsia"/>
                <w:szCs w:val="21"/>
              </w:rPr>
              <w:t>2</w:t>
            </w:r>
          </w:p>
        </w:tc>
      </w:tr>
      <w:tr w:rsidR="00DF4FD5" w:rsidRPr="00F9522B" w:rsidTr="00FC45EA">
        <w:trPr>
          <w:trHeight w:val="90"/>
          <w:jc w:val="center"/>
        </w:trPr>
        <w:tc>
          <w:tcPr>
            <w:tcW w:w="705" w:type="pct"/>
            <w:tcBorders>
              <w:tl2br w:val="nil"/>
              <w:tr2bl w:val="nil"/>
            </w:tcBorders>
            <w:tcMar>
              <w:top w:w="15" w:type="dxa"/>
              <w:left w:w="108" w:type="dxa"/>
              <w:bottom w:w="15" w:type="dxa"/>
              <w:right w:w="108" w:type="dxa"/>
            </w:tcMar>
            <w:vAlign w:val="center"/>
          </w:tcPr>
          <w:p w:rsidR="00DF4FD5" w:rsidRPr="00F9522B" w:rsidRDefault="00DF4FD5">
            <w:pPr>
              <w:jc w:val="center"/>
              <w:rPr>
                <w:rFonts w:eastAsiaTheme="minorEastAsia"/>
                <w:szCs w:val="21"/>
                <w:lang w:val="zh-CN"/>
              </w:rPr>
            </w:pPr>
            <w:r w:rsidRPr="00F9522B">
              <w:rPr>
                <w:rFonts w:eastAsiaTheme="minorEastAsia"/>
                <w:szCs w:val="21"/>
              </w:rPr>
              <w:t>资源利用上线</w:t>
            </w:r>
          </w:p>
        </w:tc>
        <w:tc>
          <w:tcPr>
            <w:tcW w:w="928" w:type="pct"/>
            <w:tcBorders>
              <w:tl2br w:val="nil"/>
              <w:tr2bl w:val="nil"/>
            </w:tcBorders>
            <w:tcMar>
              <w:top w:w="15" w:type="dxa"/>
              <w:left w:w="108" w:type="dxa"/>
              <w:bottom w:w="15" w:type="dxa"/>
              <w:right w:w="108" w:type="dxa"/>
            </w:tcMar>
            <w:vAlign w:val="center"/>
          </w:tcPr>
          <w:p w:rsidR="00DF4FD5" w:rsidRPr="00F9522B" w:rsidRDefault="00DF4FD5">
            <w:pPr>
              <w:jc w:val="center"/>
              <w:rPr>
                <w:rFonts w:eastAsiaTheme="minorEastAsia"/>
                <w:szCs w:val="21"/>
              </w:rPr>
            </w:pPr>
            <w:r w:rsidRPr="00F9522B">
              <w:rPr>
                <w:rFonts w:eastAsiaTheme="minorEastAsia"/>
                <w:szCs w:val="21"/>
              </w:rPr>
              <w:t>自然资源一般管控区</w:t>
            </w:r>
          </w:p>
        </w:tc>
        <w:tc>
          <w:tcPr>
            <w:tcW w:w="421" w:type="pct"/>
            <w:tcBorders>
              <w:tl2br w:val="nil"/>
              <w:tr2bl w:val="nil"/>
            </w:tcBorders>
            <w:tcMar>
              <w:top w:w="15" w:type="dxa"/>
              <w:left w:w="108" w:type="dxa"/>
              <w:bottom w:w="15" w:type="dxa"/>
              <w:right w:w="108" w:type="dxa"/>
            </w:tcMar>
            <w:vAlign w:val="center"/>
          </w:tcPr>
          <w:p w:rsidR="00DF4FD5" w:rsidRPr="00F9522B" w:rsidRDefault="00DF4FD5">
            <w:pPr>
              <w:jc w:val="center"/>
              <w:rPr>
                <w:rFonts w:eastAsiaTheme="minorEastAsia"/>
                <w:szCs w:val="21"/>
                <w:lang w:val="zh-CN"/>
              </w:rPr>
            </w:pPr>
            <w:r w:rsidRPr="00F9522B">
              <w:rPr>
                <w:rFonts w:eastAsiaTheme="minorEastAsia"/>
                <w:szCs w:val="21"/>
                <w:lang w:val="zh-CN"/>
              </w:rPr>
              <w:t>是</w:t>
            </w:r>
          </w:p>
        </w:tc>
        <w:tc>
          <w:tcPr>
            <w:tcW w:w="591" w:type="pct"/>
            <w:tcBorders>
              <w:tl2br w:val="nil"/>
              <w:tr2bl w:val="nil"/>
            </w:tcBorders>
            <w:tcMar>
              <w:top w:w="15" w:type="dxa"/>
              <w:left w:w="108" w:type="dxa"/>
              <w:bottom w:w="15" w:type="dxa"/>
              <w:right w:w="108" w:type="dxa"/>
            </w:tcMar>
            <w:vAlign w:val="center"/>
          </w:tcPr>
          <w:p w:rsidR="00DF4FD5" w:rsidRPr="00F9522B" w:rsidRDefault="00DF4FD5">
            <w:pPr>
              <w:jc w:val="center"/>
              <w:rPr>
                <w:rFonts w:eastAsiaTheme="minorEastAsia"/>
                <w:szCs w:val="21"/>
              </w:rPr>
            </w:pPr>
            <w:r w:rsidRPr="00F9522B">
              <w:rPr>
                <w:rFonts w:eastAsiaTheme="minorEastAsia"/>
                <w:szCs w:val="21"/>
              </w:rPr>
              <w:t>哈尔滨市</w:t>
            </w:r>
          </w:p>
        </w:tc>
        <w:tc>
          <w:tcPr>
            <w:tcW w:w="506" w:type="pct"/>
            <w:tcBorders>
              <w:tl2br w:val="nil"/>
              <w:tr2bl w:val="nil"/>
            </w:tcBorders>
            <w:tcMar>
              <w:top w:w="15" w:type="dxa"/>
              <w:left w:w="108" w:type="dxa"/>
              <w:bottom w:w="15" w:type="dxa"/>
              <w:right w:w="108" w:type="dxa"/>
            </w:tcMar>
            <w:vAlign w:val="center"/>
          </w:tcPr>
          <w:p w:rsidR="00DF4FD5" w:rsidRPr="00F9522B" w:rsidRDefault="00DF4FD5">
            <w:pPr>
              <w:jc w:val="center"/>
              <w:rPr>
                <w:rFonts w:eastAsiaTheme="minorEastAsia"/>
                <w:szCs w:val="21"/>
                <w:lang w:val="zh-CN"/>
              </w:rPr>
            </w:pPr>
            <w:r w:rsidRPr="00F9522B">
              <w:rPr>
                <w:rFonts w:eastAsiaTheme="minorEastAsia"/>
                <w:szCs w:val="21"/>
              </w:rPr>
              <w:t>呼兰区</w:t>
            </w:r>
          </w:p>
        </w:tc>
        <w:tc>
          <w:tcPr>
            <w:tcW w:w="1849" w:type="pct"/>
            <w:tcBorders>
              <w:tl2br w:val="nil"/>
              <w:tr2bl w:val="nil"/>
            </w:tcBorders>
            <w:tcMar>
              <w:top w:w="15" w:type="dxa"/>
              <w:left w:w="108" w:type="dxa"/>
              <w:bottom w:w="15" w:type="dxa"/>
              <w:right w:w="108" w:type="dxa"/>
            </w:tcMar>
            <w:vAlign w:val="center"/>
          </w:tcPr>
          <w:p w:rsidR="00DF4FD5" w:rsidRPr="00F9522B" w:rsidRDefault="00DF4FD5">
            <w:pPr>
              <w:jc w:val="center"/>
              <w:rPr>
                <w:rFonts w:eastAsiaTheme="minorEastAsia"/>
                <w:szCs w:val="21"/>
              </w:rPr>
            </w:pPr>
            <w:r w:rsidRPr="00F9522B">
              <w:rPr>
                <w:rFonts w:eastAsiaTheme="minorEastAsia"/>
                <w:szCs w:val="21"/>
              </w:rPr>
              <w:t>呼兰区自然资源一般管控区</w:t>
            </w:r>
          </w:p>
        </w:tc>
      </w:tr>
      <w:tr w:rsidR="00DF4FD5" w:rsidRPr="00F9522B" w:rsidTr="00FC45EA">
        <w:trPr>
          <w:trHeight w:val="634"/>
          <w:jc w:val="center"/>
        </w:trPr>
        <w:tc>
          <w:tcPr>
            <w:tcW w:w="705" w:type="pct"/>
            <w:vMerge w:val="restart"/>
            <w:tcBorders>
              <w:tl2br w:val="nil"/>
              <w:tr2bl w:val="nil"/>
            </w:tcBorders>
            <w:tcMar>
              <w:top w:w="15" w:type="dxa"/>
              <w:left w:w="108" w:type="dxa"/>
              <w:bottom w:w="15" w:type="dxa"/>
              <w:right w:w="108" w:type="dxa"/>
            </w:tcMar>
            <w:vAlign w:val="center"/>
          </w:tcPr>
          <w:p w:rsidR="00DF4FD5" w:rsidRPr="00F9522B" w:rsidRDefault="00DF4FD5">
            <w:pPr>
              <w:jc w:val="center"/>
              <w:rPr>
                <w:rFonts w:eastAsiaTheme="minorEastAsia"/>
                <w:szCs w:val="21"/>
                <w:lang w:val="zh-CN"/>
              </w:rPr>
            </w:pPr>
            <w:r w:rsidRPr="00F9522B">
              <w:rPr>
                <w:rFonts w:eastAsiaTheme="minorEastAsia"/>
                <w:szCs w:val="21"/>
                <w:lang w:val="zh-CN"/>
              </w:rPr>
              <w:t>环境管控单元</w:t>
            </w:r>
          </w:p>
        </w:tc>
        <w:tc>
          <w:tcPr>
            <w:tcW w:w="928" w:type="pct"/>
            <w:tcBorders>
              <w:tl2br w:val="nil"/>
              <w:tr2bl w:val="nil"/>
            </w:tcBorders>
            <w:tcMar>
              <w:top w:w="15" w:type="dxa"/>
              <w:left w:w="108" w:type="dxa"/>
              <w:bottom w:w="15" w:type="dxa"/>
              <w:right w:w="108" w:type="dxa"/>
            </w:tcMar>
            <w:vAlign w:val="center"/>
          </w:tcPr>
          <w:p w:rsidR="00DF4FD5" w:rsidRPr="00F9522B" w:rsidRDefault="00DF4FD5">
            <w:pPr>
              <w:jc w:val="center"/>
              <w:rPr>
                <w:rFonts w:eastAsiaTheme="minorEastAsia"/>
                <w:szCs w:val="21"/>
              </w:rPr>
            </w:pPr>
            <w:r w:rsidRPr="00F9522B">
              <w:rPr>
                <w:rFonts w:eastAsiaTheme="minorEastAsia"/>
                <w:szCs w:val="21"/>
              </w:rPr>
              <w:t>优先保护单元</w:t>
            </w:r>
          </w:p>
        </w:tc>
        <w:tc>
          <w:tcPr>
            <w:tcW w:w="421" w:type="pct"/>
            <w:tcBorders>
              <w:tl2br w:val="nil"/>
              <w:tr2bl w:val="nil"/>
            </w:tcBorders>
            <w:tcMar>
              <w:top w:w="15" w:type="dxa"/>
              <w:left w:w="108" w:type="dxa"/>
              <w:bottom w:w="15" w:type="dxa"/>
              <w:right w:w="108" w:type="dxa"/>
            </w:tcMar>
            <w:vAlign w:val="center"/>
          </w:tcPr>
          <w:p w:rsidR="00DF4FD5" w:rsidRPr="00F9522B" w:rsidRDefault="00DF4FD5">
            <w:pPr>
              <w:jc w:val="center"/>
              <w:rPr>
                <w:rFonts w:eastAsiaTheme="minorEastAsia"/>
                <w:szCs w:val="21"/>
                <w:lang w:val="zh-CN"/>
              </w:rPr>
            </w:pPr>
            <w:r w:rsidRPr="00F9522B">
              <w:rPr>
                <w:rFonts w:eastAsiaTheme="minorEastAsia"/>
                <w:szCs w:val="21"/>
                <w:lang w:val="zh-CN"/>
              </w:rPr>
              <w:t>是</w:t>
            </w:r>
          </w:p>
        </w:tc>
        <w:tc>
          <w:tcPr>
            <w:tcW w:w="591" w:type="pct"/>
            <w:tcBorders>
              <w:tl2br w:val="nil"/>
              <w:tr2bl w:val="nil"/>
            </w:tcBorders>
            <w:tcMar>
              <w:top w:w="15" w:type="dxa"/>
              <w:left w:w="108" w:type="dxa"/>
              <w:bottom w:w="15" w:type="dxa"/>
              <w:right w:w="108" w:type="dxa"/>
            </w:tcMar>
            <w:vAlign w:val="center"/>
          </w:tcPr>
          <w:p w:rsidR="00DF4FD5" w:rsidRPr="00F9522B" w:rsidRDefault="00DF4FD5">
            <w:pPr>
              <w:jc w:val="center"/>
              <w:rPr>
                <w:rFonts w:eastAsiaTheme="minorEastAsia"/>
                <w:szCs w:val="21"/>
              </w:rPr>
            </w:pPr>
            <w:r w:rsidRPr="00F9522B">
              <w:rPr>
                <w:rFonts w:eastAsiaTheme="minorEastAsia"/>
                <w:szCs w:val="21"/>
              </w:rPr>
              <w:t>哈尔滨市</w:t>
            </w:r>
          </w:p>
        </w:tc>
        <w:tc>
          <w:tcPr>
            <w:tcW w:w="506" w:type="pct"/>
            <w:tcBorders>
              <w:tl2br w:val="nil"/>
              <w:tr2bl w:val="nil"/>
            </w:tcBorders>
            <w:tcMar>
              <w:top w:w="15" w:type="dxa"/>
              <w:left w:w="108" w:type="dxa"/>
              <w:bottom w:w="15" w:type="dxa"/>
              <w:right w:w="108" w:type="dxa"/>
            </w:tcMar>
            <w:vAlign w:val="center"/>
          </w:tcPr>
          <w:p w:rsidR="00DF4FD5" w:rsidRPr="00F9522B" w:rsidRDefault="00DF4FD5">
            <w:pPr>
              <w:jc w:val="center"/>
              <w:rPr>
                <w:rFonts w:eastAsiaTheme="minorEastAsia"/>
                <w:szCs w:val="21"/>
                <w:lang w:val="zh-CN"/>
              </w:rPr>
            </w:pPr>
            <w:r w:rsidRPr="00F9522B">
              <w:rPr>
                <w:rFonts w:eastAsiaTheme="minorEastAsia"/>
                <w:szCs w:val="21"/>
              </w:rPr>
              <w:t>呼兰区</w:t>
            </w:r>
          </w:p>
        </w:tc>
        <w:tc>
          <w:tcPr>
            <w:tcW w:w="1849" w:type="pct"/>
            <w:tcBorders>
              <w:tl2br w:val="nil"/>
              <w:tr2bl w:val="nil"/>
            </w:tcBorders>
            <w:tcMar>
              <w:top w:w="15" w:type="dxa"/>
              <w:left w:w="108" w:type="dxa"/>
              <w:bottom w:w="15" w:type="dxa"/>
              <w:right w:w="108" w:type="dxa"/>
            </w:tcMar>
            <w:vAlign w:val="center"/>
          </w:tcPr>
          <w:p w:rsidR="00DF4FD5" w:rsidRPr="00F9522B" w:rsidRDefault="00DF4FD5">
            <w:pPr>
              <w:jc w:val="center"/>
              <w:rPr>
                <w:rFonts w:eastAsiaTheme="minorEastAsia"/>
                <w:szCs w:val="21"/>
              </w:rPr>
            </w:pPr>
            <w:r w:rsidRPr="00F9522B">
              <w:rPr>
                <w:rFonts w:eastAsiaTheme="minorEastAsia"/>
                <w:szCs w:val="21"/>
              </w:rPr>
              <w:t>呼兰区一般生态空间</w:t>
            </w:r>
          </w:p>
        </w:tc>
      </w:tr>
      <w:tr w:rsidR="00DF4FD5" w:rsidRPr="00F9522B" w:rsidTr="00FC45EA">
        <w:trPr>
          <w:trHeight w:val="634"/>
          <w:jc w:val="center"/>
        </w:trPr>
        <w:tc>
          <w:tcPr>
            <w:tcW w:w="705" w:type="pct"/>
            <w:vMerge/>
            <w:tcBorders>
              <w:tl2br w:val="nil"/>
              <w:tr2bl w:val="nil"/>
            </w:tcBorders>
            <w:tcMar>
              <w:top w:w="15" w:type="dxa"/>
              <w:left w:w="108" w:type="dxa"/>
              <w:bottom w:w="15" w:type="dxa"/>
              <w:right w:w="108" w:type="dxa"/>
            </w:tcMar>
            <w:vAlign w:val="center"/>
          </w:tcPr>
          <w:p w:rsidR="00DF4FD5" w:rsidRPr="00F9522B" w:rsidRDefault="00DF4FD5">
            <w:pPr>
              <w:jc w:val="center"/>
              <w:rPr>
                <w:rFonts w:eastAsiaTheme="minorEastAsia"/>
                <w:szCs w:val="21"/>
                <w:lang w:val="zh-CN"/>
              </w:rPr>
            </w:pPr>
          </w:p>
        </w:tc>
        <w:tc>
          <w:tcPr>
            <w:tcW w:w="928" w:type="pct"/>
            <w:tcBorders>
              <w:tl2br w:val="nil"/>
              <w:tr2bl w:val="nil"/>
            </w:tcBorders>
            <w:tcMar>
              <w:top w:w="15" w:type="dxa"/>
              <w:left w:w="108" w:type="dxa"/>
              <w:bottom w:w="15" w:type="dxa"/>
              <w:right w:w="108" w:type="dxa"/>
            </w:tcMar>
            <w:vAlign w:val="center"/>
          </w:tcPr>
          <w:p w:rsidR="00DF4FD5" w:rsidRPr="00F9522B" w:rsidRDefault="00DF4FD5">
            <w:pPr>
              <w:jc w:val="center"/>
              <w:rPr>
                <w:rFonts w:eastAsiaTheme="minorEastAsia"/>
                <w:szCs w:val="21"/>
              </w:rPr>
            </w:pPr>
            <w:r w:rsidRPr="00F9522B">
              <w:rPr>
                <w:rFonts w:eastAsiaTheme="minorEastAsia"/>
                <w:szCs w:val="21"/>
              </w:rPr>
              <w:t>重点管控单元</w:t>
            </w:r>
          </w:p>
        </w:tc>
        <w:tc>
          <w:tcPr>
            <w:tcW w:w="421" w:type="pct"/>
            <w:tcBorders>
              <w:tl2br w:val="nil"/>
              <w:tr2bl w:val="nil"/>
            </w:tcBorders>
            <w:tcMar>
              <w:top w:w="15" w:type="dxa"/>
              <w:left w:w="108" w:type="dxa"/>
              <w:bottom w:w="15" w:type="dxa"/>
              <w:right w:w="108" w:type="dxa"/>
            </w:tcMar>
            <w:vAlign w:val="center"/>
          </w:tcPr>
          <w:p w:rsidR="00DF4FD5" w:rsidRPr="00F9522B" w:rsidRDefault="00DF4FD5">
            <w:pPr>
              <w:jc w:val="center"/>
              <w:rPr>
                <w:rFonts w:eastAsiaTheme="minorEastAsia"/>
                <w:szCs w:val="21"/>
              </w:rPr>
            </w:pPr>
            <w:r w:rsidRPr="00F9522B">
              <w:rPr>
                <w:rFonts w:eastAsiaTheme="minorEastAsia"/>
                <w:szCs w:val="21"/>
              </w:rPr>
              <w:t>是</w:t>
            </w:r>
          </w:p>
        </w:tc>
        <w:tc>
          <w:tcPr>
            <w:tcW w:w="591" w:type="pct"/>
            <w:tcBorders>
              <w:tl2br w:val="nil"/>
              <w:tr2bl w:val="nil"/>
            </w:tcBorders>
            <w:tcMar>
              <w:top w:w="15" w:type="dxa"/>
              <w:left w:w="108" w:type="dxa"/>
              <w:bottom w:w="15" w:type="dxa"/>
              <w:right w:w="108" w:type="dxa"/>
            </w:tcMar>
            <w:vAlign w:val="center"/>
          </w:tcPr>
          <w:p w:rsidR="00DF4FD5" w:rsidRPr="00F9522B" w:rsidRDefault="00DF4FD5">
            <w:pPr>
              <w:jc w:val="center"/>
              <w:rPr>
                <w:rFonts w:eastAsiaTheme="minorEastAsia"/>
                <w:szCs w:val="21"/>
              </w:rPr>
            </w:pPr>
            <w:r w:rsidRPr="00F9522B">
              <w:rPr>
                <w:rFonts w:eastAsiaTheme="minorEastAsia"/>
                <w:szCs w:val="21"/>
              </w:rPr>
              <w:t>哈尔滨市</w:t>
            </w:r>
          </w:p>
        </w:tc>
        <w:tc>
          <w:tcPr>
            <w:tcW w:w="506" w:type="pct"/>
            <w:tcBorders>
              <w:tl2br w:val="nil"/>
              <w:tr2bl w:val="nil"/>
            </w:tcBorders>
            <w:tcMar>
              <w:top w:w="15" w:type="dxa"/>
              <w:left w:w="108" w:type="dxa"/>
              <w:bottom w:w="15" w:type="dxa"/>
              <w:right w:w="108" w:type="dxa"/>
            </w:tcMar>
            <w:vAlign w:val="center"/>
          </w:tcPr>
          <w:p w:rsidR="00DF4FD5" w:rsidRPr="00F9522B" w:rsidRDefault="00DF4FD5">
            <w:pPr>
              <w:jc w:val="center"/>
              <w:rPr>
                <w:rFonts w:eastAsiaTheme="minorEastAsia"/>
                <w:szCs w:val="21"/>
              </w:rPr>
            </w:pPr>
            <w:r w:rsidRPr="00F9522B">
              <w:rPr>
                <w:rFonts w:eastAsiaTheme="minorEastAsia"/>
                <w:szCs w:val="21"/>
              </w:rPr>
              <w:t>呼兰区</w:t>
            </w:r>
          </w:p>
        </w:tc>
        <w:tc>
          <w:tcPr>
            <w:tcW w:w="1849" w:type="pct"/>
            <w:tcBorders>
              <w:tl2br w:val="nil"/>
              <w:tr2bl w:val="nil"/>
            </w:tcBorders>
            <w:tcMar>
              <w:top w:w="15" w:type="dxa"/>
              <w:left w:w="108" w:type="dxa"/>
              <w:bottom w:w="15" w:type="dxa"/>
              <w:right w:w="108" w:type="dxa"/>
            </w:tcMar>
            <w:vAlign w:val="center"/>
          </w:tcPr>
          <w:p w:rsidR="00DF4FD5" w:rsidRPr="00F9522B" w:rsidRDefault="00DF4FD5">
            <w:pPr>
              <w:jc w:val="center"/>
              <w:rPr>
                <w:rFonts w:eastAsiaTheme="minorEastAsia"/>
                <w:szCs w:val="21"/>
              </w:rPr>
            </w:pPr>
            <w:r w:rsidRPr="00F9522B">
              <w:rPr>
                <w:rFonts w:eastAsiaTheme="minorEastAsia"/>
                <w:szCs w:val="21"/>
              </w:rPr>
              <w:t>呼兰区水环境农业污染重点管控区</w:t>
            </w:r>
          </w:p>
        </w:tc>
      </w:tr>
    </w:tbl>
    <w:p w:rsidR="00DF4FD5" w:rsidRPr="00F9522B" w:rsidRDefault="00DF4FD5"/>
    <w:p w:rsidR="00DF4FD5" w:rsidRPr="00F9522B" w:rsidRDefault="00DF4FD5" w:rsidP="00DF4FD5">
      <w:pPr>
        <w:contextualSpacing/>
        <w:jc w:val="center"/>
        <w:rPr>
          <w:rFonts w:eastAsiaTheme="minorEastAsia"/>
          <w:b/>
          <w:bCs/>
          <w:szCs w:val="21"/>
        </w:rPr>
      </w:pPr>
      <w:r w:rsidRPr="00F9522B">
        <w:rPr>
          <w:rFonts w:eastAsiaTheme="minorEastAsia"/>
          <w:b/>
          <w:bCs/>
          <w:szCs w:val="21"/>
        </w:rPr>
        <w:lastRenderedPageBreak/>
        <w:t>续表</w:t>
      </w:r>
      <w:r w:rsidRPr="00F9522B">
        <w:rPr>
          <w:rFonts w:eastAsiaTheme="minorEastAsia"/>
          <w:b/>
          <w:bCs/>
          <w:szCs w:val="21"/>
        </w:rPr>
        <w:t xml:space="preserve">1-4-3 </w:t>
      </w:r>
      <w:r w:rsidRPr="00F9522B">
        <w:rPr>
          <w:rFonts w:eastAsiaTheme="minorEastAsia"/>
          <w:b/>
          <w:bCs/>
          <w:szCs w:val="21"/>
        </w:rPr>
        <w:t>本项目与黑龙江省生态环境分区管控成果相交情况一览表</w:t>
      </w:r>
    </w:p>
    <w:tbl>
      <w:tblPr>
        <w:tblW w:w="4933" w:type="pct"/>
        <w:jc w:val="center"/>
        <w:tblBorders>
          <w:top w:val="single" w:sz="12" w:space="0" w:color="auto"/>
          <w:bottom w:val="single" w:sz="12" w:space="0" w:color="auto"/>
          <w:insideH w:val="single" w:sz="4" w:space="0" w:color="auto"/>
          <w:insideV w:val="single" w:sz="4" w:space="0" w:color="auto"/>
        </w:tblBorders>
        <w:tblCellMar>
          <w:left w:w="23" w:type="dxa"/>
          <w:right w:w="23" w:type="dxa"/>
        </w:tblCellMar>
        <w:tblLook w:val="04A0"/>
      </w:tblPr>
      <w:tblGrid>
        <w:gridCol w:w="1185"/>
        <w:gridCol w:w="1561"/>
        <w:gridCol w:w="708"/>
        <w:gridCol w:w="994"/>
        <w:gridCol w:w="851"/>
        <w:gridCol w:w="3109"/>
      </w:tblGrid>
      <w:tr w:rsidR="00DF4FD5" w:rsidRPr="00F9522B" w:rsidTr="00FC45EA">
        <w:trPr>
          <w:trHeight w:val="634"/>
          <w:jc w:val="center"/>
        </w:trPr>
        <w:tc>
          <w:tcPr>
            <w:tcW w:w="705" w:type="pct"/>
            <w:vMerge w:val="restart"/>
            <w:tcBorders>
              <w:tl2br w:val="nil"/>
              <w:tr2bl w:val="nil"/>
            </w:tcBorders>
            <w:tcMar>
              <w:top w:w="15" w:type="dxa"/>
              <w:left w:w="108" w:type="dxa"/>
              <w:bottom w:w="15" w:type="dxa"/>
              <w:right w:w="108" w:type="dxa"/>
            </w:tcMar>
            <w:vAlign w:val="center"/>
          </w:tcPr>
          <w:p w:rsidR="00DF4FD5" w:rsidRPr="00F9522B" w:rsidRDefault="00DF4FD5" w:rsidP="004E26F5">
            <w:pPr>
              <w:jc w:val="center"/>
              <w:rPr>
                <w:rFonts w:eastAsiaTheme="minorEastAsia"/>
                <w:szCs w:val="21"/>
                <w:lang w:val="zh-CN"/>
              </w:rPr>
            </w:pPr>
            <w:r w:rsidRPr="00F9522B">
              <w:rPr>
                <w:rFonts w:eastAsiaTheme="minorEastAsia"/>
                <w:szCs w:val="21"/>
                <w:lang w:val="zh-CN"/>
              </w:rPr>
              <w:t>环境管控单元</w:t>
            </w:r>
          </w:p>
        </w:tc>
        <w:tc>
          <w:tcPr>
            <w:tcW w:w="928" w:type="pct"/>
            <w:tcBorders>
              <w:tl2br w:val="nil"/>
              <w:tr2bl w:val="nil"/>
            </w:tcBorders>
            <w:tcMar>
              <w:top w:w="15" w:type="dxa"/>
              <w:left w:w="108" w:type="dxa"/>
              <w:bottom w:w="15" w:type="dxa"/>
              <w:right w:w="108" w:type="dxa"/>
            </w:tcMar>
            <w:vAlign w:val="center"/>
          </w:tcPr>
          <w:p w:rsidR="00DF4FD5" w:rsidRPr="00F9522B" w:rsidRDefault="00DF4FD5" w:rsidP="004E26F5">
            <w:pPr>
              <w:jc w:val="center"/>
              <w:rPr>
                <w:rFonts w:eastAsiaTheme="minorEastAsia"/>
                <w:szCs w:val="21"/>
              </w:rPr>
            </w:pPr>
            <w:r w:rsidRPr="00F9522B">
              <w:rPr>
                <w:rFonts w:eastAsiaTheme="minorEastAsia"/>
                <w:szCs w:val="21"/>
              </w:rPr>
              <w:t>重点管控单元</w:t>
            </w:r>
          </w:p>
        </w:tc>
        <w:tc>
          <w:tcPr>
            <w:tcW w:w="421" w:type="pct"/>
            <w:tcBorders>
              <w:tl2br w:val="nil"/>
              <w:tr2bl w:val="nil"/>
            </w:tcBorders>
            <w:tcMar>
              <w:top w:w="15" w:type="dxa"/>
              <w:left w:w="108" w:type="dxa"/>
              <w:bottom w:w="15" w:type="dxa"/>
              <w:right w:w="108" w:type="dxa"/>
            </w:tcMar>
            <w:vAlign w:val="center"/>
          </w:tcPr>
          <w:p w:rsidR="00DF4FD5" w:rsidRPr="00F9522B" w:rsidRDefault="00DF4FD5" w:rsidP="004E26F5">
            <w:pPr>
              <w:jc w:val="center"/>
              <w:rPr>
                <w:rFonts w:eastAsiaTheme="minorEastAsia"/>
                <w:szCs w:val="21"/>
              </w:rPr>
            </w:pPr>
            <w:r w:rsidRPr="00F9522B">
              <w:rPr>
                <w:rFonts w:eastAsiaTheme="minorEastAsia"/>
                <w:szCs w:val="21"/>
              </w:rPr>
              <w:t>是</w:t>
            </w:r>
          </w:p>
        </w:tc>
        <w:tc>
          <w:tcPr>
            <w:tcW w:w="591" w:type="pct"/>
            <w:tcBorders>
              <w:tl2br w:val="nil"/>
              <w:tr2bl w:val="nil"/>
            </w:tcBorders>
            <w:tcMar>
              <w:top w:w="15" w:type="dxa"/>
              <w:left w:w="108" w:type="dxa"/>
              <w:bottom w:w="15" w:type="dxa"/>
              <w:right w:w="108" w:type="dxa"/>
            </w:tcMar>
            <w:vAlign w:val="center"/>
          </w:tcPr>
          <w:p w:rsidR="00DF4FD5" w:rsidRPr="00F9522B" w:rsidRDefault="00DF4FD5" w:rsidP="004E26F5">
            <w:pPr>
              <w:jc w:val="center"/>
              <w:rPr>
                <w:rFonts w:eastAsiaTheme="minorEastAsia"/>
                <w:szCs w:val="21"/>
              </w:rPr>
            </w:pPr>
            <w:r w:rsidRPr="00F9522B">
              <w:rPr>
                <w:rFonts w:eastAsiaTheme="minorEastAsia"/>
                <w:szCs w:val="21"/>
              </w:rPr>
              <w:t>哈尔滨市</w:t>
            </w:r>
          </w:p>
        </w:tc>
        <w:tc>
          <w:tcPr>
            <w:tcW w:w="506" w:type="pct"/>
            <w:tcBorders>
              <w:tl2br w:val="nil"/>
              <w:tr2bl w:val="nil"/>
            </w:tcBorders>
            <w:tcMar>
              <w:top w:w="15" w:type="dxa"/>
              <w:left w:w="108" w:type="dxa"/>
              <w:bottom w:w="15" w:type="dxa"/>
              <w:right w:w="108" w:type="dxa"/>
            </w:tcMar>
            <w:vAlign w:val="center"/>
          </w:tcPr>
          <w:p w:rsidR="00DF4FD5" w:rsidRPr="00F9522B" w:rsidRDefault="00DF4FD5" w:rsidP="004E26F5">
            <w:pPr>
              <w:jc w:val="center"/>
              <w:rPr>
                <w:rFonts w:eastAsiaTheme="minorEastAsia"/>
                <w:szCs w:val="21"/>
              </w:rPr>
            </w:pPr>
            <w:r w:rsidRPr="00F9522B">
              <w:rPr>
                <w:rFonts w:eastAsiaTheme="minorEastAsia"/>
                <w:szCs w:val="21"/>
              </w:rPr>
              <w:t>呼兰区</w:t>
            </w:r>
          </w:p>
        </w:tc>
        <w:tc>
          <w:tcPr>
            <w:tcW w:w="1849" w:type="pct"/>
            <w:tcBorders>
              <w:tl2br w:val="nil"/>
              <w:tr2bl w:val="nil"/>
            </w:tcBorders>
            <w:tcMar>
              <w:top w:w="15" w:type="dxa"/>
              <w:left w:w="108" w:type="dxa"/>
              <w:bottom w:w="15" w:type="dxa"/>
              <w:right w:w="108" w:type="dxa"/>
            </w:tcMar>
            <w:vAlign w:val="center"/>
          </w:tcPr>
          <w:p w:rsidR="00DF4FD5" w:rsidRPr="00F9522B" w:rsidRDefault="00DF4FD5">
            <w:pPr>
              <w:jc w:val="center"/>
              <w:rPr>
                <w:rFonts w:eastAsiaTheme="minorEastAsia"/>
                <w:szCs w:val="21"/>
              </w:rPr>
            </w:pPr>
            <w:r w:rsidRPr="00F9522B">
              <w:rPr>
                <w:rFonts w:eastAsiaTheme="minorEastAsia"/>
                <w:szCs w:val="21"/>
              </w:rPr>
              <w:t>呼兰区水环境城镇生活污染重点管控区</w:t>
            </w:r>
          </w:p>
        </w:tc>
      </w:tr>
      <w:tr w:rsidR="00DF4FD5" w:rsidRPr="00F9522B" w:rsidTr="00FC45EA">
        <w:trPr>
          <w:trHeight w:val="634"/>
          <w:jc w:val="center"/>
        </w:trPr>
        <w:tc>
          <w:tcPr>
            <w:tcW w:w="705" w:type="pct"/>
            <w:vMerge/>
            <w:tcBorders>
              <w:tl2br w:val="nil"/>
              <w:tr2bl w:val="nil"/>
            </w:tcBorders>
            <w:tcMar>
              <w:top w:w="15" w:type="dxa"/>
              <w:left w:w="108" w:type="dxa"/>
              <w:bottom w:w="15" w:type="dxa"/>
              <w:right w:w="108" w:type="dxa"/>
            </w:tcMar>
            <w:vAlign w:val="center"/>
          </w:tcPr>
          <w:p w:rsidR="00DF4FD5" w:rsidRPr="00F9522B" w:rsidRDefault="00DF4FD5" w:rsidP="004E26F5">
            <w:pPr>
              <w:jc w:val="center"/>
              <w:rPr>
                <w:rFonts w:eastAsiaTheme="minorEastAsia"/>
                <w:szCs w:val="21"/>
                <w:lang w:val="zh-CN"/>
              </w:rPr>
            </w:pPr>
          </w:p>
        </w:tc>
        <w:tc>
          <w:tcPr>
            <w:tcW w:w="928" w:type="pct"/>
            <w:tcBorders>
              <w:tl2br w:val="nil"/>
              <w:tr2bl w:val="nil"/>
            </w:tcBorders>
            <w:tcMar>
              <w:top w:w="15" w:type="dxa"/>
              <w:left w:w="108" w:type="dxa"/>
              <w:bottom w:w="15" w:type="dxa"/>
              <w:right w:w="108" w:type="dxa"/>
            </w:tcMar>
            <w:vAlign w:val="center"/>
          </w:tcPr>
          <w:p w:rsidR="00DF4FD5" w:rsidRPr="00F9522B" w:rsidRDefault="00DF4FD5">
            <w:pPr>
              <w:jc w:val="center"/>
              <w:rPr>
                <w:rFonts w:eastAsiaTheme="minorEastAsia"/>
                <w:szCs w:val="21"/>
              </w:rPr>
            </w:pPr>
            <w:r w:rsidRPr="00F9522B">
              <w:rPr>
                <w:rFonts w:eastAsiaTheme="minorEastAsia"/>
                <w:szCs w:val="21"/>
              </w:rPr>
              <w:t>重点管控单元</w:t>
            </w:r>
          </w:p>
        </w:tc>
        <w:tc>
          <w:tcPr>
            <w:tcW w:w="421" w:type="pct"/>
            <w:tcBorders>
              <w:tl2br w:val="nil"/>
              <w:tr2bl w:val="nil"/>
            </w:tcBorders>
            <w:tcMar>
              <w:top w:w="15" w:type="dxa"/>
              <w:left w:w="108" w:type="dxa"/>
              <w:bottom w:w="15" w:type="dxa"/>
              <w:right w:w="108" w:type="dxa"/>
            </w:tcMar>
            <w:vAlign w:val="center"/>
          </w:tcPr>
          <w:p w:rsidR="00DF4FD5" w:rsidRPr="00F9522B" w:rsidRDefault="00DF4FD5">
            <w:pPr>
              <w:jc w:val="center"/>
              <w:rPr>
                <w:rFonts w:eastAsiaTheme="minorEastAsia"/>
                <w:szCs w:val="21"/>
              </w:rPr>
            </w:pPr>
            <w:r w:rsidRPr="00F9522B">
              <w:rPr>
                <w:rFonts w:eastAsiaTheme="minorEastAsia"/>
                <w:szCs w:val="21"/>
              </w:rPr>
              <w:t>是</w:t>
            </w:r>
          </w:p>
        </w:tc>
        <w:tc>
          <w:tcPr>
            <w:tcW w:w="591" w:type="pct"/>
            <w:tcBorders>
              <w:tl2br w:val="nil"/>
              <w:tr2bl w:val="nil"/>
            </w:tcBorders>
            <w:tcMar>
              <w:top w:w="15" w:type="dxa"/>
              <w:left w:w="108" w:type="dxa"/>
              <w:bottom w:w="15" w:type="dxa"/>
              <w:right w:w="108" w:type="dxa"/>
            </w:tcMar>
            <w:vAlign w:val="center"/>
          </w:tcPr>
          <w:p w:rsidR="00DF4FD5" w:rsidRPr="00F9522B" w:rsidRDefault="00DF4FD5">
            <w:pPr>
              <w:jc w:val="center"/>
              <w:rPr>
                <w:rFonts w:eastAsiaTheme="minorEastAsia"/>
                <w:szCs w:val="21"/>
              </w:rPr>
            </w:pPr>
            <w:r w:rsidRPr="00F9522B">
              <w:rPr>
                <w:rFonts w:eastAsiaTheme="minorEastAsia"/>
                <w:szCs w:val="21"/>
              </w:rPr>
              <w:t>哈尔滨市</w:t>
            </w:r>
          </w:p>
        </w:tc>
        <w:tc>
          <w:tcPr>
            <w:tcW w:w="506" w:type="pct"/>
            <w:tcBorders>
              <w:tl2br w:val="nil"/>
              <w:tr2bl w:val="nil"/>
            </w:tcBorders>
            <w:tcMar>
              <w:top w:w="15" w:type="dxa"/>
              <w:left w:w="108" w:type="dxa"/>
              <w:bottom w:w="15" w:type="dxa"/>
              <w:right w:w="108" w:type="dxa"/>
            </w:tcMar>
            <w:vAlign w:val="center"/>
          </w:tcPr>
          <w:p w:rsidR="00DF4FD5" w:rsidRPr="00F9522B" w:rsidRDefault="00DF4FD5">
            <w:pPr>
              <w:jc w:val="center"/>
              <w:rPr>
                <w:rFonts w:eastAsiaTheme="minorEastAsia"/>
                <w:szCs w:val="21"/>
              </w:rPr>
            </w:pPr>
            <w:r w:rsidRPr="00F9522B">
              <w:rPr>
                <w:rFonts w:eastAsiaTheme="minorEastAsia"/>
                <w:szCs w:val="21"/>
              </w:rPr>
              <w:t>呼兰区</w:t>
            </w:r>
          </w:p>
        </w:tc>
        <w:tc>
          <w:tcPr>
            <w:tcW w:w="1849" w:type="pct"/>
            <w:tcBorders>
              <w:tl2br w:val="nil"/>
              <w:tr2bl w:val="nil"/>
            </w:tcBorders>
            <w:tcMar>
              <w:top w:w="15" w:type="dxa"/>
              <w:left w:w="108" w:type="dxa"/>
              <w:bottom w:w="15" w:type="dxa"/>
              <w:right w:w="108" w:type="dxa"/>
            </w:tcMar>
            <w:vAlign w:val="center"/>
          </w:tcPr>
          <w:p w:rsidR="00DF4FD5" w:rsidRPr="00F9522B" w:rsidRDefault="00DF4FD5">
            <w:pPr>
              <w:jc w:val="center"/>
              <w:rPr>
                <w:rFonts w:eastAsiaTheme="minorEastAsia"/>
                <w:szCs w:val="21"/>
              </w:rPr>
            </w:pPr>
            <w:r w:rsidRPr="00F9522B">
              <w:rPr>
                <w:rFonts w:eastAsiaTheme="minorEastAsia"/>
                <w:szCs w:val="21"/>
              </w:rPr>
              <w:t>呼兰区城镇空间</w:t>
            </w:r>
          </w:p>
        </w:tc>
      </w:tr>
      <w:tr w:rsidR="00DF4FD5" w:rsidRPr="00F9522B" w:rsidTr="00FC45EA">
        <w:trPr>
          <w:trHeight w:val="634"/>
          <w:jc w:val="center"/>
        </w:trPr>
        <w:tc>
          <w:tcPr>
            <w:tcW w:w="705" w:type="pct"/>
            <w:vMerge/>
            <w:tcBorders>
              <w:tl2br w:val="nil"/>
              <w:tr2bl w:val="nil"/>
            </w:tcBorders>
            <w:tcMar>
              <w:top w:w="15" w:type="dxa"/>
              <w:left w:w="108" w:type="dxa"/>
              <w:bottom w:w="15" w:type="dxa"/>
              <w:right w:w="108" w:type="dxa"/>
            </w:tcMar>
            <w:vAlign w:val="center"/>
          </w:tcPr>
          <w:p w:rsidR="00DF4FD5" w:rsidRPr="00F9522B" w:rsidRDefault="00DF4FD5" w:rsidP="004E26F5">
            <w:pPr>
              <w:jc w:val="center"/>
              <w:rPr>
                <w:rFonts w:eastAsiaTheme="minorEastAsia"/>
                <w:szCs w:val="21"/>
                <w:lang w:val="zh-CN"/>
              </w:rPr>
            </w:pPr>
          </w:p>
        </w:tc>
        <w:tc>
          <w:tcPr>
            <w:tcW w:w="928" w:type="pct"/>
            <w:tcBorders>
              <w:tl2br w:val="nil"/>
              <w:tr2bl w:val="nil"/>
            </w:tcBorders>
            <w:tcMar>
              <w:top w:w="15" w:type="dxa"/>
              <w:left w:w="108" w:type="dxa"/>
              <w:bottom w:w="15" w:type="dxa"/>
              <w:right w:w="108" w:type="dxa"/>
            </w:tcMar>
            <w:vAlign w:val="center"/>
          </w:tcPr>
          <w:p w:rsidR="00DF4FD5" w:rsidRPr="00F9522B" w:rsidRDefault="00DF4FD5">
            <w:pPr>
              <w:jc w:val="center"/>
              <w:rPr>
                <w:rFonts w:eastAsiaTheme="minorEastAsia"/>
                <w:szCs w:val="21"/>
              </w:rPr>
            </w:pPr>
            <w:r w:rsidRPr="00F9522B">
              <w:rPr>
                <w:rFonts w:eastAsiaTheme="minorEastAsia"/>
                <w:szCs w:val="21"/>
              </w:rPr>
              <w:t>一般管控单元</w:t>
            </w:r>
          </w:p>
        </w:tc>
        <w:tc>
          <w:tcPr>
            <w:tcW w:w="421" w:type="pct"/>
            <w:tcBorders>
              <w:tl2br w:val="nil"/>
              <w:tr2bl w:val="nil"/>
            </w:tcBorders>
            <w:tcMar>
              <w:top w:w="15" w:type="dxa"/>
              <w:left w:w="108" w:type="dxa"/>
              <w:bottom w:w="15" w:type="dxa"/>
              <w:right w:w="108" w:type="dxa"/>
            </w:tcMar>
            <w:vAlign w:val="center"/>
          </w:tcPr>
          <w:p w:rsidR="00DF4FD5" w:rsidRPr="00F9522B" w:rsidRDefault="00DF4FD5">
            <w:pPr>
              <w:jc w:val="center"/>
              <w:rPr>
                <w:rFonts w:eastAsiaTheme="minorEastAsia"/>
                <w:szCs w:val="21"/>
              </w:rPr>
            </w:pPr>
            <w:r w:rsidRPr="00F9522B">
              <w:rPr>
                <w:rFonts w:eastAsiaTheme="minorEastAsia"/>
                <w:szCs w:val="21"/>
              </w:rPr>
              <w:t>是</w:t>
            </w:r>
          </w:p>
        </w:tc>
        <w:tc>
          <w:tcPr>
            <w:tcW w:w="591" w:type="pct"/>
            <w:tcBorders>
              <w:tl2br w:val="nil"/>
              <w:tr2bl w:val="nil"/>
            </w:tcBorders>
            <w:tcMar>
              <w:top w:w="15" w:type="dxa"/>
              <w:left w:w="108" w:type="dxa"/>
              <w:bottom w:w="15" w:type="dxa"/>
              <w:right w:w="108" w:type="dxa"/>
            </w:tcMar>
            <w:vAlign w:val="center"/>
          </w:tcPr>
          <w:p w:rsidR="00DF4FD5" w:rsidRPr="00F9522B" w:rsidRDefault="00DF4FD5">
            <w:pPr>
              <w:jc w:val="center"/>
              <w:rPr>
                <w:rFonts w:eastAsiaTheme="minorEastAsia"/>
                <w:szCs w:val="21"/>
              </w:rPr>
            </w:pPr>
            <w:r w:rsidRPr="00F9522B">
              <w:rPr>
                <w:rFonts w:eastAsiaTheme="minorEastAsia"/>
                <w:szCs w:val="21"/>
              </w:rPr>
              <w:t>哈尔滨市</w:t>
            </w:r>
          </w:p>
        </w:tc>
        <w:tc>
          <w:tcPr>
            <w:tcW w:w="506" w:type="pct"/>
            <w:tcBorders>
              <w:tl2br w:val="nil"/>
              <w:tr2bl w:val="nil"/>
            </w:tcBorders>
            <w:tcMar>
              <w:top w:w="15" w:type="dxa"/>
              <w:left w:w="108" w:type="dxa"/>
              <w:bottom w:w="15" w:type="dxa"/>
              <w:right w:w="108" w:type="dxa"/>
            </w:tcMar>
            <w:vAlign w:val="center"/>
          </w:tcPr>
          <w:p w:rsidR="00DF4FD5" w:rsidRPr="00F9522B" w:rsidRDefault="00DF4FD5">
            <w:pPr>
              <w:jc w:val="center"/>
              <w:rPr>
                <w:rFonts w:eastAsiaTheme="minorEastAsia"/>
                <w:szCs w:val="21"/>
              </w:rPr>
            </w:pPr>
            <w:r w:rsidRPr="00F9522B">
              <w:rPr>
                <w:rFonts w:eastAsiaTheme="minorEastAsia"/>
                <w:szCs w:val="21"/>
              </w:rPr>
              <w:t>呼兰区</w:t>
            </w:r>
          </w:p>
        </w:tc>
        <w:tc>
          <w:tcPr>
            <w:tcW w:w="1849" w:type="pct"/>
            <w:tcBorders>
              <w:tl2br w:val="nil"/>
              <w:tr2bl w:val="nil"/>
            </w:tcBorders>
            <w:tcMar>
              <w:top w:w="15" w:type="dxa"/>
              <w:left w:w="108" w:type="dxa"/>
              <w:bottom w:w="15" w:type="dxa"/>
              <w:right w:w="108" w:type="dxa"/>
            </w:tcMar>
            <w:vAlign w:val="center"/>
          </w:tcPr>
          <w:p w:rsidR="00DF4FD5" w:rsidRPr="00F9522B" w:rsidRDefault="00DF4FD5">
            <w:pPr>
              <w:jc w:val="center"/>
              <w:rPr>
                <w:rFonts w:eastAsiaTheme="minorEastAsia"/>
                <w:szCs w:val="21"/>
              </w:rPr>
            </w:pPr>
            <w:r w:rsidRPr="00F9522B">
              <w:rPr>
                <w:rFonts w:eastAsiaTheme="minorEastAsia"/>
                <w:szCs w:val="21"/>
              </w:rPr>
              <w:t>呼兰区永久基本农田</w:t>
            </w:r>
          </w:p>
        </w:tc>
      </w:tr>
      <w:tr w:rsidR="00DF4FD5" w:rsidRPr="00F9522B" w:rsidTr="00FC45EA">
        <w:trPr>
          <w:trHeight w:val="634"/>
          <w:jc w:val="center"/>
        </w:trPr>
        <w:tc>
          <w:tcPr>
            <w:tcW w:w="705" w:type="pct"/>
            <w:vMerge/>
            <w:tcBorders>
              <w:tl2br w:val="nil"/>
              <w:tr2bl w:val="nil"/>
            </w:tcBorders>
            <w:tcMar>
              <w:top w:w="15" w:type="dxa"/>
              <w:left w:w="108" w:type="dxa"/>
              <w:bottom w:w="15" w:type="dxa"/>
              <w:right w:w="108" w:type="dxa"/>
            </w:tcMar>
            <w:vAlign w:val="center"/>
          </w:tcPr>
          <w:p w:rsidR="00DF4FD5" w:rsidRPr="00F9522B" w:rsidRDefault="00DF4FD5">
            <w:pPr>
              <w:jc w:val="center"/>
              <w:rPr>
                <w:rFonts w:eastAsiaTheme="minorEastAsia"/>
                <w:szCs w:val="21"/>
                <w:lang w:val="zh-CN"/>
              </w:rPr>
            </w:pPr>
          </w:p>
        </w:tc>
        <w:tc>
          <w:tcPr>
            <w:tcW w:w="928" w:type="pct"/>
            <w:tcBorders>
              <w:tl2br w:val="nil"/>
              <w:tr2bl w:val="nil"/>
            </w:tcBorders>
            <w:tcMar>
              <w:top w:w="15" w:type="dxa"/>
              <w:left w:w="108" w:type="dxa"/>
              <w:bottom w:w="15" w:type="dxa"/>
              <w:right w:w="108" w:type="dxa"/>
            </w:tcMar>
            <w:vAlign w:val="center"/>
          </w:tcPr>
          <w:p w:rsidR="00DF4FD5" w:rsidRPr="00F9522B" w:rsidRDefault="00DF4FD5">
            <w:pPr>
              <w:jc w:val="center"/>
              <w:rPr>
                <w:rFonts w:eastAsiaTheme="minorEastAsia"/>
                <w:szCs w:val="21"/>
              </w:rPr>
            </w:pPr>
            <w:r w:rsidRPr="00F9522B">
              <w:rPr>
                <w:rFonts w:eastAsiaTheme="minorEastAsia"/>
                <w:szCs w:val="21"/>
              </w:rPr>
              <w:t>一般管控单元</w:t>
            </w:r>
          </w:p>
        </w:tc>
        <w:tc>
          <w:tcPr>
            <w:tcW w:w="421" w:type="pct"/>
            <w:tcBorders>
              <w:tl2br w:val="nil"/>
              <w:tr2bl w:val="nil"/>
            </w:tcBorders>
            <w:tcMar>
              <w:top w:w="15" w:type="dxa"/>
              <w:left w:w="108" w:type="dxa"/>
              <w:bottom w:w="15" w:type="dxa"/>
              <w:right w:w="108" w:type="dxa"/>
            </w:tcMar>
            <w:vAlign w:val="center"/>
          </w:tcPr>
          <w:p w:rsidR="00DF4FD5" w:rsidRPr="00F9522B" w:rsidRDefault="00DF4FD5">
            <w:pPr>
              <w:jc w:val="center"/>
              <w:rPr>
                <w:rFonts w:eastAsiaTheme="minorEastAsia"/>
                <w:szCs w:val="21"/>
              </w:rPr>
            </w:pPr>
            <w:r w:rsidRPr="00F9522B">
              <w:rPr>
                <w:rFonts w:eastAsiaTheme="minorEastAsia"/>
                <w:szCs w:val="21"/>
              </w:rPr>
              <w:t>是</w:t>
            </w:r>
          </w:p>
        </w:tc>
        <w:tc>
          <w:tcPr>
            <w:tcW w:w="591" w:type="pct"/>
            <w:tcBorders>
              <w:tl2br w:val="nil"/>
              <w:tr2bl w:val="nil"/>
            </w:tcBorders>
            <w:tcMar>
              <w:top w:w="15" w:type="dxa"/>
              <w:left w:w="108" w:type="dxa"/>
              <w:bottom w:w="15" w:type="dxa"/>
              <w:right w:w="108" w:type="dxa"/>
            </w:tcMar>
            <w:vAlign w:val="center"/>
          </w:tcPr>
          <w:p w:rsidR="00DF4FD5" w:rsidRPr="00F9522B" w:rsidRDefault="00DF4FD5">
            <w:pPr>
              <w:jc w:val="center"/>
              <w:rPr>
                <w:rFonts w:eastAsiaTheme="minorEastAsia"/>
                <w:szCs w:val="21"/>
              </w:rPr>
            </w:pPr>
            <w:r w:rsidRPr="00F9522B">
              <w:rPr>
                <w:rFonts w:eastAsiaTheme="minorEastAsia"/>
                <w:szCs w:val="21"/>
              </w:rPr>
              <w:t>哈尔滨市</w:t>
            </w:r>
          </w:p>
        </w:tc>
        <w:tc>
          <w:tcPr>
            <w:tcW w:w="506" w:type="pct"/>
            <w:tcBorders>
              <w:tl2br w:val="nil"/>
              <w:tr2bl w:val="nil"/>
            </w:tcBorders>
            <w:tcMar>
              <w:top w:w="15" w:type="dxa"/>
              <w:left w:w="108" w:type="dxa"/>
              <w:bottom w:w="15" w:type="dxa"/>
              <w:right w:w="108" w:type="dxa"/>
            </w:tcMar>
            <w:vAlign w:val="center"/>
          </w:tcPr>
          <w:p w:rsidR="00DF4FD5" w:rsidRPr="00F9522B" w:rsidRDefault="00DF4FD5">
            <w:pPr>
              <w:jc w:val="center"/>
              <w:rPr>
                <w:rFonts w:eastAsiaTheme="minorEastAsia"/>
                <w:szCs w:val="21"/>
              </w:rPr>
            </w:pPr>
            <w:r w:rsidRPr="00F9522B">
              <w:rPr>
                <w:rFonts w:eastAsiaTheme="minorEastAsia"/>
                <w:szCs w:val="21"/>
              </w:rPr>
              <w:t>呼兰区</w:t>
            </w:r>
          </w:p>
        </w:tc>
        <w:tc>
          <w:tcPr>
            <w:tcW w:w="1849" w:type="pct"/>
            <w:tcBorders>
              <w:tl2br w:val="nil"/>
              <w:tr2bl w:val="nil"/>
            </w:tcBorders>
            <w:tcMar>
              <w:top w:w="15" w:type="dxa"/>
              <w:left w:w="108" w:type="dxa"/>
              <w:bottom w:w="15" w:type="dxa"/>
              <w:right w:w="108" w:type="dxa"/>
            </w:tcMar>
            <w:vAlign w:val="center"/>
          </w:tcPr>
          <w:p w:rsidR="00DF4FD5" w:rsidRPr="00F9522B" w:rsidRDefault="00DF4FD5">
            <w:pPr>
              <w:jc w:val="center"/>
              <w:rPr>
                <w:rFonts w:eastAsiaTheme="minorEastAsia"/>
                <w:szCs w:val="21"/>
              </w:rPr>
            </w:pPr>
            <w:r w:rsidRPr="00F9522B">
              <w:rPr>
                <w:rFonts w:eastAsiaTheme="minorEastAsia"/>
                <w:szCs w:val="21"/>
              </w:rPr>
              <w:t>呼兰区其他区域</w:t>
            </w:r>
          </w:p>
        </w:tc>
      </w:tr>
    </w:tbl>
    <w:p w:rsidR="002A5A5E" w:rsidRPr="00F9522B" w:rsidRDefault="00611CBA">
      <w:pPr>
        <w:autoSpaceDE w:val="0"/>
        <w:autoSpaceDN w:val="0"/>
        <w:adjustRightInd w:val="0"/>
        <w:snapToGrid w:val="0"/>
        <w:spacing w:line="360" w:lineRule="auto"/>
        <w:ind w:firstLineChars="200" w:firstLine="480"/>
        <w:jc w:val="left"/>
        <w:rPr>
          <w:rFonts w:eastAsiaTheme="minorEastAsia"/>
          <w:sz w:val="24"/>
        </w:rPr>
      </w:pPr>
      <w:r w:rsidRPr="00F9522B">
        <w:rPr>
          <w:rFonts w:eastAsiaTheme="minorEastAsia"/>
          <w:sz w:val="24"/>
        </w:rPr>
        <w:t>（</w:t>
      </w:r>
      <w:r w:rsidRPr="00F9522B">
        <w:rPr>
          <w:rFonts w:eastAsiaTheme="minorEastAsia"/>
          <w:sz w:val="24"/>
        </w:rPr>
        <w:t>1</w:t>
      </w:r>
      <w:r w:rsidRPr="00F9522B">
        <w:rPr>
          <w:rFonts w:eastAsiaTheme="minorEastAsia"/>
          <w:sz w:val="24"/>
        </w:rPr>
        <w:t>）生态保护红线</w:t>
      </w:r>
    </w:p>
    <w:p w:rsidR="002A5A5E" w:rsidRPr="00F9522B" w:rsidRDefault="00611CBA">
      <w:pPr>
        <w:autoSpaceDE w:val="0"/>
        <w:autoSpaceDN w:val="0"/>
        <w:adjustRightInd w:val="0"/>
        <w:snapToGrid w:val="0"/>
        <w:spacing w:line="360" w:lineRule="auto"/>
        <w:ind w:firstLineChars="200" w:firstLine="480"/>
        <w:jc w:val="left"/>
        <w:rPr>
          <w:rFonts w:eastAsiaTheme="minorEastAsia"/>
          <w:sz w:val="24"/>
        </w:rPr>
      </w:pPr>
      <w:r w:rsidRPr="00F9522B">
        <w:rPr>
          <w:rFonts w:eastAsiaTheme="minorEastAsia"/>
          <w:sz w:val="24"/>
        </w:rPr>
        <w:t>本项目位于</w:t>
      </w:r>
      <w:r w:rsidR="00140308" w:rsidRPr="00F9522B">
        <w:rPr>
          <w:rFonts w:eastAsiaTheme="minorEastAsia"/>
          <w:sz w:val="24"/>
          <w:szCs w:val="21"/>
        </w:rPr>
        <w:t>黑龙江省哈尔滨市呼兰区二八镇阿堡村、鲍堡村、二八村、傅井村、头屯村、王柱村、元宝村、长山村；方台镇的方台村、高家村、宋家村、榆林村；康金街道的金城村、永胜村、历井村、孟井村、双合村、苏德村、王牛村、王佩村、东井村、西井村、杨木村、东腰村、历井农场、新农村；石人镇的城子村、古城村、金星村、石人村、永发村、永平村、于家村、双宝村、站前村</w:t>
      </w:r>
      <w:r w:rsidR="00550BE3" w:rsidRPr="00F9522B">
        <w:rPr>
          <w:rFonts w:eastAsiaTheme="minorEastAsia"/>
          <w:bCs/>
          <w:sz w:val="24"/>
        </w:rPr>
        <w:t>。</w:t>
      </w:r>
      <w:r w:rsidRPr="00F9522B">
        <w:rPr>
          <w:rFonts w:eastAsiaTheme="minorEastAsia"/>
          <w:bCs/>
          <w:sz w:val="24"/>
        </w:rPr>
        <w:t>工程占地</w:t>
      </w:r>
      <w:r w:rsidRPr="00F9522B">
        <w:rPr>
          <w:rFonts w:eastAsiaTheme="minorEastAsia"/>
          <w:sz w:val="24"/>
        </w:rPr>
        <w:t>不涉及自然保护区、地质公园、风景名胜区、森林公园、水产种质资源保护区、饮用水水源保护区、湿地公园和公益生态林等区域，根据《</w:t>
      </w:r>
      <w:r w:rsidR="003A7922" w:rsidRPr="00F9522B">
        <w:rPr>
          <w:rFonts w:eastAsiaTheme="minorEastAsia"/>
          <w:sz w:val="24"/>
        </w:rPr>
        <w:t>呼兰区</w:t>
      </w:r>
      <w:r w:rsidR="003A7922" w:rsidRPr="00F9522B">
        <w:rPr>
          <w:rFonts w:eastAsiaTheme="minorEastAsia"/>
          <w:sz w:val="24"/>
        </w:rPr>
        <w:t>2026</w:t>
      </w:r>
      <w:r w:rsidR="003A7922" w:rsidRPr="00F9522B">
        <w:rPr>
          <w:rFonts w:eastAsiaTheme="minorEastAsia"/>
          <w:sz w:val="24"/>
        </w:rPr>
        <w:t>年高标准农田建设项目</w:t>
      </w:r>
      <w:r w:rsidRPr="00F9522B">
        <w:rPr>
          <w:rFonts w:eastAsiaTheme="minorEastAsia"/>
          <w:sz w:val="24"/>
        </w:rPr>
        <w:t>生态环境分区管控分析报告》，本项目不占生态保护红线。</w:t>
      </w:r>
    </w:p>
    <w:p w:rsidR="002A5A5E" w:rsidRPr="00F9522B" w:rsidRDefault="00611CBA">
      <w:pPr>
        <w:autoSpaceDE w:val="0"/>
        <w:autoSpaceDN w:val="0"/>
        <w:adjustRightInd w:val="0"/>
        <w:snapToGrid w:val="0"/>
        <w:spacing w:line="360" w:lineRule="auto"/>
        <w:ind w:firstLineChars="200" w:firstLine="480"/>
        <w:jc w:val="left"/>
        <w:rPr>
          <w:rFonts w:eastAsiaTheme="minorEastAsia"/>
          <w:kern w:val="0"/>
          <w:sz w:val="24"/>
          <w:szCs w:val="21"/>
        </w:rPr>
      </w:pPr>
      <w:r w:rsidRPr="00F9522B">
        <w:rPr>
          <w:rFonts w:eastAsiaTheme="minorEastAsia"/>
          <w:kern w:val="0"/>
          <w:sz w:val="24"/>
          <w:szCs w:val="21"/>
        </w:rPr>
        <w:t>（</w:t>
      </w:r>
      <w:r w:rsidRPr="00F9522B">
        <w:rPr>
          <w:rFonts w:eastAsiaTheme="minorEastAsia"/>
          <w:kern w:val="0"/>
          <w:sz w:val="24"/>
          <w:szCs w:val="21"/>
        </w:rPr>
        <w:t>2</w:t>
      </w:r>
      <w:r w:rsidRPr="00F9522B">
        <w:rPr>
          <w:rFonts w:eastAsiaTheme="minorEastAsia"/>
          <w:kern w:val="0"/>
          <w:sz w:val="24"/>
          <w:szCs w:val="21"/>
        </w:rPr>
        <w:t>）环境质量底线</w:t>
      </w:r>
    </w:p>
    <w:p w:rsidR="002A5A5E" w:rsidRPr="00F9522B" w:rsidRDefault="005273A1">
      <w:pPr>
        <w:spacing w:line="360" w:lineRule="auto"/>
        <w:ind w:firstLineChars="200" w:firstLine="480"/>
        <w:rPr>
          <w:rFonts w:eastAsiaTheme="minorEastAsia"/>
          <w:kern w:val="0"/>
          <w:sz w:val="24"/>
          <w:szCs w:val="21"/>
        </w:rPr>
      </w:pPr>
      <w:r w:rsidRPr="00F9522B">
        <w:rPr>
          <w:rFonts w:eastAsiaTheme="minorEastAsia"/>
          <w:kern w:val="0"/>
          <w:sz w:val="24"/>
          <w:szCs w:val="21"/>
        </w:rPr>
        <w:fldChar w:fldCharType="begin"/>
      </w:r>
      <w:r w:rsidR="00611CBA" w:rsidRPr="00F9522B">
        <w:rPr>
          <w:rFonts w:eastAsiaTheme="minorEastAsia"/>
          <w:kern w:val="0"/>
          <w:sz w:val="24"/>
          <w:szCs w:val="21"/>
        </w:rPr>
        <w:instrText xml:space="preserve"> = 1 \* GB3 </w:instrText>
      </w:r>
      <w:r w:rsidRPr="00F9522B">
        <w:rPr>
          <w:rFonts w:eastAsiaTheme="minorEastAsia"/>
          <w:kern w:val="0"/>
          <w:sz w:val="24"/>
          <w:szCs w:val="21"/>
        </w:rPr>
        <w:fldChar w:fldCharType="separate"/>
      </w:r>
      <w:r w:rsidR="00611CBA" w:rsidRPr="00F9522B">
        <w:rPr>
          <w:rFonts w:ascii="宋体" w:hAnsi="宋体" w:cs="宋体" w:hint="eastAsia"/>
          <w:kern w:val="0"/>
          <w:sz w:val="24"/>
          <w:szCs w:val="21"/>
        </w:rPr>
        <w:t>①</w:t>
      </w:r>
      <w:r w:rsidRPr="00F9522B">
        <w:rPr>
          <w:rFonts w:eastAsiaTheme="minorEastAsia"/>
          <w:kern w:val="0"/>
          <w:sz w:val="24"/>
          <w:szCs w:val="21"/>
        </w:rPr>
        <w:fldChar w:fldCharType="end"/>
      </w:r>
      <w:r w:rsidR="00611CBA" w:rsidRPr="00F9522B">
        <w:rPr>
          <w:rFonts w:eastAsiaTheme="minorEastAsia"/>
          <w:kern w:val="0"/>
          <w:sz w:val="24"/>
          <w:szCs w:val="21"/>
        </w:rPr>
        <w:t>大气</w:t>
      </w:r>
    </w:p>
    <w:p w:rsidR="002A5A5E" w:rsidRPr="00F9522B" w:rsidRDefault="00611CBA">
      <w:pPr>
        <w:spacing w:line="360" w:lineRule="auto"/>
        <w:ind w:firstLineChars="200" w:firstLine="480"/>
        <w:rPr>
          <w:rFonts w:eastAsiaTheme="minorEastAsia"/>
          <w:kern w:val="0"/>
          <w:sz w:val="24"/>
          <w:szCs w:val="21"/>
        </w:rPr>
      </w:pPr>
      <w:r w:rsidRPr="00F9522B">
        <w:rPr>
          <w:rFonts w:eastAsiaTheme="minorEastAsia"/>
          <w:sz w:val="24"/>
        </w:rPr>
        <w:t>根据《</w:t>
      </w:r>
      <w:r w:rsidR="003A7922" w:rsidRPr="00F9522B">
        <w:rPr>
          <w:rFonts w:eastAsiaTheme="minorEastAsia"/>
          <w:sz w:val="24"/>
        </w:rPr>
        <w:t>呼兰区</w:t>
      </w:r>
      <w:r w:rsidR="003A7922" w:rsidRPr="00F9522B">
        <w:rPr>
          <w:rFonts w:eastAsiaTheme="minorEastAsia"/>
          <w:sz w:val="24"/>
        </w:rPr>
        <w:t>2026</w:t>
      </w:r>
      <w:r w:rsidR="003A7922" w:rsidRPr="00F9522B">
        <w:rPr>
          <w:rFonts w:eastAsiaTheme="minorEastAsia"/>
          <w:sz w:val="24"/>
        </w:rPr>
        <w:t>年高标准农田建设项目</w:t>
      </w:r>
      <w:r w:rsidRPr="00F9522B">
        <w:rPr>
          <w:rFonts w:eastAsiaTheme="minorEastAsia"/>
          <w:sz w:val="24"/>
        </w:rPr>
        <w:t>生态环境分区管控分析报告》，</w:t>
      </w:r>
      <w:r w:rsidR="00DF4FD5" w:rsidRPr="00F9522B">
        <w:rPr>
          <w:rFonts w:eastAsiaTheme="minorEastAsia"/>
          <w:kern w:val="0"/>
          <w:sz w:val="24"/>
          <w:szCs w:val="21"/>
        </w:rPr>
        <w:t>本项目位于大气环境受体敏感</w:t>
      </w:r>
      <w:r w:rsidR="004E26F5" w:rsidRPr="00F9522B">
        <w:rPr>
          <w:rFonts w:eastAsiaTheme="minorEastAsia"/>
          <w:kern w:val="0"/>
          <w:sz w:val="24"/>
          <w:szCs w:val="21"/>
        </w:rPr>
        <w:t>重点管控区</w:t>
      </w:r>
      <w:r w:rsidRPr="00F9522B">
        <w:rPr>
          <w:rFonts w:eastAsiaTheme="minorEastAsia"/>
          <w:kern w:val="0"/>
          <w:sz w:val="24"/>
          <w:szCs w:val="21"/>
        </w:rPr>
        <w:t>及大气环境一般管控区。本项目运营期废气影响较小，施工期扬尘、废气影响较小，随施工期结束影响消失，不会对大气环境质量现状造成不良影响。</w:t>
      </w:r>
    </w:p>
    <w:p w:rsidR="002A5A5E" w:rsidRPr="00F9522B" w:rsidRDefault="005273A1">
      <w:pPr>
        <w:spacing w:line="360" w:lineRule="auto"/>
        <w:ind w:firstLineChars="200" w:firstLine="480"/>
        <w:rPr>
          <w:rFonts w:eastAsiaTheme="minorEastAsia"/>
          <w:kern w:val="0"/>
          <w:sz w:val="24"/>
          <w:szCs w:val="21"/>
        </w:rPr>
      </w:pPr>
      <w:r w:rsidRPr="00F9522B">
        <w:rPr>
          <w:rFonts w:eastAsiaTheme="minorEastAsia"/>
          <w:kern w:val="0"/>
          <w:sz w:val="24"/>
          <w:szCs w:val="21"/>
        </w:rPr>
        <w:fldChar w:fldCharType="begin"/>
      </w:r>
      <w:r w:rsidR="00611CBA" w:rsidRPr="00F9522B">
        <w:rPr>
          <w:rFonts w:eastAsiaTheme="minorEastAsia"/>
          <w:kern w:val="0"/>
          <w:sz w:val="24"/>
          <w:szCs w:val="21"/>
        </w:rPr>
        <w:instrText xml:space="preserve"> = 2 \* GB3 </w:instrText>
      </w:r>
      <w:r w:rsidRPr="00F9522B">
        <w:rPr>
          <w:rFonts w:eastAsiaTheme="minorEastAsia"/>
          <w:kern w:val="0"/>
          <w:sz w:val="24"/>
          <w:szCs w:val="21"/>
        </w:rPr>
        <w:fldChar w:fldCharType="separate"/>
      </w:r>
      <w:r w:rsidR="00611CBA" w:rsidRPr="00F9522B">
        <w:rPr>
          <w:rFonts w:ascii="宋体" w:hAnsi="宋体" w:cs="宋体" w:hint="eastAsia"/>
          <w:kern w:val="0"/>
          <w:sz w:val="24"/>
          <w:szCs w:val="21"/>
        </w:rPr>
        <w:t>②</w:t>
      </w:r>
      <w:r w:rsidRPr="00F9522B">
        <w:rPr>
          <w:rFonts w:eastAsiaTheme="minorEastAsia"/>
          <w:kern w:val="0"/>
          <w:sz w:val="24"/>
          <w:szCs w:val="21"/>
        </w:rPr>
        <w:fldChar w:fldCharType="end"/>
      </w:r>
      <w:r w:rsidR="00611CBA" w:rsidRPr="00F9522B">
        <w:rPr>
          <w:rFonts w:eastAsiaTheme="minorEastAsia"/>
          <w:kern w:val="0"/>
          <w:sz w:val="24"/>
          <w:szCs w:val="21"/>
        </w:rPr>
        <w:t>水环境</w:t>
      </w:r>
    </w:p>
    <w:p w:rsidR="002A5A5E" w:rsidRPr="00F9522B" w:rsidRDefault="00611CBA">
      <w:pPr>
        <w:spacing w:line="360" w:lineRule="auto"/>
        <w:ind w:firstLineChars="200" w:firstLine="480"/>
        <w:jc w:val="left"/>
        <w:rPr>
          <w:rFonts w:eastAsiaTheme="minorEastAsia"/>
          <w:sz w:val="24"/>
        </w:rPr>
      </w:pPr>
      <w:r w:rsidRPr="00F9522B">
        <w:rPr>
          <w:rFonts w:eastAsiaTheme="minorEastAsia"/>
          <w:sz w:val="24"/>
        </w:rPr>
        <w:t>根据《</w:t>
      </w:r>
      <w:r w:rsidR="003A7922" w:rsidRPr="00F9522B">
        <w:rPr>
          <w:rFonts w:eastAsiaTheme="minorEastAsia"/>
          <w:sz w:val="24"/>
        </w:rPr>
        <w:t>呼兰区</w:t>
      </w:r>
      <w:r w:rsidR="003A7922" w:rsidRPr="00F9522B">
        <w:rPr>
          <w:rFonts w:eastAsiaTheme="minorEastAsia"/>
          <w:sz w:val="24"/>
        </w:rPr>
        <w:t>2026</w:t>
      </w:r>
      <w:r w:rsidR="003A7922" w:rsidRPr="00F9522B">
        <w:rPr>
          <w:rFonts w:eastAsiaTheme="minorEastAsia"/>
          <w:sz w:val="24"/>
        </w:rPr>
        <w:t>年高标准农田建设项目</w:t>
      </w:r>
      <w:r w:rsidRPr="00F9522B">
        <w:rPr>
          <w:rFonts w:eastAsiaTheme="minorEastAsia"/>
          <w:sz w:val="24"/>
        </w:rPr>
        <w:t>生态环境分区管控分析报告》，本</w:t>
      </w:r>
      <w:r w:rsidR="00DF4FD5" w:rsidRPr="00F9522B">
        <w:rPr>
          <w:rFonts w:eastAsiaTheme="minorEastAsia"/>
          <w:sz w:val="24"/>
        </w:rPr>
        <w:t>项目位于水环境农业污染重点管控区、水环境城镇生活污染重点管控区、</w:t>
      </w:r>
      <w:r w:rsidR="00CB74D8" w:rsidRPr="00F9522B">
        <w:rPr>
          <w:rFonts w:eastAsiaTheme="minorEastAsia"/>
          <w:sz w:val="24"/>
        </w:rPr>
        <w:t>其他区域</w:t>
      </w:r>
      <w:r w:rsidRPr="00F9522B">
        <w:rPr>
          <w:rFonts w:eastAsiaTheme="minorEastAsia"/>
          <w:sz w:val="24"/>
        </w:rPr>
        <w:t>。本项目施工期生活污水依托附近民房防渗旱厕，定期清掏，外运堆肥，不外排，洗井废水用于洒水降尘；项目新建灌溉井片区均为旱田，农田无退水。本项目实施后，由于灌溉水利用系数的提升、农田保水能力增强以及渠系配套系统的完善，现有水田灌溉地表水退水量减少，相应污染物入河量与现状相比也有一定程度的削减，</w:t>
      </w:r>
      <w:r w:rsidR="00E03AD9" w:rsidRPr="00F9522B">
        <w:rPr>
          <w:rFonts w:eastAsiaTheme="minorEastAsia"/>
          <w:bCs/>
          <w:sz w:val="24"/>
        </w:rPr>
        <w:t>COD</w:t>
      </w:r>
      <w:r w:rsidR="00E03AD9" w:rsidRPr="00F9522B">
        <w:rPr>
          <w:rFonts w:eastAsiaTheme="minorEastAsia"/>
          <w:bCs/>
          <w:sz w:val="24"/>
        </w:rPr>
        <w:t>、氨氮、总磷及总氮排放量分别减少</w:t>
      </w:r>
      <w:r w:rsidR="00E03AD9" w:rsidRPr="00F9522B">
        <w:rPr>
          <w:rFonts w:eastAsiaTheme="minorEastAsia"/>
          <w:bCs/>
          <w:sz w:val="24"/>
        </w:rPr>
        <w:t>7.905t/a</w:t>
      </w:r>
      <w:r w:rsidR="00E03AD9" w:rsidRPr="00F9522B">
        <w:rPr>
          <w:rFonts w:eastAsiaTheme="minorEastAsia"/>
          <w:bCs/>
          <w:sz w:val="24"/>
        </w:rPr>
        <w:t>、</w:t>
      </w:r>
      <w:r w:rsidR="00E03AD9" w:rsidRPr="00F9522B">
        <w:rPr>
          <w:rFonts w:eastAsiaTheme="minorEastAsia"/>
          <w:bCs/>
          <w:sz w:val="24"/>
        </w:rPr>
        <w:t>0.189t/a</w:t>
      </w:r>
      <w:r w:rsidR="00E03AD9" w:rsidRPr="00F9522B">
        <w:rPr>
          <w:rFonts w:eastAsiaTheme="minorEastAsia"/>
          <w:bCs/>
          <w:sz w:val="24"/>
        </w:rPr>
        <w:t>、</w:t>
      </w:r>
      <w:r w:rsidR="00E03AD9" w:rsidRPr="00F9522B">
        <w:rPr>
          <w:rFonts w:eastAsiaTheme="minorEastAsia"/>
          <w:bCs/>
          <w:sz w:val="24"/>
        </w:rPr>
        <w:t>0.276t/a</w:t>
      </w:r>
      <w:r w:rsidR="00E03AD9" w:rsidRPr="00F9522B">
        <w:rPr>
          <w:rFonts w:eastAsiaTheme="minorEastAsia"/>
          <w:bCs/>
          <w:sz w:val="24"/>
        </w:rPr>
        <w:t>、</w:t>
      </w:r>
      <w:r w:rsidR="00E03AD9" w:rsidRPr="00F9522B">
        <w:rPr>
          <w:rFonts w:eastAsiaTheme="minorEastAsia"/>
          <w:bCs/>
          <w:sz w:val="24"/>
        </w:rPr>
        <w:lastRenderedPageBreak/>
        <w:t>0.63t/a</w:t>
      </w:r>
      <w:r w:rsidRPr="00F9522B">
        <w:rPr>
          <w:rFonts w:eastAsiaTheme="minorEastAsia"/>
          <w:bCs/>
          <w:sz w:val="24"/>
        </w:rPr>
        <w:t>。</w:t>
      </w:r>
      <w:r w:rsidRPr="00F9522B">
        <w:rPr>
          <w:rFonts w:eastAsiaTheme="minorEastAsia"/>
          <w:sz w:val="24"/>
        </w:rPr>
        <w:t>因此不会对区域水环境造成影响。</w:t>
      </w:r>
    </w:p>
    <w:p w:rsidR="002A5A5E" w:rsidRPr="00F9522B" w:rsidRDefault="00611CBA">
      <w:pPr>
        <w:spacing w:line="360" w:lineRule="auto"/>
        <w:ind w:firstLineChars="200" w:firstLine="480"/>
        <w:rPr>
          <w:rFonts w:eastAsiaTheme="minorEastAsia"/>
          <w:kern w:val="0"/>
          <w:sz w:val="24"/>
          <w:szCs w:val="21"/>
        </w:rPr>
      </w:pPr>
      <w:r w:rsidRPr="00F9522B">
        <w:rPr>
          <w:rFonts w:eastAsiaTheme="minorEastAsia"/>
          <w:kern w:val="0"/>
          <w:sz w:val="24"/>
          <w:szCs w:val="21"/>
        </w:rPr>
        <w:t>（</w:t>
      </w:r>
      <w:r w:rsidRPr="00F9522B">
        <w:rPr>
          <w:rFonts w:eastAsiaTheme="minorEastAsia"/>
          <w:kern w:val="0"/>
          <w:sz w:val="24"/>
          <w:szCs w:val="21"/>
        </w:rPr>
        <w:t>3</w:t>
      </w:r>
      <w:r w:rsidRPr="00F9522B">
        <w:rPr>
          <w:rFonts w:eastAsiaTheme="minorEastAsia"/>
          <w:kern w:val="0"/>
          <w:sz w:val="24"/>
          <w:szCs w:val="21"/>
        </w:rPr>
        <w:t>）资源利用上线</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根据《</w:t>
      </w:r>
      <w:r w:rsidR="003A7922" w:rsidRPr="00F9522B">
        <w:rPr>
          <w:rFonts w:eastAsiaTheme="minorEastAsia"/>
          <w:sz w:val="24"/>
        </w:rPr>
        <w:t>呼兰区</w:t>
      </w:r>
      <w:r w:rsidR="003A7922" w:rsidRPr="00F9522B">
        <w:rPr>
          <w:rFonts w:eastAsiaTheme="minorEastAsia"/>
          <w:sz w:val="24"/>
        </w:rPr>
        <w:t>2026</w:t>
      </w:r>
      <w:r w:rsidR="003A7922" w:rsidRPr="00F9522B">
        <w:rPr>
          <w:rFonts w:eastAsiaTheme="minorEastAsia"/>
          <w:sz w:val="24"/>
        </w:rPr>
        <w:t>年高标准农田建设项目</w:t>
      </w:r>
      <w:r w:rsidRPr="00F9522B">
        <w:rPr>
          <w:rFonts w:eastAsiaTheme="minorEastAsia"/>
          <w:sz w:val="24"/>
        </w:rPr>
        <w:t>生态环境分区管控分析报告》，本项目位于呼兰区地下水环境一般管控区，不位于地下水开采重点管控区（超载区）。本项目</w:t>
      </w:r>
      <w:r w:rsidRPr="00F9522B">
        <w:rPr>
          <w:rFonts w:eastAsiaTheme="minorEastAsia"/>
          <w:bCs/>
          <w:snapToGrid w:val="0"/>
          <w:kern w:val="0"/>
          <w:sz w:val="24"/>
        </w:rPr>
        <w:t>永久占地类型为</w:t>
      </w:r>
      <w:r w:rsidR="009555CD" w:rsidRPr="00F9522B">
        <w:rPr>
          <w:rFonts w:eastAsiaTheme="minorEastAsia"/>
          <w:bCs/>
          <w:snapToGrid w:val="0"/>
          <w:kern w:val="0"/>
          <w:sz w:val="24"/>
        </w:rPr>
        <w:t>草地、交通运输用地、水利设施用地、坑塘水面</w:t>
      </w:r>
      <w:r w:rsidRPr="00F9522B">
        <w:rPr>
          <w:rFonts w:eastAsiaTheme="minorEastAsia"/>
          <w:sz w:val="24"/>
        </w:rPr>
        <w:t>，临时占地为旱地、草地。临时占地待施工结束后进行土地复垦，恢复为原地类。本项目运营期排水沟仅在降水无法排出情况下采用柴油机移动泵车进行排水，使用时间较短。</w:t>
      </w:r>
    </w:p>
    <w:p w:rsidR="002A5A5E" w:rsidRPr="00F9522B" w:rsidRDefault="00891513">
      <w:pPr>
        <w:spacing w:line="360" w:lineRule="auto"/>
        <w:ind w:firstLineChars="200" w:firstLine="480"/>
        <w:rPr>
          <w:rFonts w:eastAsiaTheme="minorEastAsia"/>
          <w:bCs/>
          <w:sz w:val="24"/>
        </w:rPr>
      </w:pPr>
      <w:r w:rsidRPr="00F9522B">
        <w:rPr>
          <w:rFonts w:eastAsiaTheme="minorEastAsia"/>
          <w:bCs/>
          <w:sz w:val="24"/>
        </w:rPr>
        <w:t>大庆市润泽水利工程技术咨询有限责任公司于</w:t>
      </w:r>
      <w:r w:rsidRPr="00F9522B">
        <w:rPr>
          <w:rFonts w:eastAsiaTheme="minorEastAsia"/>
          <w:bCs/>
          <w:sz w:val="24"/>
        </w:rPr>
        <w:t>2026</w:t>
      </w:r>
      <w:r w:rsidRPr="00F9522B">
        <w:rPr>
          <w:rFonts w:eastAsiaTheme="minorEastAsia"/>
          <w:bCs/>
          <w:sz w:val="24"/>
        </w:rPr>
        <w:t>年</w:t>
      </w:r>
      <w:r w:rsidRPr="00F9522B">
        <w:rPr>
          <w:rFonts w:eastAsiaTheme="minorEastAsia"/>
          <w:bCs/>
          <w:sz w:val="24"/>
        </w:rPr>
        <w:t>1</w:t>
      </w:r>
      <w:r w:rsidRPr="00F9522B">
        <w:rPr>
          <w:rFonts w:eastAsiaTheme="minorEastAsia"/>
          <w:bCs/>
          <w:sz w:val="24"/>
        </w:rPr>
        <w:t>月编制的《呼兰区</w:t>
      </w:r>
      <w:r w:rsidRPr="00F9522B">
        <w:rPr>
          <w:rFonts w:eastAsiaTheme="minorEastAsia"/>
          <w:bCs/>
          <w:sz w:val="24"/>
        </w:rPr>
        <w:t>2026</w:t>
      </w:r>
      <w:r w:rsidRPr="00F9522B">
        <w:rPr>
          <w:rFonts w:eastAsiaTheme="minorEastAsia"/>
          <w:bCs/>
          <w:sz w:val="24"/>
        </w:rPr>
        <w:t>年高标准农田建设项目水资源论证报告书》已通过专家审查。</w:t>
      </w:r>
      <w:r w:rsidR="00611CBA" w:rsidRPr="00F9522B">
        <w:rPr>
          <w:rFonts w:eastAsiaTheme="minorEastAsia"/>
          <w:sz w:val="24"/>
        </w:rPr>
        <w:t>根据水资源论证报告书结论，项目范围呼兰区地下水可开采量为</w:t>
      </w:r>
      <w:r w:rsidR="00611CBA" w:rsidRPr="00F9522B">
        <w:rPr>
          <w:rFonts w:eastAsiaTheme="minorEastAsia"/>
          <w:sz w:val="24"/>
        </w:rPr>
        <w:t>22433×10</w:t>
      </w:r>
      <w:r w:rsidR="00611CBA" w:rsidRPr="00F9522B">
        <w:rPr>
          <w:rFonts w:eastAsiaTheme="minorEastAsia"/>
          <w:sz w:val="24"/>
          <w:vertAlign w:val="superscript"/>
        </w:rPr>
        <w:t>4</w:t>
      </w:r>
      <w:r w:rsidR="00611CBA" w:rsidRPr="00F9522B">
        <w:rPr>
          <w:rFonts w:eastAsiaTheme="minorEastAsia"/>
          <w:sz w:val="24"/>
        </w:rPr>
        <w:t>m</w:t>
      </w:r>
      <w:r w:rsidR="00611CBA" w:rsidRPr="00F9522B">
        <w:rPr>
          <w:rFonts w:eastAsiaTheme="minorEastAsia"/>
          <w:sz w:val="24"/>
          <w:vertAlign w:val="superscript"/>
        </w:rPr>
        <w:t>3</w:t>
      </w:r>
      <w:r w:rsidR="00611CBA" w:rsidRPr="00F9522B">
        <w:rPr>
          <w:rFonts w:eastAsiaTheme="minorEastAsia"/>
          <w:sz w:val="24"/>
        </w:rPr>
        <w:t>，现状年地下水用水量（含现状农民自打井取水）</w:t>
      </w:r>
      <w:r w:rsidR="00611CBA" w:rsidRPr="00F9522B">
        <w:rPr>
          <w:rFonts w:eastAsiaTheme="minorEastAsia"/>
          <w:sz w:val="24"/>
        </w:rPr>
        <w:t>8320×10</w:t>
      </w:r>
      <w:r w:rsidR="00611CBA" w:rsidRPr="00F9522B">
        <w:rPr>
          <w:rFonts w:eastAsiaTheme="minorEastAsia"/>
          <w:sz w:val="24"/>
          <w:vertAlign w:val="superscript"/>
        </w:rPr>
        <w:t>4</w:t>
      </w:r>
      <w:r w:rsidR="00611CBA" w:rsidRPr="00F9522B">
        <w:rPr>
          <w:rFonts w:eastAsiaTheme="minorEastAsia"/>
          <w:sz w:val="24"/>
        </w:rPr>
        <w:t>m</w:t>
      </w:r>
      <w:r w:rsidR="00611CBA" w:rsidRPr="00F9522B">
        <w:rPr>
          <w:rFonts w:eastAsiaTheme="minorEastAsia"/>
          <w:sz w:val="24"/>
          <w:vertAlign w:val="superscript"/>
        </w:rPr>
        <w:t>3</w:t>
      </w:r>
      <w:r w:rsidR="00611CBA" w:rsidRPr="00F9522B">
        <w:rPr>
          <w:rFonts w:eastAsiaTheme="minorEastAsia"/>
          <w:sz w:val="24"/>
        </w:rPr>
        <w:t>，开发利用程度为</w:t>
      </w:r>
      <w:r w:rsidR="00611CBA" w:rsidRPr="00F9522B">
        <w:rPr>
          <w:rFonts w:eastAsiaTheme="minorEastAsia"/>
          <w:sz w:val="24"/>
        </w:rPr>
        <w:t>37%</w:t>
      </w:r>
      <w:r w:rsidR="00611CBA" w:rsidRPr="00F9522B">
        <w:rPr>
          <w:rFonts w:eastAsiaTheme="minorEastAsia"/>
          <w:sz w:val="24"/>
        </w:rPr>
        <w:t>，地下水资源具备开发潜力。</w:t>
      </w:r>
    </w:p>
    <w:p w:rsidR="002A5A5E" w:rsidRPr="00F9522B" w:rsidRDefault="00772BB1">
      <w:pPr>
        <w:spacing w:line="360" w:lineRule="auto"/>
        <w:ind w:firstLineChars="200" w:firstLine="480"/>
        <w:rPr>
          <w:rFonts w:eastAsiaTheme="minorEastAsia"/>
          <w:sz w:val="24"/>
        </w:rPr>
      </w:pPr>
      <w:r w:rsidRPr="00F9522B">
        <w:rPr>
          <w:rFonts w:eastAsiaTheme="minorEastAsia"/>
          <w:sz w:val="24"/>
        </w:rPr>
        <w:t>根</w:t>
      </w:r>
      <w:r w:rsidR="00891513" w:rsidRPr="00F9522B">
        <w:rPr>
          <w:rFonts w:eastAsiaTheme="minorEastAsia"/>
          <w:sz w:val="24"/>
        </w:rPr>
        <w:t>据已批复《呼兰区</w:t>
      </w:r>
      <w:r w:rsidR="00891513" w:rsidRPr="00F9522B">
        <w:rPr>
          <w:rFonts w:eastAsiaTheme="minorEastAsia"/>
          <w:sz w:val="24"/>
        </w:rPr>
        <w:t>2026</w:t>
      </w:r>
      <w:r w:rsidR="00891513" w:rsidRPr="00F9522B">
        <w:rPr>
          <w:rFonts w:eastAsiaTheme="minorEastAsia"/>
          <w:sz w:val="24"/>
        </w:rPr>
        <w:t>年高标准农田建设项目水资源论证报告书》可知，论证区地下水可开采量为</w:t>
      </w:r>
      <w:r w:rsidR="00891513" w:rsidRPr="00F9522B">
        <w:rPr>
          <w:rFonts w:eastAsiaTheme="minorEastAsia"/>
          <w:sz w:val="24"/>
        </w:rPr>
        <w:t>1503.97</w:t>
      </w:r>
      <w:r w:rsidR="00891513" w:rsidRPr="00F9522B">
        <w:rPr>
          <w:rFonts w:eastAsiaTheme="minorEastAsia"/>
          <w:sz w:val="24"/>
        </w:rPr>
        <w:t>万</w:t>
      </w:r>
      <w:r w:rsidR="00891513" w:rsidRPr="00F9522B">
        <w:rPr>
          <w:rFonts w:eastAsiaTheme="minorEastAsia"/>
          <w:sz w:val="24"/>
        </w:rPr>
        <w:t>m³/a</w:t>
      </w:r>
      <w:r w:rsidR="00891513" w:rsidRPr="00F9522B">
        <w:rPr>
          <w:rFonts w:eastAsiaTheme="minorEastAsia"/>
          <w:sz w:val="24"/>
        </w:rPr>
        <w:t>。总补给量为</w:t>
      </w:r>
      <w:r w:rsidR="00891513" w:rsidRPr="00F9522B">
        <w:rPr>
          <w:rFonts w:eastAsiaTheme="minorEastAsia"/>
          <w:sz w:val="24"/>
        </w:rPr>
        <w:t>2506.61m³/a</w:t>
      </w:r>
      <w:r w:rsidR="00891513" w:rsidRPr="00F9522B">
        <w:rPr>
          <w:rFonts w:eastAsiaTheme="minorEastAsia"/>
          <w:sz w:val="24"/>
        </w:rPr>
        <w:t>。项目实施后，最大年取水量为</w:t>
      </w:r>
      <w:r w:rsidR="00891513" w:rsidRPr="00F9522B">
        <w:rPr>
          <w:rFonts w:eastAsiaTheme="minorEastAsia"/>
          <w:sz w:val="24"/>
        </w:rPr>
        <w:t>242.74</w:t>
      </w:r>
      <w:r w:rsidR="00891513" w:rsidRPr="00F9522B">
        <w:rPr>
          <w:rFonts w:eastAsiaTheme="minorEastAsia"/>
          <w:sz w:val="24"/>
        </w:rPr>
        <w:t>万</w:t>
      </w:r>
      <w:r w:rsidR="00891513" w:rsidRPr="00F9522B">
        <w:rPr>
          <w:rFonts w:eastAsiaTheme="minorEastAsia"/>
          <w:sz w:val="24"/>
        </w:rPr>
        <w:t>m</w:t>
      </w:r>
      <w:r w:rsidR="00891513" w:rsidRPr="00F9522B">
        <w:rPr>
          <w:rFonts w:eastAsiaTheme="minorEastAsia"/>
          <w:sz w:val="24"/>
          <w:vertAlign w:val="superscript"/>
        </w:rPr>
        <w:t>3</w:t>
      </w:r>
      <w:r w:rsidR="00891513" w:rsidRPr="00F9522B">
        <w:rPr>
          <w:rFonts w:eastAsiaTheme="minorEastAsia"/>
          <w:sz w:val="24"/>
        </w:rPr>
        <w:t>，占可开采量的</w:t>
      </w:r>
      <w:r w:rsidR="00891513" w:rsidRPr="00F9522B">
        <w:rPr>
          <w:rFonts w:eastAsiaTheme="minorEastAsia"/>
          <w:sz w:val="24"/>
        </w:rPr>
        <w:t>16.14%</w:t>
      </w:r>
      <w:r w:rsidR="00891513" w:rsidRPr="00F9522B">
        <w:rPr>
          <w:rFonts w:eastAsiaTheme="minorEastAsia"/>
          <w:sz w:val="24"/>
        </w:rPr>
        <w:t>，可以满足供水需求</w:t>
      </w:r>
      <w:r w:rsidR="00611CBA" w:rsidRPr="00F9522B">
        <w:rPr>
          <w:rFonts w:eastAsiaTheme="minorEastAsia"/>
          <w:sz w:val="24"/>
        </w:rPr>
        <w:t>。</w:t>
      </w:r>
      <w:r w:rsidR="00611CBA" w:rsidRPr="00F9522B">
        <w:rPr>
          <w:rFonts w:eastAsiaTheme="minorEastAsia"/>
          <w:sz w:val="24"/>
          <w:shd w:val="clear" w:color="auto" w:fill="FFFFFF"/>
        </w:rPr>
        <w:t>本项目</w:t>
      </w:r>
      <w:r w:rsidR="00611CBA" w:rsidRPr="00F9522B">
        <w:rPr>
          <w:rFonts w:eastAsiaTheme="minorEastAsia"/>
          <w:kern w:val="0"/>
          <w:sz w:val="24"/>
        </w:rPr>
        <w:t>设计灌溉保证率为</w:t>
      </w:r>
      <w:r w:rsidR="00611CBA" w:rsidRPr="00F9522B">
        <w:rPr>
          <w:rFonts w:eastAsiaTheme="minorEastAsia"/>
          <w:kern w:val="0"/>
          <w:sz w:val="24"/>
        </w:rPr>
        <w:t>90%</w:t>
      </w:r>
      <w:r w:rsidR="00611CBA" w:rsidRPr="00F9522B">
        <w:rPr>
          <w:rFonts w:eastAsiaTheme="minorEastAsia"/>
          <w:kern w:val="0"/>
          <w:sz w:val="24"/>
        </w:rPr>
        <w:t>，</w:t>
      </w:r>
      <w:r w:rsidR="00C44A54" w:rsidRPr="00F9522B">
        <w:rPr>
          <w:rFonts w:eastAsiaTheme="minorEastAsia"/>
          <w:kern w:val="0"/>
          <w:sz w:val="24"/>
        </w:rPr>
        <w:t>坐水种灌溉水利用系数</w:t>
      </w:r>
      <w:r w:rsidR="00C44A54" w:rsidRPr="00F9522B">
        <w:rPr>
          <w:rFonts w:eastAsiaTheme="minorEastAsia"/>
          <w:kern w:val="0"/>
          <w:sz w:val="24"/>
        </w:rPr>
        <w:t>0.9</w:t>
      </w:r>
      <w:r w:rsidR="00C44A54" w:rsidRPr="00F9522B">
        <w:rPr>
          <w:rFonts w:eastAsiaTheme="minorEastAsia"/>
          <w:kern w:val="0"/>
          <w:sz w:val="24"/>
        </w:rPr>
        <w:t>，滴灌灌溉水利用系数</w:t>
      </w:r>
      <w:r w:rsidR="00C44A54" w:rsidRPr="00F9522B">
        <w:rPr>
          <w:rFonts w:eastAsiaTheme="minorEastAsia"/>
          <w:kern w:val="0"/>
          <w:sz w:val="24"/>
        </w:rPr>
        <w:t>0.93</w:t>
      </w:r>
      <w:r w:rsidR="00611CBA" w:rsidRPr="00F9522B">
        <w:rPr>
          <w:rFonts w:eastAsiaTheme="minorEastAsia"/>
          <w:sz w:val="24"/>
        </w:rPr>
        <w:t>，并采取节水灌溉制度。因此取水是可靠的。且本项目已取得《关于</w:t>
      </w:r>
      <w:r w:rsidR="003A7922" w:rsidRPr="00F9522B">
        <w:rPr>
          <w:rFonts w:eastAsiaTheme="minorEastAsia"/>
          <w:sz w:val="24"/>
        </w:rPr>
        <w:t>呼兰区</w:t>
      </w:r>
      <w:r w:rsidR="003A7922" w:rsidRPr="00F9522B">
        <w:rPr>
          <w:rFonts w:eastAsiaTheme="minorEastAsia"/>
          <w:sz w:val="24"/>
        </w:rPr>
        <w:t>2026</w:t>
      </w:r>
      <w:r w:rsidR="003A7922" w:rsidRPr="00F9522B">
        <w:rPr>
          <w:rFonts w:eastAsiaTheme="minorEastAsia"/>
          <w:sz w:val="24"/>
        </w:rPr>
        <w:t>年高标准农田建设项目</w:t>
      </w:r>
      <w:r w:rsidR="00611CBA" w:rsidRPr="00F9522B">
        <w:rPr>
          <w:rFonts w:eastAsiaTheme="minorEastAsia"/>
          <w:sz w:val="24"/>
        </w:rPr>
        <w:t>取水许可申请的批复》（</w:t>
      </w:r>
      <w:r w:rsidR="00D302ED" w:rsidRPr="00F9522B">
        <w:rPr>
          <w:rFonts w:eastAsiaTheme="minorEastAsia"/>
          <w:sz w:val="24"/>
        </w:rPr>
        <w:t>哈呼水发〔</w:t>
      </w:r>
      <w:r w:rsidR="00D302ED" w:rsidRPr="00F9522B">
        <w:rPr>
          <w:rFonts w:eastAsiaTheme="minorEastAsia"/>
          <w:sz w:val="24"/>
        </w:rPr>
        <w:t>2026</w:t>
      </w:r>
      <w:r w:rsidR="00D302ED" w:rsidRPr="00F9522B">
        <w:rPr>
          <w:rFonts w:eastAsiaTheme="minorEastAsia"/>
          <w:sz w:val="24"/>
        </w:rPr>
        <w:t>〕</w:t>
      </w:r>
      <w:r w:rsidR="00D302ED" w:rsidRPr="00F9522B">
        <w:rPr>
          <w:rFonts w:eastAsiaTheme="minorEastAsia"/>
          <w:sz w:val="24"/>
        </w:rPr>
        <w:t>1</w:t>
      </w:r>
      <w:r w:rsidR="00D302ED" w:rsidRPr="00F9522B">
        <w:rPr>
          <w:rFonts w:eastAsiaTheme="minorEastAsia"/>
          <w:sz w:val="24"/>
        </w:rPr>
        <w:t>号</w:t>
      </w:r>
      <w:r w:rsidR="00611CBA" w:rsidRPr="00F9522B">
        <w:rPr>
          <w:rFonts w:eastAsiaTheme="minorEastAsia"/>
          <w:sz w:val="24"/>
        </w:rPr>
        <w:t>），见附件</w:t>
      </w:r>
      <w:r w:rsidR="00611CBA" w:rsidRPr="00F9522B">
        <w:rPr>
          <w:rFonts w:eastAsiaTheme="minorEastAsia"/>
          <w:sz w:val="24"/>
        </w:rPr>
        <w:t>5</w:t>
      </w:r>
      <w:r w:rsidR="00611CBA" w:rsidRPr="00F9522B">
        <w:rPr>
          <w:rFonts w:eastAsiaTheme="minorEastAsia"/>
          <w:sz w:val="24"/>
        </w:rPr>
        <w:t>。综上，本项目符合哈尔滨市能源、水资源、土地资源等资源利用上线要求。</w:t>
      </w:r>
    </w:p>
    <w:p w:rsidR="002A5A5E" w:rsidRPr="00F9522B" w:rsidRDefault="00611CBA">
      <w:pPr>
        <w:spacing w:line="360" w:lineRule="auto"/>
        <w:ind w:firstLineChars="200" w:firstLine="480"/>
        <w:rPr>
          <w:rFonts w:eastAsiaTheme="minorEastAsia"/>
          <w:kern w:val="0"/>
          <w:sz w:val="24"/>
          <w:szCs w:val="21"/>
        </w:rPr>
      </w:pPr>
      <w:r w:rsidRPr="00F9522B">
        <w:rPr>
          <w:rFonts w:eastAsiaTheme="minorEastAsia"/>
          <w:kern w:val="0"/>
          <w:sz w:val="24"/>
          <w:szCs w:val="21"/>
        </w:rPr>
        <w:t>（</w:t>
      </w:r>
      <w:r w:rsidRPr="00F9522B">
        <w:rPr>
          <w:rFonts w:eastAsiaTheme="minorEastAsia"/>
          <w:kern w:val="0"/>
          <w:sz w:val="24"/>
          <w:szCs w:val="21"/>
        </w:rPr>
        <w:t>4</w:t>
      </w:r>
      <w:r w:rsidRPr="00F9522B">
        <w:rPr>
          <w:rFonts w:eastAsiaTheme="minorEastAsia"/>
          <w:kern w:val="0"/>
          <w:sz w:val="24"/>
          <w:szCs w:val="21"/>
        </w:rPr>
        <w:t>）</w:t>
      </w:r>
      <w:r w:rsidRPr="00F9522B">
        <w:rPr>
          <w:rFonts w:eastAsiaTheme="minorEastAsia"/>
          <w:bCs/>
          <w:sz w:val="24"/>
        </w:rPr>
        <w:t>生态环境准入清单</w:t>
      </w:r>
    </w:p>
    <w:p w:rsidR="002A5A5E" w:rsidRPr="00F9522B" w:rsidRDefault="00611CBA">
      <w:pPr>
        <w:autoSpaceDE w:val="0"/>
        <w:autoSpaceDN w:val="0"/>
        <w:spacing w:line="360" w:lineRule="auto"/>
        <w:ind w:firstLineChars="200" w:firstLine="480"/>
        <w:jc w:val="left"/>
        <w:rPr>
          <w:rFonts w:eastAsiaTheme="minorEastAsia"/>
          <w:sz w:val="24"/>
        </w:rPr>
      </w:pPr>
      <w:r w:rsidRPr="00F9522B">
        <w:rPr>
          <w:rFonts w:eastAsiaTheme="minorEastAsia"/>
          <w:sz w:val="24"/>
        </w:rPr>
        <w:t>本项目与</w:t>
      </w:r>
      <w:r w:rsidRPr="00F9522B">
        <w:rPr>
          <w:rFonts w:eastAsiaTheme="minorEastAsia"/>
          <w:bCs/>
          <w:sz w:val="24"/>
        </w:rPr>
        <w:t>生态环境准入清单管控要求</w:t>
      </w:r>
      <w:r w:rsidRPr="00F9522B">
        <w:rPr>
          <w:rFonts w:eastAsiaTheme="minorEastAsia"/>
          <w:sz w:val="24"/>
        </w:rPr>
        <w:t>符合性分析见表</w:t>
      </w:r>
      <w:r w:rsidRPr="00F9522B">
        <w:rPr>
          <w:rFonts w:eastAsiaTheme="minorEastAsia"/>
          <w:sz w:val="24"/>
        </w:rPr>
        <w:t>1-4-4</w:t>
      </w:r>
      <w:r w:rsidRPr="00F9522B">
        <w:rPr>
          <w:rFonts w:eastAsiaTheme="minorEastAsia"/>
          <w:sz w:val="24"/>
        </w:rPr>
        <w:t>。</w:t>
      </w:r>
    </w:p>
    <w:p w:rsidR="002A5A5E" w:rsidRPr="00F9522B" w:rsidRDefault="005273A1">
      <w:pPr>
        <w:autoSpaceDE w:val="0"/>
        <w:autoSpaceDN w:val="0"/>
        <w:spacing w:line="360" w:lineRule="auto"/>
        <w:ind w:firstLineChars="200" w:firstLine="480"/>
        <w:jc w:val="left"/>
        <w:rPr>
          <w:rFonts w:eastAsiaTheme="minorEastAsia"/>
          <w:bCs/>
          <w:sz w:val="24"/>
        </w:rPr>
      </w:pPr>
      <w:r w:rsidRPr="00F9522B">
        <w:rPr>
          <w:rFonts w:eastAsiaTheme="minorEastAsia"/>
          <w:bCs/>
          <w:sz w:val="24"/>
        </w:rPr>
        <w:fldChar w:fldCharType="begin"/>
      </w:r>
      <w:r w:rsidR="00611CBA" w:rsidRPr="00F9522B">
        <w:rPr>
          <w:rFonts w:eastAsiaTheme="minorEastAsia"/>
          <w:bCs/>
          <w:sz w:val="24"/>
        </w:rPr>
        <w:instrText xml:space="preserve"> = 1 \* GB3 </w:instrText>
      </w:r>
      <w:r w:rsidRPr="00F9522B">
        <w:rPr>
          <w:rFonts w:eastAsiaTheme="minorEastAsia"/>
          <w:bCs/>
          <w:sz w:val="24"/>
        </w:rPr>
        <w:fldChar w:fldCharType="separate"/>
      </w:r>
      <w:r w:rsidR="00611CBA" w:rsidRPr="00F9522B">
        <w:rPr>
          <w:rFonts w:ascii="宋体" w:hAnsi="宋体" w:cs="宋体" w:hint="eastAsia"/>
          <w:bCs/>
          <w:sz w:val="24"/>
        </w:rPr>
        <w:t>①</w:t>
      </w:r>
      <w:r w:rsidRPr="00F9522B">
        <w:rPr>
          <w:rFonts w:eastAsiaTheme="minorEastAsia"/>
          <w:bCs/>
          <w:sz w:val="24"/>
        </w:rPr>
        <w:fldChar w:fldCharType="end"/>
      </w:r>
      <w:r w:rsidR="00611CBA" w:rsidRPr="00F9522B">
        <w:rPr>
          <w:rFonts w:eastAsiaTheme="minorEastAsia"/>
          <w:bCs/>
          <w:sz w:val="24"/>
        </w:rPr>
        <w:t>一图</w:t>
      </w:r>
    </w:p>
    <w:p w:rsidR="002A5A5E" w:rsidRPr="00F9522B" w:rsidRDefault="00611CBA">
      <w:pPr>
        <w:autoSpaceDE w:val="0"/>
        <w:autoSpaceDN w:val="0"/>
        <w:spacing w:line="360" w:lineRule="auto"/>
        <w:ind w:firstLineChars="200" w:firstLine="480"/>
        <w:jc w:val="left"/>
        <w:rPr>
          <w:rFonts w:eastAsiaTheme="minorEastAsia"/>
          <w:bCs/>
          <w:sz w:val="24"/>
        </w:rPr>
      </w:pPr>
      <w:r w:rsidRPr="00F9522B">
        <w:rPr>
          <w:rFonts w:eastAsiaTheme="minorEastAsia"/>
          <w:bCs/>
          <w:sz w:val="24"/>
        </w:rPr>
        <w:t>根据《</w:t>
      </w:r>
      <w:r w:rsidR="003A7922" w:rsidRPr="00F9522B">
        <w:rPr>
          <w:rFonts w:eastAsiaTheme="minorEastAsia"/>
          <w:sz w:val="24"/>
        </w:rPr>
        <w:t>呼兰区</w:t>
      </w:r>
      <w:r w:rsidR="003A7922" w:rsidRPr="00F9522B">
        <w:rPr>
          <w:rFonts w:eastAsiaTheme="minorEastAsia"/>
          <w:sz w:val="24"/>
        </w:rPr>
        <w:t>2026</w:t>
      </w:r>
      <w:r w:rsidR="003A7922" w:rsidRPr="00F9522B">
        <w:rPr>
          <w:rFonts w:eastAsiaTheme="minorEastAsia"/>
          <w:sz w:val="24"/>
        </w:rPr>
        <w:t>年高标准农田建设项目</w:t>
      </w:r>
      <w:r w:rsidRPr="00F9522B">
        <w:rPr>
          <w:rFonts w:eastAsiaTheme="minorEastAsia"/>
          <w:bCs/>
          <w:sz w:val="24"/>
        </w:rPr>
        <w:t>生态环境分区管控分析报告》，本项目与环境管控单元叠加图见附件</w:t>
      </w:r>
      <w:r w:rsidRPr="00F9522B">
        <w:rPr>
          <w:rFonts w:eastAsiaTheme="minorEastAsia"/>
          <w:bCs/>
          <w:sz w:val="24"/>
        </w:rPr>
        <w:t>6</w:t>
      </w:r>
      <w:r w:rsidRPr="00F9522B">
        <w:rPr>
          <w:rFonts w:eastAsiaTheme="minorEastAsia"/>
          <w:bCs/>
          <w:sz w:val="24"/>
        </w:rPr>
        <w:t>。</w:t>
      </w:r>
    </w:p>
    <w:p w:rsidR="002A5A5E" w:rsidRPr="00F9522B" w:rsidRDefault="005273A1">
      <w:pPr>
        <w:autoSpaceDE w:val="0"/>
        <w:autoSpaceDN w:val="0"/>
        <w:spacing w:line="360" w:lineRule="auto"/>
        <w:ind w:firstLineChars="200" w:firstLine="480"/>
        <w:jc w:val="left"/>
        <w:rPr>
          <w:rFonts w:eastAsiaTheme="minorEastAsia"/>
          <w:bCs/>
          <w:sz w:val="24"/>
        </w:rPr>
      </w:pPr>
      <w:r w:rsidRPr="00F9522B">
        <w:rPr>
          <w:rFonts w:eastAsiaTheme="minorEastAsia"/>
          <w:bCs/>
          <w:sz w:val="24"/>
        </w:rPr>
        <w:fldChar w:fldCharType="begin"/>
      </w:r>
      <w:r w:rsidR="00611CBA" w:rsidRPr="00F9522B">
        <w:rPr>
          <w:rFonts w:eastAsiaTheme="minorEastAsia"/>
          <w:bCs/>
          <w:sz w:val="24"/>
        </w:rPr>
        <w:instrText xml:space="preserve"> = 2 \* GB3 </w:instrText>
      </w:r>
      <w:r w:rsidRPr="00F9522B">
        <w:rPr>
          <w:rFonts w:eastAsiaTheme="minorEastAsia"/>
          <w:bCs/>
          <w:sz w:val="24"/>
        </w:rPr>
        <w:fldChar w:fldCharType="separate"/>
      </w:r>
      <w:r w:rsidR="00611CBA" w:rsidRPr="00F9522B">
        <w:rPr>
          <w:rFonts w:ascii="宋体" w:hAnsi="宋体" w:cs="宋体" w:hint="eastAsia"/>
          <w:bCs/>
          <w:sz w:val="24"/>
        </w:rPr>
        <w:t>②</w:t>
      </w:r>
      <w:r w:rsidRPr="00F9522B">
        <w:rPr>
          <w:rFonts w:eastAsiaTheme="minorEastAsia"/>
          <w:bCs/>
          <w:sz w:val="24"/>
        </w:rPr>
        <w:fldChar w:fldCharType="end"/>
      </w:r>
      <w:r w:rsidR="00611CBA" w:rsidRPr="00F9522B">
        <w:rPr>
          <w:rFonts w:eastAsiaTheme="minorEastAsia"/>
          <w:bCs/>
          <w:sz w:val="24"/>
        </w:rPr>
        <w:t>一表</w:t>
      </w:r>
    </w:p>
    <w:p w:rsidR="002A5A5E" w:rsidRPr="00F9522B" w:rsidRDefault="00611CBA">
      <w:pPr>
        <w:autoSpaceDE w:val="0"/>
        <w:autoSpaceDN w:val="0"/>
        <w:spacing w:line="360" w:lineRule="auto"/>
        <w:ind w:firstLineChars="200" w:firstLine="480"/>
        <w:jc w:val="left"/>
        <w:rPr>
          <w:rFonts w:eastAsiaTheme="minorEastAsia"/>
          <w:bCs/>
          <w:sz w:val="24"/>
        </w:rPr>
      </w:pPr>
      <w:r w:rsidRPr="00F9522B">
        <w:rPr>
          <w:rFonts w:eastAsiaTheme="minorEastAsia"/>
          <w:bCs/>
          <w:sz w:val="24"/>
        </w:rPr>
        <w:t>根据《</w:t>
      </w:r>
      <w:r w:rsidR="003A7922" w:rsidRPr="00F9522B">
        <w:rPr>
          <w:rFonts w:eastAsiaTheme="minorEastAsia"/>
          <w:sz w:val="24"/>
        </w:rPr>
        <w:t>呼兰区</w:t>
      </w:r>
      <w:r w:rsidR="003A7922" w:rsidRPr="00F9522B">
        <w:rPr>
          <w:rFonts w:eastAsiaTheme="minorEastAsia"/>
          <w:sz w:val="24"/>
        </w:rPr>
        <w:t>2026</w:t>
      </w:r>
      <w:r w:rsidR="003A7922" w:rsidRPr="00F9522B">
        <w:rPr>
          <w:rFonts w:eastAsiaTheme="minorEastAsia"/>
          <w:sz w:val="24"/>
        </w:rPr>
        <w:t>年高标准农田建设项目</w:t>
      </w:r>
      <w:r w:rsidRPr="00F9522B">
        <w:rPr>
          <w:rFonts w:eastAsiaTheme="minorEastAsia"/>
          <w:bCs/>
          <w:sz w:val="24"/>
        </w:rPr>
        <w:t>生态环境分区管控分析报告》可知，本项目与环境管控单元符合性分析：</w:t>
      </w:r>
    </w:p>
    <w:p w:rsidR="00346EF4" w:rsidRPr="00F9522B" w:rsidRDefault="00346EF4">
      <w:pPr>
        <w:contextualSpacing/>
        <w:jc w:val="center"/>
        <w:rPr>
          <w:rFonts w:eastAsiaTheme="minorEastAsia"/>
          <w:b/>
          <w:szCs w:val="21"/>
          <w:lang w:val="zh-CN"/>
        </w:rPr>
      </w:pPr>
    </w:p>
    <w:p w:rsidR="00346EF4" w:rsidRPr="00F9522B" w:rsidRDefault="00346EF4">
      <w:pPr>
        <w:contextualSpacing/>
        <w:jc w:val="center"/>
        <w:rPr>
          <w:rFonts w:eastAsiaTheme="minorEastAsia"/>
          <w:b/>
          <w:szCs w:val="21"/>
          <w:lang w:val="zh-CN"/>
        </w:rPr>
      </w:pPr>
    </w:p>
    <w:p w:rsidR="002A5A5E" w:rsidRPr="00F9522B" w:rsidRDefault="00611CBA">
      <w:pPr>
        <w:contextualSpacing/>
        <w:jc w:val="center"/>
        <w:rPr>
          <w:rFonts w:eastAsiaTheme="minorEastAsia"/>
          <w:b/>
          <w:szCs w:val="21"/>
          <w:lang w:val="zh-CN"/>
        </w:rPr>
      </w:pPr>
      <w:r w:rsidRPr="00F9522B">
        <w:rPr>
          <w:rFonts w:eastAsiaTheme="minorEastAsia"/>
          <w:b/>
          <w:szCs w:val="21"/>
          <w:lang w:val="zh-CN"/>
        </w:rPr>
        <w:lastRenderedPageBreak/>
        <w:t>表</w:t>
      </w:r>
      <w:r w:rsidRPr="00F9522B">
        <w:rPr>
          <w:rFonts w:eastAsiaTheme="minorEastAsia"/>
          <w:b/>
          <w:szCs w:val="21"/>
          <w:lang w:val="zh-CN"/>
        </w:rPr>
        <w:t>1-4-4</w:t>
      </w:r>
      <w:r w:rsidRPr="00F9522B">
        <w:rPr>
          <w:rFonts w:eastAsiaTheme="minorEastAsia"/>
          <w:b/>
          <w:bCs/>
          <w:szCs w:val="21"/>
        </w:rPr>
        <w:t>生态环境准入清单管控</w:t>
      </w:r>
      <w:r w:rsidRPr="00F9522B">
        <w:rPr>
          <w:rFonts w:eastAsiaTheme="minorEastAsia"/>
          <w:b/>
          <w:szCs w:val="21"/>
          <w:lang w:val="zh-CN"/>
        </w:rPr>
        <w:t>要求符合性分析</w:t>
      </w:r>
    </w:p>
    <w:tbl>
      <w:tblPr>
        <w:tblW w:w="8435" w:type="dxa"/>
        <w:tblInd w:w="5" w:type="dxa"/>
        <w:tblBorders>
          <w:top w:val="single" w:sz="12" w:space="0" w:color="auto"/>
          <w:bottom w:val="single" w:sz="12" w:space="0" w:color="auto"/>
          <w:insideH w:val="single" w:sz="4" w:space="0" w:color="auto"/>
          <w:insideV w:val="single" w:sz="4" w:space="0" w:color="auto"/>
        </w:tblBorders>
        <w:tblLayout w:type="fixed"/>
        <w:tblLook w:val="04A0"/>
      </w:tblPr>
      <w:tblGrid>
        <w:gridCol w:w="668"/>
        <w:gridCol w:w="706"/>
        <w:gridCol w:w="714"/>
        <w:gridCol w:w="5103"/>
        <w:gridCol w:w="1244"/>
      </w:tblGrid>
      <w:tr w:rsidR="002A5A5E" w:rsidRPr="00F9522B">
        <w:trPr>
          <w:trHeight w:val="166"/>
        </w:trPr>
        <w:tc>
          <w:tcPr>
            <w:tcW w:w="668" w:type="dxa"/>
            <w:vAlign w:val="center"/>
          </w:tcPr>
          <w:p w:rsidR="002A5A5E" w:rsidRPr="00F9522B" w:rsidRDefault="00611CBA">
            <w:pPr>
              <w:widowControl/>
              <w:spacing w:line="0" w:lineRule="atLeast"/>
              <w:contextualSpacing/>
              <w:jc w:val="center"/>
              <w:rPr>
                <w:rFonts w:eastAsiaTheme="minorEastAsia"/>
                <w:kern w:val="0"/>
                <w:szCs w:val="21"/>
              </w:rPr>
            </w:pPr>
            <w:r w:rsidRPr="00F9522B">
              <w:rPr>
                <w:rFonts w:eastAsiaTheme="minorEastAsia"/>
                <w:kern w:val="0"/>
                <w:szCs w:val="21"/>
              </w:rPr>
              <w:t>环境管控单元编码</w:t>
            </w:r>
          </w:p>
        </w:tc>
        <w:tc>
          <w:tcPr>
            <w:tcW w:w="706" w:type="dxa"/>
            <w:vAlign w:val="center"/>
          </w:tcPr>
          <w:p w:rsidR="002A5A5E" w:rsidRPr="00F9522B" w:rsidRDefault="00611CBA">
            <w:pPr>
              <w:widowControl/>
              <w:spacing w:line="0" w:lineRule="atLeast"/>
              <w:contextualSpacing/>
              <w:jc w:val="center"/>
              <w:rPr>
                <w:rFonts w:eastAsiaTheme="minorEastAsia"/>
                <w:kern w:val="0"/>
                <w:szCs w:val="21"/>
              </w:rPr>
            </w:pPr>
            <w:r w:rsidRPr="00F9522B">
              <w:rPr>
                <w:rFonts w:eastAsiaTheme="minorEastAsia"/>
                <w:kern w:val="0"/>
                <w:szCs w:val="21"/>
              </w:rPr>
              <w:t>环境管控单元名称</w:t>
            </w:r>
          </w:p>
        </w:tc>
        <w:tc>
          <w:tcPr>
            <w:tcW w:w="714" w:type="dxa"/>
            <w:vAlign w:val="center"/>
          </w:tcPr>
          <w:p w:rsidR="002A5A5E" w:rsidRPr="00F9522B" w:rsidRDefault="00611CBA">
            <w:pPr>
              <w:spacing w:line="0" w:lineRule="atLeast"/>
              <w:contextualSpacing/>
              <w:jc w:val="center"/>
              <w:rPr>
                <w:rFonts w:eastAsiaTheme="minorEastAsia"/>
                <w:spacing w:val="-3"/>
                <w:kern w:val="0"/>
                <w:szCs w:val="21"/>
                <w:lang w:val="zh-CN" w:bidi="zh-CN"/>
              </w:rPr>
            </w:pPr>
            <w:r w:rsidRPr="00F9522B">
              <w:rPr>
                <w:rFonts w:eastAsiaTheme="minorEastAsia"/>
                <w:szCs w:val="21"/>
              </w:rPr>
              <w:t>管控单元类别</w:t>
            </w:r>
          </w:p>
        </w:tc>
        <w:tc>
          <w:tcPr>
            <w:tcW w:w="5103" w:type="dxa"/>
            <w:vAlign w:val="center"/>
          </w:tcPr>
          <w:p w:rsidR="002A5A5E" w:rsidRPr="00F9522B" w:rsidRDefault="00611CBA">
            <w:pPr>
              <w:spacing w:line="0" w:lineRule="atLeast"/>
              <w:contextualSpacing/>
              <w:jc w:val="center"/>
              <w:rPr>
                <w:rFonts w:eastAsiaTheme="minorEastAsia"/>
                <w:spacing w:val="-3"/>
                <w:kern w:val="0"/>
                <w:szCs w:val="21"/>
                <w:lang w:val="zh-CN" w:bidi="zh-CN"/>
              </w:rPr>
            </w:pPr>
            <w:r w:rsidRPr="00F9522B">
              <w:rPr>
                <w:rFonts w:eastAsiaTheme="minorEastAsia"/>
                <w:spacing w:val="-3"/>
                <w:kern w:val="0"/>
                <w:szCs w:val="21"/>
                <w:lang w:bidi="zh-CN"/>
              </w:rPr>
              <w:t>管控要求</w:t>
            </w:r>
          </w:p>
        </w:tc>
        <w:tc>
          <w:tcPr>
            <w:tcW w:w="1244" w:type="dxa"/>
            <w:vAlign w:val="center"/>
          </w:tcPr>
          <w:p w:rsidR="002A5A5E" w:rsidRPr="00F9522B" w:rsidRDefault="00611CBA">
            <w:pPr>
              <w:spacing w:line="0" w:lineRule="atLeast"/>
              <w:contextualSpacing/>
              <w:jc w:val="center"/>
              <w:rPr>
                <w:rFonts w:eastAsiaTheme="minorEastAsia"/>
                <w:spacing w:val="-3"/>
                <w:kern w:val="0"/>
                <w:szCs w:val="21"/>
                <w:lang w:val="zh-CN" w:bidi="zh-CN"/>
              </w:rPr>
            </w:pPr>
            <w:r w:rsidRPr="00F9522B">
              <w:rPr>
                <w:rFonts w:eastAsiaTheme="minorEastAsia"/>
                <w:spacing w:val="-3"/>
                <w:kern w:val="0"/>
                <w:szCs w:val="21"/>
                <w:lang w:bidi="zh-CN"/>
              </w:rPr>
              <w:t>符合性分析</w:t>
            </w:r>
          </w:p>
        </w:tc>
      </w:tr>
      <w:tr w:rsidR="002A5A5E" w:rsidRPr="00F9522B">
        <w:trPr>
          <w:trHeight w:val="70"/>
        </w:trPr>
        <w:tc>
          <w:tcPr>
            <w:tcW w:w="668" w:type="dxa"/>
            <w:vAlign w:val="center"/>
          </w:tcPr>
          <w:p w:rsidR="002A5A5E" w:rsidRPr="00F9522B" w:rsidRDefault="00611CBA">
            <w:pPr>
              <w:widowControl/>
              <w:spacing w:line="0" w:lineRule="atLeast"/>
              <w:contextualSpacing/>
              <w:jc w:val="center"/>
              <w:rPr>
                <w:rFonts w:eastAsiaTheme="minorEastAsia"/>
                <w:kern w:val="0"/>
                <w:szCs w:val="21"/>
              </w:rPr>
            </w:pPr>
            <w:r w:rsidRPr="00F9522B">
              <w:rPr>
                <w:rFonts w:eastAsiaTheme="minorEastAsia"/>
                <w:kern w:val="0"/>
                <w:szCs w:val="21"/>
              </w:rPr>
              <w:t>ZH23011110002</w:t>
            </w:r>
          </w:p>
        </w:tc>
        <w:tc>
          <w:tcPr>
            <w:tcW w:w="706" w:type="dxa"/>
            <w:vAlign w:val="center"/>
          </w:tcPr>
          <w:p w:rsidR="002A5A5E" w:rsidRPr="00F9522B" w:rsidRDefault="00611CBA">
            <w:pPr>
              <w:widowControl/>
              <w:spacing w:line="0" w:lineRule="atLeast"/>
              <w:contextualSpacing/>
              <w:jc w:val="center"/>
              <w:rPr>
                <w:rFonts w:eastAsiaTheme="minorEastAsia"/>
                <w:kern w:val="0"/>
                <w:szCs w:val="21"/>
              </w:rPr>
            </w:pPr>
            <w:r w:rsidRPr="00F9522B">
              <w:rPr>
                <w:rFonts w:eastAsiaTheme="minorEastAsia"/>
                <w:kern w:val="0"/>
                <w:szCs w:val="21"/>
              </w:rPr>
              <w:t>呼兰区一般生态空间</w:t>
            </w:r>
          </w:p>
        </w:tc>
        <w:tc>
          <w:tcPr>
            <w:tcW w:w="714" w:type="dxa"/>
            <w:vAlign w:val="center"/>
          </w:tcPr>
          <w:p w:rsidR="002A5A5E" w:rsidRPr="00F9522B" w:rsidRDefault="00611CBA">
            <w:pPr>
              <w:jc w:val="center"/>
              <w:rPr>
                <w:rFonts w:eastAsiaTheme="minorEastAsia"/>
                <w:kern w:val="0"/>
                <w:szCs w:val="21"/>
              </w:rPr>
            </w:pPr>
            <w:r w:rsidRPr="00F9522B">
              <w:rPr>
                <w:rFonts w:eastAsiaTheme="minorEastAsia"/>
                <w:kern w:val="0"/>
                <w:szCs w:val="21"/>
              </w:rPr>
              <w:t>优先保护单元</w:t>
            </w:r>
          </w:p>
        </w:tc>
        <w:tc>
          <w:tcPr>
            <w:tcW w:w="5103" w:type="dxa"/>
            <w:vAlign w:val="center"/>
          </w:tcPr>
          <w:p w:rsidR="002A5A5E" w:rsidRPr="00F9522B" w:rsidRDefault="00611CBA">
            <w:pPr>
              <w:autoSpaceDE w:val="0"/>
              <w:autoSpaceDN w:val="0"/>
              <w:spacing w:before="1" w:line="242" w:lineRule="auto"/>
              <w:ind w:right="92"/>
              <w:jc w:val="left"/>
              <w:rPr>
                <w:rFonts w:eastAsiaTheme="minorEastAsia"/>
                <w:kern w:val="0"/>
                <w:sz w:val="24"/>
              </w:rPr>
            </w:pPr>
            <w:r w:rsidRPr="00F9522B">
              <w:rPr>
                <w:rFonts w:eastAsiaTheme="minorEastAsia"/>
                <w:kern w:val="0"/>
                <w:szCs w:val="21"/>
                <w:lang w:bidi="zh-CN"/>
              </w:rPr>
              <w:t>1.</w:t>
            </w:r>
            <w:r w:rsidRPr="00F9522B">
              <w:rPr>
                <w:rFonts w:eastAsiaTheme="minorEastAsia"/>
                <w:kern w:val="0"/>
                <w:szCs w:val="21"/>
                <w:lang w:bidi="zh-CN"/>
              </w:rPr>
              <w:t>原则上按限制开发区域的要求进行管理。严格限制与生态功能不一致的开发建设活动。符合区域准入条件的新增建设项目，涉及占用生态空间中的林地、草原等，按有关法律法规规定办理；涉及占用生态空间中其他未作明确规定的用地，应当加强论证和管理。符合条件的农业开发项目，须依法由市县级及以上地方人民政府统筹安排。除符合国家生态退耕条件的耕地，并纳入国家生态退耕总体安排，或因国家重大生态工程建设需要外，不得随意转用。</w:t>
            </w:r>
            <w:r w:rsidRPr="00F9522B">
              <w:rPr>
                <w:rFonts w:eastAsiaTheme="minorEastAsia"/>
                <w:kern w:val="0"/>
                <w:szCs w:val="21"/>
                <w:lang w:bidi="zh-CN"/>
              </w:rPr>
              <w:t>2.</w:t>
            </w:r>
            <w:r w:rsidRPr="00F9522B">
              <w:rPr>
                <w:rFonts w:eastAsiaTheme="minorEastAsia"/>
                <w:kern w:val="0"/>
                <w:szCs w:val="21"/>
                <w:lang w:bidi="zh-CN"/>
              </w:rPr>
              <w:t>对依法保护的生态空间实行承载力控制，防止过度垦殖、放牧、采伐、取水、渔猎、旅游等对生态功能造成损害，确保自然生态系统的稳定。</w:t>
            </w:r>
            <w:r w:rsidRPr="00F9522B">
              <w:rPr>
                <w:rFonts w:eastAsiaTheme="minorEastAsia"/>
                <w:kern w:val="0"/>
                <w:szCs w:val="21"/>
                <w:lang w:bidi="zh-CN"/>
              </w:rPr>
              <w:t>3.</w:t>
            </w:r>
            <w:r w:rsidRPr="00F9522B">
              <w:rPr>
                <w:rFonts w:eastAsiaTheme="minorEastAsia"/>
                <w:kern w:val="0"/>
                <w:szCs w:val="21"/>
              </w:rPr>
              <w:t>避免开发建设活动损害其生态服务功能和生态产品质量。</w:t>
            </w:r>
            <w:r w:rsidRPr="00F9522B">
              <w:rPr>
                <w:rFonts w:eastAsiaTheme="minorEastAsia"/>
                <w:kern w:val="0"/>
                <w:szCs w:val="21"/>
              </w:rPr>
              <w:t>4</w:t>
            </w:r>
            <w:r w:rsidRPr="00F9522B">
              <w:rPr>
                <w:rFonts w:eastAsiaTheme="minorEastAsia"/>
                <w:kern w:val="0"/>
                <w:szCs w:val="21"/>
                <w:lang w:bidi="zh-CN"/>
              </w:rPr>
              <w:t>.</w:t>
            </w:r>
            <w:r w:rsidRPr="00F9522B">
              <w:rPr>
                <w:rFonts w:eastAsiaTheme="minorEastAsia"/>
                <w:kern w:val="0"/>
                <w:szCs w:val="21"/>
              </w:rPr>
              <w:t>已经侵占生态空间的，应建立退出机制、制定治理方案及时间表。</w:t>
            </w:r>
            <w:r w:rsidRPr="00F9522B">
              <w:rPr>
                <w:rFonts w:eastAsiaTheme="minorEastAsia"/>
                <w:kern w:val="0"/>
                <w:szCs w:val="21"/>
              </w:rPr>
              <w:t>5.</w:t>
            </w:r>
            <w:r w:rsidRPr="00F9522B">
              <w:rPr>
                <w:rFonts w:eastAsiaTheme="minorEastAsia"/>
                <w:kern w:val="0"/>
                <w:szCs w:val="21"/>
              </w:rPr>
              <w:t>饮用水地下水源各级保护区及准保护区内均必须遵守下列规定：禁止利用渗坑、渗井、裂隙、溶洞等排放污水和其它有害废弃物；禁止利用透水层孔隙、裂隙、溶洞及废弃矿坑储存石油、天然气、放射性物质、有毒有害化工原料、农药等；实行人工回灌地下水时不得污染当地地下水源。</w:t>
            </w:r>
            <w:r w:rsidRPr="00F9522B">
              <w:rPr>
                <w:rFonts w:eastAsiaTheme="minorEastAsia"/>
                <w:szCs w:val="21"/>
              </w:rPr>
              <w:t>（</w:t>
            </w:r>
            <w:r w:rsidRPr="00F9522B">
              <w:rPr>
                <w:rFonts w:eastAsiaTheme="minorEastAsia"/>
                <w:szCs w:val="21"/>
              </w:rPr>
              <w:t>1</w:t>
            </w:r>
            <w:r w:rsidRPr="00F9522B">
              <w:rPr>
                <w:rFonts w:eastAsiaTheme="minorEastAsia"/>
                <w:szCs w:val="21"/>
              </w:rPr>
              <w:t>）一级保护区内：禁止建设与取水设施无关的建筑物；禁止从事农牧业活动；禁止倾</w:t>
            </w:r>
            <w:r w:rsidRPr="00F9522B">
              <w:rPr>
                <w:rFonts w:eastAsiaTheme="minorEastAsia"/>
                <w:kern w:val="0"/>
                <w:szCs w:val="21"/>
              </w:rPr>
              <w:t>倒、堆放工业废渣及城市垃圾、粪便和其它有害废弃物；禁止输送污水的渠道、管道及输油管道通过本区；禁止建设油库；禁止建立墓地。（</w:t>
            </w:r>
            <w:r w:rsidRPr="00F9522B">
              <w:rPr>
                <w:rFonts w:eastAsiaTheme="minorEastAsia"/>
                <w:kern w:val="0"/>
                <w:szCs w:val="21"/>
              </w:rPr>
              <w:t>2</w:t>
            </w:r>
            <w:r w:rsidRPr="00F9522B">
              <w:rPr>
                <w:rFonts w:eastAsiaTheme="minorEastAsia"/>
                <w:kern w:val="0"/>
                <w:szCs w:val="21"/>
              </w:rPr>
              <w:t>）二级保护区内：</w:t>
            </w:r>
            <w:r w:rsidRPr="00F9522B">
              <w:rPr>
                <w:rFonts w:eastAsiaTheme="minorEastAsia"/>
                <w:kern w:val="0"/>
                <w:szCs w:val="21"/>
              </w:rPr>
              <w:t>1</w:t>
            </w:r>
            <w:r w:rsidRPr="00F9522B">
              <w:rPr>
                <w:rFonts w:eastAsiaTheme="minorEastAsia"/>
                <w:kern w:val="0"/>
                <w:szCs w:val="21"/>
              </w:rPr>
              <w:t>）对于潜水含水层地下水水源地：禁止建设化工、电镀、皮革、造纸、制浆、冶炼、放射性、印染、染料、炼焦、炼油及其它有严重污染的企业，已建成的要限期治理，转产或搬迁；禁止设置城市垃圾、粪便和易溶、有毒有害废弃物堆放场和转运站，已有的上述场站要限期搬迁；禁止利用未经净化的污水灌溉农田，已有的污灌农田要限期改用清水灌溉；化工原料、矿物油类及有毒有害矿产品的堆放场所必须有防雨、防渗措施。</w:t>
            </w:r>
            <w:r w:rsidRPr="00F9522B">
              <w:rPr>
                <w:rFonts w:eastAsiaTheme="minorEastAsia"/>
                <w:kern w:val="0"/>
                <w:szCs w:val="21"/>
              </w:rPr>
              <w:t>2</w:t>
            </w:r>
            <w:r w:rsidRPr="00F9522B">
              <w:rPr>
                <w:rFonts w:eastAsiaTheme="minorEastAsia"/>
                <w:kern w:val="0"/>
                <w:szCs w:val="21"/>
              </w:rPr>
              <w:t>）对于承压含水层地下水水源地：禁止承压水和潜水的混合开采，作好潜水的止水措施。（</w:t>
            </w:r>
            <w:r w:rsidRPr="00F9522B">
              <w:rPr>
                <w:rFonts w:eastAsiaTheme="minorEastAsia"/>
                <w:kern w:val="0"/>
                <w:szCs w:val="21"/>
              </w:rPr>
              <w:t>3</w:t>
            </w:r>
            <w:r w:rsidRPr="00F9522B">
              <w:rPr>
                <w:rFonts w:eastAsiaTheme="minorEastAsia"/>
                <w:kern w:val="0"/>
                <w:szCs w:val="21"/>
              </w:rPr>
              <w:t>）准保护区内：禁止建设城市垃圾、粪便和易溶、有毒有害废弃物的堆放场站，因特殊需要设立转运站的，必须经有关部门批准，并采取防渗漏措施；</w:t>
            </w:r>
            <w:r w:rsidRPr="00F9522B">
              <w:rPr>
                <w:rFonts w:eastAsiaTheme="minorEastAsia"/>
                <w:szCs w:val="21"/>
              </w:rPr>
              <w:t>保护水源林，禁止毁林开荒，禁止非更新砍伐水源林。</w:t>
            </w:r>
          </w:p>
        </w:tc>
        <w:tc>
          <w:tcPr>
            <w:tcW w:w="1244" w:type="dxa"/>
            <w:vAlign w:val="center"/>
          </w:tcPr>
          <w:p w:rsidR="002A5A5E" w:rsidRPr="00F9522B" w:rsidRDefault="00611CBA">
            <w:pPr>
              <w:spacing w:line="0" w:lineRule="atLeast"/>
              <w:contextualSpacing/>
              <w:jc w:val="left"/>
              <w:rPr>
                <w:rFonts w:eastAsiaTheme="minorEastAsia"/>
                <w:b/>
                <w:spacing w:val="-3"/>
                <w:kern w:val="0"/>
                <w:szCs w:val="21"/>
                <w:lang w:bidi="zh-CN"/>
              </w:rPr>
            </w:pPr>
            <w:r w:rsidRPr="00F9522B">
              <w:rPr>
                <w:rFonts w:eastAsiaTheme="minorEastAsia"/>
                <w:spacing w:val="-3"/>
                <w:kern w:val="0"/>
                <w:szCs w:val="21"/>
                <w:lang w:bidi="zh-CN"/>
              </w:rPr>
              <w:t>本项目建设符合《黑龙江省生态功能区划》的要求，具体分析见章节</w:t>
            </w:r>
            <w:r w:rsidRPr="00F9522B">
              <w:rPr>
                <w:rFonts w:eastAsiaTheme="minorEastAsia"/>
                <w:spacing w:val="-3"/>
                <w:kern w:val="0"/>
                <w:szCs w:val="21"/>
                <w:lang w:bidi="zh-CN"/>
              </w:rPr>
              <w:t>1.4.</w:t>
            </w:r>
            <w:r w:rsidR="00001DAD" w:rsidRPr="00F9522B">
              <w:rPr>
                <w:rFonts w:eastAsiaTheme="minorEastAsia"/>
                <w:spacing w:val="-3"/>
                <w:kern w:val="0"/>
                <w:szCs w:val="21"/>
                <w:lang w:bidi="zh-CN"/>
              </w:rPr>
              <w:t>6</w:t>
            </w:r>
            <w:r w:rsidRPr="00F9522B">
              <w:rPr>
                <w:rFonts w:eastAsiaTheme="minorEastAsia"/>
                <w:spacing w:val="-3"/>
                <w:kern w:val="0"/>
                <w:szCs w:val="21"/>
                <w:lang w:bidi="zh-CN"/>
              </w:rPr>
              <w:t>与《黑龙江省生态功能区划》符合性分析</w:t>
            </w:r>
          </w:p>
          <w:p w:rsidR="002A5A5E" w:rsidRPr="00F9522B" w:rsidRDefault="00611CBA">
            <w:pPr>
              <w:spacing w:line="0" w:lineRule="atLeast"/>
              <w:contextualSpacing/>
              <w:jc w:val="left"/>
              <w:rPr>
                <w:rFonts w:eastAsiaTheme="minorEastAsia"/>
                <w:spacing w:val="-3"/>
                <w:kern w:val="0"/>
                <w:szCs w:val="21"/>
                <w:lang w:bidi="zh-CN"/>
              </w:rPr>
            </w:pPr>
            <w:r w:rsidRPr="00F9522B">
              <w:rPr>
                <w:rFonts w:eastAsiaTheme="minorEastAsia"/>
                <w:spacing w:val="-3"/>
                <w:kern w:val="0"/>
                <w:szCs w:val="21"/>
                <w:lang w:bidi="zh-CN"/>
              </w:rPr>
              <w:t>。本项目为高标准农田建设项目，根据生态环境分区管控分析报告，本项目占用一般生态空间面积小于</w:t>
            </w:r>
            <w:r w:rsidRPr="00F9522B">
              <w:rPr>
                <w:rFonts w:eastAsiaTheme="minorEastAsia"/>
                <w:spacing w:val="-3"/>
                <w:kern w:val="0"/>
                <w:szCs w:val="21"/>
                <w:lang w:bidi="zh-CN"/>
              </w:rPr>
              <w:t>0.01</w:t>
            </w:r>
            <w:r w:rsidRPr="00F9522B">
              <w:rPr>
                <w:rFonts w:eastAsiaTheme="minorEastAsia"/>
                <w:spacing w:val="-3"/>
                <w:kern w:val="0"/>
                <w:szCs w:val="21"/>
                <w:lang w:bidi="zh-CN"/>
              </w:rPr>
              <w:t>平方公里，且占用工程为现有</w:t>
            </w:r>
            <w:r w:rsidRPr="00F9522B">
              <w:rPr>
                <w:rFonts w:eastAsiaTheme="minorEastAsia"/>
                <w:bCs/>
                <w:spacing w:val="-3"/>
                <w:kern w:val="0"/>
                <w:szCs w:val="21"/>
                <w:lang w:bidi="zh-CN"/>
              </w:rPr>
              <w:t>道路修缮</w:t>
            </w:r>
            <w:r w:rsidRPr="00F9522B">
              <w:rPr>
                <w:rFonts w:eastAsiaTheme="minorEastAsia"/>
                <w:spacing w:val="-3"/>
                <w:kern w:val="0"/>
                <w:szCs w:val="21"/>
                <w:lang w:bidi="zh-CN"/>
              </w:rPr>
              <w:t>工程及现有农田退水口，不新增占地，不涉及</w:t>
            </w:r>
            <w:r w:rsidRPr="00F9522B">
              <w:rPr>
                <w:rFonts w:eastAsiaTheme="minorEastAsia"/>
                <w:kern w:val="0"/>
                <w:szCs w:val="21"/>
                <w:lang w:bidi="zh-CN"/>
              </w:rPr>
              <w:t>占用生态空间中的林地、草原等，</w:t>
            </w:r>
            <w:r w:rsidRPr="00F9522B">
              <w:rPr>
                <w:rFonts w:eastAsiaTheme="minorEastAsia"/>
                <w:spacing w:val="-3"/>
                <w:kern w:val="0"/>
                <w:szCs w:val="21"/>
                <w:lang w:bidi="zh-CN"/>
              </w:rPr>
              <w:t>不破坏生态，不排放</w:t>
            </w:r>
            <w:r w:rsidRPr="00F9522B">
              <w:rPr>
                <w:rFonts w:eastAsiaTheme="minorEastAsia"/>
                <w:kern w:val="0"/>
                <w:szCs w:val="21"/>
              </w:rPr>
              <w:t>污水和其它有害废弃物</w:t>
            </w:r>
            <w:r w:rsidRPr="00F9522B">
              <w:rPr>
                <w:rFonts w:eastAsiaTheme="minorEastAsia"/>
                <w:spacing w:val="-3"/>
                <w:kern w:val="0"/>
                <w:szCs w:val="21"/>
                <w:lang w:bidi="zh-CN"/>
              </w:rPr>
              <w:t>。不</w:t>
            </w:r>
            <w:r w:rsidRPr="00F9522B">
              <w:rPr>
                <w:rFonts w:eastAsiaTheme="minorEastAsia"/>
                <w:kern w:val="0"/>
                <w:szCs w:val="21"/>
              </w:rPr>
              <w:t>实行人工回灌地下水。</w:t>
            </w:r>
            <w:r w:rsidRPr="00F9522B">
              <w:rPr>
                <w:rFonts w:eastAsiaTheme="minorEastAsia"/>
                <w:spacing w:val="-3"/>
                <w:kern w:val="0"/>
                <w:szCs w:val="21"/>
                <w:lang w:bidi="zh-CN"/>
              </w:rPr>
              <w:t>工程不涉及</w:t>
            </w:r>
            <w:r w:rsidR="00001DAD" w:rsidRPr="00F9522B">
              <w:rPr>
                <w:rFonts w:eastAsiaTheme="minorEastAsia"/>
                <w:spacing w:val="-3"/>
                <w:kern w:val="0"/>
                <w:szCs w:val="21"/>
                <w:lang w:bidi="zh-CN"/>
              </w:rPr>
              <w:t>地表水、地下水</w:t>
            </w:r>
            <w:r w:rsidRPr="00F9522B">
              <w:rPr>
                <w:rFonts w:eastAsiaTheme="minorEastAsia"/>
                <w:spacing w:val="-3"/>
                <w:kern w:val="0"/>
                <w:szCs w:val="21"/>
                <w:lang w:bidi="zh-CN"/>
              </w:rPr>
              <w:t>水源地保护区。因此符合优先保护区要求。</w:t>
            </w:r>
          </w:p>
        </w:tc>
      </w:tr>
    </w:tbl>
    <w:p w:rsidR="002A5A5E" w:rsidRPr="00F9522B" w:rsidRDefault="00611CBA">
      <w:pPr>
        <w:contextualSpacing/>
        <w:jc w:val="center"/>
        <w:rPr>
          <w:rFonts w:eastAsiaTheme="minorEastAsia"/>
          <w:b/>
          <w:szCs w:val="21"/>
        </w:rPr>
      </w:pPr>
      <w:r w:rsidRPr="00F9522B">
        <w:rPr>
          <w:rFonts w:eastAsiaTheme="minorEastAsia"/>
          <w:b/>
          <w:szCs w:val="21"/>
        </w:rPr>
        <w:lastRenderedPageBreak/>
        <w:t>续表</w:t>
      </w:r>
      <w:r w:rsidRPr="00F9522B">
        <w:rPr>
          <w:rFonts w:eastAsiaTheme="minorEastAsia"/>
          <w:b/>
          <w:szCs w:val="21"/>
        </w:rPr>
        <w:t>1-4-4</w:t>
      </w:r>
      <w:r w:rsidRPr="00F9522B">
        <w:rPr>
          <w:rFonts w:eastAsiaTheme="minorEastAsia"/>
          <w:b/>
          <w:bCs/>
          <w:szCs w:val="21"/>
        </w:rPr>
        <w:t>生态环境准入清单管控</w:t>
      </w:r>
      <w:r w:rsidRPr="00F9522B">
        <w:rPr>
          <w:rFonts w:eastAsiaTheme="minorEastAsia"/>
          <w:b/>
          <w:szCs w:val="21"/>
          <w:lang w:val="zh-CN"/>
        </w:rPr>
        <w:t>要求符合性分析</w:t>
      </w:r>
    </w:p>
    <w:tbl>
      <w:tblPr>
        <w:tblW w:w="8435" w:type="dxa"/>
        <w:tblInd w:w="5" w:type="dxa"/>
        <w:tblBorders>
          <w:top w:val="single" w:sz="12" w:space="0" w:color="auto"/>
          <w:bottom w:val="single" w:sz="12" w:space="0" w:color="auto"/>
          <w:insideH w:val="single" w:sz="4" w:space="0" w:color="auto"/>
          <w:insideV w:val="single" w:sz="4" w:space="0" w:color="auto"/>
        </w:tblBorders>
        <w:tblLayout w:type="fixed"/>
        <w:tblLook w:val="04A0"/>
      </w:tblPr>
      <w:tblGrid>
        <w:gridCol w:w="668"/>
        <w:gridCol w:w="706"/>
        <w:gridCol w:w="706"/>
        <w:gridCol w:w="423"/>
        <w:gridCol w:w="3979"/>
        <w:gridCol w:w="1953"/>
      </w:tblGrid>
      <w:tr w:rsidR="002A5A5E" w:rsidRPr="00F9522B">
        <w:trPr>
          <w:trHeight w:val="2343"/>
        </w:trPr>
        <w:tc>
          <w:tcPr>
            <w:tcW w:w="668" w:type="dxa"/>
            <w:vMerge w:val="restart"/>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szCs w:val="21"/>
              </w:rPr>
              <w:t>ZH23011120003</w:t>
            </w:r>
          </w:p>
        </w:tc>
        <w:tc>
          <w:tcPr>
            <w:tcW w:w="706" w:type="dxa"/>
            <w:vMerge w:val="restart"/>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szCs w:val="21"/>
              </w:rPr>
              <w:t>呼兰区城镇空间</w:t>
            </w:r>
          </w:p>
        </w:tc>
        <w:tc>
          <w:tcPr>
            <w:tcW w:w="706" w:type="dxa"/>
            <w:vMerge w:val="restart"/>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重点管控单元</w:t>
            </w:r>
          </w:p>
        </w:tc>
        <w:tc>
          <w:tcPr>
            <w:tcW w:w="423" w:type="dxa"/>
            <w:vMerge w:val="restart"/>
            <w:vAlign w:val="center"/>
          </w:tcPr>
          <w:p w:rsidR="002A5A5E" w:rsidRPr="00F9522B" w:rsidRDefault="00611CBA">
            <w:pPr>
              <w:spacing w:line="0" w:lineRule="atLeast"/>
              <w:contextualSpacing/>
              <w:jc w:val="center"/>
              <w:rPr>
                <w:rFonts w:eastAsiaTheme="minorEastAsia"/>
                <w:spacing w:val="-3"/>
                <w:kern w:val="0"/>
                <w:szCs w:val="21"/>
                <w:lang w:bidi="zh-CN"/>
              </w:rPr>
            </w:pPr>
            <w:r w:rsidRPr="00F9522B">
              <w:rPr>
                <w:rFonts w:eastAsiaTheme="minorEastAsia"/>
                <w:szCs w:val="21"/>
              </w:rPr>
              <w:t>空间布局约束</w:t>
            </w:r>
          </w:p>
        </w:tc>
        <w:tc>
          <w:tcPr>
            <w:tcW w:w="3979" w:type="dxa"/>
            <w:vAlign w:val="center"/>
          </w:tcPr>
          <w:p w:rsidR="002A5A5E" w:rsidRPr="00F9522B" w:rsidRDefault="00611CBA">
            <w:pPr>
              <w:rPr>
                <w:rFonts w:eastAsiaTheme="minorEastAsia"/>
                <w:kern w:val="0"/>
                <w:sz w:val="24"/>
              </w:rPr>
            </w:pPr>
            <w:r w:rsidRPr="00F9522B">
              <w:rPr>
                <w:rFonts w:eastAsiaTheme="minorEastAsia"/>
                <w:kern w:val="0"/>
                <w:szCs w:val="21"/>
              </w:rPr>
              <w:t>1.</w:t>
            </w:r>
            <w:r w:rsidRPr="00F9522B">
              <w:rPr>
                <w:rFonts w:eastAsiaTheme="minorEastAsia"/>
                <w:kern w:val="0"/>
                <w:szCs w:val="21"/>
              </w:rPr>
              <w:t>严禁在人口密集区新建危险化学品生产项目，城镇人口密集区危险化学品生产企业应搬迁改造。</w:t>
            </w:r>
            <w:r w:rsidRPr="00F9522B">
              <w:rPr>
                <w:rFonts w:eastAsiaTheme="minorEastAsia"/>
                <w:kern w:val="0"/>
                <w:szCs w:val="21"/>
              </w:rPr>
              <w:t>2.</w:t>
            </w:r>
            <w:r w:rsidRPr="00F9522B">
              <w:rPr>
                <w:rFonts w:eastAsiaTheme="minorEastAsia"/>
                <w:kern w:val="0"/>
                <w:szCs w:val="21"/>
              </w:rPr>
              <w:t>禁止在城镇居民区、文化教育科学研究区等人口集中区域建设畜禽养殖场、养殖小区。水环境城镇生活污染重点管控区执行：除干旱地区外，新建城区应全面实行雨污分流，鼓励对初期雨水进行收集、处理和资源化利用。</w:t>
            </w:r>
          </w:p>
        </w:tc>
        <w:tc>
          <w:tcPr>
            <w:tcW w:w="1953" w:type="dxa"/>
            <w:vAlign w:val="center"/>
          </w:tcPr>
          <w:p w:rsidR="002A5A5E" w:rsidRPr="00F9522B" w:rsidRDefault="00611CBA">
            <w:pPr>
              <w:spacing w:line="0" w:lineRule="atLeast"/>
              <w:contextualSpacing/>
              <w:jc w:val="left"/>
              <w:rPr>
                <w:rFonts w:eastAsiaTheme="minorEastAsia"/>
                <w:spacing w:val="-3"/>
                <w:kern w:val="0"/>
                <w:szCs w:val="21"/>
                <w:lang w:bidi="zh-CN"/>
              </w:rPr>
            </w:pPr>
            <w:r w:rsidRPr="00F9522B">
              <w:rPr>
                <w:rFonts w:eastAsiaTheme="minorEastAsia"/>
                <w:spacing w:val="-3"/>
                <w:kern w:val="0"/>
                <w:szCs w:val="21"/>
                <w:lang w:bidi="zh-CN"/>
              </w:rPr>
              <w:t>本项目不涉及。</w:t>
            </w:r>
          </w:p>
        </w:tc>
      </w:tr>
      <w:tr w:rsidR="002A5A5E" w:rsidRPr="00F9522B">
        <w:trPr>
          <w:trHeight w:val="1351"/>
        </w:trPr>
        <w:tc>
          <w:tcPr>
            <w:tcW w:w="668" w:type="dxa"/>
            <w:vMerge/>
            <w:vAlign w:val="center"/>
          </w:tcPr>
          <w:p w:rsidR="002A5A5E" w:rsidRPr="00F9522B" w:rsidRDefault="002A5A5E">
            <w:pPr>
              <w:spacing w:line="0" w:lineRule="atLeast"/>
              <w:contextualSpacing/>
              <w:jc w:val="center"/>
              <w:rPr>
                <w:rFonts w:eastAsiaTheme="minorEastAsia"/>
                <w:szCs w:val="21"/>
              </w:rPr>
            </w:pPr>
          </w:p>
        </w:tc>
        <w:tc>
          <w:tcPr>
            <w:tcW w:w="706" w:type="dxa"/>
            <w:vMerge/>
            <w:vAlign w:val="center"/>
          </w:tcPr>
          <w:p w:rsidR="002A5A5E" w:rsidRPr="00F9522B" w:rsidRDefault="002A5A5E">
            <w:pPr>
              <w:spacing w:line="0" w:lineRule="atLeast"/>
              <w:contextualSpacing/>
              <w:jc w:val="center"/>
              <w:rPr>
                <w:rFonts w:eastAsiaTheme="minorEastAsia"/>
                <w:szCs w:val="21"/>
              </w:rPr>
            </w:pPr>
          </w:p>
        </w:tc>
        <w:tc>
          <w:tcPr>
            <w:tcW w:w="706" w:type="dxa"/>
            <w:vMerge/>
            <w:vAlign w:val="center"/>
          </w:tcPr>
          <w:p w:rsidR="002A5A5E" w:rsidRPr="00F9522B" w:rsidRDefault="002A5A5E">
            <w:pPr>
              <w:spacing w:line="0" w:lineRule="atLeast"/>
              <w:contextualSpacing/>
              <w:jc w:val="center"/>
              <w:rPr>
                <w:rFonts w:eastAsiaTheme="minorEastAsia"/>
                <w:szCs w:val="21"/>
              </w:rPr>
            </w:pPr>
          </w:p>
        </w:tc>
        <w:tc>
          <w:tcPr>
            <w:tcW w:w="423" w:type="dxa"/>
            <w:vMerge/>
            <w:vAlign w:val="center"/>
          </w:tcPr>
          <w:p w:rsidR="002A5A5E" w:rsidRPr="00F9522B" w:rsidRDefault="002A5A5E">
            <w:pPr>
              <w:spacing w:line="0" w:lineRule="atLeast"/>
              <w:contextualSpacing/>
              <w:jc w:val="center"/>
              <w:rPr>
                <w:rFonts w:eastAsiaTheme="minorEastAsia"/>
                <w:szCs w:val="21"/>
              </w:rPr>
            </w:pPr>
          </w:p>
        </w:tc>
        <w:tc>
          <w:tcPr>
            <w:tcW w:w="3979" w:type="dxa"/>
            <w:vAlign w:val="center"/>
          </w:tcPr>
          <w:p w:rsidR="002A5A5E" w:rsidRPr="00F9522B" w:rsidRDefault="00611CBA">
            <w:pPr>
              <w:rPr>
                <w:rFonts w:eastAsiaTheme="minorEastAsia"/>
                <w:kern w:val="0"/>
                <w:szCs w:val="21"/>
              </w:rPr>
            </w:pPr>
            <w:r w:rsidRPr="00F9522B">
              <w:rPr>
                <w:rFonts w:eastAsiaTheme="minorEastAsia"/>
                <w:kern w:val="0"/>
                <w:szCs w:val="21"/>
              </w:rPr>
              <w:t>水环境农业污染重点管控区同时执行：</w:t>
            </w:r>
            <w:r w:rsidRPr="00F9522B">
              <w:rPr>
                <w:rFonts w:eastAsiaTheme="minorEastAsia"/>
                <w:kern w:val="0"/>
                <w:szCs w:val="21"/>
              </w:rPr>
              <w:t>1.</w:t>
            </w:r>
            <w:r w:rsidRPr="00F9522B">
              <w:rPr>
                <w:rFonts w:eastAsiaTheme="minorEastAsia"/>
                <w:kern w:val="0"/>
                <w:szCs w:val="21"/>
              </w:rPr>
              <w:t>科学划定畜禽养殖禁养区。</w:t>
            </w:r>
            <w:r w:rsidRPr="00F9522B">
              <w:rPr>
                <w:rFonts w:eastAsiaTheme="minorEastAsia"/>
                <w:kern w:val="0"/>
                <w:szCs w:val="21"/>
              </w:rPr>
              <w:t>2.</w:t>
            </w:r>
            <w:r w:rsidRPr="00F9522B">
              <w:rPr>
                <w:rFonts w:eastAsiaTheme="minorEastAsia"/>
                <w:kern w:val="0"/>
                <w:szCs w:val="21"/>
              </w:rPr>
              <w:t>加快农业结构调整。松嫩平原和三江平原等地下水易受污染地区优先种植需肥需药量低、环境效益突出的农作物；在西部干旱区发展谷子、高粱等耐旱杂粮种植；在北部四、五积温区开展米豆麦轮作，促进化肥需求低的农作物面积恢复性增长。</w:t>
            </w:r>
          </w:p>
        </w:tc>
        <w:tc>
          <w:tcPr>
            <w:tcW w:w="1953" w:type="dxa"/>
            <w:vAlign w:val="center"/>
          </w:tcPr>
          <w:p w:rsidR="002A5A5E" w:rsidRPr="00F9522B" w:rsidRDefault="00611CBA">
            <w:pPr>
              <w:spacing w:line="0" w:lineRule="atLeast"/>
              <w:contextualSpacing/>
              <w:jc w:val="left"/>
              <w:rPr>
                <w:rFonts w:eastAsiaTheme="minorEastAsia"/>
                <w:spacing w:val="-3"/>
                <w:kern w:val="0"/>
                <w:szCs w:val="21"/>
                <w:lang w:bidi="zh-CN"/>
              </w:rPr>
            </w:pPr>
            <w:r w:rsidRPr="00F9522B">
              <w:rPr>
                <w:rFonts w:eastAsiaTheme="minorEastAsia"/>
                <w:spacing w:val="-3"/>
                <w:kern w:val="0"/>
                <w:szCs w:val="21"/>
                <w:lang w:bidi="zh-CN"/>
              </w:rPr>
              <w:t>本项目为高标准农田建设项目</w:t>
            </w:r>
            <w:r w:rsidRPr="00F9522B">
              <w:rPr>
                <w:rFonts w:eastAsiaTheme="minorEastAsia"/>
                <w:kern w:val="0"/>
                <w:szCs w:val="21"/>
              </w:rPr>
              <w:t>，</w:t>
            </w:r>
            <w:r w:rsidRPr="00F9522B">
              <w:rPr>
                <w:rFonts w:eastAsiaTheme="minorEastAsia"/>
                <w:kern w:val="0"/>
              </w:rPr>
              <w:t>项目施行</w:t>
            </w:r>
            <w:r w:rsidRPr="00F9522B">
              <w:rPr>
                <w:rFonts w:eastAsiaTheme="minorEastAsia"/>
                <w:kern w:val="0"/>
              </w:rPr>
              <w:t>“</w:t>
            </w:r>
            <w:r w:rsidRPr="00F9522B">
              <w:rPr>
                <w:rFonts w:eastAsiaTheme="minorEastAsia"/>
                <w:kern w:val="0"/>
              </w:rPr>
              <w:t>三减</w:t>
            </w:r>
            <w:r w:rsidRPr="00F9522B">
              <w:rPr>
                <w:rFonts w:eastAsiaTheme="minorEastAsia"/>
                <w:kern w:val="0"/>
              </w:rPr>
              <w:t>”</w:t>
            </w:r>
            <w:r w:rsidRPr="00F9522B">
              <w:rPr>
                <w:rFonts w:eastAsiaTheme="minorEastAsia"/>
                <w:kern w:val="0"/>
              </w:rPr>
              <w:t>行动，即减化肥、减农药、减除草剂，积极推广科学施肥，使化肥、农药实现减量化施用，增加有机肥的施用，优化调整农药施用结构，控制农药施用量，</w:t>
            </w:r>
            <w:r w:rsidRPr="00F9522B">
              <w:rPr>
                <w:rStyle w:val="CharChar"/>
                <w:rFonts w:hAnsi="Times New Roman"/>
              </w:rPr>
              <w:t>采取测土配方施肥、水肥一体化措施</w:t>
            </w:r>
            <w:r w:rsidRPr="00F9522B">
              <w:rPr>
                <w:rFonts w:eastAsiaTheme="minorEastAsia"/>
                <w:kern w:val="0"/>
              </w:rPr>
              <w:t>。</w:t>
            </w:r>
            <w:r w:rsidRPr="00F9522B">
              <w:rPr>
                <w:rFonts w:eastAsiaTheme="minorEastAsia"/>
                <w:spacing w:val="-3"/>
                <w:kern w:val="0"/>
                <w:szCs w:val="21"/>
                <w:lang w:bidi="zh-CN"/>
              </w:rPr>
              <w:t>因此符合空间布局约束要求。</w:t>
            </w:r>
          </w:p>
        </w:tc>
      </w:tr>
      <w:tr w:rsidR="002A5A5E" w:rsidRPr="00F9522B">
        <w:trPr>
          <w:trHeight w:val="1385"/>
        </w:trPr>
        <w:tc>
          <w:tcPr>
            <w:tcW w:w="668" w:type="dxa"/>
            <w:vMerge/>
            <w:vAlign w:val="center"/>
          </w:tcPr>
          <w:p w:rsidR="002A5A5E" w:rsidRPr="00F9522B" w:rsidRDefault="002A5A5E">
            <w:pPr>
              <w:spacing w:line="0" w:lineRule="atLeast"/>
              <w:contextualSpacing/>
              <w:jc w:val="center"/>
              <w:rPr>
                <w:rFonts w:eastAsiaTheme="minorEastAsia"/>
                <w:szCs w:val="21"/>
              </w:rPr>
            </w:pPr>
          </w:p>
        </w:tc>
        <w:tc>
          <w:tcPr>
            <w:tcW w:w="706" w:type="dxa"/>
            <w:vMerge/>
            <w:vAlign w:val="center"/>
          </w:tcPr>
          <w:p w:rsidR="002A5A5E" w:rsidRPr="00F9522B" w:rsidRDefault="002A5A5E">
            <w:pPr>
              <w:spacing w:line="0" w:lineRule="atLeast"/>
              <w:contextualSpacing/>
              <w:jc w:val="center"/>
              <w:rPr>
                <w:rFonts w:eastAsiaTheme="minorEastAsia"/>
                <w:szCs w:val="21"/>
              </w:rPr>
            </w:pPr>
          </w:p>
        </w:tc>
        <w:tc>
          <w:tcPr>
            <w:tcW w:w="706" w:type="dxa"/>
            <w:vMerge/>
            <w:vAlign w:val="center"/>
          </w:tcPr>
          <w:p w:rsidR="002A5A5E" w:rsidRPr="00F9522B" w:rsidRDefault="002A5A5E">
            <w:pPr>
              <w:spacing w:line="0" w:lineRule="atLeast"/>
              <w:contextualSpacing/>
              <w:jc w:val="center"/>
              <w:rPr>
                <w:rFonts w:eastAsiaTheme="minorEastAsia"/>
                <w:szCs w:val="21"/>
              </w:rPr>
            </w:pPr>
          </w:p>
        </w:tc>
        <w:tc>
          <w:tcPr>
            <w:tcW w:w="423" w:type="dxa"/>
            <w:vMerge/>
            <w:vAlign w:val="center"/>
          </w:tcPr>
          <w:p w:rsidR="002A5A5E" w:rsidRPr="00F9522B" w:rsidRDefault="002A5A5E">
            <w:pPr>
              <w:spacing w:line="0" w:lineRule="atLeast"/>
              <w:contextualSpacing/>
              <w:jc w:val="center"/>
              <w:rPr>
                <w:rFonts w:eastAsiaTheme="minorEastAsia"/>
                <w:szCs w:val="21"/>
              </w:rPr>
            </w:pPr>
          </w:p>
        </w:tc>
        <w:tc>
          <w:tcPr>
            <w:tcW w:w="3979" w:type="dxa"/>
            <w:vAlign w:val="center"/>
          </w:tcPr>
          <w:p w:rsidR="002A5A5E" w:rsidRPr="00F9522B" w:rsidRDefault="00611CBA">
            <w:pPr>
              <w:rPr>
                <w:rFonts w:eastAsiaTheme="minorEastAsia"/>
                <w:kern w:val="0"/>
                <w:szCs w:val="21"/>
              </w:rPr>
            </w:pPr>
            <w:r w:rsidRPr="00F9522B">
              <w:rPr>
                <w:rFonts w:eastAsiaTheme="minorEastAsia"/>
                <w:kern w:val="0"/>
                <w:szCs w:val="21"/>
              </w:rPr>
              <w:t>水环境工业污染重点管控区同时执行：</w:t>
            </w:r>
            <w:r w:rsidRPr="00F9522B">
              <w:rPr>
                <w:rFonts w:eastAsiaTheme="minorEastAsia"/>
                <w:kern w:val="0"/>
                <w:szCs w:val="21"/>
              </w:rPr>
              <w:t>1.</w:t>
            </w:r>
            <w:r w:rsidRPr="00F9522B">
              <w:rPr>
                <w:rFonts w:eastAsiaTheme="minorEastAsia"/>
                <w:kern w:val="0"/>
                <w:szCs w:val="21"/>
              </w:rPr>
              <w:t>区域内严格控制高耗水、高污染行业发展。</w:t>
            </w:r>
            <w:r w:rsidRPr="00F9522B">
              <w:rPr>
                <w:rFonts w:eastAsiaTheme="minorEastAsia"/>
                <w:kern w:val="0"/>
                <w:szCs w:val="21"/>
              </w:rPr>
              <w:t>2.</w:t>
            </w:r>
            <w:r w:rsidRPr="00F9522B">
              <w:rPr>
                <w:rFonts w:eastAsiaTheme="minorEastAsia"/>
                <w:kern w:val="0"/>
                <w:szCs w:val="21"/>
              </w:rPr>
              <w:t>优化产业结构，加快退出落后产能，大力发展战略性新兴产业。</w:t>
            </w:r>
            <w:r w:rsidRPr="00F9522B">
              <w:rPr>
                <w:rFonts w:eastAsiaTheme="minorEastAsia"/>
                <w:kern w:val="0"/>
                <w:szCs w:val="21"/>
              </w:rPr>
              <w:t>3.</w:t>
            </w:r>
            <w:r w:rsidRPr="00F9522B">
              <w:rPr>
                <w:rFonts w:eastAsiaTheme="minorEastAsia"/>
                <w:kern w:val="0"/>
                <w:szCs w:val="21"/>
              </w:rPr>
              <w:t>根据水资源和水环境承载能力，以水定城、以水定地、以水定人、以水定产。</w:t>
            </w:r>
          </w:p>
        </w:tc>
        <w:tc>
          <w:tcPr>
            <w:tcW w:w="1953" w:type="dxa"/>
            <w:vAlign w:val="center"/>
          </w:tcPr>
          <w:p w:rsidR="002A5A5E" w:rsidRPr="00F9522B" w:rsidRDefault="00611CBA">
            <w:pPr>
              <w:spacing w:line="0" w:lineRule="atLeast"/>
              <w:contextualSpacing/>
              <w:jc w:val="left"/>
              <w:rPr>
                <w:rFonts w:eastAsiaTheme="minorEastAsia"/>
                <w:spacing w:val="-3"/>
                <w:kern w:val="0"/>
                <w:szCs w:val="21"/>
                <w:lang w:bidi="zh-CN"/>
              </w:rPr>
            </w:pPr>
            <w:r w:rsidRPr="00F9522B">
              <w:rPr>
                <w:rFonts w:eastAsiaTheme="minorEastAsia"/>
                <w:spacing w:val="-3"/>
                <w:kern w:val="0"/>
                <w:szCs w:val="21"/>
                <w:lang w:bidi="zh-CN"/>
              </w:rPr>
              <w:t>本项目为高标准农田建设项目</w:t>
            </w:r>
            <w:r w:rsidRPr="00F9522B">
              <w:rPr>
                <w:rFonts w:eastAsiaTheme="minorEastAsia"/>
                <w:kern w:val="0"/>
                <w:szCs w:val="21"/>
              </w:rPr>
              <w:t>，设计灌溉保证率为</w:t>
            </w:r>
            <w:r w:rsidRPr="00F9522B">
              <w:rPr>
                <w:rFonts w:eastAsiaTheme="minorEastAsia"/>
                <w:kern w:val="0"/>
                <w:szCs w:val="21"/>
              </w:rPr>
              <w:t>90%</w:t>
            </w:r>
            <w:r w:rsidRPr="00F9522B">
              <w:rPr>
                <w:rFonts w:eastAsiaTheme="minorEastAsia"/>
                <w:kern w:val="0"/>
                <w:szCs w:val="21"/>
              </w:rPr>
              <w:t>，</w:t>
            </w:r>
            <w:r w:rsidR="00C44A54" w:rsidRPr="00F9522B">
              <w:rPr>
                <w:rFonts w:eastAsiaTheme="minorEastAsia"/>
                <w:kern w:val="0"/>
                <w:szCs w:val="21"/>
              </w:rPr>
              <w:t>坐水种灌溉水利用系数</w:t>
            </w:r>
            <w:r w:rsidR="00C44A54" w:rsidRPr="00F9522B">
              <w:rPr>
                <w:rFonts w:eastAsiaTheme="minorEastAsia"/>
                <w:kern w:val="0"/>
                <w:szCs w:val="21"/>
              </w:rPr>
              <w:t>0.9</w:t>
            </w:r>
            <w:r w:rsidR="00C44A54" w:rsidRPr="00F9522B">
              <w:rPr>
                <w:rFonts w:eastAsiaTheme="minorEastAsia"/>
                <w:kern w:val="0"/>
                <w:szCs w:val="21"/>
              </w:rPr>
              <w:t>，滴灌灌溉水利用系数</w:t>
            </w:r>
            <w:r w:rsidR="00C44A54" w:rsidRPr="00F9522B">
              <w:rPr>
                <w:rFonts w:eastAsiaTheme="minorEastAsia"/>
                <w:kern w:val="0"/>
                <w:szCs w:val="21"/>
              </w:rPr>
              <w:t>0.93</w:t>
            </w:r>
            <w:r w:rsidRPr="00F9522B">
              <w:rPr>
                <w:rFonts w:eastAsiaTheme="minorEastAsia"/>
                <w:kern w:val="0"/>
                <w:szCs w:val="21"/>
              </w:rPr>
              <w:t>，并采取节水灌溉制度</w:t>
            </w:r>
            <w:r w:rsidRPr="00F9522B">
              <w:rPr>
                <w:rFonts w:eastAsiaTheme="minorEastAsia"/>
                <w:kern w:val="0"/>
              </w:rPr>
              <w:t>。不属于</w:t>
            </w:r>
            <w:r w:rsidRPr="00F9522B">
              <w:rPr>
                <w:rFonts w:eastAsiaTheme="minorEastAsia"/>
                <w:spacing w:val="-3"/>
                <w:kern w:val="0"/>
                <w:szCs w:val="21"/>
                <w:lang w:bidi="zh-CN"/>
              </w:rPr>
              <w:t>高耗水、高污染行业</w:t>
            </w:r>
            <w:r w:rsidRPr="00F9522B">
              <w:rPr>
                <w:rFonts w:eastAsiaTheme="minorEastAsia"/>
                <w:kern w:val="0"/>
              </w:rPr>
              <w:t>。</w:t>
            </w:r>
            <w:r w:rsidRPr="00F9522B">
              <w:rPr>
                <w:rFonts w:eastAsiaTheme="minorEastAsia"/>
                <w:spacing w:val="-3"/>
                <w:kern w:val="0"/>
                <w:szCs w:val="21"/>
                <w:lang w:bidi="zh-CN"/>
              </w:rPr>
              <w:t>因此符合空间布局约束要求。</w:t>
            </w:r>
          </w:p>
        </w:tc>
      </w:tr>
      <w:tr w:rsidR="002A5A5E" w:rsidRPr="00F9522B">
        <w:trPr>
          <w:trHeight w:val="776"/>
        </w:trPr>
        <w:tc>
          <w:tcPr>
            <w:tcW w:w="668" w:type="dxa"/>
            <w:vMerge/>
            <w:vAlign w:val="center"/>
          </w:tcPr>
          <w:p w:rsidR="002A5A5E" w:rsidRPr="00F9522B" w:rsidRDefault="002A5A5E">
            <w:pPr>
              <w:spacing w:line="0" w:lineRule="atLeast"/>
              <w:contextualSpacing/>
              <w:jc w:val="center"/>
              <w:rPr>
                <w:rFonts w:eastAsiaTheme="minorEastAsia"/>
                <w:szCs w:val="21"/>
              </w:rPr>
            </w:pPr>
          </w:p>
        </w:tc>
        <w:tc>
          <w:tcPr>
            <w:tcW w:w="706" w:type="dxa"/>
            <w:vMerge/>
            <w:vAlign w:val="center"/>
          </w:tcPr>
          <w:p w:rsidR="002A5A5E" w:rsidRPr="00F9522B" w:rsidRDefault="002A5A5E">
            <w:pPr>
              <w:spacing w:line="0" w:lineRule="atLeast"/>
              <w:contextualSpacing/>
              <w:jc w:val="center"/>
              <w:rPr>
                <w:rFonts w:eastAsiaTheme="minorEastAsia"/>
                <w:szCs w:val="21"/>
              </w:rPr>
            </w:pPr>
          </w:p>
        </w:tc>
        <w:tc>
          <w:tcPr>
            <w:tcW w:w="706" w:type="dxa"/>
            <w:vMerge/>
            <w:vAlign w:val="center"/>
          </w:tcPr>
          <w:p w:rsidR="002A5A5E" w:rsidRPr="00F9522B" w:rsidRDefault="002A5A5E">
            <w:pPr>
              <w:spacing w:line="0" w:lineRule="atLeast"/>
              <w:contextualSpacing/>
              <w:jc w:val="center"/>
              <w:rPr>
                <w:rFonts w:eastAsiaTheme="minorEastAsia"/>
                <w:szCs w:val="21"/>
              </w:rPr>
            </w:pPr>
          </w:p>
        </w:tc>
        <w:tc>
          <w:tcPr>
            <w:tcW w:w="423" w:type="dxa"/>
            <w:vMerge/>
            <w:vAlign w:val="center"/>
          </w:tcPr>
          <w:p w:rsidR="002A5A5E" w:rsidRPr="00F9522B" w:rsidRDefault="002A5A5E">
            <w:pPr>
              <w:spacing w:line="0" w:lineRule="atLeast"/>
              <w:contextualSpacing/>
              <w:jc w:val="center"/>
              <w:rPr>
                <w:rFonts w:eastAsiaTheme="minorEastAsia"/>
                <w:szCs w:val="21"/>
              </w:rPr>
            </w:pPr>
          </w:p>
        </w:tc>
        <w:tc>
          <w:tcPr>
            <w:tcW w:w="3979" w:type="dxa"/>
            <w:vAlign w:val="center"/>
          </w:tcPr>
          <w:p w:rsidR="002A5A5E" w:rsidRPr="00F9522B" w:rsidRDefault="00611CBA">
            <w:pPr>
              <w:rPr>
                <w:rFonts w:eastAsiaTheme="minorEastAsia"/>
                <w:kern w:val="0"/>
                <w:szCs w:val="21"/>
              </w:rPr>
            </w:pPr>
            <w:r w:rsidRPr="00F9522B">
              <w:rPr>
                <w:rFonts w:eastAsiaTheme="minorEastAsia"/>
                <w:kern w:val="0"/>
                <w:szCs w:val="21"/>
              </w:rPr>
              <w:t>呼兰经济开发区必须严格实施土地利用总体规划和城市总体规划；必须依法用地。严禁擅自进行房地产开发，合理、集约高效利用土地资源。</w:t>
            </w:r>
          </w:p>
        </w:tc>
        <w:tc>
          <w:tcPr>
            <w:tcW w:w="1953" w:type="dxa"/>
            <w:vAlign w:val="center"/>
          </w:tcPr>
          <w:p w:rsidR="002A5A5E" w:rsidRPr="00F9522B" w:rsidRDefault="00611CBA">
            <w:pPr>
              <w:spacing w:line="0" w:lineRule="atLeast"/>
              <w:contextualSpacing/>
              <w:jc w:val="left"/>
              <w:rPr>
                <w:rFonts w:eastAsiaTheme="minorEastAsia"/>
                <w:spacing w:val="-3"/>
                <w:kern w:val="0"/>
                <w:szCs w:val="21"/>
                <w:lang w:bidi="zh-CN"/>
              </w:rPr>
            </w:pPr>
            <w:r w:rsidRPr="00F9522B">
              <w:rPr>
                <w:rFonts w:eastAsiaTheme="minorEastAsia"/>
                <w:spacing w:val="-3"/>
                <w:kern w:val="0"/>
                <w:szCs w:val="21"/>
                <w:lang w:bidi="zh-CN"/>
              </w:rPr>
              <w:t>本项目不涉及。</w:t>
            </w:r>
          </w:p>
        </w:tc>
      </w:tr>
      <w:tr w:rsidR="002A5A5E" w:rsidRPr="00F9522B">
        <w:trPr>
          <w:trHeight w:val="1384"/>
        </w:trPr>
        <w:tc>
          <w:tcPr>
            <w:tcW w:w="668" w:type="dxa"/>
            <w:vMerge/>
            <w:vAlign w:val="center"/>
          </w:tcPr>
          <w:p w:rsidR="002A5A5E" w:rsidRPr="00F9522B" w:rsidRDefault="002A5A5E">
            <w:pPr>
              <w:spacing w:line="0" w:lineRule="atLeast"/>
              <w:contextualSpacing/>
              <w:jc w:val="center"/>
              <w:rPr>
                <w:rFonts w:eastAsiaTheme="minorEastAsia"/>
                <w:szCs w:val="21"/>
              </w:rPr>
            </w:pPr>
          </w:p>
        </w:tc>
        <w:tc>
          <w:tcPr>
            <w:tcW w:w="706" w:type="dxa"/>
            <w:vMerge/>
            <w:vAlign w:val="center"/>
          </w:tcPr>
          <w:p w:rsidR="002A5A5E" w:rsidRPr="00F9522B" w:rsidRDefault="002A5A5E">
            <w:pPr>
              <w:spacing w:line="0" w:lineRule="atLeast"/>
              <w:contextualSpacing/>
              <w:jc w:val="center"/>
              <w:rPr>
                <w:rFonts w:eastAsiaTheme="minorEastAsia"/>
                <w:szCs w:val="21"/>
              </w:rPr>
            </w:pPr>
          </w:p>
        </w:tc>
        <w:tc>
          <w:tcPr>
            <w:tcW w:w="706" w:type="dxa"/>
            <w:vMerge/>
            <w:vAlign w:val="center"/>
          </w:tcPr>
          <w:p w:rsidR="002A5A5E" w:rsidRPr="00F9522B" w:rsidRDefault="002A5A5E">
            <w:pPr>
              <w:spacing w:line="0" w:lineRule="atLeast"/>
              <w:contextualSpacing/>
              <w:jc w:val="center"/>
              <w:rPr>
                <w:rFonts w:eastAsiaTheme="minorEastAsia"/>
                <w:szCs w:val="21"/>
              </w:rPr>
            </w:pPr>
          </w:p>
        </w:tc>
        <w:tc>
          <w:tcPr>
            <w:tcW w:w="423" w:type="dxa"/>
            <w:vMerge/>
            <w:vAlign w:val="center"/>
          </w:tcPr>
          <w:p w:rsidR="002A5A5E" w:rsidRPr="00F9522B" w:rsidRDefault="002A5A5E">
            <w:pPr>
              <w:spacing w:line="0" w:lineRule="atLeast"/>
              <w:contextualSpacing/>
              <w:jc w:val="center"/>
              <w:rPr>
                <w:rFonts w:eastAsiaTheme="minorEastAsia"/>
                <w:szCs w:val="21"/>
              </w:rPr>
            </w:pPr>
          </w:p>
        </w:tc>
        <w:tc>
          <w:tcPr>
            <w:tcW w:w="3979" w:type="dxa"/>
            <w:vAlign w:val="center"/>
          </w:tcPr>
          <w:p w:rsidR="002A5A5E" w:rsidRPr="00F9522B" w:rsidRDefault="00611CBA">
            <w:pPr>
              <w:rPr>
                <w:rFonts w:eastAsiaTheme="minorEastAsia"/>
                <w:kern w:val="0"/>
                <w:szCs w:val="21"/>
              </w:rPr>
            </w:pPr>
            <w:r w:rsidRPr="00F9522B">
              <w:rPr>
                <w:rFonts w:eastAsiaTheme="minorEastAsia"/>
                <w:kern w:val="0"/>
                <w:szCs w:val="21"/>
              </w:rPr>
              <w:t>大气环境布局敏感重点管控区同时执行：</w:t>
            </w:r>
            <w:r w:rsidRPr="00F9522B">
              <w:rPr>
                <w:rFonts w:eastAsiaTheme="minorEastAsia"/>
                <w:kern w:val="0"/>
                <w:szCs w:val="21"/>
              </w:rPr>
              <w:t>1.</w:t>
            </w:r>
            <w:r w:rsidRPr="00F9522B">
              <w:rPr>
                <w:rFonts w:eastAsiaTheme="minorEastAsia"/>
                <w:kern w:val="0"/>
                <w:szCs w:val="21"/>
              </w:rPr>
              <w:t>严控</w:t>
            </w:r>
            <w:r w:rsidRPr="00F9522B">
              <w:rPr>
                <w:rFonts w:eastAsiaTheme="minorEastAsia"/>
                <w:kern w:val="0"/>
                <w:szCs w:val="21"/>
              </w:rPr>
              <w:t>“</w:t>
            </w:r>
            <w:r w:rsidRPr="00F9522B">
              <w:rPr>
                <w:rFonts w:eastAsiaTheme="minorEastAsia"/>
                <w:kern w:val="0"/>
                <w:szCs w:val="21"/>
              </w:rPr>
              <w:t>两高</w:t>
            </w:r>
            <w:r w:rsidRPr="00F9522B">
              <w:rPr>
                <w:rFonts w:eastAsiaTheme="minorEastAsia"/>
                <w:kern w:val="0"/>
                <w:szCs w:val="21"/>
              </w:rPr>
              <w:t>”</w:t>
            </w:r>
            <w:r w:rsidRPr="00F9522B">
              <w:rPr>
                <w:rFonts w:eastAsiaTheme="minorEastAsia"/>
                <w:kern w:val="0"/>
                <w:szCs w:val="21"/>
              </w:rPr>
              <w:t>行业产能。严格执行钢铁、水泥、平板玻璃等行业产能置换实施办法。</w:t>
            </w:r>
            <w:r w:rsidRPr="00F9522B">
              <w:rPr>
                <w:rFonts w:eastAsiaTheme="minorEastAsia"/>
                <w:kern w:val="0"/>
                <w:szCs w:val="21"/>
              </w:rPr>
              <w:t>2.</w:t>
            </w:r>
            <w:r w:rsidRPr="00F9522B">
              <w:rPr>
                <w:rFonts w:eastAsiaTheme="minorEastAsia"/>
                <w:kern w:val="0"/>
                <w:szCs w:val="21"/>
              </w:rPr>
              <w:t>利用水泥窑协同处置城市生活垃圾、危险废弃物、电石渣等固废伴生水泥项目，必须依托现有新型干法水泥熟料生产线进行不扩产能改造。</w:t>
            </w:r>
          </w:p>
        </w:tc>
        <w:tc>
          <w:tcPr>
            <w:tcW w:w="1953" w:type="dxa"/>
            <w:vAlign w:val="center"/>
          </w:tcPr>
          <w:p w:rsidR="002A5A5E" w:rsidRPr="00F9522B" w:rsidRDefault="00531796">
            <w:pPr>
              <w:spacing w:line="0" w:lineRule="atLeast"/>
              <w:contextualSpacing/>
              <w:jc w:val="left"/>
              <w:rPr>
                <w:rFonts w:eastAsiaTheme="minorEastAsia"/>
                <w:spacing w:val="-3"/>
                <w:kern w:val="0"/>
                <w:szCs w:val="21"/>
                <w:lang w:bidi="zh-CN"/>
              </w:rPr>
            </w:pPr>
            <w:r w:rsidRPr="00F9522B">
              <w:rPr>
                <w:rFonts w:eastAsiaTheme="minorEastAsia"/>
                <w:spacing w:val="-3"/>
                <w:kern w:val="0"/>
                <w:szCs w:val="21"/>
                <w:lang w:bidi="zh-CN"/>
              </w:rPr>
              <w:t>本项目不位于大气环境布局敏感重点管控区。</w:t>
            </w:r>
          </w:p>
        </w:tc>
      </w:tr>
    </w:tbl>
    <w:p w:rsidR="002A5A5E" w:rsidRPr="00F9522B" w:rsidRDefault="002A5A5E">
      <w:pPr>
        <w:rPr>
          <w:rFonts w:eastAsiaTheme="minorEastAsia"/>
        </w:rPr>
      </w:pPr>
    </w:p>
    <w:p w:rsidR="002A5A5E" w:rsidRPr="00F9522B" w:rsidRDefault="00611CBA">
      <w:pPr>
        <w:contextualSpacing/>
        <w:jc w:val="center"/>
        <w:rPr>
          <w:rFonts w:eastAsiaTheme="minorEastAsia"/>
          <w:b/>
          <w:szCs w:val="21"/>
        </w:rPr>
      </w:pPr>
      <w:r w:rsidRPr="00F9522B">
        <w:rPr>
          <w:rFonts w:eastAsiaTheme="minorEastAsia"/>
          <w:b/>
          <w:szCs w:val="21"/>
        </w:rPr>
        <w:lastRenderedPageBreak/>
        <w:t>续表</w:t>
      </w:r>
      <w:r w:rsidRPr="00F9522B">
        <w:rPr>
          <w:rFonts w:eastAsiaTheme="minorEastAsia"/>
          <w:b/>
          <w:szCs w:val="21"/>
        </w:rPr>
        <w:t>1-4-4</w:t>
      </w:r>
      <w:r w:rsidRPr="00F9522B">
        <w:rPr>
          <w:rFonts w:eastAsiaTheme="minorEastAsia"/>
          <w:b/>
          <w:bCs/>
          <w:szCs w:val="21"/>
        </w:rPr>
        <w:t>生态环境准入清单管控</w:t>
      </w:r>
      <w:r w:rsidRPr="00F9522B">
        <w:rPr>
          <w:rFonts w:eastAsiaTheme="minorEastAsia"/>
          <w:b/>
          <w:szCs w:val="21"/>
          <w:lang w:val="zh-CN"/>
        </w:rPr>
        <w:t>要求符合性分析</w:t>
      </w:r>
    </w:p>
    <w:tbl>
      <w:tblPr>
        <w:tblW w:w="8435" w:type="dxa"/>
        <w:tblInd w:w="5" w:type="dxa"/>
        <w:tblBorders>
          <w:top w:val="single" w:sz="12" w:space="0" w:color="auto"/>
          <w:bottom w:val="single" w:sz="12" w:space="0" w:color="auto"/>
          <w:insideH w:val="single" w:sz="4" w:space="0" w:color="auto"/>
          <w:insideV w:val="single" w:sz="4" w:space="0" w:color="auto"/>
        </w:tblBorders>
        <w:tblLayout w:type="fixed"/>
        <w:tblLook w:val="04A0"/>
      </w:tblPr>
      <w:tblGrid>
        <w:gridCol w:w="668"/>
        <w:gridCol w:w="706"/>
        <w:gridCol w:w="706"/>
        <w:gridCol w:w="423"/>
        <w:gridCol w:w="3979"/>
        <w:gridCol w:w="1953"/>
      </w:tblGrid>
      <w:tr w:rsidR="002A5A5E" w:rsidRPr="00F9522B">
        <w:trPr>
          <w:trHeight w:val="3743"/>
        </w:trPr>
        <w:tc>
          <w:tcPr>
            <w:tcW w:w="668" w:type="dxa"/>
            <w:vMerge w:val="restart"/>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szCs w:val="21"/>
              </w:rPr>
              <w:t>ZH23011120003</w:t>
            </w:r>
          </w:p>
        </w:tc>
        <w:tc>
          <w:tcPr>
            <w:tcW w:w="706" w:type="dxa"/>
            <w:vMerge w:val="restart"/>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szCs w:val="21"/>
              </w:rPr>
              <w:t>呼兰区城镇空间</w:t>
            </w:r>
          </w:p>
        </w:tc>
        <w:tc>
          <w:tcPr>
            <w:tcW w:w="706" w:type="dxa"/>
            <w:vMerge w:val="restart"/>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重点管控单元</w:t>
            </w:r>
          </w:p>
        </w:tc>
        <w:tc>
          <w:tcPr>
            <w:tcW w:w="423" w:type="dxa"/>
            <w:vMerge w:val="restart"/>
            <w:vAlign w:val="center"/>
          </w:tcPr>
          <w:p w:rsidR="002A5A5E" w:rsidRPr="00F9522B" w:rsidRDefault="00611CBA">
            <w:pPr>
              <w:spacing w:line="0" w:lineRule="atLeast"/>
              <w:contextualSpacing/>
              <w:jc w:val="center"/>
              <w:rPr>
                <w:rFonts w:eastAsiaTheme="minorEastAsia"/>
                <w:spacing w:val="-3"/>
                <w:kern w:val="0"/>
                <w:szCs w:val="21"/>
                <w:lang w:bidi="zh-CN"/>
              </w:rPr>
            </w:pPr>
            <w:r w:rsidRPr="00F9522B">
              <w:rPr>
                <w:rFonts w:eastAsiaTheme="minorEastAsia"/>
                <w:spacing w:val="-3"/>
                <w:kern w:val="0"/>
                <w:szCs w:val="21"/>
                <w:lang w:bidi="zh-CN"/>
              </w:rPr>
              <w:t>污染物排放管控</w:t>
            </w:r>
          </w:p>
        </w:tc>
        <w:tc>
          <w:tcPr>
            <w:tcW w:w="3979" w:type="dxa"/>
            <w:vAlign w:val="center"/>
          </w:tcPr>
          <w:p w:rsidR="002A5A5E" w:rsidRPr="00F9522B" w:rsidRDefault="00611CBA">
            <w:pPr>
              <w:rPr>
                <w:rFonts w:eastAsiaTheme="minorEastAsia"/>
                <w:kern w:val="0"/>
                <w:sz w:val="24"/>
              </w:rPr>
            </w:pPr>
            <w:r w:rsidRPr="00F9522B">
              <w:rPr>
                <w:rFonts w:eastAsiaTheme="minorEastAsia"/>
                <w:kern w:val="0"/>
                <w:szCs w:val="21"/>
              </w:rPr>
              <w:t>一、区域内新建、改扩建项目废气污染物二氧化硫、氮氧化物和细颗粒物排放总量应</w:t>
            </w:r>
            <w:r w:rsidRPr="00F9522B">
              <w:rPr>
                <w:rFonts w:eastAsiaTheme="minorEastAsia"/>
                <w:kern w:val="0"/>
                <w:szCs w:val="21"/>
              </w:rPr>
              <w:t>1.5</w:t>
            </w:r>
            <w:r w:rsidRPr="00F9522B">
              <w:rPr>
                <w:rFonts w:eastAsiaTheme="minorEastAsia"/>
                <w:kern w:val="0"/>
                <w:szCs w:val="21"/>
              </w:rPr>
              <w:t>倍减量置换。二、执行要求：加快</w:t>
            </w:r>
            <w:r w:rsidRPr="00F9522B">
              <w:rPr>
                <w:rFonts w:eastAsiaTheme="minorEastAsia"/>
                <w:kern w:val="0"/>
                <w:szCs w:val="21"/>
              </w:rPr>
              <w:t>65t/h</w:t>
            </w:r>
            <w:r w:rsidRPr="00F9522B">
              <w:rPr>
                <w:rFonts w:eastAsiaTheme="minorEastAsia"/>
                <w:kern w:val="0"/>
                <w:szCs w:val="21"/>
              </w:rPr>
              <w:t>以上燃煤锅炉（含电力）超低排放改造。大气环境布局敏感重点管控区同时执行：</w:t>
            </w:r>
            <w:r w:rsidRPr="00F9522B">
              <w:rPr>
                <w:rFonts w:eastAsiaTheme="minorEastAsia"/>
                <w:kern w:val="0"/>
                <w:szCs w:val="21"/>
              </w:rPr>
              <w:t>1.</w:t>
            </w:r>
            <w:r w:rsidRPr="00F9522B">
              <w:rPr>
                <w:rFonts w:eastAsiaTheme="minorEastAsia"/>
                <w:kern w:val="0"/>
                <w:szCs w:val="21"/>
              </w:rPr>
              <w:t>对以煤、石焦油、渣油、重油等为燃料的锅炉和工业炉窑，加快使用清洁低碳能源以及工厂余热、电力热力等进行替代。</w:t>
            </w:r>
            <w:r w:rsidRPr="00F9522B">
              <w:rPr>
                <w:rFonts w:eastAsiaTheme="minorEastAsia"/>
                <w:kern w:val="0"/>
                <w:szCs w:val="21"/>
              </w:rPr>
              <w:t>2.</w:t>
            </w:r>
            <w:r w:rsidRPr="00F9522B">
              <w:rPr>
                <w:rFonts w:eastAsiaTheme="minorEastAsia"/>
                <w:kern w:val="0"/>
                <w:szCs w:val="21"/>
              </w:rPr>
              <w:t>到</w:t>
            </w:r>
            <w:r w:rsidRPr="00F9522B">
              <w:rPr>
                <w:rFonts w:eastAsiaTheme="minorEastAsia"/>
                <w:kern w:val="0"/>
                <w:szCs w:val="21"/>
              </w:rPr>
              <w:t>2025</w:t>
            </w:r>
            <w:r w:rsidRPr="00F9522B">
              <w:rPr>
                <w:rFonts w:eastAsiaTheme="minorEastAsia"/>
                <w:kern w:val="0"/>
                <w:szCs w:val="21"/>
              </w:rPr>
              <w:t>年，在用</w:t>
            </w:r>
            <w:r w:rsidRPr="00F9522B">
              <w:rPr>
                <w:rFonts w:eastAsiaTheme="minorEastAsia"/>
                <w:kern w:val="0"/>
                <w:szCs w:val="21"/>
              </w:rPr>
              <w:t>65</w:t>
            </w:r>
            <w:r w:rsidRPr="00F9522B">
              <w:rPr>
                <w:rFonts w:eastAsiaTheme="minorEastAsia"/>
                <w:kern w:val="0"/>
                <w:szCs w:val="21"/>
              </w:rPr>
              <w:t>蒸吨</w:t>
            </w:r>
            <w:r w:rsidRPr="00F9522B">
              <w:rPr>
                <w:rFonts w:eastAsiaTheme="minorEastAsia"/>
                <w:kern w:val="0"/>
                <w:szCs w:val="21"/>
              </w:rPr>
              <w:t>/</w:t>
            </w:r>
            <w:r w:rsidRPr="00F9522B">
              <w:rPr>
                <w:rFonts w:eastAsiaTheme="minorEastAsia"/>
                <w:kern w:val="0"/>
                <w:szCs w:val="21"/>
              </w:rPr>
              <w:t>小时以上的燃煤锅炉（含电力）实现超低排放，钢铁企业基本实现超低排放。</w:t>
            </w:r>
          </w:p>
        </w:tc>
        <w:tc>
          <w:tcPr>
            <w:tcW w:w="1953" w:type="dxa"/>
            <w:vAlign w:val="center"/>
          </w:tcPr>
          <w:p w:rsidR="002A5A5E" w:rsidRPr="00F9522B" w:rsidRDefault="00611CBA">
            <w:pPr>
              <w:spacing w:line="0" w:lineRule="atLeast"/>
              <w:contextualSpacing/>
              <w:jc w:val="left"/>
              <w:rPr>
                <w:rFonts w:eastAsiaTheme="minorEastAsia"/>
                <w:spacing w:val="-3"/>
                <w:kern w:val="0"/>
                <w:szCs w:val="21"/>
                <w:lang w:bidi="zh-CN"/>
              </w:rPr>
            </w:pPr>
            <w:r w:rsidRPr="00F9522B">
              <w:rPr>
                <w:rFonts w:eastAsiaTheme="minorEastAsia"/>
                <w:spacing w:val="-3"/>
                <w:kern w:val="0"/>
                <w:szCs w:val="21"/>
                <w:lang w:bidi="zh-CN"/>
              </w:rPr>
              <w:t>本项目为高标准农田建设项目，运营期排水沟仅在降水无法排出情况下采用柴油机移动泵车进行排水，使用时间较短</w:t>
            </w:r>
            <w:r w:rsidRPr="00F9522B">
              <w:rPr>
                <w:rFonts w:eastAsiaTheme="minorEastAsia"/>
                <w:szCs w:val="21"/>
              </w:rPr>
              <w:t>。不建设锅炉，因此符合</w:t>
            </w:r>
            <w:r w:rsidRPr="00F9522B">
              <w:rPr>
                <w:rFonts w:eastAsiaTheme="minorEastAsia"/>
                <w:spacing w:val="-3"/>
                <w:kern w:val="0"/>
                <w:szCs w:val="21"/>
                <w:lang w:bidi="zh-CN"/>
              </w:rPr>
              <w:t>污染物排放管控要求</w:t>
            </w:r>
            <w:r w:rsidRPr="00F9522B">
              <w:rPr>
                <w:rFonts w:eastAsiaTheme="minorEastAsia"/>
                <w:szCs w:val="21"/>
              </w:rPr>
              <w:t>。</w:t>
            </w:r>
          </w:p>
        </w:tc>
      </w:tr>
      <w:tr w:rsidR="002A5A5E" w:rsidRPr="00F9522B">
        <w:trPr>
          <w:trHeight w:val="3742"/>
        </w:trPr>
        <w:tc>
          <w:tcPr>
            <w:tcW w:w="668" w:type="dxa"/>
            <w:vMerge/>
            <w:vAlign w:val="center"/>
          </w:tcPr>
          <w:p w:rsidR="002A5A5E" w:rsidRPr="00F9522B" w:rsidRDefault="002A5A5E">
            <w:pPr>
              <w:spacing w:line="0" w:lineRule="atLeast"/>
              <w:contextualSpacing/>
              <w:jc w:val="center"/>
              <w:rPr>
                <w:rFonts w:eastAsiaTheme="minorEastAsia"/>
                <w:kern w:val="0"/>
                <w:szCs w:val="21"/>
              </w:rPr>
            </w:pPr>
          </w:p>
        </w:tc>
        <w:tc>
          <w:tcPr>
            <w:tcW w:w="706" w:type="dxa"/>
            <w:vMerge/>
            <w:vAlign w:val="center"/>
          </w:tcPr>
          <w:p w:rsidR="002A5A5E" w:rsidRPr="00F9522B" w:rsidRDefault="002A5A5E">
            <w:pPr>
              <w:spacing w:line="0" w:lineRule="atLeast"/>
              <w:contextualSpacing/>
              <w:jc w:val="center"/>
              <w:rPr>
                <w:rFonts w:eastAsiaTheme="minorEastAsia"/>
                <w:kern w:val="0"/>
                <w:szCs w:val="21"/>
              </w:rPr>
            </w:pPr>
          </w:p>
        </w:tc>
        <w:tc>
          <w:tcPr>
            <w:tcW w:w="706" w:type="dxa"/>
            <w:vMerge/>
            <w:vAlign w:val="center"/>
          </w:tcPr>
          <w:p w:rsidR="002A5A5E" w:rsidRPr="00F9522B" w:rsidRDefault="002A5A5E">
            <w:pPr>
              <w:spacing w:line="0" w:lineRule="atLeast"/>
              <w:contextualSpacing/>
              <w:jc w:val="center"/>
              <w:rPr>
                <w:rFonts w:eastAsiaTheme="minorEastAsia"/>
                <w:szCs w:val="21"/>
              </w:rPr>
            </w:pPr>
          </w:p>
        </w:tc>
        <w:tc>
          <w:tcPr>
            <w:tcW w:w="423" w:type="dxa"/>
            <w:vMerge/>
            <w:vAlign w:val="center"/>
          </w:tcPr>
          <w:p w:rsidR="002A5A5E" w:rsidRPr="00F9522B" w:rsidRDefault="002A5A5E">
            <w:pPr>
              <w:spacing w:line="0" w:lineRule="atLeast"/>
              <w:contextualSpacing/>
              <w:jc w:val="center"/>
              <w:rPr>
                <w:rFonts w:eastAsiaTheme="minorEastAsia"/>
                <w:spacing w:val="-3"/>
                <w:kern w:val="0"/>
                <w:szCs w:val="21"/>
                <w:lang w:bidi="zh-CN"/>
              </w:rPr>
            </w:pPr>
          </w:p>
        </w:tc>
        <w:tc>
          <w:tcPr>
            <w:tcW w:w="3979" w:type="dxa"/>
            <w:vAlign w:val="center"/>
          </w:tcPr>
          <w:p w:rsidR="002A5A5E" w:rsidRPr="00F9522B" w:rsidRDefault="00611CBA">
            <w:pPr>
              <w:rPr>
                <w:rFonts w:eastAsiaTheme="minorEastAsia"/>
                <w:kern w:val="0"/>
                <w:szCs w:val="21"/>
              </w:rPr>
            </w:pPr>
            <w:r w:rsidRPr="00F9522B">
              <w:rPr>
                <w:rFonts w:eastAsiaTheme="minorEastAsia"/>
                <w:kern w:val="0"/>
                <w:szCs w:val="21"/>
              </w:rPr>
              <w:t>水环境城镇生活污染重点管控区执行：</w:t>
            </w:r>
            <w:r w:rsidRPr="00F9522B">
              <w:rPr>
                <w:rFonts w:eastAsiaTheme="minorEastAsia"/>
                <w:kern w:val="0"/>
                <w:szCs w:val="21"/>
              </w:rPr>
              <w:t>1.</w:t>
            </w:r>
            <w:r w:rsidRPr="00F9522B">
              <w:rPr>
                <w:rFonts w:eastAsiaTheme="minorEastAsia"/>
                <w:kern w:val="0"/>
                <w:szCs w:val="21"/>
              </w:rPr>
              <w:t>新区污水管网规划建设应当与城市开发同步推进，除干旱地区外均实行雨污分流。</w:t>
            </w:r>
            <w:r w:rsidRPr="00F9522B">
              <w:rPr>
                <w:rFonts w:eastAsiaTheme="minorEastAsia"/>
                <w:kern w:val="0"/>
                <w:szCs w:val="21"/>
              </w:rPr>
              <w:t>2.</w:t>
            </w:r>
            <w:r w:rsidRPr="00F9522B">
              <w:rPr>
                <w:rFonts w:eastAsiaTheme="minorEastAsia"/>
                <w:kern w:val="0"/>
                <w:szCs w:val="21"/>
              </w:rPr>
              <w:t>强化城中村、老旧城区和城乡结合部污水截流、收集。</w:t>
            </w:r>
            <w:r w:rsidRPr="00F9522B">
              <w:rPr>
                <w:rFonts w:eastAsiaTheme="minorEastAsia"/>
                <w:kern w:val="0"/>
                <w:szCs w:val="21"/>
              </w:rPr>
              <w:t>3.</w:t>
            </w:r>
            <w:r w:rsidRPr="00F9522B">
              <w:rPr>
                <w:rFonts w:eastAsiaTheme="minorEastAsia"/>
                <w:kern w:val="0"/>
                <w:szCs w:val="21"/>
              </w:rPr>
              <w:t>推进合流制排水系统雨污分流改造，难以改造的，应采取截流、调蓄和治理等措施；推进现有污水处理设施配套管网建设；进一步提高城市、县城生活污水收集处理效能。</w:t>
            </w:r>
            <w:r w:rsidRPr="00F9522B">
              <w:rPr>
                <w:rFonts w:eastAsiaTheme="minorEastAsia"/>
                <w:kern w:val="0"/>
                <w:szCs w:val="21"/>
              </w:rPr>
              <w:t>4.</w:t>
            </w:r>
            <w:r w:rsidRPr="00F9522B">
              <w:rPr>
                <w:rFonts w:eastAsiaTheme="minorEastAsia"/>
                <w:kern w:val="0"/>
                <w:szCs w:val="21"/>
              </w:rPr>
              <w:t>县级以上人民政府应当根据国土空间、水污染防治、城镇排水与污水处理等规划，合理确定城镇排水与污水处理设施建设标准，统筹安排管网、泵站、污水处理厂以及污泥处理处置、再生水利用、雨水调蓄和排放等排水与污水处理设施建设和改造，提高城镇污水收集率和处理率。</w:t>
            </w:r>
          </w:p>
        </w:tc>
        <w:tc>
          <w:tcPr>
            <w:tcW w:w="1953" w:type="dxa"/>
            <w:vAlign w:val="center"/>
          </w:tcPr>
          <w:p w:rsidR="002A5A5E" w:rsidRPr="00F9522B" w:rsidRDefault="00611CBA">
            <w:pPr>
              <w:spacing w:line="0" w:lineRule="atLeast"/>
              <w:contextualSpacing/>
              <w:jc w:val="left"/>
              <w:rPr>
                <w:rFonts w:eastAsiaTheme="minorEastAsia"/>
                <w:spacing w:val="-3"/>
                <w:kern w:val="0"/>
                <w:szCs w:val="21"/>
                <w:lang w:bidi="zh-CN"/>
              </w:rPr>
            </w:pPr>
            <w:r w:rsidRPr="00F9522B">
              <w:rPr>
                <w:rFonts w:eastAsiaTheme="minorEastAsia"/>
                <w:spacing w:val="-3"/>
                <w:kern w:val="0"/>
                <w:szCs w:val="21"/>
                <w:lang w:bidi="zh-CN"/>
              </w:rPr>
              <w:t>本项目不涉及。</w:t>
            </w:r>
          </w:p>
        </w:tc>
      </w:tr>
      <w:tr w:rsidR="002A5A5E" w:rsidRPr="00F9522B">
        <w:trPr>
          <w:trHeight w:val="3742"/>
        </w:trPr>
        <w:tc>
          <w:tcPr>
            <w:tcW w:w="668" w:type="dxa"/>
            <w:vMerge/>
            <w:vAlign w:val="center"/>
          </w:tcPr>
          <w:p w:rsidR="002A5A5E" w:rsidRPr="00F9522B" w:rsidRDefault="002A5A5E">
            <w:pPr>
              <w:spacing w:line="0" w:lineRule="atLeast"/>
              <w:contextualSpacing/>
              <w:jc w:val="center"/>
              <w:rPr>
                <w:rFonts w:eastAsiaTheme="minorEastAsia"/>
                <w:kern w:val="0"/>
                <w:szCs w:val="21"/>
              </w:rPr>
            </w:pPr>
          </w:p>
        </w:tc>
        <w:tc>
          <w:tcPr>
            <w:tcW w:w="706" w:type="dxa"/>
            <w:vMerge/>
            <w:vAlign w:val="center"/>
          </w:tcPr>
          <w:p w:rsidR="002A5A5E" w:rsidRPr="00F9522B" w:rsidRDefault="002A5A5E">
            <w:pPr>
              <w:spacing w:line="0" w:lineRule="atLeast"/>
              <w:contextualSpacing/>
              <w:jc w:val="center"/>
              <w:rPr>
                <w:rFonts w:eastAsiaTheme="minorEastAsia"/>
                <w:kern w:val="0"/>
                <w:szCs w:val="21"/>
              </w:rPr>
            </w:pPr>
          </w:p>
        </w:tc>
        <w:tc>
          <w:tcPr>
            <w:tcW w:w="706" w:type="dxa"/>
            <w:vMerge/>
            <w:vAlign w:val="center"/>
          </w:tcPr>
          <w:p w:rsidR="002A5A5E" w:rsidRPr="00F9522B" w:rsidRDefault="002A5A5E">
            <w:pPr>
              <w:spacing w:line="0" w:lineRule="atLeast"/>
              <w:contextualSpacing/>
              <w:jc w:val="center"/>
              <w:rPr>
                <w:rFonts w:eastAsiaTheme="minorEastAsia"/>
                <w:szCs w:val="21"/>
              </w:rPr>
            </w:pPr>
          </w:p>
        </w:tc>
        <w:tc>
          <w:tcPr>
            <w:tcW w:w="423" w:type="dxa"/>
            <w:vMerge/>
            <w:vAlign w:val="center"/>
          </w:tcPr>
          <w:p w:rsidR="002A5A5E" w:rsidRPr="00F9522B" w:rsidRDefault="002A5A5E">
            <w:pPr>
              <w:spacing w:line="0" w:lineRule="atLeast"/>
              <w:contextualSpacing/>
              <w:jc w:val="center"/>
              <w:rPr>
                <w:rFonts w:eastAsiaTheme="minorEastAsia"/>
                <w:spacing w:val="-3"/>
                <w:kern w:val="0"/>
                <w:szCs w:val="21"/>
                <w:lang w:bidi="zh-CN"/>
              </w:rPr>
            </w:pPr>
          </w:p>
        </w:tc>
        <w:tc>
          <w:tcPr>
            <w:tcW w:w="3979" w:type="dxa"/>
            <w:vAlign w:val="center"/>
          </w:tcPr>
          <w:p w:rsidR="002A5A5E" w:rsidRPr="00F9522B" w:rsidRDefault="00611CBA">
            <w:pPr>
              <w:rPr>
                <w:rFonts w:eastAsiaTheme="minorEastAsia"/>
                <w:kern w:val="0"/>
                <w:szCs w:val="21"/>
              </w:rPr>
            </w:pPr>
            <w:r w:rsidRPr="00F9522B">
              <w:rPr>
                <w:rFonts w:eastAsiaTheme="minorEastAsia"/>
                <w:kern w:val="0"/>
                <w:szCs w:val="21"/>
              </w:rPr>
              <w:t>水环境农业污染重点管控区同时执行：</w:t>
            </w:r>
            <w:r w:rsidRPr="00F9522B">
              <w:rPr>
                <w:rFonts w:eastAsiaTheme="minorEastAsia"/>
                <w:kern w:val="0"/>
                <w:szCs w:val="21"/>
              </w:rPr>
              <w:t>1.</w:t>
            </w:r>
            <w:r w:rsidRPr="00F9522B">
              <w:rPr>
                <w:rFonts w:eastAsiaTheme="minorEastAsia"/>
                <w:kern w:val="0"/>
                <w:szCs w:val="21"/>
              </w:rPr>
              <w:t>支持规模化畜禽养殖场（小区）开展标准化改造和建设，提高畜禽粪污收集和处理机械化水平，实施雨污分流、粪污资源化利用，控制畜禽养殖污染排放。</w:t>
            </w:r>
            <w:r w:rsidRPr="00F9522B">
              <w:rPr>
                <w:rFonts w:eastAsiaTheme="minorEastAsia"/>
                <w:kern w:val="0"/>
                <w:szCs w:val="21"/>
              </w:rPr>
              <w:t>2.</w:t>
            </w:r>
            <w:r w:rsidRPr="00F9522B">
              <w:rPr>
                <w:rFonts w:eastAsiaTheme="minorEastAsia"/>
                <w:kern w:val="0"/>
                <w:szCs w:val="21"/>
              </w:rPr>
              <w:t>畜禽散养密集区所在地县级人民政府应当组织对畜禽粪便、污水进行集中处理利用，督促乡镇人民政府建设或者配备污染防治配套设施。</w:t>
            </w:r>
            <w:r w:rsidRPr="00F9522B">
              <w:rPr>
                <w:rFonts w:eastAsiaTheme="minorEastAsia"/>
                <w:kern w:val="0"/>
                <w:szCs w:val="21"/>
              </w:rPr>
              <w:t>3.</w:t>
            </w:r>
            <w:r w:rsidRPr="00F9522B">
              <w:rPr>
                <w:rFonts w:eastAsiaTheme="minorEastAsia"/>
                <w:kern w:val="0"/>
                <w:szCs w:val="21"/>
              </w:rPr>
              <w:t>全面加强农业面源污染防控，科学合理使用农业投入品，提高使用效率，减少农业内源性污染。</w:t>
            </w:r>
          </w:p>
        </w:tc>
        <w:tc>
          <w:tcPr>
            <w:tcW w:w="1953" w:type="dxa"/>
            <w:vAlign w:val="center"/>
          </w:tcPr>
          <w:p w:rsidR="002A5A5E" w:rsidRPr="00F9522B" w:rsidRDefault="00611CBA">
            <w:pPr>
              <w:spacing w:line="0" w:lineRule="atLeast"/>
              <w:contextualSpacing/>
              <w:jc w:val="left"/>
              <w:rPr>
                <w:rFonts w:eastAsiaTheme="minorEastAsia"/>
                <w:spacing w:val="-3"/>
                <w:kern w:val="0"/>
                <w:szCs w:val="21"/>
                <w:lang w:bidi="zh-CN"/>
              </w:rPr>
            </w:pPr>
            <w:r w:rsidRPr="00F9522B">
              <w:rPr>
                <w:rFonts w:eastAsiaTheme="minorEastAsia"/>
                <w:spacing w:val="-3"/>
                <w:kern w:val="0"/>
                <w:szCs w:val="21"/>
                <w:lang w:bidi="zh-CN"/>
              </w:rPr>
              <w:t>本项目为高标准农田建设项目</w:t>
            </w:r>
            <w:r w:rsidRPr="00F9522B">
              <w:rPr>
                <w:rFonts w:eastAsiaTheme="minorEastAsia"/>
                <w:kern w:val="0"/>
                <w:szCs w:val="21"/>
              </w:rPr>
              <w:t>，</w:t>
            </w:r>
            <w:r w:rsidRPr="00F9522B">
              <w:rPr>
                <w:rFonts w:eastAsiaTheme="minorEastAsia"/>
                <w:kern w:val="0"/>
              </w:rPr>
              <w:t>项目施行</w:t>
            </w:r>
            <w:r w:rsidRPr="00F9522B">
              <w:rPr>
                <w:rFonts w:eastAsiaTheme="minorEastAsia"/>
                <w:kern w:val="0"/>
              </w:rPr>
              <w:t>“</w:t>
            </w:r>
            <w:r w:rsidRPr="00F9522B">
              <w:rPr>
                <w:rFonts w:eastAsiaTheme="minorEastAsia"/>
                <w:kern w:val="0"/>
              </w:rPr>
              <w:t>三减</w:t>
            </w:r>
            <w:r w:rsidRPr="00F9522B">
              <w:rPr>
                <w:rFonts w:eastAsiaTheme="minorEastAsia"/>
                <w:kern w:val="0"/>
              </w:rPr>
              <w:t>”</w:t>
            </w:r>
            <w:r w:rsidRPr="00F9522B">
              <w:rPr>
                <w:rFonts w:eastAsiaTheme="minorEastAsia"/>
                <w:kern w:val="0"/>
              </w:rPr>
              <w:t>行动，即减化肥、减农药、减除草剂，积极推广科学施肥，使化肥、农药实现减量化施用，增加有机肥的施用，优化调整农药施用结构，控制农药施用量，</w:t>
            </w:r>
            <w:r w:rsidRPr="00F9522B">
              <w:rPr>
                <w:rStyle w:val="CharChar"/>
                <w:rFonts w:hAnsi="Times New Roman"/>
              </w:rPr>
              <w:t>采取测土配方施肥、水肥一体化措施</w:t>
            </w:r>
            <w:r w:rsidRPr="00F9522B">
              <w:rPr>
                <w:rFonts w:eastAsiaTheme="minorEastAsia"/>
                <w:kern w:val="0"/>
              </w:rPr>
              <w:t>。</w:t>
            </w:r>
            <w:r w:rsidRPr="00F9522B">
              <w:rPr>
                <w:rFonts w:eastAsiaTheme="minorEastAsia"/>
                <w:szCs w:val="21"/>
              </w:rPr>
              <w:t>因此符合</w:t>
            </w:r>
            <w:r w:rsidRPr="00F9522B">
              <w:rPr>
                <w:rFonts w:eastAsiaTheme="minorEastAsia"/>
                <w:spacing w:val="-3"/>
                <w:kern w:val="0"/>
                <w:szCs w:val="21"/>
                <w:lang w:bidi="zh-CN"/>
              </w:rPr>
              <w:t>污染物排放管控要求</w:t>
            </w:r>
            <w:r w:rsidRPr="00F9522B">
              <w:rPr>
                <w:rFonts w:eastAsiaTheme="minorEastAsia"/>
                <w:szCs w:val="21"/>
              </w:rPr>
              <w:t>。</w:t>
            </w:r>
          </w:p>
        </w:tc>
      </w:tr>
    </w:tbl>
    <w:p w:rsidR="002A5A5E" w:rsidRPr="00F9522B" w:rsidRDefault="002A5A5E">
      <w:pPr>
        <w:rPr>
          <w:rFonts w:eastAsiaTheme="minorEastAsia"/>
        </w:rPr>
      </w:pPr>
    </w:p>
    <w:p w:rsidR="002A5A5E" w:rsidRPr="00F9522B" w:rsidRDefault="002A5A5E">
      <w:pPr>
        <w:rPr>
          <w:rFonts w:eastAsiaTheme="minorEastAsia"/>
        </w:rPr>
      </w:pPr>
    </w:p>
    <w:p w:rsidR="002A5A5E" w:rsidRPr="00F9522B" w:rsidRDefault="00611CBA">
      <w:pPr>
        <w:contextualSpacing/>
        <w:jc w:val="center"/>
        <w:rPr>
          <w:rFonts w:eastAsiaTheme="minorEastAsia"/>
          <w:b/>
          <w:szCs w:val="21"/>
        </w:rPr>
      </w:pPr>
      <w:r w:rsidRPr="00F9522B">
        <w:rPr>
          <w:rFonts w:eastAsiaTheme="minorEastAsia"/>
          <w:b/>
          <w:szCs w:val="21"/>
        </w:rPr>
        <w:lastRenderedPageBreak/>
        <w:t>续表</w:t>
      </w:r>
      <w:r w:rsidRPr="00F9522B">
        <w:rPr>
          <w:rFonts w:eastAsiaTheme="minorEastAsia"/>
          <w:b/>
          <w:szCs w:val="21"/>
        </w:rPr>
        <w:t>1-4-4</w:t>
      </w:r>
      <w:r w:rsidRPr="00F9522B">
        <w:rPr>
          <w:rFonts w:eastAsiaTheme="minorEastAsia"/>
          <w:b/>
          <w:bCs/>
          <w:szCs w:val="21"/>
        </w:rPr>
        <w:t>生态环境准入清单管控</w:t>
      </w:r>
      <w:r w:rsidRPr="00F9522B">
        <w:rPr>
          <w:rFonts w:eastAsiaTheme="minorEastAsia"/>
          <w:b/>
          <w:szCs w:val="21"/>
          <w:lang w:val="zh-CN"/>
        </w:rPr>
        <w:t>要求符合性分析</w:t>
      </w:r>
    </w:p>
    <w:tbl>
      <w:tblPr>
        <w:tblW w:w="8435" w:type="dxa"/>
        <w:tblInd w:w="5" w:type="dxa"/>
        <w:tblBorders>
          <w:top w:val="single" w:sz="12" w:space="0" w:color="auto"/>
          <w:bottom w:val="single" w:sz="12" w:space="0" w:color="auto"/>
          <w:insideH w:val="single" w:sz="4" w:space="0" w:color="auto"/>
          <w:insideV w:val="single" w:sz="4" w:space="0" w:color="auto"/>
        </w:tblBorders>
        <w:tblLayout w:type="fixed"/>
        <w:tblLook w:val="04A0"/>
      </w:tblPr>
      <w:tblGrid>
        <w:gridCol w:w="668"/>
        <w:gridCol w:w="706"/>
        <w:gridCol w:w="706"/>
        <w:gridCol w:w="423"/>
        <w:gridCol w:w="4404"/>
        <w:gridCol w:w="1528"/>
      </w:tblGrid>
      <w:tr w:rsidR="002A5A5E" w:rsidRPr="00F9522B">
        <w:trPr>
          <w:trHeight w:val="2261"/>
        </w:trPr>
        <w:tc>
          <w:tcPr>
            <w:tcW w:w="668" w:type="dxa"/>
            <w:vMerge w:val="restart"/>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szCs w:val="21"/>
              </w:rPr>
              <w:t>ZH23011120003</w:t>
            </w:r>
          </w:p>
        </w:tc>
        <w:tc>
          <w:tcPr>
            <w:tcW w:w="706" w:type="dxa"/>
            <w:vMerge w:val="restart"/>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szCs w:val="21"/>
              </w:rPr>
              <w:t>呼兰区城镇空间</w:t>
            </w:r>
          </w:p>
        </w:tc>
        <w:tc>
          <w:tcPr>
            <w:tcW w:w="706" w:type="dxa"/>
            <w:vMerge w:val="restart"/>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重点管控单元</w:t>
            </w:r>
          </w:p>
        </w:tc>
        <w:tc>
          <w:tcPr>
            <w:tcW w:w="423" w:type="dxa"/>
            <w:vMerge w:val="restart"/>
            <w:vAlign w:val="center"/>
          </w:tcPr>
          <w:p w:rsidR="002A5A5E" w:rsidRPr="00F9522B" w:rsidRDefault="00611CBA">
            <w:pPr>
              <w:spacing w:line="0" w:lineRule="atLeast"/>
              <w:contextualSpacing/>
              <w:jc w:val="center"/>
              <w:rPr>
                <w:rFonts w:eastAsiaTheme="minorEastAsia"/>
                <w:spacing w:val="-3"/>
                <w:kern w:val="0"/>
                <w:szCs w:val="21"/>
                <w:lang w:bidi="zh-CN"/>
              </w:rPr>
            </w:pPr>
            <w:r w:rsidRPr="00F9522B">
              <w:rPr>
                <w:rFonts w:eastAsiaTheme="minorEastAsia"/>
                <w:spacing w:val="-3"/>
                <w:kern w:val="0"/>
                <w:szCs w:val="21"/>
                <w:lang w:bidi="zh-CN"/>
              </w:rPr>
              <w:t>污染物排放管控</w:t>
            </w:r>
          </w:p>
        </w:tc>
        <w:tc>
          <w:tcPr>
            <w:tcW w:w="4404" w:type="dxa"/>
            <w:vAlign w:val="center"/>
          </w:tcPr>
          <w:p w:rsidR="002A5A5E" w:rsidRPr="00F9522B" w:rsidRDefault="00611CBA">
            <w:pPr>
              <w:rPr>
                <w:rFonts w:eastAsiaTheme="minorEastAsia"/>
                <w:kern w:val="0"/>
                <w:szCs w:val="21"/>
              </w:rPr>
            </w:pPr>
            <w:r w:rsidRPr="00F9522B">
              <w:rPr>
                <w:rFonts w:eastAsiaTheme="minorEastAsia"/>
                <w:kern w:val="0"/>
                <w:szCs w:val="21"/>
              </w:rPr>
              <w:t>水环境工业污染重点管控区同时执行：</w:t>
            </w:r>
            <w:r w:rsidRPr="00F9522B">
              <w:rPr>
                <w:rFonts w:eastAsiaTheme="minorEastAsia"/>
                <w:kern w:val="0"/>
                <w:szCs w:val="21"/>
              </w:rPr>
              <w:t>1.</w:t>
            </w:r>
            <w:r w:rsidRPr="00F9522B">
              <w:rPr>
                <w:rFonts w:eastAsiaTheme="minorEastAsia"/>
                <w:kern w:val="0"/>
                <w:szCs w:val="21"/>
              </w:rPr>
              <w:t>新建、改建和扩建项目应当优先采用资源利用率高以及污染物产生量少的清洁生产技术、工艺和设备。</w:t>
            </w:r>
            <w:r w:rsidRPr="00F9522B">
              <w:rPr>
                <w:rFonts w:eastAsiaTheme="minorEastAsia"/>
                <w:kern w:val="0"/>
                <w:szCs w:val="21"/>
              </w:rPr>
              <w:t>2.</w:t>
            </w:r>
            <w:r w:rsidRPr="00F9522B">
              <w:rPr>
                <w:rFonts w:eastAsiaTheme="minorEastAsia"/>
                <w:kern w:val="0"/>
                <w:szCs w:val="21"/>
              </w:rPr>
              <w:t>集中治理工业集聚区内工业废水，区内工业废水必须经预处理达到集中处理要求后，方可进入污水集中处理设施。新建、升级工业集聚区应同步规划和建设污水、垃圾集中处理等污染治理设施。</w:t>
            </w:r>
          </w:p>
        </w:tc>
        <w:tc>
          <w:tcPr>
            <w:tcW w:w="1528" w:type="dxa"/>
            <w:vAlign w:val="center"/>
          </w:tcPr>
          <w:p w:rsidR="002A5A5E" w:rsidRPr="00F9522B" w:rsidRDefault="00611CBA">
            <w:pPr>
              <w:spacing w:line="0" w:lineRule="atLeast"/>
              <w:contextualSpacing/>
              <w:jc w:val="left"/>
              <w:rPr>
                <w:rFonts w:eastAsiaTheme="minorEastAsia"/>
                <w:spacing w:val="-3"/>
                <w:kern w:val="0"/>
                <w:szCs w:val="21"/>
                <w:lang w:bidi="zh-CN"/>
              </w:rPr>
            </w:pPr>
            <w:r w:rsidRPr="00F9522B">
              <w:rPr>
                <w:rFonts w:eastAsiaTheme="minorEastAsia"/>
                <w:spacing w:val="-3"/>
                <w:kern w:val="0"/>
                <w:szCs w:val="21"/>
                <w:lang w:bidi="zh-CN"/>
              </w:rPr>
              <w:t>本项目不涉及。</w:t>
            </w:r>
          </w:p>
        </w:tc>
      </w:tr>
      <w:tr w:rsidR="002A5A5E" w:rsidRPr="00F9522B">
        <w:trPr>
          <w:trHeight w:val="2260"/>
        </w:trPr>
        <w:tc>
          <w:tcPr>
            <w:tcW w:w="668" w:type="dxa"/>
            <w:vMerge/>
            <w:vAlign w:val="center"/>
          </w:tcPr>
          <w:p w:rsidR="002A5A5E" w:rsidRPr="00F9522B" w:rsidRDefault="002A5A5E">
            <w:pPr>
              <w:spacing w:line="0" w:lineRule="atLeast"/>
              <w:contextualSpacing/>
              <w:jc w:val="center"/>
              <w:rPr>
                <w:rFonts w:eastAsiaTheme="minorEastAsia"/>
                <w:szCs w:val="21"/>
              </w:rPr>
            </w:pPr>
          </w:p>
        </w:tc>
        <w:tc>
          <w:tcPr>
            <w:tcW w:w="706" w:type="dxa"/>
            <w:vMerge/>
            <w:vAlign w:val="center"/>
          </w:tcPr>
          <w:p w:rsidR="002A5A5E" w:rsidRPr="00F9522B" w:rsidRDefault="002A5A5E">
            <w:pPr>
              <w:spacing w:line="0" w:lineRule="atLeast"/>
              <w:contextualSpacing/>
              <w:jc w:val="center"/>
              <w:rPr>
                <w:rFonts w:eastAsiaTheme="minorEastAsia"/>
                <w:szCs w:val="21"/>
              </w:rPr>
            </w:pPr>
          </w:p>
        </w:tc>
        <w:tc>
          <w:tcPr>
            <w:tcW w:w="706" w:type="dxa"/>
            <w:vMerge/>
            <w:vAlign w:val="center"/>
          </w:tcPr>
          <w:p w:rsidR="002A5A5E" w:rsidRPr="00F9522B" w:rsidRDefault="002A5A5E">
            <w:pPr>
              <w:spacing w:line="0" w:lineRule="atLeast"/>
              <w:contextualSpacing/>
              <w:jc w:val="center"/>
              <w:rPr>
                <w:rFonts w:eastAsiaTheme="minorEastAsia"/>
                <w:szCs w:val="21"/>
              </w:rPr>
            </w:pPr>
          </w:p>
        </w:tc>
        <w:tc>
          <w:tcPr>
            <w:tcW w:w="423" w:type="dxa"/>
            <w:vMerge/>
            <w:vAlign w:val="center"/>
          </w:tcPr>
          <w:p w:rsidR="002A5A5E" w:rsidRPr="00F9522B" w:rsidRDefault="002A5A5E">
            <w:pPr>
              <w:spacing w:line="0" w:lineRule="atLeast"/>
              <w:contextualSpacing/>
              <w:jc w:val="center"/>
              <w:rPr>
                <w:rFonts w:eastAsiaTheme="minorEastAsia"/>
                <w:spacing w:val="-3"/>
                <w:kern w:val="0"/>
                <w:szCs w:val="21"/>
                <w:lang w:bidi="zh-CN"/>
              </w:rPr>
            </w:pPr>
          </w:p>
        </w:tc>
        <w:tc>
          <w:tcPr>
            <w:tcW w:w="4404" w:type="dxa"/>
            <w:vAlign w:val="center"/>
          </w:tcPr>
          <w:p w:rsidR="002A5A5E" w:rsidRPr="00F9522B" w:rsidRDefault="00611CBA">
            <w:pPr>
              <w:rPr>
                <w:rFonts w:eastAsiaTheme="minorEastAsia"/>
                <w:kern w:val="0"/>
                <w:szCs w:val="21"/>
              </w:rPr>
            </w:pPr>
            <w:r w:rsidRPr="00F9522B">
              <w:rPr>
                <w:rFonts w:eastAsiaTheme="minorEastAsia"/>
                <w:kern w:val="0"/>
                <w:szCs w:val="21"/>
              </w:rPr>
              <w:t>大气环境布局敏感重点管控区同时执行：</w:t>
            </w:r>
            <w:r w:rsidRPr="00F9522B">
              <w:rPr>
                <w:rFonts w:eastAsiaTheme="minorEastAsia"/>
                <w:kern w:val="0"/>
                <w:szCs w:val="21"/>
              </w:rPr>
              <w:t>1.</w:t>
            </w:r>
            <w:r w:rsidRPr="00F9522B">
              <w:rPr>
                <w:rFonts w:eastAsiaTheme="minorEastAsia"/>
                <w:kern w:val="0"/>
                <w:szCs w:val="21"/>
              </w:rPr>
              <w:t>对以煤、石焦油、渣油、重油等为燃料的锅炉和工业炉窑，加快使用清洁低碳能源以及工厂余热、电力热力等进行替代。</w:t>
            </w:r>
            <w:r w:rsidRPr="00F9522B">
              <w:rPr>
                <w:rFonts w:eastAsiaTheme="minorEastAsia"/>
                <w:kern w:val="0"/>
                <w:szCs w:val="21"/>
              </w:rPr>
              <w:t>2.</w:t>
            </w:r>
            <w:r w:rsidRPr="00F9522B">
              <w:rPr>
                <w:rFonts w:eastAsiaTheme="minorEastAsia"/>
                <w:kern w:val="0"/>
                <w:szCs w:val="21"/>
              </w:rPr>
              <w:t>到</w:t>
            </w:r>
            <w:r w:rsidRPr="00F9522B">
              <w:rPr>
                <w:rFonts w:eastAsiaTheme="minorEastAsia"/>
                <w:kern w:val="0"/>
                <w:szCs w:val="21"/>
              </w:rPr>
              <w:t>2025</w:t>
            </w:r>
            <w:r w:rsidRPr="00F9522B">
              <w:rPr>
                <w:rFonts w:eastAsiaTheme="minorEastAsia"/>
                <w:kern w:val="0"/>
                <w:szCs w:val="21"/>
              </w:rPr>
              <w:t>年，在用</w:t>
            </w:r>
            <w:r w:rsidRPr="00F9522B">
              <w:rPr>
                <w:rFonts w:eastAsiaTheme="minorEastAsia"/>
                <w:kern w:val="0"/>
                <w:szCs w:val="21"/>
              </w:rPr>
              <w:t>65</w:t>
            </w:r>
            <w:r w:rsidRPr="00F9522B">
              <w:rPr>
                <w:rFonts w:eastAsiaTheme="minorEastAsia"/>
                <w:kern w:val="0"/>
                <w:szCs w:val="21"/>
              </w:rPr>
              <w:t>蒸吨</w:t>
            </w:r>
            <w:r w:rsidRPr="00F9522B">
              <w:rPr>
                <w:rFonts w:eastAsiaTheme="minorEastAsia"/>
                <w:kern w:val="0"/>
                <w:szCs w:val="21"/>
              </w:rPr>
              <w:t>/</w:t>
            </w:r>
            <w:r w:rsidRPr="00F9522B">
              <w:rPr>
                <w:rFonts w:eastAsiaTheme="minorEastAsia"/>
                <w:kern w:val="0"/>
                <w:szCs w:val="21"/>
              </w:rPr>
              <w:t>小时以上的燃煤锅炉（含电力）实现超低排放，钢铁企业基本实现超低排放。</w:t>
            </w:r>
          </w:p>
        </w:tc>
        <w:tc>
          <w:tcPr>
            <w:tcW w:w="1528" w:type="dxa"/>
            <w:vAlign w:val="center"/>
          </w:tcPr>
          <w:p w:rsidR="002A5A5E" w:rsidRPr="00F9522B" w:rsidRDefault="00611CBA">
            <w:pPr>
              <w:spacing w:line="0" w:lineRule="atLeast"/>
              <w:contextualSpacing/>
              <w:jc w:val="left"/>
              <w:rPr>
                <w:rFonts w:eastAsiaTheme="minorEastAsia"/>
                <w:spacing w:val="-3"/>
                <w:kern w:val="0"/>
                <w:szCs w:val="21"/>
                <w:lang w:bidi="zh-CN"/>
              </w:rPr>
            </w:pPr>
            <w:r w:rsidRPr="00F9522B">
              <w:rPr>
                <w:rFonts w:eastAsiaTheme="minorEastAsia"/>
                <w:spacing w:val="-3"/>
                <w:kern w:val="0"/>
                <w:szCs w:val="21"/>
                <w:lang w:bidi="zh-CN"/>
              </w:rPr>
              <w:t>本项目</w:t>
            </w:r>
            <w:r w:rsidR="00531796" w:rsidRPr="00F9522B">
              <w:rPr>
                <w:rFonts w:eastAsiaTheme="minorEastAsia"/>
                <w:spacing w:val="-3"/>
                <w:kern w:val="0"/>
                <w:szCs w:val="21"/>
                <w:lang w:bidi="zh-CN"/>
              </w:rPr>
              <w:t>不位于</w:t>
            </w:r>
            <w:r w:rsidR="00531796" w:rsidRPr="00F9522B">
              <w:rPr>
                <w:rFonts w:eastAsiaTheme="minorEastAsia"/>
                <w:kern w:val="0"/>
                <w:szCs w:val="21"/>
              </w:rPr>
              <w:t>大气环境布局敏感重点管控区</w:t>
            </w:r>
            <w:r w:rsidRPr="00F9522B">
              <w:rPr>
                <w:rFonts w:eastAsiaTheme="minorEastAsia"/>
                <w:szCs w:val="21"/>
              </w:rPr>
              <w:t>。</w:t>
            </w:r>
          </w:p>
        </w:tc>
      </w:tr>
      <w:tr w:rsidR="002A5A5E" w:rsidRPr="00F9522B">
        <w:trPr>
          <w:trHeight w:val="1933"/>
        </w:trPr>
        <w:tc>
          <w:tcPr>
            <w:tcW w:w="668" w:type="dxa"/>
            <w:vMerge/>
            <w:vAlign w:val="center"/>
          </w:tcPr>
          <w:p w:rsidR="002A5A5E" w:rsidRPr="00F9522B" w:rsidRDefault="002A5A5E">
            <w:pPr>
              <w:spacing w:line="0" w:lineRule="atLeast"/>
              <w:contextualSpacing/>
              <w:jc w:val="center"/>
              <w:rPr>
                <w:rFonts w:eastAsiaTheme="minorEastAsia"/>
                <w:kern w:val="0"/>
                <w:szCs w:val="21"/>
              </w:rPr>
            </w:pPr>
          </w:p>
        </w:tc>
        <w:tc>
          <w:tcPr>
            <w:tcW w:w="706" w:type="dxa"/>
            <w:vMerge/>
            <w:vAlign w:val="center"/>
          </w:tcPr>
          <w:p w:rsidR="002A5A5E" w:rsidRPr="00F9522B" w:rsidRDefault="002A5A5E">
            <w:pPr>
              <w:spacing w:line="0" w:lineRule="atLeast"/>
              <w:contextualSpacing/>
              <w:jc w:val="center"/>
              <w:rPr>
                <w:rFonts w:eastAsiaTheme="minorEastAsia"/>
                <w:kern w:val="0"/>
                <w:szCs w:val="21"/>
              </w:rPr>
            </w:pPr>
          </w:p>
        </w:tc>
        <w:tc>
          <w:tcPr>
            <w:tcW w:w="706" w:type="dxa"/>
            <w:vMerge/>
            <w:vAlign w:val="center"/>
          </w:tcPr>
          <w:p w:rsidR="002A5A5E" w:rsidRPr="00F9522B" w:rsidRDefault="002A5A5E">
            <w:pPr>
              <w:spacing w:line="0" w:lineRule="atLeast"/>
              <w:contextualSpacing/>
              <w:jc w:val="center"/>
              <w:rPr>
                <w:rFonts w:eastAsiaTheme="minorEastAsia"/>
                <w:szCs w:val="21"/>
              </w:rPr>
            </w:pPr>
          </w:p>
        </w:tc>
        <w:tc>
          <w:tcPr>
            <w:tcW w:w="423" w:type="dxa"/>
            <w:vAlign w:val="center"/>
          </w:tcPr>
          <w:p w:rsidR="002A5A5E" w:rsidRPr="00F9522B" w:rsidRDefault="00611CBA">
            <w:pPr>
              <w:spacing w:line="0" w:lineRule="atLeast"/>
              <w:contextualSpacing/>
              <w:jc w:val="center"/>
              <w:rPr>
                <w:rFonts w:eastAsiaTheme="minorEastAsia"/>
                <w:spacing w:val="-3"/>
                <w:kern w:val="0"/>
                <w:szCs w:val="21"/>
                <w:lang w:bidi="zh-CN"/>
              </w:rPr>
            </w:pPr>
            <w:r w:rsidRPr="00F9522B">
              <w:rPr>
                <w:rFonts w:eastAsiaTheme="minorEastAsia"/>
                <w:spacing w:val="-3"/>
                <w:kern w:val="0"/>
                <w:szCs w:val="21"/>
                <w:lang w:bidi="zh-CN"/>
              </w:rPr>
              <w:t>环境风险防控</w:t>
            </w:r>
          </w:p>
        </w:tc>
        <w:tc>
          <w:tcPr>
            <w:tcW w:w="4404" w:type="dxa"/>
            <w:vAlign w:val="center"/>
          </w:tcPr>
          <w:p w:rsidR="002A5A5E" w:rsidRPr="00F9522B" w:rsidRDefault="00611CBA">
            <w:pPr>
              <w:jc w:val="left"/>
              <w:rPr>
                <w:rFonts w:eastAsiaTheme="minorEastAsia"/>
                <w:kern w:val="0"/>
                <w:szCs w:val="21"/>
              </w:rPr>
            </w:pPr>
            <w:r w:rsidRPr="00F9522B">
              <w:rPr>
                <w:rFonts w:eastAsiaTheme="minorEastAsia"/>
                <w:kern w:val="0"/>
                <w:szCs w:val="21"/>
              </w:rPr>
              <w:t>化工园区与城市建成区、人员密集场所、重要设施、敏感目标等应当保持规定的安全距离，相对封闭，不应保留常住居民，非关联企业和产业要逐步搬迁或退出，妥善防范化解</w:t>
            </w:r>
            <w:r w:rsidRPr="00F9522B">
              <w:rPr>
                <w:rFonts w:eastAsiaTheme="minorEastAsia"/>
                <w:kern w:val="0"/>
                <w:szCs w:val="21"/>
              </w:rPr>
              <w:t>“</w:t>
            </w:r>
            <w:r w:rsidRPr="00F9522B">
              <w:rPr>
                <w:rFonts w:eastAsiaTheme="minorEastAsia"/>
                <w:kern w:val="0"/>
                <w:szCs w:val="21"/>
              </w:rPr>
              <w:t>邻避</w:t>
            </w:r>
            <w:r w:rsidRPr="00F9522B">
              <w:rPr>
                <w:rFonts w:eastAsiaTheme="minorEastAsia"/>
                <w:kern w:val="0"/>
                <w:szCs w:val="21"/>
              </w:rPr>
              <w:t>”</w:t>
            </w:r>
            <w:r w:rsidRPr="00F9522B">
              <w:rPr>
                <w:rFonts w:eastAsiaTheme="minorEastAsia"/>
                <w:kern w:val="0"/>
                <w:szCs w:val="21"/>
              </w:rPr>
              <w:t>问题。严禁在松花江干流及一级支流沿岸</w:t>
            </w:r>
            <w:r w:rsidRPr="00F9522B">
              <w:rPr>
                <w:rFonts w:eastAsiaTheme="minorEastAsia"/>
                <w:kern w:val="0"/>
                <w:szCs w:val="21"/>
              </w:rPr>
              <w:t>1</w:t>
            </w:r>
            <w:r w:rsidRPr="00F9522B">
              <w:rPr>
                <w:rFonts w:eastAsiaTheme="minorEastAsia"/>
                <w:kern w:val="0"/>
                <w:szCs w:val="21"/>
              </w:rPr>
              <w:t>公里范围内布局化工园区。水环境工业污染重点管控区同时执行：排放《有毒有害水污染物名录》所列有毒有害水污染物的企业事业单位和其他生产经营者，应当对排污口和周边环境进行监测，评估环境风险，排查环境安全隐患，并公开有毒有害水污染物信息，采取有效措施防范环境风险。大气环境布局敏感重点管控区同时执行：禁止在居民区、学校、医疗和养老机构等周边新建有色金属冶炼、焦化等行业企业。</w:t>
            </w:r>
          </w:p>
        </w:tc>
        <w:tc>
          <w:tcPr>
            <w:tcW w:w="1528" w:type="dxa"/>
            <w:vAlign w:val="center"/>
          </w:tcPr>
          <w:p w:rsidR="002A5A5E" w:rsidRPr="00F9522B" w:rsidRDefault="00611CBA">
            <w:pPr>
              <w:spacing w:line="0" w:lineRule="atLeast"/>
              <w:contextualSpacing/>
              <w:jc w:val="left"/>
              <w:rPr>
                <w:rFonts w:eastAsiaTheme="minorEastAsia"/>
                <w:spacing w:val="-3"/>
                <w:kern w:val="0"/>
                <w:szCs w:val="21"/>
                <w:lang w:bidi="zh-CN"/>
              </w:rPr>
            </w:pPr>
            <w:r w:rsidRPr="00F9522B">
              <w:rPr>
                <w:rFonts w:eastAsiaTheme="minorEastAsia"/>
                <w:spacing w:val="-3"/>
                <w:kern w:val="0"/>
                <w:szCs w:val="21"/>
                <w:lang w:bidi="zh-CN"/>
              </w:rPr>
              <w:t>本项目不涉及。</w:t>
            </w:r>
          </w:p>
        </w:tc>
      </w:tr>
      <w:tr w:rsidR="002A5A5E" w:rsidRPr="00F9522B">
        <w:trPr>
          <w:trHeight w:val="1933"/>
        </w:trPr>
        <w:tc>
          <w:tcPr>
            <w:tcW w:w="668" w:type="dxa"/>
            <w:vMerge/>
            <w:vAlign w:val="center"/>
          </w:tcPr>
          <w:p w:rsidR="002A5A5E" w:rsidRPr="00F9522B" w:rsidRDefault="002A5A5E">
            <w:pPr>
              <w:spacing w:line="0" w:lineRule="atLeast"/>
              <w:contextualSpacing/>
              <w:jc w:val="center"/>
              <w:rPr>
                <w:rFonts w:eastAsiaTheme="minorEastAsia"/>
                <w:kern w:val="0"/>
                <w:szCs w:val="21"/>
              </w:rPr>
            </w:pPr>
          </w:p>
        </w:tc>
        <w:tc>
          <w:tcPr>
            <w:tcW w:w="706" w:type="dxa"/>
            <w:vMerge/>
            <w:vAlign w:val="center"/>
          </w:tcPr>
          <w:p w:rsidR="002A5A5E" w:rsidRPr="00F9522B" w:rsidRDefault="002A5A5E">
            <w:pPr>
              <w:spacing w:line="0" w:lineRule="atLeast"/>
              <w:contextualSpacing/>
              <w:jc w:val="center"/>
              <w:rPr>
                <w:rFonts w:eastAsiaTheme="minorEastAsia"/>
                <w:kern w:val="0"/>
                <w:szCs w:val="21"/>
              </w:rPr>
            </w:pPr>
          </w:p>
        </w:tc>
        <w:tc>
          <w:tcPr>
            <w:tcW w:w="706" w:type="dxa"/>
            <w:vMerge/>
            <w:vAlign w:val="center"/>
          </w:tcPr>
          <w:p w:rsidR="002A5A5E" w:rsidRPr="00F9522B" w:rsidRDefault="002A5A5E">
            <w:pPr>
              <w:spacing w:line="0" w:lineRule="atLeast"/>
              <w:contextualSpacing/>
              <w:jc w:val="center"/>
              <w:rPr>
                <w:rFonts w:eastAsiaTheme="minorEastAsia"/>
                <w:szCs w:val="21"/>
              </w:rPr>
            </w:pPr>
          </w:p>
        </w:tc>
        <w:tc>
          <w:tcPr>
            <w:tcW w:w="423" w:type="dxa"/>
            <w:vAlign w:val="center"/>
          </w:tcPr>
          <w:p w:rsidR="002A5A5E" w:rsidRPr="00F9522B" w:rsidRDefault="00611CBA">
            <w:pPr>
              <w:spacing w:line="0" w:lineRule="atLeast"/>
              <w:contextualSpacing/>
              <w:jc w:val="center"/>
              <w:rPr>
                <w:rFonts w:eastAsiaTheme="minorEastAsia"/>
                <w:spacing w:val="-3"/>
                <w:kern w:val="0"/>
                <w:szCs w:val="21"/>
                <w:lang w:bidi="zh-CN"/>
              </w:rPr>
            </w:pPr>
            <w:r w:rsidRPr="00F9522B">
              <w:rPr>
                <w:rFonts w:eastAsiaTheme="minorEastAsia"/>
                <w:spacing w:val="-3"/>
                <w:kern w:val="0"/>
                <w:szCs w:val="21"/>
                <w:lang w:bidi="zh-CN"/>
              </w:rPr>
              <w:t>资源开发效率</w:t>
            </w:r>
          </w:p>
        </w:tc>
        <w:tc>
          <w:tcPr>
            <w:tcW w:w="4404" w:type="dxa"/>
            <w:vAlign w:val="center"/>
          </w:tcPr>
          <w:p w:rsidR="002A5A5E" w:rsidRPr="00F9522B" w:rsidRDefault="00611CBA">
            <w:pPr>
              <w:jc w:val="left"/>
              <w:rPr>
                <w:rFonts w:eastAsiaTheme="minorEastAsia"/>
                <w:kern w:val="0"/>
                <w:szCs w:val="21"/>
              </w:rPr>
            </w:pPr>
            <w:r w:rsidRPr="00F9522B">
              <w:rPr>
                <w:rFonts w:eastAsiaTheme="minorEastAsia"/>
                <w:kern w:val="0"/>
                <w:szCs w:val="21"/>
              </w:rPr>
              <w:t>1.</w:t>
            </w:r>
            <w:r w:rsidRPr="00F9522B">
              <w:rPr>
                <w:rFonts w:eastAsiaTheme="minorEastAsia"/>
                <w:kern w:val="0"/>
                <w:szCs w:val="21"/>
              </w:rPr>
              <w:t>推进污水再生利用设施建设。</w:t>
            </w:r>
            <w:r w:rsidRPr="00F9522B">
              <w:rPr>
                <w:rFonts w:eastAsiaTheme="minorEastAsia"/>
                <w:kern w:val="0"/>
                <w:szCs w:val="21"/>
              </w:rPr>
              <w:t>2.</w:t>
            </w:r>
            <w:r w:rsidRPr="00F9522B">
              <w:rPr>
                <w:rFonts w:eastAsiaTheme="minorEastAsia"/>
                <w:kern w:val="0"/>
                <w:szCs w:val="21"/>
              </w:rPr>
              <w:t>公共建筑必须采用节水器具，限期淘汰公共建筑中不符合节水标准的水嘴、便器水箱等生活用水器具。</w:t>
            </w:r>
            <w:r w:rsidRPr="00F9522B">
              <w:rPr>
                <w:rFonts w:eastAsiaTheme="minorEastAsia"/>
                <w:szCs w:val="21"/>
              </w:rPr>
              <w:t>高污染燃料禁燃区同</w:t>
            </w:r>
            <w:r w:rsidRPr="00F9522B">
              <w:rPr>
                <w:rFonts w:eastAsiaTheme="minorEastAsia"/>
                <w:kern w:val="0"/>
                <w:szCs w:val="21"/>
              </w:rPr>
              <w:t>时执行：</w:t>
            </w:r>
            <w:r w:rsidRPr="00F9522B">
              <w:rPr>
                <w:rFonts w:eastAsiaTheme="minorEastAsia"/>
                <w:kern w:val="0"/>
                <w:szCs w:val="21"/>
              </w:rPr>
              <w:t>1.</w:t>
            </w:r>
            <w:r w:rsidRPr="00F9522B">
              <w:rPr>
                <w:rFonts w:eastAsiaTheme="minorEastAsia"/>
                <w:kern w:val="0"/>
                <w:szCs w:val="21"/>
              </w:rPr>
              <w:t>在禁燃区内，禁止销售、燃用高污染燃料；禁止新建、扩建燃用高污染燃料的设施，已建成的，应当在城市人民政府规定的期限内改用天然气、页岩气、液化石油气、电或者其他清洁能源。</w:t>
            </w:r>
            <w:r w:rsidRPr="00F9522B">
              <w:rPr>
                <w:rFonts w:eastAsiaTheme="minorEastAsia"/>
                <w:kern w:val="0"/>
                <w:szCs w:val="21"/>
              </w:rPr>
              <w:t>2.</w:t>
            </w:r>
            <w:r w:rsidRPr="00F9522B">
              <w:rPr>
                <w:rFonts w:eastAsiaTheme="minorEastAsia"/>
                <w:kern w:val="0"/>
                <w:szCs w:val="21"/>
              </w:rPr>
              <w:t>城市建设应当统筹规划，在燃煤供热地区，推进热电联产和集中供热。在集中供热管网覆盖地区，禁止新建、扩建分散燃煤供热锅炉；已建成的不能达标排放的燃煤供热锅炉，应当在城市人民政府规定的期限内拆除。</w:t>
            </w:r>
          </w:p>
        </w:tc>
        <w:tc>
          <w:tcPr>
            <w:tcW w:w="1528" w:type="dxa"/>
            <w:vAlign w:val="center"/>
          </w:tcPr>
          <w:p w:rsidR="002A5A5E" w:rsidRPr="00F9522B" w:rsidRDefault="00611CBA">
            <w:pPr>
              <w:spacing w:line="0" w:lineRule="atLeast"/>
              <w:contextualSpacing/>
              <w:jc w:val="left"/>
              <w:rPr>
                <w:rFonts w:eastAsiaTheme="minorEastAsia"/>
                <w:spacing w:val="-3"/>
                <w:kern w:val="0"/>
                <w:szCs w:val="21"/>
                <w:lang w:bidi="zh-CN"/>
              </w:rPr>
            </w:pPr>
            <w:r w:rsidRPr="00F9522B">
              <w:rPr>
                <w:rFonts w:eastAsiaTheme="minorEastAsia"/>
                <w:spacing w:val="-3"/>
                <w:kern w:val="0"/>
                <w:szCs w:val="21"/>
                <w:lang w:bidi="zh-CN"/>
              </w:rPr>
              <w:t>本项目运营期排水沟仅在降水无法排出情况下采用柴油机移动泵车进行排水，使用时间较短</w:t>
            </w:r>
            <w:r w:rsidRPr="00F9522B">
              <w:rPr>
                <w:rFonts w:eastAsiaTheme="minorEastAsia"/>
                <w:szCs w:val="21"/>
              </w:rPr>
              <w:t>，不建设锅炉，不在禁燃区，因此符合</w:t>
            </w:r>
            <w:r w:rsidRPr="00F9522B">
              <w:rPr>
                <w:rFonts w:eastAsiaTheme="minorEastAsia"/>
                <w:spacing w:val="-3"/>
                <w:kern w:val="0"/>
                <w:szCs w:val="21"/>
                <w:lang w:bidi="zh-CN"/>
              </w:rPr>
              <w:t>资源开发效率管控要求</w:t>
            </w:r>
            <w:r w:rsidRPr="00F9522B">
              <w:rPr>
                <w:rFonts w:eastAsiaTheme="minorEastAsia"/>
                <w:szCs w:val="21"/>
              </w:rPr>
              <w:t>。</w:t>
            </w:r>
          </w:p>
        </w:tc>
      </w:tr>
    </w:tbl>
    <w:p w:rsidR="002A5A5E" w:rsidRPr="00F9522B" w:rsidRDefault="00611CBA">
      <w:pPr>
        <w:contextualSpacing/>
        <w:jc w:val="center"/>
        <w:rPr>
          <w:rFonts w:eastAsiaTheme="minorEastAsia"/>
          <w:b/>
          <w:szCs w:val="21"/>
        </w:rPr>
      </w:pPr>
      <w:r w:rsidRPr="00F9522B">
        <w:rPr>
          <w:rFonts w:eastAsiaTheme="minorEastAsia"/>
          <w:b/>
          <w:szCs w:val="21"/>
        </w:rPr>
        <w:lastRenderedPageBreak/>
        <w:t>续表</w:t>
      </w:r>
      <w:r w:rsidRPr="00F9522B">
        <w:rPr>
          <w:rFonts w:eastAsiaTheme="minorEastAsia"/>
          <w:b/>
          <w:szCs w:val="21"/>
        </w:rPr>
        <w:t>1-4-4</w:t>
      </w:r>
      <w:r w:rsidRPr="00F9522B">
        <w:rPr>
          <w:rFonts w:eastAsiaTheme="minorEastAsia"/>
          <w:b/>
          <w:bCs/>
          <w:szCs w:val="21"/>
        </w:rPr>
        <w:t>生态环境准入清单管控</w:t>
      </w:r>
      <w:r w:rsidRPr="00F9522B">
        <w:rPr>
          <w:rFonts w:eastAsiaTheme="minorEastAsia"/>
          <w:b/>
          <w:szCs w:val="21"/>
          <w:lang w:val="zh-CN"/>
        </w:rPr>
        <w:t>要求符合性分析</w:t>
      </w:r>
    </w:p>
    <w:tbl>
      <w:tblPr>
        <w:tblW w:w="8435" w:type="dxa"/>
        <w:tblInd w:w="5" w:type="dxa"/>
        <w:tblBorders>
          <w:top w:val="single" w:sz="12" w:space="0" w:color="auto"/>
          <w:bottom w:val="single" w:sz="12" w:space="0" w:color="auto"/>
          <w:insideH w:val="single" w:sz="4" w:space="0" w:color="auto"/>
          <w:insideV w:val="single" w:sz="4" w:space="0" w:color="auto"/>
        </w:tblBorders>
        <w:tblLayout w:type="fixed"/>
        <w:tblLook w:val="04A0"/>
      </w:tblPr>
      <w:tblGrid>
        <w:gridCol w:w="668"/>
        <w:gridCol w:w="706"/>
        <w:gridCol w:w="706"/>
        <w:gridCol w:w="423"/>
        <w:gridCol w:w="3412"/>
        <w:gridCol w:w="2520"/>
      </w:tblGrid>
      <w:tr w:rsidR="002A5A5E" w:rsidRPr="00F9522B">
        <w:trPr>
          <w:trHeight w:val="2340"/>
        </w:trPr>
        <w:tc>
          <w:tcPr>
            <w:tcW w:w="668" w:type="dxa"/>
            <w:vMerge w:val="restart"/>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szCs w:val="21"/>
              </w:rPr>
              <w:t>ZH23011120006</w:t>
            </w:r>
          </w:p>
        </w:tc>
        <w:tc>
          <w:tcPr>
            <w:tcW w:w="706" w:type="dxa"/>
            <w:vMerge w:val="restart"/>
            <w:vAlign w:val="center"/>
          </w:tcPr>
          <w:p w:rsidR="002A5A5E" w:rsidRPr="00F9522B" w:rsidRDefault="00611CBA">
            <w:pPr>
              <w:widowControl/>
              <w:jc w:val="left"/>
              <w:rPr>
                <w:rFonts w:eastAsiaTheme="minorEastAsia"/>
                <w:kern w:val="0"/>
                <w:sz w:val="24"/>
              </w:rPr>
            </w:pPr>
            <w:r w:rsidRPr="00F9522B">
              <w:rPr>
                <w:rFonts w:eastAsiaTheme="minorEastAsia"/>
                <w:kern w:val="0"/>
                <w:szCs w:val="21"/>
              </w:rPr>
              <w:t>呼兰区水环境农业污染</w:t>
            </w:r>
            <w:r w:rsidRPr="00F9522B">
              <w:rPr>
                <w:rFonts w:eastAsiaTheme="minorEastAsia"/>
                <w:kern w:val="0"/>
                <w:szCs w:val="21"/>
              </w:rPr>
              <w:t xml:space="preserve"> </w:t>
            </w:r>
          </w:p>
          <w:p w:rsidR="002A5A5E" w:rsidRPr="00F9522B" w:rsidRDefault="00611CBA">
            <w:pPr>
              <w:spacing w:line="0" w:lineRule="atLeast"/>
              <w:contextualSpacing/>
              <w:jc w:val="center"/>
              <w:rPr>
                <w:rFonts w:eastAsiaTheme="minorEastAsia"/>
                <w:kern w:val="0"/>
                <w:szCs w:val="21"/>
              </w:rPr>
            </w:pPr>
            <w:r w:rsidRPr="00F9522B">
              <w:rPr>
                <w:rFonts w:eastAsiaTheme="minorEastAsia"/>
                <w:kern w:val="0"/>
                <w:szCs w:val="21"/>
              </w:rPr>
              <w:t>重点管控区</w:t>
            </w:r>
          </w:p>
        </w:tc>
        <w:tc>
          <w:tcPr>
            <w:tcW w:w="706" w:type="dxa"/>
            <w:vMerge w:val="restart"/>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重点管控单元</w:t>
            </w:r>
          </w:p>
        </w:tc>
        <w:tc>
          <w:tcPr>
            <w:tcW w:w="423" w:type="dxa"/>
            <w:vMerge w:val="restart"/>
            <w:vAlign w:val="center"/>
          </w:tcPr>
          <w:p w:rsidR="002A5A5E" w:rsidRPr="00F9522B" w:rsidRDefault="00611CBA">
            <w:pPr>
              <w:spacing w:line="0" w:lineRule="atLeast"/>
              <w:contextualSpacing/>
              <w:jc w:val="center"/>
              <w:rPr>
                <w:rFonts w:eastAsiaTheme="minorEastAsia"/>
                <w:spacing w:val="-3"/>
                <w:kern w:val="0"/>
                <w:szCs w:val="21"/>
                <w:lang w:bidi="zh-CN"/>
              </w:rPr>
            </w:pPr>
            <w:r w:rsidRPr="00F9522B">
              <w:rPr>
                <w:rFonts w:eastAsiaTheme="minorEastAsia"/>
                <w:szCs w:val="21"/>
              </w:rPr>
              <w:t>空间布局约束</w:t>
            </w:r>
          </w:p>
        </w:tc>
        <w:tc>
          <w:tcPr>
            <w:tcW w:w="3412" w:type="dxa"/>
            <w:vAlign w:val="center"/>
          </w:tcPr>
          <w:p w:rsidR="002A5A5E" w:rsidRPr="00F9522B" w:rsidRDefault="00611CBA">
            <w:pPr>
              <w:jc w:val="left"/>
              <w:rPr>
                <w:rFonts w:eastAsiaTheme="minorEastAsia"/>
                <w:kern w:val="0"/>
                <w:szCs w:val="21"/>
              </w:rPr>
            </w:pPr>
            <w:r w:rsidRPr="00F9522B">
              <w:rPr>
                <w:rFonts w:eastAsiaTheme="minorEastAsia"/>
                <w:kern w:val="0"/>
                <w:szCs w:val="21"/>
              </w:rPr>
              <w:t>1.</w:t>
            </w:r>
            <w:r w:rsidRPr="00F9522B">
              <w:rPr>
                <w:rFonts w:eastAsiaTheme="minorEastAsia"/>
                <w:kern w:val="0"/>
                <w:szCs w:val="21"/>
              </w:rPr>
              <w:t>科学划定畜禽养殖禁养区。</w:t>
            </w:r>
            <w:r w:rsidRPr="00F9522B">
              <w:rPr>
                <w:rFonts w:eastAsiaTheme="minorEastAsia"/>
                <w:kern w:val="0"/>
                <w:szCs w:val="21"/>
              </w:rPr>
              <w:t>2.</w:t>
            </w:r>
            <w:r w:rsidRPr="00F9522B">
              <w:rPr>
                <w:rFonts w:eastAsiaTheme="minorEastAsia"/>
                <w:kern w:val="0"/>
                <w:szCs w:val="21"/>
              </w:rPr>
              <w:t>加快农业结构调整。松嫩平原和三江平原等地下水易受污染地区优先种植需肥需药量低、环境效益突出的农作物；在西部干旱区发展谷子、高粱等耐旱杂粮种植；在北部四、五积温区开展米豆麦轮作，促进化肥需求低的农作物面积恢复性增长。</w:t>
            </w:r>
          </w:p>
        </w:tc>
        <w:tc>
          <w:tcPr>
            <w:tcW w:w="2520" w:type="dxa"/>
            <w:vAlign w:val="center"/>
          </w:tcPr>
          <w:p w:rsidR="002A5A5E" w:rsidRPr="00F9522B" w:rsidRDefault="00611CBA">
            <w:pPr>
              <w:spacing w:line="0" w:lineRule="atLeast"/>
              <w:contextualSpacing/>
              <w:jc w:val="left"/>
              <w:rPr>
                <w:rFonts w:eastAsiaTheme="minorEastAsia"/>
                <w:spacing w:val="-3"/>
                <w:kern w:val="0"/>
                <w:szCs w:val="21"/>
                <w:lang w:bidi="zh-CN"/>
              </w:rPr>
            </w:pPr>
            <w:r w:rsidRPr="00F9522B">
              <w:rPr>
                <w:rFonts w:eastAsiaTheme="minorEastAsia"/>
                <w:spacing w:val="-3"/>
                <w:kern w:val="0"/>
                <w:szCs w:val="21"/>
                <w:lang w:bidi="zh-CN"/>
              </w:rPr>
              <w:t>本</w:t>
            </w:r>
            <w:r w:rsidRPr="00F9522B">
              <w:rPr>
                <w:rFonts w:eastAsiaTheme="minorEastAsia"/>
                <w:kern w:val="0"/>
              </w:rPr>
              <w:t>项目施行</w:t>
            </w:r>
            <w:r w:rsidRPr="00F9522B">
              <w:rPr>
                <w:rFonts w:eastAsiaTheme="minorEastAsia"/>
                <w:kern w:val="0"/>
              </w:rPr>
              <w:t>“</w:t>
            </w:r>
            <w:r w:rsidRPr="00F9522B">
              <w:rPr>
                <w:rFonts w:eastAsiaTheme="minorEastAsia"/>
                <w:kern w:val="0"/>
              </w:rPr>
              <w:t>三减</w:t>
            </w:r>
            <w:r w:rsidRPr="00F9522B">
              <w:rPr>
                <w:rFonts w:eastAsiaTheme="minorEastAsia"/>
                <w:kern w:val="0"/>
              </w:rPr>
              <w:t>”</w:t>
            </w:r>
            <w:r w:rsidRPr="00F9522B">
              <w:rPr>
                <w:rFonts w:eastAsiaTheme="minorEastAsia"/>
                <w:kern w:val="0"/>
              </w:rPr>
              <w:t>行动，即减化肥、减农药、减除草剂，积极推广科学施肥，使化肥、农药实现减量化施用，增加有机肥的施用，优化调整农药施用结构，控制农药施用量，</w:t>
            </w:r>
            <w:r w:rsidRPr="00F9522B">
              <w:rPr>
                <w:rStyle w:val="CharChar"/>
                <w:rFonts w:hAnsi="Times New Roman"/>
              </w:rPr>
              <w:t>采取测土配方施肥、水肥一体化措施</w:t>
            </w:r>
            <w:r w:rsidRPr="00F9522B">
              <w:rPr>
                <w:rFonts w:eastAsiaTheme="minorEastAsia"/>
                <w:kern w:val="0"/>
              </w:rPr>
              <w:t>。</w:t>
            </w:r>
            <w:r w:rsidRPr="00F9522B">
              <w:rPr>
                <w:rFonts w:eastAsiaTheme="minorEastAsia"/>
                <w:spacing w:val="-3"/>
                <w:kern w:val="0"/>
                <w:szCs w:val="21"/>
                <w:lang w:bidi="zh-CN"/>
              </w:rPr>
              <w:t>因此符合空间布局约束要求。</w:t>
            </w:r>
          </w:p>
        </w:tc>
      </w:tr>
      <w:tr w:rsidR="002A5A5E" w:rsidRPr="00F9522B">
        <w:trPr>
          <w:trHeight w:val="2340"/>
        </w:trPr>
        <w:tc>
          <w:tcPr>
            <w:tcW w:w="668" w:type="dxa"/>
            <w:vMerge/>
            <w:vAlign w:val="center"/>
          </w:tcPr>
          <w:p w:rsidR="002A5A5E" w:rsidRPr="00F9522B" w:rsidRDefault="002A5A5E">
            <w:pPr>
              <w:spacing w:line="0" w:lineRule="atLeast"/>
              <w:contextualSpacing/>
              <w:jc w:val="center"/>
              <w:rPr>
                <w:rFonts w:eastAsiaTheme="minorEastAsia"/>
                <w:szCs w:val="21"/>
              </w:rPr>
            </w:pPr>
          </w:p>
        </w:tc>
        <w:tc>
          <w:tcPr>
            <w:tcW w:w="706" w:type="dxa"/>
            <w:vMerge/>
            <w:vAlign w:val="center"/>
          </w:tcPr>
          <w:p w:rsidR="002A5A5E" w:rsidRPr="00F9522B" w:rsidRDefault="002A5A5E">
            <w:pPr>
              <w:widowControl/>
              <w:jc w:val="left"/>
              <w:rPr>
                <w:rFonts w:eastAsiaTheme="minorEastAsia"/>
                <w:kern w:val="0"/>
                <w:szCs w:val="21"/>
              </w:rPr>
            </w:pPr>
          </w:p>
        </w:tc>
        <w:tc>
          <w:tcPr>
            <w:tcW w:w="706" w:type="dxa"/>
            <w:vMerge/>
            <w:vAlign w:val="center"/>
          </w:tcPr>
          <w:p w:rsidR="002A5A5E" w:rsidRPr="00F9522B" w:rsidRDefault="002A5A5E">
            <w:pPr>
              <w:spacing w:line="0" w:lineRule="atLeast"/>
              <w:contextualSpacing/>
              <w:jc w:val="center"/>
              <w:rPr>
                <w:rFonts w:eastAsiaTheme="minorEastAsia"/>
                <w:szCs w:val="21"/>
              </w:rPr>
            </w:pPr>
          </w:p>
        </w:tc>
        <w:tc>
          <w:tcPr>
            <w:tcW w:w="423" w:type="dxa"/>
            <w:vMerge/>
            <w:vAlign w:val="center"/>
          </w:tcPr>
          <w:p w:rsidR="002A5A5E" w:rsidRPr="00F9522B" w:rsidRDefault="002A5A5E">
            <w:pPr>
              <w:spacing w:line="0" w:lineRule="atLeast"/>
              <w:contextualSpacing/>
              <w:jc w:val="center"/>
              <w:rPr>
                <w:rFonts w:eastAsiaTheme="minorEastAsia"/>
                <w:szCs w:val="21"/>
              </w:rPr>
            </w:pPr>
          </w:p>
        </w:tc>
        <w:tc>
          <w:tcPr>
            <w:tcW w:w="3412" w:type="dxa"/>
            <w:vAlign w:val="center"/>
          </w:tcPr>
          <w:p w:rsidR="002A5A5E" w:rsidRPr="00F9522B" w:rsidRDefault="00611CBA">
            <w:pPr>
              <w:jc w:val="left"/>
              <w:rPr>
                <w:rFonts w:eastAsiaTheme="minorEastAsia"/>
                <w:kern w:val="0"/>
                <w:szCs w:val="21"/>
              </w:rPr>
            </w:pPr>
            <w:r w:rsidRPr="00F9522B">
              <w:rPr>
                <w:rFonts w:eastAsiaTheme="minorEastAsia"/>
                <w:kern w:val="0"/>
                <w:szCs w:val="21"/>
              </w:rPr>
              <w:t>大气环境布局敏感重点管控区同时执行：</w:t>
            </w:r>
            <w:r w:rsidRPr="00F9522B">
              <w:rPr>
                <w:rFonts w:eastAsiaTheme="minorEastAsia"/>
                <w:kern w:val="0"/>
                <w:szCs w:val="21"/>
              </w:rPr>
              <w:t>1.</w:t>
            </w:r>
            <w:r w:rsidRPr="00F9522B">
              <w:rPr>
                <w:rFonts w:eastAsiaTheme="minorEastAsia"/>
                <w:kern w:val="0"/>
                <w:szCs w:val="21"/>
              </w:rPr>
              <w:t>严控</w:t>
            </w:r>
            <w:r w:rsidRPr="00F9522B">
              <w:rPr>
                <w:rFonts w:eastAsiaTheme="minorEastAsia"/>
                <w:kern w:val="0"/>
                <w:szCs w:val="21"/>
              </w:rPr>
              <w:t>“</w:t>
            </w:r>
            <w:r w:rsidRPr="00F9522B">
              <w:rPr>
                <w:rFonts w:eastAsiaTheme="minorEastAsia"/>
                <w:kern w:val="0"/>
                <w:szCs w:val="21"/>
              </w:rPr>
              <w:t>两高</w:t>
            </w:r>
            <w:r w:rsidRPr="00F9522B">
              <w:rPr>
                <w:rFonts w:eastAsiaTheme="minorEastAsia"/>
                <w:kern w:val="0"/>
                <w:szCs w:val="21"/>
              </w:rPr>
              <w:t>”</w:t>
            </w:r>
            <w:r w:rsidRPr="00F9522B">
              <w:rPr>
                <w:rFonts w:eastAsiaTheme="minorEastAsia"/>
                <w:kern w:val="0"/>
                <w:szCs w:val="21"/>
              </w:rPr>
              <w:t>行业产能。严格执行钢铁、水泥、平板玻璃等行业产能置换实施办法。</w:t>
            </w:r>
            <w:r w:rsidRPr="00F9522B">
              <w:rPr>
                <w:rFonts w:eastAsiaTheme="minorEastAsia"/>
                <w:kern w:val="0"/>
                <w:szCs w:val="21"/>
              </w:rPr>
              <w:t>2.</w:t>
            </w:r>
            <w:r w:rsidRPr="00F9522B">
              <w:rPr>
                <w:rFonts w:eastAsiaTheme="minorEastAsia"/>
                <w:kern w:val="0"/>
                <w:szCs w:val="21"/>
              </w:rPr>
              <w:t>利用水泥窑协同处置城市生活垃圾、危险废弃物、电石渣等固废伴生水泥项目，必须依托现有新型干法水泥熟料生产线进行不扩产能改造。</w:t>
            </w:r>
          </w:p>
        </w:tc>
        <w:tc>
          <w:tcPr>
            <w:tcW w:w="2520" w:type="dxa"/>
            <w:vAlign w:val="center"/>
          </w:tcPr>
          <w:p w:rsidR="002A5A5E" w:rsidRPr="00F9522B" w:rsidRDefault="00B83681">
            <w:pPr>
              <w:spacing w:line="0" w:lineRule="atLeast"/>
              <w:contextualSpacing/>
              <w:jc w:val="left"/>
              <w:rPr>
                <w:rFonts w:eastAsiaTheme="minorEastAsia"/>
                <w:spacing w:val="-3"/>
                <w:kern w:val="0"/>
                <w:szCs w:val="21"/>
                <w:lang w:bidi="zh-CN"/>
              </w:rPr>
            </w:pPr>
            <w:r w:rsidRPr="00F9522B">
              <w:rPr>
                <w:rFonts w:eastAsiaTheme="minorEastAsia"/>
                <w:spacing w:val="-3"/>
                <w:kern w:val="0"/>
                <w:szCs w:val="21"/>
                <w:lang w:bidi="zh-CN"/>
              </w:rPr>
              <w:t>本项目不位于</w:t>
            </w:r>
            <w:r w:rsidRPr="00F9522B">
              <w:rPr>
                <w:rFonts w:eastAsiaTheme="minorEastAsia"/>
                <w:kern w:val="0"/>
                <w:szCs w:val="21"/>
              </w:rPr>
              <w:t>大气环境布局敏感重点管控区</w:t>
            </w:r>
            <w:r w:rsidRPr="00F9522B">
              <w:rPr>
                <w:rFonts w:eastAsiaTheme="minorEastAsia"/>
                <w:szCs w:val="21"/>
              </w:rPr>
              <w:t>。</w:t>
            </w:r>
          </w:p>
        </w:tc>
      </w:tr>
      <w:tr w:rsidR="002A5A5E" w:rsidRPr="00F9522B">
        <w:trPr>
          <w:trHeight w:val="4760"/>
        </w:trPr>
        <w:tc>
          <w:tcPr>
            <w:tcW w:w="668" w:type="dxa"/>
            <w:vMerge/>
            <w:vAlign w:val="center"/>
          </w:tcPr>
          <w:p w:rsidR="002A5A5E" w:rsidRPr="00F9522B" w:rsidRDefault="002A5A5E">
            <w:pPr>
              <w:spacing w:line="0" w:lineRule="atLeast"/>
              <w:contextualSpacing/>
              <w:jc w:val="center"/>
              <w:rPr>
                <w:rFonts w:eastAsiaTheme="minorEastAsia"/>
                <w:kern w:val="0"/>
                <w:szCs w:val="21"/>
              </w:rPr>
            </w:pPr>
          </w:p>
        </w:tc>
        <w:tc>
          <w:tcPr>
            <w:tcW w:w="706" w:type="dxa"/>
            <w:vMerge/>
            <w:vAlign w:val="center"/>
          </w:tcPr>
          <w:p w:rsidR="002A5A5E" w:rsidRPr="00F9522B" w:rsidRDefault="002A5A5E">
            <w:pPr>
              <w:spacing w:line="0" w:lineRule="atLeast"/>
              <w:contextualSpacing/>
              <w:jc w:val="center"/>
              <w:rPr>
                <w:rFonts w:eastAsiaTheme="minorEastAsia"/>
                <w:kern w:val="0"/>
                <w:szCs w:val="21"/>
              </w:rPr>
            </w:pPr>
          </w:p>
        </w:tc>
        <w:tc>
          <w:tcPr>
            <w:tcW w:w="706" w:type="dxa"/>
            <w:vMerge/>
            <w:vAlign w:val="center"/>
          </w:tcPr>
          <w:p w:rsidR="002A5A5E" w:rsidRPr="00F9522B" w:rsidRDefault="002A5A5E">
            <w:pPr>
              <w:spacing w:line="0" w:lineRule="atLeast"/>
              <w:contextualSpacing/>
              <w:jc w:val="center"/>
              <w:rPr>
                <w:rFonts w:eastAsiaTheme="minorEastAsia"/>
                <w:szCs w:val="21"/>
              </w:rPr>
            </w:pPr>
          </w:p>
        </w:tc>
        <w:tc>
          <w:tcPr>
            <w:tcW w:w="423" w:type="dxa"/>
            <w:vAlign w:val="center"/>
          </w:tcPr>
          <w:p w:rsidR="002A5A5E" w:rsidRPr="00F9522B" w:rsidRDefault="00611CBA">
            <w:pPr>
              <w:spacing w:line="0" w:lineRule="atLeast"/>
              <w:contextualSpacing/>
              <w:jc w:val="center"/>
              <w:rPr>
                <w:rFonts w:eastAsiaTheme="minorEastAsia"/>
                <w:spacing w:val="-3"/>
                <w:kern w:val="0"/>
                <w:szCs w:val="21"/>
                <w:lang w:bidi="zh-CN"/>
              </w:rPr>
            </w:pPr>
            <w:r w:rsidRPr="00F9522B">
              <w:rPr>
                <w:rFonts w:eastAsiaTheme="minorEastAsia"/>
                <w:spacing w:val="-3"/>
                <w:kern w:val="0"/>
                <w:szCs w:val="21"/>
                <w:lang w:bidi="zh-CN"/>
              </w:rPr>
              <w:t>污染物排放管控</w:t>
            </w:r>
          </w:p>
        </w:tc>
        <w:tc>
          <w:tcPr>
            <w:tcW w:w="3412" w:type="dxa"/>
            <w:vAlign w:val="center"/>
          </w:tcPr>
          <w:p w:rsidR="002A5A5E" w:rsidRPr="00F9522B" w:rsidRDefault="00611CBA">
            <w:pPr>
              <w:jc w:val="left"/>
              <w:rPr>
                <w:rFonts w:eastAsiaTheme="minorEastAsia"/>
                <w:kern w:val="0"/>
                <w:szCs w:val="21"/>
              </w:rPr>
            </w:pPr>
            <w:r w:rsidRPr="00F9522B">
              <w:rPr>
                <w:rFonts w:eastAsiaTheme="minorEastAsia"/>
                <w:kern w:val="0"/>
                <w:szCs w:val="21"/>
              </w:rPr>
              <w:t>1.</w:t>
            </w:r>
            <w:r w:rsidRPr="00F9522B">
              <w:rPr>
                <w:rFonts w:eastAsiaTheme="minorEastAsia"/>
                <w:kern w:val="0"/>
                <w:szCs w:val="21"/>
              </w:rPr>
              <w:t>支持规模化畜禽养殖场（小区）开展标准化改造和建设，提高畜禽粪污收集和处理机械化水平，实施雨污分流、粪污资源化利用，控制畜禽养殖污染排放。</w:t>
            </w:r>
            <w:r w:rsidRPr="00F9522B">
              <w:rPr>
                <w:rFonts w:eastAsiaTheme="minorEastAsia"/>
                <w:kern w:val="0"/>
                <w:szCs w:val="21"/>
              </w:rPr>
              <w:t>2.</w:t>
            </w:r>
            <w:r w:rsidRPr="00F9522B">
              <w:rPr>
                <w:rFonts w:eastAsiaTheme="minorEastAsia"/>
                <w:kern w:val="0"/>
                <w:szCs w:val="21"/>
              </w:rPr>
              <w:t>畜禽散养密集区所在地县级人民政府应当组织对畜禽粪便、污水进行集中处理利用，督促乡镇人民政府建设或者配备污染防治配套设施。</w:t>
            </w:r>
            <w:r w:rsidRPr="00F9522B">
              <w:rPr>
                <w:rFonts w:eastAsiaTheme="minorEastAsia"/>
                <w:kern w:val="0"/>
                <w:szCs w:val="21"/>
              </w:rPr>
              <w:t>3.</w:t>
            </w:r>
            <w:r w:rsidRPr="00F9522B">
              <w:rPr>
                <w:rFonts w:eastAsiaTheme="minorEastAsia"/>
                <w:kern w:val="0"/>
                <w:szCs w:val="21"/>
              </w:rPr>
              <w:t>全面加强农业面源污染防控，科学合理使用农业投入品，提高使用效率，减少农业内源性污染。大气环境布局敏感重点管控区同时执行：</w:t>
            </w:r>
            <w:r w:rsidRPr="00F9522B">
              <w:rPr>
                <w:rFonts w:eastAsiaTheme="minorEastAsia"/>
                <w:kern w:val="0"/>
                <w:szCs w:val="21"/>
              </w:rPr>
              <w:t>1.</w:t>
            </w:r>
            <w:r w:rsidRPr="00F9522B">
              <w:rPr>
                <w:rFonts w:eastAsiaTheme="minorEastAsia"/>
                <w:kern w:val="0"/>
                <w:szCs w:val="21"/>
              </w:rPr>
              <w:t>对以煤、石焦油、渣油、重油等为燃料的锅炉和工业炉窑，加快使用清洁低碳能源以及工厂余热、电力热力等进行替代。</w:t>
            </w:r>
            <w:r w:rsidRPr="00F9522B">
              <w:rPr>
                <w:rFonts w:eastAsiaTheme="minorEastAsia"/>
                <w:kern w:val="0"/>
                <w:szCs w:val="21"/>
              </w:rPr>
              <w:t>2.</w:t>
            </w:r>
            <w:r w:rsidRPr="00F9522B">
              <w:rPr>
                <w:rFonts w:eastAsiaTheme="minorEastAsia"/>
                <w:kern w:val="0"/>
                <w:szCs w:val="21"/>
              </w:rPr>
              <w:t>到</w:t>
            </w:r>
            <w:r w:rsidRPr="00F9522B">
              <w:rPr>
                <w:rFonts w:eastAsiaTheme="minorEastAsia"/>
                <w:kern w:val="0"/>
                <w:szCs w:val="21"/>
              </w:rPr>
              <w:t>2025</w:t>
            </w:r>
            <w:r w:rsidRPr="00F9522B">
              <w:rPr>
                <w:rFonts w:eastAsiaTheme="minorEastAsia"/>
                <w:kern w:val="0"/>
                <w:szCs w:val="21"/>
              </w:rPr>
              <w:t>年，在用</w:t>
            </w:r>
            <w:r w:rsidRPr="00F9522B">
              <w:rPr>
                <w:rFonts w:eastAsiaTheme="minorEastAsia"/>
                <w:kern w:val="0"/>
                <w:szCs w:val="21"/>
              </w:rPr>
              <w:t>65</w:t>
            </w:r>
            <w:r w:rsidRPr="00F9522B">
              <w:rPr>
                <w:rFonts w:eastAsiaTheme="minorEastAsia"/>
                <w:kern w:val="0"/>
                <w:szCs w:val="21"/>
              </w:rPr>
              <w:t>蒸吨</w:t>
            </w:r>
            <w:r w:rsidRPr="00F9522B">
              <w:rPr>
                <w:rFonts w:eastAsiaTheme="minorEastAsia"/>
                <w:kern w:val="0"/>
                <w:szCs w:val="21"/>
              </w:rPr>
              <w:t>/</w:t>
            </w:r>
            <w:r w:rsidRPr="00F9522B">
              <w:rPr>
                <w:rFonts w:eastAsiaTheme="minorEastAsia"/>
                <w:kern w:val="0"/>
                <w:szCs w:val="21"/>
              </w:rPr>
              <w:t>小时以上的燃煤锅炉（含电力）实现超低排放，钢铁企业基本实现超低排放。</w:t>
            </w:r>
          </w:p>
        </w:tc>
        <w:tc>
          <w:tcPr>
            <w:tcW w:w="2520" w:type="dxa"/>
            <w:vAlign w:val="center"/>
          </w:tcPr>
          <w:p w:rsidR="002A5A5E" w:rsidRPr="00F9522B" w:rsidRDefault="00611CBA" w:rsidP="00006C8A">
            <w:pPr>
              <w:spacing w:line="0" w:lineRule="atLeast"/>
              <w:contextualSpacing/>
              <w:jc w:val="left"/>
              <w:rPr>
                <w:rFonts w:eastAsiaTheme="minorEastAsia"/>
                <w:spacing w:val="-3"/>
                <w:kern w:val="0"/>
                <w:szCs w:val="21"/>
                <w:lang w:bidi="zh-CN"/>
              </w:rPr>
            </w:pPr>
            <w:r w:rsidRPr="00F9522B">
              <w:rPr>
                <w:rFonts w:eastAsiaTheme="minorEastAsia"/>
                <w:spacing w:val="-3"/>
                <w:kern w:val="0"/>
                <w:szCs w:val="21"/>
                <w:lang w:bidi="zh-CN"/>
              </w:rPr>
              <w:t>本</w:t>
            </w:r>
            <w:r w:rsidRPr="00F9522B">
              <w:rPr>
                <w:rFonts w:eastAsiaTheme="minorEastAsia"/>
                <w:kern w:val="0"/>
              </w:rPr>
              <w:t>项目施行</w:t>
            </w:r>
            <w:r w:rsidRPr="00F9522B">
              <w:rPr>
                <w:rFonts w:eastAsiaTheme="minorEastAsia"/>
                <w:kern w:val="0"/>
              </w:rPr>
              <w:t>“</w:t>
            </w:r>
            <w:r w:rsidRPr="00F9522B">
              <w:rPr>
                <w:rFonts w:eastAsiaTheme="minorEastAsia"/>
                <w:kern w:val="0"/>
              </w:rPr>
              <w:t>三减</w:t>
            </w:r>
            <w:r w:rsidRPr="00F9522B">
              <w:rPr>
                <w:rFonts w:eastAsiaTheme="minorEastAsia"/>
                <w:kern w:val="0"/>
              </w:rPr>
              <w:t>”</w:t>
            </w:r>
            <w:r w:rsidRPr="00F9522B">
              <w:rPr>
                <w:rFonts w:eastAsiaTheme="minorEastAsia"/>
                <w:kern w:val="0"/>
              </w:rPr>
              <w:t>行动，即减化肥、减农药、减除草剂，积极推广科学施肥，使化肥、农药实现减量化施用，增加有机肥的施用，优化调整农药施用结构，控制农药施用量，</w:t>
            </w:r>
            <w:r w:rsidRPr="00F9522B">
              <w:rPr>
                <w:rStyle w:val="CharChar"/>
                <w:rFonts w:hAnsi="Times New Roman"/>
              </w:rPr>
              <w:t>采取测土配方施肥、水肥一体化措施</w:t>
            </w:r>
            <w:r w:rsidRPr="00F9522B">
              <w:rPr>
                <w:rFonts w:eastAsiaTheme="minorEastAsia"/>
                <w:kern w:val="0"/>
              </w:rPr>
              <w:t>。本项目实施后，由于灌溉水利用系数的提升、农田保水能力增强以及渠系配套系统的完善，现状水田灌溉地表水退水口退水量减少，相应污染物入河量与现状相比也有一定程度的削减，</w:t>
            </w:r>
            <w:r w:rsidR="00E03AD9" w:rsidRPr="00F9522B">
              <w:rPr>
                <w:rFonts w:eastAsiaTheme="minorEastAsia"/>
                <w:bCs/>
                <w:kern w:val="0"/>
              </w:rPr>
              <w:t>COD</w:t>
            </w:r>
            <w:r w:rsidR="00E03AD9" w:rsidRPr="00F9522B">
              <w:rPr>
                <w:rFonts w:eastAsiaTheme="minorEastAsia"/>
                <w:bCs/>
                <w:kern w:val="0"/>
              </w:rPr>
              <w:t>、氨氮、总磷及总氮排放量分别减少</w:t>
            </w:r>
            <w:r w:rsidR="00E03AD9" w:rsidRPr="00F9522B">
              <w:rPr>
                <w:rFonts w:eastAsiaTheme="minorEastAsia"/>
                <w:bCs/>
                <w:kern w:val="0"/>
              </w:rPr>
              <w:t>7.905t/a</w:t>
            </w:r>
            <w:r w:rsidR="00E03AD9" w:rsidRPr="00F9522B">
              <w:rPr>
                <w:rFonts w:eastAsiaTheme="minorEastAsia"/>
                <w:bCs/>
                <w:kern w:val="0"/>
              </w:rPr>
              <w:t>、</w:t>
            </w:r>
            <w:r w:rsidR="00E03AD9" w:rsidRPr="00F9522B">
              <w:rPr>
                <w:rFonts w:eastAsiaTheme="minorEastAsia"/>
                <w:bCs/>
                <w:kern w:val="0"/>
              </w:rPr>
              <w:t>0.189t/a</w:t>
            </w:r>
            <w:r w:rsidR="00E03AD9" w:rsidRPr="00F9522B">
              <w:rPr>
                <w:rFonts w:eastAsiaTheme="minorEastAsia"/>
                <w:bCs/>
                <w:kern w:val="0"/>
              </w:rPr>
              <w:t>、</w:t>
            </w:r>
            <w:r w:rsidR="00E03AD9" w:rsidRPr="00F9522B">
              <w:rPr>
                <w:rFonts w:eastAsiaTheme="minorEastAsia"/>
                <w:bCs/>
                <w:kern w:val="0"/>
              </w:rPr>
              <w:t>0.276t/a</w:t>
            </w:r>
            <w:r w:rsidR="00E03AD9" w:rsidRPr="00F9522B">
              <w:rPr>
                <w:rFonts w:eastAsiaTheme="minorEastAsia"/>
                <w:bCs/>
                <w:kern w:val="0"/>
              </w:rPr>
              <w:t>、</w:t>
            </w:r>
            <w:r w:rsidR="00E03AD9" w:rsidRPr="00F9522B">
              <w:rPr>
                <w:rFonts w:eastAsiaTheme="minorEastAsia"/>
                <w:bCs/>
                <w:kern w:val="0"/>
              </w:rPr>
              <w:t>0.63t/a</w:t>
            </w:r>
            <w:r w:rsidRPr="00F9522B">
              <w:rPr>
                <w:rFonts w:eastAsiaTheme="minorEastAsia"/>
                <w:bCs/>
                <w:kern w:val="0"/>
              </w:rPr>
              <w:t>。</w:t>
            </w:r>
            <w:r w:rsidRPr="00F9522B">
              <w:rPr>
                <w:rFonts w:eastAsiaTheme="minorEastAsia"/>
                <w:spacing w:val="-3"/>
                <w:kern w:val="0"/>
                <w:szCs w:val="21"/>
                <w:lang w:bidi="zh-CN"/>
              </w:rPr>
              <w:t>运营期排水沟仅在降水无法排出情况下采用柴油机移动泵车进行排水，使用时间较短</w:t>
            </w:r>
            <w:r w:rsidRPr="00F9522B">
              <w:rPr>
                <w:rFonts w:eastAsiaTheme="minorEastAsia"/>
                <w:szCs w:val="21"/>
              </w:rPr>
              <w:t>，不建设锅炉。</w:t>
            </w:r>
          </w:p>
        </w:tc>
      </w:tr>
      <w:tr w:rsidR="002A5A5E" w:rsidRPr="00F9522B">
        <w:trPr>
          <w:trHeight w:val="699"/>
        </w:trPr>
        <w:tc>
          <w:tcPr>
            <w:tcW w:w="668" w:type="dxa"/>
            <w:vMerge/>
            <w:vAlign w:val="center"/>
          </w:tcPr>
          <w:p w:rsidR="002A5A5E" w:rsidRPr="00F9522B" w:rsidRDefault="002A5A5E">
            <w:pPr>
              <w:spacing w:line="0" w:lineRule="atLeast"/>
              <w:contextualSpacing/>
              <w:jc w:val="center"/>
              <w:rPr>
                <w:rFonts w:eastAsiaTheme="minorEastAsia"/>
                <w:kern w:val="0"/>
                <w:szCs w:val="21"/>
              </w:rPr>
            </w:pPr>
          </w:p>
        </w:tc>
        <w:tc>
          <w:tcPr>
            <w:tcW w:w="706" w:type="dxa"/>
            <w:vMerge/>
            <w:vAlign w:val="center"/>
          </w:tcPr>
          <w:p w:rsidR="002A5A5E" w:rsidRPr="00F9522B" w:rsidRDefault="002A5A5E">
            <w:pPr>
              <w:spacing w:line="0" w:lineRule="atLeast"/>
              <w:contextualSpacing/>
              <w:jc w:val="center"/>
              <w:rPr>
                <w:rFonts w:eastAsiaTheme="minorEastAsia"/>
                <w:kern w:val="0"/>
                <w:szCs w:val="21"/>
              </w:rPr>
            </w:pPr>
          </w:p>
        </w:tc>
        <w:tc>
          <w:tcPr>
            <w:tcW w:w="706" w:type="dxa"/>
            <w:vMerge/>
            <w:vAlign w:val="center"/>
          </w:tcPr>
          <w:p w:rsidR="002A5A5E" w:rsidRPr="00F9522B" w:rsidRDefault="002A5A5E">
            <w:pPr>
              <w:spacing w:line="0" w:lineRule="atLeast"/>
              <w:contextualSpacing/>
              <w:jc w:val="center"/>
              <w:rPr>
                <w:rFonts w:eastAsiaTheme="minorEastAsia"/>
                <w:szCs w:val="21"/>
              </w:rPr>
            </w:pPr>
          </w:p>
        </w:tc>
        <w:tc>
          <w:tcPr>
            <w:tcW w:w="423" w:type="dxa"/>
            <w:vAlign w:val="center"/>
          </w:tcPr>
          <w:p w:rsidR="002A5A5E" w:rsidRPr="00F9522B" w:rsidRDefault="00611CBA">
            <w:pPr>
              <w:spacing w:line="0" w:lineRule="atLeast"/>
              <w:contextualSpacing/>
              <w:jc w:val="center"/>
              <w:rPr>
                <w:rFonts w:eastAsiaTheme="minorEastAsia"/>
                <w:spacing w:val="-3"/>
                <w:kern w:val="0"/>
                <w:szCs w:val="21"/>
                <w:lang w:bidi="zh-CN"/>
              </w:rPr>
            </w:pPr>
            <w:r w:rsidRPr="00F9522B">
              <w:rPr>
                <w:rFonts w:eastAsiaTheme="minorEastAsia"/>
                <w:spacing w:val="-3"/>
                <w:kern w:val="0"/>
                <w:szCs w:val="21"/>
                <w:lang w:bidi="zh-CN"/>
              </w:rPr>
              <w:t>环境风险防控</w:t>
            </w:r>
          </w:p>
        </w:tc>
        <w:tc>
          <w:tcPr>
            <w:tcW w:w="3412" w:type="dxa"/>
            <w:vAlign w:val="center"/>
          </w:tcPr>
          <w:p w:rsidR="002A5A5E" w:rsidRPr="00F9522B" w:rsidRDefault="00611CBA">
            <w:pPr>
              <w:jc w:val="left"/>
              <w:rPr>
                <w:rFonts w:eastAsiaTheme="minorEastAsia"/>
                <w:kern w:val="0"/>
                <w:szCs w:val="21"/>
              </w:rPr>
            </w:pPr>
            <w:r w:rsidRPr="00F9522B">
              <w:rPr>
                <w:rFonts w:eastAsiaTheme="minorEastAsia"/>
                <w:kern w:val="0"/>
                <w:szCs w:val="21"/>
              </w:rPr>
              <w:t>大气环境布局敏感重点管控区同时执行：禁止在居民区、学校、医疗和养老机构等周边新建有色金属冶炼、焦化等行业企业。</w:t>
            </w:r>
          </w:p>
        </w:tc>
        <w:tc>
          <w:tcPr>
            <w:tcW w:w="2520" w:type="dxa"/>
            <w:vAlign w:val="center"/>
          </w:tcPr>
          <w:p w:rsidR="002A5A5E" w:rsidRPr="00F9522B" w:rsidRDefault="00B83681">
            <w:pPr>
              <w:spacing w:line="0" w:lineRule="atLeast"/>
              <w:contextualSpacing/>
              <w:jc w:val="left"/>
              <w:rPr>
                <w:rFonts w:eastAsiaTheme="minorEastAsia"/>
                <w:spacing w:val="-3"/>
                <w:kern w:val="0"/>
                <w:szCs w:val="21"/>
                <w:lang w:bidi="zh-CN"/>
              </w:rPr>
            </w:pPr>
            <w:r w:rsidRPr="00F9522B">
              <w:rPr>
                <w:rFonts w:eastAsiaTheme="minorEastAsia"/>
                <w:spacing w:val="-3"/>
                <w:kern w:val="0"/>
                <w:szCs w:val="21"/>
                <w:lang w:bidi="zh-CN"/>
              </w:rPr>
              <w:t>本项目不位于</w:t>
            </w:r>
            <w:r w:rsidRPr="00F9522B">
              <w:rPr>
                <w:rFonts w:eastAsiaTheme="minorEastAsia"/>
                <w:kern w:val="0"/>
                <w:szCs w:val="21"/>
              </w:rPr>
              <w:t>大气环境布局敏感重点管控区</w:t>
            </w:r>
            <w:r w:rsidRPr="00F9522B">
              <w:rPr>
                <w:rFonts w:eastAsiaTheme="minorEastAsia"/>
                <w:szCs w:val="21"/>
              </w:rPr>
              <w:t>。</w:t>
            </w:r>
          </w:p>
        </w:tc>
      </w:tr>
    </w:tbl>
    <w:p w:rsidR="002A5A5E" w:rsidRPr="00F9522B" w:rsidRDefault="00611CBA">
      <w:pPr>
        <w:contextualSpacing/>
        <w:jc w:val="center"/>
        <w:rPr>
          <w:rFonts w:eastAsiaTheme="minorEastAsia"/>
          <w:b/>
          <w:szCs w:val="21"/>
        </w:rPr>
      </w:pPr>
      <w:r w:rsidRPr="00F9522B">
        <w:rPr>
          <w:rFonts w:eastAsiaTheme="minorEastAsia"/>
          <w:b/>
          <w:szCs w:val="21"/>
        </w:rPr>
        <w:lastRenderedPageBreak/>
        <w:t>续表</w:t>
      </w:r>
      <w:r w:rsidRPr="00F9522B">
        <w:rPr>
          <w:rFonts w:eastAsiaTheme="minorEastAsia"/>
          <w:b/>
          <w:szCs w:val="21"/>
        </w:rPr>
        <w:t>1-4-4</w:t>
      </w:r>
      <w:r w:rsidRPr="00F9522B">
        <w:rPr>
          <w:rFonts w:eastAsiaTheme="minorEastAsia"/>
          <w:b/>
          <w:bCs/>
          <w:szCs w:val="21"/>
        </w:rPr>
        <w:t>生态环境准入清单管控</w:t>
      </w:r>
      <w:r w:rsidRPr="00F9522B">
        <w:rPr>
          <w:rFonts w:eastAsiaTheme="minorEastAsia"/>
          <w:b/>
          <w:szCs w:val="21"/>
          <w:lang w:val="zh-CN"/>
        </w:rPr>
        <w:t>要求符合性分析</w:t>
      </w:r>
    </w:p>
    <w:tbl>
      <w:tblPr>
        <w:tblW w:w="8435" w:type="dxa"/>
        <w:tblInd w:w="5" w:type="dxa"/>
        <w:tblBorders>
          <w:top w:val="single" w:sz="12" w:space="0" w:color="auto"/>
          <w:bottom w:val="single" w:sz="12" w:space="0" w:color="auto"/>
          <w:insideH w:val="single" w:sz="4" w:space="0" w:color="auto"/>
          <w:insideV w:val="single" w:sz="4" w:space="0" w:color="auto"/>
        </w:tblBorders>
        <w:tblLayout w:type="fixed"/>
        <w:tblLook w:val="04A0"/>
      </w:tblPr>
      <w:tblGrid>
        <w:gridCol w:w="668"/>
        <w:gridCol w:w="706"/>
        <w:gridCol w:w="706"/>
        <w:gridCol w:w="423"/>
        <w:gridCol w:w="4688"/>
        <w:gridCol w:w="1244"/>
      </w:tblGrid>
      <w:tr w:rsidR="002A5A5E" w:rsidRPr="00F9522B">
        <w:trPr>
          <w:trHeight w:val="1171"/>
        </w:trPr>
        <w:tc>
          <w:tcPr>
            <w:tcW w:w="668" w:type="dxa"/>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szCs w:val="21"/>
              </w:rPr>
              <w:t>ZH23011130001</w:t>
            </w:r>
          </w:p>
        </w:tc>
        <w:tc>
          <w:tcPr>
            <w:tcW w:w="706" w:type="dxa"/>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szCs w:val="21"/>
              </w:rPr>
              <w:t>呼兰区永久基本农田</w:t>
            </w:r>
          </w:p>
        </w:tc>
        <w:tc>
          <w:tcPr>
            <w:tcW w:w="706" w:type="dxa"/>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一般管控单元</w:t>
            </w:r>
          </w:p>
        </w:tc>
        <w:tc>
          <w:tcPr>
            <w:tcW w:w="423" w:type="dxa"/>
            <w:vAlign w:val="center"/>
          </w:tcPr>
          <w:p w:rsidR="002A5A5E" w:rsidRPr="00F9522B" w:rsidRDefault="00611CBA">
            <w:pPr>
              <w:spacing w:line="0" w:lineRule="atLeast"/>
              <w:contextualSpacing/>
              <w:jc w:val="center"/>
              <w:rPr>
                <w:rFonts w:eastAsiaTheme="minorEastAsia"/>
                <w:spacing w:val="-3"/>
                <w:kern w:val="0"/>
                <w:szCs w:val="21"/>
                <w:lang w:bidi="zh-CN"/>
              </w:rPr>
            </w:pPr>
            <w:r w:rsidRPr="00F9522B">
              <w:rPr>
                <w:rFonts w:eastAsiaTheme="minorEastAsia"/>
                <w:spacing w:val="-3"/>
                <w:kern w:val="0"/>
                <w:szCs w:val="21"/>
                <w:lang w:bidi="zh-CN"/>
              </w:rPr>
              <w:t>资源开发效率</w:t>
            </w:r>
          </w:p>
        </w:tc>
        <w:tc>
          <w:tcPr>
            <w:tcW w:w="4688" w:type="dxa"/>
            <w:vAlign w:val="center"/>
          </w:tcPr>
          <w:p w:rsidR="002A5A5E" w:rsidRPr="00F9522B" w:rsidRDefault="00611CBA">
            <w:pPr>
              <w:widowControl/>
              <w:jc w:val="left"/>
              <w:rPr>
                <w:rFonts w:eastAsiaTheme="minorEastAsia"/>
                <w:kern w:val="0"/>
                <w:szCs w:val="21"/>
              </w:rPr>
            </w:pPr>
            <w:r w:rsidRPr="00F9522B">
              <w:rPr>
                <w:rFonts w:eastAsiaTheme="minorEastAsia"/>
                <w:kern w:val="0"/>
                <w:szCs w:val="21"/>
              </w:rPr>
              <w:t>1.</w:t>
            </w:r>
            <w:r w:rsidRPr="00F9522B">
              <w:rPr>
                <w:rFonts w:eastAsiaTheme="minorEastAsia"/>
                <w:kern w:val="0"/>
                <w:szCs w:val="21"/>
              </w:rPr>
              <w:t>严格永久基本农田占用和补划，永久基本农田经依法划定后，任何单位和个人不得擅自占用或者改变其用途。</w:t>
            </w:r>
            <w:r w:rsidRPr="00F9522B">
              <w:rPr>
                <w:rFonts w:eastAsiaTheme="minorEastAsia"/>
                <w:kern w:val="0"/>
                <w:szCs w:val="21"/>
              </w:rPr>
              <w:t>2.</w:t>
            </w:r>
            <w:r w:rsidRPr="00F9522B">
              <w:rPr>
                <w:rFonts w:eastAsiaTheme="minorEastAsia"/>
                <w:kern w:val="0"/>
                <w:szCs w:val="21"/>
              </w:rPr>
              <w:t>在永久基本农田集中区域，不得新建可能造成土壤污染的建设项目；已经建成的，应当限期关闭拆除。</w:t>
            </w:r>
            <w:r w:rsidRPr="00F9522B">
              <w:rPr>
                <w:rFonts w:eastAsiaTheme="minorEastAsia"/>
                <w:kern w:val="0"/>
                <w:szCs w:val="21"/>
              </w:rPr>
              <w:t>3.</w:t>
            </w:r>
            <w:r w:rsidRPr="00F9522B">
              <w:rPr>
                <w:rFonts w:eastAsiaTheme="minorEastAsia"/>
                <w:kern w:val="0"/>
                <w:szCs w:val="21"/>
              </w:rPr>
              <w:t>严禁占用永久基本农田发展林果业和挖塘养鱼；严禁占用永久基本农田种植苗木、草皮等用于绿化装饰以及其他破坏耕作层的植物；严禁占用永久基本农田挖湖造景、建设绿化带；严禁新增占用永久基本农田建设畜禽养殖设施、水产养殖设施和破坏耕作层的种植业设施。</w:t>
            </w:r>
            <w:r w:rsidRPr="00F9522B">
              <w:rPr>
                <w:rFonts w:eastAsiaTheme="minorEastAsia"/>
                <w:kern w:val="0"/>
                <w:szCs w:val="21"/>
              </w:rPr>
              <w:t>4.</w:t>
            </w:r>
            <w:r w:rsidRPr="00F9522B">
              <w:rPr>
                <w:rFonts w:eastAsiaTheme="minorEastAsia"/>
                <w:kern w:val="0"/>
                <w:szCs w:val="21"/>
              </w:rPr>
              <w:t>禁止任何单位和个人破坏永久基本农田耕作层。</w:t>
            </w:r>
            <w:r w:rsidRPr="00F9522B">
              <w:rPr>
                <w:rFonts w:eastAsiaTheme="minorEastAsia"/>
                <w:kern w:val="0"/>
                <w:szCs w:val="21"/>
              </w:rPr>
              <w:t>5.</w:t>
            </w:r>
            <w:r w:rsidRPr="00F9522B">
              <w:rPr>
                <w:rFonts w:eastAsiaTheme="minorEastAsia"/>
                <w:kern w:val="0"/>
                <w:szCs w:val="21"/>
              </w:rPr>
              <w:t>禁止以设施农用地为名违规占用永久基本农田建设休闲旅游、仓储厂房等设施。</w:t>
            </w:r>
            <w:r w:rsidRPr="00F9522B">
              <w:rPr>
                <w:rFonts w:eastAsiaTheme="minorEastAsia"/>
                <w:kern w:val="0"/>
                <w:szCs w:val="21"/>
              </w:rPr>
              <w:t>6.</w:t>
            </w:r>
            <w:r w:rsidRPr="00F9522B">
              <w:rPr>
                <w:rFonts w:eastAsiaTheme="minorEastAsia"/>
                <w:kern w:val="0"/>
                <w:szCs w:val="21"/>
              </w:rPr>
              <w:t>禁止向农用地排放重金属或者其他有毒有害物质含量超标的污水、污泥，以及可能造成土壤污染的清淤底泥、尾矿、矿渣等。</w:t>
            </w:r>
            <w:r w:rsidRPr="00F9522B">
              <w:rPr>
                <w:rFonts w:eastAsiaTheme="minorEastAsia"/>
                <w:kern w:val="0"/>
                <w:szCs w:val="21"/>
              </w:rPr>
              <w:t>7.</w:t>
            </w:r>
            <w:r w:rsidRPr="00F9522B">
              <w:rPr>
                <w:rFonts w:eastAsiaTheme="minorEastAsia"/>
                <w:kern w:val="0"/>
                <w:szCs w:val="21"/>
              </w:rPr>
              <w:t>国家能源、交通、水利、军事设施等重点项目确实难以避让永久基本农田的，涉及农用地转用或者土地征收的，必须经过国务院批准。</w:t>
            </w:r>
            <w:r w:rsidRPr="00F9522B">
              <w:rPr>
                <w:rFonts w:eastAsiaTheme="minorEastAsia"/>
                <w:kern w:val="0"/>
                <w:szCs w:val="21"/>
              </w:rPr>
              <w:t>8.</w:t>
            </w:r>
            <w:r w:rsidRPr="00F9522B">
              <w:rPr>
                <w:rFonts w:eastAsiaTheme="minorEastAsia"/>
                <w:kern w:val="0"/>
                <w:szCs w:val="21"/>
              </w:rPr>
              <w:t>一般建设项目不得占用永久基本农田；重大建设项目选址确实难以避让永久基本农田的，要按照</w:t>
            </w:r>
            <w:r w:rsidRPr="00F9522B">
              <w:rPr>
                <w:rFonts w:eastAsiaTheme="minorEastAsia"/>
                <w:kern w:val="0"/>
                <w:szCs w:val="21"/>
              </w:rPr>
              <w:t>“</w:t>
            </w:r>
            <w:r w:rsidRPr="00F9522B">
              <w:rPr>
                <w:rFonts w:eastAsiaTheme="minorEastAsia"/>
                <w:kern w:val="0"/>
                <w:szCs w:val="21"/>
              </w:rPr>
              <w:t>数量不减、质量不降、布局稳定</w:t>
            </w:r>
            <w:r w:rsidRPr="00F9522B">
              <w:rPr>
                <w:rFonts w:eastAsiaTheme="minorEastAsia"/>
                <w:kern w:val="0"/>
                <w:szCs w:val="21"/>
              </w:rPr>
              <w:t>”</w:t>
            </w:r>
            <w:r w:rsidRPr="00F9522B">
              <w:rPr>
                <w:rFonts w:eastAsiaTheme="minorEastAsia"/>
                <w:kern w:val="0"/>
                <w:szCs w:val="21"/>
              </w:rPr>
              <w:t>的要求，在储备区内选择数量相等、质量相当的地块进行补划。</w:t>
            </w:r>
            <w:r w:rsidRPr="00F9522B">
              <w:rPr>
                <w:rFonts w:eastAsiaTheme="minorEastAsia"/>
                <w:kern w:val="0"/>
                <w:szCs w:val="21"/>
              </w:rPr>
              <w:t>9.</w:t>
            </w:r>
            <w:r w:rsidRPr="00F9522B">
              <w:rPr>
                <w:rFonts w:eastAsiaTheme="minorEastAsia"/>
                <w:kern w:val="0"/>
                <w:szCs w:val="21"/>
              </w:rPr>
              <w:t>非农业建设依法占用永久基本农田的，建设单位应当将所占用耕地耕作层的土壤用于新开垦的耕地、劣质地或其他耕地的土壤改良。位于优先保护单元和重点管控单元内永久基本农田也同时执行此要求。</w:t>
            </w:r>
          </w:p>
        </w:tc>
        <w:tc>
          <w:tcPr>
            <w:tcW w:w="1244" w:type="dxa"/>
            <w:vAlign w:val="center"/>
          </w:tcPr>
          <w:p w:rsidR="002A5A5E" w:rsidRPr="00F9522B" w:rsidRDefault="00611CBA">
            <w:pPr>
              <w:spacing w:line="0" w:lineRule="atLeast"/>
              <w:contextualSpacing/>
              <w:jc w:val="left"/>
              <w:rPr>
                <w:rFonts w:eastAsiaTheme="minorEastAsia"/>
                <w:spacing w:val="-3"/>
                <w:kern w:val="0"/>
                <w:szCs w:val="21"/>
                <w:lang w:bidi="zh-CN"/>
              </w:rPr>
            </w:pPr>
            <w:r w:rsidRPr="00F9522B">
              <w:rPr>
                <w:rFonts w:eastAsiaTheme="minorEastAsia"/>
                <w:spacing w:val="-3"/>
                <w:kern w:val="0"/>
                <w:szCs w:val="21"/>
                <w:lang w:bidi="zh-CN"/>
              </w:rPr>
              <w:t>本项目为高标准农田建设项目，田块整治工程占用永久基本农田面积约为</w:t>
            </w:r>
            <w:r w:rsidRPr="00F9522B">
              <w:rPr>
                <w:rFonts w:eastAsiaTheme="minorEastAsia"/>
                <w:spacing w:val="-3"/>
                <w:kern w:val="0"/>
                <w:szCs w:val="21"/>
                <w:lang w:bidi="zh-CN"/>
              </w:rPr>
              <w:t>0.03</w:t>
            </w:r>
            <w:r w:rsidRPr="00F9522B">
              <w:rPr>
                <w:rFonts w:eastAsiaTheme="minorEastAsia"/>
                <w:spacing w:val="-3"/>
                <w:kern w:val="0"/>
                <w:szCs w:val="21"/>
                <w:lang w:bidi="zh-CN"/>
              </w:rPr>
              <w:t>平方公里，在现状农田上建设，不可避免将占用基本农田，不属于</w:t>
            </w:r>
            <w:r w:rsidRPr="00F9522B">
              <w:rPr>
                <w:rFonts w:eastAsiaTheme="minorEastAsia"/>
                <w:kern w:val="0"/>
                <w:szCs w:val="21"/>
              </w:rPr>
              <w:t>改变用途</w:t>
            </w:r>
            <w:r w:rsidRPr="00F9522B">
              <w:rPr>
                <w:rFonts w:eastAsiaTheme="minorEastAsia"/>
                <w:spacing w:val="-3"/>
                <w:kern w:val="0"/>
                <w:szCs w:val="21"/>
                <w:lang w:bidi="zh-CN"/>
              </w:rPr>
              <w:t>。项目属于农业项目，项目建设后抗旱效果明显，新建灌溉井及建筑物呈点状分布，单个占地面积较小，不涉及补偿问题。施工过程中不向农用地排放重金属或者其他有毒有害物质含量超标的污水、污泥，以及可能造成土壤污染的清淤底泥、尾矿、矿渣等，不会造成永久基本农田污染。</w:t>
            </w:r>
          </w:p>
        </w:tc>
      </w:tr>
      <w:tr w:rsidR="002A5A5E" w:rsidRPr="00F9522B">
        <w:trPr>
          <w:trHeight w:val="1171"/>
        </w:trPr>
        <w:tc>
          <w:tcPr>
            <w:tcW w:w="668" w:type="dxa"/>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ZH23011130002</w:t>
            </w:r>
          </w:p>
        </w:tc>
        <w:tc>
          <w:tcPr>
            <w:tcW w:w="706" w:type="dxa"/>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呼兰区其他区域</w:t>
            </w:r>
          </w:p>
        </w:tc>
        <w:tc>
          <w:tcPr>
            <w:tcW w:w="706" w:type="dxa"/>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一般管控单元</w:t>
            </w:r>
          </w:p>
        </w:tc>
        <w:tc>
          <w:tcPr>
            <w:tcW w:w="423" w:type="dxa"/>
            <w:vAlign w:val="center"/>
          </w:tcPr>
          <w:p w:rsidR="002A5A5E" w:rsidRPr="00F9522B" w:rsidRDefault="00611CBA">
            <w:pPr>
              <w:spacing w:line="0" w:lineRule="atLeast"/>
              <w:contextualSpacing/>
              <w:jc w:val="center"/>
              <w:rPr>
                <w:rFonts w:eastAsiaTheme="minorEastAsia"/>
                <w:spacing w:val="-3"/>
                <w:kern w:val="0"/>
                <w:szCs w:val="21"/>
                <w:lang w:bidi="zh-CN"/>
              </w:rPr>
            </w:pPr>
            <w:r w:rsidRPr="00F9522B">
              <w:rPr>
                <w:rFonts w:eastAsiaTheme="minorEastAsia"/>
                <w:szCs w:val="21"/>
              </w:rPr>
              <w:t>空间布局约束</w:t>
            </w:r>
          </w:p>
        </w:tc>
        <w:tc>
          <w:tcPr>
            <w:tcW w:w="4688" w:type="dxa"/>
            <w:vAlign w:val="center"/>
          </w:tcPr>
          <w:p w:rsidR="002A5A5E" w:rsidRPr="00F9522B" w:rsidRDefault="00611CBA">
            <w:pPr>
              <w:widowControl/>
              <w:jc w:val="left"/>
              <w:rPr>
                <w:rFonts w:eastAsiaTheme="minorEastAsia"/>
                <w:kern w:val="0"/>
                <w:szCs w:val="21"/>
              </w:rPr>
            </w:pPr>
            <w:r w:rsidRPr="00F9522B">
              <w:rPr>
                <w:rFonts w:eastAsiaTheme="minorEastAsia"/>
                <w:kern w:val="0"/>
                <w:szCs w:val="21"/>
              </w:rPr>
              <w:t>1.</w:t>
            </w:r>
            <w:r w:rsidRPr="00F9522B">
              <w:rPr>
                <w:rFonts w:eastAsiaTheme="minorEastAsia"/>
                <w:kern w:val="0"/>
                <w:szCs w:val="21"/>
              </w:rPr>
              <w:t>引导工业项目向开发区集中，促进产业集聚、资源集约、绿色发展。</w:t>
            </w:r>
            <w:r w:rsidRPr="00F9522B">
              <w:rPr>
                <w:rFonts w:eastAsiaTheme="minorEastAsia"/>
                <w:kern w:val="0"/>
                <w:szCs w:val="21"/>
              </w:rPr>
              <w:t>2.</w:t>
            </w:r>
            <w:r w:rsidRPr="00F9522B">
              <w:rPr>
                <w:rFonts w:eastAsiaTheme="minorEastAsia"/>
                <w:kern w:val="0"/>
                <w:szCs w:val="21"/>
              </w:rPr>
              <w:t>强化节能环保标准约束，严格行业规范、准入管理和节能审查，对电力、钢铁、建材、有色、化工、石油石化、船舶、煤炭、印染、造纸、制革、染料、焦化、电镀等行业中，环保、能耗、安全等不达标或生产、使用淘汰类产品的企业和产能，要依法依规有序退出。</w:t>
            </w:r>
          </w:p>
        </w:tc>
        <w:tc>
          <w:tcPr>
            <w:tcW w:w="1244" w:type="dxa"/>
            <w:vAlign w:val="center"/>
          </w:tcPr>
          <w:p w:rsidR="002A5A5E" w:rsidRPr="00F9522B" w:rsidRDefault="00611CBA">
            <w:pPr>
              <w:spacing w:line="0" w:lineRule="atLeast"/>
              <w:contextualSpacing/>
              <w:jc w:val="left"/>
              <w:rPr>
                <w:rFonts w:eastAsiaTheme="minorEastAsia"/>
                <w:spacing w:val="-3"/>
                <w:kern w:val="0"/>
                <w:szCs w:val="21"/>
                <w:lang w:bidi="zh-CN"/>
              </w:rPr>
            </w:pPr>
            <w:r w:rsidRPr="00F9522B">
              <w:rPr>
                <w:rFonts w:eastAsiaTheme="minorEastAsia"/>
                <w:spacing w:val="-3"/>
                <w:kern w:val="0"/>
                <w:szCs w:val="21"/>
                <w:lang w:bidi="zh-CN"/>
              </w:rPr>
              <w:t>本项目不涉及。</w:t>
            </w:r>
          </w:p>
        </w:tc>
      </w:tr>
    </w:tbl>
    <w:p w:rsidR="00C96EBA" w:rsidRPr="00F9522B" w:rsidRDefault="00C96EBA" w:rsidP="00C96EBA">
      <w:pPr>
        <w:ind w:firstLineChars="200" w:firstLine="422"/>
        <w:jc w:val="center"/>
        <w:rPr>
          <w:rFonts w:eastAsiaTheme="minorEastAsia"/>
          <w:b/>
          <w:szCs w:val="21"/>
        </w:rPr>
      </w:pPr>
    </w:p>
    <w:p w:rsidR="00C96EBA" w:rsidRPr="00F9522B" w:rsidRDefault="00C96EBA" w:rsidP="00C96EBA">
      <w:pPr>
        <w:ind w:firstLineChars="200" w:firstLine="422"/>
        <w:jc w:val="center"/>
        <w:rPr>
          <w:rFonts w:eastAsiaTheme="minorEastAsia"/>
          <w:b/>
          <w:szCs w:val="21"/>
        </w:rPr>
      </w:pPr>
    </w:p>
    <w:p w:rsidR="00C96EBA" w:rsidRPr="00F9522B" w:rsidRDefault="00C96EBA" w:rsidP="00C96EBA">
      <w:pPr>
        <w:ind w:firstLineChars="200" w:firstLine="422"/>
        <w:jc w:val="center"/>
        <w:rPr>
          <w:rFonts w:eastAsiaTheme="minorEastAsia"/>
          <w:b/>
          <w:szCs w:val="21"/>
        </w:rPr>
      </w:pPr>
      <w:r w:rsidRPr="00F9522B">
        <w:rPr>
          <w:rFonts w:eastAsiaTheme="minorEastAsia"/>
          <w:b/>
          <w:szCs w:val="21"/>
        </w:rPr>
        <w:lastRenderedPageBreak/>
        <w:t>表</w:t>
      </w:r>
      <w:r w:rsidRPr="00F9522B">
        <w:rPr>
          <w:rFonts w:eastAsiaTheme="minorEastAsia"/>
          <w:b/>
          <w:szCs w:val="21"/>
        </w:rPr>
        <w:t>1-4-5</w:t>
      </w:r>
      <w:r w:rsidRPr="00F9522B">
        <w:rPr>
          <w:rFonts w:eastAsiaTheme="minorEastAsia"/>
          <w:b/>
          <w:szCs w:val="21"/>
        </w:rPr>
        <w:t>项目与地下水环境管控分区符合性分析</w:t>
      </w:r>
    </w:p>
    <w:tbl>
      <w:tblPr>
        <w:tblStyle w:val="69"/>
        <w:tblW w:w="0" w:type="auto"/>
        <w:tblBorders>
          <w:top w:val="single" w:sz="12" w:space="0" w:color="auto"/>
          <w:left w:val="none" w:sz="0" w:space="0" w:color="auto"/>
          <w:bottom w:val="single" w:sz="12" w:space="0" w:color="auto"/>
          <w:right w:val="none" w:sz="0" w:space="0" w:color="auto"/>
        </w:tblBorders>
        <w:tblLayout w:type="fixed"/>
        <w:tblLook w:val="04A0"/>
      </w:tblPr>
      <w:tblGrid>
        <w:gridCol w:w="719"/>
        <w:gridCol w:w="1525"/>
        <w:gridCol w:w="4101"/>
        <w:gridCol w:w="2081"/>
      </w:tblGrid>
      <w:tr w:rsidR="00C96EBA" w:rsidRPr="00F9522B" w:rsidTr="00C96EBA">
        <w:trPr>
          <w:trHeight w:val="622"/>
        </w:trPr>
        <w:tc>
          <w:tcPr>
            <w:tcW w:w="2244" w:type="dxa"/>
            <w:gridSpan w:val="2"/>
            <w:vAlign w:val="center"/>
          </w:tcPr>
          <w:p w:rsidR="00C96EBA" w:rsidRPr="00F9522B" w:rsidRDefault="00C96EBA" w:rsidP="00C96EBA">
            <w:pPr>
              <w:jc w:val="center"/>
              <w:rPr>
                <w:rFonts w:eastAsiaTheme="minorEastAsia"/>
                <w:b/>
                <w:bCs/>
                <w:sz w:val="24"/>
              </w:rPr>
            </w:pPr>
            <w:r w:rsidRPr="00F9522B">
              <w:rPr>
                <w:b/>
                <w:bCs/>
                <w:szCs w:val="21"/>
              </w:rPr>
              <w:t>环境管控单元编码</w:t>
            </w:r>
          </w:p>
        </w:tc>
        <w:tc>
          <w:tcPr>
            <w:tcW w:w="4101" w:type="dxa"/>
            <w:vAlign w:val="center"/>
          </w:tcPr>
          <w:p w:rsidR="00C96EBA" w:rsidRPr="00F9522B" w:rsidRDefault="00C96EBA" w:rsidP="00C96EBA">
            <w:pPr>
              <w:jc w:val="center"/>
              <w:rPr>
                <w:rFonts w:eastAsiaTheme="minorEastAsia"/>
                <w:b/>
                <w:bCs/>
                <w:sz w:val="24"/>
              </w:rPr>
            </w:pPr>
            <w:r w:rsidRPr="00F9522B">
              <w:rPr>
                <w:b/>
                <w:bCs/>
                <w:szCs w:val="21"/>
              </w:rPr>
              <w:t>环境管控单元名称</w:t>
            </w:r>
          </w:p>
        </w:tc>
        <w:tc>
          <w:tcPr>
            <w:tcW w:w="2081" w:type="dxa"/>
            <w:vAlign w:val="center"/>
          </w:tcPr>
          <w:p w:rsidR="00C96EBA" w:rsidRPr="00F9522B" w:rsidRDefault="00C96EBA" w:rsidP="00C96EBA">
            <w:pPr>
              <w:jc w:val="center"/>
              <w:rPr>
                <w:rFonts w:eastAsiaTheme="minorEastAsia"/>
                <w:b/>
                <w:bCs/>
                <w:sz w:val="24"/>
              </w:rPr>
            </w:pPr>
            <w:r w:rsidRPr="00F9522B">
              <w:rPr>
                <w:b/>
                <w:bCs/>
                <w:szCs w:val="21"/>
              </w:rPr>
              <w:t>环境管控单元类型</w:t>
            </w:r>
          </w:p>
        </w:tc>
      </w:tr>
      <w:tr w:rsidR="00C96EBA" w:rsidRPr="00F9522B" w:rsidTr="00C96EBA">
        <w:trPr>
          <w:trHeight w:val="300"/>
        </w:trPr>
        <w:tc>
          <w:tcPr>
            <w:tcW w:w="2244" w:type="dxa"/>
            <w:gridSpan w:val="2"/>
            <w:vAlign w:val="center"/>
          </w:tcPr>
          <w:p w:rsidR="00C96EBA" w:rsidRPr="00F9522B" w:rsidRDefault="00C96EBA" w:rsidP="00C96EBA">
            <w:pPr>
              <w:jc w:val="center"/>
              <w:rPr>
                <w:rFonts w:eastAsiaTheme="minorEastAsia"/>
                <w:b/>
                <w:sz w:val="24"/>
              </w:rPr>
            </w:pPr>
            <w:r w:rsidRPr="00F9522B">
              <w:rPr>
                <w:kern w:val="0"/>
                <w:szCs w:val="21"/>
              </w:rPr>
              <w:t>YS2301116310001</w:t>
            </w:r>
          </w:p>
        </w:tc>
        <w:tc>
          <w:tcPr>
            <w:tcW w:w="4101" w:type="dxa"/>
            <w:vAlign w:val="center"/>
          </w:tcPr>
          <w:p w:rsidR="00C96EBA" w:rsidRPr="00F9522B" w:rsidRDefault="00C96EBA" w:rsidP="00C96EBA">
            <w:pPr>
              <w:jc w:val="center"/>
              <w:rPr>
                <w:szCs w:val="21"/>
              </w:rPr>
            </w:pPr>
            <w:r w:rsidRPr="00F9522B">
              <w:rPr>
                <w:szCs w:val="21"/>
              </w:rPr>
              <w:t>呼兰区地下水环境一般管控区</w:t>
            </w:r>
          </w:p>
        </w:tc>
        <w:tc>
          <w:tcPr>
            <w:tcW w:w="2081" w:type="dxa"/>
            <w:vAlign w:val="center"/>
          </w:tcPr>
          <w:p w:rsidR="00C96EBA" w:rsidRPr="00F9522B" w:rsidRDefault="00C96EBA" w:rsidP="00C96EBA">
            <w:pPr>
              <w:jc w:val="center"/>
              <w:rPr>
                <w:rFonts w:eastAsiaTheme="minorEastAsia"/>
                <w:b/>
                <w:sz w:val="24"/>
              </w:rPr>
            </w:pPr>
            <w:r w:rsidRPr="00F9522B">
              <w:rPr>
                <w:kern w:val="0"/>
                <w:szCs w:val="21"/>
              </w:rPr>
              <w:t>一般管控单元</w:t>
            </w:r>
          </w:p>
        </w:tc>
      </w:tr>
      <w:tr w:rsidR="00C96EBA" w:rsidRPr="00F9522B" w:rsidTr="00C96EBA">
        <w:trPr>
          <w:trHeight w:val="300"/>
        </w:trPr>
        <w:tc>
          <w:tcPr>
            <w:tcW w:w="6345" w:type="dxa"/>
            <w:gridSpan w:val="3"/>
            <w:vAlign w:val="center"/>
          </w:tcPr>
          <w:p w:rsidR="00C96EBA" w:rsidRPr="00F9522B" w:rsidRDefault="00C96EBA" w:rsidP="00C96EBA">
            <w:pPr>
              <w:jc w:val="center"/>
              <w:rPr>
                <w:kern w:val="0"/>
                <w:szCs w:val="21"/>
              </w:rPr>
            </w:pPr>
            <w:r w:rsidRPr="00F9522B">
              <w:rPr>
                <w:kern w:val="0"/>
                <w:szCs w:val="21"/>
              </w:rPr>
              <w:t>管控要求</w:t>
            </w:r>
          </w:p>
        </w:tc>
        <w:tc>
          <w:tcPr>
            <w:tcW w:w="2081" w:type="dxa"/>
            <w:vAlign w:val="center"/>
          </w:tcPr>
          <w:p w:rsidR="00C96EBA" w:rsidRPr="00F9522B" w:rsidRDefault="00C96EBA" w:rsidP="00C96EBA">
            <w:pPr>
              <w:jc w:val="center"/>
              <w:rPr>
                <w:kern w:val="0"/>
                <w:szCs w:val="21"/>
              </w:rPr>
            </w:pPr>
            <w:r w:rsidRPr="00F9522B">
              <w:rPr>
                <w:kern w:val="0"/>
                <w:szCs w:val="21"/>
              </w:rPr>
              <w:t>符合性分析</w:t>
            </w:r>
          </w:p>
        </w:tc>
      </w:tr>
      <w:tr w:rsidR="00C96EBA" w:rsidRPr="00F9522B" w:rsidTr="00C96EBA">
        <w:trPr>
          <w:trHeight w:val="7313"/>
        </w:trPr>
        <w:tc>
          <w:tcPr>
            <w:tcW w:w="719" w:type="dxa"/>
            <w:vAlign w:val="center"/>
          </w:tcPr>
          <w:p w:rsidR="00C96EBA" w:rsidRPr="00F9522B" w:rsidRDefault="00C96EBA" w:rsidP="00C96EBA">
            <w:pPr>
              <w:jc w:val="center"/>
              <w:rPr>
                <w:rFonts w:eastAsiaTheme="minorEastAsia"/>
                <w:sz w:val="24"/>
              </w:rPr>
            </w:pPr>
            <w:r w:rsidRPr="00F9522B">
              <w:rPr>
                <w:bCs/>
                <w:szCs w:val="21"/>
              </w:rPr>
              <w:t>环境风险管控</w:t>
            </w:r>
          </w:p>
        </w:tc>
        <w:tc>
          <w:tcPr>
            <w:tcW w:w="5626" w:type="dxa"/>
            <w:gridSpan w:val="2"/>
            <w:vAlign w:val="center"/>
          </w:tcPr>
          <w:p w:rsidR="00C96EBA" w:rsidRPr="00F9522B" w:rsidRDefault="00C96EBA" w:rsidP="00C96EBA">
            <w:r w:rsidRPr="00F9522B">
              <w:t>1.</w:t>
            </w:r>
            <w:r w:rsidRPr="00F9522B">
              <w:t>土壤污染重点监管单位应当履行下列义务：（一）严格控制有毒有害物质排放，并按年度向生态环境主管部门报告排放情况；（二）建立土壤污染隐患排查制度，保证持续有效防止有毒有害物质渗漏、流失、扬散；（三）制定、实施自行监测方案，并将监测数据报生态环境主管部门。</w:t>
            </w:r>
            <w:r w:rsidRPr="00F9522B">
              <w:t>2.</w:t>
            </w:r>
            <w:r w:rsidRPr="00F9522B">
              <w:t>重点单位新、改、扩建项目地下储罐储存有毒有害物质的，应当在项目投入生产或者使用之前，将地下储罐的信息报所在地设区的市级生态环境主管部门备案。</w:t>
            </w:r>
            <w:r w:rsidRPr="00F9522B">
              <w:t xml:space="preserve"> 3.</w:t>
            </w:r>
            <w:r w:rsidRPr="00F9522B">
              <w:t>重点单位应当建立土壤和地下水污染隐患排查治理制度，定期对重点区域、重点设施开展隐患排查。发现污染隐患的，应当制定整改方案，及时采取技术、管理措施消除隐患。隐患排查、治理情况应当如实记录并建立档案。重点区域包括涉及有毒有害物质的生产区，原材料及固体废物的堆存区、储放区和转运区等；重点设施包括涉及有毒有害物质的地下储罐、地下管线，以及污染治理设施等。</w:t>
            </w:r>
            <w:r w:rsidRPr="00F9522B">
              <w:t>4.</w:t>
            </w:r>
            <w:r w:rsidRPr="00F9522B">
              <w:t>化学品生产企业以及工业集聚区、矿山</w:t>
            </w:r>
            <w:r w:rsidRPr="00F9522B">
              <w:t xml:space="preserve"> </w:t>
            </w:r>
            <w:r w:rsidRPr="00F9522B">
              <w:t>开采区、尾矿库、危险废物处置场、垃圾填埋场等的运营、管理单位，应当采取防渗漏等措施，并建设地下水水质监测井进行监测，防止地下水污染。</w:t>
            </w:r>
            <w:r w:rsidRPr="00F9522B">
              <w:t>5.</w:t>
            </w:r>
            <w:r w:rsidRPr="00F9522B">
              <w:t>重点单位通过新、改、扩建项目的土壤和地下水环境现状调查，发现项目用地污染物含量超过国家或者地方有关建设用地土壤污染风险管控标准的，土地使用权人或者污染责任人应当参照污染地块土壤环境管理有关规定开展详细调查、风险评估、风险管控、治理与修复等活动。</w:t>
            </w:r>
          </w:p>
        </w:tc>
        <w:tc>
          <w:tcPr>
            <w:tcW w:w="2081" w:type="dxa"/>
            <w:vAlign w:val="center"/>
          </w:tcPr>
          <w:p w:rsidR="00C96EBA" w:rsidRPr="00F9522B" w:rsidRDefault="00C96EBA" w:rsidP="008C351B">
            <w:pPr>
              <w:widowControl/>
              <w:jc w:val="center"/>
              <w:rPr>
                <w:szCs w:val="21"/>
              </w:rPr>
            </w:pPr>
            <w:r w:rsidRPr="00F9522B">
              <w:rPr>
                <w:szCs w:val="21"/>
              </w:rPr>
              <w:t>本项目不属于</w:t>
            </w:r>
            <w:r w:rsidRPr="00F9522B">
              <w:t>土壤污染重点监管单位。</w:t>
            </w:r>
            <w:r w:rsidRPr="00F9522B">
              <w:rPr>
                <w:bCs/>
              </w:rPr>
              <w:t>本项目</w:t>
            </w:r>
            <w:r w:rsidRPr="00F9522B">
              <w:rPr>
                <w:rFonts w:eastAsiaTheme="minorEastAsia"/>
                <w:spacing w:val="-3"/>
                <w:kern w:val="0"/>
                <w:szCs w:val="21"/>
                <w:lang w:bidi="zh-CN"/>
              </w:rPr>
              <w:t>施工过程中不排放重金属或者其他有毒有害物质含量超标的污水、污泥，以及可能造成</w:t>
            </w:r>
            <w:r w:rsidR="008C351B" w:rsidRPr="00F9522B">
              <w:rPr>
                <w:rFonts w:eastAsiaTheme="minorEastAsia"/>
                <w:spacing w:val="-3"/>
                <w:kern w:val="0"/>
                <w:szCs w:val="21"/>
                <w:lang w:bidi="zh-CN"/>
              </w:rPr>
              <w:t>地下水、</w:t>
            </w:r>
            <w:r w:rsidRPr="00F9522B">
              <w:rPr>
                <w:rFonts w:eastAsiaTheme="minorEastAsia"/>
                <w:spacing w:val="-3"/>
                <w:kern w:val="0"/>
                <w:szCs w:val="21"/>
                <w:lang w:bidi="zh-CN"/>
              </w:rPr>
              <w:t>土壤污染的清淤底泥、尾矿、矿渣等</w:t>
            </w:r>
            <w:r w:rsidRPr="00F9522B">
              <w:rPr>
                <w:bCs/>
              </w:rPr>
              <w:t>，对地下水、土壤影响无影响。符合要求。</w:t>
            </w:r>
          </w:p>
        </w:tc>
      </w:tr>
    </w:tbl>
    <w:p w:rsidR="002A5A5E" w:rsidRPr="00F9522B" w:rsidRDefault="005273A1">
      <w:pPr>
        <w:spacing w:line="360" w:lineRule="auto"/>
        <w:ind w:firstLineChars="200" w:firstLine="480"/>
        <w:rPr>
          <w:rFonts w:eastAsiaTheme="minorEastAsia"/>
          <w:sz w:val="24"/>
        </w:rPr>
      </w:pPr>
      <w:r w:rsidRPr="00F9522B">
        <w:rPr>
          <w:rFonts w:eastAsiaTheme="minorEastAsia"/>
          <w:sz w:val="24"/>
        </w:rPr>
        <w:fldChar w:fldCharType="begin"/>
      </w:r>
      <w:r w:rsidR="00611CBA" w:rsidRPr="00F9522B">
        <w:rPr>
          <w:rFonts w:eastAsiaTheme="minorEastAsia"/>
          <w:sz w:val="24"/>
        </w:rPr>
        <w:instrText xml:space="preserve"> = 3 \* GB3 </w:instrText>
      </w:r>
      <w:r w:rsidRPr="00F9522B">
        <w:rPr>
          <w:rFonts w:eastAsiaTheme="minorEastAsia"/>
          <w:sz w:val="24"/>
        </w:rPr>
        <w:fldChar w:fldCharType="separate"/>
      </w:r>
      <w:r w:rsidR="00611CBA" w:rsidRPr="00F9522B">
        <w:rPr>
          <w:rFonts w:ascii="宋体" w:hAnsi="宋体" w:cs="宋体" w:hint="eastAsia"/>
          <w:sz w:val="24"/>
        </w:rPr>
        <w:t>③</w:t>
      </w:r>
      <w:r w:rsidRPr="00F9522B">
        <w:rPr>
          <w:rFonts w:eastAsiaTheme="minorEastAsia"/>
          <w:sz w:val="24"/>
        </w:rPr>
        <w:fldChar w:fldCharType="end"/>
      </w:r>
      <w:r w:rsidR="00611CBA" w:rsidRPr="00F9522B">
        <w:rPr>
          <w:rFonts w:eastAsiaTheme="minorEastAsia"/>
          <w:sz w:val="24"/>
        </w:rPr>
        <w:t>一说明</w:t>
      </w:r>
    </w:p>
    <w:p w:rsidR="002A5A5E" w:rsidRPr="00F9522B" w:rsidRDefault="003A7922">
      <w:pPr>
        <w:spacing w:line="360" w:lineRule="auto"/>
        <w:ind w:firstLineChars="200" w:firstLine="480"/>
        <w:rPr>
          <w:rFonts w:eastAsiaTheme="minorEastAsia"/>
          <w:sz w:val="24"/>
        </w:rPr>
      </w:pPr>
      <w:r w:rsidRPr="00F9522B">
        <w:rPr>
          <w:rFonts w:eastAsiaTheme="minorEastAsia"/>
          <w:sz w:val="24"/>
        </w:rPr>
        <w:t>呼兰区</w:t>
      </w:r>
      <w:r w:rsidRPr="00F9522B">
        <w:rPr>
          <w:rFonts w:eastAsiaTheme="minorEastAsia"/>
          <w:sz w:val="24"/>
        </w:rPr>
        <w:t>2026</w:t>
      </w:r>
      <w:r w:rsidRPr="00F9522B">
        <w:rPr>
          <w:rFonts w:eastAsiaTheme="minorEastAsia"/>
          <w:sz w:val="24"/>
        </w:rPr>
        <w:t>年高标准农田建设项目</w:t>
      </w:r>
      <w:r w:rsidR="00611CBA" w:rsidRPr="00F9522B">
        <w:rPr>
          <w:rFonts w:eastAsiaTheme="minorEastAsia"/>
          <w:sz w:val="24"/>
        </w:rPr>
        <w:t>位置涉及哈尔滨市呼兰区；项目占地总面积约</w:t>
      </w:r>
      <w:r w:rsidR="00261D52" w:rsidRPr="00F9522B">
        <w:rPr>
          <w:rFonts w:eastAsiaTheme="minorEastAsia"/>
          <w:sz w:val="24"/>
        </w:rPr>
        <w:t>2.33</w:t>
      </w:r>
      <w:r w:rsidR="00611CBA" w:rsidRPr="00F9522B">
        <w:rPr>
          <w:rFonts w:eastAsiaTheme="minorEastAsia"/>
          <w:sz w:val="24"/>
        </w:rPr>
        <w:t>平方公里。</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与生态保护红线交集面积为</w:t>
      </w:r>
      <w:r w:rsidRPr="00F9522B">
        <w:rPr>
          <w:rFonts w:eastAsiaTheme="minorEastAsia"/>
          <w:sz w:val="24"/>
        </w:rPr>
        <w:t>0.00</w:t>
      </w:r>
      <w:r w:rsidRPr="00F9522B">
        <w:rPr>
          <w:rFonts w:eastAsiaTheme="minorEastAsia"/>
          <w:sz w:val="24"/>
        </w:rPr>
        <w:t>平方公里，占项目占地面积的</w:t>
      </w:r>
      <w:r w:rsidRPr="00F9522B">
        <w:rPr>
          <w:rFonts w:eastAsiaTheme="minorEastAsia"/>
          <w:sz w:val="24"/>
        </w:rPr>
        <w:t>0.00%</w:t>
      </w:r>
      <w:r w:rsidRPr="00F9522B">
        <w:rPr>
          <w:rFonts w:eastAsiaTheme="minorEastAsia"/>
          <w:sz w:val="24"/>
        </w:rPr>
        <w:t>。</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与自然保护地整合优化方案数据交集面积为</w:t>
      </w:r>
      <w:r w:rsidRPr="00F9522B">
        <w:rPr>
          <w:rFonts w:eastAsiaTheme="minorEastAsia"/>
          <w:sz w:val="24"/>
        </w:rPr>
        <w:t>0.00</w:t>
      </w:r>
      <w:r w:rsidRPr="00F9522B">
        <w:rPr>
          <w:rFonts w:eastAsiaTheme="minorEastAsia"/>
          <w:sz w:val="24"/>
        </w:rPr>
        <w:t>平方公里，占项目占地面积的</w:t>
      </w:r>
      <w:r w:rsidRPr="00F9522B">
        <w:rPr>
          <w:rFonts w:eastAsiaTheme="minorEastAsia"/>
          <w:sz w:val="24"/>
        </w:rPr>
        <w:t>0.00%</w:t>
      </w:r>
      <w:r w:rsidRPr="00F9522B">
        <w:rPr>
          <w:rFonts w:eastAsiaTheme="minorEastAsia"/>
          <w:sz w:val="24"/>
        </w:rPr>
        <w:t>。保护地涉及等类型。与自然保护地（现状管理数据）交集面积为</w:t>
      </w:r>
      <w:r w:rsidRPr="00F9522B">
        <w:rPr>
          <w:rFonts w:eastAsiaTheme="minorEastAsia"/>
          <w:sz w:val="24"/>
        </w:rPr>
        <w:t>0.00</w:t>
      </w:r>
      <w:r w:rsidRPr="00F9522B">
        <w:rPr>
          <w:rFonts w:eastAsiaTheme="minorEastAsia"/>
          <w:sz w:val="24"/>
        </w:rPr>
        <w:t>平方公里，占项目占地面积的</w:t>
      </w:r>
      <w:r w:rsidRPr="00F9522B">
        <w:rPr>
          <w:rFonts w:eastAsiaTheme="minorEastAsia"/>
          <w:sz w:val="24"/>
        </w:rPr>
        <w:t>0.00%</w:t>
      </w:r>
      <w:r w:rsidRPr="00F9522B">
        <w:rPr>
          <w:rFonts w:eastAsiaTheme="minorEastAsia"/>
          <w:sz w:val="24"/>
        </w:rPr>
        <w:t>。保护地涉及等类型。</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与饮用水水源保护区交集面积为</w:t>
      </w:r>
      <w:r w:rsidRPr="00F9522B">
        <w:rPr>
          <w:rFonts w:eastAsiaTheme="minorEastAsia"/>
          <w:sz w:val="24"/>
        </w:rPr>
        <w:t>0.00</w:t>
      </w:r>
      <w:r w:rsidRPr="00F9522B">
        <w:rPr>
          <w:rFonts w:eastAsiaTheme="minorEastAsia"/>
          <w:sz w:val="24"/>
        </w:rPr>
        <w:t>平方公里，占项目占地面积的</w:t>
      </w:r>
      <w:r w:rsidRPr="00F9522B">
        <w:rPr>
          <w:rFonts w:eastAsiaTheme="minorEastAsia"/>
          <w:sz w:val="24"/>
        </w:rPr>
        <w:t>0.00%</w:t>
      </w:r>
      <w:r w:rsidRPr="00F9522B">
        <w:rPr>
          <w:rFonts w:eastAsiaTheme="minorEastAsia"/>
          <w:sz w:val="24"/>
        </w:rPr>
        <w:t>。与国家级水产种质资源保护区交集面积为</w:t>
      </w:r>
      <w:r w:rsidRPr="00F9522B">
        <w:rPr>
          <w:rFonts w:eastAsiaTheme="minorEastAsia"/>
          <w:sz w:val="24"/>
        </w:rPr>
        <w:t>0.00</w:t>
      </w:r>
      <w:r w:rsidRPr="00F9522B">
        <w:rPr>
          <w:rFonts w:eastAsiaTheme="minorEastAsia"/>
          <w:sz w:val="24"/>
        </w:rPr>
        <w:t>平方公里，占项目占地面积的</w:t>
      </w:r>
      <w:r w:rsidRPr="00F9522B">
        <w:rPr>
          <w:rFonts w:eastAsiaTheme="minorEastAsia"/>
          <w:sz w:val="24"/>
        </w:rPr>
        <w:t>0.00%</w:t>
      </w:r>
      <w:r w:rsidRPr="00F9522B">
        <w:rPr>
          <w:rFonts w:eastAsiaTheme="minorEastAsia"/>
          <w:sz w:val="24"/>
        </w:rPr>
        <w:t>。</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lastRenderedPageBreak/>
        <w:t>与环境管控单元优先保护单元交集面积约为</w:t>
      </w:r>
      <w:r w:rsidRPr="00F9522B">
        <w:rPr>
          <w:rFonts w:eastAsiaTheme="minorEastAsia"/>
          <w:sz w:val="24"/>
        </w:rPr>
        <w:t>0.01</w:t>
      </w:r>
      <w:r w:rsidRPr="00F9522B">
        <w:rPr>
          <w:rFonts w:eastAsiaTheme="minorEastAsia"/>
          <w:sz w:val="24"/>
        </w:rPr>
        <w:t>平方公里，占项目占地面积的</w:t>
      </w:r>
      <w:r w:rsidR="002053D9" w:rsidRPr="00F9522B">
        <w:rPr>
          <w:rFonts w:eastAsiaTheme="minorEastAsia"/>
          <w:sz w:val="24"/>
        </w:rPr>
        <w:t>1.52</w:t>
      </w:r>
      <w:r w:rsidRPr="00F9522B">
        <w:rPr>
          <w:rFonts w:eastAsiaTheme="minorEastAsia"/>
          <w:sz w:val="24"/>
        </w:rPr>
        <w:t>%</w:t>
      </w:r>
      <w:r w:rsidRPr="00F9522B">
        <w:rPr>
          <w:rFonts w:eastAsiaTheme="minorEastAsia"/>
          <w:sz w:val="24"/>
        </w:rPr>
        <w:t>；与重点管控单元交集面积为</w:t>
      </w:r>
      <w:r w:rsidRPr="00F9522B">
        <w:rPr>
          <w:rFonts w:eastAsiaTheme="minorEastAsia"/>
          <w:sz w:val="24"/>
        </w:rPr>
        <w:t>1.7</w:t>
      </w:r>
      <w:r w:rsidR="002053D9" w:rsidRPr="00F9522B">
        <w:rPr>
          <w:rFonts w:eastAsiaTheme="minorEastAsia"/>
          <w:sz w:val="24"/>
        </w:rPr>
        <w:t>8</w:t>
      </w:r>
      <w:r w:rsidRPr="00F9522B">
        <w:rPr>
          <w:rFonts w:eastAsiaTheme="minorEastAsia"/>
          <w:sz w:val="24"/>
        </w:rPr>
        <w:t>平方公里，占项目占地面积的</w:t>
      </w:r>
      <w:r w:rsidR="002053D9" w:rsidRPr="00F9522B">
        <w:rPr>
          <w:rFonts w:eastAsiaTheme="minorEastAsia"/>
          <w:sz w:val="24"/>
        </w:rPr>
        <w:t>76.39</w:t>
      </w:r>
      <w:r w:rsidRPr="00F9522B">
        <w:rPr>
          <w:rFonts w:eastAsiaTheme="minorEastAsia"/>
          <w:sz w:val="24"/>
        </w:rPr>
        <w:t>%</w:t>
      </w:r>
      <w:r w:rsidRPr="00F9522B">
        <w:rPr>
          <w:rFonts w:eastAsiaTheme="minorEastAsia"/>
          <w:sz w:val="24"/>
        </w:rPr>
        <w:t>；一般管控单元交集面积为</w:t>
      </w:r>
      <w:r w:rsidRPr="00F9522B">
        <w:rPr>
          <w:rFonts w:eastAsiaTheme="minorEastAsia"/>
          <w:sz w:val="24"/>
        </w:rPr>
        <w:t>0.</w:t>
      </w:r>
      <w:r w:rsidR="002053D9" w:rsidRPr="00F9522B">
        <w:rPr>
          <w:rFonts w:eastAsiaTheme="minorEastAsia"/>
          <w:sz w:val="24"/>
        </w:rPr>
        <w:t>55</w:t>
      </w:r>
      <w:r w:rsidRPr="00F9522B">
        <w:rPr>
          <w:rFonts w:eastAsiaTheme="minorEastAsia"/>
          <w:sz w:val="24"/>
        </w:rPr>
        <w:t>平方公里，占项目占地面积的</w:t>
      </w:r>
      <w:r w:rsidR="002053D9" w:rsidRPr="00F9522B">
        <w:rPr>
          <w:rFonts w:eastAsiaTheme="minorEastAsia"/>
          <w:sz w:val="24"/>
        </w:rPr>
        <w:t>23.61</w:t>
      </w:r>
      <w:r w:rsidRPr="00F9522B">
        <w:rPr>
          <w:rFonts w:eastAsiaTheme="minorEastAsia"/>
          <w:sz w:val="24"/>
        </w:rPr>
        <w:t>%</w:t>
      </w:r>
      <w:r w:rsidRPr="00F9522B">
        <w:rPr>
          <w:rFonts w:eastAsiaTheme="minorEastAsia"/>
          <w:sz w:val="24"/>
        </w:rPr>
        <w:t>。</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与地下水环境优先保护区交集面积为</w:t>
      </w:r>
      <w:r w:rsidRPr="00F9522B">
        <w:rPr>
          <w:rFonts w:eastAsiaTheme="minorEastAsia"/>
          <w:sz w:val="24"/>
        </w:rPr>
        <w:t>0.00</w:t>
      </w:r>
      <w:r w:rsidRPr="00F9522B">
        <w:rPr>
          <w:rFonts w:eastAsiaTheme="minorEastAsia"/>
          <w:sz w:val="24"/>
        </w:rPr>
        <w:t>平方公里，占项目占地面积的</w:t>
      </w:r>
      <w:r w:rsidRPr="00F9522B">
        <w:rPr>
          <w:rFonts w:eastAsiaTheme="minorEastAsia"/>
          <w:sz w:val="24"/>
        </w:rPr>
        <w:t>0.00%</w:t>
      </w:r>
      <w:r w:rsidRPr="00F9522B">
        <w:rPr>
          <w:rFonts w:eastAsiaTheme="minorEastAsia"/>
          <w:sz w:val="24"/>
        </w:rPr>
        <w:t>；与地下水环境重点管控区交集面积为</w:t>
      </w:r>
      <w:r w:rsidRPr="00F9522B">
        <w:rPr>
          <w:rFonts w:eastAsiaTheme="minorEastAsia"/>
          <w:sz w:val="24"/>
        </w:rPr>
        <w:t>0.00</w:t>
      </w:r>
      <w:r w:rsidRPr="00F9522B">
        <w:rPr>
          <w:rFonts w:eastAsiaTheme="minorEastAsia"/>
          <w:sz w:val="24"/>
        </w:rPr>
        <w:t>平方公里，占项目占地面积的</w:t>
      </w:r>
      <w:r w:rsidRPr="00F9522B">
        <w:rPr>
          <w:rFonts w:eastAsiaTheme="minorEastAsia"/>
          <w:sz w:val="24"/>
        </w:rPr>
        <w:t>0.00%</w:t>
      </w:r>
      <w:r w:rsidRPr="00F9522B">
        <w:rPr>
          <w:rFonts w:eastAsiaTheme="minorEastAsia"/>
          <w:sz w:val="24"/>
        </w:rPr>
        <w:t>，与地下水环境一般管控区交集面积为</w:t>
      </w:r>
      <w:r w:rsidR="002053D9" w:rsidRPr="00F9522B">
        <w:rPr>
          <w:rFonts w:eastAsiaTheme="minorEastAsia"/>
          <w:sz w:val="24"/>
        </w:rPr>
        <w:t>2.33</w:t>
      </w:r>
      <w:r w:rsidRPr="00F9522B">
        <w:rPr>
          <w:rFonts w:eastAsiaTheme="minorEastAsia"/>
          <w:sz w:val="24"/>
        </w:rPr>
        <w:t>平方公里，占项目占地面积的</w:t>
      </w:r>
      <w:r w:rsidRPr="00F9522B">
        <w:rPr>
          <w:rFonts w:eastAsiaTheme="minorEastAsia"/>
          <w:sz w:val="24"/>
        </w:rPr>
        <w:t>100.00%</w:t>
      </w:r>
      <w:r w:rsidRPr="00F9522B">
        <w:rPr>
          <w:rFonts w:eastAsiaTheme="minorEastAsia"/>
          <w:sz w:val="24"/>
        </w:rPr>
        <w:t>。</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根据上表，项目建设符合黑龙江省生态环境分区管控要求。</w:t>
      </w:r>
    </w:p>
    <w:p w:rsidR="002A5A5E" w:rsidRPr="00F9522B" w:rsidRDefault="00611CBA">
      <w:pPr>
        <w:pStyle w:val="ab"/>
        <w:spacing w:before="100" w:beforeAutospacing="1" w:after="100" w:afterAutospacing="1"/>
        <w:outlineLvl w:val="2"/>
        <w:rPr>
          <w:rFonts w:eastAsiaTheme="minorEastAsia"/>
          <w:b/>
          <w:sz w:val="24"/>
        </w:rPr>
      </w:pPr>
      <w:r w:rsidRPr="00F9522B">
        <w:rPr>
          <w:rFonts w:eastAsiaTheme="minorEastAsia"/>
          <w:b/>
          <w:sz w:val="24"/>
        </w:rPr>
        <w:t>1.4.</w:t>
      </w:r>
      <w:r w:rsidR="00600084" w:rsidRPr="00F9522B">
        <w:rPr>
          <w:rFonts w:eastAsiaTheme="minorEastAsia"/>
          <w:b/>
          <w:sz w:val="24"/>
        </w:rPr>
        <w:t>5</w:t>
      </w:r>
      <w:r w:rsidRPr="00F9522B">
        <w:rPr>
          <w:rFonts w:eastAsiaTheme="minorEastAsia"/>
          <w:b/>
          <w:sz w:val="24"/>
        </w:rPr>
        <w:t>与《黑龙江省生态功能区划》符合性分析</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w:t>
      </w:r>
      <w:r w:rsidRPr="00F9522B">
        <w:rPr>
          <w:rFonts w:eastAsiaTheme="minorEastAsia"/>
          <w:sz w:val="24"/>
        </w:rPr>
        <w:t>1</w:t>
      </w:r>
      <w:r w:rsidRPr="00F9522B">
        <w:rPr>
          <w:rFonts w:eastAsiaTheme="minorEastAsia"/>
          <w:sz w:val="24"/>
        </w:rPr>
        <w:t>）相关内容</w:t>
      </w:r>
    </w:p>
    <w:p w:rsidR="002A5A5E" w:rsidRPr="00F9522B" w:rsidRDefault="00611CBA">
      <w:pPr>
        <w:pStyle w:val="ab"/>
        <w:spacing w:after="0" w:line="360" w:lineRule="auto"/>
        <w:ind w:firstLineChars="200" w:firstLine="480"/>
        <w:rPr>
          <w:rFonts w:eastAsiaTheme="minorEastAsia"/>
          <w:sz w:val="24"/>
        </w:rPr>
      </w:pPr>
      <w:r w:rsidRPr="00F9522B">
        <w:rPr>
          <w:rFonts w:eastAsiaTheme="minorEastAsia"/>
          <w:sz w:val="24"/>
        </w:rPr>
        <w:t>根据《黑龙江省生态功能区划》，本项目位于</w:t>
      </w:r>
      <w:r w:rsidRPr="00F9522B">
        <w:rPr>
          <w:rFonts w:eastAsiaTheme="minorEastAsia"/>
          <w:sz w:val="24"/>
        </w:rPr>
        <w:t>I-5</w:t>
      </w:r>
      <w:r w:rsidRPr="00F9522B">
        <w:rPr>
          <w:rFonts w:eastAsiaTheme="minorEastAsia"/>
          <w:sz w:val="24"/>
        </w:rPr>
        <w:t>松嫩平原东部农业生态区，</w:t>
      </w:r>
      <w:r w:rsidRPr="00F9522B">
        <w:rPr>
          <w:rFonts w:eastAsiaTheme="minorEastAsia"/>
          <w:sz w:val="24"/>
        </w:rPr>
        <w:t xml:space="preserve"> </w:t>
      </w:r>
    </w:p>
    <w:p w:rsidR="002A5A5E" w:rsidRPr="00F9522B" w:rsidRDefault="00611CBA">
      <w:pPr>
        <w:pStyle w:val="ab"/>
        <w:spacing w:after="0" w:line="360" w:lineRule="auto"/>
        <w:rPr>
          <w:rFonts w:eastAsiaTheme="minorEastAsia"/>
          <w:sz w:val="24"/>
        </w:rPr>
      </w:pPr>
      <w:r w:rsidRPr="00F9522B">
        <w:rPr>
          <w:rFonts w:eastAsiaTheme="minorEastAsia"/>
          <w:sz w:val="24"/>
        </w:rPr>
        <w:t>I-5-1</w:t>
      </w:r>
      <w:r w:rsidRPr="00F9522B">
        <w:rPr>
          <w:rFonts w:eastAsiaTheme="minorEastAsia"/>
          <w:sz w:val="24"/>
        </w:rPr>
        <w:t>松嫩平原东南部城镇与农业生态亚区，</w:t>
      </w:r>
      <w:r w:rsidRPr="00F9522B">
        <w:rPr>
          <w:rFonts w:eastAsiaTheme="minorEastAsia"/>
          <w:sz w:val="24"/>
        </w:rPr>
        <w:t>I-5-1-1</w:t>
      </w:r>
      <w:r w:rsidRPr="00F9522B">
        <w:rPr>
          <w:rFonts w:eastAsiaTheme="minorEastAsia"/>
          <w:sz w:val="24"/>
        </w:rPr>
        <w:t>哈尔滨市区城市与城郊农业生态功能区。此区主要是哈尔滨市，面积</w:t>
      </w:r>
      <w:r w:rsidRPr="00F9522B">
        <w:rPr>
          <w:rFonts w:eastAsiaTheme="minorEastAsia"/>
          <w:sz w:val="24"/>
        </w:rPr>
        <w:t>4280</w:t>
      </w:r>
      <w:r w:rsidRPr="00F9522B">
        <w:rPr>
          <w:rFonts w:eastAsiaTheme="minorEastAsia"/>
          <w:sz w:val="24"/>
        </w:rPr>
        <w:t>平方公里。主要生态环境问题是城区地下水超采严重；绿地覆盖率和自然保留地面积率低；城郊结合部缺少绿化带，未来面临着远郊荒漠化的危害；土地生态环境受到不同程度污染。生态环境敏感性为土壤侵蚀敏感性为高度敏感；土地沙漠化敏感性为中度敏感。主要生态系统服务功能是城市发展、沙漠化控制、土壤保持、水环境保护、大气环境保护、自然人文景观保护和生态系统产品提供。保护措施与发展方向是加强城镇区域环境的综合治理，严格控制地下水的开采程度，改善区域水体环境。要加大生态工业和生态农业建设。</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w:t>
      </w:r>
      <w:r w:rsidRPr="00F9522B">
        <w:rPr>
          <w:rFonts w:eastAsiaTheme="minorEastAsia"/>
          <w:sz w:val="24"/>
        </w:rPr>
        <w:t>2</w:t>
      </w:r>
      <w:r w:rsidRPr="00F9522B">
        <w:rPr>
          <w:rFonts w:eastAsiaTheme="minorEastAsia"/>
          <w:sz w:val="24"/>
        </w:rPr>
        <w:t>）符合性分析</w:t>
      </w:r>
    </w:p>
    <w:p w:rsidR="002A5A5E" w:rsidRPr="00F9522B" w:rsidRDefault="00611CBA">
      <w:pPr>
        <w:pStyle w:val="ab"/>
        <w:spacing w:after="0" w:line="360" w:lineRule="auto"/>
        <w:ind w:firstLineChars="200" w:firstLine="480"/>
        <w:rPr>
          <w:rFonts w:eastAsiaTheme="minorEastAsia"/>
          <w:sz w:val="24"/>
        </w:rPr>
      </w:pPr>
      <w:r w:rsidRPr="00F9522B">
        <w:rPr>
          <w:rFonts w:eastAsiaTheme="minorEastAsia"/>
          <w:sz w:val="24"/>
        </w:rPr>
        <w:t>本项目位于黑龙江省哈尔滨市呼兰区康金街道、方台镇、</w:t>
      </w:r>
      <w:r w:rsidR="002E2407" w:rsidRPr="00F9522B">
        <w:rPr>
          <w:rFonts w:eastAsiaTheme="minorEastAsia"/>
          <w:sz w:val="24"/>
        </w:rPr>
        <w:t>二八</w:t>
      </w:r>
      <w:r w:rsidRPr="00F9522B">
        <w:rPr>
          <w:rFonts w:eastAsiaTheme="minorEastAsia"/>
          <w:sz w:val="24"/>
        </w:rPr>
        <w:t>镇、石人镇，不位于哈尔滨城区内，不属于地下水超采区。根据已批复《</w:t>
      </w:r>
      <w:r w:rsidR="003A7922" w:rsidRPr="00F9522B">
        <w:rPr>
          <w:rFonts w:eastAsiaTheme="minorEastAsia"/>
          <w:sz w:val="24"/>
        </w:rPr>
        <w:t>呼兰区</w:t>
      </w:r>
      <w:r w:rsidR="003A7922" w:rsidRPr="00F9522B">
        <w:rPr>
          <w:rFonts w:eastAsiaTheme="minorEastAsia"/>
          <w:sz w:val="24"/>
        </w:rPr>
        <w:t>2026</w:t>
      </w:r>
      <w:r w:rsidR="003A7922" w:rsidRPr="00F9522B">
        <w:rPr>
          <w:rFonts w:eastAsiaTheme="minorEastAsia"/>
          <w:sz w:val="24"/>
        </w:rPr>
        <w:t>年高标准农田建设项目</w:t>
      </w:r>
      <w:r w:rsidRPr="00F9522B">
        <w:rPr>
          <w:rFonts w:eastAsiaTheme="minorEastAsia"/>
          <w:sz w:val="24"/>
        </w:rPr>
        <w:t>水资源论证报告书》，灌溉工程灌溉保证率为</w:t>
      </w:r>
      <w:r w:rsidRPr="00F9522B">
        <w:rPr>
          <w:rFonts w:eastAsiaTheme="minorEastAsia"/>
          <w:sz w:val="24"/>
        </w:rPr>
        <w:t>90%</w:t>
      </w:r>
      <w:r w:rsidRPr="00F9522B">
        <w:rPr>
          <w:rFonts w:eastAsiaTheme="minorEastAsia"/>
          <w:sz w:val="24"/>
        </w:rPr>
        <w:t>，</w:t>
      </w:r>
      <w:r w:rsidR="002E2407" w:rsidRPr="00F9522B">
        <w:rPr>
          <w:rFonts w:eastAsiaTheme="minorEastAsia"/>
          <w:sz w:val="24"/>
        </w:rPr>
        <w:t>坐水种灌溉水利用系数达到</w:t>
      </w:r>
      <w:r w:rsidR="002E2407" w:rsidRPr="00F9522B">
        <w:rPr>
          <w:rFonts w:eastAsiaTheme="minorEastAsia"/>
          <w:sz w:val="24"/>
        </w:rPr>
        <w:t>0.9</w:t>
      </w:r>
      <w:r w:rsidR="002E2407" w:rsidRPr="00F9522B">
        <w:rPr>
          <w:rFonts w:eastAsiaTheme="minorEastAsia"/>
          <w:sz w:val="24"/>
        </w:rPr>
        <w:t>，滴灌灌溉水利用系数达到</w:t>
      </w:r>
      <w:r w:rsidR="002E2407" w:rsidRPr="00F9522B">
        <w:rPr>
          <w:rFonts w:eastAsiaTheme="minorEastAsia"/>
          <w:sz w:val="24"/>
        </w:rPr>
        <w:t>0.93</w:t>
      </w:r>
      <w:r w:rsidRPr="00F9522B">
        <w:rPr>
          <w:rFonts w:eastAsiaTheme="minorEastAsia"/>
          <w:sz w:val="24"/>
        </w:rPr>
        <w:t>，并采取节水灌溉制度，严格控制地下水的开采程度。本项目施工期间加强监管、减少水土流失，临时占地在施工结束后及时进行恢复。</w:t>
      </w:r>
      <w:r w:rsidRPr="00F9522B">
        <w:rPr>
          <w:rFonts w:eastAsiaTheme="minorEastAsia"/>
          <w:bCs/>
          <w:sz w:val="24"/>
        </w:rPr>
        <w:t>表土堆场设置临时拦挡，采用密目网苫盖，减少水土流失</w:t>
      </w:r>
      <w:r w:rsidRPr="00F9522B">
        <w:rPr>
          <w:rFonts w:eastAsiaTheme="minorEastAsia"/>
          <w:sz w:val="24"/>
        </w:rPr>
        <w:t>。因此，本项目建设符合《黑龙江省生态功能区划》的要求。</w:t>
      </w:r>
    </w:p>
    <w:p w:rsidR="002A5A5E" w:rsidRPr="00F9522B" w:rsidRDefault="00611CBA">
      <w:pPr>
        <w:pStyle w:val="ab"/>
        <w:spacing w:before="100" w:beforeAutospacing="1" w:after="100" w:afterAutospacing="1"/>
        <w:outlineLvl w:val="2"/>
        <w:rPr>
          <w:rFonts w:eastAsiaTheme="minorEastAsia"/>
          <w:b/>
          <w:sz w:val="24"/>
        </w:rPr>
      </w:pPr>
      <w:r w:rsidRPr="00F9522B">
        <w:rPr>
          <w:rFonts w:eastAsiaTheme="minorEastAsia"/>
          <w:b/>
          <w:sz w:val="24"/>
        </w:rPr>
        <w:lastRenderedPageBreak/>
        <w:t>1.4.</w:t>
      </w:r>
      <w:r w:rsidR="00600084" w:rsidRPr="00F9522B">
        <w:rPr>
          <w:rFonts w:eastAsiaTheme="minorEastAsia"/>
          <w:b/>
          <w:sz w:val="24"/>
        </w:rPr>
        <w:t>6</w:t>
      </w:r>
      <w:r w:rsidRPr="00F9522B">
        <w:rPr>
          <w:rFonts w:eastAsiaTheme="minorEastAsia"/>
          <w:b/>
          <w:sz w:val="24"/>
        </w:rPr>
        <w:t>与《黑龙江省主体功能区划》符合性分析</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w:t>
      </w:r>
      <w:r w:rsidRPr="00F9522B">
        <w:rPr>
          <w:rFonts w:eastAsiaTheme="minorEastAsia"/>
          <w:sz w:val="24"/>
        </w:rPr>
        <w:t>1</w:t>
      </w:r>
      <w:r w:rsidRPr="00F9522B">
        <w:rPr>
          <w:rFonts w:eastAsiaTheme="minorEastAsia"/>
          <w:sz w:val="24"/>
        </w:rPr>
        <w:t>）相关内容</w:t>
      </w:r>
    </w:p>
    <w:p w:rsidR="002A5A5E" w:rsidRPr="00F9522B" w:rsidRDefault="00611CBA">
      <w:pPr>
        <w:pStyle w:val="ab"/>
        <w:spacing w:after="0" w:line="360" w:lineRule="auto"/>
        <w:ind w:firstLineChars="200" w:firstLine="480"/>
        <w:rPr>
          <w:rFonts w:eastAsiaTheme="minorEastAsia"/>
          <w:sz w:val="24"/>
        </w:rPr>
      </w:pPr>
      <w:r w:rsidRPr="00F9522B">
        <w:rPr>
          <w:rFonts w:eastAsiaTheme="minorEastAsia"/>
          <w:sz w:val="24"/>
        </w:rPr>
        <w:t>本项目位于黑龙江省哈尔滨市呼兰区，为国家级重点开发区域。功能定位：全省政治、经济、文化中心，全国重要的高端装备制造、医药、食品、化工产业基地，东北北部服务业中心和示范基地，东北地区重要的国际物流枢纽，国际冰雪文化名城，对俄经贸科技合作基地。产业发展方向及布局是大力发展新材料、新能源、节能环保、生物、信息、高端装备制造产业，做大做强电站成套装备、交通运输装备、绿色食品加工、精密复杂量刃具、医药、化工等传统优势产业，大力发展服务外包、特色旅游、商贸、物流、教育、科技研发、金融、文化创意等现代服务业，重点发展生态绿色农业、观光休闲农业、高科技现代农业。按照集约化组团布局，专业化集群发展，建设科技新城和北国水城，打造集科技、文化、生态于一体的松北新区；整合平房工业开发区，建设生态花园式工业新城，重点发展哈南工业新城；加快中心城区提档升级，改造老城区，建设哈西、群力、哈东新区；整合周边县市，加快中等卫星城市和重点小城镇建设，统筹城乡发展，加快推进城乡一体化，打造哈尔滨大都市圈。生态建设是加快形成可持续发展的体制机制，调整城市内部用地结构，增加城市内部绿色空间和城市居住空间。发展新能源、循环经济和低碳经济，推进城市集中供热、污水处理等项目建设，抓好城市内河综合治理，加快淘汰高耗能、高污染行业落后产能，推进生态城市建设。实施松花江流域治理，建设沿松花江两岸的绿色生态廊道，加强对太阳岛国家级风景名胜区、哈尔滨国家森林公园等的保护和建设，建设</w:t>
      </w:r>
      <w:r w:rsidRPr="00F9522B">
        <w:rPr>
          <w:rFonts w:eastAsiaTheme="minorEastAsia"/>
          <w:sz w:val="24"/>
        </w:rPr>
        <w:t>“</w:t>
      </w:r>
      <w:r w:rsidRPr="00F9522B">
        <w:rPr>
          <w:rFonts w:eastAsiaTheme="minorEastAsia"/>
          <w:sz w:val="24"/>
        </w:rPr>
        <w:t>资源节约型、环境友好型、低碳发展型</w:t>
      </w:r>
      <w:r w:rsidRPr="00F9522B">
        <w:rPr>
          <w:rFonts w:eastAsiaTheme="minorEastAsia"/>
          <w:sz w:val="24"/>
        </w:rPr>
        <w:t>”</w:t>
      </w:r>
      <w:r w:rsidRPr="00F9522B">
        <w:rPr>
          <w:rFonts w:eastAsiaTheme="minorEastAsia"/>
          <w:sz w:val="24"/>
        </w:rPr>
        <w:t>城市。基础</w:t>
      </w:r>
      <w:r w:rsidRPr="00F9522B">
        <w:rPr>
          <w:rFonts w:eastAsiaTheme="minorEastAsia"/>
          <w:sz w:val="24"/>
        </w:rPr>
        <w:t xml:space="preserve"> </w:t>
      </w:r>
      <w:r w:rsidRPr="00F9522B">
        <w:rPr>
          <w:rFonts w:eastAsiaTheme="minorEastAsia"/>
          <w:sz w:val="24"/>
        </w:rPr>
        <w:t>设施建设是完善城市路网布局，推进轨道交通、越江通道、空港扩建、哈西客站、</w:t>
      </w:r>
      <w:r w:rsidRPr="00F9522B">
        <w:rPr>
          <w:rFonts w:eastAsiaTheme="minorEastAsia"/>
          <w:sz w:val="24"/>
        </w:rPr>
        <w:t>“</w:t>
      </w:r>
      <w:r w:rsidRPr="00F9522B">
        <w:rPr>
          <w:rFonts w:eastAsiaTheme="minorEastAsia"/>
          <w:sz w:val="24"/>
        </w:rPr>
        <w:t>三网融合</w:t>
      </w:r>
      <w:r w:rsidRPr="00F9522B">
        <w:rPr>
          <w:rFonts w:eastAsiaTheme="minorEastAsia"/>
          <w:sz w:val="24"/>
        </w:rPr>
        <w:t>”</w:t>
      </w:r>
      <w:r w:rsidRPr="00F9522B">
        <w:rPr>
          <w:rFonts w:eastAsiaTheme="minorEastAsia"/>
          <w:sz w:val="24"/>
        </w:rPr>
        <w:t>等重大交通通信基础设施建设。推进各类工业园区和服务业集聚区基础设施建设。加强城市水源保护和供水安全建设。调整城市能源结构，提高优质清洁能源比重，加快热电联产、天然气加气站等项目建设。推进城市防洪工程建设。</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w:t>
      </w:r>
      <w:r w:rsidRPr="00F9522B">
        <w:rPr>
          <w:rFonts w:eastAsiaTheme="minorEastAsia"/>
          <w:sz w:val="24"/>
        </w:rPr>
        <w:t>2</w:t>
      </w:r>
      <w:r w:rsidRPr="00F9522B">
        <w:rPr>
          <w:rFonts w:eastAsiaTheme="minorEastAsia"/>
          <w:sz w:val="24"/>
        </w:rPr>
        <w:t>）符合性分析</w:t>
      </w:r>
    </w:p>
    <w:p w:rsidR="002A5A5E" w:rsidRPr="00F9522B" w:rsidRDefault="00611CBA">
      <w:pPr>
        <w:spacing w:line="360" w:lineRule="auto"/>
        <w:ind w:firstLineChars="196" w:firstLine="470"/>
        <w:rPr>
          <w:rFonts w:eastAsiaTheme="minorEastAsia"/>
          <w:sz w:val="24"/>
        </w:rPr>
      </w:pPr>
      <w:r w:rsidRPr="00F9522B">
        <w:rPr>
          <w:rFonts w:eastAsiaTheme="minorEastAsia"/>
          <w:sz w:val="24"/>
        </w:rPr>
        <w:t>本项目</w:t>
      </w:r>
      <w:r w:rsidR="00140B49" w:rsidRPr="00F9522B">
        <w:rPr>
          <w:rFonts w:eastAsiaTheme="minorEastAsia"/>
          <w:bCs/>
          <w:sz w:val="24"/>
        </w:rPr>
        <w:t>建设</w:t>
      </w:r>
      <w:r w:rsidR="00140B49" w:rsidRPr="00F9522B">
        <w:rPr>
          <w:rFonts w:eastAsiaTheme="minorEastAsia"/>
          <w:bCs/>
          <w:sz w:val="24"/>
        </w:rPr>
        <w:t>32</w:t>
      </w:r>
      <w:r w:rsidR="00140B49" w:rsidRPr="00F9522B">
        <w:rPr>
          <w:rFonts w:eastAsiaTheme="minorEastAsia"/>
          <w:bCs/>
          <w:sz w:val="24"/>
        </w:rPr>
        <w:t>万亩高标准农田（旱田</w:t>
      </w:r>
      <w:r w:rsidR="00140B49" w:rsidRPr="00F9522B">
        <w:rPr>
          <w:rFonts w:eastAsiaTheme="minorEastAsia"/>
          <w:bCs/>
          <w:sz w:val="24"/>
        </w:rPr>
        <w:t>31.53</w:t>
      </w:r>
      <w:r w:rsidR="00140B49" w:rsidRPr="00F9522B">
        <w:rPr>
          <w:rFonts w:eastAsiaTheme="minorEastAsia"/>
          <w:bCs/>
          <w:sz w:val="24"/>
        </w:rPr>
        <w:t>万亩，水田</w:t>
      </w:r>
      <w:r w:rsidR="00140B49" w:rsidRPr="00F9522B">
        <w:rPr>
          <w:rFonts w:eastAsiaTheme="minorEastAsia"/>
          <w:bCs/>
          <w:sz w:val="24"/>
        </w:rPr>
        <w:t>0.47</w:t>
      </w:r>
      <w:r w:rsidR="00140B49" w:rsidRPr="00F9522B">
        <w:rPr>
          <w:rFonts w:eastAsiaTheme="minorEastAsia"/>
          <w:bCs/>
          <w:sz w:val="24"/>
        </w:rPr>
        <w:t>万亩）</w:t>
      </w:r>
      <w:r w:rsidRPr="00F9522B">
        <w:rPr>
          <w:rFonts w:eastAsiaTheme="minorEastAsia"/>
          <w:sz w:val="24"/>
        </w:rPr>
        <w:t>，建设灌溉井可提供作物种植期伏旱抗旱用水，实现了抗旱及保苗的效果，田块整治工程增加了玉米、水稻的亩产量，农田道路等工程的建设，主要完善了当地的农业交</w:t>
      </w:r>
      <w:r w:rsidRPr="00F9522B">
        <w:rPr>
          <w:rFonts w:eastAsiaTheme="minorEastAsia"/>
          <w:sz w:val="24"/>
        </w:rPr>
        <w:lastRenderedPageBreak/>
        <w:t>通条件，为当地农业机械化作业提供了便利的条件，提高了农业生产效率，加快绿色农业、现代农业发展。</w:t>
      </w:r>
    </w:p>
    <w:p w:rsidR="002A5A5E" w:rsidRPr="00F9522B" w:rsidRDefault="00611CBA">
      <w:pPr>
        <w:pStyle w:val="ab"/>
        <w:spacing w:before="100" w:beforeAutospacing="1" w:after="100" w:afterAutospacing="1"/>
        <w:outlineLvl w:val="2"/>
        <w:rPr>
          <w:rFonts w:eastAsiaTheme="minorEastAsia"/>
          <w:b/>
          <w:sz w:val="24"/>
        </w:rPr>
      </w:pPr>
      <w:r w:rsidRPr="00F9522B">
        <w:rPr>
          <w:rFonts w:eastAsiaTheme="minorEastAsia"/>
          <w:b/>
          <w:sz w:val="24"/>
        </w:rPr>
        <w:t>1.4.</w:t>
      </w:r>
      <w:r w:rsidR="00600084" w:rsidRPr="00F9522B">
        <w:rPr>
          <w:rFonts w:eastAsiaTheme="minorEastAsia"/>
          <w:b/>
          <w:sz w:val="24"/>
        </w:rPr>
        <w:t>7</w:t>
      </w:r>
      <w:r w:rsidRPr="00F9522B">
        <w:rPr>
          <w:rFonts w:eastAsiaTheme="minorEastAsia"/>
          <w:b/>
          <w:sz w:val="24"/>
        </w:rPr>
        <w:t>与《哈尔滨市国土空间总体规划》（</w:t>
      </w:r>
      <w:r w:rsidRPr="00F9522B">
        <w:rPr>
          <w:rFonts w:eastAsiaTheme="minorEastAsia"/>
          <w:b/>
          <w:sz w:val="24"/>
        </w:rPr>
        <w:t>2020-2035</w:t>
      </w:r>
      <w:r w:rsidRPr="00F9522B">
        <w:rPr>
          <w:rFonts w:eastAsiaTheme="minorEastAsia"/>
          <w:b/>
          <w:sz w:val="24"/>
        </w:rPr>
        <w:t>公众版）符合性分析</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w:t>
      </w:r>
      <w:r w:rsidRPr="00F9522B">
        <w:rPr>
          <w:rFonts w:eastAsiaTheme="minorEastAsia"/>
          <w:sz w:val="24"/>
        </w:rPr>
        <w:t>1</w:t>
      </w:r>
      <w:r w:rsidRPr="00F9522B">
        <w:rPr>
          <w:rFonts w:eastAsiaTheme="minorEastAsia"/>
          <w:sz w:val="24"/>
        </w:rPr>
        <w:t>）相关内容</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实施生态卓越战略：统筹推进山水林田湖草系统治理，筑牢东北森林带生态安全屏障，加强松花江和重要湖泊湿地生态保护治理，提升生态系统质量和稳定性。实施农业保障战略：数量、质量、生态</w:t>
      </w:r>
      <w:r w:rsidRPr="00F9522B">
        <w:rPr>
          <w:rFonts w:eastAsiaTheme="minorEastAsia"/>
          <w:sz w:val="24"/>
        </w:rPr>
        <w:t>“</w:t>
      </w:r>
      <w:r w:rsidRPr="00F9522B">
        <w:rPr>
          <w:rFonts w:eastAsiaTheme="minorEastAsia"/>
          <w:sz w:val="24"/>
        </w:rPr>
        <w:t>三位一体</w:t>
      </w:r>
      <w:r w:rsidRPr="00F9522B">
        <w:rPr>
          <w:rFonts w:eastAsiaTheme="minorEastAsia"/>
          <w:sz w:val="24"/>
        </w:rPr>
        <w:t>”</w:t>
      </w:r>
      <w:r w:rsidRPr="00F9522B">
        <w:rPr>
          <w:rFonts w:eastAsiaTheme="minorEastAsia"/>
          <w:sz w:val="24"/>
        </w:rPr>
        <w:t>保护好黑土地这个</w:t>
      </w:r>
      <w:r w:rsidRPr="00F9522B">
        <w:rPr>
          <w:rFonts w:eastAsiaTheme="minorEastAsia"/>
          <w:sz w:val="24"/>
        </w:rPr>
        <w:t>“</w:t>
      </w:r>
      <w:r w:rsidRPr="00F9522B">
        <w:rPr>
          <w:rFonts w:eastAsiaTheme="minorEastAsia"/>
          <w:sz w:val="24"/>
        </w:rPr>
        <w:t>耕地中的大熊猫</w:t>
      </w:r>
      <w:r w:rsidRPr="00F9522B">
        <w:rPr>
          <w:rFonts w:eastAsiaTheme="minorEastAsia"/>
          <w:sz w:val="24"/>
        </w:rPr>
        <w:t>”</w:t>
      </w:r>
      <w:r w:rsidRPr="00F9522B">
        <w:rPr>
          <w:rFonts w:eastAsiaTheme="minorEastAsia"/>
          <w:sz w:val="24"/>
        </w:rPr>
        <w:t>打造保障国家粮食安全的</w:t>
      </w:r>
      <w:r w:rsidRPr="00F9522B">
        <w:rPr>
          <w:rFonts w:eastAsiaTheme="minorEastAsia"/>
          <w:sz w:val="24"/>
        </w:rPr>
        <w:t>“</w:t>
      </w:r>
      <w:r w:rsidRPr="00F9522B">
        <w:rPr>
          <w:rFonts w:eastAsiaTheme="minorEastAsia"/>
          <w:sz w:val="24"/>
        </w:rPr>
        <w:t>压舱石</w:t>
      </w:r>
      <w:r w:rsidRPr="00F9522B">
        <w:rPr>
          <w:rFonts w:eastAsiaTheme="minorEastAsia"/>
          <w:sz w:val="24"/>
        </w:rPr>
        <w:t>”</w:t>
      </w:r>
      <w:r w:rsidRPr="00F9522B">
        <w:rPr>
          <w:rFonts w:eastAsiaTheme="minorEastAsia"/>
          <w:sz w:val="24"/>
        </w:rPr>
        <w:t>。严格保护自然保护地空间，根据各类自然保护地功能定位，合理分区，实行差别化管控。</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w:t>
      </w:r>
      <w:r w:rsidRPr="00F9522B">
        <w:rPr>
          <w:rFonts w:eastAsiaTheme="minorEastAsia"/>
          <w:sz w:val="24"/>
        </w:rPr>
        <w:t>2</w:t>
      </w:r>
      <w:r w:rsidRPr="00F9522B">
        <w:rPr>
          <w:rFonts w:eastAsiaTheme="minorEastAsia"/>
          <w:sz w:val="24"/>
        </w:rPr>
        <w:t>）符合性分析</w:t>
      </w:r>
    </w:p>
    <w:p w:rsidR="002A5A5E" w:rsidRPr="00F9522B" w:rsidRDefault="00611CBA">
      <w:pPr>
        <w:spacing w:line="360" w:lineRule="auto"/>
        <w:ind w:firstLineChars="196" w:firstLine="470"/>
        <w:rPr>
          <w:rFonts w:eastAsiaTheme="minorEastAsia"/>
          <w:sz w:val="24"/>
        </w:rPr>
      </w:pPr>
      <w:r w:rsidRPr="00F9522B">
        <w:rPr>
          <w:rFonts w:eastAsiaTheme="minorEastAsia"/>
          <w:sz w:val="24"/>
        </w:rPr>
        <w:t>本项目</w:t>
      </w:r>
      <w:r w:rsidR="00140B49" w:rsidRPr="00F9522B">
        <w:rPr>
          <w:rFonts w:eastAsiaTheme="minorEastAsia"/>
          <w:bCs/>
          <w:sz w:val="24"/>
        </w:rPr>
        <w:t>建设</w:t>
      </w:r>
      <w:r w:rsidR="00140B49" w:rsidRPr="00F9522B">
        <w:rPr>
          <w:rFonts w:eastAsiaTheme="minorEastAsia"/>
          <w:bCs/>
          <w:sz w:val="24"/>
        </w:rPr>
        <w:t>32</w:t>
      </w:r>
      <w:r w:rsidR="00140B49" w:rsidRPr="00F9522B">
        <w:rPr>
          <w:rFonts w:eastAsiaTheme="minorEastAsia"/>
          <w:bCs/>
          <w:sz w:val="24"/>
        </w:rPr>
        <w:t>万亩高标准农田（旱田</w:t>
      </w:r>
      <w:r w:rsidR="00140B49" w:rsidRPr="00F9522B">
        <w:rPr>
          <w:rFonts w:eastAsiaTheme="minorEastAsia"/>
          <w:bCs/>
          <w:sz w:val="24"/>
        </w:rPr>
        <w:t>31.53</w:t>
      </w:r>
      <w:r w:rsidR="00140B49" w:rsidRPr="00F9522B">
        <w:rPr>
          <w:rFonts w:eastAsiaTheme="minorEastAsia"/>
          <w:bCs/>
          <w:sz w:val="24"/>
        </w:rPr>
        <w:t>万亩，水田</w:t>
      </w:r>
      <w:r w:rsidR="00140B49" w:rsidRPr="00F9522B">
        <w:rPr>
          <w:rFonts w:eastAsiaTheme="minorEastAsia"/>
          <w:bCs/>
          <w:sz w:val="24"/>
        </w:rPr>
        <w:t>0.47</w:t>
      </w:r>
      <w:r w:rsidR="00140B49" w:rsidRPr="00F9522B">
        <w:rPr>
          <w:rFonts w:eastAsiaTheme="minorEastAsia"/>
          <w:bCs/>
          <w:sz w:val="24"/>
        </w:rPr>
        <w:t>万亩）</w:t>
      </w:r>
      <w:r w:rsidRPr="00F9522B">
        <w:rPr>
          <w:rFonts w:eastAsiaTheme="minorEastAsia"/>
          <w:sz w:val="24"/>
        </w:rPr>
        <w:t>，建设灌溉井可提供作物种植期伏旱抗旱用水，实现了抗旱及保苗的效果，本项目实施排水沟清淤、</w:t>
      </w:r>
      <w:r w:rsidRPr="00F9522B">
        <w:rPr>
          <w:rFonts w:eastAsiaTheme="minorEastAsia"/>
          <w:bCs/>
          <w:sz w:val="24"/>
        </w:rPr>
        <w:t>护砌</w:t>
      </w:r>
      <w:r w:rsidRPr="00F9522B">
        <w:rPr>
          <w:rFonts w:eastAsiaTheme="minorEastAsia"/>
          <w:sz w:val="24"/>
        </w:rPr>
        <w:t>、灌溉渠道衬砌等工程，建成后可减少区域水土流失，</w:t>
      </w:r>
      <w:r w:rsidRPr="00F9522B">
        <w:rPr>
          <w:rFonts w:eastAsiaTheme="minorEastAsia"/>
          <w:bCs/>
          <w:sz w:val="24"/>
        </w:rPr>
        <w:t>提高和维持土地生产力。本项目实施后，由于灌溉水利用系数的提升、农田保水能力增强以及渠系配套系统的完善，地表水退水量减少，相应污染物入河量与现状相比也有一定程度的削减。项目施行</w:t>
      </w:r>
      <w:r w:rsidRPr="00F9522B">
        <w:rPr>
          <w:rFonts w:eastAsiaTheme="minorEastAsia"/>
          <w:bCs/>
          <w:sz w:val="24"/>
        </w:rPr>
        <w:t>“</w:t>
      </w:r>
      <w:r w:rsidRPr="00F9522B">
        <w:rPr>
          <w:rFonts w:eastAsiaTheme="minorEastAsia"/>
          <w:bCs/>
          <w:sz w:val="24"/>
        </w:rPr>
        <w:t>三减</w:t>
      </w:r>
      <w:r w:rsidRPr="00F9522B">
        <w:rPr>
          <w:rFonts w:eastAsiaTheme="minorEastAsia"/>
          <w:bCs/>
          <w:sz w:val="24"/>
        </w:rPr>
        <w:t>”</w:t>
      </w:r>
      <w:r w:rsidRPr="00F9522B">
        <w:rPr>
          <w:rFonts w:eastAsiaTheme="minorEastAsia"/>
          <w:bCs/>
          <w:sz w:val="24"/>
        </w:rPr>
        <w:t>行动，即减化肥、减农药、减除草剂，积极推广科学施肥，使化肥、农药实现减量化施用，增加有机肥的施用，优化调整农药施用结构，控制农药施用量，采取测土配方施肥、水肥一体化措施，充分利用高效节水技术灌溉，减少对水环境及生态环境造成的不利影响。</w:t>
      </w:r>
    </w:p>
    <w:p w:rsidR="002A5A5E" w:rsidRPr="00F9522B" w:rsidRDefault="00611CBA">
      <w:pPr>
        <w:pStyle w:val="ab"/>
        <w:spacing w:before="100" w:beforeAutospacing="1" w:after="100" w:afterAutospacing="1"/>
        <w:outlineLvl w:val="2"/>
        <w:rPr>
          <w:rFonts w:eastAsiaTheme="minorEastAsia"/>
          <w:b/>
          <w:sz w:val="24"/>
        </w:rPr>
      </w:pPr>
      <w:r w:rsidRPr="00F9522B">
        <w:rPr>
          <w:rFonts w:eastAsiaTheme="minorEastAsia"/>
          <w:b/>
          <w:sz w:val="24"/>
        </w:rPr>
        <w:t>1.4.</w:t>
      </w:r>
      <w:r w:rsidR="00600084" w:rsidRPr="00F9522B">
        <w:rPr>
          <w:rFonts w:eastAsiaTheme="minorEastAsia"/>
          <w:b/>
          <w:sz w:val="24"/>
        </w:rPr>
        <w:t>8</w:t>
      </w:r>
      <w:r w:rsidRPr="00F9522B">
        <w:rPr>
          <w:rFonts w:eastAsiaTheme="minorEastAsia"/>
          <w:b/>
          <w:sz w:val="24"/>
        </w:rPr>
        <w:t>相关规划、政策、规范符合性分析</w:t>
      </w:r>
    </w:p>
    <w:p w:rsidR="002A5A5E" w:rsidRPr="00F9522B" w:rsidRDefault="00611CBA">
      <w:pPr>
        <w:widowControl/>
        <w:spacing w:line="360" w:lineRule="auto"/>
        <w:ind w:firstLineChars="200" w:firstLine="480"/>
        <w:jc w:val="left"/>
        <w:rPr>
          <w:rFonts w:eastAsiaTheme="minorEastAsia"/>
          <w:sz w:val="24"/>
        </w:rPr>
      </w:pPr>
      <w:r w:rsidRPr="00F9522B">
        <w:rPr>
          <w:rFonts w:eastAsiaTheme="minorEastAsia"/>
          <w:sz w:val="24"/>
        </w:rPr>
        <w:t>（</w:t>
      </w:r>
      <w:r w:rsidRPr="00F9522B">
        <w:rPr>
          <w:rFonts w:eastAsiaTheme="minorEastAsia"/>
          <w:sz w:val="24"/>
        </w:rPr>
        <w:t>1</w:t>
      </w:r>
      <w:r w:rsidRPr="00F9522B">
        <w:rPr>
          <w:rFonts w:eastAsiaTheme="minorEastAsia"/>
          <w:sz w:val="24"/>
        </w:rPr>
        <w:t>）全国高标准农田建设规划符合性</w:t>
      </w:r>
    </w:p>
    <w:p w:rsidR="002A5A5E" w:rsidRPr="00F9522B" w:rsidRDefault="00611CBA">
      <w:pPr>
        <w:pStyle w:val="ab"/>
        <w:spacing w:after="0" w:line="360" w:lineRule="auto"/>
        <w:ind w:firstLineChars="200" w:firstLine="480"/>
        <w:rPr>
          <w:rFonts w:eastAsiaTheme="minorEastAsia"/>
          <w:sz w:val="24"/>
        </w:rPr>
      </w:pPr>
      <w:r w:rsidRPr="00F9522B">
        <w:rPr>
          <w:rFonts w:eastAsiaTheme="minorEastAsia"/>
          <w:sz w:val="24"/>
        </w:rPr>
        <w:t>《全国高标准农田建设规划（</w:t>
      </w:r>
      <w:r w:rsidRPr="00F9522B">
        <w:rPr>
          <w:rFonts w:eastAsiaTheme="minorEastAsia"/>
          <w:sz w:val="24"/>
        </w:rPr>
        <w:t>2021-2030</w:t>
      </w:r>
      <w:r w:rsidRPr="00F9522B">
        <w:rPr>
          <w:rFonts w:eastAsiaTheme="minorEastAsia"/>
          <w:sz w:val="24"/>
        </w:rPr>
        <w:t>年）》的建设目标为规划期内，集中力量建设集中连片、旱涝保收、节水高效、稳产高产、生态友好的高标准农田，形成一批</w:t>
      </w:r>
      <w:r w:rsidRPr="00F9522B">
        <w:rPr>
          <w:rFonts w:eastAsiaTheme="minorEastAsia"/>
          <w:sz w:val="24"/>
        </w:rPr>
        <w:t>“</w:t>
      </w:r>
      <w:r w:rsidRPr="00F9522B">
        <w:rPr>
          <w:rFonts w:eastAsiaTheme="minorEastAsia"/>
          <w:sz w:val="24"/>
        </w:rPr>
        <w:t>一季千斤、两季吨粮</w:t>
      </w:r>
      <w:r w:rsidRPr="00F9522B">
        <w:rPr>
          <w:rFonts w:eastAsiaTheme="minorEastAsia"/>
          <w:sz w:val="24"/>
        </w:rPr>
        <w:t>”</w:t>
      </w:r>
      <w:r w:rsidRPr="00F9522B">
        <w:rPr>
          <w:rFonts w:eastAsiaTheme="minorEastAsia"/>
          <w:sz w:val="24"/>
        </w:rPr>
        <w:t>的口粮田，满足人们粮食和食品消费升级需求，进一步筑牢保障国家粮食安全基础，把饭碗牢牢端在自己手上。通过新增建设和改造提升，力争将大中型灌区有效灌溉面积优先打造成高标准农田，高标准农田建设主要涉及田、土、水、路、林、电、技、管</w:t>
      </w:r>
      <w:r w:rsidRPr="00F9522B">
        <w:rPr>
          <w:rFonts w:eastAsiaTheme="minorEastAsia"/>
          <w:sz w:val="24"/>
        </w:rPr>
        <w:t>8</w:t>
      </w:r>
      <w:r w:rsidRPr="00F9522B">
        <w:rPr>
          <w:rFonts w:eastAsiaTheme="minorEastAsia"/>
          <w:sz w:val="24"/>
        </w:rPr>
        <w:t>个方面目标，具体内容如下：</w:t>
      </w:r>
    </w:p>
    <w:p w:rsidR="00600084" w:rsidRPr="00F9522B" w:rsidRDefault="00600084">
      <w:pPr>
        <w:jc w:val="center"/>
        <w:rPr>
          <w:rFonts w:eastAsiaTheme="minorEastAsia"/>
          <w:b/>
          <w:szCs w:val="21"/>
        </w:rPr>
      </w:pPr>
    </w:p>
    <w:p w:rsidR="002A5A5E" w:rsidRPr="00F9522B" w:rsidRDefault="00611CBA">
      <w:pPr>
        <w:jc w:val="center"/>
        <w:rPr>
          <w:rFonts w:eastAsiaTheme="minorEastAsia"/>
          <w:b/>
          <w:szCs w:val="21"/>
        </w:rPr>
      </w:pPr>
      <w:r w:rsidRPr="00F9522B">
        <w:rPr>
          <w:rFonts w:eastAsiaTheme="minorEastAsia"/>
          <w:b/>
          <w:szCs w:val="21"/>
        </w:rPr>
        <w:lastRenderedPageBreak/>
        <w:t>表</w:t>
      </w:r>
      <w:r w:rsidRPr="00F9522B">
        <w:rPr>
          <w:rFonts w:eastAsiaTheme="minorEastAsia"/>
          <w:b/>
          <w:szCs w:val="21"/>
        </w:rPr>
        <w:t>1-4-</w:t>
      </w:r>
      <w:r w:rsidR="00E97E33" w:rsidRPr="00F9522B">
        <w:rPr>
          <w:rFonts w:eastAsiaTheme="minorEastAsia"/>
          <w:b/>
          <w:szCs w:val="21"/>
        </w:rPr>
        <w:t>6</w:t>
      </w:r>
      <w:r w:rsidRPr="00F9522B">
        <w:rPr>
          <w:rFonts w:eastAsiaTheme="minorEastAsia"/>
          <w:b/>
          <w:szCs w:val="21"/>
        </w:rPr>
        <w:t>《全国高标准农田建设规划》（</w:t>
      </w:r>
      <w:r w:rsidRPr="00F9522B">
        <w:rPr>
          <w:rFonts w:eastAsiaTheme="minorEastAsia"/>
          <w:b/>
          <w:szCs w:val="21"/>
        </w:rPr>
        <w:t>2021-2030</w:t>
      </w:r>
      <w:r w:rsidRPr="00F9522B">
        <w:rPr>
          <w:rFonts w:eastAsiaTheme="minorEastAsia"/>
          <w:b/>
          <w:szCs w:val="21"/>
        </w:rPr>
        <w:t>年）符合性分析</w:t>
      </w:r>
    </w:p>
    <w:tbl>
      <w:tblPr>
        <w:tblW w:w="8720" w:type="dxa"/>
        <w:jc w:val="center"/>
        <w:tblBorders>
          <w:top w:val="single" w:sz="12" w:space="0" w:color="auto"/>
          <w:bottom w:val="single" w:sz="12" w:space="0" w:color="auto"/>
          <w:insideH w:val="single" w:sz="4" w:space="0" w:color="000000"/>
          <w:insideV w:val="single" w:sz="4" w:space="0" w:color="000000"/>
        </w:tblBorders>
        <w:tblLayout w:type="fixed"/>
        <w:tblLook w:val="04A0"/>
      </w:tblPr>
      <w:tblGrid>
        <w:gridCol w:w="984"/>
        <w:gridCol w:w="3192"/>
        <w:gridCol w:w="3686"/>
        <w:gridCol w:w="858"/>
      </w:tblGrid>
      <w:tr w:rsidR="002A5A5E" w:rsidRPr="00F9522B">
        <w:trPr>
          <w:jc w:val="center"/>
        </w:trPr>
        <w:tc>
          <w:tcPr>
            <w:tcW w:w="984" w:type="dxa"/>
            <w:vAlign w:val="center"/>
          </w:tcPr>
          <w:p w:rsidR="002A5A5E" w:rsidRPr="00F9522B" w:rsidRDefault="00611CBA">
            <w:pPr>
              <w:tabs>
                <w:tab w:val="left" w:pos="900"/>
              </w:tabs>
              <w:jc w:val="center"/>
              <w:rPr>
                <w:rFonts w:eastAsiaTheme="minorEastAsia"/>
                <w:szCs w:val="21"/>
              </w:rPr>
            </w:pPr>
            <w:r w:rsidRPr="00F9522B">
              <w:rPr>
                <w:rFonts w:eastAsiaTheme="minorEastAsia"/>
                <w:szCs w:val="21"/>
              </w:rPr>
              <w:t>文件</w:t>
            </w:r>
          </w:p>
        </w:tc>
        <w:tc>
          <w:tcPr>
            <w:tcW w:w="3192" w:type="dxa"/>
            <w:vAlign w:val="center"/>
          </w:tcPr>
          <w:p w:rsidR="002A5A5E" w:rsidRPr="00F9522B" w:rsidRDefault="00611CBA">
            <w:pPr>
              <w:jc w:val="center"/>
              <w:rPr>
                <w:rFonts w:eastAsiaTheme="minorEastAsia"/>
                <w:szCs w:val="21"/>
              </w:rPr>
            </w:pPr>
            <w:r w:rsidRPr="00F9522B">
              <w:rPr>
                <w:rFonts w:eastAsiaTheme="minorEastAsia"/>
                <w:szCs w:val="21"/>
              </w:rPr>
              <w:t>内容</w:t>
            </w:r>
          </w:p>
        </w:tc>
        <w:tc>
          <w:tcPr>
            <w:tcW w:w="3686" w:type="dxa"/>
            <w:vAlign w:val="center"/>
          </w:tcPr>
          <w:p w:rsidR="002A5A5E" w:rsidRPr="00F9522B" w:rsidRDefault="00611CBA">
            <w:pPr>
              <w:jc w:val="center"/>
              <w:rPr>
                <w:rFonts w:eastAsiaTheme="minorEastAsia"/>
                <w:szCs w:val="21"/>
              </w:rPr>
            </w:pPr>
            <w:r w:rsidRPr="00F9522B">
              <w:rPr>
                <w:rFonts w:eastAsiaTheme="minorEastAsia"/>
                <w:szCs w:val="21"/>
              </w:rPr>
              <w:t>本项目相关指标</w:t>
            </w:r>
          </w:p>
        </w:tc>
        <w:tc>
          <w:tcPr>
            <w:tcW w:w="858" w:type="dxa"/>
            <w:vAlign w:val="center"/>
          </w:tcPr>
          <w:p w:rsidR="002A5A5E" w:rsidRPr="00F9522B" w:rsidRDefault="00611CBA">
            <w:pPr>
              <w:jc w:val="center"/>
              <w:rPr>
                <w:rFonts w:eastAsiaTheme="minorEastAsia"/>
                <w:szCs w:val="21"/>
              </w:rPr>
            </w:pPr>
            <w:r w:rsidRPr="00F9522B">
              <w:rPr>
                <w:rFonts w:eastAsiaTheme="minorEastAsia"/>
                <w:szCs w:val="21"/>
              </w:rPr>
              <w:t>符合性</w:t>
            </w:r>
          </w:p>
        </w:tc>
      </w:tr>
      <w:tr w:rsidR="008C351B" w:rsidRPr="00F9522B">
        <w:trPr>
          <w:jc w:val="center"/>
        </w:trPr>
        <w:tc>
          <w:tcPr>
            <w:tcW w:w="984" w:type="dxa"/>
            <w:vMerge w:val="restart"/>
            <w:vAlign w:val="center"/>
          </w:tcPr>
          <w:p w:rsidR="008C351B" w:rsidRPr="00F9522B" w:rsidRDefault="008C351B">
            <w:pPr>
              <w:tabs>
                <w:tab w:val="left" w:pos="900"/>
              </w:tabs>
              <w:spacing w:line="300" w:lineRule="atLeast"/>
              <w:jc w:val="center"/>
              <w:rPr>
                <w:rFonts w:eastAsiaTheme="minorEastAsia"/>
                <w:szCs w:val="21"/>
              </w:rPr>
            </w:pPr>
            <w:r w:rsidRPr="00F9522B">
              <w:rPr>
                <w:rFonts w:eastAsiaTheme="minorEastAsia"/>
                <w:szCs w:val="21"/>
              </w:rPr>
              <w:t>《全国高标准农田建设规划》</w:t>
            </w:r>
          </w:p>
        </w:tc>
        <w:tc>
          <w:tcPr>
            <w:tcW w:w="3192" w:type="dxa"/>
            <w:vAlign w:val="center"/>
          </w:tcPr>
          <w:p w:rsidR="008C351B" w:rsidRPr="00F9522B" w:rsidRDefault="008C351B" w:rsidP="00D61453">
            <w:pPr>
              <w:tabs>
                <w:tab w:val="left" w:pos="900"/>
              </w:tabs>
              <w:spacing w:line="300" w:lineRule="atLeast"/>
              <w:ind w:firstLineChars="200" w:firstLine="420"/>
              <w:jc w:val="left"/>
              <w:rPr>
                <w:rFonts w:eastAsiaTheme="minorEastAsia"/>
                <w:szCs w:val="21"/>
              </w:rPr>
            </w:pPr>
            <w:r w:rsidRPr="00F9522B">
              <w:rPr>
                <w:rFonts w:eastAsiaTheme="minorEastAsia"/>
                <w:szCs w:val="21"/>
              </w:rPr>
              <w:t>田：通过合理归并和平整土地、坡耕地田坎修筑，实现田块规模适度、集中连片、田面平整，耕作层厚度适宜，山地丘陵区梯田化率提高。</w:t>
            </w:r>
          </w:p>
        </w:tc>
        <w:tc>
          <w:tcPr>
            <w:tcW w:w="3686" w:type="dxa"/>
            <w:vAlign w:val="center"/>
          </w:tcPr>
          <w:p w:rsidR="008C351B" w:rsidRPr="00F9522B" w:rsidRDefault="008C351B" w:rsidP="00D61453">
            <w:pPr>
              <w:tabs>
                <w:tab w:val="left" w:pos="900"/>
              </w:tabs>
              <w:spacing w:line="300" w:lineRule="atLeast"/>
              <w:ind w:firstLineChars="200" w:firstLine="420"/>
              <w:jc w:val="left"/>
              <w:rPr>
                <w:rFonts w:eastAsiaTheme="minorEastAsia"/>
                <w:szCs w:val="21"/>
              </w:rPr>
            </w:pPr>
            <w:r w:rsidRPr="00F9522B">
              <w:rPr>
                <w:rFonts w:eastAsiaTheme="minorEastAsia"/>
                <w:szCs w:val="21"/>
              </w:rPr>
              <w:t>本项目进行田块整治工程，建成后实现田块规模适度、集中连片、田面平整，耕作层厚度适宜。</w:t>
            </w:r>
          </w:p>
        </w:tc>
        <w:tc>
          <w:tcPr>
            <w:tcW w:w="858" w:type="dxa"/>
            <w:vAlign w:val="center"/>
          </w:tcPr>
          <w:p w:rsidR="008C351B" w:rsidRPr="00F9522B" w:rsidRDefault="008C351B">
            <w:pPr>
              <w:tabs>
                <w:tab w:val="left" w:pos="900"/>
              </w:tabs>
              <w:spacing w:line="300" w:lineRule="atLeast"/>
              <w:jc w:val="center"/>
              <w:rPr>
                <w:rFonts w:eastAsiaTheme="minorEastAsia"/>
                <w:kern w:val="0"/>
                <w:szCs w:val="21"/>
              </w:rPr>
            </w:pPr>
            <w:r w:rsidRPr="00F9522B">
              <w:rPr>
                <w:rFonts w:eastAsiaTheme="minorEastAsia"/>
                <w:kern w:val="0"/>
                <w:szCs w:val="21"/>
              </w:rPr>
              <w:t>符合</w:t>
            </w:r>
          </w:p>
        </w:tc>
      </w:tr>
      <w:tr w:rsidR="008C351B" w:rsidRPr="00F9522B">
        <w:trPr>
          <w:jc w:val="center"/>
        </w:trPr>
        <w:tc>
          <w:tcPr>
            <w:tcW w:w="984" w:type="dxa"/>
            <w:vMerge/>
            <w:vAlign w:val="center"/>
          </w:tcPr>
          <w:p w:rsidR="008C351B" w:rsidRPr="00F9522B" w:rsidRDefault="008C351B">
            <w:pPr>
              <w:tabs>
                <w:tab w:val="left" w:pos="900"/>
              </w:tabs>
              <w:spacing w:line="300" w:lineRule="atLeast"/>
              <w:jc w:val="center"/>
              <w:rPr>
                <w:rFonts w:eastAsiaTheme="minorEastAsia"/>
                <w:szCs w:val="21"/>
              </w:rPr>
            </w:pPr>
          </w:p>
        </w:tc>
        <w:tc>
          <w:tcPr>
            <w:tcW w:w="3192" w:type="dxa"/>
            <w:vAlign w:val="center"/>
          </w:tcPr>
          <w:p w:rsidR="008C351B" w:rsidRPr="00F9522B" w:rsidRDefault="008C351B" w:rsidP="00D61453">
            <w:pPr>
              <w:tabs>
                <w:tab w:val="left" w:pos="900"/>
              </w:tabs>
              <w:spacing w:line="300" w:lineRule="atLeast"/>
              <w:ind w:firstLineChars="200" w:firstLine="420"/>
              <w:jc w:val="left"/>
              <w:rPr>
                <w:rFonts w:eastAsiaTheme="minorEastAsia"/>
                <w:szCs w:val="21"/>
              </w:rPr>
            </w:pPr>
            <w:r w:rsidRPr="00F9522B">
              <w:rPr>
                <w:rFonts w:eastAsiaTheme="minorEastAsia"/>
                <w:szCs w:val="21"/>
              </w:rPr>
              <w:t>土：通过培肥改良，实现土壤通透性能好、保水保肥能力强、酸碱平衡、有机质和营养元素丰富，着力提高耕地内在质量和产出能力。</w:t>
            </w:r>
          </w:p>
        </w:tc>
        <w:tc>
          <w:tcPr>
            <w:tcW w:w="3686" w:type="dxa"/>
            <w:vAlign w:val="center"/>
          </w:tcPr>
          <w:p w:rsidR="008C351B" w:rsidRPr="00F9522B" w:rsidRDefault="008C351B" w:rsidP="00D61453">
            <w:pPr>
              <w:tabs>
                <w:tab w:val="left" w:pos="900"/>
              </w:tabs>
              <w:spacing w:line="300" w:lineRule="atLeast"/>
              <w:ind w:firstLineChars="200" w:firstLine="420"/>
              <w:jc w:val="left"/>
              <w:rPr>
                <w:rFonts w:eastAsiaTheme="minorEastAsia"/>
                <w:kern w:val="0"/>
                <w:szCs w:val="21"/>
              </w:rPr>
            </w:pPr>
            <w:r w:rsidRPr="00F9522B">
              <w:rPr>
                <w:rFonts w:eastAsiaTheme="minorEastAsia"/>
                <w:szCs w:val="21"/>
              </w:rPr>
              <w:t>本项目田块整治工程施用有机肥</w:t>
            </w:r>
            <w:r w:rsidRPr="00F9522B">
              <w:rPr>
                <w:rFonts w:eastAsiaTheme="minorEastAsia"/>
                <w:szCs w:val="21"/>
              </w:rPr>
              <w:t>98265.87</w:t>
            </w:r>
            <w:r w:rsidRPr="00F9522B">
              <w:rPr>
                <w:rFonts w:eastAsiaTheme="minorEastAsia"/>
                <w:szCs w:val="21"/>
              </w:rPr>
              <w:t>吨。</w:t>
            </w:r>
          </w:p>
        </w:tc>
        <w:tc>
          <w:tcPr>
            <w:tcW w:w="858" w:type="dxa"/>
            <w:vAlign w:val="center"/>
          </w:tcPr>
          <w:p w:rsidR="008C351B" w:rsidRPr="00F9522B" w:rsidRDefault="008C351B">
            <w:pPr>
              <w:tabs>
                <w:tab w:val="left" w:pos="900"/>
              </w:tabs>
              <w:spacing w:line="300" w:lineRule="atLeast"/>
              <w:jc w:val="center"/>
              <w:rPr>
                <w:rFonts w:eastAsiaTheme="minorEastAsia"/>
                <w:szCs w:val="21"/>
              </w:rPr>
            </w:pPr>
            <w:r w:rsidRPr="00F9522B">
              <w:rPr>
                <w:rFonts w:eastAsiaTheme="minorEastAsia"/>
                <w:szCs w:val="21"/>
              </w:rPr>
              <w:t>符合</w:t>
            </w:r>
          </w:p>
        </w:tc>
      </w:tr>
      <w:tr w:rsidR="008C351B" w:rsidRPr="00F9522B">
        <w:trPr>
          <w:jc w:val="center"/>
        </w:trPr>
        <w:tc>
          <w:tcPr>
            <w:tcW w:w="984" w:type="dxa"/>
            <w:vMerge/>
            <w:vAlign w:val="center"/>
          </w:tcPr>
          <w:p w:rsidR="008C351B" w:rsidRPr="00F9522B" w:rsidRDefault="008C351B">
            <w:pPr>
              <w:tabs>
                <w:tab w:val="left" w:pos="900"/>
              </w:tabs>
              <w:spacing w:line="300" w:lineRule="atLeast"/>
              <w:jc w:val="center"/>
              <w:rPr>
                <w:rFonts w:eastAsiaTheme="minorEastAsia"/>
                <w:szCs w:val="21"/>
              </w:rPr>
            </w:pPr>
          </w:p>
        </w:tc>
        <w:tc>
          <w:tcPr>
            <w:tcW w:w="3192" w:type="dxa"/>
            <w:vAlign w:val="center"/>
          </w:tcPr>
          <w:p w:rsidR="008C351B" w:rsidRPr="00F9522B" w:rsidRDefault="008C351B" w:rsidP="00D61453">
            <w:pPr>
              <w:tabs>
                <w:tab w:val="left" w:pos="900"/>
              </w:tabs>
              <w:spacing w:line="300" w:lineRule="atLeast"/>
              <w:ind w:firstLineChars="200" w:firstLine="420"/>
              <w:jc w:val="left"/>
              <w:rPr>
                <w:rFonts w:eastAsiaTheme="minorEastAsia"/>
                <w:szCs w:val="21"/>
              </w:rPr>
            </w:pPr>
            <w:r w:rsidRPr="00F9522B">
              <w:rPr>
                <w:rFonts w:eastAsiaTheme="minorEastAsia"/>
                <w:szCs w:val="21"/>
              </w:rPr>
              <w:t>水：通过加强田间灌排设施建设和推进高效节水灌溉等，增加有效灌溉面积，提高灌溉保证率、用水效率和农田防洪排涝标准，实现旱涝保收。</w:t>
            </w:r>
          </w:p>
        </w:tc>
        <w:tc>
          <w:tcPr>
            <w:tcW w:w="3686" w:type="dxa"/>
            <w:vAlign w:val="center"/>
          </w:tcPr>
          <w:p w:rsidR="008C351B" w:rsidRPr="00F9522B" w:rsidRDefault="008C351B" w:rsidP="00D61453">
            <w:pPr>
              <w:tabs>
                <w:tab w:val="left" w:pos="900"/>
              </w:tabs>
              <w:spacing w:line="300" w:lineRule="atLeast"/>
              <w:ind w:firstLineChars="200" w:firstLine="420"/>
              <w:jc w:val="left"/>
              <w:rPr>
                <w:rFonts w:eastAsiaTheme="minorEastAsia"/>
                <w:szCs w:val="21"/>
              </w:rPr>
            </w:pPr>
            <w:r w:rsidRPr="00F9522B">
              <w:rPr>
                <w:rFonts w:eastAsiaTheme="minorEastAsia"/>
                <w:szCs w:val="21"/>
              </w:rPr>
              <w:t>本项目进行灌溉工程，新打机电井</w:t>
            </w:r>
            <w:r w:rsidRPr="00F9522B">
              <w:rPr>
                <w:rFonts w:eastAsiaTheme="minorEastAsia"/>
                <w:szCs w:val="21"/>
              </w:rPr>
              <w:t>264</w:t>
            </w:r>
            <w:r w:rsidRPr="00F9522B">
              <w:rPr>
                <w:rFonts w:eastAsiaTheme="minorEastAsia"/>
                <w:szCs w:val="21"/>
              </w:rPr>
              <w:t>眼，配套井房</w:t>
            </w:r>
            <w:r w:rsidRPr="00F9522B">
              <w:rPr>
                <w:rFonts w:eastAsiaTheme="minorEastAsia"/>
                <w:szCs w:val="21"/>
              </w:rPr>
              <w:t>264</w:t>
            </w:r>
            <w:r w:rsidRPr="00F9522B">
              <w:rPr>
                <w:rFonts w:eastAsiaTheme="minorEastAsia"/>
                <w:szCs w:val="21"/>
              </w:rPr>
              <w:t>座、井泵</w:t>
            </w:r>
            <w:r w:rsidRPr="00F9522B">
              <w:rPr>
                <w:rFonts w:eastAsiaTheme="minorEastAsia"/>
                <w:szCs w:val="21"/>
              </w:rPr>
              <w:t>264</w:t>
            </w:r>
            <w:r w:rsidRPr="00F9522B">
              <w:rPr>
                <w:rFonts w:eastAsiaTheme="minorEastAsia"/>
                <w:szCs w:val="21"/>
              </w:rPr>
              <w:t>台，水肥一体灌溉面积</w:t>
            </w:r>
            <w:r w:rsidRPr="00F9522B">
              <w:rPr>
                <w:rFonts w:eastAsiaTheme="minorEastAsia"/>
                <w:szCs w:val="21"/>
              </w:rPr>
              <w:t>1.63</w:t>
            </w:r>
            <w:r w:rsidRPr="00F9522B">
              <w:rPr>
                <w:rFonts w:eastAsiaTheme="minorEastAsia"/>
                <w:szCs w:val="21"/>
              </w:rPr>
              <w:t>万亩；渠道衬砌</w:t>
            </w:r>
            <w:r w:rsidRPr="00F9522B">
              <w:rPr>
                <w:rFonts w:eastAsiaTheme="minorEastAsia"/>
                <w:szCs w:val="21"/>
              </w:rPr>
              <w:t>1.368km</w:t>
            </w:r>
            <w:r w:rsidRPr="00F9522B">
              <w:rPr>
                <w:rFonts w:eastAsiaTheme="minorEastAsia"/>
                <w:szCs w:val="21"/>
              </w:rPr>
              <w:t>；购置移动泵车</w:t>
            </w:r>
            <w:r w:rsidRPr="00F9522B">
              <w:rPr>
                <w:rFonts w:eastAsiaTheme="minorEastAsia"/>
                <w:szCs w:val="21"/>
              </w:rPr>
              <w:t>78</w:t>
            </w:r>
            <w:r w:rsidRPr="00F9522B">
              <w:rPr>
                <w:rFonts w:eastAsiaTheme="minorEastAsia"/>
                <w:szCs w:val="21"/>
              </w:rPr>
              <w:t>台；排水沟清淤</w:t>
            </w:r>
            <w:r w:rsidRPr="00F9522B">
              <w:rPr>
                <w:rFonts w:eastAsiaTheme="minorEastAsia"/>
                <w:szCs w:val="21"/>
              </w:rPr>
              <w:t>14.073km</w:t>
            </w:r>
            <w:r w:rsidRPr="00F9522B">
              <w:rPr>
                <w:rFonts w:eastAsiaTheme="minorEastAsia"/>
                <w:szCs w:val="21"/>
              </w:rPr>
              <w:t>，排水沟护砌</w:t>
            </w:r>
            <w:r w:rsidRPr="00F9522B">
              <w:rPr>
                <w:rFonts w:eastAsiaTheme="minorEastAsia"/>
                <w:szCs w:val="21"/>
              </w:rPr>
              <w:t>78.697km</w:t>
            </w:r>
            <w:r w:rsidRPr="00F9522B">
              <w:rPr>
                <w:rFonts w:eastAsiaTheme="minorEastAsia"/>
                <w:szCs w:val="21"/>
              </w:rPr>
              <w:t>；新建建筑物</w:t>
            </w:r>
            <w:r w:rsidRPr="00F9522B">
              <w:rPr>
                <w:rFonts w:eastAsiaTheme="minorEastAsia"/>
                <w:szCs w:val="21"/>
              </w:rPr>
              <w:t>1450</w:t>
            </w:r>
            <w:r w:rsidRPr="00F9522B">
              <w:rPr>
                <w:rFonts w:eastAsiaTheme="minorEastAsia"/>
                <w:szCs w:val="21"/>
              </w:rPr>
              <w:t>座，其中：涵洞</w:t>
            </w:r>
            <w:r w:rsidRPr="00F9522B">
              <w:rPr>
                <w:rFonts w:eastAsiaTheme="minorEastAsia"/>
                <w:szCs w:val="21"/>
              </w:rPr>
              <w:t>707</w:t>
            </w:r>
            <w:r w:rsidRPr="00F9522B">
              <w:rPr>
                <w:rFonts w:eastAsiaTheme="minorEastAsia"/>
                <w:szCs w:val="21"/>
              </w:rPr>
              <w:t>座，过水路面</w:t>
            </w:r>
            <w:r w:rsidRPr="00F9522B">
              <w:rPr>
                <w:rFonts w:eastAsiaTheme="minorEastAsia"/>
                <w:szCs w:val="21"/>
              </w:rPr>
              <w:t>742</w:t>
            </w:r>
            <w:r w:rsidRPr="00F9522B">
              <w:rPr>
                <w:rFonts w:eastAsiaTheme="minorEastAsia"/>
                <w:szCs w:val="21"/>
              </w:rPr>
              <w:t>座，渡槽</w:t>
            </w:r>
            <w:r w:rsidRPr="00F9522B">
              <w:rPr>
                <w:rFonts w:eastAsiaTheme="minorEastAsia"/>
                <w:szCs w:val="21"/>
              </w:rPr>
              <w:t>1</w:t>
            </w:r>
            <w:r w:rsidRPr="00F9522B">
              <w:rPr>
                <w:rFonts w:eastAsiaTheme="minorEastAsia"/>
                <w:szCs w:val="21"/>
              </w:rPr>
              <w:t>座</w:t>
            </w:r>
            <w:r w:rsidRPr="00F9522B">
              <w:rPr>
                <w:rFonts w:eastAsiaTheme="minorEastAsia"/>
                <w:snapToGrid w:val="0"/>
                <w:kern w:val="0"/>
              </w:rPr>
              <w:t>，可</w:t>
            </w:r>
            <w:r w:rsidRPr="00F9522B">
              <w:rPr>
                <w:rFonts w:eastAsiaTheme="minorEastAsia"/>
                <w:szCs w:val="21"/>
              </w:rPr>
              <w:t>实现旱涝保收。</w:t>
            </w:r>
          </w:p>
        </w:tc>
        <w:tc>
          <w:tcPr>
            <w:tcW w:w="858" w:type="dxa"/>
            <w:vAlign w:val="center"/>
          </w:tcPr>
          <w:p w:rsidR="008C351B" w:rsidRPr="00F9522B" w:rsidRDefault="008C351B">
            <w:pPr>
              <w:tabs>
                <w:tab w:val="left" w:pos="900"/>
              </w:tabs>
              <w:spacing w:line="300" w:lineRule="atLeast"/>
              <w:jc w:val="center"/>
              <w:rPr>
                <w:rFonts w:eastAsiaTheme="minorEastAsia"/>
                <w:szCs w:val="21"/>
              </w:rPr>
            </w:pPr>
            <w:r w:rsidRPr="00F9522B">
              <w:rPr>
                <w:rFonts w:eastAsiaTheme="minorEastAsia"/>
                <w:szCs w:val="21"/>
              </w:rPr>
              <w:t>符合</w:t>
            </w:r>
          </w:p>
        </w:tc>
      </w:tr>
      <w:tr w:rsidR="008C351B" w:rsidRPr="00F9522B">
        <w:trPr>
          <w:jc w:val="center"/>
        </w:trPr>
        <w:tc>
          <w:tcPr>
            <w:tcW w:w="984" w:type="dxa"/>
            <w:vMerge/>
            <w:vAlign w:val="center"/>
          </w:tcPr>
          <w:p w:rsidR="008C351B" w:rsidRPr="00F9522B" w:rsidRDefault="008C351B">
            <w:pPr>
              <w:tabs>
                <w:tab w:val="left" w:pos="900"/>
              </w:tabs>
              <w:spacing w:line="300" w:lineRule="atLeast"/>
              <w:jc w:val="center"/>
              <w:rPr>
                <w:rFonts w:eastAsiaTheme="minorEastAsia"/>
                <w:szCs w:val="21"/>
              </w:rPr>
            </w:pPr>
          </w:p>
        </w:tc>
        <w:tc>
          <w:tcPr>
            <w:tcW w:w="3192" w:type="dxa"/>
            <w:vAlign w:val="center"/>
          </w:tcPr>
          <w:p w:rsidR="008C351B" w:rsidRPr="00F9522B" w:rsidRDefault="008C351B" w:rsidP="00D61453">
            <w:pPr>
              <w:tabs>
                <w:tab w:val="left" w:pos="900"/>
              </w:tabs>
              <w:spacing w:line="300" w:lineRule="atLeast"/>
              <w:ind w:firstLineChars="200" w:firstLine="420"/>
              <w:jc w:val="left"/>
              <w:rPr>
                <w:rFonts w:eastAsiaTheme="minorEastAsia"/>
                <w:szCs w:val="21"/>
              </w:rPr>
            </w:pPr>
            <w:r w:rsidRPr="00F9522B">
              <w:rPr>
                <w:rFonts w:eastAsiaTheme="minorEastAsia"/>
                <w:szCs w:val="21"/>
              </w:rPr>
              <w:t>路：通过田间道（机耕路）和生产路建设、桥涵配套，合理增加路面宽度，提高道路的荷载标准和通达度，满足农机作业、生产物流要求。</w:t>
            </w:r>
          </w:p>
        </w:tc>
        <w:tc>
          <w:tcPr>
            <w:tcW w:w="3686" w:type="dxa"/>
            <w:vAlign w:val="center"/>
          </w:tcPr>
          <w:p w:rsidR="008C351B" w:rsidRPr="00F9522B" w:rsidRDefault="008C351B" w:rsidP="00D61453">
            <w:pPr>
              <w:tabs>
                <w:tab w:val="left" w:pos="900"/>
              </w:tabs>
              <w:spacing w:line="300" w:lineRule="atLeast"/>
              <w:ind w:firstLineChars="200" w:firstLine="420"/>
              <w:jc w:val="left"/>
              <w:rPr>
                <w:rFonts w:eastAsiaTheme="minorEastAsia"/>
                <w:kern w:val="0"/>
                <w:szCs w:val="21"/>
              </w:rPr>
            </w:pPr>
            <w:r w:rsidRPr="00F9522B">
              <w:rPr>
                <w:rFonts w:eastAsiaTheme="minorEastAsia"/>
                <w:kern w:val="0"/>
                <w:szCs w:val="21"/>
              </w:rPr>
              <w:t>本项目建设田间道路工程，修修缮道路</w:t>
            </w:r>
            <w:r w:rsidRPr="00F9522B">
              <w:rPr>
                <w:rFonts w:eastAsiaTheme="minorEastAsia"/>
                <w:kern w:val="0"/>
                <w:szCs w:val="21"/>
              </w:rPr>
              <w:t>792</w:t>
            </w:r>
            <w:r w:rsidRPr="00F9522B">
              <w:rPr>
                <w:rFonts w:eastAsiaTheme="minorEastAsia"/>
                <w:kern w:val="0"/>
                <w:szCs w:val="21"/>
              </w:rPr>
              <w:t>条，共</w:t>
            </w:r>
            <w:r w:rsidRPr="00F9522B">
              <w:rPr>
                <w:rFonts w:eastAsiaTheme="minorEastAsia"/>
                <w:kern w:val="0"/>
                <w:szCs w:val="21"/>
              </w:rPr>
              <w:t>537.512km</w:t>
            </w:r>
            <w:r w:rsidRPr="00F9522B">
              <w:rPr>
                <w:rFonts w:eastAsiaTheme="minorEastAsia"/>
                <w:kern w:val="0"/>
                <w:szCs w:val="21"/>
              </w:rPr>
              <w:t>，其中：机耕路（混凝土路面）</w:t>
            </w:r>
            <w:r w:rsidRPr="00F9522B">
              <w:rPr>
                <w:rFonts w:eastAsiaTheme="minorEastAsia"/>
                <w:kern w:val="0"/>
                <w:szCs w:val="21"/>
              </w:rPr>
              <w:t>157</w:t>
            </w:r>
            <w:r w:rsidRPr="00F9522B">
              <w:rPr>
                <w:rFonts w:eastAsiaTheme="minorEastAsia"/>
                <w:kern w:val="0"/>
                <w:szCs w:val="21"/>
              </w:rPr>
              <w:t>条，共</w:t>
            </w:r>
            <w:r w:rsidRPr="00F9522B">
              <w:rPr>
                <w:rFonts w:eastAsiaTheme="minorEastAsia"/>
                <w:kern w:val="0"/>
                <w:szCs w:val="21"/>
              </w:rPr>
              <w:t>129.289km</w:t>
            </w:r>
            <w:r w:rsidRPr="00F9522B">
              <w:rPr>
                <w:rFonts w:eastAsiaTheme="minorEastAsia"/>
                <w:kern w:val="0"/>
                <w:szCs w:val="21"/>
              </w:rPr>
              <w:t>；生产路（砂石路面）</w:t>
            </w:r>
            <w:r w:rsidRPr="00F9522B">
              <w:rPr>
                <w:rFonts w:eastAsiaTheme="minorEastAsia"/>
                <w:kern w:val="0"/>
                <w:szCs w:val="21"/>
              </w:rPr>
              <w:t>635</w:t>
            </w:r>
            <w:r w:rsidRPr="00F9522B">
              <w:rPr>
                <w:rFonts w:eastAsiaTheme="minorEastAsia"/>
                <w:kern w:val="0"/>
                <w:szCs w:val="21"/>
              </w:rPr>
              <w:t>条，共</w:t>
            </w:r>
            <w:r w:rsidRPr="00F9522B">
              <w:rPr>
                <w:rFonts w:eastAsiaTheme="minorEastAsia"/>
                <w:kern w:val="0"/>
                <w:szCs w:val="21"/>
              </w:rPr>
              <w:t>408.223km</w:t>
            </w:r>
            <w:r w:rsidRPr="00F9522B">
              <w:rPr>
                <w:rFonts w:eastAsiaTheme="minorEastAsia"/>
                <w:kern w:val="0"/>
                <w:szCs w:val="21"/>
              </w:rPr>
              <w:t>，满足农机作业、农业物资运输等农业生产活动的要求。</w:t>
            </w:r>
          </w:p>
        </w:tc>
        <w:tc>
          <w:tcPr>
            <w:tcW w:w="858" w:type="dxa"/>
            <w:vAlign w:val="center"/>
          </w:tcPr>
          <w:p w:rsidR="008C351B" w:rsidRPr="00F9522B" w:rsidRDefault="008C351B">
            <w:pPr>
              <w:jc w:val="center"/>
              <w:rPr>
                <w:rFonts w:eastAsiaTheme="minorEastAsia"/>
                <w:szCs w:val="21"/>
              </w:rPr>
            </w:pPr>
            <w:r w:rsidRPr="00F9522B">
              <w:rPr>
                <w:rFonts w:eastAsiaTheme="minorEastAsia"/>
                <w:szCs w:val="21"/>
              </w:rPr>
              <w:t>符合</w:t>
            </w:r>
          </w:p>
        </w:tc>
      </w:tr>
      <w:tr w:rsidR="008C351B" w:rsidRPr="00F9522B">
        <w:trPr>
          <w:jc w:val="center"/>
        </w:trPr>
        <w:tc>
          <w:tcPr>
            <w:tcW w:w="984" w:type="dxa"/>
            <w:vMerge/>
            <w:vAlign w:val="center"/>
          </w:tcPr>
          <w:p w:rsidR="008C351B" w:rsidRPr="00F9522B" w:rsidRDefault="008C351B">
            <w:pPr>
              <w:tabs>
                <w:tab w:val="left" w:pos="900"/>
              </w:tabs>
              <w:spacing w:line="300" w:lineRule="atLeast"/>
              <w:jc w:val="center"/>
              <w:rPr>
                <w:rFonts w:eastAsiaTheme="minorEastAsia"/>
                <w:szCs w:val="21"/>
              </w:rPr>
            </w:pPr>
          </w:p>
        </w:tc>
        <w:tc>
          <w:tcPr>
            <w:tcW w:w="3192" w:type="dxa"/>
            <w:vAlign w:val="center"/>
          </w:tcPr>
          <w:p w:rsidR="008C351B" w:rsidRPr="00F9522B" w:rsidRDefault="008C351B">
            <w:pPr>
              <w:tabs>
                <w:tab w:val="left" w:pos="900"/>
              </w:tabs>
              <w:spacing w:line="300" w:lineRule="atLeast"/>
              <w:jc w:val="left"/>
              <w:rPr>
                <w:rFonts w:eastAsiaTheme="minorEastAsia"/>
                <w:szCs w:val="21"/>
              </w:rPr>
            </w:pPr>
            <w:r w:rsidRPr="00F9522B">
              <w:rPr>
                <w:rFonts w:eastAsiaTheme="minorEastAsia"/>
                <w:szCs w:val="21"/>
              </w:rPr>
              <w:t>林：通过农田林网、岸坡防护、沟道治理等农田防护和生态环境保护工程建设，改善农田生态环境，提高农田防御风沙灾害和防止水土流失能力。</w:t>
            </w:r>
          </w:p>
        </w:tc>
        <w:tc>
          <w:tcPr>
            <w:tcW w:w="3686" w:type="dxa"/>
            <w:vAlign w:val="center"/>
          </w:tcPr>
          <w:p w:rsidR="008C351B" w:rsidRPr="00F9522B" w:rsidRDefault="008C351B" w:rsidP="00760E2B">
            <w:pPr>
              <w:tabs>
                <w:tab w:val="left" w:pos="900"/>
              </w:tabs>
              <w:spacing w:line="300" w:lineRule="atLeast"/>
              <w:jc w:val="left"/>
              <w:rPr>
                <w:rFonts w:eastAsiaTheme="minorEastAsia"/>
                <w:szCs w:val="21"/>
              </w:rPr>
            </w:pPr>
            <w:r w:rsidRPr="00F9522B">
              <w:rPr>
                <w:rFonts w:eastAsiaTheme="minorEastAsia"/>
                <w:szCs w:val="21"/>
              </w:rPr>
              <w:t>本项目区农田防护林网体系较完善，区域防御风沙灾害和防止水土流失能力较强，满足需求。</w:t>
            </w:r>
          </w:p>
        </w:tc>
        <w:tc>
          <w:tcPr>
            <w:tcW w:w="858" w:type="dxa"/>
            <w:vAlign w:val="center"/>
          </w:tcPr>
          <w:p w:rsidR="008C351B" w:rsidRPr="00F9522B" w:rsidRDefault="008C351B">
            <w:pPr>
              <w:jc w:val="center"/>
              <w:rPr>
                <w:rFonts w:eastAsiaTheme="minorEastAsia"/>
                <w:szCs w:val="21"/>
              </w:rPr>
            </w:pPr>
            <w:r w:rsidRPr="00F9522B">
              <w:rPr>
                <w:rFonts w:eastAsiaTheme="minorEastAsia"/>
                <w:szCs w:val="21"/>
              </w:rPr>
              <w:t>符合</w:t>
            </w:r>
          </w:p>
        </w:tc>
      </w:tr>
      <w:tr w:rsidR="008C351B" w:rsidRPr="00F9522B">
        <w:trPr>
          <w:jc w:val="center"/>
        </w:trPr>
        <w:tc>
          <w:tcPr>
            <w:tcW w:w="984" w:type="dxa"/>
            <w:vMerge/>
            <w:vAlign w:val="center"/>
          </w:tcPr>
          <w:p w:rsidR="008C351B" w:rsidRPr="00F9522B" w:rsidRDefault="008C351B">
            <w:pPr>
              <w:tabs>
                <w:tab w:val="left" w:pos="900"/>
              </w:tabs>
              <w:spacing w:line="300" w:lineRule="atLeast"/>
              <w:jc w:val="center"/>
              <w:rPr>
                <w:rFonts w:eastAsiaTheme="minorEastAsia"/>
                <w:szCs w:val="21"/>
              </w:rPr>
            </w:pPr>
          </w:p>
        </w:tc>
        <w:tc>
          <w:tcPr>
            <w:tcW w:w="3192" w:type="dxa"/>
            <w:vAlign w:val="center"/>
          </w:tcPr>
          <w:p w:rsidR="008C351B" w:rsidRPr="00F9522B" w:rsidRDefault="008C351B">
            <w:pPr>
              <w:tabs>
                <w:tab w:val="left" w:pos="900"/>
              </w:tabs>
              <w:spacing w:line="300" w:lineRule="atLeast"/>
              <w:jc w:val="left"/>
              <w:rPr>
                <w:rFonts w:eastAsiaTheme="minorEastAsia"/>
                <w:szCs w:val="21"/>
              </w:rPr>
            </w:pPr>
            <w:r w:rsidRPr="00F9522B">
              <w:rPr>
                <w:rFonts w:eastAsiaTheme="minorEastAsia"/>
                <w:szCs w:val="21"/>
              </w:rPr>
              <w:t>电：通过完善农田电网、配套相应的输配电设施，满足农田设施用电需求，降低农业生产成本，提高农业生产的效率和效益。</w:t>
            </w:r>
          </w:p>
        </w:tc>
        <w:tc>
          <w:tcPr>
            <w:tcW w:w="3686" w:type="dxa"/>
            <w:vAlign w:val="center"/>
          </w:tcPr>
          <w:p w:rsidR="008C351B" w:rsidRPr="00F9522B" w:rsidRDefault="008C351B" w:rsidP="00052183">
            <w:pPr>
              <w:tabs>
                <w:tab w:val="left" w:pos="900"/>
              </w:tabs>
              <w:spacing w:line="300" w:lineRule="atLeast"/>
              <w:jc w:val="left"/>
              <w:rPr>
                <w:rFonts w:eastAsiaTheme="minorEastAsia"/>
                <w:szCs w:val="21"/>
              </w:rPr>
            </w:pPr>
            <w:r w:rsidRPr="00F9522B">
              <w:rPr>
                <w:rFonts w:eastAsiaTheme="minorEastAsia"/>
                <w:szCs w:val="21"/>
              </w:rPr>
              <w:t>本项目新建</w:t>
            </w:r>
            <w:r w:rsidRPr="00F9522B">
              <w:rPr>
                <w:rFonts w:eastAsiaTheme="minorEastAsia"/>
                <w:szCs w:val="21"/>
              </w:rPr>
              <w:t>10kV</w:t>
            </w:r>
            <w:r w:rsidRPr="00F9522B">
              <w:rPr>
                <w:rFonts w:eastAsiaTheme="minorEastAsia"/>
                <w:szCs w:val="21"/>
              </w:rPr>
              <w:t>高压电缆线路</w:t>
            </w:r>
            <w:r w:rsidRPr="00F9522B">
              <w:rPr>
                <w:rFonts w:eastAsiaTheme="minorEastAsia"/>
                <w:szCs w:val="21"/>
              </w:rPr>
              <w:t>97.31km</w:t>
            </w:r>
            <w:r w:rsidRPr="00F9522B">
              <w:rPr>
                <w:rFonts w:eastAsiaTheme="minorEastAsia"/>
                <w:szCs w:val="21"/>
              </w:rPr>
              <w:t>，新建</w:t>
            </w:r>
            <w:r w:rsidRPr="00F9522B">
              <w:rPr>
                <w:rFonts w:eastAsiaTheme="minorEastAsia"/>
                <w:szCs w:val="21"/>
              </w:rPr>
              <w:t>0.4kV</w:t>
            </w:r>
            <w:r w:rsidRPr="00F9522B">
              <w:rPr>
                <w:rFonts w:eastAsiaTheme="minorEastAsia"/>
                <w:szCs w:val="21"/>
              </w:rPr>
              <w:t>低压地埋线路</w:t>
            </w:r>
            <w:r w:rsidRPr="00F9522B">
              <w:rPr>
                <w:rFonts w:eastAsiaTheme="minorEastAsia"/>
                <w:szCs w:val="21"/>
              </w:rPr>
              <w:t>29.676km</w:t>
            </w:r>
            <w:r w:rsidRPr="00F9522B">
              <w:rPr>
                <w:rFonts w:eastAsiaTheme="minorEastAsia"/>
                <w:szCs w:val="21"/>
              </w:rPr>
              <w:t>，配套变压器</w:t>
            </w:r>
            <w:r w:rsidRPr="00F9522B">
              <w:rPr>
                <w:rFonts w:eastAsiaTheme="minorEastAsia"/>
                <w:szCs w:val="21"/>
              </w:rPr>
              <w:t>256</w:t>
            </w:r>
            <w:r w:rsidRPr="00F9522B">
              <w:rPr>
                <w:rFonts w:eastAsiaTheme="minorEastAsia"/>
                <w:szCs w:val="21"/>
              </w:rPr>
              <w:t>台，可提高农业生产的效率和效益。</w:t>
            </w:r>
          </w:p>
        </w:tc>
        <w:tc>
          <w:tcPr>
            <w:tcW w:w="858" w:type="dxa"/>
            <w:vAlign w:val="center"/>
          </w:tcPr>
          <w:p w:rsidR="008C351B" w:rsidRPr="00F9522B" w:rsidRDefault="008C351B">
            <w:pPr>
              <w:jc w:val="center"/>
              <w:rPr>
                <w:rFonts w:eastAsiaTheme="minorEastAsia"/>
                <w:szCs w:val="21"/>
              </w:rPr>
            </w:pPr>
            <w:r w:rsidRPr="00F9522B">
              <w:rPr>
                <w:rFonts w:eastAsiaTheme="minorEastAsia"/>
                <w:szCs w:val="21"/>
              </w:rPr>
              <w:t>符合</w:t>
            </w:r>
          </w:p>
        </w:tc>
      </w:tr>
      <w:tr w:rsidR="008C351B" w:rsidRPr="00F9522B">
        <w:trPr>
          <w:jc w:val="center"/>
        </w:trPr>
        <w:tc>
          <w:tcPr>
            <w:tcW w:w="984" w:type="dxa"/>
            <w:vMerge/>
            <w:vAlign w:val="center"/>
          </w:tcPr>
          <w:p w:rsidR="008C351B" w:rsidRPr="00F9522B" w:rsidRDefault="008C351B">
            <w:pPr>
              <w:tabs>
                <w:tab w:val="left" w:pos="900"/>
              </w:tabs>
              <w:spacing w:line="300" w:lineRule="atLeast"/>
              <w:jc w:val="center"/>
              <w:rPr>
                <w:rFonts w:eastAsiaTheme="minorEastAsia"/>
                <w:szCs w:val="21"/>
              </w:rPr>
            </w:pPr>
          </w:p>
        </w:tc>
        <w:tc>
          <w:tcPr>
            <w:tcW w:w="3192" w:type="dxa"/>
            <w:vAlign w:val="center"/>
          </w:tcPr>
          <w:p w:rsidR="008C351B" w:rsidRPr="00F9522B" w:rsidRDefault="008C351B">
            <w:pPr>
              <w:tabs>
                <w:tab w:val="left" w:pos="900"/>
              </w:tabs>
              <w:spacing w:line="300" w:lineRule="atLeast"/>
              <w:jc w:val="left"/>
              <w:rPr>
                <w:rFonts w:eastAsiaTheme="minorEastAsia"/>
                <w:szCs w:val="21"/>
              </w:rPr>
            </w:pPr>
            <w:r w:rsidRPr="00F9522B">
              <w:rPr>
                <w:rFonts w:eastAsiaTheme="minorEastAsia"/>
                <w:szCs w:val="21"/>
              </w:rPr>
              <w:t>技：通过工程措施与农艺技术相结合，推广数字农业、良种良法、病虫害绿色防控、节水节肥减药等技术，提高农田可持续利用水平和综合生产能力。</w:t>
            </w:r>
          </w:p>
        </w:tc>
        <w:tc>
          <w:tcPr>
            <w:tcW w:w="3686" w:type="dxa"/>
            <w:vAlign w:val="center"/>
          </w:tcPr>
          <w:p w:rsidR="008C351B" w:rsidRPr="00F9522B" w:rsidRDefault="008C351B">
            <w:pPr>
              <w:tabs>
                <w:tab w:val="left" w:pos="900"/>
              </w:tabs>
              <w:spacing w:line="300" w:lineRule="atLeast"/>
              <w:jc w:val="left"/>
              <w:rPr>
                <w:rFonts w:eastAsiaTheme="minorEastAsia"/>
                <w:szCs w:val="21"/>
              </w:rPr>
            </w:pPr>
            <w:r w:rsidRPr="00F9522B">
              <w:rPr>
                <w:rFonts w:eastAsiaTheme="minorEastAsia"/>
                <w:szCs w:val="21"/>
              </w:rPr>
              <w:t>本项目水肥一体灌溉面积</w:t>
            </w:r>
            <w:r w:rsidRPr="00F9522B">
              <w:rPr>
                <w:rFonts w:eastAsiaTheme="minorEastAsia"/>
                <w:szCs w:val="21"/>
              </w:rPr>
              <w:t>1.63</w:t>
            </w:r>
            <w:r w:rsidRPr="00F9522B">
              <w:rPr>
                <w:rFonts w:eastAsiaTheme="minorEastAsia"/>
                <w:szCs w:val="21"/>
              </w:rPr>
              <w:t>万亩。</w:t>
            </w:r>
          </w:p>
        </w:tc>
        <w:tc>
          <w:tcPr>
            <w:tcW w:w="858" w:type="dxa"/>
            <w:vAlign w:val="center"/>
          </w:tcPr>
          <w:p w:rsidR="008C351B" w:rsidRPr="00F9522B" w:rsidRDefault="008C351B">
            <w:pPr>
              <w:jc w:val="center"/>
              <w:rPr>
                <w:rFonts w:eastAsiaTheme="minorEastAsia"/>
                <w:szCs w:val="21"/>
              </w:rPr>
            </w:pPr>
            <w:r w:rsidRPr="00F9522B">
              <w:rPr>
                <w:rFonts w:eastAsiaTheme="minorEastAsia"/>
                <w:szCs w:val="21"/>
              </w:rPr>
              <w:t>符合</w:t>
            </w:r>
          </w:p>
        </w:tc>
      </w:tr>
    </w:tbl>
    <w:p w:rsidR="008C351B" w:rsidRPr="00F9522B" w:rsidRDefault="008C351B" w:rsidP="008C351B">
      <w:pPr>
        <w:jc w:val="center"/>
        <w:rPr>
          <w:rFonts w:eastAsiaTheme="minorEastAsia"/>
          <w:b/>
          <w:szCs w:val="21"/>
        </w:rPr>
      </w:pPr>
    </w:p>
    <w:p w:rsidR="00600084" w:rsidRPr="00F9522B" w:rsidRDefault="00600084" w:rsidP="008C351B">
      <w:pPr>
        <w:jc w:val="center"/>
        <w:rPr>
          <w:rFonts w:eastAsiaTheme="minorEastAsia"/>
          <w:b/>
          <w:szCs w:val="21"/>
        </w:rPr>
      </w:pPr>
    </w:p>
    <w:p w:rsidR="00600084" w:rsidRPr="00F9522B" w:rsidRDefault="00600084" w:rsidP="008C351B">
      <w:pPr>
        <w:jc w:val="center"/>
        <w:rPr>
          <w:rFonts w:eastAsiaTheme="minorEastAsia"/>
          <w:b/>
          <w:szCs w:val="21"/>
        </w:rPr>
      </w:pPr>
    </w:p>
    <w:p w:rsidR="00600084" w:rsidRPr="00F9522B" w:rsidRDefault="00600084" w:rsidP="008C351B">
      <w:pPr>
        <w:jc w:val="center"/>
        <w:rPr>
          <w:rFonts w:eastAsiaTheme="minorEastAsia"/>
          <w:b/>
          <w:szCs w:val="21"/>
        </w:rPr>
      </w:pPr>
    </w:p>
    <w:p w:rsidR="008C351B" w:rsidRPr="00F9522B" w:rsidRDefault="008C351B" w:rsidP="008C351B">
      <w:pPr>
        <w:jc w:val="center"/>
        <w:rPr>
          <w:rFonts w:eastAsiaTheme="minorEastAsia"/>
        </w:rPr>
      </w:pPr>
      <w:r w:rsidRPr="00F9522B">
        <w:rPr>
          <w:rFonts w:eastAsiaTheme="minorEastAsia"/>
          <w:b/>
          <w:szCs w:val="21"/>
        </w:rPr>
        <w:lastRenderedPageBreak/>
        <w:t>续表</w:t>
      </w:r>
      <w:r w:rsidRPr="00F9522B">
        <w:rPr>
          <w:rFonts w:eastAsiaTheme="minorEastAsia"/>
          <w:b/>
          <w:szCs w:val="21"/>
        </w:rPr>
        <w:t>1-4-</w:t>
      </w:r>
      <w:r w:rsidR="00C27FC4" w:rsidRPr="00F9522B">
        <w:rPr>
          <w:rFonts w:eastAsiaTheme="minorEastAsia"/>
          <w:b/>
          <w:szCs w:val="21"/>
        </w:rPr>
        <w:t>6</w:t>
      </w:r>
      <w:r w:rsidRPr="00F9522B">
        <w:rPr>
          <w:rFonts w:eastAsiaTheme="minorEastAsia"/>
          <w:b/>
          <w:szCs w:val="21"/>
        </w:rPr>
        <w:t>《全国高标准农田建设规划》（</w:t>
      </w:r>
      <w:r w:rsidRPr="00F9522B">
        <w:rPr>
          <w:rFonts w:eastAsiaTheme="minorEastAsia"/>
          <w:b/>
          <w:szCs w:val="21"/>
        </w:rPr>
        <w:t>2021-2030</w:t>
      </w:r>
      <w:r w:rsidRPr="00F9522B">
        <w:rPr>
          <w:rFonts w:eastAsiaTheme="minorEastAsia"/>
          <w:b/>
          <w:szCs w:val="21"/>
        </w:rPr>
        <w:t>年）符合性分析</w:t>
      </w:r>
    </w:p>
    <w:tbl>
      <w:tblPr>
        <w:tblW w:w="8720" w:type="dxa"/>
        <w:jc w:val="center"/>
        <w:tblBorders>
          <w:top w:val="single" w:sz="12" w:space="0" w:color="auto"/>
          <w:bottom w:val="single" w:sz="12" w:space="0" w:color="auto"/>
          <w:insideH w:val="single" w:sz="4" w:space="0" w:color="000000"/>
          <w:insideV w:val="single" w:sz="4" w:space="0" w:color="000000"/>
        </w:tblBorders>
        <w:tblLayout w:type="fixed"/>
        <w:tblLook w:val="04A0"/>
      </w:tblPr>
      <w:tblGrid>
        <w:gridCol w:w="984"/>
        <w:gridCol w:w="3192"/>
        <w:gridCol w:w="3648"/>
        <w:gridCol w:w="896"/>
      </w:tblGrid>
      <w:tr w:rsidR="002A5A5E" w:rsidRPr="00F9522B">
        <w:trPr>
          <w:jc w:val="center"/>
        </w:trPr>
        <w:tc>
          <w:tcPr>
            <w:tcW w:w="984" w:type="dxa"/>
            <w:vAlign w:val="center"/>
          </w:tcPr>
          <w:p w:rsidR="002A5A5E" w:rsidRPr="00F9522B" w:rsidRDefault="008C351B">
            <w:pPr>
              <w:tabs>
                <w:tab w:val="left" w:pos="900"/>
              </w:tabs>
              <w:spacing w:line="300" w:lineRule="atLeast"/>
              <w:jc w:val="center"/>
              <w:rPr>
                <w:rFonts w:eastAsiaTheme="minorEastAsia"/>
                <w:szCs w:val="21"/>
              </w:rPr>
            </w:pPr>
            <w:r w:rsidRPr="00F9522B">
              <w:rPr>
                <w:rFonts w:eastAsiaTheme="minorEastAsia"/>
                <w:szCs w:val="21"/>
              </w:rPr>
              <w:t>《全国高标准农田建设规划》</w:t>
            </w:r>
          </w:p>
        </w:tc>
        <w:tc>
          <w:tcPr>
            <w:tcW w:w="3192" w:type="dxa"/>
            <w:vAlign w:val="center"/>
          </w:tcPr>
          <w:p w:rsidR="002A5A5E" w:rsidRPr="00F9522B" w:rsidRDefault="00611CBA">
            <w:pPr>
              <w:tabs>
                <w:tab w:val="left" w:pos="900"/>
              </w:tabs>
              <w:spacing w:line="300" w:lineRule="atLeast"/>
              <w:jc w:val="left"/>
              <w:rPr>
                <w:rFonts w:eastAsiaTheme="minorEastAsia"/>
                <w:szCs w:val="21"/>
              </w:rPr>
            </w:pPr>
            <w:r w:rsidRPr="00F9522B">
              <w:rPr>
                <w:rFonts w:eastAsiaTheme="minorEastAsia"/>
                <w:szCs w:val="21"/>
              </w:rPr>
              <w:t>管：落实建后管护主体和责任、管护资金，完善管护机制，确保建成的工程设施在设计使用年限内正常运行、高标准农田用途不改变、质量有提高。</w:t>
            </w:r>
          </w:p>
        </w:tc>
        <w:tc>
          <w:tcPr>
            <w:tcW w:w="3648" w:type="dxa"/>
            <w:vAlign w:val="center"/>
          </w:tcPr>
          <w:p w:rsidR="002A5A5E" w:rsidRPr="00F9522B" w:rsidRDefault="00611CBA">
            <w:pPr>
              <w:tabs>
                <w:tab w:val="left" w:pos="900"/>
              </w:tabs>
              <w:spacing w:line="300" w:lineRule="atLeast"/>
              <w:jc w:val="left"/>
              <w:rPr>
                <w:rFonts w:eastAsiaTheme="minorEastAsia"/>
                <w:szCs w:val="21"/>
              </w:rPr>
            </w:pPr>
            <w:r w:rsidRPr="00F9522B">
              <w:rPr>
                <w:rFonts w:eastAsiaTheme="minorEastAsia"/>
                <w:szCs w:val="21"/>
              </w:rPr>
              <w:t>本次建设完成后，由各行政村村委会进行管护，确保建成的工程设施在设计使用年限内正常运行、保证黑土地用途不改变、质量有提高。</w:t>
            </w:r>
          </w:p>
        </w:tc>
        <w:tc>
          <w:tcPr>
            <w:tcW w:w="896" w:type="dxa"/>
            <w:vAlign w:val="center"/>
          </w:tcPr>
          <w:p w:rsidR="002A5A5E" w:rsidRPr="00F9522B" w:rsidRDefault="00611CBA">
            <w:pPr>
              <w:jc w:val="center"/>
              <w:rPr>
                <w:rFonts w:eastAsiaTheme="minorEastAsia"/>
                <w:szCs w:val="21"/>
              </w:rPr>
            </w:pPr>
            <w:r w:rsidRPr="00F9522B">
              <w:rPr>
                <w:rFonts w:eastAsiaTheme="minorEastAsia"/>
                <w:szCs w:val="21"/>
              </w:rPr>
              <w:t>符合</w:t>
            </w:r>
          </w:p>
        </w:tc>
      </w:tr>
    </w:tbl>
    <w:p w:rsidR="002A5A5E" w:rsidRPr="00F9522B" w:rsidRDefault="00611CBA">
      <w:pPr>
        <w:adjustRightInd w:val="0"/>
        <w:snapToGrid w:val="0"/>
        <w:spacing w:line="360" w:lineRule="auto"/>
        <w:ind w:firstLineChars="200" w:firstLine="480"/>
        <w:rPr>
          <w:rFonts w:eastAsiaTheme="minorEastAsia"/>
          <w:kern w:val="0"/>
          <w:szCs w:val="21"/>
        </w:rPr>
      </w:pPr>
      <w:r w:rsidRPr="00F9522B">
        <w:rPr>
          <w:rFonts w:eastAsiaTheme="minorEastAsia"/>
          <w:sz w:val="24"/>
          <w:szCs w:val="22"/>
        </w:rPr>
        <w:t>综上所述，本项目</w:t>
      </w:r>
      <w:r w:rsidRPr="00F9522B">
        <w:rPr>
          <w:rFonts w:eastAsiaTheme="minorEastAsia"/>
          <w:sz w:val="24"/>
        </w:rPr>
        <w:t>主要建设内</w:t>
      </w:r>
      <w:r w:rsidR="0097424D" w:rsidRPr="00F9522B">
        <w:rPr>
          <w:rFonts w:eastAsiaTheme="minorEastAsia"/>
          <w:sz w:val="24"/>
        </w:rPr>
        <w:t>容为田块整治工程、灌溉与排水工程、田间道路工程、农田输配电工程</w:t>
      </w:r>
      <w:r w:rsidRPr="00F9522B">
        <w:rPr>
          <w:rFonts w:eastAsiaTheme="minorEastAsia"/>
          <w:sz w:val="24"/>
        </w:rPr>
        <w:t>，满足土、电、路及水等要求，符合《全国高标准农田建设规划（</w:t>
      </w:r>
      <w:r w:rsidRPr="00F9522B">
        <w:rPr>
          <w:rFonts w:eastAsiaTheme="minorEastAsia"/>
          <w:sz w:val="24"/>
        </w:rPr>
        <w:t>2021-2030</w:t>
      </w:r>
      <w:r w:rsidRPr="00F9522B">
        <w:rPr>
          <w:rFonts w:eastAsiaTheme="minorEastAsia"/>
          <w:sz w:val="24"/>
        </w:rPr>
        <w:t>）》要求。</w:t>
      </w:r>
    </w:p>
    <w:p w:rsidR="002A5A5E" w:rsidRPr="00F9522B" w:rsidRDefault="00611CBA">
      <w:pPr>
        <w:spacing w:line="360" w:lineRule="auto"/>
        <w:ind w:firstLine="482"/>
        <w:rPr>
          <w:rFonts w:eastAsiaTheme="minorEastAsia"/>
          <w:kern w:val="0"/>
          <w:sz w:val="24"/>
        </w:rPr>
      </w:pPr>
      <w:r w:rsidRPr="00F9522B">
        <w:rPr>
          <w:rFonts w:eastAsiaTheme="minorEastAsia"/>
          <w:sz w:val="24"/>
        </w:rPr>
        <w:t>（</w:t>
      </w:r>
      <w:r w:rsidRPr="00F9522B">
        <w:rPr>
          <w:rFonts w:eastAsiaTheme="minorEastAsia"/>
          <w:sz w:val="24"/>
        </w:rPr>
        <w:t>2</w:t>
      </w:r>
      <w:r w:rsidRPr="00F9522B">
        <w:rPr>
          <w:rFonts w:eastAsiaTheme="minorEastAsia"/>
          <w:sz w:val="24"/>
        </w:rPr>
        <w:t>）</w:t>
      </w:r>
      <w:r w:rsidRPr="00F9522B">
        <w:rPr>
          <w:rFonts w:eastAsiaTheme="minorEastAsia"/>
          <w:kern w:val="0"/>
          <w:sz w:val="24"/>
        </w:rPr>
        <w:t>与《黑龙江省水土保持规划（</w:t>
      </w:r>
      <w:r w:rsidRPr="00F9522B">
        <w:rPr>
          <w:rFonts w:eastAsiaTheme="minorEastAsia"/>
          <w:kern w:val="0"/>
          <w:sz w:val="24"/>
        </w:rPr>
        <w:t>2015-2030</w:t>
      </w:r>
      <w:r w:rsidRPr="00F9522B">
        <w:rPr>
          <w:rFonts w:eastAsiaTheme="minorEastAsia"/>
          <w:kern w:val="0"/>
          <w:sz w:val="24"/>
        </w:rPr>
        <w:t>年）》符合性分析</w:t>
      </w:r>
    </w:p>
    <w:p w:rsidR="002A5A5E" w:rsidRPr="00F9522B" w:rsidRDefault="00611CBA">
      <w:pPr>
        <w:spacing w:line="360" w:lineRule="auto"/>
        <w:ind w:firstLine="482"/>
        <w:rPr>
          <w:rFonts w:eastAsiaTheme="minorEastAsia"/>
          <w:bCs/>
          <w:kern w:val="0"/>
          <w:sz w:val="24"/>
        </w:rPr>
      </w:pPr>
      <w:r w:rsidRPr="00F9522B">
        <w:rPr>
          <w:rFonts w:eastAsiaTheme="minorEastAsia"/>
          <w:bCs/>
          <w:kern w:val="0"/>
          <w:sz w:val="24"/>
        </w:rPr>
        <w:t>根据黑龙江省水利厅编制的《黑龙江省水土保持规划（</w:t>
      </w:r>
      <w:r w:rsidRPr="00F9522B">
        <w:rPr>
          <w:rFonts w:eastAsiaTheme="minorEastAsia"/>
          <w:bCs/>
          <w:kern w:val="0"/>
          <w:sz w:val="24"/>
        </w:rPr>
        <w:t>2015-2030</w:t>
      </w:r>
      <w:r w:rsidRPr="00F9522B">
        <w:rPr>
          <w:rFonts w:eastAsiaTheme="minorEastAsia"/>
          <w:bCs/>
          <w:kern w:val="0"/>
          <w:sz w:val="24"/>
        </w:rPr>
        <w:t>年）》，哈尔滨市属于</w:t>
      </w:r>
      <w:r w:rsidRPr="00F9522B">
        <w:rPr>
          <w:rFonts w:eastAsiaTheme="minorEastAsia"/>
          <w:bCs/>
          <w:kern w:val="0"/>
          <w:sz w:val="24"/>
        </w:rPr>
        <w:t xml:space="preserve"> I-3-1t</w:t>
      </w:r>
      <w:r w:rsidRPr="00F9522B">
        <w:rPr>
          <w:rFonts w:eastAsiaTheme="minorEastAsia"/>
          <w:bCs/>
          <w:kern w:val="0"/>
          <w:sz w:val="24"/>
        </w:rPr>
        <w:t>中部漫川漫岗土壤保持区，属于省级水土流失重点治理区。</w:t>
      </w:r>
    </w:p>
    <w:p w:rsidR="002A5A5E" w:rsidRPr="00F9522B" w:rsidRDefault="00611CBA">
      <w:pPr>
        <w:spacing w:line="360" w:lineRule="auto"/>
        <w:ind w:firstLine="482"/>
        <w:rPr>
          <w:rFonts w:eastAsiaTheme="minorEastAsia"/>
          <w:bCs/>
          <w:kern w:val="0"/>
          <w:sz w:val="24"/>
        </w:rPr>
      </w:pPr>
      <w:r w:rsidRPr="00F9522B">
        <w:rPr>
          <w:rFonts w:eastAsiaTheme="minorEastAsia"/>
          <w:bCs/>
          <w:kern w:val="0"/>
          <w:sz w:val="24"/>
        </w:rPr>
        <w:t>重点治理区应实施以小流域为单元、以坡耕地改造和侵蚀沟治理为重点的综</w:t>
      </w:r>
      <w:r w:rsidRPr="00F9522B">
        <w:rPr>
          <w:rFonts w:eastAsiaTheme="minorEastAsia"/>
          <w:bCs/>
          <w:kern w:val="0"/>
          <w:sz w:val="24"/>
        </w:rPr>
        <w:t xml:space="preserve"> </w:t>
      </w:r>
      <w:r w:rsidRPr="00F9522B">
        <w:rPr>
          <w:rFonts w:eastAsiaTheme="minorEastAsia"/>
          <w:bCs/>
          <w:kern w:val="0"/>
          <w:sz w:val="24"/>
        </w:rPr>
        <w:t>合治理工程。以治理水土流失、蓄水固土、减少泥沙下泄为目标，采取水土保持</w:t>
      </w:r>
      <w:r w:rsidRPr="00F9522B">
        <w:rPr>
          <w:rFonts w:eastAsiaTheme="minorEastAsia"/>
          <w:bCs/>
          <w:kern w:val="0"/>
          <w:sz w:val="24"/>
        </w:rPr>
        <w:t xml:space="preserve"> </w:t>
      </w:r>
      <w:r w:rsidRPr="00F9522B">
        <w:rPr>
          <w:rFonts w:eastAsiaTheme="minorEastAsia"/>
          <w:bCs/>
          <w:kern w:val="0"/>
          <w:sz w:val="24"/>
        </w:rPr>
        <w:t>工程措施、植物措施和农业耕作措施，开展</w:t>
      </w:r>
      <w:r w:rsidRPr="00F9522B">
        <w:rPr>
          <w:rFonts w:eastAsiaTheme="minorEastAsia"/>
          <w:bCs/>
          <w:kern w:val="0"/>
          <w:sz w:val="24"/>
        </w:rPr>
        <w:t>“</w:t>
      </w:r>
      <w:r w:rsidRPr="00F9522B">
        <w:rPr>
          <w:rFonts w:eastAsiaTheme="minorEastAsia"/>
          <w:bCs/>
          <w:kern w:val="0"/>
          <w:sz w:val="24"/>
        </w:rPr>
        <w:t>山水林田湖</w:t>
      </w:r>
      <w:r w:rsidRPr="00F9522B">
        <w:rPr>
          <w:rFonts w:eastAsiaTheme="minorEastAsia"/>
          <w:bCs/>
          <w:kern w:val="0"/>
          <w:sz w:val="24"/>
        </w:rPr>
        <w:t>”</w:t>
      </w:r>
      <w:r w:rsidRPr="00F9522B">
        <w:rPr>
          <w:rFonts w:eastAsiaTheme="minorEastAsia"/>
          <w:bCs/>
          <w:kern w:val="0"/>
          <w:sz w:val="24"/>
        </w:rPr>
        <w:t>统一规划和全面治理，建立水土流失综合防治体系。大力营造农田防护林、防风固沙林和水土保持林，开展生态修复、退耕还林、退耕还草，增加植被面积。实施坡耕地治理工程、侵蚀沟治理工程、配套保护性耕作和坡面蓄排体系建设，提高和维持土地生产力。同时，严格生产建设项目监督管理，防治人为水土流失。通过全面规划和规模治理，改善区域生产条件和生态环境，增强抗御自然灾害的能力。</w:t>
      </w:r>
    </w:p>
    <w:p w:rsidR="002A5A5E" w:rsidRPr="00F9522B" w:rsidRDefault="00611CBA">
      <w:pPr>
        <w:pStyle w:val="ab"/>
        <w:spacing w:after="0" w:line="360" w:lineRule="auto"/>
        <w:ind w:firstLineChars="200" w:firstLine="480"/>
        <w:rPr>
          <w:rFonts w:eastAsiaTheme="minorEastAsia"/>
          <w:sz w:val="24"/>
        </w:rPr>
      </w:pPr>
      <w:r w:rsidRPr="00F9522B">
        <w:rPr>
          <w:rFonts w:eastAsiaTheme="minorEastAsia"/>
          <w:sz w:val="24"/>
        </w:rPr>
        <w:t>本项目施工期间加强监管、减少水土流失，施工过程中采取</w:t>
      </w:r>
      <w:r w:rsidRPr="00F9522B">
        <w:rPr>
          <w:rFonts w:eastAsiaTheme="minorEastAsia"/>
          <w:sz w:val="24"/>
        </w:rPr>
        <w:t>“</w:t>
      </w:r>
      <w:r w:rsidRPr="00F9522B">
        <w:rPr>
          <w:rFonts w:eastAsiaTheme="minorEastAsia"/>
          <w:sz w:val="24"/>
        </w:rPr>
        <w:t>边施工、边修复</w:t>
      </w:r>
      <w:r w:rsidRPr="00F9522B">
        <w:rPr>
          <w:rFonts w:eastAsiaTheme="minorEastAsia"/>
          <w:sz w:val="24"/>
        </w:rPr>
        <w:t>”</w:t>
      </w:r>
      <w:r w:rsidRPr="00F9522B">
        <w:rPr>
          <w:rFonts w:eastAsiaTheme="minorEastAsia"/>
          <w:sz w:val="24"/>
        </w:rPr>
        <w:t>措施。</w:t>
      </w:r>
      <w:r w:rsidR="00E17AA8" w:rsidRPr="00F9522B">
        <w:rPr>
          <w:rFonts w:eastAsiaTheme="minorEastAsia"/>
          <w:snapToGrid w:val="0"/>
          <w:kern w:val="0"/>
          <w:sz w:val="24"/>
        </w:rPr>
        <w:t>输配电工程表土及土方临时堆存在施工沿线，分区存放，设置临时拦挡并采用密目网苫盖，施工结束后分层回填，</w:t>
      </w:r>
      <w:r w:rsidR="00617138">
        <w:rPr>
          <w:rFonts w:eastAsiaTheme="minorEastAsia"/>
          <w:snapToGrid w:val="0"/>
          <w:kern w:val="0"/>
          <w:sz w:val="24"/>
        </w:rPr>
        <w:t>施工场地恢复现状草地，播撒草籽面积</w:t>
      </w:r>
      <w:r w:rsidR="00617138">
        <w:rPr>
          <w:rFonts w:eastAsiaTheme="minorEastAsia"/>
          <w:snapToGrid w:val="0"/>
          <w:kern w:val="0"/>
          <w:sz w:val="24"/>
        </w:rPr>
        <w:t>224662</w:t>
      </w:r>
      <w:r w:rsidR="00E17AA8" w:rsidRPr="00F9522B">
        <w:rPr>
          <w:rFonts w:eastAsiaTheme="minorEastAsia"/>
          <w:snapToGrid w:val="0"/>
          <w:kern w:val="0"/>
          <w:sz w:val="24"/>
        </w:rPr>
        <w:t>m</w:t>
      </w:r>
      <w:r w:rsidR="00E17AA8" w:rsidRPr="00F9522B">
        <w:rPr>
          <w:rFonts w:eastAsiaTheme="minorEastAsia"/>
          <w:snapToGrid w:val="0"/>
          <w:kern w:val="0"/>
          <w:sz w:val="24"/>
          <w:vertAlign w:val="superscript"/>
        </w:rPr>
        <w:t>2</w:t>
      </w:r>
      <w:r w:rsidR="00E17AA8" w:rsidRPr="00F9522B">
        <w:rPr>
          <w:rFonts w:eastAsiaTheme="minorEastAsia"/>
          <w:snapToGrid w:val="0"/>
          <w:kern w:val="0"/>
          <w:sz w:val="24"/>
        </w:rPr>
        <w:t>，草籽选用紫花苜蓿等，种草密度</w:t>
      </w:r>
      <w:r w:rsidR="00E17AA8" w:rsidRPr="00F9522B">
        <w:rPr>
          <w:rFonts w:eastAsiaTheme="minorEastAsia"/>
          <w:snapToGrid w:val="0"/>
          <w:kern w:val="0"/>
          <w:sz w:val="24"/>
        </w:rPr>
        <w:t>80kg/</w:t>
      </w:r>
      <w:r w:rsidR="00E17AA8" w:rsidRPr="00F9522B">
        <w:rPr>
          <w:rFonts w:eastAsiaTheme="minorEastAsia"/>
          <w:snapToGrid w:val="0"/>
          <w:kern w:val="0"/>
          <w:sz w:val="24"/>
        </w:rPr>
        <w:t>公顷，恢复旱地</w:t>
      </w:r>
      <w:r w:rsidR="00E17AA8" w:rsidRPr="00F9522B">
        <w:rPr>
          <w:rFonts w:eastAsiaTheme="minorEastAsia"/>
          <w:snapToGrid w:val="0"/>
          <w:kern w:val="0"/>
          <w:sz w:val="24"/>
        </w:rPr>
        <w:t>32558m</w:t>
      </w:r>
      <w:r w:rsidR="00E17AA8" w:rsidRPr="00F9522B">
        <w:rPr>
          <w:rFonts w:eastAsiaTheme="minorEastAsia"/>
          <w:snapToGrid w:val="0"/>
          <w:kern w:val="0"/>
          <w:sz w:val="24"/>
          <w:vertAlign w:val="superscript"/>
        </w:rPr>
        <w:t>2</w:t>
      </w:r>
      <w:r w:rsidR="00E17AA8" w:rsidRPr="00F9522B">
        <w:rPr>
          <w:rFonts w:eastAsiaTheme="minorEastAsia"/>
          <w:snapToGrid w:val="0"/>
          <w:kern w:val="0"/>
          <w:sz w:val="24"/>
        </w:rPr>
        <w:t>；灌溉井工程剥离表土、开挖土方暂存于施工场地内，分区存放，设置临时拦挡并采用密目网苫盖，施工结束后施工场地、临时道路恢复为旱地，恢复面积</w:t>
      </w:r>
      <w:r w:rsidR="00E17AA8" w:rsidRPr="00F9522B">
        <w:rPr>
          <w:rFonts w:eastAsiaTheme="minorEastAsia"/>
          <w:snapToGrid w:val="0"/>
          <w:kern w:val="0"/>
          <w:sz w:val="24"/>
        </w:rPr>
        <w:t>7920m</w:t>
      </w:r>
      <w:r w:rsidR="00E17AA8" w:rsidRPr="00F9522B">
        <w:rPr>
          <w:rFonts w:eastAsiaTheme="minorEastAsia"/>
          <w:snapToGrid w:val="0"/>
          <w:kern w:val="0"/>
          <w:sz w:val="24"/>
          <w:vertAlign w:val="superscript"/>
        </w:rPr>
        <w:t>2</w:t>
      </w:r>
      <w:r w:rsidR="00E17AA8" w:rsidRPr="00F9522B">
        <w:rPr>
          <w:rFonts w:eastAsiaTheme="minorEastAsia"/>
          <w:snapToGrid w:val="0"/>
          <w:kern w:val="0"/>
          <w:sz w:val="24"/>
        </w:rPr>
        <w:t>；涵洞等建筑物工程剥离表土、开挖土方暂存于施工场地内，分区存放，设置临时拦挡并采用密目网苫盖，施工结束后施工场地恢复为草地，播撒草籽面积</w:t>
      </w:r>
      <w:r w:rsidR="00E17AA8" w:rsidRPr="00F9522B">
        <w:rPr>
          <w:rFonts w:eastAsiaTheme="minorEastAsia"/>
          <w:sz w:val="24"/>
        </w:rPr>
        <w:t>18500</w:t>
      </w:r>
      <w:r w:rsidR="00E17AA8" w:rsidRPr="00F9522B">
        <w:rPr>
          <w:rFonts w:eastAsiaTheme="minorEastAsia"/>
          <w:snapToGrid w:val="0"/>
          <w:kern w:val="0"/>
          <w:sz w:val="24"/>
        </w:rPr>
        <w:t>m</w:t>
      </w:r>
      <w:r w:rsidR="00E17AA8" w:rsidRPr="00F9522B">
        <w:rPr>
          <w:rFonts w:eastAsiaTheme="minorEastAsia"/>
          <w:snapToGrid w:val="0"/>
          <w:kern w:val="0"/>
          <w:sz w:val="24"/>
          <w:vertAlign w:val="superscript"/>
        </w:rPr>
        <w:t>2</w:t>
      </w:r>
      <w:r w:rsidR="00E17AA8" w:rsidRPr="00F9522B">
        <w:rPr>
          <w:rFonts w:eastAsiaTheme="minorEastAsia"/>
          <w:snapToGrid w:val="0"/>
          <w:kern w:val="0"/>
          <w:sz w:val="24"/>
        </w:rPr>
        <w:t>，草籽选用紫花苜蓿等，种草密度</w:t>
      </w:r>
      <w:r w:rsidR="00E17AA8" w:rsidRPr="00F9522B">
        <w:rPr>
          <w:rFonts w:eastAsiaTheme="minorEastAsia"/>
          <w:snapToGrid w:val="0"/>
          <w:kern w:val="0"/>
          <w:sz w:val="24"/>
        </w:rPr>
        <w:t>80kg/</w:t>
      </w:r>
      <w:r w:rsidR="00E17AA8" w:rsidRPr="00F9522B">
        <w:rPr>
          <w:rFonts w:eastAsiaTheme="minorEastAsia"/>
          <w:snapToGrid w:val="0"/>
          <w:kern w:val="0"/>
          <w:sz w:val="24"/>
        </w:rPr>
        <w:t>公顷，恢复旱地</w:t>
      </w:r>
      <w:r w:rsidR="00E17AA8" w:rsidRPr="00F9522B">
        <w:rPr>
          <w:rFonts w:eastAsiaTheme="minorEastAsia"/>
          <w:snapToGrid w:val="0"/>
          <w:kern w:val="0"/>
          <w:sz w:val="24"/>
        </w:rPr>
        <w:t>10500m</w:t>
      </w:r>
      <w:r w:rsidR="00E17AA8" w:rsidRPr="00F9522B">
        <w:rPr>
          <w:rFonts w:eastAsiaTheme="minorEastAsia"/>
          <w:snapToGrid w:val="0"/>
          <w:kern w:val="0"/>
          <w:sz w:val="24"/>
          <w:vertAlign w:val="superscript"/>
        </w:rPr>
        <w:t>2</w:t>
      </w:r>
      <w:r w:rsidR="00E17AA8" w:rsidRPr="00F9522B">
        <w:rPr>
          <w:rFonts w:eastAsiaTheme="minorEastAsia"/>
          <w:snapToGrid w:val="0"/>
          <w:kern w:val="0"/>
          <w:sz w:val="24"/>
        </w:rPr>
        <w:t>。</w:t>
      </w:r>
    </w:p>
    <w:p w:rsidR="002A5A5E" w:rsidRPr="00F9522B" w:rsidRDefault="00611CBA">
      <w:pPr>
        <w:pStyle w:val="aff4"/>
        <w:adjustRightInd/>
        <w:snapToGrid/>
        <w:rPr>
          <w:rFonts w:ascii="Times New Roman" w:hAnsi="Times New Roman" w:cs="Times New Roman"/>
        </w:rPr>
      </w:pPr>
      <w:r w:rsidRPr="00F9522B">
        <w:rPr>
          <w:rFonts w:ascii="Times New Roman" w:hAnsi="Times New Roman" w:cs="Times New Roman"/>
        </w:rPr>
        <w:lastRenderedPageBreak/>
        <w:t>项目施工过程中产生的表土及挖方采取</w:t>
      </w:r>
      <w:r w:rsidRPr="00F9522B">
        <w:rPr>
          <w:rFonts w:ascii="Times New Roman" w:hAnsi="Times New Roman" w:cs="Times New Roman"/>
          <w:bCs/>
          <w:snapToGrid w:val="0"/>
          <w:lang w:bidi="en-US"/>
        </w:rPr>
        <w:t>设置临时拦挡并采用密目网苫盖</w:t>
      </w:r>
      <w:r w:rsidRPr="00F9522B">
        <w:rPr>
          <w:rFonts w:ascii="Times New Roman" w:hAnsi="Times New Roman" w:cs="Times New Roman"/>
        </w:rPr>
        <w:t>，避免在暴雨中被冲刷流失。</w:t>
      </w:r>
      <w:r w:rsidRPr="00F9522B">
        <w:rPr>
          <w:rFonts w:ascii="Times New Roman" w:hAnsi="Times New Roman" w:cs="Times New Roman"/>
          <w:snapToGrid w:val="0"/>
        </w:rPr>
        <w:t>本项目施工过程中应严格将活动范围控制在本项目用地范围内，不占用其它土地。合理安排施工期，避免雨天施工。</w:t>
      </w:r>
    </w:p>
    <w:p w:rsidR="002A5A5E" w:rsidRPr="00F9522B" w:rsidRDefault="00611CBA">
      <w:pPr>
        <w:pStyle w:val="ab"/>
        <w:spacing w:after="0" w:line="360" w:lineRule="auto"/>
        <w:ind w:firstLineChars="200" w:firstLine="480"/>
        <w:rPr>
          <w:rFonts w:eastAsiaTheme="minorEastAsia"/>
          <w:bCs/>
          <w:kern w:val="0"/>
          <w:sz w:val="24"/>
        </w:rPr>
      </w:pPr>
      <w:r w:rsidRPr="00F9522B">
        <w:rPr>
          <w:rFonts w:eastAsiaTheme="minorEastAsia"/>
          <w:sz w:val="24"/>
        </w:rPr>
        <w:t>建设单位为生态恢复工程实施责任主体</w:t>
      </w:r>
      <w:r w:rsidRPr="00F9522B">
        <w:rPr>
          <w:rFonts w:eastAsiaTheme="minorEastAsia"/>
          <w:bCs/>
          <w:sz w:val="24"/>
          <w:lang w:bidi="en-US"/>
        </w:rPr>
        <w:t>；</w:t>
      </w:r>
      <w:r w:rsidRPr="00F9522B">
        <w:rPr>
          <w:rFonts w:eastAsiaTheme="minorEastAsia"/>
          <w:bCs/>
          <w:sz w:val="24"/>
        </w:rPr>
        <w:t>严格控制施工范围，对施工人员进行生态保护教育；表土堆场设置临时拦挡，采用密目网苫盖减少水土流失，</w:t>
      </w:r>
      <w:r w:rsidRPr="00F9522B">
        <w:rPr>
          <w:rFonts w:eastAsiaTheme="minorEastAsia"/>
          <w:bCs/>
          <w:kern w:val="0"/>
          <w:sz w:val="24"/>
        </w:rPr>
        <w:t>可有效预防及控制水土流失，本项目的建设符合《黑龙江省水土保持规划（</w:t>
      </w:r>
      <w:r w:rsidRPr="00F9522B">
        <w:rPr>
          <w:rFonts w:eastAsiaTheme="minorEastAsia"/>
          <w:bCs/>
          <w:kern w:val="0"/>
          <w:sz w:val="24"/>
        </w:rPr>
        <w:t>2015-2030</w:t>
      </w:r>
      <w:r w:rsidRPr="00F9522B">
        <w:rPr>
          <w:rFonts w:eastAsiaTheme="minorEastAsia"/>
          <w:bCs/>
          <w:kern w:val="0"/>
          <w:sz w:val="24"/>
        </w:rPr>
        <w:t>年）》要求。</w:t>
      </w:r>
    </w:p>
    <w:p w:rsidR="002A5A5E" w:rsidRPr="00F9522B" w:rsidRDefault="00904BE7">
      <w:pPr>
        <w:spacing w:line="360" w:lineRule="auto"/>
        <w:jc w:val="center"/>
        <w:rPr>
          <w:rFonts w:eastAsiaTheme="minorEastAsia"/>
          <w:kern w:val="0"/>
          <w:sz w:val="24"/>
        </w:rPr>
      </w:pPr>
      <w:r w:rsidRPr="00F9522B">
        <w:rPr>
          <w:rFonts w:eastAsiaTheme="minorEastAsia"/>
          <w:bCs/>
          <w:noProof/>
          <w:kern w:val="0"/>
          <w:sz w:val="24"/>
        </w:rPr>
        <w:drawing>
          <wp:anchor distT="0" distB="0" distL="114300" distR="114300" simplePos="0" relativeHeight="251662336" behindDoc="0" locked="0" layoutInCell="1" allowOverlap="1">
            <wp:simplePos x="0" y="0"/>
            <wp:positionH relativeFrom="column">
              <wp:posOffset>4465967</wp:posOffset>
            </wp:positionH>
            <wp:positionV relativeFrom="paragraph">
              <wp:posOffset>41839</wp:posOffset>
            </wp:positionV>
            <wp:extent cx="438150" cy="474452"/>
            <wp:effectExtent l="19050" t="0" r="0" b="0"/>
            <wp:wrapNone/>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pic:cNvPicPr>
                      <a:picLocks noChangeAspect="1" noChangeArrowheads="1"/>
                    </pic:cNvPicPr>
                  </pic:nvPicPr>
                  <pic:blipFill>
                    <a:blip r:embed="rId16"/>
                    <a:srcRect/>
                    <a:stretch>
                      <a:fillRect/>
                    </a:stretch>
                  </pic:blipFill>
                  <pic:spPr>
                    <a:xfrm>
                      <a:off x="0" y="0"/>
                      <a:ext cx="438150" cy="474452"/>
                    </a:xfrm>
                    <a:prstGeom prst="rect">
                      <a:avLst/>
                    </a:prstGeom>
                    <a:noFill/>
                    <a:ln w="9525">
                      <a:noFill/>
                      <a:miter lim="800000"/>
                      <a:headEnd/>
                      <a:tailEnd/>
                    </a:ln>
                  </pic:spPr>
                </pic:pic>
              </a:graphicData>
            </a:graphic>
          </wp:anchor>
        </w:drawing>
      </w:r>
      <w:r w:rsidR="005273A1" w:rsidRPr="005273A1">
        <w:rPr>
          <w:rFonts w:eastAsiaTheme="minorEastAsia"/>
          <w:bCs/>
          <w:kern w:val="0"/>
          <w:sz w:val="24"/>
        </w:rPr>
        <w:pict>
          <v:shapetype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_x0000_s696386" type="#_x0000_t187" style="position:absolute;left:0;text-align:left;margin-left:170.8pt;margin-top:71.8pt;width:7.8pt;height:7.1pt;z-index:251660288;mso-position-horizontal-relative:text;mso-position-vertical-relative:text" fillcolor="red" strokecolor="red" strokeweight="2pt"/>
        </w:pict>
      </w:r>
      <w:r w:rsidR="005273A1" w:rsidRPr="005273A1">
        <w:rPr>
          <w:rFonts w:eastAsiaTheme="minorEastAsia"/>
          <w:bCs/>
          <w:kern w:val="0"/>
          <w:sz w:val="24"/>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696387" type="#_x0000_t62" style="position:absolute;left:0;text-align:left;margin-left:106pt;margin-top:43pt;width:55.65pt;height:28.8pt;z-index:251661312;mso-position-horizontal-relative:text;mso-position-vertical-relative:text" adj="26316,22463">
            <v:textbox>
              <w:txbxContent>
                <w:p w:rsidR="000D2D13" w:rsidRDefault="000D2D13">
                  <w:pPr>
                    <w:rPr>
                      <w:b/>
                    </w:rPr>
                  </w:pPr>
                  <w:r>
                    <w:rPr>
                      <w:b/>
                    </w:rPr>
                    <w:t>本项目</w:t>
                  </w:r>
                </w:p>
              </w:txbxContent>
            </v:textbox>
          </v:shape>
        </w:pict>
      </w:r>
      <w:r w:rsidR="00611CBA" w:rsidRPr="00F9522B">
        <w:rPr>
          <w:rFonts w:eastAsiaTheme="minorEastAsia"/>
          <w:noProof/>
          <w:kern w:val="0"/>
          <w:sz w:val="24"/>
        </w:rPr>
        <w:drawing>
          <wp:inline distT="0" distB="0" distL="0" distR="0">
            <wp:extent cx="4566285" cy="2872740"/>
            <wp:effectExtent l="19050" t="19050" r="24647" b="22358"/>
            <wp:docPr id="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7"/>
                    <pic:cNvPicPr>
                      <a:picLocks noChangeAspect="1" noChangeArrowheads="1"/>
                    </pic:cNvPicPr>
                  </pic:nvPicPr>
                  <pic:blipFill>
                    <a:blip r:embed="rId17" cstate="print"/>
                    <a:srcRect/>
                    <a:stretch>
                      <a:fillRect/>
                    </a:stretch>
                  </pic:blipFill>
                  <pic:spPr>
                    <a:xfrm>
                      <a:off x="0" y="0"/>
                      <a:ext cx="4572769" cy="2877248"/>
                    </a:xfrm>
                    <a:prstGeom prst="rect">
                      <a:avLst/>
                    </a:prstGeom>
                    <a:noFill/>
                    <a:ln w="19050" cmpd="sng">
                      <a:solidFill>
                        <a:srgbClr val="000000"/>
                      </a:solidFill>
                      <a:miter lim="800000"/>
                      <a:headEnd/>
                      <a:tailEnd/>
                    </a:ln>
                    <a:effectLst/>
                  </pic:spPr>
                </pic:pic>
              </a:graphicData>
            </a:graphic>
          </wp:inline>
        </w:drawing>
      </w:r>
    </w:p>
    <w:p w:rsidR="002A5A5E" w:rsidRPr="00F9522B" w:rsidRDefault="00611CBA">
      <w:pPr>
        <w:jc w:val="center"/>
        <w:rPr>
          <w:rFonts w:eastAsiaTheme="minorEastAsia"/>
          <w:b/>
          <w:szCs w:val="21"/>
        </w:rPr>
      </w:pPr>
      <w:r w:rsidRPr="00F9522B">
        <w:rPr>
          <w:rFonts w:eastAsiaTheme="minorEastAsia"/>
          <w:b/>
          <w:szCs w:val="21"/>
        </w:rPr>
        <w:t>图</w:t>
      </w:r>
      <w:r w:rsidRPr="00F9522B">
        <w:rPr>
          <w:rFonts w:eastAsiaTheme="minorEastAsia"/>
          <w:b/>
          <w:szCs w:val="21"/>
        </w:rPr>
        <w:t>1-4-</w:t>
      </w:r>
      <w:r w:rsidR="00C27FC4" w:rsidRPr="00F9522B">
        <w:rPr>
          <w:rFonts w:eastAsiaTheme="minorEastAsia"/>
          <w:b/>
          <w:szCs w:val="21"/>
        </w:rPr>
        <w:t>1</w:t>
      </w:r>
      <w:r w:rsidRPr="00F9522B">
        <w:rPr>
          <w:rFonts w:eastAsiaTheme="minorEastAsia"/>
          <w:b/>
          <w:szCs w:val="21"/>
        </w:rPr>
        <w:t xml:space="preserve"> </w:t>
      </w:r>
      <w:r w:rsidRPr="00F9522B">
        <w:rPr>
          <w:rFonts w:eastAsiaTheme="minorEastAsia"/>
          <w:b/>
          <w:szCs w:val="21"/>
        </w:rPr>
        <w:t>黑龙江省水土保持重点预防区和重点治理区划分图</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sz w:val="24"/>
        </w:rPr>
        <w:t>（</w:t>
      </w:r>
      <w:r w:rsidR="00600084" w:rsidRPr="00F9522B">
        <w:rPr>
          <w:rFonts w:eastAsiaTheme="minorEastAsia"/>
          <w:sz w:val="24"/>
        </w:rPr>
        <w:t>3</w:t>
      </w:r>
      <w:r w:rsidRPr="00F9522B">
        <w:rPr>
          <w:rFonts w:eastAsiaTheme="minorEastAsia"/>
          <w:sz w:val="24"/>
        </w:rPr>
        <w:t>）</w:t>
      </w:r>
      <w:r w:rsidRPr="00F9522B">
        <w:rPr>
          <w:rFonts w:eastAsiaTheme="minorEastAsia"/>
          <w:kern w:val="0"/>
          <w:sz w:val="24"/>
        </w:rPr>
        <w:t>与</w:t>
      </w:r>
      <w:bookmarkStart w:id="20" w:name="_Hlk158568524"/>
      <w:r w:rsidRPr="00F9522B">
        <w:rPr>
          <w:rFonts w:eastAsiaTheme="minorEastAsia"/>
          <w:kern w:val="0"/>
          <w:sz w:val="24"/>
        </w:rPr>
        <w:t>《黑龙江省人民政府办公厅关于建设占用耕地耕作层土壤剥离利用工作的指导意见（试行）》</w:t>
      </w:r>
      <w:bookmarkEnd w:id="20"/>
      <w:r w:rsidRPr="00F9522B">
        <w:rPr>
          <w:rFonts w:eastAsiaTheme="minorEastAsia"/>
          <w:kern w:val="0"/>
          <w:sz w:val="24"/>
        </w:rPr>
        <w:t>（黑政办规〔</w:t>
      </w:r>
      <w:r w:rsidRPr="00F9522B">
        <w:rPr>
          <w:rFonts w:eastAsiaTheme="minorEastAsia"/>
          <w:kern w:val="0"/>
          <w:sz w:val="24"/>
        </w:rPr>
        <w:t>2021</w:t>
      </w:r>
      <w:r w:rsidRPr="00F9522B">
        <w:rPr>
          <w:rFonts w:eastAsiaTheme="minorEastAsia"/>
          <w:kern w:val="0"/>
          <w:sz w:val="24"/>
        </w:rPr>
        <w:t>〕</w:t>
      </w:r>
      <w:r w:rsidRPr="00F9522B">
        <w:rPr>
          <w:rFonts w:eastAsiaTheme="minorEastAsia"/>
          <w:kern w:val="0"/>
          <w:sz w:val="24"/>
        </w:rPr>
        <w:t>18</w:t>
      </w:r>
      <w:r w:rsidRPr="00F9522B">
        <w:rPr>
          <w:rFonts w:eastAsiaTheme="minorEastAsia"/>
          <w:kern w:val="0"/>
          <w:sz w:val="24"/>
        </w:rPr>
        <w:t>号）符合性分析</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《黑龙江省人民政府办公厅关于建设占用耕地耕作层土壤剥离利用工作的指导意见（试行）》中指出：</w:t>
      </w:r>
      <w:r w:rsidRPr="00F9522B">
        <w:rPr>
          <w:rFonts w:eastAsiaTheme="minorEastAsia"/>
          <w:kern w:val="0"/>
          <w:sz w:val="24"/>
        </w:rPr>
        <w:t>“</w:t>
      </w:r>
      <w:r w:rsidRPr="00F9522B">
        <w:rPr>
          <w:rFonts w:eastAsiaTheme="minorEastAsia"/>
          <w:kern w:val="0"/>
          <w:sz w:val="24"/>
        </w:rPr>
        <w:t>（一）编制方案。建设占用耕地耕作层土壤剥离利用实施方案由剥离实施主体依据国家和省相关技术规范编制；各县（市、区）自然资源主管部门会同农业农村主管部门组织专家对方案进行评审论证。设施农业用地涉及的耕作层土壤剥离利用可不编制方案，由项目用地单位（个人）直接实施剥离。（二）剥离存储。成片开发和城镇批次用地占用耕地的，应在供地前实施耕作层土壤剥离；单独选址项目及其他需要剥离的项目，应在开工建设前按照剥离利用方案要求实施耕作层土壤剥离，并将剥离土壤存储在指定地点或直接输送到再利用场所。耕作层土壤剥离及运输过程中，应采取水土保持和扬尘防治措施，防止土壤和环境污染。土壤存储点的选取应遵循就近存储、易于存放、专</w:t>
      </w:r>
      <w:r w:rsidRPr="00F9522B">
        <w:rPr>
          <w:rFonts w:eastAsiaTheme="minorEastAsia"/>
          <w:kern w:val="0"/>
          <w:sz w:val="24"/>
        </w:rPr>
        <w:lastRenderedPageBreak/>
        <w:t>人管理的原则，尽量利用废弃土地、闲置建设用地和未利用地，避让永久基本农田和生态保护红线、水源地等敏感区域。土壤存储要采取必要的工程防护和保育措施，防止出现水土流失、土壤质量退化和安全隐患。（三）组织验收。耕作层土壤剥离完成后，由当地自然资源主管部门会同农业农村主管部门组织验收，验收合格的方能实施项目建设。（四）剥离土壤利用。剥离的土壤优先用于土地整治、高标准农田建设、工矿废弃地复垦、生态修复等项目，以及新开垦耕地、劣质地或者其他耕地的土壤改良等农业生产生活，富余土壤可以用于绿化。</w:t>
      </w:r>
      <w:r w:rsidRPr="00F9522B">
        <w:rPr>
          <w:rFonts w:eastAsiaTheme="minorEastAsia"/>
          <w:kern w:val="0"/>
          <w:sz w:val="24"/>
        </w:rPr>
        <w:t>”</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本项目为高标准农田建设项目，不可避免将占用基本农田，不占用生态保护红线、水源地等敏感区域，在施工用地前，</w:t>
      </w:r>
      <w:r w:rsidRPr="00F9522B">
        <w:rPr>
          <w:rFonts w:eastAsiaTheme="minorEastAsia"/>
          <w:sz w:val="24"/>
        </w:rPr>
        <w:t>根据平整地块所在村的平均土壤厚度确定表土剥离厚度约</w:t>
      </w:r>
      <w:r w:rsidRPr="00F9522B">
        <w:rPr>
          <w:rFonts w:eastAsiaTheme="minorEastAsia"/>
          <w:sz w:val="24"/>
        </w:rPr>
        <w:t>25cm</w:t>
      </w:r>
      <w:r w:rsidRPr="00F9522B">
        <w:rPr>
          <w:rFonts w:eastAsiaTheme="minorEastAsia"/>
          <w:kern w:val="0"/>
          <w:sz w:val="24"/>
        </w:rPr>
        <w:t>，集中堆置在临时施工区，施工结束后对临时占地进行生态恢复，</w:t>
      </w:r>
      <w:r w:rsidRPr="00F9522B">
        <w:rPr>
          <w:rFonts w:eastAsiaTheme="minorEastAsia"/>
          <w:sz w:val="24"/>
        </w:rPr>
        <w:t>其余用于本项目</w:t>
      </w:r>
      <w:r w:rsidRPr="00F9522B">
        <w:rPr>
          <w:rFonts w:eastAsiaTheme="minorEastAsia"/>
          <w:sz w:val="24"/>
          <w:shd w:val="clear" w:color="auto" w:fill="FFFFFF"/>
        </w:rPr>
        <w:t>高标准农田建设。</w:t>
      </w:r>
      <w:r w:rsidRPr="00F9522B">
        <w:rPr>
          <w:rFonts w:eastAsiaTheme="minorEastAsia"/>
          <w:bCs/>
          <w:sz w:val="24"/>
          <w:shd w:val="clear" w:color="auto" w:fill="FFFFFF"/>
          <w:lang w:bidi="en-US"/>
        </w:rPr>
        <w:t>施工时洒水降尘。</w:t>
      </w:r>
      <w:r w:rsidRPr="00F9522B">
        <w:rPr>
          <w:rFonts w:eastAsiaTheme="minorEastAsia"/>
          <w:bCs/>
          <w:sz w:val="24"/>
          <w:shd w:val="clear" w:color="auto" w:fill="FFFFFF"/>
        </w:rPr>
        <w:t>表土堆场设置临时拦挡并采用密目网苫盖，减少水土流失。</w:t>
      </w:r>
      <w:r w:rsidRPr="00F9522B">
        <w:rPr>
          <w:rFonts w:eastAsiaTheme="minorEastAsia"/>
          <w:kern w:val="0"/>
          <w:sz w:val="24"/>
        </w:rPr>
        <w:t>本工程建设与《黑龙江省人民政府办公厅关于建设占用耕地耕作层土壤剥离利用工作的指导意见（试行）》（黑政办规〔</w:t>
      </w:r>
      <w:r w:rsidRPr="00F9522B">
        <w:rPr>
          <w:rFonts w:eastAsiaTheme="minorEastAsia"/>
          <w:kern w:val="0"/>
          <w:sz w:val="24"/>
        </w:rPr>
        <w:t>2021</w:t>
      </w:r>
      <w:r w:rsidRPr="00F9522B">
        <w:rPr>
          <w:rFonts w:eastAsiaTheme="minorEastAsia"/>
          <w:kern w:val="0"/>
          <w:sz w:val="24"/>
        </w:rPr>
        <w:t>〕</w:t>
      </w:r>
      <w:r w:rsidRPr="00F9522B">
        <w:rPr>
          <w:rFonts w:eastAsiaTheme="minorEastAsia"/>
          <w:kern w:val="0"/>
          <w:sz w:val="24"/>
        </w:rPr>
        <w:t>18</w:t>
      </w:r>
      <w:r w:rsidRPr="00F9522B">
        <w:rPr>
          <w:rFonts w:eastAsiaTheme="minorEastAsia"/>
          <w:kern w:val="0"/>
          <w:sz w:val="24"/>
        </w:rPr>
        <w:t>号）要求相符合。</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sz w:val="24"/>
        </w:rPr>
        <w:t>（</w:t>
      </w:r>
      <w:r w:rsidR="00600084" w:rsidRPr="00F9522B">
        <w:rPr>
          <w:rFonts w:eastAsiaTheme="minorEastAsia"/>
          <w:sz w:val="24"/>
        </w:rPr>
        <w:t>4</w:t>
      </w:r>
      <w:r w:rsidRPr="00F9522B">
        <w:rPr>
          <w:rFonts w:eastAsiaTheme="minorEastAsia"/>
          <w:sz w:val="24"/>
        </w:rPr>
        <w:t>）</w:t>
      </w:r>
      <w:r w:rsidRPr="00F9522B">
        <w:rPr>
          <w:rFonts w:eastAsiaTheme="minorEastAsia"/>
          <w:kern w:val="0"/>
          <w:sz w:val="24"/>
        </w:rPr>
        <w:t>与《自然资源部办公厅关于进一步加强黑土耕地保护的通知》（自然资办函〔</w:t>
      </w:r>
      <w:r w:rsidRPr="00F9522B">
        <w:rPr>
          <w:rFonts w:eastAsiaTheme="minorEastAsia"/>
          <w:kern w:val="0"/>
          <w:sz w:val="24"/>
        </w:rPr>
        <w:t>2022</w:t>
      </w:r>
      <w:r w:rsidRPr="00F9522B">
        <w:rPr>
          <w:rFonts w:eastAsiaTheme="minorEastAsia"/>
          <w:kern w:val="0"/>
          <w:sz w:val="24"/>
        </w:rPr>
        <w:t>〕</w:t>
      </w:r>
      <w:r w:rsidRPr="00F9522B">
        <w:rPr>
          <w:rFonts w:eastAsiaTheme="minorEastAsia"/>
          <w:kern w:val="0"/>
          <w:sz w:val="24"/>
        </w:rPr>
        <w:t>1531</w:t>
      </w:r>
      <w:r w:rsidRPr="00F9522B">
        <w:rPr>
          <w:rFonts w:eastAsiaTheme="minorEastAsia"/>
          <w:kern w:val="0"/>
          <w:sz w:val="24"/>
        </w:rPr>
        <w:t>号）符合性分析</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自然资源部办公厅关于进一步加强黑土耕地保护的通知》中指出：三、从严控制建设项目占用黑土耕地。建设项目不得占用黑土耕地，确实难以避让的，在可行性研究阶段，必须对占用的必要性和合理性等情况进行严格论证，纳入耕地踏勘论证报告；申请农用地转用时，应说明落实</w:t>
      </w:r>
      <w:r w:rsidRPr="00F9522B">
        <w:rPr>
          <w:rFonts w:eastAsiaTheme="minorEastAsia"/>
          <w:kern w:val="0"/>
          <w:sz w:val="24"/>
        </w:rPr>
        <w:t>“</w:t>
      </w:r>
      <w:r w:rsidRPr="00F9522B">
        <w:rPr>
          <w:rFonts w:eastAsiaTheme="minorEastAsia"/>
          <w:kern w:val="0"/>
          <w:sz w:val="24"/>
        </w:rPr>
        <w:t>占黑土补黑土</w:t>
      </w:r>
      <w:r w:rsidRPr="00F9522B">
        <w:rPr>
          <w:rFonts w:eastAsiaTheme="minorEastAsia"/>
          <w:kern w:val="0"/>
          <w:sz w:val="24"/>
        </w:rPr>
        <w:t>”</w:t>
      </w:r>
      <w:r w:rsidRPr="00F9522B">
        <w:rPr>
          <w:rFonts w:eastAsiaTheme="minorEastAsia"/>
          <w:kern w:val="0"/>
          <w:sz w:val="24"/>
        </w:rPr>
        <w:t>、耕作层土壤剥离再利用有关情况，按规定制定耕作层土壤剥离再利用方案，做到应剥离尽剥离，剥离后妥善储存，及时合理再利用。</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本项目为高标准农田建设项目，不可避免将占用基本农田，在施工用地前，</w:t>
      </w:r>
      <w:r w:rsidRPr="00F9522B">
        <w:rPr>
          <w:rFonts w:eastAsiaTheme="minorEastAsia"/>
          <w:sz w:val="24"/>
        </w:rPr>
        <w:t>根据平整地块所在村的平均土壤厚度确定表土剥离厚度约</w:t>
      </w:r>
      <w:r w:rsidRPr="00F9522B">
        <w:rPr>
          <w:rFonts w:eastAsiaTheme="minorEastAsia"/>
          <w:sz w:val="24"/>
        </w:rPr>
        <w:t>25cm</w:t>
      </w:r>
      <w:r w:rsidRPr="00F9522B">
        <w:rPr>
          <w:rFonts w:eastAsiaTheme="minorEastAsia"/>
          <w:kern w:val="0"/>
          <w:sz w:val="24"/>
        </w:rPr>
        <w:t>，集中堆置在临时施工区，用地完成后对场地进行回填平整，回填剥离表土，恢复原地类。</w:t>
      </w:r>
      <w:r w:rsidRPr="00F9522B">
        <w:rPr>
          <w:rFonts w:eastAsiaTheme="minorEastAsia"/>
          <w:sz w:val="24"/>
        </w:rPr>
        <w:t>其余用于本项目</w:t>
      </w:r>
      <w:r w:rsidRPr="00F9522B">
        <w:rPr>
          <w:rFonts w:eastAsiaTheme="minorEastAsia"/>
          <w:sz w:val="24"/>
          <w:shd w:val="clear" w:color="auto" w:fill="FFFFFF"/>
        </w:rPr>
        <w:t>高标准农田建设。建设单位正制定表土剥离方案、</w:t>
      </w:r>
      <w:r w:rsidRPr="00F9522B">
        <w:rPr>
          <w:rFonts w:eastAsiaTheme="minorEastAsia"/>
          <w:kern w:val="0"/>
          <w:sz w:val="24"/>
        </w:rPr>
        <w:t>耕作层土壤剥离再利用方案</w:t>
      </w:r>
      <w:r w:rsidRPr="00F9522B">
        <w:rPr>
          <w:rFonts w:eastAsiaTheme="minorEastAsia"/>
          <w:sz w:val="24"/>
          <w:shd w:val="clear" w:color="auto" w:fill="FFFFFF"/>
        </w:rPr>
        <w:t>，</w:t>
      </w:r>
      <w:r w:rsidRPr="00F9522B">
        <w:rPr>
          <w:rFonts w:eastAsiaTheme="minorEastAsia"/>
          <w:kern w:val="0"/>
          <w:sz w:val="24"/>
        </w:rPr>
        <w:t>本工程建设与《自然资源部办公厅关于进一步加强黑土耕地保护的通知》要求相符合。</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sz w:val="24"/>
        </w:rPr>
        <w:t>（</w:t>
      </w:r>
      <w:r w:rsidR="00600084" w:rsidRPr="00F9522B">
        <w:rPr>
          <w:rFonts w:eastAsiaTheme="minorEastAsia"/>
          <w:sz w:val="24"/>
        </w:rPr>
        <w:t>5</w:t>
      </w:r>
      <w:r w:rsidRPr="00F9522B">
        <w:rPr>
          <w:rFonts w:eastAsiaTheme="minorEastAsia"/>
          <w:sz w:val="24"/>
        </w:rPr>
        <w:t>）</w:t>
      </w:r>
      <w:r w:rsidRPr="00F9522B">
        <w:rPr>
          <w:rFonts w:eastAsiaTheme="minorEastAsia"/>
          <w:kern w:val="0"/>
          <w:sz w:val="24"/>
        </w:rPr>
        <w:t>与《建设占用耕地耕作层土壤剥离利用技术规范》（</w:t>
      </w:r>
      <w:r w:rsidRPr="00F9522B">
        <w:rPr>
          <w:rFonts w:eastAsiaTheme="minorEastAsia"/>
          <w:kern w:val="0"/>
          <w:sz w:val="24"/>
        </w:rPr>
        <w:t>DB23/T2913-2021</w:t>
      </w:r>
      <w:r w:rsidRPr="00F9522B">
        <w:rPr>
          <w:rFonts w:eastAsiaTheme="minorEastAsia"/>
          <w:kern w:val="0"/>
          <w:sz w:val="24"/>
        </w:rPr>
        <w:t>）</w:t>
      </w:r>
      <w:r w:rsidRPr="00F9522B">
        <w:rPr>
          <w:rFonts w:eastAsiaTheme="minorEastAsia"/>
          <w:kern w:val="0"/>
          <w:sz w:val="24"/>
        </w:rPr>
        <w:lastRenderedPageBreak/>
        <w:t>符合性分析</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根据耕作层土壤剥离利用方案，确定剥离单元与剥离厚度。基于土壤质量和剥离成本考虑，耕作层土壤剥离厚度宜在</w:t>
      </w:r>
      <w:r w:rsidRPr="00F9522B">
        <w:rPr>
          <w:rFonts w:eastAsiaTheme="minorEastAsia"/>
          <w:sz w:val="24"/>
        </w:rPr>
        <w:t>20cm~30cm</w:t>
      </w:r>
      <w:r w:rsidRPr="00F9522B">
        <w:rPr>
          <w:rFonts w:eastAsiaTheme="minorEastAsia"/>
          <w:sz w:val="24"/>
        </w:rPr>
        <w:t>。单次土壤剥离厚度不宜大于</w:t>
      </w:r>
      <w:r w:rsidRPr="00F9522B">
        <w:rPr>
          <w:rFonts w:eastAsiaTheme="minorEastAsia"/>
          <w:sz w:val="24"/>
        </w:rPr>
        <w:t>30cm</w:t>
      </w:r>
      <w:r w:rsidRPr="00F9522B">
        <w:rPr>
          <w:rFonts w:eastAsiaTheme="minorEastAsia"/>
          <w:sz w:val="24"/>
        </w:rPr>
        <w:t>；耕作层较厚的区域可适当增加剥离厚度，原则上土壤剥离厚度不超过</w:t>
      </w:r>
      <w:r w:rsidRPr="00F9522B">
        <w:rPr>
          <w:rFonts w:eastAsiaTheme="minorEastAsia"/>
          <w:sz w:val="24"/>
        </w:rPr>
        <w:t>50cm</w:t>
      </w:r>
      <w:r w:rsidRPr="00F9522B">
        <w:rPr>
          <w:rFonts w:eastAsiaTheme="minorEastAsia"/>
          <w:sz w:val="24"/>
        </w:rPr>
        <w:t>。宜选择天气晴好且土壤含水量适宜时进行剥离，剥离时期应在剥离层化冻后、未冻结前进行。储存区内土壤堆放应减少占地面积，合理紧凑。多种类型土壤储存宜采用台状堆放，堆高不超过</w:t>
      </w:r>
      <w:r w:rsidRPr="00F9522B">
        <w:rPr>
          <w:rFonts w:eastAsiaTheme="minorEastAsia"/>
          <w:sz w:val="24"/>
        </w:rPr>
        <w:t>5m</w:t>
      </w:r>
      <w:r w:rsidRPr="00F9522B">
        <w:rPr>
          <w:rFonts w:eastAsiaTheme="minorEastAsia"/>
          <w:sz w:val="24"/>
        </w:rPr>
        <w:t>。土壤堆放半年之内应用防尘网覆盖；堆放时间超过</w:t>
      </w:r>
      <w:r w:rsidRPr="00F9522B">
        <w:rPr>
          <w:rFonts w:eastAsiaTheme="minorEastAsia"/>
          <w:sz w:val="24"/>
        </w:rPr>
        <w:t>1</w:t>
      </w:r>
      <w:r w:rsidRPr="00F9522B">
        <w:rPr>
          <w:rFonts w:eastAsiaTheme="minorEastAsia"/>
          <w:sz w:val="24"/>
        </w:rPr>
        <w:t>年的，覆盖前宜播撒一年生或多年生浅根草类种子。土壤堆放</w:t>
      </w:r>
      <w:r w:rsidRPr="00F9522B">
        <w:rPr>
          <w:rFonts w:eastAsiaTheme="minorEastAsia"/>
          <w:sz w:val="24"/>
        </w:rPr>
        <w:t xml:space="preserve"> 2</w:t>
      </w:r>
      <w:r w:rsidRPr="00F9522B">
        <w:rPr>
          <w:rFonts w:eastAsiaTheme="minorEastAsia"/>
          <w:sz w:val="24"/>
        </w:rPr>
        <w:t>年之内，土堆之间、土堆与道路之间用</w:t>
      </w:r>
      <w:r w:rsidRPr="00F9522B">
        <w:rPr>
          <w:rFonts w:eastAsiaTheme="minorEastAsia"/>
          <w:sz w:val="24"/>
        </w:rPr>
        <w:t>30cm~50cm</w:t>
      </w:r>
      <w:r w:rsidRPr="00F9522B">
        <w:rPr>
          <w:rFonts w:eastAsiaTheme="minorEastAsia"/>
          <w:sz w:val="24"/>
        </w:rPr>
        <w:t>装土的草袋或编织袋隔挡。邻近城镇村庄、主要道路、水源地等作业场所，晴天应定期洒水降尘。运输车辆应盖好土壤，并在规定的运输路线和操作区域内行驶。</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本项目为高标准农田建设项目，</w:t>
      </w:r>
      <w:r w:rsidRPr="00F9522B">
        <w:rPr>
          <w:rFonts w:eastAsiaTheme="minorEastAsia"/>
          <w:sz w:val="24"/>
        </w:rPr>
        <w:t>根据平整地块所在村的平均土壤厚度确定表土剥离厚度约</w:t>
      </w:r>
      <w:r w:rsidRPr="00F9522B">
        <w:rPr>
          <w:rFonts w:eastAsiaTheme="minorEastAsia"/>
          <w:sz w:val="24"/>
        </w:rPr>
        <w:t>25cm</w:t>
      </w:r>
      <w:r w:rsidRPr="00F9522B">
        <w:rPr>
          <w:rFonts w:eastAsiaTheme="minorEastAsia"/>
          <w:bCs/>
          <w:kern w:val="0"/>
          <w:sz w:val="24"/>
          <w:lang w:bidi="en-US"/>
        </w:rPr>
        <w:t>，雨天不施工，</w:t>
      </w:r>
      <w:r w:rsidRPr="00F9522B">
        <w:rPr>
          <w:rFonts w:eastAsiaTheme="minorEastAsia"/>
          <w:kern w:val="0"/>
          <w:sz w:val="24"/>
        </w:rPr>
        <w:t>施工期输配电工程表土临时堆存在施工沿线，设置临时拦挡，</w:t>
      </w:r>
      <w:r w:rsidRPr="00F9522B">
        <w:rPr>
          <w:rFonts w:eastAsiaTheme="minorEastAsia"/>
          <w:bCs/>
          <w:kern w:val="0"/>
          <w:sz w:val="24"/>
        </w:rPr>
        <w:t>采用密目网苫盖，</w:t>
      </w:r>
      <w:r w:rsidRPr="00F9522B">
        <w:rPr>
          <w:rFonts w:eastAsiaTheme="minorEastAsia"/>
          <w:kern w:val="0"/>
          <w:sz w:val="24"/>
        </w:rPr>
        <w:t>施工结束后及时分层回填，恢复现状地类；灌溉井、建筑物、输配电工程剥离表土暂存于</w:t>
      </w:r>
      <w:r w:rsidRPr="00F9522B">
        <w:rPr>
          <w:rFonts w:eastAsiaTheme="minorEastAsia"/>
          <w:bCs/>
          <w:kern w:val="0"/>
          <w:sz w:val="24"/>
        </w:rPr>
        <w:t>表土堆场</w:t>
      </w:r>
      <w:r w:rsidRPr="00F9522B">
        <w:rPr>
          <w:rFonts w:eastAsiaTheme="minorEastAsia"/>
          <w:kern w:val="0"/>
          <w:sz w:val="24"/>
        </w:rPr>
        <w:t>内，</w:t>
      </w:r>
      <w:r w:rsidRPr="00F9522B">
        <w:rPr>
          <w:rFonts w:eastAsiaTheme="minorEastAsia"/>
          <w:sz w:val="24"/>
        </w:rPr>
        <w:t>堆高不超过</w:t>
      </w:r>
      <w:r w:rsidRPr="00F9522B">
        <w:rPr>
          <w:rFonts w:eastAsiaTheme="minorEastAsia"/>
          <w:sz w:val="24"/>
        </w:rPr>
        <w:t>3m</w:t>
      </w:r>
      <w:r w:rsidRPr="00F9522B">
        <w:rPr>
          <w:rFonts w:eastAsiaTheme="minorEastAsia"/>
          <w:sz w:val="24"/>
        </w:rPr>
        <w:t>，</w:t>
      </w:r>
      <w:r w:rsidRPr="00F9522B">
        <w:rPr>
          <w:rFonts w:eastAsiaTheme="minorEastAsia"/>
          <w:bCs/>
          <w:kern w:val="0"/>
          <w:sz w:val="24"/>
        </w:rPr>
        <w:t>设置临时拦挡，采用密目网苫盖，减少水土流失</w:t>
      </w:r>
      <w:r w:rsidRPr="00F9522B">
        <w:rPr>
          <w:rFonts w:eastAsiaTheme="minorEastAsia"/>
          <w:sz w:val="24"/>
        </w:rPr>
        <w:t>，</w:t>
      </w:r>
      <w:r w:rsidRPr="00F9522B">
        <w:rPr>
          <w:rFonts w:eastAsiaTheme="minorEastAsia"/>
          <w:kern w:val="0"/>
          <w:sz w:val="24"/>
        </w:rPr>
        <w:t>施工结束后临时占地</w:t>
      </w:r>
      <w:r w:rsidRPr="00F9522B">
        <w:rPr>
          <w:rFonts w:eastAsiaTheme="minorEastAsia"/>
          <w:bCs/>
          <w:kern w:val="0"/>
          <w:sz w:val="24"/>
          <w:lang w:bidi="en-US"/>
        </w:rPr>
        <w:t>恢复为</w:t>
      </w:r>
      <w:r w:rsidRPr="00F9522B">
        <w:rPr>
          <w:rFonts w:eastAsiaTheme="minorEastAsia"/>
          <w:kern w:val="0"/>
          <w:sz w:val="24"/>
        </w:rPr>
        <w:t>现状地类</w:t>
      </w:r>
      <w:r w:rsidRPr="00F9522B">
        <w:rPr>
          <w:rFonts w:eastAsiaTheme="minorEastAsia"/>
          <w:bCs/>
          <w:kern w:val="0"/>
          <w:sz w:val="24"/>
          <w:lang w:bidi="en-US"/>
        </w:rPr>
        <w:t>；施工时洒水降尘。</w:t>
      </w:r>
      <w:r w:rsidRPr="00F9522B">
        <w:rPr>
          <w:rFonts w:eastAsiaTheme="minorEastAsia"/>
          <w:sz w:val="24"/>
        </w:rPr>
        <w:t>故本项目</w:t>
      </w:r>
      <w:r w:rsidRPr="00F9522B">
        <w:rPr>
          <w:rFonts w:eastAsiaTheme="minorEastAsia"/>
          <w:kern w:val="0"/>
          <w:sz w:val="24"/>
        </w:rPr>
        <w:t>与《建设占用耕地耕作层土壤剥离利用技术规范》（</w:t>
      </w:r>
      <w:r w:rsidRPr="00F9522B">
        <w:rPr>
          <w:rFonts w:eastAsiaTheme="minorEastAsia"/>
          <w:kern w:val="0"/>
          <w:sz w:val="24"/>
        </w:rPr>
        <w:t>DB23/T2913-2021</w:t>
      </w:r>
      <w:r w:rsidRPr="00F9522B">
        <w:rPr>
          <w:rFonts w:eastAsiaTheme="minorEastAsia"/>
          <w:kern w:val="0"/>
          <w:sz w:val="24"/>
        </w:rPr>
        <w:t>）相符。</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sz w:val="24"/>
        </w:rPr>
        <w:t>（</w:t>
      </w:r>
      <w:r w:rsidR="00600084" w:rsidRPr="00F9522B">
        <w:rPr>
          <w:rFonts w:eastAsiaTheme="minorEastAsia"/>
          <w:sz w:val="24"/>
        </w:rPr>
        <w:t>6</w:t>
      </w:r>
      <w:r w:rsidRPr="00F9522B">
        <w:rPr>
          <w:rFonts w:eastAsiaTheme="minorEastAsia"/>
          <w:sz w:val="24"/>
        </w:rPr>
        <w:t>）</w:t>
      </w:r>
      <w:r w:rsidRPr="00F9522B">
        <w:rPr>
          <w:rFonts w:eastAsiaTheme="minorEastAsia"/>
          <w:kern w:val="0"/>
          <w:sz w:val="24"/>
        </w:rPr>
        <w:t>与《黑龙江省重点流域水生态环境保护规划》（黑环发〔</w:t>
      </w:r>
      <w:r w:rsidRPr="00F9522B">
        <w:rPr>
          <w:rFonts w:eastAsiaTheme="minorEastAsia"/>
          <w:kern w:val="0"/>
          <w:sz w:val="24"/>
        </w:rPr>
        <w:t>2023</w:t>
      </w:r>
      <w:r w:rsidRPr="00F9522B">
        <w:rPr>
          <w:rFonts w:eastAsiaTheme="minorEastAsia"/>
          <w:kern w:val="0"/>
          <w:sz w:val="24"/>
        </w:rPr>
        <w:t>〕</w:t>
      </w:r>
      <w:r w:rsidRPr="00F9522B">
        <w:rPr>
          <w:rFonts w:eastAsiaTheme="minorEastAsia"/>
          <w:kern w:val="0"/>
          <w:sz w:val="24"/>
        </w:rPr>
        <w:t>24</w:t>
      </w:r>
      <w:r w:rsidRPr="00F9522B">
        <w:rPr>
          <w:rFonts w:eastAsiaTheme="minorEastAsia"/>
          <w:kern w:val="0"/>
          <w:sz w:val="24"/>
        </w:rPr>
        <w:t>号）符合性分析</w:t>
      </w:r>
    </w:p>
    <w:p w:rsidR="002A5A5E" w:rsidRPr="00F9522B" w:rsidRDefault="00611CBA">
      <w:pPr>
        <w:spacing w:line="360" w:lineRule="auto"/>
        <w:ind w:firstLineChars="200" w:firstLine="480"/>
        <w:rPr>
          <w:rFonts w:eastAsiaTheme="minorEastAsia"/>
          <w:sz w:val="24"/>
        </w:rPr>
      </w:pPr>
      <w:r w:rsidRPr="00F9522B">
        <w:rPr>
          <w:rFonts w:eastAsiaTheme="minorEastAsia"/>
          <w:kern w:val="0"/>
          <w:sz w:val="24"/>
        </w:rPr>
        <w:t>《</w:t>
      </w:r>
      <w:r w:rsidRPr="00F9522B">
        <w:rPr>
          <w:rFonts w:eastAsiaTheme="minorEastAsia"/>
          <w:sz w:val="24"/>
        </w:rPr>
        <w:t>黑龙江省重点流域水生态环境保护规划》是指导黑龙江省</w:t>
      </w:r>
      <w:r w:rsidRPr="00F9522B">
        <w:rPr>
          <w:rFonts w:eastAsiaTheme="minorEastAsia"/>
          <w:sz w:val="24"/>
        </w:rPr>
        <w:t>“</w:t>
      </w:r>
      <w:r w:rsidRPr="00F9522B">
        <w:rPr>
          <w:rFonts w:eastAsiaTheme="minorEastAsia"/>
          <w:sz w:val="24"/>
        </w:rPr>
        <w:t>十四五</w:t>
      </w:r>
      <w:r w:rsidRPr="00F9522B">
        <w:rPr>
          <w:rFonts w:eastAsiaTheme="minorEastAsia"/>
          <w:sz w:val="24"/>
        </w:rPr>
        <w:t>”</w:t>
      </w:r>
      <w:r w:rsidRPr="00F9522B">
        <w:rPr>
          <w:rFonts w:eastAsiaTheme="minorEastAsia"/>
          <w:sz w:val="24"/>
        </w:rPr>
        <w:t>时期流域水生态环境保护相关工作的纲领性文件，是制定实施相关方案、政策和建设相关工程的依据，规划期为</w:t>
      </w:r>
      <w:r w:rsidRPr="00F9522B">
        <w:rPr>
          <w:rFonts w:eastAsiaTheme="minorEastAsia"/>
          <w:sz w:val="24"/>
        </w:rPr>
        <w:t>2021</w:t>
      </w:r>
      <w:r w:rsidRPr="00F9522B">
        <w:rPr>
          <w:rFonts w:eastAsiaTheme="minorEastAsia"/>
          <w:sz w:val="24"/>
        </w:rPr>
        <w:t>年至</w:t>
      </w:r>
      <w:r w:rsidRPr="00F9522B">
        <w:rPr>
          <w:rFonts w:eastAsiaTheme="minorEastAsia"/>
          <w:sz w:val="24"/>
        </w:rPr>
        <w:t>2025</w:t>
      </w:r>
      <w:r w:rsidRPr="00F9522B">
        <w:rPr>
          <w:rFonts w:eastAsiaTheme="minorEastAsia"/>
          <w:sz w:val="24"/>
        </w:rPr>
        <w:t>年。规划范围包含黑龙江省的松花江流域、黑龙江流域、乌苏里江流域和绥芬河流域。共涉及</w:t>
      </w:r>
      <w:r w:rsidRPr="00F9522B">
        <w:rPr>
          <w:rFonts w:eastAsiaTheme="minorEastAsia"/>
          <w:sz w:val="24"/>
        </w:rPr>
        <w:t>13</w:t>
      </w:r>
      <w:r w:rsidRPr="00F9522B">
        <w:rPr>
          <w:rFonts w:eastAsiaTheme="minorEastAsia"/>
          <w:sz w:val="24"/>
        </w:rPr>
        <w:t>个市</w:t>
      </w:r>
      <w:r w:rsidRPr="00F9522B">
        <w:rPr>
          <w:rFonts w:eastAsiaTheme="minorEastAsia"/>
          <w:sz w:val="24"/>
        </w:rPr>
        <w:t>(</w:t>
      </w:r>
      <w:r w:rsidRPr="00F9522B">
        <w:rPr>
          <w:rFonts w:eastAsiaTheme="minorEastAsia"/>
          <w:sz w:val="24"/>
        </w:rPr>
        <w:t>地</w:t>
      </w:r>
      <w:r w:rsidRPr="00F9522B">
        <w:rPr>
          <w:rFonts w:eastAsiaTheme="minorEastAsia"/>
          <w:sz w:val="24"/>
        </w:rPr>
        <w:t>)</w:t>
      </w:r>
      <w:r w:rsidRPr="00F9522B">
        <w:rPr>
          <w:rFonts w:eastAsiaTheme="minorEastAsia"/>
          <w:sz w:val="24"/>
        </w:rPr>
        <w:t>级行政单位，分别是哈尔滨市、齐齐哈尔市、牡丹江市、佳木斯市、大庆市、鸡西市、双鸭山市、伊春市、七台河市、鹤岗市、黑河市、绥化市大兴安岭地区。规划目标</w:t>
      </w:r>
      <w:r w:rsidRPr="00F9522B">
        <w:rPr>
          <w:rFonts w:eastAsiaTheme="minorEastAsia"/>
          <w:sz w:val="24"/>
        </w:rPr>
        <w:t>:</w:t>
      </w:r>
      <w:r w:rsidRPr="00F9522B">
        <w:rPr>
          <w:rFonts w:eastAsiaTheme="minorEastAsia"/>
          <w:sz w:val="24"/>
        </w:rPr>
        <w:t>到</w:t>
      </w:r>
      <w:r w:rsidRPr="00F9522B">
        <w:rPr>
          <w:rFonts w:eastAsiaTheme="minorEastAsia"/>
          <w:sz w:val="24"/>
        </w:rPr>
        <w:t>2025</w:t>
      </w:r>
      <w:r w:rsidRPr="00F9522B">
        <w:rPr>
          <w:rFonts w:eastAsiaTheme="minorEastAsia"/>
          <w:sz w:val="24"/>
        </w:rPr>
        <w:t>年，全省水生态环境持续改善水质优良水体稳中有增，污染严重水体得到有效治理，除肇兰新河外基本消除国控劣</w:t>
      </w:r>
      <w:r w:rsidRPr="00F9522B">
        <w:rPr>
          <w:rFonts w:eastAsiaTheme="minorEastAsia"/>
          <w:sz w:val="24"/>
        </w:rPr>
        <w:t>V</w:t>
      </w:r>
      <w:r w:rsidRPr="00F9522B">
        <w:rPr>
          <w:rFonts w:eastAsiaTheme="minorEastAsia"/>
          <w:sz w:val="24"/>
        </w:rPr>
        <w:t>类断面，基本消除县级城市建成区黑臭水体，饮用水水源水质安全保障水平持续提升，化学需氧量和氨氮排放总量</w:t>
      </w:r>
      <w:r w:rsidRPr="00F9522B">
        <w:rPr>
          <w:rFonts w:eastAsiaTheme="minorEastAsia"/>
          <w:sz w:val="24"/>
        </w:rPr>
        <w:lastRenderedPageBreak/>
        <w:t>持续减少。松花江干流及主要支流生态流量保障程度显著提升，河湖生态保护修复有效加强，探索建立水生生物监测体系，风险防范能力不断加强，实现有河有水，有草有鱼，人水和谐的美好目标。到</w:t>
      </w:r>
      <w:r w:rsidRPr="00F9522B">
        <w:rPr>
          <w:rFonts w:eastAsiaTheme="minorEastAsia"/>
          <w:sz w:val="24"/>
        </w:rPr>
        <w:t>2035</w:t>
      </w:r>
      <w:r w:rsidRPr="00F9522B">
        <w:rPr>
          <w:rFonts w:eastAsiaTheme="minorEastAsia"/>
          <w:sz w:val="24"/>
        </w:rPr>
        <w:t>年，全省水生态环境根本好转，生态系统实现良性循环，美丽龙江建设的水生态环境目标基本实现。</w:t>
      </w:r>
    </w:p>
    <w:p w:rsidR="002A5A5E" w:rsidRPr="00F9522B" w:rsidRDefault="00904BE7">
      <w:pPr>
        <w:spacing w:line="360" w:lineRule="auto"/>
        <w:ind w:firstLineChars="200" w:firstLine="480"/>
        <w:rPr>
          <w:rFonts w:eastAsiaTheme="minorEastAsia"/>
          <w:kern w:val="0"/>
          <w:sz w:val="24"/>
        </w:rPr>
      </w:pPr>
      <w:r w:rsidRPr="00F9522B">
        <w:rPr>
          <w:rFonts w:eastAsiaTheme="minorEastAsia"/>
          <w:bCs/>
          <w:kern w:val="0"/>
          <w:sz w:val="24"/>
          <w:szCs w:val="21"/>
        </w:rPr>
        <w:t>本项目涉及松花江河段二级水功能区为松花江宾县、巴彦县农业用水区，水质目标为</w:t>
      </w:r>
      <w:r w:rsidRPr="00F9522B">
        <w:rPr>
          <w:rFonts w:eastAsiaTheme="minorEastAsia"/>
          <w:bCs/>
          <w:kern w:val="0"/>
          <w:sz w:val="24"/>
          <w:szCs w:val="21"/>
        </w:rPr>
        <w:t>Ⅲ</w:t>
      </w:r>
      <w:r w:rsidRPr="00F9522B">
        <w:rPr>
          <w:rFonts w:eastAsiaTheme="minorEastAsia"/>
          <w:bCs/>
          <w:kern w:val="0"/>
          <w:sz w:val="24"/>
          <w:szCs w:val="21"/>
        </w:rPr>
        <w:t>类。漂河</w:t>
      </w:r>
      <w:r w:rsidRPr="00F9522B">
        <w:rPr>
          <w:rFonts w:eastAsiaTheme="minorEastAsia"/>
          <w:bCs/>
          <w:kern w:val="0"/>
          <w:sz w:val="24"/>
        </w:rPr>
        <w:t>未划分水功能区，漂河汇入少陵河，</w:t>
      </w:r>
      <w:r w:rsidRPr="00F9522B">
        <w:rPr>
          <w:rFonts w:eastAsiaTheme="minorEastAsia"/>
          <w:kern w:val="24"/>
          <w:sz w:val="24"/>
        </w:rPr>
        <w:t>根据</w:t>
      </w:r>
      <w:r w:rsidRPr="00F9522B">
        <w:rPr>
          <w:rFonts w:eastAsiaTheme="minorEastAsia"/>
          <w:kern w:val="0"/>
          <w:sz w:val="24"/>
        </w:rPr>
        <w:t>《</w:t>
      </w:r>
      <w:r w:rsidRPr="00F9522B">
        <w:rPr>
          <w:rFonts w:eastAsiaTheme="minorEastAsia"/>
          <w:kern w:val="0"/>
          <w:sz w:val="24"/>
        </w:rPr>
        <w:t>2024</w:t>
      </w:r>
      <w:r w:rsidRPr="00F9522B">
        <w:rPr>
          <w:rFonts w:eastAsiaTheme="minorEastAsia"/>
          <w:kern w:val="0"/>
          <w:sz w:val="24"/>
        </w:rPr>
        <w:t>年哈尔滨生态环境质量状况年报》，</w:t>
      </w:r>
      <w:r w:rsidRPr="00F9522B">
        <w:rPr>
          <w:rFonts w:eastAsiaTheme="minorEastAsia"/>
          <w:bCs/>
          <w:kern w:val="0"/>
          <w:sz w:val="24"/>
        </w:rPr>
        <w:t>少陵河水质目标为</w:t>
      </w:r>
      <w:r w:rsidR="005273A1" w:rsidRPr="00F9522B">
        <w:rPr>
          <w:rFonts w:eastAsiaTheme="minorEastAsia"/>
          <w:bCs/>
          <w:kern w:val="0"/>
          <w:sz w:val="24"/>
        </w:rPr>
        <w:fldChar w:fldCharType="begin"/>
      </w:r>
      <w:r w:rsidRPr="00F9522B">
        <w:rPr>
          <w:rFonts w:eastAsiaTheme="minorEastAsia"/>
          <w:bCs/>
          <w:kern w:val="0"/>
          <w:sz w:val="24"/>
        </w:rPr>
        <w:instrText xml:space="preserve"> = 5 \* ROMAN </w:instrText>
      </w:r>
      <w:r w:rsidR="005273A1" w:rsidRPr="00F9522B">
        <w:rPr>
          <w:rFonts w:eastAsiaTheme="minorEastAsia"/>
          <w:bCs/>
          <w:kern w:val="0"/>
          <w:sz w:val="24"/>
        </w:rPr>
        <w:fldChar w:fldCharType="separate"/>
      </w:r>
      <w:r w:rsidRPr="00F9522B">
        <w:rPr>
          <w:rFonts w:eastAsiaTheme="minorEastAsia"/>
          <w:bCs/>
          <w:kern w:val="0"/>
          <w:sz w:val="24"/>
        </w:rPr>
        <w:t>V</w:t>
      </w:r>
      <w:r w:rsidR="005273A1" w:rsidRPr="00F9522B">
        <w:rPr>
          <w:rFonts w:eastAsiaTheme="minorEastAsia"/>
          <w:bCs/>
          <w:kern w:val="0"/>
          <w:sz w:val="24"/>
        </w:rPr>
        <w:fldChar w:fldCharType="end"/>
      </w:r>
      <w:r w:rsidRPr="00F9522B">
        <w:rPr>
          <w:rFonts w:eastAsiaTheme="minorEastAsia"/>
          <w:bCs/>
          <w:kern w:val="0"/>
          <w:sz w:val="24"/>
        </w:rPr>
        <w:t>类，漂河参照少陵河执行</w:t>
      </w:r>
      <w:r w:rsidR="00611CBA" w:rsidRPr="00F9522B">
        <w:rPr>
          <w:rFonts w:eastAsiaTheme="minorEastAsia"/>
          <w:kern w:val="24"/>
          <w:sz w:val="24"/>
        </w:rPr>
        <w:t>。</w:t>
      </w:r>
      <w:r w:rsidR="00611CBA" w:rsidRPr="00F9522B">
        <w:rPr>
          <w:rFonts w:eastAsiaTheme="minorEastAsia"/>
          <w:sz w:val="24"/>
        </w:rPr>
        <w:t>根据《</w:t>
      </w:r>
      <w:r w:rsidR="00611CBA" w:rsidRPr="00F9522B">
        <w:rPr>
          <w:rFonts w:eastAsiaTheme="minorEastAsia"/>
          <w:sz w:val="24"/>
        </w:rPr>
        <w:t>2024</w:t>
      </w:r>
      <w:r w:rsidR="00611CBA" w:rsidRPr="00F9522B">
        <w:rPr>
          <w:rFonts w:eastAsiaTheme="minorEastAsia"/>
          <w:sz w:val="24"/>
        </w:rPr>
        <w:t>年哈尔滨生态环境质量状况年报》及《</w:t>
      </w:r>
      <w:r w:rsidR="00611CBA" w:rsidRPr="00F9522B">
        <w:rPr>
          <w:rFonts w:eastAsiaTheme="minorEastAsia"/>
          <w:bCs/>
          <w:sz w:val="24"/>
        </w:rPr>
        <w:t>哈尔滨市水环境质量月报</w:t>
      </w:r>
      <w:r w:rsidR="00611CBA" w:rsidRPr="00F9522B">
        <w:rPr>
          <w:rFonts w:eastAsiaTheme="minorEastAsia"/>
          <w:sz w:val="24"/>
        </w:rPr>
        <w:t>》可知，少陵河桥</w:t>
      </w:r>
      <w:r w:rsidR="00611CBA" w:rsidRPr="00F9522B">
        <w:rPr>
          <w:rFonts w:eastAsiaTheme="minorEastAsia"/>
          <w:bCs/>
          <w:kern w:val="0"/>
          <w:sz w:val="24"/>
          <w:szCs w:val="21"/>
        </w:rPr>
        <w:t>断面水质为</w:t>
      </w:r>
      <w:r w:rsidR="005273A1" w:rsidRPr="00F9522B">
        <w:rPr>
          <w:rFonts w:eastAsiaTheme="minorEastAsia"/>
          <w:bCs/>
          <w:kern w:val="0"/>
          <w:sz w:val="24"/>
          <w:szCs w:val="21"/>
        </w:rPr>
        <w:fldChar w:fldCharType="begin"/>
      </w:r>
      <w:r w:rsidR="00611CBA" w:rsidRPr="00F9522B">
        <w:rPr>
          <w:rFonts w:eastAsiaTheme="minorEastAsia"/>
          <w:bCs/>
          <w:kern w:val="0"/>
          <w:sz w:val="24"/>
          <w:szCs w:val="21"/>
        </w:rPr>
        <w:instrText xml:space="preserve"> = 5 \* ROMAN </w:instrText>
      </w:r>
      <w:r w:rsidR="005273A1" w:rsidRPr="00F9522B">
        <w:rPr>
          <w:rFonts w:eastAsiaTheme="minorEastAsia"/>
          <w:bCs/>
          <w:kern w:val="0"/>
          <w:sz w:val="24"/>
          <w:szCs w:val="21"/>
        </w:rPr>
        <w:fldChar w:fldCharType="separate"/>
      </w:r>
      <w:r w:rsidR="00611CBA" w:rsidRPr="00F9522B">
        <w:rPr>
          <w:rFonts w:eastAsiaTheme="minorEastAsia"/>
          <w:bCs/>
          <w:kern w:val="0"/>
          <w:sz w:val="24"/>
          <w:szCs w:val="21"/>
        </w:rPr>
        <w:t>V</w:t>
      </w:r>
      <w:r w:rsidR="005273A1" w:rsidRPr="00F9522B">
        <w:rPr>
          <w:rFonts w:eastAsiaTheme="minorEastAsia"/>
          <w:bCs/>
          <w:kern w:val="0"/>
          <w:sz w:val="24"/>
          <w:szCs w:val="21"/>
        </w:rPr>
        <w:fldChar w:fldCharType="end"/>
      </w:r>
      <w:r w:rsidR="00611CBA" w:rsidRPr="00F9522B">
        <w:rPr>
          <w:rFonts w:eastAsiaTheme="minorEastAsia"/>
          <w:bCs/>
          <w:kern w:val="0"/>
          <w:sz w:val="24"/>
          <w:szCs w:val="21"/>
        </w:rPr>
        <w:t>类，</w:t>
      </w:r>
      <w:r w:rsidR="00611CBA" w:rsidRPr="00F9522B">
        <w:rPr>
          <w:rFonts w:eastAsiaTheme="minorEastAsia"/>
          <w:bCs/>
          <w:kern w:val="0"/>
          <w:sz w:val="24"/>
          <w:szCs w:val="21"/>
        </w:rPr>
        <w:t>202</w:t>
      </w:r>
      <w:r w:rsidRPr="00F9522B">
        <w:rPr>
          <w:rFonts w:eastAsiaTheme="minorEastAsia"/>
          <w:bCs/>
          <w:kern w:val="0"/>
          <w:sz w:val="24"/>
          <w:szCs w:val="21"/>
        </w:rPr>
        <w:t>5</w:t>
      </w:r>
      <w:r w:rsidR="00611CBA" w:rsidRPr="00F9522B">
        <w:rPr>
          <w:rFonts w:eastAsiaTheme="minorEastAsia"/>
          <w:bCs/>
          <w:kern w:val="0"/>
          <w:sz w:val="24"/>
          <w:szCs w:val="21"/>
        </w:rPr>
        <w:t>年</w:t>
      </w:r>
      <w:r w:rsidR="00611CBA" w:rsidRPr="00F9522B">
        <w:rPr>
          <w:rFonts w:eastAsiaTheme="minorEastAsia"/>
          <w:bCs/>
          <w:kern w:val="0"/>
          <w:sz w:val="24"/>
          <w:szCs w:val="21"/>
        </w:rPr>
        <w:t>5</w:t>
      </w:r>
      <w:r w:rsidR="00611CBA" w:rsidRPr="00F9522B">
        <w:rPr>
          <w:rFonts w:eastAsiaTheme="minorEastAsia"/>
          <w:bCs/>
          <w:kern w:val="0"/>
          <w:sz w:val="24"/>
          <w:szCs w:val="21"/>
        </w:rPr>
        <w:t>月水质超标，其他月份均达标，满足</w:t>
      </w:r>
      <w:r w:rsidR="005273A1" w:rsidRPr="00F9522B">
        <w:rPr>
          <w:rFonts w:eastAsiaTheme="minorEastAsia"/>
          <w:bCs/>
          <w:kern w:val="0"/>
          <w:sz w:val="24"/>
          <w:szCs w:val="21"/>
        </w:rPr>
        <w:fldChar w:fldCharType="begin"/>
      </w:r>
      <w:r w:rsidR="00611CBA" w:rsidRPr="00F9522B">
        <w:rPr>
          <w:rFonts w:eastAsiaTheme="minorEastAsia"/>
          <w:bCs/>
          <w:kern w:val="0"/>
          <w:sz w:val="24"/>
          <w:szCs w:val="21"/>
        </w:rPr>
        <w:instrText xml:space="preserve"> = 5 \* ROMAN </w:instrText>
      </w:r>
      <w:r w:rsidR="005273A1" w:rsidRPr="00F9522B">
        <w:rPr>
          <w:rFonts w:eastAsiaTheme="minorEastAsia"/>
          <w:bCs/>
          <w:kern w:val="0"/>
          <w:sz w:val="24"/>
          <w:szCs w:val="21"/>
        </w:rPr>
        <w:fldChar w:fldCharType="separate"/>
      </w:r>
      <w:r w:rsidR="00611CBA" w:rsidRPr="00F9522B">
        <w:rPr>
          <w:rFonts w:eastAsiaTheme="minorEastAsia"/>
          <w:bCs/>
          <w:kern w:val="0"/>
          <w:sz w:val="24"/>
          <w:szCs w:val="21"/>
        </w:rPr>
        <w:t>V</w:t>
      </w:r>
      <w:r w:rsidR="005273A1" w:rsidRPr="00F9522B">
        <w:rPr>
          <w:rFonts w:eastAsiaTheme="minorEastAsia"/>
          <w:bCs/>
          <w:kern w:val="0"/>
          <w:sz w:val="24"/>
          <w:szCs w:val="21"/>
        </w:rPr>
        <w:fldChar w:fldCharType="end"/>
      </w:r>
      <w:r w:rsidR="00611CBA" w:rsidRPr="00F9522B">
        <w:rPr>
          <w:rFonts w:eastAsiaTheme="minorEastAsia"/>
          <w:sz w:val="24"/>
        </w:rPr>
        <w:t>类水体类别要求。</w:t>
      </w:r>
      <w:r w:rsidRPr="00F9522B">
        <w:rPr>
          <w:rFonts w:eastAsiaTheme="minorEastAsia"/>
          <w:sz w:val="24"/>
        </w:rPr>
        <w:t>大顶子山</w:t>
      </w:r>
      <w:r w:rsidRPr="00F9522B">
        <w:rPr>
          <w:rFonts w:eastAsiaTheme="minorEastAsia"/>
          <w:bCs/>
          <w:kern w:val="0"/>
          <w:sz w:val="24"/>
          <w:szCs w:val="21"/>
        </w:rPr>
        <w:t>水质目标为</w:t>
      </w:r>
      <w:r w:rsidRPr="00F9522B">
        <w:rPr>
          <w:rFonts w:eastAsiaTheme="minorEastAsia"/>
          <w:bCs/>
          <w:kern w:val="0"/>
          <w:sz w:val="24"/>
          <w:szCs w:val="21"/>
        </w:rPr>
        <w:t>Ⅲ</w:t>
      </w:r>
      <w:r w:rsidRPr="00F9522B">
        <w:rPr>
          <w:rFonts w:eastAsiaTheme="minorEastAsia"/>
          <w:bCs/>
          <w:kern w:val="0"/>
          <w:sz w:val="24"/>
          <w:szCs w:val="21"/>
        </w:rPr>
        <w:t>类，</w:t>
      </w:r>
      <w:r w:rsidRPr="00F9522B">
        <w:rPr>
          <w:rFonts w:eastAsiaTheme="minorEastAsia"/>
          <w:bCs/>
          <w:kern w:val="0"/>
          <w:sz w:val="24"/>
          <w:szCs w:val="21"/>
        </w:rPr>
        <w:t>2025</w:t>
      </w:r>
      <w:r w:rsidRPr="00F9522B">
        <w:rPr>
          <w:rFonts w:eastAsiaTheme="minorEastAsia"/>
          <w:bCs/>
          <w:kern w:val="0"/>
          <w:sz w:val="24"/>
          <w:szCs w:val="21"/>
        </w:rPr>
        <w:t>年</w:t>
      </w:r>
      <w:r w:rsidRPr="00F9522B">
        <w:rPr>
          <w:rFonts w:eastAsiaTheme="minorEastAsia"/>
          <w:bCs/>
          <w:kern w:val="0"/>
          <w:sz w:val="24"/>
          <w:szCs w:val="21"/>
        </w:rPr>
        <w:t>1</w:t>
      </w:r>
      <w:r w:rsidRPr="00F9522B">
        <w:rPr>
          <w:rFonts w:eastAsiaTheme="minorEastAsia"/>
          <w:bCs/>
          <w:kern w:val="0"/>
          <w:sz w:val="24"/>
          <w:szCs w:val="21"/>
        </w:rPr>
        <w:t>月</w:t>
      </w:r>
      <w:r w:rsidRPr="00F9522B">
        <w:rPr>
          <w:rFonts w:eastAsiaTheme="minorEastAsia"/>
          <w:bCs/>
          <w:kern w:val="0"/>
          <w:sz w:val="24"/>
          <w:szCs w:val="21"/>
        </w:rPr>
        <w:t>-2026</w:t>
      </w:r>
      <w:r w:rsidRPr="00F9522B">
        <w:rPr>
          <w:rFonts w:eastAsiaTheme="minorEastAsia"/>
          <w:bCs/>
          <w:kern w:val="0"/>
          <w:sz w:val="24"/>
          <w:szCs w:val="21"/>
        </w:rPr>
        <w:t>年</w:t>
      </w:r>
      <w:r w:rsidRPr="00F9522B">
        <w:rPr>
          <w:rFonts w:eastAsiaTheme="minorEastAsia"/>
          <w:bCs/>
          <w:kern w:val="0"/>
          <w:sz w:val="24"/>
          <w:szCs w:val="21"/>
        </w:rPr>
        <w:t>3</w:t>
      </w:r>
      <w:r w:rsidRPr="00F9522B">
        <w:rPr>
          <w:rFonts w:eastAsiaTheme="minorEastAsia"/>
          <w:bCs/>
          <w:kern w:val="0"/>
          <w:sz w:val="24"/>
          <w:szCs w:val="21"/>
        </w:rPr>
        <w:t>月水质均达标，满足</w:t>
      </w:r>
      <w:r w:rsidRPr="00F9522B">
        <w:rPr>
          <w:rFonts w:eastAsiaTheme="minorEastAsia"/>
          <w:bCs/>
          <w:kern w:val="0"/>
          <w:sz w:val="24"/>
          <w:szCs w:val="21"/>
        </w:rPr>
        <w:t>Ⅲ</w:t>
      </w:r>
      <w:r w:rsidRPr="00F9522B">
        <w:rPr>
          <w:rFonts w:eastAsiaTheme="minorEastAsia"/>
          <w:bCs/>
          <w:kern w:val="0"/>
          <w:sz w:val="24"/>
          <w:szCs w:val="21"/>
        </w:rPr>
        <w:t>类</w:t>
      </w:r>
      <w:r w:rsidRPr="00F9522B">
        <w:rPr>
          <w:rFonts w:eastAsiaTheme="minorEastAsia"/>
          <w:sz w:val="24"/>
        </w:rPr>
        <w:t>水体类别要求</w:t>
      </w:r>
      <w:r w:rsidR="00611CBA" w:rsidRPr="00F9522B">
        <w:rPr>
          <w:rFonts w:eastAsiaTheme="minorEastAsia"/>
          <w:sz w:val="24"/>
        </w:rPr>
        <w:t>。</w:t>
      </w:r>
      <w:r w:rsidR="00611CBA" w:rsidRPr="00F9522B">
        <w:rPr>
          <w:rFonts w:eastAsiaTheme="minorEastAsia"/>
          <w:kern w:val="0"/>
          <w:sz w:val="24"/>
        </w:rPr>
        <w:t>本项目实施后，由于灌溉水利用系数的提升、农田保水能力增强以及渠系配套系统的完善，现状水田灌溉地表水退水量减少，相应污染物</w:t>
      </w:r>
      <w:r w:rsidR="00E03AD9" w:rsidRPr="00F9522B">
        <w:rPr>
          <w:rFonts w:eastAsiaTheme="minorEastAsia"/>
          <w:bCs/>
          <w:sz w:val="24"/>
        </w:rPr>
        <w:t>COD</w:t>
      </w:r>
      <w:r w:rsidR="00E03AD9" w:rsidRPr="00F9522B">
        <w:rPr>
          <w:rFonts w:eastAsiaTheme="minorEastAsia"/>
          <w:bCs/>
          <w:sz w:val="24"/>
        </w:rPr>
        <w:t>、氨氮、总磷及总氮排放量分别减少</w:t>
      </w:r>
      <w:r w:rsidR="00E03AD9" w:rsidRPr="00F9522B">
        <w:rPr>
          <w:rFonts w:eastAsiaTheme="minorEastAsia"/>
          <w:bCs/>
          <w:sz w:val="24"/>
        </w:rPr>
        <w:t>7.905t/a</w:t>
      </w:r>
      <w:r w:rsidR="00E03AD9" w:rsidRPr="00F9522B">
        <w:rPr>
          <w:rFonts w:eastAsiaTheme="minorEastAsia"/>
          <w:bCs/>
          <w:sz w:val="24"/>
        </w:rPr>
        <w:t>、</w:t>
      </w:r>
      <w:r w:rsidR="00E03AD9" w:rsidRPr="00F9522B">
        <w:rPr>
          <w:rFonts w:eastAsiaTheme="minorEastAsia"/>
          <w:bCs/>
          <w:sz w:val="24"/>
        </w:rPr>
        <w:t>0.189t/a</w:t>
      </w:r>
      <w:r w:rsidR="00E03AD9" w:rsidRPr="00F9522B">
        <w:rPr>
          <w:rFonts w:eastAsiaTheme="minorEastAsia"/>
          <w:bCs/>
          <w:sz w:val="24"/>
        </w:rPr>
        <w:t>、</w:t>
      </w:r>
      <w:r w:rsidR="00E03AD9" w:rsidRPr="00F9522B">
        <w:rPr>
          <w:rFonts w:eastAsiaTheme="minorEastAsia"/>
          <w:bCs/>
          <w:sz w:val="24"/>
        </w:rPr>
        <w:t>0.276t/a</w:t>
      </w:r>
      <w:r w:rsidR="00E03AD9" w:rsidRPr="00F9522B">
        <w:rPr>
          <w:rFonts w:eastAsiaTheme="minorEastAsia"/>
          <w:bCs/>
          <w:sz w:val="24"/>
        </w:rPr>
        <w:t>、</w:t>
      </w:r>
      <w:r w:rsidR="00E03AD9" w:rsidRPr="00F9522B">
        <w:rPr>
          <w:rFonts w:eastAsiaTheme="minorEastAsia"/>
          <w:bCs/>
          <w:sz w:val="24"/>
        </w:rPr>
        <w:t>0.63t/a</w:t>
      </w:r>
      <w:r w:rsidR="00611CBA" w:rsidRPr="00F9522B">
        <w:rPr>
          <w:rFonts w:eastAsiaTheme="minorEastAsia"/>
          <w:bCs/>
          <w:sz w:val="24"/>
        </w:rPr>
        <w:t>。</w:t>
      </w:r>
      <w:r w:rsidR="00611CBA" w:rsidRPr="00F9522B">
        <w:rPr>
          <w:rFonts w:eastAsiaTheme="minorEastAsia"/>
          <w:bCs/>
          <w:kern w:val="0"/>
          <w:sz w:val="24"/>
        </w:rPr>
        <w:t>有利于受纳水体</w:t>
      </w:r>
      <w:r w:rsidR="00507669" w:rsidRPr="00F9522B">
        <w:rPr>
          <w:rFonts w:eastAsiaTheme="minorEastAsia"/>
          <w:sz w:val="24"/>
        </w:rPr>
        <w:t>松花江</w:t>
      </w:r>
      <w:r w:rsidR="00611CBA" w:rsidRPr="00F9522B">
        <w:rPr>
          <w:rFonts w:eastAsiaTheme="minorEastAsia"/>
          <w:bCs/>
          <w:kern w:val="0"/>
          <w:sz w:val="24"/>
        </w:rPr>
        <w:t>及漂河河流水质的维持和改善</w:t>
      </w:r>
      <w:r w:rsidR="00611CBA" w:rsidRPr="00F9522B">
        <w:rPr>
          <w:rFonts w:eastAsiaTheme="minorEastAsia"/>
          <w:kern w:val="0"/>
          <w:sz w:val="24"/>
        </w:rPr>
        <w:t>。故本工程建设与《黑龙江省重点流域水生态环境保护规划》要求相符合。</w:t>
      </w:r>
    </w:p>
    <w:p w:rsidR="002A5A5E" w:rsidRPr="00F9522B" w:rsidRDefault="00611CBA">
      <w:pPr>
        <w:spacing w:line="360" w:lineRule="auto"/>
        <w:ind w:firstLineChars="200" w:firstLine="480"/>
        <w:jc w:val="left"/>
        <w:rPr>
          <w:rFonts w:eastAsiaTheme="minorEastAsia"/>
          <w:b/>
          <w:kern w:val="0"/>
          <w:sz w:val="24"/>
        </w:rPr>
      </w:pPr>
      <w:r w:rsidRPr="00F9522B">
        <w:rPr>
          <w:rFonts w:eastAsiaTheme="minorEastAsia"/>
          <w:sz w:val="24"/>
        </w:rPr>
        <w:t>（</w:t>
      </w:r>
      <w:r w:rsidR="00600084" w:rsidRPr="00F9522B">
        <w:rPr>
          <w:rFonts w:eastAsiaTheme="minorEastAsia"/>
          <w:sz w:val="24"/>
        </w:rPr>
        <w:t>7</w:t>
      </w:r>
      <w:r w:rsidRPr="00F9522B">
        <w:rPr>
          <w:rFonts w:eastAsiaTheme="minorEastAsia"/>
          <w:sz w:val="24"/>
        </w:rPr>
        <w:t>）</w:t>
      </w:r>
      <w:r w:rsidRPr="00F9522B">
        <w:rPr>
          <w:rFonts w:eastAsiaTheme="minorEastAsia"/>
          <w:kern w:val="0"/>
          <w:sz w:val="24"/>
        </w:rPr>
        <w:t>与《自然资源部关于规范临时用地管理的通知》（自然资规</w:t>
      </w:r>
      <w:r w:rsidRPr="00F9522B">
        <w:rPr>
          <w:rFonts w:eastAsiaTheme="minorEastAsia"/>
          <w:kern w:val="0"/>
          <w:sz w:val="24"/>
        </w:rPr>
        <w:t>[2021]2</w:t>
      </w:r>
      <w:r w:rsidRPr="00F9522B">
        <w:rPr>
          <w:rFonts w:eastAsiaTheme="minorEastAsia"/>
          <w:kern w:val="0"/>
          <w:sz w:val="24"/>
        </w:rPr>
        <w:t>号）符合性分析</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设项目施工、地质勘查使用临时用地时应坚持</w:t>
      </w:r>
      <w:r w:rsidRPr="00F9522B">
        <w:rPr>
          <w:rFonts w:eastAsiaTheme="minorEastAsia"/>
          <w:sz w:val="24"/>
        </w:rPr>
        <w:t>“</w:t>
      </w:r>
      <w:r w:rsidRPr="00F9522B">
        <w:rPr>
          <w:rFonts w:eastAsiaTheme="minorEastAsia"/>
          <w:sz w:val="24"/>
        </w:rPr>
        <w:t>用多少、批多少、占多少、恢复多少</w:t>
      </w:r>
      <w:r w:rsidRPr="00F9522B">
        <w:rPr>
          <w:rFonts w:eastAsiaTheme="minorEastAsia"/>
          <w:sz w:val="24"/>
        </w:rPr>
        <w:t>”</w:t>
      </w:r>
      <w:r w:rsidRPr="00F9522B">
        <w:rPr>
          <w:rFonts w:eastAsiaTheme="minorEastAsia"/>
          <w:sz w:val="24"/>
        </w:rPr>
        <w:t>，尽量不占或者少占耕地。使用后土地复垦难度较大的临时用地，要严格控制占用耕地。铁路、公路等单独选址建设项目，应科学组织施工，节约集约使用临时用地。制梁场、拌合站等难以恢复原种植条件的不得以临时用地方式占用耕地和永久基本农田，可以建设用地方式或者临时占用未利用地方式使用土地。临时用地确需占用永久基本农田的，必须能够恢复原种植条件，并符合《自然资源部</w:t>
      </w:r>
      <w:r w:rsidRPr="00F9522B">
        <w:rPr>
          <w:rFonts w:eastAsiaTheme="minorEastAsia"/>
          <w:sz w:val="24"/>
        </w:rPr>
        <w:t xml:space="preserve"> </w:t>
      </w:r>
      <w:r w:rsidRPr="00F9522B">
        <w:rPr>
          <w:rFonts w:eastAsiaTheme="minorEastAsia"/>
          <w:sz w:val="24"/>
        </w:rPr>
        <w:t>农业农村部关于加强和改进永久基本农田保护工作的通知》（自然资规〔</w:t>
      </w:r>
      <w:r w:rsidRPr="00F9522B">
        <w:rPr>
          <w:rFonts w:eastAsiaTheme="minorEastAsia"/>
          <w:sz w:val="24"/>
        </w:rPr>
        <w:t>2019</w:t>
      </w:r>
      <w:r w:rsidRPr="00F9522B">
        <w:rPr>
          <w:rFonts w:eastAsiaTheme="minorEastAsia"/>
          <w:sz w:val="24"/>
        </w:rPr>
        <w:t>〕</w:t>
      </w:r>
      <w:r w:rsidRPr="00F9522B">
        <w:rPr>
          <w:rFonts w:eastAsiaTheme="minorEastAsia"/>
          <w:sz w:val="24"/>
        </w:rPr>
        <w:t>1</w:t>
      </w:r>
      <w:r w:rsidRPr="00F9522B">
        <w:rPr>
          <w:rFonts w:eastAsiaTheme="minorEastAsia"/>
          <w:sz w:val="24"/>
        </w:rPr>
        <w:t>号）中申请条件、土壤剥离、复垦验收等有关规定。</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严格落实临时用地恢复责任，临时用地期满后应当拆除临时建（构）筑物，使用耕地的应当复垦为耕地，确保耕地面积不减少、质量不降低；使用耕地以外的其他农用地的应当恢复为农用地；使用未利用地的，对于符合条件的鼓励复垦为耕地。</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smallCaps/>
          <w:sz w:val="24"/>
        </w:rPr>
        <w:lastRenderedPageBreak/>
        <w:t>本项目田间道路工程在现有</w:t>
      </w:r>
      <w:r w:rsidR="00D61453" w:rsidRPr="00F9522B">
        <w:rPr>
          <w:rFonts w:eastAsiaTheme="minorEastAsia"/>
          <w:smallCaps/>
          <w:sz w:val="24"/>
        </w:rPr>
        <w:t>道路基础上修建，现有灌溉渠道衬砌，现有排水沟清淤，田块整治工程</w:t>
      </w:r>
      <w:r w:rsidRPr="00F9522B">
        <w:rPr>
          <w:rFonts w:eastAsiaTheme="minorEastAsia"/>
          <w:bCs/>
          <w:smallCaps/>
          <w:sz w:val="24"/>
        </w:rPr>
        <w:t>在永久占地范围内</w:t>
      </w:r>
      <w:r w:rsidRPr="00F9522B">
        <w:rPr>
          <w:rFonts w:eastAsiaTheme="minorEastAsia"/>
          <w:smallCaps/>
          <w:sz w:val="24"/>
        </w:rPr>
        <w:t>，不新增临时占地，尽量减少占地。临时占地不占用</w:t>
      </w:r>
      <w:r w:rsidRPr="00F9522B">
        <w:rPr>
          <w:rFonts w:eastAsiaTheme="minorEastAsia"/>
          <w:sz w:val="24"/>
        </w:rPr>
        <w:t>永久基本农田。临时占地恢复为原地类，建设单位为临时占地恢复责任主体，确保耕地面积不减少、质量不降低。</w:t>
      </w:r>
      <w:r w:rsidRPr="00F9522B">
        <w:rPr>
          <w:rFonts w:eastAsiaTheme="minorEastAsia"/>
          <w:kern w:val="0"/>
          <w:sz w:val="24"/>
        </w:rPr>
        <w:t>本工程建设与《自然资源部关于规范临时用地管理的通知》要求相符合。</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w:t>
      </w:r>
      <w:r w:rsidR="00600084" w:rsidRPr="00F9522B">
        <w:rPr>
          <w:rFonts w:eastAsiaTheme="minorEastAsia"/>
          <w:sz w:val="24"/>
        </w:rPr>
        <w:t>8</w:t>
      </w:r>
      <w:r w:rsidRPr="00F9522B">
        <w:rPr>
          <w:rFonts w:eastAsiaTheme="minorEastAsia"/>
          <w:sz w:val="24"/>
        </w:rPr>
        <w:t>）与《高标准农田建设</w:t>
      </w:r>
      <w:r w:rsidRPr="00F9522B">
        <w:rPr>
          <w:rFonts w:eastAsiaTheme="minorEastAsia"/>
          <w:sz w:val="24"/>
        </w:rPr>
        <w:t xml:space="preserve"> </w:t>
      </w:r>
      <w:r w:rsidRPr="00F9522B">
        <w:rPr>
          <w:rFonts w:eastAsiaTheme="minorEastAsia"/>
          <w:sz w:val="24"/>
        </w:rPr>
        <w:t>通则》（</w:t>
      </w:r>
      <w:r w:rsidRPr="00F9522B">
        <w:rPr>
          <w:rFonts w:eastAsiaTheme="minorEastAsia"/>
          <w:sz w:val="24"/>
        </w:rPr>
        <w:t>GB/T30600-2022</w:t>
      </w:r>
      <w:r w:rsidRPr="00F9522B">
        <w:rPr>
          <w:rFonts w:eastAsiaTheme="minorEastAsia"/>
          <w:sz w:val="24"/>
        </w:rPr>
        <w:t>）符合性分析</w:t>
      </w:r>
    </w:p>
    <w:p w:rsidR="00006C8A" w:rsidRPr="00F9522B" w:rsidRDefault="00006C8A">
      <w:pPr>
        <w:jc w:val="center"/>
        <w:rPr>
          <w:rFonts w:eastAsiaTheme="minorEastAsia"/>
          <w:b/>
          <w:szCs w:val="21"/>
        </w:rPr>
      </w:pPr>
    </w:p>
    <w:p w:rsidR="00006C8A" w:rsidRPr="00F9522B" w:rsidRDefault="00006C8A">
      <w:pPr>
        <w:jc w:val="center"/>
        <w:rPr>
          <w:rFonts w:eastAsiaTheme="minorEastAsia"/>
          <w:b/>
          <w:szCs w:val="21"/>
        </w:rPr>
      </w:pPr>
    </w:p>
    <w:p w:rsidR="00006C8A" w:rsidRPr="00F9522B" w:rsidRDefault="00006C8A">
      <w:pPr>
        <w:jc w:val="center"/>
        <w:rPr>
          <w:rFonts w:eastAsiaTheme="minorEastAsia"/>
          <w:b/>
          <w:szCs w:val="21"/>
        </w:rPr>
      </w:pPr>
    </w:p>
    <w:p w:rsidR="00006C8A" w:rsidRPr="00F9522B" w:rsidRDefault="00006C8A">
      <w:pPr>
        <w:jc w:val="center"/>
        <w:rPr>
          <w:rFonts w:eastAsiaTheme="minorEastAsia"/>
          <w:b/>
          <w:szCs w:val="21"/>
        </w:rPr>
      </w:pPr>
    </w:p>
    <w:p w:rsidR="00006C8A" w:rsidRPr="00F9522B" w:rsidRDefault="00006C8A">
      <w:pPr>
        <w:jc w:val="center"/>
        <w:rPr>
          <w:rFonts w:eastAsiaTheme="minorEastAsia"/>
          <w:b/>
          <w:szCs w:val="21"/>
        </w:rPr>
      </w:pPr>
    </w:p>
    <w:p w:rsidR="00006C8A" w:rsidRPr="00F9522B" w:rsidRDefault="00006C8A">
      <w:pPr>
        <w:jc w:val="center"/>
        <w:rPr>
          <w:rFonts w:eastAsiaTheme="minorEastAsia"/>
          <w:b/>
          <w:szCs w:val="21"/>
        </w:rPr>
      </w:pPr>
    </w:p>
    <w:p w:rsidR="00006C8A" w:rsidRPr="00F9522B" w:rsidRDefault="00006C8A">
      <w:pPr>
        <w:jc w:val="center"/>
        <w:rPr>
          <w:rFonts w:eastAsiaTheme="minorEastAsia"/>
          <w:b/>
          <w:szCs w:val="21"/>
        </w:rPr>
      </w:pPr>
    </w:p>
    <w:p w:rsidR="00006C8A" w:rsidRPr="00F9522B" w:rsidRDefault="00006C8A">
      <w:pPr>
        <w:jc w:val="center"/>
        <w:rPr>
          <w:rFonts w:eastAsiaTheme="minorEastAsia"/>
          <w:b/>
          <w:szCs w:val="21"/>
        </w:rPr>
      </w:pPr>
    </w:p>
    <w:p w:rsidR="00006C8A" w:rsidRPr="00F9522B" w:rsidRDefault="00006C8A">
      <w:pPr>
        <w:jc w:val="center"/>
        <w:rPr>
          <w:rFonts w:eastAsiaTheme="minorEastAsia"/>
          <w:b/>
          <w:szCs w:val="21"/>
        </w:rPr>
      </w:pPr>
    </w:p>
    <w:p w:rsidR="00006C8A" w:rsidRPr="00F9522B" w:rsidRDefault="00006C8A">
      <w:pPr>
        <w:jc w:val="center"/>
        <w:rPr>
          <w:rFonts w:eastAsiaTheme="minorEastAsia"/>
          <w:b/>
          <w:szCs w:val="21"/>
        </w:rPr>
      </w:pPr>
    </w:p>
    <w:p w:rsidR="00006C8A" w:rsidRPr="00F9522B" w:rsidRDefault="00006C8A">
      <w:pPr>
        <w:jc w:val="center"/>
        <w:rPr>
          <w:rFonts w:eastAsiaTheme="minorEastAsia"/>
          <w:b/>
          <w:szCs w:val="21"/>
        </w:rPr>
      </w:pPr>
    </w:p>
    <w:p w:rsidR="00006C8A" w:rsidRPr="00F9522B" w:rsidRDefault="00006C8A">
      <w:pPr>
        <w:jc w:val="center"/>
        <w:rPr>
          <w:rFonts w:eastAsiaTheme="minorEastAsia"/>
          <w:b/>
          <w:szCs w:val="21"/>
        </w:rPr>
      </w:pPr>
    </w:p>
    <w:p w:rsidR="00006C8A" w:rsidRPr="00F9522B" w:rsidRDefault="00006C8A">
      <w:pPr>
        <w:jc w:val="center"/>
        <w:rPr>
          <w:rFonts w:eastAsiaTheme="minorEastAsia"/>
          <w:b/>
          <w:szCs w:val="21"/>
        </w:rPr>
      </w:pPr>
    </w:p>
    <w:p w:rsidR="00006C8A" w:rsidRPr="00F9522B" w:rsidRDefault="00006C8A">
      <w:pPr>
        <w:jc w:val="center"/>
        <w:rPr>
          <w:rFonts w:eastAsiaTheme="minorEastAsia"/>
          <w:b/>
          <w:szCs w:val="21"/>
        </w:rPr>
      </w:pPr>
    </w:p>
    <w:p w:rsidR="00006C8A" w:rsidRPr="00F9522B" w:rsidRDefault="00006C8A">
      <w:pPr>
        <w:jc w:val="center"/>
        <w:rPr>
          <w:rFonts w:eastAsiaTheme="minorEastAsia"/>
          <w:b/>
          <w:szCs w:val="21"/>
        </w:rPr>
      </w:pPr>
    </w:p>
    <w:p w:rsidR="00006C8A" w:rsidRPr="00F9522B" w:rsidRDefault="00006C8A">
      <w:pPr>
        <w:jc w:val="center"/>
        <w:rPr>
          <w:rFonts w:eastAsiaTheme="minorEastAsia"/>
          <w:b/>
          <w:szCs w:val="21"/>
        </w:rPr>
      </w:pPr>
    </w:p>
    <w:p w:rsidR="00006C8A" w:rsidRPr="00F9522B" w:rsidRDefault="00006C8A">
      <w:pPr>
        <w:jc w:val="center"/>
        <w:rPr>
          <w:rFonts w:eastAsiaTheme="minorEastAsia"/>
          <w:b/>
          <w:szCs w:val="21"/>
        </w:rPr>
      </w:pPr>
    </w:p>
    <w:p w:rsidR="00006C8A" w:rsidRPr="00F9522B" w:rsidRDefault="00006C8A">
      <w:pPr>
        <w:jc w:val="center"/>
        <w:rPr>
          <w:rFonts w:eastAsiaTheme="minorEastAsia"/>
          <w:b/>
          <w:szCs w:val="21"/>
        </w:rPr>
      </w:pPr>
    </w:p>
    <w:p w:rsidR="00006C8A" w:rsidRPr="00F9522B" w:rsidRDefault="00006C8A">
      <w:pPr>
        <w:jc w:val="center"/>
        <w:rPr>
          <w:rFonts w:eastAsiaTheme="minorEastAsia"/>
          <w:b/>
          <w:szCs w:val="21"/>
        </w:rPr>
      </w:pPr>
    </w:p>
    <w:p w:rsidR="00006C8A" w:rsidRPr="00F9522B" w:rsidRDefault="00006C8A">
      <w:pPr>
        <w:jc w:val="center"/>
        <w:rPr>
          <w:rFonts w:eastAsiaTheme="minorEastAsia"/>
          <w:b/>
          <w:szCs w:val="21"/>
        </w:rPr>
      </w:pPr>
    </w:p>
    <w:p w:rsidR="00006C8A" w:rsidRPr="00F9522B" w:rsidRDefault="00006C8A">
      <w:pPr>
        <w:jc w:val="center"/>
        <w:rPr>
          <w:rFonts w:eastAsiaTheme="minorEastAsia"/>
          <w:b/>
          <w:szCs w:val="21"/>
        </w:rPr>
      </w:pPr>
    </w:p>
    <w:p w:rsidR="00006C8A" w:rsidRPr="00F9522B" w:rsidRDefault="00006C8A">
      <w:pPr>
        <w:jc w:val="center"/>
        <w:rPr>
          <w:rFonts w:eastAsiaTheme="minorEastAsia"/>
          <w:b/>
          <w:szCs w:val="21"/>
        </w:rPr>
      </w:pPr>
    </w:p>
    <w:p w:rsidR="00006C8A" w:rsidRPr="00F9522B" w:rsidRDefault="00006C8A">
      <w:pPr>
        <w:jc w:val="center"/>
        <w:rPr>
          <w:rFonts w:eastAsiaTheme="minorEastAsia"/>
          <w:b/>
          <w:szCs w:val="21"/>
        </w:rPr>
      </w:pPr>
    </w:p>
    <w:p w:rsidR="00006C8A" w:rsidRPr="00F9522B" w:rsidRDefault="00006C8A">
      <w:pPr>
        <w:jc w:val="center"/>
        <w:rPr>
          <w:rFonts w:eastAsiaTheme="minorEastAsia"/>
          <w:b/>
          <w:szCs w:val="21"/>
        </w:rPr>
      </w:pPr>
    </w:p>
    <w:p w:rsidR="00006C8A" w:rsidRPr="00F9522B" w:rsidRDefault="00006C8A">
      <w:pPr>
        <w:jc w:val="center"/>
        <w:rPr>
          <w:rFonts w:eastAsiaTheme="minorEastAsia"/>
          <w:b/>
          <w:szCs w:val="21"/>
        </w:rPr>
      </w:pPr>
    </w:p>
    <w:p w:rsidR="00006C8A" w:rsidRPr="00F9522B" w:rsidRDefault="00006C8A">
      <w:pPr>
        <w:jc w:val="center"/>
        <w:rPr>
          <w:rFonts w:eastAsiaTheme="minorEastAsia"/>
          <w:b/>
          <w:szCs w:val="21"/>
        </w:rPr>
      </w:pPr>
    </w:p>
    <w:p w:rsidR="00006C8A" w:rsidRPr="00F9522B" w:rsidRDefault="00006C8A">
      <w:pPr>
        <w:jc w:val="center"/>
        <w:rPr>
          <w:rFonts w:eastAsiaTheme="minorEastAsia"/>
          <w:b/>
          <w:szCs w:val="21"/>
        </w:rPr>
      </w:pPr>
    </w:p>
    <w:p w:rsidR="00006C8A" w:rsidRPr="00F9522B" w:rsidRDefault="00006C8A">
      <w:pPr>
        <w:jc w:val="center"/>
        <w:rPr>
          <w:rFonts w:eastAsiaTheme="minorEastAsia"/>
          <w:b/>
          <w:szCs w:val="21"/>
        </w:rPr>
      </w:pPr>
    </w:p>
    <w:p w:rsidR="00006C8A" w:rsidRPr="00F9522B" w:rsidRDefault="00006C8A">
      <w:pPr>
        <w:jc w:val="center"/>
        <w:rPr>
          <w:rFonts w:eastAsiaTheme="minorEastAsia"/>
          <w:b/>
          <w:szCs w:val="21"/>
        </w:rPr>
      </w:pPr>
    </w:p>
    <w:p w:rsidR="00006C8A" w:rsidRPr="00F9522B" w:rsidRDefault="00006C8A">
      <w:pPr>
        <w:jc w:val="center"/>
        <w:rPr>
          <w:rFonts w:eastAsiaTheme="minorEastAsia"/>
          <w:b/>
          <w:szCs w:val="21"/>
        </w:rPr>
      </w:pPr>
    </w:p>
    <w:p w:rsidR="00006C8A" w:rsidRPr="00F9522B" w:rsidRDefault="00006C8A">
      <w:pPr>
        <w:jc w:val="center"/>
        <w:rPr>
          <w:rFonts w:eastAsiaTheme="minorEastAsia"/>
          <w:b/>
          <w:szCs w:val="21"/>
        </w:rPr>
      </w:pPr>
    </w:p>
    <w:p w:rsidR="00006C8A" w:rsidRPr="00F9522B" w:rsidRDefault="00006C8A">
      <w:pPr>
        <w:jc w:val="center"/>
        <w:rPr>
          <w:rFonts w:eastAsiaTheme="minorEastAsia"/>
          <w:b/>
          <w:szCs w:val="21"/>
        </w:rPr>
      </w:pPr>
    </w:p>
    <w:p w:rsidR="00006C8A" w:rsidRPr="00F9522B" w:rsidRDefault="00006C8A">
      <w:pPr>
        <w:jc w:val="center"/>
        <w:rPr>
          <w:rFonts w:eastAsiaTheme="minorEastAsia"/>
          <w:b/>
          <w:szCs w:val="21"/>
        </w:rPr>
      </w:pPr>
    </w:p>
    <w:p w:rsidR="00006C8A" w:rsidRPr="00F9522B" w:rsidRDefault="00006C8A">
      <w:pPr>
        <w:jc w:val="center"/>
        <w:rPr>
          <w:rFonts w:eastAsiaTheme="minorEastAsia"/>
          <w:b/>
          <w:szCs w:val="21"/>
        </w:rPr>
      </w:pPr>
    </w:p>
    <w:p w:rsidR="00006C8A" w:rsidRPr="00F9522B" w:rsidRDefault="00006C8A">
      <w:pPr>
        <w:jc w:val="center"/>
        <w:rPr>
          <w:rFonts w:eastAsiaTheme="minorEastAsia"/>
          <w:b/>
          <w:szCs w:val="21"/>
        </w:rPr>
      </w:pPr>
    </w:p>
    <w:p w:rsidR="002A5A5E" w:rsidRPr="00F9522B" w:rsidRDefault="00611CBA">
      <w:pPr>
        <w:jc w:val="center"/>
        <w:rPr>
          <w:rFonts w:eastAsiaTheme="minorEastAsia"/>
          <w:b/>
          <w:szCs w:val="21"/>
        </w:rPr>
      </w:pPr>
      <w:r w:rsidRPr="00F9522B">
        <w:rPr>
          <w:rFonts w:eastAsiaTheme="minorEastAsia"/>
          <w:b/>
          <w:szCs w:val="21"/>
        </w:rPr>
        <w:lastRenderedPageBreak/>
        <w:t>表</w:t>
      </w:r>
      <w:r w:rsidRPr="00F9522B">
        <w:rPr>
          <w:rFonts w:eastAsiaTheme="minorEastAsia"/>
          <w:b/>
          <w:szCs w:val="21"/>
        </w:rPr>
        <w:t>1-4-</w:t>
      </w:r>
      <w:r w:rsidR="00C27FC4" w:rsidRPr="00F9522B">
        <w:rPr>
          <w:rFonts w:eastAsiaTheme="minorEastAsia"/>
          <w:b/>
          <w:szCs w:val="21"/>
        </w:rPr>
        <w:t>7</w:t>
      </w:r>
      <w:r w:rsidRPr="00F9522B">
        <w:rPr>
          <w:rFonts w:eastAsiaTheme="minorEastAsia"/>
          <w:b/>
          <w:szCs w:val="21"/>
        </w:rPr>
        <w:t>《高标准农田建设</w:t>
      </w:r>
      <w:r w:rsidRPr="00F9522B">
        <w:rPr>
          <w:rFonts w:eastAsiaTheme="minorEastAsia"/>
          <w:b/>
          <w:szCs w:val="21"/>
        </w:rPr>
        <w:t xml:space="preserve"> </w:t>
      </w:r>
      <w:r w:rsidRPr="00F9522B">
        <w:rPr>
          <w:rFonts w:eastAsiaTheme="minorEastAsia"/>
          <w:b/>
          <w:szCs w:val="21"/>
        </w:rPr>
        <w:t>通则》（</w:t>
      </w:r>
      <w:r w:rsidRPr="00F9522B">
        <w:rPr>
          <w:rFonts w:eastAsiaTheme="minorEastAsia"/>
          <w:b/>
          <w:szCs w:val="21"/>
        </w:rPr>
        <w:t>GB/T30600-2022</w:t>
      </w:r>
      <w:r w:rsidRPr="00F9522B">
        <w:rPr>
          <w:rFonts w:eastAsiaTheme="minorEastAsia"/>
          <w:b/>
          <w:szCs w:val="21"/>
        </w:rPr>
        <w:t>）符合性分析</w:t>
      </w:r>
    </w:p>
    <w:tbl>
      <w:tblPr>
        <w:tblW w:w="8670" w:type="dxa"/>
        <w:jc w:val="center"/>
        <w:tblBorders>
          <w:top w:val="single" w:sz="12" w:space="0" w:color="auto"/>
          <w:bottom w:val="single" w:sz="12" w:space="0" w:color="auto"/>
          <w:insideH w:val="single" w:sz="4" w:space="0" w:color="000000"/>
          <w:insideV w:val="single" w:sz="4" w:space="0" w:color="000000"/>
        </w:tblBorders>
        <w:tblLayout w:type="fixed"/>
        <w:tblLook w:val="04A0"/>
      </w:tblPr>
      <w:tblGrid>
        <w:gridCol w:w="608"/>
        <w:gridCol w:w="3827"/>
        <w:gridCol w:w="3685"/>
        <w:gridCol w:w="550"/>
      </w:tblGrid>
      <w:tr w:rsidR="002A5A5E" w:rsidRPr="00F9522B" w:rsidTr="00006C8A">
        <w:trPr>
          <w:trHeight w:val="113"/>
          <w:jc w:val="center"/>
        </w:trPr>
        <w:tc>
          <w:tcPr>
            <w:tcW w:w="608" w:type="dxa"/>
            <w:vAlign w:val="center"/>
          </w:tcPr>
          <w:p w:rsidR="002A5A5E" w:rsidRPr="00F9522B" w:rsidRDefault="00611CBA">
            <w:pPr>
              <w:tabs>
                <w:tab w:val="left" w:pos="900"/>
              </w:tabs>
              <w:jc w:val="center"/>
              <w:rPr>
                <w:rFonts w:eastAsiaTheme="minorEastAsia"/>
                <w:szCs w:val="21"/>
              </w:rPr>
            </w:pPr>
            <w:r w:rsidRPr="00F9522B">
              <w:rPr>
                <w:rFonts w:eastAsiaTheme="minorEastAsia"/>
                <w:szCs w:val="21"/>
              </w:rPr>
              <w:t>文件</w:t>
            </w:r>
          </w:p>
        </w:tc>
        <w:tc>
          <w:tcPr>
            <w:tcW w:w="3827" w:type="dxa"/>
            <w:vAlign w:val="center"/>
          </w:tcPr>
          <w:p w:rsidR="002A5A5E" w:rsidRPr="00F9522B" w:rsidRDefault="00611CBA">
            <w:pPr>
              <w:jc w:val="center"/>
              <w:rPr>
                <w:rFonts w:eastAsiaTheme="minorEastAsia"/>
                <w:szCs w:val="21"/>
              </w:rPr>
            </w:pPr>
            <w:r w:rsidRPr="00F9522B">
              <w:rPr>
                <w:rFonts w:eastAsiaTheme="minorEastAsia"/>
                <w:szCs w:val="21"/>
              </w:rPr>
              <w:t>内容</w:t>
            </w:r>
          </w:p>
        </w:tc>
        <w:tc>
          <w:tcPr>
            <w:tcW w:w="3685" w:type="dxa"/>
            <w:vAlign w:val="center"/>
          </w:tcPr>
          <w:p w:rsidR="002A5A5E" w:rsidRPr="00F9522B" w:rsidRDefault="00611CBA">
            <w:pPr>
              <w:jc w:val="center"/>
              <w:rPr>
                <w:rFonts w:eastAsiaTheme="minorEastAsia"/>
                <w:szCs w:val="21"/>
              </w:rPr>
            </w:pPr>
            <w:r w:rsidRPr="00F9522B">
              <w:rPr>
                <w:rFonts w:eastAsiaTheme="minorEastAsia"/>
                <w:szCs w:val="21"/>
              </w:rPr>
              <w:t>本项目相关指标</w:t>
            </w:r>
          </w:p>
        </w:tc>
        <w:tc>
          <w:tcPr>
            <w:tcW w:w="550" w:type="dxa"/>
            <w:vAlign w:val="center"/>
          </w:tcPr>
          <w:p w:rsidR="002A5A5E" w:rsidRPr="00F9522B" w:rsidRDefault="00611CBA">
            <w:pPr>
              <w:jc w:val="center"/>
              <w:rPr>
                <w:rFonts w:eastAsiaTheme="minorEastAsia"/>
                <w:szCs w:val="21"/>
              </w:rPr>
            </w:pPr>
            <w:r w:rsidRPr="00F9522B">
              <w:rPr>
                <w:rFonts w:eastAsiaTheme="minorEastAsia"/>
                <w:szCs w:val="21"/>
              </w:rPr>
              <w:t>符合性</w:t>
            </w:r>
          </w:p>
        </w:tc>
      </w:tr>
      <w:tr w:rsidR="002A5A5E" w:rsidRPr="00F9522B" w:rsidTr="00006C8A">
        <w:trPr>
          <w:trHeight w:val="1248"/>
          <w:jc w:val="center"/>
        </w:trPr>
        <w:tc>
          <w:tcPr>
            <w:tcW w:w="608" w:type="dxa"/>
            <w:vMerge w:val="restart"/>
            <w:vAlign w:val="center"/>
          </w:tcPr>
          <w:p w:rsidR="002A5A5E" w:rsidRPr="00F9522B" w:rsidRDefault="00611CBA">
            <w:pPr>
              <w:tabs>
                <w:tab w:val="left" w:pos="900"/>
              </w:tabs>
              <w:spacing w:line="300" w:lineRule="atLeast"/>
              <w:jc w:val="center"/>
              <w:rPr>
                <w:rFonts w:eastAsiaTheme="minorEastAsia"/>
                <w:szCs w:val="21"/>
              </w:rPr>
            </w:pPr>
            <w:r w:rsidRPr="00F9522B">
              <w:rPr>
                <w:rFonts w:eastAsiaTheme="minorEastAsia"/>
                <w:szCs w:val="21"/>
              </w:rPr>
              <w:t>《高标准农田建设</w:t>
            </w:r>
            <w:r w:rsidRPr="00F9522B">
              <w:rPr>
                <w:rFonts w:eastAsiaTheme="minorEastAsia"/>
                <w:szCs w:val="21"/>
              </w:rPr>
              <w:t xml:space="preserve"> </w:t>
            </w:r>
          </w:p>
          <w:p w:rsidR="002A5A5E" w:rsidRPr="00F9522B" w:rsidRDefault="00611CBA">
            <w:pPr>
              <w:tabs>
                <w:tab w:val="left" w:pos="900"/>
              </w:tabs>
              <w:spacing w:line="300" w:lineRule="atLeast"/>
              <w:jc w:val="center"/>
              <w:rPr>
                <w:rFonts w:eastAsiaTheme="minorEastAsia"/>
                <w:szCs w:val="21"/>
              </w:rPr>
            </w:pPr>
            <w:r w:rsidRPr="00F9522B">
              <w:rPr>
                <w:rFonts w:eastAsiaTheme="minorEastAsia"/>
                <w:szCs w:val="21"/>
              </w:rPr>
              <w:t>通则》</w:t>
            </w:r>
          </w:p>
        </w:tc>
        <w:tc>
          <w:tcPr>
            <w:tcW w:w="3827" w:type="dxa"/>
            <w:vAlign w:val="center"/>
          </w:tcPr>
          <w:p w:rsidR="002A5A5E" w:rsidRPr="00F9522B" w:rsidRDefault="00611CBA">
            <w:pPr>
              <w:tabs>
                <w:tab w:val="left" w:pos="900"/>
              </w:tabs>
              <w:spacing w:line="300" w:lineRule="atLeast"/>
              <w:jc w:val="left"/>
              <w:rPr>
                <w:rFonts w:eastAsiaTheme="minorEastAsia"/>
                <w:szCs w:val="21"/>
              </w:rPr>
            </w:pPr>
            <w:r w:rsidRPr="00F9522B">
              <w:rPr>
                <w:rFonts w:eastAsiaTheme="minorEastAsia"/>
                <w:szCs w:val="21"/>
              </w:rPr>
              <w:t>田：耕作田块是由田间末级固定沟、渠、路、田坎等围成的，满足农业作业需要的基本耕作单元。应因地制宜进行耕作田块布置，合理规划，提高田块归并程度，实现耕作田块相对集中。耕作田块的长度和宽度应根据气候条件，地形地貌，作物种类，机械作业、灌溉与排水效率等因素确定，并充分考虑水蚀风蚀。</w:t>
            </w:r>
          </w:p>
        </w:tc>
        <w:tc>
          <w:tcPr>
            <w:tcW w:w="3685" w:type="dxa"/>
            <w:vAlign w:val="center"/>
          </w:tcPr>
          <w:p w:rsidR="002A5A5E" w:rsidRPr="00F9522B" w:rsidRDefault="00611CBA">
            <w:pPr>
              <w:tabs>
                <w:tab w:val="left" w:pos="900"/>
              </w:tabs>
              <w:spacing w:line="300" w:lineRule="atLeast"/>
              <w:jc w:val="left"/>
              <w:rPr>
                <w:rFonts w:eastAsiaTheme="minorEastAsia"/>
                <w:szCs w:val="21"/>
              </w:rPr>
            </w:pPr>
            <w:r w:rsidRPr="00F9522B">
              <w:rPr>
                <w:rFonts w:eastAsiaTheme="minorEastAsia"/>
                <w:szCs w:val="21"/>
              </w:rPr>
              <w:t>本项目进行田块整治工程，建成后区域内田面平整，集中连片，耕作层厚度适宜。</w:t>
            </w:r>
          </w:p>
        </w:tc>
        <w:tc>
          <w:tcPr>
            <w:tcW w:w="550" w:type="dxa"/>
            <w:vAlign w:val="center"/>
          </w:tcPr>
          <w:p w:rsidR="002A5A5E" w:rsidRPr="00F9522B" w:rsidRDefault="00611CBA">
            <w:pPr>
              <w:tabs>
                <w:tab w:val="left" w:pos="900"/>
              </w:tabs>
              <w:spacing w:line="300" w:lineRule="atLeast"/>
              <w:jc w:val="center"/>
              <w:rPr>
                <w:rFonts w:eastAsiaTheme="minorEastAsia"/>
                <w:kern w:val="0"/>
                <w:szCs w:val="21"/>
              </w:rPr>
            </w:pPr>
            <w:r w:rsidRPr="00F9522B">
              <w:rPr>
                <w:rFonts w:eastAsiaTheme="minorEastAsia"/>
                <w:kern w:val="0"/>
                <w:szCs w:val="21"/>
              </w:rPr>
              <w:t>符合</w:t>
            </w:r>
          </w:p>
        </w:tc>
      </w:tr>
      <w:tr w:rsidR="002A5A5E" w:rsidRPr="00F9522B" w:rsidTr="00006C8A">
        <w:trPr>
          <w:trHeight w:val="145"/>
          <w:jc w:val="center"/>
        </w:trPr>
        <w:tc>
          <w:tcPr>
            <w:tcW w:w="608" w:type="dxa"/>
            <w:vMerge/>
            <w:vAlign w:val="center"/>
          </w:tcPr>
          <w:p w:rsidR="002A5A5E" w:rsidRPr="00F9522B" w:rsidRDefault="002A5A5E">
            <w:pPr>
              <w:tabs>
                <w:tab w:val="left" w:pos="900"/>
              </w:tabs>
              <w:spacing w:line="300" w:lineRule="atLeast"/>
              <w:jc w:val="center"/>
              <w:rPr>
                <w:rFonts w:eastAsiaTheme="minorEastAsia"/>
                <w:szCs w:val="21"/>
              </w:rPr>
            </w:pPr>
          </w:p>
        </w:tc>
        <w:tc>
          <w:tcPr>
            <w:tcW w:w="3827" w:type="dxa"/>
            <w:vAlign w:val="center"/>
          </w:tcPr>
          <w:p w:rsidR="002A5A5E" w:rsidRPr="00F9522B" w:rsidRDefault="00611CBA">
            <w:pPr>
              <w:tabs>
                <w:tab w:val="left" w:pos="900"/>
              </w:tabs>
              <w:spacing w:line="300" w:lineRule="atLeast"/>
              <w:jc w:val="left"/>
              <w:rPr>
                <w:rFonts w:eastAsiaTheme="minorEastAsia"/>
                <w:szCs w:val="21"/>
              </w:rPr>
            </w:pPr>
            <w:r w:rsidRPr="00F9522B">
              <w:rPr>
                <w:rFonts w:eastAsiaTheme="minorEastAsia"/>
                <w:szCs w:val="21"/>
              </w:rPr>
              <w:t>水：灌溉与排水工程指为防治农田旱、涝、溃和盐碱等对农业生产的危害所修建的水利设施，应遵循水土资源合理利用的原则。根据旱、涝、溃和盐碱综合治理的要求，结合田、路、林、电进行统一规划和综合布置。灌溉工程设计时应首先确定灌溉设计保证率。水源选择应根据当地实际情况，选用能满足灌溉用水要求的水源，水质应符合</w:t>
            </w:r>
            <w:r w:rsidRPr="00F9522B">
              <w:rPr>
                <w:rFonts w:eastAsiaTheme="minorEastAsia"/>
                <w:szCs w:val="21"/>
              </w:rPr>
              <w:t>GB5084</w:t>
            </w:r>
            <w:r w:rsidRPr="00F9522B">
              <w:rPr>
                <w:rFonts w:eastAsiaTheme="minorEastAsia"/>
                <w:szCs w:val="21"/>
              </w:rPr>
              <w:t>的规定水源利用应以地表水为主，地下水为辅，严格控制开采深层地下水。灌溉井工程的泵、动力输变电设备和井房等配套率应达到</w:t>
            </w:r>
            <w:r w:rsidRPr="00F9522B">
              <w:rPr>
                <w:rFonts w:eastAsiaTheme="minorEastAsia"/>
                <w:szCs w:val="21"/>
              </w:rPr>
              <w:t>100%</w:t>
            </w:r>
            <w:r w:rsidRPr="00F9522B">
              <w:rPr>
                <w:rFonts w:eastAsiaTheme="minorEastAsia"/>
                <w:szCs w:val="21"/>
              </w:rPr>
              <w:t>。机井设计应根据水文地质条件和地下水资源利用规划，按照合理开发、采补平衡的原则确定经济合理的地下水开采规模和主要设计参数。机井设计应符合</w:t>
            </w:r>
            <w:r w:rsidRPr="00F9522B">
              <w:rPr>
                <w:rFonts w:eastAsiaTheme="minorEastAsia"/>
                <w:szCs w:val="21"/>
              </w:rPr>
              <w:t>GB/T50625</w:t>
            </w:r>
            <w:r w:rsidRPr="00F9522B">
              <w:rPr>
                <w:rFonts w:eastAsiaTheme="minorEastAsia"/>
                <w:szCs w:val="21"/>
              </w:rPr>
              <w:t>的规定。渠系建筑物使用年限应与灌溉与排水系统主体工程相一致。涵洞应根据无压或有压要求确定拱形、圆形或矩形等横断面形式，涵洞的过流能力应与渠</w:t>
            </w:r>
            <w:r w:rsidRPr="00F9522B">
              <w:rPr>
                <w:rFonts w:eastAsiaTheme="minorEastAsia"/>
                <w:szCs w:val="21"/>
              </w:rPr>
              <w:t>(</w:t>
            </w:r>
            <w:r w:rsidRPr="00F9522B">
              <w:rPr>
                <w:rFonts w:eastAsiaTheme="minorEastAsia"/>
                <w:szCs w:val="21"/>
              </w:rPr>
              <w:t>沟</w:t>
            </w:r>
            <w:r w:rsidRPr="00F9522B">
              <w:rPr>
                <w:rFonts w:eastAsiaTheme="minorEastAsia"/>
                <w:szCs w:val="21"/>
              </w:rPr>
              <w:t>)</w:t>
            </w:r>
            <w:r w:rsidRPr="00F9522B">
              <w:rPr>
                <w:rFonts w:eastAsiaTheme="minorEastAsia"/>
                <w:szCs w:val="21"/>
              </w:rPr>
              <w:t>道的过流能力相匹配。承压较大的涵洞应使用钢筋混凝土管涵、方涵或其他耐压管涵，管涵应设混凝土或砌石管座。应推广节水灌溉技术，提高水资源利用效率。</w:t>
            </w:r>
          </w:p>
        </w:tc>
        <w:tc>
          <w:tcPr>
            <w:tcW w:w="3685" w:type="dxa"/>
            <w:vAlign w:val="center"/>
          </w:tcPr>
          <w:p w:rsidR="002A5A5E" w:rsidRPr="00F9522B" w:rsidRDefault="00611CBA" w:rsidP="00052183">
            <w:pPr>
              <w:tabs>
                <w:tab w:val="left" w:pos="900"/>
              </w:tabs>
              <w:spacing w:line="300" w:lineRule="atLeast"/>
              <w:jc w:val="left"/>
              <w:rPr>
                <w:rFonts w:eastAsiaTheme="minorEastAsia"/>
                <w:szCs w:val="21"/>
              </w:rPr>
            </w:pPr>
            <w:r w:rsidRPr="00F9522B">
              <w:rPr>
                <w:rFonts w:eastAsiaTheme="minorEastAsia"/>
                <w:szCs w:val="21"/>
              </w:rPr>
              <w:t>本项目进行灌溉工程，</w:t>
            </w:r>
            <w:r w:rsidR="00052183" w:rsidRPr="00F9522B">
              <w:rPr>
                <w:rFonts w:eastAsiaTheme="minorEastAsia"/>
                <w:szCs w:val="21"/>
              </w:rPr>
              <w:t>新打机电井</w:t>
            </w:r>
            <w:r w:rsidR="00052183" w:rsidRPr="00F9522B">
              <w:rPr>
                <w:rFonts w:eastAsiaTheme="minorEastAsia"/>
                <w:szCs w:val="21"/>
              </w:rPr>
              <w:t>264</w:t>
            </w:r>
            <w:r w:rsidR="00052183" w:rsidRPr="00F9522B">
              <w:rPr>
                <w:rFonts w:eastAsiaTheme="minorEastAsia"/>
                <w:szCs w:val="21"/>
              </w:rPr>
              <w:t>眼，配套井房</w:t>
            </w:r>
            <w:r w:rsidR="00052183" w:rsidRPr="00F9522B">
              <w:rPr>
                <w:rFonts w:eastAsiaTheme="minorEastAsia"/>
                <w:szCs w:val="21"/>
              </w:rPr>
              <w:t>264</w:t>
            </w:r>
            <w:r w:rsidR="00052183" w:rsidRPr="00F9522B">
              <w:rPr>
                <w:rFonts w:eastAsiaTheme="minorEastAsia"/>
                <w:szCs w:val="21"/>
              </w:rPr>
              <w:t>座、井泵</w:t>
            </w:r>
            <w:r w:rsidR="00052183" w:rsidRPr="00F9522B">
              <w:rPr>
                <w:rFonts w:eastAsiaTheme="minorEastAsia"/>
                <w:szCs w:val="21"/>
              </w:rPr>
              <w:t>264</w:t>
            </w:r>
            <w:r w:rsidR="00052183" w:rsidRPr="00F9522B">
              <w:rPr>
                <w:rFonts w:eastAsiaTheme="minorEastAsia"/>
                <w:szCs w:val="21"/>
              </w:rPr>
              <w:t>台，水肥一体灌溉面积</w:t>
            </w:r>
            <w:r w:rsidR="00052183" w:rsidRPr="00F9522B">
              <w:rPr>
                <w:rFonts w:eastAsiaTheme="minorEastAsia"/>
                <w:szCs w:val="21"/>
              </w:rPr>
              <w:t>1.63</w:t>
            </w:r>
            <w:r w:rsidR="00052183" w:rsidRPr="00F9522B">
              <w:rPr>
                <w:rFonts w:eastAsiaTheme="minorEastAsia"/>
                <w:szCs w:val="21"/>
              </w:rPr>
              <w:t>万亩；渠道衬砌</w:t>
            </w:r>
            <w:r w:rsidR="00052183" w:rsidRPr="00F9522B">
              <w:rPr>
                <w:rFonts w:eastAsiaTheme="minorEastAsia"/>
                <w:szCs w:val="21"/>
              </w:rPr>
              <w:t>1.368km</w:t>
            </w:r>
            <w:r w:rsidR="00052183" w:rsidRPr="00F9522B">
              <w:rPr>
                <w:rFonts w:eastAsiaTheme="minorEastAsia"/>
                <w:szCs w:val="21"/>
              </w:rPr>
              <w:t>；购置移动泵车</w:t>
            </w:r>
            <w:r w:rsidR="00052183" w:rsidRPr="00F9522B">
              <w:rPr>
                <w:rFonts w:eastAsiaTheme="minorEastAsia"/>
                <w:szCs w:val="21"/>
              </w:rPr>
              <w:t>78</w:t>
            </w:r>
            <w:r w:rsidR="00052183" w:rsidRPr="00F9522B">
              <w:rPr>
                <w:rFonts w:eastAsiaTheme="minorEastAsia"/>
                <w:szCs w:val="21"/>
              </w:rPr>
              <w:t>台；排水沟清淤</w:t>
            </w:r>
            <w:r w:rsidR="00052183" w:rsidRPr="00F9522B">
              <w:rPr>
                <w:rFonts w:eastAsiaTheme="minorEastAsia"/>
                <w:szCs w:val="21"/>
              </w:rPr>
              <w:t>14.073km</w:t>
            </w:r>
            <w:r w:rsidR="00052183" w:rsidRPr="00F9522B">
              <w:rPr>
                <w:rFonts w:eastAsiaTheme="minorEastAsia"/>
                <w:szCs w:val="21"/>
              </w:rPr>
              <w:t>，排水沟护砌</w:t>
            </w:r>
            <w:r w:rsidR="00052183" w:rsidRPr="00F9522B">
              <w:rPr>
                <w:rFonts w:eastAsiaTheme="minorEastAsia"/>
                <w:szCs w:val="21"/>
              </w:rPr>
              <w:t>78.697km</w:t>
            </w:r>
            <w:r w:rsidR="00052183" w:rsidRPr="00F9522B">
              <w:rPr>
                <w:rFonts w:eastAsiaTheme="minorEastAsia"/>
                <w:szCs w:val="21"/>
              </w:rPr>
              <w:t>；新建建筑物</w:t>
            </w:r>
            <w:r w:rsidR="00052183" w:rsidRPr="00F9522B">
              <w:rPr>
                <w:rFonts w:eastAsiaTheme="minorEastAsia"/>
                <w:szCs w:val="21"/>
              </w:rPr>
              <w:t>1450</w:t>
            </w:r>
            <w:r w:rsidR="00052183" w:rsidRPr="00F9522B">
              <w:rPr>
                <w:rFonts w:eastAsiaTheme="minorEastAsia"/>
                <w:szCs w:val="21"/>
              </w:rPr>
              <w:t>座，其中：涵洞</w:t>
            </w:r>
            <w:r w:rsidR="00052183" w:rsidRPr="00F9522B">
              <w:rPr>
                <w:rFonts w:eastAsiaTheme="minorEastAsia"/>
                <w:szCs w:val="21"/>
              </w:rPr>
              <w:t>707</w:t>
            </w:r>
            <w:r w:rsidR="00052183" w:rsidRPr="00F9522B">
              <w:rPr>
                <w:rFonts w:eastAsiaTheme="minorEastAsia"/>
                <w:szCs w:val="21"/>
              </w:rPr>
              <w:t>座，过水路面</w:t>
            </w:r>
            <w:r w:rsidR="00052183" w:rsidRPr="00F9522B">
              <w:rPr>
                <w:rFonts w:eastAsiaTheme="minorEastAsia"/>
                <w:szCs w:val="21"/>
              </w:rPr>
              <w:t>742</w:t>
            </w:r>
            <w:r w:rsidR="00052183" w:rsidRPr="00F9522B">
              <w:rPr>
                <w:rFonts w:eastAsiaTheme="minorEastAsia"/>
                <w:szCs w:val="21"/>
              </w:rPr>
              <w:t>座，渡槽</w:t>
            </w:r>
            <w:r w:rsidR="00052183" w:rsidRPr="00F9522B">
              <w:rPr>
                <w:rFonts w:eastAsiaTheme="minorEastAsia"/>
                <w:szCs w:val="21"/>
              </w:rPr>
              <w:t>1</w:t>
            </w:r>
            <w:r w:rsidR="00052183" w:rsidRPr="00F9522B">
              <w:rPr>
                <w:rFonts w:eastAsiaTheme="minorEastAsia"/>
                <w:szCs w:val="21"/>
              </w:rPr>
              <w:t>座</w:t>
            </w:r>
            <w:r w:rsidRPr="00F9522B">
              <w:rPr>
                <w:rFonts w:eastAsiaTheme="minorEastAsia"/>
                <w:szCs w:val="21"/>
              </w:rPr>
              <w:t>。购置移动泵车</w:t>
            </w:r>
            <w:r w:rsidR="005E3027" w:rsidRPr="00F9522B">
              <w:rPr>
                <w:rFonts w:eastAsiaTheme="minorEastAsia"/>
                <w:szCs w:val="21"/>
              </w:rPr>
              <w:t>78</w:t>
            </w:r>
            <w:r w:rsidR="005E3027" w:rsidRPr="00F9522B">
              <w:rPr>
                <w:rFonts w:eastAsiaTheme="minorEastAsia"/>
                <w:szCs w:val="21"/>
              </w:rPr>
              <w:t>台</w:t>
            </w:r>
            <w:r w:rsidRPr="00F9522B">
              <w:rPr>
                <w:rFonts w:eastAsiaTheme="minorEastAsia"/>
                <w:szCs w:val="21"/>
              </w:rPr>
              <w:t>，其中，流量为</w:t>
            </w:r>
            <w:r w:rsidR="00052183" w:rsidRPr="00F9522B">
              <w:rPr>
                <w:rFonts w:eastAsiaTheme="minorEastAsia"/>
                <w:szCs w:val="21"/>
              </w:rPr>
              <w:t>6</w:t>
            </w:r>
            <w:r w:rsidRPr="00F9522B">
              <w:rPr>
                <w:rFonts w:eastAsiaTheme="minorEastAsia"/>
                <w:szCs w:val="21"/>
              </w:rPr>
              <w:t>00m³/h</w:t>
            </w:r>
            <w:r w:rsidR="00052183" w:rsidRPr="00F9522B">
              <w:rPr>
                <w:rFonts w:eastAsiaTheme="minorEastAsia"/>
                <w:szCs w:val="21"/>
              </w:rPr>
              <w:t>。</w:t>
            </w:r>
            <w:r w:rsidRPr="00F9522B">
              <w:rPr>
                <w:rFonts w:eastAsiaTheme="minorEastAsia"/>
                <w:szCs w:val="21"/>
              </w:rPr>
              <w:t>根据已批复《</w:t>
            </w:r>
            <w:r w:rsidR="003A7922" w:rsidRPr="00F9522B">
              <w:rPr>
                <w:rFonts w:eastAsiaTheme="minorEastAsia"/>
                <w:szCs w:val="21"/>
              </w:rPr>
              <w:t>呼兰区</w:t>
            </w:r>
            <w:r w:rsidR="003A7922" w:rsidRPr="00F9522B">
              <w:rPr>
                <w:rFonts w:eastAsiaTheme="minorEastAsia"/>
                <w:szCs w:val="21"/>
              </w:rPr>
              <w:t>2026</w:t>
            </w:r>
            <w:r w:rsidR="003A7922" w:rsidRPr="00F9522B">
              <w:rPr>
                <w:rFonts w:eastAsiaTheme="minorEastAsia"/>
                <w:szCs w:val="21"/>
              </w:rPr>
              <w:t>年高标准农田建设项目</w:t>
            </w:r>
            <w:r w:rsidRPr="00F9522B">
              <w:rPr>
                <w:rFonts w:eastAsiaTheme="minorEastAsia"/>
                <w:szCs w:val="21"/>
              </w:rPr>
              <w:t>水资源论证报告书》，本项目建成后，灌溉工程灌溉保证率为</w:t>
            </w:r>
            <w:r w:rsidRPr="00F9522B">
              <w:rPr>
                <w:rFonts w:eastAsiaTheme="minorEastAsia"/>
                <w:szCs w:val="21"/>
              </w:rPr>
              <w:t>90%</w:t>
            </w:r>
            <w:r w:rsidRPr="00F9522B">
              <w:rPr>
                <w:rFonts w:eastAsiaTheme="minorEastAsia"/>
                <w:szCs w:val="21"/>
              </w:rPr>
              <w:t>，</w:t>
            </w:r>
            <w:r w:rsidR="002E2407" w:rsidRPr="00F9522B">
              <w:rPr>
                <w:rFonts w:eastAsiaTheme="minorEastAsia"/>
                <w:szCs w:val="21"/>
              </w:rPr>
              <w:t>坐水种灌溉水利用系数达到</w:t>
            </w:r>
            <w:r w:rsidR="002E2407" w:rsidRPr="00F9522B">
              <w:rPr>
                <w:rFonts w:eastAsiaTheme="minorEastAsia"/>
                <w:szCs w:val="21"/>
              </w:rPr>
              <w:t>0.9</w:t>
            </w:r>
            <w:r w:rsidR="002E2407" w:rsidRPr="00F9522B">
              <w:rPr>
                <w:rFonts w:eastAsiaTheme="minorEastAsia"/>
                <w:szCs w:val="21"/>
              </w:rPr>
              <w:t>，滴灌灌溉水利用系数达到</w:t>
            </w:r>
            <w:r w:rsidR="002E2407" w:rsidRPr="00F9522B">
              <w:rPr>
                <w:rFonts w:eastAsiaTheme="minorEastAsia"/>
                <w:szCs w:val="21"/>
              </w:rPr>
              <w:t>0.93</w:t>
            </w:r>
            <w:r w:rsidRPr="00F9522B">
              <w:rPr>
                <w:rFonts w:eastAsiaTheme="minorEastAsia"/>
                <w:szCs w:val="21"/>
              </w:rPr>
              <w:t>。灌溉用水水质满足《农田灌溉水质标准》（</w:t>
            </w:r>
            <w:r w:rsidRPr="00F9522B">
              <w:rPr>
                <w:rFonts w:eastAsiaTheme="minorEastAsia"/>
                <w:szCs w:val="21"/>
              </w:rPr>
              <w:t>GB5084-2021</w:t>
            </w:r>
            <w:r w:rsidRPr="00F9522B">
              <w:rPr>
                <w:rFonts w:eastAsiaTheme="minorEastAsia"/>
                <w:szCs w:val="21"/>
              </w:rPr>
              <w:t>）。机井设计符合《机井技术规范》（</w:t>
            </w:r>
            <w:r w:rsidRPr="00F9522B">
              <w:rPr>
                <w:rFonts w:eastAsiaTheme="minorEastAsia"/>
                <w:szCs w:val="21"/>
              </w:rPr>
              <w:t>GB/T50625</w:t>
            </w:r>
            <w:r w:rsidRPr="00F9522B">
              <w:rPr>
                <w:rFonts w:eastAsiaTheme="minorEastAsia"/>
                <w:szCs w:val="21"/>
              </w:rPr>
              <w:t>）的规定。根据当地实际情况，本项目灌溉旱田距离地表水较远，如果采用地表水工程，用水安全没有保障，引水、蓄水工程建设投资较大，工程管理难度较大，如采用地下水源，水量、水质均能满足要求，工程量小，易于实施，用水成本低，水源与配水工程均在用水区域内，便于管理，因此，从用水安全可靠、工程建设、投资以及管理方面综合分析，采用地下水作为灌溉供水水源是合理的。</w:t>
            </w:r>
          </w:p>
        </w:tc>
        <w:tc>
          <w:tcPr>
            <w:tcW w:w="550" w:type="dxa"/>
            <w:vAlign w:val="center"/>
          </w:tcPr>
          <w:p w:rsidR="002A5A5E" w:rsidRPr="00F9522B" w:rsidRDefault="00611CBA">
            <w:pPr>
              <w:tabs>
                <w:tab w:val="left" w:pos="900"/>
              </w:tabs>
              <w:spacing w:line="300" w:lineRule="atLeast"/>
              <w:jc w:val="center"/>
              <w:rPr>
                <w:rFonts w:eastAsiaTheme="minorEastAsia"/>
                <w:szCs w:val="21"/>
              </w:rPr>
            </w:pPr>
            <w:r w:rsidRPr="00F9522B">
              <w:rPr>
                <w:rFonts w:eastAsiaTheme="minorEastAsia"/>
                <w:szCs w:val="21"/>
              </w:rPr>
              <w:t>符合</w:t>
            </w:r>
          </w:p>
        </w:tc>
      </w:tr>
    </w:tbl>
    <w:p w:rsidR="00006C8A" w:rsidRPr="00F9522B" w:rsidRDefault="00006C8A">
      <w:pPr>
        <w:jc w:val="center"/>
        <w:rPr>
          <w:rFonts w:eastAsiaTheme="minorEastAsia"/>
          <w:b/>
          <w:szCs w:val="21"/>
        </w:rPr>
      </w:pPr>
    </w:p>
    <w:p w:rsidR="00006C8A" w:rsidRPr="00F9522B" w:rsidRDefault="00006C8A">
      <w:pPr>
        <w:jc w:val="center"/>
        <w:rPr>
          <w:rFonts w:eastAsiaTheme="minorEastAsia"/>
          <w:b/>
          <w:szCs w:val="21"/>
        </w:rPr>
      </w:pPr>
    </w:p>
    <w:p w:rsidR="00006C8A" w:rsidRPr="00F9522B" w:rsidRDefault="00006C8A">
      <w:pPr>
        <w:jc w:val="center"/>
        <w:rPr>
          <w:rFonts w:eastAsiaTheme="minorEastAsia"/>
          <w:b/>
          <w:szCs w:val="21"/>
        </w:rPr>
      </w:pPr>
    </w:p>
    <w:p w:rsidR="00006C8A" w:rsidRPr="00F9522B" w:rsidRDefault="00006C8A">
      <w:pPr>
        <w:jc w:val="center"/>
        <w:rPr>
          <w:rFonts w:eastAsiaTheme="minorEastAsia"/>
          <w:b/>
          <w:szCs w:val="21"/>
        </w:rPr>
      </w:pPr>
    </w:p>
    <w:p w:rsidR="00006C8A" w:rsidRPr="00F9522B" w:rsidRDefault="00006C8A">
      <w:pPr>
        <w:jc w:val="center"/>
        <w:rPr>
          <w:rFonts w:eastAsiaTheme="minorEastAsia"/>
          <w:b/>
          <w:szCs w:val="21"/>
        </w:rPr>
      </w:pPr>
    </w:p>
    <w:p w:rsidR="002A5A5E" w:rsidRPr="00F9522B" w:rsidRDefault="00611CBA">
      <w:pPr>
        <w:jc w:val="center"/>
        <w:rPr>
          <w:rFonts w:eastAsiaTheme="minorEastAsia"/>
          <w:b/>
          <w:szCs w:val="21"/>
        </w:rPr>
      </w:pPr>
      <w:r w:rsidRPr="00F9522B">
        <w:rPr>
          <w:rFonts w:eastAsiaTheme="minorEastAsia"/>
          <w:b/>
          <w:szCs w:val="21"/>
        </w:rPr>
        <w:lastRenderedPageBreak/>
        <w:t>续表</w:t>
      </w:r>
      <w:r w:rsidRPr="00F9522B">
        <w:rPr>
          <w:rFonts w:eastAsiaTheme="minorEastAsia"/>
          <w:b/>
          <w:szCs w:val="21"/>
        </w:rPr>
        <w:t>1-4-</w:t>
      </w:r>
      <w:r w:rsidR="00C27FC4" w:rsidRPr="00F9522B">
        <w:rPr>
          <w:rFonts w:eastAsiaTheme="minorEastAsia"/>
          <w:b/>
          <w:szCs w:val="21"/>
        </w:rPr>
        <w:t>7</w:t>
      </w:r>
      <w:r w:rsidRPr="00F9522B">
        <w:rPr>
          <w:rFonts w:eastAsiaTheme="minorEastAsia"/>
          <w:b/>
          <w:szCs w:val="21"/>
        </w:rPr>
        <w:t>《高标准农田建设</w:t>
      </w:r>
      <w:r w:rsidRPr="00F9522B">
        <w:rPr>
          <w:rFonts w:eastAsiaTheme="minorEastAsia"/>
          <w:b/>
          <w:szCs w:val="21"/>
        </w:rPr>
        <w:t xml:space="preserve"> </w:t>
      </w:r>
      <w:r w:rsidRPr="00F9522B">
        <w:rPr>
          <w:rFonts w:eastAsiaTheme="minorEastAsia"/>
          <w:b/>
          <w:szCs w:val="21"/>
        </w:rPr>
        <w:t>通则》（</w:t>
      </w:r>
      <w:r w:rsidRPr="00F9522B">
        <w:rPr>
          <w:rFonts w:eastAsiaTheme="minorEastAsia"/>
          <w:b/>
          <w:szCs w:val="21"/>
        </w:rPr>
        <w:t>GB/T30600-2022</w:t>
      </w:r>
      <w:r w:rsidRPr="00F9522B">
        <w:rPr>
          <w:rFonts w:eastAsiaTheme="minorEastAsia"/>
          <w:b/>
          <w:szCs w:val="21"/>
        </w:rPr>
        <w:t>）符合性分析</w:t>
      </w:r>
    </w:p>
    <w:tbl>
      <w:tblPr>
        <w:tblW w:w="8670" w:type="dxa"/>
        <w:jc w:val="center"/>
        <w:tblBorders>
          <w:top w:val="single" w:sz="12" w:space="0" w:color="auto"/>
          <w:bottom w:val="single" w:sz="12" w:space="0" w:color="auto"/>
          <w:insideH w:val="single" w:sz="4" w:space="0" w:color="000000"/>
          <w:insideV w:val="single" w:sz="4" w:space="0" w:color="000000"/>
        </w:tblBorders>
        <w:tblLayout w:type="fixed"/>
        <w:tblLook w:val="04A0"/>
      </w:tblPr>
      <w:tblGrid>
        <w:gridCol w:w="608"/>
        <w:gridCol w:w="3827"/>
        <w:gridCol w:w="3685"/>
        <w:gridCol w:w="550"/>
      </w:tblGrid>
      <w:tr w:rsidR="002A5A5E" w:rsidRPr="00F9522B">
        <w:trPr>
          <w:trHeight w:val="145"/>
          <w:jc w:val="center"/>
        </w:trPr>
        <w:tc>
          <w:tcPr>
            <w:tcW w:w="608" w:type="dxa"/>
            <w:vMerge w:val="restart"/>
            <w:vAlign w:val="center"/>
          </w:tcPr>
          <w:p w:rsidR="002A5A5E" w:rsidRPr="00F9522B" w:rsidRDefault="00611CBA">
            <w:pPr>
              <w:tabs>
                <w:tab w:val="left" w:pos="900"/>
              </w:tabs>
              <w:spacing w:line="300" w:lineRule="atLeast"/>
              <w:jc w:val="center"/>
              <w:rPr>
                <w:rFonts w:eastAsiaTheme="minorEastAsia"/>
                <w:szCs w:val="21"/>
              </w:rPr>
            </w:pPr>
            <w:r w:rsidRPr="00F9522B">
              <w:rPr>
                <w:rFonts w:eastAsiaTheme="minorEastAsia"/>
                <w:szCs w:val="21"/>
              </w:rPr>
              <w:t>《高标准农田建设</w:t>
            </w:r>
            <w:r w:rsidRPr="00F9522B">
              <w:rPr>
                <w:rFonts w:eastAsiaTheme="minorEastAsia"/>
                <w:szCs w:val="21"/>
              </w:rPr>
              <w:t xml:space="preserve"> </w:t>
            </w:r>
          </w:p>
          <w:p w:rsidR="002A5A5E" w:rsidRPr="00F9522B" w:rsidRDefault="00611CBA">
            <w:pPr>
              <w:tabs>
                <w:tab w:val="left" w:pos="900"/>
              </w:tabs>
              <w:spacing w:line="300" w:lineRule="atLeast"/>
              <w:jc w:val="center"/>
              <w:rPr>
                <w:rFonts w:eastAsiaTheme="minorEastAsia"/>
                <w:szCs w:val="21"/>
              </w:rPr>
            </w:pPr>
            <w:r w:rsidRPr="00F9522B">
              <w:rPr>
                <w:rFonts w:eastAsiaTheme="minorEastAsia"/>
                <w:szCs w:val="21"/>
              </w:rPr>
              <w:t>通则》</w:t>
            </w:r>
          </w:p>
        </w:tc>
        <w:tc>
          <w:tcPr>
            <w:tcW w:w="3827" w:type="dxa"/>
            <w:vAlign w:val="center"/>
          </w:tcPr>
          <w:p w:rsidR="002A5A5E" w:rsidRPr="00F9522B" w:rsidRDefault="00611CBA">
            <w:pPr>
              <w:tabs>
                <w:tab w:val="left" w:pos="900"/>
              </w:tabs>
              <w:spacing w:line="300" w:lineRule="atLeast"/>
              <w:jc w:val="left"/>
              <w:rPr>
                <w:rFonts w:eastAsiaTheme="minorEastAsia"/>
                <w:szCs w:val="21"/>
              </w:rPr>
            </w:pPr>
            <w:r w:rsidRPr="00F9522B">
              <w:rPr>
                <w:rFonts w:eastAsiaTheme="minorEastAsia"/>
                <w:szCs w:val="21"/>
              </w:rPr>
              <w:t>路：田间道路工程指为农田耕作、农业物资与农产品运输等农业生产活动所修建的交通设施。田间道路布置应适应农业现代化的需要，与田、水、林、电、路、村规划相衔接，统筹兼顾，合理确定田间道路的密度。田间道</w:t>
            </w:r>
            <w:r w:rsidRPr="00F9522B">
              <w:rPr>
                <w:rFonts w:eastAsiaTheme="minorEastAsia"/>
                <w:szCs w:val="21"/>
              </w:rPr>
              <w:t>(</w:t>
            </w:r>
            <w:r w:rsidRPr="00F9522B">
              <w:rPr>
                <w:rFonts w:eastAsiaTheme="minorEastAsia"/>
                <w:szCs w:val="21"/>
              </w:rPr>
              <w:t>机耕路</w:t>
            </w:r>
            <w:r w:rsidRPr="00F9522B">
              <w:rPr>
                <w:rFonts w:eastAsiaTheme="minorEastAsia"/>
                <w:szCs w:val="21"/>
              </w:rPr>
              <w:t>)</w:t>
            </w:r>
            <w:r w:rsidRPr="00F9522B">
              <w:rPr>
                <w:rFonts w:eastAsiaTheme="minorEastAsia"/>
                <w:szCs w:val="21"/>
              </w:rPr>
              <w:t>路面应满足强度、稳定性和平整度的要求，宜采用泥结石、碎石等材质和车辙路</w:t>
            </w:r>
            <w:r w:rsidRPr="00F9522B">
              <w:rPr>
                <w:rFonts w:eastAsiaTheme="minorEastAsia"/>
                <w:szCs w:val="21"/>
              </w:rPr>
              <w:t>(</w:t>
            </w:r>
            <w:r w:rsidRPr="00F9522B">
              <w:rPr>
                <w:rFonts w:eastAsiaTheme="minorEastAsia"/>
                <w:szCs w:val="21"/>
              </w:rPr>
              <w:t>轨迹路</w:t>
            </w:r>
            <w:r w:rsidRPr="00F9522B">
              <w:rPr>
                <w:rFonts w:eastAsiaTheme="minorEastAsia"/>
                <w:szCs w:val="21"/>
              </w:rPr>
              <w:t>)</w:t>
            </w:r>
            <w:r w:rsidRPr="00F9522B">
              <w:rPr>
                <w:rFonts w:eastAsiaTheme="minorEastAsia"/>
                <w:szCs w:val="21"/>
              </w:rPr>
              <w:t>、砌石</w:t>
            </w:r>
            <w:r w:rsidRPr="00F9522B">
              <w:rPr>
                <w:rFonts w:eastAsiaTheme="minorEastAsia"/>
                <w:szCs w:val="21"/>
              </w:rPr>
              <w:t>(</w:t>
            </w:r>
            <w:r w:rsidRPr="00F9522B">
              <w:rPr>
                <w:rFonts w:eastAsiaTheme="minorEastAsia"/>
                <w:szCs w:val="21"/>
              </w:rPr>
              <w:t>块</w:t>
            </w:r>
            <w:r w:rsidRPr="00F9522B">
              <w:rPr>
                <w:rFonts w:eastAsiaTheme="minorEastAsia"/>
                <w:szCs w:val="21"/>
              </w:rPr>
              <w:t>)</w:t>
            </w:r>
            <w:r w:rsidRPr="00F9522B">
              <w:rPr>
                <w:rFonts w:eastAsiaTheme="minorEastAsia"/>
                <w:szCs w:val="21"/>
              </w:rPr>
              <w:t>间隔铺装等生态化结构。根据路面类型和荷载要求，推广应用生物凝结技术、透水路面等生态化设计。在暴雨冲刷严重的区域，可采用混凝土硬化路面。道路两侧可视情况设置路肩，路肩宽宜为</w:t>
            </w:r>
            <w:r w:rsidRPr="00F9522B">
              <w:rPr>
                <w:rFonts w:eastAsiaTheme="minorEastAsia"/>
                <w:szCs w:val="21"/>
              </w:rPr>
              <w:t>30cm~50cm</w:t>
            </w:r>
            <w:r w:rsidRPr="00F9522B">
              <w:rPr>
                <w:rFonts w:eastAsiaTheme="minorEastAsia"/>
                <w:szCs w:val="21"/>
              </w:rPr>
              <w:t>。生产路路面材质应根据农业生产要求和自然经济条件确定，宜采用土、砂石等。在暴雨集中地区，可采用石板、混凝土等。</w:t>
            </w:r>
          </w:p>
        </w:tc>
        <w:tc>
          <w:tcPr>
            <w:tcW w:w="3685" w:type="dxa"/>
            <w:vAlign w:val="center"/>
          </w:tcPr>
          <w:p w:rsidR="002A5A5E" w:rsidRPr="00F9522B" w:rsidRDefault="00611CBA">
            <w:pPr>
              <w:tabs>
                <w:tab w:val="left" w:pos="900"/>
              </w:tabs>
              <w:spacing w:line="300" w:lineRule="atLeast"/>
              <w:jc w:val="left"/>
              <w:rPr>
                <w:rFonts w:eastAsiaTheme="minorEastAsia"/>
                <w:kern w:val="0"/>
                <w:szCs w:val="21"/>
              </w:rPr>
            </w:pPr>
            <w:r w:rsidRPr="00F9522B">
              <w:rPr>
                <w:rFonts w:eastAsiaTheme="minorEastAsia"/>
                <w:kern w:val="0"/>
                <w:szCs w:val="21"/>
              </w:rPr>
              <w:t>本项目建设田间道路工程，</w:t>
            </w:r>
            <w:r w:rsidR="00AD0F5C" w:rsidRPr="00F9522B">
              <w:rPr>
                <w:rFonts w:eastAsiaTheme="minorEastAsia"/>
                <w:snapToGrid w:val="0"/>
                <w:kern w:val="0"/>
                <w:szCs w:val="21"/>
              </w:rPr>
              <w:t>修缮道路</w:t>
            </w:r>
            <w:r w:rsidR="00AD0F5C" w:rsidRPr="00F9522B">
              <w:rPr>
                <w:rFonts w:eastAsiaTheme="minorEastAsia"/>
                <w:snapToGrid w:val="0"/>
                <w:kern w:val="0"/>
                <w:szCs w:val="21"/>
              </w:rPr>
              <w:t>792</w:t>
            </w:r>
            <w:r w:rsidR="00AD0F5C" w:rsidRPr="00F9522B">
              <w:rPr>
                <w:rFonts w:eastAsiaTheme="minorEastAsia"/>
                <w:snapToGrid w:val="0"/>
                <w:kern w:val="0"/>
                <w:szCs w:val="21"/>
              </w:rPr>
              <w:t>条，共</w:t>
            </w:r>
            <w:r w:rsidR="00AD0F5C" w:rsidRPr="00F9522B">
              <w:rPr>
                <w:rFonts w:eastAsiaTheme="minorEastAsia"/>
                <w:snapToGrid w:val="0"/>
                <w:kern w:val="0"/>
                <w:szCs w:val="21"/>
              </w:rPr>
              <w:t>537.512km</w:t>
            </w:r>
            <w:r w:rsidR="00AD0F5C" w:rsidRPr="00F9522B">
              <w:rPr>
                <w:rFonts w:eastAsiaTheme="minorEastAsia"/>
                <w:snapToGrid w:val="0"/>
                <w:kern w:val="0"/>
                <w:szCs w:val="21"/>
              </w:rPr>
              <w:t>，其中：机耕路（混凝土路面）</w:t>
            </w:r>
            <w:r w:rsidR="00AD0F5C" w:rsidRPr="00F9522B">
              <w:rPr>
                <w:rFonts w:eastAsiaTheme="minorEastAsia"/>
                <w:snapToGrid w:val="0"/>
                <w:kern w:val="0"/>
                <w:szCs w:val="21"/>
              </w:rPr>
              <w:t>157</w:t>
            </w:r>
            <w:r w:rsidR="00AD0F5C" w:rsidRPr="00F9522B">
              <w:rPr>
                <w:rFonts w:eastAsiaTheme="minorEastAsia"/>
                <w:snapToGrid w:val="0"/>
                <w:kern w:val="0"/>
                <w:szCs w:val="21"/>
              </w:rPr>
              <w:t>条，共</w:t>
            </w:r>
            <w:r w:rsidR="00AD0F5C" w:rsidRPr="00F9522B">
              <w:rPr>
                <w:rFonts w:eastAsiaTheme="minorEastAsia"/>
                <w:snapToGrid w:val="0"/>
                <w:kern w:val="0"/>
                <w:szCs w:val="21"/>
              </w:rPr>
              <w:t>129.289km</w:t>
            </w:r>
            <w:r w:rsidR="00AD0F5C" w:rsidRPr="00F9522B">
              <w:rPr>
                <w:rFonts w:eastAsiaTheme="minorEastAsia"/>
                <w:snapToGrid w:val="0"/>
                <w:kern w:val="0"/>
                <w:szCs w:val="21"/>
              </w:rPr>
              <w:t>；生产路（砂石路面）</w:t>
            </w:r>
            <w:r w:rsidR="00AD0F5C" w:rsidRPr="00F9522B">
              <w:rPr>
                <w:rFonts w:eastAsiaTheme="minorEastAsia"/>
                <w:snapToGrid w:val="0"/>
                <w:kern w:val="0"/>
                <w:szCs w:val="21"/>
              </w:rPr>
              <w:t>635</w:t>
            </w:r>
            <w:r w:rsidR="00AD0F5C" w:rsidRPr="00F9522B">
              <w:rPr>
                <w:rFonts w:eastAsiaTheme="minorEastAsia"/>
                <w:snapToGrid w:val="0"/>
                <w:kern w:val="0"/>
                <w:szCs w:val="21"/>
              </w:rPr>
              <w:t>条，共</w:t>
            </w:r>
            <w:r w:rsidR="00AD0F5C" w:rsidRPr="00F9522B">
              <w:rPr>
                <w:rFonts w:eastAsiaTheme="minorEastAsia"/>
                <w:snapToGrid w:val="0"/>
                <w:kern w:val="0"/>
                <w:szCs w:val="21"/>
              </w:rPr>
              <w:t>408.223km</w:t>
            </w:r>
            <w:r w:rsidRPr="00F9522B">
              <w:rPr>
                <w:rFonts w:eastAsiaTheme="minorEastAsia"/>
                <w:kern w:val="0"/>
                <w:szCs w:val="21"/>
              </w:rPr>
              <w:t>，满足农机作业、农业物资运输等农业生产活动的要求。</w:t>
            </w:r>
          </w:p>
        </w:tc>
        <w:tc>
          <w:tcPr>
            <w:tcW w:w="550" w:type="dxa"/>
            <w:vAlign w:val="center"/>
          </w:tcPr>
          <w:p w:rsidR="002A5A5E" w:rsidRPr="00F9522B" w:rsidRDefault="00611CBA">
            <w:pPr>
              <w:jc w:val="center"/>
              <w:rPr>
                <w:rFonts w:eastAsiaTheme="minorEastAsia"/>
                <w:szCs w:val="21"/>
              </w:rPr>
            </w:pPr>
            <w:r w:rsidRPr="00F9522B">
              <w:rPr>
                <w:rFonts w:eastAsiaTheme="minorEastAsia"/>
                <w:szCs w:val="21"/>
              </w:rPr>
              <w:t>符合</w:t>
            </w:r>
          </w:p>
        </w:tc>
      </w:tr>
      <w:tr w:rsidR="002A5A5E" w:rsidRPr="00F9522B">
        <w:trPr>
          <w:trHeight w:val="145"/>
          <w:jc w:val="center"/>
        </w:trPr>
        <w:tc>
          <w:tcPr>
            <w:tcW w:w="608" w:type="dxa"/>
            <w:vMerge/>
            <w:vAlign w:val="center"/>
          </w:tcPr>
          <w:p w:rsidR="002A5A5E" w:rsidRPr="00F9522B" w:rsidRDefault="002A5A5E">
            <w:pPr>
              <w:tabs>
                <w:tab w:val="left" w:pos="900"/>
              </w:tabs>
              <w:spacing w:line="300" w:lineRule="atLeast"/>
              <w:jc w:val="center"/>
              <w:rPr>
                <w:rFonts w:eastAsiaTheme="minorEastAsia"/>
                <w:szCs w:val="21"/>
              </w:rPr>
            </w:pPr>
          </w:p>
        </w:tc>
        <w:tc>
          <w:tcPr>
            <w:tcW w:w="3827" w:type="dxa"/>
            <w:vAlign w:val="center"/>
          </w:tcPr>
          <w:p w:rsidR="002A5A5E" w:rsidRPr="00F9522B" w:rsidRDefault="00611CBA">
            <w:pPr>
              <w:tabs>
                <w:tab w:val="left" w:pos="900"/>
              </w:tabs>
              <w:spacing w:line="300" w:lineRule="atLeast"/>
              <w:jc w:val="left"/>
              <w:rPr>
                <w:rFonts w:eastAsiaTheme="minorEastAsia"/>
                <w:szCs w:val="21"/>
              </w:rPr>
            </w:pPr>
            <w:r w:rsidRPr="00F9522B">
              <w:rPr>
                <w:rFonts w:eastAsiaTheme="minorEastAsia"/>
                <w:szCs w:val="21"/>
              </w:rPr>
              <w:t>林：农田地力提升工程指为保障农田生产安全、保持和改善农田生态条件、防止自然灾害等所采取的各种措施，包括农田地力提升工程、岸坡防护工程、坡面防护工程和沟道治理工程等，应进行全面规划、综合治理。</w:t>
            </w:r>
          </w:p>
        </w:tc>
        <w:tc>
          <w:tcPr>
            <w:tcW w:w="3685" w:type="dxa"/>
            <w:vAlign w:val="center"/>
          </w:tcPr>
          <w:p w:rsidR="002A5A5E" w:rsidRPr="00F9522B" w:rsidRDefault="00611CBA">
            <w:pPr>
              <w:tabs>
                <w:tab w:val="left" w:pos="900"/>
              </w:tabs>
              <w:spacing w:line="300" w:lineRule="atLeast"/>
              <w:jc w:val="left"/>
              <w:rPr>
                <w:rFonts w:eastAsiaTheme="minorEastAsia"/>
                <w:szCs w:val="21"/>
              </w:rPr>
            </w:pPr>
            <w:r w:rsidRPr="00F9522B">
              <w:rPr>
                <w:rFonts w:eastAsiaTheme="minorEastAsia"/>
                <w:szCs w:val="21"/>
              </w:rPr>
              <w:t>本项目区域防御风沙灾害和防止水土流失能力较强，满足需求。</w:t>
            </w:r>
          </w:p>
        </w:tc>
        <w:tc>
          <w:tcPr>
            <w:tcW w:w="550" w:type="dxa"/>
            <w:vAlign w:val="center"/>
          </w:tcPr>
          <w:p w:rsidR="002A5A5E" w:rsidRPr="00F9522B" w:rsidRDefault="00611CBA">
            <w:pPr>
              <w:jc w:val="center"/>
              <w:rPr>
                <w:rFonts w:eastAsiaTheme="minorEastAsia"/>
                <w:szCs w:val="21"/>
              </w:rPr>
            </w:pPr>
            <w:r w:rsidRPr="00F9522B">
              <w:rPr>
                <w:rFonts w:eastAsiaTheme="minorEastAsia"/>
                <w:szCs w:val="21"/>
              </w:rPr>
              <w:t>符合</w:t>
            </w:r>
          </w:p>
        </w:tc>
      </w:tr>
      <w:tr w:rsidR="002A5A5E" w:rsidRPr="00F9522B">
        <w:trPr>
          <w:trHeight w:val="145"/>
          <w:jc w:val="center"/>
        </w:trPr>
        <w:tc>
          <w:tcPr>
            <w:tcW w:w="608" w:type="dxa"/>
            <w:vMerge/>
            <w:vAlign w:val="center"/>
          </w:tcPr>
          <w:p w:rsidR="002A5A5E" w:rsidRPr="00F9522B" w:rsidRDefault="002A5A5E">
            <w:pPr>
              <w:tabs>
                <w:tab w:val="left" w:pos="900"/>
              </w:tabs>
              <w:spacing w:line="300" w:lineRule="atLeast"/>
              <w:jc w:val="center"/>
              <w:rPr>
                <w:rFonts w:eastAsiaTheme="minorEastAsia"/>
                <w:szCs w:val="21"/>
              </w:rPr>
            </w:pPr>
          </w:p>
        </w:tc>
        <w:tc>
          <w:tcPr>
            <w:tcW w:w="3827" w:type="dxa"/>
            <w:vAlign w:val="center"/>
          </w:tcPr>
          <w:p w:rsidR="002A5A5E" w:rsidRPr="00F9522B" w:rsidRDefault="00611CBA">
            <w:pPr>
              <w:tabs>
                <w:tab w:val="left" w:pos="900"/>
              </w:tabs>
              <w:spacing w:line="300" w:lineRule="atLeast"/>
              <w:jc w:val="left"/>
              <w:rPr>
                <w:rFonts w:eastAsiaTheme="minorEastAsia"/>
                <w:szCs w:val="21"/>
              </w:rPr>
            </w:pPr>
            <w:r w:rsidRPr="00F9522B">
              <w:rPr>
                <w:rFonts w:eastAsiaTheme="minorEastAsia"/>
                <w:szCs w:val="21"/>
              </w:rPr>
              <w:t>电：农田输配电工程指为泵站、机井以及信息化工程等提供电力保障所需的强电、弱电等各种设施，包括输电线路、变配电装置等。其布设应与田间道路、灌溉与排水等工程相结合，符合电力系统安装与运行相关标准，保证用电质量和安全。农田输配电工程应满足农业生产用电需求，并应与当地电网建设规划相协调。农田输配电线路宜采用</w:t>
            </w:r>
            <w:r w:rsidRPr="00F9522B">
              <w:rPr>
                <w:rFonts w:eastAsiaTheme="minorEastAsia"/>
                <w:szCs w:val="21"/>
              </w:rPr>
              <w:t>10kV</w:t>
            </w:r>
            <w:r w:rsidRPr="00F9522B">
              <w:rPr>
                <w:rFonts w:eastAsiaTheme="minorEastAsia"/>
                <w:szCs w:val="21"/>
              </w:rPr>
              <w:t>及以下电压等级，包括</w:t>
            </w:r>
            <w:r w:rsidRPr="00F9522B">
              <w:rPr>
                <w:rFonts w:eastAsiaTheme="minorEastAsia"/>
                <w:szCs w:val="21"/>
              </w:rPr>
              <w:t>10kV</w:t>
            </w:r>
            <w:r w:rsidRPr="00F9522B">
              <w:rPr>
                <w:rFonts w:eastAsiaTheme="minorEastAsia"/>
                <w:szCs w:val="21"/>
              </w:rPr>
              <w:t>、</w:t>
            </w:r>
            <w:r w:rsidRPr="00F9522B">
              <w:rPr>
                <w:rFonts w:eastAsiaTheme="minorEastAsia"/>
                <w:szCs w:val="21"/>
              </w:rPr>
              <w:t>1kV</w:t>
            </w:r>
            <w:r w:rsidRPr="00F9522B">
              <w:rPr>
                <w:rFonts w:eastAsiaTheme="minorEastAsia"/>
                <w:szCs w:val="21"/>
              </w:rPr>
              <w:t>、</w:t>
            </w:r>
            <w:r w:rsidRPr="00F9522B">
              <w:rPr>
                <w:rFonts w:eastAsiaTheme="minorEastAsia"/>
                <w:szCs w:val="21"/>
              </w:rPr>
              <w:t>380V</w:t>
            </w:r>
            <w:r w:rsidRPr="00F9522B">
              <w:rPr>
                <w:rFonts w:eastAsiaTheme="minorEastAsia"/>
                <w:szCs w:val="21"/>
              </w:rPr>
              <w:t>和</w:t>
            </w:r>
            <w:r w:rsidRPr="00F9522B">
              <w:rPr>
                <w:rFonts w:eastAsiaTheme="minorEastAsia"/>
                <w:szCs w:val="21"/>
              </w:rPr>
              <w:t>220V</w:t>
            </w:r>
            <w:r w:rsidRPr="00F9522B">
              <w:rPr>
                <w:rFonts w:eastAsiaTheme="minorEastAsia"/>
                <w:szCs w:val="21"/>
              </w:rPr>
              <w:t>，应设立相应标识。</w:t>
            </w:r>
          </w:p>
        </w:tc>
        <w:tc>
          <w:tcPr>
            <w:tcW w:w="3685" w:type="dxa"/>
            <w:vAlign w:val="center"/>
          </w:tcPr>
          <w:p w:rsidR="002A5A5E" w:rsidRPr="00F9522B" w:rsidRDefault="00611CBA">
            <w:pPr>
              <w:tabs>
                <w:tab w:val="left" w:pos="900"/>
              </w:tabs>
              <w:spacing w:line="300" w:lineRule="atLeast"/>
              <w:jc w:val="left"/>
              <w:rPr>
                <w:rFonts w:eastAsiaTheme="minorEastAsia"/>
                <w:szCs w:val="21"/>
              </w:rPr>
            </w:pPr>
            <w:r w:rsidRPr="00F9522B">
              <w:rPr>
                <w:rFonts w:eastAsiaTheme="minorEastAsia"/>
                <w:szCs w:val="21"/>
              </w:rPr>
              <w:t>本项目</w:t>
            </w:r>
            <w:r w:rsidR="00AD0F5C" w:rsidRPr="00F9522B">
              <w:rPr>
                <w:rFonts w:eastAsiaTheme="minorEastAsia"/>
                <w:szCs w:val="21"/>
              </w:rPr>
              <w:t>新建</w:t>
            </w:r>
            <w:r w:rsidR="00AD0F5C" w:rsidRPr="00F9522B">
              <w:rPr>
                <w:rFonts w:eastAsiaTheme="minorEastAsia"/>
                <w:szCs w:val="21"/>
              </w:rPr>
              <w:t>10kV</w:t>
            </w:r>
            <w:r w:rsidR="00AD0F5C" w:rsidRPr="00F9522B">
              <w:rPr>
                <w:rFonts w:eastAsiaTheme="minorEastAsia"/>
                <w:szCs w:val="21"/>
              </w:rPr>
              <w:t>高压电缆线路</w:t>
            </w:r>
            <w:r w:rsidR="00AD0F5C" w:rsidRPr="00F9522B">
              <w:rPr>
                <w:rFonts w:eastAsiaTheme="minorEastAsia"/>
                <w:szCs w:val="21"/>
              </w:rPr>
              <w:t>97.31km</w:t>
            </w:r>
            <w:r w:rsidR="00AD0F5C" w:rsidRPr="00F9522B">
              <w:rPr>
                <w:rFonts w:eastAsiaTheme="minorEastAsia"/>
                <w:szCs w:val="21"/>
              </w:rPr>
              <w:t>，其中</w:t>
            </w:r>
            <w:r w:rsidR="00AD0F5C" w:rsidRPr="00F9522B">
              <w:rPr>
                <w:rFonts w:eastAsiaTheme="minorEastAsia"/>
                <w:szCs w:val="21"/>
              </w:rPr>
              <w:t>10kV</w:t>
            </w:r>
            <w:r w:rsidR="00AD0F5C" w:rsidRPr="00F9522B">
              <w:rPr>
                <w:rFonts w:eastAsiaTheme="minorEastAsia"/>
                <w:szCs w:val="21"/>
              </w:rPr>
              <w:t>高压架空线路</w:t>
            </w:r>
            <w:r w:rsidR="00AD0F5C" w:rsidRPr="00F9522B">
              <w:rPr>
                <w:rFonts w:eastAsiaTheme="minorEastAsia"/>
                <w:szCs w:val="21"/>
              </w:rPr>
              <w:t>48.086km</w:t>
            </w:r>
            <w:r w:rsidR="00AD0F5C" w:rsidRPr="00F9522B">
              <w:rPr>
                <w:rFonts w:eastAsiaTheme="minorEastAsia"/>
                <w:szCs w:val="21"/>
              </w:rPr>
              <w:t>、地埋线路</w:t>
            </w:r>
            <w:r w:rsidR="00AD0F5C" w:rsidRPr="00F9522B">
              <w:rPr>
                <w:rFonts w:eastAsiaTheme="minorEastAsia"/>
                <w:szCs w:val="21"/>
              </w:rPr>
              <w:t>49.224km</w:t>
            </w:r>
            <w:r w:rsidR="00AD0F5C" w:rsidRPr="00F9522B">
              <w:rPr>
                <w:rFonts w:eastAsiaTheme="minorEastAsia"/>
                <w:szCs w:val="21"/>
              </w:rPr>
              <w:t>；新建</w:t>
            </w:r>
            <w:r w:rsidR="00AD0F5C" w:rsidRPr="00F9522B">
              <w:rPr>
                <w:rFonts w:eastAsiaTheme="minorEastAsia"/>
                <w:szCs w:val="21"/>
              </w:rPr>
              <w:t>0.4kV</w:t>
            </w:r>
            <w:r w:rsidR="00AD0F5C" w:rsidRPr="00F9522B">
              <w:rPr>
                <w:rFonts w:eastAsiaTheme="minorEastAsia"/>
                <w:szCs w:val="21"/>
              </w:rPr>
              <w:t>低压地埋线路</w:t>
            </w:r>
            <w:r w:rsidR="00AD0F5C" w:rsidRPr="00F9522B">
              <w:rPr>
                <w:rFonts w:eastAsiaTheme="minorEastAsia"/>
                <w:szCs w:val="21"/>
              </w:rPr>
              <w:t>29.676km</w:t>
            </w:r>
            <w:r w:rsidRPr="00F9522B">
              <w:rPr>
                <w:rFonts w:eastAsiaTheme="minorEastAsia"/>
                <w:szCs w:val="21"/>
              </w:rPr>
              <w:t>，配套</w:t>
            </w:r>
            <w:r w:rsidR="003D06B8" w:rsidRPr="00F9522B">
              <w:rPr>
                <w:rFonts w:eastAsiaTheme="minorEastAsia"/>
                <w:szCs w:val="21"/>
              </w:rPr>
              <w:t>变压器</w:t>
            </w:r>
            <w:r w:rsidR="003D06B8" w:rsidRPr="00F9522B">
              <w:rPr>
                <w:rFonts w:eastAsiaTheme="minorEastAsia"/>
                <w:szCs w:val="21"/>
              </w:rPr>
              <w:t>256</w:t>
            </w:r>
            <w:r w:rsidR="003D06B8" w:rsidRPr="00F9522B">
              <w:rPr>
                <w:rFonts w:eastAsiaTheme="minorEastAsia"/>
                <w:szCs w:val="21"/>
              </w:rPr>
              <w:t>台</w:t>
            </w:r>
            <w:r w:rsidRPr="00F9522B">
              <w:rPr>
                <w:rFonts w:eastAsiaTheme="minorEastAsia"/>
                <w:szCs w:val="21"/>
              </w:rPr>
              <w:t>，能够满足项目供电设施要求。</w:t>
            </w:r>
          </w:p>
        </w:tc>
        <w:tc>
          <w:tcPr>
            <w:tcW w:w="550" w:type="dxa"/>
            <w:vAlign w:val="center"/>
          </w:tcPr>
          <w:p w:rsidR="002A5A5E" w:rsidRPr="00F9522B" w:rsidRDefault="00611CBA">
            <w:pPr>
              <w:jc w:val="center"/>
              <w:rPr>
                <w:rFonts w:eastAsiaTheme="minorEastAsia"/>
                <w:szCs w:val="21"/>
              </w:rPr>
            </w:pPr>
            <w:r w:rsidRPr="00F9522B">
              <w:rPr>
                <w:rFonts w:eastAsiaTheme="minorEastAsia"/>
                <w:szCs w:val="21"/>
              </w:rPr>
              <w:t>符合</w:t>
            </w:r>
          </w:p>
        </w:tc>
      </w:tr>
    </w:tbl>
    <w:p w:rsidR="002A5A5E" w:rsidRPr="00F9522B" w:rsidRDefault="002A5A5E">
      <w:pPr>
        <w:rPr>
          <w:rFonts w:eastAsiaTheme="minorEastAsia"/>
        </w:rPr>
      </w:pPr>
    </w:p>
    <w:p w:rsidR="002A5A5E" w:rsidRPr="00F9522B" w:rsidRDefault="002A5A5E">
      <w:pPr>
        <w:rPr>
          <w:rFonts w:eastAsiaTheme="minorEastAsia"/>
        </w:rPr>
      </w:pPr>
    </w:p>
    <w:p w:rsidR="002A5A5E" w:rsidRPr="00F9522B" w:rsidRDefault="002A5A5E">
      <w:pPr>
        <w:rPr>
          <w:rFonts w:eastAsiaTheme="minorEastAsia"/>
        </w:rPr>
      </w:pPr>
    </w:p>
    <w:p w:rsidR="002A5A5E" w:rsidRPr="00F9522B" w:rsidRDefault="002A5A5E">
      <w:pPr>
        <w:rPr>
          <w:rFonts w:eastAsiaTheme="minorEastAsia"/>
        </w:rPr>
      </w:pPr>
    </w:p>
    <w:p w:rsidR="002A5A5E" w:rsidRPr="00F9522B" w:rsidRDefault="002A5A5E">
      <w:pPr>
        <w:rPr>
          <w:rFonts w:eastAsiaTheme="minorEastAsia"/>
        </w:rPr>
      </w:pPr>
    </w:p>
    <w:p w:rsidR="002A5A5E" w:rsidRPr="00F9522B" w:rsidRDefault="002A5A5E">
      <w:pPr>
        <w:rPr>
          <w:rFonts w:eastAsiaTheme="minorEastAsia"/>
        </w:rPr>
      </w:pPr>
    </w:p>
    <w:p w:rsidR="002A5A5E" w:rsidRPr="00F9522B" w:rsidRDefault="002A5A5E">
      <w:pPr>
        <w:rPr>
          <w:rFonts w:eastAsiaTheme="minorEastAsia"/>
        </w:rPr>
      </w:pPr>
    </w:p>
    <w:p w:rsidR="002A5A5E" w:rsidRPr="00F9522B" w:rsidRDefault="002A5A5E">
      <w:pPr>
        <w:rPr>
          <w:rFonts w:eastAsiaTheme="minorEastAsia"/>
        </w:rPr>
      </w:pPr>
    </w:p>
    <w:p w:rsidR="002A5A5E" w:rsidRPr="00F9522B" w:rsidRDefault="002A5A5E">
      <w:pPr>
        <w:rPr>
          <w:rFonts w:eastAsiaTheme="minorEastAsia"/>
        </w:rPr>
      </w:pPr>
    </w:p>
    <w:p w:rsidR="002A5A5E" w:rsidRPr="00F9522B" w:rsidRDefault="00611CBA">
      <w:pPr>
        <w:jc w:val="center"/>
        <w:rPr>
          <w:rFonts w:eastAsiaTheme="minorEastAsia"/>
          <w:b/>
          <w:szCs w:val="21"/>
        </w:rPr>
      </w:pPr>
      <w:r w:rsidRPr="00F9522B">
        <w:rPr>
          <w:rFonts w:eastAsiaTheme="minorEastAsia"/>
          <w:b/>
          <w:szCs w:val="21"/>
        </w:rPr>
        <w:lastRenderedPageBreak/>
        <w:t>续表</w:t>
      </w:r>
      <w:r w:rsidRPr="00F9522B">
        <w:rPr>
          <w:rFonts w:eastAsiaTheme="minorEastAsia"/>
          <w:b/>
          <w:szCs w:val="21"/>
        </w:rPr>
        <w:t>1-4-</w:t>
      </w:r>
      <w:r w:rsidR="00C27FC4" w:rsidRPr="00F9522B">
        <w:rPr>
          <w:rFonts w:eastAsiaTheme="minorEastAsia"/>
          <w:b/>
          <w:szCs w:val="21"/>
        </w:rPr>
        <w:t>7</w:t>
      </w:r>
      <w:r w:rsidRPr="00F9522B">
        <w:rPr>
          <w:rFonts w:eastAsiaTheme="minorEastAsia"/>
          <w:b/>
          <w:szCs w:val="21"/>
        </w:rPr>
        <w:t>《高标准农田建设</w:t>
      </w:r>
      <w:r w:rsidRPr="00F9522B">
        <w:rPr>
          <w:rFonts w:eastAsiaTheme="minorEastAsia"/>
          <w:b/>
          <w:szCs w:val="21"/>
        </w:rPr>
        <w:t xml:space="preserve"> </w:t>
      </w:r>
      <w:r w:rsidRPr="00F9522B">
        <w:rPr>
          <w:rFonts w:eastAsiaTheme="minorEastAsia"/>
          <w:b/>
          <w:szCs w:val="21"/>
        </w:rPr>
        <w:t>通则》（</w:t>
      </w:r>
      <w:r w:rsidRPr="00F9522B">
        <w:rPr>
          <w:rFonts w:eastAsiaTheme="minorEastAsia"/>
          <w:b/>
          <w:szCs w:val="21"/>
        </w:rPr>
        <w:t>GB/T30600-2022</w:t>
      </w:r>
      <w:r w:rsidRPr="00F9522B">
        <w:rPr>
          <w:rFonts w:eastAsiaTheme="minorEastAsia"/>
          <w:b/>
          <w:szCs w:val="21"/>
        </w:rPr>
        <w:t>）符合性分析</w:t>
      </w:r>
    </w:p>
    <w:tbl>
      <w:tblPr>
        <w:tblW w:w="8670" w:type="dxa"/>
        <w:jc w:val="center"/>
        <w:tblBorders>
          <w:top w:val="single" w:sz="12" w:space="0" w:color="auto"/>
          <w:bottom w:val="single" w:sz="12" w:space="0" w:color="auto"/>
          <w:insideH w:val="single" w:sz="4" w:space="0" w:color="000000"/>
          <w:insideV w:val="single" w:sz="4" w:space="0" w:color="000000"/>
        </w:tblBorders>
        <w:tblLayout w:type="fixed"/>
        <w:tblLook w:val="04A0"/>
      </w:tblPr>
      <w:tblGrid>
        <w:gridCol w:w="608"/>
        <w:gridCol w:w="3827"/>
        <w:gridCol w:w="3344"/>
        <w:gridCol w:w="891"/>
      </w:tblGrid>
      <w:tr w:rsidR="002A5A5E" w:rsidRPr="00F9522B">
        <w:trPr>
          <w:trHeight w:val="145"/>
          <w:jc w:val="center"/>
        </w:trPr>
        <w:tc>
          <w:tcPr>
            <w:tcW w:w="608" w:type="dxa"/>
            <w:vAlign w:val="center"/>
          </w:tcPr>
          <w:p w:rsidR="002A5A5E" w:rsidRPr="00F9522B" w:rsidRDefault="00611CBA">
            <w:pPr>
              <w:tabs>
                <w:tab w:val="left" w:pos="900"/>
              </w:tabs>
              <w:spacing w:line="300" w:lineRule="atLeast"/>
              <w:jc w:val="center"/>
              <w:rPr>
                <w:rFonts w:eastAsiaTheme="minorEastAsia"/>
                <w:szCs w:val="21"/>
              </w:rPr>
            </w:pPr>
            <w:r w:rsidRPr="00F9522B">
              <w:rPr>
                <w:rFonts w:eastAsiaTheme="minorEastAsia"/>
                <w:szCs w:val="21"/>
              </w:rPr>
              <w:t>《高标准农田建设</w:t>
            </w:r>
            <w:r w:rsidRPr="00F9522B">
              <w:rPr>
                <w:rFonts w:eastAsiaTheme="minorEastAsia"/>
                <w:szCs w:val="21"/>
              </w:rPr>
              <w:t xml:space="preserve"> </w:t>
            </w:r>
          </w:p>
          <w:p w:rsidR="002A5A5E" w:rsidRPr="00F9522B" w:rsidRDefault="00611CBA">
            <w:pPr>
              <w:tabs>
                <w:tab w:val="left" w:pos="900"/>
              </w:tabs>
              <w:spacing w:line="300" w:lineRule="atLeast"/>
              <w:jc w:val="center"/>
              <w:rPr>
                <w:rFonts w:eastAsiaTheme="minorEastAsia"/>
                <w:szCs w:val="21"/>
              </w:rPr>
            </w:pPr>
            <w:r w:rsidRPr="00F9522B">
              <w:rPr>
                <w:rFonts w:eastAsiaTheme="minorEastAsia"/>
                <w:szCs w:val="21"/>
              </w:rPr>
              <w:t>通则》</w:t>
            </w:r>
          </w:p>
        </w:tc>
        <w:tc>
          <w:tcPr>
            <w:tcW w:w="3827" w:type="dxa"/>
            <w:vAlign w:val="center"/>
          </w:tcPr>
          <w:p w:rsidR="002A5A5E" w:rsidRPr="00F9522B" w:rsidRDefault="00611CBA">
            <w:pPr>
              <w:tabs>
                <w:tab w:val="left" w:pos="900"/>
              </w:tabs>
              <w:spacing w:line="300" w:lineRule="atLeast"/>
              <w:jc w:val="left"/>
              <w:rPr>
                <w:rFonts w:eastAsiaTheme="minorEastAsia"/>
                <w:szCs w:val="21"/>
              </w:rPr>
            </w:pPr>
            <w:r w:rsidRPr="00F9522B">
              <w:rPr>
                <w:rFonts w:eastAsiaTheme="minorEastAsia"/>
                <w:szCs w:val="21"/>
              </w:rPr>
              <w:t>高标准农田建设的重点区域包括：已划定的永久基本农田和粮食生产功能区、重要农产品生产保护区。高标准农田建设限制区域包括：水资源贫乏区域，水土流失易发区、沙化区等生态脆区域，历史遗留的挖损、塌陷、压占等造成土地严重损毁且难以恢复的区域，安全利用类耕地，易受自然灾害损毁的区域，沿海涂、内陆滩涂等区域。高标准农田建设禁止区域包括：严格管控类耕地，生态保护红线内区域，退耕还林区、退牧还草区，河流、湖泊、水库水面及其保护范围等区域。</w:t>
            </w:r>
          </w:p>
        </w:tc>
        <w:tc>
          <w:tcPr>
            <w:tcW w:w="3344" w:type="dxa"/>
            <w:vAlign w:val="center"/>
          </w:tcPr>
          <w:p w:rsidR="002A5A5E" w:rsidRPr="00F9522B" w:rsidRDefault="00611CBA" w:rsidP="00AD0F5C">
            <w:pPr>
              <w:tabs>
                <w:tab w:val="left" w:pos="900"/>
              </w:tabs>
              <w:spacing w:line="300" w:lineRule="atLeast"/>
              <w:jc w:val="left"/>
              <w:rPr>
                <w:rFonts w:eastAsiaTheme="minorEastAsia"/>
                <w:szCs w:val="21"/>
              </w:rPr>
            </w:pPr>
            <w:r w:rsidRPr="00F9522B">
              <w:rPr>
                <w:rFonts w:eastAsiaTheme="minorEastAsia"/>
                <w:szCs w:val="21"/>
              </w:rPr>
              <w:t>本项目在现有耕地上建设，不新开垦耕地。项目区不属于水资源贫乏、沙化区等生态脆区域、历史遗留的挖损、塌陷、压占等造成土地严重损毁且难以恢复的区域、安全利用类耕地，易受自然灾害损毁的区域、沿海涂、内陆滩涂等区域。不占用生态保护红线、退耕还林区、退牧还草区，河流、湖泊、水库水面及其保护范围等区域。本项目区域虽</w:t>
            </w:r>
            <w:r w:rsidRPr="00F9522B">
              <w:rPr>
                <w:rFonts w:eastAsiaTheme="minorEastAsia"/>
                <w:bCs/>
                <w:kern w:val="0"/>
              </w:rPr>
              <w:t>属于省级水土流失重点治理区</w:t>
            </w:r>
            <w:r w:rsidRPr="00F9522B">
              <w:rPr>
                <w:rFonts w:eastAsiaTheme="minorEastAsia"/>
              </w:rPr>
              <w:t>，易发生水土流失，本项目实施</w:t>
            </w:r>
            <w:r w:rsidRPr="00F9522B">
              <w:rPr>
                <w:rFonts w:eastAsiaTheme="minorEastAsia"/>
                <w:smallCaps/>
              </w:rPr>
              <w:t>排水沟清淤、灌溉渠道衬砌、侵蚀沟岸坡防护、沟道治理等工程，建成后可减少区域水土流失，</w:t>
            </w:r>
            <w:r w:rsidRPr="00F9522B">
              <w:rPr>
                <w:rFonts w:eastAsiaTheme="minorEastAsia"/>
                <w:bCs/>
                <w:smallCaps/>
              </w:rPr>
              <w:t>提高和维持土地生产力。</w:t>
            </w:r>
          </w:p>
        </w:tc>
        <w:tc>
          <w:tcPr>
            <w:tcW w:w="891" w:type="dxa"/>
            <w:vAlign w:val="center"/>
          </w:tcPr>
          <w:p w:rsidR="002A5A5E" w:rsidRPr="00F9522B" w:rsidRDefault="00611CBA">
            <w:pPr>
              <w:jc w:val="center"/>
              <w:rPr>
                <w:rFonts w:eastAsiaTheme="minorEastAsia"/>
                <w:szCs w:val="21"/>
              </w:rPr>
            </w:pPr>
            <w:r w:rsidRPr="00F9522B">
              <w:rPr>
                <w:rFonts w:eastAsiaTheme="minorEastAsia"/>
                <w:szCs w:val="21"/>
              </w:rPr>
              <w:t>符合</w:t>
            </w:r>
          </w:p>
        </w:tc>
      </w:tr>
    </w:tbl>
    <w:p w:rsidR="002A5A5E" w:rsidRPr="00F9522B" w:rsidRDefault="00611CBA">
      <w:pPr>
        <w:spacing w:before="100" w:beforeAutospacing="1" w:after="100" w:afterAutospacing="1"/>
        <w:jc w:val="left"/>
        <w:outlineLvl w:val="2"/>
        <w:rPr>
          <w:rFonts w:eastAsiaTheme="minorEastAsia"/>
          <w:b/>
          <w:sz w:val="28"/>
          <w:szCs w:val="28"/>
        </w:rPr>
      </w:pPr>
      <w:r w:rsidRPr="00F9522B">
        <w:rPr>
          <w:rFonts w:eastAsiaTheme="minorEastAsia"/>
          <w:b/>
          <w:sz w:val="28"/>
          <w:szCs w:val="28"/>
        </w:rPr>
        <w:t>1.4.</w:t>
      </w:r>
      <w:r w:rsidR="00600084" w:rsidRPr="00F9522B">
        <w:rPr>
          <w:rFonts w:eastAsiaTheme="minorEastAsia"/>
          <w:b/>
          <w:sz w:val="28"/>
          <w:szCs w:val="28"/>
        </w:rPr>
        <w:t>9</w:t>
      </w:r>
      <w:r w:rsidRPr="00F9522B">
        <w:rPr>
          <w:rFonts w:eastAsiaTheme="minorEastAsia"/>
          <w:b/>
          <w:sz w:val="28"/>
          <w:szCs w:val="28"/>
        </w:rPr>
        <w:t>与《水利建设项目</w:t>
      </w:r>
      <w:r w:rsidRPr="00F9522B">
        <w:rPr>
          <w:rFonts w:eastAsiaTheme="minorEastAsia"/>
          <w:b/>
          <w:sz w:val="28"/>
          <w:szCs w:val="28"/>
        </w:rPr>
        <w:t>(</w:t>
      </w:r>
      <w:r w:rsidRPr="00F9522B">
        <w:rPr>
          <w:rFonts w:eastAsiaTheme="minorEastAsia"/>
          <w:b/>
          <w:sz w:val="28"/>
          <w:szCs w:val="28"/>
        </w:rPr>
        <w:t>灌区工程</w:t>
      </w:r>
      <w:r w:rsidRPr="00F9522B">
        <w:rPr>
          <w:rFonts w:eastAsiaTheme="minorEastAsia"/>
          <w:b/>
          <w:sz w:val="28"/>
          <w:szCs w:val="28"/>
        </w:rPr>
        <w:t>)</w:t>
      </w:r>
      <w:hyperlink r:id="rId18" w:tgtFrame="https://huanbao.bjx.com.cn/news/20180813/_blank" w:history="1">
        <w:r w:rsidRPr="00F9522B">
          <w:rPr>
            <w:rFonts w:eastAsiaTheme="minorEastAsia"/>
            <w:b/>
            <w:sz w:val="28"/>
            <w:szCs w:val="28"/>
          </w:rPr>
          <w:t>环境影响评价文件审批</w:t>
        </w:r>
      </w:hyperlink>
      <w:r w:rsidRPr="00F9522B">
        <w:rPr>
          <w:rFonts w:eastAsiaTheme="minorEastAsia"/>
          <w:b/>
          <w:sz w:val="28"/>
          <w:szCs w:val="28"/>
        </w:rPr>
        <w:t>原则</w:t>
      </w:r>
      <w:r w:rsidRPr="00F9522B">
        <w:rPr>
          <w:rFonts w:eastAsiaTheme="minorEastAsia"/>
          <w:b/>
          <w:sz w:val="28"/>
          <w:szCs w:val="28"/>
        </w:rPr>
        <w:t>(</w:t>
      </w:r>
      <w:r w:rsidRPr="00F9522B">
        <w:rPr>
          <w:rFonts w:eastAsiaTheme="minorEastAsia"/>
          <w:b/>
          <w:sz w:val="28"/>
          <w:szCs w:val="28"/>
        </w:rPr>
        <w:t>试行</w:t>
      </w:r>
      <w:r w:rsidRPr="00F9522B">
        <w:rPr>
          <w:rFonts w:eastAsiaTheme="minorEastAsia"/>
          <w:b/>
          <w:sz w:val="28"/>
          <w:szCs w:val="28"/>
        </w:rPr>
        <w:t>)</w:t>
      </w:r>
      <w:r w:rsidRPr="00F9522B">
        <w:rPr>
          <w:rFonts w:eastAsiaTheme="minorEastAsia"/>
          <w:b/>
          <w:sz w:val="28"/>
          <w:szCs w:val="28"/>
        </w:rPr>
        <w:t>》符合性分析</w:t>
      </w:r>
    </w:p>
    <w:p w:rsidR="002A5A5E" w:rsidRPr="00F9522B" w:rsidRDefault="002A5A5E">
      <w:pPr>
        <w:spacing w:before="100" w:beforeAutospacing="1" w:after="100" w:afterAutospacing="1"/>
        <w:jc w:val="left"/>
        <w:rPr>
          <w:rFonts w:eastAsiaTheme="minorEastAsia"/>
          <w:b/>
          <w:sz w:val="28"/>
          <w:szCs w:val="28"/>
        </w:rPr>
      </w:pPr>
    </w:p>
    <w:p w:rsidR="002A5A5E" w:rsidRPr="00F9522B" w:rsidRDefault="002A5A5E">
      <w:pPr>
        <w:spacing w:before="100" w:beforeAutospacing="1" w:after="100" w:afterAutospacing="1"/>
        <w:jc w:val="left"/>
        <w:rPr>
          <w:rFonts w:eastAsiaTheme="minorEastAsia"/>
          <w:b/>
          <w:sz w:val="28"/>
          <w:szCs w:val="28"/>
        </w:rPr>
      </w:pPr>
    </w:p>
    <w:p w:rsidR="002A5A5E" w:rsidRPr="00F9522B" w:rsidRDefault="002A5A5E">
      <w:pPr>
        <w:spacing w:before="100" w:beforeAutospacing="1" w:after="100" w:afterAutospacing="1"/>
        <w:jc w:val="left"/>
        <w:rPr>
          <w:rFonts w:eastAsiaTheme="minorEastAsia"/>
          <w:b/>
          <w:sz w:val="28"/>
          <w:szCs w:val="28"/>
        </w:rPr>
      </w:pPr>
    </w:p>
    <w:p w:rsidR="002A5A5E" w:rsidRPr="00F9522B" w:rsidRDefault="002A5A5E">
      <w:pPr>
        <w:spacing w:before="100" w:beforeAutospacing="1" w:after="100" w:afterAutospacing="1"/>
        <w:jc w:val="left"/>
        <w:rPr>
          <w:rFonts w:eastAsiaTheme="minorEastAsia"/>
          <w:b/>
          <w:sz w:val="28"/>
          <w:szCs w:val="28"/>
        </w:rPr>
      </w:pPr>
    </w:p>
    <w:p w:rsidR="002A5A5E" w:rsidRPr="00F9522B" w:rsidRDefault="002A5A5E">
      <w:pPr>
        <w:spacing w:before="100" w:beforeAutospacing="1" w:after="100" w:afterAutospacing="1"/>
        <w:jc w:val="left"/>
        <w:rPr>
          <w:rFonts w:eastAsiaTheme="minorEastAsia"/>
          <w:b/>
          <w:sz w:val="28"/>
          <w:szCs w:val="28"/>
        </w:rPr>
      </w:pPr>
    </w:p>
    <w:p w:rsidR="002A5A5E" w:rsidRPr="00F9522B" w:rsidRDefault="002A5A5E">
      <w:pPr>
        <w:spacing w:before="100" w:beforeAutospacing="1" w:after="100" w:afterAutospacing="1"/>
        <w:jc w:val="left"/>
        <w:rPr>
          <w:rFonts w:eastAsiaTheme="minorEastAsia"/>
          <w:b/>
          <w:sz w:val="28"/>
          <w:szCs w:val="28"/>
        </w:rPr>
      </w:pPr>
    </w:p>
    <w:p w:rsidR="002A5A5E" w:rsidRPr="00F9522B" w:rsidRDefault="002A5A5E">
      <w:pPr>
        <w:spacing w:before="100" w:beforeAutospacing="1" w:after="100" w:afterAutospacing="1"/>
        <w:jc w:val="left"/>
        <w:rPr>
          <w:rFonts w:eastAsiaTheme="minorEastAsia"/>
          <w:b/>
          <w:sz w:val="28"/>
          <w:szCs w:val="28"/>
        </w:rPr>
      </w:pPr>
    </w:p>
    <w:p w:rsidR="002A5A5E" w:rsidRPr="00F9522B" w:rsidRDefault="00611CBA">
      <w:pPr>
        <w:keepNext/>
        <w:keepLines/>
        <w:jc w:val="center"/>
        <w:rPr>
          <w:rFonts w:eastAsiaTheme="minorEastAsia"/>
          <w:b/>
          <w:bCs/>
          <w:kern w:val="21"/>
          <w:szCs w:val="21"/>
        </w:rPr>
      </w:pPr>
      <w:r w:rsidRPr="00F9522B">
        <w:rPr>
          <w:rFonts w:eastAsiaTheme="minorEastAsia"/>
          <w:b/>
          <w:bCs/>
          <w:kern w:val="21"/>
          <w:szCs w:val="21"/>
        </w:rPr>
        <w:lastRenderedPageBreak/>
        <w:t>表</w:t>
      </w:r>
      <w:r w:rsidRPr="00F9522B">
        <w:rPr>
          <w:rFonts w:eastAsiaTheme="minorEastAsia"/>
          <w:b/>
          <w:bCs/>
          <w:kern w:val="21"/>
          <w:szCs w:val="21"/>
        </w:rPr>
        <w:t>1-4-</w:t>
      </w:r>
      <w:r w:rsidR="00C27FC4" w:rsidRPr="00F9522B">
        <w:rPr>
          <w:rFonts w:eastAsiaTheme="minorEastAsia"/>
          <w:b/>
          <w:bCs/>
          <w:kern w:val="21"/>
          <w:szCs w:val="21"/>
        </w:rPr>
        <w:t>8</w:t>
      </w:r>
      <w:r w:rsidRPr="00F9522B">
        <w:rPr>
          <w:rFonts w:eastAsiaTheme="minorEastAsia"/>
          <w:b/>
          <w:bCs/>
          <w:kern w:val="21"/>
          <w:szCs w:val="21"/>
        </w:rPr>
        <w:t>本项目与</w:t>
      </w:r>
      <w:r w:rsidRPr="00F9522B">
        <w:rPr>
          <w:rFonts w:eastAsiaTheme="minorEastAsia"/>
          <w:b/>
          <w:szCs w:val="21"/>
        </w:rPr>
        <w:t>《水利建设项目</w:t>
      </w:r>
      <w:r w:rsidRPr="00F9522B">
        <w:rPr>
          <w:rFonts w:eastAsiaTheme="minorEastAsia"/>
          <w:b/>
          <w:szCs w:val="21"/>
        </w:rPr>
        <w:t>(</w:t>
      </w:r>
      <w:r w:rsidRPr="00F9522B">
        <w:rPr>
          <w:rFonts w:eastAsiaTheme="minorEastAsia"/>
          <w:b/>
          <w:szCs w:val="21"/>
        </w:rPr>
        <w:t>灌区工程</w:t>
      </w:r>
      <w:r w:rsidRPr="00F9522B">
        <w:rPr>
          <w:rFonts w:eastAsiaTheme="minorEastAsia"/>
          <w:b/>
          <w:szCs w:val="21"/>
        </w:rPr>
        <w:t>)</w:t>
      </w:r>
      <w:hyperlink r:id="rId19" w:tgtFrame="https://huanbao.bjx.com.cn/news/20180813/_blank" w:history="1">
        <w:r w:rsidRPr="00F9522B">
          <w:rPr>
            <w:rFonts w:eastAsiaTheme="minorEastAsia"/>
            <w:b/>
            <w:szCs w:val="21"/>
          </w:rPr>
          <w:t>环境影响评价文件审批</w:t>
        </w:r>
      </w:hyperlink>
      <w:r w:rsidRPr="00F9522B">
        <w:rPr>
          <w:rFonts w:eastAsiaTheme="minorEastAsia"/>
          <w:b/>
          <w:szCs w:val="21"/>
        </w:rPr>
        <w:t>原则</w:t>
      </w:r>
      <w:r w:rsidRPr="00F9522B">
        <w:rPr>
          <w:rFonts w:eastAsiaTheme="minorEastAsia"/>
          <w:b/>
          <w:szCs w:val="21"/>
        </w:rPr>
        <w:t>(</w:t>
      </w:r>
      <w:r w:rsidRPr="00F9522B">
        <w:rPr>
          <w:rFonts w:eastAsiaTheme="minorEastAsia"/>
          <w:b/>
          <w:szCs w:val="21"/>
        </w:rPr>
        <w:t>试行</w:t>
      </w:r>
      <w:r w:rsidRPr="00F9522B">
        <w:rPr>
          <w:rFonts w:eastAsiaTheme="minorEastAsia"/>
          <w:b/>
          <w:szCs w:val="21"/>
        </w:rPr>
        <w:t>)</w:t>
      </w:r>
      <w:r w:rsidRPr="00F9522B">
        <w:rPr>
          <w:rFonts w:eastAsiaTheme="minorEastAsia"/>
          <w:b/>
          <w:szCs w:val="21"/>
        </w:rPr>
        <w:t>》</w:t>
      </w:r>
      <w:r w:rsidRPr="00F9522B">
        <w:rPr>
          <w:rFonts w:eastAsiaTheme="minorEastAsia"/>
          <w:b/>
          <w:bCs/>
          <w:kern w:val="21"/>
          <w:szCs w:val="21"/>
        </w:rPr>
        <w:t>符合性分析</w:t>
      </w:r>
    </w:p>
    <w:tbl>
      <w:tblPr>
        <w:tblW w:w="5000" w:type="pct"/>
        <w:jc w:val="center"/>
        <w:tblBorders>
          <w:top w:val="single" w:sz="12" w:space="0" w:color="auto"/>
          <w:bottom w:val="single" w:sz="12" w:space="0" w:color="auto"/>
          <w:insideH w:val="single" w:sz="4" w:space="0" w:color="auto"/>
          <w:insideV w:val="single" w:sz="4" w:space="0" w:color="auto"/>
        </w:tblBorders>
        <w:tblLayout w:type="fixed"/>
        <w:tblLook w:val="04A0"/>
      </w:tblPr>
      <w:tblGrid>
        <w:gridCol w:w="690"/>
        <w:gridCol w:w="2962"/>
        <w:gridCol w:w="4107"/>
        <w:gridCol w:w="763"/>
      </w:tblGrid>
      <w:tr w:rsidR="002A5A5E" w:rsidRPr="00F9522B">
        <w:trPr>
          <w:jc w:val="center"/>
        </w:trPr>
        <w:tc>
          <w:tcPr>
            <w:tcW w:w="690" w:type="dxa"/>
            <w:vAlign w:val="center"/>
          </w:tcPr>
          <w:p w:rsidR="002A5A5E" w:rsidRPr="00F9522B" w:rsidRDefault="00611CBA">
            <w:pPr>
              <w:jc w:val="center"/>
              <w:rPr>
                <w:rFonts w:eastAsiaTheme="minorEastAsia"/>
                <w:kern w:val="0"/>
                <w:szCs w:val="21"/>
              </w:rPr>
            </w:pPr>
            <w:r w:rsidRPr="00F9522B">
              <w:rPr>
                <w:rFonts w:eastAsiaTheme="minorEastAsia"/>
                <w:kern w:val="0"/>
                <w:szCs w:val="21"/>
              </w:rPr>
              <w:t>序号</w:t>
            </w:r>
          </w:p>
        </w:tc>
        <w:tc>
          <w:tcPr>
            <w:tcW w:w="2962" w:type="dxa"/>
            <w:vAlign w:val="center"/>
          </w:tcPr>
          <w:p w:rsidR="002A5A5E" w:rsidRPr="00F9522B" w:rsidRDefault="00611CBA">
            <w:pPr>
              <w:jc w:val="center"/>
              <w:rPr>
                <w:rFonts w:eastAsiaTheme="minorEastAsia"/>
                <w:kern w:val="0"/>
                <w:szCs w:val="21"/>
              </w:rPr>
            </w:pPr>
            <w:r w:rsidRPr="00F9522B">
              <w:rPr>
                <w:rFonts w:eastAsiaTheme="minorEastAsia"/>
                <w:kern w:val="0"/>
                <w:szCs w:val="21"/>
              </w:rPr>
              <w:t>相关要求</w:t>
            </w:r>
          </w:p>
        </w:tc>
        <w:tc>
          <w:tcPr>
            <w:tcW w:w="4107" w:type="dxa"/>
            <w:vAlign w:val="center"/>
          </w:tcPr>
          <w:p w:rsidR="002A5A5E" w:rsidRPr="00F9522B" w:rsidRDefault="00611CBA">
            <w:pPr>
              <w:jc w:val="center"/>
              <w:rPr>
                <w:rFonts w:eastAsiaTheme="minorEastAsia"/>
                <w:kern w:val="0"/>
                <w:szCs w:val="21"/>
              </w:rPr>
            </w:pPr>
            <w:r w:rsidRPr="00F9522B">
              <w:rPr>
                <w:rFonts w:eastAsiaTheme="minorEastAsia"/>
                <w:kern w:val="0"/>
                <w:szCs w:val="21"/>
              </w:rPr>
              <w:t>符合性分析</w:t>
            </w:r>
          </w:p>
        </w:tc>
        <w:tc>
          <w:tcPr>
            <w:tcW w:w="763" w:type="dxa"/>
            <w:vAlign w:val="center"/>
          </w:tcPr>
          <w:p w:rsidR="002A5A5E" w:rsidRPr="00F9522B" w:rsidRDefault="00611CBA">
            <w:pPr>
              <w:jc w:val="center"/>
              <w:rPr>
                <w:rFonts w:eastAsiaTheme="minorEastAsia"/>
                <w:kern w:val="0"/>
                <w:szCs w:val="21"/>
              </w:rPr>
            </w:pPr>
            <w:r w:rsidRPr="00F9522B">
              <w:rPr>
                <w:rFonts w:eastAsiaTheme="minorEastAsia"/>
                <w:kern w:val="0"/>
                <w:szCs w:val="21"/>
              </w:rPr>
              <w:t>结论</w:t>
            </w:r>
          </w:p>
        </w:tc>
      </w:tr>
      <w:tr w:rsidR="002A5A5E" w:rsidRPr="00F9522B">
        <w:trPr>
          <w:jc w:val="center"/>
        </w:trPr>
        <w:tc>
          <w:tcPr>
            <w:tcW w:w="690" w:type="dxa"/>
            <w:vAlign w:val="center"/>
          </w:tcPr>
          <w:p w:rsidR="002A5A5E" w:rsidRPr="00F9522B" w:rsidRDefault="00611CBA">
            <w:pPr>
              <w:jc w:val="center"/>
              <w:rPr>
                <w:rFonts w:eastAsiaTheme="minorEastAsia"/>
                <w:kern w:val="0"/>
                <w:szCs w:val="21"/>
              </w:rPr>
            </w:pPr>
            <w:r w:rsidRPr="00F9522B">
              <w:rPr>
                <w:rFonts w:eastAsiaTheme="minorEastAsia"/>
                <w:kern w:val="0"/>
                <w:szCs w:val="21"/>
              </w:rPr>
              <w:t>1</w:t>
            </w:r>
          </w:p>
        </w:tc>
        <w:tc>
          <w:tcPr>
            <w:tcW w:w="2962" w:type="dxa"/>
            <w:vAlign w:val="center"/>
          </w:tcPr>
          <w:p w:rsidR="002A5A5E" w:rsidRPr="00F9522B" w:rsidRDefault="00611CBA">
            <w:pPr>
              <w:rPr>
                <w:szCs w:val="21"/>
              </w:rPr>
            </w:pPr>
            <w:r w:rsidRPr="00F9522B">
              <w:rPr>
                <w:rStyle w:val="CharChar"/>
                <w:rFonts w:hAnsi="Times New Roman"/>
              </w:rPr>
              <w:t>项目符合生态环境及资源相关法律法规和政策要求，与主体功能区规划、生态功能区划、水（环境）功能区划、水污染防治规划、生态环境保护规划等相协调，项目开发任务、供水量、供水范围和对象、灌区规模、种植结构等主要内容总体符合流域区域综合规划、水资源规划、灌区规划、农业生产规划、节水规划等相关规划及规划环评要求。项目水资源开发利用符合以水定产、以水定地原则，未超出流域区域水资源利用上限，灌溉定额、灌溉用水保证率、灌溉水有效利用系数满足流域区域用水效率控制要求。</w:t>
            </w:r>
          </w:p>
        </w:tc>
        <w:tc>
          <w:tcPr>
            <w:tcW w:w="4107" w:type="dxa"/>
            <w:vAlign w:val="center"/>
          </w:tcPr>
          <w:p w:rsidR="002A5A5E" w:rsidRPr="00F9522B" w:rsidRDefault="00611CBA" w:rsidP="00600084">
            <w:pPr>
              <w:jc w:val="left"/>
              <w:rPr>
                <w:rFonts w:eastAsiaTheme="minorEastAsia"/>
                <w:kern w:val="0"/>
                <w:szCs w:val="21"/>
              </w:rPr>
            </w:pPr>
            <w:r w:rsidRPr="00F9522B">
              <w:rPr>
                <w:rFonts w:eastAsiaTheme="minorEastAsia"/>
                <w:kern w:val="0"/>
                <w:szCs w:val="21"/>
              </w:rPr>
              <w:t>本项目符合现行的环境保护相关法律法规和政策要求，符合黑龙江省主体功能区规划、黑龙江省生态功能区划等要求，符合《全国农业可持续发展规划（</w:t>
            </w:r>
            <w:r w:rsidRPr="00F9522B">
              <w:rPr>
                <w:rFonts w:eastAsiaTheme="minorEastAsia"/>
                <w:kern w:val="0"/>
                <w:szCs w:val="21"/>
              </w:rPr>
              <w:t>2015—2030</w:t>
            </w:r>
            <w:r w:rsidRPr="00F9522B">
              <w:rPr>
                <w:rFonts w:eastAsiaTheme="minorEastAsia"/>
                <w:kern w:val="0"/>
                <w:szCs w:val="21"/>
              </w:rPr>
              <w:t>年）》等；</w:t>
            </w:r>
            <w:bookmarkStart w:id="21" w:name="_Hlk120647572"/>
            <w:bookmarkStart w:id="22" w:name="_Hlk150864959"/>
            <w:r w:rsidRPr="00F9522B">
              <w:rPr>
                <w:rFonts w:eastAsiaTheme="minorEastAsia"/>
                <w:kern w:val="0"/>
                <w:szCs w:val="21"/>
              </w:rPr>
              <w:t>本项目采取节水灌溉制度，</w:t>
            </w:r>
            <w:bookmarkEnd w:id="21"/>
            <w:r w:rsidRPr="00F9522B">
              <w:rPr>
                <w:rFonts w:eastAsiaTheme="minorEastAsia"/>
                <w:kern w:val="0"/>
                <w:szCs w:val="21"/>
              </w:rPr>
              <w:t>未超出地下水资源利用上限，</w:t>
            </w:r>
            <w:r w:rsidR="002E2407" w:rsidRPr="00F9522B">
              <w:rPr>
                <w:rFonts w:eastAsiaTheme="minorEastAsia"/>
                <w:kern w:val="0"/>
                <w:szCs w:val="21"/>
              </w:rPr>
              <w:t>坐水种灌溉水利用系数达到</w:t>
            </w:r>
            <w:r w:rsidR="002E2407" w:rsidRPr="00F9522B">
              <w:rPr>
                <w:rFonts w:eastAsiaTheme="minorEastAsia"/>
                <w:kern w:val="0"/>
                <w:szCs w:val="21"/>
              </w:rPr>
              <w:t>0.9</w:t>
            </w:r>
            <w:r w:rsidR="002E2407" w:rsidRPr="00F9522B">
              <w:rPr>
                <w:rFonts w:eastAsiaTheme="minorEastAsia"/>
                <w:kern w:val="0"/>
                <w:szCs w:val="21"/>
              </w:rPr>
              <w:t>，滴灌灌溉水利用系数达到</w:t>
            </w:r>
            <w:r w:rsidR="002E2407" w:rsidRPr="00F9522B">
              <w:rPr>
                <w:rFonts w:eastAsiaTheme="minorEastAsia"/>
                <w:kern w:val="0"/>
                <w:szCs w:val="21"/>
              </w:rPr>
              <w:t>0.93</w:t>
            </w:r>
            <w:r w:rsidRPr="00F9522B">
              <w:rPr>
                <w:rFonts w:eastAsiaTheme="minorEastAsia"/>
                <w:kern w:val="0"/>
                <w:szCs w:val="21"/>
              </w:rPr>
              <w:t>，均满足相关要求</w:t>
            </w:r>
            <w:bookmarkEnd w:id="22"/>
            <w:r w:rsidRPr="00F9522B">
              <w:rPr>
                <w:rFonts w:eastAsiaTheme="minorEastAsia"/>
                <w:kern w:val="0"/>
                <w:szCs w:val="21"/>
              </w:rPr>
              <w:t>。</w:t>
            </w:r>
          </w:p>
        </w:tc>
        <w:tc>
          <w:tcPr>
            <w:tcW w:w="763" w:type="dxa"/>
            <w:vAlign w:val="center"/>
          </w:tcPr>
          <w:p w:rsidR="002A5A5E" w:rsidRPr="00F9522B" w:rsidRDefault="00611CBA">
            <w:pPr>
              <w:jc w:val="center"/>
              <w:rPr>
                <w:rFonts w:eastAsiaTheme="minorEastAsia"/>
                <w:kern w:val="0"/>
                <w:szCs w:val="21"/>
              </w:rPr>
            </w:pPr>
            <w:r w:rsidRPr="00F9522B">
              <w:rPr>
                <w:rFonts w:eastAsiaTheme="minorEastAsia"/>
                <w:kern w:val="0"/>
                <w:szCs w:val="21"/>
              </w:rPr>
              <w:t>符合</w:t>
            </w:r>
          </w:p>
        </w:tc>
      </w:tr>
      <w:tr w:rsidR="002A5A5E" w:rsidRPr="00F9522B">
        <w:trPr>
          <w:jc w:val="center"/>
        </w:trPr>
        <w:tc>
          <w:tcPr>
            <w:tcW w:w="690" w:type="dxa"/>
            <w:vAlign w:val="center"/>
          </w:tcPr>
          <w:p w:rsidR="002A5A5E" w:rsidRPr="00F9522B" w:rsidRDefault="00611CBA">
            <w:pPr>
              <w:jc w:val="center"/>
              <w:rPr>
                <w:rFonts w:eastAsiaTheme="minorEastAsia"/>
                <w:kern w:val="0"/>
                <w:szCs w:val="21"/>
              </w:rPr>
            </w:pPr>
            <w:r w:rsidRPr="00F9522B">
              <w:rPr>
                <w:rFonts w:eastAsiaTheme="minorEastAsia"/>
                <w:kern w:val="0"/>
                <w:szCs w:val="21"/>
              </w:rPr>
              <w:t>2</w:t>
            </w:r>
          </w:p>
        </w:tc>
        <w:tc>
          <w:tcPr>
            <w:tcW w:w="2962" w:type="dxa"/>
            <w:vAlign w:val="center"/>
          </w:tcPr>
          <w:p w:rsidR="002A5A5E" w:rsidRPr="00F9522B" w:rsidRDefault="00611CBA">
            <w:pPr>
              <w:jc w:val="left"/>
              <w:rPr>
                <w:rFonts w:eastAsiaTheme="minorEastAsia"/>
                <w:kern w:val="0"/>
                <w:szCs w:val="21"/>
              </w:rPr>
            </w:pPr>
            <w:r w:rsidRPr="00F9522B">
              <w:rPr>
                <w:rFonts w:eastAsiaTheme="minorEastAsia"/>
                <w:kern w:val="0"/>
                <w:szCs w:val="21"/>
              </w:rPr>
              <w:t>项目选址选线、取</w:t>
            </w:r>
            <w:r w:rsidRPr="00F9522B">
              <w:rPr>
                <w:rFonts w:eastAsiaTheme="minorEastAsia"/>
                <w:kern w:val="0"/>
                <w:szCs w:val="21"/>
              </w:rPr>
              <w:t>(</w:t>
            </w:r>
            <w:r w:rsidRPr="00F9522B">
              <w:rPr>
                <w:rFonts w:eastAsiaTheme="minorEastAsia"/>
                <w:kern w:val="0"/>
                <w:szCs w:val="21"/>
              </w:rPr>
              <w:t>蓄</w:t>
            </w:r>
            <w:r w:rsidRPr="00F9522B">
              <w:rPr>
                <w:rFonts w:eastAsiaTheme="minorEastAsia"/>
                <w:kern w:val="0"/>
                <w:szCs w:val="21"/>
              </w:rPr>
              <w:t>)</w:t>
            </w:r>
            <w:r w:rsidRPr="00F9522B">
              <w:rPr>
                <w:rFonts w:eastAsiaTheme="minorEastAsia"/>
                <w:kern w:val="0"/>
                <w:szCs w:val="21"/>
              </w:rPr>
              <w:t>水工程淹没、施工布置等不占用自然保护区、风景名胜区、世界文化和自然遗产地以及其他生态保护红线中法律法规禁止占用的区域，并与饮用水水源保护区、重要湿地等环境敏感区的保护要求相协调。</w:t>
            </w:r>
          </w:p>
        </w:tc>
        <w:tc>
          <w:tcPr>
            <w:tcW w:w="4107" w:type="dxa"/>
            <w:vAlign w:val="center"/>
          </w:tcPr>
          <w:p w:rsidR="002A5A5E" w:rsidRPr="00F9522B" w:rsidRDefault="00611CBA">
            <w:pPr>
              <w:jc w:val="left"/>
              <w:rPr>
                <w:rFonts w:eastAsiaTheme="minorEastAsia"/>
                <w:kern w:val="0"/>
                <w:szCs w:val="21"/>
              </w:rPr>
            </w:pPr>
            <w:r w:rsidRPr="00F9522B">
              <w:rPr>
                <w:rFonts w:eastAsiaTheme="minorEastAsia"/>
                <w:kern w:val="0"/>
                <w:szCs w:val="21"/>
              </w:rPr>
              <w:t>本项目选址选线、施工布置、临时占地、取料场不占用自然保护区、风景名胜区、世界文化和自然遗产地、重要湿地以及其他生态保护红线中法律法规禁止占用的区域。不在饮用水水源保护区范围内。</w:t>
            </w:r>
          </w:p>
        </w:tc>
        <w:tc>
          <w:tcPr>
            <w:tcW w:w="763" w:type="dxa"/>
            <w:vAlign w:val="center"/>
          </w:tcPr>
          <w:p w:rsidR="002A5A5E" w:rsidRPr="00F9522B" w:rsidRDefault="00611CBA">
            <w:pPr>
              <w:jc w:val="center"/>
              <w:rPr>
                <w:rFonts w:eastAsiaTheme="minorEastAsia"/>
                <w:kern w:val="0"/>
                <w:szCs w:val="21"/>
              </w:rPr>
            </w:pPr>
            <w:r w:rsidRPr="00F9522B">
              <w:rPr>
                <w:rFonts w:eastAsiaTheme="minorEastAsia"/>
                <w:kern w:val="0"/>
                <w:szCs w:val="21"/>
              </w:rPr>
              <w:t>符合</w:t>
            </w:r>
          </w:p>
        </w:tc>
      </w:tr>
      <w:tr w:rsidR="002A5A5E" w:rsidRPr="00F9522B">
        <w:trPr>
          <w:jc w:val="center"/>
        </w:trPr>
        <w:tc>
          <w:tcPr>
            <w:tcW w:w="690" w:type="dxa"/>
            <w:vAlign w:val="center"/>
          </w:tcPr>
          <w:p w:rsidR="002A5A5E" w:rsidRPr="00F9522B" w:rsidRDefault="00611CBA">
            <w:pPr>
              <w:jc w:val="center"/>
              <w:rPr>
                <w:rFonts w:eastAsiaTheme="minorEastAsia"/>
                <w:kern w:val="0"/>
                <w:szCs w:val="21"/>
              </w:rPr>
            </w:pPr>
            <w:r w:rsidRPr="00F9522B">
              <w:rPr>
                <w:rFonts w:eastAsiaTheme="minorEastAsia"/>
                <w:kern w:val="0"/>
                <w:szCs w:val="21"/>
              </w:rPr>
              <w:t>3</w:t>
            </w:r>
          </w:p>
        </w:tc>
        <w:tc>
          <w:tcPr>
            <w:tcW w:w="2962" w:type="dxa"/>
            <w:vAlign w:val="center"/>
          </w:tcPr>
          <w:p w:rsidR="002A5A5E" w:rsidRPr="00F9522B" w:rsidRDefault="00611CBA">
            <w:pPr>
              <w:widowControl/>
              <w:jc w:val="left"/>
              <w:textAlignment w:val="bottom"/>
              <w:rPr>
                <w:rFonts w:eastAsiaTheme="minorEastAsia"/>
                <w:szCs w:val="21"/>
              </w:rPr>
            </w:pPr>
            <w:r w:rsidRPr="00F9522B">
              <w:rPr>
                <w:rFonts w:eastAsiaTheme="minorEastAsia"/>
                <w:szCs w:val="21"/>
              </w:rPr>
              <w:t>项目取（蓄）水造成河、湖或水库水文情势改变且带来不利影响的，统筹考虑了上、下游河道水环境、水生生态、景观、湿地等生态用水及生产、生活用水需求，提出了优化取水方案、泄放生态流量、实施在线监控等措施。通过节水、置换等措施获得供水水量的，用水方式和规模具有环境合理性和可行性。采取上述措施后，未造成河道脱水，河道生态环境及生产、生活用水需求能够得到满足。</w:t>
            </w:r>
          </w:p>
        </w:tc>
        <w:tc>
          <w:tcPr>
            <w:tcW w:w="4107" w:type="dxa"/>
            <w:vAlign w:val="center"/>
          </w:tcPr>
          <w:p w:rsidR="002A5A5E" w:rsidRPr="00F9522B" w:rsidRDefault="00611CBA">
            <w:pPr>
              <w:jc w:val="left"/>
              <w:rPr>
                <w:rFonts w:eastAsiaTheme="minorEastAsia"/>
                <w:kern w:val="0"/>
                <w:szCs w:val="21"/>
              </w:rPr>
            </w:pPr>
            <w:r w:rsidRPr="00F9522B">
              <w:rPr>
                <w:rFonts w:eastAsiaTheme="minorEastAsia"/>
                <w:kern w:val="0"/>
                <w:szCs w:val="21"/>
              </w:rPr>
              <w:t>本工程不取用地表水</w:t>
            </w:r>
            <w:r w:rsidRPr="00F9522B">
              <w:rPr>
                <w:rFonts w:eastAsiaTheme="minorEastAsia"/>
                <w:szCs w:val="21"/>
              </w:rPr>
              <w:t>。现有水田依托现有地下水取水水井，</w:t>
            </w:r>
            <w:r w:rsidRPr="00F9522B">
              <w:rPr>
                <w:rFonts w:eastAsiaTheme="minorEastAsia"/>
                <w:kern w:val="0"/>
                <w:szCs w:val="21"/>
              </w:rPr>
              <w:t>本项目实施后，由于灌溉水利用系数的提升、农田保水能力增强以及渠系配套系统的完善，地下水取水量减少。</w:t>
            </w:r>
          </w:p>
        </w:tc>
        <w:tc>
          <w:tcPr>
            <w:tcW w:w="763" w:type="dxa"/>
            <w:vAlign w:val="center"/>
          </w:tcPr>
          <w:p w:rsidR="002A5A5E" w:rsidRPr="00F9522B" w:rsidRDefault="00611CBA">
            <w:pPr>
              <w:jc w:val="center"/>
              <w:rPr>
                <w:rFonts w:eastAsiaTheme="minorEastAsia"/>
                <w:kern w:val="0"/>
                <w:szCs w:val="21"/>
              </w:rPr>
            </w:pPr>
            <w:r w:rsidRPr="00F9522B">
              <w:rPr>
                <w:rFonts w:eastAsiaTheme="minorEastAsia"/>
                <w:kern w:val="0"/>
                <w:szCs w:val="21"/>
              </w:rPr>
              <w:t>符合</w:t>
            </w:r>
          </w:p>
        </w:tc>
      </w:tr>
    </w:tbl>
    <w:p w:rsidR="002A5A5E" w:rsidRPr="00F9522B" w:rsidRDefault="002A5A5E"/>
    <w:p w:rsidR="002A5A5E" w:rsidRPr="00F9522B" w:rsidRDefault="00611CBA">
      <w:pPr>
        <w:keepNext/>
        <w:keepLines/>
        <w:jc w:val="center"/>
        <w:rPr>
          <w:rFonts w:eastAsiaTheme="minorEastAsia"/>
          <w:b/>
          <w:bCs/>
          <w:kern w:val="21"/>
          <w:szCs w:val="21"/>
        </w:rPr>
      </w:pPr>
      <w:r w:rsidRPr="00F9522B">
        <w:rPr>
          <w:rFonts w:eastAsiaTheme="minorEastAsia"/>
          <w:b/>
          <w:bCs/>
          <w:kern w:val="21"/>
          <w:szCs w:val="21"/>
        </w:rPr>
        <w:lastRenderedPageBreak/>
        <w:t>续表</w:t>
      </w:r>
      <w:r w:rsidRPr="00F9522B">
        <w:rPr>
          <w:rFonts w:eastAsiaTheme="minorEastAsia"/>
          <w:b/>
          <w:bCs/>
          <w:kern w:val="21"/>
          <w:szCs w:val="21"/>
        </w:rPr>
        <w:t>1-4-</w:t>
      </w:r>
      <w:r w:rsidR="00C27FC4" w:rsidRPr="00F9522B">
        <w:rPr>
          <w:rFonts w:eastAsiaTheme="minorEastAsia"/>
          <w:b/>
          <w:bCs/>
          <w:kern w:val="21"/>
          <w:szCs w:val="21"/>
        </w:rPr>
        <w:t>8</w:t>
      </w:r>
      <w:r w:rsidRPr="00F9522B">
        <w:rPr>
          <w:rFonts w:eastAsiaTheme="minorEastAsia"/>
          <w:b/>
          <w:bCs/>
          <w:kern w:val="21"/>
          <w:szCs w:val="21"/>
        </w:rPr>
        <w:t>本项目与</w:t>
      </w:r>
      <w:r w:rsidRPr="00F9522B">
        <w:rPr>
          <w:rFonts w:eastAsiaTheme="minorEastAsia"/>
          <w:b/>
          <w:szCs w:val="21"/>
        </w:rPr>
        <w:t>《水利建设项目</w:t>
      </w:r>
      <w:r w:rsidRPr="00F9522B">
        <w:rPr>
          <w:rFonts w:eastAsiaTheme="minorEastAsia"/>
          <w:b/>
          <w:szCs w:val="21"/>
        </w:rPr>
        <w:t>(</w:t>
      </w:r>
      <w:r w:rsidRPr="00F9522B">
        <w:rPr>
          <w:rFonts w:eastAsiaTheme="minorEastAsia"/>
          <w:b/>
          <w:szCs w:val="21"/>
        </w:rPr>
        <w:t>灌区工程</w:t>
      </w:r>
      <w:r w:rsidRPr="00F9522B">
        <w:rPr>
          <w:rFonts w:eastAsiaTheme="minorEastAsia"/>
          <w:b/>
          <w:szCs w:val="21"/>
        </w:rPr>
        <w:t>)</w:t>
      </w:r>
      <w:hyperlink r:id="rId20" w:tgtFrame="https://huanbao.bjx.com.cn/news/20180813/_blank" w:history="1">
        <w:r w:rsidRPr="00F9522B">
          <w:rPr>
            <w:rFonts w:eastAsiaTheme="minorEastAsia"/>
            <w:b/>
            <w:szCs w:val="21"/>
          </w:rPr>
          <w:t>环境影响评价文件审批</w:t>
        </w:r>
      </w:hyperlink>
      <w:r w:rsidRPr="00F9522B">
        <w:rPr>
          <w:rFonts w:eastAsiaTheme="minorEastAsia"/>
          <w:b/>
          <w:szCs w:val="21"/>
        </w:rPr>
        <w:t>原则</w:t>
      </w:r>
      <w:r w:rsidRPr="00F9522B">
        <w:rPr>
          <w:rFonts w:eastAsiaTheme="minorEastAsia"/>
          <w:b/>
          <w:szCs w:val="21"/>
        </w:rPr>
        <w:t>(</w:t>
      </w:r>
      <w:r w:rsidRPr="00F9522B">
        <w:rPr>
          <w:rFonts w:eastAsiaTheme="minorEastAsia"/>
          <w:b/>
          <w:szCs w:val="21"/>
        </w:rPr>
        <w:t>试行</w:t>
      </w:r>
      <w:r w:rsidRPr="00F9522B">
        <w:rPr>
          <w:rFonts w:eastAsiaTheme="minorEastAsia"/>
          <w:b/>
          <w:szCs w:val="21"/>
        </w:rPr>
        <w:t>)</w:t>
      </w:r>
      <w:r w:rsidRPr="00F9522B">
        <w:rPr>
          <w:rFonts w:eastAsiaTheme="minorEastAsia"/>
          <w:b/>
          <w:szCs w:val="21"/>
        </w:rPr>
        <w:t>》</w:t>
      </w:r>
      <w:r w:rsidRPr="00F9522B">
        <w:rPr>
          <w:rFonts w:eastAsiaTheme="minorEastAsia"/>
          <w:b/>
          <w:bCs/>
          <w:kern w:val="21"/>
          <w:szCs w:val="21"/>
        </w:rPr>
        <w:t>符合性分析</w:t>
      </w:r>
    </w:p>
    <w:tbl>
      <w:tblPr>
        <w:tblW w:w="5000" w:type="pct"/>
        <w:jc w:val="center"/>
        <w:tblBorders>
          <w:top w:val="single" w:sz="12" w:space="0" w:color="auto"/>
          <w:bottom w:val="single" w:sz="12" w:space="0" w:color="auto"/>
          <w:insideH w:val="single" w:sz="4" w:space="0" w:color="auto"/>
          <w:insideV w:val="single" w:sz="4" w:space="0" w:color="auto"/>
        </w:tblBorders>
        <w:tblLayout w:type="fixed"/>
        <w:tblLook w:val="04A0"/>
      </w:tblPr>
      <w:tblGrid>
        <w:gridCol w:w="690"/>
        <w:gridCol w:w="2962"/>
        <w:gridCol w:w="4107"/>
        <w:gridCol w:w="763"/>
      </w:tblGrid>
      <w:tr w:rsidR="002A5A5E" w:rsidRPr="00F9522B">
        <w:trPr>
          <w:jc w:val="center"/>
        </w:trPr>
        <w:tc>
          <w:tcPr>
            <w:tcW w:w="690" w:type="dxa"/>
            <w:vAlign w:val="center"/>
          </w:tcPr>
          <w:p w:rsidR="002A5A5E" w:rsidRPr="00F9522B" w:rsidRDefault="00611CBA">
            <w:pPr>
              <w:jc w:val="center"/>
              <w:rPr>
                <w:rFonts w:eastAsiaTheme="minorEastAsia"/>
                <w:kern w:val="0"/>
                <w:szCs w:val="21"/>
              </w:rPr>
            </w:pPr>
            <w:r w:rsidRPr="00F9522B">
              <w:rPr>
                <w:rFonts w:eastAsiaTheme="minorEastAsia"/>
                <w:kern w:val="0"/>
                <w:szCs w:val="21"/>
              </w:rPr>
              <w:t>4</w:t>
            </w:r>
          </w:p>
        </w:tc>
        <w:tc>
          <w:tcPr>
            <w:tcW w:w="2962" w:type="dxa"/>
            <w:vAlign w:val="center"/>
          </w:tcPr>
          <w:p w:rsidR="002A5A5E" w:rsidRPr="00F9522B" w:rsidRDefault="00611CBA">
            <w:pPr>
              <w:widowControl/>
              <w:jc w:val="left"/>
              <w:textAlignment w:val="bottom"/>
              <w:rPr>
                <w:rFonts w:eastAsiaTheme="minorEastAsia"/>
                <w:szCs w:val="21"/>
              </w:rPr>
            </w:pPr>
            <w:r w:rsidRPr="00F9522B">
              <w:rPr>
                <w:rStyle w:val="CharChar"/>
                <w:rFonts w:hAnsi="Times New Roman"/>
              </w:rPr>
              <w:t>项目取（蓄）水、输水或灌溉造成周边区域地下水位变化，引起土壤潜育化、沼泽化、盐碱化、沙化或植被退化演替等次生环境问题或造成居民水井、泉水位下降影响居民用水安全的，提出了优化取（蓄）水方案及灌溉方式、渠道防渗、截水导排、生态修复或保障居民供水等措施。灌区土壤存在重金属污染等威胁农产品质量安全问题的，按照土壤环境管理的有关要求，提出了农艺调控、种植结构优化、耕地污染修复、灌溉水源调整或休耕等措施。</w:t>
            </w:r>
          </w:p>
        </w:tc>
        <w:tc>
          <w:tcPr>
            <w:tcW w:w="4107" w:type="dxa"/>
            <w:vAlign w:val="center"/>
          </w:tcPr>
          <w:p w:rsidR="002A5A5E" w:rsidRPr="00F9522B" w:rsidRDefault="00611CBA">
            <w:pPr>
              <w:jc w:val="left"/>
              <w:rPr>
                <w:rFonts w:eastAsiaTheme="minorEastAsia"/>
                <w:bCs/>
                <w:kern w:val="0"/>
                <w:szCs w:val="21"/>
              </w:rPr>
            </w:pPr>
            <w:r w:rsidRPr="00F9522B">
              <w:rPr>
                <w:rFonts w:eastAsiaTheme="minorEastAsia"/>
                <w:bCs/>
                <w:kern w:val="0"/>
                <w:szCs w:val="21"/>
              </w:rPr>
              <w:t>论证区开采后地下水流场没有发生大的变化。受区域地形地貌、气候特征及土壤条件影响，项目区地下水含水层的大气降水垂直入渗补给条件较好，含水层调节能力强。根据已批复水资源论证报告书预测结果，井群连续开采最大水位降深为</w:t>
            </w:r>
            <w:r w:rsidR="00DF41E3" w:rsidRPr="00F9522B">
              <w:rPr>
                <w:rFonts w:eastAsiaTheme="minorEastAsia"/>
                <w:bCs/>
                <w:kern w:val="0"/>
                <w:szCs w:val="21"/>
              </w:rPr>
              <w:t>1.315m</w:t>
            </w:r>
            <w:r w:rsidRPr="00F9522B">
              <w:rPr>
                <w:rFonts w:eastAsiaTheme="minorEastAsia"/>
                <w:bCs/>
                <w:kern w:val="0"/>
                <w:szCs w:val="21"/>
              </w:rPr>
              <w:t>，小于</w:t>
            </w:r>
            <w:r w:rsidRPr="00F9522B">
              <w:rPr>
                <w:rFonts w:eastAsiaTheme="minorEastAsia"/>
                <w:bCs/>
                <w:kern w:val="0"/>
                <w:szCs w:val="21"/>
              </w:rPr>
              <w:t>2.0m</w:t>
            </w:r>
            <w:r w:rsidRPr="00F9522B">
              <w:rPr>
                <w:rFonts w:eastAsiaTheme="minorEastAsia"/>
                <w:bCs/>
                <w:kern w:val="0"/>
                <w:szCs w:val="21"/>
              </w:rPr>
              <w:t>，小于含水层厚度</w:t>
            </w:r>
            <w:r w:rsidRPr="00F9522B">
              <w:rPr>
                <w:rFonts w:eastAsiaTheme="minorEastAsia"/>
                <w:bCs/>
                <w:kern w:val="0"/>
                <w:szCs w:val="21"/>
              </w:rPr>
              <w:t>30m</w:t>
            </w:r>
            <w:r w:rsidRPr="00F9522B">
              <w:rPr>
                <w:rFonts w:eastAsiaTheme="minorEastAsia"/>
                <w:bCs/>
                <w:kern w:val="0"/>
                <w:szCs w:val="21"/>
              </w:rPr>
              <w:t>的三分之一，故项目取水造成的地下水水位降深在允许范围内。项目实际开采为非持续性，且开采期为每年的</w:t>
            </w:r>
            <w:r w:rsidRPr="00F9522B">
              <w:rPr>
                <w:rFonts w:eastAsiaTheme="minorEastAsia"/>
                <w:bCs/>
                <w:kern w:val="0"/>
                <w:szCs w:val="21"/>
              </w:rPr>
              <w:t>5-7</w:t>
            </w:r>
            <w:r w:rsidRPr="00F9522B">
              <w:rPr>
                <w:rFonts w:eastAsiaTheme="minorEastAsia"/>
                <w:bCs/>
                <w:kern w:val="0"/>
                <w:szCs w:val="21"/>
              </w:rPr>
              <w:t>月，随着</w:t>
            </w:r>
            <w:r w:rsidRPr="00F9522B">
              <w:rPr>
                <w:rFonts w:eastAsiaTheme="minorEastAsia"/>
                <w:bCs/>
                <w:kern w:val="0"/>
                <w:szCs w:val="21"/>
              </w:rPr>
              <w:t>7</w:t>
            </w:r>
            <w:r w:rsidRPr="00F9522B">
              <w:rPr>
                <w:rFonts w:eastAsiaTheme="minorEastAsia"/>
                <w:bCs/>
                <w:kern w:val="0"/>
                <w:szCs w:val="21"/>
              </w:rPr>
              <w:t>月份丰水期的到来，得益于对地下水良好的补给条件，以丰补歉，项目取水水源地所在区域含水层厚度较大，富水性较好，水量和水质条件均能够满足项目用水要求</w:t>
            </w:r>
            <w:r w:rsidR="00760E2B" w:rsidRPr="00F9522B">
              <w:rPr>
                <w:rStyle w:val="CharChar"/>
                <w:rFonts w:hAnsi="Times New Roman"/>
              </w:rPr>
              <w:t>；根据现状对土壤的监测结果</w:t>
            </w:r>
            <w:r w:rsidRPr="00F9522B">
              <w:rPr>
                <w:rStyle w:val="CharChar"/>
                <w:rFonts w:hAnsi="Times New Roman"/>
              </w:rPr>
              <w:t>，灌区土壤不存在重金属污染问题，工程建成后通过减少化肥使用量、测土配方施肥等措施，使土壤质量持续改善。</w:t>
            </w:r>
            <w:r w:rsidR="00D61453" w:rsidRPr="00F9522B">
              <w:rPr>
                <w:rStyle w:val="CharChar"/>
                <w:rFonts w:hAnsi="Times New Roman"/>
              </w:rPr>
              <w:t>田块整治</w:t>
            </w:r>
            <w:r w:rsidRPr="00F9522B">
              <w:rPr>
                <w:rStyle w:val="CharChar"/>
                <w:rFonts w:hAnsi="Times New Roman"/>
              </w:rPr>
              <w:t>工程实施后，可对新建区的盐碱土壤进行改良，可使土壤容重降低，总孔隙度提升，通气性和透水性显著改善，减少地表积水和次生盐渍化风险。改良前盐碱土黏粒含量高，干时坚硬、湿时泥泞，耕作阻力大，调理剂通过分散黏粒团聚，降低土壤黏结力，使耕作层更疏松，利于农机作业和作物根系穿插。</w:t>
            </w:r>
          </w:p>
        </w:tc>
        <w:tc>
          <w:tcPr>
            <w:tcW w:w="763" w:type="dxa"/>
            <w:vAlign w:val="center"/>
          </w:tcPr>
          <w:p w:rsidR="002A5A5E" w:rsidRPr="00F9522B" w:rsidRDefault="00611CBA">
            <w:pPr>
              <w:jc w:val="center"/>
              <w:rPr>
                <w:rFonts w:eastAsiaTheme="minorEastAsia"/>
                <w:kern w:val="0"/>
                <w:szCs w:val="21"/>
              </w:rPr>
            </w:pPr>
            <w:r w:rsidRPr="00F9522B">
              <w:rPr>
                <w:rFonts w:eastAsiaTheme="minorEastAsia"/>
                <w:kern w:val="0"/>
                <w:szCs w:val="21"/>
              </w:rPr>
              <w:t>符合</w:t>
            </w:r>
          </w:p>
        </w:tc>
      </w:tr>
      <w:tr w:rsidR="002A5A5E" w:rsidRPr="00F9522B">
        <w:trPr>
          <w:trHeight w:val="3300"/>
          <w:jc w:val="center"/>
        </w:trPr>
        <w:tc>
          <w:tcPr>
            <w:tcW w:w="690" w:type="dxa"/>
            <w:vAlign w:val="center"/>
          </w:tcPr>
          <w:p w:rsidR="002A5A5E" w:rsidRPr="00F9522B" w:rsidRDefault="00611CBA">
            <w:pPr>
              <w:jc w:val="center"/>
              <w:rPr>
                <w:rFonts w:eastAsiaTheme="minorEastAsia"/>
                <w:kern w:val="0"/>
                <w:szCs w:val="21"/>
              </w:rPr>
            </w:pPr>
            <w:r w:rsidRPr="00F9522B">
              <w:rPr>
                <w:rFonts w:eastAsiaTheme="minorEastAsia"/>
                <w:kern w:val="0"/>
                <w:szCs w:val="21"/>
              </w:rPr>
              <w:t>5</w:t>
            </w:r>
          </w:p>
        </w:tc>
        <w:tc>
          <w:tcPr>
            <w:tcW w:w="2962" w:type="dxa"/>
            <w:vAlign w:val="center"/>
          </w:tcPr>
          <w:p w:rsidR="002A5A5E" w:rsidRPr="00F9522B" w:rsidRDefault="00611CBA" w:rsidP="00772BB1">
            <w:pPr>
              <w:spacing w:line="0" w:lineRule="atLeast"/>
              <w:jc w:val="left"/>
              <w:rPr>
                <w:rFonts w:eastAsiaTheme="minorEastAsia"/>
                <w:kern w:val="0"/>
                <w:szCs w:val="21"/>
              </w:rPr>
            </w:pPr>
            <w:r w:rsidRPr="00F9522B">
              <w:rPr>
                <w:rFonts w:eastAsiaTheme="minorEastAsia"/>
                <w:kern w:val="0"/>
                <w:szCs w:val="21"/>
              </w:rPr>
              <w:t>项目取</w:t>
            </w:r>
            <w:r w:rsidRPr="00F9522B">
              <w:rPr>
                <w:rFonts w:eastAsiaTheme="minorEastAsia"/>
                <w:kern w:val="0"/>
                <w:szCs w:val="21"/>
              </w:rPr>
              <w:t>(</w:t>
            </w:r>
            <w:r w:rsidRPr="00F9522B">
              <w:rPr>
                <w:rFonts w:eastAsiaTheme="minorEastAsia"/>
                <w:kern w:val="0"/>
                <w:szCs w:val="21"/>
              </w:rPr>
              <w:t>输</w:t>
            </w:r>
            <w:r w:rsidRPr="00F9522B">
              <w:rPr>
                <w:rFonts w:eastAsiaTheme="minorEastAsia"/>
                <w:kern w:val="0"/>
                <w:szCs w:val="21"/>
              </w:rPr>
              <w:t>)</w:t>
            </w:r>
            <w:r w:rsidRPr="00F9522B">
              <w:rPr>
                <w:rFonts w:eastAsiaTheme="minorEastAsia"/>
                <w:kern w:val="0"/>
                <w:szCs w:val="21"/>
              </w:rPr>
              <w:t>水水质、水温满足灌溉水质和农作物生长要求。项目灌区农药化肥施用以及灌溉退水等对水环境造成污染的，提出了测土配方施肥、水肥一体化、控制农药与化肥施用种类及数量，以及建设生态沟渠、人工湿地、污水净化塘等措施。</w:t>
            </w:r>
          </w:p>
        </w:tc>
        <w:tc>
          <w:tcPr>
            <w:tcW w:w="4107" w:type="dxa"/>
            <w:vAlign w:val="center"/>
          </w:tcPr>
          <w:p w:rsidR="002A5A5E" w:rsidRPr="00F9522B" w:rsidRDefault="00611CBA" w:rsidP="00772BB1">
            <w:pPr>
              <w:spacing w:line="0" w:lineRule="atLeast"/>
              <w:jc w:val="left"/>
              <w:rPr>
                <w:rFonts w:eastAsiaTheme="minorEastAsia"/>
                <w:kern w:val="0"/>
                <w:szCs w:val="21"/>
              </w:rPr>
            </w:pPr>
            <w:r w:rsidRPr="00F9522B">
              <w:rPr>
                <w:rFonts w:eastAsiaTheme="minorEastAsia"/>
                <w:kern w:val="0"/>
                <w:szCs w:val="21"/>
              </w:rPr>
              <w:t>项目区灌溉用水水质满足《农田灌溉水质标准》（</w:t>
            </w:r>
            <w:r w:rsidRPr="00F9522B">
              <w:rPr>
                <w:rFonts w:eastAsiaTheme="minorEastAsia"/>
                <w:kern w:val="0"/>
                <w:szCs w:val="21"/>
              </w:rPr>
              <w:t>GB5084-2021</w:t>
            </w:r>
            <w:r w:rsidRPr="00F9522B">
              <w:rPr>
                <w:rFonts w:eastAsiaTheme="minorEastAsia"/>
                <w:kern w:val="0"/>
                <w:szCs w:val="21"/>
              </w:rPr>
              <w:t>）旱田灌溉用水标准，符合农业灌溉水质标准。</w:t>
            </w:r>
          </w:p>
          <w:p w:rsidR="002A5A5E" w:rsidRPr="00F9522B" w:rsidRDefault="00611CBA" w:rsidP="00772BB1">
            <w:pPr>
              <w:spacing w:line="0" w:lineRule="atLeast"/>
              <w:jc w:val="left"/>
              <w:rPr>
                <w:rFonts w:eastAsiaTheme="minorEastAsia"/>
                <w:kern w:val="0"/>
                <w:szCs w:val="21"/>
              </w:rPr>
            </w:pPr>
            <w:r w:rsidRPr="00F9522B">
              <w:rPr>
                <w:rFonts w:eastAsiaTheme="minorEastAsia"/>
                <w:kern w:val="0"/>
                <w:szCs w:val="21"/>
              </w:rPr>
              <w:t>项目的地表水退水口利用现有。本项目实施后，不新增水田总面积，由于灌溉水利用系数的提升、农田保水能力增强以及渠系配套系统的完善，项目建成后灌区年退水量与现状相比</w:t>
            </w:r>
            <w:r w:rsidR="004A0FF6" w:rsidRPr="00F9522B">
              <w:rPr>
                <w:rFonts w:eastAsiaTheme="minorEastAsia"/>
                <w:kern w:val="0"/>
                <w:szCs w:val="21"/>
              </w:rPr>
              <w:t>减少</w:t>
            </w:r>
            <w:r w:rsidR="004A0FF6" w:rsidRPr="00F9522B">
              <w:rPr>
                <w:rFonts w:eastAsiaTheme="minorEastAsia"/>
                <w:kern w:val="0"/>
                <w:szCs w:val="21"/>
              </w:rPr>
              <w:t>15</w:t>
            </w:r>
            <w:r w:rsidR="004A0FF6" w:rsidRPr="00F9522B">
              <w:rPr>
                <w:rFonts w:eastAsiaTheme="minorEastAsia"/>
                <w:kern w:val="0"/>
                <w:szCs w:val="21"/>
              </w:rPr>
              <w:t>万</w:t>
            </w:r>
            <w:r w:rsidRPr="00F9522B">
              <w:rPr>
                <w:rFonts w:eastAsiaTheme="minorEastAsia"/>
                <w:kern w:val="0"/>
                <w:szCs w:val="21"/>
              </w:rPr>
              <w:t>m</w:t>
            </w:r>
            <w:r w:rsidRPr="00F9522B">
              <w:rPr>
                <w:rFonts w:eastAsiaTheme="minorEastAsia"/>
                <w:kern w:val="0"/>
                <w:szCs w:val="21"/>
                <w:vertAlign w:val="superscript"/>
              </w:rPr>
              <w:t>3</w:t>
            </w:r>
            <w:r w:rsidRPr="00F9522B">
              <w:rPr>
                <w:rFonts w:eastAsiaTheme="minorEastAsia"/>
                <w:kern w:val="0"/>
                <w:szCs w:val="21"/>
              </w:rPr>
              <w:t>。</w:t>
            </w:r>
            <w:r w:rsidR="00E03AD9" w:rsidRPr="00F9522B">
              <w:rPr>
                <w:rFonts w:eastAsiaTheme="minorEastAsia"/>
                <w:bCs/>
                <w:kern w:val="0"/>
                <w:szCs w:val="21"/>
              </w:rPr>
              <w:t>COD</w:t>
            </w:r>
            <w:r w:rsidR="00E03AD9" w:rsidRPr="00F9522B">
              <w:rPr>
                <w:rFonts w:eastAsiaTheme="minorEastAsia"/>
                <w:bCs/>
                <w:kern w:val="0"/>
                <w:szCs w:val="21"/>
              </w:rPr>
              <w:t>、氨氮、总磷及总氮排放量分别减少</w:t>
            </w:r>
            <w:r w:rsidR="00E03AD9" w:rsidRPr="00F9522B">
              <w:rPr>
                <w:rFonts w:eastAsiaTheme="minorEastAsia"/>
                <w:bCs/>
                <w:kern w:val="0"/>
                <w:szCs w:val="21"/>
              </w:rPr>
              <w:t>7.905t/a</w:t>
            </w:r>
            <w:r w:rsidR="00E03AD9" w:rsidRPr="00F9522B">
              <w:rPr>
                <w:rFonts w:eastAsiaTheme="minorEastAsia"/>
                <w:bCs/>
                <w:kern w:val="0"/>
                <w:szCs w:val="21"/>
              </w:rPr>
              <w:t>、</w:t>
            </w:r>
            <w:r w:rsidR="00E03AD9" w:rsidRPr="00F9522B">
              <w:rPr>
                <w:rFonts w:eastAsiaTheme="minorEastAsia"/>
                <w:bCs/>
                <w:kern w:val="0"/>
                <w:szCs w:val="21"/>
              </w:rPr>
              <w:t>0.189t/a</w:t>
            </w:r>
            <w:r w:rsidR="00E03AD9" w:rsidRPr="00F9522B">
              <w:rPr>
                <w:rFonts w:eastAsiaTheme="minorEastAsia"/>
                <w:bCs/>
                <w:kern w:val="0"/>
                <w:szCs w:val="21"/>
              </w:rPr>
              <w:t>、</w:t>
            </w:r>
            <w:r w:rsidR="00E03AD9" w:rsidRPr="00F9522B">
              <w:rPr>
                <w:rFonts w:eastAsiaTheme="minorEastAsia"/>
                <w:bCs/>
                <w:kern w:val="0"/>
                <w:szCs w:val="21"/>
              </w:rPr>
              <w:t>0.276t/a</w:t>
            </w:r>
            <w:r w:rsidR="00E03AD9" w:rsidRPr="00F9522B">
              <w:rPr>
                <w:rFonts w:eastAsiaTheme="minorEastAsia"/>
                <w:bCs/>
                <w:kern w:val="0"/>
                <w:szCs w:val="21"/>
              </w:rPr>
              <w:t>、</w:t>
            </w:r>
            <w:r w:rsidR="00E03AD9" w:rsidRPr="00F9522B">
              <w:rPr>
                <w:rFonts w:eastAsiaTheme="minorEastAsia"/>
                <w:bCs/>
                <w:kern w:val="0"/>
                <w:szCs w:val="21"/>
              </w:rPr>
              <w:t>0.63t/a</w:t>
            </w:r>
            <w:r w:rsidRPr="00F9522B">
              <w:rPr>
                <w:rFonts w:eastAsiaTheme="minorEastAsia"/>
                <w:bCs/>
                <w:kern w:val="0"/>
                <w:szCs w:val="21"/>
              </w:rPr>
              <w:t>。</w:t>
            </w:r>
            <w:r w:rsidRPr="00F9522B">
              <w:rPr>
                <w:rFonts w:eastAsiaTheme="minorEastAsia"/>
                <w:kern w:val="0"/>
                <w:szCs w:val="21"/>
              </w:rPr>
              <w:t>项目施行</w:t>
            </w:r>
            <w:r w:rsidRPr="00F9522B">
              <w:rPr>
                <w:rFonts w:eastAsiaTheme="minorEastAsia"/>
                <w:kern w:val="0"/>
                <w:szCs w:val="21"/>
              </w:rPr>
              <w:t>“</w:t>
            </w:r>
            <w:r w:rsidRPr="00F9522B">
              <w:rPr>
                <w:rFonts w:eastAsiaTheme="minorEastAsia"/>
                <w:kern w:val="0"/>
                <w:szCs w:val="21"/>
              </w:rPr>
              <w:t>三减</w:t>
            </w:r>
            <w:r w:rsidRPr="00F9522B">
              <w:rPr>
                <w:rFonts w:eastAsiaTheme="minorEastAsia"/>
                <w:kern w:val="0"/>
                <w:szCs w:val="21"/>
              </w:rPr>
              <w:t>”</w:t>
            </w:r>
            <w:r w:rsidRPr="00F9522B">
              <w:rPr>
                <w:rFonts w:eastAsiaTheme="minorEastAsia"/>
                <w:kern w:val="0"/>
                <w:szCs w:val="21"/>
              </w:rPr>
              <w:t>行动，即减化肥、减农药、减除草剂，积极推广科学施肥，使化肥、农药实现减量化施用，增加有机肥的施用，优化调整农药施用结构，</w:t>
            </w:r>
            <w:r w:rsidRPr="00F9522B">
              <w:rPr>
                <w:rFonts w:eastAsiaTheme="minorEastAsia"/>
                <w:kern w:val="0"/>
              </w:rPr>
              <w:t>提出测土配方施肥、水肥一体化、控制农药与化肥施用种类及数量</w:t>
            </w:r>
            <w:r w:rsidRPr="00F9522B">
              <w:rPr>
                <w:rFonts w:eastAsiaTheme="minorEastAsia"/>
                <w:kern w:val="0"/>
                <w:szCs w:val="21"/>
              </w:rPr>
              <w:t>措施，减轻对灌区下游水环境的污染。故工程实施后对</w:t>
            </w:r>
            <w:r w:rsidR="00E93DD8" w:rsidRPr="00F9522B">
              <w:rPr>
                <w:rFonts w:eastAsiaTheme="minorEastAsia"/>
                <w:kern w:val="0"/>
                <w:szCs w:val="21"/>
              </w:rPr>
              <w:t>松花江及漂河、呼兰河口湿地自然保护区</w:t>
            </w:r>
            <w:r w:rsidRPr="00F9522B">
              <w:rPr>
                <w:rFonts w:eastAsiaTheme="minorEastAsia"/>
                <w:kern w:val="0"/>
                <w:szCs w:val="21"/>
              </w:rPr>
              <w:t>水生生态环境起到一定改善作用。无需建设退水水质提升设施。</w:t>
            </w:r>
          </w:p>
        </w:tc>
        <w:tc>
          <w:tcPr>
            <w:tcW w:w="763" w:type="dxa"/>
            <w:vAlign w:val="center"/>
          </w:tcPr>
          <w:p w:rsidR="002A5A5E" w:rsidRPr="00F9522B" w:rsidRDefault="00611CBA">
            <w:pPr>
              <w:jc w:val="center"/>
              <w:rPr>
                <w:rFonts w:eastAsiaTheme="minorEastAsia"/>
                <w:kern w:val="0"/>
                <w:szCs w:val="21"/>
              </w:rPr>
            </w:pPr>
            <w:r w:rsidRPr="00F9522B">
              <w:rPr>
                <w:rFonts w:eastAsiaTheme="minorEastAsia"/>
                <w:kern w:val="0"/>
                <w:szCs w:val="21"/>
              </w:rPr>
              <w:t>符合</w:t>
            </w:r>
          </w:p>
        </w:tc>
      </w:tr>
    </w:tbl>
    <w:p w:rsidR="002A5A5E" w:rsidRPr="00F9522B" w:rsidRDefault="002A5A5E"/>
    <w:p w:rsidR="002A5A5E" w:rsidRPr="00F9522B" w:rsidRDefault="00611CBA">
      <w:pPr>
        <w:keepNext/>
        <w:keepLines/>
        <w:jc w:val="center"/>
        <w:rPr>
          <w:rFonts w:eastAsiaTheme="minorEastAsia"/>
          <w:b/>
          <w:bCs/>
          <w:kern w:val="21"/>
          <w:szCs w:val="21"/>
        </w:rPr>
      </w:pPr>
      <w:r w:rsidRPr="00F9522B">
        <w:rPr>
          <w:rFonts w:eastAsiaTheme="minorEastAsia"/>
          <w:b/>
          <w:bCs/>
          <w:kern w:val="21"/>
          <w:szCs w:val="21"/>
        </w:rPr>
        <w:lastRenderedPageBreak/>
        <w:t>续表</w:t>
      </w:r>
      <w:r w:rsidRPr="00F9522B">
        <w:rPr>
          <w:rFonts w:eastAsiaTheme="minorEastAsia"/>
          <w:b/>
          <w:bCs/>
          <w:kern w:val="21"/>
          <w:szCs w:val="21"/>
        </w:rPr>
        <w:t>1-4-</w:t>
      </w:r>
      <w:r w:rsidR="00C27FC4" w:rsidRPr="00F9522B">
        <w:rPr>
          <w:rFonts w:eastAsiaTheme="minorEastAsia"/>
          <w:b/>
          <w:bCs/>
          <w:kern w:val="21"/>
          <w:szCs w:val="21"/>
        </w:rPr>
        <w:t>8</w:t>
      </w:r>
      <w:r w:rsidRPr="00F9522B">
        <w:rPr>
          <w:rFonts w:eastAsiaTheme="minorEastAsia"/>
          <w:b/>
          <w:bCs/>
          <w:kern w:val="21"/>
          <w:szCs w:val="21"/>
        </w:rPr>
        <w:t>本项目与</w:t>
      </w:r>
      <w:r w:rsidRPr="00F9522B">
        <w:rPr>
          <w:rFonts w:eastAsiaTheme="minorEastAsia"/>
          <w:b/>
          <w:szCs w:val="21"/>
        </w:rPr>
        <w:t>《水利建设项目</w:t>
      </w:r>
      <w:r w:rsidRPr="00F9522B">
        <w:rPr>
          <w:rFonts w:eastAsiaTheme="minorEastAsia"/>
          <w:b/>
          <w:szCs w:val="21"/>
        </w:rPr>
        <w:t>(</w:t>
      </w:r>
      <w:r w:rsidRPr="00F9522B">
        <w:rPr>
          <w:rFonts w:eastAsiaTheme="minorEastAsia"/>
          <w:b/>
          <w:szCs w:val="21"/>
        </w:rPr>
        <w:t>灌区工程</w:t>
      </w:r>
      <w:r w:rsidRPr="00F9522B">
        <w:rPr>
          <w:rFonts w:eastAsiaTheme="minorEastAsia"/>
          <w:b/>
          <w:szCs w:val="21"/>
        </w:rPr>
        <w:t>)</w:t>
      </w:r>
      <w:hyperlink r:id="rId21" w:tgtFrame="https://huanbao.bjx.com.cn/news/20180813/_blank" w:history="1">
        <w:r w:rsidRPr="00F9522B">
          <w:rPr>
            <w:rFonts w:eastAsiaTheme="minorEastAsia"/>
            <w:b/>
            <w:szCs w:val="21"/>
          </w:rPr>
          <w:t>环境影响评价文件审批</w:t>
        </w:r>
      </w:hyperlink>
      <w:r w:rsidRPr="00F9522B">
        <w:rPr>
          <w:rFonts w:eastAsiaTheme="minorEastAsia"/>
          <w:b/>
          <w:szCs w:val="21"/>
        </w:rPr>
        <w:t>原则</w:t>
      </w:r>
      <w:r w:rsidRPr="00F9522B">
        <w:rPr>
          <w:rFonts w:eastAsiaTheme="minorEastAsia"/>
          <w:b/>
          <w:szCs w:val="21"/>
        </w:rPr>
        <w:t>(</w:t>
      </w:r>
      <w:r w:rsidRPr="00F9522B">
        <w:rPr>
          <w:rFonts w:eastAsiaTheme="minorEastAsia"/>
          <w:b/>
          <w:szCs w:val="21"/>
        </w:rPr>
        <w:t>试行</w:t>
      </w:r>
      <w:r w:rsidRPr="00F9522B">
        <w:rPr>
          <w:rFonts w:eastAsiaTheme="minorEastAsia"/>
          <w:b/>
          <w:szCs w:val="21"/>
        </w:rPr>
        <w:t>)</w:t>
      </w:r>
      <w:r w:rsidRPr="00F9522B">
        <w:rPr>
          <w:rFonts w:eastAsiaTheme="minorEastAsia"/>
          <w:b/>
          <w:szCs w:val="21"/>
        </w:rPr>
        <w:t>》</w:t>
      </w:r>
      <w:r w:rsidRPr="00F9522B">
        <w:rPr>
          <w:rFonts w:eastAsiaTheme="minorEastAsia"/>
          <w:b/>
          <w:bCs/>
          <w:kern w:val="21"/>
          <w:szCs w:val="21"/>
        </w:rPr>
        <w:t>符合性分析</w:t>
      </w:r>
    </w:p>
    <w:tbl>
      <w:tblPr>
        <w:tblW w:w="5000" w:type="pct"/>
        <w:jc w:val="center"/>
        <w:tblBorders>
          <w:top w:val="single" w:sz="12" w:space="0" w:color="auto"/>
          <w:bottom w:val="single" w:sz="12" w:space="0" w:color="auto"/>
          <w:insideH w:val="single" w:sz="4" w:space="0" w:color="auto"/>
          <w:insideV w:val="single" w:sz="4" w:space="0" w:color="auto"/>
        </w:tblBorders>
        <w:tblLayout w:type="fixed"/>
        <w:tblLook w:val="04A0"/>
      </w:tblPr>
      <w:tblGrid>
        <w:gridCol w:w="690"/>
        <w:gridCol w:w="2962"/>
        <w:gridCol w:w="4107"/>
        <w:gridCol w:w="763"/>
      </w:tblGrid>
      <w:tr w:rsidR="002A5A5E" w:rsidRPr="00F9522B">
        <w:trPr>
          <w:trHeight w:val="6189"/>
          <w:jc w:val="center"/>
        </w:trPr>
        <w:tc>
          <w:tcPr>
            <w:tcW w:w="690" w:type="dxa"/>
            <w:vAlign w:val="center"/>
          </w:tcPr>
          <w:p w:rsidR="002A5A5E" w:rsidRPr="00F9522B" w:rsidRDefault="00611CBA">
            <w:pPr>
              <w:jc w:val="center"/>
              <w:rPr>
                <w:rFonts w:eastAsiaTheme="minorEastAsia"/>
                <w:kern w:val="0"/>
                <w:szCs w:val="21"/>
              </w:rPr>
            </w:pPr>
            <w:r w:rsidRPr="00F9522B">
              <w:rPr>
                <w:rFonts w:eastAsiaTheme="minorEastAsia"/>
                <w:kern w:val="0"/>
                <w:szCs w:val="21"/>
              </w:rPr>
              <w:t>6</w:t>
            </w:r>
          </w:p>
        </w:tc>
        <w:tc>
          <w:tcPr>
            <w:tcW w:w="2962" w:type="dxa"/>
            <w:vAlign w:val="center"/>
          </w:tcPr>
          <w:p w:rsidR="002A5A5E" w:rsidRPr="00F9522B" w:rsidRDefault="00611CBA">
            <w:pPr>
              <w:jc w:val="left"/>
              <w:rPr>
                <w:rFonts w:eastAsiaTheme="minorEastAsia"/>
                <w:kern w:val="0"/>
                <w:szCs w:val="21"/>
              </w:rPr>
            </w:pPr>
            <w:r w:rsidRPr="00F9522B">
              <w:rPr>
                <w:rFonts w:eastAsiaTheme="minorEastAsia"/>
                <w:smallCaps/>
              </w:rPr>
              <w:t>对湿地、陆生生态系统及珍稀保护陆生动植物造成不利影响的，提出了优化工程设计、合理安排工期、建设或保留动物迁移通道、异地保护、就地保护、生态修复等措施。可能引起灌区及周边土地退化的，提出了轮作、休耕等措施。项目对水生生态系统及鱼类等造成不利影响的，提出了优化工程设计及调度、拦河闸坝建设过鱼设施、引水渠首设置拦鱼设施、栖息地保护修复、增殖放流等措施。项目对景观产生不利影响的，提出了避让、优化设计、景观塑造等措施。</w:t>
            </w:r>
          </w:p>
        </w:tc>
        <w:tc>
          <w:tcPr>
            <w:tcW w:w="4107" w:type="dxa"/>
            <w:vAlign w:val="center"/>
          </w:tcPr>
          <w:p w:rsidR="002A5A5E" w:rsidRPr="00F9522B" w:rsidRDefault="00611CBA">
            <w:pPr>
              <w:jc w:val="left"/>
              <w:rPr>
                <w:rFonts w:eastAsiaTheme="minorEastAsia"/>
                <w:kern w:val="0"/>
                <w:szCs w:val="21"/>
              </w:rPr>
            </w:pPr>
            <w:r w:rsidRPr="00F9522B">
              <w:rPr>
                <w:rFonts w:eastAsiaTheme="minorEastAsia"/>
                <w:kern w:val="0"/>
                <w:szCs w:val="21"/>
              </w:rPr>
              <w:t>本项目</w:t>
            </w:r>
            <w:r w:rsidRPr="00F9522B">
              <w:rPr>
                <w:rFonts w:eastAsiaTheme="minorEastAsia"/>
                <w:smallCaps/>
              </w:rPr>
              <w:t>合理安排工期，排水沟清淤、衬砌、建筑物工程、灌溉渠道衬砌等涉水工程于枯水期施工，避免对地表水体及水生生物的影响。</w:t>
            </w:r>
            <w:r w:rsidRPr="00F9522B">
              <w:rPr>
                <w:rFonts w:eastAsiaTheme="minorEastAsia"/>
                <w:kern w:val="0"/>
                <w:szCs w:val="21"/>
              </w:rPr>
              <w:t>项目实施后，由于灌溉水利用系数的提升、农田保水能力增强以及渠系配套系统的完善，地表水退水量减少，相应污染物入河量与现状相比也有一定程度的削减。项目施行</w:t>
            </w:r>
            <w:r w:rsidRPr="00F9522B">
              <w:rPr>
                <w:rFonts w:eastAsiaTheme="minorEastAsia"/>
                <w:kern w:val="0"/>
                <w:szCs w:val="21"/>
              </w:rPr>
              <w:t>“</w:t>
            </w:r>
            <w:r w:rsidRPr="00F9522B">
              <w:rPr>
                <w:rFonts w:eastAsiaTheme="minorEastAsia"/>
                <w:kern w:val="0"/>
                <w:szCs w:val="21"/>
              </w:rPr>
              <w:t>三减</w:t>
            </w:r>
            <w:r w:rsidRPr="00F9522B">
              <w:rPr>
                <w:rFonts w:eastAsiaTheme="minorEastAsia"/>
                <w:kern w:val="0"/>
                <w:szCs w:val="21"/>
              </w:rPr>
              <w:t>”</w:t>
            </w:r>
            <w:r w:rsidRPr="00F9522B">
              <w:rPr>
                <w:rFonts w:eastAsiaTheme="minorEastAsia"/>
                <w:kern w:val="0"/>
                <w:szCs w:val="21"/>
              </w:rPr>
              <w:t>行动，即减化肥、减农药、减除草剂，积极推广科学施肥，使化肥、农药实现减量化施用，增加有机肥的施用，优化调整农药施用结构，控制农药施用量，</w:t>
            </w:r>
            <w:r w:rsidRPr="00F9522B">
              <w:rPr>
                <w:rStyle w:val="CharChar"/>
                <w:rFonts w:hAnsi="Times New Roman"/>
              </w:rPr>
              <w:t>采取测土配方施肥、水肥一体化措施</w:t>
            </w:r>
            <w:r w:rsidRPr="00F9522B">
              <w:rPr>
                <w:rFonts w:eastAsiaTheme="minorEastAsia"/>
                <w:kern w:val="0"/>
              </w:rPr>
              <w:t>，</w:t>
            </w:r>
            <w:r w:rsidRPr="00F9522B">
              <w:rPr>
                <w:rFonts w:eastAsiaTheme="minorEastAsia"/>
                <w:kern w:val="0"/>
                <w:szCs w:val="21"/>
              </w:rPr>
              <w:t>充分利用高效节水技术灌溉，减少对水环境、生态环境等造成的不利影响。</w:t>
            </w:r>
          </w:p>
        </w:tc>
        <w:tc>
          <w:tcPr>
            <w:tcW w:w="763" w:type="dxa"/>
            <w:vAlign w:val="center"/>
          </w:tcPr>
          <w:p w:rsidR="002A5A5E" w:rsidRPr="00F9522B" w:rsidRDefault="00611CBA">
            <w:pPr>
              <w:jc w:val="center"/>
              <w:rPr>
                <w:rFonts w:eastAsiaTheme="minorEastAsia"/>
                <w:kern w:val="0"/>
                <w:szCs w:val="21"/>
              </w:rPr>
            </w:pPr>
            <w:r w:rsidRPr="00F9522B">
              <w:rPr>
                <w:rFonts w:eastAsiaTheme="minorEastAsia"/>
                <w:kern w:val="0"/>
                <w:szCs w:val="21"/>
              </w:rPr>
              <w:t>符合</w:t>
            </w:r>
          </w:p>
        </w:tc>
      </w:tr>
    </w:tbl>
    <w:p w:rsidR="002A5A5E" w:rsidRPr="00F9522B" w:rsidRDefault="002A5A5E"/>
    <w:p w:rsidR="002A5A5E" w:rsidRPr="00F9522B" w:rsidRDefault="002A5A5E"/>
    <w:p w:rsidR="002A5A5E" w:rsidRPr="00F9522B" w:rsidRDefault="002A5A5E"/>
    <w:p w:rsidR="002A5A5E" w:rsidRPr="00F9522B" w:rsidRDefault="002A5A5E"/>
    <w:p w:rsidR="002A5A5E" w:rsidRPr="00F9522B" w:rsidRDefault="002A5A5E"/>
    <w:p w:rsidR="002A5A5E" w:rsidRPr="00F9522B" w:rsidRDefault="002A5A5E"/>
    <w:p w:rsidR="002A5A5E" w:rsidRPr="00F9522B" w:rsidRDefault="002A5A5E"/>
    <w:p w:rsidR="002A5A5E" w:rsidRPr="00F9522B" w:rsidRDefault="002A5A5E"/>
    <w:p w:rsidR="002A5A5E" w:rsidRPr="00F9522B" w:rsidRDefault="002A5A5E"/>
    <w:p w:rsidR="002A5A5E" w:rsidRPr="00F9522B" w:rsidRDefault="002A5A5E"/>
    <w:p w:rsidR="002A5A5E" w:rsidRPr="00F9522B" w:rsidRDefault="002A5A5E"/>
    <w:p w:rsidR="002A5A5E" w:rsidRPr="00F9522B" w:rsidRDefault="002A5A5E"/>
    <w:p w:rsidR="002A5A5E" w:rsidRPr="00F9522B" w:rsidRDefault="002A5A5E"/>
    <w:p w:rsidR="002A5A5E" w:rsidRPr="00F9522B" w:rsidRDefault="002A5A5E"/>
    <w:p w:rsidR="002A5A5E" w:rsidRPr="00F9522B" w:rsidRDefault="002A5A5E"/>
    <w:p w:rsidR="002A5A5E" w:rsidRPr="00F9522B" w:rsidRDefault="002A5A5E"/>
    <w:p w:rsidR="002A5A5E" w:rsidRPr="00F9522B" w:rsidRDefault="002A5A5E"/>
    <w:p w:rsidR="002A5A5E" w:rsidRPr="00F9522B" w:rsidRDefault="002A5A5E"/>
    <w:p w:rsidR="002A5A5E" w:rsidRPr="00F9522B" w:rsidRDefault="002A5A5E"/>
    <w:p w:rsidR="002A5A5E" w:rsidRPr="00F9522B" w:rsidRDefault="002A5A5E"/>
    <w:p w:rsidR="002A5A5E" w:rsidRPr="00F9522B" w:rsidRDefault="002A5A5E"/>
    <w:p w:rsidR="002A5A5E" w:rsidRPr="00F9522B" w:rsidRDefault="002A5A5E"/>
    <w:p w:rsidR="002A5A5E" w:rsidRPr="00F9522B" w:rsidRDefault="00611CBA">
      <w:pPr>
        <w:keepNext/>
        <w:keepLines/>
        <w:jc w:val="center"/>
        <w:rPr>
          <w:rFonts w:eastAsiaTheme="minorEastAsia"/>
          <w:b/>
          <w:bCs/>
          <w:kern w:val="21"/>
          <w:szCs w:val="21"/>
        </w:rPr>
      </w:pPr>
      <w:r w:rsidRPr="00F9522B">
        <w:rPr>
          <w:rFonts w:eastAsiaTheme="minorEastAsia"/>
          <w:b/>
          <w:bCs/>
          <w:kern w:val="21"/>
          <w:szCs w:val="21"/>
        </w:rPr>
        <w:lastRenderedPageBreak/>
        <w:t>续表</w:t>
      </w:r>
      <w:r w:rsidRPr="00F9522B">
        <w:rPr>
          <w:rFonts w:eastAsiaTheme="minorEastAsia"/>
          <w:b/>
          <w:bCs/>
          <w:kern w:val="21"/>
          <w:szCs w:val="21"/>
        </w:rPr>
        <w:t>1-4-</w:t>
      </w:r>
      <w:r w:rsidR="00C27FC4" w:rsidRPr="00F9522B">
        <w:rPr>
          <w:rFonts w:eastAsiaTheme="minorEastAsia"/>
          <w:b/>
          <w:bCs/>
          <w:kern w:val="21"/>
          <w:szCs w:val="21"/>
        </w:rPr>
        <w:t>8</w:t>
      </w:r>
      <w:r w:rsidRPr="00F9522B">
        <w:rPr>
          <w:rFonts w:eastAsiaTheme="minorEastAsia"/>
          <w:b/>
          <w:bCs/>
          <w:kern w:val="21"/>
          <w:szCs w:val="21"/>
        </w:rPr>
        <w:t>本项目与</w:t>
      </w:r>
      <w:r w:rsidRPr="00F9522B">
        <w:rPr>
          <w:rFonts w:eastAsiaTheme="minorEastAsia"/>
          <w:b/>
          <w:szCs w:val="21"/>
        </w:rPr>
        <w:t>《水利建设项目</w:t>
      </w:r>
      <w:r w:rsidRPr="00F9522B">
        <w:rPr>
          <w:rFonts w:eastAsiaTheme="minorEastAsia"/>
          <w:b/>
          <w:szCs w:val="21"/>
        </w:rPr>
        <w:t>(</w:t>
      </w:r>
      <w:r w:rsidRPr="00F9522B">
        <w:rPr>
          <w:rFonts w:eastAsiaTheme="minorEastAsia"/>
          <w:b/>
          <w:szCs w:val="21"/>
        </w:rPr>
        <w:t>灌区工程</w:t>
      </w:r>
      <w:r w:rsidRPr="00F9522B">
        <w:rPr>
          <w:rFonts w:eastAsiaTheme="minorEastAsia"/>
          <w:b/>
          <w:szCs w:val="21"/>
        </w:rPr>
        <w:t>)</w:t>
      </w:r>
      <w:hyperlink r:id="rId22" w:tgtFrame="https://huanbao.bjx.com.cn/news/20180813/_blank" w:history="1">
        <w:r w:rsidRPr="00F9522B">
          <w:rPr>
            <w:rFonts w:eastAsiaTheme="minorEastAsia"/>
            <w:b/>
            <w:szCs w:val="21"/>
          </w:rPr>
          <w:t>环境影响评价文件审批</w:t>
        </w:r>
      </w:hyperlink>
      <w:r w:rsidRPr="00F9522B">
        <w:rPr>
          <w:rFonts w:eastAsiaTheme="minorEastAsia"/>
          <w:b/>
          <w:szCs w:val="21"/>
        </w:rPr>
        <w:t>原则</w:t>
      </w:r>
      <w:r w:rsidRPr="00F9522B">
        <w:rPr>
          <w:rFonts w:eastAsiaTheme="minorEastAsia"/>
          <w:b/>
          <w:szCs w:val="21"/>
        </w:rPr>
        <w:t>(</w:t>
      </w:r>
      <w:r w:rsidRPr="00F9522B">
        <w:rPr>
          <w:rFonts w:eastAsiaTheme="minorEastAsia"/>
          <w:b/>
          <w:szCs w:val="21"/>
        </w:rPr>
        <w:t>试行</w:t>
      </w:r>
      <w:r w:rsidRPr="00F9522B">
        <w:rPr>
          <w:rFonts w:eastAsiaTheme="minorEastAsia"/>
          <w:b/>
          <w:szCs w:val="21"/>
        </w:rPr>
        <w:t>)</w:t>
      </w:r>
      <w:r w:rsidRPr="00F9522B">
        <w:rPr>
          <w:rFonts w:eastAsiaTheme="minorEastAsia"/>
          <w:b/>
          <w:szCs w:val="21"/>
        </w:rPr>
        <w:t>》</w:t>
      </w:r>
      <w:r w:rsidRPr="00F9522B">
        <w:rPr>
          <w:rFonts w:eastAsiaTheme="minorEastAsia"/>
          <w:b/>
          <w:bCs/>
          <w:kern w:val="21"/>
          <w:szCs w:val="21"/>
        </w:rPr>
        <w:t>符合性分析</w:t>
      </w:r>
    </w:p>
    <w:tbl>
      <w:tblPr>
        <w:tblW w:w="5000" w:type="pct"/>
        <w:jc w:val="center"/>
        <w:tblBorders>
          <w:top w:val="single" w:sz="12" w:space="0" w:color="auto"/>
          <w:bottom w:val="single" w:sz="12" w:space="0" w:color="auto"/>
          <w:insideH w:val="single" w:sz="4" w:space="0" w:color="auto"/>
          <w:insideV w:val="single" w:sz="4" w:space="0" w:color="auto"/>
        </w:tblBorders>
        <w:tblLayout w:type="fixed"/>
        <w:tblLook w:val="04A0"/>
      </w:tblPr>
      <w:tblGrid>
        <w:gridCol w:w="690"/>
        <w:gridCol w:w="2679"/>
        <w:gridCol w:w="4390"/>
        <w:gridCol w:w="763"/>
      </w:tblGrid>
      <w:tr w:rsidR="002A5A5E" w:rsidRPr="00F9522B">
        <w:trPr>
          <w:trHeight w:val="12382"/>
          <w:jc w:val="center"/>
        </w:trPr>
        <w:tc>
          <w:tcPr>
            <w:tcW w:w="690" w:type="dxa"/>
            <w:vAlign w:val="center"/>
          </w:tcPr>
          <w:p w:rsidR="002A5A5E" w:rsidRPr="00F9522B" w:rsidRDefault="00611CBA">
            <w:pPr>
              <w:jc w:val="center"/>
              <w:rPr>
                <w:rFonts w:eastAsiaTheme="minorEastAsia"/>
                <w:kern w:val="0"/>
                <w:szCs w:val="21"/>
              </w:rPr>
            </w:pPr>
            <w:r w:rsidRPr="00F9522B">
              <w:rPr>
                <w:rFonts w:eastAsiaTheme="minorEastAsia"/>
                <w:kern w:val="0"/>
                <w:szCs w:val="21"/>
              </w:rPr>
              <w:t>7</w:t>
            </w:r>
          </w:p>
        </w:tc>
        <w:tc>
          <w:tcPr>
            <w:tcW w:w="2679" w:type="dxa"/>
            <w:vAlign w:val="center"/>
          </w:tcPr>
          <w:p w:rsidR="002A5A5E" w:rsidRPr="00F9522B" w:rsidRDefault="00611CBA">
            <w:pPr>
              <w:jc w:val="left"/>
              <w:rPr>
                <w:rFonts w:eastAsiaTheme="minorEastAsia"/>
                <w:kern w:val="0"/>
                <w:szCs w:val="21"/>
              </w:rPr>
            </w:pPr>
            <w:r w:rsidRPr="00F9522B">
              <w:rPr>
                <w:rFonts w:eastAsiaTheme="minorEastAsia"/>
                <w:kern w:val="0"/>
                <w:szCs w:val="21"/>
              </w:rPr>
              <w:t>项目施工组织方案具有环境合理性，对主体工程区、料场、弃土</w:t>
            </w:r>
            <w:r w:rsidRPr="00F9522B">
              <w:rPr>
                <w:rFonts w:eastAsiaTheme="minorEastAsia"/>
                <w:kern w:val="0"/>
                <w:szCs w:val="21"/>
              </w:rPr>
              <w:t>(</w:t>
            </w:r>
            <w:r w:rsidRPr="00F9522B">
              <w:rPr>
                <w:rFonts w:eastAsiaTheme="minorEastAsia"/>
                <w:kern w:val="0"/>
                <w:szCs w:val="21"/>
              </w:rPr>
              <w:t>渣</w:t>
            </w:r>
            <w:r w:rsidRPr="00F9522B">
              <w:rPr>
                <w:rFonts w:eastAsiaTheme="minorEastAsia"/>
                <w:kern w:val="0"/>
                <w:szCs w:val="21"/>
              </w:rPr>
              <w:t>)</w:t>
            </w:r>
            <w:r w:rsidRPr="00F9522B">
              <w:rPr>
                <w:rFonts w:eastAsiaTheme="minorEastAsia"/>
                <w:kern w:val="0"/>
                <w:szCs w:val="21"/>
              </w:rPr>
              <w:t>场、施工道路等施工区域提出了水土流失防治、生态修复等措施。根据环境保护相关标准和要求，提出了施工期废</w:t>
            </w:r>
            <w:r w:rsidRPr="00F9522B">
              <w:rPr>
                <w:rFonts w:eastAsiaTheme="minorEastAsia"/>
                <w:kern w:val="0"/>
                <w:szCs w:val="21"/>
              </w:rPr>
              <w:t>(</w:t>
            </w:r>
            <w:r w:rsidRPr="00F9522B">
              <w:rPr>
                <w:rFonts w:eastAsiaTheme="minorEastAsia"/>
                <w:kern w:val="0"/>
                <w:szCs w:val="21"/>
              </w:rPr>
              <w:t>污</w:t>
            </w:r>
            <w:r w:rsidRPr="00F9522B">
              <w:rPr>
                <w:rFonts w:eastAsiaTheme="minorEastAsia"/>
                <w:kern w:val="0"/>
                <w:szCs w:val="21"/>
              </w:rPr>
              <w:t>)</w:t>
            </w:r>
            <w:r w:rsidRPr="00F9522B">
              <w:rPr>
                <w:rFonts w:eastAsiaTheme="minorEastAsia"/>
                <w:kern w:val="0"/>
                <w:szCs w:val="21"/>
              </w:rPr>
              <w:t>水、施工机械车辆尾气、扬尘、噪声、固体废物等防治措施。</w:t>
            </w:r>
          </w:p>
        </w:tc>
        <w:tc>
          <w:tcPr>
            <w:tcW w:w="4390" w:type="dxa"/>
            <w:vAlign w:val="center"/>
          </w:tcPr>
          <w:p w:rsidR="002A5A5E" w:rsidRPr="00F9522B" w:rsidRDefault="00611CBA" w:rsidP="00E17AA8">
            <w:pPr>
              <w:jc w:val="left"/>
              <w:rPr>
                <w:rFonts w:eastAsiaTheme="minorEastAsia"/>
                <w:kern w:val="0"/>
                <w:szCs w:val="21"/>
              </w:rPr>
            </w:pPr>
            <w:r w:rsidRPr="00F9522B">
              <w:rPr>
                <w:rFonts w:eastAsiaTheme="minorEastAsia"/>
                <w:kern w:val="0"/>
                <w:szCs w:val="21"/>
              </w:rPr>
              <w:t>本项目施工期间加强监管，</w:t>
            </w:r>
            <w:r w:rsidRPr="00F9522B">
              <w:rPr>
                <w:rFonts w:eastAsiaTheme="minorEastAsia"/>
                <w:snapToGrid w:val="0"/>
                <w:kern w:val="0"/>
              </w:rPr>
              <w:t>施工过程中采取</w:t>
            </w:r>
            <w:r w:rsidRPr="00F9522B">
              <w:rPr>
                <w:rFonts w:eastAsiaTheme="minorEastAsia"/>
                <w:snapToGrid w:val="0"/>
                <w:kern w:val="0"/>
              </w:rPr>
              <w:t>“</w:t>
            </w:r>
            <w:r w:rsidRPr="00F9522B">
              <w:rPr>
                <w:rFonts w:eastAsiaTheme="minorEastAsia"/>
                <w:snapToGrid w:val="0"/>
                <w:kern w:val="0"/>
              </w:rPr>
              <w:t>边施工、边修复</w:t>
            </w:r>
            <w:r w:rsidRPr="00F9522B">
              <w:rPr>
                <w:rFonts w:eastAsiaTheme="minorEastAsia"/>
                <w:snapToGrid w:val="0"/>
                <w:kern w:val="0"/>
              </w:rPr>
              <w:t>”</w:t>
            </w:r>
            <w:r w:rsidRPr="00F9522B">
              <w:rPr>
                <w:rFonts w:eastAsiaTheme="minorEastAsia"/>
                <w:snapToGrid w:val="0"/>
                <w:kern w:val="0"/>
              </w:rPr>
              <w:t>措施</w:t>
            </w:r>
            <w:r w:rsidRPr="00F9522B">
              <w:rPr>
                <w:rFonts w:eastAsiaTheme="minorEastAsia"/>
                <w:kern w:val="0"/>
                <w:szCs w:val="21"/>
              </w:rPr>
              <w:t>。本项目</w:t>
            </w:r>
            <w:r w:rsidR="00E17AA8" w:rsidRPr="00F9522B">
              <w:rPr>
                <w:rFonts w:eastAsiaTheme="minorEastAsia"/>
                <w:snapToGrid w:val="0"/>
                <w:kern w:val="0"/>
              </w:rPr>
              <w:t>输配电工程表土及土方临时堆存在施工沿线，分区存放，设置临时拦挡并采用密目网苫盖，施工结束后分层回填，</w:t>
            </w:r>
            <w:r w:rsidR="00617138">
              <w:rPr>
                <w:rFonts w:eastAsiaTheme="minorEastAsia"/>
                <w:snapToGrid w:val="0"/>
                <w:color w:val="FF0000"/>
                <w:kern w:val="0"/>
              </w:rPr>
              <w:t>施工场地恢复现状草地，播撒草籽面积</w:t>
            </w:r>
            <w:r w:rsidR="00617138">
              <w:rPr>
                <w:rFonts w:eastAsiaTheme="minorEastAsia"/>
                <w:snapToGrid w:val="0"/>
                <w:color w:val="FF0000"/>
                <w:kern w:val="0"/>
              </w:rPr>
              <w:t>224662</w:t>
            </w:r>
            <w:r w:rsidR="00E17AA8" w:rsidRPr="00617138">
              <w:rPr>
                <w:rFonts w:eastAsiaTheme="minorEastAsia"/>
                <w:snapToGrid w:val="0"/>
                <w:color w:val="FF0000"/>
                <w:kern w:val="0"/>
              </w:rPr>
              <w:t>m</w:t>
            </w:r>
            <w:r w:rsidR="00E17AA8" w:rsidRPr="00617138">
              <w:rPr>
                <w:rFonts w:eastAsiaTheme="minorEastAsia"/>
                <w:snapToGrid w:val="0"/>
                <w:color w:val="FF0000"/>
                <w:kern w:val="0"/>
                <w:vertAlign w:val="superscript"/>
              </w:rPr>
              <w:t>2</w:t>
            </w:r>
            <w:r w:rsidR="00E17AA8" w:rsidRPr="00617138">
              <w:rPr>
                <w:rFonts w:eastAsiaTheme="minorEastAsia"/>
                <w:snapToGrid w:val="0"/>
                <w:color w:val="FF0000"/>
                <w:kern w:val="0"/>
              </w:rPr>
              <w:t>，</w:t>
            </w:r>
            <w:r w:rsidR="00E17AA8" w:rsidRPr="00F9522B">
              <w:rPr>
                <w:rFonts w:eastAsiaTheme="minorEastAsia"/>
                <w:snapToGrid w:val="0"/>
                <w:kern w:val="0"/>
              </w:rPr>
              <w:t>草籽选用紫花苜蓿等，种草密度</w:t>
            </w:r>
            <w:r w:rsidR="00E17AA8" w:rsidRPr="00F9522B">
              <w:rPr>
                <w:rFonts w:eastAsiaTheme="minorEastAsia"/>
                <w:snapToGrid w:val="0"/>
                <w:kern w:val="0"/>
              </w:rPr>
              <w:t>80kg/</w:t>
            </w:r>
            <w:r w:rsidR="00E17AA8" w:rsidRPr="00F9522B">
              <w:rPr>
                <w:rFonts w:eastAsiaTheme="minorEastAsia"/>
                <w:snapToGrid w:val="0"/>
                <w:kern w:val="0"/>
              </w:rPr>
              <w:t>公顷，恢复旱地</w:t>
            </w:r>
            <w:r w:rsidR="00E17AA8" w:rsidRPr="00F9522B">
              <w:rPr>
                <w:rFonts w:eastAsiaTheme="minorEastAsia"/>
                <w:snapToGrid w:val="0"/>
                <w:kern w:val="0"/>
              </w:rPr>
              <w:t>32558m</w:t>
            </w:r>
            <w:r w:rsidR="00E17AA8" w:rsidRPr="00F9522B">
              <w:rPr>
                <w:rFonts w:eastAsiaTheme="minorEastAsia"/>
                <w:snapToGrid w:val="0"/>
                <w:kern w:val="0"/>
                <w:vertAlign w:val="superscript"/>
              </w:rPr>
              <w:t>2</w:t>
            </w:r>
            <w:r w:rsidR="00E17AA8" w:rsidRPr="00F9522B">
              <w:rPr>
                <w:rFonts w:eastAsiaTheme="minorEastAsia"/>
                <w:snapToGrid w:val="0"/>
                <w:kern w:val="0"/>
              </w:rPr>
              <w:t>；灌溉井工程剥离表土、开挖土方暂存于施工场地内，分区存放，设置临时拦挡并采用密目网苫盖，施工结束后施工场地、临时道路恢复为旱地，恢复面积</w:t>
            </w:r>
            <w:r w:rsidR="00E17AA8" w:rsidRPr="00F9522B">
              <w:rPr>
                <w:rFonts w:eastAsiaTheme="minorEastAsia"/>
                <w:snapToGrid w:val="0"/>
                <w:kern w:val="0"/>
              </w:rPr>
              <w:t>7920m</w:t>
            </w:r>
            <w:r w:rsidR="00E17AA8" w:rsidRPr="00F9522B">
              <w:rPr>
                <w:rFonts w:eastAsiaTheme="minorEastAsia"/>
                <w:snapToGrid w:val="0"/>
                <w:kern w:val="0"/>
                <w:vertAlign w:val="superscript"/>
              </w:rPr>
              <w:t>2</w:t>
            </w:r>
            <w:r w:rsidR="00E17AA8" w:rsidRPr="00F9522B">
              <w:rPr>
                <w:rFonts w:eastAsiaTheme="minorEastAsia"/>
                <w:snapToGrid w:val="0"/>
                <w:kern w:val="0"/>
              </w:rPr>
              <w:t>；涵洞等建筑物工程剥离表土、开挖土方暂存于施工场地内，分区存放，设置临时拦挡并采用密目网苫盖，施工结束后施工场地恢复为草地，播撒草籽面积</w:t>
            </w:r>
            <w:r w:rsidR="00E17AA8" w:rsidRPr="00F9522B">
              <w:rPr>
                <w:rFonts w:eastAsiaTheme="minorEastAsia"/>
                <w:snapToGrid w:val="0"/>
                <w:kern w:val="0"/>
              </w:rPr>
              <w:t>18500m</w:t>
            </w:r>
            <w:r w:rsidR="00E17AA8" w:rsidRPr="00F9522B">
              <w:rPr>
                <w:rFonts w:eastAsiaTheme="minorEastAsia"/>
                <w:snapToGrid w:val="0"/>
                <w:kern w:val="0"/>
                <w:vertAlign w:val="superscript"/>
              </w:rPr>
              <w:t>2</w:t>
            </w:r>
            <w:r w:rsidR="00E17AA8" w:rsidRPr="00F9522B">
              <w:rPr>
                <w:rFonts w:eastAsiaTheme="minorEastAsia"/>
                <w:snapToGrid w:val="0"/>
                <w:kern w:val="0"/>
              </w:rPr>
              <w:t>，草籽选用紫花苜蓿等，种草密度</w:t>
            </w:r>
            <w:r w:rsidR="00E17AA8" w:rsidRPr="00F9522B">
              <w:rPr>
                <w:rFonts w:eastAsiaTheme="minorEastAsia"/>
                <w:snapToGrid w:val="0"/>
                <w:kern w:val="0"/>
              </w:rPr>
              <w:t>80kg/</w:t>
            </w:r>
            <w:r w:rsidR="00E17AA8" w:rsidRPr="00F9522B">
              <w:rPr>
                <w:rFonts w:eastAsiaTheme="minorEastAsia"/>
                <w:snapToGrid w:val="0"/>
                <w:kern w:val="0"/>
              </w:rPr>
              <w:t>公顷，恢复旱地</w:t>
            </w:r>
            <w:r w:rsidR="00E17AA8" w:rsidRPr="00F9522B">
              <w:rPr>
                <w:rFonts w:eastAsiaTheme="minorEastAsia"/>
                <w:snapToGrid w:val="0"/>
                <w:kern w:val="0"/>
              </w:rPr>
              <w:t>10500m</w:t>
            </w:r>
            <w:r w:rsidR="00E17AA8" w:rsidRPr="00F9522B">
              <w:rPr>
                <w:rFonts w:eastAsiaTheme="minorEastAsia"/>
                <w:snapToGrid w:val="0"/>
                <w:kern w:val="0"/>
                <w:vertAlign w:val="superscript"/>
              </w:rPr>
              <w:t>2</w:t>
            </w:r>
            <w:r w:rsidR="00E17AA8" w:rsidRPr="00F9522B">
              <w:rPr>
                <w:rFonts w:eastAsiaTheme="minorEastAsia"/>
                <w:snapToGrid w:val="0"/>
                <w:kern w:val="0"/>
              </w:rPr>
              <w:t>。</w:t>
            </w:r>
            <w:r w:rsidRPr="00F9522B">
              <w:rPr>
                <w:rFonts w:eastAsiaTheme="minorEastAsia"/>
                <w:kern w:val="0"/>
                <w:szCs w:val="21"/>
              </w:rPr>
              <w:t>使临时占地土地利用类型、植被覆盖度、生物量等恢复为原有水平。施工期施工现场使用商品混凝土、预拌砂浆，不在现场搅拌。建筑材料用苫布覆盖，严禁露天放置；余料及时回收。施工现场集中堆放的土方和裸露场地采取苫布覆盖措施，严禁裸露。施工现场运送土方、渣土的车辆封闭或遮盖严密，严禁沿路遗撒和随意倾倒。加强运输车辆的维护、保养，避免尾气超标排放；施工期生活污水依托附近民房防渗旱厕，洗井废水用于洒水降尘，</w:t>
            </w:r>
            <w:r w:rsidRPr="00F9522B">
              <w:rPr>
                <w:rFonts w:eastAsiaTheme="minorEastAsia"/>
              </w:rPr>
              <w:t>废泥浆</w:t>
            </w:r>
            <w:r w:rsidRPr="00F9522B">
              <w:rPr>
                <w:rFonts w:eastAsiaTheme="minorEastAsia"/>
                <w:szCs w:val="21"/>
              </w:rPr>
              <w:t>风干后用于周围道路平整</w:t>
            </w:r>
            <w:r w:rsidRPr="00F9522B">
              <w:rPr>
                <w:rFonts w:eastAsiaTheme="minorEastAsia"/>
                <w:kern w:val="0"/>
                <w:szCs w:val="21"/>
              </w:rPr>
              <w:t>；施工期可再利用的建筑废料进行回收利用。表土用于临时工程土地恢复，土方及时回填。施工人员产生的生活垃圾依托附近村屯统一收集。</w:t>
            </w:r>
            <w:r w:rsidR="00730492" w:rsidRPr="00730492">
              <w:rPr>
                <w:rFonts w:eastAsiaTheme="minorEastAsia" w:hint="eastAsia"/>
                <w:bCs/>
                <w:szCs w:val="21"/>
              </w:rPr>
              <w:t>排水沟淤泥培至工程附近</w:t>
            </w:r>
            <w:r w:rsidR="00730492" w:rsidRPr="00730492">
              <w:rPr>
                <w:rFonts w:eastAsiaTheme="minorEastAsia" w:hint="eastAsia"/>
                <w:bCs/>
                <w:szCs w:val="21"/>
              </w:rPr>
              <w:t>200</w:t>
            </w:r>
            <w:r w:rsidR="00730492" w:rsidRPr="00730492">
              <w:rPr>
                <w:rFonts w:eastAsiaTheme="minorEastAsia" w:hint="eastAsia"/>
                <w:bCs/>
                <w:szCs w:val="21"/>
              </w:rPr>
              <w:t>米范围内无环境保护目标的排水沟两侧（避开南城李、方台镇、宋家村等</w:t>
            </w:r>
            <w:r w:rsidR="00730492" w:rsidRPr="00730492">
              <w:rPr>
                <w:rFonts w:eastAsiaTheme="minorEastAsia" w:hint="eastAsia"/>
                <w:bCs/>
                <w:szCs w:val="21"/>
              </w:rPr>
              <w:t>33</w:t>
            </w:r>
            <w:r w:rsidR="00730492" w:rsidRPr="00730492">
              <w:rPr>
                <w:rFonts w:eastAsiaTheme="minorEastAsia" w:hint="eastAsia"/>
                <w:bCs/>
                <w:szCs w:val="21"/>
              </w:rPr>
              <w:t>个村屯，具体见表</w:t>
            </w:r>
            <w:r w:rsidR="00730492" w:rsidRPr="00730492">
              <w:rPr>
                <w:rFonts w:eastAsiaTheme="minorEastAsia" w:hint="eastAsia"/>
                <w:bCs/>
                <w:szCs w:val="21"/>
              </w:rPr>
              <w:t>2-8-2</w:t>
            </w:r>
            <w:r w:rsidR="00730492" w:rsidRPr="00730492">
              <w:rPr>
                <w:rFonts w:eastAsiaTheme="minorEastAsia" w:hint="eastAsia"/>
                <w:bCs/>
                <w:szCs w:val="21"/>
              </w:rPr>
              <w:t>）</w:t>
            </w:r>
            <w:r w:rsidRPr="00F9522B">
              <w:rPr>
                <w:rFonts w:eastAsiaTheme="minorEastAsia"/>
                <w:kern w:val="0"/>
                <w:szCs w:val="21"/>
              </w:rPr>
              <w:t>；</w:t>
            </w:r>
            <w:r w:rsidRPr="00F9522B">
              <w:rPr>
                <w:rFonts w:eastAsiaTheme="minorEastAsia"/>
                <w:szCs w:val="21"/>
              </w:rPr>
              <w:t>施工现场合理布局，尽量避免高噪声施工设备集中使用并远离村屯，施工现场距离敏感目标不足</w:t>
            </w:r>
            <w:r w:rsidRPr="00F9522B">
              <w:rPr>
                <w:rFonts w:eastAsiaTheme="minorEastAsia"/>
                <w:szCs w:val="21"/>
              </w:rPr>
              <w:t>10</w:t>
            </w:r>
            <w:r w:rsidRPr="00F9522B">
              <w:rPr>
                <w:rFonts w:eastAsiaTheme="minorEastAsia"/>
                <w:szCs w:val="21"/>
              </w:rPr>
              <w:t>米时设置声屏障</w:t>
            </w:r>
            <w:r w:rsidRPr="00F9522B">
              <w:rPr>
                <w:rFonts w:eastAsiaTheme="minorEastAsia"/>
                <w:kern w:val="0"/>
                <w:szCs w:val="21"/>
              </w:rPr>
              <w:t>。对施工机械和车辆进行维护保养。施工车辆运输尽量少鸣笛。加强施工期环境管理，尽量避免高噪声机械设备集中使用或几台声功率相同的设备同时、同点作业。合理安排施工作业时间，本项目施工区域为噪声敏感建筑物集中区域，禁止夜间（</w:t>
            </w:r>
            <w:r w:rsidRPr="00F9522B">
              <w:rPr>
                <w:rFonts w:eastAsiaTheme="minorEastAsia"/>
                <w:kern w:val="0"/>
                <w:szCs w:val="21"/>
              </w:rPr>
              <w:t>22:00-6:00</w:t>
            </w:r>
            <w:r w:rsidRPr="00F9522B">
              <w:rPr>
                <w:rFonts w:eastAsiaTheme="minorEastAsia"/>
                <w:kern w:val="0"/>
                <w:szCs w:val="21"/>
              </w:rPr>
              <w:t>）施工。</w:t>
            </w:r>
            <w:r w:rsidRPr="00F9522B">
              <w:rPr>
                <w:rFonts w:eastAsiaTheme="minorEastAsia"/>
                <w:kern w:val="0"/>
                <w:szCs w:val="21"/>
              </w:rPr>
              <w:t xml:space="preserve"> </w:t>
            </w:r>
          </w:p>
        </w:tc>
        <w:tc>
          <w:tcPr>
            <w:tcW w:w="763" w:type="dxa"/>
            <w:vAlign w:val="center"/>
          </w:tcPr>
          <w:p w:rsidR="002A5A5E" w:rsidRPr="00F9522B" w:rsidRDefault="00611CBA">
            <w:pPr>
              <w:jc w:val="center"/>
              <w:rPr>
                <w:rFonts w:eastAsiaTheme="minorEastAsia"/>
                <w:kern w:val="0"/>
                <w:szCs w:val="21"/>
              </w:rPr>
            </w:pPr>
            <w:r w:rsidRPr="00F9522B">
              <w:rPr>
                <w:rFonts w:eastAsiaTheme="minorEastAsia"/>
                <w:kern w:val="0"/>
                <w:szCs w:val="21"/>
              </w:rPr>
              <w:t>符合</w:t>
            </w:r>
          </w:p>
        </w:tc>
      </w:tr>
    </w:tbl>
    <w:p w:rsidR="002A5A5E" w:rsidRPr="00F9522B" w:rsidRDefault="00611CBA">
      <w:pPr>
        <w:keepNext/>
        <w:keepLines/>
        <w:jc w:val="center"/>
        <w:rPr>
          <w:rFonts w:eastAsiaTheme="minorEastAsia"/>
          <w:b/>
          <w:bCs/>
          <w:kern w:val="21"/>
          <w:szCs w:val="21"/>
        </w:rPr>
      </w:pPr>
      <w:r w:rsidRPr="00F9522B">
        <w:rPr>
          <w:rFonts w:eastAsiaTheme="minorEastAsia"/>
          <w:b/>
          <w:bCs/>
          <w:kern w:val="21"/>
          <w:szCs w:val="21"/>
        </w:rPr>
        <w:lastRenderedPageBreak/>
        <w:t>续表</w:t>
      </w:r>
      <w:r w:rsidRPr="00F9522B">
        <w:rPr>
          <w:rFonts w:eastAsiaTheme="minorEastAsia"/>
          <w:b/>
          <w:bCs/>
          <w:kern w:val="21"/>
          <w:szCs w:val="21"/>
        </w:rPr>
        <w:t>1-4-</w:t>
      </w:r>
      <w:r w:rsidR="00C27FC4" w:rsidRPr="00F9522B">
        <w:rPr>
          <w:rFonts w:eastAsiaTheme="minorEastAsia"/>
          <w:b/>
          <w:bCs/>
          <w:kern w:val="21"/>
          <w:szCs w:val="21"/>
        </w:rPr>
        <w:t>8</w:t>
      </w:r>
      <w:r w:rsidRPr="00F9522B">
        <w:rPr>
          <w:rFonts w:eastAsiaTheme="minorEastAsia"/>
          <w:b/>
          <w:bCs/>
          <w:kern w:val="21"/>
          <w:szCs w:val="21"/>
        </w:rPr>
        <w:t>本项目与</w:t>
      </w:r>
      <w:r w:rsidRPr="00F9522B">
        <w:rPr>
          <w:rFonts w:eastAsiaTheme="minorEastAsia"/>
          <w:b/>
          <w:szCs w:val="21"/>
        </w:rPr>
        <w:t>《水利建设项目</w:t>
      </w:r>
      <w:r w:rsidRPr="00F9522B">
        <w:rPr>
          <w:rFonts w:eastAsiaTheme="minorEastAsia"/>
          <w:b/>
          <w:szCs w:val="21"/>
        </w:rPr>
        <w:t>(</w:t>
      </w:r>
      <w:r w:rsidRPr="00F9522B">
        <w:rPr>
          <w:rFonts w:eastAsiaTheme="minorEastAsia"/>
          <w:b/>
          <w:szCs w:val="21"/>
        </w:rPr>
        <w:t>灌区工程</w:t>
      </w:r>
      <w:r w:rsidRPr="00F9522B">
        <w:rPr>
          <w:rFonts w:eastAsiaTheme="minorEastAsia"/>
          <w:b/>
          <w:szCs w:val="21"/>
        </w:rPr>
        <w:t>)</w:t>
      </w:r>
      <w:hyperlink r:id="rId23" w:tgtFrame="https://huanbao.bjx.com.cn/news/20180813/_blank" w:history="1">
        <w:r w:rsidRPr="00F9522B">
          <w:rPr>
            <w:rFonts w:eastAsiaTheme="minorEastAsia"/>
            <w:b/>
            <w:szCs w:val="21"/>
          </w:rPr>
          <w:t>环境影响评价文件审批</w:t>
        </w:r>
      </w:hyperlink>
      <w:r w:rsidRPr="00F9522B">
        <w:rPr>
          <w:rFonts w:eastAsiaTheme="minorEastAsia"/>
          <w:b/>
          <w:szCs w:val="21"/>
        </w:rPr>
        <w:t>原则</w:t>
      </w:r>
      <w:r w:rsidRPr="00F9522B">
        <w:rPr>
          <w:rFonts w:eastAsiaTheme="minorEastAsia"/>
          <w:b/>
          <w:szCs w:val="21"/>
        </w:rPr>
        <w:t>(</w:t>
      </w:r>
      <w:r w:rsidRPr="00F9522B">
        <w:rPr>
          <w:rFonts w:eastAsiaTheme="minorEastAsia"/>
          <w:b/>
          <w:szCs w:val="21"/>
        </w:rPr>
        <w:t>试行</w:t>
      </w:r>
      <w:r w:rsidRPr="00F9522B">
        <w:rPr>
          <w:rFonts w:eastAsiaTheme="minorEastAsia"/>
          <w:b/>
          <w:szCs w:val="21"/>
        </w:rPr>
        <w:t>)</w:t>
      </w:r>
      <w:r w:rsidRPr="00F9522B">
        <w:rPr>
          <w:rFonts w:eastAsiaTheme="minorEastAsia"/>
          <w:b/>
          <w:szCs w:val="21"/>
        </w:rPr>
        <w:t>》</w:t>
      </w:r>
      <w:r w:rsidRPr="00F9522B">
        <w:rPr>
          <w:rFonts w:eastAsiaTheme="minorEastAsia"/>
          <w:b/>
          <w:bCs/>
          <w:kern w:val="21"/>
          <w:szCs w:val="21"/>
        </w:rPr>
        <w:t>符合性分析</w:t>
      </w:r>
    </w:p>
    <w:tbl>
      <w:tblPr>
        <w:tblW w:w="5000" w:type="pct"/>
        <w:jc w:val="center"/>
        <w:tblBorders>
          <w:top w:val="single" w:sz="12" w:space="0" w:color="auto"/>
          <w:bottom w:val="single" w:sz="12" w:space="0" w:color="auto"/>
          <w:insideH w:val="single" w:sz="4" w:space="0" w:color="auto"/>
          <w:insideV w:val="single" w:sz="4" w:space="0" w:color="auto"/>
        </w:tblBorders>
        <w:tblLayout w:type="fixed"/>
        <w:tblLook w:val="04A0"/>
      </w:tblPr>
      <w:tblGrid>
        <w:gridCol w:w="690"/>
        <w:gridCol w:w="2679"/>
        <w:gridCol w:w="4390"/>
        <w:gridCol w:w="763"/>
      </w:tblGrid>
      <w:tr w:rsidR="002A5A5E" w:rsidRPr="00F9522B">
        <w:trPr>
          <w:jc w:val="center"/>
        </w:trPr>
        <w:tc>
          <w:tcPr>
            <w:tcW w:w="690" w:type="dxa"/>
            <w:vAlign w:val="center"/>
          </w:tcPr>
          <w:p w:rsidR="002A5A5E" w:rsidRPr="00F9522B" w:rsidRDefault="00611CBA">
            <w:pPr>
              <w:jc w:val="center"/>
              <w:rPr>
                <w:rFonts w:eastAsiaTheme="minorEastAsia"/>
                <w:kern w:val="0"/>
                <w:szCs w:val="21"/>
              </w:rPr>
            </w:pPr>
            <w:r w:rsidRPr="00F9522B">
              <w:rPr>
                <w:rFonts w:eastAsiaTheme="minorEastAsia"/>
                <w:kern w:val="0"/>
                <w:szCs w:val="21"/>
              </w:rPr>
              <w:t>8</w:t>
            </w:r>
          </w:p>
        </w:tc>
        <w:tc>
          <w:tcPr>
            <w:tcW w:w="2679" w:type="dxa"/>
            <w:vAlign w:val="center"/>
          </w:tcPr>
          <w:p w:rsidR="002A5A5E" w:rsidRPr="00F9522B" w:rsidRDefault="00611CBA">
            <w:pPr>
              <w:jc w:val="left"/>
              <w:rPr>
                <w:rFonts w:eastAsiaTheme="minorEastAsia"/>
                <w:kern w:val="0"/>
                <w:szCs w:val="21"/>
              </w:rPr>
            </w:pPr>
            <w:r w:rsidRPr="00F9522B">
              <w:rPr>
                <w:rFonts w:eastAsiaTheme="minorEastAsia"/>
                <w:kern w:val="0"/>
                <w:szCs w:val="21"/>
              </w:rPr>
              <w:t>项目存在外来物种入侵以及灌溉水质污染等环境风险的，提出了针对性的环境风险防范措施以及环境应急预案编制、建立必要的应急联动机制等要求。</w:t>
            </w:r>
          </w:p>
        </w:tc>
        <w:tc>
          <w:tcPr>
            <w:tcW w:w="4390" w:type="dxa"/>
            <w:vAlign w:val="center"/>
          </w:tcPr>
          <w:p w:rsidR="002A5A5E" w:rsidRPr="00F9522B" w:rsidRDefault="00611CBA">
            <w:pPr>
              <w:jc w:val="left"/>
              <w:rPr>
                <w:rFonts w:eastAsiaTheme="minorEastAsia"/>
                <w:kern w:val="0"/>
                <w:szCs w:val="21"/>
              </w:rPr>
            </w:pPr>
            <w:r w:rsidRPr="00F9522B">
              <w:rPr>
                <w:rFonts w:eastAsiaTheme="minorEastAsia"/>
                <w:kern w:val="0"/>
                <w:szCs w:val="21"/>
              </w:rPr>
              <w:t>本项目取用地下水，不存在外来物种入侵以及灌溉水质污染等环境风险。</w:t>
            </w:r>
          </w:p>
        </w:tc>
        <w:tc>
          <w:tcPr>
            <w:tcW w:w="763" w:type="dxa"/>
            <w:vAlign w:val="center"/>
          </w:tcPr>
          <w:p w:rsidR="002A5A5E" w:rsidRPr="00F9522B" w:rsidRDefault="00611CBA">
            <w:pPr>
              <w:jc w:val="center"/>
              <w:rPr>
                <w:rFonts w:eastAsiaTheme="minorEastAsia"/>
                <w:kern w:val="0"/>
                <w:szCs w:val="21"/>
              </w:rPr>
            </w:pPr>
            <w:r w:rsidRPr="00F9522B">
              <w:rPr>
                <w:rFonts w:eastAsiaTheme="minorEastAsia"/>
                <w:kern w:val="0"/>
                <w:szCs w:val="21"/>
              </w:rPr>
              <w:t>符合</w:t>
            </w:r>
          </w:p>
        </w:tc>
      </w:tr>
      <w:tr w:rsidR="002A5A5E" w:rsidRPr="00F9522B">
        <w:trPr>
          <w:jc w:val="center"/>
        </w:trPr>
        <w:tc>
          <w:tcPr>
            <w:tcW w:w="690" w:type="dxa"/>
            <w:vAlign w:val="center"/>
          </w:tcPr>
          <w:p w:rsidR="002A5A5E" w:rsidRPr="00F9522B" w:rsidRDefault="00611CBA">
            <w:pPr>
              <w:jc w:val="center"/>
              <w:rPr>
                <w:rFonts w:eastAsiaTheme="minorEastAsia"/>
                <w:kern w:val="0"/>
                <w:szCs w:val="21"/>
              </w:rPr>
            </w:pPr>
            <w:r w:rsidRPr="00F9522B">
              <w:rPr>
                <w:rFonts w:eastAsiaTheme="minorEastAsia"/>
                <w:kern w:val="0"/>
                <w:szCs w:val="21"/>
              </w:rPr>
              <w:t>9</w:t>
            </w:r>
          </w:p>
        </w:tc>
        <w:tc>
          <w:tcPr>
            <w:tcW w:w="2679" w:type="dxa"/>
            <w:vAlign w:val="center"/>
          </w:tcPr>
          <w:p w:rsidR="002A5A5E" w:rsidRPr="00F9522B" w:rsidRDefault="00611CBA">
            <w:pPr>
              <w:rPr>
                <w:rStyle w:val="CharChar"/>
                <w:rFonts w:hAnsi="Times New Roman"/>
              </w:rPr>
            </w:pPr>
            <w:r w:rsidRPr="00F9522B">
              <w:rPr>
                <w:rStyle w:val="CharChar"/>
                <w:rFonts w:hAnsi="Times New Roman"/>
              </w:rPr>
              <w:t>改、扩建或依托现有工程的项目，在全面梳理与项目有关的现有工程环境问题的基础上，提出了与项目相适应的</w:t>
            </w:r>
            <w:r w:rsidRPr="00F9522B">
              <w:rPr>
                <w:rStyle w:val="CharChar"/>
                <w:rFonts w:hAnsi="Times New Roman"/>
              </w:rPr>
              <w:t>“</w:t>
            </w:r>
            <w:r w:rsidRPr="00F9522B">
              <w:rPr>
                <w:rStyle w:val="CharChar"/>
                <w:rFonts w:hAnsi="Times New Roman"/>
              </w:rPr>
              <w:t>以新带老</w:t>
            </w:r>
            <w:r w:rsidRPr="00F9522B">
              <w:rPr>
                <w:rStyle w:val="CharChar"/>
                <w:rFonts w:hAnsi="Times New Roman"/>
              </w:rPr>
              <w:t>”</w:t>
            </w:r>
            <w:r w:rsidRPr="00F9522B">
              <w:rPr>
                <w:rStyle w:val="CharChar"/>
                <w:rFonts w:hAnsi="Times New Roman"/>
              </w:rPr>
              <w:t>措施。</w:t>
            </w:r>
          </w:p>
        </w:tc>
        <w:tc>
          <w:tcPr>
            <w:tcW w:w="4390" w:type="dxa"/>
            <w:vAlign w:val="center"/>
          </w:tcPr>
          <w:p w:rsidR="002A5A5E" w:rsidRPr="00F9522B" w:rsidRDefault="00611CBA" w:rsidP="00C27FC4">
            <w:pPr>
              <w:rPr>
                <w:rStyle w:val="CharChar"/>
                <w:rFonts w:hAnsi="Times New Roman"/>
              </w:rPr>
            </w:pPr>
            <w:r w:rsidRPr="00F9522B">
              <w:rPr>
                <w:szCs w:val="16"/>
                <w:lang w:val="zh-CN"/>
              </w:rPr>
              <w:t>本项目已梳理现有工程存在的问题，并提出了以新带老措施，</w:t>
            </w:r>
            <w:r w:rsidRPr="00F9522B">
              <w:rPr>
                <w:rStyle w:val="CharChar"/>
                <w:rFonts w:hAnsi="Times New Roman"/>
              </w:rPr>
              <w:t>具体见表</w:t>
            </w:r>
            <w:r w:rsidRPr="00F9522B">
              <w:rPr>
                <w:rStyle w:val="CharChar"/>
                <w:rFonts w:hAnsi="Times New Roman"/>
              </w:rPr>
              <w:t>3-1-</w:t>
            </w:r>
            <w:r w:rsidR="00C27FC4" w:rsidRPr="00F9522B">
              <w:rPr>
                <w:rStyle w:val="CharChar"/>
                <w:rFonts w:hAnsi="Times New Roman"/>
              </w:rPr>
              <w:t>3</w:t>
            </w:r>
            <w:r w:rsidRPr="00F9522B">
              <w:rPr>
                <w:rStyle w:val="CharChar"/>
                <w:rFonts w:hAnsi="Times New Roman"/>
              </w:rPr>
              <w:t>。</w:t>
            </w:r>
          </w:p>
        </w:tc>
        <w:tc>
          <w:tcPr>
            <w:tcW w:w="763" w:type="dxa"/>
            <w:vAlign w:val="center"/>
          </w:tcPr>
          <w:p w:rsidR="002A5A5E" w:rsidRPr="00F9522B" w:rsidRDefault="00611CBA">
            <w:pPr>
              <w:jc w:val="center"/>
              <w:rPr>
                <w:rFonts w:eastAsiaTheme="minorEastAsia"/>
                <w:kern w:val="0"/>
                <w:szCs w:val="21"/>
              </w:rPr>
            </w:pPr>
            <w:r w:rsidRPr="00F9522B">
              <w:rPr>
                <w:rFonts w:eastAsiaTheme="minorEastAsia"/>
                <w:kern w:val="0"/>
                <w:szCs w:val="21"/>
              </w:rPr>
              <w:t>符合</w:t>
            </w:r>
          </w:p>
        </w:tc>
      </w:tr>
      <w:tr w:rsidR="002A5A5E" w:rsidRPr="00F9522B">
        <w:trPr>
          <w:jc w:val="center"/>
        </w:trPr>
        <w:tc>
          <w:tcPr>
            <w:tcW w:w="690" w:type="dxa"/>
            <w:vAlign w:val="center"/>
          </w:tcPr>
          <w:p w:rsidR="002A5A5E" w:rsidRPr="00F9522B" w:rsidRDefault="00611CBA">
            <w:pPr>
              <w:jc w:val="center"/>
              <w:rPr>
                <w:rFonts w:eastAsiaTheme="minorEastAsia"/>
                <w:kern w:val="0"/>
                <w:szCs w:val="21"/>
              </w:rPr>
            </w:pPr>
            <w:r w:rsidRPr="00F9522B">
              <w:rPr>
                <w:rFonts w:eastAsiaTheme="minorEastAsia"/>
                <w:kern w:val="0"/>
                <w:szCs w:val="21"/>
              </w:rPr>
              <w:t>10</w:t>
            </w:r>
          </w:p>
        </w:tc>
        <w:tc>
          <w:tcPr>
            <w:tcW w:w="2679" w:type="dxa"/>
            <w:vAlign w:val="center"/>
          </w:tcPr>
          <w:p w:rsidR="002A5A5E" w:rsidRPr="00F9522B" w:rsidRDefault="00611CBA">
            <w:pPr>
              <w:jc w:val="left"/>
              <w:rPr>
                <w:rFonts w:eastAsiaTheme="minorEastAsia"/>
                <w:kern w:val="0"/>
                <w:szCs w:val="21"/>
              </w:rPr>
            </w:pPr>
            <w:r w:rsidRPr="00F9522B">
              <w:rPr>
                <w:rFonts w:eastAsiaTheme="minorEastAsia"/>
                <w:kern w:val="0"/>
                <w:szCs w:val="21"/>
              </w:rPr>
              <w:t>按相关导则及规定要求，制定了生态、水、土壤等环境要素的监测计划，明确了监测网点、因子、频次等有关要求，提出了根据监测评估结果优化环境保护措施的要求。</w:t>
            </w:r>
          </w:p>
        </w:tc>
        <w:tc>
          <w:tcPr>
            <w:tcW w:w="4390" w:type="dxa"/>
            <w:vAlign w:val="center"/>
          </w:tcPr>
          <w:p w:rsidR="002A5A5E" w:rsidRPr="00F9522B" w:rsidRDefault="00611CBA">
            <w:pPr>
              <w:jc w:val="left"/>
              <w:rPr>
                <w:rFonts w:eastAsiaTheme="minorEastAsia"/>
                <w:kern w:val="0"/>
                <w:szCs w:val="21"/>
              </w:rPr>
            </w:pPr>
            <w:r w:rsidRPr="00F9522B">
              <w:rPr>
                <w:rFonts w:eastAsiaTheme="minorEastAsia"/>
                <w:kern w:val="0"/>
                <w:szCs w:val="21"/>
              </w:rPr>
              <w:t>本项目已制定生态、声环境、水环境、土壤要素的监测计划，明确了监测点、监测因子、频次等有关要求，提出了根据监测评估结果优化环境保护措施的要求。</w:t>
            </w:r>
          </w:p>
        </w:tc>
        <w:tc>
          <w:tcPr>
            <w:tcW w:w="763" w:type="dxa"/>
            <w:vAlign w:val="center"/>
          </w:tcPr>
          <w:p w:rsidR="002A5A5E" w:rsidRPr="00F9522B" w:rsidRDefault="00611CBA">
            <w:pPr>
              <w:jc w:val="center"/>
              <w:rPr>
                <w:rFonts w:eastAsiaTheme="minorEastAsia"/>
                <w:kern w:val="0"/>
                <w:szCs w:val="21"/>
              </w:rPr>
            </w:pPr>
            <w:r w:rsidRPr="00F9522B">
              <w:rPr>
                <w:rFonts w:eastAsiaTheme="minorEastAsia"/>
                <w:kern w:val="0"/>
                <w:szCs w:val="21"/>
              </w:rPr>
              <w:t>符合</w:t>
            </w:r>
          </w:p>
        </w:tc>
      </w:tr>
      <w:tr w:rsidR="002A5A5E" w:rsidRPr="00F9522B">
        <w:trPr>
          <w:jc w:val="center"/>
        </w:trPr>
        <w:tc>
          <w:tcPr>
            <w:tcW w:w="690" w:type="dxa"/>
            <w:vAlign w:val="center"/>
          </w:tcPr>
          <w:p w:rsidR="002A5A5E" w:rsidRPr="00F9522B" w:rsidRDefault="00611CBA">
            <w:pPr>
              <w:jc w:val="center"/>
              <w:rPr>
                <w:rFonts w:eastAsiaTheme="minorEastAsia"/>
                <w:kern w:val="0"/>
                <w:szCs w:val="21"/>
              </w:rPr>
            </w:pPr>
            <w:r w:rsidRPr="00F9522B">
              <w:rPr>
                <w:rFonts w:eastAsiaTheme="minorEastAsia"/>
                <w:kern w:val="0"/>
                <w:szCs w:val="21"/>
              </w:rPr>
              <w:t>11</w:t>
            </w:r>
          </w:p>
        </w:tc>
        <w:tc>
          <w:tcPr>
            <w:tcW w:w="2679" w:type="dxa"/>
            <w:vAlign w:val="center"/>
          </w:tcPr>
          <w:p w:rsidR="002A5A5E" w:rsidRPr="00F9522B" w:rsidRDefault="00611CBA">
            <w:pPr>
              <w:rPr>
                <w:rStyle w:val="CharChar"/>
                <w:rFonts w:hAnsi="Times New Roman"/>
              </w:rPr>
            </w:pPr>
            <w:r w:rsidRPr="00F9522B">
              <w:rPr>
                <w:rStyle w:val="CharChar"/>
                <w:rFonts w:hAnsi="Times New Roman"/>
              </w:rPr>
              <w:t>对生态环境保护措施进行了深入论证，建设单位主体责任、投资估算、时间节点、预期效果明确，确保科学有效、安全可行、绿色协调。</w:t>
            </w:r>
          </w:p>
        </w:tc>
        <w:tc>
          <w:tcPr>
            <w:tcW w:w="4390" w:type="dxa"/>
            <w:vAlign w:val="center"/>
          </w:tcPr>
          <w:p w:rsidR="002A5A5E" w:rsidRPr="00F9522B" w:rsidRDefault="00611CBA">
            <w:pPr>
              <w:rPr>
                <w:rStyle w:val="CharChar"/>
                <w:rFonts w:hAnsi="Times New Roman"/>
              </w:rPr>
            </w:pPr>
            <w:r w:rsidRPr="00F9522B">
              <w:rPr>
                <w:rStyle w:val="CharChar"/>
                <w:rFonts w:hAnsi="Times New Roman"/>
              </w:rPr>
              <w:t>对生态环境保护措施进行了深入论证，明确了生态恢复的主体责任人为建设单位，进行了环保投资估算，针对施工期和运行期分别进行了保护措施可行性论证。</w:t>
            </w:r>
          </w:p>
        </w:tc>
        <w:tc>
          <w:tcPr>
            <w:tcW w:w="763" w:type="dxa"/>
            <w:vAlign w:val="center"/>
          </w:tcPr>
          <w:p w:rsidR="002A5A5E" w:rsidRPr="00F9522B" w:rsidRDefault="00611CBA">
            <w:pPr>
              <w:jc w:val="center"/>
              <w:rPr>
                <w:rStyle w:val="CharChar"/>
                <w:rFonts w:hAnsi="Times New Roman"/>
              </w:rPr>
            </w:pPr>
            <w:r w:rsidRPr="00F9522B">
              <w:rPr>
                <w:rStyle w:val="CharChar"/>
                <w:rFonts w:hAnsi="Times New Roman"/>
              </w:rPr>
              <w:t>符合</w:t>
            </w:r>
          </w:p>
        </w:tc>
      </w:tr>
      <w:tr w:rsidR="002A5A5E" w:rsidRPr="00F9522B">
        <w:trPr>
          <w:jc w:val="center"/>
        </w:trPr>
        <w:tc>
          <w:tcPr>
            <w:tcW w:w="690" w:type="dxa"/>
            <w:vAlign w:val="center"/>
          </w:tcPr>
          <w:p w:rsidR="002A5A5E" w:rsidRPr="00F9522B" w:rsidRDefault="00611CBA">
            <w:pPr>
              <w:jc w:val="center"/>
              <w:rPr>
                <w:rFonts w:eastAsiaTheme="minorEastAsia"/>
                <w:kern w:val="0"/>
                <w:szCs w:val="21"/>
              </w:rPr>
            </w:pPr>
            <w:r w:rsidRPr="00F9522B">
              <w:rPr>
                <w:rFonts w:eastAsiaTheme="minorEastAsia"/>
                <w:kern w:val="0"/>
                <w:szCs w:val="21"/>
              </w:rPr>
              <w:t>12</w:t>
            </w:r>
          </w:p>
        </w:tc>
        <w:tc>
          <w:tcPr>
            <w:tcW w:w="2679" w:type="dxa"/>
            <w:vAlign w:val="center"/>
          </w:tcPr>
          <w:p w:rsidR="002A5A5E" w:rsidRPr="00F9522B" w:rsidRDefault="00611CBA">
            <w:pPr>
              <w:pStyle w:val="afffffffffa"/>
            </w:pPr>
            <w:r w:rsidRPr="00F9522B">
              <w:t>按相关规定开展了信息公开和公众参与。</w:t>
            </w:r>
          </w:p>
        </w:tc>
        <w:tc>
          <w:tcPr>
            <w:tcW w:w="4390" w:type="dxa"/>
            <w:vAlign w:val="center"/>
          </w:tcPr>
          <w:p w:rsidR="002A5A5E" w:rsidRPr="00F9522B" w:rsidRDefault="00611CBA">
            <w:pPr>
              <w:pStyle w:val="afffffffffa"/>
              <w:rPr>
                <w:kern w:val="0"/>
              </w:rPr>
            </w:pPr>
            <w:r w:rsidRPr="00F9522B">
              <w:rPr>
                <w:kern w:val="0"/>
              </w:rPr>
              <w:t>按相关规定开展了信息公开和公众参与。</w:t>
            </w:r>
          </w:p>
        </w:tc>
        <w:tc>
          <w:tcPr>
            <w:tcW w:w="763" w:type="dxa"/>
            <w:vAlign w:val="center"/>
          </w:tcPr>
          <w:p w:rsidR="002A5A5E" w:rsidRPr="00F9522B" w:rsidRDefault="00611CBA">
            <w:pPr>
              <w:jc w:val="center"/>
              <w:rPr>
                <w:rStyle w:val="CharChar"/>
                <w:rFonts w:hAnsi="Times New Roman"/>
              </w:rPr>
            </w:pPr>
            <w:r w:rsidRPr="00F9522B">
              <w:rPr>
                <w:rStyle w:val="CharChar"/>
                <w:rFonts w:hAnsi="Times New Roman"/>
              </w:rPr>
              <w:t>符合</w:t>
            </w:r>
          </w:p>
        </w:tc>
      </w:tr>
      <w:tr w:rsidR="002A5A5E" w:rsidRPr="00F9522B">
        <w:trPr>
          <w:jc w:val="center"/>
        </w:trPr>
        <w:tc>
          <w:tcPr>
            <w:tcW w:w="690" w:type="dxa"/>
            <w:vAlign w:val="center"/>
          </w:tcPr>
          <w:p w:rsidR="002A5A5E" w:rsidRPr="00F9522B" w:rsidRDefault="00611CBA">
            <w:pPr>
              <w:jc w:val="center"/>
              <w:rPr>
                <w:rFonts w:eastAsiaTheme="minorEastAsia"/>
                <w:kern w:val="0"/>
                <w:szCs w:val="21"/>
              </w:rPr>
            </w:pPr>
            <w:r w:rsidRPr="00F9522B">
              <w:rPr>
                <w:rFonts w:eastAsiaTheme="minorEastAsia"/>
                <w:kern w:val="0"/>
                <w:szCs w:val="21"/>
              </w:rPr>
              <w:t>13</w:t>
            </w:r>
          </w:p>
        </w:tc>
        <w:tc>
          <w:tcPr>
            <w:tcW w:w="2679" w:type="dxa"/>
            <w:vAlign w:val="center"/>
          </w:tcPr>
          <w:p w:rsidR="002A5A5E" w:rsidRPr="00F9522B" w:rsidRDefault="00611CBA">
            <w:pPr>
              <w:pStyle w:val="afffffffffa"/>
              <w:spacing w:line="240" w:lineRule="auto"/>
            </w:pPr>
            <w:r w:rsidRPr="00F9522B">
              <w:t>环境影响评价文件编制规范，符合相关管理规定和环评技术标准要求。</w:t>
            </w:r>
          </w:p>
        </w:tc>
        <w:tc>
          <w:tcPr>
            <w:tcW w:w="4390" w:type="dxa"/>
            <w:vAlign w:val="center"/>
          </w:tcPr>
          <w:p w:rsidR="002A5A5E" w:rsidRPr="00F9522B" w:rsidRDefault="00611CBA">
            <w:pPr>
              <w:pStyle w:val="afffffffffa"/>
              <w:spacing w:line="240" w:lineRule="auto"/>
            </w:pPr>
            <w:r w:rsidRPr="00F9522B">
              <w:t>环境影响评价文件符合相关管理规定和环评技术标准要求。</w:t>
            </w:r>
          </w:p>
        </w:tc>
        <w:tc>
          <w:tcPr>
            <w:tcW w:w="763" w:type="dxa"/>
            <w:vAlign w:val="center"/>
          </w:tcPr>
          <w:p w:rsidR="002A5A5E" w:rsidRPr="00F9522B" w:rsidRDefault="00611CBA">
            <w:pPr>
              <w:jc w:val="center"/>
              <w:rPr>
                <w:rStyle w:val="CharChar"/>
                <w:rFonts w:hAnsi="Times New Roman"/>
              </w:rPr>
            </w:pPr>
            <w:r w:rsidRPr="00F9522B">
              <w:rPr>
                <w:rStyle w:val="CharChar"/>
                <w:rFonts w:hAnsi="Times New Roman"/>
              </w:rPr>
              <w:t>符合</w:t>
            </w:r>
          </w:p>
        </w:tc>
      </w:tr>
    </w:tbl>
    <w:p w:rsidR="002A5A5E" w:rsidRPr="00F9522B" w:rsidRDefault="002A5A5E">
      <w:pPr>
        <w:keepNext/>
        <w:keepLines/>
        <w:rPr>
          <w:rFonts w:eastAsiaTheme="minorEastAsia"/>
          <w:b/>
          <w:bCs/>
          <w:kern w:val="21"/>
          <w:sz w:val="24"/>
        </w:rPr>
        <w:sectPr w:rsidR="002A5A5E" w:rsidRPr="00F9522B">
          <w:pgSz w:w="11906" w:h="16838"/>
          <w:pgMar w:top="1440" w:right="1800" w:bottom="1440" w:left="1800" w:header="851" w:footer="992" w:gutter="0"/>
          <w:cols w:space="425"/>
          <w:docGrid w:type="lines" w:linePitch="312"/>
        </w:sectPr>
      </w:pPr>
    </w:p>
    <w:p w:rsidR="002A5A5E" w:rsidRPr="00F9522B" w:rsidRDefault="00611CBA">
      <w:pPr>
        <w:pStyle w:val="ab"/>
        <w:spacing w:before="100" w:beforeAutospacing="1" w:after="100" w:afterAutospacing="1"/>
        <w:outlineLvl w:val="2"/>
        <w:rPr>
          <w:rFonts w:eastAsiaTheme="minorEastAsia"/>
          <w:b/>
          <w:sz w:val="28"/>
          <w:szCs w:val="28"/>
        </w:rPr>
      </w:pPr>
      <w:r w:rsidRPr="00F9522B">
        <w:rPr>
          <w:rFonts w:eastAsiaTheme="minorEastAsia"/>
          <w:b/>
          <w:sz w:val="28"/>
          <w:szCs w:val="28"/>
        </w:rPr>
        <w:lastRenderedPageBreak/>
        <w:t>1.4.1</w:t>
      </w:r>
      <w:r w:rsidR="00600084" w:rsidRPr="00F9522B">
        <w:rPr>
          <w:rFonts w:eastAsiaTheme="minorEastAsia"/>
          <w:b/>
          <w:sz w:val="28"/>
          <w:szCs w:val="28"/>
        </w:rPr>
        <w:t>0</w:t>
      </w:r>
      <w:r w:rsidRPr="00F9522B">
        <w:rPr>
          <w:rFonts w:eastAsiaTheme="minorEastAsia"/>
          <w:b/>
          <w:sz w:val="28"/>
          <w:szCs w:val="28"/>
        </w:rPr>
        <w:t>选址合理性分析</w:t>
      </w:r>
      <w:bookmarkEnd w:id="19"/>
    </w:p>
    <w:p w:rsidR="002A5A5E" w:rsidRPr="00F9522B" w:rsidRDefault="00611CBA">
      <w:pPr>
        <w:widowControl/>
        <w:spacing w:line="360" w:lineRule="auto"/>
        <w:ind w:firstLineChars="200" w:firstLine="480"/>
        <w:textAlignment w:val="baseline"/>
        <w:rPr>
          <w:rFonts w:eastAsiaTheme="minorEastAsia"/>
          <w:sz w:val="24"/>
        </w:rPr>
      </w:pPr>
      <w:bookmarkStart w:id="23" w:name="_Toc15991621"/>
      <w:r w:rsidRPr="00F9522B">
        <w:rPr>
          <w:rFonts w:eastAsiaTheme="minorEastAsia"/>
          <w:sz w:val="24"/>
        </w:rPr>
        <w:t>（</w:t>
      </w:r>
      <w:r w:rsidRPr="00F9522B">
        <w:rPr>
          <w:rFonts w:eastAsiaTheme="minorEastAsia"/>
          <w:sz w:val="24"/>
        </w:rPr>
        <w:t>1</w:t>
      </w:r>
      <w:r w:rsidRPr="00F9522B">
        <w:rPr>
          <w:rFonts w:eastAsiaTheme="minorEastAsia"/>
          <w:sz w:val="24"/>
        </w:rPr>
        <w:t>）永久占地、工程选址、选线合理性</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本项目总体布局首先立足于保护和改善生态环境，以提高土地利用率为前提，提高耕地质量为主要目标，并坚持可持续发展的原则进行工程建设。在全域土地综合整治与生态修复过程中，实行耕地改良，提高耕地质量，同时提高粮食产量，进而改善当地生产、生活水平，改善当地生态环境，遵循自然规律和经济规律，因地制宜发展经济，保护和建设好生态环境，实现资源的综合利用。</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本项目位于</w:t>
      </w:r>
      <w:r w:rsidR="00140308" w:rsidRPr="00F9522B">
        <w:rPr>
          <w:rFonts w:eastAsiaTheme="minorEastAsia"/>
          <w:sz w:val="24"/>
        </w:rPr>
        <w:t>黑龙江省哈尔滨市呼兰区二八镇阿堡村、鲍堡村、二八村、傅井村、头屯村、王柱村、元宝村、长山村；方台镇的方台村、高家村、宋家村、榆林村；康金街道的金城村、永胜村、历井村、孟井村、双合村、苏德村、王牛村、王佩村、东井村、西井村、杨木村、东腰村、历井农场、新农村；石人镇的城子村、古城村、金星村、石人村、永发村、永平村、于家村、双宝村、站前村</w:t>
      </w:r>
      <w:r w:rsidRPr="00F9522B">
        <w:rPr>
          <w:rFonts w:eastAsiaTheme="minorEastAsia"/>
          <w:sz w:val="24"/>
        </w:rPr>
        <w:t>。项目工程及施工总平面布置图见附图</w:t>
      </w:r>
      <w:r w:rsidRPr="00F9522B">
        <w:rPr>
          <w:rFonts w:eastAsiaTheme="minorEastAsia"/>
          <w:sz w:val="24"/>
        </w:rPr>
        <w:t>9</w:t>
      </w:r>
      <w:r w:rsidRPr="00F9522B">
        <w:rPr>
          <w:rFonts w:eastAsiaTheme="minorEastAsia"/>
          <w:sz w:val="24"/>
        </w:rPr>
        <w:t>。</w:t>
      </w:r>
      <w:r w:rsidRPr="00F9522B">
        <w:rPr>
          <w:rFonts w:eastAsiaTheme="minorEastAsia"/>
          <w:snapToGrid w:val="0"/>
          <w:kern w:val="0"/>
          <w:sz w:val="24"/>
        </w:rPr>
        <w:t>本项目田间道路工程在现有道路基础上修建，现有灌溉渠道衬砌，现有排水沟清淤、</w:t>
      </w:r>
      <w:r w:rsidRPr="00F9522B">
        <w:rPr>
          <w:rFonts w:eastAsiaTheme="minorEastAsia"/>
          <w:sz w:val="24"/>
        </w:rPr>
        <w:t>衬砌</w:t>
      </w:r>
      <w:r w:rsidR="00D61453" w:rsidRPr="00F9522B">
        <w:rPr>
          <w:rFonts w:eastAsiaTheme="minorEastAsia"/>
          <w:snapToGrid w:val="0"/>
          <w:kern w:val="0"/>
          <w:sz w:val="24"/>
        </w:rPr>
        <w:t>，田块整治工程</w:t>
      </w:r>
      <w:r w:rsidRPr="00F9522B">
        <w:rPr>
          <w:rFonts w:eastAsiaTheme="minorEastAsia"/>
          <w:bCs/>
          <w:snapToGrid w:val="0"/>
          <w:kern w:val="0"/>
          <w:sz w:val="24"/>
        </w:rPr>
        <w:t>在永久占地范围内</w:t>
      </w:r>
      <w:r w:rsidRPr="00F9522B">
        <w:rPr>
          <w:rFonts w:eastAsiaTheme="minorEastAsia"/>
          <w:snapToGrid w:val="0"/>
          <w:kern w:val="0"/>
          <w:sz w:val="24"/>
        </w:rPr>
        <w:t>，尽量减少占地，其余工程新增永久占地。</w:t>
      </w:r>
      <w:r w:rsidRPr="00F9522B">
        <w:rPr>
          <w:rFonts w:eastAsiaTheme="minorEastAsia"/>
          <w:bCs/>
          <w:snapToGrid w:val="0"/>
          <w:kern w:val="0"/>
          <w:sz w:val="24"/>
        </w:rPr>
        <w:t>永久占地类型为</w:t>
      </w:r>
      <w:r w:rsidR="009555CD" w:rsidRPr="00F9522B">
        <w:rPr>
          <w:rFonts w:eastAsiaTheme="minorEastAsia"/>
          <w:bCs/>
          <w:snapToGrid w:val="0"/>
          <w:kern w:val="0"/>
          <w:sz w:val="24"/>
        </w:rPr>
        <w:t>草地、交通运输用地、水利设施用地、坑塘水面</w:t>
      </w:r>
      <w:r w:rsidRPr="00F9522B">
        <w:rPr>
          <w:rFonts w:eastAsiaTheme="minorEastAsia"/>
          <w:snapToGrid w:val="0"/>
          <w:kern w:val="0"/>
          <w:sz w:val="24"/>
        </w:rPr>
        <w:t>。</w:t>
      </w:r>
      <w:r w:rsidRPr="00F9522B">
        <w:rPr>
          <w:rFonts w:eastAsiaTheme="minorEastAsia"/>
          <w:sz w:val="24"/>
        </w:rPr>
        <w:t>项目选址选线不占用自然保护区、世界文化和自然遗产地以及其他生态保护红线中法律法规禁止占用的区域。本项目区域虽</w:t>
      </w:r>
      <w:r w:rsidRPr="00F9522B">
        <w:rPr>
          <w:rFonts w:eastAsiaTheme="minorEastAsia"/>
          <w:bCs/>
          <w:sz w:val="24"/>
        </w:rPr>
        <w:t>属于省级水土流失重点治理区</w:t>
      </w:r>
      <w:r w:rsidRPr="00F9522B">
        <w:rPr>
          <w:rFonts w:eastAsiaTheme="minorEastAsia"/>
          <w:sz w:val="24"/>
        </w:rPr>
        <w:t>，易发生水土流失，本项目实施排水沟清淤、衬砌、灌溉渠道衬砌等工程，建成后可减少区域水土流失，</w:t>
      </w:r>
      <w:r w:rsidRPr="00F9522B">
        <w:rPr>
          <w:rFonts w:eastAsiaTheme="minorEastAsia"/>
          <w:bCs/>
          <w:sz w:val="24"/>
        </w:rPr>
        <w:t>提高和维持土地生产力。</w:t>
      </w:r>
      <w:r w:rsidRPr="00F9522B">
        <w:rPr>
          <w:rFonts w:eastAsiaTheme="minorEastAsia"/>
          <w:sz w:val="24"/>
        </w:rPr>
        <w:t>项目选址、选线符合《高标准农田建设</w:t>
      </w:r>
      <w:r w:rsidRPr="00F9522B">
        <w:rPr>
          <w:rFonts w:eastAsiaTheme="minorEastAsia"/>
          <w:sz w:val="24"/>
        </w:rPr>
        <w:t xml:space="preserve"> </w:t>
      </w:r>
      <w:r w:rsidRPr="00F9522B">
        <w:rPr>
          <w:rFonts w:eastAsiaTheme="minorEastAsia"/>
          <w:sz w:val="24"/>
        </w:rPr>
        <w:t>通则》（</w:t>
      </w:r>
      <w:r w:rsidRPr="00F9522B">
        <w:rPr>
          <w:rFonts w:eastAsiaTheme="minorEastAsia"/>
          <w:sz w:val="24"/>
        </w:rPr>
        <w:t>GB/T 30600-2022</w:t>
      </w:r>
      <w:r w:rsidRPr="00F9522B">
        <w:rPr>
          <w:rFonts w:eastAsiaTheme="minorEastAsia"/>
          <w:sz w:val="24"/>
        </w:rPr>
        <w:t>）的要求。</w:t>
      </w:r>
    </w:p>
    <w:p w:rsidR="002A5A5E" w:rsidRPr="00F9522B" w:rsidRDefault="00611CBA">
      <w:pPr>
        <w:spacing w:line="360" w:lineRule="auto"/>
        <w:ind w:firstLineChars="200" w:firstLine="476"/>
        <w:rPr>
          <w:rFonts w:eastAsiaTheme="minorEastAsia"/>
          <w:spacing w:val="-1"/>
          <w:sz w:val="24"/>
        </w:rPr>
      </w:pPr>
      <w:r w:rsidRPr="00F9522B">
        <w:rPr>
          <w:rFonts w:eastAsiaTheme="minorEastAsia"/>
          <w:spacing w:val="-1"/>
          <w:sz w:val="24"/>
        </w:rPr>
        <w:t>本项目污染主要集中在施工期，主要包括施工期间产生的运输车辆扬尘、机械设备及运输车辆噪声对周边生态环境的影响。建设期间将对区域的现有环境、居民生活及社会产生一定的影响，但项目涉及面较窄，且比较分散。施工期结束后，本项目的影响随即消失。在施工期间，只要制订详细保护计划，精心施工，采取有效的防护和隔离措施，对生态环境的影响较小。项目建设后既可以促进地区农业经济发展，又是建立高效生态农业模式的有效途径，而且对于建设社会主义新农村具有重要的现实意义。因此，运营期对环境的影响主要表现为有利的影响。</w:t>
      </w:r>
    </w:p>
    <w:p w:rsidR="002A5A5E" w:rsidRPr="00F9522B" w:rsidRDefault="00611CBA">
      <w:pPr>
        <w:widowControl/>
        <w:spacing w:line="360" w:lineRule="auto"/>
        <w:ind w:firstLineChars="200" w:firstLine="480"/>
        <w:textAlignment w:val="baseline"/>
        <w:rPr>
          <w:rFonts w:eastAsiaTheme="minorEastAsia"/>
          <w:sz w:val="24"/>
        </w:rPr>
      </w:pPr>
      <w:r w:rsidRPr="00F9522B">
        <w:rPr>
          <w:rFonts w:eastAsiaTheme="minorEastAsia"/>
          <w:sz w:val="24"/>
        </w:rPr>
        <w:lastRenderedPageBreak/>
        <w:t>（</w:t>
      </w:r>
      <w:r w:rsidRPr="00F9522B">
        <w:rPr>
          <w:rFonts w:eastAsiaTheme="minorEastAsia"/>
          <w:sz w:val="24"/>
        </w:rPr>
        <w:t>2</w:t>
      </w:r>
      <w:r w:rsidRPr="00F9522B">
        <w:rPr>
          <w:rFonts w:eastAsiaTheme="minorEastAsia"/>
          <w:sz w:val="24"/>
        </w:rPr>
        <w:t>）临时施工场地、施工道路、生活区选址合理性</w:t>
      </w:r>
    </w:p>
    <w:p w:rsidR="002A5A5E" w:rsidRPr="00F9522B" w:rsidRDefault="00611CBA">
      <w:pPr>
        <w:widowControl/>
        <w:spacing w:line="360" w:lineRule="auto"/>
        <w:ind w:firstLineChars="200" w:firstLine="480"/>
        <w:textAlignment w:val="baseline"/>
        <w:rPr>
          <w:rFonts w:eastAsiaTheme="minorEastAsia"/>
          <w:sz w:val="24"/>
        </w:rPr>
      </w:pPr>
      <w:r w:rsidRPr="00F9522B">
        <w:rPr>
          <w:rFonts w:eastAsiaTheme="minorEastAsia"/>
          <w:sz w:val="24"/>
        </w:rPr>
        <w:t>项目区对外交通状况较好，公路等骨干交通路网已经形成，到附近乡镇和县里购买工程资料比较方便。大部分工程利用现有水泥路、砂石路及村地头路。</w:t>
      </w:r>
    </w:p>
    <w:p w:rsidR="002A5A5E" w:rsidRPr="00F9522B" w:rsidRDefault="00611CBA">
      <w:pPr>
        <w:widowControl/>
        <w:spacing w:line="360" w:lineRule="auto"/>
        <w:ind w:firstLineChars="200" w:firstLine="480"/>
        <w:textAlignment w:val="baseline"/>
        <w:rPr>
          <w:rFonts w:eastAsiaTheme="minorEastAsia"/>
          <w:sz w:val="24"/>
        </w:rPr>
      </w:pPr>
      <w:r w:rsidRPr="00F9522B">
        <w:rPr>
          <w:rFonts w:eastAsiaTheme="minorEastAsia"/>
          <w:sz w:val="24"/>
        </w:rPr>
        <w:t>项目施工期间土方均堆存于施工范围内，施工结束后表土全部用于临时工程土地恢复及田块整治工程，土方能回填的及时回填，建筑垃圾大部分用于田块整治工程，剩余及时送至建材公司回用，</w:t>
      </w:r>
      <w:r w:rsidR="00730492" w:rsidRPr="00730492">
        <w:rPr>
          <w:rFonts w:eastAsiaTheme="minorEastAsia" w:hint="eastAsia"/>
          <w:bCs/>
          <w:sz w:val="24"/>
        </w:rPr>
        <w:t>排水沟淤泥培至工程附近</w:t>
      </w:r>
      <w:r w:rsidR="00730492" w:rsidRPr="00730492">
        <w:rPr>
          <w:rFonts w:eastAsiaTheme="minorEastAsia" w:hint="eastAsia"/>
          <w:bCs/>
          <w:sz w:val="24"/>
        </w:rPr>
        <w:t>200</w:t>
      </w:r>
      <w:r w:rsidR="00730492" w:rsidRPr="00730492">
        <w:rPr>
          <w:rFonts w:eastAsiaTheme="minorEastAsia" w:hint="eastAsia"/>
          <w:bCs/>
          <w:sz w:val="24"/>
        </w:rPr>
        <w:t>米范围内无环境保护目标的排水沟两侧（避开南城李、方台镇、宋家村等</w:t>
      </w:r>
      <w:r w:rsidR="00730492" w:rsidRPr="00730492">
        <w:rPr>
          <w:rFonts w:eastAsiaTheme="minorEastAsia" w:hint="eastAsia"/>
          <w:bCs/>
          <w:sz w:val="24"/>
        </w:rPr>
        <w:t>33</w:t>
      </w:r>
      <w:r w:rsidR="00730492" w:rsidRPr="00730492">
        <w:rPr>
          <w:rFonts w:eastAsiaTheme="minorEastAsia" w:hint="eastAsia"/>
          <w:bCs/>
          <w:sz w:val="24"/>
        </w:rPr>
        <w:t>个村屯，具体见表</w:t>
      </w:r>
      <w:r w:rsidR="00730492" w:rsidRPr="00730492">
        <w:rPr>
          <w:rFonts w:eastAsiaTheme="minorEastAsia" w:hint="eastAsia"/>
          <w:bCs/>
          <w:sz w:val="24"/>
        </w:rPr>
        <w:t>2-8-2</w:t>
      </w:r>
      <w:r w:rsidR="00730492" w:rsidRPr="00730492">
        <w:rPr>
          <w:rFonts w:eastAsiaTheme="minorEastAsia" w:hint="eastAsia"/>
          <w:bCs/>
          <w:sz w:val="24"/>
        </w:rPr>
        <w:t>）</w:t>
      </w:r>
      <w:r w:rsidRPr="00F9522B">
        <w:rPr>
          <w:rFonts w:eastAsiaTheme="minorEastAsia"/>
          <w:sz w:val="24"/>
        </w:rPr>
        <w:t>，因此不设置弃土场。</w:t>
      </w:r>
    </w:p>
    <w:p w:rsidR="002A5A5E" w:rsidRPr="00F9522B" w:rsidRDefault="00611CBA">
      <w:pPr>
        <w:widowControl/>
        <w:spacing w:line="360" w:lineRule="auto"/>
        <w:ind w:firstLineChars="200" w:firstLine="480"/>
        <w:textAlignment w:val="baseline"/>
        <w:rPr>
          <w:rFonts w:eastAsiaTheme="minorEastAsia"/>
          <w:sz w:val="24"/>
        </w:rPr>
      </w:pPr>
      <w:r w:rsidRPr="00617138">
        <w:rPr>
          <w:rFonts w:eastAsiaTheme="minorEastAsia"/>
          <w:sz w:val="24"/>
        </w:rPr>
        <w:t>农田输配电工程</w:t>
      </w:r>
      <w:r w:rsidR="00617138" w:rsidRPr="00F9522B">
        <w:rPr>
          <w:rFonts w:eastAsiaTheme="minorEastAsia"/>
          <w:color w:val="FF0000"/>
          <w:sz w:val="24"/>
        </w:rPr>
        <w:t>沿线一侧外扩</w:t>
      </w:r>
      <w:r w:rsidR="00617138" w:rsidRPr="00F9522B">
        <w:rPr>
          <w:rFonts w:eastAsiaTheme="minorEastAsia"/>
          <w:color w:val="FF0000"/>
          <w:sz w:val="24"/>
        </w:rPr>
        <w:t>3m</w:t>
      </w:r>
      <w:r w:rsidR="00617138" w:rsidRPr="00F9522B">
        <w:rPr>
          <w:rFonts w:eastAsiaTheme="minorEastAsia"/>
          <w:color w:val="FF0000"/>
          <w:sz w:val="24"/>
        </w:rPr>
        <w:t>为临时占地施工场地，</w:t>
      </w:r>
      <w:r w:rsidR="00617138" w:rsidRPr="00AA4603">
        <w:rPr>
          <w:rFonts w:eastAsiaTheme="minorEastAsia"/>
          <w:color w:val="FF0000"/>
          <w:sz w:val="24"/>
        </w:rPr>
        <w:t>共设置</w:t>
      </w:r>
      <w:r w:rsidR="00617138" w:rsidRPr="00AA4603">
        <w:rPr>
          <w:rFonts w:eastAsiaTheme="minorEastAsia"/>
          <w:color w:val="FF0000"/>
          <w:sz w:val="24"/>
        </w:rPr>
        <w:t>1368</w:t>
      </w:r>
      <w:r w:rsidR="00617138" w:rsidRPr="00AA4603">
        <w:rPr>
          <w:rFonts w:eastAsiaTheme="minorEastAsia"/>
          <w:color w:val="FF0000"/>
          <w:sz w:val="24"/>
        </w:rPr>
        <w:t>根水泥电杆，变压器为杆上变压器，每处设置</w:t>
      </w:r>
      <w:r w:rsidR="00617138" w:rsidRPr="00AA4603">
        <w:rPr>
          <w:rFonts w:eastAsiaTheme="minorEastAsia" w:hint="eastAsia"/>
          <w:snapToGrid w:val="0"/>
          <w:color w:val="FF0000"/>
          <w:kern w:val="0"/>
          <w:sz w:val="24"/>
        </w:rPr>
        <w:t>15</w:t>
      </w:r>
      <w:r w:rsidR="00617138" w:rsidRPr="00AA4603">
        <w:rPr>
          <w:rFonts w:eastAsiaTheme="minorEastAsia"/>
          <w:snapToGrid w:val="0"/>
          <w:color w:val="FF0000"/>
          <w:kern w:val="0"/>
          <w:sz w:val="24"/>
        </w:rPr>
        <w:t>m</w:t>
      </w:r>
      <w:r w:rsidR="00617138" w:rsidRPr="00AA4603">
        <w:rPr>
          <w:rFonts w:eastAsiaTheme="minorEastAsia"/>
          <w:snapToGrid w:val="0"/>
          <w:color w:val="FF0000"/>
          <w:kern w:val="0"/>
          <w:sz w:val="24"/>
          <w:vertAlign w:val="superscript"/>
        </w:rPr>
        <w:t>2</w:t>
      </w:r>
      <w:r w:rsidR="00617138" w:rsidRPr="00AA4603">
        <w:rPr>
          <w:rFonts w:eastAsiaTheme="minorEastAsia"/>
          <w:color w:val="FF0000"/>
          <w:sz w:val="24"/>
        </w:rPr>
        <w:t>临时占地</w:t>
      </w:r>
      <w:r w:rsidRPr="00F9522B">
        <w:rPr>
          <w:rFonts w:eastAsiaTheme="minorEastAsia"/>
          <w:sz w:val="24"/>
        </w:rPr>
        <w:t>施工材料均沿线堆放在施工范围内，不设集中堆料场；灌溉井、涵洞等建筑物工程施工材料堆放在紧邻工程施工场地内，临时占地类型为旱地、草地，均不涉及自然保护区、风景名胜区、湿地公园等环境敏感区和生态保护红线；田间道路工程、田块整治工程、灌溉渠道衬砌工程施工材料堆放在永久占地内，不设集中堆料场。减少临时占地面积，临时堆料场选址可行。施工期间施工粉尘及噪声会对周边敏感目标产生一定影响，在采取本次环评提出的噪声及大气污染防治措施后，对周边敏感目标的影响可降至最低。施工结束后，恢复为原地类。</w:t>
      </w:r>
    </w:p>
    <w:p w:rsidR="002A5A5E" w:rsidRPr="00F9522B" w:rsidRDefault="00611CBA">
      <w:pPr>
        <w:widowControl/>
        <w:spacing w:line="360" w:lineRule="auto"/>
        <w:ind w:firstLineChars="200" w:firstLine="480"/>
        <w:textAlignment w:val="baseline"/>
        <w:rPr>
          <w:rFonts w:eastAsiaTheme="minorEastAsia"/>
          <w:sz w:val="24"/>
        </w:rPr>
      </w:pPr>
      <w:r w:rsidRPr="00F9522B">
        <w:rPr>
          <w:rFonts w:eastAsiaTheme="minorEastAsia"/>
          <w:sz w:val="24"/>
        </w:rPr>
        <w:t>项目施工人员均雇佣附近居民，生活区依托附近民房，施工生活区选址可行。</w:t>
      </w:r>
    </w:p>
    <w:p w:rsidR="002A5A5E" w:rsidRPr="00F9522B" w:rsidRDefault="00611CBA">
      <w:pPr>
        <w:widowControl/>
        <w:spacing w:line="360" w:lineRule="auto"/>
        <w:ind w:firstLineChars="200" w:firstLine="480"/>
        <w:textAlignment w:val="baseline"/>
        <w:rPr>
          <w:rFonts w:eastAsiaTheme="minorEastAsia"/>
          <w:sz w:val="24"/>
        </w:rPr>
      </w:pPr>
      <w:r w:rsidRPr="00F9522B">
        <w:rPr>
          <w:rFonts w:eastAsiaTheme="minorEastAsia"/>
          <w:sz w:val="24"/>
        </w:rPr>
        <w:t>（</w:t>
      </w:r>
      <w:r w:rsidRPr="00F9522B">
        <w:rPr>
          <w:rFonts w:eastAsiaTheme="minorEastAsia"/>
          <w:sz w:val="24"/>
        </w:rPr>
        <w:t>3</w:t>
      </w:r>
      <w:r w:rsidRPr="00F9522B">
        <w:rPr>
          <w:rFonts w:eastAsiaTheme="minorEastAsia"/>
          <w:sz w:val="24"/>
        </w:rPr>
        <w:t>）项目取水、退水合理性</w:t>
      </w:r>
    </w:p>
    <w:p w:rsidR="00F9522B" w:rsidRPr="00F9522B" w:rsidRDefault="00F9522B">
      <w:pPr>
        <w:pStyle w:val="1120"/>
        <w:spacing w:line="360" w:lineRule="auto"/>
        <w:ind w:firstLine="480"/>
        <w:rPr>
          <w:rFonts w:ascii="Times New Roman" w:eastAsiaTheme="minorEastAsia" w:hAnsi="Times New Roman" w:cs="Times New Roman"/>
          <w:kern w:val="0"/>
          <w:sz w:val="24"/>
        </w:rPr>
      </w:pPr>
      <w:r w:rsidRPr="00F9522B">
        <w:rPr>
          <w:rFonts w:ascii="Times New Roman" w:eastAsiaTheme="minorEastAsia" w:hAnsi="Times New Roman" w:cs="Times New Roman"/>
          <w:kern w:val="0"/>
          <w:sz w:val="24"/>
        </w:rPr>
        <w:t>本项目</w:t>
      </w:r>
      <w:r w:rsidRPr="00F9522B">
        <w:rPr>
          <w:rFonts w:ascii="Times New Roman" w:eastAsiaTheme="minorEastAsia" w:hAnsi="Times New Roman" w:cs="Times New Roman"/>
          <w:kern w:val="0"/>
          <w:sz w:val="24"/>
        </w:rPr>
        <w:t>264</w:t>
      </w:r>
      <w:r w:rsidRPr="00F9522B">
        <w:rPr>
          <w:rFonts w:ascii="Times New Roman" w:eastAsiaTheme="minorEastAsia" w:hAnsi="Times New Roman" w:cs="Times New Roman"/>
          <w:kern w:val="0"/>
          <w:sz w:val="24"/>
        </w:rPr>
        <w:t>口灌溉井选址</w:t>
      </w:r>
      <w:r w:rsidRPr="00F9522B">
        <w:rPr>
          <w:rFonts w:ascii="Times New Roman" w:eastAsiaTheme="minorEastAsia" w:hAnsi="Times New Roman" w:cs="Times New Roman"/>
          <w:sz w:val="24"/>
        </w:rPr>
        <w:t>不占用饮用水源地保护区、自然保护区、世界文化和自然遗产地以及其他生态保护红线中法律法规禁止占用的区域。已取得</w:t>
      </w:r>
      <w:r w:rsidRPr="00F9522B">
        <w:rPr>
          <w:rFonts w:ascii="Times New Roman" w:eastAsiaTheme="minorEastAsia" w:hAnsi="Times New Roman" w:cs="Times New Roman"/>
          <w:snapToGrid w:val="0"/>
          <w:kern w:val="0"/>
          <w:sz w:val="24"/>
        </w:rPr>
        <w:t>《呼兰区</w:t>
      </w:r>
      <w:r w:rsidRPr="00F9522B">
        <w:rPr>
          <w:rFonts w:ascii="Times New Roman" w:eastAsiaTheme="minorEastAsia" w:hAnsi="Times New Roman" w:cs="Times New Roman"/>
          <w:snapToGrid w:val="0"/>
          <w:kern w:val="0"/>
          <w:sz w:val="24"/>
        </w:rPr>
        <w:t>2026</w:t>
      </w:r>
      <w:r w:rsidRPr="00F9522B">
        <w:rPr>
          <w:rFonts w:ascii="Times New Roman" w:eastAsiaTheme="minorEastAsia" w:hAnsi="Times New Roman" w:cs="Times New Roman"/>
          <w:snapToGrid w:val="0"/>
          <w:kern w:val="0"/>
          <w:sz w:val="24"/>
        </w:rPr>
        <w:t>年高标准农田建设项目水资源论证报告专家评审意见》</w:t>
      </w:r>
      <w:r w:rsidRPr="00F9522B">
        <w:rPr>
          <w:rFonts w:ascii="Times New Roman" w:eastAsiaTheme="minorEastAsia" w:hAnsi="Times New Roman" w:cs="Times New Roman"/>
          <w:sz w:val="24"/>
        </w:rPr>
        <w:t>，</w:t>
      </w:r>
      <w:r w:rsidR="00C055FF">
        <w:rPr>
          <w:rFonts w:ascii="Times New Roman" w:eastAsiaTheme="minorEastAsia" w:hAnsi="Times New Roman" w:cs="Times New Roman" w:hint="eastAsia"/>
          <w:sz w:val="24"/>
        </w:rPr>
        <w:t>符合</w:t>
      </w:r>
      <w:r w:rsidR="00C055FF" w:rsidRPr="00C055FF">
        <w:rPr>
          <w:rFonts w:ascii="Times New Roman" w:eastAsiaTheme="minorEastAsia" w:hAnsi="Times New Roman" w:cs="Times New Roman"/>
          <w:sz w:val="24"/>
        </w:rPr>
        <w:t>《哈尔滨市国土空间总体规划》，</w:t>
      </w:r>
      <w:r w:rsidRPr="00F9522B">
        <w:rPr>
          <w:rFonts w:ascii="Times New Roman" w:eastAsiaTheme="minorEastAsia" w:hAnsi="Times New Roman" w:cs="Times New Roman"/>
          <w:sz w:val="24"/>
        </w:rPr>
        <w:t>选址合理。</w:t>
      </w:r>
    </w:p>
    <w:p w:rsidR="002A5A5E" w:rsidRPr="00F9522B" w:rsidRDefault="00611CBA" w:rsidP="00F9522B">
      <w:pPr>
        <w:pStyle w:val="1120"/>
        <w:spacing w:line="360" w:lineRule="auto"/>
        <w:ind w:firstLine="480"/>
        <w:rPr>
          <w:rFonts w:ascii="Times New Roman" w:eastAsiaTheme="minorEastAsia" w:hAnsi="Times New Roman" w:cs="Times New Roman"/>
          <w:kern w:val="0"/>
          <w:sz w:val="24"/>
        </w:rPr>
      </w:pPr>
      <w:r w:rsidRPr="00F9522B">
        <w:rPr>
          <w:rFonts w:ascii="Times New Roman" w:eastAsiaTheme="minorEastAsia" w:hAnsi="Times New Roman" w:cs="Times New Roman"/>
          <w:kern w:val="0"/>
          <w:sz w:val="24"/>
        </w:rPr>
        <w:t>项目区</w:t>
      </w:r>
      <w:r w:rsidR="00B5574E">
        <w:rPr>
          <w:rFonts w:ascii="Times New Roman" w:eastAsiaTheme="minorEastAsia" w:hAnsi="Times New Roman" w:cs="Times New Roman"/>
          <w:kern w:val="0"/>
          <w:sz w:val="24"/>
        </w:rPr>
        <w:t>现有</w:t>
      </w:r>
      <w:r w:rsidRPr="00F9522B">
        <w:rPr>
          <w:rFonts w:ascii="Times New Roman" w:eastAsiaTheme="minorEastAsia" w:hAnsi="Times New Roman" w:cs="Times New Roman"/>
          <w:sz w:val="24"/>
        </w:rPr>
        <w:t>水田利用现有地</w:t>
      </w:r>
      <w:r w:rsidR="00C233E7" w:rsidRPr="00F9522B">
        <w:rPr>
          <w:rFonts w:ascii="Times New Roman" w:eastAsiaTheme="minorEastAsia" w:hAnsi="Times New Roman" w:cs="Times New Roman"/>
          <w:sz w:val="24"/>
        </w:rPr>
        <w:t>下水灌溉设施，无地表水取水口，退水口利用现有。</w:t>
      </w:r>
      <w:r w:rsidRPr="00F9522B">
        <w:rPr>
          <w:rFonts w:ascii="Times New Roman" w:eastAsiaTheme="minorEastAsia" w:hAnsi="Times New Roman" w:cs="Times New Roman"/>
          <w:sz w:val="24"/>
          <w:szCs w:val="21"/>
        </w:rPr>
        <w:t>本项目实施后，不新增水田面积</w:t>
      </w:r>
      <w:r w:rsidRPr="00F9522B">
        <w:rPr>
          <w:rFonts w:ascii="Times New Roman" w:eastAsiaTheme="minorEastAsia" w:hAnsi="Times New Roman" w:cs="Times New Roman"/>
          <w:kern w:val="0"/>
          <w:sz w:val="24"/>
        </w:rPr>
        <w:t>。</w:t>
      </w:r>
      <w:r w:rsidR="00F9522B" w:rsidRPr="00F9522B">
        <w:rPr>
          <w:rFonts w:ascii="Times New Roman" w:eastAsiaTheme="minorEastAsia" w:hAnsi="Times New Roman" w:cs="Times New Roman"/>
          <w:color w:val="auto"/>
          <w:kern w:val="0"/>
          <w:sz w:val="24"/>
        </w:rPr>
        <w:t>项目区排水工程已基本形成规模，项目区西</w:t>
      </w:r>
      <w:r w:rsidR="00142C81" w:rsidRPr="00F9522B">
        <w:rPr>
          <w:rFonts w:ascii="Times New Roman" w:eastAsiaTheme="minorEastAsia" w:hAnsi="Times New Roman" w:cs="Times New Roman"/>
          <w:color w:val="auto"/>
          <w:kern w:val="0"/>
          <w:sz w:val="24"/>
        </w:rPr>
        <w:t>排水通过原有沟汇入公家沟，设有</w:t>
      </w:r>
      <w:r w:rsidR="00142C81" w:rsidRPr="00F9522B">
        <w:rPr>
          <w:rFonts w:ascii="Times New Roman" w:eastAsiaTheme="minorEastAsia" w:hAnsi="Times New Roman" w:cs="Times New Roman"/>
          <w:color w:val="auto"/>
          <w:kern w:val="0"/>
          <w:sz w:val="24"/>
        </w:rPr>
        <w:t>3</w:t>
      </w:r>
      <w:r w:rsidR="00142C81" w:rsidRPr="00F9522B">
        <w:rPr>
          <w:rFonts w:ascii="Times New Roman" w:eastAsiaTheme="minorEastAsia" w:hAnsi="Times New Roman" w:cs="Times New Roman"/>
          <w:color w:val="auto"/>
          <w:kern w:val="0"/>
          <w:sz w:val="24"/>
        </w:rPr>
        <w:t>个农田退水口（农业排口），最终汇入松花江，承泄区为松花江。项目区东部排水汇入原有沟，设有</w:t>
      </w:r>
      <w:r w:rsidR="00142C81" w:rsidRPr="00F9522B">
        <w:rPr>
          <w:rFonts w:ascii="Times New Roman" w:eastAsiaTheme="minorEastAsia" w:hAnsi="Times New Roman" w:cs="Times New Roman"/>
          <w:color w:val="auto"/>
          <w:kern w:val="0"/>
          <w:sz w:val="24"/>
        </w:rPr>
        <w:t>1</w:t>
      </w:r>
      <w:r w:rsidR="00142C81" w:rsidRPr="00F9522B">
        <w:rPr>
          <w:rFonts w:ascii="Times New Roman" w:eastAsiaTheme="minorEastAsia" w:hAnsi="Times New Roman" w:cs="Times New Roman"/>
          <w:color w:val="auto"/>
          <w:kern w:val="0"/>
          <w:sz w:val="24"/>
        </w:rPr>
        <w:t>个农田退水口（农业排口），最终承泄区为漂河。</w:t>
      </w:r>
      <w:r w:rsidR="003A3E8B" w:rsidRPr="00F9522B">
        <w:rPr>
          <w:rFonts w:ascii="Times New Roman" w:eastAsiaTheme="minorEastAsia" w:hAnsi="Times New Roman" w:cs="Times New Roman"/>
          <w:color w:val="auto"/>
          <w:kern w:val="0"/>
          <w:sz w:val="24"/>
        </w:rPr>
        <w:t>项目</w:t>
      </w:r>
      <w:r w:rsidR="00142C81" w:rsidRPr="00F9522B">
        <w:rPr>
          <w:rFonts w:ascii="Times New Roman" w:eastAsiaTheme="minorEastAsia" w:hAnsi="Times New Roman" w:cs="Times New Roman"/>
          <w:color w:val="auto"/>
          <w:kern w:val="0"/>
          <w:sz w:val="24"/>
        </w:rPr>
        <w:t>片区排水承泄区为松花江及漂河。</w:t>
      </w:r>
      <w:r w:rsidR="00142C81" w:rsidRPr="00F9522B">
        <w:rPr>
          <w:rFonts w:ascii="Times New Roman" w:eastAsiaTheme="minorEastAsia" w:hAnsi="Times New Roman" w:cs="Times New Roman"/>
          <w:color w:val="auto"/>
          <w:kern w:val="0"/>
          <w:sz w:val="24"/>
          <w:highlight w:val="green"/>
        </w:rPr>
        <w:t>本项目现有入河排污口暂未进行审批登记</w:t>
      </w:r>
      <w:r w:rsidRPr="00F9522B">
        <w:rPr>
          <w:rFonts w:ascii="Times New Roman" w:eastAsiaTheme="minorEastAsia" w:hAnsi="Times New Roman" w:cs="Times New Roman"/>
          <w:color w:val="auto"/>
          <w:kern w:val="0"/>
          <w:sz w:val="24"/>
          <w:highlight w:val="green"/>
        </w:rPr>
        <w:t>。</w:t>
      </w:r>
      <w:r w:rsidRPr="00F9522B">
        <w:rPr>
          <w:rFonts w:ascii="Times New Roman" w:eastAsiaTheme="minorEastAsia" w:hAnsi="Times New Roman" w:cs="Times New Roman"/>
          <w:color w:val="auto"/>
          <w:kern w:val="0"/>
          <w:sz w:val="24"/>
        </w:rPr>
        <w:t>退水口位置见图</w:t>
      </w:r>
      <w:r w:rsidRPr="00F9522B">
        <w:rPr>
          <w:rFonts w:ascii="Times New Roman" w:eastAsiaTheme="minorEastAsia" w:hAnsi="Times New Roman" w:cs="Times New Roman"/>
          <w:color w:val="auto"/>
          <w:kern w:val="0"/>
          <w:sz w:val="24"/>
        </w:rPr>
        <w:t>4-3-1</w:t>
      </w:r>
      <w:r w:rsidRPr="00F9522B">
        <w:rPr>
          <w:rFonts w:ascii="Times New Roman" w:eastAsiaTheme="minorEastAsia" w:hAnsi="Times New Roman" w:cs="Times New Roman"/>
          <w:color w:val="auto"/>
          <w:kern w:val="0"/>
          <w:sz w:val="24"/>
        </w:rPr>
        <w:t>。</w:t>
      </w:r>
    </w:p>
    <w:p w:rsidR="002A5A5E" w:rsidRPr="00F9522B" w:rsidRDefault="00611CBA">
      <w:pPr>
        <w:spacing w:line="360" w:lineRule="auto"/>
        <w:ind w:firstLineChars="200" w:firstLine="480"/>
        <w:contextualSpacing/>
        <w:rPr>
          <w:rFonts w:eastAsiaTheme="minorEastAsia"/>
          <w:snapToGrid w:val="0"/>
          <w:sz w:val="24"/>
        </w:rPr>
      </w:pPr>
      <w:r w:rsidRPr="00F9522B">
        <w:rPr>
          <w:rFonts w:eastAsiaTheme="minorEastAsia"/>
          <w:sz w:val="24"/>
        </w:rPr>
        <w:lastRenderedPageBreak/>
        <w:t>根据黑龙江省生态环境分区管控数据应用平台出具的《</w:t>
      </w:r>
      <w:r w:rsidR="003A7922" w:rsidRPr="00F9522B">
        <w:rPr>
          <w:rFonts w:eastAsiaTheme="minorEastAsia"/>
          <w:sz w:val="24"/>
        </w:rPr>
        <w:t>呼兰区</w:t>
      </w:r>
      <w:r w:rsidR="003A7922" w:rsidRPr="00F9522B">
        <w:rPr>
          <w:rFonts w:eastAsiaTheme="minorEastAsia"/>
          <w:sz w:val="24"/>
        </w:rPr>
        <w:t>2026</w:t>
      </w:r>
      <w:r w:rsidR="003A7922" w:rsidRPr="00F9522B">
        <w:rPr>
          <w:rFonts w:eastAsiaTheme="minorEastAsia"/>
          <w:sz w:val="24"/>
        </w:rPr>
        <w:t>年高标准农田建设项目</w:t>
      </w:r>
      <w:r w:rsidRPr="00F9522B">
        <w:rPr>
          <w:rFonts w:eastAsiaTheme="minorEastAsia"/>
          <w:sz w:val="24"/>
        </w:rPr>
        <w:t>生态环境分区管控分析报告》可见，本项目工程占地及生态评价范围不涉及生态保护红线、</w:t>
      </w:r>
      <w:r w:rsidRPr="00F9522B">
        <w:rPr>
          <w:rFonts w:eastAsiaTheme="minorEastAsia"/>
          <w:snapToGrid w:val="0"/>
          <w:sz w:val="24"/>
        </w:rPr>
        <w:t>国家、省、市重点保护文物、濒危珍稀动植物、森林公园、地质公园、天然林、公益林等生态保护目标。</w:t>
      </w:r>
    </w:p>
    <w:p w:rsidR="002A5A5E" w:rsidRPr="00F9522B" w:rsidRDefault="00611CBA">
      <w:pPr>
        <w:spacing w:line="360" w:lineRule="auto"/>
        <w:ind w:firstLineChars="200" w:firstLine="480"/>
        <w:contextualSpacing/>
        <w:rPr>
          <w:rFonts w:eastAsiaTheme="minorEastAsia"/>
          <w:snapToGrid w:val="0"/>
          <w:sz w:val="24"/>
        </w:rPr>
      </w:pPr>
      <w:r w:rsidRPr="00F9522B">
        <w:rPr>
          <w:rFonts w:eastAsiaTheme="minorEastAsia"/>
          <w:snapToGrid w:val="0"/>
          <w:sz w:val="24"/>
        </w:rPr>
        <w:t>根据</w:t>
      </w:r>
      <w:r w:rsidRPr="00F9522B">
        <w:rPr>
          <w:rFonts w:eastAsiaTheme="minorEastAsia"/>
          <w:sz w:val="24"/>
        </w:rPr>
        <w:t>已批复</w:t>
      </w:r>
      <w:r w:rsidRPr="00F9522B">
        <w:rPr>
          <w:rFonts w:eastAsiaTheme="minorEastAsia"/>
          <w:snapToGrid w:val="0"/>
          <w:sz w:val="24"/>
        </w:rPr>
        <w:t>《</w:t>
      </w:r>
      <w:r w:rsidR="003A7922" w:rsidRPr="00F9522B">
        <w:rPr>
          <w:rFonts w:eastAsiaTheme="minorEastAsia"/>
          <w:snapToGrid w:val="0"/>
          <w:sz w:val="24"/>
        </w:rPr>
        <w:t>呼兰区</w:t>
      </w:r>
      <w:r w:rsidR="003A7922" w:rsidRPr="00F9522B">
        <w:rPr>
          <w:rFonts w:eastAsiaTheme="minorEastAsia"/>
          <w:snapToGrid w:val="0"/>
          <w:sz w:val="24"/>
        </w:rPr>
        <w:t>2026</w:t>
      </w:r>
      <w:r w:rsidR="003A7922" w:rsidRPr="00F9522B">
        <w:rPr>
          <w:rFonts w:eastAsiaTheme="minorEastAsia"/>
          <w:snapToGrid w:val="0"/>
          <w:sz w:val="24"/>
        </w:rPr>
        <w:t>年高标准农田建设项目</w:t>
      </w:r>
      <w:r w:rsidRPr="00F9522B">
        <w:rPr>
          <w:rFonts w:eastAsiaTheme="minorEastAsia"/>
          <w:snapToGrid w:val="0"/>
          <w:sz w:val="24"/>
        </w:rPr>
        <w:t>水资源论证报告书》可知，本项目井群地下水开采水位影响范围最大为</w:t>
      </w:r>
      <w:r w:rsidR="00C233E7" w:rsidRPr="00F9522B">
        <w:rPr>
          <w:rFonts w:eastAsiaTheme="minorEastAsia"/>
          <w:snapToGrid w:val="0"/>
          <w:sz w:val="24"/>
        </w:rPr>
        <w:t>66</w:t>
      </w:r>
      <w:r w:rsidRPr="00F9522B">
        <w:rPr>
          <w:rFonts w:eastAsiaTheme="minorEastAsia"/>
          <w:snapToGrid w:val="0"/>
          <w:sz w:val="24"/>
        </w:rPr>
        <w:t>m</w:t>
      </w:r>
      <w:r w:rsidRPr="00F9522B">
        <w:rPr>
          <w:rFonts w:eastAsiaTheme="minorEastAsia"/>
          <w:snapToGrid w:val="0"/>
          <w:sz w:val="24"/>
        </w:rPr>
        <w:t>，经调查，地下水水位影响范围内未分布天然林、公益林、湿地等生态保护目标。本项目现有退水路线不涉及重要水生生物的自然产卵场、索饵场、越冬场和洄游通道。</w:t>
      </w:r>
    </w:p>
    <w:p w:rsidR="002A5A5E" w:rsidRPr="00F9522B" w:rsidRDefault="00160559">
      <w:pPr>
        <w:spacing w:line="360" w:lineRule="auto"/>
        <w:ind w:firstLineChars="200" w:firstLine="480"/>
        <w:contextualSpacing/>
        <w:rPr>
          <w:rFonts w:eastAsiaTheme="minorEastAsia"/>
          <w:snapToGrid w:val="0"/>
          <w:sz w:val="24"/>
        </w:rPr>
      </w:pPr>
      <w:r w:rsidRPr="00F9522B">
        <w:rPr>
          <w:rFonts w:eastAsiaTheme="minorEastAsia"/>
          <w:snapToGrid w:val="0"/>
          <w:sz w:val="24"/>
        </w:rPr>
        <w:t>本项目现有公家沟农田退水口距离黑龙江呼兰河口湿地省级自然保护区约</w:t>
      </w:r>
      <w:r w:rsidRPr="00F9522B">
        <w:rPr>
          <w:rFonts w:eastAsiaTheme="minorEastAsia"/>
          <w:snapToGrid w:val="0"/>
          <w:color w:val="FF0000"/>
          <w:sz w:val="24"/>
        </w:rPr>
        <w:t>2</w:t>
      </w:r>
      <w:r w:rsidR="00C50480" w:rsidRPr="00F9522B">
        <w:rPr>
          <w:rFonts w:eastAsiaTheme="minorEastAsia"/>
          <w:snapToGrid w:val="0"/>
          <w:color w:val="FF0000"/>
          <w:sz w:val="24"/>
        </w:rPr>
        <w:t>5</w:t>
      </w:r>
      <w:r w:rsidRPr="00F9522B">
        <w:rPr>
          <w:rFonts w:eastAsiaTheme="minorEastAsia"/>
          <w:snapToGrid w:val="0"/>
          <w:color w:val="FF0000"/>
          <w:sz w:val="24"/>
        </w:rPr>
        <w:t>m</w:t>
      </w:r>
      <w:r w:rsidR="00611CBA" w:rsidRPr="00F9522B">
        <w:rPr>
          <w:rFonts w:eastAsiaTheme="minorEastAsia"/>
          <w:snapToGrid w:val="0"/>
          <w:color w:val="FF0000"/>
          <w:sz w:val="24"/>
        </w:rPr>
        <w:t>。</w:t>
      </w:r>
      <w:r w:rsidR="00611CBA" w:rsidRPr="00F9522B">
        <w:rPr>
          <w:rFonts w:eastAsiaTheme="minorEastAsia"/>
          <w:snapToGrid w:val="0"/>
          <w:sz w:val="24"/>
        </w:rPr>
        <w:t>位置关系图见</w:t>
      </w:r>
      <w:r w:rsidR="00611CBA" w:rsidRPr="00F9522B">
        <w:rPr>
          <w:rFonts w:eastAsiaTheme="minorEastAsia"/>
          <w:snapToGrid w:val="0"/>
          <w:sz w:val="24"/>
        </w:rPr>
        <w:t>2-8-1</w:t>
      </w:r>
      <w:r w:rsidR="00611CBA" w:rsidRPr="00F9522B">
        <w:rPr>
          <w:rFonts w:eastAsiaTheme="minorEastAsia"/>
          <w:snapToGrid w:val="0"/>
          <w:sz w:val="24"/>
        </w:rPr>
        <w:t>。</w:t>
      </w:r>
    </w:p>
    <w:p w:rsidR="002A5A5E" w:rsidRPr="00B5574E" w:rsidRDefault="00611CBA">
      <w:pPr>
        <w:widowControl/>
        <w:spacing w:line="360" w:lineRule="auto"/>
        <w:ind w:firstLineChars="200" w:firstLine="480"/>
        <w:rPr>
          <w:rFonts w:eastAsiaTheme="minorEastAsia"/>
          <w:color w:val="FF0000"/>
          <w:kern w:val="0"/>
          <w:sz w:val="24"/>
        </w:rPr>
      </w:pPr>
      <w:r w:rsidRPr="00F9522B">
        <w:rPr>
          <w:rFonts w:eastAsiaTheme="minorEastAsia"/>
          <w:sz w:val="24"/>
        </w:rPr>
        <w:t>项目实施后，由于灌溉水利用系数的提升、农田保水能力增强以及渠系配套系统的完善，地表水退水量减少，相应污染物入河量与现状相比也有一定程度的削减，项目建成后灌区年退水量与现状相比</w:t>
      </w:r>
      <w:r w:rsidR="004A0FF6" w:rsidRPr="00F9522B">
        <w:rPr>
          <w:rFonts w:eastAsiaTheme="minorEastAsia"/>
          <w:sz w:val="24"/>
        </w:rPr>
        <w:t>减少</w:t>
      </w:r>
      <w:r w:rsidR="004A0FF6" w:rsidRPr="00F9522B">
        <w:rPr>
          <w:rFonts w:eastAsiaTheme="minorEastAsia"/>
          <w:sz w:val="24"/>
        </w:rPr>
        <w:t>15</w:t>
      </w:r>
      <w:r w:rsidR="004A0FF6" w:rsidRPr="00F9522B">
        <w:rPr>
          <w:rFonts w:eastAsiaTheme="minorEastAsia"/>
          <w:sz w:val="24"/>
        </w:rPr>
        <w:t>万</w:t>
      </w:r>
      <w:r w:rsidRPr="00F9522B">
        <w:rPr>
          <w:rFonts w:eastAsiaTheme="minorEastAsia"/>
          <w:sz w:val="24"/>
        </w:rPr>
        <w:t>m</w:t>
      </w:r>
      <w:r w:rsidRPr="00F9522B">
        <w:rPr>
          <w:rFonts w:eastAsiaTheme="minorEastAsia"/>
          <w:sz w:val="24"/>
          <w:vertAlign w:val="superscript"/>
        </w:rPr>
        <w:t>3</w:t>
      </w:r>
      <w:r w:rsidRPr="00F9522B">
        <w:rPr>
          <w:rFonts w:eastAsiaTheme="minorEastAsia"/>
          <w:sz w:val="24"/>
        </w:rPr>
        <w:t>。</w:t>
      </w:r>
      <w:r w:rsidR="00E03AD9" w:rsidRPr="00F9522B">
        <w:rPr>
          <w:rFonts w:eastAsiaTheme="minorEastAsia"/>
          <w:bCs/>
          <w:sz w:val="24"/>
        </w:rPr>
        <w:t>COD</w:t>
      </w:r>
      <w:r w:rsidR="00E03AD9" w:rsidRPr="00F9522B">
        <w:rPr>
          <w:rFonts w:eastAsiaTheme="minorEastAsia"/>
          <w:bCs/>
          <w:sz w:val="24"/>
        </w:rPr>
        <w:t>、氨氮、总磷及总氮排放量分别减少</w:t>
      </w:r>
      <w:r w:rsidR="00E03AD9" w:rsidRPr="00F9522B">
        <w:rPr>
          <w:rFonts w:eastAsiaTheme="minorEastAsia"/>
          <w:bCs/>
          <w:sz w:val="24"/>
        </w:rPr>
        <w:t>7.905t/a</w:t>
      </w:r>
      <w:r w:rsidR="00E03AD9" w:rsidRPr="00F9522B">
        <w:rPr>
          <w:rFonts w:eastAsiaTheme="minorEastAsia"/>
          <w:bCs/>
          <w:sz w:val="24"/>
        </w:rPr>
        <w:t>、</w:t>
      </w:r>
      <w:r w:rsidR="00E03AD9" w:rsidRPr="00F9522B">
        <w:rPr>
          <w:rFonts w:eastAsiaTheme="minorEastAsia"/>
          <w:bCs/>
          <w:sz w:val="24"/>
        </w:rPr>
        <w:t>0.189t/a</w:t>
      </w:r>
      <w:r w:rsidR="00E03AD9" w:rsidRPr="00F9522B">
        <w:rPr>
          <w:rFonts w:eastAsiaTheme="minorEastAsia"/>
          <w:bCs/>
          <w:sz w:val="24"/>
        </w:rPr>
        <w:t>、</w:t>
      </w:r>
      <w:r w:rsidR="00E03AD9" w:rsidRPr="00F9522B">
        <w:rPr>
          <w:rFonts w:eastAsiaTheme="minorEastAsia"/>
          <w:bCs/>
          <w:sz w:val="24"/>
        </w:rPr>
        <w:t>0.276t/a</w:t>
      </w:r>
      <w:r w:rsidR="00E03AD9" w:rsidRPr="00F9522B">
        <w:rPr>
          <w:rFonts w:eastAsiaTheme="minorEastAsia"/>
          <w:bCs/>
          <w:sz w:val="24"/>
        </w:rPr>
        <w:t>、</w:t>
      </w:r>
      <w:r w:rsidR="00E03AD9" w:rsidRPr="00F9522B">
        <w:rPr>
          <w:rFonts w:eastAsiaTheme="minorEastAsia"/>
          <w:bCs/>
          <w:sz w:val="24"/>
        </w:rPr>
        <w:t>0.63t/a</w:t>
      </w:r>
      <w:r w:rsidRPr="00F9522B">
        <w:rPr>
          <w:rFonts w:eastAsiaTheme="minorEastAsia"/>
          <w:bCs/>
          <w:sz w:val="24"/>
        </w:rPr>
        <w:t>。</w:t>
      </w:r>
      <w:r w:rsidRPr="00F9522B">
        <w:rPr>
          <w:rFonts w:eastAsiaTheme="minorEastAsia"/>
          <w:sz w:val="24"/>
        </w:rPr>
        <w:t>有利于受纳水体</w:t>
      </w:r>
      <w:r w:rsidR="00C233E7" w:rsidRPr="00F9522B">
        <w:rPr>
          <w:rFonts w:eastAsiaTheme="minorEastAsia"/>
          <w:sz w:val="24"/>
        </w:rPr>
        <w:t>松花江</w:t>
      </w:r>
      <w:r w:rsidRPr="00F9522B">
        <w:rPr>
          <w:rFonts w:eastAsiaTheme="minorEastAsia"/>
          <w:sz w:val="24"/>
        </w:rPr>
        <w:t>、漂河及地表水环境保护目标水质的维持和改善。</w:t>
      </w:r>
      <w:r w:rsidR="00B5574E" w:rsidRPr="00B5574E">
        <w:rPr>
          <w:rFonts w:eastAsiaTheme="minorEastAsia" w:hint="eastAsia"/>
          <w:color w:val="FF0000"/>
          <w:sz w:val="24"/>
        </w:rPr>
        <w:t>利用</w:t>
      </w:r>
      <w:r w:rsidR="00B5574E" w:rsidRPr="00B5574E">
        <w:rPr>
          <w:rFonts w:eastAsiaTheme="minorEastAsia"/>
          <w:color w:val="FF0000"/>
          <w:sz w:val="24"/>
        </w:rPr>
        <w:t>现有水田退水口选址合理。</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sz w:val="24"/>
          <w:szCs w:val="22"/>
        </w:rPr>
        <w:t>本工程地表水退水影响范围内不涉及饮用水水源保护区、重点保护与珍稀水生生物的栖息地、重要水生生物的自然产卵场、自然保护区等生态保护目标。</w:t>
      </w:r>
      <w:r w:rsidR="00B5574E" w:rsidRPr="00B5574E">
        <w:rPr>
          <w:rFonts w:eastAsiaTheme="minorEastAsia"/>
          <w:color w:val="FF0000"/>
          <w:sz w:val="24"/>
          <w:szCs w:val="22"/>
        </w:rPr>
        <w:t>符合《中华人民共和国自然保护区条例》（国务院令第</w:t>
      </w:r>
      <w:r w:rsidR="00B5574E" w:rsidRPr="00B5574E">
        <w:rPr>
          <w:rFonts w:eastAsiaTheme="minorEastAsia"/>
          <w:color w:val="FF0000"/>
          <w:sz w:val="24"/>
          <w:szCs w:val="22"/>
        </w:rPr>
        <w:t xml:space="preserve"> 830 </w:t>
      </w:r>
      <w:r w:rsidR="00B5574E" w:rsidRPr="00B5574E">
        <w:rPr>
          <w:rFonts w:eastAsiaTheme="minorEastAsia"/>
          <w:color w:val="FF0000"/>
          <w:sz w:val="24"/>
          <w:szCs w:val="22"/>
        </w:rPr>
        <w:t>号，</w:t>
      </w:r>
      <w:r w:rsidR="00B5574E" w:rsidRPr="00B5574E">
        <w:rPr>
          <w:rFonts w:eastAsiaTheme="minorEastAsia"/>
          <w:color w:val="FF0000"/>
          <w:sz w:val="24"/>
          <w:szCs w:val="22"/>
        </w:rPr>
        <w:t xml:space="preserve">2026 </w:t>
      </w:r>
      <w:r w:rsidR="00B5574E" w:rsidRPr="00B5574E">
        <w:rPr>
          <w:rFonts w:eastAsiaTheme="minorEastAsia"/>
          <w:color w:val="FF0000"/>
          <w:sz w:val="24"/>
          <w:szCs w:val="22"/>
        </w:rPr>
        <w:t>年</w:t>
      </w:r>
      <w:r w:rsidR="00B5574E" w:rsidRPr="00B5574E">
        <w:rPr>
          <w:rFonts w:eastAsiaTheme="minorEastAsia"/>
          <w:color w:val="FF0000"/>
          <w:sz w:val="24"/>
          <w:szCs w:val="22"/>
        </w:rPr>
        <w:t xml:space="preserve"> 3 </w:t>
      </w:r>
      <w:r w:rsidR="00B5574E" w:rsidRPr="00B5574E">
        <w:rPr>
          <w:rFonts w:eastAsiaTheme="minorEastAsia"/>
          <w:color w:val="FF0000"/>
          <w:sz w:val="24"/>
          <w:szCs w:val="22"/>
        </w:rPr>
        <w:t>月</w:t>
      </w:r>
      <w:r w:rsidR="00B5574E" w:rsidRPr="00B5574E">
        <w:rPr>
          <w:rFonts w:eastAsiaTheme="minorEastAsia"/>
          <w:color w:val="FF0000"/>
          <w:sz w:val="24"/>
          <w:szCs w:val="22"/>
        </w:rPr>
        <w:t xml:space="preserve"> 15 </w:t>
      </w:r>
      <w:r w:rsidR="00B5574E" w:rsidRPr="00B5574E">
        <w:rPr>
          <w:rFonts w:eastAsiaTheme="minorEastAsia"/>
          <w:color w:val="FF0000"/>
          <w:sz w:val="24"/>
          <w:szCs w:val="22"/>
        </w:rPr>
        <w:t>日最新修订）、《黑龙江省湿地保护条例》要求。</w:t>
      </w:r>
      <w:r w:rsidRPr="00F9522B">
        <w:rPr>
          <w:rFonts w:eastAsiaTheme="minorEastAsia"/>
          <w:sz w:val="24"/>
        </w:rPr>
        <w:t>项目的建设可被周围环境所接受。</w:t>
      </w:r>
    </w:p>
    <w:p w:rsidR="002A5A5E" w:rsidRPr="00F9522B" w:rsidRDefault="00611CBA">
      <w:pPr>
        <w:spacing w:line="360" w:lineRule="auto"/>
        <w:jc w:val="left"/>
        <w:outlineLvl w:val="1"/>
        <w:rPr>
          <w:rFonts w:eastAsiaTheme="minorEastAsia"/>
          <w:b/>
          <w:bCs/>
          <w:kern w:val="44"/>
          <w:sz w:val="30"/>
          <w:szCs w:val="30"/>
        </w:rPr>
      </w:pPr>
      <w:bookmarkStart w:id="24" w:name="_Toc208906221"/>
      <w:r w:rsidRPr="00F9522B">
        <w:rPr>
          <w:rFonts w:eastAsiaTheme="minorEastAsia"/>
          <w:b/>
          <w:bCs/>
          <w:kern w:val="44"/>
          <w:sz w:val="30"/>
          <w:szCs w:val="30"/>
        </w:rPr>
        <w:t>1.5</w:t>
      </w:r>
      <w:r w:rsidRPr="00F9522B">
        <w:rPr>
          <w:rFonts w:eastAsiaTheme="minorEastAsia"/>
          <w:b/>
          <w:bCs/>
          <w:kern w:val="44"/>
          <w:sz w:val="30"/>
          <w:szCs w:val="30"/>
        </w:rPr>
        <w:t>关注的主要环境问题及环境影响</w:t>
      </w:r>
      <w:bookmarkEnd w:id="24"/>
    </w:p>
    <w:p w:rsidR="002A5A5E" w:rsidRPr="00F9522B" w:rsidRDefault="00611CBA">
      <w:pPr>
        <w:autoSpaceDE w:val="0"/>
        <w:autoSpaceDN w:val="0"/>
        <w:spacing w:line="360" w:lineRule="auto"/>
        <w:ind w:firstLineChars="200" w:firstLine="480"/>
        <w:jc w:val="left"/>
        <w:rPr>
          <w:rFonts w:eastAsiaTheme="minorEastAsia"/>
          <w:kern w:val="0"/>
          <w:sz w:val="24"/>
          <w:szCs w:val="21"/>
        </w:rPr>
      </w:pPr>
      <w:bookmarkStart w:id="25" w:name="_Toc479252801"/>
      <w:r w:rsidRPr="00F9522B">
        <w:rPr>
          <w:rFonts w:eastAsiaTheme="minorEastAsia"/>
          <w:kern w:val="0"/>
          <w:sz w:val="24"/>
          <w:szCs w:val="21"/>
        </w:rPr>
        <w:t>本项目属于</w:t>
      </w:r>
      <w:r w:rsidRPr="00F9522B">
        <w:rPr>
          <w:rFonts w:eastAsiaTheme="minorEastAsia"/>
          <w:sz w:val="24"/>
        </w:rPr>
        <w:t>高标准农田建设</w:t>
      </w:r>
      <w:r w:rsidRPr="00F9522B">
        <w:rPr>
          <w:rFonts w:eastAsiaTheme="minorEastAsia"/>
          <w:kern w:val="0"/>
          <w:sz w:val="24"/>
        </w:rPr>
        <w:t>，属于生态类项目，项目建</w:t>
      </w:r>
      <w:r w:rsidRPr="00F9522B">
        <w:rPr>
          <w:rFonts w:eastAsiaTheme="minorEastAsia"/>
          <w:kern w:val="0"/>
          <w:sz w:val="24"/>
          <w:szCs w:val="21"/>
        </w:rPr>
        <w:t>设运行后将减少渠道上的</w:t>
      </w:r>
      <w:r w:rsidRPr="00F9522B">
        <w:rPr>
          <w:rFonts w:eastAsiaTheme="minorEastAsia"/>
          <w:kern w:val="0"/>
          <w:sz w:val="24"/>
          <w:szCs w:val="21"/>
        </w:rPr>
        <w:t>“</w:t>
      </w:r>
      <w:r w:rsidRPr="00F9522B">
        <w:rPr>
          <w:rFonts w:eastAsiaTheme="minorEastAsia"/>
          <w:kern w:val="0"/>
          <w:sz w:val="24"/>
          <w:szCs w:val="21"/>
        </w:rPr>
        <w:t>跑、漏、冒</w:t>
      </w:r>
      <w:r w:rsidRPr="00F9522B">
        <w:rPr>
          <w:rFonts w:eastAsiaTheme="minorEastAsia"/>
          <w:kern w:val="0"/>
          <w:sz w:val="24"/>
          <w:szCs w:val="21"/>
        </w:rPr>
        <w:t>”</w:t>
      </w:r>
      <w:r w:rsidRPr="00F9522B">
        <w:rPr>
          <w:rFonts w:eastAsiaTheme="minorEastAsia"/>
          <w:kern w:val="0"/>
          <w:sz w:val="24"/>
          <w:szCs w:val="21"/>
        </w:rPr>
        <w:t>水现象，减少水田灌区取水量、退水量</w:t>
      </w:r>
      <w:r w:rsidRPr="00F9522B">
        <w:rPr>
          <w:rFonts w:eastAsiaTheme="minorEastAsia"/>
          <w:kern w:val="0"/>
          <w:sz w:val="24"/>
        </w:rPr>
        <w:t>，</w:t>
      </w:r>
      <w:r w:rsidRPr="00F9522B">
        <w:rPr>
          <w:rFonts w:eastAsiaTheme="minorEastAsia"/>
          <w:sz w:val="24"/>
        </w:rPr>
        <w:t>节约了水资源，提升水资源利用效率，可以大大完善农业生产条件、改善农业发展环境，推进现代化农田建设，提高粮食产能，保障粮食安全，</w:t>
      </w:r>
      <w:r w:rsidRPr="00F9522B">
        <w:rPr>
          <w:rFonts w:eastAsiaTheme="minorEastAsia"/>
          <w:kern w:val="0"/>
          <w:sz w:val="24"/>
        </w:rPr>
        <w:t>具有明显的环境效益与社会效益。根</w:t>
      </w:r>
      <w:r w:rsidRPr="00F9522B">
        <w:rPr>
          <w:rFonts w:eastAsiaTheme="minorEastAsia"/>
          <w:kern w:val="0"/>
          <w:sz w:val="24"/>
          <w:szCs w:val="21"/>
        </w:rPr>
        <w:t>据本项目工程特点及环境特征，关注的主要环境问题及环境影响如下：</w:t>
      </w:r>
    </w:p>
    <w:p w:rsidR="002A5A5E" w:rsidRPr="00F9522B" w:rsidRDefault="00611CBA">
      <w:pPr>
        <w:autoSpaceDE w:val="0"/>
        <w:autoSpaceDN w:val="0"/>
        <w:spacing w:line="360" w:lineRule="auto"/>
        <w:ind w:firstLineChars="200" w:firstLine="480"/>
        <w:jc w:val="left"/>
        <w:rPr>
          <w:rFonts w:eastAsiaTheme="minorEastAsia"/>
          <w:sz w:val="24"/>
        </w:rPr>
      </w:pPr>
      <w:r w:rsidRPr="00F9522B">
        <w:rPr>
          <w:rFonts w:eastAsiaTheme="minorEastAsia"/>
          <w:sz w:val="24"/>
        </w:rPr>
        <w:t>（</w:t>
      </w:r>
      <w:r w:rsidRPr="00F9522B">
        <w:rPr>
          <w:rFonts w:eastAsiaTheme="minorEastAsia"/>
          <w:sz w:val="24"/>
        </w:rPr>
        <w:t>1</w:t>
      </w:r>
      <w:r w:rsidRPr="00F9522B">
        <w:rPr>
          <w:rFonts w:eastAsiaTheme="minorEastAsia"/>
          <w:sz w:val="24"/>
        </w:rPr>
        <w:t>）现有工程</w:t>
      </w:r>
    </w:p>
    <w:p w:rsidR="002A5A5E" w:rsidRPr="00F9522B" w:rsidRDefault="00611CBA">
      <w:pPr>
        <w:autoSpaceDE w:val="0"/>
        <w:autoSpaceDN w:val="0"/>
        <w:spacing w:line="360" w:lineRule="auto"/>
        <w:ind w:firstLineChars="200" w:firstLine="480"/>
        <w:jc w:val="left"/>
        <w:rPr>
          <w:rFonts w:eastAsiaTheme="minorEastAsia"/>
          <w:sz w:val="24"/>
        </w:rPr>
      </w:pPr>
      <w:r w:rsidRPr="00F9522B">
        <w:rPr>
          <w:rFonts w:eastAsiaTheme="minorEastAsia"/>
          <w:sz w:val="24"/>
        </w:rPr>
        <w:t>通过现场调查及资料收集与分析等方法，对现有工程地表水、地下水、土壤、噪声、生态环境进行调查，得出现状主要生态环境问题，并提出以新带老措施。</w:t>
      </w:r>
    </w:p>
    <w:p w:rsidR="002A5A5E" w:rsidRPr="00F9522B" w:rsidRDefault="00611CBA">
      <w:pPr>
        <w:autoSpaceDE w:val="0"/>
        <w:autoSpaceDN w:val="0"/>
        <w:spacing w:line="360" w:lineRule="auto"/>
        <w:ind w:firstLineChars="200" w:firstLine="480"/>
        <w:jc w:val="left"/>
        <w:rPr>
          <w:rFonts w:eastAsiaTheme="minorEastAsia"/>
          <w:sz w:val="24"/>
        </w:rPr>
      </w:pPr>
      <w:r w:rsidRPr="00F9522B">
        <w:rPr>
          <w:rFonts w:eastAsiaTheme="minorEastAsia"/>
          <w:sz w:val="24"/>
        </w:rPr>
        <w:lastRenderedPageBreak/>
        <w:t>（</w:t>
      </w:r>
      <w:r w:rsidRPr="00F9522B">
        <w:rPr>
          <w:rFonts w:eastAsiaTheme="minorEastAsia"/>
          <w:sz w:val="24"/>
        </w:rPr>
        <w:t>2</w:t>
      </w:r>
      <w:r w:rsidRPr="00F9522B">
        <w:rPr>
          <w:rFonts w:eastAsiaTheme="minorEastAsia"/>
          <w:sz w:val="24"/>
        </w:rPr>
        <w:t>）陆生生态影响</w:t>
      </w:r>
    </w:p>
    <w:p w:rsidR="002A5A5E" w:rsidRPr="00F9522B" w:rsidRDefault="00760E2B">
      <w:pPr>
        <w:autoSpaceDE w:val="0"/>
        <w:autoSpaceDN w:val="0"/>
        <w:spacing w:line="360" w:lineRule="auto"/>
        <w:ind w:firstLineChars="200" w:firstLine="480"/>
        <w:jc w:val="left"/>
        <w:rPr>
          <w:rFonts w:eastAsiaTheme="minorEastAsia"/>
          <w:sz w:val="24"/>
        </w:rPr>
      </w:pPr>
      <w:r w:rsidRPr="00F9522B">
        <w:rPr>
          <w:rFonts w:eastAsiaTheme="minorEastAsia"/>
          <w:sz w:val="24"/>
        </w:rPr>
        <w:t>通过</w:t>
      </w:r>
      <w:r w:rsidR="00611CBA" w:rsidRPr="00F9522B">
        <w:rPr>
          <w:rFonts w:eastAsiaTheme="minorEastAsia"/>
          <w:sz w:val="24"/>
        </w:rPr>
        <w:t>现场调查及资料收集与分析等方法，对工程影响区域陆生生态现状进行调查与评价。分析了工程施工和运行对陆生生态影响，提出了减缓不利影响的对策和生态补偿措施、生态监测计划。</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3</w:t>
      </w:r>
      <w:r w:rsidRPr="00F9522B">
        <w:rPr>
          <w:rFonts w:ascii="Times New Roman" w:hAnsi="Times New Roman" w:cs="Times New Roman"/>
        </w:rPr>
        <w:t>）水生生态影响</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针对工程建设对评价区域水生生态环境的影响，通过现场考察及走访、鱼类</w:t>
      </w:r>
      <w:r w:rsidRPr="00F9522B">
        <w:rPr>
          <w:rFonts w:ascii="Times New Roman" w:hAnsi="Times New Roman" w:cs="Times New Roman"/>
        </w:rPr>
        <w:t>“</w:t>
      </w:r>
      <w:r w:rsidRPr="00F9522B">
        <w:rPr>
          <w:rFonts w:ascii="Times New Roman" w:hAnsi="Times New Roman" w:cs="Times New Roman"/>
        </w:rPr>
        <w:t>三场</w:t>
      </w:r>
      <w:r w:rsidRPr="00F9522B">
        <w:rPr>
          <w:rFonts w:ascii="Times New Roman" w:hAnsi="Times New Roman" w:cs="Times New Roman"/>
        </w:rPr>
        <w:t>”</w:t>
      </w:r>
      <w:r w:rsidRPr="00F9522B">
        <w:rPr>
          <w:rFonts w:ascii="Times New Roman" w:hAnsi="Times New Roman" w:cs="Times New Roman"/>
        </w:rPr>
        <w:t>调查、资料收集与分析等方法，对水生生态现状进行调查。主要包括浮游、底栖、鱼类等水生生物现状，区域水生生物种类、生物量以及鱼类</w:t>
      </w:r>
      <w:r w:rsidRPr="00F9522B">
        <w:rPr>
          <w:rFonts w:ascii="Times New Roman" w:hAnsi="Times New Roman" w:cs="Times New Roman"/>
        </w:rPr>
        <w:t>“</w:t>
      </w:r>
      <w:r w:rsidRPr="00F9522B">
        <w:rPr>
          <w:rFonts w:ascii="Times New Roman" w:hAnsi="Times New Roman" w:cs="Times New Roman"/>
        </w:rPr>
        <w:t>三场</w:t>
      </w:r>
      <w:r w:rsidRPr="00F9522B">
        <w:rPr>
          <w:rFonts w:ascii="Times New Roman" w:hAnsi="Times New Roman" w:cs="Times New Roman"/>
        </w:rPr>
        <w:t>”</w:t>
      </w:r>
      <w:r w:rsidRPr="00F9522B">
        <w:rPr>
          <w:rFonts w:ascii="Times New Roman" w:hAnsi="Times New Roman" w:cs="Times New Roman"/>
        </w:rPr>
        <w:t>分布等。对施工期、运营期水生生态进行影响分析（重点分析工程实施后对地表水承泄区、地表水环境保护目标水生生态产生的影响），并提出了减缓或消除不利影响的对策或措施；提出监测计划。</w:t>
      </w:r>
    </w:p>
    <w:p w:rsidR="002A5A5E" w:rsidRPr="00F9522B" w:rsidRDefault="00611CBA">
      <w:pPr>
        <w:pStyle w:val="aff4"/>
        <w:adjustRightInd/>
        <w:snapToGrid/>
        <w:contextualSpacing/>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4</w:t>
      </w:r>
      <w:r w:rsidRPr="00F9522B">
        <w:rPr>
          <w:rFonts w:ascii="Times New Roman" w:hAnsi="Times New Roman" w:cs="Times New Roman"/>
        </w:rPr>
        <w:t>）对地表水环境影响</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施工废水主要为生产废水和生活污水对水环境及水生生物的影响，论证水环境保护措施的可行性。</w:t>
      </w:r>
      <w:r w:rsidRPr="00804857">
        <w:rPr>
          <w:rFonts w:ascii="Times New Roman" w:hAnsi="Times New Roman" w:cs="Times New Roman"/>
          <w:color w:val="FF0000"/>
        </w:rPr>
        <w:t>重点分析运营期工程退水对地表水承泄区、地表水环境保护目标环境的影响分析，</w:t>
      </w:r>
      <w:r w:rsidRPr="00F9522B">
        <w:rPr>
          <w:rFonts w:ascii="Times New Roman" w:hAnsi="Times New Roman" w:cs="Times New Roman"/>
        </w:rPr>
        <w:t>并提出水环境保护措施并论证其可行性。运营期可减少渠道的跑冒滴漏，节约灌溉水资源，提高灌溉水利用系数，因此，本项目实施后，由于灌溉水利用系数的提升、农田保水能力增强以及渠系配套系统的完善，退水量减少，相应污染物入河量与现状相比也有一定程度的削减。有利于受纳水体</w:t>
      </w:r>
      <w:r w:rsidR="00507669" w:rsidRPr="00F9522B">
        <w:rPr>
          <w:rFonts w:ascii="Times New Roman" w:hAnsi="Times New Roman" w:cs="Times New Roman"/>
        </w:rPr>
        <w:t>松花江</w:t>
      </w:r>
      <w:r w:rsidRPr="00F9522B">
        <w:rPr>
          <w:rFonts w:ascii="Times New Roman" w:hAnsi="Times New Roman" w:cs="Times New Roman"/>
        </w:rPr>
        <w:t>及漂河、地表水环境保护目标水质的维持和改善。</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5</w:t>
      </w:r>
      <w:r w:rsidRPr="00F9522B">
        <w:rPr>
          <w:rFonts w:ascii="Times New Roman" w:hAnsi="Times New Roman" w:cs="Times New Roman"/>
        </w:rPr>
        <w:t>）对地下水环境影响</w:t>
      </w:r>
    </w:p>
    <w:p w:rsidR="002A5A5E" w:rsidRPr="00F9522B" w:rsidRDefault="00611CBA">
      <w:pPr>
        <w:pStyle w:val="aff4"/>
        <w:adjustRightInd/>
        <w:snapToGrid/>
        <w:contextualSpacing/>
        <w:jc w:val="both"/>
        <w:rPr>
          <w:rFonts w:ascii="Times New Roman" w:hAnsi="Times New Roman" w:cs="Times New Roman"/>
        </w:rPr>
      </w:pPr>
      <w:r w:rsidRPr="00804857">
        <w:rPr>
          <w:rFonts w:ascii="Times New Roman" w:hAnsi="Times New Roman" w:cs="Times New Roman"/>
          <w:color w:val="FF0000"/>
        </w:rPr>
        <w:t>运营期地下水开采对地下水资源、地下水水位</w:t>
      </w:r>
      <w:r w:rsidRPr="00F9522B">
        <w:rPr>
          <w:rFonts w:ascii="Times New Roman" w:hAnsi="Times New Roman" w:cs="Times New Roman"/>
        </w:rPr>
        <w:t>、水质、饮用水源地、居民用水、其他用水用户的影响，并提出了减缓或消除不利影响的对策或措施；提出监测计划。</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6</w:t>
      </w:r>
      <w:r w:rsidRPr="00F9522B">
        <w:rPr>
          <w:rFonts w:ascii="Times New Roman" w:hAnsi="Times New Roman" w:cs="Times New Roman"/>
        </w:rPr>
        <w:t>）对土壤环境影响</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运营期地下水开采对土壤结构、</w:t>
      </w:r>
      <w:r w:rsidRPr="00F9522B">
        <w:rPr>
          <w:rFonts w:ascii="Times New Roman" w:hAnsi="Times New Roman" w:cs="Times New Roman"/>
          <w:snapToGrid w:val="0"/>
          <w:kern w:val="0"/>
        </w:rPr>
        <w:t>盐渍化、</w:t>
      </w:r>
      <w:r w:rsidRPr="00F9522B">
        <w:rPr>
          <w:rFonts w:ascii="Times New Roman" w:hAnsi="Times New Roman" w:cs="Times New Roman"/>
        </w:rPr>
        <w:t>潜育化</w:t>
      </w:r>
      <w:r w:rsidRPr="00F9522B">
        <w:rPr>
          <w:rFonts w:ascii="Times New Roman" w:hAnsi="Times New Roman" w:cs="Times New Roman"/>
          <w:snapToGrid w:val="0"/>
          <w:kern w:val="0"/>
        </w:rPr>
        <w:t>、土壤肥力等影响</w:t>
      </w:r>
      <w:r w:rsidRPr="00F9522B">
        <w:rPr>
          <w:rFonts w:ascii="Times New Roman" w:hAnsi="Times New Roman" w:cs="Times New Roman"/>
        </w:rPr>
        <w:t>，并提出了减缓或消除不利影响的对策或措施；提出监测计划。</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7</w:t>
      </w:r>
      <w:r w:rsidRPr="00F9522B">
        <w:rPr>
          <w:rFonts w:ascii="Times New Roman" w:hAnsi="Times New Roman" w:cs="Times New Roman"/>
        </w:rPr>
        <w:t>）污染影响</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工程施工期废气主要关注施工扬尘、施工机械废气、发电机废气、</w:t>
      </w:r>
      <w:r w:rsidRPr="00804857">
        <w:rPr>
          <w:rFonts w:ascii="Times New Roman" w:hAnsi="Times New Roman" w:cs="Times New Roman"/>
          <w:color w:val="FF0000"/>
        </w:rPr>
        <w:t>清淤恶臭</w:t>
      </w:r>
      <w:r w:rsidRPr="00F9522B">
        <w:rPr>
          <w:rFonts w:ascii="Times New Roman" w:hAnsi="Times New Roman" w:cs="Times New Roman"/>
        </w:rPr>
        <w:t>对大气环境的影响及措施的有效性；施工废水及人员生活污水对附近水环境的影</w:t>
      </w:r>
      <w:r w:rsidRPr="00F9522B">
        <w:rPr>
          <w:rFonts w:ascii="Times New Roman" w:hAnsi="Times New Roman" w:cs="Times New Roman"/>
        </w:rPr>
        <w:lastRenderedPageBreak/>
        <w:t>响；施工噪声对周围环境保护目标的影响；</w:t>
      </w:r>
      <w:r w:rsidRPr="00804857">
        <w:rPr>
          <w:rFonts w:ascii="Times New Roman" w:hAnsi="Times New Roman" w:cs="Times New Roman"/>
          <w:color w:val="FF0000"/>
        </w:rPr>
        <w:t>施工期建筑垃圾、淤泥</w:t>
      </w:r>
      <w:r w:rsidR="00804857" w:rsidRPr="00804857">
        <w:rPr>
          <w:rFonts w:ascii="Times New Roman" w:hAnsi="Times New Roman" w:cs="Times New Roman" w:hint="eastAsia"/>
          <w:color w:val="FF0000"/>
        </w:rPr>
        <w:t>利用</w:t>
      </w:r>
      <w:r w:rsidR="00804857" w:rsidRPr="00804857">
        <w:rPr>
          <w:rFonts w:ascii="Times New Roman" w:hAnsi="Times New Roman" w:cs="Times New Roman"/>
          <w:color w:val="FF0000"/>
        </w:rPr>
        <w:t>或弃土合理性</w:t>
      </w:r>
      <w:r w:rsidRPr="00804857">
        <w:rPr>
          <w:rFonts w:ascii="Times New Roman" w:hAnsi="Times New Roman" w:cs="Times New Roman"/>
          <w:color w:val="FF0000"/>
        </w:rPr>
        <w:t>，</w:t>
      </w:r>
      <w:r w:rsidRPr="00F9522B">
        <w:rPr>
          <w:rFonts w:ascii="Times New Roman" w:hAnsi="Times New Roman" w:cs="Times New Roman"/>
        </w:rPr>
        <w:t>表土剥离对黑土地及基本农田的影响及对生态环境的影响。</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运营期柴油机移动泵车废气、道路车辆尾气对周围环境的影响；田间道路上农用机动车辆行驶噪声、灌溉水泵噪声等噪声对周围环保目标的影响以及对生态环境的影响。</w:t>
      </w:r>
    </w:p>
    <w:p w:rsidR="002A5A5E" w:rsidRPr="00F9522B" w:rsidRDefault="00611CBA">
      <w:pPr>
        <w:spacing w:line="360" w:lineRule="auto"/>
        <w:jc w:val="left"/>
        <w:outlineLvl w:val="1"/>
        <w:rPr>
          <w:rFonts w:eastAsiaTheme="minorEastAsia"/>
          <w:b/>
          <w:bCs/>
          <w:kern w:val="44"/>
          <w:sz w:val="30"/>
          <w:szCs w:val="30"/>
        </w:rPr>
      </w:pPr>
      <w:bookmarkStart w:id="26" w:name="_Toc208906222"/>
      <w:r w:rsidRPr="00F9522B">
        <w:rPr>
          <w:rFonts w:eastAsiaTheme="minorEastAsia"/>
          <w:b/>
          <w:bCs/>
          <w:kern w:val="44"/>
          <w:sz w:val="30"/>
          <w:szCs w:val="30"/>
        </w:rPr>
        <w:t>1.6</w:t>
      </w:r>
      <w:r w:rsidRPr="00F9522B">
        <w:rPr>
          <w:rFonts w:eastAsiaTheme="minorEastAsia"/>
          <w:b/>
          <w:bCs/>
          <w:kern w:val="44"/>
          <w:sz w:val="30"/>
          <w:szCs w:val="30"/>
        </w:rPr>
        <w:t>环境影响评价主要结论</w:t>
      </w:r>
      <w:bookmarkEnd w:id="25"/>
      <w:bookmarkEnd w:id="26"/>
    </w:p>
    <w:p w:rsidR="002A5A5E" w:rsidRPr="00F9522B" w:rsidRDefault="00611CBA">
      <w:pPr>
        <w:pStyle w:val="aff4"/>
        <w:adjustRightInd/>
        <w:snapToGrid/>
        <w:rPr>
          <w:rFonts w:ascii="Times New Roman" w:hAnsi="Times New Roman" w:cs="Times New Roman"/>
        </w:rPr>
      </w:pPr>
      <w:r w:rsidRPr="00F9522B">
        <w:rPr>
          <w:rFonts w:ascii="Times New Roman" w:hAnsi="Times New Roman" w:cs="Times New Roman"/>
        </w:rPr>
        <w:t>本项目建设符合国家相关产业政策要求，该项目的建成投产，有利于促进地区经济发展，充分发挥了资源优势，具有良好的经济效益。本评价针对高标准农田建设的特点，提出了切实可行的污染防治措施，将工程开发建设及运行对环境的影响减少到最低程度。</w:t>
      </w:r>
      <w:r w:rsidRPr="00F9522B">
        <w:rPr>
          <w:rFonts w:ascii="Times New Roman" w:hAnsi="Times New Roman" w:cs="Times New Roman"/>
          <w:szCs w:val="22"/>
        </w:rPr>
        <w:t>项目通过对环境空气、声环境、水环境、固体废物等各项环境因素有效地防治，通过加强环境管理及环境监测，最大限度的减少对环境影响。</w:t>
      </w:r>
      <w:r w:rsidRPr="00F9522B">
        <w:rPr>
          <w:rFonts w:ascii="Times New Roman" w:hAnsi="Times New Roman" w:cs="Times New Roman"/>
        </w:rPr>
        <w:t>因此，本项目的实施实现了环境效益、社会效益和经济效益相统一，符合当地的环境保护规划和经济发展规划，在做好本报告中提出的各项环保措施的前提下，从环保角度而言，项目建设可行。</w:t>
      </w:r>
    </w:p>
    <w:p w:rsidR="002A5A5E" w:rsidRPr="00F9522B" w:rsidRDefault="002A5A5E">
      <w:pPr>
        <w:widowControl/>
        <w:tabs>
          <w:tab w:val="left" w:leader="middleDot" w:pos="7371"/>
        </w:tabs>
        <w:spacing w:line="360" w:lineRule="auto"/>
        <w:jc w:val="left"/>
        <w:outlineLvl w:val="0"/>
        <w:rPr>
          <w:rFonts w:eastAsiaTheme="minorEastAsia"/>
          <w:b/>
          <w:kern w:val="0"/>
          <w:sz w:val="32"/>
          <w:szCs w:val="32"/>
        </w:rPr>
        <w:sectPr w:rsidR="002A5A5E" w:rsidRPr="00F9522B">
          <w:pgSz w:w="11906" w:h="16838"/>
          <w:pgMar w:top="1440" w:right="1800" w:bottom="1440" w:left="1800" w:header="851" w:footer="992" w:gutter="0"/>
          <w:cols w:space="425"/>
          <w:docGrid w:type="lines" w:linePitch="312"/>
        </w:sectPr>
      </w:pPr>
      <w:bookmarkStart w:id="27" w:name="_Toc479252802"/>
      <w:bookmarkEnd w:id="23"/>
    </w:p>
    <w:p w:rsidR="002A5A5E" w:rsidRPr="00F9522B" w:rsidRDefault="00611CBA">
      <w:pPr>
        <w:widowControl/>
        <w:tabs>
          <w:tab w:val="left" w:leader="middleDot" w:pos="7371"/>
        </w:tabs>
        <w:spacing w:before="100" w:beforeAutospacing="1" w:after="100" w:afterAutospacing="1"/>
        <w:jc w:val="left"/>
        <w:outlineLvl w:val="0"/>
        <w:rPr>
          <w:rFonts w:eastAsiaTheme="minorEastAsia"/>
          <w:b/>
          <w:kern w:val="0"/>
          <w:sz w:val="32"/>
          <w:szCs w:val="32"/>
        </w:rPr>
      </w:pPr>
      <w:bookmarkStart w:id="28" w:name="_Toc208906223"/>
      <w:r w:rsidRPr="00F9522B">
        <w:rPr>
          <w:rFonts w:eastAsiaTheme="minorEastAsia"/>
          <w:b/>
          <w:kern w:val="0"/>
          <w:sz w:val="32"/>
          <w:szCs w:val="32"/>
        </w:rPr>
        <w:lastRenderedPageBreak/>
        <w:t>2</w:t>
      </w:r>
      <w:r w:rsidRPr="00F9522B">
        <w:rPr>
          <w:rFonts w:eastAsiaTheme="minorEastAsia"/>
          <w:b/>
          <w:kern w:val="0"/>
          <w:sz w:val="32"/>
          <w:szCs w:val="32"/>
        </w:rPr>
        <w:t>总则</w:t>
      </w:r>
      <w:bookmarkEnd w:id="27"/>
      <w:bookmarkEnd w:id="28"/>
    </w:p>
    <w:p w:rsidR="002A5A5E" w:rsidRPr="00F9522B" w:rsidRDefault="00611CBA">
      <w:pPr>
        <w:spacing w:before="100" w:beforeAutospacing="1" w:after="100" w:afterAutospacing="1"/>
        <w:jc w:val="left"/>
        <w:outlineLvl w:val="1"/>
        <w:rPr>
          <w:rFonts w:eastAsiaTheme="minorEastAsia"/>
          <w:b/>
          <w:bCs/>
          <w:kern w:val="44"/>
          <w:sz w:val="30"/>
          <w:szCs w:val="30"/>
        </w:rPr>
      </w:pPr>
      <w:bookmarkStart w:id="29" w:name="_Toc208906224"/>
      <w:bookmarkStart w:id="30" w:name="_Toc479252803"/>
      <w:r w:rsidRPr="00F9522B">
        <w:rPr>
          <w:rFonts w:eastAsiaTheme="minorEastAsia"/>
          <w:b/>
          <w:bCs/>
          <w:kern w:val="44"/>
          <w:sz w:val="30"/>
          <w:szCs w:val="30"/>
        </w:rPr>
        <w:t>2.1</w:t>
      </w:r>
      <w:r w:rsidRPr="00F9522B">
        <w:rPr>
          <w:rFonts w:eastAsiaTheme="minorEastAsia"/>
          <w:b/>
          <w:bCs/>
          <w:kern w:val="44"/>
          <w:sz w:val="30"/>
          <w:szCs w:val="30"/>
        </w:rPr>
        <w:t>编制依据</w:t>
      </w:r>
      <w:bookmarkEnd w:id="29"/>
      <w:bookmarkEnd w:id="30"/>
    </w:p>
    <w:p w:rsidR="002A5A5E" w:rsidRPr="00F9522B" w:rsidRDefault="00611CBA">
      <w:pPr>
        <w:pStyle w:val="ab"/>
        <w:spacing w:before="100" w:beforeAutospacing="1" w:after="100" w:afterAutospacing="1"/>
        <w:outlineLvl w:val="2"/>
        <w:rPr>
          <w:rFonts w:eastAsiaTheme="minorEastAsia"/>
          <w:b/>
          <w:sz w:val="28"/>
          <w:szCs w:val="28"/>
        </w:rPr>
      </w:pPr>
      <w:bookmarkStart w:id="31" w:name="_Toc11758465"/>
      <w:r w:rsidRPr="00F9522B">
        <w:rPr>
          <w:rFonts w:eastAsiaTheme="minorEastAsia"/>
          <w:b/>
          <w:sz w:val="28"/>
          <w:szCs w:val="28"/>
        </w:rPr>
        <w:t>2.1.1</w:t>
      </w:r>
      <w:r w:rsidRPr="00F9522B">
        <w:rPr>
          <w:rFonts w:eastAsiaTheme="minorEastAsia"/>
          <w:b/>
          <w:sz w:val="28"/>
          <w:szCs w:val="28"/>
        </w:rPr>
        <w:t>相关法律、法规</w:t>
      </w:r>
      <w:bookmarkEnd w:id="31"/>
    </w:p>
    <w:p w:rsidR="002A5A5E" w:rsidRPr="00F9522B" w:rsidRDefault="00611CBA">
      <w:pPr>
        <w:spacing w:line="360" w:lineRule="auto"/>
        <w:rPr>
          <w:rFonts w:eastAsiaTheme="minorEastAsia"/>
          <w:snapToGrid w:val="0"/>
          <w:kern w:val="0"/>
          <w:sz w:val="24"/>
        </w:rPr>
      </w:pPr>
      <w:bookmarkStart w:id="32" w:name="_Toc15991627"/>
      <w:bookmarkStart w:id="33" w:name="_Toc524431281"/>
      <w:bookmarkStart w:id="34" w:name="_Toc233779584"/>
      <w:r w:rsidRPr="00F9522B">
        <w:rPr>
          <w:rFonts w:eastAsiaTheme="minorEastAsia"/>
          <w:snapToGrid w:val="0"/>
          <w:kern w:val="0"/>
          <w:sz w:val="24"/>
        </w:rPr>
        <w:t>（</w:t>
      </w:r>
      <w:r w:rsidRPr="00F9522B">
        <w:rPr>
          <w:rFonts w:eastAsiaTheme="minorEastAsia"/>
          <w:snapToGrid w:val="0"/>
          <w:kern w:val="0"/>
          <w:sz w:val="24"/>
        </w:rPr>
        <w:t>1</w:t>
      </w:r>
      <w:r w:rsidRPr="00F9522B">
        <w:rPr>
          <w:rFonts w:eastAsiaTheme="minorEastAsia"/>
          <w:snapToGrid w:val="0"/>
          <w:kern w:val="0"/>
          <w:sz w:val="24"/>
        </w:rPr>
        <w:t>）《中华人民共和国环境保护法》，</w:t>
      </w:r>
      <w:r w:rsidRPr="00F9522B">
        <w:rPr>
          <w:rFonts w:eastAsiaTheme="minorEastAsia"/>
          <w:snapToGrid w:val="0"/>
          <w:kern w:val="0"/>
          <w:sz w:val="24"/>
        </w:rPr>
        <w:t>2015</w:t>
      </w:r>
      <w:r w:rsidRPr="00F9522B">
        <w:rPr>
          <w:rFonts w:eastAsiaTheme="minorEastAsia"/>
          <w:snapToGrid w:val="0"/>
          <w:kern w:val="0"/>
          <w:sz w:val="24"/>
        </w:rPr>
        <w:t>年</w:t>
      </w:r>
      <w:r w:rsidRPr="00F9522B">
        <w:rPr>
          <w:rFonts w:eastAsiaTheme="minorEastAsia"/>
          <w:snapToGrid w:val="0"/>
          <w:kern w:val="0"/>
          <w:sz w:val="24"/>
        </w:rPr>
        <w:t>1</w:t>
      </w:r>
      <w:r w:rsidRPr="00F9522B">
        <w:rPr>
          <w:rFonts w:eastAsiaTheme="minorEastAsia"/>
          <w:snapToGrid w:val="0"/>
          <w:kern w:val="0"/>
          <w:sz w:val="24"/>
        </w:rPr>
        <w:t>月</w:t>
      </w:r>
      <w:r w:rsidRPr="00F9522B">
        <w:rPr>
          <w:rFonts w:eastAsiaTheme="minorEastAsia"/>
          <w:snapToGrid w:val="0"/>
          <w:kern w:val="0"/>
          <w:sz w:val="24"/>
        </w:rPr>
        <w:t>1</w:t>
      </w:r>
      <w:r w:rsidRPr="00F9522B">
        <w:rPr>
          <w:rFonts w:eastAsiaTheme="minorEastAsia"/>
          <w:snapToGrid w:val="0"/>
          <w:kern w:val="0"/>
          <w:sz w:val="24"/>
        </w:rPr>
        <w:t>日。</w:t>
      </w:r>
    </w:p>
    <w:p w:rsidR="002A5A5E" w:rsidRPr="00F9522B" w:rsidRDefault="00611CBA">
      <w:pPr>
        <w:spacing w:line="360" w:lineRule="auto"/>
        <w:rPr>
          <w:rFonts w:eastAsiaTheme="minorEastAsia"/>
          <w:snapToGrid w:val="0"/>
          <w:kern w:val="0"/>
          <w:sz w:val="24"/>
        </w:rPr>
      </w:pPr>
      <w:r w:rsidRPr="00F9522B">
        <w:rPr>
          <w:rFonts w:eastAsiaTheme="minorEastAsia"/>
          <w:snapToGrid w:val="0"/>
          <w:kern w:val="0"/>
          <w:sz w:val="24"/>
        </w:rPr>
        <w:t>（</w:t>
      </w:r>
      <w:r w:rsidRPr="00F9522B">
        <w:rPr>
          <w:rFonts w:eastAsiaTheme="minorEastAsia"/>
          <w:snapToGrid w:val="0"/>
          <w:kern w:val="0"/>
          <w:sz w:val="24"/>
        </w:rPr>
        <w:t>2</w:t>
      </w:r>
      <w:r w:rsidRPr="00F9522B">
        <w:rPr>
          <w:rFonts w:eastAsiaTheme="minorEastAsia"/>
          <w:snapToGrid w:val="0"/>
          <w:kern w:val="0"/>
          <w:sz w:val="24"/>
        </w:rPr>
        <w:t>）《中华人民共和国环境影响评价法》（修订），</w:t>
      </w:r>
      <w:r w:rsidRPr="00F9522B">
        <w:rPr>
          <w:rFonts w:eastAsiaTheme="minorEastAsia"/>
          <w:snapToGrid w:val="0"/>
          <w:kern w:val="0"/>
          <w:sz w:val="24"/>
        </w:rPr>
        <w:t>2018</w:t>
      </w:r>
      <w:r w:rsidRPr="00F9522B">
        <w:rPr>
          <w:rFonts w:eastAsiaTheme="minorEastAsia"/>
          <w:snapToGrid w:val="0"/>
          <w:kern w:val="0"/>
          <w:sz w:val="24"/>
        </w:rPr>
        <w:t>年</w:t>
      </w:r>
      <w:r w:rsidRPr="00F9522B">
        <w:rPr>
          <w:rFonts w:eastAsiaTheme="minorEastAsia"/>
          <w:snapToGrid w:val="0"/>
          <w:kern w:val="0"/>
          <w:sz w:val="24"/>
        </w:rPr>
        <w:t>12</w:t>
      </w:r>
      <w:r w:rsidRPr="00F9522B">
        <w:rPr>
          <w:rFonts w:eastAsiaTheme="minorEastAsia"/>
          <w:snapToGrid w:val="0"/>
          <w:kern w:val="0"/>
          <w:sz w:val="24"/>
        </w:rPr>
        <w:t>月</w:t>
      </w:r>
      <w:r w:rsidRPr="00F9522B">
        <w:rPr>
          <w:rFonts w:eastAsiaTheme="minorEastAsia"/>
          <w:snapToGrid w:val="0"/>
          <w:kern w:val="0"/>
          <w:sz w:val="24"/>
        </w:rPr>
        <w:t>29</w:t>
      </w:r>
      <w:r w:rsidRPr="00F9522B">
        <w:rPr>
          <w:rFonts w:eastAsiaTheme="minorEastAsia"/>
          <w:snapToGrid w:val="0"/>
          <w:kern w:val="0"/>
          <w:sz w:val="24"/>
        </w:rPr>
        <w:t>日。</w:t>
      </w:r>
    </w:p>
    <w:p w:rsidR="002A5A5E" w:rsidRPr="00F9522B" w:rsidRDefault="00611CBA">
      <w:pPr>
        <w:spacing w:line="360" w:lineRule="auto"/>
        <w:rPr>
          <w:rFonts w:eastAsiaTheme="minorEastAsia"/>
          <w:snapToGrid w:val="0"/>
          <w:kern w:val="0"/>
          <w:sz w:val="24"/>
        </w:rPr>
      </w:pPr>
      <w:r w:rsidRPr="00F9522B">
        <w:rPr>
          <w:rFonts w:eastAsiaTheme="minorEastAsia"/>
          <w:snapToGrid w:val="0"/>
          <w:kern w:val="0"/>
          <w:sz w:val="24"/>
        </w:rPr>
        <w:t>（</w:t>
      </w:r>
      <w:r w:rsidRPr="00F9522B">
        <w:rPr>
          <w:rFonts w:eastAsiaTheme="minorEastAsia"/>
          <w:snapToGrid w:val="0"/>
          <w:kern w:val="0"/>
          <w:sz w:val="24"/>
        </w:rPr>
        <w:t>3</w:t>
      </w:r>
      <w:r w:rsidRPr="00F9522B">
        <w:rPr>
          <w:rFonts w:eastAsiaTheme="minorEastAsia"/>
          <w:snapToGrid w:val="0"/>
          <w:kern w:val="0"/>
          <w:sz w:val="24"/>
        </w:rPr>
        <w:t>）《中华人民共和国大气污染防治法》（</w:t>
      </w:r>
      <w:r w:rsidRPr="00F9522B">
        <w:rPr>
          <w:rFonts w:eastAsiaTheme="minorEastAsia"/>
          <w:snapToGrid w:val="0"/>
          <w:kern w:val="0"/>
          <w:sz w:val="24"/>
        </w:rPr>
        <w:t>2018</w:t>
      </w:r>
      <w:r w:rsidRPr="00F9522B">
        <w:rPr>
          <w:rFonts w:eastAsiaTheme="minorEastAsia"/>
          <w:snapToGrid w:val="0"/>
          <w:kern w:val="0"/>
          <w:sz w:val="24"/>
        </w:rPr>
        <w:t>修正），</w:t>
      </w:r>
      <w:r w:rsidRPr="00F9522B">
        <w:rPr>
          <w:rFonts w:eastAsiaTheme="minorEastAsia"/>
          <w:snapToGrid w:val="0"/>
          <w:kern w:val="0"/>
          <w:sz w:val="24"/>
        </w:rPr>
        <w:t>2018</w:t>
      </w:r>
      <w:r w:rsidRPr="00F9522B">
        <w:rPr>
          <w:rFonts w:eastAsiaTheme="minorEastAsia"/>
          <w:snapToGrid w:val="0"/>
          <w:kern w:val="0"/>
          <w:sz w:val="24"/>
        </w:rPr>
        <w:t>年</w:t>
      </w:r>
      <w:r w:rsidRPr="00F9522B">
        <w:rPr>
          <w:rFonts w:eastAsiaTheme="minorEastAsia"/>
          <w:snapToGrid w:val="0"/>
          <w:kern w:val="0"/>
          <w:sz w:val="24"/>
        </w:rPr>
        <w:t>10</w:t>
      </w:r>
      <w:r w:rsidRPr="00F9522B">
        <w:rPr>
          <w:rFonts w:eastAsiaTheme="minorEastAsia"/>
          <w:snapToGrid w:val="0"/>
          <w:kern w:val="0"/>
          <w:sz w:val="24"/>
        </w:rPr>
        <w:t>月</w:t>
      </w:r>
      <w:r w:rsidRPr="00F9522B">
        <w:rPr>
          <w:rFonts w:eastAsiaTheme="minorEastAsia"/>
          <w:snapToGrid w:val="0"/>
          <w:kern w:val="0"/>
          <w:sz w:val="24"/>
        </w:rPr>
        <w:t>26</w:t>
      </w:r>
      <w:r w:rsidRPr="00F9522B">
        <w:rPr>
          <w:rFonts w:eastAsiaTheme="minorEastAsia"/>
          <w:snapToGrid w:val="0"/>
          <w:kern w:val="0"/>
          <w:sz w:val="24"/>
        </w:rPr>
        <w:t>日。</w:t>
      </w:r>
    </w:p>
    <w:p w:rsidR="002A5A5E" w:rsidRPr="00F9522B" w:rsidRDefault="00611CBA">
      <w:pPr>
        <w:spacing w:line="360" w:lineRule="auto"/>
        <w:rPr>
          <w:rFonts w:eastAsiaTheme="minorEastAsia"/>
          <w:snapToGrid w:val="0"/>
          <w:kern w:val="0"/>
          <w:sz w:val="24"/>
        </w:rPr>
      </w:pPr>
      <w:r w:rsidRPr="00F9522B">
        <w:rPr>
          <w:rFonts w:eastAsiaTheme="minorEastAsia"/>
          <w:snapToGrid w:val="0"/>
          <w:kern w:val="0"/>
          <w:sz w:val="24"/>
        </w:rPr>
        <w:t>（</w:t>
      </w:r>
      <w:r w:rsidRPr="00F9522B">
        <w:rPr>
          <w:rFonts w:eastAsiaTheme="minorEastAsia"/>
          <w:snapToGrid w:val="0"/>
          <w:kern w:val="0"/>
          <w:sz w:val="24"/>
        </w:rPr>
        <w:t>4</w:t>
      </w:r>
      <w:r w:rsidRPr="00F9522B">
        <w:rPr>
          <w:rFonts w:eastAsiaTheme="minorEastAsia"/>
          <w:snapToGrid w:val="0"/>
          <w:kern w:val="0"/>
          <w:sz w:val="24"/>
        </w:rPr>
        <w:t>）《中华人民共和国水污染防治法》，</w:t>
      </w:r>
      <w:r w:rsidRPr="00F9522B">
        <w:rPr>
          <w:rFonts w:eastAsiaTheme="minorEastAsia"/>
          <w:snapToGrid w:val="0"/>
          <w:kern w:val="0"/>
          <w:sz w:val="24"/>
        </w:rPr>
        <w:t>2018</w:t>
      </w:r>
      <w:r w:rsidRPr="00F9522B">
        <w:rPr>
          <w:rFonts w:eastAsiaTheme="minorEastAsia"/>
          <w:snapToGrid w:val="0"/>
          <w:kern w:val="0"/>
          <w:sz w:val="24"/>
        </w:rPr>
        <w:t>年</w:t>
      </w:r>
      <w:r w:rsidRPr="00F9522B">
        <w:rPr>
          <w:rFonts w:eastAsiaTheme="minorEastAsia"/>
          <w:snapToGrid w:val="0"/>
          <w:kern w:val="0"/>
          <w:sz w:val="24"/>
        </w:rPr>
        <w:t>1</w:t>
      </w:r>
      <w:r w:rsidRPr="00F9522B">
        <w:rPr>
          <w:rFonts w:eastAsiaTheme="minorEastAsia"/>
          <w:snapToGrid w:val="0"/>
          <w:kern w:val="0"/>
          <w:sz w:val="24"/>
        </w:rPr>
        <w:t>月</w:t>
      </w:r>
      <w:r w:rsidRPr="00F9522B">
        <w:rPr>
          <w:rFonts w:eastAsiaTheme="minorEastAsia"/>
          <w:snapToGrid w:val="0"/>
          <w:kern w:val="0"/>
          <w:sz w:val="24"/>
        </w:rPr>
        <w:t>1</w:t>
      </w:r>
      <w:r w:rsidRPr="00F9522B">
        <w:rPr>
          <w:rFonts w:eastAsiaTheme="minorEastAsia"/>
          <w:snapToGrid w:val="0"/>
          <w:kern w:val="0"/>
          <w:sz w:val="24"/>
        </w:rPr>
        <w:t>日。</w:t>
      </w:r>
    </w:p>
    <w:p w:rsidR="002A5A5E" w:rsidRPr="00F9522B" w:rsidRDefault="00611CBA">
      <w:pPr>
        <w:spacing w:line="360" w:lineRule="auto"/>
        <w:rPr>
          <w:rFonts w:eastAsiaTheme="minorEastAsia"/>
          <w:snapToGrid w:val="0"/>
          <w:kern w:val="0"/>
          <w:sz w:val="24"/>
        </w:rPr>
      </w:pPr>
      <w:r w:rsidRPr="00F9522B">
        <w:rPr>
          <w:rFonts w:eastAsiaTheme="minorEastAsia"/>
          <w:snapToGrid w:val="0"/>
          <w:kern w:val="0"/>
          <w:sz w:val="24"/>
        </w:rPr>
        <w:t>（</w:t>
      </w:r>
      <w:r w:rsidRPr="00F9522B">
        <w:rPr>
          <w:rFonts w:eastAsiaTheme="minorEastAsia"/>
          <w:snapToGrid w:val="0"/>
          <w:kern w:val="0"/>
          <w:sz w:val="24"/>
        </w:rPr>
        <w:t>5</w:t>
      </w:r>
      <w:r w:rsidRPr="00F9522B">
        <w:rPr>
          <w:rFonts w:eastAsiaTheme="minorEastAsia"/>
          <w:snapToGrid w:val="0"/>
          <w:kern w:val="0"/>
          <w:sz w:val="24"/>
        </w:rPr>
        <w:t>）《</w:t>
      </w:r>
      <w:r w:rsidRPr="00F9522B">
        <w:rPr>
          <w:rFonts w:eastAsiaTheme="minorEastAsia"/>
          <w:bCs/>
          <w:snapToGrid w:val="0"/>
          <w:kern w:val="0"/>
          <w:sz w:val="24"/>
        </w:rPr>
        <w:t>中华人民共和国噪声污染防治法</w:t>
      </w:r>
      <w:r w:rsidRPr="00F9522B">
        <w:rPr>
          <w:rFonts w:eastAsiaTheme="minorEastAsia"/>
          <w:snapToGrid w:val="0"/>
          <w:kern w:val="0"/>
          <w:sz w:val="24"/>
        </w:rPr>
        <w:t>》，</w:t>
      </w:r>
      <w:r w:rsidRPr="00F9522B">
        <w:rPr>
          <w:rFonts w:eastAsiaTheme="minorEastAsia"/>
          <w:snapToGrid w:val="0"/>
          <w:kern w:val="0"/>
          <w:sz w:val="24"/>
        </w:rPr>
        <w:t>2022</w:t>
      </w:r>
      <w:r w:rsidRPr="00F9522B">
        <w:rPr>
          <w:rFonts w:eastAsiaTheme="minorEastAsia"/>
          <w:snapToGrid w:val="0"/>
          <w:kern w:val="0"/>
          <w:sz w:val="24"/>
        </w:rPr>
        <w:t>年</w:t>
      </w:r>
      <w:r w:rsidRPr="00F9522B">
        <w:rPr>
          <w:rFonts w:eastAsiaTheme="minorEastAsia"/>
          <w:snapToGrid w:val="0"/>
          <w:kern w:val="0"/>
          <w:sz w:val="24"/>
        </w:rPr>
        <w:t>6</w:t>
      </w:r>
      <w:r w:rsidRPr="00F9522B">
        <w:rPr>
          <w:rFonts w:eastAsiaTheme="minorEastAsia"/>
          <w:snapToGrid w:val="0"/>
          <w:kern w:val="0"/>
          <w:sz w:val="24"/>
        </w:rPr>
        <w:t>月</w:t>
      </w:r>
      <w:r w:rsidRPr="00F9522B">
        <w:rPr>
          <w:rFonts w:eastAsiaTheme="minorEastAsia"/>
          <w:snapToGrid w:val="0"/>
          <w:kern w:val="0"/>
          <w:sz w:val="24"/>
        </w:rPr>
        <w:t>5</w:t>
      </w:r>
      <w:r w:rsidRPr="00F9522B">
        <w:rPr>
          <w:rFonts w:eastAsiaTheme="minorEastAsia"/>
          <w:snapToGrid w:val="0"/>
          <w:kern w:val="0"/>
          <w:sz w:val="24"/>
        </w:rPr>
        <w:t>日。</w:t>
      </w:r>
    </w:p>
    <w:p w:rsidR="002A5A5E" w:rsidRPr="00F9522B" w:rsidRDefault="00611CBA">
      <w:pPr>
        <w:spacing w:line="360" w:lineRule="auto"/>
        <w:rPr>
          <w:rFonts w:eastAsiaTheme="minorEastAsia"/>
          <w:snapToGrid w:val="0"/>
          <w:kern w:val="0"/>
          <w:sz w:val="24"/>
        </w:rPr>
      </w:pPr>
      <w:r w:rsidRPr="00F9522B">
        <w:rPr>
          <w:rFonts w:eastAsiaTheme="minorEastAsia"/>
          <w:snapToGrid w:val="0"/>
          <w:kern w:val="0"/>
          <w:sz w:val="24"/>
        </w:rPr>
        <w:t>（</w:t>
      </w:r>
      <w:r w:rsidRPr="00F9522B">
        <w:rPr>
          <w:rFonts w:eastAsiaTheme="minorEastAsia"/>
          <w:snapToGrid w:val="0"/>
          <w:kern w:val="0"/>
          <w:sz w:val="24"/>
        </w:rPr>
        <w:t>6</w:t>
      </w:r>
      <w:r w:rsidRPr="00F9522B">
        <w:rPr>
          <w:rFonts w:eastAsiaTheme="minorEastAsia"/>
          <w:snapToGrid w:val="0"/>
          <w:kern w:val="0"/>
          <w:sz w:val="24"/>
        </w:rPr>
        <w:t>）《中华人民共和国土壤污染防治法》，</w:t>
      </w:r>
      <w:r w:rsidRPr="00F9522B">
        <w:rPr>
          <w:rFonts w:eastAsiaTheme="minorEastAsia"/>
          <w:snapToGrid w:val="0"/>
          <w:kern w:val="0"/>
          <w:sz w:val="24"/>
        </w:rPr>
        <w:t>2019</w:t>
      </w:r>
      <w:r w:rsidRPr="00F9522B">
        <w:rPr>
          <w:rFonts w:eastAsiaTheme="minorEastAsia"/>
          <w:snapToGrid w:val="0"/>
          <w:kern w:val="0"/>
          <w:sz w:val="24"/>
        </w:rPr>
        <w:t>年</w:t>
      </w:r>
      <w:r w:rsidRPr="00F9522B">
        <w:rPr>
          <w:rFonts w:eastAsiaTheme="minorEastAsia"/>
          <w:snapToGrid w:val="0"/>
          <w:kern w:val="0"/>
          <w:sz w:val="24"/>
        </w:rPr>
        <w:t>1</w:t>
      </w:r>
      <w:r w:rsidRPr="00F9522B">
        <w:rPr>
          <w:rFonts w:eastAsiaTheme="minorEastAsia"/>
          <w:snapToGrid w:val="0"/>
          <w:kern w:val="0"/>
          <w:sz w:val="24"/>
        </w:rPr>
        <w:t>月</w:t>
      </w:r>
      <w:r w:rsidRPr="00F9522B">
        <w:rPr>
          <w:rFonts w:eastAsiaTheme="minorEastAsia"/>
          <w:snapToGrid w:val="0"/>
          <w:kern w:val="0"/>
          <w:sz w:val="24"/>
        </w:rPr>
        <w:t>1</w:t>
      </w:r>
      <w:r w:rsidRPr="00F9522B">
        <w:rPr>
          <w:rFonts w:eastAsiaTheme="minorEastAsia"/>
          <w:snapToGrid w:val="0"/>
          <w:kern w:val="0"/>
          <w:sz w:val="24"/>
        </w:rPr>
        <w:t>日。</w:t>
      </w:r>
    </w:p>
    <w:p w:rsidR="002A5A5E" w:rsidRPr="00F9522B" w:rsidRDefault="00611CBA">
      <w:pPr>
        <w:spacing w:line="360" w:lineRule="auto"/>
        <w:rPr>
          <w:rFonts w:eastAsiaTheme="minorEastAsia"/>
          <w:snapToGrid w:val="0"/>
          <w:kern w:val="0"/>
          <w:sz w:val="24"/>
        </w:rPr>
      </w:pPr>
      <w:r w:rsidRPr="00F9522B">
        <w:rPr>
          <w:rFonts w:eastAsiaTheme="minorEastAsia"/>
          <w:snapToGrid w:val="0"/>
          <w:kern w:val="0"/>
          <w:sz w:val="24"/>
        </w:rPr>
        <w:t>（</w:t>
      </w:r>
      <w:r w:rsidRPr="00F9522B">
        <w:rPr>
          <w:rFonts w:eastAsiaTheme="minorEastAsia"/>
          <w:snapToGrid w:val="0"/>
          <w:kern w:val="0"/>
          <w:sz w:val="24"/>
        </w:rPr>
        <w:t>7</w:t>
      </w:r>
      <w:r w:rsidRPr="00F9522B">
        <w:rPr>
          <w:rFonts w:eastAsiaTheme="minorEastAsia"/>
          <w:snapToGrid w:val="0"/>
          <w:kern w:val="0"/>
          <w:sz w:val="24"/>
        </w:rPr>
        <w:t>）《中华人民共和国固体废物污染环境防治法》，</w:t>
      </w:r>
      <w:r w:rsidRPr="00F9522B">
        <w:rPr>
          <w:rFonts w:eastAsiaTheme="minorEastAsia"/>
          <w:snapToGrid w:val="0"/>
          <w:kern w:val="0"/>
          <w:sz w:val="24"/>
        </w:rPr>
        <w:t>2020</w:t>
      </w:r>
      <w:r w:rsidRPr="00F9522B">
        <w:rPr>
          <w:rFonts w:eastAsiaTheme="minorEastAsia"/>
          <w:snapToGrid w:val="0"/>
          <w:kern w:val="0"/>
          <w:sz w:val="24"/>
        </w:rPr>
        <w:t>年</w:t>
      </w:r>
      <w:r w:rsidRPr="00F9522B">
        <w:rPr>
          <w:rFonts w:eastAsiaTheme="minorEastAsia"/>
          <w:snapToGrid w:val="0"/>
          <w:kern w:val="0"/>
          <w:sz w:val="24"/>
        </w:rPr>
        <w:t>9</w:t>
      </w:r>
      <w:r w:rsidRPr="00F9522B">
        <w:rPr>
          <w:rFonts w:eastAsiaTheme="minorEastAsia"/>
          <w:snapToGrid w:val="0"/>
          <w:kern w:val="0"/>
          <w:sz w:val="24"/>
        </w:rPr>
        <w:t>月</w:t>
      </w:r>
      <w:r w:rsidRPr="00F9522B">
        <w:rPr>
          <w:rFonts w:eastAsiaTheme="minorEastAsia"/>
          <w:snapToGrid w:val="0"/>
          <w:kern w:val="0"/>
          <w:sz w:val="24"/>
        </w:rPr>
        <w:t>1</w:t>
      </w:r>
      <w:r w:rsidRPr="00F9522B">
        <w:rPr>
          <w:rFonts w:eastAsiaTheme="minorEastAsia"/>
          <w:snapToGrid w:val="0"/>
          <w:kern w:val="0"/>
          <w:sz w:val="24"/>
        </w:rPr>
        <w:t>日。</w:t>
      </w:r>
    </w:p>
    <w:p w:rsidR="002A5A5E" w:rsidRPr="00F9522B" w:rsidRDefault="00611CBA">
      <w:pPr>
        <w:spacing w:line="360" w:lineRule="auto"/>
        <w:rPr>
          <w:rFonts w:eastAsiaTheme="minorEastAsia"/>
          <w:kern w:val="0"/>
          <w:sz w:val="24"/>
        </w:rPr>
      </w:pPr>
      <w:r w:rsidRPr="00F9522B">
        <w:rPr>
          <w:rFonts w:eastAsiaTheme="minorEastAsia"/>
          <w:kern w:val="0"/>
          <w:sz w:val="24"/>
        </w:rPr>
        <w:t>（</w:t>
      </w:r>
      <w:r w:rsidRPr="00F9522B">
        <w:rPr>
          <w:rFonts w:eastAsiaTheme="minorEastAsia"/>
          <w:kern w:val="0"/>
          <w:sz w:val="24"/>
        </w:rPr>
        <w:t>8</w:t>
      </w:r>
      <w:r w:rsidRPr="00F9522B">
        <w:rPr>
          <w:rFonts w:eastAsiaTheme="minorEastAsia"/>
          <w:kern w:val="0"/>
          <w:sz w:val="24"/>
        </w:rPr>
        <w:t>）《中华人民共和国土地管理法》，</w:t>
      </w:r>
      <w:r w:rsidRPr="00F9522B">
        <w:rPr>
          <w:rFonts w:eastAsiaTheme="minorEastAsia"/>
          <w:kern w:val="0"/>
          <w:sz w:val="24"/>
        </w:rPr>
        <w:t>2020.1.1</w:t>
      </w:r>
      <w:r w:rsidRPr="00F9522B">
        <w:rPr>
          <w:rFonts w:eastAsiaTheme="minorEastAsia"/>
          <w:kern w:val="0"/>
          <w:sz w:val="24"/>
        </w:rPr>
        <w:t>。</w:t>
      </w:r>
    </w:p>
    <w:p w:rsidR="002A5A5E" w:rsidRPr="00F9522B" w:rsidRDefault="00611CBA">
      <w:pPr>
        <w:spacing w:line="360" w:lineRule="auto"/>
        <w:rPr>
          <w:rFonts w:eastAsiaTheme="minorEastAsia"/>
          <w:snapToGrid w:val="0"/>
          <w:kern w:val="0"/>
          <w:sz w:val="24"/>
        </w:rPr>
      </w:pPr>
      <w:r w:rsidRPr="00F9522B">
        <w:rPr>
          <w:rFonts w:eastAsiaTheme="minorEastAsia"/>
          <w:snapToGrid w:val="0"/>
          <w:kern w:val="0"/>
          <w:sz w:val="24"/>
        </w:rPr>
        <w:t>（</w:t>
      </w:r>
      <w:r w:rsidRPr="00F9522B">
        <w:rPr>
          <w:rFonts w:eastAsiaTheme="minorEastAsia"/>
          <w:snapToGrid w:val="0"/>
          <w:kern w:val="0"/>
          <w:sz w:val="24"/>
        </w:rPr>
        <w:t>9</w:t>
      </w:r>
      <w:r w:rsidRPr="00F9522B">
        <w:rPr>
          <w:rFonts w:eastAsiaTheme="minorEastAsia"/>
          <w:snapToGrid w:val="0"/>
          <w:kern w:val="0"/>
          <w:sz w:val="24"/>
        </w:rPr>
        <w:t>）《中华人民共和国水法》，</w:t>
      </w:r>
      <w:r w:rsidRPr="00F9522B">
        <w:rPr>
          <w:rFonts w:eastAsiaTheme="minorEastAsia"/>
          <w:snapToGrid w:val="0"/>
          <w:kern w:val="0"/>
          <w:sz w:val="24"/>
        </w:rPr>
        <w:t>2016.7.2</w:t>
      </w:r>
      <w:r w:rsidRPr="00F9522B">
        <w:rPr>
          <w:rFonts w:eastAsiaTheme="minorEastAsia"/>
          <w:snapToGrid w:val="0"/>
          <w:kern w:val="0"/>
          <w:sz w:val="24"/>
        </w:rPr>
        <w:t>。</w:t>
      </w:r>
    </w:p>
    <w:p w:rsidR="002A5A5E" w:rsidRPr="00F9522B" w:rsidRDefault="00611CBA">
      <w:pPr>
        <w:spacing w:line="360" w:lineRule="auto"/>
        <w:rPr>
          <w:rFonts w:eastAsiaTheme="minorEastAsia"/>
          <w:snapToGrid w:val="0"/>
          <w:kern w:val="0"/>
          <w:sz w:val="24"/>
        </w:rPr>
      </w:pPr>
      <w:r w:rsidRPr="00F9522B">
        <w:rPr>
          <w:rFonts w:eastAsiaTheme="minorEastAsia"/>
          <w:snapToGrid w:val="0"/>
          <w:kern w:val="0"/>
          <w:sz w:val="24"/>
        </w:rPr>
        <w:t>（</w:t>
      </w:r>
      <w:r w:rsidRPr="00F9522B">
        <w:rPr>
          <w:rFonts w:eastAsiaTheme="minorEastAsia"/>
          <w:snapToGrid w:val="0"/>
          <w:kern w:val="0"/>
          <w:sz w:val="24"/>
        </w:rPr>
        <w:t>10</w:t>
      </w:r>
      <w:r w:rsidRPr="00F9522B">
        <w:rPr>
          <w:rFonts w:eastAsiaTheme="minorEastAsia"/>
          <w:snapToGrid w:val="0"/>
          <w:kern w:val="0"/>
          <w:sz w:val="24"/>
        </w:rPr>
        <w:t>）《中华人民共和国水土保持法》（</w:t>
      </w:r>
      <w:r w:rsidRPr="00F9522B">
        <w:rPr>
          <w:rFonts w:eastAsiaTheme="minorEastAsia"/>
          <w:snapToGrid w:val="0"/>
          <w:kern w:val="0"/>
          <w:sz w:val="24"/>
        </w:rPr>
        <w:t>2011.03.01</w:t>
      </w:r>
      <w:r w:rsidRPr="00F9522B">
        <w:rPr>
          <w:rFonts w:eastAsiaTheme="minorEastAsia"/>
          <w:snapToGrid w:val="0"/>
          <w:kern w:val="0"/>
          <w:sz w:val="24"/>
        </w:rPr>
        <w:t>）。</w:t>
      </w:r>
    </w:p>
    <w:p w:rsidR="002A5A5E" w:rsidRPr="00F9522B" w:rsidRDefault="00611CBA">
      <w:pPr>
        <w:spacing w:line="360" w:lineRule="auto"/>
        <w:rPr>
          <w:rFonts w:eastAsiaTheme="minorEastAsia"/>
          <w:snapToGrid w:val="0"/>
          <w:kern w:val="0"/>
          <w:sz w:val="24"/>
        </w:rPr>
      </w:pPr>
      <w:r w:rsidRPr="00F9522B">
        <w:rPr>
          <w:rFonts w:eastAsiaTheme="minorEastAsia"/>
          <w:snapToGrid w:val="0"/>
          <w:kern w:val="0"/>
          <w:sz w:val="24"/>
        </w:rPr>
        <w:t>（</w:t>
      </w:r>
      <w:r w:rsidRPr="00F9522B">
        <w:rPr>
          <w:rFonts w:eastAsiaTheme="minorEastAsia"/>
          <w:snapToGrid w:val="0"/>
          <w:kern w:val="0"/>
          <w:sz w:val="24"/>
        </w:rPr>
        <w:t>11</w:t>
      </w:r>
      <w:r w:rsidRPr="00F9522B">
        <w:rPr>
          <w:rFonts w:eastAsiaTheme="minorEastAsia"/>
          <w:snapToGrid w:val="0"/>
          <w:kern w:val="0"/>
          <w:sz w:val="24"/>
        </w:rPr>
        <w:t>）《国务院关于落实科学发展观加强环境保护的决定》，</w:t>
      </w:r>
      <w:r w:rsidRPr="00F9522B">
        <w:rPr>
          <w:rFonts w:eastAsiaTheme="minorEastAsia"/>
          <w:snapToGrid w:val="0"/>
          <w:kern w:val="0"/>
          <w:sz w:val="24"/>
        </w:rPr>
        <w:t>2005</w:t>
      </w:r>
      <w:r w:rsidRPr="00F9522B">
        <w:rPr>
          <w:rFonts w:eastAsiaTheme="minorEastAsia"/>
          <w:snapToGrid w:val="0"/>
          <w:kern w:val="0"/>
          <w:sz w:val="24"/>
        </w:rPr>
        <w:t>年</w:t>
      </w:r>
      <w:r w:rsidRPr="00F9522B">
        <w:rPr>
          <w:rFonts w:eastAsiaTheme="minorEastAsia"/>
          <w:snapToGrid w:val="0"/>
          <w:kern w:val="0"/>
          <w:sz w:val="24"/>
        </w:rPr>
        <w:t>12</w:t>
      </w:r>
      <w:r w:rsidRPr="00F9522B">
        <w:rPr>
          <w:rFonts w:eastAsiaTheme="minorEastAsia"/>
          <w:snapToGrid w:val="0"/>
          <w:kern w:val="0"/>
          <w:sz w:val="24"/>
        </w:rPr>
        <w:t>月</w:t>
      </w:r>
      <w:r w:rsidRPr="00F9522B">
        <w:rPr>
          <w:rFonts w:eastAsiaTheme="minorEastAsia"/>
          <w:snapToGrid w:val="0"/>
          <w:kern w:val="0"/>
          <w:sz w:val="24"/>
        </w:rPr>
        <w:t>3</w:t>
      </w:r>
      <w:r w:rsidRPr="00F9522B">
        <w:rPr>
          <w:rFonts w:eastAsiaTheme="minorEastAsia"/>
          <w:snapToGrid w:val="0"/>
          <w:kern w:val="0"/>
          <w:sz w:val="24"/>
        </w:rPr>
        <w:t>日（国发〔</w:t>
      </w:r>
      <w:r w:rsidRPr="00F9522B">
        <w:rPr>
          <w:rFonts w:eastAsiaTheme="minorEastAsia"/>
          <w:snapToGrid w:val="0"/>
          <w:kern w:val="0"/>
          <w:sz w:val="24"/>
        </w:rPr>
        <w:t>2005</w:t>
      </w:r>
      <w:r w:rsidRPr="00F9522B">
        <w:rPr>
          <w:rFonts w:eastAsiaTheme="minorEastAsia"/>
          <w:kern w:val="0"/>
          <w:sz w:val="24"/>
        </w:rPr>
        <w:t>〕</w:t>
      </w:r>
      <w:r w:rsidRPr="00F9522B">
        <w:rPr>
          <w:rFonts w:eastAsiaTheme="minorEastAsia"/>
          <w:snapToGrid w:val="0"/>
          <w:kern w:val="0"/>
          <w:sz w:val="24"/>
        </w:rPr>
        <w:t>39</w:t>
      </w:r>
      <w:r w:rsidRPr="00F9522B">
        <w:rPr>
          <w:rFonts w:eastAsiaTheme="minorEastAsia"/>
          <w:snapToGrid w:val="0"/>
          <w:kern w:val="0"/>
          <w:sz w:val="24"/>
        </w:rPr>
        <w:t>号）。</w:t>
      </w:r>
    </w:p>
    <w:p w:rsidR="002A5A5E" w:rsidRPr="00F9522B" w:rsidRDefault="00611CBA">
      <w:pPr>
        <w:spacing w:line="360" w:lineRule="auto"/>
        <w:rPr>
          <w:rFonts w:eastAsiaTheme="minorEastAsia"/>
          <w:snapToGrid w:val="0"/>
          <w:kern w:val="0"/>
          <w:sz w:val="24"/>
        </w:rPr>
      </w:pPr>
      <w:r w:rsidRPr="00F9522B">
        <w:rPr>
          <w:rFonts w:eastAsiaTheme="minorEastAsia"/>
          <w:snapToGrid w:val="0"/>
          <w:kern w:val="0"/>
          <w:sz w:val="24"/>
        </w:rPr>
        <w:t>（</w:t>
      </w:r>
      <w:r w:rsidRPr="00F9522B">
        <w:rPr>
          <w:rFonts w:eastAsiaTheme="minorEastAsia"/>
          <w:snapToGrid w:val="0"/>
          <w:kern w:val="0"/>
          <w:sz w:val="24"/>
        </w:rPr>
        <w:t>12</w:t>
      </w:r>
      <w:r w:rsidRPr="00F9522B">
        <w:rPr>
          <w:rFonts w:eastAsiaTheme="minorEastAsia"/>
          <w:snapToGrid w:val="0"/>
          <w:kern w:val="0"/>
          <w:sz w:val="24"/>
        </w:rPr>
        <w:t>）《空气质量持续改善行动计划》（国务院）</w:t>
      </w:r>
      <w:r w:rsidRPr="00F9522B">
        <w:rPr>
          <w:rFonts w:eastAsiaTheme="minorEastAsia"/>
          <w:snapToGrid w:val="0"/>
          <w:kern w:val="0"/>
          <w:sz w:val="24"/>
        </w:rPr>
        <w:t>2023</w:t>
      </w:r>
      <w:r w:rsidRPr="00F9522B">
        <w:rPr>
          <w:rFonts w:eastAsiaTheme="minorEastAsia"/>
          <w:snapToGrid w:val="0"/>
          <w:kern w:val="0"/>
          <w:sz w:val="24"/>
        </w:rPr>
        <w:t>年</w:t>
      </w:r>
      <w:r w:rsidRPr="00F9522B">
        <w:rPr>
          <w:rFonts w:eastAsiaTheme="minorEastAsia"/>
          <w:snapToGrid w:val="0"/>
          <w:kern w:val="0"/>
          <w:sz w:val="24"/>
        </w:rPr>
        <w:t>11</w:t>
      </w:r>
      <w:r w:rsidRPr="00F9522B">
        <w:rPr>
          <w:rFonts w:eastAsiaTheme="minorEastAsia"/>
          <w:snapToGrid w:val="0"/>
          <w:kern w:val="0"/>
          <w:sz w:val="24"/>
        </w:rPr>
        <w:t>月</w:t>
      </w:r>
      <w:r w:rsidRPr="00F9522B">
        <w:rPr>
          <w:rFonts w:eastAsiaTheme="minorEastAsia"/>
          <w:snapToGrid w:val="0"/>
          <w:kern w:val="0"/>
          <w:sz w:val="24"/>
        </w:rPr>
        <w:t>30</w:t>
      </w:r>
      <w:r w:rsidRPr="00F9522B">
        <w:rPr>
          <w:rFonts w:eastAsiaTheme="minorEastAsia"/>
          <w:snapToGrid w:val="0"/>
          <w:kern w:val="0"/>
          <w:sz w:val="24"/>
        </w:rPr>
        <w:t>日。</w:t>
      </w:r>
    </w:p>
    <w:p w:rsidR="002A5A5E" w:rsidRPr="00F9522B" w:rsidRDefault="00611CBA">
      <w:pPr>
        <w:spacing w:line="360" w:lineRule="auto"/>
        <w:rPr>
          <w:rFonts w:eastAsiaTheme="minorEastAsia"/>
          <w:snapToGrid w:val="0"/>
          <w:kern w:val="0"/>
          <w:sz w:val="24"/>
        </w:rPr>
      </w:pPr>
      <w:r w:rsidRPr="00F9522B">
        <w:rPr>
          <w:rFonts w:eastAsiaTheme="minorEastAsia"/>
          <w:snapToGrid w:val="0"/>
          <w:kern w:val="0"/>
          <w:sz w:val="24"/>
        </w:rPr>
        <w:t>（</w:t>
      </w:r>
      <w:r w:rsidRPr="00F9522B">
        <w:rPr>
          <w:rFonts w:eastAsiaTheme="minorEastAsia"/>
          <w:snapToGrid w:val="0"/>
          <w:kern w:val="0"/>
          <w:sz w:val="24"/>
        </w:rPr>
        <w:t>13</w:t>
      </w:r>
      <w:r w:rsidRPr="00F9522B">
        <w:rPr>
          <w:rFonts w:eastAsiaTheme="minorEastAsia"/>
          <w:snapToGrid w:val="0"/>
          <w:kern w:val="0"/>
          <w:sz w:val="24"/>
        </w:rPr>
        <w:t>）《水污染防治行动计划》（国务院）</w:t>
      </w:r>
      <w:r w:rsidRPr="00F9522B">
        <w:rPr>
          <w:rFonts w:eastAsiaTheme="minorEastAsia"/>
          <w:snapToGrid w:val="0"/>
          <w:kern w:val="0"/>
          <w:sz w:val="24"/>
        </w:rPr>
        <w:t>2015</w:t>
      </w:r>
      <w:r w:rsidRPr="00F9522B">
        <w:rPr>
          <w:rFonts w:eastAsiaTheme="minorEastAsia"/>
          <w:snapToGrid w:val="0"/>
          <w:kern w:val="0"/>
          <w:sz w:val="24"/>
        </w:rPr>
        <w:t>年</w:t>
      </w:r>
      <w:r w:rsidRPr="00F9522B">
        <w:rPr>
          <w:rFonts w:eastAsiaTheme="minorEastAsia"/>
          <w:snapToGrid w:val="0"/>
          <w:kern w:val="0"/>
          <w:sz w:val="24"/>
        </w:rPr>
        <w:t>4</w:t>
      </w:r>
      <w:r w:rsidRPr="00F9522B">
        <w:rPr>
          <w:rFonts w:eastAsiaTheme="minorEastAsia"/>
          <w:snapToGrid w:val="0"/>
          <w:kern w:val="0"/>
          <w:sz w:val="24"/>
        </w:rPr>
        <w:t>月</w:t>
      </w:r>
      <w:r w:rsidRPr="00F9522B">
        <w:rPr>
          <w:rFonts w:eastAsiaTheme="minorEastAsia"/>
          <w:snapToGrid w:val="0"/>
          <w:kern w:val="0"/>
          <w:sz w:val="24"/>
        </w:rPr>
        <w:t>16</w:t>
      </w:r>
      <w:r w:rsidRPr="00F9522B">
        <w:rPr>
          <w:rFonts w:eastAsiaTheme="minorEastAsia"/>
          <w:snapToGrid w:val="0"/>
          <w:kern w:val="0"/>
          <w:sz w:val="24"/>
        </w:rPr>
        <w:t>日。</w:t>
      </w:r>
    </w:p>
    <w:p w:rsidR="002A5A5E" w:rsidRPr="00F9522B" w:rsidRDefault="00611CBA">
      <w:pPr>
        <w:spacing w:line="360" w:lineRule="auto"/>
        <w:rPr>
          <w:rFonts w:eastAsiaTheme="minorEastAsia"/>
          <w:snapToGrid w:val="0"/>
          <w:kern w:val="0"/>
          <w:sz w:val="24"/>
        </w:rPr>
      </w:pPr>
      <w:r w:rsidRPr="00F9522B">
        <w:rPr>
          <w:rFonts w:eastAsiaTheme="minorEastAsia"/>
          <w:snapToGrid w:val="0"/>
          <w:kern w:val="0"/>
          <w:sz w:val="24"/>
        </w:rPr>
        <w:t>（</w:t>
      </w:r>
      <w:r w:rsidRPr="00F9522B">
        <w:rPr>
          <w:rFonts w:eastAsiaTheme="minorEastAsia"/>
          <w:snapToGrid w:val="0"/>
          <w:kern w:val="0"/>
          <w:sz w:val="24"/>
        </w:rPr>
        <w:t>14</w:t>
      </w:r>
      <w:r w:rsidRPr="00F9522B">
        <w:rPr>
          <w:rFonts w:eastAsiaTheme="minorEastAsia"/>
          <w:snapToGrid w:val="0"/>
          <w:kern w:val="0"/>
          <w:sz w:val="24"/>
        </w:rPr>
        <w:t>）《土壤污染防治行动计划》（国务院）</w:t>
      </w:r>
      <w:r w:rsidRPr="00F9522B">
        <w:rPr>
          <w:rFonts w:eastAsiaTheme="minorEastAsia"/>
          <w:snapToGrid w:val="0"/>
          <w:kern w:val="0"/>
          <w:sz w:val="24"/>
        </w:rPr>
        <w:t>2016</w:t>
      </w:r>
      <w:r w:rsidRPr="00F9522B">
        <w:rPr>
          <w:rFonts w:eastAsiaTheme="minorEastAsia"/>
          <w:snapToGrid w:val="0"/>
          <w:kern w:val="0"/>
          <w:sz w:val="24"/>
        </w:rPr>
        <w:t>年</w:t>
      </w:r>
      <w:r w:rsidRPr="00F9522B">
        <w:rPr>
          <w:rFonts w:eastAsiaTheme="minorEastAsia"/>
          <w:snapToGrid w:val="0"/>
          <w:kern w:val="0"/>
          <w:sz w:val="24"/>
        </w:rPr>
        <w:t>5</w:t>
      </w:r>
      <w:r w:rsidRPr="00F9522B">
        <w:rPr>
          <w:rFonts w:eastAsiaTheme="minorEastAsia"/>
          <w:snapToGrid w:val="0"/>
          <w:kern w:val="0"/>
          <w:sz w:val="24"/>
        </w:rPr>
        <w:t>月</w:t>
      </w:r>
      <w:r w:rsidRPr="00F9522B">
        <w:rPr>
          <w:rFonts w:eastAsiaTheme="minorEastAsia"/>
          <w:snapToGrid w:val="0"/>
          <w:kern w:val="0"/>
          <w:sz w:val="24"/>
        </w:rPr>
        <w:t>28</w:t>
      </w:r>
      <w:r w:rsidRPr="00F9522B">
        <w:rPr>
          <w:rFonts w:eastAsiaTheme="minorEastAsia"/>
          <w:snapToGrid w:val="0"/>
          <w:kern w:val="0"/>
          <w:sz w:val="24"/>
        </w:rPr>
        <w:t>日。</w:t>
      </w:r>
    </w:p>
    <w:p w:rsidR="002A5A5E" w:rsidRPr="00F9522B" w:rsidRDefault="00611CBA">
      <w:pPr>
        <w:spacing w:line="360" w:lineRule="auto"/>
        <w:contextualSpacing/>
        <w:rPr>
          <w:rFonts w:eastAsiaTheme="minorEastAsia"/>
          <w:bCs/>
          <w:snapToGrid w:val="0"/>
          <w:kern w:val="0"/>
          <w:sz w:val="24"/>
        </w:rPr>
      </w:pPr>
      <w:r w:rsidRPr="00F9522B">
        <w:rPr>
          <w:rFonts w:eastAsiaTheme="minorEastAsia"/>
          <w:bCs/>
          <w:snapToGrid w:val="0"/>
          <w:kern w:val="0"/>
          <w:sz w:val="24"/>
        </w:rPr>
        <w:t>（</w:t>
      </w:r>
      <w:r w:rsidRPr="00F9522B">
        <w:rPr>
          <w:rFonts w:eastAsiaTheme="minorEastAsia"/>
          <w:bCs/>
          <w:snapToGrid w:val="0"/>
          <w:kern w:val="0"/>
          <w:sz w:val="24"/>
        </w:rPr>
        <w:t>15</w:t>
      </w:r>
      <w:r w:rsidRPr="00F9522B">
        <w:rPr>
          <w:rFonts w:eastAsiaTheme="minorEastAsia"/>
          <w:bCs/>
          <w:snapToGrid w:val="0"/>
          <w:kern w:val="0"/>
          <w:sz w:val="24"/>
        </w:rPr>
        <w:t>）《中华人民共和国黑土地保护法》（</w:t>
      </w:r>
      <w:r w:rsidRPr="00F9522B">
        <w:rPr>
          <w:rFonts w:eastAsiaTheme="minorEastAsia"/>
          <w:bCs/>
          <w:snapToGrid w:val="0"/>
          <w:kern w:val="0"/>
          <w:sz w:val="24"/>
        </w:rPr>
        <w:t>2022</w:t>
      </w:r>
      <w:r w:rsidRPr="00F9522B">
        <w:rPr>
          <w:rFonts w:eastAsiaTheme="minorEastAsia"/>
          <w:bCs/>
          <w:snapToGrid w:val="0"/>
          <w:kern w:val="0"/>
          <w:sz w:val="24"/>
        </w:rPr>
        <w:t>年</w:t>
      </w:r>
      <w:r w:rsidRPr="00F9522B">
        <w:rPr>
          <w:rFonts w:eastAsiaTheme="minorEastAsia"/>
          <w:bCs/>
          <w:snapToGrid w:val="0"/>
          <w:kern w:val="0"/>
          <w:sz w:val="24"/>
        </w:rPr>
        <w:t>8</w:t>
      </w:r>
      <w:r w:rsidRPr="00F9522B">
        <w:rPr>
          <w:rFonts w:eastAsiaTheme="minorEastAsia"/>
          <w:bCs/>
          <w:snapToGrid w:val="0"/>
          <w:kern w:val="0"/>
          <w:sz w:val="24"/>
        </w:rPr>
        <w:t>月</w:t>
      </w:r>
      <w:r w:rsidRPr="00F9522B">
        <w:rPr>
          <w:rFonts w:eastAsiaTheme="minorEastAsia"/>
          <w:bCs/>
          <w:snapToGrid w:val="0"/>
          <w:kern w:val="0"/>
          <w:sz w:val="24"/>
        </w:rPr>
        <w:t>1</w:t>
      </w:r>
      <w:r w:rsidRPr="00F9522B">
        <w:rPr>
          <w:rFonts w:eastAsiaTheme="minorEastAsia"/>
          <w:bCs/>
          <w:snapToGrid w:val="0"/>
          <w:kern w:val="0"/>
          <w:sz w:val="24"/>
        </w:rPr>
        <w:t>日施行）。</w:t>
      </w:r>
    </w:p>
    <w:p w:rsidR="002A5A5E" w:rsidRPr="00F9522B" w:rsidRDefault="00611CBA">
      <w:pPr>
        <w:spacing w:line="360" w:lineRule="auto"/>
        <w:contextualSpacing/>
        <w:rPr>
          <w:rFonts w:eastAsiaTheme="minorEastAsia"/>
          <w:bCs/>
          <w:snapToGrid w:val="0"/>
          <w:kern w:val="0"/>
          <w:sz w:val="24"/>
        </w:rPr>
      </w:pPr>
      <w:r w:rsidRPr="00F9522B">
        <w:rPr>
          <w:rFonts w:eastAsiaTheme="minorEastAsia"/>
          <w:bCs/>
          <w:snapToGrid w:val="0"/>
          <w:kern w:val="0"/>
          <w:sz w:val="24"/>
        </w:rPr>
        <w:t>（</w:t>
      </w:r>
      <w:r w:rsidRPr="00F9522B">
        <w:rPr>
          <w:rFonts w:eastAsiaTheme="minorEastAsia"/>
          <w:bCs/>
          <w:snapToGrid w:val="0"/>
          <w:kern w:val="0"/>
          <w:sz w:val="24"/>
        </w:rPr>
        <w:t>16</w:t>
      </w:r>
      <w:r w:rsidRPr="00F9522B">
        <w:rPr>
          <w:rFonts w:eastAsiaTheme="minorEastAsia"/>
          <w:bCs/>
          <w:snapToGrid w:val="0"/>
          <w:kern w:val="0"/>
          <w:sz w:val="24"/>
        </w:rPr>
        <w:t>）</w:t>
      </w:r>
      <w:r w:rsidRPr="00F9522B">
        <w:rPr>
          <w:rFonts w:eastAsiaTheme="minorEastAsia"/>
          <w:snapToGrid w:val="0"/>
          <w:kern w:val="0"/>
          <w:sz w:val="24"/>
        </w:rPr>
        <w:t>《建设项目环境保护管理条例》，</w:t>
      </w:r>
      <w:r w:rsidRPr="00F9522B">
        <w:rPr>
          <w:rFonts w:eastAsiaTheme="minorEastAsia"/>
          <w:snapToGrid w:val="0"/>
          <w:kern w:val="0"/>
          <w:sz w:val="24"/>
        </w:rPr>
        <w:t>2017</w:t>
      </w:r>
      <w:r w:rsidRPr="00F9522B">
        <w:rPr>
          <w:rFonts w:eastAsiaTheme="minorEastAsia"/>
          <w:snapToGrid w:val="0"/>
          <w:kern w:val="0"/>
          <w:sz w:val="24"/>
        </w:rPr>
        <w:t>年</w:t>
      </w:r>
      <w:r w:rsidRPr="00F9522B">
        <w:rPr>
          <w:rFonts w:eastAsiaTheme="minorEastAsia"/>
          <w:snapToGrid w:val="0"/>
          <w:kern w:val="0"/>
          <w:sz w:val="24"/>
        </w:rPr>
        <w:t>10</w:t>
      </w:r>
      <w:r w:rsidRPr="00F9522B">
        <w:rPr>
          <w:rFonts w:eastAsiaTheme="minorEastAsia"/>
          <w:snapToGrid w:val="0"/>
          <w:kern w:val="0"/>
          <w:sz w:val="24"/>
        </w:rPr>
        <w:t>月</w:t>
      </w:r>
      <w:r w:rsidRPr="00F9522B">
        <w:rPr>
          <w:rFonts w:eastAsiaTheme="minorEastAsia"/>
          <w:snapToGrid w:val="0"/>
          <w:kern w:val="0"/>
          <w:sz w:val="24"/>
        </w:rPr>
        <w:t>1</w:t>
      </w:r>
      <w:r w:rsidRPr="00F9522B">
        <w:rPr>
          <w:rFonts w:eastAsiaTheme="minorEastAsia"/>
          <w:snapToGrid w:val="0"/>
          <w:kern w:val="0"/>
          <w:sz w:val="24"/>
        </w:rPr>
        <w:t>日（国务院第</w:t>
      </w:r>
      <w:r w:rsidRPr="00F9522B">
        <w:rPr>
          <w:rFonts w:eastAsiaTheme="minorEastAsia"/>
          <w:snapToGrid w:val="0"/>
          <w:kern w:val="0"/>
          <w:sz w:val="24"/>
        </w:rPr>
        <w:t>682</w:t>
      </w:r>
      <w:r w:rsidRPr="00F9522B">
        <w:rPr>
          <w:rFonts w:eastAsiaTheme="minorEastAsia"/>
          <w:snapToGrid w:val="0"/>
          <w:kern w:val="0"/>
          <w:sz w:val="24"/>
        </w:rPr>
        <w:t>号令）</w:t>
      </w:r>
      <w:r w:rsidRPr="00F9522B">
        <w:rPr>
          <w:rFonts w:eastAsiaTheme="minorEastAsia"/>
          <w:bCs/>
          <w:snapToGrid w:val="0"/>
          <w:kern w:val="0"/>
          <w:sz w:val="24"/>
        </w:rPr>
        <w:t>。</w:t>
      </w:r>
    </w:p>
    <w:p w:rsidR="002A5A5E" w:rsidRPr="00F9522B" w:rsidRDefault="00611CBA">
      <w:pPr>
        <w:spacing w:line="360" w:lineRule="auto"/>
        <w:contextualSpacing/>
        <w:rPr>
          <w:rFonts w:eastAsiaTheme="minorEastAsia"/>
          <w:bCs/>
          <w:snapToGrid w:val="0"/>
          <w:kern w:val="0"/>
          <w:sz w:val="24"/>
        </w:rPr>
      </w:pPr>
      <w:r w:rsidRPr="00F9522B">
        <w:rPr>
          <w:rFonts w:eastAsiaTheme="minorEastAsia"/>
          <w:bCs/>
          <w:snapToGrid w:val="0"/>
          <w:kern w:val="0"/>
          <w:sz w:val="24"/>
        </w:rPr>
        <w:t>（</w:t>
      </w:r>
      <w:r w:rsidRPr="00F9522B">
        <w:rPr>
          <w:rFonts w:eastAsiaTheme="minorEastAsia"/>
          <w:bCs/>
          <w:snapToGrid w:val="0"/>
          <w:kern w:val="0"/>
          <w:sz w:val="24"/>
        </w:rPr>
        <w:t>17</w:t>
      </w:r>
      <w:r w:rsidRPr="00F9522B">
        <w:rPr>
          <w:rFonts w:eastAsiaTheme="minorEastAsia"/>
          <w:bCs/>
          <w:snapToGrid w:val="0"/>
          <w:kern w:val="0"/>
          <w:sz w:val="24"/>
        </w:rPr>
        <w:t>）《地下水管理条例》（中华人民共和国国务院令第</w:t>
      </w:r>
      <w:r w:rsidRPr="00F9522B">
        <w:rPr>
          <w:rFonts w:eastAsiaTheme="minorEastAsia"/>
          <w:bCs/>
          <w:snapToGrid w:val="0"/>
          <w:kern w:val="0"/>
          <w:sz w:val="24"/>
        </w:rPr>
        <w:t>748</w:t>
      </w:r>
      <w:r w:rsidRPr="00F9522B">
        <w:rPr>
          <w:rFonts w:eastAsiaTheme="minorEastAsia"/>
          <w:bCs/>
          <w:snapToGrid w:val="0"/>
          <w:kern w:val="0"/>
          <w:sz w:val="24"/>
        </w:rPr>
        <w:t>号）</w:t>
      </w:r>
      <w:r w:rsidRPr="00F9522B">
        <w:rPr>
          <w:rFonts w:eastAsiaTheme="minorEastAsia"/>
          <w:bCs/>
          <w:snapToGrid w:val="0"/>
          <w:kern w:val="0"/>
          <w:sz w:val="24"/>
        </w:rPr>
        <w:t>2021.12.1</w:t>
      </w:r>
      <w:r w:rsidRPr="00F9522B">
        <w:rPr>
          <w:rFonts w:eastAsiaTheme="minorEastAsia"/>
          <w:bCs/>
          <w:snapToGrid w:val="0"/>
          <w:kern w:val="0"/>
          <w:sz w:val="24"/>
        </w:rPr>
        <w:t>。</w:t>
      </w:r>
    </w:p>
    <w:p w:rsidR="002A5A5E" w:rsidRPr="00F9522B" w:rsidRDefault="00611CBA">
      <w:pPr>
        <w:spacing w:line="360" w:lineRule="auto"/>
        <w:contextualSpacing/>
        <w:rPr>
          <w:rFonts w:eastAsiaTheme="minorEastAsia"/>
          <w:bCs/>
          <w:snapToGrid w:val="0"/>
          <w:kern w:val="0"/>
          <w:sz w:val="24"/>
        </w:rPr>
      </w:pPr>
      <w:r w:rsidRPr="00F9522B">
        <w:rPr>
          <w:rFonts w:eastAsiaTheme="minorEastAsia"/>
          <w:bCs/>
          <w:snapToGrid w:val="0"/>
          <w:kern w:val="0"/>
          <w:sz w:val="24"/>
        </w:rPr>
        <w:t>（</w:t>
      </w:r>
      <w:r w:rsidRPr="00F9522B">
        <w:rPr>
          <w:rFonts w:eastAsiaTheme="minorEastAsia"/>
          <w:bCs/>
          <w:snapToGrid w:val="0"/>
          <w:kern w:val="0"/>
          <w:sz w:val="24"/>
        </w:rPr>
        <w:t>18</w:t>
      </w:r>
      <w:r w:rsidRPr="00F9522B">
        <w:rPr>
          <w:rFonts w:eastAsiaTheme="minorEastAsia"/>
          <w:bCs/>
          <w:snapToGrid w:val="0"/>
          <w:kern w:val="0"/>
          <w:sz w:val="24"/>
        </w:rPr>
        <w:t>）《中华人民共和国森林法》（</w:t>
      </w:r>
      <w:r w:rsidRPr="00F9522B">
        <w:rPr>
          <w:rFonts w:eastAsiaTheme="minorEastAsia"/>
          <w:bCs/>
          <w:snapToGrid w:val="0"/>
          <w:kern w:val="0"/>
          <w:sz w:val="24"/>
        </w:rPr>
        <w:t>2019.12.28</w:t>
      </w:r>
      <w:r w:rsidRPr="00F9522B">
        <w:rPr>
          <w:rFonts w:eastAsiaTheme="minorEastAsia"/>
          <w:bCs/>
          <w:snapToGrid w:val="0"/>
          <w:kern w:val="0"/>
          <w:sz w:val="24"/>
        </w:rPr>
        <w:t>修订）。</w:t>
      </w:r>
    </w:p>
    <w:p w:rsidR="002A5A5E" w:rsidRDefault="00611CBA">
      <w:pPr>
        <w:spacing w:line="360" w:lineRule="auto"/>
        <w:contextualSpacing/>
        <w:rPr>
          <w:rFonts w:eastAsiaTheme="minorEastAsia"/>
          <w:bCs/>
          <w:snapToGrid w:val="0"/>
          <w:kern w:val="0"/>
          <w:sz w:val="24"/>
        </w:rPr>
      </w:pPr>
      <w:r w:rsidRPr="00F9522B">
        <w:rPr>
          <w:rFonts w:eastAsiaTheme="minorEastAsia"/>
          <w:bCs/>
          <w:snapToGrid w:val="0"/>
          <w:kern w:val="0"/>
          <w:sz w:val="24"/>
        </w:rPr>
        <w:t>（</w:t>
      </w:r>
      <w:r w:rsidRPr="00F9522B">
        <w:rPr>
          <w:rFonts w:eastAsiaTheme="minorEastAsia"/>
          <w:bCs/>
          <w:snapToGrid w:val="0"/>
          <w:kern w:val="0"/>
          <w:sz w:val="24"/>
        </w:rPr>
        <w:t>19</w:t>
      </w:r>
      <w:r w:rsidRPr="00F9522B">
        <w:rPr>
          <w:rFonts w:eastAsiaTheme="minorEastAsia"/>
          <w:bCs/>
          <w:snapToGrid w:val="0"/>
          <w:kern w:val="0"/>
          <w:sz w:val="24"/>
        </w:rPr>
        <w:t>）《中华人民共和国土地管理法》（</w:t>
      </w:r>
      <w:r w:rsidRPr="00F9522B">
        <w:rPr>
          <w:rFonts w:eastAsiaTheme="minorEastAsia"/>
          <w:bCs/>
          <w:snapToGrid w:val="0"/>
          <w:kern w:val="0"/>
          <w:sz w:val="24"/>
        </w:rPr>
        <w:t>2019.08.26</w:t>
      </w:r>
      <w:r w:rsidRPr="00F9522B">
        <w:rPr>
          <w:rFonts w:eastAsiaTheme="minorEastAsia"/>
          <w:bCs/>
          <w:snapToGrid w:val="0"/>
          <w:kern w:val="0"/>
          <w:sz w:val="24"/>
        </w:rPr>
        <w:t>修订）。</w:t>
      </w:r>
    </w:p>
    <w:p w:rsidR="00B5574E" w:rsidRPr="00B5574E" w:rsidRDefault="00B5574E">
      <w:pPr>
        <w:spacing w:line="360" w:lineRule="auto"/>
        <w:contextualSpacing/>
        <w:rPr>
          <w:rFonts w:eastAsiaTheme="minorEastAsia"/>
          <w:bCs/>
          <w:snapToGrid w:val="0"/>
          <w:color w:val="FF0000"/>
          <w:kern w:val="0"/>
          <w:sz w:val="24"/>
        </w:rPr>
      </w:pPr>
      <w:r w:rsidRPr="00B5574E">
        <w:rPr>
          <w:rFonts w:eastAsiaTheme="minorEastAsia" w:hint="eastAsia"/>
          <w:bCs/>
          <w:snapToGrid w:val="0"/>
          <w:color w:val="FF0000"/>
          <w:kern w:val="0"/>
          <w:sz w:val="24"/>
        </w:rPr>
        <w:t>（</w:t>
      </w:r>
      <w:r w:rsidRPr="00B5574E">
        <w:rPr>
          <w:rFonts w:eastAsiaTheme="minorEastAsia" w:hint="eastAsia"/>
          <w:bCs/>
          <w:snapToGrid w:val="0"/>
          <w:color w:val="FF0000"/>
          <w:kern w:val="0"/>
          <w:sz w:val="24"/>
        </w:rPr>
        <w:t>20</w:t>
      </w:r>
      <w:r w:rsidRPr="00B5574E">
        <w:rPr>
          <w:rFonts w:eastAsiaTheme="minorEastAsia" w:hint="eastAsia"/>
          <w:bCs/>
          <w:snapToGrid w:val="0"/>
          <w:color w:val="FF0000"/>
          <w:kern w:val="0"/>
          <w:sz w:val="24"/>
        </w:rPr>
        <w:t>）</w:t>
      </w:r>
      <w:r w:rsidRPr="00B5574E">
        <w:rPr>
          <w:rFonts w:eastAsiaTheme="minorEastAsia"/>
          <w:bCs/>
          <w:snapToGrid w:val="0"/>
          <w:color w:val="FF0000"/>
          <w:kern w:val="0"/>
          <w:sz w:val="24"/>
        </w:rPr>
        <w:t>《中华人民共和国自然保护区条例》（国务院令第</w:t>
      </w:r>
      <w:r w:rsidRPr="00B5574E">
        <w:rPr>
          <w:rFonts w:eastAsiaTheme="minorEastAsia"/>
          <w:bCs/>
          <w:snapToGrid w:val="0"/>
          <w:color w:val="FF0000"/>
          <w:kern w:val="0"/>
          <w:sz w:val="24"/>
        </w:rPr>
        <w:t xml:space="preserve"> 830 </w:t>
      </w:r>
      <w:r w:rsidRPr="00B5574E">
        <w:rPr>
          <w:rFonts w:eastAsiaTheme="minorEastAsia"/>
          <w:bCs/>
          <w:snapToGrid w:val="0"/>
          <w:color w:val="FF0000"/>
          <w:kern w:val="0"/>
          <w:sz w:val="24"/>
        </w:rPr>
        <w:t>号，</w:t>
      </w:r>
      <w:r w:rsidRPr="00B5574E">
        <w:rPr>
          <w:rFonts w:eastAsiaTheme="minorEastAsia"/>
          <w:bCs/>
          <w:snapToGrid w:val="0"/>
          <w:color w:val="FF0000"/>
          <w:kern w:val="0"/>
          <w:sz w:val="24"/>
        </w:rPr>
        <w:t xml:space="preserve">2026 </w:t>
      </w:r>
      <w:r w:rsidRPr="00B5574E">
        <w:rPr>
          <w:rFonts w:eastAsiaTheme="minorEastAsia"/>
          <w:bCs/>
          <w:snapToGrid w:val="0"/>
          <w:color w:val="FF0000"/>
          <w:kern w:val="0"/>
          <w:sz w:val="24"/>
        </w:rPr>
        <w:t>年</w:t>
      </w:r>
      <w:r w:rsidRPr="00B5574E">
        <w:rPr>
          <w:rFonts w:eastAsiaTheme="minorEastAsia"/>
          <w:bCs/>
          <w:snapToGrid w:val="0"/>
          <w:color w:val="FF0000"/>
          <w:kern w:val="0"/>
          <w:sz w:val="24"/>
        </w:rPr>
        <w:t xml:space="preserve"> 3 </w:t>
      </w:r>
      <w:r w:rsidRPr="00B5574E">
        <w:rPr>
          <w:rFonts w:eastAsiaTheme="minorEastAsia"/>
          <w:bCs/>
          <w:snapToGrid w:val="0"/>
          <w:color w:val="FF0000"/>
          <w:kern w:val="0"/>
          <w:sz w:val="24"/>
        </w:rPr>
        <w:t>月</w:t>
      </w:r>
      <w:r w:rsidRPr="00B5574E">
        <w:rPr>
          <w:rFonts w:eastAsiaTheme="minorEastAsia"/>
          <w:bCs/>
          <w:snapToGrid w:val="0"/>
          <w:color w:val="FF0000"/>
          <w:kern w:val="0"/>
          <w:sz w:val="24"/>
        </w:rPr>
        <w:t xml:space="preserve"> 15 </w:t>
      </w:r>
      <w:r w:rsidRPr="00B5574E">
        <w:rPr>
          <w:rFonts w:eastAsiaTheme="minorEastAsia"/>
          <w:bCs/>
          <w:snapToGrid w:val="0"/>
          <w:color w:val="FF0000"/>
          <w:kern w:val="0"/>
          <w:sz w:val="24"/>
        </w:rPr>
        <w:t>日最新修订）。</w:t>
      </w:r>
    </w:p>
    <w:p w:rsidR="002A5A5E" w:rsidRPr="00F9522B" w:rsidRDefault="00611CBA">
      <w:pPr>
        <w:pStyle w:val="ab"/>
        <w:spacing w:before="100" w:beforeAutospacing="1" w:after="100" w:afterAutospacing="1"/>
        <w:outlineLvl w:val="2"/>
        <w:rPr>
          <w:rFonts w:eastAsiaTheme="minorEastAsia"/>
          <w:b/>
          <w:sz w:val="28"/>
          <w:szCs w:val="28"/>
        </w:rPr>
      </w:pPr>
      <w:r w:rsidRPr="00F9522B">
        <w:rPr>
          <w:rFonts w:eastAsiaTheme="minorEastAsia"/>
          <w:b/>
          <w:sz w:val="28"/>
          <w:szCs w:val="28"/>
        </w:rPr>
        <w:lastRenderedPageBreak/>
        <w:t>2.1.2</w:t>
      </w:r>
      <w:r w:rsidRPr="00F9522B">
        <w:rPr>
          <w:rFonts w:eastAsiaTheme="minorEastAsia"/>
          <w:b/>
          <w:sz w:val="28"/>
          <w:szCs w:val="28"/>
        </w:rPr>
        <w:t>地方法规、规划</w:t>
      </w:r>
    </w:p>
    <w:p w:rsidR="002A5A5E" w:rsidRPr="00F9522B" w:rsidRDefault="00611CBA">
      <w:pPr>
        <w:spacing w:line="360" w:lineRule="auto"/>
        <w:rPr>
          <w:rFonts w:eastAsiaTheme="minorEastAsia"/>
          <w:sz w:val="24"/>
        </w:rPr>
      </w:pPr>
      <w:r w:rsidRPr="00F9522B">
        <w:rPr>
          <w:rFonts w:eastAsiaTheme="minorEastAsia"/>
          <w:sz w:val="24"/>
        </w:rPr>
        <w:t>（</w:t>
      </w:r>
      <w:r w:rsidRPr="00F9522B">
        <w:rPr>
          <w:rFonts w:eastAsiaTheme="minorEastAsia"/>
          <w:sz w:val="24"/>
        </w:rPr>
        <w:t>1</w:t>
      </w:r>
      <w:r w:rsidRPr="00F9522B">
        <w:rPr>
          <w:rFonts w:eastAsiaTheme="minorEastAsia"/>
          <w:sz w:val="24"/>
        </w:rPr>
        <w:t>）《黑龙江省水土保持规划（</w:t>
      </w:r>
      <w:r w:rsidRPr="00F9522B">
        <w:rPr>
          <w:rFonts w:eastAsiaTheme="minorEastAsia"/>
          <w:sz w:val="24"/>
        </w:rPr>
        <w:t>2015-2030</w:t>
      </w:r>
      <w:r w:rsidRPr="00F9522B">
        <w:rPr>
          <w:rFonts w:eastAsiaTheme="minorEastAsia"/>
          <w:sz w:val="24"/>
        </w:rPr>
        <w:t>年）》</w:t>
      </w:r>
      <w:r w:rsidRPr="00F9522B">
        <w:rPr>
          <w:rFonts w:eastAsiaTheme="minorEastAsia"/>
          <w:snapToGrid w:val="0"/>
          <w:kern w:val="0"/>
          <w:sz w:val="24"/>
        </w:rPr>
        <w:t>。</w:t>
      </w:r>
    </w:p>
    <w:p w:rsidR="002A5A5E" w:rsidRPr="00F9522B" w:rsidRDefault="00611CBA">
      <w:pPr>
        <w:spacing w:line="360" w:lineRule="auto"/>
        <w:rPr>
          <w:rFonts w:eastAsiaTheme="minorEastAsia"/>
          <w:sz w:val="24"/>
        </w:rPr>
      </w:pPr>
      <w:r w:rsidRPr="00F9522B">
        <w:rPr>
          <w:rFonts w:eastAsiaTheme="minorEastAsia"/>
          <w:sz w:val="24"/>
        </w:rPr>
        <w:t>（</w:t>
      </w:r>
      <w:r w:rsidRPr="00F9522B">
        <w:rPr>
          <w:rFonts w:eastAsiaTheme="minorEastAsia"/>
          <w:sz w:val="24"/>
        </w:rPr>
        <w:t>2</w:t>
      </w:r>
      <w:r w:rsidRPr="00F9522B">
        <w:rPr>
          <w:rFonts w:eastAsiaTheme="minorEastAsia"/>
          <w:sz w:val="24"/>
        </w:rPr>
        <w:t>）</w:t>
      </w:r>
      <w:r w:rsidRPr="00F9522B">
        <w:rPr>
          <w:rFonts w:eastAsiaTheme="minorEastAsia"/>
          <w:bCs/>
          <w:sz w:val="24"/>
        </w:rPr>
        <w:t>《黑龙江省主体功能区规划》</w:t>
      </w:r>
      <w:r w:rsidRPr="00F9522B">
        <w:rPr>
          <w:rFonts w:eastAsiaTheme="minorEastAsia"/>
          <w:snapToGrid w:val="0"/>
          <w:kern w:val="0"/>
          <w:sz w:val="24"/>
        </w:rPr>
        <w:t>。</w:t>
      </w:r>
    </w:p>
    <w:p w:rsidR="002A5A5E" w:rsidRPr="00F9522B" w:rsidRDefault="00611CBA">
      <w:pPr>
        <w:spacing w:line="360" w:lineRule="auto"/>
        <w:rPr>
          <w:rFonts w:eastAsiaTheme="minorEastAsia"/>
          <w:sz w:val="24"/>
        </w:rPr>
      </w:pPr>
      <w:r w:rsidRPr="00F9522B">
        <w:rPr>
          <w:rFonts w:eastAsiaTheme="minorEastAsia"/>
          <w:sz w:val="24"/>
        </w:rPr>
        <w:t>（</w:t>
      </w:r>
      <w:r w:rsidRPr="00F9522B">
        <w:rPr>
          <w:rFonts w:eastAsiaTheme="minorEastAsia"/>
          <w:sz w:val="24"/>
        </w:rPr>
        <w:t>3</w:t>
      </w:r>
      <w:r w:rsidRPr="00F9522B">
        <w:rPr>
          <w:rFonts w:eastAsiaTheme="minorEastAsia"/>
          <w:sz w:val="24"/>
        </w:rPr>
        <w:t>）</w:t>
      </w:r>
      <w:r w:rsidRPr="00F9522B">
        <w:rPr>
          <w:rFonts w:eastAsiaTheme="minorEastAsia"/>
          <w:bCs/>
          <w:sz w:val="24"/>
        </w:rPr>
        <w:t>《黑龙江省生态功能区划》</w:t>
      </w:r>
      <w:r w:rsidRPr="00F9522B">
        <w:rPr>
          <w:rFonts w:eastAsiaTheme="minorEastAsia"/>
          <w:snapToGrid w:val="0"/>
          <w:kern w:val="0"/>
          <w:sz w:val="24"/>
        </w:rPr>
        <w:t>。</w:t>
      </w:r>
    </w:p>
    <w:p w:rsidR="002A5A5E" w:rsidRPr="00F9522B" w:rsidRDefault="00611CBA">
      <w:pPr>
        <w:spacing w:line="360" w:lineRule="auto"/>
        <w:rPr>
          <w:rFonts w:eastAsiaTheme="minorEastAsia"/>
          <w:sz w:val="24"/>
        </w:rPr>
      </w:pPr>
      <w:r w:rsidRPr="00F9522B">
        <w:rPr>
          <w:rFonts w:eastAsiaTheme="minorEastAsia"/>
          <w:sz w:val="24"/>
        </w:rPr>
        <w:t>（</w:t>
      </w:r>
      <w:r w:rsidRPr="00F9522B">
        <w:rPr>
          <w:rFonts w:eastAsiaTheme="minorEastAsia"/>
          <w:sz w:val="24"/>
        </w:rPr>
        <w:t>4</w:t>
      </w:r>
      <w:r w:rsidRPr="00F9522B">
        <w:rPr>
          <w:rFonts w:eastAsiaTheme="minorEastAsia"/>
          <w:sz w:val="24"/>
        </w:rPr>
        <w:t>）</w:t>
      </w:r>
      <w:r w:rsidRPr="00F9522B">
        <w:rPr>
          <w:rFonts w:eastAsiaTheme="minorEastAsia"/>
          <w:bCs/>
          <w:sz w:val="24"/>
        </w:rPr>
        <w:t>《黑龙江省水土保持条例》</w:t>
      </w:r>
      <w:r w:rsidRPr="00F9522B">
        <w:rPr>
          <w:rFonts w:eastAsiaTheme="minorEastAsia"/>
          <w:snapToGrid w:val="0"/>
          <w:kern w:val="0"/>
          <w:sz w:val="24"/>
        </w:rPr>
        <w:t>。</w:t>
      </w:r>
    </w:p>
    <w:p w:rsidR="002A5A5E" w:rsidRPr="00F9522B" w:rsidRDefault="00611CBA">
      <w:pPr>
        <w:spacing w:line="360" w:lineRule="auto"/>
        <w:rPr>
          <w:rFonts w:eastAsiaTheme="minorEastAsia"/>
          <w:sz w:val="24"/>
        </w:rPr>
      </w:pPr>
      <w:r w:rsidRPr="00F9522B">
        <w:rPr>
          <w:rFonts w:eastAsiaTheme="minorEastAsia"/>
          <w:sz w:val="24"/>
        </w:rPr>
        <w:t>（</w:t>
      </w:r>
      <w:r w:rsidRPr="00F9522B">
        <w:rPr>
          <w:rFonts w:eastAsiaTheme="minorEastAsia"/>
          <w:sz w:val="24"/>
        </w:rPr>
        <w:t>5</w:t>
      </w:r>
      <w:r w:rsidRPr="00F9522B">
        <w:rPr>
          <w:rFonts w:eastAsiaTheme="minorEastAsia"/>
          <w:sz w:val="24"/>
        </w:rPr>
        <w:t>）</w:t>
      </w:r>
      <w:r w:rsidR="00804857" w:rsidRPr="00B5574E">
        <w:rPr>
          <w:rFonts w:eastAsiaTheme="minorEastAsia"/>
          <w:color w:val="FF0000"/>
          <w:sz w:val="24"/>
          <w:szCs w:val="22"/>
        </w:rPr>
        <w:t>《黑龙江省湿地保护条例》（</w:t>
      </w:r>
      <w:r w:rsidR="00804857" w:rsidRPr="00B5574E">
        <w:rPr>
          <w:rFonts w:eastAsiaTheme="minorEastAsia"/>
          <w:bCs/>
          <w:snapToGrid w:val="0"/>
          <w:color w:val="FF0000"/>
          <w:kern w:val="0"/>
          <w:sz w:val="24"/>
        </w:rPr>
        <w:t>201</w:t>
      </w:r>
      <w:r w:rsidR="00804857" w:rsidRPr="00B5574E">
        <w:rPr>
          <w:rFonts w:eastAsiaTheme="minorEastAsia" w:hint="eastAsia"/>
          <w:bCs/>
          <w:snapToGrid w:val="0"/>
          <w:color w:val="FF0000"/>
          <w:kern w:val="0"/>
          <w:sz w:val="24"/>
        </w:rPr>
        <w:t>8</w:t>
      </w:r>
      <w:r w:rsidR="00804857" w:rsidRPr="00B5574E">
        <w:rPr>
          <w:rFonts w:eastAsiaTheme="minorEastAsia"/>
          <w:bCs/>
          <w:snapToGrid w:val="0"/>
          <w:color w:val="FF0000"/>
          <w:kern w:val="0"/>
          <w:sz w:val="24"/>
        </w:rPr>
        <w:t>.0</w:t>
      </w:r>
      <w:r w:rsidR="00804857" w:rsidRPr="00B5574E">
        <w:rPr>
          <w:rFonts w:eastAsiaTheme="minorEastAsia" w:hint="eastAsia"/>
          <w:bCs/>
          <w:snapToGrid w:val="0"/>
          <w:color w:val="FF0000"/>
          <w:kern w:val="0"/>
          <w:sz w:val="24"/>
        </w:rPr>
        <w:t>6</w:t>
      </w:r>
      <w:r w:rsidR="00804857" w:rsidRPr="00B5574E">
        <w:rPr>
          <w:rFonts w:eastAsiaTheme="minorEastAsia"/>
          <w:bCs/>
          <w:snapToGrid w:val="0"/>
          <w:color w:val="FF0000"/>
          <w:kern w:val="0"/>
          <w:sz w:val="24"/>
        </w:rPr>
        <w:t>.2</w:t>
      </w:r>
      <w:r w:rsidR="00804857" w:rsidRPr="00B5574E">
        <w:rPr>
          <w:rFonts w:eastAsiaTheme="minorEastAsia" w:hint="eastAsia"/>
          <w:bCs/>
          <w:snapToGrid w:val="0"/>
          <w:color w:val="FF0000"/>
          <w:kern w:val="0"/>
          <w:sz w:val="24"/>
        </w:rPr>
        <w:t>8</w:t>
      </w:r>
      <w:r w:rsidR="00804857" w:rsidRPr="00B5574E">
        <w:rPr>
          <w:rFonts w:eastAsiaTheme="minorEastAsia"/>
          <w:bCs/>
          <w:snapToGrid w:val="0"/>
          <w:color w:val="FF0000"/>
          <w:kern w:val="0"/>
          <w:sz w:val="24"/>
        </w:rPr>
        <w:t>修订</w:t>
      </w:r>
      <w:r w:rsidR="00804857" w:rsidRPr="00B5574E">
        <w:rPr>
          <w:rFonts w:eastAsiaTheme="minorEastAsia"/>
          <w:color w:val="FF0000"/>
          <w:sz w:val="24"/>
          <w:szCs w:val="22"/>
        </w:rPr>
        <w:t>）</w:t>
      </w:r>
      <w:r w:rsidR="00804857">
        <w:rPr>
          <w:rFonts w:eastAsiaTheme="minorEastAsia"/>
          <w:color w:val="FF0000"/>
          <w:sz w:val="24"/>
          <w:szCs w:val="22"/>
        </w:rPr>
        <w:t>。</w:t>
      </w:r>
    </w:p>
    <w:p w:rsidR="002A5A5E" w:rsidRPr="00F9522B" w:rsidRDefault="00611CBA">
      <w:pPr>
        <w:spacing w:line="360" w:lineRule="auto"/>
        <w:rPr>
          <w:rFonts w:eastAsiaTheme="minorEastAsia"/>
          <w:sz w:val="24"/>
        </w:rPr>
      </w:pPr>
      <w:r w:rsidRPr="00F9522B">
        <w:rPr>
          <w:rFonts w:eastAsiaTheme="minorEastAsia"/>
          <w:sz w:val="24"/>
        </w:rPr>
        <w:t>（</w:t>
      </w:r>
      <w:r w:rsidRPr="00F9522B">
        <w:rPr>
          <w:rFonts w:eastAsiaTheme="minorEastAsia"/>
          <w:sz w:val="24"/>
        </w:rPr>
        <w:t>6</w:t>
      </w:r>
      <w:r w:rsidRPr="00F9522B">
        <w:rPr>
          <w:rFonts w:eastAsiaTheme="minorEastAsia"/>
          <w:sz w:val="24"/>
        </w:rPr>
        <w:t>）</w:t>
      </w:r>
      <w:r w:rsidRPr="00F9522B">
        <w:rPr>
          <w:rFonts w:eastAsiaTheme="minorEastAsia"/>
          <w:bCs/>
          <w:sz w:val="24"/>
        </w:rPr>
        <w:t>《黑龙江省国民经济和社会发展第十四个五年规划和二〇三五年远景目标纲要》</w:t>
      </w:r>
      <w:r w:rsidRPr="00F9522B">
        <w:rPr>
          <w:rFonts w:eastAsiaTheme="minorEastAsia"/>
          <w:snapToGrid w:val="0"/>
          <w:kern w:val="0"/>
          <w:sz w:val="24"/>
        </w:rPr>
        <w:t>。</w:t>
      </w:r>
    </w:p>
    <w:p w:rsidR="002A5A5E" w:rsidRPr="00F9522B" w:rsidRDefault="00611CBA">
      <w:pPr>
        <w:spacing w:line="360" w:lineRule="auto"/>
        <w:rPr>
          <w:rFonts w:eastAsiaTheme="minorEastAsia"/>
          <w:sz w:val="24"/>
        </w:rPr>
      </w:pPr>
      <w:r w:rsidRPr="00F9522B">
        <w:rPr>
          <w:rFonts w:eastAsiaTheme="minorEastAsia"/>
          <w:sz w:val="24"/>
        </w:rPr>
        <w:t>（</w:t>
      </w:r>
      <w:r w:rsidRPr="00F9522B">
        <w:rPr>
          <w:rFonts w:eastAsiaTheme="minorEastAsia"/>
          <w:sz w:val="24"/>
        </w:rPr>
        <w:t>7</w:t>
      </w:r>
      <w:r w:rsidRPr="00F9522B">
        <w:rPr>
          <w:rFonts w:eastAsiaTheme="minorEastAsia"/>
          <w:sz w:val="24"/>
        </w:rPr>
        <w:t>）《黑龙江省大气污染防治行动计划实施细则》</w:t>
      </w:r>
      <w:r w:rsidRPr="00F9522B">
        <w:rPr>
          <w:rFonts w:eastAsiaTheme="minorEastAsia"/>
          <w:snapToGrid w:val="0"/>
          <w:kern w:val="0"/>
          <w:sz w:val="24"/>
        </w:rPr>
        <w:t>。</w:t>
      </w:r>
    </w:p>
    <w:p w:rsidR="002A5A5E" w:rsidRPr="00F9522B" w:rsidRDefault="00611CBA">
      <w:pPr>
        <w:spacing w:line="360" w:lineRule="auto"/>
        <w:rPr>
          <w:rFonts w:eastAsiaTheme="minorEastAsia"/>
          <w:bCs/>
          <w:sz w:val="24"/>
        </w:rPr>
      </w:pPr>
      <w:r w:rsidRPr="00F9522B">
        <w:rPr>
          <w:rFonts w:eastAsiaTheme="minorEastAsia"/>
          <w:bCs/>
          <w:sz w:val="24"/>
        </w:rPr>
        <w:t>（</w:t>
      </w:r>
      <w:r w:rsidRPr="00F9522B">
        <w:rPr>
          <w:rFonts w:eastAsiaTheme="minorEastAsia"/>
          <w:bCs/>
          <w:sz w:val="24"/>
        </w:rPr>
        <w:t>8</w:t>
      </w:r>
      <w:r w:rsidRPr="00F9522B">
        <w:rPr>
          <w:rFonts w:eastAsiaTheme="minorEastAsia"/>
          <w:bCs/>
          <w:sz w:val="24"/>
        </w:rPr>
        <w:t>）《哈尔滨市国土空间总体规划》（</w:t>
      </w:r>
      <w:r w:rsidRPr="00F9522B">
        <w:rPr>
          <w:rFonts w:eastAsiaTheme="minorEastAsia"/>
          <w:bCs/>
          <w:sz w:val="24"/>
        </w:rPr>
        <w:t>2020-2035</w:t>
      </w:r>
      <w:r w:rsidRPr="00F9522B">
        <w:rPr>
          <w:rFonts w:eastAsiaTheme="minorEastAsia"/>
          <w:bCs/>
          <w:sz w:val="24"/>
        </w:rPr>
        <w:t>公众版）</w:t>
      </w:r>
      <w:r w:rsidRPr="00F9522B">
        <w:rPr>
          <w:rFonts w:eastAsiaTheme="minorEastAsia"/>
          <w:snapToGrid w:val="0"/>
          <w:kern w:val="0"/>
          <w:sz w:val="24"/>
        </w:rPr>
        <w:t>。</w:t>
      </w:r>
    </w:p>
    <w:p w:rsidR="002A5A5E" w:rsidRPr="00D71C73" w:rsidRDefault="00611CBA">
      <w:pPr>
        <w:spacing w:line="360" w:lineRule="auto"/>
        <w:rPr>
          <w:rFonts w:eastAsiaTheme="minorEastAsia"/>
          <w:bCs/>
          <w:color w:val="FF0000"/>
          <w:sz w:val="24"/>
        </w:rPr>
      </w:pPr>
      <w:r w:rsidRPr="00D71C73">
        <w:rPr>
          <w:rFonts w:eastAsiaTheme="minorEastAsia"/>
          <w:bCs/>
          <w:color w:val="FF0000"/>
          <w:sz w:val="24"/>
        </w:rPr>
        <w:t>（</w:t>
      </w:r>
      <w:r w:rsidRPr="00D71C73">
        <w:rPr>
          <w:rFonts w:eastAsiaTheme="minorEastAsia"/>
          <w:bCs/>
          <w:color w:val="FF0000"/>
          <w:sz w:val="24"/>
        </w:rPr>
        <w:t>9</w:t>
      </w:r>
      <w:r w:rsidRPr="00D71C73">
        <w:rPr>
          <w:rFonts w:eastAsiaTheme="minorEastAsia"/>
          <w:bCs/>
          <w:color w:val="FF0000"/>
          <w:sz w:val="24"/>
        </w:rPr>
        <w:t>）</w:t>
      </w:r>
      <w:r w:rsidR="00D71C73" w:rsidRPr="00D71C73">
        <w:rPr>
          <w:rFonts w:eastAsiaTheme="minorEastAsia"/>
          <w:bCs/>
          <w:color w:val="FF0000"/>
          <w:sz w:val="24"/>
        </w:rPr>
        <w:t>《</w:t>
      </w:r>
      <w:r w:rsidR="00D71C73" w:rsidRPr="00D71C73">
        <w:rPr>
          <w:rFonts w:eastAsiaTheme="minorEastAsia" w:hint="eastAsia"/>
          <w:color w:val="FF0000"/>
          <w:sz w:val="24"/>
        </w:rPr>
        <w:t>哈尔滨市人民政府关于实施“三线一单”生态环境分区管控的意见</w:t>
      </w:r>
      <w:r w:rsidR="00D71C73" w:rsidRPr="00D71C73">
        <w:rPr>
          <w:rFonts w:eastAsiaTheme="minorEastAsia"/>
          <w:bCs/>
          <w:color w:val="FF0000"/>
          <w:sz w:val="24"/>
        </w:rPr>
        <w:t>》</w:t>
      </w:r>
      <w:r w:rsidR="00D71C73" w:rsidRPr="00D71C73">
        <w:rPr>
          <w:rFonts w:eastAsiaTheme="minorEastAsia" w:hint="eastAsia"/>
          <w:bCs/>
          <w:color w:val="FF0000"/>
          <w:sz w:val="24"/>
        </w:rPr>
        <w:t>哈政规〔</w:t>
      </w:r>
      <w:r w:rsidR="00D71C73" w:rsidRPr="00D71C73">
        <w:rPr>
          <w:rFonts w:eastAsiaTheme="minorEastAsia" w:hint="eastAsia"/>
          <w:bCs/>
          <w:color w:val="FF0000"/>
          <w:sz w:val="24"/>
        </w:rPr>
        <w:t>2021</w:t>
      </w:r>
      <w:r w:rsidR="00D71C73" w:rsidRPr="00D71C73">
        <w:rPr>
          <w:rFonts w:eastAsiaTheme="minorEastAsia" w:hint="eastAsia"/>
          <w:bCs/>
          <w:color w:val="FF0000"/>
          <w:sz w:val="24"/>
        </w:rPr>
        <w:t>〕</w:t>
      </w:r>
      <w:r w:rsidR="00D71C73" w:rsidRPr="00D71C73">
        <w:rPr>
          <w:rFonts w:eastAsiaTheme="minorEastAsia" w:hint="eastAsia"/>
          <w:bCs/>
          <w:color w:val="FF0000"/>
          <w:sz w:val="24"/>
        </w:rPr>
        <w:t>7</w:t>
      </w:r>
      <w:r w:rsidR="00D71C73" w:rsidRPr="00D71C73">
        <w:rPr>
          <w:rFonts w:eastAsiaTheme="minorEastAsia" w:hint="eastAsia"/>
          <w:bCs/>
          <w:color w:val="FF0000"/>
          <w:sz w:val="24"/>
        </w:rPr>
        <w:t>号</w:t>
      </w:r>
      <w:r w:rsidR="00A311C8" w:rsidRPr="00D71C73">
        <w:rPr>
          <w:rFonts w:eastAsiaTheme="minorEastAsia"/>
          <w:bCs/>
          <w:color w:val="FF0000"/>
          <w:sz w:val="24"/>
        </w:rPr>
        <w:t>。</w:t>
      </w:r>
    </w:p>
    <w:p w:rsidR="002A5A5E" w:rsidRPr="00F9522B" w:rsidRDefault="00611CBA">
      <w:pPr>
        <w:spacing w:line="360" w:lineRule="auto"/>
        <w:rPr>
          <w:rFonts w:eastAsiaTheme="minorEastAsia"/>
          <w:kern w:val="0"/>
          <w:sz w:val="24"/>
        </w:rPr>
      </w:pPr>
      <w:r w:rsidRPr="00F9522B">
        <w:rPr>
          <w:rFonts w:eastAsiaTheme="minorEastAsia"/>
          <w:kern w:val="0"/>
          <w:sz w:val="24"/>
        </w:rPr>
        <w:t>（</w:t>
      </w:r>
      <w:r w:rsidRPr="00F9522B">
        <w:rPr>
          <w:rFonts w:eastAsiaTheme="minorEastAsia"/>
          <w:kern w:val="0"/>
          <w:sz w:val="24"/>
        </w:rPr>
        <w:t>10</w:t>
      </w:r>
      <w:r w:rsidRPr="00F9522B">
        <w:rPr>
          <w:rFonts w:eastAsiaTheme="minorEastAsia"/>
          <w:kern w:val="0"/>
          <w:sz w:val="24"/>
        </w:rPr>
        <w:t>）《黑龙江省人民政府办公厅关于建设占用耕地耕作层土壤剥离利用工作的指导意见（试行）》（黑政办规〔</w:t>
      </w:r>
      <w:r w:rsidRPr="00F9522B">
        <w:rPr>
          <w:rFonts w:eastAsiaTheme="minorEastAsia"/>
          <w:kern w:val="0"/>
          <w:sz w:val="24"/>
        </w:rPr>
        <w:t>2021</w:t>
      </w:r>
      <w:r w:rsidRPr="00F9522B">
        <w:rPr>
          <w:rFonts w:eastAsiaTheme="minorEastAsia"/>
          <w:kern w:val="0"/>
          <w:sz w:val="24"/>
        </w:rPr>
        <w:t>〕</w:t>
      </w:r>
      <w:r w:rsidRPr="00F9522B">
        <w:rPr>
          <w:rFonts w:eastAsiaTheme="minorEastAsia"/>
          <w:kern w:val="0"/>
          <w:sz w:val="24"/>
        </w:rPr>
        <w:t>18</w:t>
      </w:r>
      <w:r w:rsidRPr="00F9522B">
        <w:rPr>
          <w:rFonts w:eastAsiaTheme="minorEastAsia"/>
          <w:kern w:val="0"/>
          <w:sz w:val="24"/>
        </w:rPr>
        <w:t>号）。</w:t>
      </w:r>
    </w:p>
    <w:p w:rsidR="002A5A5E" w:rsidRPr="00F9522B" w:rsidRDefault="00611CBA">
      <w:pPr>
        <w:spacing w:line="360" w:lineRule="auto"/>
        <w:rPr>
          <w:rFonts w:eastAsiaTheme="minorEastAsia"/>
          <w:kern w:val="0"/>
          <w:sz w:val="24"/>
        </w:rPr>
      </w:pPr>
      <w:r w:rsidRPr="00F9522B">
        <w:rPr>
          <w:rFonts w:eastAsiaTheme="minorEastAsia"/>
          <w:kern w:val="0"/>
          <w:sz w:val="24"/>
        </w:rPr>
        <w:t>（</w:t>
      </w:r>
      <w:r w:rsidRPr="00F9522B">
        <w:rPr>
          <w:rFonts w:eastAsiaTheme="minorEastAsia"/>
          <w:kern w:val="0"/>
          <w:sz w:val="24"/>
        </w:rPr>
        <w:t>11</w:t>
      </w:r>
      <w:r w:rsidRPr="00F9522B">
        <w:rPr>
          <w:rFonts w:eastAsiaTheme="minorEastAsia"/>
          <w:kern w:val="0"/>
          <w:sz w:val="24"/>
        </w:rPr>
        <w:t>）《自然资源部办公厅关于进一步加强黑土耕地保护的通知（</w:t>
      </w:r>
      <w:r w:rsidRPr="00F9522B">
        <w:rPr>
          <w:rFonts w:eastAsiaTheme="minorEastAsia"/>
          <w:kern w:val="0"/>
          <w:sz w:val="24"/>
        </w:rPr>
        <w:t>2022</w:t>
      </w:r>
      <w:r w:rsidRPr="00F9522B">
        <w:rPr>
          <w:rFonts w:eastAsiaTheme="minorEastAsia"/>
          <w:kern w:val="0"/>
          <w:sz w:val="24"/>
        </w:rPr>
        <w:t>年</w:t>
      </w:r>
      <w:r w:rsidRPr="00F9522B">
        <w:rPr>
          <w:rFonts w:eastAsiaTheme="minorEastAsia"/>
          <w:kern w:val="0"/>
          <w:sz w:val="24"/>
        </w:rPr>
        <w:t>7</w:t>
      </w:r>
      <w:r w:rsidRPr="00F9522B">
        <w:rPr>
          <w:rFonts w:eastAsiaTheme="minorEastAsia"/>
          <w:kern w:val="0"/>
          <w:sz w:val="24"/>
        </w:rPr>
        <w:t>月</w:t>
      </w:r>
      <w:r w:rsidRPr="00F9522B">
        <w:rPr>
          <w:rFonts w:eastAsiaTheme="minorEastAsia"/>
          <w:kern w:val="0"/>
          <w:sz w:val="24"/>
        </w:rPr>
        <w:t>28</w:t>
      </w:r>
      <w:r w:rsidRPr="00F9522B">
        <w:rPr>
          <w:rFonts w:eastAsiaTheme="minorEastAsia"/>
          <w:kern w:val="0"/>
          <w:sz w:val="24"/>
        </w:rPr>
        <w:t>日）》（自然资办函〔</w:t>
      </w:r>
      <w:r w:rsidRPr="00F9522B">
        <w:rPr>
          <w:rFonts w:eastAsiaTheme="minorEastAsia"/>
          <w:kern w:val="0"/>
          <w:sz w:val="24"/>
        </w:rPr>
        <w:t>2022</w:t>
      </w:r>
      <w:r w:rsidRPr="00F9522B">
        <w:rPr>
          <w:rFonts w:eastAsiaTheme="minorEastAsia"/>
          <w:kern w:val="0"/>
          <w:sz w:val="24"/>
        </w:rPr>
        <w:t>〕</w:t>
      </w:r>
      <w:r w:rsidRPr="00F9522B">
        <w:rPr>
          <w:rFonts w:eastAsiaTheme="minorEastAsia"/>
          <w:kern w:val="0"/>
          <w:sz w:val="24"/>
        </w:rPr>
        <w:t>1531</w:t>
      </w:r>
      <w:r w:rsidRPr="00F9522B">
        <w:rPr>
          <w:rFonts w:eastAsiaTheme="minorEastAsia"/>
          <w:kern w:val="0"/>
          <w:sz w:val="24"/>
        </w:rPr>
        <w:t>号）。</w:t>
      </w:r>
    </w:p>
    <w:p w:rsidR="002A5A5E" w:rsidRPr="00F9522B" w:rsidRDefault="00611CBA">
      <w:pPr>
        <w:spacing w:line="360" w:lineRule="auto"/>
        <w:rPr>
          <w:rFonts w:eastAsiaTheme="minorEastAsia"/>
          <w:kern w:val="0"/>
          <w:sz w:val="24"/>
        </w:rPr>
      </w:pPr>
      <w:r w:rsidRPr="00F9522B">
        <w:rPr>
          <w:rFonts w:eastAsiaTheme="minorEastAsia"/>
          <w:kern w:val="0"/>
          <w:sz w:val="24"/>
        </w:rPr>
        <w:t>（</w:t>
      </w:r>
      <w:r w:rsidRPr="00F9522B">
        <w:rPr>
          <w:rFonts w:eastAsiaTheme="minorEastAsia"/>
          <w:kern w:val="0"/>
          <w:sz w:val="24"/>
        </w:rPr>
        <w:t>12</w:t>
      </w:r>
      <w:r w:rsidRPr="00F9522B">
        <w:rPr>
          <w:rFonts w:eastAsiaTheme="minorEastAsia"/>
          <w:kern w:val="0"/>
          <w:sz w:val="24"/>
        </w:rPr>
        <w:t>）</w:t>
      </w:r>
      <w:r w:rsidR="000047FC" w:rsidRPr="00F9522B">
        <w:rPr>
          <w:rFonts w:eastAsiaTheme="minorEastAsia"/>
          <w:color w:val="FF0000"/>
          <w:kern w:val="0"/>
          <w:sz w:val="24"/>
        </w:rPr>
        <w:t>《</w:t>
      </w:r>
      <w:r w:rsidR="000047FC" w:rsidRPr="00F9522B">
        <w:rPr>
          <w:rFonts w:eastAsiaTheme="minorEastAsia"/>
          <w:bCs/>
          <w:color w:val="FF0000"/>
          <w:kern w:val="0"/>
          <w:sz w:val="24"/>
        </w:rPr>
        <w:t>哈尔滨市人民政府办公厅关于印发哈尔滨市地下水管理和保护工作实施方案的通</w:t>
      </w:r>
      <w:r w:rsidR="000047FC" w:rsidRPr="00F9522B">
        <w:rPr>
          <w:rFonts w:eastAsiaTheme="minorEastAsia"/>
          <w:color w:val="FF0000"/>
          <w:kern w:val="0"/>
          <w:sz w:val="24"/>
        </w:rPr>
        <w:t>知》</w:t>
      </w:r>
      <w:r w:rsidR="000047FC" w:rsidRPr="00F9522B">
        <w:rPr>
          <w:rFonts w:eastAsiaTheme="minorEastAsia"/>
          <w:color w:val="FF0000"/>
          <w:kern w:val="0"/>
          <w:sz w:val="24"/>
        </w:rPr>
        <w:t>(</w:t>
      </w:r>
      <w:r w:rsidR="000047FC" w:rsidRPr="00F9522B">
        <w:rPr>
          <w:rFonts w:eastAsiaTheme="minorEastAsia"/>
          <w:color w:val="FF0000"/>
          <w:kern w:val="0"/>
          <w:sz w:val="24"/>
        </w:rPr>
        <w:t>哈政办规〔</w:t>
      </w:r>
      <w:r w:rsidR="000047FC" w:rsidRPr="00F9522B">
        <w:rPr>
          <w:rFonts w:eastAsiaTheme="minorEastAsia"/>
          <w:color w:val="FF0000"/>
          <w:kern w:val="0"/>
          <w:sz w:val="24"/>
        </w:rPr>
        <w:t>2019</w:t>
      </w:r>
      <w:r w:rsidR="000047FC" w:rsidRPr="00F9522B">
        <w:rPr>
          <w:rFonts w:eastAsiaTheme="minorEastAsia"/>
          <w:color w:val="FF0000"/>
          <w:kern w:val="0"/>
          <w:sz w:val="24"/>
        </w:rPr>
        <w:t>〕</w:t>
      </w:r>
      <w:r w:rsidR="000047FC" w:rsidRPr="00F9522B">
        <w:rPr>
          <w:rFonts w:eastAsiaTheme="minorEastAsia"/>
          <w:color w:val="FF0000"/>
          <w:kern w:val="0"/>
          <w:sz w:val="24"/>
        </w:rPr>
        <w:t>7</w:t>
      </w:r>
      <w:r w:rsidR="000047FC" w:rsidRPr="00F9522B">
        <w:rPr>
          <w:rFonts w:eastAsiaTheme="minorEastAsia"/>
          <w:color w:val="FF0000"/>
          <w:kern w:val="0"/>
          <w:sz w:val="24"/>
        </w:rPr>
        <w:t>号</w:t>
      </w:r>
      <w:r w:rsidR="000047FC" w:rsidRPr="00F9522B">
        <w:rPr>
          <w:rFonts w:eastAsiaTheme="minorEastAsia"/>
          <w:color w:val="FF0000"/>
          <w:kern w:val="0"/>
          <w:sz w:val="24"/>
        </w:rPr>
        <w:t>)</w:t>
      </w:r>
      <w:r w:rsidR="00894617" w:rsidRPr="00F9522B">
        <w:rPr>
          <w:rFonts w:eastAsiaTheme="minorEastAsia"/>
          <w:kern w:val="0"/>
          <w:sz w:val="24"/>
        </w:rPr>
        <w:t>。</w:t>
      </w:r>
    </w:p>
    <w:p w:rsidR="002A5A5E" w:rsidRPr="00F9522B" w:rsidRDefault="00611CBA">
      <w:pPr>
        <w:spacing w:line="360" w:lineRule="auto"/>
        <w:rPr>
          <w:rFonts w:eastAsiaTheme="minorEastAsia"/>
          <w:kern w:val="0"/>
          <w:sz w:val="24"/>
        </w:rPr>
      </w:pPr>
      <w:r w:rsidRPr="00F9522B">
        <w:rPr>
          <w:rFonts w:eastAsiaTheme="minorEastAsia"/>
          <w:kern w:val="0"/>
          <w:sz w:val="24"/>
        </w:rPr>
        <w:t>（</w:t>
      </w:r>
      <w:r w:rsidRPr="00F9522B">
        <w:rPr>
          <w:rFonts w:eastAsiaTheme="minorEastAsia"/>
          <w:kern w:val="0"/>
          <w:sz w:val="24"/>
        </w:rPr>
        <w:t>13</w:t>
      </w:r>
      <w:r w:rsidRPr="00F9522B">
        <w:rPr>
          <w:rFonts w:eastAsiaTheme="minorEastAsia"/>
          <w:kern w:val="0"/>
          <w:sz w:val="24"/>
        </w:rPr>
        <w:t>）</w:t>
      </w:r>
      <w:r w:rsidR="00894617" w:rsidRPr="00F9522B">
        <w:rPr>
          <w:rFonts w:eastAsiaTheme="minorEastAsia"/>
          <w:snapToGrid w:val="0"/>
          <w:kern w:val="0"/>
          <w:sz w:val="24"/>
        </w:rPr>
        <w:t>《哈尔滨市水污染防治工作方案》（哈政发</w:t>
      </w:r>
      <w:r w:rsidR="00894617" w:rsidRPr="00F9522B">
        <w:rPr>
          <w:rFonts w:eastAsiaTheme="minorEastAsia"/>
          <w:snapToGrid w:val="0"/>
          <w:kern w:val="0"/>
          <w:sz w:val="24"/>
        </w:rPr>
        <w:t>[2016]9</w:t>
      </w:r>
      <w:r w:rsidR="00894617" w:rsidRPr="00F9522B">
        <w:rPr>
          <w:rFonts w:eastAsiaTheme="minorEastAsia"/>
          <w:snapToGrid w:val="0"/>
          <w:kern w:val="0"/>
          <w:sz w:val="24"/>
        </w:rPr>
        <w:t>号）。</w:t>
      </w:r>
    </w:p>
    <w:p w:rsidR="002A5A5E" w:rsidRPr="00F9522B" w:rsidRDefault="00611CBA">
      <w:pPr>
        <w:spacing w:line="360" w:lineRule="auto"/>
        <w:rPr>
          <w:rFonts w:eastAsiaTheme="minorEastAsia"/>
          <w:kern w:val="0"/>
          <w:sz w:val="24"/>
        </w:rPr>
      </w:pPr>
      <w:r w:rsidRPr="00F9522B">
        <w:rPr>
          <w:rFonts w:eastAsiaTheme="minorEastAsia"/>
          <w:kern w:val="0"/>
          <w:sz w:val="24"/>
        </w:rPr>
        <w:t>（</w:t>
      </w:r>
      <w:r w:rsidRPr="00F9522B">
        <w:rPr>
          <w:rFonts w:eastAsiaTheme="minorEastAsia"/>
          <w:kern w:val="0"/>
          <w:sz w:val="24"/>
        </w:rPr>
        <w:t>14</w:t>
      </w:r>
      <w:r w:rsidRPr="00F9522B">
        <w:rPr>
          <w:rFonts w:eastAsiaTheme="minorEastAsia"/>
          <w:kern w:val="0"/>
          <w:sz w:val="24"/>
        </w:rPr>
        <w:t>）</w:t>
      </w:r>
      <w:r w:rsidR="00894617" w:rsidRPr="00F9522B">
        <w:rPr>
          <w:rFonts w:eastAsiaTheme="minorEastAsia"/>
          <w:bCs/>
          <w:snapToGrid w:val="0"/>
          <w:kern w:val="0"/>
          <w:sz w:val="24"/>
        </w:rPr>
        <w:t>《黑龙江省水污染防治条例》（</w:t>
      </w:r>
      <w:r w:rsidR="00894617" w:rsidRPr="00F9522B">
        <w:rPr>
          <w:rFonts w:eastAsiaTheme="minorEastAsia"/>
          <w:bCs/>
          <w:snapToGrid w:val="0"/>
          <w:kern w:val="0"/>
          <w:sz w:val="24"/>
        </w:rPr>
        <w:t>2023.12.01</w:t>
      </w:r>
      <w:r w:rsidR="00894617" w:rsidRPr="00F9522B">
        <w:rPr>
          <w:rFonts w:eastAsiaTheme="minorEastAsia"/>
          <w:bCs/>
          <w:snapToGrid w:val="0"/>
          <w:kern w:val="0"/>
          <w:sz w:val="24"/>
        </w:rPr>
        <w:t>施行）。</w:t>
      </w:r>
    </w:p>
    <w:p w:rsidR="002A5A5E" w:rsidRPr="00F9522B" w:rsidRDefault="00611CBA">
      <w:pPr>
        <w:spacing w:line="360" w:lineRule="auto"/>
        <w:contextualSpacing/>
        <w:rPr>
          <w:rFonts w:eastAsiaTheme="minorEastAsia"/>
          <w:bCs/>
          <w:snapToGrid w:val="0"/>
          <w:kern w:val="0"/>
          <w:sz w:val="24"/>
        </w:rPr>
      </w:pPr>
      <w:r w:rsidRPr="00F9522B">
        <w:rPr>
          <w:rFonts w:eastAsiaTheme="minorEastAsia"/>
          <w:bCs/>
          <w:snapToGrid w:val="0"/>
          <w:kern w:val="0"/>
          <w:sz w:val="24"/>
        </w:rPr>
        <w:t>（</w:t>
      </w:r>
      <w:r w:rsidR="00894617" w:rsidRPr="00F9522B">
        <w:rPr>
          <w:rFonts w:eastAsiaTheme="minorEastAsia"/>
          <w:bCs/>
          <w:snapToGrid w:val="0"/>
          <w:kern w:val="0"/>
          <w:sz w:val="24"/>
        </w:rPr>
        <w:t>15</w:t>
      </w:r>
      <w:r w:rsidRPr="00F9522B">
        <w:rPr>
          <w:rFonts w:eastAsiaTheme="minorEastAsia"/>
          <w:bCs/>
          <w:snapToGrid w:val="0"/>
          <w:kern w:val="0"/>
          <w:sz w:val="24"/>
        </w:rPr>
        <w:t>）《黑龙江省黑土地保护利用条例》（</w:t>
      </w:r>
      <w:r w:rsidRPr="00F9522B">
        <w:rPr>
          <w:rFonts w:eastAsiaTheme="minorEastAsia"/>
          <w:bCs/>
          <w:snapToGrid w:val="0"/>
          <w:kern w:val="0"/>
          <w:sz w:val="24"/>
        </w:rPr>
        <w:t>2022.03.01</w:t>
      </w:r>
      <w:r w:rsidRPr="00F9522B">
        <w:rPr>
          <w:rFonts w:eastAsiaTheme="minorEastAsia"/>
          <w:bCs/>
          <w:snapToGrid w:val="0"/>
          <w:kern w:val="0"/>
          <w:sz w:val="24"/>
        </w:rPr>
        <w:t>施行）。</w:t>
      </w:r>
    </w:p>
    <w:p w:rsidR="002A5A5E" w:rsidRPr="00F9522B" w:rsidRDefault="00611CBA">
      <w:pPr>
        <w:spacing w:line="360" w:lineRule="auto"/>
        <w:contextualSpacing/>
        <w:rPr>
          <w:rFonts w:eastAsiaTheme="minorEastAsia"/>
          <w:sz w:val="24"/>
        </w:rPr>
      </w:pPr>
      <w:r w:rsidRPr="00F9522B">
        <w:rPr>
          <w:rFonts w:eastAsiaTheme="minorEastAsia"/>
          <w:bCs/>
          <w:snapToGrid w:val="0"/>
          <w:kern w:val="0"/>
          <w:sz w:val="24"/>
        </w:rPr>
        <w:t>（</w:t>
      </w:r>
      <w:r w:rsidRPr="00F9522B">
        <w:rPr>
          <w:rFonts w:eastAsiaTheme="minorEastAsia"/>
          <w:bCs/>
          <w:snapToGrid w:val="0"/>
          <w:kern w:val="0"/>
          <w:sz w:val="24"/>
        </w:rPr>
        <w:t>1</w:t>
      </w:r>
      <w:r w:rsidR="00894617" w:rsidRPr="00F9522B">
        <w:rPr>
          <w:rFonts w:eastAsiaTheme="minorEastAsia"/>
          <w:bCs/>
          <w:snapToGrid w:val="0"/>
          <w:kern w:val="0"/>
          <w:sz w:val="24"/>
        </w:rPr>
        <w:t>6</w:t>
      </w:r>
      <w:r w:rsidRPr="00F9522B">
        <w:rPr>
          <w:rFonts w:eastAsiaTheme="minorEastAsia"/>
          <w:bCs/>
          <w:snapToGrid w:val="0"/>
          <w:kern w:val="0"/>
          <w:sz w:val="24"/>
        </w:rPr>
        <w:t>）</w:t>
      </w:r>
      <w:r w:rsidR="0017557C" w:rsidRPr="00F9522B">
        <w:rPr>
          <w:rFonts w:eastAsiaTheme="minorEastAsia"/>
          <w:color w:val="FF0000"/>
          <w:kern w:val="0"/>
          <w:sz w:val="24"/>
        </w:rPr>
        <w:t>《国务院关于印发固体废物综合治理行动计划的通知》（国发〔</w:t>
      </w:r>
      <w:r w:rsidR="0017557C" w:rsidRPr="00F9522B">
        <w:rPr>
          <w:rFonts w:eastAsiaTheme="minorEastAsia"/>
          <w:color w:val="FF0000"/>
          <w:kern w:val="0"/>
          <w:sz w:val="24"/>
        </w:rPr>
        <w:t>2025</w:t>
      </w:r>
      <w:r w:rsidR="0017557C" w:rsidRPr="00F9522B">
        <w:rPr>
          <w:rFonts w:eastAsiaTheme="minorEastAsia"/>
          <w:color w:val="FF0000"/>
          <w:kern w:val="0"/>
          <w:sz w:val="24"/>
        </w:rPr>
        <w:t>〕</w:t>
      </w:r>
      <w:r w:rsidR="0017557C" w:rsidRPr="00F9522B">
        <w:rPr>
          <w:rFonts w:eastAsiaTheme="minorEastAsia"/>
          <w:color w:val="FF0000"/>
          <w:kern w:val="0"/>
          <w:sz w:val="24"/>
        </w:rPr>
        <w:t>14</w:t>
      </w:r>
      <w:r w:rsidR="0017557C" w:rsidRPr="00F9522B">
        <w:rPr>
          <w:rFonts w:eastAsiaTheme="minorEastAsia"/>
          <w:color w:val="FF0000"/>
          <w:kern w:val="0"/>
          <w:sz w:val="24"/>
        </w:rPr>
        <w:t>号）</w:t>
      </w:r>
      <w:r w:rsidRPr="00F9522B">
        <w:rPr>
          <w:rFonts w:eastAsiaTheme="minorEastAsia"/>
          <w:sz w:val="24"/>
        </w:rPr>
        <w:t>。</w:t>
      </w:r>
    </w:p>
    <w:p w:rsidR="002A5A5E" w:rsidRPr="00F9522B" w:rsidRDefault="00611CBA">
      <w:pPr>
        <w:spacing w:line="360" w:lineRule="auto"/>
        <w:contextualSpacing/>
        <w:rPr>
          <w:rFonts w:eastAsiaTheme="minorEastAsia"/>
          <w:sz w:val="24"/>
        </w:rPr>
      </w:pPr>
      <w:r w:rsidRPr="00F9522B">
        <w:rPr>
          <w:rFonts w:eastAsiaTheme="minorEastAsia"/>
          <w:sz w:val="24"/>
        </w:rPr>
        <w:t>（</w:t>
      </w:r>
      <w:r w:rsidR="00894617" w:rsidRPr="00F9522B">
        <w:rPr>
          <w:rFonts w:eastAsiaTheme="minorEastAsia"/>
          <w:sz w:val="24"/>
        </w:rPr>
        <w:t>17</w:t>
      </w:r>
      <w:r w:rsidRPr="00F9522B">
        <w:rPr>
          <w:rFonts w:eastAsiaTheme="minorEastAsia"/>
          <w:sz w:val="24"/>
        </w:rPr>
        <w:t>）</w:t>
      </w:r>
      <w:r w:rsidRPr="00F9522B">
        <w:rPr>
          <w:rFonts w:eastAsiaTheme="minorEastAsia"/>
          <w:kern w:val="0"/>
          <w:sz w:val="24"/>
        </w:rPr>
        <w:t>《黑龙江省重点流域水生态环境保护规划》（黑环发〔</w:t>
      </w:r>
      <w:r w:rsidRPr="00F9522B">
        <w:rPr>
          <w:rFonts w:eastAsiaTheme="minorEastAsia"/>
          <w:kern w:val="0"/>
          <w:sz w:val="24"/>
        </w:rPr>
        <w:t>2023</w:t>
      </w:r>
      <w:r w:rsidRPr="00F9522B">
        <w:rPr>
          <w:rFonts w:eastAsiaTheme="minorEastAsia"/>
          <w:kern w:val="0"/>
          <w:sz w:val="24"/>
        </w:rPr>
        <w:t>〕</w:t>
      </w:r>
      <w:r w:rsidRPr="00F9522B">
        <w:rPr>
          <w:rFonts w:eastAsiaTheme="minorEastAsia"/>
          <w:kern w:val="0"/>
          <w:sz w:val="24"/>
        </w:rPr>
        <w:t>24</w:t>
      </w:r>
      <w:r w:rsidRPr="00F9522B">
        <w:rPr>
          <w:rFonts w:eastAsiaTheme="minorEastAsia"/>
          <w:kern w:val="0"/>
          <w:sz w:val="24"/>
        </w:rPr>
        <w:t>号）。</w:t>
      </w:r>
    </w:p>
    <w:p w:rsidR="002A5A5E" w:rsidRPr="00F9522B" w:rsidRDefault="00611CBA">
      <w:pPr>
        <w:spacing w:line="360" w:lineRule="auto"/>
        <w:contextualSpacing/>
        <w:rPr>
          <w:rFonts w:eastAsiaTheme="minorEastAsia"/>
          <w:kern w:val="0"/>
          <w:sz w:val="24"/>
        </w:rPr>
      </w:pPr>
      <w:r w:rsidRPr="00F9522B">
        <w:rPr>
          <w:rFonts w:eastAsiaTheme="minorEastAsia"/>
          <w:sz w:val="24"/>
        </w:rPr>
        <w:t>（</w:t>
      </w:r>
      <w:r w:rsidR="00894617" w:rsidRPr="00F9522B">
        <w:rPr>
          <w:rFonts w:eastAsiaTheme="minorEastAsia"/>
          <w:sz w:val="24"/>
        </w:rPr>
        <w:t>18</w:t>
      </w:r>
      <w:r w:rsidRPr="00F9522B">
        <w:rPr>
          <w:rFonts w:eastAsiaTheme="minorEastAsia"/>
          <w:sz w:val="24"/>
        </w:rPr>
        <w:t>）</w:t>
      </w:r>
      <w:r w:rsidRPr="00F9522B">
        <w:rPr>
          <w:rFonts w:eastAsiaTheme="minorEastAsia"/>
          <w:kern w:val="0"/>
          <w:sz w:val="24"/>
        </w:rPr>
        <w:t>《基本农田保护条例》（</w:t>
      </w:r>
      <w:r w:rsidRPr="00F9522B">
        <w:rPr>
          <w:rFonts w:eastAsiaTheme="minorEastAsia"/>
          <w:kern w:val="0"/>
          <w:sz w:val="24"/>
        </w:rPr>
        <w:t>1999.01.01</w:t>
      </w:r>
      <w:r w:rsidRPr="00F9522B">
        <w:rPr>
          <w:rFonts w:eastAsiaTheme="minorEastAsia"/>
          <w:kern w:val="0"/>
          <w:sz w:val="24"/>
        </w:rPr>
        <w:t>施行）。</w:t>
      </w:r>
    </w:p>
    <w:p w:rsidR="002A5A5E" w:rsidRPr="00F9522B" w:rsidRDefault="00611CBA">
      <w:pPr>
        <w:spacing w:line="360" w:lineRule="auto"/>
        <w:contextualSpacing/>
        <w:rPr>
          <w:rFonts w:eastAsiaTheme="minorEastAsia"/>
          <w:kern w:val="0"/>
          <w:sz w:val="24"/>
        </w:rPr>
      </w:pPr>
      <w:r w:rsidRPr="00F9522B">
        <w:rPr>
          <w:rFonts w:eastAsiaTheme="minorEastAsia"/>
          <w:kern w:val="0"/>
          <w:sz w:val="24"/>
        </w:rPr>
        <w:t>（</w:t>
      </w:r>
      <w:r w:rsidR="00894617" w:rsidRPr="00F9522B">
        <w:rPr>
          <w:rFonts w:eastAsiaTheme="minorEastAsia"/>
          <w:kern w:val="0"/>
          <w:sz w:val="24"/>
        </w:rPr>
        <w:t>19</w:t>
      </w:r>
      <w:r w:rsidRPr="00F9522B">
        <w:rPr>
          <w:rFonts w:eastAsiaTheme="minorEastAsia"/>
          <w:kern w:val="0"/>
          <w:sz w:val="24"/>
        </w:rPr>
        <w:t>）《黑龙江省耕地保护条例》（</w:t>
      </w:r>
      <w:r w:rsidRPr="00F9522B">
        <w:rPr>
          <w:rFonts w:eastAsiaTheme="minorEastAsia"/>
          <w:kern w:val="0"/>
          <w:sz w:val="24"/>
        </w:rPr>
        <w:t>2016.07.01</w:t>
      </w:r>
      <w:r w:rsidRPr="00F9522B">
        <w:rPr>
          <w:rFonts w:eastAsiaTheme="minorEastAsia"/>
          <w:kern w:val="0"/>
          <w:sz w:val="24"/>
        </w:rPr>
        <w:t>施行）。</w:t>
      </w:r>
    </w:p>
    <w:p w:rsidR="002A5A5E" w:rsidRDefault="00611CBA">
      <w:pPr>
        <w:spacing w:line="360" w:lineRule="auto"/>
        <w:contextualSpacing/>
        <w:rPr>
          <w:rFonts w:eastAsiaTheme="minorEastAsia"/>
          <w:kern w:val="0"/>
          <w:sz w:val="24"/>
        </w:rPr>
      </w:pPr>
      <w:r w:rsidRPr="00F9522B">
        <w:rPr>
          <w:rFonts w:eastAsiaTheme="minorEastAsia"/>
          <w:kern w:val="0"/>
          <w:sz w:val="24"/>
        </w:rPr>
        <w:t>（</w:t>
      </w:r>
      <w:r w:rsidR="00600084" w:rsidRPr="00F9522B">
        <w:rPr>
          <w:rFonts w:eastAsiaTheme="minorEastAsia"/>
          <w:kern w:val="0"/>
          <w:sz w:val="24"/>
        </w:rPr>
        <w:t>20</w:t>
      </w:r>
      <w:r w:rsidRPr="00F9522B">
        <w:rPr>
          <w:rFonts w:eastAsiaTheme="minorEastAsia"/>
          <w:kern w:val="0"/>
          <w:sz w:val="24"/>
        </w:rPr>
        <w:t>）《全国农业可持续发展规划（</w:t>
      </w:r>
      <w:r w:rsidRPr="00F9522B">
        <w:rPr>
          <w:rFonts w:eastAsiaTheme="minorEastAsia"/>
          <w:kern w:val="0"/>
          <w:sz w:val="24"/>
        </w:rPr>
        <w:t>2015—2030</w:t>
      </w:r>
      <w:r w:rsidRPr="00F9522B">
        <w:rPr>
          <w:rFonts w:eastAsiaTheme="minorEastAsia"/>
          <w:kern w:val="0"/>
          <w:sz w:val="24"/>
        </w:rPr>
        <w:t>年）》。</w:t>
      </w:r>
    </w:p>
    <w:p w:rsidR="00804857" w:rsidRPr="00804857" w:rsidRDefault="00804857">
      <w:pPr>
        <w:spacing w:line="360" w:lineRule="auto"/>
        <w:contextualSpacing/>
        <w:rPr>
          <w:rFonts w:eastAsiaTheme="minorEastAsia"/>
          <w:color w:val="FF0000"/>
          <w:kern w:val="0"/>
          <w:sz w:val="24"/>
        </w:rPr>
      </w:pPr>
      <w:r w:rsidRPr="00804857">
        <w:rPr>
          <w:rFonts w:eastAsiaTheme="minorEastAsia" w:hint="eastAsia"/>
          <w:color w:val="FF0000"/>
          <w:kern w:val="0"/>
          <w:sz w:val="24"/>
        </w:rPr>
        <w:t>（</w:t>
      </w:r>
      <w:r w:rsidRPr="00804857">
        <w:rPr>
          <w:rFonts w:eastAsiaTheme="minorEastAsia" w:hint="eastAsia"/>
          <w:color w:val="FF0000"/>
          <w:kern w:val="0"/>
          <w:sz w:val="24"/>
        </w:rPr>
        <w:t>21</w:t>
      </w:r>
      <w:r w:rsidRPr="00804857">
        <w:rPr>
          <w:rFonts w:eastAsiaTheme="minorEastAsia" w:hint="eastAsia"/>
          <w:color w:val="FF0000"/>
          <w:kern w:val="0"/>
          <w:sz w:val="24"/>
        </w:rPr>
        <w:t>）《黑龙江省固体废物污染环境防治条例》</w:t>
      </w:r>
      <w:r>
        <w:rPr>
          <w:rFonts w:eastAsiaTheme="minorEastAsia" w:hint="eastAsia"/>
          <w:color w:val="FF0000"/>
          <w:kern w:val="0"/>
          <w:sz w:val="24"/>
        </w:rPr>
        <w:t>（</w:t>
      </w:r>
      <w:r>
        <w:rPr>
          <w:rFonts w:eastAsiaTheme="minorEastAsia" w:hint="eastAsia"/>
          <w:color w:val="FF0000"/>
          <w:kern w:val="0"/>
          <w:sz w:val="24"/>
        </w:rPr>
        <w:t>2025.01.01</w:t>
      </w:r>
      <w:r w:rsidRPr="00804857">
        <w:rPr>
          <w:rFonts w:eastAsiaTheme="minorEastAsia"/>
          <w:color w:val="FF0000"/>
          <w:kern w:val="0"/>
          <w:sz w:val="24"/>
        </w:rPr>
        <w:t>施行</w:t>
      </w:r>
      <w:r>
        <w:rPr>
          <w:rFonts w:eastAsiaTheme="minorEastAsia" w:hint="eastAsia"/>
          <w:color w:val="FF0000"/>
          <w:kern w:val="0"/>
          <w:sz w:val="24"/>
        </w:rPr>
        <w:t>）</w:t>
      </w:r>
      <w:r w:rsidRPr="00804857">
        <w:rPr>
          <w:rFonts w:eastAsiaTheme="minorEastAsia" w:hint="eastAsia"/>
          <w:color w:val="FF0000"/>
          <w:kern w:val="0"/>
          <w:sz w:val="24"/>
        </w:rPr>
        <w:t>。</w:t>
      </w:r>
    </w:p>
    <w:p w:rsidR="002A5A5E" w:rsidRPr="00F9522B" w:rsidRDefault="00611CBA">
      <w:pPr>
        <w:pStyle w:val="ab"/>
        <w:spacing w:before="100" w:beforeAutospacing="1" w:after="100" w:afterAutospacing="1"/>
        <w:outlineLvl w:val="2"/>
        <w:rPr>
          <w:rFonts w:eastAsiaTheme="minorEastAsia"/>
          <w:b/>
          <w:sz w:val="28"/>
          <w:szCs w:val="28"/>
        </w:rPr>
      </w:pPr>
      <w:r w:rsidRPr="00F9522B">
        <w:rPr>
          <w:rFonts w:eastAsiaTheme="minorEastAsia"/>
          <w:b/>
          <w:sz w:val="28"/>
          <w:szCs w:val="28"/>
        </w:rPr>
        <w:lastRenderedPageBreak/>
        <w:t>2.1.3</w:t>
      </w:r>
      <w:r w:rsidRPr="00F9522B">
        <w:rPr>
          <w:rFonts w:eastAsiaTheme="minorEastAsia"/>
          <w:b/>
          <w:sz w:val="28"/>
          <w:szCs w:val="28"/>
        </w:rPr>
        <w:t>相关技术规范</w:t>
      </w:r>
      <w:bookmarkEnd w:id="32"/>
      <w:bookmarkEnd w:id="33"/>
    </w:p>
    <w:p w:rsidR="002A5A5E" w:rsidRPr="00F9522B" w:rsidRDefault="00611CBA">
      <w:pPr>
        <w:spacing w:line="360" w:lineRule="auto"/>
        <w:rPr>
          <w:rFonts w:eastAsiaTheme="minorEastAsia"/>
          <w:snapToGrid w:val="0"/>
          <w:kern w:val="0"/>
          <w:sz w:val="24"/>
        </w:rPr>
      </w:pPr>
      <w:r w:rsidRPr="00F9522B">
        <w:rPr>
          <w:rFonts w:eastAsiaTheme="minorEastAsia"/>
          <w:snapToGrid w:val="0"/>
          <w:kern w:val="0"/>
          <w:sz w:val="24"/>
        </w:rPr>
        <w:t>（</w:t>
      </w:r>
      <w:r w:rsidRPr="00F9522B">
        <w:rPr>
          <w:rFonts w:eastAsiaTheme="minorEastAsia"/>
          <w:snapToGrid w:val="0"/>
          <w:kern w:val="0"/>
          <w:sz w:val="24"/>
        </w:rPr>
        <w:t>1</w:t>
      </w:r>
      <w:r w:rsidRPr="00F9522B">
        <w:rPr>
          <w:rFonts w:eastAsiaTheme="minorEastAsia"/>
          <w:snapToGrid w:val="0"/>
          <w:kern w:val="0"/>
          <w:sz w:val="24"/>
        </w:rPr>
        <w:t>）《建设项目环境影响评价技术导则</w:t>
      </w:r>
      <w:r w:rsidRPr="00F9522B">
        <w:rPr>
          <w:rFonts w:eastAsiaTheme="minorEastAsia"/>
          <w:snapToGrid w:val="0"/>
          <w:kern w:val="0"/>
          <w:sz w:val="24"/>
        </w:rPr>
        <w:t xml:space="preserve"> </w:t>
      </w:r>
      <w:r w:rsidRPr="00F9522B">
        <w:rPr>
          <w:rFonts w:eastAsiaTheme="minorEastAsia"/>
          <w:snapToGrid w:val="0"/>
          <w:kern w:val="0"/>
          <w:sz w:val="24"/>
        </w:rPr>
        <w:t>总纲》（</w:t>
      </w:r>
      <w:r w:rsidRPr="00F9522B">
        <w:rPr>
          <w:rFonts w:eastAsiaTheme="minorEastAsia"/>
          <w:snapToGrid w:val="0"/>
          <w:kern w:val="0"/>
          <w:sz w:val="24"/>
        </w:rPr>
        <w:t>HJ2.1-2016</w:t>
      </w:r>
      <w:r w:rsidRPr="00F9522B">
        <w:rPr>
          <w:rFonts w:eastAsiaTheme="minorEastAsia"/>
          <w:snapToGrid w:val="0"/>
          <w:kern w:val="0"/>
          <w:sz w:val="24"/>
        </w:rPr>
        <w:t>）。</w:t>
      </w:r>
    </w:p>
    <w:p w:rsidR="002A5A5E" w:rsidRPr="00F9522B" w:rsidRDefault="00611CBA">
      <w:pPr>
        <w:spacing w:line="360" w:lineRule="auto"/>
        <w:rPr>
          <w:rFonts w:eastAsiaTheme="minorEastAsia"/>
          <w:snapToGrid w:val="0"/>
          <w:kern w:val="0"/>
          <w:sz w:val="24"/>
        </w:rPr>
      </w:pPr>
      <w:r w:rsidRPr="00F9522B">
        <w:rPr>
          <w:rFonts w:eastAsiaTheme="minorEastAsia"/>
          <w:snapToGrid w:val="0"/>
          <w:kern w:val="0"/>
          <w:sz w:val="24"/>
        </w:rPr>
        <w:t>（</w:t>
      </w:r>
      <w:r w:rsidRPr="00F9522B">
        <w:rPr>
          <w:rFonts w:eastAsiaTheme="minorEastAsia"/>
          <w:snapToGrid w:val="0"/>
          <w:kern w:val="0"/>
          <w:sz w:val="24"/>
        </w:rPr>
        <w:t>2</w:t>
      </w:r>
      <w:r w:rsidRPr="00F9522B">
        <w:rPr>
          <w:rFonts w:eastAsiaTheme="minorEastAsia"/>
          <w:snapToGrid w:val="0"/>
          <w:kern w:val="0"/>
          <w:sz w:val="24"/>
        </w:rPr>
        <w:t>）《环境影响评价技术导则</w:t>
      </w:r>
      <w:r w:rsidRPr="00F9522B">
        <w:rPr>
          <w:rFonts w:eastAsiaTheme="minorEastAsia"/>
          <w:snapToGrid w:val="0"/>
          <w:kern w:val="0"/>
          <w:sz w:val="24"/>
        </w:rPr>
        <w:t xml:space="preserve"> </w:t>
      </w:r>
      <w:r w:rsidRPr="00F9522B">
        <w:rPr>
          <w:rFonts w:eastAsiaTheme="minorEastAsia"/>
          <w:snapToGrid w:val="0"/>
          <w:kern w:val="0"/>
          <w:sz w:val="24"/>
        </w:rPr>
        <w:t>大气环境》（</w:t>
      </w:r>
      <w:r w:rsidRPr="00F9522B">
        <w:rPr>
          <w:rFonts w:eastAsiaTheme="minorEastAsia"/>
          <w:snapToGrid w:val="0"/>
          <w:kern w:val="0"/>
          <w:sz w:val="24"/>
        </w:rPr>
        <w:t>HJ2.2-2018</w:t>
      </w:r>
      <w:r w:rsidRPr="00F9522B">
        <w:rPr>
          <w:rFonts w:eastAsiaTheme="minorEastAsia"/>
          <w:snapToGrid w:val="0"/>
          <w:kern w:val="0"/>
          <w:sz w:val="24"/>
        </w:rPr>
        <w:t>）。</w:t>
      </w:r>
    </w:p>
    <w:p w:rsidR="002A5A5E" w:rsidRPr="00F9522B" w:rsidRDefault="00611CBA">
      <w:pPr>
        <w:spacing w:line="360" w:lineRule="auto"/>
        <w:rPr>
          <w:rFonts w:eastAsiaTheme="minorEastAsia"/>
          <w:snapToGrid w:val="0"/>
          <w:kern w:val="0"/>
          <w:sz w:val="24"/>
        </w:rPr>
      </w:pPr>
      <w:r w:rsidRPr="00F9522B">
        <w:rPr>
          <w:rFonts w:eastAsiaTheme="minorEastAsia"/>
          <w:snapToGrid w:val="0"/>
          <w:kern w:val="0"/>
          <w:sz w:val="24"/>
        </w:rPr>
        <w:t>（</w:t>
      </w:r>
      <w:r w:rsidRPr="00F9522B">
        <w:rPr>
          <w:rFonts w:eastAsiaTheme="minorEastAsia"/>
          <w:snapToGrid w:val="0"/>
          <w:kern w:val="0"/>
          <w:sz w:val="24"/>
        </w:rPr>
        <w:t>3</w:t>
      </w:r>
      <w:r w:rsidRPr="00F9522B">
        <w:rPr>
          <w:rFonts w:eastAsiaTheme="minorEastAsia"/>
          <w:snapToGrid w:val="0"/>
          <w:kern w:val="0"/>
          <w:sz w:val="24"/>
        </w:rPr>
        <w:t>）《环境影响评价技术导则</w:t>
      </w:r>
      <w:r w:rsidRPr="00F9522B">
        <w:rPr>
          <w:rFonts w:eastAsiaTheme="minorEastAsia"/>
          <w:snapToGrid w:val="0"/>
          <w:kern w:val="0"/>
          <w:sz w:val="24"/>
        </w:rPr>
        <w:t xml:space="preserve"> </w:t>
      </w:r>
      <w:r w:rsidRPr="00F9522B">
        <w:rPr>
          <w:rFonts w:eastAsiaTheme="minorEastAsia"/>
          <w:snapToGrid w:val="0"/>
          <w:kern w:val="0"/>
          <w:sz w:val="24"/>
        </w:rPr>
        <w:t>地表水环境》（</w:t>
      </w:r>
      <w:r w:rsidRPr="00F9522B">
        <w:rPr>
          <w:rFonts w:eastAsiaTheme="minorEastAsia"/>
          <w:snapToGrid w:val="0"/>
          <w:kern w:val="0"/>
          <w:sz w:val="24"/>
        </w:rPr>
        <w:t>HJ 2.3-2018</w:t>
      </w:r>
      <w:r w:rsidRPr="00F9522B">
        <w:rPr>
          <w:rFonts w:eastAsiaTheme="minorEastAsia"/>
          <w:snapToGrid w:val="0"/>
          <w:kern w:val="0"/>
          <w:sz w:val="24"/>
        </w:rPr>
        <w:t>）。</w:t>
      </w:r>
    </w:p>
    <w:p w:rsidR="002A5A5E" w:rsidRPr="00F9522B" w:rsidRDefault="00611CBA">
      <w:pPr>
        <w:spacing w:line="360" w:lineRule="auto"/>
        <w:rPr>
          <w:rFonts w:eastAsiaTheme="minorEastAsia"/>
          <w:snapToGrid w:val="0"/>
          <w:kern w:val="0"/>
          <w:sz w:val="24"/>
        </w:rPr>
      </w:pPr>
      <w:r w:rsidRPr="00F9522B">
        <w:rPr>
          <w:rFonts w:eastAsiaTheme="minorEastAsia"/>
          <w:snapToGrid w:val="0"/>
          <w:kern w:val="0"/>
          <w:sz w:val="24"/>
        </w:rPr>
        <w:t>（</w:t>
      </w:r>
      <w:r w:rsidRPr="00F9522B">
        <w:rPr>
          <w:rFonts w:eastAsiaTheme="minorEastAsia"/>
          <w:snapToGrid w:val="0"/>
          <w:kern w:val="0"/>
          <w:sz w:val="24"/>
        </w:rPr>
        <w:t>4</w:t>
      </w:r>
      <w:r w:rsidRPr="00F9522B">
        <w:rPr>
          <w:rFonts w:eastAsiaTheme="minorEastAsia"/>
          <w:snapToGrid w:val="0"/>
          <w:kern w:val="0"/>
          <w:sz w:val="24"/>
        </w:rPr>
        <w:t>）《环境影响评价技术导则</w:t>
      </w:r>
      <w:r w:rsidRPr="00F9522B">
        <w:rPr>
          <w:rFonts w:eastAsiaTheme="minorEastAsia"/>
          <w:snapToGrid w:val="0"/>
          <w:kern w:val="0"/>
          <w:sz w:val="24"/>
        </w:rPr>
        <w:t xml:space="preserve"> </w:t>
      </w:r>
      <w:r w:rsidRPr="00F9522B">
        <w:rPr>
          <w:rFonts w:eastAsiaTheme="minorEastAsia"/>
          <w:snapToGrid w:val="0"/>
          <w:kern w:val="0"/>
          <w:sz w:val="24"/>
        </w:rPr>
        <w:t>声环境》（</w:t>
      </w:r>
      <w:r w:rsidRPr="00F9522B">
        <w:rPr>
          <w:rFonts w:eastAsiaTheme="minorEastAsia"/>
          <w:snapToGrid w:val="0"/>
          <w:kern w:val="0"/>
          <w:sz w:val="24"/>
        </w:rPr>
        <w:t>HJ2.4-2021</w:t>
      </w:r>
      <w:r w:rsidRPr="00F9522B">
        <w:rPr>
          <w:rFonts w:eastAsiaTheme="minorEastAsia"/>
          <w:snapToGrid w:val="0"/>
          <w:kern w:val="0"/>
          <w:sz w:val="24"/>
        </w:rPr>
        <w:t>）。</w:t>
      </w:r>
    </w:p>
    <w:p w:rsidR="002A5A5E" w:rsidRPr="00F9522B" w:rsidRDefault="00611CBA">
      <w:pPr>
        <w:spacing w:line="360" w:lineRule="auto"/>
        <w:rPr>
          <w:rFonts w:eastAsiaTheme="minorEastAsia"/>
          <w:snapToGrid w:val="0"/>
          <w:kern w:val="0"/>
          <w:sz w:val="24"/>
        </w:rPr>
      </w:pPr>
      <w:r w:rsidRPr="00F9522B">
        <w:rPr>
          <w:rFonts w:eastAsiaTheme="minorEastAsia"/>
          <w:snapToGrid w:val="0"/>
          <w:kern w:val="0"/>
          <w:sz w:val="24"/>
        </w:rPr>
        <w:t>（</w:t>
      </w:r>
      <w:r w:rsidRPr="00F9522B">
        <w:rPr>
          <w:rFonts w:eastAsiaTheme="minorEastAsia"/>
          <w:snapToGrid w:val="0"/>
          <w:kern w:val="0"/>
          <w:sz w:val="24"/>
        </w:rPr>
        <w:t>5</w:t>
      </w:r>
      <w:r w:rsidRPr="00F9522B">
        <w:rPr>
          <w:rFonts w:eastAsiaTheme="minorEastAsia"/>
          <w:snapToGrid w:val="0"/>
          <w:kern w:val="0"/>
          <w:sz w:val="24"/>
        </w:rPr>
        <w:t>）《环境影响评价技术导则</w:t>
      </w:r>
      <w:r w:rsidRPr="00F9522B">
        <w:rPr>
          <w:rFonts w:eastAsiaTheme="minorEastAsia"/>
          <w:snapToGrid w:val="0"/>
          <w:kern w:val="0"/>
          <w:sz w:val="24"/>
        </w:rPr>
        <w:t xml:space="preserve"> </w:t>
      </w:r>
      <w:r w:rsidRPr="00F9522B">
        <w:rPr>
          <w:rFonts w:eastAsiaTheme="minorEastAsia"/>
          <w:snapToGrid w:val="0"/>
          <w:kern w:val="0"/>
          <w:sz w:val="24"/>
        </w:rPr>
        <w:t>地下水环境》（</w:t>
      </w:r>
      <w:r w:rsidRPr="00F9522B">
        <w:rPr>
          <w:rFonts w:eastAsiaTheme="minorEastAsia"/>
          <w:snapToGrid w:val="0"/>
          <w:kern w:val="0"/>
          <w:sz w:val="24"/>
        </w:rPr>
        <w:t>HJ610-2016</w:t>
      </w:r>
      <w:r w:rsidRPr="00F9522B">
        <w:rPr>
          <w:rFonts w:eastAsiaTheme="minorEastAsia"/>
          <w:snapToGrid w:val="0"/>
          <w:kern w:val="0"/>
          <w:sz w:val="24"/>
        </w:rPr>
        <w:t>）。</w:t>
      </w:r>
    </w:p>
    <w:p w:rsidR="002A5A5E" w:rsidRPr="00F9522B" w:rsidRDefault="00611CBA">
      <w:pPr>
        <w:spacing w:line="360" w:lineRule="auto"/>
        <w:rPr>
          <w:rFonts w:eastAsiaTheme="minorEastAsia"/>
          <w:snapToGrid w:val="0"/>
          <w:kern w:val="0"/>
          <w:sz w:val="24"/>
        </w:rPr>
      </w:pPr>
      <w:r w:rsidRPr="00F9522B">
        <w:rPr>
          <w:rFonts w:eastAsiaTheme="minorEastAsia"/>
          <w:snapToGrid w:val="0"/>
          <w:kern w:val="0"/>
          <w:sz w:val="24"/>
        </w:rPr>
        <w:t>（</w:t>
      </w:r>
      <w:r w:rsidRPr="00F9522B">
        <w:rPr>
          <w:rFonts w:eastAsiaTheme="minorEastAsia"/>
          <w:snapToGrid w:val="0"/>
          <w:kern w:val="0"/>
          <w:sz w:val="24"/>
        </w:rPr>
        <w:t>6</w:t>
      </w:r>
      <w:r w:rsidRPr="00F9522B">
        <w:rPr>
          <w:rFonts w:eastAsiaTheme="minorEastAsia"/>
          <w:snapToGrid w:val="0"/>
          <w:kern w:val="0"/>
          <w:sz w:val="24"/>
        </w:rPr>
        <w:t>）《环境影响评价技术导则</w:t>
      </w:r>
      <w:r w:rsidRPr="00F9522B">
        <w:rPr>
          <w:rFonts w:eastAsiaTheme="minorEastAsia"/>
          <w:snapToGrid w:val="0"/>
          <w:kern w:val="0"/>
          <w:sz w:val="24"/>
        </w:rPr>
        <w:t xml:space="preserve"> </w:t>
      </w:r>
      <w:r w:rsidRPr="00F9522B">
        <w:rPr>
          <w:rFonts w:eastAsiaTheme="minorEastAsia"/>
          <w:snapToGrid w:val="0"/>
          <w:kern w:val="0"/>
          <w:sz w:val="24"/>
        </w:rPr>
        <w:t>生态影响》（</w:t>
      </w:r>
      <w:r w:rsidRPr="00F9522B">
        <w:rPr>
          <w:rFonts w:eastAsiaTheme="minorEastAsia"/>
          <w:snapToGrid w:val="0"/>
          <w:kern w:val="0"/>
          <w:sz w:val="24"/>
        </w:rPr>
        <w:t>HJ19-2022</w:t>
      </w:r>
      <w:r w:rsidRPr="00F9522B">
        <w:rPr>
          <w:rFonts w:eastAsiaTheme="minorEastAsia"/>
          <w:snapToGrid w:val="0"/>
          <w:kern w:val="0"/>
          <w:sz w:val="24"/>
        </w:rPr>
        <w:t>）。</w:t>
      </w:r>
    </w:p>
    <w:p w:rsidR="002A5A5E" w:rsidRPr="00F9522B" w:rsidRDefault="00611CBA">
      <w:pPr>
        <w:spacing w:line="360" w:lineRule="auto"/>
        <w:rPr>
          <w:rFonts w:eastAsiaTheme="minorEastAsia"/>
          <w:snapToGrid w:val="0"/>
          <w:kern w:val="0"/>
          <w:sz w:val="24"/>
        </w:rPr>
      </w:pPr>
      <w:r w:rsidRPr="00F9522B">
        <w:rPr>
          <w:rFonts w:eastAsiaTheme="minorEastAsia"/>
          <w:snapToGrid w:val="0"/>
          <w:kern w:val="0"/>
          <w:sz w:val="24"/>
        </w:rPr>
        <w:t>（</w:t>
      </w:r>
      <w:r w:rsidRPr="00F9522B">
        <w:rPr>
          <w:rFonts w:eastAsiaTheme="minorEastAsia"/>
          <w:snapToGrid w:val="0"/>
          <w:kern w:val="0"/>
          <w:sz w:val="24"/>
        </w:rPr>
        <w:t>7</w:t>
      </w:r>
      <w:r w:rsidRPr="00F9522B">
        <w:rPr>
          <w:rFonts w:eastAsiaTheme="minorEastAsia"/>
          <w:snapToGrid w:val="0"/>
          <w:kern w:val="0"/>
          <w:sz w:val="24"/>
        </w:rPr>
        <w:t>）《环境影响评价技术导则</w:t>
      </w:r>
      <w:r w:rsidRPr="00F9522B">
        <w:rPr>
          <w:rFonts w:eastAsiaTheme="minorEastAsia"/>
          <w:snapToGrid w:val="0"/>
          <w:kern w:val="0"/>
          <w:sz w:val="24"/>
        </w:rPr>
        <w:t xml:space="preserve"> </w:t>
      </w:r>
      <w:r w:rsidRPr="00F9522B">
        <w:rPr>
          <w:rFonts w:eastAsiaTheme="minorEastAsia"/>
          <w:snapToGrid w:val="0"/>
          <w:kern w:val="0"/>
          <w:sz w:val="24"/>
        </w:rPr>
        <w:t>土壤环境（试行）》（</w:t>
      </w:r>
      <w:r w:rsidRPr="00F9522B">
        <w:rPr>
          <w:rFonts w:eastAsiaTheme="minorEastAsia"/>
          <w:snapToGrid w:val="0"/>
          <w:kern w:val="0"/>
          <w:sz w:val="24"/>
        </w:rPr>
        <w:t>HJ964-2018</w:t>
      </w:r>
      <w:r w:rsidRPr="00F9522B">
        <w:rPr>
          <w:rFonts w:eastAsiaTheme="minorEastAsia"/>
          <w:snapToGrid w:val="0"/>
          <w:kern w:val="0"/>
          <w:sz w:val="24"/>
        </w:rPr>
        <w:t>）。</w:t>
      </w:r>
    </w:p>
    <w:p w:rsidR="002A5A5E" w:rsidRPr="00F9522B" w:rsidRDefault="00611CBA">
      <w:pPr>
        <w:spacing w:line="360" w:lineRule="auto"/>
        <w:rPr>
          <w:rFonts w:eastAsiaTheme="minorEastAsia"/>
          <w:snapToGrid w:val="0"/>
          <w:kern w:val="0"/>
          <w:sz w:val="24"/>
        </w:rPr>
      </w:pPr>
      <w:r w:rsidRPr="00F9522B">
        <w:rPr>
          <w:rFonts w:eastAsiaTheme="minorEastAsia"/>
          <w:snapToGrid w:val="0"/>
          <w:kern w:val="0"/>
          <w:sz w:val="24"/>
        </w:rPr>
        <w:t>（</w:t>
      </w:r>
      <w:r w:rsidRPr="00F9522B">
        <w:rPr>
          <w:rFonts w:eastAsiaTheme="minorEastAsia"/>
          <w:snapToGrid w:val="0"/>
          <w:kern w:val="0"/>
          <w:sz w:val="24"/>
        </w:rPr>
        <w:t>8</w:t>
      </w:r>
      <w:r w:rsidRPr="00F9522B">
        <w:rPr>
          <w:rFonts w:eastAsiaTheme="minorEastAsia"/>
          <w:snapToGrid w:val="0"/>
          <w:kern w:val="0"/>
          <w:sz w:val="24"/>
        </w:rPr>
        <w:t>）《建设项目环境风险评价技术导则》（</w:t>
      </w:r>
      <w:r w:rsidRPr="00F9522B">
        <w:rPr>
          <w:rFonts w:eastAsiaTheme="minorEastAsia"/>
          <w:snapToGrid w:val="0"/>
          <w:kern w:val="0"/>
          <w:sz w:val="24"/>
        </w:rPr>
        <w:t>HJ169-2018</w:t>
      </w:r>
      <w:r w:rsidRPr="00F9522B">
        <w:rPr>
          <w:rFonts w:eastAsiaTheme="minorEastAsia"/>
          <w:snapToGrid w:val="0"/>
          <w:kern w:val="0"/>
          <w:sz w:val="24"/>
        </w:rPr>
        <w:t>）。</w:t>
      </w:r>
    </w:p>
    <w:p w:rsidR="002A5A5E" w:rsidRPr="00F9522B" w:rsidRDefault="00611CBA">
      <w:pPr>
        <w:spacing w:line="360" w:lineRule="auto"/>
        <w:rPr>
          <w:rFonts w:eastAsiaTheme="minorEastAsia"/>
          <w:snapToGrid w:val="0"/>
          <w:kern w:val="0"/>
          <w:sz w:val="24"/>
        </w:rPr>
      </w:pPr>
      <w:r w:rsidRPr="00F9522B">
        <w:rPr>
          <w:rFonts w:eastAsiaTheme="minorEastAsia"/>
          <w:snapToGrid w:val="0"/>
          <w:kern w:val="0"/>
          <w:sz w:val="24"/>
        </w:rPr>
        <w:t>（</w:t>
      </w:r>
      <w:r w:rsidRPr="00F9522B">
        <w:rPr>
          <w:rFonts w:eastAsiaTheme="minorEastAsia"/>
          <w:snapToGrid w:val="0"/>
          <w:kern w:val="0"/>
          <w:sz w:val="24"/>
        </w:rPr>
        <w:t>9</w:t>
      </w:r>
      <w:r w:rsidRPr="00F9522B">
        <w:rPr>
          <w:rFonts w:eastAsiaTheme="minorEastAsia"/>
          <w:snapToGrid w:val="0"/>
          <w:kern w:val="0"/>
          <w:sz w:val="24"/>
        </w:rPr>
        <w:t>）《排污单位自行监测技术指南</w:t>
      </w:r>
      <w:r w:rsidRPr="00F9522B">
        <w:rPr>
          <w:rFonts w:eastAsiaTheme="minorEastAsia"/>
          <w:snapToGrid w:val="0"/>
          <w:kern w:val="0"/>
          <w:sz w:val="24"/>
        </w:rPr>
        <w:t xml:space="preserve"> </w:t>
      </w:r>
      <w:r w:rsidRPr="00F9522B">
        <w:rPr>
          <w:rFonts w:eastAsiaTheme="minorEastAsia"/>
          <w:snapToGrid w:val="0"/>
          <w:kern w:val="0"/>
          <w:sz w:val="24"/>
        </w:rPr>
        <w:t>总则》（</w:t>
      </w:r>
      <w:r w:rsidRPr="00F9522B">
        <w:rPr>
          <w:rFonts w:eastAsiaTheme="minorEastAsia"/>
          <w:snapToGrid w:val="0"/>
          <w:kern w:val="0"/>
          <w:sz w:val="24"/>
        </w:rPr>
        <w:t>HJ 819-2017</w:t>
      </w:r>
      <w:r w:rsidRPr="00F9522B">
        <w:rPr>
          <w:rFonts w:eastAsiaTheme="minorEastAsia"/>
          <w:snapToGrid w:val="0"/>
          <w:kern w:val="0"/>
          <w:sz w:val="24"/>
        </w:rPr>
        <w:t>）。</w:t>
      </w:r>
    </w:p>
    <w:p w:rsidR="002A5A5E" w:rsidRPr="00F9522B" w:rsidRDefault="00611CBA">
      <w:pPr>
        <w:spacing w:line="360" w:lineRule="auto"/>
        <w:rPr>
          <w:rFonts w:eastAsiaTheme="minorEastAsia"/>
          <w:snapToGrid w:val="0"/>
          <w:kern w:val="0"/>
          <w:sz w:val="24"/>
        </w:rPr>
      </w:pPr>
      <w:r w:rsidRPr="00F9522B">
        <w:rPr>
          <w:rFonts w:eastAsiaTheme="minorEastAsia"/>
          <w:snapToGrid w:val="0"/>
          <w:kern w:val="0"/>
          <w:sz w:val="24"/>
        </w:rPr>
        <w:t>（</w:t>
      </w:r>
      <w:r w:rsidRPr="00F9522B">
        <w:rPr>
          <w:rFonts w:eastAsiaTheme="minorEastAsia"/>
          <w:snapToGrid w:val="0"/>
          <w:kern w:val="0"/>
          <w:sz w:val="24"/>
        </w:rPr>
        <w:t>10</w:t>
      </w:r>
      <w:r w:rsidRPr="00F9522B">
        <w:rPr>
          <w:rFonts w:eastAsiaTheme="minorEastAsia"/>
          <w:snapToGrid w:val="0"/>
          <w:kern w:val="0"/>
          <w:sz w:val="24"/>
        </w:rPr>
        <w:t>）《建设占用耕地耕作层土壤剥离利用技术规范》（</w:t>
      </w:r>
      <w:r w:rsidRPr="00F9522B">
        <w:rPr>
          <w:rFonts w:eastAsiaTheme="minorEastAsia"/>
          <w:snapToGrid w:val="0"/>
          <w:kern w:val="0"/>
          <w:sz w:val="24"/>
        </w:rPr>
        <w:t>DB23/T2913-2021</w:t>
      </w:r>
      <w:r w:rsidRPr="00F9522B">
        <w:rPr>
          <w:rFonts w:eastAsiaTheme="minorEastAsia"/>
          <w:snapToGrid w:val="0"/>
          <w:kern w:val="0"/>
          <w:sz w:val="24"/>
        </w:rPr>
        <w:t>）。</w:t>
      </w:r>
    </w:p>
    <w:p w:rsidR="002A5A5E" w:rsidRPr="00F9522B" w:rsidRDefault="00611CBA">
      <w:pPr>
        <w:spacing w:line="360" w:lineRule="auto"/>
        <w:rPr>
          <w:rFonts w:eastAsiaTheme="minorEastAsia"/>
          <w:snapToGrid w:val="0"/>
          <w:kern w:val="0"/>
          <w:sz w:val="24"/>
        </w:rPr>
      </w:pPr>
      <w:r w:rsidRPr="00F9522B">
        <w:rPr>
          <w:rFonts w:eastAsiaTheme="minorEastAsia"/>
          <w:snapToGrid w:val="0"/>
          <w:kern w:val="0"/>
          <w:sz w:val="24"/>
        </w:rPr>
        <w:t>（</w:t>
      </w:r>
      <w:r w:rsidRPr="00F9522B">
        <w:rPr>
          <w:rFonts w:eastAsiaTheme="minorEastAsia"/>
          <w:snapToGrid w:val="0"/>
          <w:kern w:val="0"/>
          <w:sz w:val="24"/>
        </w:rPr>
        <w:t>11</w:t>
      </w:r>
      <w:r w:rsidRPr="00F9522B">
        <w:rPr>
          <w:rFonts w:eastAsiaTheme="minorEastAsia"/>
          <w:snapToGrid w:val="0"/>
          <w:kern w:val="0"/>
          <w:sz w:val="24"/>
        </w:rPr>
        <w:t>）《高标准农田建设</w:t>
      </w:r>
      <w:r w:rsidRPr="00F9522B">
        <w:rPr>
          <w:rFonts w:eastAsiaTheme="minorEastAsia"/>
          <w:snapToGrid w:val="0"/>
          <w:kern w:val="0"/>
          <w:sz w:val="24"/>
        </w:rPr>
        <w:t xml:space="preserve"> </w:t>
      </w:r>
      <w:r w:rsidRPr="00F9522B">
        <w:rPr>
          <w:rFonts w:eastAsiaTheme="minorEastAsia"/>
          <w:snapToGrid w:val="0"/>
          <w:kern w:val="0"/>
          <w:sz w:val="24"/>
        </w:rPr>
        <w:t>通则》（</w:t>
      </w:r>
      <w:r w:rsidRPr="00F9522B">
        <w:rPr>
          <w:rFonts w:eastAsiaTheme="minorEastAsia"/>
          <w:snapToGrid w:val="0"/>
          <w:kern w:val="0"/>
          <w:sz w:val="24"/>
        </w:rPr>
        <w:t>GB/T30600-2022</w:t>
      </w:r>
      <w:r w:rsidRPr="00F9522B">
        <w:rPr>
          <w:rFonts w:eastAsiaTheme="minorEastAsia"/>
          <w:snapToGrid w:val="0"/>
          <w:kern w:val="0"/>
          <w:sz w:val="24"/>
        </w:rPr>
        <w:t>）。</w:t>
      </w:r>
    </w:p>
    <w:p w:rsidR="002A5A5E" w:rsidRPr="00F9522B" w:rsidRDefault="00611CBA">
      <w:pPr>
        <w:spacing w:line="360" w:lineRule="auto"/>
        <w:rPr>
          <w:rFonts w:eastAsiaTheme="minorEastAsia"/>
          <w:snapToGrid w:val="0"/>
          <w:kern w:val="0"/>
          <w:sz w:val="24"/>
        </w:rPr>
      </w:pPr>
      <w:r w:rsidRPr="00F9522B">
        <w:rPr>
          <w:rFonts w:eastAsiaTheme="minorEastAsia"/>
          <w:snapToGrid w:val="0"/>
          <w:kern w:val="0"/>
          <w:sz w:val="24"/>
        </w:rPr>
        <w:t>（</w:t>
      </w:r>
      <w:r w:rsidRPr="00F9522B">
        <w:rPr>
          <w:rFonts w:eastAsiaTheme="minorEastAsia"/>
          <w:snapToGrid w:val="0"/>
          <w:kern w:val="0"/>
          <w:sz w:val="24"/>
        </w:rPr>
        <w:t>12</w:t>
      </w:r>
      <w:r w:rsidRPr="00F9522B">
        <w:rPr>
          <w:rFonts w:eastAsiaTheme="minorEastAsia"/>
          <w:snapToGrid w:val="0"/>
          <w:kern w:val="0"/>
          <w:sz w:val="24"/>
        </w:rPr>
        <w:t>）《全国高标准农田建设规划》（</w:t>
      </w:r>
      <w:r w:rsidRPr="00F9522B">
        <w:rPr>
          <w:rFonts w:eastAsiaTheme="minorEastAsia"/>
          <w:snapToGrid w:val="0"/>
          <w:kern w:val="0"/>
          <w:sz w:val="24"/>
        </w:rPr>
        <w:t>2021-2030</w:t>
      </w:r>
      <w:r w:rsidRPr="00F9522B">
        <w:rPr>
          <w:rFonts w:eastAsiaTheme="minorEastAsia"/>
          <w:snapToGrid w:val="0"/>
          <w:kern w:val="0"/>
          <w:sz w:val="24"/>
        </w:rPr>
        <w:t>年）。</w:t>
      </w:r>
    </w:p>
    <w:p w:rsidR="002A5A5E" w:rsidRPr="00F9522B" w:rsidRDefault="00611CBA">
      <w:pPr>
        <w:spacing w:line="360" w:lineRule="auto"/>
        <w:rPr>
          <w:rFonts w:eastAsiaTheme="minorEastAsia"/>
          <w:snapToGrid w:val="0"/>
          <w:kern w:val="0"/>
          <w:sz w:val="24"/>
        </w:rPr>
      </w:pPr>
      <w:r w:rsidRPr="00F9522B">
        <w:rPr>
          <w:rFonts w:eastAsiaTheme="minorEastAsia"/>
          <w:snapToGrid w:val="0"/>
          <w:kern w:val="0"/>
          <w:sz w:val="24"/>
        </w:rPr>
        <w:t>（</w:t>
      </w:r>
      <w:r w:rsidRPr="00F9522B">
        <w:rPr>
          <w:rFonts w:eastAsiaTheme="minorEastAsia"/>
          <w:snapToGrid w:val="0"/>
          <w:kern w:val="0"/>
          <w:sz w:val="24"/>
        </w:rPr>
        <w:t>13</w:t>
      </w:r>
      <w:r w:rsidRPr="00F9522B">
        <w:rPr>
          <w:rFonts w:eastAsiaTheme="minorEastAsia"/>
          <w:snapToGrid w:val="0"/>
          <w:kern w:val="0"/>
          <w:sz w:val="24"/>
        </w:rPr>
        <w:t>）《水利建设项目</w:t>
      </w:r>
      <w:r w:rsidRPr="00F9522B">
        <w:rPr>
          <w:rFonts w:eastAsiaTheme="minorEastAsia"/>
          <w:snapToGrid w:val="0"/>
          <w:kern w:val="0"/>
          <w:sz w:val="24"/>
        </w:rPr>
        <w:t>(</w:t>
      </w:r>
      <w:r w:rsidRPr="00F9522B">
        <w:rPr>
          <w:rFonts w:eastAsiaTheme="minorEastAsia"/>
          <w:snapToGrid w:val="0"/>
          <w:kern w:val="0"/>
          <w:sz w:val="24"/>
        </w:rPr>
        <w:t>灌区工程</w:t>
      </w:r>
      <w:r w:rsidRPr="00F9522B">
        <w:rPr>
          <w:rFonts w:eastAsiaTheme="minorEastAsia"/>
          <w:snapToGrid w:val="0"/>
          <w:kern w:val="0"/>
          <w:sz w:val="24"/>
        </w:rPr>
        <w:t>)</w:t>
      </w:r>
      <w:hyperlink r:id="rId24" w:tgtFrame="https://huanbao.bjx.com.cn/news/20180813/_blank" w:history="1">
        <w:r w:rsidRPr="00F9522B">
          <w:rPr>
            <w:rFonts w:eastAsiaTheme="minorEastAsia"/>
            <w:snapToGrid w:val="0"/>
            <w:kern w:val="0"/>
            <w:sz w:val="24"/>
          </w:rPr>
          <w:t>环境影响评价文件审批</w:t>
        </w:r>
      </w:hyperlink>
      <w:r w:rsidRPr="00F9522B">
        <w:rPr>
          <w:rFonts w:eastAsiaTheme="minorEastAsia"/>
          <w:snapToGrid w:val="0"/>
          <w:kern w:val="0"/>
          <w:sz w:val="24"/>
        </w:rPr>
        <w:t>原则</w:t>
      </w:r>
      <w:r w:rsidRPr="00F9522B">
        <w:rPr>
          <w:rFonts w:eastAsiaTheme="minorEastAsia"/>
          <w:snapToGrid w:val="0"/>
          <w:kern w:val="0"/>
          <w:sz w:val="24"/>
        </w:rPr>
        <w:t>(</w:t>
      </w:r>
      <w:r w:rsidRPr="00F9522B">
        <w:rPr>
          <w:rFonts w:eastAsiaTheme="minorEastAsia"/>
          <w:snapToGrid w:val="0"/>
          <w:kern w:val="0"/>
          <w:sz w:val="24"/>
        </w:rPr>
        <w:t>试行</w:t>
      </w:r>
      <w:r w:rsidRPr="00F9522B">
        <w:rPr>
          <w:rFonts w:eastAsiaTheme="minorEastAsia"/>
          <w:snapToGrid w:val="0"/>
          <w:kern w:val="0"/>
          <w:sz w:val="24"/>
        </w:rPr>
        <w:t>)</w:t>
      </w:r>
      <w:r w:rsidRPr="00F9522B">
        <w:rPr>
          <w:rFonts w:eastAsiaTheme="minorEastAsia"/>
          <w:snapToGrid w:val="0"/>
          <w:kern w:val="0"/>
          <w:sz w:val="24"/>
        </w:rPr>
        <w:t>》。</w:t>
      </w:r>
    </w:p>
    <w:p w:rsidR="002A5A5E" w:rsidRPr="00F9522B" w:rsidRDefault="00611CBA">
      <w:pPr>
        <w:pStyle w:val="ab"/>
        <w:spacing w:before="100" w:beforeAutospacing="1" w:after="100" w:afterAutospacing="1"/>
        <w:outlineLvl w:val="2"/>
        <w:rPr>
          <w:rFonts w:eastAsiaTheme="minorEastAsia"/>
          <w:b/>
          <w:sz w:val="28"/>
          <w:szCs w:val="28"/>
        </w:rPr>
      </w:pPr>
      <w:bookmarkStart w:id="35" w:name="_Toc524431282"/>
      <w:bookmarkStart w:id="36" w:name="_Toc15991628"/>
      <w:r w:rsidRPr="00F9522B">
        <w:rPr>
          <w:rFonts w:eastAsiaTheme="minorEastAsia"/>
          <w:b/>
          <w:sz w:val="28"/>
          <w:szCs w:val="28"/>
        </w:rPr>
        <w:t>2.1.4</w:t>
      </w:r>
      <w:r w:rsidRPr="00F9522B">
        <w:rPr>
          <w:rFonts w:eastAsiaTheme="minorEastAsia"/>
          <w:b/>
          <w:sz w:val="28"/>
          <w:szCs w:val="28"/>
        </w:rPr>
        <w:t>相关政策及文件</w:t>
      </w:r>
      <w:bookmarkEnd w:id="35"/>
      <w:bookmarkEnd w:id="36"/>
    </w:p>
    <w:bookmarkEnd w:id="34"/>
    <w:p w:rsidR="002A5A5E" w:rsidRPr="00F9522B" w:rsidRDefault="00611CBA">
      <w:pPr>
        <w:pStyle w:val="aff4"/>
        <w:adjustRightInd/>
        <w:snapToGrid/>
        <w:ind w:firstLineChars="0" w:firstLine="0"/>
        <w:contextualSpacing/>
        <w:jc w:val="both"/>
        <w:rPr>
          <w:rFonts w:ascii="Times New Roman" w:hAnsi="Times New Roman" w:cs="Times New Roman"/>
          <w:snapToGrid w:val="0"/>
        </w:rPr>
      </w:pPr>
      <w:r w:rsidRPr="00F9522B">
        <w:rPr>
          <w:rFonts w:ascii="Times New Roman" w:hAnsi="Times New Roman" w:cs="Times New Roman"/>
          <w:snapToGrid w:val="0"/>
        </w:rPr>
        <w:t>（</w:t>
      </w:r>
      <w:r w:rsidRPr="00F9522B">
        <w:rPr>
          <w:rFonts w:ascii="Times New Roman" w:hAnsi="Times New Roman" w:cs="Times New Roman"/>
          <w:snapToGrid w:val="0"/>
        </w:rPr>
        <w:t>1</w:t>
      </w:r>
      <w:r w:rsidRPr="00F9522B">
        <w:rPr>
          <w:rFonts w:ascii="Times New Roman" w:hAnsi="Times New Roman" w:cs="Times New Roman"/>
          <w:snapToGrid w:val="0"/>
        </w:rPr>
        <w:t>）国家发展改革委《产业结构调整指导目录（</w:t>
      </w:r>
      <w:r w:rsidRPr="00F9522B">
        <w:rPr>
          <w:rFonts w:ascii="Times New Roman" w:hAnsi="Times New Roman" w:cs="Times New Roman"/>
          <w:snapToGrid w:val="0"/>
        </w:rPr>
        <w:t>2024</w:t>
      </w:r>
      <w:r w:rsidRPr="00F9522B">
        <w:rPr>
          <w:rFonts w:ascii="Times New Roman" w:hAnsi="Times New Roman" w:cs="Times New Roman"/>
          <w:snapToGrid w:val="0"/>
        </w:rPr>
        <w:t>年本）》。</w:t>
      </w:r>
    </w:p>
    <w:p w:rsidR="002A5A5E" w:rsidRPr="00F9522B" w:rsidRDefault="00611CBA">
      <w:pPr>
        <w:pStyle w:val="aff4"/>
        <w:adjustRightInd/>
        <w:snapToGrid/>
        <w:ind w:firstLineChars="0" w:firstLine="0"/>
        <w:contextualSpacing/>
        <w:jc w:val="both"/>
        <w:rPr>
          <w:rFonts w:ascii="Times New Roman" w:hAnsi="Times New Roman" w:cs="Times New Roman"/>
          <w:snapToGrid w:val="0"/>
        </w:rPr>
      </w:pPr>
      <w:r w:rsidRPr="00F9522B">
        <w:rPr>
          <w:rFonts w:ascii="Times New Roman" w:hAnsi="Times New Roman" w:cs="Times New Roman"/>
          <w:snapToGrid w:val="0"/>
        </w:rPr>
        <w:t>（</w:t>
      </w:r>
      <w:r w:rsidRPr="00F9522B">
        <w:rPr>
          <w:rFonts w:ascii="Times New Roman" w:hAnsi="Times New Roman" w:cs="Times New Roman"/>
          <w:snapToGrid w:val="0"/>
        </w:rPr>
        <w:t>2</w:t>
      </w:r>
      <w:r w:rsidRPr="00F9522B">
        <w:rPr>
          <w:rFonts w:ascii="Times New Roman" w:hAnsi="Times New Roman" w:cs="Times New Roman"/>
          <w:snapToGrid w:val="0"/>
        </w:rPr>
        <w:t>）《关于切实加强风险防范严格环境影响评价管理的通知》（环发</w:t>
      </w:r>
      <w:r w:rsidRPr="00F9522B">
        <w:rPr>
          <w:rFonts w:ascii="Times New Roman" w:hAnsi="Times New Roman" w:cs="Times New Roman"/>
          <w:snapToGrid w:val="0"/>
        </w:rPr>
        <w:t>[2012]98</w:t>
      </w:r>
      <w:r w:rsidRPr="00F9522B">
        <w:rPr>
          <w:rFonts w:ascii="Times New Roman" w:hAnsi="Times New Roman" w:cs="Times New Roman"/>
          <w:snapToGrid w:val="0"/>
        </w:rPr>
        <w:t>号）。</w:t>
      </w:r>
    </w:p>
    <w:p w:rsidR="002A5A5E" w:rsidRPr="00F9522B" w:rsidRDefault="00611CBA">
      <w:pPr>
        <w:pStyle w:val="aff4"/>
        <w:adjustRightInd/>
        <w:snapToGrid/>
        <w:ind w:firstLineChars="0" w:firstLine="0"/>
        <w:contextualSpacing/>
        <w:jc w:val="both"/>
        <w:rPr>
          <w:rFonts w:ascii="Times New Roman" w:hAnsi="Times New Roman" w:cs="Times New Roman"/>
          <w:snapToGrid w:val="0"/>
        </w:rPr>
      </w:pPr>
      <w:r w:rsidRPr="00F9522B">
        <w:rPr>
          <w:rFonts w:ascii="Times New Roman" w:hAnsi="Times New Roman" w:cs="Times New Roman"/>
          <w:snapToGrid w:val="0"/>
        </w:rPr>
        <w:t>（</w:t>
      </w:r>
      <w:r w:rsidRPr="00F9522B">
        <w:rPr>
          <w:rFonts w:ascii="Times New Roman" w:hAnsi="Times New Roman" w:cs="Times New Roman"/>
          <w:snapToGrid w:val="0"/>
        </w:rPr>
        <w:t>3</w:t>
      </w:r>
      <w:r w:rsidRPr="00F9522B">
        <w:rPr>
          <w:rFonts w:ascii="Times New Roman" w:hAnsi="Times New Roman" w:cs="Times New Roman"/>
          <w:snapToGrid w:val="0"/>
        </w:rPr>
        <w:t>）《关于进一步加强环境影响评价管理防范环境风险的通知》（环发</w:t>
      </w:r>
      <w:r w:rsidRPr="00F9522B">
        <w:rPr>
          <w:rFonts w:ascii="Times New Roman" w:hAnsi="Times New Roman" w:cs="Times New Roman"/>
          <w:snapToGrid w:val="0"/>
        </w:rPr>
        <w:t>[2012]77</w:t>
      </w:r>
      <w:r w:rsidRPr="00F9522B">
        <w:rPr>
          <w:rFonts w:ascii="Times New Roman" w:hAnsi="Times New Roman" w:cs="Times New Roman"/>
          <w:snapToGrid w:val="0"/>
        </w:rPr>
        <w:t>号，</w:t>
      </w:r>
      <w:r w:rsidRPr="00F9522B">
        <w:rPr>
          <w:rFonts w:ascii="Times New Roman" w:hAnsi="Times New Roman" w:cs="Times New Roman"/>
          <w:snapToGrid w:val="0"/>
        </w:rPr>
        <w:t>2012</w:t>
      </w:r>
      <w:r w:rsidRPr="00F9522B">
        <w:rPr>
          <w:rFonts w:ascii="Times New Roman" w:hAnsi="Times New Roman" w:cs="Times New Roman"/>
          <w:snapToGrid w:val="0"/>
        </w:rPr>
        <w:t>年</w:t>
      </w:r>
      <w:r w:rsidRPr="00F9522B">
        <w:rPr>
          <w:rFonts w:ascii="Times New Roman" w:hAnsi="Times New Roman" w:cs="Times New Roman"/>
          <w:snapToGrid w:val="0"/>
        </w:rPr>
        <w:t>7</w:t>
      </w:r>
      <w:r w:rsidRPr="00F9522B">
        <w:rPr>
          <w:rFonts w:ascii="Times New Roman" w:hAnsi="Times New Roman" w:cs="Times New Roman"/>
          <w:snapToGrid w:val="0"/>
        </w:rPr>
        <w:t>月</w:t>
      </w:r>
      <w:r w:rsidRPr="00F9522B">
        <w:rPr>
          <w:rFonts w:ascii="Times New Roman" w:hAnsi="Times New Roman" w:cs="Times New Roman"/>
          <w:snapToGrid w:val="0"/>
        </w:rPr>
        <w:t>3</w:t>
      </w:r>
      <w:r w:rsidRPr="00F9522B">
        <w:rPr>
          <w:rFonts w:ascii="Times New Roman" w:hAnsi="Times New Roman" w:cs="Times New Roman"/>
          <w:snapToGrid w:val="0"/>
        </w:rPr>
        <w:t>日实施）。</w:t>
      </w:r>
    </w:p>
    <w:p w:rsidR="002A5A5E" w:rsidRPr="00F9522B" w:rsidRDefault="00611CBA">
      <w:pPr>
        <w:spacing w:line="360" w:lineRule="auto"/>
        <w:rPr>
          <w:rFonts w:eastAsiaTheme="minorEastAsia"/>
          <w:snapToGrid w:val="0"/>
          <w:kern w:val="0"/>
          <w:sz w:val="24"/>
        </w:rPr>
      </w:pPr>
      <w:r w:rsidRPr="00F9522B">
        <w:rPr>
          <w:rFonts w:eastAsiaTheme="minorEastAsia"/>
          <w:snapToGrid w:val="0"/>
          <w:kern w:val="0"/>
          <w:sz w:val="24"/>
        </w:rPr>
        <w:t>（</w:t>
      </w:r>
      <w:r w:rsidRPr="00F9522B">
        <w:rPr>
          <w:rFonts w:eastAsiaTheme="minorEastAsia"/>
          <w:snapToGrid w:val="0"/>
          <w:kern w:val="0"/>
          <w:sz w:val="24"/>
        </w:rPr>
        <w:t>4</w:t>
      </w:r>
      <w:r w:rsidRPr="00F9522B">
        <w:rPr>
          <w:rFonts w:eastAsiaTheme="minorEastAsia"/>
          <w:snapToGrid w:val="0"/>
          <w:kern w:val="0"/>
          <w:sz w:val="24"/>
        </w:rPr>
        <w:t>）《建设项目环境影响评价分类管理名录（</w:t>
      </w:r>
      <w:r w:rsidRPr="00F9522B">
        <w:rPr>
          <w:rFonts w:eastAsiaTheme="minorEastAsia"/>
          <w:snapToGrid w:val="0"/>
          <w:kern w:val="0"/>
          <w:sz w:val="24"/>
        </w:rPr>
        <w:t>2021</w:t>
      </w:r>
      <w:r w:rsidRPr="00F9522B">
        <w:rPr>
          <w:rFonts w:eastAsiaTheme="minorEastAsia"/>
          <w:snapToGrid w:val="0"/>
          <w:kern w:val="0"/>
          <w:sz w:val="24"/>
        </w:rPr>
        <w:t>年版）》（生态环境部令第</w:t>
      </w:r>
      <w:r w:rsidRPr="00F9522B">
        <w:rPr>
          <w:rFonts w:eastAsiaTheme="minorEastAsia"/>
          <w:snapToGrid w:val="0"/>
          <w:kern w:val="0"/>
          <w:sz w:val="24"/>
        </w:rPr>
        <w:t>16</w:t>
      </w:r>
      <w:r w:rsidRPr="00F9522B">
        <w:rPr>
          <w:rFonts w:eastAsiaTheme="minorEastAsia"/>
          <w:snapToGrid w:val="0"/>
          <w:kern w:val="0"/>
          <w:sz w:val="24"/>
        </w:rPr>
        <w:t>号）</w:t>
      </w:r>
      <w:r w:rsidRPr="00F9522B">
        <w:rPr>
          <w:rFonts w:eastAsiaTheme="minorEastAsia"/>
          <w:snapToGrid w:val="0"/>
          <w:kern w:val="0"/>
          <w:sz w:val="24"/>
        </w:rPr>
        <w:t>2021.01.01</w:t>
      </w:r>
      <w:r w:rsidRPr="00F9522B">
        <w:rPr>
          <w:rFonts w:eastAsiaTheme="minorEastAsia"/>
          <w:snapToGrid w:val="0"/>
          <w:kern w:val="0"/>
          <w:sz w:val="24"/>
        </w:rPr>
        <w:t>。</w:t>
      </w:r>
    </w:p>
    <w:p w:rsidR="002A5A5E" w:rsidRPr="00F9522B" w:rsidRDefault="00611CBA">
      <w:pPr>
        <w:spacing w:line="360" w:lineRule="auto"/>
        <w:rPr>
          <w:rFonts w:eastAsiaTheme="minorEastAsia"/>
          <w:snapToGrid w:val="0"/>
          <w:kern w:val="0"/>
          <w:sz w:val="24"/>
        </w:rPr>
      </w:pPr>
      <w:r w:rsidRPr="00F9522B">
        <w:rPr>
          <w:rFonts w:eastAsiaTheme="minorEastAsia"/>
          <w:snapToGrid w:val="0"/>
          <w:kern w:val="0"/>
          <w:sz w:val="24"/>
        </w:rPr>
        <w:t>（</w:t>
      </w:r>
      <w:r w:rsidRPr="00F9522B">
        <w:rPr>
          <w:rFonts w:eastAsiaTheme="minorEastAsia"/>
          <w:snapToGrid w:val="0"/>
          <w:kern w:val="0"/>
          <w:sz w:val="24"/>
        </w:rPr>
        <w:t>5</w:t>
      </w:r>
      <w:r w:rsidRPr="00F9522B">
        <w:rPr>
          <w:rFonts w:eastAsiaTheme="minorEastAsia"/>
          <w:snapToGrid w:val="0"/>
          <w:kern w:val="0"/>
          <w:sz w:val="24"/>
        </w:rPr>
        <w:t>）《环境影响评价公众参与办法》生态环境部令第</w:t>
      </w:r>
      <w:r w:rsidRPr="00F9522B">
        <w:rPr>
          <w:rFonts w:eastAsiaTheme="minorEastAsia"/>
          <w:snapToGrid w:val="0"/>
          <w:kern w:val="0"/>
          <w:sz w:val="24"/>
        </w:rPr>
        <w:t>4</w:t>
      </w:r>
      <w:r w:rsidRPr="00F9522B">
        <w:rPr>
          <w:rFonts w:eastAsiaTheme="minorEastAsia"/>
          <w:snapToGrid w:val="0"/>
          <w:kern w:val="0"/>
          <w:sz w:val="24"/>
        </w:rPr>
        <w:t>号，</w:t>
      </w:r>
      <w:r w:rsidRPr="00F9522B">
        <w:rPr>
          <w:rFonts w:eastAsiaTheme="minorEastAsia"/>
          <w:snapToGrid w:val="0"/>
          <w:kern w:val="0"/>
          <w:sz w:val="24"/>
        </w:rPr>
        <w:t>2019.1.1</w:t>
      </w:r>
      <w:r w:rsidRPr="00F9522B">
        <w:rPr>
          <w:rFonts w:eastAsiaTheme="minorEastAsia"/>
          <w:snapToGrid w:val="0"/>
          <w:kern w:val="0"/>
          <w:sz w:val="24"/>
        </w:rPr>
        <w:t>。</w:t>
      </w:r>
    </w:p>
    <w:p w:rsidR="002A5A5E" w:rsidRPr="00F9522B" w:rsidRDefault="00611CBA">
      <w:pPr>
        <w:pStyle w:val="ab"/>
        <w:spacing w:before="100" w:beforeAutospacing="1" w:after="100" w:afterAutospacing="1"/>
        <w:outlineLvl w:val="2"/>
        <w:rPr>
          <w:rFonts w:eastAsiaTheme="minorEastAsia"/>
          <w:b/>
          <w:sz w:val="28"/>
          <w:szCs w:val="28"/>
        </w:rPr>
      </w:pPr>
      <w:r w:rsidRPr="00F9522B">
        <w:rPr>
          <w:rFonts w:eastAsiaTheme="minorEastAsia"/>
          <w:b/>
          <w:sz w:val="28"/>
          <w:szCs w:val="28"/>
        </w:rPr>
        <w:t>2.1.5</w:t>
      </w:r>
      <w:r w:rsidRPr="00F9522B">
        <w:rPr>
          <w:rFonts w:eastAsiaTheme="minorEastAsia"/>
          <w:b/>
          <w:sz w:val="28"/>
          <w:szCs w:val="28"/>
        </w:rPr>
        <w:t>其他资料</w:t>
      </w:r>
    </w:p>
    <w:p w:rsidR="002A5A5E" w:rsidRPr="00F9522B" w:rsidRDefault="00611CBA">
      <w:pPr>
        <w:spacing w:line="360" w:lineRule="auto"/>
        <w:rPr>
          <w:rFonts w:eastAsiaTheme="minorEastAsia"/>
          <w:snapToGrid w:val="0"/>
          <w:kern w:val="0"/>
          <w:sz w:val="24"/>
        </w:rPr>
      </w:pPr>
      <w:r w:rsidRPr="00F9522B">
        <w:rPr>
          <w:rFonts w:eastAsiaTheme="minorEastAsia"/>
          <w:snapToGrid w:val="0"/>
          <w:kern w:val="0"/>
          <w:sz w:val="24"/>
        </w:rPr>
        <w:t>（</w:t>
      </w:r>
      <w:r w:rsidRPr="00F9522B">
        <w:rPr>
          <w:rFonts w:eastAsiaTheme="minorEastAsia"/>
          <w:snapToGrid w:val="0"/>
          <w:kern w:val="0"/>
          <w:sz w:val="24"/>
        </w:rPr>
        <w:t>1</w:t>
      </w:r>
      <w:r w:rsidRPr="00F9522B">
        <w:rPr>
          <w:rFonts w:eastAsiaTheme="minorEastAsia"/>
          <w:snapToGrid w:val="0"/>
          <w:kern w:val="0"/>
          <w:sz w:val="24"/>
        </w:rPr>
        <w:t>）《</w:t>
      </w:r>
      <w:r w:rsidR="003A7922" w:rsidRPr="00F9522B">
        <w:rPr>
          <w:rFonts w:eastAsiaTheme="minorEastAsia"/>
          <w:snapToGrid w:val="0"/>
          <w:kern w:val="0"/>
          <w:sz w:val="24"/>
        </w:rPr>
        <w:t>呼兰区</w:t>
      </w:r>
      <w:r w:rsidR="003A7922" w:rsidRPr="00F9522B">
        <w:rPr>
          <w:rFonts w:eastAsiaTheme="minorEastAsia"/>
          <w:snapToGrid w:val="0"/>
          <w:kern w:val="0"/>
          <w:sz w:val="24"/>
        </w:rPr>
        <w:t>2026</w:t>
      </w:r>
      <w:r w:rsidR="003A7922" w:rsidRPr="00F9522B">
        <w:rPr>
          <w:rFonts w:eastAsiaTheme="minorEastAsia"/>
          <w:snapToGrid w:val="0"/>
          <w:kern w:val="0"/>
          <w:sz w:val="24"/>
        </w:rPr>
        <w:t>年高标准农田建设项目</w:t>
      </w:r>
      <w:r w:rsidRPr="00F9522B">
        <w:rPr>
          <w:rFonts w:eastAsiaTheme="minorEastAsia"/>
          <w:snapToGrid w:val="0"/>
          <w:kern w:val="0"/>
          <w:sz w:val="24"/>
        </w:rPr>
        <w:t>》技术咨询合同书。</w:t>
      </w:r>
    </w:p>
    <w:p w:rsidR="002A5A5E" w:rsidRPr="00F9522B" w:rsidRDefault="00611CBA">
      <w:pPr>
        <w:spacing w:line="360" w:lineRule="auto"/>
        <w:rPr>
          <w:rFonts w:eastAsiaTheme="minorEastAsia"/>
          <w:snapToGrid w:val="0"/>
          <w:kern w:val="0"/>
          <w:sz w:val="24"/>
        </w:rPr>
      </w:pPr>
      <w:r w:rsidRPr="00F9522B">
        <w:rPr>
          <w:rFonts w:eastAsiaTheme="minorEastAsia"/>
          <w:snapToGrid w:val="0"/>
          <w:kern w:val="0"/>
          <w:sz w:val="24"/>
        </w:rPr>
        <w:t>（</w:t>
      </w:r>
      <w:r w:rsidRPr="00F9522B">
        <w:rPr>
          <w:rFonts w:eastAsiaTheme="minorEastAsia"/>
          <w:snapToGrid w:val="0"/>
          <w:kern w:val="0"/>
          <w:sz w:val="24"/>
        </w:rPr>
        <w:t>2</w:t>
      </w:r>
      <w:r w:rsidRPr="00F9522B">
        <w:rPr>
          <w:rFonts w:eastAsiaTheme="minorEastAsia"/>
          <w:snapToGrid w:val="0"/>
          <w:kern w:val="0"/>
          <w:sz w:val="24"/>
        </w:rPr>
        <w:t>）</w:t>
      </w:r>
      <w:r w:rsidR="00AD4150" w:rsidRPr="00F9522B">
        <w:rPr>
          <w:rFonts w:eastAsiaTheme="minorEastAsia"/>
          <w:snapToGrid w:val="0"/>
          <w:kern w:val="0"/>
          <w:sz w:val="24"/>
        </w:rPr>
        <w:t>《关于呼兰区</w:t>
      </w:r>
      <w:r w:rsidR="00AD4150" w:rsidRPr="00F9522B">
        <w:rPr>
          <w:rFonts w:eastAsiaTheme="minorEastAsia"/>
          <w:snapToGrid w:val="0"/>
          <w:kern w:val="0"/>
          <w:sz w:val="24"/>
        </w:rPr>
        <w:t>2026</w:t>
      </w:r>
      <w:r w:rsidR="00AD4150" w:rsidRPr="00F9522B">
        <w:rPr>
          <w:rFonts w:eastAsiaTheme="minorEastAsia"/>
          <w:snapToGrid w:val="0"/>
          <w:kern w:val="0"/>
          <w:sz w:val="24"/>
        </w:rPr>
        <w:t>年高标准农田建设项目审定投资及补充设计的批复》（哈农复〔</w:t>
      </w:r>
      <w:r w:rsidR="00AD4150" w:rsidRPr="00F9522B">
        <w:rPr>
          <w:rFonts w:eastAsiaTheme="minorEastAsia"/>
          <w:snapToGrid w:val="0"/>
          <w:kern w:val="0"/>
          <w:sz w:val="24"/>
        </w:rPr>
        <w:t>2026</w:t>
      </w:r>
      <w:r w:rsidR="00AD4150" w:rsidRPr="00F9522B">
        <w:rPr>
          <w:rFonts w:eastAsiaTheme="minorEastAsia"/>
          <w:snapToGrid w:val="0"/>
          <w:kern w:val="0"/>
          <w:sz w:val="24"/>
        </w:rPr>
        <w:t>〕</w:t>
      </w:r>
      <w:r w:rsidR="00AD4150" w:rsidRPr="00F9522B">
        <w:rPr>
          <w:rFonts w:eastAsiaTheme="minorEastAsia"/>
          <w:snapToGrid w:val="0"/>
          <w:kern w:val="0"/>
          <w:sz w:val="24"/>
        </w:rPr>
        <w:t>13</w:t>
      </w:r>
      <w:r w:rsidR="00AD4150" w:rsidRPr="00F9522B">
        <w:rPr>
          <w:rFonts w:eastAsiaTheme="minorEastAsia"/>
          <w:snapToGrid w:val="0"/>
          <w:kern w:val="0"/>
          <w:sz w:val="24"/>
        </w:rPr>
        <w:t>号）</w:t>
      </w:r>
      <w:r w:rsidRPr="00F9522B">
        <w:rPr>
          <w:rFonts w:eastAsiaTheme="minorEastAsia"/>
          <w:snapToGrid w:val="0"/>
          <w:kern w:val="0"/>
          <w:sz w:val="24"/>
        </w:rPr>
        <w:t>，</w:t>
      </w:r>
      <w:r w:rsidR="00AD4150" w:rsidRPr="00F9522B">
        <w:rPr>
          <w:rFonts w:eastAsiaTheme="minorEastAsia"/>
          <w:snapToGrid w:val="0"/>
          <w:kern w:val="0"/>
          <w:sz w:val="24"/>
        </w:rPr>
        <w:t>黑龙江沃土华源科技开发有限公司</w:t>
      </w:r>
      <w:r w:rsidRPr="00F9522B">
        <w:rPr>
          <w:rFonts w:eastAsiaTheme="minorEastAsia"/>
          <w:snapToGrid w:val="0"/>
          <w:kern w:val="0"/>
          <w:sz w:val="24"/>
        </w:rPr>
        <w:t>，</w:t>
      </w:r>
      <w:r w:rsidRPr="00F9522B">
        <w:rPr>
          <w:rFonts w:eastAsiaTheme="minorEastAsia"/>
          <w:snapToGrid w:val="0"/>
          <w:kern w:val="0"/>
          <w:sz w:val="24"/>
        </w:rPr>
        <w:t>202</w:t>
      </w:r>
      <w:r w:rsidR="00AD4150" w:rsidRPr="00F9522B">
        <w:rPr>
          <w:rFonts w:eastAsiaTheme="minorEastAsia"/>
          <w:snapToGrid w:val="0"/>
          <w:kern w:val="0"/>
          <w:sz w:val="24"/>
        </w:rPr>
        <w:t>6</w:t>
      </w:r>
      <w:r w:rsidRPr="00F9522B">
        <w:rPr>
          <w:rFonts w:eastAsiaTheme="minorEastAsia"/>
          <w:snapToGrid w:val="0"/>
          <w:kern w:val="0"/>
          <w:sz w:val="24"/>
        </w:rPr>
        <w:t>年</w:t>
      </w:r>
      <w:r w:rsidR="00AD4150" w:rsidRPr="00F9522B">
        <w:rPr>
          <w:rFonts w:eastAsiaTheme="minorEastAsia"/>
          <w:snapToGrid w:val="0"/>
          <w:kern w:val="0"/>
          <w:sz w:val="24"/>
        </w:rPr>
        <w:t>3</w:t>
      </w:r>
      <w:r w:rsidRPr="00F9522B">
        <w:rPr>
          <w:rFonts w:eastAsiaTheme="minorEastAsia"/>
          <w:snapToGrid w:val="0"/>
          <w:kern w:val="0"/>
          <w:sz w:val="24"/>
        </w:rPr>
        <w:t>月。</w:t>
      </w:r>
    </w:p>
    <w:p w:rsidR="002A5A5E" w:rsidRPr="00F9522B" w:rsidRDefault="00611CBA">
      <w:pPr>
        <w:spacing w:line="360" w:lineRule="auto"/>
        <w:rPr>
          <w:rFonts w:eastAsiaTheme="minorEastAsia"/>
          <w:snapToGrid w:val="0"/>
          <w:kern w:val="0"/>
          <w:sz w:val="24"/>
        </w:rPr>
      </w:pPr>
      <w:r w:rsidRPr="00F9522B">
        <w:rPr>
          <w:rFonts w:eastAsiaTheme="minorEastAsia"/>
          <w:snapToGrid w:val="0"/>
          <w:kern w:val="0"/>
          <w:sz w:val="24"/>
        </w:rPr>
        <w:lastRenderedPageBreak/>
        <w:t>（</w:t>
      </w:r>
      <w:r w:rsidRPr="00F9522B">
        <w:rPr>
          <w:rFonts w:eastAsiaTheme="minorEastAsia"/>
          <w:snapToGrid w:val="0"/>
          <w:kern w:val="0"/>
          <w:sz w:val="24"/>
        </w:rPr>
        <w:t>3</w:t>
      </w:r>
      <w:r w:rsidRPr="00F9522B">
        <w:rPr>
          <w:rFonts w:eastAsiaTheme="minorEastAsia"/>
          <w:snapToGrid w:val="0"/>
          <w:kern w:val="0"/>
          <w:sz w:val="24"/>
        </w:rPr>
        <w:t>）《</w:t>
      </w:r>
      <w:r w:rsidR="003A7922" w:rsidRPr="00F9522B">
        <w:rPr>
          <w:rFonts w:eastAsiaTheme="minorEastAsia"/>
          <w:snapToGrid w:val="0"/>
          <w:kern w:val="0"/>
          <w:sz w:val="24"/>
        </w:rPr>
        <w:t>呼兰区</w:t>
      </w:r>
      <w:r w:rsidR="003A7922" w:rsidRPr="00F9522B">
        <w:rPr>
          <w:rFonts w:eastAsiaTheme="minorEastAsia"/>
          <w:snapToGrid w:val="0"/>
          <w:kern w:val="0"/>
          <w:sz w:val="24"/>
        </w:rPr>
        <w:t>2026</w:t>
      </w:r>
      <w:r w:rsidR="003A7922" w:rsidRPr="00F9522B">
        <w:rPr>
          <w:rFonts w:eastAsiaTheme="minorEastAsia"/>
          <w:snapToGrid w:val="0"/>
          <w:kern w:val="0"/>
          <w:sz w:val="24"/>
        </w:rPr>
        <w:t>年高标准农田建设项目</w:t>
      </w:r>
      <w:r w:rsidRPr="00F9522B">
        <w:rPr>
          <w:rFonts w:eastAsiaTheme="minorEastAsia"/>
          <w:snapToGrid w:val="0"/>
          <w:kern w:val="0"/>
          <w:sz w:val="24"/>
        </w:rPr>
        <w:t>水资源论证报告</w:t>
      </w:r>
      <w:r w:rsidR="00AD4150" w:rsidRPr="00F9522B">
        <w:rPr>
          <w:rFonts w:eastAsiaTheme="minorEastAsia"/>
          <w:snapToGrid w:val="0"/>
          <w:kern w:val="0"/>
          <w:sz w:val="24"/>
        </w:rPr>
        <w:t>专家评审</w:t>
      </w:r>
      <w:r w:rsidRPr="00F9522B">
        <w:rPr>
          <w:rFonts w:eastAsiaTheme="minorEastAsia"/>
          <w:snapToGrid w:val="0"/>
          <w:kern w:val="0"/>
          <w:sz w:val="24"/>
        </w:rPr>
        <w:t>意见》，</w:t>
      </w:r>
      <w:r w:rsidR="00AD4150" w:rsidRPr="00F9522B">
        <w:rPr>
          <w:rFonts w:eastAsiaTheme="minorEastAsia"/>
          <w:snapToGrid w:val="0"/>
          <w:kern w:val="0"/>
          <w:sz w:val="24"/>
        </w:rPr>
        <w:t>大庆市润泽水利工程技术咨询有限责任公司</w:t>
      </w:r>
      <w:r w:rsidRPr="00F9522B">
        <w:rPr>
          <w:rFonts w:eastAsiaTheme="minorEastAsia"/>
          <w:snapToGrid w:val="0"/>
          <w:kern w:val="0"/>
          <w:sz w:val="24"/>
        </w:rPr>
        <w:t>，</w:t>
      </w:r>
      <w:r w:rsidRPr="00F9522B">
        <w:rPr>
          <w:rFonts w:eastAsiaTheme="minorEastAsia"/>
          <w:snapToGrid w:val="0"/>
          <w:kern w:val="0"/>
          <w:sz w:val="24"/>
        </w:rPr>
        <w:t>202</w:t>
      </w:r>
      <w:r w:rsidR="00AD4150" w:rsidRPr="00F9522B">
        <w:rPr>
          <w:rFonts w:eastAsiaTheme="minorEastAsia"/>
          <w:snapToGrid w:val="0"/>
          <w:kern w:val="0"/>
          <w:sz w:val="24"/>
        </w:rPr>
        <w:t>6</w:t>
      </w:r>
      <w:r w:rsidRPr="00F9522B">
        <w:rPr>
          <w:rFonts w:eastAsiaTheme="minorEastAsia"/>
          <w:snapToGrid w:val="0"/>
          <w:kern w:val="0"/>
          <w:sz w:val="24"/>
        </w:rPr>
        <w:t>年</w:t>
      </w:r>
      <w:r w:rsidR="00AD4150" w:rsidRPr="00F9522B">
        <w:rPr>
          <w:rFonts w:eastAsiaTheme="minorEastAsia"/>
          <w:snapToGrid w:val="0"/>
          <w:kern w:val="0"/>
          <w:sz w:val="24"/>
        </w:rPr>
        <w:t>1</w:t>
      </w:r>
      <w:r w:rsidRPr="00F9522B">
        <w:rPr>
          <w:rFonts w:eastAsiaTheme="minorEastAsia"/>
          <w:snapToGrid w:val="0"/>
          <w:kern w:val="0"/>
          <w:sz w:val="24"/>
        </w:rPr>
        <w:t>月</w:t>
      </w:r>
      <w:r w:rsidR="00AD4150" w:rsidRPr="00F9522B">
        <w:rPr>
          <w:rFonts w:eastAsiaTheme="minorEastAsia"/>
          <w:snapToGrid w:val="0"/>
          <w:kern w:val="0"/>
          <w:sz w:val="24"/>
        </w:rPr>
        <w:t>24</w:t>
      </w:r>
      <w:r w:rsidRPr="00F9522B">
        <w:rPr>
          <w:rFonts w:eastAsiaTheme="minorEastAsia"/>
          <w:snapToGrid w:val="0"/>
          <w:kern w:val="0"/>
          <w:sz w:val="24"/>
        </w:rPr>
        <w:t>日。</w:t>
      </w:r>
    </w:p>
    <w:p w:rsidR="002A5A5E" w:rsidRPr="00F9522B" w:rsidRDefault="00611CBA">
      <w:pPr>
        <w:spacing w:before="100" w:beforeAutospacing="1" w:after="100" w:afterAutospacing="1"/>
        <w:contextualSpacing/>
        <w:jc w:val="left"/>
        <w:outlineLvl w:val="1"/>
        <w:rPr>
          <w:rFonts w:eastAsiaTheme="minorEastAsia"/>
          <w:b/>
          <w:bCs/>
          <w:kern w:val="44"/>
          <w:sz w:val="30"/>
          <w:szCs w:val="30"/>
        </w:rPr>
      </w:pPr>
      <w:bookmarkStart w:id="37" w:name="_Toc208906225"/>
      <w:r w:rsidRPr="00F9522B">
        <w:rPr>
          <w:rFonts w:eastAsiaTheme="minorEastAsia"/>
          <w:b/>
          <w:bCs/>
          <w:kern w:val="44"/>
          <w:sz w:val="30"/>
          <w:szCs w:val="30"/>
        </w:rPr>
        <w:t>2.2</w:t>
      </w:r>
      <w:r w:rsidRPr="00F9522B">
        <w:rPr>
          <w:rFonts w:eastAsiaTheme="minorEastAsia"/>
          <w:b/>
          <w:bCs/>
          <w:kern w:val="44"/>
          <w:sz w:val="30"/>
          <w:szCs w:val="30"/>
        </w:rPr>
        <w:t>评价目的与原则</w:t>
      </w:r>
      <w:bookmarkEnd w:id="37"/>
    </w:p>
    <w:p w:rsidR="002A5A5E" w:rsidRPr="00F9522B" w:rsidRDefault="00611CBA">
      <w:pPr>
        <w:pStyle w:val="ab"/>
        <w:spacing w:before="100" w:beforeAutospacing="1" w:after="100" w:afterAutospacing="1"/>
        <w:outlineLvl w:val="2"/>
        <w:rPr>
          <w:rFonts w:eastAsiaTheme="minorEastAsia"/>
          <w:b/>
          <w:sz w:val="28"/>
          <w:szCs w:val="28"/>
        </w:rPr>
      </w:pPr>
      <w:r w:rsidRPr="00F9522B">
        <w:rPr>
          <w:rFonts w:eastAsiaTheme="minorEastAsia"/>
          <w:b/>
          <w:sz w:val="28"/>
          <w:szCs w:val="28"/>
        </w:rPr>
        <w:t>2.2.1</w:t>
      </w:r>
      <w:r w:rsidRPr="00F9522B">
        <w:rPr>
          <w:rFonts w:eastAsiaTheme="minorEastAsia"/>
          <w:b/>
          <w:sz w:val="28"/>
          <w:szCs w:val="28"/>
        </w:rPr>
        <w:t>评价目的</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根据</w:t>
      </w:r>
      <w:r w:rsidR="003A7922" w:rsidRPr="00F9522B">
        <w:rPr>
          <w:rFonts w:ascii="Times New Roman" w:hAnsi="Times New Roman" w:cs="Times New Roman"/>
        </w:rPr>
        <w:t>呼兰区</w:t>
      </w:r>
      <w:r w:rsidR="003A7922" w:rsidRPr="00F9522B">
        <w:rPr>
          <w:rFonts w:ascii="Times New Roman" w:hAnsi="Times New Roman" w:cs="Times New Roman"/>
        </w:rPr>
        <w:t>2026</w:t>
      </w:r>
      <w:r w:rsidR="003A7922" w:rsidRPr="00F9522B">
        <w:rPr>
          <w:rFonts w:ascii="Times New Roman" w:hAnsi="Times New Roman" w:cs="Times New Roman"/>
        </w:rPr>
        <w:t>年高标准农田建设项目</w:t>
      </w:r>
      <w:r w:rsidRPr="00F9522B">
        <w:rPr>
          <w:rFonts w:ascii="Times New Roman" w:hAnsi="Times New Roman" w:cs="Times New Roman"/>
        </w:rPr>
        <w:t>所在地域的环境特点以及国家有关法律法规要求，编制本报告的主要目的在于：</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1</w:t>
      </w:r>
      <w:r w:rsidRPr="00F9522B">
        <w:rPr>
          <w:rFonts w:ascii="Times New Roman" w:hAnsi="Times New Roman" w:cs="Times New Roman"/>
        </w:rPr>
        <w:t>）分析工程与法律法规、国家相关政策及规划的符合性，从环保角度分析、论述工程的可行性和必要性，以及工程方案的环境合理性。</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2</w:t>
      </w:r>
      <w:r w:rsidRPr="00F9522B">
        <w:rPr>
          <w:rFonts w:ascii="Times New Roman" w:hAnsi="Times New Roman" w:cs="Times New Roman"/>
        </w:rPr>
        <w:t>）调查工程影响区域地表水环境、地下水环境、环境空气、声环境、生态环境、土壤环境现状，明确工程建设评价范围内的环境功能目标、环境保护敏感目标以及是否存在重大环境制约因素，识别存在的主要环境问题，优化工程线路布置。</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3</w:t>
      </w:r>
      <w:r w:rsidRPr="00F9522B">
        <w:rPr>
          <w:rFonts w:ascii="Times New Roman" w:hAnsi="Times New Roman" w:cs="Times New Roman"/>
        </w:rPr>
        <w:t>）根据工程性质、运行特点及施工工艺、方法，预测评价工程施工和运行对工程区及影响区的有利与不利环境影响。</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4</w:t>
      </w:r>
      <w:r w:rsidRPr="00F9522B">
        <w:rPr>
          <w:rFonts w:ascii="Times New Roman" w:hAnsi="Times New Roman" w:cs="Times New Roman"/>
        </w:rPr>
        <w:t>）针对工程建设、运行可能对环境带来的不利影响，制定切实可行的环境保护对策措施，使区域环境质量不因工程建设和运行而下降，生态系统得到有效保护，充分发挥工程的经济效益、社会效益和环境效益，促进工程区域经济、社会、资源环境的协调可持续发展。</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5</w:t>
      </w:r>
      <w:r w:rsidRPr="00F9522B">
        <w:rPr>
          <w:rFonts w:ascii="Times New Roman" w:hAnsi="Times New Roman" w:cs="Times New Roman"/>
        </w:rPr>
        <w:t>）拟定工程施工及运行期的环境管理和环境监理计划，动态及时掌握工程环境影响状况并做出反馈，对环境保护措施进行调整和优化，保证工程环境保护措施的实施效果达到相应环保要求。</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6</w:t>
      </w:r>
      <w:r w:rsidRPr="00F9522B">
        <w:rPr>
          <w:rFonts w:ascii="Times New Roman" w:hAnsi="Times New Roman" w:cs="Times New Roman"/>
        </w:rPr>
        <w:t>）进行环境保护费用估算，将环保投资纳入工程总投资，落实工程环境</w:t>
      </w:r>
      <w:r w:rsidRPr="00F9522B">
        <w:rPr>
          <w:rFonts w:ascii="Times New Roman" w:hAnsi="Times New Roman" w:cs="Times New Roman"/>
        </w:rPr>
        <w:t xml:space="preserve"> </w:t>
      </w:r>
    </w:p>
    <w:p w:rsidR="002A5A5E" w:rsidRPr="00F9522B" w:rsidRDefault="00611CBA">
      <w:pPr>
        <w:pStyle w:val="aff4"/>
        <w:adjustRightInd/>
        <w:snapToGrid/>
        <w:ind w:firstLineChars="0" w:firstLine="0"/>
        <w:contextualSpacing/>
        <w:jc w:val="both"/>
        <w:rPr>
          <w:rFonts w:ascii="Times New Roman" w:hAnsi="Times New Roman" w:cs="Times New Roman"/>
        </w:rPr>
      </w:pPr>
      <w:r w:rsidRPr="00F9522B">
        <w:rPr>
          <w:rFonts w:ascii="Times New Roman" w:hAnsi="Times New Roman" w:cs="Times New Roman"/>
        </w:rPr>
        <w:t>保护工作费用，为环保措施的顺利实施提供资金保证。</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7</w:t>
      </w:r>
      <w:r w:rsidRPr="00F9522B">
        <w:rPr>
          <w:rFonts w:ascii="Times New Roman" w:hAnsi="Times New Roman" w:cs="Times New Roman"/>
        </w:rPr>
        <w:t>）分析、预测环境保护措施实施后，工程涉及区域环境质量的总体变化</w:t>
      </w:r>
      <w:r w:rsidRPr="00F9522B">
        <w:rPr>
          <w:rFonts w:ascii="Times New Roman" w:hAnsi="Times New Roman" w:cs="Times New Roman"/>
        </w:rPr>
        <w:t xml:space="preserve"> </w:t>
      </w:r>
    </w:p>
    <w:p w:rsidR="002A5A5E" w:rsidRPr="00F9522B" w:rsidRDefault="00611CBA">
      <w:pPr>
        <w:pStyle w:val="aff4"/>
        <w:adjustRightInd/>
        <w:snapToGrid/>
        <w:ind w:firstLineChars="0" w:firstLine="0"/>
        <w:contextualSpacing/>
        <w:jc w:val="both"/>
        <w:rPr>
          <w:rFonts w:ascii="Times New Roman" w:hAnsi="Times New Roman" w:cs="Times New Roman"/>
        </w:rPr>
      </w:pPr>
      <w:r w:rsidRPr="00F9522B">
        <w:rPr>
          <w:rFonts w:ascii="Times New Roman" w:hAnsi="Times New Roman" w:cs="Times New Roman"/>
        </w:rPr>
        <w:t>趋势，从环境影响角度分析本工程建设的可行性，为工程的方案论证、环境管理和项目决策提供科学依据。</w:t>
      </w:r>
    </w:p>
    <w:p w:rsidR="002A5A5E" w:rsidRPr="00F9522B" w:rsidRDefault="00611CBA">
      <w:pPr>
        <w:pStyle w:val="ab"/>
        <w:spacing w:before="100" w:beforeAutospacing="1" w:after="100" w:afterAutospacing="1"/>
        <w:outlineLvl w:val="2"/>
        <w:rPr>
          <w:rFonts w:eastAsiaTheme="minorEastAsia"/>
          <w:b/>
          <w:sz w:val="28"/>
          <w:szCs w:val="28"/>
        </w:rPr>
      </w:pPr>
      <w:r w:rsidRPr="00F9522B">
        <w:rPr>
          <w:rFonts w:eastAsiaTheme="minorEastAsia"/>
          <w:b/>
          <w:sz w:val="28"/>
          <w:szCs w:val="28"/>
        </w:rPr>
        <w:t>2.2.2</w:t>
      </w:r>
      <w:r w:rsidRPr="00F9522B">
        <w:rPr>
          <w:rFonts w:eastAsiaTheme="minorEastAsia"/>
          <w:b/>
          <w:sz w:val="28"/>
          <w:szCs w:val="28"/>
        </w:rPr>
        <w:t>评价原则</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lastRenderedPageBreak/>
        <w:t>（</w:t>
      </w:r>
      <w:r w:rsidRPr="00F9522B">
        <w:rPr>
          <w:rFonts w:ascii="Times New Roman" w:hAnsi="Times New Roman" w:cs="Times New Roman"/>
        </w:rPr>
        <w:t>1</w:t>
      </w:r>
      <w:r w:rsidRPr="00F9522B">
        <w:rPr>
          <w:rFonts w:ascii="Times New Roman" w:hAnsi="Times New Roman" w:cs="Times New Roman"/>
        </w:rPr>
        <w:t>）依法评价：贯彻执行我国环境保护相关法律法规、标准、政策和规划等，优化项目建设，服务环境管理。</w:t>
      </w:r>
      <w:r w:rsidRPr="00F9522B">
        <w:rPr>
          <w:rFonts w:ascii="Times New Roman" w:hAnsi="Times New Roman" w:cs="Times New Roman"/>
        </w:rPr>
        <w:t xml:space="preserve"> </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2</w:t>
      </w:r>
      <w:r w:rsidRPr="00F9522B">
        <w:rPr>
          <w:rFonts w:ascii="Times New Roman" w:hAnsi="Times New Roman" w:cs="Times New Roman"/>
        </w:rPr>
        <w:t>）科学评价：规范环境影响评价方法，科学分析项目建设对环境质量的</w:t>
      </w:r>
      <w:r w:rsidRPr="00F9522B">
        <w:rPr>
          <w:rFonts w:ascii="Times New Roman" w:hAnsi="Times New Roman" w:cs="Times New Roman"/>
        </w:rPr>
        <w:t xml:space="preserve"> </w:t>
      </w:r>
    </w:p>
    <w:p w:rsidR="002A5A5E" w:rsidRPr="00F9522B" w:rsidRDefault="00611CBA">
      <w:pPr>
        <w:pStyle w:val="aff4"/>
        <w:adjustRightInd/>
        <w:snapToGrid/>
        <w:ind w:firstLineChars="0" w:firstLine="0"/>
        <w:contextualSpacing/>
        <w:jc w:val="both"/>
        <w:rPr>
          <w:rFonts w:ascii="Times New Roman" w:hAnsi="Times New Roman" w:cs="Times New Roman"/>
        </w:rPr>
      </w:pPr>
      <w:r w:rsidRPr="00F9522B">
        <w:rPr>
          <w:rFonts w:ascii="Times New Roman" w:hAnsi="Times New Roman" w:cs="Times New Roman"/>
        </w:rPr>
        <w:t>影响。</w:t>
      </w:r>
      <w:r w:rsidRPr="00F9522B">
        <w:rPr>
          <w:rFonts w:ascii="Times New Roman" w:hAnsi="Times New Roman" w:cs="Times New Roman"/>
        </w:rPr>
        <w:t xml:space="preserve"> </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3</w:t>
      </w:r>
      <w:r w:rsidRPr="00F9522B">
        <w:rPr>
          <w:rFonts w:ascii="Times New Roman" w:hAnsi="Times New Roman" w:cs="Times New Roman"/>
        </w:rPr>
        <w:t>）突出重点：根据项目工程内容及其特点，明确与环境要素间的作用效</w:t>
      </w:r>
      <w:r w:rsidRPr="00F9522B">
        <w:rPr>
          <w:rFonts w:ascii="Times New Roman" w:hAnsi="Times New Roman" w:cs="Times New Roman"/>
        </w:rPr>
        <w:t xml:space="preserve"> </w:t>
      </w:r>
    </w:p>
    <w:p w:rsidR="002A5A5E" w:rsidRPr="00F9522B" w:rsidRDefault="00611CBA">
      <w:pPr>
        <w:pStyle w:val="aff4"/>
        <w:adjustRightInd/>
        <w:snapToGrid/>
        <w:ind w:firstLineChars="0" w:firstLine="0"/>
        <w:contextualSpacing/>
        <w:jc w:val="both"/>
        <w:rPr>
          <w:rFonts w:ascii="Times New Roman" w:hAnsi="Times New Roman" w:cs="Times New Roman"/>
        </w:rPr>
      </w:pPr>
      <w:r w:rsidRPr="00F9522B">
        <w:rPr>
          <w:rFonts w:ascii="Times New Roman" w:hAnsi="Times New Roman" w:cs="Times New Roman"/>
        </w:rPr>
        <w:t>应关系，对建设项目主要环境影响予以重点分析和评价。</w:t>
      </w:r>
    </w:p>
    <w:p w:rsidR="002A5A5E" w:rsidRPr="00F9522B" w:rsidRDefault="00611CBA">
      <w:pPr>
        <w:spacing w:before="100" w:beforeAutospacing="1" w:after="100" w:afterAutospacing="1"/>
        <w:contextualSpacing/>
        <w:jc w:val="left"/>
        <w:outlineLvl w:val="1"/>
        <w:rPr>
          <w:rFonts w:eastAsiaTheme="minorEastAsia"/>
          <w:b/>
          <w:bCs/>
          <w:kern w:val="44"/>
          <w:sz w:val="30"/>
          <w:szCs w:val="30"/>
        </w:rPr>
      </w:pPr>
      <w:bookmarkStart w:id="38" w:name="_Toc208906226"/>
      <w:r w:rsidRPr="00F9522B">
        <w:rPr>
          <w:rFonts w:eastAsiaTheme="minorEastAsia"/>
          <w:b/>
          <w:bCs/>
          <w:kern w:val="44"/>
          <w:sz w:val="30"/>
          <w:szCs w:val="30"/>
        </w:rPr>
        <w:t>2.3</w:t>
      </w:r>
      <w:r w:rsidRPr="00F9522B">
        <w:rPr>
          <w:rFonts w:eastAsiaTheme="minorEastAsia"/>
          <w:b/>
          <w:bCs/>
          <w:kern w:val="44"/>
          <w:sz w:val="30"/>
          <w:szCs w:val="30"/>
        </w:rPr>
        <w:t>评价内容及评价重点</w:t>
      </w:r>
      <w:bookmarkEnd w:id="38"/>
    </w:p>
    <w:p w:rsidR="002A5A5E" w:rsidRPr="00F9522B" w:rsidRDefault="00611CBA">
      <w:pPr>
        <w:pStyle w:val="ab"/>
        <w:spacing w:before="100" w:beforeAutospacing="1" w:after="100" w:afterAutospacing="1"/>
        <w:outlineLvl w:val="2"/>
        <w:rPr>
          <w:rFonts w:eastAsiaTheme="minorEastAsia"/>
          <w:b/>
          <w:sz w:val="28"/>
          <w:szCs w:val="28"/>
        </w:rPr>
      </w:pPr>
      <w:r w:rsidRPr="00F9522B">
        <w:rPr>
          <w:rFonts w:eastAsiaTheme="minorEastAsia"/>
          <w:b/>
          <w:sz w:val="28"/>
          <w:szCs w:val="28"/>
        </w:rPr>
        <w:t>2.3.1</w:t>
      </w:r>
      <w:r w:rsidRPr="00F9522B">
        <w:rPr>
          <w:rFonts w:eastAsiaTheme="minorEastAsia"/>
          <w:b/>
          <w:sz w:val="28"/>
          <w:szCs w:val="28"/>
        </w:rPr>
        <w:t>评价内容</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根据本项目建设内容、特点及所在地区域环境概况及环境影响评价技术导则的要求，确定本次环境影响评价内容为：</w:t>
      </w:r>
      <w:r w:rsidRPr="00F9522B">
        <w:rPr>
          <w:rFonts w:ascii="Times New Roman" w:hAnsi="Times New Roman" w:cs="Times New Roman"/>
        </w:rPr>
        <w:t xml:space="preserve"> </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1</w:t>
      </w:r>
      <w:r w:rsidRPr="00F9522B">
        <w:rPr>
          <w:rFonts w:ascii="Times New Roman" w:hAnsi="Times New Roman" w:cs="Times New Roman"/>
        </w:rPr>
        <w:t>）对项目所在区域的环境质量现状进行评价，重点关注受到本项目农业退水影响区域的地表水环境质量现状及陆生、水生生态现状，地下水环境现状，作为环境影响评价预测的依据。</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2</w:t>
      </w:r>
      <w:r w:rsidRPr="00F9522B">
        <w:rPr>
          <w:rFonts w:ascii="Times New Roman" w:hAnsi="Times New Roman" w:cs="Times New Roman"/>
        </w:rPr>
        <w:t>）针对项目建设特点、规模以及项目建设与运行所涉及的环境问题，重点关注地下水灌溉井取水对区域地下水水质、水位等影响，现有水田退水对区域的地表水环境影响，落实完善其污染防治措施。</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3</w:t>
      </w:r>
      <w:r w:rsidRPr="00F9522B">
        <w:rPr>
          <w:rFonts w:ascii="Times New Roman" w:hAnsi="Times New Roman" w:cs="Times New Roman"/>
        </w:rPr>
        <w:t>）针对本项目的建设特点和排污特征，提出经济合理、技术可行的污染防治措施。</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4</w:t>
      </w:r>
      <w:r w:rsidRPr="00F9522B">
        <w:rPr>
          <w:rFonts w:ascii="Times New Roman" w:hAnsi="Times New Roman" w:cs="Times New Roman"/>
        </w:rPr>
        <w:t>）评价本项目运行后，对评价区生态环境以及地表水环境质量产生影响的范围和程度，从环保角度论证本项目建设的可行性。</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5</w:t>
      </w:r>
      <w:r w:rsidRPr="00F9522B">
        <w:rPr>
          <w:rFonts w:ascii="Times New Roman" w:hAnsi="Times New Roman" w:cs="Times New Roman"/>
        </w:rPr>
        <w:t>）对本项目运行后的环境经济进行分析，提出相应的环境管理计划与监测计划。</w:t>
      </w:r>
    </w:p>
    <w:p w:rsidR="002A5A5E" w:rsidRPr="00F9522B" w:rsidRDefault="00611CBA">
      <w:pPr>
        <w:pStyle w:val="ab"/>
        <w:spacing w:before="100" w:beforeAutospacing="1" w:after="100" w:afterAutospacing="1"/>
        <w:outlineLvl w:val="2"/>
        <w:rPr>
          <w:rFonts w:eastAsiaTheme="minorEastAsia"/>
          <w:b/>
          <w:sz w:val="28"/>
          <w:szCs w:val="28"/>
        </w:rPr>
      </w:pPr>
      <w:r w:rsidRPr="00F9522B">
        <w:rPr>
          <w:rFonts w:eastAsiaTheme="minorEastAsia"/>
          <w:b/>
          <w:sz w:val="28"/>
          <w:szCs w:val="28"/>
        </w:rPr>
        <w:t>2.3.2</w:t>
      </w:r>
      <w:r w:rsidRPr="00F9522B">
        <w:rPr>
          <w:rFonts w:eastAsiaTheme="minorEastAsia"/>
          <w:b/>
          <w:sz w:val="28"/>
          <w:szCs w:val="28"/>
        </w:rPr>
        <w:t>评价重点</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smallCaps/>
        </w:rPr>
        <w:t>本项目评价重点为</w:t>
      </w:r>
      <w:r w:rsidRPr="00F9522B">
        <w:rPr>
          <w:rFonts w:ascii="Times New Roman" w:hAnsi="Times New Roman" w:cs="Times New Roman"/>
        </w:rPr>
        <w:t>工程建设对地表水环境、生态环境影响及采取减缓影响的措施，地下水开采对地下水资源的影响及采取减缓影响的措施。</w:t>
      </w:r>
      <w:r w:rsidRPr="00F9522B">
        <w:rPr>
          <w:rFonts w:ascii="Times New Roman" w:hAnsi="Times New Roman" w:cs="Times New Roman"/>
          <w:smallCaps/>
        </w:rPr>
        <w:t>兼顾环境空气影响评价、声环境影响评价、环境风险评价、土壤影响分析</w:t>
      </w:r>
      <w:r w:rsidRPr="00F9522B">
        <w:rPr>
          <w:rFonts w:ascii="Times New Roman" w:hAnsi="Times New Roman" w:cs="Times New Roman"/>
        </w:rPr>
        <w:t>。</w:t>
      </w:r>
    </w:p>
    <w:p w:rsidR="002A5A5E" w:rsidRPr="00F9522B" w:rsidRDefault="00611CBA">
      <w:pPr>
        <w:spacing w:before="100" w:beforeAutospacing="1" w:after="100" w:afterAutospacing="1"/>
        <w:contextualSpacing/>
        <w:jc w:val="left"/>
        <w:outlineLvl w:val="1"/>
        <w:rPr>
          <w:rFonts w:eastAsiaTheme="minorEastAsia"/>
          <w:b/>
          <w:bCs/>
          <w:kern w:val="44"/>
          <w:sz w:val="30"/>
          <w:szCs w:val="30"/>
        </w:rPr>
      </w:pPr>
      <w:bookmarkStart w:id="39" w:name="_Toc208906227"/>
      <w:r w:rsidRPr="00F9522B">
        <w:rPr>
          <w:rFonts w:eastAsiaTheme="minorEastAsia"/>
          <w:b/>
          <w:bCs/>
          <w:kern w:val="44"/>
          <w:sz w:val="30"/>
          <w:szCs w:val="30"/>
        </w:rPr>
        <w:lastRenderedPageBreak/>
        <w:t>2.4</w:t>
      </w:r>
      <w:r w:rsidRPr="00F9522B">
        <w:rPr>
          <w:rFonts w:eastAsiaTheme="minorEastAsia"/>
          <w:b/>
          <w:bCs/>
          <w:kern w:val="44"/>
          <w:sz w:val="30"/>
          <w:szCs w:val="30"/>
        </w:rPr>
        <w:t>环境影响因素识别与评价因子筛选</w:t>
      </w:r>
      <w:bookmarkEnd w:id="39"/>
    </w:p>
    <w:p w:rsidR="002A5A5E" w:rsidRPr="00F9522B" w:rsidRDefault="00611CBA">
      <w:pPr>
        <w:pStyle w:val="ab"/>
        <w:spacing w:before="100" w:beforeAutospacing="1" w:after="100" w:afterAutospacing="1"/>
        <w:outlineLvl w:val="2"/>
        <w:rPr>
          <w:rFonts w:eastAsiaTheme="minorEastAsia"/>
          <w:b/>
          <w:sz w:val="28"/>
          <w:szCs w:val="28"/>
        </w:rPr>
      </w:pPr>
      <w:r w:rsidRPr="00F9522B">
        <w:rPr>
          <w:rFonts w:eastAsiaTheme="minorEastAsia"/>
          <w:b/>
          <w:sz w:val="28"/>
          <w:szCs w:val="28"/>
        </w:rPr>
        <w:t>2.4.1</w:t>
      </w:r>
      <w:r w:rsidRPr="00F9522B">
        <w:rPr>
          <w:rFonts w:eastAsiaTheme="minorEastAsia"/>
          <w:b/>
          <w:sz w:val="28"/>
          <w:szCs w:val="28"/>
        </w:rPr>
        <w:t>环境影响因素识别</w:t>
      </w:r>
    </w:p>
    <w:p w:rsidR="002A5A5E" w:rsidRPr="00F9522B" w:rsidRDefault="00611CBA">
      <w:pPr>
        <w:widowControl/>
        <w:tabs>
          <w:tab w:val="right" w:leader="dot" w:pos="8505"/>
        </w:tabs>
        <w:spacing w:line="360" w:lineRule="auto"/>
        <w:ind w:firstLineChars="200" w:firstLine="480"/>
        <w:jc w:val="left"/>
        <w:rPr>
          <w:rFonts w:eastAsiaTheme="minorEastAsia"/>
          <w:kern w:val="0"/>
          <w:sz w:val="24"/>
        </w:rPr>
      </w:pPr>
      <w:r w:rsidRPr="00F9522B">
        <w:rPr>
          <w:rFonts w:eastAsiaTheme="minorEastAsia"/>
          <w:kern w:val="0"/>
          <w:sz w:val="24"/>
        </w:rPr>
        <w:t>根据该项目的生产特点和污染物的排放种类、排放量以及对环境的影响，将生产过程中产生的污染物对环境的影响见表</w:t>
      </w:r>
      <w:r w:rsidRPr="00F9522B">
        <w:rPr>
          <w:rFonts w:eastAsiaTheme="minorEastAsia"/>
          <w:kern w:val="0"/>
          <w:sz w:val="24"/>
        </w:rPr>
        <w:t>2.4-1</w:t>
      </w:r>
      <w:r w:rsidRPr="00F9522B">
        <w:rPr>
          <w:rFonts w:eastAsiaTheme="minorEastAsia"/>
          <w:kern w:val="0"/>
          <w:sz w:val="24"/>
        </w:rPr>
        <w:t>。</w:t>
      </w:r>
    </w:p>
    <w:p w:rsidR="002A5A5E" w:rsidRPr="00F9522B" w:rsidRDefault="00611CBA">
      <w:pPr>
        <w:jc w:val="center"/>
        <w:rPr>
          <w:rFonts w:eastAsiaTheme="minorEastAsia"/>
          <w:b/>
          <w:szCs w:val="21"/>
        </w:rPr>
      </w:pPr>
      <w:r w:rsidRPr="00F9522B">
        <w:rPr>
          <w:rFonts w:eastAsiaTheme="minorEastAsia"/>
          <w:b/>
          <w:szCs w:val="21"/>
        </w:rPr>
        <w:t>表</w:t>
      </w:r>
      <w:r w:rsidRPr="00F9522B">
        <w:rPr>
          <w:rFonts w:eastAsiaTheme="minorEastAsia"/>
          <w:b/>
          <w:szCs w:val="21"/>
        </w:rPr>
        <w:t>2-4-1</w:t>
      </w:r>
      <w:r w:rsidRPr="00F9522B">
        <w:rPr>
          <w:rFonts w:eastAsiaTheme="minorEastAsia"/>
          <w:b/>
          <w:szCs w:val="21"/>
        </w:rPr>
        <w:t>环境影响因素识别矩阵表</w:t>
      </w:r>
    </w:p>
    <w:tbl>
      <w:tblPr>
        <w:tblW w:w="82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6"/>
        <w:gridCol w:w="901"/>
        <w:gridCol w:w="334"/>
        <w:gridCol w:w="466"/>
        <w:gridCol w:w="425"/>
        <w:gridCol w:w="425"/>
        <w:gridCol w:w="567"/>
        <w:gridCol w:w="567"/>
        <w:gridCol w:w="563"/>
        <w:gridCol w:w="599"/>
        <w:gridCol w:w="599"/>
        <w:gridCol w:w="600"/>
        <w:gridCol w:w="600"/>
        <w:gridCol w:w="602"/>
        <w:gridCol w:w="602"/>
      </w:tblGrid>
      <w:tr w:rsidR="002A5A5E" w:rsidRPr="00F9522B">
        <w:trPr>
          <w:trHeight w:val="197"/>
          <w:jc w:val="center"/>
        </w:trPr>
        <w:tc>
          <w:tcPr>
            <w:tcW w:w="1297" w:type="dxa"/>
            <w:gridSpan w:val="2"/>
            <w:vMerge w:val="restart"/>
            <w:tcBorders>
              <w:top w:val="single" w:sz="12" w:space="0" w:color="000000"/>
              <w:left w:val="nil"/>
              <w:tl2br w:val="single" w:sz="4" w:space="0" w:color="auto"/>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环境因素</w:t>
            </w:r>
          </w:p>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项目阶段</w:t>
            </w:r>
          </w:p>
        </w:tc>
        <w:tc>
          <w:tcPr>
            <w:tcW w:w="2217" w:type="dxa"/>
            <w:gridSpan w:val="5"/>
            <w:tcBorders>
              <w:top w:val="single" w:sz="12" w:space="0" w:color="000000"/>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污染环境影响</w:t>
            </w:r>
          </w:p>
        </w:tc>
        <w:tc>
          <w:tcPr>
            <w:tcW w:w="4732" w:type="dxa"/>
            <w:gridSpan w:val="8"/>
            <w:tcBorders>
              <w:top w:val="single" w:sz="12" w:space="0" w:color="000000"/>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生态影响</w:t>
            </w:r>
          </w:p>
        </w:tc>
      </w:tr>
      <w:tr w:rsidR="002A5A5E" w:rsidRPr="00F9522B">
        <w:trPr>
          <w:trHeight w:val="204"/>
          <w:jc w:val="center"/>
        </w:trPr>
        <w:tc>
          <w:tcPr>
            <w:tcW w:w="1297" w:type="dxa"/>
            <w:gridSpan w:val="2"/>
            <w:vMerge/>
            <w:tcBorders>
              <w:left w:val="nil"/>
              <w:right w:val="single" w:sz="4" w:space="0" w:color="000000"/>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334" w:type="dxa"/>
            <w:tcBorders>
              <w:left w:val="single" w:sz="4" w:space="0" w:color="000000"/>
              <w:right w:val="single" w:sz="4" w:space="0" w:color="000000"/>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大气</w:t>
            </w:r>
          </w:p>
        </w:tc>
        <w:tc>
          <w:tcPr>
            <w:tcW w:w="466" w:type="dxa"/>
            <w:tcBorders>
              <w:left w:val="single" w:sz="4" w:space="0" w:color="000000"/>
              <w:right w:val="single" w:sz="4" w:space="0" w:color="000000"/>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地表水</w:t>
            </w:r>
          </w:p>
        </w:tc>
        <w:tc>
          <w:tcPr>
            <w:tcW w:w="425" w:type="dxa"/>
            <w:tcBorders>
              <w:left w:val="single" w:sz="4" w:space="0" w:color="000000"/>
              <w:right w:val="single" w:sz="4" w:space="0" w:color="000000"/>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地下水</w:t>
            </w:r>
          </w:p>
        </w:tc>
        <w:tc>
          <w:tcPr>
            <w:tcW w:w="425" w:type="dxa"/>
            <w:tcBorders>
              <w:left w:val="single" w:sz="4" w:space="0" w:color="000000"/>
              <w:right w:val="single" w:sz="4" w:space="0" w:color="000000"/>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声环境</w:t>
            </w:r>
          </w:p>
        </w:tc>
        <w:tc>
          <w:tcPr>
            <w:tcW w:w="567" w:type="dxa"/>
            <w:tcBorders>
              <w:left w:val="single" w:sz="4" w:space="0" w:color="000000"/>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固体废物</w:t>
            </w:r>
          </w:p>
        </w:tc>
        <w:tc>
          <w:tcPr>
            <w:tcW w:w="567" w:type="dxa"/>
            <w:tcBorders>
              <w:left w:val="single" w:sz="4" w:space="0" w:color="000000"/>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植物</w:t>
            </w:r>
          </w:p>
        </w:tc>
        <w:tc>
          <w:tcPr>
            <w:tcW w:w="563" w:type="dxa"/>
            <w:tcBorders>
              <w:left w:val="single" w:sz="4" w:space="0" w:color="000000"/>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动物</w:t>
            </w:r>
          </w:p>
        </w:tc>
        <w:tc>
          <w:tcPr>
            <w:tcW w:w="599" w:type="dxa"/>
            <w:tcBorders>
              <w:left w:val="single" w:sz="4" w:space="0" w:color="000000"/>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陆域生态</w:t>
            </w:r>
          </w:p>
        </w:tc>
        <w:tc>
          <w:tcPr>
            <w:tcW w:w="599" w:type="dxa"/>
            <w:tcBorders>
              <w:left w:val="single" w:sz="4" w:space="0" w:color="000000"/>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水土流失</w:t>
            </w:r>
          </w:p>
        </w:tc>
        <w:tc>
          <w:tcPr>
            <w:tcW w:w="600" w:type="dxa"/>
            <w:tcBorders>
              <w:left w:val="single" w:sz="4" w:space="0" w:color="000000"/>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土地利用方式</w:t>
            </w:r>
          </w:p>
        </w:tc>
        <w:tc>
          <w:tcPr>
            <w:tcW w:w="600" w:type="dxa"/>
            <w:tcBorders>
              <w:left w:val="single" w:sz="4" w:space="0" w:color="000000"/>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水域生态</w:t>
            </w:r>
          </w:p>
        </w:tc>
        <w:tc>
          <w:tcPr>
            <w:tcW w:w="602" w:type="dxa"/>
            <w:tcBorders>
              <w:left w:val="single" w:sz="4" w:space="0" w:color="000000"/>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6"/>
              </w:rPr>
              <w:t>自然保护区</w:t>
            </w:r>
          </w:p>
        </w:tc>
        <w:tc>
          <w:tcPr>
            <w:tcW w:w="602" w:type="dxa"/>
            <w:tcBorders>
              <w:left w:val="single" w:sz="4" w:space="0" w:color="000000"/>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6"/>
              </w:rPr>
            </w:pPr>
            <w:r w:rsidRPr="00F9522B">
              <w:rPr>
                <w:rFonts w:eastAsiaTheme="minorEastAsia"/>
                <w:spacing w:val="6"/>
              </w:rPr>
              <w:t>自然景观</w:t>
            </w:r>
          </w:p>
        </w:tc>
      </w:tr>
      <w:tr w:rsidR="002A5A5E" w:rsidRPr="00F9522B">
        <w:trPr>
          <w:trHeight w:val="265"/>
          <w:jc w:val="center"/>
        </w:trPr>
        <w:tc>
          <w:tcPr>
            <w:tcW w:w="396" w:type="dxa"/>
            <w:vMerge w:val="restart"/>
            <w:tcBorders>
              <w:lef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施工期</w:t>
            </w:r>
          </w:p>
        </w:tc>
        <w:tc>
          <w:tcPr>
            <w:tcW w:w="901" w:type="dxa"/>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zCs w:val="21"/>
              </w:rPr>
              <w:t>灌溉与排水工程</w:t>
            </w:r>
          </w:p>
        </w:tc>
        <w:tc>
          <w:tcPr>
            <w:tcW w:w="334" w:type="dxa"/>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▲1</w:t>
            </w:r>
          </w:p>
        </w:tc>
        <w:tc>
          <w:tcPr>
            <w:tcW w:w="466" w:type="dxa"/>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425" w:type="dxa"/>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▲1</w:t>
            </w:r>
          </w:p>
        </w:tc>
        <w:tc>
          <w:tcPr>
            <w:tcW w:w="425" w:type="dxa"/>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▲1</w:t>
            </w:r>
          </w:p>
        </w:tc>
        <w:tc>
          <w:tcPr>
            <w:tcW w:w="567" w:type="dxa"/>
            <w:tcBorders>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▲1</w:t>
            </w:r>
          </w:p>
        </w:tc>
        <w:tc>
          <w:tcPr>
            <w:tcW w:w="567" w:type="dxa"/>
            <w:tcBorders>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▲2</w:t>
            </w:r>
          </w:p>
        </w:tc>
        <w:tc>
          <w:tcPr>
            <w:tcW w:w="563" w:type="dxa"/>
            <w:tcBorders>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▲2</w:t>
            </w:r>
          </w:p>
        </w:tc>
        <w:tc>
          <w:tcPr>
            <w:tcW w:w="599" w:type="dxa"/>
            <w:tcBorders>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▲2</w:t>
            </w:r>
          </w:p>
        </w:tc>
        <w:tc>
          <w:tcPr>
            <w:tcW w:w="599" w:type="dxa"/>
            <w:tcBorders>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▲2</w:t>
            </w:r>
          </w:p>
        </w:tc>
        <w:tc>
          <w:tcPr>
            <w:tcW w:w="600" w:type="dxa"/>
            <w:tcBorders>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▲2</w:t>
            </w:r>
          </w:p>
        </w:tc>
        <w:tc>
          <w:tcPr>
            <w:tcW w:w="600" w:type="dxa"/>
            <w:tcBorders>
              <w:righ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602" w:type="dxa"/>
            <w:tcBorders>
              <w:righ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602" w:type="dxa"/>
            <w:tcBorders>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▲2</w:t>
            </w:r>
          </w:p>
        </w:tc>
      </w:tr>
      <w:tr w:rsidR="002A5A5E" w:rsidRPr="00F9522B">
        <w:trPr>
          <w:trHeight w:val="204"/>
          <w:jc w:val="center"/>
        </w:trPr>
        <w:tc>
          <w:tcPr>
            <w:tcW w:w="396" w:type="dxa"/>
            <w:vMerge/>
            <w:tcBorders>
              <w:lef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901" w:type="dxa"/>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zCs w:val="21"/>
              </w:rPr>
              <w:t>田间道路工程</w:t>
            </w:r>
          </w:p>
        </w:tc>
        <w:tc>
          <w:tcPr>
            <w:tcW w:w="334" w:type="dxa"/>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▲1</w:t>
            </w:r>
          </w:p>
        </w:tc>
        <w:tc>
          <w:tcPr>
            <w:tcW w:w="466" w:type="dxa"/>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425" w:type="dxa"/>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425" w:type="dxa"/>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▲1</w:t>
            </w:r>
          </w:p>
        </w:tc>
        <w:tc>
          <w:tcPr>
            <w:tcW w:w="567" w:type="dxa"/>
            <w:tcBorders>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▲1</w:t>
            </w:r>
          </w:p>
        </w:tc>
        <w:tc>
          <w:tcPr>
            <w:tcW w:w="567" w:type="dxa"/>
            <w:tcBorders>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▲1</w:t>
            </w:r>
          </w:p>
        </w:tc>
        <w:tc>
          <w:tcPr>
            <w:tcW w:w="563" w:type="dxa"/>
            <w:tcBorders>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▲1</w:t>
            </w:r>
          </w:p>
        </w:tc>
        <w:tc>
          <w:tcPr>
            <w:tcW w:w="599" w:type="dxa"/>
            <w:tcBorders>
              <w:righ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599" w:type="dxa"/>
            <w:tcBorders>
              <w:righ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600" w:type="dxa"/>
            <w:tcBorders>
              <w:righ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600" w:type="dxa"/>
            <w:tcBorders>
              <w:righ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602" w:type="dxa"/>
            <w:tcBorders>
              <w:righ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602" w:type="dxa"/>
            <w:tcBorders>
              <w:righ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r>
      <w:tr w:rsidR="002A5A5E" w:rsidRPr="00F9522B">
        <w:trPr>
          <w:trHeight w:val="204"/>
          <w:jc w:val="center"/>
        </w:trPr>
        <w:tc>
          <w:tcPr>
            <w:tcW w:w="396" w:type="dxa"/>
            <w:vMerge/>
            <w:tcBorders>
              <w:lef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901" w:type="dxa"/>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zCs w:val="21"/>
              </w:rPr>
              <w:t>农田输配电工程</w:t>
            </w:r>
          </w:p>
        </w:tc>
        <w:tc>
          <w:tcPr>
            <w:tcW w:w="334" w:type="dxa"/>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▲1</w:t>
            </w:r>
          </w:p>
        </w:tc>
        <w:tc>
          <w:tcPr>
            <w:tcW w:w="466" w:type="dxa"/>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425" w:type="dxa"/>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425" w:type="dxa"/>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▲1</w:t>
            </w:r>
          </w:p>
        </w:tc>
        <w:tc>
          <w:tcPr>
            <w:tcW w:w="567" w:type="dxa"/>
            <w:tcBorders>
              <w:righ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567" w:type="dxa"/>
            <w:tcBorders>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▲1</w:t>
            </w:r>
          </w:p>
        </w:tc>
        <w:tc>
          <w:tcPr>
            <w:tcW w:w="563" w:type="dxa"/>
            <w:tcBorders>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▲1</w:t>
            </w:r>
          </w:p>
        </w:tc>
        <w:tc>
          <w:tcPr>
            <w:tcW w:w="599" w:type="dxa"/>
            <w:tcBorders>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▲1</w:t>
            </w:r>
          </w:p>
        </w:tc>
        <w:tc>
          <w:tcPr>
            <w:tcW w:w="599" w:type="dxa"/>
            <w:tcBorders>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▲1</w:t>
            </w:r>
          </w:p>
        </w:tc>
        <w:tc>
          <w:tcPr>
            <w:tcW w:w="600" w:type="dxa"/>
            <w:tcBorders>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▲1</w:t>
            </w:r>
          </w:p>
        </w:tc>
        <w:tc>
          <w:tcPr>
            <w:tcW w:w="600" w:type="dxa"/>
            <w:tcBorders>
              <w:righ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602" w:type="dxa"/>
            <w:tcBorders>
              <w:righ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602" w:type="dxa"/>
            <w:tcBorders>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▲1</w:t>
            </w:r>
          </w:p>
        </w:tc>
      </w:tr>
      <w:tr w:rsidR="002A5A5E" w:rsidRPr="00F9522B">
        <w:trPr>
          <w:trHeight w:val="60"/>
          <w:jc w:val="center"/>
        </w:trPr>
        <w:tc>
          <w:tcPr>
            <w:tcW w:w="396" w:type="dxa"/>
            <w:vMerge/>
            <w:tcBorders>
              <w:lef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901" w:type="dxa"/>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zCs w:val="21"/>
              </w:rPr>
              <w:t>田块整治工程</w:t>
            </w:r>
          </w:p>
        </w:tc>
        <w:tc>
          <w:tcPr>
            <w:tcW w:w="334" w:type="dxa"/>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▲1</w:t>
            </w:r>
          </w:p>
        </w:tc>
        <w:tc>
          <w:tcPr>
            <w:tcW w:w="466" w:type="dxa"/>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425" w:type="dxa"/>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425" w:type="dxa"/>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▲1</w:t>
            </w:r>
          </w:p>
        </w:tc>
        <w:tc>
          <w:tcPr>
            <w:tcW w:w="567" w:type="dxa"/>
            <w:tcBorders>
              <w:righ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567" w:type="dxa"/>
            <w:tcBorders>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▲1</w:t>
            </w:r>
          </w:p>
        </w:tc>
        <w:tc>
          <w:tcPr>
            <w:tcW w:w="563" w:type="dxa"/>
            <w:tcBorders>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▲1</w:t>
            </w:r>
          </w:p>
        </w:tc>
        <w:tc>
          <w:tcPr>
            <w:tcW w:w="599" w:type="dxa"/>
            <w:tcBorders>
              <w:righ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599" w:type="dxa"/>
            <w:tcBorders>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▲1</w:t>
            </w:r>
          </w:p>
        </w:tc>
        <w:tc>
          <w:tcPr>
            <w:tcW w:w="600" w:type="dxa"/>
            <w:tcBorders>
              <w:righ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600" w:type="dxa"/>
            <w:tcBorders>
              <w:righ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602" w:type="dxa"/>
            <w:tcBorders>
              <w:righ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602" w:type="dxa"/>
            <w:tcBorders>
              <w:righ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r>
      <w:tr w:rsidR="002A5A5E" w:rsidRPr="00F9522B">
        <w:trPr>
          <w:trHeight w:val="265"/>
          <w:jc w:val="center"/>
        </w:trPr>
        <w:tc>
          <w:tcPr>
            <w:tcW w:w="396" w:type="dxa"/>
            <w:vMerge w:val="restart"/>
            <w:tcBorders>
              <w:top w:val="single" w:sz="4" w:space="0" w:color="000000"/>
              <w:lef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运行期</w:t>
            </w:r>
          </w:p>
        </w:tc>
        <w:tc>
          <w:tcPr>
            <w:tcW w:w="901" w:type="dxa"/>
            <w:tcBorders>
              <w:top w:val="single" w:sz="4" w:space="0" w:color="000000"/>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zCs w:val="21"/>
              </w:rPr>
              <w:t>灌溉与排水工程</w:t>
            </w:r>
          </w:p>
        </w:tc>
        <w:tc>
          <w:tcPr>
            <w:tcW w:w="334" w:type="dxa"/>
            <w:tcBorders>
              <w:top w:val="single" w:sz="4" w:space="0" w:color="000000"/>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■1</w:t>
            </w:r>
          </w:p>
        </w:tc>
        <w:tc>
          <w:tcPr>
            <w:tcW w:w="466" w:type="dxa"/>
            <w:tcBorders>
              <w:top w:val="single" w:sz="4" w:space="0" w:color="000000"/>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□2</w:t>
            </w:r>
          </w:p>
        </w:tc>
        <w:tc>
          <w:tcPr>
            <w:tcW w:w="425" w:type="dxa"/>
            <w:tcBorders>
              <w:top w:val="single" w:sz="4" w:space="0" w:color="000000"/>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■1</w:t>
            </w:r>
          </w:p>
        </w:tc>
        <w:tc>
          <w:tcPr>
            <w:tcW w:w="425" w:type="dxa"/>
            <w:tcBorders>
              <w:top w:val="single" w:sz="4" w:space="0" w:color="000000"/>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■1</w:t>
            </w:r>
          </w:p>
        </w:tc>
        <w:tc>
          <w:tcPr>
            <w:tcW w:w="567" w:type="dxa"/>
            <w:tcBorders>
              <w:top w:val="single" w:sz="4" w:space="0" w:color="000000"/>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■1</w:t>
            </w:r>
          </w:p>
        </w:tc>
        <w:tc>
          <w:tcPr>
            <w:tcW w:w="567" w:type="dxa"/>
            <w:tcBorders>
              <w:top w:val="single" w:sz="4" w:space="0" w:color="000000"/>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▲1</w:t>
            </w:r>
          </w:p>
        </w:tc>
        <w:tc>
          <w:tcPr>
            <w:tcW w:w="563" w:type="dxa"/>
            <w:tcBorders>
              <w:top w:val="single" w:sz="4" w:space="0" w:color="000000"/>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▲1</w:t>
            </w:r>
          </w:p>
        </w:tc>
        <w:tc>
          <w:tcPr>
            <w:tcW w:w="599" w:type="dxa"/>
            <w:tcBorders>
              <w:top w:val="single" w:sz="4" w:space="0" w:color="000000"/>
              <w:righ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599" w:type="dxa"/>
            <w:tcBorders>
              <w:top w:val="single" w:sz="4" w:space="0" w:color="000000"/>
              <w:righ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600" w:type="dxa"/>
            <w:tcBorders>
              <w:top w:val="single" w:sz="4" w:space="0" w:color="000000"/>
              <w:righ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600" w:type="dxa"/>
            <w:tcBorders>
              <w:top w:val="single" w:sz="4" w:space="0" w:color="000000"/>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□2</w:t>
            </w:r>
          </w:p>
        </w:tc>
        <w:tc>
          <w:tcPr>
            <w:tcW w:w="602" w:type="dxa"/>
            <w:tcBorders>
              <w:top w:val="single" w:sz="4" w:space="0" w:color="000000"/>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□2</w:t>
            </w:r>
          </w:p>
        </w:tc>
        <w:tc>
          <w:tcPr>
            <w:tcW w:w="602" w:type="dxa"/>
            <w:tcBorders>
              <w:top w:val="single" w:sz="4" w:space="0" w:color="000000"/>
              <w:righ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r>
      <w:tr w:rsidR="002A5A5E" w:rsidRPr="00F9522B">
        <w:trPr>
          <w:trHeight w:val="204"/>
          <w:jc w:val="center"/>
        </w:trPr>
        <w:tc>
          <w:tcPr>
            <w:tcW w:w="396" w:type="dxa"/>
            <w:vMerge/>
            <w:tcBorders>
              <w:lef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901" w:type="dxa"/>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zCs w:val="21"/>
              </w:rPr>
              <w:t>田间道路工程</w:t>
            </w:r>
          </w:p>
        </w:tc>
        <w:tc>
          <w:tcPr>
            <w:tcW w:w="334" w:type="dxa"/>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■1</w:t>
            </w:r>
          </w:p>
        </w:tc>
        <w:tc>
          <w:tcPr>
            <w:tcW w:w="466" w:type="dxa"/>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425" w:type="dxa"/>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425" w:type="dxa"/>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■1</w:t>
            </w:r>
          </w:p>
        </w:tc>
        <w:tc>
          <w:tcPr>
            <w:tcW w:w="567" w:type="dxa"/>
            <w:tcBorders>
              <w:righ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567" w:type="dxa"/>
            <w:tcBorders>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▲1</w:t>
            </w:r>
          </w:p>
        </w:tc>
        <w:tc>
          <w:tcPr>
            <w:tcW w:w="563" w:type="dxa"/>
            <w:tcBorders>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▲1</w:t>
            </w:r>
          </w:p>
        </w:tc>
        <w:tc>
          <w:tcPr>
            <w:tcW w:w="599" w:type="dxa"/>
            <w:tcBorders>
              <w:righ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599" w:type="dxa"/>
            <w:tcBorders>
              <w:righ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600" w:type="dxa"/>
            <w:tcBorders>
              <w:righ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600" w:type="dxa"/>
            <w:tcBorders>
              <w:righ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602" w:type="dxa"/>
            <w:tcBorders>
              <w:righ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602" w:type="dxa"/>
            <w:tcBorders>
              <w:righ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r>
      <w:tr w:rsidR="002A5A5E" w:rsidRPr="00F9522B">
        <w:trPr>
          <w:trHeight w:val="204"/>
          <w:jc w:val="center"/>
        </w:trPr>
        <w:tc>
          <w:tcPr>
            <w:tcW w:w="396" w:type="dxa"/>
            <w:vMerge/>
            <w:tcBorders>
              <w:lef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901" w:type="dxa"/>
            <w:vAlign w:val="center"/>
          </w:tcPr>
          <w:p w:rsidR="002A5A5E" w:rsidRPr="00F9522B" w:rsidRDefault="00611CBA">
            <w:pPr>
              <w:widowControl/>
              <w:tabs>
                <w:tab w:val="left" w:leader="middleDot" w:pos="7371"/>
              </w:tabs>
              <w:spacing w:line="0" w:lineRule="atLeast"/>
              <w:jc w:val="center"/>
              <w:rPr>
                <w:rFonts w:eastAsiaTheme="minorEastAsia"/>
                <w:szCs w:val="21"/>
              </w:rPr>
            </w:pPr>
            <w:r w:rsidRPr="00F9522B">
              <w:rPr>
                <w:rFonts w:eastAsiaTheme="minorEastAsia"/>
                <w:szCs w:val="21"/>
              </w:rPr>
              <w:t>田块整治工程</w:t>
            </w:r>
          </w:p>
        </w:tc>
        <w:tc>
          <w:tcPr>
            <w:tcW w:w="334" w:type="dxa"/>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466" w:type="dxa"/>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□2</w:t>
            </w:r>
          </w:p>
        </w:tc>
        <w:tc>
          <w:tcPr>
            <w:tcW w:w="425" w:type="dxa"/>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425" w:type="dxa"/>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567" w:type="dxa"/>
            <w:tcBorders>
              <w:righ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567" w:type="dxa"/>
            <w:tcBorders>
              <w:righ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563" w:type="dxa"/>
            <w:tcBorders>
              <w:righ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599" w:type="dxa"/>
            <w:tcBorders>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□2</w:t>
            </w:r>
          </w:p>
        </w:tc>
        <w:tc>
          <w:tcPr>
            <w:tcW w:w="599" w:type="dxa"/>
            <w:tcBorders>
              <w:righ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600" w:type="dxa"/>
            <w:tcBorders>
              <w:righ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600" w:type="dxa"/>
            <w:tcBorders>
              <w:righ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602" w:type="dxa"/>
            <w:tcBorders>
              <w:righ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602" w:type="dxa"/>
            <w:tcBorders>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□2</w:t>
            </w:r>
          </w:p>
        </w:tc>
      </w:tr>
      <w:tr w:rsidR="002A5A5E" w:rsidRPr="00F9522B">
        <w:trPr>
          <w:trHeight w:val="265"/>
          <w:jc w:val="center"/>
        </w:trPr>
        <w:tc>
          <w:tcPr>
            <w:tcW w:w="396" w:type="dxa"/>
            <w:vMerge w:val="restart"/>
            <w:tcBorders>
              <w:lef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复垦后</w:t>
            </w:r>
          </w:p>
        </w:tc>
        <w:tc>
          <w:tcPr>
            <w:tcW w:w="901" w:type="dxa"/>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表土回填</w:t>
            </w:r>
          </w:p>
        </w:tc>
        <w:tc>
          <w:tcPr>
            <w:tcW w:w="334" w:type="dxa"/>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466" w:type="dxa"/>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425" w:type="dxa"/>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425" w:type="dxa"/>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567" w:type="dxa"/>
            <w:tcBorders>
              <w:righ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567" w:type="dxa"/>
            <w:tcBorders>
              <w:righ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563" w:type="dxa"/>
            <w:tcBorders>
              <w:righ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599" w:type="dxa"/>
            <w:tcBorders>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□2</w:t>
            </w:r>
          </w:p>
        </w:tc>
        <w:tc>
          <w:tcPr>
            <w:tcW w:w="599" w:type="dxa"/>
            <w:tcBorders>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□2</w:t>
            </w:r>
          </w:p>
        </w:tc>
        <w:tc>
          <w:tcPr>
            <w:tcW w:w="600" w:type="dxa"/>
            <w:tcBorders>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□2</w:t>
            </w:r>
          </w:p>
        </w:tc>
        <w:tc>
          <w:tcPr>
            <w:tcW w:w="600" w:type="dxa"/>
            <w:tcBorders>
              <w:righ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602" w:type="dxa"/>
            <w:tcBorders>
              <w:righ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602" w:type="dxa"/>
            <w:tcBorders>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□2</w:t>
            </w:r>
          </w:p>
        </w:tc>
      </w:tr>
      <w:tr w:rsidR="002A5A5E" w:rsidRPr="00F9522B">
        <w:trPr>
          <w:trHeight w:val="204"/>
          <w:jc w:val="center"/>
        </w:trPr>
        <w:tc>
          <w:tcPr>
            <w:tcW w:w="396" w:type="dxa"/>
            <w:vMerge/>
            <w:tcBorders>
              <w:lef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901" w:type="dxa"/>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植被恢复</w:t>
            </w:r>
          </w:p>
        </w:tc>
        <w:tc>
          <w:tcPr>
            <w:tcW w:w="334" w:type="dxa"/>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466" w:type="dxa"/>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425" w:type="dxa"/>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425" w:type="dxa"/>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567" w:type="dxa"/>
            <w:tcBorders>
              <w:righ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567" w:type="dxa"/>
            <w:tcBorders>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□2</w:t>
            </w:r>
          </w:p>
        </w:tc>
        <w:tc>
          <w:tcPr>
            <w:tcW w:w="563" w:type="dxa"/>
            <w:tcBorders>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□2</w:t>
            </w:r>
          </w:p>
        </w:tc>
        <w:tc>
          <w:tcPr>
            <w:tcW w:w="599" w:type="dxa"/>
            <w:tcBorders>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□2</w:t>
            </w:r>
          </w:p>
        </w:tc>
        <w:tc>
          <w:tcPr>
            <w:tcW w:w="599" w:type="dxa"/>
            <w:tcBorders>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□2</w:t>
            </w:r>
          </w:p>
        </w:tc>
        <w:tc>
          <w:tcPr>
            <w:tcW w:w="600" w:type="dxa"/>
            <w:tcBorders>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□2</w:t>
            </w:r>
          </w:p>
        </w:tc>
        <w:tc>
          <w:tcPr>
            <w:tcW w:w="600" w:type="dxa"/>
            <w:tcBorders>
              <w:righ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602" w:type="dxa"/>
            <w:tcBorders>
              <w:right w:val="nil"/>
            </w:tcBorders>
            <w:vAlign w:val="center"/>
          </w:tcPr>
          <w:p w:rsidR="002A5A5E" w:rsidRPr="00F9522B" w:rsidRDefault="002A5A5E">
            <w:pPr>
              <w:widowControl/>
              <w:tabs>
                <w:tab w:val="left" w:leader="middleDot" w:pos="7371"/>
              </w:tabs>
              <w:spacing w:line="0" w:lineRule="atLeast"/>
              <w:jc w:val="center"/>
              <w:rPr>
                <w:rFonts w:eastAsiaTheme="minorEastAsia"/>
                <w:spacing w:val="22"/>
                <w:kern w:val="0"/>
                <w:szCs w:val="21"/>
              </w:rPr>
            </w:pPr>
          </w:p>
        </w:tc>
        <w:tc>
          <w:tcPr>
            <w:tcW w:w="602" w:type="dxa"/>
            <w:tcBorders>
              <w:right w:val="nil"/>
            </w:tcBorders>
            <w:vAlign w:val="center"/>
          </w:tcPr>
          <w:p w:rsidR="002A5A5E" w:rsidRPr="00F9522B" w:rsidRDefault="00611CBA">
            <w:pPr>
              <w:widowControl/>
              <w:tabs>
                <w:tab w:val="left" w:leader="middleDot" w:pos="7371"/>
              </w:tabs>
              <w:spacing w:line="0" w:lineRule="atLeast"/>
              <w:jc w:val="center"/>
              <w:rPr>
                <w:rFonts w:eastAsiaTheme="minorEastAsia"/>
                <w:spacing w:val="22"/>
                <w:kern w:val="0"/>
                <w:szCs w:val="21"/>
              </w:rPr>
            </w:pPr>
            <w:r w:rsidRPr="00F9522B">
              <w:rPr>
                <w:rFonts w:eastAsiaTheme="minorEastAsia"/>
                <w:spacing w:val="22"/>
                <w:kern w:val="0"/>
                <w:szCs w:val="21"/>
              </w:rPr>
              <w:t>□2</w:t>
            </w:r>
          </w:p>
        </w:tc>
      </w:tr>
      <w:tr w:rsidR="002A5A5E" w:rsidRPr="00F9522B">
        <w:trPr>
          <w:trHeight w:val="197"/>
          <w:jc w:val="center"/>
        </w:trPr>
        <w:tc>
          <w:tcPr>
            <w:tcW w:w="6442" w:type="dxa"/>
            <w:gridSpan w:val="12"/>
            <w:tcBorders>
              <w:left w:val="nil"/>
              <w:bottom w:val="single" w:sz="12" w:space="0" w:color="000000"/>
              <w:right w:val="nil"/>
            </w:tcBorders>
            <w:vAlign w:val="center"/>
          </w:tcPr>
          <w:p w:rsidR="002A5A5E" w:rsidRPr="00F9522B" w:rsidRDefault="00611CBA">
            <w:pPr>
              <w:widowControl/>
              <w:tabs>
                <w:tab w:val="left" w:leader="middleDot" w:pos="7371"/>
              </w:tabs>
              <w:snapToGrid w:val="0"/>
              <w:spacing w:line="0" w:lineRule="atLeast"/>
              <w:jc w:val="center"/>
              <w:rPr>
                <w:rFonts w:eastAsiaTheme="minorEastAsia"/>
                <w:spacing w:val="22"/>
                <w:kern w:val="0"/>
                <w:szCs w:val="21"/>
              </w:rPr>
            </w:pPr>
            <w:r w:rsidRPr="00F9522B">
              <w:rPr>
                <w:rFonts w:eastAsiaTheme="minorEastAsia"/>
                <w:spacing w:val="22"/>
                <w:kern w:val="0"/>
                <w:szCs w:val="21"/>
              </w:rPr>
              <w:t>注：</w:t>
            </w:r>
            <w:r w:rsidRPr="00F9522B">
              <w:rPr>
                <w:rFonts w:eastAsiaTheme="minorEastAsia"/>
                <w:spacing w:val="22"/>
                <w:kern w:val="0"/>
                <w:szCs w:val="21"/>
              </w:rPr>
              <w:t>■</w:t>
            </w:r>
            <w:r w:rsidRPr="00F9522B">
              <w:rPr>
                <w:rFonts w:eastAsiaTheme="minorEastAsia"/>
                <w:spacing w:val="22"/>
                <w:kern w:val="0"/>
                <w:szCs w:val="21"/>
              </w:rPr>
              <w:t>长期不利影响，</w:t>
            </w:r>
            <w:r w:rsidRPr="00F9522B">
              <w:rPr>
                <w:rFonts w:eastAsiaTheme="minorEastAsia"/>
                <w:spacing w:val="22"/>
                <w:kern w:val="0"/>
                <w:szCs w:val="21"/>
              </w:rPr>
              <w:t>□</w:t>
            </w:r>
            <w:r w:rsidRPr="00F9522B">
              <w:rPr>
                <w:rFonts w:eastAsiaTheme="minorEastAsia"/>
                <w:spacing w:val="22"/>
                <w:kern w:val="0"/>
                <w:szCs w:val="21"/>
              </w:rPr>
              <w:t>长期有利影响；</w:t>
            </w:r>
            <w:r w:rsidRPr="00F9522B">
              <w:rPr>
                <w:rFonts w:eastAsiaTheme="minorEastAsia"/>
                <w:spacing w:val="22"/>
                <w:kern w:val="0"/>
                <w:szCs w:val="21"/>
              </w:rPr>
              <w:t>▲</w:t>
            </w:r>
            <w:r w:rsidRPr="00F9522B">
              <w:rPr>
                <w:rFonts w:eastAsiaTheme="minorEastAsia"/>
                <w:spacing w:val="22"/>
                <w:kern w:val="0"/>
                <w:szCs w:val="21"/>
              </w:rPr>
              <w:t>短期不利影响，</w:t>
            </w:r>
            <w:r w:rsidRPr="00F9522B">
              <w:rPr>
                <w:rFonts w:ascii="Cambria Math" w:eastAsiaTheme="minorEastAsia" w:hAnsi="Cambria Math" w:cs="Cambria Math"/>
                <w:spacing w:val="22"/>
                <w:kern w:val="0"/>
                <w:szCs w:val="21"/>
              </w:rPr>
              <w:t>△</w:t>
            </w:r>
            <w:r w:rsidRPr="00F9522B">
              <w:rPr>
                <w:rFonts w:eastAsiaTheme="minorEastAsia"/>
                <w:spacing w:val="22"/>
                <w:kern w:val="0"/>
                <w:szCs w:val="21"/>
              </w:rPr>
              <w:t>短期有利影响；</w:t>
            </w:r>
            <w:r w:rsidRPr="00F9522B">
              <w:rPr>
                <w:rFonts w:eastAsiaTheme="minorEastAsia"/>
                <w:spacing w:val="22"/>
                <w:kern w:val="0"/>
                <w:szCs w:val="21"/>
              </w:rPr>
              <w:t>1</w:t>
            </w:r>
            <w:r w:rsidRPr="00F9522B">
              <w:rPr>
                <w:rFonts w:eastAsiaTheme="minorEastAsia"/>
                <w:spacing w:val="22"/>
                <w:kern w:val="0"/>
                <w:szCs w:val="21"/>
              </w:rPr>
              <w:t>、</w:t>
            </w:r>
            <w:r w:rsidRPr="00F9522B">
              <w:rPr>
                <w:rFonts w:eastAsiaTheme="minorEastAsia"/>
                <w:spacing w:val="22"/>
                <w:kern w:val="0"/>
                <w:szCs w:val="21"/>
              </w:rPr>
              <w:t>2</w:t>
            </w:r>
            <w:r w:rsidRPr="00F9522B">
              <w:rPr>
                <w:rFonts w:eastAsiaTheme="minorEastAsia"/>
                <w:spacing w:val="22"/>
                <w:kern w:val="0"/>
                <w:szCs w:val="21"/>
              </w:rPr>
              <w:t>、</w:t>
            </w:r>
            <w:r w:rsidRPr="00F9522B">
              <w:rPr>
                <w:rFonts w:eastAsiaTheme="minorEastAsia"/>
                <w:spacing w:val="22"/>
                <w:kern w:val="0"/>
                <w:szCs w:val="21"/>
              </w:rPr>
              <w:t>3</w:t>
            </w:r>
            <w:r w:rsidRPr="00F9522B">
              <w:rPr>
                <w:rFonts w:eastAsiaTheme="minorEastAsia"/>
                <w:spacing w:val="22"/>
                <w:kern w:val="0"/>
                <w:szCs w:val="21"/>
              </w:rPr>
              <w:t>表示影响程度从小到大；</w:t>
            </w:r>
          </w:p>
        </w:tc>
        <w:tc>
          <w:tcPr>
            <w:tcW w:w="600" w:type="dxa"/>
            <w:tcBorders>
              <w:left w:val="nil"/>
              <w:bottom w:val="single" w:sz="12" w:space="0" w:color="000000"/>
              <w:right w:val="nil"/>
            </w:tcBorders>
            <w:vAlign w:val="center"/>
          </w:tcPr>
          <w:p w:rsidR="002A5A5E" w:rsidRPr="00F9522B" w:rsidRDefault="002A5A5E">
            <w:pPr>
              <w:widowControl/>
              <w:tabs>
                <w:tab w:val="left" w:leader="middleDot" w:pos="7371"/>
              </w:tabs>
              <w:snapToGrid w:val="0"/>
              <w:spacing w:line="0" w:lineRule="atLeast"/>
              <w:jc w:val="center"/>
              <w:rPr>
                <w:rFonts w:eastAsiaTheme="minorEastAsia"/>
                <w:spacing w:val="22"/>
                <w:kern w:val="0"/>
                <w:szCs w:val="21"/>
              </w:rPr>
            </w:pPr>
          </w:p>
        </w:tc>
        <w:tc>
          <w:tcPr>
            <w:tcW w:w="602" w:type="dxa"/>
            <w:tcBorders>
              <w:left w:val="nil"/>
              <w:bottom w:val="single" w:sz="12" w:space="0" w:color="000000"/>
              <w:right w:val="nil"/>
            </w:tcBorders>
            <w:vAlign w:val="center"/>
          </w:tcPr>
          <w:p w:rsidR="002A5A5E" w:rsidRPr="00F9522B" w:rsidRDefault="002A5A5E">
            <w:pPr>
              <w:widowControl/>
              <w:tabs>
                <w:tab w:val="left" w:leader="middleDot" w:pos="7371"/>
              </w:tabs>
              <w:snapToGrid w:val="0"/>
              <w:spacing w:line="0" w:lineRule="atLeast"/>
              <w:jc w:val="center"/>
              <w:rPr>
                <w:rFonts w:eastAsiaTheme="minorEastAsia"/>
                <w:spacing w:val="22"/>
                <w:kern w:val="0"/>
                <w:szCs w:val="21"/>
              </w:rPr>
            </w:pPr>
          </w:p>
        </w:tc>
        <w:tc>
          <w:tcPr>
            <w:tcW w:w="602" w:type="dxa"/>
            <w:tcBorders>
              <w:left w:val="nil"/>
              <w:bottom w:val="single" w:sz="12" w:space="0" w:color="000000"/>
              <w:right w:val="nil"/>
            </w:tcBorders>
            <w:vAlign w:val="center"/>
          </w:tcPr>
          <w:p w:rsidR="002A5A5E" w:rsidRPr="00F9522B" w:rsidRDefault="002A5A5E">
            <w:pPr>
              <w:widowControl/>
              <w:tabs>
                <w:tab w:val="left" w:leader="middleDot" w:pos="7371"/>
              </w:tabs>
              <w:snapToGrid w:val="0"/>
              <w:spacing w:line="0" w:lineRule="atLeast"/>
              <w:jc w:val="center"/>
              <w:rPr>
                <w:rFonts w:eastAsiaTheme="minorEastAsia"/>
                <w:spacing w:val="22"/>
                <w:kern w:val="0"/>
                <w:szCs w:val="21"/>
              </w:rPr>
            </w:pPr>
          </w:p>
        </w:tc>
      </w:tr>
    </w:tbl>
    <w:p w:rsidR="002A5A5E" w:rsidRPr="00F9522B" w:rsidRDefault="00611CBA" w:rsidP="00611CBA">
      <w:pPr>
        <w:spacing w:line="360" w:lineRule="auto"/>
        <w:ind w:firstLineChars="177" w:firstLine="425"/>
        <w:rPr>
          <w:rFonts w:eastAsiaTheme="minorEastAsia"/>
          <w:sz w:val="24"/>
        </w:rPr>
      </w:pPr>
      <w:r w:rsidRPr="00F9522B">
        <w:rPr>
          <w:rFonts w:eastAsiaTheme="minorEastAsia"/>
          <w:kern w:val="0"/>
          <w:sz w:val="24"/>
        </w:rPr>
        <w:t>依据环境影响因素结合工程行为矩阵筛选，采用矩阵法对可能受本项目影响的环境要素进行识别，确定该项目的环评主要内容包括：生态环境评价、环境空气评价、声环境评价、地下水环境评价等。</w:t>
      </w:r>
    </w:p>
    <w:p w:rsidR="002A5A5E" w:rsidRPr="00F9522B" w:rsidRDefault="00611CBA" w:rsidP="00611CBA">
      <w:pPr>
        <w:spacing w:line="360" w:lineRule="auto"/>
        <w:ind w:firstLineChars="177" w:firstLine="425"/>
        <w:rPr>
          <w:rFonts w:eastAsiaTheme="minorEastAsia"/>
          <w:sz w:val="24"/>
        </w:rPr>
      </w:pPr>
      <w:r w:rsidRPr="00F9522B">
        <w:rPr>
          <w:rFonts w:eastAsiaTheme="minorEastAsia"/>
          <w:sz w:val="24"/>
        </w:rPr>
        <w:t>根据本项目的生产特点和污染物的排放种类、排放量以及对环境的影响，将生产过程中产生的污染物对环境的影响见表</w:t>
      </w:r>
      <w:r w:rsidRPr="00F9522B">
        <w:rPr>
          <w:rFonts w:eastAsiaTheme="minorEastAsia"/>
          <w:sz w:val="24"/>
        </w:rPr>
        <w:t>2-4-2</w:t>
      </w:r>
      <w:r w:rsidRPr="00F9522B">
        <w:rPr>
          <w:rFonts w:eastAsiaTheme="minorEastAsia"/>
          <w:sz w:val="24"/>
        </w:rPr>
        <w:t>。</w:t>
      </w:r>
    </w:p>
    <w:p w:rsidR="002A5A5E" w:rsidRPr="00F9522B" w:rsidRDefault="00611CBA">
      <w:pPr>
        <w:jc w:val="center"/>
        <w:rPr>
          <w:rFonts w:eastAsiaTheme="minorEastAsia"/>
          <w:b/>
          <w:szCs w:val="21"/>
        </w:rPr>
      </w:pPr>
      <w:r w:rsidRPr="00F9522B">
        <w:rPr>
          <w:rFonts w:eastAsiaTheme="minorEastAsia"/>
          <w:b/>
          <w:szCs w:val="21"/>
        </w:rPr>
        <w:lastRenderedPageBreak/>
        <w:t>表</w:t>
      </w:r>
      <w:r w:rsidRPr="00F9522B">
        <w:rPr>
          <w:rFonts w:eastAsiaTheme="minorEastAsia"/>
          <w:b/>
          <w:szCs w:val="21"/>
        </w:rPr>
        <w:t>2-4-2</w:t>
      </w:r>
      <w:r w:rsidRPr="00F9522B">
        <w:rPr>
          <w:rFonts w:eastAsiaTheme="minorEastAsia"/>
          <w:b/>
          <w:szCs w:val="21"/>
        </w:rPr>
        <w:t>环境影响因素识别一览表</w:t>
      </w:r>
    </w:p>
    <w:tbl>
      <w:tblPr>
        <w:tblW w:w="5000" w:type="pct"/>
        <w:jc w:val="center"/>
        <w:tblBorders>
          <w:top w:val="single" w:sz="12" w:space="0" w:color="auto"/>
          <w:bottom w:val="single" w:sz="12" w:space="0" w:color="auto"/>
          <w:insideH w:val="single" w:sz="4" w:space="0" w:color="auto"/>
          <w:insideV w:val="single" w:sz="4" w:space="0" w:color="auto"/>
        </w:tblBorders>
        <w:tblLook w:val="04A0"/>
      </w:tblPr>
      <w:tblGrid>
        <w:gridCol w:w="672"/>
        <w:gridCol w:w="1283"/>
        <w:gridCol w:w="3168"/>
        <w:gridCol w:w="3399"/>
      </w:tblGrid>
      <w:tr w:rsidR="002A5A5E" w:rsidRPr="00F9522B">
        <w:trPr>
          <w:cantSplit/>
          <w:trHeight w:val="24"/>
          <w:jc w:val="center"/>
        </w:trPr>
        <w:tc>
          <w:tcPr>
            <w:tcW w:w="1147" w:type="pct"/>
            <w:gridSpan w:val="2"/>
            <w:vAlign w:val="center"/>
          </w:tcPr>
          <w:p w:rsidR="002A5A5E" w:rsidRPr="00F9522B" w:rsidRDefault="00611CBA">
            <w:pPr>
              <w:jc w:val="center"/>
              <w:rPr>
                <w:rFonts w:eastAsiaTheme="minorEastAsia"/>
                <w:snapToGrid w:val="0"/>
                <w:kern w:val="0"/>
              </w:rPr>
            </w:pPr>
            <w:r w:rsidRPr="00F9522B">
              <w:rPr>
                <w:rFonts w:eastAsiaTheme="minorEastAsia"/>
                <w:snapToGrid w:val="0"/>
                <w:kern w:val="0"/>
              </w:rPr>
              <w:t>污染物</w:t>
            </w:r>
          </w:p>
        </w:tc>
        <w:tc>
          <w:tcPr>
            <w:tcW w:w="1859" w:type="pct"/>
            <w:vAlign w:val="center"/>
          </w:tcPr>
          <w:p w:rsidR="002A5A5E" w:rsidRPr="00F9522B" w:rsidRDefault="00611CBA">
            <w:pPr>
              <w:jc w:val="center"/>
              <w:rPr>
                <w:rFonts w:eastAsiaTheme="minorEastAsia"/>
                <w:snapToGrid w:val="0"/>
                <w:kern w:val="0"/>
              </w:rPr>
            </w:pPr>
            <w:r w:rsidRPr="00F9522B">
              <w:rPr>
                <w:rFonts w:eastAsiaTheme="minorEastAsia"/>
                <w:snapToGrid w:val="0"/>
                <w:kern w:val="0"/>
              </w:rPr>
              <w:t>污染来源</w:t>
            </w:r>
          </w:p>
        </w:tc>
        <w:tc>
          <w:tcPr>
            <w:tcW w:w="1994" w:type="pct"/>
            <w:vAlign w:val="center"/>
          </w:tcPr>
          <w:p w:rsidR="002A5A5E" w:rsidRPr="00F9522B" w:rsidRDefault="00611CBA">
            <w:pPr>
              <w:jc w:val="center"/>
              <w:rPr>
                <w:rFonts w:eastAsiaTheme="minorEastAsia"/>
                <w:snapToGrid w:val="0"/>
                <w:kern w:val="0"/>
              </w:rPr>
            </w:pPr>
            <w:r w:rsidRPr="00F9522B">
              <w:rPr>
                <w:rFonts w:eastAsiaTheme="minorEastAsia"/>
                <w:snapToGrid w:val="0"/>
                <w:kern w:val="0"/>
              </w:rPr>
              <w:t>污染因子</w:t>
            </w:r>
          </w:p>
        </w:tc>
      </w:tr>
      <w:tr w:rsidR="002A5A5E" w:rsidRPr="00F9522B">
        <w:trPr>
          <w:cantSplit/>
          <w:trHeight w:val="24"/>
          <w:jc w:val="center"/>
        </w:trPr>
        <w:tc>
          <w:tcPr>
            <w:tcW w:w="394" w:type="pct"/>
            <w:vMerge w:val="restart"/>
            <w:vAlign w:val="center"/>
          </w:tcPr>
          <w:p w:rsidR="002A5A5E" w:rsidRPr="00F9522B" w:rsidRDefault="00611CBA">
            <w:pPr>
              <w:jc w:val="center"/>
              <w:rPr>
                <w:rFonts w:eastAsiaTheme="minorEastAsia"/>
                <w:snapToGrid w:val="0"/>
                <w:kern w:val="0"/>
              </w:rPr>
            </w:pPr>
            <w:r w:rsidRPr="00F9522B">
              <w:rPr>
                <w:rFonts w:eastAsiaTheme="minorEastAsia"/>
                <w:snapToGrid w:val="0"/>
                <w:kern w:val="0"/>
              </w:rPr>
              <w:t>施工期</w:t>
            </w:r>
          </w:p>
        </w:tc>
        <w:tc>
          <w:tcPr>
            <w:tcW w:w="753" w:type="pct"/>
            <w:vAlign w:val="center"/>
          </w:tcPr>
          <w:p w:rsidR="002A5A5E" w:rsidRPr="00F9522B" w:rsidRDefault="00611CBA">
            <w:pPr>
              <w:jc w:val="center"/>
              <w:rPr>
                <w:rFonts w:eastAsiaTheme="minorEastAsia"/>
                <w:snapToGrid w:val="0"/>
                <w:kern w:val="0"/>
              </w:rPr>
            </w:pPr>
            <w:r w:rsidRPr="00F9522B">
              <w:rPr>
                <w:rFonts w:eastAsiaTheme="minorEastAsia"/>
                <w:snapToGrid w:val="0"/>
                <w:kern w:val="0"/>
              </w:rPr>
              <w:t>废气</w:t>
            </w:r>
          </w:p>
        </w:tc>
        <w:tc>
          <w:tcPr>
            <w:tcW w:w="1859" w:type="pct"/>
            <w:vAlign w:val="center"/>
          </w:tcPr>
          <w:p w:rsidR="002A5A5E" w:rsidRPr="00F9522B" w:rsidRDefault="00611CBA">
            <w:pPr>
              <w:jc w:val="center"/>
              <w:rPr>
                <w:rFonts w:eastAsiaTheme="minorEastAsia"/>
                <w:snapToGrid w:val="0"/>
                <w:kern w:val="0"/>
              </w:rPr>
            </w:pPr>
            <w:r w:rsidRPr="00F9522B">
              <w:rPr>
                <w:rFonts w:eastAsiaTheme="minorEastAsia"/>
                <w:snapToGrid w:val="0"/>
                <w:kern w:val="0"/>
              </w:rPr>
              <w:t>施工活动、机械及施工车辆</w:t>
            </w:r>
          </w:p>
        </w:tc>
        <w:tc>
          <w:tcPr>
            <w:tcW w:w="1994" w:type="pct"/>
            <w:vAlign w:val="center"/>
          </w:tcPr>
          <w:p w:rsidR="002A5A5E" w:rsidRPr="00F9522B" w:rsidRDefault="00611CBA">
            <w:pPr>
              <w:jc w:val="center"/>
              <w:rPr>
                <w:rFonts w:eastAsiaTheme="minorEastAsia"/>
                <w:snapToGrid w:val="0"/>
                <w:kern w:val="0"/>
              </w:rPr>
            </w:pPr>
            <w:r w:rsidRPr="00F9522B">
              <w:rPr>
                <w:rFonts w:eastAsiaTheme="minorEastAsia"/>
                <w:snapToGrid w:val="0"/>
                <w:kern w:val="0"/>
              </w:rPr>
              <w:t>TSP</w:t>
            </w:r>
            <w:r w:rsidRPr="00F9522B">
              <w:rPr>
                <w:rFonts w:eastAsiaTheme="minorEastAsia"/>
                <w:snapToGrid w:val="0"/>
                <w:kern w:val="0"/>
              </w:rPr>
              <w:t>、</w:t>
            </w:r>
            <w:r w:rsidRPr="00F9522B">
              <w:rPr>
                <w:rFonts w:eastAsiaTheme="minorEastAsia"/>
                <w:snapToGrid w:val="0"/>
                <w:kern w:val="0"/>
              </w:rPr>
              <w:t>CO</w:t>
            </w:r>
            <w:r w:rsidRPr="00F9522B">
              <w:rPr>
                <w:rFonts w:eastAsiaTheme="minorEastAsia"/>
                <w:snapToGrid w:val="0"/>
                <w:kern w:val="0"/>
              </w:rPr>
              <w:t>、</w:t>
            </w:r>
            <w:r w:rsidRPr="00F9522B">
              <w:rPr>
                <w:rFonts w:eastAsiaTheme="minorEastAsia"/>
                <w:spacing w:val="22"/>
                <w:kern w:val="0"/>
                <w:szCs w:val="21"/>
              </w:rPr>
              <w:t>HC+NO</w:t>
            </w:r>
            <w:r w:rsidRPr="00F9522B">
              <w:rPr>
                <w:rFonts w:eastAsiaTheme="minorEastAsia"/>
                <w:spacing w:val="22"/>
                <w:kern w:val="0"/>
                <w:szCs w:val="21"/>
                <w:vertAlign w:val="subscript"/>
              </w:rPr>
              <w:t>x</w:t>
            </w:r>
            <w:r w:rsidRPr="00F9522B">
              <w:rPr>
                <w:rFonts w:eastAsiaTheme="minorEastAsia"/>
                <w:snapToGrid w:val="0"/>
                <w:kern w:val="0"/>
              </w:rPr>
              <w:t>、</w:t>
            </w:r>
            <w:r w:rsidRPr="00F9522B">
              <w:rPr>
                <w:rFonts w:eastAsiaTheme="minorEastAsia"/>
                <w:bCs/>
                <w:snapToGrid w:val="0"/>
                <w:kern w:val="0"/>
              </w:rPr>
              <w:t>THC</w:t>
            </w:r>
            <w:r w:rsidRPr="00F9522B">
              <w:rPr>
                <w:rFonts w:eastAsiaTheme="minorEastAsia"/>
                <w:bCs/>
                <w:snapToGrid w:val="0"/>
                <w:kern w:val="0"/>
              </w:rPr>
              <w:t>、</w:t>
            </w:r>
            <w:r w:rsidRPr="00F9522B">
              <w:rPr>
                <w:rFonts w:eastAsiaTheme="minorEastAsia"/>
                <w:snapToGrid w:val="0"/>
                <w:kern w:val="0"/>
              </w:rPr>
              <w:t>臭气浓度</w:t>
            </w:r>
          </w:p>
        </w:tc>
      </w:tr>
      <w:tr w:rsidR="002A5A5E" w:rsidRPr="00F9522B">
        <w:trPr>
          <w:cantSplit/>
          <w:trHeight w:val="24"/>
          <w:jc w:val="center"/>
        </w:trPr>
        <w:tc>
          <w:tcPr>
            <w:tcW w:w="394" w:type="pct"/>
            <w:vMerge/>
            <w:vAlign w:val="center"/>
          </w:tcPr>
          <w:p w:rsidR="002A5A5E" w:rsidRPr="00F9522B" w:rsidRDefault="002A5A5E">
            <w:pPr>
              <w:jc w:val="center"/>
              <w:rPr>
                <w:rFonts w:eastAsiaTheme="minorEastAsia"/>
                <w:snapToGrid w:val="0"/>
                <w:kern w:val="0"/>
              </w:rPr>
            </w:pPr>
          </w:p>
        </w:tc>
        <w:tc>
          <w:tcPr>
            <w:tcW w:w="753" w:type="pct"/>
            <w:vAlign w:val="center"/>
          </w:tcPr>
          <w:p w:rsidR="002A5A5E" w:rsidRPr="00F9522B" w:rsidRDefault="00611CBA">
            <w:pPr>
              <w:jc w:val="center"/>
              <w:rPr>
                <w:rFonts w:eastAsiaTheme="minorEastAsia"/>
                <w:snapToGrid w:val="0"/>
                <w:kern w:val="0"/>
              </w:rPr>
            </w:pPr>
            <w:r w:rsidRPr="00F9522B">
              <w:rPr>
                <w:rFonts w:eastAsiaTheme="minorEastAsia"/>
                <w:snapToGrid w:val="0"/>
                <w:kern w:val="0"/>
              </w:rPr>
              <w:t>废水</w:t>
            </w:r>
          </w:p>
        </w:tc>
        <w:tc>
          <w:tcPr>
            <w:tcW w:w="1859" w:type="pct"/>
            <w:vAlign w:val="center"/>
          </w:tcPr>
          <w:p w:rsidR="002A5A5E" w:rsidRPr="00F9522B" w:rsidRDefault="00611CBA">
            <w:pPr>
              <w:jc w:val="center"/>
              <w:rPr>
                <w:rFonts w:eastAsiaTheme="minorEastAsia"/>
                <w:snapToGrid w:val="0"/>
                <w:kern w:val="0"/>
              </w:rPr>
            </w:pPr>
            <w:r w:rsidRPr="00F9522B">
              <w:rPr>
                <w:rFonts w:eastAsiaTheme="minorEastAsia"/>
                <w:snapToGrid w:val="0"/>
                <w:kern w:val="0"/>
              </w:rPr>
              <w:t>施工活动和施工人员生活</w:t>
            </w:r>
          </w:p>
        </w:tc>
        <w:tc>
          <w:tcPr>
            <w:tcW w:w="1994" w:type="pct"/>
            <w:vAlign w:val="center"/>
          </w:tcPr>
          <w:p w:rsidR="002A5A5E" w:rsidRPr="00F9522B" w:rsidRDefault="00611CBA">
            <w:pPr>
              <w:jc w:val="center"/>
              <w:rPr>
                <w:rFonts w:eastAsiaTheme="minorEastAsia"/>
                <w:snapToGrid w:val="0"/>
                <w:kern w:val="0"/>
              </w:rPr>
            </w:pPr>
            <w:r w:rsidRPr="00F9522B">
              <w:rPr>
                <w:rFonts w:eastAsiaTheme="minorEastAsia"/>
                <w:bCs/>
                <w:snapToGrid w:val="0"/>
                <w:kern w:val="0"/>
              </w:rPr>
              <w:t>COD</w:t>
            </w:r>
            <w:r w:rsidRPr="00F9522B">
              <w:rPr>
                <w:rFonts w:eastAsiaTheme="minorEastAsia"/>
                <w:bCs/>
                <w:snapToGrid w:val="0"/>
                <w:kern w:val="0"/>
              </w:rPr>
              <w:t>、氨氮、</w:t>
            </w:r>
            <w:r w:rsidRPr="00F9522B">
              <w:rPr>
                <w:rFonts w:eastAsiaTheme="minorEastAsia"/>
                <w:bCs/>
                <w:snapToGrid w:val="0"/>
                <w:kern w:val="0"/>
              </w:rPr>
              <w:t>pH</w:t>
            </w:r>
            <w:r w:rsidRPr="00F9522B">
              <w:rPr>
                <w:rFonts w:eastAsiaTheme="minorEastAsia"/>
                <w:bCs/>
                <w:snapToGrid w:val="0"/>
                <w:kern w:val="0"/>
              </w:rPr>
              <w:t>、</w:t>
            </w:r>
            <w:r w:rsidRPr="00F9522B">
              <w:rPr>
                <w:rFonts w:eastAsiaTheme="minorEastAsia"/>
                <w:bCs/>
                <w:snapToGrid w:val="0"/>
                <w:kern w:val="0"/>
              </w:rPr>
              <w:t>BOD</w:t>
            </w:r>
            <w:r w:rsidRPr="00F9522B">
              <w:rPr>
                <w:rFonts w:eastAsiaTheme="minorEastAsia"/>
                <w:bCs/>
                <w:snapToGrid w:val="0"/>
                <w:kern w:val="0"/>
                <w:vertAlign w:val="subscript"/>
              </w:rPr>
              <w:t>5</w:t>
            </w:r>
            <w:r w:rsidRPr="00F9522B">
              <w:rPr>
                <w:rFonts w:eastAsiaTheme="minorEastAsia"/>
                <w:bCs/>
                <w:snapToGrid w:val="0"/>
                <w:kern w:val="0"/>
              </w:rPr>
              <w:t>、</w:t>
            </w:r>
            <w:r w:rsidRPr="00F9522B">
              <w:rPr>
                <w:rFonts w:eastAsiaTheme="minorEastAsia"/>
                <w:bCs/>
                <w:snapToGrid w:val="0"/>
                <w:kern w:val="0"/>
              </w:rPr>
              <w:t>SS</w:t>
            </w:r>
          </w:p>
        </w:tc>
      </w:tr>
      <w:tr w:rsidR="002A5A5E" w:rsidRPr="00F9522B">
        <w:trPr>
          <w:cantSplit/>
          <w:trHeight w:val="24"/>
          <w:jc w:val="center"/>
        </w:trPr>
        <w:tc>
          <w:tcPr>
            <w:tcW w:w="394" w:type="pct"/>
            <w:vMerge/>
            <w:vAlign w:val="center"/>
          </w:tcPr>
          <w:p w:rsidR="002A5A5E" w:rsidRPr="00F9522B" w:rsidRDefault="002A5A5E">
            <w:pPr>
              <w:jc w:val="center"/>
              <w:rPr>
                <w:rFonts w:eastAsiaTheme="minorEastAsia"/>
                <w:snapToGrid w:val="0"/>
                <w:kern w:val="0"/>
              </w:rPr>
            </w:pPr>
          </w:p>
        </w:tc>
        <w:tc>
          <w:tcPr>
            <w:tcW w:w="753" w:type="pct"/>
            <w:vAlign w:val="center"/>
          </w:tcPr>
          <w:p w:rsidR="002A5A5E" w:rsidRPr="00F9522B" w:rsidRDefault="00611CBA">
            <w:pPr>
              <w:jc w:val="center"/>
              <w:rPr>
                <w:rFonts w:eastAsiaTheme="minorEastAsia"/>
                <w:snapToGrid w:val="0"/>
                <w:kern w:val="0"/>
              </w:rPr>
            </w:pPr>
            <w:r w:rsidRPr="00F9522B">
              <w:rPr>
                <w:rFonts w:eastAsiaTheme="minorEastAsia"/>
                <w:snapToGrid w:val="0"/>
                <w:kern w:val="0"/>
              </w:rPr>
              <w:t>噪声</w:t>
            </w:r>
          </w:p>
        </w:tc>
        <w:tc>
          <w:tcPr>
            <w:tcW w:w="1859" w:type="pct"/>
            <w:vAlign w:val="center"/>
          </w:tcPr>
          <w:p w:rsidR="002A5A5E" w:rsidRPr="00F9522B" w:rsidRDefault="00611CBA">
            <w:pPr>
              <w:jc w:val="center"/>
              <w:rPr>
                <w:rFonts w:eastAsiaTheme="minorEastAsia"/>
                <w:snapToGrid w:val="0"/>
                <w:kern w:val="0"/>
              </w:rPr>
            </w:pPr>
            <w:r w:rsidRPr="00F9522B">
              <w:rPr>
                <w:rFonts w:eastAsiaTheme="minorEastAsia"/>
                <w:snapToGrid w:val="0"/>
                <w:kern w:val="0"/>
              </w:rPr>
              <w:t>施工活动和机械设备</w:t>
            </w:r>
          </w:p>
        </w:tc>
        <w:tc>
          <w:tcPr>
            <w:tcW w:w="1994" w:type="pct"/>
            <w:vAlign w:val="center"/>
          </w:tcPr>
          <w:p w:rsidR="002A5A5E" w:rsidRPr="00F9522B" w:rsidRDefault="00611CBA">
            <w:pPr>
              <w:jc w:val="center"/>
              <w:rPr>
                <w:rFonts w:eastAsiaTheme="minorEastAsia"/>
                <w:snapToGrid w:val="0"/>
                <w:kern w:val="0"/>
              </w:rPr>
            </w:pPr>
            <w:r w:rsidRPr="00F9522B">
              <w:rPr>
                <w:rFonts w:eastAsiaTheme="minorEastAsia"/>
                <w:snapToGrid w:val="0"/>
                <w:kern w:val="0"/>
              </w:rPr>
              <w:t>等效连续</w:t>
            </w:r>
            <w:r w:rsidRPr="00F9522B">
              <w:rPr>
                <w:rFonts w:eastAsiaTheme="minorEastAsia"/>
                <w:snapToGrid w:val="0"/>
                <w:kern w:val="0"/>
              </w:rPr>
              <w:t>A</w:t>
            </w:r>
            <w:r w:rsidRPr="00F9522B">
              <w:rPr>
                <w:rFonts w:eastAsiaTheme="minorEastAsia"/>
                <w:snapToGrid w:val="0"/>
                <w:kern w:val="0"/>
              </w:rPr>
              <w:t>声级</w:t>
            </w:r>
            <w:r w:rsidRPr="00F9522B">
              <w:rPr>
                <w:rFonts w:eastAsiaTheme="minorEastAsia"/>
                <w:snapToGrid w:val="0"/>
                <w:kern w:val="0"/>
              </w:rPr>
              <w:t>Leq</w:t>
            </w:r>
            <w:r w:rsidRPr="00F9522B">
              <w:rPr>
                <w:rFonts w:eastAsiaTheme="minorEastAsia"/>
                <w:snapToGrid w:val="0"/>
                <w:kern w:val="0"/>
              </w:rPr>
              <w:t>（</w:t>
            </w:r>
            <w:r w:rsidRPr="00F9522B">
              <w:rPr>
                <w:rFonts w:eastAsiaTheme="minorEastAsia"/>
                <w:snapToGrid w:val="0"/>
                <w:kern w:val="0"/>
              </w:rPr>
              <w:t>A</w:t>
            </w:r>
            <w:r w:rsidRPr="00F9522B">
              <w:rPr>
                <w:rFonts w:eastAsiaTheme="minorEastAsia"/>
                <w:snapToGrid w:val="0"/>
                <w:kern w:val="0"/>
              </w:rPr>
              <w:t>）</w:t>
            </w:r>
          </w:p>
        </w:tc>
      </w:tr>
      <w:tr w:rsidR="002A5A5E" w:rsidRPr="00F9522B">
        <w:trPr>
          <w:cantSplit/>
          <w:trHeight w:val="70"/>
          <w:jc w:val="center"/>
        </w:trPr>
        <w:tc>
          <w:tcPr>
            <w:tcW w:w="394" w:type="pct"/>
            <w:vMerge/>
            <w:vAlign w:val="center"/>
          </w:tcPr>
          <w:p w:rsidR="002A5A5E" w:rsidRPr="00F9522B" w:rsidRDefault="002A5A5E">
            <w:pPr>
              <w:jc w:val="center"/>
              <w:rPr>
                <w:rFonts w:eastAsiaTheme="minorEastAsia"/>
                <w:snapToGrid w:val="0"/>
                <w:kern w:val="0"/>
              </w:rPr>
            </w:pPr>
          </w:p>
        </w:tc>
        <w:tc>
          <w:tcPr>
            <w:tcW w:w="753" w:type="pct"/>
            <w:vAlign w:val="center"/>
          </w:tcPr>
          <w:p w:rsidR="002A5A5E" w:rsidRPr="00F9522B" w:rsidRDefault="00611CBA">
            <w:pPr>
              <w:jc w:val="center"/>
              <w:rPr>
                <w:rFonts w:eastAsiaTheme="minorEastAsia"/>
                <w:snapToGrid w:val="0"/>
                <w:kern w:val="0"/>
              </w:rPr>
            </w:pPr>
            <w:r w:rsidRPr="00F9522B">
              <w:rPr>
                <w:rFonts w:eastAsiaTheme="minorEastAsia"/>
                <w:snapToGrid w:val="0"/>
                <w:kern w:val="0"/>
              </w:rPr>
              <w:t>固体废物</w:t>
            </w:r>
          </w:p>
        </w:tc>
        <w:tc>
          <w:tcPr>
            <w:tcW w:w="1859" w:type="pct"/>
            <w:vAlign w:val="center"/>
          </w:tcPr>
          <w:p w:rsidR="002A5A5E" w:rsidRPr="00F9522B" w:rsidRDefault="00611CBA">
            <w:pPr>
              <w:jc w:val="center"/>
              <w:rPr>
                <w:rFonts w:eastAsiaTheme="minorEastAsia"/>
                <w:snapToGrid w:val="0"/>
                <w:kern w:val="0"/>
              </w:rPr>
            </w:pPr>
            <w:r w:rsidRPr="00F9522B">
              <w:rPr>
                <w:rFonts w:eastAsiaTheme="minorEastAsia"/>
                <w:snapToGrid w:val="0"/>
                <w:kern w:val="0"/>
              </w:rPr>
              <w:t>建筑物施工和施工人员生活</w:t>
            </w:r>
          </w:p>
        </w:tc>
        <w:tc>
          <w:tcPr>
            <w:tcW w:w="1994" w:type="pct"/>
            <w:vAlign w:val="center"/>
          </w:tcPr>
          <w:p w:rsidR="002A5A5E" w:rsidRPr="00F9522B" w:rsidRDefault="00611CBA">
            <w:pPr>
              <w:jc w:val="center"/>
              <w:rPr>
                <w:rFonts w:eastAsiaTheme="minorEastAsia"/>
                <w:snapToGrid w:val="0"/>
                <w:kern w:val="0"/>
              </w:rPr>
            </w:pPr>
            <w:r w:rsidRPr="00F9522B">
              <w:rPr>
                <w:rFonts w:eastAsiaTheme="minorEastAsia"/>
                <w:snapToGrid w:val="0"/>
                <w:kern w:val="0"/>
              </w:rPr>
              <w:t>建筑垃圾、生活垃圾、土石方、淤泥、废肥料包装袋</w:t>
            </w:r>
          </w:p>
        </w:tc>
      </w:tr>
      <w:tr w:rsidR="002A5A5E" w:rsidRPr="00F9522B">
        <w:trPr>
          <w:cantSplit/>
          <w:trHeight w:val="70"/>
          <w:jc w:val="center"/>
        </w:trPr>
        <w:tc>
          <w:tcPr>
            <w:tcW w:w="394" w:type="pct"/>
            <w:vMerge/>
            <w:vAlign w:val="center"/>
          </w:tcPr>
          <w:p w:rsidR="002A5A5E" w:rsidRPr="00F9522B" w:rsidRDefault="002A5A5E">
            <w:pPr>
              <w:jc w:val="center"/>
              <w:rPr>
                <w:rFonts w:eastAsiaTheme="minorEastAsia"/>
                <w:snapToGrid w:val="0"/>
                <w:kern w:val="0"/>
              </w:rPr>
            </w:pPr>
          </w:p>
        </w:tc>
        <w:tc>
          <w:tcPr>
            <w:tcW w:w="753" w:type="pct"/>
            <w:vAlign w:val="center"/>
          </w:tcPr>
          <w:p w:rsidR="002A5A5E" w:rsidRPr="00F9522B" w:rsidRDefault="00611CBA">
            <w:pPr>
              <w:jc w:val="center"/>
              <w:rPr>
                <w:rFonts w:eastAsiaTheme="minorEastAsia"/>
                <w:snapToGrid w:val="0"/>
                <w:kern w:val="0"/>
              </w:rPr>
            </w:pPr>
            <w:r w:rsidRPr="00F9522B">
              <w:rPr>
                <w:rFonts w:eastAsiaTheme="minorEastAsia"/>
                <w:snapToGrid w:val="0"/>
                <w:kern w:val="0"/>
              </w:rPr>
              <w:t>地下水</w:t>
            </w:r>
          </w:p>
        </w:tc>
        <w:tc>
          <w:tcPr>
            <w:tcW w:w="1859" w:type="pct"/>
            <w:vAlign w:val="center"/>
          </w:tcPr>
          <w:p w:rsidR="002A5A5E" w:rsidRPr="00F9522B" w:rsidRDefault="00611CBA">
            <w:pPr>
              <w:jc w:val="center"/>
              <w:rPr>
                <w:rFonts w:eastAsiaTheme="minorEastAsia"/>
              </w:rPr>
            </w:pPr>
            <w:r w:rsidRPr="00F9522B">
              <w:rPr>
                <w:rFonts w:eastAsiaTheme="minorEastAsia"/>
              </w:rPr>
              <w:t>打井</w:t>
            </w:r>
          </w:p>
        </w:tc>
        <w:tc>
          <w:tcPr>
            <w:tcW w:w="1994" w:type="pct"/>
            <w:vAlign w:val="center"/>
          </w:tcPr>
          <w:p w:rsidR="002A5A5E" w:rsidRPr="00F9522B" w:rsidRDefault="00611CBA">
            <w:pPr>
              <w:jc w:val="center"/>
              <w:rPr>
                <w:rFonts w:eastAsiaTheme="minorEastAsia"/>
                <w:snapToGrid w:val="0"/>
                <w:kern w:val="0"/>
              </w:rPr>
            </w:pPr>
            <w:r w:rsidRPr="00F9522B">
              <w:rPr>
                <w:rFonts w:eastAsiaTheme="minorEastAsia"/>
                <w:bCs/>
                <w:snapToGrid w:val="0"/>
                <w:kern w:val="0"/>
              </w:rPr>
              <w:t>SS</w:t>
            </w:r>
          </w:p>
        </w:tc>
      </w:tr>
      <w:tr w:rsidR="002A5A5E" w:rsidRPr="00F9522B">
        <w:trPr>
          <w:cantSplit/>
          <w:trHeight w:val="70"/>
          <w:jc w:val="center"/>
        </w:trPr>
        <w:tc>
          <w:tcPr>
            <w:tcW w:w="394" w:type="pct"/>
            <w:vMerge/>
            <w:vAlign w:val="center"/>
          </w:tcPr>
          <w:p w:rsidR="002A5A5E" w:rsidRPr="00F9522B" w:rsidRDefault="002A5A5E">
            <w:pPr>
              <w:jc w:val="center"/>
              <w:rPr>
                <w:rFonts w:eastAsiaTheme="minorEastAsia"/>
                <w:snapToGrid w:val="0"/>
                <w:kern w:val="0"/>
              </w:rPr>
            </w:pPr>
          </w:p>
        </w:tc>
        <w:tc>
          <w:tcPr>
            <w:tcW w:w="753" w:type="pct"/>
            <w:vAlign w:val="center"/>
          </w:tcPr>
          <w:p w:rsidR="002A5A5E" w:rsidRPr="00F9522B" w:rsidRDefault="00611CBA">
            <w:pPr>
              <w:jc w:val="center"/>
              <w:rPr>
                <w:rFonts w:eastAsiaTheme="minorEastAsia"/>
                <w:snapToGrid w:val="0"/>
                <w:kern w:val="0"/>
              </w:rPr>
            </w:pPr>
            <w:r w:rsidRPr="00F9522B">
              <w:rPr>
                <w:rFonts w:eastAsiaTheme="minorEastAsia"/>
                <w:snapToGrid w:val="0"/>
                <w:kern w:val="0"/>
              </w:rPr>
              <w:t>土壤</w:t>
            </w:r>
          </w:p>
        </w:tc>
        <w:tc>
          <w:tcPr>
            <w:tcW w:w="1859" w:type="pct"/>
            <w:vAlign w:val="center"/>
          </w:tcPr>
          <w:p w:rsidR="002A5A5E" w:rsidRPr="00F9522B" w:rsidRDefault="00611CBA">
            <w:pPr>
              <w:jc w:val="center"/>
              <w:rPr>
                <w:rFonts w:eastAsiaTheme="minorEastAsia"/>
              </w:rPr>
            </w:pPr>
            <w:r w:rsidRPr="00F9522B">
              <w:rPr>
                <w:rFonts w:eastAsiaTheme="minorEastAsia"/>
              </w:rPr>
              <w:t>表土剥离</w:t>
            </w:r>
          </w:p>
        </w:tc>
        <w:tc>
          <w:tcPr>
            <w:tcW w:w="1994" w:type="pct"/>
            <w:vAlign w:val="center"/>
          </w:tcPr>
          <w:p w:rsidR="002A5A5E" w:rsidRPr="00F9522B" w:rsidRDefault="00611CBA">
            <w:pPr>
              <w:jc w:val="center"/>
              <w:rPr>
                <w:rFonts w:eastAsiaTheme="minorEastAsia"/>
                <w:snapToGrid w:val="0"/>
                <w:kern w:val="0"/>
              </w:rPr>
            </w:pPr>
            <w:r w:rsidRPr="00F9522B">
              <w:rPr>
                <w:rFonts w:eastAsiaTheme="minorEastAsia"/>
                <w:snapToGrid w:val="0"/>
                <w:kern w:val="0"/>
              </w:rPr>
              <w:t>土壤结构、理化性质</w:t>
            </w:r>
          </w:p>
        </w:tc>
      </w:tr>
      <w:tr w:rsidR="002A5A5E" w:rsidRPr="00F9522B">
        <w:trPr>
          <w:cantSplit/>
          <w:trHeight w:val="70"/>
          <w:jc w:val="center"/>
        </w:trPr>
        <w:tc>
          <w:tcPr>
            <w:tcW w:w="394" w:type="pct"/>
            <w:vMerge/>
            <w:vAlign w:val="center"/>
          </w:tcPr>
          <w:p w:rsidR="002A5A5E" w:rsidRPr="00F9522B" w:rsidRDefault="002A5A5E">
            <w:pPr>
              <w:jc w:val="center"/>
              <w:rPr>
                <w:rFonts w:eastAsiaTheme="minorEastAsia"/>
                <w:snapToGrid w:val="0"/>
                <w:kern w:val="0"/>
              </w:rPr>
            </w:pPr>
          </w:p>
        </w:tc>
        <w:tc>
          <w:tcPr>
            <w:tcW w:w="753" w:type="pct"/>
            <w:vAlign w:val="center"/>
          </w:tcPr>
          <w:p w:rsidR="002A5A5E" w:rsidRPr="00F9522B" w:rsidRDefault="00611CBA">
            <w:pPr>
              <w:jc w:val="center"/>
              <w:rPr>
                <w:rFonts w:eastAsiaTheme="minorEastAsia"/>
                <w:snapToGrid w:val="0"/>
                <w:kern w:val="0"/>
              </w:rPr>
            </w:pPr>
            <w:r w:rsidRPr="00F9522B">
              <w:rPr>
                <w:rFonts w:eastAsiaTheme="minorEastAsia"/>
                <w:snapToGrid w:val="0"/>
                <w:kern w:val="0"/>
              </w:rPr>
              <w:t>地表水</w:t>
            </w:r>
          </w:p>
        </w:tc>
        <w:tc>
          <w:tcPr>
            <w:tcW w:w="1859" w:type="pct"/>
            <w:vAlign w:val="center"/>
          </w:tcPr>
          <w:p w:rsidR="002A5A5E" w:rsidRPr="00F9522B" w:rsidRDefault="00611CBA">
            <w:pPr>
              <w:jc w:val="center"/>
              <w:rPr>
                <w:rFonts w:eastAsiaTheme="minorEastAsia"/>
              </w:rPr>
            </w:pPr>
            <w:r w:rsidRPr="00F9522B">
              <w:rPr>
                <w:rFonts w:eastAsiaTheme="minorEastAsia"/>
              </w:rPr>
              <w:t>施工活动和机械设备</w:t>
            </w:r>
          </w:p>
        </w:tc>
        <w:tc>
          <w:tcPr>
            <w:tcW w:w="1994" w:type="pct"/>
            <w:vAlign w:val="center"/>
          </w:tcPr>
          <w:p w:rsidR="002A5A5E" w:rsidRPr="00F9522B" w:rsidRDefault="00611CBA">
            <w:pPr>
              <w:jc w:val="center"/>
              <w:rPr>
                <w:rFonts w:eastAsiaTheme="minorEastAsia"/>
                <w:snapToGrid w:val="0"/>
                <w:kern w:val="0"/>
              </w:rPr>
            </w:pPr>
            <w:r w:rsidRPr="00F9522B">
              <w:rPr>
                <w:rFonts w:eastAsiaTheme="minorEastAsia"/>
                <w:snapToGrid w:val="0"/>
                <w:kern w:val="0"/>
              </w:rPr>
              <w:t>石油类</w:t>
            </w:r>
          </w:p>
        </w:tc>
      </w:tr>
      <w:tr w:rsidR="002A5A5E" w:rsidRPr="00F9522B">
        <w:trPr>
          <w:cantSplit/>
          <w:trHeight w:val="407"/>
          <w:jc w:val="center"/>
        </w:trPr>
        <w:tc>
          <w:tcPr>
            <w:tcW w:w="394" w:type="pct"/>
            <w:vMerge w:val="restart"/>
            <w:vAlign w:val="center"/>
          </w:tcPr>
          <w:p w:rsidR="002A5A5E" w:rsidRPr="00F9522B" w:rsidRDefault="00611CBA">
            <w:pPr>
              <w:jc w:val="center"/>
              <w:rPr>
                <w:rFonts w:eastAsiaTheme="minorEastAsia"/>
                <w:snapToGrid w:val="0"/>
                <w:kern w:val="0"/>
              </w:rPr>
            </w:pPr>
            <w:r w:rsidRPr="00F9522B">
              <w:rPr>
                <w:rFonts w:eastAsiaTheme="minorEastAsia"/>
                <w:snapToGrid w:val="0"/>
                <w:kern w:val="0"/>
              </w:rPr>
              <w:t>运营期</w:t>
            </w:r>
          </w:p>
        </w:tc>
        <w:tc>
          <w:tcPr>
            <w:tcW w:w="753" w:type="pct"/>
            <w:vAlign w:val="center"/>
          </w:tcPr>
          <w:p w:rsidR="002A5A5E" w:rsidRPr="00F9522B" w:rsidRDefault="00611CBA">
            <w:pPr>
              <w:jc w:val="center"/>
              <w:rPr>
                <w:rFonts w:eastAsiaTheme="minorEastAsia"/>
                <w:snapToGrid w:val="0"/>
                <w:kern w:val="0"/>
              </w:rPr>
            </w:pPr>
            <w:r w:rsidRPr="00F9522B">
              <w:rPr>
                <w:rFonts w:eastAsiaTheme="minorEastAsia"/>
                <w:snapToGrid w:val="0"/>
                <w:kern w:val="0"/>
              </w:rPr>
              <w:t>废气</w:t>
            </w:r>
          </w:p>
        </w:tc>
        <w:tc>
          <w:tcPr>
            <w:tcW w:w="1859" w:type="pct"/>
            <w:vAlign w:val="center"/>
          </w:tcPr>
          <w:p w:rsidR="002A5A5E" w:rsidRPr="00F9522B" w:rsidRDefault="00611CBA">
            <w:pPr>
              <w:jc w:val="center"/>
              <w:rPr>
                <w:rFonts w:eastAsiaTheme="minorEastAsia"/>
                <w:snapToGrid w:val="0"/>
                <w:kern w:val="0"/>
              </w:rPr>
            </w:pPr>
            <w:r w:rsidRPr="00F9522B">
              <w:rPr>
                <w:rFonts w:eastAsiaTheme="minorEastAsia"/>
                <w:snapToGrid w:val="0"/>
                <w:kern w:val="0"/>
              </w:rPr>
              <w:t>车辆、柴油机移动泵车</w:t>
            </w:r>
          </w:p>
        </w:tc>
        <w:tc>
          <w:tcPr>
            <w:tcW w:w="1994" w:type="pct"/>
            <w:vAlign w:val="center"/>
          </w:tcPr>
          <w:p w:rsidR="002A5A5E" w:rsidRPr="00F9522B" w:rsidRDefault="00611CBA">
            <w:pPr>
              <w:jc w:val="center"/>
              <w:rPr>
                <w:rFonts w:eastAsiaTheme="minorEastAsia"/>
                <w:snapToGrid w:val="0"/>
                <w:kern w:val="0"/>
              </w:rPr>
            </w:pPr>
            <w:r w:rsidRPr="00F9522B">
              <w:rPr>
                <w:rFonts w:eastAsiaTheme="minorEastAsia"/>
                <w:snapToGrid w:val="0"/>
                <w:kern w:val="0"/>
              </w:rPr>
              <w:t>CO</w:t>
            </w:r>
            <w:r w:rsidRPr="00F9522B">
              <w:rPr>
                <w:rFonts w:eastAsiaTheme="minorEastAsia"/>
                <w:snapToGrid w:val="0"/>
                <w:kern w:val="0"/>
              </w:rPr>
              <w:t>、</w:t>
            </w:r>
            <w:r w:rsidRPr="00F9522B">
              <w:rPr>
                <w:rFonts w:eastAsiaTheme="minorEastAsia"/>
                <w:spacing w:val="22"/>
                <w:kern w:val="0"/>
                <w:szCs w:val="21"/>
              </w:rPr>
              <w:t>HC+NO</w:t>
            </w:r>
            <w:r w:rsidRPr="00F9522B">
              <w:rPr>
                <w:rFonts w:eastAsiaTheme="minorEastAsia"/>
                <w:spacing w:val="22"/>
                <w:kern w:val="0"/>
                <w:szCs w:val="21"/>
                <w:vertAlign w:val="subscript"/>
              </w:rPr>
              <w:t>x</w:t>
            </w:r>
            <w:r w:rsidRPr="00F9522B">
              <w:rPr>
                <w:rFonts w:eastAsiaTheme="minorEastAsia"/>
                <w:snapToGrid w:val="0"/>
                <w:kern w:val="0"/>
              </w:rPr>
              <w:t>、</w:t>
            </w:r>
            <w:r w:rsidRPr="00F9522B">
              <w:rPr>
                <w:rFonts w:eastAsiaTheme="minorEastAsia"/>
                <w:bCs/>
                <w:snapToGrid w:val="0"/>
                <w:kern w:val="0"/>
              </w:rPr>
              <w:t>THC</w:t>
            </w:r>
          </w:p>
        </w:tc>
      </w:tr>
      <w:tr w:rsidR="002A5A5E" w:rsidRPr="00F9522B">
        <w:trPr>
          <w:cantSplit/>
          <w:trHeight w:val="24"/>
          <w:jc w:val="center"/>
        </w:trPr>
        <w:tc>
          <w:tcPr>
            <w:tcW w:w="394" w:type="pct"/>
            <w:vMerge/>
            <w:vAlign w:val="center"/>
          </w:tcPr>
          <w:p w:rsidR="002A5A5E" w:rsidRPr="00F9522B" w:rsidRDefault="002A5A5E">
            <w:pPr>
              <w:jc w:val="center"/>
              <w:rPr>
                <w:rFonts w:eastAsiaTheme="minorEastAsia"/>
                <w:snapToGrid w:val="0"/>
                <w:kern w:val="0"/>
              </w:rPr>
            </w:pPr>
          </w:p>
        </w:tc>
        <w:tc>
          <w:tcPr>
            <w:tcW w:w="753" w:type="pct"/>
            <w:vAlign w:val="center"/>
          </w:tcPr>
          <w:p w:rsidR="002A5A5E" w:rsidRPr="00F9522B" w:rsidRDefault="00611CBA">
            <w:pPr>
              <w:jc w:val="center"/>
              <w:rPr>
                <w:rFonts w:eastAsiaTheme="minorEastAsia"/>
                <w:snapToGrid w:val="0"/>
                <w:kern w:val="0"/>
              </w:rPr>
            </w:pPr>
            <w:r w:rsidRPr="00F9522B">
              <w:rPr>
                <w:rFonts w:eastAsiaTheme="minorEastAsia"/>
                <w:snapToGrid w:val="0"/>
                <w:kern w:val="0"/>
              </w:rPr>
              <w:t>噪声</w:t>
            </w:r>
          </w:p>
        </w:tc>
        <w:tc>
          <w:tcPr>
            <w:tcW w:w="1859" w:type="pct"/>
            <w:tcMar>
              <w:left w:w="0" w:type="dxa"/>
              <w:right w:w="0" w:type="dxa"/>
            </w:tcMar>
            <w:vAlign w:val="center"/>
          </w:tcPr>
          <w:p w:rsidR="002A5A5E" w:rsidRPr="00F9522B" w:rsidRDefault="00611CBA">
            <w:pPr>
              <w:jc w:val="center"/>
              <w:rPr>
                <w:rFonts w:eastAsiaTheme="minorEastAsia"/>
                <w:snapToGrid w:val="0"/>
                <w:kern w:val="0"/>
              </w:rPr>
            </w:pPr>
            <w:r w:rsidRPr="00F9522B">
              <w:rPr>
                <w:rFonts w:eastAsiaTheme="minorEastAsia"/>
                <w:snapToGrid w:val="0"/>
                <w:kern w:val="0"/>
              </w:rPr>
              <w:t>水泵、柴油机移动泵车等设备</w:t>
            </w:r>
          </w:p>
        </w:tc>
        <w:tc>
          <w:tcPr>
            <w:tcW w:w="1994" w:type="pct"/>
            <w:vAlign w:val="center"/>
          </w:tcPr>
          <w:p w:rsidR="002A5A5E" w:rsidRPr="00F9522B" w:rsidRDefault="00611CBA">
            <w:pPr>
              <w:jc w:val="center"/>
              <w:rPr>
                <w:rFonts w:eastAsiaTheme="minorEastAsia"/>
                <w:snapToGrid w:val="0"/>
                <w:kern w:val="0"/>
              </w:rPr>
            </w:pPr>
            <w:r w:rsidRPr="00F9522B">
              <w:rPr>
                <w:rFonts w:eastAsiaTheme="minorEastAsia"/>
                <w:snapToGrid w:val="0"/>
                <w:kern w:val="0"/>
              </w:rPr>
              <w:t>等效连续</w:t>
            </w:r>
            <w:r w:rsidRPr="00F9522B">
              <w:rPr>
                <w:rFonts w:eastAsiaTheme="minorEastAsia"/>
                <w:snapToGrid w:val="0"/>
                <w:kern w:val="0"/>
              </w:rPr>
              <w:t>A</w:t>
            </w:r>
            <w:r w:rsidRPr="00F9522B">
              <w:rPr>
                <w:rFonts w:eastAsiaTheme="minorEastAsia"/>
                <w:snapToGrid w:val="0"/>
                <w:kern w:val="0"/>
              </w:rPr>
              <w:t>声级</w:t>
            </w:r>
            <w:r w:rsidRPr="00F9522B">
              <w:rPr>
                <w:rFonts w:eastAsiaTheme="minorEastAsia"/>
                <w:snapToGrid w:val="0"/>
                <w:kern w:val="0"/>
              </w:rPr>
              <w:t>Leq</w:t>
            </w:r>
            <w:r w:rsidRPr="00F9522B">
              <w:rPr>
                <w:rFonts w:eastAsiaTheme="minorEastAsia"/>
                <w:snapToGrid w:val="0"/>
                <w:kern w:val="0"/>
              </w:rPr>
              <w:t>（</w:t>
            </w:r>
            <w:r w:rsidRPr="00F9522B">
              <w:rPr>
                <w:rFonts w:eastAsiaTheme="minorEastAsia"/>
                <w:snapToGrid w:val="0"/>
                <w:kern w:val="0"/>
              </w:rPr>
              <w:t>A</w:t>
            </w:r>
            <w:r w:rsidRPr="00F9522B">
              <w:rPr>
                <w:rFonts w:eastAsiaTheme="minorEastAsia"/>
                <w:snapToGrid w:val="0"/>
                <w:kern w:val="0"/>
              </w:rPr>
              <w:t>）</w:t>
            </w:r>
          </w:p>
        </w:tc>
      </w:tr>
      <w:tr w:rsidR="002A5A5E" w:rsidRPr="00F9522B">
        <w:trPr>
          <w:cantSplit/>
          <w:trHeight w:val="24"/>
          <w:jc w:val="center"/>
        </w:trPr>
        <w:tc>
          <w:tcPr>
            <w:tcW w:w="394" w:type="pct"/>
            <w:vMerge/>
            <w:vAlign w:val="center"/>
          </w:tcPr>
          <w:p w:rsidR="002A5A5E" w:rsidRPr="00F9522B" w:rsidRDefault="002A5A5E">
            <w:pPr>
              <w:jc w:val="center"/>
              <w:rPr>
                <w:rFonts w:eastAsiaTheme="minorEastAsia"/>
                <w:snapToGrid w:val="0"/>
                <w:kern w:val="0"/>
              </w:rPr>
            </w:pPr>
          </w:p>
        </w:tc>
        <w:tc>
          <w:tcPr>
            <w:tcW w:w="753" w:type="pct"/>
            <w:vAlign w:val="center"/>
          </w:tcPr>
          <w:p w:rsidR="002A5A5E" w:rsidRPr="00F9522B" w:rsidRDefault="00611CBA">
            <w:pPr>
              <w:jc w:val="center"/>
              <w:rPr>
                <w:rFonts w:eastAsiaTheme="minorEastAsia"/>
                <w:snapToGrid w:val="0"/>
                <w:kern w:val="0"/>
              </w:rPr>
            </w:pPr>
            <w:r w:rsidRPr="00F9522B">
              <w:rPr>
                <w:rFonts w:eastAsiaTheme="minorEastAsia"/>
                <w:snapToGrid w:val="0"/>
                <w:kern w:val="0"/>
              </w:rPr>
              <w:t>地表水</w:t>
            </w:r>
          </w:p>
        </w:tc>
        <w:tc>
          <w:tcPr>
            <w:tcW w:w="1859" w:type="pct"/>
            <w:tcMar>
              <w:left w:w="0" w:type="dxa"/>
              <w:right w:w="0" w:type="dxa"/>
            </w:tcMar>
            <w:vAlign w:val="center"/>
          </w:tcPr>
          <w:p w:rsidR="002A5A5E" w:rsidRPr="00F9522B" w:rsidRDefault="00611CBA">
            <w:pPr>
              <w:jc w:val="center"/>
              <w:rPr>
                <w:rFonts w:eastAsiaTheme="minorEastAsia"/>
                <w:snapToGrid w:val="0"/>
                <w:kern w:val="0"/>
              </w:rPr>
            </w:pPr>
            <w:r w:rsidRPr="00F9522B">
              <w:rPr>
                <w:rFonts w:eastAsiaTheme="minorEastAsia"/>
                <w:snapToGrid w:val="0"/>
                <w:kern w:val="0"/>
              </w:rPr>
              <w:t>水田退水</w:t>
            </w:r>
          </w:p>
        </w:tc>
        <w:tc>
          <w:tcPr>
            <w:tcW w:w="1994" w:type="pct"/>
            <w:vAlign w:val="center"/>
          </w:tcPr>
          <w:p w:rsidR="002A5A5E" w:rsidRPr="00F9522B" w:rsidRDefault="00611CBA">
            <w:pPr>
              <w:jc w:val="center"/>
              <w:rPr>
                <w:rFonts w:eastAsiaTheme="minorEastAsia"/>
                <w:snapToGrid w:val="0"/>
                <w:kern w:val="0"/>
              </w:rPr>
            </w:pPr>
            <w:r w:rsidRPr="00F9522B">
              <w:rPr>
                <w:rFonts w:eastAsiaTheme="minorEastAsia"/>
                <w:bCs/>
                <w:snapToGrid w:val="0"/>
                <w:kern w:val="0"/>
              </w:rPr>
              <w:t>COD</w:t>
            </w:r>
            <w:r w:rsidRPr="00F9522B">
              <w:rPr>
                <w:rFonts w:eastAsiaTheme="minorEastAsia"/>
                <w:bCs/>
                <w:snapToGrid w:val="0"/>
                <w:kern w:val="0"/>
              </w:rPr>
              <w:t>、氨氮、总磷</w:t>
            </w:r>
            <w:r w:rsidR="00F33895" w:rsidRPr="00F9522B">
              <w:rPr>
                <w:rFonts w:eastAsiaTheme="minorEastAsia"/>
                <w:bCs/>
                <w:snapToGrid w:val="0"/>
                <w:kern w:val="0"/>
              </w:rPr>
              <w:t>、</w:t>
            </w:r>
            <w:r w:rsidR="00F33895" w:rsidRPr="00F9522B">
              <w:rPr>
                <w:rFonts w:eastAsiaTheme="minorEastAsia"/>
                <w:bCs/>
                <w:snapToGrid w:val="0"/>
                <w:color w:val="FF0000"/>
                <w:kern w:val="0"/>
              </w:rPr>
              <w:t>总氮</w:t>
            </w:r>
          </w:p>
        </w:tc>
      </w:tr>
      <w:tr w:rsidR="002A5A5E" w:rsidRPr="00F9522B">
        <w:trPr>
          <w:cantSplit/>
          <w:trHeight w:val="24"/>
          <w:jc w:val="center"/>
        </w:trPr>
        <w:tc>
          <w:tcPr>
            <w:tcW w:w="394" w:type="pct"/>
            <w:vMerge/>
            <w:vAlign w:val="center"/>
          </w:tcPr>
          <w:p w:rsidR="002A5A5E" w:rsidRPr="00F9522B" w:rsidRDefault="002A5A5E">
            <w:pPr>
              <w:jc w:val="center"/>
              <w:rPr>
                <w:rFonts w:eastAsiaTheme="minorEastAsia"/>
                <w:snapToGrid w:val="0"/>
                <w:kern w:val="0"/>
              </w:rPr>
            </w:pPr>
          </w:p>
        </w:tc>
        <w:tc>
          <w:tcPr>
            <w:tcW w:w="753" w:type="pct"/>
            <w:vAlign w:val="center"/>
          </w:tcPr>
          <w:p w:rsidR="002A5A5E" w:rsidRPr="00F9522B" w:rsidRDefault="00611CBA">
            <w:pPr>
              <w:jc w:val="center"/>
              <w:rPr>
                <w:rFonts w:eastAsiaTheme="minorEastAsia"/>
                <w:snapToGrid w:val="0"/>
                <w:kern w:val="0"/>
              </w:rPr>
            </w:pPr>
            <w:r w:rsidRPr="00F9522B">
              <w:rPr>
                <w:rFonts w:eastAsiaTheme="minorEastAsia"/>
                <w:snapToGrid w:val="0"/>
                <w:kern w:val="0"/>
              </w:rPr>
              <w:t>地下水</w:t>
            </w:r>
          </w:p>
        </w:tc>
        <w:tc>
          <w:tcPr>
            <w:tcW w:w="1859" w:type="pct"/>
            <w:tcMar>
              <w:left w:w="0" w:type="dxa"/>
              <w:right w:w="0" w:type="dxa"/>
            </w:tcMar>
            <w:vAlign w:val="center"/>
          </w:tcPr>
          <w:p w:rsidR="002A5A5E" w:rsidRPr="00F9522B" w:rsidRDefault="00611CBA">
            <w:pPr>
              <w:jc w:val="center"/>
              <w:rPr>
                <w:rFonts w:eastAsiaTheme="minorEastAsia"/>
                <w:snapToGrid w:val="0"/>
                <w:kern w:val="0"/>
              </w:rPr>
            </w:pPr>
            <w:r w:rsidRPr="00F9522B">
              <w:rPr>
                <w:rFonts w:eastAsiaTheme="minorEastAsia"/>
                <w:bCs/>
                <w:snapToGrid w:val="0"/>
                <w:kern w:val="0"/>
              </w:rPr>
              <w:t>地下水开采、地下水下降</w:t>
            </w:r>
            <w:r w:rsidRPr="00F9522B">
              <w:rPr>
                <w:rFonts w:eastAsiaTheme="minorEastAsia"/>
                <w:snapToGrid w:val="0"/>
                <w:kern w:val="0"/>
              </w:rPr>
              <w:t>、柴油机移动泵车</w:t>
            </w:r>
          </w:p>
        </w:tc>
        <w:tc>
          <w:tcPr>
            <w:tcW w:w="1994" w:type="pct"/>
            <w:vAlign w:val="center"/>
          </w:tcPr>
          <w:p w:rsidR="002A5A5E" w:rsidRPr="00F9522B" w:rsidRDefault="00611CBA">
            <w:pPr>
              <w:jc w:val="center"/>
              <w:rPr>
                <w:rFonts w:eastAsiaTheme="minorEastAsia"/>
                <w:snapToGrid w:val="0"/>
                <w:kern w:val="0"/>
              </w:rPr>
            </w:pPr>
            <w:r w:rsidRPr="00F9522B">
              <w:rPr>
                <w:rFonts w:eastAsiaTheme="minorEastAsia"/>
                <w:snapToGrid w:val="0"/>
                <w:kern w:val="0"/>
              </w:rPr>
              <w:t>石油类、水位、</w:t>
            </w:r>
            <w:r w:rsidRPr="00F9522B">
              <w:rPr>
                <w:rFonts w:eastAsiaTheme="minorEastAsia"/>
                <w:bCs/>
                <w:snapToGrid w:val="0"/>
                <w:kern w:val="0"/>
              </w:rPr>
              <w:t>地下水量</w:t>
            </w:r>
          </w:p>
        </w:tc>
      </w:tr>
      <w:tr w:rsidR="002A5A5E" w:rsidRPr="00F9522B">
        <w:trPr>
          <w:cantSplit/>
          <w:trHeight w:val="24"/>
          <w:jc w:val="center"/>
        </w:trPr>
        <w:tc>
          <w:tcPr>
            <w:tcW w:w="394" w:type="pct"/>
            <w:vMerge/>
            <w:vAlign w:val="center"/>
          </w:tcPr>
          <w:p w:rsidR="002A5A5E" w:rsidRPr="00F9522B" w:rsidRDefault="002A5A5E">
            <w:pPr>
              <w:jc w:val="center"/>
              <w:rPr>
                <w:rFonts w:eastAsiaTheme="minorEastAsia"/>
                <w:snapToGrid w:val="0"/>
                <w:kern w:val="0"/>
              </w:rPr>
            </w:pPr>
          </w:p>
        </w:tc>
        <w:tc>
          <w:tcPr>
            <w:tcW w:w="753" w:type="pct"/>
            <w:vAlign w:val="center"/>
          </w:tcPr>
          <w:p w:rsidR="002A5A5E" w:rsidRPr="00F9522B" w:rsidRDefault="00611CBA">
            <w:pPr>
              <w:jc w:val="center"/>
              <w:rPr>
                <w:rFonts w:eastAsiaTheme="minorEastAsia"/>
                <w:snapToGrid w:val="0"/>
                <w:kern w:val="0"/>
              </w:rPr>
            </w:pPr>
            <w:r w:rsidRPr="00F9522B">
              <w:rPr>
                <w:rFonts w:eastAsiaTheme="minorEastAsia"/>
                <w:snapToGrid w:val="0"/>
                <w:kern w:val="0"/>
              </w:rPr>
              <w:t>土壤</w:t>
            </w:r>
          </w:p>
        </w:tc>
        <w:tc>
          <w:tcPr>
            <w:tcW w:w="1859" w:type="pct"/>
            <w:tcMar>
              <w:left w:w="0" w:type="dxa"/>
              <w:right w:w="0" w:type="dxa"/>
            </w:tcMar>
            <w:vAlign w:val="center"/>
          </w:tcPr>
          <w:p w:rsidR="002A5A5E" w:rsidRPr="00F9522B" w:rsidRDefault="00611CBA">
            <w:pPr>
              <w:jc w:val="center"/>
              <w:rPr>
                <w:rFonts w:eastAsiaTheme="minorEastAsia"/>
                <w:snapToGrid w:val="0"/>
                <w:kern w:val="0"/>
              </w:rPr>
            </w:pPr>
            <w:r w:rsidRPr="00F9522B">
              <w:rPr>
                <w:rFonts w:eastAsiaTheme="minorEastAsia"/>
                <w:bCs/>
                <w:szCs w:val="21"/>
              </w:rPr>
              <w:t>地下水开采、地下水下降、</w:t>
            </w:r>
            <w:r w:rsidRPr="00F9522B">
              <w:rPr>
                <w:rFonts w:eastAsiaTheme="minorEastAsia"/>
              </w:rPr>
              <w:t>施工活动和机械设备</w:t>
            </w:r>
          </w:p>
        </w:tc>
        <w:tc>
          <w:tcPr>
            <w:tcW w:w="1994" w:type="pct"/>
            <w:vAlign w:val="center"/>
          </w:tcPr>
          <w:p w:rsidR="002A5A5E" w:rsidRPr="00F9522B" w:rsidRDefault="00611CBA">
            <w:pPr>
              <w:jc w:val="center"/>
              <w:rPr>
                <w:rFonts w:eastAsiaTheme="minorEastAsia"/>
                <w:snapToGrid w:val="0"/>
                <w:kern w:val="0"/>
              </w:rPr>
            </w:pPr>
            <w:r w:rsidRPr="00F9522B">
              <w:rPr>
                <w:rFonts w:eastAsiaTheme="minorEastAsia"/>
                <w:snapToGrid w:val="0"/>
                <w:kern w:val="0"/>
              </w:rPr>
              <w:t>盐渍化、土壤肥力、潜育化、沼泽化</w:t>
            </w:r>
          </w:p>
        </w:tc>
      </w:tr>
      <w:tr w:rsidR="002A5A5E" w:rsidRPr="00F9522B">
        <w:trPr>
          <w:cantSplit/>
          <w:trHeight w:val="24"/>
          <w:jc w:val="center"/>
        </w:trPr>
        <w:tc>
          <w:tcPr>
            <w:tcW w:w="394" w:type="pct"/>
            <w:vMerge/>
            <w:vAlign w:val="center"/>
          </w:tcPr>
          <w:p w:rsidR="002A5A5E" w:rsidRPr="00F9522B" w:rsidRDefault="002A5A5E">
            <w:pPr>
              <w:jc w:val="center"/>
              <w:rPr>
                <w:rFonts w:eastAsiaTheme="minorEastAsia"/>
                <w:snapToGrid w:val="0"/>
                <w:kern w:val="0"/>
              </w:rPr>
            </w:pPr>
          </w:p>
        </w:tc>
        <w:tc>
          <w:tcPr>
            <w:tcW w:w="753" w:type="pct"/>
            <w:vAlign w:val="center"/>
          </w:tcPr>
          <w:p w:rsidR="002A5A5E" w:rsidRPr="00F9522B" w:rsidRDefault="00611CBA">
            <w:pPr>
              <w:jc w:val="center"/>
              <w:rPr>
                <w:rFonts w:eastAsiaTheme="minorEastAsia"/>
                <w:snapToGrid w:val="0"/>
                <w:kern w:val="0"/>
              </w:rPr>
            </w:pPr>
            <w:r w:rsidRPr="00F9522B">
              <w:rPr>
                <w:rFonts w:eastAsiaTheme="minorEastAsia"/>
                <w:snapToGrid w:val="0"/>
                <w:kern w:val="0"/>
              </w:rPr>
              <w:t>环境风险</w:t>
            </w:r>
          </w:p>
        </w:tc>
        <w:tc>
          <w:tcPr>
            <w:tcW w:w="1859" w:type="pct"/>
            <w:tcMar>
              <w:left w:w="0" w:type="dxa"/>
              <w:right w:w="0" w:type="dxa"/>
            </w:tcMar>
            <w:vAlign w:val="center"/>
          </w:tcPr>
          <w:p w:rsidR="002A5A5E" w:rsidRPr="00F9522B" w:rsidRDefault="00611CBA">
            <w:pPr>
              <w:jc w:val="center"/>
              <w:rPr>
                <w:rFonts w:eastAsiaTheme="minorEastAsia"/>
                <w:snapToGrid w:val="0"/>
                <w:kern w:val="0"/>
              </w:rPr>
            </w:pPr>
            <w:r w:rsidRPr="00F9522B">
              <w:rPr>
                <w:rFonts w:eastAsiaTheme="minorEastAsia"/>
                <w:snapToGrid w:val="0"/>
                <w:kern w:val="0"/>
              </w:rPr>
              <w:t>柴油、变压器油</w:t>
            </w:r>
          </w:p>
        </w:tc>
        <w:tc>
          <w:tcPr>
            <w:tcW w:w="1994" w:type="pct"/>
            <w:vAlign w:val="center"/>
          </w:tcPr>
          <w:p w:rsidR="002A5A5E" w:rsidRPr="00F9522B" w:rsidRDefault="00611CBA">
            <w:pPr>
              <w:jc w:val="center"/>
              <w:rPr>
                <w:rFonts w:eastAsiaTheme="minorEastAsia"/>
                <w:snapToGrid w:val="0"/>
                <w:kern w:val="0"/>
              </w:rPr>
            </w:pPr>
            <w:r w:rsidRPr="00F9522B">
              <w:rPr>
                <w:rFonts w:eastAsiaTheme="minorEastAsia"/>
                <w:snapToGrid w:val="0"/>
                <w:kern w:val="0"/>
              </w:rPr>
              <w:t>石油类</w:t>
            </w:r>
          </w:p>
        </w:tc>
      </w:tr>
      <w:tr w:rsidR="002A5A5E" w:rsidRPr="00F9522B">
        <w:trPr>
          <w:cantSplit/>
          <w:trHeight w:val="24"/>
          <w:jc w:val="center"/>
        </w:trPr>
        <w:tc>
          <w:tcPr>
            <w:tcW w:w="394" w:type="pct"/>
            <w:vMerge/>
            <w:vAlign w:val="center"/>
          </w:tcPr>
          <w:p w:rsidR="002A5A5E" w:rsidRPr="00F9522B" w:rsidRDefault="002A5A5E">
            <w:pPr>
              <w:jc w:val="center"/>
              <w:rPr>
                <w:rFonts w:eastAsiaTheme="minorEastAsia"/>
                <w:snapToGrid w:val="0"/>
                <w:kern w:val="0"/>
              </w:rPr>
            </w:pPr>
          </w:p>
        </w:tc>
        <w:tc>
          <w:tcPr>
            <w:tcW w:w="753" w:type="pct"/>
            <w:vAlign w:val="center"/>
          </w:tcPr>
          <w:p w:rsidR="002A5A5E" w:rsidRPr="00F9522B" w:rsidRDefault="00611CBA">
            <w:pPr>
              <w:jc w:val="center"/>
              <w:rPr>
                <w:rFonts w:eastAsiaTheme="minorEastAsia"/>
                <w:snapToGrid w:val="0"/>
                <w:kern w:val="0"/>
              </w:rPr>
            </w:pPr>
            <w:r w:rsidRPr="00F9522B">
              <w:rPr>
                <w:rFonts w:eastAsiaTheme="minorEastAsia"/>
                <w:snapToGrid w:val="0"/>
                <w:kern w:val="0"/>
              </w:rPr>
              <w:t>固体废物</w:t>
            </w:r>
          </w:p>
        </w:tc>
        <w:tc>
          <w:tcPr>
            <w:tcW w:w="1859" w:type="pct"/>
            <w:tcMar>
              <w:left w:w="0" w:type="dxa"/>
              <w:right w:w="0" w:type="dxa"/>
            </w:tcMar>
            <w:vAlign w:val="center"/>
          </w:tcPr>
          <w:p w:rsidR="002A5A5E" w:rsidRPr="00F9522B" w:rsidRDefault="00611CBA">
            <w:pPr>
              <w:jc w:val="center"/>
              <w:rPr>
                <w:rFonts w:eastAsiaTheme="minorEastAsia"/>
                <w:snapToGrid w:val="0"/>
                <w:kern w:val="0"/>
              </w:rPr>
            </w:pPr>
            <w:r w:rsidRPr="00F9522B">
              <w:rPr>
                <w:rFonts w:eastAsiaTheme="minorEastAsia"/>
                <w:snapToGrid w:val="0"/>
                <w:kern w:val="0"/>
              </w:rPr>
              <w:t>农田耕种</w:t>
            </w:r>
          </w:p>
        </w:tc>
        <w:tc>
          <w:tcPr>
            <w:tcW w:w="1994" w:type="pct"/>
            <w:vAlign w:val="center"/>
          </w:tcPr>
          <w:p w:rsidR="002A5A5E" w:rsidRPr="00F9522B" w:rsidRDefault="00611CBA">
            <w:pPr>
              <w:jc w:val="center"/>
              <w:rPr>
                <w:rFonts w:eastAsiaTheme="minorEastAsia"/>
                <w:snapToGrid w:val="0"/>
                <w:kern w:val="0"/>
              </w:rPr>
            </w:pPr>
            <w:r w:rsidRPr="00F9522B">
              <w:rPr>
                <w:rFonts w:eastAsiaTheme="minorEastAsia"/>
                <w:snapToGrid w:val="0"/>
                <w:kern w:val="0"/>
              </w:rPr>
              <w:t>秸秆、废肥料包装袋、废农药包装物</w:t>
            </w:r>
          </w:p>
        </w:tc>
      </w:tr>
    </w:tbl>
    <w:p w:rsidR="002A5A5E" w:rsidRPr="00F9522B" w:rsidRDefault="00611CBA">
      <w:pPr>
        <w:pStyle w:val="30"/>
        <w:spacing w:before="100" w:beforeAutospacing="1" w:after="100" w:afterAutospacing="1" w:line="240" w:lineRule="auto"/>
        <w:ind w:firstLineChars="0" w:firstLine="0"/>
        <w:contextualSpacing/>
        <w:rPr>
          <w:rFonts w:ascii="Times New Roman" w:eastAsiaTheme="minorEastAsia" w:hAnsi="Times New Roman" w:cs="Times New Roman"/>
          <w:b/>
          <w:sz w:val="28"/>
          <w:szCs w:val="28"/>
        </w:rPr>
      </w:pPr>
      <w:r w:rsidRPr="00F9522B">
        <w:rPr>
          <w:rFonts w:ascii="Times New Roman" w:eastAsiaTheme="minorEastAsia" w:hAnsi="Times New Roman" w:cs="Times New Roman"/>
          <w:b/>
          <w:sz w:val="28"/>
          <w:szCs w:val="28"/>
        </w:rPr>
        <w:t>2.4.2</w:t>
      </w:r>
      <w:r w:rsidRPr="00F9522B">
        <w:rPr>
          <w:rFonts w:ascii="Times New Roman" w:eastAsiaTheme="minorEastAsia" w:hAnsi="Times New Roman" w:cs="Times New Roman"/>
          <w:b/>
          <w:sz w:val="28"/>
          <w:szCs w:val="28"/>
        </w:rPr>
        <w:t>评价因子筛选</w:t>
      </w:r>
    </w:p>
    <w:p w:rsidR="002A5A5E" w:rsidRPr="00F9522B" w:rsidRDefault="00611CBA" w:rsidP="00611CBA">
      <w:pPr>
        <w:spacing w:line="360" w:lineRule="auto"/>
        <w:ind w:firstLineChars="177" w:firstLine="425"/>
        <w:rPr>
          <w:rFonts w:eastAsiaTheme="minorEastAsia"/>
          <w:sz w:val="24"/>
        </w:rPr>
      </w:pPr>
      <w:r w:rsidRPr="00F9522B">
        <w:rPr>
          <w:rFonts w:eastAsiaTheme="minorEastAsia"/>
          <w:sz w:val="24"/>
        </w:rPr>
        <w:t>根据本项目周边环境及项目特征，确定本项目评价现状因子和预测评价因子，具体见表</w:t>
      </w:r>
      <w:r w:rsidRPr="00F9522B">
        <w:rPr>
          <w:rFonts w:eastAsiaTheme="minorEastAsia"/>
          <w:sz w:val="24"/>
        </w:rPr>
        <w:t>2-4-3~2-4-4</w:t>
      </w:r>
      <w:r w:rsidRPr="00F9522B">
        <w:rPr>
          <w:rFonts w:eastAsiaTheme="minorEastAsia"/>
          <w:sz w:val="24"/>
        </w:rPr>
        <w:t>。</w:t>
      </w:r>
    </w:p>
    <w:p w:rsidR="002A5A5E" w:rsidRPr="00F9522B" w:rsidRDefault="00611CBA">
      <w:pPr>
        <w:jc w:val="center"/>
        <w:rPr>
          <w:rFonts w:eastAsiaTheme="minorEastAsia"/>
          <w:b/>
          <w:szCs w:val="21"/>
        </w:rPr>
      </w:pPr>
      <w:r w:rsidRPr="00F9522B">
        <w:rPr>
          <w:rFonts w:eastAsiaTheme="minorEastAsia"/>
          <w:b/>
          <w:szCs w:val="21"/>
        </w:rPr>
        <w:t>表</w:t>
      </w:r>
      <w:r w:rsidRPr="00F9522B">
        <w:rPr>
          <w:rFonts w:eastAsiaTheme="minorEastAsia"/>
          <w:b/>
          <w:szCs w:val="21"/>
        </w:rPr>
        <w:t>2-4-3</w:t>
      </w:r>
      <w:r w:rsidRPr="00F9522B">
        <w:rPr>
          <w:rFonts w:eastAsiaTheme="minorEastAsia"/>
          <w:b/>
          <w:szCs w:val="21"/>
        </w:rPr>
        <w:t>本项目环境影响评价因子筛选结果</w:t>
      </w:r>
    </w:p>
    <w:tbl>
      <w:tblPr>
        <w:tblW w:w="8474" w:type="dxa"/>
        <w:jc w:val="center"/>
        <w:tblBorders>
          <w:top w:val="single" w:sz="12" w:space="0" w:color="auto"/>
          <w:bottom w:val="single" w:sz="12" w:space="0" w:color="auto"/>
          <w:insideH w:val="single" w:sz="6" w:space="0" w:color="auto"/>
          <w:insideV w:val="single" w:sz="6" w:space="0" w:color="auto"/>
        </w:tblBorders>
        <w:tblLayout w:type="fixed"/>
        <w:tblLook w:val="04A0"/>
      </w:tblPr>
      <w:tblGrid>
        <w:gridCol w:w="809"/>
        <w:gridCol w:w="2536"/>
        <w:gridCol w:w="5129"/>
      </w:tblGrid>
      <w:tr w:rsidR="002A5A5E" w:rsidRPr="00F9522B">
        <w:trPr>
          <w:trHeight w:val="269"/>
          <w:jc w:val="center"/>
        </w:trPr>
        <w:tc>
          <w:tcPr>
            <w:tcW w:w="809" w:type="dxa"/>
            <w:vAlign w:val="center"/>
          </w:tcPr>
          <w:p w:rsidR="002A5A5E" w:rsidRPr="00F9522B" w:rsidRDefault="00611CBA">
            <w:pPr>
              <w:snapToGrid w:val="0"/>
              <w:jc w:val="center"/>
              <w:rPr>
                <w:rFonts w:eastAsiaTheme="minorEastAsia"/>
                <w:kern w:val="0"/>
                <w:szCs w:val="21"/>
              </w:rPr>
            </w:pPr>
            <w:r w:rsidRPr="00F9522B">
              <w:rPr>
                <w:rFonts w:eastAsiaTheme="minorEastAsia"/>
                <w:kern w:val="0"/>
                <w:szCs w:val="21"/>
              </w:rPr>
              <w:t>环境要素</w:t>
            </w:r>
          </w:p>
        </w:tc>
        <w:tc>
          <w:tcPr>
            <w:tcW w:w="2536" w:type="dxa"/>
            <w:vAlign w:val="center"/>
          </w:tcPr>
          <w:p w:rsidR="002A5A5E" w:rsidRPr="00F9522B" w:rsidRDefault="00611CBA">
            <w:pPr>
              <w:snapToGrid w:val="0"/>
              <w:jc w:val="center"/>
              <w:rPr>
                <w:rFonts w:eastAsiaTheme="minorEastAsia"/>
                <w:kern w:val="0"/>
                <w:szCs w:val="21"/>
              </w:rPr>
            </w:pPr>
            <w:r w:rsidRPr="00F9522B">
              <w:rPr>
                <w:rFonts w:eastAsiaTheme="minorEastAsia"/>
                <w:kern w:val="0"/>
                <w:szCs w:val="21"/>
              </w:rPr>
              <w:t>评价类别</w:t>
            </w:r>
          </w:p>
        </w:tc>
        <w:tc>
          <w:tcPr>
            <w:tcW w:w="5129" w:type="dxa"/>
            <w:vAlign w:val="center"/>
          </w:tcPr>
          <w:p w:rsidR="002A5A5E" w:rsidRPr="00F9522B" w:rsidRDefault="00611CBA">
            <w:pPr>
              <w:snapToGrid w:val="0"/>
              <w:jc w:val="center"/>
              <w:rPr>
                <w:rFonts w:eastAsiaTheme="minorEastAsia"/>
                <w:kern w:val="0"/>
                <w:szCs w:val="21"/>
              </w:rPr>
            </w:pPr>
            <w:r w:rsidRPr="00F9522B">
              <w:rPr>
                <w:rFonts w:eastAsiaTheme="minorEastAsia"/>
                <w:kern w:val="0"/>
                <w:szCs w:val="21"/>
              </w:rPr>
              <w:t>评价因子</w:t>
            </w:r>
          </w:p>
        </w:tc>
      </w:tr>
      <w:tr w:rsidR="002A5A5E" w:rsidRPr="00F9522B">
        <w:trPr>
          <w:trHeight w:val="264"/>
          <w:jc w:val="center"/>
        </w:trPr>
        <w:tc>
          <w:tcPr>
            <w:tcW w:w="809" w:type="dxa"/>
            <w:vMerge w:val="restart"/>
            <w:vAlign w:val="center"/>
          </w:tcPr>
          <w:p w:rsidR="002A5A5E" w:rsidRPr="00F9522B" w:rsidRDefault="00611CBA">
            <w:pPr>
              <w:snapToGrid w:val="0"/>
              <w:jc w:val="center"/>
              <w:rPr>
                <w:rFonts w:eastAsiaTheme="minorEastAsia"/>
                <w:kern w:val="0"/>
                <w:szCs w:val="21"/>
              </w:rPr>
            </w:pPr>
            <w:r w:rsidRPr="00F9522B">
              <w:rPr>
                <w:rFonts w:eastAsiaTheme="minorEastAsia"/>
                <w:kern w:val="0"/>
                <w:szCs w:val="21"/>
              </w:rPr>
              <w:t>环境空气</w:t>
            </w:r>
          </w:p>
        </w:tc>
        <w:tc>
          <w:tcPr>
            <w:tcW w:w="2536" w:type="dxa"/>
            <w:vAlign w:val="center"/>
          </w:tcPr>
          <w:p w:rsidR="002A5A5E" w:rsidRPr="00F9522B" w:rsidRDefault="00611CBA">
            <w:pPr>
              <w:snapToGrid w:val="0"/>
              <w:jc w:val="center"/>
              <w:rPr>
                <w:rFonts w:eastAsiaTheme="minorEastAsia"/>
                <w:kern w:val="0"/>
                <w:szCs w:val="21"/>
              </w:rPr>
            </w:pPr>
            <w:r w:rsidRPr="00F9522B">
              <w:rPr>
                <w:rFonts w:eastAsiaTheme="minorEastAsia"/>
                <w:kern w:val="0"/>
                <w:szCs w:val="21"/>
              </w:rPr>
              <w:t>现状评价</w:t>
            </w:r>
          </w:p>
        </w:tc>
        <w:tc>
          <w:tcPr>
            <w:tcW w:w="5129" w:type="dxa"/>
            <w:vAlign w:val="center"/>
          </w:tcPr>
          <w:p w:rsidR="002A5A5E" w:rsidRPr="00F9522B" w:rsidRDefault="00611CBA">
            <w:pPr>
              <w:snapToGrid w:val="0"/>
              <w:jc w:val="center"/>
              <w:rPr>
                <w:rFonts w:eastAsiaTheme="minorEastAsia"/>
                <w:spacing w:val="22"/>
                <w:kern w:val="0"/>
                <w:szCs w:val="21"/>
              </w:rPr>
            </w:pPr>
            <w:r w:rsidRPr="00F9522B">
              <w:rPr>
                <w:rFonts w:eastAsiaTheme="minorEastAsia"/>
                <w:spacing w:val="22"/>
                <w:kern w:val="0"/>
                <w:szCs w:val="21"/>
              </w:rPr>
              <w:t>PM</w:t>
            </w:r>
            <w:r w:rsidRPr="00F9522B">
              <w:rPr>
                <w:rFonts w:eastAsiaTheme="minorEastAsia"/>
                <w:spacing w:val="22"/>
                <w:kern w:val="0"/>
                <w:szCs w:val="21"/>
                <w:vertAlign w:val="subscript"/>
              </w:rPr>
              <w:t>10</w:t>
            </w:r>
            <w:r w:rsidRPr="00F9522B">
              <w:rPr>
                <w:rFonts w:eastAsiaTheme="minorEastAsia"/>
                <w:spacing w:val="22"/>
                <w:kern w:val="0"/>
                <w:szCs w:val="21"/>
              </w:rPr>
              <w:t>、</w:t>
            </w:r>
            <w:r w:rsidRPr="00F9522B">
              <w:rPr>
                <w:rFonts w:eastAsiaTheme="minorEastAsia"/>
                <w:spacing w:val="22"/>
                <w:kern w:val="0"/>
                <w:szCs w:val="21"/>
              </w:rPr>
              <w:t>PM</w:t>
            </w:r>
            <w:r w:rsidRPr="00F9522B">
              <w:rPr>
                <w:rFonts w:eastAsiaTheme="minorEastAsia"/>
                <w:spacing w:val="22"/>
                <w:kern w:val="0"/>
                <w:szCs w:val="21"/>
                <w:vertAlign w:val="subscript"/>
              </w:rPr>
              <w:t>2.5</w:t>
            </w:r>
            <w:r w:rsidRPr="00F9522B">
              <w:rPr>
                <w:rFonts w:eastAsiaTheme="minorEastAsia"/>
                <w:spacing w:val="22"/>
                <w:kern w:val="0"/>
                <w:szCs w:val="21"/>
              </w:rPr>
              <w:t>、</w:t>
            </w:r>
            <w:r w:rsidRPr="00F9522B">
              <w:rPr>
                <w:rFonts w:eastAsiaTheme="minorEastAsia"/>
                <w:spacing w:val="22"/>
                <w:kern w:val="0"/>
                <w:szCs w:val="21"/>
              </w:rPr>
              <w:t>NO</w:t>
            </w:r>
            <w:r w:rsidRPr="00F9522B">
              <w:rPr>
                <w:rFonts w:eastAsiaTheme="minorEastAsia"/>
                <w:spacing w:val="22"/>
                <w:kern w:val="0"/>
                <w:szCs w:val="21"/>
                <w:vertAlign w:val="subscript"/>
              </w:rPr>
              <w:t>2</w:t>
            </w:r>
            <w:r w:rsidRPr="00F9522B">
              <w:rPr>
                <w:rFonts w:eastAsiaTheme="minorEastAsia"/>
                <w:spacing w:val="22"/>
                <w:kern w:val="0"/>
                <w:szCs w:val="21"/>
              </w:rPr>
              <w:t>、</w:t>
            </w:r>
            <w:r w:rsidRPr="00F9522B">
              <w:rPr>
                <w:rFonts w:eastAsiaTheme="minorEastAsia"/>
                <w:spacing w:val="22"/>
                <w:kern w:val="0"/>
                <w:szCs w:val="21"/>
              </w:rPr>
              <w:t>SO</w:t>
            </w:r>
            <w:r w:rsidRPr="00F9522B">
              <w:rPr>
                <w:rFonts w:eastAsiaTheme="minorEastAsia"/>
                <w:spacing w:val="22"/>
                <w:kern w:val="0"/>
                <w:szCs w:val="21"/>
                <w:vertAlign w:val="subscript"/>
              </w:rPr>
              <w:t>2</w:t>
            </w:r>
            <w:r w:rsidRPr="00F9522B">
              <w:rPr>
                <w:rFonts w:eastAsiaTheme="minorEastAsia"/>
                <w:spacing w:val="22"/>
                <w:kern w:val="0"/>
                <w:szCs w:val="21"/>
              </w:rPr>
              <w:t>、</w:t>
            </w:r>
            <w:r w:rsidRPr="00F9522B">
              <w:rPr>
                <w:rFonts w:eastAsiaTheme="minorEastAsia"/>
                <w:spacing w:val="22"/>
                <w:kern w:val="0"/>
                <w:szCs w:val="21"/>
              </w:rPr>
              <w:t>CO</w:t>
            </w:r>
            <w:r w:rsidRPr="00F9522B">
              <w:rPr>
                <w:rFonts w:eastAsiaTheme="minorEastAsia"/>
                <w:spacing w:val="22"/>
                <w:kern w:val="0"/>
                <w:szCs w:val="21"/>
              </w:rPr>
              <w:t>、</w:t>
            </w:r>
            <w:r w:rsidRPr="00F9522B">
              <w:rPr>
                <w:rFonts w:eastAsiaTheme="minorEastAsia"/>
                <w:spacing w:val="22"/>
                <w:kern w:val="0"/>
                <w:szCs w:val="21"/>
              </w:rPr>
              <w:t>O</w:t>
            </w:r>
            <w:r w:rsidRPr="00F9522B">
              <w:rPr>
                <w:rFonts w:eastAsiaTheme="minorEastAsia"/>
                <w:spacing w:val="22"/>
                <w:kern w:val="0"/>
                <w:szCs w:val="21"/>
                <w:vertAlign w:val="subscript"/>
              </w:rPr>
              <w:t>3</w:t>
            </w:r>
            <w:r w:rsidRPr="00F9522B">
              <w:rPr>
                <w:rFonts w:eastAsiaTheme="minorEastAsia"/>
                <w:spacing w:val="22"/>
                <w:kern w:val="0"/>
                <w:szCs w:val="21"/>
              </w:rPr>
              <w:t>、</w:t>
            </w:r>
            <w:r w:rsidRPr="00F9522B">
              <w:rPr>
                <w:rFonts w:eastAsiaTheme="minorEastAsia"/>
                <w:spacing w:val="22"/>
                <w:kern w:val="0"/>
                <w:szCs w:val="21"/>
              </w:rPr>
              <w:t>TSP</w:t>
            </w:r>
          </w:p>
        </w:tc>
      </w:tr>
      <w:tr w:rsidR="002A5A5E" w:rsidRPr="00F9522B">
        <w:trPr>
          <w:trHeight w:val="141"/>
          <w:jc w:val="center"/>
        </w:trPr>
        <w:tc>
          <w:tcPr>
            <w:tcW w:w="809" w:type="dxa"/>
            <w:vMerge/>
            <w:vAlign w:val="center"/>
          </w:tcPr>
          <w:p w:rsidR="002A5A5E" w:rsidRPr="00F9522B" w:rsidRDefault="002A5A5E">
            <w:pPr>
              <w:widowControl/>
              <w:jc w:val="center"/>
              <w:rPr>
                <w:rFonts w:eastAsiaTheme="minorEastAsia"/>
                <w:kern w:val="0"/>
                <w:szCs w:val="21"/>
              </w:rPr>
            </w:pPr>
          </w:p>
        </w:tc>
        <w:tc>
          <w:tcPr>
            <w:tcW w:w="2536" w:type="dxa"/>
            <w:vAlign w:val="center"/>
          </w:tcPr>
          <w:p w:rsidR="002A5A5E" w:rsidRPr="00F9522B" w:rsidRDefault="00611CBA">
            <w:pPr>
              <w:tabs>
                <w:tab w:val="left" w:leader="middleDot" w:pos="7371"/>
              </w:tabs>
              <w:jc w:val="center"/>
              <w:rPr>
                <w:rFonts w:eastAsiaTheme="minorEastAsia"/>
                <w:spacing w:val="22"/>
                <w:szCs w:val="21"/>
              </w:rPr>
            </w:pPr>
            <w:r w:rsidRPr="00F9522B">
              <w:rPr>
                <w:rFonts w:eastAsiaTheme="minorEastAsia"/>
                <w:spacing w:val="22"/>
                <w:szCs w:val="21"/>
              </w:rPr>
              <w:t>施工期环境影响评价</w:t>
            </w:r>
          </w:p>
        </w:tc>
        <w:tc>
          <w:tcPr>
            <w:tcW w:w="5129" w:type="dxa"/>
            <w:vAlign w:val="center"/>
          </w:tcPr>
          <w:p w:rsidR="002A5A5E" w:rsidRPr="00F9522B" w:rsidRDefault="00611CBA">
            <w:pPr>
              <w:snapToGrid w:val="0"/>
              <w:jc w:val="center"/>
              <w:rPr>
                <w:rFonts w:eastAsiaTheme="minorEastAsia"/>
                <w:spacing w:val="22"/>
                <w:kern w:val="0"/>
                <w:szCs w:val="21"/>
              </w:rPr>
            </w:pPr>
            <w:r w:rsidRPr="00F9522B">
              <w:rPr>
                <w:rFonts w:eastAsiaTheme="minorEastAsia"/>
                <w:snapToGrid w:val="0"/>
                <w:kern w:val="0"/>
              </w:rPr>
              <w:t>TSP</w:t>
            </w:r>
            <w:r w:rsidRPr="00F9522B">
              <w:rPr>
                <w:rFonts w:eastAsiaTheme="minorEastAsia"/>
                <w:snapToGrid w:val="0"/>
                <w:kern w:val="0"/>
              </w:rPr>
              <w:t>、</w:t>
            </w:r>
            <w:r w:rsidRPr="00F9522B">
              <w:rPr>
                <w:rFonts w:eastAsiaTheme="minorEastAsia"/>
                <w:snapToGrid w:val="0"/>
                <w:kern w:val="0"/>
              </w:rPr>
              <w:t>CO</w:t>
            </w:r>
            <w:r w:rsidRPr="00F9522B">
              <w:rPr>
                <w:rFonts w:eastAsiaTheme="minorEastAsia"/>
                <w:snapToGrid w:val="0"/>
                <w:kern w:val="0"/>
              </w:rPr>
              <w:t>、</w:t>
            </w:r>
            <w:r w:rsidRPr="00F9522B">
              <w:rPr>
                <w:rFonts w:eastAsiaTheme="minorEastAsia"/>
                <w:spacing w:val="22"/>
                <w:kern w:val="0"/>
                <w:szCs w:val="21"/>
              </w:rPr>
              <w:t>HC+NO</w:t>
            </w:r>
            <w:r w:rsidRPr="00F9522B">
              <w:rPr>
                <w:rFonts w:eastAsiaTheme="minorEastAsia"/>
                <w:spacing w:val="22"/>
                <w:kern w:val="0"/>
                <w:szCs w:val="21"/>
                <w:vertAlign w:val="subscript"/>
              </w:rPr>
              <w:t>x</w:t>
            </w:r>
            <w:r w:rsidRPr="00F9522B">
              <w:rPr>
                <w:rFonts w:eastAsiaTheme="minorEastAsia"/>
                <w:snapToGrid w:val="0"/>
                <w:kern w:val="0"/>
              </w:rPr>
              <w:t>、</w:t>
            </w:r>
            <w:r w:rsidRPr="00F9522B">
              <w:rPr>
                <w:rFonts w:eastAsiaTheme="minorEastAsia"/>
                <w:bCs/>
                <w:snapToGrid w:val="0"/>
                <w:kern w:val="0"/>
              </w:rPr>
              <w:t>THC</w:t>
            </w:r>
            <w:r w:rsidRPr="00F9522B">
              <w:rPr>
                <w:rFonts w:eastAsiaTheme="minorEastAsia"/>
                <w:bCs/>
                <w:snapToGrid w:val="0"/>
                <w:kern w:val="0"/>
              </w:rPr>
              <w:t>、</w:t>
            </w:r>
            <w:r w:rsidRPr="00F9522B">
              <w:rPr>
                <w:rFonts w:eastAsiaTheme="minorEastAsia"/>
                <w:snapToGrid w:val="0"/>
                <w:kern w:val="0"/>
              </w:rPr>
              <w:t>臭气浓度</w:t>
            </w:r>
          </w:p>
        </w:tc>
      </w:tr>
      <w:tr w:rsidR="002A5A5E" w:rsidRPr="00F9522B">
        <w:trPr>
          <w:trHeight w:val="141"/>
          <w:jc w:val="center"/>
        </w:trPr>
        <w:tc>
          <w:tcPr>
            <w:tcW w:w="809" w:type="dxa"/>
            <w:vMerge/>
            <w:vAlign w:val="center"/>
          </w:tcPr>
          <w:p w:rsidR="002A5A5E" w:rsidRPr="00F9522B" w:rsidRDefault="002A5A5E">
            <w:pPr>
              <w:widowControl/>
              <w:jc w:val="center"/>
              <w:rPr>
                <w:rFonts w:eastAsiaTheme="minorEastAsia"/>
                <w:kern w:val="0"/>
                <w:szCs w:val="21"/>
              </w:rPr>
            </w:pPr>
          </w:p>
        </w:tc>
        <w:tc>
          <w:tcPr>
            <w:tcW w:w="2536" w:type="dxa"/>
            <w:vAlign w:val="center"/>
          </w:tcPr>
          <w:p w:rsidR="002A5A5E" w:rsidRPr="00F9522B" w:rsidRDefault="00611CBA">
            <w:pPr>
              <w:tabs>
                <w:tab w:val="left" w:leader="middleDot" w:pos="7371"/>
              </w:tabs>
              <w:jc w:val="center"/>
              <w:rPr>
                <w:rFonts w:eastAsiaTheme="minorEastAsia"/>
                <w:spacing w:val="22"/>
                <w:szCs w:val="21"/>
              </w:rPr>
            </w:pPr>
            <w:r w:rsidRPr="00F9522B">
              <w:rPr>
                <w:rFonts w:eastAsiaTheme="minorEastAsia"/>
                <w:spacing w:val="22"/>
                <w:szCs w:val="21"/>
              </w:rPr>
              <w:t>运营期环境影响评价</w:t>
            </w:r>
          </w:p>
        </w:tc>
        <w:tc>
          <w:tcPr>
            <w:tcW w:w="5129" w:type="dxa"/>
            <w:vAlign w:val="center"/>
          </w:tcPr>
          <w:p w:rsidR="002A5A5E" w:rsidRPr="00F9522B" w:rsidRDefault="00611CBA">
            <w:pPr>
              <w:jc w:val="center"/>
              <w:rPr>
                <w:rFonts w:eastAsiaTheme="minorEastAsia"/>
                <w:snapToGrid w:val="0"/>
                <w:kern w:val="0"/>
              </w:rPr>
            </w:pPr>
            <w:r w:rsidRPr="00F9522B">
              <w:rPr>
                <w:rFonts w:eastAsiaTheme="minorEastAsia"/>
                <w:snapToGrid w:val="0"/>
                <w:kern w:val="0"/>
              </w:rPr>
              <w:t>CO</w:t>
            </w:r>
            <w:r w:rsidRPr="00F9522B">
              <w:rPr>
                <w:rFonts w:eastAsiaTheme="minorEastAsia"/>
                <w:snapToGrid w:val="0"/>
                <w:kern w:val="0"/>
              </w:rPr>
              <w:t>、</w:t>
            </w:r>
            <w:r w:rsidRPr="00F9522B">
              <w:rPr>
                <w:rFonts w:eastAsiaTheme="minorEastAsia"/>
                <w:spacing w:val="22"/>
                <w:kern w:val="0"/>
                <w:szCs w:val="21"/>
              </w:rPr>
              <w:t>HC+NO</w:t>
            </w:r>
            <w:r w:rsidRPr="00F9522B">
              <w:rPr>
                <w:rFonts w:eastAsiaTheme="minorEastAsia"/>
                <w:spacing w:val="22"/>
                <w:kern w:val="0"/>
                <w:szCs w:val="21"/>
                <w:vertAlign w:val="subscript"/>
              </w:rPr>
              <w:t>x</w:t>
            </w:r>
            <w:r w:rsidRPr="00F9522B">
              <w:rPr>
                <w:rFonts w:eastAsiaTheme="minorEastAsia"/>
                <w:snapToGrid w:val="0"/>
                <w:kern w:val="0"/>
              </w:rPr>
              <w:t>、</w:t>
            </w:r>
            <w:r w:rsidRPr="00F9522B">
              <w:rPr>
                <w:rFonts w:eastAsiaTheme="minorEastAsia"/>
                <w:bCs/>
                <w:snapToGrid w:val="0"/>
                <w:kern w:val="0"/>
              </w:rPr>
              <w:t>THC</w:t>
            </w:r>
          </w:p>
        </w:tc>
      </w:tr>
      <w:tr w:rsidR="002A5A5E" w:rsidRPr="00F9522B">
        <w:trPr>
          <w:trHeight w:val="141"/>
          <w:jc w:val="center"/>
        </w:trPr>
        <w:tc>
          <w:tcPr>
            <w:tcW w:w="809" w:type="dxa"/>
            <w:vMerge w:val="restart"/>
            <w:vAlign w:val="center"/>
          </w:tcPr>
          <w:p w:rsidR="002A5A5E" w:rsidRPr="00F9522B" w:rsidRDefault="00611CBA">
            <w:pPr>
              <w:snapToGrid w:val="0"/>
              <w:jc w:val="center"/>
              <w:rPr>
                <w:rFonts w:eastAsiaTheme="minorEastAsia"/>
                <w:kern w:val="0"/>
                <w:szCs w:val="21"/>
              </w:rPr>
            </w:pPr>
            <w:r w:rsidRPr="00F9522B">
              <w:rPr>
                <w:rFonts w:eastAsiaTheme="minorEastAsia"/>
                <w:kern w:val="0"/>
                <w:szCs w:val="21"/>
              </w:rPr>
              <w:t>声环境</w:t>
            </w:r>
          </w:p>
        </w:tc>
        <w:tc>
          <w:tcPr>
            <w:tcW w:w="2536" w:type="dxa"/>
            <w:vAlign w:val="center"/>
          </w:tcPr>
          <w:p w:rsidR="002A5A5E" w:rsidRPr="00F9522B" w:rsidRDefault="00611CBA">
            <w:pPr>
              <w:snapToGrid w:val="0"/>
              <w:jc w:val="center"/>
              <w:rPr>
                <w:rFonts w:eastAsiaTheme="minorEastAsia"/>
                <w:kern w:val="0"/>
                <w:szCs w:val="21"/>
              </w:rPr>
            </w:pPr>
            <w:r w:rsidRPr="00F9522B">
              <w:rPr>
                <w:rFonts w:eastAsiaTheme="minorEastAsia"/>
                <w:kern w:val="0"/>
                <w:szCs w:val="21"/>
              </w:rPr>
              <w:t>现状评价</w:t>
            </w:r>
          </w:p>
        </w:tc>
        <w:tc>
          <w:tcPr>
            <w:tcW w:w="5129" w:type="dxa"/>
            <w:vMerge w:val="restart"/>
            <w:vAlign w:val="center"/>
          </w:tcPr>
          <w:p w:rsidR="002A5A5E" w:rsidRPr="00F9522B" w:rsidRDefault="00611CBA">
            <w:pPr>
              <w:snapToGrid w:val="0"/>
              <w:jc w:val="center"/>
              <w:rPr>
                <w:rFonts w:eastAsiaTheme="minorEastAsia"/>
                <w:spacing w:val="22"/>
                <w:kern w:val="0"/>
                <w:szCs w:val="21"/>
              </w:rPr>
            </w:pPr>
            <w:r w:rsidRPr="00F9522B">
              <w:rPr>
                <w:rFonts w:eastAsiaTheme="minorEastAsia"/>
                <w:snapToGrid w:val="0"/>
                <w:kern w:val="0"/>
                <w:lang w:val="zh-CN"/>
              </w:rPr>
              <w:t>等效连续</w:t>
            </w:r>
            <w:r w:rsidRPr="00F9522B">
              <w:rPr>
                <w:rFonts w:eastAsiaTheme="minorEastAsia"/>
                <w:snapToGrid w:val="0"/>
                <w:kern w:val="0"/>
                <w:lang w:val="zh-CN"/>
              </w:rPr>
              <w:t>A</w:t>
            </w:r>
            <w:r w:rsidRPr="00F9522B">
              <w:rPr>
                <w:rFonts w:eastAsiaTheme="minorEastAsia"/>
                <w:snapToGrid w:val="0"/>
                <w:kern w:val="0"/>
                <w:lang w:val="zh-CN"/>
              </w:rPr>
              <w:t>声级</w:t>
            </w:r>
            <w:r w:rsidRPr="00F9522B">
              <w:rPr>
                <w:rFonts w:eastAsiaTheme="minorEastAsia"/>
                <w:snapToGrid w:val="0"/>
                <w:kern w:val="0"/>
                <w:lang w:val="zh-CN"/>
              </w:rPr>
              <w:t>Leq</w:t>
            </w:r>
            <w:r w:rsidRPr="00F9522B">
              <w:rPr>
                <w:rFonts w:eastAsiaTheme="minorEastAsia"/>
                <w:snapToGrid w:val="0"/>
                <w:kern w:val="0"/>
                <w:lang w:val="zh-CN"/>
              </w:rPr>
              <w:t>（</w:t>
            </w:r>
            <w:r w:rsidRPr="00F9522B">
              <w:rPr>
                <w:rFonts w:eastAsiaTheme="minorEastAsia"/>
                <w:snapToGrid w:val="0"/>
                <w:kern w:val="0"/>
                <w:lang w:val="zh-CN"/>
              </w:rPr>
              <w:t>A</w:t>
            </w:r>
            <w:r w:rsidRPr="00F9522B">
              <w:rPr>
                <w:rFonts w:eastAsiaTheme="minorEastAsia"/>
                <w:snapToGrid w:val="0"/>
                <w:kern w:val="0"/>
                <w:lang w:val="zh-CN"/>
              </w:rPr>
              <w:t>）</w:t>
            </w:r>
          </w:p>
        </w:tc>
      </w:tr>
      <w:tr w:rsidR="002A5A5E" w:rsidRPr="00F9522B">
        <w:trPr>
          <w:trHeight w:val="160"/>
          <w:jc w:val="center"/>
        </w:trPr>
        <w:tc>
          <w:tcPr>
            <w:tcW w:w="809" w:type="dxa"/>
            <w:vMerge/>
            <w:vAlign w:val="center"/>
          </w:tcPr>
          <w:p w:rsidR="002A5A5E" w:rsidRPr="00F9522B" w:rsidRDefault="002A5A5E">
            <w:pPr>
              <w:widowControl/>
              <w:jc w:val="center"/>
              <w:rPr>
                <w:rFonts w:eastAsiaTheme="minorEastAsia"/>
                <w:kern w:val="0"/>
                <w:szCs w:val="21"/>
              </w:rPr>
            </w:pPr>
          </w:p>
        </w:tc>
        <w:tc>
          <w:tcPr>
            <w:tcW w:w="2536" w:type="dxa"/>
            <w:vAlign w:val="center"/>
          </w:tcPr>
          <w:p w:rsidR="002A5A5E" w:rsidRPr="00F9522B" w:rsidRDefault="00611CBA">
            <w:pPr>
              <w:tabs>
                <w:tab w:val="left" w:leader="middleDot" w:pos="7371"/>
              </w:tabs>
              <w:jc w:val="center"/>
              <w:rPr>
                <w:rFonts w:eastAsiaTheme="minorEastAsia"/>
                <w:spacing w:val="22"/>
                <w:szCs w:val="21"/>
              </w:rPr>
            </w:pPr>
            <w:r w:rsidRPr="00F9522B">
              <w:rPr>
                <w:rFonts w:eastAsiaTheme="minorEastAsia"/>
                <w:spacing w:val="22"/>
                <w:szCs w:val="21"/>
              </w:rPr>
              <w:t>施工期环境影响评价</w:t>
            </w:r>
          </w:p>
        </w:tc>
        <w:tc>
          <w:tcPr>
            <w:tcW w:w="5129" w:type="dxa"/>
            <w:vMerge/>
            <w:vAlign w:val="center"/>
          </w:tcPr>
          <w:p w:rsidR="002A5A5E" w:rsidRPr="00F9522B" w:rsidRDefault="002A5A5E">
            <w:pPr>
              <w:widowControl/>
              <w:jc w:val="center"/>
              <w:rPr>
                <w:rFonts w:eastAsiaTheme="minorEastAsia"/>
                <w:spacing w:val="22"/>
                <w:kern w:val="0"/>
                <w:szCs w:val="21"/>
              </w:rPr>
            </w:pPr>
          </w:p>
        </w:tc>
      </w:tr>
      <w:tr w:rsidR="002A5A5E" w:rsidRPr="00F9522B">
        <w:trPr>
          <w:trHeight w:val="160"/>
          <w:jc w:val="center"/>
        </w:trPr>
        <w:tc>
          <w:tcPr>
            <w:tcW w:w="809" w:type="dxa"/>
            <w:vMerge/>
            <w:vAlign w:val="center"/>
          </w:tcPr>
          <w:p w:rsidR="002A5A5E" w:rsidRPr="00F9522B" w:rsidRDefault="002A5A5E">
            <w:pPr>
              <w:widowControl/>
              <w:jc w:val="center"/>
              <w:rPr>
                <w:rFonts w:eastAsiaTheme="minorEastAsia"/>
                <w:kern w:val="0"/>
                <w:szCs w:val="21"/>
              </w:rPr>
            </w:pPr>
          </w:p>
        </w:tc>
        <w:tc>
          <w:tcPr>
            <w:tcW w:w="2536" w:type="dxa"/>
            <w:vAlign w:val="center"/>
          </w:tcPr>
          <w:p w:rsidR="002A5A5E" w:rsidRPr="00F9522B" w:rsidRDefault="00611CBA">
            <w:pPr>
              <w:tabs>
                <w:tab w:val="left" w:leader="middleDot" w:pos="7371"/>
              </w:tabs>
              <w:jc w:val="center"/>
              <w:rPr>
                <w:rFonts w:eastAsiaTheme="minorEastAsia"/>
                <w:spacing w:val="22"/>
                <w:szCs w:val="21"/>
              </w:rPr>
            </w:pPr>
            <w:r w:rsidRPr="00F9522B">
              <w:rPr>
                <w:rFonts w:eastAsiaTheme="minorEastAsia"/>
                <w:spacing w:val="22"/>
                <w:szCs w:val="21"/>
              </w:rPr>
              <w:t>运营期环境影响评价</w:t>
            </w:r>
          </w:p>
        </w:tc>
        <w:tc>
          <w:tcPr>
            <w:tcW w:w="5129" w:type="dxa"/>
            <w:vMerge/>
            <w:vAlign w:val="center"/>
          </w:tcPr>
          <w:p w:rsidR="002A5A5E" w:rsidRPr="00F9522B" w:rsidRDefault="002A5A5E">
            <w:pPr>
              <w:widowControl/>
              <w:jc w:val="center"/>
              <w:rPr>
                <w:rFonts w:eastAsiaTheme="minorEastAsia"/>
                <w:spacing w:val="22"/>
                <w:kern w:val="0"/>
                <w:szCs w:val="21"/>
              </w:rPr>
            </w:pPr>
          </w:p>
        </w:tc>
      </w:tr>
      <w:tr w:rsidR="002A5A5E" w:rsidRPr="00F9522B">
        <w:trPr>
          <w:trHeight w:val="141"/>
          <w:jc w:val="center"/>
        </w:trPr>
        <w:tc>
          <w:tcPr>
            <w:tcW w:w="809" w:type="dxa"/>
            <w:vMerge w:val="restart"/>
            <w:vAlign w:val="center"/>
          </w:tcPr>
          <w:p w:rsidR="002A5A5E" w:rsidRPr="00F9522B" w:rsidRDefault="00611CBA">
            <w:pPr>
              <w:snapToGrid w:val="0"/>
              <w:jc w:val="center"/>
              <w:rPr>
                <w:rFonts w:eastAsiaTheme="minorEastAsia"/>
                <w:kern w:val="0"/>
                <w:szCs w:val="21"/>
              </w:rPr>
            </w:pPr>
            <w:r w:rsidRPr="00F9522B">
              <w:rPr>
                <w:rFonts w:eastAsiaTheme="minorEastAsia"/>
                <w:kern w:val="0"/>
                <w:szCs w:val="21"/>
              </w:rPr>
              <w:t>地表水</w:t>
            </w:r>
          </w:p>
        </w:tc>
        <w:tc>
          <w:tcPr>
            <w:tcW w:w="2536" w:type="dxa"/>
            <w:vAlign w:val="center"/>
          </w:tcPr>
          <w:p w:rsidR="002A5A5E" w:rsidRPr="00F9522B" w:rsidRDefault="00611CBA">
            <w:pPr>
              <w:snapToGrid w:val="0"/>
              <w:jc w:val="center"/>
              <w:rPr>
                <w:rFonts w:eastAsiaTheme="minorEastAsia"/>
                <w:kern w:val="0"/>
                <w:szCs w:val="21"/>
              </w:rPr>
            </w:pPr>
            <w:r w:rsidRPr="00F9522B">
              <w:rPr>
                <w:rFonts w:eastAsiaTheme="minorEastAsia"/>
                <w:kern w:val="0"/>
                <w:szCs w:val="21"/>
              </w:rPr>
              <w:t>现状评价</w:t>
            </w:r>
          </w:p>
        </w:tc>
        <w:tc>
          <w:tcPr>
            <w:tcW w:w="5129" w:type="dxa"/>
            <w:vAlign w:val="center"/>
          </w:tcPr>
          <w:p w:rsidR="002A5A5E" w:rsidRPr="00F9522B" w:rsidRDefault="00611CBA">
            <w:pPr>
              <w:snapToGrid w:val="0"/>
              <w:jc w:val="center"/>
              <w:rPr>
                <w:rFonts w:eastAsiaTheme="minorEastAsia"/>
                <w:kern w:val="0"/>
                <w:szCs w:val="21"/>
              </w:rPr>
            </w:pPr>
            <w:r w:rsidRPr="00F9522B">
              <w:rPr>
                <w:rFonts w:eastAsiaTheme="minorEastAsia"/>
                <w:snapToGrid w:val="0"/>
                <w:kern w:val="0"/>
              </w:rPr>
              <w:t>溶解氧、</w:t>
            </w:r>
            <w:r w:rsidRPr="00F9522B">
              <w:rPr>
                <w:rFonts w:eastAsiaTheme="minorEastAsia"/>
                <w:snapToGrid w:val="0"/>
                <w:kern w:val="0"/>
              </w:rPr>
              <w:t>COD</w:t>
            </w:r>
            <w:r w:rsidRPr="00F9522B">
              <w:rPr>
                <w:rFonts w:eastAsiaTheme="minorEastAsia"/>
                <w:snapToGrid w:val="0"/>
                <w:kern w:val="0"/>
              </w:rPr>
              <w:t>、高锰酸盐指数、</w:t>
            </w:r>
            <w:r w:rsidRPr="00F9522B">
              <w:rPr>
                <w:rFonts w:eastAsiaTheme="minorEastAsia"/>
                <w:snapToGrid w:val="0"/>
                <w:kern w:val="0"/>
              </w:rPr>
              <w:t>BOD</w:t>
            </w:r>
            <w:r w:rsidRPr="00F9522B">
              <w:rPr>
                <w:rFonts w:eastAsiaTheme="minorEastAsia"/>
                <w:snapToGrid w:val="0"/>
                <w:kern w:val="0"/>
                <w:vertAlign w:val="subscript"/>
              </w:rPr>
              <w:t>5</w:t>
            </w:r>
            <w:r w:rsidRPr="00F9522B">
              <w:rPr>
                <w:rFonts w:eastAsiaTheme="minorEastAsia"/>
                <w:snapToGrid w:val="0"/>
                <w:kern w:val="0"/>
              </w:rPr>
              <w:t>、氨氮、总磷</w:t>
            </w:r>
          </w:p>
        </w:tc>
      </w:tr>
      <w:tr w:rsidR="002A5A5E" w:rsidRPr="00F9522B">
        <w:trPr>
          <w:trHeight w:val="141"/>
          <w:jc w:val="center"/>
        </w:trPr>
        <w:tc>
          <w:tcPr>
            <w:tcW w:w="809" w:type="dxa"/>
            <w:vMerge/>
            <w:vAlign w:val="center"/>
          </w:tcPr>
          <w:p w:rsidR="002A5A5E" w:rsidRPr="00F9522B" w:rsidRDefault="002A5A5E">
            <w:pPr>
              <w:widowControl/>
              <w:jc w:val="center"/>
              <w:rPr>
                <w:rFonts w:eastAsiaTheme="minorEastAsia"/>
                <w:kern w:val="0"/>
                <w:szCs w:val="21"/>
              </w:rPr>
            </w:pPr>
          </w:p>
        </w:tc>
        <w:tc>
          <w:tcPr>
            <w:tcW w:w="2536" w:type="dxa"/>
            <w:vAlign w:val="center"/>
          </w:tcPr>
          <w:p w:rsidR="002A5A5E" w:rsidRPr="00F9522B" w:rsidRDefault="00611CBA">
            <w:pPr>
              <w:tabs>
                <w:tab w:val="left" w:leader="middleDot" w:pos="7371"/>
              </w:tabs>
              <w:jc w:val="center"/>
              <w:rPr>
                <w:rFonts w:eastAsiaTheme="minorEastAsia"/>
                <w:spacing w:val="22"/>
                <w:szCs w:val="21"/>
              </w:rPr>
            </w:pPr>
            <w:r w:rsidRPr="00F9522B">
              <w:rPr>
                <w:rFonts w:eastAsiaTheme="minorEastAsia"/>
                <w:spacing w:val="22"/>
                <w:szCs w:val="21"/>
              </w:rPr>
              <w:t>施工期环境影响评价</w:t>
            </w:r>
          </w:p>
        </w:tc>
        <w:tc>
          <w:tcPr>
            <w:tcW w:w="5129" w:type="dxa"/>
            <w:vAlign w:val="center"/>
          </w:tcPr>
          <w:p w:rsidR="002A5A5E" w:rsidRPr="00F9522B" w:rsidRDefault="00611CBA">
            <w:pPr>
              <w:snapToGrid w:val="0"/>
              <w:jc w:val="center"/>
              <w:rPr>
                <w:rFonts w:eastAsiaTheme="minorEastAsia"/>
                <w:kern w:val="0"/>
                <w:szCs w:val="21"/>
              </w:rPr>
            </w:pPr>
            <w:r w:rsidRPr="00F9522B">
              <w:rPr>
                <w:rFonts w:eastAsiaTheme="minorEastAsia"/>
                <w:bCs/>
                <w:snapToGrid w:val="0"/>
                <w:kern w:val="0"/>
              </w:rPr>
              <w:t>COD</w:t>
            </w:r>
            <w:r w:rsidRPr="00F9522B">
              <w:rPr>
                <w:rFonts w:eastAsiaTheme="minorEastAsia"/>
                <w:bCs/>
                <w:snapToGrid w:val="0"/>
                <w:kern w:val="0"/>
              </w:rPr>
              <w:t>、氨氮、</w:t>
            </w:r>
            <w:r w:rsidRPr="00F9522B">
              <w:rPr>
                <w:rFonts w:eastAsiaTheme="minorEastAsia"/>
                <w:bCs/>
                <w:snapToGrid w:val="0"/>
                <w:kern w:val="0"/>
              </w:rPr>
              <w:t>pH</w:t>
            </w:r>
            <w:r w:rsidRPr="00F9522B">
              <w:rPr>
                <w:rFonts w:eastAsiaTheme="minorEastAsia"/>
                <w:bCs/>
                <w:snapToGrid w:val="0"/>
                <w:kern w:val="0"/>
              </w:rPr>
              <w:t>、</w:t>
            </w:r>
            <w:r w:rsidRPr="00F9522B">
              <w:rPr>
                <w:rFonts w:eastAsiaTheme="minorEastAsia"/>
                <w:bCs/>
                <w:snapToGrid w:val="0"/>
                <w:kern w:val="0"/>
              </w:rPr>
              <w:t>BOD</w:t>
            </w:r>
            <w:r w:rsidRPr="00F9522B">
              <w:rPr>
                <w:rFonts w:eastAsiaTheme="minorEastAsia"/>
                <w:bCs/>
                <w:snapToGrid w:val="0"/>
                <w:kern w:val="0"/>
                <w:vertAlign w:val="subscript"/>
              </w:rPr>
              <w:t>5</w:t>
            </w:r>
            <w:r w:rsidRPr="00F9522B">
              <w:rPr>
                <w:rFonts w:eastAsiaTheme="minorEastAsia"/>
                <w:bCs/>
                <w:snapToGrid w:val="0"/>
                <w:kern w:val="0"/>
              </w:rPr>
              <w:t>、</w:t>
            </w:r>
            <w:r w:rsidRPr="00F9522B">
              <w:rPr>
                <w:rFonts w:eastAsiaTheme="minorEastAsia"/>
                <w:bCs/>
                <w:snapToGrid w:val="0"/>
                <w:kern w:val="0"/>
              </w:rPr>
              <w:t>SS</w:t>
            </w:r>
          </w:p>
        </w:tc>
      </w:tr>
      <w:tr w:rsidR="002A5A5E" w:rsidRPr="00F9522B">
        <w:trPr>
          <w:trHeight w:val="141"/>
          <w:jc w:val="center"/>
        </w:trPr>
        <w:tc>
          <w:tcPr>
            <w:tcW w:w="809" w:type="dxa"/>
            <w:vMerge/>
            <w:vAlign w:val="center"/>
          </w:tcPr>
          <w:p w:rsidR="002A5A5E" w:rsidRPr="00F9522B" w:rsidRDefault="002A5A5E">
            <w:pPr>
              <w:widowControl/>
              <w:jc w:val="center"/>
              <w:rPr>
                <w:rFonts w:eastAsiaTheme="minorEastAsia"/>
                <w:kern w:val="0"/>
                <w:szCs w:val="21"/>
              </w:rPr>
            </w:pPr>
          </w:p>
        </w:tc>
        <w:tc>
          <w:tcPr>
            <w:tcW w:w="2536" w:type="dxa"/>
            <w:vAlign w:val="center"/>
          </w:tcPr>
          <w:p w:rsidR="002A5A5E" w:rsidRPr="00F9522B" w:rsidRDefault="00611CBA">
            <w:pPr>
              <w:tabs>
                <w:tab w:val="left" w:leader="middleDot" w:pos="7371"/>
              </w:tabs>
              <w:jc w:val="center"/>
              <w:rPr>
                <w:rFonts w:eastAsiaTheme="minorEastAsia"/>
                <w:spacing w:val="22"/>
                <w:szCs w:val="21"/>
              </w:rPr>
            </w:pPr>
            <w:r w:rsidRPr="00F9522B">
              <w:rPr>
                <w:rFonts w:eastAsiaTheme="minorEastAsia"/>
                <w:spacing w:val="22"/>
                <w:szCs w:val="21"/>
              </w:rPr>
              <w:t>运营期环境影响评价</w:t>
            </w:r>
          </w:p>
        </w:tc>
        <w:tc>
          <w:tcPr>
            <w:tcW w:w="5129" w:type="dxa"/>
            <w:vAlign w:val="center"/>
          </w:tcPr>
          <w:p w:rsidR="002A5A5E" w:rsidRPr="00F9522B" w:rsidRDefault="00611CBA">
            <w:pPr>
              <w:snapToGrid w:val="0"/>
              <w:jc w:val="center"/>
              <w:rPr>
                <w:rFonts w:eastAsiaTheme="minorEastAsia"/>
                <w:snapToGrid w:val="0"/>
                <w:kern w:val="0"/>
                <w:lang w:val="zh-CN"/>
              </w:rPr>
            </w:pPr>
            <w:r w:rsidRPr="00F9522B">
              <w:rPr>
                <w:rFonts w:eastAsiaTheme="minorEastAsia"/>
                <w:bCs/>
                <w:snapToGrid w:val="0"/>
                <w:kern w:val="0"/>
              </w:rPr>
              <w:t>COD</w:t>
            </w:r>
            <w:r w:rsidRPr="00F9522B">
              <w:rPr>
                <w:rFonts w:eastAsiaTheme="minorEastAsia"/>
                <w:bCs/>
                <w:snapToGrid w:val="0"/>
                <w:kern w:val="0"/>
              </w:rPr>
              <w:t>、氨氮、总磷</w:t>
            </w:r>
            <w:r w:rsidR="00F33895" w:rsidRPr="00F9522B">
              <w:rPr>
                <w:rFonts w:eastAsiaTheme="minorEastAsia"/>
                <w:bCs/>
                <w:snapToGrid w:val="0"/>
                <w:kern w:val="0"/>
              </w:rPr>
              <w:t>、</w:t>
            </w:r>
            <w:r w:rsidR="00F33895" w:rsidRPr="00F9522B">
              <w:rPr>
                <w:rFonts w:eastAsiaTheme="minorEastAsia"/>
                <w:bCs/>
                <w:snapToGrid w:val="0"/>
                <w:color w:val="FF0000"/>
                <w:kern w:val="0"/>
              </w:rPr>
              <w:t>总氮</w:t>
            </w:r>
          </w:p>
        </w:tc>
      </w:tr>
    </w:tbl>
    <w:p w:rsidR="002A5A5E" w:rsidRPr="00F9522B" w:rsidRDefault="002A5A5E">
      <w:pPr>
        <w:rPr>
          <w:rFonts w:eastAsiaTheme="minorEastAsia"/>
        </w:rPr>
      </w:pPr>
    </w:p>
    <w:p w:rsidR="00775632" w:rsidRPr="00F9522B" w:rsidRDefault="00775632">
      <w:pPr>
        <w:rPr>
          <w:rFonts w:eastAsiaTheme="minorEastAsia"/>
        </w:rPr>
      </w:pPr>
    </w:p>
    <w:p w:rsidR="00775632" w:rsidRPr="00F9522B" w:rsidRDefault="00775632">
      <w:pPr>
        <w:rPr>
          <w:rFonts w:eastAsiaTheme="minorEastAsia"/>
        </w:rPr>
      </w:pPr>
    </w:p>
    <w:p w:rsidR="00775632" w:rsidRPr="00F9522B" w:rsidRDefault="00775632">
      <w:pPr>
        <w:rPr>
          <w:rFonts w:eastAsiaTheme="minorEastAsia"/>
        </w:rPr>
      </w:pPr>
    </w:p>
    <w:p w:rsidR="002A5A5E" w:rsidRPr="00F9522B" w:rsidRDefault="00611CBA">
      <w:pPr>
        <w:jc w:val="center"/>
        <w:rPr>
          <w:rFonts w:eastAsiaTheme="minorEastAsia"/>
          <w:b/>
          <w:szCs w:val="21"/>
        </w:rPr>
      </w:pPr>
      <w:r w:rsidRPr="00F9522B">
        <w:rPr>
          <w:rFonts w:eastAsiaTheme="minorEastAsia"/>
          <w:b/>
          <w:szCs w:val="21"/>
        </w:rPr>
        <w:lastRenderedPageBreak/>
        <w:t>续表</w:t>
      </w:r>
      <w:r w:rsidRPr="00F9522B">
        <w:rPr>
          <w:rFonts w:eastAsiaTheme="minorEastAsia"/>
          <w:b/>
          <w:szCs w:val="21"/>
        </w:rPr>
        <w:t>2-4-3</w:t>
      </w:r>
      <w:r w:rsidRPr="00F9522B">
        <w:rPr>
          <w:rFonts w:eastAsiaTheme="minorEastAsia"/>
          <w:b/>
          <w:szCs w:val="21"/>
        </w:rPr>
        <w:t>本项目环境影响评价因子筛选结果</w:t>
      </w:r>
    </w:p>
    <w:tbl>
      <w:tblPr>
        <w:tblW w:w="8474" w:type="dxa"/>
        <w:jc w:val="center"/>
        <w:tblBorders>
          <w:top w:val="single" w:sz="12" w:space="0" w:color="auto"/>
          <w:bottom w:val="single" w:sz="12" w:space="0" w:color="auto"/>
          <w:insideH w:val="single" w:sz="6" w:space="0" w:color="auto"/>
          <w:insideV w:val="single" w:sz="6" w:space="0" w:color="auto"/>
        </w:tblBorders>
        <w:tblLayout w:type="fixed"/>
        <w:tblLook w:val="04A0"/>
      </w:tblPr>
      <w:tblGrid>
        <w:gridCol w:w="809"/>
        <w:gridCol w:w="2536"/>
        <w:gridCol w:w="5129"/>
      </w:tblGrid>
      <w:tr w:rsidR="002A5A5E" w:rsidRPr="00F9522B">
        <w:trPr>
          <w:trHeight w:val="141"/>
          <w:jc w:val="center"/>
        </w:trPr>
        <w:tc>
          <w:tcPr>
            <w:tcW w:w="809" w:type="dxa"/>
            <w:vMerge w:val="restart"/>
            <w:vAlign w:val="center"/>
          </w:tcPr>
          <w:p w:rsidR="002A5A5E" w:rsidRPr="00F9522B" w:rsidRDefault="00611CBA">
            <w:pPr>
              <w:snapToGrid w:val="0"/>
              <w:jc w:val="center"/>
              <w:rPr>
                <w:rFonts w:eastAsiaTheme="minorEastAsia"/>
                <w:kern w:val="0"/>
                <w:szCs w:val="21"/>
              </w:rPr>
            </w:pPr>
            <w:r w:rsidRPr="00F9522B">
              <w:rPr>
                <w:rFonts w:eastAsiaTheme="minorEastAsia"/>
                <w:kern w:val="0"/>
                <w:szCs w:val="21"/>
              </w:rPr>
              <w:t>地下水</w:t>
            </w:r>
          </w:p>
        </w:tc>
        <w:tc>
          <w:tcPr>
            <w:tcW w:w="2536" w:type="dxa"/>
            <w:vAlign w:val="center"/>
          </w:tcPr>
          <w:p w:rsidR="002A5A5E" w:rsidRPr="00F9522B" w:rsidRDefault="00611CBA">
            <w:pPr>
              <w:snapToGrid w:val="0"/>
              <w:jc w:val="center"/>
              <w:rPr>
                <w:rFonts w:eastAsiaTheme="minorEastAsia"/>
                <w:kern w:val="0"/>
                <w:szCs w:val="21"/>
              </w:rPr>
            </w:pPr>
            <w:r w:rsidRPr="00F9522B">
              <w:rPr>
                <w:rFonts w:eastAsiaTheme="minorEastAsia"/>
                <w:kern w:val="0"/>
                <w:szCs w:val="21"/>
              </w:rPr>
              <w:t>现状评价</w:t>
            </w:r>
          </w:p>
        </w:tc>
        <w:tc>
          <w:tcPr>
            <w:tcW w:w="5129" w:type="dxa"/>
            <w:vAlign w:val="center"/>
          </w:tcPr>
          <w:p w:rsidR="002A5A5E" w:rsidRPr="00F9522B" w:rsidRDefault="00611CBA">
            <w:pPr>
              <w:snapToGrid w:val="0"/>
              <w:jc w:val="center"/>
              <w:rPr>
                <w:rFonts w:eastAsiaTheme="minorEastAsia"/>
                <w:kern w:val="0"/>
                <w:szCs w:val="21"/>
              </w:rPr>
            </w:pPr>
            <w:r w:rsidRPr="00F9522B">
              <w:rPr>
                <w:rFonts w:eastAsiaTheme="minorEastAsia"/>
                <w:bCs/>
                <w:kern w:val="0"/>
              </w:rPr>
              <w:t>K</w:t>
            </w:r>
            <w:r w:rsidRPr="00F9522B">
              <w:rPr>
                <w:rFonts w:eastAsiaTheme="minorEastAsia"/>
                <w:bCs/>
                <w:kern w:val="0"/>
                <w:vertAlign w:val="superscript"/>
              </w:rPr>
              <w:t>+</w:t>
            </w:r>
            <w:r w:rsidRPr="00F9522B">
              <w:rPr>
                <w:rFonts w:eastAsiaTheme="minorEastAsia"/>
                <w:bCs/>
                <w:kern w:val="0"/>
              </w:rPr>
              <w:t>、</w:t>
            </w:r>
            <w:r w:rsidRPr="00F9522B">
              <w:rPr>
                <w:rFonts w:eastAsiaTheme="minorEastAsia"/>
                <w:bCs/>
                <w:kern w:val="0"/>
              </w:rPr>
              <w:t>Na</w:t>
            </w:r>
            <w:r w:rsidRPr="00F9522B">
              <w:rPr>
                <w:rFonts w:eastAsiaTheme="minorEastAsia"/>
                <w:bCs/>
                <w:kern w:val="0"/>
                <w:vertAlign w:val="superscript"/>
              </w:rPr>
              <w:t>+</w:t>
            </w:r>
            <w:r w:rsidRPr="00F9522B">
              <w:rPr>
                <w:rFonts w:eastAsiaTheme="minorEastAsia"/>
                <w:bCs/>
                <w:kern w:val="0"/>
              </w:rPr>
              <w:t>、</w:t>
            </w:r>
            <w:r w:rsidRPr="00F9522B">
              <w:rPr>
                <w:rFonts w:eastAsiaTheme="minorEastAsia"/>
                <w:bCs/>
                <w:kern w:val="0"/>
              </w:rPr>
              <w:t>Ca</w:t>
            </w:r>
            <w:r w:rsidRPr="00F9522B">
              <w:rPr>
                <w:rFonts w:eastAsiaTheme="minorEastAsia"/>
                <w:bCs/>
                <w:kern w:val="0"/>
                <w:vertAlign w:val="superscript"/>
              </w:rPr>
              <w:t>2+</w:t>
            </w:r>
            <w:r w:rsidRPr="00F9522B">
              <w:rPr>
                <w:rFonts w:eastAsiaTheme="minorEastAsia"/>
                <w:bCs/>
                <w:kern w:val="0"/>
              </w:rPr>
              <w:t>、</w:t>
            </w:r>
            <w:r w:rsidRPr="00F9522B">
              <w:rPr>
                <w:rFonts w:eastAsiaTheme="minorEastAsia"/>
                <w:bCs/>
                <w:kern w:val="0"/>
              </w:rPr>
              <w:t>Mg</w:t>
            </w:r>
            <w:r w:rsidRPr="00F9522B">
              <w:rPr>
                <w:rFonts w:eastAsiaTheme="minorEastAsia"/>
                <w:bCs/>
                <w:kern w:val="0"/>
                <w:vertAlign w:val="superscript"/>
              </w:rPr>
              <w:t>2+</w:t>
            </w:r>
            <w:r w:rsidRPr="00F9522B">
              <w:rPr>
                <w:rFonts w:eastAsiaTheme="minorEastAsia"/>
                <w:bCs/>
                <w:kern w:val="0"/>
              </w:rPr>
              <w:t>、</w:t>
            </w:r>
            <w:r w:rsidRPr="00F9522B">
              <w:rPr>
                <w:rFonts w:eastAsiaTheme="minorEastAsia"/>
                <w:bCs/>
                <w:kern w:val="0"/>
              </w:rPr>
              <w:t>CO</w:t>
            </w:r>
            <w:r w:rsidRPr="00F9522B">
              <w:rPr>
                <w:rFonts w:eastAsiaTheme="minorEastAsia"/>
                <w:bCs/>
                <w:kern w:val="0"/>
                <w:vertAlign w:val="subscript"/>
              </w:rPr>
              <w:t>3</w:t>
            </w:r>
            <w:r w:rsidRPr="00F9522B">
              <w:rPr>
                <w:rFonts w:eastAsiaTheme="minorEastAsia"/>
                <w:bCs/>
                <w:kern w:val="0"/>
                <w:vertAlign w:val="superscript"/>
              </w:rPr>
              <w:t>2-</w:t>
            </w:r>
            <w:r w:rsidRPr="00F9522B">
              <w:rPr>
                <w:rFonts w:eastAsiaTheme="minorEastAsia"/>
                <w:bCs/>
                <w:kern w:val="0"/>
              </w:rPr>
              <w:t>、</w:t>
            </w:r>
            <w:r w:rsidRPr="00F9522B">
              <w:rPr>
                <w:rFonts w:eastAsiaTheme="minorEastAsia"/>
                <w:bCs/>
                <w:kern w:val="0"/>
              </w:rPr>
              <w:t>HCO</w:t>
            </w:r>
            <w:r w:rsidRPr="00F9522B">
              <w:rPr>
                <w:rFonts w:eastAsiaTheme="minorEastAsia"/>
                <w:bCs/>
                <w:kern w:val="0"/>
                <w:vertAlign w:val="subscript"/>
              </w:rPr>
              <w:t>3</w:t>
            </w:r>
            <w:r w:rsidRPr="00F9522B">
              <w:rPr>
                <w:rFonts w:eastAsiaTheme="minorEastAsia"/>
                <w:bCs/>
                <w:kern w:val="0"/>
                <w:vertAlign w:val="superscript"/>
              </w:rPr>
              <w:t>-</w:t>
            </w:r>
            <w:r w:rsidRPr="00F9522B">
              <w:rPr>
                <w:rFonts w:eastAsiaTheme="minorEastAsia"/>
                <w:bCs/>
                <w:kern w:val="0"/>
              </w:rPr>
              <w:t>、硫酸盐、氯化物、</w:t>
            </w:r>
            <w:r w:rsidRPr="00F9522B">
              <w:rPr>
                <w:rFonts w:eastAsiaTheme="minorEastAsia"/>
                <w:bCs/>
                <w:kern w:val="0"/>
              </w:rPr>
              <w:t>pH</w:t>
            </w:r>
            <w:r w:rsidRPr="00F9522B">
              <w:rPr>
                <w:rFonts w:eastAsiaTheme="minorEastAsia"/>
                <w:bCs/>
                <w:kern w:val="0"/>
              </w:rPr>
              <w:t>、氨氮、亚硝酸盐氮、硝酸盐氮、挥发酚、溶解性总固体、耗氧量（</w:t>
            </w:r>
            <w:r w:rsidRPr="00F9522B">
              <w:rPr>
                <w:rFonts w:eastAsiaTheme="minorEastAsia"/>
                <w:bCs/>
                <w:kern w:val="0"/>
              </w:rPr>
              <w:t>COD</w:t>
            </w:r>
            <w:r w:rsidRPr="00F9522B">
              <w:rPr>
                <w:rFonts w:eastAsiaTheme="minorEastAsia"/>
                <w:bCs/>
                <w:kern w:val="0"/>
                <w:vertAlign w:val="subscript"/>
              </w:rPr>
              <w:t>Mn</w:t>
            </w:r>
            <w:r w:rsidRPr="00F9522B">
              <w:rPr>
                <w:rFonts w:eastAsiaTheme="minorEastAsia"/>
                <w:bCs/>
                <w:kern w:val="0"/>
              </w:rPr>
              <w:t>法、以</w:t>
            </w:r>
            <w:r w:rsidRPr="00F9522B">
              <w:rPr>
                <w:rFonts w:eastAsiaTheme="minorEastAsia"/>
                <w:bCs/>
                <w:kern w:val="0"/>
              </w:rPr>
              <w:t>O</w:t>
            </w:r>
            <w:r w:rsidRPr="00F9522B">
              <w:rPr>
                <w:rFonts w:eastAsiaTheme="minorEastAsia"/>
                <w:bCs/>
                <w:kern w:val="0"/>
                <w:vertAlign w:val="subscript"/>
              </w:rPr>
              <w:t>2</w:t>
            </w:r>
            <w:r w:rsidRPr="00F9522B">
              <w:rPr>
                <w:rFonts w:eastAsiaTheme="minorEastAsia"/>
                <w:bCs/>
                <w:kern w:val="0"/>
              </w:rPr>
              <w:t>计）、六价铬、总硬度、氟化物、总大肠菌群、细菌总数、铁、锰、铅、镉、砷、汞、水位、石油类</w:t>
            </w:r>
          </w:p>
        </w:tc>
      </w:tr>
      <w:tr w:rsidR="002A5A5E" w:rsidRPr="00F9522B">
        <w:trPr>
          <w:trHeight w:val="141"/>
          <w:jc w:val="center"/>
        </w:trPr>
        <w:tc>
          <w:tcPr>
            <w:tcW w:w="809" w:type="dxa"/>
            <w:vMerge/>
            <w:vAlign w:val="center"/>
          </w:tcPr>
          <w:p w:rsidR="002A5A5E" w:rsidRPr="00F9522B" w:rsidRDefault="002A5A5E">
            <w:pPr>
              <w:widowControl/>
              <w:jc w:val="center"/>
              <w:rPr>
                <w:rFonts w:eastAsiaTheme="minorEastAsia"/>
                <w:kern w:val="0"/>
                <w:szCs w:val="21"/>
              </w:rPr>
            </w:pPr>
          </w:p>
        </w:tc>
        <w:tc>
          <w:tcPr>
            <w:tcW w:w="2536" w:type="dxa"/>
            <w:vAlign w:val="center"/>
          </w:tcPr>
          <w:p w:rsidR="002A5A5E" w:rsidRPr="00F9522B" w:rsidRDefault="00611CBA">
            <w:pPr>
              <w:tabs>
                <w:tab w:val="left" w:leader="middleDot" w:pos="7371"/>
              </w:tabs>
              <w:jc w:val="center"/>
              <w:rPr>
                <w:rFonts w:eastAsiaTheme="minorEastAsia"/>
                <w:spacing w:val="22"/>
                <w:szCs w:val="21"/>
              </w:rPr>
            </w:pPr>
            <w:r w:rsidRPr="00F9522B">
              <w:rPr>
                <w:rFonts w:eastAsiaTheme="minorEastAsia"/>
                <w:spacing w:val="22"/>
                <w:szCs w:val="21"/>
              </w:rPr>
              <w:t>施工期环境影响评价</w:t>
            </w:r>
          </w:p>
        </w:tc>
        <w:tc>
          <w:tcPr>
            <w:tcW w:w="5129" w:type="dxa"/>
            <w:vAlign w:val="center"/>
          </w:tcPr>
          <w:p w:rsidR="002A5A5E" w:rsidRPr="00F9522B" w:rsidRDefault="00611CBA">
            <w:pPr>
              <w:snapToGrid w:val="0"/>
              <w:jc w:val="center"/>
              <w:rPr>
                <w:rFonts w:eastAsiaTheme="minorEastAsia"/>
                <w:kern w:val="0"/>
                <w:szCs w:val="21"/>
              </w:rPr>
            </w:pPr>
            <w:r w:rsidRPr="00F9522B">
              <w:rPr>
                <w:rFonts w:eastAsiaTheme="minorEastAsia"/>
                <w:bCs/>
                <w:kern w:val="0"/>
              </w:rPr>
              <w:t>SS</w:t>
            </w:r>
          </w:p>
        </w:tc>
      </w:tr>
      <w:tr w:rsidR="002A5A5E" w:rsidRPr="00F9522B">
        <w:trPr>
          <w:trHeight w:val="141"/>
          <w:jc w:val="center"/>
        </w:trPr>
        <w:tc>
          <w:tcPr>
            <w:tcW w:w="809" w:type="dxa"/>
            <w:vMerge/>
            <w:vAlign w:val="center"/>
          </w:tcPr>
          <w:p w:rsidR="002A5A5E" w:rsidRPr="00F9522B" w:rsidRDefault="002A5A5E">
            <w:pPr>
              <w:snapToGrid w:val="0"/>
              <w:jc w:val="center"/>
              <w:rPr>
                <w:rFonts w:eastAsiaTheme="minorEastAsia"/>
                <w:kern w:val="0"/>
                <w:szCs w:val="21"/>
              </w:rPr>
            </w:pPr>
          </w:p>
        </w:tc>
        <w:tc>
          <w:tcPr>
            <w:tcW w:w="2536" w:type="dxa"/>
            <w:vAlign w:val="center"/>
          </w:tcPr>
          <w:p w:rsidR="002A5A5E" w:rsidRPr="00F9522B" w:rsidRDefault="00611CBA">
            <w:pPr>
              <w:tabs>
                <w:tab w:val="left" w:leader="middleDot" w:pos="7371"/>
              </w:tabs>
              <w:jc w:val="center"/>
              <w:rPr>
                <w:rFonts w:eastAsiaTheme="minorEastAsia"/>
                <w:spacing w:val="22"/>
                <w:szCs w:val="21"/>
              </w:rPr>
            </w:pPr>
            <w:r w:rsidRPr="00F9522B">
              <w:rPr>
                <w:rFonts w:eastAsiaTheme="minorEastAsia"/>
                <w:spacing w:val="22"/>
                <w:szCs w:val="21"/>
              </w:rPr>
              <w:t>运营期环境影响评价</w:t>
            </w:r>
          </w:p>
        </w:tc>
        <w:tc>
          <w:tcPr>
            <w:tcW w:w="5129" w:type="dxa"/>
            <w:vAlign w:val="center"/>
          </w:tcPr>
          <w:p w:rsidR="002A5A5E" w:rsidRPr="00F9522B" w:rsidRDefault="00611CBA">
            <w:pPr>
              <w:snapToGrid w:val="0"/>
              <w:jc w:val="center"/>
              <w:rPr>
                <w:rFonts w:eastAsiaTheme="minorEastAsia"/>
                <w:bCs/>
                <w:szCs w:val="21"/>
              </w:rPr>
            </w:pPr>
            <w:r w:rsidRPr="00F9522B">
              <w:rPr>
                <w:rFonts w:eastAsiaTheme="minorEastAsia"/>
                <w:bCs/>
                <w:kern w:val="0"/>
              </w:rPr>
              <w:t>石油类、</w:t>
            </w:r>
            <w:r w:rsidRPr="00F9522B">
              <w:rPr>
                <w:rFonts w:eastAsiaTheme="minorEastAsia"/>
                <w:bCs/>
                <w:szCs w:val="21"/>
              </w:rPr>
              <w:t>地下水量、地下水降深及影响范围</w:t>
            </w:r>
          </w:p>
        </w:tc>
      </w:tr>
      <w:tr w:rsidR="002A5A5E" w:rsidRPr="00F9522B">
        <w:trPr>
          <w:trHeight w:val="141"/>
          <w:jc w:val="center"/>
        </w:trPr>
        <w:tc>
          <w:tcPr>
            <w:tcW w:w="809" w:type="dxa"/>
            <w:vMerge w:val="restart"/>
            <w:vAlign w:val="center"/>
          </w:tcPr>
          <w:p w:rsidR="002A5A5E" w:rsidRPr="00F9522B" w:rsidRDefault="00611CBA">
            <w:pPr>
              <w:snapToGrid w:val="0"/>
              <w:jc w:val="center"/>
              <w:rPr>
                <w:rFonts w:eastAsiaTheme="minorEastAsia"/>
                <w:kern w:val="0"/>
                <w:szCs w:val="21"/>
              </w:rPr>
            </w:pPr>
            <w:r w:rsidRPr="00F9522B">
              <w:rPr>
                <w:rFonts w:eastAsiaTheme="minorEastAsia"/>
                <w:kern w:val="0"/>
                <w:szCs w:val="21"/>
              </w:rPr>
              <w:t>固体废物</w:t>
            </w:r>
          </w:p>
        </w:tc>
        <w:tc>
          <w:tcPr>
            <w:tcW w:w="2536" w:type="dxa"/>
            <w:vAlign w:val="center"/>
          </w:tcPr>
          <w:p w:rsidR="002A5A5E" w:rsidRPr="00F9522B" w:rsidRDefault="00611CBA">
            <w:pPr>
              <w:snapToGrid w:val="0"/>
              <w:jc w:val="center"/>
              <w:rPr>
                <w:rFonts w:eastAsiaTheme="minorEastAsia"/>
                <w:kern w:val="0"/>
                <w:szCs w:val="21"/>
              </w:rPr>
            </w:pPr>
            <w:r w:rsidRPr="00F9522B">
              <w:rPr>
                <w:rFonts w:eastAsiaTheme="minorEastAsia"/>
                <w:kern w:val="0"/>
                <w:szCs w:val="21"/>
              </w:rPr>
              <w:t>现状评价</w:t>
            </w:r>
          </w:p>
        </w:tc>
        <w:tc>
          <w:tcPr>
            <w:tcW w:w="5129" w:type="dxa"/>
            <w:vAlign w:val="center"/>
          </w:tcPr>
          <w:p w:rsidR="002A5A5E" w:rsidRPr="00F9522B" w:rsidRDefault="00611CBA">
            <w:pPr>
              <w:snapToGrid w:val="0"/>
              <w:jc w:val="center"/>
              <w:rPr>
                <w:rFonts w:eastAsiaTheme="minorEastAsia"/>
                <w:kern w:val="0"/>
                <w:szCs w:val="21"/>
              </w:rPr>
            </w:pPr>
            <w:r w:rsidRPr="00F9522B">
              <w:rPr>
                <w:rFonts w:eastAsiaTheme="minorEastAsia"/>
                <w:kern w:val="0"/>
                <w:szCs w:val="21"/>
              </w:rPr>
              <w:t>-</w:t>
            </w:r>
          </w:p>
        </w:tc>
      </w:tr>
      <w:tr w:rsidR="002A5A5E" w:rsidRPr="00F9522B">
        <w:trPr>
          <w:trHeight w:val="141"/>
          <w:jc w:val="center"/>
        </w:trPr>
        <w:tc>
          <w:tcPr>
            <w:tcW w:w="809" w:type="dxa"/>
            <w:vMerge/>
            <w:vAlign w:val="center"/>
          </w:tcPr>
          <w:p w:rsidR="002A5A5E" w:rsidRPr="00F9522B" w:rsidRDefault="002A5A5E">
            <w:pPr>
              <w:snapToGrid w:val="0"/>
              <w:jc w:val="center"/>
              <w:rPr>
                <w:rFonts w:eastAsiaTheme="minorEastAsia"/>
                <w:kern w:val="0"/>
                <w:szCs w:val="21"/>
              </w:rPr>
            </w:pPr>
          </w:p>
        </w:tc>
        <w:tc>
          <w:tcPr>
            <w:tcW w:w="2536" w:type="dxa"/>
            <w:vAlign w:val="center"/>
          </w:tcPr>
          <w:p w:rsidR="002A5A5E" w:rsidRPr="00F9522B" w:rsidRDefault="00611CBA">
            <w:pPr>
              <w:tabs>
                <w:tab w:val="left" w:leader="middleDot" w:pos="7371"/>
              </w:tabs>
              <w:jc w:val="center"/>
              <w:rPr>
                <w:rFonts w:eastAsiaTheme="minorEastAsia"/>
                <w:spacing w:val="22"/>
                <w:szCs w:val="21"/>
              </w:rPr>
            </w:pPr>
            <w:r w:rsidRPr="00F9522B">
              <w:rPr>
                <w:rFonts w:eastAsiaTheme="minorEastAsia"/>
                <w:spacing w:val="22"/>
                <w:szCs w:val="21"/>
              </w:rPr>
              <w:t>施工期环境影响评价</w:t>
            </w:r>
          </w:p>
        </w:tc>
        <w:tc>
          <w:tcPr>
            <w:tcW w:w="5129" w:type="dxa"/>
            <w:vAlign w:val="center"/>
          </w:tcPr>
          <w:p w:rsidR="002A5A5E" w:rsidRPr="00F9522B" w:rsidRDefault="00611CBA">
            <w:pPr>
              <w:snapToGrid w:val="0"/>
              <w:jc w:val="center"/>
              <w:rPr>
                <w:rFonts w:eastAsiaTheme="minorEastAsia"/>
                <w:spacing w:val="22"/>
                <w:kern w:val="0"/>
                <w:szCs w:val="21"/>
              </w:rPr>
            </w:pPr>
            <w:r w:rsidRPr="00F9522B">
              <w:rPr>
                <w:rFonts w:eastAsiaTheme="minorEastAsia"/>
                <w:spacing w:val="22"/>
                <w:kern w:val="0"/>
                <w:szCs w:val="21"/>
              </w:rPr>
              <w:t>生活垃圾、建筑垃圾、土石方、淤泥</w:t>
            </w:r>
            <w:r w:rsidRPr="00F9522B">
              <w:rPr>
                <w:rFonts w:eastAsiaTheme="minorEastAsia"/>
                <w:snapToGrid w:val="0"/>
                <w:kern w:val="0"/>
              </w:rPr>
              <w:t>、废肥料包装袋</w:t>
            </w:r>
          </w:p>
        </w:tc>
      </w:tr>
      <w:tr w:rsidR="002A5A5E" w:rsidRPr="00F9522B">
        <w:trPr>
          <w:trHeight w:val="141"/>
          <w:jc w:val="center"/>
        </w:trPr>
        <w:tc>
          <w:tcPr>
            <w:tcW w:w="809" w:type="dxa"/>
            <w:vMerge/>
            <w:vAlign w:val="center"/>
          </w:tcPr>
          <w:p w:rsidR="002A5A5E" w:rsidRPr="00F9522B" w:rsidRDefault="002A5A5E">
            <w:pPr>
              <w:snapToGrid w:val="0"/>
              <w:jc w:val="center"/>
              <w:rPr>
                <w:rFonts w:eastAsiaTheme="minorEastAsia"/>
                <w:kern w:val="0"/>
                <w:szCs w:val="21"/>
              </w:rPr>
            </w:pPr>
          </w:p>
        </w:tc>
        <w:tc>
          <w:tcPr>
            <w:tcW w:w="2536" w:type="dxa"/>
            <w:vAlign w:val="center"/>
          </w:tcPr>
          <w:p w:rsidR="002A5A5E" w:rsidRPr="00F9522B" w:rsidRDefault="00611CBA">
            <w:pPr>
              <w:tabs>
                <w:tab w:val="left" w:leader="middleDot" w:pos="7371"/>
              </w:tabs>
              <w:jc w:val="center"/>
              <w:rPr>
                <w:rFonts w:eastAsiaTheme="minorEastAsia"/>
                <w:spacing w:val="22"/>
                <w:szCs w:val="21"/>
              </w:rPr>
            </w:pPr>
            <w:r w:rsidRPr="00F9522B">
              <w:rPr>
                <w:rFonts w:eastAsiaTheme="minorEastAsia"/>
                <w:spacing w:val="22"/>
                <w:szCs w:val="21"/>
              </w:rPr>
              <w:t>运营期环境影响评价</w:t>
            </w:r>
          </w:p>
        </w:tc>
        <w:tc>
          <w:tcPr>
            <w:tcW w:w="5129" w:type="dxa"/>
            <w:vAlign w:val="center"/>
          </w:tcPr>
          <w:p w:rsidR="002A5A5E" w:rsidRPr="00F9522B" w:rsidRDefault="00611CBA">
            <w:pPr>
              <w:snapToGrid w:val="0"/>
              <w:jc w:val="center"/>
              <w:rPr>
                <w:rFonts w:eastAsiaTheme="minorEastAsia"/>
                <w:spacing w:val="22"/>
                <w:kern w:val="0"/>
                <w:szCs w:val="21"/>
              </w:rPr>
            </w:pPr>
            <w:r w:rsidRPr="00F9522B">
              <w:rPr>
                <w:rFonts w:eastAsiaTheme="minorEastAsia"/>
                <w:snapToGrid w:val="0"/>
                <w:kern w:val="0"/>
              </w:rPr>
              <w:t>秸秆、废肥料包装袋、废农药包装物</w:t>
            </w:r>
          </w:p>
        </w:tc>
      </w:tr>
      <w:tr w:rsidR="002A5A5E" w:rsidRPr="00F9522B">
        <w:trPr>
          <w:trHeight w:val="141"/>
          <w:jc w:val="center"/>
        </w:trPr>
        <w:tc>
          <w:tcPr>
            <w:tcW w:w="809" w:type="dxa"/>
            <w:vMerge w:val="restart"/>
            <w:vAlign w:val="center"/>
          </w:tcPr>
          <w:p w:rsidR="002A5A5E" w:rsidRPr="00F9522B" w:rsidRDefault="00611CBA">
            <w:pPr>
              <w:snapToGrid w:val="0"/>
              <w:jc w:val="center"/>
              <w:rPr>
                <w:rFonts w:eastAsiaTheme="minorEastAsia"/>
                <w:kern w:val="0"/>
                <w:szCs w:val="21"/>
              </w:rPr>
            </w:pPr>
            <w:r w:rsidRPr="00F9522B">
              <w:rPr>
                <w:rFonts w:eastAsiaTheme="minorEastAsia"/>
                <w:kern w:val="0"/>
                <w:szCs w:val="21"/>
              </w:rPr>
              <w:t>土壤</w:t>
            </w:r>
          </w:p>
        </w:tc>
        <w:tc>
          <w:tcPr>
            <w:tcW w:w="2536" w:type="dxa"/>
            <w:vAlign w:val="center"/>
          </w:tcPr>
          <w:p w:rsidR="002A5A5E" w:rsidRPr="00F9522B" w:rsidRDefault="00611CBA">
            <w:pPr>
              <w:snapToGrid w:val="0"/>
              <w:jc w:val="center"/>
              <w:rPr>
                <w:rFonts w:eastAsiaTheme="minorEastAsia"/>
                <w:kern w:val="0"/>
                <w:szCs w:val="21"/>
              </w:rPr>
            </w:pPr>
            <w:r w:rsidRPr="00F9522B">
              <w:rPr>
                <w:rFonts w:eastAsiaTheme="minorEastAsia"/>
                <w:kern w:val="0"/>
                <w:szCs w:val="21"/>
              </w:rPr>
              <w:t>现状评价</w:t>
            </w:r>
          </w:p>
        </w:tc>
        <w:tc>
          <w:tcPr>
            <w:tcW w:w="5129" w:type="dxa"/>
            <w:vAlign w:val="center"/>
          </w:tcPr>
          <w:p w:rsidR="002A5A5E" w:rsidRPr="00F9522B" w:rsidRDefault="00611CBA">
            <w:pPr>
              <w:snapToGrid w:val="0"/>
              <w:jc w:val="center"/>
              <w:rPr>
                <w:rFonts w:eastAsiaTheme="minorEastAsia"/>
                <w:spacing w:val="22"/>
                <w:kern w:val="0"/>
                <w:szCs w:val="21"/>
              </w:rPr>
            </w:pPr>
            <w:r w:rsidRPr="00F9522B">
              <w:rPr>
                <w:rFonts w:eastAsiaTheme="minorEastAsia"/>
                <w:spacing w:val="22"/>
                <w:kern w:val="0"/>
                <w:szCs w:val="21"/>
              </w:rPr>
              <w:t>pH</w:t>
            </w:r>
            <w:r w:rsidRPr="00F9522B">
              <w:rPr>
                <w:rFonts w:eastAsiaTheme="minorEastAsia"/>
                <w:spacing w:val="22"/>
                <w:kern w:val="0"/>
                <w:szCs w:val="21"/>
              </w:rPr>
              <w:t>、含盐量</w:t>
            </w:r>
          </w:p>
        </w:tc>
      </w:tr>
      <w:tr w:rsidR="002A5A5E" w:rsidRPr="00F9522B">
        <w:trPr>
          <w:trHeight w:val="141"/>
          <w:jc w:val="center"/>
        </w:trPr>
        <w:tc>
          <w:tcPr>
            <w:tcW w:w="809" w:type="dxa"/>
            <w:vMerge/>
            <w:vAlign w:val="center"/>
          </w:tcPr>
          <w:p w:rsidR="002A5A5E" w:rsidRPr="00F9522B" w:rsidRDefault="002A5A5E">
            <w:pPr>
              <w:snapToGrid w:val="0"/>
              <w:jc w:val="center"/>
              <w:rPr>
                <w:rFonts w:eastAsiaTheme="minorEastAsia"/>
                <w:kern w:val="0"/>
                <w:szCs w:val="21"/>
              </w:rPr>
            </w:pPr>
          </w:p>
        </w:tc>
        <w:tc>
          <w:tcPr>
            <w:tcW w:w="2536" w:type="dxa"/>
            <w:vAlign w:val="center"/>
          </w:tcPr>
          <w:p w:rsidR="002A5A5E" w:rsidRPr="00F9522B" w:rsidRDefault="00611CBA">
            <w:pPr>
              <w:tabs>
                <w:tab w:val="left" w:leader="middleDot" w:pos="7371"/>
              </w:tabs>
              <w:jc w:val="center"/>
              <w:rPr>
                <w:rFonts w:eastAsiaTheme="minorEastAsia"/>
                <w:spacing w:val="22"/>
                <w:szCs w:val="21"/>
              </w:rPr>
            </w:pPr>
            <w:r w:rsidRPr="00F9522B">
              <w:rPr>
                <w:rFonts w:eastAsiaTheme="minorEastAsia"/>
                <w:spacing w:val="22"/>
                <w:szCs w:val="21"/>
              </w:rPr>
              <w:t>施工期环境影响评价</w:t>
            </w:r>
          </w:p>
        </w:tc>
        <w:tc>
          <w:tcPr>
            <w:tcW w:w="5129" w:type="dxa"/>
            <w:vAlign w:val="center"/>
          </w:tcPr>
          <w:p w:rsidR="002A5A5E" w:rsidRPr="00F9522B" w:rsidRDefault="00611CBA">
            <w:pPr>
              <w:snapToGrid w:val="0"/>
              <w:jc w:val="center"/>
              <w:rPr>
                <w:rFonts w:eastAsiaTheme="minorEastAsia"/>
                <w:spacing w:val="22"/>
                <w:kern w:val="0"/>
                <w:szCs w:val="21"/>
              </w:rPr>
            </w:pPr>
            <w:r w:rsidRPr="00F9522B">
              <w:rPr>
                <w:rFonts w:eastAsiaTheme="minorEastAsia"/>
                <w:snapToGrid w:val="0"/>
                <w:kern w:val="0"/>
              </w:rPr>
              <w:t>土壤结构、理化性质</w:t>
            </w:r>
          </w:p>
        </w:tc>
      </w:tr>
      <w:tr w:rsidR="002A5A5E" w:rsidRPr="00F9522B">
        <w:trPr>
          <w:trHeight w:val="141"/>
          <w:jc w:val="center"/>
        </w:trPr>
        <w:tc>
          <w:tcPr>
            <w:tcW w:w="809" w:type="dxa"/>
            <w:vMerge/>
            <w:vAlign w:val="center"/>
          </w:tcPr>
          <w:p w:rsidR="002A5A5E" w:rsidRPr="00F9522B" w:rsidRDefault="002A5A5E">
            <w:pPr>
              <w:snapToGrid w:val="0"/>
              <w:jc w:val="center"/>
              <w:rPr>
                <w:rFonts w:eastAsiaTheme="minorEastAsia"/>
                <w:kern w:val="0"/>
                <w:szCs w:val="21"/>
              </w:rPr>
            </w:pPr>
          </w:p>
        </w:tc>
        <w:tc>
          <w:tcPr>
            <w:tcW w:w="2536" w:type="dxa"/>
            <w:vAlign w:val="center"/>
          </w:tcPr>
          <w:p w:rsidR="002A5A5E" w:rsidRPr="00F9522B" w:rsidRDefault="00611CBA">
            <w:pPr>
              <w:tabs>
                <w:tab w:val="left" w:leader="middleDot" w:pos="7371"/>
              </w:tabs>
              <w:jc w:val="center"/>
              <w:rPr>
                <w:rFonts w:eastAsiaTheme="minorEastAsia"/>
                <w:spacing w:val="22"/>
                <w:szCs w:val="21"/>
              </w:rPr>
            </w:pPr>
            <w:r w:rsidRPr="00F9522B">
              <w:rPr>
                <w:rFonts w:eastAsiaTheme="minorEastAsia"/>
                <w:spacing w:val="22"/>
                <w:szCs w:val="21"/>
              </w:rPr>
              <w:t>运营期环境影响评价</w:t>
            </w:r>
          </w:p>
        </w:tc>
        <w:tc>
          <w:tcPr>
            <w:tcW w:w="5129" w:type="dxa"/>
            <w:vAlign w:val="center"/>
          </w:tcPr>
          <w:p w:rsidR="002A5A5E" w:rsidRPr="00F9522B" w:rsidRDefault="00611CBA">
            <w:pPr>
              <w:snapToGrid w:val="0"/>
              <w:jc w:val="center"/>
              <w:rPr>
                <w:rFonts w:eastAsiaTheme="minorEastAsia"/>
                <w:bCs/>
                <w:szCs w:val="21"/>
              </w:rPr>
            </w:pPr>
            <w:r w:rsidRPr="00F9522B">
              <w:rPr>
                <w:rFonts w:eastAsiaTheme="minorEastAsia"/>
                <w:snapToGrid w:val="0"/>
                <w:kern w:val="0"/>
              </w:rPr>
              <w:t>盐渍化、土壤肥力、潜育化、沼泽化</w:t>
            </w:r>
          </w:p>
        </w:tc>
      </w:tr>
      <w:tr w:rsidR="002A5A5E" w:rsidRPr="00F9522B">
        <w:trPr>
          <w:trHeight w:val="141"/>
          <w:jc w:val="center"/>
        </w:trPr>
        <w:tc>
          <w:tcPr>
            <w:tcW w:w="809" w:type="dxa"/>
            <w:vMerge w:val="restart"/>
            <w:vAlign w:val="center"/>
          </w:tcPr>
          <w:p w:rsidR="002A5A5E" w:rsidRPr="00F9522B" w:rsidRDefault="00611CBA">
            <w:pPr>
              <w:snapToGrid w:val="0"/>
              <w:jc w:val="center"/>
              <w:rPr>
                <w:rFonts w:eastAsiaTheme="minorEastAsia"/>
                <w:kern w:val="0"/>
                <w:szCs w:val="21"/>
              </w:rPr>
            </w:pPr>
            <w:r w:rsidRPr="00F9522B">
              <w:rPr>
                <w:rFonts w:eastAsiaTheme="minorEastAsia"/>
                <w:kern w:val="0"/>
                <w:szCs w:val="21"/>
              </w:rPr>
              <w:t>风险</w:t>
            </w:r>
          </w:p>
        </w:tc>
        <w:tc>
          <w:tcPr>
            <w:tcW w:w="2536" w:type="dxa"/>
            <w:vAlign w:val="center"/>
          </w:tcPr>
          <w:p w:rsidR="002A5A5E" w:rsidRPr="00F9522B" w:rsidRDefault="00611CBA">
            <w:pPr>
              <w:snapToGrid w:val="0"/>
              <w:jc w:val="center"/>
              <w:rPr>
                <w:rFonts w:eastAsiaTheme="minorEastAsia"/>
                <w:kern w:val="0"/>
                <w:szCs w:val="21"/>
              </w:rPr>
            </w:pPr>
            <w:r w:rsidRPr="00F9522B">
              <w:rPr>
                <w:rFonts w:eastAsiaTheme="minorEastAsia"/>
                <w:kern w:val="0"/>
                <w:szCs w:val="21"/>
              </w:rPr>
              <w:t>现状评价</w:t>
            </w:r>
          </w:p>
        </w:tc>
        <w:tc>
          <w:tcPr>
            <w:tcW w:w="5129" w:type="dxa"/>
            <w:vAlign w:val="center"/>
          </w:tcPr>
          <w:p w:rsidR="002A5A5E" w:rsidRPr="00F9522B" w:rsidRDefault="00611CBA">
            <w:pPr>
              <w:snapToGrid w:val="0"/>
              <w:jc w:val="center"/>
              <w:rPr>
                <w:rFonts w:eastAsiaTheme="minorEastAsia"/>
                <w:spacing w:val="22"/>
                <w:kern w:val="0"/>
                <w:szCs w:val="21"/>
              </w:rPr>
            </w:pPr>
            <w:r w:rsidRPr="00F9522B">
              <w:rPr>
                <w:rFonts w:eastAsiaTheme="minorEastAsia"/>
                <w:spacing w:val="22"/>
                <w:kern w:val="0"/>
                <w:szCs w:val="21"/>
              </w:rPr>
              <w:t>-</w:t>
            </w:r>
          </w:p>
        </w:tc>
      </w:tr>
      <w:tr w:rsidR="002A5A5E" w:rsidRPr="00F9522B">
        <w:trPr>
          <w:trHeight w:val="141"/>
          <w:jc w:val="center"/>
        </w:trPr>
        <w:tc>
          <w:tcPr>
            <w:tcW w:w="809" w:type="dxa"/>
            <w:vMerge/>
            <w:vAlign w:val="center"/>
          </w:tcPr>
          <w:p w:rsidR="002A5A5E" w:rsidRPr="00F9522B" w:rsidRDefault="002A5A5E">
            <w:pPr>
              <w:snapToGrid w:val="0"/>
              <w:jc w:val="center"/>
              <w:rPr>
                <w:rFonts w:eastAsiaTheme="minorEastAsia"/>
                <w:kern w:val="0"/>
                <w:szCs w:val="21"/>
              </w:rPr>
            </w:pPr>
          </w:p>
        </w:tc>
        <w:tc>
          <w:tcPr>
            <w:tcW w:w="2536" w:type="dxa"/>
            <w:vAlign w:val="center"/>
          </w:tcPr>
          <w:p w:rsidR="002A5A5E" w:rsidRPr="00F9522B" w:rsidRDefault="00611CBA">
            <w:pPr>
              <w:tabs>
                <w:tab w:val="left" w:leader="middleDot" w:pos="7371"/>
              </w:tabs>
              <w:jc w:val="center"/>
              <w:rPr>
                <w:rFonts w:eastAsiaTheme="minorEastAsia"/>
                <w:spacing w:val="22"/>
                <w:szCs w:val="21"/>
              </w:rPr>
            </w:pPr>
            <w:r w:rsidRPr="00F9522B">
              <w:rPr>
                <w:rFonts w:eastAsiaTheme="minorEastAsia"/>
                <w:spacing w:val="22"/>
                <w:szCs w:val="21"/>
              </w:rPr>
              <w:t>施工期环境影响评价</w:t>
            </w:r>
          </w:p>
        </w:tc>
        <w:tc>
          <w:tcPr>
            <w:tcW w:w="5129" w:type="dxa"/>
            <w:vAlign w:val="center"/>
          </w:tcPr>
          <w:p w:rsidR="002A5A5E" w:rsidRPr="00F9522B" w:rsidRDefault="00611CBA">
            <w:pPr>
              <w:snapToGrid w:val="0"/>
              <w:jc w:val="center"/>
              <w:rPr>
                <w:rFonts w:eastAsiaTheme="minorEastAsia"/>
                <w:spacing w:val="22"/>
                <w:kern w:val="0"/>
                <w:szCs w:val="21"/>
              </w:rPr>
            </w:pPr>
            <w:r w:rsidRPr="00F9522B">
              <w:rPr>
                <w:rFonts w:eastAsiaTheme="minorEastAsia"/>
                <w:spacing w:val="22"/>
                <w:kern w:val="0"/>
                <w:szCs w:val="21"/>
              </w:rPr>
              <w:t>-</w:t>
            </w:r>
          </w:p>
        </w:tc>
      </w:tr>
      <w:tr w:rsidR="002A5A5E" w:rsidRPr="00F9522B">
        <w:trPr>
          <w:trHeight w:val="141"/>
          <w:jc w:val="center"/>
        </w:trPr>
        <w:tc>
          <w:tcPr>
            <w:tcW w:w="809" w:type="dxa"/>
            <w:vMerge/>
            <w:vAlign w:val="center"/>
          </w:tcPr>
          <w:p w:rsidR="002A5A5E" w:rsidRPr="00F9522B" w:rsidRDefault="002A5A5E">
            <w:pPr>
              <w:snapToGrid w:val="0"/>
              <w:jc w:val="center"/>
              <w:rPr>
                <w:rFonts w:eastAsiaTheme="minorEastAsia"/>
                <w:kern w:val="0"/>
                <w:szCs w:val="21"/>
              </w:rPr>
            </w:pPr>
          </w:p>
        </w:tc>
        <w:tc>
          <w:tcPr>
            <w:tcW w:w="2536" w:type="dxa"/>
            <w:vAlign w:val="center"/>
          </w:tcPr>
          <w:p w:rsidR="002A5A5E" w:rsidRPr="00F9522B" w:rsidRDefault="00611CBA">
            <w:pPr>
              <w:tabs>
                <w:tab w:val="left" w:leader="middleDot" w:pos="7371"/>
              </w:tabs>
              <w:jc w:val="center"/>
              <w:rPr>
                <w:rFonts w:eastAsiaTheme="minorEastAsia"/>
                <w:spacing w:val="22"/>
                <w:szCs w:val="21"/>
              </w:rPr>
            </w:pPr>
            <w:r w:rsidRPr="00F9522B">
              <w:rPr>
                <w:rFonts w:eastAsiaTheme="minorEastAsia"/>
                <w:spacing w:val="22"/>
                <w:szCs w:val="21"/>
              </w:rPr>
              <w:t>运营期环境影响评价</w:t>
            </w:r>
          </w:p>
        </w:tc>
        <w:tc>
          <w:tcPr>
            <w:tcW w:w="5129" w:type="dxa"/>
            <w:vAlign w:val="center"/>
          </w:tcPr>
          <w:p w:rsidR="002A5A5E" w:rsidRPr="00F9522B" w:rsidRDefault="00611CBA">
            <w:pPr>
              <w:snapToGrid w:val="0"/>
              <w:jc w:val="center"/>
              <w:rPr>
                <w:rFonts w:eastAsiaTheme="minorEastAsia"/>
                <w:spacing w:val="22"/>
                <w:kern w:val="0"/>
                <w:szCs w:val="21"/>
              </w:rPr>
            </w:pPr>
            <w:r w:rsidRPr="00F9522B">
              <w:rPr>
                <w:rFonts w:eastAsiaTheme="minorEastAsia"/>
                <w:spacing w:val="22"/>
                <w:kern w:val="0"/>
                <w:szCs w:val="21"/>
              </w:rPr>
              <w:t>柴油、</w:t>
            </w:r>
            <w:r w:rsidRPr="00F9522B">
              <w:rPr>
                <w:rFonts w:eastAsiaTheme="minorEastAsia"/>
                <w:snapToGrid w:val="0"/>
                <w:kern w:val="0"/>
              </w:rPr>
              <w:t>变压器油</w:t>
            </w:r>
          </w:p>
        </w:tc>
      </w:tr>
    </w:tbl>
    <w:p w:rsidR="002A5A5E" w:rsidRPr="00F9522B" w:rsidRDefault="00611CBA">
      <w:pPr>
        <w:widowControl/>
        <w:jc w:val="center"/>
        <w:rPr>
          <w:rFonts w:eastAsiaTheme="minorEastAsia"/>
          <w:b/>
          <w:szCs w:val="21"/>
        </w:rPr>
      </w:pPr>
      <w:bookmarkStart w:id="40" w:name="_Toc15991632"/>
      <w:r w:rsidRPr="00F9522B">
        <w:rPr>
          <w:rFonts w:eastAsiaTheme="minorEastAsia"/>
          <w:b/>
          <w:szCs w:val="21"/>
        </w:rPr>
        <w:t>表</w:t>
      </w:r>
      <w:r w:rsidRPr="00F9522B">
        <w:rPr>
          <w:rFonts w:eastAsiaTheme="minorEastAsia"/>
          <w:b/>
          <w:szCs w:val="21"/>
        </w:rPr>
        <w:t xml:space="preserve">2.4-4 </w:t>
      </w:r>
      <w:r w:rsidRPr="00F9522B">
        <w:rPr>
          <w:rFonts w:eastAsiaTheme="minorEastAsia"/>
          <w:b/>
          <w:szCs w:val="21"/>
        </w:rPr>
        <w:t>本项目生态评价因子</w:t>
      </w:r>
    </w:p>
    <w:tbl>
      <w:tblPr>
        <w:tblW w:w="0" w:type="auto"/>
        <w:jc w:val="center"/>
        <w:tblBorders>
          <w:top w:val="single" w:sz="12" w:space="0" w:color="auto"/>
          <w:bottom w:val="single" w:sz="12" w:space="0" w:color="auto"/>
          <w:insideH w:val="single" w:sz="4" w:space="0" w:color="auto"/>
          <w:insideV w:val="single" w:sz="4" w:space="0" w:color="auto"/>
        </w:tblBorders>
        <w:tblLook w:val="04A0"/>
      </w:tblPr>
      <w:tblGrid>
        <w:gridCol w:w="959"/>
        <w:gridCol w:w="1276"/>
        <w:gridCol w:w="4536"/>
        <w:gridCol w:w="985"/>
        <w:gridCol w:w="766"/>
      </w:tblGrid>
      <w:tr w:rsidR="002A5A5E" w:rsidRPr="00F9522B" w:rsidTr="00933248">
        <w:trPr>
          <w:jc w:val="center"/>
        </w:trPr>
        <w:tc>
          <w:tcPr>
            <w:tcW w:w="959" w:type="dxa"/>
            <w:vAlign w:val="center"/>
          </w:tcPr>
          <w:p w:rsidR="002A5A5E" w:rsidRPr="00F9522B" w:rsidRDefault="00611CBA">
            <w:pPr>
              <w:spacing w:line="0" w:lineRule="atLeast"/>
              <w:jc w:val="center"/>
              <w:rPr>
                <w:rFonts w:eastAsiaTheme="minorEastAsia"/>
                <w:kern w:val="0"/>
                <w:szCs w:val="21"/>
                <w:lang w:bidi="zh-TW"/>
              </w:rPr>
            </w:pPr>
            <w:r w:rsidRPr="00F9522B">
              <w:rPr>
                <w:rFonts w:eastAsiaTheme="minorEastAsia"/>
                <w:kern w:val="0"/>
                <w:szCs w:val="21"/>
                <w:lang w:bidi="zh-TW"/>
              </w:rPr>
              <w:t>受影响</w:t>
            </w:r>
          </w:p>
          <w:p w:rsidR="002A5A5E" w:rsidRPr="00F9522B" w:rsidRDefault="00611CBA">
            <w:pPr>
              <w:spacing w:line="0" w:lineRule="atLeast"/>
              <w:jc w:val="center"/>
              <w:rPr>
                <w:rFonts w:eastAsiaTheme="minorEastAsia"/>
                <w:kern w:val="0"/>
                <w:szCs w:val="21"/>
                <w:lang w:bidi="zh-TW"/>
              </w:rPr>
            </w:pPr>
            <w:r w:rsidRPr="00F9522B">
              <w:rPr>
                <w:rFonts w:eastAsiaTheme="minorEastAsia"/>
                <w:kern w:val="0"/>
                <w:szCs w:val="21"/>
                <w:lang w:bidi="zh-TW"/>
              </w:rPr>
              <w:t>对象</w:t>
            </w:r>
          </w:p>
        </w:tc>
        <w:tc>
          <w:tcPr>
            <w:tcW w:w="1276" w:type="dxa"/>
            <w:vAlign w:val="center"/>
          </w:tcPr>
          <w:p w:rsidR="002A5A5E" w:rsidRPr="00F9522B" w:rsidRDefault="00611CBA">
            <w:pPr>
              <w:spacing w:line="0" w:lineRule="atLeast"/>
              <w:jc w:val="center"/>
              <w:rPr>
                <w:rFonts w:eastAsiaTheme="minorEastAsia"/>
                <w:kern w:val="0"/>
                <w:szCs w:val="21"/>
                <w:lang w:bidi="zh-TW"/>
              </w:rPr>
            </w:pPr>
            <w:r w:rsidRPr="00F9522B">
              <w:rPr>
                <w:rFonts w:eastAsiaTheme="minorEastAsia"/>
                <w:kern w:val="0"/>
                <w:szCs w:val="21"/>
                <w:lang w:bidi="zh-TW"/>
              </w:rPr>
              <w:t>评价因子</w:t>
            </w:r>
          </w:p>
        </w:tc>
        <w:tc>
          <w:tcPr>
            <w:tcW w:w="4536" w:type="dxa"/>
            <w:vAlign w:val="center"/>
          </w:tcPr>
          <w:p w:rsidR="002A5A5E" w:rsidRPr="00F9522B" w:rsidRDefault="00611CBA">
            <w:pPr>
              <w:spacing w:line="0" w:lineRule="atLeast"/>
              <w:jc w:val="center"/>
              <w:rPr>
                <w:rFonts w:eastAsiaTheme="minorEastAsia"/>
                <w:kern w:val="0"/>
                <w:szCs w:val="21"/>
                <w:lang w:bidi="zh-TW"/>
              </w:rPr>
            </w:pPr>
            <w:r w:rsidRPr="00F9522B">
              <w:rPr>
                <w:rFonts w:eastAsiaTheme="minorEastAsia"/>
                <w:kern w:val="0"/>
                <w:szCs w:val="21"/>
                <w:lang w:bidi="zh-TW"/>
              </w:rPr>
              <w:t>工程内容及影响方式</w:t>
            </w:r>
          </w:p>
        </w:tc>
        <w:tc>
          <w:tcPr>
            <w:tcW w:w="985" w:type="dxa"/>
            <w:vAlign w:val="center"/>
          </w:tcPr>
          <w:p w:rsidR="002A5A5E" w:rsidRPr="00F9522B" w:rsidRDefault="00611CBA">
            <w:pPr>
              <w:spacing w:line="0" w:lineRule="atLeast"/>
              <w:jc w:val="center"/>
              <w:rPr>
                <w:rFonts w:eastAsiaTheme="minorEastAsia"/>
                <w:kern w:val="0"/>
                <w:szCs w:val="21"/>
                <w:lang w:bidi="zh-TW"/>
              </w:rPr>
            </w:pPr>
            <w:r w:rsidRPr="00F9522B">
              <w:rPr>
                <w:rFonts w:eastAsiaTheme="minorEastAsia"/>
                <w:kern w:val="0"/>
                <w:szCs w:val="21"/>
                <w:lang w:bidi="zh-TW"/>
              </w:rPr>
              <w:t>影响性质</w:t>
            </w:r>
          </w:p>
        </w:tc>
        <w:tc>
          <w:tcPr>
            <w:tcW w:w="766" w:type="dxa"/>
            <w:vAlign w:val="center"/>
          </w:tcPr>
          <w:p w:rsidR="002A5A5E" w:rsidRPr="00F9522B" w:rsidRDefault="00611CBA">
            <w:pPr>
              <w:spacing w:line="0" w:lineRule="atLeast"/>
              <w:jc w:val="center"/>
              <w:rPr>
                <w:rFonts w:eastAsiaTheme="minorEastAsia"/>
                <w:kern w:val="0"/>
                <w:szCs w:val="21"/>
                <w:lang w:bidi="zh-TW"/>
              </w:rPr>
            </w:pPr>
            <w:r w:rsidRPr="00F9522B">
              <w:rPr>
                <w:rFonts w:eastAsiaTheme="minorEastAsia"/>
                <w:kern w:val="0"/>
                <w:szCs w:val="21"/>
                <w:lang w:bidi="zh-TW"/>
              </w:rPr>
              <w:t>影响程度</w:t>
            </w:r>
          </w:p>
        </w:tc>
      </w:tr>
      <w:tr w:rsidR="002A5A5E" w:rsidRPr="00F9522B" w:rsidTr="00933248">
        <w:trPr>
          <w:trHeight w:val="611"/>
          <w:jc w:val="center"/>
        </w:trPr>
        <w:tc>
          <w:tcPr>
            <w:tcW w:w="959" w:type="dxa"/>
            <w:vMerge w:val="restart"/>
            <w:vAlign w:val="center"/>
          </w:tcPr>
          <w:p w:rsidR="002A5A5E" w:rsidRPr="00F9522B" w:rsidRDefault="00611CBA">
            <w:pPr>
              <w:spacing w:line="0" w:lineRule="atLeast"/>
              <w:jc w:val="center"/>
              <w:rPr>
                <w:rFonts w:eastAsiaTheme="minorEastAsia"/>
                <w:kern w:val="0"/>
                <w:szCs w:val="21"/>
                <w:lang w:bidi="zh-TW"/>
              </w:rPr>
            </w:pPr>
            <w:r w:rsidRPr="00F9522B">
              <w:rPr>
                <w:rFonts w:eastAsiaTheme="minorEastAsia"/>
                <w:kern w:val="0"/>
                <w:szCs w:val="21"/>
                <w:lang w:bidi="zh-TW"/>
              </w:rPr>
              <w:t>物种</w:t>
            </w:r>
          </w:p>
        </w:tc>
        <w:tc>
          <w:tcPr>
            <w:tcW w:w="1276" w:type="dxa"/>
            <w:vMerge w:val="restart"/>
            <w:vAlign w:val="center"/>
          </w:tcPr>
          <w:p w:rsidR="002A5A5E" w:rsidRPr="00F9522B" w:rsidRDefault="00611CBA">
            <w:pPr>
              <w:spacing w:line="0" w:lineRule="atLeast"/>
              <w:jc w:val="center"/>
              <w:rPr>
                <w:rFonts w:eastAsiaTheme="minorEastAsia"/>
                <w:kern w:val="0"/>
                <w:szCs w:val="21"/>
                <w:lang w:bidi="zh-TW"/>
              </w:rPr>
            </w:pPr>
            <w:r w:rsidRPr="00F9522B">
              <w:rPr>
                <w:rFonts w:eastAsiaTheme="minorEastAsia"/>
                <w:kern w:val="0"/>
                <w:szCs w:val="21"/>
                <w:lang w:bidi="zh-TW"/>
              </w:rPr>
              <w:t>分布范围、种群结构、行为</w:t>
            </w:r>
          </w:p>
        </w:tc>
        <w:tc>
          <w:tcPr>
            <w:tcW w:w="4536" w:type="dxa"/>
            <w:vAlign w:val="center"/>
          </w:tcPr>
          <w:p w:rsidR="002A5A5E" w:rsidRPr="00F9522B" w:rsidRDefault="00611CBA">
            <w:pPr>
              <w:widowControl/>
              <w:autoSpaceDE w:val="0"/>
              <w:autoSpaceDN w:val="0"/>
              <w:adjustRightInd w:val="0"/>
              <w:snapToGrid w:val="0"/>
              <w:textAlignment w:val="baseline"/>
              <w:rPr>
                <w:rFonts w:eastAsiaTheme="minorEastAsia"/>
                <w:snapToGrid w:val="0"/>
                <w:kern w:val="0"/>
                <w:szCs w:val="21"/>
              </w:rPr>
            </w:pPr>
            <w:r w:rsidRPr="00F9522B">
              <w:rPr>
                <w:rFonts w:eastAsiaTheme="minorEastAsia"/>
                <w:snapToGrid w:val="0"/>
                <w:kern w:val="0"/>
                <w:szCs w:val="21"/>
              </w:rPr>
              <w:t>工程内容：永久占地扰动原地表，改变占地区土地利用现状，植物个体损失，植被生物量减少，动物生境破坏等；农田退水对承泄区水生生态影响</w:t>
            </w:r>
          </w:p>
          <w:p w:rsidR="002A5A5E" w:rsidRPr="00F9522B" w:rsidRDefault="00611CBA">
            <w:pPr>
              <w:spacing w:line="0" w:lineRule="atLeast"/>
              <w:rPr>
                <w:rFonts w:eastAsiaTheme="minorEastAsia"/>
                <w:kern w:val="0"/>
                <w:szCs w:val="21"/>
                <w:lang w:bidi="zh-TW"/>
              </w:rPr>
            </w:pPr>
            <w:r w:rsidRPr="00F9522B">
              <w:rPr>
                <w:rFonts w:eastAsiaTheme="minorEastAsia"/>
                <w:snapToGrid w:val="0"/>
                <w:kern w:val="0"/>
                <w:szCs w:val="21"/>
              </w:rPr>
              <w:t>影响方式：直接影响</w:t>
            </w:r>
          </w:p>
        </w:tc>
        <w:tc>
          <w:tcPr>
            <w:tcW w:w="985" w:type="dxa"/>
            <w:vAlign w:val="center"/>
          </w:tcPr>
          <w:p w:rsidR="002A5A5E" w:rsidRPr="00F9522B" w:rsidRDefault="00611CBA">
            <w:pPr>
              <w:spacing w:line="0" w:lineRule="atLeast"/>
              <w:jc w:val="center"/>
              <w:rPr>
                <w:rFonts w:eastAsiaTheme="minorEastAsia"/>
                <w:kern w:val="0"/>
                <w:szCs w:val="21"/>
                <w:lang w:bidi="zh-TW"/>
              </w:rPr>
            </w:pPr>
            <w:r w:rsidRPr="00F9522B">
              <w:rPr>
                <w:rFonts w:eastAsiaTheme="minorEastAsia"/>
              </w:rPr>
              <w:t>长期、不可逆</w:t>
            </w:r>
          </w:p>
        </w:tc>
        <w:tc>
          <w:tcPr>
            <w:tcW w:w="766" w:type="dxa"/>
            <w:vMerge w:val="restart"/>
            <w:vAlign w:val="center"/>
          </w:tcPr>
          <w:p w:rsidR="002A5A5E" w:rsidRPr="00F9522B" w:rsidRDefault="00611CBA">
            <w:pPr>
              <w:spacing w:line="0" w:lineRule="atLeast"/>
              <w:jc w:val="center"/>
              <w:rPr>
                <w:rFonts w:eastAsiaTheme="minorEastAsia"/>
                <w:kern w:val="0"/>
                <w:szCs w:val="21"/>
                <w:lang w:bidi="zh-TW"/>
              </w:rPr>
            </w:pPr>
            <w:r w:rsidRPr="00F9522B">
              <w:rPr>
                <w:rFonts w:eastAsiaTheme="minorEastAsia"/>
                <w:kern w:val="0"/>
                <w:szCs w:val="21"/>
                <w:lang w:bidi="zh-TW"/>
              </w:rPr>
              <w:t>小</w:t>
            </w:r>
          </w:p>
        </w:tc>
      </w:tr>
      <w:tr w:rsidR="002A5A5E" w:rsidRPr="00F9522B" w:rsidTr="00933248">
        <w:trPr>
          <w:trHeight w:val="611"/>
          <w:jc w:val="center"/>
        </w:trPr>
        <w:tc>
          <w:tcPr>
            <w:tcW w:w="959" w:type="dxa"/>
            <w:vMerge/>
            <w:vAlign w:val="center"/>
          </w:tcPr>
          <w:p w:rsidR="002A5A5E" w:rsidRPr="00F9522B" w:rsidRDefault="002A5A5E">
            <w:pPr>
              <w:spacing w:line="0" w:lineRule="atLeast"/>
              <w:jc w:val="center"/>
              <w:rPr>
                <w:rFonts w:eastAsiaTheme="minorEastAsia"/>
                <w:kern w:val="0"/>
                <w:szCs w:val="21"/>
                <w:lang w:bidi="zh-TW"/>
              </w:rPr>
            </w:pPr>
          </w:p>
        </w:tc>
        <w:tc>
          <w:tcPr>
            <w:tcW w:w="1276" w:type="dxa"/>
            <w:vMerge/>
            <w:vAlign w:val="center"/>
          </w:tcPr>
          <w:p w:rsidR="002A5A5E" w:rsidRPr="00F9522B" w:rsidRDefault="002A5A5E">
            <w:pPr>
              <w:spacing w:line="0" w:lineRule="atLeast"/>
              <w:jc w:val="center"/>
              <w:rPr>
                <w:rFonts w:eastAsiaTheme="minorEastAsia"/>
                <w:kern w:val="0"/>
                <w:szCs w:val="21"/>
                <w:lang w:bidi="zh-TW"/>
              </w:rPr>
            </w:pPr>
          </w:p>
        </w:tc>
        <w:tc>
          <w:tcPr>
            <w:tcW w:w="4536" w:type="dxa"/>
            <w:vAlign w:val="center"/>
          </w:tcPr>
          <w:p w:rsidR="002A5A5E" w:rsidRPr="00F9522B" w:rsidRDefault="00611CBA">
            <w:pPr>
              <w:widowControl/>
              <w:autoSpaceDE w:val="0"/>
              <w:autoSpaceDN w:val="0"/>
              <w:adjustRightInd w:val="0"/>
              <w:snapToGrid w:val="0"/>
              <w:textAlignment w:val="baseline"/>
              <w:rPr>
                <w:rFonts w:eastAsiaTheme="minorEastAsia"/>
                <w:snapToGrid w:val="0"/>
                <w:kern w:val="0"/>
                <w:szCs w:val="21"/>
              </w:rPr>
            </w:pPr>
            <w:r w:rsidRPr="00F9522B">
              <w:rPr>
                <w:rFonts w:eastAsiaTheme="minorEastAsia"/>
                <w:snapToGrid w:val="0"/>
                <w:kern w:val="0"/>
                <w:szCs w:val="21"/>
              </w:rPr>
              <w:t>工程内容：施工临时占地等</w:t>
            </w:r>
          </w:p>
          <w:p w:rsidR="002A5A5E" w:rsidRPr="00F9522B" w:rsidRDefault="00611CBA">
            <w:pPr>
              <w:spacing w:line="0" w:lineRule="atLeast"/>
              <w:rPr>
                <w:rFonts w:eastAsiaTheme="minorEastAsia"/>
                <w:kern w:val="0"/>
                <w:szCs w:val="21"/>
                <w:lang w:bidi="zh-TW"/>
              </w:rPr>
            </w:pPr>
            <w:r w:rsidRPr="00F9522B">
              <w:rPr>
                <w:rFonts w:eastAsiaTheme="minorEastAsia"/>
                <w:snapToGrid w:val="0"/>
                <w:kern w:val="0"/>
                <w:szCs w:val="21"/>
              </w:rPr>
              <w:t>影响方式：直接影响</w:t>
            </w:r>
          </w:p>
        </w:tc>
        <w:tc>
          <w:tcPr>
            <w:tcW w:w="985" w:type="dxa"/>
            <w:vAlign w:val="center"/>
          </w:tcPr>
          <w:p w:rsidR="002A5A5E" w:rsidRPr="00F9522B" w:rsidRDefault="00611CBA">
            <w:pPr>
              <w:spacing w:line="0" w:lineRule="atLeast"/>
              <w:jc w:val="center"/>
              <w:rPr>
                <w:rFonts w:eastAsiaTheme="minorEastAsia"/>
                <w:kern w:val="0"/>
                <w:szCs w:val="21"/>
                <w:lang w:bidi="zh-TW"/>
              </w:rPr>
            </w:pPr>
            <w:r w:rsidRPr="00F9522B">
              <w:rPr>
                <w:rFonts w:eastAsiaTheme="minorEastAsia"/>
                <w:kern w:val="0"/>
                <w:szCs w:val="21"/>
                <w:lang w:bidi="zh-TW"/>
              </w:rPr>
              <w:t>短期、可逆</w:t>
            </w:r>
          </w:p>
        </w:tc>
        <w:tc>
          <w:tcPr>
            <w:tcW w:w="766" w:type="dxa"/>
            <w:vMerge/>
            <w:vAlign w:val="center"/>
          </w:tcPr>
          <w:p w:rsidR="002A5A5E" w:rsidRPr="00F9522B" w:rsidRDefault="002A5A5E">
            <w:pPr>
              <w:spacing w:line="0" w:lineRule="atLeast"/>
              <w:jc w:val="center"/>
              <w:rPr>
                <w:rFonts w:eastAsiaTheme="minorEastAsia"/>
                <w:kern w:val="0"/>
                <w:szCs w:val="21"/>
                <w:lang w:bidi="zh-TW"/>
              </w:rPr>
            </w:pPr>
          </w:p>
        </w:tc>
      </w:tr>
      <w:tr w:rsidR="002A5A5E" w:rsidRPr="00F9522B" w:rsidTr="00933248">
        <w:trPr>
          <w:trHeight w:val="151"/>
          <w:jc w:val="center"/>
        </w:trPr>
        <w:tc>
          <w:tcPr>
            <w:tcW w:w="959" w:type="dxa"/>
            <w:vMerge w:val="restart"/>
            <w:vAlign w:val="center"/>
          </w:tcPr>
          <w:p w:rsidR="002A5A5E" w:rsidRPr="00F9522B" w:rsidRDefault="00611CBA">
            <w:pPr>
              <w:spacing w:line="0" w:lineRule="atLeast"/>
              <w:jc w:val="center"/>
              <w:rPr>
                <w:rFonts w:eastAsiaTheme="minorEastAsia"/>
                <w:kern w:val="0"/>
                <w:szCs w:val="21"/>
                <w:lang w:bidi="zh-TW"/>
              </w:rPr>
            </w:pPr>
            <w:r w:rsidRPr="00F9522B">
              <w:rPr>
                <w:rFonts w:eastAsiaTheme="minorEastAsia"/>
                <w:szCs w:val="21"/>
              </w:rPr>
              <w:t>生境</w:t>
            </w:r>
          </w:p>
        </w:tc>
        <w:tc>
          <w:tcPr>
            <w:tcW w:w="1276" w:type="dxa"/>
            <w:vMerge w:val="restart"/>
            <w:vAlign w:val="center"/>
          </w:tcPr>
          <w:p w:rsidR="002A5A5E" w:rsidRPr="00F9522B" w:rsidRDefault="00611CBA">
            <w:pPr>
              <w:spacing w:line="0" w:lineRule="atLeast"/>
              <w:jc w:val="center"/>
              <w:rPr>
                <w:rFonts w:eastAsiaTheme="minorEastAsia"/>
                <w:kern w:val="0"/>
                <w:szCs w:val="21"/>
                <w:lang w:bidi="zh-TW"/>
              </w:rPr>
            </w:pPr>
            <w:r w:rsidRPr="00F9522B">
              <w:rPr>
                <w:rFonts w:eastAsiaTheme="minorEastAsia"/>
                <w:szCs w:val="21"/>
              </w:rPr>
              <w:t>生境质量</w:t>
            </w:r>
          </w:p>
        </w:tc>
        <w:tc>
          <w:tcPr>
            <w:tcW w:w="4536" w:type="dxa"/>
            <w:vAlign w:val="center"/>
          </w:tcPr>
          <w:p w:rsidR="002A5A5E" w:rsidRPr="00F9522B" w:rsidRDefault="00611CBA">
            <w:pPr>
              <w:widowControl/>
              <w:autoSpaceDE w:val="0"/>
              <w:autoSpaceDN w:val="0"/>
              <w:adjustRightInd w:val="0"/>
              <w:snapToGrid w:val="0"/>
              <w:textAlignment w:val="baseline"/>
              <w:rPr>
                <w:rFonts w:eastAsiaTheme="minorEastAsia"/>
                <w:snapToGrid w:val="0"/>
                <w:kern w:val="0"/>
                <w:szCs w:val="21"/>
              </w:rPr>
            </w:pPr>
            <w:r w:rsidRPr="00F9522B">
              <w:rPr>
                <w:rFonts w:eastAsiaTheme="minorEastAsia"/>
                <w:snapToGrid w:val="0"/>
                <w:kern w:val="0"/>
                <w:szCs w:val="21"/>
              </w:rPr>
              <w:t>工程内容：永久占地扰动原地表，改变占地区土地利用现状，影响</w:t>
            </w:r>
            <w:r w:rsidRPr="00F9522B">
              <w:rPr>
                <w:rFonts w:eastAsiaTheme="minorEastAsia"/>
                <w:szCs w:val="21"/>
              </w:rPr>
              <w:t>生境质量；</w:t>
            </w:r>
            <w:r w:rsidRPr="00F9522B">
              <w:rPr>
                <w:rFonts w:eastAsiaTheme="minorEastAsia"/>
                <w:snapToGrid w:val="0"/>
                <w:kern w:val="0"/>
                <w:szCs w:val="21"/>
              </w:rPr>
              <w:t>农田退水对承泄区水生生态影响</w:t>
            </w:r>
          </w:p>
          <w:p w:rsidR="002A5A5E" w:rsidRPr="00F9522B" w:rsidRDefault="00611CBA">
            <w:pPr>
              <w:spacing w:line="0" w:lineRule="atLeast"/>
              <w:rPr>
                <w:rFonts w:eastAsiaTheme="minorEastAsia"/>
                <w:kern w:val="0"/>
                <w:szCs w:val="21"/>
                <w:lang w:bidi="zh-TW"/>
              </w:rPr>
            </w:pPr>
            <w:r w:rsidRPr="00F9522B">
              <w:rPr>
                <w:rFonts w:eastAsiaTheme="minorEastAsia"/>
                <w:snapToGrid w:val="0"/>
                <w:kern w:val="0"/>
                <w:szCs w:val="21"/>
              </w:rPr>
              <w:t>影响方式：直接影响</w:t>
            </w:r>
          </w:p>
        </w:tc>
        <w:tc>
          <w:tcPr>
            <w:tcW w:w="985" w:type="dxa"/>
            <w:vAlign w:val="center"/>
          </w:tcPr>
          <w:p w:rsidR="002A5A5E" w:rsidRPr="00F9522B" w:rsidRDefault="00611CBA">
            <w:pPr>
              <w:spacing w:line="0" w:lineRule="atLeast"/>
              <w:jc w:val="center"/>
              <w:rPr>
                <w:rFonts w:eastAsiaTheme="minorEastAsia"/>
                <w:kern w:val="0"/>
                <w:szCs w:val="21"/>
                <w:lang w:bidi="zh-TW"/>
              </w:rPr>
            </w:pPr>
            <w:r w:rsidRPr="00F9522B">
              <w:rPr>
                <w:rFonts w:eastAsiaTheme="minorEastAsia"/>
              </w:rPr>
              <w:t>长期、不可逆</w:t>
            </w:r>
          </w:p>
        </w:tc>
        <w:tc>
          <w:tcPr>
            <w:tcW w:w="766" w:type="dxa"/>
            <w:vMerge w:val="restart"/>
            <w:vAlign w:val="center"/>
          </w:tcPr>
          <w:p w:rsidR="002A5A5E" w:rsidRPr="00F9522B" w:rsidRDefault="00611CBA">
            <w:pPr>
              <w:spacing w:line="0" w:lineRule="atLeast"/>
              <w:jc w:val="center"/>
              <w:rPr>
                <w:rFonts w:eastAsiaTheme="minorEastAsia"/>
                <w:kern w:val="0"/>
                <w:szCs w:val="21"/>
                <w:lang w:bidi="zh-TW"/>
              </w:rPr>
            </w:pPr>
            <w:r w:rsidRPr="00F9522B">
              <w:rPr>
                <w:rFonts w:eastAsiaTheme="minorEastAsia"/>
                <w:kern w:val="0"/>
                <w:szCs w:val="21"/>
                <w:lang w:bidi="zh-TW"/>
              </w:rPr>
              <w:t>小</w:t>
            </w:r>
          </w:p>
        </w:tc>
      </w:tr>
      <w:tr w:rsidR="002A5A5E" w:rsidRPr="00F9522B" w:rsidTr="00933248">
        <w:trPr>
          <w:trHeight w:val="475"/>
          <w:jc w:val="center"/>
        </w:trPr>
        <w:tc>
          <w:tcPr>
            <w:tcW w:w="959" w:type="dxa"/>
            <w:vMerge/>
            <w:vAlign w:val="center"/>
          </w:tcPr>
          <w:p w:rsidR="002A5A5E" w:rsidRPr="00F9522B" w:rsidRDefault="002A5A5E">
            <w:pPr>
              <w:spacing w:line="0" w:lineRule="atLeast"/>
              <w:jc w:val="center"/>
              <w:rPr>
                <w:rFonts w:eastAsiaTheme="minorEastAsia"/>
                <w:szCs w:val="21"/>
              </w:rPr>
            </w:pPr>
          </w:p>
        </w:tc>
        <w:tc>
          <w:tcPr>
            <w:tcW w:w="1276" w:type="dxa"/>
            <w:vMerge/>
            <w:vAlign w:val="center"/>
          </w:tcPr>
          <w:p w:rsidR="002A5A5E" w:rsidRPr="00F9522B" w:rsidRDefault="002A5A5E">
            <w:pPr>
              <w:spacing w:line="0" w:lineRule="atLeast"/>
              <w:jc w:val="center"/>
              <w:rPr>
                <w:rFonts w:eastAsiaTheme="minorEastAsia"/>
                <w:szCs w:val="21"/>
              </w:rPr>
            </w:pPr>
          </w:p>
        </w:tc>
        <w:tc>
          <w:tcPr>
            <w:tcW w:w="4536" w:type="dxa"/>
            <w:vAlign w:val="center"/>
          </w:tcPr>
          <w:p w:rsidR="002A5A5E" w:rsidRPr="00F9522B" w:rsidRDefault="00611CBA">
            <w:pPr>
              <w:widowControl/>
              <w:autoSpaceDE w:val="0"/>
              <w:autoSpaceDN w:val="0"/>
              <w:adjustRightInd w:val="0"/>
              <w:snapToGrid w:val="0"/>
              <w:textAlignment w:val="baseline"/>
              <w:rPr>
                <w:rFonts w:eastAsiaTheme="minorEastAsia"/>
                <w:snapToGrid w:val="0"/>
                <w:kern w:val="0"/>
                <w:szCs w:val="21"/>
              </w:rPr>
            </w:pPr>
            <w:r w:rsidRPr="00F9522B">
              <w:rPr>
                <w:rFonts w:eastAsiaTheme="minorEastAsia"/>
                <w:snapToGrid w:val="0"/>
                <w:kern w:val="0"/>
                <w:szCs w:val="21"/>
              </w:rPr>
              <w:t>工程内容：施工临时占地、施工扬尘、噪声等</w:t>
            </w:r>
          </w:p>
          <w:p w:rsidR="002A5A5E" w:rsidRPr="00F9522B" w:rsidRDefault="00611CBA">
            <w:pPr>
              <w:spacing w:line="0" w:lineRule="atLeast"/>
              <w:rPr>
                <w:rFonts w:eastAsiaTheme="minorEastAsia"/>
                <w:kern w:val="0"/>
                <w:szCs w:val="21"/>
                <w:lang w:bidi="zh-TW"/>
              </w:rPr>
            </w:pPr>
            <w:r w:rsidRPr="00F9522B">
              <w:rPr>
                <w:rFonts w:eastAsiaTheme="minorEastAsia"/>
                <w:snapToGrid w:val="0"/>
                <w:kern w:val="0"/>
                <w:szCs w:val="21"/>
              </w:rPr>
              <w:t>影响方式：直接影响</w:t>
            </w:r>
          </w:p>
        </w:tc>
        <w:tc>
          <w:tcPr>
            <w:tcW w:w="985" w:type="dxa"/>
            <w:vAlign w:val="center"/>
          </w:tcPr>
          <w:p w:rsidR="002A5A5E" w:rsidRPr="00F9522B" w:rsidRDefault="00611CBA">
            <w:pPr>
              <w:spacing w:line="0" w:lineRule="atLeast"/>
              <w:jc w:val="center"/>
              <w:rPr>
                <w:rFonts w:eastAsiaTheme="minorEastAsia"/>
                <w:kern w:val="0"/>
                <w:szCs w:val="21"/>
                <w:lang w:bidi="zh-TW"/>
              </w:rPr>
            </w:pPr>
            <w:r w:rsidRPr="00F9522B">
              <w:rPr>
                <w:rFonts w:eastAsiaTheme="minorEastAsia"/>
                <w:kern w:val="0"/>
                <w:szCs w:val="21"/>
                <w:lang w:bidi="zh-TW"/>
              </w:rPr>
              <w:t>短期、可逆</w:t>
            </w:r>
          </w:p>
        </w:tc>
        <w:tc>
          <w:tcPr>
            <w:tcW w:w="766" w:type="dxa"/>
            <w:vMerge/>
            <w:vAlign w:val="center"/>
          </w:tcPr>
          <w:p w:rsidR="002A5A5E" w:rsidRPr="00F9522B" w:rsidRDefault="002A5A5E">
            <w:pPr>
              <w:spacing w:line="0" w:lineRule="atLeast"/>
              <w:jc w:val="center"/>
              <w:rPr>
                <w:rFonts w:eastAsiaTheme="minorEastAsia"/>
                <w:kern w:val="0"/>
                <w:szCs w:val="21"/>
                <w:lang w:bidi="zh-TW"/>
              </w:rPr>
            </w:pPr>
          </w:p>
        </w:tc>
      </w:tr>
      <w:tr w:rsidR="002A5A5E" w:rsidRPr="00F9522B" w:rsidTr="00933248">
        <w:trPr>
          <w:trHeight w:val="151"/>
          <w:jc w:val="center"/>
        </w:trPr>
        <w:tc>
          <w:tcPr>
            <w:tcW w:w="959" w:type="dxa"/>
            <w:vMerge w:val="restart"/>
            <w:vAlign w:val="center"/>
          </w:tcPr>
          <w:p w:rsidR="002A5A5E" w:rsidRPr="00F9522B" w:rsidRDefault="00611CBA">
            <w:pPr>
              <w:spacing w:line="0" w:lineRule="atLeast"/>
              <w:jc w:val="center"/>
              <w:rPr>
                <w:rFonts w:eastAsiaTheme="minorEastAsia"/>
                <w:kern w:val="0"/>
                <w:szCs w:val="21"/>
                <w:lang w:bidi="zh-TW"/>
              </w:rPr>
            </w:pPr>
            <w:r w:rsidRPr="00F9522B">
              <w:rPr>
                <w:rFonts w:eastAsiaTheme="minorEastAsia"/>
                <w:kern w:val="0"/>
                <w:szCs w:val="21"/>
                <w:lang w:bidi="zh-TW"/>
              </w:rPr>
              <w:t>生物群落</w:t>
            </w:r>
          </w:p>
        </w:tc>
        <w:tc>
          <w:tcPr>
            <w:tcW w:w="1276" w:type="dxa"/>
            <w:vMerge w:val="restart"/>
            <w:vAlign w:val="center"/>
          </w:tcPr>
          <w:p w:rsidR="002A5A5E" w:rsidRPr="00F9522B" w:rsidRDefault="00611CBA">
            <w:pPr>
              <w:spacing w:line="0" w:lineRule="atLeast"/>
              <w:jc w:val="center"/>
              <w:rPr>
                <w:rFonts w:eastAsiaTheme="minorEastAsia"/>
                <w:kern w:val="0"/>
                <w:szCs w:val="21"/>
                <w:lang w:bidi="zh-TW"/>
              </w:rPr>
            </w:pPr>
            <w:r w:rsidRPr="00F9522B">
              <w:rPr>
                <w:rFonts w:eastAsiaTheme="minorEastAsia"/>
                <w:kern w:val="0"/>
                <w:szCs w:val="21"/>
                <w:lang w:bidi="zh-TW"/>
              </w:rPr>
              <w:t>物种组成</w:t>
            </w:r>
          </w:p>
        </w:tc>
        <w:tc>
          <w:tcPr>
            <w:tcW w:w="4536" w:type="dxa"/>
            <w:vAlign w:val="center"/>
          </w:tcPr>
          <w:p w:rsidR="002A5A5E" w:rsidRPr="00F9522B" w:rsidRDefault="00611CBA">
            <w:pPr>
              <w:spacing w:line="0" w:lineRule="atLeast"/>
              <w:rPr>
                <w:rFonts w:eastAsiaTheme="minorEastAsia"/>
                <w:snapToGrid w:val="0"/>
                <w:kern w:val="0"/>
                <w:szCs w:val="21"/>
              </w:rPr>
            </w:pPr>
            <w:r w:rsidRPr="00F9522B">
              <w:rPr>
                <w:rFonts w:eastAsiaTheme="minorEastAsia"/>
              </w:rPr>
              <w:t>工程内容：永久占地扰动原地表，改变占地区土地利用现状，对评价范围内物种组成产生一定影响；</w:t>
            </w:r>
            <w:r w:rsidRPr="00F9522B">
              <w:rPr>
                <w:rFonts w:eastAsiaTheme="minorEastAsia"/>
                <w:snapToGrid w:val="0"/>
                <w:kern w:val="0"/>
                <w:szCs w:val="21"/>
              </w:rPr>
              <w:t>农田退水对承泄区水生生态影响</w:t>
            </w:r>
          </w:p>
          <w:p w:rsidR="002A5A5E" w:rsidRPr="00F9522B" w:rsidRDefault="00611CBA">
            <w:pPr>
              <w:spacing w:line="0" w:lineRule="atLeast"/>
              <w:rPr>
                <w:rFonts w:eastAsiaTheme="minorEastAsia"/>
                <w:kern w:val="0"/>
                <w:szCs w:val="21"/>
                <w:lang w:bidi="zh-TW"/>
              </w:rPr>
            </w:pPr>
            <w:r w:rsidRPr="00F9522B">
              <w:rPr>
                <w:rFonts w:eastAsiaTheme="minorEastAsia"/>
                <w:snapToGrid w:val="0"/>
                <w:kern w:val="0"/>
                <w:szCs w:val="21"/>
              </w:rPr>
              <w:t>影响方式：直接影响</w:t>
            </w:r>
          </w:p>
        </w:tc>
        <w:tc>
          <w:tcPr>
            <w:tcW w:w="985" w:type="dxa"/>
            <w:vAlign w:val="center"/>
          </w:tcPr>
          <w:p w:rsidR="002A5A5E" w:rsidRPr="00F9522B" w:rsidRDefault="00611CBA">
            <w:pPr>
              <w:spacing w:line="0" w:lineRule="atLeast"/>
              <w:jc w:val="center"/>
              <w:rPr>
                <w:rFonts w:eastAsiaTheme="minorEastAsia"/>
                <w:kern w:val="0"/>
                <w:szCs w:val="21"/>
                <w:lang w:bidi="zh-TW"/>
              </w:rPr>
            </w:pPr>
            <w:r w:rsidRPr="00F9522B">
              <w:rPr>
                <w:rFonts w:eastAsiaTheme="minorEastAsia"/>
              </w:rPr>
              <w:t>长期、不可逆</w:t>
            </w:r>
          </w:p>
        </w:tc>
        <w:tc>
          <w:tcPr>
            <w:tcW w:w="766" w:type="dxa"/>
            <w:vMerge w:val="restart"/>
            <w:vAlign w:val="center"/>
          </w:tcPr>
          <w:p w:rsidR="002A5A5E" w:rsidRPr="00F9522B" w:rsidRDefault="00611CBA">
            <w:pPr>
              <w:spacing w:line="0" w:lineRule="atLeast"/>
              <w:jc w:val="center"/>
              <w:rPr>
                <w:rFonts w:eastAsiaTheme="minorEastAsia"/>
                <w:kern w:val="0"/>
                <w:szCs w:val="21"/>
                <w:lang w:bidi="zh-TW"/>
              </w:rPr>
            </w:pPr>
            <w:r w:rsidRPr="00F9522B">
              <w:rPr>
                <w:rFonts w:eastAsiaTheme="minorEastAsia"/>
                <w:kern w:val="0"/>
                <w:szCs w:val="21"/>
                <w:lang w:bidi="zh-TW"/>
              </w:rPr>
              <w:t>小</w:t>
            </w:r>
          </w:p>
        </w:tc>
      </w:tr>
      <w:tr w:rsidR="002A5A5E" w:rsidRPr="00F9522B" w:rsidTr="00933248">
        <w:trPr>
          <w:trHeight w:val="150"/>
          <w:jc w:val="center"/>
        </w:trPr>
        <w:tc>
          <w:tcPr>
            <w:tcW w:w="959" w:type="dxa"/>
            <w:vMerge/>
            <w:vAlign w:val="center"/>
          </w:tcPr>
          <w:p w:rsidR="002A5A5E" w:rsidRPr="00F9522B" w:rsidRDefault="002A5A5E">
            <w:pPr>
              <w:spacing w:line="0" w:lineRule="atLeast"/>
              <w:jc w:val="center"/>
              <w:rPr>
                <w:rFonts w:eastAsiaTheme="minorEastAsia"/>
                <w:kern w:val="0"/>
                <w:szCs w:val="21"/>
                <w:lang w:bidi="zh-TW"/>
              </w:rPr>
            </w:pPr>
          </w:p>
        </w:tc>
        <w:tc>
          <w:tcPr>
            <w:tcW w:w="1276" w:type="dxa"/>
            <w:vMerge/>
            <w:vAlign w:val="center"/>
          </w:tcPr>
          <w:p w:rsidR="002A5A5E" w:rsidRPr="00F9522B" w:rsidRDefault="002A5A5E">
            <w:pPr>
              <w:spacing w:line="0" w:lineRule="atLeast"/>
              <w:jc w:val="center"/>
              <w:rPr>
                <w:rFonts w:eastAsiaTheme="minorEastAsia"/>
                <w:kern w:val="0"/>
                <w:szCs w:val="21"/>
                <w:lang w:bidi="zh-TW"/>
              </w:rPr>
            </w:pPr>
          </w:p>
        </w:tc>
        <w:tc>
          <w:tcPr>
            <w:tcW w:w="4536" w:type="dxa"/>
            <w:vAlign w:val="center"/>
          </w:tcPr>
          <w:p w:rsidR="002A5A5E" w:rsidRPr="00F9522B" w:rsidRDefault="00611CBA">
            <w:pPr>
              <w:spacing w:line="0" w:lineRule="atLeast"/>
              <w:rPr>
                <w:rFonts w:eastAsiaTheme="minorEastAsia"/>
                <w:snapToGrid w:val="0"/>
                <w:kern w:val="0"/>
                <w:szCs w:val="21"/>
              </w:rPr>
            </w:pPr>
            <w:r w:rsidRPr="00F9522B">
              <w:rPr>
                <w:rFonts w:eastAsiaTheme="minorEastAsia"/>
                <w:snapToGrid w:val="0"/>
                <w:kern w:val="0"/>
                <w:szCs w:val="21"/>
              </w:rPr>
              <w:t>工程内容：施工临时占地等</w:t>
            </w:r>
            <w:r w:rsidRPr="00F9522B">
              <w:rPr>
                <w:rFonts w:eastAsiaTheme="minorEastAsia"/>
              </w:rPr>
              <w:t>导致植物生境条件改变，植被面积减少</w:t>
            </w:r>
          </w:p>
          <w:p w:rsidR="002A5A5E" w:rsidRPr="00F9522B" w:rsidRDefault="00611CBA">
            <w:pPr>
              <w:spacing w:line="0" w:lineRule="atLeast"/>
              <w:rPr>
                <w:rFonts w:eastAsiaTheme="minorEastAsia"/>
                <w:kern w:val="0"/>
                <w:szCs w:val="21"/>
                <w:lang w:bidi="zh-TW"/>
              </w:rPr>
            </w:pPr>
            <w:r w:rsidRPr="00F9522B">
              <w:rPr>
                <w:rFonts w:eastAsiaTheme="minorEastAsia"/>
                <w:snapToGrid w:val="0"/>
                <w:kern w:val="0"/>
                <w:szCs w:val="21"/>
              </w:rPr>
              <w:t>影响方式：直接影响</w:t>
            </w:r>
          </w:p>
        </w:tc>
        <w:tc>
          <w:tcPr>
            <w:tcW w:w="985" w:type="dxa"/>
            <w:vAlign w:val="center"/>
          </w:tcPr>
          <w:p w:rsidR="002A5A5E" w:rsidRPr="00F9522B" w:rsidRDefault="00611CBA">
            <w:pPr>
              <w:spacing w:line="0" w:lineRule="atLeast"/>
              <w:jc w:val="center"/>
              <w:rPr>
                <w:rFonts w:eastAsiaTheme="minorEastAsia"/>
                <w:kern w:val="0"/>
                <w:szCs w:val="21"/>
                <w:lang w:bidi="zh-TW"/>
              </w:rPr>
            </w:pPr>
            <w:r w:rsidRPr="00F9522B">
              <w:rPr>
                <w:rFonts w:eastAsiaTheme="minorEastAsia"/>
                <w:kern w:val="0"/>
                <w:szCs w:val="21"/>
                <w:lang w:bidi="zh-TW"/>
              </w:rPr>
              <w:t>短期、可逆</w:t>
            </w:r>
          </w:p>
        </w:tc>
        <w:tc>
          <w:tcPr>
            <w:tcW w:w="766" w:type="dxa"/>
            <w:vMerge/>
            <w:vAlign w:val="center"/>
          </w:tcPr>
          <w:p w:rsidR="002A5A5E" w:rsidRPr="00F9522B" w:rsidRDefault="002A5A5E">
            <w:pPr>
              <w:spacing w:line="0" w:lineRule="atLeast"/>
              <w:jc w:val="center"/>
              <w:rPr>
                <w:rFonts w:eastAsiaTheme="minorEastAsia"/>
                <w:kern w:val="0"/>
                <w:szCs w:val="21"/>
                <w:lang w:bidi="zh-TW"/>
              </w:rPr>
            </w:pPr>
          </w:p>
        </w:tc>
      </w:tr>
      <w:tr w:rsidR="002A5A5E" w:rsidRPr="00F9522B" w:rsidTr="00933248">
        <w:trPr>
          <w:trHeight w:val="302"/>
          <w:jc w:val="center"/>
        </w:trPr>
        <w:tc>
          <w:tcPr>
            <w:tcW w:w="959" w:type="dxa"/>
            <w:vMerge w:val="restart"/>
            <w:vAlign w:val="center"/>
          </w:tcPr>
          <w:p w:rsidR="002A5A5E" w:rsidRPr="00F9522B" w:rsidRDefault="00611CBA">
            <w:pPr>
              <w:spacing w:line="0" w:lineRule="atLeast"/>
              <w:jc w:val="center"/>
              <w:rPr>
                <w:rFonts w:eastAsiaTheme="minorEastAsia"/>
                <w:kern w:val="0"/>
                <w:szCs w:val="21"/>
                <w:lang w:bidi="zh-TW"/>
              </w:rPr>
            </w:pPr>
            <w:r w:rsidRPr="00F9522B">
              <w:rPr>
                <w:rFonts w:eastAsiaTheme="minorEastAsia"/>
                <w:kern w:val="0"/>
                <w:szCs w:val="21"/>
                <w:lang w:bidi="zh-TW"/>
              </w:rPr>
              <w:t>生态系统</w:t>
            </w:r>
          </w:p>
        </w:tc>
        <w:tc>
          <w:tcPr>
            <w:tcW w:w="1276" w:type="dxa"/>
            <w:vMerge w:val="restart"/>
            <w:vAlign w:val="center"/>
          </w:tcPr>
          <w:p w:rsidR="002A5A5E" w:rsidRPr="00F9522B" w:rsidRDefault="00611CBA">
            <w:pPr>
              <w:spacing w:line="0" w:lineRule="atLeast"/>
              <w:jc w:val="center"/>
              <w:rPr>
                <w:rFonts w:eastAsiaTheme="minorEastAsia"/>
                <w:kern w:val="0"/>
                <w:szCs w:val="21"/>
                <w:lang w:bidi="zh-TW"/>
              </w:rPr>
            </w:pPr>
            <w:r w:rsidRPr="00F9522B">
              <w:rPr>
                <w:rFonts w:eastAsiaTheme="minorEastAsia"/>
                <w:kern w:val="0"/>
                <w:szCs w:val="21"/>
                <w:lang w:bidi="zh-TW"/>
              </w:rPr>
              <w:t>生物量、生态系统功能</w:t>
            </w:r>
          </w:p>
        </w:tc>
        <w:tc>
          <w:tcPr>
            <w:tcW w:w="4536" w:type="dxa"/>
            <w:vAlign w:val="center"/>
          </w:tcPr>
          <w:p w:rsidR="002A5A5E" w:rsidRPr="00F9522B" w:rsidRDefault="00611CBA">
            <w:pPr>
              <w:spacing w:line="0" w:lineRule="atLeast"/>
              <w:rPr>
                <w:rFonts w:eastAsiaTheme="minorEastAsia"/>
                <w:snapToGrid w:val="0"/>
                <w:kern w:val="0"/>
                <w:szCs w:val="21"/>
              </w:rPr>
            </w:pPr>
            <w:r w:rsidRPr="00F9522B">
              <w:rPr>
                <w:rFonts w:eastAsiaTheme="minorEastAsia"/>
              </w:rPr>
              <w:t>工程内容：永久占地扰动原地表，改变占地区土地利用格局，破坏动植物及其生境，对</w:t>
            </w:r>
            <w:r w:rsidRPr="00F9522B">
              <w:rPr>
                <w:rFonts w:eastAsiaTheme="minorEastAsia"/>
                <w:kern w:val="0"/>
                <w:szCs w:val="21"/>
                <w:lang w:bidi="zh-TW"/>
              </w:rPr>
              <w:t>生态系统</w:t>
            </w:r>
            <w:r w:rsidRPr="00F9522B">
              <w:rPr>
                <w:rFonts w:eastAsiaTheme="minorEastAsia"/>
              </w:rPr>
              <w:t>产生一定影响；</w:t>
            </w:r>
            <w:r w:rsidRPr="00F9522B">
              <w:rPr>
                <w:rFonts w:eastAsiaTheme="minorEastAsia"/>
                <w:snapToGrid w:val="0"/>
                <w:kern w:val="0"/>
                <w:szCs w:val="21"/>
              </w:rPr>
              <w:t>农田退水对承泄区水生生态影响</w:t>
            </w:r>
          </w:p>
          <w:p w:rsidR="002A5A5E" w:rsidRPr="00F9522B" w:rsidRDefault="00611CBA">
            <w:pPr>
              <w:spacing w:line="0" w:lineRule="atLeast"/>
              <w:rPr>
                <w:rFonts w:eastAsiaTheme="minorEastAsia"/>
                <w:kern w:val="0"/>
                <w:szCs w:val="21"/>
                <w:lang w:bidi="zh-TW"/>
              </w:rPr>
            </w:pPr>
            <w:r w:rsidRPr="00F9522B">
              <w:rPr>
                <w:rFonts w:eastAsiaTheme="minorEastAsia"/>
                <w:snapToGrid w:val="0"/>
                <w:kern w:val="0"/>
                <w:szCs w:val="21"/>
              </w:rPr>
              <w:t>影响方式：直接影响</w:t>
            </w:r>
          </w:p>
        </w:tc>
        <w:tc>
          <w:tcPr>
            <w:tcW w:w="985" w:type="dxa"/>
            <w:vAlign w:val="center"/>
          </w:tcPr>
          <w:p w:rsidR="002A5A5E" w:rsidRPr="00F9522B" w:rsidRDefault="00611CBA">
            <w:pPr>
              <w:spacing w:line="0" w:lineRule="atLeast"/>
              <w:jc w:val="center"/>
              <w:rPr>
                <w:rFonts w:eastAsiaTheme="minorEastAsia"/>
                <w:kern w:val="0"/>
                <w:szCs w:val="21"/>
                <w:lang w:bidi="zh-TW"/>
              </w:rPr>
            </w:pPr>
            <w:r w:rsidRPr="00F9522B">
              <w:rPr>
                <w:rFonts w:eastAsiaTheme="minorEastAsia"/>
              </w:rPr>
              <w:t>长期、不可逆</w:t>
            </w:r>
          </w:p>
        </w:tc>
        <w:tc>
          <w:tcPr>
            <w:tcW w:w="766" w:type="dxa"/>
            <w:vMerge w:val="restart"/>
            <w:vAlign w:val="center"/>
          </w:tcPr>
          <w:p w:rsidR="002A5A5E" w:rsidRPr="00F9522B" w:rsidRDefault="00611CBA">
            <w:pPr>
              <w:spacing w:line="0" w:lineRule="atLeast"/>
              <w:jc w:val="center"/>
              <w:rPr>
                <w:rFonts w:eastAsiaTheme="minorEastAsia"/>
                <w:kern w:val="0"/>
                <w:szCs w:val="21"/>
                <w:lang w:bidi="zh-TW"/>
              </w:rPr>
            </w:pPr>
            <w:r w:rsidRPr="00F9522B">
              <w:rPr>
                <w:rFonts w:eastAsiaTheme="minorEastAsia"/>
                <w:kern w:val="0"/>
                <w:szCs w:val="21"/>
                <w:lang w:bidi="zh-TW"/>
              </w:rPr>
              <w:t>小</w:t>
            </w:r>
          </w:p>
        </w:tc>
      </w:tr>
      <w:tr w:rsidR="002A5A5E" w:rsidRPr="00F9522B" w:rsidTr="00933248">
        <w:trPr>
          <w:trHeight w:val="301"/>
          <w:jc w:val="center"/>
        </w:trPr>
        <w:tc>
          <w:tcPr>
            <w:tcW w:w="959" w:type="dxa"/>
            <w:vMerge/>
            <w:vAlign w:val="center"/>
          </w:tcPr>
          <w:p w:rsidR="002A5A5E" w:rsidRPr="00F9522B" w:rsidRDefault="002A5A5E">
            <w:pPr>
              <w:spacing w:line="0" w:lineRule="atLeast"/>
              <w:jc w:val="center"/>
              <w:rPr>
                <w:rFonts w:eastAsiaTheme="minorEastAsia"/>
                <w:kern w:val="0"/>
                <w:szCs w:val="21"/>
                <w:lang w:bidi="zh-TW"/>
              </w:rPr>
            </w:pPr>
          </w:p>
        </w:tc>
        <w:tc>
          <w:tcPr>
            <w:tcW w:w="1276" w:type="dxa"/>
            <w:vMerge/>
            <w:vAlign w:val="center"/>
          </w:tcPr>
          <w:p w:rsidR="002A5A5E" w:rsidRPr="00F9522B" w:rsidRDefault="002A5A5E">
            <w:pPr>
              <w:spacing w:line="0" w:lineRule="atLeast"/>
              <w:jc w:val="center"/>
              <w:rPr>
                <w:rFonts w:eastAsiaTheme="minorEastAsia"/>
                <w:kern w:val="0"/>
                <w:szCs w:val="21"/>
                <w:lang w:bidi="zh-TW"/>
              </w:rPr>
            </w:pPr>
          </w:p>
        </w:tc>
        <w:tc>
          <w:tcPr>
            <w:tcW w:w="4536" w:type="dxa"/>
            <w:vAlign w:val="center"/>
          </w:tcPr>
          <w:p w:rsidR="002A5A5E" w:rsidRPr="00F9522B" w:rsidRDefault="00611CBA">
            <w:pPr>
              <w:widowControl/>
              <w:autoSpaceDE w:val="0"/>
              <w:autoSpaceDN w:val="0"/>
              <w:adjustRightInd w:val="0"/>
              <w:snapToGrid w:val="0"/>
              <w:textAlignment w:val="baseline"/>
              <w:rPr>
                <w:rFonts w:eastAsiaTheme="minorEastAsia"/>
                <w:snapToGrid w:val="0"/>
                <w:kern w:val="0"/>
                <w:szCs w:val="21"/>
              </w:rPr>
            </w:pPr>
            <w:r w:rsidRPr="00F9522B">
              <w:rPr>
                <w:rFonts w:eastAsiaTheme="minorEastAsia"/>
                <w:snapToGrid w:val="0"/>
                <w:kern w:val="0"/>
                <w:szCs w:val="21"/>
              </w:rPr>
              <w:t>工程内容：施工临时占地等</w:t>
            </w:r>
          </w:p>
          <w:p w:rsidR="002A5A5E" w:rsidRPr="00F9522B" w:rsidRDefault="00611CBA">
            <w:pPr>
              <w:spacing w:line="0" w:lineRule="atLeast"/>
              <w:rPr>
                <w:rFonts w:eastAsiaTheme="minorEastAsia"/>
                <w:kern w:val="0"/>
                <w:szCs w:val="21"/>
                <w:lang w:bidi="zh-TW"/>
              </w:rPr>
            </w:pPr>
            <w:r w:rsidRPr="00F9522B">
              <w:rPr>
                <w:rFonts w:eastAsiaTheme="minorEastAsia"/>
                <w:snapToGrid w:val="0"/>
                <w:kern w:val="0"/>
                <w:szCs w:val="21"/>
              </w:rPr>
              <w:t>影响方式：直接影响</w:t>
            </w:r>
          </w:p>
        </w:tc>
        <w:tc>
          <w:tcPr>
            <w:tcW w:w="985" w:type="dxa"/>
            <w:vAlign w:val="center"/>
          </w:tcPr>
          <w:p w:rsidR="002A5A5E" w:rsidRPr="00F9522B" w:rsidRDefault="00611CBA">
            <w:pPr>
              <w:spacing w:line="0" w:lineRule="atLeast"/>
              <w:jc w:val="center"/>
              <w:rPr>
                <w:rFonts w:eastAsiaTheme="minorEastAsia"/>
                <w:kern w:val="0"/>
                <w:szCs w:val="21"/>
                <w:lang w:bidi="zh-TW"/>
              </w:rPr>
            </w:pPr>
            <w:r w:rsidRPr="00F9522B">
              <w:rPr>
                <w:rFonts w:eastAsiaTheme="minorEastAsia"/>
                <w:kern w:val="0"/>
                <w:szCs w:val="21"/>
                <w:lang w:bidi="zh-TW"/>
              </w:rPr>
              <w:t>短期、可逆</w:t>
            </w:r>
          </w:p>
        </w:tc>
        <w:tc>
          <w:tcPr>
            <w:tcW w:w="766" w:type="dxa"/>
            <w:vMerge/>
            <w:vAlign w:val="center"/>
          </w:tcPr>
          <w:p w:rsidR="002A5A5E" w:rsidRPr="00F9522B" w:rsidRDefault="002A5A5E">
            <w:pPr>
              <w:spacing w:line="0" w:lineRule="atLeast"/>
              <w:jc w:val="center"/>
              <w:rPr>
                <w:rFonts w:eastAsiaTheme="minorEastAsia"/>
                <w:kern w:val="0"/>
                <w:szCs w:val="21"/>
                <w:lang w:bidi="zh-TW"/>
              </w:rPr>
            </w:pPr>
          </w:p>
        </w:tc>
      </w:tr>
    </w:tbl>
    <w:p w:rsidR="002A5A5E" w:rsidRPr="00F9522B" w:rsidRDefault="002A5A5E"/>
    <w:p w:rsidR="002A5A5E" w:rsidRPr="00F9522B" w:rsidRDefault="00611CBA">
      <w:pPr>
        <w:widowControl/>
        <w:jc w:val="center"/>
        <w:rPr>
          <w:rFonts w:eastAsiaTheme="minorEastAsia"/>
          <w:b/>
          <w:szCs w:val="21"/>
        </w:rPr>
      </w:pPr>
      <w:r w:rsidRPr="00F9522B">
        <w:rPr>
          <w:rFonts w:eastAsiaTheme="minorEastAsia"/>
          <w:b/>
          <w:szCs w:val="21"/>
        </w:rPr>
        <w:lastRenderedPageBreak/>
        <w:t>表</w:t>
      </w:r>
      <w:r w:rsidRPr="00F9522B">
        <w:rPr>
          <w:rFonts w:eastAsiaTheme="minorEastAsia"/>
          <w:b/>
          <w:szCs w:val="21"/>
        </w:rPr>
        <w:t xml:space="preserve">2.4-4 </w:t>
      </w:r>
      <w:r w:rsidRPr="00F9522B">
        <w:rPr>
          <w:rFonts w:eastAsiaTheme="minorEastAsia"/>
          <w:b/>
          <w:szCs w:val="21"/>
        </w:rPr>
        <w:t>本项目生态评价因子</w:t>
      </w:r>
    </w:p>
    <w:tbl>
      <w:tblPr>
        <w:tblW w:w="0" w:type="auto"/>
        <w:jc w:val="center"/>
        <w:tblBorders>
          <w:top w:val="single" w:sz="12" w:space="0" w:color="auto"/>
          <w:bottom w:val="single" w:sz="12" w:space="0" w:color="auto"/>
          <w:insideH w:val="single" w:sz="4" w:space="0" w:color="auto"/>
          <w:insideV w:val="single" w:sz="4" w:space="0" w:color="auto"/>
        </w:tblBorders>
        <w:tblLook w:val="04A0"/>
      </w:tblPr>
      <w:tblGrid>
        <w:gridCol w:w="959"/>
        <w:gridCol w:w="1276"/>
        <w:gridCol w:w="4536"/>
        <w:gridCol w:w="985"/>
        <w:gridCol w:w="766"/>
      </w:tblGrid>
      <w:tr w:rsidR="002A5A5E" w:rsidRPr="00F9522B" w:rsidTr="00933248">
        <w:trPr>
          <w:trHeight w:val="151"/>
          <w:jc w:val="center"/>
        </w:trPr>
        <w:tc>
          <w:tcPr>
            <w:tcW w:w="959" w:type="dxa"/>
            <w:vMerge w:val="restart"/>
            <w:vAlign w:val="center"/>
          </w:tcPr>
          <w:p w:rsidR="002A5A5E" w:rsidRPr="00F9522B" w:rsidRDefault="00611CBA">
            <w:pPr>
              <w:spacing w:line="0" w:lineRule="atLeast"/>
              <w:jc w:val="center"/>
              <w:rPr>
                <w:rFonts w:eastAsiaTheme="minorEastAsia"/>
                <w:kern w:val="0"/>
                <w:szCs w:val="21"/>
                <w:lang w:bidi="zh-TW"/>
              </w:rPr>
            </w:pPr>
            <w:r w:rsidRPr="00F9522B">
              <w:rPr>
                <w:rFonts w:eastAsiaTheme="minorEastAsia"/>
                <w:kern w:val="0"/>
                <w:szCs w:val="21"/>
                <w:lang w:bidi="zh-TW"/>
              </w:rPr>
              <w:t>自然景观</w:t>
            </w:r>
          </w:p>
        </w:tc>
        <w:tc>
          <w:tcPr>
            <w:tcW w:w="1276" w:type="dxa"/>
            <w:vMerge w:val="restart"/>
            <w:vAlign w:val="center"/>
          </w:tcPr>
          <w:p w:rsidR="002A5A5E" w:rsidRPr="00F9522B" w:rsidRDefault="00611CBA">
            <w:pPr>
              <w:spacing w:line="0" w:lineRule="atLeast"/>
              <w:jc w:val="center"/>
              <w:rPr>
                <w:rFonts w:eastAsiaTheme="minorEastAsia"/>
                <w:kern w:val="0"/>
                <w:szCs w:val="21"/>
                <w:lang w:bidi="zh-TW"/>
              </w:rPr>
            </w:pPr>
            <w:r w:rsidRPr="00F9522B">
              <w:rPr>
                <w:rFonts w:eastAsiaTheme="minorEastAsia"/>
                <w:kern w:val="0"/>
                <w:szCs w:val="21"/>
                <w:lang w:bidi="zh-TW"/>
              </w:rPr>
              <w:t>完整性</w:t>
            </w:r>
          </w:p>
        </w:tc>
        <w:tc>
          <w:tcPr>
            <w:tcW w:w="4536" w:type="dxa"/>
            <w:vAlign w:val="center"/>
          </w:tcPr>
          <w:p w:rsidR="002A5A5E" w:rsidRPr="00F9522B" w:rsidRDefault="00611CBA">
            <w:pPr>
              <w:spacing w:line="0" w:lineRule="atLeast"/>
              <w:rPr>
                <w:rFonts w:eastAsiaTheme="minorEastAsia"/>
                <w:snapToGrid w:val="0"/>
                <w:kern w:val="0"/>
                <w:szCs w:val="21"/>
              </w:rPr>
            </w:pPr>
            <w:r w:rsidRPr="00F9522B">
              <w:rPr>
                <w:rFonts w:eastAsiaTheme="minorEastAsia"/>
              </w:rPr>
              <w:t>工程内容：永久占地</w:t>
            </w:r>
          </w:p>
          <w:p w:rsidR="002A5A5E" w:rsidRPr="00F9522B" w:rsidRDefault="00611CBA">
            <w:pPr>
              <w:spacing w:line="0" w:lineRule="atLeast"/>
              <w:rPr>
                <w:rFonts w:eastAsiaTheme="minorEastAsia"/>
                <w:kern w:val="0"/>
                <w:szCs w:val="21"/>
                <w:lang w:bidi="zh-TW"/>
              </w:rPr>
            </w:pPr>
            <w:r w:rsidRPr="00F9522B">
              <w:rPr>
                <w:rFonts w:eastAsiaTheme="minorEastAsia"/>
                <w:snapToGrid w:val="0"/>
                <w:kern w:val="0"/>
                <w:szCs w:val="21"/>
              </w:rPr>
              <w:t>影响方式：直接影响</w:t>
            </w:r>
          </w:p>
        </w:tc>
        <w:tc>
          <w:tcPr>
            <w:tcW w:w="985" w:type="dxa"/>
            <w:vAlign w:val="center"/>
          </w:tcPr>
          <w:p w:rsidR="002A5A5E" w:rsidRPr="00F9522B" w:rsidRDefault="00611CBA">
            <w:pPr>
              <w:spacing w:line="0" w:lineRule="atLeast"/>
              <w:jc w:val="center"/>
              <w:rPr>
                <w:rFonts w:eastAsiaTheme="minorEastAsia"/>
                <w:kern w:val="0"/>
                <w:szCs w:val="21"/>
                <w:lang w:bidi="zh-TW"/>
              </w:rPr>
            </w:pPr>
            <w:r w:rsidRPr="00F9522B">
              <w:rPr>
                <w:rFonts w:eastAsiaTheme="minorEastAsia"/>
              </w:rPr>
              <w:t>长期、不可逆</w:t>
            </w:r>
          </w:p>
        </w:tc>
        <w:tc>
          <w:tcPr>
            <w:tcW w:w="766" w:type="dxa"/>
            <w:vMerge w:val="restart"/>
            <w:vAlign w:val="center"/>
          </w:tcPr>
          <w:p w:rsidR="002A5A5E" w:rsidRPr="00F9522B" w:rsidRDefault="00611CBA">
            <w:pPr>
              <w:spacing w:line="0" w:lineRule="atLeast"/>
              <w:jc w:val="center"/>
              <w:rPr>
                <w:rFonts w:eastAsiaTheme="minorEastAsia"/>
                <w:kern w:val="0"/>
                <w:szCs w:val="21"/>
                <w:lang w:bidi="zh-TW"/>
              </w:rPr>
            </w:pPr>
            <w:r w:rsidRPr="00F9522B">
              <w:rPr>
                <w:rFonts w:eastAsiaTheme="minorEastAsia"/>
                <w:kern w:val="0"/>
                <w:szCs w:val="21"/>
                <w:lang w:bidi="zh-TW"/>
              </w:rPr>
              <w:t>小</w:t>
            </w:r>
          </w:p>
        </w:tc>
      </w:tr>
      <w:tr w:rsidR="002A5A5E" w:rsidRPr="00F9522B" w:rsidTr="00933248">
        <w:trPr>
          <w:trHeight w:val="150"/>
          <w:jc w:val="center"/>
        </w:trPr>
        <w:tc>
          <w:tcPr>
            <w:tcW w:w="959" w:type="dxa"/>
            <w:vMerge/>
            <w:vAlign w:val="center"/>
          </w:tcPr>
          <w:p w:rsidR="002A5A5E" w:rsidRPr="00F9522B" w:rsidRDefault="002A5A5E">
            <w:pPr>
              <w:spacing w:line="0" w:lineRule="atLeast"/>
              <w:jc w:val="center"/>
              <w:rPr>
                <w:rFonts w:eastAsiaTheme="minorEastAsia"/>
                <w:kern w:val="0"/>
                <w:szCs w:val="21"/>
                <w:lang w:bidi="zh-TW"/>
              </w:rPr>
            </w:pPr>
          </w:p>
        </w:tc>
        <w:tc>
          <w:tcPr>
            <w:tcW w:w="1276" w:type="dxa"/>
            <w:vMerge/>
            <w:vAlign w:val="center"/>
          </w:tcPr>
          <w:p w:rsidR="002A5A5E" w:rsidRPr="00F9522B" w:rsidRDefault="002A5A5E">
            <w:pPr>
              <w:spacing w:line="0" w:lineRule="atLeast"/>
              <w:jc w:val="center"/>
              <w:rPr>
                <w:rFonts w:eastAsiaTheme="minorEastAsia"/>
                <w:kern w:val="0"/>
                <w:szCs w:val="21"/>
                <w:lang w:bidi="zh-TW"/>
              </w:rPr>
            </w:pPr>
          </w:p>
        </w:tc>
        <w:tc>
          <w:tcPr>
            <w:tcW w:w="4536" w:type="dxa"/>
            <w:vAlign w:val="center"/>
          </w:tcPr>
          <w:p w:rsidR="002A5A5E" w:rsidRPr="00F9522B" w:rsidRDefault="00611CBA">
            <w:pPr>
              <w:spacing w:line="0" w:lineRule="atLeast"/>
              <w:rPr>
                <w:rFonts w:eastAsiaTheme="minorEastAsia"/>
                <w:snapToGrid w:val="0"/>
                <w:kern w:val="0"/>
                <w:szCs w:val="21"/>
              </w:rPr>
            </w:pPr>
            <w:r w:rsidRPr="00F9522B">
              <w:rPr>
                <w:rFonts w:eastAsiaTheme="minorEastAsia"/>
                <w:snapToGrid w:val="0"/>
                <w:kern w:val="0"/>
                <w:szCs w:val="21"/>
              </w:rPr>
              <w:t>工程内容：施工临时占地等</w:t>
            </w:r>
          </w:p>
          <w:p w:rsidR="002A5A5E" w:rsidRPr="00F9522B" w:rsidRDefault="00611CBA">
            <w:pPr>
              <w:spacing w:line="0" w:lineRule="atLeast"/>
              <w:rPr>
                <w:rFonts w:eastAsiaTheme="minorEastAsia"/>
                <w:kern w:val="0"/>
                <w:szCs w:val="21"/>
                <w:lang w:bidi="zh-TW"/>
              </w:rPr>
            </w:pPr>
            <w:r w:rsidRPr="00F9522B">
              <w:rPr>
                <w:rFonts w:eastAsiaTheme="minorEastAsia"/>
                <w:snapToGrid w:val="0"/>
                <w:kern w:val="0"/>
                <w:szCs w:val="21"/>
              </w:rPr>
              <w:t>影响方式：直接影响</w:t>
            </w:r>
          </w:p>
        </w:tc>
        <w:tc>
          <w:tcPr>
            <w:tcW w:w="985" w:type="dxa"/>
            <w:vAlign w:val="center"/>
          </w:tcPr>
          <w:p w:rsidR="002A5A5E" w:rsidRPr="00F9522B" w:rsidRDefault="00611CBA">
            <w:pPr>
              <w:spacing w:line="0" w:lineRule="atLeast"/>
              <w:jc w:val="center"/>
              <w:rPr>
                <w:rFonts w:eastAsiaTheme="minorEastAsia"/>
                <w:kern w:val="0"/>
                <w:szCs w:val="21"/>
                <w:lang w:bidi="zh-TW"/>
              </w:rPr>
            </w:pPr>
            <w:r w:rsidRPr="00F9522B">
              <w:rPr>
                <w:rFonts w:eastAsiaTheme="minorEastAsia"/>
                <w:kern w:val="0"/>
                <w:szCs w:val="21"/>
                <w:lang w:bidi="zh-TW"/>
              </w:rPr>
              <w:t>短期、可逆</w:t>
            </w:r>
          </w:p>
        </w:tc>
        <w:tc>
          <w:tcPr>
            <w:tcW w:w="766" w:type="dxa"/>
            <w:vMerge/>
            <w:vAlign w:val="center"/>
          </w:tcPr>
          <w:p w:rsidR="002A5A5E" w:rsidRPr="00F9522B" w:rsidRDefault="002A5A5E">
            <w:pPr>
              <w:spacing w:line="0" w:lineRule="atLeast"/>
              <w:jc w:val="center"/>
              <w:rPr>
                <w:rFonts w:eastAsiaTheme="minorEastAsia"/>
                <w:kern w:val="0"/>
                <w:szCs w:val="21"/>
                <w:lang w:bidi="zh-TW"/>
              </w:rPr>
            </w:pPr>
          </w:p>
        </w:tc>
      </w:tr>
    </w:tbl>
    <w:p w:rsidR="002A5A5E" w:rsidRPr="00F9522B" w:rsidRDefault="00611CBA">
      <w:pPr>
        <w:spacing w:before="100" w:beforeAutospacing="1" w:after="100" w:afterAutospacing="1"/>
        <w:jc w:val="left"/>
        <w:outlineLvl w:val="1"/>
        <w:rPr>
          <w:rFonts w:eastAsiaTheme="minorEastAsia"/>
          <w:b/>
          <w:bCs/>
          <w:kern w:val="44"/>
          <w:sz w:val="30"/>
          <w:szCs w:val="30"/>
        </w:rPr>
      </w:pPr>
      <w:bookmarkStart w:id="41" w:name="_Toc208906228"/>
      <w:r w:rsidRPr="00F9522B">
        <w:rPr>
          <w:rFonts w:eastAsiaTheme="minorEastAsia"/>
          <w:b/>
          <w:bCs/>
          <w:kern w:val="44"/>
          <w:sz w:val="30"/>
          <w:szCs w:val="30"/>
        </w:rPr>
        <w:t>2.5</w:t>
      </w:r>
      <w:r w:rsidRPr="00F9522B">
        <w:rPr>
          <w:rFonts w:eastAsiaTheme="minorEastAsia"/>
          <w:b/>
          <w:bCs/>
          <w:kern w:val="44"/>
          <w:sz w:val="30"/>
          <w:szCs w:val="30"/>
        </w:rPr>
        <w:t>环境功能区划及评价标准</w:t>
      </w:r>
      <w:bookmarkEnd w:id="40"/>
      <w:bookmarkEnd w:id="41"/>
    </w:p>
    <w:p w:rsidR="002A5A5E" w:rsidRPr="00F9522B" w:rsidRDefault="00611CBA">
      <w:pPr>
        <w:pStyle w:val="30"/>
        <w:spacing w:before="100" w:beforeAutospacing="1" w:after="100" w:afterAutospacing="1" w:line="240" w:lineRule="auto"/>
        <w:ind w:firstLineChars="0" w:firstLine="0"/>
        <w:rPr>
          <w:rFonts w:ascii="Times New Roman" w:eastAsiaTheme="minorEastAsia" w:hAnsi="Times New Roman" w:cs="Times New Roman"/>
          <w:b/>
          <w:sz w:val="28"/>
          <w:szCs w:val="28"/>
        </w:rPr>
      </w:pPr>
      <w:r w:rsidRPr="00F9522B">
        <w:rPr>
          <w:rFonts w:ascii="Times New Roman" w:eastAsiaTheme="minorEastAsia" w:hAnsi="Times New Roman" w:cs="Times New Roman"/>
          <w:b/>
          <w:sz w:val="28"/>
          <w:szCs w:val="28"/>
        </w:rPr>
        <w:t>2.5.1</w:t>
      </w:r>
      <w:r w:rsidRPr="00F9522B">
        <w:rPr>
          <w:rFonts w:ascii="Times New Roman" w:eastAsiaTheme="minorEastAsia" w:hAnsi="Times New Roman" w:cs="Times New Roman"/>
          <w:b/>
          <w:sz w:val="28"/>
          <w:szCs w:val="28"/>
        </w:rPr>
        <w:t>区域环境功能区划</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1</w:t>
      </w:r>
      <w:r w:rsidRPr="00F9522B">
        <w:rPr>
          <w:rFonts w:ascii="Times New Roman" w:hAnsi="Times New Roman" w:cs="Times New Roman"/>
        </w:rPr>
        <w:t>）空气环境：根据环境空气质量功能区划，评价区主要位于农村区域，</w:t>
      </w:r>
      <w:r w:rsidRPr="00F9522B">
        <w:rPr>
          <w:rFonts w:ascii="Times New Roman" w:hAnsi="Times New Roman" w:cs="Times New Roman"/>
          <w:color w:val="FF0000"/>
        </w:rPr>
        <w:t>项目位于《环境空气质量标准》（</w:t>
      </w:r>
      <w:r w:rsidRPr="00F9522B">
        <w:rPr>
          <w:rFonts w:ascii="Times New Roman" w:hAnsi="Times New Roman" w:cs="Times New Roman"/>
          <w:color w:val="FF0000"/>
        </w:rPr>
        <w:t>GB3095-20</w:t>
      </w:r>
      <w:r w:rsidR="00C07A9E" w:rsidRPr="00F9522B">
        <w:rPr>
          <w:rFonts w:ascii="Times New Roman" w:hAnsi="Times New Roman" w:cs="Times New Roman"/>
          <w:color w:val="FF0000"/>
        </w:rPr>
        <w:t>26</w:t>
      </w:r>
      <w:r w:rsidRPr="00F9522B">
        <w:rPr>
          <w:rFonts w:ascii="Times New Roman" w:hAnsi="Times New Roman" w:cs="Times New Roman"/>
          <w:color w:val="FF0000"/>
        </w:rPr>
        <w:t>）二类区</w:t>
      </w:r>
      <w:r w:rsidRPr="00F9522B">
        <w:rPr>
          <w:rFonts w:ascii="Times New Roman" w:hAnsi="Times New Roman" w:cs="Times New Roman"/>
        </w:rPr>
        <w:t>。本项目所在区域不在酸雨和二氧化硫控制区内。</w:t>
      </w:r>
    </w:p>
    <w:p w:rsidR="002A5A5E" w:rsidRPr="00F9522B" w:rsidRDefault="00611CBA">
      <w:pPr>
        <w:spacing w:line="360" w:lineRule="auto"/>
        <w:ind w:firstLineChars="200" w:firstLine="480"/>
        <w:contextualSpacing/>
        <w:rPr>
          <w:rFonts w:eastAsiaTheme="minorEastAsia"/>
          <w:bCs/>
          <w:kern w:val="0"/>
          <w:sz w:val="24"/>
          <w:szCs w:val="21"/>
        </w:rPr>
      </w:pPr>
      <w:r w:rsidRPr="00F9522B">
        <w:rPr>
          <w:rFonts w:eastAsiaTheme="minorEastAsia"/>
          <w:kern w:val="24"/>
          <w:sz w:val="24"/>
        </w:rPr>
        <w:t>（</w:t>
      </w:r>
      <w:r w:rsidRPr="00F9522B">
        <w:rPr>
          <w:rFonts w:eastAsiaTheme="minorEastAsia"/>
          <w:kern w:val="24"/>
          <w:sz w:val="24"/>
        </w:rPr>
        <w:t>2</w:t>
      </w:r>
      <w:r w:rsidRPr="00F9522B">
        <w:rPr>
          <w:rFonts w:eastAsiaTheme="minorEastAsia"/>
          <w:kern w:val="24"/>
          <w:sz w:val="24"/>
        </w:rPr>
        <w:t>）地表水环境：</w:t>
      </w:r>
      <w:r w:rsidRPr="00F9522B">
        <w:rPr>
          <w:rFonts w:eastAsiaTheme="minorEastAsia"/>
          <w:sz w:val="24"/>
        </w:rPr>
        <w:t>本项目</w:t>
      </w:r>
      <w:r w:rsidRPr="00F9522B">
        <w:rPr>
          <w:rFonts w:eastAsiaTheme="minorEastAsia"/>
          <w:snapToGrid w:val="0"/>
          <w:sz w:val="24"/>
        </w:rPr>
        <w:t>承泄区</w:t>
      </w:r>
      <w:r w:rsidRPr="00F9522B">
        <w:rPr>
          <w:rFonts w:eastAsiaTheme="minorEastAsia"/>
          <w:sz w:val="24"/>
        </w:rPr>
        <w:t>为</w:t>
      </w:r>
      <w:r w:rsidR="006B2C15" w:rsidRPr="00F9522B">
        <w:rPr>
          <w:rFonts w:eastAsiaTheme="minorEastAsia"/>
          <w:sz w:val="24"/>
        </w:rPr>
        <w:t>松花江</w:t>
      </w:r>
      <w:r w:rsidRPr="00F9522B">
        <w:rPr>
          <w:rFonts w:eastAsiaTheme="minorEastAsia"/>
          <w:sz w:val="24"/>
        </w:rPr>
        <w:t>及漂河，</w:t>
      </w:r>
      <w:r w:rsidRPr="00F9522B">
        <w:rPr>
          <w:rFonts w:eastAsiaTheme="minorEastAsia"/>
          <w:bCs/>
          <w:kern w:val="0"/>
          <w:sz w:val="24"/>
          <w:szCs w:val="21"/>
        </w:rPr>
        <w:t>根据《</w:t>
      </w:r>
      <w:r w:rsidRPr="00F9522B">
        <w:rPr>
          <w:rFonts w:eastAsiaTheme="minorEastAsia"/>
          <w:sz w:val="24"/>
        </w:rPr>
        <w:t>全国重要江河湖泊水功能区划（</w:t>
      </w:r>
      <w:r w:rsidRPr="00F9522B">
        <w:rPr>
          <w:rFonts w:eastAsiaTheme="minorEastAsia"/>
          <w:sz w:val="24"/>
        </w:rPr>
        <w:t>2011-2030</w:t>
      </w:r>
      <w:r w:rsidRPr="00F9522B">
        <w:rPr>
          <w:rFonts w:eastAsiaTheme="minorEastAsia"/>
          <w:sz w:val="24"/>
        </w:rPr>
        <w:t>年）</w:t>
      </w:r>
      <w:r w:rsidRPr="00F9522B">
        <w:rPr>
          <w:rFonts w:eastAsiaTheme="minorEastAsia"/>
          <w:bCs/>
          <w:kern w:val="0"/>
          <w:sz w:val="24"/>
          <w:szCs w:val="21"/>
        </w:rPr>
        <w:t>》可知，本工程涉及的水功能区划分情况见表</w:t>
      </w:r>
      <w:r w:rsidRPr="00F9522B">
        <w:rPr>
          <w:rFonts w:eastAsiaTheme="minorEastAsia"/>
          <w:bCs/>
          <w:kern w:val="0"/>
          <w:sz w:val="24"/>
          <w:szCs w:val="21"/>
        </w:rPr>
        <w:t>2-5-1</w:t>
      </w:r>
      <w:r w:rsidRPr="00F9522B">
        <w:rPr>
          <w:rFonts w:eastAsiaTheme="minorEastAsia"/>
          <w:bCs/>
          <w:kern w:val="0"/>
          <w:sz w:val="24"/>
          <w:szCs w:val="21"/>
        </w:rPr>
        <w:t>。</w:t>
      </w:r>
    </w:p>
    <w:p w:rsidR="002A5A5E" w:rsidRPr="00F9522B" w:rsidRDefault="00611CBA">
      <w:pPr>
        <w:spacing w:line="360" w:lineRule="auto"/>
        <w:ind w:firstLineChars="200" w:firstLine="422"/>
        <w:contextualSpacing/>
        <w:jc w:val="center"/>
        <w:rPr>
          <w:rFonts w:eastAsiaTheme="minorEastAsia"/>
          <w:b/>
          <w:szCs w:val="21"/>
        </w:rPr>
      </w:pPr>
      <w:r w:rsidRPr="00F9522B">
        <w:rPr>
          <w:rFonts w:eastAsiaTheme="minorEastAsia"/>
          <w:b/>
          <w:bCs/>
          <w:kern w:val="0"/>
          <w:szCs w:val="21"/>
        </w:rPr>
        <w:t>表</w:t>
      </w:r>
      <w:r w:rsidRPr="00F9522B">
        <w:rPr>
          <w:rFonts w:eastAsiaTheme="minorEastAsia"/>
          <w:b/>
          <w:bCs/>
          <w:kern w:val="0"/>
          <w:szCs w:val="21"/>
        </w:rPr>
        <w:t>2-5-1</w:t>
      </w:r>
      <w:r w:rsidRPr="00F9522B">
        <w:rPr>
          <w:rFonts w:eastAsiaTheme="minorEastAsia"/>
          <w:b/>
          <w:szCs w:val="21"/>
        </w:rPr>
        <w:t>水功能区划分</w:t>
      </w:r>
    </w:p>
    <w:tbl>
      <w:tblPr>
        <w:tblW w:w="5000" w:type="pct"/>
        <w:tblBorders>
          <w:top w:val="single" w:sz="12" w:space="0" w:color="000000"/>
          <w:bottom w:val="single" w:sz="12" w:space="0" w:color="000000"/>
          <w:insideH w:val="single" w:sz="4" w:space="0" w:color="000000"/>
          <w:insideV w:val="single" w:sz="4" w:space="0" w:color="000000"/>
        </w:tblBorders>
        <w:tblLayout w:type="fixed"/>
        <w:tblLook w:val="04A0"/>
      </w:tblPr>
      <w:tblGrid>
        <w:gridCol w:w="1951"/>
        <w:gridCol w:w="1135"/>
        <w:gridCol w:w="994"/>
        <w:gridCol w:w="1133"/>
        <w:gridCol w:w="1415"/>
        <w:gridCol w:w="745"/>
        <w:gridCol w:w="1149"/>
      </w:tblGrid>
      <w:tr w:rsidR="002A5A5E" w:rsidRPr="00F9522B" w:rsidTr="00F46223">
        <w:trPr>
          <w:trHeight w:val="456"/>
        </w:trPr>
        <w:tc>
          <w:tcPr>
            <w:tcW w:w="1145" w:type="pct"/>
            <w:shd w:val="clear" w:color="auto" w:fill="FFFFFF"/>
            <w:vAlign w:val="center"/>
          </w:tcPr>
          <w:p w:rsidR="002A5A5E" w:rsidRPr="00F9522B" w:rsidRDefault="00F37B88">
            <w:pPr>
              <w:jc w:val="center"/>
              <w:rPr>
                <w:rFonts w:eastAsiaTheme="minorEastAsia"/>
                <w:b/>
                <w:kern w:val="0"/>
                <w:szCs w:val="21"/>
              </w:rPr>
            </w:pPr>
            <w:r w:rsidRPr="00F9522B">
              <w:rPr>
                <w:rFonts w:eastAsiaTheme="minorEastAsia"/>
                <w:b/>
                <w:kern w:val="0"/>
                <w:szCs w:val="21"/>
              </w:rPr>
              <w:t>二</w:t>
            </w:r>
            <w:r w:rsidR="00611CBA" w:rsidRPr="00F9522B">
              <w:rPr>
                <w:rFonts w:eastAsiaTheme="minorEastAsia"/>
                <w:b/>
                <w:kern w:val="0"/>
                <w:szCs w:val="21"/>
              </w:rPr>
              <w:t>级水功能区名称</w:t>
            </w:r>
          </w:p>
        </w:tc>
        <w:tc>
          <w:tcPr>
            <w:tcW w:w="666" w:type="pct"/>
            <w:shd w:val="clear" w:color="auto" w:fill="FFFFFF"/>
            <w:noWrap/>
            <w:vAlign w:val="center"/>
          </w:tcPr>
          <w:p w:rsidR="002A5A5E" w:rsidRPr="00F9522B" w:rsidRDefault="00611CBA">
            <w:pPr>
              <w:jc w:val="center"/>
              <w:rPr>
                <w:rFonts w:eastAsiaTheme="minorEastAsia"/>
                <w:b/>
                <w:kern w:val="0"/>
                <w:szCs w:val="21"/>
              </w:rPr>
            </w:pPr>
            <w:r w:rsidRPr="00F9522B">
              <w:rPr>
                <w:rFonts w:eastAsiaTheme="minorEastAsia"/>
                <w:b/>
                <w:kern w:val="0"/>
                <w:szCs w:val="21"/>
              </w:rPr>
              <w:t>水系</w:t>
            </w:r>
          </w:p>
        </w:tc>
        <w:tc>
          <w:tcPr>
            <w:tcW w:w="583" w:type="pct"/>
            <w:shd w:val="clear" w:color="auto" w:fill="FFFFFF"/>
            <w:noWrap/>
            <w:vAlign w:val="center"/>
          </w:tcPr>
          <w:p w:rsidR="002A5A5E" w:rsidRPr="00F9522B" w:rsidRDefault="00611CBA">
            <w:pPr>
              <w:jc w:val="center"/>
              <w:rPr>
                <w:rFonts w:eastAsiaTheme="minorEastAsia"/>
                <w:b/>
                <w:kern w:val="0"/>
                <w:szCs w:val="21"/>
              </w:rPr>
            </w:pPr>
            <w:r w:rsidRPr="00F9522B">
              <w:rPr>
                <w:rFonts w:eastAsiaTheme="minorEastAsia"/>
                <w:b/>
                <w:kern w:val="0"/>
                <w:szCs w:val="21"/>
              </w:rPr>
              <w:t>河流</w:t>
            </w:r>
          </w:p>
        </w:tc>
        <w:tc>
          <w:tcPr>
            <w:tcW w:w="665" w:type="pct"/>
            <w:shd w:val="clear" w:color="auto" w:fill="FFFFFF"/>
            <w:vAlign w:val="center"/>
          </w:tcPr>
          <w:p w:rsidR="002A5A5E" w:rsidRPr="00F9522B" w:rsidRDefault="00611CBA">
            <w:pPr>
              <w:jc w:val="center"/>
              <w:rPr>
                <w:rFonts w:eastAsiaTheme="minorEastAsia"/>
                <w:b/>
                <w:kern w:val="0"/>
                <w:szCs w:val="21"/>
              </w:rPr>
            </w:pPr>
            <w:r w:rsidRPr="00F9522B">
              <w:rPr>
                <w:rFonts w:eastAsiaTheme="minorEastAsia"/>
                <w:b/>
                <w:kern w:val="0"/>
                <w:szCs w:val="21"/>
              </w:rPr>
              <w:t>起始断面</w:t>
            </w:r>
          </w:p>
        </w:tc>
        <w:tc>
          <w:tcPr>
            <w:tcW w:w="830" w:type="pct"/>
            <w:shd w:val="clear" w:color="auto" w:fill="FFFFFF"/>
            <w:vAlign w:val="center"/>
          </w:tcPr>
          <w:p w:rsidR="002A5A5E" w:rsidRPr="00F9522B" w:rsidRDefault="00611CBA">
            <w:pPr>
              <w:jc w:val="center"/>
              <w:rPr>
                <w:rFonts w:eastAsiaTheme="minorEastAsia"/>
                <w:b/>
                <w:kern w:val="0"/>
                <w:szCs w:val="21"/>
              </w:rPr>
            </w:pPr>
            <w:r w:rsidRPr="00F9522B">
              <w:rPr>
                <w:rFonts w:eastAsiaTheme="minorEastAsia"/>
                <w:b/>
                <w:kern w:val="0"/>
                <w:szCs w:val="21"/>
              </w:rPr>
              <w:t>终止断面</w:t>
            </w:r>
          </w:p>
        </w:tc>
        <w:tc>
          <w:tcPr>
            <w:tcW w:w="437" w:type="pct"/>
            <w:shd w:val="clear" w:color="auto" w:fill="FFFFFF"/>
            <w:vAlign w:val="center"/>
          </w:tcPr>
          <w:p w:rsidR="002A5A5E" w:rsidRPr="00F9522B" w:rsidRDefault="00611CBA">
            <w:pPr>
              <w:jc w:val="center"/>
              <w:rPr>
                <w:rFonts w:eastAsiaTheme="minorEastAsia"/>
                <w:b/>
                <w:kern w:val="0"/>
                <w:szCs w:val="21"/>
              </w:rPr>
            </w:pPr>
            <w:r w:rsidRPr="00F9522B">
              <w:rPr>
                <w:rFonts w:eastAsiaTheme="minorEastAsia"/>
                <w:b/>
                <w:kern w:val="0"/>
                <w:szCs w:val="21"/>
              </w:rPr>
              <w:t>长度</w:t>
            </w:r>
          </w:p>
        </w:tc>
        <w:tc>
          <w:tcPr>
            <w:tcW w:w="674" w:type="pct"/>
            <w:shd w:val="clear" w:color="auto" w:fill="FFFFFF"/>
            <w:noWrap/>
            <w:vAlign w:val="center"/>
          </w:tcPr>
          <w:p w:rsidR="002A5A5E" w:rsidRPr="00F9522B" w:rsidRDefault="00611CBA">
            <w:pPr>
              <w:jc w:val="center"/>
              <w:rPr>
                <w:rFonts w:eastAsiaTheme="minorEastAsia"/>
                <w:b/>
                <w:kern w:val="0"/>
                <w:szCs w:val="21"/>
              </w:rPr>
            </w:pPr>
            <w:r w:rsidRPr="00F9522B">
              <w:rPr>
                <w:rFonts w:eastAsiaTheme="minorEastAsia"/>
                <w:b/>
                <w:kern w:val="0"/>
                <w:szCs w:val="21"/>
              </w:rPr>
              <w:t>水质目标</w:t>
            </w:r>
          </w:p>
        </w:tc>
      </w:tr>
      <w:tr w:rsidR="00B42C9D" w:rsidRPr="00F9522B" w:rsidTr="00F46223">
        <w:trPr>
          <w:trHeight w:val="633"/>
        </w:trPr>
        <w:tc>
          <w:tcPr>
            <w:tcW w:w="1145" w:type="pct"/>
            <w:shd w:val="clear" w:color="auto" w:fill="FFFFFF"/>
            <w:vAlign w:val="center"/>
          </w:tcPr>
          <w:p w:rsidR="00B42C9D" w:rsidRPr="00F9522B" w:rsidRDefault="00B42C9D">
            <w:pPr>
              <w:jc w:val="center"/>
              <w:rPr>
                <w:rFonts w:eastAsiaTheme="minorEastAsia"/>
                <w:kern w:val="0"/>
                <w:szCs w:val="21"/>
              </w:rPr>
            </w:pPr>
            <w:r w:rsidRPr="00F9522B">
              <w:rPr>
                <w:rFonts w:eastAsiaTheme="minorEastAsia"/>
                <w:bCs/>
                <w:kern w:val="0"/>
                <w:szCs w:val="21"/>
              </w:rPr>
              <w:t>松花江宾县、巴彦县农业用水区</w:t>
            </w:r>
          </w:p>
        </w:tc>
        <w:tc>
          <w:tcPr>
            <w:tcW w:w="666" w:type="pct"/>
            <w:shd w:val="clear" w:color="auto" w:fill="FFFFFF"/>
            <w:noWrap/>
            <w:vAlign w:val="center"/>
          </w:tcPr>
          <w:p w:rsidR="00B42C9D" w:rsidRPr="00F9522B" w:rsidRDefault="00B42C9D">
            <w:pPr>
              <w:jc w:val="center"/>
              <w:rPr>
                <w:rFonts w:eastAsiaTheme="minorEastAsia"/>
                <w:kern w:val="0"/>
                <w:szCs w:val="21"/>
              </w:rPr>
            </w:pPr>
            <w:r w:rsidRPr="00F9522B">
              <w:rPr>
                <w:rFonts w:eastAsiaTheme="minorEastAsia"/>
                <w:kern w:val="0"/>
                <w:szCs w:val="21"/>
              </w:rPr>
              <w:t>松花江干流</w:t>
            </w:r>
          </w:p>
        </w:tc>
        <w:tc>
          <w:tcPr>
            <w:tcW w:w="583" w:type="pct"/>
            <w:shd w:val="clear" w:color="auto" w:fill="FFFFFF"/>
            <w:noWrap/>
            <w:vAlign w:val="center"/>
          </w:tcPr>
          <w:p w:rsidR="00B42C9D" w:rsidRPr="00F9522B" w:rsidRDefault="00B42C9D" w:rsidP="004C7650">
            <w:pPr>
              <w:jc w:val="center"/>
              <w:rPr>
                <w:rFonts w:eastAsiaTheme="minorEastAsia"/>
                <w:kern w:val="0"/>
                <w:szCs w:val="21"/>
              </w:rPr>
            </w:pPr>
            <w:r w:rsidRPr="00F9522B">
              <w:rPr>
                <w:rFonts w:eastAsiaTheme="minorEastAsia"/>
                <w:kern w:val="0"/>
                <w:szCs w:val="21"/>
              </w:rPr>
              <w:t>松花江干流</w:t>
            </w:r>
          </w:p>
        </w:tc>
        <w:tc>
          <w:tcPr>
            <w:tcW w:w="665" w:type="pct"/>
            <w:shd w:val="clear" w:color="auto" w:fill="FFFFFF"/>
            <w:vAlign w:val="center"/>
          </w:tcPr>
          <w:p w:rsidR="00B42C9D" w:rsidRPr="00F9522B" w:rsidRDefault="00B42C9D" w:rsidP="004C7650">
            <w:pPr>
              <w:jc w:val="center"/>
              <w:rPr>
                <w:rFonts w:eastAsiaTheme="minorEastAsia"/>
                <w:kern w:val="0"/>
                <w:szCs w:val="21"/>
              </w:rPr>
            </w:pPr>
            <w:r w:rsidRPr="00F9522B">
              <w:rPr>
                <w:rFonts w:eastAsiaTheme="minorEastAsia"/>
                <w:kern w:val="0"/>
                <w:szCs w:val="21"/>
              </w:rPr>
              <w:t>大顶子山</w:t>
            </w:r>
          </w:p>
        </w:tc>
        <w:tc>
          <w:tcPr>
            <w:tcW w:w="830" w:type="pct"/>
            <w:shd w:val="clear" w:color="auto" w:fill="FFFFFF"/>
            <w:vAlign w:val="center"/>
          </w:tcPr>
          <w:p w:rsidR="00B42C9D" w:rsidRPr="00F9522B" w:rsidRDefault="00B42C9D" w:rsidP="004C7650">
            <w:pPr>
              <w:jc w:val="center"/>
              <w:rPr>
                <w:rFonts w:eastAsiaTheme="minorEastAsia"/>
                <w:kern w:val="0"/>
                <w:szCs w:val="21"/>
              </w:rPr>
            </w:pPr>
            <w:r w:rsidRPr="00F9522B">
              <w:rPr>
                <w:rFonts w:eastAsiaTheme="minorEastAsia"/>
                <w:kern w:val="0"/>
                <w:szCs w:val="21"/>
              </w:rPr>
              <w:t>木兰县贮木厂</w:t>
            </w:r>
          </w:p>
        </w:tc>
        <w:tc>
          <w:tcPr>
            <w:tcW w:w="437" w:type="pct"/>
            <w:shd w:val="clear" w:color="auto" w:fill="FFFFFF"/>
            <w:vAlign w:val="center"/>
          </w:tcPr>
          <w:p w:rsidR="00B42C9D" w:rsidRPr="00F9522B" w:rsidRDefault="00B42C9D" w:rsidP="004C7650">
            <w:pPr>
              <w:jc w:val="center"/>
              <w:rPr>
                <w:rFonts w:eastAsiaTheme="minorEastAsia"/>
                <w:kern w:val="0"/>
                <w:szCs w:val="21"/>
              </w:rPr>
            </w:pPr>
            <w:r w:rsidRPr="00F9522B">
              <w:rPr>
                <w:rFonts w:eastAsiaTheme="minorEastAsia"/>
                <w:kern w:val="0"/>
                <w:szCs w:val="21"/>
              </w:rPr>
              <w:t>63.2</w:t>
            </w:r>
          </w:p>
        </w:tc>
        <w:tc>
          <w:tcPr>
            <w:tcW w:w="674" w:type="pct"/>
            <w:shd w:val="clear" w:color="auto" w:fill="FFFFFF"/>
            <w:noWrap/>
            <w:vAlign w:val="center"/>
          </w:tcPr>
          <w:p w:rsidR="00B42C9D" w:rsidRPr="00F9522B" w:rsidRDefault="00B42C9D" w:rsidP="004C7650">
            <w:pPr>
              <w:jc w:val="center"/>
              <w:rPr>
                <w:rFonts w:eastAsiaTheme="minorEastAsia"/>
                <w:kern w:val="0"/>
                <w:szCs w:val="21"/>
              </w:rPr>
            </w:pPr>
            <w:r w:rsidRPr="00F9522B">
              <w:rPr>
                <w:rFonts w:eastAsiaTheme="minorEastAsia"/>
                <w:bCs/>
                <w:kern w:val="0"/>
                <w:szCs w:val="21"/>
              </w:rPr>
              <w:t>Ⅲ</w:t>
            </w:r>
          </w:p>
        </w:tc>
      </w:tr>
    </w:tbl>
    <w:p w:rsidR="002A5A5E" w:rsidRPr="00F9522B" w:rsidRDefault="00611CBA" w:rsidP="00B42C9D">
      <w:pPr>
        <w:spacing w:line="360" w:lineRule="auto"/>
        <w:ind w:firstLineChars="200" w:firstLine="480"/>
        <w:contextualSpacing/>
        <w:rPr>
          <w:rFonts w:eastAsiaTheme="minorEastAsia"/>
          <w:bCs/>
          <w:kern w:val="0"/>
          <w:sz w:val="24"/>
          <w:szCs w:val="21"/>
        </w:rPr>
      </w:pPr>
      <w:r w:rsidRPr="00F9522B">
        <w:rPr>
          <w:rFonts w:eastAsiaTheme="minorEastAsia"/>
          <w:bCs/>
          <w:kern w:val="0"/>
          <w:sz w:val="24"/>
          <w:szCs w:val="21"/>
        </w:rPr>
        <w:t>本项目涉及</w:t>
      </w:r>
      <w:r w:rsidR="00B42C9D" w:rsidRPr="00F9522B">
        <w:rPr>
          <w:rFonts w:eastAsiaTheme="minorEastAsia"/>
          <w:bCs/>
          <w:kern w:val="0"/>
          <w:sz w:val="24"/>
          <w:szCs w:val="21"/>
        </w:rPr>
        <w:t>松花江河</w:t>
      </w:r>
      <w:r w:rsidRPr="00F9522B">
        <w:rPr>
          <w:rFonts w:eastAsiaTheme="minorEastAsia"/>
          <w:bCs/>
          <w:kern w:val="0"/>
          <w:sz w:val="24"/>
          <w:szCs w:val="21"/>
        </w:rPr>
        <w:t>段</w:t>
      </w:r>
      <w:r w:rsidR="00B42C9D" w:rsidRPr="00F9522B">
        <w:rPr>
          <w:rFonts w:eastAsiaTheme="minorEastAsia"/>
          <w:bCs/>
          <w:kern w:val="0"/>
          <w:sz w:val="24"/>
          <w:szCs w:val="21"/>
        </w:rPr>
        <w:t>二</w:t>
      </w:r>
      <w:r w:rsidRPr="00F9522B">
        <w:rPr>
          <w:rFonts w:eastAsiaTheme="minorEastAsia"/>
          <w:bCs/>
          <w:kern w:val="0"/>
          <w:sz w:val="24"/>
          <w:szCs w:val="21"/>
        </w:rPr>
        <w:t>级水功能区为</w:t>
      </w:r>
      <w:r w:rsidR="00B42C9D" w:rsidRPr="00F9522B">
        <w:rPr>
          <w:rFonts w:eastAsiaTheme="minorEastAsia"/>
          <w:bCs/>
          <w:kern w:val="0"/>
          <w:sz w:val="24"/>
          <w:szCs w:val="21"/>
        </w:rPr>
        <w:t>松花江宾县、巴彦县农业用水区</w:t>
      </w:r>
      <w:r w:rsidRPr="00F9522B">
        <w:rPr>
          <w:rFonts w:eastAsiaTheme="minorEastAsia"/>
          <w:bCs/>
          <w:kern w:val="0"/>
          <w:sz w:val="24"/>
          <w:szCs w:val="21"/>
        </w:rPr>
        <w:t>，水质目标为</w:t>
      </w:r>
      <w:r w:rsidRPr="00F9522B">
        <w:rPr>
          <w:rFonts w:eastAsiaTheme="minorEastAsia"/>
          <w:bCs/>
          <w:kern w:val="0"/>
          <w:sz w:val="24"/>
          <w:szCs w:val="21"/>
        </w:rPr>
        <w:t>Ⅲ</w:t>
      </w:r>
      <w:r w:rsidR="00B42C9D" w:rsidRPr="00F9522B">
        <w:rPr>
          <w:rFonts w:eastAsiaTheme="minorEastAsia"/>
          <w:bCs/>
          <w:kern w:val="0"/>
          <w:sz w:val="24"/>
          <w:szCs w:val="21"/>
        </w:rPr>
        <w:t>类。</w:t>
      </w:r>
      <w:r w:rsidRPr="00F9522B">
        <w:rPr>
          <w:rFonts w:eastAsiaTheme="minorEastAsia"/>
          <w:bCs/>
          <w:kern w:val="0"/>
          <w:sz w:val="24"/>
          <w:szCs w:val="21"/>
        </w:rPr>
        <w:t>漂河</w:t>
      </w:r>
      <w:r w:rsidRPr="00F9522B">
        <w:rPr>
          <w:rFonts w:eastAsiaTheme="minorEastAsia"/>
          <w:bCs/>
          <w:kern w:val="0"/>
          <w:sz w:val="24"/>
        </w:rPr>
        <w:t>未划分水功能区，漂河汇入少陵河，</w:t>
      </w:r>
      <w:r w:rsidRPr="00F9522B">
        <w:rPr>
          <w:rFonts w:eastAsiaTheme="minorEastAsia"/>
          <w:kern w:val="24"/>
          <w:sz w:val="24"/>
        </w:rPr>
        <w:t>根据</w:t>
      </w:r>
      <w:r w:rsidRPr="00F9522B">
        <w:rPr>
          <w:rFonts w:eastAsiaTheme="minorEastAsia"/>
          <w:kern w:val="0"/>
          <w:sz w:val="24"/>
        </w:rPr>
        <w:t>《</w:t>
      </w:r>
      <w:r w:rsidRPr="00F9522B">
        <w:rPr>
          <w:rFonts w:eastAsiaTheme="minorEastAsia"/>
          <w:kern w:val="0"/>
          <w:sz w:val="24"/>
        </w:rPr>
        <w:t>2024</w:t>
      </w:r>
      <w:r w:rsidRPr="00F9522B">
        <w:rPr>
          <w:rFonts w:eastAsiaTheme="minorEastAsia"/>
          <w:kern w:val="0"/>
          <w:sz w:val="24"/>
        </w:rPr>
        <w:t>年哈尔滨生态环境质量状况年报》，</w:t>
      </w:r>
      <w:r w:rsidRPr="00F9522B">
        <w:rPr>
          <w:rFonts w:eastAsiaTheme="minorEastAsia"/>
          <w:bCs/>
          <w:kern w:val="0"/>
          <w:sz w:val="24"/>
        </w:rPr>
        <w:t>少陵河水质目标为</w:t>
      </w:r>
      <w:r w:rsidR="005273A1" w:rsidRPr="00F9522B">
        <w:rPr>
          <w:rFonts w:eastAsiaTheme="minorEastAsia"/>
          <w:bCs/>
          <w:kern w:val="0"/>
          <w:sz w:val="24"/>
        </w:rPr>
        <w:fldChar w:fldCharType="begin"/>
      </w:r>
      <w:r w:rsidRPr="00F9522B">
        <w:rPr>
          <w:rFonts w:eastAsiaTheme="minorEastAsia"/>
          <w:bCs/>
          <w:kern w:val="0"/>
          <w:sz w:val="24"/>
        </w:rPr>
        <w:instrText xml:space="preserve"> = 5 \* ROMAN </w:instrText>
      </w:r>
      <w:r w:rsidR="005273A1" w:rsidRPr="00F9522B">
        <w:rPr>
          <w:rFonts w:eastAsiaTheme="minorEastAsia"/>
          <w:bCs/>
          <w:kern w:val="0"/>
          <w:sz w:val="24"/>
        </w:rPr>
        <w:fldChar w:fldCharType="separate"/>
      </w:r>
      <w:r w:rsidRPr="00F9522B">
        <w:rPr>
          <w:rFonts w:eastAsiaTheme="minorEastAsia"/>
          <w:bCs/>
          <w:kern w:val="0"/>
          <w:sz w:val="24"/>
        </w:rPr>
        <w:t>V</w:t>
      </w:r>
      <w:r w:rsidR="005273A1" w:rsidRPr="00F9522B">
        <w:rPr>
          <w:rFonts w:eastAsiaTheme="minorEastAsia"/>
          <w:bCs/>
          <w:kern w:val="0"/>
          <w:sz w:val="24"/>
        </w:rPr>
        <w:fldChar w:fldCharType="end"/>
      </w:r>
      <w:r w:rsidRPr="00F9522B">
        <w:rPr>
          <w:rFonts w:eastAsiaTheme="minorEastAsia"/>
          <w:bCs/>
          <w:kern w:val="0"/>
          <w:sz w:val="24"/>
        </w:rPr>
        <w:t>类，漂河参照少陵河执行</w:t>
      </w:r>
      <w:r w:rsidRPr="00F9522B">
        <w:rPr>
          <w:rFonts w:eastAsiaTheme="minorEastAsia"/>
          <w:kern w:val="24"/>
          <w:sz w:val="24"/>
        </w:rPr>
        <w:t>。</w:t>
      </w:r>
    </w:p>
    <w:p w:rsidR="002A5A5E" w:rsidRPr="00F9522B" w:rsidRDefault="00611CBA">
      <w:pPr>
        <w:spacing w:line="360" w:lineRule="auto"/>
        <w:ind w:firstLineChars="200" w:firstLine="480"/>
        <w:contextualSpacing/>
        <w:rPr>
          <w:rFonts w:eastAsiaTheme="minorEastAsia"/>
          <w:kern w:val="24"/>
          <w:sz w:val="24"/>
        </w:rPr>
      </w:pPr>
      <w:r w:rsidRPr="00F9522B">
        <w:rPr>
          <w:rFonts w:eastAsiaTheme="minorEastAsia"/>
          <w:kern w:val="24"/>
          <w:sz w:val="24"/>
        </w:rPr>
        <w:t>（</w:t>
      </w:r>
      <w:r w:rsidRPr="00F9522B">
        <w:rPr>
          <w:rFonts w:eastAsiaTheme="minorEastAsia"/>
          <w:kern w:val="24"/>
          <w:sz w:val="24"/>
        </w:rPr>
        <w:t>3</w:t>
      </w:r>
      <w:r w:rsidRPr="00F9522B">
        <w:rPr>
          <w:rFonts w:eastAsiaTheme="minorEastAsia"/>
          <w:kern w:val="24"/>
          <w:sz w:val="24"/>
        </w:rPr>
        <w:t>）声环境：本项目工程所在区域均为农村地区，未进行声环境功能区划，根据《声环境质量标准》（</w:t>
      </w:r>
      <w:r w:rsidRPr="00F9522B">
        <w:rPr>
          <w:rFonts w:eastAsiaTheme="minorEastAsia"/>
          <w:kern w:val="24"/>
          <w:sz w:val="24"/>
        </w:rPr>
        <w:t>GB3096-2008</w:t>
      </w:r>
      <w:r w:rsidRPr="00F9522B">
        <w:rPr>
          <w:rFonts w:eastAsiaTheme="minorEastAsia"/>
          <w:kern w:val="24"/>
          <w:sz w:val="24"/>
        </w:rPr>
        <w:t>）</w:t>
      </w:r>
      <w:r w:rsidR="009E72CC" w:rsidRPr="00F9522B">
        <w:rPr>
          <w:rFonts w:eastAsiaTheme="minorEastAsia"/>
          <w:kern w:val="24"/>
          <w:sz w:val="24"/>
        </w:rPr>
        <w:t>、</w:t>
      </w:r>
      <w:r w:rsidRPr="00F9522B">
        <w:rPr>
          <w:rFonts w:eastAsiaTheme="minorEastAsia"/>
          <w:kern w:val="24"/>
          <w:sz w:val="24"/>
        </w:rPr>
        <w:t>《声环境功能区划分技术规范》（</w:t>
      </w:r>
      <w:r w:rsidRPr="00F9522B">
        <w:rPr>
          <w:rFonts w:eastAsiaTheme="minorEastAsia"/>
          <w:kern w:val="24"/>
          <w:sz w:val="24"/>
        </w:rPr>
        <w:t>GB/T15190-2014</w:t>
      </w:r>
      <w:r w:rsidRPr="00F9522B">
        <w:rPr>
          <w:rFonts w:eastAsiaTheme="minorEastAsia"/>
          <w:kern w:val="24"/>
          <w:sz w:val="24"/>
        </w:rPr>
        <w:t>）要求，</w:t>
      </w:r>
      <w:r w:rsidRPr="00F9522B">
        <w:rPr>
          <w:rFonts w:eastAsiaTheme="minorEastAsia"/>
          <w:sz w:val="24"/>
        </w:rPr>
        <w:t>项目</w:t>
      </w:r>
      <w:r w:rsidRPr="00F9522B">
        <w:rPr>
          <w:rFonts w:eastAsiaTheme="minorEastAsia"/>
          <w:kern w:val="24"/>
          <w:sz w:val="24"/>
        </w:rPr>
        <w:t>区域</w:t>
      </w:r>
      <w:r w:rsidRPr="00F9522B">
        <w:rPr>
          <w:rFonts w:eastAsiaTheme="minorEastAsia"/>
          <w:kern w:val="24"/>
          <w:sz w:val="24"/>
        </w:rPr>
        <w:t>G102</w:t>
      </w:r>
      <w:r w:rsidRPr="00F9522B">
        <w:rPr>
          <w:rFonts w:eastAsiaTheme="minorEastAsia"/>
          <w:kern w:val="24"/>
          <w:sz w:val="24"/>
        </w:rPr>
        <w:t>附近村屯区域为</w:t>
      </w:r>
      <w:r w:rsidRPr="00F9522B">
        <w:rPr>
          <w:rFonts w:eastAsiaTheme="minorEastAsia"/>
          <w:kern w:val="24"/>
          <w:sz w:val="24"/>
        </w:rPr>
        <w:t>2</w:t>
      </w:r>
      <w:r w:rsidRPr="00F9522B">
        <w:rPr>
          <w:rFonts w:eastAsiaTheme="minorEastAsia"/>
          <w:kern w:val="24"/>
          <w:sz w:val="24"/>
        </w:rPr>
        <w:t>类区，其余区域为</w:t>
      </w:r>
      <w:r w:rsidRPr="00F9522B">
        <w:rPr>
          <w:rFonts w:eastAsiaTheme="minorEastAsia"/>
          <w:kern w:val="24"/>
          <w:sz w:val="24"/>
        </w:rPr>
        <w:t>1</w:t>
      </w:r>
      <w:r w:rsidRPr="00F9522B">
        <w:rPr>
          <w:rFonts w:eastAsiaTheme="minorEastAsia"/>
          <w:kern w:val="24"/>
          <w:sz w:val="24"/>
        </w:rPr>
        <w:t>类区。</w:t>
      </w:r>
    </w:p>
    <w:p w:rsidR="002A5A5E" w:rsidRPr="00F9522B" w:rsidRDefault="00611CBA">
      <w:pPr>
        <w:pStyle w:val="aff4"/>
        <w:adjustRightInd/>
        <w:snapToGrid/>
        <w:contextualSpacing/>
        <w:jc w:val="both"/>
        <w:rPr>
          <w:rFonts w:ascii="Times New Roman" w:hAnsi="Times New Roman" w:cs="Times New Roman"/>
          <w:kern w:val="24"/>
        </w:rPr>
      </w:pPr>
      <w:r w:rsidRPr="00F9522B">
        <w:rPr>
          <w:rFonts w:ascii="Times New Roman" w:hAnsi="Times New Roman" w:cs="Times New Roman"/>
          <w:kern w:val="24"/>
        </w:rPr>
        <w:t>（</w:t>
      </w:r>
      <w:r w:rsidRPr="00F9522B">
        <w:rPr>
          <w:rFonts w:ascii="Times New Roman" w:hAnsi="Times New Roman" w:cs="Times New Roman"/>
          <w:kern w:val="24"/>
        </w:rPr>
        <w:t>4</w:t>
      </w:r>
      <w:r w:rsidRPr="00F9522B">
        <w:rPr>
          <w:rFonts w:ascii="Times New Roman" w:hAnsi="Times New Roman" w:cs="Times New Roman"/>
          <w:kern w:val="24"/>
        </w:rPr>
        <w:t>）地下水环境：评价区内地下水适用于集中式生活饮用水水源及工农业用水，地下水质量分类为</w:t>
      </w:r>
      <w:r w:rsidRPr="00F9522B">
        <w:rPr>
          <w:rFonts w:ascii="Times New Roman" w:hAnsi="Times New Roman" w:cs="Times New Roman"/>
          <w:kern w:val="24"/>
        </w:rPr>
        <w:t>Ⅲ</w:t>
      </w:r>
      <w:r w:rsidRPr="00F9522B">
        <w:rPr>
          <w:rFonts w:ascii="Times New Roman" w:hAnsi="Times New Roman" w:cs="Times New Roman"/>
          <w:kern w:val="24"/>
        </w:rPr>
        <w:t>类，执行《地下水质量标准》（</w:t>
      </w:r>
      <w:r w:rsidRPr="00F9522B">
        <w:rPr>
          <w:rFonts w:ascii="Times New Roman" w:hAnsi="Times New Roman" w:cs="Times New Roman"/>
          <w:kern w:val="24"/>
        </w:rPr>
        <w:t>GB/T14848-2017</w:t>
      </w:r>
      <w:r w:rsidRPr="00F9522B">
        <w:rPr>
          <w:rFonts w:ascii="Times New Roman" w:hAnsi="Times New Roman" w:cs="Times New Roman"/>
          <w:kern w:val="24"/>
        </w:rPr>
        <w:t>）中</w:t>
      </w:r>
      <w:r w:rsidR="005273A1" w:rsidRPr="00F9522B">
        <w:rPr>
          <w:rFonts w:ascii="Times New Roman" w:hAnsi="Times New Roman" w:cs="Times New Roman"/>
          <w:kern w:val="24"/>
        </w:rPr>
        <w:fldChar w:fldCharType="begin"/>
      </w:r>
      <w:r w:rsidRPr="00F9522B">
        <w:rPr>
          <w:rFonts w:ascii="Times New Roman" w:hAnsi="Times New Roman" w:cs="Times New Roman"/>
          <w:kern w:val="24"/>
        </w:rPr>
        <w:instrText xml:space="preserve"> = 3 \* ROMAN </w:instrText>
      </w:r>
      <w:r w:rsidR="005273A1" w:rsidRPr="00F9522B">
        <w:rPr>
          <w:rFonts w:ascii="Times New Roman" w:hAnsi="Times New Roman" w:cs="Times New Roman"/>
          <w:kern w:val="24"/>
        </w:rPr>
        <w:fldChar w:fldCharType="separate"/>
      </w:r>
      <w:r w:rsidRPr="00F9522B">
        <w:rPr>
          <w:rFonts w:ascii="Times New Roman" w:hAnsi="Times New Roman" w:cs="Times New Roman"/>
          <w:kern w:val="24"/>
        </w:rPr>
        <w:t>III</w:t>
      </w:r>
      <w:r w:rsidR="005273A1" w:rsidRPr="00F9522B">
        <w:rPr>
          <w:rFonts w:ascii="Times New Roman" w:hAnsi="Times New Roman" w:cs="Times New Roman"/>
          <w:kern w:val="24"/>
        </w:rPr>
        <w:fldChar w:fldCharType="end"/>
      </w:r>
      <w:r w:rsidRPr="00F9522B">
        <w:rPr>
          <w:rFonts w:ascii="Times New Roman" w:hAnsi="Times New Roman" w:cs="Times New Roman"/>
          <w:kern w:val="24"/>
        </w:rPr>
        <w:t>类标准。</w:t>
      </w:r>
    </w:p>
    <w:p w:rsidR="002A5A5E" w:rsidRPr="00F9522B" w:rsidRDefault="00611CBA">
      <w:pPr>
        <w:pStyle w:val="30"/>
        <w:spacing w:before="100" w:beforeAutospacing="1" w:after="100" w:afterAutospacing="1" w:line="240" w:lineRule="auto"/>
        <w:ind w:firstLineChars="0" w:firstLine="0"/>
        <w:rPr>
          <w:rFonts w:ascii="Times New Roman" w:eastAsiaTheme="minorEastAsia" w:hAnsi="Times New Roman" w:cs="Times New Roman"/>
          <w:b/>
          <w:sz w:val="28"/>
          <w:szCs w:val="28"/>
        </w:rPr>
      </w:pPr>
      <w:r w:rsidRPr="00F9522B">
        <w:rPr>
          <w:rFonts w:ascii="Times New Roman" w:eastAsiaTheme="minorEastAsia" w:hAnsi="Times New Roman" w:cs="Times New Roman"/>
          <w:b/>
          <w:sz w:val="28"/>
          <w:szCs w:val="28"/>
        </w:rPr>
        <w:t>2.5.2</w:t>
      </w:r>
      <w:r w:rsidRPr="00F9522B">
        <w:rPr>
          <w:rFonts w:ascii="Times New Roman" w:eastAsiaTheme="minorEastAsia" w:hAnsi="Times New Roman" w:cs="Times New Roman"/>
          <w:b/>
          <w:sz w:val="28"/>
          <w:szCs w:val="28"/>
        </w:rPr>
        <w:t>环境质量标准</w:t>
      </w:r>
    </w:p>
    <w:p w:rsidR="002A5A5E" w:rsidRPr="00F9522B" w:rsidRDefault="00611CBA">
      <w:pPr>
        <w:widowControl/>
        <w:spacing w:line="360" w:lineRule="auto"/>
        <w:ind w:firstLineChars="200" w:firstLine="480"/>
        <w:jc w:val="left"/>
        <w:rPr>
          <w:rFonts w:eastAsiaTheme="minorEastAsia"/>
          <w:kern w:val="0"/>
          <w:sz w:val="24"/>
        </w:rPr>
      </w:pPr>
      <w:r w:rsidRPr="00F9522B">
        <w:rPr>
          <w:rFonts w:eastAsiaTheme="minorEastAsia"/>
          <w:kern w:val="0"/>
          <w:sz w:val="24"/>
        </w:rPr>
        <w:t>本项目环境质量标准见下表。</w:t>
      </w:r>
    </w:p>
    <w:p w:rsidR="002A5A5E" w:rsidRPr="00F9522B" w:rsidRDefault="00611CBA">
      <w:pPr>
        <w:widowControl/>
        <w:jc w:val="center"/>
        <w:rPr>
          <w:rFonts w:eastAsiaTheme="minorEastAsia"/>
          <w:b/>
          <w:szCs w:val="21"/>
        </w:rPr>
      </w:pPr>
      <w:r w:rsidRPr="00F9522B">
        <w:rPr>
          <w:rFonts w:eastAsiaTheme="minorEastAsia"/>
          <w:b/>
          <w:szCs w:val="21"/>
        </w:rPr>
        <w:lastRenderedPageBreak/>
        <w:t>表</w:t>
      </w:r>
      <w:r w:rsidRPr="00F9522B">
        <w:rPr>
          <w:rFonts w:eastAsiaTheme="minorEastAsia"/>
          <w:b/>
          <w:szCs w:val="21"/>
        </w:rPr>
        <w:t>2-5-2</w:t>
      </w:r>
      <w:r w:rsidRPr="00F9522B">
        <w:rPr>
          <w:rFonts w:eastAsiaTheme="minorEastAsia"/>
          <w:b/>
          <w:szCs w:val="21"/>
        </w:rPr>
        <w:t>环境质量标准表</w:t>
      </w:r>
    </w:p>
    <w:tbl>
      <w:tblPr>
        <w:tblW w:w="8197" w:type="dxa"/>
        <w:jc w:val="center"/>
        <w:tblBorders>
          <w:top w:val="single" w:sz="12" w:space="0" w:color="auto"/>
          <w:bottom w:val="single" w:sz="12" w:space="0" w:color="auto"/>
          <w:insideH w:val="single" w:sz="6" w:space="0" w:color="auto"/>
          <w:insideV w:val="single" w:sz="6" w:space="0" w:color="auto"/>
        </w:tblBorders>
        <w:tblLayout w:type="fixed"/>
        <w:tblLook w:val="04A0"/>
      </w:tblPr>
      <w:tblGrid>
        <w:gridCol w:w="654"/>
        <w:gridCol w:w="2269"/>
        <w:gridCol w:w="1134"/>
        <w:gridCol w:w="992"/>
        <w:gridCol w:w="1985"/>
        <w:gridCol w:w="1145"/>
        <w:gridCol w:w="18"/>
      </w:tblGrid>
      <w:tr w:rsidR="002A5A5E" w:rsidRPr="00F9522B">
        <w:trPr>
          <w:trHeight w:val="275"/>
          <w:jc w:val="center"/>
        </w:trPr>
        <w:tc>
          <w:tcPr>
            <w:tcW w:w="654" w:type="dxa"/>
            <w:vMerge w:val="restart"/>
            <w:vAlign w:val="center"/>
          </w:tcPr>
          <w:p w:rsidR="002A5A5E" w:rsidRPr="00F9522B" w:rsidRDefault="00611CBA">
            <w:pPr>
              <w:snapToGrid w:val="0"/>
              <w:spacing w:line="0" w:lineRule="atLeast"/>
              <w:jc w:val="center"/>
              <w:rPr>
                <w:rFonts w:eastAsiaTheme="minorEastAsia"/>
                <w:kern w:val="0"/>
                <w:szCs w:val="21"/>
              </w:rPr>
            </w:pPr>
            <w:r w:rsidRPr="00F9522B">
              <w:rPr>
                <w:rFonts w:eastAsiaTheme="minorEastAsia"/>
                <w:kern w:val="0"/>
                <w:szCs w:val="21"/>
              </w:rPr>
              <w:t>环境要素</w:t>
            </w:r>
          </w:p>
        </w:tc>
        <w:tc>
          <w:tcPr>
            <w:tcW w:w="2269" w:type="dxa"/>
            <w:vMerge w:val="restart"/>
            <w:vAlign w:val="center"/>
          </w:tcPr>
          <w:p w:rsidR="002A5A5E" w:rsidRPr="00F9522B" w:rsidRDefault="00611CBA">
            <w:pPr>
              <w:snapToGrid w:val="0"/>
              <w:spacing w:line="0" w:lineRule="atLeast"/>
              <w:jc w:val="center"/>
              <w:rPr>
                <w:rFonts w:eastAsiaTheme="minorEastAsia"/>
                <w:kern w:val="0"/>
                <w:szCs w:val="21"/>
              </w:rPr>
            </w:pPr>
            <w:r w:rsidRPr="00F9522B">
              <w:rPr>
                <w:rFonts w:eastAsiaTheme="minorEastAsia"/>
                <w:kern w:val="0"/>
                <w:szCs w:val="21"/>
              </w:rPr>
              <w:t>标准名称及级（类）别</w:t>
            </w:r>
          </w:p>
        </w:tc>
        <w:tc>
          <w:tcPr>
            <w:tcW w:w="1134" w:type="dxa"/>
            <w:vMerge w:val="restart"/>
            <w:vAlign w:val="center"/>
          </w:tcPr>
          <w:p w:rsidR="002A5A5E" w:rsidRPr="00F9522B" w:rsidRDefault="00611CBA">
            <w:pPr>
              <w:snapToGrid w:val="0"/>
              <w:spacing w:line="0" w:lineRule="atLeast"/>
              <w:jc w:val="center"/>
              <w:rPr>
                <w:rFonts w:eastAsiaTheme="minorEastAsia"/>
                <w:kern w:val="0"/>
                <w:szCs w:val="21"/>
              </w:rPr>
            </w:pPr>
            <w:r w:rsidRPr="00F9522B">
              <w:rPr>
                <w:rFonts w:eastAsiaTheme="minorEastAsia"/>
                <w:kern w:val="0"/>
                <w:szCs w:val="21"/>
              </w:rPr>
              <w:t>项目</w:t>
            </w:r>
          </w:p>
        </w:tc>
        <w:tc>
          <w:tcPr>
            <w:tcW w:w="4140" w:type="dxa"/>
            <w:gridSpan w:val="4"/>
            <w:vAlign w:val="center"/>
          </w:tcPr>
          <w:p w:rsidR="002A5A5E" w:rsidRPr="00F9522B" w:rsidRDefault="00611CBA">
            <w:pPr>
              <w:snapToGrid w:val="0"/>
              <w:spacing w:line="0" w:lineRule="atLeast"/>
              <w:jc w:val="center"/>
              <w:rPr>
                <w:rFonts w:eastAsiaTheme="minorEastAsia"/>
                <w:kern w:val="0"/>
                <w:szCs w:val="21"/>
              </w:rPr>
            </w:pPr>
            <w:r w:rsidRPr="00F9522B">
              <w:rPr>
                <w:rFonts w:eastAsiaTheme="minorEastAsia"/>
                <w:kern w:val="0"/>
                <w:szCs w:val="21"/>
              </w:rPr>
              <w:t>标准值</w:t>
            </w:r>
          </w:p>
        </w:tc>
      </w:tr>
      <w:tr w:rsidR="002A5A5E" w:rsidRPr="00F9522B">
        <w:trPr>
          <w:trHeight w:val="61"/>
          <w:jc w:val="center"/>
        </w:trPr>
        <w:tc>
          <w:tcPr>
            <w:tcW w:w="654" w:type="dxa"/>
            <w:vMerge/>
            <w:vAlign w:val="center"/>
          </w:tcPr>
          <w:p w:rsidR="002A5A5E" w:rsidRPr="00F9522B" w:rsidRDefault="002A5A5E">
            <w:pPr>
              <w:widowControl/>
              <w:jc w:val="left"/>
              <w:rPr>
                <w:rFonts w:eastAsiaTheme="minorEastAsia"/>
                <w:kern w:val="0"/>
                <w:szCs w:val="21"/>
              </w:rPr>
            </w:pPr>
          </w:p>
        </w:tc>
        <w:tc>
          <w:tcPr>
            <w:tcW w:w="2269" w:type="dxa"/>
            <w:vMerge/>
            <w:vAlign w:val="center"/>
          </w:tcPr>
          <w:p w:rsidR="002A5A5E" w:rsidRPr="00F9522B" w:rsidRDefault="002A5A5E">
            <w:pPr>
              <w:widowControl/>
              <w:jc w:val="left"/>
              <w:rPr>
                <w:rFonts w:eastAsiaTheme="minorEastAsia"/>
                <w:kern w:val="0"/>
                <w:szCs w:val="21"/>
              </w:rPr>
            </w:pPr>
          </w:p>
        </w:tc>
        <w:tc>
          <w:tcPr>
            <w:tcW w:w="1134" w:type="dxa"/>
            <w:vMerge/>
            <w:vAlign w:val="center"/>
          </w:tcPr>
          <w:p w:rsidR="002A5A5E" w:rsidRPr="00F9522B" w:rsidRDefault="002A5A5E">
            <w:pPr>
              <w:widowControl/>
              <w:jc w:val="left"/>
              <w:rPr>
                <w:rFonts w:eastAsiaTheme="minorEastAsia"/>
                <w:kern w:val="0"/>
                <w:szCs w:val="21"/>
              </w:rPr>
            </w:pPr>
          </w:p>
        </w:tc>
        <w:tc>
          <w:tcPr>
            <w:tcW w:w="992" w:type="dxa"/>
            <w:vAlign w:val="center"/>
          </w:tcPr>
          <w:p w:rsidR="002A5A5E" w:rsidRPr="00F9522B" w:rsidRDefault="00611CBA">
            <w:pPr>
              <w:snapToGrid w:val="0"/>
              <w:spacing w:line="0" w:lineRule="atLeast"/>
              <w:jc w:val="center"/>
              <w:rPr>
                <w:rFonts w:eastAsiaTheme="minorEastAsia"/>
                <w:kern w:val="0"/>
                <w:szCs w:val="21"/>
              </w:rPr>
            </w:pPr>
            <w:r w:rsidRPr="00F9522B">
              <w:rPr>
                <w:rFonts w:eastAsiaTheme="minorEastAsia"/>
                <w:kern w:val="0"/>
                <w:szCs w:val="21"/>
              </w:rPr>
              <w:t>单位</w:t>
            </w:r>
          </w:p>
        </w:tc>
        <w:tc>
          <w:tcPr>
            <w:tcW w:w="3148" w:type="dxa"/>
            <w:gridSpan w:val="3"/>
            <w:vAlign w:val="center"/>
          </w:tcPr>
          <w:p w:rsidR="002A5A5E" w:rsidRPr="00F9522B" w:rsidRDefault="00611CBA">
            <w:pPr>
              <w:snapToGrid w:val="0"/>
              <w:spacing w:line="0" w:lineRule="atLeast"/>
              <w:jc w:val="center"/>
              <w:rPr>
                <w:rFonts w:eastAsiaTheme="minorEastAsia"/>
                <w:kern w:val="0"/>
                <w:szCs w:val="21"/>
              </w:rPr>
            </w:pPr>
            <w:r w:rsidRPr="00F9522B">
              <w:rPr>
                <w:rFonts w:eastAsiaTheme="minorEastAsia"/>
                <w:kern w:val="0"/>
                <w:szCs w:val="21"/>
              </w:rPr>
              <w:t>数值</w:t>
            </w:r>
          </w:p>
        </w:tc>
      </w:tr>
      <w:tr w:rsidR="002A5A5E" w:rsidRPr="00F9522B" w:rsidTr="00775632">
        <w:trPr>
          <w:trHeight w:val="296"/>
          <w:jc w:val="center"/>
        </w:trPr>
        <w:tc>
          <w:tcPr>
            <w:tcW w:w="654" w:type="dxa"/>
            <w:vMerge w:val="restart"/>
            <w:vAlign w:val="center"/>
          </w:tcPr>
          <w:p w:rsidR="002A5A5E" w:rsidRPr="00F9522B" w:rsidRDefault="00611CBA">
            <w:pPr>
              <w:snapToGrid w:val="0"/>
              <w:spacing w:line="0" w:lineRule="atLeast"/>
              <w:jc w:val="center"/>
              <w:rPr>
                <w:rFonts w:eastAsiaTheme="minorEastAsia"/>
                <w:kern w:val="0"/>
                <w:szCs w:val="21"/>
              </w:rPr>
            </w:pPr>
            <w:r w:rsidRPr="00F9522B">
              <w:rPr>
                <w:rFonts w:eastAsiaTheme="minorEastAsia"/>
                <w:kern w:val="0"/>
                <w:szCs w:val="21"/>
              </w:rPr>
              <w:t>环境空气</w:t>
            </w:r>
          </w:p>
        </w:tc>
        <w:tc>
          <w:tcPr>
            <w:tcW w:w="2269" w:type="dxa"/>
            <w:vMerge w:val="restart"/>
            <w:vAlign w:val="center"/>
          </w:tcPr>
          <w:p w:rsidR="002A5A5E" w:rsidRPr="00F9522B" w:rsidRDefault="00611CBA" w:rsidP="00775632">
            <w:pPr>
              <w:snapToGrid w:val="0"/>
              <w:spacing w:line="0" w:lineRule="atLeast"/>
              <w:jc w:val="center"/>
              <w:rPr>
                <w:rFonts w:eastAsiaTheme="minorEastAsia"/>
                <w:kern w:val="0"/>
                <w:szCs w:val="21"/>
              </w:rPr>
            </w:pPr>
            <w:r w:rsidRPr="00F9522B">
              <w:rPr>
                <w:rFonts w:eastAsiaTheme="minorEastAsia"/>
                <w:kern w:val="0"/>
                <w:szCs w:val="21"/>
              </w:rPr>
              <w:t>《环境空气质量标准》</w:t>
            </w:r>
            <w:r w:rsidRPr="00F9522B">
              <w:rPr>
                <w:rFonts w:eastAsiaTheme="minorEastAsia"/>
                <w:kern w:val="0"/>
                <w:szCs w:val="21"/>
              </w:rPr>
              <w:t xml:space="preserve"> </w:t>
            </w:r>
            <w:r w:rsidRPr="00F9522B">
              <w:rPr>
                <w:rFonts w:eastAsiaTheme="minorEastAsia"/>
                <w:kern w:val="0"/>
                <w:szCs w:val="21"/>
              </w:rPr>
              <w:t>（</w:t>
            </w:r>
            <w:r w:rsidR="00775632" w:rsidRPr="00F9522B">
              <w:rPr>
                <w:rFonts w:eastAsiaTheme="minorEastAsia"/>
                <w:kern w:val="0"/>
                <w:szCs w:val="21"/>
              </w:rPr>
              <w:t>GB3095-2026</w:t>
            </w:r>
            <w:r w:rsidRPr="00F9522B">
              <w:rPr>
                <w:rFonts w:eastAsiaTheme="minorEastAsia"/>
                <w:kern w:val="0"/>
                <w:szCs w:val="21"/>
              </w:rPr>
              <w:t>）</w:t>
            </w:r>
          </w:p>
        </w:tc>
        <w:tc>
          <w:tcPr>
            <w:tcW w:w="1134" w:type="dxa"/>
            <w:vMerge w:val="restart"/>
            <w:vAlign w:val="center"/>
          </w:tcPr>
          <w:p w:rsidR="002A5A5E" w:rsidRPr="00F9522B" w:rsidRDefault="00611CBA">
            <w:pPr>
              <w:snapToGrid w:val="0"/>
              <w:spacing w:line="0" w:lineRule="atLeast"/>
              <w:jc w:val="center"/>
              <w:rPr>
                <w:rFonts w:eastAsiaTheme="minorEastAsia"/>
                <w:kern w:val="0"/>
                <w:szCs w:val="21"/>
              </w:rPr>
            </w:pPr>
            <w:r w:rsidRPr="00F9522B">
              <w:rPr>
                <w:rFonts w:eastAsiaTheme="minorEastAsia"/>
                <w:kern w:val="0"/>
                <w:szCs w:val="21"/>
              </w:rPr>
              <w:t>PM</w:t>
            </w:r>
            <w:r w:rsidRPr="00F9522B">
              <w:rPr>
                <w:rFonts w:eastAsiaTheme="minorEastAsia"/>
                <w:kern w:val="0"/>
                <w:szCs w:val="21"/>
                <w:vertAlign w:val="subscript"/>
              </w:rPr>
              <w:t>10</w:t>
            </w:r>
          </w:p>
        </w:tc>
        <w:tc>
          <w:tcPr>
            <w:tcW w:w="992" w:type="dxa"/>
            <w:vMerge w:val="restart"/>
            <w:vAlign w:val="center"/>
          </w:tcPr>
          <w:p w:rsidR="002A5A5E" w:rsidRPr="00F9522B" w:rsidRDefault="00611CBA">
            <w:pPr>
              <w:snapToGrid w:val="0"/>
              <w:spacing w:line="0" w:lineRule="atLeast"/>
              <w:jc w:val="center"/>
              <w:rPr>
                <w:rFonts w:eastAsiaTheme="minorEastAsia"/>
                <w:kern w:val="0"/>
                <w:szCs w:val="21"/>
              </w:rPr>
            </w:pPr>
            <w:r w:rsidRPr="00F9522B">
              <w:rPr>
                <w:rFonts w:eastAsiaTheme="minorEastAsia"/>
                <w:kern w:val="0"/>
                <w:szCs w:val="21"/>
              </w:rPr>
              <w:t>μg/m</w:t>
            </w:r>
            <w:r w:rsidRPr="00F9522B">
              <w:rPr>
                <w:rFonts w:eastAsiaTheme="minorEastAsia"/>
                <w:kern w:val="0"/>
                <w:szCs w:val="21"/>
                <w:vertAlign w:val="superscript"/>
              </w:rPr>
              <w:t>3</w:t>
            </w:r>
          </w:p>
        </w:tc>
        <w:tc>
          <w:tcPr>
            <w:tcW w:w="1985" w:type="dxa"/>
            <w:vAlign w:val="center"/>
          </w:tcPr>
          <w:p w:rsidR="002A5A5E" w:rsidRPr="00F9522B" w:rsidRDefault="00611CBA">
            <w:pPr>
              <w:snapToGrid w:val="0"/>
              <w:spacing w:line="0" w:lineRule="atLeast"/>
              <w:jc w:val="center"/>
              <w:rPr>
                <w:rFonts w:eastAsiaTheme="minorEastAsia"/>
                <w:kern w:val="0"/>
                <w:szCs w:val="21"/>
              </w:rPr>
            </w:pPr>
            <w:r w:rsidRPr="00F9522B">
              <w:rPr>
                <w:rFonts w:eastAsiaTheme="minorEastAsia"/>
                <w:kern w:val="0"/>
                <w:szCs w:val="21"/>
              </w:rPr>
              <w:t>24</w:t>
            </w:r>
            <w:r w:rsidRPr="00F9522B">
              <w:rPr>
                <w:rFonts w:eastAsiaTheme="minorEastAsia"/>
                <w:kern w:val="0"/>
                <w:szCs w:val="21"/>
              </w:rPr>
              <w:t>小时平均</w:t>
            </w:r>
          </w:p>
        </w:tc>
        <w:tc>
          <w:tcPr>
            <w:tcW w:w="1163" w:type="dxa"/>
            <w:gridSpan w:val="2"/>
            <w:vAlign w:val="center"/>
          </w:tcPr>
          <w:p w:rsidR="002A5A5E" w:rsidRPr="00F9522B" w:rsidRDefault="00611CBA" w:rsidP="007257D7">
            <w:pPr>
              <w:snapToGrid w:val="0"/>
              <w:spacing w:line="0" w:lineRule="atLeast"/>
              <w:jc w:val="center"/>
              <w:rPr>
                <w:rFonts w:eastAsiaTheme="minorEastAsia"/>
                <w:kern w:val="0"/>
                <w:szCs w:val="21"/>
              </w:rPr>
            </w:pPr>
            <w:r w:rsidRPr="00F9522B">
              <w:rPr>
                <w:rFonts w:eastAsiaTheme="minorEastAsia"/>
                <w:kern w:val="0"/>
                <w:szCs w:val="21"/>
              </w:rPr>
              <w:t>1</w:t>
            </w:r>
            <w:r w:rsidR="007257D7" w:rsidRPr="00F9522B">
              <w:rPr>
                <w:rFonts w:eastAsiaTheme="minorEastAsia"/>
                <w:kern w:val="0"/>
                <w:szCs w:val="21"/>
              </w:rPr>
              <w:t>20</w:t>
            </w:r>
          </w:p>
        </w:tc>
      </w:tr>
      <w:tr w:rsidR="002A5A5E" w:rsidRPr="00F9522B" w:rsidTr="00775632">
        <w:trPr>
          <w:trHeight w:val="292"/>
          <w:jc w:val="center"/>
        </w:trPr>
        <w:tc>
          <w:tcPr>
            <w:tcW w:w="654" w:type="dxa"/>
            <w:vMerge/>
            <w:vAlign w:val="center"/>
          </w:tcPr>
          <w:p w:rsidR="002A5A5E" w:rsidRPr="00F9522B" w:rsidRDefault="002A5A5E">
            <w:pPr>
              <w:snapToGrid w:val="0"/>
              <w:spacing w:line="0" w:lineRule="atLeast"/>
              <w:jc w:val="center"/>
              <w:rPr>
                <w:rFonts w:eastAsiaTheme="minorEastAsia"/>
                <w:kern w:val="0"/>
                <w:szCs w:val="21"/>
              </w:rPr>
            </w:pPr>
          </w:p>
        </w:tc>
        <w:tc>
          <w:tcPr>
            <w:tcW w:w="2269" w:type="dxa"/>
            <w:vMerge/>
            <w:vAlign w:val="center"/>
          </w:tcPr>
          <w:p w:rsidR="002A5A5E" w:rsidRPr="00F9522B" w:rsidRDefault="002A5A5E">
            <w:pPr>
              <w:snapToGrid w:val="0"/>
              <w:spacing w:line="0" w:lineRule="atLeast"/>
              <w:jc w:val="center"/>
              <w:rPr>
                <w:rFonts w:eastAsiaTheme="minorEastAsia"/>
                <w:kern w:val="0"/>
                <w:szCs w:val="21"/>
              </w:rPr>
            </w:pPr>
          </w:p>
        </w:tc>
        <w:tc>
          <w:tcPr>
            <w:tcW w:w="1134" w:type="dxa"/>
            <w:vMerge/>
            <w:vAlign w:val="center"/>
          </w:tcPr>
          <w:p w:rsidR="002A5A5E" w:rsidRPr="00F9522B" w:rsidRDefault="002A5A5E">
            <w:pPr>
              <w:widowControl/>
              <w:jc w:val="left"/>
              <w:rPr>
                <w:rFonts w:eastAsiaTheme="minorEastAsia"/>
                <w:kern w:val="0"/>
                <w:szCs w:val="21"/>
              </w:rPr>
            </w:pPr>
          </w:p>
        </w:tc>
        <w:tc>
          <w:tcPr>
            <w:tcW w:w="992" w:type="dxa"/>
            <w:vMerge/>
            <w:vAlign w:val="center"/>
          </w:tcPr>
          <w:p w:rsidR="002A5A5E" w:rsidRPr="00F9522B" w:rsidRDefault="002A5A5E">
            <w:pPr>
              <w:widowControl/>
              <w:jc w:val="left"/>
              <w:rPr>
                <w:rFonts w:eastAsiaTheme="minorEastAsia"/>
                <w:kern w:val="0"/>
                <w:szCs w:val="21"/>
              </w:rPr>
            </w:pPr>
          </w:p>
        </w:tc>
        <w:tc>
          <w:tcPr>
            <w:tcW w:w="1985" w:type="dxa"/>
            <w:vAlign w:val="center"/>
          </w:tcPr>
          <w:p w:rsidR="002A5A5E" w:rsidRPr="00F9522B" w:rsidRDefault="00611CBA">
            <w:pPr>
              <w:snapToGrid w:val="0"/>
              <w:spacing w:line="0" w:lineRule="atLeast"/>
              <w:jc w:val="center"/>
              <w:rPr>
                <w:rFonts w:eastAsiaTheme="minorEastAsia"/>
                <w:kern w:val="0"/>
                <w:szCs w:val="21"/>
              </w:rPr>
            </w:pPr>
            <w:r w:rsidRPr="00F9522B">
              <w:rPr>
                <w:rFonts w:eastAsiaTheme="minorEastAsia"/>
                <w:kern w:val="0"/>
                <w:szCs w:val="21"/>
              </w:rPr>
              <w:t>年平均</w:t>
            </w:r>
          </w:p>
        </w:tc>
        <w:tc>
          <w:tcPr>
            <w:tcW w:w="1163" w:type="dxa"/>
            <w:gridSpan w:val="2"/>
            <w:vAlign w:val="center"/>
          </w:tcPr>
          <w:p w:rsidR="002A5A5E" w:rsidRPr="00F9522B" w:rsidRDefault="007257D7">
            <w:pPr>
              <w:snapToGrid w:val="0"/>
              <w:spacing w:line="0" w:lineRule="atLeast"/>
              <w:jc w:val="center"/>
              <w:rPr>
                <w:rFonts w:eastAsiaTheme="minorEastAsia"/>
                <w:kern w:val="0"/>
                <w:szCs w:val="21"/>
              </w:rPr>
            </w:pPr>
            <w:r w:rsidRPr="00F9522B">
              <w:rPr>
                <w:rFonts w:eastAsiaTheme="minorEastAsia"/>
                <w:kern w:val="0"/>
                <w:szCs w:val="21"/>
              </w:rPr>
              <w:t>6</w:t>
            </w:r>
            <w:r w:rsidR="00611CBA" w:rsidRPr="00F9522B">
              <w:rPr>
                <w:rFonts w:eastAsiaTheme="minorEastAsia"/>
                <w:kern w:val="0"/>
                <w:szCs w:val="21"/>
              </w:rPr>
              <w:t>0</w:t>
            </w:r>
          </w:p>
        </w:tc>
      </w:tr>
      <w:tr w:rsidR="002A5A5E" w:rsidRPr="00F9522B" w:rsidTr="00775632">
        <w:trPr>
          <w:trHeight w:val="292"/>
          <w:jc w:val="center"/>
        </w:trPr>
        <w:tc>
          <w:tcPr>
            <w:tcW w:w="654" w:type="dxa"/>
            <w:vMerge/>
            <w:vAlign w:val="center"/>
          </w:tcPr>
          <w:p w:rsidR="002A5A5E" w:rsidRPr="00F9522B" w:rsidRDefault="002A5A5E">
            <w:pPr>
              <w:snapToGrid w:val="0"/>
              <w:spacing w:line="0" w:lineRule="atLeast"/>
              <w:jc w:val="center"/>
              <w:rPr>
                <w:rFonts w:eastAsiaTheme="minorEastAsia"/>
                <w:kern w:val="0"/>
                <w:szCs w:val="21"/>
              </w:rPr>
            </w:pPr>
          </w:p>
        </w:tc>
        <w:tc>
          <w:tcPr>
            <w:tcW w:w="2269" w:type="dxa"/>
            <w:vMerge/>
            <w:vAlign w:val="center"/>
          </w:tcPr>
          <w:p w:rsidR="002A5A5E" w:rsidRPr="00F9522B" w:rsidRDefault="002A5A5E">
            <w:pPr>
              <w:snapToGrid w:val="0"/>
              <w:spacing w:line="0" w:lineRule="atLeast"/>
              <w:jc w:val="center"/>
              <w:rPr>
                <w:rFonts w:eastAsiaTheme="minorEastAsia"/>
                <w:kern w:val="0"/>
                <w:szCs w:val="21"/>
              </w:rPr>
            </w:pPr>
          </w:p>
        </w:tc>
        <w:tc>
          <w:tcPr>
            <w:tcW w:w="1134" w:type="dxa"/>
            <w:vMerge w:val="restart"/>
            <w:vAlign w:val="center"/>
          </w:tcPr>
          <w:p w:rsidR="002A5A5E" w:rsidRPr="00F9522B" w:rsidRDefault="00611CBA">
            <w:pPr>
              <w:widowControl/>
              <w:snapToGrid w:val="0"/>
              <w:spacing w:line="0" w:lineRule="atLeast"/>
              <w:jc w:val="center"/>
              <w:rPr>
                <w:rFonts w:eastAsiaTheme="minorEastAsia"/>
                <w:kern w:val="0"/>
                <w:szCs w:val="21"/>
              </w:rPr>
            </w:pPr>
            <w:r w:rsidRPr="00F9522B">
              <w:rPr>
                <w:rFonts w:eastAsiaTheme="minorEastAsia"/>
                <w:kern w:val="0"/>
                <w:szCs w:val="21"/>
              </w:rPr>
              <w:t>PM</w:t>
            </w:r>
            <w:r w:rsidRPr="00F9522B">
              <w:rPr>
                <w:rFonts w:eastAsiaTheme="minorEastAsia"/>
                <w:kern w:val="0"/>
                <w:szCs w:val="21"/>
                <w:vertAlign w:val="subscript"/>
              </w:rPr>
              <w:t>2.5</w:t>
            </w:r>
          </w:p>
        </w:tc>
        <w:tc>
          <w:tcPr>
            <w:tcW w:w="992" w:type="dxa"/>
            <w:vMerge/>
            <w:vAlign w:val="center"/>
          </w:tcPr>
          <w:p w:rsidR="002A5A5E" w:rsidRPr="00F9522B" w:rsidRDefault="002A5A5E">
            <w:pPr>
              <w:widowControl/>
              <w:jc w:val="left"/>
              <w:rPr>
                <w:rFonts w:eastAsiaTheme="minorEastAsia"/>
                <w:kern w:val="0"/>
                <w:szCs w:val="21"/>
              </w:rPr>
            </w:pPr>
          </w:p>
        </w:tc>
        <w:tc>
          <w:tcPr>
            <w:tcW w:w="1985" w:type="dxa"/>
            <w:vAlign w:val="center"/>
          </w:tcPr>
          <w:p w:rsidR="002A5A5E" w:rsidRPr="00F9522B" w:rsidRDefault="00611CBA">
            <w:pPr>
              <w:widowControl/>
              <w:adjustRightInd w:val="0"/>
              <w:spacing w:line="0" w:lineRule="atLeast"/>
              <w:jc w:val="center"/>
              <w:rPr>
                <w:rFonts w:eastAsiaTheme="minorEastAsia"/>
                <w:kern w:val="0"/>
                <w:szCs w:val="21"/>
              </w:rPr>
            </w:pPr>
            <w:r w:rsidRPr="00F9522B">
              <w:rPr>
                <w:rFonts w:eastAsiaTheme="minorEastAsia"/>
                <w:kern w:val="0"/>
                <w:szCs w:val="21"/>
              </w:rPr>
              <w:t>24</w:t>
            </w:r>
            <w:r w:rsidRPr="00F9522B">
              <w:rPr>
                <w:rFonts w:eastAsiaTheme="minorEastAsia"/>
                <w:kern w:val="0"/>
                <w:szCs w:val="21"/>
              </w:rPr>
              <w:t>小时平均</w:t>
            </w:r>
          </w:p>
        </w:tc>
        <w:tc>
          <w:tcPr>
            <w:tcW w:w="1163" w:type="dxa"/>
            <w:gridSpan w:val="2"/>
            <w:vAlign w:val="center"/>
          </w:tcPr>
          <w:p w:rsidR="002A5A5E" w:rsidRPr="00F9522B" w:rsidRDefault="007257D7">
            <w:pPr>
              <w:widowControl/>
              <w:adjustRightInd w:val="0"/>
              <w:spacing w:line="0" w:lineRule="atLeast"/>
              <w:jc w:val="center"/>
              <w:rPr>
                <w:rFonts w:eastAsiaTheme="minorEastAsia"/>
                <w:kern w:val="0"/>
                <w:szCs w:val="21"/>
              </w:rPr>
            </w:pPr>
            <w:r w:rsidRPr="00F9522B">
              <w:rPr>
                <w:rFonts w:eastAsiaTheme="minorEastAsia"/>
                <w:kern w:val="0"/>
                <w:szCs w:val="21"/>
              </w:rPr>
              <w:t>60</w:t>
            </w:r>
          </w:p>
        </w:tc>
      </w:tr>
      <w:tr w:rsidR="002A5A5E" w:rsidRPr="00F9522B" w:rsidTr="00775632">
        <w:trPr>
          <w:trHeight w:val="308"/>
          <w:jc w:val="center"/>
        </w:trPr>
        <w:tc>
          <w:tcPr>
            <w:tcW w:w="654" w:type="dxa"/>
            <w:vMerge/>
            <w:vAlign w:val="center"/>
          </w:tcPr>
          <w:p w:rsidR="002A5A5E" w:rsidRPr="00F9522B" w:rsidRDefault="002A5A5E">
            <w:pPr>
              <w:snapToGrid w:val="0"/>
              <w:spacing w:line="0" w:lineRule="atLeast"/>
              <w:jc w:val="center"/>
              <w:rPr>
                <w:rFonts w:eastAsiaTheme="minorEastAsia"/>
                <w:kern w:val="0"/>
                <w:szCs w:val="21"/>
              </w:rPr>
            </w:pPr>
          </w:p>
        </w:tc>
        <w:tc>
          <w:tcPr>
            <w:tcW w:w="2269" w:type="dxa"/>
            <w:vMerge/>
            <w:vAlign w:val="center"/>
          </w:tcPr>
          <w:p w:rsidR="002A5A5E" w:rsidRPr="00F9522B" w:rsidRDefault="002A5A5E">
            <w:pPr>
              <w:snapToGrid w:val="0"/>
              <w:spacing w:line="0" w:lineRule="atLeast"/>
              <w:jc w:val="center"/>
              <w:rPr>
                <w:rFonts w:eastAsiaTheme="minorEastAsia"/>
                <w:kern w:val="0"/>
                <w:szCs w:val="21"/>
              </w:rPr>
            </w:pPr>
          </w:p>
        </w:tc>
        <w:tc>
          <w:tcPr>
            <w:tcW w:w="1134" w:type="dxa"/>
            <w:vMerge/>
            <w:vAlign w:val="center"/>
          </w:tcPr>
          <w:p w:rsidR="002A5A5E" w:rsidRPr="00F9522B" w:rsidRDefault="002A5A5E">
            <w:pPr>
              <w:widowControl/>
              <w:jc w:val="left"/>
              <w:rPr>
                <w:rFonts w:eastAsiaTheme="minorEastAsia"/>
                <w:kern w:val="0"/>
                <w:szCs w:val="21"/>
              </w:rPr>
            </w:pPr>
          </w:p>
        </w:tc>
        <w:tc>
          <w:tcPr>
            <w:tcW w:w="992" w:type="dxa"/>
            <w:vMerge/>
            <w:vAlign w:val="center"/>
          </w:tcPr>
          <w:p w:rsidR="002A5A5E" w:rsidRPr="00F9522B" w:rsidRDefault="002A5A5E">
            <w:pPr>
              <w:widowControl/>
              <w:jc w:val="left"/>
              <w:rPr>
                <w:rFonts w:eastAsiaTheme="minorEastAsia"/>
                <w:kern w:val="0"/>
                <w:szCs w:val="21"/>
              </w:rPr>
            </w:pPr>
          </w:p>
        </w:tc>
        <w:tc>
          <w:tcPr>
            <w:tcW w:w="1985" w:type="dxa"/>
            <w:vAlign w:val="center"/>
          </w:tcPr>
          <w:p w:rsidR="002A5A5E" w:rsidRPr="00F9522B" w:rsidRDefault="00611CBA">
            <w:pPr>
              <w:widowControl/>
              <w:adjustRightInd w:val="0"/>
              <w:spacing w:line="0" w:lineRule="atLeast"/>
              <w:jc w:val="center"/>
              <w:rPr>
                <w:rFonts w:eastAsiaTheme="minorEastAsia"/>
                <w:kern w:val="0"/>
                <w:szCs w:val="21"/>
              </w:rPr>
            </w:pPr>
            <w:r w:rsidRPr="00F9522B">
              <w:rPr>
                <w:rFonts w:eastAsiaTheme="minorEastAsia"/>
                <w:kern w:val="0"/>
                <w:szCs w:val="21"/>
              </w:rPr>
              <w:t>年平均</w:t>
            </w:r>
          </w:p>
        </w:tc>
        <w:tc>
          <w:tcPr>
            <w:tcW w:w="1163" w:type="dxa"/>
            <w:gridSpan w:val="2"/>
            <w:vAlign w:val="center"/>
          </w:tcPr>
          <w:p w:rsidR="002A5A5E" w:rsidRPr="00F9522B" w:rsidRDefault="00611CBA" w:rsidP="007257D7">
            <w:pPr>
              <w:widowControl/>
              <w:adjustRightInd w:val="0"/>
              <w:spacing w:line="0" w:lineRule="atLeast"/>
              <w:jc w:val="center"/>
              <w:rPr>
                <w:rFonts w:eastAsiaTheme="minorEastAsia"/>
                <w:kern w:val="0"/>
                <w:szCs w:val="21"/>
              </w:rPr>
            </w:pPr>
            <w:r w:rsidRPr="00F9522B">
              <w:rPr>
                <w:rFonts w:eastAsiaTheme="minorEastAsia"/>
                <w:kern w:val="0"/>
                <w:szCs w:val="21"/>
              </w:rPr>
              <w:t>3</w:t>
            </w:r>
            <w:r w:rsidR="007257D7" w:rsidRPr="00F9522B">
              <w:rPr>
                <w:rFonts w:eastAsiaTheme="minorEastAsia"/>
                <w:kern w:val="0"/>
                <w:szCs w:val="21"/>
              </w:rPr>
              <w:t>0</w:t>
            </w:r>
          </w:p>
        </w:tc>
      </w:tr>
      <w:tr w:rsidR="002A5A5E" w:rsidRPr="00F9522B" w:rsidTr="00775632">
        <w:trPr>
          <w:trHeight w:val="292"/>
          <w:jc w:val="center"/>
        </w:trPr>
        <w:tc>
          <w:tcPr>
            <w:tcW w:w="654" w:type="dxa"/>
            <w:vMerge/>
            <w:vAlign w:val="center"/>
          </w:tcPr>
          <w:p w:rsidR="002A5A5E" w:rsidRPr="00F9522B" w:rsidRDefault="002A5A5E">
            <w:pPr>
              <w:snapToGrid w:val="0"/>
              <w:spacing w:line="0" w:lineRule="atLeast"/>
              <w:jc w:val="center"/>
              <w:rPr>
                <w:rFonts w:eastAsiaTheme="minorEastAsia"/>
                <w:kern w:val="0"/>
                <w:szCs w:val="21"/>
              </w:rPr>
            </w:pPr>
          </w:p>
        </w:tc>
        <w:tc>
          <w:tcPr>
            <w:tcW w:w="2269" w:type="dxa"/>
            <w:vMerge/>
            <w:vAlign w:val="center"/>
          </w:tcPr>
          <w:p w:rsidR="002A5A5E" w:rsidRPr="00F9522B" w:rsidRDefault="002A5A5E">
            <w:pPr>
              <w:snapToGrid w:val="0"/>
              <w:spacing w:line="0" w:lineRule="atLeast"/>
              <w:jc w:val="center"/>
              <w:rPr>
                <w:rFonts w:eastAsiaTheme="minorEastAsia"/>
                <w:kern w:val="0"/>
                <w:szCs w:val="21"/>
              </w:rPr>
            </w:pPr>
          </w:p>
        </w:tc>
        <w:tc>
          <w:tcPr>
            <w:tcW w:w="1134" w:type="dxa"/>
            <w:vMerge w:val="restart"/>
            <w:vAlign w:val="center"/>
          </w:tcPr>
          <w:p w:rsidR="002A5A5E" w:rsidRPr="00F9522B" w:rsidRDefault="00611CBA">
            <w:pPr>
              <w:snapToGrid w:val="0"/>
              <w:spacing w:line="0" w:lineRule="atLeast"/>
              <w:jc w:val="center"/>
              <w:rPr>
                <w:rFonts w:eastAsiaTheme="minorEastAsia"/>
                <w:kern w:val="0"/>
                <w:szCs w:val="21"/>
              </w:rPr>
            </w:pPr>
            <w:r w:rsidRPr="00F9522B">
              <w:rPr>
                <w:rFonts w:eastAsiaTheme="minorEastAsia"/>
                <w:kern w:val="0"/>
                <w:szCs w:val="21"/>
              </w:rPr>
              <w:t>NO</w:t>
            </w:r>
            <w:r w:rsidRPr="00F9522B">
              <w:rPr>
                <w:rFonts w:eastAsiaTheme="minorEastAsia"/>
                <w:kern w:val="0"/>
                <w:szCs w:val="21"/>
                <w:vertAlign w:val="subscript"/>
              </w:rPr>
              <w:t>2</w:t>
            </w:r>
          </w:p>
        </w:tc>
        <w:tc>
          <w:tcPr>
            <w:tcW w:w="992" w:type="dxa"/>
            <w:vMerge/>
            <w:vAlign w:val="center"/>
          </w:tcPr>
          <w:p w:rsidR="002A5A5E" w:rsidRPr="00F9522B" w:rsidRDefault="002A5A5E">
            <w:pPr>
              <w:widowControl/>
              <w:jc w:val="center"/>
              <w:rPr>
                <w:rFonts w:eastAsiaTheme="minorEastAsia"/>
                <w:kern w:val="0"/>
                <w:szCs w:val="21"/>
              </w:rPr>
            </w:pPr>
          </w:p>
        </w:tc>
        <w:tc>
          <w:tcPr>
            <w:tcW w:w="1985" w:type="dxa"/>
            <w:vAlign w:val="center"/>
          </w:tcPr>
          <w:p w:rsidR="002A5A5E" w:rsidRPr="00F9522B" w:rsidRDefault="00611CBA">
            <w:pPr>
              <w:snapToGrid w:val="0"/>
              <w:spacing w:line="0" w:lineRule="atLeast"/>
              <w:jc w:val="center"/>
              <w:rPr>
                <w:rFonts w:eastAsiaTheme="minorEastAsia"/>
                <w:kern w:val="0"/>
                <w:szCs w:val="21"/>
              </w:rPr>
            </w:pPr>
            <w:r w:rsidRPr="00F9522B">
              <w:rPr>
                <w:rFonts w:eastAsiaTheme="minorEastAsia"/>
                <w:kern w:val="0"/>
                <w:szCs w:val="21"/>
              </w:rPr>
              <w:t>1</w:t>
            </w:r>
            <w:r w:rsidRPr="00F9522B">
              <w:rPr>
                <w:rFonts w:eastAsiaTheme="minorEastAsia"/>
                <w:kern w:val="0"/>
                <w:szCs w:val="21"/>
              </w:rPr>
              <w:t>小时平均</w:t>
            </w:r>
          </w:p>
        </w:tc>
        <w:tc>
          <w:tcPr>
            <w:tcW w:w="1163" w:type="dxa"/>
            <w:gridSpan w:val="2"/>
            <w:vAlign w:val="center"/>
          </w:tcPr>
          <w:p w:rsidR="002A5A5E" w:rsidRPr="00F9522B" w:rsidRDefault="00611CBA">
            <w:pPr>
              <w:snapToGrid w:val="0"/>
              <w:spacing w:line="0" w:lineRule="atLeast"/>
              <w:jc w:val="center"/>
              <w:rPr>
                <w:rFonts w:eastAsiaTheme="minorEastAsia"/>
                <w:kern w:val="0"/>
                <w:szCs w:val="21"/>
              </w:rPr>
            </w:pPr>
            <w:r w:rsidRPr="00F9522B">
              <w:rPr>
                <w:rFonts w:eastAsiaTheme="minorEastAsia"/>
                <w:kern w:val="0"/>
                <w:szCs w:val="21"/>
              </w:rPr>
              <w:t>200</w:t>
            </w:r>
          </w:p>
        </w:tc>
      </w:tr>
      <w:tr w:rsidR="002A5A5E" w:rsidRPr="00F9522B" w:rsidTr="00775632">
        <w:trPr>
          <w:trHeight w:val="292"/>
          <w:jc w:val="center"/>
        </w:trPr>
        <w:tc>
          <w:tcPr>
            <w:tcW w:w="654" w:type="dxa"/>
            <w:vMerge/>
            <w:vAlign w:val="center"/>
          </w:tcPr>
          <w:p w:rsidR="002A5A5E" w:rsidRPr="00F9522B" w:rsidRDefault="002A5A5E">
            <w:pPr>
              <w:snapToGrid w:val="0"/>
              <w:spacing w:line="0" w:lineRule="atLeast"/>
              <w:jc w:val="center"/>
              <w:rPr>
                <w:rFonts w:eastAsiaTheme="minorEastAsia"/>
                <w:kern w:val="0"/>
                <w:szCs w:val="21"/>
              </w:rPr>
            </w:pPr>
          </w:p>
        </w:tc>
        <w:tc>
          <w:tcPr>
            <w:tcW w:w="2269" w:type="dxa"/>
            <w:vMerge/>
            <w:vAlign w:val="center"/>
          </w:tcPr>
          <w:p w:rsidR="002A5A5E" w:rsidRPr="00F9522B" w:rsidRDefault="002A5A5E">
            <w:pPr>
              <w:snapToGrid w:val="0"/>
              <w:spacing w:line="0" w:lineRule="atLeast"/>
              <w:jc w:val="center"/>
              <w:rPr>
                <w:rFonts w:eastAsiaTheme="minorEastAsia"/>
                <w:kern w:val="0"/>
                <w:szCs w:val="21"/>
              </w:rPr>
            </w:pPr>
          </w:p>
        </w:tc>
        <w:tc>
          <w:tcPr>
            <w:tcW w:w="1134" w:type="dxa"/>
            <w:vMerge/>
            <w:vAlign w:val="center"/>
          </w:tcPr>
          <w:p w:rsidR="002A5A5E" w:rsidRPr="00F9522B" w:rsidRDefault="002A5A5E">
            <w:pPr>
              <w:widowControl/>
              <w:jc w:val="left"/>
              <w:rPr>
                <w:rFonts w:eastAsiaTheme="minorEastAsia"/>
                <w:kern w:val="0"/>
                <w:szCs w:val="21"/>
              </w:rPr>
            </w:pPr>
          </w:p>
        </w:tc>
        <w:tc>
          <w:tcPr>
            <w:tcW w:w="992" w:type="dxa"/>
            <w:vMerge/>
            <w:vAlign w:val="center"/>
          </w:tcPr>
          <w:p w:rsidR="002A5A5E" w:rsidRPr="00F9522B" w:rsidRDefault="002A5A5E">
            <w:pPr>
              <w:widowControl/>
              <w:jc w:val="left"/>
              <w:rPr>
                <w:rFonts w:eastAsiaTheme="minorEastAsia"/>
                <w:kern w:val="0"/>
                <w:szCs w:val="21"/>
              </w:rPr>
            </w:pPr>
          </w:p>
        </w:tc>
        <w:tc>
          <w:tcPr>
            <w:tcW w:w="1985" w:type="dxa"/>
            <w:vAlign w:val="center"/>
          </w:tcPr>
          <w:p w:rsidR="002A5A5E" w:rsidRPr="00F9522B" w:rsidRDefault="00611CBA">
            <w:pPr>
              <w:snapToGrid w:val="0"/>
              <w:spacing w:line="0" w:lineRule="atLeast"/>
              <w:jc w:val="center"/>
              <w:rPr>
                <w:rFonts w:eastAsiaTheme="minorEastAsia"/>
                <w:kern w:val="0"/>
                <w:szCs w:val="21"/>
              </w:rPr>
            </w:pPr>
            <w:r w:rsidRPr="00F9522B">
              <w:rPr>
                <w:rFonts w:eastAsiaTheme="minorEastAsia"/>
                <w:kern w:val="0"/>
                <w:szCs w:val="21"/>
              </w:rPr>
              <w:t>24</w:t>
            </w:r>
            <w:r w:rsidRPr="00F9522B">
              <w:rPr>
                <w:rFonts w:eastAsiaTheme="minorEastAsia"/>
                <w:kern w:val="0"/>
                <w:szCs w:val="21"/>
              </w:rPr>
              <w:t>小时平均</w:t>
            </w:r>
          </w:p>
        </w:tc>
        <w:tc>
          <w:tcPr>
            <w:tcW w:w="1163" w:type="dxa"/>
            <w:gridSpan w:val="2"/>
            <w:vAlign w:val="center"/>
          </w:tcPr>
          <w:p w:rsidR="002A5A5E" w:rsidRPr="00F9522B" w:rsidRDefault="00611CBA">
            <w:pPr>
              <w:snapToGrid w:val="0"/>
              <w:spacing w:line="0" w:lineRule="atLeast"/>
              <w:jc w:val="center"/>
              <w:rPr>
                <w:rFonts w:eastAsiaTheme="minorEastAsia"/>
                <w:kern w:val="0"/>
                <w:szCs w:val="21"/>
              </w:rPr>
            </w:pPr>
            <w:r w:rsidRPr="00F9522B">
              <w:rPr>
                <w:rFonts w:eastAsiaTheme="minorEastAsia"/>
                <w:kern w:val="0"/>
                <w:szCs w:val="21"/>
              </w:rPr>
              <w:t>80</w:t>
            </w:r>
          </w:p>
        </w:tc>
      </w:tr>
      <w:tr w:rsidR="002A5A5E" w:rsidRPr="00F9522B" w:rsidTr="00775632">
        <w:trPr>
          <w:trHeight w:val="292"/>
          <w:jc w:val="center"/>
        </w:trPr>
        <w:tc>
          <w:tcPr>
            <w:tcW w:w="654" w:type="dxa"/>
            <w:vMerge/>
            <w:vAlign w:val="center"/>
          </w:tcPr>
          <w:p w:rsidR="002A5A5E" w:rsidRPr="00F9522B" w:rsidRDefault="002A5A5E">
            <w:pPr>
              <w:snapToGrid w:val="0"/>
              <w:spacing w:line="0" w:lineRule="atLeast"/>
              <w:jc w:val="center"/>
              <w:rPr>
                <w:rFonts w:eastAsiaTheme="minorEastAsia"/>
                <w:kern w:val="0"/>
                <w:szCs w:val="21"/>
              </w:rPr>
            </w:pPr>
          </w:p>
        </w:tc>
        <w:tc>
          <w:tcPr>
            <w:tcW w:w="2269" w:type="dxa"/>
            <w:vMerge/>
            <w:vAlign w:val="center"/>
          </w:tcPr>
          <w:p w:rsidR="002A5A5E" w:rsidRPr="00F9522B" w:rsidRDefault="002A5A5E">
            <w:pPr>
              <w:snapToGrid w:val="0"/>
              <w:spacing w:line="0" w:lineRule="atLeast"/>
              <w:jc w:val="center"/>
              <w:rPr>
                <w:rFonts w:eastAsiaTheme="minorEastAsia"/>
                <w:kern w:val="0"/>
                <w:szCs w:val="21"/>
              </w:rPr>
            </w:pPr>
          </w:p>
        </w:tc>
        <w:tc>
          <w:tcPr>
            <w:tcW w:w="1134" w:type="dxa"/>
            <w:vMerge/>
            <w:vAlign w:val="center"/>
          </w:tcPr>
          <w:p w:rsidR="002A5A5E" w:rsidRPr="00F9522B" w:rsidRDefault="002A5A5E">
            <w:pPr>
              <w:widowControl/>
              <w:jc w:val="left"/>
              <w:rPr>
                <w:rFonts w:eastAsiaTheme="minorEastAsia"/>
                <w:kern w:val="0"/>
                <w:szCs w:val="21"/>
              </w:rPr>
            </w:pPr>
          </w:p>
        </w:tc>
        <w:tc>
          <w:tcPr>
            <w:tcW w:w="992" w:type="dxa"/>
            <w:vMerge/>
            <w:vAlign w:val="center"/>
          </w:tcPr>
          <w:p w:rsidR="002A5A5E" w:rsidRPr="00F9522B" w:rsidRDefault="002A5A5E">
            <w:pPr>
              <w:widowControl/>
              <w:jc w:val="left"/>
              <w:rPr>
                <w:rFonts w:eastAsiaTheme="minorEastAsia"/>
                <w:kern w:val="0"/>
                <w:szCs w:val="21"/>
              </w:rPr>
            </w:pPr>
          </w:p>
        </w:tc>
        <w:tc>
          <w:tcPr>
            <w:tcW w:w="1985" w:type="dxa"/>
            <w:vAlign w:val="center"/>
          </w:tcPr>
          <w:p w:rsidR="002A5A5E" w:rsidRPr="00F9522B" w:rsidRDefault="00611CBA">
            <w:pPr>
              <w:snapToGrid w:val="0"/>
              <w:spacing w:line="0" w:lineRule="atLeast"/>
              <w:jc w:val="center"/>
              <w:rPr>
                <w:rFonts w:eastAsiaTheme="minorEastAsia"/>
                <w:kern w:val="0"/>
                <w:szCs w:val="21"/>
              </w:rPr>
            </w:pPr>
            <w:r w:rsidRPr="00F9522B">
              <w:rPr>
                <w:rFonts w:eastAsiaTheme="minorEastAsia"/>
                <w:kern w:val="0"/>
                <w:szCs w:val="21"/>
              </w:rPr>
              <w:t>年平均</w:t>
            </w:r>
          </w:p>
        </w:tc>
        <w:tc>
          <w:tcPr>
            <w:tcW w:w="1163" w:type="dxa"/>
            <w:gridSpan w:val="2"/>
            <w:vAlign w:val="center"/>
          </w:tcPr>
          <w:p w:rsidR="002A5A5E" w:rsidRPr="00F9522B" w:rsidRDefault="00611CBA">
            <w:pPr>
              <w:snapToGrid w:val="0"/>
              <w:spacing w:line="0" w:lineRule="atLeast"/>
              <w:jc w:val="center"/>
              <w:rPr>
                <w:rFonts w:eastAsiaTheme="minorEastAsia"/>
                <w:kern w:val="0"/>
                <w:szCs w:val="21"/>
              </w:rPr>
            </w:pPr>
            <w:r w:rsidRPr="00F9522B">
              <w:rPr>
                <w:rFonts w:eastAsiaTheme="minorEastAsia"/>
                <w:kern w:val="0"/>
                <w:szCs w:val="21"/>
              </w:rPr>
              <w:t>40</w:t>
            </w:r>
          </w:p>
        </w:tc>
      </w:tr>
      <w:tr w:rsidR="002A5A5E" w:rsidRPr="00F9522B" w:rsidTr="00775632">
        <w:trPr>
          <w:trHeight w:val="100"/>
          <w:jc w:val="center"/>
        </w:trPr>
        <w:tc>
          <w:tcPr>
            <w:tcW w:w="654" w:type="dxa"/>
            <w:vMerge/>
            <w:vAlign w:val="center"/>
          </w:tcPr>
          <w:p w:rsidR="002A5A5E" w:rsidRPr="00F9522B" w:rsidRDefault="002A5A5E">
            <w:pPr>
              <w:snapToGrid w:val="0"/>
              <w:spacing w:line="0" w:lineRule="atLeast"/>
              <w:jc w:val="center"/>
              <w:rPr>
                <w:rFonts w:eastAsiaTheme="minorEastAsia"/>
                <w:kern w:val="0"/>
                <w:szCs w:val="21"/>
              </w:rPr>
            </w:pPr>
          </w:p>
        </w:tc>
        <w:tc>
          <w:tcPr>
            <w:tcW w:w="2269" w:type="dxa"/>
            <w:vMerge/>
            <w:vAlign w:val="center"/>
          </w:tcPr>
          <w:p w:rsidR="002A5A5E" w:rsidRPr="00F9522B" w:rsidRDefault="002A5A5E">
            <w:pPr>
              <w:snapToGrid w:val="0"/>
              <w:spacing w:line="0" w:lineRule="atLeast"/>
              <w:jc w:val="center"/>
              <w:rPr>
                <w:rFonts w:eastAsiaTheme="minorEastAsia"/>
                <w:kern w:val="0"/>
                <w:szCs w:val="21"/>
              </w:rPr>
            </w:pPr>
          </w:p>
        </w:tc>
        <w:tc>
          <w:tcPr>
            <w:tcW w:w="1134" w:type="dxa"/>
            <w:vMerge w:val="restart"/>
            <w:vAlign w:val="center"/>
          </w:tcPr>
          <w:p w:rsidR="002A5A5E" w:rsidRPr="00F9522B" w:rsidRDefault="00611CBA">
            <w:pPr>
              <w:snapToGrid w:val="0"/>
              <w:spacing w:line="0" w:lineRule="atLeast"/>
              <w:jc w:val="center"/>
              <w:rPr>
                <w:rFonts w:eastAsiaTheme="minorEastAsia"/>
                <w:kern w:val="0"/>
                <w:szCs w:val="21"/>
              </w:rPr>
            </w:pPr>
            <w:r w:rsidRPr="00F9522B">
              <w:rPr>
                <w:rFonts w:eastAsiaTheme="minorEastAsia"/>
                <w:kern w:val="0"/>
                <w:szCs w:val="21"/>
              </w:rPr>
              <w:t>SO</w:t>
            </w:r>
            <w:r w:rsidRPr="00F9522B">
              <w:rPr>
                <w:rFonts w:eastAsiaTheme="minorEastAsia"/>
                <w:kern w:val="0"/>
                <w:szCs w:val="21"/>
                <w:vertAlign w:val="subscript"/>
              </w:rPr>
              <w:t>2</w:t>
            </w:r>
          </w:p>
        </w:tc>
        <w:tc>
          <w:tcPr>
            <w:tcW w:w="992" w:type="dxa"/>
            <w:vMerge/>
            <w:vAlign w:val="center"/>
          </w:tcPr>
          <w:p w:rsidR="002A5A5E" w:rsidRPr="00F9522B" w:rsidRDefault="002A5A5E">
            <w:pPr>
              <w:widowControl/>
              <w:jc w:val="center"/>
              <w:rPr>
                <w:rFonts w:eastAsiaTheme="minorEastAsia"/>
                <w:kern w:val="0"/>
                <w:szCs w:val="21"/>
              </w:rPr>
            </w:pPr>
          </w:p>
        </w:tc>
        <w:tc>
          <w:tcPr>
            <w:tcW w:w="1985" w:type="dxa"/>
            <w:vAlign w:val="center"/>
          </w:tcPr>
          <w:p w:rsidR="002A5A5E" w:rsidRPr="00F9522B" w:rsidRDefault="00611CBA">
            <w:pPr>
              <w:snapToGrid w:val="0"/>
              <w:spacing w:line="0" w:lineRule="atLeast"/>
              <w:jc w:val="center"/>
              <w:rPr>
                <w:rFonts w:eastAsiaTheme="minorEastAsia"/>
                <w:kern w:val="0"/>
                <w:szCs w:val="21"/>
              </w:rPr>
            </w:pPr>
            <w:r w:rsidRPr="00F9522B">
              <w:rPr>
                <w:rFonts w:eastAsiaTheme="minorEastAsia"/>
                <w:kern w:val="0"/>
                <w:szCs w:val="21"/>
              </w:rPr>
              <w:t>1</w:t>
            </w:r>
            <w:r w:rsidRPr="00F9522B">
              <w:rPr>
                <w:rFonts w:eastAsiaTheme="minorEastAsia"/>
                <w:kern w:val="0"/>
                <w:szCs w:val="21"/>
              </w:rPr>
              <w:t>小时平均</w:t>
            </w:r>
          </w:p>
        </w:tc>
        <w:tc>
          <w:tcPr>
            <w:tcW w:w="1163" w:type="dxa"/>
            <w:gridSpan w:val="2"/>
            <w:vAlign w:val="center"/>
          </w:tcPr>
          <w:p w:rsidR="002A5A5E" w:rsidRPr="00F9522B" w:rsidRDefault="00611CBA">
            <w:pPr>
              <w:snapToGrid w:val="0"/>
              <w:spacing w:line="0" w:lineRule="atLeast"/>
              <w:jc w:val="center"/>
              <w:rPr>
                <w:rFonts w:eastAsiaTheme="minorEastAsia"/>
                <w:kern w:val="0"/>
                <w:szCs w:val="21"/>
              </w:rPr>
            </w:pPr>
            <w:r w:rsidRPr="00F9522B">
              <w:rPr>
                <w:rFonts w:eastAsiaTheme="minorEastAsia"/>
                <w:kern w:val="0"/>
                <w:szCs w:val="21"/>
              </w:rPr>
              <w:t>50</w:t>
            </w:r>
            <w:r w:rsidR="007257D7" w:rsidRPr="00F9522B">
              <w:rPr>
                <w:rFonts w:eastAsiaTheme="minorEastAsia"/>
                <w:kern w:val="0"/>
                <w:szCs w:val="21"/>
              </w:rPr>
              <w:t>0</w:t>
            </w:r>
          </w:p>
        </w:tc>
      </w:tr>
      <w:tr w:rsidR="002A5A5E" w:rsidRPr="00F9522B" w:rsidTr="00775632">
        <w:trPr>
          <w:trHeight w:val="100"/>
          <w:jc w:val="center"/>
        </w:trPr>
        <w:tc>
          <w:tcPr>
            <w:tcW w:w="654" w:type="dxa"/>
            <w:vMerge/>
            <w:vAlign w:val="center"/>
          </w:tcPr>
          <w:p w:rsidR="002A5A5E" w:rsidRPr="00F9522B" w:rsidRDefault="002A5A5E">
            <w:pPr>
              <w:widowControl/>
              <w:jc w:val="left"/>
              <w:rPr>
                <w:rFonts w:eastAsiaTheme="minorEastAsia"/>
                <w:kern w:val="0"/>
                <w:szCs w:val="21"/>
              </w:rPr>
            </w:pPr>
          </w:p>
        </w:tc>
        <w:tc>
          <w:tcPr>
            <w:tcW w:w="2269" w:type="dxa"/>
            <w:vMerge/>
            <w:vAlign w:val="center"/>
          </w:tcPr>
          <w:p w:rsidR="002A5A5E" w:rsidRPr="00F9522B" w:rsidRDefault="002A5A5E">
            <w:pPr>
              <w:widowControl/>
              <w:jc w:val="left"/>
              <w:rPr>
                <w:rFonts w:eastAsiaTheme="minorEastAsia"/>
                <w:kern w:val="0"/>
                <w:szCs w:val="21"/>
              </w:rPr>
            </w:pPr>
          </w:p>
        </w:tc>
        <w:tc>
          <w:tcPr>
            <w:tcW w:w="1134" w:type="dxa"/>
            <w:vMerge/>
            <w:vAlign w:val="center"/>
          </w:tcPr>
          <w:p w:rsidR="002A5A5E" w:rsidRPr="00F9522B" w:rsidRDefault="002A5A5E">
            <w:pPr>
              <w:widowControl/>
              <w:jc w:val="left"/>
              <w:rPr>
                <w:rFonts w:eastAsiaTheme="minorEastAsia"/>
                <w:kern w:val="0"/>
                <w:szCs w:val="21"/>
              </w:rPr>
            </w:pPr>
          </w:p>
        </w:tc>
        <w:tc>
          <w:tcPr>
            <w:tcW w:w="992" w:type="dxa"/>
            <w:vMerge/>
            <w:vAlign w:val="center"/>
          </w:tcPr>
          <w:p w:rsidR="002A5A5E" w:rsidRPr="00F9522B" w:rsidRDefault="002A5A5E">
            <w:pPr>
              <w:widowControl/>
              <w:jc w:val="left"/>
              <w:rPr>
                <w:rFonts w:eastAsiaTheme="minorEastAsia"/>
                <w:kern w:val="0"/>
                <w:szCs w:val="21"/>
              </w:rPr>
            </w:pPr>
          </w:p>
        </w:tc>
        <w:tc>
          <w:tcPr>
            <w:tcW w:w="1985" w:type="dxa"/>
            <w:vAlign w:val="center"/>
          </w:tcPr>
          <w:p w:rsidR="002A5A5E" w:rsidRPr="00F9522B" w:rsidRDefault="00611CBA">
            <w:pPr>
              <w:snapToGrid w:val="0"/>
              <w:spacing w:line="0" w:lineRule="atLeast"/>
              <w:jc w:val="center"/>
              <w:rPr>
                <w:rFonts w:eastAsiaTheme="minorEastAsia"/>
                <w:kern w:val="0"/>
                <w:szCs w:val="21"/>
              </w:rPr>
            </w:pPr>
            <w:r w:rsidRPr="00F9522B">
              <w:rPr>
                <w:rFonts w:eastAsiaTheme="minorEastAsia"/>
                <w:kern w:val="0"/>
                <w:szCs w:val="21"/>
              </w:rPr>
              <w:t>24</w:t>
            </w:r>
            <w:r w:rsidRPr="00F9522B">
              <w:rPr>
                <w:rFonts w:eastAsiaTheme="minorEastAsia"/>
                <w:kern w:val="0"/>
                <w:szCs w:val="21"/>
              </w:rPr>
              <w:t>小时平均</w:t>
            </w:r>
          </w:p>
        </w:tc>
        <w:tc>
          <w:tcPr>
            <w:tcW w:w="1163" w:type="dxa"/>
            <w:gridSpan w:val="2"/>
            <w:vAlign w:val="center"/>
          </w:tcPr>
          <w:p w:rsidR="002A5A5E" w:rsidRPr="00F9522B" w:rsidRDefault="00611CBA">
            <w:pPr>
              <w:snapToGrid w:val="0"/>
              <w:spacing w:line="0" w:lineRule="atLeast"/>
              <w:jc w:val="center"/>
              <w:rPr>
                <w:rFonts w:eastAsiaTheme="minorEastAsia"/>
                <w:kern w:val="0"/>
                <w:szCs w:val="21"/>
              </w:rPr>
            </w:pPr>
            <w:r w:rsidRPr="00F9522B">
              <w:rPr>
                <w:rFonts w:eastAsiaTheme="minorEastAsia"/>
                <w:kern w:val="0"/>
                <w:szCs w:val="21"/>
              </w:rPr>
              <w:t>150</w:t>
            </w:r>
          </w:p>
        </w:tc>
      </w:tr>
      <w:tr w:rsidR="002A5A5E" w:rsidRPr="00F9522B" w:rsidTr="00775632">
        <w:trPr>
          <w:trHeight w:val="100"/>
          <w:jc w:val="center"/>
        </w:trPr>
        <w:tc>
          <w:tcPr>
            <w:tcW w:w="654" w:type="dxa"/>
            <w:vMerge/>
            <w:vAlign w:val="center"/>
          </w:tcPr>
          <w:p w:rsidR="002A5A5E" w:rsidRPr="00F9522B" w:rsidRDefault="002A5A5E">
            <w:pPr>
              <w:widowControl/>
              <w:jc w:val="left"/>
              <w:rPr>
                <w:rFonts w:eastAsiaTheme="minorEastAsia"/>
                <w:kern w:val="0"/>
                <w:szCs w:val="21"/>
              </w:rPr>
            </w:pPr>
          </w:p>
        </w:tc>
        <w:tc>
          <w:tcPr>
            <w:tcW w:w="2269" w:type="dxa"/>
            <w:vMerge/>
            <w:vAlign w:val="center"/>
          </w:tcPr>
          <w:p w:rsidR="002A5A5E" w:rsidRPr="00F9522B" w:rsidRDefault="002A5A5E">
            <w:pPr>
              <w:widowControl/>
              <w:jc w:val="left"/>
              <w:rPr>
                <w:rFonts w:eastAsiaTheme="minorEastAsia"/>
                <w:kern w:val="0"/>
                <w:szCs w:val="21"/>
              </w:rPr>
            </w:pPr>
          </w:p>
        </w:tc>
        <w:tc>
          <w:tcPr>
            <w:tcW w:w="1134" w:type="dxa"/>
            <w:vMerge/>
            <w:vAlign w:val="center"/>
          </w:tcPr>
          <w:p w:rsidR="002A5A5E" w:rsidRPr="00F9522B" w:rsidRDefault="002A5A5E">
            <w:pPr>
              <w:widowControl/>
              <w:jc w:val="left"/>
              <w:rPr>
                <w:rFonts w:eastAsiaTheme="minorEastAsia"/>
                <w:kern w:val="0"/>
                <w:szCs w:val="21"/>
              </w:rPr>
            </w:pPr>
          </w:p>
        </w:tc>
        <w:tc>
          <w:tcPr>
            <w:tcW w:w="992" w:type="dxa"/>
            <w:vMerge/>
            <w:vAlign w:val="center"/>
          </w:tcPr>
          <w:p w:rsidR="002A5A5E" w:rsidRPr="00F9522B" w:rsidRDefault="002A5A5E">
            <w:pPr>
              <w:widowControl/>
              <w:jc w:val="left"/>
              <w:rPr>
                <w:rFonts w:eastAsiaTheme="minorEastAsia"/>
                <w:kern w:val="0"/>
                <w:szCs w:val="21"/>
              </w:rPr>
            </w:pPr>
          </w:p>
        </w:tc>
        <w:tc>
          <w:tcPr>
            <w:tcW w:w="1985" w:type="dxa"/>
            <w:vAlign w:val="center"/>
          </w:tcPr>
          <w:p w:rsidR="002A5A5E" w:rsidRPr="00F9522B" w:rsidRDefault="00611CBA">
            <w:pPr>
              <w:snapToGrid w:val="0"/>
              <w:spacing w:line="0" w:lineRule="atLeast"/>
              <w:jc w:val="center"/>
              <w:rPr>
                <w:rFonts w:eastAsiaTheme="minorEastAsia"/>
                <w:kern w:val="0"/>
                <w:szCs w:val="21"/>
              </w:rPr>
            </w:pPr>
            <w:r w:rsidRPr="00F9522B">
              <w:rPr>
                <w:rFonts w:eastAsiaTheme="minorEastAsia"/>
                <w:kern w:val="0"/>
                <w:szCs w:val="21"/>
              </w:rPr>
              <w:t>年平均</w:t>
            </w:r>
          </w:p>
        </w:tc>
        <w:tc>
          <w:tcPr>
            <w:tcW w:w="1163" w:type="dxa"/>
            <w:gridSpan w:val="2"/>
            <w:vAlign w:val="center"/>
          </w:tcPr>
          <w:p w:rsidR="002A5A5E" w:rsidRPr="00F9522B" w:rsidRDefault="00611CBA">
            <w:pPr>
              <w:snapToGrid w:val="0"/>
              <w:spacing w:line="0" w:lineRule="atLeast"/>
              <w:jc w:val="center"/>
              <w:rPr>
                <w:rFonts w:eastAsiaTheme="minorEastAsia"/>
                <w:kern w:val="0"/>
                <w:szCs w:val="21"/>
              </w:rPr>
            </w:pPr>
            <w:r w:rsidRPr="00F9522B">
              <w:rPr>
                <w:rFonts w:eastAsiaTheme="minorEastAsia"/>
                <w:kern w:val="0"/>
                <w:szCs w:val="21"/>
              </w:rPr>
              <w:t>60</w:t>
            </w:r>
          </w:p>
        </w:tc>
      </w:tr>
      <w:tr w:rsidR="002A5A5E" w:rsidRPr="00F9522B" w:rsidTr="00775632">
        <w:trPr>
          <w:trHeight w:val="100"/>
          <w:jc w:val="center"/>
        </w:trPr>
        <w:tc>
          <w:tcPr>
            <w:tcW w:w="654" w:type="dxa"/>
            <w:vMerge/>
            <w:vAlign w:val="center"/>
          </w:tcPr>
          <w:p w:rsidR="002A5A5E" w:rsidRPr="00F9522B" w:rsidRDefault="002A5A5E">
            <w:pPr>
              <w:widowControl/>
              <w:jc w:val="left"/>
              <w:rPr>
                <w:rFonts w:eastAsiaTheme="minorEastAsia"/>
                <w:kern w:val="0"/>
                <w:szCs w:val="21"/>
              </w:rPr>
            </w:pPr>
          </w:p>
        </w:tc>
        <w:tc>
          <w:tcPr>
            <w:tcW w:w="2269" w:type="dxa"/>
            <w:vMerge/>
            <w:vAlign w:val="center"/>
          </w:tcPr>
          <w:p w:rsidR="002A5A5E" w:rsidRPr="00F9522B" w:rsidRDefault="002A5A5E">
            <w:pPr>
              <w:widowControl/>
              <w:jc w:val="left"/>
              <w:rPr>
                <w:rFonts w:eastAsiaTheme="minorEastAsia"/>
                <w:kern w:val="0"/>
                <w:szCs w:val="21"/>
              </w:rPr>
            </w:pPr>
          </w:p>
        </w:tc>
        <w:tc>
          <w:tcPr>
            <w:tcW w:w="1134" w:type="dxa"/>
            <w:vMerge w:val="restart"/>
            <w:vAlign w:val="center"/>
          </w:tcPr>
          <w:p w:rsidR="002A5A5E" w:rsidRPr="00F9522B" w:rsidRDefault="00611CBA">
            <w:pPr>
              <w:widowControl/>
              <w:snapToGrid w:val="0"/>
              <w:spacing w:line="0" w:lineRule="atLeast"/>
              <w:jc w:val="center"/>
              <w:rPr>
                <w:rFonts w:eastAsiaTheme="minorEastAsia"/>
                <w:kern w:val="0"/>
                <w:szCs w:val="21"/>
              </w:rPr>
            </w:pPr>
            <w:r w:rsidRPr="00F9522B">
              <w:rPr>
                <w:rFonts w:eastAsiaTheme="minorEastAsia"/>
                <w:kern w:val="0"/>
                <w:szCs w:val="21"/>
              </w:rPr>
              <w:t>O</w:t>
            </w:r>
            <w:r w:rsidRPr="00F9522B">
              <w:rPr>
                <w:rFonts w:eastAsiaTheme="minorEastAsia"/>
                <w:kern w:val="0"/>
                <w:szCs w:val="21"/>
                <w:vertAlign w:val="subscript"/>
              </w:rPr>
              <w:t>3</w:t>
            </w:r>
          </w:p>
        </w:tc>
        <w:tc>
          <w:tcPr>
            <w:tcW w:w="992" w:type="dxa"/>
            <w:vMerge/>
            <w:vAlign w:val="center"/>
          </w:tcPr>
          <w:p w:rsidR="002A5A5E" w:rsidRPr="00F9522B" w:rsidRDefault="002A5A5E">
            <w:pPr>
              <w:widowControl/>
              <w:jc w:val="left"/>
              <w:rPr>
                <w:rFonts w:eastAsiaTheme="minorEastAsia"/>
                <w:kern w:val="0"/>
                <w:szCs w:val="21"/>
              </w:rPr>
            </w:pPr>
          </w:p>
        </w:tc>
        <w:tc>
          <w:tcPr>
            <w:tcW w:w="1985" w:type="dxa"/>
            <w:vAlign w:val="center"/>
          </w:tcPr>
          <w:p w:rsidR="002A5A5E" w:rsidRPr="00F9522B" w:rsidRDefault="00611CBA">
            <w:pPr>
              <w:widowControl/>
              <w:adjustRightInd w:val="0"/>
              <w:spacing w:line="0" w:lineRule="atLeast"/>
              <w:jc w:val="center"/>
              <w:rPr>
                <w:rFonts w:eastAsiaTheme="minorEastAsia"/>
                <w:kern w:val="0"/>
                <w:szCs w:val="21"/>
              </w:rPr>
            </w:pPr>
            <w:r w:rsidRPr="00F9522B">
              <w:rPr>
                <w:rFonts w:eastAsiaTheme="minorEastAsia"/>
                <w:kern w:val="0"/>
                <w:szCs w:val="21"/>
              </w:rPr>
              <w:t>1</w:t>
            </w:r>
            <w:r w:rsidRPr="00F9522B">
              <w:rPr>
                <w:rFonts w:eastAsiaTheme="minorEastAsia"/>
                <w:kern w:val="0"/>
                <w:szCs w:val="21"/>
              </w:rPr>
              <w:t>小时平均</w:t>
            </w:r>
          </w:p>
        </w:tc>
        <w:tc>
          <w:tcPr>
            <w:tcW w:w="1163" w:type="dxa"/>
            <w:gridSpan w:val="2"/>
            <w:vAlign w:val="center"/>
          </w:tcPr>
          <w:p w:rsidR="002A5A5E" w:rsidRPr="00F9522B" w:rsidRDefault="007257D7">
            <w:pPr>
              <w:widowControl/>
              <w:adjustRightInd w:val="0"/>
              <w:spacing w:line="0" w:lineRule="atLeast"/>
              <w:jc w:val="center"/>
              <w:rPr>
                <w:rFonts w:eastAsiaTheme="minorEastAsia"/>
                <w:kern w:val="0"/>
                <w:szCs w:val="21"/>
              </w:rPr>
            </w:pPr>
            <w:r w:rsidRPr="00F9522B">
              <w:rPr>
                <w:rFonts w:eastAsiaTheme="minorEastAsia"/>
                <w:kern w:val="0"/>
                <w:szCs w:val="21"/>
              </w:rPr>
              <w:t>200</w:t>
            </w:r>
          </w:p>
        </w:tc>
      </w:tr>
      <w:tr w:rsidR="002A5A5E" w:rsidRPr="00F9522B" w:rsidTr="00775632">
        <w:trPr>
          <w:trHeight w:val="100"/>
          <w:jc w:val="center"/>
        </w:trPr>
        <w:tc>
          <w:tcPr>
            <w:tcW w:w="654" w:type="dxa"/>
            <w:vMerge/>
            <w:vAlign w:val="center"/>
          </w:tcPr>
          <w:p w:rsidR="002A5A5E" w:rsidRPr="00F9522B" w:rsidRDefault="002A5A5E">
            <w:pPr>
              <w:widowControl/>
              <w:jc w:val="left"/>
              <w:rPr>
                <w:rFonts w:eastAsiaTheme="minorEastAsia"/>
                <w:kern w:val="0"/>
                <w:szCs w:val="21"/>
              </w:rPr>
            </w:pPr>
          </w:p>
        </w:tc>
        <w:tc>
          <w:tcPr>
            <w:tcW w:w="2269" w:type="dxa"/>
            <w:vMerge/>
            <w:vAlign w:val="center"/>
          </w:tcPr>
          <w:p w:rsidR="002A5A5E" w:rsidRPr="00F9522B" w:rsidRDefault="002A5A5E">
            <w:pPr>
              <w:widowControl/>
              <w:jc w:val="left"/>
              <w:rPr>
                <w:rFonts w:eastAsiaTheme="minorEastAsia"/>
                <w:kern w:val="0"/>
                <w:szCs w:val="21"/>
              </w:rPr>
            </w:pPr>
          </w:p>
        </w:tc>
        <w:tc>
          <w:tcPr>
            <w:tcW w:w="1134" w:type="dxa"/>
            <w:vMerge/>
            <w:vAlign w:val="center"/>
          </w:tcPr>
          <w:p w:rsidR="002A5A5E" w:rsidRPr="00F9522B" w:rsidRDefault="002A5A5E">
            <w:pPr>
              <w:widowControl/>
              <w:jc w:val="left"/>
              <w:rPr>
                <w:rFonts w:eastAsiaTheme="minorEastAsia"/>
                <w:kern w:val="0"/>
                <w:szCs w:val="21"/>
              </w:rPr>
            </w:pPr>
          </w:p>
        </w:tc>
        <w:tc>
          <w:tcPr>
            <w:tcW w:w="992" w:type="dxa"/>
            <w:vMerge/>
            <w:vAlign w:val="center"/>
          </w:tcPr>
          <w:p w:rsidR="002A5A5E" w:rsidRPr="00F9522B" w:rsidRDefault="002A5A5E">
            <w:pPr>
              <w:widowControl/>
              <w:jc w:val="left"/>
              <w:rPr>
                <w:rFonts w:eastAsiaTheme="minorEastAsia"/>
                <w:kern w:val="0"/>
                <w:szCs w:val="21"/>
              </w:rPr>
            </w:pPr>
          </w:p>
        </w:tc>
        <w:tc>
          <w:tcPr>
            <w:tcW w:w="1985" w:type="dxa"/>
            <w:vAlign w:val="center"/>
          </w:tcPr>
          <w:p w:rsidR="002A5A5E" w:rsidRPr="00F9522B" w:rsidRDefault="00611CBA">
            <w:pPr>
              <w:widowControl/>
              <w:adjustRightInd w:val="0"/>
              <w:spacing w:line="0" w:lineRule="atLeast"/>
              <w:jc w:val="center"/>
              <w:rPr>
                <w:rFonts w:eastAsiaTheme="minorEastAsia"/>
                <w:kern w:val="0"/>
                <w:szCs w:val="21"/>
              </w:rPr>
            </w:pPr>
            <w:r w:rsidRPr="00F9522B">
              <w:rPr>
                <w:rFonts w:eastAsiaTheme="minorEastAsia"/>
                <w:kern w:val="0"/>
                <w:szCs w:val="21"/>
              </w:rPr>
              <w:t>日最大</w:t>
            </w:r>
            <w:r w:rsidRPr="00F9522B">
              <w:rPr>
                <w:rFonts w:eastAsiaTheme="minorEastAsia"/>
                <w:kern w:val="0"/>
                <w:szCs w:val="21"/>
              </w:rPr>
              <w:t>8</w:t>
            </w:r>
            <w:r w:rsidRPr="00F9522B">
              <w:rPr>
                <w:rFonts w:eastAsiaTheme="minorEastAsia"/>
                <w:kern w:val="0"/>
                <w:szCs w:val="21"/>
              </w:rPr>
              <w:t>小时平均</w:t>
            </w:r>
          </w:p>
        </w:tc>
        <w:tc>
          <w:tcPr>
            <w:tcW w:w="1163" w:type="dxa"/>
            <w:gridSpan w:val="2"/>
            <w:vAlign w:val="center"/>
          </w:tcPr>
          <w:p w:rsidR="002A5A5E" w:rsidRPr="00F9522B" w:rsidRDefault="007257D7">
            <w:pPr>
              <w:widowControl/>
              <w:adjustRightInd w:val="0"/>
              <w:spacing w:line="0" w:lineRule="atLeast"/>
              <w:jc w:val="center"/>
              <w:rPr>
                <w:rFonts w:eastAsiaTheme="minorEastAsia"/>
                <w:kern w:val="0"/>
                <w:szCs w:val="21"/>
              </w:rPr>
            </w:pPr>
            <w:r w:rsidRPr="00F9522B">
              <w:rPr>
                <w:rFonts w:eastAsiaTheme="minorEastAsia"/>
                <w:kern w:val="0"/>
                <w:szCs w:val="21"/>
              </w:rPr>
              <w:t>160</w:t>
            </w:r>
          </w:p>
        </w:tc>
      </w:tr>
      <w:tr w:rsidR="007257D7" w:rsidRPr="00F9522B" w:rsidTr="00775632">
        <w:trPr>
          <w:trHeight w:val="100"/>
          <w:jc w:val="center"/>
        </w:trPr>
        <w:tc>
          <w:tcPr>
            <w:tcW w:w="654" w:type="dxa"/>
            <w:vMerge/>
            <w:vAlign w:val="center"/>
          </w:tcPr>
          <w:p w:rsidR="007257D7" w:rsidRPr="00F9522B" w:rsidRDefault="007257D7">
            <w:pPr>
              <w:widowControl/>
              <w:jc w:val="left"/>
              <w:rPr>
                <w:rFonts w:eastAsiaTheme="minorEastAsia"/>
                <w:kern w:val="0"/>
                <w:szCs w:val="21"/>
              </w:rPr>
            </w:pPr>
          </w:p>
        </w:tc>
        <w:tc>
          <w:tcPr>
            <w:tcW w:w="2269" w:type="dxa"/>
            <w:vMerge/>
            <w:vAlign w:val="center"/>
          </w:tcPr>
          <w:p w:rsidR="007257D7" w:rsidRPr="00F9522B" w:rsidRDefault="007257D7">
            <w:pPr>
              <w:widowControl/>
              <w:jc w:val="left"/>
              <w:rPr>
                <w:rFonts w:eastAsiaTheme="minorEastAsia"/>
                <w:kern w:val="0"/>
                <w:szCs w:val="21"/>
              </w:rPr>
            </w:pPr>
          </w:p>
        </w:tc>
        <w:tc>
          <w:tcPr>
            <w:tcW w:w="1134" w:type="dxa"/>
            <w:vMerge w:val="restart"/>
            <w:vAlign w:val="center"/>
          </w:tcPr>
          <w:p w:rsidR="007257D7" w:rsidRPr="00F9522B" w:rsidRDefault="007257D7">
            <w:pPr>
              <w:widowControl/>
              <w:jc w:val="center"/>
              <w:rPr>
                <w:rFonts w:eastAsiaTheme="minorEastAsia"/>
                <w:kern w:val="0"/>
                <w:szCs w:val="21"/>
              </w:rPr>
            </w:pPr>
            <w:r w:rsidRPr="00F9522B">
              <w:rPr>
                <w:rFonts w:eastAsiaTheme="minorEastAsia"/>
                <w:kern w:val="0"/>
                <w:szCs w:val="21"/>
              </w:rPr>
              <w:t>CO</w:t>
            </w:r>
          </w:p>
        </w:tc>
        <w:tc>
          <w:tcPr>
            <w:tcW w:w="992" w:type="dxa"/>
            <w:vMerge w:val="restart"/>
            <w:vAlign w:val="center"/>
          </w:tcPr>
          <w:p w:rsidR="007257D7" w:rsidRPr="00F9522B" w:rsidRDefault="007257D7">
            <w:pPr>
              <w:widowControl/>
              <w:snapToGrid w:val="0"/>
              <w:spacing w:line="0" w:lineRule="atLeast"/>
              <w:jc w:val="center"/>
              <w:rPr>
                <w:rFonts w:eastAsiaTheme="minorEastAsia"/>
                <w:kern w:val="0"/>
                <w:szCs w:val="21"/>
              </w:rPr>
            </w:pPr>
            <w:r w:rsidRPr="00F9522B">
              <w:rPr>
                <w:rFonts w:eastAsiaTheme="minorEastAsia"/>
                <w:kern w:val="0"/>
                <w:szCs w:val="21"/>
              </w:rPr>
              <w:t>mg/m</w:t>
            </w:r>
            <w:r w:rsidRPr="00F9522B">
              <w:rPr>
                <w:rFonts w:eastAsiaTheme="minorEastAsia"/>
                <w:kern w:val="0"/>
                <w:szCs w:val="21"/>
                <w:vertAlign w:val="superscript"/>
              </w:rPr>
              <w:t>3</w:t>
            </w:r>
          </w:p>
        </w:tc>
        <w:tc>
          <w:tcPr>
            <w:tcW w:w="1985" w:type="dxa"/>
            <w:vAlign w:val="center"/>
          </w:tcPr>
          <w:p w:rsidR="007257D7" w:rsidRPr="00F9522B" w:rsidRDefault="007257D7">
            <w:pPr>
              <w:widowControl/>
              <w:adjustRightInd w:val="0"/>
              <w:spacing w:line="0" w:lineRule="atLeast"/>
              <w:jc w:val="center"/>
              <w:rPr>
                <w:rFonts w:eastAsiaTheme="minorEastAsia"/>
                <w:kern w:val="0"/>
                <w:szCs w:val="21"/>
              </w:rPr>
            </w:pPr>
            <w:r w:rsidRPr="00F9522B">
              <w:rPr>
                <w:rFonts w:eastAsiaTheme="minorEastAsia"/>
                <w:kern w:val="0"/>
                <w:szCs w:val="21"/>
              </w:rPr>
              <w:t>1</w:t>
            </w:r>
            <w:r w:rsidRPr="00F9522B">
              <w:rPr>
                <w:rFonts w:eastAsiaTheme="minorEastAsia"/>
                <w:kern w:val="0"/>
                <w:szCs w:val="21"/>
              </w:rPr>
              <w:t>小时平均</w:t>
            </w:r>
          </w:p>
        </w:tc>
        <w:tc>
          <w:tcPr>
            <w:tcW w:w="1163" w:type="dxa"/>
            <w:gridSpan w:val="2"/>
            <w:vAlign w:val="center"/>
          </w:tcPr>
          <w:p w:rsidR="007257D7" w:rsidRPr="00F9522B" w:rsidRDefault="007257D7">
            <w:pPr>
              <w:widowControl/>
              <w:adjustRightInd w:val="0"/>
              <w:spacing w:line="0" w:lineRule="atLeast"/>
              <w:jc w:val="center"/>
              <w:rPr>
                <w:rFonts w:eastAsiaTheme="minorEastAsia"/>
                <w:kern w:val="0"/>
                <w:szCs w:val="21"/>
              </w:rPr>
            </w:pPr>
            <w:r w:rsidRPr="00F9522B">
              <w:rPr>
                <w:rFonts w:eastAsiaTheme="minorEastAsia"/>
                <w:kern w:val="0"/>
                <w:szCs w:val="21"/>
              </w:rPr>
              <w:t>10</w:t>
            </w:r>
          </w:p>
        </w:tc>
      </w:tr>
      <w:tr w:rsidR="007257D7" w:rsidRPr="00F9522B" w:rsidTr="00775632">
        <w:trPr>
          <w:trHeight w:val="100"/>
          <w:jc w:val="center"/>
        </w:trPr>
        <w:tc>
          <w:tcPr>
            <w:tcW w:w="654" w:type="dxa"/>
            <w:vMerge/>
            <w:vAlign w:val="center"/>
          </w:tcPr>
          <w:p w:rsidR="007257D7" w:rsidRPr="00F9522B" w:rsidRDefault="007257D7">
            <w:pPr>
              <w:widowControl/>
              <w:jc w:val="left"/>
              <w:rPr>
                <w:rFonts w:eastAsiaTheme="minorEastAsia"/>
                <w:kern w:val="0"/>
                <w:szCs w:val="21"/>
              </w:rPr>
            </w:pPr>
          </w:p>
        </w:tc>
        <w:tc>
          <w:tcPr>
            <w:tcW w:w="2269" w:type="dxa"/>
            <w:vMerge/>
            <w:vAlign w:val="center"/>
          </w:tcPr>
          <w:p w:rsidR="007257D7" w:rsidRPr="00F9522B" w:rsidRDefault="007257D7">
            <w:pPr>
              <w:widowControl/>
              <w:jc w:val="left"/>
              <w:rPr>
                <w:rFonts w:eastAsiaTheme="minorEastAsia"/>
                <w:kern w:val="0"/>
                <w:szCs w:val="21"/>
              </w:rPr>
            </w:pPr>
          </w:p>
        </w:tc>
        <w:tc>
          <w:tcPr>
            <w:tcW w:w="1134" w:type="dxa"/>
            <w:vMerge/>
            <w:vAlign w:val="center"/>
          </w:tcPr>
          <w:p w:rsidR="007257D7" w:rsidRPr="00F9522B" w:rsidRDefault="007257D7">
            <w:pPr>
              <w:widowControl/>
              <w:jc w:val="center"/>
              <w:rPr>
                <w:rFonts w:eastAsiaTheme="minorEastAsia"/>
                <w:kern w:val="0"/>
                <w:szCs w:val="21"/>
              </w:rPr>
            </w:pPr>
          </w:p>
        </w:tc>
        <w:tc>
          <w:tcPr>
            <w:tcW w:w="992" w:type="dxa"/>
            <w:vMerge/>
            <w:vAlign w:val="center"/>
          </w:tcPr>
          <w:p w:rsidR="007257D7" w:rsidRPr="00F9522B" w:rsidRDefault="007257D7">
            <w:pPr>
              <w:widowControl/>
              <w:jc w:val="left"/>
              <w:rPr>
                <w:rFonts w:eastAsiaTheme="minorEastAsia"/>
                <w:kern w:val="0"/>
                <w:szCs w:val="21"/>
              </w:rPr>
            </w:pPr>
          </w:p>
        </w:tc>
        <w:tc>
          <w:tcPr>
            <w:tcW w:w="1985" w:type="dxa"/>
            <w:vAlign w:val="center"/>
          </w:tcPr>
          <w:p w:rsidR="007257D7" w:rsidRPr="00F9522B" w:rsidRDefault="007257D7">
            <w:pPr>
              <w:widowControl/>
              <w:adjustRightInd w:val="0"/>
              <w:spacing w:line="0" w:lineRule="atLeast"/>
              <w:jc w:val="center"/>
              <w:rPr>
                <w:rFonts w:eastAsiaTheme="minorEastAsia"/>
                <w:kern w:val="0"/>
                <w:szCs w:val="21"/>
              </w:rPr>
            </w:pPr>
            <w:r w:rsidRPr="00F9522B">
              <w:rPr>
                <w:rFonts w:eastAsiaTheme="minorEastAsia"/>
                <w:kern w:val="0"/>
                <w:szCs w:val="21"/>
              </w:rPr>
              <w:t>24</w:t>
            </w:r>
            <w:r w:rsidRPr="00F9522B">
              <w:rPr>
                <w:rFonts w:eastAsiaTheme="minorEastAsia"/>
                <w:kern w:val="0"/>
                <w:szCs w:val="21"/>
              </w:rPr>
              <w:t>小时平均</w:t>
            </w:r>
          </w:p>
        </w:tc>
        <w:tc>
          <w:tcPr>
            <w:tcW w:w="1163" w:type="dxa"/>
            <w:gridSpan w:val="2"/>
            <w:vAlign w:val="center"/>
          </w:tcPr>
          <w:p w:rsidR="007257D7" w:rsidRPr="00F9522B" w:rsidRDefault="007257D7">
            <w:pPr>
              <w:widowControl/>
              <w:adjustRightInd w:val="0"/>
              <w:spacing w:line="0" w:lineRule="atLeast"/>
              <w:jc w:val="center"/>
              <w:rPr>
                <w:rFonts w:eastAsiaTheme="minorEastAsia"/>
                <w:kern w:val="0"/>
                <w:szCs w:val="21"/>
              </w:rPr>
            </w:pPr>
            <w:r w:rsidRPr="00F9522B">
              <w:rPr>
                <w:rFonts w:eastAsiaTheme="minorEastAsia"/>
                <w:kern w:val="0"/>
                <w:szCs w:val="21"/>
              </w:rPr>
              <w:t>4</w:t>
            </w:r>
          </w:p>
        </w:tc>
      </w:tr>
      <w:tr w:rsidR="007257D7" w:rsidRPr="00F9522B" w:rsidTr="00775632">
        <w:trPr>
          <w:trHeight w:val="100"/>
          <w:jc w:val="center"/>
        </w:trPr>
        <w:tc>
          <w:tcPr>
            <w:tcW w:w="654" w:type="dxa"/>
            <w:vMerge/>
            <w:vAlign w:val="center"/>
          </w:tcPr>
          <w:p w:rsidR="007257D7" w:rsidRPr="00F9522B" w:rsidRDefault="007257D7">
            <w:pPr>
              <w:widowControl/>
              <w:jc w:val="left"/>
              <w:rPr>
                <w:rFonts w:eastAsiaTheme="minorEastAsia"/>
                <w:kern w:val="0"/>
                <w:szCs w:val="21"/>
              </w:rPr>
            </w:pPr>
          </w:p>
        </w:tc>
        <w:tc>
          <w:tcPr>
            <w:tcW w:w="2269" w:type="dxa"/>
            <w:vMerge/>
            <w:vAlign w:val="center"/>
          </w:tcPr>
          <w:p w:rsidR="007257D7" w:rsidRPr="00F9522B" w:rsidRDefault="007257D7">
            <w:pPr>
              <w:widowControl/>
              <w:jc w:val="left"/>
              <w:rPr>
                <w:rFonts w:eastAsiaTheme="minorEastAsia"/>
                <w:kern w:val="0"/>
                <w:szCs w:val="21"/>
              </w:rPr>
            </w:pPr>
          </w:p>
        </w:tc>
        <w:tc>
          <w:tcPr>
            <w:tcW w:w="1134" w:type="dxa"/>
            <w:vMerge w:val="restart"/>
            <w:vAlign w:val="center"/>
          </w:tcPr>
          <w:p w:rsidR="007257D7" w:rsidRPr="00F9522B" w:rsidRDefault="007257D7" w:rsidP="00FF4273">
            <w:pPr>
              <w:jc w:val="center"/>
              <w:rPr>
                <w:rFonts w:eastAsiaTheme="minorEastAsia"/>
                <w:kern w:val="0"/>
                <w:szCs w:val="21"/>
              </w:rPr>
            </w:pPr>
            <w:r w:rsidRPr="00F9522B">
              <w:rPr>
                <w:rFonts w:eastAsiaTheme="minorEastAsia"/>
                <w:kern w:val="0"/>
                <w:szCs w:val="21"/>
              </w:rPr>
              <w:t>TSP</w:t>
            </w:r>
          </w:p>
        </w:tc>
        <w:tc>
          <w:tcPr>
            <w:tcW w:w="992" w:type="dxa"/>
            <w:vMerge w:val="restart"/>
            <w:vAlign w:val="center"/>
          </w:tcPr>
          <w:p w:rsidR="007257D7" w:rsidRPr="00F9522B" w:rsidRDefault="007257D7" w:rsidP="00FF4273">
            <w:pPr>
              <w:adjustRightInd w:val="0"/>
              <w:snapToGrid w:val="0"/>
              <w:jc w:val="center"/>
              <w:rPr>
                <w:rFonts w:eastAsiaTheme="minorEastAsia"/>
                <w:kern w:val="0"/>
                <w:szCs w:val="21"/>
              </w:rPr>
            </w:pPr>
            <w:r w:rsidRPr="00F9522B">
              <w:rPr>
                <w:rFonts w:eastAsiaTheme="minorEastAsia"/>
                <w:kern w:val="0"/>
                <w:szCs w:val="21"/>
              </w:rPr>
              <w:t>μg/m</w:t>
            </w:r>
            <w:r w:rsidRPr="00F9522B">
              <w:rPr>
                <w:rFonts w:eastAsiaTheme="minorEastAsia"/>
                <w:kern w:val="0"/>
                <w:szCs w:val="21"/>
                <w:vertAlign w:val="superscript"/>
              </w:rPr>
              <w:t>3</w:t>
            </w:r>
          </w:p>
        </w:tc>
        <w:tc>
          <w:tcPr>
            <w:tcW w:w="1985" w:type="dxa"/>
            <w:vAlign w:val="center"/>
          </w:tcPr>
          <w:p w:rsidR="007257D7" w:rsidRPr="00F9522B" w:rsidRDefault="007257D7">
            <w:pPr>
              <w:snapToGrid w:val="0"/>
              <w:spacing w:line="0" w:lineRule="atLeast"/>
              <w:jc w:val="center"/>
              <w:rPr>
                <w:rFonts w:eastAsiaTheme="minorEastAsia"/>
                <w:kern w:val="0"/>
                <w:szCs w:val="21"/>
              </w:rPr>
            </w:pPr>
            <w:r w:rsidRPr="00F9522B">
              <w:rPr>
                <w:rFonts w:eastAsiaTheme="minorEastAsia"/>
                <w:kern w:val="0"/>
                <w:szCs w:val="21"/>
              </w:rPr>
              <w:t>年平均</w:t>
            </w:r>
          </w:p>
        </w:tc>
        <w:tc>
          <w:tcPr>
            <w:tcW w:w="1163" w:type="dxa"/>
            <w:gridSpan w:val="2"/>
            <w:vAlign w:val="center"/>
          </w:tcPr>
          <w:p w:rsidR="007257D7" w:rsidRPr="00F9522B" w:rsidRDefault="007257D7">
            <w:pPr>
              <w:snapToGrid w:val="0"/>
              <w:spacing w:line="0" w:lineRule="atLeast"/>
              <w:jc w:val="center"/>
              <w:rPr>
                <w:rFonts w:eastAsiaTheme="minorEastAsia"/>
                <w:kern w:val="0"/>
                <w:szCs w:val="21"/>
              </w:rPr>
            </w:pPr>
            <w:r w:rsidRPr="00F9522B">
              <w:rPr>
                <w:rFonts w:eastAsiaTheme="minorEastAsia"/>
                <w:kern w:val="0"/>
                <w:szCs w:val="21"/>
              </w:rPr>
              <w:t>200</w:t>
            </w:r>
          </w:p>
        </w:tc>
      </w:tr>
      <w:tr w:rsidR="007257D7" w:rsidRPr="00F9522B" w:rsidTr="00775632">
        <w:trPr>
          <w:trHeight w:val="100"/>
          <w:jc w:val="center"/>
        </w:trPr>
        <w:tc>
          <w:tcPr>
            <w:tcW w:w="654" w:type="dxa"/>
            <w:vMerge/>
            <w:vAlign w:val="center"/>
          </w:tcPr>
          <w:p w:rsidR="007257D7" w:rsidRPr="00F9522B" w:rsidRDefault="007257D7">
            <w:pPr>
              <w:widowControl/>
              <w:jc w:val="left"/>
              <w:rPr>
                <w:rFonts w:eastAsiaTheme="minorEastAsia"/>
                <w:kern w:val="0"/>
                <w:szCs w:val="21"/>
              </w:rPr>
            </w:pPr>
          </w:p>
        </w:tc>
        <w:tc>
          <w:tcPr>
            <w:tcW w:w="2269" w:type="dxa"/>
            <w:vMerge/>
            <w:vAlign w:val="center"/>
          </w:tcPr>
          <w:p w:rsidR="007257D7" w:rsidRPr="00F9522B" w:rsidRDefault="007257D7">
            <w:pPr>
              <w:widowControl/>
              <w:jc w:val="left"/>
              <w:rPr>
                <w:rFonts w:eastAsiaTheme="minorEastAsia"/>
                <w:kern w:val="0"/>
                <w:szCs w:val="21"/>
              </w:rPr>
            </w:pPr>
          </w:p>
        </w:tc>
        <w:tc>
          <w:tcPr>
            <w:tcW w:w="1134" w:type="dxa"/>
            <w:vMerge/>
            <w:vAlign w:val="center"/>
          </w:tcPr>
          <w:p w:rsidR="007257D7" w:rsidRPr="00F9522B" w:rsidRDefault="007257D7">
            <w:pPr>
              <w:widowControl/>
              <w:jc w:val="center"/>
              <w:rPr>
                <w:rFonts w:eastAsiaTheme="minorEastAsia"/>
                <w:kern w:val="0"/>
                <w:szCs w:val="21"/>
              </w:rPr>
            </w:pPr>
          </w:p>
        </w:tc>
        <w:tc>
          <w:tcPr>
            <w:tcW w:w="992" w:type="dxa"/>
            <w:vMerge/>
            <w:vAlign w:val="center"/>
          </w:tcPr>
          <w:p w:rsidR="007257D7" w:rsidRPr="00F9522B" w:rsidRDefault="007257D7" w:rsidP="00FF4273">
            <w:pPr>
              <w:adjustRightInd w:val="0"/>
              <w:snapToGrid w:val="0"/>
              <w:jc w:val="center"/>
              <w:rPr>
                <w:rFonts w:eastAsiaTheme="minorEastAsia"/>
                <w:kern w:val="0"/>
                <w:szCs w:val="21"/>
              </w:rPr>
            </w:pPr>
          </w:p>
        </w:tc>
        <w:tc>
          <w:tcPr>
            <w:tcW w:w="1985" w:type="dxa"/>
            <w:vAlign w:val="center"/>
          </w:tcPr>
          <w:p w:rsidR="007257D7" w:rsidRPr="00F9522B" w:rsidRDefault="007257D7">
            <w:pPr>
              <w:snapToGrid w:val="0"/>
              <w:spacing w:line="0" w:lineRule="atLeast"/>
              <w:jc w:val="center"/>
              <w:rPr>
                <w:rFonts w:eastAsiaTheme="minorEastAsia"/>
                <w:kern w:val="0"/>
                <w:szCs w:val="21"/>
              </w:rPr>
            </w:pPr>
            <w:r w:rsidRPr="00F9522B">
              <w:rPr>
                <w:rFonts w:eastAsiaTheme="minorEastAsia"/>
                <w:kern w:val="0"/>
                <w:szCs w:val="21"/>
              </w:rPr>
              <w:t>24</w:t>
            </w:r>
            <w:r w:rsidRPr="00F9522B">
              <w:rPr>
                <w:rFonts w:eastAsiaTheme="minorEastAsia"/>
                <w:kern w:val="0"/>
                <w:szCs w:val="21"/>
              </w:rPr>
              <w:t>小时平均</w:t>
            </w:r>
          </w:p>
        </w:tc>
        <w:tc>
          <w:tcPr>
            <w:tcW w:w="1163" w:type="dxa"/>
            <w:gridSpan w:val="2"/>
            <w:vAlign w:val="center"/>
          </w:tcPr>
          <w:p w:rsidR="007257D7" w:rsidRPr="00F9522B" w:rsidRDefault="007257D7">
            <w:pPr>
              <w:snapToGrid w:val="0"/>
              <w:spacing w:line="0" w:lineRule="atLeast"/>
              <w:jc w:val="center"/>
              <w:rPr>
                <w:rFonts w:eastAsiaTheme="minorEastAsia"/>
                <w:kern w:val="0"/>
                <w:szCs w:val="21"/>
              </w:rPr>
            </w:pPr>
            <w:r w:rsidRPr="00F9522B">
              <w:rPr>
                <w:rFonts w:eastAsiaTheme="minorEastAsia"/>
                <w:kern w:val="0"/>
                <w:szCs w:val="21"/>
              </w:rPr>
              <w:t>300</w:t>
            </w:r>
          </w:p>
        </w:tc>
      </w:tr>
      <w:tr w:rsidR="007257D7" w:rsidRPr="00F9522B" w:rsidTr="00775632">
        <w:trPr>
          <w:trHeight w:val="100"/>
          <w:jc w:val="center"/>
        </w:trPr>
        <w:tc>
          <w:tcPr>
            <w:tcW w:w="654" w:type="dxa"/>
            <w:vMerge/>
            <w:vAlign w:val="center"/>
          </w:tcPr>
          <w:p w:rsidR="007257D7" w:rsidRPr="00F9522B" w:rsidRDefault="007257D7">
            <w:pPr>
              <w:widowControl/>
              <w:jc w:val="left"/>
              <w:rPr>
                <w:rFonts w:eastAsiaTheme="minorEastAsia"/>
                <w:kern w:val="0"/>
                <w:szCs w:val="21"/>
              </w:rPr>
            </w:pPr>
          </w:p>
        </w:tc>
        <w:tc>
          <w:tcPr>
            <w:tcW w:w="2269" w:type="dxa"/>
            <w:vMerge/>
            <w:vAlign w:val="center"/>
          </w:tcPr>
          <w:p w:rsidR="007257D7" w:rsidRPr="00F9522B" w:rsidRDefault="007257D7">
            <w:pPr>
              <w:widowControl/>
              <w:jc w:val="left"/>
              <w:rPr>
                <w:rFonts w:eastAsiaTheme="minorEastAsia"/>
                <w:kern w:val="0"/>
                <w:szCs w:val="21"/>
              </w:rPr>
            </w:pPr>
          </w:p>
        </w:tc>
        <w:tc>
          <w:tcPr>
            <w:tcW w:w="1134" w:type="dxa"/>
            <w:vMerge w:val="restart"/>
            <w:vAlign w:val="center"/>
          </w:tcPr>
          <w:p w:rsidR="007257D7" w:rsidRPr="00F9522B" w:rsidRDefault="007257D7">
            <w:pPr>
              <w:widowControl/>
              <w:jc w:val="center"/>
              <w:rPr>
                <w:rFonts w:eastAsiaTheme="minorEastAsia"/>
                <w:kern w:val="0"/>
                <w:szCs w:val="21"/>
              </w:rPr>
            </w:pPr>
            <w:r w:rsidRPr="00F9522B">
              <w:rPr>
                <w:rFonts w:eastAsiaTheme="minorEastAsia"/>
                <w:szCs w:val="21"/>
              </w:rPr>
              <w:t>NOx</w:t>
            </w:r>
          </w:p>
        </w:tc>
        <w:tc>
          <w:tcPr>
            <w:tcW w:w="992" w:type="dxa"/>
            <w:vMerge/>
            <w:vAlign w:val="center"/>
          </w:tcPr>
          <w:p w:rsidR="007257D7" w:rsidRPr="00F9522B" w:rsidRDefault="007257D7">
            <w:pPr>
              <w:adjustRightInd w:val="0"/>
              <w:snapToGrid w:val="0"/>
              <w:jc w:val="center"/>
              <w:rPr>
                <w:rFonts w:eastAsiaTheme="minorEastAsia"/>
                <w:szCs w:val="21"/>
              </w:rPr>
            </w:pPr>
          </w:p>
        </w:tc>
        <w:tc>
          <w:tcPr>
            <w:tcW w:w="1985" w:type="dxa"/>
            <w:vAlign w:val="center"/>
          </w:tcPr>
          <w:p w:rsidR="007257D7" w:rsidRPr="00F9522B" w:rsidRDefault="007257D7">
            <w:pPr>
              <w:adjustRightInd w:val="0"/>
              <w:snapToGrid w:val="0"/>
              <w:jc w:val="center"/>
              <w:rPr>
                <w:rFonts w:eastAsiaTheme="minorEastAsia"/>
                <w:szCs w:val="21"/>
              </w:rPr>
            </w:pPr>
            <w:r w:rsidRPr="00F9522B">
              <w:rPr>
                <w:rFonts w:eastAsiaTheme="minorEastAsia"/>
                <w:szCs w:val="21"/>
              </w:rPr>
              <w:t>年平均</w:t>
            </w:r>
          </w:p>
        </w:tc>
        <w:tc>
          <w:tcPr>
            <w:tcW w:w="1163" w:type="dxa"/>
            <w:gridSpan w:val="2"/>
            <w:vAlign w:val="center"/>
          </w:tcPr>
          <w:p w:rsidR="007257D7" w:rsidRPr="00F9522B" w:rsidRDefault="007257D7">
            <w:pPr>
              <w:adjustRightInd w:val="0"/>
              <w:snapToGrid w:val="0"/>
              <w:jc w:val="center"/>
              <w:rPr>
                <w:rFonts w:eastAsiaTheme="minorEastAsia"/>
                <w:szCs w:val="21"/>
              </w:rPr>
            </w:pPr>
            <w:r w:rsidRPr="00F9522B">
              <w:rPr>
                <w:rFonts w:eastAsiaTheme="minorEastAsia"/>
                <w:szCs w:val="21"/>
              </w:rPr>
              <w:t>50</w:t>
            </w:r>
          </w:p>
        </w:tc>
      </w:tr>
      <w:tr w:rsidR="007257D7" w:rsidRPr="00F9522B" w:rsidTr="00775632">
        <w:trPr>
          <w:trHeight w:val="100"/>
          <w:jc w:val="center"/>
        </w:trPr>
        <w:tc>
          <w:tcPr>
            <w:tcW w:w="654" w:type="dxa"/>
            <w:vMerge/>
            <w:vAlign w:val="center"/>
          </w:tcPr>
          <w:p w:rsidR="007257D7" w:rsidRPr="00F9522B" w:rsidRDefault="007257D7">
            <w:pPr>
              <w:widowControl/>
              <w:jc w:val="left"/>
              <w:rPr>
                <w:rFonts w:eastAsiaTheme="minorEastAsia"/>
                <w:kern w:val="0"/>
                <w:szCs w:val="21"/>
              </w:rPr>
            </w:pPr>
          </w:p>
        </w:tc>
        <w:tc>
          <w:tcPr>
            <w:tcW w:w="2269" w:type="dxa"/>
            <w:vMerge/>
            <w:vAlign w:val="center"/>
          </w:tcPr>
          <w:p w:rsidR="007257D7" w:rsidRPr="00F9522B" w:rsidRDefault="007257D7">
            <w:pPr>
              <w:widowControl/>
              <w:jc w:val="left"/>
              <w:rPr>
                <w:rFonts w:eastAsiaTheme="minorEastAsia"/>
                <w:kern w:val="0"/>
                <w:szCs w:val="21"/>
              </w:rPr>
            </w:pPr>
          </w:p>
        </w:tc>
        <w:tc>
          <w:tcPr>
            <w:tcW w:w="1134" w:type="dxa"/>
            <w:vMerge/>
            <w:vAlign w:val="center"/>
          </w:tcPr>
          <w:p w:rsidR="007257D7" w:rsidRPr="00F9522B" w:rsidRDefault="007257D7">
            <w:pPr>
              <w:widowControl/>
              <w:jc w:val="left"/>
              <w:rPr>
                <w:rFonts w:eastAsiaTheme="minorEastAsia"/>
                <w:kern w:val="0"/>
                <w:szCs w:val="21"/>
              </w:rPr>
            </w:pPr>
          </w:p>
        </w:tc>
        <w:tc>
          <w:tcPr>
            <w:tcW w:w="992" w:type="dxa"/>
            <w:vMerge/>
            <w:vAlign w:val="center"/>
          </w:tcPr>
          <w:p w:rsidR="007257D7" w:rsidRPr="00F9522B" w:rsidRDefault="007257D7">
            <w:pPr>
              <w:widowControl/>
              <w:jc w:val="left"/>
              <w:rPr>
                <w:rFonts w:eastAsiaTheme="minorEastAsia"/>
                <w:kern w:val="0"/>
                <w:szCs w:val="21"/>
              </w:rPr>
            </w:pPr>
          </w:p>
        </w:tc>
        <w:tc>
          <w:tcPr>
            <w:tcW w:w="1985" w:type="dxa"/>
            <w:vAlign w:val="center"/>
          </w:tcPr>
          <w:p w:rsidR="007257D7" w:rsidRPr="00F9522B" w:rsidRDefault="007257D7">
            <w:pPr>
              <w:adjustRightInd w:val="0"/>
              <w:snapToGrid w:val="0"/>
              <w:jc w:val="center"/>
              <w:rPr>
                <w:rFonts w:eastAsiaTheme="minorEastAsia"/>
                <w:szCs w:val="21"/>
              </w:rPr>
            </w:pPr>
            <w:r w:rsidRPr="00F9522B">
              <w:rPr>
                <w:rFonts w:eastAsiaTheme="minorEastAsia"/>
                <w:szCs w:val="21"/>
              </w:rPr>
              <w:t>24</w:t>
            </w:r>
            <w:r w:rsidRPr="00F9522B">
              <w:rPr>
                <w:rFonts w:eastAsiaTheme="minorEastAsia"/>
                <w:szCs w:val="21"/>
              </w:rPr>
              <w:t>小时平均</w:t>
            </w:r>
          </w:p>
        </w:tc>
        <w:tc>
          <w:tcPr>
            <w:tcW w:w="1163" w:type="dxa"/>
            <w:gridSpan w:val="2"/>
            <w:vAlign w:val="center"/>
          </w:tcPr>
          <w:p w:rsidR="007257D7" w:rsidRPr="00F9522B" w:rsidRDefault="007257D7">
            <w:pPr>
              <w:snapToGrid w:val="0"/>
              <w:spacing w:line="0" w:lineRule="atLeast"/>
              <w:jc w:val="center"/>
              <w:rPr>
                <w:rFonts w:eastAsiaTheme="minorEastAsia"/>
                <w:kern w:val="0"/>
                <w:szCs w:val="21"/>
              </w:rPr>
            </w:pPr>
            <w:r w:rsidRPr="00F9522B">
              <w:rPr>
                <w:rFonts w:eastAsiaTheme="minorEastAsia"/>
                <w:szCs w:val="21"/>
              </w:rPr>
              <w:t>100</w:t>
            </w:r>
          </w:p>
        </w:tc>
      </w:tr>
      <w:tr w:rsidR="007257D7" w:rsidRPr="00F9522B" w:rsidTr="00775632">
        <w:trPr>
          <w:trHeight w:val="100"/>
          <w:jc w:val="center"/>
        </w:trPr>
        <w:tc>
          <w:tcPr>
            <w:tcW w:w="654" w:type="dxa"/>
            <w:vMerge/>
            <w:vAlign w:val="center"/>
          </w:tcPr>
          <w:p w:rsidR="007257D7" w:rsidRPr="00F9522B" w:rsidRDefault="007257D7">
            <w:pPr>
              <w:widowControl/>
              <w:jc w:val="left"/>
              <w:rPr>
                <w:rFonts w:eastAsiaTheme="minorEastAsia"/>
                <w:kern w:val="0"/>
                <w:szCs w:val="21"/>
              </w:rPr>
            </w:pPr>
          </w:p>
        </w:tc>
        <w:tc>
          <w:tcPr>
            <w:tcW w:w="2269" w:type="dxa"/>
            <w:vMerge/>
            <w:vAlign w:val="center"/>
          </w:tcPr>
          <w:p w:rsidR="007257D7" w:rsidRPr="00F9522B" w:rsidRDefault="007257D7">
            <w:pPr>
              <w:widowControl/>
              <w:jc w:val="left"/>
              <w:rPr>
                <w:rFonts w:eastAsiaTheme="minorEastAsia"/>
                <w:kern w:val="0"/>
                <w:szCs w:val="21"/>
              </w:rPr>
            </w:pPr>
          </w:p>
        </w:tc>
        <w:tc>
          <w:tcPr>
            <w:tcW w:w="1134" w:type="dxa"/>
            <w:vMerge/>
            <w:vAlign w:val="center"/>
          </w:tcPr>
          <w:p w:rsidR="007257D7" w:rsidRPr="00F9522B" w:rsidRDefault="007257D7">
            <w:pPr>
              <w:widowControl/>
              <w:jc w:val="left"/>
              <w:rPr>
                <w:rFonts w:eastAsiaTheme="minorEastAsia"/>
                <w:kern w:val="0"/>
                <w:szCs w:val="21"/>
              </w:rPr>
            </w:pPr>
          </w:p>
        </w:tc>
        <w:tc>
          <w:tcPr>
            <w:tcW w:w="992" w:type="dxa"/>
            <w:vMerge/>
            <w:vAlign w:val="center"/>
          </w:tcPr>
          <w:p w:rsidR="007257D7" w:rsidRPr="00F9522B" w:rsidRDefault="007257D7">
            <w:pPr>
              <w:widowControl/>
              <w:jc w:val="left"/>
              <w:rPr>
                <w:rFonts w:eastAsiaTheme="minorEastAsia"/>
                <w:kern w:val="0"/>
                <w:szCs w:val="21"/>
              </w:rPr>
            </w:pPr>
          </w:p>
        </w:tc>
        <w:tc>
          <w:tcPr>
            <w:tcW w:w="1985" w:type="dxa"/>
            <w:vAlign w:val="center"/>
          </w:tcPr>
          <w:p w:rsidR="007257D7" w:rsidRPr="00F9522B" w:rsidRDefault="007257D7">
            <w:pPr>
              <w:snapToGrid w:val="0"/>
              <w:spacing w:line="0" w:lineRule="atLeast"/>
              <w:jc w:val="center"/>
              <w:rPr>
                <w:rFonts w:eastAsiaTheme="minorEastAsia"/>
                <w:kern w:val="0"/>
                <w:szCs w:val="21"/>
              </w:rPr>
            </w:pPr>
            <w:r w:rsidRPr="00F9522B">
              <w:rPr>
                <w:rFonts w:eastAsiaTheme="minorEastAsia"/>
                <w:szCs w:val="21"/>
              </w:rPr>
              <w:t>1</w:t>
            </w:r>
            <w:r w:rsidRPr="00F9522B">
              <w:rPr>
                <w:rFonts w:eastAsiaTheme="minorEastAsia"/>
                <w:szCs w:val="21"/>
              </w:rPr>
              <w:t>小时平均</w:t>
            </w:r>
          </w:p>
        </w:tc>
        <w:tc>
          <w:tcPr>
            <w:tcW w:w="1163" w:type="dxa"/>
            <w:gridSpan w:val="2"/>
            <w:vAlign w:val="center"/>
          </w:tcPr>
          <w:p w:rsidR="007257D7" w:rsidRPr="00F9522B" w:rsidRDefault="007257D7">
            <w:pPr>
              <w:snapToGrid w:val="0"/>
              <w:spacing w:line="0" w:lineRule="atLeast"/>
              <w:jc w:val="center"/>
              <w:rPr>
                <w:rFonts w:eastAsiaTheme="minorEastAsia"/>
                <w:kern w:val="0"/>
                <w:szCs w:val="21"/>
              </w:rPr>
            </w:pPr>
            <w:r w:rsidRPr="00F9522B">
              <w:rPr>
                <w:rFonts w:eastAsiaTheme="minorEastAsia"/>
                <w:szCs w:val="21"/>
              </w:rPr>
              <w:t>250</w:t>
            </w:r>
          </w:p>
        </w:tc>
      </w:tr>
      <w:tr w:rsidR="002A5A5E" w:rsidRPr="00F9522B">
        <w:trPr>
          <w:trHeight w:val="33"/>
          <w:jc w:val="center"/>
        </w:trPr>
        <w:tc>
          <w:tcPr>
            <w:tcW w:w="654" w:type="dxa"/>
            <w:vMerge w:val="restart"/>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kern w:val="0"/>
                <w:szCs w:val="21"/>
              </w:rPr>
              <w:t>地表水</w:t>
            </w:r>
          </w:p>
        </w:tc>
        <w:tc>
          <w:tcPr>
            <w:tcW w:w="2269" w:type="dxa"/>
            <w:vMerge w:val="restart"/>
            <w:vAlign w:val="center"/>
          </w:tcPr>
          <w:p w:rsidR="002A5A5E" w:rsidRPr="00F9522B" w:rsidRDefault="00611CBA" w:rsidP="00AC0E6E">
            <w:pPr>
              <w:spacing w:line="0" w:lineRule="atLeast"/>
              <w:contextualSpacing/>
              <w:jc w:val="center"/>
              <w:rPr>
                <w:rFonts w:eastAsiaTheme="minorEastAsia"/>
                <w:kern w:val="0"/>
                <w:szCs w:val="21"/>
              </w:rPr>
            </w:pPr>
            <w:r w:rsidRPr="00F9522B">
              <w:rPr>
                <w:rFonts w:eastAsiaTheme="minorEastAsia"/>
                <w:kern w:val="0"/>
                <w:szCs w:val="21"/>
              </w:rPr>
              <w:t>《地表水环境质量标准》（</w:t>
            </w:r>
            <w:r w:rsidRPr="00F9522B">
              <w:rPr>
                <w:rFonts w:eastAsiaTheme="minorEastAsia"/>
                <w:kern w:val="0"/>
                <w:szCs w:val="21"/>
              </w:rPr>
              <w:t>GB3838-2002</w:t>
            </w:r>
            <w:r w:rsidRPr="00F9522B">
              <w:rPr>
                <w:rFonts w:eastAsiaTheme="minorEastAsia"/>
                <w:kern w:val="0"/>
                <w:szCs w:val="21"/>
              </w:rPr>
              <w:t>）</w:t>
            </w:r>
            <w:r w:rsidRPr="00F9522B">
              <w:rPr>
                <w:rFonts w:eastAsiaTheme="minorEastAsia"/>
                <w:bCs/>
                <w:kern w:val="0"/>
                <w:szCs w:val="21"/>
              </w:rPr>
              <w:t>Ⅲ</w:t>
            </w:r>
            <w:r w:rsidR="00AC0E6E" w:rsidRPr="00F9522B">
              <w:rPr>
                <w:rFonts w:eastAsiaTheme="minorEastAsia"/>
                <w:kern w:val="0"/>
                <w:szCs w:val="21"/>
              </w:rPr>
              <w:t>类</w:t>
            </w:r>
            <w:r w:rsidRPr="00F9522B">
              <w:rPr>
                <w:rFonts w:eastAsiaTheme="minorEastAsia"/>
                <w:kern w:val="0"/>
                <w:szCs w:val="21"/>
              </w:rPr>
              <w:t>、</w:t>
            </w:r>
            <w:r w:rsidR="005273A1" w:rsidRPr="005273A1">
              <w:rPr>
                <w:rFonts w:eastAsiaTheme="minorEastAsia"/>
                <w:bCs/>
                <w:kern w:val="0"/>
                <w:szCs w:val="21"/>
              </w:rPr>
              <w:fldChar w:fldCharType="begin"/>
            </w:r>
            <w:r w:rsidRPr="00F9522B">
              <w:rPr>
                <w:rFonts w:eastAsiaTheme="minorEastAsia"/>
                <w:bCs/>
                <w:kern w:val="0"/>
                <w:szCs w:val="21"/>
              </w:rPr>
              <w:instrText xml:space="preserve"> = 5 \* ROMAN </w:instrText>
            </w:r>
            <w:r w:rsidR="005273A1" w:rsidRPr="005273A1">
              <w:rPr>
                <w:rFonts w:eastAsiaTheme="minorEastAsia"/>
                <w:bCs/>
                <w:kern w:val="0"/>
                <w:szCs w:val="21"/>
              </w:rPr>
              <w:fldChar w:fldCharType="separate"/>
            </w:r>
            <w:r w:rsidRPr="00F9522B">
              <w:rPr>
                <w:rFonts w:eastAsiaTheme="minorEastAsia"/>
                <w:bCs/>
                <w:kern w:val="0"/>
                <w:szCs w:val="21"/>
              </w:rPr>
              <w:t>V</w:t>
            </w:r>
            <w:r w:rsidR="005273A1" w:rsidRPr="00F9522B">
              <w:rPr>
                <w:rFonts w:eastAsiaTheme="minorEastAsia"/>
                <w:kern w:val="0"/>
                <w:szCs w:val="21"/>
              </w:rPr>
              <w:fldChar w:fldCharType="end"/>
            </w:r>
            <w:r w:rsidRPr="00F9522B">
              <w:rPr>
                <w:rFonts w:eastAsiaTheme="minorEastAsia"/>
                <w:kern w:val="0"/>
                <w:szCs w:val="21"/>
              </w:rPr>
              <w:t>类</w:t>
            </w:r>
          </w:p>
        </w:tc>
        <w:tc>
          <w:tcPr>
            <w:tcW w:w="1134" w:type="dxa"/>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kern w:val="0"/>
                <w:szCs w:val="21"/>
              </w:rPr>
              <w:t>pH</w:t>
            </w:r>
          </w:p>
        </w:tc>
        <w:tc>
          <w:tcPr>
            <w:tcW w:w="992" w:type="dxa"/>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kern w:val="0"/>
                <w:szCs w:val="21"/>
              </w:rPr>
              <w:t>无量纲</w:t>
            </w:r>
          </w:p>
        </w:tc>
        <w:tc>
          <w:tcPr>
            <w:tcW w:w="3148" w:type="dxa"/>
            <w:gridSpan w:val="3"/>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kern w:val="0"/>
                <w:szCs w:val="21"/>
              </w:rPr>
              <w:t>6~9</w:t>
            </w:r>
          </w:p>
        </w:tc>
      </w:tr>
      <w:tr w:rsidR="00AC0E6E" w:rsidRPr="00F9522B" w:rsidTr="009D380C">
        <w:trPr>
          <w:trHeight w:val="33"/>
          <w:jc w:val="center"/>
        </w:trPr>
        <w:tc>
          <w:tcPr>
            <w:tcW w:w="654" w:type="dxa"/>
            <w:vMerge/>
            <w:vAlign w:val="center"/>
          </w:tcPr>
          <w:p w:rsidR="00AC0E6E" w:rsidRPr="00F9522B" w:rsidRDefault="00AC0E6E">
            <w:pPr>
              <w:widowControl/>
              <w:spacing w:line="0" w:lineRule="atLeast"/>
              <w:contextualSpacing/>
              <w:jc w:val="left"/>
              <w:rPr>
                <w:rFonts w:eastAsiaTheme="minorEastAsia"/>
                <w:kern w:val="0"/>
                <w:szCs w:val="21"/>
              </w:rPr>
            </w:pPr>
          </w:p>
        </w:tc>
        <w:tc>
          <w:tcPr>
            <w:tcW w:w="2269" w:type="dxa"/>
            <w:vMerge/>
            <w:vAlign w:val="center"/>
          </w:tcPr>
          <w:p w:rsidR="00AC0E6E" w:rsidRPr="00F9522B" w:rsidRDefault="00AC0E6E">
            <w:pPr>
              <w:widowControl/>
              <w:spacing w:line="0" w:lineRule="atLeast"/>
              <w:contextualSpacing/>
              <w:jc w:val="left"/>
              <w:rPr>
                <w:rFonts w:eastAsiaTheme="minorEastAsia"/>
                <w:kern w:val="0"/>
                <w:szCs w:val="21"/>
              </w:rPr>
            </w:pPr>
          </w:p>
        </w:tc>
        <w:tc>
          <w:tcPr>
            <w:tcW w:w="1134" w:type="dxa"/>
            <w:vAlign w:val="center"/>
          </w:tcPr>
          <w:p w:rsidR="00AC0E6E" w:rsidRPr="00F9522B" w:rsidRDefault="00AC0E6E">
            <w:pPr>
              <w:spacing w:line="0" w:lineRule="atLeast"/>
              <w:contextualSpacing/>
              <w:jc w:val="center"/>
              <w:rPr>
                <w:rFonts w:eastAsiaTheme="minorEastAsia"/>
                <w:kern w:val="0"/>
                <w:szCs w:val="21"/>
              </w:rPr>
            </w:pPr>
            <w:r w:rsidRPr="00F9522B">
              <w:rPr>
                <w:rFonts w:eastAsiaTheme="minorEastAsia"/>
                <w:kern w:val="0"/>
                <w:szCs w:val="21"/>
              </w:rPr>
              <w:t>COD</w:t>
            </w:r>
          </w:p>
        </w:tc>
        <w:tc>
          <w:tcPr>
            <w:tcW w:w="992" w:type="dxa"/>
            <w:vMerge w:val="restart"/>
            <w:vAlign w:val="center"/>
          </w:tcPr>
          <w:p w:rsidR="00AC0E6E" w:rsidRPr="00F9522B" w:rsidRDefault="00AC0E6E">
            <w:pPr>
              <w:spacing w:line="0" w:lineRule="atLeast"/>
              <w:contextualSpacing/>
              <w:jc w:val="center"/>
              <w:rPr>
                <w:rFonts w:eastAsiaTheme="minorEastAsia"/>
                <w:kern w:val="0"/>
                <w:szCs w:val="21"/>
              </w:rPr>
            </w:pPr>
            <w:r w:rsidRPr="00F9522B">
              <w:rPr>
                <w:rFonts w:eastAsiaTheme="minorEastAsia"/>
                <w:kern w:val="0"/>
                <w:szCs w:val="21"/>
              </w:rPr>
              <w:t>mg/L</w:t>
            </w:r>
          </w:p>
        </w:tc>
        <w:tc>
          <w:tcPr>
            <w:tcW w:w="1985" w:type="dxa"/>
            <w:vAlign w:val="center"/>
          </w:tcPr>
          <w:p w:rsidR="00AC0E6E" w:rsidRPr="00F9522B" w:rsidRDefault="00AC0E6E">
            <w:pPr>
              <w:spacing w:line="0" w:lineRule="atLeast"/>
              <w:contextualSpacing/>
              <w:jc w:val="center"/>
              <w:rPr>
                <w:rFonts w:eastAsiaTheme="minorEastAsia"/>
                <w:kern w:val="0"/>
                <w:szCs w:val="21"/>
              </w:rPr>
            </w:pPr>
            <w:r w:rsidRPr="00F9522B">
              <w:rPr>
                <w:rFonts w:eastAsiaTheme="minorEastAsia"/>
                <w:szCs w:val="21"/>
              </w:rPr>
              <w:t>≤20</w:t>
            </w:r>
            <w:r w:rsidRPr="00F9522B">
              <w:rPr>
                <w:rFonts w:eastAsiaTheme="minorEastAsia"/>
                <w:szCs w:val="21"/>
              </w:rPr>
              <w:t>（</w:t>
            </w:r>
            <w:r w:rsidRPr="00F9522B">
              <w:rPr>
                <w:rFonts w:eastAsiaTheme="minorEastAsia"/>
                <w:bCs/>
                <w:kern w:val="0"/>
                <w:szCs w:val="21"/>
              </w:rPr>
              <w:t>Ⅲ</w:t>
            </w:r>
            <w:r w:rsidRPr="00F9522B">
              <w:rPr>
                <w:rFonts w:eastAsiaTheme="minorEastAsia"/>
                <w:szCs w:val="21"/>
              </w:rPr>
              <w:t>）</w:t>
            </w:r>
          </w:p>
        </w:tc>
        <w:tc>
          <w:tcPr>
            <w:tcW w:w="1163" w:type="dxa"/>
            <w:gridSpan w:val="2"/>
            <w:vAlign w:val="center"/>
          </w:tcPr>
          <w:p w:rsidR="00AC0E6E" w:rsidRPr="00F9522B" w:rsidRDefault="00AC0E6E">
            <w:pPr>
              <w:spacing w:line="0" w:lineRule="atLeast"/>
              <w:contextualSpacing/>
              <w:jc w:val="center"/>
              <w:rPr>
                <w:rFonts w:eastAsiaTheme="minorEastAsia"/>
                <w:kern w:val="0"/>
                <w:szCs w:val="21"/>
              </w:rPr>
            </w:pPr>
            <w:r w:rsidRPr="00F9522B">
              <w:rPr>
                <w:rFonts w:eastAsiaTheme="minorEastAsia"/>
                <w:szCs w:val="21"/>
              </w:rPr>
              <w:t>≤40</w:t>
            </w:r>
            <w:r w:rsidRPr="00F9522B">
              <w:rPr>
                <w:rFonts w:eastAsiaTheme="minorEastAsia"/>
                <w:szCs w:val="21"/>
              </w:rPr>
              <w:t>（</w:t>
            </w:r>
            <w:r w:rsidR="005273A1" w:rsidRPr="005273A1">
              <w:rPr>
                <w:rFonts w:eastAsiaTheme="minorEastAsia"/>
                <w:bCs/>
                <w:kern w:val="0"/>
                <w:szCs w:val="21"/>
              </w:rPr>
              <w:fldChar w:fldCharType="begin"/>
            </w:r>
            <w:r w:rsidRPr="00F9522B">
              <w:rPr>
                <w:rFonts w:eastAsiaTheme="minorEastAsia"/>
                <w:bCs/>
                <w:kern w:val="0"/>
                <w:szCs w:val="21"/>
              </w:rPr>
              <w:instrText xml:space="preserve"> = 5 \* ROMAN </w:instrText>
            </w:r>
            <w:r w:rsidR="005273A1" w:rsidRPr="005273A1">
              <w:rPr>
                <w:rFonts w:eastAsiaTheme="minorEastAsia"/>
                <w:bCs/>
                <w:kern w:val="0"/>
                <w:szCs w:val="21"/>
              </w:rPr>
              <w:fldChar w:fldCharType="separate"/>
            </w:r>
            <w:r w:rsidRPr="00F9522B">
              <w:rPr>
                <w:rFonts w:eastAsiaTheme="minorEastAsia"/>
                <w:bCs/>
                <w:kern w:val="0"/>
                <w:szCs w:val="21"/>
              </w:rPr>
              <w:t>V</w:t>
            </w:r>
            <w:r w:rsidR="005273A1" w:rsidRPr="00F9522B">
              <w:rPr>
                <w:rFonts w:eastAsiaTheme="minorEastAsia"/>
                <w:kern w:val="0"/>
                <w:szCs w:val="21"/>
              </w:rPr>
              <w:fldChar w:fldCharType="end"/>
            </w:r>
            <w:r w:rsidRPr="00F9522B">
              <w:rPr>
                <w:rFonts w:eastAsiaTheme="minorEastAsia"/>
                <w:szCs w:val="21"/>
              </w:rPr>
              <w:t>）</w:t>
            </w:r>
          </w:p>
        </w:tc>
      </w:tr>
      <w:tr w:rsidR="00AC0E6E" w:rsidRPr="00F9522B" w:rsidTr="009D380C">
        <w:trPr>
          <w:trHeight w:val="33"/>
          <w:jc w:val="center"/>
        </w:trPr>
        <w:tc>
          <w:tcPr>
            <w:tcW w:w="654" w:type="dxa"/>
            <w:vMerge/>
            <w:vAlign w:val="center"/>
          </w:tcPr>
          <w:p w:rsidR="00AC0E6E" w:rsidRPr="00F9522B" w:rsidRDefault="00AC0E6E">
            <w:pPr>
              <w:widowControl/>
              <w:spacing w:line="0" w:lineRule="atLeast"/>
              <w:contextualSpacing/>
              <w:jc w:val="left"/>
              <w:rPr>
                <w:rFonts w:eastAsiaTheme="minorEastAsia"/>
                <w:kern w:val="0"/>
                <w:szCs w:val="21"/>
              </w:rPr>
            </w:pPr>
          </w:p>
        </w:tc>
        <w:tc>
          <w:tcPr>
            <w:tcW w:w="2269" w:type="dxa"/>
            <w:vMerge/>
            <w:vAlign w:val="center"/>
          </w:tcPr>
          <w:p w:rsidR="00AC0E6E" w:rsidRPr="00F9522B" w:rsidRDefault="00AC0E6E">
            <w:pPr>
              <w:widowControl/>
              <w:spacing w:line="0" w:lineRule="atLeast"/>
              <w:contextualSpacing/>
              <w:jc w:val="left"/>
              <w:rPr>
                <w:rFonts w:eastAsiaTheme="minorEastAsia"/>
                <w:kern w:val="0"/>
                <w:szCs w:val="21"/>
              </w:rPr>
            </w:pPr>
          </w:p>
        </w:tc>
        <w:tc>
          <w:tcPr>
            <w:tcW w:w="1134" w:type="dxa"/>
            <w:vAlign w:val="center"/>
          </w:tcPr>
          <w:p w:rsidR="00AC0E6E" w:rsidRPr="00F9522B" w:rsidRDefault="00AC0E6E">
            <w:pPr>
              <w:spacing w:line="0" w:lineRule="atLeast"/>
              <w:contextualSpacing/>
              <w:jc w:val="center"/>
              <w:rPr>
                <w:rFonts w:eastAsiaTheme="minorEastAsia"/>
                <w:kern w:val="0"/>
                <w:szCs w:val="21"/>
              </w:rPr>
            </w:pPr>
            <w:r w:rsidRPr="00F9522B">
              <w:rPr>
                <w:rFonts w:eastAsiaTheme="minorEastAsia"/>
                <w:spacing w:val="22"/>
                <w:kern w:val="0"/>
                <w:szCs w:val="21"/>
              </w:rPr>
              <w:t>NH</w:t>
            </w:r>
            <w:r w:rsidRPr="00F9522B">
              <w:rPr>
                <w:rFonts w:eastAsiaTheme="minorEastAsia"/>
                <w:spacing w:val="22"/>
                <w:kern w:val="0"/>
                <w:szCs w:val="21"/>
                <w:vertAlign w:val="subscript"/>
              </w:rPr>
              <w:t>3</w:t>
            </w:r>
            <w:r w:rsidRPr="00F9522B">
              <w:rPr>
                <w:rFonts w:eastAsiaTheme="minorEastAsia"/>
                <w:spacing w:val="22"/>
                <w:kern w:val="0"/>
                <w:szCs w:val="21"/>
              </w:rPr>
              <w:t>-N</w:t>
            </w:r>
          </w:p>
        </w:tc>
        <w:tc>
          <w:tcPr>
            <w:tcW w:w="992" w:type="dxa"/>
            <w:vMerge/>
            <w:vAlign w:val="center"/>
          </w:tcPr>
          <w:p w:rsidR="00AC0E6E" w:rsidRPr="00F9522B" w:rsidRDefault="00AC0E6E">
            <w:pPr>
              <w:widowControl/>
              <w:spacing w:line="0" w:lineRule="atLeast"/>
              <w:contextualSpacing/>
              <w:jc w:val="left"/>
              <w:rPr>
                <w:rFonts w:eastAsiaTheme="minorEastAsia"/>
                <w:kern w:val="0"/>
                <w:szCs w:val="21"/>
              </w:rPr>
            </w:pPr>
          </w:p>
        </w:tc>
        <w:tc>
          <w:tcPr>
            <w:tcW w:w="1985" w:type="dxa"/>
            <w:vAlign w:val="center"/>
          </w:tcPr>
          <w:p w:rsidR="00AC0E6E" w:rsidRPr="00F9522B" w:rsidRDefault="00AC0E6E">
            <w:pPr>
              <w:spacing w:line="0" w:lineRule="atLeast"/>
              <w:contextualSpacing/>
              <w:jc w:val="center"/>
              <w:rPr>
                <w:rFonts w:eastAsiaTheme="minorEastAsia"/>
                <w:kern w:val="0"/>
                <w:szCs w:val="21"/>
              </w:rPr>
            </w:pPr>
            <w:r w:rsidRPr="00F9522B">
              <w:rPr>
                <w:rFonts w:eastAsiaTheme="minorEastAsia"/>
                <w:szCs w:val="21"/>
              </w:rPr>
              <w:t>≤1.0</w:t>
            </w:r>
            <w:r w:rsidRPr="00F9522B">
              <w:rPr>
                <w:rFonts w:eastAsiaTheme="minorEastAsia"/>
                <w:szCs w:val="21"/>
              </w:rPr>
              <w:t>（</w:t>
            </w:r>
            <w:r w:rsidRPr="00F9522B">
              <w:rPr>
                <w:rFonts w:eastAsiaTheme="minorEastAsia"/>
                <w:bCs/>
                <w:kern w:val="0"/>
                <w:szCs w:val="21"/>
              </w:rPr>
              <w:t>Ⅲ</w:t>
            </w:r>
            <w:r w:rsidRPr="00F9522B">
              <w:rPr>
                <w:rFonts w:eastAsiaTheme="minorEastAsia"/>
                <w:szCs w:val="21"/>
              </w:rPr>
              <w:t>）</w:t>
            </w:r>
          </w:p>
        </w:tc>
        <w:tc>
          <w:tcPr>
            <w:tcW w:w="1163" w:type="dxa"/>
            <w:gridSpan w:val="2"/>
            <w:vAlign w:val="center"/>
          </w:tcPr>
          <w:p w:rsidR="00AC0E6E" w:rsidRPr="00F9522B" w:rsidRDefault="00AC0E6E">
            <w:pPr>
              <w:spacing w:line="0" w:lineRule="atLeast"/>
              <w:contextualSpacing/>
              <w:jc w:val="center"/>
              <w:rPr>
                <w:rFonts w:eastAsiaTheme="minorEastAsia"/>
                <w:kern w:val="0"/>
                <w:szCs w:val="21"/>
              </w:rPr>
            </w:pPr>
            <w:r w:rsidRPr="00F9522B">
              <w:rPr>
                <w:rFonts w:eastAsiaTheme="minorEastAsia"/>
                <w:szCs w:val="21"/>
              </w:rPr>
              <w:t>≤2.0</w:t>
            </w:r>
            <w:r w:rsidRPr="00F9522B">
              <w:rPr>
                <w:rFonts w:eastAsiaTheme="minorEastAsia"/>
                <w:szCs w:val="21"/>
              </w:rPr>
              <w:t>（</w:t>
            </w:r>
            <w:r w:rsidR="005273A1" w:rsidRPr="005273A1">
              <w:rPr>
                <w:rFonts w:eastAsiaTheme="minorEastAsia"/>
                <w:bCs/>
                <w:kern w:val="0"/>
                <w:szCs w:val="21"/>
              </w:rPr>
              <w:fldChar w:fldCharType="begin"/>
            </w:r>
            <w:r w:rsidRPr="00F9522B">
              <w:rPr>
                <w:rFonts w:eastAsiaTheme="minorEastAsia"/>
                <w:bCs/>
                <w:kern w:val="0"/>
                <w:szCs w:val="21"/>
              </w:rPr>
              <w:instrText xml:space="preserve"> = 5 \* ROMAN </w:instrText>
            </w:r>
            <w:r w:rsidR="005273A1" w:rsidRPr="005273A1">
              <w:rPr>
                <w:rFonts w:eastAsiaTheme="minorEastAsia"/>
                <w:bCs/>
                <w:kern w:val="0"/>
                <w:szCs w:val="21"/>
              </w:rPr>
              <w:fldChar w:fldCharType="separate"/>
            </w:r>
            <w:r w:rsidRPr="00F9522B">
              <w:rPr>
                <w:rFonts w:eastAsiaTheme="minorEastAsia"/>
                <w:bCs/>
                <w:kern w:val="0"/>
                <w:szCs w:val="21"/>
              </w:rPr>
              <w:t>V</w:t>
            </w:r>
            <w:r w:rsidR="005273A1" w:rsidRPr="00F9522B">
              <w:rPr>
                <w:rFonts w:eastAsiaTheme="minorEastAsia"/>
                <w:kern w:val="0"/>
                <w:szCs w:val="21"/>
              </w:rPr>
              <w:fldChar w:fldCharType="end"/>
            </w:r>
            <w:r w:rsidRPr="00F9522B">
              <w:rPr>
                <w:rFonts w:eastAsiaTheme="minorEastAsia"/>
                <w:szCs w:val="21"/>
              </w:rPr>
              <w:t>）</w:t>
            </w:r>
          </w:p>
        </w:tc>
      </w:tr>
      <w:tr w:rsidR="00AC0E6E" w:rsidRPr="00F9522B" w:rsidTr="009D380C">
        <w:trPr>
          <w:trHeight w:val="33"/>
          <w:jc w:val="center"/>
        </w:trPr>
        <w:tc>
          <w:tcPr>
            <w:tcW w:w="654" w:type="dxa"/>
            <w:vMerge/>
            <w:vAlign w:val="center"/>
          </w:tcPr>
          <w:p w:rsidR="00AC0E6E" w:rsidRPr="00F9522B" w:rsidRDefault="00AC0E6E">
            <w:pPr>
              <w:widowControl/>
              <w:spacing w:line="0" w:lineRule="atLeast"/>
              <w:contextualSpacing/>
              <w:jc w:val="left"/>
              <w:rPr>
                <w:rFonts w:eastAsiaTheme="minorEastAsia"/>
                <w:kern w:val="0"/>
                <w:szCs w:val="21"/>
              </w:rPr>
            </w:pPr>
          </w:p>
        </w:tc>
        <w:tc>
          <w:tcPr>
            <w:tcW w:w="2269" w:type="dxa"/>
            <w:vMerge/>
            <w:vAlign w:val="center"/>
          </w:tcPr>
          <w:p w:rsidR="00AC0E6E" w:rsidRPr="00F9522B" w:rsidRDefault="00AC0E6E">
            <w:pPr>
              <w:widowControl/>
              <w:spacing w:line="0" w:lineRule="atLeast"/>
              <w:contextualSpacing/>
              <w:jc w:val="left"/>
              <w:rPr>
                <w:rFonts w:eastAsiaTheme="minorEastAsia"/>
                <w:kern w:val="0"/>
                <w:szCs w:val="21"/>
              </w:rPr>
            </w:pPr>
          </w:p>
        </w:tc>
        <w:tc>
          <w:tcPr>
            <w:tcW w:w="1134" w:type="dxa"/>
            <w:vAlign w:val="center"/>
          </w:tcPr>
          <w:p w:rsidR="00AC0E6E" w:rsidRPr="00F9522B" w:rsidRDefault="00AC0E6E">
            <w:pPr>
              <w:autoSpaceDE w:val="0"/>
              <w:autoSpaceDN w:val="0"/>
              <w:spacing w:line="0" w:lineRule="atLeast"/>
              <w:contextualSpacing/>
              <w:jc w:val="center"/>
              <w:rPr>
                <w:rFonts w:eastAsiaTheme="minorEastAsia"/>
                <w:kern w:val="0"/>
                <w:szCs w:val="21"/>
              </w:rPr>
            </w:pPr>
            <w:r w:rsidRPr="00F9522B">
              <w:rPr>
                <w:rFonts w:eastAsiaTheme="minorEastAsia"/>
                <w:kern w:val="0"/>
                <w:szCs w:val="21"/>
              </w:rPr>
              <w:t>BOD</w:t>
            </w:r>
            <w:r w:rsidRPr="00F9522B">
              <w:rPr>
                <w:rFonts w:eastAsiaTheme="minorEastAsia"/>
                <w:kern w:val="0"/>
                <w:szCs w:val="21"/>
                <w:vertAlign w:val="subscript"/>
              </w:rPr>
              <w:t>5</w:t>
            </w:r>
          </w:p>
        </w:tc>
        <w:tc>
          <w:tcPr>
            <w:tcW w:w="992" w:type="dxa"/>
            <w:vMerge/>
            <w:vAlign w:val="center"/>
          </w:tcPr>
          <w:p w:rsidR="00AC0E6E" w:rsidRPr="00F9522B" w:rsidRDefault="00AC0E6E">
            <w:pPr>
              <w:widowControl/>
              <w:spacing w:line="0" w:lineRule="atLeast"/>
              <w:contextualSpacing/>
              <w:jc w:val="left"/>
              <w:rPr>
                <w:rFonts w:eastAsiaTheme="minorEastAsia"/>
                <w:kern w:val="0"/>
                <w:szCs w:val="21"/>
              </w:rPr>
            </w:pPr>
          </w:p>
        </w:tc>
        <w:tc>
          <w:tcPr>
            <w:tcW w:w="1985" w:type="dxa"/>
            <w:vAlign w:val="center"/>
          </w:tcPr>
          <w:p w:rsidR="00AC0E6E" w:rsidRPr="00F9522B" w:rsidRDefault="00AC0E6E">
            <w:pPr>
              <w:spacing w:line="0" w:lineRule="atLeast"/>
              <w:contextualSpacing/>
              <w:jc w:val="center"/>
              <w:rPr>
                <w:rFonts w:eastAsiaTheme="minorEastAsia"/>
                <w:kern w:val="0"/>
                <w:szCs w:val="21"/>
              </w:rPr>
            </w:pPr>
            <w:r w:rsidRPr="00F9522B">
              <w:rPr>
                <w:rFonts w:eastAsiaTheme="minorEastAsia"/>
                <w:szCs w:val="21"/>
              </w:rPr>
              <w:t>≤4.0</w:t>
            </w:r>
            <w:r w:rsidRPr="00F9522B">
              <w:rPr>
                <w:rFonts w:eastAsiaTheme="minorEastAsia"/>
                <w:szCs w:val="21"/>
              </w:rPr>
              <w:t>（</w:t>
            </w:r>
            <w:r w:rsidRPr="00F9522B">
              <w:rPr>
                <w:rFonts w:eastAsiaTheme="minorEastAsia"/>
                <w:bCs/>
                <w:kern w:val="0"/>
                <w:szCs w:val="21"/>
              </w:rPr>
              <w:t>Ⅲ</w:t>
            </w:r>
            <w:r w:rsidRPr="00F9522B">
              <w:rPr>
                <w:rFonts w:eastAsiaTheme="minorEastAsia"/>
                <w:szCs w:val="21"/>
              </w:rPr>
              <w:t>）</w:t>
            </w:r>
          </w:p>
        </w:tc>
        <w:tc>
          <w:tcPr>
            <w:tcW w:w="1163" w:type="dxa"/>
            <w:gridSpan w:val="2"/>
            <w:vAlign w:val="center"/>
          </w:tcPr>
          <w:p w:rsidR="00AC0E6E" w:rsidRPr="00F9522B" w:rsidRDefault="00AC0E6E">
            <w:pPr>
              <w:spacing w:line="0" w:lineRule="atLeast"/>
              <w:contextualSpacing/>
              <w:jc w:val="center"/>
              <w:rPr>
                <w:rFonts w:eastAsiaTheme="minorEastAsia"/>
                <w:kern w:val="0"/>
                <w:szCs w:val="21"/>
              </w:rPr>
            </w:pPr>
            <w:r w:rsidRPr="00F9522B">
              <w:rPr>
                <w:rFonts w:eastAsiaTheme="minorEastAsia"/>
                <w:szCs w:val="21"/>
              </w:rPr>
              <w:t>≤10.0</w:t>
            </w:r>
            <w:r w:rsidRPr="00F9522B">
              <w:rPr>
                <w:rFonts w:eastAsiaTheme="minorEastAsia"/>
                <w:szCs w:val="21"/>
              </w:rPr>
              <w:t>（</w:t>
            </w:r>
            <w:r w:rsidR="005273A1" w:rsidRPr="005273A1">
              <w:rPr>
                <w:rFonts w:eastAsiaTheme="minorEastAsia"/>
                <w:bCs/>
                <w:kern w:val="0"/>
                <w:szCs w:val="21"/>
              </w:rPr>
              <w:fldChar w:fldCharType="begin"/>
            </w:r>
            <w:r w:rsidRPr="00F9522B">
              <w:rPr>
                <w:rFonts w:eastAsiaTheme="minorEastAsia"/>
                <w:bCs/>
                <w:kern w:val="0"/>
                <w:szCs w:val="21"/>
              </w:rPr>
              <w:instrText xml:space="preserve"> = 5 \* ROMAN </w:instrText>
            </w:r>
            <w:r w:rsidR="005273A1" w:rsidRPr="005273A1">
              <w:rPr>
                <w:rFonts w:eastAsiaTheme="minorEastAsia"/>
                <w:bCs/>
                <w:kern w:val="0"/>
                <w:szCs w:val="21"/>
              </w:rPr>
              <w:fldChar w:fldCharType="separate"/>
            </w:r>
            <w:r w:rsidRPr="00F9522B">
              <w:rPr>
                <w:rFonts w:eastAsiaTheme="minorEastAsia"/>
                <w:bCs/>
                <w:kern w:val="0"/>
                <w:szCs w:val="21"/>
              </w:rPr>
              <w:t>V</w:t>
            </w:r>
            <w:r w:rsidR="005273A1" w:rsidRPr="00F9522B">
              <w:rPr>
                <w:rFonts w:eastAsiaTheme="minorEastAsia"/>
                <w:kern w:val="0"/>
                <w:szCs w:val="21"/>
              </w:rPr>
              <w:fldChar w:fldCharType="end"/>
            </w:r>
            <w:r w:rsidRPr="00F9522B">
              <w:rPr>
                <w:rFonts w:eastAsiaTheme="minorEastAsia"/>
                <w:szCs w:val="21"/>
              </w:rPr>
              <w:t>）</w:t>
            </w:r>
          </w:p>
        </w:tc>
      </w:tr>
      <w:tr w:rsidR="00AC0E6E" w:rsidRPr="00F9522B" w:rsidTr="009D380C">
        <w:trPr>
          <w:trHeight w:val="33"/>
          <w:jc w:val="center"/>
        </w:trPr>
        <w:tc>
          <w:tcPr>
            <w:tcW w:w="654" w:type="dxa"/>
            <w:vMerge/>
            <w:vAlign w:val="center"/>
          </w:tcPr>
          <w:p w:rsidR="00AC0E6E" w:rsidRPr="00F9522B" w:rsidRDefault="00AC0E6E">
            <w:pPr>
              <w:widowControl/>
              <w:spacing w:line="0" w:lineRule="atLeast"/>
              <w:contextualSpacing/>
              <w:jc w:val="left"/>
              <w:rPr>
                <w:rFonts w:eastAsiaTheme="minorEastAsia"/>
                <w:kern w:val="0"/>
                <w:szCs w:val="21"/>
              </w:rPr>
            </w:pPr>
          </w:p>
        </w:tc>
        <w:tc>
          <w:tcPr>
            <w:tcW w:w="2269" w:type="dxa"/>
            <w:vMerge/>
            <w:vAlign w:val="center"/>
          </w:tcPr>
          <w:p w:rsidR="00AC0E6E" w:rsidRPr="00F9522B" w:rsidRDefault="00AC0E6E">
            <w:pPr>
              <w:widowControl/>
              <w:spacing w:line="0" w:lineRule="atLeast"/>
              <w:contextualSpacing/>
              <w:jc w:val="left"/>
              <w:rPr>
                <w:rFonts w:eastAsiaTheme="minorEastAsia"/>
                <w:kern w:val="0"/>
                <w:szCs w:val="21"/>
              </w:rPr>
            </w:pPr>
          </w:p>
        </w:tc>
        <w:tc>
          <w:tcPr>
            <w:tcW w:w="1134" w:type="dxa"/>
            <w:vAlign w:val="center"/>
          </w:tcPr>
          <w:p w:rsidR="00AC0E6E" w:rsidRPr="00F9522B" w:rsidRDefault="00AC0E6E">
            <w:pPr>
              <w:autoSpaceDE w:val="0"/>
              <w:autoSpaceDN w:val="0"/>
              <w:spacing w:line="0" w:lineRule="atLeast"/>
              <w:contextualSpacing/>
              <w:jc w:val="center"/>
              <w:rPr>
                <w:rFonts w:eastAsiaTheme="minorEastAsia"/>
                <w:kern w:val="0"/>
                <w:szCs w:val="21"/>
              </w:rPr>
            </w:pPr>
            <w:r w:rsidRPr="00F9522B">
              <w:rPr>
                <w:rFonts w:eastAsiaTheme="minorEastAsia"/>
                <w:kern w:val="0"/>
                <w:szCs w:val="21"/>
              </w:rPr>
              <w:t>溶解氧</w:t>
            </w:r>
          </w:p>
        </w:tc>
        <w:tc>
          <w:tcPr>
            <w:tcW w:w="992" w:type="dxa"/>
            <w:vMerge/>
            <w:vAlign w:val="center"/>
          </w:tcPr>
          <w:p w:rsidR="00AC0E6E" w:rsidRPr="00F9522B" w:rsidRDefault="00AC0E6E">
            <w:pPr>
              <w:widowControl/>
              <w:spacing w:line="0" w:lineRule="atLeast"/>
              <w:contextualSpacing/>
              <w:jc w:val="left"/>
              <w:rPr>
                <w:rFonts w:eastAsiaTheme="minorEastAsia"/>
                <w:kern w:val="0"/>
                <w:szCs w:val="21"/>
              </w:rPr>
            </w:pPr>
          </w:p>
        </w:tc>
        <w:tc>
          <w:tcPr>
            <w:tcW w:w="1985" w:type="dxa"/>
            <w:vAlign w:val="center"/>
          </w:tcPr>
          <w:p w:rsidR="00AC0E6E" w:rsidRPr="00F9522B" w:rsidRDefault="00AC0E6E">
            <w:pPr>
              <w:spacing w:line="0" w:lineRule="atLeast"/>
              <w:contextualSpacing/>
              <w:jc w:val="center"/>
              <w:rPr>
                <w:rFonts w:eastAsiaTheme="minorEastAsia"/>
                <w:kern w:val="0"/>
                <w:szCs w:val="21"/>
              </w:rPr>
            </w:pPr>
            <w:r w:rsidRPr="00F9522B">
              <w:rPr>
                <w:rFonts w:eastAsiaTheme="minorEastAsia"/>
                <w:szCs w:val="21"/>
              </w:rPr>
              <w:t>≥5</w:t>
            </w:r>
            <w:r w:rsidRPr="00F9522B">
              <w:rPr>
                <w:rFonts w:eastAsiaTheme="minorEastAsia"/>
                <w:szCs w:val="21"/>
              </w:rPr>
              <w:t>（</w:t>
            </w:r>
            <w:r w:rsidRPr="00F9522B">
              <w:rPr>
                <w:rFonts w:eastAsiaTheme="minorEastAsia"/>
                <w:bCs/>
                <w:kern w:val="0"/>
                <w:szCs w:val="21"/>
              </w:rPr>
              <w:t>Ⅲ</w:t>
            </w:r>
            <w:r w:rsidRPr="00F9522B">
              <w:rPr>
                <w:rFonts w:eastAsiaTheme="minorEastAsia"/>
                <w:szCs w:val="21"/>
              </w:rPr>
              <w:t>）</w:t>
            </w:r>
          </w:p>
        </w:tc>
        <w:tc>
          <w:tcPr>
            <w:tcW w:w="1163" w:type="dxa"/>
            <w:gridSpan w:val="2"/>
            <w:vAlign w:val="center"/>
          </w:tcPr>
          <w:p w:rsidR="00AC0E6E" w:rsidRPr="00F9522B" w:rsidRDefault="00AC0E6E">
            <w:pPr>
              <w:spacing w:line="0" w:lineRule="atLeast"/>
              <w:contextualSpacing/>
              <w:jc w:val="center"/>
              <w:rPr>
                <w:rFonts w:eastAsiaTheme="minorEastAsia"/>
                <w:kern w:val="0"/>
                <w:szCs w:val="21"/>
              </w:rPr>
            </w:pPr>
            <w:r w:rsidRPr="00F9522B">
              <w:rPr>
                <w:rFonts w:eastAsiaTheme="minorEastAsia"/>
                <w:szCs w:val="21"/>
              </w:rPr>
              <w:t>≥2</w:t>
            </w:r>
            <w:r w:rsidRPr="00F9522B">
              <w:rPr>
                <w:rFonts w:eastAsiaTheme="minorEastAsia"/>
                <w:szCs w:val="21"/>
              </w:rPr>
              <w:t>（</w:t>
            </w:r>
            <w:r w:rsidR="005273A1" w:rsidRPr="005273A1">
              <w:rPr>
                <w:rFonts w:eastAsiaTheme="minorEastAsia"/>
                <w:bCs/>
                <w:kern w:val="0"/>
                <w:szCs w:val="21"/>
              </w:rPr>
              <w:fldChar w:fldCharType="begin"/>
            </w:r>
            <w:r w:rsidRPr="00F9522B">
              <w:rPr>
                <w:rFonts w:eastAsiaTheme="minorEastAsia"/>
                <w:bCs/>
                <w:kern w:val="0"/>
                <w:szCs w:val="21"/>
              </w:rPr>
              <w:instrText xml:space="preserve"> = 5 \* ROMAN </w:instrText>
            </w:r>
            <w:r w:rsidR="005273A1" w:rsidRPr="005273A1">
              <w:rPr>
                <w:rFonts w:eastAsiaTheme="minorEastAsia"/>
                <w:bCs/>
                <w:kern w:val="0"/>
                <w:szCs w:val="21"/>
              </w:rPr>
              <w:fldChar w:fldCharType="separate"/>
            </w:r>
            <w:r w:rsidRPr="00F9522B">
              <w:rPr>
                <w:rFonts w:eastAsiaTheme="minorEastAsia"/>
                <w:bCs/>
                <w:kern w:val="0"/>
                <w:szCs w:val="21"/>
              </w:rPr>
              <w:t>V</w:t>
            </w:r>
            <w:r w:rsidR="005273A1" w:rsidRPr="00F9522B">
              <w:rPr>
                <w:rFonts w:eastAsiaTheme="minorEastAsia"/>
                <w:kern w:val="0"/>
                <w:szCs w:val="21"/>
              </w:rPr>
              <w:fldChar w:fldCharType="end"/>
            </w:r>
            <w:r w:rsidRPr="00F9522B">
              <w:rPr>
                <w:rFonts w:eastAsiaTheme="minorEastAsia"/>
                <w:szCs w:val="21"/>
              </w:rPr>
              <w:t>）</w:t>
            </w:r>
          </w:p>
        </w:tc>
      </w:tr>
      <w:tr w:rsidR="00AC0E6E" w:rsidRPr="00F9522B" w:rsidTr="009D380C">
        <w:trPr>
          <w:trHeight w:val="33"/>
          <w:jc w:val="center"/>
        </w:trPr>
        <w:tc>
          <w:tcPr>
            <w:tcW w:w="654" w:type="dxa"/>
            <w:vMerge/>
            <w:vAlign w:val="center"/>
          </w:tcPr>
          <w:p w:rsidR="00AC0E6E" w:rsidRPr="00F9522B" w:rsidRDefault="00AC0E6E">
            <w:pPr>
              <w:widowControl/>
              <w:spacing w:line="0" w:lineRule="atLeast"/>
              <w:contextualSpacing/>
              <w:jc w:val="left"/>
              <w:rPr>
                <w:rFonts w:eastAsiaTheme="minorEastAsia"/>
                <w:kern w:val="0"/>
                <w:szCs w:val="21"/>
              </w:rPr>
            </w:pPr>
          </w:p>
        </w:tc>
        <w:tc>
          <w:tcPr>
            <w:tcW w:w="2269" w:type="dxa"/>
            <w:vMerge/>
            <w:vAlign w:val="center"/>
          </w:tcPr>
          <w:p w:rsidR="00AC0E6E" w:rsidRPr="00F9522B" w:rsidRDefault="00AC0E6E">
            <w:pPr>
              <w:widowControl/>
              <w:spacing w:line="0" w:lineRule="atLeast"/>
              <w:contextualSpacing/>
              <w:jc w:val="left"/>
              <w:rPr>
                <w:rFonts w:eastAsiaTheme="minorEastAsia"/>
                <w:kern w:val="0"/>
                <w:szCs w:val="21"/>
              </w:rPr>
            </w:pPr>
          </w:p>
        </w:tc>
        <w:tc>
          <w:tcPr>
            <w:tcW w:w="1134" w:type="dxa"/>
            <w:vAlign w:val="center"/>
          </w:tcPr>
          <w:p w:rsidR="00AC0E6E" w:rsidRPr="00F9522B" w:rsidRDefault="00AC0E6E">
            <w:pPr>
              <w:autoSpaceDE w:val="0"/>
              <w:autoSpaceDN w:val="0"/>
              <w:spacing w:line="0" w:lineRule="atLeast"/>
              <w:contextualSpacing/>
              <w:jc w:val="center"/>
              <w:rPr>
                <w:rFonts w:eastAsiaTheme="minorEastAsia"/>
                <w:kern w:val="0"/>
                <w:szCs w:val="21"/>
              </w:rPr>
            </w:pPr>
            <w:r w:rsidRPr="00F9522B">
              <w:rPr>
                <w:rFonts w:eastAsiaTheme="minorEastAsia"/>
                <w:kern w:val="0"/>
                <w:szCs w:val="21"/>
              </w:rPr>
              <w:t>总磷</w:t>
            </w:r>
          </w:p>
        </w:tc>
        <w:tc>
          <w:tcPr>
            <w:tcW w:w="992" w:type="dxa"/>
            <w:vMerge/>
            <w:vAlign w:val="center"/>
          </w:tcPr>
          <w:p w:rsidR="00AC0E6E" w:rsidRPr="00F9522B" w:rsidRDefault="00AC0E6E">
            <w:pPr>
              <w:widowControl/>
              <w:spacing w:line="0" w:lineRule="atLeast"/>
              <w:contextualSpacing/>
              <w:jc w:val="left"/>
              <w:rPr>
                <w:rFonts w:eastAsiaTheme="minorEastAsia"/>
                <w:kern w:val="0"/>
                <w:szCs w:val="21"/>
              </w:rPr>
            </w:pPr>
          </w:p>
        </w:tc>
        <w:tc>
          <w:tcPr>
            <w:tcW w:w="1985" w:type="dxa"/>
            <w:vAlign w:val="center"/>
          </w:tcPr>
          <w:p w:rsidR="00AC0E6E" w:rsidRPr="00F9522B" w:rsidRDefault="00AC0E6E">
            <w:pPr>
              <w:spacing w:line="0" w:lineRule="atLeast"/>
              <w:contextualSpacing/>
              <w:jc w:val="center"/>
              <w:rPr>
                <w:rFonts w:eastAsiaTheme="minorEastAsia"/>
                <w:kern w:val="0"/>
                <w:szCs w:val="21"/>
              </w:rPr>
            </w:pPr>
            <w:r w:rsidRPr="00F9522B">
              <w:rPr>
                <w:rFonts w:eastAsiaTheme="minorEastAsia"/>
                <w:kern w:val="0"/>
                <w:szCs w:val="21"/>
              </w:rPr>
              <w:t>≤</w:t>
            </w:r>
            <w:r w:rsidRPr="00F9522B">
              <w:rPr>
                <w:rFonts w:eastAsiaTheme="minorEastAsia"/>
                <w:szCs w:val="21"/>
              </w:rPr>
              <w:t>0.2</w:t>
            </w:r>
            <w:r w:rsidRPr="00F9522B">
              <w:rPr>
                <w:rFonts w:eastAsiaTheme="minorEastAsia"/>
                <w:szCs w:val="21"/>
              </w:rPr>
              <w:t>（</w:t>
            </w:r>
            <w:r w:rsidRPr="00F9522B">
              <w:rPr>
                <w:rFonts w:eastAsiaTheme="minorEastAsia"/>
                <w:bCs/>
                <w:kern w:val="0"/>
                <w:szCs w:val="21"/>
              </w:rPr>
              <w:t>Ⅲ</w:t>
            </w:r>
            <w:r w:rsidRPr="00F9522B">
              <w:rPr>
                <w:rFonts w:eastAsiaTheme="minorEastAsia"/>
                <w:szCs w:val="21"/>
              </w:rPr>
              <w:t>）</w:t>
            </w:r>
          </w:p>
        </w:tc>
        <w:tc>
          <w:tcPr>
            <w:tcW w:w="1163" w:type="dxa"/>
            <w:gridSpan w:val="2"/>
            <w:vAlign w:val="center"/>
          </w:tcPr>
          <w:p w:rsidR="00AC0E6E" w:rsidRPr="00F9522B" w:rsidRDefault="00AC0E6E">
            <w:pPr>
              <w:spacing w:line="0" w:lineRule="atLeast"/>
              <w:contextualSpacing/>
              <w:jc w:val="center"/>
              <w:rPr>
                <w:rFonts w:eastAsiaTheme="minorEastAsia"/>
                <w:kern w:val="0"/>
                <w:szCs w:val="21"/>
              </w:rPr>
            </w:pPr>
            <w:r w:rsidRPr="00F9522B">
              <w:rPr>
                <w:rFonts w:eastAsiaTheme="minorEastAsia"/>
                <w:kern w:val="0"/>
                <w:szCs w:val="21"/>
              </w:rPr>
              <w:t>≤</w:t>
            </w:r>
            <w:r w:rsidRPr="00F9522B">
              <w:rPr>
                <w:rFonts w:eastAsiaTheme="minorEastAsia"/>
                <w:szCs w:val="21"/>
              </w:rPr>
              <w:t>0.4</w:t>
            </w:r>
            <w:r w:rsidRPr="00F9522B">
              <w:rPr>
                <w:rFonts w:eastAsiaTheme="minorEastAsia"/>
                <w:szCs w:val="21"/>
              </w:rPr>
              <w:t>（</w:t>
            </w:r>
            <w:r w:rsidR="005273A1" w:rsidRPr="005273A1">
              <w:rPr>
                <w:rFonts w:eastAsiaTheme="minorEastAsia"/>
                <w:bCs/>
                <w:kern w:val="0"/>
                <w:szCs w:val="21"/>
              </w:rPr>
              <w:fldChar w:fldCharType="begin"/>
            </w:r>
            <w:r w:rsidRPr="00F9522B">
              <w:rPr>
                <w:rFonts w:eastAsiaTheme="minorEastAsia"/>
                <w:bCs/>
                <w:kern w:val="0"/>
                <w:szCs w:val="21"/>
              </w:rPr>
              <w:instrText xml:space="preserve"> = 5 \* ROMAN </w:instrText>
            </w:r>
            <w:r w:rsidR="005273A1" w:rsidRPr="005273A1">
              <w:rPr>
                <w:rFonts w:eastAsiaTheme="minorEastAsia"/>
                <w:bCs/>
                <w:kern w:val="0"/>
                <w:szCs w:val="21"/>
              </w:rPr>
              <w:fldChar w:fldCharType="separate"/>
            </w:r>
            <w:r w:rsidRPr="00F9522B">
              <w:rPr>
                <w:rFonts w:eastAsiaTheme="minorEastAsia"/>
                <w:bCs/>
                <w:kern w:val="0"/>
                <w:szCs w:val="21"/>
              </w:rPr>
              <w:t>V</w:t>
            </w:r>
            <w:r w:rsidR="005273A1" w:rsidRPr="00F9522B">
              <w:rPr>
                <w:rFonts w:eastAsiaTheme="minorEastAsia"/>
                <w:kern w:val="0"/>
                <w:szCs w:val="21"/>
              </w:rPr>
              <w:fldChar w:fldCharType="end"/>
            </w:r>
            <w:r w:rsidRPr="00F9522B">
              <w:rPr>
                <w:rFonts w:eastAsiaTheme="minorEastAsia"/>
                <w:szCs w:val="21"/>
              </w:rPr>
              <w:t>）</w:t>
            </w:r>
          </w:p>
        </w:tc>
      </w:tr>
      <w:tr w:rsidR="00AC0E6E" w:rsidRPr="00F9522B" w:rsidTr="009D380C">
        <w:trPr>
          <w:trHeight w:val="33"/>
          <w:jc w:val="center"/>
        </w:trPr>
        <w:tc>
          <w:tcPr>
            <w:tcW w:w="654" w:type="dxa"/>
            <w:vMerge/>
            <w:vAlign w:val="center"/>
          </w:tcPr>
          <w:p w:rsidR="00AC0E6E" w:rsidRPr="00F9522B" w:rsidRDefault="00AC0E6E">
            <w:pPr>
              <w:widowControl/>
              <w:spacing w:line="0" w:lineRule="atLeast"/>
              <w:contextualSpacing/>
              <w:jc w:val="left"/>
              <w:rPr>
                <w:rFonts w:eastAsiaTheme="minorEastAsia"/>
                <w:kern w:val="0"/>
                <w:szCs w:val="21"/>
              </w:rPr>
            </w:pPr>
          </w:p>
        </w:tc>
        <w:tc>
          <w:tcPr>
            <w:tcW w:w="2269" w:type="dxa"/>
            <w:vMerge/>
            <w:vAlign w:val="center"/>
          </w:tcPr>
          <w:p w:rsidR="00AC0E6E" w:rsidRPr="00F9522B" w:rsidRDefault="00AC0E6E">
            <w:pPr>
              <w:widowControl/>
              <w:spacing w:line="0" w:lineRule="atLeast"/>
              <w:contextualSpacing/>
              <w:jc w:val="left"/>
              <w:rPr>
                <w:rFonts w:eastAsiaTheme="minorEastAsia"/>
                <w:kern w:val="0"/>
                <w:szCs w:val="21"/>
              </w:rPr>
            </w:pPr>
          </w:p>
        </w:tc>
        <w:tc>
          <w:tcPr>
            <w:tcW w:w="1134" w:type="dxa"/>
            <w:vAlign w:val="center"/>
          </w:tcPr>
          <w:p w:rsidR="00AC0E6E" w:rsidRPr="00F9522B" w:rsidRDefault="00AC0E6E">
            <w:pPr>
              <w:autoSpaceDE w:val="0"/>
              <w:autoSpaceDN w:val="0"/>
              <w:spacing w:line="0" w:lineRule="atLeast"/>
              <w:contextualSpacing/>
              <w:jc w:val="center"/>
              <w:rPr>
                <w:rFonts w:eastAsiaTheme="minorEastAsia"/>
                <w:kern w:val="0"/>
                <w:szCs w:val="21"/>
              </w:rPr>
            </w:pPr>
            <w:r w:rsidRPr="00F9522B">
              <w:rPr>
                <w:rFonts w:eastAsiaTheme="minorEastAsia"/>
                <w:kern w:val="0"/>
                <w:szCs w:val="21"/>
              </w:rPr>
              <w:t>高锰酸盐指数</w:t>
            </w:r>
          </w:p>
        </w:tc>
        <w:tc>
          <w:tcPr>
            <w:tcW w:w="992" w:type="dxa"/>
            <w:vMerge/>
            <w:vAlign w:val="center"/>
          </w:tcPr>
          <w:p w:rsidR="00AC0E6E" w:rsidRPr="00F9522B" w:rsidRDefault="00AC0E6E">
            <w:pPr>
              <w:widowControl/>
              <w:spacing w:line="0" w:lineRule="atLeast"/>
              <w:contextualSpacing/>
              <w:jc w:val="left"/>
              <w:rPr>
                <w:rFonts w:eastAsiaTheme="minorEastAsia"/>
                <w:kern w:val="0"/>
                <w:szCs w:val="21"/>
              </w:rPr>
            </w:pPr>
          </w:p>
        </w:tc>
        <w:tc>
          <w:tcPr>
            <w:tcW w:w="1985" w:type="dxa"/>
            <w:vAlign w:val="center"/>
          </w:tcPr>
          <w:p w:rsidR="00AC0E6E" w:rsidRPr="00F9522B" w:rsidRDefault="00AC0E6E">
            <w:pPr>
              <w:spacing w:line="0" w:lineRule="atLeast"/>
              <w:contextualSpacing/>
              <w:jc w:val="center"/>
              <w:rPr>
                <w:rFonts w:eastAsiaTheme="minorEastAsia"/>
                <w:kern w:val="0"/>
                <w:szCs w:val="21"/>
              </w:rPr>
            </w:pPr>
            <w:r w:rsidRPr="00F9522B">
              <w:rPr>
                <w:rFonts w:eastAsiaTheme="minorEastAsia"/>
                <w:kern w:val="0"/>
                <w:szCs w:val="21"/>
              </w:rPr>
              <w:t>≤</w:t>
            </w:r>
            <w:r w:rsidRPr="00F9522B">
              <w:rPr>
                <w:rFonts w:eastAsiaTheme="minorEastAsia"/>
                <w:szCs w:val="21"/>
              </w:rPr>
              <w:t>6</w:t>
            </w:r>
            <w:r w:rsidRPr="00F9522B">
              <w:rPr>
                <w:rFonts w:eastAsiaTheme="minorEastAsia"/>
                <w:szCs w:val="21"/>
              </w:rPr>
              <w:t>（</w:t>
            </w:r>
            <w:r w:rsidRPr="00F9522B">
              <w:rPr>
                <w:rFonts w:eastAsiaTheme="minorEastAsia"/>
                <w:bCs/>
                <w:kern w:val="0"/>
                <w:szCs w:val="21"/>
              </w:rPr>
              <w:t>Ⅲ</w:t>
            </w:r>
            <w:r w:rsidRPr="00F9522B">
              <w:rPr>
                <w:rFonts w:eastAsiaTheme="minorEastAsia"/>
                <w:szCs w:val="21"/>
              </w:rPr>
              <w:t>）</w:t>
            </w:r>
          </w:p>
        </w:tc>
        <w:tc>
          <w:tcPr>
            <w:tcW w:w="1163" w:type="dxa"/>
            <w:gridSpan w:val="2"/>
            <w:vAlign w:val="center"/>
          </w:tcPr>
          <w:p w:rsidR="00AC0E6E" w:rsidRPr="00F9522B" w:rsidRDefault="00AC0E6E">
            <w:pPr>
              <w:spacing w:line="0" w:lineRule="atLeast"/>
              <w:contextualSpacing/>
              <w:jc w:val="center"/>
              <w:rPr>
                <w:rFonts w:eastAsiaTheme="minorEastAsia"/>
                <w:kern w:val="0"/>
                <w:szCs w:val="21"/>
              </w:rPr>
            </w:pPr>
            <w:r w:rsidRPr="00F9522B">
              <w:rPr>
                <w:rFonts w:eastAsiaTheme="minorEastAsia"/>
                <w:kern w:val="0"/>
                <w:szCs w:val="21"/>
              </w:rPr>
              <w:t>≤</w:t>
            </w:r>
            <w:r w:rsidRPr="00F9522B">
              <w:rPr>
                <w:rFonts w:eastAsiaTheme="minorEastAsia"/>
                <w:szCs w:val="21"/>
              </w:rPr>
              <w:t>15</w:t>
            </w:r>
            <w:r w:rsidRPr="00F9522B">
              <w:rPr>
                <w:rFonts w:eastAsiaTheme="minorEastAsia"/>
                <w:szCs w:val="21"/>
              </w:rPr>
              <w:t>（</w:t>
            </w:r>
            <w:r w:rsidR="005273A1" w:rsidRPr="005273A1">
              <w:rPr>
                <w:rFonts w:eastAsiaTheme="minorEastAsia"/>
                <w:bCs/>
                <w:kern w:val="0"/>
                <w:szCs w:val="21"/>
              </w:rPr>
              <w:fldChar w:fldCharType="begin"/>
            </w:r>
            <w:r w:rsidRPr="00F9522B">
              <w:rPr>
                <w:rFonts w:eastAsiaTheme="minorEastAsia"/>
                <w:bCs/>
                <w:kern w:val="0"/>
                <w:szCs w:val="21"/>
              </w:rPr>
              <w:instrText xml:space="preserve"> = 5 \* ROMAN </w:instrText>
            </w:r>
            <w:r w:rsidR="005273A1" w:rsidRPr="005273A1">
              <w:rPr>
                <w:rFonts w:eastAsiaTheme="minorEastAsia"/>
                <w:bCs/>
                <w:kern w:val="0"/>
                <w:szCs w:val="21"/>
              </w:rPr>
              <w:fldChar w:fldCharType="separate"/>
            </w:r>
            <w:r w:rsidRPr="00F9522B">
              <w:rPr>
                <w:rFonts w:eastAsiaTheme="minorEastAsia"/>
                <w:bCs/>
                <w:kern w:val="0"/>
                <w:szCs w:val="21"/>
              </w:rPr>
              <w:t>V</w:t>
            </w:r>
            <w:r w:rsidR="005273A1" w:rsidRPr="00F9522B">
              <w:rPr>
                <w:rFonts w:eastAsiaTheme="minorEastAsia"/>
                <w:kern w:val="0"/>
                <w:szCs w:val="21"/>
              </w:rPr>
              <w:fldChar w:fldCharType="end"/>
            </w:r>
            <w:r w:rsidRPr="00F9522B">
              <w:rPr>
                <w:rFonts w:eastAsiaTheme="minorEastAsia"/>
                <w:szCs w:val="21"/>
              </w:rPr>
              <w:t>）</w:t>
            </w:r>
          </w:p>
        </w:tc>
      </w:tr>
      <w:tr w:rsidR="00AC0E6E" w:rsidRPr="00F9522B" w:rsidTr="009D380C">
        <w:trPr>
          <w:trHeight w:val="33"/>
          <w:jc w:val="center"/>
        </w:trPr>
        <w:tc>
          <w:tcPr>
            <w:tcW w:w="654" w:type="dxa"/>
            <w:vMerge/>
            <w:vAlign w:val="center"/>
          </w:tcPr>
          <w:p w:rsidR="00AC0E6E" w:rsidRPr="00F9522B" w:rsidRDefault="00AC0E6E">
            <w:pPr>
              <w:widowControl/>
              <w:spacing w:line="0" w:lineRule="atLeast"/>
              <w:contextualSpacing/>
              <w:jc w:val="left"/>
              <w:rPr>
                <w:rFonts w:eastAsiaTheme="minorEastAsia"/>
                <w:kern w:val="0"/>
                <w:szCs w:val="21"/>
              </w:rPr>
            </w:pPr>
          </w:p>
        </w:tc>
        <w:tc>
          <w:tcPr>
            <w:tcW w:w="2269" w:type="dxa"/>
            <w:vMerge/>
            <w:vAlign w:val="center"/>
          </w:tcPr>
          <w:p w:rsidR="00AC0E6E" w:rsidRPr="00F9522B" w:rsidRDefault="00AC0E6E">
            <w:pPr>
              <w:widowControl/>
              <w:spacing w:line="0" w:lineRule="atLeast"/>
              <w:contextualSpacing/>
              <w:jc w:val="left"/>
              <w:rPr>
                <w:rFonts w:eastAsiaTheme="minorEastAsia"/>
                <w:kern w:val="0"/>
                <w:szCs w:val="21"/>
              </w:rPr>
            </w:pPr>
          </w:p>
        </w:tc>
        <w:tc>
          <w:tcPr>
            <w:tcW w:w="1134" w:type="dxa"/>
            <w:vAlign w:val="center"/>
          </w:tcPr>
          <w:p w:rsidR="00AC0E6E" w:rsidRPr="00F9522B" w:rsidRDefault="00AC0E6E">
            <w:pPr>
              <w:autoSpaceDE w:val="0"/>
              <w:autoSpaceDN w:val="0"/>
              <w:spacing w:line="0" w:lineRule="atLeast"/>
              <w:contextualSpacing/>
              <w:jc w:val="center"/>
              <w:rPr>
                <w:rFonts w:eastAsiaTheme="minorEastAsia"/>
                <w:kern w:val="0"/>
                <w:szCs w:val="21"/>
              </w:rPr>
            </w:pPr>
            <w:r w:rsidRPr="00F9522B">
              <w:rPr>
                <w:rFonts w:eastAsiaTheme="minorEastAsia"/>
                <w:kern w:val="0"/>
                <w:szCs w:val="21"/>
              </w:rPr>
              <w:t>总氮</w:t>
            </w:r>
          </w:p>
        </w:tc>
        <w:tc>
          <w:tcPr>
            <w:tcW w:w="992" w:type="dxa"/>
            <w:vMerge/>
            <w:vAlign w:val="center"/>
          </w:tcPr>
          <w:p w:rsidR="00AC0E6E" w:rsidRPr="00F9522B" w:rsidRDefault="00AC0E6E">
            <w:pPr>
              <w:widowControl/>
              <w:spacing w:line="0" w:lineRule="atLeast"/>
              <w:contextualSpacing/>
              <w:jc w:val="left"/>
              <w:rPr>
                <w:rFonts w:eastAsiaTheme="minorEastAsia"/>
                <w:kern w:val="0"/>
                <w:szCs w:val="21"/>
              </w:rPr>
            </w:pPr>
          </w:p>
        </w:tc>
        <w:tc>
          <w:tcPr>
            <w:tcW w:w="1985" w:type="dxa"/>
            <w:vAlign w:val="center"/>
          </w:tcPr>
          <w:p w:rsidR="00AC0E6E" w:rsidRPr="00F9522B" w:rsidRDefault="00AC0E6E">
            <w:pPr>
              <w:spacing w:line="0" w:lineRule="atLeast"/>
              <w:contextualSpacing/>
              <w:jc w:val="center"/>
              <w:rPr>
                <w:rFonts w:eastAsiaTheme="minorEastAsia"/>
                <w:kern w:val="0"/>
                <w:szCs w:val="21"/>
              </w:rPr>
            </w:pPr>
            <w:r w:rsidRPr="00F9522B">
              <w:rPr>
                <w:rFonts w:eastAsiaTheme="minorEastAsia"/>
                <w:szCs w:val="21"/>
              </w:rPr>
              <w:t>≤1.0</w:t>
            </w:r>
            <w:r w:rsidRPr="00F9522B">
              <w:rPr>
                <w:rFonts w:eastAsiaTheme="minorEastAsia"/>
                <w:szCs w:val="21"/>
              </w:rPr>
              <w:t>（</w:t>
            </w:r>
            <w:r w:rsidRPr="00F9522B">
              <w:rPr>
                <w:rFonts w:eastAsiaTheme="minorEastAsia"/>
                <w:bCs/>
                <w:kern w:val="0"/>
                <w:szCs w:val="21"/>
              </w:rPr>
              <w:t>Ⅲ</w:t>
            </w:r>
            <w:r w:rsidRPr="00F9522B">
              <w:rPr>
                <w:rFonts w:eastAsiaTheme="minorEastAsia"/>
                <w:szCs w:val="21"/>
              </w:rPr>
              <w:t>）</w:t>
            </w:r>
          </w:p>
        </w:tc>
        <w:tc>
          <w:tcPr>
            <w:tcW w:w="1163" w:type="dxa"/>
            <w:gridSpan w:val="2"/>
            <w:vAlign w:val="center"/>
          </w:tcPr>
          <w:p w:rsidR="00AC0E6E" w:rsidRPr="00F9522B" w:rsidRDefault="00AC0E6E">
            <w:pPr>
              <w:spacing w:line="0" w:lineRule="atLeast"/>
              <w:contextualSpacing/>
              <w:jc w:val="center"/>
              <w:rPr>
                <w:rFonts w:eastAsiaTheme="minorEastAsia"/>
                <w:kern w:val="0"/>
                <w:szCs w:val="21"/>
              </w:rPr>
            </w:pPr>
            <w:r w:rsidRPr="00F9522B">
              <w:rPr>
                <w:rFonts w:eastAsiaTheme="minorEastAsia"/>
                <w:szCs w:val="21"/>
              </w:rPr>
              <w:t>≤2.0</w:t>
            </w:r>
            <w:r w:rsidRPr="00F9522B">
              <w:rPr>
                <w:rFonts w:eastAsiaTheme="minorEastAsia"/>
                <w:szCs w:val="21"/>
              </w:rPr>
              <w:t>（</w:t>
            </w:r>
            <w:r w:rsidR="005273A1" w:rsidRPr="005273A1">
              <w:rPr>
                <w:rFonts w:eastAsiaTheme="minorEastAsia"/>
                <w:bCs/>
                <w:kern w:val="0"/>
                <w:szCs w:val="21"/>
              </w:rPr>
              <w:fldChar w:fldCharType="begin"/>
            </w:r>
            <w:r w:rsidRPr="00F9522B">
              <w:rPr>
                <w:rFonts w:eastAsiaTheme="minorEastAsia"/>
                <w:bCs/>
                <w:kern w:val="0"/>
                <w:szCs w:val="21"/>
              </w:rPr>
              <w:instrText xml:space="preserve"> = 5 \* ROMAN </w:instrText>
            </w:r>
            <w:r w:rsidR="005273A1" w:rsidRPr="005273A1">
              <w:rPr>
                <w:rFonts w:eastAsiaTheme="minorEastAsia"/>
                <w:bCs/>
                <w:kern w:val="0"/>
                <w:szCs w:val="21"/>
              </w:rPr>
              <w:fldChar w:fldCharType="separate"/>
            </w:r>
            <w:r w:rsidRPr="00F9522B">
              <w:rPr>
                <w:rFonts w:eastAsiaTheme="minorEastAsia"/>
                <w:bCs/>
                <w:kern w:val="0"/>
                <w:szCs w:val="21"/>
              </w:rPr>
              <w:t>V</w:t>
            </w:r>
            <w:r w:rsidR="005273A1" w:rsidRPr="00F9522B">
              <w:rPr>
                <w:rFonts w:eastAsiaTheme="minorEastAsia"/>
                <w:kern w:val="0"/>
                <w:szCs w:val="21"/>
              </w:rPr>
              <w:fldChar w:fldCharType="end"/>
            </w:r>
            <w:r w:rsidRPr="00F9522B">
              <w:rPr>
                <w:rFonts w:eastAsiaTheme="minorEastAsia"/>
                <w:szCs w:val="21"/>
              </w:rPr>
              <w:t>）</w:t>
            </w:r>
          </w:p>
        </w:tc>
      </w:tr>
      <w:tr w:rsidR="002A5A5E" w:rsidRPr="00F9522B" w:rsidTr="009E72CC">
        <w:trPr>
          <w:trHeight w:val="33"/>
          <w:jc w:val="center"/>
        </w:trPr>
        <w:tc>
          <w:tcPr>
            <w:tcW w:w="654" w:type="dxa"/>
            <w:vMerge w:val="restart"/>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kern w:val="0"/>
                <w:szCs w:val="21"/>
              </w:rPr>
              <w:t>地下水环境</w:t>
            </w:r>
          </w:p>
        </w:tc>
        <w:tc>
          <w:tcPr>
            <w:tcW w:w="2269" w:type="dxa"/>
            <w:vMerge w:val="restart"/>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kern w:val="0"/>
                <w:szCs w:val="21"/>
              </w:rPr>
              <w:t>《地下水质量标准》（</w:t>
            </w:r>
            <w:r w:rsidRPr="00F9522B">
              <w:rPr>
                <w:rFonts w:eastAsiaTheme="minorEastAsia"/>
                <w:kern w:val="0"/>
                <w:szCs w:val="21"/>
              </w:rPr>
              <w:t>GB/T14848-2017</w:t>
            </w:r>
            <w:r w:rsidRPr="00F9522B">
              <w:rPr>
                <w:rFonts w:eastAsiaTheme="minorEastAsia"/>
                <w:kern w:val="0"/>
                <w:szCs w:val="21"/>
              </w:rPr>
              <w:t>）</w:t>
            </w:r>
            <w:r w:rsidRPr="00F9522B">
              <w:rPr>
                <w:rFonts w:eastAsiaTheme="minorEastAsia"/>
                <w:kern w:val="0"/>
                <w:szCs w:val="21"/>
              </w:rPr>
              <w:t>Ⅲ</w:t>
            </w:r>
            <w:r w:rsidRPr="00F9522B">
              <w:rPr>
                <w:rFonts w:eastAsiaTheme="minorEastAsia"/>
                <w:kern w:val="0"/>
                <w:szCs w:val="21"/>
              </w:rPr>
              <w:t>类</w:t>
            </w:r>
          </w:p>
        </w:tc>
        <w:tc>
          <w:tcPr>
            <w:tcW w:w="1134" w:type="dxa"/>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kern w:val="0"/>
                <w:szCs w:val="21"/>
              </w:rPr>
              <w:t>pH</w:t>
            </w:r>
            <w:r w:rsidRPr="00F9522B">
              <w:rPr>
                <w:rFonts w:eastAsiaTheme="minorEastAsia"/>
                <w:kern w:val="0"/>
                <w:szCs w:val="21"/>
              </w:rPr>
              <w:t>值</w:t>
            </w:r>
          </w:p>
        </w:tc>
        <w:tc>
          <w:tcPr>
            <w:tcW w:w="992" w:type="dxa"/>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kern w:val="0"/>
                <w:szCs w:val="21"/>
              </w:rPr>
              <w:t>无量纲</w:t>
            </w:r>
          </w:p>
        </w:tc>
        <w:tc>
          <w:tcPr>
            <w:tcW w:w="3148" w:type="dxa"/>
            <w:gridSpan w:val="3"/>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kern w:val="0"/>
                <w:szCs w:val="21"/>
              </w:rPr>
              <w:t>6.5~8.5</w:t>
            </w:r>
          </w:p>
        </w:tc>
      </w:tr>
      <w:tr w:rsidR="002A5A5E" w:rsidRPr="00F9522B" w:rsidTr="009E72CC">
        <w:trPr>
          <w:trHeight w:val="33"/>
          <w:jc w:val="center"/>
        </w:trPr>
        <w:tc>
          <w:tcPr>
            <w:tcW w:w="654" w:type="dxa"/>
            <w:vMerge/>
            <w:vAlign w:val="center"/>
          </w:tcPr>
          <w:p w:rsidR="002A5A5E" w:rsidRPr="00F9522B" w:rsidRDefault="002A5A5E">
            <w:pPr>
              <w:spacing w:line="0" w:lineRule="atLeast"/>
              <w:contextualSpacing/>
              <w:jc w:val="center"/>
              <w:rPr>
                <w:rFonts w:eastAsiaTheme="minorEastAsia"/>
                <w:kern w:val="0"/>
                <w:szCs w:val="21"/>
              </w:rPr>
            </w:pPr>
          </w:p>
        </w:tc>
        <w:tc>
          <w:tcPr>
            <w:tcW w:w="2269" w:type="dxa"/>
            <w:vMerge/>
            <w:vAlign w:val="center"/>
          </w:tcPr>
          <w:p w:rsidR="002A5A5E" w:rsidRPr="00F9522B" w:rsidRDefault="002A5A5E">
            <w:pPr>
              <w:spacing w:line="0" w:lineRule="atLeast"/>
              <w:contextualSpacing/>
              <w:jc w:val="center"/>
              <w:rPr>
                <w:rFonts w:eastAsiaTheme="minorEastAsia"/>
                <w:kern w:val="0"/>
                <w:szCs w:val="21"/>
              </w:rPr>
            </w:pPr>
          </w:p>
        </w:tc>
        <w:tc>
          <w:tcPr>
            <w:tcW w:w="1134" w:type="dxa"/>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kern w:val="0"/>
                <w:szCs w:val="21"/>
              </w:rPr>
              <w:t>氨氮</w:t>
            </w:r>
          </w:p>
        </w:tc>
        <w:tc>
          <w:tcPr>
            <w:tcW w:w="992" w:type="dxa"/>
            <w:vMerge w:val="restart"/>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kern w:val="0"/>
                <w:szCs w:val="21"/>
              </w:rPr>
              <w:t>mg/L</w:t>
            </w:r>
          </w:p>
        </w:tc>
        <w:tc>
          <w:tcPr>
            <w:tcW w:w="3148" w:type="dxa"/>
            <w:gridSpan w:val="3"/>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kern w:val="0"/>
                <w:szCs w:val="21"/>
              </w:rPr>
              <w:t>≤0.5</w:t>
            </w:r>
          </w:p>
        </w:tc>
      </w:tr>
      <w:tr w:rsidR="002A5A5E" w:rsidRPr="00F9522B" w:rsidTr="009E72CC">
        <w:trPr>
          <w:trHeight w:val="33"/>
          <w:jc w:val="center"/>
        </w:trPr>
        <w:tc>
          <w:tcPr>
            <w:tcW w:w="654" w:type="dxa"/>
            <w:vMerge/>
            <w:vAlign w:val="center"/>
          </w:tcPr>
          <w:p w:rsidR="002A5A5E" w:rsidRPr="00F9522B" w:rsidRDefault="002A5A5E">
            <w:pPr>
              <w:spacing w:line="0" w:lineRule="atLeast"/>
              <w:contextualSpacing/>
              <w:jc w:val="center"/>
              <w:rPr>
                <w:rFonts w:eastAsiaTheme="minorEastAsia"/>
                <w:kern w:val="0"/>
                <w:szCs w:val="21"/>
              </w:rPr>
            </w:pPr>
          </w:p>
        </w:tc>
        <w:tc>
          <w:tcPr>
            <w:tcW w:w="2269" w:type="dxa"/>
            <w:vMerge/>
            <w:vAlign w:val="center"/>
          </w:tcPr>
          <w:p w:rsidR="002A5A5E" w:rsidRPr="00F9522B" w:rsidRDefault="002A5A5E">
            <w:pPr>
              <w:spacing w:line="0" w:lineRule="atLeast"/>
              <w:contextualSpacing/>
              <w:jc w:val="center"/>
              <w:rPr>
                <w:rFonts w:eastAsiaTheme="minorEastAsia"/>
                <w:kern w:val="0"/>
                <w:szCs w:val="21"/>
              </w:rPr>
            </w:pPr>
          </w:p>
        </w:tc>
        <w:tc>
          <w:tcPr>
            <w:tcW w:w="1134" w:type="dxa"/>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kern w:val="0"/>
                <w:szCs w:val="21"/>
              </w:rPr>
              <w:t>硝酸盐</w:t>
            </w:r>
          </w:p>
        </w:tc>
        <w:tc>
          <w:tcPr>
            <w:tcW w:w="992" w:type="dxa"/>
            <w:vMerge/>
            <w:vAlign w:val="center"/>
          </w:tcPr>
          <w:p w:rsidR="002A5A5E" w:rsidRPr="00F9522B" w:rsidRDefault="002A5A5E">
            <w:pPr>
              <w:spacing w:line="0" w:lineRule="atLeast"/>
              <w:contextualSpacing/>
              <w:jc w:val="center"/>
              <w:rPr>
                <w:rFonts w:eastAsiaTheme="minorEastAsia"/>
                <w:kern w:val="0"/>
                <w:szCs w:val="21"/>
              </w:rPr>
            </w:pPr>
          </w:p>
        </w:tc>
        <w:tc>
          <w:tcPr>
            <w:tcW w:w="3148" w:type="dxa"/>
            <w:gridSpan w:val="3"/>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kern w:val="0"/>
                <w:szCs w:val="21"/>
              </w:rPr>
              <w:t>≤20</w:t>
            </w:r>
          </w:p>
        </w:tc>
      </w:tr>
      <w:tr w:rsidR="002A5A5E" w:rsidRPr="00F9522B" w:rsidTr="009E72CC">
        <w:trPr>
          <w:trHeight w:val="33"/>
          <w:jc w:val="center"/>
        </w:trPr>
        <w:tc>
          <w:tcPr>
            <w:tcW w:w="654" w:type="dxa"/>
            <w:vMerge/>
            <w:vAlign w:val="center"/>
          </w:tcPr>
          <w:p w:rsidR="002A5A5E" w:rsidRPr="00F9522B" w:rsidRDefault="002A5A5E">
            <w:pPr>
              <w:spacing w:line="0" w:lineRule="atLeast"/>
              <w:contextualSpacing/>
              <w:jc w:val="center"/>
              <w:rPr>
                <w:rFonts w:eastAsiaTheme="minorEastAsia"/>
                <w:kern w:val="0"/>
                <w:szCs w:val="21"/>
              </w:rPr>
            </w:pPr>
          </w:p>
        </w:tc>
        <w:tc>
          <w:tcPr>
            <w:tcW w:w="2269" w:type="dxa"/>
            <w:vMerge/>
            <w:vAlign w:val="center"/>
          </w:tcPr>
          <w:p w:rsidR="002A5A5E" w:rsidRPr="00F9522B" w:rsidRDefault="002A5A5E">
            <w:pPr>
              <w:spacing w:line="0" w:lineRule="atLeast"/>
              <w:contextualSpacing/>
              <w:jc w:val="center"/>
              <w:rPr>
                <w:rFonts w:eastAsiaTheme="minorEastAsia"/>
                <w:kern w:val="0"/>
                <w:szCs w:val="21"/>
              </w:rPr>
            </w:pPr>
          </w:p>
        </w:tc>
        <w:tc>
          <w:tcPr>
            <w:tcW w:w="1134" w:type="dxa"/>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kern w:val="0"/>
                <w:szCs w:val="21"/>
              </w:rPr>
              <w:t>亚硝酸盐</w:t>
            </w:r>
          </w:p>
        </w:tc>
        <w:tc>
          <w:tcPr>
            <w:tcW w:w="992" w:type="dxa"/>
            <w:vMerge/>
            <w:vAlign w:val="center"/>
          </w:tcPr>
          <w:p w:rsidR="002A5A5E" w:rsidRPr="00F9522B" w:rsidRDefault="002A5A5E">
            <w:pPr>
              <w:spacing w:line="0" w:lineRule="atLeast"/>
              <w:contextualSpacing/>
              <w:jc w:val="center"/>
              <w:rPr>
                <w:rFonts w:eastAsiaTheme="minorEastAsia"/>
                <w:kern w:val="0"/>
                <w:szCs w:val="21"/>
              </w:rPr>
            </w:pPr>
          </w:p>
        </w:tc>
        <w:tc>
          <w:tcPr>
            <w:tcW w:w="3148" w:type="dxa"/>
            <w:gridSpan w:val="3"/>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kern w:val="0"/>
                <w:szCs w:val="21"/>
              </w:rPr>
              <w:t>≤1.0</w:t>
            </w:r>
          </w:p>
        </w:tc>
      </w:tr>
      <w:tr w:rsidR="002A5A5E" w:rsidRPr="00F9522B" w:rsidTr="009E72CC">
        <w:trPr>
          <w:trHeight w:val="63"/>
          <w:jc w:val="center"/>
        </w:trPr>
        <w:tc>
          <w:tcPr>
            <w:tcW w:w="654" w:type="dxa"/>
            <w:vMerge/>
            <w:vAlign w:val="center"/>
          </w:tcPr>
          <w:p w:rsidR="002A5A5E" w:rsidRPr="00F9522B" w:rsidRDefault="002A5A5E">
            <w:pPr>
              <w:spacing w:line="0" w:lineRule="atLeast"/>
              <w:contextualSpacing/>
              <w:jc w:val="center"/>
              <w:rPr>
                <w:rFonts w:eastAsiaTheme="minorEastAsia"/>
                <w:kern w:val="0"/>
                <w:szCs w:val="21"/>
              </w:rPr>
            </w:pPr>
          </w:p>
        </w:tc>
        <w:tc>
          <w:tcPr>
            <w:tcW w:w="2269" w:type="dxa"/>
            <w:vMerge/>
            <w:vAlign w:val="center"/>
          </w:tcPr>
          <w:p w:rsidR="002A5A5E" w:rsidRPr="00F9522B" w:rsidRDefault="002A5A5E">
            <w:pPr>
              <w:spacing w:line="0" w:lineRule="atLeast"/>
              <w:contextualSpacing/>
              <w:jc w:val="center"/>
              <w:rPr>
                <w:rFonts w:eastAsiaTheme="minorEastAsia"/>
                <w:kern w:val="0"/>
                <w:szCs w:val="21"/>
              </w:rPr>
            </w:pPr>
          </w:p>
        </w:tc>
        <w:tc>
          <w:tcPr>
            <w:tcW w:w="1134" w:type="dxa"/>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kern w:val="0"/>
                <w:szCs w:val="21"/>
              </w:rPr>
              <w:t>挥发酚</w:t>
            </w:r>
          </w:p>
        </w:tc>
        <w:tc>
          <w:tcPr>
            <w:tcW w:w="992" w:type="dxa"/>
            <w:vMerge/>
            <w:vAlign w:val="center"/>
          </w:tcPr>
          <w:p w:rsidR="002A5A5E" w:rsidRPr="00F9522B" w:rsidRDefault="002A5A5E">
            <w:pPr>
              <w:spacing w:line="0" w:lineRule="atLeast"/>
              <w:contextualSpacing/>
              <w:jc w:val="center"/>
              <w:rPr>
                <w:rFonts w:eastAsiaTheme="minorEastAsia"/>
                <w:kern w:val="0"/>
                <w:szCs w:val="21"/>
              </w:rPr>
            </w:pPr>
          </w:p>
        </w:tc>
        <w:tc>
          <w:tcPr>
            <w:tcW w:w="3148" w:type="dxa"/>
            <w:gridSpan w:val="3"/>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kern w:val="0"/>
                <w:szCs w:val="21"/>
              </w:rPr>
              <w:t>≤0.002</w:t>
            </w:r>
          </w:p>
        </w:tc>
      </w:tr>
      <w:tr w:rsidR="002A5A5E" w:rsidRPr="00F9522B" w:rsidTr="009E72CC">
        <w:trPr>
          <w:trHeight w:val="14"/>
          <w:jc w:val="center"/>
        </w:trPr>
        <w:tc>
          <w:tcPr>
            <w:tcW w:w="654" w:type="dxa"/>
            <w:vMerge/>
            <w:vAlign w:val="center"/>
          </w:tcPr>
          <w:p w:rsidR="002A5A5E" w:rsidRPr="00F9522B" w:rsidRDefault="002A5A5E">
            <w:pPr>
              <w:spacing w:line="0" w:lineRule="atLeast"/>
              <w:contextualSpacing/>
              <w:jc w:val="center"/>
              <w:rPr>
                <w:rFonts w:eastAsiaTheme="minorEastAsia"/>
                <w:kern w:val="0"/>
                <w:szCs w:val="21"/>
              </w:rPr>
            </w:pPr>
          </w:p>
        </w:tc>
        <w:tc>
          <w:tcPr>
            <w:tcW w:w="2269" w:type="dxa"/>
            <w:vMerge/>
            <w:vAlign w:val="center"/>
          </w:tcPr>
          <w:p w:rsidR="002A5A5E" w:rsidRPr="00F9522B" w:rsidRDefault="002A5A5E">
            <w:pPr>
              <w:spacing w:line="0" w:lineRule="atLeast"/>
              <w:contextualSpacing/>
              <w:jc w:val="center"/>
              <w:rPr>
                <w:rFonts w:eastAsiaTheme="minorEastAsia"/>
                <w:kern w:val="0"/>
                <w:szCs w:val="21"/>
              </w:rPr>
            </w:pPr>
          </w:p>
        </w:tc>
        <w:tc>
          <w:tcPr>
            <w:tcW w:w="1134" w:type="dxa"/>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kern w:val="0"/>
                <w:szCs w:val="21"/>
              </w:rPr>
              <w:t>氰化物</w:t>
            </w:r>
          </w:p>
        </w:tc>
        <w:tc>
          <w:tcPr>
            <w:tcW w:w="992" w:type="dxa"/>
            <w:vMerge/>
            <w:vAlign w:val="center"/>
          </w:tcPr>
          <w:p w:rsidR="002A5A5E" w:rsidRPr="00F9522B" w:rsidRDefault="002A5A5E">
            <w:pPr>
              <w:spacing w:line="0" w:lineRule="atLeast"/>
              <w:contextualSpacing/>
              <w:jc w:val="center"/>
              <w:rPr>
                <w:rFonts w:eastAsiaTheme="minorEastAsia"/>
                <w:kern w:val="0"/>
                <w:szCs w:val="21"/>
              </w:rPr>
            </w:pPr>
          </w:p>
        </w:tc>
        <w:tc>
          <w:tcPr>
            <w:tcW w:w="3148" w:type="dxa"/>
            <w:gridSpan w:val="3"/>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kern w:val="0"/>
                <w:szCs w:val="21"/>
              </w:rPr>
              <w:t>≤0.05</w:t>
            </w:r>
          </w:p>
        </w:tc>
      </w:tr>
      <w:tr w:rsidR="002A5A5E" w:rsidRPr="00F9522B" w:rsidTr="009E72CC">
        <w:trPr>
          <w:trHeight w:val="33"/>
          <w:jc w:val="center"/>
        </w:trPr>
        <w:tc>
          <w:tcPr>
            <w:tcW w:w="654" w:type="dxa"/>
            <w:vMerge/>
            <w:vAlign w:val="center"/>
          </w:tcPr>
          <w:p w:rsidR="002A5A5E" w:rsidRPr="00F9522B" w:rsidRDefault="002A5A5E">
            <w:pPr>
              <w:spacing w:line="0" w:lineRule="atLeast"/>
              <w:contextualSpacing/>
              <w:jc w:val="center"/>
              <w:rPr>
                <w:rFonts w:eastAsiaTheme="minorEastAsia"/>
                <w:kern w:val="0"/>
                <w:szCs w:val="21"/>
              </w:rPr>
            </w:pPr>
          </w:p>
        </w:tc>
        <w:tc>
          <w:tcPr>
            <w:tcW w:w="2269" w:type="dxa"/>
            <w:vMerge/>
            <w:vAlign w:val="center"/>
          </w:tcPr>
          <w:p w:rsidR="002A5A5E" w:rsidRPr="00F9522B" w:rsidRDefault="002A5A5E">
            <w:pPr>
              <w:spacing w:line="0" w:lineRule="atLeast"/>
              <w:contextualSpacing/>
              <w:jc w:val="center"/>
              <w:rPr>
                <w:rFonts w:eastAsiaTheme="minorEastAsia"/>
                <w:kern w:val="0"/>
                <w:szCs w:val="21"/>
              </w:rPr>
            </w:pPr>
          </w:p>
        </w:tc>
        <w:tc>
          <w:tcPr>
            <w:tcW w:w="1134" w:type="dxa"/>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kern w:val="0"/>
                <w:szCs w:val="21"/>
              </w:rPr>
              <w:t>砷</w:t>
            </w:r>
          </w:p>
        </w:tc>
        <w:tc>
          <w:tcPr>
            <w:tcW w:w="992" w:type="dxa"/>
            <w:vMerge/>
            <w:vAlign w:val="center"/>
          </w:tcPr>
          <w:p w:rsidR="002A5A5E" w:rsidRPr="00F9522B" w:rsidRDefault="002A5A5E">
            <w:pPr>
              <w:spacing w:line="0" w:lineRule="atLeast"/>
              <w:contextualSpacing/>
              <w:jc w:val="center"/>
              <w:rPr>
                <w:rFonts w:eastAsiaTheme="minorEastAsia"/>
                <w:kern w:val="0"/>
                <w:szCs w:val="21"/>
              </w:rPr>
            </w:pPr>
          </w:p>
        </w:tc>
        <w:tc>
          <w:tcPr>
            <w:tcW w:w="3148" w:type="dxa"/>
            <w:gridSpan w:val="3"/>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kern w:val="0"/>
                <w:szCs w:val="21"/>
              </w:rPr>
              <w:t>≤0.01</w:t>
            </w:r>
          </w:p>
        </w:tc>
      </w:tr>
      <w:tr w:rsidR="002A5A5E" w:rsidRPr="00F9522B" w:rsidTr="009E72CC">
        <w:trPr>
          <w:trHeight w:val="33"/>
          <w:jc w:val="center"/>
        </w:trPr>
        <w:tc>
          <w:tcPr>
            <w:tcW w:w="654" w:type="dxa"/>
            <w:vMerge/>
            <w:vAlign w:val="center"/>
          </w:tcPr>
          <w:p w:rsidR="002A5A5E" w:rsidRPr="00F9522B" w:rsidRDefault="002A5A5E">
            <w:pPr>
              <w:spacing w:line="0" w:lineRule="atLeast"/>
              <w:contextualSpacing/>
              <w:jc w:val="center"/>
              <w:rPr>
                <w:rFonts w:eastAsiaTheme="minorEastAsia"/>
                <w:kern w:val="0"/>
                <w:szCs w:val="21"/>
              </w:rPr>
            </w:pPr>
          </w:p>
        </w:tc>
        <w:tc>
          <w:tcPr>
            <w:tcW w:w="2269" w:type="dxa"/>
            <w:vMerge/>
            <w:vAlign w:val="center"/>
          </w:tcPr>
          <w:p w:rsidR="002A5A5E" w:rsidRPr="00F9522B" w:rsidRDefault="002A5A5E">
            <w:pPr>
              <w:spacing w:line="0" w:lineRule="atLeast"/>
              <w:contextualSpacing/>
              <w:jc w:val="center"/>
              <w:rPr>
                <w:rFonts w:eastAsiaTheme="minorEastAsia"/>
                <w:kern w:val="0"/>
                <w:szCs w:val="21"/>
              </w:rPr>
            </w:pPr>
          </w:p>
        </w:tc>
        <w:tc>
          <w:tcPr>
            <w:tcW w:w="1134" w:type="dxa"/>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kern w:val="0"/>
                <w:szCs w:val="21"/>
              </w:rPr>
              <w:t>汞</w:t>
            </w:r>
          </w:p>
        </w:tc>
        <w:tc>
          <w:tcPr>
            <w:tcW w:w="992" w:type="dxa"/>
            <w:vMerge/>
            <w:vAlign w:val="center"/>
          </w:tcPr>
          <w:p w:rsidR="002A5A5E" w:rsidRPr="00F9522B" w:rsidRDefault="002A5A5E">
            <w:pPr>
              <w:spacing w:line="0" w:lineRule="atLeast"/>
              <w:contextualSpacing/>
              <w:jc w:val="center"/>
              <w:rPr>
                <w:rFonts w:eastAsiaTheme="minorEastAsia"/>
                <w:kern w:val="0"/>
                <w:szCs w:val="21"/>
              </w:rPr>
            </w:pPr>
          </w:p>
        </w:tc>
        <w:tc>
          <w:tcPr>
            <w:tcW w:w="3148" w:type="dxa"/>
            <w:gridSpan w:val="3"/>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kern w:val="0"/>
                <w:szCs w:val="21"/>
              </w:rPr>
              <w:t>≤0.001</w:t>
            </w:r>
          </w:p>
        </w:tc>
      </w:tr>
      <w:tr w:rsidR="002A5A5E" w:rsidRPr="00F9522B" w:rsidTr="009E72CC">
        <w:trPr>
          <w:trHeight w:val="33"/>
          <w:jc w:val="center"/>
        </w:trPr>
        <w:tc>
          <w:tcPr>
            <w:tcW w:w="654" w:type="dxa"/>
            <w:vMerge/>
            <w:vAlign w:val="center"/>
          </w:tcPr>
          <w:p w:rsidR="002A5A5E" w:rsidRPr="00F9522B" w:rsidRDefault="002A5A5E">
            <w:pPr>
              <w:spacing w:line="0" w:lineRule="atLeast"/>
              <w:contextualSpacing/>
              <w:jc w:val="center"/>
              <w:rPr>
                <w:rFonts w:eastAsiaTheme="minorEastAsia"/>
                <w:kern w:val="0"/>
                <w:szCs w:val="21"/>
              </w:rPr>
            </w:pPr>
          </w:p>
        </w:tc>
        <w:tc>
          <w:tcPr>
            <w:tcW w:w="2269" w:type="dxa"/>
            <w:vMerge/>
            <w:vAlign w:val="center"/>
          </w:tcPr>
          <w:p w:rsidR="002A5A5E" w:rsidRPr="00F9522B" w:rsidRDefault="002A5A5E">
            <w:pPr>
              <w:spacing w:line="0" w:lineRule="atLeast"/>
              <w:contextualSpacing/>
              <w:jc w:val="center"/>
              <w:rPr>
                <w:rFonts w:eastAsiaTheme="minorEastAsia"/>
                <w:kern w:val="0"/>
                <w:szCs w:val="21"/>
              </w:rPr>
            </w:pPr>
          </w:p>
        </w:tc>
        <w:tc>
          <w:tcPr>
            <w:tcW w:w="1134" w:type="dxa"/>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kern w:val="0"/>
                <w:szCs w:val="21"/>
              </w:rPr>
              <w:t>六价铬</w:t>
            </w:r>
          </w:p>
        </w:tc>
        <w:tc>
          <w:tcPr>
            <w:tcW w:w="992" w:type="dxa"/>
            <w:vMerge/>
            <w:vAlign w:val="center"/>
          </w:tcPr>
          <w:p w:rsidR="002A5A5E" w:rsidRPr="00F9522B" w:rsidRDefault="002A5A5E">
            <w:pPr>
              <w:spacing w:line="0" w:lineRule="atLeast"/>
              <w:contextualSpacing/>
              <w:jc w:val="center"/>
              <w:rPr>
                <w:rFonts w:eastAsiaTheme="minorEastAsia"/>
                <w:kern w:val="0"/>
                <w:szCs w:val="21"/>
              </w:rPr>
            </w:pPr>
          </w:p>
        </w:tc>
        <w:tc>
          <w:tcPr>
            <w:tcW w:w="3148" w:type="dxa"/>
            <w:gridSpan w:val="3"/>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kern w:val="0"/>
                <w:szCs w:val="21"/>
              </w:rPr>
              <w:t>≤0.05</w:t>
            </w:r>
          </w:p>
        </w:tc>
      </w:tr>
      <w:tr w:rsidR="002A5A5E" w:rsidRPr="00F9522B" w:rsidTr="009E72CC">
        <w:trPr>
          <w:gridAfter w:val="1"/>
          <w:wAfter w:w="18" w:type="dxa"/>
          <w:trHeight w:val="33"/>
          <w:jc w:val="center"/>
        </w:trPr>
        <w:tc>
          <w:tcPr>
            <w:tcW w:w="654" w:type="dxa"/>
            <w:vMerge/>
            <w:vAlign w:val="center"/>
          </w:tcPr>
          <w:p w:rsidR="002A5A5E" w:rsidRPr="00F9522B" w:rsidRDefault="002A5A5E">
            <w:pPr>
              <w:spacing w:line="0" w:lineRule="atLeast"/>
              <w:contextualSpacing/>
              <w:jc w:val="center"/>
              <w:rPr>
                <w:rFonts w:eastAsiaTheme="minorEastAsia"/>
                <w:kern w:val="0"/>
                <w:szCs w:val="21"/>
              </w:rPr>
            </w:pPr>
          </w:p>
        </w:tc>
        <w:tc>
          <w:tcPr>
            <w:tcW w:w="2269" w:type="dxa"/>
            <w:vMerge/>
            <w:vAlign w:val="center"/>
          </w:tcPr>
          <w:p w:rsidR="002A5A5E" w:rsidRPr="00F9522B" w:rsidRDefault="002A5A5E">
            <w:pPr>
              <w:spacing w:line="0" w:lineRule="atLeast"/>
              <w:contextualSpacing/>
              <w:jc w:val="center"/>
              <w:rPr>
                <w:rFonts w:eastAsiaTheme="minorEastAsia"/>
                <w:kern w:val="0"/>
                <w:szCs w:val="21"/>
              </w:rPr>
            </w:pPr>
          </w:p>
        </w:tc>
        <w:tc>
          <w:tcPr>
            <w:tcW w:w="1134" w:type="dxa"/>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kern w:val="0"/>
                <w:szCs w:val="21"/>
              </w:rPr>
              <w:t>总硬度</w:t>
            </w:r>
          </w:p>
        </w:tc>
        <w:tc>
          <w:tcPr>
            <w:tcW w:w="992" w:type="dxa"/>
            <w:vMerge/>
            <w:vAlign w:val="center"/>
          </w:tcPr>
          <w:p w:rsidR="002A5A5E" w:rsidRPr="00F9522B" w:rsidRDefault="002A5A5E">
            <w:pPr>
              <w:spacing w:line="0" w:lineRule="atLeast"/>
              <w:contextualSpacing/>
              <w:jc w:val="center"/>
              <w:rPr>
                <w:rFonts w:eastAsiaTheme="minorEastAsia"/>
                <w:kern w:val="0"/>
                <w:szCs w:val="21"/>
              </w:rPr>
            </w:pPr>
          </w:p>
        </w:tc>
        <w:tc>
          <w:tcPr>
            <w:tcW w:w="3130" w:type="dxa"/>
            <w:gridSpan w:val="2"/>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kern w:val="0"/>
                <w:szCs w:val="21"/>
              </w:rPr>
              <w:t>≤450</w:t>
            </w:r>
          </w:p>
        </w:tc>
      </w:tr>
      <w:tr w:rsidR="002A5A5E" w:rsidRPr="00F9522B" w:rsidTr="009E72CC">
        <w:trPr>
          <w:gridAfter w:val="1"/>
          <w:wAfter w:w="18" w:type="dxa"/>
          <w:trHeight w:val="33"/>
          <w:jc w:val="center"/>
        </w:trPr>
        <w:tc>
          <w:tcPr>
            <w:tcW w:w="654" w:type="dxa"/>
            <w:vMerge/>
            <w:vAlign w:val="center"/>
          </w:tcPr>
          <w:p w:rsidR="002A5A5E" w:rsidRPr="00F9522B" w:rsidRDefault="002A5A5E">
            <w:pPr>
              <w:spacing w:line="0" w:lineRule="atLeast"/>
              <w:contextualSpacing/>
              <w:jc w:val="center"/>
              <w:rPr>
                <w:rFonts w:eastAsiaTheme="minorEastAsia"/>
                <w:kern w:val="0"/>
                <w:szCs w:val="21"/>
              </w:rPr>
            </w:pPr>
          </w:p>
        </w:tc>
        <w:tc>
          <w:tcPr>
            <w:tcW w:w="2269" w:type="dxa"/>
            <w:vMerge/>
            <w:vAlign w:val="center"/>
          </w:tcPr>
          <w:p w:rsidR="002A5A5E" w:rsidRPr="00F9522B" w:rsidRDefault="002A5A5E">
            <w:pPr>
              <w:spacing w:line="0" w:lineRule="atLeast"/>
              <w:contextualSpacing/>
              <w:jc w:val="center"/>
              <w:rPr>
                <w:rFonts w:eastAsiaTheme="minorEastAsia"/>
                <w:kern w:val="0"/>
                <w:szCs w:val="21"/>
              </w:rPr>
            </w:pPr>
          </w:p>
        </w:tc>
        <w:tc>
          <w:tcPr>
            <w:tcW w:w="1134" w:type="dxa"/>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kern w:val="0"/>
                <w:szCs w:val="21"/>
              </w:rPr>
              <w:t>氟化物</w:t>
            </w:r>
          </w:p>
        </w:tc>
        <w:tc>
          <w:tcPr>
            <w:tcW w:w="992" w:type="dxa"/>
            <w:vMerge/>
            <w:vAlign w:val="center"/>
          </w:tcPr>
          <w:p w:rsidR="002A5A5E" w:rsidRPr="00F9522B" w:rsidRDefault="002A5A5E">
            <w:pPr>
              <w:spacing w:line="0" w:lineRule="atLeast"/>
              <w:contextualSpacing/>
              <w:jc w:val="center"/>
              <w:rPr>
                <w:rFonts w:eastAsiaTheme="minorEastAsia"/>
                <w:kern w:val="0"/>
                <w:szCs w:val="21"/>
              </w:rPr>
            </w:pPr>
          </w:p>
        </w:tc>
        <w:tc>
          <w:tcPr>
            <w:tcW w:w="3130" w:type="dxa"/>
            <w:gridSpan w:val="2"/>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kern w:val="0"/>
                <w:szCs w:val="21"/>
              </w:rPr>
              <w:t>≤1.0</w:t>
            </w:r>
          </w:p>
        </w:tc>
      </w:tr>
      <w:tr w:rsidR="002A5A5E" w:rsidRPr="00F9522B" w:rsidTr="009E72CC">
        <w:trPr>
          <w:gridAfter w:val="1"/>
          <w:wAfter w:w="18" w:type="dxa"/>
          <w:trHeight w:val="33"/>
          <w:jc w:val="center"/>
        </w:trPr>
        <w:tc>
          <w:tcPr>
            <w:tcW w:w="654" w:type="dxa"/>
            <w:vMerge/>
            <w:vAlign w:val="center"/>
          </w:tcPr>
          <w:p w:rsidR="002A5A5E" w:rsidRPr="00F9522B" w:rsidRDefault="002A5A5E">
            <w:pPr>
              <w:spacing w:line="0" w:lineRule="atLeast"/>
              <w:contextualSpacing/>
              <w:jc w:val="center"/>
              <w:rPr>
                <w:rFonts w:eastAsiaTheme="minorEastAsia"/>
                <w:kern w:val="0"/>
                <w:szCs w:val="21"/>
              </w:rPr>
            </w:pPr>
          </w:p>
        </w:tc>
        <w:tc>
          <w:tcPr>
            <w:tcW w:w="2269" w:type="dxa"/>
            <w:vMerge/>
            <w:vAlign w:val="center"/>
          </w:tcPr>
          <w:p w:rsidR="002A5A5E" w:rsidRPr="00F9522B" w:rsidRDefault="002A5A5E">
            <w:pPr>
              <w:spacing w:line="0" w:lineRule="atLeast"/>
              <w:contextualSpacing/>
              <w:jc w:val="center"/>
              <w:rPr>
                <w:rFonts w:eastAsiaTheme="minorEastAsia"/>
                <w:kern w:val="0"/>
                <w:szCs w:val="21"/>
              </w:rPr>
            </w:pPr>
          </w:p>
        </w:tc>
        <w:tc>
          <w:tcPr>
            <w:tcW w:w="1134" w:type="dxa"/>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kern w:val="0"/>
                <w:szCs w:val="21"/>
                <w:lang w:val="zh-CN"/>
              </w:rPr>
              <w:t>氯化物</w:t>
            </w:r>
          </w:p>
        </w:tc>
        <w:tc>
          <w:tcPr>
            <w:tcW w:w="992" w:type="dxa"/>
            <w:vMerge/>
            <w:vAlign w:val="center"/>
          </w:tcPr>
          <w:p w:rsidR="002A5A5E" w:rsidRPr="00F9522B" w:rsidRDefault="002A5A5E">
            <w:pPr>
              <w:spacing w:line="0" w:lineRule="atLeast"/>
              <w:contextualSpacing/>
              <w:jc w:val="center"/>
              <w:rPr>
                <w:rFonts w:eastAsiaTheme="minorEastAsia"/>
                <w:kern w:val="0"/>
                <w:szCs w:val="21"/>
              </w:rPr>
            </w:pPr>
          </w:p>
        </w:tc>
        <w:tc>
          <w:tcPr>
            <w:tcW w:w="3130" w:type="dxa"/>
            <w:gridSpan w:val="2"/>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kern w:val="0"/>
                <w:szCs w:val="21"/>
                <w:lang w:val="zh-CN"/>
              </w:rPr>
              <w:t>≤250</w:t>
            </w:r>
          </w:p>
        </w:tc>
      </w:tr>
      <w:tr w:rsidR="002A5A5E" w:rsidRPr="00F9522B" w:rsidTr="009E72CC">
        <w:trPr>
          <w:gridAfter w:val="1"/>
          <w:wAfter w:w="18" w:type="dxa"/>
          <w:trHeight w:val="33"/>
          <w:jc w:val="center"/>
        </w:trPr>
        <w:tc>
          <w:tcPr>
            <w:tcW w:w="654" w:type="dxa"/>
            <w:vMerge/>
            <w:vAlign w:val="center"/>
          </w:tcPr>
          <w:p w:rsidR="002A5A5E" w:rsidRPr="00F9522B" w:rsidRDefault="002A5A5E">
            <w:pPr>
              <w:spacing w:line="0" w:lineRule="atLeast"/>
              <w:contextualSpacing/>
              <w:jc w:val="center"/>
              <w:rPr>
                <w:rFonts w:eastAsiaTheme="minorEastAsia"/>
                <w:kern w:val="0"/>
                <w:szCs w:val="21"/>
              </w:rPr>
            </w:pPr>
          </w:p>
        </w:tc>
        <w:tc>
          <w:tcPr>
            <w:tcW w:w="2269" w:type="dxa"/>
            <w:vMerge/>
            <w:vAlign w:val="center"/>
          </w:tcPr>
          <w:p w:rsidR="002A5A5E" w:rsidRPr="00F9522B" w:rsidRDefault="002A5A5E">
            <w:pPr>
              <w:spacing w:line="0" w:lineRule="atLeast"/>
              <w:contextualSpacing/>
              <w:jc w:val="center"/>
              <w:rPr>
                <w:rFonts w:eastAsiaTheme="minorEastAsia"/>
                <w:kern w:val="0"/>
                <w:szCs w:val="21"/>
              </w:rPr>
            </w:pPr>
          </w:p>
        </w:tc>
        <w:tc>
          <w:tcPr>
            <w:tcW w:w="1134" w:type="dxa"/>
            <w:vAlign w:val="center"/>
          </w:tcPr>
          <w:p w:rsidR="002A5A5E" w:rsidRPr="00F9522B" w:rsidRDefault="00611CBA">
            <w:pPr>
              <w:spacing w:line="0" w:lineRule="atLeast"/>
              <w:contextualSpacing/>
              <w:jc w:val="center"/>
              <w:rPr>
                <w:rFonts w:eastAsiaTheme="minorEastAsia"/>
                <w:kern w:val="0"/>
                <w:szCs w:val="21"/>
                <w:lang w:val="zh-CN"/>
              </w:rPr>
            </w:pPr>
            <w:r w:rsidRPr="00F9522B">
              <w:rPr>
                <w:rFonts w:eastAsiaTheme="minorEastAsia"/>
                <w:kern w:val="0"/>
                <w:szCs w:val="21"/>
                <w:lang w:val="zh-CN"/>
              </w:rPr>
              <w:t>硫酸盐</w:t>
            </w:r>
          </w:p>
        </w:tc>
        <w:tc>
          <w:tcPr>
            <w:tcW w:w="992" w:type="dxa"/>
            <w:vMerge/>
            <w:vAlign w:val="center"/>
          </w:tcPr>
          <w:p w:rsidR="002A5A5E" w:rsidRPr="00F9522B" w:rsidRDefault="002A5A5E">
            <w:pPr>
              <w:spacing w:line="0" w:lineRule="atLeast"/>
              <w:contextualSpacing/>
              <w:jc w:val="center"/>
              <w:rPr>
                <w:rFonts w:eastAsiaTheme="minorEastAsia"/>
                <w:kern w:val="0"/>
                <w:szCs w:val="21"/>
              </w:rPr>
            </w:pPr>
          </w:p>
        </w:tc>
        <w:tc>
          <w:tcPr>
            <w:tcW w:w="3130" w:type="dxa"/>
            <w:gridSpan w:val="2"/>
            <w:vAlign w:val="center"/>
          </w:tcPr>
          <w:p w:rsidR="002A5A5E" w:rsidRPr="00F9522B" w:rsidRDefault="00611CBA">
            <w:pPr>
              <w:spacing w:line="0" w:lineRule="atLeast"/>
              <w:contextualSpacing/>
              <w:jc w:val="center"/>
              <w:rPr>
                <w:rFonts w:eastAsiaTheme="minorEastAsia"/>
                <w:kern w:val="0"/>
                <w:szCs w:val="21"/>
                <w:lang w:val="zh-CN"/>
              </w:rPr>
            </w:pPr>
            <w:r w:rsidRPr="00F9522B">
              <w:rPr>
                <w:rFonts w:eastAsiaTheme="minorEastAsia"/>
                <w:kern w:val="0"/>
                <w:szCs w:val="21"/>
                <w:lang w:val="zh-CN"/>
              </w:rPr>
              <w:t>≤250</w:t>
            </w:r>
          </w:p>
        </w:tc>
      </w:tr>
      <w:tr w:rsidR="002A5A5E" w:rsidRPr="00F9522B" w:rsidTr="009E72CC">
        <w:trPr>
          <w:gridAfter w:val="1"/>
          <w:wAfter w:w="18" w:type="dxa"/>
          <w:trHeight w:val="33"/>
          <w:jc w:val="center"/>
        </w:trPr>
        <w:tc>
          <w:tcPr>
            <w:tcW w:w="654" w:type="dxa"/>
            <w:vMerge/>
            <w:vAlign w:val="center"/>
          </w:tcPr>
          <w:p w:rsidR="002A5A5E" w:rsidRPr="00F9522B" w:rsidRDefault="002A5A5E">
            <w:pPr>
              <w:spacing w:line="0" w:lineRule="atLeast"/>
              <w:contextualSpacing/>
              <w:jc w:val="center"/>
              <w:rPr>
                <w:rFonts w:eastAsiaTheme="minorEastAsia"/>
                <w:kern w:val="0"/>
                <w:szCs w:val="21"/>
              </w:rPr>
            </w:pPr>
          </w:p>
        </w:tc>
        <w:tc>
          <w:tcPr>
            <w:tcW w:w="2269" w:type="dxa"/>
            <w:vMerge/>
            <w:vAlign w:val="center"/>
          </w:tcPr>
          <w:p w:rsidR="002A5A5E" w:rsidRPr="00F9522B" w:rsidRDefault="002A5A5E">
            <w:pPr>
              <w:spacing w:line="0" w:lineRule="atLeast"/>
              <w:contextualSpacing/>
              <w:jc w:val="center"/>
              <w:rPr>
                <w:rFonts w:eastAsiaTheme="minorEastAsia"/>
                <w:kern w:val="0"/>
                <w:szCs w:val="21"/>
              </w:rPr>
            </w:pPr>
          </w:p>
        </w:tc>
        <w:tc>
          <w:tcPr>
            <w:tcW w:w="1134" w:type="dxa"/>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kern w:val="0"/>
                <w:szCs w:val="21"/>
              </w:rPr>
              <w:t>铅</w:t>
            </w:r>
          </w:p>
        </w:tc>
        <w:tc>
          <w:tcPr>
            <w:tcW w:w="992" w:type="dxa"/>
            <w:vMerge/>
            <w:vAlign w:val="center"/>
          </w:tcPr>
          <w:p w:rsidR="002A5A5E" w:rsidRPr="00F9522B" w:rsidRDefault="002A5A5E">
            <w:pPr>
              <w:spacing w:line="0" w:lineRule="atLeast"/>
              <w:contextualSpacing/>
              <w:jc w:val="center"/>
              <w:rPr>
                <w:rFonts w:eastAsiaTheme="minorEastAsia"/>
                <w:kern w:val="0"/>
                <w:szCs w:val="21"/>
              </w:rPr>
            </w:pPr>
          </w:p>
        </w:tc>
        <w:tc>
          <w:tcPr>
            <w:tcW w:w="3130" w:type="dxa"/>
            <w:gridSpan w:val="2"/>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kern w:val="0"/>
                <w:szCs w:val="21"/>
              </w:rPr>
              <w:t>≤0.01</w:t>
            </w:r>
          </w:p>
        </w:tc>
      </w:tr>
    </w:tbl>
    <w:p w:rsidR="00F27B2F" w:rsidRPr="00F9522B" w:rsidRDefault="00F27B2F" w:rsidP="009E72CC">
      <w:pPr>
        <w:widowControl/>
        <w:jc w:val="center"/>
        <w:rPr>
          <w:rFonts w:eastAsiaTheme="minorEastAsia"/>
          <w:b/>
          <w:szCs w:val="21"/>
        </w:rPr>
      </w:pPr>
    </w:p>
    <w:p w:rsidR="00F27B2F" w:rsidRPr="00F9522B" w:rsidRDefault="00F27B2F" w:rsidP="009E72CC">
      <w:pPr>
        <w:widowControl/>
        <w:jc w:val="center"/>
        <w:rPr>
          <w:rFonts w:eastAsiaTheme="minorEastAsia"/>
          <w:b/>
          <w:szCs w:val="21"/>
        </w:rPr>
      </w:pPr>
    </w:p>
    <w:p w:rsidR="009E72CC" w:rsidRPr="00F9522B" w:rsidRDefault="009E72CC" w:rsidP="009E72CC">
      <w:pPr>
        <w:widowControl/>
        <w:jc w:val="center"/>
        <w:rPr>
          <w:rFonts w:eastAsiaTheme="minorEastAsia"/>
          <w:b/>
          <w:szCs w:val="21"/>
        </w:rPr>
      </w:pPr>
      <w:r w:rsidRPr="00F9522B">
        <w:rPr>
          <w:rFonts w:eastAsiaTheme="minorEastAsia"/>
          <w:b/>
          <w:szCs w:val="21"/>
        </w:rPr>
        <w:lastRenderedPageBreak/>
        <w:t>续表</w:t>
      </w:r>
      <w:r w:rsidRPr="00F9522B">
        <w:rPr>
          <w:rFonts w:eastAsiaTheme="minorEastAsia"/>
          <w:b/>
          <w:szCs w:val="21"/>
        </w:rPr>
        <w:t>2-5-2</w:t>
      </w:r>
      <w:r w:rsidRPr="00F9522B">
        <w:rPr>
          <w:rFonts w:eastAsiaTheme="minorEastAsia"/>
          <w:b/>
          <w:szCs w:val="21"/>
        </w:rPr>
        <w:t>环境质量标准表</w:t>
      </w:r>
    </w:p>
    <w:tbl>
      <w:tblPr>
        <w:tblW w:w="8179" w:type="dxa"/>
        <w:jc w:val="center"/>
        <w:tblBorders>
          <w:top w:val="single" w:sz="12" w:space="0" w:color="auto"/>
          <w:bottom w:val="single" w:sz="12" w:space="0" w:color="auto"/>
          <w:insideH w:val="single" w:sz="6" w:space="0" w:color="auto"/>
          <w:insideV w:val="single" w:sz="6" w:space="0" w:color="auto"/>
        </w:tblBorders>
        <w:tblLayout w:type="fixed"/>
        <w:tblLook w:val="04A0"/>
      </w:tblPr>
      <w:tblGrid>
        <w:gridCol w:w="654"/>
        <w:gridCol w:w="2269"/>
        <w:gridCol w:w="1134"/>
        <w:gridCol w:w="992"/>
        <w:gridCol w:w="3130"/>
      </w:tblGrid>
      <w:tr w:rsidR="00F27B2F" w:rsidRPr="00F9522B" w:rsidTr="009E72CC">
        <w:trPr>
          <w:trHeight w:val="33"/>
          <w:jc w:val="center"/>
        </w:trPr>
        <w:tc>
          <w:tcPr>
            <w:tcW w:w="654" w:type="dxa"/>
            <w:vMerge w:val="restart"/>
            <w:vAlign w:val="center"/>
          </w:tcPr>
          <w:p w:rsidR="00F27B2F" w:rsidRPr="00F9522B" w:rsidRDefault="00F27B2F" w:rsidP="005C57FA">
            <w:pPr>
              <w:spacing w:line="0" w:lineRule="atLeast"/>
              <w:contextualSpacing/>
              <w:jc w:val="center"/>
              <w:rPr>
                <w:rFonts w:eastAsiaTheme="minorEastAsia"/>
                <w:kern w:val="0"/>
                <w:szCs w:val="21"/>
              </w:rPr>
            </w:pPr>
            <w:r w:rsidRPr="00F9522B">
              <w:rPr>
                <w:rFonts w:eastAsiaTheme="minorEastAsia"/>
                <w:kern w:val="0"/>
                <w:szCs w:val="21"/>
              </w:rPr>
              <w:t>地下水环境</w:t>
            </w:r>
          </w:p>
        </w:tc>
        <w:tc>
          <w:tcPr>
            <w:tcW w:w="2269" w:type="dxa"/>
            <w:vMerge w:val="restart"/>
            <w:vAlign w:val="center"/>
          </w:tcPr>
          <w:p w:rsidR="00F27B2F" w:rsidRPr="00F9522B" w:rsidRDefault="00F27B2F" w:rsidP="005C57FA">
            <w:pPr>
              <w:spacing w:line="0" w:lineRule="atLeast"/>
              <w:contextualSpacing/>
              <w:jc w:val="center"/>
              <w:rPr>
                <w:rFonts w:eastAsiaTheme="minorEastAsia"/>
                <w:kern w:val="0"/>
                <w:szCs w:val="21"/>
              </w:rPr>
            </w:pPr>
            <w:r w:rsidRPr="00F9522B">
              <w:rPr>
                <w:rFonts w:eastAsiaTheme="minorEastAsia"/>
                <w:kern w:val="0"/>
                <w:szCs w:val="21"/>
              </w:rPr>
              <w:t>《地下水质量标准》（</w:t>
            </w:r>
            <w:r w:rsidRPr="00F9522B">
              <w:rPr>
                <w:rFonts w:eastAsiaTheme="minorEastAsia"/>
                <w:kern w:val="0"/>
                <w:szCs w:val="21"/>
              </w:rPr>
              <w:t>GB/T14848-2017</w:t>
            </w:r>
            <w:r w:rsidRPr="00F9522B">
              <w:rPr>
                <w:rFonts w:eastAsiaTheme="minorEastAsia"/>
                <w:kern w:val="0"/>
                <w:szCs w:val="21"/>
              </w:rPr>
              <w:t>）</w:t>
            </w:r>
            <w:r w:rsidRPr="00F9522B">
              <w:rPr>
                <w:rFonts w:eastAsiaTheme="minorEastAsia"/>
                <w:kern w:val="0"/>
                <w:szCs w:val="21"/>
              </w:rPr>
              <w:t>Ⅲ</w:t>
            </w:r>
            <w:r w:rsidRPr="00F9522B">
              <w:rPr>
                <w:rFonts w:eastAsiaTheme="minorEastAsia"/>
                <w:kern w:val="0"/>
                <w:szCs w:val="21"/>
              </w:rPr>
              <w:t>类</w:t>
            </w:r>
          </w:p>
        </w:tc>
        <w:tc>
          <w:tcPr>
            <w:tcW w:w="1134" w:type="dxa"/>
            <w:vAlign w:val="center"/>
          </w:tcPr>
          <w:p w:rsidR="00F27B2F" w:rsidRPr="00F9522B" w:rsidRDefault="00F27B2F">
            <w:pPr>
              <w:spacing w:line="0" w:lineRule="atLeast"/>
              <w:contextualSpacing/>
              <w:jc w:val="center"/>
              <w:rPr>
                <w:rFonts w:eastAsiaTheme="minorEastAsia"/>
                <w:kern w:val="0"/>
                <w:szCs w:val="21"/>
              </w:rPr>
            </w:pPr>
            <w:r w:rsidRPr="00F9522B">
              <w:rPr>
                <w:rFonts w:eastAsiaTheme="minorEastAsia"/>
                <w:kern w:val="0"/>
                <w:szCs w:val="21"/>
              </w:rPr>
              <w:t>镉</w:t>
            </w:r>
          </w:p>
        </w:tc>
        <w:tc>
          <w:tcPr>
            <w:tcW w:w="992" w:type="dxa"/>
            <w:vMerge w:val="restart"/>
            <w:vAlign w:val="center"/>
          </w:tcPr>
          <w:p w:rsidR="00F27B2F" w:rsidRPr="00F9522B" w:rsidRDefault="00F27B2F">
            <w:pPr>
              <w:spacing w:line="0" w:lineRule="atLeast"/>
              <w:contextualSpacing/>
              <w:jc w:val="center"/>
              <w:rPr>
                <w:rFonts w:eastAsiaTheme="minorEastAsia"/>
                <w:kern w:val="0"/>
                <w:szCs w:val="21"/>
              </w:rPr>
            </w:pPr>
            <w:r w:rsidRPr="00F9522B">
              <w:rPr>
                <w:rFonts w:eastAsiaTheme="minorEastAsia"/>
                <w:kern w:val="0"/>
                <w:szCs w:val="21"/>
              </w:rPr>
              <w:t>mg/L</w:t>
            </w:r>
          </w:p>
        </w:tc>
        <w:tc>
          <w:tcPr>
            <w:tcW w:w="3130" w:type="dxa"/>
            <w:vAlign w:val="center"/>
          </w:tcPr>
          <w:p w:rsidR="00F27B2F" w:rsidRPr="00F9522B" w:rsidRDefault="00F27B2F">
            <w:pPr>
              <w:spacing w:line="0" w:lineRule="atLeast"/>
              <w:contextualSpacing/>
              <w:jc w:val="center"/>
              <w:rPr>
                <w:rFonts w:eastAsiaTheme="minorEastAsia"/>
                <w:kern w:val="0"/>
                <w:szCs w:val="21"/>
              </w:rPr>
            </w:pPr>
            <w:r w:rsidRPr="00F9522B">
              <w:rPr>
                <w:rFonts w:eastAsiaTheme="minorEastAsia"/>
                <w:kern w:val="0"/>
                <w:szCs w:val="21"/>
              </w:rPr>
              <w:t>≤0.005</w:t>
            </w:r>
          </w:p>
        </w:tc>
      </w:tr>
      <w:tr w:rsidR="00F27B2F" w:rsidRPr="00F9522B" w:rsidTr="009E72CC">
        <w:trPr>
          <w:trHeight w:val="33"/>
          <w:jc w:val="center"/>
        </w:trPr>
        <w:tc>
          <w:tcPr>
            <w:tcW w:w="654" w:type="dxa"/>
            <w:vMerge/>
            <w:vAlign w:val="center"/>
          </w:tcPr>
          <w:p w:rsidR="00F27B2F" w:rsidRPr="00F9522B" w:rsidRDefault="00F27B2F">
            <w:pPr>
              <w:spacing w:line="0" w:lineRule="atLeast"/>
              <w:contextualSpacing/>
              <w:jc w:val="center"/>
              <w:rPr>
                <w:rFonts w:eastAsiaTheme="minorEastAsia"/>
                <w:kern w:val="0"/>
                <w:szCs w:val="21"/>
              </w:rPr>
            </w:pPr>
          </w:p>
        </w:tc>
        <w:tc>
          <w:tcPr>
            <w:tcW w:w="2269" w:type="dxa"/>
            <w:vMerge/>
            <w:vAlign w:val="center"/>
          </w:tcPr>
          <w:p w:rsidR="00F27B2F" w:rsidRPr="00F9522B" w:rsidRDefault="00F27B2F">
            <w:pPr>
              <w:spacing w:line="0" w:lineRule="atLeast"/>
              <w:contextualSpacing/>
              <w:jc w:val="center"/>
              <w:rPr>
                <w:rFonts w:eastAsiaTheme="minorEastAsia"/>
                <w:kern w:val="0"/>
                <w:szCs w:val="21"/>
              </w:rPr>
            </w:pPr>
          </w:p>
        </w:tc>
        <w:tc>
          <w:tcPr>
            <w:tcW w:w="1134" w:type="dxa"/>
            <w:vAlign w:val="center"/>
          </w:tcPr>
          <w:p w:rsidR="00F27B2F" w:rsidRPr="00F9522B" w:rsidRDefault="00F27B2F">
            <w:pPr>
              <w:spacing w:line="0" w:lineRule="atLeast"/>
              <w:contextualSpacing/>
              <w:jc w:val="center"/>
              <w:rPr>
                <w:rFonts w:eastAsiaTheme="minorEastAsia"/>
                <w:kern w:val="0"/>
                <w:szCs w:val="21"/>
              </w:rPr>
            </w:pPr>
            <w:r w:rsidRPr="00F9522B">
              <w:rPr>
                <w:rFonts w:eastAsiaTheme="minorEastAsia"/>
                <w:kern w:val="0"/>
                <w:szCs w:val="21"/>
              </w:rPr>
              <w:t>锰</w:t>
            </w:r>
          </w:p>
        </w:tc>
        <w:tc>
          <w:tcPr>
            <w:tcW w:w="992" w:type="dxa"/>
            <w:vMerge/>
            <w:vAlign w:val="center"/>
          </w:tcPr>
          <w:p w:rsidR="00F27B2F" w:rsidRPr="00F9522B" w:rsidRDefault="00F27B2F">
            <w:pPr>
              <w:spacing w:line="0" w:lineRule="atLeast"/>
              <w:contextualSpacing/>
              <w:jc w:val="center"/>
              <w:rPr>
                <w:rFonts w:eastAsiaTheme="minorEastAsia"/>
                <w:kern w:val="0"/>
                <w:szCs w:val="21"/>
              </w:rPr>
            </w:pPr>
          </w:p>
        </w:tc>
        <w:tc>
          <w:tcPr>
            <w:tcW w:w="3130" w:type="dxa"/>
            <w:vAlign w:val="center"/>
          </w:tcPr>
          <w:p w:rsidR="00F27B2F" w:rsidRPr="00F9522B" w:rsidRDefault="00F27B2F">
            <w:pPr>
              <w:spacing w:line="0" w:lineRule="atLeast"/>
              <w:contextualSpacing/>
              <w:jc w:val="center"/>
              <w:rPr>
                <w:rFonts w:eastAsiaTheme="minorEastAsia"/>
                <w:kern w:val="0"/>
                <w:szCs w:val="21"/>
              </w:rPr>
            </w:pPr>
            <w:r w:rsidRPr="00F9522B">
              <w:rPr>
                <w:rFonts w:eastAsiaTheme="minorEastAsia"/>
                <w:kern w:val="0"/>
                <w:szCs w:val="21"/>
              </w:rPr>
              <w:t>≤0.1</w:t>
            </w:r>
          </w:p>
        </w:tc>
      </w:tr>
      <w:tr w:rsidR="00F27B2F" w:rsidRPr="00F9522B" w:rsidTr="009E72CC">
        <w:trPr>
          <w:trHeight w:val="33"/>
          <w:jc w:val="center"/>
        </w:trPr>
        <w:tc>
          <w:tcPr>
            <w:tcW w:w="654" w:type="dxa"/>
            <w:vMerge/>
            <w:vAlign w:val="center"/>
          </w:tcPr>
          <w:p w:rsidR="00F27B2F" w:rsidRPr="00F9522B" w:rsidRDefault="00F27B2F">
            <w:pPr>
              <w:spacing w:line="0" w:lineRule="atLeast"/>
              <w:contextualSpacing/>
              <w:jc w:val="center"/>
              <w:rPr>
                <w:rFonts w:eastAsiaTheme="minorEastAsia"/>
                <w:kern w:val="0"/>
                <w:szCs w:val="21"/>
              </w:rPr>
            </w:pPr>
          </w:p>
        </w:tc>
        <w:tc>
          <w:tcPr>
            <w:tcW w:w="2269" w:type="dxa"/>
            <w:vMerge/>
            <w:vAlign w:val="center"/>
          </w:tcPr>
          <w:p w:rsidR="00F27B2F" w:rsidRPr="00F9522B" w:rsidRDefault="00F27B2F">
            <w:pPr>
              <w:spacing w:line="0" w:lineRule="atLeast"/>
              <w:contextualSpacing/>
              <w:jc w:val="center"/>
              <w:rPr>
                <w:rFonts w:eastAsiaTheme="minorEastAsia"/>
                <w:kern w:val="0"/>
                <w:szCs w:val="21"/>
              </w:rPr>
            </w:pPr>
          </w:p>
        </w:tc>
        <w:tc>
          <w:tcPr>
            <w:tcW w:w="1134" w:type="dxa"/>
            <w:vAlign w:val="center"/>
          </w:tcPr>
          <w:p w:rsidR="00F27B2F" w:rsidRPr="00F9522B" w:rsidRDefault="00F27B2F">
            <w:pPr>
              <w:spacing w:line="0" w:lineRule="atLeast"/>
              <w:contextualSpacing/>
              <w:jc w:val="center"/>
              <w:rPr>
                <w:rFonts w:eastAsiaTheme="minorEastAsia"/>
                <w:kern w:val="0"/>
                <w:szCs w:val="21"/>
              </w:rPr>
            </w:pPr>
            <w:r w:rsidRPr="00F9522B">
              <w:rPr>
                <w:rFonts w:eastAsiaTheme="minorEastAsia"/>
                <w:kern w:val="0"/>
                <w:szCs w:val="21"/>
              </w:rPr>
              <w:t>铁</w:t>
            </w:r>
          </w:p>
        </w:tc>
        <w:tc>
          <w:tcPr>
            <w:tcW w:w="992" w:type="dxa"/>
            <w:vMerge/>
            <w:vAlign w:val="center"/>
          </w:tcPr>
          <w:p w:rsidR="00F27B2F" w:rsidRPr="00F9522B" w:rsidRDefault="00F27B2F">
            <w:pPr>
              <w:spacing w:line="0" w:lineRule="atLeast"/>
              <w:contextualSpacing/>
              <w:jc w:val="center"/>
              <w:rPr>
                <w:rFonts w:eastAsiaTheme="minorEastAsia"/>
                <w:kern w:val="0"/>
                <w:szCs w:val="21"/>
              </w:rPr>
            </w:pPr>
          </w:p>
        </w:tc>
        <w:tc>
          <w:tcPr>
            <w:tcW w:w="3130" w:type="dxa"/>
            <w:vAlign w:val="center"/>
          </w:tcPr>
          <w:p w:rsidR="00F27B2F" w:rsidRPr="00F9522B" w:rsidRDefault="00F27B2F">
            <w:pPr>
              <w:spacing w:line="0" w:lineRule="atLeast"/>
              <w:contextualSpacing/>
              <w:jc w:val="center"/>
              <w:rPr>
                <w:rFonts w:eastAsiaTheme="minorEastAsia"/>
                <w:kern w:val="0"/>
                <w:szCs w:val="21"/>
              </w:rPr>
            </w:pPr>
            <w:r w:rsidRPr="00F9522B">
              <w:rPr>
                <w:rFonts w:eastAsiaTheme="minorEastAsia"/>
                <w:kern w:val="0"/>
                <w:szCs w:val="21"/>
              </w:rPr>
              <w:t>≤0.3</w:t>
            </w:r>
          </w:p>
        </w:tc>
      </w:tr>
      <w:tr w:rsidR="00F27B2F" w:rsidRPr="00F9522B" w:rsidTr="009E72CC">
        <w:trPr>
          <w:trHeight w:val="33"/>
          <w:jc w:val="center"/>
        </w:trPr>
        <w:tc>
          <w:tcPr>
            <w:tcW w:w="654" w:type="dxa"/>
            <w:vMerge/>
            <w:vAlign w:val="center"/>
          </w:tcPr>
          <w:p w:rsidR="00F27B2F" w:rsidRPr="00F9522B" w:rsidRDefault="00F27B2F">
            <w:pPr>
              <w:spacing w:line="0" w:lineRule="atLeast"/>
              <w:contextualSpacing/>
              <w:jc w:val="center"/>
              <w:rPr>
                <w:rFonts w:eastAsiaTheme="minorEastAsia"/>
                <w:kern w:val="0"/>
                <w:szCs w:val="21"/>
              </w:rPr>
            </w:pPr>
          </w:p>
        </w:tc>
        <w:tc>
          <w:tcPr>
            <w:tcW w:w="2269" w:type="dxa"/>
            <w:vMerge/>
            <w:vAlign w:val="center"/>
          </w:tcPr>
          <w:p w:rsidR="00F27B2F" w:rsidRPr="00F9522B" w:rsidRDefault="00F27B2F">
            <w:pPr>
              <w:spacing w:line="0" w:lineRule="atLeast"/>
              <w:contextualSpacing/>
              <w:jc w:val="center"/>
              <w:rPr>
                <w:rFonts w:eastAsiaTheme="minorEastAsia"/>
                <w:kern w:val="0"/>
                <w:szCs w:val="21"/>
              </w:rPr>
            </w:pPr>
          </w:p>
        </w:tc>
        <w:tc>
          <w:tcPr>
            <w:tcW w:w="1134" w:type="dxa"/>
            <w:vAlign w:val="center"/>
          </w:tcPr>
          <w:p w:rsidR="00F27B2F" w:rsidRPr="00F9522B" w:rsidRDefault="00F27B2F">
            <w:pPr>
              <w:spacing w:line="0" w:lineRule="atLeast"/>
              <w:contextualSpacing/>
              <w:jc w:val="center"/>
              <w:rPr>
                <w:rFonts w:eastAsiaTheme="minorEastAsia"/>
                <w:kern w:val="0"/>
                <w:szCs w:val="21"/>
              </w:rPr>
            </w:pPr>
            <w:r w:rsidRPr="00F9522B">
              <w:rPr>
                <w:rFonts w:eastAsiaTheme="minorEastAsia"/>
                <w:kern w:val="0"/>
                <w:szCs w:val="21"/>
              </w:rPr>
              <w:t>溶解性总固体</w:t>
            </w:r>
          </w:p>
        </w:tc>
        <w:tc>
          <w:tcPr>
            <w:tcW w:w="992" w:type="dxa"/>
            <w:vMerge/>
            <w:vAlign w:val="center"/>
          </w:tcPr>
          <w:p w:rsidR="00F27B2F" w:rsidRPr="00F9522B" w:rsidRDefault="00F27B2F">
            <w:pPr>
              <w:spacing w:line="0" w:lineRule="atLeast"/>
              <w:contextualSpacing/>
              <w:jc w:val="center"/>
              <w:rPr>
                <w:rFonts w:eastAsiaTheme="minorEastAsia"/>
                <w:szCs w:val="21"/>
              </w:rPr>
            </w:pPr>
          </w:p>
        </w:tc>
        <w:tc>
          <w:tcPr>
            <w:tcW w:w="3130" w:type="dxa"/>
            <w:vAlign w:val="center"/>
          </w:tcPr>
          <w:p w:rsidR="00F27B2F" w:rsidRPr="00F9522B" w:rsidRDefault="00F27B2F">
            <w:pPr>
              <w:spacing w:line="0" w:lineRule="atLeast"/>
              <w:contextualSpacing/>
              <w:jc w:val="center"/>
              <w:rPr>
                <w:rFonts w:eastAsiaTheme="minorEastAsia"/>
                <w:kern w:val="0"/>
                <w:szCs w:val="21"/>
              </w:rPr>
            </w:pPr>
            <w:r w:rsidRPr="00F9522B">
              <w:rPr>
                <w:rFonts w:eastAsiaTheme="minorEastAsia"/>
                <w:kern w:val="0"/>
                <w:szCs w:val="21"/>
              </w:rPr>
              <w:t>≤1000</w:t>
            </w:r>
          </w:p>
        </w:tc>
      </w:tr>
      <w:tr w:rsidR="00F27B2F" w:rsidRPr="00F9522B" w:rsidTr="009E72CC">
        <w:trPr>
          <w:trHeight w:val="33"/>
          <w:jc w:val="center"/>
        </w:trPr>
        <w:tc>
          <w:tcPr>
            <w:tcW w:w="654" w:type="dxa"/>
            <w:vMerge/>
            <w:vAlign w:val="center"/>
          </w:tcPr>
          <w:p w:rsidR="00F27B2F" w:rsidRPr="00F9522B" w:rsidRDefault="00F27B2F">
            <w:pPr>
              <w:widowControl/>
              <w:spacing w:line="0" w:lineRule="atLeast"/>
              <w:contextualSpacing/>
              <w:jc w:val="left"/>
              <w:rPr>
                <w:rFonts w:eastAsiaTheme="minorEastAsia"/>
                <w:kern w:val="0"/>
                <w:szCs w:val="21"/>
              </w:rPr>
            </w:pPr>
          </w:p>
        </w:tc>
        <w:tc>
          <w:tcPr>
            <w:tcW w:w="2269" w:type="dxa"/>
            <w:vMerge/>
            <w:vAlign w:val="center"/>
          </w:tcPr>
          <w:p w:rsidR="00F27B2F" w:rsidRPr="00F9522B" w:rsidRDefault="00F27B2F">
            <w:pPr>
              <w:widowControl/>
              <w:spacing w:line="0" w:lineRule="atLeast"/>
              <w:contextualSpacing/>
              <w:jc w:val="left"/>
              <w:rPr>
                <w:rFonts w:eastAsiaTheme="minorEastAsia"/>
                <w:kern w:val="0"/>
                <w:szCs w:val="21"/>
              </w:rPr>
            </w:pPr>
          </w:p>
        </w:tc>
        <w:tc>
          <w:tcPr>
            <w:tcW w:w="1134" w:type="dxa"/>
            <w:vAlign w:val="center"/>
          </w:tcPr>
          <w:p w:rsidR="00F27B2F" w:rsidRPr="00F9522B" w:rsidRDefault="00F27B2F">
            <w:pPr>
              <w:spacing w:line="0" w:lineRule="atLeast"/>
              <w:contextualSpacing/>
              <w:jc w:val="center"/>
              <w:rPr>
                <w:rFonts w:eastAsiaTheme="minorEastAsia"/>
                <w:kern w:val="0"/>
                <w:szCs w:val="21"/>
              </w:rPr>
            </w:pPr>
            <w:r w:rsidRPr="00F9522B">
              <w:rPr>
                <w:rFonts w:eastAsiaTheme="minorEastAsia"/>
                <w:kern w:val="0"/>
                <w:szCs w:val="21"/>
              </w:rPr>
              <w:t>耗氧量</w:t>
            </w:r>
          </w:p>
        </w:tc>
        <w:tc>
          <w:tcPr>
            <w:tcW w:w="992" w:type="dxa"/>
            <w:vMerge/>
            <w:vAlign w:val="center"/>
          </w:tcPr>
          <w:p w:rsidR="00F27B2F" w:rsidRPr="00F9522B" w:rsidRDefault="00F27B2F">
            <w:pPr>
              <w:spacing w:line="0" w:lineRule="atLeast"/>
              <w:contextualSpacing/>
              <w:rPr>
                <w:rFonts w:eastAsiaTheme="minorEastAsia"/>
                <w:szCs w:val="21"/>
              </w:rPr>
            </w:pPr>
          </w:p>
        </w:tc>
        <w:tc>
          <w:tcPr>
            <w:tcW w:w="3130" w:type="dxa"/>
            <w:vAlign w:val="center"/>
          </w:tcPr>
          <w:p w:rsidR="00F27B2F" w:rsidRPr="00F9522B" w:rsidRDefault="00F27B2F">
            <w:pPr>
              <w:spacing w:line="0" w:lineRule="atLeast"/>
              <w:contextualSpacing/>
              <w:jc w:val="center"/>
              <w:rPr>
                <w:rFonts w:eastAsiaTheme="minorEastAsia"/>
                <w:kern w:val="0"/>
                <w:szCs w:val="21"/>
              </w:rPr>
            </w:pPr>
            <w:r w:rsidRPr="00F9522B">
              <w:rPr>
                <w:rFonts w:eastAsiaTheme="minorEastAsia"/>
                <w:kern w:val="0"/>
                <w:szCs w:val="21"/>
              </w:rPr>
              <w:t>≤3.0</w:t>
            </w:r>
          </w:p>
        </w:tc>
      </w:tr>
      <w:tr w:rsidR="00F27B2F" w:rsidRPr="00F9522B" w:rsidTr="009E72CC">
        <w:trPr>
          <w:trHeight w:val="33"/>
          <w:jc w:val="center"/>
        </w:trPr>
        <w:tc>
          <w:tcPr>
            <w:tcW w:w="654" w:type="dxa"/>
            <w:vMerge/>
            <w:vAlign w:val="center"/>
          </w:tcPr>
          <w:p w:rsidR="00F27B2F" w:rsidRPr="00F9522B" w:rsidRDefault="00F27B2F">
            <w:pPr>
              <w:widowControl/>
              <w:spacing w:line="0" w:lineRule="atLeast"/>
              <w:contextualSpacing/>
              <w:jc w:val="left"/>
              <w:rPr>
                <w:rFonts w:eastAsiaTheme="minorEastAsia"/>
                <w:kern w:val="0"/>
                <w:szCs w:val="21"/>
              </w:rPr>
            </w:pPr>
          </w:p>
        </w:tc>
        <w:tc>
          <w:tcPr>
            <w:tcW w:w="2269" w:type="dxa"/>
            <w:vMerge/>
            <w:vAlign w:val="center"/>
          </w:tcPr>
          <w:p w:rsidR="00F27B2F" w:rsidRPr="00F9522B" w:rsidRDefault="00F27B2F">
            <w:pPr>
              <w:widowControl/>
              <w:spacing w:line="0" w:lineRule="atLeast"/>
              <w:contextualSpacing/>
              <w:jc w:val="left"/>
              <w:rPr>
                <w:rFonts w:eastAsiaTheme="minorEastAsia"/>
                <w:kern w:val="0"/>
                <w:szCs w:val="21"/>
              </w:rPr>
            </w:pPr>
          </w:p>
        </w:tc>
        <w:tc>
          <w:tcPr>
            <w:tcW w:w="1134" w:type="dxa"/>
            <w:vAlign w:val="center"/>
          </w:tcPr>
          <w:p w:rsidR="00F27B2F" w:rsidRPr="00F9522B" w:rsidRDefault="00F27B2F">
            <w:pPr>
              <w:spacing w:line="0" w:lineRule="atLeast"/>
              <w:contextualSpacing/>
              <w:jc w:val="center"/>
              <w:rPr>
                <w:rFonts w:eastAsiaTheme="minorEastAsia"/>
                <w:kern w:val="0"/>
                <w:szCs w:val="21"/>
              </w:rPr>
            </w:pPr>
            <w:r w:rsidRPr="00F9522B">
              <w:rPr>
                <w:rFonts w:eastAsiaTheme="minorEastAsia"/>
                <w:kern w:val="0"/>
                <w:szCs w:val="21"/>
              </w:rPr>
              <w:t>钠</w:t>
            </w:r>
          </w:p>
        </w:tc>
        <w:tc>
          <w:tcPr>
            <w:tcW w:w="992" w:type="dxa"/>
            <w:vMerge/>
            <w:vAlign w:val="center"/>
          </w:tcPr>
          <w:p w:rsidR="00F27B2F" w:rsidRPr="00F9522B" w:rsidRDefault="00F27B2F">
            <w:pPr>
              <w:spacing w:line="0" w:lineRule="atLeast"/>
              <w:contextualSpacing/>
              <w:rPr>
                <w:rFonts w:eastAsiaTheme="minorEastAsia"/>
                <w:szCs w:val="21"/>
              </w:rPr>
            </w:pPr>
          </w:p>
        </w:tc>
        <w:tc>
          <w:tcPr>
            <w:tcW w:w="3130" w:type="dxa"/>
            <w:vAlign w:val="center"/>
          </w:tcPr>
          <w:p w:rsidR="00F27B2F" w:rsidRPr="00F9522B" w:rsidRDefault="00F27B2F">
            <w:pPr>
              <w:spacing w:line="0" w:lineRule="atLeast"/>
              <w:contextualSpacing/>
              <w:jc w:val="center"/>
              <w:rPr>
                <w:rFonts w:eastAsiaTheme="minorEastAsia"/>
                <w:kern w:val="0"/>
                <w:szCs w:val="21"/>
              </w:rPr>
            </w:pPr>
            <w:r w:rsidRPr="00F9522B">
              <w:rPr>
                <w:rFonts w:eastAsiaTheme="minorEastAsia"/>
                <w:kern w:val="0"/>
                <w:szCs w:val="21"/>
              </w:rPr>
              <w:t>≤200</w:t>
            </w:r>
          </w:p>
        </w:tc>
      </w:tr>
      <w:tr w:rsidR="002A5A5E" w:rsidRPr="00F9522B" w:rsidTr="009E72CC">
        <w:trPr>
          <w:trHeight w:val="33"/>
          <w:jc w:val="center"/>
        </w:trPr>
        <w:tc>
          <w:tcPr>
            <w:tcW w:w="654" w:type="dxa"/>
            <w:vMerge/>
            <w:vAlign w:val="center"/>
          </w:tcPr>
          <w:p w:rsidR="002A5A5E" w:rsidRPr="00F9522B" w:rsidRDefault="002A5A5E">
            <w:pPr>
              <w:widowControl/>
              <w:spacing w:line="0" w:lineRule="atLeast"/>
              <w:contextualSpacing/>
              <w:jc w:val="left"/>
              <w:rPr>
                <w:rFonts w:eastAsiaTheme="minorEastAsia"/>
                <w:kern w:val="0"/>
                <w:szCs w:val="21"/>
              </w:rPr>
            </w:pPr>
          </w:p>
        </w:tc>
        <w:tc>
          <w:tcPr>
            <w:tcW w:w="2269" w:type="dxa"/>
            <w:vMerge/>
            <w:vAlign w:val="center"/>
          </w:tcPr>
          <w:p w:rsidR="002A5A5E" w:rsidRPr="00F9522B" w:rsidRDefault="002A5A5E">
            <w:pPr>
              <w:widowControl/>
              <w:spacing w:line="0" w:lineRule="atLeast"/>
              <w:contextualSpacing/>
              <w:jc w:val="left"/>
              <w:rPr>
                <w:rFonts w:eastAsiaTheme="minorEastAsia"/>
                <w:kern w:val="0"/>
                <w:szCs w:val="21"/>
              </w:rPr>
            </w:pPr>
          </w:p>
        </w:tc>
        <w:tc>
          <w:tcPr>
            <w:tcW w:w="1134" w:type="dxa"/>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kern w:val="0"/>
                <w:szCs w:val="21"/>
              </w:rPr>
              <w:t>总大肠菌群</w:t>
            </w:r>
          </w:p>
        </w:tc>
        <w:tc>
          <w:tcPr>
            <w:tcW w:w="992" w:type="dxa"/>
            <w:vAlign w:val="center"/>
          </w:tcPr>
          <w:p w:rsidR="002A5A5E" w:rsidRPr="00F9522B" w:rsidRDefault="00611CBA">
            <w:pPr>
              <w:widowControl/>
              <w:spacing w:line="0" w:lineRule="atLeast"/>
              <w:contextualSpacing/>
              <w:jc w:val="center"/>
              <w:rPr>
                <w:rFonts w:eastAsiaTheme="minorEastAsia"/>
                <w:kern w:val="0"/>
                <w:szCs w:val="21"/>
              </w:rPr>
            </w:pPr>
            <w:r w:rsidRPr="00F9522B">
              <w:rPr>
                <w:rFonts w:eastAsiaTheme="minorEastAsia"/>
                <w:kern w:val="0"/>
                <w:szCs w:val="21"/>
              </w:rPr>
              <w:t>MPN/100mL</w:t>
            </w:r>
          </w:p>
        </w:tc>
        <w:tc>
          <w:tcPr>
            <w:tcW w:w="3130" w:type="dxa"/>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kern w:val="0"/>
                <w:szCs w:val="21"/>
              </w:rPr>
              <w:t>≤3.0</w:t>
            </w:r>
          </w:p>
        </w:tc>
      </w:tr>
      <w:tr w:rsidR="002A5A5E" w:rsidRPr="00F9522B" w:rsidTr="009E72CC">
        <w:trPr>
          <w:trHeight w:val="33"/>
          <w:jc w:val="center"/>
        </w:trPr>
        <w:tc>
          <w:tcPr>
            <w:tcW w:w="654" w:type="dxa"/>
            <w:vMerge/>
            <w:vAlign w:val="center"/>
          </w:tcPr>
          <w:p w:rsidR="002A5A5E" w:rsidRPr="00F9522B" w:rsidRDefault="002A5A5E">
            <w:pPr>
              <w:widowControl/>
              <w:spacing w:line="0" w:lineRule="atLeast"/>
              <w:contextualSpacing/>
              <w:jc w:val="left"/>
              <w:rPr>
                <w:rFonts w:eastAsiaTheme="minorEastAsia"/>
                <w:kern w:val="0"/>
                <w:szCs w:val="21"/>
              </w:rPr>
            </w:pPr>
          </w:p>
        </w:tc>
        <w:tc>
          <w:tcPr>
            <w:tcW w:w="2269" w:type="dxa"/>
            <w:vMerge/>
            <w:vAlign w:val="center"/>
          </w:tcPr>
          <w:p w:rsidR="002A5A5E" w:rsidRPr="00F9522B" w:rsidRDefault="002A5A5E">
            <w:pPr>
              <w:widowControl/>
              <w:spacing w:line="0" w:lineRule="atLeast"/>
              <w:contextualSpacing/>
              <w:jc w:val="left"/>
              <w:rPr>
                <w:rFonts w:eastAsiaTheme="minorEastAsia"/>
                <w:kern w:val="0"/>
                <w:szCs w:val="21"/>
              </w:rPr>
            </w:pPr>
          </w:p>
        </w:tc>
        <w:tc>
          <w:tcPr>
            <w:tcW w:w="1134" w:type="dxa"/>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kern w:val="0"/>
                <w:szCs w:val="21"/>
              </w:rPr>
              <w:t>细菌总数</w:t>
            </w:r>
          </w:p>
        </w:tc>
        <w:tc>
          <w:tcPr>
            <w:tcW w:w="992" w:type="dxa"/>
            <w:vAlign w:val="center"/>
          </w:tcPr>
          <w:p w:rsidR="002A5A5E" w:rsidRPr="00F9522B" w:rsidRDefault="00611CBA">
            <w:pPr>
              <w:widowControl/>
              <w:spacing w:line="0" w:lineRule="atLeast"/>
              <w:contextualSpacing/>
              <w:jc w:val="center"/>
              <w:rPr>
                <w:rFonts w:eastAsiaTheme="minorEastAsia"/>
                <w:kern w:val="0"/>
                <w:szCs w:val="21"/>
              </w:rPr>
            </w:pPr>
            <w:r w:rsidRPr="00F9522B">
              <w:rPr>
                <w:rFonts w:eastAsiaTheme="minorEastAsia"/>
                <w:kern w:val="0"/>
                <w:szCs w:val="21"/>
              </w:rPr>
              <w:t>CFU/mL</w:t>
            </w:r>
          </w:p>
        </w:tc>
        <w:tc>
          <w:tcPr>
            <w:tcW w:w="3130" w:type="dxa"/>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kern w:val="0"/>
                <w:szCs w:val="21"/>
              </w:rPr>
              <w:t>≤100</w:t>
            </w:r>
          </w:p>
        </w:tc>
      </w:tr>
      <w:tr w:rsidR="002A5A5E" w:rsidRPr="00F9522B" w:rsidTr="009E72CC">
        <w:trPr>
          <w:trHeight w:val="33"/>
          <w:jc w:val="center"/>
        </w:trPr>
        <w:tc>
          <w:tcPr>
            <w:tcW w:w="654" w:type="dxa"/>
            <w:vMerge/>
            <w:vAlign w:val="center"/>
          </w:tcPr>
          <w:p w:rsidR="002A5A5E" w:rsidRPr="00F9522B" w:rsidRDefault="002A5A5E">
            <w:pPr>
              <w:widowControl/>
              <w:spacing w:line="0" w:lineRule="atLeast"/>
              <w:contextualSpacing/>
              <w:jc w:val="left"/>
              <w:rPr>
                <w:rFonts w:eastAsiaTheme="minorEastAsia"/>
                <w:kern w:val="0"/>
                <w:szCs w:val="21"/>
              </w:rPr>
            </w:pPr>
          </w:p>
        </w:tc>
        <w:tc>
          <w:tcPr>
            <w:tcW w:w="2269" w:type="dxa"/>
            <w:vAlign w:val="center"/>
          </w:tcPr>
          <w:p w:rsidR="002A5A5E" w:rsidRPr="00F9522B" w:rsidRDefault="00611CBA">
            <w:pPr>
              <w:widowControl/>
              <w:spacing w:line="0" w:lineRule="atLeast"/>
              <w:contextualSpacing/>
              <w:jc w:val="center"/>
              <w:rPr>
                <w:rFonts w:eastAsiaTheme="minorEastAsia"/>
                <w:kern w:val="0"/>
                <w:szCs w:val="21"/>
              </w:rPr>
            </w:pPr>
            <w:r w:rsidRPr="00F9522B">
              <w:rPr>
                <w:rFonts w:eastAsiaTheme="minorEastAsia"/>
                <w:kern w:val="0"/>
                <w:szCs w:val="21"/>
              </w:rPr>
              <w:t>参照《地表水环境质量标准》（</w:t>
            </w:r>
            <w:r w:rsidRPr="00F9522B">
              <w:rPr>
                <w:rFonts w:eastAsiaTheme="minorEastAsia"/>
                <w:kern w:val="0"/>
                <w:szCs w:val="21"/>
              </w:rPr>
              <w:t>GB3838-2002</w:t>
            </w:r>
            <w:r w:rsidRPr="00F9522B">
              <w:rPr>
                <w:rFonts w:eastAsiaTheme="minorEastAsia"/>
                <w:kern w:val="0"/>
                <w:szCs w:val="21"/>
              </w:rPr>
              <w:t>）</w:t>
            </w:r>
            <w:r w:rsidR="005273A1" w:rsidRPr="004B63C1">
              <w:rPr>
                <w:rFonts w:eastAsiaTheme="minorEastAsia"/>
                <w:bCs/>
                <w:kern w:val="0"/>
                <w:szCs w:val="21"/>
              </w:rPr>
              <w:fldChar w:fldCharType="begin"/>
            </w:r>
            <w:r w:rsidR="004B63C1" w:rsidRPr="004B63C1">
              <w:rPr>
                <w:rFonts w:eastAsiaTheme="minorEastAsia"/>
                <w:bCs/>
                <w:kern w:val="0"/>
                <w:szCs w:val="21"/>
              </w:rPr>
              <w:instrText xml:space="preserve"> </w:instrText>
            </w:r>
            <w:r w:rsidR="004B63C1" w:rsidRPr="004B63C1">
              <w:rPr>
                <w:rFonts w:eastAsiaTheme="minorEastAsia" w:hint="eastAsia"/>
                <w:bCs/>
                <w:kern w:val="0"/>
                <w:szCs w:val="21"/>
              </w:rPr>
              <w:instrText>= 2 \* ROMAN</w:instrText>
            </w:r>
            <w:r w:rsidR="004B63C1" w:rsidRPr="004B63C1">
              <w:rPr>
                <w:rFonts w:eastAsiaTheme="minorEastAsia"/>
                <w:bCs/>
                <w:kern w:val="0"/>
                <w:szCs w:val="21"/>
              </w:rPr>
              <w:instrText xml:space="preserve"> </w:instrText>
            </w:r>
            <w:r w:rsidR="005273A1" w:rsidRPr="004B63C1">
              <w:rPr>
                <w:rFonts w:eastAsiaTheme="minorEastAsia"/>
                <w:bCs/>
                <w:kern w:val="0"/>
                <w:szCs w:val="21"/>
              </w:rPr>
              <w:fldChar w:fldCharType="separate"/>
            </w:r>
            <w:r w:rsidR="004B63C1" w:rsidRPr="004B63C1">
              <w:rPr>
                <w:rFonts w:eastAsiaTheme="minorEastAsia"/>
                <w:bCs/>
                <w:kern w:val="0"/>
                <w:szCs w:val="21"/>
              </w:rPr>
              <w:t>II</w:t>
            </w:r>
            <w:r w:rsidR="005273A1" w:rsidRPr="004B63C1">
              <w:rPr>
                <w:rFonts w:eastAsiaTheme="minorEastAsia"/>
                <w:bCs/>
                <w:kern w:val="0"/>
                <w:szCs w:val="21"/>
              </w:rPr>
              <w:fldChar w:fldCharType="end"/>
            </w:r>
            <w:r w:rsidRPr="00F9522B">
              <w:rPr>
                <w:rFonts w:eastAsiaTheme="minorEastAsia"/>
                <w:kern w:val="0"/>
                <w:szCs w:val="21"/>
              </w:rPr>
              <w:t>类</w:t>
            </w:r>
          </w:p>
        </w:tc>
        <w:tc>
          <w:tcPr>
            <w:tcW w:w="1134" w:type="dxa"/>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kern w:val="0"/>
                <w:szCs w:val="21"/>
              </w:rPr>
              <w:t>石油类</w:t>
            </w:r>
          </w:p>
        </w:tc>
        <w:tc>
          <w:tcPr>
            <w:tcW w:w="992" w:type="dxa"/>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kern w:val="0"/>
                <w:szCs w:val="21"/>
              </w:rPr>
              <w:t>mg/L</w:t>
            </w:r>
          </w:p>
        </w:tc>
        <w:tc>
          <w:tcPr>
            <w:tcW w:w="3130" w:type="dxa"/>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snapToGrid w:val="0"/>
                <w:szCs w:val="21"/>
              </w:rPr>
              <w:t>≤0.05</w:t>
            </w:r>
          </w:p>
        </w:tc>
      </w:tr>
    </w:tbl>
    <w:p w:rsidR="002A5A5E" w:rsidRPr="00F9522B" w:rsidRDefault="00046565" w:rsidP="00046565">
      <w:pPr>
        <w:tabs>
          <w:tab w:val="right" w:leader="dot" w:pos="8505"/>
        </w:tabs>
        <w:spacing w:line="360" w:lineRule="auto"/>
        <w:ind w:firstLineChars="200" w:firstLine="480"/>
        <w:rPr>
          <w:rFonts w:eastAsiaTheme="minorEastAsia"/>
          <w:sz w:val="24"/>
        </w:rPr>
      </w:pPr>
      <w:r w:rsidRPr="00F9522B">
        <w:rPr>
          <w:rFonts w:eastAsiaTheme="minorEastAsia"/>
          <w:color w:val="FF0000"/>
          <w:sz w:val="24"/>
        </w:rPr>
        <w:t>参照《环境影响评价技术导则</w:t>
      </w:r>
      <w:r w:rsidRPr="00F9522B">
        <w:rPr>
          <w:rFonts w:eastAsiaTheme="minorEastAsia"/>
          <w:color w:val="FF0000"/>
          <w:sz w:val="24"/>
        </w:rPr>
        <w:t xml:space="preserve"> </w:t>
      </w:r>
      <w:r w:rsidRPr="00F9522B">
        <w:rPr>
          <w:rFonts w:eastAsiaTheme="minorEastAsia"/>
          <w:color w:val="FF0000"/>
          <w:sz w:val="24"/>
        </w:rPr>
        <w:t>地表水环境》（</w:t>
      </w:r>
      <w:r w:rsidRPr="00F9522B">
        <w:rPr>
          <w:rFonts w:eastAsiaTheme="minorEastAsia"/>
          <w:color w:val="FF0000"/>
          <w:sz w:val="24"/>
        </w:rPr>
        <w:t>HJ2.3-2018</w:t>
      </w:r>
      <w:r w:rsidRPr="00F9522B">
        <w:rPr>
          <w:rFonts w:eastAsiaTheme="minorEastAsia"/>
          <w:color w:val="FF0000"/>
          <w:sz w:val="24"/>
        </w:rPr>
        <w:t>）中</w:t>
      </w:r>
      <w:r w:rsidRPr="00F9522B">
        <w:rPr>
          <w:rFonts w:eastAsiaTheme="minorEastAsia"/>
          <w:color w:val="FF0000"/>
          <w:sz w:val="24"/>
        </w:rPr>
        <w:t>D.2.2</w:t>
      </w:r>
      <w:r w:rsidRPr="00F9522B">
        <w:rPr>
          <w:rFonts w:eastAsiaTheme="minorEastAsia"/>
          <w:color w:val="FF0000"/>
          <w:sz w:val="24"/>
        </w:rPr>
        <w:t>，底泥污染评价标准值或参考值可以根据土壤环境质量标准或所在水域底泥的背景值，确定底泥污染评价标准值或参考值。故</w:t>
      </w:r>
      <w:r w:rsidR="00611CBA" w:rsidRPr="00F9522B">
        <w:rPr>
          <w:rFonts w:eastAsiaTheme="minorEastAsia"/>
          <w:color w:val="FF0000"/>
          <w:sz w:val="24"/>
        </w:rPr>
        <w:t>本项目排水沟底泥监测标准</w:t>
      </w:r>
      <w:r w:rsidRPr="00F9522B">
        <w:rPr>
          <w:rFonts w:eastAsiaTheme="minorEastAsia"/>
          <w:color w:val="FF0000"/>
          <w:sz w:val="24"/>
        </w:rPr>
        <w:t>参考《土壤环境质量农用地土壤污染风险管控标准（试行）》（</w:t>
      </w:r>
      <w:r w:rsidRPr="00F9522B">
        <w:rPr>
          <w:rFonts w:eastAsiaTheme="minorEastAsia"/>
          <w:color w:val="FF0000"/>
          <w:sz w:val="24"/>
        </w:rPr>
        <w:t>GB15618-2018</w:t>
      </w:r>
      <w:r w:rsidRPr="00F9522B">
        <w:rPr>
          <w:rFonts w:eastAsiaTheme="minorEastAsia"/>
          <w:color w:val="FF0000"/>
          <w:sz w:val="24"/>
        </w:rPr>
        <w:t>）</w:t>
      </w:r>
      <w:r w:rsidR="00F9080B" w:rsidRPr="00F9522B">
        <w:rPr>
          <w:rFonts w:eastAsiaTheme="minorEastAsia"/>
          <w:color w:val="FF0000"/>
          <w:sz w:val="24"/>
        </w:rPr>
        <w:t>。</w:t>
      </w:r>
      <w:r w:rsidR="00611CBA" w:rsidRPr="00F9522B">
        <w:rPr>
          <w:rFonts w:eastAsiaTheme="minorEastAsia"/>
          <w:color w:val="FF0000"/>
          <w:sz w:val="24"/>
        </w:rPr>
        <w:t>见下表。</w:t>
      </w:r>
    </w:p>
    <w:p w:rsidR="002A5A5E" w:rsidRPr="00F9522B" w:rsidRDefault="00611CBA">
      <w:pPr>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2-5-</w:t>
      </w:r>
      <w:r w:rsidR="00046565" w:rsidRPr="00F9522B">
        <w:rPr>
          <w:rFonts w:eastAsiaTheme="minorEastAsia"/>
          <w:b/>
          <w:kern w:val="0"/>
          <w:szCs w:val="21"/>
        </w:rPr>
        <w:t>3</w:t>
      </w:r>
      <w:r w:rsidRPr="00F9522B">
        <w:rPr>
          <w:rFonts w:eastAsiaTheme="minorEastAsia"/>
          <w:b/>
          <w:kern w:val="0"/>
          <w:szCs w:val="21"/>
        </w:rPr>
        <w:t>土壤环境质量农用地土壤污染风险筛选值标准（</w:t>
      </w:r>
      <w:r w:rsidRPr="00F9522B">
        <w:rPr>
          <w:rFonts w:eastAsiaTheme="minorEastAsia"/>
          <w:b/>
          <w:kern w:val="0"/>
          <w:szCs w:val="21"/>
        </w:rPr>
        <w:t>mg/kg</w:t>
      </w:r>
      <w:r w:rsidRPr="00F9522B">
        <w:rPr>
          <w:rFonts w:eastAsiaTheme="minorEastAsia"/>
          <w:b/>
          <w:kern w:val="0"/>
          <w:szCs w:val="21"/>
        </w:rPr>
        <w:t>，</w:t>
      </w:r>
      <w:r w:rsidRPr="00F9522B">
        <w:rPr>
          <w:rFonts w:eastAsiaTheme="minorEastAsia"/>
          <w:b/>
          <w:kern w:val="0"/>
          <w:szCs w:val="21"/>
        </w:rPr>
        <w:t>pH</w:t>
      </w:r>
      <w:r w:rsidRPr="00F9522B">
        <w:rPr>
          <w:rFonts w:eastAsiaTheme="minorEastAsia"/>
          <w:b/>
          <w:kern w:val="0"/>
          <w:szCs w:val="21"/>
        </w:rPr>
        <w:t>除外）</w:t>
      </w:r>
    </w:p>
    <w:tbl>
      <w:tblPr>
        <w:tblW w:w="8122" w:type="dxa"/>
        <w:jc w:val="center"/>
        <w:tblBorders>
          <w:top w:val="single" w:sz="12" w:space="0" w:color="auto"/>
          <w:bottom w:val="single" w:sz="12" w:space="0" w:color="auto"/>
          <w:insideH w:val="single" w:sz="4" w:space="0" w:color="auto"/>
          <w:insideV w:val="single" w:sz="4" w:space="0" w:color="auto"/>
        </w:tblBorders>
        <w:tblLayout w:type="fixed"/>
        <w:tblLook w:val="04A0"/>
      </w:tblPr>
      <w:tblGrid>
        <w:gridCol w:w="2381"/>
        <w:gridCol w:w="1351"/>
        <w:gridCol w:w="1499"/>
        <w:gridCol w:w="1447"/>
        <w:gridCol w:w="1444"/>
      </w:tblGrid>
      <w:tr w:rsidR="002A5A5E" w:rsidRPr="00F9522B">
        <w:trPr>
          <w:trHeight w:val="415"/>
          <w:tblHeader/>
          <w:jc w:val="center"/>
        </w:trPr>
        <w:tc>
          <w:tcPr>
            <w:tcW w:w="2381" w:type="dxa"/>
            <w:vMerge w:val="restart"/>
            <w:tcBorders>
              <w:tl2br w:val="nil"/>
              <w:tr2bl w:val="nil"/>
            </w:tcBorders>
            <w:vAlign w:val="center"/>
          </w:tcPr>
          <w:p w:rsidR="002A5A5E" w:rsidRPr="00F9522B" w:rsidRDefault="005273A1">
            <w:pPr>
              <w:spacing w:line="360" w:lineRule="exact"/>
              <w:jc w:val="center"/>
              <w:rPr>
                <w:rFonts w:eastAsiaTheme="minorEastAsia"/>
                <w:szCs w:val="21"/>
              </w:rPr>
            </w:pPr>
            <w:r>
              <w:rPr>
                <w:rFonts w:eastAsiaTheme="minorEastAsia"/>
                <w:szCs w:val="21"/>
              </w:rPr>
              <w:pict>
                <v:line id="_x0000_s696738" style="position:absolute;left:0;text-align:left;z-index:251704320" from="-3.2pt,1.2pt" to="112.2pt,40pt" o:gfxdata="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AQYc3dkAAAAHAQAADwAAAAAAAAABACAAAAAiAAAAZHJzL2Rvd25yZXYueG1sUEsBAhQAFAAA&#10;AAgAh07iQKeaGCruAQAArgMAAA4AAAAAAAAAAQAgAAAAKAEAAGRycy9lMm9Eb2MueG1sUEsFBgAA&#10;AAAGAAYAWQEAAIgFAAAAAA==&#10;" strokeweight=".25pt"/>
              </w:pict>
            </w:r>
            <w:r w:rsidR="00611CBA" w:rsidRPr="00F9522B">
              <w:rPr>
                <w:rFonts w:eastAsiaTheme="minorEastAsia"/>
                <w:szCs w:val="21"/>
              </w:rPr>
              <w:t xml:space="preserve">       </w:t>
            </w:r>
            <w:r w:rsidR="00611CBA" w:rsidRPr="00F9522B">
              <w:rPr>
                <w:rFonts w:eastAsiaTheme="minorEastAsia"/>
                <w:szCs w:val="21"/>
              </w:rPr>
              <w:t>土壤</w:t>
            </w:r>
            <w:r w:rsidR="00611CBA" w:rsidRPr="00F9522B">
              <w:rPr>
                <w:rFonts w:eastAsiaTheme="minorEastAsia"/>
                <w:szCs w:val="21"/>
              </w:rPr>
              <w:t>pH</w:t>
            </w:r>
            <w:r w:rsidR="00611CBA" w:rsidRPr="00F9522B">
              <w:rPr>
                <w:rFonts w:eastAsiaTheme="minorEastAsia"/>
                <w:szCs w:val="21"/>
              </w:rPr>
              <w:t>值</w:t>
            </w:r>
          </w:p>
          <w:p w:rsidR="002A5A5E" w:rsidRPr="00F9522B" w:rsidRDefault="00611CBA">
            <w:pPr>
              <w:spacing w:line="360" w:lineRule="exact"/>
              <w:ind w:firstLineChars="245" w:firstLine="514"/>
              <w:rPr>
                <w:rFonts w:eastAsiaTheme="minorEastAsia"/>
                <w:szCs w:val="21"/>
              </w:rPr>
            </w:pPr>
            <w:r w:rsidRPr="00F9522B">
              <w:rPr>
                <w:rFonts w:eastAsiaTheme="minorEastAsia"/>
                <w:szCs w:val="21"/>
              </w:rPr>
              <w:t>项目</w:t>
            </w:r>
          </w:p>
        </w:tc>
        <w:tc>
          <w:tcPr>
            <w:tcW w:w="5741" w:type="dxa"/>
            <w:gridSpan w:val="4"/>
            <w:tcBorders>
              <w:tl2br w:val="nil"/>
              <w:tr2bl w:val="nil"/>
            </w:tcBorders>
            <w:vAlign w:val="center"/>
          </w:tcPr>
          <w:p w:rsidR="002A5A5E" w:rsidRPr="00F9522B" w:rsidRDefault="00611CBA">
            <w:pPr>
              <w:spacing w:line="360" w:lineRule="exact"/>
              <w:jc w:val="center"/>
              <w:rPr>
                <w:rFonts w:eastAsiaTheme="minorEastAsia"/>
                <w:szCs w:val="21"/>
              </w:rPr>
            </w:pPr>
            <w:r w:rsidRPr="00F9522B">
              <w:rPr>
                <w:rFonts w:eastAsiaTheme="minorEastAsia"/>
                <w:szCs w:val="21"/>
              </w:rPr>
              <w:t>风险筛选值</w:t>
            </w:r>
          </w:p>
        </w:tc>
      </w:tr>
      <w:tr w:rsidR="002A5A5E" w:rsidRPr="00F9522B">
        <w:trPr>
          <w:trHeight w:val="415"/>
          <w:tblHeader/>
          <w:jc w:val="center"/>
        </w:trPr>
        <w:tc>
          <w:tcPr>
            <w:tcW w:w="2381" w:type="dxa"/>
            <w:vMerge/>
            <w:tcBorders>
              <w:tl2br w:val="nil"/>
              <w:tr2bl w:val="nil"/>
            </w:tcBorders>
            <w:vAlign w:val="center"/>
          </w:tcPr>
          <w:p w:rsidR="002A5A5E" w:rsidRPr="00F9522B" w:rsidRDefault="002A5A5E">
            <w:pPr>
              <w:widowControl/>
              <w:jc w:val="left"/>
              <w:rPr>
                <w:rFonts w:eastAsiaTheme="minorEastAsia"/>
                <w:szCs w:val="21"/>
              </w:rPr>
            </w:pPr>
          </w:p>
        </w:tc>
        <w:tc>
          <w:tcPr>
            <w:tcW w:w="1351" w:type="dxa"/>
            <w:tcBorders>
              <w:tl2br w:val="nil"/>
              <w:tr2bl w:val="nil"/>
            </w:tcBorders>
            <w:vAlign w:val="center"/>
          </w:tcPr>
          <w:p w:rsidR="002A5A5E" w:rsidRPr="00F9522B" w:rsidRDefault="00611CBA">
            <w:pPr>
              <w:spacing w:line="360" w:lineRule="exact"/>
              <w:jc w:val="center"/>
              <w:rPr>
                <w:rFonts w:eastAsiaTheme="minorEastAsia"/>
                <w:szCs w:val="21"/>
              </w:rPr>
            </w:pPr>
            <w:r w:rsidRPr="00F9522B">
              <w:rPr>
                <w:rFonts w:eastAsiaTheme="minorEastAsia"/>
                <w:szCs w:val="21"/>
              </w:rPr>
              <w:t>≤5.5</w:t>
            </w:r>
          </w:p>
        </w:tc>
        <w:tc>
          <w:tcPr>
            <w:tcW w:w="1499" w:type="dxa"/>
            <w:tcBorders>
              <w:tl2br w:val="nil"/>
              <w:tr2bl w:val="nil"/>
            </w:tcBorders>
            <w:vAlign w:val="center"/>
          </w:tcPr>
          <w:p w:rsidR="002A5A5E" w:rsidRPr="00F9522B" w:rsidRDefault="00611CBA">
            <w:pPr>
              <w:spacing w:line="360" w:lineRule="exact"/>
              <w:jc w:val="center"/>
              <w:rPr>
                <w:rFonts w:eastAsiaTheme="minorEastAsia"/>
                <w:szCs w:val="21"/>
              </w:rPr>
            </w:pPr>
            <w:r w:rsidRPr="00F9522B">
              <w:rPr>
                <w:rFonts w:eastAsiaTheme="minorEastAsia"/>
                <w:szCs w:val="21"/>
              </w:rPr>
              <w:t>5.5-6.5</w:t>
            </w:r>
          </w:p>
        </w:tc>
        <w:tc>
          <w:tcPr>
            <w:tcW w:w="1447" w:type="dxa"/>
            <w:tcBorders>
              <w:tl2br w:val="nil"/>
              <w:tr2bl w:val="nil"/>
            </w:tcBorders>
            <w:vAlign w:val="center"/>
          </w:tcPr>
          <w:p w:rsidR="002A5A5E" w:rsidRPr="00F9522B" w:rsidRDefault="00611CBA">
            <w:pPr>
              <w:spacing w:line="360" w:lineRule="exact"/>
              <w:jc w:val="center"/>
              <w:rPr>
                <w:rFonts w:eastAsiaTheme="minorEastAsia"/>
                <w:szCs w:val="21"/>
              </w:rPr>
            </w:pPr>
            <w:r w:rsidRPr="00F9522B">
              <w:rPr>
                <w:rFonts w:eastAsiaTheme="minorEastAsia"/>
                <w:szCs w:val="21"/>
              </w:rPr>
              <w:t>6.5-7.5</w:t>
            </w:r>
          </w:p>
        </w:tc>
        <w:tc>
          <w:tcPr>
            <w:tcW w:w="1444" w:type="dxa"/>
            <w:tcBorders>
              <w:tl2br w:val="nil"/>
              <w:tr2bl w:val="nil"/>
            </w:tcBorders>
            <w:vAlign w:val="center"/>
          </w:tcPr>
          <w:p w:rsidR="002A5A5E" w:rsidRPr="00F9522B" w:rsidRDefault="00611CBA">
            <w:pPr>
              <w:spacing w:line="360" w:lineRule="exact"/>
              <w:jc w:val="center"/>
              <w:rPr>
                <w:rFonts w:eastAsiaTheme="minorEastAsia"/>
                <w:szCs w:val="21"/>
              </w:rPr>
            </w:pPr>
            <w:r w:rsidRPr="00F9522B">
              <w:rPr>
                <w:rFonts w:eastAsiaTheme="minorEastAsia"/>
                <w:szCs w:val="21"/>
              </w:rPr>
              <w:t>＞</w:t>
            </w:r>
            <w:r w:rsidRPr="00F9522B">
              <w:rPr>
                <w:rFonts w:eastAsiaTheme="minorEastAsia"/>
                <w:szCs w:val="21"/>
              </w:rPr>
              <w:t>7.5</w:t>
            </w:r>
          </w:p>
        </w:tc>
      </w:tr>
      <w:tr w:rsidR="002A5A5E" w:rsidRPr="00F9522B">
        <w:trPr>
          <w:trHeight w:val="415"/>
          <w:jc w:val="center"/>
        </w:trPr>
        <w:tc>
          <w:tcPr>
            <w:tcW w:w="2381" w:type="dxa"/>
            <w:tcBorders>
              <w:tl2br w:val="nil"/>
              <w:tr2bl w:val="nil"/>
            </w:tcBorders>
            <w:vAlign w:val="center"/>
          </w:tcPr>
          <w:p w:rsidR="002A5A5E" w:rsidRPr="00F9522B" w:rsidRDefault="00611CBA">
            <w:pPr>
              <w:jc w:val="center"/>
              <w:rPr>
                <w:rFonts w:eastAsiaTheme="minorEastAsia"/>
                <w:szCs w:val="21"/>
              </w:rPr>
            </w:pPr>
            <w:r w:rsidRPr="00F9522B">
              <w:rPr>
                <w:rFonts w:eastAsiaTheme="minorEastAsia"/>
                <w:szCs w:val="21"/>
              </w:rPr>
              <w:t>镉（其他）</w:t>
            </w:r>
          </w:p>
        </w:tc>
        <w:tc>
          <w:tcPr>
            <w:tcW w:w="1351" w:type="dxa"/>
            <w:tcBorders>
              <w:tl2br w:val="nil"/>
              <w:tr2bl w:val="nil"/>
            </w:tcBorders>
            <w:vAlign w:val="center"/>
          </w:tcPr>
          <w:p w:rsidR="002A5A5E" w:rsidRPr="00F9522B" w:rsidRDefault="00611CBA">
            <w:pPr>
              <w:jc w:val="center"/>
              <w:rPr>
                <w:rFonts w:eastAsiaTheme="minorEastAsia"/>
                <w:szCs w:val="21"/>
              </w:rPr>
            </w:pPr>
            <w:r w:rsidRPr="00F9522B">
              <w:rPr>
                <w:rFonts w:eastAsiaTheme="minorEastAsia"/>
                <w:szCs w:val="21"/>
              </w:rPr>
              <w:t>0.3</w:t>
            </w:r>
          </w:p>
        </w:tc>
        <w:tc>
          <w:tcPr>
            <w:tcW w:w="1499" w:type="dxa"/>
            <w:tcBorders>
              <w:tl2br w:val="nil"/>
              <w:tr2bl w:val="nil"/>
            </w:tcBorders>
            <w:vAlign w:val="center"/>
          </w:tcPr>
          <w:p w:rsidR="002A5A5E" w:rsidRPr="00F9522B" w:rsidRDefault="00611CBA">
            <w:pPr>
              <w:jc w:val="center"/>
              <w:rPr>
                <w:rFonts w:eastAsiaTheme="minorEastAsia"/>
                <w:szCs w:val="21"/>
              </w:rPr>
            </w:pPr>
            <w:r w:rsidRPr="00F9522B">
              <w:rPr>
                <w:rFonts w:eastAsiaTheme="minorEastAsia"/>
                <w:szCs w:val="21"/>
              </w:rPr>
              <w:t>0.3</w:t>
            </w:r>
          </w:p>
        </w:tc>
        <w:tc>
          <w:tcPr>
            <w:tcW w:w="1447" w:type="dxa"/>
            <w:tcBorders>
              <w:tl2br w:val="nil"/>
              <w:tr2bl w:val="nil"/>
            </w:tcBorders>
            <w:vAlign w:val="center"/>
          </w:tcPr>
          <w:p w:rsidR="002A5A5E" w:rsidRPr="00F9522B" w:rsidRDefault="00611CBA">
            <w:pPr>
              <w:jc w:val="center"/>
              <w:rPr>
                <w:rFonts w:eastAsiaTheme="minorEastAsia"/>
                <w:szCs w:val="21"/>
              </w:rPr>
            </w:pPr>
            <w:r w:rsidRPr="00F9522B">
              <w:rPr>
                <w:rFonts w:eastAsiaTheme="minorEastAsia"/>
                <w:szCs w:val="21"/>
              </w:rPr>
              <w:t>0.3</w:t>
            </w:r>
          </w:p>
        </w:tc>
        <w:tc>
          <w:tcPr>
            <w:tcW w:w="1444" w:type="dxa"/>
            <w:tcBorders>
              <w:tl2br w:val="nil"/>
              <w:tr2bl w:val="nil"/>
            </w:tcBorders>
            <w:vAlign w:val="center"/>
          </w:tcPr>
          <w:p w:rsidR="002A5A5E" w:rsidRPr="00F9522B" w:rsidRDefault="00611CBA">
            <w:pPr>
              <w:jc w:val="center"/>
              <w:rPr>
                <w:rFonts w:eastAsiaTheme="minorEastAsia"/>
                <w:szCs w:val="21"/>
              </w:rPr>
            </w:pPr>
            <w:r w:rsidRPr="00F9522B">
              <w:rPr>
                <w:rFonts w:eastAsiaTheme="minorEastAsia"/>
                <w:szCs w:val="21"/>
              </w:rPr>
              <w:t>0.6</w:t>
            </w:r>
          </w:p>
        </w:tc>
      </w:tr>
      <w:tr w:rsidR="002A5A5E" w:rsidRPr="00F9522B">
        <w:trPr>
          <w:trHeight w:val="415"/>
          <w:jc w:val="center"/>
        </w:trPr>
        <w:tc>
          <w:tcPr>
            <w:tcW w:w="2381" w:type="dxa"/>
            <w:tcBorders>
              <w:tl2br w:val="nil"/>
              <w:tr2bl w:val="nil"/>
            </w:tcBorders>
            <w:vAlign w:val="center"/>
          </w:tcPr>
          <w:p w:rsidR="002A5A5E" w:rsidRPr="00F9522B" w:rsidRDefault="00611CBA">
            <w:pPr>
              <w:jc w:val="center"/>
              <w:rPr>
                <w:rFonts w:eastAsiaTheme="minorEastAsia"/>
                <w:szCs w:val="21"/>
              </w:rPr>
            </w:pPr>
            <w:r w:rsidRPr="00F9522B">
              <w:rPr>
                <w:rFonts w:eastAsiaTheme="minorEastAsia"/>
                <w:szCs w:val="21"/>
              </w:rPr>
              <w:t>汞（其他）</w:t>
            </w:r>
          </w:p>
        </w:tc>
        <w:tc>
          <w:tcPr>
            <w:tcW w:w="1351" w:type="dxa"/>
            <w:tcBorders>
              <w:tl2br w:val="nil"/>
              <w:tr2bl w:val="nil"/>
            </w:tcBorders>
            <w:vAlign w:val="center"/>
          </w:tcPr>
          <w:p w:rsidR="002A5A5E" w:rsidRPr="00F9522B" w:rsidRDefault="00611CBA">
            <w:pPr>
              <w:jc w:val="center"/>
              <w:rPr>
                <w:rFonts w:eastAsiaTheme="minorEastAsia"/>
                <w:szCs w:val="21"/>
              </w:rPr>
            </w:pPr>
            <w:r w:rsidRPr="00F9522B">
              <w:rPr>
                <w:rFonts w:eastAsiaTheme="minorEastAsia"/>
                <w:szCs w:val="21"/>
              </w:rPr>
              <w:t>1.3</w:t>
            </w:r>
          </w:p>
        </w:tc>
        <w:tc>
          <w:tcPr>
            <w:tcW w:w="1499" w:type="dxa"/>
            <w:tcBorders>
              <w:tl2br w:val="nil"/>
              <w:tr2bl w:val="nil"/>
            </w:tcBorders>
            <w:vAlign w:val="center"/>
          </w:tcPr>
          <w:p w:rsidR="002A5A5E" w:rsidRPr="00F9522B" w:rsidRDefault="00611CBA">
            <w:pPr>
              <w:jc w:val="center"/>
              <w:rPr>
                <w:rFonts w:eastAsiaTheme="minorEastAsia"/>
                <w:szCs w:val="21"/>
              </w:rPr>
            </w:pPr>
            <w:r w:rsidRPr="00F9522B">
              <w:rPr>
                <w:rFonts w:eastAsiaTheme="minorEastAsia"/>
                <w:szCs w:val="21"/>
              </w:rPr>
              <w:t>1.8</w:t>
            </w:r>
          </w:p>
        </w:tc>
        <w:tc>
          <w:tcPr>
            <w:tcW w:w="1447" w:type="dxa"/>
            <w:tcBorders>
              <w:tl2br w:val="nil"/>
              <w:tr2bl w:val="nil"/>
            </w:tcBorders>
            <w:vAlign w:val="center"/>
          </w:tcPr>
          <w:p w:rsidR="002A5A5E" w:rsidRPr="00F9522B" w:rsidRDefault="00611CBA">
            <w:pPr>
              <w:jc w:val="center"/>
              <w:rPr>
                <w:rFonts w:eastAsiaTheme="minorEastAsia"/>
                <w:szCs w:val="21"/>
              </w:rPr>
            </w:pPr>
            <w:r w:rsidRPr="00F9522B">
              <w:rPr>
                <w:rFonts w:eastAsiaTheme="minorEastAsia"/>
                <w:szCs w:val="21"/>
              </w:rPr>
              <w:t>2.4</w:t>
            </w:r>
          </w:p>
        </w:tc>
        <w:tc>
          <w:tcPr>
            <w:tcW w:w="1444" w:type="dxa"/>
            <w:tcBorders>
              <w:tl2br w:val="nil"/>
              <w:tr2bl w:val="nil"/>
            </w:tcBorders>
            <w:vAlign w:val="center"/>
          </w:tcPr>
          <w:p w:rsidR="002A5A5E" w:rsidRPr="00F9522B" w:rsidRDefault="00611CBA">
            <w:pPr>
              <w:jc w:val="center"/>
              <w:rPr>
                <w:rFonts w:eastAsiaTheme="minorEastAsia"/>
                <w:szCs w:val="21"/>
              </w:rPr>
            </w:pPr>
            <w:r w:rsidRPr="00F9522B">
              <w:rPr>
                <w:rFonts w:eastAsiaTheme="minorEastAsia"/>
                <w:szCs w:val="21"/>
              </w:rPr>
              <w:t>3.4</w:t>
            </w:r>
          </w:p>
        </w:tc>
      </w:tr>
      <w:tr w:rsidR="002A5A5E" w:rsidRPr="00F9522B">
        <w:trPr>
          <w:trHeight w:val="415"/>
          <w:jc w:val="center"/>
        </w:trPr>
        <w:tc>
          <w:tcPr>
            <w:tcW w:w="2381" w:type="dxa"/>
            <w:tcBorders>
              <w:tl2br w:val="nil"/>
              <w:tr2bl w:val="nil"/>
            </w:tcBorders>
            <w:vAlign w:val="center"/>
          </w:tcPr>
          <w:p w:rsidR="002A5A5E" w:rsidRPr="00F9522B" w:rsidRDefault="00611CBA">
            <w:pPr>
              <w:jc w:val="center"/>
              <w:rPr>
                <w:rFonts w:eastAsiaTheme="minorEastAsia"/>
                <w:szCs w:val="21"/>
              </w:rPr>
            </w:pPr>
            <w:r w:rsidRPr="00F9522B">
              <w:rPr>
                <w:rFonts w:eastAsiaTheme="minorEastAsia"/>
                <w:szCs w:val="21"/>
              </w:rPr>
              <w:t>砷（其他）</w:t>
            </w:r>
          </w:p>
        </w:tc>
        <w:tc>
          <w:tcPr>
            <w:tcW w:w="1351" w:type="dxa"/>
            <w:tcBorders>
              <w:tl2br w:val="nil"/>
              <w:tr2bl w:val="nil"/>
            </w:tcBorders>
            <w:vAlign w:val="center"/>
          </w:tcPr>
          <w:p w:rsidR="002A5A5E" w:rsidRPr="00F9522B" w:rsidRDefault="00611CBA">
            <w:pPr>
              <w:jc w:val="center"/>
              <w:rPr>
                <w:rFonts w:eastAsiaTheme="minorEastAsia"/>
                <w:szCs w:val="21"/>
              </w:rPr>
            </w:pPr>
            <w:r w:rsidRPr="00F9522B">
              <w:rPr>
                <w:rFonts w:eastAsiaTheme="minorEastAsia"/>
                <w:szCs w:val="21"/>
              </w:rPr>
              <w:t>40</w:t>
            </w:r>
          </w:p>
        </w:tc>
        <w:tc>
          <w:tcPr>
            <w:tcW w:w="1499" w:type="dxa"/>
            <w:tcBorders>
              <w:tl2br w:val="nil"/>
              <w:tr2bl w:val="nil"/>
            </w:tcBorders>
            <w:vAlign w:val="center"/>
          </w:tcPr>
          <w:p w:rsidR="002A5A5E" w:rsidRPr="00F9522B" w:rsidRDefault="00611CBA">
            <w:pPr>
              <w:jc w:val="center"/>
              <w:rPr>
                <w:rFonts w:eastAsiaTheme="minorEastAsia"/>
                <w:szCs w:val="21"/>
              </w:rPr>
            </w:pPr>
            <w:r w:rsidRPr="00F9522B">
              <w:rPr>
                <w:rFonts w:eastAsiaTheme="minorEastAsia"/>
                <w:szCs w:val="21"/>
              </w:rPr>
              <w:t>40</w:t>
            </w:r>
          </w:p>
        </w:tc>
        <w:tc>
          <w:tcPr>
            <w:tcW w:w="1447" w:type="dxa"/>
            <w:tcBorders>
              <w:tl2br w:val="nil"/>
              <w:tr2bl w:val="nil"/>
            </w:tcBorders>
            <w:vAlign w:val="center"/>
          </w:tcPr>
          <w:p w:rsidR="002A5A5E" w:rsidRPr="00F9522B" w:rsidRDefault="00611CBA">
            <w:pPr>
              <w:jc w:val="center"/>
              <w:rPr>
                <w:rFonts w:eastAsiaTheme="minorEastAsia"/>
                <w:szCs w:val="21"/>
              </w:rPr>
            </w:pPr>
            <w:r w:rsidRPr="00F9522B">
              <w:rPr>
                <w:rFonts w:eastAsiaTheme="minorEastAsia"/>
                <w:szCs w:val="21"/>
              </w:rPr>
              <w:t>30</w:t>
            </w:r>
          </w:p>
        </w:tc>
        <w:tc>
          <w:tcPr>
            <w:tcW w:w="1444" w:type="dxa"/>
            <w:tcBorders>
              <w:tl2br w:val="nil"/>
              <w:tr2bl w:val="nil"/>
            </w:tcBorders>
            <w:vAlign w:val="center"/>
          </w:tcPr>
          <w:p w:rsidR="002A5A5E" w:rsidRPr="00F9522B" w:rsidRDefault="00611CBA">
            <w:pPr>
              <w:jc w:val="center"/>
              <w:rPr>
                <w:rFonts w:eastAsiaTheme="minorEastAsia"/>
                <w:szCs w:val="21"/>
              </w:rPr>
            </w:pPr>
            <w:r w:rsidRPr="00F9522B">
              <w:rPr>
                <w:rFonts w:eastAsiaTheme="minorEastAsia"/>
                <w:szCs w:val="21"/>
              </w:rPr>
              <w:t>25</w:t>
            </w:r>
          </w:p>
        </w:tc>
      </w:tr>
      <w:tr w:rsidR="002A5A5E" w:rsidRPr="00F9522B">
        <w:trPr>
          <w:trHeight w:val="415"/>
          <w:jc w:val="center"/>
        </w:trPr>
        <w:tc>
          <w:tcPr>
            <w:tcW w:w="2381" w:type="dxa"/>
            <w:tcBorders>
              <w:tl2br w:val="nil"/>
              <w:tr2bl w:val="nil"/>
            </w:tcBorders>
            <w:vAlign w:val="center"/>
          </w:tcPr>
          <w:p w:rsidR="002A5A5E" w:rsidRPr="00F9522B" w:rsidRDefault="00611CBA">
            <w:pPr>
              <w:jc w:val="center"/>
              <w:rPr>
                <w:rFonts w:eastAsiaTheme="minorEastAsia"/>
                <w:szCs w:val="21"/>
              </w:rPr>
            </w:pPr>
            <w:r w:rsidRPr="00F9522B">
              <w:rPr>
                <w:rFonts w:eastAsiaTheme="minorEastAsia"/>
                <w:szCs w:val="21"/>
              </w:rPr>
              <w:t>铅（其他）</w:t>
            </w:r>
          </w:p>
        </w:tc>
        <w:tc>
          <w:tcPr>
            <w:tcW w:w="1351" w:type="dxa"/>
            <w:tcBorders>
              <w:tl2br w:val="nil"/>
              <w:tr2bl w:val="nil"/>
            </w:tcBorders>
            <w:vAlign w:val="center"/>
          </w:tcPr>
          <w:p w:rsidR="002A5A5E" w:rsidRPr="00F9522B" w:rsidRDefault="00611CBA">
            <w:pPr>
              <w:jc w:val="center"/>
              <w:rPr>
                <w:rFonts w:eastAsiaTheme="minorEastAsia"/>
                <w:szCs w:val="21"/>
              </w:rPr>
            </w:pPr>
            <w:r w:rsidRPr="00F9522B">
              <w:rPr>
                <w:rFonts w:eastAsiaTheme="minorEastAsia"/>
                <w:szCs w:val="21"/>
              </w:rPr>
              <w:t>70</w:t>
            </w:r>
          </w:p>
        </w:tc>
        <w:tc>
          <w:tcPr>
            <w:tcW w:w="1499" w:type="dxa"/>
            <w:tcBorders>
              <w:tl2br w:val="nil"/>
              <w:tr2bl w:val="nil"/>
            </w:tcBorders>
            <w:vAlign w:val="center"/>
          </w:tcPr>
          <w:p w:rsidR="002A5A5E" w:rsidRPr="00F9522B" w:rsidRDefault="00611CBA">
            <w:pPr>
              <w:jc w:val="center"/>
              <w:rPr>
                <w:rFonts w:eastAsiaTheme="minorEastAsia"/>
                <w:szCs w:val="21"/>
              </w:rPr>
            </w:pPr>
            <w:r w:rsidRPr="00F9522B">
              <w:rPr>
                <w:rFonts w:eastAsiaTheme="minorEastAsia"/>
                <w:szCs w:val="21"/>
              </w:rPr>
              <w:t>90</w:t>
            </w:r>
          </w:p>
        </w:tc>
        <w:tc>
          <w:tcPr>
            <w:tcW w:w="1447" w:type="dxa"/>
            <w:tcBorders>
              <w:tl2br w:val="nil"/>
              <w:tr2bl w:val="nil"/>
            </w:tcBorders>
            <w:vAlign w:val="center"/>
          </w:tcPr>
          <w:p w:rsidR="002A5A5E" w:rsidRPr="00F9522B" w:rsidRDefault="00611CBA">
            <w:pPr>
              <w:jc w:val="center"/>
              <w:rPr>
                <w:rFonts w:eastAsiaTheme="minorEastAsia"/>
                <w:szCs w:val="21"/>
              </w:rPr>
            </w:pPr>
            <w:r w:rsidRPr="00F9522B">
              <w:rPr>
                <w:rFonts w:eastAsiaTheme="minorEastAsia"/>
                <w:szCs w:val="21"/>
              </w:rPr>
              <w:t>120</w:t>
            </w:r>
          </w:p>
        </w:tc>
        <w:tc>
          <w:tcPr>
            <w:tcW w:w="1444" w:type="dxa"/>
            <w:tcBorders>
              <w:tl2br w:val="nil"/>
              <w:tr2bl w:val="nil"/>
            </w:tcBorders>
            <w:vAlign w:val="center"/>
          </w:tcPr>
          <w:p w:rsidR="002A5A5E" w:rsidRPr="00F9522B" w:rsidRDefault="00611CBA">
            <w:pPr>
              <w:jc w:val="center"/>
              <w:rPr>
                <w:rFonts w:eastAsiaTheme="minorEastAsia"/>
                <w:szCs w:val="21"/>
              </w:rPr>
            </w:pPr>
            <w:r w:rsidRPr="00F9522B">
              <w:rPr>
                <w:rFonts w:eastAsiaTheme="minorEastAsia"/>
                <w:szCs w:val="21"/>
              </w:rPr>
              <w:t>170</w:t>
            </w:r>
          </w:p>
        </w:tc>
      </w:tr>
      <w:tr w:rsidR="002A5A5E" w:rsidRPr="00F9522B">
        <w:trPr>
          <w:trHeight w:val="415"/>
          <w:jc w:val="center"/>
        </w:trPr>
        <w:tc>
          <w:tcPr>
            <w:tcW w:w="2381" w:type="dxa"/>
            <w:tcBorders>
              <w:tl2br w:val="nil"/>
              <w:tr2bl w:val="nil"/>
            </w:tcBorders>
            <w:vAlign w:val="center"/>
          </w:tcPr>
          <w:p w:rsidR="002A5A5E" w:rsidRPr="00F9522B" w:rsidRDefault="00611CBA">
            <w:pPr>
              <w:jc w:val="center"/>
              <w:rPr>
                <w:rFonts w:eastAsiaTheme="minorEastAsia"/>
                <w:szCs w:val="21"/>
              </w:rPr>
            </w:pPr>
            <w:r w:rsidRPr="00F9522B">
              <w:rPr>
                <w:rFonts w:eastAsiaTheme="minorEastAsia"/>
                <w:szCs w:val="21"/>
              </w:rPr>
              <w:t>铬（其他）</w:t>
            </w:r>
          </w:p>
        </w:tc>
        <w:tc>
          <w:tcPr>
            <w:tcW w:w="1351" w:type="dxa"/>
            <w:tcBorders>
              <w:tl2br w:val="nil"/>
              <w:tr2bl w:val="nil"/>
            </w:tcBorders>
            <w:vAlign w:val="center"/>
          </w:tcPr>
          <w:p w:rsidR="002A5A5E" w:rsidRPr="00F9522B" w:rsidRDefault="00611CBA">
            <w:pPr>
              <w:jc w:val="center"/>
              <w:rPr>
                <w:rFonts w:eastAsiaTheme="minorEastAsia"/>
                <w:szCs w:val="21"/>
              </w:rPr>
            </w:pPr>
            <w:r w:rsidRPr="00F9522B">
              <w:rPr>
                <w:rFonts w:eastAsiaTheme="minorEastAsia"/>
                <w:szCs w:val="21"/>
              </w:rPr>
              <w:t>150</w:t>
            </w:r>
          </w:p>
        </w:tc>
        <w:tc>
          <w:tcPr>
            <w:tcW w:w="1499" w:type="dxa"/>
            <w:tcBorders>
              <w:tl2br w:val="nil"/>
              <w:tr2bl w:val="nil"/>
            </w:tcBorders>
            <w:vAlign w:val="center"/>
          </w:tcPr>
          <w:p w:rsidR="002A5A5E" w:rsidRPr="00F9522B" w:rsidRDefault="00611CBA">
            <w:pPr>
              <w:jc w:val="center"/>
              <w:rPr>
                <w:rFonts w:eastAsiaTheme="minorEastAsia"/>
                <w:szCs w:val="21"/>
              </w:rPr>
            </w:pPr>
            <w:r w:rsidRPr="00F9522B">
              <w:rPr>
                <w:rFonts w:eastAsiaTheme="minorEastAsia"/>
                <w:szCs w:val="21"/>
              </w:rPr>
              <w:t>150</w:t>
            </w:r>
          </w:p>
        </w:tc>
        <w:tc>
          <w:tcPr>
            <w:tcW w:w="1447" w:type="dxa"/>
            <w:tcBorders>
              <w:tl2br w:val="nil"/>
              <w:tr2bl w:val="nil"/>
            </w:tcBorders>
            <w:vAlign w:val="center"/>
          </w:tcPr>
          <w:p w:rsidR="002A5A5E" w:rsidRPr="00F9522B" w:rsidRDefault="00611CBA">
            <w:pPr>
              <w:jc w:val="center"/>
              <w:rPr>
                <w:rFonts w:eastAsiaTheme="minorEastAsia"/>
                <w:szCs w:val="21"/>
              </w:rPr>
            </w:pPr>
            <w:r w:rsidRPr="00F9522B">
              <w:rPr>
                <w:rFonts w:eastAsiaTheme="minorEastAsia"/>
                <w:szCs w:val="21"/>
              </w:rPr>
              <w:t>200</w:t>
            </w:r>
          </w:p>
        </w:tc>
        <w:tc>
          <w:tcPr>
            <w:tcW w:w="1444" w:type="dxa"/>
            <w:tcBorders>
              <w:tl2br w:val="nil"/>
              <w:tr2bl w:val="nil"/>
            </w:tcBorders>
            <w:vAlign w:val="center"/>
          </w:tcPr>
          <w:p w:rsidR="002A5A5E" w:rsidRPr="00F9522B" w:rsidRDefault="00611CBA">
            <w:pPr>
              <w:jc w:val="center"/>
              <w:rPr>
                <w:rFonts w:eastAsiaTheme="minorEastAsia"/>
                <w:szCs w:val="21"/>
              </w:rPr>
            </w:pPr>
            <w:r w:rsidRPr="00F9522B">
              <w:rPr>
                <w:rFonts w:eastAsiaTheme="minorEastAsia"/>
                <w:szCs w:val="21"/>
              </w:rPr>
              <w:t>250</w:t>
            </w:r>
          </w:p>
        </w:tc>
      </w:tr>
      <w:tr w:rsidR="002A5A5E" w:rsidRPr="00F9522B">
        <w:trPr>
          <w:trHeight w:val="415"/>
          <w:jc w:val="center"/>
        </w:trPr>
        <w:tc>
          <w:tcPr>
            <w:tcW w:w="2381" w:type="dxa"/>
            <w:tcBorders>
              <w:tl2br w:val="nil"/>
              <w:tr2bl w:val="nil"/>
            </w:tcBorders>
            <w:vAlign w:val="center"/>
          </w:tcPr>
          <w:p w:rsidR="002A5A5E" w:rsidRPr="00F9522B" w:rsidRDefault="00611CBA">
            <w:pPr>
              <w:jc w:val="center"/>
              <w:rPr>
                <w:rFonts w:eastAsiaTheme="minorEastAsia"/>
                <w:szCs w:val="21"/>
              </w:rPr>
            </w:pPr>
            <w:r w:rsidRPr="00F9522B">
              <w:rPr>
                <w:rFonts w:eastAsiaTheme="minorEastAsia"/>
                <w:szCs w:val="21"/>
              </w:rPr>
              <w:t>铜（其他）</w:t>
            </w:r>
          </w:p>
        </w:tc>
        <w:tc>
          <w:tcPr>
            <w:tcW w:w="1351" w:type="dxa"/>
            <w:tcBorders>
              <w:tl2br w:val="nil"/>
              <w:tr2bl w:val="nil"/>
            </w:tcBorders>
            <w:vAlign w:val="center"/>
          </w:tcPr>
          <w:p w:rsidR="002A5A5E" w:rsidRPr="00F9522B" w:rsidRDefault="00611CBA">
            <w:pPr>
              <w:jc w:val="center"/>
              <w:rPr>
                <w:rFonts w:eastAsiaTheme="minorEastAsia"/>
                <w:szCs w:val="21"/>
              </w:rPr>
            </w:pPr>
            <w:r w:rsidRPr="00F9522B">
              <w:rPr>
                <w:rFonts w:eastAsiaTheme="minorEastAsia"/>
                <w:szCs w:val="21"/>
              </w:rPr>
              <w:t>50</w:t>
            </w:r>
          </w:p>
        </w:tc>
        <w:tc>
          <w:tcPr>
            <w:tcW w:w="1499" w:type="dxa"/>
            <w:tcBorders>
              <w:tl2br w:val="nil"/>
              <w:tr2bl w:val="nil"/>
            </w:tcBorders>
            <w:vAlign w:val="center"/>
          </w:tcPr>
          <w:p w:rsidR="002A5A5E" w:rsidRPr="00F9522B" w:rsidRDefault="00611CBA">
            <w:pPr>
              <w:jc w:val="center"/>
              <w:rPr>
                <w:rFonts w:eastAsiaTheme="minorEastAsia"/>
                <w:szCs w:val="21"/>
              </w:rPr>
            </w:pPr>
            <w:r w:rsidRPr="00F9522B">
              <w:rPr>
                <w:rFonts w:eastAsiaTheme="minorEastAsia"/>
                <w:szCs w:val="21"/>
              </w:rPr>
              <w:t>50</w:t>
            </w:r>
          </w:p>
        </w:tc>
        <w:tc>
          <w:tcPr>
            <w:tcW w:w="1447" w:type="dxa"/>
            <w:tcBorders>
              <w:tl2br w:val="nil"/>
              <w:tr2bl w:val="nil"/>
            </w:tcBorders>
            <w:vAlign w:val="center"/>
          </w:tcPr>
          <w:p w:rsidR="002A5A5E" w:rsidRPr="00F9522B" w:rsidRDefault="00611CBA">
            <w:pPr>
              <w:jc w:val="center"/>
              <w:rPr>
                <w:rFonts w:eastAsiaTheme="minorEastAsia"/>
                <w:szCs w:val="21"/>
              </w:rPr>
            </w:pPr>
            <w:r w:rsidRPr="00F9522B">
              <w:rPr>
                <w:rFonts w:eastAsiaTheme="minorEastAsia"/>
                <w:szCs w:val="21"/>
              </w:rPr>
              <w:t>100</w:t>
            </w:r>
          </w:p>
        </w:tc>
        <w:tc>
          <w:tcPr>
            <w:tcW w:w="1444" w:type="dxa"/>
            <w:tcBorders>
              <w:tl2br w:val="nil"/>
              <w:tr2bl w:val="nil"/>
            </w:tcBorders>
            <w:vAlign w:val="center"/>
          </w:tcPr>
          <w:p w:rsidR="002A5A5E" w:rsidRPr="00F9522B" w:rsidRDefault="00611CBA">
            <w:pPr>
              <w:jc w:val="center"/>
              <w:rPr>
                <w:rFonts w:eastAsiaTheme="minorEastAsia"/>
                <w:szCs w:val="21"/>
              </w:rPr>
            </w:pPr>
            <w:r w:rsidRPr="00F9522B">
              <w:rPr>
                <w:rFonts w:eastAsiaTheme="minorEastAsia"/>
                <w:szCs w:val="21"/>
              </w:rPr>
              <w:t>100</w:t>
            </w:r>
          </w:p>
        </w:tc>
      </w:tr>
      <w:tr w:rsidR="002A5A5E" w:rsidRPr="00F9522B">
        <w:trPr>
          <w:trHeight w:val="415"/>
          <w:jc w:val="center"/>
        </w:trPr>
        <w:tc>
          <w:tcPr>
            <w:tcW w:w="2381" w:type="dxa"/>
            <w:tcBorders>
              <w:tl2br w:val="nil"/>
              <w:tr2bl w:val="nil"/>
            </w:tcBorders>
            <w:vAlign w:val="center"/>
          </w:tcPr>
          <w:p w:rsidR="002A5A5E" w:rsidRPr="00F9522B" w:rsidRDefault="00611CBA">
            <w:pPr>
              <w:jc w:val="center"/>
              <w:rPr>
                <w:rFonts w:eastAsiaTheme="minorEastAsia"/>
                <w:szCs w:val="21"/>
              </w:rPr>
            </w:pPr>
            <w:r w:rsidRPr="00F9522B">
              <w:rPr>
                <w:rFonts w:eastAsiaTheme="minorEastAsia"/>
                <w:szCs w:val="21"/>
              </w:rPr>
              <w:t>镍</w:t>
            </w:r>
          </w:p>
        </w:tc>
        <w:tc>
          <w:tcPr>
            <w:tcW w:w="1351" w:type="dxa"/>
            <w:tcBorders>
              <w:tl2br w:val="nil"/>
              <w:tr2bl w:val="nil"/>
            </w:tcBorders>
            <w:vAlign w:val="center"/>
          </w:tcPr>
          <w:p w:rsidR="002A5A5E" w:rsidRPr="00F9522B" w:rsidRDefault="00611CBA">
            <w:pPr>
              <w:jc w:val="center"/>
              <w:rPr>
                <w:rFonts w:eastAsiaTheme="minorEastAsia"/>
                <w:szCs w:val="21"/>
              </w:rPr>
            </w:pPr>
            <w:r w:rsidRPr="00F9522B">
              <w:rPr>
                <w:rFonts w:eastAsiaTheme="minorEastAsia"/>
                <w:szCs w:val="21"/>
              </w:rPr>
              <w:t>60</w:t>
            </w:r>
          </w:p>
        </w:tc>
        <w:tc>
          <w:tcPr>
            <w:tcW w:w="1499" w:type="dxa"/>
            <w:tcBorders>
              <w:tl2br w:val="nil"/>
              <w:tr2bl w:val="nil"/>
            </w:tcBorders>
            <w:vAlign w:val="center"/>
          </w:tcPr>
          <w:p w:rsidR="002A5A5E" w:rsidRPr="00F9522B" w:rsidRDefault="00611CBA">
            <w:pPr>
              <w:jc w:val="center"/>
              <w:rPr>
                <w:rFonts w:eastAsiaTheme="minorEastAsia"/>
                <w:szCs w:val="21"/>
              </w:rPr>
            </w:pPr>
            <w:r w:rsidRPr="00F9522B">
              <w:rPr>
                <w:rFonts w:eastAsiaTheme="minorEastAsia"/>
                <w:szCs w:val="21"/>
              </w:rPr>
              <w:t>70</w:t>
            </w:r>
          </w:p>
        </w:tc>
        <w:tc>
          <w:tcPr>
            <w:tcW w:w="1447" w:type="dxa"/>
            <w:tcBorders>
              <w:tl2br w:val="nil"/>
              <w:tr2bl w:val="nil"/>
            </w:tcBorders>
            <w:vAlign w:val="center"/>
          </w:tcPr>
          <w:p w:rsidR="002A5A5E" w:rsidRPr="00F9522B" w:rsidRDefault="00611CBA">
            <w:pPr>
              <w:jc w:val="center"/>
              <w:rPr>
                <w:rFonts w:eastAsiaTheme="minorEastAsia"/>
                <w:szCs w:val="21"/>
              </w:rPr>
            </w:pPr>
            <w:r w:rsidRPr="00F9522B">
              <w:rPr>
                <w:rFonts w:eastAsiaTheme="minorEastAsia"/>
                <w:szCs w:val="21"/>
              </w:rPr>
              <w:t>100</w:t>
            </w:r>
          </w:p>
        </w:tc>
        <w:tc>
          <w:tcPr>
            <w:tcW w:w="1444" w:type="dxa"/>
            <w:tcBorders>
              <w:tl2br w:val="nil"/>
              <w:tr2bl w:val="nil"/>
            </w:tcBorders>
            <w:vAlign w:val="center"/>
          </w:tcPr>
          <w:p w:rsidR="002A5A5E" w:rsidRPr="00F9522B" w:rsidRDefault="00611CBA">
            <w:pPr>
              <w:jc w:val="center"/>
              <w:rPr>
                <w:rFonts w:eastAsiaTheme="minorEastAsia"/>
                <w:szCs w:val="21"/>
              </w:rPr>
            </w:pPr>
            <w:r w:rsidRPr="00F9522B">
              <w:rPr>
                <w:rFonts w:eastAsiaTheme="minorEastAsia"/>
                <w:szCs w:val="21"/>
              </w:rPr>
              <w:t>190</w:t>
            </w:r>
          </w:p>
        </w:tc>
      </w:tr>
      <w:tr w:rsidR="002A5A5E" w:rsidRPr="00F9522B">
        <w:trPr>
          <w:trHeight w:val="415"/>
          <w:jc w:val="center"/>
        </w:trPr>
        <w:tc>
          <w:tcPr>
            <w:tcW w:w="2381" w:type="dxa"/>
            <w:tcBorders>
              <w:tl2br w:val="nil"/>
              <w:tr2bl w:val="nil"/>
            </w:tcBorders>
            <w:vAlign w:val="center"/>
          </w:tcPr>
          <w:p w:rsidR="002A5A5E" w:rsidRPr="00F9522B" w:rsidRDefault="00611CBA">
            <w:pPr>
              <w:jc w:val="center"/>
              <w:rPr>
                <w:rFonts w:eastAsiaTheme="minorEastAsia"/>
                <w:szCs w:val="21"/>
              </w:rPr>
            </w:pPr>
            <w:r w:rsidRPr="00F9522B">
              <w:rPr>
                <w:rFonts w:eastAsiaTheme="minorEastAsia"/>
                <w:szCs w:val="21"/>
              </w:rPr>
              <w:t>锌</w:t>
            </w:r>
          </w:p>
        </w:tc>
        <w:tc>
          <w:tcPr>
            <w:tcW w:w="1351" w:type="dxa"/>
            <w:tcBorders>
              <w:tl2br w:val="nil"/>
              <w:tr2bl w:val="nil"/>
            </w:tcBorders>
            <w:vAlign w:val="center"/>
          </w:tcPr>
          <w:p w:rsidR="002A5A5E" w:rsidRPr="00F9522B" w:rsidRDefault="00611CBA">
            <w:pPr>
              <w:jc w:val="center"/>
              <w:rPr>
                <w:rFonts w:eastAsiaTheme="minorEastAsia"/>
                <w:szCs w:val="21"/>
              </w:rPr>
            </w:pPr>
            <w:r w:rsidRPr="00F9522B">
              <w:rPr>
                <w:rFonts w:eastAsiaTheme="minorEastAsia"/>
                <w:szCs w:val="21"/>
              </w:rPr>
              <w:t>200</w:t>
            </w:r>
          </w:p>
        </w:tc>
        <w:tc>
          <w:tcPr>
            <w:tcW w:w="1499" w:type="dxa"/>
            <w:tcBorders>
              <w:tl2br w:val="nil"/>
              <w:tr2bl w:val="nil"/>
            </w:tcBorders>
            <w:vAlign w:val="center"/>
          </w:tcPr>
          <w:p w:rsidR="002A5A5E" w:rsidRPr="00F9522B" w:rsidRDefault="00611CBA">
            <w:pPr>
              <w:jc w:val="center"/>
              <w:rPr>
                <w:rFonts w:eastAsiaTheme="minorEastAsia"/>
                <w:szCs w:val="21"/>
              </w:rPr>
            </w:pPr>
            <w:r w:rsidRPr="00F9522B">
              <w:rPr>
                <w:rFonts w:eastAsiaTheme="minorEastAsia"/>
                <w:szCs w:val="21"/>
              </w:rPr>
              <w:t>200</w:t>
            </w:r>
          </w:p>
        </w:tc>
        <w:tc>
          <w:tcPr>
            <w:tcW w:w="1447" w:type="dxa"/>
            <w:tcBorders>
              <w:tl2br w:val="nil"/>
              <w:tr2bl w:val="nil"/>
            </w:tcBorders>
            <w:vAlign w:val="center"/>
          </w:tcPr>
          <w:p w:rsidR="002A5A5E" w:rsidRPr="00F9522B" w:rsidRDefault="00611CBA">
            <w:pPr>
              <w:jc w:val="center"/>
              <w:rPr>
                <w:rFonts w:eastAsiaTheme="minorEastAsia"/>
                <w:szCs w:val="21"/>
              </w:rPr>
            </w:pPr>
            <w:r w:rsidRPr="00F9522B">
              <w:rPr>
                <w:rFonts w:eastAsiaTheme="minorEastAsia"/>
                <w:szCs w:val="21"/>
              </w:rPr>
              <w:t>250</w:t>
            </w:r>
          </w:p>
        </w:tc>
        <w:tc>
          <w:tcPr>
            <w:tcW w:w="1444" w:type="dxa"/>
            <w:tcBorders>
              <w:tl2br w:val="nil"/>
              <w:tr2bl w:val="nil"/>
            </w:tcBorders>
            <w:vAlign w:val="center"/>
          </w:tcPr>
          <w:p w:rsidR="002A5A5E" w:rsidRPr="00F9522B" w:rsidRDefault="00611CBA">
            <w:pPr>
              <w:jc w:val="center"/>
              <w:rPr>
                <w:rFonts w:eastAsiaTheme="minorEastAsia"/>
                <w:szCs w:val="21"/>
              </w:rPr>
            </w:pPr>
            <w:r w:rsidRPr="00F9522B">
              <w:rPr>
                <w:rFonts w:eastAsiaTheme="minorEastAsia"/>
                <w:szCs w:val="21"/>
              </w:rPr>
              <w:t>300</w:t>
            </w:r>
          </w:p>
        </w:tc>
      </w:tr>
      <w:tr w:rsidR="002A5A5E" w:rsidRPr="00F9522B">
        <w:trPr>
          <w:trHeight w:val="415"/>
          <w:jc w:val="center"/>
        </w:trPr>
        <w:tc>
          <w:tcPr>
            <w:tcW w:w="2381" w:type="dxa"/>
            <w:tcBorders>
              <w:tl2br w:val="nil"/>
              <w:tr2bl w:val="nil"/>
            </w:tcBorders>
            <w:vAlign w:val="center"/>
          </w:tcPr>
          <w:p w:rsidR="002A5A5E" w:rsidRPr="00F9522B" w:rsidRDefault="00611CBA">
            <w:pPr>
              <w:jc w:val="center"/>
              <w:rPr>
                <w:rFonts w:eastAsiaTheme="minorEastAsia"/>
                <w:szCs w:val="21"/>
              </w:rPr>
            </w:pPr>
            <w:r w:rsidRPr="00F9522B">
              <w:rPr>
                <w:rFonts w:eastAsiaTheme="minorEastAsia"/>
                <w:szCs w:val="21"/>
              </w:rPr>
              <w:t>六六六总量</w:t>
            </w:r>
          </w:p>
        </w:tc>
        <w:tc>
          <w:tcPr>
            <w:tcW w:w="5741" w:type="dxa"/>
            <w:gridSpan w:val="4"/>
            <w:tcBorders>
              <w:tl2br w:val="nil"/>
              <w:tr2bl w:val="nil"/>
            </w:tcBorders>
            <w:vAlign w:val="center"/>
          </w:tcPr>
          <w:p w:rsidR="002A5A5E" w:rsidRPr="00F9522B" w:rsidRDefault="00611CBA">
            <w:pPr>
              <w:jc w:val="center"/>
              <w:rPr>
                <w:rFonts w:eastAsiaTheme="minorEastAsia"/>
                <w:szCs w:val="21"/>
              </w:rPr>
            </w:pPr>
            <w:r w:rsidRPr="00F9522B">
              <w:rPr>
                <w:rFonts w:eastAsiaTheme="minorEastAsia"/>
                <w:szCs w:val="21"/>
              </w:rPr>
              <w:t>0.10</w:t>
            </w:r>
          </w:p>
        </w:tc>
      </w:tr>
      <w:tr w:rsidR="002A5A5E" w:rsidRPr="00F9522B">
        <w:trPr>
          <w:trHeight w:val="415"/>
          <w:jc w:val="center"/>
        </w:trPr>
        <w:tc>
          <w:tcPr>
            <w:tcW w:w="2381" w:type="dxa"/>
            <w:tcBorders>
              <w:tl2br w:val="nil"/>
              <w:tr2bl w:val="nil"/>
            </w:tcBorders>
            <w:vAlign w:val="center"/>
          </w:tcPr>
          <w:p w:rsidR="002A5A5E" w:rsidRPr="00F9522B" w:rsidRDefault="00611CBA">
            <w:pPr>
              <w:jc w:val="center"/>
              <w:rPr>
                <w:rFonts w:eastAsiaTheme="minorEastAsia"/>
                <w:szCs w:val="21"/>
              </w:rPr>
            </w:pPr>
            <w:r w:rsidRPr="00F9522B">
              <w:rPr>
                <w:rFonts w:eastAsiaTheme="minorEastAsia"/>
                <w:szCs w:val="21"/>
              </w:rPr>
              <w:t>滴滴涕总量</w:t>
            </w:r>
          </w:p>
        </w:tc>
        <w:tc>
          <w:tcPr>
            <w:tcW w:w="5741" w:type="dxa"/>
            <w:gridSpan w:val="4"/>
            <w:tcBorders>
              <w:tl2br w:val="nil"/>
              <w:tr2bl w:val="nil"/>
            </w:tcBorders>
            <w:vAlign w:val="center"/>
          </w:tcPr>
          <w:p w:rsidR="002A5A5E" w:rsidRPr="00F9522B" w:rsidRDefault="00611CBA">
            <w:pPr>
              <w:jc w:val="center"/>
              <w:rPr>
                <w:rFonts w:eastAsiaTheme="minorEastAsia"/>
                <w:szCs w:val="21"/>
              </w:rPr>
            </w:pPr>
            <w:r w:rsidRPr="00F9522B">
              <w:rPr>
                <w:rFonts w:eastAsiaTheme="minorEastAsia"/>
                <w:szCs w:val="21"/>
              </w:rPr>
              <w:t>0.10</w:t>
            </w:r>
          </w:p>
        </w:tc>
      </w:tr>
      <w:tr w:rsidR="007B4AD9" w:rsidRPr="00F9522B">
        <w:trPr>
          <w:trHeight w:val="415"/>
          <w:jc w:val="center"/>
        </w:trPr>
        <w:tc>
          <w:tcPr>
            <w:tcW w:w="2381" w:type="dxa"/>
            <w:tcBorders>
              <w:tl2br w:val="nil"/>
              <w:tr2bl w:val="nil"/>
            </w:tcBorders>
            <w:vAlign w:val="center"/>
          </w:tcPr>
          <w:p w:rsidR="007B4AD9" w:rsidRPr="00F9522B" w:rsidRDefault="007B4AD9">
            <w:pPr>
              <w:jc w:val="center"/>
              <w:rPr>
                <w:rFonts w:eastAsiaTheme="minorEastAsia"/>
                <w:szCs w:val="21"/>
              </w:rPr>
            </w:pPr>
            <w:r w:rsidRPr="00F9522B">
              <w:t>苯并</w:t>
            </w:r>
            <w:r w:rsidRPr="00F9522B">
              <w:t>[a]</w:t>
            </w:r>
            <w:r w:rsidRPr="00F9522B">
              <w:t>芘</w:t>
            </w:r>
          </w:p>
        </w:tc>
        <w:tc>
          <w:tcPr>
            <w:tcW w:w="5741" w:type="dxa"/>
            <w:gridSpan w:val="4"/>
            <w:tcBorders>
              <w:tl2br w:val="nil"/>
              <w:tr2bl w:val="nil"/>
            </w:tcBorders>
            <w:vAlign w:val="center"/>
          </w:tcPr>
          <w:p w:rsidR="007B4AD9" w:rsidRPr="00F9522B" w:rsidRDefault="007B4AD9">
            <w:pPr>
              <w:jc w:val="center"/>
              <w:rPr>
                <w:rFonts w:eastAsiaTheme="minorEastAsia"/>
                <w:szCs w:val="21"/>
              </w:rPr>
            </w:pPr>
            <w:r w:rsidRPr="00F9522B">
              <w:rPr>
                <w:rFonts w:eastAsiaTheme="minorEastAsia"/>
                <w:szCs w:val="21"/>
              </w:rPr>
              <w:t>0.55</w:t>
            </w:r>
          </w:p>
        </w:tc>
      </w:tr>
    </w:tbl>
    <w:p w:rsidR="00046565" w:rsidRPr="00F9522B" w:rsidRDefault="00046565" w:rsidP="00046565">
      <w:pPr>
        <w:tabs>
          <w:tab w:val="right" w:leader="dot" w:pos="8505"/>
        </w:tabs>
        <w:spacing w:line="360" w:lineRule="auto"/>
        <w:ind w:firstLineChars="200" w:firstLine="480"/>
        <w:rPr>
          <w:rFonts w:eastAsiaTheme="minorEastAsia"/>
          <w:sz w:val="24"/>
        </w:rPr>
      </w:pPr>
      <w:r w:rsidRPr="00F9522B">
        <w:rPr>
          <w:rFonts w:eastAsiaTheme="minorEastAsia"/>
          <w:sz w:val="24"/>
        </w:rPr>
        <w:t>G102</w:t>
      </w:r>
      <w:r w:rsidRPr="00F9522B">
        <w:rPr>
          <w:rFonts w:eastAsiaTheme="minorEastAsia"/>
          <w:sz w:val="24"/>
        </w:rPr>
        <w:t>附近村屯区域为</w:t>
      </w:r>
      <w:r w:rsidRPr="00F9522B">
        <w:rPr>
          <w:rFonts w:eastAsiaTheme="minorEastAsia"/>
          <w:sz w:val="24"/>
        </w:rPr>
        <w:t>2</w:t>
      </w:r>
      <w:r w:rsidRPr="00F9522B">
        <w:rPr>
          <w:rFonts w:eastAsiaTheme="minorEastAsia"/>
          <w:sz w:val="24"/>
        </w:rPr>
        <w:t>类区，其余区域为</w:t>
      </w:r>
      <w:r w:rsidRPr="00F9522B">
        <w:rPr>
          <w:rFonts w:eastAsiaTheme="minorEastAsia"/>
          <w:sz w:val="24"/>
        </w:rPr>
        <w:t>1</w:t>
      </w:r>
      <w:r w:rsidRPr="00F9522B">
        <w:rPr>
          <w:rFonts w:eastAsiaTheme="minorEastAsia"/>
          <w:sz w:val="24"/>
        </w:rPr>
        <w:t>类区。</w:t>
      </w:r>
    </w:p>
    <w:p w:rsidR="00046565" w:rsidRPr="00F9522B" w:rsidRDefault="00046565" w:rsidP="00046565">
      <w:pPr>
        <w:widowControl/>
        <w:jc w:val="center"/>
        <w:rPr>
          <w:rFonts w:eastAsiaTheme="minorEastAsia"/>
          <w:b/>
          <w:szCs w:val="21"/>
        </w:rPr>
      </w:pPr>
    </w:p>
    <w:p w:rsidR="00046565" w:rsidRPr="00F9522B" w:rsidRDefault="00046565" w:rsidP="00046565">
      <w:pPr>
        <w:widowControl/>
        <w:jc w:val="center"/>
        <w:rPr>
          <w:rFonts w:eastAsiaTheme="minorEastAsia"/>
          <w:b/>
          <w:szCs w:val="21"/>
        </w:rPr>
      </w:pPr>
    </w:p>
    <w:p w:rsidR="00046565" w:rsidRPr="00F9522B" w:rsidRDefault="00046565" w:rsidP="00046565">
      <w:pPr>
        <w:widowControl/>
        <w:jc w:val="center"/>
        <w:rPr>
          <w:rFonts w:eastAsiaTheme="minorEastAsia"/>
          <w:b/>
          <w:szCs w:val="21"/>
        </w:rPr>
      </w:pPr>
    </w:p>
    <w:p w:rsidR="00046565" w:rsidRPr="00F9522B" w:rsidRDefault="00046565" w:rsidP="00046565">
      <w:pPr>
        <w:widowControl/>
        <w:jc w:val="center"/>
        <w:rPr>
          <w:rFonts w:eastAsiaTheme="minorEastAsia"/>
          <w:b/>
          <w:szCs w:val="21"/>
        </w:rPr>
      </w:pPr>
    </w:p>
    <w:p w:rsidR="00046565" w:rsidRPr="00F9522B" w:rsidRDefault="00046565" w:rsidP="00046565">
      <w:pPr>
        <w:widowControl/>
        <w:jc w:val="center"/>
        <w:rPr>
          <w:rFonts w:eastAsiaTheme="minorEastAsia"/>
          <w:b/>
          <w:szCs w:val="21"/>
        </w:rPr>
      </w:pPr>
    </w:p>
    <w:p w:rsidR="00046565" w:rsidRPr="00F9522B" w:rsidRDefault="00046565" w:rsidP="00046565">
      <w:pPr>
        <w:widowControl/>
        <w:jc w:val="center"/>
        <w:rPr>
          <w:rFonts w:eastAsiaTheme="minorEastAsia"/>
          <w:b/>
          <w:szCs w:val="21"/>
        </w:rPr>
      </w:pPr>
      <w:r w:rsidRPr="00F9522B">
        <w:rPr>
          <w:rFonts w:eastAsiaTheme="minorEastAsia"/>
          <w:b/>
          <w:szCs w:val="21"/>
        </w:rPr>
        <w:lastRenderedPageBreak/>
        <w:t>表</w:t>
      </w:r>
      <w:r w:rsidRPr="00F9522B">
        <w:rPr>
          <w:rFonts w:eastAsiaTheme="minorEastAsia"/>
          <w:b/>
          <w:szCs w:val="21"/>
        </w:rPr>
        <w:t>2-5-4</w:t>
      </w:r>
      <w:r w:rsidRPr="00F9522B">
        <w:rPr>
          <w:rFonts w:eastAsiaTheme="minorEastAsia"/>
          <w:b/>
          <w:szCs w:val="21"/>
        </w:rPr>
        <w:t>声环境质量标准表</w:t>
      </w:r>
    </w:p>
    <w:tbl>
      <w:tblPr>
        <w:tblW w:w="8145" w:type="dxa"/>
        <w:jc w:val="center"/>
        <w:tblBorders>
          <w:top w:val="single" w:sz="12" w:space="0" w:color="auto"/>
          <w:bottom w:val="single" w:sz="12" w:space="0" w:color="auto"/>
          <w:insideH w:val="single" w:sz="6" w:space="0" w:color="auto"/>
          <w:insideV w:val="single" w:sz="6" w:space="0" w:color="auto"/>
        </w:tblBorders>
        <w:tblLayout w:type="fixed"/>
        <w:tblLook w:val="04A0"/>
      </w:tblPr>
      <w:tblGrid>
        <w:gridCol w:w="771"/>
        <w:gridCol w:w="2310"/>
        <w:gridCol w:w="821"/>
        <w:gridCol w:w="654"/>
        <w:gridCol w:w="654"/>
        <w:gridCol w:w="784"/>
        <w:gridCol w:w="2151"/>
      </w:tblGrid>
      <w:tr w:rsidR="00046565" w:rsidRPr="00F9522B" w:rsidTr="005510C6">
        <w:trPr>
          <w:trHeight w:val="297"/>
          <w:jc w:val="center"/>
        </w:trPr>
        <w:tc>
          <w:tcPr>
            <w:tcW w:w="771" w:type="dxa"/>
            <w:vMerge w:val="restart"/>
            <w:vAlign w:val="center"/>
          </w:tcPr>
          <w:p w:rsidR="00046565" w:rsidRPr="00F9522B" w:rsidRDefault="00046565" w:rsidP="005510C6">
            <w:pPr>
              <w:snapToGrid w:val="0"/>
              <w:spacing w:line="0" w:lineRule="atLeast"/>
              <w:jc w:val="center"/>
              <w:rPr>
                <w:rFonts w:eastAsiaTheme="minorEastAsia"/>
                <w:kern w:val="0"/>
                <w:szCs w:val="21"/>
              </w:rPr>
            </w:pPr>
            <w:r w:rsidRPr="00F9522B">
              <w:rPr>
                <w:rFonts w:eastAsiaTheme="minorEastAsia"/>
                <w:kern w:val="0"/>
                <w:szCs w:val="21"/>
              </w:rPr>
              <w:t>环境要素</w:t>
            </w:r>
          </w:p>
        </w:tc>
        <w:tc>
          <w:tcPr>
            <w:tcW w:w="2310" w:type="dxa"/>
            <w:vMerge w:val="restart"/>
            <w:vAlign w:val="center"/>
          </w:tcPr>
          <w:p w:rsidR="00046565" w:rsidRPr="00F9522B" w:rsidRDefault="00046565" w:rsidP="005510C6">
            <w:pPr>
              <w:snapToGrid w:val="0"/>
              <w:spacing w:line="0" w:lineRule="atLeast"/>
              <w:jc w:val="center"/>
              <w:rPr>
                <w:rFonts w:eastAsiaTheme="minorEastAsia"/>
                <w:kern w:val="0"/>
                <w:szCs w:val="21"/>
              </w:rPr>
            </w:pPr>
            <w:r w:rsidRPr="00F9522B">
              <w:rPr>
                <w:rFonts w:eastAsiaTheme="minorEastAsia"/>
                <w:kern w:val="0"/>
                <w:szCs w:val="21"/>
              </w:rPr>
              <w:t>标准名称及级（类）别</w:t>
            </w:r>
          </w:p>
        </w:tc>
        <w:tc>
          <w:tcPr>
            <w:tcW w:w="821" w:type="dxa"/>
            <w:vMerge w:val="restart"/>
            <w:vAlign w:val="center"/>
          </w:tcPr>
          <w:p w:rsidR="00046565" w:rsidRPr="00F9522B" w:rsidRDefault="00046565" w:rsidP="005510C6">
            <w:pPr>
              <w:snapToGrid w:val="0"/>
              <w:spacing w:line="0" w:lineRule="atLeast"/>
              <w:jc w:val="center"/>
              <w:rPr>
                <w:rFonts w:eastAsiaTheme="minorEastAsia"/>
                <w:kern w:val="0"/>
                <w:szCs w:val="21"/>
              </w:rPr>
            </w:pPr>
            <w:r w:rsidRPr="00F9522B">
              <w:rPr>
                <w:rFonts w:eastAsiaTheme="minorEastAsia"/>
                <w:kern w:val="0"/>
                <w:szCs w:val="21"/>
              </w:rPr>
              <w:t>项目</w:t>
            </w:r>
          </w:p>
        </w:tc>
        <w:tc>
          <w:tcPr>
            <w:tcW w:w="2092" w:type="dxa"/>
            <w:gridSpan w:val="3"/>
            <w:vAlign w:val="center"/>
          </w:tcPr>
          <w:p w:rsidR="00046565" w:rsidRPr="00F9522B" w:rsidRDefault="00046565" w:rsidP="005510C6">
            <w:pPr>
              <w:snapToGrid w:val="0"/>
              <w:spacing w:line="0" w:lineRule="atLeast"/>
              <w:jc w:val="center"/>
              <w:rPr>
                <w:rFonts w:eastAsiaTheme="minorEastAsia"/>
                <w:kern w:val="0"/>
                <w:szCs w:val="21"/>
              </w:rPr>
            </w:pPr>
            <w:r w:rsidRPr="00F9522B">
              <w:rPr>
                <w:rFonts w:eastAsiaTheme="minorEastAsia"/>
                <w:kern w:val="0"/>
                <w:szCs w:val="21"/>
              </w:rPr>
              <w:t>标准值</w:t>
            </w:r>
          </w:p>
        </w:tc>
        <w:tc>
          <w:tcPr>
            <w:tcW w:w="2151" w:type="dxa"/>
            <w:vMerge w:val="restart"/>
            <w:vAlign w:val="center"/>
          </w:tcPr>
          <w:p w:rsidR="00046565" w:rsidRPr="00F9522B" w:rsidRDefault="00046565" w:rsidP="005510C6">
            <w:pPr>
              <w:snapToGrid w:val="0"/>
              <w:spacing w:line="0" w:lineRule="atLeast"/>
              <w:jc w:val="center"/>
              <w:rPr>
                <w:rFonts w:eastAsiaTheme="minorEastAsia"/>
                <w:kern w:val="0"/>
                <w:szCs w:val="21"/>
              </w:rPr>
            </w:pPr>
            <w:r w:rsidRPr="00F9522B">
              <w:rPr>
                <w:rFonts w:eastAsiaTheme="minorEastAsia"/>
                <w:kern w:val="0"/>
                <w:szCs w:val="21"/>
              </w:rPr>
              <w:t>范围</w:t>
            </w:r>
          </w:p>
        </w:tc>
      </w:tr>
      <w:tr w:rsidR="00046565" w:rsidRPr="00F9522B" w:rsidTr="005510C6">
        <w:trPr>
          <w:trHeight w:val="66"/>
          <w:jc w:val="center"/>
        </w:trPr>
        <w:tc>
          <w:tcPr>
            <w:tcW w:w="771" w:type="dxa"/>
            <w:vMerge/>
            <w:vAlign w:val="center"/>
          </w:tcPr>
          <w:p w:rsidR="00046565" w:rsidRPr="00F9522B" w:rsidRDefault="00046565" w:rsidP="005510C6">
            <w:pPr>
              <w:widowControl/>
              <w:jc w:val="center"/>
              <w:rPr>
                <w:rFonts w:eastAsiaTheme="minorEastAsia"/>
                <w:kern w:val="0"/>
                <w:szCs w:val="21"/>
              </w:rPr>
            </w:pPr>
          </w:p>
        </w:tc>
        <w:tc>
          <w:tcPr>
            <w:tcW w:w="2310" w:type="dxa"/>
            <w:vMerge/>
            <w:vAlign w:val="center"/>
          </w:tcPr>
          <w:p w:rsidR="00046565" w:rsidRPr="00F9522B" w:rsidRDefault="00046565" w:rsidP="005510C6">
            <w:pPr>
              <w:widowControl/>
              <w:jc w:val="center"/>
              <w:rPr>
                <w:rFonts w:eastAsiaTheme="minorEastAsia"/>
                <w:kern w:val="0"/>
                <w:szCs w:val="21"/>
              </w:rPr>
            </w:pPr>
          </w:p>
        </w:tc>
        <w:tc>
          <w:tcPr>
            <w:tcW w:w="821" w:type="dxa"/>
            <w:vMerge/>
            <w:vAlign w:val="center"/>
          </w:tcPr>
          <w:p w:rsidR="00046565" w:rsidRPr="00F9522B" w:rsidRDefault="00046565" w:rsidP="005510C6">
            <w:pPr>
              <w:widowControl/>
              <w:jc w:val="center"/>
              <w:rPr>
                <w:rFonts w:eastAsiaTheme="minorEastAsia"/>
                <w:kern w:val="0"/>
                <w:szCs w:val="21"/>
              </w:rPr>
            </w:pPr>
          </w:p>
        </w:tc>
        <w:tc>
          <w:tcPr>
            <w:tcW w:w="654" w:type="dxa"/>
            <w:vAlign w:val="center"/>
          </w:tcPr>
          <w:p w:rsidR="00046565" w:rsidRPr="00F9522B" w:rsidRDefault="00046565" w:rsidP="005510C6">
            <w:pPr>
              <w:snapToGrid w:val="0"/>
              <w:spacing w:line="0" w:lineRule="atLeast"/>
              <w:jc w:val="center"/>
              <w:rPr>
                <w:rFonts w:eastAsiaTheme="minorEastAsia"/>
                <w:kern w:val="0"/>
                <w:szCs w:val="21"/>
              </w:rPr>
            </w:pPr>
            <w:r w:rsidRPr="00F9522B">
              <w:rPr>
                <w:rFonts w:eastAsiaTheme="minorEastAsia"/>
                <w:kern w:val="0"/>
                <w:szCs w:val="21"/>
              </w:rPr>
              <w:t>单位</w:t>
            </w:r>
          </w:p>
        </w:tc>
        <w:tc>
          <w:tcPr>
            <w:tcW w:w="1438" w:type="dxa"/>
            <w:gridSpan w:val="2"/>
            <w:vAlign w:val="center"/>
          </w:tcPr>
          <w:p w:rsidR="00046565" w:rsidRPr="00F9522B" w:rsidRDefault="00046565" w:rsidP="005510C6">
            <w:pPr>
              <w:snapToGrid w:val="0"/>
              <w:spacing w:line="0" w:lineRule="atLeast"/>
              <w:jc w:val="center"/>
              <w:rPr>
                <w:rFonts w:eastAsiaTheme="minorEastAsia"/>
                <w:kern w:val="0"/>
                <w:szCs w:val="21"/>
              </w:rPr>
            </w:pPr>
            <w:r w:rsidRPr="00F9522B">
              <w:rPr>
                <w:rFonts w:eastAsiaTheme="minorEastAsia"/>
                <w:kern w:val="0"/>
                <w:szCs w:val="21"/>
              </w:rPr>
              <w:t>数值</w:t>
            </w:r>
          </w:p>
        </w:tc>
        <w:tc>
          <w:tcPr>
            <w:tcW w:w="2151" w:type="dxa"/>
            <w:vMerge/>
            <w:vAlign w:val="center"/>
          </w:tcPr>
          <w:p w:rsidR="00046565" w:rsidRPr="00F9522B" w:rsidRDefault="00046565" w:rsidP="005510C6">
            <w:pPr>
              <w:snapToGrid w:val="0"/>
              <w:spacing w:line="0" w:lineRule="atLeast"/>
              <w:jc w:val="center"/>
              <w:rPr>
                <w:rFonts w:eastAsiaTheme="minorEastAsia"/>
                <w:kern w:val="0"/>
                <w:szCs w:val="21"/>
              </w:rPr>
            </w:pPr>
          </w:p>
        </w:tc>
      </w:tr>
      <w:tr w:rsidR="00046565" w:rsidRPr="00F9522B" w:rsidTr="005510C6">
        <w:trPr>
          <w:trHeight w:val="82"/>
          <w:jc w:val="center"/>
        </w:trPr>
        <w:tc>
          <w:tcPr>
            <w:tcW w:w="771" w:type="dxa"/>
            <w:vMerge w:val="restart"/>
            <w:vAlign w:val="center"/>
          </w:tcPr>
          <w:p w:rsidR="00046565" w:rsidRPr="00F9522B" w:rsidRDefault="00046565" w:rsidP="005510C6">
            <w:pPr>
              <w:spacing w:line="0" w:lineRule="atLeast"/>
              <w:contextualSpacing/>
              <w:jc w:val="center"/>
              <w:rPr>
                <w:rFonts w:eastAsiaTheme="minorEastAsia"/>
                <w:kern w:val="0"/>
                <w:szCs w:val="21"/>
              </w:rPr>
            </w:pPr>
            <w:r w:rsidRPr="00F9522B">
              <w:rPr>
                <w:rFonts w:eastAsiaTheme="minorEastAsia"/>
                <w:kern w:val="0"/>
                <w:szCs w:val="21"/>
              </w:rPr>
              <w:t>声环境</w:t>
            </w:r>
          </w:p>
        </w:tc>
        <w:tc>
          <w:tcPr>
            <w:tcW w:w="2310" w:type="dxa"/>
            <w:vMerge w:val="restart"/>
            <w:vAlign w:val="center"/>
          </w:tcPr>
          <w:p w:rsidR="00046565" w:rsidRPr="00F9522B" w:rsidRDefault="00046565" w:rsidP="005510C6">
            <w:pPr>
              <w:spacing w:line="0" w:lineRule="atLeast"/>
              <w:contextualSpacing/>
              <w:jc w:val="center"/>
              <w:rPr>
                <w:rFonts w:eastAsiaTheme="minorEastAsia"/>
                <w:kern w:val="0"/>
                <w:szCs w:val="21"/>
              </w:rPr>
            </w:pPr>
            <w:r w:rsidRPr="00F9522B">
              <w:rPr>
                <w:rFonts w:eastAsiaTheme="minorEastAsia"/>
                <w:kern w:val="0"/>
                <w:szCs w:val="21"/>
              </w:rPr>
              <w:t>《声环境质量标准》（</w:t>
            </w:r>
            <w:r w:rsidRPr="00F9522B">
              <w:rPr>
                <w:rFonts w:eastAsiaTheme="minorEastAsia"/>
                <w:kern w:val="0"/>
                <w:szCs w:val="21"/>
              </w:rPr>
              <w:t>GB3096-2008</w:t>
            </w:r>
            <w:r w:rsidRPr="00F9522B">
              <w:rPr>
                <w:rFonts w:eastAsiaTheme="minorEastAsia"/>
                <w:kern w:val="0"/>
                <w:szCs w:val="21"/>
              </w:rPr>
              <w:t>）</w:t>
            </w:r>
            <w:r w:rsidRPr="00F9522B">
              <w:rPr>
                <w:rFonts w:eastAsiaTheme="minorEastAsia"/>
                <w:kern w:val="0"/>
                <w:szCs w:val="21"/>
              </w:rPr>
              <w:t>2</w:t>
            </w:r>
            <w:r w:rsidRPr="00F9522B">
              <w:rPr>
                <w:rFonts w:eastAsiaTheme="minorEastAsia"/>
                <w:kern w:val="0"/>
                <w:szCs w:val="21"/>
              </w:rPr>
              <w:t>类</w:t>
            </w:r>
          </w:p>
        </w:tc>
        <w:tc>
          <w:tcPr>
            <w:tcW w:w="821" w:type="dxa"/>
            <w:vMerge w:val="restart"/>
            <w:vAlign w:val="center"/>
          </w:tcPr>
          <w:p w:rsidR="00046565" w:rsidRPr="00F9522B" w:rsidRDefault="00046565" w:rsidP="005510C6">
            <w:pPr>
              <w:spacing w:line="0" w:lineRule="atLeast"/>
              <w:contextualSpacing/>
              <w:jc w:val="center"/>
              <w:rPr>
                <w:rFonts w:eastAsiaTheme="minorEastAsia"/>
                <w:kern w:val="0"/>
                <w:szCs w:val="21"/>
              </w:rPr>
            </w:pPr>
            <w:r w:rsidRPr="00F9522B">
              <w:rPr>
                <w:rFonts w:eastAsiaTheme="minorEastAsia"/>
                <w:kern w:val="0"/>
                <w:szCs w:val="21"/>
              </w:rPr>
              <w:t>等效连续</w:t>
            </w:r>
            <w:r w:rsidRPr="00F9522B">
              <w:rPr>
                <w:rFonts w:eastAsiaTheme="minorEastAsia"/>
                <w:kern w:val="0"/>
                <w:szCs w:val="21"/>
              </w:rPr>
              <w:t>A</w:t>
            </w:r>
            <w:r w:rsidRPr="00F9522B">
              <w:rPr>
                <w:rFonts w:eastAsiaTheme="minorEastAsia"/>
                <w:kern w:val="0"/>
                <w:szCs w:val="21"/>
              </w:rPr>
              <w:t>声级</w:t>
            </w:r>
          </w:p>
        </w:tc>
        <w:tc>
          <w:tcPr>
            <w:tcW w:w="654" w:type="dxa"/>
            <w:vMerge w:val="restart"/>
            <w:vAlign w:val="center"/>
          </w:tcPr>
          <w:p w:rsidR="00046565" w:rsidRPr="00F9522B" w:rsidRDefault="00046565" w:rsidP="005510C6">
            <w:pPr>
              <w:spacing w:line="0" w:lineRule="atLeast"/>
              <w:contextualSpacing/>
              <w:jc w:val="center"/>
              <w:rPr>
                <w:rFonts w:eastAsiaTheme="minorEastAsia"/>
                <w:kern w:val="0"/>
                <w:szCs w:val="21"/>
              </w:rPr>
            </w:pPr>
            <w:r w:rsidRPr="00F9522B">
              <w:rPr>
                <w:rFonts w:eastAsiaTheme="minorEastAsia"/>
                <w:kern w:val="0"/>
                <w:szCs w:val="21"/>
              </w:rPr>
              <w:t>dB(A)</w:t>
            </w:r>
          </w:p>
        </w:tc>
        <w:tc>
          <w:tcPr>
            <w:tcW w:w="654" w:type="dxa"/>
            <w:vAlign w:val="center"/>
          </w:tcPr>
          <w:p w:rsidR="00046565" w:rsidRPr="00F9522B" w:rsidRDefault="00046565" w:rsidP="005510C6">
            <w:pPr>
              <w:spacing w:line="0" w:lineRule="atLeast"/>
              <w:contextualSpacing/>
              <w:jc w:val="center"/>
              <w:rPr>
                <w:rFonts w:eastAsiaTheme="minorEastAsia"/>
                <w:kern w:val="0"/>
                <w:szCs w:val="21"/>
              </w:rPr>
            </w:pPr>
            <w:r w:rsidRPr="00F9522B">
              <w:rPr>
                <w:rFonts w:eastAsiaTheme="minorEastAsia"/>
                <w:kern w:val="0"/>
                <w:szCs w:val="21"/>
              </w:rPr>
              <w:t>昼间</w:t>
            </w:r>
          </w:p>
        </w:tc>
        <w:tc>
          <w:tcPr>
            <w:tcW w:w="784" w:type="dxa"/>
            <w:vAlign w:val="center"/>
          </w:tcPr>
          <w:p w:rsidR="00046565" w:rsidRPr="00F9522B" w:rsidRDefault="00046565" w:rsidP="005510C6">
            <w:pPr>
              <w:spacing w:line="0" w:lineRule="atLeast"/>
              <w:contextualSpacing/>
              <w:jc w:val="center"/>
              <w:rPr>
                <w:rFonts w:eastAsiaTheme="minorEastAsia"/>
                <w:kern w:val="0"/>
                <w:szCs w:val="21"/>
              </w:rPr>
            </w:pPr>
            <w:r w:rsidRPr="00F9522B">
              <w:rPr>
                <w:rFonts w:eastAsiaTheme="minorEastAsia"/>
                <w:kern w:val="0"/>
                <w:szCs w:val="21"/>
              </w:rPr>
              <w:t>60</w:t>
            </w:r>
          </w:p>
        </w:tc>
        <w:tc>
          <w:tcPr>
            <w:tcW w:w="2151" w:type="dxa"/>
            <w:vMerge w:val="restart"/>
            <w:vAlign w:val="center"/>
          </w:tcPr>
          <w:p w:rsidR="00046565" w:rsidRPr="00F9522B" w:rsidRDefault="00046565" w:rsidP="005510C6">
            <w:pPr>
              <w:spacing w:line="0" w:lineRule="atLeast"/>
              <w:contextualSpacing/>
              <w:jc w:val="center"/>
              <w:rPr>
                <w:rFonts w:eastAsiaTheme="minorEastAsia"/>
                <w:kern w:val="0"/>
                <w:szCs w:val="21"/>
              </w:rPr>
            </w:pPr>
            <w:r w:rsidRPr="00F9522B">
              <w:rPr>
                <w:rFonts w:eastAsiaTheme="minorEastAsia"/>
                <w:kern w:val="0"/>
                <w:szCs w:val="21"/>
              </w:rPr>
              <w:t>G102</w:t>
            </w:r>
            <w:r w:rsidRPr="00F9522B">
              <w:rPr>
                <w:rFonts w:eastAsiaTheme="minorEastAsia"/>
                <w:kern w:val="0"/>
                <w:szCs w:val="21"/>
              </w:rPr>
              <w:t>附近村屯区域</w:t>
            </w:r>
          </w:p>
        </w:tc>
      </w:tr>
      <w:tr w:rsidR="00046565" w:rsidRPr="00F9522B" w:rsidTr="005510C6">
        <w:trPr>
          <w:trHeight w:val="104"/>
          <w:jc w:val="center"/>
        </w:trPr>
        <w:tc>
          <w:tcPr>
            <w:tcW w:w="771" w:type="dxa"/>
            <w:vMerge/>
            <w:vAlign w:val="center"/>
          </w:tcPr>
          <w:p w:rsidR="00046565" w:rsidRPr="00F9522B" w:rsidRDefault="00046565" w:rsidP="005510C6">
            <w:pPr>
              <w:widowControl/>
              <w:spacing w:line="0" w:lineRule="atLeast"/>
              <w:contextualSpacing/>
              <w:jc w:val="center"/>
              <w:rPr>
                <w:rFonts w:eastAsiaTheme="minorEastAsia"/>
                <w:kern w:val="0"/>
                <w:szCs w:val="21"/>
              </w:rPr>
            </w:pPr>
          </w:p>
        </w:tc>
        <w:tc>
          <w:tcPr>
            <w:tcW w:w="2310" w:type="dxa"/>
            <w:vMerge/>
            <w:vAlign w:val="center"/>
          </w:tcPr>
          <w:p w:rsidR="00046565" w:rsidRPr="00F9522B" w:rsidRDefault="00046565" w:rsidP="005510C6">
            <w:pPr>
              <w:widowControl/>
              <w:spacing w:line="0" w:lineRule="atLeast"/>
              <w:contextualSpacing/>
              <w:jc w:val="center"/>
              <w:rPr>
                <w:rFonts w:eastAsiaTheme="minorEastAsia"/>
                <w:kern w:val="0"/>
                <w:szCs w:val="21"/>
              </w:rPr>
            </w:pPr>
          </w:p>
        </w:tc>
        <w:tc>
          <w:tcPr>
            <w:tcW w:w="821" w:type="dxa"/>
            <w:vMerge/>
            <w:vAlign w:val="center"/>
          </w:tcPr>
          <w:p w:rsidR="00046565" w:rsidRPr="00F9522B" w:rsidRDefault="00046565" w:rsidP="005510C6">
            <w:pPr>
              <w:widowControl/>
              <w:spacing w:line="0" w:lineRule="atLeast"/>
              <w:contextualSpacing/>
              <w:jc w:val="center"/>
              <w:rPr>
                <w:rFonts w:eastAsiaTheme="minorEastAsia"/>
                <w:kern w:val="0"/>
                <w:szCs w:val="21"/>
              </w:rPr>
            </w:pPr>
          </w:p>
        </w:tc>
        <w:tc>
          <w:tcPr>
            <w:tcW w:w="654" w:type="dxa"/>
            <w:vMerge/>
            <w:vAlign w:val="center"/>
          </w:tcPr>
          <w:p w:rsidR="00046565" w:rsidRPr="00F9522B" w:rsidRDefault="00046565" w:rsidP="005510C6">
            <w:pPr>
              <w:widowControl/>
              <w:spacing w:line="0" w:lineRule="atLeast"/>
              <w:contextualSpacing/>
              <w:jc w:val="center"/>
              <w:rPr>
                <w:rFonts w:eastAsiaTheme="minorEastAsia"/>
                <w:kern w:val="0"/>
                <w:szCs w:val="21"/>
              </w:rPr>
            </w:pPr>
          </w:p>
        </w:tc>
        <w:tc>
          <w:tcPr>
            <w:tcW w:w="654" w:type="dxa"/>
            <w:vAlign w:val="center"/>
          </w:tcPr>
          <w:p w:rsidR="00046565" w:rsidRPr="00F9522B" w:rsidRDefault="00046565" w:rsidP="005510C6">
            <w:pPr>
              <w:spacing w:line="0" w:lineRule="atLeast"/>
              <w:contextualSpacing/>
              <w:jc w:val="center"/>
              <w:rPr>
                <w:rFonts w:eastAsiaTheme="minorEastAsia"/>
                <w:kern w:val="0"/>
                <w:szCs w:val="21"/>
              </w:rPr>
            </w:pPr>
            <w:r w:rsidRPr="00F9522B">
              <w:rPr>
                <w:rFonts w:eastAsiaTheme="minorEastAsia"/>
                <w:kern w:val="0"/>
                <w:szCs w:val="21"/>
              </w:rPr>
              <w:t>夜间</w:t>
            </w:r>
          </w:p>
        </w:tc>
        <w:tc>
          <w:tcPr>
            <w:tcW w:w="784" w:type="dxa"/>
            <w:vAlign w:val="center"/>
          </w:tcPr>
          <w:p w:rsidR="00046565" w:rsidRPr="00F9522B" w:rsidRDefault="00046565" w:rsidP="005510C6">
            <w:pPr>
              <w:spacing w:line="0" w:lineRule="atLeast"/>
              <w:contextualSpacing/>
              <w:jc w:val="center"/>
              <w:rPr>
                <w:rFonts w:eastAsiaTheme="minorEastAsia"/>
                <w:kern w:val="0"/>
                <w:szCs w:val="21"/>
              </w:rPr>
            </w:pPr>
            <w:r w:rsidRPr="00F9522B">
              <w:rPr>
                <w:rFonts w:eastAsiaTheme="minorEastAsia"/>
                <w:kern w:val="0"/>
                <w:szCs w:val="21"/>
              </w:rPr>
              <w:t>50</w:t>
            </w:r>
          </w:p>
        </w:tc>
        <w:tc>
          <w:tcPr>
            <w:tcW w:w="2151" w:type="dxa"/>
            <w:vMerge/>
            <w:vAlign w:val="center"/>
          </w:tcPr>
          <w:p w:rsidR="00046565" w:rsidRPr="00F9522B" w:rsidRDefault="00046565" w:rsidP="005510C6">
            <w:pPr>
              <w:spacing w:line="0" w:lineRule="atLeast"/>
              <w:contextualSpacing/>
              <w:jc w:val="center"/>
              <w:rPr>
                <w:rFonts w:eastAsiaTheme="minorEastAsia"/>
                <w:kern w:val="0"/>
                <w:szCs w:val="21"/>
              </w:rPr>
            </w:pPr>
          </w:p>
        </w:tc>
      </w:tr>
      <w:tr w:rsidR="00046565" w:rsidRPr="00F9522B" w:rsidTr="005510C6">
        <w:trPr>
          <w:trHeight w:val="104"/>
          <w:jc w:val="center"/>
        </w:trPr>
        <w:tc>
          <w:tcPr>
            <w:tcW w:w="771" w:type="dxa"/>
            <w:vMerge/>
            <w:vAlign w:val="center"/>
          </w:tcPr>
          <w:p w:rsidR="00046565" w:rsidRPr="00F9522B" w:rsidRDefault="00046565" w:rsidP="005510C6">
            <w:pPr>
              <w:widowControl/>
              <w:spacing w:line="0" w:lineRule="atLeast"/>
              <w:contextualSpacing/>
              <w:jc w:val="center"/>
              <w:rPr>
                <w:rFonts w:eastAsiaTheme="minorEastAsia"/>
                <w:kern w:val="0"/>
                <w:szCs w:val="21"/>
              </w:rPr>
            </w:pPr>
          </w:p>
        </w:tc>
        <w:tc>
          <w:tcPr>
            <w:tcW w:w="2310" w:type="dxa"/>
            <w:vMerge w:val="restart"/>
            <w:vAlign w:val="center"/>
          </w:tcPr>
          <w:p w:rsidR="00046565" w:rsidRPr="00F9522B" w:rsidRDefault="00046565" w:rsidP="005510C6">
            <w:pPr>
              <w:widowControl/>
              <w:spacing w:line="0" w:lineRule="atLeast"/>
              <w:contextualSpacing/>
              <w:jc w:val="center"/>
              <w:rPr>
                <w:rFonts w:eastAsiaTheme="minorEastAsia"/>
                <w:kern w:val="0"/>
                <w:szCs w:val="21"/>
              </w:rPr>
            </w:pPr>
            <w:r w:rsidRPr="00F9522B">
              <w:rPr>
                <w:rFonts w:eastAsiaTheme="minorEastAsia"/>
                <w:kern w:val="0"/>
                <w:szCs w:val="21"/>
              </w:rPr>
              <w:t>《声环境质量标准》（</w:t>
            </w:r>
            <w:r w:rsidRPr="00F9522B">
              <w:rPr>
                <w:rFonts w:eastAsiaTheme="minorEastAsia"/>
                <w:kern w:val="0"/>
                <w:szCs w:val="21"/>
              </w:rPr>
              <w:t>GB3096-2008</w:t>
            </w:r>
            <w:r w:rsidRPr="00F9522B">
              <w:rPr>
                <w:rFonts w:eastAsiaTheme="minorEastAsia"/>
                <w:kern w:val="0"/>
                <w:szCs w:val="21"/>
              </w:rPr>
              <w:t>）</w:t>
            </w:r>
            <w:r w:rsidRPr="00F9522B">
              <w:rPr>
                <w:rFonts w:eastAsiaTheme="minorEastAsia"/>
                <w:kern w:val="0"/>
                <w:szCs w:val="21"/>
              </w:rPr>
              <w:t>1</w:t>
            </w:r>
            <w:r w:rsidRPr="00F9522B">
              <w:rPr>
                <w:rFonts w:eastAsiaTheme="minorEastAsia"/>
                <w:kern w:val="0"/>
                <w:szCs w:val="21"/>
              </w:rPr>
              <w:t>类</w:t>
            </w:r>
          </w:p>
        </w:tc>
        <w:tc>
          <w:tcPr>
            <w:tcW w:w="821" w:type="dxa"/>
            <w:vMerge/>
            <w:vAlign w:val="center"/>
          </w:tcPr>
          <w:p w:rsidR="00046565" w:rsidRPr="00F9522B" w:rsidRDefault="00046565" w:rsidP="005510C6">
            <w:pPr>
              <w:widowControl/>
              <w:spacing w:line="0" w:lineRule="atLeast"/>
              <w:contextualSpacing/>
              <w:jc w:val="center"/>
              <w:rPr>
                <w:rFonts w:eastAsiaTheme="minorEastAsia"/>
                <w:kern w:val="0"/>
                <w:szCs w:val="21"/>
              </w:rPr>
            </w:pPr>
          </w:p>
        </w:tc>
        <w:tc>
          <w:tcPr>
            <w:tcW w:w="654" w:type="dxa"/>
            <w:vMerge/>
            <w:vAlign w:val="center"/>
          </w:tcPr>
          <w:p w:rsidR="00046565" w:rsidRPr="00F9522B" w:rsidRDefault="00046565" w:rsidP="005510C6">
            <w:pPr>
              <w:widowControl/>
              <w:spacing w:line="0" w:lineRule="atLeast"/>
              <w:contextualSpacing/>
              <w:jc w:val="center"/>
              <w:rPr>
                <w:rFonts w:eastAsiaTheme="minorEastAsia"/>
                <w:kern w:val="0"/>
                <w:szCs w:val="21"/>
              </w:rPr>
            </w:pPr>
          </w:p>
        </w:tc>
        <w:tc>
          <w:tcPr>
            <w:tcW w:w="654" w:type="dxa"/>
            <w:vAlign w:val="center"/>
          </w:tcPr>
          <w:p w:rsidR="00046565" w:rsidRPr="00F9522B" w:rsidRDefault="00046565" w:rsidP="005510C6">
            <w:pPr>
              <w:spacing w:line="0" w:lineRule="atLeast"/>
              <w:contextualSpacing/>
              <w:jc w:val="center"/>
              <w:rPr>
                <w:rFonts w:eastAsiaTheme="minorEastAsia"/>
                <w:kern w:val="0"/>
                <w:szCs w:val="21"/>
              </w:rPr>
            </w:pPr>
            <w:r w:rsidRPr="00F9522B">
              <w:rPr>
                <w:rFonts w:eastAsiaTheme="minorEastAsia"/>
                <w:kern w:val="0"/>
                <w:szCs w:val="21"/>
              </w:rPr>
              <w:t>昼间</w:t>
            </w:r>
          </w:p>
        </w:tc>
        <w:tc>
          <w:tcPr>
            <w:tcW w:w="784" w:type="dxa"/>
            <w:vAlign w:val="center"/>
          </w:tcPr>
          <w:p w:rsidR="00046565" w:rsidRPr="00F9522B" w:rsidRDefault="00046565" w:rsidP="005510C6">
            <w:pPr>
              <w:spacing w:line="0" w:lineRule="atLeast"/>
              <w:contextualSpacing/>
              <w:jc w:val="center"/>
              <w:rPr>
                <w:rFonts w:eastAsiaTheme="minorEastAsia"/>
                <w:kern w:val="0"/>
                <w:szCs w:val="21"/>
              </w:rPr>
            </w:pPr>
            <w:r w:rsidRPr="00F9522B">
              <w:rPr>
                <w:rFonts w:eastAsiaTheme="minorEastAsia"/>
                <w:kern w:val="0"/>
                <w:szCs w:val="21"/>
              </w:rPr>
              <w:t>55</w:t>
            </w:r>
          </w:p>
        </w:tc>
        <w:tc>
          <w:tcPr>
            <w:tcW w:w="2151" w:type="dxa"/>
            <w:vMerge w:val="restart"/>
            <w:vAlign w:val="center"/>
          </w:tcPr>
          <w:p w:rsidR="00046565" w:rsidRPr="00F9522B" w:rsidRDefault="00046565" w:rsidP="005510C6">
            <w:pPr>
              <w:spacing w:line="0" w:lineRule="atLeast"/>
              <w:contextualSpacing/>
              <w:jc w:val="center"/>
              <w:rPr>
                <w:rFonts w:eastAsiaTheme="minorEastAsia"/>
                <w:kern w:val="0"/>
                <w:szCs w:val="21"/>
              </w:rPr>
            </w:pPr>
            <w:r w:rsidRPr="00F9522B">
              <w:rPr>
                <w:rFonts w:eastAsiaTheme="minorEastAsia"/>
                <w:kern w:val="0"/>
                <w:szCs w:val="21"/>
              </w:rPr>
              <w:t>其余区域</w:t>
            </w:r>
          </w:p>
        </w:tc>
      </w:tr>
      <w:tr w:rsidR="00046565" w:rsidRPr="00F9522B" w:rsidTr="005510C6">
        <w:trPr>
          <w:trHeight w:val="104"/>
          <w:jc w:val="center"/>
        </w:trPr>
        <w:tc>
          <w:tcPr>
            <w:tcW w:w="771" w:type="dxa"/>
            <w:vMerge/>
            <w:vAlign w:val="center"/>
          </w:tcPr>
          <w:p w:rsidR="00046565" w:rsidRPr="00F9522B" w:rsidRDefault="00046565" w:rsidP="005510C6">
            <w:pPr>
              <w:widowControl/>
              <w:spacing w:line="0" w:lineRule="atLeast"/>
              <w:contextualSpacing/>
              <w:jc w:val="center"/>
              <w:rPr>
                <w:rFonts w:eastAsiaTheme="minorEastAsia"/>
                <w:kern w:val="0"/>
                <w:szCs w:val="21"/>
              </w:rPr>
            </w:pPr>
          </w:p>
        </w:tc>
        <w:tc>
          <w:tcPr>
            <w:tcW w:w="2310" w:type="dxa"/>
            <w:vMerge/>
            <w:vAlign w:val="center"/>
          </w:tcPr>
          <w:p w:rsidR="00046565" w:rsidRPr="00F9522B" w:rsidRDefault="00046565" w:rsidP="005510C6">
            <w:pPr>
              <w:widowControl/>
              <w:spacing w:line="0" w:lineRule="atLeast"/>
              <w:contextualSpacing/>
              <w:jc w:val="center"/>
              <w:rPr>
                <w:rFonts w:eastAsiaTheme="minorEastAsia"/>
                <w:kern w:val="0"/>
                <w:szCs w:val="21"/>
              </w:rPr>
            </w:pPr>
          </w:p>
        </w:tc>
        <w:tc>
          <w:tcPr>
            <w:tcW w:w="821" w:type="dxa"/>
            <w:vMerge/>
            <w:vAlign w:val="center"/>
          </w:tcPr>
          <w:p w:rsidR="00046565" w:rsidRPr="00F9522B" w:rsidRDefault="00046565" w:rsidP="005510C6">
            <w:pPr>
              <w:widowControl/>
              <w:spacing w:line="0" w:lineRule="atLeast"/>
              <w:contextualSpacing/>
              <w:jc w:val="center"/>
              <w:rPr>
                <w:rFonts w:eastAsiaTheme="minorEastAsia"/>
                <w:kern w:val="0"/>
                <w:szCs w:val="21"/>
              </w:rPr>
            </w:pPr>
          </w:p>
        </w:tc>
        <w:tc>
          <w:tcPr>
            <w:tcW w:w="654" w:type="dxa"/>
            <w:vMerge/>
            <w:vAlign w:val="center"/>
          </w:tcPr>
          <w:p w:rsidR="00046565" w:rsidRPr="00F9522B" w:rsidRDefault="00046565" w:rsidP="005510C6">
            <w:pPr>
              <w:widowControl/>
              <w:spacing w:line="0" w:lineRule="atLeast"/>
              <w:contextualSpacing/>
              <w:jc w:val="center"/>
              <w:rPr>
                <w:rFonts w:eastAsiaTheme="minorEastAsia"/>
                <w:kern w:val="0"/>
                <w:szCs w:val="21"/>
              </w:rPr>
            </w:pPr>
          </w:p>
        </w:tc>
        <w:tc>
          <w:tcPr>
            <w:tcW w:w="654" w:type="dxa"/>
            <w:vAlign w:val="center"/>
          </w:tcPr>
          <w:p w:rsidR="00046565" w:rsidRPr="00F9522B" w:rsidRDefault="00046565" w:rsidP="005510C6">
            <w:pPr>
              <w:spacing w:line="0" w:lineRule="atLeast"/>
              <w:contextualSpacing/>
              <w:jc w:val="center"/>
              <w:rPr>
                <w:rFonts w:eastAsiaTheme="minorEastAsia"/>
                <w:kern w:val="0"/>
                <w:szCs w:val="21"/>
              </w:rPr>
            </w:pPr>
            <w:r w:rsidRPr="00F9522B">
              <w:rPr>
                <w:rFonts w:eastAsiaTheme="minorEastAsia"/>
                <w:kern w:val="0"/>
                <w:szCs w:val="21"/>
              </w:rPr>
              <w:t>夜间</w:t>
            </w:r>
          </w:p>
        </w:tc>
        <w:tc>
          <w:tcPr>
            <w:tcW w:w="784" w:type="dxa"/>
            <w:vAlign w:val="center"/>
          </w:tcPr>
          <w:p w:rsidR="00046565" w:rsidRPr="00F9522B" w:rsidRDefault="00046565" w:rsidP="005510C6">
            <w:pPr>
              <w:spacing w:line="0" w:lineRule="atLeast"/>
              <w:contextualSpacing/>
              <w:jc w:val="center"/>
              <w:rPr>
                <w:rFonts w:eastAsiaTheme="minorEastAsia"/>
                <w:kern w:val="0"/>
                <w:szCs w:val="21"/>
              </w:rPr>
            </w:pPr>
            <w:r w:rsidRPr="00F9522B">
              <w:rPr>
                <w:rFonts w:eastAsiaTheme="minorEastAsia"/>
                <w:kern w:val="0"/>
                <w:szCs w:val="21"/>
              </w:rPr>
              <w:t>45</w:t>
            </w:r>
          </w:p>
        </w:tc>
        <w:tc>
          <w:tcPr>
            <w:tcW w:w="2151" w:type="dxa"/>
            <w:vMerge/>
            <w:vAlign w:val="center"/>
          </w:tcPr>
          <w:p w:rsidR="00046565" w:rsidRPr="00F9522B" w:rsidRDefault="00046565" w:rsidP="005510C6">
            <w:pPr>
              <w:spacing w:line="0" w:lineRule="atLeast"/>
              <w:contextualSpacing/>
              <w:jc w:val="center"/>
              <w:rPr>
                <w:rFonts w:eastAsiaTheme="minorEastAsia"/>
                <w:kern w:val="0"/>
                <w:szCs w:val="21"/>
              </w:rPr>
            </w:pPr>
          </w:p>
        </w:tc>
      </w:tr>
    </w:tbl>
    <w:p w:rsidR="002A5A5E" w:rsidRPr="00F9522B" w:rsidRDefault="00611CBA">
      <w:pPr>
        <w:pStyle w:val="30"/>
        <w:spacing w:before="100" w:beforeAutospacing="1" w:after="100" w:afterAutospacing="1" w:line="240" w:lineRule="auto"/>
        <w:ind w:firstLineChars="0" w:firstLine="0"/>
        <w:rPr>
          <w:rFonts w:ascii="Times New Roman" w:eastAsiaTheme="minorEastAsia" w:hAnsi="Times New Roman" w:cs="Times New Roman"/>
          <w:b/>
          <w:sz w:val="28"/>
          <w:szCs w:val="28"/>
        </w:rPr>
      </w:pPr>
      <w:r w:rsidRPr="00F9522B">
        <w:rPr>
          <w:rFonts w:ascii="Times New Roman" w:eastAsiaTheme="minorEastAsia" w:hAnsi="Times New Roman" w:cs="Times New Roman"/>
          <w:b/>
          <w:sz w:val="28"/>
          <w:szCs w:val="28"/>
        </w:rPr>
        <w:t>2.5.3</w:t>
      </w:r>
      <w:r w:rsidRPr="00F9522B">
        <w:rPr>
          <w:rFonts w:ascii="Times New Roman" w:eastAsiaTheme="minorEastAsia" w:hAnsi="Times New Roman" w:cs="Times New Roman"/>
          <w:b/>
          <w:sz w:val="28"/>
          <w:szCs w:val="28"/>
        </w:rPr>
        <w:t>污染物排放标准</w:t>
      </w:r>
    </w:p>
    <w:p w:rsidR="002A5A5E" w:rsidRPr="00F9522B" w:rsidRDefault="00760E2B">
      <w:pPr>
        <w:spacing w:line="360" w:lineRule="auto"/>
        <w:ind w:firstLineChars="200" w:firstLine="480"/>
        <w:rPr>
          <w:rFonts w:eastAsiaTheme="minorEastAsia"/>
          <w:sz w:val="24"/>
        </w:rPr>
      </w:pPr>
      <w:r w:rsidRPr="00F9522B">
        <w:rPr>
          <w:rFonts w:eastAsiaTheme="minorEastAsia"/>
          <w:sz w:val="24"/>
        </w:rPr>
        <w:t>（</w:t>
      </w:r>
      <w:r w:rsidRPr="00F9522B">
        <w:rPr>
          <w:rFonts w:eastAsiaTheme="minorEastAsia"/>
          <w:sz w:val="24"/>
        </w:rPr>
        <w:t>1</w:t>
      </w:r>
      <w:r w:rsidRPr="00F9522B">
        <w:rPr>
          <w:rFonts w:eastAsiaTheme="minorEastAsia"/>
          <w:sz w:val="24"/>
        </w:rPr>
        <w:t>）</w:t>
      </w:r>
      <w:r w:rsidR="00611CBA" w:rsidRPr="00F9522B">
        <w:rPr>
          <w:rFonts w:eastAsiaTheme="minorEastAsia"/>
          <w:sz w:val="24"/>
        </w:rPr>
        <w:t>废气</w:t>
      </w:r>
    </w:p>
    <w:p w:rsidR="002A5A5E" w:rsidRPr="00F9522B" w:rsidRDefault="00611CBA">
      <w:pPr>
        <w:tabs>
          <w:tab w:val="right" w:leader="dot" w:pos="8505"/>
        </w:tabs>
        <w:spacing w:line="360" w:lineRule="auto"/>
        <w:ind w:firstLineChars="200" w:firstLine="480"/>
        <w:rPr>
          <w:rFonts w:eastAsiaTheme="minorEastAsia"/>
          <w:sz w:val="24"/>
        </w:rPr>
      </w:pPr>
      <w:r w:rsidRPr="00F9522B">
        <w:rPr>
          <w:rFonts w:eastAsiaTheme="minorEastAsia"/>
          <w:sz w:val="24"/>
        </w:rPr>
        <w:t>施工期施工场地扬尘排放执行《大气污染物综合排放标准》（</w:t>
      </w:r>
      <w:r w:rsidRPr="00F9522B">
        <w:rPr>
          <w:rFonts w:eastAsiaTheme="minorEastAsia"/>
          <w:sz w:val="24"/>
        </w:rPr>
        <w:t>GB16297-1996</w:t>
      </w:r>
      <w:r w:rsidRPr="00F9522B">
        <w:rPr>
          <w:rFonts w:eastAsiaTheme="minorEastAsia"/>
          <w:sz w:val="24"/>
        </w:rPr>
        <w:t>）表</w:t>
      </w:r>
      <w:r w:rsidRPr="00F9522B">
        <w:rPr>
          <w:rFonts w:eastAsiaTheme="minorEastAsia"/>
          <w:sz w:val="24"/>
        </w:rPr>
        <w:t>2</w:t>
      </w:r>
      <w:r w:rsidRPr="00F9522B">
        <w:rPr>
          <w:rFonts w:eastAsiaTheme="minorEastAsia"/>
          <w:sz w:val="24"/>
        </w:rPr>
        <w:t>无组织排放监控浓度限值要求。</w:t>
      </w:r>
      <w:r w:rsidRPr="00F9522B">
        <w:rPr>
          <w:sz w:val="24"/>
        </w:rPr>
        <w:t>清淤污泥污染物臭气浓度排放执行《恶臭污染物排放标准》（</w:t>
      </w:r>
      <w:r w:rsidRPr="00F9522B">
        <w:rPr>
          <w:sz w:val="24"/>
        </w:rPr>
        <w:t>GB14554-93</w:t>
      </w:r>
      <w:r w:rsidRPr="00F9522B">
        <w:rPr>
          <w:sz w:val="24"/>
        </w:rPr>
        <w:t>）表</w:t>
      </w:r>
      <w:r w:rsidRPr="00F9522B">
        <w:rPr>
          <w:sz w:val="24"/>
        </w:rPr>
        <w:t>1</w:t>
      </w:r>
      <w:r w:rsidRPr="00F9522B">
        <w:rPr>
          <w:sz w:val="24"/>
        </w:rPr>
        <w:t>二级标准。</w:t>
      </w:r>
      <w:r w:rsidRPr="00F9522B">
        <w:rPr>
          <w:rFonts w:eastAsiaTheme="minorEastAsia"/>
          <w:sz w:val="24"/>
        </w:rPr>
        <w:t>移动式发电机废气执行</w:t>
      </w:r>
      <w:r w:rsidRPr="00F9522B">
        <w:rPr>
          <w:rFonts w:eastAsiaTheme="minorEastAsia"/>
          <w:sz w:val="24"/>
        </w:rPr>
        <w:t>GB20891-2014</w:t>
      </w:r>
      <w:r w:rsidRPr="00F9522B">
        <w:rPr>
          <w:rFonts w:eastAsiaTheme="minorEastAsia"/>
          <w:sz w:val="24"/>
        </w:rPr>
        <w:t>《非道路移动机械用柴油机排气污染物排放限值及测量方法（中国三、四阶段）》中第四阶段（</w:t>
      </w:r>
      <w:r w:rsidRPr="00F9522B">
        <w:rPr>
          <w:rFonts w:eastAsiaTheme="minorEastAsia"/>
          <w:sz w:val="24"/>
        </w:rPr>
        <w:t>130</w:t>
      </w:r>
      <w:r w:rsidRPr="00F9522B">
        <w:rPr>
          <w:rFonts w:eastAsiaTheme="minorEastAsia"/>
          <w:sz w:val="24"/>
        </w:rPr>
        <w:t>＜额定功率＜</w:t>
      </w:r>
      <w:r w:rsidRPr="00F9522B">
        <w:rPr>
          <w:rFonts w:eastAsiaTheme="minorEastAsia"/>
          <w:sz w:val="24"/>
        </w:rPr>
        <w:t>560kW</w:t>
      </w:r>
      <w:r w:rsidRPr="00F9522B">
        <w:rPr>
          <w:rFonts w:eastAsiaTheme="minorEastAsia"/>
          <w:sz w:val="24"/>
        </w:rPr>
        <w:t>）。</w:t>
      </w:r>
    </w:p>
    <w:p w:rsidR="002A5A5E" w:rsidRPr="00F9522B" w:rsidRDefault="00611CBA">
      <w:pPr>
        <w:jc w:val="center"/>
        <w:rPr>
          <w:rFonts w:eastAsiaTheme="minorEastAsia"/>
          <w:b/>
          <w:kern w:val="0"/>
          <w:sz w:val="24"/>
        </w:rPr>
      </w:pPr>
      <w:r w:rsidRPr="00F9522B">
        <w:rPr>
          <w:rFonts w:eastAsiaTheme="minorEastAsia"/>
          <w:b/>
          <w:kern w:val="0"/>
          <w:szCs w:val="21"/>
        </w:rPr>
        <w:t>表</w:t>
      </w:r>
      <w:r w:rsidRPr="00F9522B">
        <w:rPr>
          <w:rFonts w:eastAsiaTheme="minorEastAsia"/>
          <w:b/>
          <w:kern w:val="0"/>
          <w:szCs w:val="21"/>
        </w:rPr>
        <w:t>2-5-5</w:t>
      </w:r>
      <w:r w:rsidRPr="00F9522B">
        <w:rPr>
          <w:rFonts w:eastAsiaTheme="minorEastAsia"/>
          <w:b/>
          <w:kern w:val="0"/>
          <w:szCs w:val="21"/>
        </w:rPr>
        <w:t>《大气污染物综合排放标准》（</w:t>
      </w:r>
      <w:r w:rsidRPr="00F9522B">
        <w:rPr>
          <w:rFonts w:eastAsiaTheme="minorEastAsia"/>
          <w:b/>
          <w:kern w:val="0"/>
          <w:szCs w:val="21"/>
        </w:rPr>
        <w:t>GB16297-1996</w:t>
      </w:r>
      <w:r w:rsidRPr="00F9522B">
        <w:rPr>
          <w:rFonts w:eastAsiaTheme="minorEastAsia"/>
          <w:b/>
          <w:kern w:val="0"/>
          <w:szCs w:val="21"/>
        </w:rPr>
        <w:t>）表</w:t>
      </w:r>
      <w:r w:rsidRPr="00F9522B">
        <w:rPr>
          <w:rFonts w:eastAsiaTheme="minorEastAsia"/>
          <w:b/>
          <w:kern w:val="0"/>
          <w:szCs w:val="21"/>
        </w:rPr>
        <w:t>2</w:t>
      </w:r>
      <w:r w:rsidRPr="00F9522B">
        <w:rPr>
          <w:rFonts w:eastAsiaTheme="minorEastAsia"/>
          <w:b/>
          <w:kern w:val="0"/>
          <w:szCs w:val="21"/>
        </w:rPr>
        <w:t>要求</w:t>
      </w:r>
    </w:p>
    <w:tbl>
      <w:tblPr>
        <w:tblW w:w="4997" w:type="pct"/>
        <w:jc w:val="center"/>
        <w:tblBorders>
          <w:top w:val="single" w:sz="12" w:space="0" w:color="auto"/>
          <w:bottom w:val="single" w:sz="12" w:space="0" w:color="auto"/>
          <w:insideH w:val="single" w:sz="4" w:space="0" w:color="auto"/>
          <w:insideV w:val="single" w:sz="4" w:space="0" w:color="auto"/>
        </w:tblBorders>
        <w:tblLook w:val="04A0"/>
      </w:tblPr>
      <w:tblGrid>
        <w:gridCol w:w="2941"/>
        <w:gridCol w:w="1276"/>
        <w:gridCol w:w="806"/>
        <w:gridCol w:w="1320"/>
        <w:gridCol w:w="2174"/>
      </w:tblGrid>
      <w:tr w:rsidR="002A5A5E" w:rsidRPr="00F9522B">
        <w:trPr>
          <w:cantSplit/>
          <w:trHeight w:val="280"/>
          <w:jc w:val="center"/>
        </w:trPr>
        <w:tc>
          <w:tcPr>
            <w:tcW w:w="1727" w:type="pct"/>
            <w:vAlign w:val="center"/>
          </w:tcPr>
          <w:p w:rsidR="002A5A5E" w:rsidRPr="00F9522B" w:rsidRDefault="00611CBA">
            <w:pPr>
              <w:widowControl/>
              <w:spacing w:line="0" w:lineRule="atLeast"/>
              <w:jc w:val="center"/>
              <w:rPr>
                <w:bCs/>
                <w:kern w:val="0"/>
                <w:szCs w:val="21"/>
              </w:rPr>
            </w:pPr>
            <w:r w:rsidRPr="00F9522B">
              <w:rPr>
                <w:bCs/>
                <w:kern w:val="0"/>
                <w:szCs w:val="21"/>
              </w:rPr>
              <w:t>标准名称</w:t>
            </w:r>
          </w:p>
        </w:tc>
        <w:tc>
          <w:tcPr>
            <w:tcW w:w="749" w:type="pct"/>
            <w:vAlign w:val="center"/>
          </w:tcPr>
          <w:p w:rsidR="002A5A5E" w:rsidRPr="00F9522B" w:rsidRDefault="00611CBA">
            <w:pPr>
              <w:widowControl/>
              <w:spacing w:line="0" w:lineRule="atLeast"/>
              <w:jc w:val="center"/>
              <w:rPr>
                <w:bCs/>
                <w:kern w:val="0"/>
                <w:szCs w:val="21"/>
              </w:rPr>
            </w:pPr>
            <w:r w:rsidRPr="00F9522B">
              <w:rPr>
                <w:bCs/>
                <w:kern w:val="0"/>
                <w:szCs w:val="21"/>
              </w:rPr>
              <w:t>监测项目</w:t>
            </w:r>
          </w:p>
        </w:tc>
        <w:tc>
          <w:tcPr>
            <w:tcW w:w="1248" w:type="pct"/>
            <w:gridSpan w:val="2"/>
            <w:vAlign w:val="center"/>
          </w:tcPr>
          <w:p w:rsidR="002A5A5E" w:rsidRPr="00F9522B" w:rsidRDefault="00611CBA">
            <w:pPr>
              <w:widowControl/>
              <w:spacing w:line="0" w:lineRule="atLeast"/>
              <w:jc w:val="center"/>
              <w:rPr>
                <w:bCs/>
                <w:kern w:val="0"/>
                <w:szCs w:val="21"/>
              </w:rPr>
            </w:pPr>
            <w:r w:rsidRPr="00F9522B">
              <w:rPr>
                <w:bCs/>
                <w:kern w:val="0"/>
                <w:szCs w:val="21"/>
              </w:rPr>
              <w:t>污染物</w:t>
            </w:r>
          </w:p>
        </w:tc>
        <w:tc>
          <w:tcPr>
            <w:tcW w:w="1276" w:type="pct"/>
            <w:vAlign w:val="center"/>
          </w:tcPr>
          <w:p w:rsidR="002A5A5E" w:rsidRPr="00F9522B" w:rsidRDefault="00611CBA">
            <w:pPr>
              <w:widowControl/>
              <w:spacing w:line="0" w:lineRule="atLeast"/>
              <w:jc w:val="center"/>
              <w:rPr>
                <w:bCs/>
                <w:kern w:val="0"/>
                <w:szCs w:val="21"/>
              </w:rPr>
            </w:pPr>
            <w:r w:rsidRPr="00F9522B">
              <w:rPr>
                <w:bCs/>
                <w:kern w:val="0"/>
                <w:szCs w:val="21"/>
              </w:rPr>
              <w:t>数值</w:t>
            </w:r>
          </w:p>
        </w:tc>
      </w:tr>
      <w:tr w:rsidR="002A5A5E" w:rsidRPr="00F9522B">
        <w:trPr>
          <w:cantSplit/>
          <w:trHeight w:val="920"/>
          <w:jc w:val="center"/>
        </w:trPr>
        <w:tc>
          <w:tcPr>
            <w:tcW w:w="1727" w:type="pct"/>
            <w:vAlign w:val="center"/>
          </w:tcPr>
          <w:p w:rsidR="002A5A5E" w:rsidRPr="00F9522B" w:rsidRDefault="00611CBA">
            <w:pPr>
              <w:widowControl/>
              <w:spacing w:line="0" w:lineRule="atLeast"/>
              <w:jc w:val="center"/>
              <w:rPr>
                <w:kern w:val="0"/>
                <w:szCs w:val="21"/>
              </w:rPr>
            </w:pPr>
            <w:r w:rsidRPr="00F9522B">
              <w:rPr>
                <w:kern w:val="0"/>
                <w:szCs w:val="21"/>
              </w:rPr>
              <w:t>《大气污染物综合排放标准》（</w:t>
            </w:r>
            <w:r w:rsidRPr="00F9522B">
              <w:rPr>
                <w:kern w:val="0"/>
                <w:szCs w:val="21"/>
              </w:rPr>
              <w:t>GB16297-1996</w:t>
            </w:r>
            <w:r w:rsidRPr="00F9522B">
              <w:rPr>
                <w:kern w:val="0"/>
                <w:szCs w:val="21"/>
              </w:rPr>
              <w:t>）中表</w:t>
            </w:r>
            <w:r w:rsidRPr="00F9522B">
              <w:rPr>
                <w:kern w:val="0"/>
                <w:szCs w:val="21"/>
              </w:rPr>
              <w:t>2</w:t>
            </w:r>
          </w:p>
        </w:tc>
        <w:tc>
          <w:tcPr>
            <w:tcW w:w="749" w:type="pct"/>
            <w:vAlign w:val="center"/>
          </w:tcPr>
          <w:p w:rsidR="002A5A5E" w:rsidRPr="00F9522B" w:rsidRDefault="00611CBA">
            <w:pPr>
              <w:widowControl/>
              <w:spacing w:line="0" w:lineRule="atLeast"/>
              <w:jc w:val="center"/>
              <w:rPr>
                <w:kern w:val="0"/>
                <w:szCs w:val="21"/>
              </w:rPr>
            </w:pPr>
            <w:r w:rsidRPr="00F9522B">
              <w:rPr>
                <w:kern w:val="0"/>
                <w:szCs w:val="21"/>
              </w:rPr>
              <w:t>周界外浓度最高点</w:t>
            </w:r>
          </w:p>
        </w:tc>
        <w:tc>
          <w:tcPr>
            <w:tcW w:w="473" w:type="pct"/>
            <w:vAlign w:val="center"/>
          </w:tcPr>
          <w:p w:rsidR="002A5A5E" w:rsidRPr="00F9522B" w:rsidRDefault="00611CBA">
            <w:pPr>
              <w:widowControl/>
              <w:spacing w:line="0" w:lineRule="atLeast"/>
              <w:jc w:val="center"/>
              <w:rPr>
                <w:kern w:val="0"/>
                <w:szCs w:val="21"/>
              </w:rPr>
            </w:pPr>
            <w:r w:rsidRPr="00F9522B">
              <w:rPr>
                <w:kern w:val="0"/>
                <w:szCs w:val="21"/>
              </w:rPr>
              <w:t>颗粒物</w:t>
            </w:r>
          </w:p>
        </w:tc>
        <w:tc>
          <w:tcPr>
            <w:tcW w:w="775" w:type="pct"/>
            <w:vAlign w:val="center"/>
          </w:tcPr>
          <w:p w:rsidR="002A5A5E" w:rsidRPr="00F9522B" w:rsidRDefault="00611CBA">
            <w:pPr>
              <w:spacing w:line="0" w:lineRule="atLeast"/>
              <w:jc w:val="center"/>
              <w:rPr>
                <w:kern w:val="0"/>
                <w:szCs w:val="21"/>
              </w:rPr>
            </w:pPr>
            <w:r w:rsidRPr="00F9522B">
              <w:rPr>
                <w:kern w:val="0"/>
                <w:szCs w:val="21"/>
              </w:rPr>
              <w:t>排放浓度限值</w:t>
            </w:r>
          </w:p>
        </w:tc>
        <w:tc>
          <w:tcPr>
            <w:tcW w:w="1276" w:type="pct"/>
            <w:vAlign w:val="center"/>
          </w:tcPr>
          <w:p w:rsidR="002A5A5E" w:rsidRPr="00F9522B" w:rsidRDefault="00611CBA">
            <w:pPr>
              <w:spacing w:line="0" w:lineRule="atLeast"/>
              <w:jc w:val="center"/>
              <w:rPr>
                <w:kern w:val="0"/>
                <w:szCs w:val="21"/>
              </w:rPr>
            </w:pPr>
            <w:r w:rsidRPr="00F9522B">
              <w:rPr>
                <w:kern w:val="0"/>
                <w:szCs w:val="21"/>
              </w:rPr>
              <w:t>1.0mg/m</w:t>
            </w:r>
            <w:r w:rsidRPr="00F9522B">
              <w:rPr>
                <w:kern w:val="0"/>
                <w:szCs w:val="21"/>
                <w:vertAlign w:val="superscript"/>
              </w:rPr>
              <w:t>3</w:t>
            </w:r>
          </w:p>
        </w:tc>
      </w:tr>
    </w:tbl>
    <w:p w:rsidR="002A5A5E" w:rsidRPr="00F9522B" w:rsidRDefault="00611CBA">
      <w:pPr>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2-5-6</w:t>
      </w:r>
      <w:r w:rsidRPr="00F9522B">
        <w:rPr>
          <w:rFonts w:eastAsiaTheme="minorEastAsia"/>
          <w:b/>
          <w:kern w:val="0"/>
          <w:szCs w:val="21"/>
        </w:rPr>
        <w:t>恶臭污染物排放标准</w:t>
      </w:r>
    </w:p>
    <w:tbl>
      <w:tblPr>
        <w:tblStyle w:val="TableNormal"/>
        <w:tblW w:w="4997" w:type="pct"/>
        <w:tblInd w:w="0" w:type="dxa"/>
        <w:tblBorders>
          <w:top w:val="single" w:sz="12" w:space="0" w:color="000000"/>
          <w:bottom w:val="single" w:sz="12" w:space="0" w:color="000000"/>
          <w:insideH w:val="single" w:sz="2" w:space="0" w:color="000000"/>
          <w:insideV w:val="single" w:sz="2" w:space="0" w:color="000000"/>
        </w:tblBorders>
        <w:tblLook w:val="04A0"/>
      </w:tblPr>
      <w:tblGrid>
        <w:gridCol w:w="1067"/>
        <w:gridCol w:w="3272"/>
        <w:gridCol w:w="1410"/>
        <w:gridCol w:w="1124"/>
        <w:gridCol w:w="1428"/>
      </w:tblGrid>
      <w:tr w:rsidR="002A5A5E" w:rsidRPr="00F9522B">
        <w:trPr>
          <w:trHeight w:val="340"/>
        </w:trPr>
        <w:tc>
          <w:tcPr>
            <w:tcW w:w="643" w:type="pct"/>
            <w:vMerge w:val="restart"/>
            <w:tcBorders>
              <w:tl2br w:val="nil"/>
              <w:tr2bl w:val="nil"/>
            </w:tcBorders>
            <w:vAlign w:val="center"/>
          </w:tcPr>
          <w:p w:rsidR="002A5A5E" w:rsidRPr="00F9522B" w:rsidRDefault="00611CBA">
            <w:pPr>
              <w:jc w:val="center"/>
            </w:pPr>
            <w:r w:rsidRPr="00F9522B">
              <w:rPr>
                <w:spacing w:val="7"/>
              </w:rPr>
              <w:t>排放方式</w:t>
            </w:r>
          </w:p>
        </w:tc>
        <w:tc>
          <w:tcPr>
            <w:tcW w:w="1971" w:type="pct"/>
            <w:vMerge w:val="restart"/>
            <w:tcBorders>
              <w:tl2br w:val="nil"/>
              <w:tr2bl w:val="nil"/>
            </w:tcBorders>
            <w:vAlign w:val="center"/>
          </w:tcPr>
          <w:p w:rsidR="002A5A5E" w:rsidRPr="00F9522B" w:rsidRDefault="00611CBA">
            <w:pPr>
              <w:jc w:val="center"/>
            </w:pPr>
            <w:r w:rsidRPr="00F9522B">
              <w:rPr>
                <w:spacing w:val="7"/>
              </w:rPr>
              <w:t>执行标准</w:t>
            </w:r>
          </w:p>
        </w:tc>
        <w:tc>
          <w:tcPr>
            <w:tcW w:w="849" w:type="pct"/>
            <w:vMerge w:val="restart"/>
            <w:tcBorders>
              <w:tl2br w:val="nil"/>
              <w:tr2bl w:val="nil"/>
            </w:tcBorders>
            <w:vAlign w:val="center"/>
          </w:tcPr>
          <w:p w:rsidR="002A5A5E" w:rsidRPr="00F9522B" w:rsidRDefault="00611CBA">
            <w:pPr>
              <w:jc w:val="center"/>
            </w:pPr>
            <w:r w:rsidRPr="00F9522B">
              <w:rPr>
                <w:spacing w:val="7"/>
              </w:rPr>
              <w:t>污染物名称</w:t>
            </w:r>
          </w:p>
        </w:tc>
        <w:tc>
          <w:tcPr>
            <w:tcW w:w="1537" w:type="pct"/>
            <w:gridSpan w:val="2"/>
            <w:tcBorders>
              <w:tl2br w:val="nil"/>
              <w:tr2bl w:val="nil"/>
            </w:tcBorders>
            <w:vAlign w:val="center"/>
          </w:tcPr>
          <w:p w:rsidR="002A5A5E" w:rsidRPr="00F9522B" w:rsidRDefault="00611CBA">
            <w:pPr>
              <w:jc w:val="center"/>
            </w:pPr>
            <w:r w:rsidRPr="00F9522B">
              <w:rPr>
                <w:spacing w:val="9"/>
              </w:rPr>
              <w:t>无组织排放监控浓度限值</w:t>
            </w:r>
          </w:p>
        </w:tc>
      </w:tr>
      <w:tr w:rsidR="002A5A5E" w:rsidRPr="00F9522B">
        <w:trPr>
          <w:trHeight w:val="340"/>
        </w:trPr>
        <w:tc>
          <w:tcPr>
            <w:tcW w:w="643" w:type="pct"/>
            <w:vMerge/>
            <w:tcBorders>
              <w:tl2br w:val="nil"/>
              <w:tr2bl w:val="nil"/>
            </w:tcBorders>
            <w:vAlign w:val="center"/>
          </w:tcPr>
          <w:p w:rsidR="002A5A5E" w:rsidRPr="00F9522B" w:rsidRDefault="002A5A5E">
            <w:pPr>
              <w:jc w:val="center"/>
            </w:pPr>
          </w:p>
        </w:tc>
        <w:tc>
          <w:tcPr>
            <w:tcW w:w="1971" w:type="pct"/>
            <w:vMerge/>
            <w:tcBorders>
              <w:tl2br w:val="nil"/>
              <w:tr2bl w:val="nil"/>
            </w:tcBorders>
            <w:vAlign w:val="center"/>
          </w:tcPr>
          <w:p w:rsidR="002A5A5E" w:rsidRPr="00F9522B" w:rsidRDefault="002A5A5E">
            <w:pPr>
              <w:jc w:val="center"/>
            </w:pPr>
          </w:p>
        </w:tc>
        <w:tc>
          <w:tcPr>
            <w:tcW w:w="849" w:type="pct"/>
            <w:vMerge/>
            <w:tcBorders>
              <w:tl2br w:val="nil"/>
              <w:tr2bl w:val="nil"/>
            </w:tcBorders>
            <w:vAlign w:val="center"/>
          </w:tcPr>
          <w:p w:rsidR="002A5A5E" w:rsidRPr="00F9522B" w:rsidRDefault="002A5A5E">
            <w:pPr>
              <w:jc w:val="center"/>
            </w:pPr>
          </w:p>
        </w:tc>
        <w:tc>
          <w:tcPr>
            <w:tcW w:w="677" w:type="pct"/>
            <w:tcBorders>
              <w:tl2br w:val="nil"/>
              <w:tr2bl w:val="nil"/>
            </w:tcBorders>
            <w:vAlign w:val="center"/>
          </w:tcPr>
          <w:p w:rsidR="002A5A5E" w:rsidRPr="00F9522B" w:rsidRDefault="00611CBA">
            <w:pPr>
              <w:jc w:val="center"/>
            </w:pPr>
            <w:r w:rsidRPr="00F9522B">
              <w:rPr>
                <w:spacing w:val="6"/>
              </w:rPr>
              <w:t>监控点</w:t>
            </w:r>
          </w:p>
        </w:tc>
        <w:tc>
          <w:tcPr>
            <w:tcW w:w="860" w:type="pct"/>
            <w:tcBorders>
              <w:tl2br w:val="nil"/>
              <w:tr2bl w:val="nil"/>
            </w:tcBorders>
            <w:vAlign w:val="center"/>
          </w:tcPr>
          <w:p w:rsidR="002A5A5E" w:rsidRPr="00F9522B" w:rsidRDefault="00611CBA">
            <w:pPr>
              <w:pStyle w:val="TableText"/>
              <w:jc w:val="center"/>
              <w:rPr>
                <w:color w:val="auto"/>
                <w:sz w:val="21"/>
                <w:szCs w:val="21"/>
              </w:rPr>
            </w:pPr>
            <w:r w:rsidRPr="00F9522B">
              <w:rPr>
                <w:rFonts w:eastAsia="宋体"/>
                <w:color w:val="auto"/>
                <w:spacing w:val="6"/>
                <w:sz w:val="21"/>
                <w:szCs w:val="21"/>
              </w:rPr>
              <w:t>浓度</w:t>
            </w:r>
          </w:p>
        </w:tc>
      </w:tr>
      <w:tr w:rsidR="002A5A5E" w:rsidRPr="00F9522B">
        <w:trPr>
          <w:trHeight w:val="710"/>
        </w:trPr>
        <w:tc>
          <w:tcPr>
            <w:tcW w:w="643" w:type="pct"/>
            <w:tcBorders>
              <w:tl2br w:val="nil"/>
              <w:tr2bl w:val="nil"/>
            </w:tcBorders>
            <w:vAlign w:val="center"/>
          </w:tcPr>
          <w:p w:rsidR="002A5A5E" w:rsidRPr="00F9522B" w:rsidRDefault="00611CBA">
            <w:pPr>
              <w:jc w:val="center"/>
            </w:pPr>
            <w:r w:rsidRPr="00F9522B">
              <w:t>无组织</w:t>
            </w:r>
          </w:p>
        </w:tc>
        <w:tc>
          <w:tcPr>
            <w:tcW w:w="1971" w:type="pct"/>
            <w:tcBorders>
              <w:tl2br w:val="nil"/>
              <w:tr2bl w:val="nil"/>
            </w:tcBorders>
            <w:vAlign w:val="center"/>
          </w:tcPr>
          <w:p w:rsidR="002A5A5E" w:rsidRPr="00F9522B" w:rsidRDefault="00611CBA">
            <w:pPr>
              <w:jc w:val="center"/>
            </w:pPr>
            <w:r w:rsidRPr="00F9522B">
              <w:rPr>
                <w:spacing w:val="7"/>
              </w:rPr>
              <w:t>《恶臭污染物排放标准》</w:t>
            </w:r>
          </w:p>
          <w:p w:rsidR="002A5A5E" w:rsidRPr="00F9522B" w:rsidRDefault="00611CBA">
            <w:pPr>
              <w:pStyle w:val="TableText"/>
              <w:jc w:val="center"/>
              <w:rPr>
                <w:rFonts w:eastAsia="宋体"/>
                <w:color w:val="auto"/>
                <w:sz w:val="21"/>
                <w:szCs w:val="21"/>
              </w:rPr>
            </w:pPr>
            <w:r w:rsidRPr="00F9522B">
              <w:rPr>
                <w:rFonts w:eastAsia="宋体"/>
                <w:color w:val="auto"/>
                <w:spacing w:val="4"/>
                <w:sz w:val="21"/>
                <w:szCs w:val="21"/>
              </w:rPr>
              <w:t>（</w:t>
            </w:r>
            <w:r w:rsidRPr="00F9522B">
              <w:rPr>
                <w:color w:val="auto"/>
                <w:sz w:val="21"/>
                <w:szCs w:val="21"/>
              </w:rPr>
              <w:t>GB</w:t>
            </w:r>
            <w:r w:rsidRPr="00F9522B">
              <w:rPr>
                <w:color w:val="auto"/>
                <w:spacing w:val="4"/>
                <w:sz w:val="21"/>
                <w:szCs w:val="21"/>
              </w:rPr>
              <w:t>14554-93</w:t>
            </w:r>
            <w:r w:rsidRPr="00F9522B">
              <w:rPr>
                <w:rFonts w:eastAsia="宋体"/>
                <w:color w:val="auto"/>
                <w:spacing w:val="4"/>
                <w:sz w:val="21"/>
                <w:szCs w:val="21"/>
              </w:rPr>
              <w:t>）表</w:t>
            </w:r>
            <w:r w:rsidRPr="00F9522B">
              <w:rPr>
                <w:color w:val="auto"/>
                <w:spacing w:val="4"/>
                <w:sz w:val="21"/>
                <w:szCs w:val="21"/>
              </w:rPr>
              <w:t xml:space="preserve">1 </w:t>
            </w:r>
            <w:r w:rsidRPr="00F9522B">
              <w:rPr>
                <w:rFonts w:eastAsia="宋体"/>
                <w:color w:val="auto"/>
                <w:spacing w:val="4"/>
                <w:sz w:val="21"/>
                <w:szCs w:val="21"/>
              </w:rPr>
              <w:t>二级标准</w:t>
            </w:r>
          </w:p>
        </w:tc>
        <w:tc>
          <w:tcPr>
            <w:tcW w:w="849" w:type="pct"/>
            <w:tcBorders>
              <w:tl2br w:val="nil"/>
              <w:tr2bl w:val="nil"/>
            </w:tcBorders>
            <w:vAlign w:val="center"/>
          </w:tcPr>
          <w:p w:rsidR="002A5A5E" w:rsidRPr="00F9522B" w:rsidRDefault="00611CBA">
            <w:pPr>
              <w:jc w:val="center"/>
            </w:pPr>
            <w:r w:rsidRPr="00F9522B">
              <w:t>臭气浓度</w:t>
            </w:r>
          </w:p>
        </w:tc>
        <w:tc>
          <w:tcPr>
            <w:tcW w:w="677" w:type="pct"/>
            <w:tcBorders>
              <w:tl2br w:val="nil"/>
              <w:tr2bl w:val="nil"/>
            </w:tcBorders>
            <w:vAlign w:val="center"/>
          </w:tcPr>
          <w:p w:rsidR="002A5A5E" w:rsidRPr="00F9522B" w:rsidRDefault="00611CBA">
            <w:pPr>
              <w:pStyle w:val="TableText"/>
              <w:jc w:val="center"/>
              <w:rPr>
                <w:color w:val="auto"/>
                <w:sz w:val="21"/>
                <w:szCs w:val="21"/>
              </w:rPr>
            </w:pPr>
            <w:r w:rsidRPr="00F9522B">
              <w:rPr>
                <w:color w:val="auto"/>
                <w:spacing w:val="2"/>
                <w:sz w:val="21"/>
                <w:szCs w:val="21"/>
              </w:rPr>
              <w:t>/</w:t>
            </w:r>
          </w:p>
        </w:tc>
        <w:tc>
          <w:tcPr>
            <w:tcW w:w="860" w:type="pct"/>
            <w:tcBorders>
              <w:tl2br w:val="nil"/>
              <w:tr2bl w:val="nil"/>
            </w:tcBorders>
            <w:vAlign w:val="center"/>
          </w:tcPr>
          <w:p w:rsidR="002A5A5E" w:rsidRPr="00F9522B" w:rsidRDefault="00611CBA">
            <w:pPr>
              <w:pStyle w:val="TableText"/>
              <w:jc w:val="center"/>
              <w:rPr>
                <w:rFonts w:eastAsiaTheme="minorEastAsia"/>
                <w:color w:val="auto"/>
                <w:sz w:val="21"/>
                <w:szCs w:val="21"/>
                <w:lang w:eastAsia="zh-CN"/>
              </w:rPr>
            </w:pPr>
            <w:r w:rsidRPr="00F9522B">
              <w:rPr>
                <w:rFonts w:eastAsiaTheme="minorEastAsia"/>
                <w:color w:val="auto"/>
                <w:sz w:val="21"/>
                <w:szCs w:val="21"/>
                <w:lang w:eastAsia="zh-CN"/>
              </w:rPr>
              <w:t>20</w:t>
            </w:r>
            <w:r w:rsidRPr="00F9522B">
              <w:rPr>
                <w:rFonts w:eastAsiaTheme="minorEastAsia"/>
                <w:color w:val="auto"/>
                <w:sz w:val="21"/>
                <w:szCs w:val="21"/>
                <w:lang w:eastAsia="zh-CN"/>
              </w:rPr>
              <w:t>（无量纲）</w:t>
            </w:r>
          </w:p>
        </w:tc>
      </w:tr>
    </w:tbl>
    <w:p w:rsidR="002A5A5E" w:rsidRPr="00F9522B" w:rsidRDefault="00611CBA">
      <w:pPr>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 xml:space="preserve">2-5-7 </w:t>
      </w:r>
      <w:r w:rsidRPr="00F9522B">
        <w:rPr>
          <w:rFonts w:eastAsiaTheme="minorEastAsia"/>
          <w:b/>
          <w:kern w:val="0"/>
          <w:szCs w:val="21"/>
        </w:rPr>
        <w:t>发电机大气污染物排放标准</w:t>
      </w:r>
    </w:p>
    <w:tbl>
      <w:tblPr>
        <w:tblW w:w="8721" w:type="dxa"/>
        <w:jc w:val="center"/>
        <w:tblBorders>
          <w:top w:val="single" w:sz="12" w:space="0" w:color="auto"/>
          <w:bottom w:val="single" w:sz="12" w:space="0" w:color="auto"/>
          <w:insideH w:val="single" w:sz="4" w:space="0" w:color="auto"/>
          <w:insideV w:val="single" w:sz="4" w:space="0" w:color="auto"/>
        </w:tblBorders>
        <w:tblLayout w:type="fixed"/>
        <w:tblLook w:val="04A0"/>
      </w:tblPr>
      <w:tblGrid>
        <w:gridCol w:w="669"/>
        <w:gridCol w:w="836"/>
        <w:gridCol w:w="1446"/>
        <w:gridCol w:w="1008"/>
        <w:gridCol w:w="1177"/>
        <w:gridCol w:w="1190"/>
        <w:gridCol w:w="2395"/>
      </w:tblGrid>
      <w:tr w:rsidR="002A5A5E" w:rsidRPr="00F9522B">
        <w:trPr>
          <w:cantSplit/>
          <w:trHeight w:val="173"/>
          <w:jc w:val="center"/>
        </w:trPr>
        <w:tc>
          <w:tcPr>
            <w:tcW w:w="669"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污染源</w:t>
            </w:r>
          </w:p>
        </w:tc>
        <w:tc>
          <w:tcPr>
            <w:tcW w:w="836"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标准</w:t>
            </w:r>
          </w:p>
          <w:p w:rsidR="002A5A5E" w:rsidRPr="00F9522B" w:rsidRDefault="00611CBA">
            <w:pPr>
              <w:adjustRightInd w:val="0"/>
              <w:snapToGrid w:val="0"/>
              <w:jc w:val="center"/>
              <w:rPr>
                <w:rFonts w:eastAsiaTheme="minorEastAsia"/>
                <w:szCs w:val="21"/>
              </w:rPr>
            </w:pPr>
            <w:r w:rsidRPr="00F9522B">
              <w:rPr>
                <w:rFonts w:eastAsiaTheme="minorEastAsia"/>
                <w:szCs w:val="21"/>
              </w:rPr>
              <w:t>级别</w:t>
            </w:r>
          </w:p>
        </w:tc>
        <w:tc>
          <w:tcPr>
            <w:tcW w:w="4821" w:type="dxa"/>
            <w:gridSpan w:val="4"/>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标准限值</w:t>
            </w:r>
          </w:p>
        </w:tc>
        <w:tc>
          <w:tcPr>
            <w:tcW w:w="2395"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标准来源</w:t>
            </w:r>
          </w:p>
        </w:tc>
      </w:tr>
      <w:tr w:rsidR="002A5A5E" w:rsidRPr="00F9522B">
        <w:trPr>
          <w:cantSplit/>
          <w:trHeight w:val="267"/>
          <w:jc w:val="center"/>
        </w:trPr>
        <w:tc>
          <w:tcPr>
            <w:tcW w:w="1505" w:type="dxa"/>
            <w:gridSpan w:val="2"/>
            <w:vMerge w:val="restart"/>
            <w:tcBorders>
              <w:tl2br w:val="nil"/>
              <w:tr2bl w:val="nil"/>
            </w:tcBorders>
            <w:vAlign w:val="center"/>
          </w:tcPr>
          <w:p w:rsidR="002A5A5E" w:rsidRPr="00F9522B" w:rsidRDefault="00611CBA">
            <w:pPr>
              <w:adjustRightInd w:val="0"/>
              <w:snapToGrid w:val="0"/>
              <w:jc w:val="center"/>
              <w:rPr>
                <w:rFonts w:eastAsiaTheme="minorEastAsia"/>
              </w:rPr>
            </w:pPr>
            <w:r w:rsidRPr="00F9522B">
              <w:rPr>
                <w:rFonts w:eastAsiaTheme="minorEastAsia"/>
                <w:szCs w:val="21"/>
              </w:rPr>
              <w:t>移动式发电机废气（</w:t>
            </w:r>
            <w:r w:rsidRPr="00F9522B">
              <w:rPr>
                <w:rFonts w:eastAsiaTheme="minorEastAsia"/>
                <w:szCs w:val="21"/>
              </w:rPr>
              <w:t>130</w:t>
            </w:r>
            <w:r w:rsidRPr="00F9522B">
              <w:rPr>
                <w:rFonts w:eastAsiaTheme="minorEastAsia"/>
                <w:szCs w:val="21"/>
              </w:rPr>
              <w:t>＜</w:t>
            </w:r>
            <w:r w:rsidRPr="00F9522B">
              <w:rPr>
                <w:rFonts w:eastAsiaTheme="minorEastAsia"/>
                <w:szCs w:val="21"/>
              </w:rPr>
              <w:t>Pmax</w:t>
            </w:r>
            <w:r w:rsidRPr="00F9522B">
              <w:rPr>
                <w:rFonts w:eastAsiaTheme="minorEastAsia"/>
                <w:szCs w:val="21"/>
              </w:rPr>
              <w:t>＜</w:t>
            </w:r>
            <w:r w:rsidRPr="00F9522B">
              <w:rPr>
                <w:rFonts w:eastAsiaTheme="minorEastAsia"/>
                <w:szCs w:val="21"/>
              </w:rPr>
              <w:t>560kW</w:t>
            </w:r>
            <w:r w:rsidRPr="00F9522B">
              <w:rPr>
                <w:rFonts w:eastAsiaTheme="minorEastAsia"/>
                <w:szCs w:val="21"/>
              </w:rPr>
              <w:t>）</w:t>
            </w:r>
          </w:p>
        </w:tc>
        <w:tc>
          <w:tcPr>
            <w:tcW w:w="1446" w:type="dxa"/>
            <w:tcBorders>
              <w:tl2br w:val="nil"/>
              <w:tr2bl w:val="nil"/>
            </w:tcBorders>
            <w:vAlign w:val="center"/>
          </w:tcPr>
          <w:p w:rsidR="002A5A5E" w:rsidRPr="00F9522B" w:rsidRDefault="00611CBA">
            <w:pPr>
              <w:widowControl/>
              <w:jc w:val="center"/>
              <w:rPr>
                <w:rFonts w:eastAsiaTheme="minorEastAsia"/>
              </w:rPr>
            </w:pPr>
            <w:r w:rsidRPr="00F9522B">
              <w:rPr>
                <w:rFonts w:eastAsiaTheme="minorEastAsia"/>
                <w:szCs w:val="21"/>
              </w:rPr>
              <w:t>污染物</w:t>
            </w:r>
          </w:p>
        </w:tc>
        <w:tc>
          <w:tcPr>
            <w:tcW w:w="1008"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CO</w:t>
            </w:r>
          </w:p>
        </w:tc>
        <w:tc>
          <w:tcPr>
            <w:tcW w:w="1177"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HC+NO</w:t>
            </w:r>
            <w:r w:rsidRPr="00F9522B">
              <w:rPr>
                <w:rFonts w:eastAsiaTheme="minorEastAsia"/>
                <w:szCs w:val="21"/>
                <w:vertAlign w:val="subscript"/>
              </w:rPr>
              <w:t>x</w:t>
            </w:r>
          </w:p>
        </w:tc>
        <w:tc>
          <w:tcPr>
            <w:tcW w:w="1190"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PM</w:t>
            </w:r>
          </w:p>
        </w:tc>
        <w:tc>
          <w:tcPr>
            <w:tcW w:w="2395" w:type="dxa"/>
            <w:vMerge w:val="restart"/>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GB20891-2014</w:t>
            </w:r>
            <w:r w:rsidRPr="00F9522B">
              <w:rPr>
                <w:rFonts w:eastAsiaTheme="minorEastAsia"/>
                <w:szCs w:val="21"/>
              </w:rPr>
              <w:t>《非道路移动机械用柴油机排气污染物排放限值及测量方法（中国三、四阶段）》中第四阶段（</w:t>
            </w:r>
            <w:r w:rsidRPr="00F9522B">
              <w:rPr>
                <w:rFonts w:eastAsiaTheme="minorEastAsia"/>
                <w:szCs w:val="21"/>
              </w:rPr>
              <w:t>130</w:t>
            </w:r>
            <w:r w:rsidRPr="00F9522B">
              <w:rPr>
                <w:rFonts w:eastAsiaTheme="minorEastAsia"/>
                <w:szCs w:val="21"/>
              </w:rPr>
              <w:t>＜额定功率＜</w:t>
            </w:r>
            <w:r w:rsidRPr="00F9522B">
              <w:rPr>
                <w:rFonts w:eastAsiaTheme="minorEastAsia"/>
                <w:szCs w:val="21"/>
              </w:rPr>
              <w:t>560kW</w:t>
            </w:r>
            <w:r w:rsidRPr="00F9522B">
              <w:rPr>
                <w:rFonts w:eastAsiaTheme="minorEastAsia"/>
                <w:szCs w:val="21"/>
              </w:rPr>
              <w:t>）</w:t>
            </w:r>
          </w:p>
        </w:tc>
      </w:tr>
      <w:tr w:rsidR="002A5A5E" w:rsidRPr="00F9522B">
        <w:trPr>
          <w:cantSplit/>
          <w:trHeight w:val="267"/>
          <w:jc w:val="center"/>
        </w:trPr>
        <w:tc>
          <w:tcPr>
            <w:tcW w:w="1505" w:type="dxa"/>
            <w:gridSpan w:val="2"/>
            <w:vMerge/>
            <w:tcBorders>
              <w:tl2br w:val="nil"/>
              <w:tr2bl w:val="nil"/>
            </w:tcBorders>
            <w:vAlign w:val="center"/>
          </w:tcPr>
          <w:p w:rsidR="002A5A5E" w:rsidRPr="00F9522B" w:rsidRDefault="002A5A5E">
            <w:pPr>
              <w:adjustRightInd w:val="0"/>
              <w:snapToGrid w:val="0"/>
              <w:jc w:val="center"/>
              <w:rPr>
                <w:rFonts w:eastAsiaTheme="minorEastAsia"/>
              </w:rPr>
            </w:pPr>
          </w:p>
        </w:tc>
        <w:tc>
          <w:tcPr>
            <w:tcW w:w="1446" w:type="dxa"/>
            <w:tcBorders>
              <w:tl2br w:val="nil"/>
              <w:tr2bl w:val="nil"/>
            </w:tcBorders>
            <w:vAlign w:val="center"/>
          </w:tcPr>
          <w:p w:rsidR="002A5A5E" w:rsidRPr="00F9522B" w:rsidRDefault="00611CBA">
            <w:pPr>
              <w:widowControl/>
              <w:jc w:val="center"/>
              <w:rPr>
                <w:rFonts w:eastAsiaTheme="minorEastAsia"/>
              </w:rPr>
            </w:pPr>
            <w:r w:rsidRPr="00F9522B">
              <w:rPr>
                <w:rFonts w:eastAsiaTheme="minorEastAsia"/>
                <w:szCs w:val="21"/>
              </w:rPr>
              <w:t>排放浓度（</w:t>
            </w:r>
            <w:r w:rsidRPr="00F9522B">
              <w:rPr>
                <w:rFonts w:eastAsiaTheme="minorEastAsia"/>
                <w:szCs w:val="21"/>
              </w:rPr>
              <w:t>g/kWh</w:t>
            </w:r>
            <w:r w:rsidRPr="00F9522B">
              <w:rPr>
                <w:rFonts w:eastAsiaTheme="minorEastAsia"/>
                <w:szCs w:val="21"/>
              </w:rPr>
              <w:t>）</w:t>
            </w:r>
          </w:p>
        </w:tc>
        <w:tc>
          <w:tcPr>
            <w:tcW w:w="1008"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3.5</w:t>
            </w:r>
          </w:p>
        </w:tc>
        <w:tc>
          <w:tcPr>
            <w:tcW w:w="1177"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4.0</w:t>
            </w:r>
          </w:p>
        </w:tc>
        <w:tc>
          <w:tcPr>
            <w:tcW w:w="1190"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0.2</w:t>
            </w:r>
          </w:p>
        </w:tc>
        <w:tc>
          <w:tcPr>
            <w:tcW w:w="2395" w:type="dxa"/>
            <w:vMerge/>
            <w:tcBorders>
              <w:tl2br w:val="nil"/>
              <w:tr2bl w:val="nil"/>
            </w:tcBorders>
            <w:vAlign w:val="center"/>
          </w:tcPr>
          <w:p w:rsidR="002A5A5E" w:rsidRPr="00F9522B" w:rsidRDefault="002A5A5E">
            <w:pPr>
              <w:adjustRightInd w:val="0"/>
              <w:snapToGrid w:val="0"/>
              <w:jc w:val="center"/>
              <w:rPr>
                <w:rFonts w:eastAsiaTheme="minorEastAsia"/>
                <w:szCs w:val="21"/>
              </w:rPr>
            </w:pPr>
          </w:p>
        </w:tc>
      </w:tr>
    </w:tbl>
    <w:p w:rsidR="002A5A5E" w:rsidRPr="00F9522B" w:rsidRDefault="00611CBA">
      <w:pPr>
        <w:spacing w:line="360" w:lineRule="auto"/>
        <w:ind w:firstLineChars="200" w:firstLine="480"/>
        <w:rPr>
          <w:rFonts w:eastAsiaTheme="minorEastAsia"/>
          <w:sz w:val="24"/>
        </w:rPr>
      </w:pPr>
      <w:r w:rsidRPr="00F9522B">
        <w:rPr>
          <w:rFonts w:eastAsiaTheme="minorEastAsia"/>
          <w:sz w:val="24"/>
        </w:rPr>
        <w:t>运营期柴油机移动泵车产生的少量废气执行</w:t>
      </w:r>
      <w:r w:rsidRPr="00F9522B">
        <w:rPr>
          <w:rFonts w:eastAsiaTheme="minorEastAsia"/>
          <w:sz w:val="24"/>
        </w:rPr>
        <w:t>GB20891-2014</w:t>
      </w:r>
      <w:r w:rsidRPr="00F9522B">
        <w:rPr>
          <w:rFonts w:eastAsiaTheme="minorEastAsia"/>
          <w:sz w:val="24"/>
        </w:rPr>
        <w:t>《非道路移动机械用柴油机排气污染物排放限值及测量方法（中国三、四阶段）》中第四阶段（</w:t>
      </w:r>
      <w:r w:rsidRPr="00F9522B">
        <w:rPr>
          <w:rFonts w:eastAsiaTheme="minorEastAsia"/>
          <w:sz w:val="24"/>
        </w:rPr>
        <w:t>130</w:t>
      </w:r>
      <w:r w:rsidRPr="00F9522B">
        <w:rPr>
          <w:rFonts w:eastAsiaTheme="minorEastAsia"/>
          <w:sz w:val="24"/>
        </w:rPr>
        <w:t>＜额定功率＜</w:t>
      </w:r>
      <w:r w:rsidRPr="00F9522B">
        <w:rPr>
          <w:rFonts w:eastAsiaTheme="minorEastAsia"/>
          <w:sz w:val="24"/>
        </w:rPr>
        <w:t>560kW</w:t>
      </w:r>
      <w:r w:rsidRPr="00F9522B">
        <w:rPr>
          <w:rFonts w:eastAsiaTheme="minorEastAsia"/>
          <w:sz w:val="24"/>
        </w:rPr>
        <w:t>）。</w:t>
      </w:r>
    </w:p>
    <w:p w:rsidR="003C682E" w:rsidRPr="00F9522B" w:rsidRDefault="003C682E">
      <w:pPr>
        <w:jc w:val="center"/>
        <w:rPr>
          <w:rFonts w:eastAsiaTheme="minorEastAsia"/>
          <w:b/>
          <w:kern w:val="0"/>
          <w:szCs w:val="21"/>
        </w:rPr>
      </w:pPr>
    </w:p>
    <w:p w:rsidR="002A5A5E" w:rsidRPr="00F9522B" w:rsidRDefault="00611CBA">
      <w:pPr>
        <w:jc w:val="center"/>
        <w:rPr>
          <w:rFonts w:eastAsiaTheme="minorEastAsia"/>
          <w:b/>
          <w:kern w:val="0"/>
          <w:szCs w:val="21"/>
        </w:rPr>
      </w:pPr>
      <w:r w:rsidRPr="00F9522B">
        <w:rPr>
          <w:rFonts w:eastAsiaTheme="minorEastAsia"/>
          <w:b/>
          <w:kern w:val="0"/>
          <w:szCs w:val="21"/>
        </w:rPr>
        <w:lastRenderedPageBreak/>
        <w:t>表</w:t>
      </w:r>
      <w:r w:rsidRPr="00F9522B">
        <w:rPr>
          <w:rFonts w:eastAsiaTheme="minorEastAsia"/>
          <w:b/>
          <w:kern w:val="0"/>
          <w:szCs w:val="21"/>
        </w:rPr>
        <w:t xml:space="preserve">2-5-8 </w:t>
      </w:r>
      <w:r w:rsidRPr="00F9522B">
        <w:rPr>
          <w:rFonts w:eastAsiaTheme="minorEastAsia"/>
          <w:b/>
          <w:kern w:val="0"/>
          <w:szCs w:val="21"/>
        </w:rPr>
        <w:t>柴油机移动泵车大气污染物排放标准</w:t>
      </w:r>
    </w:p>
    <w:tbl>
      <w:tblPr>
        <w:tblW w:w="8721" w:type="dxa"/>
        <w:jc w:val="center"/>
        <w:tblBorders>
          <w:top w:val="single" w:sz="12" w:space="0" w:color="auto"/>
          <w:bottom w:val="single" w:sz="12" w:space="0" w:color="auto"/>
          <w:insideH w:val="single" w:sz="4" w:space="0" w:color="auto"/>
          <w:insideV w:val="single" w:sz="4" w:space="0" w:color="auto"/>
        </w:tblBorders>
        <w:tblLayout w:type="fixed"/>
        <w:tblLook w:val="04A0"/>
      </w:tblPr>
      <w:tblGrid>
        <w:gridCol w:w="669"/>
        <w:gridCol w:w="836"/>
        <w:gridCol w:w="1446"/>
        <w:gridCol w:w="1008"/>
        <w:gridCol w:w="1177"/>
        <w:gridCol w:w="1190"/>
        <w:gridCol w:w="2395"/>
      </w:tblGrid>
      <w:tr w:rsidR="002A5A5E" w:rsidRPr="00F9522B">
        <w:trPr>
          <w:cantSplit/>
          <w:trHeight w:val="173"/>
          <w:jc w:val="center"/>
        </w:trPr>
        <w:tc>
          <w:tcPr>
            <w:tcW w:w="669"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污染源</w:t>
            </w:r>
          </w:p>
        </w:tc>
        <w:tc>
          <w:tcPr>
            <w:tcW w:w="836"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标准</w:t>
            </w:r>
          </w:p>
          <w:p w:rsidR="002A5A5E" w:rsidRPr="00F9522B" w:rsidRDefault="00611CBA">
            <w:pPr>
              <w:adjustRightInd w:val="0"/>
              <w:snapToGrid w:val="0"/>
              <w:jc w:val="center"/>
              <w:rPr>
                <w:rFonts w:eastAsiaTheme="minorEastAsia"/>
                <w:szCs w:val="21"/>
              </w:rPr>
            </w:pPr>
            <w:r w:rsidRPr="00F9522B">
              <w:rPr>
                <w:rFonts w:eastAsiaTheme="minorEastAsia"/>
                <w:szCs w:val="21"/>
              </w:rPr>
              <w:t>级别</w:t>
            </w:r>
          </w:p>
        </w:tc>
        <w:tc>
          <w:tcPr>
            <w:tcW w:w="4821" w:type="dxa"/>
            <w:gridSpan w:val="4"/>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标准限值</w:t>
            </w:r>
          </w:p>
        </w:tc>
        <w:tc>
          <w:tcPr>
            <w:tcW w:w="2395"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标准来源</w:t>
            </w:r>
          </w:p>
        </w:tc>
      </w:tr>
      <w:tr w:rsidR="002A5A5E" w:rsidRPr="00F9522B">
        <w:trPr>
          <w:cantSplit/>
          <w:trHeight w:val="267"/>
          <w:jc w:val="center"/>
        </w:trPr>
        <w:tc>
          <w:tcPr>
            <w:tcW w:w="1505" w:type="dxa"/>
            <w:gridSpan w:val="2"/>
            <w:vMerge w:val="restart"/>
            <w:tcBorders>
              <w:tl2br w:val="nil"/>
              <w:tr2bl w:val="nil"/>
            </w:tcBorders>
            <w:vAlign w:val="center"/>
          </w:tcPr>
          <w:p w:rsidR="002A5A5E" w:rsidRPr="00F9522B" w:rsidRDefault="00611CBA">
            <w:pPr>
              <w:adjustRightInd w:val="0"/>
              <w:snapToGrid w:val="0"/>
              <w:jc w:val="center"/>
              <w:rPr>
                <w:rFonts w:eastAsiaTheme="minorEastAsia"/>
              </w:rPr>
            </w:pPr>
            <w:r w:rsidRPr="00F9522B">
              <w:rPr>
                <w:rFonts w:eastAsiaTheme="minorEastAsia"/>
                <w:szCs w:val="21"/>
              </w:rPr>
              <w:t>柴油机移动泵车废气（</w:t>
            </w:r>
            <w:r w:rsidRPr="00F9522B">
              <w:rPr>
                <w:rFonts w:eastAsiaTheme="minorEastAsia"/>
                <w:szCs w:val="21"/>
              </w:rPr>
              <w:t>130</w:t>
            </w:r>
            <w:r w:rsidRPr="00F9522B">
              <w:rPr>
                <w:rFonts w:eastAsiaTheme="minorEastAsia"/>
                <w:szCs w:val="21"/>
              </w:rPr>
              <w:t>＜</w:t>
            </w:r>
            <w:r w:rsidRPr="00F9522B">
              <w:rPr>
                <w:rFonts w:eastAsiaTheme="minorEastAsia"/>
                <w:szCs w:val="21"/>
              </w:rPr>
              <w:t>Pmax</w:t>
            </w:r>
            <w:r w:rsidRPr="00F9522B">
              <w:rPr>
                <w:rFonts w:eastAsiaTheme="minorEastAsia"/>
                <w:szCs w:val="21"/>
              </w:rPr>
              <w:t>＜</w:t>
            </w:r>
            <w:r w:rsidRPr="00F9522B">
              <w:rPr>
                <w:rFonts w:eastAsiaTheme="minorEastAsia"/>
                <w:szCs w:val="21"/>
              </w:rPr>
              <w:t>560kW</w:t>
            </w:r>
            <w:r w:rsidRPr="00F9522B">
              <w:rPr>
                <w:rFonts w:eastAsiaTheme="minorEastAsia"/>
                <w:szCs w:val="21"/>
              </w:rPr>
              <w:t>）</w:t>
            </w:r>
          </w:p>
        </w:tc>
        <w:tc>
          <w:tcPr>
            <w:tcW w:w="1446" w:type="dxa"/>
            <w:tcBorders>
              <w:tl2br w:val="nil"/>
              <w:tr2bl w:val="nil"/>
            </w:tcBorders>
            <w:vAlign w:val="center"/>
          </w:tcPr>
          <w:p w:rsidR="002A5A5E" w:rsidRPr="00F9522B" w:rsidRDefault="00611CBA">
            <w:pPr>
              <w:widowControl/>
              <w:jc w:val="center"/>
              <w:rPr>
                <w:rFonts w:eastAsiaTheme="minorEastAsia"/>
              </w:rPr>
            </w:pPr>
            <w:r w:rsidRPr="00F9522B">
              <w:rPr>
                <w:rFonts w:eastAsiaTheme="minorEastAsia"/>
                <w:szCs w:val="21"/>
              </w:rPr>
              <w:t>污染物</w:t>
            </w:r>
          </w:p>
        </w:tc>
        <w:tc>
          <w:tcPr>
            <w:tcW w:w="1008"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CO</w:t>
            </w:r>
          </w:p>
        </w:tc>
        <w:tc>
          <w:tcPr>
            <w:tcW w:w="1177"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HC+NO</w:t>
            </w:r>
            <w:r w:rsidRPr="00F9522B">
              <w:rPr>
                <w:rFonts w:eastAsiaTheme="minorEastAsia"/>
                <w:szCs w:val="21"/>
                <w:vertAlign w:val="subscript"/>
              </w:rPr>
              <w:t>x</w:t>
            </w:r>
          </w:p>
        </w:tc>
        <w:tc>
          <w:tcPr>
            <w:tcW w:w="1190"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PM</w:t>
            </w:r>
          </w:p>
        </w:tc>
        <w:tc>
          <w:tcPr>
            <w:tcW w:w="2395" w:type="dxa"/>
            <w:vMerge w:val="restart"/>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GB20891-2014</w:t>
            </w:r>
            <w:r w:rsidRPr="00F9522B">
              <w:rPr>
                <w:rFonts w:eastAsiaTheme="minorEastAsia"/>
                <w:szCs w:val="21"/>
              </w:rPr>
              <w:t>《非道路移动机械用柴油机排气污染物排放限值及测量方法（中国三、四阶段）》中第四阶段（</w:t>
            </w:r>
            <w:r w:rsidRPr="00F9522B">
              <w:rPr>
                <w:rFonts w:eastAsiaTheme="minorEastAsia"/>
                <w:szCs w:val="21"/>
              </w:rPr>
              <w:t>130</w:t>
            </w:r>
            <w:r w:rsidRPr="00F9522B">
              <w:rPr>
                <w:rFonts w:eastAsiaTheme="minorEastAsia"/>
                <w:szCs w:val="21"/>
              </w:rPr>
              <w:t>＜额定功率＜</w:t>
            </w:r>
            <w:r w:rsidRPr="00F9522B">
              <w:rPr>
                <w:rFonts w:eastAsiaTheme="minorEastAsia"/>
                <w:szCs w:val="21"/>
              </w:rPr>
              <w:t>560kW</w:t>
            </w:r>
            <w:r w:rsidRPr="00F9522B">
              <w:rPr>
                <w:rFonts w:eastAsiaTheme="minorEastAsia"/>
                <w:szCs w:val="21"/>
              </w:rPr>
              <w:t>）</w:t>
            </w:r>
          </w:p>
        </w:tc>
      </w:tr>
      <w:tr w:rsidR="002A5A5E" w:rsidRPr="00F9522B">
        <w:trPr>
          <w:cantSplit/>
          <w:trHeight w:val="267"/>
          <w:jc w:val="center"/>
        </w:trPr>
        <w:tc>
          <w:tcPr>
            <w:tcW w:w="1505" w:type="dxa"/>
            <w:gridSpan w:val="2"/>
            <w:vMerge/>
            <w:tcBorders>
              <w:tl2br w:val="nil"/>
              <w:tr2bl w:val="nil"/>
            </w:tcBorders>
            <w:vAlign w:val="center"/>
          </w:tcPr>
          <w:p w:rsidR="002A5A5E" w:rsidRPr="00F9522B" w:rsidRDefault="002A5A5E">
            <w:pPr>
              <w:adjustRightInd w:val="0"/>
              <w:snapToGrid w:val="0"/>
              <w:jc w:val="center"/>
              <w:rPr>
                <w:rFonts w:eastAsiaTheme="minorEastAsia"/>
              </w:rPr>
            </w:pPr>
          </w:p>
        </w:tc>
        <w:tc>
          <w:tcPr>
            <w:tcW w:w="1446" w:type="dxa"/>
            <w:tcBorders>
              <w:tl2br w:val="nil"/>
              <w:tr2bl w:val="nil"/>
            </w:tcBorders>
            <w:vAlign w:val="center"/>
          </w:tcPr>
          <w:p w:rsidR="002A5A5E" w:rsidRPr="00F9522B" w:rsidRDefault="00611CBA">
            <w:pPr>
              <w:widowControl/>
              <w:jc w:val="center"/>
              <w:rPr>
                <w:rFonts w:eastAsiaTheme="minorEastAsia"/>
              </w:rPr>
            </w:pPr>
            <w:r w:rsidRPr="00F9522B">
              <w:rPr>
                <w:rFonts w:eastAsiaTheme="minorEastAsia"/>
                <w:szCs w:val="21"/>
              </w:rPr>
              <w:t>排放浓度（</w:t>
            </w:r>
            <w:r w:rsidRPr="00F9522B">
              <w:rPr>
                <w:rFonts w:eastAsiaTheme="minorEastAsia"/>
                <w:szCs w:val="21"/>
              </w:rPr>
              <w:t>g/kWh</w:t>
            </w:r>
            <w:r w:rsidRPr="00F9522B">
              <w:rPr>
                <w:rFonts w:eastAsiaTheme="minorEastAsia"/>
                <w:szCs w:val="21"/>
              </w:rPr>
              <w:t>）</w:t>
            </w:r>
          </w:p>
        </w:tc>
        <w:tc>
          <w:tcPr>
            <w:tcW w:w="1008"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3.5</w:t>
            </w:r>
          </w:p>
        </w:tc>
        <w:tc>
          <w:tcPr>
            <w:tcW w:w="1177"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4.0</w:t>
            </w:r>
          </w:p>
        </w:tc>
        <w:tc>
          <w:tcPr>
            <w:tcW w:w="1190"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0.2</w:t>
            </w:r>
          </w:p>
        </w:tc>
        <w:tc>
          <w:tcPr>
            <w:tcW w:w="2395" w:type="dxa"/>
            <w:vMerge/>
            <w:tcBorders>
              <w:tl2br w:val="nil"/>
              <w:tr2bl w:val="nil"/>
            </w:tcBorders>
            <w:vAlign w:val="center"/>
          </w:tcPr>
          <w:p w:rsidR="002A5A5E" w:rsidRPr="00F9522B" w:rsidRDefault="002A5A5E">
            <w:pPr>
              <w:adjustRightInd w:val="0"/>
              <w:snapToGrid w:val="0"/>
              <w:jc w:val="center"/>
              <w:rPr>
                <w:rFonts w:eastAsiaTheme="minorEastAsia"/>
                <w:szCs w:val="21"/>
              </w:rPr>
            </w:pPr>
          </w:p>
        </w:tc>
      </w:tr>
    </w:tbl>
    <w:p w:rsidR="002A5A5E" w:rsidRPr="00F9522B" w:rsidRDefault="00760E2B">
      <w:pPr>
        <w:spacing w:line="360" w:lineRule="auto"/>
        <w:ind w:firstLineChars="200" w:firstLine="480"/>
        <w:rPr>
          <w:rFonts w:eastAsiaTheme="minorEastAsia"/>
          <w:sz w:val="24"/>
        </w:rPr>
      </w:pPr>
      <w:r w:rsidRPr="00F9522B">
        <w:rPr>
          <w:rFonts w:eastAsiaTheme="minorEastAsia"/>
          <w:sz w:val="24"/>
        </w:rPr>
        <w:t>（</w:t>
      </w:r>
      <w:r w:rsidRPr="00F9522B">
        <w:rPr>
          <w:rFonts w:eastAsiaTheme="minorEastAsia"/>
          <w:sz w:val="24"/>
        </w:rPr>
        <w:t>2</w:t>
      </w:r>
      <w:r w:rsidRPr="00F9522B">
        <w:rPr>
          <w:rFonts w:eastAsiaTheme="minorEastAsia"/>
          <w:sz w:val="24"/>
        </w:rPr>
        <w:t>）</w:t>
      </w:r>
      <w:r w:rsidR="00611CBA" w:rsidRPr="00F9522B">
        <w:rPr>
          <w:rFonts w:eastAsiaTheme="minorEastAsia"/>
          <w:sz w:val="24"/>
        </w:rPr>
        <w:t>水污染物排放标准</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项目施工期生活污水排入依托附近民房防渗旱厕，定期清掏，外运堆肥，不外排。施工废水洒水抑尘，不外排。</w:t>
      </w:r>
    </w:p>
    <w:p w:rsidR="002A5A5E" w:rsidRPr="00F9522B" w:rsidRDefault="00760E2B">
      <w:pPr>
        <w:spacing w:line="360" w:lineRule="auto"/>
        <w:ind w:firstLineChars="200" w:firstLine="480"/>
        <w:rPr>
          <w:rFonts w:eastAsiaTheme="minorEastAsia"/>
          <w:sz w:val="24"/>
        </w:rPr>
      </w:pPr>
      <w:r w:rsidRPr="00F9522B">
        <w:rPr>
          <w:rFonts w:eastAsiaTheme="minorEastAsia"/>
          <w:sz w:val="24"/>
        </w:rPr>
        <w:t>（</w:t>
      </w:r>
      <w:r w:rsidRPr="00F9522B">
        <w:rPr>
          <w:rFonts w:eastAsiaTheme="minorEastAsia"/>
          <w:sz w:val="24"/>
        </w:rPr>
        <w:t>3</w:t>
      </w:r>
      <w:r w:rsidRPr="00F9522B">
        <w:rPr>
          <w:rFonts w:eastAsiaTheme="minorEastAsia"/>
          <w:sz w:val="24"/>
        </w:rPr>
        <w:t>）</w:t>
      </w:r>
      <w:r w:rsidR="00611CBA" w:rsidRPr="00F9522B">
        <w:rPr>
          <w:rFonts w:eastAsiaTheme="minorEastAsia"/>
          <w:sz w:val="24"/>
        </w:rPr>
        <w:t>噪声排放标准</w:t>
      </w:r>
    </w:p>
    <w:p w:rsidR="002A5A5E" w:rsidRPr="00F9522B" w:rsidRDefault="00611CBA" w:rsidP="00611CBA">
      <w:pPr>
        <w:spacing w:line="360" w:lineRule="auto"/>
        <w:ind w:firstLineChars="177" w:firstLine="425"/>
        <w:contextualSpacing/>
        <w:rPr>
          <w:rFonts w:eastAsiaTheme="minorEastAsia"/>
          <w:sz w:val="24"/>
        </w:rPr>
      </w:pPr>
      <w:r w:rsidRPr="00F9522B">
        <w:rPr>
          <w:rFonts w:eastAsiaTheme="minorEastAsia"/>
          <w:sz w:val="24"/>
        </w:rPr>
        <w:t>本项目施工期噪声执行《建筑施工噪声排放标准》（</w:t>
      </w:r>
      <w:bookmarkStart w:id="42" w:name="_GoBack"/>
      <w:bookmarkEnd w:id="42"/>
      <w:r w:rsidRPr="00F9522B">
        <w:rPr>
          <w:rFonts w:eastAsiaTheme="minorEastAsia"/>
          <w:sz w:val="24"/>
        </w:rPr>
        <w:t>GB12523-2025)</w:t>
      </w:r>
      <w:r w:rsidRPr="00F9522B">
        <w:rPr>
          <w:rFonts w:eastAsiaTheme="minorEastAsia"/>
          <w:sz w:val="24"/>
        </w:rPr>
        <w:t>。</w:t>
      </w:r>
    </w:p>
    <w:p w:rsidR="002A5A5E" w:rsidRPr="00F9522B" w:rsidRDefault="00611CBA">
      <w:pPr>
        <w:spacing w:line="360" w:lineRule="auto"/>
        <w:contextualSpacing/>
        <w:jc w:val="center"/>
        <w:rPr>
          <w:rFonts w:eastAsiaTheme="minorEastAsia"/>
          <w:b/>
          <w:szCs w:val="21"/>
        </w:rPr>
      </w:pPr>
      <w:r w:rsidRPr="00F9522B">
        <w:rPr>
          <w:rFonts w:eastAsiaTheme="minorEastAsia"/>
          <w:b/>
          <w:szCs w:val="21"/>
        </w:rPr>
        <w:t>表</w:t>
      </w:r>
      <w:r w:rsidRPr="00F9522B">
        <w:rPr>
          <w:rFonts w:eastAsiaTheme="minorEastAsia"/>
          <w:b/>
          <w:szCs w:val="21"/>
        </w:rPr>
        <w:t>2-5-9</w:t>
      </w:r>
      <w:r w:rsidRPr="00F9522B">
        <w:rPr>
          <w:rFonts w:eastAsiaTheme="minorEastAsia"/>
          <w:b/>
          <w:szCs w:val="21"/>
        </w:rPr>
        <w:t>《建筑施工噪声排放标准》（</w:t>
      </w:r>
      <w:r w:rsidRPr="00F9522B">
        <w:rPr>
          <w:rFonts w:eastAsiaTheme="minorEastAsia"/>
          <w:b/>
          <w:szCs w:val="21"/>
        </w:rPr>
        <w:t>GB12523-2025</w:t>
      </w:r>
      <w:r w:rsidRPr="00F9522B">
        <w:rPr>
          <w:rFonts w:eastAsiaTheme="minorEastAsia"/>
          <w:b/>
          <w:szCs w:val="21"/>
        </w:rPr>
        <w:t>）</w:t>
      </w:r>
      <w:r w:rsidRPr="00F9522B">
        <w:rPr>
          <w:rFonts w:eastAsiaTheme="minorEastAsia"/>
          <w:b/>
          <w:szCs w:val="21"/>
        </w:rPr>
        <w:t xml:space="preserve"> </w:t>
      </w:r>
      <w:r w:rsidRPr="00F9522B">
        <w:rPr>
          <w:rFonts w:eastAsiaTheme="minorEastAsia"/>
          <w:b/>
          <w:szCs w:val="21"/>
        </w:rPr>
        <w:t>单位：</w:t>
      </w:r>
      <w:r w:rsidRPr="00F9522B">
        <w:rPr>
          <w:rFonts w:eastAsiaTheme="minorEastAsia"/>
          <w:b/>
          <w:szCs w:val="21"/>
        </w:rPr>
        <w:t>dB(A)</w:t>
      </w:r>
    </w:p>
    <w:tbl>
      <w:tblPr>
        <w:tblW w:w="0" w:type="auto"/>
        <w:tblBorders>
          <w:top w:val="single" w:sz="12" w:space="0" w:color="auto"/>
          <w:bottom w:val="single" w:sz="12" w:space="0" w:color="auto"/>
          <w:insideH w:val="single" w:sz="4" w:space="0" w:color="auto"/>
          <w:insideV w:val="single" w:sz="4" w:space="0" w:color="auto"/>
        </w:tblBorders>
        <w:tblLook w:val="04A0"/>
      </w:tblPr>
      <w:tblGrid>
        <w:gridCol w:w="4261"/>
        <w:gridCol w:w="4261"/>
      </w:tblGrid>
      <w:tr w:rsidR="002A5A5E" w:rsidRPr="00F9522B">
        <w:tc>
          <w:tcPr>
            <w:tcW w:w="4374" w:type="dxa"/>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昼间</w:t>
            </w:r>
          </w:p>
        </w:tc>
        <w:tc>
          <w:tcPr>
            <w:tcW w:w="4374" w:type="dxa"/>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夜间</w:t>
            </w:r>
          </w:p>
        </w:tc>
      </w:tr>
      <w:tr w:rsidR="002A5A5E" w:rsidRPr="00F9522B">
        <w:tc>
          <w:tcPr>
            <w:tcW w:w="4374" w:type="dxa"/>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70</w:t>
            </w:r>
          </w:p>
        </w:tc>
        <w:tc>
          <w:tcPr>
            <w:tcW w:w="4374" w:type="dxa"/>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55</w:t>
            </w:r>
          </w:p>
        </w:tc>
      </w:tr>
    </w:tbl>
    <w:p w:rsidR="002A5A5E" w:rsidRPr="00F9522B" w:rsidRDefault="00611CBA" w:rsidP="00611CBA">
      <w:pPr>
        <w:spacing w:line="360" w:lineRule="auto"/>
        <w:ind w:firstLineChars="177" w:firstLine="425"/>
        <w:contextualSpacing/>
        <w:rPr>
          <w:rFonts w:eastAsiaTheme="minorEastAsia"/>
          <w:sz w:val="24"/>
        </w:rPr>
      </w:pPr>
      <w:r w:rsidRPr="00F9522B">
        <w:rPr>
          <w:rFonts w:eastAsiaTheme="minorEastAsia"/>
          <w:sz w:val="24"/>
        </w:rPr>
        <w:t>项目运营期井房厂界</w:t>
      </w:r>
      <w:r w:rsidRPr="00F9522B">
        <w:rPr>
          <w:rFonts w:eastAsiaTheme="minorEastAsia"/>
          <w:bCs/>
          <w:sz w:val="24"/>
        </w:rPr>
        <w:t>噪声执行《工业企业厂界环境噪声排放标准》（</w:t>
      </w:r>
      <w:r w:rsidRPr="00F9522B">
        <w:rPr>
          <w:rFonts w:eastAsiaTheme="minorEastAsia"/>
          <w:bCs/>
          <w:sz w:val="24"/>
        </w:rPr>
        <w:t>GB12348-2008</w:t>
      </w:r>
      <w:r w:rsidRPr="00F9522B">
        <w:rPr>
          <w:rFonts w:eastAsiaTheme="minorEastAsia"/>
          <w:bCs/>
          <w:sz w:val="24"/>
        </w:rPr>
        <w:t>）表</w:t>
      </w:r>
      <w:r w:rsidRPr="00F9522B">
        <w:rPr>
          <w:rFonts w:eastAsiaTheme="minorEastAsia"/>
          <w:bCs/>
          <w:sz w:val="24"/>
        </w:rPr>
        <w:t>1</w:t>
      </w:r>
      <w:r w:rsidRPr="00F9522B">
        <w:rPr>
          <w:rFonts w:eastAsiaTheme="minorEastAsia"/>
          <w:bCs/>
          <w:sz w:val="24"/>
        </w:rPr>
        <w:t>中</w:t>
      </w:r>
      <w:r w:rsidRPr="00F9522B">
        <w:rPr>
          <w:rFonts w:eastAsiaTheme="minorEastAsia"/>
          <w:bCs/>
          <w:sz w:val="24"/>
        </w:rPr>
        <w:t>1</w:t>
      </w:r>
      <w:r w:rsidRPr="00F9522B">
        <w:rPr>
          <w:rFonts w:eastAsiaTheme="minorEastAsia"/>
          <w:bCs/>
          <w:sz w:val="24"/>
        </w:rPr>
        <w:t>类标准</w:t>
      </w:r>
      <w:r w:rsidRPr="00F9522B">
        <w:rPr>
          <w:rFonts w:eastAsiaTheme="minorEastAsia"/>
          <w:sz w:val="24"/>
        </w:rPr>
        <w:t>。</w:t>
      </w:r>
    </w:p>
    <w:p w:rsidR="002A5A5E" w:rsidRPr="00F9522B" w:rsidRDefault="00611CBA">
      <w:pPr>
        <w:contextualSpacing/>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2-5-10</w:t>
      </w:r>
      <w:r w:rsidRPr="00F9522B">
        <w:rPr>
          <w:rFonts w:eastAsiaTheme="minorEastAsia"/>
          <w:b/>
          <w:kern w:val="0"/>
          <w:szCs w:val="21"/>
        </w:rPr>
        <w:t>噪声排放标准</w:t>
      </w:r>
      <w:r w:rsidRPr="00F9522B">
        <w:rPr>
          <w:rFonts w:eastAsiaTheme="minorEastAsia"/>
          <w:b/>
          <w:kern w:val="0"/>
          <w:szCs w:val="21"/>
        </w:rPr>
        <w:t xml:space="preserve">  </w:t>
      </w:r>
      <w:r w:rsidRPr="00F9522B">
        <w:rPr>
          <w:rFonts w:eastAsiaTheme="minorEastAsia"/>
          <w:b/>
          <w:kern w:val="0"/>
          <w:szCs w:val="21"/>
        </w:rPr>
        <w:t>单位：</w:t>
      </w:r>
      <w:r w:rsidRPr="00F9522B">
        <w:rPr>
          <w:rFonts w:eastAsiaTheme="minorEastAsia"/>
          <w:b/>
          <w:kern w:val="0"/>
          <w:szCs w:val="21"/>
        </w:rPr>
        <w:t>dB(A)</w:t>
      </w:r>
    </w:p>
    <w:tbl>
      <w:tblPr>
        <w:tblW w:w="0" w:type="auto"/>
        <w:jc w:val="center"/>
        <w:tblBorders>
          <w:top w:val="single" w:sz="12" w:space="0" w:color="000000"/>
          <w:bottom w:val="single" w:sz="12" w:space="0" w:color="000000"/>
          <w:insideH w:val="single" w:sz="4" w:space="0" w:color="000000"/>
          <w:insideV w:val="single" w:sz="4" w:space="0" w:color="000000"/>
        </w:tblBorders>
        <w:tblLook w:val="04A0"/>
      </w:tblPr>
      <w:tblGrid>
        <w:gridCol w:w="1686"/>
        <w:gridCol w:w="1290"/>
        <w:gridCol w:w="960"/>
        <w:gridCol w:w="1134"/>
        <w:gridCol w:w="3452"/>
      </w:tblGrid>
      <w:tr w:rsidR="002A5A5E" w:rsidRPr="00F9522B">
        <w:trPr>
          <w:jc w:val="center"/>
        </w:trPr>
        <w:tc>
          <w:tcPr>
            <w:tcW w:w="1686" w:type="dxa"/>
            <w:vAlign w:val="center"/>
          </w:tcPr>
          <w:p w:rsidR="002A5A5E" w:rsidRPr="00F9522B" w:rsidRDefault="00611CBA">
            <w:pPr>
              <w:jc w:val="center"/>
              <w:rPr>
                <w:rFonts w:eastAsiaTheme="minorEastAsia"/>
                <w:szCs w:val="21"/>
              </w:rPr>
            </w:pPr>
            <w:r w:rsidRPr="00F9522B">
              <w:rPr>
                <w:rFonts w:eastAsiaTheme="minorEastAsia"/>
                <w:kern w:val="0"/>
                <w:szCs w:val="21"/>
              </w:rPr>
              <w:t>厂界</w:t>
            </w:r>
          </w:p>
        </w:tc>
        <w:tc>
          <w:tcPr>
            <w:tcW w:w="1290" w:type="dxa"/>
            <w:vAlign w:val="center"/>
          </w:tcPr>
          <w:p w:rsidR="002A5A5E" w:rsidRPr="00F9522B" w:rsidRDefault="00611CBA">
            <w:pPr>
              <w:jc w:val="center"/>
              <w:rPr>
                <w:rFonts w:eastAsiaTheme="minorEastAsia"/>
                <w:szCs w:val="21"/>
              </w:rPr>
            </w:pPr>
            <w:r w:rsidRPr="00F9522B">
              <w:rPr>
                <w:rFonts w:eastAsiaTheme="minorEastAsia"/>
                <w:kern w:val="0"/>
                <w:szCs w:val="21"/>
              </w:rPr>
              <w:t>评价时段</w:t>
            </w:r>
          </w:p>
        </w:tc>
        <w:tc>
          <w:tcPr>
            <w:tcW w:w="960" w:type="dxa"/>
            <w:vAlign w:val="center"/>
          </w:tcPr>
          <w:p w:rsidR="002A5A5E" w:rsidRPr="00F9522B" w:rsidRDefault="00611CBA">
            <w:pPr>
              <w:jc w:val="center"/>
              <w:rPr>
                <w:rFonts w:eastAsiaTheme="minorEastAsia"/>
                <w:szCs w:val="21"/>
              </w:rPr>
            </w:pPr>
            <w:r w:rsidRPr="00F9522B">
              <w:rPr>
                <w:rFonts w:eastAsiaTheme="minorEastAsia"/>
                <w:kern w:val="0"/>
                <w:szCs w:val="21"/>
              </w:rPr>
              <w:t>昼间</w:t>
            </w:r>
          </w:p>
        </w:tc>
        <w:tc>
          <w:tcPr>
            <w:tcW w:w="1134" w:type="dxa"/>
            <w:vAlign w:val="center"/>
          </w:tcPr>
          <w:p w:rsidR="002A5A5E" w:rsidRPr="00F9522B" w:rsidRDefault="00611CBA">
            <w:pPr>
              <w:jc w:val="center"/>
              <w:rPr>
                <w:rFonts w:eastAsiaTheme="minorEastAsia"/>
                <w:szCs w:val="21"/>
              </w:rPr>
            </w:pPr>
            <w:r w:rsidRPr="00F9522B">
              <w:rPr>
                <w:rFonts w:eastAsiaTheme="minorEastAsia"/>
                <w:kern w:val="0"/>
                <w:szCs w:val="21"/>
              </w:rPr>
              <w:t>夜间</w:t>
            </w:r>
          </w:p>
        </w:tc>
        <w:tc>
          <w:tcPr>
            <w:tcW w:w="3452" w:type="dxa"/>
          </w:tcPr>
          <w:p w:rsidR="002A5A5E" w:rsidRPr="00F9522B" w:rsidRDefault="00611CBA">
            <w:pPr>
              <w:jc w:val="center"/>
              <w:rPr>
                <w:rFonts w:eastAsiaTheme="minorEastAsia"/>
                <w:szCs w:val="21"/>
              </w:rPr>
            </w:pPr>
            <w:r w:rsidRPr="00F9522B">
              <w:rPr>
                <w:rFonts w:eastAsiaTheme="minorEastAsia"/>
                <w:kern w:val="0"/>
                <w:szCs w:val="21"/>
              </w:rPr>
              <w:t>标准来源</w:t>
            </w:r>
          </w:p>
        </w:tc>
      </w:tr>
      <w:tr w:rsidR="002A5A5E" w:rsidRPr="00F9522B">
        <w:trPr>
          <w:jc w:val="center"/>
        </w:trPr>
        <w:tc>
          <w:tcPr>
            <w:tcW w:w="1686" w:type="dxa"/>
            <w:vAlign w:val="center"/>
          </w:tcPr>
          <w:p w:rsidR="002A5A5E" w:rsidRPr="00F9522B" w:rsidRDefault="00611CBA">
            <w:pPr>
              <w:jc w:val="center"/>
              <w:rPr>
                <w:rFonts w:eastAsiaTheme="minorEastAsia"/>
                <w:szCs w:val="21"/>
              </w:rPr>
            </w:pPr>
            <w:r w:rsidRPr="00F9522B">
              <w:rPr>
                <w:rFonts w:eastAsiaTheme="minorEastAsia"/>
                <w:kern w:val="0"/>
                <w:szCs w:val="21"/>
              </w:rPr>
              <w:t>井房厂界</w:t>
            </w:r>
          </w:p>
        </w:tc>
        <w:tc>
          <w:tcPr>
            <w:tcW w:w="1290" w:type="dxa"/>
            <w:vAlign w:val="center"/>
          </w:tcPr>
          <w:p w:rsidR="002A5A5E" w:rsidRPr="00F9522B" w:rsidRDefault="00611CBA">
            <w:pPr>
              <w:jc w:val="center"/>
              <w:rPr>
                <w:rFonts w:eastAsiaTheme="minorEastAsia"/>
                <w:szCs w:val="21"/>
              </w:rPr>
            </w:pPr>
            <w:r w:rsidRPr="00F9522B">
              <w:rPr>
                <w:rFonts w:eastAsiaTheme="minorEastAsia"/>
                <w:kern w:val="0"/>
                <w:szCs w:val="21"/>
              </w:rPr>
              <w:t>运营期</w:t>
            </w:r>
          </w:p>
        </w:tc>
        <w:tc>
          <w:tcPr>
            <w:tcW w:w="960" w:type="dxa"/>
            <w:vAlign w:val="center"/>
          </w:tcPr>
          <w:p w:rsidR="002A5A5E" w:rsidRPr="00F9522B" w:rsidRDefault="00611CBA">
            <w:pPr>
              <w:jc w:val="center"/>
              <w:rPr>
                <w:rFonts w:eastAsiaTheme="minorEastAsia"/>
                <w:szCs w:val="21"/>
              </w:rPr>
            </w:pPr>
            <w:r w:rsidRPr="00F9522B">
              <w:rPr>
                <w:rFonts w:eastAsiaTheme="minorEastAsia"/>
                <w:szCs w:val="21"/>
              </w:rPr>
              <w:t>55</w:t>
            </w:r>
          </w:p>
        </w:tc>
        <w:tc>
          <w:tcPr>
            <w:tcW w:w="1134" w:type="dxa"/>
            <w:vAlign w:val="center"/>
          </w:tcPr>
          <w:p w:rsidR="002A5A5E" w:rsidRPr="00F9522B" w:rsidRDefault="00611CBA">
            <w:pPr>
              <w:jc w:val="center"/>
              <w:rPr>
                <w:rFonts w:eastAsiaTheme="minorEastAsia"/>
                <w:szCs w:val="21"/>
              </w:rPr>
            </w:pPr>
            <w:r w:rsidRPr="00F9522B">
              <w:rPr>
                <w:rFonts w:eastAsiaTheme="minorEastAsia"/>
                <w:szCs w:val="21"/>
              </w:rPr>
              <w:t>45</w:t>
            </w:r>
          </w:p>
        </w:tc>
        <w:tc>
          <w:tcPr>
            <w:tcW w:w="3452" w:type="dxa"/>
          </w:tcPr>
          <w:p w:rsidR="002A5A5E" w:rsidRPr="00F9522B" w:rsidRDefault="00611CBA">
            <w:pPr>
              <w:jc w:val="center"/>
              <w:rPr>
                <w:rFonts w:eastAsiaTheme="minorEastAsia"/>
                <w:szCs w:val="21"/>
              </w:rPr>
            </w:pPr>
            <w:r w:rsidRPr="00F9522B">
              <w:rPr>
                <w:rFonts w:eastAsiaTheme="minorEastAsia"/>
                <w:kern w:val="0"/>
                <w:szCs w:val="21"/>
              </w:rPr>
              <w:t>《工业企业厂界环境噪声排放标准》（</w:t>
            </w:r>
            <w:r w:rsidRPr="00F9522B">
              <w:rPr>
                <w:rFonts w:eastAsiaTheme="minorEastAsia"/>
                <w:kern w:val="0"/>
                <w:szCs w:val="21"/>
              </w:rPr>
              <w:t>GB12348-2008</w:t>
            </w:r>
            <w:r w:rsidRPr="00F9522B">
              <w:rPr>
                <w:rFonts w:eastAsiaTheme="minorEastAsia"/>
                <w:kern w:val="0"/>
                <w:szCs w:val="21"/>
              </w:rPr>
              <w:t>）</w:t>
            </w:r>
            <w:r w:rsidRPr="00F9522B">
              <w:rPr>
                <w:rFonts w:eastAsiaTheme="minorEastAsia"/>
                <w:snapToGrid w:val="0"/>
                <w:kern w:val="0"/>
              </w:rPr>
              <w:t>表</w:t>
            </w:r>
            <w:r w:rsidRPr="00F9522B">
              <w:rPr>
                <w:rFonts w:eastAsiaTheme="minorEastAsia"/>
                <w:snapToGrid w:val="0"/>
                <w:kern w:val="0"/>
              </w:rPr>
              <w:t>1</w:t>
            </w:r>
            <w:r w:rsidRPr="00F9522B">
              <w:rPr>
                <w:rFonts w:eastAsiaTheme="minorEastAsia"/>
                <w:snapToGrid w:val="0"/>
                <w:kern w:val="0"/>
              </w:rPr>
              <w:t>中</w:t>
            </w:r>
            <w:r w:rsidRPr="00F9522B">
              <w:rPr>
                <w:rFonts w:eastAsiaTheme="minorEastAsia"/>
                <w:kern w:val="0"/>
                <w:szCs w:val="21"/>
              </w:rPr>
              <w:t>1</w:t>
            </w:r>
            <w:r w:rsidRPr="00F9522B">
              <w:rPr>
                <w:rFonts w:eastAsiaTheme="minorEastAsia"/>
                <w:kern w:val="0"/>
                <w:szCs w:val="21"/>
              </w:rPr>
              <w:t>类</w:t>
            </w:r>
          </w:p>
        </w:tc>
      </w:tr>
    </w:tbl>
    <w:p w:rsidR="002A5A5E" w:rsidRPr="00F9522B" w:rsidRDefault="00760E2B">
      <w:pPr>
        <w:spacing w:line="360" w:lineRule="auto"/>
        <w:ind w:firstLineChars="200" w:firstLine="480"/>
        <w:rPr>
          <w:sz w:val="24"/>
        </w:rPr>
      </w:pPr>
      <w:r w:rsidRPr="00F9522B">
        <w:rPr>
          <w:rFonts w:eastAsiaTheme="minorEastAsia"/>
          <w:sz w:val="24"/>
        </w:rPr>
        <w:t>（</w:t>
      </w:r>
      <w:r w:rsidRPr="00F9522B">
        <w:rPr>
          <w:rFonts w:eastAsiaTheme="minorEastAsia"/>
          <w:sz w:val="24"/>
        </w:rPr>
        <w:t>4</w:t>
      </w:r>
      <w:r w:rsidRPr="00F9522B">
        <w:rPr>
          <w:rFonts w:eastAsiaTheme="minorEastAsia"/>
          <w:sz w:val="24"/>
        </w:rPr>
        <w:t>）</w:t>
      </w:r>
      <w:r w:rsidR="00611CBA" w:rsidRPr="00F9522B">
        <w:rPr>
          <w:sz w:val="24"/>
        </w:rPr>
        <w:t>固体废物排放标准</w:t>
      </w:r>
    </w:p>
    <w:p w:rsidR="002A5A5E" w:rsidRPr="00F9522B" w:rsidRDefault="00611CBA" w:rsidP="00611CBA">
      <w:pPr>
        <w:spacing w:line="360" w:lineRule="auto"/>
        <w:ind w:firstLineChars="177" w:firstLine="425"/>
        <w:contextualSpacing/>
        <w:rPr>
          <w:rFonts w:eastAsiaTheme="minorEastAsia"/>
          <w:sz w:val="24"/>
        </w:rPr>
      </w:pPr>
      <w:r w:rsidRPr="00F9522B">
        <w:rPr>
          <w:sz w:val="24"/>
        </w:rPr>
        <w:t>本项目一般工业固体废物处置应符合《一般工业固体废物贮存和填埋污染控制标准》（</w:t>
      </w:r>
      <w:r w:rsidRPr="00F9522B">
        <w:rPr>
          <w:sz w:val="24"/>
        </w:rPr>
        <w:t>GB18599-2020</w:t>
      </w:r>
      <w:r w:rsidRPr="00F9522B">
        <w:rPr>
          <w:sz w:val="24"/>
        </w:rPr>
        <w:t>）。</w:t>
      </w:r>
    </w:p>
    <w:p w:rsidR="002A5A5E" w:rsidRPr="00F9522B" w:rsidRDefault="00611CBA">
      <w:pPr>
        <w:spacing w:before="100" w:beforeAutospacing="1" w:after="100" w:afterAutospacing="1"/>
        <w:jc w:val="left"/>
        <w:outlineLvl w:val="1"/>
        <w:rPr>
          <w:rFonts w:eastAsiaTheme="minorEastAsia"/>
          <w:b/>
          <w:bCs/>
          <w:kern w:val="44"/>
          <w:sz w:val="30"/>
          <w:szCs w:val="30"/>
        </w:rPr>
      </w:pPr>
      <w:bookmarkStart w:id="43" w:name="_Toc208906229"/>
      <w:r w:rsidRPr="00F9522B">
        <w:rPr>
          <w:rFonts w:eastAsiaTheme="minorEastAsia"/>
          <w:b/>
          <w:bCs/>
          <w:kern w:val="44"/>
          <w:sz w:val="30"/>
          <w:szCs w:val="30"/>
        </w:rPr>
        <w:t>2.6</w:t>
      </w:r>
      <w:r w:rsidRPr="00F9522B">
        <w:rPr>
          <w:rFonts w:eastAsiaTheme="minorEastAsia"/>
          <w:b/>
          <w:bCs/>
          <w:kern w:val="44"/>
          <w:sz w:val="30"/>
          <w:szCs w:val="30"/>
        </w:rPr>
        <w:t>评价工作等级</w:t>
      </w:r>
      <w:bookmarkEnd w:id="43"/>
    </w:p>
    <w:p w:rsidR="002A5A5E" w:rsidRPr="00F9522B" w:rsidRDefault="00611CBA">
      <w:pPr>
        <w:pStyle w:val="30"/>
        <w:spacing w:before="100" w:beforeAutospacing="1" w:after="100" w:afterAutospacing="1" w:line="240" w:lineRule="auto"/>
        <w:ind w:firstLineChars="0" w:firstLine="0"/>
        <w:rPr>
          <w:rFonts w:ascii="Times New Roman" w:eastAsiaTheme="minorEastAsia" w:hAnsi="Times New Roman" w:cs="Times New Roman"/>
          <w:b/>
          <w:sz w:val="28"/>
          <w:szCs w:val="28"/>
        </w:rPr>
      </w:pPr>
      <w:bookmarkStart w:id="44" w:name="_Toc88969053"/>
      <w:bookmarkStart w:id="45" w:name="_Toc88968910"/>
      <w:bookmarkStart w:id="46" w:name="_Toc88900493"/>
      <w:bookmarkStart w:id="47" w:name="_Toc89231863"/>
      <w:r w:rsidRPr="00F9522B">
        <w:rPr>
          <w:rFonts w:ascii="Times New Roman" w:eastAsiaTheme="minorEastAsia" w:hAnsi="Times New Roman" w:cs="Times New Roman"/>
          <w:b/>
          <w:sz w:val="28"/>
          <w:szCs w:val="28"/>
        </w:rPr>
        <w:t>2.6.1</w:t>
      </w:r>
      <w:r w:rsidRPr="00F9522B">
        <w:rPr>
          <w:rFonts w:ascii="Times New Roman" w:eastAsiaTheme="minorEastAsia" w:hAnsi="Times New Roman" w:cs="Times New Roman"/>
          <w:b/>
          <w:sz w:val="28"/>
          <w:szCs w:val="28"/>
        </w:rPr>
        <w:t>环境空气评价工作等级</w:t>
      </w:r>
    </w:p>
    <w:bookmarkEnd w:id="44"/>
    <w:bookmarkEnd w:id="45"/>
    <w:bookmarkEnd w:id="46"/>
    <w:bookmarkEnd w:id="47"/>
    <w:p w:rsidR="002A5A5E" w:rsidRPr="00F9522B" w:rsidRDefault="00611CBA">
      <w:pPr>
        <w:spacing w:line="360" w:lineRule="auto"/>
        <w:ind w:firstLineChars="200" w:firstLine="480"/>
        <w:rPr>
          <w:rFonts w:eastAsiaTheme="minorEastAsia"/>
          <w:sz w:val="24"/>
        </w:rPr>
      </w:pPr>
      <w:r w:rsidRPr="00F9522B">
        <w:rPr>
          <w:rFonts w:eastAsiaTheme="minorEastAsia"/>
          <w:sz w:val="24"/>
        </w:rPr>
        <w:t>本项目为高标准农田建设项目，产生废气主要为施工期扬尘、发电机废气、施工车辆尾气及运营期汽车尾气、柴油机移动泵车废气、清淤恶臭。本项目运营期排水沟仅在降水无法排出情况下采用柴油机移动泵车进行排水，使用时间较短，项目区周边环境以农田为主，周围较空旷，空气流动性好，有利于污染物稀释扩</w:t>
      </w:r>
      <w:r w:rsidRPr="00F9522B">
        <w:rPr>
          <w:rFonts w:eastAsiaTheme="minorEastAsia"/>
          <w:sz w:val="24"/>
        </w:rPr>
        <w:lastRenderedPageBreak/>
        <w:t>散，对周围环境空气质量影响较小。</w:t>
      </w:r>
      <w:r w:rsidRPr="00F9522B">
        <w:rPr>
          <w:sz w:val="24"/>
        </w:rPr>
        <w:t>影响范围主要在施工场区附近。考虑施工期对大气环境的影响，因此，确定大气环境评价工作等级为三级</w:t>
      </w:r>
      <w:r w:rsidRPr="00F9522B">
        <w:rPr>
          <w:rFonts w:eastAsiaTheme="minorEastAsia"/>
          <w:sz w:val="24"/>
        </w:rPr>
        <w:t>。</w:t>
      </w:r>
    </w:p>
    <w:p w:rsidR="002A5A5E" w:rsidRPr="00F9522B" w:rsidRDefault="00611CBA">
      <w:pPr>
        <w:pStyle w:val="30"/>
        <w:spacing w:before="100" w:beforeAutospacing="1" w:after="100" w:afterAutospacing="1" w:line="240" w:lineRule="auto"/>
        <w:ind w:firstLineChars="0" w:firstLine="0"/>
        <w:rPr>
          <w:rFonts w:ascii="Times New Roman" w:eastAsiaTheme="minorEastAsia" w:hAnsi="Times New Roman" w:cs="Times New Roman"/>
          <w:b/>
          <w:sz w:val="28"/>
          <w:szCs w:val="28"/>
        </w:rPr>
      </w:pPr>
      <w:r w:rsidRPr="00F9522B">
        <w:rPr>
          <w:rFonts w:ascii="Times New Roman" w:eastAsiaTheme="minorEastAsia" w:hAnsi="Times New Roman" w:cs="Times New Roman"/>
          <w:b/>
          <w:sz w:val="28"/>
          <w:szCs w:val="28"/>
        </w:rPr>
        <w:t>2.6.2</w:t>
      </w:r>
      <w:r w:rsidRPr="00F9522B">
        <w:rPr>
          <w:rFonts w:ascii="Times New Roman" w:eastAsiaTheme="minorEastAsia" w:hAnsi="Times New Roman" w:cs="Times New Roman"/>
          <w:b/>
          <w:sz w:val="28"/>
          <w:szCs w:val="28"/>
        </w:rPr>
        <w:t>地表水环境</w:t>
      </w:r>
    </w:p>
    <w:p w:rsidR="002A5A5E" w:rsidRPr="00F9522B" w:rsidRDefault="00611CBA">
      <w:pPr>
        <w:spacing w:line="360" w:lineRule="auto"/>
        <w:ind w:firstLineChars="200" w:firstLine="480"/>
        <w:rPr>
          <w:rFonts w:eastAsiaTheme="minorEastAsia"/>
          <w:snapToGrid w:val="0"/>
          <w:kern w:val="0"/>
          <w:sz w:val="24"/>
        </w:rPr>
      </w:pPr>
      <w:r w:rsidRPr="00F9522B">
        <w:rPr>
          <w:rFonts w:eastAsiaTheme="minorEastAsia"/>
          <w:snapToGrid w:val="0"/>
          <w:kern w:val="0"/>
          <w:sz w:val="24"/>
        </w:rPr>
        <w:t>根据《环境影响评价技术导则</w:t>
      </w:r>
      <w:r w:rsidR="00046565" w:rsidRPr="00F9522B">
        <w:rPr>
          <w:rFonts w:eastAsiaTheme="minorEastAsia"/>
          <w:snapToGrid w:val="0"/>
          <w:kern w:val="0"/>
          <w:sz w:val="24"/>
        </w:rPr>
        <w:t xml:space="preserve"> </w:t>
      </w:r>
      <w:r w:rsidRPr="00F9522B">
        <w:rPr>
          <w:rFonts w:eastAsiaTheme="minorEastAsia"/>
          <w:snapToGrid w:val="0"/>
          <w:kern w:val="0"/>
          <w:sz w:val="24"/>
        </w:rPr>
        <w:t>地表水环境》（</w:t>
      </w:r>
      <w:r w:rsidRPr="00F9522B">
        <w:rPr>
          <w:rFonts w:eastAsiaTheme="minorEastAsia"/>
          <w:snapToGrid w:val="0"/>
          <w:kern w:val="0"/>
          <w:sz w:val="24"/>
        </w:rPr>
        <w:t>HJ2.3-2018</w:t>
      </w:r>
      <w:r w:rsidRPr="00F9522B">
        <w:rPr>
          <w:rFonts w:eastAsiaTheme="minorEastAsia"/>
          <w:snapToGrid w:val="0"/>
          <w:kern w:val="0"/>
          <w:sz w:val="24"/>
        </w:rPr>
        <w:t>），建设项目的地表水环境影响主要包括水污染影响与水文要素影响，本工程属于水污染及水文因素影响类兼有的复合影响型项目。</w:t>
      </w:r>
    </w:p>
    <w:p w:rsidR="002A5A5E" w:rsidRPr="00F9522B" w:rsidRDefault="00611CBA">
      <w:pPr>
        <w:spacing w:line="360" w:lineRule="auto"/>
        <w:ind w:firstLineChars="200" w:firstLine="480"/>
        <w:rPr>
          <w:rFonts w:eastAsiaTheme="minorEastAsia"/>
          <w:snapToGrid w:val="0"/>
          <w:kern w:val="0"/>
          <w:sz w:val="24"/>
        </w:rPr>
      </w:pPr>
      <w:r w:rsidRPr="00F9522B">
        <w:rPr>
          <w:rFonts w:eastAsiaTheme="minorEastAsia"/>
          <w:snapToGrid w:val="0"/>
          <w:kern w:val="0"/>
          <w:sz w:val="24"/>
        </w:rPr>
        <w:t>（</w:t>
      </w:r>
      <w:r w:rsidRPr="00F9522B">
        <w:rPr>
          <w:rFonts w:eastAsiaTheme="minorEastAsia"/>
          <w:snapToGrid w:val="0"/>
          <w:kern w:val="0"/>
          <w:sz w:val="24"/>
        </w:rPr>
        <w:t>1</w:t>
      </w:r>
      <w:r w:rsidRPr="00F9522B">
        <w:rPr>
          <w:rFonts w:eastAsiaTheme="minorEastAsia"/>
          <w:snapToGrid w:val="0"/>
          <w:kern w:val="0"/>
          <w:sz w:val="24"/>
        </w:rPr>
        <w:t>）水污染影响型建设项目评价等级确定</w:t>
      </w:r>
    </w:p>
    <w:p w:rsidR="002A5A5E" w:rsidRPr="00F9522B" w:rsidRDefault="00611CBA">
      <w:pPr>
        <w:spacing w:line="360" w:lineRule="auto"/>
        <w:ind w:firstLineChars="200" w:firstLine="480"/>
        <w:rPr>
          <w:rFonts w:eastAsiaTheme="minorEastAsia"/>
          <w:snapToGrid w:val="0"/>
          <w:kern w:val="0"/>
          <w:sz w:val="24"/>
        </w:rPr>
      </w:pPr>
      <w:r w:rsidRPr="00F9522B">
        <w:rPr>
          <w:rFonts w:eastAsiaTheme="minorEastAsia"/>
          <w:snapToGrid w:val="0"/>
          <w:kern w:val="0"/>
          <w:sz w:val="24"/>
        </w:rPr>
        <w:t>根据《环境影响评价技术导则</w:t>
      </w:r>
      <w:r w:rsidRPr="00F9522B">
        <w:rPr>
          <w:rFonts w:eastAsiaTheme="minorEastAsia"/>
          <w:snapToGrid w:val="0"/>
          <w:kern w:val="0"/>
          <w:sz w:val="24"/>
        </w:rPr>
        <w:t xml:space="preserve"> </w:t>
      </w:r>
      <w:r w:rsidRPr="00F9522B">
        <w:rPr>
          <w:rFonts w:eastAsiaTheme="minorEastAsia"/>
          <w:snapToGrid w:val="0"/>
          <w:kern w:val="0"/>
          <w:sz w:val="24"/>
        </w:rPr>
        <w:t>地表水环境》（</w:t>
      </w:r>
      <w:r w:rsidRPr="00F9522B">
        <w:rPr>
          <w:rFonts w:eastAsiaTheme="minorEastAsia"/>
          <w:snapToGrid w:val="0"/>
          <w:kern w:val="0"/>
          <w:sz w:val="24"/>
        </w:rPr>
        <w:t>HJ2.3-2018</w:t>
      </w:r>
      <w:r w:rsidRPr="00F9522B">
        <w:rPr>
          <w:rFonts w:eastAsiaTheme="minorEastAsia"/>
          <w:snapToGrid w:val="0"/>
          <w:kern w:val="0"/>
          <w:sz w:val="24"/>
        </w:rPr>
        <w:t>）中的有关规定，将地表水环境影响评价工作等级分为一级、二级、三级</w:t>
      </w:r>
      <w:r w:rsidRPr="00F9522B">
        <w:rPr>
          <w:rFonts w:eastAsiaTheme="minorEastAsia"/>
          <w:snapToGrid w:val="0"/>
          <w:kern w:val="0"/>
          <w:sz w:val="24"/>
        </w:rPr>
        <w:t>A</w:t>
      </w:r>
      <w:r w:rsidRPr="00F9522B">
        <w:rPr>
          <w:rFonts w:eastAsiaTheme="minorEastAsia"/>
          <w:snapToGrid w:val="0"/>
          <w:kern w:val="0"/>
          <w:sz w:val="24"/>
        </w:rPr>
        <w:t>、三级</w:t>
      </w:r>
      <w:r w:rsidRPr="00F9522B">
        <w:rPr>
          <w:rFonts w:eastAsiaTheme="minorEastAsia"/>
          <w:snapToGrid w:val="0"/>
          <w:kern w:val="0"/>
          <w:sz w:val="24"/>
        </w:rPr>
        <w:t>B</w:t>
      </w:r>
      <w:r w:rsidRPr="00F9522B">
        <w:rPr>
          <w:rFonts w:eastAsiaTheme="minorEastAsia"/>
          <w:snapToGrid w:val="0"/>
          <w:kern w:val="0"/>
          <w:sz w:val="24"/>
        </w:rPr>
        <w:t>，划分依据见表</w:t>
      </w:r>
      <w:r w:rsidRPr="00F9522B">
        <w:rPr>
          <w:rFonts w:eastAsiaTheme="minorEastAsia"/>
          <w:snapToGrid w:val="0"/>
          <w:kern w:val="0"/>
          <w:sz w:val="24"/>
        </w:rPr>
        <w:t>2-6-1</w:t>
      </w:r>
      <w:r w:rsidRPr="00F9522B">
        <w:rPr>
          <w:rFonts w:eastAsiaTheme="minorEastAsia"/>
          <w:snapToGrid w:val="0"/>
          <w:kern w:val="0"/>
          <w:sz w:val="24"/>
        </w:rPr>
        <w:t>。</w:t>
      </w:r>
    </w:p>
    <w:p w:rsidR="002A5A5E" w:rsidRPr="00F9522B" w:rsidRDefault="00611CBA">
      <w:pPr>
        <w:contextualSpacing/>
        <w:jc w:val="center"/>
        <w:rPr>
          <w:rFonts w:eastAsiaTheme="minorEastAsia"/>
          <w:b/>
          <w:szCs w:val="21"/>
        </w:rPr>
      </w:pPr>
      <w:bookmarkStart w:id="48" w:name="_Hlk10134411"/>
      <w:r w:rsidRPr="00F9522B">
        <w:rPr>
          <w:rFonts w:eastAsiaTheme="minorEastAsia"/>
          <w:b/>
          <w:szCs w:val="21"/>
        </w:rPr>
        <w:t>表</w:t>
      </w:r>
      <w:r w:rsidRPr="00F9522B">
        <w:rPr>
          <w:rFonts w:eastAsiaTheme="minorEastAsia"/>
          <w:b/>
          <w:szCs w:val="21"/>
        </w:rPr>
        <w:t>2-6-1</w:t>
      </w:r>
      <w:r w:rsidRPr="00F9522B">
        <w:rPr>
          <w:rFonts w:eastAsiaTheme="minorEastAsia"/>
          <w:b/>
          <w:szCs w:val="21"/>
        </w:rPr>
        <w:t>地表水评价等级确定表</w:t>
      </w:r>
    </w:p>
    <w:tbl>
      <w:tblPr>
        <w:tblW w:w="8306" w:type="dxa"/>
        <w:jc w:val="center"/>
        <w:tblBorders>
          <w:top w:val="single" w:sz="12" w:space="0" w:color="000000"/>
          <w:bottom w:val="single" w:sz="12" w:space="0" w:color="000000"/>
          <w:insideH w:val="single" w:sz="4" w:space="0" w:color="000000"/>
          <w:insideV w:val="single" w:sz="4" w:space="0" w:color="000000"/>
        </w:tblBorders>
        <w:tblLayout w:type="fixed"/>
        <w:tblLook w:val="04A0"/>
      </w:tblPr>
      <w:tblGrid>
        <w:gridCol w:w="1842"/>
        <w:gridCol w:w="2268"/>
        <w:gridCol w:w="4196"/>
      </w:tblGrid>
      <w:tr w:rsidR="002A5A5E" w:rsidRPr="00F9522B">
        <w:trPr>
          <w:jc w:val="center"/>
        </w:trPr>
        <w:tc>
          <w:tcPr>
            <w:tcW w:w="1842" w:type="dxa"/>
            <w:vMerge w:val="restart"/>
            <w:vAlign w:val="center"/>
          </w:tcPr>
          <w:bookmarkEnd w:id="48"/>
          <w:p w:rsidR="002A5A5E" w:rsidRPr="00F9522B" w:rsidRDefault="00611CBA">
            <w:pPr>
              <w:jc w:val="center"/>
              <w:rPr>
                <w:rFonts w:eastAsiaTheme="minorEastAsia"/>
                <w:snapToGrid w:val="0"/>
                <w:kern w:val="0"/>
                <w:lang w:val="zh-CN"/>
              </w:rPr>
            </w:pPr>
            <w:r w:rsidRPr="00F9522B">
              <w:rPr>
                <w:rFonts w:eastAsiaTheme="minorEastAsia"/>
                <w:snapToGrid w:val="0"/>
                <w:kern w:val="0"/>
                <w:lang w:val="zh-CN"/>
              </w:rPr>
              <w:t>评价等级</w:t>
            </w:r>
          </w:p>
        </w:tc>
        <w:tc>
          <w:tcPr>
            <w:tcW w:w="6464" w:type="dxa"/>
            <w:gridSpan w:val="2"/>
          </w:tcPr>
          <w:p w:rsidR="002A5A5E" w:rsidRPr="00F9522B" w:rsidRDefault="00611CBA">
            <w:pPr>
              <w:jc w:val="center"/>
              <w:rPr>
                <w:rFonts w:eastAsiaTheme="minorEastAsia"/>
                <w:snapToGrid w:val="0"/>
                <w:kern w:val="0"/>
                <w:lang w:val="zh-CN"/>
              </w:rPr>
            </w:pPr>
            <w:r w:rsidRPr="00F9522B">
              <w:rPr>
                <w:rFonts w:eastAsiaTheme="minorEastAsia"/>
                <w:snapToGrid w:val="0"/>
                <w:kern w:val="0"/>
                <w:lang w:val="zh-CN"/>
              </w:rPr>
              <w:t>判定依据</w:t>
            </w:r>
          </w:p>
        </w:tc>
      </w:tr>
      <w:tr w:rsidR="002A5A5E" w:rsidRPr="00F9522B">
        <w:trPr>
          <w:jc w:val="center"/>
        </w:trPr>
        <w:tc>
          <w:tcPr>
            <w:tcW w:w="1842" w:type="dxa"/>
            <w:vMerge/>
            <w:vAlign w:val="center"/>
          </w:tcPr>
          <w:p w:rsidR="002A5A5E" w:rsidRPr="00F9522B" w:rsidRDefault="002A5A5E">
            <w:pPr>
              <w:jc w:val="center"/>
              <w:rPr>
                <w:rFonts w:eastAsiaTheme="minorEastAsia"/>
                <w:snapToGrid w:val="0"/>
                <w:kern w:val="0"/>
                <w:lang w:val="zh-CN"/>
              </w:rPr>
            </w:pPr>
          </w:p>
        </w:tc>
        <w:tc>
          <w:tcPr>
            <w:tcW w:w="2268" w:type="dxa"/>
            <w:vAlign w:val="center"/>
          </w:tcPr>
          <w:p w:rsidR="002A5A5E" w:rsidRPr="00F9522B" w:rsidRDefault="00611CBA">
            <w:pPr>
              <w:jc w:val="center"/>
              <w:rPr>
                <w:rFonts w:eastAsiaTheme="minorEastAsia"/>
                <w:snapToGrid w:val="0"/>
                <w:kern w:val="0"/>
                <w:lang w:val="zh-CN"/>
              </w:rPr>
            </w:pPr>
            <w:r w:rsidRPr="00F9522B">
              <w:rPr>
                <w:rFonts w:eastAsiaTheme="minorEastAsia"/>
                <w:snapToGrid w:val="0"/>
                <w:kern w:val="0"/>
                <w:lang w:val="zh-CN"/>
              </w:rPr>
              <w:t>排放方式</w:t>
            </w:r>
          </w:p>
        </w:tc>
        <w:tc>
          <w:tcPr>
            <w:tcW w:w="4196" w:type="dxa"/>
            <w:vAlign w:val="center"/>
          </w:tcPr>
          <w:p w:rsidR="002A5A5E" w:rsidRPr="00F9522B" w:rsidRDefault="00611CBA">
            <w:pPr>
              <w:jc w:val="center"/>
              <w:rPr>
                <w:rFonts w:eastAsiaTheme="minorEastAsia"/>
                <w:snapToGrid w:val="0"/>
                <w:kern w:val="0"/>
                <w:lang w:val="zh-CN"/>
              </w:rPr>
            </w:pPr>
            <w:r w:rsidRPr="00F9522B">
              <w:rPr>
                <w:rFonts w:eastAsiaTheme="minorEastAsia"/>
                <w:snapToGrid w:val="0"/>
                <w:kern w:val="0"/>
                <w:lang w:val="zh-CN"/>
              </w:rPr>
              <w:t>废水排放量</w:t>
            </w:r>
            <w:r w:rsidRPr="00F9522B">
              <w:rPr>
                <w:rFonts w:eastAsiaTheme="minorEastAsia"/>
                <w:snapToGrid w:val="0"/>
                <w:kern w:val="0"/>
                <w:lang w:val="zh-CN"/>
              </w:rPr>
              <w:t>Q/</w:t>
            </w:r>
            <w:r w:rsidRPr="00F9522B">
              <w:rPr>
                <w:rFonts w:eastAsiaTheme="minorEastAsia"/>
                <w:snapToGrid w:val="0"/>
                <w:kern w:val="0"/>
                <w:lang w:val="zh-CN"/>
              </w:rPr>
              <w:t>（</w:t>
            </w:r>
            <w:r w:rsidRPr="00F9522B">
              <w:rPr>
                <w:rFonts w:eastAsiaTheme="minorEastAsia"/>
                <w:snapToGrid w:val="0"/>
                <w:kern w:val="0"/>
                <w:lang w:val="zh-CN"/>
              </w:rPr>
              <w:t>m</w:t>
            </w:r>
            <w:r w:rsidRPr="00F9522B">
              <w:rPr>
                <w:rFonts w:eastAsiaTheme="minorEastAsia"/>
                <w:snapToGrid w:val="0"/>
                <w:kern w:val="0"/>
                <w:vertAlign w:val="superscript"/>
                <w:lang w:val="zh-CN"/>
              </w:rPr>
              <w:t>3</w:t>
            </w:r>
            <w:r w:rsidRPr="00F9522B">
              <w:rPr>
                <w:rFonts w:eastAsiaTheme="minorEastAsia"/>
                <w:snapToGrid w:val="0"/>
                <w:kern w:val="0"/>
                <w:lang w:val="zh-CN"/>
              </w:rPr>
              <w:t>/d</w:t>
            </w:r>
            <w:r w:rsidRPr="00F9522B">
              <w:rPr>
                <w:rFonts w:eastAsiaTheme="minorEastAsia"/>
                <w:snapToGrid w:val="0"/>
                <w:kern w:val="0"/>
                <w:lang w:val="zh-CN"/>
              </w:rPr>
              <w:t>）；</w:t>
            </w:r>
          </w:p>
          <w:p w:rsidR="002A5A5E" w:rsidRPr="00F9522B" w:rsidRDefault="00611CBA">
            <w:pPr>
              <w:jc w:val="center"/>
              <w:rPr>
                <w:rFonts w:eastAsiaTheme="minorEastAsia"/>
                <w:snapToGrid w:val="0"/>
                <w:kern w:val="0"/>
                <w:lang w:val="zh-CN"/>
              </w:rPr>
            </w:pPr>
            <w:r w:rsidRPr="00F9522B">
              <w:rPr>
                <w:rFonts w:eastAsiaTheme="minorEastAsia"/>
                <w:snapToGrid w:val="0"/>
                <w:kern w:val="0"/>
                <w:lang w:val="zh-CN"/>
              </w:rPr>
              <w:t>水污染物当量数</w:t>
            </w:r>
            <w:r w:rsidRPr="00F9522B">
              <w:rPr>
                <w:rFonts w:eastAsiaTheme="minorEastAsia"/>
                <w:snapToGrid w:val="0"/>
                <w:kern w:val="0"/>
                <w:lang w:val="zh-CN"/>
              </w:rPr>
              <w:t>W/</w:t>
            </w:r>
            <w:r w:rsidRPr="00F9522B">
              <w:rPr>
                <w:rFonts w:eastAsiaTheme="minorEastAsia"/>
                <w:snapToGrid w:val="0"/>
                <w:kern w:val="0"/>
                <w:lang w:val="zh-CN"/>
              </w:rPr>
              <w:t>（无量纲）</w:t>
            </w:r>
          </w:p>
        </w:tc>
      </w:tr>
      <w:tr w:rsidR="002A5A5E" w:rsidRPr="00F9522B">
        <w:trPr>
          <w:trHeight w:val="141"/>
          <w:jc w:val="center"/>
        </w:trPr>
        <w:tc>
          <w:tcPr>
            <w:tcW w:w="1842" w:type="dxa"/>
            <w:vAlign w:val="center"/>
          </w:tcPr>
          <w:p w:rsidR="002A5A5E" w:rsidRPr="00F9522B" w:rsidRDefault="00611CBA">
            <w:pPr>
              <w:jc w:val="center"/>
              <w:rPr>
                <w:rFonts w:eastAsiaTheme="minorEastAsia"/>
                <w:snapToGrid w:val="0"/>
                <w:kern w:val="0"/>
                <w:lang w:val="zh-CN"/>
              </w:rPr>
            </w:pPr>
            <w:r w:rsidRPr="00F9522B">
              <w:rPr>
                <w:rFonts w:eastAsiaTheme="minorEastAsia"/>
                <w:snapToGrid w:val="0"/>
                <w:kern w:val="0"/>
                <w:lang w:val="zh-CN"/>
              </w:rPr>
              <w:t>一级</w:t>
            </w:r>
          </w:p>
        </w:tc>
        <w:tc>
          <w:tcPr>
            <w:tcW w:w="2268" w:type="dxa"/>
            <w:vAlign w:val="center"/>
          </w:tcPr>
          <w:p w:rsidR="002A5A5E" w:rsidRPr="00F9522B" w:rsidRDefault="00611CBA">
            <w:pPr>
              <w:jc w:val="center"/>
              <w:rPr>
                <w:rFonts w:eastAsiaTheme="minorEastAsia"/>
                <w:snapToGrid w:val="0"/>
                <w:kern w:val="0"/>
                <w:lang w:val="zh-CN"/>
              </w:rPr>
            </w:pPr>
            <w:r w:rsidRPr="00F9522B">
              <w:rPr>
                <w:rFonts w:eastAsiaTheme="minorEastAsia"/>
                <w:snapToGrid w:val="0"/>
                <w:kern w:val="0"/>
                <w:lang w:val="zh-CN"/>
              </w:rPr>
              <w:t>直接排放</w:t>
            </w:r>
          </w:p>
        </w:tc>
        <w:tc>
          <w:tcPr>
            <w:tcW w:w="4196" w:type="dxa"/>
            <w:vAlign w:val="center"/>
          </w:tcPr>
          <w:p w:rsidR="002A5A5E" w:rsidRPr="00F9522B" w:rsidRDefault="00611CBA">
            <w:pPr>
              <w:jc w:val="center"/>
              <w:rPr>
                <w:rFonts w:eastAsiaTheme="minorEastAsia"/>
                <w:snapToGrid w:val="0"/>
                <w:kern w:val="0"/>
                <w:lang w:val="zh-CN"/>
              </w:rPr>
            </w:pPr>
            <w:r w:rsidRPr="00F9522B">
              <w:rPr>
                <w:rFonts w:eastAsiaTheme="minorEastAsia"/>
                <w:snapToGrid w:val="0"/>
                <w:kern w:val="0"/>
                <w:lang w:val="zh-CN"/>
              </w:rPr>
              <w:t>Q≥20000</w:t>
            </w:r>
            <w:r w:rsidRPr="00F9522B">
              <w:rPr>
                <w:rFonts w:eastAsiaTheme="minorEastAsia"/>
                <w:snapToGrid w:val="0"/>
                <w:kern w:val="0"/>
                <w:lang w:val="zh-CN"/>
              </w:rPr>
              <w:t>或</w:t>
            </w:r>
            <w:r w:rsidRPr="00F9522B">
              <w:rPr>
                <w:rFonts w:eastAsiaTheme="minorEastAsia"/>
                <w:snapToGrid w:val="0"/>
                <w:kern w:val="0"/>
                <w:lang w:val="zh-CN"/>
              </w:rPr>
              <w:t>W≥600000</w:t>
            </w:r>
          </w:p>
        </w:tc>
      </w:tr>
      <w:tr w:rsidR="002A5A5E" w:rsidRPr="00F9522B">
        <w:trPr>
          <w:jc w:val="center"/>
        </w:trPr>
        <w:tc>
          <w:tcPr>
            <w:tcW w:w="1842" w:type="dxa"/>
            <w:vAlign w:val="center"/>
          </w:tcPr>
          <w:p w:rsidR="002A5A5E" w:rsidRPr="00F9522B" w:rsidRDefault="00611CBA">
            <w:pPr>
              <w:jc w:val="center"/>
              <w:rPr>
                <w:rFonts w:eastAsiaTheme="minorEastAsia"/>
                <w:snapToGrid w:val="0"/>
                <w:kern w:val="0"/>
                <w:lang w:val="zh-CN"/>
              </w:rPr>
            </w:pPr>
            <w:r w:rsidRPr="00F9522B">
              <w:rPr>
                <w:rFonts w:eastAsiaTheme="minorEastAsia"/>
                <w:snapToGrid w:val="0"/>
                <w:kern w:val="0"/>
                <w:lang w:val="zh-CN"/>
              </w:rPr>
              <w:t>二级</w:t>
            </w:r>
          </w:p>
        </w:tc>
        <w:tc>
          <w:tcPr>
            <w:tcW w:w="2268" w:type="dxa"/>
            <w:vAlign w:val="center"/>
          </w:tcPr>
          <w:p w:rsidR="002A5A5E" w:rsidRPr="00F9522B" w:rsidRDefault="00611CBA">
            <w:pPr>
              <w:jc w:val="center"/>
              <w:rPr>
                <w:rFonts w:eastAsiaTheme="minorEastAsia"/>
                <w:snapToGrid w:val="0"/>
                <w:kern w:val="0"/>
                <w:lang w:val="zh-CN"/>
              </w:rPr>
            </w:pPr>
            <w:r w:rsidRPr="00F9522B">
              <w:rPr>
                <w:rFonts w:eastAsiaTheme="minorEastAsia"/>
                <w:snapToGrid w:val="0"/>
                <w:kern w:val="0"/>
                <w:lang w:val="zh-CN"/>
              </w:rPr>
              <w:t>直接排放</w:t>
            </w:r>
          </w:p>
        </w:tc>
        <w:tc>
          <w:tcPr>
            <w:tcW w:w="4196" w:type="dxa"/>
            <w:vAlign w:val="center"/>
          </w:tcPr>
          <w:p w:rsidR="002A5A5E" w:rsidRPr="00F9522B" w:rsidRDefault="00611CBA">
            <w:pPr>
              <w:jc w:val="center"/>
              <w:rPr>
                <w:rFonts w:eastAsiaTheme="minorEastAsia"/>
                <w:snapToGrid w:val="0"/>
                <w:kern w:val="0"/>
                <w:lang w:val="zh-CN"/>
              </w:rPr>
            </w:pPr>
            <w:r w:rsidRPr="00F9522B">
              <w:rPr>
                <w:rFonts w:eastAsiaTheme="minorEastAsia"/>
                <w:snapToGrid w:val="0"/>
                <w:kern w:val="0"/>
                <w:lang w:val="zh-CN"/>
              </w:rPr>
              <w:t>其他</w:t>
            </w:r>
          </w:p>
        </w:tc>
      </w:tr>
      <w:tr w:rsidR="002A5A5E" w:rsidRPr="00F9522B">
        <w:trPr>
          <w:jc w:val="center"/>
        </w:trPr>
        <w:tc>
          <w:tcPr>
            <w:tcW w:w="1842" w:type="dxa"/>
            <w:vAlign w:val="center"/>
          </w:tcPr>
          <w:p w:rsidR="002A5A5E" w:rsidRPr="00F9522B" w:rsidRDefault="00611CBA">
            <w:pPr>
              <w:jc w:val="center"/>
              <w:rPr>
                <w:rFonts w:eastAsiaTheme="minorEastAsia"/>
                <w:snapToGrid w:val="0"/>
                <w:kern w:val="0"/>
                <w:lang w:val="zh-CN"/>
              </w:rPr>
            </w:pPr>
            <w:r w:rsidRPr="00F9522B">
              <w:rPr>
                <w:rFonts w:eastAsiaTheme="minorEastAsia"/>
                <w:snapToGrid w:val="0"/>
                <w:kern w:val="0"/>
              </w:rPr>
              <w:t>三级</w:t>
            </w:r>
            <w:r w:rsidRPr="00F9522B">
              <w:rPr>
                <w:rFonts w:eastAsiaTheme="minorEastAsia"/>
                <w:snapToGrid w:val="0"/>
                <w:kern w:val="0"/>
              </w:rPr>
              <w:t>A</w:t>
            </w:r>
          </w:p>
        </w:tc>
        <w:tc>
          <w:tcPr>
            <w:tcW w:w="2268" w:type="dxa"/>
            <w:vAlign w:val="center"/>
          </w:tcPr>
          <w:p w:rsidR="002A5A5E" w:rsidRPr="00F9522B" w:rsidRDefault="00611CBA">
            <w:pPr>
              <w:jc w:val="center"/>
              <w:rPr>
                <w:rFonts w:eastAsiaTheme="minorEastAsia"/>
                <w:snapToGrid w:val="0"/>
                <w:kern w:val="0"/>
                <w:lang w:val="zh-CN"/>
              </w:rPr>
            </w:pPr>
            <w:r w:rsidRPr="00F9522B">
              <w:rPr>
                <w:rFonts w:eastAsiaTheme="minorEastAsia"/>
                <w:snapToGrid w:val="0"/>
                <w:kern w:val="0"/>
                <w:lang w:val="zh-CN"/>
              </w:rPr>
              <w:t>直接排放</w:t>
            </w:r>
          </w:p>
        </w:tc>
        <w:tc>
          <w:tcPr>
            <w:tcW w:w="4196" w:type="dxa"/>
            <w:vAlign w:val="center"/>
          </w:tcPr>
          <w:p w:rsidR="002A5A5E" w:rsidRPr="00F9522B" w:rsidRDefault="00611CBA">
            <w:pPr>
              <w:jc w:val="center"/>
              <w:rPr>
                <w:rFonts w:eastAsiaTheme="minorEastAsia"/>
                <w:snapToGrid w:val="0"/>
                <w:kern w:val="0"/>
                <w:lang w:val="zh-CN"/>
              </w:rPr>
            </w:pPr>
            <w:r w:rsidRPr="00F9522B">
              <w:rPr>
                <w:rFonts w:eastAsiaTheme="minorEastAsia"/>
                <w:snapToGrid w:val="0"/>
                <w:kern w:val="0"/>
                <w:lang w:val="zh-CN"/>
              </w:rPr>
              <w:t>Q</w:t>
            </w:r>
            <w:r w:rsidRPr="00F9522B">
              <w:rPr>
                <w:rFonts w:eastAsiaTheme="minorEastAsia"/>
                <w:snapToGrid w:val="0"/>
                <w:kern w:val="0"/>
                <w:lang w:val="zh-CN"/>
              </w:rPr>
              <w:t>＜</w:t>
            </w:r>
            <w:r w:rsidRPr="00F9522B">
              <w:rPr>
                <w:rFonts w:eastAsiaTheme="minorEastAsia"/>
                <w:snapToGrid w:val="0"/>
                <w:kern w:val="0"/>
                <w:lang w:val="zh-CN"/>
              </w:rPr>
              <w:t>200</w:t>
            </w:r>
            <w:r w:rsidRPr="00F9522B">
              <w:rPr>
                <w:rFonts w:eastAsiaTheme="minorEastAsia"/>
                <w:snapToGrid w:val="0"/>
                <w:kern w:val="0"/>
                <w:lang w:val="zh-CN"/>
              </w:rPr>
              <w:t>或</w:t>
            </w:r>
            <w:r w:rsidRPr="00F9522B">
              <w:rPr>
                <w:rFonts w:eastAsiaTheme="minorEastAsia"/>
                <w:snapToGrid w:val="0"/>
                <w:kern w:val="0"/>
                <w:lang w:val="zh-CN"/>
              </w:rPr>
              <w:t>W</w:t>
            </w:r>
            <w:r w:rsidRPr="00F9522B">
              <w:rPr>
                <w:rFonts w:eastAsiaTheme="minorEastAsia"/>
                <w:snapToGrid w:val="0"/>
                <w:kern w:val="0"/>
                <w:lang w:val="zh-CN"/>
              </w:rPr>
              <w:t>＜</w:t>
            </w:r>
            <w:r w:rsidRPr="00F9522B">
              <w:rPr>
                <w:rFonts w:eastAsiaTheme="minorEastAsia"/>
                <w:snapToGrid w:val="0"/>
                <w:kern w:val="0"/>
                <w:lang w:val="zh-CN"/>
              </w:rPr>
              <w:t>6000</w:t>
            </w:r>
          </w:p>
        </w:tc>
      </w:tr>
      <w:tr w:rsidR="002A5A5E" w:rsidRPr="00F9522B">
        <w:trPr>
          <w:jc w:val="center"/>
        </w:trPr>
        <w:tc>
          <w:tcPr>
            <w:tcW w:w="1842" w:type="dxa"/>
            <w:vAlign w:val="center"/>
          </w:tcPr>
          <w:p w:rsidR="002A5A5E" w:rsidRPr="00F9522B" w:rsidRDefault="00611CBA">
            <w:pPr>
              <w:jc w:val="center"/>
              <w:rPr>
                <w:rFonts w:eastAsiaTheme="minorEastAsia"/>
                <w:snapToGrid w:val="0"/>
                <w:kern w:val="0"/>
              </w:rPr>
            </w:pPr>
            <w:r w:rsidRPr="00F9522B">
              <w:rPr>
                <w:rFonts w:eastAsiaTheme="minorEastAsia"/>
                <w:snapToGrid w:val="0"/>
                <w:kern w:val="0"/>
              </w:rPr>
              <w:t>三级</w:t>
            </w:r>
            <w:r w:rsidRPr="00F9522B">
              <w:rPr>
                <w:rFonts w:eastAsiaTheme="minorEastAsia"/>
                <w:snapToGrid w:val="0"/>
                <w:kern w:val="0"/>
              </w:rPr>
              <w:t>B</w:t>
            </w:r>
          </w:p>
        </w:tc>
        <w:tc>
          <w:tcPr>
            <w:tcW w:w="2268" w:type="dxa"/>
            <w:vAlign w:val="center"/>
          </w:tcPr>
          <w:p w:rsidR="002A5A5E" w:rsidRPr="00F9522B" w:rsidRDefault="00611CBA">
            <w:pPr>
              <w:jc w:val="center"/>
              <w:rPr>
                <w:rFonts w:eastAsiaTheme="minorEastAsia"/>
                <w:snapToGrid w:val="0"/>
                <w:kern w:val="0"/>
                <w:lang w:val="zh-CN"/>
              </w:rPr>
            </w:pPr>
            <w:r w:rsidRPr="00F9522B">
              <w:rPr>
                <w:rFonts w:eastAsiaTheme="minorEastAsia"/>
                <w:snapToGrid w:val="0"/>
                <w:kern w:val="0"/>
                <w:lang w:val="zh-CN"/>
              </w:rPr>
              <w:t>间接排放</w:t>
            </w:r>
          </w:p>
        </w:tc>
        <w:tc>
          <w:tcPr>
            <w:tcW w:w="4196" w:type="dxa"/>
            <w:vAlign w:val="center"/>
          </w:tcPr>
          <w:p w:rsidR="002A5A5E" w:rsidRPr="00F9522B" w:rsidRDefault="00611CBA">
            <w:pPr>
              <w:jc w:val="center"/>
              <w:rPr>
                <w:rFonts w:eastAsiaTheme="minorEastAsia"/>
                <w:snapToGrid w:val="0"/>
                <w:kern w:val="0"/>
                <w:lang w:val="zh-CN"/>
              </w:rPr>
            </w:pPr>
            <w:r w:rsidRPr="00F9522B">
              <w:rPr>
                <w:rFonts w:eastAsiaTheme="minorEastAsia"/>
                <w:snapToGrid w:val="0"/>
                <w:kern w:val="0"/>
                <w:lang w:val="zh-CN"/>
              </w:rPr>
              <w:t>/</w:t>
            </w:r>
          </w:p>
        </w:tc>
      </w:tr>
      <w:tr w:rsidR="002A5A5E" w:rsidRPr="00F9522B">
        <w:trPr>
          <w:trHeight w:val="6582"/>
          <w:jc w:val="center"/>
        </w:trPr>
        <w:tc>
          <w:tcPr>
            <w:tcW w:w="8306" w:type="dxa"/>
            <w:gridSpan w:val="3"/>
            <w:vAlign w:val="center"/>
          </w:tcPr>
          <w:p w:rsidR="002A5A5E" w:rsidRPr="00F9522B" w:rsidRDefault="00611CBA">
            <w:pPr>
              <w:pStyle w:val="aff7"/>
              <w:ind w:firstLine="319"/>
              <w:jc w:val="both"/>
              <w:rPr>
                <w:rFonts w:eastAsiaTheme="minorEastAsia" w:hAnsi="Times New Roman"/>
                <w:sz w:val="18"/>
                <w:szCs w:val="22"/>
              </w:rPr>
            </w:pPr>
            <w:r w:rsidRPr="00F9522B">
              <w:rPr>
                <w:rFonts w:eastAsiaTheme="minorEastAsia" w:hAnsi="Times New Roman"/>
                <w:sz w:val="18"/>
                <w:szCs w:val="22"/>
              </w:rPr>
              <w:lastRenderedPageBreak/>
              <w:t>注</w:t>
            </w:r>
            <w:r w:rsidRPr="00F9522B">
              <w:rPr>
                <w:rFonts w:eastAsiaTheme="minorEastAsia" w:hAnsi="Times New Roman"/>
                <w:sz w:val="18"/>
                <w:szCs w:val="22"/>
              </w:rPr>
              <w:t>1</w:t>
            </w:r>
            <w:r w:rsidRPr="00F9522B">
              <w:rPr>
                <w:rFonts w:eastAsiaTheme="minorEastAsia" w:hAnsi="Times New Roman"/>
                <w:sz w:val="18"/>
                <w:szCs w:val="22"/>
              </w:rPr>
              <w:t>：水污染物当量数等于该污染物的年排放量除以该污染物的污染当量值（见附录</w:t>
            </w:r>
            <w:r w:rsidRPr="00F9522B">
              <w:rPr>
                <w:rFonts w:eastAsiaTheme="minorEastAsia" w:hAnsi="Times New Roman"/>
                <w:sz w:val="18"/>
                <w:szCs w:val="22"/>
              </w:rPr>
              <w:t>A</w:t>
            </w:r>
            <w:r w:rsidRPr="00F9522B">
              <w:rPr>
                <w:rFonts w:eastAsiaTheme="minorEastAsia" w:hAnsi="Times New Roman"/>
                <w:sz w:val="18"/>
                <w:szCs w:val="22"/>
              </w:rPr>
              <w:t>），计算排放污染物的污染物当量数，应区分第一类水污染物和其他类水污染物，统计第一类污染物当量数总和，然后与其他类污染物按照污染物当量数从大到小排序，取最大当量数作为建设项目评价等级确定的依据。</w:t>
            </w:r>
          </w:p>
          <w:p w:rsidR="002A5A5E" w:rsidRPr="00F9522B" w:rsidRDefault="00611CBA">
            <w:pPr>
              <w:pStyle w:val="aff7"/>
              <w:ind w:firstLine="319"/>
              <w:jc w:val="both"/>
              <w:rPr>
                <w:rFonts w:eastAsiaTheme="minorEastAsia" w:hAnsi="Times New Roman"/>
                <w:sz w:val="18"/>
                <w:szCs w:val="22"/>
              </w:rPr>
            </w:pPr>
            <w:r w:rsidRPr="00F9522B">
              <w:rPr>
                <w:rFonts w:eastAsiaTheme="minorEastAsia" w:hAnsi="Times New Roman"/>
                <w:sz w:val="18"/>
                <w:szCs w:val="22"/>
              </w:rPr>
              <w:t>注</w:t>
            </w:r>
            <w:r w:rsidRPr="00F9522B">
              <w:rPr>
                <w:rFonts w:eastAsiaTheme="minorEastAsia" w:hAnsi="Times New Roman"/>
                <w:sz w:val="18"/>
                <w:szCs w:val="22"/>
              </w:rPr>
              <w:t>2</w:t>
            </w:r>
            <w:r w:rsidRPr="00F9522B">
              <w:rPr>
                <w:rFonts w:eastAsiaTheme="minorEastAsia" w:hAnsi="Times New Roman"/>
                <w:sz w:val="18"/>
                <w:szCs w:val="22"/>
              </w:rPr>
              <w:t>：废水排放量按行业排放标准中规定的废水种类统计，没有相关行业排放标准要求的通过工程分析合理确定，应统计含热量大的冷却水的排放量，可不统计间接冷却水、循环水以及其他含污染物极少的清净下水的排放量。</w:t>
            </w:r>
          </w:p>
          <w:p w:rsidR="002A5A5E" w:rsidRPr="00F9522B" w:rsidRDefault="00611CBA">
            <w:pPr>
              <w:pStyle w:val="aff7"/>
              <w:ind w:firstLine="319"/>
              <w:jc w:val="both"/>
              <w:rPr>
                <w:rFonts w:eastAsiaTheme="minorEastAsia" w:hAnsi="Times New Roman"/>
                <w:sz w:val="18"/>
                <w:szCs w:val="22"/>
              </w:rPr>
            </w:pPr>
            <w:r w:rsidRPr="00F9522B">
              <w:rPr>
                <w:rFonts w:eastAsiaTheme="minorEastAsia" w:hAnsi="Times New Roman"/>
                <w:sz w:val="18"/>
                <w:szCs w:val="22"/>
              </w:rPr>
              <w:t>注</w:t>
            </w:r>
            <w:r w:rsidRPr="00F9522B">
              <w:rPr>
                <w:rFonts w:eastAsiaTheme="minorEastAsia" w:hAnsi="Times New Roman"/>
                <w:sz w:val="18"/>
                <w:szCs w:val="22"/>
              </w:rPr>
              <w:t>3</w:t>
            </w:r>
            <w:r w:rsidRPr="00F9522B">
              <w:rPr>
                <w:rFonts w:eastAsiaTheme="minorEastAsia" w:hAnsi="Times New Roman"/>
                <w:sz w:val="18"/>
                <w:szCs w:val="22"/>
              </w:rPr>
              <w:t>：厂区存在堆积物（露天堆放的原料、燃料、废渣等以及垃圾堆放场）、降尘污染的，应将初期雨污水纳入废水排放量，相应的主要污染物纳入水污染当量计算。</w:t>
            </w:r>
          </w:p>
          <w:p w:rsidR="002A5A5E" w:rsidRPr="00F9522B" w:rsidRDefault="00611CBA">
            <w:pPr>
              <w:pStyle w:val="aff7"/>
              <w:ind w:firstLine="319"/>
              <w:jc w:val="both"/>
              <w:rPr>
                <w:rFonts w:eastAsiaTheme="minorEastAsia" w:hAnsi="Times New Roman"/>
                <w:sz w:val="18"/>
                <w:szCs w:val="22"/>
              </w:rPr>
            </w:pPr>
            <w:r w:rsidRPr="00F9522B">
              <w:rPr>
                <w:rFonts w:eastAsiaTheme="minorEastAsia" w:hAnsi="Times New Roman"/>
                <w:sz w:val="18"/>
                <w:szCs w:val="22"/>
              </w:rPr>
              <w:t>注</w:t>
            </w:r>
            <w:r w:rsidRPr="00F9522B">
              <w:rPr>
                <w:rFonts w:eastAsiaTheme="minorEastAsia" w:hAnsi="Times New Roman"/>
                <w:sz w:val="18"/>
                <w:szCs w:val="22"/>
              </w:rPr>
              <w:t>4</w:t>
            </w:r>
            <w:r w:rsidRPr="00F9522B">
              <w:rPr>
                <w:rFonts w:eastAsiaTheme="minorEastAsia" w:hAnsi="Times New Roman"/>
                <w:sz w:val="18"/>
                <w:szCs w:val="22"/>
              </w:rPr>
              <w:t>：建设项目直接排放第一类污染物的，其评价等级为一级；建设项目直接排放的污染物为受纳水体超标因子的，评价等级不低于二级。</w:t>
            </w:r>
          </w:p>
          <w:p w:rsidR="002A5A5E" w:rsidRPr="00F9522B" w:rsidRDefault="00611CBA">
            <w:pPr>
              <w:pStyle w:val="aff7"/>
              <w:ind w:firstLine="319"/>
              <w:jc w:val="both"/>
              <w:rPr>
                <w:rFonts w:eastAsiaTheme="minorEastAsia" w:hAnsi="Times New Roman"/>
                <w:sz w:val="18"/>
                <w:szCs w:val="22"/>
              </w:rPr>
            </w:pPr>
            <w:r w:rsidRPr="00F9522B">
              <w:rPr>
                <w:rFonts w:eastAsiaTheme="minorEastAsia" w:hAnsi="Times New Roman"/>
                <w:sz w:val="18"/>
                <w:szCs w:val="22"/>
              </w:rPr>
              <w:t>注</w:t>
            </w:r>
            <w:r w:rsidRPr="00F9522B">
              <w:rPr>
                <w:rFonts w:eastAsiaTheme="minorEastAsia" w:hAnsi="Times New Roman"/>
                <w:sz w:val="18"/>
                <w:szCs w:val="22"/>
              </w:rPr>
              <w:t>5</w:t>
            </w:r>
            <w:r w:rsidRPr="00F9522B">
              <w:rPr>
                <w:rFonts w:eastAsiaTheme="minorEastAsia" w:hAnsi="Times New Roman"/>
                <w:sz w:val="18"/>
                <w:szCs w:val="22"/>
              </w:rPr>
              <w:t>：直接排放受纳水体影响范围涉及饮用水水源保护区、饮用水取水口、重点保护与珍稀水生生物的栖息地、重要水生生物的自然产卵场等保护目标时，评价等级不低于二级。</w:t>
            </w:r>
          </w:p>
          <w:p w:rsidR="002A5A5E" w:rsidRPr="00F9522B" w:rsidRDefault="00611CBA">
            <w:pPr>
              <w:pStyle w:val="aff7"/>
              <w:ind w:firstLine="319"/>
              <w:jc w:val="both"/>
              <w:rPr>
                <w:rFonts w:eastAsiaTheme="minorEastAsia" w:hAnsi="Times New Roman"/>
                <w:b/>
                <w:snapToGrid w:val="0"/>
                <w:kern w:val="0"/>
                <w:lang w:val="zh-CN"/>
              </w:rPr>
            </w:pPr>
            <w:r w:rsidRPr="00F9522B">
              <w:rPr>
                <w:rFonts w:eastAsiaTheme="minorEastAsia" w:hAnsi="Times New Roman"/>
                <w:sz w:val="18"/>
                <w:szCs w:val="22"/>
              </w:rPr>
              <w:t>注</w:t>
            </w:r>
            <w:r w:rsidRPr="00F9522B">
              <w:rPr>
                <w:rFonts w:eastAsiaTheme="minorEastAsia" w:hAnsi="Times New Roman"/>
                <w:sz w:val="18"/>
                <w:szCs w:val="22"/>
              </w:rPr>
              <w:t>6</w:t>
            </w:r>
            <w:r w:rsidRPr="00F9522B">
              <w:rPr>
                <w:rFonts w:eastAsiaTheme="minorEastAsia" w:hAnsi="Times New Roman"/>
                <w:sz w:val="18"/>
                <w:szCs w:val="22"/>
              </w:rPr>
              <w:t>：建设项目向河流、湖库排放温排水引起受纳水体水温变化超过水环境质量标准要求，且评价范围有水温敏感目标时，评价等级为一级。</w:t>
            </w:r>
          </w:p>
          <w:p w:rsidR="002A5A5E" w:rsidRPr="00F9522B" w:rsidRDefault="00611CBA">
            <w:pPr>
              <w:pStyle w:val="aff7"/>
              <w:ind w:firstLine="319"/>
              <w:jc w:val="both"/>
              <w:rPr>
                <w:rFonts w:eastAsiaTheme="minorEastAsia" w:hAnsi="Times New Roman"/>
                <w:sz w:val="18"/>
                <w:szCs w:val="22"/>
              </w:rPr>
            </w:pPr>
            <w:r w:rsidRPr="00F9522B">
              <w:rPr>
                <w:rFonts w:eastAsiaTheme="minorEastAsia" w:hAnsi="Times New Roman"/>
                <w:sz w:val="18"/>
                <w:szCs w:val="22"/>
              </w:rPr>
              <w:t>注</w:t>
            </w:r>
            <w:r w:rsidRPr="00F9522B">
              <w:rPr>
                <w:rFonts w:eastAsiaTheme="minorEastAsia" w:hAnsi="Times New Roman"/>
                <w:sz w:val="18"/>
                <w:szCs w:val="22"/>
              </w:rPr>
              <w:t>7</w:t>
            </w:r>
            <w:r w:rsidRPr="00F9522B">
              <w:rPr>
                <w:rFonts w:eastAsiaTheme="minorEastAsia" w:hAnsi="Times New Roman"/>
                <w:sz w:val="18"/>
                <w:szCs w:val="22"/>
              </w:rPr>
              <w:t>：建设项目利用海水作为调节温度介质，排水量</w:t>
            </w:r>
            <w:r w:rsidRPr="00F9522B">
              <w:rPr>
                <w:rFonts w:eastAsiaTheme="minorEastAsia" w:hAnsi="Times New Roman"/>
                <w:sz w:val="18"/>
                <w:szCs w:val="22"/>
              </w:rPr>
              <w:t>≥500</w:t>
            </w:r>
            <w:r w:rsidRPr="00F9522B">
              <w:rPr>
                <w:rFonts w:eastAsiaTheme="minorEastAsia" w:hAnsi="Times New Roman"/>
                <w:sz w:val="18"/>
                <w:szCs w:val="22"/>
              </w:rPr>
              <w:t>万</w:t>
            </w:r>
            <w:r w:rsidRPr="00F9522B">
              <w:rPr>
                <w:rFonts w:eastAsiaTheme="minorEastAsia" w:hAnsi="Times New Roman"/>
                <w:sz w:val="18"/>
                <w:szCs w:val="22"/>
              </w:rPr>
              <w:t>m</w:t>
            </w:r>
            <w:r w:rsidRPr="00F9522B">
              <w:rPr>
                <w:rFonts w:eastAsiaTheme="minorEastAsia" w:hAnsi="Times New Roman"/>
                <w:sz w:val="18"/>
                <w:szCs w:val="22"/>
                <w:vertAlign w:val="superscript"/>
              </w:rPr>
              <w:t>3</w:t>
            </w:r>
            <w:r w:rsidRPr="00F9522B">
              <w:rPr>
                <w:rFonts w:eastAsiaTheme="minorEastAsia" w:hAnsi="Times New Roman"/>
                <w:sz w:val="18"/>
                <w:szCs w:val="22"/>
              </w:rPr>
              <w:t>/d</w:t>
            </w:r>
            <w:r w:rsidRPr="00F9522B">
              <w:rPr>
                <w:rFonts w:eastAsiaTheme="minorEastAsia" w:hAnsi="Times New Roman"/>
                <w:sz w:val="18"/>
                <w:szCs w:val="22"/>
              </w:rPr>
              <w:t>，评价等级为一级；排水量＜</w:t>
            </w:r>
            <w:r w:rsidRPr="00F9522B">
              <w:rPr>
                <w:rFonts w:eastAsiaTheme="minorEastAsia" w:hAnsi="Times New Roman"/>
                <w:sz w:val="18"/>
                <w:szCs w:val="22"/>
              </w:rPr>
              <w:t>500</w:t>
            </w:r>
            <w:r w:rsidRPr="00F9522B">
              <w:rPr>
                <w:rFonts w:eastAsiaTheme="minorEastAsia" w:hAnsi="Times New Roman"/>
                <w:sz w:val="18"/>
                <w:szCs w:val="22"/>
              </w:rPr>
              <w:t>万</w:t>
            </w:r>
            <w:r w:rsidRPr="00F9522B">
              <w:rPr>
                <w:rFonts w:eastAsiaTheme="minorEastAsia" w:hAnsi="Times New Roman"/>
                <w:sz w:val="18"/>
                <w:szCs w:val="22"/>
              </w:rPr>
              <w:t>m</w:t>
            </w:r>
            <w:r w:rsidRPr="00F9522B">
              <w:rPr>
                <w:rFonts w:eastAsiaTheme="minorEastAsia" w:hAnsi="Times New Roman"/>
                <w:sz w:val="18"/>
                <w:szCs w:val="22"/>
                <w:vertAlign w:val="superscript"/>
              </w:rPr>
              <w:t>3</w:t>
            </w:r>
            <w:r w:rsidRPr="00F9522B">
              <w:rPr>
                <w:rFonts w:eastAsiaTheme="minorEastAsia" w:hAnsi="Times New Roman"/>
                <w:sz w:val="18"/>
                <w:szCs w:val="22"/>
              </w:rPr>
              <w:t>/d</w:t>
            </w:r>
            <w:r w:rsidRPr="00F9522B">
              <w:rPr>
                <w:rFonts w:eastAsiaTheme="minorEastAsia" w:hAnsi="Times New Roman"/>
                <w:sz w:val="18"/>
                <w:szCs w:val="22"/>
              </w:rPr>
              <w:t>，评价等级为二级。</w:t>
            </w:r>
          </w:p>
          <w:p w:rsidR="002A5A5E" w:rsidRPr="00F9522B" w:rsidRDefault="00611CBA">
            <w:pPr>
              <w:pStyle w:val="aff7"/>
              <w:ind w:firstLine="319"/>
              <w:jc w:val="both"/>
              <w:rPr>
                <w:rFonts w:eastAsiaTheme="minorEastAsia" w:hAnsi="Times New Roman"/>
                <w:sz w:val="18"/>
                <w:szCs w:val="22"/>
              </w:rPr>
            </w:pPr>
            <w:r w:rsidRPr="00F9522B">
              <w:rPr>
                <w:rFonts w:eastAsiaTheme="minorEastAsia" w:hAnsi="Times New Roman"/>
                <w:sz w:val="18"/>
                <w:szCs w:val="22"/>
              </w:rPr>
              <w:t>注</w:t>
            </w:r>
            <w:r w:rsidRPr="00F9522B">
              <w:rPr>
                <w:rFonts w:eastAsiaTheme="minorEastAsia" w:hAnsi="Times New Roman"/>
                <w:sz w:val="18"/>
                <w:szCs w:val="22"/>
              </w:rPr>
              <w:t>8</w:t>
            </w:r>
            <w:r w:rsidRPr="00F9522B">
              <w:rPr>
                <w:rFonts w:eastAsiaTheme="minorEastAsia" w:hAnsi="Times New Roman"/>
                <w:sz w:val="18"/>
                <w:szCs w:val="22"/>
              </w:rPr>
              <w:t>：仅涉及清净下水排放的，如其排放水质满足受纳水体水环境质量标准要求的，评价等级为三级</w:t>
            </w:r>
            <w:r w:rsidRPr="00F9522B">
              <w:rPr>
                <w:rFonts w:eastAsiaTheme="minorEastAsia" w:hAnsi="Times New Roman"/>
                <w:sz w:val="18"/>
                <w:szCs w:val="22"/>
              </w:rPr>
              <w:t xml:space="preserve"> A</w:t>
            </w:r>
            <w:r w:rsidRPr="00F9522B">
              <w:rPr>
                <w:rFonts w:eastAsiaTheme="minorEastAsia" w:hAnsi="Times New Roman"/>
                <w:sz w:val="18"/>
                <w:szCs w:val="22"/>
              </w:rPr>
              <w:t>。</w:t>
            </w:r>
          </w:p>
          <w:p w:rsidR="002A5A5E" w:rsidRPr="00F9522B" w:rsidRDefault="00611CBA">
            <w:pPr>
              <w:pStyle w:val="aff7"/>
              <w:ind w:firstLine="319"/>
              <w:jc w:val="both"/>
              <w:rPr>
                <w:rFonts w:eastAsiaTheme="minorEastAsia" w:hAnsi="Times New Roman"/>
                <w:sz w:val="18"/>
                <w:szCs w:val="22"/>
              </w:rPr>
            </w:pPr>
            <w:r w:rsidRPr="00F9522B">
              <w:rPr>
                <w:rFonts w:eastAsiaTheme="minorEastAsia" w:hAnsi="Times New Roman"/>
                <w:sz w:val="18"/>
                <w:szCs w:val="22"/>
              </w:rPr>
              <w:t>注</w:t>
            </w:r>
            <w:r w:rsidRPr="00F9522B">
              <w:rPr>
                <w:rFonts w:eastAsiaTheme="minorEastAsia" w:hAnsi="Times New Roman"/>
                <w:sz w:val="18"/>
                <w:szCs w:val="22"/>
              </w:rPr>
              <w:t>9</w:t>
            </w:r>
            <w:r w:rsidRPr="00F9522B">
              <w:rPr>
                <w:rFonts w:eastAsiaTheme="minorEastAsia" w:hAnsi="Times New Roman"/>
                <w:sz w:val="18"/>
                <w:szCs w:val="22"/>
              </w:rPr>
              <w:t>：依托现有排放口，且对外环境未新增排放污染物的直接排放建设项目，评价等级参照间接排放，定为三级</w:t>
            </w:r>
            <w:r w:rsidRPr="00F9522B">
              <w:rPr>
                <w:rFonts w:eastAsiaTheme="minorEastAsia" w:hAnsi="Times New Roman"/>
                <w:sz w:val="18"/>
                <w:szCs w:val="22"/>
              </w:rPr>
              <w:t>B</w:t>
            </w:r>
            <w:r w:rsidRPr="00F9522B">
              <w:rPr>
                <w:rFonts w:eastAsiaTheme="minorEastAsia" w:hAnsi="Times New Roman"/>
                <w:sz w:val="18"/>
                <w:szCs w:val="22"/>
              </w:rPr>
              <w:t>。</w:t>
            </w:r>
          </w:p>
          <w:p w:rsidR="002A5A5E" w:rsidRPr="00F9522B" w:rsidRDefault="00611CBA">
            <w:pPr>
              <w:pStyle w:val="aff7"/>
              <w:ind w:firstLine="319"/>
              <w:jc w:val="both"/>
              <w:rPr>
                <w:rFonts w:eastAsiaTheme="minorEastAsia" w:hAnsi="Times New Roman"/>
                <w:snapToGrid w:val="0"/>
                <w:kern w:val="0"/>
                <w:lang w:val="zh-CN"/>
              </w:rPr>
            </w:pPr>
            <w:r w:rsidRPr="00F9522B">
              <w:rPr>
                <w:rFonts w:eastAsiaTheme="minorEastAsia" w:hAnsi="Times New Roman"/>
                <w:sz w:val="18"/>
                <w:szCs w:val="22"/>
              </w:rPr>
              <w:t>注</w:t>
            </w:r>
            <w:r w:rsidRPr="00F9522B">
              <w:rPr>
                <w:rFonts w:eastAsiaTheme="minorEastAsia" w:hAnsi="Times New Roman"/>
                <w:sz w:val="18"/>
                <w:szCs w:val="22"/>
              </w:rPr>
              <w:t>10</w:t>
            </w:r>
            <w:r w:rsidRPr="00F9522B">
              <w:rPr>
                <w:rFonts w:eastAsiaTheme="minorEastAsia" w:hAnsi="Times New Roman"/>
                <w:sz w:val="18"/>
                <w:szCs w:val="22"/>
              </w:rPr>
              <w:t>：建设项目生产工艺中有废水产生，但作为回水利用，不排放到外环境的，按三级</w:t>
            </w:r>
            <w:r w:rsidRPr="00F9522B">
              <w:rPr>
                <w:rFonts w:eastAsiaTheme="minorEastAsia" w:hAnsi="Times New Roman"/>
                <w:sz w:val="18"/>
                <w:szCs w:val="22"/>
              </w:rPr>
              <w:t>B</w:t>
            </w:r>
            <w:r w:rsidRPr="00F9522B">
              <w:rPr>
                <w:rFonts w:eastAsiaTheme="minorEastAsia" w:hAnsi="Times New Roman"/>
                <w:sz w:val="18"/>
                <w:szCs w:val="22"/>
              </w:rPr>
              <w:t>评价。</w:t>
            </w:r>
          </w:p>
        </w:tc>
      </w:tr>
    </w:tbl>
    <w:p w:rsidR="002A5A5E" w:rsidRPr="00F9522B" w:rsidRDefault="00611CBA">
      <w:pPr>
        <w:spacing w:line="360" w:lineRule="auto"/>
        <w:ind w:firstLineChars="200" w:firstLine="480"/>
        <w:rPr>
          <w:rFonts w:eastAsiaTheme="minorEastAsia"/>
          <w:sz w:val="24"/>
        </w:rPr>
      </w:pPr>
      <w:r w:rsidRPr="00F9522B">
        <w:rPr>
          <w:rFonts w:eastAsiaTheme="minorEastAsia"/>
          <w:sz w:val="24"/>
          <w:szCs w:val="21"/>
        </w:rPr>
        <w:t>本项目</w:t>
      </w:r>
      <w:r w:rsidRPr="00F9522B">
        <w:rPr>
          <w:rFonts w:eastAsiaTheme="minorEastAsia"/>
          <w:sz w:val="24"/>
        </w:rPr>
        <w:t>施工期</w:t>
      </w:r>
      <w:r w:rsidRPr="00F9522B">
        <w:rPr>
          <w:rFonts w:eastAsiaTheme="minorEastAsia"/>
          <w:bCs/>
          <w:sz w:val="24"/>
        </w:rPr>
        <w:t>生活污水依托附近民房防渗旱厕，定期清掏，外运堆肥，不外排</w:t>
      </w:r>
      <w:r w:rsidRPr="00F9522B">
        <w:rPr>
          <w:rFonts w:eastAsiaTheme="minorEastAsia"/>
          <w:sz w:val="24"/>
        </w:rPr>
        <w:t>。洗井废水用于洒水降尘，不外排。</w:t>
      </w:r>
    </w:p>
    <w:p w:rsidR="002A5A5E" w:rsidRPr="00F9522B" w:rsidRDefault="00611CBA">
      <w:pPr>
        <w:spacing w:line="360" w:lineRule="auto"/>
        <w:ind w:firstLineChars="200" w:firstLine="480"/>
        <w:rPr>
          <w:rFonts w:eastAsiaTheme="minorEastAsia"/>
          <w:sz w:val="24"/>
        </w:rPr>
      </w:pPr>
      <w:r w:rsidRPr="00F9522B">
        <w:rPr>
          <w:rFonts w:eastAsiaTheme="minorEastAsia"/>
          <w:sz w:val="24"/>
          <w:szCs w:val="21"/>
        </w:rPr>
        <w:t>本项目为改扩建项目，运营期</w:t>
      </w:r>
      <w:r w:rsidRPr="00F9522B">
        <w:rPr>
          <w:rFonts w:eastAsiaTheme="minorEastAsia"/>
          <w:sz w:val="24"/>
        </w:rPr>
        <w:t>项目现有水田退水口利用现有。排水承泄区为</w:t>
      </w:r>
      <w:r w:rsidR="00C75EE9" w:rsidRPr="00F9522B">
        <w:rPr>
          <w:rFonts w:eastAsiaTheme="minorEastAsia"/>
          <w:sz w:val="24"/>
        </w:rPr>
        <w:t>松花江</w:t>
      </w:r>
      <w:r w:rsidRPr="00F9522B">
        <w:rPr>
          <w:rFonts w:eastAsiaTheme="minorEastAsia"/>
          <w:sz w:val="24"/>
        </w:rPr>
        <w:t>及漂河</w:t>
      </w:r>
      <w:r w:rsidRPr="00F9522B">
        <w:rPr>
          <w:rFonts w:eastAsiaTheme="minorEastAsia"/>
          <w:kern w:val="0"/>
          <w:sz w:val="24"/>
        </w:rPr>
        <w:t>。</w:t>
      </w:r>
      <w:r w:rsidRPr="00F9522B">
        <w:rPr>
          <w:rFonts w:eastAsiaTheme="minorEastAsia"/>
          <w:sz w:val="24"/>
        </w:rPr>
        <w:t>不涉及重点保护与珍稀水生生物的栖息地、重要水生生物的自然产卵场。</w:t>
      </w:r>
    </w:p>
    <w:p w:rsidR="002A5A5E" w:rsidRPr="00F9522B" w:rsidRDefault="00611CBA">
      <w:pPr>
        <w:spacing w:line="360" w:lineRule="auto"/>
        <w:ind w:firstLineChars="200" w:firstLine="480"/>
        <w:rPr>
          <w:rFonts w:eastAsiaTheme="minorEastAsia"/>
          <w:bCs/>
          <w:sz w:val="24"/>
        </w:rPr>
      </w:pPr>
      <w:r w:rsidRPr="00F9522B">
        <w:rPr>
          <w:rFonts w:eastAsiaTheme="minorEastAsia"/>
          <w:sz w:val="24"/>
          <w:szCs w:val="21"/>
        </w:rPr>
        <w:t>本项目实施后，不新增水田面积，由于灌溉水利用系数的提升、农田保水能力增强以及渠系配套系统的完善，地表水退水量减少，相应污染物入河量与现状相比也有一定程度的削减，根据工程分析章节计算内容，</w:t>
      </w:r>
      <w:r w:rsidRPr="00F9522B">
        <w:rPr>
          <w:rFonts w:eastAsiaTheme="minorEastAsia"/>
          <w:sz w:val="24"/>
        </w:rPr>
        <w:t>项目建成后年现有灌区退水量与现状相比</w:t>
      </w:r>
      <w:r w:rsidR="004A0FF6" w:rsidRPr="00F9522B">
        <w:rPr>
          <w:rFonts w:eastAsiaTheme="minorEastAsia"/>
          <w:sz w:val="24"/>
        </w:rPr>
        <w:t>减少</w:t>
      </w:r>
      <w:r w:rsidR="004A0FF6" w:rsidRPr="00F9522B">
        <w:rPr>
          <w:rFonts w:eastAsiaTheme="minorEastAsia"/>
          <w:sz w:val="24"/>
        </w:rPr>
        <w:t>15</w:t>
      </w:r>
      <w:r w:rsidR="004A0FF6" w:rsidRPr="00F9522B">
        <w:rPr>
          <w:rFonts w:eastAsiaTheme="minorEastAsia"/>
          <w:sz w:val="24"/>
        </w:rPr>
        <w:t>万</w:t>
      </w:r>
      <w:r w:rsidRPr="00F9522B">
        <w:rPr>
          <w:rFonts w:eastAsiaTheme="minorEastAsia"/>
          <w:sz w:val="24"/>
        </w:rPr>
        <w:t>m</w:t>
      </w:r>
      <w:r w:rsidRPr="00F9522B">
        <w:rPr>
          <w:rFonts w:eastAsiaTheme="minorEastAsia"/>
          <w:sz w:val="24"/>
          <w:vertAlign w:val="superscript"/>
        </w:rPr>
        <w:t>3</w:t>
      </w:r>
      <w:r w:rsidRPr="00F9522B">
        <w:rPr>
          <w:rFonts w:eastAsiaTheme="minorEastAsia"/>
          <w:sz w:val="24"/>
        </w:rPr>
        <w:t>。</w:t>
      </w:r>
      <w:r w:rsidR="00E03AD9" w:rsidRPr="00F9522B">
        <w:rPr>
          <w:rFonts w:eastAsiaTheme="minorEastAsia"/>
          <w:bCs/>
          <w:sz w:val="24"/>
        </w:rPr>
        <w:t>COD</w:t>
      </w:r>
      <w:r w:rsidR="00E03AD9" w:rsidRPr="00F9522B">
        <w:rPr>
          <w:rFonts w:eastAsiaTheme="minorEastAsia"/>
          <w:bCs/>
          <w:sz w:val="24"/>
        </w:rPr>
        <w:t>、氨氮、总磷及总氮排放量分别减少</w:t>
      </w:r>
      <w:r w:rsidR="00E03AD9" w:rsidRPr="00F9522B">
        <w:rPr>
          <w:rFonts w:eastAsiaTheme="minorEastAsia"/>
          <w:bCs/>
          <w:sz w:val="24"/>
        </w:rPr>
        <w:t>7.905t/a</w:t>
      </w:r>
      <w:r w:rsidR="00E03AD9" w:rsidRPr="00F9522B">
        <w:rPr>
          <w:rFonts w:eastAsiaTheme="minorEastAsia"/>
          <w:bCs/>
          <w:sz w:val="24"/>
        </w:rPr>
        <w:t>、</w:t>
      </w:r>
      <w:r w:rsidR="00E03AD9" w:rsidRPr="00F9522B">
        <w:rPr>
          <w:rFonts w:eastAsiaTheme="minorEastAsia"/>
          <w:bCs/>
          <w:sz w:val="24"/>
        </w:rPr>
        <w:t>0.189t/a</w:t>
      </w:r>
      <w:r w:rsidR="00E03AD9" w:rsidRPr="00F9522B">
        <w:rPr>
          <w:rFonts w:eastAsiaTheme="minorEastAsia"/>
          <w:bCs/>
          <w:sz w:val="24"/>
        </w:rPr>
        <w:t>、</w:t>
      </w:r>
      <w:r w:rsidR="00E03AD9" w:rsidRPr="00F9522B">
        <w:rPr>
          <w:rFonts w:eastAsiaTheme="minorEastAsia"/>
          <w:bCs/>
          <w:sz w:val="24"/>
        </w:rPr>
        <w:t>0.276t/a</w:t>
      </w:r>
      <w:r w:rsidR="00E03AD9" w:rsidRPr="00F9522B">
        <w:rPr>
          <w:rFonts w:eastAsiaTheme="minorEastAsia"/>
          <w:bCs/>
          <w:sz w:val="24"/>
        </w:rPr>
        <w:t>、</w:t>
      </w:r>
      <w:r w:rsidR="00E03AD9" w:rsidRPr="00F9522B">
        <w:rPr>
          <w:rFonts w:eastAsiaTheme="minorEastAsia"/>
          <w:bCs/>
          <w:sz w:val="24"/>
        </w:rPr>
        <w:t>0.63t/a</w:t>
      </w:r>
      <w:r w:rsidR="00030F6B" w:rsidRPr="00F9522B">
        <w:rPr>
          <w:rFonts w:eastAsiaTheme="minorEastAsia"/>
          <w:bCs/>
          <w:sz w:val="24"/>
        </w:rPr>
        <w:t>。属于依托现有排放口，</w:t>
      </w:r>
      <w:r w:rsidRPr="00F9522B">
        <w:rPr>
          <w:rFonts w:eastAsiaTheme="minorEastAsia"/>
          <w:bCs/>
          <w:sz w:val="24"/>
        </w:rPr>
        <w:t>且对外环境未新增排放污染物的直接排放建设项目。</w:t>
      </w:r>
      <w:r w:rsidRPr="00F9522B">
        <w:rPr>
          <w:rFonts w:eastAsiaTheme="minorEastAsia"/>
          <w:sz w:val="24"/>
        </w:rPr>
        <w:t>故工程实施后对</w:t>
      </w:r>
      <w:r w:rsidR="00C75EE9" w:rsidRPr="00F9522B">
        <w:rPr>
          <w:rFonts w:eastAsiaTheme="minorEastAsia"/>
          <w:sz w:val="24"/>
        </w:rPr>
        <w:t>松花江</w:t>
      </w:r>
      <w:r w:rsidRPr="00F9522B">
        <w:rPr>
          <w:rFonts w:eastAsiaTheme="minorEastAsia"/>
          <w:sz w:val="24"/>
        </w:rPr>
        <w:t>及漂河、</w:t>
      </w:r>
      <w:r w:rsidRPr="00F9522B">
        <w:rPr>
          <w:rFonts w:eastAsiaTheme="minorEastAsia"/>
          <w:snapToGrid w:val="0"/>
          <w:sz w:val="24"/>
        </w:rPr>
        <w:t>黑龙江呼兰河口湿地省级自然保护区</w:t>
      </w:r>
      <w:r w:rsidRPr="00F9522B">
        <w:rPr>
          <w:rFonts w:eastAsiaTheme="minorEastAsia"/>
          <w:sz w:val="24"/>
        </w:rPr>
        <w:t>水生生态环境起到一定改善作用。</w:t>
      </w:r>
    </w:p>
    <w:p w:rsidR="002A5A5E" w:rsidRPr="00F9522B" w:rsidRDefault="00611CBA">
      <w:pPr>
        <w:spacing w:line="360" w:lineRule="auto"/>
        <w:ind w:firstLineChars="200" w:firstLine="480"/>
        <w:rPr>
          <w:rFonts w:eastAsiaTheme="minorEastAsia"/>
          <w:snapToGrid w:val="0"/>
          <w:sz w:val="24"/>
        </w:rPr>
      </w:pPr>
      <w:r w:rsidRPr="00F9522B">
        <w:rPr>
          <w:rFonts w:eastAsiaTheme="minorEastAsia"/>
          <w:kern w:val="0"/>
          <w:sz w:val="24"/>
        </w:rPr>
        <w:t>故</w:t>
      </w:r>
      <w:r w:rsidRPr="00F9522B">
        <w:rPr>
          <w:rFonts w:eastAsiaTheme="minorEastAsia"/>
          <w:sz w:val="24"/>
          <w:szCs w:val="21"/>
        </w:rPr>
        <w:t>根据《环境影响评价技术导则</w:t>
      </w:r>
      <w:r w:rsidRPr="00F9522B">
        <w:rPr>
          <w:rFonts w:eastAsiaTheme="minorEastAsia"/>
          <w:sz w:val="24"/>
          <w:szCs w:val="21"/>
        </w:rPr>
        <w:t xml:space="preserve"> </w:t>
      </w:r>
      <w:r w:rsidRPr="00F9522B">
        <w:rPr>
          <w:rFonts w:eastAsiaTheme="minorEastAsia"/>
          <w:sz w:val="24"/>
          <w:szCs w:val="21"/>
        </w:rPr>
        <w:t>地表水环境》（</w:t>
      </w:r>
      <w:r w:rsidRPr="00F9522B">
        <w:rPr>
          <w:rFonts w:eastAsiaTheme="minorEastAsia"/>
          <w:sz w:val="24"/>
          <w:szCs w:val="21"/>
        </w:rPr>
        <w:t>HJ2.3-2018</w:t>
      </w:r>
      <w:r w:rsidRPr="00F9522B">
        <w:rPr>
          <w:rFonts w:eastAsiaTheme="minorEastAsia"/>
          <w:sz w:val="24"/>
          <w:szCs w:val="21"/>
        </w:rPr>
        <w:t>），本项目地表水评价等级为三级</w:t>
      </w:r>
      <w:r w:rsidRPr="00F9522B">
        <w:rPr>
          <w:rFonts w:eastAsiaTheme="minorEastAsia"/>
          <w:sz w:val="24"/>
          <w:szCs w:val="21"/>
        </w:rPr>
        <w:t>B</w:t>
      </w:r>
      <w:r w:rsidRPr="00F9522B">
        <w:rPr>
          <w:rFonts w:eastAsiaTheme="minorEastAsia"/>
          <w:sz w:val="24"/>
          <w:szCs w:val="21"/>
        </w:rPr>
        <w:t>。</w:t>
      </w:r>
    </w:p>
    <w:p w:rsidR="002A5A5E" w:rsidRPr="00F9522B" w:rsidRDefault="00611CBA">
      <w:pPr>
        <w:spacing w:line="360" w:lineRule="auto"/>
        <w:ind w:firstLineChars="200" w:firstLine="480"/>
        <w:rPr>
          <w:rFonts w:eastAsiaTheme="minorEastAsia"/>
          <w:sz w:val="24"/>
          <w:szCs w:val="22"/>
        </w:rPr>
      </w:pPr>
      <w:r w:rsidRPr="00F9522B">
        <w:rPr>
          <w:rFonts w:eastAsiaTheme="minorEastAsia"/>
          <w:sz w:val="24"/>
          <w:szCs w:val="22"/>
        </w:rPr>
        <w:t>（</w:t>
      </w:r>
      <w:r w:rsidRPr="00F9522B">
        <w:rPr>
          <w:rFonts w:eastAsiaTheme="minorEastAsia"/>
          <w:sz w:val="24"/>
          <w:szCs w:val="22"/>
        </w:rPr>
        <w:t>2</w:t>
      </w:r>
      <w:r w:rsidRPr="00F9522B">
        <w:rPr>
          <w:rFonts w:eastAsiaTheme="minorEastAsia"/>
          <w:sz w:val="24"/>
          <w:szCs w:val="22"/>
        </w:rPr>
        <w:t>）水文要素影响型建设项目评价等级确定</w:t>
      </w:r>
    </w:p>
    <w:p w:rsidR="002A5A5E" w:rsidRPr="00F9522B" w:rsidRDefault="00611CBA">
      <w:pPr>
        <w:spacing w:line="360" w:lineRule="auto"/>
        <w:ind w:firstLineChars="200" w:firstLine="480"/>
        <w:rPr>
          <w:rFonts w:eastAsiaTheme="minorEastAsia"/>
          <w:sz w:val="24"/>
          <w:szCs w:val="22"/>
        </w:rPr>
      </w:pPr>
      <w:r w:rsidRPr="00F9522B">
        <w:rPr>
          <w:rFonts w:eastAsiaTheme="minorEastAsia"/>
          <w:sz w:val="24"/>
          <w:szCs w:val="22"/>
        </w:rPr>
        <w:lastRenderedPageBreak/>
        <w:t>水文要素影响型建设项目评价等级划分根据水温、径流与受影响地表水域等三类水文要素的影响程度判定，见表</w:t>
      </w:r>
      <w:r w:rsidRPr="00F9522B">
        <w:rPr>
          <w:rFonts w:eastAsiaTheme="minorEastAsia"/>
          <w:sz w:val="24"/>
          <w:szCs w:val="22"/>
        </w:rPr>
        <w:t>2-6-2</w:t>
      </w:r>
      <w:r w:rsidRPr="00F9522B">
        <w:rPr>
          <w:rFonts w:eastAsiaTheme="minorEastAsia"/>
          <w:sz w:val="24"/>
          <w:szCs w:val="22"/>
        </w:rPr>
        <w:t>。</w:t>
      </w:r>
    </w:p>
    <w:p w:rsidR="002A5A5E" w:rsidRPr="00F9522B" w:rsidRDefault="00611CBA">
      <w:pPr>
        <w:contextualSpacing/>
        <w:jc w:val="center"/>
        <w:rPr>
          <w:rFonts w:eastAsiaTheme="minorEastAsia"/>
          <w:b/>
          <w:szCs w:val="21"/>
        </w:rPr>
      </w:pPr>
      <w:r w:rsidRPr="00F9522B">
        <w:rPr>
          <w:rFonts w:eastAsiaTheme="minorEastAsia"/>
          <w:b/>
          <w:szCs w:val="21"/>
        </w:rPr>
        <w:t>表</w:t>
      </w:r>
      <w:r w:rsidRPr="00F9522B">
        <w:rPr>
          <w:rFonts w:eastAsiaTheme="minorEastAsia"/>
          <w:b/>
          <w:szCs w:val="21"/>
        </w:rPr>
        <w:t xml:space="preserve">2-6-2 </w:t>
      </w:r>
      <w:r w:rsidRPr="00F9522B">
        <w:rPr>
          <w:rFonts w:eastAsiaTheme="minorEastAsia"/>
          <w:b/>
          <w:szCs w:val="21"/>
        </w:rPr>
        <w:t>水文要素影响型建设项目评价等级判定</w:t>
      </w:r>
    </w:p>
    <w:tbl>
      <w:tblPr>
        <w:tblW w:w="8528" w:type="dxa"/>
        <w:tblBorders>
          <w:top w:val="single" w:sz="12" w:space="0" w:color="auto"/>
          <w:bottom w:val="single" w:sz="12" w:space="0" w:color="auto"/>
          <w:insideH w:val="single" w:sz="4" w:space="0" w:color="auto"/>
          <w:insideV w:val="single" w:sz="4" w:space="0" w:color="auto"/>
        </w:tblBorders>
        <w:tblLayout w:type="fixed"/>
        <w:tblLook w:val="04A0"/>
      </w:tblPr>
      <w:tblGrid>
        <w:gridCol w:w="572"/>
        <w:gridCol w:w="1139"/>
        <w:gridCol w:w="1187"/>
        <w:gridCol w:w="882"/>
        <w:gridCol w:w="1451"/>
        <w:gridCol w:w="1615"/>
        <w:gridCol w:w="1682"/>
      </w:tblGrid>
      <w:tr w:rsidR="002A5A5E" w:rsidRPr="00F9522B">
        <w:trPr>
          <w:trHeight w:val="340"/>
        </w:trPr>
        <w:tc>
          <w:tcPr>
            <w:tcW w:w="572" w:type="dxa"/>
            <w:vMerge w:val="restart"/>
            <w:tcBorders>
              <w:tl2br w:val="nil"/>
              <w:tr2bl w:val="nil"/>
            </w:tcBorders>
            <w:vAlign w:val="center"/>
          </w:tcPr>
          <w:p w:rsidR="002A5A5E" w:rsidRPr="00F9522B" w:rsidRDefault="00611CBA">
            <w:pPr>
              <w:contextualSpacing/>
              <w:jc w:val="center"/>
              <w:rPr>
                <w:rFonts w:eastAsiaTheme="minorEastAsia"/>
                <w:kern w:val="0"/>
                <w:szCs w:val="21"/>
              </w:rPr>
            </w:pPr>
            <w:r w:rsidRPr="00F9522B">
              <w:rPr>
                <w:rFonts w:eastAsiaTheme="minorEastAsia"/>
                <w:kern w:val="0"/>
                <w:szCs w:val="21"/>
              </w:rPr>
              <w:t>评价等级</w:t>
            </w:r>
          </w:p>
        </w:tc>
        <w:tc>
          <w:tcPr>
            <w:tcW w:w="1139" w:type="dxa"/>
            <w:tcBorders>
              <w:tl2br w:val="nil"/>
              <w:tr2bl w:val="nil"/>
            </w:tcBorders>
            <w:vAlign w:val="center"/>
          </w:tcPr>
          <w:p w:rsidR="002A5A5E" w:rsidRPr="00F9522B" w:rsidRDefault="00611CBA">
            <w:pPr>
              <w:contextualSpacing/>
              <w:jc w:val="center"/>
              <w:rPr>
                <w:rFonts w:eastAsiaTheme="minorEastAsia"/>
                <w:kern w:val="0"/>
                <w:szCs w:val="21"/>
              </w:rPr>
            </w:pPr>
            <w:r w:rsidRPr="00F9522B">
              <w:rPr>
                <w:rFonts w:eastAsiaTheme="minorEastAsia"/>
                <w:kern w:val="0"/>
                <w:szCs w:val="21"/>
              </w:rPr>
              <w:t>水温</w:t>
            </w:r>
          </w:p>
        </w:tc>
        <w:tc>
          <w:tcPr>
            <w:tcW w:w="2069" w:type="dxa"/>
            <w:gridSpan w:val="2"/>
            <w:tcBorders>
              <w:tl2br w:val="nil"/>
              <w:tr2bl w:val="nil"/>
            </w:tcBorders>
            <w:vAlign w:val="center"/>
          </w:tcPr>
          <w:p w:rsidR="002A5A5E" w:rsidRPr="00F9522B" w:rsidRDefault="00611CBA">
            <w:pPr>
              <w:contextualSpacing/>
              <w:jc w:val="center"/>
              <w:rPr>
                <w:rFonts w:eastAsiaTheme="minorEastAsia"/>
                <w:kern w:val="0"/>
                <w:szCs w:val="21"/>
              </w:rPr>
            </w:pPr>
            <w:r w:rsidRPr="00F9522B">
              <w:rPr>
                <w:rFonts w:eastAsiaTheme="minorEastAsia"/>
                <w:kern w:val="0"/>
                <w:szCs w:val="21"/>
              </w:rPr>
              <w:t>径流</w:t>
            </w:r>
          </w:p>
        </w:tc>
        <w:tc>
          <w:tcPr>
            <w:tcW w:w="4748" w:type="dxa"/>
            <w:gridSpan w:val="3"/>
            <w:tcBorders>
              <w:tl2br w:val="nil"/>
              <w:tr2bl w:val="nil"/>
            </w:tcBorders>
            <w:vAlign w:val="center"/>
          </w:tcPr>
          <w:p w:rsidR="002A5A5E" w:rsidRPr="00F9522B" w:rsidRDefault="00611CBA">
            <w:pPr>
              <w:contextualSpacing/>
              <w:jc w:val="center"/>
              <w:rPr>
                <w:rFonts w:eastAsiaTheme="minorEastAsia"/>
                <w:kern w:val="0"/>
                <w:szCs w:val="21"/>
              </w:rPr>
            </w:pPr>
            <w:r w:rsidRPr="00F9522B">
              <w:rPr>
                <w:rFonts w:eastAsiaTheme="minorEastAsia"/>
                <w:kern w:val="0"/>
                <w:szCs w:val="21"/>
              </w:rPr>
              <w:t>受影响地表水域</w:t>
            </w:r>
          </w:p>
        </w:tc>
      </w:tr>
      <w:tr w:rsidR="002A5A5E" w:rsidRPr="00F9522B">
        <w:trPr>
          <w:trHeight w:val="340"/>
        </w:trPr>
        <w:tc>
          <w:tcPr>
            <w:tcW w:w="572" w:type="dxa"/>
            <w:vMerge/>
            <w:tcBorders>
              <w:tl2br w:val="nil"/>
              <w:tr2bl w:val="nil"/>
            </w:tcBorders>
            <w:vAlign w:val="center"/>
          </w:tcPr>
          <w:p w:rsidR="002A5A5E" w:rsidRPr="00F9522B" w:rsidRDefault="002A5A5E">
            <w:pPr>
              <w:contextualSpacing/>
              <w:jc w:val="center"/>
              <w:rPr>
                <w:rFonts w:eastAsiaTheme="minorEastAsia"/>
                <w:kern w:val="0"/>
                <w:szCs w:val="21"/>
              </w:rPr>
            </w:pPr>
          </w:p>
        </w:tc>
        <w:tc>
          <w:tcPr>
            <w:tcW w:w="1139" w:type="dxa"/>
            <w:vMerge w:val="restart"/>
            <w:tcBorders>
              <w:tl2br w:val="nil"/>
              <w:tr2bl w:val="nil"/>
            </w:tcBorders>
            <w:vAlign w:val="center"/>
          </w:tcPr>
          <w:p w:rsidR="002A5A5E" w:rsidRPr="00F9522B" w:rsidRDefault="00611CBA">
            <w:pPr>
              <w:contextualSpacing/>
              <w:jc w:val="center"/>
              <w:rPr>
                <w:rFonts w:eastAsiaTheme="minorEastAsia"/>
                <w:kern w:val="0"/>
                <w:szCs w:val="21"/>
              </w:rPr>
            </w:pPr>
            <w:r w:rsidRPr="00F9522B">
              <w:rPr>
                <w:rFonts w:eastAsiaTheme="minorEastAsia"/>
                <w:kern w:val="0"/>
                <w:szCs w:val="21"/>
              </w:rPr>
              <w:t>年径流量与总</w:t>
            </w:r>
          </w:p>
          <w:p w:rsidR="002A5A5E" w:rsidRPr="00F9522B" w:rsidRDefault="00611CBA">
            <w:pPr>
              <w:contextualSpacing/>
              <w:jc w:val="center"/>
              <w:rPr>
                <w:rFonts w:eastAsiaTheme="minorEastAsia"/>
                <w:kern w:val="0"/>
                <w:szCs w:val="21"/>
              </w:rPr>
            </w:pPr>
            <w:r w:rsidRPr="00F9522B">
              <w:rPr>
                <w:rFonts w:eastAsiaTheme="minorEastAsia"/>
                <w:kern w:val="0"/>
                <w:szCs w:val="21"/>
              </w:rPr>
              <w:t>库容百分比</w:t>
            </w:r>
          </w:p>
          <w:p w:rsidR="002A5A5E" w:rsidRPr="00F9522B" w:rsidRDefault="00611CBA">
            <w:pPr>
              <w:contextualSpacing/>
              <w:jc w:val="center"/>
              <w:rPr>
                <w:rFonts w:eastAsiaTheme="minorEastAsia"/>
                <w:kern w:val="0"/>
                <w:szCs w:val="21"/>
              </w:rPr>
            </w:pPr>
            <w:r w:rsidRPr="00F9522B">
              <w:rPr>
                <w:rFonts w:eastAsiaTheme="minorEastAsia"/>
                <w:kern w:val="0"/>
                <w:szCs w:val="21"/>
              </w:rPr>
              <w:t>α/%</w:t>
            </w:r>
          </w:p>
        </w:tc>
        <w:tc>
          <w:tcPr>
            <w:tcW w:w="1187" w:type="dxa"/>
            <w:vMerge w:val="restart"/>
            <w:tcBorders>
              <w:tl2br w:val="nil"/>
              <w:tr2bl w:val="nil"/>
            </w:tcBorders>
            <w:vAlign w:val="center"/>
          </w:tcPr>
          <w:p w:rsidR="002A5A5E" w:rsidRPr="00F9522B" w:rsidRDefault="00611CBA">
            <w:pPr>
              <w:contextualSpacing/>
              <w:jc w:val="center"/>
              <w:rPr>
                <w:rFonts w:eastAsiaTheme="minorEastAsia"/>
                <w:kern w:val="0"/>
                <w:szCs w:val="21"/>
              </w:rPr>
            </w:pPr>
            <w:r w:rsidRPr="00F9522B">
              <w:rPr>
                <w:rFonts w:eastAsiaTheme="minorEastAsia"/>
                <w:kern w:val="0"/>
                <w:szCs w:val="21"/>
              </w:rPr>
              <w:t>兴利库容与</w:t>
            </w:r>
          </w:p>
          <w:p w:rsidR="002A5A5E" w:rsidRPr="00F9522B" w:rsidRDefault="00611CBA">
            <w:pPr>
              <w:contextualSpacing/>
              <w:jc w:val="center"/>
              <w:rPr>
                <w:rFonts w:eastAsiaTheme="minorEastAsia"/>
                <w:kern w:val="0"/>
                <w:szCs w:val="21"/>
              </w:rPr>
            </w:pPr>
            <w:r w:rsidRPr="00F9522B">
              <w:rPr>
                <w:rFonts w:eastAsiaTheme="minorEastAsia"/>
                <w:kern w:val="0"/>
                <w:szCs w:val="21"/>
              </w:rPr>
              <w:t>年径流量百</w:t>
            </w:r>
          </w:p>
          <w:p w:rsidR="002A5A5E" w:rsidRPr="00F9522B" w:rsidRDefault="00611CBA">
            <w:pPr>
              <w:contextualSpacing/>
              <w:jc w:val="center"/>
              <w:rPr>
                <w:rFonts w:eastAsiaTheme="minorEastAsia"/>
                <w:kern w:val="0"/>
                <w:szCs w:val="21"/>
              </w:rPr>
            </w:pPr>
            <w:r w:rsidRPr="00F9522B">
              <w:rPr>
                <w:rFonts w:eastAsiaTheme="minorEastAsia"/>
                <w:kern w:val="0"/>
                <w:szCs w:val="21"/>
              </w:rPr>
              <w:t>分比</w:t>
            </w:r>
            <w:r w:rsidRPr="00F9522B">
              <w:rPr>
                <w:rFonts w:eastAsiaTheme="minorEastAsia"/>
                <w:kern w:val="0"/>
                <w:szCs w:val="21"/>
              </w:rPr>
              <w:t xml:space="preserve"> β/%</w:t>
            </w:r>
          </w:p>
        </w:tc>
        <w:tc>
          <w:tcPr>
            <w:tcW w:w="882" w:type="dxa"/>
            <w:vMerge w:val="restart"/>
            <w:tcBorders>
              <w:tl2br w:val="nil"/>
              <w:tr2bl w:val="nil"/>
            </w:tcBorders>
            <w:vAlign w:val="center"/>
          </w:tcPr>
          <w:p w:rsidR="002A5A5E" w:rsidRPr="00F9522B" w:rsidRDefault="00611CBA">
            <w:pPr>
              <w:contextualSpacing/>
              <w:jc w:val="center"/>
              <w:rPr>
                <w:rFonts w:eastAsiaTheme="minorEastAsia"/>
                <w:kern w:val="0"/>
                <w:szCs w:val="21"/>
              </w:rPr>
            </w:pPr>
            <w:r w:rsidRPr="00F9522B">
              <w:rPr>
                <w:rFonts w:eastAsiaTheme="minorEastAsia"/>
                <w:kern w:val="0"/>
                <w:szCs w:val="21"/>
              </w:rPr>
              <w:t>取水量占多</w:t>
            </w:r>
          </w:p>
          <w:p w:rsidR="002A5A5E" w:rsidRPr="00F9522B" w:rsidRDefault="00611CBA">
            <w:pPr>
              <w:contextualSpacing/>
              <w:jc w:val="center"/>
              <w:rPr>
                <w:rFonts w:eastAsiaTheme="minorEastAsia"/>
                <w:kern w:val="0"/>
                <w:szCs w:val="21"/>
              </w:rPr>
            </w:pPr>
            <w:r w:rsidRPr="00F9522B">
              <w:rPr>
                <w:rFonts w:eastAsiaTheme="minorEastAsia"/>
                <w:kern w:val="0"/>
                <w:szCs w:val="21"/>
              </w:rPr>
              <w:t>年平均径流</w:t>
            </w:r>
          </w:p>
          <w:p w:rsidR="002A5A5E" w:rsidRPr="00F9522B" w:rsidRDefault="00611CBA">
            <w:pPr>
              <w:contextualSpacing/>
              <w:jc w:val="center"/>
              <w:rPr>
                <w:rFonts w:eastAsiaTheme="minorEastAsia"/>
                <w:kern w:val="0"/>
                <w:szCs w:val="21"/>
              </w:rPr>
            </w:pPr>
            <w:r w:rsidRPr="00F9522B">
              <w:rPr>
                <w:rFonts w:eastAsiaTheme="minorEastAsia"/>
                <w:kern w:val="0"/>
                <w:szCs w:val="21"/>
              </w:rPr>
              <w:t>量百分比</w:t>
            </w:r>
          </w:p>
          <w:p w:rsidR="002A5A5E" w:rsidRPr="00F9522B" w:rsidRDefault="00611CBA">
            <w:pPr>
              <w:contextualSpacing/>
              <w:jc w:val="center"/>
              <w:rPr>
                <w:rFonts w:eastAsiaTheme="minorEastAsia"/>
                <w:kern w:val="0"/>
                <w:szCs w:val="21"/>
              </w:rPr>
            </w:pPr>
            <w:r w:rsidRPr="00F9522B">
              <w:rPr>
                <w:rFonts w:eastAsiaTheme="minorEastAsia"/>
                <w:kern w:val="0"/>
                <w:szCs w:val="21"/>
              </w:rPr>
              <w:t>γ/%</w:t>
            </w:r>
          </w:p>
        </w:tc>
        <w:tc>
          <w:tcPr>
            <w:tcW w:w="3066" w:type="dxa"/>
            <w:gridSpan w:val="2"/>
            <w:tcBorders>
              <w:tl2br w:val="nil"/>
              <w:tr2bl w:val="nil"/>
            </w:tcBorders>
            <w:vAlign w:val="center"/>
          </w:tcPr>
          <w:p w:rsidR="002A5A5E" w:rsidRPr="00F9522B" w:rsidRDefault="00611CBA">
            <w:pPr>
              <w:contextualSpacing/>
              <w:jc w:val="center"/>
              <w:rPr>
                <w:rFonts w:eastAsiaTheme="minorEastAsia"/>
                <w:kern w:val="0"/>
                <w:szCs w:val="21"/>
              </w:rPr>
            </w:pPr>
            <w:r w:rsidRPr="00F9522B">
              <w:rPr>
                <w:rFonts w:eastAsiaTheme="minorEastAsia"/>
                <w:kern w:val="0"/>
                <w:szCs w:val="21"/>
              </w:rPr>
              <w:t>工程垂直投影面积及外扩范围</w:t>
            </w:r>
            <w:r w:rsidRPr="00F9522B">
              <w:rPr>
                <w:rFonts w:eastAsiaTheme="minorEastAsia"/>
                <w:kern w:val="0"/>
                <w:szCs w:val="21"/>
              </w:rPr>
              <w:t>A</w:t>
            </w:r>
            <w:r w:rsidRPr="00F9522B">
              <w:rPr>
                <w:rFonts w:eastAsiaTheme="minorEastAsia"/>
                <w:kern w:val="0"/>
                <w:szCs w:val="21"/>
                <w:vertAlign w:val="subscript"/>
              </w:rPr>
              <w:t>1</w:t>
            </w:r>
            <w:r w:rsidRPr="00F9522B">
              <w:rPr>
                <w:rFonts w:eastAsiaTheme="minorEastAsia"/>
                <w:kern w:val="0"/>
                <w:szCs w:val="21"/>
              </w:rPr>
              <w:t>/km</w:t>
            </w:r>
            <w:r w:rsidRPr="00F9522B">
              <w:rPr>
                <w:rFonts w:eastAsiaTheme="minorEastAsia"/>
                <w:kern w:val="0"/>
                <w:szCs w:val="21"/>
                <w:vertAlign w:val="superscript"/>
              </w:rPr>
              <w:t>2</w:t>
            </w:r>
            <w:r w:rsidRPr="00F9522B">
              <w:rPr>
                <w:rFonts w:eastAsiaTheme="minorEastAsia"/>
                <w:kern w:val="0"/>
                <w:szCs w:val="21"/>
              </w:rPr>
              <w:t>；工程扰动水底面积</w:t>
            </w:r>
            <w:r w:rsidRPr="00F9522B">
              <w:rPr>
                <w:rFonts w:eastAsiaTheme="minorEastAsia"/>
                <w:kern w:val="0"/>
                <w:szCs w:val="21"/>
              </w:rPr>
              <w:t>A</w:t>
            </w:r>
            <w:r w:rsidRPr="00F9522B">
              <w:rPr>
                <w:rFonts w:eastAsiaTheme="minorEastAsia"/>
                <w:kern w:val="0"/>
                <w:szCs w:val="21"/>
                <w:vertAlign w:val="subscript"/>
              </w:rPr>
              <w:t>2</w:t>
            </w:r>
            <w:r w:rsidRPr="00F9522B">
              <w:rPr>
                <w:rFonts w:eastAsiaTheme="minorEastAsia"/>
                <w:kern w:val="0"/>
                <w:szCs w:val="21"/>
              </w:rPr>
              <w:t>/km</w:t>
            </w:r>
            <w:r w:rsidRPr="00F9522B">
              <w:rPr>
                <w:rFonts w:eastAsiaTheme="minorEastAsia"/>
                <w:kern w:val="0"/>
                <w:szCs w:val="21"/>
                <w:vertAlign w:val="superscript"/>
              </w:rPr>
              <w:t>2</w:t>
            </w:r>
            <w:r w:rsidRPr="00F9522B">
              <w:rPr>
                <w:rFonts w:eastAsiaTheme="minorEastAsia"/>
                <w:kern w:val="0"/>
                <w:szCs w:val="21"/>
              </w:rPr>
              <w:t>；过水断面宽度占用比例或占用水域面积比例</w:t>
            </w:r>
            <w:r w:rsidRPr="00F9522B">
              <w:rPr>
                <w:rFonts w:eastAsiaTheme="minorEastAsia"/>
                <w:kern w:val="0"/>
                <w:szCs w:val="21"/>
              </w:rPr>
              <w:t xml:space="preserve"> R/%</w:t>
            </w:r>
          </w:p>
        </w:tc>
        <w:tc>
          <w:tcPr>
            <w:tcW w:w="1682" w:type="dxa"/>
            <w:tcBorders>
              <w:tl2br w:val="nil"/>
              <w:tr2bl w:val="nil"/>
            </w:tcBorders>
            <w:vAlign w:val="center"/>
          </w:tcPr>
          <w:p w:rsidR="002A5A5E" w:rsidRPr="00F9522B" w:rsidRDefault="00611CBA">
            <w:pPr>
              <w:contextualSpacing/>
              <w:jc w:val="center"/>
              <w:rPr>
                <w:rFonts w:eastAsiaTheme="minorEastAsia"/>
                <w:kern w:val="0"/>
                <w:szCs w:val="21"/>
              </w:rPr>
            </w:pPr>
            <w:r w:rsidRPr="00F9522B">
              <w:rPr>
                <w:rFonts w:eastAsiaTheme="minorEastAsia"/>
                <w:kern w:val="0"/>
                <w:szCs w:val="21"/>
              </w:rPr>
              <w:t>工程垂直投影</w:t>
            </w:r>
          </w:p>
          <w:p w:rsidR="002A5A5E" w:rsidRPr="00F9522B" w:rsidRDefault="00611CBA">
            <w:pPr>
              <w:contextualSpacing/>
              <w:jc w:val="center"/>
              <w:rPr>
                <w:rFonts w:eastAsiaTheme="minorEastAsia"/>
                <w:kern w:val="0"/>
                <w:szCs w:val="21"/>
              </w:rPr>
            </w:pPr>
            <w:r w:rsidRPr="00F9522B">
              <w:rPr>
                <w:rFonts w:eastAsiaTheme="minorEastAsia"/>
                <w:kern w:val="0"/>
                <w:szCs w:val="21"/>
              </w:rPr>
              <w:t>面积及外扩范</w:t>
            </w:r>
          </w:p>
          <w:p w:rsidR="002A5A5E" w:rsidRPr="00F9522B" w:rsidRDefault="00611CBA">
            <w:pPr>
              <w:contextualSpacing/>
              <w:jc w:val="center"/>
              <w:rPr>
                <w:rFonts w:eastAsiaTheme="minorEastAsia"/>
                <w:kern w:val="0"/>
                <w:szCs w:val="21"/>
              </w:rPr>
            </w:pPr>
            <w:r w:rsidRPr="00F9522B">
              <w:rPr>
                <w:rFonts w:eastAsiaTheme="minorEastAsia"/>
                <w:kern w:val="0"/>
                <w:szCs w:val="21"/>
              </w:rPr>
              <w:t>围</w:t>
            </w:r>
            <w:r w:rsidRPr="00F9522B">
              <w:rPr>
                <w:rFonts w:eastAsiaTheme="minorEastAsia"/>
                <w:kern w:val="0"/>
                <w:szCs w:val="21"/>
              </w:rPr>
              <w:t xml:space="preserve"> A1/km</w:t>
            </w:r>
            <w:r w:rsidRPr="00F9522B">
              <w:rPr>
                <w:rFonts w:eastAsiaTheme="minorEastAsia"/>
                <w:kern w:val="0"/>
                <w:szCs w:val="21"/>
                <w:vertAlign w:val="superscript"/>
              </w:rPr>
              <w:t>2</w:t>
            </w:r>
            <w:r w:rsidRPr="00F9522B">
              <w:rPr>
                <w:rFonts w:eastAsiaTheme="minorEastAsia"/>
                <w:kern w:val="0"/>
                <w:szCs w:val="21"/>
              </w:rPr>
              <w:t>；工</w:t>
            </w:r>
          </w:p>
          <w:p w:rsidR="002A5A5E" w:rsidRPr="00F9522B" w:rsidRDefault="00611CBA">
            <w:pPr>
              <w:contextualSpacing/>
              <w:jc w:val="center"/>
              <w:rPr>
                <w:rFonts w:eastAsiaTheme="minorEastAsia"/>
                <w:kern w:val="0"/>
                <w:szCs w:val="21"/>
              </w:rPr>
            </w:pPr>
            <w:r w:rsidRPr="00F9522B">
              <w:rPr>
                <w:rFonts w:eastAsiaTheme="minorEastAsia"/>
                <w:kern w:val="0"/>
                <w:szCs w:val="21"/>
              </w:rPr>
              <w:t>程扰动水底面</w:t>
            </w:r>
          </w:p>
          <w:p w:rsidR="002A5A5E" w:rsidRPr="00F9522B" w:rsidRDefault="00611CBA">
            <w:pPr>
              <w:contextualSpacing/>
              <w:jc w:val="center"/>
              <w:rPr>
                <w:rFonts w:eastAsiaTheme="minorEastAsia"/>
                <w:kern w:val="0"/>
                <w:szCs w:val="21"/>
              </w:rPr>
            </w:pPr>
            <w:r w:rsidRPr="00F9522B">
              <w:rPr>
                <w:rFonts w:eastAsiaTheme="minorEastAsia"/>
                <w:kern w:val="0"/>
                <w:szCs w:val="21"/>
              </w:rPr>
              <w:t>积</w:t>
            </w:r>
            <w:r w:rsidRPr="00F9522B">
              <w:rPr>
                <w:rFonts w:eastAsiaTheme="minorEastAsia"/>
                <w:kern w:val="0"/>
                <w:szCs w:val="21"/>
              </w:rPr>
              <w:t xml:space="preserve"> A2/km</w:t>
            </w:r>
            <w:r w:rsidRPr="00F9522B">
              <w:rPr>
                <w:rFonts w:eastAsiaTheme="minorEastAsia"/>
                <w:kern w:val="0"/>
                <w:szCs w:val="21"/>
                <w:vertAlign w:val="superscript"/>
              </w:rPr>
              <w:t>2</w:t>
            </w:r>
          </w:p>
        </w:tc>
      </w:tr>
      <w:tr w:rsidR="002A5A5E" w:rsidRPr="00F9522B">
        <w:trPr>
          <w:trHeight w:val="340"/>
        </w:trPr>
        <w:tc>
          <w:tcPr>
            <w:tcW w:w="572" w:type="dxa"/>
            <w:vMerge/>
            <w:tcBorders>
              <w:tl2br w:val="nil"/>
              <w:tr2bl w:val="nil"/>
            </w:tcBorders>
            <w:vAlign w:val="center"/>
          </w:tcPr>
          <w:p w:rsidR="002A5A5E" w:rsidRPr="00F9522B" w:rsidRDefault="002A5A5E">
            <w:pPr>
              <w:contextualSpacing/>
              <w:jc w:val="center"/>
              <w:rPr>
                <w:rFonts w:eastAsiaTheme="minorEastAsia"/>
                <w:kern w:val="0"/>
                <w:szCs w:val="21"/>
              </w:rPr>
            </w:pPr>
          </w:p>
        </w:tc>
        <w:tc>
          <w:tcPr>
            <w:tcW w:w="1139" w:type="dxa"/>
            <w:vMerge/>
            <w:tcBorders>
              <w:tl2br w:val="nil"/>
              <w:tr2bl w:val="nil"/>
            </w:tcBorders>
            <w:vAlign w:val="center"/>
          </w:tcPr>
          <w:p w:rsidR="002A5A5E" w:rsidRPr="00F9522B" w:rsidRDefault="002A5A5E">
            <w:pPr>
              <w:contextualSpacing/>
              <w:jc w:val="center"/>
              <w:rPr>
                <w:rFonts w:eastAsiaTheme="minorEastAsia"/>
                <w:kern w:val="0"/>
                <w:szCs w:val="21"/>
              </w:rPr>
            </w:pPr>
          </w:p>
        </w:tc>
        <w:tc>
          <w:tcPr>
            <w:tcW w:w="1187" w:type="dxa"/>
            <w:vMerge/>
            <w:tcBorders>
              <w:tl2br w:val="nil"/>
              <w:tr2bl w:val="nil"/>
            </w:tcBorders>
            <w:vAlign w:val="center"/>
          </w:tcPr>
          <w:p w:rsidR="002A5A5E" w:rsidRPr="00F9522B" w:rsidRDefault="002A5A5E">
            <w:pPr>
              <w:contextualSpacing/>
              <w:jc w:val="center"/>
              <w:rPr>
                <w:rFonts w:eastAsiaTheme="minorEastAsia"/>
                <w:kern w:val="0"/>
                <w:szCs w:val="21"/>
              </w:rPr>
            </w:pPr>
          </w:p>
        </w:tc>
        <w:tc>
          <w:tcPr>
            <w:tcW w:w="882" w:type="dxa"/>
            <w:vMerge/>
            <w:tcBorders>
              <w:tl2br w:val="nil"/>
              <w:tr2bl w:val="nil"/>
            </w:tcBorders>
            <w:vAlign w:val="center"/>
          </w:tcPr>
          <w:p w:rsidR="002A5A5E" w:rsidRPr="00F9522B" w:rsidRDefault="002A5A5E">
            <w:pPr>
              <w:contextualSpacing/>
              <w:jc w:val="center"/>
              <w:rPr>
                <w:rFonts w:eastAsiaTheme="minorEastAsia"/>
                <w:kern w:val="0"/>
                <w:szCs w:val="21"/>
              </w:rPr>
            </w:pPr>
          </w:p>
        </w:tc>
        <w:tc>
          <w:tcPr>
            <w:tcW w:w="1451" w:type="dxa"/>
            <w:tcBorders>
              <w:tl2br w:val="nil"/>
              <w:tr2bl w:val="nil"/>
            </w:tcBorders>
            <w:vAlign w:val="center"/>
          </w:tcPr>
          <w:p w:rsidR="002A5A5E" w:rsidRPr="00F9522B" w:rsidRDefault="00611CBA">
            <w:pPr>
              <w:contextualSpacing/>
              <w:jc w:val="center"/>
              <w:rPr>
                <w:rFonts w:eastAsiaTheme="minorEastAsia"/>
                <w:kern w:val="0"/>
                <w:szCs w:val="21"/>
              </w:rPr>
            </w:pPr>
            <w:r w:rsidRPr="00F9522B">
              <w:rPr>
                <w:rFonts w:eastAsiaTheme="minorEastAsia"/>
                <w:kern w:val="0"/>
                <w:szCs w:val="21"/>
              </w:rPr>
              <w:t>河流</w:t>
            </w:r>
          </w:p>
        </w:tc>
        <w:tc>
          <w:tcPr>
            <w:tcW w:w="1615" w:type="dxa"/>
            <w:tcBorders>
              <w:tl2br w:val="nil"/>
              <w:tr2bl w:val="nil"/>
            </w:tcBorders>
            <w:vAlign w:val="center"/>
          </w:tcPr>
          <w:p w:rsidR="002A5A5E" w:rsidRPr="00F9522B" w:rsidRDefault="00611CBA">
            <w:pPr>
              <w:contextualSpacing/>
              <w:jc w:val="center"/>
              <w:rPr>
                <w:rFonts w:eastAsiaTheme="minorEastAsia"/>
                <w:kern w:val="0"/>
                <w:szCs w:val="21"/>
              </w:rPr>
            </w:pPr>
            <w:r w:rsidRPr="00F9522B">
              <w:rPr>
                <w:rFonts w:eastAsiaTheme="minorEastAsia"/>
                <w:kern w:val="0"/>
                <w:szCs w:val="21"/>
              </w:rPr>
              <w:t>湖库</w:t>
            </w:r>
          </w:p>
        </w:tc>
        <w:tc>
          <w:tcPr>
            <w:tcW w:w="1682" w:type="dxa"/>
            <w:tcBorders>
              <w:tl2br w:val="nil"/>
              <w:tr2bl w:val="nil"/>
            </w:tcBorders>
            <w:vAlign w:val="center"/>
          </w:tcPr>
          <w:p w:rsidR="002A5A5E" w:rsidRPr="00F9522B" w:rsidRDefault="00611CBA">
            <w:pPr>
              <w:contextualSpacing/>
              <w:jc w:val="center"/>
              <w:rPr>
                <w:rFonts w:eastAsiaTheme="minorEastAsia"/>
                <w:kern w:val="0"/>
                <w:szCs w:val="21"/>
              </w:rPr>
            </w:pPr>
            <w:r w:rsidRPr="00F9522B">
              <w:rPr>
                <w:rFonts w:eastAsiaTheme="minorEastAsia"/>
                <w:kern w:val="0"/>
                <w:szCs w:val="21"/>
              </w:rPr>
              <w:t>入海河口、近</w:t>
            </w:r>
          </w:p>
          <w:p w:rsidR="002A5A5E" w:rsidRPr="00F9522B" w:rsidRDefault="00611CBA">
            <w:pPr>
              <w:contextualSpacing/>
              <w:jc w:val="center"/>
              <w:rPr>
                <w:rFonts w:eastAsiaTheme="minorEastAsia"/>
                <w:kern w:val="0"/>
                <w:szCs w:val="21"/>
              </w:rPr>
            </w:pPr>
            <w:r w:rsidRPr="00F9522B">
              <w:rPr>
                <w:rFonts w:eastAsiaTheme="minorEastAsia"/>
                <w:kern w:val="0"/>
                <w:szCs w:val="21"/>
              </w:rPr>
              <w:t>岸海域</w:t>
            </w:r>
          </w:p>
        </w:tc>
      </w:tr>
      <w:tr w:rsidR="002A5A5E" w:rsidRPr="00F9522B">
        <w:trPr>
          <w:trHeight w:val="340"/>
        </w:trPr>
        <w:tc>
          <w:tcPr>
            <w:tcW w:w="572" w:type="dxa"/>
            <w:tcBorders>
              <w:tl2br w:val="nil"/>
              <w:tr2bl w:val="nil"/>
            </w:tcBorders>
            <w:vAlign w:val="center"/>
          </w:tcPr>
          <w:p w:rsidR="002A5A5E" w:rsidRPr="00F9522B" w:rsidRDefault="00611CBA">
            <w:pPr>
              <w:contextualSpacing/>
              <w:jc w:val="center"/>
              <w:rPr>
                <w:rFonts w:eastAsiaTheme="minorEastAsia"/>
                <w:kern w:val="0"/>
                <w:szCs w:val="21"/>
              </w:rPr>
            </w:pPr>
            <w:r w:rsidRPr="00F9522B">
              <w:rPr>
                <w:rFonts w:eastAsiaTheme="minorEastAsia"/>
                <w:kern w:val="0"/>
                <w:szCs w:val="21"/>
              </w:rPr>
              <w:t>一级</w:t>
            </w:r>
          </w:p>
        </w:tc>
        <w:tc>
          <w:tcPr>
            <w:tcW w:w="1139" w:type="dxa"/>
            <w:tcBorders>
              <w:tl2br w:val="nil"/>
              <w:tr2bl w:val="nil"/>
            </w:tcBorders>
            <w:vAlign w:val="center"/>
          </w:tcPr>
          <w:p w:rsidR="002A5A5E" w:rsidRPr="00F9522B" w:rsidRDefault="00611CBA">
            <w:pPr>
              <w:contextualSpacing/>
              <w:jc w:val="center"/>
              <w:rPr>
                <w:rFonts w:eastAsiaTheme="minorEastAsia"/>
                <w:kern w:val="0"/>
                <w:szCs w:val="21"/>
              </w:rPr>
            </w:pPr>
            <w:r w:rsidRPr="00F9522B">
              <w:rPr>
                <w:rFonts w:eastAsiaTheme="minorEastAsia"/>
                <w:kern w:val="0"/>
                <w:szCs w:val="21"/>
              </w:rPr>
              <w:t>α≤10</w:t>
            </w:r>
            <w:r w:rsidRPr="00F9522B">
              <w:rPr>
                <w:rFonts w:eastAsiaTheme="minorEastAsia"/>
                <w:kern w:val="0"/>
                <w:szCs w:val="21"/>
              </w:rPr>
              <w:t>；或稳定</w:t>
            </w:r>
          </w:p>
          <w:p w:rsidR="002A5A5E" w:rsidRPr="00F9522B" w:rsidRDefault="00611CBA">
            <w:pPr>
              <w:contextualSpacing/>
              <w:jc w:val="center"/>
              <w:rPr>
                <w:rFonts w:eastAsiaTheme="minorEastAsia"/>
                <w:kern w:val="0"/>
                <w:szCs w:val="21"/>
              </w:rPr>
            </w:pPr>
            <w:r w:rsidRPr="00F9522B">
              <w:rPr>
                <w:rFonts w:eastAsiaTheme="minorEastAsia"/>
                <w:kern w:val="0"/>
                <w:szCs w:val="21"/>
              </w:rPr>
              <w:t>分层</w:t>
            </w:r>
          </w:p>
        </w:tc>
        <w:tc>
          <w:tcPr>
            <w:tcW w:w="1187" w:type="dxa"/>
            <w:tcBorders>
              <w:tl2br w:val="nil"/>
              <w:tr2bl w:val="nil"/>
            </w:tcBorders>
            <w:vAlign w:val="center"/>
          </w:tcPr>
          <w:p w:rsidR="002A5A5E" w:rsidRPr="00F9522B" w:rsidRDefault="00611CBA">
            <w:pPr>
              <w:contextualSpacing/>
              <w:jc w:val="center"/>
              <w:rPr>
                <w:rFonts w:eastAsiaTheme="minorEastAsia"/>
                <w:kern w:val="0"/>
                <w:szCs w:val="21"/>
              </w:rPr>
            </w:pPr>
            <w:r w:rsidRPr="00F9522B">
              <w:rPr>
                <w:rFonts w:eastAsiaTheme="minorEastAsia"/>
                <w:kern w:val="0"/>
                <w:szCs w:val="21"/>
              </w:rPr>
              <w:t>β≥20</w:t>
            </w:r>
            <w:r w:rsidRPr="00F9522B">
              <w:rPr>
                <w:rFonts w:eastAsiaTheme="minorEastAsia"/>
                <w:kern w:val="0"/>
                <w:szCs w:val="21"/>
              </w:rPr>
              <w:t>；或完全年调节与多年调节</w:t>
            </w:r>
          </w:p>
        </w:tc>
        <w:tc>
          <w:tcPr>
            <w:tcW w:w="882" w:type="dxa"/>
            <w:tcBorders>
              <w:tl2br w:val="nil"/>
              <w:tr2bl w:val="nil"/>
            </w:tcBorders>
            <w:vAlign w:val="center"/>
          </w:tcPr>
          <w:p w:rsidR="002A5A5E" w:rsidRPr="00F9522B" w:rsidRDefault="00611CBA">
            <w:pPr>
              <w:contextualSpacing/>
              <w:jc w:val="center"/>
              <w:rPr>
                <w:rFonts w:eastAsiaTheme="minorEastAsia"/>
                <w:kern w:val="0"/>
                <w:szCs w:val="21"/>
              </w:rPr>
            </w:pPr>
            <w:r w:rsidRPr="00F9522B">
              <w:rPr>
                <w:rFonts w:eastAsiaTheme="minorEastAsia"/>
                <w:kern w:val="0"/>
                <w:szCs w:val="21"/>
              </w:rPr>
              <w:t>γ≥30</w:t>
            </w:r>
          </w:p>
        </w:tc>
        <w:tc>
          <w:tcPr>
            <w:tcW w:w="1451" w:type="dxa"/>
            <w:tcBorders>
              <w:tl2br w:val="nil"/>
              <w:tr2bl w:val="nil"/>
            </w:tcBorders>
            <w:vAlign w:val="center"/>
          </w:tcPr>
          <w:p w:rsidR="002A5A5E" w:rsidRPr="00F9522B" w:rsidRDefault="00611CBA">
            <w:pPr>
              <w:contextualSpacing/>
              <w:jc w:val="center"/>
              <w:rPr>
                <w:rFonts w:eastAsiaTheme="minorEastAsia"/>
                <w:kern w:val="0"/>
                <w:szCs w:val="21"/>
              </w:rPr>
            </w:pPr>
            <w:r w:rsidRPr="00F9522B">
              <w:rPr>
                <w:rFonts w:eastAsiaTheme="minorEastAsia"/>
                <w:kern w:val="0"/>
                <w:szCs w:val="21"/>
              </w:rPr>
              <w:t>A</w:t>
            </w:r>
            <w:r w:rsidRPr="00F9522B">
              <w:rPr>
                <w:rFonts w:eastAsiaTheme="minorEastAsia"/>
                <w:kern w:val="0"/>
                <w:szCs w:val="21"/>
                <w:vertAlign w:val="subscript"/>
              </w:rPr>
              <w:t>1</w:t>
            </w:r>
            <w:r w:rsidRPr="00F9522B">
              <w:rPr>
                <w:rFonts w:eastAsiaTheme="minorEastAsia"/>
                <w:kern w:val="0"/>
                <w:szCs w:val="21"/>
              </w:rPr>
              <w:t>≥0.3</w:t>
            </w:r>
            <w:r w:rsidRPr="00F9522B">
              <w:rPr>
                <w:rFonts w:eastAsiaTheme="minorEastAsia"/>
                <w:kern w:val="0"/>
                <w:szCs w:val="21"/>
              </w:rPr>
              <w:t>；或</w:t>
            </w:r>
          </w:p>
          <w:p w:rsidR="002A5A5E" w:rsidRPr="00F9522B" w:rsidRDefault="00611CBA">
            <w:pPr>
              <w:contextualSpacing/>
              <w:jc w:val="center"/>
              <w:rPr>
                <w:rFonts w:eastAsiaTheme="minorEastAsia"/>
                <w:kern w:val="0"/>
                <w:szCs w:val="21"/>
              </w:rPr>
            </w:pPr>
            <w:r w:rsidRPr="00F9522B">
              <w:rPr>
                <w:rFonts w:eastAsiaTheme="minorEastAsia"/>
                <w:kern w:val="0"/>
                <w:szCs w:val="21"/>
              </w:rPr>
              <w:t>A</w:t>
            </w:r>
            <w:r w:rsidRPr="00F9522B">
              <w:rPr>
                <w:rFonts w:eastAsiaTheme="minorEastAsia"/>
                <w:kern w:val="0"/>
                <w:szCs w:val="21"/>
                <w:vertAlign w:val="subscript"/>
              </w:rPr>
              <w:t>2</w:t>
            </w:r>
            <w:r w:rsidRPr="00F9522B">
              <w:rPr>
                <w:rFonts w:eastAsiaTheme="minorEastAsia"/>
                <w:kern w:val="0"/>
                <w:szCs w:val="21"/>
              </w:rPr>
              <w:t>≥1.5</w:t>
            </w:r>
            <w:r w:rsidRPr="00F9522B">
              <w:rPr>
                <w:rFonts w:eastAsiaTheme="minorEastAsia"/>
                <w:kern w:val="0"/>
                <w:szCs w:val="21"/>
              </w:rPr>
              <w:t>；或</w:t>
            </w:r>
          </w:p>
          <w:p w:rsidR="002A5A5E" w:rsidRPr="00F9522B" w:rsidRDefault="00611CBA">
            <w:pPr>
              <w:contextualSpacing/>
              <w:jc w:val="center"/>
              <w:rPr>
                <w:rFonts w:eastAsiaTheme="minorEastAsia"/>
                <w:kern w:val="0"/>
                <w:szCs w:val="21"/>
              </w:rPr>
            </w:pPr>
            <w:r w:rsidRPr="00F9522B">
              <w:rPr>
                <w:rFonts w:eastAsiaTheme="minorEastAsia"/>
                <w:kern w:val="0"/>
                <w:szCs w:val="21"/>
              </w:rPr>
              <w:t>R≥10</w:t>
            </w:r>
          </w:p>
        </w:tc>
        <w:tc>
          <w:tcPr>
            <w:tcW w:w="1615" w:type="dxa"/>
            <w:tcBorders>
              <w:tl2br w:val="nil"/>
              <w:tr2bl w:val="nil"/>
            </w:tcBorders>
            <w:vAlign w:val="center"/>
          </w:tcPr>
          <w:p w:rsidR="002A5A5E" w:rsidRPr="00F9522B" w:rsidRDefault="00611CBA">
            <w:pPr>
              <w:contextualSpacing/>
              <w:jc w:val="center"/>
              <w:rPr>
                <w:rFonts w:eastAsiaTheme="minorEastAsia"/>
                <w:kern w:val="0"/>
                <w:szCs w:val="21"/>
              </w:rPr>
            </w:pPr>
            <w:r w:rsidRPr="00F9522B">
              <w:rPr>
                <w:rFonts w:eastAsiaTheme="minorEastAsia"/>
                <w:kern w:val="0"/>
                <w:szCs w:val="21"/>
              </w:rPr>
              <w:t>A</w:t>
            </w:r>
            <w:r w:rsidRPr="00F9522B">
              <w:rPr>
                <w:rFonts w:eastAsiaTheme="minorEastAsia"/>
                <w:kern w:val="0"/>
                <w:szCs w:val="21"/>
                <w:vertAlign w:val="subscript"/>
              </w:rPr>
              <w:t>1</w:t>
            </w:r>
            <w:r w:rsidRPr="00F9522B">
              <w:rPr>
                <w:rFonts w:eastAsiaTheme="minorEastAsia"/>
                <w:kern w:val="0"/>
                <w:szCs w:val="21"/>
              </w:rPr>
              <w:t>≥0.3</w:t>
            </w:r>
            <w:r w:rsidRPr="00F9522B">
              <w:rPr>
                <w:rFonts w:eastAsiaTheme="minorEastAsia"/>
                <w:kern w:val="0"/>
                <w:szCs w:val="21"/>
              </w:rPr>
              <w:t>；或</w:t>
            </w:r>
          </w:p>
          <w:p w:rsidR="002A5A5E" w:rsidRPr="00F9522B" w:rsidRDefault="00611CBA">
            <w:pPr>
              <w:contextualSpacing/>
              <w:jc w:val="center"/>
              <w:rPr>
                <w:rFonts w:eastAsiaTheme="minorEastAsia"/>
                <w:kern w:val="0"/>
                <w:szCs w:val="21"/>
              </w:rPr>
            </w:pPr>
            <w:r w:rsidRPr="00F9522B">
              <w:rPr>
                <w:rFonts w:eastAsiaTheme="minorEastAsia"/>
                <w:kern w:val="0"/>
                <w:szCs w:val="21"/>
              </w:rPr>
              <w:t>A</w:t>
            </w:r>
            <w:r w:rsidRPr="00F9522B">
              <w:rPr>
                <w:rFonts w:eastAsiaTheme="minorEastAsia"/>
                <w:kern w:val="0"/>
                <w:szCs w:val="21"/>
                <w:vertAlign w:val="subscript"/>
              </w:rPr>
              <w:t>2</w:t>
            </w:r>
            <w:r w:rsidRPr="00F9522B">
              <w:rPr>
                <w:rFonts w:eastAsiaTheme="minorEastAsia"/>
                <w:kern w:val="0"/>
                <w:szCs w:val="21"/>
              </w:rPr>
              <w:t>≥1.5</w:t>
            </w:r>
            <w:r w:rsidRPr="00F9522B">
              <w:rPr>
                <w:rFonts w:eastAsiaTheme="minorEastAsia"/>
                <w:kern w:val="0"/>
                <w:szCs w:val="21"/>
              </w:rPr>
              <w:t>；或</w:t>
            </w:r>
          </w:p>
          <w:p w:rsidR="002A5A5E" w:rsidRPr="00F9522B" w:rsidRDefault="00611CBA">
            <w:pPr>
              <w:contextualSpacing/>
              <w:jc w:val="center"/>
              <w:rPr>
                <w:rFonts w:eastAsiaTheme="minorEastAsia"/>
                <w:kern w:val="0"/>
                <w:szCs w:val="21"/>
              </w:rPr>
            </w:pPr>
            <w:r w:rsidRPr="00F9522B">
              <w:rPr>
                <w:rFonts w:eastAsiaTheme="minorEastAsia"/>
                <w:kern w:val="0"/>
                <w:szCs w:val="21"/>
              </w:rPr>
              <w:t>R≥20</w:t>
            </w:r>
          </w:p>
        </w:tc>
        <w:tc>
          <w:tcPr>
            <w:tcW w:w="1682" w:type="dxa"/>
            <w:tcBorders>
              <w:tl2br w:val="nil"/>
              <w:tr2bl w:val="nil"/>
            </w:tcBorders>
            <w:vAlign w:val="center"/>
          </w:tcPr>
          <w:p w:rsidR="002A5A5E" w:rsidRPr="00F9522B" w:rsidRDefault="00611CBA">
            <w:pPr>
              <w:contextualSpacing/>
              <w:jc w:val="center"/>
              <w:rPr>
                <w:rFonts w:eastAsiaTheme="minorEastAsia"/>
                <w:kern w:val="0"/>
                <w:szCs w:val="21"/>
              </w:rPr>
            </w:pPr>
            <w:r w:rsidRPr="00F9522B">
              <w:rPr>
                <w:rFonts w:eastAsiaTheme="minorEastAsia"/>
                <w:kern w:val="0"/>
                <w:szCs w:val="21"/>
              </w:rPr>
              <w:t>A</w:t>
            </w:r>
            <w:r w:rsidRPr="00F9522B">
              <w:rPr>
                <w:rFonts w:eastAsiaTheme="minorEastAsia"/>
                <w:kern w:val="0"/>
                <w:szCs w:val="21"/>
                <w:vertAlign w:val="subscript"/>
              </w:rPr>
              <w:t>1</w:t>
            </w:r>
            <w:r w:rsidRPr="00F9522B">
              <w:rPr>
                <w:rFonts w:eastAsiaTheme="minorEastAsia"/>
                <w:kern w:val="0"/>
                <w:szCs w:val="21"/>
              </w:rPr>
              <w:t>≥0.5</w:t>
            </w:r>
            <w:r w:rsidRPr="00F9522B">
              <w:rPr>
                <w:rFonts w:eastAsiaTheme="minorEastAsia"/>
                <w:kern w:val="0"/>
                <w:szCs w:val="21"/>
              </w:rPr>
              <w:t>；或</w:t>
            </w:r>
          </w:p>
          <w:p w:rsidR="002A5A5E" w:rsidRPr="00F9522B" w:rsidRDefault="00611CBA">
            <w:pPr>
              <w:contextualSpacing/>
              <w:jc w:val="center"/>
              <w:rPr>
                <w:rFonts w:eastAsiaTheme="minorEastAsia"/>
                <w:kern w:val="0"/>
                <w:szCs w:val="21"/>
              </w:rPr>
            </w:pPr>
            <w:r w:rsidRPr="00F9522B">
              <w:rPr>
                <w:rFonts w:eastAsiaTheme="minorEastAsia"/>
                <w:kern w:val="0"/>
                <w:szCs w:val="21"/>
              </w:rPr>
              <w:t>A</w:t>
            </w:r>
            <w:r w:rsidRPr="00F9522B">
              <w:rPr>
                <w:rFonts w:eastAsiaTheme="minorEastAsia"/>
                <w:kern w:val="0"/>
                <w:szCs w:val="21"/>
                <w:vertAlign w:val="subscript"/>
              </w:rPr>
              <w:t>2</w:t>
            </w:r>
            <w:r w:rsidRPr="00F9522B">
              <w:rPr>
                <w:rFonts w:eastAsiaTheme="minorEastAsia"/>
                <w:kern w:val="0"/>
                <w:szCs w:val="21"/>
              </w:rPr>
              <w:t>≥3</w:t>
            </w:r>
          </w:p>
        </w:tc>
      </w:tr>
      <w:tr w:rsidR="002A5A5E" w:rsidRPr="00F9522B">
        <w:trPr>
          <w:trHeight w:val="340"/>
        </w:trPr>
        <w:tc>
          <w:tcPr>
            <w:tcW w:w="572" w:type="dxa"/>
            <w:tcBorders>
              <w:tl2br w:val="nil"/>
              <w:tr2bl w:val="nil"/>
            </w:tcBorders>
            <w:vAlign w:val="center"/>
          </w:tcPr>
          <w:p w:rsidR="002A5A5E" w:rsidRPr="00F9522B" w:rsidRDefault="00611CBA">
            <w:pPr>
              <w:contextualSpacing/>
              <w:jc w:val="center"/>
              <w:rPr>
                <w:rFonts w:eastAsiaTheme="minorEastAsia"/>
                <w:kern w:val="0"/>
                <w:szCs w:val="21"/>
              </w:rPr>
            </w:pPr>
            <w:r w:rsidRPr="00F9522B">
              <w:rPr>
                <w:rFonts w:eastAsiaTheme="minorEastAsia"/>
                <w:kern w:val="0"/>
                <w:szCs w:val="21"/>
              </w:rPr>
              <w:t>二级</w:t>
            </w:r>
          </w:p>
        </w:tc>
        <w:tc>
          <w:tcPr>
            <w:tcW w:w="1139" w:type="dxa"/>
            <w:tcBorders>
              <w:tl2br w:val="nil"/>
              <w:tr2bl w:val="nil"/>
            </w:tcBorders>
            <w:vAlign w:val="center"/>
          </w:tcPr>
          <w:p w:rsidR="002A5A5E" w:rsidRPr="00F9522B" w:rsidRDefault="00611CBA">
            <w:pPr>
              <w:contextualSpacing/>
              <w:jc w:val="center"/>
              <w:rPr>
                <w:rFonts w:eastAsiaTheme="minorEastAsia"/>
                <w:kern w:val="0"/>
                <w:szCs w:val="21"/>
              </w:rPr>
            </w:pPr>
            <w:r w:rsidRPr="00F9522B">
              <w:rPr>
                <w:rFonts w:eastAsiaTheme="minorEastAsia"/>
                <w:kern w:val="0"/>
                <w:szCs w:val="21"/>
              </w:rPr>
              <w:t>20&gt;α&gt;10</w:t>
            </w:r>
            <w:r w:rsidRPr="00F9522B">
              <w:rPr>
                <w:rFonts w:eastAsiaTheme="minorEastAsia"/>
                <w:kern w:val="0"/>
                <w:szCs w:val="21"/>
              </w:rPr>
              <w:t>；或不稳定分层</w:t>
            </w:r>
          </w:p>
        </w:tc>
        <w:tc>
          <w:tcPr>
            <w:tcW w:w="1187" w:type="dxa"/>
            <w:tcBorders>
              <w:tl2br w:val="nil"/>
              <w:tr2bl w:val="nil"/>
            </w:tcBorders>
            <w:vAlign w:val="center"/>
          </w:tcPr>
          <w:p w:rsidR="002A5A5E" w:rsidRPr="00F9522B" w:rsidRDefault="00611CBA">
            <w:pPr>
              <w:contextualSpacing/>
              <w:jc w:val="center"/>
              <w:rPr>
                <w:rFonts w:eastAsiaTheme="minorEastAsia"/>
                <w:kern w:val="0"/>
                <w:szCs w:val="21"/>
              </w:rPr>
            </w:pPr>
            <w:r w:rsidRPr="00F9522B">
              <w:rPr>
                <w:rFonts w:eastAsiaTheme="minorEastAsia"/>
                <w:kern w:val="0"/>
                <w:szCs w:val="21"/>
              </w:rPr>
              <w:t>20&gt;β&gt;2</w:t>
            </w:r>
            <w:r w:rsidRPr="00F9522B">
              <w:rPr>
                <w:rFonts w:eastAsiaTheme="minorEastAsia"/>
                <w:kern w:val="0"/>
                <w:szCs w:val="21"/>
              </w:rPr>
              <w:t>；或季调节与不完全年调节</w:t>
            </w:r>
          </w:p>
        </w:tc>
        <w:tc>
          <w:tcPr>
            <w:tcW w:w="882" w:type="dxa"/>
            <w:tcBorders>
              <w:tl2br w:val="nil"/>
              <w:tr2bl w:val="nil"/>
            </w:tcBorders>
            <w:vAlign w:val="center"/>
          </w:tcPr>
          <w:p w:rsidR="002A5A5E" w:rsidRPr="00F9522B" w:rsidRDefault="00611CBA">
            <w:pPr>
              <w:contextualSpacing/>
              <w:jc w:val="center"/>
              <w:rPr>
                <w:rFonts w:eastAsiaTheme="minorEastAsia"/>
                <w:kern w:val="0"/>
                <w:szCs w:val="21"/>
              </w:rPr>
            </w:pPr>
            <w:r w:rsidRPr="00F9522B">
              <w:rPr>
                <w:rFonts w:eastAsiaTheme="minorEastAsia"/>
                <w:kern w:val="0"/>
                <w:szCs w:val="21"/>
              </w:rPr>
              <w:t>30&gt;γ</w:t>
            </w:r>
          </w:p>
          <w:p w:rsidR="002A5A5E" w:rsidRPr="00F9522B" w:rsidRDefault="00611CBA">
            <w:pPr>
              <w:contextualSpacing/>
              <w:jc w:val="center"/>
              <w:rPr>
                <w:rFonts w:eastAsiaTheme="minorEastAsia"/>
                <w:kern w:val="0"/>
                <w:szCs w:val="21"/>
              </w:rPr>
            </w:pPr>
            <w:r w:rsidRPr="00F9522B">
              <w:rPr>
                <w:rFonts w:eastAsiaTheme="minorEastAsia"/>
                <w:kern w:val="0"/>
                <w:szCs w:val="21"/>
              </w:rPr>
              <w:t>&gt;10</w:t>
            </w:r>
            <w:r w:rsidRPr="00F9522B">
              <w:rPr>
                <w:rFonts w:eastAsiaTheme="minorEastAsia"/>
                <w:kern w:val="0"/>
                <w:szCs w:val="21"/>
              </w:rPr>
              <w:t>；</w:t>
            </w:r>
          </w:p>
        </w:tc>
        <w:tc>
          <w:tcPr>
            <w:tcW w:w="1451" w:type="dxa"/>
            <w:tcBorders>
              <w:tl2br w:val="nil"/>
              <w:tr2bl w:val="nil"/>
            </w:tcBorders>
            <w:vAlign w:val="center"/>
          </w:tcPr>
          <w:p w:rsidR="002A5A5E" w:rsidRPr="00F9522B" w:rsidRDefault="00611CBA">
            <w:pPr>
              <w:contextualSpacing/>
              <w:jc w:val="center"/>
              <w:rPr>
                <w:rFonts w:eastAsiaTheme="minorEastAsia"/>
                <w:kern w:val="0"/>
                <w:szCs w:val="21"/>
              </w:rPr>
            </w:pPr>
            <w:r w:rsidRPr="00F9522B">
              <w:rPr>
                <w:rFonts w:eastAsiaTheme="minorEastAsia"/>
                <w:kern w:val="0"/>
                <w:szCs w:val="21"/>
              </w:rPr>
              <w:t>0.3&gt;A</w:t>
            </w:r>
            <w:r w:rsidRPr="00F9522B">
              <w:rPr>
                <w:rFonts w:eastAsiaTheme="minorEastAsia"/>
                <w:kern w:val="0"/>
                <w:szCs w:val="21"/>
                <w:vertAlign w:val="subscript"/>
              </w:rPr>
              <w:t>1</w:t>
            </w:r>
            <w:r w:rsidRPr="00F9522B">
              <w:rPr>
                <w:rFonts w:eastAsiaTheme="minorEastAsia"/>
                <w:kern w:val="0"/>
                <w:szCs w:val="21"/>
              </w:rPr>
              <w:t>&gt;0.05</w:t>
            </w:r>
            <w:r w:rsidRPr="00F9522B">
              <w:rPr>
                <w:rFonts w:eastAsiaTheme="minorEastAsia"/>
                <w:kern w:val="0"/>
                <w:szCs w:val="21"/>
              </w:rPr>
              <w:t>；或</w:t>
            </w:r>
            <w:r w:rsidRPr="00F9522B">
              <w:rPr>
                <w:rFonts w:eastAsiaTheme="minorEastAsia"/>
                <w:kern w:val="0"/>
                <w:szCs w:val="21"/>
              </w:rPr>
              <w:t xml:space="preserve"> 1.5&gt;A</w:t>
            </w:r>
            <w:r w:rsidRPr="00F9522B">
              <w:rPr>
                <w:rFonts w:eastAsiaTheme="minorEastAsia"/>
                <w:kern w:val="0"/>
                <w:szCs w:val="21"/>
                <w:vertAlign w:val="subscript"/>
              </w:rPr>
              <w:t>2</w:t>
            </w:r>
            <w:r w:rsidRPr="00F9522B">
              <w:rPr>
                <w:rFonts w:eastAsiaTheme="minorEastAsia"/>
                <w:kern w:val="0"/>
                <w:szCs w:val="21"/>
              </w:rPr>
              <w:t>&gt;0.2</w:t>
            </w:r>
            <w:r w:rsidRPr="00F9522B">
              <w:rPr>
                <w:rFonts w:eastAsiaTheme="minorEastAsia"/>
                <w:kern w:val="0"/>
                <w:szCs w:val="21"/>
              </w:rPr>
              <w:t>；或</w:t>
            </w:r>
            <w:r w:rsidRPr="00F9522B">
              <w:rPr>
                <w:rFonts w:eastAsiaTheme="minorEastAsia"/>
                <w:kern w:val="0"/>
                <w:szCs w:val="21"/>
              </w:rPr>
              <w:t>10&gt; R&gt;5</w:t>
            </w:r>
          </w:p>
        </w:tc>
        <w:tc>
          <w:tcPr>
            <w:tcW w:w="1615" w:type="dxa"/>
            <w:tcBorders>
              <w:tl2br w:val="nil"/>
              <w:tr2bl w:val="nil"/>
            </w:tcBorders>
            <w:vAlign w:val="center"/>
          </w:tcPr>
          <w:p w:rsidR="002A5A5E" w:rsidRPr="00F9522B" w:rsidRDefault="00611CBA">
            <w:pPr>
              <w:contextualSpacing/>
              <w:jc w:val="center"/>
              <w:rPr>
                <w:rFonts w:eastAsiaTheme="minorEastAsia"/>
                <w:kern w:val="0"/>
                <w:szCs w:val="21"/>
              </w:rPr>
            </w:pPr>
            <w:r w:rsidRPr="00F9522B">
              <w:rPr>
                <w:rFonts w:eastAsiaTheme="minorEastAsia"/>
                <w:kern w:val="0"/>
                <w:szCs w:val="21"/>
              </w:rPr>
              <w:t>0.3&gt;A</w:t>
            </w:r>
            <w:r w:rsidRPr="00F9522B">
              <w:rPr>
                <w:rFonts w:eastAsiaTheme="minorEastAsia"/>
                <w:kern w:val="0"/>
                <w:szCs w:val="21"/>
                <w:vertAlign w:val="subscript"/>
              </w:rPr>
              <w:t>1</w:t>
            </w:r>
            <w:r w:rsidRPr="00F9522B">
              <w:rPr>
                <w:rFonts w:eastAsiaTheme="minorEastAsia"/>
                <w:kern w:val="0"/>
                <w:szCs w:val="21"/>
              </w:rPr>
              <w:t>&gt;0.05</w:t>
            </w:r>
            <w:r w:rsidRPr="00F9522B">
              <w:rPr>
                <w:rFonts w:eastAsiaTheme="minorEastAsia"/>
                <w:kern w:val="0"/>
                <w:szCs w:val="21"/>
              </w:rPr>
              <w:t>；或</w:t>
            </w:r>
            <w:r w:rsidRPr="00F9522B">
              <w:rPr>
                <w:rFonts w:eastAsiaTheme="minorEastAsia"/>
                <w:kern w:val="0"/>
                <w:szCs w:val="21"/>
              </w:rPr>
              <w:t xml:space="preserve"> 1.5&gt;</w:t>
            </w:r>
          </w:p>
          <w:p w:rsidR="002A5A5E" w:rsidRPr="00F9522B" w:rsidRDefault="00611CBA">
            <w:pPr>
              <w:contextualSpacing/>
              <w:jc w:val="center"/>
              <w:rPr>
                <w:rFonts w:eastAsiaTheme="minorEastAsia"/>
                <w:kern w:val="0"/>
                <w:szCs w:val="21"/>
              </w:rPr>
            </w:pPr>
            <w:r w:rsidRPr="00F9522B">
              <w:rPr>
                <w:rFonts w:eastAsiaTheme="minorEastAsia"/>
                <w:kern w:val="0"/>
                <w:szCs w:val="21"/>
              </w:rPr>
              <w:t>A</w:t>
            </w:r>
            <w:r w:rsidRPr="00F9522B">
              <w:rPr>
                <w:rFonts w:eastAsiaTheme="minorEastAsia"/>
                <w:kern w:val="0"/>
                <w:szCs w:val="21"/>
                <w:vertAlign w:val="subscript"/>
              </w:rPr>
              <w:t>2</w:t>
            </w:r>
            <w:r w:rsidRPr="00F9522B">
              <w:rPr>
                <w:rFonts w:eastAsiaTheme="minorEastAsia"/>
                <w:kern w:val="0"/>
                <w:szCs w:val="21"/>
              </w:rPr>
              <w:t>&gt;0.2</w:t>
            </w:r>
            <w:r w:rsidRPr="00F9522B">
              <w:rPr>
                <w:rFonts w:eastAsiaTheme="minorEastAsia"/>
                <w:kern w:val="0"/>
                <w:szCs w:val="21"/>
              </w:rPr>
              <w:t>；或</w:t>
            </w:r>
          </w:p>
          <w:p w:rsidR="002A5A5E" w:rsidRPr="00F9522B" w:rsidRDefault="00611CBA">
            <w:pPr>
              <w:contextualSpacing/>
              <w:jc w:val="center"/>
              <w:rPr>
                <w:rFonts w:eastAsiaTheme="minorEastAsia"/>
                <w:kern w:val="0"/>
                <w:szCs w:val="21"/>
              </w:rPr>
            </w:pPr>
            <w:r w:rsidRPr="00F9522B">
              <w:rPr>
                <w:rFonts w:eastAsiaTheme="minorEastAsia"/>
                <w:kern w:val="0"/>
                <w:szCs w:val="21"/>
              </w:rPr>
              <w:t>20&gt; R&gt;5</w:t>
            </w:r>
          </w:p>
        </w:tc>
        <w:tc>
          <w:tcPr>
            <w:tcW w:w="1682" w:type="dxa"/>
            <w:tcBorders>
              <w:tl2br w:val="nil"/>
              <w:tr2bl w:val="nil"/>
            </w:tcBorders>
            <w:vAlign w:val="center"/>
          </w:tcPr>
          <w:p w:rsidR="002A5A5E" w:rsidRPr="00F9522B" w:rsidRDefault="00611CBA">
            <w:pPr>
              <w:contextualSpacing/>
              <w:jc w:val="center"/>
              <w:rPr>
                <w:rFonts w:eastAsiaTheme="minorEastAsia"/>
                <w:kern w:val="0"/>
                <w:szCs w:val="21"/>
              </w:rPr>
            </w:pPr>
            <w:r w:rsidRPr="00F9522B">
              <w:rPr>
                <w:rFonts w:eastAsiaTheme="minorEastAsia"/>
                <w:kern w:val="0"/>
                <w:szCs w:val="21"/>
              </w:rPr>
              <w:t>0.5&gt;A</w:t>
            </w:r>
            <w:r w:rsidRPr="00F9522B">
              <w:rPr>
                <w:rFonts w:eastAsiaTheme="minorEastAsia"/>
                <w:kern w:val="0"/>
                <w:szCs w:val="21"/>
                <w:vertAlign w:val="subscript"/>
              </w:rPr>
              <w:t>1</w:t>
            </w:r>
            <w:r w:rsidRPr="00F9522B">
              <w:rPr>
                <w:rFonts w:eastAsiaTheme="minorEastAsia"/>
                <w:kern w:val="0"/>
                <w:szCs w:val="21"/>
              </w:rPr>
              <w:t>&gt;0.15</w:t>
            </w:r>
            <w:r w:rsidRPr="00F9522B">
              <w:rPr>
                <w:rFonts w:eastAsiaTheme="minorEastAsia"/>
                <w:kern w:val="0"/>
                <w:szCs w:val="21"/>
              </w:rPr>
              <w:t>；或</w:t>
            </w:r>
            <w:r w:rsidRPr="00F9522B">
              <w:rPr>
                <w:rFonts w:eastAsiaTheme="minorEastAsia"/>
                <w:kern w:val="0"/>
                <w:szCs w:val="21"/>
              </w:rPr>
              <w:t xml:space="preserve"> 3&gt;A</w:t>
            </w:r>
            <w:r w:rsidRPr="00F9522B">
              <w:rPr>
                <w:rFonts w:eastAsiaTheme="minorEastAsia"/>
                <w:kern w:val="0"/>
                <w:szCs w:val="21"/>
                <w:vertAlign w:val="subscript"/>
              </w:rPr>
              <w:t>2</w:t>
            </w:r>
            <w:r w:rsidRPr="00F9522B">
              <w:rPr>
                <w:rFonts w:eastAsiaTheme="minorEastAsia"/>
                <w:kern w:val="0"/>
                <w:szCs w:val="21"/>
              </w:rPr>
              <w:t>&gt;0.5</w:t>
            </w:r>
          </w:p>
        </w:tc>
      </w:tr>
      <w:tr w:rsidR="002A5A5E" w:rsidRPr="00F9522B">
        <w:trPr>
          <w:trHeight w:val="340"/>
        </w:trPr>
        <w:tc>
          <w:tcPr>
            <w:tcW w:w="572" w:type="dxa"/>
            <w:tcBorders>
              <w:tl2br w:val="nil"/>
              <w:tr2bl w:val="nil"/>
            </w:tcBorders>
            <w:vAlign w:val="center"/>
          </w:tcPr>
          <w:p w:rsidR="002A5A5E" w:rsidRPr="00F9522B" w:rsidRDefault="00611CBA">
            <w:pPr>
              <w:contextualSpacing/>
              <w:jc w:val="center"/>
              <w:rPr>
                <w:rFonts w:eastAsiaTheme="minorEastAsia"/>
                <w:kern w:val="0"/>
                <w:szCs w:val="21"/>
              </w:rPr>
            </w:pPr>
            <w:r w:rsidRPr="00F9522B">
              <w:rPr>
                <w:rFonts w:eastAsiaTheme="minorEastAsia"/>
                <w:kern w:val="0"/>
                <w:szCs w:val="21"/>
              </w:rPr>
              <w:t>三级</w:t>
            </w:r>
          </w:p>
        </w:tc>
        <w:tc>
          <w:tcPr>
            <w:tcW w:w="1139" w:type="dxa"/>
            <w:tcBorders>
              <w:tl2br w:val="nil"/>
              <w:tr2bl w:val="nil"/>
            </w:tcBorders>
            <w:vAlign w:val="center"/>
          </w:tcPr>
          <w:p w:rsidR="002A5A5E" w:rsidRPr="00F9522B" w:rsidRDefault="00611CBA">
            <w:pPr>
              <w:contextualSpacing/>
              <w:jc w:val="center"/>
              <w:rPr>
                <w:rFonts w:eastAsiaTheme="minorEastAsia"/>
                <w:kern w:val="0"/>
                <w:szCs w:val="21"/>
              </w:rPr>
            </w:pPr>
            <w:r w:rsidRPr="00F9522B">
              <w:rPr>
                <w:rFonts w:eastAsiaTheme="minorEastAsia"/>
                <w:kern w:val="0"/>
                <w:szCs w:val="21"/>
              </w:rPr>
              <w:t>α≥20</w:t>
            </w:r>
            <w:r w:rsidRPr="00F9522B">
              <w:rPr>
                <w:rFonts w:eastAsiaTheme="minorEastAsia"/>
                <w:kern w:val="0"/>
                <w:szCs w:val="21"/>
              </w:rPr>
              <w:t>；或混合型</w:t>
            </w:r>
          </w:p>
        </w:tc>
        <w:tc>
          <w:tcPr>
            <w:tcW w:w="1187" w:type="dxa"/>
            <w:tcBorders>
              <w:tl2br w:val="nil"/>
              <w:tr2bl w:val="nil"/>
            </w:tcBorders>
            <w:vAlign w:val="center"/>
          </w:tcPr>
          <w:p w:rsidR="002A5A5E" w:rsidRPr="00F9522B" w:rsidRDefault="00611CBA">
            <w:pPr>
              <w:contextualSpacing/>
              <w:jc w:val="center"/>
              <w:rPr>
                <w:rFonts w:eastAsiaTheme="minorEastAsia"/>
                <w:kern w:val="0"/>
                <w:szCs w:val="21"/>
              </w:rPr>
            </w:pPr>
            <w:r w:rsidRPr="00F9522B">
              <w:rPr>
                <w:rFonts w:eastAsiaTheme="minorEastAsia"/>
                <w:kern w:val="0"/>
                <w:szCs w:val="21"/>
              </w:rPr>
              <w:t>β≤2</w:t>
            </w:r>
            <w:r w:rsidRPr="00F9522B">
              <w:rPr>
                <w:rFonts w:eastAsiaTheme="minorEastAsia"/>
                <w:kern w:val="0"/>
                <w:szCs w:val="21"/>
              </w:rPr>
              <w:t>；或无调节</w:t>
            </w:r>
          </w:p>
        </w:tc>
        <w:tc>
          <w:tcPr>
            <w:tcW w:w="882" w:type="dxa"/>
            <w:tcBorders>
              <w:tl2br w:val="nil"/>
              <w:tr2bl w:val="nil"/>
            </w:tcBorders>
            <w:vAlign w:val="center"/>
          </w:tcPr>
          <w:p w:rsidR="002A5A5E" w:rsidRPr="00F9522B" w:rsidRDefault="00611CBA">
            <w:pPr>
              <w:contextualSpacing/>
              <w:jc w:val="center"/>
              <w:rPr>
                <w:rFonts w:eastAsiaTheme="minorEastAsia"/>
                <w:kern w:val="0"/>
                <w:szCs w:val="21"/>
              </w:rPr>
            </w:pPr>
            <w:r w:rsidRPr="00F9522B">
              <w:rPr>
                <w:rFonts w:eastAsiaTheme="minorEastAsia"/>
                <w:kern w:val="0"/>
                <w:szCs w:val="21"/>
              </w:rPr>
              <w:t>γ≤10</w:t>
            </w:r>
          </w:p>
        </w:tc>
        <w:tc>
          <w:tcPr>
            <w:tcW w:w="1451" w:type="dxa"/>
            <w:tcBorders>
              <w:tl2br w:val="nil"/>
              <w:tr2bl w:val="nil"/>
            </w:tcBorders>
            <w:vAlign w:val="center"/>
          </w:tcPr>
          <w:p w:rsidR="002A5A5E" w:rsidRPr="00F9522B" w:rsidRDefault="00611CBA">
            <w:pPr>
              <w:contextualSpacing/>
              <w:jc w:val="center"/>
              <w:rPr>
                <w:rFonts w:eastAsiaTheme="minorEastAsia"/>
                <w:kern w:val="0"/>
                <w:szCs w:val="21"/>
              </w:rPr>
            </w:pPr>
            <w:r w:rsidRPr="00F9522B">
              <w:rPr>
                <w:rFonts w:eastAsiaTheme="minorEastAsia"/>
                <w:kern w:val="0"/>
                <w:szCs w:val="21"/>
              </w:rPr>
              <w:t>A</w:t>
            </w:r>
            <w:r w:rsidRPr="00F9522B">
              <w:rPr>
                <w:rFonts w:eastAsiaTheme="minorEastAsia"/>
                <w:kern w:val="0"/>
                <w:szCs w:val="21"/>
                <w:vertAlign w:val="subscript"/>
              </w:rPr>
              <w:t>1</w:t>
            </w:r>
            <w:r w:rsidRPr="00F9522B">
              <w:rPr>
                <w:rFonts w:eastAsiaTheme="minorEastAsia"/>
                <w:kern w:val="0"/>
                <w:szCs w:val="21"/>
              </w:rPr>
              <w:t>≤0.05</w:t>
            </w:r>
            <w:r w:rsidRPr="00F9522B">
              <w:rPr>
                <w:rFonts w:eastAsiaTheme="minorEastAsia"/>
                <w:kern w:val="0"/>
                <w:szCs w:val="21"/>
              </w:rPr>
              <w:t>；或</w:t>
            </w:r>
          </w:p>
          <w:p w:rsidR="002A5A5E" w:rsidRPr="00F9522B" w:rsidRDefault="00611CBA">
            <w:pPr>
              <w:contextualSpacing/>
              <w:jc w:val="center"/>
              <w:rPr>
                <w:rFonts w:eastAsiaTheme="minorEastAsia"/>
                <w:kern w:val="0"/>
                <w:szCs w:val="21"/>
              </w:rPr>
            </w:pPr>
            <w:r w:rsidRPr="00F9522B">
              <w:rPr>
                <w:rFonts w:eastAsiaTheme="minorEastAsia"/>
                <w:kern w:val="0"/>
                <w:szCs w:val="21"/>
              </w:rPr>
              <w:t>A</w:t>
            </w:r>
            <w:r w:rsidRPr="00F9522B">
              <w:rPr>
                <w:rFonts w:eastAsiaTheme="minorEastAsia"/>
                <w:kern w:val="0"/>
                <w:szCs w:val="21"/>
                <w:vertAlign w:val="subscript"/>
              </w:rPr>
              <w:t>2</w:t>
            </w:r>
            <w:r w:rsidRPr="00F9522B">
              <w:rPr>
                <w:rFonts w:eastAsiaTheme="minorEastAsia"/>
                <w:kern w:val="0"/>
                <w:szCs w:val="21"/>
              </w:rPr>
              <w:t>≤0.2</w:t>
            </w:r>
            <w:r w:rsidRPr="00F9522B">
              <w:rPr>
                <w:rFonts w:eastAsiaTheme="minorEastAsia"/>
                <w:kern w:val="0"/>
                <w:szCs w:val="21"/>
              </w:rPr>
              <w:t>；或</w:t>
            </w:r>
          </w:p>
          <w:p w:rsidR="002A5A5E" w:rsidRPr="00F9522B" w:rsidRDefault="00611CBA">
            <w:pPr>
              <w:contextualSpacing/>
              <w:jc w:val="center"/>
              <w:rPr>
                <w:rFonts w:eastAsiaTheme="minorEastAsia"/>
                <w:kern w:val="0"/>
                <w:szCs w:val="21"/>
              </w:rPr>
            </w:pPr>
            <w:r w:rsidRPr="00F9522B">
              <w:rPr>
                <w:rFonts w:eastAsiaTheme="minorEastAsia"/>
                <w:kern w:val="0"/>
                <w:szCs w:val="21"/>
              </w:rPr>
              <w:t>R≤5</w:t>
            </w:r>
          </w:p>
        </w:tc>
        <w:tc>
          <w:tcPr>
            <w:tcW w:w="1615" w:type="dxa"/>
            <w:tcBorders>
              <w:tl2br w:val="nil"/>
              <w:tr2bl w:val="nil"/>
            </w:tcBorders>
            <w:vAlign w:val="center"/>
          </w:tcPr>
          <w:p w:rsidR="002A5A5E" w:rsidRPr="00F9522B" w:rsidRDefault="00611CBA">
            <w:pPr>
              <w:contextualSpacing/>
              <w:jc w:val="center"/>
              <w:rPr>
                <w:rFonts w:eastAsiaTheme="minorEastAsia"/>
                <w:kern w:val="0"/>
                <w:szCs w:val="21"/>
              </w:rPr>
            </w:pPr>
            <w:r w:rsidRPr="00F9522B">
              <w:rPr>
                <w:rFonts w:eastAsiaTheme="minorEastAsia"/>
                <w:kern w:val="0"/>
                <w:szCs w:val="21"/>
              </w:rPr>
              <w:t>A</w:t>
            </w:r>
            <w:r w:rsidRPr="00F9522B">
              <w:rPr>
                <w:rFonts w:eastAsiaTheme="minorEastAsia"/>
                <w:kern w:val="0"/>
                <w:szCs w:val="21"/>
                <w:vertAlign w:val="subscript"/>
              </w:rPr>
              <w:t>1</w:t>
            </w:r>
            <w:r w:rsidRPr="00F9522B">
              <w:rPr>
                <w:rFonts w:eastAsiaTheme="minorEastAsia"/>
                <w:kern w:val="0"/>
                <w:szCs w:val="21"/>
              </w:rPr>
              <w:t>≤0.05</w:t>
            </w:r>
            <w:r w:rsidRPr="00F9522B">
              <w:rPr>
                <w:rFonts w:eastAsiaTheme="minorEastAsia"/>
                <w:kern w:val="0"/>
                <w:szCs w:val="21"/>
              </w:rPr>
              <w:t>；或</w:t>
            </w:r>
          </w:p>
          <w:p w:rsidR="002A5A5E" w:rsidRPr="00F9522B" w:rsidRDefault="00611CBA">
            <w:pPr>
              <w:contextualSpacing/>
              <w:jc w:val="center"/>
              <w:rPr>
                <w:rFonts w:eastAsiaTheme="minorEastAsia"/>
                <w:kern w:val="0"/>
                <w:szCs w:val="21"/>
              </w:rPr>
            </w:pPr>
            <w:r w:rsidRPr="00F9522B">
              <w:rPr>
                <w:rFonts w:eastAsiaTheme="minorEastAsia"/>
                <w:kern w:val="0"/>
                <w:szCs w:val="21"/>
              </w:rPr>
              <w:t>A</w:t>
            </w:r>
            <w:r w:rsidRPr="00F9522B">
              <w:rPr>
                <w:rFonts w:eastAsiaTheme="minorEastAsia"/>
                <w:kern w:val="0"/>
                <w:szCs w:val="21"/>
                <w:vertAlign w:val="subscript"/>
              </w:rPr>
              <w:t>2</w:t>
            </w:r>
            <w:r w:rsidRPr="00F9522B">
              <w:rPr>
                <w:rFonts w:eastAsiaTheme="minorEastAsia"/>
                <w:kern w:val="0"/>
                <w:szCs w:val="21"/>
              </w:rPr>
              <w:t>≤0.2</w:t>
            </w:r>
            <w:r w:rsidRPr="00F9522B">
              <w:rPr>
                <w:rFonts w:eastAsiaTheme="minorEastAsia"/>
                <w:kern w:val="0"/>
                <w:szCs w:val="21"/>
              </w:rPr>
              <w:t>；或</w:t>
            </w:r>
          </w:p>
          <w:p w:rsidR="002A5A5E" w:rsidRPr="00F9522B" w:rsidRDefault="00611CBA">
            <w:pPr>
              <w:contextualSpacing/>
              <w:jc w:val="center"/>
              <w:rPr>
                <w:rFonts w:eastAsiaTheme="minorEastAsia"/>
                <w:kern w:val="0"/>
                <w:szCs w:val="21"/>
              </w:rPr>
            </w:pPr>
            <w:r w:rsidRPr="00F9522B">
              <w:rPr>
                <w:rFonts w:eastAsiaTheme="minorEastAsia"/>
                <w:kern w:val="0"/>
                <w:szCs w:val="21"/>
              </w:rPr>
              <w:t>R≤5</w:t>
            </w:r>
          </w:p>
        </w:tc>
        <w:tc>
          <w:tcPr>
            <w:tcW w:w="1682" w:type="dxa"/>
            <w:tcBorders>
              <w:tl2br w:val="nil"/>
              <w:tr2bl w:val="nil"/>
            </w:tcBorders>
            <w:vAlign w:val="center"/>
          </w:tcPr>
          <w:p w:rsidR="002A5A5E" w:rsidRPr="00F9522B" w:rsidRDefault="00611CBA">
            <w:pPr>
              <w:contextualSpacing/>
              <w:jc w:val="center"/>
              <w:rPr>
                <w:rFonts w:eastAsiaTheme="minorEastAsia"/>
                <w:kern w:val="0"/>
                <w:szCs w:val="21"/>
              </w:rPr>
            </w:pPr>
            <w:r w:rsidRPr="00F9522B">
              <w:rPr>
                <w:rFonts w:eastAsiaTheme="minorEastAsia"/>
                <w:kern w:val="0"/>
                <w:szCs w:val="21"/>
              </w:rPr>
              <w:t>A</w:t>
            </w:r>
            <w:r w:rsidRPr="00F9522B">
              <w:rPr>
                <w:rFonts w:eastAsiaTheme="minorEastAsia"/>
                <w:kern w:val="0"/>
                <w:szCs w:val="21"/>
                <w:vertAlign w:val="subscript"/>
              </w:rPr>
              <w:t>1</w:t>
            </w:r>
            <w:r w:rsidRPr="00F9522B">
              <w:rPr>
                <w:rFonts w:eastAsiaTheme="minorEastAsia"/>
                <w:kern w:val="0"/>
                <w:szCs w:val="21"/>
              </w:rPr>
              <w:t>≤0.15</w:t>
            </w:r>
            <w:r w:rsidRPr="00F9522B">
              <w:rPr>
                <w:rFonts w:eastAsiaTheme="minorEastAsia"/>
                <w:kern w:val="0"/>
                <w:szCs w:val="21"/>
              </w:rPr>
              <w:t>；或</w:t>
            </w:r>
          </w:p>
          <w:p w:rsidR="002A5A5E" w:rsidRPr="00F9522B" w:rsidRDefault="00611CBA">
            <w:pPr>
              <w:contextualSpacing/>
              <w:jc w:val="center"/>
              <w:rPr>
                <w:rFonts w:eastAsiaTheme="minorEastAsia"/>
                <w:kern w:val="0"/>
                <w:szCs w:val="21"/>
              </w:rPr>
            </w:pPr>
            <w:r w:rsidRPr="00F9522B">
              <w:rPr>
                <w:rFonts w:eastAsiaTheme="minorEastAsia"/>
                <w:kern w:val="0"/>
                <w:szCs w:val="21"/>
              </w:rPr>
              <w:t>A</w:t>
            </w:r>
            <w:r w:rsidRPr="00F9522B">
              <w:rPr>
                <w:rFonts w:eastAsiaTheme="minorEastAsia"/>
                <w:kern w:val="0"/>
                <w:szCs w:val="21"/>
                <w:vertAlign w:val="subscript"/>
              </w:rPr>
              <w:t>2</w:t>
            </w:r>
            <w:r w:rsidRPr="00F9522B">
              <w:rPr>
                <w:rFonts w:eastAsiaTheme="minorEastAsia"/>
                <w:kern w:val="0"/>
                <w:szCs w:val="21"/>
              </w:rPr>
              <w:t>≤0.5</w:t>
            </w:r>
          </w:p>
        </w:tc>
      </w:tr>
      <w:tr w:rsidR="002A5A5E" w:rsidRPr="00F9522B">
        <w:trPr>
          <w:trHeight w:val="340"/>
        </w:trPr>
        <w:tc>
          <w:tcPr>
            <w:tcW w:w="8528" w:type="dxa"/>
            <w:gridSpan w:val="7"/>
            <w:tcBorders>
              <w:tl2br w:val="nil"/>
              <w:tr2bl w:val="nil"/>
            </w:tcBorders>
            <w:vAlign w:val="center"/>
          </w:tcPr>
          <w:p w:rsidR="002A5A5E" w:rsidRPr="00F9522B" w:rsidRDefault="00611CBA">
            <w:pPr>
              <w:contextualSpacing/>
              <w:jc w:val="center"/>
              <w:rPr>
                <w:rFonts w:eastAsiaTheme="minorEastAsia"/>
                <w:kern w:val="0"/>
                <w:szCs w:val="21"/>
              </w:rPr>
            </w:pPr>
            <w:r w:rsidRPr="00F9522B">
              <w:rPr>
                <w:rFonts w:eastAsiaTheme="minorEastAsia"/>
                <w:kern w:val="0"/>
                <w:szCs w:val="21"/>
              </w:rPr>
              <w:t>注</w:t>
            </w:r>
            <w:r w:rsidRPr="00F9522B">
              <w:rPr>
                <w:rFonts w:eastAsiaTheme="minorEastAsia"/>
                <w:kern w:val="0"/>
                <w:szCs w:val="21"/>
              </w:rPr>
              <w:t>1</w:t>
            </w:r>
            <w:r w:rsidRPr="00F9522B">
              <w:rPr>
                <w:rFonts w:eastAsiaTheme="minorEastAsia"/>
                <w:kern w:val="0"/>
                <w:szCs w:val="21"/>
              </w:rPr>
              <w:t>：影响范围涉及饮用水水源保护区、重点保护与珍稀水生生物的栖息地、重要水生生物的自然产卵场、自然保护区等保护目标，评价等级应不低于二级。</w:t>
            </w:r>
          </w:p>
          <w:p w:rsidR="002A5A5E" w:rsidRPr="00F9522B" w:rsidRDefault="00611CBA">
            <w:pPr>
              <w:contextualSpacing/>
              <w:jc w:val="center"/>
              <w:rPr>
                <w:rFonts w:eastAsiaTheme="minorEastAsia"/>
                <w:kern w:val="0"/>
                <w:szCs w:val="21"/>
              </w:rPr>
            </w:pPr>
            <w:r w:rsidRPr="00F9522B">
              <w:rPr>
                <w:rFonts w:eastAsiaTheme="minorEastAsia"/>
                <w:kern w:val="0"/>
                <w:szCs w:val="21"/>
              </w:rPr>
              <w:t>注</w:t>
            </w:r>
            <w:r w:rsidRPr="00F9522B">
              <w:rPr>
                <w:rFonts w:eastAsiaTheme="minorEastAsia"/>
                <w:kern w:val="0"/>
                <w:szCs w:val="21"/>
              </w:rPr>
              <w:t>2</w:t>
            </w:r>
            <w:r w:rsidRPr="00F9522B">
              <w:rPr>
                <w:rFonts w:eastAsiaTheme="minorEastAsia"/>
                <w:kern w:val="0"/>
                <w:szCs w:val="21"/>
              </w:rPr>
              <w:t>：跨流域调水、引水式电站、可能受到河流感潮河段影响，评价等级不低于二级。</w:t>
            </w:r>
          </w:p>
          <w:p w:rsidR="002A5A5E" w:rsidRPr="00F9522B" w:rsidRDefault="00611CBA">
            <w:pPr>
              <w:contextualSpacing/>
              <w:jc w:val="center"/>
              <w:rPr>
                <w:rFonts w:eastAsiaTheme="minorEastAsia"/>
                <w:kern w:val="0"/>
                <w:szCs w:val="21"/>
              </w:rPr>
            </w:pPr>
            <w:r w:rsidRPr="00F9522B">
              <w:rPr>
                <w:rFonts w:eastAsiaTheme="minorEastAsia"/>
                <w:kern w:val="0"/>
                <w:szCs w:val="21"/>
              </w:rPr>
              <w:t>注</w:t>
            </w:r>
            <w:r w:rsidRPr="00F9522B">
              <w:rPr>
                <w:rFonts w:eastAsiaTheme="minorEastAsia"/>
                <w:kern w:val="0"/>
                <w:szCs w:val="21"/>
              </w:rPr>
              <w:t>3</w:t>
            </w:r>
            <w:r w:rsidRPr="00F9522B">
              <w:rPr>
                <w:rFonts w:eastAsiaTheme="minorEastAsia"/>
                <w:kern w:val="0"/>
                <w:szCs w:val="21"/>
              </w:rPr>
              <w:t>：造成入海河口（湾口）宽度束窄（束窄尺度达到原宽度的</w:t>
            </w:r>
            <w:r w:rsidRPr="00F9522B">
              <w:rPr>
                <w:rFonts w:eastAsiaTheme="minorEastAsia"/>
                <w:kern w:val="0"/>
                <w:szCs w:val="21"/>
              </w:rPr>
              <w:t>5%</w:t>
            </w:r>
            <w:r w:rsidRPr="00F9522B">
              <w:rPr>
                <w:rFonts w:eastAsiaTheme="minorEastAsia"/>
                <w:kern w:val="0"/>
                <w:szCs w:val="21"/>
              </w:rPr>
              <w:t>以上），评价等级应不低于二级。</w:t>
            </w:r>
          </w:p>
          <w:p w:rsidR="002A5A5E" w:rsidRPr="00F9522B" w:rsidRDefault="00611CBA">
            <w:pPr>
              <w:contextualSpacing/>
              <w:jc w:val="center"/>
              <w:rPr>
                <w:rFonts w:eastAsiaTheme="minorEastAsia"/>
                <w:kern w:val="0"/>
                <w:szCs w:val="21"/>
              </w:rPr>
            </w:pPr>
            <w:r w:rsidRPr="00F9522B">
              <w:rPr>
                <w:rFonts w:eastAsiaTheme="minorEastAsia"/>
                <w:kern w:val="0"/>
                <w:szCs w:val="21"/>
              </w:rPr>
              <w:t>注</w:t>
            </w:r>
            <w:r w:rsidRPr="00F9522B">
              <w:rPr>
                <w:rFonts w:eastAsiaTheme="minorEastAsia"/>
                <w:kern w:val="0"/>
                <w:szCs w:val="21"/>
              </w:rPr>
              <w:t>4</w:t>
            </w:r>
            <w:r w:rsidRPr="00F9522B">
              <w:rPr>
                <w:rFonts w:eastAsiaTheme="minorEastAsia"/>
                <w:kern w:val="0"/>
                <w:szCs w:val="21"/>
              </w:rPr>
              <w:t>：对不透水的单方向建筑尺度较长的水工建筑物（如防波堤、导流堤等），其与潮流或水流主流向切线垂直方向投影长度大于</w:t>
            </w:r>
            <w:r w:rsidRPr="00F9522B">
              <w:rPr>
                <w:rFonts w:eastAsiaTheme="minorEastAsia"/>
                <w:kern w:val="0"/>
                <w:szCs w:val="21"/>
              </w:rPr>
              <w:t>2km</w:t>
            </w:r>
            <w:r w:rsidRPr="00F9522B">
              <w:rPr>
                <w:rFonts w:eastAsiaTheme="minorEastAsia"/>
                <w:kern w:val="0"/>
                <w:szCs w:val="21"/>
              </w:rPr>
              <w:t>时，评价等级应不低于二级。</w:t>
            </w:r>
          </w:p>
          <w:p w:rsidR="002A5A5E" w:rsidRPr="00F9522B" w:rsidRDefault="00611CBA">
            <w:pPr>
              <w:contextualSpacing/>
              <w:jc w:val="center"/>
              <w:rPr>
                <w:rFonts w:eastAsiaTheme="minorEastAsia"/>
                <w:kern w:val="0"/>
                <w:szCs w:val="21"/>
              </w:rPr>
            </w:pPr>
            <w:r w:rsidRPr="00F9522B">
              <w:rPr>
                <w:rFonts w:eastAsiaTheme="minorEastAsia"/>
                <w:kern w:val="0"/>
                <w:szCs w:val="21"/>
              </w:rPr>
              <w:t>注</w:t>
            </w:r>
            <w:r w:rsidRPr="00F9522B">
              <w:rPr>
                <w:rFonts w:eastAsiaTheme="minorEastAsia"/>
                <w:kern w:val="0"/>
                <w:szCs w:val="21"/>
              </w:rPr>
              <w:t>5</w:t>
            </w:r>
            <w:r w:rsidRPr="00F9522B">
              <w:rPr>
                <w:rFonts w:eastAsiaTheme="minorEastAsia"/>
                <w:kern w:val="0"/>
                <w:szCs w:val="21"/>
              </w:rPr>
              <w:t>：允许在一类海域建设的项目，评价等级为一级。</w:t>
            </w:r>
          </w:p>
          <w:p w:rsidR="002A5A5E" w:rsidRPr="00F9522B" w:rsidRDefault="00611CBA">
            <w:pPr>
              <w:contextualSpacing/>
              <w:jc w:val="center"/>
              <w:rPr>
                <w:rFonts w:eastAsiaTheme="minorEastAsia"/>
                <w:kern w:val="0"/>
                <w:szCs w:val="21"/>
              </w:rPr>
            </w:pPr>
            <w:r w:rsidRPr="00F9522B">
              <w:rPr>
                <w:rFonts w:eastAsiaTheme="minorEastAsia"/>
                <w:kern w:val="0"/>
                <w:szCs w:val="21"/>
              </w:rPr>
              <w:t>注</w:t>
            </w:r>
            <w:r w:rsidRPr="00F9522B">
              <w:rPr>
                <w:rFonts w:eastAsiaTheme="minorEastAsia"/>
                <w:kern w:val="0"/>
                <w:szCs w:val="21"/>
              </w:rPr>
              <w:t>6</w:t>
            </w:r>
            <w:r w:rsidRPr="00F9522B">
              <w:rPr>
                <w:rFonts w:eastAsiaTheme="minorEastAsia"/>
                <w:kern w:val="0"/>
                <w:szCs w:val="21"/>
              </w:rPr>
              <w:t>：同时存在多个水文要素影响的建设项目，分别判定各水文要素影响评价等级，并取其中最高等级作为水文要素影响型建设项目评价等级。</w:t>
            </w:r>
          </w:p>
        </w:tc>
      </w:tr>
    </w:tbl>
    <w:p w:rsidR="002A5A5E" w:rsidRPr="00F9522B" w:rsidRDefault="00611CBA">
      <w:pPr>
        <w:spacing w:line="360" w:lineRule="auto"/>
        <w:ind w:firstLineChars="200" w:firstLine="480"/>
        <w:rPr>
          <w:rFonts w:eastAsiaTheme="minorEastAsia"/>
          <w:color w:val="FF0000"/>
          <w:sz w:val="24"/>
        </w:rPr>
      </w:pPr>
      <w:r w:rsidRPr="00F9522B">
        <w:rPr>
          <w:rFonts w:eastAsiaTheme="minorEastAsia"/>
          <w:snapToGrid w:val="0"/>
          <w:color w:val="FF0000"/>
          <w:sz w:val="24"/>
        </w:rPr>
        <w:t>本项目现有水田取水为现有地下水灌溉井，不取用地表水</w:t>
      </w:r>
      <w:r w:rsidRPr="00F9522B">
        <w:rPr>
          <w:rFonts w:eastAsiaTheme="minorEastAsia"/>
          <w:color w:val="FF0000"/>
          <w:kern w:val="0"/>
          <w:sz w:val="24"/>
        </w:rPr>
        <w:t>。项目涉水工程均为人工沟渠、排水沟（农沟）</w:t>
      </w:r>
      <w:r w:rsidRPr="00F9522B">
        <w:rPr>
          <w:rFonts w:eastAsiaTheme="minorEastAsia"/>
          <w:color w:val="FF0000"/>
          <w:sz w:val="24"/>
        </w:rPr>
        <w:t>，不涉及</w:t>
      </w:r>
      <w:r w:rsidR="00F33895" w:rsidRPr="00F9522B">
        <w:rPr>
          <w:rFonts w:eastAsiaTheme="minorEastAsia"/>
          <w:color w:val="FF0000"/>
          <w:kern w:val="0"/>
          <w:sz w:val="24"/>
        </w:rPr>
        <w:t>水库、</w:t>
      </w:r>
      <w:r w:rsidRPr="00F9522B">
        <w:rPr>
          <w:rFonts w:eastAsiaTheme="minorEastAsia"/>
          <w:color w:val="FF0000"/>
          <w:sz w:val="24"/>
        </w:rPr>
        <w:t>河流、湖库、入海河口、近岸海域</w:t>
      </w:r>
      <w:r w:rsidRPr="00F9522B">
        <w:rPr>
          <w:rFonts w:eastAsiaTheme="minorEastAsia"/>
          <w:color w:val="FF0000"/>
          <w:kern w:val="0"/>
          <w:sz w:val="24"/>
        </w:rPr>
        <w:t>。</w:t>
      </w:r>
    </w:p>
    <w:p w:rsidR="002A5A5E" w:rsidRPr="00F9522B" w:rsidRDefault="00611CBA">
      <w:pPr>
        <w:spacing w:line="360" w:lineRule="auto"/>
        <w:ind w:firstLineChars="200" w:firstLine="480"/>
        <w:rPr>
          <w:rFonts w:eastAsiaTheme="minorEastAsia"/>
          <w:sz w:val="24"/>
          <w:szCs w:val="22"/>
        </w:rPr>
      </w:pPr>
      <w:r w:rsidRPr="00F9522B">
        <w:rPr>
          <w:rFonts w:eastAsiaTheme="minorEastAsia"/>
          <w:sz w:val="24"/>
          <w:szCs w:val="22"/>
        </w:rPr>
        <w:t>综上，水文要素影响型评价不设置评价等级。</w:t>
      </w:r>
    </w:p>
    <w:p w:rsidR="002A5A5E" w:rsidRPr="00F9522B" w:rsidRDefault="00611CBA">
      <w:pPr>
        <w:pStyle w:val="30"/>
        <w:spacing w:before="100" w:beforeAutospacing="1" w:after="100" w:afterAutospacing="1" w:line="240" w:lineRule="auto"/>
        <w:ind w:firstLineChars="0" w:firstLine="0"/>
        <w:rPr>
          <w:rFonts w:ascii="Times New Roman" w:eastAsiaTheme="minorEastAsia" w:hAnsi="Times New Roman" w:cs="Times New Roman"/>
          <w:b/>
          <w:sz w:val="28"/>
          <w:szCs w:val="28"/>
        </w:rPr>
      </w:pPr>
      <w:r w:rsidRPr="00F9522B">
        <w:rPr>
          <w:rFonts w:ascii="Times New Roman" w:eastAsiaTheme="minorEastAsia" w:hAnsi="Times New Roman" w:cs="Times New Roman"/>
          <w:b/>
          <w:sz w:val="28"/>
          <w:szCs w:val="28"/>
        </w:rPr>
        <w:t>2.6.3</w:t>
      </w:r>
      <w:r w:rsidRPr="00F9522B">
        <w:rPr>
          <w:rFonts w:ascii="Times New Roman" w:eastAsiaTheme="minorEastAsia" w:hAnsi="Times New Roman" w:cs="Times New Roman"/>
          <w:b/>
          <w:sz w:val="28"/>
          <w:szCs w:val="28"/>
        </w:rPr>
        <w:t>地下水环境</w:t>
      </w:r>
    </w:p>
    <w:p w:rsidR="002A5A5E" w:rsidRPr="00F9522B" w:rsidRDefault="00611CBA">
      <w:pPr>
        <w:spacing w:line="360" w:lineRule="auto"/>
        <w:ind w:firstLineChars="200" w:firstLine="480"/>
        <w:rPr>
          <w:rFonts w:eastAsiaTheme="minorEastAsia"/>
          <w:kern w:val="0"/>
          <w:sz w:val="24"/>
        </w:rPr>
      </w:pPr>
      <w:r w:rsidRPr="00F9522B">
        <w:rPr>
          <w:rFonts w:eastAsiaTheme="minorEastAsia"/>
          <w:kern w:val="0"/>
          <w:sz w:val="24"/>
        </w:rPr>
        <w:t>根据《环境影响评价技术导则</w:t>
      </w:r>
      <w:r w:rsidRPr="00F9522B">
        <w:rPr>
          <w:rFonts w:eastAsiaTheme="minorEastAsia"/>
          <w:kern w:val="0"/>
          <w:sz w:val="24"/>
        </w:rPr>
        <w:t xml:space="preserve">  </w:t>
      </w:r>
      <w:r w:rsidRPr="00F9522B">
        <w:rPr>
          <w:rFonts w:eastAsiaTheme="minorEastAsia"/>
          <w:kern w:val="0"/>
          <w:sz w:val="24"/>
        </w:rPr>
        <w:t>地下水环境》（</w:t>
      </w:r>
      <w:r w:rsidRPr="00F9522B">
        <w:rPr>
          <w:rFonts w:eastAsiaTheme="minorEastAsia"/>
          <w:kern w:val="0"/>
          <w:sz w:val="24"/>
        </w:rPr>
        <w:t>HJ610-2016</w:t>
      </w:r>
      <w:r w:rsidRPr="00F9522B">
        <w:rPr>
          <w:rFonts w:eastAsiaTheme="minorEastAsia"/>
          <w:kern w:val="0"/>
          <w:sz w:val="24"/>
        </w:rPr>
        <w:t>）评价工作等级的划分应依据建设项目行业分类和地下水环境敏感程度分级进行判定。</w:t>
      </w:r>
    </w:p>
    <w:p w:rsidR="002A5A5E" w:rsidRPr="00F9522B" w:rsidRDefault="00611CBA">
      <w:pPr>
        <w:spacing w:line="360" w:lineRule="auto"/>
        <w:ind w:firstLineChars="200" w:firstLine="480"/>
        <w:rPr>
          <w:rFonts w:eastAsiaTheme="minorEastAsia"/>
          <w:kern w:val="0"/>
          <w:sz w:val="24"/>
        </w:rPr>
      </w:pPr>
      <w:r w:rsidRPr="00F9522B">
        <w:rPr>
          <w:rFonts w:eastAsiaTheme="minorEastAsia"/>
          <w:kern w:val="0"/>
          <w:sz w:val="24"/>
        </w:rPr>
        <w:lastRenderedPageBreak/>
        <w:t>（</w:t>
      </w:r>
      <w:r w:rsidRPr="00F9522B">
        <w:rPr>
          <w:rFonts w:eastAsiaTheme="minorEastAsia"/>
          <w:kern w:val="0"/>
          <w:sz w:val="24"/>
        </w:rPr>
        <w:t>1</w:t>
      </w:r>
      <w:r w:rsidRPr="00F9522B">
        <w:rPr>
          <w:rFonts w:eastAsiaTheme="minorEastAsia"/>
          <w:kern w:val="0"/>
          <w:sz w:val="24"/>
        </w:rPr>
        <w:t>）根据《环境影响评价技术导则</w:t>
      </w:r>
      <w:r w:rsidRPr="00F9522B">
        <w:rPr>
          <w:rFonts w:eastAsiaTheme="minorEastAsia"/>
          <w:kern w:val="0"/>
          <w:sz w:val="24"/>
        </w:rPr>
        <w:t xml:space="preserve">  </w:t>
      </w:r>
      <w:r w:rsidRPr="00F9522B">
        <w:rPr>
          <w:rFonts w:eastAsiaTheme="minorEastAsia"/>
          <w:kern w:val="0"/>
          <w:sz w:val="24"/>
        </w:rPr>
        <w:t>地下水环境》附录</w:t>
      </w:r>
      <w:r w:rsidRPr="00F9522B">
        <w:rPr>
          <w:rFonts w:eastAsiaTheme="minorEastAsia"/>
          <w:kern w:val="0"/>
          <w:sz w:val="24"/>
        </w:rPr>
        <w:t>A</w:t>
      </w:r>
      <w:r w:rsidRPr="00F9522B">
        <w:rPr>
          <w:rFonts w:eastAsiaTheme="minorEastAsia"/>
          <w:kern w:val="0"/>
          <w:sz w:val="24"/>
        </w:rPr>
        <w:t>：水利</w:t>
      </w:r>
      <w:r w:rsidRPr="00F9522B">
        <w:rPr>
          <w:rFonts w:eastAsiaTheme="minorEastAsia"/>
          <w:kern w:val="0"/>
          <w:sz w:val="24"/>
        </w:rPr>
        <w:t>2</w:t>
      </w:r>
      <w:r w:rsidRPr="00F9522B">
        <w:rPr>
          <w:rFonts w:eastAsiaTheme="minorEastAsia"/>
          <w:kern w:val="0"/>
          <w:sz w:val="24"/>
        </w:rPr>
        <w:t>、灌区工程中再生水灌溉工程为</w:t>
      </w:r>
      <w:r w:rsidRPr="00F9522B">
        <w:rPr>
          <w:rFonts w:eastAsiaTheme="minorEastAsia"/>
          <w:kern w:val="0"/>
          <w:sz w:val="24"/>
        </w:rPr>
        <w:t>Ⅲ</w:t>
      </w:r>
      <w:r w:rsidRPr="00F9522B">
        <w:rPr>
          <w:rFonts w:eastAsiaTheme="minorEastAsia"/>
          <w:kern w:val="0"/>
          <w:sz w:val="24"/>
        </w:rPr>
        <w:t>类，</w:t>
      </w:r>
      <w:r w:rsidRPr="00F9522B">
        <w:rPr>
          <w:rFonts w:eastAsiaTheme="minorEastAsia"/>
          <w:b/>
          <w:bCs/>
          <w:kern w:val="0"/>
          <w:sz w:val="24"/>
        </w:rPr>
        <w:t>其余</w:t>
      </w:r>
      <w:r w:rsidRPr="00F9522B">
        <w:rPr>
          <w:rFonts w:eastAsiaTheme="minorEastAsia"/>
          <w:b/>
          <w:bCs/>
          <w:kern w:val="0"/>
          <w:sz w:val="24"/>
        </w:rPr>
        <w:t>Ⅳ</w:t>
      </w:r>
      <w:r w:rsidRPr="00F9522B">
        <w:rPr>
          <w:rFonts w:eastAsiaTheme="minorEastAsia"/>
          <w:b/>
          <w:bCs/>
          <w:kern w:val="0"/>
          <w:sz w:val="24"/>
        </w:rPr>
        <w:t>类</w:t>
      </w:r>
      <w:r w:rsidRPr="00F9522B">
        <w:rPr>
          <w:rFonts w:eastAsiaTheme="minorEastAsia"/>
          <w:kern w:val="0"/>
          <w:sz w:val="24"/>
        </w:rPr>
        <w:t>。</w:t>
      </w:r>
      <w:r w:rsidRPr="00F9522B">
        <w:rPr>
          <w:rFonts w:eastAsiaTheme="minorEastAsia"/>
          <w:kern w:val="0"/>
          <w:sz w:val="24"/>
        </w:rPr>
        <w:t>6</w:t>
      </w:r>
      <w:r w:rsidRPr="00F9522B">
        <w:rPr>
          <w:rFonts w:eastAsiaTheme="minorEastAsia"/>
          <w:kern w:val="0"/>
          <w:sz w:val="24"/>
        </w:rPr>
        <w:t>、地下水开采工程中的</w:t>
      </w:r>
      <w:r w:rsidRPr="00F9522B">
        <w:rPr>
          <w:rFonts w:eastAsiaTheme="minorEastAsia"/>
          <w:b/>
          <w:bCs/>
          <w:kern w:val="0"/>
          <w:sz w:val="24"/>
        </w:rPr>
        <w:t>日取水量</w:t>
      </w:r>
      <w:r w:rsidRPr="00F9522B">
        <w:rPr>
          <w:rFonts w:eastAsiaTheme="minorEastAsia"/>
          <w:b/>
          <w:bCs/>
          <w:kern w:val="0"/>
          <w:sz w:val="24"/>
        </w:rPr>
        <w:t>1</w:t>
      </w:r>
      <w:r w:rsidRPr="00F9522B">
        <w:rPr>
          <w:rFonts w:eastAsiaTheme="minorEastAsia"/>
          <w:b/>
          <w:bCs/>
          <w:kern w:val="0"/>
          <w:sz w:val="24"/>
        </w:rPr>
        <w:t>万立方米及以上；</w:t>
      </w:r>
      <w:r w:rsidRPr="00F9522B">
        <w:rPr>
          <w:rFonts w:eastAsiaTheme="minorEastAsia"/>
          <w:kern w:val="0"/>
          <w:sz w:val="24"/>
        </w:rPr>
        <w:t>涉及环境敏感区的</w:t>
      </w:r>
      <w:r w:rsidRPr="00F9522B">
        <w:rPr>
          <w:rFonts w:eastAsiaTheme="minorEastAsia"/>
          <w:b/>
          <w:kern w:val="0"/>
          <w:sz w:val="24"/>
        </w:rPr>
        <w:t>为</w:t>
      </w:r>
      <w:r w:rsidRPr="00F9522B">
        <w:rPr>
          <w:rFonts w:eastAsiaTheme="minorEastAsia"/>
          <w:b/>
          <w:kern w:val="0"/>
          <w:sz w:val="24"/>
        </w:rPr>
        <w:t>Ⅲ</w:t>
      </w:r>
      <w:r w:rsidRPr="00F9522B">
        <w:rPr>
          <w:rFonts w:eastAsiaTheme="minorEastAsia"/>
          <w:b/>
          <w:kern w:val="0"/>
          <w:sz w:val="24"/>
        </w:rPr>
        <w:t>类</w:t>
      </w:r>
      <w:r w:rsidRPr="00F9522B">
        <w:rPr>
          <w:rFonts w:eastAsiaTheme="minorEastAsia"/>
          <w:kern w:val="0"/>
          <w:sz w:val="24"/>
        </w:rPr>
        <w:t>，</w:t>
      </w:r>
      <w:r w:rsidRPr="00F9522B">
        <w:rPr>
          <w:rFonts w:eastAsiaTheme="minorEastAsia"/>
          <w:kern w:val="0"/>
          <w:sz w:val="24"/>
        </w:rPr>
        <w:t>“</w:t>
      </w:r>
      <w:r w:rsidRPr="00F9522B">
        <w:rPr>
          <w:rFonts w:eastAsiaTheme="minorEastAsia"/>
          <w:kern w:val="0"/>
          <w:sz w:val="24"/>
        </w:rPr>
        <w:t>其余</w:t>
      </w:r>
      <w:r w:rsidRPr="00F9522B">
        <w:rPr>
          <w:rFonts w:eastAsiaTheme="minorEastAsia"/>
          <w:kern w:val="0"/>
          <w:sz w:val="24"/>
        </w:rPr>
        <w:t>”</w:t>
      </w:r>
      <w:r w:rsidRPr="00F9522B">
        <w:rPr>
          <w:rFonts w:eastAsiaTheme="minorEastAsia"/>
          <w:kern w:val="0"/>
          <w:sz w:val="24"/>
        </w:rPr>
        <w:t>为</w:t>
      </w:r>
      <w:r w:rsidRPr="00F9522B">
        <w:rPr>
          <w:rFonts w:eastAsiaTheme="minorEastAsia"/>
          <w:kern w:val="0"/>
          <w:sz w:val="24"/>
        </w:rPr>
        <w:t>IV</w:t>
      </w:r>
      <w:r w:rsidRPr="00F9522B">
        <w:rPr>
          <w:rFonts w:eastAsiaTheme="minorEastAsia"/>
          <w:kern w:val="0"/>
          <w:sz w:val="24"/>
        </w:rPr>
        <w:t>类，确定本项目所属的地下水环境影响评价项目类别为</w:t>
      </w:r>
      <w:r w:rsidRPr="00F9522B">
        <w:rPr>
          <w:rFonts w:eastAsiaTheme="minorEastAsia"/>
          <w:kern w:val="0"/>
          <w:sz w:val="24"/>
        </w:rPr>
        <w:t>Ⅲ</w:t>
      </w:r>
      <w:r w:rsidRPr="00F9522B">
        <w:rPr>
          <w:rFonts w:eastAsiaTheme="minorEastAsia"/>
          <w:kern w:val="0"/>
          <w:sz w:val="24"/>
        </w:rPr>
        <w:t>类。</w:t>
      </w:r>
    </w:p>
    <w:p w:rsidR="002A5A5E" w:rsidRPr="00F9522B" w:rsidRDefault="00611CBA">
      <w:pPr>
        <w:spacing w:line="360" w:lineRule="auto"/>
        <w:ind w:firstLineChars="200" w:firstLine="480"/>
        <w:rPr>
          <w:rFonts w:eastAsiaTheme="minorEastAsia"/>
          <w:kern w:val="0"/>
          <w:sz w:val="24"/>
        </w:rPr>
      </w:pPr>
      <w:r w:rsidRPr="00F9522B">
        <w:rPr>
          <w:rFonts w:eastAsiaTheme="minorEastAsia"/>
          <w:kern w:val="0"/>
          <w:sz w:val="24"/>
        </w:rPr>
        <w:t>（</w:t>
      </w:r>
      <w:r w:rsidRPr="00F9522B">
        <w:rPr>
          <w:rFonts w:eastAsiaTheme="minorEastAsia"/>
          <w:kern w:val="0"/>
          <w:sz w:val="24"/>
        </w:rPr>
        <w:t>2</w:t>
      </w:r>
      <w:r w:rsidRPr="00F9522B">
        <w:rPr>
          <w:rFonts w:eastAsiaTheme="minorEastAsia"/>
          <w:kern w:val="0"/>
          <w:sz w:val="24"/>
        </w:rPr>
        <w:t>）建设项目场地的地下水环境敏感程度可分为敏感、较敏感、不敏感三级，分级原则见表</w:t>
      </w:r>
      <w:r w:rsidRPr="00F9522B">
        <w:rPr>
          <w:rFonts w:eastAsiaTheme="minorEastAsia"/>
          <w:kern w:val="0"/>
          <w:sz w:val="24"/>
        </w:rPr>
        <w:t>2-6-3</w:t>
      </w:r>
      <w:r w:rsidRPr="00F9522B">
        <w:rPr>
          <w:rFonts w:eastAsiaTheme="minorEastAsia"/>
          <w:kern w:val="0"/>
          <w:sz w:val="24"/>
        </w:rPr>
        <w:t>。</w:t>
      </w:r>
    </w:p>
    <w:p w:rsidR="002A5A5E" w:rsidRPr="00F9522B" w:rsidRDefault="00611CBA">
      <w:pPr>
        <w:contextualSpacing/>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2-6-3</w:t>
      </w:r>
      <w:r w:rsidRPr="00F9522B">
        <w:rPr>
          <w:rFonts w:eastAsiaTheme="minorEastAsia"/>
          <w:b/>
          <w:kern w:val="0"/>
          <w:szCs w:val="21"/>
        </w:rPr>
        <w:t>地下水环境敏感程度分级</w:t>
      </w:r>
    </w:p>
    <w:tbl>
      <w:tblPr>
        <w:tblW w:w="8685" w:type="dxa"/>
        <w:jc w:val="center"/>
        <w:tblBorders>
          <w:top w:val="single" w:sz="12" w:space="0" w:color="auto"/>
          <w:bottom w:val="single" w:sz="12" w:space="0" w:color="auto"/>
          <w:insideH w:val="single" w:sz="4" w:space="0" w:color="auto"/>
          <w:insideV w:val="single" w:sz="4" w:space="0" w:color="auto"/>
        </w:tblBorders>
        <w:tblLayout w:type="fixed"/>
        <w:tblLook w:val="04A0"/>
      </w:tblPr>
      <w:tblGrid>
        <w:gridCol w:w="885"/>
        <w:gridCol w:w="7800"/>
      </w:tblGrid>
      <w:tr w:rsidR="002A5A5E" w:rsidRPr="00F9522B">
        <w:trPr>
          <w:trHeight w:hRule="exact" w:val="340"/>
          <w:jc w:val="center"/>
        </w:trPr>
        <w:tc>
          <w:tcPr>
            <w:tcW w:w="885" w:type="dxa"/>
            <w:tcBorders>
              <w:top w:val="single" w:sz="12" w:space="0" w:color="auto"/>
              <w:left w:val="nil"/>
              <w:bottom w:val="single" w:sz="4" w:space="0" w:color="auto"/>
              <w:right w:val="single" w:sz="4" w:space="0" w:color="auto"/>
            </w:tcBorders>
            <w:vAlign w:val="center"/>
          </w:tcPr>
          <w:p w:rsidR="002A5A5E" w:rsidRPr="00F9522B" w:rsidRDefault="00611CBA">
            <w:pPr>
              <w:jc w:val="center"/>
              <w:rPr>
                <w:rFonts w:eastAsiaTheme="minorEastAsia"/>
                <w:kern w:val="0"/>
                <w:szCs w:val="21"/>
              </w:rPr>
            </w:pPr>
            <w:r w:rsidRPr="00F9522B">
              <w:rPr>
                <w:rFonts w:eastAsiaTheme="minorEastAsia"/>
                <w:kern w:val="0"/>
                <w:szCs w:val="21"/>
              </w:rPr>
              <w:t>分级</w:t>
            </w:r>
          </w:p>
        </w:tc>
        <w:tc>
          <w:tcPr>
            <w:tcW w:w="7800" w:type="dxa"/>
            <w:tcBorders>
              <w:top w:val="single" w:sz="12" w:space="0" w:color="auto"/>
              <w:left w:val="single" w:sz="4" w:space="0" w:color="auto"/>
              <w:bottom w:val="single" w:sz="4" w:space="0" w:color="auto"/>
              <w:right w:val="nil"/>
            </w:tcBorders>
            <w:vAlign w:val="center"/>
          </w:tcPr>
          <w:p w:rsidR="002A5A5E" w:rsidRPr="00F9522B" w:rsidRDefault="00611CBA">
            <w:pPr>
              <w:jc w:val="center"/>
              <w:rPr>
                <w:rFonts w:eastAsiaTheme="minorEastAsia"/>
                <w:kern w:val="0"/>
                <w:szCs w:val="21"/>
              </w:rPr>
            </w:pPr>
            <w:r w:rsidRPr="00F9522B">
              <w:rPr>
                <w:rFonts w:eastAsiaTheme="minorEastAsia"/>
                <w:kern w:val="0"/>
                <w:szCs w:val="21"/>
              </w:rPr>
              <w:t>项目场地的地下水环境敏感特征</w:t>
            </w:r>
          </w:p>
        </w:tc>
      </w:tr>
      <w:tr w:rsidR="002A5A5E" w:rsidRPr="00F9522B">
        <w:trPr>
          <w:trHeight w:hRule="exact" w:val="1028"/>
          <w:jc w:val="center"/>
        </w:trPr>
        <w:tc>
          <w:tcPr>
            <w:tcW w:w="885" w:type="dxa"/>
            <w:tcBorders>
              <w:top w:val="single" w:sz="4" w:space="0" w:color="auto"/>
              <w:left w:val="nil"/>
              <w:bottom w:val="single" w:sz="4" w:space="0" w:color="auto"/>
              <w:right w:val="single" w:sz="4" w:space="0" w:color="auto"/>
            </w:tcBorders>
            <w:vAlign w:val="center"/>
          </w:tcPr>
          <w:p w:rsidR="002A5A5E" w:rsidRPr="00F9522B" w:rsidRDefault="00611CBA">
            <w:pPr>
              <w:jc w:val="center"/>
              <w:rPr>
                <w:rFonts w:eastAsiaTheme="minorEastAsia"/>
                <w:kern w:val="0"/>
                <w:szCs w:val="21"/>
              </w:rPr>
            </w:pPr>
            <w:r w:rsidRPr="00F9522B">
              <w:rPr>
                <w:rFonts w:eastAsiaTheme="minorEastAsia"/>
                <w:kern w:val="0"/>
                <w:szCs w:val="21"/>
              </w:rPr>
              <w:t>敏感</w:t>
            </w:r>
          </w:p>
        </w:tc>
        <w:tc>
          <w:tcPr>
            <w:tcW w:w="7800" w:type="dxa"/>
            <w:tcBorders>
              <w:top w:val="single" w:sz="4" w:space="0" w:color="auto"/>
              <w:left w:val="single" w:sz="4" w:space="0" w:color="auto"/>
              <w:bottom w:val="single" w:sz="4" w:space="0" w:color="auto"/>
              <w:right w:val="nil"/>
            </w:tcBorders>
            <w:vAlign w:val="center"/>
          </w:tcPr>
          <w:p w:rsidR="002A5A5E" w:rsidRPr="00F9522B" w:rsidRDefault="00611CBA">
            <w:pPr>
              <w:jc w:val="center"/>
              <w:rPr>
                <w:rFonts w:eastAsiaTheme="minorEastAsia"/>
                <w:kern w:val="0"/>
                <w:szCs w:val="21"/>
              </w:rPr>
            </w:pPr>
            <w:r w:rsidRPr="00F9522B">
              <w:rPr>
                <w:rFonts w:eastAsiaTheme="minorEastAsia"/>
                <w:kern w:val="0"/>
                <w:szCs w:val="21"/>
              </w:rPr>
              <w:t>集中式饮用水水源（包括已建成的在用、备用、应急水源，在建和规划的饮用水水源）准保护区；除集中式饮用水水源以外的国家或地方政府设定的与地下水环境相关的其它保护区，如热水、矿泉水、温泉等特殊地下水资源保护区。</w:t>
            </w:r>
          </w:p>
        </w:tc>
      </w:tr>
      <w:tr w:rsidR="002A5A5E" w:rsidRPr="00F9522B">
        <w:trPr>
          <w:trHeight w:hRule="exact" w:val="1353"/>
          <w:jc w:val="center"/>
        </w:trPr>
        <w:tc>
          <w:tcPr>
            <w:tcW w:w="885" w:type="dxa"/>
            <w:tcBorders>
              <w:top w:val="single" w:sz="4" w:space="0" w:color="auto"/>
              <w:left w:val="nil"/>
              <w:bottom w:val="single" w:sz="4" w:space="0" w:color="auto"/>
              <w:right w:val="single" w:sz="4" w:space="0" w:color="auto"/>
            </w:tcBorders>
            <w:vAlign w:val="center"/>
          </w:tcPr>
          <w:p w:rsidR="002A5A5E" w:rsidRPr="00F9522B" w:rsidRDefault="00611CBA">
            <w:pPr>
              <w:jc w:val="center"/>
              <w:rPr>
                <w:rFonts w:eastAsiaTheme="minorEastAsia"/>
                <w:kern w:val="0"/>
                <w:szCs w:val="21"/>
              </w:rPr>
            </w:pPr>
            <w:r w:rsidRPr="00F9522B">
              <w:rPr>
                <w:rFonts w:eastAsiaTheme="minorEastAsia"/>
                <w:kern w:val="0"/>
                <w:szCs w:val="21"/>
              </w:rPr>
              <w:t>较敏感</w:t>
            </w:r>
          </w:p>
        </w:tc>
        <w:tc>
          <w:tcPr>
            <w:tcW w:w="7800" w:type="dxa"/>
            <w:tcBorders>
              <w:top w:val="single" w:sz="4" w:space="0" w:color="auto"/>
              <w:left w:val="single" w:sz="4" w:space="0" w:color="auto"/>
              <w:bottom w:val="single" w:sz="4" w:space="0" w:color="auto"/>
              <w:right w:val="nil"/>
            </w:tcBorders>
            <w:vAlign w:val="center"/>
          </w:tcPr>
          <w:p w:rsidR="002A5A5E" w:rsidRPr="00F9522B" w:rsidRDefault="00611CBA">
            <w:pPr>
              <w:jc w:val="center"/>
              <w:rPr>
                <w:rFonts w:eastAsiaTheme="minorEastAsia"/>
                <w:szCs w:val="21"/>
              </w:rPr>
            </w:pPr>
            <w:r w:rsidRPr="00F9522B">
              <w:rPr>
                <w:rFonts w:eastAsiaTheme="minorEastAsia"/>
                <w:kern w:val="0"/>
                <w:szCs w:val="21"/>
              </w:rPr>
              <w:t>集中式饮用水水源（包括已建成的在用、备用、应急水源，在建和规划的饮用水水源）准保护区以外的补给径流区；未划定准保护区的集中式饮用水水源，其保护区以外的补给径流区；分散式饮用水水源地；特殊地下水资源（如矿泉水、温泉等）保护区以外的分布区等其他未列入上述敏感分级的环境敏感区</w:t>
            </w:r>
            <w:r w:rsidRPr="00F9522B">
              <w:rPr>
                <w:rFonts w:eastAsiaTheme="minorEastAsia"/>
                <w:kern w:val="0"/>
                <w:szCs w:val="21"/>
              </w:rPr>
              <w:t>a</w:t>
            </w:r>
          </w:p>
        </w:tc>
      </w:tr>
      <w:tr w:rsidR="002A5A5E" w:rsidRPr="00F9522B">
        <w:trPr>
          <w:trHeight w:hRule="exact" w:val="340"/>
          <w:jc w:val="center"/>
        </w:trPr>
        <w:tc>
          <w:tcPr>
            <w:tcW w:w="885" w:type="dxa"/>
            <w:tcBorders>
              <w:top w:val="single" w:sz="4" w:space="0" w:color="auto"/>
              <w:left w:val="nil"/>
              <w:bottom w:val="single" w:sz="4" w:space="0" w:color="auto"/>
              <w:right w:val="single" w:sz="4" w:space="0" w:color="auto"/>
            </w:tcBorders>
            <w:vAlign w:val="center"/>
          </w:tcPr>
          <w:p w:rsidR="002A5A5E" w:rsidRPr="00F9522B" w:rsidRDefault="00611CBA">
            <w:pPr>
              <w:jc w:val="center"/>
              <w:rPr>
                <w:rFonts w:eastAsiaTheme="minorEastAsia"/>
                <w:kern w:val="0"/>
                <w:szCs w:val="21"/>
              </w:rPr>
            </w:pPr>
            <w:r w:rsidRPr="00F9522B">
              <w:rPr>
                <w:rFonts w:eastAsiaTheme="minorEastAsia"/>
                <w:kern w:val="0"/>
                <w:szCs w:val="21"/>
              </w:rPr>
              <w:t>不敏感</w:t>
            </w:r>
          </w:p>
        </w:tc>
        <w:tc>
          <w:tcPr>
            <w:tcW w:w="7800" w:type="dxa"/>
            <w:tcBorders>
              <w:top w:val="single" w:sz="4" w:space="0" w:color="auto"/>
              <w:left w:val="single" w:sz="4" w:space="0" w:color="auto"/>
              <w:bottom w:val="single" w:sz="4" w:space="0" w:color="auto"/>
              <w:right w:val="nil"/>
            </w:tcBorders>
            <w:vAlign w:val="center"/>
          </w:tcPr>
          <w:p w:rsidR="002A5A5E" w:rsidRPr="00F9522B" w:rsidRDefault="00611CBA">
            <w:pPr>
              <w:jc w:val="center"/>
              <w:rPr>
                <w:rFonts w:eastAsiaTheme="minorEastAsia"/>
                <w:kern w:val="0"/>
                <w:szCs w:val="21"/>
              </w:rPr>
            </w:pPr>
            <w:r w:rsidRPr="00F9522B">
              <w:rPr>
                <w:rFonts w:eastAsiaTheme="minorEastAsia"/>
                <w:kern w:val="0"/>
                <w:szCs w:val="21"/>
              </w:rPr>
              <w:t>上述地区之外的其他地区。</w:t>
            </w:r>
          </w:p>
        </w:tc>
      </w:tr>
      <w:tr w:rsidR="002A5A5E" w:rsidRPr="00F9522B">
        <w:trPr>
          <w:trHeight w:val="701"/>
          <w:jc w:val="center"/>
        </w:trPr>
        <w:tc>
          <w:tcPr>
            <w:tcW w:w="8685" w:type="dxa"/>
            <w:gridSpan w:val="2"/>
            <w:tcBorders>
              <w:top w:val="single" w:sz="4" w:space="0" w:color="auto"/>
              <w:left w:val="nil"/>
              <w:bottom w:val="single" w:sz="12" w:space="0" w:color="auto"/>
              <w:right w:val="nil"/>
            </w:tcBorders>
            <w:vAlign w:val="center"/>
          </w:tcPr>
          <w:p w:rsidR="002A5A5E" w:rsidRPr="00F9522B" w:rsidRDefault="00611CBA">
            <w:pPr>
              <w:rPr>
                <w:rFonts w:eastAsiaTheme="minorEastAsia"/>
                <w:kern w:val="0"/>
                <w:szCs w:val="21"/>
              </w:rPr>
            </w:pPr>
            <w:r w:rsidRPr="00F9522B">
              <w:rPr>
                <w:rFonts w:eastAsiaTheme="minorEastAsia"/>
                <w:kern w:val="0"/>
                <w:szCs w:val="21"/>
              </w:rPr>
              <w:t>注：</w:t>
            </w:r>
            <w:r w:rsidRPr="00F9522B">
              <w:rPr>
                <w:rFonts w:eastAsiaTheme="minorEastAsia"/>
                <w:kern w:val="0"/>
                <w:szCs w:val="21"/>
              </w:rPr>
              <w:t>a“</w:t>
            </w:r>
            <w:r w:rsidRPr="00F9522B">
              <w:rPr>
                <w:rFonts w:eastAsiaTheme="minorEastAsia"/>
                <w:kern w:val="0"/>
                <w:szCs w:val="21"/>
              </w:rPr>
              <w:t>环境敏感区</w:t>
            </w:r>
            <w:r w:rsidRPr="00F9522B">
              <w:rPr>
                <w:rFonts w:eastAsiaTheme="minorEastAsia"/>
                <w:kern w:val="0"/>
                <w:szCs w:val="21"/>
              </w:rPr>
              <w:t>”</w:t>
            </w:r>
            <w:r w:rsidRPr="00F9522B">
              <w:rPr>
                <w:rFonts w:eastAsiaTheme="minorEastAsia"/>
                <w:kern w:val="0"/>
                <w:szCs w:val="21"/>
              </w:rPr>
              <w:t>是指《建设项目环境影响评价分类管理名录》中所界定的涉及地下水的环境敏感区。</w:t>
            </w:r>
          </w:p>
        </w:tc>
      </w:tr>
    </w:tbl>
    <w:p w:rsidR="002A5A5E" w:rsidRPr="00F9522B" w:rsidRDefault="00611CBA">
      <w:pPr>
        <w:spacing w:line="360" w:lineRule="auto"/>
        <w:ind w:firstLineChars="200" w:firstLine="480"/>
        <w:rPr>
          <w:rFonts w:eastAsiaTheme="minorEastAsia"/>
          <w:sz w:val="24"/>
        </w:rPr>
      </w:pPr>
      <w:r w:rsidRPr="00F9522B">
        <w:rPr>
          <w:rFonts w:eastAsiaTheme="minorEastAsia"/>
          <w:sz w:val="24"/>
        </w:rPr>
        <w:t>根据调查，本项目工程建设内容不在地下水集中式水源地（包括已建成的在用、备用、应急水源，在建和规划的饮用水水源）保护区范围内；不在除集中式饮用水水源以外的国家或地方政府设定的与地下水环境相关的其它保护区，如热水、矿泉水、温泉等特殊地下水资源保护区。不在特殊地下水资源（如矿泉水、温泉等）保护区以外的分布区等其他未列入上述敏感分级的环境敏感区内。</w:t>
      </w:r>
    </w:p>
    <w:p w:rsidR="002A5A5E" w:rsidRPr="00F9522B" w:rsidRDefault="00611CBA">
      <w:pPr>
        <w:spacing w:line="360" w:lineRule="auto"/>
        <w:ind w:firstLineChars="200" w:firstLine="480"/>
        <w:rPr>
          <w:rFonts w:eastAsiaTheme="minorEastAsia"/>
          <w:snapToGrid w:val="0"/>
          <w:kern w:val="0"/>
          <w:sz w:val="24"/>
          <w:szCs w:val="22"/>
        </w:rPr>
      </w:pPr>
      <w:r w:rsidRPr="00F9522B">
        <w:rPr>
          <w:rFonts w:eastAsiaTheme="minorEastAsia"/>
          <w:snapToGrid w:val="0"/>
          <w:kern w:val="0"/>
          <w:sz w:val="24"/>
          <w:szCs w:val="22"/>
        </w:rPr>
        <w:t>本项目灌溉井工程周边存在</w:t>
      </w:r>
      <w:r w:rsidR="007A1F1B" w:rsidRPr="00F9522B">
        <w:rPr>
          <w:rFonts w:eastAsiaTheme="minorEastAsia"/>
          <w:snapToGrid w:val="0"/>
          <w:kern w:val="0"/>
          <w:sz w:val="24"/>
          <w:szCs w:val="22"/>
        </w:rPr>
        <w:t>5</w:t>
      </w:r>
      <w:r w:rsidRPr="00F9522B">
        <w:rPr>
          <w:rFonts w:eastAsiaTheme="minorEastAsia"/>
          <w:snapToGrid w:val="0"/>
          <w:kern w:val="0"/>
          <w:sz w:val="24"/>
          <w:szCs w:val="22"/>
        </w:rPr>
        <w:t>口集中式饮用水源井，具体信息见表</w:t>
      </w:r>
      <w:r w:rsidRPr="00F9522B">
        <w:rPr>
          <w:rFonts w:eastAsiaTheme="minorEastAsia"/>
          <w:snapToGrid w:val="0"/>
          <w:kern w:val="0"/>
          <w:sz w:val="24"/>
          <w:szCs w:val="22"/>
        </w:rPr>
        <w:t>2-6-5</w:t>
      </w:r>
      <w:r w:rsidRPr="00F9522B">
        <w:rPr>
          <w:rFonts w:eastAsiaTheme="minorEastAsia"/>
          <w:snapToGrid w:val="0"/>
          <w:kern w:val="0"/>
          <w:sz w:val="24"/>
          <w:szCs w:val="22"/>
        </w:rPr>
        <w:t>，</w:t>
      </w:r>
      <w:r w:rsidRPr="00F9522B">
        <w:rPr>
          <w:rFonts w:eastAsiaTheme="minorEastAsia"/>
          <w:sz w:val="24"/>
        </w:rPr>
        <w:t>根据水源保护区划分，该水源地属</w:t>
      </w:r>
      <w:r w:rsidR="00760E2B" w:rsidRPr="00F9522B">
        <w:rPr>
          <w:rFonts w:eastAsiaTheme="minorEastAsia"/>
          <w:sz w:val="24"/>
        </w:rPr>
        <w:t>于</w:t>
      </w:r>
      <w:r w:rsidRPr="00F9522B">
        <w:rPr>
          <w:rFonts w:eastAsiaTheme="minorEastAsia"/>
          <w:sz w:val="24"/>
        </w:rPr>
        <w:t>中小型水源地，已划定一级保护区，但未划定二级保护区和准保护区，</w:t>
      </w:r>
      <w:r w:rsidRPr="00F9522B">
        <w:rPr>
          <w:rFonts w:eastAsiaTheme="minorEastAsia"/>
          <w:iCs/>
          <w:sz w:val="24"/>
          <w:szCs w:val="22"/>
        </w:rPr>
        <w:t>一级保护区</w:t>
      </w:r>
      <w:r w:rsidRPr="00F9522B">
        <w:rPr>
          <w:rFonts w:eastAsiaTheme="minorEastAsia"/>
          <w:snapToGrid w:val="0"/>
          <w:kern w:val="0"/>
          <w:sz w:val="24"/>
          <w:szCs w:val="22"/>
        </w:rPr>
        <w:t>以井口为中心，半径</w:t>
      </w:r>
      <w:r w:rsidRPr="00F9522B">
        <w:rPr>
          <w:rFonts w:eastAsiaTheme="minorEastAsia"/>
          <w:snapToGrid w:val="0"/>
          <w:kern w:val="0"/>
          <w:sz w:val="24"/>
          <w:szCs w:val="22"/>
        </w:rPr>
        <w:t>30m</w:t>
      </w:r>
      <w:r w:rsidRPr="00F9522B">
        <w:rPr>
          <w:rFonts w:eastAsiaTheme="minorEastAsia"/>
          <w:snapToGrid w:val="0"/>
          <w:kern w:val="0"/>
          <w:sz w:val="24"/>
          <w:szCs w:val="22"/>
        </w:rPr>
        <w:t>为界，</w:t>
      </w:r>
      <w:r w:rsidRPr="00F9522B">
        <w:rPr>
          <w:rFonts w:eastAsiaTheme="minorEastAsia"/>
          <w:snapToGrid w:val="0"/>
          <w:kern w:val="0"/>
          <w:sz w:val="24"/>
          <w:szCs w:val="22"/>
        </w:rPr>
        <w:t>30m</w:t>
      </w:r>
      <w:r w:rsidRPr="00F9522B">
        <w:rPr>
          <w:rFonts w:eastAsiaTheme="minorEastAsia"/>
          <w:snapToGrid w:val="0"/>
          <w:kern w:val="0"/>
          <w:sz w:val="24"/>
          <w:szCs w:val="22"/>
        </w:rPr>
        <w:t>范围内无本工程清淤、道路工程等建设内容。项目周围无分散式饮用水井。</w:t>
      </w:r>
      <w:r w:rsidRPr="00F9522B">
        <w:rPr>
          <w:rFonts w:eastAsiaTheme="minorEastAsia"/>
          <w:kern w:val="0"/>
          <w:sz w:val="24"/>
        </w:rPr>
        <w:t>根据《地下水型饮用水水源补给区划定技术指南（试行）》，划定饮用水源井补给径流区，地下水饮用水源井补给径流区判定依据见表</w:t>
      </w:r>
      <w:r w:rsidRPr="00F9522B">
        <w:rPr>
          <w:rFonts w:eastAsiaTheme="minorEastAsia"/>
          <w:kern w:val="0"/>
          <w:sz w:val="24"/>
        </w:rPr>
        <w:t>2-6-4</w:t>
      </w:r>
      <w:r w:rsidRPr="00F9522B">
        <w:rPr>
          <w:rFonts w:eastAsiaTheme="minorEastAsia"/>
          <w:snapToGrid w:val="0"/>
          <w:kern w:val="0"/>
          <w:sz w:val="24"/>
          <w:szCs w:val="22"/>
        </w:rPr>
        <w:t>。</w:t>
      </w:r>
    </w:p>
    <w:p w:rsidR="00C50480" w:rsidRPr="00F9522B" w:rsidRDefault="00C50480">
      <w:pPr>
        <w:adjustRightInd w:val="0"/>
        <w:snapToGrid w:val="0"/>
        <w:ind w:firstLineChars="200" w:firstLine="422"/>
        <w:jc w:val="center"/>
        <w:rPr>
          <w:rFonts w:eastAsiaTheme="minorEastAsia"/>
          <w:b/>
          <w:bCs/>
          <w:kern w:val="0"/>
          <w:szCs w:val="21"/>
        </w:rPr>
      </w:pPr>
    </w:p>
    <w:p w:rsidR="00C50480" w:rsidRPr="00F9522B" w:rsidRDefault="00C50480">
      <w:pPr>
        <w:adjustRightInd w:val="0"/>
        <w:snapToGrid w:val="0"/>
        <w:ind w:firstLineChars="200" w:firstLine="422"/>
        <w:jc w:val="center"/>
        <w:rPr>
          <w:rFonts w:eastAsiaTheme="minorEastAsia"/>
          <w:b/>
          <w:bCs/>
          <w:kern w:val="0"/>
          <w:szCs w:val="21"/>
        </w:rPr>
      </w:pPr>
    </w:p>
    <w:p w:rsidR="00C50480" w:rsidRPr="00F9522B" w:rsidRDefault="00C50480">
      <w:pPr>
        <w:adjustRightInd w:val="0"/>
        <w:snapToGrid w:val="0"/>
        <w:ind w:firstLineChars="200" w:firstLine="422"/>
        <w:jc w:val="center"/>
        <w:rPr>
          <w:rFonts w:eastAsiaTheme="minorEastAsia"/>
          <w:b/>
          <w:bCs/>
          <w:kern w:val="0"/>
          <w:szCs w:val="21"/>
        </w:rPr>
      </w:pPr>
    </w:p>
    <w:p w:rsidR="00C50480" w:rsidRPr="00F9522B" w:rsidRDefault="00C50480">
      <w:pPr>
        <w:adjustRightInd w:val="0"/>
        <w:snapToGrid w:val="0"/>
        <w:ind w:firstLineChars="200" w:firstLine="422"/>
        <w:jc w:val="center"/>
        <w:rPr>
          <w:rFonts w:eastAsiaTheme="minorEastAsia"/>
          <w:b/>
          <w:bCs/>
          <w:kern w:val="0"/>
          <w:szCs w:val="21"/>
        </w:rPr>
      </w:pPr>
    </w:p>
    <w:p w:rsidR="00C50480" w:rsidRPr="00F9522B" w:rsidRDefault="00C50480">
      <w:pPr>
        <w:adjustRightInd w:val="0"/>
        <w:snapToGrid w:val="0"/>
        <w:ind w:firstLineChars="200" w:firstLine="422"/>
        <w:jc w:val="center"/>
        <w:rPr>
          <w:rFonts w:eastAsiaTheme="minorEastAsia"/>
          <w:b/>
          <w:bCs/>
          <w:kern w:val="0"/>
          <w:szCs w:val="21"/>
        </w:rPr>
      </w:pPr>
    </w:p>
    <w:p w:rsidR="00C50480" w:rsidRPr="00F9522B" w:rsidRDefault="00C50480">
      <w:pPr>
        <w:adjustRightInd w:val="0"/>
        <w:snapToGrid w:val="0"/>
        <w:ind w:firstLineChars="200" w:firstLine="422"/>
        <w:jc w:val="center"/>
        <w:rPr>
          <w:rFonts w:eastAsiaTheme="minorEastAsia"/>
          <w:b/>
          <w:bCs/>
          <w:kern w:val="0"/>
          <w:szCs w:val="21"/>
        </w:rPr>
      </w:pPr>
    </w:p>
    <w:p w:rsidR="00C50480" w:rsidRPr="00F9522B" w:rsidRDefault="00C50480">
      <w:pPr>
        <w:adjustRightInd w:val="0"/>
        <w:snapToGrid w:val="0"/>
        <w:ind w:firstLineChars="200" w:firstLine="422"/>
        <w:jc w:val="center"/>
        <w:rPr>
          <w:rFonts w:eastAsiaTheme="minorEastAsia"/>
          <w:b/>
          <w:bCs/>
          <w:kern w:val="0"/>
          <w:szCs w:val="21"/>
        </w:rPr>
      </w:pPr>
    </w:p>
    <w:p w:rsidR="002A5A5E" w:rsidRPr="00F9522B" w:rsidRDefault="00611CBA">
      <w:pPr>
        <w:adjustRightInd w:val="0"/>
        <w:snapToGrid w:val="0"/>
        <w:ind w:firstLineChars="200" w:firstLine="422"/>
        <w:jc w:val="center"/>
        <w:rPr>
          <w:rFonts w:eastAsiaTheme="minorEastAsia"/>
          <w:b/>
          <w:bCs/>
          <w:kern w:val="0"/>
          <w:szCs w:val="21"/>
        </w:rPr>
      </w:pPr>
      <w:r w:rsidRPr="00F9522B">
        <w:rPr>
          <w:rFonts w:eastAsiaTheme="minorEastAsia"/>
          <w:b/>
          <w:bCs/>
          <w:kern w:val="0"/>
          <w:szCs w:val="21"/>
        </w:rPr>
        <w:lastRenderedPageBreak/>
        <w:t>表</w:t>
      </w:r>
      <w:r w:rsidRPr="00F9522B">
        <w:rPr>
          <w:rFonts w:eastAsiaTheme="minorEastAsia"/>
          <w:b/>
          <w:bCs/>
          <w:kern w:val="0"/>
          <w:szCs w:val="21"/>
        </w:rPr>
        <w:t>2-6-4</w:t>
      </w:r>
      <w:r w:rsidRPr="00F9522B">
        <w:rPr>
          <w:rFonts w:eastAsiaTheme="minorEastAsia"/>
          <w:b/>
          <w:bCs/>
          <w:kern w:val="0"/>
          <w:szCs w:val="21"/>
        </w:rPr>
        <w:t>地下水饮用水源井补给径流区判定表</w:t>
      </w:r>
    </w:p>
    <w:tbl>
      <w:tblPr>
        <w:tblW w:w="4872" w:type="pct"/>
        <w:tblBorders>
          <w:top w:val="single" w:sz="12" w:space="0" w:color="auto"/>
          <w:bottom w:val="single" w:sz="12" w:space="0" w:color="auto"/>
          <w:insideH w:val="single" w:sz="4" w:space="0" w:color="auto"/>
          <w:insideV w:val="single" w:sz="4" w:space="0" w:color="auto"/>
        </w:tblBorders>
        <w:tblLook w:val="04A0"/>
      </w:tblPr>
      <w:tblGrid>
        <w:gridCol w:w="677"/>
        <w:gridCol w:w="1194"/>
        <w:gridCol w:w="1902"/>
        <w:gridCol w:w="4531"/>
      </w:tblGrid>
      <w:tr w:rsidR="002A5A5E" w:rsidRPr="00F9522B">
        <w:trPr>
          <w:trHeight w:val="342"/>
        </w:trPr>
        <w:tc>
          <w:tcPr>
            <w:tcW w:w="2272" w:type="pct"/>
            <w:gridSpan w:val="3"/>
            <w:tcBorders>
              <w:tl2br w:val="nil"/>
              <w:tr2bl w:val="nil"/>
            </w:tcBorders>
            <w:vAlign w:val="center"/>
          </w:tcPr>
          <w:p w:rsidR="002A5A5E" w:rsidRPr="00F9522B" w:rsidRDefault="00611CBA">
            <w:pPr>
              <w:jc w:val="center"/>
              <w:rPr>
                <w:rFonts w:eastAsiaTheme="minorEastAsia"/>
                <w:kern w:val="0"/>
                <w:szCs w:val="21"/>
              </w:rPr>
            </w:pPr>
            <w:r w:rsidRPr="00F9522B">
              <w:rPr>
                <w:rFonts w:eastAsiaTheme="minorEastAsia"/>
                <w:kern w:val="0"/>
                <w:szCs w:val="21"/>
              </w:rPr>
              <w:t>地下水型饮用水水源划定保护区情况</w:t>
            </w:r>
          </w:p>
        </w:tc>
        <w:tc>
          <w:tcPr>
            <w:tcW w:w="2728" w:type="pct"/>
            <w:tcBorders>
              <w:tl2br w:val="nil"/>
              <w:tr2bl w:val="nil"/>
            </w:tcBorders>
            <w:vAlign w:val="center"/>
          </w:tcPr>
          <w:p w:rsidR="002A5A5E" w:rsidRPr="00F9522B" w:rsidRDefault="00611CBA">
            <w:pPr>
              <w:jc w:val="center"/>
              <w:rPr>
                <w:rFonts w:eastAsiaTheme="minorEastAsia"/>
                <w:kern w:val="0"/>
                <w:szCs w:val="21"/>
              </w:rPr>
            </w:pPr>
            <w:r w:rsidRPr="00F9522B">
              <w:rPr>
                <w:rFonts w:eastAsiaTheme="minorEastAsia"/>
                <w:kern w:val="0"/>
                <w:szCs w:val="21"/>
              </w:rPr>
              <w:t>补给区范围</w:t>
            </w:r>
          </w:p>
        </w:tc>
      </w:tr>
      <w:tr w:rsidR="002A5A5E" w:rsidRPr="00F9522B">
        <w:trPr>
          <w:trHeight w:val="342"/>
        </w:trPr>
        <w:tc>
          <w:tcPr>
            <w:tcW w:w="408" w:type="pct"/>
            <w:vMerge w:val="restart"/>
            <w:tcBorders>
              <w:tl2br w:val="nil"/>
              <w:tr2bl w:val="nil"/>
            </w:tcBorders>
            <w:vAlign w:val="center"/>
          </w:tcPr>
          <w:p w:rsidR="002A5A5E" w:rsidRPr="00F9522B" w:rsidRDefault="00611CBA">
            <w:pPr>
              <w:jc w:val="center"/>
              <w:rPr>
                <w:rFonts w:eastAsiaTheme="minorEastAsia"/>
                <w:kern w:val="0"/>
                <w:szCs w:val="21"/>
              </w:rPr>
            </w:pPr>
            <w:r w:rsidRPr="00F9522B">
              <w:rPr>
                <w:rFonts w:eastAsiaTheme="minorEastAsia"/>
                <w:kern w:val="0"/>
                <w:szCs w:val="21"/>
              </w:rPr>
              <w:t>水源开采规模</w:t>
            </w:r>
          </w:p>
        </w:tc>
        <w:tc>
          <w:tcPr>
            <w:tcW w:w="719" w:type="pct"/>
            <w:vMerge w:val="restart"/>
            <w:tcBorders>
              <w:tl2br w:val="nil"/>
              <w:tr2bl w:val="nil"/>
            </w:tcBorders>
            <w:vAlign w:val="center"/>
          </w:tcPr>
          <w:p w:rsidR="002A5A5E" w:rsidRPr="00F9522B" w:rsidRDefault="00611CBA">
            <w:pPr>
              <w:jc w:val="center"/>
              <w:rPr>
                <w:rFonts w:eastAsiaTheme="minorEastAsia"/>
                <w:kern w:val="0"/>
                <w:szCs w:val="21"/>
              </w:rPr>
            </w:pPr>
            <w:r w:rsidRPr="00F9522B">
              <w:rPr>
                <w:rFonts w:eastAsiaTheme="minorEastAsia"/>
                <w:kern w:val="0"/>
                <w:szCs w:val="21"/>
              </w:rPr>
              <w:t>大型</w:t>
            </w:r>
            <w:r w:rsidRPr="00F9522B">
              <w:rPr>
                <w:rFonts w:eastAsiaTheme="minorEastAsia"/>
                <w:kern w:val="0"/>
                <w:szCs w:val="21"/>
              </w:rPr>
              <w:t>≥5</w:t>
            </w:r>
            <w:r w:rsidRPr="00F9522B">
              <w:rPr>
                <w:rFonts w:eastAsiaTheme="minorEastAsia"/>
                <w:kern w:val="0"/>
                <w:szCs w:val="21"/>
              </w:rPr>
              <w:t>万</w:t>
            </w:r>
            <w:r w:rsidRPr="00F9522B">
              <w:rPr>
                <w:rFonts w:eastAsiaTheme="minorEastAsia"/>
                <w:kern w:val="0"/>
                <w:szCs w:val="21"/>
              </w:rPr>
              <w:t>m</w:t>
            </w:r>
            <w:r w:rsidRPr="00F9522B">
              <w:rPr>
                <w:rFonts w:eastAsiaTheme="minorEastAsia"/>
                <w:kern w:val="0"/>
                <w:szCs w:val="21"/>
                <w:vertAlign w:val="superscript"/>
              </w:rPr>
              <w:t>3/</w:t>
            </w:r>
            <w:r w:rsidRPr="00F9522B">
              <w:rPr>
                <w:rFonts w:eastAsiaTheme="minorEastAsia"/>
                <w:kern w:val="0"/>
                <w:szCs w:val="21"/>
              </w:rPr>
              <w:t>d</w:t>
            </w:r>
          </w:p>
        </w:tc>
        <w:tc>
          <w:tcPr>
            <w:tcW w:w="1145" w:type="pct"/>
            <w:tcBorders>
              <w:tl2br w:val="nil"/>
              <w:tr2bl w:val="nil"/>
            </w:tcBorders>
            <w:vAlign w:val="center"/>
          </w:tcPr>
          <w:p w:rsidR="002A5A5E" w:rsidRPr="00F9522B" w:rsidRDefault="00611CBA">
            <w:pPr>
              <w:jc w:val="center"/>
              <w:rPr>
                <w:rFonts w:eastAsiaTheme="minorEastAsia"/>
                <w:kern w:val="0"/>
                <w:szCs w:val="21"/>
              </w:rPr>
            </w:pPr>
            <w:r w:rsidRPr="00F9522B">
              <w:rPr>
                <w:rFonts w:eastAsiaTheme="minorEastAsia"/>
                <w:kern w:val="0"/>
                <w:szCs w:val="21"/>
              </w:rPr>
              <w:t>已划定二级保护区的</w:t>
            </w:r>
          </w:p>
        </w:tc>
        <w:tc>
          <w:tcPr>
            <w:tcW w:w="2728" w:type="pct"/>
            <w:tcBorders>
              <w:tl2br w:val="nil"/>
              <w:tr2bl w:val="nil"/>
            </w:tcBorders>
            <w:vAlign w:val="center"/>
          </w:tcPr>
          <w:p w:rsidR="002A5A5E" w:rsidRPr="00F9522B" w:rsidRDefault="00611CBA">
            <w:pPr>
              <w:jc w:val="center"/>
              <w:rPr>
                <w:rFonts w:eastAsiaTheme="minorEastAsia"/>
                <w:kern w:val="0"/>
                <w:szCs w:val="21"/>
              </w:rPr>
            </w:pPr>
            <w:r w:rsidRPr="00F9522B">
              <w:rPr>
                <w:rFonts w:eastAsiaTheme="minorEastAsia"/>
                <w:kern w:val="0"/>
                <w:szCs w:val="21"/>
              </w:rPr>
              <w:t>以二级保护区边界为基准，按大型水源</w:t>
            </w:r>
            <w:r w:rsidRPr="00F9522B">
              <w:rPr>
                <w:rFonts w:eastAsiaTheme="minorEastAsia"/>
                <w:kern w:val="0"/>
                <w:szCs w:val="21"/>
              </w:rPr>
              <w:t>30</w:t>
            </w:r>
            <w:r w:rsidRPr="00F9522B">
              <w:rPr>
                <w:rFonts w:eastAsiaTheme="minorEastAsia"/>
                <w:kern w:val="0"/>
                <w:szCs w:val="21"/>
              </w:rPr>
              <w:t>年流程圈定的范围</w:t>
            </w:r>
          </w:p>
        </w:tc>
      </w:tr>
      <w:tr w:rsidR="002A5A5E" w:rsidRPr="00F9522B">
        <w:trPr>
          <w:trHeight w:val="342"/>
        </w:trPr>
        <w:tc>
          <w:tcPr>
            <w:tcW w:w="408" w:type="pct"/>
            <w:vMerge/>
            <w:tcBorders>
              <w:tl2br w:val="nil"/>
              <w:tr2bl w:val="nil"/>
            </w:tcBorders>
            <w:vAlign w:val="center"/>
          </w:tcPr>
          <w:p w:rsidR="002A5A5E" w:rsidRPr="00F9522B" w:rsidRDefault="002A5A5E">
            <w:pPr>
              <w:jc w:val="center"/>
              <w:rPr>
                <w:rFonts w:eastAsiaTheme="minorEastAsia"/>
                <w:kern w:val="0"/>
                <w:szCs w:val="21"/>
              </w:rPr>
            </w:pPr>
          </w:p>
        </w:tc>
        <w:tc>
          <w:tcPr>
            <w:tcW w:w="719" w:type="pct"/>
            <w:vMerge/>
            <w:tcBorders>
              <w:tl2br w:val="nil"/>
              <w:tr2bl w:val="nil"/>
            </w:tcBorders>
            <w:vAlign w:val="center"/>
          </w:tcPr>
          <w:p w:rsidR="002A5A5E" w:rsidRPr="00F9522B" w:rsidRDefault="002A5A5E">
            <w:pPr>
              <w:jc w:val="center"/>
              <w:rPr>
                <w:rFonts w:eastAsiaTheme="minorEastAsia"/>
                <w:kern w:val="0"/>
                <w:szCs w:val="21"/>
              </w:rPr>
            </w:pPr>
          </w:p>
        </w:tc>
        <w:tc>
          <w:tcPr>
            <w:tcW w:w="1145" w:type="pct"/>
            <w:tcBorders>
              <w:tl2br w:val="nil"/>
              <w:tr2bl w:val="nil"/>
            </w:tcBorders>
            <w:vAlign w:val="center"/>
          </w:tcPr>
          <w:p w:rsidR="002A5A5E" w:rsidRPr="00F9522B" w:rsidRDefault="00611CBA">
            <w:pPr>
              <w:jc w:val="center"/>
              <w:rPr>
                <w:rFonts w:eastAsiaTheme="minorEastAsia"/>
                <w:kern w:val="0"/>
                <w:szCs w:val="21"/>
              </w:rPr>
            </w:pPr>
            <w:r w:rsidRPr="00F9522B">
              <w:rPr>
                <w:rFonts w:eastAsiaTheme="minorEastAsia"/>
                <w:kern w:val="0"/>
                <w:szCs w:val="21"/>
              </w:rPr>
              <w:t>仅划定了一级保护区的</w:t>
            </w:r>
          </w:p>
        </w:tc>
        <w:tc>
          <w:tcPr>
            <w:tcW w:w="2728" w:type="pct"/>
            <w:tcBorders>
              <w:tl2br w:val="nil"/>
              <w:tr2bl w:val="nil"/>
            </w:tcBorders>
            <w:vAlign w:val="center"/>
          </w:tcPr>
          <w:p w:rsidR="002A5A5E" w:rsidRPr="00F9522B" w:rsidRDefault="00611CBA">
            <w:pPr>
              <w:jc w:val="center"/>
              <w:rPr>
                <w:rFonts w:eastAsiaTheme="minorEastAsia"/>
                <w:kern w:val="0"/>
                <w:szCs w:val="21"/>
              </w:rPr>
            </w:pPr>
            <w:r w:rsidRPr="00F9522B">
              <w:rPr>
                <w:rFonts w:eastAsiaTheme="minorEastAsia"/>
                <w:kern w:val="0"/>
                <w:szCs w:val="21"/>
              </w:rPr>
              <w:t>以水源一级保护区边界为基准，按大型水源</w:t>
            </w:r>
            <w:r w:rsidRPr="00F9522B">
              <w:rPr>
                <w:rFonts w:eastAsiaTheme="minorEastAsia"/>
                <w:kern w:val="0"/>
                <w:szCs w:val="21"/>
              </w:rPr>
              <w:t>30</w:t>
            </w:r>
            <w:r w:rsidRPr="00F9522B">
              <w:rPr>
                <w:rFonts w:eastAsiaTheme="minorEastAsia"/>
                <w:kern w:val="0"/>
                <w:szCs w:val="21"/>
              </w:rPr>
              <w:t>年</w:t>
            </w:r>
            <w:r w:rsidRPr="00F9522B">
              <w:rPr>
                <w:rFonts w:eastAsiaTheme="minorEastAsia"/>
                <w:kern w:val="0"/>
                <w:szCs w:val="21"/>
              </w:rPr>
              <w:t>+1000</w:t>
            </w:r>
            <w:r w:rsidRPr="00F9522B">
              <w:rPr>
                <w:rFonts w:eastAsiaTheme="minorEastAsia"/>
                <w:kern w:val="0"/>
                <w:szCs w:val="21"/>
              </w:rPr>
              <w:t>天流程圈定的范围</w:t>
            </w:r>
          </w:p>
        </w:tc>
      </w:tr>
      <w:tr w:rsidR="002A5A5E" w:rsidRPr="00F9522B">
        <w:trPr>
          <w:trHeight w:val="342"/>
        </w:trPr>
        <w:tc>
          <w:tcPr>
            <w:tcW w:w="408" w:type="pct"/>
            <w:vMerge/>
            <w:tcBorders>
              <w:tl2br w:val="nil"/>
              <w:tr2bl w:val="nil"/>
            </w:tcBorders>
            <w:vAlign w:val="center"/>
          </w:tcPr>
          <w:p w:rsidR="002A5A5E" w:rsidRPr="00F9522B" w:rsidRDefault="002A5A5E">
            <w:pPr>
              <w:jc w:val="center"/>
              <w:rPr>
                <w:rFonts w:eastAsiaTheme="minorEastAsia"/>
                <w:kern w:val="0"/>
                <w:szCs w:val="21"/>
              </w:rPr>
            </w:pPr>
          </w:p>
        </w:tc>
        <w:tc>
          <w:tcPr>
            <w:tcW w:w="719" w:type="pct"/>
            <w:vMerge/>
            <w:tcBorders>
              <w:tl2br w:val="nil"/>
              <w:tr2bl w:val="nil"/>
            </w:tcBorders>
            <w:vAlign w:val="center"/>
          </w:tcPr>
          <w:p w:rsidR="002A5A5E" w:rsidRPr="00F9522B" w:rsidRDefault="002A5A5E">
            <w:pPr>
              <w:jc w:val="center"/>
              <w:rPr>
                <w:rFonts w:eastAsiaTheme="minorEastAsia"/>
                <w:kern w:val="0"/>
                <w:szCs w:val="21"/>
              </w:rPr>
            </w:pPr>
          </w:p>
        </w:tc>
        <w:tc>
          <w:tcPr>
            <w:tcW w:w="1145" w:type="pct"/>
            <w:tcBorders>
              <w:tl2br w:val="nil"/>
              <w:tr2bl w:val="nil"/>
            </w:tcBorders>
            <w:vAlign w:val="center"/>
          </w:tcPr>
          <w:p w:rsidR="002A5A5E" w:rsidRPr="00F9522B" w:rsidRDefault="00611CBA">
            <w:pPr>
              <w:jc w:val="center"/>
              <w:rPr>
                <w:rFonts w:eastAsiaTheme="minorEastAsia"/>
                <w:kern w:val="0"/>
                <w:szCs w:val="21"/>
              </w:rPr>
            </w:pPr>
            <w:r w:rsidRPr="00F9522B">
              <w:rPr>
                <w:rFonts w:eastAsiaTheme="minorEastAsia"/>
                <w:kern w:val="0"/>
                <w:szCs w:val="21"/>
              </w:rPr>
              <w:t>未划定保护区的</w:t>
            </w:r>
          </w:p>
        </w:tc>
        <w:tc>
          <w:tcPr>
            <w:tcW w:w="2728" w:type="pct"/>
            <w:tcBorders>
              <w:tl2br w:val="nil"/>
              <w:tr2bl w:val="nil"/>
            </w:tcBorders>
            <w:vAlign w:val="center"/>
          </w:tcPr>
          <w:p w:rsidR="002A5A5E" w:rsidRPr="00F9522B" w:rsidRDefault="00611CBA">
            <w:pPr>
              <w:jc w:val="center"/>
              <w:rPr>
                <w:rFonts w:eastAsiaTheme="minorEastAsia"/>
                <w:kern w:val="0"/>
                <w:szCs w:val="21"/>
              </w:rPr>
            </w:pPr>
            <w:r w:rsidRPr="00F9522B">
              <w:rPr>
                <w:rFonts w:eastAsiaTheme="minorEastAsia"/>
                <w:kern w:val="0"/>
                <w:szCs w:val="21"/>
              </w:rPr>
              <w:t>以水源开采井为基准，按大型水源</w:t>
            </w:r>
            <w:r w:rsidRPr="00F9522B">
              <w:rPr>
                <w:rFonts w:eastAsiaTheme="minorEastAsia"/>
                <w:kern w:val="0"/>
                <w:szCs w:val="21"/>
              </w:rPr>
              <w:t>30</w:t>
            </w:r>
            <w:r w:rsidRPr="00F9522B">
              <w:rPr>
                <w:rFonts w:eastAsiaTheme="minorEastAsia"/>
                <w:kern w:val="0"/>
                <w:szCs w:val="21"/>
              </w:rPr>
              <w:t>年</w:t>
            </w:r>
            <w:r w:rsidRPr="00F9522B">
              <w:rPr>
                <w:rFonts w:eastAsiaTheme="minorEastAsia"/>
                <w:kern w:val="0"/>
                <w:szCs w:val="21"/>
              </w:rPr>
              <w:t>+1100</w:t>
            </w:r>
            <w:r w:rsidRPr="00F9522B">
              <w:rPr>
                <w:rFonts w:eastAsiaTheme="minorEastAsia"/>
                <w:kern w:val="0"/>
                <w:szCs w:val="21"/>
              </w:rPr>
              <w:t>天流程圈定的范围</w:t>
            </w:r>
          </w:p>
        </w:tc>
      </w:tr>
      <w:tr w:rsidR="002A5A5E" w:rsidRPr="00F9522B">
        <w:trPr>
          <w:trHeight w:val="342"/>
        </w:trPr>
        <w:tc>
          <w:tcPr>
            <w:tcW w:w="408" w:type="pct"/>
            <w:vMerge/>
            <w:tcBorders>
              <w:tl2br w:val="nil"/>
              <w:tr2bl w:val="nil"/>
            </w:tcBorders>
            <w:vAlign w:val="center"/>
          </w:tcPr>
          <w:p w:rsidR="002A5A5E" w:rsidRPr="00F9522B" w:rsidRDefault="002A5A5E">
            <w:pPr>
              <w:jc w:val="center"/>
              <w:rPr>
                <w:rFonts w:eastAsiaTheme="minorEastAsia"/>
                <w:kern w:val="0"/>
                <w:szCs w:val="21"/>
              </w:rPr>
            </w:pPr>
          </w:p>
        </w:tc>
        <w:tc>
          <w:tcPr>
            <w:tcW w:w="719" w:type="pct"/>
            <w:vMerge w:val="restart"/>
            <w:tcBorders>
              <w:tl2br w:val="nil"/>
              <w:tr2bl w:val="nil"/>
            </w:tcBorders>
            <w:vAlign w:val="center"/>
          </w:tcPr>
          <w:p w:rsidR="002A5A5E" w:rsidRPr="00F9522B" w:rsidRDefault="00611CBA">
            <w:pPr>
              <w:jc w:val="center"/>
              <w:rPr>
                <w:rFonts w:eastAsiaTheme="minorEastAsia"/>
                <w:kern w:val="0"/>
                <w:szCs w:val="21"/>
              </w:rPr>
            </w:pPr>
            <w:r w:rsidRPr="00F9522B">
              <w:rPr>
                <w:rFonts w:eastAsiaTheme="minorEastAsia"/>
                <w:kern w:val="0"/>
                <w:szCs w:val="21"/>
              </w:rPr>
              <w:t>中小型＜</w:t>
            </w:r>
            <w:r w:rsidRPr="00F9522B">
              <w:rPr>
                <w:rFonts w:eastAsiaTheme="minorEastAsia"/>
                <w:kern w:val="0"/>
                <w:szCs w:val="21"/>
              </w:rPr>
              <w:t>5</w:t>
            </w:r>
            <w:r w:rsidRPr="00F9522B">
              <w:rPr>
                <w:rFonts w:eastAsiaTheme="minorEastAsia"/>
                <w:kern w:val="0"/>
                <w:szCs w:val="21"/>
              </w:rPr>
              <w:t>万</w:t>
            </w:r>
            <w:r w:rsidRPr="00F9522B">
              <w:rPr>
                <w:rFonts w:eastAsiaTheme="minorEastAsia"/>
                <w:kern w:val="0"/>
                <w:szCs w:val="21"/>
              </w:rPr>
              <w:t>m</w:t>
            </w:r>
            <w:r w:rsidRPr="00F9522B">
              <w:rPr>
                <w:rFonts w:eastAsiaTheme="minorEastAsia"/>
                <w:kern w:val="0"/>
                <w:szCs w:val="21"/>
                <w:vertAlign w:val="superscript"/>
              </w:rPr>
              <w:t>3</w:t>
            </w:r>
            <w:r w:rsidRPr="00F9522B">
              <w:rPr>
                <w:rFonts w:eastAsiaTheme="minorEastAsia"/>
                <w:kern w:val="0"/>
                <w:szCs w:val="21"/>
              </w:rPr>
              <w:t>/d</w:t>
            </w:r>
          </w:p>
        </w:tc>
        <w:tc>
          <w:tcPr>
            <w:tcW w:w="1145" w:type="pct"/>
            <w:tcBorders>
              <w:tl2br w:val="nil"/>
              <w:tr2bl w:val="nil"/>
            </w:tcBorders>
            <w:vAlign w:val="center"/>
          </w:tcPr>
          <w:p w:rsidR="002A5A5E" w:rsidRPr="00F9522B" w:rsidRDefault="00611CBA">
            <w:pPr>
              <w:jc w:val="center"/>
              <w:rPr>
                <w:rFonts w:eastAsiaTheme="minorEastAsia"/>
                <w:kern w:val="0"/>
                <w:szCs w:val="21"/>
              </w:rPr>
            </w:pPr>
            <w:r w:rsidRPr="00F9522B">
              <w:rPr>
                <w:rFonts w:eastAsiaTheme="minorEastAsia"/>
                <w:kern w:val="0"/>
                <w:szCs w:val="21"/>
              </w:rPr>
              <w:t>已划定二级保护区的</w:t>
            </w:r>
          </w:p>
        </w:tc>
        <w:tc>
          <w:tcPr>
            <w:tcW w:w="2728" w:type="pct"/>
            <w:tcBorders>
              <w:tl2br w:val="nil"/>
              <w:tr2bl w:val="nil"/>
            </w:tcBorders>
            <w:vAlign w:val="center"/>
          </w:tcPr>
          <w:p w:rsidR="002A5A5E" w:rsidRPr="00F9522B" w:rsidRDefault="00611CBA">
            <w:pPr>
              <w:jc w:val="center"/>
              <w:rPr>
                <w:rFonts w:eastAsiaTheme="minorEastAsia"/>
                <w:kern w:val="0"/>
                <w:szCs w:val="21"/>
              </w:rPr>
            </w:pPr>
            <w:r w:rsidRPr="00F9522B">
              <w:rPr>
                <w:rFonts w:eastAsiaTheme="minorEastAsia"/>
                <w:kern w:val="0"/>
                <w:szCs w:val="21"/>
              </w:rPr>
              <w:t>以二级保护区边界为基准，按中小型水源</w:t>
            </w:r>
            <w:r w:rsidRPr="00F9522B">
              <w:rPr>
                <w:rFonts w:eastAsiaTheme="minorEastAsia"/>
                <w:kern w:val="0"/>
                <w:szCs w:val="21"/>
              </w:rPr>
              <w:t>15</w:t>
            </w:r>
            <w:r w:rsidRPr="00F9522B">
              <w:rPr>
                <w:rFonts w:eastAsiaTheme="minorEastAsia"/>
                <w:kern w:val="0"/>
                <w:szCs w:val="21"/>
              </w:rPr>
              <w:t>年流程圈定的范围</w:t>
            </w:r>
          </w:p>
        </w:tc>
      </w:tr>
      <w:tr w:rsidR="002A5A5E" w:rsidRPr="00F9522B">
        <w:trPr>
          <w:trHeight w:val="342"/>
        </w:trPr>
        <w:tc>
          <w:tcPr>
            <w:tcW w:w="408" w:type="pct"/>
            <w:vMerge/>
            <w:tcBorders>
              <w:tl2br w:val="nil"/>
              <w:tr2bl w:val="nil"/>
            </w:tcBorders>
            <w:vAlign w:val="center"/>
          </w:tcPr>
          <w:p w:rsidR="002A5A5E" w:rsidRPr="00F9522B" w:rsidRDefault="002A5A5E">
            <w:pPr>
              <w:jc w:val="center"/>
              <w:rPr>
                <w:rFonts w:eastAsiaTheme="minorEastAsia"/>
                <w:kern w:val="0"/>
                <w:szCs w:val="21"/>
              </w:rPr>
            </w:pPr>
          </w:p>
        </w:tc>
        <w:tc>
          <w:tcPr>
            <w:tcW w:w="719" w:type="pct"/>
            <w:vMerge/>
            <w:tcBorders>
              <w:tl2br w:val="nil"/>
              <w:tr2bl w:val="nil"/>
            </w:tcBorders>
            <w:vAlign w:val="center"/>
          </w:tcPr>
          <w:p w:rsidR="002A5A5E" w:rsidRPr="00F9522B" w:rsidRDefault="002A5A5E">
            <w:pPr>
              <w:jc w:val="center"/>
              <w:rPr>
                <w:rFonts w:eastAsiaTheme="minorEastAsia"/>
                <w:kern w:val="0"/>
                <w:szCs w:val="21"/>
              </w:rPr>
            </w:pPr>
          </w:p>
        </w:tc>
        <w:tc>
          <w:tcPr>
            <w:tcW w:w="1145" w:type="pct"/>
            <w:tcBorders>
              <w:tl2br w:val="nil"/>
              <w:tr2bl w:val="nil"/>
            </w:tcBorders>
            <w:vAlign w:val="center"/>
          </w:tcPr>
          <w:p w:rsidR="002A5A5E" w:rsidRPr="00F9522B" w:rsidRDefault="00611CBA">
            <w:pPr>
              <w:jc w:val="center"/>
              <w:rPr>
                <w:rFonts w:eastAsiaTheme="minorEastAsia"/>
                <w:b/>
                <w:bCs/>
                <w:kern w:val="0"/>
                <w:szCs w:val="21"/>
              </w:rPr>
            </w:pPr>
            <w:r w:rsidRPr="00F9522B">
              <w:rPr>
                <w:rFonts w:eastAsiaTheme="minorEastAsia"/>
                <w:b/>
                <w:bCs/>
                <w:kern w:val="0"/>
                <w:szCs w:val="21"/>
              </w:rPr>
              <w:t>仅划定了一级保护区的</w:t>
            </w:r>
          </w:p>
        </w:tc>
        <w:tc>
          <w:tcPr>
            <w:tcW w:w="2728" w:type="pct"/>
            <w:tcBorders>
              <w:tl2br w:val="nil"/>
              <w:tr2bl w:val="nil"/>
            </w:tcBorders>
            <w:vAlign w:val="center"/>
          </w:tcPr>
          <w:p w:rsidR="002A5A5E" w:rsidRPr="00F9522B" w:rsidRDefault="00611CBA">
            <w:pPr>
              <w:jc w:val="center"/>
              <w:rPr>
                <w:rFonts w:eastAsiaTheme="minorEastAsia"/>
                <w:b/>
                <w:bCs/>
                <w:kern w:val="0"/>
                <w:szCs w:val="21"/>
              </w:rPr>
            </w:pPr>
            <w:r w:rsidRPr="00F9522B">
              <w:rPr>
                <w:rFonts w:eastAsiaTheme="minorEastAsia"/>
                <w:b/>
                <w:bCs/>
                <w:kern w:val="0"/>
                <w:szCs w:val="21"/>
              </w:rPr>
              <w:t>以水源一级保护区边界为基准，按中小型水源</w:t>
            </w:r>
            <w:r w:rsidRPr="00F9522B">
              <w:rPr>
                <w:rFonts w:eastAsiaTheme="minorEastAsia"/>
                <w:b/>
                <w:bCs/>
                <w:kern w:val="0"/>
                <w:szCs w:val="21"/>
              </w:rPr>
              <w:t>15</w:t>
            </w:r>
            <w:r w:rsidRPr="00F9522B">
              <w:rPr>
                <w:rFonts w:eastAsiaTheme="minorEastAsia"/>
                <w:b/>
                <w:bCs/>
                <w:kern w:val="0"/>
                <w:szCs w:val="21"/>
              </w:rPr>
              <w:t>年</w:t>
            </w:r>
            <w:r w:rsidRPr="00F9522B">
              <w:rPr>
                <w:rFonts w:eastAsiaTheme="minorEastAsia"/>
                <w:b/>
                <w:bCs/>
                <w:kern w:val="0"/>
                <w:szCs w:val="21"/>
              </w:rPr>
              <w:t>+1000</w:t>
            </w:r>
            <w:r w:rsidRPr="00F9522B">
              <w:rPr>
                <w:rFonts w:eastAsiaTheme="minorEastAsia"/>
                <w:b/>
                <w:bCs/>
                <w:kern w:val="0"/>
                <w:szCs w:val="21"/>
              </w:rPr>
              <w:t>天流程圈定的范围</w:t>
            </w:r>
          </w:p>
        </w:tc>
      </w:tr>
      <w:tr w:rsidR="002A5A5E" w:rsidRPr="00F9522B">
        <w:trPr>
          <w:trHeight w:val="342"/>
        </w:trPr>
        <w:tc>
          <w:tcPr>
            <w:tcW w:w="408" w:type="pct"/>
            <w:vMerge/>
            <w:tcBorders>
              <w:tl2br w:val="nil"/>
              <w:tr2bl w:val="nil"/>
            </w:tcBorders>
            <w:vAlign w:val="center"/>
          </w:tcPr>
          <w:p w:rsidR="002A5A5E" w:rsidRPr="00F9522B" w:rsidRDefault="002A5A5E">
            <w:pPr>
              <w:jc w:val="center"/>
              <w:rPr>
                <w:rFonts w:eastAsiaTheme="minorEastAsia"/>
                <w:kern w:val="0"/>
                <w:szCs w:val="21"/>
              </w:rPr>
            </w:pPr>
          </w:p>
        </w:tc>
        <w:tc>
          <w:tcPr>
            <w:tcW w:w="719" w:type="pct"/>
            <w:vMerge/>
            <w:tcBorders>
              <w:tl2br w:val="nil"/>
              <w:tr2bl w:val="nil"/>
            </w:tcBorders>
            <w:vAlign w:val="center"/>
          </w:tcPr>
          <w:p w:rsidR="002A5A5E" w:rsidRPr="00F9522B" w:rsidRDefault="002A5A5E">
            <w:pPr>
              <w:jc w:val="center"/>
              <w:rPr>
                <w:rFonts w:eastAsiaTheme="minorEastAsia"/>
                <w:kern w:val="0"/>
                <w:szCs w:val="21"/>
              </w:rPr>
            </w:pPr>
          </w:p>
        </w:tc>
        <w:tc>
          <w:tcPr>
            <w:tcW w:w="1145" w:type="pct"/>
            <w:tcBorders>
              <w:tl2br w:val="nil"/>
              <w:tr2bl w:val="nil"/>
            </w:tcBorders>
            <w:vAlign w:val="center"/>
          </w:tcPr>
          <w:p w:rsidR="002A5A5E" w:rsidRPr="00F9522B" w:rsidRDefault="00611CBA">
            <w:pPr>
              <w:jc w:val="center"/>
              <w:rPr>
                <w:rFonts w:eastAsiaTheme="minorEastAsia"/>
                <w:bCs/>
                <w:kern w:val="0"/>
                <w:szCs w:val="21"/>
              </w:rPr>
            </w:pPr>
            <w:r w:rsidRPr="00F9522B">
              <w:rPr>
                <w:rFonts w:eastAsiaTheme="minorEastAsia"/>
                <w:bCs/>
                <w:kern w:val="0"/>
                <w:szCs w:val="21"/>
              </w:rPr>
              <w:t>未划定保护区的</w:t>
            </w:r>
          </w:p>
        </w:tc>
        <w:tc>
          <w:tcPr>
            <w:tcW w:w="2728" w:type="pct"/>
            <w:tcBorders>
              <w:tl2br w:val="nil"/>
              <w:tr2bl w:val="nil"/>
            </w:tcBorders>
            <w:vAlign w:val="center"/>
          </w:tcPr>
          <w:p w:rsidR="002A5A5E" w:rsidRPr="00F9522B" w:rsidRDefault="00611CBA">
            <w:pPr>
              <w:jc w:val="center"/>
              <w:rPr>
                <w:rFonts w:eastAsiaTheme="minorEastAsia"/>
                <w:bCs/>
                <w:kern w:val="0"/>
                <w:szCs w:val="21"/>
              </w:rPr>
            </w:pPr>
            <w:r w:rsidRPr="00F9522B">
              <w:rPr>
                <w:rFonts w:eastAsiaTheme="minorEastAsia"/>
                <w:bCs/>
                <w:kern w:val="0"/>
                <w:szCs w:val="21"/>
              </w:rPr>
              <w:t>以水源开采井为基准，按中小型水源</w:t>
            </w:r>
            <w:r w:rsidRPr="00F9522B">
              <w:rPr>
                <w:rFonts w:eastAsiaTheme="minorEastAsia"/>
                <w:bCs/>
                <w:kern w:val="0"/>
                <w:szCs w:val="21"/>
              </w:rPr>
              <w:t>15</w:t>
            </w:r>
            <w:r w:rsidRPr="00F9522B">
              <w:rPr>
                <w:rFonts w:eastAsiaTheme="minorEastAsia"/>
                <w:bCs/>
                <w:kern w:val="0"/>
                <w:szCs w:val="21"/>
              </w:rPr>
              <w:t>年</w:t>
            </w:r>
            <w:r w:rsidRPr="00F9522B">
              <w:rPr>
                <w:rFonts w:eastAsiaTheme="minorEastAsia"/>
                <w:bCs/>
                <w:kern w:val="0"/>
                <w:szCs w:val="21"/>
              </w:rPr>
              <w:t>+1100</w:t>
            </w:r>
            <w:r w:rsidRPr="00F9522B">
              <w:rPr>
                <w:rFonts w:eastAsiaTheme="minorEastAsia"/>
                <w:bCs/>
                <w:kern w:val="0"/>
                <w:szCs w:val="21"/>
              </w:rPr>
              <w:t>天流程圈定的范围</w:t>
            </w:r>
          </w:p>
        </w:tc>
      </w:tr>
    </w:tbl>
    <w:p w:rsidR="002A5A5E" w:rsidRPr="00F9522B" w:rsidRDefault="00611CBA">
      <w:pPr>
        <w:spacing w:line="360" w:lineRule="auto"/>
        <w:ind w:firstLineChars="200" w:firstLine="480"/>
        <w:rPr>
          <w:rFonts w:eastAsiaTheme="minorEastAsia"/>
          <w:snapToGrid w:val="0"/>
          <w:kern w:val="0"/>
          <w:sz w:val="24"/>
          <w:szCs w:val="22"/>
        </w:rPr>
      </w:pPr>
      <w:r w:rsidRPr="00F9522B">
        <w:rPr>
          <w:rFonts w:eastAsiaTheme="minorEastAsia"/>
          <w:snapToGrid w:val="0"/>
          <w:kern w:val="0"/>
          <w:sz w:val="24"/>
          <w:szCs w:val="22"/>
        </w:rPr>
        <w:t>根据地下水质点运移距离计算公式：</w:t>
      </w:r>
    </w:p>
    <w:p w:rsidR="002A5A5E" w:rsidRPr="00F9522B" w:rsidRDefault="00611CBA" w:rsidP="00611CBA">
      <w:pPr>
        <w:spacing w:line="360" w:lineRule="auto"/>
        <w:ind w:firstLineChars="77" w:firstLine="185"/>
        <w:jc w:val="center"/>
        <w:rPr>
          <w:rFonts w:eastAsiaTheme="minorEastAsia"/>
          <w:sz w:val="24"/>
          <w:szCs w:val="22"/>
        </w:rPr>
      </w:pPr>
      <w:r w:rsidRPr="00F9522B">
        <w:rPr>
          <w:rFonts w:eastAsiaTheme="minorEastAsia"/>
          <w:sz w:val="24"/>
          <w:szCs w:val="22"/>
        </w:rPr>
        <w:t>L=a×K×I×T/ne</w:t>
      </w:r>
    </w:p>
    <w:p w:rsidR="002A5A5E" w:rsidRPr="00F9522B" w:rsidRDefault="00611CBA" w:rsidP="00611CBA">
      <w:pPr>
        <w:spacing w:line="360" w:lineRule="auto"/>
        <w:ind w:firstLineChars="77" w:firstLine="185"/>
        <w:rPr>
          <w:rFonts w:eastAsiaTheme="minorEastAsia"/>
          <w:sz w:val="24"/>
          <w:szCs w:val="22"/>
        </w:rPr>
      </w:pPr>
      <w:r w:rsidRPr="00F9522B">
        <w:rPr>
          <w:rFonts w:eastAsiaTheme="minorEastAsia"/>
          <w:sz w:val="24"/>
          <w:szCs w:val="22"/>
        </w:rPr>
        <w:t>式中：</w:t>
      </w:r>
      <w:r w:rsidRPr="00F9522B">
        <w:rPr>
          <w:rFonts w:eastAsiaTheme="minorEastAsia"/>
          <w:sz w:val="24"/>
          <w:szCs w:val="22"/>
        </w:rPr>
        <w:t>L—</w:t>
      </w:r>
      <w:r w:rsidRPr="00F9522B">
        <w:rPr>
          <w:rFonts w:eastAsiaTheme="minorEastAsia"/>
          <w:sz w:val="24"/>
          <w:szCs w:val="22"/>
        </w:rPr>
        <w:t>下游迁移距离，</w:t>
      </w:r>
      <w:r w:rsidRPr="00F9522B">
        <w:rPr>
          <w:rFonts w:eastAsiaTheme="minorEastAsia"/>
          <w:sz w:val="24"/>
          <w:szCs w:val="22"/>
        </w:rPr>
        <w:t>m</w:t>
      </w:r>
    </w:p>
    <w:p w:rsidR="002A5A5E" w:rsidRPr="00F9522B" w:rsidRDefault="00611CBA" w:rsidP="00611CBA">
      <w:pPr>
        <w:spacing w:line="360" w:lineRule="auto"/>
        <w:ind w:firstLineChars="77" w:firstLine="185"/>
        <w:rPr>
          <w:rFonts w:eastAsiaTheme="minorEastAsia"/>
          <w:sz w:val="24"/>
          <w:szCs w:val="22"/>
        </w:rPr>
      </w:pPr>
      <w:r w:rsidRPr="00F9522B">
        <w:rPr>
          <w:rFonts w:eastAsiaTheme="minorEastAsia"/>
          <w:sz w:val="24"/>
          <w:szCs w:val="22"/>
        </w:rPr>
        <w:t xml:space="preserve">         a—</w:t>
      </w:r>
      <w:r w:rsidRPr="00F9522B">
        <w:rPr>
          <w:rFonts w:eastAsiaTheme="minorEastAsia"/>
          <w:sz w:val="24"/>
          <w:szCs w:val="22"/>
        </w:rPr>
        <w:t>变化系数，</w:t>
      </w:r>
      <w:r w:rsidRPr="00F9522B">
        <w:rPr>
          <w:rFonts w:eastAsiaTheme="minorEastAsia"/>
          <w:sz w:val="24"/>
          <w:szCs w:val="22"/>
        </w:rPr>
        <w:t>a≥1</w:t>
      </w:r>
      <w:r w:rsidRPr="00F9522B">
        <w:rPr>
          <w:rFonts w:eastAsiaTheme="minorEastAsia"/>
          <w:sz w:val="24"/>
          <w:szCs w:val="22"/>
        </w:rPr>
        <w:t>，一般取</w:t>
      </w:r>
      <w:r w:rsidRPr="00F9522B">
        <w:rPr>
          <w:rFonts w:eastAsiaTheme="minorEastAsia"/>
          <w:sz w:val="24"/>
          <w:szCs w:val="22"/>
        </w:rPr>
        <w:t>2</w:t>
      </w:r>
      <w:r w:rsidRPr="00F9522B">
        <w:rPr>
          <w:rFonts w:eastAsiaTheme="minorEastAsia"/>
          <w:sz w:val="24"/>
          <w:szCs w:val="22"/>
        </w:rPr>
        <w:t>，本项目取</w:t>
      </w:r>
      <w:r w:rsidRPr="00F9522B">
        <w:rPr>
          <w:rFonts w:eastAsiaTheme="minorEastAsia"/>
          <w:sz w:val="24"/>
          <w:szCs w:val="22"/>
        </w:rPr>
        <w:t>2</w:t>
      </w:r>
      <w:r w:rsidRPr="00F9522B">
        <w:rPr>
          <w:rFonts w:eastAsiaTheme="minorEastAsia"/>
          <w:sz w:val="24"/>
          <w:szCs w:val="22"/>
        </w:rPr>
        <w:t>；</w:t>
      </w:r>
    </w:p>
    <w:p w:rsidR="002A5A5E" w:rsidRPr="00F9522B" w:rsidRDefault="00611CBA" w:rsidP="00611CBA">
      <w:pPr>
        <w:spacing w:line="360" w:lineRule="auto"/>
        <w:ind w:firstLineChars="77" w:firstLine="185"/>
        <w:rPr>
          <w:rFonts w:eastAsiaTheme="minorEastAsia"/>
          <w:sz w:val="24"/>
          <w:szCs w:val="22"/>
        </w:rPr>
      </w:pPr>
      <w:r w:rsidRPr="00F9522B">
        <w:rPr>
          <w:rFonts w:eastAsiaTheme="minorEastAsia"/>
          <w:sz w:val="24"/>
          <w:szCs w:val="22"/>
        </w:rPr>
        <w:t xml:space="preserve">         K—</w:t>
      </w:r>
      <w:r w:rsidRPr="00F9522B">
        <w:rPr>
          <w:rFonts w:eastAsiaTheme="minorEastAsia"/>
          <w:sz w:val="24"/>
          <w:szCs w:val="22"/>
        </w:rPr>
        <w:t>渗透系数，</w:t>
      </w:r>
      <w:r w:rsidRPr="00F9522B">
        <w:rPr>
          <w:rFonts w:eastAsiaTheme="minorEastAsia"/>
          <w:sz w:val="24"/>
          <w:szCs w:val="22"/>
        </w:rPr>
        <w:t>m/d</w:t>
      </w:r>
      <w:r w:rsidRPr="00F9522B">
        <w:rPr>
          <w:rFonts w:eastAsiaTheme="minorEastAsia"/>
          <w:sz w:val="24"/>
          <w:szCs w:val="22"/>
        </w:rPr>
        <w:t>，数据来源</w:t>
      </w:r>
      <w:r w:rsidRPr="00F9522B">
        <w:rPr>
          <w:rFonts w:eastAsiaTheme="minorEastAsia"/>
          <w:sz w:val="24"/>
          <w:szCs w:val="22"/>
        </w:rPr>
        <w:t>“</w:t>
      </w:r>
      <w:r w:rsidRPr="00F9522B">
        <w:rPr>
          <w:rFonts w:eastAsiaTheme="minorEastAsia"/>
          <w:sz w:val="24"/>
          <w:szCs w:val="22"/>
        </w:rPr>
        <w:t>《</w:t>
      </w:r>
      <w:r w:rsidR="003A7922" w:rsidRPr="00F9522B">
        <w:rPr>
          <w:rFonts w:eastAsiaTheme="minorEastAsia"/>
          <w:sz w:val="24"/>
          <w:szCs w:val="22"/>
        </w:rPr>
        <w:t>呼兰区</w:t>
      </w:r>
      <w:r w:rsidR="003A7922" w:rsidRPr="00F9522B">
        <w:rPr>
          <w:rFonts w:eastAsiaTheme="minorEastAsia"/>
          <w:sz w:val="24"/>
          <w:szCs w:val="22"/>
        </w:rPr>
        <w:t>2026</w:t>
      </w:r>
      <w:r w:rsidR="003A7922" w:rsidRPr="00F9522B">
        <w:rPr>
          <w:rFonts w:eastAsiaTheme="minorEastAsia"/>
          <w:sz w:val="24"/>
          <w:szCs w:val="22"/>
        </w:rPr>
        <w:t>年高标准农田建设项目</w:t>
      </w:r>
      <w:r w:rsidR="002D28EB" w:rsidRPr="00F9522B">
        <w:rPr>
          <w:rFonts w:eastAsiaTheme="minorEastAsia"/>
          <w:sz w:val="24"/>
          <w:szCs w:val="22"/>
        </w:rPr>
        <w:t>水资源论证报告</w:t>
      </w:r>
      <w:r w:rsidR="00DD0748" w:rsidRPr="00F9522B">
        <w:rPr>
          <w:rFonts w:eastAsiaTheme="minorEastAsia"/>
          <w:sz w:val="24"/>
          <w:szCs w:val="22"/>
        </w:rPr>
        <w:t>书</w:t>
      </w:r>
      <w:r w:rsidRPr="00F9522B">
        <w:rPr>
          <w:rFonts w:eastAsiaTheme="minorEastAsia"/>
          <w:sz w:val="24"/>
          <w:szCs w:val="22"/>
        </w:rPr>
        <w:t>》</w:t>
      </w:r>
      <w:r w:rsidRPr="00F9522B">
        <w:rPr>
          <w:rFonts w:eastAsiaTheme="minorEastAsia"/>
          <w:sz w:val="24"/>
          <w:szCs w:val="22"/>
        </w:rPr>
        <w:t>”</w:t>
      </w:r>
      <w:r w:rsidRPr="00F9522B">
        <w:rPr>
          <w:rFonts w:eastAsiaTheme="minorEastAsia"/>
          <w:sz w:val="24"/>
        </w:rPr>
        <w:t>，渗透系数取</w:t>
      </w:r>
      <w:r w:rsidRPr="00F9522B">
        <w:rPr>
          <w:rFonts w:eastAsiaTheme="minorEastAsia"/>
          <w:sz w:val="24"/>
        </w:rPr>
        <w:t>25m/d</w:t>
      </w:r>
      <w:r w:rsidRPr="00F9522B">
        <w:rPr>
          <w:rFonts w:eastAsiaTheme="minorEastAsia"/>
          <w:sz w:val="24"/>
          <w:szCs w:val="22"/>
        </w:rPr>
        <w:t>；</w:t>
      </w:r>
    </w:p>
    <w:p w:rsidR="002A5A5E" w:rsidRPr="00F9522B" w:rsidRDefault="00611CBA" w:rsidP="00611CBA">
      <w:pPr>
        <w:spacing w:line="360" w:lineRule="auto"/>
        <w:ind w:firstLineChars="77" w:firstLine="185"/>
        <w:rPr>
          <w:rFonts w:eastAsiaTheme="minorEastAsia"/>
          <w:sz w:val="24"/>
          <w:szCs w:val="22"/>
        </w:rPr>
      </w:pPr>
      <w:r w:rsidRPr="00F9522B">
        <w:rPr>
          <w:rFonts w:eastAsiaTheme="minorEastAsia"/>
          <w:sz w:val="24"/>
          <w:szCs w:val="22"/>
        </w:rPr>
        <w:t xml:space="preserve">         I—</w:t>
      </w:r>
      <w:r w:rsidRPr="00F9522B">
        <w:rPr>
          <w:rFonts w:eastAsiaTheme="minorEastAsia"/>
          <w:sz w:val="24"/>
          <w:szCs w:val="22"/>
        </w:rPr>
        <w:t>水力坡度，无量纲，数据来源</w:t>
      </w:r>
      <w:r w:rsidRPr="00F9522B">
        <w:rPr>
          <w:rFonts w:eastAsiaTheme="minorEastAsia"/>
          <w:sz w:val="24"/>
          <w:szCs w:val="22"/>
        </w:rPr>
        <w:t>“</w:t>
      </w:r>
      <w:r w:rsidRPr="00F9522B">
        <w:rPr>
          <w:rFonts w:eastAsiaTheme="minorEastAsia"/>
          <w:sz w:val="24"/>
          <w:szCs w:val="22"/>
        </w:rPr>
        <w:t>《</w:t>
      </w:r>
      <w:r w:rsidR="003A7922" w:rsidRPr="00F9522B">
        <w:rPr>
          <w:rFonts w:eastAsiaTheme="minorEastAsia"/>
          <w:sz w:val="24"/>
          <w:szCs w:val="22"/>
        </w:rPr>
        <w:t>呼兰区</w:t>
      </w:r>
      <w:r w:rsidR="003A7922" w:rsidRPr="00F9522B">
        <w:rPr>
          <w:rFonts w:eastAsiaTheme="minorEastAsia"/>
          <w:sz w:val="24"/>
          <w:szCs w:val="22"/>
        </w:rPr>
        <w:t>2026</w:t>
      </w:r>
      <w:r w:rsidR="003A7922" w:rsidRPr="00F9522B">
        <w:rPr>
          <w:rFonts w:eastAsiaTheme="minorEastAsia"/>
          <w:sz w:val="24"/>
          <w:szCs w:val="22"/>
        </w:rPr>
        <w:t>年高标准农田建设项目</w:t>
      </w:r>
      <w:r w:rsidRPr="00F9522B">
        <w:rPr>
          <w:rFonts w:eastAsiaTheme="minorEastAsia"/>
          <w:sz w:val="24"/>
          <w:szCs w:val="22"/>
        </w:rPr>
        <w:t>水资源论证报告</w:t>
      </w:r>
      <w:r w:rsidR="00DD0748" w:rsidRPr="00F9522B">
        <w:rPr>
          <w:rFonts w:eastAsiaTheme="minorEastAsia"/>
          <w:sz w:val="24"/>
          <w:szCs w:val="22"/>
        </w:rPr>
        <w:t>书</w:t>
      </w:r>
      <w:r w:rsidRPr="00F9522B">
        <w:rPr>
          <w:rFonts w:eastAsiaTheme="minorEastAsia"/>
          <w:sz w:val="24"/>
          <w:szCs w:val="22"/>
        </w:rPr>
        <w:t>》</w:t>
      </w:r>
      <w:r w:rsidRPr="00F9522B">
        <w:rPr>
          <w:rFonts w:eastAsiaTheme="minorEastAsia"/>
          <w:sz w:val="24"/>
          <w:szCs w:val="22"/>
        </w:rPr>
        <w:t>”</w:t>
      </w:r>
      <w:r w:rsidRPr="00F9522B">
        <w:rPr>
          <w:rFonts w:eastAsiaTheme="minorEastAsia"/>
          <w:sz w:val="24"/>
        </w:rPr>
        <w:t>，</w:t>
      </w:r>
      <w:r w:rsidRPr="00F9522B">
        <w:rPr>
          <w:rFonts w:eastAsiaTheme="minorEastAsia"/>
          <w:sz w:val="24"/>
          <w:szCs w:val="22"/>
        </w:rPr>
        <w:t>本项目取</w:t>
      </w:r>
      <w:r w:rsidRPr="00F9522B">
        <w:rPr>
          <w:rFonts w:eastAsiaTheme="minorEastAsia"/>
          <w:sz w:val="24"/>
          <w:szCs w:val="22"/>
        </w:rPr>
        <w:t>2</w:t>
      </w:r>
      <w:r w:rsidRPr="00F9522B">
        <w:rPr>
          <w:rFonts w:eastAsiaTheme="minorEastAsia"/>
          <w:sz w:val="24"/>
          <w:lang w:val="en-GB"/>
        </w:rPr>
        <w:t>‰</w:t>
      </w:r>
      <w:r w:rsidRPr="00F9522B">
        <w:rPr>
          <w:rFonts w:eastAsiaTheme="minorEastAsia"/>
          <w:sz w:val="24"/>
          <w:lang w:val="en-GB"/>
        </w:rPr>
        <w:t>；</w:t>
      </w:r>
    </w:p>
    <w:p w:rsidR="002A5A5E" w:rsidRPr="00F9522B" w:rsidRDefault="00611CBA" w:rsidP="00611CBA">
      <w:pPr>
        <w:spacing w:line="360" w:lineRule="auto"/>
        <w:ind w:firstLineChars="77" w:firstLine="185"/>
        <w:rPr>
          <w:rFonts w:eastAsiaTheme="minorEastAsia"/>
          <w:sz w:val="24"/>
          <w:szCs w:val="22"/>
        </w:rPr>
      </w:pPr>
      <w:r w:rsidRPr="00F9522B">
        <w:rPr>
          <w:rFonts w:eastAsiaTheme="minorEastAsia"/>
          <w:sz w:val="24"/>
          <w:szCs w:val="22"/>
        </w:rPr>
        <w:t xml:space="preserve">         T—</w:t>
      </w:r>
      <w:r w:rsidRPr="00F9522B">
        <w:rPr>
          <w:rFonts w:eastAsiaTheme="minorEastAsia"/>
          <w:sz w:val="24"/>
          <w:szCs w:val="22"/>
        </w:rPr>
        <w:t>质点迁移天数，</w:t>
      </w:r>
      <w:r w:rsidRPr="00F9522B">
        <w:rPr>
          <w:rFonts w:eastAsiaTheme="minorEastAsia"/>
          <w:kern w:val="0"/>
          <w:sz w:val="24"/>
          <w:lang w:val="de-DE"/>
        </w:rPr>
        <w:t>15×365+1</w:t>
      </w:r>
      <w:r w:rsidRPr="00F9522B">
        <w:rPr>
          <w:rFonts w:eastAsiaTheme="minorEastAsia"/>
          <w:kern w:val="0"/>
          <w:sz w:val="24"/>
        </w:rPr>
        <w:t>0</w:t>
      </w:r>
      <w:r w:rsidRPr="00F9522B">
        <w:rPr>
          <w:rFonts w:eastAsiaTheme="minorEastAsia"/>
          <w:kern w:val="0"/>
          <w:sz w:val="24"/>
          <w:lang w:val="de-DE"/>
        </w:rPr>
        <w:t>00=6475</w:t>
      </w:r>
      <w:r w:rsidRPr="00F9522B">
        <w:rPr>
          <w:rFonts w:eastAsiaTheme="minorEastAsia"/>
          <w:sz w:val="24"/>
          <w:szCs w:val="22"/>
        </w:rPr>
        <w:t>d</w:t>
      </w:r>
      <w:r w:rsidRPr="00F9522B">
        <w:rPr>
          <w:rFonts w:eastAsiaTheme="minorEastAsia"/>
          <w:sz w:val="24"/>
          <w:szCs w:val="22"/>
        </w:rPr>
        <w:t>；</w:t>
      </w:r>
    </w:p>
    <w:p w:rsidR="002A5A5E" w:rsidRPr="00F9522B" w:rsidRDefault="00611CBA" w:rsidP="00611CBA">
      <w:pPr>
        <w:spacing w:line="360" w:lineRule="auto"/>
        <w:ind w:firstLineChars="77" w:firstLine="185"/>
        <w:contextualSpacing/>
        <w:rPr>
          <w:rFonts w:eastAsiaTheme="minorEastAsia"/>
          <w:sz w:val="24"/>
          <w:szCs w:val="22"/>
        </w:rPr>
      </w:pPr>
      <w:r w:rsidRPr="00F9522B">
        <w:rPr>
          <w:rFonts w:eastAsiaTheme="minorEastAsia"/>
          <w:sz w:val="24"/>
          <w:szCs w:val="22"/>
        </w:rPr>
        <w:t xml:space="preserve">         n</w:t>
      </w:r>
      <w:r w:rsidRPr="00F9522B">
        <w:rPr>
          <w:rFonts w:eastAsiaTheme="minorEastAsia"/>
          <w:sz w:val="24"/>
          <w:szCs w:val="22"/>
          <w:vertAlign w:val="subscript"/>
        </w:rPr>
        <w:t>e</w:t>
      </w:r>
      <w:r w:rsidRPr="00F9522B">
        <w:rPr>
          <w:rFonts w:eastAsiaTheme="minorEastAsia"/>
          <w:sz w:val="24"/>
          <w:szCs w:val="22"/>
        </w:rPr>
        <w:t>—</w:t>
      </w:r>
      <w:r w:rsidRPr="00F9522B">
        <w:rPr>
          <w:rFonts w:eastAsiaTheme="minorEastAsia"/>
          <w:sz w:val="24"/>
          <w:szCs w:val="22"/>
        </w:rPr>
        <w:t>有效孔隙度，无量纲，数据来源</w:t>
      </w:r>
      <w:r w:rsidRPr="00F9522B">
        <w:rPr>
          <w:rFonts w:eastAsiaTheme="minorEastAsia"/>
          <w:sz w:val="24"/>
          <w:szCs w:val="22"/>
        </w:rPr>
        <w:t>“</w:t>
      </w:r>
      <w:r w:rsidRPr="00F9522B">
        <w:rPr>
          <w:rFonts w:eastAsiaTheme="minorEastAsia"/>
          <w:sz w:val="24"/>
          <w:szCs w:val="22"/>
        </w:rPr>
        <w:t>《</w:t>
      </w:r>
      <w:r w:rsidR="003A7922" w:rsidRPr="00F9522B">
        <w:rPr>
          <w:rFonts w:eastAsiaTheme="minorEastAsia"/>
          <w:sz w:val="24"/>
          <w:szCs w:val="22"/>
        </w:rPr>
        <w:t>呼兰区</w:t>
      </w:r>
      <w:r w:rsidR="003A7922" w:rsidRPr="00F9522B">
        <w:rPr>
          <w:rFonts w:eastAsiaTheme="minorEastAsia"/>
          <w:sz w:val="24"/>
          <w:szCs w:val="22"/>
        </w:rPr>
        <w:t>2026</w:t>
      </w:r>
      <w:r w:rsidR="003A7922" w:rsidRPr="00F9522B">
        <w:rPr>
          <w:rFonts w:eastAsiaTheme="minorEastAsia"/>
          <w:sz w:val="24"/>
          <w:szCs w:val="22"/>
        </w:rPr>
        <w:t>年高标准农田建设项目</w:t>
      </w:r>
      <w:r w:rsidRPr="00F9522B">
        <w:rPr>
          <w:rFonts w:eastAsiaTheme="minorEastAsia"/>
          <w:sz w:val="24"/>
          <w:szCs w:val="22"/>
        </w:rPr>
        <w:t>水资源论证报告</w:t>
      </w:r>
      <w:r w:rsidR="00DD0748" w:rsidRPr="00F9522B">
        <w:rPr>
          <w:rFonts w:eastAsiaTheme="minorEastAsia"/>
          <w:sz w:val="24"/>
          <w:szCs w:val="22"/>
        </w:rPr>
        <w:t>书</w:t>
      </w:r>
      <w:r w:rsidRPr="00F9522B">
        <w:rPr>
          <w:rFonts w:eastAsiaTheme="minorEastAsia"/>
          <w:sz w:val="24"/>
          <w:szCs w:val="22"/>
        </w:rPr>
        <w:t>》</w:t>
      </w:r>
      <w:r w:rsidRPr="00F9522B">
        <w:rPr>
          <w:rFonts w:eastAsiaTheme="minorEastAsia"/>
          <w:sz w:val="24"/>
          <w:szCs w:val="22"/>
        </w:rPr>
        <w:t>”</w:t>
      </w:r>
      <w:r w:rsidRPr="00F9522B">
        <w:rPr>
          <w:rFonts w:eastAsiaTheme="minorEastAsia"/>
          <w:sz w:val="24"/>
        </w:rPr>
        <w:t>，</w:t>
      </w:r>
      <w:r w:rsidRPr="00F9522B">
        <w:rPr>
          <w:rFonts w:eastAsiaTheme="minorEastAsia"/>
          <w:sz w:val="24"/>
          <w:szCs w:val="22"/>
        </w:rPr>
        <w:t>本项目取</w:t>
      </w:r>
      <w:r w:rsidRPr="00F9522B">
        <w:rPr>
          <w:rFonts w:eastAsiaTheme="minorEastAsia"/>
          <w:sz w:val="24"/>
          <w:szCs w:val="22"/>
        </w:rPr>
        <w:t>0.2</w:t>
      </w:r>
      <w:r w:rsidRPr="00F9522B">
        <w:rPr>
          <w:rFonts w:eastAsiaTheme="minorEastAsia"/>
          <w:sz w:val="24"/>
          <w:szCs w:val="22"/>
        </w:rPr>
        <w:t>；</w:t>
      </w:r>
    </w:p>
    <w:p w:rsidR="002A5A5E" w:rsidRPr="00F9522B" w:rsidRDefault="00611CBA" w:rsidP="00611CBA">
      <w:pPr>
        <w:spacing w:line="360" w:lineRule="auto"/>
        <w:ind w:firstLineChars="77" w:firstLine="185"/>
        <w:contextualSpacing/>
        <w:rPr>
          <w:rFonts w:eastAsiaTheme="minorEastAsia"/>
          <w:sz w:val="24"/>
          <w:szCs w:val="22"/>
        </w:rPr>
      </w:pPr>
      <w:r w:rsidRPr="00F9522B">
        <w:rPr>
          <w:rFonts w:eastAsiaTheme="minorEastAsia"/>
          <w:sz w:val="24"/>
          <w:szCs w:val="22"/>
        </w:rPr>
        <w:t xml:space="preserve">      </w:t>
      </w:r>
      <w:r w:rsidRPr="00F9522B">
        <w:rPr>
          <w:rFonts w:eastAsiaTheme="minorEastAsia"/>
          <w:sz w:val="24"/>
          <w:szCs w:val="22"/>
        </w:rPr>
        <w:t>则：较敏感区范围</w:t>
      </w:r>
      <w:r w:rsidRPr="00F9522B">
        <w:rPr>
          <w:rFonts w:eastAsiaTheme="minorEastAsia"/>
          <w:sz w:val="24"/>
          <w:szCs w:val="22"/>
        </w:rPr>
        <w:t>L=2×25×2</w:t>
      </w:r>
      <w:r w:rsidRPr="00F9522B">
        <w:rPr>
          <w:rFonts w:eastAsiaTheme="minorEastAsia"/>
          <w:sz w:val="24"/>
          <w:lang w:val="en-GB"/>
        </w:rPr>
        <w:t>‰</w:t>
      </w:r>
      <w:r w:rsidRPr="00F9522B">
        <w:rPr>
          <w:rFonts w:eastAsiaTheme="minorEastAsia"/>
          <w:sz w:val="24"/>
          <w:szCs w:val="22"/>
        </w:rPr>
        <w:t>×6475/0.2=3238m</w:t>
      </w:r>
    </w:p>
    <w:p w:rsidR="002A5A5E" w:rsidRPr="00F9522B" w:rsidRDefault="00611CBA">
      <w:pPr>
        <w:spacing w:line="360" w:lineRule="auto"/>
        <w:ind w:firstLineChars="200" w:firstLine="480"/>
        <w:contextualSpacing/>
        <w:rPr>
          <w:rFonts w:eastAsiaTheme="minorEastAsia"/>
          <w:snapToGrid w:val="0"/>
          <w:kern w:val="0"/>
          <w:sz w:val="24"/>
          <w:szCs w:val="22"/>
        </w:rPr>
      </w:pPr>
      <w:r w:rsidRPr="00F9522B">
        <w:rPr>
          <w:rFonts w:eastAsiaTheme="minorEastAsia"/>
          <w:snapToGrid w:val="0"/>
          <w:kern w:val="0"/>
          <w:sz w:val="24"/>
          <w:szCs w:val="22"/>
        </w:rPr>
        <w:t>经计算，较敏感区为</w:t>
      </w:r>
      <w:r w:rsidRPr="00F9522B">
        <w:rPr>
          <w:rFonts w:eastAsiaTheme="minorEastAsia"/>
          <w:sz w:val="24"/>
        </w:rPr>
        <w:t>集中式</w:t>
      </w:r>
      <w:r w:rsidRPr="00F9522B">
        <w:rPr>
          <w:rFonts w:eastAsiaTheme="minorEastAsia"/>
          <w:snapToGrid w:val="0"/>
          <w:kern w:val="0"/>
          <w:sz w:val="24"/>
          <w:szCs w:val="22"/>
        </w:rPr>
        <w:t>饮用水井一级保护区外</w:t>
      </w:r>
      <w:r w:rsidRPr="00F9522B">
        <w:rPr>
          <w:rFonts w:eastAsiaTheme="minorEastAsia"/>
          <w:snapToGrid w:val="0"/>
          <w:kern w:val="0"/>
          <w:sz w:val="24"/>
          <w:szCs w:val="22"/>
        </w:rPr>
        <w:t>3238m</w:t>
      </w:r>
      <w:r w:rsidRPr="00F9522B">
        <w:rPr>
          <w:rFonts w:eastAsiaTheme="minorEastAsia"/>
          <w:snapToGrid w:val="0"/>
          <w:kern w:val="0"/>
          <w:sz w:val="24"/>
          <w:szCs w:val="22"/>
        </w:rPr>
        <w:t>范围，根据表</w:t>
      </w:r>
      <w:r w:rsidRPr="00F9522B">
        <w:rPr>
          <w:rFonts w:eastAsiaTheme="minorEastAsia"/>
          <w:snapToGrid w:val="0"/>
          <w:kern w:val="0"/>
          <w:sz w:val="24"/>
          <w:szCs w:val="22"/>
        </w:rPr>
        <w:t>2-6-5</w:t>
      </w:r>
      <w:r w:rsidRPr="00F9522B">
        <w:rPr>
          <w:rFonts w:eastAsiaTheme="minorEastAsia"/>
          <w:snapToGrid w:val="0"/>
          <w:kern w:val="0"/>
          <w:sz w:val="24"/>
          <w:szCs w:val="22"/>
        </w:rPr>
        <w:t>，</w:t>
      </w:r>
      <w:r w:rsidR="007A1F1B" w:rsidRPr="00F9522B">
        <w:rPr>
          <w:rFonts w:eastAsiaTheme="minorEastAsia"/>
          <w:sz w:val="24"/>
        </w:rPr>
        <w:t>沈家街道</w:t>
      </w:r>
      <w:r w:rsidRPr="00F9522B">
        <w:rPr>
          <w:rFonts w:eastAsiaTheme="minorEastAsia"/>
          <w:sz w:val="24"/>
        </w:rPr>
        <w:t>供水工程</w:t>
      </w:r>
      <w:r w:rsidRPr="00F9522B">
        <w:rPr>
          <w:rFonts w:eastAsiaTheme="minorEastAsia"/>
          <w:sz w:val="24"/>
        </w:rPr>
        <w:t>1#</w:t>
      </w:r>
      <w:r w:rsidRPr="00F9522B">
        <w:rPr>
          <w:rFonts w:eastAsiaTheme="minorEastAsia"/>
          <w:sz w:val="24"/>
        </w:rPr>
        <w:t>、</w:t>
      </w:r>
      <w:r w:rsidRPr="00F9522B">
        <w:rPr>
          <w:rFonts w:eastAsiaTheme="minorEastAsia"/>
          <w:sz w:val="24"/>
        </w:rPr>
        <w:t>2#</w:t>
      </w:r>
      <w:r w:rsidRPr="00F9522B">
        <w:rPr>
          <w:rFonts w:eastAsiaTheme="minorEastAsia"/>
          <w:sz w:val="24"/>
        </w:rPr>
        <w:t>集中式饮用水井</w:t>
      </w:r>
      <w:r w:rsidR="007A1F1B" w:rsidRPr="00F9522B">
        <w:rPr>
          <w:rFonts w:eastAsiaTheme="minorEastAsia"/>
          <w:sz w:val="24"/>
        </w:rPr>
        <w:t>、二八镇长山村供水工程、方台镇东沈村供水工程</w:t>
      </w:r>
      <w:r w:rsidRPr="00F9522B">
        <w:rPr>
          <w:rFonts w:eastAsiaTheme="minorEastAsia"/>
          <w:sz w:val="24"/>
        </w:rPr>
        <w:t>与本项目</w:t>
      </w:r>
      <w:r w:rsidR="007A1F1B" w:rsidRPr="00F9522B">
        <w:rPr>
          <w:rFonts w:eastAsiaTheme="minorEastAsia"/>
          <w:snapToGrid w:val="0"/>
          <w:kern w:val="0"/>
          <w:sz w:val="24"/>
          <w:szCs w:val="22"/>
        </w:rPr>
        <w:t>榆林</w:t>
      </w:r>
      <w:r w:rsidRPr="00F9522B">
        <w:rPr>
          <w:rFonts w:eastAsiaTheme="minorEastAsia"/>
          <w:snapToGrid w:val="0"/>
          <w:kern w:val="0"/>
          <w:sz w:val="24"/>
          <w:szCs w:val="22"/>
        </w:rPr>
        <w:t>2#</w:t>
      </w:r>
      <w:r w:rsidRPr="00F9522B">
        <w:rPr>
          <w:rFonts w:eastAsiaTheme="minorEastAsia"/>
          <w:snapToGrid w:val="0"/>
          <w:kern w:val="0"/>
          <w:sz w:val="24"/>
          <w:szCs w:val="22"/>
        </w:rPr>
        <w:t>灌溉井</w:t>
      </w:r>
      <w:r w:rsidR="007A1F1B" w:rsidRPr="00F9522B">
        <w:rPr>
          <w:rFonts w:eastAsiaTheme="minorEastAsia"/>
          <w:snapToGrid w:val="0"/>
          <w:kern w:val="0"/>
          <w:sz w:val="24"/>
          <w:szCs w:val="22"/>
        </w:rPr>
        <w:t>、傅井</w:t>
      </w:r>
      <w:r w:rsidR="007A1F1B" w:rsidRPr="00F9522B">
        <w:rPr>
          <w:rFonts w:eastAsiaTheme="minorEastAsia"/>
          <w:snapToGrid w:val="0"/>
          <w:kern w:val="0"/>
          <w:sz w:val="24"/>
          <w:szCs w:val="22"/>
        </w:rPr>
        <w:t>2#</w:t>
      </w:r>
      <w:r w:rsidR="007A1F1B" w:rsidRPr="00F9522B">
        <w:rPr>
          <w:rFonts w:eastAsiaTheme="minorEastAsia"/>
          <w:snapToGrid w:val="0"/>
          <w:kern w:val="0"/>
          <w:sz w:val="24"/>
          <w:szCs w:val="22"/>
        </w:rPr>
        <w:t>灌溉井、永胜</w:t>
      </w:r>
      <w:r w:rsidR="007A1F1B" w:rsidRPr="00F9522B">
        <w:rPr>
          <w:rFonts w:eastAsiaTheme="minorEastAsia"/>
          <w:snapToGrid w:val="0"/>
          <w:kern w:val="0"/>
          <w:sz w:val="24"/>
          <w:szCs w:val="22"/>
        </w:rPr>
        <w:t>1#</w:t>
      </w:r>
      <w:r w:rsidR="007A1F1B" w:rsidRPr="00F9522B">
        <w:rPr>
          <w:rFonts w:eastAsiaTheme="minorEastAsia"/>
          <w:snapToGrid w:val="0"/>
          <w:kern w:val="0"/>
          <w:sz w:val="24"/>
          <w:szCs w:val="22"/>
        </w:rPr>
        <w:t>灌溉井</w:t>
      </w:r>
      <w:r w:rsidRPr="00F9522B">
        <w:rPr>
          <w:rFonts w:eastAsiaTheme="minorEastAsia"/>
          <w:snapToGrid w:val="0"/>
          <w:kern w:val="0"/>
          <w:sz w:val="24"/>
          <w:szCs w:val="22"/>
        </w:rPr>
        <w:t>工程</w:t>
      </w:r>
      <w:r w:rsidRPr="00F9522B">
        <w:rPr>
          <w:rFonts w:eastAsiaTheme="minorEastAsia"/>
          <w:sz w:val="24"/>
        </w:rPr>
        <w:t>距离小</w:t>
      </w:r>
      <w:r w:rsidRPr="00F9522B">
        <w:rPr>
          <w:rFonts w:eastAsiaTheme="minorEastAsia"/>
          <w:snapToGrid w:val="0"/>
          <w:kern w:val="0"/>
          <w:sz w:val="24"/>
          <w:szCs w:val="22"/>
        </w:rPr>
        <w:t>于</w:t>
      </w:r>
      <w:r w:rsidRPr="00F9522B">
        <w:rPr>
          <w:rFonts w:eastAsiaTheme="minorEastAsia"/>
          <w:snapToGrid w:val="0"/>
          <w:kern w:val="0"/>
          <w:sz w:val="24"/>
          <w:szCs w:val="22"/>
        </w:rPr>
        <w:t>3238m</w:t>
      </w:r>
      <w:r w:rsidRPr="00F9522B">
        <w:rPr>
          <w:rFonts w:eastAsiaTheme="minorEastAsia"/>
          <w:snapToGrid w:val="0"/>
          <w:kern w:val="0"/>
          <w:sz w:val="24"/>
          <w:szCs w:val="22"/>
        </w:rPr>
        <w:t>，</w:t>
      </w:r>
      <w:r w:rsidRPr="00F9522B">
        <w:rPr>
          <w:rFonts w:eastAsiaTheme="minorEastAsia"/>
          <w:sz w:val="24"/>
        </w:rPr>
        <w:t>属于在未划定准保护区的集中式饮用水水源，其保护区以外的补给径流区，</w:t>
      </w:r>
      <w:r w:rsidRPr="00F9522B">
        <w:rPr>
          <w:rFonts w:eastAsiaTheme="minorEastAsia"/>
          <w:snapToGrid w:val="0"/>
          <w:kern w:val="0"/>
          <w:sz w:val="24"/>
          <w:szCs w:val="22"/>
        </w:rPr>
        <w:t>以此为判定依据评价区域为较敏感。</w:t>
      </w:r>
    </w:p>
    <w:p w:rsidR="002A5A5E" w:rsidRPr="00F9522B" w:rsidRDefault="00611CBA" w:rsidP="00611CBA">
      <w:pPr>
        <w:spacing w:line="360" w:lineRule="auto"/>
        <w:ind w:firstLineChars="177" w:firstLine="425"/>
        <w:rPr>
          <w:rFonts w:eastAsiaTheme="minorEastAsia"/>
          <w:sz w:val="24"/>
        </w:rPr>
      </w:pPr>
      <w:r w:rsidRPr="00F9522B">
        <w:rPr>
          <w:rFonts w:eastAsiaTheme="minorEastAsia"/>
          <w:sz w:val="24"/>
        </w:rPr>
        <w:t>根据《环境影响评价技术导则</w:t>
      </w:r>
      <w:r w:rsidR="007A1F1B" w:rsidRPr="00F9522B">
        <w:rPr>
          <w:rFonts w:eastAsiaTheme="minorEastAsia"/>
          <w:sz w:val="24"/>
        </w:rPr>
        <w:t xml:space="preserve"> </w:t>
      </w:r>
      <w:r w:rsidRPr="00F9522B">
        <w:rPr>
          <w:rFonts w:eastAsiaTheme="minorEastAsia"/>
          <w:sz w:val="24"/>
        </w:rPr>
        <w:t>地下水环境》（</w:t>
      </w:r>
      <w:r w:rsidRPr="00F9522B">
        <w:rPr>
          <w:rFonts w:eastAsiaTheme="minorEastAsia"/>
          <w:sz w:val="24"/>
        </w:rPr>
        <w:t>HJ610-2016</w:t>
      </w:r>
      <w:r w:rsidRPr="00F9522B">
        <w:rPr>
          <w:rFonts w:eastAsiaTheme="minorEastAsia"/>
          <w:sz w:val="24"/>
        </w:rPr>
        <w:t>），建设项目地下水环境影响评价工作等级划分见表</w:t>
      </w:r>
      <w:r w:rsidRPr="00F9522B">
        <w:rPr>
          <w:rFonts w:eastAsiaTheme="minorEastAsia"/>
          <w:sz w:val="24"/>
        </w:rPr>
        <w:t>2-6-5</w:t>
      </w:r>
      <w:r w:rsidRPr="00F9522B">
        <w:rPr>
          <w:rFonts w:eastAsiaTheme="minorEastAsia"/>
          <w:sz w:val="24"/>
        </w:rPr>
        <w:t>。</w:t>
      </w:r>
    </w:p>
    <w:p w:rsidR="00C50480" w:rsidRPr="00F9522B" w:rsidRDefault="00C50480">
      <w:pPr>
        <w:adjustRightInd w:val="0"/>
        <w:snapToGrid w:val="0"/>
        <w:ind w:firstLineChars="200" w:firstLine="422"/>
        <w:jc w:val="center"/>
        <w:rPr>
          <w:rFonts w:eastAsiaTheme="minorEastAsia"/>
          <w:b/>
          <w:bCs/>
          <w:kern w:val="0"/>
          <w:szCs w:val="21"/>
        </w:rPr>
      </w:pPr>
    </w:p>
    <w:p w:rsidR="00C50480" w:rsidRPr="00F9522B" w:rsidRDefault="00C50480">
      <w:pPr>
        <w:adjustRightInd w:val="0"/>
        <w:snapToGrid w:val="0"/>
        <w:ind w:firstLineChars="200" w:firstLine="422"/>
        <w:jc w:val="center"/>
        <w:rPr>
          <w:rFonts w:eastAsiaTheme="minorEastAsia"/>
          <w:b/>
          <w:bCs/>
          <w:kern w:val="0"/>
          <w:szCs w:val="21"/>
        </w:rPr>
      </w:pPr>
    </w:p>
    <w:p w:rsidR="002A5A5E" w:rsidRPr="00F9522B" w:rsidRDefault="00611CBA">
      <w:pPr>
        <w:adjustRightInd w:val="0"/>
        <w:snapToGrid w:val="0"/>
        <w:ind w:firstLineChars="200" w:firstLine="422"/>
        <w:jc w:val="center"/>
        <w:rPr>
          <w:rFonts w:eastAsiaTheme="minorEastAsia"/>
          <w:b/>
          <w:bCs/>
          <w:kern w:val="0"/>
          <w:szCs w:val="21"/>
        </w:rPr>
      </w:pPr>
      <w:r w:rsidRPr="00F9522B">
        <w:rPr>
          <w:rFonts w:eastAsiaTheme="minorEastAsia"/>
          <w:b/>
          <w:bCs/>
          <w:kern w:val="0"/>
          <w:szCs w:val="21"/>
        </w:rPr>
        <w:lastRenderedPageBreak/>
        <w:t>表</w:t>
      </w:r>
      <w:r w:rsidRPr="00F9522B">
        <w:rPr>
          <w:rFonts w:eastAsiaTheme="minorEastAsia"/>
          <w:b/>
          <w:bCs/>
          <w:kern w:val="0"/>
          <w:szCs w:val="21"/>
        </w:rPr>
        <w:t>2-6-5</w:t>
      </w:r>
      <w:r w:rsidRPr="00F9522B">
        <w:rPr>
          <w:rFonts w:eastAsiaTheme="minorEastAsia"/>
          <w:b/>
          <w:bCs/>
          <w:kern w:val="0"/>
          <w:szCs w:val="21"/>
        </w:rPr>
        <w:t>地下水环境影响评价工作等级表</w:t>
      </w:r>
    </w:p>
    <w:tbl>
      <w:tblPr>
        <w:tblW w:w="0" w:type="auto"/>
        <w:jc w:val="center"/>
        <w:tblBorders>
          <w:top w:val="single" w:sz="4" w:space="0" w:color="000000"/>
          <w:bottom w:val="single" w:sz="4" w:space="0" w:color="000000"/>
          <w:insideH w:val="single" w:sz="4" w:space="0" w:color="000000"/>
          <w:insideV w:val="single" w:sz="4" w:space="0" w:color="000000"/>
        </w:tblBorders>
        <w:tblLook w:val="04A0"/>
      </w:tblPr>
      <w:tblGrid>
        <w:gridCol w:w="2799"/>
        <w:gridCol w:w="1622"/>
        <w:gridCol w:w="1682"/>
        <w:gridCol w:w="2419"/>
      </w:tblGrid>
      <w:tr w:rsidR="002A5A5E" w:rsidRPr="00F9522B">
        <w:trPr>
          <w:trHeight w:val="732"/>
          <w:jc w:val="center"/>
        </w:trPr>
        <w:tc>
          <w:tcPr>
            <w:tcW w:w="2830" w:type="dxa"/>
            <w:tcBorders>
              <w:top w:val="single" w:sz="12" w:space="0" w:color="000000"/>
              <w:left w:val="nil"/>
              <w:bottom w:val="single" w:sz="4" w:space="0" w:color="000000"/>
              <w:right w:val="single" w:sz="4" w:space="0" w:color="000000"/>
            </w:tcBorders>
            <w:vAlign w:val="center"/>
          </w:tcPr>
          <w:p w:rsidR="002A5A5E" w:rsidRPr="00F9522B" w:rsidRDefault="005273A1">
            <w:pPr>
              <w:jc w:val="center"/>
              <w:rPr>
                <w:rFonts w:eastAsiaTheme="minorEastAsia"/>
                <w:kern w:val="0"/>
                <w:szCs w:val="21"/>
              </w:rPr>
            </w:pPr>
            <w:r>
              <w:rPr>
                <w:rFonts w:eastAsiaTheme="minorEastAsia"/>
                <w:kern w:val="0"/>
                <w:szCs w:val="21"/>
              </w:rPr>
              <w:pict>
                <v:shapetype id="_x0000_t32" coordsize="21600,21600" o:spt="32" o:oned="t" path="m,l21600,21600e" filled="f">
                  <v:path arrowok="t" fillok="f" o:connecttype="none"/>
                  <o:lock v:ext="edit" shapetype="t"/>
                </v:shapetype>
                <v:shape id="_x0000_s1485" type="#_x0000_t32" style="position:absolute;left:0;text-align:left;margin-left:-4.25pt;margin-top:-.6pt;width:129.35pt;height:34.5pt;z-index:251659264" o:connectortype="straight"/>
              </w:pict>
            </w:r>
            <w:r w:rsidR="00611CBA" w:rsidRPr="00F9522B">
              <w:rPr>
                <w:rFonts w:eastAsiaTheme="minorEastAsia"/>
                <w:kern w:val="0"/>
                <w:szCs w:val="21"/>
              </w:rPr>
              <w:t xml:space="preserve">          </w:t>
            </w:r>
            <w:r w:rsidR="00611CBA" w:rsidRPr="00F9522B">
              <w:rPr>
                <w:rFonts w:eastAsiaTheme="minorEastAsia"/>
                <w:kern w:val="0"/>
                <w:szCs w:val="21"/>
              </w:rPr>
              <w:t>项目类别</w:t>
            </w:r>
          </w:p>
          <w:p w:rsidR="002A5A5E" w:rsidRPr="00F9522B" w:rsidRDefault="00611CBA">
            <w:pPr>
              <w:rPr>
                <w:rFonts w:eastAsiaTheme="minorEastAsia"/>
                <w:szCs w:val="21"/>
              </w:rPr>
            </w:pPr>
            <w:r w:rsidRPr="00F9522B">
              <w:rPr>
                <w:rFonts w:eastAsiaTheme="minorEastAsia"/>
                <w:kern w:val="0"/>
                <w:szCs w:val="21"/>
              </w:rPr>
              <w:t>环境敏感程度</w:t>
            </w:r>
          </w:p>
        </w:tc>
        <w:tc>
          <w:tcPr>
            <w:tcW w:w="1638" w:type="dxa"/>
            <w:tcBorders>
              <w:top w:val="single" w:sz="12" w:space="0" w:color="000000"/>
              <w:left w:val="single" w:sz="4" w:space="0" w:color="000000"/>
              <w:bottom w:val="single" w:sz="4" w:space="0" w:color="000000"/>
              <w:right w:val="single" w:sz="4" w:space="0" w:color="000000"/>
            </w:tcBorders>
            <w:vAlign w:val="center"/>
          </w:tcPr>
          <w:p w:rsidR="002A5A5E" w:rsidRPr="00F9522B" w:rsidRDefault="00611CBA">
            <w:pPr>
              <w:jc w:val="center"/>
              <w:rPr>
                <w:rFonts w:eastAsiaTheme="minorEastAsia"/>
                <w:szCs w:val="21"/>
              </w:rPr>
            </w:pPr>
            <w:r w:rsidRPr="00F9522B">
              <w:rPr>
                <w:rFonts w:eastAsiaTheme="minorEastAsia"/>
                <w:kern w:val="0"/>
                <w:szCs w:val="21"/>
              </w:rPr>
              <w:t>Ⅰ</w:t>
            </w:r>
            <w:r w:rsidRPr="00F9522B">
              <w:rPr>
                <w:rFonts w:eastAsiaTheme="minorEastAsia"/>
                <w:kern w:val="0"/>
                <w:szCs w:val="21"/>
              </w:rPr>
              <w:t>类项目</w:t>
            </w:r>
          </w:p>
        </w:tc>
        <w:tc>
          <w:tcPr>
            <w:tcW w:w="1699" w:type="dxa"/>
            <w:tcBorders>
              <w:top w:val="single" w:sz="12" w:space="0" w:color="000000"/>
              <w:left w:val="single" w:sz="4" w:space="0" w:color="000000"/>
              <w:bottom w:val="single" w:sz="4" w:space="0" w:color="000000"/>
              <w:right w:val="single" w:sz="4" w:space="0" w:color="000000"/>
            </w:tcBorders>
            <w:vAlign w:val="center"/>
          </w:tcPr>
          <w:p w:rsidR="002A5A5E" w:rsidRPr="00F9522B" w:rsidRDefault="00611CBA">
            <w:pPr>
              <w:jc w:val="center"/>
              <w:rPr>
                <w:rFonts w:eastAsiaTheme="minorEastAsia"/>
                <w:szCs w:val="21"/>
              </w:rPr>
            </w:pPr>
            <w:r w:rsidRPr="00F9522B">
              <w:rPr>
                <w:rFonts w:eastAsiaTheme="minorEastAsia"/>
                <w:kern w:val="0"/>
                <w:szCs w:val="21"/>
              </w:rPr>
              <w:t>Ⅱ</w:t>
            </w:r>
            <w:r w:rsidRPr="00F9522B">
              <w:rPr>
                <w:rFonts w:eastAsiaTheme="minorEastAsia"/>
                <w:kern w:val="0"/>
                <w:szCs w:val="21"/>
              </w:rPr>
              <w:t>类项目</w:t>
            </w:r>
          </w:p>
        </w:tc>
        <w:tc>
          <w:tcPr>
            <w:tcW w:w="2445" w:type="dxa"/>
            <w:tcBorders>
              <w:top w:val="single" w:sz="12" w:space="0" w:color="000000"/>
              <w:left w:val="single" w:sz="4" w:space="0" w:color="000000"/>
              <w:bottom w:val="single" w:sz="4" w:space="0" w:color="000000"/>
              <w:right w:val="nil"/>
            </w:tcBorders>
            <w:vAlign w:val="center"/>
          </w:tcPr>
          <w:p w:rsidR="002A5A5E" w:rsidRPr="00F9522B" w:rsidRDefault="00611CBA">
            <w:pPr>
              <w:jc w:val="center"/>
              <w:rPr>
                <w:rFonts w:eastAsiaTheme="minorEastAsia"/>
                <w:b/>
                <w:szCs w:val="21"/>
              </w:rPr>
            </w:pPr>
            <w:r w:rsidRPr="00F9522B">
              <w:rPr>
                <w:rFonts w:eastAsiaTheme="minorEastAsia"/>
                <w:b/>
                <w:kern w:val="0"/>
                <w:szCs w:val="21"/>
              </w:rPr>
              <w:t>Ⅲ</w:t>
            </w:r>
            <w:r w:rsidRPr="00F9522B">
              <w:rPr>
                <w:rFonts w:eastAsiaTheme="minorEastAsia"/>
                <w:b/>
                <w:kern w:val="0"/>
                <w:szCs w:val="21"/>
              </w:rPr>
              <w:t>类项目</w:t>
            </w:r>
          </w:p>
        </w:tc>
      </w:tr>
      <w:tr w:rsidR="002A5A5E" w:rsidRPr="00F9522B">
        <w:trPr>
          <w:trHeight w:val="276"/>
          <w:jc w:val="center"/>
        </w:trPr>
        <w:tc>
          <w:tcPr>
            <w:tcW w:w="2830" w:type="dxa"/>
            <w:tcBorders>
              <w:top w:val="single" w:sz="4" w:space="0" w:color="000000"/>
              <w:left w:val="nil"/>
              <w:bottom w:val="single" w:sz="4" w:space="0" w:color="000000"/>
              <w:right w:val="single" w:sz="4" w:space="0" w:color="000000"/>
            </w:tcBorders>
            <w:vAlign w:val="center"/>
          </w:tcPr>
          <w:p w:rsidR="002A5A5E" w:rsidRPr="00F9522B" w:rsidRDefault="00611CBA">
            <w:pPr>
              <w:jc w:val="center"/>
              <w:rPr>
                <w:rFonts w:eastAsiaTheme="minorEastAsia"/>
                <w:szCs w:val="21"/>
              </w:rPr>
            </w:pPr>
            <w:r w:rsidRPr="00F9522B">
              <w:rPr>
                <w:rFonts w:eastAsiaTheme="minorEastAsia"/>
                <w:kern w:val="0"/>
                <w:szCs w:val="21"/>
              </w:rPr>
              <w:t>敏感</w:t>
            </w:r>
          </w:p>
        </w:tc>
        <w:tc>
          <w:tcPr>
            <w:tcW w:w="1638" w:type="dxa"/>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jc w:val="center"/>
              <w:rPr>
                <w:rFonts w:eastAsiaTheme="minorEastAsia"/>
                <w:szCs w:val="21"/>
              </w:rPr>
            </w:pPr>
            <w:r w:rsidRPr="00F9522B">
              <w:rPr>
                <w:rFonts w:eastAsiaTheme="minorEastAsia"/>
                <w:kern w:val="0"/>
                <w:szCs w:val="21"/>
              </w:rPr>
              <w:t>一</w:t>
            </w:r>
          </w:p>
        </w:tc>
        <w:tc>
          <w:tcPr>
            <w:tcW w:w="1699" w:type="dxa"/>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jc w:val="center"/>
              <w:rPr>
                <w:rFonts w:eastAsiaTheme="minorEastAsia"/>
                <w:szCs w:val="21"/>
              </w:rPr>
            </w:pPr>
            <w:r w:rsidRPr="00F9522B">
              <w:rPr>
                <w:rFonts w:eastAsiaTheme="minorEastAsia"/>
                <w:kern w:val="0"/>
                <w:szCs w:val="21"/>
              </w:rPr>
              <w:t>一</w:t>
            </w:r>
          </w:p>
        </w:tc>
        <w:tc>
          <w:tcPr>
            <w:tcW w:w="2445" w:type="dxa"/>
            <w:tcBorders>
              <w:top w:val="single" w:sz="4" w:space="0" w:color="000000"/>
              <w:left w:val="single" w:sz="4" w:space="0" w:color="000000"/>
              <w:bottom w:val="single" w:sz="4" w:space="0" w:color="000000"/>
              <w:right w:val="nil"/>
            </w:tcBorders>
            <w:vAlign w:val="center"/>
          </w:tcPr>
          <w:p w:rsidR="002A5A5E" w:rsidRPr="00F9522B" w:rsidRDefault="00611CBA">
            <w:pPr>
              <w:jc w:val="center"/>
              <w:rPr>
                <w:rFonts w:eastAsiaTheme="minorEastAsia"/>
                <w:szCs w:val="21"/>
              </w:rPr>
            </w:pPr>
            <w:r w:rsidRPr="00F9522B">
              <w:rPr>
                <w:rFonts w:eastAsiaTheme="minorEastAsia"/>
                <w:kern w:val="0"/>
                <w:szCs w:val="21"/>
              </w:rPr>
              <w:t>二</w:t>
            </w:r>
          </w:p>
        </w:tc>
      </w:tr>
      <w:tr w:rsidR="002A5A5E" w:rsidRPr="00F9522B">
        <w:trPr>
          <w:trHeight w:val="276"/>
          <w:jc w:val="center"/>
        </w:trPr>
        <w:tc>
          <w:tcPr>
            <w:tcW w:w="2830" w:type="dxa"/>
            <w:tcBorders>
              <w:top w:val="single" w:sz="4" w:space="0" w:color="000000"/>
              <w:left w:val="nil"/>
              <w:bottom w:val="single" w:sz="4" w:space="0" w:color="000000"/>
              <w:right w:val="single" w:sz="4" w:space="0" w:color="000000"/>
            </w:tcBorders>
            <w:vAlign w:val="center"/>
          </w:tcPr>
          <w:p w:rsidR="002A5A5E" w:rsidRPr="00F9522B" w:rsidRDefault="00611CBA">
            <w:pPr>
              <w:jc w:val="center"/>
              <w:rPr>
                <w:rFonts w:eastAsiaTheme="minorEastAsia"/>
                <w:b/>
                <w:szCs w:val="21"/>
              </w:rPr>
            </w:pPr>
            <w:r w:rsidRPr="00F9522B">
              <w:rPr>
                <w:rFonts w:eastAsiaTheme="minorEastAsia"/>
                <w:b/>
                <w:kern w:val="0"/>
                <w:szCs w:val="21"/>
              </w:rPr>
              <w:t>较敏感</w:t>
            </w:r>
          </w:p>
        </w:tc>
        <w:tc>
          <w:tcPr>
            <w:tcW w:w="1638" w:type="dxa"/>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jc w:val="center"/>
              <w:rPr>
                <w:rFonts w:eastAsiaTheme="minorEastAsia"/>
                <w:szCs w:val="21"/>
              </w:rPr>
            </w:pPr>
            <w:r w:rsidRPr="00F9522B">
              <w:rPr>
                <w:rFonts w:eastAsiaTheme="minorEastAsia"/>
                <w:kern w:val="0"/>
                <w:szCs w:val="21"/>
              </w:rPr>
              <w:t>一</w:t>
            </w:r>
          </w:p>
        </w:tc>
        <w:tc>
          <w:tcPr>
            <w:tcW w:w="1699" w:type="dxa"/>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jc w:val="center"/>
              <w:rPr>
                <w:rFonts w:eastAsiaTheme="minorEastAsia"/>
                <w:szCs w:val="21"/>
              </w:rPr>
            </w:pPr>
            <w:r w:rsidRPr="00F9522B">
              <w:rPr>
                <w:rFonts w:eastAsiaTheme="minorEastAsia"/>
                <w:kern w:val="0"/>
                <w:szCs w:val="21"/>
              </w:rPr>
              <w:t>二</w:t>
            </w:r>
          </w:p>
        </w:tc>
        <w:tc>
          <w:tcPr>
            <w:tcW w:w="2445" w:type="dxa"/>
            <w:tcBorders>
              <w:top w:val="single" w:sz="4" w:space="0" w:color="000000"/>
              <w:left w:val="single" w:sz="4" w:space="0" w:color="000000"/>
              <w:bottom w:val="single" w:sz="4" w:space="0" w:color="000000"/>
              <w:right w:val="nil"/>
            </w:tcBorders>
            <w:vAlign w:val="center"/>
          </w:tcPr>
          <w:p w:rsidR="002A5A5E" w:rsidRPr="00F9522B" w:rsidRDefault="00611CBA">
            <w:pPr>
              <w:jc w:val="center"/>
              <w:rPr>
                <w:rFonts w:eastAsiaTheme="minorEastAsia"/>
                <w:b/>
                <w:szCs w:val="21"/>
              </w:rPr>
            </w:pPr>
            <w:r w:rsidRPr="00F9522B">
              <w:rPr>
                <w:rFonts w:eastAsiaTheme="minorEastAsia"/>
                <w:b/>
                <w:kern w:val="0"/>
                <w:szCs w:val="21"/>
              </w:rPr>
              <w:t>三</w:t>
            </w:r>
          </w:p>
        </w:tc>
      </w:tr>
      <w:tr w:rsidR="002A5A5E" w:rsidRPr="00F9522B">
        <w:trPr>
          <w:trHeight w:val="276"/>
          <w:jc w:val="center"/>
        </w:trPr>
        <w:tc>
          <w:tcPr>
            <w:tcW w:w="2830" w:type="dxa"/>
            <w:tcBorders>
              <w:top w:val="single" w:sz="4" w:space="0" w:color="000000"/>
              <w:left w:val="nil"/>
              <w:bottom w:val="single" w:sz="12" w:space="0" w:color="000000"/>
              <w:right w:val="single" w:sz="4" w:space="0" w:color="000000"/>
            </w:tcBorders>
            <w:vAlign w:val="center"/>
          </w:tcPr>
          <w:p w:rsidR="002A5A5E" w:rsidRPr="00F9522B" w:rsidRDefault="00611CBA">
            <w:pPr>
              <w:jc w:val="center"/>
              <w:rPr>
                <w:rFonts w:eastAsiaTheme="minorEastAsia"/>
                <w:szCs w:val="21"/>
              </w:rPr>
            </w:pPr>
            <w:r w:rsidRPr="00F9522B">
              <w:rPr>
                <w:rFonts w:eastAsiaTheme="minorEastAsia"/>
                <w:kern w:val="0"/>
                <w:szCs w:val="21"/>
              </w:rPr>
              <w:t>不敏感</w:t>
            </w:r>
          </w:p>
        </w:tc>
        <w:tc>
          <w:tcPr>
            <w:tcW w:w="1638" w:type="dxa"/>
            <w:tcBorders>
              <w:top w:val="single" w:sz="4" w:space="0" w:color="000000"/>
              <w:left w:val="single" w:sz="4" w:space="0" w:color="000000"/>
              <w:bottom w:val="single" w:sz="12" w:space="0" w:color="000000"/>
              <w:right w:val="single" w:sz="4" w:space="0" w:color="000000"/>
            </w:tcBorders>
            <w:vAlign w:val="center"/>
          </w:tcPr>
          <w:p w:rsidR="002A5A5E" w:rsidRPr="00F9522B" w:rsidRDefault="00611CBA">
            <w:pPr>
              <w:jc w:val="center"/>
              <w:rPr>
                <w:rFonts w:eastAsiaTheme="minorEastAsia"/>
                <w:szCs w:val="21"/>
              </w:rPr>
            </w:pPr>
            <w:r w:rsidRPr="00F9522B">
              <w:rPr>
                <w:rFonts w:eastAsiaTheme="minorEastAsia"/>
                <w:kern w:val="0"/>
                <w:szCs w:val="21"/>
              </w:rPr>
              <w:t>二</w:t>
            </w:r>
          </w:p>
        </w:tc>
        <w:tc>
          <w:tcPr>
            <w:tcW w:w="1699" w:type="dxa"/>
            <w:tcBorders>
              <w:top w:val="single" w:sz="4" w:space="0" w:color="000000"/>
              <w:left w:val="single" w:sz="4" w:space="0" w:color="000000"/>
              <w:bottom w:val="single" w:sz="12" w:space="0" w:color="000000"/>
              <w:right w:val="single" w:sz="4" w:space="0" w:color="000000"/>
            </w:tcBorders>
            <w:vAlign w:val="center"/>
          </w:tcPr>
          <w:p w:rsidR="002A5A5E" w:rsidRPr="00F9522B" w:rsidRDefault="00611CBA">
            <w:pPr>
              <w:jc w:val="center"/>
              <w:rPr>
                <w:rFonts w:eastAsiaTheme="minorEastAsia"/>
                <w:szCs w:val="21"/>
              </w:rPr>
            </w:pPr>
            <w:r w:rsidRPr="00F9522B">
              <w:rPr>
                <w:rFonts w:eastAsiaTheme="minorEastAsia"/>
                <w:kern w:val="0"/>
                <w:szCs w:val="21"/>
              </w:rPr>
              <w:t>三</w:t>
            </w:r>
          </w:p>
        </w:tc>
        <w:tc>
          <w:tcPr>
            <w:tcW w:w="2445" w:type="dxa"/>
            <w:tcBorders>
              <w:top w:val="single" w:sz="4" w:space="0" w:color="000000"/>
              <w:left w:val="single" w:sz="4" w:space="0" w:color="000000"/>
              <w:bottom w:val="single" w:sz="12" w:space="0" w:color="000000"/>
              <w:right w:val="nil"/>
            </w:tcBorders>
            <w:vAlign w:val="center"/>
          </w:tcPr>
          <w:p w:rsidR="002A5A5E" w:rsidRPr="00F9522B" w:rsidRDefault="00611CBA">
            <w:pPr>
              <w:jc w:val="center"/>
              <w:rPr>
                <w:rFonts w:eastAsiaTheme="minorEastAsia"/>
                <w:b/>
                <w:szCs w:val="21"/>
              </w:rPr>
            </w:pPr>
            <w:r w:rsidRPr="00F9522B">
              <w:rPr>
                <w:rFonts w:eastAsiaTheme="minorEastAsia"/>
                <w:b/>
                <w:kern w:val="0"/>
                <w:szCs w:val="21"/>
              </w:rPr>
              <w:t>三</w:t>
            </w:r>
          </w:p>
        </w:tc>
      </w:tr>
    </w:tbl>
    <w:p w:rsidR="002A5A5E" w:rsidRPr="00F9522B" w:rsidRDefault="00611CBA">
      <w:pPr>
        <w:widowControl/>
        <w:spacing w:line="360" w:lineRule="auto"/>
        <w:ind w:firstLineChars="200" w:firstLine="480"/>
        <w:contextualSpacing/>
        <w:rPr>
          <w:rFonts w:eastAsiaTheme="minorEastAsia"/>
          <w:kern w:val="0"/>
          <w:sz w:val="24"/>
        </w:rPr>
      </w:pPr>
      <w:r w:rsidRPr="00F9522B">
        <w:rPr>
          <w:rFonts w:eastAsiaTheme="minorEastAsia"/>
          <w:kern w:val="0"/>
          <w:sz w:val="24"/>
        </w:rPr>
        <w:t>综上分析，本项目属于地下水环境影响评价分类的</w:t>
      </w:r>
      <w:r w:rsidRPr="00F9522B">
        <w:rPr>
          <w:rFonts w:eastAsiaTheme="minorEastAsia"/>
          <w:kern w:val="0"/>
          <w:sz w:val="24"/>
        </w:rPr>
        <w:t>Ⅲ</w:t>
      </w:r>
      <w:r w:rsidRPr="00F9522B">
        <w:rPr>
          <w:rFonts w:eastAsiaTheme="minorEastAsia"/>
          <w:kern w:val="0"/>
          <w:sz w:val="24"/>
        </w:rPr>
        <w:t>类项目，地下水环境敏感程度为较敏感，因此评价工作等级确定为三级。</w:t>
      </w:r>
    </w:p>
    <w:p w:rsidR="002A5A5E" w:rsidRPr="00F9522B" w:rsidRDefault="00611CBA">
      <w:pPr>
        <w:pStyle w:val="30"/>
        <w:spacing w:before="100" w:beforeAutospacing="1" w:after="100" w:afterAutospacing="1" w:line="240" w:lineRule="auto"/>
        <w:ind w:firstLineChars="0" w:firstLine="0"/>
        <w:contextualSpacing/>
        <w:rPr>
          <w:rFonts w:ascii="Times New Roman" w:eastAsiaTheme="minorEastAsia" w:hAnsi="Times New Roman" w:cs="Times New Roman"/>
          <w:b/>
          <w:sz w:val="28"/>
          <w:szCs w:val="28"/>
        </w:rPr>
      </w:pPr>
      <w:r w:rsidRPr="00F9522B">
        <w:rPr>
          <w:rFonts w:ascii="Times New Roman" w:eastAsiaTheme="minorEastAsia" w:hAnsi="Times New Roman" w:cs="Times New Roman"/>
          <w:b/>
          <w:sz w:val="28"/>
          <w:szCs w:val="28"/>
        </w:rPr>
        <w:t>2.</w:t>
      </w:r>
      <w:bookmarkStart w:id="49" w:name="_Toc88900496"/>
      <w:bookmarkStart w:id="50" w:name="_Toc88968913"/>
      <w:bookmarkStart w:id="51" w:name="_Toc89231866"/>
      <w:bookmarkStart w:id="52" w:name="_Toc88969056"/>
      <w:r w:rsidRPr="00F9522B">
        <w:rPr>
          <w:rFonts w:ascii="Times New Roman" w:eastAsiaTheme="minorEastAsia" w:hAnsi="Times New Roman" w:cs="Times New Roman"/>
          <w:b/>
          <w:sz w:val="28"/>
          <w:szCs w:val="28"/>
        </w:rPr>
        <w:t>6.4</w:t>
      </w:r>
      <w:r w:rsidRPr="00F9522B">
        <w:rPr>
          <w:rFonts w:ascii="Times New Roman" w:eastAsiaTheme="minorEastAsia" w:hAnsi="Times New Roman" w:cs="Times New Roman"/>
          <w:b/>
          <w:sz w:val="28"/>
          <w:szCs w:val="28"/>
        </w:rPr>
        <w:t>声环境</w:t>
      </w:r>
      <w:bookmarkEnd w:id="49"/>
      <w:bookmarkEnd w:id="50"/>
      <w:bookmarkEnd w:id="51"/>
      <w:bookmarkEnd w:id="52"/>
      <w:r w:rsidRPr="00F9522B">
        <w:rPr>
          <w:rFonts w:ascii="Times New Roman" w:eastAsiaTheme="minorEastAsia" w:hAnsi="Times New Roman" w:cs="Times New Roman"/>
          <w:b/>
          <w:sz w:val="28"/>
          <w:szCs w:val="28"/>
        </w:rPr>
        <w:t>评价工作等级</w:t>
      </w:r>
    </w:p>
    <w:p w:rsidR="002A5A5E" w:rsidRPr="00F9522B" w:rsidRDefault="00611CBA">
      <w:pPr>
        <w:pStyle w:val="00"/>
        <w:rPr>
          <w:rFonts w:hAnsi="Times New Roman"/>
          <w:color w:val="auto"/>
        </w:rPr>
      </w:pPr>
      <w:r w:rsidRPr="00F9522B">
        <w:rPr>
          <w:rFonts w:hAnsi="Times New Roman"/>
          <w:color w:val="auto"/>
        </w:rPr>
        <w:t>本项目所在功能区属于噪声功能区划的</w:t>
      </w:r>
      <w:r w:rsidRPr="00F9522B">
        <w:rPr>
          <w:rFonts w:hAnsi="Times New Roman"/>
          <w:color w:val="auto"/>
        </w:rPr>
        <w:t>1</w:t>
      </w:r>
      <w:r w:rsidRPr="00F9522B">
        <w:rPr>
          <w:rFonts w:hAnsi="Times New Roman"/>
          <w:color w:val="auto"/>
        </w:rPr>
        <w:t>类区及</w:t>
      </w:r>
      <w:r w:rsidR="00AB2801" w:rsidRPr="00F9522B">
        <w:rPr>
          <w:rFonts w:hAnsi="Times New Roman"/>
          <w:color w:val="auto"/>
        </w:rPr>
        <w:t>2</w:t>
      </w:r>
      <w:r w:rsidRPr="00F9522B">
        <w:rPr>
          <w:rFonts w:hAnsi="Times New Roman"/>
          <w:color w:val="auto"/>
        </w:rPr>
        <w:t>类区，经预测，</w:t>
      </w:r>
      <w:r w:rsidRPr="00F9522B">
        <w:rPr>
          <w:rFonts w:hAnsi="Times New Roman"/>
          <w:color w:val="auto"/>
          <w:lang w:val="en-GB"/>
        </w:rPr>
        <w:t>项目建设前后声环境保护目标噪声级最大增加量为</w:t>
      </w:r>
      <w:r w:rsidR="00822CDA" w:rsidRPr="00F9522B">
        <w:rPr>
          <w:rFonts w:hAnsi="Times New Roman"/>
          <w:color w:val="auto"/>
          <w:lang w:val="en-GB"/>
        </w:rPr>
        <w:t>1</w:t>
      </w:r>
      <w:r w:rsidRPr="00F9522B">
        <w:rPr>
          <w:rFonts w:hAnsi="Times New Roman"/>
          <w:color w:val="auto"/>
        </w:rPr>
        <w:t>dB(A)</w:t>
      </w:r>
      <w:r w:rsidRPr="00F9522B">
        <w:rPr>
          <w:rFonts w:hAnsi="Times New Roman"/>
          <w:color w:val="auto"/>
          <w:lang w:val="en-GB"/>
        </w:rPr>
        <w:t>，且受影响的人口变化不大，因此，</w:t>
      </w:r>
      <w:r w:rsidRPr="00F9522B">
        <w:rPr>
          <w:rFonts w:hAnsi="Times New Roman"/>
          <w:color w:val="auto"/>
        </w:rPr>
        <w:t>根据《环境影响评价技术导则</w:t>
      </w:r>
      <w:r w:rsidRPr="00F9522B">
        <w:rPr>
          <w:rFonts w:hAnsi="Times New Roman"/>
          <w:color w:val="auto"/>
        </w:rPr>
        <w:t xml:space="preserve"> </w:t>
      </w:r>
      <w:r w:rsidRPr="00F9522B">
        <w:rPr>
          <w:rFonts w:hAnsi="Times New Roman"/>
          <w:color w:val="auto"/>
        </w:rPr>
        <w:t>声环境》（</w:t>
      </w:r>
      <w:r w:rsidRPr="00F9522B">
        <w:rPr>
          <w:rFonts w:hAnsi="Times New Roman"/>
          <w:color w:val="auto"/>
        </w:rPr>
        <w:t>HJ2.4—2021</w:t>
      </w:r>
      <w:r w:rsidRPr="00F9522B">
        <w:rPr>
          <w:rFonts w:hAnsi="Times New Roman"/>
          <w:color w:val="auto"/>
        </w:rPr>
        <w:t>）中评价等级划分相关依据，本项目声环境评价判定为二级。</w:t>
      </w:r>
    </w:p>
    <w:p w:rsidR="002A5A5E" w:rsidRPr="00F9522B" w:rsidRDefault="00611CBA">
      <w:pPr>
        <w:pStyle w:val="30"/>
        <w:spacing w:before="100" w:beforeAutospacing="1" w:after="100" w:afterAutospacing="1" w:line="240" w:lineRule="auto"/>
        <w:ind w:firstLineChars="0" w:firstLine="0"/>
        <w:contextualSpacing/>
        <w:rPr>
          <w:rFonts w:ascii="Times New Roman" w:eastAsiaTheme="minorEastAsia" w:hAnsi="Times New Roman" w:cs="Times New Roman"/>
          <w:b/>
          <w:sz w:val="28"/>
          <w:szCs w:val="28"/>
        </w:rPr>
      </w:pPr>
      <w:r w:rsidRPr="00F9522B">
        <w:rPr>
          <w:rFonts w:ascii="Times New Roman" w:eastAsiaTheme="minorEastAsia" w:hAnsi="Times New Roman" w:cs="Times New Roman"/>
          <w:b/>
          <w:sz w:val="28"/>
          <w:szCs w:val="28"/>
        </w:rPr>
        <w:t>2.6.5</w:t>
      </w:r>
      <w:r w:rsidRPr="00F9522B">
        <w:rPr>
          <w:rFonts w:ascii="Times New Roman" w:eastAsiaTheme="minorEastAsia" w:hAnsi="Times New Roman" w:cs="Times New Roman"/>
          <w:b/>
          <w:sz w:val="28"/>
          <w:szCs w:val="28"/>
        </w:rPr>
        <w:t>生态环境评价工作等级</w:t>
      </w:r>
    </w:p>
    <w:p w:rsidR="002A5A5E" w:rsidRPr="00F9522B" w:rsidRDefault="00611CBA">
      <w:pPr>
        <w:spacing w:line="360" w:lineRule="auto"/>
        <w:ind w:firstLineChars="200" w:firstLine="480"/>
        <w:rPr>
          <w:rFonts w:eastAsiaTheme="minorEastAsia"/>
          <w:snapToGrid w:val="0"/>
          <w:kern w:val="0"/>
          <w:sz w:val="24"/>
        </w:rPr>
      </w:pPr>
      <w:r w:rsidRPr="00F9522B">
        <w:rPr>
          <w:rFonts w:eastAsiaTheme="minorEastAsia"/>
          <w:snapToGrid w:val="0"/>
          <w:kern w:val="0"/>
          <w:sz w:val="24"/>
        </w:rPr>
        <w:t>（</w:t>
      </w:r>
      <w:r w:rsidRPr="00F9522B">
        <w:rPr>
          <w:rFonts w:eastAsiaTheme="minorEastAsia"/>
          <w:snapToGrid w:val="0"/>
          <w:kern w:val="0"/>
          <w:sz w:val="24"/>
        </w:rPr>
        <w:t>1</w:t>
      </w:r>
      <w:r w:rsidRPr="00F9522B">
        <w:rPr>
          <w:rFonts w:eastAsiaTheme="minorEastAsia"/>
          <w:snapToGrid w:val="0"/>
          <w:kern w:val="0"/>
          <w:sz w:val="24"/>
        </w:rPr>
        <w:t>）水生生态</w:t>
      </w:r>
    </w:p>
    <w:p w:rsidR="002A5A5E" w:rsidRPr="00F9522B" w:rsidRDefault="00611CBA">
      <w:pPr>
        <w:spacing w:line="360" w:lineRule="auto"/>
        <w:ind w:firstLineChars="200" w:firstLine="480"/>
        <w:rPr>
          <w:rFonts w:eastAsiaTheme="minorEastAsia"/>
          <w:kern w:val="0"/>
          <w:sz w:val="24"/>
        </w:rPr>
      </w:pPr>
      <w:r w:rsidRPr="00F9522B">
        <w:rPr>
          <w:rFonts w:eastAsiaTheme="minorEastAsia"/>
          <w:sz w:val="24"/>
        </w:rPr>
        <w:t>项目区排水工程已基本形成规模，项目区</w:t>
      </w:r>
      <w:r w:rsidR="00142C81" w:rsidRPr="00F9522B">
        <w:rPr>
          <w:rFonts w:eastAsiaTheme="minorEastAsia"/>
          <w:sz w:val="24"/>
        </w:rPr>
        <w:t>西</w:t>
      </w:r>
      <w:r w:rsidRPr="00F9522B">
        <w:rPr>
          <w:rFonts w:eastAsiaTheme="minorEastAsia"/>
          <w:sz w:val="24"/>
        </w:rPr>
        <w:t>部</w:t>
      </w:r>
      <w:r w:rsidR="0066293D" w:rsidRPr="00F9522B">
        <w:rPr>
          <w:rFonts w:eastAsiaTheme="minorEastAsia"/>
          <w:sz w:val="24"/>
        </w:rPr>
        <w:t>排水</w:t>
      </w:r>
      <w:r w:rsidR="00142C81" w:rsidRPr="00F9522B">
        <w:rPr>
          <w:rFonts w:eastAsiaTheme="minorEastAsia"/>
          <w:sz w:val="24"/>
        </w:rPr>
        <w:t>通过原有沟</w:t>
      </w:r>
      <w:r w:rsidR="0066293D" w:rsidRPr="00F9522B">
        <w:rPr>
          <w:rFonts w:eastAsiaTheme="minorEastAsia"/>
          <w:sz w:val="24"/>
        </w:rPr>
        <w:t>汇入公家沟</w:t>
      </w:r>
      <w:r w:rsidRPr="00F9522B">
        <w:rPr>
          <w:rFonts w:eastAsiaTheme="minorEastAsia"/>
          <w:sz w:val="24"/>
        </w:rPr>
        <w:t>，</w:t>
      </w:r>
      <w:r w:rsidR="00142C81" w:rsidRPr="00F9522B">
        <w:rPr>
          <w:rFonts w:eastAsiaTheme="minorEastAsia"/>
          <w:sz w:val="24"/>
        </w:rPr>
        <w:t>最终汇入松花江，</w:t>
      </w:r>
      <w:r w:rsidRPr="00F9522B">
        <w:rPr>
          <w:rFonts w:eastAsiaTheme="minorEastAsia"/>
          <w:sz w:val="24"/>
        </w:rPr>
        <w:t>承泄区为</w:t>
      </w:r>
      <w:r w:rsidR="00142C81" w:rsidRPr="00F9522B">
        <w:rPr>
          <w:rFonts w:eastAsiaTheme="minorEastAsia"/>
          <w:sz w:val="24"/>
        </w:rPr>
        <w:t>松花江</w:t>
      </w:r>
      <w:r w:rsidRPr="00F9522B">
        <w:rPr>
          <w:rFonts w:eastAsiaTheme="minorEastAsia"/>
          <w:sz w:val="24"/>
        </w:rPr>
        <w:t>。项目区东部排水汇入原有沟，最终承泄区为漂河。</w:t>
      </w:r>
      <w:r w:rsidR="00625A6C" w:rsidRPr="00F9522B">
        <w:rPr>
          <w:rFonts w:eastAsiaTheme="minorEastAsia"/>
          <w:sz w:val="24"/>
        </w:rPr>
        <w:t>片区内排水承泄区为松花江及漂河</w:t>
      </w:r>
      <w:r w:rsidRPr="00F9522B">
        <w:rPr>
          <w:rFonts w:eastAsiaTheme="minorEastAsia"/>
          <w:kern w:val="0"/>
          <w:sz w:val="24"/>
        </w:rPr>
        <w:t>。</w:t>
      </w:r>
    </w:p>
    <w:p w:rsidR="002A5A5E" w:rsidRPr="00F9522B" w:rsidRDefault="00160559">
      <w:pPr>
        <w:spacing w:line="360" w:lineRule="auto"/>
        <w:ind w:firstLineChars="200" w:firstLine="480"/>
        <w:rPr>
          <w:rFonts w:eastAsiaTheme="minorEastAsia"/>
          <w:snapToGrid w:val="0"/>
          <w:sz w:val="24"/>
        </w:rPr>
      </w:pPr>
      <w:r w:rsidRPr="00F9522B">
        <w:rPr>
          <w:rFonts w:eastAsiaTheme="minorEastAsia"/>
          <w:snapToGrid w:val="0"/>
          <w:sz w:val="24"/>
        </w:rPr>
        <w:t>本项目现有公家沟农田退水口距离黑龙江呼兰河口湿地省级自然保护区约</w:t>
      </w:r>
      <w:r w:rsidRPr="00F9522B">
        <w:rPr>
          <w:rFonts w:eastAsiaTheme="minorEastAsia"/>
          <w:snapToGrid w:val="0"/>
          <w:sz w:val="24"/>
        </w:rPr>
        <w:t>2</w:t>
      </w:r>
      <w:r w:rsidR="00C50480" w:rsidRPr="00F9522B">
        <w:rPr>
          <w:rFonts w:eastAsiaTheme="minorEastAsia"/>
          <w:snapToGrid w:val="0"/>
          <w:sz w:val="24"/>
        </w:rPr>
        <w:t>5</w:t>
      </w:r>
      <w:r w:rsidRPr="00F9522B">
        <w:rPr>
          <w:rFonts w:eastAsiaTheme="minorEastAsia"/>
          <w:snapToGrid w:val="0"/>
          <w:sz w:val="24"/>
        </w:rPr>
        <w:t>m</w:t>
      </w:r>
      <w:r w:rsidR="00611CBA" w:rsidRPr="00F9522B">
        <w:rPr>
          <w:rFonts w:eastAsiaTheme="minorEastAsia"/>
          <w:snapToGrid w:val="0"/>
          <w:sz w:val="24"/>
        </w:rPr>
        <w:t>。</w:t>
      </w:r>
      <w:r w:rsidR="00611CBA" w:rsidRPr="00F9522B">
        <w:rPr>
          <w:rFonts w:eastAsiaTheme="minorEastAsia"/>
          <w:sz w:val="24"/>
        </w:rPr>
        <w:t>不涉及重点保护与珍稀水生生物的栖息地、重要水生生物的自然产卵场。</w:t>
      </w:r>
      <w:r w:rsidR="00611CBA" w:rsidRPr="00F9522B">
        <w:rPr>
          <w:rFonts w:eastAsiaTheme="minorEastAsia"/>
          <w:snapToGrid w:val="0"/>
          <w:sz w:val="24"/>
        </w:rPr>
        <w:t>位置关系见图</w:t>
      </w:r>
      <w:r w:rsidR="00611CBA" w:rsidRPr="00F9522B">
        <w:rPr>
          <w:rFonts w:eastAsiaTheme="minorEastAsia"/>
          <w:snapToGrid w:val="0"/>
          <w:sz w:val="24"/>
        </w:rPr>
        <w:t>2-8-1</w:t>
      </w:r>
      <w:r w:rsidR="00611CBA" w:rsidRPr="00F9522B">
        <w:rPr>
          <w:rFonts w:eastAsiaTheme="minorEastAsia"/>
          <w:snapToGrid w:val="0"/>
          <w:sz w:val="24"/>
        </w:rPr>
        <w:t>。</w:t>
      </w:r>
    </w:p>
    <w:p w:rsidR="002A5A5E" w:rsidRPr="00F9522B" w:rsidRDefault="00611CBA">
      <w:pPr>
        <w:spacing w:line="360" w:lineRule="auto"/>
        <w:ind w:firstLineChars="200" w:firstLine="480"/>
        <w:rPr>
          <w:rFonts w:eastAsiaTheme="minorEastAsia"/>
          <w:kern w:val="0"/>
          <w:sz w:val="24"/>
        </w:rPr>
      </w:pPr>
      <w:r w:rsidRPr="00F9522B">
        <w:rPr>
          <w:rFonts w:eastAsiaTheme="minorEastAsia"/>
          <w:sz w:val="24"/>
          <w:szCs w:val="21"/>
        </w:rPr>
        <w:t>本项目实施后，不新增水田面积，由于灌溉水利用系数的提升、农田保水能力增强以及渠系配套系统的完善，地表水退水量减少，相应污染物入河量与现状相比也有一定程度的削减，根据工程分析章节计算内容，</w:t>
      </w:r>
      <w:r w:rsidRPr="00F9522B">
        <w:rPr>
          <w:rFonts w:eastAsiaTheme="minorEastAsia"/>
          <w:sz w:val="24"/>
        </w:rPr>
        <w:t>项目建成后年现有灌区退水量与现状相比</w:t>
      </w:r>
      <w:r w:rsidR="004A0FF6" w:rsidRPr="00F9522B">
        <w:rPr>
          <w:rFonts w:eastAsiaTheme="minorEastAsia"/>
          <w:sz w:val="24"/>
        </w:rPr>
        <w:t>减少</w:t>
      </w:r>
      <w:r w:rsidR="004A0FF6" w:rsidRPr="00F9522B">
        <w:rPr>
          <w:rFonts w:eastAsiaTheme="minorEastAsia"/>
          <w:sz w:val="24"/>
        </w:rPr>
        <w:t>15</w:t>
      </w:r>
      <w:r w:rsidR="004A0FF6" w:rsidRPr="00F9522B">
        <w:rPr>
          <w:rFonts w:eastAsiaTheme="minorEastAsia"/>
          <w:sz w:val="24"/>
        </w:rPr>
        <w:t>万</w:t>
      </w:r>
      <w:r w:rsidRPr="00F9522B">
        <w:rPr>
          <w:rFonts w:eastAsiaTheme="minorEastAsia"/>
          <w:sz w:val="24"/>
        </w:rPr>
        <w:t>m</w:t>
      </w:r>
      <w:r w:rsidRPr="00F9522B">
        <w:rPr>
          <w:rFonts w:eastAsiaTheme="minorEastAsia"/>
          <w:sz w:val="24"/>
          <w:vertAlign w:val="superscript"/>
        </w:rPr>
        <w:t>3</w:t>
      </w:r>
      <w:r w:rsidRPr="00F9522B">
        <w:rPr>
          <w:rFonts w:eastAsiaTheme="minorEastAsia"/>
          <w:sz w:val="24"/>
        </w:rPr>
        <w:t>。</w:t>
      </w:r>
      <w:r w:rsidR="00E03AD9" w:rsidRPr="00F9522B">
        <w:rPr>
          <w:rFonts w:eastAsiaTheme="minorEastAsia"/>
          <w:bCs/>
          <w:sz w:val="24"/>
        </w:rPr>
        <w:t>COD</w:t>
      </w:r>
      <w:r w:rsidR="00E03AD9" w:rsidRPr="00F9522B">
        <w:rPr>
          <w:rFonts w:eastAsiaTheme="minorEastAsia"/>
          <w:bCs/>
          <w:sz w:val="24"/>
        </w:rPr>
        <w:t>、氨氮、总磷及总氮排放量分别减少</w:t>
      </w:r>
      <w:r w:rsidR="00E03AD9" w:rsidRPr="00F9522B">
        <w:rPr>
          <w:rFonts w:eastAsiaTheme="minorEastAsia"/>
          <w:bCs/>
          <w:sz w:val="24"/>
        </w:rPr>
        <w:t>7.905t/a</w:t>
      </w:r>
      <w:r w:rsidR="00E03AD9" w:rsidRPr="00F9522B">
        <w:rPr>
          <w:rFonts w:eastAsiaTheme="minorEastAsia"/>
          <w:bCs/>
          <w:sz w:val="24"/>
        </w:rPr>
        <w:t>、</w:t>
      </w:r>
      <w:r w:rsidR="00E03AD9" w:rsidRPr="00F9522B">
        <w:rPr>
          <w:rFonts w:eastAsiaTheme="minorEastAsia"/>
          <w:bCs/>
          <w:sz w:val="24"/>
        </w:rPr>
        <w:t>0.189t/a</w:t>
      </w:r>
      <w:r w:rsidR="00E03AD9" w:rsidRPr="00F9522B">
        <w:rPr>
          <w:rFonts w:eastAsiaTheme="minorEastAsia"/>
          <w:bCs/>
          <w:sz w:val="24"/>
        </w:rPr>
        <w:t>、</w:t>
      </w:r>
      <w:r w:rsidR="00E03AD9" w:rsidRPr="00F9522B">
        <w:rPr>
          <w:rFonts w:eastAsiaTheme="minorEastAsia"/>
          <w:bCs/>
          <w:sz w:val="24"/>
        </w:rPr>
        <w:t>0.276t/a</w:t>
      </w:r>
      <w:r w:rsidR="00E03AD9" w:rsidRPr="00F9522B">
        <w:rPr>
          <w:rFonts w:eastAsiaTheme="minorEastAsia"/>
          <w:bCs/>
          <w:sz w:val="24"/>
        </w:rPr>
        <w:t>、</w:t>
      </w:r>
      <w:r w:rsidR="00E03AD9" w:rsidRPr="00F9522B">
        <w:rPr>
          <w:rFonts w:eastAsiaTheme="minorEastAsia"/>
          <w:bCs/>
          <w:sz w:val="24"/>
        </w:rPr>
        <w:t>0.63t/a</w:t>
      </w:r>
      <w:r w:rsidRPr="00F9522B">
        <w:rPr>
          <w:rFonts w:eastAsiaTheme="minorEastAsia"/>
          <w:bCs/>
          <w:sz w:val="24"/>
        </w:rPr>
        <w:t>。</w:t>
      </w:r>
      <w:r w:rsidR="00625A6C" w:rsidRPr="00F9522B">
        <w:rPr>
          <w:rFonts w:eastAsiaTheme="minorEastAsia"/>
          <w:kern w:val="0"/>
          <w:sz w:val="24"/>
        </w:rPr>
        <w:t>故工程实施后对松花江及漂河、呼兰河口湿地自然保护区水生生态环境起到一定改善作用</w:t>
      </w:r>
      <w:r w:rsidRPr="00F9522B">
        <w:rPr>
          <w:rFonts w:eastAsiaTheme="minorEastAsia"/>
          <w:kern w:val="0"/>
          <w:sz w:val="24"/>
        </w:rPr>
        <w:t>。</w:t>
      </w:r>
    </w:p>
    <w:p w:rsidR="002A5A5E" w:rsidRPr="00F9522B" w:rsidRDefault="00611CBA">
      <w:pPr>
        <w:spacing w:line="360" w:lineRule="auto"/>
        <w:ind w:firstLineChars="200" w:firstLine="480"/>
        <w:rPr>
          <w:rFonts w:eastAsiaTheme="minorEastAsia"/>
          <w:kern w:val="0"/>
          <w:sz w:val="24"/>
        </w:rPr>
      </w:pPr>
      <w:r w:rsidRPr="00F9522B">
        <w:rPr>
          <w:rFonts w:eastAsiaTheme="minorEastAsia"/>
          <w:sz w:val="24"/>
        </w:rPr>
        <w:t>项目的地表水退水口利用现有，原有工程回顾分析已包含现有工程地表水影</w:t>
      </w:r>
      <w:r w:rsidRPr="00F9522B">
        <w:rPr>
          <w:rFonts w:eastAsiaTheme="minorEastAsia"/>
          <w:sz w:val="24"/>
        </w:rPr>
        <w:lastRenderedPageBreak/>
        <w:t>响。本项目施工废水不外排，施工过程加强管理，对水体基本无影响。涉水工程为人工渠道、排水沟（农沟），不涉及天然河道。</w:t>
      </w:r>
    </w:p>
    <w:p w:rsidR="002A5A5E" w:rsidRPr="00F9522B" w:rsidRDefault="00611CBA">
      <w:pPr>
        <w:spacing w:line="360" w:lineRule="auto"/>
        <w:ind w:firstLineChars="200" w:firstLine="480"/>
        <w:rPr>
          <w:rFonts w:eastAsiaTheme="minorEastAsia"/>
          <w:snapToGrid w:val="0"/>
          <w:kern w:val="0"/>
          <w:sz w:val="24"/>
        </w:rPr>
      </w:pPr>
      <w:r w:rsidRPr="00F9522B">
        <w:rPr>
          <w:rFonts w:eastAsiaTheme="minorEastAsia"/>
          <w:snapToGrid w:val="0"/>
          <w:kern w:val="0"/>
          <w:sz w:val="24"/>
        </w:rPr>
        <w:t>（</w:t>
      </w:r>
      <w:r w:rsidRPr="00F9522B">
        <w:rPr>
          <w:rFonts w:eastAsiaTheme="minorEastAsia"/>
          <w:snapToGrid w:val="0"/>
          <w:kern w:val="0"/>
          <w:sz w:val="24"/>
        </w:rPr>
        <w:t>2</w:t>
      </w:r>
      <w:r w:rsidRPr="00F9522B">
        <w:rPr>
          <w:rFonts w:eastAsiaTheme="minorEastAsia"/>
          <w:snapToGrid w:val="0"/>
          <w:kern w:val="0"/>
          <w:sz w:val="24"/>
        </w:rPr>
        <w:t>）陆生生态</w:t>
      </w:r>
    </w:p>
    <w:p w:rsidR="002A5A5E" w:rsidRPr="00F9522B" w:rsidRDefault="00611CBA">
      <w:pPr>
        <w:spacing w:line="360" w:lineRule="auto"/>
        <w:ind w:firstLineChars="200" w:firstLine="480"/>
        <w:rPr>
          <w:rFonts w:eastAsiaTheme="minorEastAsia"/>
          <w:snapToGrid w:val="0"/>
          <w:kern w:val="0"/>
          <w:sz w:val="24"/>
          <w:lang w:bidi="en-US"/>
        </w:rPr>
      </w:pPr>
      <w:r w:rsidRPr="00AA4603">
        <w:rPr>
          <w:rFonts w:eastAsiaTheme="minorEastAsia"/>
          <w:snapToGrid w:val="0"/>
          <w:color w:val="FF0000"/>
          <w:kern w:val="0"/>
          <w:sz w:val="24"/>
        </w:rPr>
        <w:t>本项目临时占地面积</w:t>
      </w:r>
      <w:r w:rsidR="00AA4603" w:rsidRPr="00AA4603">
        <w:rPr>
          <w:rFonts w:eastAsiaTheme="minorEastAsia"/>
          <w:snapToGrid w:val="0"/>
          <w:color w:val="FF0000"/>
          <w:kern w:val="0"/>
          <w:sz w:val="24"/>
        </w:rPr>
        <w:t>294140</w:t>
      </w:r>
      <w:r w:rsidRPr="00AA4603">
        <w:rPr>
          <w:rFonts w:eastAsiaTheme="minorEastAsia"/>
          <w:snapToGrid w:val="0"/>
          <w:color w:val="FF0000"/>
          <w:kern w:val="0"/>
          <w:sz w:val="24"/>
        </w:rPr>
        <w:t>m</w:t>
      </w:r>
      <w:r w:rsidRPr="00AA4603">
        <w:rPr>
          <w:rFonts w:eastAsiaTheme="minorEastAsia"/>
          <w:snapToGrid w:val="0"/>
          <w:color w:val="FF0000"/>
          <w:kern w:val="0"/>
          <w:sz w:val="24"/>
          <w:vertAlign w:val="superscript"/>
        </w:rPr>
        <w:t>2</w:t>
      </w:r>
      <w:r w:rsidRPr="00AA4603">
        <w:rPr>
          <w:rFonts w:eastAsiaTheme="minorEastAsia"/>
          <w:snapToGrid w:val="0"/>
          <w:color w:val="FF0000"/>
          <w:kern w:val="0"/>
          <w:sz w:val="24"/>
        </w:rPr>
        <w:t>，新增</w:t>
      </w:r>
      <w:r w:rsidRPr="00AA4603">
        <w:rPr>
          <w:rFonts w:eastAsiaTheme="minorEastAsia"/>
          <w:bCs/>
          <w:snapToGrid w:val="0"/>
          <w:color w:val="FF0000"/>
          <w:kern w:val="0"/>
          <w:sz w:val="24"/>
        </w:rPr>
        <w:t>永久占地总面积</w:t>
      </w:r>
      <w:r w:rsidR="00B42C98" w:rsidRPr="00AA4603">
        <w:rPr>
          <w:rFonts w:eastAsiaTheme="minorEastAsia"/>
          <w:bCs/>
          <w:snapToGrid w:val="0"/>
          <w:color w:val="FF0000"/>
          <w:kern w:val="0"/>
          <w:sz w:val="24"/>
        </w:rPr>
        <w:t>46260</w:t>
      </w:r>
      <w:r w:rsidRPr="00AA4603">
        <w:rPr>
          <w:rFonts w:eastAsiaTheme="minorEastAsia"/>
          <w:bCs/>
          <w:snapToGrid w:val="0"/>
          <w:color w:val="FF0000"/>
          <w:kern w:val="0"/>
          <w:sz w:val="24"/>
        </w:rPr>
        <w:t>m</w:t>
      </w:r>
      <w:r w:rsidRPr="00AA4603">
        <w:rPr>
          <w:rFonts w:eastAsiaTheme="minorEastAsia"/>
          <w:bCs/>
          <w:snapToGrid w:val="0"/>
          <w:color w:val="FF0000"/>
          <w:kern w:val="0"/>
          <w:sz w:val="24"/>
          <w:vertAlign w:val="superscript"/>
        </w:rPr>
        <w:t>2</w:t>
      </w:r>
      <w:r w:rsidRPr="00AA4603">
        <w:rPr>
          <w:rFonts w:eastAsiaTheme="minorEastAsia"/>
          <w:snapToGrid w:val="0"/>
          <w:color w:val="FF0000"/>
          <w:kern w:val="0"/>
          <w:sz w:val="24"/>
        </w:rPr>
        <w:t>，</w:t>
      </w:r>
      <w:r w:rsidR="00C50480" w:rsidRPr="00AA4603">
        <w:rPr>
          <w:rFonts w:eastAsiaTheme="minorEastAsia"/>
          <w:snapToGrid w:val="0"/>
          <w:color w:val="FF0000"/>
          <w:kern w:val="0"/>
          <w:sz w:val="24"/>
        </w:rPr>
        <w:t>共</w:t>
      </w:r>
      <w:r w:rsidR="00AA4603" w:rsidRPr="00AA4603">
        <w:rPr>
          <w:rFonts w:eastAsiaTheme="minorEastAsia" w:hint="eastAsia"/>
          <w:snapToGrid w:val="0"/>
          <w:color w:val="FF0000"/>
          <w:kern w:val="0"/>
          <w:sz w:val="24"/>
        </w:rPr>
        <w:t>0.34</w:t>
      </w:r>
      <w:r w:rsidR="00C50480" w:rsidRPr="00AA4603">
        <w:rPr>
          <w:rFonts w:eastAsiaTheme="minorEastAsia"/>
          <w:snapToGrid w:val="0"/>
          <w:color w:val="FF0000"/>
          <w:kern w:val="0"/>
          <w:sz w:val="24"/>
        </w:rPr>
        <w:t>km</w:t>
      </w:r>
      <w:r w:rsidR="00C50480" w:rsidRPr="00AA4603">
        <w:rPr>
          <w:rFonts w:eastAsiaTheme="minorEastAsia"/>
          <w:snapToGrid w:val="0"/>
          <w:color w:val="FF0000"/>
          <w:kern w:val="0"/>
          <w:sz w:val="24"/>
          <w:vertAlign w:val="superscript"/>
        </w:rPr>
        <w:t>2</w:t>
      </w:r>
      <w:r w:rsidR="00C50480" w:rsidRPr="00AA4603">
        <w:rPr>
          <w:rFonts w:eastAsiaTheme="minorEastAsia"/>
          <w:snapToGrid w:val="0"/>
          <w:color w:val="FF0000"/>
          <w:kern w:val="0"/>
          <w:sz w:val="24"/>
        </w:rPr>
        <w:t>，</w:t>
      </w:r>
      <w:r w:rsidRPr="00F9522B">
        <w:rPr>
          <w:rFonts w:eastAsiaTheme="minorEastAsia"/>
          <w:snapToGrid w:val="0"/>
          <w:kern w:val="0"/>
          <w:sz w:val="24"/>
        </w:rPr>
        <w:t>小于</w:t>
      </w:r>
      <w:r w:rsidRPr="00F9522B">
        <w:rPr>
          <w:rFonts w:eastAsiaTheme="minorEastAsia"/>
          <w:snapToGrid w:val="0"/>
          <w:kern w:val="0"/>
          <w:sz w:val="24"/>
        </w:rPr>
        <w:t>20km</w:t>
      </w:r>
      <w:r w:rsidRPr="00F9522B">
        <w:rPr>
          <w:rFonts w:eastAsiaTheme="minorEastAsia"/>
          <w:snapToGrid w:val="0"/>
          <w:kern w:val="0"/>
          <w:sz w:val="24"/>
          <w:vertAlign w:val="superscript"/>
        </w:rPr>
        <w:t>2</w:t>
      </w:r>
      <w:r w:rsidRPr="00F9522B">
        <w:rPr>
          <w:rFonts w:eastAsiaTheme="minorEastAsia"/>
          <w:snapToGrid w:val="0"/>
          <w:kern w:val="0"/>
          <w:sz w:val="24"/>
        </w:rPr>
        <w:t>，</w:t>
      </w:r>
      <w:r w:rsidRPr="00F9522B">
        <w:rPr>
          <w:rFonts w:eastAsiaTheme="minorEastAsia"/>
          <w:snapToGrid w:val="0"/>
          <w:kern w:val="0"/>
          <w:sz w:val="24"/>
          <w:lang w:bidi="en-US"/>
        </w:rPr>
        <w:t>不涉及国家公园、自然保护区、世界自然遗产、自然公园、自然公园、重要生境、重要湿地、生态保护红线等生态敏感区，不属于对保护生物多样性具有重要意义的区域。</w:t>
      </w:r>
    </w:p>
    <w:p w:rsidR="002A5A5E" w:rsidRPr="00F9522B" w:rsidRDefault="00611CBA">
      <w:pPr>
        <w:spacing w:line="360" w:lineRule="auto"/>
        <w:ind w:firstLineChars="200" w:firstLine="480"/>
        <w:rPr>
          <w:rFonts w:eastAsiaTheme="minorEastAsia"/>
          <w:snapToGrid w:val="0"/>
          <w:kern w:val="0"/>
          <w:sz w:val="24"/>
          <w:lang w:bidi="zh-TW"/>
        </w:rPr>
      </w:pPr>
      <w:r w:rsidRPr="00F9522B">
        <w:rPr>
          <w:rFonts w:eastAsiaTheme="minorEastAsia"/>
          <w:snapToGrid w:val="0"/>
          <w:kern w:val="0"/>
          <w:sz w:val="24"/>
        </w:rPr>
        <w:t>根据《环境影响评价技术导则</w:t>
      </w:r>
      <w:r w:rsidRPr="00F9522B">
        <w:rPr>
          <w:rFonts w:eastAsiaTheme="minorEastAsia"/>
          <w:snapToGrid w:val="0"/>
          <w:kern w:val="0"/>
          <w:sz w:val="24"/>
        </w:rPr>
        <w:t xml:space="preserve"> </w:t>
      </w:r>
      <w:r w:rsidRPr="00F9522B">
        <w:rPr>
          <w:rFonts w:eastAsiaTheme="minorEastAsia"/>
          <w:snapToGrid w:val="0"/>
          <w:kern w:val="0"/>
          <w:sz w:val="24"/>
        </w:rPr>
        <w:t>生态影响》（</w:t>
      </w:r>
      <w:r w:rsidRPr="00F9522B">
        <w:rPr>
          <w:rFonts w:eastAsiaTheme="minorEastAsia"/>
          <w:snapToGrid w:val="0"/>
          <w:kern w:val="0"/>
          <w:sz w:val="24"/>
        </w:rPr>
        <w:t>HJ19-2022</w:t>
      </w:r>
      <w:r w:rsidRPr="00F9522B">
        <w:rPr>
          <w:rFonts w:eastAsiaTheme="minorEastAsia"/>
          <w:snapToGrid w:val="0"/>
          <w:kern w:val="0"/>
          <w:sz w:val="24"/>
        </w:rPr>
        <w:t>）</w:t>
      </w:r>
      <w:r w:rsidRPr="00F9522B">
        <w:rPr>
          <w:rFonts w:eastAsiaTheme="minorEastAsia"/>
          <w:snapToGrid w:val="0"/>
          <w:kern w:val="0"/>
          <w:sz w:val="24"/>
          <w:lang w:bidi="zh-TW"/>
        </w:rPr>
        <w:t>项目</w:t>
      </w:r>
      <w:r w:rsidR="00625A6C" w:rsidRPr="00F9522B">
        <w:rPr>
          <w:rFonts w:eastAsiaTheme="minorEastAsia"/>
          <w:snapToGrid w:val="0"/>
          <w:kern w:val="0"/>
          <w:sz w:val="24"/>
          <w:lang w:bidi="zh-TW"/>
        </w:rPr>
        <w:t>松花江河</w:t>
      </w:r>
      <w:r w:rsidRPr="00F9522B">
        <w:rPr>
          <w:rFonts w:eastAsiaTheme="minorEastAsia"/>
          <w:snapToGrid w:val="0"/>
          <w:kern w:val="0"/>
          <w:sz w:val="24"/>
          <w:lang w:bidi="zh-TW"/>
        </w:rPr>
        <w:t>段水生生态影响评价工作等级为一级，漂河段水生生态影响评价工作等级为三级，陆生生态影响评价工作等级为三级。</w:t>
      </w:r>
    </w:p>
    <w:p w:rsidR="002A5A5E" w:rsidRPr="00F9522B" w:rsidRDefault="00611CBA">
      <w:pPr>
        <w:jc w:val="center"/>
        <w:rPr>
          <w:rFonts w:eastAsiaTheme="minorEastAsia"/>
          <w:kern w:val="0"/>
          <w:szCs w:val="21"/>
        </w:rPr>
      </w:pPr>
      <w:r w:rsidRPr="00F9522B">
        <w:rPr>
          <w:rFonts w:eastAsiaTheme="minorEastAsia"/>
          <w:b/>
          <w:bCs/>
          <w:smallCaps/>
          <w:szCs w:val="21"/>
        </w:rPr>
        <w:t>表</w:t>
      </w:r>
      <w:r w:rsidRPr="00F9522B">
        <w:rPr>
          <w:rFonts w:eastAsiaTheme="minorEastAsia"/>
          <w:b/>
          <w:bCs/>
          <w:smallCaps/>
          <w:szCs w:val="21"/>
        </w:rPr>
        <w:t xml:space="preserve">2-6-6  </w:t>
      </w:r>
      <w:r w:rsidRPr="00F9522B">
        <w:rPr>
          <w:rFonts w:eastAsiaTheme="minorEastAsia"/>
          <w:b/>
          <w:bCs/>
          <w:smallCaps/>
          <w:szCs w:val="21"/>
        </w:rPr>
        <w:t>生态影响评价工作等级分级表</w:t>
      </w:r>
    </w:p>
    <w:tbl>
      <w:tblPr>
        <w:tblW w:w="0" w:type="auto"/>
        <w:tblBorders>
          <w:top w:val="single" w:sz="12" w:space="0" w:color="auto"/>
          <w:bottom w:val="single" w:sz="12" w:space="0" w:color="auto"/>
          <w:insideH w:val="single" w:sz="2" w:space="0" w:color="auto"/>
          <w:insideV w:val="single" w:sz="2" w:space="0" w:color="auto"/>
        </w:tblBorders>
        <w:tblLook w:val="04A0"/>
      </w:tblPr>
      <w:tblGrid>
        <w:gridCol w:w="321"/>
        <w:gridCol w:w="621"/>
        <w:gridCol w:w="3419"/>
        <w:gridCol w:w="2977"/>
        <w:gridCol w:w="1184"/>
      </w:tblGrid>
      <w:tr w:rsidR="002A5A5E" w:rsidRPr="00F9522B">
        <w:trPr>
          <w:trHeight w:val="340"/>
        </w:trPr>
        <w:tc>
          <w:tcPr>
            <w:tcW w:w="942" w:type="dxa"/>
            <w:gridSpan w:val="2"/>
            <w:vAlign w:val="center"/>
          </w:tcPr>
          <w:p w:rsidR="002A5A5E" w:rsidRPr="00F9522B" w:rsidRDefault="00611CBA">
            <w:pPr>
              <w:jc w:val="center"/>
              <w:rPr>
                <w:rFonts w:eastAsiaTheme="minorEastAsia"/>
                <w:smallCaps/>
                <w:szCs w:val="21"/>
              </w:rPr>
            </w:pPr>
            <w:r w:rsidRPr="00F9522B">
              <w:rPr>
                <w:rFonts w:eastAsiaTheme="minorEastAsia"/>
                <w:smallCaps/>
                <w:szCs w:val="21"/>
              </w:rPr>
              <w:t>序号</w:t>
            </w:r>
          </w:p>
        </w:tc>
        <w:tc>
          <w:tcPr>
            <w:tcW w:w="3419" w:type="dxa"/>
            <w:vAlign w:val="center"/>
          </w:tcPr>
          <w:p w:rsidR="002A5A5E" w:rsidRPr="00F9522B" w:rsidRDefault="00611CBA">
            <w:pPr>
              <w:jc w:val="center"/>
              <w:rPr>
                <w:rFonts w:eastAsiaTheme="minorEastAsia"/>
                <w:smallCaps/>
                <w:szCs w:val="21"/>
              </w:rPr>
            </w:pPr>
            <w:r w:rsidRPr="00F9522B">
              <w:rPr>
                <w:rFonts w:eastAsiaTheme="minorEastAsia"/>
                <w:smallCaps/>
                <w:szCs w:val="21"/>
              </w:rPr>
              <w:t>导则原文</w:t>
            </w:r>
          </w:p>
        </w:tc>
        <w:tc>
          <w:tcPr>
            <w:tcW w:w="2977" w:type="dxa"/>
            <w:vAlign w:val="center"/>
          </w:tcPr>
          <w:p w:rsidR="002A5A5E" w:rsidRPr="00F9522B" w:rsidRDefault="00611CBA">
            <w:pPr>
              <w:jc w:val="center"/>
              <w:rPr>
                <w:rFonts w:eastAsiaTheme="minorEastAsia"/>
                <w:smallCaps/>
                <w:szCs w:val="21"/>
              </w:rPr>
            </w:pPr>
            <w:r w:rsidRPr="00F9522B">
              <w:rPr>
                <w:rFonts w:eastAsiaTheme="minorEastAsia"/>
                <w:smallCaps/>
                <w:szCs w:val="21"/>
              </w:rPr>
              <w:t>本项目</w:t>
            </w:r>
          </w:p>
        </w:tc>
        <w:tc>
          <w:tcPr>
            <w:tcW w:w="1184" w:type="dxa"/>
            <w:vAlign w:val="center"/>
          </w:tcPr>
          <w:p w:rsidR="002A5A5E" w:rsidRPr="00F9522B" w:rsidRDefault="00611CBA">
            <w:pPr>
              <w:jc w:val="center"/>
              <w:rPr>
                <w:rFonts w:eastAsiaTheme="minorEastAsia"/>
                <w:smallCaps/>
                <w:szCs w:val="21"/>
              </w:rPr>
            </w:pPr>
            <w:r w:rsidRPr="00F9522B">
              <w:rPr>
                <w:rFonts w:eastAsiaTheme="minorEastAsia"/>
                <w:smallCaps/>
                <w:szCs w:val="21"/>
              </w:rPr>
              <w:t>评价等级</w:t>
            </w:r>
          </w:p>
        </w:tc>
      </w:tr>
      <w:tr w:rsidR="002A5A5E" w:rsidRPr="00F9522B">
        <w:trPr>
          <w:trHeight w:val="340"/>
        </w:trPr>
        <w:tc>
          <w:tcPr>
            <w:tcW w:w="0" w:type="auto"/>
            <w:vMerge w:val="restart"/>
            <w:vAlign w:val="center"/>
          </w:tcPr>
          <w:p w:rsidR="002A5A5E" w:rsidRPr="00F9522B" w:rsidRDefault="00611CBA">
            <w:pPr>
              <w:jc w:val="center"/>
              <w:rPr>
                <w:rFonts w:eastAsiaTheme="minorEastAsia"/>
                <w:smallCaps/>
                <w:szCs w:val="21"/>
              </w:rPr>
            </w:pPr>
            <w:r w:rsidRPr="00F9522B">
              <w:rPr>
                <w:rFonts w:eastAsiaTheme="minorEastAsia"/>
                <w:smallCaps/>
                <w:szCs w:val="21"/>
              </w:rPr>
              <w:t>1</w:t>
            </w:r>
          </w:p>
        </w:tc>
        <w:tc>
          <w:tcPr>
            <w:tcW w:w="621" w:type="dxa"/>
            <w:vAlign w:val="center"/>
          </w:tcPr>
          <w:p w:rsidR="002A5A5E" w:rsidRPr="00F9522B" w:rsidRDefault="00611CBA">
            <w:pPr>
              <w:jc w:val="center"/>
              <w:rPr>
                <w:rFonts w:eastAsiaTheme="minorEastAsia"/>
                <w:smallCaps/>
                <w:szCs w:val="21"/>
              </w:rPr>
            </w:pPr>
            <w:r w:rsidRPr="00F9522B">
              <w:rPr>
                <w:rFonts w:eastAsiaTheme="minorEastAsia"/>
                <w:smallCaps/>
                <w:szCs w:val="21"/>
              </w:rPr>
              <w:t>a</w:t>
            </w:r>
            <w:r w:rsidRPr="00F9522B">
              <w:rPr>
                <w:rFonts w:eastAsiaTheme="minorEastAsia"/>
                <w:smallCaps/>
                <w:szCs w:val="21"/>
              </w:rPr>
              <w:t>）</w:t>
            </w:r>
          </w:p>
        </w:tc>
        <w:tc>
          <w:tcPr>
            <w:tcW w:w="3419" w:type="dxa"/>
            <w:vAlign w:val="center"/>
          </w:tcPr>
          <w:p w:rsidR="002A5A5E" w:rsidRPr="00F9522B" w:rsidRDefault="00611CBA">
            <w:pPr>
              <w:jc w:val="center"/>
              <w:rPr>
                <w:rFonts w:eastAsiaTheme="minorEastAsia"/>
                <w:smallCaps/>
                <w:szCs w:val="21"/>
              </w:rPr>
            </w:pPr>
            <w:r w:rsidRPr="00F9522B">
              <w:rPr>
                <w:rFonts w:eastAsiaTheme="minorEastAsia"/>
                <w:smallCaps/>
                <w:szCs w:val="21"/>
              </w:rPr>
              <w:t>涉及国家公园、自然保护区、世界自然遗产、重要生境时，评价等级为一级</w:t>
            </w:r>
          </w:p>
        </w:tc>
        <w:tc>
          <w:tcPr>
            <w:tcW w:w="2977" w:type="dxa"/>
            <w:vAlign w:val="center"/>
          </w:tcPr>
          <w:p w:rsidR="002A5A5E" w:rsidRPr="00F9522B" w:rsidRDefault="00030F6B" w:rsidP="00C50480">
            <w:pPr>
              <w:jc w:val="center"/>
              <w:rPr>
                <w:rFonts w:eastAsiaTheme="minorEastAsia"/>
                <w:smallCaps/>
                <w:szCs w:val="21"/>
              </w:rPr>
            </w:pPr>
            <w:r w:rsidRPr="00F9522B">
              <w:rPr>
                <w:rFonts w:eastAsiaTheme="minorEastAsia"/>
                <w:smallCaps/>
                <w:szCs w:val="21"/>
              </w:rPr>
              <w:t>本项目现有公家沟农田退水口距离黑龙江呼兰河口湿地省级自然保护区约</w:t>
            </w:r>
            <w:r w:rsidRPr="00F9522B">
              <w:rPr>
                <w:rFonts w:eastAsiaTheme="minorEastAsia"/>
                <w:smallCaps/>
                <w:szCs w:val="21"/>
              </w:rPr>
              <w:t>2</w:t>
            </w:r>
            <w:r w:rsidR="00C50480" w:rsidRPr="00F9522B">
              <w:rPr>
                <w:rFonts w:eastAsiaTheme="minorEastAsia"/>
                <w:smallCaps/>
                <w:szCs w:val="21"/>
              </w:rPr>
              <w:t>5</w:t>
            </w:r>
            <w:r w:rsidR="009628DB" w:rsidRPr="00F9522B">
              <w:rPr>
                <w:rFonts w:eastAsiaTheme="minorEastAsia"/>
                <w:szCs w:val="21"/>
              </w:rPr>
              <w:t>m</w:t>
            </w:r>
            <w:r w:rsidR="00AB2801" w:rsidRPr="00F9522B">
              <w:rPr>
                <w:rFonts w:eastAsiaTheme="minorEastAsia"/>
                <w:szCs w:val="21"/>
              </w:rPr>
              <w:t>，</w:t>
            </w:r>
            <w:r w:rsidR="00AB2801" w:rsidRPr="00F9522B">
              <w:rPr>
                <w:rFonts w:eastAsiaTheme="minorEastAsia"/>
                <w:smallCaps/>
                <w:szCs w:val="21"/>
              </w:rPr>
              <w:t>松花江河</w:t>
            </w:r>
            <w:r w:rsidR="00AB2801" w:rsidRPr="00F9522B">
              <w:rPr>
                <w:rFonts w:eastAsiaTheme="minorEastAsia"/>
                <w:szCs w:val="21"/>
              </w:rPr>
              <w:t>段水生生态评价等级为一级；漂河不涉及自然保护区，水生生态评价等级为三级</w:t>
            </w:r>
          </w:p>
        </w:tc>
        <w:tc>
          <w:tcPr>
            <w:tcW w:w="1184" w:type="dxa"/>
            <w:vAlign w:val="center"/>
          </w:tcPr>
          <w:p w:rsidR="002A5A5E" w:rsidRPr="00F9522B" w:rsidRDefault="00611CBA">
            <w:pPr>
              <w:jc w:val="center"/>
              <w:rPr>
                <w:rFonts w:eastAsiaTheme="minorEastAsia"/>
                <w:smallCaps/>
                <w:szCs w:val="21"/>
              </w:rPr>
            </w:pPr>
            <w:r w:rsidRPr="00F9522B">
              <w:rPr>
                <w:rFonts w:eastAsiaTheme="minorEastAsia"/>
                <w:smallCaps/>
                <w:szCs w:val="21"/>
              </w:rPr>
              <w:t>水生一级、水生三级</w:t>
            </w:r>
          </w:p>
        </w:tc>
      </w:tr>
      <w:tr w:rsidR="002A5A5E" w:rsidRPr="00F9522B">
        <w:trPr>
          <w:trHeight w:val="340"/>
        </w:trPr>
        <w:tc>
          <w:tcPr>
            <w:tcW w:w="0" w:type="auto"/>
            <w:vMerge/>
            <w:vAlign w:val="center"/>
          </w:tcPr>
          <w:p w:rsidR="002A5A5E" w:rsidRPr="00F9522B" w:rsidRDefault="002A5A5E">
            <w:pPr>
              <w:jc w:val="center"/>
              <w:rPr>
                <w:rFonts w:eastAsiaTheme="minorEastAsia"/>
                <w:smallCaps/>
                <w:szCs w:val="21"/>
              </w:rPr>
            </w:pPr>
          </w:p>
        </w:tc>
        <w:tc>
          <w:tcPr>
            <w:tcW w:w="621" w:type="dxa"/>
            <w:vAlign w:val="center"/>
          </w:tcPr>
          <w:p w:rsidR="002A5A5E" w:rsidRPr="00F9522B" w:rsidRDefault="00611CBA">
            <w:pPr>
              <w:jc w:val="center"/>
              <w:rPr>
                <w:rFonts w:eastAsiaTheme="minorEastAsia"/>
                <w:smallCaps/>
                <w:szCs w:val="21"/>
              </w:rPr>
            </w:pPr>
            <w:r w:rsidRPr="00F9522B">
              <w:rPr>
                <w:rFonts w:eastAsiaTheme="minorEastAsia"/>
                <w:smallCaps/>
                <w:szCs w:val="21"/>
              </w:rPr>
              <w:t>b</w:t>
            </w:r>
            <w:r w:rsidRPr="00F9522B">
              <w:rPr>
                <w:rFonts w:eastAsiaTheme="minorEastAsia"/>
                <w:smallCaps/>
                <w:szCs w:val="21"/>
              </w:rPr>
              <w:t>）</w:t>
            </w:r>
          </w:p>
        </w:tc>
        <w:tc>
          <w:tcPr>
            <w:tcW w:w="3419" w:type="dxa"/>
            <w:vAlign w:val="center"/>
          </w:tcPr>
          <w:p w:rsidR="002A5A5E" w:rsidRPr="00F9522B" w:rsidRDefault="00611CBA">
            <w:pPr>
              <w:jc w:val="center"/>
              <w:rPr>
                <w:rFonts w:eastAsiaTheme="minorEastAsia"/>
                <w:smallCaps/>
                <w:szCs w:val="21"/>
              </w:rPr>
            </w:pPr>
            <w:r w:rsidRPr="00F9522B">
              <w:rPr>
                <w:rFonts w:eastAsiaTheme="minorEastAsia"/>
                <w:smallCaps/>
                <w:szCs w:val="21"/>
              </w:rPr>
              <w:t>涉及自然公园时，评价等级为二级</w:t>
            </w:r>
          </w:p>
        </w:tc>
        <w:tc>
          <w:tcPr>
            <w:tcW w:w="2977" w:type="dxa"/>
            <w:vAlign w:val="center"/>
          </w:tcPr>
          <w:p w:rsidR="002A5A5E" w:rsidRPr="00F9522B" w:rsidRDefault="00611CBA">
            <w:pPr>
              <w:jc w:val="center"/>
              <w:rPr>
                <w:rFonts w:eastAsiaTheme="minorEastAsia"/>
                <w:smallCaps/>
                <w:szCs w:val="21"/>
              </w:rPr>
            </w:pPr>
            <w:r w:rsidRPr="00F9522B">
              <w:rPr>
                <w:rFonts w:eastAsiaTheme="minorEastAsia"/>
                <w:smallCaps/>
                <w:szCs w:val="21"/>
              </w:rPr>
              <w:t>不涉及</w:t>
            </w:r>
          </w:p>
        </w:tc>
        <w:tc>
          <w:tcPr>
            <w:tcW w:w="1184" w:type="dxa"/>
            <w:vAlign w:val="center"/>
          </w:tcPr>
          <w:p w:rsidR="002A5A5E" w:rsidRPr="00F9522B" w:rsidRDefault="00611CBA">
            <w:pPr>
              <w:jc w:val="center"/>
              <w:rPr>
                <w:rFonts w:eastAsiaTheme="minorEastAsia"/>
                <w:smallCaps/>
                <w:szCs w:val="21"/>
              </w:rPr>
            </w:pPr>
            <w:r w:rsidRPr="00F9522B">
              <w:rPr>
                <w:rFonts w:eastAsiaTheme="minorEastAsia"/>
                <w:smallCaps/>
                <w:szCs w:val="21"/>
              </w:rPr>
              <w:t>/</w:t>
            </w:r>
          </w:p>
        </w:tc>
      </w:tr>
      <w:tr w:rsidR="002A5A5E" w:rsidRPr="00F9522B">
        <w:trPr>
          <w:trHeight w:val="340"/>
        </w:trPr>
        <w:tc>
          <w:tcPr>
            <w:tcW w:w="0" w:type="auto"/>
            <w:vMerge/>
            <w:vAlign w:val="center"/>
          </w:tcPr>
          <w:p w:rsidR="002A5A5E" w:rsidRPr="00F9522B" w:rsidRDefault="002A5A5E">
            <w:pPr>
              <w:jc w:val="center"/>
              <w:rPr>
                <w:rFonts w:eastAsiaTheme="minorEastAsia"/>
                <w:smallCaps/>
                <w:szCs w:val="21"/>
              </w:rPr>
            </w:pPr>
          </w:p>
        </w:tc>
        <w:tc>
          <w:tcPr>
            <w:tcW w:w="621" w:type="dxa"/>
            <w:vAlign w:val="center"/>
          </w:tcPr>
          <w:p w:rsidR="002A5A5E" w:rsidRPr="00F9522B" w:rsidRDefault="00611CBA">
            <w:pPr>
              <w:jc w:val="center"/>
              <w:rPr>
                <w:rFonts w:eastAsiaTheme="minorEastAsia"/>
                <w:smallCaps/>
                <w:szCs w:val="21"/>
              </w:rPr>
            </w:pPr>
            <w:r w:rsidRPr="00F9522B">
              <w:rPr>
                <w:rFonts w:eastAsiaTheme="minorEastAsia"/>
                <w:smallCaps/>
                <w:szCs w:val="21"/>
              </w:rPr>
              <w:t>c</w:t>
            </w:r>
            <w:r w:rsidRPr="00F9522B">
              <w:rPr>
                <w:rFonts w:eastAsiaTheme="minorEastAsia"/>
                <w:smallCaps/>
                <w:szCs w:val="21"/>
              </w:rPr>
              <w:t>）</w:t>
            </w:r>
          </w:p>
        </w:tc>
        <w:tc>
          <w:tcPr>
            <w:tcW w:w="3419" w:type="dxa"/>
            <w:vAlign w:val="center"/>
          </w:tcPr>
          <w:p w:rsidR="002A5A5E" w:rsidRPr="00F9522B" w:rsidRDefault="00611CBA">
            <w:pPr>
              <w:jc w:val="center"/>
              <w:rPr>
                <w:rFonts w:eastAsiaTheme="minorEastAsia"/>
                <w:smallCaps/>
                <w:szCs w:val="21"/>
              </w:rPr>
            </w:pPr>
            <w:r w:rsidRPr="00F9522B">
              <w:rPr>
                <w:rFonts w:eastAsiaTheme="minorEastAsia"/>
                <w:smallCaps/>
                <w:szCs w:val="21"/>
              </w:rPr>
              <w:t>涉及生态保护红线时，评价等级不低于二级</w:t>
            </w:r>
          </w:p>
        </w:tc>
        <w:tc>
          <w:tcPr>
            <w:tcW w:w="2977" w:type="dxa"/>
            <w:vAlign w:val="center"/>
          </w:tcPr>
          <w:p w:rsidR="002A5A5E" w:rsidRPr="00F9522B" w:rsidRDefault="00611CBA">
            <w:pPr>
              <w:jc w:val="center"/>
              <w:rPr>
                <w:rFonts w:eastAsiaTheme="minorEastAsia"/>
                <w:smallCaps/>
                <w:szCs w:val="21"/>
              </w:rPr>
            </w:pPr>
            <w:r w:rsidRPr="00F9522B">
              <w:rPr>
                <w:rFonts w:eastAsiaTheme="minorEastAsia"/>
                <w:smallCaps/>
                <w:szCs w:val="21"/>
              </w:rPr>
              <w:t>不涉及</w:t>
            </w:r>
          </w:p>
        </w:tc>
        <w:tc>
          <w:tcPr>
            <w:tcW w:w="1184" w:type="dxa"/>
            <w:vAlign w:val="center"/>
          </w:tcPr>
          <w:p w:rsidR="002A5A5E" w:rsidRPr="00F9522B" w:rsidRDefault="00611CBA">
            <w:pPr>
              <w:jc w:val="center"/>
              <w:rPr>
                <w:rFonts w:eastAsiaTheme="minorEastAsia"/>
                <w:smallCaps/>
                <w:szCs w:val="21"/>
              </w:rPr>
            </w:pPr>
            <w:r w:rsidRPr="00F9522B">
              <w:rPr>
                <w:rFonts w:eastAsiaTheme="minorEastAsia"/>
                <w:smallCaps/>
                <w:szCs w:val="21"/>
              </w:rPr>
              <w:t>/</w:t>
            </w:r>
          </w:p>
        </w:tc>
      </w:tr>
      <w:tr w:rsidR="002A5A5E" w:rsidRPr="00F9522B">
        <w:trPr>
          <w:trHeight w:val="340"/>
        </w:trPr>
        <w:tc>
          <w:tcPr>
            <w:tcW w:w="0" w:type="auto"/>
            <w:vMerge/>
            <w:vAlign w:val="center"/>
          </w:tcPr>
          <w:p w:rsidR="002A5A5E" w:rsidRPr="00F9522B" w:rsidRDefault="002A5A5E">
            <w:pPr>
              <w:jc w:val="center"/>
              <w:rPr>
                <w:rFonts w:eastAsiaTheme="minorEastAsia"/>
                <w:smallCaps/>
                <w:szCs w:val="21"/>
              </w:rPr>
            </w:pPr>
          </w:p>
        </w:tc>
        <w:tc>
          <w:tcPr>
            <w:tcW w:w="621" w:type="dxa"/>
            <w:vAlign w:val="center"/>
          </w:tcPr>
          <w:p w:rsidR="002A5A5E" w:rsidRPr="00F9522B" w:rsidRDefault="00611CBA">
            <w:pPr>
              <w:jc w:val="center"/>
              <w:rPr>
                <w:rFonts w:eastAsiaTheme="minorEastAsia"/>
                <w:smallCaps/>
                <w:szCs w:val="21"/>
              </w:rPr>
            </w:pPr>
            <w:r w:rsidRPr="00F9522B">
              <w:rPr>
                <w:rFonts w:eastAsiaTheme="minorEastAsia"/>
                <w:smallCaps/>
                <w:szCs w:val="21"/>
              </w:rPr>
              <w:t>d</w:t>
            </w:r>
            <w:r w:rsidRPr="00F9522B">
              <w:rPr>
                <w:rFonts w:eastAsiaTheme="minorEastAsia"/>
                <w:smallCaps/>
                <w:szCs w:val="21"/>
              </w:rPr>
              <w:t>）</w:t>
            </w:r>
          </w:p>
        </w:tc>
        <w:tc>
          <w:tcPr>
            <w:tcW w:w="3419" w:type="dxa"/>
            <w:vAlign w:val="center"/>
          </w:tcPr>
          <w:p w:rsidR="002A5A5E" w:rsidRPr="00F9522B" w:rsidRDefault="00611CBA">
            <w:pPr>
              <w:jc w:val="center"/>
              <w:rPr>
                <w:rFonts w:eastAsiaTheme="minorEastAsia"/>
                <w:smallCaps/>
                <w:szCs w:val="21"/>
              </w:rPr>
            </w:pPr>
            <w:r w:rsidRPr="00F9522B">
              <w:rPr>
                <w:rFonts w:eastAsiaTheme="minorEastAsia"/>
                <w:smallCaps/>
                <w:szCs w:val="21"/>
              </w:rPr>
              <w:t>根据</w:t>
            </w:r>
            <w:r w:rsidRPr="00F9522B">
              <w:rPr>
                <w:rFonts w:eastAsiaTheme="minorEastAsia"/>
                <w:smallCaps/>
                <w:szCs w:val="21"/>
              </w:rPr>
              <w:t xml:space="preserve"> HJ2.3 </w:t>
            </w:r>
            <w:r w:rsidRPr="00F9522B">
              <w:rPr>
                <w:rFonts w:eastAsiaTheme="minorEastAsia"/>
                <w:smallCaps/>
                <w:szCs w:val="21"/>
              </w:rPr>
              <w:t>判断属于水文要素影响型且地表水评价等级不低于二级的建设项目，生态影响评价等级不低于二级</w:t>
            </w:r>
          </w:p>
        </w:tc>
        <w:tc>
          <w:tcPr>
            <w:tcW w:w="2977" w:type="dxa"/>
            <w:vAlign w:val="center"/>
          </w:tcPr>
          <w:p w:rsidR="002A5A5E" w:rsidRPr="00F9522B" w:rsidRDefault="00611CBA">
            <w:pPr>
              <w:jc w:val="center"/>
              <w:rPr>
                <w:rFonts w:eastAsiaTheme="minorEastAsia"/>
                <w:smallCaps/>
                <w:szCs w:val="21"/>
              </w:rPr>
            </w:pPr>
            <w:r w:rsidRPr="00F9522B">
              <w:rPr>
                <w:rFonts w:eastAsiaTheme="minorEastAsia"/>
                <w:smallCaps/>
                <w:szCs w:val="21"/>
              </w:rPr>
              <w:t>本项目地表水水文要素影响型无评价等级</w:t>
            </w:r>
          </w:p>
        </w:tc>
        <w:tc>
          <w:tcPr>
            <w:tcW w:w="1184" w:type="dxa"/>
            <w:vAlign w:val="center"/>
          </w:tcPr>
          <w:p w:rsidR="002A5A5E" w:rsidRPr="00F9522B" w:rsidRDefault="00611CBA">
            <w:pPr>
              <w:jc w:val="center"/>
              <w:rPr>
                <w:rFonts w:eastAsiaTheme="minorEastAsia"/>
                <w:smallCaps/>
                <w:szCs w:val="21"/>
              </w:rPr>
            </w:pPr>
            <w:r w:rsidRPr="00F9522B">
              <w:rPr>
                <w:rFonts w:eastAsiaTheme="minorEastAsia"/>
                <w:smallCaps/>
                <w:szCs w:val="21"/>
              </w:rPr>
              <w:t>/</w:t>
            </w:r>
          </w:p>
        </w:tc>
      </w:tr>
      <w:tr w:rsidR="002A5A5E" w:rsidRPr="00F9522B">
        <w:trPr>
          <w:trHeight w:val="340"/>
        </w:trPr>
        <w:tc>
          <w:tcPr>
            <w:tcW w:w="0" w:type="auto"/>
            <w:vMerge/>
            <w:vAlign w:val="center"/>
          </w:tcPr>
          <w:p w:rsidR="002A5A5E" w:rsidRPr="00F9522B" w:rsidRDefault="002A5A5E">
            <w:pPr>
              <w:jc w:val="center"/>
              <w:rPr>
                <w:rFonts w:eastAsiaTheme="minorEastAsia"/>
                <w:smallCaps/>
                <w:szCs w:val="21"/>
              </w:rPr>
            </w:pPr>
          </w:p>
        </w:tc>
        <w:tc>
          <w:tcPr>
            <w:tcW w:w="621" w:type="dxa"/>
            <w:vAlign w:val="center"/>
          </w:tcPr>
          <w:p w:rsidR="002A5A5E" w:rsidRPr="00F9522B" w:rsidRDefault="00611CBA">
            <w:pPr>
              <w:jc w:val="center"/>
              <w:rPr>
                <w:rFonts w:eastAsiaTheme="minorEastAsia"/>
                <w:smallCaps/>
                <w:szCs w:val="21"/>
              </w:rPr>
            </w:pPr>
            <w:r w:rsidRPr="00F9522B">
              <w:rPr>
                <w:rFonts w:eastAsiaTheme="minorEastAsia"/>
                <w:smallCaps/>
                <w:szCs w:val="21"/>
              </w:rPr>
              <w:t>e</w:t>
            </w:r>
            <w:r w:rsidRPr="00F9522B">
              <w:rPr>
                <w:rFonts w:eastAsiaTheme="minorEastAsia"/>
                <w:smallCaps/>
                <w:szCs w:val="21"/>
              </w:rPr>
              <w:t>）</w:t>
            </w:r>
          </w:p>
        </w:tc>
        <w:tc>
          <w:tcPr>
            <w:tcW w:w="3419" w:type="dxa"/>
            <w:vAlign w:val="center"/>
          </w:tcPr>
          <w:p w:rsidR="002A5A5E" w:rsidRPr="00F9522B" w:rsidRDefault="00611CBA">
            <w:pPr>
              <w:jc w:val="center"/>
              <w:rPr>
                <w:rFonts w:eastAsiaTheme="minorEastAsia"/>
                <w:smallCaps/>
                <w:szCs w:val="21"/>
              </w:rPr>
            </w:pPr>
            <w:r w:rsidRPr="00F9522B">
              <w:rPr>
                <w:rFonts w:eastAsiaTheme="minorEastAsia"/>
                <w:smallCaps/>
                <w:szCs w:val="21"/>
              </w:rPr>
              <w:t>根据</w:t>
            </w:r>
            <w:r w:rsidRPr="00F9522B">
              <w:rPr>
                <w:rFonts w:eastAsiaTheme="minorEastAsia"/>
                <w:smallCaps/>
                <w:szCs w:val="21"/>
              </w:rPr>
              <w:t xml:space="preserve"> HJ610</w:t>
            </w:r>
            <w:r w:rsidRPr="00F9522B">
              <w:rPr>
                <w:rFonts w:eastAsiaTheme="minorEastAsia"/>
                <w:smallCaps/>
                <w:szCs w:val="21"/>
              </w:rPr>
              <w:t>、</w:t>
            </w:r>
            <w:r w:rsidRPr="00F9522B">
              <w:rPr>
                <w:rFonts w:eastAsiaTheme="minorEastAsia"/>
                <w:smallCaps/>
                <w:szCs w:val="21"/>
              </w:rPr>
              <w:t xml:space="preserve">HJ964 </w:t>
            </w:r>
            <w:r w:rsidRPr="00F9522B">
              <w:rPr>
                <w:rFonts w:eastAsiaTheme="minorEastAsia"/>
                <w:smallCaps/>
                <w:szCs w:val="21"/>
              </w:rPr>
              <w:t>判断地下水水位或土壤影响范围内分布有天然林、公益林、湿地等生态保护目标的建设项目，生态影响评价等级不低于二级</w:t>
            </w:r>
          </w:p>
        </w:tc>
        <w:tc>
          <w:tcPr>
            <w:tcW w:w="2977" w:type="dxa"/>
            <w:vAlign w:val="center"/>
          </w:tcPr>
          <w:p w:rsidR="002A5A5E" w:rsidRPr="00F9522B" w:rsidRDefault="00611CBA" w:rsidP="00AB2801">
            <w:pPr>
              <w:jc w:val="center"/>
              <w:rPr>
                <w:rFonts w:eastAsiaTheme="minorEastAsia"/>
              </w:rPr>
            </w:pPr>
            <w:r w:rsidRPr="00F9522B">
              <w:rPr>
                <w:rFonts w:eastAsiaTheme="minorEastAsia"/>
                <w:smallCaps/>
                <w:szCs w:val="21"/>
              </w:rPr>
              <w:t>根据已批复《</w:t>
            </w:r>
            <w:r w:rsidR="003A7922" w:rsidRPr="00F9522B">
              <w:rPr>
                <w:rFonts w:eastAsiaTheme="minorEastAsia"/>
                <w:smallCaps/>
                <w:szCs w:val="21"/>
              </w:rPr>
              <w:t>呼兰区</w:t>
            </w:r>
            <w:r w:rsidR="003A7922" w:rsidRPr="00F9522B">
              <w:rPr>
                <w:rFonts w:eastAsiaTheme="minorEastAsia"/>
                <w:smallCaps/>
                <w:szCs w:val="21"/>
              </w:rPr>
              <w:t>2026</w:t>
            </w:r>
            <w:r w:rsidR="003A7922" w:rsidRPr="00F9522B">
              <w:rPr>
                <w:rFonts w:eastAsiaTheme="minorEastAsia"/>
                <w:smallCaps/>
                <w:szCs w:val="21"/>
              </w:rPr>
              <w:t>年高标准农田建设项目</w:t>
            </w:r>
            <w:r w:rsidRPr="00F9522B">
              <w:rPr>
                <w:rFonts w:eastAsiaTheme="minorEastAsia"/>
                <w:smallCaps/>
                <w:szCs w:val="21"/>
              </w:rPr>
              <w:t>水资源论证报告书》可知，本项目井群地下水开采水位影响范围最大为</w:t>
            </w:r>
            <w:r w:rsidRPr="00F9522B">
              <w:rPr>
                <w:rFonts w:eastAsiaTheme="minorEastAsia"/>
                <w:smallCaps/>
                <w:szCs w:val="21"/>
              </w:rPr>
              <w:t>6</w:t>
            </w:r>
            <w:r w:rsidR="00AB2801" w:rsidRPr="00F9522B">
              <w:rPr>
                <w:rFonts w:eastAsiaTheme="minorEastAsia"/>
                <w:smallCaps/>
                <w:szCs w:val="21"/>
              </w:rPr>
              <w:t>6</w:t>
            </w:r>
            <w:r w:rsidRPr="00F9522B">
              <w:rPr>
                <w:rFonts w:eastAsiaTheme="minorEastAsia"/>
                <w:smallCaps/>
                <w:szCs w:val="21"/>
              </w:rPr>
              <w:t>米。项目无需进行土壤评价，经调查，地下水水位和土壤影响范围内未分布天然林、公益林、湿地等生态保护目标</w:t>
            </w:r>
          </w:p>
        </w:tc>
        <w:tc>
          <w:tcPr>
            <w:tcW w:w="1184" w:type="dxa"/>
            <w:vAlign w:val="center"/>
          </w:tcPr>
          <w:p w:rsidR="002A5A5E" w:rsidRPr="00F9522B" w:rsidRDefault="00611CBA">
            <w:pPr>
              <w:jc w:val="center"/>
              <w:rPr>
                <w:rFonts w:eastAsiaTheme="minorEastAsia"/>
                <w:smallCaps/>
                <w:szCs w:val="21"/>
              </w:rPr>
            </w:pPr>
            <w:r w:rsidRPr="00F9522B">
              <w:rPr>
                <w:rFonts w:eastAsiaTheme="minorEastAsia"/>
                <w:smallCaps/>
                <w:szCs w:val="21"/>
              </w:rPr>
              <w:t>/</w:t>
            </w:r>
          </w:p>
        </w:tc>
      </w:tr>
      <w:tr w:rsidR="002A5A5E" w:rsidRPr="00F9522B">
        <w:trPr>
          <w:trHeight w:val="340"/>
        </w:trPr>
        <w:tc>
          <w:tcPr>
            <w:tcW w:w="0" w:type="auto"/>
            <w:vMerge/>
            <w:vAlign w:val="center"/>
          </w:tcPr>
          <w:p w:rsidR="002A5A5E" w:rsidRPr="00F9522B" w:rsidRDefault="002A5A5E">
            <w:pPr>
              <w:jc w:val="center"/>
              <w:rPr>
                <w:rFonts w:eastAsiaTheme="minorEastAsia"/>
                <w:smallCaps/>
                <w:szCs w:val="21"/>
              </w:rPr>
            </w:pPr>
          </w:p>
        </w:tc>
        <w:tc>
          <w:tcPr>
            <w:tcW w:w="621" w:type="dxa"/>
            <w:vAlign w:val="center"/>
          </w:tcPr>
          <w:p w:rsidR="002A5A5E" w:rsidRPr="00F9522B" w:rsidRDefault="00611CBA">
            <w:pPr>
              <w:jc w:val="center"/>
              <w:rPr>
                <w:rFonts w:eastAsiaTheme="minorEastAsia"/>
                <w:smallCaps/>
                <w:szCs w:val="21"/>
              </w:rPr>
            </w:pPr>
            <w:r w:rsidRPr="00F9522B">
              <w:rPr>
                <w:rFonts w:eastAsiaTheme="minorEastAsia"/>
                <w:smallCaps/>
                <w:szCs w:val="21"/>
              </w:rPr>
              <w:t>f</w:t>
            </w:r>
            <w:r w:rsidRPr="00F9522B">
              <w:rPr>
                <w:rFonts w:eastAsiaTheme="minorEastAsia"/>
                <w:smallCaps/>
                <w:szCs w:val="21"/>
              </w:rPr>
              <w:t>）</w:t>
            </w:r>
          </w:p>
        </w:tc>
        <w:tc>
          <w:tcPr>
            <w:tcW w:w="3419" w:type="dxa"/>
            <w:vAlign w:val="center"/>
          </w:tcPr>
          <w:p w:rsidR="002A5A5E" w:rsidRPr="00F9522B" w:rsidRDefault="00611CBA">
            <w:pPr>
              <w:jc w:val="center"/>
              <w:rPr>
                <w:rFonts w:eastAsiaTheme="minorEastAsia"/>
                <w:smallCaps/>
                <w:szCs w:val="21"/>
              </w:rPr>
            </w:pPr>
            <w:r w:rsidRPr="00F9522B">
              <w:rPr>
                <w:rFonts w:eastAsiaTheme="minorEastAsia"/>
                <w:smallCaps/>
                <w:szCs w:val="21"/>
              </w:rPr>
              <w:t>当工程占地规模大于</w:t>
            </w:r>
            <w:r w:rsidRPr="00F9522B">
              <w:rPr>
                <w:rFonts w:eastAsiaTheme="minorEastAsia"/>
                <w:smallCaps/>
                <w:szCs w:val="21"/>
              </w:rPr>
              <w:t>20</w:t>
            </w:r>
            <w:r w:rsidRPr="00F9522B">
              <w:rPr>
                <w:rFonts w:eastAsiaTheme="minorEastAsia"/>
                <w:snapToGrid w:val="0"/>
                <w:kern w:val="0"/>
                <w:szCs w:val="21"/>
              </w:rPr>
              <w:t>km</w:t>
            </w:r>
            <w:r w:rsidRPr="00F9522B">
              <w:rPr>
                <w:rFonts w:eastAsiaTheme="minorEastAsia"/>
                <w:snapToGrid w:val="0"/>
                <w:kern w:val="0"/>
                <w:szCs w:val="21"/>
                <w:vertAlign w:val="superscript"/>
              </w:rPr>
              <w:t>2</w:t>
            </w:r>
            <w:r w:rsidRPr="00F9522B">
              <w:rPr>
                <w:rFonts w:eastAsiaTheme="minorEastAsia"/>
                <w:smallCaps/>
                <w:szCs w:val="21"/>
              </w:rPr>
              <w:t>（包括永久和临时占用陆域和水域），评价等级不低于二级；改扩建项目的占地范围以新增占地（包括陆</w:t>
            </w:r>
            <w:r w:rsidRPr="00F9522B">
              <w:rPr>
                <w:rFonts w:eastAsiaTheme="minorEastAsia"/>
                <w:smallCaps/>
                <w:szCs w:val="21"/>
              </w:rPr>
              <w:t xml:space="preserve"> </w:t>
            </w:r>
            <w:r w:rsidRPr="00F9522B">
              <w:rPr>
                <w:rFonts w:eastAsiaTheme="minorEastAsia"/>
                <w:smallCaps/>
                <w:szCs w:val="21"/>
              </w:rPr>
              <w:t>域和水域）确定</w:t>
            </w:r>
          </w:p>
        </w:tc>
        <w:tc>
          <w:tcPr>
            <w:tcW w:w="2977" w:type="dxa"/>
            <w:vAlign w:val="center"/>
          </w:tcPr>
          <w:p w:rsidR="002A5A5E" w:rsidRPr="00AA4603" w:rsidRDefault="00611CBA" w:rsidP="00772BB1">
            <w:pPr>
              <w:jc w:val="center"/>
              <w:rPr>
                <w:rFonts w:eastAsiaTheme="minorEastAsia"/>
                <w:smallCaps/>
                <w:color w:val="FF0000"/>
                <w:szCs w:val="21"/>
              </w:rPr>
            </w:pPr>
            <w:r w:rsidRPr="00AA4603">
              <w:rPr>
                <w:rFonts w:eastAsiaTheme="minorEastAsia"/>
                <w:bCs/>
                <w:smallCaps/>
                <w:color w:val="FF0000"/>
                <w:szCs w:val="21"/>
              </w:rPr>
              <w:t>项目工程新增永久占地约为</w:t>
            </w:r>
            <w:r w:rsidR="00B42C98" w:rsidRPr="00AA4603">
              <w:rPr>
                <w:rFonts w:eastAsiaTheme="minorEastAsia"/>
                <w:bCs/>
                <w:smallCaps/>
                <w:color w:val="FF0000"/>
                <w:szCs w:val="21"/>
              </w:rPr>
              <w:t>46260</w:t>
            </w:r>
            <w:r w:rsidRPr="00AA4603">
              <w:rPr>
                <w:rFonts w:eastAsiaTheme="minorEastAsia"/>
                <w:color w:val="FF0000"/>
                <w:szCs w:val="21"/>
              </w:rPr>
              <w:t>m</w:t>
            </w:r>
            <w:r w:rsidRPr="00AA4603">
              <w:rPr>
                <w:rFonts w:eastAsiaTheme="minorEastAsia"/>
                <w:color w:val="FF0000"/>
                <w:szCs w:val="21"/>
                <w:vertAlign w:val="superscript"/>
              </w:rPr>
              <w:t>2</w:t>
            </w:r>
            <w:r w:rsidRPr="00AA4603">
              <w:rPr>
                <w:rFonts w:eastAsiaTheme="minorEastAsia"/>
                <w:bCs/>
                <w:smallCaps/>
                <w:color w:val="FF0000"/>
                <w:szCs w:val="21"/>
              </w:rPr>
              <w:t>，</w:t>
            </w:r>
            <w:r w:rsidRPr="00AA4603">
              <w:rPr>
                <w:rFonts w:eastAsiaTheme="minorEastAsia"/>
                <w:smallCaps/>
                <w:color w:val="FF0000"/>
                <w:szCs w:val="21"/>
              </w:rPr>
              <w:t>临时占用共</w:t>
            </w:r>
            <w:r w:rsidR="00AA4603" w:rsidRPr="00AA4603">
              <w:rPr>
                <w:rFonts w:eastAsiaTheme="minorEastAsia"/>
                <w:smallCaps/>
                <w:color w:val="FF0000"/>
                <w:szCs w:val="21"/>
              </w:rPr>
              <w:t>294140</w:t>
            </w:r>
            <w:r w:rsidRPr="00AA4603">
              <w:rPr>
                <w:rFonts w:eastAsiaTheme="minorEastAsia"/>
                <w:color w:val="FF0000"/>
                <w:szCs w:val="21"/>
              </w:rPr>
              <w:t>m</w:t>
            </w:r>
            <w:r w:rsidRPr="00AA4603">
              <w:rPr>
                <w:rFonts w:eastAsiaTheme="minorEastAsia"/>
                <w:color w:val="FF0000"/>
                <w:szCs w:val="21"/>
                <w:vertAlign w:val="superscript"/>
              </w:rPr>
              <w:t>2</w:t>
            </w:r>
            <w:r w:rsidRPr="00AA4603">
              <w:rPr>
                <w:rFonts w:eastAsiaTheme="minorEastAsia"/>
                <w:smallCaps/>
                <w:color w:val="FF0000"/>
                <w:szCs w:val="21"/>
              </w:rPr>
              <w:t>，</w:t>
            </w:r>
            <w:r w:rsidR="00AA4603" w:rsidRPr="00AA4603">
              <w:rPr>
                <w:rFonts w:eastAsiaTheme="minorEastAsia"/>
                <w:snapToGrid w:val="0"/>
                <w:color w:val="FF0000"/>
                <w:kern w:val="0"/>
                <w:szCs w:val="21"/>
              </w:rPr>
              <w:t>共</w:t>
            </w:r>
            <w:r w:rsidR="00AA4603" w:rsidRPr="00AA4603">
              <w:rPr>
                <w:rFonts w:eastAsiaTheme="minorEastAsia" w:hint="eastAsia"/>
                <w:snapToGrid w:val="0"/>
                <w:color w:val="FF0000"/>
                <w:kern w:val="0"/>
                <w:szCs w:val="21"/>
              </w:rPr>
              <w:t>0.34</w:t>
            </w:r>
            <w:r w:rsidR="00AA4603" w:rsidRPr="00AA4603">
              <w:rPr>
                <w:rFonts w:eastAsiaTheme="minorEastAsia"/>
                <w:snapToGrid w:val="0"/>
                <w:color w:val="FF0000"/>
                <w:kern w:val="0"/>
                <w:szCs w:val="21"/>
              </w:rPr>
              <w:t>km</w:t>
            </w:r>
            <w:r w:rsidR="00AA4603" w:rsidRPr="00AA4603">
              <w:rPr>
                <w:rFonts w:eastAsiaTheme="minorEastAsia"/>
                <w:snapToGrid w:val="0"/>
                <w:color w:val="FF0000"/>
                <w:kern w:val="0"/>
                <w:szCs w:val="21"/>
                <w:vertAlign w:val="superscript"/>
              </w:rPr>
              <w:t>2</w:t>
            </w:r>
            <w:r w:rsidR="00AA4603" w:rsidRPr="00AA4603">
              <w:rPr>
                <w:rFonts w:eastAsiaTheme="minorEastAsia"/>
                <w:smallCaps/>
                <w:color w:val="FF0000"/>
                <w:szCs w:val="21"/>
              </w:rPr>
              <w:t>，</w:t>
            </w:r>
            <w:r w:rsidRPr="00AA4603">
              <w:rPr>
                <w:rFonts w:eastAsiaTheme="minorEastAsia"/>
                <w:color w:val="FF0000"/>
                <w:szCs w:val="21"/>
              </w:rPr>
              <w:t>＜</w:t>
            </w:r>
            <w:r w:rsidRPr="00AA4603">
              <w:rPr>
                <w:rFonts w:eastAsiaTheme="minorEastAsia"/>
                <w:color w:val="FF0000"/>
                <w:szCs w:val="21"/>
              </w:rPr>
              <w:t>20km</w:t>
            </w:r>
            <w:r w:rsidRPr="00AA4603">
              <w:rPr>
                <w:rFonts w:eastAsiaTheme="minorEastAsia"/>
                <w:color w:val="FF0000"/>
                <w:szCs w:val="21"/>
                <w:vertAlign w:val="superscript"/>
              </w:rPr>
              <w:t>2</w:t>
            </w:r>
          </w:p>
        </w:tc>
        <w:tc>
          <w:tcPr>
            <w:tcW w:w="1184" w:type="dxa"/>
            <w:vAlign w:val="center"/>
          </w:tcPr>
          <w:p w:rsidR="002A5A5E" w:rsidRPr="00AA4603" w:rsidRDefault="00611CBA">
            <w:pPr>
              <w:jc w:val="center"/>
              <w:rPr>
                <w:rFonts w:eastAsiaTheme="minorEastAsia"/>
                <w:smallCaps/>
                <w:szCs w:val="21"/>
              </w:rPr>
            </w:pPr>
            <w:r w:rsidRPr="00AA4603">
              <w:rPr>
                <w:rFonts w:eastAsiaTheme="minorEastAsia"/>
                <w:smallCaps/>
                <w:szCs w:val="21"/>
              </w:rPr>
              <w:t>/</w:t>
            </w:r>
          </w:p>
        </w:tc>
      </w:tr>
    </w:tbl>
    <w:p w:rsidR="00AA4603" w:rsidRDefault="00AA4603"/>
    <w:p w:rsidR="00AA4603" w:rsidRPr="00F9522B" w:rsidRDefault="00AA4603" w:rsidP="00AA4603">
      <w:pPr>
        <w:jc w:val="center"/>
        <w:rPr>
          <w:rFonts w:eastAsiaTheme="minorEastAsia"/>
          <w:kern w:val="0"/>
          <w:szCs w:val="21"/>
        </w:rPr>
      </w:pPr>
      <w:r w:rsidRPr="00F9522B">
        <w:rPr>
          <w:rFonts w:eastAsiaTheme="minorEastAsia"/>
          <w:b/>
          <w:bCs/>
          <w:smallCaps/>
          <w:szCs w:val="21"/>
        </w:rPr>
        <w:lastRenderedPageBreak/>
        <w:t>续表</w:t>
      </w:r>
      <w:r w:rsidRPr="00F9522B">
        <w:rPr>
          <w:rFonts w:eastAsiaTheme="minorEastAsia"/>
          <w:b/>
          <w:bCs/>
          <w:smallCaps/>
          <w:szCs w:val="21"/>
        </w:rPr>
        <w:t xml:space="preserve">2-6-6  </w:t>
      </w:r>
      <w:r w:rsidRPr="00F9522B">
        <w:rPr>
          <w:rFonts w:eastAsiaTheme="minorEastAsia"/>
          <w:b/>
          <w:bCs/>
          <w:smallCaps/>
          <w:szCs w:val="21"/>
        </w:rPr>
        <w:t>生态影响评价工作等级分级表</w:t>
      </w:r>
    </w:p>
    <w:tbl>
      <w:tblPr>
        <w:tblW w:w="0" w:type="auto"/>
        <w:tblBorders>
          <w:top w:val="single" w:sz="12" w:space="0" w:color="auto"/>
          <w:bottom w:val="single" w:sz="12" w:space="0" w:color="auto"/>
          <w:insideH w:val="single" w:sz="2" w:space="0" w:color="auto"/>
          <w:insideV w:val="single" w:sz="2" w:space="0" w:color="auto"/>
        </w:tblBorders>
        <w:tblLook w:val="04A0"/>
      </w:tblPr>
      <w:tblGrid>
        <w:gridCol w:w="321"/>
        <w:gridCol w:w="621"/>
        <w:gridCol w:w="3419"/>
        <w:gridCol w:w="2977"/>
        <w:gridCol w:w="1184"/>
      </w:tblGrid>
      <w:tr w:rsidR="00AA4603" w:rsidRPr="00F9522B">
        <w:trPr>
          <w:trHeight w:val="340"/>
        </w:trPr>
        <w:tc>
          <w:tcPr>
            <w:tcW w:w="321" w:type="dxa"/>
            <w:vMerge w:val="restart"/>
            <w:vAlign w:val="center"/>
          </w:tcPr>
          <w:p w:rsidR="00AA4603" w:rsidRPr="00F9522B" w:rsidRDefault="00AA4603">
            <w:pPr>
              <w:jc w:val="center"/>
              <w:rPr>
                <w:rFonts w:eastAsiaTheme="minorEastAsia"/>
                <w:smallCaps/>
                <w:szCs w:val="21"/>
              </w:rPr>
            </w:pPr>
            <w:r>
              <w:rPr>
                <w:rFonts w:eastAsiaTheme="minorEastAsia" w:hint="eastAsia"/>
                <w:smallCaps/>
                <w:szCs w:val="21"/>
              </w:rPr>
              <w:t>1</w:t>
            </w:r>
          </w:p>
        </w:tc>
        <w:tc>
          <w:tcPr>
            <w:tcW w:w="621" w:type="dxa"/>
            <w:vAlign w:val="center"/>
          </w:tcPr>
          <w:p w:rsidR="00AA4603" w:rsidRPr="00F9522B" w:rsidRDefault="00AA4603">
            <w:pPr>
              <w:jc w:val="center"/>
              <w:rPr>
                <w:rFonts w:eastAsiaTheme="minorEastAsia"/>
                <w:smallCaps/>
                <w:szCs w:val="21"/>
              </w:rPr>
            </w:pPr>
            <w:r w:rsidRPr="00F9522B">
              <w:rPr>
                <w:rFonts w:eastAsiaTheme="minorEastAsia"/>
                <w:smallCaps/>
                <w:szCs w:val="21"/>
              </w:rPr>
              <w:t>g</w:t>
            </w:r>
            <w:r w:rsidRPr="00F9522B">
              <w:rPr>
                <w:rFonts w:eastAsiaTheme="minorEastAsia"/>
                <w:smallCaps/>
                <w:szCs w:val="21"/>
              </w:rPr>
              <w:t>）</w:t>
            </w:r>
          </w:p>
        </w:tc>
        <w:tc>
          <w:tcPr>
            <w:tcW w:w="3419" w:type="dxa"/>
            <w:vAlign w:val="center"/>
          </w:tcPr>
          <w:p w:rsidR="00AA4603" w:rsidRPr="00F9522B" w:rsidRDefault="00AA4603">
            <w:pPr>
              <w:jc w:val="center"/>
              <w:rPr>
                <w:rFonts w:eastAsiaTheme="minorEastAsia"/>
                <w:smallCaps/>
                <w:szCs w:val="21"/>
              </w:rPr>
            </w:pPr>
            <w:r w:rsidRPr="00F9522B">
              <w:rPr>
                <w:rFonts w:eastAsiaTheme="minorEastAsia"/>
                <w:smallCaps/>
                <w:szCs w:val="21"/>
              </w:rPr>
              <w:t>除本条</w:t>
            </w:r>
            <w:r w:rsidRPr="00F9522B">
              <w:rPr>
                <w:rFonts w:eastAsiaTheme="minorEastAsia"/>
                <w:smallCaps/>
                <w:szCs w:val="21"/>
              </w:rPr>
              <w:t xml:space="preserve"> a</w:t>
            </w:r>
            <w:r w:rsidRPr="00F9522B">
              <w:rPr>
                <w:rFonts w:eastAsiaTheme="minorEastAsia"/>
                <w:smallCaps/>
                <w:szCs w:val="21"/>
              </w:rPr>
              <w:t>）、</w:t>
            </w:r>
            <w:r w:rsidRPr="00F9522B">
              <w:rPr>
                <w:rFonts w:eastAsiaTheme="minorEastAsia"/>
                <w:smallCaps/>
                <w:szCs w:val="21"/>
              </w:rPr>
              <w:t>b</w:t>
            </w:r>
            <w:r w:rsidRPr="00F9522B">
              <w:rPr>
                <w:rFonts w:eastAsiaTheme="minorEastAsia"/>
                <w:smallCaps/>
                <w:szCs w:val="21"/>
              </w:rPr>
              <w:t>）、</w:t>
            </w:r>
            <w:r w:rsidRPr="00F9522B">
              <w:rPr>
                <w:rFonts w:eastAsiaTheme="minorEastAsia"/>
                <w:smallCaps/>
                <w:szCs w:val="21"/>
              </w:rPr>
              <w:t>c</w:t>
            </w:r>
            <w:r w:rsidRPr="00F9522B">
              <w:rPr>
                <w:rFonts w:eastAsiaTheme="minorEastAsia"/>
                <w:smallCaps/>
                <w:szCs w:val="21"/>
              </w:rPr>
              <w:t>）、</w:t>
            </w:r>
            <w:r w:rsidRPr="00F9522B">
              <w:rPr>
                <w:rFonts w:eastAsiaTheme="minorEastAsia"/>
                <w:smallCaps/>
                <w:szCs w:val="21"/>
              </w:rPr>
              <w:t>d</w:t>
            </w:r>
            <w:r w:rsidRPr="00F9522B">
              <w:rPr>
                <w:rFonts w:eastAsiaTheme="minorEastAsia"/>
                <w:smallCaps/>
                <w:szCs w:val="21"/>
              </w:rPr>
              <w:t>）、</w:t>
            </w:r>
            <w:r w:rsidRPr="00F9522B">
              <w:rPr>
                <w:rFonts w:eastAsiaTheme="minorEastAsia"/>
                <w:smallCaps/>
                <w:szCs w:val="21"/>
              </w:rPr>
              <w:t>e</w:t>
            </w:r>
            <w:r w:rsidRPr="00F9522B">
              <w:rPr>
                <w:rFonts w:eastAsiaTheme="minorEastAsia"/>
                <w:smallCaps/>
                <w:szCs w:val="21"/>
              </w:rPr>
              <w:t>）、</w:t>
            </w:r>
            <w:r w:rsidRPr="00F9522B">
              <w:rPr>
                <w:rFonts w:eastAsiaTheme="minorEastAsia"/>
                <w:smallCaps/>
                <w:szCs w:val="21"/>
              </w:rPr>
              <w:t>f</w:t>
            </w:r>
            <w:r w:rsidRPr="00F9522B">
              <w:rPr>
                <w:rFonts w:eastAsiaTheme="minorEastAsia"/>
                <w:smallCaps/>
                <w:szCs w:val="21"/>
              </w:rPr>
              <w:t>）以外的情况，评价等级为三级</w:t>
            </w:r>
          </w:p>
        </w:tc>
        <w:tc>
          <w:tcPr>
            <w:tcW w:w="2977" w:type="dxa"/>
            <w:vAlign w:val="center"/>
          </w:tcPr>
          <w:p w:rsidR="00AA4603" w:rsidRPr="00F9522B" w:rsidRDefault="00AA4603" w:rsidP="00AA4603">
            <w:pPr>
              <w:jc w:val="center"/>
              <w:rPr>
                <w:rFonts w:eastAsiaTheme="minorEastAsia"/>
                <w:smallCaps/>
                <w:szCs w:val="21"/>
              </w:rPr>
            </w:pPr>
            <w:r w:rsidRPr="00F9522B">
              <w:rPr>
                <w:rFonts w:eastAsiaTheme="minorEastAsia"/>
                <w:szCs w:val="21"/>
              </w:rPr>
              <w:t>陆生生态、水生生态分别判定评价等级</w:t>
            </w:r>
          </w:p>
        </w:tc>
        <w:tc>
          <w:tcPr>
            <w:tcW w:w="1184" w:type="dxa"/>
            <w:vAlign w:val="center"/>
          </w:tcPr>
          <w:p w:rsidR="00AA4603" w:rsidRPr="00F9522B" w:rsidRDefault="00AA4603" w:rsidP="00AA4603">
            <w:pPr>
              <w:jc w:val="center"/>
              <w:rPr>
                <w:rFonts w:eastAsiaTheme="minorEastAsia"/>
                <w:smallCaps/>
                <w:szCs w:val="21"/>
              </w:rPr>
            </w:pPr>
            <w:r w:rsidRPr="00F9522B">
              <w:rPr>
                <w:rFonts w:eastAsiaTheme="minorEastAsia"/>
                <w:smallCaps/>
                <w:szCs w:val="21"/>
              </w:rPr>
              <w:t>水生一级、水生三级；陆生三级</w:t>
            </w:r>
          </w:p>
        </w:tc>
      </w:tr>
      <w:tr w:rsidR="002A5A5E" w:rsidRPr="00F9522B">
        <w:trPr>
          <w:trHeight w:val="340"/>
        </w:trPr>
        <w:tc>
          <w:tcPr>
            <w:tcW w:w="321" w:type="dxa"/>
            <w:vMerge/>
            <w:vAlign w:val="center"/>
          </w:tcPr>
          <w:p w:rsidR="002A5A5E" w:rsidRPr="00F9522B" w:rsidRDefault="002A5A5E">
            <w:pPr>
              <w:jc w:val="center"/>
              <w:rPr>
                <w:rFonts w:eastAsiaTheme="minorEastAsia"/>
                <w:smallCaps/>
                <w:szCs w:val="21"/>
              </w:rPr>
            </w:pPr>
          </w:p>
        </w:tc>
        <w:tc>
          <w:tcPr>
            <w:tcW w:w="621" w:type="dxa"/>
            <w:vAlign w:val="center"/>
          </w:tcPr>
          <w:p w:rsidR="002A5A5E" w:rsidRPr="00F9522B" w:rsidRDefault="00611CBA">
            <w:pPr>
              <w:jc w:val="center"/>
              <w:rPr>
                <w:rFonts w:eastAsiaTheme="minorEastAsia"/>
                <w:smallCaps/>
                <w:szCs w:val="21"/>
              </w:rPr>
            </w:pPr>
            <w:r w:rsidRPr="00F9522B">
              <w:rPr>
                <w:rFonts w:eastAsiaTheme="minorEastAsia"/>
                <w:smallCaps/>
                <w:szCs w:val="21"/>
              </w:rPr>
              <w:t>h</w:t>
            </w:r>
            <w:r w:rsidRPr="00F9522B">
              <w:rPr>
                <w:rFonts w:eastAsiaTheme="minorEastAsia"/>
                <w:smallCaps/>
                <w:szCs w:val="21"/>
              </w:rPr>
              <w:t>）</w:t>
            </w:r>
          </w:p>
        </w:tc>
        <w:tc>
          <w:tcPr>
            <w:tcW w:w="3419" w:type="dxa"/>
            <w:vAlign w:val="center"/>
          </w:tcPr>
          <w:p w:rsidR="002A5A5E" w:rsidRPr="00F9522B" w:rsidRDefault="00611CBA">
            <w:pPr>
              <w:jc w:val="center"/>
              <w:rPr>
                <w:rFonts w:eastAsiaTheme="minorEastAsia"/>
                <w:smallCaps/>
                <w:szCs w:val="21"/>
              </w:rPr>
            </w:pPr>
            <w:r w:rsidRPr="00F9522B">
              <w:rPr>
                <w:rFonts w:eastAsiaTheme="minorEastAsia"/>
                <w:smallCaps/>
                <w:szCs w:val="21"/>
              </w:rPr>
              <w:t>当评价等级判定同时符合上述多种情况时，应采用其中最高的评价等级</w:t>
            </w:r>
          </w:p>
        </w:tc>
        <w:tc>
          <w:tcPr>
            <w:tcW w:w="2977" w:type="dxa"/>
            <w:vAlign w:val="center"/>
          </w:tcPr>
          <w:p w:rsidR="002A5A5E" w:rsidRPr="00F9522B" w:rsidRDefault="00611CBA">
            <w:pPr>
              <w:jc w:val="center"/>
              <w:rPr>
                <w:rFonts w:eastAsiaTheme="minorEastAsia"/>
                <w:smallCaps/>
                <w:szCs w:val="21"/>
              </w:rPr>
            </w:pPr>
            <w:r w:rsidRPr="00F9522B">
              <w:rPr>
                <w:rFonts w:eastAsiaTheme="minorEastAsia"/>
                <w:smallCaps/>
                <w:szCs w:val="21"/>
              </w:rPr>
              <w:t>/</w:t>
            </w:r>
          </w:p>
        </w:tc>
        <w:tc>
          <w:tcPr>
            <w:tcW w:w="1184" w:type="dxa"/>
            <w:vAlign w:val="center"/>
          </w:tcPr>
          <w:p w:rsidR="002A5A5E" w:rsidRPr="00F9522B" w:rsidRDefault="00611CBA">
            <w:pPr>
              <w:jc w:val="center"/>
              <w:rPr>
                <w:rFonts w:eastAsiaTheme="minorEastAsia"/>
                <w:smallCaps/>
                <w:szCs w:val="21"/>
              </w:rPr>
            </w:pPr>
            <w:r w:rsidRPr="00F9522B">
              <w:rPr>
                <w:rFonts w:eastAsiaTheme="minorEastAsia"/>
                <w:smallCaps/>
                <w:szCs w:val="21"/>
              </w:rPr>
              <w:t>水生一级、水生三级；陆生三级</w:t>
            </w:r>
          </w:p>
        </w:tc>
      </w:tr>
      <w:tr w:rsidR="002A5A5E" w:rsidRPr="00F9522B">
        <w:trPr>
          <w:trHeight w:val="340"/>
        </w:trPr>
        <w:tc>
          <w:tcPr>
            <w:tcW w:w="942" w:type="dxa"/>
            <w:gridSpan w:val="2"/>
            <w:vAlign w:val="center"/>
          </w:tcPr>
          <w:p w:rsidR="002A5A5E" w:rsidRPr="00F9522B" w:rsidRDefault="00611CBA">
            <w:pPr>
              <w:jc w:val="center"/>
              <w:rPr>
                <w:rFonts w:eastAsiaTheme="minorEastAsia"/>
                <w:smallCaps/>
                <w:szCs w:val="21"/>
              </w:rPr>
            </w:pPr>
            <w:r w:rsidRPr="00F9522B">
              <w:rPr>
                <w:rFonts w:eastAsiaTheme="minorEastAsia"/>
                <w:smallCaps/>
                <w:szCs w:val="21"/>
              </w:rPr>
              <w:t>2</w:t>
            </w:r>
          </w:p>
        </w:tc>
        <w:tc>
          <w:tcPr>
            <w:tcW w:w="3419" w:type="dxa"/>
            <w:vAlign w:val="center"/>
          </w:tcPr>
          <w:p w:rsidR="002A5A5E" w:rsidRPr="00F9522B" w:rsidRDefault="00611CBA">
            <w:pPr>
              <w:jc w:val="center"/>
              <w:rPr>
                <w:rFonts w:eastAsiaTheme="minorEastAsia"/>
                <w:smallCaps/>
                <w:szCs w:val="21"/>
              </w:rPr>
            </w:pPr>
            <w:r w:rsidRPr="00F9522B">
              <w:rPr>
                <w:rFonts w:eastAsiaTheme="minorEastAsia"/>
                <w:smallCaps/>
                <w:szCs w:val="21"/>
              </w:rPr>
              <w:t>建设项目涉及经论证对保护生物多样性具有重要意义的区域时，可适当上调评价等级</w:t>
            </w:r>
          </w:p>
        </w:tc>
        <w:tc>
          <w:tcPr>
            <w:tcW w:w="2977" w:type="dxa"/>
            <w:vAlign w:val="center"/>
          </w:tcPr>
          <w:p w:rsidR="002A5A5E" w:rsidRPr="00F9522B" w:rsidRDefault="00611CBA">
            <w:pPr>
              <w:jc w:val="center"/>
              <w:rPr>
                <w:rFonts w:eastAsiaTheme="minorEastAsia"/>
                <w:smallCaps/>
                <w:szCs w:val="21"/>
              </w:rPr>
            </w:pPr>
            <w:r w:rsidRPr="00F9522B">
              <w:rPr>
                <w:rFonts w:eastAsiaTheme="minorEastAsia"/>
                <w:smallCaps/>
                <w:szCs w:val="21"/>
              </w:rPr>
              <w:t>不涉及</w:t>
            </w:r>
          </w:p>
        </w:tc>
        <w:tc>
          <w:tcPr>
            <w:tcW w:w="1184" w:type="dxa"/>
            <w:vAlign w:val="center"/>
          </w:tcPr>
          <w:p w:rsidR="002A5A5E" w:rsidRPr="00F9522B" w:rsidRDefault="00611CBA">
            <w:pPr>
              <w:jc w:val="center"/>
              <w:rPr>
                <w:rFonts w:eastAsiaTheme="minorEastAsia"/>
                <w:smallCaps/>
                <w:szCs w:val="21"/>
              </w:rPr>
            </w:pPr>
            <w:r w:rsidRPr="00F9522B">
              <w:rPr>
                <w:rFonts w:eastAsiaTheme="minorEastAsia"/>
                <w:smallCaps/>
                <w:szCs w:val="21"/>
              </w:rPr>
              <w:t>/</w:t>
            </w:r>
          </w:p>
        </w:tc>
      </w:tr>
      <w:tr w:rsidR="002A5A5E" w:rsidRPr="00F9522B">
        <w:trPr>
          <w:trHeight w:val="340"/>
        </w:trPr>
        <w:tc>
          <w:tcPr>
            <w:tcW w:w="942" w:type="dxa"/>
            <w:gridSpan w:val="2"/>
            <w:vAlign w:val="center"/>
          </w:tcPr>
          <w:p w:rsidR="002A5A5E" w:rsidRPr="00F9522B" w:rsidRDefault="00611CBA">
            <w:pPr>
              <w:jc w:val="center"/>
              <w:rPr>
                <w:rFonts w:eastAsiaTheme="minorEastAsia"/>
                <w:smallCaps/>
                <w:szCs w:val="21"/>
              </w:rPr>
            </w:pPr>
            <w:r w:rsidRPr="00F9522B">
              <w:rPr>
                <w:rFonts w:eastAsiaTheme="minorEastAsia"/>
                <w:smallCaps/>
                <w:szCs w:val="21"/>
              </w:rPr>
              <w:t>3</w:t>
            </w:r>
          </w:p>
        </w:tc>
        <w:tc>
          <w:tcPr>
            <w:tcW w:w="3419" w:type="dxa"/>
            <w:vAlign w:val="center"/>
          </w:tcPr>
          <w:p w:rsidR="002A5A5E" w:rsidRPr="00F9522B" w:rsidRDefault="00611CBA">
            <w:pPr>
              <w:jc w:val="center"/>
              <w:rPr>
                <w:rFonts w:eastAsiaTheme="minorEastAsia"/>
                <w:smallCaps/>
                <w:szCs w:val="21"/>
              </w:rPr>
            </w:pPr>
            <w:r w:rsidRPr="00F9522B">
              <w:rPr>
                <w:rFonts w:eastAsiaTheme="minorEastAsia"/>
                <w:smallCaps/>
                <w:szCs w:val="21"/>
              </w:rPr>
              <w:t>建设项目同时涉及陆生、水生生态影响时，可针对陆生生态、水生生态分别判定评价等级</w:t>
            </w:r>
          </w:p>
        </w:tc>
        <w:tc>
          <w:tcPr>
            <w:tcW w:w="2977" w:type="dxa"/>
            <w:vAlign w:val="center"/>
          </w:tcPr>
          <w:p w:rsidR="002A5A5E" w:rsidRPr="00F9522B" w:rsidRDefault="00611CBA">
            <w:pPr>
              <w:jc w:val="center"/>
              <w:rPr>
                <w:rFonts w:eastAsiaTheme="minorEastAsia"/>
                <w:smallCaps/>
                <w:szCs w:val="21"/>
              </w:rPr>
            </w:pPr>
            <w:r w:rsidRPr="00F9522B">
              <w:rPr>
                <w:rFonts w:eastAsiaTheme="minorEastAsia"/>
                <w:szCs w:val="21"/>
              </w:rPr>
              <w:t>陆生生态、水生生态分别判定评价等级</w:t>
            </w:r>
          </w:p>
        </w:tc>
        <w:tc>
          <w:tcPr>
            <w:tcW w:w="1184" w:type="dxa"/>
            <w:vAlign w:val="center"/>
          </w:tcPr>
          <w:p w:rsidR="002A5A5E" w:rsidRPr="00F9522B" w:rsidRDefault="00611CBA">
            <w:pPr>
              <w:jc w:val="center"/>
              <w:rPr>
                <w:rFonts w:eastAsiaTheme="minorEastAsia"/>
                <w:smallCaps/>
                <w:szCs w:val="21"/>
              </w:rPr>
            </w:pPr>
            <w:r w:rsidRPr="00F9522B">
              <w:rPr>
                <w:rFonts w:eastAsiaTheme="minorEastAsia"/>
                <w:smallCaps/>
                <w:szCs w:val="21"/>
              </w:rPr>
              <w:t>水生一级、水生三级；陆生三级</w:t>
            </w:r>
          </w:p>
        </w:tc>
      </w:tr>
      <w:tr w:rsidR="002A5A5E" w:rsidRPr="00F9522B">
        <w:trPr>
          <w:trHeight w:val="340"/>
        </w:trPr>
        <w:tc>
          <w:tcPr>
            <w:tcW w:w="942" w:type="dxa"/>
            <w:gridSpan w:val="2"/>
            <w:vAlign w:val="center"/>
          </w:tcPr>
          <w:p w:rsidR="002A5A5E" w:rsidRPr="00F9522B" w:rsidRDefault="00611CBA">
            <w:pPr>
              <w:jc w:val="center"/>
              <w:rPr>
                <w:rFonts w:eastAsiaTheme="minorEastAsia"/>
                <w:smallCaps/>
                <w:szCs w:val="21"/>
              </w:rPr>
            </w:pPr>
            <w:r w:rsidRPr="00F9522B">
              <w:rPr>
                <w:rFonts w:eastAsiaTheme="minorEastAsia"/>
                <w:smallCaps/>
                <w:szCs w:val="21"/>
              </w:rPr>
              <w:t>4</w:t>
            </w:r>
          </w:p>
        </w:tc>
        <w:tc>
          <w:tcPr>
            <w:tcW w:w="3419" w:type="dxa"/>
            <w:vAlign w:val="center"/>
          </w:tcPr>
          <w:p w:rsidR="002A5A5E" w:rsidRPr="00F9522B" w:rsidRDefault="00611CBA">
            <w:pPr>
              <w:jc w:val="center"/>
              <w:rPr>
                <w:rFonts w:eastAsiaTheme="minorEastAsia"/>
                <w:smallCaps/>
                <w:szCs w:val="21"/>
              </w:rPr>
            </w:pPr>
            <w:r w:rsidRPr="00F9522B">
              <w:rPr>
                <w:rFonts w:eastAsiaTheme="minorEastAsia"/>
                <w:smallCaps/>
                <w:szCs w:val="21"/>
              </w:rPr>
              <w:t>在矿山</w:t>
            </w:r>
            <w:r w:rsidR="00760E2B" w:rsidRPr="00F9522B">
              <w:rPr>
                <w:rFonts w:eastAsiaTheme="minorEastAsia"/>
                <w:smallCaps/>
                <w:szCs w:val="21"/>
              </w:rPr>
              <w:t>开采</w:t>
            </w:r>
            <w:r w:rsidRPr="00F9522B">
              <w:rPr>
                <w:rFonts w:eastAsiaTheme="minorEastAsia"/>
                <w:smallCaps/>
                <w:szCs w:val="21"/>
              </w:rPr>
              <w:t>可能导致矿区土地利用类型明显改变，或拦河闸坝建设可能明显改变水文情势等情况下，评价等级应上调一级</w:t>
            </w:r>
          </w:p>
        </w:tc>
        <w:tc>
          <w:tcPr>
            <w:tcW w:w="2977" w:type="dxa"/>
            <w:vAlign w:val="center"/>
          </w:tcPr>
          <w:p w:rsidR="002A5A5E" w:rsidRPr="00F9522B" w:rsidRDefault="00611CBA">
            <w:pPr>
              <w:jc w:val="center"/>
              <w:rPr>
                <w:rFonts w:eastAsiaTheme="minorEastAsia"/>
                <w:smallCaps/>
                <w:szCs w:val="21"/>
              </w:rPr>
            </w:pPr>
            <w:r w:rsidRPr="00F9522B">
              <w:rPr>
                <w:rFonts w:eastAsiaTheme="minorEastAsia"/>
                <w:smallCaps/>
                <w:szCs w:val="21"/>
              </w:rPr>
              <w:t>不涉及</w:t>
            </w:r>
          </w:p>
        </w:tc>
        <w:tc>
          <w:tcPr>
            <w:tcW w:w="1184" w:type="dxa"/>
            <w:vAlign w:val="center"/>
          </w:tcPr>
          <w:p w:rsidR="002A5A5E" w:rsidRPr="00F9522B" w:rsidRDefault="00611CBA">
            <w:pPr>
              <w:jc w:val="center"/>
              <w:rPr>
                <w:rFonts w:eastAsiaTheme="minorEastAsia"/>
                <w:smallCaps/>
                <w:szCs w:val="21"/>
              </w:rPr>
            </w:pPr>
            <w:r w:rsidRPr="00F9522B">
              <w:rPr>
                <w:rFonts w:eastAsiaTheme="minorEastAsia"/>
                <w:smallCaps/>
                <w:szCs w:val="21"/>
              </w:rPr>
              <w:t>/</w:t>
            </w:r>
          </w:p>
        </w:tc>
      </w:tr>
      <w:tr w:rsidR="002A5A5E" w:rsidRPr="00F9522B">
        <w:trPr>
          <w:trHeight w:val="340"/>
        </w:trPr>
        <w:tc>
          <w:tcPr>
            <w:tcW w:w="942" w:type="dxa"/>
            <w:gridSpan w:val="2"/>
            <w:vAlign w:val="center"/>
          </w:tcPr>
          <w:p w:rsidR="002A5A5E" w:rsidRPr="00F9522B" w:rsidRDefault="00611CBA">
            <w:pPr>
              <w:jc w:val="center"/>
              <w:rPr>
                <w:rFonts w:eastAsiaTheme="minorEastAsia"/>
                <w:smallCaps/>
                <w:szCs w:val="21"/>
              </w:rPr>
            </w:pPr>
            <w:r w:rsidRPr="00F9522B">
              <w:rPr>
                <w:rFonts w:eastAsiaTheme="minorEastAsia"/>
                <w:smallCaps/>
                <w:szCs w:val="21"/>
              </w:rPr>
              <w:t>5</w:t>
            </w:r>
          </w:p>
        </w:tc>
        <w:tc>
          <w:tcPr>
            <w:tcW w:w="3419" w:type="dxa"/>
            <w:vAlign w:val="center"/>
          </w:tcPr>
          <w:p w:rsidR="002A5A5E" w:rsidRPr="00F9522B" w:rsidRDefault="00611CBA">
            <w:pPr>
              <w:jc w:val="center"/>
              <w:rPr>
                <w:rFonts w:eastAsiaTheme="minorEastAsia"/>
                <w:smallCaps/>
                <w:szCs w:val="21"/>
              </w:rPr>
            </w:pPr>
            <w:r w:rsidRPr="00F9522B">
              <w:rPr>
                <w:rFonts w:eastAsiaTheme="minorEastAsia"/>
                <w:smallCaps/>
                <w:szCs w:val="21"/>
              </w:rPr>
              <w:t>线性工程可分段确定评价等级。线性工程地下穿越或地表跨越生态敏感区，在生态敏感区范围内无永久、临时占地时，评价等级可下调一级</w:t>
            </w:r>
          </w:p>
        </w:tc>
        <w:tc>
          <w:tcPr>
            <w:tcW w:w="2977" w:type="dxa"/>
            <w:vAlign w:val="center"/>
          </w:tcPr>
          <w:p w:rsidR="002A5A5E" w:rsidRPr="00F9522B" w:rsidRDefault="00030F6B" w:rsidP="00C50480">
            <w:pPr>
              <w:jc w:val="center"/>
              <w:rPr>
                <w:rFonts w:eastAsiaTheme="minorEastAsia"/>
                <w:smallCaps/>
                <w:szCs w:val="21"/>
              </w:rPr>
            </w:pPr>
            <w:r w:rsidRPr="00F9522B">
              <w:rPr>
                <w:rFonts w:eastAsiaTheme="minorEastAsia"/>
                <w:smallCaps/>
                <w:szCs w:val="21"/>
              </w:rPr>
              <w:t>本项目现有公家沟农田退水口距离黑龙江呼兰河口湿地省级自然保护区约</w:t>
            </w:r>
            <w:r w:rsidRPr="00F9522B">
              <w:rPr>
                <w:rFonts w:eastAsiaTheme="minorEastAsia"/>
                <w:smallCaps/>
                <w:szCs w:val="21"/>
              </w:rPr>
              <w:t>2</w:t>
            </w:r>
            <w:r w:rsidR="00C50480" w:rsidRPr="00F9522B">
              <w:rPr>
                <w:rFonts w:eastAsiaTheme="minorEastAsia"/>
                <w:smallCaps/>
                <w:szCs w:val="21"/>
              </w:rPr>
              <w:t>5</w:t>
            </w:r>
            <w:r w:rsidRPr="00F9522B">
              <w:rPr>
                <w:rFonts w:eastAsiaTheme="minorEastAsia"/>
                <w:snapToGrid w:val="0"/>
                <w:kern w:val="0"/>
                <w:szCs w:val="21"/>
              </w:rPr>
              <w:t>m</w:t>
            </w:r>
            <w:r w:rsidR="00AB2801" w:rsidRPr="00F9522B">
              <w:rPr>
                <w:rFonts w:eastAsiaTheme="minorEastAsia"/>
                <w:szCs w:val="21"/>
              </w:rPr>
              <w:t>，</w:t>
            </w:r>
            <w:r w:rsidR="00AB2801" w:rsidRPr="00F9522B">
              <w:rPr>
                <w:rFonts w:eastAsiaTheme="minorEastAsia"/>
                <w:smallCaps/>
                <w:szCs w:val="21"/>
              </w:rPr>
              <w:t>松花江河</w:t>
            </w:r>
            <w:r w:rsidR="00AB2801" w:rsidRPr="00F9522B">
              <w:rPr>
                <w:rFonts w:eastAsiaTheme="minorEastAsia"/>
                <w:szCs w:val="21"/>
              </w:rPr>
              <w:t>段水生生态评价等级为一级；</w:t>
            </w:r>
            <w:r w:rsidR="00611CBA" w:rsidRPr="00F9522B">
              <w:rPr>
                <w:rFonts w:eastAsiaTheme="minorEastAsia"/>
                <w:szCs w:val="21"/>
              </w:rPr>
              <w:t>漂河不涉及自然保护区，水生生态评价等级为三级</w:t>
            </w:r>
          </w:p>
        </w:tc>
        <w:tc>
          <w:tcPr>
            <w:tcW w:w="1184" w:type="dxa"/>
            <w:vAlign w:val="center"/>
          </w:tcPr>
          <w:p w:rsidR="002A5A5E" w:rsidRPr="00F9522B" w:rsidRDefault="00611CBA">
            <w:pPr>
              <w:jc w:val="center"/>
              <w:rPr>
                <w:rFonts w:eastAsiaTheme="minorEastAsia"/>
                <w:smallCaps/>
                <w:szCs w:val="21"/>
              </w:rPr>
            </w:pPr>
            <w:r w:rsidRPr="00F9522B">
              <w:rPr>
                <w:rFonts w:eastAsiaTheme="minorEastAsia"/>
                <w:smallCaps/>
                <w:szCs w:val="21"/>
              </w:rPr>
              <w:t>水生一级、水生三级</w:t>
            </w:r>
          </w:p>
        </w:tc>
      </w:tr>
      <w:tr w:rsidR="002A5A5E" w:rsidRPr="00F9522B">
        <w:trPr>
          <w:trHeight w:val="340"/>
        </w:trPr>
        <w:tc>
          <w:tcPr>
            <w:tcW w:w="942" w:type="dxa"/>
            <w:gridSpan w:val="2"/>
            <w:vAlign w:val="center"/>
          </w:tcPr>
          <w:p w:rsidR="002A5A5E" w:rsidRPr="00F9522B" w:rsidRDefault="00611CBA">
            <w:pPr>
              <w:jc w:val="center"/>
              <w:rPr>
                <w:rFonts w:eastAsiaTheme="minorEastAsia"/>
                <w:smallCaps/>
                <w:szCs w:val="21"/>
              </w:rPr>
            </w:pPr>
            <w:r w:rsidRPr="00F9522B">
              <w:rPr>
                <w:rFonts w:eastAsiaTheme="minorEastAsia"/>
                <w:smallCaps/>
                <w:szCs w:val="21"/>
              </w:rPr>
              <w:t>6</w:t>
            </w:r>
          </w:p>
        </w:tc>
        <w:tc>
          <w:tcPr>
            <w:tcW w:w="3419" w:type="dxa"/>
            <w:vAlign w:val="center"/>
          </w:tcPr>
          <w:p w:rsidR="002A5A5E" w:rsidRPr="00F9522B" w:rsidRDefault="00611CBA">
            <w:pPr>
              <w:jc w:val="center"/>
              <w:rPr>
                <w:rFonts w:eastAsiaTheme="minorEastAsia"/>
                <w:smallCaps/>
                <w:szCs w:val="21"/>
              </w:rPr>
            </w:pPr>
            <w:r w:rsidRPr="00F9522B">
              <w:rPr>
                <w:rFonts w:eastAsiaTheme="minorEastAsia"/>
                <w:smallCaps/>
                <w:szCs w:val="21"/>
              </w:rPr>
              <w:t>涉海工程评价等级判定参照</w:t>
            </w:r>
            <w:r w:rsidRPr="00F9522B">
              <w:rPr>
                <w:rFonts w:eastAsiaTheme="minorEastAsia"/>
                <w:smallCaps/>
                <w:szCs w:val="21"/>
              </w:rPr>
              <w:t xml:space="preserve"> GB/T 19485</w:t>
            </w:r>
          </w:p>
        </w:tc>
        <w:tc>
          <w:tcPr>
            <w:tcW w:w="2977" w:type="dxa"/>
            <w:vAlign w:val="center"/>
          </w:tcPr>
          <w:p w:rsidR="002A5A5E" w:rsidRPr="00F9522B" w:rsidRDefault="00611CBA">
            <w:pPr>
              <w:jc w:val="center"/>
              <w:rPr>
                <w:rFonts w:eastAsiaTheme="minorEastAsia"/>
                <w:smallCaps/>
                <w:szCs w:val="21"/>
              </w:rPr>
            </w:pPr>
            <w:r w:rsidRPr="00F9522B">
              <w:rPr>
                <w:rFonts w:eastAsiaTheme="minorEastAsia"/>
                <w:smallCaps/>
                <w:szCs w:val="21"/>
              </w:rPr>
              <w:t>不涉及</w:t>
            </w:r>
          </w:p>
        </w:tc>
        <w:tc>
          <w:tcPr>
            <w:tcW w:w="1184" w:type="dxa"/>
            <w:vAlign w:val="center"/>
          </w:tcPr>
          <w:p w:rsidR="002A5A5E" w:rsidRPr="00F9522B" w:rsidRDefault="00611CBA">
            <w:pPr>
              <w:jc w:val="center"/>
              <w:rPr>
                <w:rFonts w:eastAsiaTheme="minorEastAsia"/>
                <w:smallCaps/>
                <w:szCs w:val="21"/>
              </w:rPr>
            </w:pPr>
            <w:r w:rsidRPr="00F9522B">
              <w:rPr>
                <w:rFonts w:eastAsiaTheme="minorEastAsia"/>
                <w:smallCaps/>
                <w:szCs w:val="21"/>
              </w:rPr>
              <w:t>/</w:t>
            </w:r>
          </w:p>
        </w:tc>
      </w:tr>
      <w:tr w:rsidR="002A5A5E" w:rsidRPr="00F9522B">
        <w:trPr>
          <w:trHeight w:val="340"/>
        </w:trPr>
        <w:tc>
          <w:tcPr>
            <w:tcW w:w="942" w:type="dxa"/>
            <w:gridSpan w:val="2"/>
            <w:vAlign w:val="center"/>
          </w:tcPr>
          <w:p w:rsidR="002A5A5E" w:rsidRPr="00F9522B" w:rsidRDefault="00611CBA">
            <w:pPr>
              <w:jc w:val="center"/>
              <w:rPr>
                <w:rFonts w:eastAsiaTheme="minorEastAsia"/>
                <w:smallCaps/>
                <w:szCs w:val="21"/>
              </w:rPr>
            </w:pPr>
            <w:r w:rsidRPr="00F9522B">
              <w:rPr>
                <w:rFonts w:eastAsiaTheme="minorEastAsia"/>
                <w:smallCaps/>
                <w:szCs w:val="21"/>
              </w:rPr>
              <w:t>7</w:t>
            </w:r>
          </w:p>
        </w:tc>
        <w:tc>
          <w:tcPr>
            <w:tcW w:w="3419" w:type="dxa"/>
            <w:vAlign w:val="center"/>
          </w:tcPr>
          <w:p w:rsidR="002A5A5E" w:rsidRPr="00F9522B" w:rsidRDefault="00611CBA">
            <w:pPr>
              <w:jc w:val="center"/>
              <w:rPr>
                <w:rFonts w:eastAsiaTheme="minorEastAsia"/>
                <w:smallCaps/>
                <w:szCs w:val="21"/>
              </w:rPr>
            </w:pPr>
            <w:r w:rsidRPr="00F9522B">
              <w:rPr>
                <w:rFonts w:eastAsiaTheme="minorEastAsia"/>
                <w:smallCaps/>
                <w:szCs w:val="21"/>
              </w:rPr>
              <w:t>符合生态环境分区管控要求且位于原厂界（或永久用地）范围内的污染影响类改扩建项目，位于已批准规划环评的产业园区内且符合规划环评要求、不涉及生态敏感区的污染影响类建设项目，可不确定评价等级，直接进行生态影响简单分析</w:t>
            </w:r>
          </w:p>
        </w:tc>
        <w:tc>
          <w:tcPr>
            <w:tcW w:w="2977" w:type="dxa"/>
            <w:vAlign w:val="center"/>
          </w:tcPr>
          <w:p w:rsidR="002A5A5E" w:rsidRPr="00F9522B" w:rsidRDefault="00611CBA">
            <w:pPr>
              <w:jc w:val="center"/>
              <w:rPr>
                <w:rFonts w:eastAsiaTheme="minorEastAsia"/>
                <w:smallCaps/>
                <w:szCs w:val="21"/>
              </w:rPr>
            </w:pPr>
            <w:r w:rsidRPr="00F9522B">
              <w:rPr>
                <w:rFonts w:eastAsiaTheme="minorEastAsia"/>
                <w:smallCaps/>
                <w:szCs w:val="21"/>
              </w:rPr>
              <w:t>不涉及</w:t>
            </w:r>
          </w:p>
        </w:tc>
        <w:tc>
          <w:tcPr>
            <w:tcW w:w="1184" w:type="dxa"/>
            <w:vAlign w:val="center"/>
          </w:tcPr>
          <w:p w:rsidR="002A5A5E" w:rsidRPr="00F9522B" w:rsidRDefault="00611CBA">
            <w:pPr>
              <w:jc w:val="center"/>
              <w:rPr>
                <w:rFonts w:eastAsiaTheme="minorEastAsia"/>
                <w:smallCaps/>
                <w:szCs w:val="21"/>
              </w:rPr>
            </w:pPr>
            <w:r w:rsidRPr="00F9522B">
              <w:rPr>
                <w:rFonts w:eastAsiaTheme="minorEastAsia"/>
                <w:smallCaps/>
                <w:szCs w:val="21"/>
              </w:rPr>
              <w:t>/</w:t>
            </w:r>
          </w:p>
        </w:tc>
      </w:tr>
    </w:tbl>
    <w:p w:rsidR="002A5A5E" w:rsidRPr="00F9522B" w:rsidRDefault="00611CBA">
      <w:pPr>
        <w:pStyle w:val="30"/>
        <w:spacing w:before="100" w:beforeAutospacing="1" w:after="100" w:afterAutospacing="1" w:line="240" w:lineRule="auto"/>
        <w:ind w:firstLineChars="0" w:firstLine="0"/>
        <w:contextualSpacing/>
        <w:rPr>
          <w:rFonts w:ascii="Times New Roman" w:eastAsiaTheme="minorEastAsia" w:hAnsi="Times New Roman" w:cs="Times New Roman"/>
          <w:b/>
          <w:sz w:val="28"/>
          <w:szCs w:val="28"/>
        </w:rPr>
      </w:pPr>
      <w:r w:rsidRPr="00F9522B">
        <w:rPr>
          <w:rFonts w:ascii="Times New Roman" w:eastAsiaTheme="minorEastAsia" w:hAnsi="Times New Roman" w:cs="Times New Roman"/>
          <w:b/>
          <w:sz w:val="28"/>
          <w:szCs w:val="28"/>
        </w:rPr>
        <w:t>2.6.6</w:t>
      </w:r>
      <w:r w:rsidRPr="00F9522B">
        <w:rPr>
          <w:rFonts w:ascii="Times New Roman" w:eastAsiaTheme="minorEastAsia" w:hAnsi="Times New Roman" w:cs="Times New Roman"/>
          <w:b/>
          <w:sz w:val="28"/>
          <w:szCs w:val="28"/>
        </w:rPr>
        <w:t>土壤评价工作等级</w:t>
      </w:r>
    </w:p>
    <w:p w:rsidR="002A5A5E" w:rsidRPr="00F9522B" w:rsidRDefault="00611CBA">
      <w:pPr>
        <w:spacing w:line="360" w:lineRule="auto"/>
        <w:ind w:firstLineChars="200" w:firstLine="480"/>
        <w:contextualSpacing/>
        <w:rPr>
          <w:rFonts w:eastAsiaTheme="minorEastAsia"/>
          <w:snapToGrid w:val="0"/>
          <w:kern w:val="0"/>
          <w:sz w:val="24"/>
          <w:szCs w:val="22"/>
        </w:rPr>
      </w:pPr>
      <w:r w:rsidRPr="00F9522B">
        <w:rPr>
          <w:rFonts w:eastAsiaTheme="minorEastAsia"/>
          <w:snapToGrid w:val="0"/>
          <w:kern w:val="0"/>
          <w:sz w:val="24"/>
          <w:szCs w:val="22"/>
        </w:rPr>
        <w:t>根据《环境影响评价技术导则</w:t>
      </w:r>
      <w:r w:rsidRPr="00F9522B">
        <w:rPr>
          <w:rFonts w:eastAsiaTheme="minorEastAsia"/>
          <w:snapToGrid w:val="0"/>
          <w:kern w:val="0"/>
          <w:sz w:val="24"/>
          <w:szCs w:val="22"/>
        </w:rPr>
        <w:t xml:space="preserve"> </w:t>
      </w:r>
      <w:r w:rsidRPr="00F9522B">
        <w:rPr>
          <w:rFonts w:eastAsiaTheme="minorEastAsia"/>
          <w:snapToGrid w:val="0"/>
          <w:sz w:val="24"/>
          <w:szCs w:val="22"/>
        </w:rPr>
        <w:t>土壤环境（试行）</w:t>
      </w:r>
      <w:r w:rsidRPr="00F9522B">
        <w:rPr>
          <w:rFonts w:eastAsiaTheme="minorEastAsia"/>
          <w:snapToGrid w:val="0"/>
          <w:kern w:val="0"/>
          <w:sz w:val="24"/>
          <w:szCs w:val="22"/>
        </w:rPr>
        <w:t>》（</w:t>
      </w:r>
      <w:r w:rsidRPr="00F9522B">
        <w:rPr>
          <w:rFonts w:eastAsiaTheme="minorEastAsia"/>
          <w:snapToGrid w:val="0"/>
          <w:kern w:val="0"/>
          <w:sz w:val="24"/>
          <w:szCs w:val="22"/>
        </w:rPr>
        <w:t>HJ</w:t>
      </w:r>
      <w:r w:rsidRPr="00F9522B">
        <w:rPr>
          <w:rFonts w:eastAsiaTheme="minorEastAsia"/>
          <w:snapToGrid w:val="0"/>
          <w:sz w:val="24"/>
          <w:szCs w:val="22"/>
        </w:rPr>
        <w:t>964</w:t>
      </w:r>
      <w:r w:rsidRPr="00F9522B">
        <w:rPr>
          <w:rFonts w:eastAsiaTheme="minorEastAsia"/>
          <w:snapToGrid w:val="0"/>
          <w:kern w:val="0"/>
          <w:sz w:val="24"/>
          <w:szCs w:val="22"/>
        </w:rPr>
        <w:t>-201</w:t>
      </w:r>
      <w:r w:rsidRPr="00F9522B">
        <w:rPr>
          <w:rFonts w:eastAsiaTheme="minorEastAsia"/>
          <w:snapToGrid w:val="0"/>
          <w:sz w:val="24"/>
          <w:szCs w:val="22"/>
        </w:rPr>
        <w:t>8</w:t>
      </w:r>
      <w:r w:rsidRPr="00F9522B">
        <w:rPr>
          <w:rFonts w:eastAsiaTheme="minorEastAsia"/>
          <w:snapToGrid w:val="0"/>
          <w:kern w:val="0"/>
          <w:sz w:val="24"/>
          <w:szCs w:val="22"/>
        </w:rPr>
        <w:t>），本项目属于生态影响型项目。根据附录</w:t>
      </w:r>
      <w:r w:rsidRPr="00F9522B">
        <w:rPr>
          <w:rFonts w:eastAsiaTheme="minorEastAsia"/>
          <w:snapToGrid w:val="0"/>
          <w:kern w:val="0"/>
          <w:sz w:val="24"/>
          <w:szCs w:val="22"/>
        </w:rPr>
        <w:t>A</w:t>
      </w:r>
      <w:r w:rsidRPr="00F9522B">
        <w:rPr>
          <w:rFonts w:eastAsiaTheme="minorEastAsia"/>
          <w:snapToGrid w:val="0"/>
          <w:kern w:val="0"/>
          <w:sz w:val="24"/>
          <w:szCs w:val="22"/>
        </w:rPr>
        <w:t>土壤环境影响评价项目类别判断本项目类别，具体见表</w:t>
      </w:r>
      <w:r w:rsidRPr="00F9522B">
        <w:rPr>
          <w:rFonts w:eastAsiaTheme="minorEastAsia"/>
          <w:snapToGrid w:val="0"/>
          <w:kern w:val="0"/>
          <w:sz w:val="24"/>
          <w:szCs w:val="22"/>
        </w:rPr>
        <w:t>2-6-7</w:t>
      </w:r>
      <w:r w:rsidRPr="00F9522B">
        <w:rPr>
          <w:rFonts w:eastAsiaTheme="minorEastAsia"/>
          <w:snapToGrid w:val="0"/>
          <w:kern w:val="0"/>
          <w:sz w:val="24"/>
          <w:szCs w:val="22"/>
        </w:rPr>
        <w:t>。</w:t>
      </w:r>
    </w:p>
    <w:p w:rsidR="00AA4603" w:rsidRDefault="00AA4603">
      <w:pPr>
        <w:contextualSpacing/>
        <w:jc w:val="center"/>
        <w:rPr>
          <w:rFonts w:eastAsiaTheme="minorEastAsia"/>
          <w:b/>
          <w:kern w:val="0"/>
          <w:szCs w:val="21"/>
        </w:rPr>
      </w:pPr>
    </w:p>
    <w:p w:rsidR="00AA4603" w:rsidRDefault="00AA4603">
      <w:pPr>
        <w:contextualSpacing/>
        <w:jc w:val="center"/>
        <w:rPr>
          <w:rFonts w:eastAsiaTheme="minorEastAsia"/>
          <w:b/>
          <w:kern w:val="0"/>
          <w:szCs w:val="21"/>
        </w:rPr>
      </w:pPr>
    </w:p>
    <w:p w:rsidR="00AA4603" w:rsidRDefault="00AA4603">
      <w:pPr>
        <w:contextualSpacing/>
        <w:jc w:val="center"/>
        <w:rPr>
          <w:rFonts w:eastAsiaTheme="minorEastAsia"/>
          <w:b/>
          <w:kern w:val="0"/>
          <w:szCs w:val="21"/>
        </w:rPr>
      </w:pPr>
    </w:p>
    <w:p w:rsidR="00AA4603" w:rsidRDefault="00AA4603">
      <w:pPr>
        <w:contextualSpacing/>
        <w:jc w:val="center"/>
        <w:rPr>
          <w:rFonts w:eastAsiaTheme="minorEastAsia"/>
          <w:b/>
          <w:kern w:val="0"/>
          <w:szCs w:val="21"/>
        </w:rPr>
      </w:pPr>
    </w:p>
    <w:p w:rsidR="002A5A5E" w:rsidRPr="00F9522B" w:rsidRDefault="00611CBA">
      <w:pPr>
        <w:contextualSpacing/>
        <w:jc w:val="center"/>
        <w:rPr>
          <w:rFonts w:eastAsiaTheme="minorEastAsia"/>
          <w:b/>
          <w:kern w:val="0"/>
          <w:szCs w:val="21"/>
        </w:rPr>
      </w:pPr>
      <w:r w:rsidRPr="00F9522B">
        <w:rPr>
          <w:rFonts w:eastAsiaTheme="minorEastAsia"/>
          <w:b/>
          <w:kern w:val="0"/>
          <w:szCs w:val="21"/>
        </w:rPr>
        <w:lastRenderedPageBreak/>
        <w:t>表</w:t>
      </w:r>
      <w:r w:rsidRPr="00F9522B">
        <w:rPr>
          <w:rFonts w:eastAsiaTheme="minorEastAsia"/>
          <w:b/>
          <w:kern w:val="0"/>
          <w:szCs w:val="21"/>
        </w:rPr>
        <w:t>2-6-7</w:t>
      </w:r>
      <w:r w:rsidRPr="00F9522B">
        <w:rPr>
          <w:rFonts w:eastAsiaTheme="minorEastAsia"/>
          <w:b/>
          <w:kern w:val="0"/>
          <w:szCs w:val="21"/>
        </w:rPr>
        <w:t>土壤环境影响评价项目类别</w:t>
      </w:r>
    </w:p>
    <w:tbl>
      <w:tblPr>
        <w:tblW w:w="0" w:type="auto"/>
        <w:jc w:val="center"/>
        <w:tblBorders>
          <w:top w:val="single" w:sz="12" w:space="0" w:color="auto"/>
          <w:bottom w:val="single" w:sz="12" w:space="0" w:color="auto"/>
          <w:insideH w:val="single" w:sz="4" w:space="0" w:color="auto"/>
          <w:insideV w:val="single" w:sz="4" w:space="0" w:color="auto"/>
        </w:tblBorders>
        <w:tblLook w:val="04A0"/>
      </w:tblPr>
      <w:tblGrid>
        <w:gridCol w:w="1704"/>
        <w:gridCol w:w="1665"/>
        <w:gridCol w:w="2551"/>
        <w:gridCol w:w="1134"/>
        <w:gridCol w:w="1468"/>
      </w:tblGrid>
      <w:tr w:rsidR="002A5A5E" w:rsidRPr="00F9522B">
        <w:trPr>
          <w:jc w:val="center"/>
        </w:trPr>
        <w:tc>
          <w:tcPr>
            <w:tcW w:w="1704" w:type="dxa"/>
            <w:vMerge w:val="restart"/>
            <w:tcBorders>
              <w:top w:val="single" w:sz="12" w:space="0" w:color="auto"/>
              <w:left w:val="nil"/>
              <w:bottom w:val="single" w:sz="4" w:space="0" w:color="auto"/>
              <w:right w:val="single" w:sz="4" w:space="0" w:color="auto"/>
            </w:tcBorders>
            <w:vAlign w:val="center"/>
          </w:tcPr>
          <w:p w:rsidR="002A5A5E" w:rsidRPr="00F9522B" w:rsidRDefault="00611CBA">
            <w:pPr>
              <w:spacing w:line="0" w:lineRule="atLeast"/>
              <w:jc w:val="center"/>
              <w:rPr>
                <w:rFonts w:eastAsiaTheme="minorEastAsia"/>
                <w:snapToGrid w:val="0"/>
                <w:szCs w:val="21"/>
              </w:rPr>
            </w:pPr>
            <w:r w:rsidRPr="00F9522B">
              <w:rPr>
                <w:rFonts w:eastAsiaTheme="minorEastAsia"/>
                <w:snapToGrid w:val="0"/>
                <w:szCs w:val="21"/>
              </w:rPr>
              <w:t>行业类别</w:t>
            </w:r>
          </w:p>
        </w:tc>
        <w:tc>
          <w:tcPr>
            <w:tcW w:w="6818" w:type="dxa"/>
            <w:gridSpan w:val="4"/>
            <w:tcBorders>
              <w:top w:val="single" w:sz="12" w:space="0" w:color="auto"/>
              <w:left w:val="single" w:sz="4" w:space="0" w:color="auto"/>
              <w:bottom w:val="single" w:sz="4" w:space="0" w:color="auto"/>
              <w:right w:val="nil"/>
            </w:tcBorders>
            <w:vAlign w:val="center"/>
          </w:tcPr>
          <w:p w:rsidR="002A5A5E" w:rsidRPr="00F9522B" w:rsidRDefault="00611CBA">
            <w:pPr>
              <w:spacing w:line="0" w:lineRule="atLeast"/>
              <w:jc w:val="center"/>
              <w:rPr>
                <w:rFonts w:eastAsiaTheme="minorEastAsia"/>
                <w:snapToGrid w:val="0"/>
                <w:szCs w:val="21"/>
              </w:rPr>
            </w:pPr>
            <w:r w:rsidRPr="00F9522B">
              <w:rPr>
                <w:rFonts w:eastAsiaTheme="minorEastAsia"/>
                <w:snapToGrid w:val="0"/>
                <w:szCs w:val="21"/>
              </w:rPr>
              <w:t>项目类别</w:t>
            </w:r>
          </w:p>
        </w:tc>
      </w:tr>
      <w:tr w:rsidR="002A5A5E" w:rsidRPr="00F9522B">
        <w:trPr>
          <w:jc w:val="center"/>
        </w:trPr>
        <w:tc>
          <w:tcPr>
            <w:tcW w:w="0" w:type="auto"/>
            <w:vMerge/>
            <w:tcBorders>
              <w:top w:val="single" w:sz="12" w:space="0" w:color="auto"/>
              <w:left w:val="nil"/>
              <w:bottom w:val="single" w:sz="4" w:space="0" w:color="auto"/>
              <w:right w:val="single" w:sz="4" w:space="0" w:color="auto"/>
            </w:tcBorders>
            <w:vAlign w:val="center"/>
          </w:tcPr>
          <w:p w:rsidR="002A5A5E" w:rsidRPr="00F9522B" w:rsidRDefault="002A5A5E">
            <w:pPr>
              <w:widowControl/>
              <w:jc w:val="left"/>
              <w:rPr>
                <w:rFonts w:eastAsiaTheme="minorEastAsia"/>
                <w:snapToGrid w:val="0"/>
                <w:szCs w:val="21"/>
              </w:rPr>
            </w:pPr>
          </w:p>
        </w:tc>
        <w:tc>
          <w:tcPr>
            <w:tcW w:w="1665" w:type="dxa"/>
            <w:tcBorders>
              <w:top w:val="single" w:sz="4" w:space="0" w:color="auto"/>
              <w:left w:val="single" w:sz="4" w:space="0" w:color="auto"/>
              <w:bottom w:val="single" w:sz="4" w:space="0" w:color="auto"/>
              <w:right w:val="single" w:sz="4" w:space="0" w:color="auto"/>
            </w:tcBorders>
            <w:vAlign w:val="center"/>
          </w:tcPr>
          <w:p w:rsidR="002A5A5E" w:rsidRPr="00F9522B" w:rsidRDefault="00611CBA">
            <w:pPr>
              <w:spacing w:line="0" w:lineRule="atLeast"/>
              <w:jc w:val="center"/>
              <w:rPr>
                <w:rFonts w:eastAsiaTheme="minorEastAsia"/>
                <w:snapToGrid w:val="0"/>
                <w:szCs w:val="21"/>
              </w:rPr>
            </w:pPr>
            <w:r w:rsidRPr="00F9522B">
              <w:rPr>
                <w:rFonts w:eastAsiaTheme="minorEastAsia"/>
                <w:snapToGrid w:val="0"/>
                <w:szCs w:val="21"/>
              </w:rPr>
              <w:t>Ⅰ</w:t>
            </w:r>
            <w:r w:rsidRPr="00F9522B">
              <w:rPr>
                <w:rFonts w:eastAsiaTheme="minorEastAsia"/>
                <w:snapToGrid w:val="0"/>
                <w:szCs w:val="21"/>
              </w:rPr>
              <w:t>类</w:t>
            </w:r>
          </w:p>
        </w:tc>
        <w:tc>
          <w:tcPr>
            <w:tcW w:w="2551" w:type="dxa"/>
            <w:tcBorders>
              <w:top w:val="single" w:sz="4" w:space="0" w:color="auto"/>
              <w:left w:val="single" w:sz="4" w:space="0" w:color="auto"/>
              <w:bottom w:val="single" w:sz="4" w:space="0" w:color="auto"/>
              <w:right w:val="single" w:sz="4" w:space="0" w:color="auto"/>
            </w:tcBorders>
            <w:vAlign w:val="center"/>
          </w:tcPr>
          <w:p w:rsidR="002A5A5E" w:rsidRPr="00F9522B" w:rsidRDefault="00611CBA">
            <w:pPr>
              <w:spacing w:line="0" w:lineRule="atLeast"/>
              <w:jc w:val="center"/>
              <w:rPr>
                <w:rFonts w:eastAsiaTheme="minorEastAsia"/>
                <w:snapToGrid w:val="0"/>
                <w:szCs w:val="21"/>
              </w:rPr>
            </w:pPr>
            <w:r w:rsidRPr="00F9522B">
              <w:rPr>
                <w:rFonts w:eastAsiaTheme="minorEastAsia"/>
                <w:snapToGrid w:val="0"/>
                <w:szCs w:val="21"/>
              </w:rPr>
              <w:t>Ⅱ</w:t>
            </w:r>
            <w:r w:rsidRPr="00F9522B">
              <w:rPr>
                <w:rFonts w:eastAsiaTheme="minorEastAsia"/>
                <w:snapToGrid w:val="0"/>
                <w:szCs w:val="21"/>
              </w:rPr>
              <w:t>类</w:t>
            </w:r>
          </w:p>
        </w:tc>
        <w:tc>
          <w:tcPr>
            <w:tcW w:w="1134" w:type="dxa"/>
            <w:tcBorders>
              <w:top w:val="single" w:sz="4" w:space="0" w:color="auto"/>
              <w:left w:val="single" w:sz="4" w:space="0" w:color="auto"/>
              <w:bottom w:val="single" w:sz="4" w:space="0" w:color="auto"/>
              <w:right w:val="single" w:sz="4" w:space="0" w:color="auto"/>
            </w:tcBorders>
            <w:vAlign w:val="center"/>
          </w:tcPr>
          <w:p w:rsidR="002A5A5E" w:rsidRPr="00F9522B" w:rsidRDefault="00611CBA">
            <w:pPr>
              <w:spacing w:line="0" w:lineRule="atLeast"/>
              <w:jc w:val="center"/>
              <w:rPr>
                <w:rFonts w:eastAsiaTheme="minorEastAsia"/>
                <w:b/>
                <w:snapToGrid w:val="0"/>
                <w:szCs w:val="21"/>
              </w:rPr>
            </w:pPr>
            <w:r w:rsidRPr="00F9522B">
              <w:rPr>
                <w:rFonts w:eastAsiaTheme="minorEastAsia"/>
                <w:b/>
                <w:snapToGrid w:val="0"/>
                <w:szCs w:val="21"/>
              </w:rPr>
              <w:t>Ⅲ</w:t>
            </w:r>
            <w:r w:rsidRPr="00F9522B">
              <w:rPr>
                <w:rFonts w:eastAsiaTheme="minorEastAsia"/>
                <w:b/>
                <w:snapToGrid w:val="0"/>
                <w:szCs w:val="21"/>
              </w:rPr>
              <w:t>类</w:t>
            </w:r>
          </w:p>
        </w:tc>
        <w:tc>
          <w:tcPr>
            <w:tcW w:w="1468" w:type="dxa"/>
            <w:tcBorders>
              <w:top w:val="single" w:sz="4" w:space="0" w:color="auto"/>
              <w:left w:val="single" w:sz="4" w:space="0" w:color="auto"/>
              <w:bottom w:val="single" w:sz="4" w:space="0" w:color="auto"/>
              <w:right w:val="nil"/>
            </w:tcBorders>
            <w:vAlign w:val="center"/>
          </w:tcPr>
          <w:p w:rsidR="002A5A5E" w:rsidRPr="00F9522B" w:rsidRDefault="00611CBA">
            <w:pPr>
              <w:spacing w:line="0" w:lineRule="atLeast"/>
              <w:jc w:val="center"/>
              <w:rPr>
                <w:rFonts w:eastAsiaTheme="minorEastAsia"/>
                <w:snapToGrid w:val="0"/>
                <w:szCs w:val="21"/>
              </w:rPr>
            </w:pPr>
            <w:r w:rsidRPr="00F9522B">
              <w:rPr>
                <w:rFonts w:eastAsiaTheme="minorEastAsia"/>
                <w:snapToGrid w:val="0"/>
                <w:szCs w:val="21"/>
              </w:rPr>
              <w:t>Ⅳ</w:t>
            </w:r>
            <w:r w:rsidRPr="00F9522B">
              <w:rPr>
                <w:rFonts w:eastAsiaTheme="minorEastAsia"/>
                <w:snapToGrid w:val="0"/>
                <w:szCs w:val="21"/>
              </w:rPr>
              <w:t>类</w:t>
            </w:r>
          </w:p>
        </w:tc>
      </w:tr>
      <w:tr w:rsidR="002A5A5E" w:rsidRPr="00F9522B">
        <w:trPr>
          <w:jc w:val="center"/>
        </w:trPr>
        <w:tc>
          <w:tcPr>
            <w:tcW w:w="1704" w:type="dxa"/>
            <w:tcBorders>
              <w:top w:val="single" w:sz="4" w:space="0" w:color="auto"/>
              <w:left w:val="nil"/>
              <w:bottom w:val="single" w:sz="4" w:space="0" w:color="auto"/>
              <w:right w:val="single" w:sz="4" w:space="0" w:color="auto"/>
            </w:tcBorders>
            <w:vAlign w:val="center"/>
          </w:tcPr>
          <w:p w:rsidR="002A5A5E" w:rsidRPr="00F9522B" w:rsidRDefault="00611CBA">
            <w:pPr>
              <w:pStyle w:val="Default"/>
              <w:jc w:val="center"/>
              <w:rPr>
                <w:rFonts w:ascii="Times New Roman" w:eastAsiaTheme="minorEastAsia" w:hAnsi="Times New Roman" w:cs="Times New Roman"/>
                <w:color w:val="auto"/>
                <w:sz w:val="21"/>
                <w:szCs w:val="21"/>
              </w:rPr>
            </w:pPr>
            <w:r w:rsidRPr="00F9522B">
              <w:rPr>
                <w:rFonts w:ascii="Times New Roman" w:eastAsiaTheme="minorEastAsia" w:hAnsi="Times New Roman" w:cs="Times New Roman"/>
                <w:color w:val="auto"/>
                <w:sz w:val="21"/>
                <w:szCs w:val="21"/>
              </w:rPr>
              <w:t>水利</w:t>
            </w:r>
          </w:p>
        </w:tc>
        <w:tc>
          <w:tcPr>
            <w:tcW w:w="1665" w:type="dxa"/>
            <w:tcBorders>
              <w:top w:val="single" w:sz="4" w:space="0" w:color="auto"/>
              <w:left w:val="single" w:sz="4" w:space="0" w:color="auto"/>
              <w:bottom w:val="single" w:sz="4" w:space="0" w:color="auto"/>
              <w:right w:val="single" w:sz="4" w:space="0" w:color="auto"/>
            </w:tcBorders>
            <w:vAlign w:val="center"/>
          </w:tcPr>
          <w:p w:rsidR="002A5A5E" w:rsidRPr="00F9522B" w:rsidRDefault="00611CBA">
            <w:pPr>
              <w:pStyle w:val="Default"/>
              <w:jc w:val="center"/>
              <w:rPr>
                <w:rFonts w:ascii="Times New Roman" w:eastAsiaTheme="minorEastAsia" w:hAnsi="Times New Roman" w:cs="Times New Roman"/>
                <w:color w:val="auto"/>
                <w:sz w:val="21"/>
                <w:szCs w:val="21"/>
              </w:rPr>
            </w:pPr>
            <w:r w:rsidRPr="00F9522B">
              <w:rPr>
                <w:rFonts w:ascii="Times New Roman" w:eastAsiaTheme="minorEastAsia" w:hAnsi="Times New Roman" w:cs="Times New Roman"/>
                <w:color w:val="auto"/>
                <w:sz w:val="21"/>
                <w:szCs w:val="21"/>
              </w:rPr>
              <w:t>库容</w:t>
            </w:r>
            <w:r w:rsidRPr="00F9522B">
              <w:rPr>
                <w:rFonts w:ascii="Times New Roman" w:eastAsiaTheme="minorEastAsia" w:hAnsi="Times New Roman" w:cs="Times New Roman"/>
                <w:color w:val="auto"/>
                <w:sz w:val="21"/>
                <w:szCs w:val="21"/>
              </w:rPr>
              <w:t>1</w:t>
            </w:r>
            <w:r w:rsidRPr="00F9522B">
              <w:rPr>
                <w:rFonts w:ascii="Times New Roman" w:eastAsiaTheme="minorEastAsia" w:hAnsi="Times New Roman" w:cs="Times New Roman"/>
                <w:color w:val="auto"/>
                <w:sz w:val="21"/>
                <w:szCs w:val="21"/>
              </w:rPr>
              <w:t>亿</w:t>
            </w:r>
            <w:r w:rsidRPr="00F9522B">
              <w:rPr>
                <w:rFonts w:ascii="Times New Roman" w:eastAsiaTheme="minorEastAsia" w:hAnsi="Times New Roman" w:cs="Times New Roman"/>
                <w:color w:val="auto"/>
                <w:sz w:val="21"/>
                <w:szCs w:val="21"/>
              </w:rPr>
              <w:t>m</w:t>
            </w:r>
            <w:r w:rsidRPr="00F9522B">
              <w:rPr>
                <w:rFonts w:ascii="Times New Roman" w:eastAsiaTheme="minorEastAsia" w:hAnsi="Times New Roman" w:cs="Times New Roman"/>
                <w:color w:val="auto"/>
                <w:sz w:val="21"/>
                <w:szCs w:val="21"/>
                <w:vertAlign w:val="superscript"/>
              </w:rPr>
              <w:t>3</w:t>
            </w:r>
            <w:r w:rsidRPr="00F9522B">
              <w:rPr>
                <w:rFonts w:ascii="Times New Roman" w:eastAsiaTheme="minorEastAsia" w:hAnsi="Times New Roman" w:cs="Times New Roman"/>
                <w:color w:val="auto"/>
                <w:sz w:val="21"/>
                <w:szCs w:val="21"/>
              </w:rPr>
              <w:t>及以上水库；长度大于</w:t>
            </w:r>
            <w:r w:rsidRPr="00F9522B">
              <w:rPr>
                <w:rFonts w:ascii="Times New Roman" w:eastAsiaTheme="minorEastAsia" w:hAnsi="Times New Roman" w:cs="Times New Roman"/>
                <w:color w:val="auto"/>
                <w:sz w:val="21"/>
                <w:szCs w:val="21"/>
              </w:rPr>
              <w:t>1000km</w:t>
            </w:r>
            <w:r w:rsidRPr="00F9522B">
              <w:rPr>
                <w:rFonts w:ascii="Times New Roman" w:eastAsiaTheme="minorEastAsia" w:hAnsi="Times New Roman" w:cs="Times New Roman"/>
                <w:color w:val="auto"/>
                <w:sz w:val="21"/>
                <w:szCs w:val="21"/>
              </w:rPr>
              <w:t>的引水工程</w:t>
            </w:r>
          </w:p>
        </w:tc>
        <w:tc>
          <w:tcPr>
            <w:tcW w:w="2551" w:type="dxa"/>
            <w:tcBorders>
              <w:top w:val="single" w:sz="4" w:space="0" w:color="auto"/>
              <w:left w:val="single" w:sz="4" w:space="0" w:color="auto"/>
              <w:bottom w:val="single" w:sz="4" w:space="0" w:color="auto"/>
              <w:right w:val="single" w:sz="4" w:space="0" w:color="auto"/>
            </w:tcBorders>
            <w:vAlign w:val="center"/>
          </w:tcPr>
          <w:p w:rsidR="002A5A5E" w:rsidRPr="00F9522B" w:rsidRDefault="00611CBA">
            <w:pPr>
              <w:pStyle w:val="Default"/>
              <w:jc w:val="center"/>
              <w:rPr>
                <w:rFonts w:ascii="Times New Roman" w:eastAsiaTheme="minorEastAsia" w:hAnsi="Times New Roman" w:cs="Times New Roman"/>
                <w:b/>
                <w:bCs/>
                <w:color w:val="auto"/>
                <w:sz w:val="21"/>
                <w:szCs w:val="21"/>
              </w:rPr>
            </w:pPr>
            <w:r w:rsidRPr="00F9522B">
              <w:rPr>
                <w:rFonts w:ascii="Times New Roman" w:eastAsiaTheme="minorEastAsia" w:hAnsi="Times New Roman" w:cs="Times New Roman"/>
                <w:color w:val="auto"/>
                <w:sz w:val="21"/>
                <w:szCs w:val="21"/>
              </w:rPr>
              <w:t>库容</w:t>
            </w:r>
            <w:r w:rsidRPr="00F9522B">
              <w:rPr>
                <w:rFonts w:ascii="Times New Roman" w:eastAsiaTheme="minorEastAsia" w:hAnsi="Times New Roman" w:cs="Times New Roman"/>
                <w:color w:val="auto"/>
                <w:sz w:val="21"/>
                <w:szCs w:val="21"/>
              </w:rPr>
              <w:t>1000</w:t>
            </w:r>
            <w:r w:rsidRPr="00F9522B">
              <w:rPr>
                <w:rFonts w:ascii="Times New Roman" w:eastAsiaTheme="minorEastAsia" w:hAnsi="Times New Roman" w:cs="Times New Roman"/>
                <w:color w:val="auto"/>
                <w:sz w:val="21"/>
                <w:szCs w:val="21"/>
              </w:rPr>
              <w:t>万</w:t>
            </w:r>
            <w:r w:rsidRPr="00F9522B">
              <w:rPr>
                <w:rFonts w:ascii="Times New Roman" w:eastAsiaTheme="minorEastAsia" w:hAnsi="Times New Roman" w:cs="Times New Roman"/>
                <w:color w:val="auto"/>
                <w:sz w:val="21"/>
                <w:szCs w:val="21"/>
              </w:rPr>
              <w:t>m</w:t>
            </w:r>
            <w:r w:rsidRPr="00F9522B">
              <w:rPr>
                <w:rFonts w:ascii="Times New Roman" w:eastAsiaTheme="minorEastAsia" w:hAnsi="Times New Roman" w:cs="Times New Roman"/>
                <w:color w:val="auto"/>
                <w:sz w:val="21"/>
                <w:szCs w:val="21"/>
                <w:vertAlign w:val="superscript"/>
              </w:rPr>
              <w:t>3</w:t>
            </w:r>
            <w:r w:rsidRPr="00F9522B">
              <w:rPr>
                <w:rFonts w:ascii="Times New Roman" w:eastAsiaTheme="minorEastAsia" w:hAnsi="Times New Roman" w:cs="Times New Roman"/>
                <w:color w:val="auto"/>
                <w:sz w:val="21"/>
                <w:szCs w:val="21"/>
              </w:rPr>
              <w:t>至</w:t>
            </w:r>
            <w:r w:rsidRPr="00F9522B">
              <w:rPr>
                <w:rFonts w:ascii="Times New Roman" w:eastAsiaTheme="minorEastAsia" w:hAnsi="Times New Roman" w:cs="Times New Roman"/>
                <w:color w:val="auto"/>
                <w:sz w:val="21"/>
                <w:szCs w:val="21"/>
              </w:rPr>
              <w:t>1</w:t>
            </w:r>
            <w:r w:rsidRPr="00F9522B">
              <w:rPr>
                <w:rFonts w:ascii="Times New Roman" w:eastAsiaTheme="minorEastAsia" w:hAnsi="Times New Roman" w:cs="Times New Roman"/>
                <w:color w:val="auto"/>
                <w:sz w:val="21"/>
                <w:szCs w:val="21"/>
              </w:rPr>
              <w:t>亿</w:t>
            </w:r>
            <w:r w:rsidRPr="00F9522B">
              <w:rPr>
                <w:rFonts w:ascii="Times New Roman" w:eastAsiaTheme="minorEastAsia" w:hAnsi="Times New Roman" w:cs="Times New Roman"/>
                <w:color w:val="auto"/>
                <w:sz w:val="21"/>
                <w:szCs w:val="21"/>
              </w:rPr>
              <w:t>m</w:t>
            </w:r>
            <w:r w:rsidRPr="00F9522B">
              <w:rPr>
                <w:rFonts w:ascii="Times New Roman" w:eastAsiaTheme="minorEastAsia" w:hAnsi="Times New Roman" w:cs="Times New Roman"/>
                <w:color w:val="auto"/>
                <w:sz w:val="21"/>
                <w:szCs w:val="21"/>
                <w:vertAlign w:val="superscript"/>
              </w:rPr>
              <w:t>3</w:t>
            </w:r>
            <w:r w:rsidRPr="00F9522B">
              <w:rPr>
                <w:rFonts w:ascii="Times New Roman" w:eastAsiaTheme="minorEastAsia" w:hAnsi="Times New Roman" w:cs="Times New Roman"/>
                <w:color w:val="auto"/>
                <w:sz w:val="21"/>
                <w:szCs w:val="21"/>
              </w:rPr>
              <w:t>的水库；跨流域调水的引水工程</w:t>
            </w:r>
          </w:p>
        </w:tc>
        <w:tc>
          <w:tcPr>
            <w:tcW w:w="1134" w:type="dxa"/>
            <w:tcBorders>
              <w:top w:val="single" w:sz="4" w:space="0" w:color="auto"/>
              <w:left w:val="single" w:sz="4" w:space="0" w:color="auto"/>
              <w:bottom w:val="single" w:sz="4" w:space="0" w:color="auto"/>
              <w:right w:val="single" w:sz="4" w:space="0" w:color="auto"/>
            </w:tcBorders>
            <w:vAlign w:val="center"/>
          </w:tcPr>
          <w:p w:rsidR="002A5A5E" w:rsidRPr="00F9522B" w:rsidRDefault="00611CBA">
            <w:pPr>
              <w:pStyle w:val="Default"/>
              <w:jc w:val="center"/>
              <w:rPr>
                <w:rFonts w:ascii="Times New Roman" w:eastAsiaTheme="minorEastAsia" w:hAnsi="Times New Roman" w:cs="Times New Roman"/>
                <w:b/>
                <w:color w:val="auto"/>
                <w:sz w:val="21"/>
                <w:szCs w:val="21"/>
              </w:rPr>
            </w:pPr>
            <w:r w:rsidRPr="00F9522B">
              <w:rPr>
                <w:rFonts w:ascii="Times New Roman" w:eastAsiaTheme="minorEastAsia" w:hAnsi="Times New Roman" w:cs="Times New Roman"/>
                <w:b/>
                <w:color w:val="auto"/>
                <w:sz w:val="21"/>
                <w:szCs w:val="21"/>
              </w:rPr>
              <w:t>其他</w:t>
            </w:r>
          </w:p>
        </w:tc>
        <w:tc>
          <w:tcPr>
            <w:tcW w:w="1468" w:type="dxa"/>
            <w:tcBorders>
              <w:top w:val="single" w:sz="4" w:space="0" w:color="auto"/>
              <w:left w:val="single" w:sz="4" w:space="0" w:color="auto"/>
              <w:bottom w:val="single" w:sz="4" w:space="0" w:color="auto"/>
              <w:right w:val="nil"/>
            </w:tcBorders>
            <w:vAlign w:val="center"/>
          </w:tcPr>
          <w:p w:rsidR="002A5A5E" w:rsidRPr="00F9522B" w:rsidRDefault="00611CBA">
            <w:pPr>
              <w:spacing w:line="0" w:lineRule="atLeast"/>
              <w:jc w:val="center"/>
              <w:rPr>
                <w:rFonts w:eastAsiaTheme="minorEastAsia"/>
                <w:snapToGrid w:val="0"/>
                <w:szCs w:val="21"/>
              </w:rPr>
            </w:pPr>
            <w:r w:rsidRPr="00F9522B">
              <w:rPr>
                <w:rFonts w:eastAsiaTheme="minorEastAsia"/>
                <w:snapToGrid w:val="0"/>
                <w:szCs w:val="21"/>
              </w:rPr>
              <w:t>/</w:t>
            </w:r>
          </w:p>
        </w:tc>
      </w:tr>
      <w:tr w:rsidR="002A5A5E" w:rsidRPr="00F9522B">
        <w:trPr>
          <w:jc w:val="center"/>
        </w:trPr>
        <w:tc>
          <w:tcPr>
            <w:tcW w:w="1704" w:type="dxa"/>
            <w:tcBorders>
              <w:top w:val="single" w:sz="4" w:space="0" w:color="auto"/>
              <w:left w:val="nil"/>
              <w:bottom w:val="single" w:sz="12" w:space="0" w:color="auto"/>
              <w:right w:val="single" w:sz="4" w:space="0" w:color="auto"/>
            </w:tcBorders>
            <w:vAlign w:val="center"/>
          </w:tcPr>
          <w:p w:rsidR="002A5A5E" w:rsidRPr="00F9522B" w:rsidRDefault="00611CBA">
            <w:pPr>
              <w:pStyle w:val="Default"/>
              <w:jc w:val="center"/>
              <w:rPr>
                <w:rFonts w:ascii="Times New Roman" w:eastAsiaTheme="minorEastAsia" w:hAnsi="Times New Roman" w:cs="Times New Roman"/>
                <w:color w:val="auto"/>
                <w:sz w:val="21"/>
                <w:szCs w:val="21"/>
              </w:rPr>
            </w:pPr>
            <w:r w:rsidRPr="00F9522B">
              <w:rPr>
                <w:rFonts w:ascii="Times New Roman" w:eastAsiaTheme="minorEastAsia" w:hAnsi="Times New Roman" w:cs="Times New Roman"/>
                <w:color w:val="auto"/>
                <w:sz w:val="21"/>
                <w:szCs w:val="21"/>
              </w:rPr>
              <w:t>农林牧渔业</w:t>
            </w:r>
          </w:p>
        </w:tc>
        <w:tc>
          <w:tcPr>
            <w:tcW w:w="1665" w:type="dxa"/>
            <w:tcBorders>
              <w:top w:val="single" w:sz="4" w:space="0" w:color="auto"/>
              <w:left w:val="single" w:sz="4" w:space="0" w:color="auto"/>
              <w:bottom w:val="single" w:sz="12" w:space="0" w:color="auto"/>
              <w:right w:val="single" w:sz="4" w:space="0" w:color="auto"/>
            </w:tcBorders>
            <w:vAlign w:val="center"/>
          </w:tcPr>
          <w:p w:rsidR="002A5A5E" w:rsidRPr="00F9522B" w:rsidRDefault="00611CBA">
            <w:pPr>
              <w:pStyle w:val="Default"/>
              <w:jc w:val="center"/>
              <w:rPr>
                <w:rFonts w:ascii="Times New Roman" w:eastAsiaTheme="minorEastAsia" w:hAnsi="Times New Roman" w:cs="Times New Roman"/>
                <w:color w:val="auto"/>
                <w:sz w:val="21"/>
                <w:szCs w:val="21"/>
              </w:rPr>
            </w:pPr>
            <w:r w:rsidRPr="00F9522B">
              <w:rPr>
                <w:rFonts w:ascii="Times New Roman" w:eastAsiaTheme="minorEastAsia" w:hAnsi="Times New Roman" w:cs="Times New Roman"/>
                <w:color w:val="auto"/>
                <w:sz w:val="21"/>
                <w:szCs w:val="21"/>
              </w:rPr>
              <w:t>灌溉面积大于</w:t>
            </w:r>
            <w:r w:rsidRPr="00F9522B">
              <w:rPr>
                <w:rFonts w:ascii="Times New Roman" w:eastAsiaTheme="minorEastAsia" w:hAnsi="Times New Roman" w:cs="Times New Roman"/>
                <w:color w:val="auto"/>
                <w:sz w:val="21"/>
                <w:szCs w:val="21"/>
              </w:rPr>
              <w:t>50</w:t>
            </w:r>
            <w:r w:rsidRPr="00F9522B">
              <w:rPr>
                <w:rFonts w:ascii="Times New Roman" w:eastAsiaTheme="minorEastAsia" w:hAnsi="Times New Roman" w:cs="Times New Roman"/>
                <w:color w:val="auto"/>
                <w:sz w:val="21"/>
                <w:szCs w:val="21"/>
              </w:rPr>
              <w:t>万亩的灌区工程</w:t>
            </w:r>
          </w:p>
        </w:tc>
        <w:tc>
          <w:tcPr>
            <w:tcW w:w="2551" w:type="dxa"/>
            <w:tcBorders>
              <w:top w:val="single" w:sz="4" w:space="0" w:color="auto"/>
              <w:left w:val="single" w:sz="4" w:space="0" w:color="auto"/>
              <w:bottom w:val="single" w:sz="12" w:space="0" w:color="auto"/>
              <w:right w:val="single" w:sz="4" w:space="0" w:color="auto"/>
            </w:tcBorders>
            <w:vAlign w:val="center"/>
          </w:tcPr>
          <w:p w:rsidR="002A5A5E" w:rsidRPr="00F9522B" w:rsidRDefault="00611CBA">
            <w:pPr>
              <w:pStyle w:val="Default"/>
              <w:jc w:val="center"/>
              <w:rPr>
                <w:rFonts w:ascii="Times New Roman" w:eastAsiaTheme="minorEastAsia" w:hAnsi="Times New Roman" w:cs="Times New Roman"/>
                <w:color w:val="auto"/>
                <w:sz w:val="21"/>
                <w:szCs w:val="21"/>
              </w:rPr>
            </w:pPr>
            <w:r w:rsidRPr="00F9522B">
              <w:rPr>
                <w:rFonts w:ascii="Times New Roman" w:eastAsiaTheme="minorEastAsia" w:hAnsi="Times New Roman" w:cs="Times New Roman"/>
                <w:color w:val="auto"/>
                <w:sz w:val="21"/>
                <w:szCs w:val="21"/>
              </w:rPr>
              <w:t>新建</w:t>
            </w:r>
            <w:r w:rsidRPr="00F9522B">
              <w:rPr>
                <w:rFonts w:ascii="Times New Roman" w:eastAsiaTheme="minorEastAsia" w:hAnsi="Times New Roman" w:cs="Times New Roman"/>
                <w:color w:val="auto"/>
                <w:sz w:val="21"/>
                <w:szCs w:val="21"/>
              </w:rPr>
              <w:t>5</w:t>
            </w:r>
            <w:r w:rsidRPr="00F9522B">
              <w:rPr>
                <w:rFonts w:ascii="Times New Roman" w:eastAsiaTheme="minorEastAsia" w:hAnsi="Times New Roman" w:cs="Times New Roman"/>
                <w:color w:val="auto"/>
                <w:sz w:val="21"/>
                <w:szCs w:val="21"/>
              </w:rPr>
              <w:t>万亩至</w:t>
            </w:r>
            <w:r w:rsidRPr="00F9522B">
              <w:rPr>
                <w:rFonts w:ascii="Times New Roman" w:eastAsiaTheme="minorEastAsia" w:hAnsi="Times New Roman" w:cs="Times New Roman"/>
                <w:color w:val="auto"/>
                <w:sz w:val="21"/>
                <w:szCs w:val="21"/>
              </w:rPr>
              <w:t>50</w:t>
            </w:r>
            <w:r w:rsidRPr="00F9522B">
              <w:rPr>
                <w:rFonts w:ascii="Times New Roman" w:eastAsiaTheme="minorEastAsia" w:hAnsi="Times New Roman" w:cs="Times New Roman"/>
                <w:color w:val="auto"/>
                <w:sz w:val="21"/>
                <w:szCs w:val="21"/>
              </w:rPr>
              <w:t>万亩的、改造</w:t>
            </w:r>
            <w:r w:rsidRPr="00F9522B">
              <w:rPr>
                <w:rFonts w:ascii="Times New Roman" w:eastAsiaTheme="minorEastAsia" w:hAnsi="Times New Roman" w:cs="Times New Roman"/>
                <w:color w:val="auto"/>
                <w:sz w:val="21"/>
                <w:szCs w:val="21"/>
              </w:rPr>
              <w:t>30</w:t>
            </w:r>
            <w:r w:rsidRPr="00F9522B">
              <w:rPr>
                <w:rFonts w:ascii="Times New Roman" w:eastAsiaTheme="minorEastAsia" w:hAnsi="Times New Roman" w:cs="Times New Roman"/>
                <w:color w:val="auto"/>
                <w:sz w:val="21"/>
                <w:szCs w:val="21"/>
              </w:rPr>
              <w:t>万亩及以上的灌区工程</w:t>
            </w:r>
          </w:p>
        </w:tc>
        <w:tc>
          <w:tcPr>
            <w:tcW w:w="1134" w:type="dxa"/>
            <w:tcBorders>
              <w:top w:val="single" w:sz="4" w:space="0" w:color="auto"/>
              <w:left w:val="single" w:sz="4" w:space="0" w:color="auto"/>
              <w:bottom w:val="single" w:sz="12" w:space="0" w:color="auto"/>
              <w:right w:val="single" w:sz="4" w:space="0" w:color="auto"/>
            </w:tcBorders>
            <w:vAlign w:val="center"/>
          </w:tcPr>
          <w:p w:rsidR="002A5A5E" w:rsidRPr="00F9522B" w:rsidRDefault="00611CBA">
            <w:pPr>
              <w:pStyle w:val="Default"/>
              <w:jc w:val="center"/>
              <w:rPr>
                <w:rFonts w:ascii="Times New Roman" w:eastAsiaTheme="minorEastAsia" w:hAnsi="Times New Roman" w:cs="Times New Roman"/>
                <w:color w:val="auto"/>
                <w:sz w:val="21"/>
                <w:szCs w:val="21"/>
              </w:rPr>
            </w:pPr>
            <w:r w:rsidRPr="00F9522B">
              <w:rPr>
                <w:rFonts w:ascii="Times New Roman" w:eastAsiaTheme="minorEastAsia" w:hAnsi="Times New Roman" w:cs="Times New Roman"/>
                <w:color w:val="auto"/>
                <w:sz w:val="21"/>
                <w:szCs w:val="21"/>
              </w:rPr>
              <w:t>/</w:t>
            </w:r>
          </w:p>
        </w:tc>
        <w:tc>
          <w:tcPr>
            <w:tcW w:w="1468" w:type="dxa"/>
            <w:tcBorders>
              <w:top w:val="single" w:sz="4" w:space="0" w:color="auto"/>
              <w:left w:val="single" w:sz="4" w:space="0" w:color="auto"/>
              <w:bottom w:val="single" w:sz="12" w:space="0" w:color="auto"/>
              <w:right w:val="nil"/>
            </w:tcBorders>
            <w:vAlign w:val="center"/>
          </w:tcPr>
          <w:p w:rsidR="002A5A5E" w:rsidRPr="00F9522B" w:rsidRDefault="00611CBA">
            <w:pPr>
              <w:spacing w:line="0" w:lineRule="atLeast"/>
              <w:jc w:val="center"/>
              <w:rPr>
                <w:rFonts w:eastAsiaTheme="minorEastAsia"/>
                <w:b/>
                <w:snapToGrid w:val="0"/>
                <w:szCs w:val="21"/>
              </w:rPr>
            </w:pPr>
            <w:r w:rsidRPr="00F9522B">
              <w:rPr>
                <w:rFonts w:eastAsiaTheme="minorEastAsia"/>
                <w:b/>
                <w:snapToGrid w:val="0"/>
                <w:szCs w:val="21"/>
              </w:rPr>
              <w:t>其他</w:t>
            </w:r>
          </w:p>
        </w:tc>
      </w:tr>
    </w:tbl>
    <w:p w:rsidR="002A5A5E" w:rsidRPr="00F9522B" w:rsidRDefault="00611CBA">
      <w:pPr>
        <w:spacing w:line="360" w:lineRule="auto"/>
        <w:ind w:firstLineChars="200" w:firstLine="480"/>
        <w:rPr>
          <w:rFonts w:eastAsiaTheme="minorEastAsia"/>
          <w:snapToGrid w:val="0"/>
          <w:kern w:val="0"/>
          <w:sz w:val="24"/>
          <w:szCs w:val="20"/>
        </w:rPr>
      </w:pPr>
      <w:r w:rsidRPr="00F9522B">
        <w:rPr>
          <w:rFonts w:eastAsiaTheme="minorEastAsia"/>
          <w:sz w:val="24"/>
        </w:rPr>
        <w:t>本项目改扩建后旱田灌区</w:t>
      </w:r>
      <w:r w:rsidR="00BB3957" w:rsidRPr="00F9522B">
        <w:rPr>
          <w:rFonts w:eastAsiaTheme="minorEastAsia"/>
          <w:sz w:val="24"/>
        </w:rPr>
        <w:t>12.2</w:t>
      </w:r>
      <w:r w:rsidRPr="00F9522B">
        <w:rPr>
          <w:rFonts w:eastAsiaTheme="minorEastAsia"/>
          <w:sz w:val="24"/>
        </w:rPr>
        <w:t>万亩，</w:t>
      </w:r>
      <w:r w:rsidRPr="00F9522B">
        <w:rPr>
          <w:rFonts w:eastAsiaTheme="minorEastAsia"/>
          <w:sz w:val="24"/>
          <w:szCs w:val="21"/>
        </w:rPr>
        <w:t>水田灌区</w:t>
      </w:r>
      <w:r w:rsidR="00BB3957" w:rsidRPr="00F9522B">
        <w:rPr>
          <w:rFonts w:eastAsiaTheme="minorEastAsia"/>
          <w:sz w:val="24"/>
          <w:szCs w:val="21"/>
        </w:rPr>
        <w:t>0.47</w:t>
      </w:r>
      <w:r w:rsidRPr="00F9522B">
        <w:rPr>
          <w:rFonts w:eastAsiaTheme="minorEastAsia"/>
          <w:sz w:val="24"/>
          <w:szCs w:val="21"/>
        </w:rPr>
        <w:t>万亩</w:t>
      </w:r>
      <w:r w:rsidRPr="00F9522B">
        <w:rPr>
          <w:rFonts w:eastAsiaTheme="minorEastAsia"/>
          <w:sz w:val="24"/>
        </w:rPr>
        <w:t>，本工程属于</w:t>
      </w:r>
      <w:r w:rsidRPr="00F9522B">
        <w:rPr>
          <w:rFonts w:eastAsiaTheme="minorEastAsia"/>
          <w:sz w:val="24"/>
        </w:rPr>
        <w:t>“</w:t>
      </w:r>
      <w:r w:rsidRPr="00F9522B">
        <w:rPr>
          <w:rFonts w:eastAsiaTheme="minorEastAsia"/>
          <w:sz w:val="24"/>
        </w:rPr>
        <w:t>农林牧渔业</w:t>
      </w:r>
      <w:r w:rsidRPr="00F9522B">
        <w:rPr>
          <w:rFonts w:eastAsiaTheme="minorEastAsia"/>
          <w:sz w:val="24"/>
        </w:rPr>
        <w:t>”</w:t>
      </w:r>
      <w:r w:rsidRPr="00F9522B">
        <w:rPr>
          <w:rFonts w:eastAsiaTheme="minorEastAsia"/>
          <w:sz w:val="24"/>
        </w:rPr>
        <w:t>中的</w:t>
      </w:r>
      <w:r w:rsidRPr="00F9522B">
        <w:rPr>
          <w:rFonts w:eastAsiaTheme="minorEastAsia"/>
          <w:sz w:val="24"/>
        </w:rPr>
        <w:t>“</w:t>
      </w:r>
      <w:r w:rsidRPr="00F9522B">
        <w:rPr>
          <w:rFonts w:eastAsiaTheme="minorEastAsia"/>
          <w:sz w:val="24"/>
        </w:rPr>
        <w:t>其他</w:t>
      </w:r>
      <w:r w:rsidRPr="00F9522B">
        <w:rPr>
          <w:rFonts w:eastAsiaTheme="minorEastAsia"/>
          <w:sz w:val="24"/>
        </w:rPr>
        <w:t>”</w:t>
      </w:r>
      <w:r w:rsidRPr="00F9522B">
        <w:rPr>
          <w:rFonts w:eastAsiaTheme="minorEastAsia"/>
          <w:sz w:val="24"/>
        </w:rPr>
        <w:t>，土壤环境影响评价项目类别为</w:t>
      </w:r>
      <w:r w:rsidRPr="00F9522B">
        <w:rPr>
          <w:rFonts w:eastAsiaTheme="minorEastAsia"/>
          <w:sz w:val="24"/>
        </w:rPr>
        <w:t>IV</w:t>
      </w:r>
      <w:r w:rsidRPr="00F9522B">
        <w:rPr>
          <w:rFonts w:eastAsiaTheme="minorEastAsia"/>
          <w:sz w:val="24"/>
        </w:rPr>
        <w:t>类。</w:t>
      </w:r>
      <w:r w:rsidRPr="00F9522B">
        <w:rPr>
          <w:rFonts w:eastAsiaTheme="minorEastAsia"/>
          <w:snapToGrid w:val="0"/>
          <w:sz w:val="24"/>
          <w:szCs w:val="22"/>
        </w:rPr>
        <w:t>本项目田间建设灌溉井，日最大取地下水量</w:t>
      </w:r>
      <w:r w:rsidR="00030F6B" w:rsidRPr="00F9522B">
        <w:rPr>
          <w:rFonts w:eastAsiaTheme="minorEastAsia"/>
          <w:snapToGrid w:val="0"/>
          <w:sz w:val="24"/>
          <w:szCs w:val="22"/>
        </w:rPr>
        <w:t>约</w:t>
      </w:r>
      <w:r w:rsidRPr="00F9522B">
        <w:rPr>
          <w:rFonts w:eastAsiaTheme="minorEastAsia"/>
          <w:snapToGrid w:val="0"/>
          <w:sz w:val="24"/>
          <w:szCs w:val="22"/>
        </w:rPr>
        <w:t>为</w:t>
      </w:r>
      <w:r w:rsidR="00BB3957" w:rsidRPr="00F9522B">
        <w:rPr>
          <w:rFonts w:eastAsiaTheme="minorEastAsia"/>
          <w:snapToGrid w:val="0"/>
          <w:sz w:val="24"/>
          <w:szCs w:val="22"/>
        </w:rPr>
        <w:t>83991m</w:t>
      </w:r>
      <w:r w:rsidR="00BB3957" w:rsidRPr="00F9522B">
        <w:rPr>
          <w:rFonts w:eastAsiaTheme="minorEastAsia"/>
          <w:snapToGrid w:val="0"/>
          <w:sz w:val="24"/>
          <w:szCs w:val="22"/>
          <w:vertAlign w:val="superscript"/>
        </w:rPr>
        <w:t>3</w:t>
      </w:r>
      <w:r w:rsidRPr="00F9522B">
        <w:rPr>
          <w:rFonts w:eastAsiaTheme="minorEastAsia"/>
          <w:snapToGrid w:val="0"/>
          <w:sz w:val="24"/>
          <w:szCs w:val="22"/>
        </w:rPr>
        <w:t>，属地下水开采工程，属于</w:t>
      </w:r>
      <w:r w:rsidRPr="00F9522B">
        <w:rPr>
          <w:rFonts w:eastAsiaTheme="minorEastAsia"/>
          <w:sz w:val="24"/>
        </w:rPr>
        <w:t>“</w:t>
      </w:r>
      <w:r w:rsidRPr="00F9522B">
        <w:rPr>
          <w:rFonts w:eastAsiaTheme="minorEastAsia"/>
          <w:sz w:val="24"/>
        </w:rPr>
        <w:t>水利</w:t>
      </w:r>
      <w:r w:rsidRPr="00F9522B">
        <w:rPr>
          <w:rFonts w:eastAsiaTheme="minorEastAsia"/>
          <w:sz w:val="24"/>
        </w:rPr>
        <w:t>”</w:t>
      </w:r>
      <w:r w:rsidRPr="00F9522B">
        <w:rPr>
          <w:rFonts w:eastAsiaTheme="minorEastAsia"/>
          <w:sz w:val="24"/>
        </w:rPr>
        <w:t>中的</w:t>
      </w:r>
      <w:r w:rsidRPr="00F9522B">
        <w:rPr>
          <w:rFonts w:eastAsiaTheme="minorEastAsia"/>
          <w:sz w:val="24"/>
        </w:rPr>
        <w:t>“</w:t>
      </w:r>
      <w:r w:rsidRPr="00F9522B">
        <w:rPr>
          <w:rFonts w:eastAsiaTheme="minorEastAsia"/>
          <w:sz w:val="24"/>
        </w:rPr>
        <w:t>其他</w:t>
      </w:r>
      <w:r w:rsidRPr="00F9522B">
        <w:rPr>
          <w:rFonts w:eastAsiaTheme="minorEastAsia"/>
          <w:sz w:val="24"/>
        </w:rPr>
        <w:t>”</w:t>
      </w:r>
      <w:r w:rsidRPr="00F9522B">
        <w:rPr>
          <w:rFonts w:eastAsiaTheme="minorEastAsia"/>
          <w:snapToGrid w:val="0"/>
          <w:sz w:val="24"/>
          <w:szCs w:val="22"/>
        </w:rPr>
        <w:t>，为</w:t>
      </w:r>
      <w:r w:rsidRPr="00F9522B">
        <w:rPr>
          <w:rFonts w:eastAsiaTheme="minorEastAsia"/>
          <w:snapToGrid w:val="0"/>
          <w:sz w:val="24"/>
          <w:szCs w:val="22"/>
        </w:rPr>
        <w:t>Ⅲ</w:t>
      </w:r>
      <w:r w:rsidRPr="00F9522B">
        <w:rPr>
          <w:rFonts w:eastAsiaTheme="minorEastAsia"/>
          <w:snapToGrid w:val="0"/>
          <w:sz w:val="24"/>
          <w:szCs w:val="22"/>
        </w:rPr>
        <w:t>类项目。</w:t>
      </w:r>
    </w:p>
    <w:p w:rsidR="002A5A5E" w:rsidRPr="00F9522B" w:rsidRDefault="00611CBA">
      <w:pPr>
        <w:spacing w:line="360" w:lineRule="auto"/>
        <w:ind w:firstLineChars="200" w:firstLine="480"/>
        <w:rPr>
          <w:rFonts w:eastAsiaTheme="minorEastAsia"/>
          <w:snapToGrid w:val="0"/>
          <w:sz w:val="24"/>
          <w:szCs w:val="22"/>
        </w:rPr>
      </w:pPr>
      <w:r w:rsidRPr="00F9522B">
        <w:rPr>
          <w:rFonts w:eastAsiaTheme="minorEastAsia"/>
          <w:snapToGrid w:val="0"/>
          <w:sz w:val="24"/>
          <w:szCs w:val="22"/>
        </w:rPr>
        <w:t>本项目运营期开采地下水可能引起地下水水位变化，从而可能引起土壤盐碱化的风险，为生态影响型项目。建设项目所在地周边的土壤环境敏感程度分为敏感、较敏感、不敏感，判别依据见表</w:t>
      </w:r>
      <w:r w:rsidRPr="00F9522B">
        <w:rPr>
          <w:rFonts w:eastAsiaTheme="minorEastAsia"/>
          <w:snapToGrid w:val="0"/>
          <w:sz w:val="24"/>
          <w:szCs w:val="22"/>
        </w:rPr>
        <w:t>2-6-8</w:t>
      </w:r>
      <w:r w:rsidRPr="00F9522B">
        <w:rPr>
          <w:rFonts w:eastAsiaTheme="minorEastAsia"/>
          <w:snapToGrid w:val="0"/>
          <w:sz w:val="24"/>
          <w:szCs w:val="22"/>
        </w:rPr>
        <w:t>。</w:t>
      </w:r>
    </w:p>
    <w:p w:rsidR="002A5A5E" w:rsidRPr="00F9522B" w:rsidRDefault="00611CBA">
      <w:pPr>
        <w:contextualSpacing/>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2-6-8</w:t>
      </w:r>
      <w:r w:rsidRPr="00F9522B">
        <w:rPr>
          <w:rFonts w:eastAsiaTheme="minorEastAsia"/>
          <w:b/>
          <w:kern w:val="0"/>
          <w:szCs w:val="21"/>
        </w:rPr>
        <w:t>生态影响型敏感程度分级表</w:t>
      </w:r>
    </w:p>
    <w:tbl>
      <w:tblPr>
        <w:tblW w:w="4999" w:type="pct"/>
        <w:jc w:val="center"/>
        <w:tblBorders>
          <w:top w:val="single" w:sz="12" w:space="0" w:color="auto"/>
          <w:bottom w:val="single" w:sz="12" w:space="0" w:color="auto"/>
          <w:insideH w:val="single" w:sz="6" w:space="0" w:color="auto"/>
          <w:insideV w:val="single" w:sz="6" w:space="0" w:color="auto"/>
        </w:tblBorders>
        <w:tblLook w:val="04A0"/>
      </w:tblPr>
      <w:tblGrid>
        <w:gridCol w:w="855"/>
        <w:gridCol w:w="5206"/>
        <w:gridCol w:w="1062"/>
        <w:gridCol w:w="1397"/>
      </w:tblGrid>
      <w:tr w:rsidR="002A5A5E" w:rsidRPr="00F9522B">
        <w:trPr>
          <w:jc w:val="center"/>
        </w:trPr>
        <w:tc>
          <w:tcPr>
            <w:tcW w:w="502" w:type="pct"/>
            <w:vMerge w:val="restart"/>
            <w:tcBorders>
              <w:tl2br w:val="nil"/>
              <w:tr2bl w:val="nil"/>
            </w:tcBorders>
            <w:vAlign w:val="center"/>
          </w:tcPr>
          <w:p w:rsidR="002A5A5E" w:rsidRPr="00F9522B" w:rsidRDefault="00611CBA">
            <w:pPr>
              <w:autoSpaceDE w:val="0"/>
              <w:autoSpaceDN w:val="0"/>
              <w:adjustRightInd w:val="0"/>
              <w:jc w:val="center"/>
              <w:textAlignment w:val="baseline"/>
              <w:rPr>
                <w:rFonts w:eastAsiaTheme="minorEastAsia"/>
                <w:szCs w:val="21"/>
              </w:rPr>
            </w:pPr>
            <w:r w:rsidRPr="00F9522B">
              <w:rPr>
                <w:rFonts w:eastAsiaTheme="minorEastAsia"/>
                <w:szCs w:val="21"/>
              </w:rPr>
              <w:t>敏感</w:t>
            </w:r>
          </w:p>
          <w:p w:rsidR="002A5A5E" w:rsidRPr="00F9522B" w:rsidRDefault="00611CBA">
            <w:pPr>
              <w:autoSpaceDE w:val="0"/>
              <w:autoSpaceDN w:val="0"/>
              <w:adjustRightInd w:val="0"/>
              <w:jc w:val="center"/>
              <w:textAlignment w:val="baseline"/>
              <w:rPr>
                <w:rFonts w:eastAsiaTheme="minorEastAsia"/>
                <w:szCs w:val="21"/>
              </w:rPr>
            </w:pPr>
            <w:r w:rsidRPr="00F9522B">
              <w:rPr>
                <w:rFonts w:eastAsiaTheme="minorEastAsia"/>
                <w:szCs w:val="21"/>
              </w:rPr>
              <w:t>程度</w:t>
            </w:r>
          </w:p>
        </w:tc>
        <w:tc>
          <w:tcPr>
            <w:tcW w:w="4498" w:type="pct"/>
            <w:gridSpan w:val="3"/>
            <w:tcBorders>
              <w:tl2br w:val="nil"/>
              <w:tr2bl w:val="nil"/>
            </w:tcBorders>
            <w:vAlign w:val="center"/>
          </w:tcPr>
          <w:p w:rsidR="002A5A5E" w:rsidRPr="00F9522B" w:rsidRDefault="00611CBA">
            <w:pPr>
              <w:autoSpaceDE w:val="0"/>
              <w:autoSpaceDN w:val="0"/>
              <w:adjustRightInd w:val="0"/>
              <w:jc w:val="center"/>
              <w:textAlignment w:val="baseline"/>
              <w:rPr>
                <w:rFonts w:eastAsiaTheme="minorEastAsia"/>
                <w:szCs w:val="21"/>
              </w:rPr>
            </w:pPr>
            <w:r w:rsidRPr="00F9522B">
              <w:rPr>
                <w:rFonts w:eastAsiaTheme="minorEastAsia"/>
                <w:szCs w:val="21"/>
              </w:rPr>
              <w:t>判别依据</w:t>
            </w:r>
          </w:p>
        </w:tc>
      </w:tr>
      <w:tr w:rsidR="002A5A5E" w:rsidRPr="00F9522B">
        <w:trPr>
          <w:jc w:val="center"/>
        </w:trPr>
        <w:tc>
          <w:tcPr>
            <w:tcW w:w="502" w:type="pct"/>
            <w:vMerge/>
            <w:tcBorders>
              <w:tl2br w:val="nil"/>
              <w:tr2bl w:val="nil"/>
            </w:tcBorders>
            <w:vAlign w:val="center"/>
          </w:tcPr>
          <w:p w:rsidR="002A5A5E" w:rsidRPr="00F9522B" w:rsidRDefault="002A5A5E">
            <w:pPr>
              <w:autoSpaceDE w:val="0"/>
              <w:autoSpaceDN w:val="0"/>
              <w:adjustRightInd w:val="0"/>
              <w:jc w:val="center"/>
              <w:textAlignment w:val="baseline"/>
              <w:rPr>
                <w:rFonts w:eastAsiaTheme="minorEastAsia"/>
                <w:szCs w:val="21"/>
              </w:rPr>
            </w:pPr>
          </w:p>
        </w:tc>
        <w:tc>
          <w:tcPr>
            <w:tcW w:w="3055" w:type="pct"/>
            <w:tcBorders>
              <w:tl2br w:val="nil"/>
              <w:tr2bl w:val="nil"/>
            </w:tcBorders>
            <w:vAlign w:val="center"/>
          </w:tcPr>
          <w:p w:rsidR="002A5A5E" w:rsidRPr="00F9522B" w:rsidRDefault="00611CBA">
            <w:pPr>
              <w:autoSpaceDE w:val="0"/>
              <w:autoSpaceDN w:val="0"/>
              <w:adjustRightInd w:val="0"/>
              <w:jc w:val="center"/>
              <w:textAlignment w:val="baseline"/>
              <w:rPr>
                <w:rFonts w:eastAsiaTheme="minorEastAsia"/>
                <w:szCs w:val="21"/>
              </w:rPr>
            </w:pPr>
            <w:r w:rsidRPr="00F9522B">
              <w:rPr>
                <w:rFonts w:eastAsiaTheme="minorEastAsia"/>
                <w:szCs w:val="21"/>
              </w:rPr>
              <w:t>盐化</w:t>
            </w:r>
          </w:p>
        </w:tc>
        <w:tc>
          <w:tcPr>
            <w:tcW w:w="623" w:type="pct"/>
            <w:tcBorders>
              <w:tl2br w:val="nil"/>
              <w:tr2bl w:val="nil"/>
            </w:tcBorders>
            <w:vAlign w:val="center"/>
          </w:tcPr>
          <w:p w:rsidR="002A5A5E" w:rsidRPr="00F9522B" w:rsidRDefault="00611CBA">
            <w:pPr>
              <w:autoSpaceDE w:val="0"/>
              <w:autoSpaceDN w:val="0"/>
              <w:adjustRightInd w:val="0"/>
              <w:jc w:val="center"/>
              <w:textAlignment w:val="baseline"/>
              <w:rPr>
                <w:rFonts w:eastAsiaTheme="minorEastAsia"/>
                <w:szCs w:val="21"/>
              </w:rPr>
            </w:pPr>
            <w:r w:rsidRPr="00F9522B">
              <w:rPr>
                <w:rFonts w:eastAsiaTheme="minorEastAsia"/>
                <w:szCs w:val="21"/>
              </w:rPr>
              <w:t>酸化</w:t>
            </w:r>
          </w:p>
        </w:tc>
        <w:tc>
          <w:tcPr>
            <w:tcW w:w="820" w:type="pct"/>
            <w:tcBorders>
              <w:tl2br w:val="nil"/>
              <w:tr2bl w:val="nil"/>
            </w:tcBorders>
            <w:vAlign w:val="center"/>
          </w:tcPr>
          <w:p w:rsidR="002A5A5E" w:rsidRPr="00F9522B" w:rsidRDefault="00611CBA">
            <w:pPr>
              <w:autoSpaceDE w:val="0"/>
              <w:autoSpaceDN w:val="0"/>
              <w:adjustRightInd w:val="0"/>
              <w:jc w:val="center"/>
              <w:textAlignment w:val="baseline"/>
              <w:rPr>
                <w:rFonts w:eastAsiaTheme="minorEastAsia"/>
                <w:szCs w:val="21"/>
              </w:rPr>
            </w:pPr>
            <w:r w:rsidRPr="00F9522B">
              <w:rPr>
                <w:rFonts w:eastAsiaTheme="minorEastAsia"/>
                <w:szCs w:val="21"/>
              </w:rPr>
              <w:t>碱化</w:t>
            </w:r>
          </w:p>
        </w:tc>
      </w:tr>
      <w:tr w:rsidR="002A5A5E" w:rsidRPr="00F9522B">
        <w:trPr>
          <w:jc w:val="center"/>
        </w:trPr>
        <w:tc>
          <w:tcPr>
            <w:tcW w:w="502" w:type="pct"/>
            <w:tcBorders>
              <w:tl2br w:val="nil"/>
              <w:tr2bl w:val="nil"/>
            </w:tcBorders>
            <w:vAlign w:val="center"/>
          </w:tcPr>
          <w:p w:rsidR="002A5A5E" w:rsidRPr="00F9522B" w:rsidRDefault="00611CBA">
            <w:pPr>
              <w:autoSpaceDE w:val="0"/>
              <w:autoSpaceDN w:val="0"/>
              <w:adjustRightInd w:val="0"/>
              <w:jc w:val="center"/>
              <w:textAlignment w:val="baseline"/>
              <w:rPr>
                <w:rFonts w:eastAsiaTheme="minorEastAsia"/>
                <w:szCs w:val="21"/>
              </w:rPr>
            </w:pPr>
            <w:r w:rsidRPr="00F9522B">
              <w:rPr>
                <w:rFonts w:eastAsiaTheme="minorEastAsia"/>
                <w:szCs w:val="21"/>
              </w:rPr>
              <w:t>敏感</w:t>
            </w:r>
          </w:p>
        </w:tc>
        <w:tc>
          <w:tcPr>
            <w:tcW w:w="3055" w:type="pct"/>
            <w:tcBorders>
              <w:tl2br w:val="nil"/>
              <w:tr2bl w:val="nil"/>
            </w:tcBorders>
            <w:vAlign w:val="center"/>
          </w:tcPr>
          <w:p w:rsidR="002A5A5E" w:rsidRPr="00F9522B" w:rsidRDefault="00611CBA">
            <w:pPr>
              <w:autoSpaceDE w:val="0"/>
              <w:autoSpaceDN w:val="0"/>
              <w:adjustRightInd w:val="0"/>
              <w:jc w:val="center"/>
              <w:textAlignment w:val="baseline"/>
              <w:rPr>
                <w:rFonts w:eastAsiaTheme="minorEastAsia"/>
                <w:szCs w:val="21"/>
              </w:rPr>
            </w:pPr>
            <w:r w:rsidRPr="00F9522B">
              <w:rPr>
                <w:rFonts w:eastAsiaTheme="minorEastAsia"/>
                <w:szCs w:val="21"/>
              </w:rPr>
              <w:t>建设项目所在地干燥度</w:t>
            </w:r>
            <w:r w:rsidRPr="00F9522B">
              <w:rPr>
                <w:rFonts w:eastAsiaTheme="minorEastAsia"/>
                <w:szCs w:val="21"/>
                <w:vertAlign w:val="superscript"/>
              </w:rPr>
              <w:t>a</w:t>
            </w:r>
            <w:r w:rsidRPr="00F9522B">
              <w:rPr>
                <w:rFonts w:eastAsiaTheme="minorEastAsia"/>
                <w:szCs w:val="21"/>
              </w:rPr>
              <w:t>＞</w:t>
            </w:r>
            <w:r w:rsidRPr="00F9522B">
              <w:rPr>
                <w:rFonts w:eastAsiaTheme="minorEastAsia"/>
                <w:szCs w:val="21"/>
              </w:rPr>
              <w:t>2.5</w:t>
            </w:r>
            <w:r w:rsidRPr="00F9522B">
              <w:rPr>
                <w:rFonts w:eastAsiaTheme="minorEastAsia"/>
                <w:szCs w:val="21"/>
              </w:rPr>
              <w:t>且常年地下水位埋深＜</w:t>
            </w:r>
            <w:r w:rsidRPr="00F9522B">
              <w:rPr>
                <w:rFonts w:eastAsiaTheme="minorEastAsia"/>
                <w:szCs w:val="21"/>
              </w:rPr>
              <w:t>1.5m</w:t>
            </w:r>
            <w:r w:rsidRPr="00F9522B">
              <w:rPr>
                <w:rFonts w:eastAsiaTheme="minorEastAsia"/>
                <w:szCs w:val="21"/>
              </w:rPr>
              <w:t>的地势平坦区域；或土壤含盐量＞</w:t>
            </w:r>
            <w:r w:rsidRPr="00F9522B">
              <w:rPr>
                <w:rFonts w:eastAsiaTheme="minorEastAsia"/>
                <w:szCs w:val="21"/>
              </w:rPr>
              <w:t>4g/kg</w:t>
            </w:r>
            <w:r w:rsidRPr="00F9522B">
              <w:rPr>
                <w:rFonts w:eastAsiaTheme="minorEastAsia"/>
                <w:szCs w:val="21"/>
              </w:rPr>
              <w:t>的区域</w:t>
            </w:r>
          </w:p>
        </w:tc>
        <w:tc>
          <w:tcPr>
            <w:tcW w:w="623" w:type="pct"/>
            <w:tcBorders>
              <w:tl2br w:val="nil"/>
              <w:tr2bl w:val="nil"/>
            </w:tcBorders>
            <w:vAlign w:val="center"/>
          </w:tcPr>
          <w:p w:rsidR="002A5A5E" w:rsidRPr="00F9522B" w:rsidRDefault="00611CBA">
            <w:pPr>
              <w:autoSpaceDE w:val="0"/>
              <w:autoSpaceDN w:val="0"/>
              <w:adjustRightInd w:val="0"/>
              <w:jc w:val="center"/>
              <w:textAlignment w:val="baseline"/>
              <w:rPr>
                <w:rFonts w:eastAsiaTheme="minorEastAsia"/>
                <w:szCs w:val="21"/>
              </w:rPr>
            </w:pPr>
            <w:r w:rsidRPr="00F9522B">
              <w:rPr>
                <w:rFonts w:eastAsiaTheme="minorEastAsia"/>
                <w:szCs w:val="21"/>
              </w:rPr>
              <w:t>pH≤4.5</w:t>
            </w:r>
          </w:p>
        </w:tc>
        <w:tc>
          <w:tcPr>
            <w:tcW w:w="820" w:type="pct"/>
            <w:tcBorders>
              <w:tl2br w:val="nil"/>
              <w:tr2bl w:val="nil"/>
            </w:tcBorders>
            <w:vAlign w:val="center"/>
          </w:tcPr>
          <w:p w:rsidR="002A5A5E" w:rsidRPr="00F9522B" w:rsidRDefault="00611CBA">
            <w:pPr>
              <w:autoSpaceDE w:val="0"/>
              <w:autoSpaceDN w:val="0"/>
              <w:adjustRightInd w:val="0"/>
              <w:jc w:val="center"/>
              <w:textAlignment w:val="baseline"/>
              <w:rPr>
                <w:rFonts w:eastAsiaTheme="minorEastAsia"/>
                <w:szCs w:val="21"/>
              </w:rPr>
            </w:pPr>
            <w:r w:rsidRPr="00F9522B">
              <w:rPr>
                <w:rFonts w:eastAsiaTheme="minorEastAsia"/>
                <w:szCs w:val="21"/>
              </w:rPr>
              <w:t>pH≥9.0</w:t>
            </w:r>
          </w:p>
        </w:tc>
      </w:tr>
      <w:tr w:rsidR="002A5A5E" w:rsidRPr="00F9522B">
        <w:trPr>
          <w:jc w:val="center"/>
        </w:trPr>
        <w:tc>
          <w:tcPr>
            <w:tcW w:w="502" w:type="pct"/>
            <w:tcBorders>
              <w:tl2br w:val="nil"/>
              <w:tr2bl w:val="nil"/>
            </w:tcBorders>
            <w:vAlign w:val="center"/>
          </w:tcPr>
          <w:p w:rsidR="002A5A5E" w:rsidRPr="00F9522B" w:rsidRDefault="00611CBA">
            <w:pPr>
              <w:autoSpaceDE w:val="0"/>
              <w:autoSpaceDN w:val="0"/>
              <w:adjustRightInd w:val="0"/>
              <w:jc w:val="center"/>
              <w:textAlignment w:val="baseline"/>
              <w:rPr>
                <w:rFonts w:eastAsiaTheme="minorEastAsia"/>
                <w:szCs w:val="21"/>
              </w:rPr>
            </w:pPr>
            <w:r w:rsidRPr="00F9522B">
              <w:rPr>
                <w:rFonts w:eastAsiaTheme="minorEastAsia"/>
                <w:szCs w:val="21"/>
              </w:rPr>
              <w:t>较敏感</w:t>
            </w:r>
          </w:p>
        </w:tc>
        <w:tc>
          <w:tcPr>
            <w:tcW w:w="3055" w:type="pct"/>
            <w:tcBorders>
              <w:tl2br w:val="nil"/>
              <w:tr2bl w:val="nil"/>
            </w:tcBorders>
            <w:vAlign w:val="center"/>
          </w:tcPr>
          <w:p w:rsidR="002A5A5E" w:rsidRPr="00F9522B" w:rsidRDefault="00611CBA">
            <w:pPr>
              <w:autoSpaceDE w:val="0"/>
              <w:autoSpaceDN w:val="0"/>
              <w:adjustRightInd w:val="0"/>
              <w:jc w:val="center"/>
              <w:textAlignment w:val="baseline"/>
              <w:rPr>
                <w:rFonts w:eastAsiaTheme="minorEastAsia"/>
                <w:szCs w:val="21"/>
              </w:rPr>
            </w:pPr>
            <w:r w:rsidRPr="00F9522B">
              <w:rPr>
                <w:rFonts w:eastAsiaTheme="minorEastAsia"/>
                <w:szCs w:val="21"/>
              </w:rPr>
              <w:t>建设项目所在地干燥度＞</w:t>
            </w:r>
            <w:r w:rsidRPr="00F9522B">
              <w:rPr>
                <w:rFonts w:eastAsiaTheme="minorEastAsia"/>
                <w:szCs w:val="21"/>
              </w:rPr>
              <w:t>2.5</w:t>
            </w:r>
            <w:r w:rsidRPr="00F9522B">
              <w:rPr>
                <w:rFonts w:eastAsiaTheme="minorEastAsia"/>
                <w:szCs w:val="21"/>
              </w:rPr>
              <w:t>且常年地下水位埋深</w:t>
            </w:r>
            <w:r w:rsidRPr="00F9522B">
              <w:rPr>
                <w:rFonts w:eastAsiaTheme="minorEastAsia"/>
                <w:szCs w:val="21"/>
              </w:rPr>
              <w:t>≥1.5m</w:t>
            </w:r>
            <w:r w:rsidRPr="00F9522B">
              <w:rPr>
                <w:rFonts w:eastAsiaTheme="minorEastAsia"/>
                <w:szCs w:val="21"/>
              </w:rPr>
              <w:t>的；或</w:t>
            </w:r>
            <w:r w:rsidRPr="00F9522B">
              <w:rPr>
                <w:rFonts w:eastAsiaTheme="minorEastAsia"/>
                <w:szCs w:val="21"/>
              </w:rPr>
              <w:t>1.8</w:t>
            </w:r>
            <w:r w:rsidRPr="00F9522B">
              <w:rPr>
                <w:rFonts w:eastAsiaTheme="minorEastAsia"/>
                <w:szCs w:val="21"/>
              </w:rPr>
              <w:t>＜干燥度</w:t>
            </w:r>
            <w:r w:rsidRPr="00F9522B">
              <w:rPr>
                <w:rFonts w:eastAsiaTheme="minorEastAsia"/>
                <w:szCs w:val="21"/>
              </w:rPr>
              <w:t>≤2.5</w:t>
            </w:r>
            <w:r w:rsidRPr="00F9522B">
              <w:rPr>
                <w:rFonts w:eastAsiaTheme="minorEastAsia"/>
                <w:szCs w:val="21"/>
              </w:rPr>
              <w:t>且常年地下水位平均埋深＜</w:t>
            </w:r>
            <w:r w:rsidRPr="00F9522B">
              <w:rPr>
                <w:rFonts w:eastAsiaTheme="minorEastAsia"/>
                <w:szCs w:val="21"/>
              </w:rPr>
              <w:t>1.8m</w:t>
            </w:r>
            <w:r w:rsidRPr="00F9522B">
              <w:rPr>
                <w:rFonts w:eastAsiaTheme="minorEastAsia"/>
                <w:szCs w:val="21"/>
              </w:rPr>
              <w:t>的地势平坦区域；建设项目所在地干燥度＞</w:t>
            </w:r>
            <w:r w:rsidRPr="00F9522B">
              <w:rPr>
                <w:rFonts w:eastAsiaTheme="minorEastAsia"/>
                <w:szCs w:val="21"/>
              </w:rPr>
              <w:t>2.5</w:t>
            </w:r>
            <w:r w:rsidRPr="00F9522B">
              <w:rPr>
                <w:rFonts w:eastAsiaTheme="minorEastAsia"/>
                <w:szCs w:val="21"/>
              </w:rPr>
              <w:t>或常年地下水位埋深＜</w:t>
            </w:r>
            <w:r w:rsidRPr="00F9522B">
              <w:rPr>
                <w:rFonts w:eastAsiaTheme="minorEastAsia"/>
                <w:szCs w:val="21"/>
              </w:rPr>
              <w:t>1.5m</w:t>
            </w:r>
            <w:r w:rsidRPr="00F9522B">
              <w:rPr>
                <w:rFonts w:eastAsiaTheme="minorEastAsia"/>
                <w:szCs w:val="21"/>
              </w:rPr>
              <w:t>的平原区；或</w:t>
            </w:r>
            <w:r w:rsidRPr="00F9522B">
              <w:rPr>
                <w:rFonts w:eastAsiaTheme="minorEastAsia"/>
                <w:szCs w:val="21"/>
              </w:rPr>
              <w:t>2g/kg</w:t>
            </w:r>
            <w:r w:rsidRPr="00F9522B">
              <w:rPr>
                <w:rFonts w:eastAsiaTheme="minorEastAsia"/>
                <w:szCs w:val="21"/>
              </w:rPr>
              <w:t>＜土壤含盐量</w:t>
            </w:r>
            <w:r w:rsidRPr="00F9522B">
              <w:rPr>
                <w:rFonts w:eastAsiaTheme="minorEastAsia"/>
                <w:szCs w:val="21"/>
              </w:rPr>
              <w:t>≤4g/kg</w:t>
            </w:r>
            <w:r w:rsidRPr="00F9522B">
              <w:rPr>
                <w:rFonts w:eastAsiaTheme="minorEastAsia"/>
                <w:szCs w:val="21"/>
              </w:rPr>
              <w:t>的区域</w:t>
            </w:r>
          </w:p>
        </w:tc>
        <w:tc>
          <w:tcPr>
            <w:tcW w:w="623" w:type="pct"/>
            <w:tcBorders>
              <w:tl2br w:val="nil"/>
              <w:tr2bl w:val="nil"/>
            </w:tcBorders>
            <w:vAlign w:val="center"/>
          </w:tcPr>
          <w:p w:rsidR="002A5A5E" w:rsidRPr="00F9522B" w:rsidRDefault="00611CBA">
            <w:pPr>
              <w:autoSpaceDE w:val="0"/>
              <w:autoSpaceDN w:val="0"/>
              <w:adjustRightInd w:val="0"/>
              <w:jc w:val="center"/>
              <w:textAlignment w:val="baseline"/>
              <w:rPr>
                <w:rFonts w:eastAsiaTheme="minorEastAsia"/>
                <w:szCs w:val="21"/>
              </w:rPr>
            </w:pPr>
            <w:r w:rsidRPr="00F9522B">
              <w:rPr>
                <w:rFonts w:eastAsiaTheme="minorEastAsia"/>
                <w:szCs w:val="21"/>
              </w:rPr>
              <w:t>4.5</w:t>
            </w:r>
            <w:r w:rsidRPr="00F9522B">
              <w:rPr>
                <w:rFonts w:eastAsiaTheme="minorEastAsia"/>
                <w:szCs w:val="21"/>
              </w:rPr>
              <w:t>＜</w:t>
            </w:r>
            <w:r w:rsidRPr="00F9522B">
              <w:rPr>
                <w:rFonts w:eastAsiaTheme="minorEastAsia"/>
                <w:szCs w:val="21"/>
              </w:rPr>
              <w:t>pH≤5.5</w:t>
            </w:r>
          </w:p>
        </w:tc>
        <w:tc>
          <w:tcPr>
            <w:tcW w:w="820" w:type="pct"/>
            <w:tcBorders>
              <w:tl2br w:val="nil"/>
              <w:tr2bl w:val="nil"/>
            </w:tcBorders>
            <w:vAlign w:val="center"/>
          </w:tcPr>
          <w:p w:rsidR="002A5A5E" w:rsidRPr="00F9522B" w:rsidRDefault="00611CBA">
            <w:pPr>
              <w:autoSpaceDE w:val="0"/>
              <w:autoSpaceDN w:val="0"/>
              <w:adjustRightInd w:val="0"/>
              <w:jc w:val="center"/>
              <w:textAlignment w:val="baseline"/>
              <w:rPr>
                <w:rFonts w:eastAsiaTheme="minorEastAsia"/>
                <w:szCs w:val="21"/>
              </w:rPr>
            </w:pPr>
            <w:r w:rsidRPr="00F9522B">
              <w:rPr>
                <w:rFonts w:eastAsiaTheme="minorEastAsia"/>
                <w:szCs w:val="21"/>
              </w:rPr>
              <w:t>8.5≤pH</w:t>
            </w:r>
            <w:r w:rsidRPr="00F9522B">
              <w:rPr>
                <w:rFonts w:eastAsiaTheme="minorEastAsia"/>
                <w:szCs w:val="21"/>
              </w:rPr>
              <w:t>＜</w:t>
            </w:r>
            <w:r w:rsidRPr="00F9522B">
              <w:rPr>
                <w:rFonts w:eastAsiaTheme="minorEastAsia"/>
                <w:szCs w:val="21"/>
              </w:rPr>
              <w:t>9.0</w:t>
            </w:r>
          </w:p>
        </w:tc>
      </w:tr>
      <w:tr w:rsidR="002A5A5E" w:rsidRPr="00F9522B">
        <w:trPr>
          <w:jc w:val="center"/>
        </w:trPr>
        <w:tc>
          <w:tcPr>
            <w:tcW w:w="502" w:type="pct"/>
            <w:tcBorders>
              <w:tl2br w:val="nil"/>
              <w:tr2bl w:val="nil"/>
            </w:tcBorders>
            <w:vAlign w:val="center"/>
          </w:tcPr>
          <w:p w:rsidR="002A5A5E" w:rsidRPr="00F9522B" w:rsidRDefault="00611CBA">
            <w:pPr>
              <w:autoSpaceDE w:val="0"/>
              <w:autoSpaceDN w:val="0"/>
              <w:adjustRightInd w:val="0"/>
              <w:jc w:val="center"/>
              <w:textAlignment w:val="baseline"/>
              <w:rPr>
                <w:rFonts w:eastAsiaTheme="minorEastAsia"/>
                <w:szCs w:val="21"/>
              </w:rPr>
            </w:pPr>
            <w:r w:rsidRPr="00F9522B">
              <w:rPr>
                <w:rFonts w:eastAsiaTheme="minorEastAsia"/>
                <w:szCs w:val="21"/>
              </w:rPr>
              <w:t>不敏感</w:t>
            </w:r>
          </w:p>
        </w:tc>
        <w:tc>
          <w:tcPr>
            <w:tcW w:w="3055" w:type="pct"/>
            <w:tcBorders>
              <w:tl2br w:val="nil"/>
              <w:tr2bl w:val="nil"/>
            </w:tcBorders>
            <w:vAlign w:val="center"/>
          </w:tcPr>
          <w:p w:rsidR="002A5A5E" w:rsidRPr="00F9522B" w:rsidRDefault="00611CBA">
            <w:pPr>
              <w:autoSpaceDE w:val="0"/>
              <w:autoSpaceDN w:val="0"/>
              <w:adjustRightInd w:val="0"/>
              <w:jc w:val="center"/>
              <w:textAlignment w:val="baseline"/>
              <w:rPr>
                <w:rFonts w:eastAsiaTheme="minorEastAsia"/>
                <w:szCs w:val="21"/>
              </w:rPr>
            </w:pPr>
            <w:r w:rsidRPr="00F9522B">
              <w:rPr>
                <w:rFonts w:eastAsiaTheme="minorEastAsia"/>
                <w:szCs w:val="21"/>
              </w:rPr>
              <w:t>其他</w:t>
            </w:r>
          </w:p>
        </w:tc>
        <w:tc>
          <w:tcPr>
            <w:tcW w:w="1443" w:type="pct"/>
            <w:gridSpan w:val="2"/>
            <w:tcBorders>
              <w:tl2br w:val="nil"/>
              <w:tr2bl w:val="nil"/>
            </w:tcBorders>
            <w:vAlign w:val="center"/>
          </w:tcPr>
          <w:p w:rsidR="002A5A5E" w:rsidRPr="00F9522B" w:rsidRDefault="00611CBA">
            <w:pPr>
              <w:autoSpaceDE w:val="0"/>
              <w:autoSpaceDN w:val="0"/>
              <w:adjustRightInd w:val="0"/>
              <w:jc w:val="center"/>
              <w:textAlignment w:val="baseline"/>
              <w:rPr>
                <w:rFonts w:eastAsiaTheme="minorEastAsia"/>
                <w:szCs w:val="21"/>
              </w:rPr>
            </w:pPr>
            <w:r w:rsidRPr="00F9522B">
              <w:rPr>
                <w:rFonts w:eastAsiaTheme="minorEastAsia"/>
                <w:szCs w:val="21"/>
              </w:rPr>
              <w:t>5.5</w:t>
            </w:r>
            <w:r w:rsidRPr="00F9522B">
              <w:rPr>
                <w:rFonts w:eastAsiaTheme="minorEastAsia"/>
                <w:szCs w:val="21"/>
              </w:rPr>
              <w:t>＜</w:t>
            </w:r>
            <w:r w:rsidRPr="00F9522B">
              <w:rPr>
                <w:rFonts w:eastAsiaTheme="minorEastAsia"/>
                <w:szCs w:val="21"/>
              </w:rPr>
              <w:t>pH</w:t>
            </w:r>
            <w:r w:rsidRPr="00F9522B">
              <w:rPr>
                <w:rFonts w:eastAsiaTheme="minorEastAsia"/>
                <w:szCs w:val="21"/>
              </w:rPr>
              <w:t>＜</w:t>
            </w:r>
            <w:r w:rsidRPr="00F9522B">
              <w:rPr>
                <w:rFonts w:eastAsiaTheme="minorEastAsia"/>
                <w:szCs w:val="21"/>
              </w:rPr>
              <w:t>8.5</w:t>
            </w:r>
          </w:p>
        </w:tc>
      </w:tr>
      <w:tr w:rsidR="002A5A5E" w:rsidRPr="00F9522B">
        <w:trPr>
          <w:jc w:val="center"/>
        </w:trPr>
        <w:tc>
          <w:tcPr>
            <w:tcW w:w="5000" w:type="pct"/>
            <w:gridSpan w:val="4"/>
            <w:tcBorders>
              <w:tl2br w:val="nil"/>
              <w:tr2bl w:val="nil"/>
            </w:tcBorders>
            <w:vAlign w:val="center"/>
          </w:tcPr>
          <w:p w:rsidR="002A5A5E" w:rsidRPr="00F9522B" w:rsidRDefault="00611CBA">
            <w:pPr>
              <w:autoSpaceDE w:val="0"/>
              <w:autoSpaceDN w:val="0"/>
              <w:adjustRightInd w:val="0"/>
              <w:jc w:val="center"/>
              <w:textAlignment w:val="baseline"/>
              <w:rPr>
                <w:rFonts w:eastAsiaTheme="minorEastAsia"/>
                <w:szCs w:val="21"/>
              </w:rPr>
            </w:pPr>
            <w:r w:rsidRPr="00F9522B">
              <w:rPr>
                <w:rFonts w:eastAsiaTheme="minorEastAsia"/>
                <w:szCs w:val="21"/>
                <w:vertAlign w:val="superscript"/>
              </w:rPr>
              <w:t>a</w:t>
            </w:r>
            <w:r w:rsidRPr="00F9522B">
              <w:rPr>
                <w:rFonts w:eastAsiaTheme="minorEastAsia"/>
                <w:szCs w:val="21"/>
              </w:rPr>
              <w:t>是指采用</w:t>
            </w:r>
            <w:r w:rsidRPr="00F9522B">
              <w:rPr>
                <w:rFonts w:eastAsiaTheme="minorEastAsia"/>
                <w:szCs w:val="21"/>
              </w:rPr>
              <w:t>E601</w:t>
            </w:r>
            <w:r w:rsidRPr="00F9522B">
              <w:rPr>
                <w:rFonts w:eastAsiaTheme="minorEastAsia"/>
                <w:szCs w:val="21"/>
              </w:rPr>
              <w:t>观测的多年平均水面蒸发量与降水量的比值，即蒸降比值。</w:t>
            </w:r>
          </w:p>
        </w:tc>
      </w:tr>
    </w:tbl>
    <w:p w:rsidR="002A5A5E" w:rsidRPr="00F9522B" w:rsidRDefault="00611CBA">
      <w:pPr>
        <w:spacing w:line="360" w:lineRule="auto"/>
        <w:ind w:firstLineChars="200" w:firstLine="480"/>
        <w:rPr>
          <w:rFonts w:eastAsiaTheme="minorEastAsia"/>
          <w:snapToGrid w:val="0"/>
          <w:sz w:val="24"/>
          <w:szCs w:val="22"/>
        </w:rPr>
      </w:pPr>
      <w:r w:rsidRPr="00F9522B">
        <w:rPr>
          <w:rFonts w:eastAsiaTheme="minorEastAsia"/>
          <w:snapToGrid w:val="0"/>
          <w:sz w:val="24"/>
          <w:szCs w:val="22"/>
        </w:rPr>
        <w:t>根据土壤环境影响评价项目类别、敏感程度划分评价工作等级，详见</w:t>
      </w:r>
      <w:r w:rsidRPr="00F9522B">
        <w:rPr>
          <w:rFonts w:eastAsiaTheme="minorEastAsia"/>
          <w:snapToGrid w:val="0"/>
          <w:sz w:val="24"/>
          <w:szCs w:val="22"/>
        </w:rPr>
        <w:t>2-6-9</w:t>
      </w:r>
      <w:r w:rsidRPr="00F9522B">
        <w:rPr>
          <w:rFonts w:eastAsiaTheme="minorEastAsia"/>
          <w:snapToGrid w:val="0"/>
          <w:sz w:val="24"/>
          <w:szCs w:val="22"/>
        </w:rPr>
        <w:t>。</w:t>
      </w:r>
    </w:p>
    <w:p w:rsidR="002A5A5E" w:rsidRPr="00F9522B" w:rsidRDefault="00611CBA">
      <w:pPr>
        <w:contextualSpacing/>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2-6-9</w:t>
      </w:r>
      <w:r w:rsidRPr="00F9522B">
        <w:rPr>
          <w:rFonts w:eastAsiaTheme="minorEastAsia"/>
          <w:b/>
          <w:kern w:val="0"/>
          <w:szCs w:val="21"/>
        </w:rPr>
        <w:t>生态影响性评价工作等级划分表</w:t>
      </w:r>
    </w:p>
    <w:tbl>
      <w:tblPr>
        <w:tblW w:w="4998" w:type="pct"/>
        <w:jc w:val="center"/>
        <w:tblBorders>
          <w:top w:val="single" w:sz="12" w:space="0" w:color="auto"/>
          <w:bottom w:val="single" w:sz="12" w:space="0" w:color="auto"/>
          <w:insideH w:val="single" w:sz="4" w:space="0" w:color="auto"/>
          <w:insideV w:val="single" w:sz="4" w:space="0" w:color="auto"/>
        </w:tblBorders>
        <w:tblLook w:val="04A0"/>
      </w:tblPr>
      <w:tblGrid>
        <w:gridCol w:w="2128"/>
        <w:gridCol w:w="2128"/>
        <w:gridCol w:w="2128"/>
        <w:gridCol w:w="2135"/>
      </w:tblGrid>
      <w:tr w:rsidR="002A5A5E" w:rsidRPr="00F9522B">
        <w:trPr>
          <w:trHeight w:hRule="exact" w:val="884"/>
          <w:jc w:val="center"/>
        </w:trPr>
        <w:tc>
          <w:tcPr>
            <w:tcW w:w="1249" w:type="pct"/>
            <w:tcBorders>
              <w:tl2br w:val="single" w:sz="4" w:space="0" w:color="auto"/>
            </w:tcBorders>
            <w:vAlign w:val="center"/>
          </w:tcPr>
          <w:p w:rsidR="002A5A5E" w:rsidRPr="00F9522B" w:rsidRDefault="00611CBA">
            <w:pPr>
              <w:autoSpaceDE w:val="0"/>
              <w:autoSpaceDN w:val="0"/>
              <w:adjustRightInd w:val="0"/>
              <w:spacing w:before="120" w:after="120"/>
              <w:textAlignment w:val="baseline"/>
              <w:rPr>
                <w:rFonts w:eastAsiaTheme="minorEastAsia"/>
                <w:szCs w:val="21"/>
              </w:rPr>
            </w:pPr>
            <w:r w:rsidRPr="00F9522B">
              <w:rPr>
                <w:rFonts w:eastAsiaTheme="minorEastAsia"/>
                <w:szCs w:val="21"/>
              </w:rPr>
              <w:t xml:space="preserve">         </w:t>
            </w:r>
            <w:r w:rsidRPr="00F9522B">
              <w:rPr>
                <w:rFonts w:eastAsiaTheme="minorEastAsia"/>
                <w:szCs w:val="21"/>
              </w:rPr>
              <w:t>项目类别</w:t>
            </w:r>
          </w:p>
          <w:p w:rsidR="002A5A5E" w:rsidRPr="00F9522B" w:rsidRDefault="00611CBA">
            <w:pPr>
              <w:autoSpaceDE w:val="0"/>
              <w:autoSpaceDN w:val="0"/>
              <w:adjustRightInd w:val="0"/>
              <w:spacing w:before="120" w:after="120"/>
              <w:textAlignment w:val="baseline"/>
              <w:rPr>
                <w:rFonts w:eastAsiaTheme="minorEastAsia"/>
                <w:szCs w:val="21"/>
              </w:rPr>
            </w:pPr>
            <w:r w:rsidRPr="00F9522B">
              <w:rPr>
                <w:rFonts w:eastAsiaTheme="minorEastAsia"/>
                <w:szCs w:val="21"/>
              </w:rPr>
              <w:t>敏感程度</w:t>
            </w:r>
          </w:p>
          <w:p w:rsidR="002A5A5E" w:rsidRPr="00F9522B" w:rsidRDefault="002A5A5E">
            <w:pPr>
              <w:autoSpaceDE w:val="0"/>
              <w:autoSpaceDN w:val="0"/>
              <w:adjustRightInd w:val="0"/>
              <w:spacing w:before="120" w:after="120"/>
              <w:textAlignment w:val="baseline"/>
              <w:rPr>
                <w:rFonts w:eastAsiaTheme="minorEastAsia"/>
                <w:szCs w:val="21"/>
              </w:rPr>
            </w:pPr>
          </w:p>
          <w:p w:rsidR="002A5A5E" w:rsidRPr="00F9522B" w:rsidRDefault="00611CBA">
            <w:pPr>
              <w:autoSpaceDE w:val="0"/>
              <w:autoSpaceDN w:val="0"/>
              <w:adjustRightInd w:val="0"/>
              <w:spacing w:before="120" w:after="120"/>
              <w:jc w:val="center"/>
              <w:textAlignment w:val="baseline"/>
              <w:rPr>
                <w:rFonts w:eastAsiaTheme="minorEastAsia"/>
                <w:szCs w:val="21"/>
              </w:rPr>
            </w:pPr>
            <w:r w:rsidRPr="00F9522B">
              <w:rPr>
                <w:rFonts w:eastAsiaTheme="minorEastAsia"/>
                <w:szCs w:val="21"/>
              </w:rPr>
              <w:t>评价等</w:t>
            </w:r>
          </w:p>
        </w:tc>
        <w:tc>
          <w:tcPr>
            <w:tcW w:w="1249" w:type="pct"/>
            <w:vAlign w:val="center"/>
          </w:tcPr>
          <w:p w:rsidR="002A5A5E" w:rsidRPr="00F9522B" w:rsidRDefault="00611CBA">
            <w:pPr>
              <w:autoSpaceDE w:val="0"/>
              <w:autoSpaceDN w:val="0"/>
              <w:adjustRightInd w:val="0"/>
              <w:jc w:val="center"/>
              <w:textAlignment w:val="baseline"/>
              <w:rPr>
                <w:rFonts w:eastAsiaTheme="minorEastAsia"/>
                <w:szCs w:val="21"/>
              </w:rPr>
            </w:pPr>
            <w:r w:rsidRPr="00F9522B">
              <w:rPr>
                <w:rFonts w:eastAsiaTheme="minorEastAsia"/>
                <w:szCs w:val="21"/>
              </w:rPr>
              <w:t>Ⅰ</w:t>
            </w:r>
            <w:r w:rsidRPr="00F9522B">
              <w:rPr>
                <w:rFonts w:eastAsiaTheme="minorEastAsia"/>
                <w:szCs w:val="21"/>
              </w:rPr>
              <w:t>类项目</w:t>
            </w:r>
          </w:p>
        </w:tc>
        <w:tc>
          <w:tcPr>
            <w:tcW w:w="1249" w:type="pct"/>
            <w:vAlign w:val="center"/>
          </w:tcPr>
          <w:p w:rsidR="002A5A5E" w:rsidRPr="00F9522B" w:rsidRDefault="00611CBA">
            <w:pPr>
              <w:autoSpaceDE w:val="0"/>
              <w:autoSpaceDN w:val="0"/>
              <w:adjustRightInd w:val="0"/>
              <w:jc w:val="center"/>
              <w:textAlignment w:val="baseline"/>
              <w:rPr>
                <w:rFonts w:eastAsiaTheme="minorEastAsia"/>
                <w:szCs w:val="21"/>
              </w:rPr>
            </w:pPr>
            <w:r w:rsidRPr="00F9522B">
              <w:rPr>
                <w:rFonts w:eastAsiaTheme="minorEastAsia"/>
                <w:szCs w:val="21"/>
              </w:rPr>
              <w:t>Ⅱ</w:t>
            </w:r>
            <w:r w:rsidRPr="00F9522B">
              <w:rPr>
                <w:rFonts w:eastAsiaTheme="minorEastAsia"/>
                <w:szCs w:val="21"/>
              </w:rPr>
              <w:t>类项目</w:t>
            </w:r>
          </w:p>
        </w:tc>
        <w:tc>
          <w:tcPr>
            <w:tcW w:w="1250" w:type="pct"/>
            <w:vAlign w:val="center"/>
          </w:tcPr>
          <w:p w:rsidR="002A5A5E" w:rsidRPr="00F9522B" w:rsidRDefault="00611CBA">
            <w:pPr>
              <w:autoSpaceDE w:val="0"/>
              <w:autoSpaceDN w:val="0"/>
              <w:adjustRightInd w:val="0"/>
              <w:jc w:val="center"/>
              <w:textAlignment w:val="baseline"/>
              <w:rPr>
                <w:rFonts w:eastAsiaTheme="minorEastAsia"/>
                <w:b/>
                <w:szCs w:val="21"/>
              </w:rPr>
            </w:pPr>
            <w:r w:rsidRPr="00F9522B">
              <w:rPr>
                <w:rFonts w:eastAsiaTheme="minorEastAsia"/>
                <w:b/>
                <w:szCs w:val="21"/>
              </w:rPr>
              <w:t>Ⅲ</w:t>
            </w:r>
            <w:r w:rsidRPr="00F9522B">
              <w:rPr>
                <w:rFonts w:eastAsiaTheme="minorEastAsia"/>
                <w:b/>
                <w:szCs w:val="21"/>
              </w:rPr>
              <w:t>类项目</w:t>
            </w:r>
          </w:p>
        </w:tc>
      </w:tr>
      <w:tr w:rsidR="002A5A5E" w:rsidRPr="00F9522B">
        <w:trPr>
          <w:trHeight w:hRule="exact" w:val="340"/>
          <w:jc w:val="center"/>
        </w:trPr>
        <w:tc>
          <w:tcPr>
            <w:tcW w:w="1249" w:type="pct"/>
            <w:vAlign w:val="center"/>
          </w:tcPr>
          <w:p w:rsidR="002A5A5E" w:rsidRPr="00F9522B" w:rsidRDefault="00611CBA">
            <w:pPr>
              <w:autoSpaceDE w:val="0"/>
              <w:autoSpaceDN w:val="0"/>
              <w:adjustRightInd w:val="0"/>
              <w:jc w:val="center"/>
              <w:textAlignment w:val="baseline"/>
              <w:rPr>
                <w:rFonts w:eastAsiaTheme="minorEastAsia"/>
                <w:szCs w:val="21"/>
              </w:rPr>
            </w:pPr>
            <w:r w:rsidRPr="00F9522B">
              <w:rPr>
                <w:rFonts w:eastAsiaTheme="minorEastAsia"/>
                <w:szCs w:val="21"/>
              </w:rPr>
              <w:t>敏感</w:t>
            </w:r>
          </w:p>
        </w:tc>
        <w:tc>
          <w:tcPr>
            <w:tcW w:w="1249" w:type="pct"/>
            <w:vAlign w:val="center"/>
          </w:tcPr>
          <w:p w:rsidR="002A5A5E" w:rsidRPr="00F9522B" w:rsidRDefault="00611CBA">
            <w:pPr>
              <w:autoSpaceDE w:val="0"/>
              <w:autoSpaceDN w:val="0"/>
              <w:adjustRightInd w:val="0"/>
              <w:jc w:val="center"/>
              <w:textAlignment w:val="baseline"/>
              <w:rPr>
                <w:rFonts w:eastAsiaTheme="minorEastAsia"/>
                <w:szCs w:val="21"/>
              </w:rPr>
            </w:pPr>
            <w:r w:rsidRPr="00F9522B">
              <w:rPr>
                <w:rFonts w:eastAsiaTheme="minorEastAsia"/>
                <w:szCs w:val="21"/>
              </w:rPr>
              <w:t>一级</w:t>
            </w:r>
          </w:p>
        </w:tc>
        <w:tc>
          <w:tcPr>
            <w:tcW w:w="1249" w:type="pct"/>
            <w:vAlign w:val="center"/>
          </w:tcPr>
          <w:p w:rsidR="002A5A5E" w:rsidRPr="00F9522B" w:rsidRDefault="00611CBA">
            <w:pPr>
              <w:jc w:val="center"/>
              <w:rPr>
                <w:rFonts w:eastAsiaTheme="minorEastAsia"/>
                <w:szCs w:val="21"/>
              </w:rPr>
            </w:pPr>
            <w:r w:rsidRPr="00F9522B">
              <w:rPr>
                <w:rFonts w:eastAsiaTheme="minorEastAsia"/>
                <w:szCs w:val="21"/>
              </w:rPr>
              <w:t>二级</w:t>
            </w:r>
          </w:p>
        </w:tc>
        <w:tc>
          <w:tcPr>
            <w:tcW w:w="1250" w:type="pct"/>
            <w:vAlign w:val="center"/>
          </w:tcPr>
          <w:p w:rsidR="002A5A5E" w:rsidRPr="00F9522B" w:rsidRDefault="00611CBA">
            <w:pPr>
              <w:jc w:val="center"/>
              <w:rPr>
                <w:rFonts w:eastAsiaTheme="minorEastAsia"/>
                <w:szCs w:val="21"/>
              </w:rPr>
            </w:pPr>
            <w:r w:rsidRPr="00F9522B">
              <w:rPr>
                <w:rFonts w:eastAsiaTheme="minorEastAsia"/>
                <w:szCs w:val="21"/>
              </w:rPr>
              <w:t>三级</w:t>
            </w:r>
          </w:p>
        </w:tc>
      </w:tr>
      <w:tr w:rsidR="002A5A5E" w:rsidRPr="00F9522B">
        <w:trPr>
          <w:jc w:val="center"/>
        </w:trPr>
        <w:tc>
          <w:tcPr>
            <w:tcW w:w="1249" w:type="pct"/>
            <w:vAlign w:val="center"/>
          </w:tcPr>
          <w:p w:rsidR="002A5A5E" w:rsidRPr="00F9522B" w:rsidRDefault="00611CBA">
            <w:pPr>
              <w:autoSpaceDE w:val="0"/>
              <w:autoSpaceDN w:val="0"/>
              <w:adjustRightInd w:val="0"/>
              <w:snapToGrid w:val="0"/>
              <w:jc w:val="center"/>
              <w:textAlignment w:val="baseline"/>
              <w:rPr>
                <w:rFonts w:eastAsiaTheme="minorEastAsia"/>
                <w:szCs w:val="21"/>
              </w:rPr>
            </w:pPr>
            <w:r w:rsidRPr="00F9522B">
              <w:rPr>
                <w:rFonts w:eastAsiaTheme="minorEastAsia"/>
                <w:szCs w:val="21"/>
              </w:rPr>
              <w:t>较敏感</w:t>
            </w:r>
          </w:p>
        </w:tc>
        <w:tc>
          <w:tcPr>
            <w:tcW w:w="1249" w:type="pct"/>
            <w:vAlign w:val="center"/>
          </w:tcPr>
          <w:p w:rsidR="002A5A5E" w:rsidRPr="00F9522B" w:rsidRDefault="00611CBA">
            <w:pPr>
              <w:autoSpaceDE w:val="0"/>
              <w:autoSpaceDN w:val="0"/>
              <w:adjustRightInd w:val="0"/>
              <w:snapToGrid w:val="0"/>
              <w:jc w:val="center"/>
              <w:textAlignment w:val="baseline"/>
              <w:rPr>
                <w:rFonts w:eastAsiaTheme="minorEastAsia"/>
                <w:szCs w:val="21"/>
              </w:rPr>
            </w:pPr>
            <w:r w:rsidRPr="00F9522B">
              <w:rPr>
                <w:rFonts w:eastAsiaTheme="minorEastAsia"/>
                <w:szCs w:val="21"/>
              </w:rPr>
              <w:t>二级</w:t>
            </w:r>
          </w:p>
        </w:tc>
        <w:tc>
          <w:tcPr>
            <w:tcW w:w="1249" w:type="pct"/>
            <w:vAlign w:val="center"/>
          </w:tcPr>
          <w:p w:rsidR="002A5A5E" w:rsidRPr="00F9522B" w:rsidRDefault="00611CBA">
            <w:pPr>
              <w:snapToGrid w:val="0"/>
              <w:jc w:val="center"/>
              <w:rPr>
                <w:rFonts w:eastAsiaTheme="minorEastAsia"/>
                <w:szCs w:val="21"/>
              </w:rPr>
            </w:pPr>
            <w:r w:rsidRPr="00F9522B">
              <w:rPr>
                <w:rFonts w:eastAsiaTheme="minorEastAsia"/>
                <w:szCs w:val="21"/>
              </w:rPr>
              <w:t>二级</w:t>
            </w:r>
          </w:p>
        </w:tc>
        <w:tc>
          <w:tcPr>
            <w:tcW w:w="1250" w:type="pct"/>
            <w:vAlign w:val="center"/>
          </w:tcPr>
          <w:p w:rsidR="002A5A5E" w:rsidRPr="00F9522B" w:rsidRDefault="00611CBA">
            <w:pPr>
              <w:snapToGrid w:val="0"/>
              <w:jc w:val="center"/>
              <w:rPr>
                <w:rFonts w:eastAsiaTheme="minorEastAsia"/>
                <w:szCs w:val="21"/>
              </w:rPr>
            </w:pPr>
            <w:r w:rsidRPr="00F9522B">
              <w:rPr>
                <w:rFonts w:eastAsiaTheme="minorEastAsia"/>
                <w:szCs w:val="21"/>
              </w:rPr>
              <w:t>三级</w:t>
            </w:r>
          </w:p>
        </w:tc>
      </w:tr>
      <w:tr w:rsidR="002A5A5E" w:rsidRPr="00F9522B">
        <w:trPr>
          <w:jc w:val="center"/>
        </w:trPr>
        <w:tc>
          <w:tcPr>
            <w:tcW w:w="1249" w:type="pct"/>
            <w:vAlign w:val="center"/>
          </w:tcPr>
          <w:p w:rsidR="002A5A5E" w:rsidRPr="00F9522B" w:rsidRDefault="00611CBA">
            <w:pPr>
              <w:autoSpaceDE w:val="0"/>
              <w:autoSpaceDN w:val="0"/>
              <w:adjustRightInd w:val="0"/>
              <w:jc w:val="center"/>
              <w:textAlignment w:val="baseline"/>
              <w:rPr>
                <w:rFonts w:eastAsiaTheme="minorEastAsia"/>
                <w:b/>
                <w:szCs w:val="21"/>
              </w:rPr>
            </w:pPr>
            <w:r w:rsidRPr="00F9522B">
              <w:rPr>
                <w:rFonts w:eastAsiaTheme="minorEastAsia"/>
                <w:b/>
                <w:szCs w:val="21"/>
              </w:rPr>
              <w:t>不敏感</w:t>
            </w:r>
          </w:p>
        </w:tc>
        <w:tc>
          <w:tcPr>
            <w:tcW w:w="1249" w:type="pct"/>
            <w:vAlign w:val="center"/>
          </w:tcPr>
          <w:p w:rsidR="002A5A5E" w:rsidRPr="00F9522B" w:rsidRDefault="00611CBA">
            <w:pPr>
              <w:autoSpaceDE w:val="0"/>
              <w:autoSpaceDN w:val="0"/>
              <w:adjustRightInd w:val="0"/>
              <w:jc w:val="center"/>
              <w:textAlignment w:val="baseline"/>
              <w:rPr>
                <w:rFonts w:eastAsiaTheme="minorEastAsia"/>
                <w:szCs w:val="21"/>
              </w:rPr>
            </w:pPr>
            <w:r w:rsidRPr="00F9522B">
              <w:rPr>
                <w:rFonts w:eastAsiaTheme="minorEastAsia"/>
                <w:szCs w:val="21"/>
              </w:rPr>
              <w:t>二级</w:t>
            </w:r>
          </w:p>
        </w:tc>
        <w:tc>
          <w:tcPr>
            <w:tcW w:w="1249" w:type="pct"/>
            <w:vAlign w:val="center"/>
          </w:tcPr>
          <w:p w:rsidR="002A5A5E" w:rsidRPr="00F9522B" w:rsidRDefault="00611CBA">
            <w:pPr>
              <w:autoSpaceDE w:val="0"/>
              <w:autoSpaceDN w:val="0"/>
              <w:adjustRightInd w:val="0"/>
              <w:jc w:val="center"/>
              <w:textAlignment w:val="baseline"/>
              <w:rPr>
                <w:rFonts w:eastAsiaTheme="minorEastAsia"/>
                <w:szCs w:val="21"/>
              </w:rPr>
            </w:pPr>
            <w:r w:rsidRPr="00F9522B">
              <w:rPr>
                <w:rFonts w:eastAsiaTheme="minorEastAsia"/>
                <w:szCs w:val="21"/>
              </w:rPr>
              <w:t>三级</w:t>
            </w:r>
          </w:p>
        </w:tc>
        <w:tc>
          <w:tcPr>
            <w:tcW w:w="1250" w:type="pct"/>
            <w:vAlign w:val="center"/>
          </w:tcPr>
          <w:p w:rsidR="002A5A5E" w:rsidRPr="00F9522B" w:rsidRDefault="00611CBA">
            <w:pPr>
              <w:autoSpaceDE w:val="0"/>
              <w:autoSpaceDN w:val="0"/>
              <w:adjustRightInd w:val="0"/>
              <w:jc w:val="center"/>
              <w:textAlignment w:val="baseline"/>
              <w:rPr>
                <w:rFonts w:eastAsiaTheme="minorEastAsia"/>
                <w:b/>
                <w:szCs w:val="21"/>
              </w:rPr>
            </w:pPr>
            <w:r w:rsidRPr="00F9522B">
              <w:rPr>
                <w:rFonts w:eastAsiaTheme="minorEastAsia"/>
                <w:b/>
                <w:szCs w:val="21"/>
              </w:rPr>
              <w:t>—</w:t>
            </w:r>
          </w:p>
        </w:tc>
      </w:tr>
      <w:tr w:rsidR="002A5A5E" w:rsidRPr="00F9522B">
        <w:trPr>
          <w:jc w:val="center"/>
        </w:trPr>
        <w:tc>
          <w:tcPr>
            <w:tcW w:w="5000" w:type="pct"/>
            <w:gridSpan w:val="4"/>
            <w:vAlign w:val="center"/>
          </w:tcPr>
          <w:p w:rsidR="002A5A5E" w:rsidRPr="00F9522B" w:rsidRDefault="00611CBA">
            <w:pPr>
              <w:autoSpaceDE w:val="0"/>
              <w:autoSpaceDN w:val="0"/>
              <w:adjustRightInd w:val="0"/>
              <w:jc w:val="center"/>
              <w:textAlignment w:val="baseline"/>
              <w:rPr>
                <w:rFonts w:eastAsiaTheme="minorEastAsia"/>
                <w:szCs w:val="21"/>
              </w:rPr>
            </w:pPr>
            <w:r w:rsidRPr="00F9522B">
              <w:rPr>
                <w:rFonts w:eastAsiaTheme="minorEastAsia"/>
                <w:szCs w:val="21"/>
              </w:rPr>
              <w:t>注：</w:t>
            </w:r>
            <w:r w:rsidRPr="00F9522B">
              <w:rPr>
                <w:rFonts w:eastAsiaTheme="minorEastAsia"/>
                <w:szCs w:val="21"/>
              </w:rPr>
              <w:t>“—”</w:t>
            </w:r>
            <w:r w:rsidRPr="00F9522B">
              <w:rPr>
                <w:rFonts w:eastAsiaTheme="minorEastAsia"/>
                <w:szCs w:val="21"/>
              </w:rPr>
              <w:t>表示可不开展土壤环境影响评价工作</w:t>
            </w:r>
          </w:p>
        </w:tc>
      </w:tr>
    </w:tbl>
    <w:p w:rsidR="002A5A5E" w:rsidRPr="00F9522B" w:rsidRDefault="00611CBA">
      <w:pPr>
        <w:spacing w:line="360" w:lineRule="auto"/>
        <w:ind w:firstLineChars="200" w:firstLine="480"/>
        <w:contextualSpacing/>
        <w:jc w:val="left"/>
        <w:rPr>
          <w:rFonts w:eastAsiaTheme="minorEastAsia"/>
          <w:snapToGrid w:val="0"/>
          <w:sz w:val="24"/>
          <w:szCs w:val="22"/>
        </w:rPr>
      </w:pPr>
      <w:r w:rsidRPr="00F9522B">
        <w:rPr>
          <w:rFonts w:eastAsiaTheme="minorEastAsia"/>
          <w:snapToGrid w:val="0"/>
          <w:sz w:val="24"/>
          <w:szCs w:val="22"/>
        </w:rPr>
        <w:t>本项目属于</w:t>
      </w:r>
      <w:r w:rsidRPr="00F9522B">
        <w:rPr>
          <w:rFonts w:eastAsiaTheme="minorEastAsia"/>
          <w:snapToGrid w:val="0"/>
          <w:sz w:val="24"/>
          <w:szCs w:val="22"/>
        </w:rPr>
        <w:t>Ⅲ</w:t>
      </w:r>
      <w:r w:rsidRPr="00F9522B">
        <w:rPr>
          <w:rFonts w:eastAsiaTheme="minorEastAsia"/>
          <w:snapToGrid w:val="0"/>
          <w:sz w:val="24"/>
          <w:szCs w:val="22"/>
        </w:rPr>
        <w:t>类项目，根据现状监测数据可知，项目区</w:t>
      </w:r>
      <w:r w:rsidR="00030F6B" w:rsidRPr="00F9522B">
        <w:rPr>
          <w:rFonts w:eastAsiaTheme="minorEastAsia"/>
          <w:snapToGrid w:val="0"/>
          <w:sz w:val="24"/>
          <w:szCs w:val="22"/>
        </w:rPr>
        <w:t>土壤</w:t>
      </w:r>
      <w:r w:rsidRPr="00F9522B">
        <w:rPr>
          <w:rFonts w:eastAsiaTheme="minorEastAsia"/>
          <w:snapToGrid w:val="0"/>
          <w:sz w:val="24"/>
          <w:szCs w:val="22"/>
        </w:rPr>
        <w:t>pH</w:t>
      </w:r>
      <w:r w:rsidRPr="00F9522B">
        <w:rPr>
          <w:rFonts w:eastAsiaTheme="minorEastAsia"/>
          <w:snapToGrid w:val="0"/>
          <w:sz w:val="24"/>
          <w:szCs w:val="22"/>
        </w:rPr>
        <w:t>值在</w:t>
      </w:r>
      <w:r w:rsidR="00A93CEB" w:rsidRPr="00F9522B">
        <w:rPr>
          <w:rFonts w:eastAsiaTheme="minorEastAsia"/>
          <w:sz w:val="24"/>
          <w:szCs w:val="21"/>
        </w:rPr>
        <w:t>6.17-7.31</w:t>
      </w:r>
      <w:r w:rsidRPr="00F9522B">
        <w:rPr>
          <w:rFonts w:eastAsiaTheme="minorEastAsia"/>
          <w:snapToGrid w:val="0"/>
          <w:sz w:val="24"/>
          <w:szCs w:val="22"/>
        </w:rPr>
        <w:lastRenderedPageBreak/>
        <w:t>之间，根据</w:t>
      </w:r>
      <w:r w:rsidRPr="00F9522B">
        <w:rPr>
          <w:rFonts w:eastAsiaTheme="minorEastAsia"/>
          <w:snapToGrid w:val="0"/>
          <w:sz w:val="24"/>
          <w:szCs w:val="22"/>
        </w:rPr>
        <w:t>pH</w:t>
      </w:r>
      <w:r w:rsidRPr="00F9522B">
        <w:rPr>
          <w:rFonts w:eastAsiaTheme="minorEastAsia"/>
          <w:snapToGrid w:val="0"/>
          <w:sz w:val="24"/>
          <w:szCs w:val="22"/>
        </w:rPr>
        <w:t>值判定为不敏感，同时项目所在区域多年平均水面蒸发量</w:t>
      </w:r>
      <w:r w:rsidRPr="00F9522B">
        <w:rPr>
          <w:rFonts w:eastAsiaTheme="minorEastAsia"/>
          <w:snapToGrid w:val="0"/>
          <w:sz w:val="24"/>
          <w:szCs w:val="22"/>
        </w:rPr>
        <w:t>959mm</w:t>
      </w:r>
      <w:r w:rsidRPr="00F9522B">
        <w:rPr>
          <w:rFonts w:eastAsiaTheme="minorEastAsia"/>
          <w:snapToGrid w:val="0"/>
          <w:sz w:val="24"/>
          <w:szCs w:val="22"/>
        </w:rPr>
        <w:t>，降水量为</w:t>
      </w:r>
      <w:r w:rsidRPr="00F9522B">
        <w:rPr>
          <w:rFonts w:eastAsiaTheme="minorEastAsia"/>
          <w:snapToGrid w:val="0"/>
          <w:sz w:val="24"/>
          <w:szCs w:val="22"/>
        </w:rPr>
        <w:t>505.4mm</w:t>
      </w:r>
      <w:r w:rsidRPr="00F9522B">
        <w:rPr>
          <w:rFonts w:eastAsiaTheme="minorEastAsia"/>
          <w:snapToGrid w:val="0"/>
          <w:sz w:val="24"/>
          <w:szCs w:val="22"/>
        </w:rPr>
        <w:t>，干燥度为</w:t>
      </w:r>
      <w:r w:rsidRPr="00F9522B">
        <w:rPr>
          <w:rFonts w:eastAsiaTheme="minorEastAsia"/>
          <w:snapToGrid w:val="0"/>
          <w:sz w:val="24"/>
          <w:szCs w:val="22"/>
        </w:rPr>
        <w:t>1.9</w:t>
      </w:r>
      <w:r w:rsidRPr="00F9522B">
        <w:rPr>
          <w:rFonts w:eastAsiaTheme="minorEastAsia"/>
          <w:snapToGrid w:val="0"/>
          <w:sz w:val="24"/>
          <w:szCs w:val="22"/>
        </w:rPr>
        <w:t>，地下水位埋深约为</w:t>
      </w:r>
      <w:r w:rsidRPr="00F9522B">
        <w:rPr>
          <w:rFonts w:eastAsiaTheme="minorEastAsia"/>
          <w:snapToGrid w:val="0"/>
          <w:sz w:val="24"/>
          <w:szCs w:val="22"/>
        </w:rPr>
        <w:t>5~15m</w:t>
      </w:r>
      <w:r w:rsidRPr="00F9522B">
        <w:rPr>
          <w:rFonts w:eastAsiaTheme="minorEastAsia"/>
          <w:snapToGrid w:val="0"/>
          <w:sz w:val="24"/>
          <w:szCs w:val="22"/>
        </w:rPr>
        <w:t>，含盐量为</w:t>
      </w:r>
      <w:r w:rsidR="00A93CEB" w:rsidRPr="00F9522B">
        <w:rPr>
          <w:rFonts w:eastAsiaTheme="minorEastAsia"/>
          <w:sz w:val="24"/>
          <w:szCs w:val="21"/>
        </w:rPr>
        <w:t>0.4-0.9</w:t>
      </w:r>
      <w:r w:rsidRPr="00F9522B">
        <w:rPr>
          <w:rFonts w:eastAsiaTheme="minorEastAsia"/>
          <w:snapToGrid w:val="0"/>
          <w:sz w:val="24"/>
          <w:szCs w:val="22"/>
        </w:rPr>
        <w:t>g/kg</w:t>
      </w:r>
      <w:r w:rsidRPr="00F9522B">
        <w:rPr>
          <w:rFonts w:eastAsiaTheme="minorEastAsia"/>
          <w:snapToGrid w:val="0"/>
          <w:sz w:val="24"/>
          <w:szCs w:val="22"/>
        </w:rPr>
        <w:t>，故项目所在区域为不敏感，无需进行土壤评价。</w:t>
      </w:r>
    </w:p>
    <w:p w:rsidR="002A5A5E" w:rsidRPr="00F9522B" w:rsidRDefault="00611CBA">
      <w:pPr>
        <w:pStyle w:val="30"/>
        <w:spacing w:before="100" w:beforeAutospacing="1" w:after="100" w:afterAutospacing="1" w:line="240" w:lineRule="auto"/>
        <w:ind w:firstLineChars="0" w:firstLine="0"/>
        <w:contextualSpacing/>
        <w:rPr>
          <w:rFonts w:ascii="Times New Roman" w:eastAsiaTheme="minorEastAsia" w:hAnsi="Times New Roman" w:cs="Times New Roman"/>
          <w:b/>
          <w:sz w:val="28"/>
          <w:szCs w:val="28"/>
        </w:rPr>
      </w:pPr>
      <w:r w:rsidRPr="00F9522B">
        <w:rPr>
          <w:rFonts w:ascii="Times New Roman" w:eastAsiaTheme="minorEastAsia" w:hAnsi="Times New Roman" w:cs="Times New Roman"/>
          <w:b/>
          <w:sz w:val="28"/>
          <w:szCs w:val="28"/>
        </w:rPr>
        <w:t>2.6.7</w:t>
      </w:r>
      <w:r w:rsidRPr="00F9522B">
        <w:rPr>
          <w:rFonts w:ascii="Times New Roman" w:eastAsiaTheme="minorEastAsia" w:hAnsi="Times New Roman" w:cs="Times New Roman"/>
          <w:b/>
          <w:sz w:val="28"/>
          <w:szCs w:val="28"/>
        </w:rPr>
        <w:t>风险评价工作等级</w:t>
      </w:r>
    </w:p>
    <w:p w:rsidR="002A5A5E" w:rsidRPr="00F9522B" w:rsidRDefault="00611CBA">
      <w:pPr>
        <w:pStyle w:val="aff4"/>
        <w:adjustRightInd/>
        <w:snapToGrid/>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1</w:t>
      </w:r>
      <w:r w:rsidRPr="00F9522B">
        <w:rPr>
          <w:rFonts w:ascii="Times New Roman" w:hAnsi="Times New Roman" w:cs="Times New Roman"/>
        </w:rPr>
        <w:t>）风险调查</w:t>
      </w:r>
    </w:p>
    <w:p w:rsidR="002A5A5E" w:rsidRPr="00F9522B" w:rsidRDefault="00611CBA">
      <w:pPr>
        <w:pStyle w:val="aff4"/>
        <w:adjustRightInd/>
        <w:snapToGrid/>
        <w:jc w:val="both"/>
        <w:rPr>
          <w:rFonts w:ascii="Times New Roman" w:hAnsi="Times New Roman" w:cs="Times New Roman"/>
        </w:rPr>
      </w:pPr>
      <w:r w:rsidRPr="00F9522B">
        <w:rPr>
          <w:rFonts w:ascii="Times New Roman" w:hAnsi="Times New Roman" w:cs="Times New Roman"/>
        </w:rPr>
        <w:t>根据《建设项目环境风险评价技术导则》（</w:t>
      </w:r>
      <w:r w:rsidRPr="00F9522B">
        <w:rPr>
          <w:rFonts w:ascii="Times New Roman" w:hAnsi="Times New Roman" w:cs="Times New Roman"/>
        </w:rPr>
        <w:t>HJ169-2018</w:t>
      </w:r>
      <w:r w:rsidRPr="00F9522B">
        <w:rPr>
          <w:rFonts w:ascii="Times New Roman" w:hAnsi="Times New Roman" w:cs="Times New Roman"/>
        </w:rPr>
        <w:t>）附录</w:t>
      </w:r>
      <w:r w:rsidRPr="00F9522B">
        <w:rPr>
          <w:rFonts w:ascii="Times New Roman" w:hAnsi="Times New Roman" w:cs="Times New Roman"/>
        </w:rPr>
        <w:t>B</w:t>
      </w:r>
      <w:r w:rsidRPr="00F9522B">
        <w:rPr>
          <w:rFonts w:ascii="Times New Roman" w:hAnsi="Times New Roman" w:cs="Times New Roman"/>
        </w:rPr>
        <w:t>及《重大危险源辨识》（</w:t>
      </w:r>
      <w:r w:rsidRPr="00F9522B">
        <w:rPr>
          <w:rFonts w:ascii="Times New Roman" w:hAnsi="Times New Roman" w:cs="Times New Roman"/>
        </w:rPr>
        <w:t>GB18218-2018</w:t>
      </w:r>
      <w:r w:rsidRPr="00F9522B">
        <w:rPr>
          <w:rFonts w:ascii="Times New Roman" w:hAnsi="Times New Roman" w:cs="Times New Roman"/>
        </w:rPr>
        <w:t>），本项目主要风险物质为</w:t>
      </w:r>
      <w:r w:rsidRPr="00F9522B">
        <w:rPr>
          <w:rFonts w:ascii="Times New Roman" w:hAnsi="Times New Roman" w:cs="Times New Roman"/>
          <w:bCs/>
        </w:rPr>
        <w:t>柴油及变压器油</w:t>
      </w:r>
      <w:r w:rsidRPr="00F9522B">
        <w:rPr>
          <w:rFonts w:ascii="Times New Roman" w:hAnsi="Times New Roman" w:cs="Times New Roman"/>
        </w:rPr>
        <w:t>。</w:t>
      </w:r>
    </w:p>
    <w:p w:rsidR="002A5A5E" w:rsidRPr="00F9522B" w:rsidRDefault="00611CBA">
      <w:pPr>
        <w:pStyle w:val="aff4"/>
        <w:adjustRightInd/>
        <w:snapToGrid/>
        <w:jc w:val="both"/>
        <w:rPr>
          <w:rFonts w:ascii="Times New Roman" w:hAnsi="Times New Roman" w:cs="Times New Roman"/>
        </w:rPr>
      </w:pPr>
      <w:r w:rsidRPr="00F9522B">
        <w:rPr>
          <w:rFonts w:ascii="Times New Roman" w:hAnsi="Times New Roman" w:cs="Times New Roman"/>
        </w:rPr>
        <w:t>本项目排水工程设置</w:t>
      </w:r>
      <w:r w:rsidR="00D743FA" w:rsidRPr="00F9522B">
        <w:rPr>
          <w:rFonts w:ascii="Times New Roman" w:hAnsi="Times New Roman" w:cs="Times New Roman"/>
        </w:rPr>
        <w:t>78</w:t>
      </w:r>
      <w:r w:rsidRPr="00F9522B">
        <w:rPr>
          <w:rFonts w:ascii="Times New Roman" w:hAnsi="Times New Roman" w:cs="Times New Roman"/>
        </w:rPr>
        <w:t>台柴油机移动泵车，设置</w:t>
      </w:r>
      <w:r w:rsidRPr="00F9522B">
        <w:rPr>
          <w:rFonts w:ascii="Times New Roman" w:hAnsi="Times New Roman" w:cs="Times New Roman"/>
          <w:kern w:val="0"/>
          <w:szCs w:val="20"/>
        </w:rPr>
        <w:t>于康金街道、方台镇、</w:t>
      </w:r>
      <w:r w:rsidR="00D743FA" w:rsidRPr="00F9522B">
        <w:rPr>
          <w:rFonts w:ascii="Times New Roman" w:hAnsi="Times New Roman" w:cs="Times New Roman"/>
          <w:kern w:val="0"/>
          <w:szCs w:val="20"/>
        </w:rPr>
        <w:t>二八</w:t>
      </w:r>
      <w:r w:rsidRPr="00F9522B">
        <w:rPr>
          <w:rFonts w:ascii="Times New Roman" w:hAnsi="Times New Roman" w:cs="Times New Roman"/>
          <w:kern w:val="0"/>
          <w:szCs w:val="20"/>
        </w:rPr>
        <w:t>镇、石人镇</w:t>
      </w:r>
      <w:r w:rsidRPr="00F9522B">
        <w:rPr>
          <w:rFonts w:ascii="Times New Roman" w:hAnsi="Times New Roman" w:cs="Times New Roman"/>
        </w:rPr>
        <w:t>，由于泵车分布较分散，各柴油机移动泵车可视为一个单独厂区，柴油最大存储量为</w:t>
      </w:r>
      <w:r w:rsidRPr="00F9522B">
        <w:rPr>
          <w:rFonts w:ascii="Times New Roman" w:hAnsi="Times New Roman" w:cs="Times New Roman"/>
        </w:rPr>
        <w:t>150L</w:t>
      </w:r>
      <w:r w:rsidRPr="00F9522B">
        <w:rPr>
          <w:rFonts w:ascii="Times New Roman" w:hAnsi="Times New Roman" w:cs="Times New Roman"/>
        </w:rPr>
        <w:t>（</w:t>
      </w:r>
      <w:r w:rsidRPr="00F9522B">
        <w:rPr>
          <w:rFonts w:ascii="Times New Roman" w:hAnsi="Times New Roman" w:cs="Times New Roman"/>
        </w:rPr>
        <w:t>0.125t</w:t>
      </w:r>
      <w:r w:rsidRPr="00F9522B">
        <w:rPr>
          <w:rFonts w:ascii="Times New Roman" w:hAnsi="Times New Roman" w:cs="Times New Roman"/>
        </w:rPr>
        <w:t>），本项目采用油浸式变压器较传统变压器的变压器油相对小，各变压器箱内变压器油存储量最大为</w:t>
      </w:r>
      <w:r w:rsidRPr="00F9522B">
        <w:rPr>
          <w:rFonts w:ascii="Times New Roman" w:hAnsi="Times New Roman" w:cs="Times New Roman"/>
        </w:rPr>
        <w:t>115kg</w:t>
      </w:r>
      <w:r w:rsidRPr="00F9522B">
        <w:rPr>
          <w:rFonts w:ascii="Times New Roman" w:hAnsi="Times New Roman" w:cs="Times New Roman"/>
        </w:rPr>
        <w:t>。运营期由于项目分散，各变压器可视为一个单独厂区，均小于</w:t>
      </w:r>
      <w:r w:rsidRPr="00F9522B">
        <w:rPr>
          <w:rFonts w:ascii="Times New Roman" w:hAnsi="Times New Roman" w:cs="Times New Roman"/>
        </w:rPr>
        <w:t>2500t</w:t>
      </w:r>
      <w:r w:rsidRPr="00F9522B">
        <w:rPr>
          <w:rFonts w:ascii="Times New Roman" w:hAnsi="Times New Roman" w:cs="Times New Roman"/>
        </w:rPr>
        <w:t>（临界量），因此根据以上分析，项目</w:t>
      </w:r>
      <w:r w:rsidRPr="00F9522B">
        <w:rPr>
          <w:rFonts w:ascii="Times New Roman" w:hAnsi="Times New Roman" w:cs="Times New Roman"/>
        </w:rPr>
        <w:t>Q</w:t>
      </w:r>
      <w:r w:rsidRPr="00F9522B">
        <w:rPr>
          <w:rFonts w:ascii="Times New Roman" w:hAnsi="Times New Roman" w:cs="Times New Roman"/>
        </w:rPr>
        <w:t>值小于</w:t>
      </w:r>
      <w:r w:rsidRPr="00F9522B">
        <w:rPr>
          <w:rFonts w:ascii="Times New Roman" w:hAnsi="Times New Roman" w:cs="Times New Roman"/>
        </w:rPr>
        <w:t>1</w:t>
      </w:r>
      <w:r w:rsidRPr="00F9522B">
        <w:rPr>
          <w:rFonts w:ascii="Times New Roman" w:hAnsi="Times New Roman" w:cs="Times New Roman"/>
        </w:rPr>
        <w:t>。</w:t>
      </w:r>
    </w:p>
    <w:p w:rsidR="002A5A5E" w:rsidRPr="00F9522B" w:rsidRDefault="00611CBA">
      <w:pPr>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 xml:space="preserve">2-6-10 </w:t>
      </w:r>
      <w:r w:rsidRPr="00F9522B">
        <w:rPr>
          <w:rFonts w:eastAsiaTheme="minorEastAsia"/>
          <w:b/>
          <w:kern w:val="0"/>
          <w:szCs w:val="21"/>
        </w:rPr>
        <w:t>项目危险物质存储情况</w:t>
      </w:r>
    </w:p>
    <w:tbl>
      <w:tblPr>
        <w:tblW w:w="5000" w:type="pct"/>
        <w:tblBorders>
          <w:top w:val="single" w:sz="12" w:space="0" w:color="auto"/>
          <w:bottom w:val="single" w:sz="12" w:space="0" w:color="auto"/>
          <w:insideH w:val="single" w:sz="4" w:space="0" w:color="auto"/>
          <w:insideV w:val="single" w:sz="4" w:space="0" w:color="auto"/>
        </w:tblBorders>
        <w:tblLook w:val="04A0"/>
      </w:tblPr>
      <w:tblGrid>
        <w:gridCol w:w="959"/>
        <w:gridCol w:w="2269"/>
        <w:gridCol w:w="1558"/>
        <w:gridCol w:w="2038"/>
        <w:gridCol w:w="1698"/>
      </w:tblGrid>
      <w:tr w:rsidR="002A5A5E" w:rsidRPr="00F9522B">
        <w:tc>
          <w:tcPr>
            <w:tcW w:w="563"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序号</w:t>
            </w:r>
          </w:p>
        </w:tc>
        <w:tc>
          <w:tcPr>
            <w:tcW w:w="1331"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物质名称</w:t>
            </w:r>
          </w:p>
        </w:tc>
        <w:tc>
          <w:tcPr>
            <w:tcW w:w="914"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临界量（</w:t>
            </w:r>
            <w:r w:rsidRPr="00F9522B">
              <w:rPr>
                <w:rFonts w:eastAsiaTheme="minorEastAsia" w:hAnsi="Times New Roman"/>
                <w:snapToGrid w:val="0"/>
                <w:szCs w:val="22"/>
              </w:rPr>
              <w:t>t</w:t>
            </w:r>
            <w:r w:rsidRPr="00F9522B">
              <w:rPr>
                <w:rFonts w:eastAsiaTheme="minorEastAsia" w:hAnsi="Times New Roman"/>
                <w:snapToGrid w:val="0"/>
                <w:szCs w:val="22"/>
              </w:rPr>
              <w:t>）</w:t>
            </w:r>
          </w:p>
        </w:tc>
        <w:tc>
          <w:tcPr>
            <w:tcW w:w="1196"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单元实际储存量（</w:t>
            </w:r>
            <w:r w:rsidRPr="00F9522B">
              <w:rPr>
                <w:rFonts w:eastAsiaTheme="minorEastAsia" w:hAnsi="Times New Roman"/>
                <w:snapToGrid w:val="0"/>
                <w:szCs w:val="22"/>
              </w:rPr>
              <w:t>t</w:t>
            </w:r>
            <w:r w:rsidRPr="00F9522B">
              <w:rPr>
                <w:rFonts w:eastAsiaTheme="minorEastAsia" w:hAnsi="Times New Roman"/>
                <w:snapToGrid w:val="0"/>
                <w:szCs w:val="22"/>
              </w:rPr>
              <w:t>）</w:t>
            </w:r>
          </w:p>
        </w:tc>
        <w:tc>
          <w:tcPr>
            <w:tcW w:w="996"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q/Q</w:t>
            </w:r>
          </w:p>
        </w:tc>
      </w:tr>
      <w:tr w:rsidR="002A5A5E" w:rsidRPr="00F9522B">
        <w:tc>
          <w:tcPr>
            <w:tcW w:w="563"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1</w:t>
            </w:r>
          </w:p>
        </w:tc>
        <w:tc>
          <w:tcPr>
            <w:tcW w:w="1331"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bCs/>
                <w:snapToGrid w:val="0"/>
                <w:szCs w:val="22"/>
              </w:rPr>
              <w:t>柴油</w:t>
            </w:r>
          </w:p>
        </w:tc>
        <w:tc>
          <w:tcPr>
            <w:tcW w:w="914"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2500</w:t>
            </w:r>
          </w:p>
        </w:tc>
        <w:tc>
          <w:tcPr>
            <w:tcW w:w="1196"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0.125</w:t>
            </w:r>
          </w:p>
        </w:tc>
        <w:tc>
          <w:tcPr>
            <w:tcW w:w="996"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0.00005</w:t>
            </w:r>
          </w:p>
        </w:tc>
      </w:tr>
      <w:tr w:rsidR="002A5A5E" w:rsidRPr="00F9522B">
        <w:tc>
          <w:tcPr>
            <w:tcW w:w="563"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2</w:t>
            </w:r>
          </w:p>
        </w:tc>
        <w:tc>
          <w:tcPr>
            <w:tcW w:w="1331" w:type="pct"/>
            <w:shd w:val="clear" w:color="auto" w:fill="auto"/>
            <w:vAlign w:val="center"/>
          </w:tcPr>
          <w:p w:rsidR="002A5A5E" w:rsidRPr="00F9522B" w:rsidRDefault="00611CBA">
            <w:pPr>
              <w:pStyle w:val="aff7"/>
              <w:spacing w:line="0" w:lineRule="atLeast"/>
              <w:rPr>
                <w:rFonts w:eastAsiaTheme="minorEastAsia" w:hAnsi="Times New Roman"/>
                <w:bCs/>
                <w:snapToGrid w:val="0"/>
                <w:szCs w:val="22"/>
              </w:rPr>
            </w:pPr>
            <w:r w:rsidRPr="00F9522B">
              <w:rPr>
                <w:rFonts w:eastAsiaTheme="minorEastAsia" w:hAnsi="Times New Roman"/>
                <w:bCs/>
                <w:snapToGrid w:val="0"/>
                <w:szCs w:val="22"/>
              </w:rPr>
              <w:t>变压器油</w:t>
            </w:r>
          </w:p>
        </w:tc>
        <w:tc>
          <w:tcPr>
            <w:tcW w:w="914"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2500</w:t>
            </w:r>
          </w:p>
        </w:tc>
        <w:tc>
          <w:tcPr>
            <w:tcW w:w="1196"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0.115</w:t>
            </w:r>
          </w:p>
        </w:tc>
        <w:tc>
          <w:tcPr>
            <w:tcW w:w="996"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0.000046</w:t>
            </w:r>
          </w:p>
        </w:tc>
      </w:tr>
    </w:tbl>
    <w:p w:rsidR="002A5A5E" w:rsidRPr="00F9522B" w:rsidRDefault="00611CBA">
      <w:pPr>
        <w:ind w:firstLineChars="200" w:firstLine="480"/>
        <w:rPr>
          <w:rFonts w:eastAsiaTheme="minorEastAsia"/>
          <w:sz w:val="24"/>
        </w:rPr>
      </w:pPr>
      <w:r w:rsidRPr="00F9522B">
        <w:rPr>
          <w:rFonts w:eastAsiaTheme="minorEastAsia"/>
          <w:sz w:val="24"/>
        </w:rPr>
        <w:t>计算公式如下：</w:t>
      </w:r>
    </w:p>
    <w:p w:rsidR="002A5A5E" w:rsidRPr="00F9522B" w:rsidRDefault="00611CBA" w:rsidP="000D2D13">
      <w:pPr>
        <w:spacing w:beforeLines="25" w:line="360" w:lineRule="auto"/>
        <w:ind w:firstLineChars="200" w:firstLine="480"/>
        <w:jc w:val="center"/>
        <w:rPr>
          <w:rFonts w:eastAsiaTheme="minorEastAsia"/>
          <w:sz w:val="24"/>
        </w:rPr>
      </w:pPr>
      <m:oMathPara>
        <m:oMath>
          <m:r>
            <m:rPr>
              <m:sty m:val="p"/>
            </m:rPr>
            <w:rPr>
              <w:rFonts w:ascii="Cambria Math" w:eastAsiaTheme="minorEastAsia"/>
              <w:sz w:val="24"/>
            </w:rPr>
            <m:t>Q=</m:t>
          </m:r>
          <m:f>
            <m:fPr>
              <m:ctrlPr>
                <w:rPr>
                  <w:rFonts w:ascii="Cambria Math" w:eastAsiaTheme="minorEastAsia" w:hAnsi="Cambria Math"/>
                  <w:sz w:val="24"/>
                </w:rPr>
              </m:ctrlPr>
            </m:fPr>
            <m:num>
              <m:sSub>
                <m:sSubPr>
                  <m:ctrlPr>
                    <w:rPr>
                      <w:rFonts w:ascii="Cambria Math" w:eastAsiaTheme="minorEastAsia" w:hAnsi="Cambria Math"/>
                      <w:sz w:val="24"/>
                    </w:rPr>
                  </m:ctrlPr>
                </m:sSubPr>
                <m:e>
                  <m:r>
                    <m:rPr>
                      <m:sty m:val="p"/>
                    </m:rPr>
                    <w:rPr>
                      <w:rFonts w:ascii="Cambria Math" w:eastAsiaTheme="minorEastAsia"/>
                      <w:sz w:val="24"/>
                    </w:rPr>
                    <m:t>q</m:t>
                  </m:r>
                </m:e>
                <m:sub>
                  <m:r>
                    <m:rPr>
                      <m:sty m:val="p"/>
                    </m:rPr>
                    <w:rPr>
                      <w:rFonts w:ascii="Cambria Math" w:eastAsiaTheme="minorEastAsia"/>
                      <w:sz w:val="24"/>
                    </w:rPr>
                    <m:t>1</m:t>
                  </m:r>
                </m:sub>
              </m:sSub>
            </m:num>
            <m:den>
              <m:sSub>
                <m:sSubPr>
                  <m:ctrlPr>
                    <w:rPr>
                      <w:rFonts w:ascii="Cambria Math" w:eastAsiaTheme="minorEastAsia" w:hAnsi="Cambria Math"/>
                      <w:sz w:val="24"/>
                    </w:rPr>
                  </m:ctrlPr>
                </m:sSubPr>
                <m:e>
                  <m:r>
                    <m:rPr>
                      <m:sty m:val="p"/>
                    </m:rPr>
                    <w:rPr>
                      <w:rFonts w:ascii="Cambria Math" w:eastAsiaTheme="minorEastAsia"/>
                      <w:sz w:val="24"/>
                    </w:rPr>
                    <m:t>Q</m:t>
                  </m:r>
                </m:e>
                <m:sub>
                  <m:r>
                    <m:rPr>
                      <m:sty m:val="p"/>
                    </m:rPr>
                    <w:rPr>
                      <w:rFonts w:ascii="Cambria Math" w:eastAsiaTheme="minorEastAsia"/>
                      <w:sz w:val="24"/>
                    </w:rPr>
                    <m:t>1</m:t>
                  </m:r>
                </m:sub>
              </m:sSub>
            </m:den>
          </m:f>
          <m:r>
            <m:rPr>
              <m:sty m:val="p"/>
            </m:rPr>
            <w:rPr>
              <w:rFonts w:ascii="Cambria Math" w:eastAsiaTheme="minorEastAsia"/>
              <w:sz w:val="24"/>
            </w:rPr>
            <m:t>+</m:t>
          </m:r>
          <m:f>
            <m:fPr>
              <m:ctrlPr>
                <w:rPr>
                  <w:rFonts w:ascii="Cambria Math" w:eastAsiaTheme="minorEastAsia" w:hAnsi="Cambria Math"/>
                  <w:sz w:val="24"/>
                </w:rPr>
              </m:ctrlPr>
            </m:fPr>
            <m:num>
              <m:sSub>
                <m:sSubPr>
                  <m:ctrlPr>
                    <w:rPr>
                      <w:rFonts w:ascii="Cambria Math" w:eastAsiaTheme="minorEastAsia" w:hAnsi="Cambria Math"/>
                      <w:sz w:val="24"/>
                    </w:rPr>
                  </m:ctrlPr>
                </m:sSubPr>
                <m:e>
                  <m:r>
                    <m:rPr>
                      <m:sty m:val="p"/>
                    </m:rPr>
                    <w:rPr>
                      <w:rFonts w:ascii="Cambria Math" w:eastAsiaTheme="minorEastAsia"/>
                      <w:sz w:val="24"/>
                    </w:rPr>
                    <m:t>q</m:t>
                  </m:r>
                </m:e>
                <m:sub>
                  <m:r>
                    <m:rPr>
                      <m:sty m:val="p"/>
                    </m:rPr>
                    <w:rPr>
                      <w:rFonts w:ascii="Cambria Math" w:eastAsiaTheme="minorEastAsia"/>
                      <w:sz w:val="24"/>
                    </w:rPr>
                    <m:t>2</m:t>
                  </m:r>
                </m:sub>
              </m:sSub>
            </m:num>
            <m:den>
              <m:sSub>
                <m:sSubPr>
                  <m:ctrlPr>
                    <w:rPr>
                      <w:rFonts w:ascii="Cambria Math" w:eastAsiaTheme="minorEastAsia" w:hAnsi="Cambria Math"/>
                      <w:sz w:val="24"/>
                    </w:rPr>
                  </m:ctrlPr>
                </m:sSubPr>
                <m:e>
                  <m:r>
                    <m:rPr>
                      <m:sty m:val="p"/>
                    </m:rPr>
                    <w:rPr>
                      <w:rFonts w:ascii="Cambria Math" w:eastAsiaTheme="minorEastAsia"/>
                      <w:sz w:val="24"/>
                    </w:rPr>
                    <m:t>Q</m:t>
                  </m:r>
                </m:e>
                <m:sub>
                  <m:r>
                    <m:rPr>
                      <m:sty m:val="p"/>
                    </m:rPr>
                    <w:rPr>
                      <w:rFonts w:ascii="Cambria Math" w:eastAsiaTheme="minorEastAsia"/>
                      <w:sz w:val="24"/>
                    </w:rPr>
                    <m:t>2</m:t>
                  </m:r>
                </m:sub>
              </m:sSub>
            </m:den>
          </m:f>
          <m:r>
            <m:rPr>
              <m:sty m:val="p"/>
            </m:rPr>
            <w:rPr>
              <w:rFonts w:ascii="Cambria Math" w:eastAsiaTheme="minorEastAsia"/>
              <w:sz w:val="24"/>
            </w:rPr>
            <m:t>+</m:t>
          </m:r>
          <m:r>
            <m:rPr>
              <m:sty m:val="p"/>
            </m:rPr>
            <w:rPr>
              <w:rFonts w:ascii="Cambria Math" w:eastAsiaTheme="minorEastAsia" w:hAnsi="Cambria Math"/>
              <w:sz w:val="24"/>
            </w:rPr>
            <m:t>⋯</m:t>
          </m:r>
          <m:f>
            <m:fPr>
              <m:ctrlPr>
                <w:rPr>
                  <w:rFonts w:ascii="Cambria Math" w:eastAsiaTheme="minorEastAsia" w:hAnsi="Cambria Math"/>
                  <w:sz w:val="24"/>
                </w:rPr>
              </m:ctrlPr>
            </m:fPr>
            <m:num>
              <m:sSub>
                <m:sSubPr>
                  <m:ctrlPr>
                    <w:rPr>
                      <w:rFonts w:ascii="Cambria Math" w:eastAsiaTheme="minorEastAsia" w:hAnsi="Cambria Math"/>
                      <w:sz w:val="24"/>
                    </w:rPr>
                  </m:ctrlPr>
                </m:sSubPr>
                <m:e>
                  <m:r>
                    <m:rPr>
                      <m:sty m:val="p"/>
                    </m:rPr>
                    <w:rPr>
                      <w:rFonts w:ascii="Cambria Math" w:eastAsiaTheme="minorEastAsia"/>
                      <w:sz w:val="24"/>
                    </w:rPr>
                    <m:t>q</m:t>
                  </m:r>
                </m:e>
                <m:sub>
                  <m:r>
                    <m:rPr>
                      <m:sty m:val="p"/>
                    </m:rPr>
                    <w:rPr>
                      <w:rFonts w:ascii="Cambria Math" w:eastAsiaTheme="minorEastAsia"/>
                      <w:sz w:val="24"/>
                    </w:rPr>
                    <m:t>n</m:t>
                  </m:r>
                </m:sub>
              </m:sSub>
            </m:num>
            <m:den>
              <m:sSub>
                <m:sSubPr>
                  <m:ctrlPr>
                    <w:rPr>
                      <w:rFonts w:ascii="Cambria Math" w:eastAsiaTheme="minorEastAsia" w:hAnsi="Cambria Math"/>
                      <w:sz w:val="24"/>
                    </w:rPr>
                  </m:ctrlPr>
                </m:sSubPr>
                <m:e>
                  <m:r>
                    <m:rPr>
                      <m:sty m:val="p"/>
                    </m:rPr>
                    <w:rPr>
                      <w:rFonts w:ascii="Cambria Math" w:eastAsiaTheme="minorEastAsia"/>
                      <w:sz w:val="24"/>
                    </w:rPr>
                    <m:t>Q</m:t>
                  </m:r>
                </m:e>
                <m:sub>
                  <m:r>
                    <m:rPr>
                      <m:sty m:val="p"/>
                    </m:rPr>
                    <w:rPr>
                      <w:rFonts w:ascii="Cambria Math" w:eastAsiaTheme="minorEastAsia"/>
                      <w:sz w:val="24"/>
                    </w:rPr>
                    <m:t>n</m:t>
                  </m:r>
                </m:sub>
              </m:sSub>
            </m:den>
          </m:f>
        </m:oMath>
      </m:oMathPara>
    </w:p>
    <w:p w:rsidR="002A5A5E" w:rsidRPr="00F9522B" w:rsidRDefault="00611CBA" w:rsidP="000D2D13">
      <w:pPr>
        <w:spacing w:beforeLines="25" w:line="360" w:lineRule="auto"/>
        <w:ind w:firstLineChars="200" w:firstLine="480"/>
        <w:rPr>
          <w:rFonts w:eastAsiaTheme="minorEastAsia"/>
          <w:sz w:val="24"/>
        </w:rPr>
      </w:pPr>
      <w:r w:rsidRPr="00F9522B">
        <w:rPr>
          <w:rFonts w:eastAsiaTheme="minorEastAsia"/>
          <w:sz w:val="24"/>
        </w:rPr>
        <w:t>式中：</w:t>
      </w:r>
      <w:r w:rsidRPr="00F9522B">
        <w:rPr>
          <w:rFonts w:eastAsiaTheme="minorEastAsia"/>
          <w:sz w:val="24"/>
        </w:rPr>
        <w:t>q</w:t>
      </w:r>
      <w:r w:rsidRPr="00F9522B">
        <w:rPr>
          <w:rFonts w:eastAsiaTheme="minorEastAsia"/>
          <w:sz w:val="24"/>
          <w:vertAlign w:val="subscript"/>
        </w:rPr>
        <w:t>1</w:t>
      </w:r>
      <w:r w:rsidRPr="00F9522B">
        <w:rPr>
          <w:rFonts w:eastAsiaTheme="minorEastAsia"/>
          <w:sz w:val="24"/>
        </w:rPr>
        <w:t>，</w:t>
      </w:r>
      <w:r w:rsidRPr="00F9522B">
        <w:rPr>
          <w:rFonts w:eastAsiaTheme="minorEastAsia"/>
          <w:sz w:val="24"/>
        </w:rPr>
        <w:t>q</w:t>
      </w:r>
      <w:r w:rsidRPr="00F9522B">
        <w:rPr>
          <w:rFonts w:eastAsiaTheme="minorEastAsia"/>
          <w:sz w:val="24"/>
          <w:vertAlign w:val="subscript"/>
        </w:rPr>
        <w:t>2</w:t>
      </w:r>
      <w:r w:rsidRPr="00F9522B">
        <w:rPr>
          <w:rFonts w:eastAsiaTheme="minorEastAsia"/>
          <w:sz w:val="24"/>
        </w:rPr>
        <w:t>…</w:t>
      </w:r>
      <w:r w:rsidRPr="00F9522B">
        <w:rPr>
          <w:rFonts w:eastAsiaTheme="minorEastAsia"/>
          <w:sz w:val="24"/>
        </w:rPr>
        <w:t>，</w:t>
      </w:r>
      <w:r w:rsidRPr="00F9522B">
        <w:rPr>
          <w:rFonts w:eastAsiaTheme="minorEastAsia"/>
          <w:sz w:val="24"/>
        </w:rPr>
        <w:t>q</w:t>
      </w:r>
      <w:r w:rsidRPr="00F9522B">
        <w:rPr>
          <w:rFonts w:eastAsiaTheme="minorEastAsia"/>
          <w:sz w:val="24"/>
          <w:vertAlign w:val="subscript"/>
        </w:rPr>
        <w:t>n</w:t>
      </w:r>
      <w:r w:rsidRPr="00F9522B">
        <w:rPr>
          <w:rFonts w:eastAsiaTheme="minorEastAsia"/>
          <w:sz w:val="24"/>
        </w:rPr>
        <w:t>为每种危险物质实际存在量，单位为吨（</w:t>
      </w:r>
      <w:r w:rsidRPr="00F9522B">
        <w:rPr>
          <w:rFonts w:eastAsiaTheme="minorEastAsia"/>
          <w:sz w:val="24"/>
        </w:rPr>
        <w:t>t</w:t>
      </w:r>
      <w:r w:rsidRPr="00F9522B">
        <w:rPr>
          <w:rFonts w:eastAsiaTheme="minorEastAsia"/>
          <w:sz w:val="24"/>
        </w:rPr>
        <w:t>）。</w:t>
      </w:r>
    </w:p>
    <w:p w:rsidR="002A5A5E" w:rsidRPr="00F9522B" w:rsidRDefault="00611CBA" w:rsidP="000D2D13">
      <w:pPr>
        <w:spacing w:beforeLines="25" w:line="360" w:lineRule="auto"/>
        <w:ind w:firstLineChars="200" w:firstLine="480"/>
        <w:rPr>
          <w:rFonts w:eastAsiaTheme="minorEastAsia"/>
          <w:sz w:val="24"/>
        </w:rPr>
      </w:pPr>
      <w:r w:rsidRPr="00F9522B">
        <w:rPr>
          <w:rFonts w:eastAsiaTheme="minorEastAsia"/>
          <w:sz w:val="24"/>
        </w:rPr>
        <w:t>Q</w:t>
      </w:r>
      <w:r w:rsidRPr="00F9522B">
        <w:rPr>
          <w:rFonts w:eastAsiaTheme="minorEastAsia"/>
          <w:sz w:val="24"/>
          <w:vertAlign w:val="subscript"/>
        </w:rPr>
        <w:t>1</w:t>
      </w:r>
      <w:r w:rsidRPr="00F9522B">
        <w:rPr>
          <w:rFonts w:eastAsiaTheme="minorEastAsia"/>
          <w:sz w:val="24"/>
        </w:rPr>
        <w:t>，</w:t>
      </w:r>
      <w:r w:rsidRPr="00F9522B">
        <w:rPr>
          <w:rFonts w:eastAsiaTheme="minorEastAsia"/>
          <w:sz w:val="24"/>
        </w:rPr>
        <w:t>Q</w:t>
      </w:r>
      <w:r w:rsidRPr="00F9522B">
        <w:rPr>
          <w:rFonts w:eastAsiaTheme="minorEastAsia"/>
          <w:sz w:val="24"/>
          <w:vertAlign w:val="subscript"/>
        </w:rPr>
        <w:t>2</w:t>
      </w:r>
      <w:r w:rsidRPr="00F9522B">
        <w:rPr>
          <w:rFonts w:eastAsiaTheme="minorEastAsia"/>
          <w:sz w:val="24"/>
        </w:rPr>
        <w:t>…</w:t>
      </w:r>
      <w:r w:rsidRPr="00F9522B">
        <w:rPr>
          <w:rFonts w:eastAsiaTheme="minorEastAsia"/>
          <w:sz w:val="24"/>
        </w:rPr>
        <w:t>，</w:t>
      </w:r>
      <w:r w:rsidRPr="00F9522B">
        <w:rPr>
          <w:rFonts w:eastAsiaTheme="minorEastAsia"/>
          <w:sz w:val="24"/>
        </w:rPr>
        <w:t>Q</w:t>
      </w:r>
      <w:r w:rsidRPr="00F9522B">
        <w:rPr>
          <w:rFonts w:eastAsiaTheme="minorEastAsia"/>
          <w:sz w:val="24"/>
          <w:vertAlign w:val="subscript"/>
        </w:rPr>
        <w:t>n</w:t>
      </w:r>
      <w:r w:rsidRPr="00F9522B">
        <w:rPr>
          <w:rFonts w:eastAsiaTheme="minorEastAsia"/>
          <w:sz w:val="24"/>
        </w:rPr>
        <w:t>为与各危险物质相对应的生产场所或贮存区的临界量，</w:t>
      </w:r>
      <w:r w:rsidRPr="00F9522B">
        <w:rPr>
          <w:rFonts w:eastAsiaTheme="minorEastAsia"/>
          <w:sz w:val="24"/>
        </w:rPr>
        <w:t>t</w:t>
      </w:r>
      <w:r w:rsidRPr="00F9522B">
        <w:rPr>
          <w:rFonts w:eastAsiaTheme="minorEastAsia"/>
          <w:sz w:val="24"/>
        </w:rPr>
        <w:t>。</w:t>
      </w:r>
    </w:p>
    <w:p w:rsidR="002A5A5E" w:rsidRPr="00F9522B" w:rsidRDefault="00611CBA">
      <w:pPr>
        <w:spacing w:line="360" w:lineRule="auto"/>
        <w:ind w:firstLineChars="200" w:firstLine="480"/>
        <w:contextualSpacing/>
        <w:jc w:val="left"/>
        <w:rPr>
          <w:rFonts w:eastAsiaTheme="minorEastAsia"/>
          <w:snapToGrid w:val="0"/>
          <w:sz w:val="24"/>
        </w:rPr>
      </w:pPr>
      <w:r w:rsidRPr="00F9522B">
        <w:rPr>
          <w:rFonts w:eastAsiaTheme="minorEastAsia"/>
          <w:sz w:val="24"/>
        </w:rPr>
        <w:t>根据《建设项目环境风险评价技术导则》（</w:t>
      </w:r>
      <w:r w:rsidRPr="00F9522B">
        <w:rPr>
          <w:rFonts w:eastAsiaTheme="minorEastAsia"/>
          <w:sz w:val="24"/>
        </w:rPr>
        <w:t>HJ169-2018</w:t>
      </w:r>
      <w:r w:rsidRPr="00F9522B">
        <w:rPr>
          <w:rFonts w:eastAsiaTheme="minorEastAsia"/>
          <w:sz w:val="24"/>
        </w:rPr>
        <w:t>）附录</w:t>
      </w:r>
      <w:r w:rsidRPr="00F9522B">
        <w:rPr>
          <w:rFonts w:eastAsiaTheme="minorEastAsia"/>
          <w:sz w:val="24"/>
        </w:rPr>
        <w:t>C</w:t>
      </w:r>
      <w:r w:rsidRPr="00F9522B">
        <w:rPr>
          <w:rFonts w:eastAsiaTheme="minorEastAsia"/>
          <w:sz w:val="24"/>
        </w:rPr>
        <w:t>，当</w:t>
      </w:r>
      <w:r w:rsidRPr="00F9522B">
        <w:rPr>
          <w:rFonts w:eastAsiaTheme="minorEastAsia"/>
          <w:sz w:val="24"/>
        </w:rPr>
        <w:t>Q&lt;1</w:t>
      </w:r>
      <w:r w:rsidRPr="00F9522B">
        <w:rPr>
          <w:rFonts w:eastAsiaTheme="minorEastAsia"/>
          <w:sz w:val="24"/>
        </w:rPr>
        <w:t>时，可直接判定该项目环境风险潜势为</w:t>
      </w:r>
      <w:r w:rsidRPr="00F9522B">
        <w:rPr>
          <w:rFonts w:eastAsiaTheme="minorEastAsia"/>
          <w:sz w:val="24"/>
        </w:rPr>
        <w:t>Ⅰ</w:t>
      </w:r>
      <w:r w:rsidRPr="00F9522B">
        <w:rPr>
          <w:rFonts w:eastAsiaTheme="minorEastAsia"/>
          <w:sz w:val="24"/>
        </w:rPr>
        <w:t>。本次风险评价等级为简单分析。</w:t>
      </w:r>
    </w:p>
    <w:p w:rsidR="002A5A5E" w:rsidRPr="00F9522B" w:rsidRDefault="00611CBA">
      <w:pPr>
        <w:spacing w:before="100" w:beforeAutospacing="1" w:after="100" w:afterAutospacing="1"/>
        <w:contextualSpacing/>
        <w:jc w:val="left"/>
        <w:outlineLvl w:val="1"/>
        <w:rPr>
          <w:rFonts w:eastAsiaTheme="minorEastAsia"/>
          <w:b/>
          <w:bCs/>
          <w:kern w:val="44"/>
          <w:sz w:val="30"/>
          <w:szCs w:val="30"/>
        </w:rPr>
      </w:pPr>
      <w:bookmarkStart w:id="53" w:name="_Toc208906230"/>
      <w:r w:rsidRPr="00F9522B">
        <w:rPr>
          <w:rFonts w:eastAsiaTheme="minorEastAsia"/>
          <w:b/>
          <w:bCs/>
          <w:kern w:val="44"/>
          <w:sz w:val="30"/>
          <w:szCs w:val="30"/>
        </w:rPr>
        <w:t>2.7</w:t>
      </w:r>
      <w:r w:rsidRPr="00F9522B">
        <w:rPr>
          <w:rFonts w:eastAsiaTheme="minorEastAsia"/>
          <w:b/>
          <w:bCs/>
          <w:kern w:val="44"/>
          <w:sz w:val="30"/>
          <w:szCs w:val="30"/>
        </w:rPr>
        <w:t>评价范围及评价时段</w:t>
      </w:r>
      <w:bookmarkEnd w:id="53"/>
    </w:p>
    <w:p w:rsidR="002A5A5E" w:rsidRPr="00F9522B" w:rsidRDefault="00611CBA">
      <w:pPr>
        <w:pStyle w:val="30"/>
        <w:spacing w:before="100" w:beforeAutospacing="1" w:after="100" w:afterAutospacing="1" w:line="240" w:lineRule="auto"/>
        <w:ind w:firstLineChars="0" w:firstLine="0"/>
        <w:contextualSpacing/>
        <w:rPr>
          <w:rFonts w:ascii="Times New Roman" w:eastAsiaTheme="minorEastAsia" w:hAnsi="Times New Roman" w:cs="Times New Roman"/>
          <w:b/>
          <w:sz w:val="28"/>
          <w:szCs w:val="28"/>
        </w:rPr>
      </w:pPr>
      <w:bookmarkStart w:id="54" w:name="_Toc11758479"/>
      <w:r w:rsidRPr="00F9522B">
        <w:rPr>
          <w:rFonts w:ascii="Times New Roman" w:eastAsiaTheme="minorEastAsia" w:hAnsi="Times New Roman" w:cs="Times New Roman"/>
          <w:b/>
          <w:sz w:val="28"/>
          <w:szCs w:val="28"/>
        </w:rPr>
        <w:t>2.7.1</w:t>
      </w:r>
      <w:r w:rsidRPr="00F9522B">
        <w:rPr>
          <w:rFonts w:ascii="Times New Roman" w:eastAsiaTheme="minorEastAsia" w:hAnsi="Times New Roman" w:cs="Times New Roman"/>
          <w:b/>
          <w:sz w:val="28"/>
          <w:szCs w:val="28"/>
        </w:rPr>
        <w:t>评价范围</w:t>
      </w:r>
      <w:bookmarkEnd w:id="54"/>
    </w:p>
    <w:p w:rsidR="002A5A5E" w:rsidRPr="00F9522B" w:rsidRDefault="00611CBA">
      <w:pPr>
        <w:spacing w:line="360" w:lineRule="auto"/>
        <w:ind w:firstLineChars="200" w:firstLine="480"/>
        <w:contextualSpacing/>
        <w:rPr>
          <w:rFonts w:eastAsiaTheme="minorEastAsia"/>
          <w:snapToGrid w:val="0"/>
          <w:kern w:val="0"/>
          <w:sz w:val="24"/>
        </w:rPr>
      </w:pPr>
      <w:r w:rsidRPr="00F9522B">
        <w:rPr>
          <w:rFonts w:eastAsiaTheme="minorEastAsia"/>
          <w:snapToGrid w:val="0"/>
          <w:kern w:val="0"/>
          <w:sz w:val="24"/>
        </w:rPr>
        <w:t>（</w:t>
      </w:r>
      <w:r w:rsidRPr="00F9522B">
        <w:rPr>
          <w:rFonts w:eastAsiaTheme="minorEastAsia"/>
          <w:snapToGrid w:val="0"/>
          <w:kern w:val="0"/>
          <w:sz w:val="24"/>
        </w:rPr>
        <w:t>1</w:t>
      </w:r>
      <w:r w:rsidRPr="00F9522B">
        <w:rPr>
          <w:rFonts w:eastAsiaTheme="minorEastAsia"/>
          <w:snapToGrid w:val="0"/>
          <w:kern w:val="0"/>
          <w:sz w:val="24"/>
        </w:rPr>
        <w:t>）地下水：</w:t>
      </w:r>
    </w:p>
    <w:p w:rsidR="002A5A5E" w:rsidRPr="00F9522B" w:rsidRDefault="00611CBA">
      <w:pPr>
        <w:spacing w:line="360" w:lineRule="auto"/>
        <w:ind w:firstLineChars="200" w:firstLine="480"/>
        <w:contextualSpacing/>
        <w:rPr>
          <w:rFonts w:eastAsiaTheme="minorEastAsia"/>
          <w:snapToGrid w:val="0"/>
          <w:kern w:val="0"/>
          <w:sz w:val="24"/>
        </w:rPr>
      </w:pPr>
      <w:r w:rsidRPr="00F9522B">
        <w:rPr>
          <w:rFonts w:eastAsiaTheme="minorEastAsia"/>
          <w:snapToGrid w:val="0"/>
          <w:kern w:val="0"/>
          <w:sz w:val="24"/>
        </w:rPr>
        <w:t>根据评价区域环境特点、建设项目工程污染特征及环境影响评价工作等级要</w:t>
      </w:r>
      <w:r w:rsidRPr="00F9522B">
        <w:rPr>
          <w:rFonts w:eastAsiaTheme="minorEastAsia"/>
          <w:snapToGrid w:val="0"/>
          <w:kern w:val="0"/>
          <w:sz w:val="24"/>
        </w:rPr>
        <w:lastRenderedPageBreak/>
        <w:t>求，确定各环境要素评价范围。</w:t>
      </w:r>
    </w:p>
    <w:p w:rsidR="002A5A5E" w:rsidRPr="00F9522B" w:rsidRDefault="00611CBA">
      <w:pPr>
        <w:spacing w:line="360" w:lineRule="auto"/>
        <w:ind w:firstLineChars="200" w:firstLine="480"/>
        <w:contextualSpacing/>
        <w:rPr>
          <w:rFonts w:eastAsiaTheme="minorEastAsia"/>
          <w:snapToGrid w:val="0"/>
          <w:kern w:val="0"/>
          <w:sz w:val="24"/>
        </w:rPr>
      </w:pPr>
      <w:r w:rsidRPr="00F9522B">
        <w:rPr>
          <w:rFonts w:eastAsiaTheme="minorEastAsia"/>
          <w:snapToGrid w:val="0"/>
          <w:kern w:val="0"/>
          <w:sz w:val="24"/>
        </w:rPr>
        <w:t>地下水评价范围确定依据：</w:t>
      </w:r>
    </w:p>
    <w:p w:rsidR="002A5A5E" w:rsidRPr="00F9522B" w:rsidRDefault="00611CBA">
      <w:pPr>
        <w:spacing w:line="360" w:lineRule="auto"/>
        <w:ind w:firstLineChars="200" w:firstLine="480"/>
        <w:contextualSpacing/>
        <w:rPr>
          <w:rFonts w:eastAsiaTheme="minorEastAsia"/>
          <w:kern w:val="0"/>
          <w:sz w:val="24"/>
        </w:rPr>
      </w:pPr>
      <w:r w:rsidRPr="00F9522B">
        <w:rPr>
          <w:rFonts w:eastAsiaTheme="minorEastAsia"/>
          <w:kern w:val="0"/>
          <w:sz w:val="24"/>
        </w:rPr>
        <w:t>根据</w:t>
      </w:r>
      <w:r w:rsidRPr="00F9522B">
        <w:rPr>
          <w:rFonts w:eastAsiaTheme="minorEastAsia"/>
          <w:kern w:val="0"/>
          <w:sz w:val="24"/>
        </w:rPr>
        <w:t xml:space="preserve"> HJ610-2016</w:t>
      </w:r>
      <w:r w:rsidRPr="00F9522B">
        <w:rPr>
          <w:rFonts w:eastAsiaTheme="minorEastAsia"/>
          <w:kern w:val="0"/>
          <w:sz w:val="24"/>
        </w:rPr>
        <w:t>《环境影响评价技术导则</w:t>
      </w:r>
      <w:r w:rsidRPr="00F9522B">
        <w:rPr>
          <w:rFonts w:eastAsiaTheme="minorEastAsia"/>
          <w:kern w:val="0"/>
          <w:sz w:val="24"/>
        </w:rPr>
        <w:t xml:space="preserve"> </w:t>
      </w:r>
      <w:r w:rsidRPr="00F9522B">
        <w:rPr>
          <w:rFonts w:eastAsiaTheme="minorEastAsia"/>
          <w:kern w:val="0"/>
          <w:sz w:val="24"/>
        </w:rPr>
        <w:t>地下水环境》规定，本项目地下水评价范围采用公式计算法，计算公式如下：</w:t>
      </w:r>
    </w:p>
    <w:p w:rsidR="002A5A5E" w:rsidRPr="00F9522B" w:rsidRDefault="00611CBA" w:rsidP="00611CBA">
      <w:pPr>
        <w:spacing w:line="360" w:lineRule="auto"/>
        <w:ind w:firstLineChars="77" w:firstLine="185"/>
        <w:jc w:val="center"/>
        <w:rPr>
          <w:rFonts w:eastAsiaTheme="minorEastAsia"/>
          <w:sz w:val="24"/>
          <w:szCs w:val="22"/>
        </w:rPr>
      </w:pPr>
      <w:r w:rsidRPr="00F9522B">
        <w:rPr>
          <w:rFonts w:eastAsiaTheme="minorEastAsia"/>
          <w:sz w:val="24"/>
          <w:szCs w:val="22"/>
        </w:rPr>
        <w:t>L=a×K×I×T/ne</w:t>
      </w:r>
    </w:p>
    <w:p w:rsidR="002A5A5E" w:rsidRPr="00F9522B" w:rsidRDefault="00611CBA" w:rsidP="00611CBA">
      <w:pPr>
        <w:spacing w:line="360" w:lineRule="auto"/>
        <w:ind w:firstLineChars="77" w:firstLine="185"/>
        <w:rPr>
          <w:rFonts w:eastAsiaTheme="minorEastAsia"/>
          <w:sz w:val="24"/>
          <w:szCs w:val="22"/>
        </w:rPr>
      </w:pPr>
      <w:r w:rsidRPr="00F9522B">
        <w:rPr>
          <w:rFonts w:eastAsiaTheme="minorEastAsia"/>
          <w:sz w:val="24"/>
          <w:szCs w:val="22"/>
        </w:rPr>
        <w:t>式中：</w:t>
      </w:r>
      <w:r w:rsidRPr="00F9522B">
        <w:rPr>
          <w:rFonts w:eastAsiaTheme="minorEastAsia"/>
          <w:sz w:val="24"/>
          <w:szCs w:val="22"/>
        </w:rPr>
        <w:t>L—</w:t>
      </w:r>
      <w:r w:rsidRPr="00F9522B">
        <w:rPr>
          <w:rFonts w:eastAsiaTheme="minorEastAsia"/>
          <w:sz w:val="24"/>
          <w:szCs w:val="22"/>
        </w:rPr>
        <w:t>下游迁移距离，</w:t>
      </w:r>
      <w:r w:rsidRPr="00F9522B">
        <w:rPr>
          <w:rFonts w:eastAsiaTheme="minorEastAsia"/>
          <w:sz w:val="24"/>
          <w:szCs w:val="22"/>
        </w:rPr>
        <w:t>m</w:t>
      </w:r>
      <w:r w:rsidRPr="00F9522B">
        <w:rPr>
          <w:rFonts w:eastAsiaTheme="minorEastAsia"/>
          <w:sz w:val="24"/>
          <w:szCs w:val="22"/>
        </w:rPr>
        <w:t>；</w:t>
      </w:r>
    </w:p>
    <w:p w:rsidR="002A5A5E" w:rsidRPr="00F9522B" w:rsidRDefault="00611CBA" w:rsidP="00611CBA">
      <w:pPr>
        <w:spacing w:line="360" w:lineRule="auto"/>
        <w:ind w:firstLineChars="77" w:firstLine="185"/>
        <w:rPr>
          <w:rFonts w:eastAsiaTheme="minorEastAsia"/>
          <w:sz w:val="24"/>
          <w:szCs w:val="22"/>
        </w:rPr>
      </w:pPr>
      <w:r w:rsidRPr="00F9522B">
        <w:rPr>
          <w:rFonts w:eastAsiaTheme="minorEastAsia"/>
          <w:sz w:val="24"/>
          <w:szCs w:val="22"/>
        </w:rPr>
        <w:t xml:space="preserve">         a—</w:t>
      </w:r>
      <w:r w:rsidRPr="00F9522B">
        <w:rPr>
          <w:rFonts w:eastAsiaTheme="minorEastAsia"/>
          <w:sz w:val="24"/>
          <w:szCs w:val="22"/>
        </w:rPr>
        <w:t>变化系数，</w:t>
      </w:r>
      <w:r w:rsidRPr="00F9522B">
        <w:rPr>
          <w:rFonts w:eastAsiaTheme="minorEastAsia"/>
          <w:sz w:val="24"/>
          <w:szCs w:val="22"/>
        </w:rPr>
        <w:t>a≥1</w:t>
      </w:r>
      <w:r w:rsidRPr="00F9522B">
        <w:rPr>
          <w:rFonts w:eastAsiaTheme="minorEastAsia"/>
          <w:sz w:val="24"/>
          <w:szCs w:val="22"/>
        </w:rPr>
        <w:t>，一般取</w:t>
      </w:r>
      <w:r w:rsidRPr="00F9522B">
        <w:rPr>
          <w:rFonts w:eastAsiaTheme="minorEastAsia"/>
          <w:sz w:val="24"/>
          <w:szCs w:val="22"/>
        </w:rPr>
        <w:t>2</w:t>
      </w:r>
      <w:r w:rsidRPr="00F9522B">
        <w:rPr>
          <w:rFonts w:eastAsiaTheme="minorEastAsia"/>
          <w:sz w:val="24"/>
          <w:szCs w:val="22"/>
        </w:rPr>
        <w:t>，本项目取</w:t>
      </w:r>
      <w:r w:rsidRPr="00F9522B">
        <w:rPr>
          <w:rFonts w:eastAsiaTheme="minorEastAsia"/>
          <w:sz w:val="24"/>
          <w:szCs w:val="22"/>
        </w:rPr>
        <w:t>2</w:t>
      </w:r>
      <w:r w:rsidRPr="00F9522B">
        <w:rPr>
          <w:rFonts w:eastAsiaTheme="minorEastAsia"/>
          <w:sz w:val="24"/>
          <w:szCs w:val="22"/>
        </w:rPr>
        <w:t>；</w:t>
      </w:r>
    </w:p>
    <w:p w:rsidR="002A5A5E" w:rsidRPr="00F9522B" w:rsidRDefault="00611CBA" w:rsidP="00611CBA">
      <w:pPr>
        <w:spacing w:line="360" w:lineRule="auto"/>
        <w:ind w:firstLineChars="77" w:firstLine="185"/>
        <w:rPr>
          <w:rFonts w:eastAsiaTheme="minorEastAsia"/>
          <w:sz w:val="24"/>
          <w:szCs w:val="22"/>
        </w:rPr>
      </w:pPr>
      <w:r w:rsidRPr="00F9522B">
        <w:rPr>
          <w:rFonts w:eastAsiaTheme="minorEastAsia"/>
          <w:sz w:val="24"/>
          <w:szCs w:val="22"/>
        </w:rPr>
        <w:t xml:space="preserve">         K—</w:t>
      </w:r>
      <w:r w:rsidRPr="00F9522B">
        <w:rPr>
          <w:rFonts w:eastAsiaTheme="minorEastAsia"/>
          <w:sz w:val="24"/>
          <w:szCs w:val="22"/>
        </w:rPr>
        <w:t>渗透系数，</w:t>
      </w:r>
      <w:r w:rsidRPr="00F9522B">
        <w:rPr>
          <w:rFonts w:eastAsiaTheme="minorEastAsia"/>
          <w:sz w:val="24"/>
          <w:szCs w:val="22"/>
        </w:rPr>
        <w:t>m/d</w:t>
      </w:r>
      <w:r w:rsidRPr="00F9522B">
        <w:rPr>
          <w:rFonts w:eastAsiaTheme="minorEastAsia"/>
          <w:sz w:val="24"/>
          <w:szCs w:val="22"/>
        </w:rPr>
        <w:t>，数据来源</w:t>
      </w:r>
      <w:r w:rsidRPr="00F9522B">
        <w:rPr>
          <w:rFonts w:eastAsiaTheme="minorEastAsia"/>
          <w:sz w:val="24"/>
          <w:szCs w:val="22"/>
        </w:rPr>
        <w:t>“</w:t>
      </w:r>
      <w:r w:rsidRPr="00F9522B">
        <w:rPr>
          <w:rFonts w:eastAsiaTheme="minorEastAsia"/>
          <w:sz w:val="24"/>
          <w:szCs w:val="22"/>
        </w:rPr>
        <w:t>《</w:t>
      </w:r>
      <w:r w:rsidR="003A7922" w:rsidRPr="00F9522B">
        <w:rPr>
          <w:rFonts w:eastAsiaTheme="minorEastAsia"/>
          <w:sz w:val="24"/>
          <w:szCs w:val="22"/>
        </w:rPr>
        <w:t>呼兰区</w:t>
      </w:r>
      <w:r w:rsidR="003A7922" w:rsidRPr="00F9522B">
        <w:rPr>
          <w:rFonts w:eastAsiaTheme="minorEastAsia"/>
          <w:sz w:val="24"/>
          <w:szCs w:val="22"/>
        </w:rPr>
        <w:t>2026</w:t>
      </w:r>
      <w:r w:rsidR="003A7922" w:rsidRPr="00F9522B">
        <w:rPr>
          <w:rFonts w:eastAsiaTheme="minorEastAsia"/>
          <w:sz w:val="24"/>
          <w:szCs w:val="22"/>
        </w:rPr>
        <w:t>年高标准农田建设项目</w:t>
      </w:r>
      <w:r w:rsidRPr="00F9522B">
        <w:rPr>
          <w:rFonts w:eastAsiaTheme="minorEastAsia"/>
          <w:sz w:val="24"/>
          <w:szCs w:val="22"/>
        </w:rPr>
        <w:t>水资源论证报告</w:t>
      </w:r>
      <w:r w:rsidR="00DD0748" w:rsidRPr="00F9522B">
        <w:rPr>
          <w:rFonts w:eastAsiaTheme="minorEastAsia"/>
          <w:sz w:val="24"/>
          <w:szCs w:val="22"/>
        </w:rPr>
        <w:t>书</w:t>
      </w:r>
      <w:r w:rsidRPr="00F9522B">
        <w:rPr>
          <w:rFonts w:eastAsiaTheme="minorEastAsia"/>
          <w:sz w:val="24"/>
          <w:szCs w:val="22"/>
        </w:rPr>
        <w:t>》</w:t>
      </w:r>
      <w:r w:rsidRPr="00F9522B">
        <w:rPr>
          <w:rFonts w:eastAsiaTheme="minorEastAsia"/>
          <w:sz w:val="24"/>
          <w:szCs w:val="22"/>
        </w:rPr>
        <w:t>”</w:t>
      </w:r>
      <w:r w:rsidRPr="00F9522B">
        <w:rPr>
          <w:rFonts w:eastAsiaTheme="minorEastAsia"/>
          <w:sz w:val="24"/>
        </w:rPr>
        <w:t>，渗透系数取</w:t>
      </w:r>
      <w:r w:rsidRPr="00F9522B">
        <w:rPr>
          <w:rFonts w:eastAsiaTheme="minorEastAsia"/>
          <w:sz w:val="24"/>
        </w:rPr>
        <w:t>25m/d</w:t>
      </w:r>
      <w:r w:rsidRPr="00F9522B">
        <w:rPr>
          <w:rFonts w:eastAsiaTheme="minorEastAsia"/>
          <w:sz w:val="24"/>
          <w:szCs w:val="22"/>
        </w:rPr>
        <w:t>；</w:t>
      </w:r>
    </w:p>
    <w:p w:rsidR="002A5A5E" w:rsidRPr="00F9522B" w:rsidRDefault="00611CBA" w:rsidP="00611CBA">
      <w:pPr>
        <w:spacing w:line="360" w:lineRule="auto"/>
        <w:ind w:firstLineChars="77" w:firstLine="185"/>
        <w:rPr>
          <w:rFonts w:eastAsiaTheme="minorEastAsia"/>
          <w:sz w:val="24"/>
          <w:szCs w:val="22"/>
        </w:rPr>
      </w:pPr>
      <w:r w:rsidRPr="00F9522B">
        <w:rPr>
          <w:rFonts w:eastAsiaTheme="minorEastAsia"/>
          <w:sz w:val="24"/>
          <w:szCs w:val="22"/>
        </w:rPr>
        <w:t xml:space="preserve">         I—</w:t>
      </w:r>
      <w:r w:rsidRPr="00F9522B">
        <w:rPr>
          <w:rFonts w:eastAsiaTheme="minorEastAsia"/>
          <w:sz w:val="24"/>
          <w:szCs w:val="22"/>
        </w:rPr>
        <w:t>水力坡度，无量纲，数据来源</w:t>
      </w:r>
      <w:r w:rsidRPr="00F9522B">
        <w:rPr>
          <w:rFonts w:eastAsiaTheme="minorEastAsia"/>
          <w:sz w:val="24"/>
          <w:szCs w:val="22"/>
        </w:rPr>
        <w:t>“</w:t>
      </w:r>
      <w:r w:rsidRPr="00F9522B">
        <w:rPr>
          <w:rFonts w:eastAsiaTheme="minorEastAsia"/>
          <w:sz w:val="24"/>
          <w:szCs w:val="22"/>
        </w:rPr>
        <w:t>《</w:t>
      </w:r>
      <w:r w:rsidR="003A7922" w:rsidRPr="00F9522B">
        <w:rPr>
          <w:rFonts w:eastAsiaTheme="minorEastAsia"/>
          <w:sz w:val="24"/>
          <w:szCs w:val="22"/>
        </w:rPr>
        <w:t>呼兰区</w:t>
      </w:r>
      <w:r w:rsidR="003A7922" w:rsidRPr="00F9522B">
        <w:rPr>
          <w:rFonts w:eastAsiaTheme="minorEastAsia"/>
          <w:sz w:val="24"/>
          <w:szCs w:val="22"/>
        </w:rPr>
        <w:t>2026</w:t>
      </w:r>
      <w:r w:rsidR="003A7922" w:rsidRPr="00F9522B">
        <w:rPr>
          <w:rFonts w:eastAsiaTheme="minorEastAsia"/>
          <w:sz w:val="24"/>
          <w:szCs w:val="22"/>
        </w:rPr>
        <w:t>年高标准农田建设项目</w:t>
      </w:r>
      <w:r w:rsidRPr="00F9522B">
        <w:rPr>
          <w:rFonts w:eastAsiaTheme="minorEastAsia"/>
          <w:sz w:val="24"/>
          <w:szCs w:val="22"/>
        </w:rPr>
        <w:t>水资源论证报告</w:t>
      </w:r>
      <w:r w:rsidR="00DD0748" w:rsidRPr="00F9522B">
        <w:rPr>
          <w:rFonts w:eastAsiaTheme="minorEastAsia"/>
          <w:sz w:val="24"/>
          <w:szCs w:val="22"/>
        </w:rPr>
        <w:t>书</w:t>
      </w:r>
      <w:r w:rsidRPr="00F9522B">
        <w:rPr>
          <w:rFonts w:eastAsiaTheme="minorEastAsia"/>
          <w:sz w:val="24"/>
          <w:szCs w:val="22"/>
        </w:rPr>
        <w:t>》</w:t>
      </w:r>
      <w:r w:rsidRPr="00F9522B">
        <w:rPr>
          <w:rFonts w:eastAsiaTheme="minorEastAsia"/>
          <w:sz w:val="24"/>
          <w:szCs w:val="22"/>
        </w:rPr>
        <w:t>”</w:t>
      </w:r>
      <w:r w:rsidRPr="00F9522B">
        <w:rPr>
          <w:rFonts w:eastAsiaTheme="minorEastAsia"/>
          <w:iCs/>
          <w:sz w:val="24"/>
          <w:szCs w:val="22"/>
        </w:rPr>
        <w:t>，</w:t>
      </w:r>
      <w:r w:rsidRPr="00F9522B">
        <w:rPr>
          <w:rFonts w:eastAsiaTheme="minorEastAsia"/>
          <w:sz w:val="24"/>
          <w:szCs w:val="22"/>
        </w:rPr>
        <w:t>本项目取</w:t>
      </w:r>
      <w:r w:rsidRPr="00F9522B">
        <w:rPr>
          <w:rFonts w:eastAsiaTheme="minorEastAsia"/>
          <w:sz w:val="24"/>
          <w:szCs w:val="22"/>
        </w:rPr>
        <w:t>2</w:t>
      </w:r>
      <w:r w:rsidRPr="00F9522B">
        <w:rPr>
          <w:rFonts w:eastAsiaTheme="minorEastAsia"/>
          <w:sz w:val="24"/>
          <w:szCs w:val="22"/>
          <w:lang w:val="en-GB"/>
        </w:rPr>
        <w:t>‰</w:t>
      </w:r>
      <w:r w:rsidRPr="00F9522B">
        <w:rPr>
          <w:rFonts w:eastAsiaTheme="minorEastAsia"/>
          <w:sz w:val="24"/>
          <w:lang w:val="en-GB"/>
        </w:rPr>
        <w:t>；</w:t>
      </w:r>
    </w:p>
    <w:p w:rsidR="002A5A5E" w:rsidRPr="00F9522B" w:rsidRDefault="00611CBA" w:rsidP="00611CBA">
      <w:pPr>
        <w:spacing w:line="360" w:lineRule="auto"/>
        <w:ind w:firstLineChars="77" w:firstLine="185"/>
        <w:rPr>
          <w:rFonts w:eastAsiaTheme="minorEastAsia"/>
          <w:sz w:val="24"/>
          <w:szCs w:val="22"/>
        </w:rPr>
      </w:pPr>
      <w:r w:rsidRPr="00F9522B">
        <w:rPr>
          <w:rFonts w:eastAsiaTheme="minorEastAsia"/>
          <w:sz w:val="24"/>
          <w:szCs w:val="22"/>
        </w:rPr>
        <w:t xml:space="preserve">         T—</w:t>
      </w:r>
      <w:r w:rsidRPr="00F9522B">
        <w:rPr>
          <w:rFonts w:eastAsiaTheme="minorEastAsia"/>
          <w:sz w:val="24"/>
          <w:szCs w:val="22"/>
        </w:rPr>
        <w:t>质点迁移天数，</w:t>
      </w:r>
      <w:r w:rsidRPr="00F9522B">
        <w:rPr>
          <w:rFonts w:eastAsiaTheme="minorEastAsia"/>
          <w:kern w:val="0"/>
          <w:sz w:val="24"/>
          <w:lang w:val="de-DE"/>
        </w:rPr>
        <w:t>5000</w:t>
      </w:r>
      <w:r w:rsidRPr="00F9522B">
        <w:rPr>
          <w:rFonts w:eastAsiaTheme="minorEastAsia"/>
          <w:sz w:val="24"/>
          <w:szCs w:val="22"/>
        </w:rPr>
        <w:t>d</w:t>
      </w:r>
      <w:r w:rsidRPr="00F9522B">
        <w:rPr>
          <w:rFonts w:eastAsiaTheme="minorEastAsia"/>
          <w:sz w:val="24"/>
          <w:szCs w:val="22"/>
        </w:rPr>
        <w:t>；</w:t>
      </w:r>
    </w:p>
    <w:p w:rsidR="002A5A5E" w:rsidRPr="00F9522B" w:rsidRDefault="00611CBA" w:rsidP="00611CBA">
      <w:pPr>
        <w:spacing w:line="360" w:lineRule="auto"/>
        <w:ind w:firstLineChars="77" w:firstLine="185"/>
        <w:contextualSpacing/>
        <w:rPr>
          <w:rFonts w:eastAsiaTheme="minorEastAsia"/>
          <w:sz w:val="24"/>
          <w:szCs w:val="22"/>
        </w:rPr>
      </w:pPr>
      <w:r w:rsidRPr="00F9522B">
        <w:rPr>
          <w:rFonts w:eastAsiaTheme="minorEastAsia"/>
          <w:sz w:val="24"/>
          <w:szCs w:val="22"/>
        </w:rPr>
        <w:t xml:space="preserve">         n</w:t>
      </w:r>
      <w:r w:rsidRPr="00F9522B">
        <w:rPr>
          <w:rFonts w:eastAsiaTheme="minorEastAsia"/>
          <w:sz w:val="24"/>
          <w:szCs w:val="22"/>
          <w:vertAlign w:val="subscript"/>
        </w:rPr>
        <w:t>e</w:t>
      </w:r>
      <w:r w:rsidRPr="00F9522B">
        <w:rPr>
          <w:rFonts w:eastAsiaTheme="minorEastAsia"/>
          <w:sz w:val="24"/>
          <w:szCs w:val="22"/>
        </w:rPr>
        <w:t>—</w:t>
      </w:r>
      <w:r w:rsidRPr="00F9522B">
        <w:rPr>
          <w:rFonts w:eastAsiaTheme="minorEastAsia"/>
          <w:sz w:val="24"/>
          <w:szCs w:val="22"/>
        </w:rPr>
        <w:t>有效孔隙度，无量纲，数据来源</w:t>
      </w:r>
      <w:r w:rsidRPr="00F9522B">
        <w:rPr>
          <w:rFonts w:eastAsiaTheme="minorEastAsia"/>
          <w:sz w:val="24"/>
          <w:szCs w:val="22"/>
        </w:rPr>
        <w:t>“</w:t>
      </w:r>
      <w:r w:rsidRPr="00F9522B">
        <w:rPr>
          <w:rFonts w:eastAsiaTheme="minorEastAsia"/>
          <w:sz w:val="24"/>
          <w:szCs w:val="22"/>
        </w:rPr>
        <w:t>《</w:t>
      </w:r>
      <w:r w:rsidR="003A7922" w:rsidRPr="00F9522B">
        <w:rPr>
          <w:rFonts w:eastAsiaTheme="minorEastAsia"/>
          <w:sz w:val="24"/>
          <w:szCs w:val="22"/>
        </w:rPr>
        <w:t>呼兰区</w:t>
      </w:r>
      <w:r w:rsidR="003A7922" w:rsidRPr="00F9522B">
        <w:rPr>
          <w:rFonts w:eastAsiaTheme="minorEastAsia"/>
          <w:sz w:val="24"/>
          <w:szCs w:val="22"/>
        </w:rPr>
        <w:t>2026</w:t>
      </w:r>
      <w:r w:rsidR="003A7922" w:rsidRPr="00F9522B">
        <w:rPr>
          <w:rFonts w:eastAsiaTheme="minorEastAsia"/>
          <w:sz w:val="24"/>
          <w:szCs w:val="22"/>
        </w:rPr>
        <w:t>年高标准农田建设项目</w:t>
      </w:r>
      <w:r w:rsidRPr="00F9522B">
        <w:rPr>
          <w:rFonts w:eastAsiaTheme="minorEastAsia"/>
          <w:sz w:val="24"/>
          <w:szCs w:val="22"/>
        </w:rPr>
        <w:t>水资源论证报告</w:t>
      </w:r>
      <w:r w:rsidR="00DD0748" w:rsidRPr="00F9522B">
        <w:rPr>
          <w:rFonts w:eastAsiaTheme="minorEastAsia"/>
          <w:sz w:val="24"/>
          <w:szCs w:val="22"/>
        </w:rPr>
        <w:t>书</w:t>
      </w:r>
      <w:r w:rsidRPr="00F9522B">
        <w:rPr>
          <w:rFonts w:eastAsiaTheme="minorEastAsia"/>
          <w:sz w:val="24"/>
          <w:szCs w:val="22"/>
        </w:rPr>
        <w:t>》</w:t>
      </w:r>
      <w:r w:rsidRPr="00F9522B">
        <w:rPr>
          <w:rFonts w:eastAsiaTheme="minorEastAsia"/>
          <w:sz w:val="24"/>
          <w:szCs w:val="22"/>
        </w:rPr>
        <w:t>”</w:t>
      </w:r>
      <w:r w:rsidRPr="00F9522B">
        <w:rPr>
          <w:rFonts w:eastAsiaTheme="minorEastAsia"/>
          <w:sz w:val="24"/>
        </w:rPr>
        <w:t>，</w:t>
      </w:r>
      <w:r w:rsidRPr="00F9522B">
        <w:rPr>
          <w:rFonts w:eastAsiaTheme="minorEastAsia"/>
          <w:sz w:val="24"/>
          <w:szCs w:val="22"/>
        </w:rPr>
        <w:t>本项目取</w:t>
      </w:r>
      <w:r w:rsidRPr="00F9522B">
        <w:rPr>
          <w:rFonts w:eastAsiaTheme="minorEastAsia"/>
          <w:sz w:val="24"/>
          <w:szCs w:val="22"/>
        </w:rPr>
        <w:t>0.2</w:t>
      </w:r>
      <w:r w:rsidRPr="00F9522B">
        <w:rPr>
          <w:rFonts w:eastAsiaTheme="minorEastAsia"/>
          <w:sz w:val="24"/>
          <w:szCs w:val="22"/>
        </w:rPr>
        <w:t>；</w:t>
      </w:r>
    </w:p>
    <w:p w:rsidR="002A5A5E" w:rsidRPr="00F9522B" w:rsidRDefault="00611CBA" w:rsidP="00611CBA">
      <w:pPr>
        <w:spacing w:line="360" w:lineRule="auto"/>
        <w:ind w:firstLineChars="77" w:firstLine="185"/>
        <w:contextualSpacing/>
        <w:rPr>
          <w:rFonts w:eastAsiaTheme="minorEastAsia"/>
          <w:sz w:val="24"/>
          <w:szCs w:val="22"/>
        </w:rPr>
      </w:pPr>
      <w:r w:rsidRPr="00F9522B">
        <w:rPr>
          <w:rFonts w:eastAsiaTheme="minorEastAsia"/>
          <w:sz w:val="24"/>
          <w:szCs w:val="22"/>
        </w:rPr>
        <w:t xml:space="preserve">      </w:t>
      </w:r>
      <w:r w:rsidRPr="00F9522B">
        <w:rPr>
          <w:rFonts w:eastAsiaTheme="minorEastAsia"/>
          <w:sz w:val="24"/>
          <w:szCs w:val="22"/>
        </w:rPr>
        <w:t>则：评价范围</w:t>
      </w:r>
      <w:r w:rsidRPr="00F9522B">
        <w:rPr>
          <w:rFonts w:eastAsiaTheme="minorEastAsia"/>
          <w:sz w:val="24"/>
          <w:szCs w:val="22"/>
        </w:rPr>
        <w:t>L=2×25×2</w:t>
      </w:r>
      <w:r w:rsidRPr="00F9522B">
        <w:rPr>
          <w:rFonts w:eastAsiaTheme="minorEastAsia"/>
          <w:sz w:val="24"/>
          <w:lang w:val="en-GB"/>
        </w:rPr>
        <w:t>‰</w:t>
      </w:r>
      <w:r w:rsidRPr="00F9522B">
        <w:rPr>
          <w:rFonts w:eastAsiaTheme="minorEastAsia"/>
          <w:sz w:val="24"/>
          <w:szCs w:val="22"/>
        </w:rPr>
        <w:t>×5000/0.2=2500m</w:t>
      </w:r>
    </w:p>
    <w:p w:rsidR="002A5A5E" w:rsidRPr="00F9522B" w:rsidRDefault="00611CBA">
      <w:pPr>
        <w:spacing w:line="360" w:lineRule="auto"/>
        <w:ind w:firstLineChars="200" w:firstLine="480"/>
        <w:contextualSpacing/>
        <w:rPr>
          <w:rFonts w:eastAsiaTheme="minorEastAsia"/>
          <w:kern w:val="0"/>
          <w:sz w:val="24"/>
        </w:rPr>
      </w:pPr>
      <w:r w:rsidRPr="00F9522B">
        <w:rPr>
          <w:rFonts w:eastAsiaTheme="minorEastAsia"/>
          <w:kern w:val="0"/>
          <w:sz w:val="24"/>
        </w:rPr>
        <w:t>根据计算可知，地下水评价范围以</w:t>
      </w:r>
      <w:r w:rsidR="00143F4D" w:rsidRPr="00F9522B">
        <w:rPr>
          <w:rFonts w:eastAsiaTheme="minorEastAsia"/>
          <w:kern w:val="0"/>
          <w:sz w:val="24"/>
        </w:rPr>
        <w:t>灌溉井片区</w:t>
      </w:r>
      <w:r w:rsidRPr="00F9522B">
        <w:rPr>
          <w:rFonts w:eastAsiaTheme="minorEastAsia"/>
          <w:kern w:val="0"/>
          <w:sz w:val="24"/>
        </w:rPr>
        <w:t>为中心上游外延</w:t>
      </w:r>
      <w:r w:rsidRPr="00F9522B">
        <w:rPr>
          <w:rFonts w:eastAsiaTheme="minorEastAsia"/>
          <w:kern w:val="0"/>
          <w:sz w:val="24"/>
        </w:rPr>
        <w:t>2500m</w:t>
      </w:r>
      <w:r w:rsidR="00143F4D" w:rsidRPr="00F9522B">
        <w:rPr>
          <w:rFonts w:eastAsiaTheme="minorEastAsia"/>
          <w:kern w:val="0"/>
          <w:sz w:val="24"/>
        </w:rPr>
        <w:t>，下游外延</w:t>
      </w:r>
      <w:r w:rsidR="00143F4D" w:rsidRPr="00F9522B">
        <w:rPr>
          <w:rFonts w:eastAsiaTheme="minorEastAsia"/>
          <w:kern w:val="0"/>
          <w:sz w:val="24"/>
        </w:rPr>
        <w:t>2500m</w:t>
      </w:r>
      <w:r w:rsidR="00143F4D" w:rsidRPr="00F9522B">
        <w:rPr>
          <w:rFonts w:eastAsiaTheme="minorEastAsia"/>
          <w:kern w:val="0"/>
          <w:sz w:val="24"/>
        </w:rPr>
        <w:t>（部分区域下游至松花江畔）</w:t>
      </w:r>
      <w:r w:rsidRPr="00F9522B">
        <w:rPr>
          <w:rFonts w:eastAsiaTheme="minorEastAsia"/>
          <w:kern w:val="0"/>
          <w:sz w:val="24"/>
        </w:rPr>
        <w:t>，两侧外延</w:t>
      </w:r>
      <w:r w:rsidRPr="00F9522B">
        <w:rPr>
          <w:rFonts w:eastAsiaTheme="minorEastAsia"/>
          <w:kern w:val="0"/>
          <w:sz w:val="24"/>
        </w:rPr>
        <w:t>1250m</w:t>
      </w:r>
      <w:r w:rsidRPr="00F9522B">
        <w:rPr>
          <w:rFonts w:eastAsiaTheme="minorEastAsia"/>
          <w:kern w:val="0"/>
          <w:sz w:val="24"/>
        </w:rPr>
        <w:t>作为评价范围。</w:t>
      </w:r>
    </w:p>
    <w:p w:rsidR="002A5A5E" w:rsidRPr="00F9522B" w:rsidRDefault="00611CBA">
      <w:pPr>
        <w:spacing w:line="360" w:lineRule="auto"/>
        <w:ind w:firstLineChars="200" w:firstLine="480"/>
        <w:contextualSpacing/>
        <w:rPr>
          <w:rFonts w:eastAsiaTheme="minorEastAsia"/>
          <w:kern w:val="0"/>
          <w:sz w:val="24"/>
        </w:rPr>
      </w:pPr>
      <w:r w:rsidRPr="00F9522B">
        <w:rPr>
          <w:rFonts w:eastAsiaTheme="minorEastAsia"/>
          <w:kern w:val="0"/>
          <w:sz w:val="24"/>
        </w:rPr>
        <w:t>（</w:t>
      </w:r>
      <w:r w:rsidRPr="00F9522B">
        <w:rPr>
          <w:rFonts w:eastAsiaTheme="minorEastAsia"/>
          <w:kern w:val="0"/>
          <w:sz w:val="24"/>
        </w:rPr>
        <w:t>2</w:t>
      </w:r>
      <w:r w:rsidRPr="00F9522B">
        <w:rPr>
          <w:rFonts w:eastAsiaTheme="minorEastAsia"/>
          <w:kern w:val="0"/>
          <w:sz w:val="24"/>
        </w:rPr>
        <w:t>）地表水</w:t>
      </w:r>
    </w:p>
    <w:p w:rsidR="002A5A5E" w:rsidRPr="00F9522B" w:rsidRDefault="00611CBA">
      <w:pPr>
        <w:spacing w:line="360" w:lineRule="auto"/>
        <w:ind w:firstLineChars="200" w:firstLine="480"/>
        <w:contextualSpacing/>
        <w:rPr>
          <w:rFonts w:eastAsiaTheme="minorEastAsia"/>
          <w:snapToGrid w:val="0"/>
          <w:sz w:val="24"/>
        </w:rPr>
      </w:pPr>
      <w:r w:rsidRPr="00F9522B">
        <w:rPr>
          <w:rFonts w:eastAsiaTheme="minorEastAsia"/>
          <w:kern w:val="0"/>
          <w:sz w:val="24"/>
        </w:rPr>
        <w:t>本工程水污染影响型地表水环境评价等级为三级</w:t>
      </w:r>
      <w:r w:rsidRPr="00F9522B">
        <w:rPr>
          <w:rFonts w:eastAsiaTheme="minorEastAsia"/>
          <w:kern w:val="0"/>
          <w:sz w:val="24"/>
        </w:rPr>
        <w:t>B</w:t>
      </w:r>
      <w:r w:rsidRPr="00F9522B">
        <w:rPr>
          <w:rFonts w:eastAsiaTheme="minorEastAsia"/>
          <w:kern w:val="0"/>
          <w:sz w:val="24"/>
        </w:rPr>
        <w:t>，无需设置地表水评价范围。本项目实施前后退水量减少，</w:t>
      </w:r>
      <w:r w:rsidRPr="00F9522B">
        <w:rPr>
          <w:rFonts w:eastAsiaTheme="minorEastAsia"/>
          <w:snapToGrid w:val="0"/>
          <w:sz w:val="24"/>
        </w:rPr>
        <w:t>对流量无影响，对下游水文情势无影响。根据</w:t>
      </w:r>
      <w:r w:rsidRPr="00F9522B">
        <w:rPr>
          <w:rFonts w:eastAsiaTheme="minorEastAsia"/>
          <w:snapToGrid w:val="0"/>
          <w:sz w:val="24"/>
          <w:szCs w:val="20"/>
        </w:rPr>
        <w:t>《环境影响评价技术导则</w:t>
      </w:r>
      <w:r w:rsidRPr="00F9522B">
        <w:rPr>
          <w:rFonts w:eastAsiaTheme="minorEastAsia"/>
          <w:snapToGrid w:val="0"/>
          <w:sz w:val="24"/>
          <w:szCs w:val="20"/>
        </w:rPr>
        <w:t>—</w:t>
      </w:r>
      <w:r w:rsidRPr="00F9522B">
        <w:rPr>
          <w:rFonts w:eastAsiaTheme="minorEastAsia"/>
          <w:snapToGrid w:val="0"/>
          <w:sz w:val="24"/>
          <w:szCs w:val="20"/>
        </w:rPr>
        <w:t>地表水环境》（</w:t>
      </w:r>
      <w:r w:rsidRPr="00F9522B">
        <w:rPr>
          <w:rFonts w:eastAsiaTheme="minorEastAsia"/>
          <w:snapToGrid w:val="0"/>
          <w:sz w:val="24"/>
          <w:szCs w:val="20"/>
        </w:rPr>
        <w:t>HJ2.3-2018</w:t>
      </w:r>
      <w:r w:rsidRPr="00F9522B">
        <w:rPr>
          <w:rFonts w:eastAsiaTheme="minorEastAsia"/>
          <w:snapToGrid w:val="0"/>
          <w:sz w:val="24"/>
          <w:szCs w:val="20"/>
        </w:rPr>
        <w:t>），</w:t>
      </w:r>
      <w:r w:rsidRPr="00F9522B">
        <w:rPr>
          <w:rFonts w:eastAsiaTheme="minorEastAsia"/>
          <w:snapToGrid w:val="0"/>
          <w:sz w:val="24"/>
        </w:rPr>
        <w:t>评价影响应覆盖水体天然性状发生变化的水域，因此判定水文影响评价</w:t>
      </w:r>
      <w:r w:rsidRPr="00F9522B">
        <w:rPr>
          <w:rFonts w:eastAsiaTheme="minorEastAsia"/>
          <w:snapToGrid w:val="0"/>
          <w:sz w:val="24"/>
          <w:szCs w:val="20"/>
        </w:rPr>
        <w:t>范围如下：</w:t>
      </w:r>
    </w:p>
    <w:p w:rsidR="002A5A5E" w:rsidRPr="00F9522B" w:rsidRDefault="002D28EB">
      <w:pPr>
        <w:spacing w:line="360" w:lineRule="auto"/>
        <w:ind w:firstLineChars="200" w:firstLine="480"/>
        <w:contextualSpacing/>
        <w:rPr>
          <w:rFonts w:eastAsiaTheme="minorEastAsia"/>
          <w:snapToGrid w:val="0"/>
          <w:sz w:val="24"/>
          <w:szCs w:val="20"/>
        </w:rPr>
      </w:pPr>
      <w:r w:rsidRPr="00F9522B">
        <w:rPr>
          <w:rFonts w:eastAsiaTheme="minorEastAsia"/>
          <w:kern w:val="0"/>
          <w:sz w:val="24"/>
        </w:rPr>
        <w:t>松花江</w:t>
      </w:r>
      <w:r w:rsidR="00611CBA" w:rsidRPr="00F9522B">
        <w:rPr>
          <w:rFonts w:eastAsiaTheme="minorEastAsia"/>
          <w:kern w:val="0"/>
          <w:sz w:val="24"/>
        </w:rPr>
        <w:t>：</w:t>
      </w:r>
      <w:r w:rsidR="00194139" w:rsidRPr="00F9522B">
        <w:rPr>
          <w:rFonts w:eastAsiaTheme="minorEastAsia"/>
          <w:kern w:val="0"/>
          <w:sz w:val="24"/>
        </w:rPr>
        <w:t>公家沟</w:t>
      </w:r>
      <w:r w:rsidR="00611CBA" w:rsidRPr="00F9522B">
        <w:rPr>
          <w:rFonts w:eastAsiaTheme="minorEastAsia"/>
          <w:kern w:val="0"/>
          <w:sz w:val="24"/>
        </w:rPr>
        <w:t>退水口</w:t>
      </w:r>
      <w:r w:rsidR="00611CBA" w:rsidRPr="00F9522B">
        <w:rPr>
          <w:rFonts w:eastAsiaTheme="minorEastAsia"/>
          <w:snapToGrid w:val="0"/>
          <w:kern w:val="0"/>
          <w:sz w:val="24"/>
        </w:rPr>
        <w:t>上游</w:t>
      </w:r>
      <w:r w:rsidR="00611CBA" w:rsidRPr="00F9522B">
        <w:rPr>
          <w:rFonts w:eastAsiaTheme="minorEastAsia"/>
          <w:kern w:val="0"/>
          <w:sz w:val="24"/>
        </w:rPr>
        <w:t>500m</w:t>
      </w:r>
      <w:r w:rsidRPr="00F9522B">
        <w:rPr>
          <w:rFonts w:eastAsiaTheme="minorEastAsia"/>
          <w:kern w:val="0"/>
          <w:sz w:val="24"/>
        </w:rPr>
        <w:t>至</w:t>
      </w:r>
      <w:r w:rsidR="00194139" w:rsidRPr="00F9522B">
        <w:rPr>
          <w:rFonts w:eastAsiaTheme="minorEastAsia"/>
          <w:kern w:val="0"/>
          <w:sz w:val="24"/>
        </w:rPr>
        <w:t>入松花江口</w:t>
      </w:r>
      <w:r w:rsidRPr="00F9522B">
        <w:rPr>
          <w:rFonts w:eastAsiaTheme="minorEastAsia"/>
          <w:kern w:val="0"/>
          <w:sz w:val="24"/>
        </w:rPr>
        <w:t>下游</w:t>
      </w:r>
      <w:r w:rsidRPr="00F9522B">
        <w:rPr>
          <w:rFonts w:eastAsiaTheme="minorEastAsia"/>
          <w:kern w:val="0"/>
          <w:sz w:val="24"/>
        </w:rPr>
        <w:t>1000m</w:t>
      </w:r>
      <w:r w:rsidR="00611CBA" w:rsidRPr="00F9522B">
        <w:rPr>
          <w:rFonts w:eastAsiaTheme="minorEastAsia"/>
          <w:kern w:val="0"/>
          <w:sz w:val="24"/>
        </w:rPr>
        <w:t>。评价河段长度为</w:t>
      </w:r>
      <w:r w:rsidR="00AA366B" w:rsidRPr="00F9522B">
        <w:rPr>
          <w:rFonts w:eastAsiaTheme="minorEastAsia"/>
          <w:kern w:val="0"/>
          <w:sz w:val="24"/>
        </w:rPr>
        <w:t>26.3</w:t>
      </w:r>
      <w:r w:rsidR="00611CBA" w:rsidRPr="00F9522B">
        <w:rPr>
          <w:rFonts w:eastAsiaTheme="minorEastAsia"/>
          <w:kern w:val="0"/>
          <w:sz w:val="24"/>
        </w:rPr>
        <w:t>km</w:t>
      </w:r>
      <w:r w:rsidR="00611CBA" w:rsidRPr="00F9522B">
        <w:rPr>
          <w:rFonts w:eastAsiaTheme="minorEastAsia"/>
          <w:snapToGrid w:val="0"/>
          <w:sz w:val="24"/>
          <w:szCs w:val="20"/>
        </w:rPr>
        <w:t>；</w:t>
      </w:r>
    </w:p>
    <w:p w:rsidR="002A5A5E" w:rsidRPr="00F9522B" w:rsidRDefault="00611CBA">
      <w:pPr>
        <w:spacing w:line="360" w:lineRule="auto"/>
        <w:ind w:firstLineChars="200" w:firstLine="480"/>
        <w:contextualSpacing/>
        <w:rPr>
          <w:rFonts w:eastAsiaTheme="minorEastAsia"/>
          <w:snapToGrid w:val="0"/>
          <w:sz w:val="24"/>
          <w:szCs w:val="20"/>
        </w:rPr>
        <w:sectPr w:rsidR="002A5A5E" w:rsidRPr="00F9522B">
          <w:pgSz w:w="11906" w:h="16838"/>
          <w:pgMar w:top="1440" w:right="1800" w:bottom="1440" w:left="1800" w:header="851" w:footer="992" w:gutter="0"/>
          <w:cols w:space="425"/>
          <w:docGrid w:type="lines" w:linePitch="312"/>
        </w:sectPr>
      </w:pPr>
      <w:r w:rsidRPr="00F9522B">
        <w:rPr>
          <w:rFonts w:eastAsiaTheme="minorEastAsia"/>
          <w:kern w:val="0"/>
          <w:sz w:val="24"/>
        </w:rPr>
        <w:t>漂河：漂河退水口上游</w:t>
      </w:r>
      <w:r w:rsidRPr="00F9522B">
        <w:rPr>
          <w:rFonts w:eastAsiaTheme="minorEastAsia"/>
          <w:kern w:val="0"/>
          <w:sz w:val="24"/>
        </w:rPr>
        <w:t>500m</w:t>
      </w:r>
      <w:r w:rsidRPr="00F9522B">
        <w:rPr>
          <w:rFonts w:eastAsiaTheme="minorEastAsia"/>
          <w:kern w:val="0"/>
          <w:sz w:val="24"/>
        </w:rPr>
        <w:t>至退水口下游</w:t>
      </w:r>
      <w:r w:rsidRPr="00F9522B">
        <w:rPr>
          <w:rFonts w:eastAsiaTheme="minorEastAsia"/>
          <w:kern w:val="0"/>
          <w:sz w:val="24"/>
        </w:rPr>
        <w:t>1000m</w:t>
      </w:r>
      <w:r w:rsidRPr="00F9522B">
        <w:rPr>
          <w:rFonts w:eastAsiaTheme="minorEastAsia"/>
          <w:kern w:val="0"/>
          <w:sz w:val="24"/>
        </w:rPr>
        <w:t>。评价河段长度为</w:t>
      </w:r>
      <w:r w:rsidR="00AA366B" w:rsidRPr="00F9522B">
        <w:rPr>
          <w:rFonts w:eastAsiaTheme="minorEastAsia"/>
          <w:kern w:val="0"/>
          <w:sz w:val="24"/>
        </w:rPr>
        <w:t>11.8</w:t>
      </w:r>
      <w:r w:rsidRPr="00F9522B">
        <w:rPr>
          <w:rFonts w:eastAsiaTheme="minorEastAsia"/>
          <w:kern w:val="0"/>
          <w:sz w:val="24"/>
        </w:rPr>
        <w:t>km</w:t>
      </w:r>
      <w:r w:rsidRPr="00F9522B">
        <w:rPr>
          <w:rFonts w:eastAsiaTheme="minorEastAsia"/>
          <w:kern w:val="0"/>
          <w:sz w:val="24"/>
        </w:rPr>
        <w:t>。</w:t>
      </w:r>
    </w:p>
    <w:p w:rsidR="002A5A5E" w:rsidRPr="00F9522B" w:rsidRDefault="00625A6C">
      <w:pPr>
        <w:spacing w:line="360" w:lineRule="auto"/>
        <w:ind w:firstLineChars="200" w:firstLine="480"/>
        <w:contextualSpacing/>
        <w:jc w:val="center"/>
        <w:rPr>
          <w:rFonts w:eastAsiaTheme="minorEastAsia"/>
          <w:snapToGrid w:val="0"/>
          <w:kern w:val="0"/>
          <w:sz w:val="24"/>
        </w:rPr>
      </w:pPr>
      <w:r w:rsidRPr="00F9522B">
        <w:rPr>
          <w:rFonts w:eastAsiaTheme="minorEastAsia"/>
          <w:noProof/>
          <w:sz w:val="24"/>
          <w:szCs w:val="20"/>
        </w:rPr>
        <w:lastRenderedPageBreak/>
        <w:drawing>
          <wp:anchor distT="0" distB="0" distL="114300" distR="114300" simplePos="0" relativeHeight="251752448" behindDoc="0" locked="0" layoutInCell="1" allowOverlap="1">
            <wp:simplePos x="0" y="0"/>
            <wp:positionH relativeFrom="column">
              <wp:posOffset>7749540</wp:posOffset>
            </wp:positionH>
            <wp:positionV relativeFrom="paragraph">
              <wp:posOffset>44450</wp:posOffset>
            </wp:positionV>
            <wp:extent cx="637540" cy="629285"/>
            <wp:effectExtent l="19050" t="0" r="0" b="0"/>
            <wp:wrapNone/>
            <wp:docPr id="48"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37"/>
                    <pic:cNvPicPr>
                      <a:picLocks noChangeAspect="1" noChangeArrowheads="1"/>
                    </pic:cNvPicPr>
                  </pic:nvPicPr>
                  <pic:blipFill>
                    <a:blip r:embed="rId25"/>
                    <a:srcRect/>
                    <a:stretch>
                      <a:fillRect/>
                    </a:stretch>
                  </pic:blipFill>
                  <pic:spPr>
                    <a:xfrm>
                      <a:off x="0" y="0"/>
                      <a:ext cx="637540" cy="629285"/>
                    </a:xfrm>
                    <a:prstGeom prst="rect">
                      <a:avLst/>
                    </a:prstGeom>
                    <a:noFill/>
                    <a:ln w="9525">
                      <a:noFill/>
                      <a:miter lim="800000"/>
                      <a:headEnd/>
                      <a:tailEnd/>
                    </a:ln>
                  </pic:spPr>
                </pic:pic>
              </a:graphicData>
            </a:graphic>
          </wp:anchor>
        </w:drawing>
      </w:r>
      <w:r w:rsidR="005273A1" w:rsidRPr="005273A1">
        <w:rPr>
          <w:rFonts w:eastAsiaTheme="minorEastAsia"/>
          <w:sz w:val="24"/>
          <w:szCs w:val="20"/>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697030" type="#_x0000_t61" style="position:absolute;left:0;text-align:left;margin-left:391.55pt;margin-top:302.4pt;width:47.25pt;height:22.5pt;z-index:251832320;mso-position-horizontal-relative:text;mso-position-vertical-relative:text" adj="-6354,23280" filled="f" strokecolor="yellow">
            <v:textbox>
              <w:txbxContent>
                <w:p w:rsidR="000D2D13" w:rsidRPr="00861FEF" w:rsidRDefault="000D2D13">
                  <w:pPr>
                    <w:rPr>
                      <w:b/>
                      <w:color w:val="FFFF00"/>
                    </w:rPr>
                  </w:pPr>
                  <w:r w:rsidRPr="00861FEF">
                    <w:rPr>
                      <w:b/>
                      <w:color w:val="FFFF00"/>
                    </w:rPr>
                    <w:t>松花江</w:t>
                  </w:r>
                </w:p>
              </w:txbxContent>
            </v:textbox>
          </v:shape>
        </w:pict>
      </w:r>
      <w:r w:rsidR="005273A1" w:rsidRPr="005273A1">
        <w:rPr>
          <w:rFonts w:eastAsiaTheme="minorEastAsia"/>
          <w:noProof/>
          <w:sz w:val="24"/>
          <w:szCs w:val="20"/>
        </w:rPr>
        <w:pict>
          <v:polyline id="_x0000_s697173" style="position:absolute;left:0;text-align:left;z-index:251830272;mso-position-horizontal-relative:text;mso-position-vertical-relative:text" points="279.85pt,97.45pt,276.5pt,103.55pt,277.65pt,115.65pt,283.95pt,117.35pt,285.1pt,128.3pt,288.6pt,142.15pt,283.4pt,159.4pt,281.65pt,166.3pt,282.25pt,172.65pt,285.1pt,191.1pt,282.25pt,204.35pt,280.55pt,219.3pt,273.05pt,229.7pt,268.3pt,240.65pt,275.35pt,259.65pt,267.85pt,275.75pt,271.3pt,285pt,264.95pt,291.9pt,261.5pt,299.4pt,265.4pt,302.4pt,262.1pt,306.85pt,268.3pt,311.4pt,275.9pt,321.25pt,283.9pt,320.95pt" coordsize="542,4476" filled="f" strokecolor="yellow" strokeweight="1.5pt">
            <v:path arrowok="t"/>
          </v:polyline>
        </w:pict>
      </w:r>
      <w:r w:rsidR="005273A1" w:rsidRPr="005273A1">
        <w:rPr>
          <w:rFonts w:eastAsiaTheme="minorEastAsia"/>
          <w:noProof/>
          <w:sz w:val="24"/>
          <w:szCs w:val="20"/>
        </w:rPr>
        <w:pict>
          <v:polyline id="_x0000_s697174" style="position:absolute;left:0;text-align:left;z-index:251831296;mso-position-horizontal-relative:text;mso-position-vertical-relative:text" points="351.5pt,83pt,351.5pt,90.3pt,351.5pt,105.25pt,356.55pt,128.9pt,358.85pt,142.2pt,368.05pt,161.15pt,378.45pt,177.5pt,383.25pt,185.9pt,391.55pt,189.95pt" coordsize="801,2139" filled="f" strokecolor="yellow" strokeweight="1.5pt">
            <v:path arrowok="t"/>
          </v:polyline>
        </w:pict>
      </w:r>
      <w:r w:rsidR="005273A1" w:rsidRPr="005273A1">
        <w:rPr>
          <w:rFonts w:eastAsiaTheme="minorEastAsia"/>
          <w:sz w:val="24"/>
          <w:szCs w:val="20"/>
        </w:rPr>
        <w:pict>
          <v:shape id="_x0000_s696895" type="#_x0000_t32" style="position:absolute;left:0;text-align:left;margin-left:133.65pt;margin-top:339.9pt;width:15.6pt;height:.05pt;z-index:251719680;mso-position-horizontal-relative:text;mso-position-vertical-relative:text" o:connectortype="straight" strokecolor="#00b050" strokeweight="2.25pt"/>
        </w:pict>
      </w:r>
      <w:r w:rsidR="005273A1" w:rsidRPr="005273A1">
        <w:rPr>
          <w:rFonts w:eastAsiaTheme="minorEastAsia"/>
          <w:noProof/>
          <w:sz w:val="24"/>
          <w:szCs w:val="20"/>
        </w:rPr>
        <w:pict>
          <v:shape id="_x0000_s697172" type="#_x0000_t61" style="position:absolute;left:0;text-align:left;margin-left:205.05pt;margin-top:240.65pt;width:47.25pt;height:22.5pt;z-index:251829248;mso-position-horizontal-relative:text;mso-position-vertical-relative:text" adj="29463,10560" filled="f" strokecolor="yellow">
            <v:textbox>
              <w:txbxContent>
                <w:p w:rsidR="000D2D13" w:rsidRPr="00861FEF" w:rsidRDefault="000D2D13" w:rsidP="00861FEF">
                  <w:pPr>
                    <w:rPr>
                      <w:b/>
                      <w:color w:val="FFFF00"/>
                    </w:rPr>
                  </w:pPr>
                  <w:r>
                    <w:rPr>
                      <w:b/>
                      <w:color w:val="FFFF00"/>
                    </w:rPr>
                    <w:t>公家沟</w:t>
                  </w:r>
                </w:p>
              </w:txbxContent>
            </v:textbox>
          </v:shape>
        </w:pict>
      </w:r>
      <w:r w:rsidR="005273A1" w:rsidRPr="005273A1">
        <w:rPr>
          <w:rFonts w:eastAsiaTheme="minorEastAsia"/>
          <w:noProof/>
          <w:sz w:val="24"/>
          <w:szCs w:val="20"/>
        </w:rPr>
        <w:pict>
          <v:polyline id="_x0000_s697170" style="position:absolute;left:0;text-align:left;z-index:251827200;mso-position-horizontal-relative:text;mso-position-vertical-relative:text" points="254.6pt,197.4pt,268.4pt,191.65pt,274.25pt,195.15pt,285.75pt,189.95pt" coordsize="623,149" filled="f" fillcolor="#00b0f0" strokecolor="#00b050" strokeweight="2.25pt">
            <v:path arrowok="t"/>
          </v:polyline>
        </w:pict>
      </w:r>
      <w:r w:rsidR="005273A1" w:rsidRPr="005273A1">
        <w:rPr>
          <w:rFonts w:eastAsiaTheme="minorEastAsia"/>
          <w:noProof/>
          <w:sz w:val="24"/>
          <w:szCs w:val="20"/>
        </w:rPr>
        <w:pict>
          <v:polyline id="_x0000_s697171" style="position:absolute;left:0;text-align:left;z-index:251828224;mso-position-horizontal-relative:text;mso-position-vertical-relative:text" points="252.3pt,314.95pt,253.9pt,313.9pt,265.4pt,308.7pt" coordsize="262,125" filled="f" fillcolor="#00b0f0" strokecolor="#00b050" strokeweight="2.25pt">
            <v:path arrowok="t"/>
          </v:polyline>
        </w:pict>
      </w:r>
      <w:r w:rsidR="005273A1" w:rsidRPr="005273A1">
        <w:rPr>
          <w:rFonts w:eastAsiaTheme="minorEastAsia"/>
          <w:noProof/>
          <w:sz w:val="24"/>
          <w:szCs w:val="20"/>
        </w:rPr>
        <w:pict>
          <v:polyline id="_x0000_s697169" style="position:absolute;left:0;text-align:left;z-index:251826176;mso-position-horizontal-relative:text;mso-position-vertical-relative:text" points="284.55pt,127.75pt,300.1pt,128.9pt,311.6pt,123.7pt" coordsize="541,104" filled="f" fillcolor="#00b0f0" strokecolor="#00b050" strokeweight="2.25pt">
            <v:path arrowok="t"/>
          </v:polyline>
        </w:pict>
      </w:r>
      <w:r w:rsidR="005273A1" w:rsidRPr="005273A1">
        <w:rPr>
          <w:rFonts w:eastAsiaTheme="minorEastAsia"/>
          <w:noProof/>
          <w:sz w:val="24"/>
          <w:szCs w:val="20"/>
        </w:rPr>
        <w:pict>
          <v:shape id="_x0000_s697168" style="position:absolute;left:0;text-align:left;margin-left:351.5pt;margin-top:4.5pt;width:104.1pt;height:239.6pt;z-index:251825152;mso-position-horizontal-relative:text;mso-position-vertical-relative:text" coordsize="2082,4792" path="m870,l750,330,710,600,635,870,190,1220,,1660r,360l140,2700r290,570l730,3670r220,210l900,3950r100,140l1170,4110r100,100hdc1231,4278,1146,4356,1220,4430v12,12,28,18,40,30hal1270,4540r160,20l1580,4644r502,148e" filled="f" strokecolor="#00b0f0" strokeweight="3pt">
            <v:path arrowok="t"/>
          </v:shape>
        </w:pict>
      </w:r>
      <w:r w:rsidR="005273A1" w:rsidRPr="005273A1">
        <w:rPr>
          <w:rFonts w:eastAsiaTheme="minorEastAsia"/>
          <w:noProof/>
          <w:sz w:val="24"/>
          <w:szCs w:val="20"/>
        </w:rPr>
        <w:pict>
          <v:polyline id="_x0000_s697167" style="position:absolute;left:0;text-align:left;z-index:251824128;mso-position-horizontal-relative:text;mso-position-vertical-relative:text" points="323.5pt,115.5pt,334.5pt,110pt,347pt,101pt,347pt,95pt,351.5pt,93.5pt" coordsize="560,440" filled="f" strokecolor="#00b050" strokeweight="2.25pt">
            <v:path arrowok="t"/>
          </v:polyline>
        </w:pict>
      </w:r>
      <w:r w:rsidR="005273A1" w:rsidRPr="005273A1">
        <w:rPr>
          <w:rFonts w:eastAsiaTheme="minorEastAsia"/>
          <w:noProof/>
          <w:sz w:val="24"/>
          <w:szCs w:val="20"/>
        </w:rPr>
        <w:pict>
          <v:shape id="_x0000_s697166" style="position:absolute;left:0;text-align:left;margin-left:217.5pt;margin-top:302.4pt;width:318.5pt;height:84.65pt;z-index:251823104;mso-position-horizontal-relative:text;mso-position-vertical-relative:text" coordsize="6370,1693" path="m,1693l220,1432,530,1252,790,912,1000,450,1210,180,1430,62,2280,r730,342l3840,662r480,170l4840,932r570,160l6140,1492r230,201l4580,1693,3990,1342,3540,1102,2460,812,1970,750r-400,286l1580,1512r-20,181l,1693xe" fillcolor="#00b0f0" strokecolor="#00b0f0">
            <v:fill opacity=".5" color2="#00b0f0" o:opacity2=".5" rotate="t" focus="100%" type="gradient"/>
            <v:path arrowok="t"/>
          </v:shape>
        </w:pict>
      </w:r>
      <w:r w:rsidR="005273A1" w:rsidRPr="005273A1">
        <w:rPr>
          <w:rFonts w:eastAsiaTheme="minorEastAsia"/>
          <w:noProof/>
          <w:sz w:val="24"/>
          <w:szCs w:val="20"/>
        </w:rPr>
        <w:pict>
          <v:polyline id="_x0000_s697165" style="position:absolute;left:0;text-align:left;z-index:251822080;mso-position-horizontal-relative:text;mso-position-vertical-relative:text" points="351.5pt,209pt,366pt,198pt,370pt,191pt,380.5pt,183pt,383.25pt,182pt" coordsize="635,540" filled="f" strokecolor="#00b050" strokeweight="2.25pt">
            <v:path arrowok="t"/>
          </v:polyline>
        </w:pict>
      </w:r>
      <w:r w:rsidR="005273A1" w:rsidRPr="005273A1">
        <w:rPr>
          <w:rFonts w:eastAsiaTheme="minorEastAsia"/>
          <w:sz w:val="24"/>
          <w:szCs w:val="20"/>
        </w:rPr>
        <w:pict>
          <v:shape id="_x0000_s697039" type="#_x0000_t61" style="position:absolute;left:0;text-align:left;margin-left:391.55pt;margin-top:142.2pt;width:38.95pt;height:22.5pt;z-index:251740160;mso-position-horizontal-relative:text;mso-position-vertical-relative:text" adj="-11535,16896" filled="f" strokecolor="yellow">
            <v:textbox>
              <w:txbxContent>
                <w:p w:rsidR="000D2D13" w:rsidRPr="00861FEF" w:rsidRDefault="000D2D13">
                  <w:pPr>
                    <w:rPr>
                      <w:b/>
                      <w:color w:val="FFFF00"/>
                    </w:rPr>
                  </w:pPr>
                  <w:r w:rsidRPr="00861FEF">
                    <w:rPr>
                      <w:rFonts w:hint="eastAsia"/>
                      <w:b/>
                      <w:color w:val="FFFF00"/>
                    </w:rPr>
                    <w:t>漂</w:t>
                  </w:r>
                  <w:r w:rsidRPr="00861FEF">
                    <w:rPr>
                      <w:b/>
                      <w:color w:val="FFFF00"/>
                    </w:rPr>
                    <w:t>河</w:t>
                  </w:r>
                </w:p>
              </w:txbxContent>
            </v:textbox>
          </v:shape>
        </w:pict>
      </w:r>
      <w:r w:rsidR="005273A1" w:rsidRPr="005273A1">
        <w:rPr>
          <w:rFonts w:eastAsiaTheme="minorEastAsia"/>
          <w:noProof/>
          <w:sz w:val="24"/>
          <w:szCs w:val="20"/>
        </w:rPr>
        <w:pict>
          <v:polyline id="_x0000_s697164" style="position:absolute;left:0;text-align:left;z-index:251821056;mso-position-horizontal-relative:text;mso-position-vertical-relative:text" points="265.5pt,311.4pt,262.5pt,302.5pt,263.5pt,297pt,262.5pt,294pt,267.5pt,289pt,269pt,284pt,268pt,279.5pt,268pt,275pt,273pt,268.5pt,271.5pt,253pt,268.5pt,244.5pt,269pt,235pt,273.5pt,225pt,277.8pt,221.5pt,281pt,212.55pt,285pt,196.5pt,286.5pt,187.5pt,282pt,169.5pt,282.5pt,158.5pt,286pt,152pt,289pt,142.2pt,284.5pt,130.9pt,286.5pt,124.5pt,283.5pt,115.5pt,277.8pt,115pt,277.8pt,110pt,277.8pt,102.5pt,281pt,97.5pt,281.5pt,86pt,281.5pt,83pt" coordsize="530,4568" filled="f" strokecolor="#00b050" strokeweight="2.25pt">
            <v:path arrowok="t"/>
          </v:polyline>
        </w:pict>
      </w:r>
      <w:r w:rsidR="005273A1" w:rsidRPr="005273A1">
        <w:rPr>
          <w:rFonts w:eastAsiaTheme="minorEastAsia"/>
          <w:sz w:val="24"/>
          <w:szCs w:val="20"/>
        </w:rPr>
        <w:pict>
          <v:shape id="_x0000_s696887" type="#_x0000_t202" style="position:absolute;left:0;text-align:left;margin-left:68.35pt;margin-top:311.4pt;width:109.3pt;height:75.65pt;z-index:251717632;mso-position-horizontal-relative:text;mso-position-vertical-relative:text" fillcolor="#bfbfbf">
            <v:textbox>
              <w:txbxContent>
                <w:p w:rsidR="000D2D13" w:rsidRDefault="000D2D13">
                  <w:pPr>
                    <w:jc w:val="center"/>
                  </w:pPr>
                  <w:r>
                    <w:rPr>
                      <w:rFonts w:hint="eastAsia"/>
                    </w:rPr>
                    <w:t>图例</w:t>
                  </w:r>
                </w:p>
                <w:p w:rsidR="000D2D13" w:rsidRDefault="000D2D13">
                  <w:pPr>
                    <w:jc w:val="left"/>
                  </w:pPr>
                  <w:r>
                    <w:rPr>
                      <w:rFonts w:hint="eastAsia"/>
                    </w:rPr>
                    <w:t>排水渠道：</w:t>
                  </w:r>
                </w:p>
                <w:p w:rsidR="000D2D13" w:rsidRDefault="000D2D13">
                  <w:pPr>
                    <w:jc w:val="left"/>
                  </w:pPr>
                  <w:r>
                    <w:t>评价范围：</w:t>
                  </w:r>
                </w:p>
                <w:p w:rsidR="000D2D13" w:rsidRDefault="000D2D13">
                  <w:pPr>
                    <w:jc w:val="left"/>
                  </w:pPr>
                  <w:r>
                    <w:t>比例尺：</w:t>
                  </w:r>
                  <w:r>
                    <w:rPr>
                      <w:rFonts w:hint="eastAsia"/>
                    </w:rPr>
                    <w:t>1:200063</w:t>
                  </w:r>
                </w:p>
              </w:txbxContent>
            </v:textbox>
          </v:shape>
        </w:pict>
      </w:r>
      <w:r w:rsidR="005273A1" w:rsidRPr="005273A1">
        <w:rPr>
          <w:rFonts w:eastAsiaTheme="minorEastAsia"/>
          <w:sz w:val="24"/>
          <w:szCs w:val="20"/>
        </w:rPr>
        <w:pict>
          <v:shape id="_x0000_s696893" type="#_x0000_t32" style="position:absolute;left:0;text-align:left;margin-left:133.65pt;margin-top:354.2pt;width:15.6pt;height:0;z-index:251718656;mso-position-horizontal-relative:text;mso-position-vertical-relative:text" o:connectortype="straight" strokecolor="yellow" strokeweight="2.25pt"/>
        </w:pict>
      </w:r>
      <w:r w:rsidR="00FC768F" w:rsidRPr="00F9522B">
        <w:rPr>
          <w:rFonts w:eastAsiaTheme="minorEastAsia"/>
          <w:snapToGrid w:val="0"/>
          <w:kern w:val="0"/>
          <w:sz w:val="24"/>
        </w:rPr>
        <w:t xml:space="preserve"> </w:t>
      </w:r>
      <w:r w:rsidR="00FC768F" w:rsidRPr="00F9522B">
        <w:rPr>
          <w:rFonts w:eastAsiaTheme="minorEastAsia"/>
          <w:noProof/>
          <w:kern w:val="0"/>
          <w:sz w:val="24"/>
        </w:rPr>
        <w:drawing>
          <wp:inline distT="0" distB="0" distL="0" distR="0">
            <wp:extent cx="7510780" cy="4872716"/>
            <wp:effectExtent l="19050" t="19050" r="13970" b="23134"/>
            <wp:docPr id="17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a:srcRect/>
                    <a:stretch>
                      <a:fillRect/>
                    </a:stretch>
                  </pic:blipFill>
                  <pic:spPr bwMode="auto">
                    <a:xfrm>
                      <a:off x="0" y="0"/>
                      <a:ext cx="7510780" cy="4872716"/>
                    </a:xfrm>
                    <a:prstGeom prst="rect">
                      <a:avLst/>
                    </a:prstGeom>
                    <a:noFill/>
                    <a:ln w="9525">
                      <a:solidFill>
                        <a:schemeClr val="tx1"/>
                      </a:solidFill>
                      <a:miter lim="800000"/>
                      <a:headEnd/>
                      <a:tailEnd/>
                    </a:ln>
                  </pic:spPr>
                </pic:pic>
              </a:graphicData>
            </a:graphic>
          </wp:inline>
        </w:drawing>
      </w:r>
    </w:p>
    <w:p w:rsidR="002A5A5E" w:rsidRPr="00F9522B" w:rsidRDefault="00611CBA">
      <w:pPr>
        <w:contextualSpacing/>
        <w:jc w:val="center"/>
        <w:rPr>
          <w:rFonts w:eastAsiaTheme="minorEastAsia"/>
          <w:b/>
          <w:snapToGrid w:val="0"/>
          <w:kern w:val="0"/>
          <w:szCs w:val="21"/>
        </w:rPr>
        <w:sectPr w:rsidR="002A5A5E" w:rsidRPr="00F9522B">
          <w:pgSz w:w="16838" w:h="11906" w:orient="landscape"/>
          <w:pgMar w:top="1800" w:right="1440" w:bottom="1800" w:left="1440" w:header="851" w:footer="992" w:gutter="0"/>
          <w:cols w:space="425"/>
          <w:docGrid w:type="lines" w:linePitch="312"/>
        </w:sectPr>
      </w:pPr>
      <w:r w:rsidRPr="00F9522B">
        <w:rPr>
          <w:rFonts w:eastAsiaTheme="minorEastAsia"/>
          <w:b/>
          <w:smallCaps/>
          <w:szCs w:val="21"/>
        </w:rPr>
        <w:t>图</w:t>
      </w:r>
      <w:r w:rsidRPr="00F9522B">
        <w:rPr>
          <w:rFonts w:eastAsiaTheme="minorEastAsia"/>
          <w:b/>
          <w:smallCaps/>
          <w:szCs w:val="21"/>
        </w:rPr>
        <w:t>2-7-1</w:t>
      </w:r>
      <w:r w:rsidRPr="00F9522B">
        <w:rPr>
          <w:rFonts w:eastAsiaTheme="minorEastAsia"/>
          <w:b/>
          <w:smallCaps/>
          <w:szCs w:val="21"/>
        </w:rPr>
        <w:t>地表水评价范围及水生生态评价范围图</w:t>
      </w:r>
    </w:p>
    <w:p w:rsidR="002A5A5E" w:rsidRPr="00F9522B" w:rsidRDefault="00611CBA">
      <w:pPr>
        <w:spacing w:line="360" w:lineRule="auto"/>
        <w:ind w:firstLineChars="200" w:firstLine="480"/>
        <w:contextualSpacing/>
        <w:rPr>
          <w:rFonts w:eastAsiaTheme="minorEastAsia"/>
          <w:snapToGrid w:val="0"/>
          <w:kern w:val="0"/>
          <w:sz w:val="24"/>
        </w:rPr>
      </w:pPr>
      <w:r w:rsidRPr="00F9522B">
        <w:rPr>
          <w:rFonts w:eastAsiaTheme="minorEastAsia"/>
          <w:snapToGrid w:val="0"/>
          <w:kern w:val="0"/>
          <w:sz w:val="24"/>
        </w:rPr>
        <w:lastRenderedPageBreak/>
        <w:t>（</w:t>
      </w:r>
      <w:r w:rsidRPr="00F9522B">
        <w:rPr>
          <w:rFonts w:eastAsiaTheme="minorEastAsia"/>
          <w:snapToGrid w:val="0"/>
          <w:kern w:val="0"/>
          <w:sz w:val="24"/>
        </w:rPr>
        <w:t>3</w:t>
      </w:r>
      <w:r w:rsidRPr="00F9522B">
        <w:rPr>
          <w:rFonts w:eastAsiaTheme="minorEastAsia"/>
          <w:snapToGrid w:val="0"/>
          <w:kern w:val="0"/>
          <w:sz w:val="24"/>
        </w:rPr>
        <w:t>）生态环境</w:t>
      </w:r>
    </w:p>
    <w:p w:rsidR="002A5A5E" w:rsidRPr="00F9522B" w:rsidRDefault="00611CBA">
      <w:pPr>
        <w:spacing w:line="360" w:lineRule="auto"/>
        <w:ind w:firstLineChars="200" w:firstLine="480"/>
        <w:contextualSpacing/>
        <w:rPr>
          <w:rFonts w:eastAsiaTheme="minorEastAsia"/>
          <w:snapToGrid w:val="0"/>
          <w:kern w:val="0"/>
          <w:sz w:val="24"/>
        </w:rPr>
      </w:pPr>
      <w:r w:rsidRPr="00F9522B">
        <w:rPr>
          <w:rFonts w:ascii="宋体" w:hAnsi="宋体" w:cs="宋体" w:hint="eastAsia"/>
          <w:snapToGrid w:val="0"/>
          <w:kern w:val="0"/>
          <w:sz w:val="24"/>
        </w:rPr>
        <w:t>①</w:t>
      </w:r>
      <w:r w:rsidRPr="00F9522B">
        <w:rPr>
          <w:rFonts w:eastAsiaTheme="minorEastAsia"/>
          <w:snapToGrid w:val="0"/>
          <w:kern w:val="0"/>
          <w:sz w:val="24"/>
        </w:rPr>
        <w:t>水生生态</w:t>
      </w:r>
    </w:p>
    <w:p w:rsidR="002A5A5E" w:rsidRPr="00F9522B" w:rsidRDefault="00611CBA" w:rsidP="003A7922">
      <w:pPr>
        <w:spacing w:line="360" w:lineRule="auto"/>
        <w:ind w:firstLineChars="200" w:firstLine="480"/>
        <w:contextualSpacing/>
        <w:rPr>
          <w:rFonts w:eastAsiaTheme="minorEastAsia"/>
          <w:snapToGrid w:val="0"/>
          <w:sz w:val="24"/>
          <w:szCs w:val="20"/>
        </w:rPr>
      </w:pPr>
      <w:r w:rsidRPr="00F9522B">
        <w:rPr>
          <w:rFonts w:eastAsiaTheme="minorEastAsia"/>
          <w:kern w:val="0"/>
          <w:sz w:val="24"/>
        </w:rPr>
        <w:t>本项目实施前后退水量减少，</w:t>
      </w:r>
      <w:r w:rsidRPr="00F9522B">
        <w:rPr>
          <w:rFonts w:eastAsiaTheme="minorEastAsia"/>
          <w:snapToGrid w:val="0"/>
          <w:sz w:val="24"/>
          <w:szCs w:val="20"/>
        </w:rPr>
        <w:t>结合工程实施对水环境及水文情势的影响以及水功能区分布情况确定本项目水生生态评价范围与地表水评价范围一致：</w:t>
      </w:r>
    </w:p>
    <w:p w:rsidR="002A5A5E" w:rsidRPr="00F9522B" w:rsidRDefault="00AA366B">
      <w:pPr>
        <w:spacing w:line="360" w:lineRule="auto"/>
        <w:ind w:firstLineChars="200" w:firstLine="480"/>
        <w:contextualSpacing/>
        <w:rPr>
          <w:rFonts w:eastAsiaTheme="minorEastAsia"/>
          <w:snapToGrid w:val="0"/>
          <w:sz w:val="24"/>
          <w:szCs w:val="20"/>
        </w:rPr>
      </w:pPr>
      <w:r w:rsidRPr="00F9522B">
        <w:rPr>
          <w:rFonts w:eastAsiaTheme="minorEastAsia"/>
          <w:kern w:val="0"/>
          <w:sz w:val="24"/>
        </w:rPr>
        <w:t>松花江：公家沟退水口</w:t>
      </w:r>
      <w:r w:rsidRPr="00F9522B">
        <w:rPr>
          <w:rFonts w:eastAsiaTheme="minorEastAsia"/>
          <w:snapToGrid w:val="0"/>
          <w:kern w:val="0"/>
          <w:sz w:val="24"/>
        </w:rPr>
        <w:t>上游</w:t>
      </w:r>
      <w:r w:rsidRPr="00F9522B">
        <w:rPr>
          <w:rFonts w:eastAsiaTheme="minorEastAsia"/>
          <w:kern w:val="0"/>
          <w:sz w:val="24"/>
        </w:rPr>
        <w:t>500m</w:t>
      </w:r>
      <w:r w:rsidRPr="00F9522B">
        <w:rPr>
          <w:rFonts w:eastAsiaTheme="minorEastAsia"/>
          <w:kern w:val="0"/>
          <w:sz w:val="24"/>
        </w:rPr>
        <w:t>至入松花江口下游</w:t>
      </w:r>
      <w:r w:rsidRPr="00F9522B">
        <w:rPr>
          <w:rFonts w:eastAsiaTheme="minorEastAsia"/>
          <w:kern w:val="0"/>
          <w:sz w:val="24"/>
        </w:rPr>
        <w:t>1000m</w:t>
      </w:r>
      <w:r w:rsidRPr="00F9522B">
        <w:rPr>
          <w:rFonts w:eastAsiaTheme="minorEastAsia"/>
          <w:kern w:val="0"/>
          <w:sz w:val="24"/>
        </w:rPr>
        <w:t>。评价河段长度为</w:t>
      </w:r>
      <w:r w:rsidRPr="00F9522B">
        <w:rPr>
          <w:rFonts w:eastAsiaTheme="minorEastAsia"/>
          <w:kern w:val="0"/>
          <w:sz w:val="24"/>
        </w:rPr>
        <w:t>26.3km</w:t>
      </w:r>
      <w:r w:rsidR="00611CBA" w:rsidRPr="00F9522B">
        <w:rPr>
          <w:rFonts w:eastAsiaTheme="minorEastAsia"/>
          <w:snapToGrid w:val="0"/>
          <w:sz w:val="24"/>
          <w:szCs w:val="20"/>
        </w:rPr>
        <w:t>；</w:t>
      </w:r>
    </w:p>
    <w:p w:rsidR="002A5A5E" w:rsidRPr="00F9522B" w:rsidRDefault="00AA366B">
      <w:pPr>
        <w:spacing w:line="360" w:lineRule="auto"/>
        <w:ind w:firstLineChars="200" w:firstLine="480"/>
        <w:contextualSpacing/>
        <w:rPr>
          <w:rFonts w:eastAsiaTheme="minorEastAsia"/>
          <w:kern w:val="0"/>
          <w:sz w:val="24"/>
        </w:rPr>
      </w:pPr>
      <w:r w:rsidRPr="00F9522B">
        <w:rPr>
          <w:rFonts w:eastAsiaTheme="minorEastAsia"/>
          <w:kern w:val="0"/>
          <w:sz w:val="24"/>
        </w:rPr>
        <w:t>漂河：漂河退水口上游</w:t>
      </w:r>
      <w:r w:rsidRPr="00F9522B">
        <w:rPr>
          <w:rFonts w:eastAsiaTheme="minorEastAsia"/>
          <w:kern w:val="0"/>
          <w:sz w:val="24"/>
        </w:rPr>
        <w:t>500m</w:t>
      </w:r>
      <w:r w:rsidRPr="00F9522B">
        <w:rPr>
          <w:rFonts w:eastAsiaTheme="minorEastAsia"/>
          <w:kern w:val="0"/>
          <w:sz w:val="24"/>
        </w:rPr>
        <w:t>至退水口下游</w:t>
      </w:r>
      <w:r w:rsidRPr="00F9522B">
        <w:rPr>
          <w:rFonts w:eastAsiaTheme="minorEastAsia"/>
          <w:kern w:val="0"/>
          <w:sz w:val="24"/>
        </w:rPr>
        <w:t>1000m</w:t>
      </w:r>
      <w:r w:rsidRPr="00F9522B">
        <w:rPr>
          <w:rFonts w:eastAsiaTheme="minorEastAsia"/>
          <w:kern w:val="0"/>
          <w:sz w:val="24"/>
        </w:rPr>
        <w:t>。评价河段长度为</w:t>
      </w:r>
      <w:r w:rsidRPr="00F9522B">
        <w:rPr>
          <w:rFonts w:eastAsiaTheme="minorEastAsia"/>
          <w:kern w:val="0"/>
          <w:sz w:val="24"/>
        </w:rPr>
        <w:t>11.8km</w:t>
      </w:r>
      <w:r w:rsidRPr="00F9522B">
        <w:rPr>
          <w:rFonts w:eastAsiaTheme="minorEastAsia"/>
          <w:kern w:val="0"/>
          <w:sz w:val="24"/>
        </w:rPr>
        <w:t>。</w:t>
      </w:r>
    </w:p>
    <w:p w:rsidR="002A5A5E" w:rsidRPr="00F9522B" w:rsidRDefault="00611CBA">
      <w:pPr>
        <w:spacing w:line="360" w:lineRule="auto"/>
        <w:ind w:firstLineChars="200" w:firstLine="480"/>
        <w:contextualSpacing/>
        <w:rPr>
          <w:rFonts w:eastAsiaTheme="minorEastAsia"/>
          <w:snapToGrid w:val="0"/>
          <w:kern w:val="0"/>
          <w:sz w:val="24"/>
        </w:rPr>
      </w:pPr>
      <w:r w:rsidRPr="00F9522B">
        <w:rPr>
          <w:rFonts w:ascii="宋体" w:hAnsi="宋体" w:cs="宋体" w:hint="eastAsia"/>
          <w:snapToGrid w:val="0"/>
          <w:kern w:val="0"/>
          <w:sz w:val="24"/>
        </w:rPr>
        <w:t>②</w:t>
      </w:r>
      <w:r w:rsidRPr="00F9522B">
        <w:rPr>
          <w:rFonts w:eastAsiaTheme="minorEastAsia"/>
          <w:snapToGrid w:val="0"/>
          <w:kern w:val="0"/>
          <w:sz w:val="24"/>
        </w:rPr>
        <w:t>陆生生态</w:t>
      </w:r>
    </w:p>
    <w:p w:rsidR="002A5A5E" w:rsidRPr="00F9522B" w:rsidRDefault="00611CBA">
      <w:pPr>
        <w:spacing w:line="360" w:lineRule="auto"/>
        <w:ind w:firstLineChars="200" w:firstLine="480"/>
        <w:contextualSpacing/>
        <w:rPr>
          <w:rFonts w:eastAsiaTheme="minorEastAsia"/>
          <w:snapToGrid w:val="0"/>
          <w:kern w:val="0"/>
          <w:sz w:val="24"/>
        </w:rPr>
      </w:pPr>
      <w:r w:rsidRPr="00F9522B">
        <w:rPr>
          <w:rFonts w:eastAsiaTheme="minorEastAsia"/>
          <w:snapToGrid w:val="0"/>
          <w:kern w:val="0"/>
          <w:sz w:val="24"/>
        </w:rPr>
        <w:t>根据评价工作等级要求，考虑本项目所在区域的地形、地理特征，评价范围为工程及施工场地用地边界</w:t>
      </w:r>
      <w:r w:rsidRPr="00F9522B">
        <w:rPr>
          <w:rFonts w:eastAsiaTheme="minorEastAsia"/>
          <w:snapToGrid w:val="0"/>
          <w:kern w:val="0"/>
          <w:sz w:val="24"/>
        </w:rPr>
        <w:t>300m</w:t>
      </w:r>
      <w:r w:rsidRPr="00F9522B">
        <w:rPr>
          <w:rFonts w:eastAsiaTheme="minorEastAsia"/>
          <w:snapToGrid w:val="0"/>
          <w:kern w:val="0"/>
          <w:sz w:val="24"/>
        </w:rPr>
        <w:t>范围。</w:t>
      </w:r>
    </w:p>
    <w:p w:rsidR="002A5A5E" w:rsidRPr="00F9522B" w:rsidRDefault="00611CBA">
      <w:pPr>
        <w:spacing w:line="360" w:lineRule="auto"/>
        <w:ind w:firstLineChars="200" w:firstLine="480"/>
        <w:contextualSpacing/>
        <w:rPr>
          <w:rFonts w:eastAsiaTheme="minorEastAsia"/>
          <w:snapToGrid w:val="0"/>
          <w:kern w:val="0"/>
          <w:sz w:val="24"/>
        </w:rPr>
      </w:pPr>
      <w:r w:rsidRPr="00F9522B">
        <w:rPr>
          <w:rFonts w:eastAsiaTheme="minorEastAsia"/>
          <w:snapToGrid w:val="0"/>
          <w:kern w:val="0"/>
          <w:sz w:val="24"/>
        </w:rPr>
        <w:t>（</w:t>
      </w:r>
      <w:r w:rsidRPr="00F9522B">
        <w:rPr>
          <w:rFonts w:eastAsiaTheme="minorEastAsia"/>
          <w:snapToGrid w:val="0"/>
          <w:kern w:val="0"/>
          <w:sz w:val="24"/>
        </w:rPr>
        <w:t>4</w:t>
      </w:r>
      <w:r w:rsidRPr="00F9522B">
        <w:rPr>
          <w:rFonts w:eastAsiaTheme="minorEastAsia"/>
          <w:snapToGrid w:val="0"/>
          <w:kern w:val="0"/>
          <w:sz w:val="24"/>
        </w:rPr>
        <w:t>）噪声</w:t>
      </w:r>
    </w:p>
    <w:p w:rsidR="002A5A5E" w:rsidRPr="00F9522B" w:rsidRDefault="00611CBA">
      <w:pPr>
        <w:spacing w:line="360" w:lineRule="auto"/>
        <w:ind w:firstLineChars="200" w:firstLine="480"/>
        <w:contextualSpacing/>
        <w:rPr>
          <w:rFonts w:eastAsiaTheme="minorEastAsia"/>
          <w:snapToGrid w:val="0"/>
          <w:kern w:val="0"/>
          <w:sz w:val="24"/>
        </w:rPr>
      </w:pPr>
      <w:r w:rsidRPr="00F9522B">
        <w:rPr>
          <w:sz w:val="24"/>
        </w:rPr>
        <w:t>本项目声环境评价范围为工程两侧及井房厂界外</w:t>
      </w:r>
      <w:r w:rsidRPr="00F9522B">
        <w:rPr>
          <w:sz w:val="24"/>
        </w:rPr>
        <w:t>200m</w:t>
      </w:r>
      <w:r w:rsidRPr="00F9522B">
        <w:rPr>
          <w:sz w:val="24"/>
        </w:rPr>
        <w:t>范围以内区域。</w:t>
      </w:r>
    </w:p>
    <w:p w:rsidR="002A5A5E" w:rsidRPr="00F9522B" w:rsidRDefault="00611CBA">
      <w:pPr>
        <w:tabs>
          <w:tab w:val="left" w:leader="middleDot" w:pos="0"/>
        </w:tabs>
        <w:spacing w:line="360" w:lineRule="auto"/>
        <w:ind w:firstLineChars="200" w:firstLine="480"/>
        <w:contextualSpacing/>
        <w:rPr>
          <w:rFonts w:eastAsiaTheme="minorEastAsia"/>
          <w:sz w:val="24"/>
        </w:rPr>
      </w:pPr>
      <w:r w:rsidRPr="00F9522B">
        <w:rPr>
          <w:rFonts w:eastAsiaTheme="minorEastAsia"/>
          <w:sz w:val="24"/>
        </w:rPr>
        <w:t>根据工程特征与环境现状确定该项目评价范围见表</w:t>
      </w:r>
      <w:r w:rsidRPr="00F9522B">
        <w:rPr>
          <w:rFonts w:eastAsiaTheme="minorEastAsia"/>
          <w:sz w:val="24"/>
        </w:rPr>
        <w:t>2-7-1</w:t>
      </w:r>
      <w:r w:rsidRPr="00F9522B">
        <w:rPr>
          <w:rFonts w:eastAsiaTheme="minorEastAsia"/>
          <w:sz w:val="24"/>
        </w:rPr>
        <w:t>。</w:t>
      </w:r>
    </w:p>
    <w:p w:rsidR="002A5A5E" w:rsidRPr="00F9522B" w:rsidRDefault="00611CBA">
      <w:pPr>
        <w:contextualSpacing/>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 xml:space="preserve">2-7-1 </w:t>
      </w:r>
      <w:r w:rsidRPr="00F9522B">
        <w:rPr>
          <w:rFonts w:eastAsiaTheme="minorEastAsia"/>
          <w:b/>
          <w:kern w:val="0"/>
          <w:szCs w:val="21"/>
        </w:rPr>
        <w:t>工程评价范围表</w:t>
      </w:r>
    </w:p>
    <w:tbl>
      <w:tblPr>
        <w:tblW w:w="7981" w:type="dxa"/>
        <w:jc w:val="center"/>
        <w:tblBorders>
          <w:top w:val="single" w:sz="12" w:space="0" w:color="000000"/>
          <w:bottom w:val="single" w:sz="12" w:space="0" w:color="000000"/>
          <w:insideH w:val="single" w:sz="6" w:space="0" w:color="000000"/>
          <w:insideV w:val="single" w:sz="6" w:space="0" w:color="000000"/>
        </w:tblBorders>
        <w:tblLook w:val="04A0"/>
      </w:tblPr>
      <w:tblGrid>
        <w:gridCol w:w="1114"/>
        <w:gridCol w:w="6867"/>
      </w:tblGrid>
      <w:tr w:rsidR="002A5A5E" w:rsidRPr="00F9522B">
        <w:trPr>
          <w:trHeight w:val="253"/>
          <w:jc w:val="center"/>
        </w:trPr>
        <w:tc>
          <w:tcPr>
            <w:tcW w:w="1114" w:type="dxa"/>
            <w:vAlign w:val="center"/>
          </w:tcPr>
          <w:p w:rsidR="002A5A5E" w:rsidRPr="00F9522B" w:rsidRDefault="00611CBA">
            <w:pPr>
              <w:jc w:val="center"/>
              <w:rPr>
                <w:rFonts w:eastAsiaTheme="minorEastAsia"/>
                <w:szCs w:val="21"/>
              </w:rPr>
            </w:pPr>
            <w:r w:rsidRPr="00F9522B">
              <w:rPr>
                <w:rFonts w:eastAsiaTheme="minorEastAsia"/>
                <w:kern w:val="0"/>
                <w:szCs w:val="21"/>
              </w:rPr>
              <w:t>评价因子</w:t>
            </w:r>
          </w:p>
        </w:tc>
        <w:tc>
          <w:tcPr>
            <w:tcW w:w="6867" w:type="dxa"/>
            <w:vAlign w:val="center"/>
          </w:tcPr>
          <w:p w:rsidR="002A5A5E" w:rsidRPr="00F9522B" w:rsidRDefault="00611CBA">
            <w:pPr>
              <w:jc w:val="center"/>
              <w:rPr>
                <w:rFonts w:eastAsiaTheme="minorEastAsia"/>
                <w:szCs w:val="21"/>
              </w:rPr>
            </w:pPr>
            <w:r w:rsidRPr="00F9522B">
              <w:rPr>
                <w:rFonts w:eastAsiaTheme="minorEastAsia"/>
                <w:kern w:val="0"/>
                <w:szCs w:val="21"/>
              </w:rPr>
              <w:t>评价范围</w:t>
            </w:r>
          </w:p>
        </w:tc>
      </w:tr>
      <w:tr w:rsidR="002A5A5E" w:rsidRPr="00F9522B">
        <w:trPr>
          <w:trHeight w:val="253"/>
          <w:jc w:val="center"/>
        </w:trPr>
        <w:tc>
          <w:tcPr>
            <w:tcW w:w="1114" w:type="dxa"/>
            <w:vAlign w:val="center"/>
          </w:tcPr>
          <w:p w:rsidR="002A5A5E" w:rsidRPr="00F9522B" w:rsidRDefault="00611CBA">
            <w:pPr>
              <w:jc w:val="center"/>
              <w:rPr>
                <w:rFonts w:eastAsiaTheme="minorEastAsia"/>
                <w:kern w:val="0"/>
                <w:szCs w:val="21"/>
              </w:rPr>
            </w:pPr>
            <w:r w:rsidRPr="00F9522B">
              <w:rPr>
                <w:rFonts w:eastAsiaTheme="minorEastAsia"/>
                <w:kern w:val="0"/>
                <w:szCs w:val="21"/>
              </w:rPr>
              <w:t>地表水</w:t>
            </w:r>
          </w:p>
        </w:tc>
        <w:tc>
          <w:tcPr>
            <w:tcW w:w="6867" w:type="dxa"/>
            <w:vAlign w:val="center"/>
          </w:tcPr>
          <w:p w:rsidR="00AA366B" w:rsidRPr="00F9522B" w:rsidRDefault="00AA366B" w:rsidP="00AA366B">
            <w:pPr>
              <w:contextualSpacing/>
              <w:rPr>
                <w:rFonts w:eastAsiaTheme="minorEastAsia"/>
                <w:kern w:val="0"/>
                <w:szCs w:val="21"/>
              </w:rPr>
            </w:pPr>
            <w:r w:rsidRPr="00F9522B">
              <w:rPr>
                <w:rFonts w:eastAsiaTheme="minorEastAsia"/>
                <w:kern w:val="0"/>
                <w:szCs w:val="21"/>
              </w:rPr>
              <w:t>松花江：公家沟退水口上游</w:t>
            </w:r>
            <w:r w:rsidRPr="00F9522B">
              <w:rPr>
                <w:rFonts w:eastAsiaTheme="minorEastAsia"/>
                <w:kern w:val="0"/>
                <w:szCs w:val="21"/>
              </w:rPr>
              <w:t>500m</w:t>
            </w:r>
            <w:r w:rsidRPr="00F9522B">
              <w:rPr>
                <w:rFonts w:eastAsiaTheme="minorEastAsia"/>
                <w:kern w:val="0"/>
                <w:szCs w:val="21"/>
              </w:rPr>
              <w:t>至入松花江口下游</w:t>
            </w:r>
            <w:r w:rsidRPr="00F9522B">
              <w:rPr>
                <w:rFonts w:eastAsiaTheme="minorEastAsia"/>
                <w:kern w:val="0"/>
                <w:szCs w:val="21"/>
              </w:rPr>
              <w:t>1000m</w:t>
            </w:r>
            <w:r w:rsidRPr="00F9522B">
              <w:rPr>
                <w:rFonts w:eastAsiaTheme="minorEastAsia"/>
                <w:kern w:val="0"/>
                <w:szCs w:val="21"/>
              </w:rPr>
              <w:t>。评价河段长度为</w:t>
            </w:r>
            <w:r w:rsidRPr="00F9522B">
              <w:rPr>
                <w:rFonts w:eastAsiaTheme="minorEastAsia"/>
                <w:kern w:val="0"/>
                <w:szCs w:val="21"/>
              </w:rPr>
              <w:t>26.3km</w:t>
            </w:r>
            <w:r w:rsidRPr="00F9522B">
              <w:rPr>
                <w:rFonts w:eastAsiaTheme="minorEastAsia"/>
                <w:kern w:val="0"/>
                <w:szCs w:val="21"/>
              </w:rPr>
              <w:t>；</w:t>
            </w:r>
          </w:p>
          <w:p w:rsidR="002A5A5E" w:rsidRPr="00F9522B" w:rsidRDefault="00AA366B" w:rsidP="00AA366B">
            <w:pPr>
              <w:jc w:val="center"/>
              <w:rPr>
                <w:rFonts w:eastAsiaTheme="minorEastAsia"/>
                <w:kern w:val="0"/>
                <w:szCs w:val="21"/>
              </w:rPr>
            </w:pPr>
            <w:r w:rsidRPr="00F9522B">
              <w:rPr>
                <w:rFonts w:eastAsiaTheme="minorEastAsia"/>
                <w:kern w:val="0"/>
                <w:szCs w:val="21"/>
              </w:rPr>
              <w:t>漂河：漂河退水口上游</w:t>
            </w:r>
            <w:r w:rsidRPr="00F9522B">
              <w:rPr>
                <w:rFonts w:eastAsiaTheme="minorEastAsia"/>
                <w:kern w:val="0"/>
                <w:szCs w:val="21"/>
              </w:rPr>
              <w:t>500m</w:t>
            </w:r>
            <w:r w:rsidRPr="00F9522B">
              <w:rPr>
                <w:rFonts w:eastAsiaTheme="minorEastAsia"/>
                <w:kern w:val="0"/>
                <w:szCs w:val="21"/>
              </w:rPr>
              <w:t>至退水口下游</w:t>
            </w:r>
            <w:r w:rsidRPr="00F9522B">
              <w:rPr>
                <w:rFonts w:eastAsiaTheme="minorEastAsia"/>
                <w:kern w:val="0"/>
                <w:szCs w:val="21"/>
              </w:rPr>
              <w:t>1000m</w:t>
            </w:r>
            <w:r w:rsidRPr="00F9522B">
              <w:rPr>
                <w:rFonts w:eastAsiaTheme="minorEastAsia"/>
                <w:kern w:val="0"/>
                <w:szCs w:val="21"/>
              </w:rPr>
              <w:t>。评价河段长度为</w:t>
            </w:r>
            <w:r w:rsidRPr="00F9522B">
              <w:rPr>
                <w:rFonts w:eastAsiaTheme="minorEastAsia"/>
                <w:kern w:val="0"/>
                <w:szCs w:val="21"/>
              </w:rPr>
              <w:t>11.8km</w:t>
            </w:r>
          </w:p>
        </w:tc>
      </w:tr>
      <w:tr w:rsidR="002A5A5E" w:rsidRPr="00F9522B">
        <w:trPr>
          <w:trHeight w:val="253"/>
          <w:jc w:val="center"/>
        </w:trPr>
        <w:tc>
          <w:tcPr>
            <w:tcW w:w="1114" w:type="dxa"/>
            <w:vAlign w:val="center"/>
          </w:tcPr>
          <w:p w:rsidR="002A5A5E" w:rsidRPr="00F9522B" w:rsidRDefault="00611CBA">
            <w:pPr>
              <w:jc w:val="center"/>
              <w:rPr>
                <w:rFonts w:eastAsiaTheme="minorEastAsia"/>
                <w:kern w:val="0"/>
                <w:szCs w:val="21"/>
              </w:rPr>
            </w:pPr>
            <w:r w:rsidRPr="00F9522B">
              <w:rPr>
                <w:rFonts w:eastAsiaTheme="minorEastAsia"/>
                <w:kern w:val="0"/>
                <w:szCs w:val="21"/>
              </w:rPr>
              <w:t>环境空气</w:t>
            </w:r>
          </w:p>
        </w:tc>
        <w:tc>
          <w:tcPr>
            <w:tcW w:w="6867" w:type="dxa"/>
            <w:vAlign w:val="center"/>
          </w:tcPr>
          <w:p w:rsidR="002A5A5E" w:rsidRPr="00F9522B" w:rsidRDefault="00611CBA">
            <w:pPr>
              <w:jc w:val="left"/>
              <w:rPr>
                <w:rFonts w:eastAsiaTheme="minorEastAsia"/>
                <w:kern w:val="0"/>
                <w:szCs w:val="21"/>
              </w:rPr>
            </w:pPr>
            <w:r w:rsidRPr="00F9522B">
              <w:rPr>
                <w:rFonts w:eastAsiaTheme="minorEastAsia"/>
                <w:kern w:val="0"/>
                <w:szCs w:val="21"/>
              </w:rPr>
              <w:t>不设置评价范围</w:t>
            </w:r>
          </w:p>
        </w:tc>
      </w:tr>
      <w:tr w:rsidR="002A5A5E" w:rsidRPr="00F9522B">
        <w:trPr>
          <w:trHeight w:val="263"/>
          <w:jc w:val="center"/>
        </w:trPr>
        <w:tc>
          <w:tcPr>
            <w:tcW w:w="1114" w:type="dxa"/>
            <w:vAlign w:val="center"/>
          </w:tcPr>
          <w:p w:rsidR="002A5A5E" w:rsidRPr="00F9522B" w:rsidRDefault="00611CBA">
            <w:pPr>
              <w:jc w:val="center"/>
              <w:rPr>
                <w:rFonts w:eastAsiaTheme="minorEastAsia"/>
                <w:szCs w:val="21"/>
              </w:rPr>
            </w:pPr>
            <w:r w:rsidRPr="00F9522B">
              <w:rPr>
                <w:rFonts w:eastAsiaTheme="minorEastAsia"/>
                <w:kern w:val="0"/>
                <w:szCs w:val="21"/>
              </w:rPr>
              <w:t>地下水</w:t>
            </w:r>
          </w:p>
        </w:tc>
        <w:tc>
          <w:tcPr>
            <w:tcW w:w="6867" w:type="dxa"/>
            <w:vAlign w:val="center"/>
          </w:tcPr>
          <w:p w:rsidR="002A5A5E" w:rsidRPr="00F9522B" w:rsidRDefault="00611CBA" w:rsidP="00143F4D">
            <w:pPr>
              <w:jc w:val="left"/>
              <w:rPr>
                <w:rFonts w:eastAsiaTheme="minorEastAsia"/>
                <w:szCs w:val="21"/>
              </w:rPr>
            </w:pPr>
            <w:r w:rsidRPr="00F9522B">
              <w:rPr>
                <w:rFonts w:eastAsiaTheme="minorEastAsia"/>
                <w:szCs w:val="21"/>
              </w:rPr>
              <w:t>沿地下水流向，灌溉井片区</w:t>
            </w:r>
            <w:r w:rsidR="00143F4D" w:rsidRPr="00F9522B">
              <w:rPr>
                <w:rFonts w:eastAsiaTheme="minorEastAsia"/>
                <w:szCs w:val="21"/>
              </w:rPr>
              <w:t>上游</w:t>
            </w:r>
            <w:r w:rsidR="00143F4D" w:rsidRPr="00F9522B">
              <w:rPr>
                <w:rFonts w:eastAsiaTheme="minorEastAsia"/>
                <w:szCs w:val="21"/>
              </w:rPr>
              <w:t>2500m</w:t>
            </w:r>
            <w:r w:rsidR="00143F4D" w:rsidRPr="00F9522B">
              <w:rPr>
                <w:rFonts w:eastAsiaTheme="minorEastAsia"/>
                <w:szCs w:val="21"/>
              </w:rPr>
              <w:t>，下游</w:t>
            </w:r>
            <w:r w:rsidR="00143F4D" w:rsidRPr="00F9522B">
              <w:rPr>
                <w:rFonts w:eastAsiaTheme="minorEastAsia"/>
                <w:szCs w:val="21"/>
              </w:rPr>
              <w:t>2500m</w:t>
            </w:r>
            <w:r w:rsidR="00143F4D" w:rsidRPr="00F9522B">
              <w:rPr>
                <w:rFonts w:eastAsiaTheme="minorEastAsia"/>
                <w:szCs w:val="21"/>
              </w:rPr>
              <w:t>（部分区域下游至松花江畔）</w:t>
            </w:r>
            <w:r w:rsidRPr="00F9522B">
              <w:rPr>
                <w:rFonts w:eastAsiaTheme="minorEastAsia"/>
                <w:szCs w:val="21"/>
              </w:rPr>
              <w:t>，左侧</w:t>
            </w:r>
            <w:r w:rsidRPr="00F9522B">
              <w:rPr>
                <w:rFonts w:eastAsiaTheme="minorEastAsia"/>
                <w:szCs w:val="21"/>
              </w:rPr>
              <w:t>1250m</w:t>
            </w:r>
            <w:r w:rsidRPr="00F9522B">
              <w:rPr>
                <w:rFonts w:eastAsiaTheme="minorEastAsia"/>
                <w:szCs w:val="21"/>
              </w:rPr>
              <w:t>，右侧</w:t>
            </w:r>
            <w:r w:rsidRPr="00F9522B">
              <w:rPr>
                <w:rFonts w:eastAsiaTheme="minorEastAsia"/>
                <w:szCs w:val="21"/>
              </w:rPr>
              <w:t>1250m</w:t>
            </w:r>
            <w:r w:rsidRPr="00F9522B">
              <w:rPr>
                <w:rFonts w:eastAsiaTheme="minorEastAsia"/>
                <w:szCs w:val="21"/>
              </w:rPr>
              <w:t>范围的多边形</w:t>
            </w:r>
          </w:p>
        </w:tc>
      </w:tr>
      <w:tr w:rsidR="002A5A5E" w:rsidRPr="00F9522B">
        <w:trPr>
          <w:trHeight w:val="253"/>
          <w:jc w:val="center"/>
        </w:trPr>
        <w:tc>
          <w:tcPr>
            <w:tcW w:w="1114" w:type="dxa"/>
            <w:vAlign w:val="center"/>
          </w:tcPr>
          <w:p w:rsidR="002A5A5E" w:rsidRPr="00F9522B" w:rsidRDefault="00611CBA">
            <w:pPr>
              <w:jc w:val="center"/>
              <w:rPr>
                <w:rFonts w:eastAsiaTheme="minorEastAsia"/>
                <w:szCs w:val="21"/>
              </w:rPr>
            </w:pPr>
            <w:r w:rsidRPr="00F9522B">
              <w:rPr>
                <w:rFonts w:eastAsiaTheme="minorEastAsia"/>
                <w:kern w:val="0"/>
                <w:szCs w:val="21"/>
              </w:rPr>
              <w:t>噪声</w:t>
            </w:r>
          </w:p>
        </w:tc>
        <w:tc>
          <w:tcPr>
            <w:tcW w:w="6867" w:type="dxa"/>
            <w:vAlign w:val="center"/>
          </w:tcPr>
          <w:p w:rsidR="002A5A5E" w:rsidRPr="00F9522B" w:rsidRDefault="00611CBA">
            <w:pPr>
              <w:jc w:val="left"/>
              <w:rPr>
                <w:rFonts w:eastAsiaTheme="minorEastAsia"/>
                <w:szCs w:val="21"/>
              </w:rPr>
            </w:pPr>
            <w:r w:rsidRPr="00F9522B">
              <w:rPr>
                <w:rFonts w:eastAsiaTheme="minorEastAsia"/>
                <w:kern w:val="0"/>
                <w:szCs w:val="21"/>
              </w:rPr>
              <w:t>工程两侧及井房厂界外</w:t>
            </w:r>
            <w:r w:rsidRPr="00F9522B">
              <w:rPr>
                <w:rFonts w:eastAsiaTheme="minorEastAsia"/>
                <w:kern w:val="0"/>
                <w:szCs w:val="21"/>
              </w:rPr>
              <w:t>200m</w:t>
            </w:r>
            <w:r w:rsidRPr="00F9522B">
              <w:rPr>
                <w:rFonts w:eastAsiaTheme="minorEastAsia"/>
                <w:kern w:val="0"/>
                <w:szCs w:val="21"/>
              </w:rPr>
              <w:t>范围</w:t>
            </w:r>
          </w:p>
        </w:tc>
      </w:tr>
      <w:tr w:rsidR="002A5A5E" w:rsidRPr="00F9522B">
        <w:trPr>
          <w:trHeight w:val="72"/>
          <w:jc w:val="center"/>
        </w:trPr>
        <w:tc>
          <w:tcPr>
            <w:tcW w:w="1114" w:type="dxa"/>
            <w:vAlign w:val="center"/>
          </w:tcPr>
          <w:p w:rsidR="002A5A5E" w:rsidRPr="00F9522B" w:rsidRDefault="00611CBA">
            <w:pPr>
              <w:tabs>
                <w:tab w:val="left" w:leader="middleDot" w:pos="0"/>
              </w:tabs>
              <w:jc w:val="center"/>
              <w:rPr>
                <w:rFonts w:eastAsiaTheme="minorEastAsia"/>
                <w:szCs w:val="21"/>
              </w:rPr>
            </w:pPr>
            <w:r w:rsidRPr="00F9522B">
              <w:rPr>
                <w:rFonts w:eastAsiaTheme="minorEastAsia"/>
                <w:szCs w:val="21"/>
              </w:rPr>
              <w:t>生态</w:t>
            </w:r>
          </w:p>
        </w:tc>
        <w:tc>
          <w:tcPr>
            <w:tcW w:w="6867" w:type="dxa"/>
            <w:vAlign w:val="center"/>
          </w:tcPr>
          <w:p w:rsidR="002A5A5E" w:rsidRPr="00F9522B" w:rsidRDefault="00611CBA">
            <w:pPr>
              <w:tabs>
                <w:tab w:val="left" w:leader="middleDot" w:pos="0"/>
              </w:tabs>
              <w:jc w:val="left"/>
              <w:rPr>
                <w:rFonts w:eastAsiaTheme="minorEastAsia"/>
                <w:kern w:val="0"/>
                <w:szCs w:val="21"/>
              </w:rPr>
            </w:pPr>
            <w:r w:rsidRPr="00F9522B">
              <w:rPr>
                <w:rFonts w:eastAsiaTheme="minorEastAsia"/>
                <w:kern w:val="0"/>
                <w:szCs w:val="21"/>
              </w:rPr>
              <w:t>陆</w:t>
            </w:r>
            <w:r w:rsidRPr="00F9522B">
              <w:rPr>
                <w:rFonts w:eastAsiaTheme="minorEastAsia"/>
                <w:szCs w:val="21"/>
              </w:rPr>
              <w:t>生生态</w:t>
            </w:r>
            <w:r w:rsidRPr="00F9522B">
              <w:rPr>
                <w:rFonts w:eastAsiaTheme="minorEastAsia"/>
                <w:kern w:val="0"/>
                <w:szCs w:val="21"/>
              </w:rPr>
              <w:t>：工程及施工场地用地边界</w:t>
            </w:r>
            <w:r w:rsidRPr="00F9522B">
              <w:rPr>
                <w:rFonts w:eastAsiaTheme="minorEastAsia"/>
                <w:kern w:val="0"/>
                <w:szCs w:val="21"/>
              </w:rPr>
              <w:t>300m</w:t>
            </w:r>
            <w:r w:rsidRPr="00F9522B">
              <w:rPr>
                <w:rFonts w:eastAsiaTheme="minorEastAsia"/>
                <w:kern w:val="0"/>
                <w:szCs w:val="21"/>
              </w:rPr>
              <w:t>范围；</w:t>
            </w:r>
          </w:p>
          <w:p w:rsidR="002A5A5E" w:rsidRPr="00F9522B" w:rsidRDefault="00611CBA">
            <w:pPr>
              <w:tabs>
                <w:tab w:val="left" w:leader="middleDot" w:pos="0"/>
              </w:tabs>
              <w:rPr>
                <w:rFonts w:eastAsiaTheme="minorEastAsia"/>
                <w:szCs w:val="21"/>
              </w:rPr>
            </w:pPr>
            <w:r w:rsidRPr="00F9522B">
              <w:rPr>
                <w:rFonts w:eastAsiaTheme="minorEastAsia"/>
                <w:kern w:val="0"/>
                <w:szCs w:val="21"/>
              </w:rPr>
              <w:t>水生</w:t>
            </w:r>
            <w:r w:rsidRPr="00F9522B">
              <w:rPr>
                <w:rFonts w:eastAsiaTheme="minorEastAsia"/>
                <w:szCs w:val="21"/>
              </w:rPr>
              <w:t>生态</w:t>
            </w:r>
            <w:r w:rsidRPr="00F9522B">
              <w:rPr>
                <w:rFonts w:eastAsiaTheme="minorEastAsia"/>
                <w:kern w:val="0"/>
                <w:szCs w:val="21"/>
              </w:rPr>
              <w:t>：同地表水评价范围</w:t>
            </w:r>
          </w:p>
        </w:tc>
      </w:tr>
    </w:tbl>
    <w:p w:rsidR="002A5A5E" w:rsidRPr="00F9522B" w:rsidRDefault="00611CBA">
      <w:pPr>
        <w:keepNext/>
        <w:keepLines/>
        <w:spacing w:before="100" w:beforeAutospacing="1" w:after="100" w:afterAutospacing="1"/>
        <w:outlineLvl w:val="2"/>
        <w:rPr>
          <w:rFonts w:eastAsiaTheme="minorEastAsia"/>
          <w:b/>
          <w:sz w:val="28"/>
          <w:szCs w:val="28"/>
        </w:rPr>
      </w:pPr>
      <w:bookmarkStart w:id="55" w:name="_Toc524431294"/>
      <w:bookmarkStart w:id="56" w:name="_Toc15991636"/>
      <w:r w:rsidRPr="00F9522B">
        <w:rPr>
          <w:rFonts w:eastAsiaTheme="minorEastAsia"/>
          <w:b/>
          <w:sz w:val="28"/>
          <w:szCs w:val="28"/>
        </w:rPr>
        <w:t>2.7.2</w:t>
      </w:r>
      <w:r w:rsidRPr="00F9522B">
        <w:rPr>
          <w:rFonts w:eastAsiaTheme="minorEastAsia"/>
          <w:b/>
          <w:sz w:val="28"/>
          <w:szCs w:val="28"/>
        </w:rPr>
        <w:t>评价时段</w:t>
      </w:r>
      <w:bookmarkEnd w:id="55"/>
      <w:bookmarkEnd w:id="56"/>
    </w:p>
    <w:p w:rsidR="002A5A5E" w:rsidRPr="00F9522B" w:rsidRDefault="00611CBA">
      <w:pPr>
        <w:spacing w:line="360" w:lineRule="auto"/>
        <w:ind w:firstLineChars="200" w:firstLine="480"/>
        <w:rPr>
          <w:rFonts w:eastAsiaTheme="minorEastAsia"/>
          <w:snapToGrid w:val="0"/>
          <w:kern w:val="0"/>
          <w:sz w:val="24"/>
        </w:rPr>
      </w:pPr>
      <w:r w:rsidRPr="00F9522B">
        <w:rPr>
          <w:rFonts w:eastAsiaTheme="minorEastAsia"/>
          <w:snapToGrid w:val="0"/>
          <w:kern w:val="0"/>
          <w:sz w:val="24"/>
        </w:rPr>
        <w:t>评价时段为施工期、运营期。由于本项目施工期对生态环境等产生影响，运营期地下水开采对地下水资源等产生影响，故因此本项目施工期及运营期均为重点评价时段。</w:t>
      </w:r>
    </w:p>
    <w:p w:rsidR="002A5A5E" w:rsidRPr="00F9522B" w:rsidRDefault="00611CBA">
      <w:pPr>
        <w:spacing w:before="100" w:beforeAutospacing="1" w:after="100" w:afterAutospacing="1"/>
        <w:contextualSpacing/>
        <w:jc w:val="left"/>
        <w:outlineLvl w:val="1"/>
        <w:rPr>
          <w:rFonts w:eastAsiaTheme="minorEastAsia"/>
          <w:b/>
          <w:bCs/>
          <w:kern w:val="44"/>
          <w:sz w:val="30"/>
          <w:szCs w:val="30"/>
        </w:rPr>
      </w:pPr>
      <w:bookmarkStart w:id="57" w:name="_Toc208906231"/>
      <w:r w:rsidRPr="00F9522B">
        <w:rPr>
          <w:rFonts w:eastAsiaTheme="minorEastAsia"/>
          <w:b/>
          <w:bCs/>
          <w:kern w:val="44"/>
          <w:sz w:val="30"/>
          <w:szCs w:val="30"/>
        </w:rPr>
        <w:t>2.8</w:t>
      </w:r>
      <w:r w:rsidRPr="00F9522B">
        <w:rPr>
          <w:rFonts w:eastAsiaTheme="minorEastAsia"/>
          <w:b/>
          <w:bCs/>
          <w:kern w:val="44"/>
          <w:sz w:val="30"/>
          <w:szCs w:val="30"/>
        </w:rPr>
        <w:t>污染控制与环境保护目标</w:t>
      </w:r>
      <w:bookmarkEnd w:id="57"/>
    </w:p>
    <w:p w:rsidR="002A5A5E" w:rsidRPr="00F9522B" w:rsidRDefault="00611CBA">
      <w:pPr>
        <w:keepNext/>
        <w:keepLines/>
        <w:spacing w:before="100" w:beforeAutospacing="1" w:after="100" w:afterAutospacing="1"/>
        <w:outlineLvl w:val="2"/>
        <w:rPr>
          <w:rFonts w:eastAsiaTheme="minorEastAsia"/>
          <w:b/>
          <w:sz w:val="28"/>
          <w:szCs w:val="28"/>
        </w:rPr>
      </w:pPr>
      <w:r w:rsidRPr="00F9522B">
        <w:rPr>
          <w:rFonts w:eastAsiaTheme="minorEastAsia"/>
          <w:b/>
          <w:sz w:val="28"/>
          <w:szCs w:val="28"/>
        </w:rPr>
        <w:lastRenderedPageBreak/>
        <w:t>2.8.1</w:t>
      </w:r>
      <w:r w:rsidRPr="00F9522B">
        <w:rPr>
          <w:rFonts w:eastAsiaTheme="minorEastAsia"/>
          <w:b/>
          <w:sz w:val="28"/>
          <w:szCs w:val="28"/>
        </w:rPr>
        <w:t>污染控制</w:t>
      </w:r>
    </w:p>
    <w:p w:rsidR="002A5A5E" w:rsidRPr="00F9522B" w:rsidRDefault="00611CBA">
      <w:pPr>
        <w:spacing w:line="360" w:lineRule="auto"/>
        <w:ind w:firstLineChars="200" w:firstLine="480"/>
        <w:rPr>
          <w:rFonts w:eastAsiaTheme="minorEastAsia"/>
          <w:snapToGrid w:val="0"/>
          <w:sz w:val="24"/>
        </w:rPr>
      </w:pPr>
      <w:r w:rsidRPr="00F9522B">
        <w:rPr>
          <w:rFonts w:eastAsiaTheme="minorEastAsia"/>
          <w:snapToGrid w:val="0"/>
          <w:sz w:val="24"/>
        </w:rPr>
        <w:t>本评价区内无国家、省级自然保护区，名胜古迹，以及重要人文设施及水源地，项目区现状为草地、耕地等。根据项目特点及周边环境要素，确定本项目控制污染与环境保护目标为：</w:t>
      </w:r>
    </w:p>
    <w:p w:rsidR="002A5A5E" w:rsidRPr="00F9522B" w:rsidRDefault="00611CBA">
      <w:pPr>
        <w:tabs>
          <w:tab w:val="right" w:leader="dot" w:pos="8505"/>
        </w:tabs>
        <w:spacing w:line="360" w:lineRule="auto"/>
        <w:ind w:firstLineChars="200" w:firstLine="480"/>
        <w:rPr>
          <w:rFonts w:eastAsiaTheme="minorEastAsia"/>
          <w:sz w:val="24"/>
        </w:rPr>
      </w:pPr>
      <w:r w:rsidRPr="00F9522B">
        <w:rPr>
          <w:rFonts w:eastAsiaTheme="minorEastAsia"/>
          <w:snapToGrid w:val="0"/>
          <w:kern w:val="0"/>
          <w:sz w:val="24"/>
        </w:rPr>
        <w:t>（</w:t>
      </w:r>
      <w:r w:rsidRPr="00F9522B">
        <w:rPr>
          <w:rFonts w:eastAsiaTheme="minorEastAsia"/>
          <w:snapToGrid w:val="0"/>
          <w:kern w:val="0"/>
          <w:sz w:val="24"/>
        </w:rPr>
        <w:t>1</w:t>
      </w:r>
      <w:r w:rsidRPr="00F9522B">
        <w:rPr>
          <w:rFonts w:eastAsiaTheme="minorEastAsia"/>
          <w:snapToGrid w:val="0"/>
          <w:kern w:val="0"/>
          <w:sz w:val="24"/>
        </w:rPr>
        <w:t>）控制施工过程中产生的扬尘，</w:t>
      </w:r>
      <w:r w:rsidRPr="00F9522B">
        <w:rPr>
          <w:rFonts w:eastAsiaTheme="minorEastAsia"/>
          <w:sz w:val="24"/>
        </w:rPr>
        <w:t>满足《大气污染物综合排放标准》（</w:t>
      </w:r>
      <w:r w:rsidRPr="00F9522B">
        <w:rPr>
          <w:rFonts w:eastAsiaTheme="minorEastAsia"/>
          <w:sz w:val="24"/>
        </w:rPr>
        <w:t>GB16297-1996</w:t>
      </w:r>
      <w:r w:rsidRPr="00F9522B">
        <w:rPr>
          <w:rFonts w:eastAsiaTheme="minorEastAsia"/>
          <w:sz w:val="24"/>
        </w:rPr>
        <w:t>）表</w:t>
      </w:r>
      <w:r w:rsidRPr="00F9522B">
        <w:rPr>
          <w:rFonts w:eastAsiaTheme="minorEastAsia"/>
          <w:sz w:val="24"/>
        </w:rPr>
        <w:t>2</w:t>
      </w:r>
      <w:r w:rsidRPr="00F9522B">
        <w:rPr>
          <w:rFonts w:eastAsiaTheme="minorEastAsia"/>
          <w:sz w:val="24"/>
        </w:rPr>
        <w:t>无组织排放监控浓度限值要求。</w:t>
      </w:r>
    </w:p>
    <w:p w:rsidR="002A5A5E" w:rsidRPr="00F9522B" w:rsidRDefault="00611CBA">
      <w:pPr>
        <w:spacing w:line="360" w:lineRule="auto"/>
        <w:ind w:firstLineChars="200" w:firstLine="480"/>
        <w:rPr>
          <w:rFonts w:eastAsiaTheme="minorEastAsia"/>
          <w:snapToGrid w:val="0"/>
          <w:kern w:val="0"/>
          <w:sz w:val="24"/>
        </w:rPr>
      </w:pPr>
      <w:r w:rsidRPr="00F9522B">
        <w:rPr>
          <w:rFonts w:eastAsiaTheme="minorEastAsia"/>
          <w:snapToGrid w:val="0"/>
          <w:kern w:val="0"/>
          <w:sz w:val="24"/>
        </w:rPr>
        <w:t>（</w:t>
      </w:r>
      <w:r w:rsidRPr="00F9522B">
        <w:rPr>
          <w:rFonts w:eastAsiaTheme="minorEastAsia"/>
          <w:snapToGrid w:val="0"/>
          <w:kern w:val="0"/>
          <w:sz w:val="24"/>
        </w:rPr>
        <w:t>2</w:t>
      </w:r>
      <w:r w:rsidRPr="00F9522B">
        <w:rPr>
          <w:rFonts w:eastAsiaTheme="minorEastAsia"/>
          <w:snapToGrid w:val="0"/>
          <w:kern w:val="0"/>
          <w:sz w:val="24"/>
        </w:rPr>
        <w:t>）控制噪声源强，采取有效措施，施工期满足</w:t>
      </w:r>
      <w:r w:rsidRPr="00F9522B">
        <w:rPr>
          <w:rFonts w:eastAsiaTheme="minorEastAsia"/>
          <w:sz w:val="24"/>
        </w:rPr>
        <w:t>《建筑施工噪声排放标准》（</w:t>
      </w:r>
      <w:r w:rsidRPr="00F9522B">
        <w:rPr>
          <w:rFonts w:eastAsiaTheme="minorEastAsia"/>
          <w:sz w:val="24"/>
        </w:rPr>
        <w:t>GB12523-2025)</w:t>
      </w:r>
      <w:r w:rsidRPr="00F9522B">
        <w:rPr>
          <w:rFonts w:eastAsiaTheme="minorEastAsia"/>
          <w:sz w:val="24"/>
        </w:rPr>
        <w:t>、运营期井房厂界</w:t>
      </w:r>
      <w:r w:rsidRPr="00F9522B">
        <w:rPr>
          <w:rFonts w:eastAsiaTheme="minorEastAsia"/>
          <w:bCs/>
          <w:sz w:val="24"/>
        </w:rPr>
        <w:t>噪声执行《工业企业厂界环境噪声排放标准》（</w:t>
      </w:r>
      <w:r w:rsidRPr="00F9522B">
        <w:rPr>
          <w:rFonts w:eastAsiaTheme="minorEastAsia"/>
          <w:bCs/>
          <w:sz w:val="24"/>
        </w:rPr>
        <w:t>GB12348-2008</w:t>
      </w:r>
      <w:r w:rsidRPr="00F9522B">
        <w:rPr>
          <w:rFonts w:eastAsiaTheme="minorEastAsia"/>
          <w:bCs/>
          <w:sz w:val="24"/>
        </w:rPr>
        <w:t>）表</w:t>
      </w:r>
      <w:r w:rsidRPr="00F9522B">
        <w:rPr>
          <w:rFonts w:eastAsiaTheme="minorEastAsia"/>
          <w:bCs/>
          <w:sz w:val="24"/>
        </w:rPr>
        <w:t>1</w:t>
      </w:r>
      <w:r w:rsidRPr="00F9522B">
        <w:rPr>
          <w:rFonts w:eastAsiaTheme="minorEastAsia"/>
          <w:bCs/>
          <w:sz w:val="24"/>
        </w:rPr>
        <w:t>中</w:t>
      </w:r>
      <w:r w:rsidRPr="00F9522B">
        <w:rPr>
          <w:rFonts w:eastAsiaTheme="minorEastAsia"/>
          <w:bCs/>
          <w:sz w:val="24"/>
        </w:rPr>
        <w:t>1</w:t>
      </w:r>
      <w:r w:rsidRPr="00F9522B">
        <w:rPr>
          <w:rFonts w:eastAsiaTheme="minorEastAsia"/>
          <w:bCs/>
          <w:sz w:val="24"/>
        </w:rPr>
        <w:t>类标准</w:t>
      </w:r>
      <w:r w:rsidRPr="00F9522B">
        <w:rPr>
          <w:rFonts w:eastAsiaTheme="minorEastAsia"/>
          <w:snapToGrid w:val="0"/>
          <w:kern w:val="0"/>
          <w:sz w:val="24"/>
        </w:rPr>
        <w:t>。</w:t>
      </w:r>
    </w:p>
    <w:p w:rsidR="002A5A5E" w:rsidRPr="00F9522B" w:rsidRDefault="00611CBA">
      <w:pPr>
        <w:spacing w:line="360" w:lineRule="auto"/>
        <w:ind w:firstLineChars="200" w:firstLine="480"/>
        <w:rPr>
          <w:rFonts w:eastAsiaTheme="minorEastAsia"/>
          <w:snapToGrid w:val="0"/>
          <w:kern w:val="0"/>
          <w:sz w:val="24"/>
        </w:rPr>
      </w:pPr>
      <w:r w:rsidRPr="00F9522B">
        <w:rPr>
          <w:rFonts w:eastAsiaTheme="minorEastAsia"/>
          <w:snapToGrid w:val="0"/>
          <w:kern w:val="0"/>
          <w:sz w:val="24"/>
        </w:rPr>
        <w:t>（</w:t>
      </w:r>
      <w:r w:rsidRPr="00F9522B">
        <w:rPr>
          <w:rFonts w:eastAsiaTheme="minorEastAsia"/>
          <w:snapToGrid w:val="0"/>
          <w:kern w:val="0"/>
          <w:sz w:val="24"/>
        </w:rPr>
        <w:t>3</w:t>
      </w:r>
      <w:r w:rsidRPr="00F9522B">
        <w:rPr>
          <w:rFonts w:eastAsiaTheme="minorEastAsia"/>
          <w:snapToGrid w:val="0"/>
          <w:kern w:val="0"/>
          <w:sz w:val="24"/>
        </w:rPr>
        <w:t>）控制占地范围，采取有效措施，保护评价区域植被，防止水土流失。</w:t>
      </w:r>
    </w:p>
    <w:p w:rsidR="002A5A5E" w:rsidRPr="00F9522B" w:rsidRDefault="00611CBA">
      <w:pPr>
        <w:spacing w:line="360" w:lineRule="auto"/>
        <w:ind w:firstLineChars="200" w:firstLine="480"/>
        <w:rPr>
          <w:rFonts w:eastAsiaTheme="minorEastAsia"/>
          <w:snapToGrid w:val="0"/>
          <w:kern w:val="0"/>
          <w:sz w:val="24"/>
        </w:rPr>
      </w:pPr>
      <w:r w:rsidRPr="00F9522B">
        <w:rPr>
          <w:rFonts w:eastAsiaTheme="minorEastAsia"/>
          <w:snapToGrid w:val="0"/>
          <w:kern w:val="0"/>
          <w:sz w:val="24"/>
        </w:rPr>
        <w:t>（</w:t>
      </w:r>
      <w:r w:rsidRPr="00F9522B">
        <w:rPr>
          <w:rFonts w:eastAsiaTheme="minorEastAsia"/>
          <w:snapToGrid w:val="0"/>
          <w:kern w:val="0"/>
          <w:sz w:val="24"/>
        </w:rPr>
        <w:t>4</w:t>
      </w:r>
      <w:r w:rsidRPr="00F9522B">
        <w:rPr>
          <w:rFonts w:eastAsiaTheme="minorEastAsia"/>
          <w:snapToGrid w:val="0"/>
          <w:kern w:val="0"/>
          <w:sz w:val="24"/>
        </w:rPr>
        <w:t>）控制地下水开采量，采取节水措施，</w:t>
      </w:r>
      <w:r w:rsidRPr="00F9522B">
        <w:rPr>
          <w:rFonts w:eastAsiaTheme="minorEastAsia"/>
          <w:sz w:val="24"/>
        </w:rPr>
        <w:t>提高灌溉保证率，加强水资源保护，合理开发利用水资源，加强地下水资源的保护，防止地下水超采，减少对地下水资源的影响。</w:t>
      </w:r>
    </w:p>
    <w:p w:rsidR="002A5A5E" w:rsidRPr="00F9522B" w:rsidRDefault="00611CBA">
      <w:pPr>
        <w:keepNext/>
        <w:keepLines/>
        <w:spacing w:before="100" w:beforeAutospacing="1" w:after="100" w:afterAutospacing="1"/>
        <w:outlineLvl w:val="2"/>
        <w:rPr>
          <w:rFonts w:eastAsiaTheme="minorEastAsia"/>
          <w:b/>
          <w:sz w:val="28"/>
          <w:szCs w:val="28"/>
        </w:rPr>
      </w:pPr>
      <w:r w:rsidRPr="00F9522B">
        <w:rPr>
          <w:rFonts w:eastAsiaTheme="minorEastAsia"/>
          <w:b/>
          <w:sz w:val="28"/>
          <w:szCs w:val="28"/>
        </w:rPr>
        <w:t>2.8.2</w:t>
      </w:r>
      <w:r w:rsidRPr="00F9522B">
        <w:rPr>
          <w:rFonts w:eastAsiaTheme="minorEastAsia"/>
          <w:b/>
          <w:sz w:val="28"/>
          <w:szCs w:val="28"/>
        </w:rPr>
        <w:t>主要环境保护目标</w:t>
      </w:r>
    </w:p>
    <w:p w:rsidR="002A5A5E" w:rsidRPr="00F9522B" w:rsidRDefault="00611CBA">
      <w:pPr>
        <w:spacing w:line="360" w:lineRule="auto"/>
        <w:ind w:firstLineChars="200" w:firstLine="480"/>
        <w:rPr>
          <w:rFonts w:eastAsiaTheme="minorEastAsia"/>
          <w:snapToGrid w:val="0"/>
          <w:kern w:val="0"/>
          <w:sz w:val="24"/>
        </w:rPr>
      </w:pPr>
      <w:r w:rsidRPr="00F9522B">
        <w:rPr>
          <w:rFonts w:eastAsiaTheme="minorEastAsia"/>
          <w:snapToGrid w:val="0"/>
          <w:sz w:val="24"/>
        </w:rPr>
        <w:t>根据项目选址、选线位置及周边环境特征，环境空气及声环境</w:t>
      </w:r>
      <w:r w:rsidRPr="00F9522B">
        <w:rPr>
          <w:rFonts w:eastAsiaTheme="minorEastAsia"/>
          <w:snapToGrid w:val="0"/>
          <w:kern w:val="0"/>
          <w:sz w:val="24"/>
        </w:rPr>
        <w:t>保护目标分布图见附图</w:t>
      </w:r>
      <w:r w:rsidRPr="00F9522B">
        <w:rPr>
          <w:rFonts w:eastAsiaTheme="minorEastAsia"/>
          <w:snapToGrid w:val="0"/>
          <w:kern w:val="0"/>
          <w:sz w:val="24"/>
        </w:rPr>
        <w:t>7-1~7-2</w:t>
      </w:r>
      <w:r w:rsidRPr="00F9522B">
        <w:rPr>
          <w:rFonts w:eastAsiaTheme="minorEastAsia"/>
          <w:snapToGrid w:val="0"/>
          <w:kern w:val="0"/>
          <w:sz w:val="24"/>
        </w:rPr>
        <w:t>。</w:t>
      </w:r>
    </w:p>
    <w:p w:rsidR="002A5A5E" w:rsidRPr="00F9522B" w:rsidRDefault="002A5A5E">
      <w:pPr>
        <w:contextualSpacing/>
        <w:jc w:val="center"/>
        <w:rPr>
          <w:rFonts w:eastAsiaTheme="minorEastAsia"/>
          <w:b/>
          <w:kern w:val="0"/>
          <w:szCs w:val="21"/>
        </w:rPr>
      </w:pPr>
      <w:bookmarkStart w:id="58" w:name="_Hlk10463811"/>
    </w:p>
    <w:p w:rsidR="002A5A5E" w:rsidRPr="00F9522B" w:rsidRDefault="002A5A5E">
      <w:pPr>
        <w:contextualSpacing/>
        <w:jc w:val="center"/>
        <w:rPr>
          <w:rFonts w:eastAsiaTheme="minorEastAsia"/>
          <w:b/>
          <w:kern w:val="0"/>
          <w:szCs w:val="21"/>
        </w:rPr>
      </w:pPr>
    </w:p>
    <w:p w:rsidR="002A5A5E" w:rsidRPr="00F9522B" w:rsidRDefault="002A5A5E">
      <w:pPr>
        <w:contextualSpacing/>
        <w:jc w:val="center"/>
        <w:rPr>
          <w:rFonts w:eastAsiaTheme="minorEastAsia"/>
          <w:b/>
          <w:kern w:val="0"/>
          <w:szCs w:val="21"/>
        </w:rPr>
      </w:pPr>
    </w:p>
    <w:p w:rsidR="00AA366B" w:rsidRPr="00F9522B" w:rsidRDefault="00AA366B">
      <w:pPr>
        <w:contextualSpacing/>
        <w:jc w:val="center"/>
        <w:rPr>
          <w:rFonts w:eastAsiaTheme="minorEastAsia"/>
          <w:b/>
          <w:kern w:val="0"/>
          <w:szCs w:val="21"/>
        </w:rPr>
      </w:pPr>
    </w:p>
    <w:p w:rsidR="00AA366B" w:rsidRPr="00F9522B" w:rsidRDefault="00AA366B">
      <w:pPr>
        <w:contextualSpacing/>
        <w:jc w:val="center"/>
        <w:rPr>
          <w:rFonts w:eastAsiaTheme="minorEastAsia"/>
          <w:b/>
          <w:kern w:val="0"/>
          <w:szCs w:val="21"/>
        </w:rPr>
      </w:pPr>
    </w:p>
    <w:p w:rsidR="00AA366B" w:rsidRPr="00F9522B" w:rsidRDefault="00AA366B">
      <w:pPr>
        <w:contextualSpacing/>
        <w:jc w:val="center"/>
        <w:rPr>
          <w:rFonts w:eastAsiaTheme="minorEastAsia"/>
          <w:b/>
          <w:kern w:val="0"/>
          <w:szCs w:val="21"/>
        </w:rPr>
      </w:pPr>
    </w:p>
    <w:p w:rsidR="00AA366B" w:rsidRPr="00F9522B" w:rsidRDefault="00AA366B">
      <w:pPr>
        <w:contextualSpacing/>
        <w:jc w:val="center"/>
        <w:rPr>
          <w:rFonts w:eastAsiaTheme="minorEastAsia"/>
          <w:b/>
          <w:kern w:val="0"/>
          <w:szCs w:val="21"/>
        </w:rPr>
      </w:pPr>
    </w:p>
    <w:p w:rsidR="002A5A5E" w:rsidRPr="00F9522B" w:rsidRDefault="002A5A5E">
      <w:pPr>
        <w:contextualSpacing/>
        <w:jc w:val="center"/>
        <w:rPr>
          <w:rFonts w:eastAsiaTheme="minorEastAsia"/>
          <w:b/>
          <w:kern w:val="0"/>
          <w:szCs w:val="21"/>
        </w:rPr>
      </w:pPr>
    </w:p>
    <w:p w:rsidR="002A5A5E" w:rsidRPr="00F9522B" w:rsidRDefault="002A5A5E">
      <w:pPr>
        <w:contextualSpacing/>
        <w:jc w:val="center"/>
        <w:rPr>
          <w:rFonts w:eastAsiaTheme="minorEastAsia"/>
          <w:b/>
          <w:kern w:val="0"/>
          <w:szCs w:val="21"/>
        </w:rPr>
      </w:pPr>
    </w:p>
    <w:p w:rsidR="002A5A5E" w:rsidRPr="00F9522B" w:rsidRDefault="002A5A5E">
      <w:pPr>
        <w:contextualSpacing/>
        <w:jc w:val="center"/>
        <w:rPr>
          <w:rFonts w:eastAsiaTheme="minorEastAsia"/>
          <w:b/>
          <w:kern w:val="0"/>
          <w:szCs w:val="21"/>
        </w:rPr>
      </w:pPr>
    </w:p>
    <w:p w:rsidR="002A5A5E" w:rsidRPr="00F9522B" w:rsidRDefault="002A5A5E">
      <w:pPr>
        <w:contextualSpacing/>
        <w:jc w:val="center"/>
        <w:rPr>
          <w:rFonts w:eastAsiaTheme="minorEastAsia"/>
          <w:b/>
          <w:kern w:val="0"/>
          <w:szCs w:val="21"/>
        </w:rPr>
      </w:pPr>
    </w:p>
    <w:p w:rsidR="002A5A5E" w:rsidRPr="00F9522B" w:rsidRDefault="002A5A5E">
      <w:pPr>
        <w:contextualSpacing/>
        <w:jc w:val="center"/>
        <w:rPr>
          <w:rFonts w:eastAsiaTheme="minorEastAsia"/>
          <w:b/>
          <w:kern w:val="0"/>
          <w:szCs w:val="21"/>
        </w:rPr>
      </w:pPr>
    </w:p>
    <w:p w:rsidR="002A5A5E" w:rsidRPr="00F9522B" w:rsidRDefault="002A5A5E">
      <w:pPr>
        <w:contextualSpacing/>
        <w:jc w:val="center"/>
        <w:rPr>
          <w:rFonts w:eastAsiaTheme="minorEastAsia"/>
          <w:b/>
          <w:kern w:val="0"/>
          <w:szCs w:val="21"/>
        </w:rPr>
      </w:pPr>
    </w:p>
    <w:p w:rsidR="002A5A5E" w:rsidRPr="00F9522B" w:rsidRDefault="002A5A5E">
      <w:pPr>
        <w:contextualSpacing/>
        <w:jc w:val="center"/>
        <w:rPr>
          <w:rFonts w:eastAsiaTheme="minorEastAsia"/>
          <w:b/>
          <w:kern w:val="0"/>
          <w:szCs w:val="21"/>
        </w:rPr>
      </w:pPr>
    </w:p>
    <w:p w:rsidR="003A7922" w:rsidRPr="00F9522B" w:rsidRDefault="003A7922">
      <w:pPr>
        <w:contextualSpacing/>
        <w:jc w:val="center"/>
        <w:rPr>
          <w:rFonts w:eastAsiaTheme="minorEastAsia"/>
          <w:b/>
          <w:kern w:val="0"/>
          <w:szCs w:val="21"/>
        </w:rPr>
      </w:pPr>
    </w:p>
    <w:p w:rsidR="002A5A5E" w:rsidRPr="00F9522B" w:rsidRDefault="002A5A5E">
      <w:pPr>
        <w:contextualSpacing/>
        <w:jc w:val="center"/>
        <w:rPr>
          <w:rFonts w:eastAsiaTheme="minorEastAsia"/>
          <w:b/>
          <w:kern w:val="0"/>
          <w:szCs w:val="21"/>
        </w:rPr>
      </w:pPr>
    </w:p>
    <w:p w:rsidR="002A5A5E" w:rsidRPr="00F9522B" w:rsidRDefault="002A5A5E">
      <w:pPr>
        <w:contextualSpacing/>
        <w:jc w:val="center"/>
        <w:rPr>
          <w:rFonts w:eastAsiaTheme="minorEastAsia"/>
          <w:b/>
          <w:kern w:val="0"/>
          <w:szCs w:val="21"/>
        </w:rPr>
      </w:pPr>
    </w:p>
    <w:p w:rsidR="002A5A5E" w:rsidRPr="00F9522B" w:rsidRDefault="00611CBA">
      <w:pPr>
        <w:contextualSpacing/>
        <w:jc w:val="center"/>
        <w:rPr>
          <w:rFonts w:eastAsiaTheme="minorEastAsia"/>
          <w:b/>
          <w:kern w:val="0"/>
          <w:szCs w:val="21"/>
        </w:rPr>
      </w:pPr>
      <w:r w:rsidRPr="00F9522B">
        <w:rPr>
          <w:rFonts w:eastAsiaTheme="minorEastAsia"/>
          <w:b/>
          <w:kern w:val="0"/>
          <w:szCs w:val="21"/>
        </w:rPr>
        <w:lastRenderedPageBreak/>
        <w:t>表</w:t>
      </w:r>
      <w:r w:rsidRPr="00F9522B">
        <w:rPr>
          <w:rFonts w:eastAsiaTheme="minorEastAsia"/>
          <w:b/>
          <w:kern w:val="0"/>
          <w:szCs w:val="21"/>
        </w:rPr>
        <w:t>2-8-1</w:t>
      </w:r>
      <w:r w:rsidRPr="00F9522B">
        <w:rPr>
          <w:rFonts w:eastAsiaTheme="minorEastAsia"/>
          <w:b/>
          <w:kern w:val="0"/>
          <w:szCs w:val="21"/>
        </w:rPr>
        <w:t>施工期及运营期环境空气</w:t>
      </w:r>
      <w:r w:rsidR="0024201F" w:rsidRPr="00F9522B">
        <w:rPr>
          <w:rFonts w:eastAsiaTheme="minorEastAsia"/>
          <w:b/>
          <w:kern w:val="0"/>
          <w:szCs w:val="21"/>
        </w:rPr>
        <w:t>及声环境</w:t>
      </w:r>
      <w:r w:rsidRPr="00F9522B">
        <w:rPr>
          <w:rFonts w:eastAsiaTheme="minorEastAsia"/>
          <w:b/>
          <w:kern w:val="0"/>
          <w:szCs w:val="21"/>
        </w:rPr>
        <w:t>保护目标一览表</w:t>
      </w:r>
    </w:p>
    <w:tbl>
      <w:tblPr>
        <w:tblW w:w="8081" w:type="dxa"/>
        <w:jc w:val="center"/>
        <w:tblBorders>
          <w:top w:val="single" w:sz="12" w:space="0" w:color="auto"/>
          <w:bottom w:val="single" w:sz="12" w:space="0" w:color="auto"/>
          <w:insideH w:val="single" w:sz="4" w:space="0" w:color="auto"/>
          <w:insideV w:val="single" w:sz="4" w:space="0" w:color="auto"/>
        </w:tblBorders>
        <w:tblLayout w:type="fixed"/>
        <w:tblLook w:val="04A0"/>
      </w:tblPr>
      <w:tblGrid>
        <w:gridCol w:w="1326"/>
        <w:gridCol w:w="830"/>
        <w:gridCol w:w="993"/>
        <w:gridCol w:w="708"/>
        <w:gridCol w:w="567"/>
        <w:gridCol w:w="851"/>
        <w:gridCol w:w="1417"/>
        <w:gridCol w:w="1389"/>
      </w:tblGrid>
      <w:tr w:rsidR="003A7922" w:rsidRPr="00F9522B" w:rsidTr="003A7922">
        <w:trPr>
          <w:trHeight w:val="270"/>
          <w:jc w:val="center"/>
        </w:trPr>
        <w:tc>
          <w:tcPr>
            <w:tcW w:w="1326" w:type="dxa"/>
            <w:vMerge w:val="restart"/>
            <w:shd w:val="clear" w:color="auto" w:fill="auto"/>
            <w:vAlign w:val="center"/>
          </w:tcPr>
          <w:p w:rsidR="003A7922" w:rsidRPr="00F9522B" w:rsidRDefault="003A7922" w:rsidP="003A7922">
            <w:pPr>
              <w:adjustRightInd w:val="0"/>
              <w:snapToGrid w:val="0"/>
              <w:spacing w:line="0" w:lineRule="atLeast"/>
              <w:jc w:val="center"/>
              <w:rPr>
                <w:rFonts w:eastAsiaTheme="minorEastAsia"/>
                <w:snapToGrid w:val="0"/>
                <w:szCs w:val="21"/>
              </w:rPr>
            </w:pPr>
            <w:bookmarkStart w:id="59" w:name="_Hlk10134467"/>
            <w:r w:rsidRPr="00F9522B">
              <w:rPr>
                <w:rFonts w:eastAsiaTheme="minorEastAsia"/>
                <w:snapToGrid w:val="0"/>
                <w:szCs w:val="21"/>
              </w:rPr>
              <w:t>名称</w:t>
            </w:r>
          </w:p>
        </w:tc>
        <w:tc>
          <w:tcPr>
            <w:tcW w:w="1823" w:type="dxa"/>
            <w:gridSpan w:val="2"/>
            <w:vAlign w:val="center"/>
          </w:tcPr>
          <w:p w:rsidR="003A7922" w:rsidRPr="00F9522B" w:rsidRDefault="003A7922"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坐标（</w:t>
            </w:r>
            <w:r w:rsidRPr="00F9522B">
              <w:rPr>
                <w:rFonts w:eastAsiaTheme="minorEastAsia"/>
                <w:snapToGrid w:val="0"/>
                <w:szCs w:val="21"/>
              </w:rPr>
              <w:t>°</w:t>
            </w:r>
            <w:r w:rsidRPr="00F9522B">
              <w:rPr>
                <w:rFonts w:eastAsiaTheme="minorEastAsia"/>
                <w:snapToGrid w:val="0"/>
                <w:szCs w:val="21"/>
              </w:rPr>
              <w:t>）</w:t>
            </w:r>
          </w:p>
        </w:tc>
        <w:tc>
          <w:tcPr>
            <w:tcW w:w="708" w:type="dxa"/>
            <w:vMerge w:val="restart"/>
            <w:vAlign w:val="center"/>
          </w:tcPr>
          <w:p w:rsidR="003A7922" w:rsidRPr="00F9522B" w:rsidRDefault="003A7922"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保护对象</w:t>
            </w:r>
          </w:p>
        </w:tc>
        <w:tc>
          <w:tcPr>
            <w:tcW w:w="567" w:type="dxa"/>
            <w:vMerge w:val="restart"/>
            <w:vAlign w:val="center"/>
          </w:tcPr>
          <w:p w:rsidR="003A7922" w:rsidRPr="00F9522B" w:rsidRDefault="003A7922"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保护</w:t>
            </w:r>
          </w:p>
          <w:p w:rsidR="003A7922" w:rsidRPr="00F9522B" w:rsidRDefault="003A7922"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内容</w:t>
            </w:r>
          </w:p>
        </w:tc>
        <w:tc>
          <w:tcPr>
            <w:tcW w:w="851" w:type="dxa"/>
            <w:vMerge w:val="restart"/>
            <w:vAlign w:val="center"/>
          </w:tcPr>
          <w:p w:rsidR="003A7922" w:rsidRPr="00F9522B" w:rsidRDefault="003A7922"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环境功能区</w:t>
            </w:r>
          </w:p>
        </w:tc>
        <w:tc>
          <w:tcPr>
            <w:tcW w:w="1417" w:type="dxa"/>
            <w:vMerge w:val="restart"/>
            <w:vAlign w:val="center"/>
          </w:tcPr>
          <w:p w:rsidR="003A7922" w:rsidRPr="00F9522B" w:rsidRDefault="003A7922"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工程</w:t>
            </w:r>
          </w:p>
        </w:tc>
        <w:tc>
          <w:tcPr>
            <w:tcW w:w="1389" w:type="dxa"/>
            <w:vMerge w:val="restart"/>
            <w:shd w:val="clear" w:color="auto" w:fill="auto"/>
            <w:vAlign w:val="center"/>
          </w:tcPr>
          <w:p w:rsidR="003A7922" w:rsidRPr="00F9522B" w:rsidRDefault="003A7922"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相对工程方位及最近距离</w:t>
            </w:r>
            <w:r w:rsidRPr="00F9522B">
              <w:rPr>
                <w:rFonts w:eastAsiaTheme="minorEastAsia"/>
                <w:snapToGrid w:val="0"/>
                <w:szCs w:val="21"/>
              </w:rPr>
              <w:t>m</w:t>
            </w:r>
          </w:p>
        </w:tc>
      </w:tr>
      <w:tr w:rsidR="003A7922" w:rsidRPr="00F9522B" w:rsidTr="003A7922">
        <w:trPr>
          <w:trHeight w:val="270"/>
          <w:jc w:val="center"/>
        </w:trPr>
        <w:tc>
          <w:tcPr>
            <w:tcW w:w="1326" w:type="dxa"/>
            <w:vMerge/>
            <w:shd w:val="clear" w:color="auto" w:fill="auto"/>
            <w:vAlign w:val="center"/>
          </w:tcPr>
          <w:p w:rsidR="003A7922" w:rsidRPr="00F9522B" w:rsidRDefault="003A7922" w:rsidP="003A7922">
            <w:pPr>
              <w:adjustRightInd w:val="0"/>
              <w:snapToGrid w:val="0"/>
              <w:spacing w:line="0" w:lineRule="atLeast"/>
              <w:jc w:val="center"/>
              <w:rPr>
                <w:rFonts w:eastAsiaTheme="minorEastAsia"/>
                <w:snapToGrid w:val="0"/>
                <w:szCs w:val="21"/>
              </w:rPr>
            </w:pPr>
          </w:p>
        </w:tc>
        <w:tc>
          <w:tcPr>
            <w:tcW w:w="830" w:type="dxa"/>
            <w:vAlign w:val="center"/>
          </w:tcPr>
          <w:p w:rsidR="003A7922" w:rsidRPr="00F9522B" w:rsidRDefault="003A7922" w:rsidP="003A7922">
            <w:pPr>
              <w:adjustRightInd w:val="0"/>
              <w:snapToGrid w:val="0"/>
              <w:spacing w:line="0" w:lineRule="atLeast"/>
              <w:jc w:val="center"/>
              <w:rPr>
                <w:rFonts w:eastAsiaTheme="minorEastAsia"/>
                <w:snapToGrid w:val="0"/>
                <w:kern w:val="0"/>
                <w:szCs w:val="21"/>
              </w:rPr>
            </w:pPr>
            <w:r w:rsidRPr="00F9522B">
              <w:rPr>
                <w:rFonts w:eastAsiaTheme="minorEastAsia"/>
                <w:snapToGrid w:val="0"/>
                <w:kern w:val="0"/>
                <w:szCs w:val="21"/>
              </w:rPr>
              <w:t>东经</w:t>
            </w:r>
          </w:p>
        </w:tc>
        <w:tc>
          <w:tcPr>
            <w:tcW w:w="993" w:type="dxa"/>
            <w:vAlign w:val="center"/>
          </w:tcPr>
          <w:p w:rsidR="003A7922" w:rsidRPr="00F9522B" w:rsidRDefault="003A7922" w:rsidP="003A7922">
            <w:pPr>
              <w:adjustRightInd w:val="0"/>
              <w:snapToGrid w:val="0"/>
              <w:spacing w:line="0" w:lineRule="atLeast"/>
              <w:jc w:val="center"/>
              <w:rPr>
                <w:rFonts w:eastAsiaTheme="minorEastAsia"/>
                <w:snapToGrid w:val="0"/>
                <w:kern w:val="0"/>
                <w:szCs w:val="21"/>
              </w:rPr>
            </w:pPr>
            <w:r w:rsidRPr="00F9522B">
              <w:rPr>
                <w:rFonts w:eastAsiaTheme="minorEastAsia"/>
                <w:snapToGrid w:val="0"/>
                <w:kern w:val="0"/>
                <w:szCs w:val="21"/>
              </w:rPr>
              <w:t>北纬</w:t>
            </w:r>
          </w:p>
        </w:tc>
        <w:tc>
          <w:tcPr>
            <w:tcW w:w="708" w:type="dxa"/>
            <w:vMerge/>
            <w:vAlign w:val="center"/>
          </w:tcPr>
          <w:p w:rsidR="003A7922" w:rsidRPr="00F9522B" w:rsidRDefault="003A7922" w:rsidP="003A7922">
            <w:pPr>
              <w:adjustRightInd w:val="0"/>
              <w:snapToGrid w:val="0"/>
              <w:spacing w:line="0" w:lineRule="atLeast"/>
              <w:jc w:val="center"/>
              <w:rPr>
                <w:rFonts w:eastAsiaTheme="minorEastAsia"/>
                <w:snapToGrid w:val="0"/>
                <w:szCs w:val="21"/>
              </w:rPr>
            </w:pPr>
          </w:p>
        </w:tc>
        <w:tc>
          <w:tcPr>
            <w:tcW w:w="567" w:type="dxa"/>
            <w:vMerge/>
            <w:vAlign w:val="center"/>
          </w:tcPr>
          <w:p w:rsidR="003A7922" w:rsidRPr="00F9522B" w:rsidRDefault="003A7922" w:rsidP="003A7922">
            <w:pPr>
              <w:adjustRightInd w:val="0"/>
              <w:snapToGrid w:val="0"/>
              <w:spacing w:line="0" w:lineRule="atLeast"/>
              <w:jc w:val="center"/>
              <w:rPr>
                <w:rFonts w:eastAsiaTheme="minorEastAsia"/>
                <w:snapToGrid w:val="0"/>
                <w:szCs w:val="21"/>
              </w:rPr>
            </w:pPr>
          </w:p>
        </w:tc>
        <w:tc>
          <w:tcPr>
            <w:tcW w:w="851" w:type="dxa"/>
            <w:vMerge/>
            <w:vAlign w:val="center"/>
          </w:tcPr>
          <w:p w:rsidR="003A7922" w:rsidRPr="00F9522B" w:rsidRDefault="003A7922" w:rsidP="003A7922">
            <w:pPr>
              <w:adjustRightInd w:val="0"/>
              <w:snapToGrid w:val="0"/>
              <w:spacing w:line="0" w:lineRule="atLeast"/>
              <w:jc w:val="center"/>
              <w:rPr>
                <w:rFonts w:eastAsiaTheme="minorEastAsia"/>
                <w:snapToGrid w:val="0"/>
                <w:szCs w:val="21"/>
              </w:rPr>
            </w:pPr>
          </w:p>
        </w:tc>
        <w:tc>
          <w:tcPr>
            <w:tcW w:w="1417" w:type="dxa"/>
            <w:vMerge/>
            <w:vAlign w:val="center"/>
          </w:tcPr>
          <w:p w:rsidR="003A7922" w:rsidRPr="00F9522B" w:rsidRDefault="003A7922" w:rsidP="003A7922">
            <w:pPr>
              <w:adjustRightInd w:val="0"/>
              <w:snapToGrid w:val="0"/>
              <w:spacing w:line="0" w:lineRule="atLeast"/>
              <w:jc w:val="center"/>
              <w:rPr>
                <w:rFonts w:eastAsiaTheme="minorEastAsia"/>
                <w:snapToGrid w:val="0"/>
                <w:szCs w:val="21"/>
              </w:rPr>
            </w:pPr>
          </w:p>
        </w:tc>
        <w:tc>
          <w:tcPr>
            <w:tcW w:w="1389" w:type="dxa"/>
            <w:vMerge/>
            <w:shd w:val="clear" w:color="auto" w:fill="auto"/>
            <w:vAlign w:val="center"/>
          </w:tcPr>
          <w:p w:rsidR="003A7922" w:rsidRPr="00F9522B" w:rsidRDefault="003A7922" w:rsidP="003A7922">
            <w:pPr>
              <w:adjustRightInd w:val="0"/>
              <w:snapToGrid w:val="0"/>
              <w:spacing w:line="0" w:lineRule="atLeast"/>
              <w:jc w:val="center"/>
              <w:rPr>
                <w:rFonts w:eastAsiaTheme="minorEastAsia"/>
                <w:snapToGrid w:val="0"/>
                <w:szCs w:val="21"/>
              </w:rPr>
            </w:pPr>
          </w:p>
        </w:tc>
      </w:tr>
      <w:tr w:rsidR="00FB5EB0" w:rsidRPr="00F9522B" w:rsidTr="003A7922">
        <w:trPr>
          <w:trHeight w:val="118"/>
          <w:jc w:val="center"/>
        </w:trPr>
        <w:tc>
          <w:tcPr>
            <w:tcW w:w="1326" w:type="dxa"/>
            <w:vMerge w:val="restart"/>
            <w:shd w:val="clear" w:color="auto" w:fill="auto"/>
            <w:vAlign w:val="center"/>
          </w:tcPr>
          <w:p w:rsidR="00FB5EB0" w:rsidRPr="00F9522B" w:rsidRDefault="00FB5EB0" w:rsidP="003A7922">
            <w:pPr>
              <w:spacing w:line="0" w:lineRule="atLeast"/>
              <w:jc w:val="center"/>
              <w:rPr>
                <w:rFonts w:eastAsiaTheme="minorEastAsia"/>
                <w:szCs w:val="21"/>
              </w:rPr>
            </w:pPr>
            <w:r w:rsidRPr="00F9522B">
              <w:rPr>
                <w:rFonts w:eastAsiaTheme="minorEastAsia"/>
                <w:szCs w:val="21"/>
              </w:rPr>
              <w:t>高家村</w:t>
            </w:r>
          </w:p>
        </w:tc>
        <w:tc>
          <w:tcPr>
            <w:tcW w:w="830" w:type="dxa"/>
            <w:vMerge w:val="restart"/>
            <w:vAlign w:val="center"/>
          </w:tcPr>
          <w:p w:rsidR="00FB5EB0" w:rsidRPr="00F9522B" w:rsidRDefault="00FB5EB0" w:rsidP="003A7922">
            <w:pPr>
              <w:spacing w:line="0" w:lineRule="atLeast"/>
              <w:jc w:val="center"/>
              <w:rPr>
                <w:rFonts w:eastAsiaTheme="minorEastAsia"/>
                <w:szCs w:val="21"/>
              </w:rPr>
            </w:pPr>
            <w:r w:rsidRPr="00F9522B">
              <w:rPr>
                <w:rFonts w:eastAsiaTheme="minorEastAsia"/>
                <w:szCs w:val="21"/>
              </w:rPr>
              <w:t>126.8765723</w:t>
            </w:r>
          </w:p>
        </w:tc>
        <w:tc>
          <w:tcPr>
            <w:tcW w:w="993" w:type="dxa"/>
            <w:vMerge w:val="restart"/>
            <w:vAlign w:val="center"/>
          </w:tcPr>
          <w:p w:rsidR="00FB5EB0" w:rsidRPr="00F9522B" w:rsidRDefault="00FB5EB0" w:rsidP="003A7922">
            <w:pPr>
              <w:spacing w:line="0" w:lineRule="atLeast"/>
              <w:jc w:val="center"/>
              <w:rPr>
                <w:rFonts w:eastAsiaTheme="minorEastAsia"/>
                <w:szCs w:val="21"/>
              </w:rPr>
            </w:pPr>
            <w:r w:rsidRPr="00F9522B">
              <w:rPr>
                <w:rFonts w:eastAsiaTheme="minorEastAsia"/>
                <w:szCs w:val="21"/>
              </w:rPr>
              <w:t>46.045955</w:t>
            </w:r>
          </w:p>
        </w:tc>
        <w:tc>
          <w:tcPr>
            <w:tcW w:w="708"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农村人群集中区</w:t>
            </w:r>
          </w:p>
        </w:tc>
        <w:tc>
          <w:tcPr>
            <w:tcW w:w="567"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人群</w:t>
            </w:r>
          </w:p>
        </w:tc>
        <w:tc>
          <w:tcPr>
            <w:tcW w:w="851"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环境空气：二类区；声环境：一类区</w:t>
            </w: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机电井</w:t>
            </w:r>
            <w:r w:rsidRPr="00F9522B">
              <w:rPr>
                <w:rFonts w:eastAsiaTheme="minorEastAsia"/>
                <w:snapToGrid w:val="0"/>
                <w:szCs w:val="21"/>
              </w:rPr>
              <w:t>-31</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E30</w:t>
            </w:r>
          </w:p>
        </w:tc>
      </w:tr>
      <w:tr w:rsidR="00FB5EB0" w:rsidRPr="00F9522B" w:rsidTr="003A7922">
        <w:trPr>
          <w:trHeight w:val="118"/>
          <w:jc w:val="center"/>
        </w:trPr>
        <w:tc>
          <w:tcPr>
            <w:tcW w:w="1326" w:type="dxa"/>
            <w:vMerge/>
            <w:shd w:val="clear" w:color="auto" w:fill="auto"/>
            <w:vAlign w:val="center"/>
          </w:tcPr>
          <w:p w:rsidR="00FB5EB0" w:rsidRPr="00F9522B" w:rsidRDefault="00FB5EB0" w:rsidP="003A7922">
            <w:pPr>
              <w:spacing w:line="0" w:lineRule="atLeast"/>
              <w:jc w:val="center"/>
              <w:rPr>
                <w:szCs w:val="21"/>
              </w:rPr>
            </w:pPr>
          </w:p>
        </w:tc>
        <w:tc>
          <w:tcPr>
            <w:tcW w:w="830" w:type="dxa"/>
            <w:vMerge/>
            <w:vAlign w:val="center"/>
          </w:tcPr>
          <w:p w:rsidR="00FB5EB0" w:rsidRPr="00F9522B" w:rsidRDefault="00FB5EB0" w:rsidP="003A7922">
            <w:pPr>
              <w:spacing w:line="0" w:lineRule="atLeast"/>
              <w:jc w:val="center"/>
              <w:rPr>
                <w:rFonts w:eastAsiaTheme="minorEastAsia"/>
                <w:szCs w:val="21"/>
              </w:rPr>
            </w:pPr>
          </w:p>
        </w:tc>
        <w:tc>
          <w:tcPr>
            <w:tcW w:w="993" w:type="dxa"/>
            <w:vMerge/>
            <w:vAlign w:val="center"/>
          </w:tcPr>
          <w:p w:rsidR="00FB5EB0" w:rsidRPr="00F9522B" w:rsidRDefault="00FB5EB0" w:rsidP="003A7922">
            <w:pPr>
              <w:spacing w:line="0" w:lineRule="atLeast"/>
              <w:jc w:val="center"/>
              <w:rPr>
                <w:rFonts w:eastAsiaTheme="minorEastAsia"/>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机电井</w:t>
            </w:r>
            <w:r w:rsidRPr="00F9522B">
              <w:rPr>
                <w:rFonts w:eastAsiaTheme="minorEastAsia"/>
                <w:snapToGrid w:val="0"/>
                <w:szCs w:val="21"/>
              </w:rPr>
              <w:t>-30</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S45</w:t>
            </w:r>
          </w:p>
        </w:tc>
      </w:tr>
      <w:tr w:rsidR="00FB5EB0" w:rsidRPr="00F9522B" w:rsidTr="003A7922">
        <w:trPr>
          <w:trHeight w:val="176"/>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生产路</w:t>
            </w:r>
            <w:r w:rsidRPr="00F9522B">
              <w:rPr>
                <w:rFonts w:eastAsiaTheme="minorEastAsia"/>
                <w:snapToGrid w:val="0"/>
                <w:szCs w:val="21"/>
              </w:rPr>
              <w:t>-24</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S20</w:t>
            </w:r>
          </w:p>
        </w:tc>
      </w:tr>
      <w:tr w:rsidR="00FB5EB0" w:rsidRPr="00F9522B" w:rsidTr="003A7922">
        <w:trPr>
          <w:trHeight w:val="176"/>
          <w:jc w:val="center"/>
        </w:trPr>
        <w:tc>
          <w:tcPr>
            <w:tcW w:w="1326" w:type="dxa"/>
            <w:vMerge w:val="restart"/>
            <w:shd w:val="clear" w:color="auto" w:fill="auto"/>
            <w:vAlign w:val="center"/>
          </w:tcPr>
          <w:p w:rsidR="00FB5EB0" w:rsidRPr="00F9522B" w:rsidRDefault="00FB5EB0" w:rsidP="003A7922">
            <w:pPr>
              <w:spacing w:line="0" w:lineRule="atLeast"/>
              <w:jc w:val="center"/>
              <w:rPr>
                <w:rFonts w:eastAsiaTheme="minorEastAsia"/>
                <w:szCs w:val="21"/>
              </w:rPr>
            </w:pPr>
            <w:r w:rsidRPr="00F9522B">
              <w:rPr>
                <w:rFonts w:eastAsiaTheme="minorEastAsia"/>
                <w:szCs w:val="21"/>
              </w:rPr>
              <w:t>八里荒</w:t>
            </w:r>
          </w:p>
        </w:tc>
        <w:tc>
          <w:tcPr>
            <w:tcW w:w="830"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126.8419396</w:t>
            </w:r>
          </w:p>
        </w:tc>
        <w:tc>
          <w:tcPr>
            <w:tcW w:w="993"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46.057139</w:t>
            </w: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过水路面</w:t>
            </w:r>
            <w:r w:rsidRPr="00F9522B">
              <w:rPr>
                <w:rFonts w:eastAsiaTheme="minorEastAsia"/>
                <w:snapToGrid w:val="0"/>
                <w:szCs w:val="21"/>
              </w:rPr>
              <w:t>-1</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S100</w:t>
            </w:r>
          </w:p>
        </w:tc>
      </w:tr>
      <w:tr w:rsidR="00FB5EB0" w:rsidRPr="00F9522B" w:rsidTr="003A7922">
        <w:trPr>
          <w:trHeight w:val="133"/>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生产路</w:t>
            </w:r>
            <w:r w:rsidRPr="00F9522B">
              <w:rPr>
                <w:rFonts w:eastAsiaTheme="minorEastAsia"/>
                <w:snapToGrid w:val="0"/>
                <w:szCs w:val="21"/>
              </w:rPr>
              <w:t>-16</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S5</w:t>
            </w:r>
          </w:p>
        </w:tc>
      </w:tr>
      <w:tr w:rsidR="00FB5EB0" w:rsidRPr="00F9522B" w:rsidTr="003A7922">
        <w:trPr>
          <w:trHeight w:val="301"/>
          <w:jc w:val="center"/>
        </w:trPr>
        <w:tc>
          <w:tcPr>
            <w:tcW w:w="1326" w:type="dxa"/>
            <w:vMerge w:val="restart"/>
            <w:shd w:val="clear" w:color="auto" w:fill="auto"/>
            <w:vAlign w:val="center"/>
          </w:tcPr>
          <w:p w:rsidR="00FB5EB0" w:rsidRPr="00F9522B" w:rsidRDefault="00FB5EB0" w:rsidP="003A7922">
            <w:pPr>
              <w:spacing w:line="0" w:lineRule="atLeast"/>
              <w:jc w:val="center"/>
              <w:rPr>
                <w:rFonts w:eastAsiaTheme="minorEastAsia"/>
                <w:szCs w:val="21"/>
              </w:rPr>
            </w:pPr>
            <w:r w:rsidRPr="00F9522B">
              <w:rPr>
                <w:rFonts w:eastAsiaTheme="minorEastAsia"/>
                <w:szCs w:val="21"/>
              </w:rPr>
              <w:t>榆树村</w:t>
            </w:r>
          </w:p>
        </w:tc>
        <w:tc>
          <w:tcPr>
            <w:tcW w:w="830"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126.8536823</w:t>
            </w:r>
          </w:p>
        </w:tc>
        <w:tc>
          <w:tcPr>
            <w:tcW w:w="993"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46.064760</w:t>
            </w: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机耕路</w:t>
            </w:r>
            <w:r w:rsidRPr="00F9522B">
              <w:rPr>
                <w:rFonts w:eastAsiaTheme="minorEastAsia"/>
                <w:snapToGrid w:val="0"/>
                <w:szCs w:val="21"/>
              </w:rPr>
              <w:t>-1</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S5</w:t>
            </w:r>
          </w:p>
        </w:tc>
      </w:tr>
      <w:tr w:rsidR="00FB5EB0" w:rsidRPr="00F9522B" w:rsidTr="003A7922">
        <w:trPr>
          <w:trHeight w:val="283"/>
          <w:jc w:val="center"/>
        </w:trPr>
        <w:tc>
          <w:tcPr>
            <w:tcW w:w="1326" w:type="dxa"/>
            <w:vMerge/>
            <w:shd w:val="clear" w:color="auto" w:fill="auto"/>
            <w:vAlign w:val="center"/>
          </w:tcPr>
          <w:p w:rsidR="00FB5EB0" w:rsidRPr="00F9522B" w:rsidRDefault="00FB5EB0" w:rsidP="003A7922">
            <w:pPr>
              <w:spacing w:line="0" w:lineRule="atLeast"/>
              <w:jc w:val="center"/>
              <w:rPr>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生产路</w:t>
            </w:r>
            <w:r w:rsidRPr="00F9522B">
              <w:rPr>
                <w:rFonts w:eastAsiaTheme="minorEastAsia"/>
                <w:snapToGrid w:val="0"/>
                <w:szCs w:val="21"/>
              </w:rPr>
              <w:t>-21</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W5</w:t>
            </w:r>
          </w:p>
        </w:tc>
      </w:tr>
      <w:tr w:rsidR="00FB5EB0" w:rsidRPr="00F9522B" w:rsidTr="003A7922">
        <w:trPr>
          <w:trHeight w:val="413"/>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涵</w:t>
            </w:r>
            <w:r w:rsidRPr="00F9522B">
              <w:rPr>
                <w:rFonts w:eastAsiaTheme="minorEastAsia"/>
                <w:snapToGrid w:val="0"/>
                <w:szCs w:val="21"/>
              </w:rPr>
              <w:t>-2</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W20</w:t>
            </w:r>
          </w:p>
        </w:tc>
      </w:tr>
      <w:tr w:rsidR="00FB5EB0" w:rsidRPr="00F9522B" w:rsidTr="003A7922">
        <w:trPr>
          <w:trHeight w:val="178"/>
          <w:jc w:val="center"/>
        </w:trPr>
        <w:tc>
          <w:tcPr>
            <w:tcW w:w="1326" w:type="dxa"/>
            <w:vMerge w:val="restart"/>
            <w:shd w:val="clear" w:color="auto" w:fill="auto"/>
            <w:vAlign w:val="center"/>
          </w:tcPr>
          <w:p w:rsidR="00FB5EB0" w:rsidRPr="00F9522B" w:rsidRDefault="00FB5EB0" w:rsidP="003A7922">
            <w:pPr>
              <w:spacing w:line="0" w:lineRule="atLeast"/>
              <w:jc w:val="center"/>
              <w:rPr>
                <w:rFonts w:eastAsiaTheme="minorEastAsia"/>
                <w:szCs w:val="21"/>
              </w:rPr>
            </w:pPr>
            <w:r w:rsidRPr="00F9522B">
              <w:rPr>
                <w:rFonts w:eastAsiaTheme="minorEastAsia"/>
                <w:szCs w:val="21"/>
              </w:rPr>
              <w:t>黄家窝堡</w:t>
            </w:r>
          </w:p>
        </w:tc>
        <w:tc>
          <w:tcPr>
            <w:tcW w:w="830"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126.8681045</w:t>
            </w:r>
          </w:p>
        </w:tc>
        <w:tc>
          <w:tcPr>
            <w:tcW w:w="993"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46.069591</w:t>
            </w: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涵</w:t>
            </w:r>
            <w:r w:rsidRPr="00F9522B">
              <w:rPr>
                <w:rFonts w:eastAsiaTheme="minorEastAsia"/>
                <w:snapToGrid w:val="0"/>
                <w:szCs w:val="21"/>
              </w:rPr>
              <w:t>-4</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N75</w:t>
            </w:r>
          </w:p>
        </w:tc>
      </w:tr>
      <w:tr w:rsidR="00FB5EB0" w:rsidRPr="00F9522B" w:rsidTr="003A7922">
        <w:trPr>
          <w:trHeight w:val="333"/>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生产路</w:t>
            </w:r>
            <w:r w:rsidRPr="00F9522B">
              <w:rPr>
                <w:rFonts w:eastAsiaTheme="minorEastAsia"/>
                <w:snapToGrid w:val="0"/>
                <w:szCs w:val="21"/>
              </w:rPr>
              <w:t>-7</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W10</w:t>
            </w:r>
          </w:p>
        </w:tc>
      </w:tr>
      <w:tr w:rsidR="00FB5EB0" w:rsidRPr="00F9522B" w:rsidTr="003A7922">
        <w:trPr>
          <w:trHeight w:val="134"/>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机电井</w:t>
            </w:r>
            <w:r w:rsidRPr="00F9522B">
              <w:rPr>
                <w:rFonts w:eastAsiaTheme="minorEastAsia"/>
                <w:snapToGrid w:val="0"/>
                <w:szCs w:val="21"/>
              </w:rPr>
              <w:t>-3</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S160</w:t>
            </w:r>
          </w:p>
        </w:tc>
      </w:tr>
      <w:tr w:rsidR="00FB5EB0" w:rsidRPr="00F9522B" w:rsidTr="003A7922">
        <w:trPr>
          <w:trHeight w:val="180"/>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napToGrid w:val="0"/>
                <w:szCs w:val="21"/>
              </w:rPr>
              <w:t>机电井</w:t>
            </w:r>
            <w:r w:rsidRPr="00F9522B">
              <w:rPr>
                <w:rFonts w:eastAsiaTheme="minorEastAsia"/>
                <w:snapToGrid w:val="0"/>
                <w:szCs w:val="21"/>
              </w:rPr>
              <w:t>-4</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S160</w:t>
            </w:r>
          </w:p>
        </w:tc>
      </w:tr>
      <w:tr w:rsidR="00FB5EB0" w:rsidRPr="00F9522B" w:rsidTr="003A7922">
        <w:trPr>
          <w:trHeight w:val="178"/>
          <w:jc w:val="center"/>
        </w:trPr>
        <w:tc>
          <w:tcPr>
            <w:tcW w:w="1326" w:type="dxa"/>
            <w:vMerge w:val="restart"/>
            <w:shd w:val="clear" w:color="auto" w:fill="auto"/>
            <w:vAlign w:val="center"/>
          </w:tcPr>
          <w:p w:rsidR="00FB5EB0" w:rsidRPr="00F9522B" w:rsidRDefault="00FB5EB0" w:rsidP="003A7922">
            <w:pPr>
              <w:spacing w:line="0" w:lineRule="atLeast"/>
              <w:jc w:val="center"/>
              <w:rPr>
                <w:rFonts w:eastAsiaTheme="minorEastAsia"/>
                <w:szCs w:val="21"/>
              </w:rPr>
            </w:pPr>
            <w:r w:rsidRPr="00F9522B">
              <w:rPr>
                <w:rFonts w:eastAsiaTheme="minorEastAsia"/>
                <w:szCs w:val="21"/>
              </w:rPr>
              <w:t>后关地</w:t>
            </w:r>
          </w:p>
        </w:tc>
        <w:tc>
          <w:tcPr>
            <w:tcW w:w="830"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126.8913322</w:t>
            </w:r>
          </w:p>
        </w:tc>
        <w:tc>
          <w:tcPr>
            <w:tcW w:w="993"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46.057161</w:t>
            </w: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机电井</w:t>
            </w:r>
            <w:r w:rsidRPr="00F9522B">
              <w:rPr>
                <w:rFonts w:eastAsiaTheme="minorEastAsia"/>
                <w:snapToGrid w:val="0"/>
                <w:szCs w:val="21"/>
              </w:rPr>
              <w:t>-5</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E50</w:t>
            </w:r>
          </w:p>
        </w:tc>
      </w:tr>
      <w:tr w:rsidR="00FB5EB0" w:rsidRPr="00F9522B" w:rsidTr="003A7922">
        <w:trPr>
          <w:trHeight w:val="178"/>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napToGrid w:val="0"/>
                <w:szCs w:val="21"/>
              </w:rPr>
              <w:t>机电井</w:t>
            </w:r>
            <w:r w:rsidRPr="00F9522B">
              <w:rPr>
                <w:rFonts w:eastAsiaTheme="minorEastAsia"/>
                <w:snapToGrid w:val="0"/>
                <w:szCs w:val="21"/>
              </w:rPr>
              <w:t>-4</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S80</w:t>
            </w:r>
          </w:p>
        </w:tc>
      </w:tr>
      <w:tr w:rsidR="00FB5EB0" w:rsidRPr="00F9522B" w:rsidTr="003A7922">
        <w:trPr>
          <w:trHeight w:val="180"/>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生产路</w:t>
            </w:r>
            <w:r w:rsidRPr="00F9522B">
              <w:rPr>
                <w:rFonts w:eastAsiaTheme="minorEastAsia"/>
                <w:snapToGrid w:val="0"/>
                <w:szCs w:val="21"/>
              </w:rPr>
              <w:t>-25</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S80</w:t>
            </w:r>
          </w:p>
        </w:tc>
      </w:tr>
      <w:tr w:rsidR="00FB5EB0" w:rsidRPr="00F9522B" w:rsidTr="003A7922">
        <w:trPr>
          <w:trHeight w:val="178"/>
          <w:jc w:val="center"/>
        </w:trPr>
        <w:tc>
          <w:tcPr>
            <w:tcW w:w="1326" w:type="dxa"/>
            <w:vMerge w:val="restart"/>
            <w:shd w:val="clear" w:color="auto" w:fill="auto"/>
            <w:vAlign w:val="center"/>
          </w:tcPr>
          <w:p w:rsidR="00FB5EB0" w:rsidRPr="00F9522B" w:rsidRDefault="00FB5EB0" w:rsidP="003A7922">
            <w:pPr>
              <w:spacing w:line="0" w:lineRule="atLeast"/>
              <w:jc w:val="center"/>
              <w:rPr>
                <w:rFonts w:eastAsiaTheme="minorEastAsia"/>
                <w:szCs w:val="21"/>
              </w:rPr>
            </w:pPr>
            <w:r w:rsidRPr="00F9522B">
              <w:rPr>
                <w:rFonts w:eastAsiaTheme="minorEastAsia"/>
                <w:szCs w:val="21"/>
              </w:rPr>
              <w:t>泉眼</w:t>
            </w:r>
          </w:p>
        </w:tc>
        <w:tc>
          <w:tcPr>
            <w:tcW w:w="830"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126.9401701</w:t>
            </w:r>
          </w:p>
        </w:tc>
        <w:tc>
          <w:tcPr>
            <w:tcW w:w="993"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46.073121</w:t>
            </w: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机耕路</w:t>
            </w:r>
            <w:r w:rsidRPr="00F9522B">
              <w:rPr>
                <w:rFonts w:eastAsiaTheme="minorEastAsia"/>
                <w:snapToGrid w:val="0"/>
                <w:szCs w:val="21"/>
              </w:rPr>
              <w:t>-2</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S10</w:t>
            </w:r>
          </w:p>
        </w:tc>
      </w:tr>
      <w:tr w:rsidR="00FB5EB0" w:rsidRPr="00F9522B" w:rsidTr="003A7922">
        <w:trPr>
          <w:trHeight w:val="178"/>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机电井</w:t>
            </w:r>
            <w:r w:rsidRPr="00F9522B">
              <w:rPr>
                <w:rFonts w:eastAsiaTheme="minorEastAsia"/>
                <w:snapToGrid w:val="0"/>
                <w:szCs w:val="21"/>
              </w:rPr>
              <w:t>-6</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NW50</w:t>
            </w:r>
          </w:p>
        </w:tc>
      </w:tr>
      <w:tr w:rsidR="00FB5EB0" w:rsidRPr="00F9522B" w:rsidTr="003A7922">
        <w:trPr>
          <w:trHeight w:val="178"/>
          <w:jc w:val="center"/>
        </w:trPr>
        <w:tc>
          <w:tcPr>
            <w:tcW w:w="1326" w:type="dxa"/>
            <w:vMerge w:val="restart"/>
            <w:shd w:val="clear" w:color="auto" w:fill="auto"/>
            <w:vAlign w:val="center"/>
          </w:tcPr>
          <w:p w:rsidR="00FB5EB0" w:rsidRPr="00F9522B" w:rsidRDefault="00FB5EB0" w:rsidP="003A7922">
            <w:pPr>
              <w:spacing w:line="0" w:lineRule="atLeast"/>
              <w:jc w:val="center"/>
              <w:rPr>
                <w:rFonts w:eastAsiaTheme="minorEastAsia"/>
                <w:szCs w:val="21"/>
              </w:rPr>
            </w:pPr>
            <w:r w:rsidRPr="00F9522B">
              <w:rPr>
                <w:rFonts w:eastAsiaTheme="minorEastAsia"/>
                <w:szCs w:val="21"/>
              </w:rPr>
              <w:t>南城李</w:t>
            </w:r>
          </w:p>
        </w:tc>
        <w:tc>
          <w:tcPr>
            <w:tcW w:w="830"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126.9544931</w:t>
            </w:r>
          </w:p>
        </w:tc>
        <w:tc>
          <w:tcPr>
            <w:tcW w:w="993"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46.0818368</w:t>
            </w: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排水沟</w:t>
            </w:r>
            <w:r w:rsidRPr="00F9522B">
              <w:rPr>
                <w:rFonts w:eastAsiaTheme="minorEastAsia"/>
                <w:snapToGrid w:val="0"/>
                <w:szCs w:val="21"/>
              </w:rPr>
              <w:t>-1</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N15</w:t>
            </w:r>
          </w:p>
        </w:tc>
      </w:tr>
      <w:tr w:rsidR="00FB5EB0" w:rsidRPr="00F9522B" w:rsidTr="003A7922">
        <w:trPr>
          <w:trHeight w:val="178"/>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napToGrid w:val="0"/>
                <w:szCs w:val="21"/>
              </w:rPr>
              <w:t>过水路面</w:t>
            </w:r>
            <w:r w:rsidRPr="00F9522B">
              <w:rPr>
                <w:rFonts w:eastAsiaTheme="minorEastAsia"/>
                <w:snapToGrid w:val="0"/>
                <w:szCs w:val="21"/>
              </w:rPr>
              <w:t>-30</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W15</w:t>
            </w:r>
          </w:p>
        </w:tc>
      </w:tr>
      <w:tr w:rsidR="00FB5EB0" w:rsidRPr="00F9522B" w:rsidTr="003A7922">
        <w:trPr>
          <w:trHeight w:val="178"/>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机电井</w:t>
            </w:r>
            <w:r w:rsidRPr="00F9522B">
              <w:rPr>
                <w:rFonts w:eastAsiaTheme="minorEastAsia"/>
                <w:snapToGrid w:val="0"/>
                <w:szCs w:val="21"/>
              </w:rPr>
              <w:t>-8</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N25</w:t>
            </w:r>
          </w:p>
        </w:tc>
      </w:tr>
      <w:tr w:rsidR="00FB5EB0" w:rsidRPr="00F9522B" w:rsidTr="00B21BDA">
        <w:trPr>
          <w:trHeight w:val="760"/>
          <w:jc w:val="center"/>
        </w:trPr>
        <w:tc>
          <w:tcPr>
            <w:tcW w:w="1326" w:type="dxa"/>
            <w:shd w:val="clear" w:color="auto" w:fill="auto"/>
            <w:vAlign w:val="center"/>
          </w:tcPr>
          <w:p w:rsidR="00FB5EB0" w:rsidRPr="00F9522B" w:rsidRDefault="00FB5EB0" w:rsidP="003A7922">
            <w:pPr>
              <w:spacing w:line="0" w:lineRule="atLeast"/>
              <w:jc w:val="center"/>
              <w:rPr>
                <w:rFonts w:eastAsiaTheme="minorEastAsia"/>
                <w:szCs w:val="21"/>
              </w:rPr>
            </w:pPr>
            <w:r w:rsidRPr="00F9522B">
              <w:rPr>
                <w:rFonts w:eastAsiaTheme="minorEastAsia"/>
                <w:szCs w:val="21"/>
              </w:rPr>
              <w:t>方台中学校</w:t>
            </w:r>
          </w:p>
        </w:tc>
        <w:tc>
          <w:tcPr>
            <w:tcW w:w="830"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126.9246348</w:t>
            </w:r>
          </w:p>
        </w:tc>
        <w:tc>
          <w:tcPr>
            <w:tcW w:w="993"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46.090766</w:t>
            </w:r>
          </w:p>
        </w:tc>
        <w:tc>
          <w:tcPr>
            <w:tcW w:w="708"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学校</w:t>
            </w:r>
          </w:p>
        </w:tc>
        <w:tc>
          <w:tcPr>
            <w:tcW w:w="56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师生</w:t>
            </w: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生产路</w:t>
            </w:r>
            <w:r w:rsidRPr="00F9522B">
              <w:rPr>
                <w:rFonts w:eastAsiaTheme="minorEastAsia"/>
                <w:snapToGrid w:val="0"/>
                <w:szCs w:val="21"/>
              </w:rPr>
              <w:t>-3</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S40</w:t>
            </w:r>
          </w:p>
        </w:tc>
      </w:tr>
      <w:tr w:rsidR="00FB5EB0" w:rsidRPr="00F9522B" w:rsidTr="003A7922">
        <w:trPr>
          <w:trHeight w:val="178"/>
          <w:jc w:val="center"/>
        </w:trPr>
        <w:tc>
          <w:tcPr>
            <w:tcW w:w="1326" w:type="dxa"/>
            <w:vMerge w:val="restart"/>
            <w:shd w:val="clear" w:color="auto" w:fill="auto"/>
            <w:vAlign w:val="center"/>
          </w:tcPr>
          <w:p w:rsidR="00FB5EB0" w:rsidRPr="00F9522B" w:rsidRDefault="00FB5EB0" w:rsidP="003A7922">
            <w:pPr>
              <w:spacing w:line="0" w:lineRule="atLeast"/>
              <w:jc w:val="center"/>
              <w:rPr>
                <w:rFonts w:eastAsiaTheme="minorEastAsia"/>
                <w:szCs w:val="21"/>
              </w:rPr>
            </w:pPr>
            <w:r w:rsidRPr="00F9522B">
              <w:rPr>
                <w:rFonts w:eastAsiaTheme="minorEastAsia"/>
                <w:szCs w:val="21"/>
              </w:rPr>
              <w:t>方台镇</w:t>
            </w:r>
          </w:p>
        </w:tc>
        <w:tc>
          <w:tcPr>
            <w:tcW w:w="830"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zCs w:val="21"/>
              </w:rPr>
              <w:t>126.9386681</w:t>
            </w:r>
          </w:p>
        </w:tc>
        <w:tc>
          <w:tcPr>
            <w:tcW w:w="993"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46.089962</w:t>
            </w:r>
          </w:p>
        </w:tc>
        <w:tc>
          <w:tcPr>
            <w:tcW w:w="708"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农村人群集中区</w:t>
            </w:r>
          </w:p>
        </w:tc>
        <w:tc>
          <w:tcPr>
            <w:tcW w:w="567"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人群</w:t>
            </w: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机电井</w:t>
            </w:r>
            <w:r w:rsidRPr="00F9522B">
              <w:rPr>
                <w:rFonts w:eastAsiaTheme="minorEastAsia"/>
                <w:snapToGrid w:val="0"/>
                <w:szCs w:val="21"/>
              </w:rPr>
              <w:t>-3</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S75</w:t>
            </w:r>
          </w:p>
        </w:tc>
      </w:tr>
      <w:tr w:rsidR="00FB5EB0" w:rsidRPr="00F9522B" w:rsidTr="003A7922">
        <w:trPr>
          <w:trHeight w:val="178"/>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机电井</w:t>
            </w:r>
            <w:r w:rsidRPr="00F9522B">
              <w:rPr>
                <w:rFonts w:eastAsiaTheme="minorEastAsia"/>
                <w:snapToGrid w:val="0"/>
                <w:szCs w:val="21"/>
              </w:rPr>
              <w:t>-4</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W40</w:t>
            </w:r>
          </w:p>
        </w:tc>
      </w:tr>
      <w:tr w:rsidR="00FB5EB0" w:rsidRPr="00F9522B" w:rsidTr="003A7922">
        <w:trPr>
          <w:trHeight w:val="178"/>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机耕路</w:t>
            </w:r>
            <w:r w:rsidRPr="00F9522B">
              <w:rPr>
                <w:rFonts w:eastAsiaTheme="minorEastAsia"/>
                <w:snapToGrid w:val="0"/>
                <w:szCs w:val="21"/>
              </w:rPr>
              <w:t>-5</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W5</w:t>
            </w:r>
          </w:p>
        </w:tc>
      </w:tr>
      <w:tr w:rsidR="00FB5EB0" w:rsidRPr="00F9522B" w:rsidTr="003A7922">
        <w:trPr>
          <w:trHeight w:val="178"/>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排水沟</w:t>
            </w:r>
            <w:r w:rsidRPr="00F9522B">
              <w:rPr>
                <w:rFonts w:eastAsiaTheme="minorEastAsia"/>
                <w:snapToGrid w:val="0"/>
                <w:szCs w:val="21"/>
              </w:rPr>
              <w:t>-2</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W140</w:t>
            </w:r>
          </w:p>
        </w:tc>
      </w:tr>
      <w:tr w:rsidR="003A7922" w:rsidRPr="00F9522B" w:rsidTr="003A7922">
        <w:trPr>
          <w:trHeight w:val="178"/>
          <w:jc w:val="center"/>
        </w:trPr>
        <w:tc>
          <w:tcPr>
            <w:tcW w:w="1326" w:type="dxa"/>
            <w:vMerge w:val="restart"/>
            <w:shd w:val="clear" w:color="auto" w:fill="auto"/>
            <w:vAlign w:val="center"/>
          </w:tcPr>
          <w:p w:rsidR="003A7922" w:rsidRPr="00F9522B" w:rsidRDefault="003A7922" w:rsidP="003A7922">
            <w:pPr>
              <w:spacing w:line="0" w:lineRule="atLeast"/>
              <w:jc w:val="center"/>
              <w:rPr>
                <w:rFonts w:eastAsiaTheme="minorEastAsia"/>
                <w:szCs w:val="21"/>
              </w:rPr>
            </w:pPr>
            <w:r w:rsidRPr="00F9522B">
              <w:rPr>
                <w:rFonts w:eastAsiaTheme="minorEastAsia"/>
                <w:szCs w:val="21"/>
              </w:rPr>
              <w:t>宋家村</w:t>
            </w:r>
          </w:p>
        </w:tc>
        <w:tc>
          <w:tcPr>
            <w:tcW w:w="830" w:type="dxa"/>
            <w:vMerge w:val="restart"/>
            <w:vAlign w:val="center"/>
          </w:tcPr>
          <w:p w:rsidR="003A7922" w:rsidRPr="00F9522B" w:rsidRDefault="003A7922" w:rsidP="003A7922">
            <w:pPr>
              <w:rPr>
                <w:rFonts w:eastAsiaTheme="minorEastAsia"/>
                <w:szCs w:val="21"/>
              </w:rPr>
            </w:pPr>
            <w:r w:rsidRPr="00F9522B">
              <w:rPr>
                <w:rFonts w:eastAsiaTheme="minorEastAsia"/>
                <w:szCs w:val="21"/>
              </w:rPr>
              <w:t>126.9778069</w:t>
            </w:r>
          </w:p>
        </w:tc>
        <w:tc>
          <w:tcPr>
            <w:tcW w:w="993" w:type="dxa"/>
            <w:vMerge w:val="restart"/>
            <w:vAlign w:val="center"/>
          </w:tcPr>
          <w:p w:rsidR="003A7922" w:rsidRPr="00F9522B" w:rsidRDefault="003A7922"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46.088801</w:t>
            </w:r>
          </w:p>
        </w:tc>
        <w:tc>
          <w:tcPr>
            <w:tcW w:w="708" w:type="dxa"/>
            <w:vMerge/>
            <w:vAlign w:val="center"/>
          </w:tcPr>
          <w:p w:rsidR="003A7922" w:rsidRPr="00F9522B" w:rsidRDefault="003A7922" w:rsidP="003A7922">
            <w:pPr>
              <w:adjustRightInd w:val="0"/>
              <w:snapToGrid w:val="0"/>
              <w:spacing w:line="0" w:lineRule="atLeast"/>
              <w:jc w:val="center"/>
              <w:rPr>
                <w:rFonts w:eastAsiaTheme="minorEastAsia"/>
                <w:snapToGrid w:val="0"/>
                <w:szCs w:val="21"/>
              </w:rPr>
            </w:pPr>
          </w:p>
        </w:tc>
        <w:tc>
          <w:tcPr>
            <w:tcW w:w="567" w:type="dxa"/>
            <w:vMerge/>
            <w:vAlign w:val="center"/>
          </w:tcPr>
          <w:p w:rsidR="003A7922" w:rsidRPr="00F9522B" w:rsidRDefault="003A7922" w:rsidP="003A7922">
            <w:pPr>
              <w:adjustRightInd w:val="0"/>
              <w:snapToGrid w:val="0"/>
              <w:spacing w:line="0" w:lineRule="atLeast"/>
              <w:jc w:val="center"/>
              <w:rPr>
                <w:rFonts w:eastAsiaTheme="minorEastAsia"/>
                <w:snapToGrid w:val="0"/>
                <w:szCs w:val="21"/>
              </w:rPr>
            </w:pPr>
          </w:p>
        </w:tc>
        <w:tc>
          <w:tcPr>
            <w:tcW w:w="851" w:type="dxa"/>
            <w:vMerge w:val="restart"/>
            <w:vAlign w:val="center"/>
          </w:tcPr>
          <w:p w:rsidR="003A7922" w:rsidRPr="00F9522B" w:rsidRDefault="00030F6B"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环境空气：二类区；声环境：二类区</w:t>
            </w:r>
          </w:p>
        </w:tc>
        <w:tc>
          <w:tcPr>
            <w:tcW w:w="1417" w:type="dxa"/>
            <w:vAlign w:val="center"/>
          </w:tcPr>
          <w:p w:rsidR="003A7922" w:rsidRPr="00F9522B" w:rsidRDefault="003A7922"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机电井</w:t>
            </w:r>
            <w:r w:rsidRPr="00F9522B">
              <w:rPr>
                <w:rFonts w:eastAsiaTheme="minorEastAsia"/>
                <w:snapToGrid w:val="0"/>
                <w:szCs w:val="21"/>
              </w:rPr>
              <w:t>-15</w:t>
            </w:r>
          </w:p>
        </w:tc>
        <w:tc>
          <w:tcPr>
            <w:tcW w:w="1389" w:type="dxa"/>
            <w:shd w:val="clear" w:color="auto" w:fill="auto"/>
            <w:vAlign w:val="center"/>
          </w:tcPr>
          <w:p w:rsidR="003A7922" w:rsidRPr="00F9522B" w:rsidRDefault="003A7922" w:rsidP="003A7922">
            <w:pPr>
              <w:adjustRightInd w:val="0"/>
              <w:snapToGrid w:val="0"/>
              <w:spacing w:line="0" w:lineRule="atLeast"/>
              <w:jc w:val="center"/>
              <w:rPr>
                <w:rFonts w:eastAsiaTheme="minorEastAsia"/>
                <w:szCs w:val="21"/>
              </w:rPr>
            </w:pPr>
            <w:r w:rsidRPr="00F9522B">
              <w:rPr>
                <w:rFonts w:eastAsiaTheme="minorEastAsia"/>
                <w:szCs w:val="21"/>
              </w:rPr>
              <w:t>E70</w:t>
            </w:r>
          </w:p>
        </w:tc>
      </w:tr>
      <w:tr w:rsidR="003A7922" w:rsidRPr="00F9522B" w:rsidTr="003A7922">
        <w:trPr>
          <w:trHeight w:val="178"/>
          <w:jc w:val="center"/>
        </w:trPr>
        <w:tc>
          <w:tcPr>
            <w:tcW w:w="1326" w:type="dxa"/>
            <w:vMerge/>
            <w:shd w:val="clear" w:color="auto" w:fill="auto"/>
            <w:vAlign w:val="center"/>
          </w:tcPr>
          <w:p w:rsidR="003A7922" w:rsidRPr="00F9522B" w:rsidRDefault="003A7922" w:rsidP="003A7922">
            <w:pPr>
              <w:spacing w:line="0" w:lineRule="atLeast"/>
              <w:jc w:val="center"/>
              <w:rPr>
                <w:rFonts w:eastAsiaTheme="minorEastAsia"/>
                <w:szCs w:val="21"/>
              </w:rPr>
            </w:pPr>
          </w:p>
        </w:tc>
        <w:tc>
          <w:tcPr>
            <w:tcW w:w="830" w:type="dxa"/>
            <w:vMerge/>
            <w:vAlign w:val="center"/>
          </w:tcPr>
          <w:p w:rsidR="003A7922" w:rsidRPr="00F9522B" w:rsidRDefault="003A7922" w:rsidP="003A7922">
            <w:pPr>
              <w:adjustRightInd w:val="0"/>
              <w:snapToGrid w:val="0"/>
              <w:spacing w:line="0" w:lineRule="atLeast"/>
              <w:jc w:val="center"/>
              <w:rPr>
                <w:rFonts w:eastAsiaTheme="minorEastAsia"/>
                <w:snapToGrid w:val="0"/>
                <w:szCs w:val="21"/>
              </w:rPr>
            </w:pPr>
          </w:p>
        </w:tc>
        <w:tc>
          <w:tcPr>
            <w:tcW w:w="993" w:type="dxa"/>
            <w:vMerge/>
            <w:vAlign w:val="center"/>
          </w:tcPr>
          <w:p w:rsidR="003A7922" w:rsidRPr="00F9522B" w:rsidRDefault="003A7922" w:rsidP="003A7922">
            <w:pPr>
              <w:adjustRightInd w:val="0"/>
              <w:snapToGrid w:val="0"/>
              <w:spacing w:line="0" w:lineRule="atLeast"/>
              <w:jc w:val="center"/>
              <w:rPr>
                <w:rFonts w:eastAsiaTheme="minorEastAsia"/>
                <w:snapToGrid w:val="0"/>
                <w:szCs w:val="21"/>
              </w:rPr>
            </w:pPr>
          </w:p>
        </w:tc>
        <w:tc>
          <w:tcPr>
            <w:tcW w:w="708" w:type="dxa"/>
            <w:vMerge/>
            <w:vAlign w:val="center"/>
          </w:tcPr>
          <w:p w:rsidR="003A7922" w:rsidRPr="00F9522B" w:rsidRDefault="003A7922" w:rsidP="003A7922">
            <w:pPr>
              <w:adjustRightInd w:val="0"/>
              <w:snapToGrid w:val="0"/>
              <w:spacing w:line="0" w:lineRule="atLeast"/>
              <w:jc w:val="center"/>
              <w:rPr>
                <w:rFonts w:eastAsiaTheme="minorEastAsia"/>
                <w:snapToGrid w:val="0"/>
                <w:szCs w:val="21"/>
              </w:rPr>
            </w:pPr>
          </w:p>
        </w:tc>
        <w:tc>
          <w:tcPr>
            <w:tcW w:w="567" w:type="dxa"/>
            <w:vMerge/>
            <w:vAlign w:val="center"/>
          </w:tcPr>
          <w:p w:rsidR="003A7922" w:rsidRPr="00F9522B" w:rsidRDefault="003A7922" w:rsidP="003A7922">
            <w:pPr>
              <w:adjustRightInd w:val="0"/>
              <w:snapToGrid w:val="0"/>
              <w:spacing w:line="0" w:lineRule="atLeast"/>
              <w:jc w:val="center"/>
              <w:rPr>
                <w:rFonts w:eastAsiaTheme="minorEastAsia"/>
                <w:snapToGrid w:val="0"/>
                <w:szCs w:val="21"/>
              </w:rPr>
            </w:pPr>
          </w:p>
        </w:tc>
        <w:tc>
          <w:tcPr>
            <w:tcW w:w="851" w:type="dxa"/>
            <w:vMerge/>
            <w:vAlign w:val="center"/>
          </w:tcPr>
          <w:p w:rsidR="003A7922" w:rsidRPr="00F9522B" w:rsidRDefault="003A7922" w:rsidP="003A7922">
            <w:pPr>
              <w:adjustRightInd w:val="0"/>
              <w:snapToGrid w:val="0"/>
              <w:spacing w:line="0" w:lineRule="atLeast"/>
              <w:jc w:val="center"/>
              <w:rPr>
                <w:rFonts w:eastAsiaTheme="minorEastAsia"/>
                <w:snapToGrid w:val="0"/>
                <w:szCs w:val="21"/>
              </w:rPr>
            </w:pPr>
          </w:p>
        </w:tc>
        <w:tc>
          <w:tcPr>
            <w:tcW w:w="1417" w:type="dxa"/>
            <w:vAlign w:val="center"/>
          </w:tcPr>
          <w:p w:rsidR="003A7922" w:rsidRPr="00F9522B" w:rsidRDefault="003A7922"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机电井</w:t>
            </w:r>
            <w:r w:rsidRPr="00F9522B">
              <w:rPr>
                <w:rFonts w:eastAsiaTheme="minorEastAsia"/>
                <w:snapToGrid w:val="0"/>
                <w:szCs w:val="21"/>
              </w:rPr>
              <w:t>-3</w:t>
            </w:r>
          </w:p>
        </w:tc>
        <w:tc>
          <w:tcPr>
            <w:tcW w:w="1389" w:type="dxa"/>
            <w:shd w:val="clear" w:color="auto" w:fill="auto"/>
            <w:vAlign w:val="center"/>
          </w:tcPr>
          <w:p w:rsidR="003A7922" w:rsidRPr="00F9522B" w:rsidRDefault="003A7922" w:rsidP="003A7922">
            <w:pPr>
              <w:adjustRightInd w:val="0"/>
              <w:snapToGrid w:val="0"/>
              <w:spacing w:line="0" w:lineRule="atLeast"/>
              <w:jc w:val="center"/>
              <w:rPr>
                <w:rFonts w:eastAsiaTheme="minorEastAsia"/>
                <w:szCs w:val="21"/>
              </w:rPr>
            </w:pPr>
            <w:r w:rsidRPr="00F9522B">
              <w:rPr>
                <w:rFonts w:eastAsiaTheme="minorEastAsia"/>
                <w:szCs w:val="21"/>
              </w:rPr>
              <w:t>S20</w:t>
            </w:r>
          </w:p>
        </w:tc>
      </w:tr>
      <w:tr w:rsidR="003A7922" w:rsidRPr="00F9522B" w:rsidTr="003A7922">
        <w:trPr>
          <w:trHeight w:val="178"/>
          <w:jc w:val="center"/>
        </w:trPr>
        <w:tc>
          <w:tcPr>
            <w:tcW w:w="1326" w:type="dxa"/>
            <w:vMerge/>
            <w:shd w:val="clear" w:color="auto" w:fill="auto"/>
            <w:vAlign w:val="center"/>
          </w:tcPr>
          <w:p w:rsidR="003A7922" w:rsidRPr="00F9522B" w:rsidRDefault="003A7922" w:rsidP="003A7922">
            <w:pPr>
              <w:spacing w:line="0" w:lineRule="atLeast"/>
              <w:jc w:val="center"/>
              <w:rPr>
                <w:rFonts w:eastAsiaTheme="minorEastAsia"/>
                <w:szCs w:val="21"/>
              </w:rPr>
            </w:pPr>
          </w:p>
        </w:tc>
        <w:tc>
          <w:tcPr>
            <w:tcW w:w="830" w:type="dxa"/>
            <w:vMerge/>
            <w:vAlign w:val="center"/>
          </w:tcPr>
          <w:p w:rsidR="003A7922" w:rsidRPr="00F9522B" w:rsidRDefault="003A7922" w:rsidP="003A7922">
            <w:pPr>
              <w:adjustRightInd w:val="0"/>
              <w:snapToGrid w:val="0"/>
              <w:spacing w:line="0" w:lineRule="atLeast"/>
              <w:jc w:val="center"/>
              <w:rPr>
                <w:rFonts w:eastAsiaTheme="minorEastAsia"/>
                <w:snapToGrid w:val="0"/>
                <w:szCs w:val="21"/>
              </w:rPr>
            </w:pPr>
          </w:p>
        </w:tc>
        <w:tc>
          <w:tcPr>
            <w:tcW w:w="993" w:type="dxa"/>
            <w:vMerge/>
            <w:vAlign w:val="center"/>
          </w:tcPr>
          <w:p w:rsidR="003A7922" w:rsidRPr="00F9522B" w:rsidRDefault="003A7922" w:rsidP="003A7922">
            <w:pPr>
              <w:adjustRightInd w:val="0"/>
              <w:snapToGrid w:val="0"/>
              <w:spacing w:line="0" w:lineRule="atLeast"/>
              <w:jc w:val="center"/>
              <w:rPr>
                <w:rFonts w:eastAsiaTheme="minorEastAsia"/>
                <w:snapToGrid w:val="0"/>
                <w:szCs w:val="21"/>
              </w:rPr>
            </w:pPr>
          </w:p>
        </w:tc>
        <w:tc>
          <w:tcPr>
            <w:tcW w:w="708" w:type="dxa"/>
            <w:vMerge/>
            <w:vAlign w:val="center"/>
          </w:tcPr>
          <w:p w:rsidR="003A7922" w:rsidRPr="00F9522B" w:rsidRDefault="003A7922" w:rsidP="003A7922">
            <w:pPr>
              <w:adjustRightInd w:val="0"/>
              <w:snapToGrid w:val="0"/>
              <w:spacing w:line="0" w:lineRule="atLeast"/>
              <w:jc w:val="center"/>
              <w:rPr>
                <w:rFonts w:eastAsiaTheme="minorEastAsia"/>
                <w:snapToGrid w:val="0"/>
                <w:szCs w:val="21"/>
              </w:rPr>
            </w:pPr>
          </w:p>
        </w:tc>
        <w:tc>
          <w:tcPr>
            <w:tcW w:w="567" w:type="dxa"/>
            <w:vMerge/>
            <w:vAlign w:val="center"/>
          </w:tcPr>
          <w:p w:rsidR="003A7922" w:rsidRPr="00F9522B" w:rsidRDefault="003A7922" w:rsidP="003A7922">
            <w:pPr>
              <w:adjustRightInd w:val="0"/>
              <w:snapToGrid w:val="0"/>
              <w:spacing w:line="0" w:lineRule="atLeast"/>
              <w:jc w:val="center"/>
              <w:rPr>
                <w:rFonts w:eastAsiaTheme="minorEastAsia"/>
                <w:snapToGrid w:val="0"/>
                <w:szCs w:val="21"/>
              </w:rPr>
            </w:pPr>
          </w:p>
        </w:tc>
        <w:tc>
          <w:tcPr>
            <w:tcW w:w="851" w:type="dxa"/>
            <w:vMerge/>
            <w:vAlign w:val="center"/>
          </w:tcPr>
          <w:p w:rsidR="003A7922" w:rsidRPr="00F9522B" w:rsidRDefault="003A7922" w:rsidP="003A7922">
            <w:pPr>
              <w:adjustRightInd w:val="0"/>
              <w:snapToGrid w:val="0"/>
              <w:spacing w:line="0" w:lineRule="atLeast"/>
              <w:jc w:val="center"/>
              <w:rPr>
                <w:rFonts w:eastAsiaTheme="minorEastAsia"/>
                <w:snapToGrid w:val="0"/>
                <w:szCs w:val="21"/>
              </w:rPr>
            </w:pPr>
          </w:p>
        </w:tc>
        <w:tc>
          <w:tcPr>
            <w:tcW w:w="1417" w:type="dxa"/>
            <w:vAlign w:val="center"/>
          </w:tcPr>
          <w:p w:rsidR="003A7922" w:rsidRPr="00F9522B" w:rsidRDefault="003A7922"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排水沟</w:t>
            </w:r>
            <w:r w:rsidRPr="00F9522B">
              <w:rPr>
                <w:rFonts w:eastAsiaTheme="minorEastAsia"/>
                <w:snapToGrid w:val="0"/>
                <w:szCs w:val="21"/>
              </w:rPr>
              <w:t>-1</w:t>
            </w:r>
          </w:p>
        </w:tc>
        <w:tc>
          <w:tcPr>
            <w:tcW w:w="1389" w:type="dxa"/>
            <w:shd w:val="clear" w:color="auto" w:fill="auto"/>
            <w:vAlign w:val="center"/>
          </w:tcPr>
          <w:p w:rsidR="003A7922" w:rsidRPr="00F9522B" w:rsidRDefault="003A7922" w:rsidP="003A7922">
            <w:pPr>
              <w:adjustRightInd w:val="0"/>
              <w:snapToGrid w:val="0"/>
              <w:spacing w:line="0" w:lineRule="atLeast"/>
              <w:jc w:val="center"/>
              <w:rPr>
                <w:rFonts w:eastAsiaTheme="minorEastAsia"/>
                <w:szCs w:val="21"/>
              </w:rPr>
            </w:pPr>
            <w:r w:rsidRPr="00F9522B">
              <w:rPr>
                <w:rFonts w:eastAsiaTheme="minorEastAsia"/>
                <w:szCs w:val="21"/>
              </w:rPr>
              <w:t>N60</w:t>
            </w:r>
          </w:p>
        </w:tc>
      </w:tr>
      <w:tr w:rsidR="003A7922" w:rsidRPr="00F9522B" w:rsidTr="003A7922">
        <w:trPr>
          <w:trHeight w:val="180"/>
          <w:jc w:val="center"/>
        </w:trPr>
        <w:tc>
          <w:tcPr>
            <w:tcW w:w="1326" w:type="dxa"/>
            <w:vMerge/>
            <w:shd w:val="clear" w:color="auto" w:fill="auto"/>
            <w:vAlign w:val="center"/>
          </w:tcPr>
          <w:p w:rsidR="003A7922" w:rsidRPr="00F9522B" w:rsidRDefault="003A7922" w:rsidP="003A7922">
            <w:pPr>
              <w:spacing w:line="0" w:lineRule="atLeast"/>
              <w:jc w:val="center"/>
              <w:rPr>
                <w:rFonts w:eastAsiaTheme="minorEastAsia"/>
                <w:szCs w:val="21"/>
              </w:rPr>
            </w:pPr>
          </w:p>
        </w:tc>
        <w:tc>
          <w:tcPr>
            <w:tcW w:w="830" w:type="dxa"/>
            <w:vMerge/>
            <w:vAlign w:val="center"/>
          </w:tcPr>
          <w:p w:rsidR="003A7922" w:rsidRPr="00F9522B" w:rsidRDefault="003A7922" w:rsidP="003A7922">
            <w:pPr>
              <w:adjustRightInd w:val="0"/>
              <w:snapToGrid w:val="0"/>
              <w:spacing w:line="0" w:lineRule="atLeast"/>
              <w:jc w:val="center"/>
              <w:rPr>
                <w:rFonts w:eastAsiaTheme="minorEastAsia"/>
                <w:snapToGrid w:val="0"/>
                <w:szCs w:val="21"/>
              </w:rPr>
            </w:pPr>
          </w:p>
        </w:tc>
        <w:tc>
          <w:tcPr>
            <w:tcW w:w="993" w:type="dxa"/>
            <w:vMerge/>
            <w:vAlign w:val="center"/>
          </w:tcPr>
          <w:p w:rsidR="003A7922" w:rsidRPr="00F9522B" w:rsidRDefault="003A7922" w:rsidP="003A7922">
            <w:pPr>
              <w:adjustRightInd w:val="0"/>
              <w:snapToGrid w:val="0"/>
              <w:spacing w:line="0" w:lineRule="atLeast"/>
              <w:jc w:val="center"/>
              <w:rPr>
                <w:rFonts w:eastAsiaTheme="minorEastAsia"/>
                <w:snapToGrid w:val="0"/>
                <w:szCs w:val="21"/>
              </w:rPr>
            </w:pPr>
          </w:p>
        </w:tc>
        <w:tc>
          <w:tcPr>
            <w:tcW w:w="708" w:type="dxa"/>
            <w:vMerge/>
            <w:vAlign w:val="center"/>
          </w:tcPr>
          <w:p w:rsidR="003A7922" w:rsidRPr="00F9522B" w:rsidRDefault="003A7922" w:rsidP="003A7922">
            <w:pPr>
              <w:adjustRightInd w:val="0"/>
              <w:snapToGrid w:val="0"/>
              <w:spacing w:line="0" w:lineRule="atLeast"/>
              <w:jc w:val="center"/>
              <w:rPr>
                <w:rFonts w:eastAsiaTheme="minorEastAsia"/>
                <w:snapToGrid w:val="0"/>
                <w:szCs w:val="21"/>
              </w:rPr>
            </w:pPr>
          </w:p>
        </w:tc>
        <w:tc>
          <w:tcPr>
            <w:tcW w:w="567" w:type="dxa"/>
            <w:vMerge/>
            <w:vAlign w:val="center"/>
          </w:tcPr>
          <w:p w:rsidR="003A7922" w:rsidRPr="00F9522B" w:rsidRDefault="003A7922" w:rsidP="003A7922">
            <w:pPr>
              <w:adjustRightInd w:val="0"/>
              <w:snapToGrid w:val="0"/>
              <w:spacing w:line="0" w:lineRule="atLeast"/>
              <w:jc w:val="center"/>
              <w:rPr>
                <w:rFonts w:eastAsiaTheme="minorEastAsia"/>
                <w:snapToGrid w:val="0"/>
                <w:szCs w:val="21"/>
              </w:rPr>
            </w:pPr>
          </w:p>
        </w:tc>
        <w:tc>
          <w:tcPr>
            <w:tcW w:w="851" w:type="dxa"/>
            <w:vMerge/>
            <w:vAlign w:val="center"/>
          </w:tcPr>
          <w:p w:rsidR="003A7922" w:rsidRPr="00F9522B" w:rsidRDefault="003A7922" w:rsidP="003A7922">
            <w:pPr>
              <w:adjustRightInd w:val="0"/>
              <w:snapToGrid w:val="0"/>
              <w:spacing w:line="0" w:lineRule="atLeast"/>
              <w:jc w:val="center"/>
              <w:rPr>
                <w:rFonts w:eastAsiaTheme="minorEastAsia"/>
                <w:snapToGrid w:val="0"/>
                <w:szCs w:val="21"/>
              </w:rPr>
            </w:pPr>
          </w:p>
        </w:tc>
        <w:tc>
          <w:tcPr>
            <w:tcW w:w="1417" w:type="dxa"/>
            <w:vAlign w:val="center"/>
          </w:tcPr>
          <w:p w:rsidR="003A7922" w:rsidRPr="00F9522B" w:rsidRDefault="003A7922"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涵</w:t>
            </w:r>
            <w:r w:rsidRPr="00F9522B">
              <w:rPr>
                <w:rFonts w:eastAsiaTheme="minorEastAsia"/>
                <w:snapToGrid w:val="0"/>
                <w:szCs w:val="21"/>
              </w:rPr>
              <w:t>-3</w:t>
            </w:r>
          </w:p>
        </w:tc>
        <w:tc>
          <w:tcPr>
            <w:tcW w:w="1389" w:type="dxa"/>
            <w:shd w:val="clear" w:color="auto" w:fill="auto"/>
            <w:vAlign w:val="center"/>
          </w:tcPr>
          <w:p w:rsidR="003A7922" w:rsidRPr="00F9522B" w:rsidRDefault="003A7922" w:rsidP="003A7922">
            <w:pPr>
              <w:adjustRightInd w:val="0"/>
              <w:snapToGrid w:val="0"/>
              <w:spacing w:line="0" w:lineRule="atLeast"/>
              <w:jc w:val="center"/>
              <w:rPr>
                <w:rFonts w:eastAsiaTheme="minorEastAsia"/>
                <w:szCs w:val="21"/>
              </w:rPr>
            </w:pPr>
            <w:r w:rsidRPr="00F9522B">
              <w:rPr>
                <w:rFonts w:eastAsiaTheme="minorEastAsia"/>
                <w:szCs w:val="21"/>
              </w:rPr>
              <w:t>E50</w:t>
            </w:r>
          </w:p>
        </w:tc>
      </w:tr>
      <w:tr w:rsidR="00FB5EB0" w:rsidRPr="00F9522B" w:rsidTr="003A7922">
        <w:trPr>
          <w:trHeight w:val="178"/>
          <w:jc w:val="center"/>
        </w:trPr>
        <w:tc>
          <w:tcPr>
            <w:tcW w:w="1326" w:type="dxa"/>
            <w:vMerge w:val="restart"/>
            <w:shd w:val="clear" w:color="auto" w:fill="auto"/>
            <w:vAlign w:val="center"/>
          </w:tcPr>
          <w:p w:rsidR="00FB5EB0" w:rsidRPr="00F9522B" w:rsidRDefault="00FB5EB0" w:rsidP="003A7922">
            <w:pPr>
              <w:spacing w:line="0" w:lineRule="atLeast"/>
              <w:jc w:val="center"/>
              <w:rPr>
                <w:rFonts w:eastAsiaTheme="minorEastAsia"/>
                <w:szCs w:val="21"/>
              </w:rPr>
            </w:pPr>
            <w:r w:rsidRPr="00F9522B">
              <w:rPr>
                <w:rFonts w:eastAsiaTheme="minorEastAsia"/>
                <w:szCs w:val="21"/>
              </w:rPr>
              <w:t>阿堡村</w:t>
            </w:r>
          </w:p>
        </w:tc>
        <w:tc>
          <w:tcPr>
            <w:tcW w:w="830" w:type="dxa"/>
            <w:vMerge w:val="restart"/>
            <w:vAlign w:val="center"/>
          </w:tcPr>
          <w:p w:rsidR="00FB5EB0" w:rsidRPr="00F9522B" w:rsidRDefault="00FB5EB0" w:rsidP="003A7922">
            <w:pPr>
              <w:rPr>
                <w:rFonts w:eastAsiaTheme="minorEastAsia"/>
                <w:szCs w:val="21"/>
              </w:rPr>
            </w:pPr>
            <w:r w:rsidRPr="00F9522B">
              <w:rPr>
                <w:rFonts w:eastAsiaTheme="minorEastAsia"/>
                <w:szCs w:val="21"/>
              </w:rPr>
              <w:t>126.9892224</w:t>
            </w:r>
          </w:p>
        </w:tc>
        <w:tc>
          <w:tcPr>
            <w:tcW w:w="993"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46.100081</w:t>
            </w: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环境空气：二类区；声环境：一类区</w:t>
            </w: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涵</w:t>
            </w:r>
            <w:r w:rsidRPr="00F9522B">
              <w:rPr>
                <w:rFonts w:eastAsiaTheme="minorEastAsia"/>
                <w:snapToGrid w:val="0"/>
                <w:szCs w:val="21"/>
              </w:rPr>
              <w:t>-10</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E10</w:t>
            </w:r>
          </w:p>
        </w:tc>
      </w:tr>
      <w:tr w:rsidR="00FB5EB0" w:rsidRPr="00F9522B" w:rsidTr="003A7922">
        <w:trPr>
          <w:trHeight w:val="178"/>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napToGrid w:val="0"/>
                <w:szCs w:val="21"/>
              </w:rPr>
              <w:t>机电井</w:t>
            </w:r>
            <w:r w:rsidRPr="00F9522B">
              <w:rPr>
                <w:rFonts w:eastAsiaTheme="minorEastAsia"/>
                <w:snapToGrid w:val="0"/>
                <w:szCs w:val="21"/>
              </w:rPr>
              <w:t>-4</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S80</w:t>
            </w:r>
          </w:p>
        </w:tc>
      </w:tr>
      <w:tr w:rsidR="00FB5EB0" w:rsidRPr="00F9522B" w:rsidTr="003A7922">
        <w:trPr>
          <w:trHeight w:val="178"/>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机电井</w:t>
            </w:r>
            <w:r w:rsidRPr="00F9522B">
              <w:rPr>
                <w:rFonts w:eastAsiaTheme="minorEastAsia"/>
                <w:snapToGrid w:val="0"/>
                <w:szCs w:val="21"/>
              </w:rPr>
              <w:t>-6</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S85</w:t>
            </w:r>
          </w:p>
        </w:tc>
      </w:tr>
      <w:tr w:rsidR="00FB5EB0" w:rsidRPr="00F9522B" w:rsidTr="003A7922">
        <w:trPr>
          <w:trHeight w:val="180"/>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机耕路</w:t>
            </w:r>
            <w:r w:rsidRPr="00F9522B">
              <w:rPr>
                <w:rFonts w:eastAsiaTheme="minorEastAsia"/>
                <w:snapToGrid w:val="0"/>
                <w:szCs w:val="21"/>
              </w:rPr>
              <w:t>-7</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W15</w:t>
            </w:r>
          </w:p>
        </w:tc>
      </w:tr>
      <w:tr w:rsidR="00FB5EB0" w:rsidRPr="00F9522B" w:rsidTr="003A7922">
        <w:trPr>
          <w:trHeight w:val="180"/>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排水沟</w:t>
            </w:r>
            <w:r w:rsidRPr="00F9522B">
              <w:rPr>
                <w:rFonts w:eastAsiaTheme="minorEastAsia"/>
                <w:snapToGrid w:val="0"/>
                <w:szCs w:val="21"/>
              </w:rPr>
              <w:t>-5</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E20</w:t>
            </w:r>
          </w:p>
        </w:tc>
      </w:tr>
      <w:tr w:rsidR="00030F6B" w:rsidRPr="00F9522B" w:rsidTr="003A7922">
        <w:trPr>
          <w:trHeight w:val="178"/>
          <w:jc w:val="center"/>
        </w:trPr>
        <w:tc>
          <w:tcPr>
            <w:tcW w:w="1326" w:type="dxa"/>
            <w:vMerge w:val="restart"/>
            <w:shd w:val="clear" w:color="auto" w:fill="auto"/>
            <w:vAlign w:val="center"/>
          </w:tcPr>
          <w:p w:rsidR="00030F6B" w:rsidRPr="00F9522B" w:rsidRDefault="00030F6B" w:rsidP="003A7922">
            <w:pPr>
              <w:spacing w:line="0" w:lineRule="atLeast"/>
              <w:jc w:val="center"/>
              <w:rPr>
                <w:rFonts w:eastAsiaTheme="minorEastAsia"/>
                <w:szCs w:val="21"/>
              </w:rPr>
            </w:pPr>
            <w:r w:rsidRPr="00F9522B">
              <w:rPr>
                <w:rFonts w:eastAsiaTheme="minorEastAsia"/>
                <w:szCs w:val="21"/>
              </w:rPr>
              <w:t>小宛家</w:t>
            </w:r>
          </w:p>
        </w:tc>
        <w:tc>
          <w:tcPr>
            <w:tcW w:w="830" w:type="dxa"/>
            <w:vMerge w:val="restart"/>
            <w:vAlign w:val="center"/>
          </w:tcPr>
          <w:p w:rsidR="00030F6B" w:rsidRPr="00F9522B" w:rsidRDefault="00030F6B"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126.9658335</w:t>
            </w:r>
          </w:p>
        </w:tc>
        <w:tc>
          <w:tcPr>
            <w:tcW w:w="993" w:type="dxa"/>
            <w:vMerge w:val="restart"/>
            <w:vAlign w:val="center"/>
          </w:tcPr>
          <w:p w:rsidR="00030F6B" w:rsidRPr="00F9522B" w:rsidRDefault="00030F6B"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46.106032</w:t>
            </w:r>
          </w:p>
        </w:tc>
        <w:tc>
          <w:tcPr>
            <w:tcW w:w="708" w:type="dxa"/>
            <w:vMerge/>
            <w:vAlign w:val="center"/>
          </w:tcPr>
          <w:p w:rsidR="00030F6B" w:rsidRPr="00F9522B" w:rsidRDefault="00030F6B" w:rsidP="003A7922">
            <w:pPr>
              <w:adjustRightInd w:val="0"/>
              <w:snapToGrid w:val="0"/>
              <w:spacing w:line="0" w:lineRule="atLeast"/>
              <w:jc w:val="center"/>
              <w:rPr>
                <w:rFonts w:eastAsiaTheme="minorEastAsia"/>
                <w:snapToGrid w:val="0"/>
                <w:szCs w:val="21"/>
              </w:rPr>
            </w:pPr>
          </w:p>
        </w:tc>
        <w:tc>
          <w:tcPr>
            <w:tcW w:w="567" w:type="dxa"/>
            <w:vMerge/>
            <w:vAlign w:val="center"/>
          </w:tcPr>
          <w:p w:rsidR="00030F6B" w:rsidRPr="00F9522B" w:rsidRDefault="00030F6B" w:rsidP="003A7922">
            <w:pPr>
              <w:adjustRightInd w:val="0"/>
              <w:snapToGrid w:val="0"/>
              <w:spacing w:line="0" w:lineRule="atLeast"/>
              <w:jc w:val="center"/>
              <w:rPr>
                <w:rFonts w:eastAsiaTheme="minorEastAsia"/>
                <w:snapToGrid w:val="0"/>
                <w:szCs w:val="21"/>
              </w:rPr>
            </w:pPr>
          </w:p>
        </w:tc>
        <w:tc>
          <w:tcPr>
            <w:tcW w:w="851" w:type="dxa"/>
            <w:vMerge/>
            <w:vAlign w:val="center"/>
          </w:tcPr>
          <w:p w:rsidR="00030F6B" w:rsidRPr="00F9522B" w:rsidRDefault="00030F6B" w:rsidP="003A7922">
            <w:pPr>
              <w:adjustRightInd w:val="0"/>
              <w:snapToGrid w:val="0"/>
              <w:spacing w:line="0" w:lineRule="atLeast"/>
              <w:jc w:val="center"/>
              <w:rPr>
                <w:rFonts w:eastAsiaTheme="minorEastAsia"/>
                <w:snapToGrid w:val="0"/>
                <w:szCs w:val="21"/>
              </w:rPr>
            </w:pPr>
          </w:p>
        </w:tc>
        <w:tc>
          <w:tcPr>
            <w:tcW w:w="1417" w:type="dxa"/>
            <w:vAlign w:val="center"/>
          </w:tcPr>
          <w:p w:rsidR="00030F6B" w:rsidRPr="00F9522B" w:rsidRDefault="00030F6B"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过水路面</w:t>
            </w:r>
            <w:r w:rsidRPr="00F9522B">
              <w:rPr>
                <w:rFonts w:eastAsiaTheme="minorEastAsia"/>
                <w:snapToGrid w:val="0"/>
                <w:szCs w:val="21"/>
              </w:rPr>
              <w:t>-59</w:t>
            </w:r>
          </w:p>
        </w:tc>
        <w:tc>
          <w:tcPr>
            <w:tcW w:w="1389" w:type="dxa"/>
            <w:shd w:val="clear" w:color="auto" w:fill="auto"/>
            <w:vAlign w:val="center"/>
          </w:tcPr>
          <w:p w:rsidR="00030F6B" w:rsidRPr="00F9522B" w:rsidRDefault="00030F6B" w:rsidP="003A7922">
            <w:pPr>
              <w:adjustRightInd w:val="0"/>
              <w:snapToGrid w:val="0"/>
              <w:spacing w:line="0" w:lineRule="atLeast"/>
              <w:jc w:val="center"/>
              <w:rPr>
                <w:rFonts w:eastAsiaTheme="minorEastAsia"/>
                <w:szCs w:val="21"/>
              </w:rPr>
            </w:pPr>
            <w:r w:rsidRPr="00F9522B">
              <w:rPr>
                <w:rFonts w:eastAsiaTheme="minorEastAsia"/>
                <w:szCs w:val="21"/>
              </w:rPr>
              <w:t>SE20</w:t>
            </w:r>
          </w:p>
        </w:tc>
      </w:tr>
      <w:tr w:rsidR="00030F6B" w:rsidRPr="00F9522B" w:rsidTr="003A7922">
        <w:trPr>
          <w:trHeight w:val="178"/>
          <w:jc w:val="center"/>
        </w:trPr>
        <w:tc>
          <w:tcPr>
            <w:tcW w:w="1326" w:type="dxa"/>
            <w:vMerge/>
            <w:shd w:val="clear" w:color="auto" w:fill="auto"/>
            <w:vAlign w:val="center"/>
          </w:tcPr>
          <w:p w:rsidR="00030F6B" w:rsidRPr="00F9522B" w:rsidRDefault="00030F6B" w:rsidP="003A7922">
            <w:pPr>
              <w:spacing w:line="0" w:lineRule="atLeast"/>
              <w:jc w:val="center"/>
              <w:rPr>
                <w:rFonts w:eastAsiaTheme="minorEastAsia"/>
                <w:szCs w:val="21"/>
              </w:rPr>
            </w:pPr>
          </w:p>
        </w:tc>
        <w:tc>
          <w:tcPr>
            <w:tcW w:w="830" w:type="dxa"/>
            <w:vMerge/>
            <w:vAlign w:val="center"/>
          </w:tcPr>
          <w:p w:rsidR="00030F6B" w:rsidRPr="00F9522B" w:rsidRDefault="00030F6B" w:rsidP="003A7922">
            <w:pPr>
              <w:adjustRightInd w:val="0"/>
              <w:snapToGrid w:val="0"/>
              <w:spacing w:line="0" w:lineRule="atLeast"/>
              <w:jc w:val="center"/>
              <w:rPr>
                <w:rFonts w:eastAsiaTheme="minorEastAsia"/>
                <w:snapToGrid w:val="0"/>
                <w:szCs w:val="21"/>
              </w:rPr>
            </w:pPr>
          </w:p>
        </w:tc>
        <w:tc>
          <w:tcPr>
            <w:tcW w:w="993" w:type="dxa"/>
            <w:vMerge/>
            <w:vAlign w:val="center"/>
          </w:tcPr>
          <w:p w:rsidR="00030F6B" w:rsidRPr="00F9522B" w:rsidRDefault="00030F6B" w:rsidP="003A7922">
            <w:pPr>
              <w:adjustRightInd w:val="0"/>
              <w:snapToGrid w:val="0"/>
              <w:spacing w:line="0" w:lineRule="atLeast"/>
              <w:jc w:val="center"/>
              <w:rPr>
                <w:rFonts w:eastAsiaTheme="minorEastAsia"/>
                <w:snapToGrid w:val="0"/>
                <w:szCs w:val="21"/>
              </w:rPr>
            </w:pPr>
          </w:p>
        </w:tc>
        <w:tc>
          <w:tcPr>
            <w:tcW w:w="708" w:type="dxa"/>
            <w:vMerge/>
            <w:vAlign w:val="center"/>
          </w:tcPr>
          <w:p w:rsidR="00030F6B" w:rsidRPr="00F9522B" w:rsidRDefault="00030F6B" w:rsidP="003A7922">
            <w:pPr>
              <w:adjustRightInd w:val="0"/>
              <w:snapToGrid w:val="0"/>
              <w:spacing w:line="0" w:lineRule="atLeast"/>
              <w:jc w:val="center"/>
              <w:rPr>
                <w:rFonts w:eastAsiaTheme="minorEastAsia"/>
                <w:snapToGrid w:val="0"/>
                <w:szCs w:val="21"/>
              </w:rPr>
            </w:pPr>
          </w:p>
        </w:tc>
        <w:tc>
          <w:tcPr>
            <w:tcW w:w="567" w:type="dxa"/>
            <w:vMerge/>
            <w:vAlign w:val="center"/>
          </w:tcPr>
          <w:p w:rsidR="00030F6B" w:rsidRPr="00F9522B" w:rsidRDefault="00030F6B" w:rsidP="003A7922">
            <w:pPr>
              <w:adjustRightInd w:val="0"/>
              <w:snapToGrid w:val="0"/>
              <w:spacing w:line="0" w:lineRule="atLeast"/>
              <w:jc w:val="center"/>
              <w:rPr>
                <w:rFonts w:eastAsiaTheme="minorEastAsia"/>
                <w:snapToGrid w:val="0"/>
                <w:szCs w:val="21"/>
              </w:rPr>
            </w:pPr>
          </w:p>
        </w:tc>
        <w:tc>
          <w:tcPr>
            <w:tcW w:w="851" w:type="dxa"/>
            <w:vMerge/>
            <w:vAlign w:val="center"/>
          </w:tcPr>
          <w:p w:rsidR="00030F6B" w:rsidRPr="00F9522B" w:rsidRDefault="00030F6B" w:rsidP="003A7922">
            <w:pPr>
              <w:adjustRightInd w:val="0"/>
              <w:snapToGrid w:val="0"/>
              <w:spacing w:line="0" w:lineRule="atLeast"/>
              <w:jc w:val="center"/>
              <w:rPr>
                <w:rFonts w:eastAsiaTheme="minorEastAsia"/>
                <w:snapToGrid w:val="0"/>
                <w:szCs w:val="21"/>
              </w:rPr>
            </w:pPr>
          </w:p>
        </w:tc>
        <w:tc>
          <w:tcPr>
            <w:tcW w:w="1417" w:type="dxa"/>
            <w:vAlign w:val="center"/>
          </w:tcPr>
          <w:p w:rsidR="00030F6B" w:rsidRPr="00F9522B" w:rsidRDefault="00030F6B"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机耕路</w:t>
            </w:r>
            <w:r w:rsidRPr="00F9522B">
              <w:rPr>
                <w:rFonts w:eastAsiaTheme="minorEastAsia"/>
                <w:snapToGrid w:val="0"/>
                <w:szCs w:val="21"/>
              </w:rPr>
              <w:t>-1</w:t>
            </w:r>
          </w:p>
        </w:tc>
        <w:tc>
          <w:tcPr>
            <w:tcW w:w="1389" w:type="dxa"/>
            <w:shd w:val="clear" w:color="auto" w:fill="auto"/>
            <w:vAlign w:val="center"/>
          </w:tcPr>
          <w:p w:rsidR="00030F6B" w:rsidRPr="00F9522B" w:rsidRDefault="00030F6B" w:rsidP="003A7922">
            <w:pPr>
              <w:adjustRightInd w:val="0"/>
              <w:snapToGrid w:val="0"/>
              <w:spacing w:line="0" w:lineRule="atLeast"/>
              <w:jc w:val="center"/>
              <w:rPr>
                <w:rFonts w:eastAsiaTheme="minorEastAsia"/>
                <w:szCs w:val="21"/>
              </w:rPr>
            </w:pPr>
            <w:r w:rsidRPr="00F9522B">
              <w:rPr>
                <w:rFonts w:eastAsiaTheme="minorEastAsia"/>
                <w:szCs w:val="21"/>
              </w:rPr>
              <w:t>N5</w:t>
            </w:r>
          </w:p>
        </w:tc>
      </w:tr>
      <w:tr w:rsidR="00030F6B" w:rsidRPr="00F9522B" w:rsidTr="003A7922">
        <w:trPr>
          <w:trHeight w:val="180"/>
          <w:jc w:val="center"/>
        </w:trPr>
        <w:tc>
          <w:tcPr>
            <w:tcW w:w="1326" w:type="dxa"/>
            <w:vMerge/>
            <w:shd w:val="clear" w:color="auto" w:fill="auto"/>
            <w:vAlign w:val="center"/>
          </w:tcPr>
          <w:p w:rsidR="00030F6B" w:rsidRPr="00F9522B" w:rsidRDefault="00030F6B" w:rsidP="003A7922">
            <w:pPr>
              <w:spacing w:line="0" w:lineRule="atLeast"/>
              <w:jc w:val="center"/>
              <w:rPr>
                <w:rFonts w:eastAsiaTheme="minorEastAsia"/>
                <w:szCs w:val="21"/>
              </w:rPr>
            </w:pPr>
          </w:p>
        </w:tc>
        <w:tc>
          <w:tcPr>
            <w:tcW w:w="830" w:type="dxa"/>
            <w:vMerge/>
            <w:vAlign w:val="center"/>
          </w:tcPr>
          <w:p w:rsidR="00030F6B" w:rsidRPr="00F9522B" w:rsidRDefault="00030F6B" w:rsidP="003A7922">
            <w:pPr>
              <w:adjustRightInd w:val="0"/>
              <w:snapToGrid w:val="0"/>
              <w:spacing w:line="0" w:lineRule="atLeast"/>
              <w:jc w:val="center"/>
              <w:rPr>
                <w:rFonts w:eastAsiaTheme="minorEastAsia"/>
                <w:snapToGrid w:val="0"/>
                <w:szCs w:val="21"/>
              </w:rPr>
            </w:pPr>
          </w:p>
        </w:tc>
        <w:tc>
          <w:tcPr>
            <w:tcW w:w="993" w:type="dxa"/>
            <w:vMerge/>
            <w:vAlign w:val="center"/>
          </w:tcPr>
          <w:p w:rsidR="00030F6B" w:rsidRPr="00F9522B" w:rsidRDefault="00030F6B" w:rsidP="003A7922">
            <w:pPr>
              <w:adjustRightInd w:val="0"/>
              <w:snapToGrid w:val="0"/>
              <w:spacing w:line="0" w:lineRule="atLeast"/>
              <w:jc w:val="center"/>
              <w:rPr>
                <w:rFonts w:eastAsiaTheme="minorEastAsia"/>
                <w:snapToGrid w:val="0"/>
                <w:szCs w:val="21"/>
              </w:rPr>
            </w:pPr>
          </w:p>
        </w:tc>
        <w:tc>
          <w:tcPr>
            <w:tcW w:w="708" w:type="dxa"/>
            <w:vMerge/>
            <w:vAlign w:val="center"/>
          </w:tcPr>
          <w:p w:rsidR="00030F6B" w:rsidRPr="00F9522B" w:rsidRDefault="00030F6B" w:rsidP="003A7922">
            <w:pPr>
              <w:adjustRightInd w:val="0"/>
              <w:snapToGrid w:val="0"/>
              <w:spacing w:line="0" w:lineRule="atLeast"/>
              <w:jc w:val="center"/>
              <w:rPr>
                <w:rFonts w:eastAsiaTheme="minorEastAsia"/>
                <w:snapToGrid w:val="0"/>
                <w:szCs w:val="21"/>
              </w:rPr>
            </w:pPr>
          </w:p>
        </w:tc>
        <w:tc>
          <w:tcPr>
            <w:tcW w:w="567" w:type="dxa"/>
            <w:vMerge/>
            <w:vAlign w:val="center"/>
          </w:tcPr>
          <w:p w:rsidR="00030F6B" w:rsidRPr="00F9522B" w:rsidRDefault="00030F6B" w:rsidP="003A7922">
            <w:pPr>
              <w:adjustRightInd w:val="0"/>
              <w:snapToGrid w:val="0"/>
              <w:spacing w:line="0" w:lineRule="atLeast"/>
              <w:jc w:val="center"/>
              <w:rPr>
                <w:rFonts w:eastAsiaTheme="minorEastAsia"/>
                <w:snapToGrid w:val="0"/>
                <w:szCs w:val="21"/>
              </w:rPr>
            </w:pPr>
          </w:p>
        </w:tc>
        <w:tc>
          <w:tcPr>
            <w:tcW w:w="851" w:type="dxa"/>
            <w:vMerge/>
            <w:vAlign w:val="center"/>
          </w:tcPr>
          <w:p w:rsidR="00030F6B" w:rsidRPr="00F9522B" w:rsidRDefault="00030F6B" w:rsidP="003A7922">
            <w:pPr>
              <w:adjustRightInd w:val="0"/>
              <w:snapToGrid w:val="0"/>
              <w:spacing w:line="0" w:lineRule="atLeast"/>
              <w:jc w:val="center"/>
              <w:rPr>
                <w:rFonts w:eastAsiaTheme="minorEastAsia"/>
                <w:snapToGrid w:val="0"/>
                <w:szCs w:val="21"/>
              </w:rPr>
            </w:pPr>
          </w:p>
        </w:tc>
        <w:tc>
          <w:tcPr>
            <w:tcW w:w="1417" w:type="dxa"/>
            <w:vAlign w:val="center"/>
          </w:tcPr>
          <w:p w:rsidR="00030F6B" w:rsidRPr="00F9522B" w:rsidRDefault="00030F6B"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生产路</w:t>
            </w:r>
            <w:r w:rsidRPr="00F9522B">
              <w:rPr>
                <w:rFonts w:eastAsiaTheme="minorEastAsia"/>
                <w:snapToGrid w:val="0"/>
                <w:szCs w:val="21"/>
              </w:rPr>
              <w:t>-5</w:t>
            </w:r>
          </w:p>
        </w:tc>
        <w:tc>
          <w:tcPr>
            <w:tcW w:w="1389" w:type="dxa"/>
            <w:shd w:val="clear" w:color="auto" w:fill="auto"/>
            <w:vAlign w:val="center"/>
          </w:tcPr>
          <w:p w:rsidR="00030F6B" w:rsidRPr="00F9522B" w:rsidRDefault="00030F6B" w:rsidP="003A7922">
            <w:pPr>
              <w:adjustRightInd w:val="0"/>
              <w:snapToGrid w:val="0"/>
              <w:spacing w:line="0" w:lineRule="atLeast"/>
              <w:jc w:val="center"/>
              <w:rPr>
                <w:rFonts w:eastAsiaTheme="minorEastAsia"/>
                <w:szCs w:val="21"/>
              </w:rPr>
            </w:pPr>
            <w:r w:rsidRPr="00F9522B">
              <w:rPr>
                <w:rFonts w:eastAsiaTheme="minorEastAsia"/>
                <w:szCs w:val="21"/>
              </w:rPr>
              <w:t>W10</w:t>
            </w:r>
          </w:p>
        </w:tc>
      </w:tr>
    </w:tbl>
    <w:p w:rsidR="00FB5EB0" w:rsidRPr="00F9522B" w:rsidRDefault="00FB5EB0"/>
    <w:p w:rsidR="00FB5EB0" w:rsidRPr="00F9522B" w:rsidRDefault="00FB5EB0"/>
    <w:p w:rsidR="00FB5EB0" w:rsidRPr="00F9522B" w:rsidRDefault="00FB5EB0" w:rsidP="00FB5EB0">
      <w:pPr>
        <w:jc w:val="center"/>
        <w:rPr>
          <w:rFonts w:eastAsiaTheme="minorEastAsia"/>
        </w:rPr>
      </w:pPr>
      <w:r w:rsidRPr="00F9522B">
        <w:rPr>
          <w:rFonts w:eastAsiaTheme="minorEastAsia"/>
          <w:b/>
          <w:kern w:val="0"/>
          <w:szCs w:val="21"/>
        </w:rPr>
        <w:lastRenderedPageBreak/>
        <w:t>续表</w:t>
      </w:r>
      <w:r w:rsidRPr="00F9522B">
        <w:rPr>
          <w:rFonts w:eastAsiaTheme="minorEastAsia"/>
          <w:b/>
          <w:kern w:val="0"/>
          <w:szCs w:val="21"/>
        </w:rPr>
        <w:t>2-8-1</w:t>
      </w:r>
      <w:r w:rsidRPr="00F9522B">
        <w:rPr>
          <w:rFonts w:eastAsiaTheme="minorEastAsia"/>
          <w:b/>
          <w:kern w:val="0"/>
          <w:szCs w:val="21"/>
        </w:rPr>
        <w:t>施工期及运营期环境空气及声环境保护目标一览表</w:t>
      </w:r>
    </w:p>
    <w:tbl>
      <w:tblPr>
        <w:tblW w:w="8081" w:type="dxa"/>
        <w:jc w:val="center"/>
        <w:tblBorders>
          <w:top w:val="single" w:sz="12" w:space="0" w:color="auto"/>
          <w:bottom w:val="single" w:sz="12" w:space="0" w:color="auto"/>
          <w:insideH w:val="single" w:sz="4" w:space="0" w:color="auto"/>
          <w:insideV w:val="single" w:sz="4" w:space="0" w:color="auto"/>
        </w:tblBorders>
        <w:tblLayout w:type="fixed"/>
        <w:tblLook w:val="04A0"/>
      </w:tblPr>
      <w:tblGrid>
        <w:gridCol w:w="1326"/>
        <w:gridCol w:w="830"/>
        <w:gridCol w:w="993"/>
        <w:gridCol w:w="708"/>
        <w:gridCol w:w="567"/>
        <w:gridCol w:w="851"/>
        <w:gridCol w:w="1417"/>
        <w:gridCol w:w="1389"/>
      </w:tblGrid>
      <w:tr w:rsidR="00FB5EB0" w:rsidRPr="00F9522B" w:rsidTr="003A7922">
        <w:trPr>
          <w:trHeight w:val="178"/>
          <w:jc w:val="center"/>
        </w:trPr>
        <w:tc>
          <w:tcPr>
            <w:tcW w:w="1326" w:type="dxa"/>
            <w:vMerge w:val="restart"/>
            <w:shd w:val="clear" w:color="auto" w:fill="auto"/>
            <w:vAlign w:val="center"/>
          </w:tcPr>
          <w:p w:rsidR="00FB5EB0" w:rsidRPr="00F9522B" w:rsidRDefault="00FB5EB0" w:rsidP="003A7922">
            <w:pPr>
              <w:spacing w:line="0" w:lineRule="atLeast"/>
              <w:jc w:val="center"/>
              <w:rPr>
                <w:rFonts w:eastAsiaTheme="minorEastAsia"/>
                <w:szCs w:val="21"/>
              </w:rPr>
            </w:pPr>
            <w:r w:rsidRPr="00F9522B">
              <w:rPr>
                <w:rFonts w:eastAsiaTheme="minorEastAsia"/>
                <w:szCs w:val="21"/>
              </w:rPr>
              <w:t>新立</w:t>
            </w:r>
          </w:p>
        </w:tc>
        <w:tc>
          <w:tcPr>
            <w:tcW w:w="830"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126.9865616</w:t>
            </w:r>
          </w:p>
        </w:tc>
        <w:tc>
          <w:tcPr>
            <w:tcW w:w="993"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46.115344</w:t>
            </w:r>
          </w:p>
        </w:tc>
        <w:tc>
          <w:tcPr>
            <w:tcW w:w="708"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农村人群集中区</w:t>
            </w:r>
          </w:p>
        </w:tc>
        <w:tc>
          <w:tcPr>
            <w:tcW w:w="567"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人群</w:t>
            </w:r>
          </w:p>
        </w:tc>
        <w:tc>
          <w:tcPr>
            <w:tcW w:w="851"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环境空气：二类区；声环境：一类区</w:t>
            </w: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排水沟</w:t>
            </w:r>
            <w:r w:rsidRPr="00F9522B">
              <w:rPr>
                <w:rFonts w:eastAsiaTheme="minorEastAsia"/>
                <w:snapToGrid w:val="0"/>
                <w:szCs w:val="21"/>
              </w:rPr>
              <w:t>-4</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N10</w:t>
            </w:r>
          </w:p>
        </w:tc>
      </w:tr>
      <w:tr w:rsidR="00FB5EB0" w:rsidRPr="00F9522B" w:rsidTr="003A7922">
        <w:trPr>
          <w:trHeight w:val="178"/>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napToGrid w:val="0"/>
                <w:szCs w:val="21"/>
              </w:rPr>
              <w:t>涵</w:t>
            </w:r>
            <w:r w:rsidRPr="00F9522B">
              <w:rPr>
                <w:rFonts w:eastAsiaTheme="minorEastAsia"/>
                <w:snapToGrid w:val="0"/>
                <w:szCs w:val="21"/>
              </w:rPr>
              <w:t>-14</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E10</w:t>
            </w:r>
          </w:p>
        </w:tc>
      </w:tr>
      <w:tr w:rsidR="00FB5EB0" w:rsidRPr="00F9522B" w:rsidTr="003A7922">
        <w:trPr>
          <w:trHeight w:val="178"/>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过水路面</w:t>
            </w:r>
            <w:r w:rsidRPr="00F9522B">
              <w:rPr>
                <w:rFonts w:eastAsiaTheme="minorEastAsia"/>
                <w:snapToGrid w:val="0"/>
                <w:szCs w:val="21"/>
              </w:rPr>
              <w:t>-14</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NE10</w:t>
            </w:r>
          </w:p>
        </w:tc>
      </w:tr>
      <w:tr w:rsidR="00FB5EB0" w:rsidRPr="00F9522B" w:rsidTr="003A7922">
        <w:trPr>
          <w:trHeight w:val="180"/>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机耕路</w:t>
            </w:r>
            <w:r w:rsidRPr="00F9522B">
              <w:rPr>
                <w:rFonts w:eastAsiaTheme="minorEastAsia"/>
                <w:snapToGrid w:val="0"/>
                <w:szCs w:val="21"/>
              </w:rPr>
              <w:t>-1</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S5</w:t>
            </w:r>
          </w:p>
        </w:tc>
      </w:tr>
      <w:tr w:rsidR="00FB5EB0" w:rsidRPr="00F9522B" w:rsidTr="003A7922">
        <w:trPr>
          <w:trHeight w:val="178"/>
          <w:jc w:val="center"/>
        </w:trPr>
        <w:tc>
          <w:tcPr>
            <w:tcW w:w="1326" w:type="dxa"/>
            <w:vMerge w:val="restart"/>
            <w:shd w:val="clear" w:color="auto" w:fill="auto"/>
            <w:vAlign w:val="center"/>
          </w:tcPr>
          <w:p w:rsidR="00FB5EB0" w:rsidRPr="00F9522B" w:rsidRDefault="00FB5EB0" w:rsidP="003A7922">
            <w:pPr>
              <w:spacing w:line="0" w:lineRule="atLeast"/>
              <w:jc w:val="center"/>
              <w:rPr>
                <w:rFonts w:eastAsiaTheme="minorEastAsia"/>
                <w:szCs w:val="21"/>
              </w:rPr>
            </w:pPr>
            <w:r w:rsidRPr="00F9522B">
              <w:rPr>
                <w:rFonts w:eastAsiaTheme="minorEastAsia"/>
                <w:szCs w:val="21"/>
              </w:rPr>
              <w:t>张达村</w:t>
            </w:r>
          </w:p>
        </w:tc>
        <w:tc>
          <w:tcPr>
            <w:tcW w:w="830"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127.0084914</w:t>
            </w:r>
          </w:p>
        </w:tc>
        <w:tc>
          <w:tcPr>
            <w:tcW w:w="993"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46.100914</w:t>
            </w: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napToGrid w:val="0"/>
                <w:szCs w:val="21"/>
              </w:rPr>
              <w:t>机电井</w:t>
            </w:r>
            <w:r w:rsidRPr="00F9522B">
              <w:rPr>
                <w:rFonts w:eastAsiaTheme="minorEastAsia"/>
                <w:snapToGrid w:val="0"/>
                <w:szCs w:val="21"/>
              </w:rPr>
              <w:t>-11</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E10</w:t>
            </w:r>
          </w:p>
        </w:tc>
      </w:tr>
      <w:tr w:rsidR="00FB5EB0" w:rsidRPr="00F9522B" w:rsidTr="003A7922">
        <w:trPr>
          <w:trHeight w:val="178"/>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napToGrid w:val="0"/>
                <w:szCs w:val="21"/>
              </w:rPr>
              <w:t>机电井</w:t>
            </w:r>
            <w:r w:rsidRPr="00F9522B">
              <w:rPr>
                <w:rFonts w:eastAsiaTheme="minorEastAsia"/>
                <w:snapToGrid w:val="0"/>
                <w:szCs w:val="21"/>
              </w:rPr>
              <w:t>-13</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W10</w:t>
            </w:r>
          </w:p>
        </w:tc>
      </w:tr>
      <w:tr w:rsidR="00FB5EB0" w:rsidRPr="00F9522B" w:rsidTr="003A7922">
        <w:trPr>
          <w:trHeight w:val="178"/>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涵</w:t>
            </w:r>
            <w:r w:rsidRPr="00F9522B">
              <w:rPr>
                <w:rFonts w:eastAsiaTheme="minorEastAsia"/>
                <w:snapToGrid w:val="0"/>
                <w:szCs w:val="21"/>
              </w:rPr>
              <w:t>-26</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N10</w:t>
            </w:r>
          </w:p>
        </w:tc>
      </w:tr>
      <w:tr w:rsidR="00FB5EB0" w:rsidRPr="00F9522B" w:rsidTr="003A7922">
        <w:trPr>
          <w:trHeight w:val="180"/>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生产路</w:t>
            </w:r>
            <w:r w:rsidRPr="00F9522B">
              <w:rPr>
                <w:rFonts w:eastAsiaTheme="minorEastAsia"/>
                <w:snapToGrid w:val="0"/>
                <w:szCs w:val="21"/>
              </w:rPr>
              <w:t>-1</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N5</w:t>
            </w:r>
          </w:p>
        </w:tc>
      </w:tr>
      <w:tr w:rsidR="00FB5EB0" w:rsidRPr="00F9522B" w:rsidTr="003A7922">
        <w:trPr>
          <w:trHeight w:val="390"/>
          <w:jc w:val="center"/>
        </w:trPr>
        <w:tc>
          <w:tcPr>
            <w:tcW w:w="1326" w:type="dxa"/>
            <w:shd w:val="clear" w:color="auto" w:fill="auto"/>
            <w:vAlign w:val="center"/>
          </w:tcPr>
          <w:p w:rsidR="00FB5EB0" w:rsidRPr="00F9522B" w:rsidRDefault="00FB5EB0" w:rsidP="003A7922">
            <w:pPr>
              <w:spacing w:line="0" w:lineRule="atLeast"/>
              <w:jc w:val="center"/>
              <w:rPr>
                <w:rFonts w:eastAsiaTheme="minorEastAsia"/>
                <w:szCs w:val="21"/>
              </w:rPr>
            </w:pPr>
            <w:r w:rsidRPr="00F9522B">
              <w:rPr>
                <w:rFonts w:eastAsiaTheme="minorEastAsia"/>
                <w:szCs w:val="21"/>
              </w:rPr>
              <w:t>二八中学</w:t>
            </w:r>
          </w:p>
        </w:tc>
        <w:tc>
          <w:tcPr>
            <w:tcW w:w="830"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127.0320948</w:t>
            </w:r>
          </w:p>
        </w:tc>
        <w:tc>
          <w:tcPr>
            <w:tcW w:w="993"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46.114437</w:t>
            </w:r>
          </w:p>
        </w:tc>
        <w:tc>
          <w:tcPr>
            <w:tcW w:w="708" w:type="dxa"/>
            <w:vAlign w:val="center"/>
          </w:tcPr>
          <w:p w:rsidR="00FB5EB0" w:rsidRPr="00F9522B" w:rsidRDefault="00FB5EB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学校</w:t>
            </w:r>
          </w:p>
        </w:tc>
        <w:tc>
          <w:tcPr>
            <w:tcW w:w="567" w:type="dxa"/>
            <w:vAlign w:val="center"/>
          </w:tcPr>
          <w:p w:rsidR="00FB5EB0" w:rsidRPr="00F9522B" w:rsidRDefault="00FB5EB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师生</w:t>
            </w: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生产路</w:t>
            </w:r>
            <w:r w:rsidRPr="00F9522B">
              <w:rPr>
                <w:rFonts w:eastAsiaTheme="minorEastAsia"/>
                <w:snapToGrid w:val="0"/>
                <w:szCs w:val="21"/>
              </w:rPr>
              <w:t>-15</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S15</w:t>
            </w:r>
          </w:p>
        </w:tc>
      </w:tr>
      <w:tr w:rsidR="00FB5EB0" w:rsidRPr="00F9522B" w:rsidTr="003A7922">
        <w:trPr>
          <w:trHeight w:val="178"/>
          <w:jc w:val="center"/>
        </w:trPr>
        <w:tc>
          <w:tcPr>
            <w:tcW w:w="1326" w:type="dxa"/>
            <w:vMerge w:val="restart"/>
            <w:shd w:val="clear" w:color="auto" w:fill="auto"/>
            <w:vAlign w:val="center"/>
          </w:tcPr>
          <w:p w:rsidR="00FB5EB0" w:rsidRPr="00F9522B" w:rsidRDefault="00FB5EB0" w:rsidP="003A7922">
            <w:pPr>
              <w:spacing w:line="0" w:lineRule="atLeast"/>
              <w:jc w:val="center"/>
              <w:rPr>
                <w:rFonts w:eastAsiaTheme="minorEastAsia"/>
                <w:szCs w:val="21"/>
              </w:rPr>
            </w:pPr>
            <w:r w:rsidRPr="00F9522B">
              <w:rPr>
                <w:rFonts w:eastAsiaTheme="minorEastAsia"/>
                <w:szCs w:val="21"/>
              </w:rPr>
              <w:t>二八镇</w:t>
            </w:r>
          </w:p>
        </w:tc>
        <w:tc>
          <w:tcPr>
            <w:tcW w:w="830"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127.0224818</w:t>
            </w:r>
          </w:p>
        </w:tc>
        <w:tc>
          <w:tcPr>
            <w:tcW w:w="993"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46.115136</w:t>
            </w:r>
          </w:p>
        </w:tc>
        <w:tc>
          <w:tcPr>
            <w:tcW w:w="708" w:type="dxa"/>
            <w:vMerge w:val="restart"/>
            <w:vAlign w:val="center"/>
          </w:tcPr>
          <w:p w:rsidR="00FB5EB0" w:rsidRPr="00F9522B" w:rsidRDefault="00FB5EB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农村人群集中区</w:t>
            </w:r>
          </w:p>
        </w:tc>
        <w:tc>
          <w:tcPr>
            <w:tcW w:w="567" w:type="dxa"/>
            <w:vMerge w:val="restart"/>
            <w:vAlign w:val="center"/>
          </w:tcPr>
          <w:p w:rsidR="00FB5EB0" w:rsidRPr="00F9522B" w:rsidRDefault="00FB5EB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人群</w:t>
            </w: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napToGrid w:val="0"/>
                <w:szCs w:val="21"/>
              </w:rPr>
              <w:t>排水沟</w:t>
            </w:r>
            <w:r w:rsidRPr="00F9522B">
              <w:rPr>
                <w:rFonts w:eastAsiaTheme="minorEastAsia"/>
                <w:snapToGrid w:val="0"/>
                <w:szCs w:val="21"/>
              </w:rPr>
              <w:t>-2</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W30</w:t>
            </w:r>
          </w:p>
        </w:tc>
      </w:tr>
      <w:tr w:rsidR="00FB5EB0" w:rsidRPr="00F9522B" w:rsidTr="003A7922">
        <w:trPr>
          <w:trHeight w:val="178"/>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过水路面</w:t>
            </w:r>
            <w:r w:rsidRPr="00F9522B">
              <w:rPr>
                <w:rFonts w:eastAsiaTheme="minorEastAsia"/>
                <w:snapToGrid w:val="0"/>
                <w:szCs w:val="21"/>
              </w:rPr>
              <w:t>-13</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SE100</w:t>
            </w:r>
          </w:p>
        </w:tc>
      </w:tr>
      <w:tr w:rsidR="00FB5EB0" w:rsidRPr="00F9522B" w:rsidTr="003A7922">
        <w:trPr>
          <w:trHeight w:val="178"/>
          <w:jc w:val="center"/>
        </w:trPr>
        <w:tc>
          <w:tcPr>
            <w:tcW w:w="1326" w:type="dxa"/>
            <w:vMerge w:val="restart"/>
            <w:shd w:val="clear" w:color="auto" w:fill="auto"/>
            <w:vAlign w:val="center"/>
          </w:tcPr>
          <w:p w:rsidR="00FB5EB0" w:rsidRPr="00F9522B" w:rsidRDefault="00FB5EB0" w:rsidP="003A7922">
            <w:pPr>
              <w:spacing w:line="0" w:lineRule="atLeast"/>
              <w:jc w:val="center"/>
              <w:rPr>
                <w:rFonts w:eastAsiaTheme="minorEastAsia"/>
                <w:szCs w:val="21"/>
              </w:rPr>
            </w:pPr>
            <w:r w:rsidRPr="00F9522B">
              <w:rPr>
                <w:rFonts w:eastAsiaTheme="minorEastAsia"/>
                <w:szCs w:val="21"/>
              </w:rPr>
              <w:t>鲍堡村</w:t>
            </w:r>
          </w:p>
        </w:tc>
        <w:tc>
          <w:tcPr>
            <w:tcW w:w="830"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127.0337041</w:t>
            </w:r>
          </w:p>
        </w:tc>
        <w:tc>
          <w:tcPr>
            <w:tcW w:w="993"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46.093876</w:t>
            </w: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涵</w:t>
            </w:r>
            <w:r w:rsidRPr="00F9522B">
              <w:rPr>
                <w:rFonts w:eastAsiaTheme="minorEastAsia"/>
                <w:snapToGrid w:val="0"/>
                <w:szCs w:val="21"/>
              </w:rPr>
              <w:t>-1</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N45</w:t>
            </w:r>
          </w:p>
        </w:tc>
      </w:tr>
      <w:tr w:rsidR="00FB5EB0" w:rsidRPr="00F9522B" w:rsidTr="003A7922">
        <w:trPr>
          <w:trHeight w:val="178"/>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napToGrid w:val="0"/>
                <w:szCs w:val="21"/>
              </w:rPr>
              <w:t>机耕</w:t>
            </w:r>
            <w:r w:rsidRPr="00F9522B">
              <w:rPr>
                <w:rFonts w:eastAsiaTheme="minorEastAsia"/>
                <w:szCs w:val="21"/>
              </w:rPr>
              <w:t>路</w:t>
            </w:r>
            <w:r w:rsidRPr="00F9522B">
              <w:rPr>
                <w:rFonts w:eastAsiaTheme="minorEastAsia"/>
                <w:szCs w:val="21"/>
              </w:rPr>
              <w:t>-1</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N20</w:t>
            </w:r>
          </w:p>
        </w:tc>
      </w:tr>
      <w:tr w:rsidR="00FB5EB0" w:rsidRPr="00F9522B" w:rsidTr="003A7922">
        <w:trPr>
          <w:trHeight w:val="178"/>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生产路</w:t>
            </w:r>
            <w:r w:rsidRPr="00F9522B">
              <w:rPr>
                <w:rFonts w:eastAsiaTheme="minorEastAsia"/>
                <w:snapToGrid w:val="0"/>
                <w:szCs w:val="21"/>
              </w:rPr>
              <w:t>-27</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S20</w:t>
            </w:r>
          </w:p>
        </w:tc>
      </w:tr>
      <w:tr w:rsidR="00FB5EB0" w:rsidRPr="00F9522B" w:rsidTr="003A7922">
        <w:trPr>
          <w:trHeight w:val="178"/>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11756">
            <w:pPr>
              <w:adjustRightInd w:val="0"/>
              <w:snapToGrid w:val="0"/>
              <w:spacing w:line="0" w:lineRule="atLeast"/>
              <w:jc w:val="center"/>
              <w:rPr>
                <w:rFonts w:eastAsiaTheme="minorEastAsia"/>
                <w:snapToGrid w:val="0"/>
                <w:szCs w:val="21"/>
              </w:rPr>
            </w:pPr>
            <w:r w:rsidRPr="00F9522B">
              <w:rPr>
                <w:rFonts w:eastAsiaTheme="minorEastAsia"/>
                <w:snapToGrid w:val="0"/>
                <w:szCs w:val="21"/>
              </w:rPr>
              <w:t>排水沟</w:t>
            </w:r>
            <w:r w:rsidRPr="00F9522B">
              <w:rPr>
                <w:rFonts w:eastAsiaTheme="minorEastAsia"/>
                <w:snapToGrid w:val="0"/>
                <w:szCs w:val="21"/>
              </w:rPr>
              <w:t>-1</w:t>
            </w:r>
          </w:p>
        </w:tc>
        <w:tc>
          <w:tcPr>
            <w:tcW w:w="1389" w:type="dxa"/>
            <w:shd w:val="clear" w:color="auto" w:fill="auto"/>
            <w:vAlign w:val="center"/>
          </w:tcPr>
          <w:p w:rsidR="00FB5EB0" w:rsidRPr="00F9522B" w:rsidRDefault="00FB5EB0" w:rsidP="00FB5EB0">
            <w:pPr>
              <w:adjustRightInd w:val="0"/>
              <w:snapToGrid w:val="0"/>
              <w:spacing w:line="0" w:lineRule="atLeast"/>
              <w:jc w:val="center"/>
              <w:rPr>
                <w:rFonts w:eastAsiaTheme="minorEastAsia"/>
                <w:szCs w:val="21"/>
              </w:rPr>
            </w:pPr>
            <w:r w:rsidRPr="00F9522B">
              <w:rPr>
                <w:rFonts w:eastAsiaTheme="minorEastAsia"/>
                <w:szCs w:val="21"/>
              </w:rPr>
              <w:t>N15</w:t>
            </w:r>
          </w:p>
        </w:tc>
      </w:tr>
      <w:tr w:rsidR="00FB5EB0" w:rsidRPr="00F9522B" w:rsidTr="003A7922">
        <w:trPr>
          <w:trHeight w:val="178"/>
          <w:jc w:val="center"/>
        </w:trPr>
        <w:tc>
          <w:tcPr>
            <w:tcW w:w="1326" w:type="dxa"/>
            <w:vMerge w:val="restart"/>
            <w:shd w:val="clear" w:color="auto" w:fill="auto"/>
            <w:vAlign w:val="center"/>
          </w:tcPr>
          <w:p w:rsidR="00FB5EB0" w:rsidRPr="00F9522B" w:rsidRDefault="00FB5EB0" w:rsidP="003A7922">
            <w:pPr>
              <w:spacing w:line="0" w:lineRule="atLeast"/>
              <w:jc w:val="center"/>
              <w:rPr>
                <w:rFonts w:eastAsiaTheme="minorEastAsia"/>
                <w:szCs w:val="21"/>
              </w:rPr>
            </w:pPr>
            <w:r w:rsidRPr="00F9522B">
              <w:rPr>
                <w:rFonts w:eastAsiaTheme="minorEastAsia"/>
                <w:szCs w:val="21"/>
              </w:rPr>
              <w:t>头屯村</w:t>
            </w:r>
          </w:p>
        </w:tc>
        <w:tc>
          <w:tcPr>
            <w:tcW w:w="830"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127.0399483</w:t>
            </w:r>
          </w:p>
        </w:tc>
        <w:tc>
          <w:tcPr>
            <w:tcW w:w="993"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46.075778</w:t>
            </w: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涵</w:t>
            </w:r>
            <w:r w:rsidRPr="00F9522B">
              <w:rPr>
                <w:rFonts w:eastAsiaTheme="minorEastAsia"/>
                <w:snapToGrid w:val="0"/>
                <w:szCs w:val="21"/>
              </w:rPr>
              <w:t>-3</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NW30</w:t>
            </w:r>
          </w:p>
        </w:tc>
      </w:tr>
      <w:tr w:rsidR="00FB5EB0" w:rsidRPr="00F9522B" w:rsidTr="003A7922">
        <w:trPr>
          <w:trHeight w:val="178"/>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napToGrid w:val="0"/>
                <w:szCs w:val="21"/>
              </w:rPr>
              <w:t>机耕</w:t>
            </w:r>
            <w:r w:rsidRPr="00F9522B">
              <w:rPr>
                <w:rFonts w:eastAsiaTheme="minorEastAsia"/>
                <w:szCs w:val="21"/>
              </w:rPr>
              <w:t>路</w:t>
            </w:r>
            <w:r w:rsidRPr="00F9522B">
              <w:rPr>
                <w:rFonts w:eastAsiaTheme="minorEastAsia"/>
                <w:szCs w:val="21"/>
              </w:rPr>
              <w:t>-3</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NW15</w:t>
            </w:r>
          </w:p>
        </w:tc>
      </w:tr>
      <w:tr w:rsidR="00FB5EB0" w:rsidRPr="00F9522B" w:rsidTr="003A7922">
        <w:trPr>
          <w:trHeight w:val="178"/>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生产路</w:t>
            </w:r>
            <w:r w:rsidRPr="00F9522B">
              <w:rPr>
                <w:rFonts w:eastAsiaTheme="minorEastAsia"/>
                <w:snapToGrid w:val="0"/>
                <w:szCs w:val="21"/>
              </w:rPr>
              <w:t>-24</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N20</w:t>
            </w:r>
          </w:p>
        </w:tc>
      </w:tr>
      <w:tr w:rsidR="00FB5EB0" w:rsidRPr="00F9522B" w:rsidTr="003A7922">
        <w:trPr>
          <w:trHeight w:val="178"/>
          <w:jc w:val="center"/>
        </w:trPr>
        <w:tc>
          <w:tcPr>
            <w:tcW w:w="1326" w:type="dxa"/>
            <w:vMerge w:val="restart"/>
            <w:shd w:val="clear" w:color="auto" w:fill="auto"/>
            <w:vAlign w:val="center"/>
          </w:tcPr>
          <w:p w:rsidR="00FB5EB0" w:rsidRPr="00F9522B" w:rsidRDefault="00FB5EB0" w:rsidP="003A7922">
            <w:pPr>
              <w:spacing w:line="0" w:lineRule="atLeast"/>
              <w:jc w:val="center"/>
              <w:rPr>
                <w:rFonts w:eastAsiaTheme="minorEastAsia"/>
                <w:szCs w:val="21"/>
              </w:rPr>
            </w:pPr>
            <w:r w:rsidRPr="00F9522B">
              <w:rPr>
                <w:rFonts w:eastAsiaTheme="minorEastAsia"/>
                <w:szCs w:val="21"/>
              </w:rPr>
              <w:t>碱草村</w:t>
            </w:r>
          </w:p>
        </w:tc>
        <w:tc>
          <w:tcPr>
            <w:tcW w:w="830"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127.0624360</w:t>
            </w:r>
          </w:p>
        </w:tc>
        <w:tc>
          <w:tcPr>
            <w:tcW w:w="993"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46.107326</w:t>
            </w: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机电井</w:t>
            </w:r>
            <w:r w:rsidRPr="00F9522B">
              <w:rPr>
                <w:rFonts w:eastAsiaTheme="minorEastAsia"/>
                <w:snapToGrid w:val="0"/>
                <w:szCs w:val="21"/>
              </w:rPr>
              <w:t>-7</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N5</w:t>
            </w:r>
          </w:p>
        </w:tc>
      </w:tr>
      <w:tr w:rsidR="00FB5EB0" w:rsidRPr="00F9522B" w:rsidTr="003A7922">
        <w:trPr>
          <w:trHeight w:val="178"/>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机电井</w:t>
            </w:r>
            <w:r w:rsidRPr="00F9522B">
              <w:rPr>
                <w:rFonts w:eastAsiaTheme="minorEastAsia"/>
                <w:snapToGrid w:val="0"/>
                <w:szCs w:val="21"/>
              </w:rPr>
              <w:t>-6</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S120</w:t>
            </w:r>
          </w:p>
        </w:tc>
      </w:tr>
      <w:tr w:rsidR="00FB5EB0" w:rsidRPr="00F9522B" w:rsidTr="003A7922">
        <w:trPr>
          <w:trHeight w:val="180"/>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生产路</w:t>
            </w:r>
            <w:r w:rsidRPr="00F9522B">
              <w:rPr>
                <w:rFonts w:eastAsiaTheme="minorEastAsia"/>
                <w:snapToGrid w:val="0"/>
                <w:szCs w:val="21"/>
              </w:rPr>
              <w:t>-28</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N20</w:t>
            </w:r>
          </w:p>
        </w:tc>
      </w:tr>
      <w:tr w:rsidR="00FB5EB0" w:rsidRPr="00F9522B" w:rsidTr="003A7922">
        <w:trPr>
          <w:trHeight w:val="178"/>
          <w:jc w:val="center"/>
        </w:trPr>
        <w:tc>
          <w:tcPr>
            <w:tcW w:w="1326" w:type="dxa"/>
            <w:vMerge w:val="restart"/>
            <w:shd w:val="clear" w:color="auto" w:fill="auto"/>
            <w:vAlign w:val="center"/>
          </w:tcPr>
          <w:p w:rsidR="00FB5EB0" w:rsidRPr="00F9522B" w:rsidRDefault="00FB5EB0" w:rsidP="003A7922">
            <w:pPr>
              <w:spacing w:line="0" w:lineRule="atLeast"/>
              <w:jc w:val="center"/>
              <w:rPr>
                <w:rFonts w:eastAsiaTheme="minorEastAsia"/>
                <w:szCs w:val="21"/>
              </w:rPr>
            </w:pPr>
            <w:r w:rsidRPr="00F9522B">
              <w:rPr>
                <w:rFonts w:eastAsiaTheme="minorEastAsia"/>
                <w:szCs w:val="21"/>
              </w:rPr>
              <w:t>奋斗村</w:t>
            </w:r>
          </w:p>
        </w:tc>
        <w:tc>
          <w:tcPr>
            <w:tcW w:w="830"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127.0268645</w:t>
            </w:r>
          </w:p>
        </w:tc>
        <w:tc>
          <w:tcPr>
            <w:tcW w:w="993"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46.128994</w:t>
            </w: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排水沟</w:t>
            </w:r>
            <w:r w:rsidRPr="00F9522B">
              <w:rPr>
                <w:rFonts w:eastAsiaTheme="minorEastAsia"/>
                <w:snapToGrid w:val="0"/>
                <w:szCs w:val="21"/>
              </w:rPr>
              <w:t>-1</w:t>
            </w:r>
          </w:p>
        </w:tc>
        <w:tc>
          <w:tcPr>
            <w:tcW w:w="1389" w:type="dxa"/>
            <w:shd w:val="clear" w:color="auto" w:fill="auto"/>
            <w:vAlign w:val="center"/>
          </w:tcPr>
          <w:p w:rsidR="00FB5EB0" w:rsidRPr="00F9522B" w:rsidRDefault="00FB5EB0" w:rsidP="00B21BDA">
            <w:pPr>
              <w:adjustRightInd w:val="0"/>
              <w:snapToGrid w:val="0"/>
              <w:spacing w:line="0" w:lineRule="atLeast"/>
              <w:jc w:val="center"/>
              <w:rPr>
                <w:rFonts w:eastAsiaTheme="minorEastAsia"/>
                <w:szCs w:val="21"/>
              </w:rPr>
            </w:pPr>
            <w:r w:rsidRPr="00F9522B">
              <w:rPr>
                <w:rFonts w:eastAsiaTheme="minorEastAsia"/>
                <w:szCs w:val="21"/>
              </w:rPr>
              <w:t>N20</w:t>
            </w:r>
          </w:p>
        </w:tc>
      </w:tr>
      <w:tr w:rsidR="00FB5EB0" w:rsidRPr="00F9522B" w:rsidTr="003A7922">
        <w:trPr>
          <w:trHeight w:val="178"/>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沟头防护</w:t>
            </w:r>
          </w:p>
        </w:tc>
        <w:tc>
          <w:tcPr>
            <w:tcW w:w="1389" w:type="dxa"/>
            <w:shd w:val="clear" w:color="auto" w:fill="auto"/>
            <w:vAlign w:val="center"/>
          </w:tcPr>
          <w:p w:rsidR="00FB5EB0" w:rsidRPr="00F9522B" w:rsidRDefault="00FB5EB0" w:rsidP="00B21BDA">
            <w:pPr>
              <w:adjustRightInd w:val="0"/>
              <w:snapToGrid w:val="0"/>
              <w:spacing w:line="0" w:lineRule="atLeast"/>
              <w:jc w:val="center"/>
              <w:rPr>
                <w:rFonts w:eastAsiaTheme="minorEastAsia"/>
                <w:szCs w:val="21"/>
              </w:rPr>
            </w:pPr>
            <w:r w:rsidRPr="00F9522B">
              <w:rPr>
                <w:rFonts w:eastAsiaTheme="minorEastAsia"/>
                <w:szCs w:val="21"/>
              </w:rPr>
              <w:t>S20</w:t>
            </w:r>
          </w:p>
        </w:tc>
      </w:tr>
      <w:tr w:rsidR="00FB5EB0" w:rsidRPr="00F9522B" w:rsidTr="003A7922">
        <w:trPr>
          <w:trHeight w:val="178"/>
          <w:jc w:val="center"/>
        </w:trPr>
        <w:tc>
          <w:tcPr>
            <w:tcW w:w="1326" w:type="dxa"/>
            <w:vMerge w:val="restart"/>
            <w:shd w:val="clear" w:color="auto" w:fill="auto"/>
            <w:vAlign w:val="center"/>
          </w:tcPr>
          <w:p w:rsidR="00FB5EB0" w:rsidRPr="00F9522B" w:rsidRDefault="00FB5EB0" w:rsidP="003A7922">
            <w:pPr>
              <w:spacing w:line="0" w:lineRule="atLeast"/>
              <w:jc w:val="center"/>
              <w:rPr>
                <w:rFonts w:eastAsiaTheme="minorEastAsia"/>
                <w:szCs w:val="21"/>
              </w:rPr>
            </w:pPr>
            <w:r w:rsidRPr="00F9522B">
              <w:rPr>
                <w:rFonts w:eastAsiaTheme="minorEastAsia"/>
                <w:szCs w:val="21"/>
              </w:rPr>
              <w:t>元宝村</w:t>
            </w:r>
          </w:p>
        </w:tc>
        <w:tc>
          <w:tcPr>
            <w:tcW w:w="830"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127.0738997</w:t>
            </w:r>
          </w:p>
        </w:tc>
        <w:tc>
          <w:tcPr>
            <w:tcW w:w="993"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46.132087</w:t>
            </w: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机电井</w:t>
            </w:r>
            <w:r w:rsidRPr="00F9522B">
              <w:rPr>
                <w:rFonts w:eastAsiaTheme="minorEastAsia"/>
                <w:snapToGrid w:val="0"/>
                <w:szCs w:val="21"/>
              </w:rPr>
              <w:t>-2</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S60</w:t>
            </w:r>
          </w:p>
        </w:tc>
      </w:tr>
      <w:tr w:rsidR="00FB5EB0" w:rsidRPr="00F9522B" w:rsidTr="003A7922">
        <w:trPr>
          <w:trHeight w:val="178"/>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机电井</w:t>
            </w:r>
            <w:r w:rsidRPr="00F9522B">
              <w:rPr>
                <w:rFonts w:eastAsiaTheme="minorEastAsia"/>
                <w:snapToGrid w:val="0"/>
                <w:szCs w:val="21"/>
              </w:rPr>
              <w:t>-3</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S60</w:t>
            </w:r>
          </w:p>
        </w:tc>
      </w:tr>
      <w:tr w:rsidR="00FB5EB0" w:rsidRPr="00F9522B" w:rsidTr="003A7922">
        <w:trPr>
          <w:trHeight w:val="178"/>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机电井</w:t>
            </w:r>
            <w:r w:rsidRPr="00F9522B">
              <w:rPr>
                <w:rFonts w:eastAsiaTheme="minorEastAsia"/>
                <w:snapToGrid w:val="0"/>
                <w:szCs w:val="21"/>
              </w:rPr>
              <w:t>-7</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N50</w:t>
            </w:r>
          </w:p>
        </w:tc>
      </w:tr>
      <w:tr w:rsidR="00FB5EB0" w:rsidRPr="00F9522B" w:rsidTr="003A7922">
        <w:trPr>
          <w:trHeight w:val="178"/>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排水沟</w:t>
            </w:r>
            <w:r w:rsidRPr="00F9522B">
              <w:rPr>
                <w:rFonts w:eastAsiaTheme="minorEastAsia"/>
                <w:snapToGrid w:val="0"/>
                <w:szCs w:val="21"/>
              </w:rPr>
              <w:t>-1</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S35</w:t>
            </w:r>
          </w:p>
        </w:tc>
      </w:tr>
      <w:tr w:rsidR="00FB5EB0" w:rsidRPr="00F9522B" w:rsidTr="003A7922">
        <w:trPr>
          <w:trHeight w:val="178"/>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生产路</w:t>
            </w:r>
            <w:r w:rsidRPr="00F9522B">
              <w:rPr>
                <w:rFonts w:eastAsiaTheme="minorEastAsia"/>
                <w:snapToGrid w:val="0"/>
                <w:szCs w:val="21"/>
              </w:rPr>
              <w:t>-9</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N60</w:t>
            </w:r>
          </w:p>
        </w:tc>
      </w:tr>
      <w:tr w:rsidR="00FB5EB0" w:rsidRPr="00F9522B" w:rsidTr="003A7922">
        <w:trPr>
          <w:trHeight w:val="178"/>
          <w:jc w:val="center"/>
        </w:trPr>
        <w:tc>
          <w:tcPr>
            <w:tcW w:w="1326" w:type="dxa"/>
            <w:vMerge w:val="restart"/>
            <w:shd w:val="clear" w:color="auto" w:fill="auto"/>
            <w:vAlign w:val="center"/>
          </w:tcPr>
          <w:p w:rsidR="00FB5EB0" w:rsidRPr="00F9522B" w:rsidRDefault="00FB5EB0" w:rsidP="003A7922">
            <w:pPr>
              <w:spacing w:line="0" w:lineRule="atLeast"/>
              <w:jc w:val="center"/>
              <w:rPr>
                <w:rFonts w:eastAsiaTheme="minorEastAsia"/>
                <w:szCs w:val="21"/>
              </w:rPr>
            </w:pPr>
            <w:r w:rsidRPr="00F9522B">
              <w:rPr>
                <w:rFonts w:eastAsiaTheme="minorEastAsia"/>
                <w:szCs w:val="21"/>
              </w:rPr>
              <w:t>平安村</w:t>
            </w:r>
          </w:p>
        </w:tc>
        <w:tc>
          <w:tcPr>
            <w:tcW w:w="830"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127.0494809</w:t>
            </w:r>
          </w:p>
        </w:tc>
        <w:tc>
          <w:tcPr>
            <w:tcW w:w="993" w:type="dxa"/>
            <w:vMerge w:val="restart"/>
            <w:vAlign w:val="center"/>
          </w:tcPr>
          <w:p w:rsidR="00FB5EB0" w:rsidRPr="00F9522B" w:rsidRDefault="00FB5EB0" w:rsidP="003A7922">
            <w:pPr>
              <w:jc w:val="center"/>
              <w:rPr>
                <w:rFonts w:eastAsiaTheme="minorEastAsia"/>
                <w:snapToGrid w:val="0"/>
                <w:szCs w:val="21"/>
              </w:rPr>
            </w:pPr>
            <w:r w:rsidRPr="00F9522B">
              <w:rPr>
                <w:rFonts w:eastAsiaTheme="minorEastAsia"/>
                <w:snapToGrid w:val="0"/>
                <w:szCs w:val="21"/>
              </w:rPr>
              <w:t>46.144309</w:t>
            </w: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涵</w:t>
            </w:r>
            <w:r w:rsidRPr="00F9522B">
              <w:rPr>
                <w:rFonts w:eastAsiaTheme="minorEastAsia"/>
                <w:snapToGrid w:val="0"/>
                <w:szCs w:val="21"/>
              </w:rPr>
              <w:t>-1</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N10</w:t>
            </w:r>
          </w:p>
        </w:tc>
      </w:tr>
      <w:tr w:rsidR="00FB5EB0" w:rsidRPr="00F9522B" w:rsidTr="003A7922">
        <w:trPr>
          <w:trHeight w:val="178"/>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napToGrid w:val="0"/>
                <w:szCs w:val="21"/>
              </w:rPr>
              <w:t>机耕</w:t>
            </w:r>
            <w:r w:rsidRPr="00F9522B">
              <w:rPr>
                <w:rFonts w:eastAsiaTheme="minorEastAsia"/>
                <w:szCs w:val="21"/>
              </w:rPr>
              <w:t>路</w:t>
            </w:r>
            <w:r w:rsidRPr="00F9522B">
              <w:rPr>
                <w:rFonts w:eastAsiaTheme="minorEastAsia"/>
                <w:szCs w:val="21"/>
              </w:rPr>
              <w:t>-1</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W10</w:t>
            </w:r>
          </w:p>
        </w:tc>
      </w:tr>
      <w:tr w:rsidR="00FB5EB0" w:rsidRPr="00F9522B" w:rsidTr="003A7922">
        <w:trPr>
          <w:trHeight w:val="180"/>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排水沟</w:t>
            </w:r>
            <w:r w:rsidRPr="00F9522B">
              <w:rPr>
                <w:rFonts w:eastAsiaTheme="minorEastAsia"/>
                <w:snapToGrid w:val="0"/>
                <w:szCs w:val="21"/>
              </w:rPr>
              <w:t>-1</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N10</w:t>
            </w:r>
          </w:p>
        </w:tc>
      </w:tr>
      <w:tr w:rsidR="00FB5EB0" w:rsidRPr="00F9522B" w:rsidTr="003A7922">
        <w:trPr>
          <w:trHeight w:val="178"/>
          <w:jc w:val="center"/>
        </w:trPr>
        <w:tc>
          <w:tcPr>
            <w:tcW w:w="1326" w:type="dxa"/>
            <w:vMerge w:val="restart"/>
            <w:shd w:val="clear" w:color="auto" w:fill="auto"/>
            <w:vAlign w:val="center"/>
          </w:tcPr>
          <w:p w:rsidR="00FB5EB0" w:rsidRPr="00F9522B" w:rsidRDefault="00FB5EB0" w:rsidP="003A7922">
            <w:pPr>
              <w:spacing w:line="0" w:lineRule="atLeast"/>
              <w:jc w:val="center"/>
              <w:rPr>
                <w:rFonts w:eastAsiaTheme="minorEastAsia"/>
                <w:szCs w:val="21"/>
              </w:rPr>
            </w:pPr>
            <w:r w:rsidRPr="00F9522B">
              <w:rPr>
                <w:rFonts w:eastAsiaTheme="minorEastAsia"/>
                <w:szCs w:val="21"/>
              </w:rPr>
              <w:t>王柱村</w:t>
            </w:r>
          </w:p>
        </w:tc>
        <w:tc>
          <w:tcPr>
            <w:tcW w:w="830"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126.9906010</w:t>
            </w:r>
          </w:p>
        </w:tc>
        <w:tc>
          <w:tcPr>
            <w:tcW w:w="993" w:type="dxa"/>
            <w:vMerge w:val="restart"/>
            <w:vAlign w:val="center"/>
          </w:tcPr>
          <w:p w:rsidR="00FB5EB0" w:rsidRPr="00F9522B" w:rsidRDefault="00FB5EB0" w:rsidP="003A7922">
            <w:pPr>
              <w:jc w:val="center"/>
              <w:rPr>
                <w:rFonts w:eastAsiaTheme="minorEastAsia"/>
                <w:snapToGrid w:val="0"/>
                <w:szCs w:val="21"/>
              </w:rPr>
            </w:pPr>
            <w:r w:rsidRPr="00F9522B">
              <w:rPr>
                <w:rFonts w:eastAsiaTheme="minorEastAsia"/>
                <w:snapToGrid w:val="0"/>
                <w:szCs w:val="21"/>
              </w:rPr>
              <w:t>46.136042</w:t>
            </w: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过水路面</w:t>
            </w:r>
            <w:r w:rsidRPr="00F9522B">
              <w:rPr>
                <w:rFonts w:eastAsiaTheme="minorEastAsia"/>
                <w:snapToGrid w:val="0"/>
                <w:szCs w:val="21"/>
              </w:rPr>
              <w:t>-37</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W10</w:t>
            </w:r>
          </w:p>
        </w:tc>
      </w:tr>
      <w:tr w:rsidR="00FB5EB0" w:rsidRPr="00F9522B" w:rsidTr="003A7922">
        <w:trPr>
          <w:trHeight w:val="178"/>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napToGrid w:val="0"/>
                <w:szCs w:val="21"/>
              </w:rPr>
              <w:t>生产</w:t>
            </w:r>
            <w:r w:rsidRPr="00F9522B">
              <w:rPr>
                <w:rFonts w:eastAsiaTheme="minorEastAsia"/>
                <w:szCs w:val="21"/>
              </w:rPr>
              <w:t>路</w:t>
            </w:r>
            <w:r w:rsidRPr="00F9522B">
              <w:rPr>
                <w:rFonts w:eastAsiaTheme="minorEastAsia"/>
                <w:szCs w:val="21"/>
              </w:rPr>
              <w:t>-24</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S110</w:t>
            </w:r>
          </w:p>
        </w:tc>
      </w:tr>
      <w:tr w:rsidR="00FB5EB0" w:rsidRPr="00F9522B" w:rsidTr="003A7922">
        <w:trPr>
          <w:trHeight w:val="178"/>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排水沟</w:t>
            </w:r>
            <w:r w:rsidRPr="00F9522B">
              <w:rPr>
                <w:rFonts w:eastAsiaTheme="minorEastAsia"/>
                <w:snapToGrid w:val="0"/>
                <w:szCs w:val="21"/>
              </w:rPr>
              <w:t>-1</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S10</w:t>
            </w:r>
          </w:p>
        </w:tc>
      </w:tr>
      <w:tr w:rsidR="00FB5EB0" w:rsidRPr="00F9522B" w:rsidTr="003A7922">
        <w:trPr>
          <w:trHeight w:val="513"/>
          <w:jc w:val="center"/>
        </w:trPr>
        <w:tc>
          <w:tcPr>
            <w:tcW w:w="1326" w:type="dxa"/>
            <w:shd w:val="clear" w:color="auto" w:fill="auto"/>
            <w:vAlign w:val="center"/>
          </w:tcPr>
          <w:p w:rsidR="00FB5EB0" w:rsidRPr="00F9522B" w:rsidRDefault="00FB5EB0" w:rsidP="003A7922">
            <w:pPr>
              <w:spacing w:line="0" w:lineRule="atLeast"/>
              <w:jc w:val="center"/>
              <w:rPr>
                <w:rFonts w:eastAsiaTheme="minorEastAsia"/>
                <w:szCs w:val="21"/>
              </w:rPr>
            </w:pPr>
            <w:r w:rsidRPr="00F9522B">
              <w:rPr>
                <w:rFonts w:eastAsiaTheme="minorEastAsia"/>
                <w:szCs w:val="21"/>
              </w:rPr>
              <w:t>长山村</w:t>
            </w:r>
          </w:p>
        </w:tc>
        <w:tc>
          <w:tcPr>
            <w:tcW w:w="830"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127.0471205</w:t>
            </w:r>
          </w:p>
        </w:tc>
        <w:tc>
          <w:tcPr>
            <w:tcW w:w="993"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46.155666</w:t>
            </w: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生产</w:t>
            </w:r>
            <w:r w:rsidRPr="00F9522B">
              <w:rPr>
                <w:rFonts w:eastAsiaTheme="minorEastAsia"/>
                <w:szCs w:val="21"/>
              </w:rPr>
              <w:t>路</w:t>
            </w:r>
            <w:r w:rsidRPr="00F9522B">
              <w:rPr>
                <w:rFonts w:eastAsiaTheme="minorEastAsia"/>
                <w:szCs w:val="21"/>
              </w:rPr>
              <w:t>-16</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E50</w:t>
            </w:r>
          </w:p>
        </w:tc>
      </w:tr>
      <w:tr w:rsidR="00FB5EB0" w:rsidRPr="00F9522B" w:rsidTr="003A7922">
        <w:trPr>
          <w:trHeight w:val="401"/>
          <w:jc w:val="center"/>
        </w:trPr>
        <w:tc>
          <w:tcPr>
            <w:tcW w:w="1326" w:type="dxa"/>
            <w:shd w:val="clear" w:color="auto" w:fill="auto"/>
            <w:vAlign w:val="center"/>
          </w:tcPr>
          <w:p w:rsidR="00FB5EB0" w:rsidRPr="00F9522B" w:rsidRDefault="00FB5EB0" w:rsidP="003A7922">
            <w:pPr>
              <w:spacing w:line="0" w:lineRule="atLeast"/>
              <w:jc w:val="center"/>
              <w:rPr>
                <w:rFonts w:eastAsiaTheme="minorEastAsia"/>
                <w:szCs w:val="21"/>
              </w:rPr>
            </w:pPr>
            <w:r w:rsidRPr="00F9522B">
              <w:rPr>
                <w:rFonts w:eastAsiaTheme="minorEastAsia"/>
                <w:szCs w:val="21"/>
              </w:rPr>
              <w:t>平粉村</w:t>
            </w:r>
          </w:p>
        </w:tc>
        <w:tc>
          <w:tcPr>
            <w:tcW w:w="830"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127.0547166</w:t>
            </w:r>
          </w:p>
        </w:tc>
        <w:tc>
          <w:tcPr>
            <w:tcW w:w="993"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46.169606</w:t>
            </w: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生产</w:t>
            </w:r>
            <w:r w:rsidRPr="00F9522B">
              <w:rPr>
                <w:rFonts w:eastAsiaTheme="minorEastAsia"/>
                <w:szCs w:val="21"/>
              </w:rPr>
              <w:t>路</w:t>
            </w:r>
            <w:r w:rsidRPr="00F9522B">
              <w:rPr>
                <w:rFonts w:eastAsiaTheme="minorEastAsia"/>
                <w:szCs w:val="21"/>
              </w:rPr>
              <w:t>-24</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W30</w:t>
            </w:r>
          </w:p>
        </w:tc>
      </w:tr>
      <w:tr w:rsidR="00FB5EB0" w:rsidRPr="00F9522B" w:rsidTr="003A7922">
        <w:trPr>
          <w:trHeight w:val="178"/>
          <w:jc w:val="center"/>
        </w:trPr>
        <w:tc>
          <w:tcPr>
            <w:tcW w:w="1326" w:type="dxa"/>
            <w:shd w:val="clear" w:color="auto" w:fill="auto"/>
            <w:vAlign w:val="center"/>
          </w:tcPr>
          <w:p w:rsidR="00FB5EB0" w:rsidRPr="00F9522B" w:rsidRDefault="00FB5EB0" w:rsidP="003A7922">
            <w:pPr>
              <w:spacing w:line="0" w:lineRule="atLeast"/>
              <w:jc w:val="center"/>
              <w:rPr>
                <w:rFonts w:eastAsiaTheme="minorEastAsia"/>
                <w:szCs w:val="21"/>
              </w:rPr>
            </w:pPr>
            <w:r w:rsidRPr="00F9522B">
              <w:rPr>
                <w:rFonts w:eastAsiaTheme="minorEastAsia"/>
                <w:szCs w:val="21"/>
              </w:rPr>
              <w:t>新立屯</w:t>
            </w:r>
          </w:p>
        </w:tc>
        <w:tc>
          <w:tcPr>
            <w:tcW w:w="830"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127.0765122</w:t>
            </w:r>
          </w:p>
        </w:tc>
        <w:tc>
          <w:tcPr>
            <w:tcW w:w="993"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46.154287</w:t>
            </w: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生产</w:t>
            </w:r>
            <w:r w:rsidRPr="00F9522B">
              <w:rPr>
                <w:rFonts w:eastAsiaTheme="minorEastAsia"/>
                <w:szCs w:val="21"/>
              </w:rPr>
              <w:t>路</w:t>
            </w:r>
            <w:r w:rsidRPr="00F9522B">
              <w:rPr>
                <w:rFonts w:eastAsiaTheme="minorEastAsia"/>
                <w:szCs w:val="21"/>
              </w:rPr>
              <w:t>-22</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N80</w:t>
            </w:r>
          </w:p>
        </w:tc>
      </w:tr>
      <w:tr w:rsidR="00FB5EB0" w:rsidRPr="00F9522B" w:rsidTr="003A7922">
        <w:trPr>
          <w:trHeight w:val="178"/>
          <w:jc w:val="center"/>
        </w:trPr>
        <w:tc>
          <w:tcPr>
            <w:tcW w:w="1326" w:type="dxa"/>
            <w:vMerge w:val="restart"/>
            <w:shd w:val="clear" w:color="auto" w:fill="auto"/>
            <w:vAlign w:val="center"/>
          </w:tcPr>
          <w:p w:rsidR="00FB5EB0" w:rsidRPr="00F9522B" w:rsidRDefault="00FB5EB0" w:rsidP="003A7922">
            <w:pPr>
              <w:spacing w:line="0" w:lineRule="atLeast"/>
              <w:jc w:val="center"/>
              <w:rPr>
                <w:rFonts w:eastAsiaTheme="minorEastAsia"/>
                <w:szCs w:val="21"/>
              </w:rPr>
            </w:pPr>
            <w:r w:rsidRPr="00F9522B">
              <w:rPr>
                <w:rFonts w:eastAsiaTheme="minorEastAsia"/>
                <w:szCs w:val="21"/>
              </w:rPr>
              <w:t>付井村</w:t>
            </w:r>
          </w:p>
        </w:tc>
        <w:tc>
          <w:tcPr>
            <w:tcW w:w="830"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127.0130028</w:t>
            </w:r>
          </w:p>
        </w:tc>
        <w:tc>
          <w:tcPr>
            <w:tcW w:w="993"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46.158311</w:t>
            </w: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机电井</w:t>
            </w:r>
            <w:r w:rsidRPr="00F9522B">
              <w:rPr>
                <w:rFonts w:eastAsiaTheme="minorEastAsia"/>
                <w:snapToGrid w:val="0"/>
                <w:szCs w:val="21"/>
              </w:rPr>
              <w:t>-1</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E35</w:t>
            </w:r>
          </w:p>
        </w:tc>
      </w:tr>
      <w:tr w:rsidR="00FB5EB0" w:rsidRPr="00F9522B" w:rsidTr="003A7922">
        <w:trPr>
          <w:trHeight w:val="178"/>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过水路面</w:t>
            </w:r>
            <w:r w:rsidRPr="00F9522B">
              <w:rPr>
                <w:rFonts w:eastAsiaTheme="minorEastAsia"/>
                <w:snapToGrid w:val="0"/>
                <w:szCs w:val="21"/>
              </w:rPr>
              <w:t>-20</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SW140</w:t>
            </w:r>
          </w:p>
        </w:tc>
      </w:tr>
      <w:tr w:rsidR="00FB5EB0" w:rsidRPr="00F9522B" w:rsidTr="003A7922">
        <w:trPr>
          <w:trHeight w:val="178"/>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侵蚀沟</w:t>
            </w:r>
            <w:r w:rsidRPr="00F9522B">
              <w:rPr>
                <w:rFonts w:eastAsiaTheme="minorEastAsia"/>
                <w:snapToGrid w:val="0"/>
                <w:szCs w:val="21"/>
              </w:rPr>
              <w:t>-1</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N40</w:t>
            </w:r>
          </w:p>
        </w:tc>
      </w:tr>
      <w:tr w:rsidR="00FB5EB0" w:rsidRPr="00F9522B" w:rsidTr="003A7922">
        <w:trPr>
          <w:trHeight w:val="178"/>
          <w:jc w:val="center"/>
        </w:trPr>
        <w:tc>
          <w:tcPr>
            <w:tcW w:w="1326" w:type="dxa"/>
            <w:vMerge w:val="restart"/>
            <w:shd w:val="clear" w:color="auto" w:fill="auto"/>
            <w:vAlign w:val="center"/>
          </w:tcPr>
          <w:p w:rsidR="00FB5EB0" w:rsidRPr="00F9522B" w:rsidRDefault="00FB5EB0" w:rsidP="003A7922">
            <w:pPr>
              <w:spacing w:line="0" w:lineRule="atLeast"/>
              <w:jc w:val="center"/>
              <w:rPr>
                <w:rFonts w:eastAsiaTheme="minorEastAsia"/>
                <w:szCs w:val="21"/>
              </w:rPr>
            </w:pPr>
            <w:r w:rsidRPr="00F9522B">
              <w:rPr>
                <w:rFonts w:eastAsiaTheme="minorEastAsia"/>
                <w:szCs w:val="21"/>
              </w:rPr>
              <w:t>高财</w:t>
            </w:r>
          </w:p>
        </w:tc>
        <w:tc>
          <w:tcPr>
            <w:tcW w:w="830"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127.0068230</w:t>
            </w:r>
          </w:p>
        </w:tc>
        <w:tc>
          <w:tcPr>
            <w:tcW w:w="993"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46.169071</w:t>
            </w: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排水沟</w:t>
            </w:r>
            <w:r w:rsidRPr="00F9522B">
              <w:rPr>
                <w:rFonts w:eastAsiaTheme="minorEastAsia"/>
                <w:snapToGrid w:val="0"/>
                <w:szCs w:val="21"/>
              </w:rPr>
              <w:t>-3</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N10</w:t>
            </w:r>
          </w:p>
        </w:tc>
      </w:tr>
      <w:tr w:rsidR="00FB5EB0" w:rsidRPr="00F9522B" w:rsidTr="003A7922">
        <w:trPr>
          <w:trHeight w:val="178"/>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过水路面</w:t>
            </w:r>
            <w:r w:rsidRPr="00F9522B">
              <w:rPr>
                <w:rFonts w:eastAsiaTheme="minorEastAsia"/>
                <w:snapToGrid w:val="0"/>
                <w:szCs w:val="21"/>
              </w:rPr>
              <w:t>-2</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N40</w:t>
            </w:r>
          </w:p>
        </w:tc>
      </w:tr>
    </w:tbl>
    <w:p w:rsidR="00FB5EB0" w:rsidRPr="00F9522B" w:rsidRDefault="00FB5EB0"/>
    <w:p w:rsidR="00FB5EB0" w:rsidRPr="00F9522B" w:rsidRDefault="00FB5EB0"/>
    <w:p w:rsidR="00FB5EB0" w:rsidRPr="00F9522B" w:rsidRDefault="00FB5EB0" w:rsidP="00FB5EB0">
      <w:pPr>
        <w:jc w:val="center"/>
        <w:rPr>
          <w:rFonts w:eastAsiaTheme="minorEastAsia"/>
          <w:b/>
        </w:rPr>
      </w:pPr>
      <w:r w:rsidRPr="00F9522B">
        <w:rPr>
          <w:rFonts w:eastAsiaTheme="minorEastAsia"/>
          <w:b/>
          <w:kern w:val="0"/>
          <w:szCs w:val="21"/>
        </w:rPr>
        <w:lastRenderedPageBreak/>
        <w:t>续表</w:t>
      </w:r>
      <w:r w:rsidRPr="00F9522B">
        <w:rPr>
          <w:rFonts w:eastAsiaTheme="minorEastAsia"/>
          <w:b/>
          <w:kern w:val="0"/>
          <w:szCs w:val="21"/>
        </w:rPr>
        <w:t>2-8-1</w:t>
      </w:r>
      <w:r w:rsidRPr="00F9522B">
        <w:rPr>
          <w:rFonts w:eastAsiaTheme="minorEastAsia"/>
          <w:b/>
          <w:kern w:val="0"/>
          <w:szCs w:val="21"/>
        </w:rPr>
        <w:t>施工期及运营期环境空气及声环境保护目标一览表</w:t>
      </w:r>
    </w:p>
    <w:tbl>
      <w:tblPr>
        <w:tblW w:w="8081" w:type="dxa"/>
        <w:jc w:val="center"/>
        <w:tblBorders>
          <w:top w:val="single" w:sz="12" w:space="0" w:color="auto"/>
          <w:bottom w:val="single" w:sz="12" w:space="0" w:color="auto"/>
          <w:insideH w:val="single" w:sz="4" w:space="0" w:color="auto"/>
          <w:insideV w:val="single" w:sz="4" w:space="0" w:color="auto"/>
        </w:tblBorders>
        <w:tblLayout w:type="fixed"/>
        <w:tblLook w:val="04A0"/>
      </w:tblPr>
      <w:tblGrid>
        <w:gridCol w:w="1326"/>
        <w:gridCol w:w="830"/>
        <w:gridCol w:w="993"/>
        <w:gridCol w:w="708"/>
        <w:gridCol w:w="567"/>
        <w:gridCol w:w="851"/>
        <w:gridCol w:w="1417"/>
        <w:gridCol w:w="1389"/>
      </w:tblGrid>
      <w:tr w:rsidR="00FB5EB0" w:rsidRPr="00F9522B" w:rsidTr="003A7922">
        <w:trPr>
          <w:trHeight w:val="178"/>
          <w:jc w:val="center"/>
        </w:trPr>
        <w:tc>
          <w:tcPr>
            <w:tcW w:w="1326" w:type="dxa"/>
            <w:vMerge w:val="restart"/>
            <w:shd w:val="clear" w:color="auto" w:fill="auto"/>
            <w:vAlign w:val="center"/>
          </w:tcPr>
          <w:p w:rsidR="00FB5EB0" w:rsidRPr="00F9522B" w:rsidRDefault="00FB5EB0" w:rsidP="003A7922">
            <w:pPr>
              <w:spacing w:line="0" w:lineRule="atLeast"/>
              <w:jc w:val="center"/>
              <w:rPr>
                <w:rFonts w:eastAsiaTheme="minorEastAsia"/>
                <w:szCs w:val="21"/>
              </w:rPr>
            </w:pPr>
            <w:r w:rsidRPr="00F9522B">
              <w:rPr>
                <w:rFonts w:eastAsiaTheme="minorEastAsia"/>
                <w:szCs w:val="21"/>
              </w:rPr>
              <w:t>王牛村</w:t>
            </w:r>
          </w:p>
        </w:tc>
        <w:tc>
          <w:tcPr>
            <w:tcW w:w="830"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126.9616332</w:t>
            </w:r>
          </w:p>
        </w:tc>
        <w:tc>
          <w:tcPr>
            <w:tcW w:w="993"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46.153466</w:t>
            </w:r>
          </w:p>
        </w:tc>
        <w:tc>
          <w:tcPr>
            <w:tcW w:w="708"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农村人群集中区</w:t>
            </w:r>
          </w:p>
        </w:tc>
        <w:tc>
          <w:tcPr>
            <w:tcW w:w="567"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人群</w:t>
            </w:r>
          </w:p>
        </w:tc>
        <w:tc>
          <w:tcPr>
            <w:tcW w:w="851"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环境空气：二类区；声环境：一类区</w:t>
            </w: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排水沟</w:t>
            </w:r>
            <w:r w:rsidRPr="00F9522B">
              <w:rPr>
                <w:rFonts w:eastAsiaTheme="minorEastAsia"/>
                <w:snapToGrid w:val="0"/>
                <w:szCs w:val="21"/>
              </w:rPr>
              <w:t>-2</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N10</w:t>
            </w:r>
          </w:p>
        </w:tc>
      </w:tr>
      <w:tr w:rsidR="00FB5EB0" w:rsidRPr="00F9522B" w:rsidTr="003A7922">
        <w:trPr>
          <w:trHeight w:val="178"/>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机耕路</w:t>
            </w:r>
            <w:r w:rsidRPr="00F9522B">
              <w:rPr>
                <w:rFonts w:eastAsiaTheme="minorEastAsia"/>
                <w:snapToGrid w:val="0"/>
                <w:szCs w:val="21"/>
              </w:rPr>
              <w:t>-4</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W15</w:t>
            </w:r>
          </w:p>
        </w:tc>
      </w:tr>
      <w:tr w:rsidR="00FB5EB0" w:rsidRPr="00F9522B" w:rsidTr="003A7922">
        <w:trPr>
          <w:trHeight w:val="180"/>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涵</w:t>
            </w:r>
            <w:r w:rsidRPr="00F9522B">
              <w:rPr>
                <w:rFonts w:eastAsiaTheme="minorEastAsia"/>
                <w:snapToGrid w:val="0"/>
                <w:szCs w:val="21"/>
              </w:rPr>
              <w:t>-12</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W10</w:t>
            </w:r>
          </w:p>
        </w:tc>
      </w:tr>
      <w:tr w:rsidR="00FB5EB0" w:rsidRPr="00F9522B" w:rsidTr="003A7922">
        <w:trPr>
          <w:trHeight w:val="178"/>
          <w:jc w:val="center"/>
        </w:trPr>
        <w:tc>
          <w:tcPr>
            <w:tcW w:w="1326" w:type="dxa"/>
            <w:vMerge w:val="restart"/>
            <w:shd w:val="clear" w:color="auto" w:fill="auto"/>
            <w:vAlign w:val="center"/>
          </w:tcPr>
          <w:p w:rsidR="00FB5EB0" w:rsidRPr="00F9522B" w:rsidRDefault="00FB5EB0" w:rsidP="003A7922">
            <w:pPr>
              <w:spacing w:line="0" w:lineRule="atLeast"/>
              <w:jc w:val="center"/>
              <w:rPr>
                <w:rFonts w:eastAsiaTheme="minorEastAsia"/>
                <w:szCs w:val="21"/>
              </w:rPr>
            </w:pPr>
            <w:r w:rsidRPr="00F9522B">
              <w:rPr>
                <w:rFonts w:eastAsiaTheme="minorEastAsia"/>
                <w:szCs w:val="21"/>
              </w:rPr>
              <w:t>王成井</w:t>
            </w:r>
          </w:p>
        </w:tc>
        <w:tc>
          <w:tcPr>
            <w:tcW w:w="830"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126.9550242</w:t>
            </w:r>
          </w:p>
        </w:tc>
        <w:tc>
          <w:tcPr>
            <w:tcW w:w="993"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46.16660</w:t>
            </w: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涵</w:t>
            </w:r>
            <w:r w:rsidRPr="00F9522B">
              <w:rPr>
                <w:rFonts w:eastAsiaTheme="minorEastAsia"/>
                <w:snapToGrid w:val="0"/>
                <w:szCs w:val="21"/>
              </w:rPr>
              <w:t>-8</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E10</w:t>
            </w:r>
          </w:p>
        </w:tc>
      </w:tr>
      <w:tr w:rsidR="00FB5EB0" w:rsidRPr="00F9522B" w:rsidTr="003A7922">
        <w:trPr>
          <w:trHeight w:val="178"/>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机电井</w:t>
            </w:r>
            <w:r w:rsidRPr="00F9522B">
              <w:rPr>
                <w:rFonts w:eastAsiaTheme="minorEastAsia"/>
                <w:snapToGrid w:val="0"/>
                <w:szCs w:val="21"/>
              </w:rPr>
              <w:t>-3</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S35</w:t>
            </w:r>
          </w:p>
        </w:tc>
      </w:tr>
      <w:tr w:rsidR="00FB5EB0" w:rsidRPr="00F9522B" w:rsidTr="003A7922">
        <w:trPr>
          <w:trHeight w:val="178"/>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机电井</w:t>
            </w:r>
            <w:r w:rsidRPr="00F9522B">
              <w:rPr>
                <w:rFonts w:eastAsiaTheme="minorEastAsia"/>
                <w:snapToGrid w:val="0"/>
                <w:szCs w:val="21"/>
              </w:rPr>
              <w:t>-4</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S50</w:t>
            </w:r>
          </w:p>
        </w:tc>
      </w:tr>
      <w:tr w:rsidR="00FB5EB0" w:rsidRPr="00F9522B" w:rsidTr="003A7922">
        <w:trPr>
          <w:trHeight w:val="180"/>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机电井</w:t>
            </w:r>
            <w:r w:rsidRPr="00F9522B">
              <w:rPr>
                <w:rFonts w:eastAsiaTheme="minorEastAsia"/>
                <w:snapToGrid w:val="0"/>
                <w:szCs w:val="21"/>
              </w:rPr>
              <w:t>-5</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S20</w:t>
            </w:r>
          </w:p>
        </w:tc>
      </w:tr>
      <w:tr w:rsidR="00FB5EB0" w:rsidRPr="00F9522B" w:rsidTr="003A7922">
        <w:trPr>
          <w:trHeight w:val="178"/>
          <w:jc w:val="center"/>
        </w:trPr>
        <w:tc>
          <w:tcPr>
            <w:tcW w:w="1326" w:type="dxa"/>
            <w:vMerge w:val="restart"/>
            <w:shd w:val="clear" w:color="auto" w:fill="auto"/>
            <w:vAlign w:val="center"/>
          </w:tcPr>
          <w:p w:rsidR="00FB5EB0" w:rsidRPr="00F9522B" w:rsidRDefault="00FB5EB0" w:rsidP="003A7922">
            <w:pPr>
              <w:spacing w:line="0" w:lineRule="atLeast"/>
              <w:jc w:val="center"/>
              <w:rPr>
                <w:rFonts w:eastAsiaTheme="minorEastAsia"/>
                <w:szCs w:val="21"/>
              </w:rPr>
            </w:pPr>
            <w:r w:rsidRPr="00F9522B">
              <w:rPr>
                <w:rFonts w:eastAsiaTheme="minorEastAsia"/>
                <w:szCs w:val="21"/>
              </w:rPr>
              <w:t>苏德村</w:t>
            </w:r>
          </w:p>
        </w:tc>
        <w:tc>
          <w:tcPr>
            <w:tcW w:w="830"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126.9530501</w:t>
            </w:r>
          </w:p>
        </w:tc>
        <w:tc>
          <w:tcPr>
            <w:tcW w:w="993"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46.185207</w:t>
            </w: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机电井</w:t>
            </w:r>
            <w:r w:rsidRPr="00F9522B">
              <w:rPr>
                <w:rFonts w:eastAsiaTheme="minorEastAsia"/>
                <w:snapToGrid w:val="0"/>
                <w:szCs w:val="21"/>
              </w:rPr>
              <w:t>-3</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N30</w:t>
            </w:r>
          </w:p>
        </w:tc>
      </w:tr>
      <w:tr w:rsidR="00FB5EB0" w:rsidRPr="00F9522B" w:rsidTr="003A7922">
        <w:trPr>
          <w:trHeight w:val="178"/>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排水沟</w:t>
            </w:r>
            <w:r w:rsidRPr="00F9522B">
              <w:rPr>
                <w:rFonts w:eastAsiaTheme="minorEastAsia"/>
                <w:snapToGrid w:val="0"/>
                <w:szCs w:val="21"/>
              </w:rPr>
              <w:t>-1</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N10</w:t>
            </w:r>
          </w:p>
        </w:tc>
      </w:tr>
      <w:tr w:rsidR="00FB5EB0" w:rsidRPr="00F9522B" w:rsidTr="003A7922">
        <w:trPr>
          <w:trHeight w:val="178"/>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机电井</w:t>
            </w:r>
            <w:r w:rsidRPr="00F9522B">
              <w:rPr>
                <w:rFonts w:eastAsiaTheme="minorEastAsia"/>
                <w:snapToGrid w:val="0"/>
                <w:szCs w:val="21"/>
              </w:rPr>
              <w:t>-1</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SW60</w:t>
            </w:r>
          </w:p>
        </w:tc>
      </w:tr>
      <w:tr w:rsidR="00FB5EB0" w:rsidRPr="00F9522B" w:rsidTr="003A7922">
        <w:trPr>
          <w:trHeight w:val="178"/>
          <w:jc w:val="center"/>
        </w:trPr>
        <w:tc>
          <w:tcPr>
            <w:tcW w:w="1326" w:type="dxa"/>
            <w:vMerge w:val="restart"/>
            <w:shd w:val="clear" w:color="auto" w:fill="auto"/>
            <w:vAlign w:val="center"/>
          </w:tcPr>
          <w:p w:rsidR="00FB5EB0" w:rsidRPr="00F9522B" w:rsidRDefault="00FB5EB0" w:rsidP="003A7922">
            <w:pPr>
              <w:spacing w:line="0" w:lineRule="atLeast"/>
              <w:jc w:val="center"/>
              <w:rPr>
                <w:rFonts w:eastAsiaTheme="minorEastAsia"/>
                <w:szCs w:val="21"/>
              </w:rPr>
            </w:pPr>
            <w:r w:rsidRPr="00F9522B">
              <w:rPr>
                <w:rFonts w:eastAsiaTheme="minorEastAsia"/>
                <w:szCs w:val="21"/>
              </w:rPr>
              <w:t>历井村</w:t>
            </w:r>
          </w:p>
        </w:tc>
        <w:tc>
          <w:tcPr>
            <w:tcW w:w="830"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126.8834414</w:t>
            </w:r>
          </w:p>
        </w:tc>
        <w:tc>
          <w:tcPr>
            <w:tcW w:w="993"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46.173945</w:t>
            </w: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生产路</w:t>
            </w:r>
            <w:r w:rsidRPr="00F9522B">
              <w:rPr>
                <w:rFonts w:eastAsiaTheme="minorEastAsia"/>
                <w:snapToGrid w:val="0"/>
                <w:szCs w:val="21"/>
              </w:rPr>
              <w:t>-3</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N30</w:t>
            </w:r>
          </w:p>
        </w:tc>
      </w:tr>
      <w:tr w:rsidR="00FB5EB0" w:rsidRPr="00F9522B" w:rsidTr="003A7922">
        <w:trPr>
          <w:trHeight w:val="178"/>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涵</w:t>
            </w:r>
            <w:r w:rsidRPr="00F9522B">
              <w:rPr>
                <w:rFonts w:eastAsiaTheme="minorEastAsia"/>
                <w:snapToGrid w:val="0"/>
                <w:szCs w:val="21"/>
              </w:rPr>
              <w:t>-9</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N20</w:t>
            </w:r>
          </w:p>
        </w:tc>
      </w:tr>
      <w:tr w:rsidR="00FB5EB0" w:rsidRPr="00F9522B" w:rsidTr="003A7922">
        <w:trPr>
          <w:trHeight w:val="178"/>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滴灌井</w:t>
            </w:r>
            <w:r w:rsidRPr="00F9522B">
              <w:rPr>
                <w:rFonts w:eastAsiaTheme="minorEastAsia"/>
                <w:snapToGrid w:val="0"/>
                <w:szCs w:val="21"/>
              </w:rPr>
              <w:t>-36</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N150</w:t>
            </w:r>
          </w:p>
        </w:tc>
      </w:tr>
      <w:tr w:rsidR="00FB5EB0" w:rsidRPr="00F9522B" w:rsidTr="003A7922">
        <w:trPr>
          <w:trHeight w:val="180"/>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滴灌井</w:t>
            </w:r>
            <w:r w:rsidRPr="00F9522B">
              <w:rPr>
                <w:rFonts w:eastAsiaTheme="minorEastAsia"/>
                <w:snapToGrid w:val="0"/>
                <w:szCs w:val="21"/>
              </w:rPr>
              <w:t>-23</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S20</w:t>
            </w:r>
          </w:p>
        </w:tc>
      </w:tr>
      <w:tr w:rsidR="00FB5EB0" w:rsidRPr="00F9522B" w:rsidTr="003A7922">
        <w:trPr>
          <w:trHeight w:val="180"/>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滴灌井</w:t>
            </w:r>
            <w:r w:rsidRPr="00F9522B">
              <w:rPr>
                <w:rFonts w:eastAsiaTheme="minorEastAsia"/>
                <w:snapToGrid w:val="0"/>
                <w:szCs w:val="21"/>
              </w:rPr>
              <w:t>-24</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S10</w:t>
            </w:r>
          </w:p>
        </w:tc>
      </w:tr>
      <w:tr w:rsidR="00FB5EB0" w:rsidRPr="00F9522B" w:rsidTr="003A7922">
        <w:trPr>
          <w:trHeight w:val="180"/>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滴灌井</w:t>
            </w:r>
            <w:r w:rsidRPr="00F9522B">
              <w:rPr>
                <w:rFonts w:eastAsiaTheme="minorEastAsia"/>
                <w:snapToGrid w:val="0"/>
                <w:szCs w:val="21"/>
              </w:rPr>
              <w:t>-35</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N30</w:t>
            </w:r>
          </w:p>
        </w:tc>
      </w:tr>
      <w:tr w:rsidR="00FB5EB0" w:rsidRPr="00F9522B" w:rsidTr="00D7251E">
        <w:trPr>
          <w:trHeight w:val="101"/>
          <w:jc w:val="center"/>
        </w:trPr>
        <w:tc>
          <w:tcPr>
            <w:tcW w:w="1326" w:type="dxa"/>
            <w:vMerge w:val="restart"/>
            <w:shd w:val="clear" w:color="auto" w:fill="auto"/>
            <w:vAlign w:val="center"/>
          </w:tcPr>
          <w:p w:rsidR="00FB5EB0" w:rsidRPr="00F9522B" w:rsidRDefault="00FB5EB0" w:rsidP="003A7922">
            <w:pPr>
              <w:spacing w:line="0" w:lineRule="atLeast"/>
              <w:jc w:val="center"/>
              <w:rPr>
                <w:rFonts w:eastAsiaTheme="minorEastAsia"/>
                <w:szCs w:val="21"/>
              </w:rPr>
            </w:pPr>
            <w:r w:rsidRPr="00F9522B">
              <w:rPr>
                <w:rFonts w:eastAsiaTheme="minorEastAsia"/>
                <w:szCs w:val="21"/>
              </w:rPr>
              <w:t>促进</w:t>
            </w:r>
          </w:p>
        </w:tc>
        <w:tc>
          <w:tcPr>
            <w:tcW w:w="830"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126.8748584</w:t>
            </w:r>
          </w:p>
        </w:tc>
        <w:tc>
          <w:tcPr>
            <w:tcW w:w="993"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46.151355</w:t>
            </w: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涵</w:t>
            </w:r>
            <w:r w:rsidRPr="00F9522B">
              <w:rPr>
                <w:rFonts w:eastAsiaTheme="minorEastAsia"/>
                <w:snapToGrid w:val="0"/>
                <w:szCs w:val="21"/>
              </w:rPr>
              <w:t>-3</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W30</w:t>
            </w:r>
          </w:p>
        </w:tc>
      </w:tr>
      <w:tr w:rsidR="00FB5EB0" w:rsidRPr="00F9522B" w:rsidTr="003A7922">
        <w:trPr>
          <w:trHeight w:val="70"/>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机耕</w:t>
            </w:r>
            <w:r w:rsidRPr="00F9522B">
              <w:rPr>
                <w:rFonts w:eastAsiaTheme="minorEastAsia"/>
                <w:szCs w:val="21"/>
              </w:rPr>
              <w:t>路</w:t>
            </w:r>
            <w:r w:rsidRPr="00F9522B">
              <w:rPr>
                <w:rFonts w:eastAsiaTheme="minorEastAsia"/>
                <w:szCs w:val="21"/>
              </w:rPr>
              <w:t>-1</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N30</w:t>
            </w:r>
          </w:p>
        </w:tc>
      </w:tr>
      <w:tr w:rsidR="00FB5EB0" w:rsidRPr="00F9522B" w:rsidTr="003A7922">
        <w:trPr>
          <w:trHeight w:val="178"/>
          <w:jc w:val="center"/>
        </w:trPr>
        <w:tc>
          <w:tcPr>
            <w:tcW w:w="1326" w:type="dxa"/>
            <w:vMerge w:val="restart"/>
            <w:shd w:val="clear" w:color="auto" w:fill="auto"/>
            <w:vAlign w:val="center"/>
          </w:tcPr>
          <w:p w:rsidR="00FB5EB0" w:rsidRPr="00F9522B" w:rsidRDefault="00FB5EB0" w:rsidP="003A7922">
            <w:pPr>
              <w:spacing w:line="0" w:lineRule="atLeast"/>
              <w:jc w:val="center"/>
              <w:rPr>
                <w:rFonts w:eastAsiaTheme="minorEastAsia"/>
                <w:szCs w:val="21"/>
              </w:rPr>
            </w:pPr>
            <w:r w:rsidRPr="00F9522B">
              <w:rPr>
                <w:rFonts w:eastAsiaTheme="minorEastAsia"/>
                <w:szCs w:val="21"/>
              </w:rPr>
              <w:t>永胜村</w:t>
            </w:r>
          </w:p>
        </w:tc>
        <w:tc>
          <w:tcPr>
            <w:tcW w:w="830"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126.8506541</w:t>
            </w:r>
          </w:p>
        </w:tc>
        <w:tc>
          <w:tcPr>
            <w:tcW w:w="993"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46.152723</w:t>
            </w: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生产路</w:t>
            </w:r>
            <w:r w:rsidRPr="00F9522B">
              <w:rPr>
                <w:rFonts w:eastAsiaTheme="minorEastAsia"/>
                <w:snapToGrid w:val="0"/>
                <w:szCs w:val="21"/>
              </w:rPr>
              <w:t>-2</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S30</w:t>
            </w:r>
          </w:p>
        </w:tc>
      </w:tr>
      <w:tr w:rsidR="00FB5EB0" w:rsidRPr="00F9522B" w:rsidTr="003A7922">
        <w:trPr>
          <w:trHeight w:val="178"/>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生产路</w:t>
            </w:r>
            <w:r w:rsidRPr="00F9522B">
              <w:rPr>
                <w:rFonts w:eastAsiaTheme="minorEastAsia"/>
                <w:snapToGrid w:val="0"/>
                <w:szCs w:val="21"/>
              </w:rPr>
              <w:t>-3</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S30</w:t>
            </w:r>
          </w:p>
        </w:tc>
      </w:tr>
      <w:tr w:rsidR="00FB5EB0" w:rsidRPr="00F9522B" w:rsidTr="003A7922">
        <w:trPr>
          <w:trHeight w:val="276"/>
          <w:jc w:val="center"/>
        </w:trPr>
        <w:tc>
          <w:tcPr>
            <w:tcW w:w="1326" w:type="dxa"/>
            <w:vMerge w:val="restart"/>
            <w:shd w:val="clear" w:color="auto" w:fill="auto"/>
            <w:vAlign w:val="center"/>
          </w:tcPr>
          <w:p w:rsidR="00FB5EB0" w:rsidRPr="00F9522B" w:rsidRDefault="00FB5EB0" w:rsidP="003A7922">
            <w:pPr>
              <w:spacing w:line="0" w:lineRule="atLeast"/>
              <w:jc w:val="center"/>
              <w:rPr>
                <w:rFonts w:eastAsiaTheme="minorEastAsia"/>
                <w:szCs w:val="21"/>
              </w:rPr>
            </w:pPr>
            <w:r w:rsidRPr="00F9522B">
              <w:rPr>
                <w:rFonts w:eastAsiaTheme="minorEastAsia"/>
                <w:szCs w:val="21"/>
              </w:rPr>
              <w:t>历井农场</w:t>
            </w:r>
          </w:p>
        </w:tc>
        <w:tc>
          <w:tcPr>
            <w:tcW w:w="830"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126.8565764</w:t>
            </w:r>
          </w:p>
        </w:tc>
        <w:tc>
          <w:tcPr>
            <w:tcW w:w="993"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46.170914</w:t>
            </w: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滴灌井</w:t>
            </w:r>
            <w:r w:rsidRPr="00F9522B">
              <w:rPr>
                <w:rFonts w:eastAsiaTheme="minorEastAsia"/>
                <w:snapToGrid w:val="0"/>
                <w:szCs w:val="21"/>
              </w:rPr>
              <w:t>-4</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N90</w:t>
            </w:r>
          </w:p>
        </w:tc>
      </w:tr>
      <w:tr w:rsidR="00FB5EB0" w:rsidRPr="00F9522B" w:rsidTr="003A7922">
        <w:trPr>
          <w:trHeight w:val="283"/>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机耕</w:t>
            </w:r>
            <w:r w:rsidRPr="00F9522B">
              <w:rPr>
                <w:rFonts w:eastAsiaTheme="minorEastAsia"/>
                <w:szCs w:val="21"/>
              </w:rPr>
              <w:t>路</w:t>
            </w:r>
            <w:r w:rsidRPr="00F9522B">
              <w:rPr>
                <w:rFonts w:eastAsiaTheme="minorEastAsia"/>
                <w:szCs w:val="21"/>
              </w:rPr>
              <w:t>-1</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N10</w:t>
            </w:r>
          </w:p>
        </w:tc>
      </w:tr>
      <w:tr w:rsidR="00FB5EB0" w:rsidRPr="00F9522B" w:rsidTr="003A7922">
        <w:trPr>
          <w:trHeight w:val="143"/>
          <w:jc w:val="center"/>
        </w:trPr>
        <w:tc>
          <w:tcPr>
            <w:tcW w:w="1326" w:type="dxa"/>
            <w:vMerge w:val="restart"/>
            <w:shd w:val="clear" w:color="auto" w:fill="auto"/>
            <w:vAlign w:val="center"/>
          </w:tcPr>
          <w:p w:rsidR="00FB5EB0" w:rsidRPr="00F9522B" w:rsidRDefault="00FB5EB0" w:rsidP="003A7922">
            <w:pPr>
              <w:spacing w:line="0" w:lineRule="atLeast"/>
              <w:jc w:val="center"/>
              <w:rPr>
                <w:rFonts w:eastAsiaTheme="minorEastAsia"/>
                <w:szCs w:val="21"/>
              </w:rPr>
            </w:pPr>
            <w:r w:rsidRPr="00F9522B">
              <w:rPr>
                <w:rFonts w:eastAsiaTheme="minorEastAsia"/>
                <w:szCs w:val="21"/>
              </w:rPr>
              <w:t>孟井村</w:t>
            </w:r>
          </w:p>
        </w:tc>
        <w:tc>
          <w:tcPr>
            <w:tcW w:w="830"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126.8515446</w:t>
            </w:r>
          </w:p>
        </w:tc>
        <w:tc>
          <w:tcPr>
            <w:tcW w:w="993"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46.186856</w:t>
            </w: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机耕</w:t>
            </w:r>
            <w:r w:rsidRPr="00F9522B">
              <w:rPr>
                <w:rFonts w:eastAsiaTheme="minorEastAsia"/>
                <w:szCs w:val="21"/>
              </w:rPr>
              <w:t>路</w:t>
            </w:r>
            <w:r w:rsidRPr="00F9522B">
              <w:rPr>
                <w:rFonts w:eastAsiaTheme="minorEastAsia"/>
                <w:szCs w:val="21"/>
              </w:rPr>
              <w:t>-4</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S25</w:t>
            </w:r>
          </w:p>
        </w:tc>
      </w:tr>
      <w:tr w:rsidR="00FB5EB0" w:rsidRPr="00F9522B" w:rsidTr="003A7922">
        <w:trPr>
          <w:trHeight w:val="275"/>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机电井</w:t>
            </w:r>
            <w:r w:rsidRPr="00F9522B">
              <w:rPr>
                <w:rFonts w:eastAsiaTheme="minorEastAsia"/>
                <w:snapToGrid w:val="0"/>
                <w:szCs w:val="21"/>
              </w:rPr>
              <w:t>-1</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S120</w:t>
            </w:r>
          </w:p>
        </w:tc>
      </w:tr>
      <w:tr w:rsidR="00FB5EB0" w:rsidRPr="00F9522B" w:rsidTr="003A7922">
        <w:trPr>
          <w:trHeight w:val="279"/>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机电井</w:t>
            </w:r>
            <w:r w:rsidRPr="00F9522B">
              <w:rPr>
                <w:rFonts w:eastAsiaTheme="minorEastAsia"/>
                <w:snapToGrid w:val="0"/>
                <w:szCs w:val="21"/>
              </w:rPr>
              <w:t>-2</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S85</w:t>
            </w:r>
          </w:p>
        </w:tc>
      </w:tr>
      <w:tr w:rsidR="00FB5EB0" w:rsidRPr="00F9522B" w:rsidTr="003A7922">
        <w:trPr>
          <w:trHeight w:val="269"/>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机电井</w:t>
            </w:r>
            <w:r w:rsidRPr="00F9522B">
              <w:rPr>
                <w:rFonts w:eastAsiaTheme="minorEastAsia"/>
                <w:snapToGrid w:val="0"/>
                <w:szCs w:val="21"/>
              </w:rPr>
              <w:t>-3</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S70</w:t>
            </w:r>
          </w:p>
        </w:tc>
      </w:tr>
      <w:tr w:rsidR="00FB5EB0" w:rsidRPr="00F9522B" w:rsidTr="003A7922">
        <w:trPr>
          <w:trHeight w:val="272"/>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机电井</w:t>
            </w:r>
            <w:r w:rsidRPr="00F9522B">
              <w:rPr>
                <w:rFonts w:eastAsiaTheme="minorEastAsia"/>
                <w:snapToGrid w:val="0"/>
                <w:szCs w:val="21"/>
              </w:rPr>
              <w:t>-4</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N105</w:t>
            </w:r>
          </w:p>
        </w:tc>
      </w:tr>
      <w:tr w:rsidR="00FB5EB0" w:rsidRPr="00F9522B" w:rsidTr="003A7922">
        <w:trPr>
          <w:trHeight w:val="277"/>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机电井</w:t>
            </w:r>
            <w:r w:rsidRPr="00F9522B">
              <w:rPr>
                <w:rFonts w:eastAsiaTheme="minorEastAsia"/>
                <w:snapToGrid w:val="0"/>
                <w:szCs w:val="21"/>
              </w:rPr>
              <w:t>-5</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N90</w:t>
            </w:r>
          </w:p>
        </w:tc>
      </w:tr>
      <w:tr w:rsidR="00FB5EB0" w:rsidRPr="00F9522B" w:rsidTr="003A7922">
        <w:trPr>
          <w:trHeight w:val="267"/>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机电井</w:t>
            </w:r>
            <w:r w:rsidRPr="00F9522B">
              <w:rPr>
                <w:rFonts w:eastAsiaTheme="minorEastAsia"/>
                <w:snapToGrid w:val="0"/>
                <w:szCs w:val="21"/>
              </w:rPr>
              <w:t>-6</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N115</w:t>
            </w:r>
          </w:p>
        </w:tc>
      </w:tr>
      <w:tr w:rsidR="00FB5EB0" w:rsidRPr="00F9522B" w:rsidTr="003A7922">
        <w:trPr>
          <w:trHeight w:val="267"/>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11756">
            <w:pPr>
              <w:adjustRightInd w:val="0"/>
              <w:snapToGrid w:val="0"/>
              <w:spacing w:line="0" w:lineRule="atLeast"/>
              <w:jc w:val="center"/>
              <w:rPr>
                <w:rFonts w:eastAsiaTheme="minorEastAsia"/>
                <w:snapToGrid w:val="0"/>
                <w:szCs w:val="21"/>
              </w:rPr>
            </w:pPr>
            <w:r w:rsidRPr="00F9522B">
              <w:rPr>
                <w:rFonts w:eastAsiaTheme="minorEastAsia"/>
                <w:snapToGrid w:val="0"/>
                <w:szCs w:val="21"/>
              </w:rPr>
              <w:t>排水沟</w:t>
            </w:r>
            <w:r w:rsidRPr="00F9522B">
              <w:rPr>
                <w:rFonts w:eastAsiaTheme="minorEastAsia"/>
                <w:snapToGrid w:val="0"/>
                <w:szCs w:val="21"/>
              </w:rPr>
              <w:t>-1</w:t>
            </w:r>
          </w:p>
        </w:tc>
        <w:tc>
          <w:tcPr>
            <w:tcW w:w="1389" w:type="dxa"/>
            <w:shd w:val="clear" w:color="auto" w:fill="auto"/>
            <w:vAlign w:val="center"/>
          </w:tcPr>
          <w:p w:rsidR="00FB5EB0" w:rsidRPr="00F9522B" w:rsidRDefault="00FB5EB0" w:rsidP="00311756">
            <w:pPr>
              <w:adjustRightInd w:val="0"/>
              <w:snapToGrid w:val="0"/>
              <w:spacing w:line="0" w:lineRule="atLeast"/>
              <w:jc w:val="center"/>
              <w:rPr>
                <w:rFonts w:eastAsiaTheme="minorEastAsia"/>
                <w:szCs w:val="21"/>
              </w:rPr>
            </w:pPr>
            <w:r w:rsidRPr="00F9522B">
              <w:rPr>
                <w:rFonts w:eastAsiaTheme="minorEastAsia"/>
                <w:szCs w:val="21"/>
              </w:rPr>
              <w:t>N30</w:t>
            </w:r>
          </w:p>
        </w:tc>
      </w:tr>
      <w:tr w:rsidR="00FB5EB0" w:rsidRPr="00F9522B" w:rsidTr="003A7922">
        <w:trPr>
          <w:trHeight w:val="178"/>
          <w:jc w:val="center"/>
        </w:trPr>
        <w:tc>
          <w:tcPr>
            <w:tcW w:w="1326" w:type="dxa"/>
            <w:shd w:val="clear" w:color="auto" w:fill="auto"/>
            <w:vAlign w:val="center"/>
          </w:tcPr>
          <w:p w:rsidR="00FB5EB0" w:rsidRPr="00F9522B" w:rsidRDefault="00FB5EB0" w:rsidP="003A7922">
            <w:pPr>
              <w:spacing w:line="0" w:lineRule="atLeast"/>
              <w:jc w:val="center"/>
              <w:rPr>
                <w:rFonts w:eastAsiaTheme="minorEastAsia"/>
                <w:szCs w:val="21"/>
              </w:rPr>
            </w:pPr>
            <w:r w:rsidRPr="00F9522B">
              <w:rPr>
                <w:rFonts w:eastAsiaTheme="minorEastAsia"/>
                <w:szCs w:val="21"/>
              </w:rPr>
              <w:t>小林家</w:t>
            </w:r>
          </w:p>
        </w:tc>
        <w:tc>
          <w:tcPr>
            <w:tcW w:w="830"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126.8230488</w:t>
            </w:r>
          </w:p>
        </w:tc>
        <w:tc>
          <w:tcPr>
            <w:tcW w:w="993"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46.198383</w:t>
            </w: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生产路</w:t>
            </w:r>
            <w:r w:rsidRPr="00F9522B">
              <w:rPr>
                <w:rFonts w:eastAsiaTheme="minorEastAsia"/>
                <w:snapToGrid w:val="0"/>
                <w:szCs w:val="21"/>
              </w:rPr>
              <w:t>-1</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E10</w:t>
            </w:r>
          </w:p>
        </w:tc>
      </w:tr>
      <w:tr w:rsidR="00FB5EB0" w:rsidRPr="00F9522B" w:rsidTr="003A7922">
        <w:trPr>
          <w:trHeight w:val="178"/>
          <w:jc w:val="center"/>
        </w:trPr>
        <w:tc>
          <w:tcPr>
            <w:tcW w:w="1326" w:type="dxa"/>
            <w:vMerge w:val="restart"/>
            <w:shd w:val="clear" w:color="auto" w:fill="auto"/>
            <w:vAlign w:val="center"/>
          </w:tcPr>
          <w:p w:rsidR="00FB5EB0" w:rsidRPr="00F9522B" w:rsidRDefault="00FB5EB0" w:rsidP="003A7922">
            <w:pPr>
              <w:spacing w:line="0" w:lineRule="atLeast"/>
              <w:jc w:val="center"/>
              <w:rPr>
                <w:rFonts w:eastAsiaTheme="minorEastAsia"/>
                <w:szCs w:val="21"/>
              </w:rPr>
            </w:pPr>
            <w:r w:rsidRPr="00F9522B">
              <w:rPr>
                <w:rFonts w:eastAsiaTheme="minorEastAsia"/>
                <w:szCs w:val="21"/>
              </w:rPr>
              <w:t>大林家</w:t>
            </w:r>
          </w:p>
        </w:tc>
        <w:tc>
          <w:tcPr>
            <w:tcW w:w="830"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126.8357517</w:t>
            </w:r>
          </w:p>
        </w:tc>
        <w:tc>
          <w:tcPr>
            <w:tcW w:w="993"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46.199095</w:t>
            </w: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生产路</w:t>
            </w:r>
            <w:r w:rsidRPr="00F9522B">
              <w:rPr>
                <w:rFonts w:eastAsiaTheme="minorEastAsia"/>
                <w:snapToGrid w:val="0"/>
                <w:szCs w:val="21"/>
              </w:rPr>
              <w:t>-3</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S10</w:t>
            </w:r>
          </w:p>
        </w:tc>
      </w:tr>
      <w:tr w:rsidR="00FB5EB0" w:rsidRPr="00F9522B" w:rsidTr="003A7922">
        <w:trPr>
          <w:trHeight w:val="178"/>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过水路面</w:t>
            </w:r>
            <w:r w:rsidRPr="00F9522B">
              <w:rPr>
                <w:rFonts w:eastAsiaTheme="minorEastAsia"/>
                <w:snapToGrid w:val="0"/>
                <w:szCs w:val="21"/>
              </w:rPr>
              <w:t>-5</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N55</w:t>
            </w:r>
          </w:p>
        </w:tc>
      </w:tr>
      <w:tr w:rsidR="00FB5EB0" w:rsidRPr="00F9522B" w:rsidTr="003A7922">
        <w:trPr>
          <w:trHeight w:val="178"/>
          <w:jc w:val="center"/>
        </w:trPr>
        <w:tc>
          <w:tcPr>
            <w:tcW w:w="1326" w:type="dxa"/>
            <w:shd w:val="clear" w:color="auto" w:fill="auto"/>
            <w:vAlign w:val="center"/>
          </w:tcPr>
          <w:p w:rsidR="00FB5EB0" w:rsidRPr="00F9522B" w:rsidRDefault="00FB5EB0" w:rsidP="003A7922">
            <w:pPr>
              <w:spacing w:line="0" w:lineRule="atLeast"/>
              <w:jc w:val="center"/>
              <w:rPr>
                <w:rFonts w:eastAsiaTheme="minorEastAsia"/>
                <w:szCs w:val="21"/>
              </w:rPr>
            </w:pPr>
            <w:r w:rsidRPr="00F9522B">
              <w:rPr>
                <w:rFonts w:eastAsiaTheme="minorEastAsia"/>
                <w:szCs w:val="21"/>
              </w:rPr>
              <w:t>双合村</w:t>
            </w:r>
          </w:p>
        </w:tc>
        <w:tc>
          <w:tcPr>
            <w:tcW w:w="830"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126.8694403</w:t>
            </w:r>
          </w:p>
        </w:tc>
        <w:tc>
          <w:tcPr>
            <w:tcW w:w="993"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46.204323</w:t>
            </w: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生产路</w:t>
            </w:r>
            <w:r w:rsidRPr="00F9522B">
              <w:rPr>
                <w:rFonts w:eastAsiaTheme="minorEastAsia"/>
                <w:snapToGrid w:val="0"/>
                <w:szCs w:val="21"/>
              </w:rPr>
              <w:t>-6</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S110</w:t>
            </w:r>
          </w:p>
        </w:tc>
      </w:tr>
      <w:tr w:rsidR="00FB5EB0" w:rsidRPr="00F9522B" w:rsidTr="003A7922">
        <w:trPr>
          <w:trHeight w:val="178"/>
          <w:jc w:val="center"/>
        </w:trPr>
        <w:tc>
          <w:tcPr>
            <w:tcW w:w="1326" w:type="dxa"/>
            <w:vMerge w:val="restart"/>
            <w:shd w:val="clear" w:color="auto" w:fill="auto"/>
            <w:vAlign w:val="center"/>
          </w:tcPr>
          <w:p w:rsidR="00FB5EB0" w:rsidRPr="00F9522B" w:rsidRDefault="00FB5EB0" w:rsidP="003A7922">
            <w:pPr>
              <w:spacing w:line="0" w:lineRule="atLeast"/>
              <w:jc w:val="center"/>
              <w:rPr>
                <w:rFonts w:eastAsiaTheme="minorEastAsia"/>
                <w:szCs w:val="21"/>
              </w:rPr>
            </w:pPr>
            <w:r w:rsidRPr="00F9522B">
              <w:rPr>
                <w:rFonts w:eastAsiaTheme="minorEastAsia"/>
                <w:szCs w:val="21"/>
              </w:rPr>
              <w:t>双泉</w:t>
            </w:r>
          </w:p>
        </w:tc>
        <w:tc>
          <w:tcPr>
            <w:tcW w:w="830"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126.8850186</w:t>
            </w:r>
          </w:p>
        </w:tc>
        <w:tc>
          <w:tcPr>
            <w:tcW w:w="993"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46.212372</w:t>
            </w: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机耕路</w:t>
            </w:r>
            <w:r w:rsidRPr="00F9522B">
              <w:rPr>
                <w:rFonts w:eastAsiaTheme="minorEastAsia"/>
                <w:snapToGrid w:val="0"/>
                <w:szCs w:val="21"/>
              </w:rPr>
              <w:t>-3</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N70</w:t>
            </w:r>
          </w:p>
        </w:tc>
      </w:tr>
      <w:tr w:rsidR="00FB5EB0" w:rsidRPr="00F9522B" w:rsidTr="003A7922">
        <w:trPr>
          <w:trHeight w:val="178"/>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生产路</w:t>
            </w:r>
            <w:r w:rsidRPr="00F9522B">
              <w:rPr>
                <w:rFonts w:eastAsiaTheme="minorEastAsia"/>
                <w:snapToGrid w:val="0"/>
                <w:szCs w:val="21"/>
              </w:rPr>
              <w:t>-8</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S130</w:t>
            </w:r>
          </w:p>
        </w:tc>
      </w:tr>
      <w:tr w:rsidR="00FB5EB0" w:rsidRPr="00F9522B" w:rsidTr="003A7922">
        <w:trPr>
          <w:trHeight w:val="178"/>
          <w:jc w:val="center"/>
        </w:trPr>
        <w:tc>
          <w:tcPr>
            <w:tcW w:w="1326" w:type="dxa"/>
            <w:vMerge w:val="restart"/>
            <w:shd w:val="clear" w:color="auto" w:fill="auto"/>
            <w:vAlign w:val="center"/>
          </w:tcPr>
          <w:p w:rsidR="00FB5EB0" w:rsidRPr="00F9522B" w:rsidRDefault="00FB5EB0" w:rsidP="003A7922">
            <w:pPr>
              <w:spacing w:line="0" w:lineRule="atLeast"/>
              <w:jc w:val="center"/>
              <w:rPr>
                <w:rFonts w:eastAsiaTheme="minorEastAsia"/>
                <w:szCs w:val="21"/>
              </w:rPr>
            </w:pPr>
            <w:r w:rsidRPr="00F9522B">
              <w:rPr>
                <w:rFonts w:eastAsiaTheme="minorEastAsia"/>
                <w:szCs w:val="21"/>
              </w:rPr>
              <w:t>后半拉城子</w:t>
            </w:r>
          </w:p>
        </w:tc>
        <w:tc>
          <w:tcPr>
            <w:tcW w:w="830"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126.9098665</w:t>
            </w:r>
          </w:p>
        </w:tc>
        <w:tc>
          <w:tcPr>
            <w:tcW w:w="993"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46.204323</w:t>
            </w: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生产路</w:t>
            </w:r>
            <w:r w:rsidRPr="00F9522B">
              <w:rPr>
                <w:rFonts w:eastAsiaTheme="minorEastAsia"/>
                <w:snapToGrid w:val="0"/>
                <w:szCs w:val="21"/>
              </w:rPr>
              <w:t>-1</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S10</w:t>
            </w:r>
          </w:p>
        </w:tc>
      </w:tr>
      <w:tr w:rsidR="00FB5EB0" w:rsidRPr="00F9522B" w:rsidTr="003A7922">
        <w:trPr>
          <w:trHeight w:val="178"/>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过水路面</w:t>
            </w:r>
            <w:r w:rsidRPr="00F9522B">
              <w:rPr>
                <w:rFonts w:eastAsiaTheme="minorEastAsia"/>
                <w:snapToGrid w:val="0"/>
                <w:szCs w:val="21"/>
              </w:rPr>
              <w:t>-1</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E50</w:t>
            </w:r>
          </w:p>
        </w:tc>
      </w:tr>
      <w:tr w:rsidR="00FB5EB0" w:rsidRPr="00F9522B" w:rsidTr="003A7922">
        <w:trPr>
          <w:trHeight w:val="178"/>
          <w:jc w:val="center"/>
        </w:trPr>
        <w:tc>
          <w:tcPr>
            <w:tcW w:w="1326" w:type="dxa"/>
            <w:vMerge w:val="restart"/>
            <w:shd w:val="clear" w:color="auto" w:fill="auto"/>
            <w:vAlign w:val="center"/>
          </w:tcPr>
          <w:p w:rsidR="00FB5EB0" w:rsidRPr="00F9522B" w:rsidRDefault="00FB5EB0" w:rsidP="003A7922">
            <w:pPr>
              <w:spacing w:line="0" w:lineRule="atLeast"/>
              <w:jc w:val="center"/>
              <w:rPr>
                <w:rFonts w:eastAsiaTheme="minorEastAsia"/>
                <w:szCs w:val="21"/>
              </w:rPr>
            </w:pPr>
            <w:r w:rsidRPr="00F9522B">
              <w:rPr>
                <w:rFonts w:eastAsiaTheme="minorEastAsia"/>
                <w:szCs w:val="21"/>
              </w:rPr>
              <w:t>西井村</w:t>
            </w:r>
          </w:p>
        </w:tc>
        <w:tc>
          <w:tcPr>
            <w:tcW w:w="830"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126.9667294</w:t>
            </w:r>
          </w:p>
        </w:tc>
        <w:tc>
          <w:tcPr>
            <w:tcW w:w="993"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46.206996</w:t>
            </w: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涵</w:t>
            </w:r>
            <w:r w:rsidRPr="00F9522B">
              <w:rPr>
                <w:rFonts w:eastAsiaTheme="minorEastAsia"/>
                <w:snapToGrid w:val="0"/>
                <w:szCs w:val="21"/>
              </w:rPr>
              <w:t>-2</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N50</w:t>
            </w:r>
          </w:p>
        </w:tc>
      </w:tr>
      <w:tr w:rsidR="00FB5EB0" w:rsidRPr="00F9522B" w:rsidTr="003A7922">
        <w:trPr>
          <w:trHeight w:val="178"/>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生产路</w:t>
            </w:r>
            <w:r w:rsidRPr="00F9522B">
              <w:rPr>
                <w:rFonts w:eastAsiaTheme="minorEastAsia"/>
                <w:snapToGrid w:val="0"/>
                <w:szCs w:val="21"/>
              </w:rPr>
              <w:t>-11</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N15</w:t>
            </w:r>
          </w:p>
        </w:tc>
      </w:tr>
      <w:tr w:rsidR="00FB5EB0" w:rsidRPr="00F9522B" w:rsidTr="003A7922">
        <w:trPr>
          <w:trHeight w:val="178"/>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排水沟</w:t>
            </w:r>
            <w:r w:rsidRPr="00F9522B">
              <w:rPr>
                <w:rFonts w:eastAsiaTheme="minorEastAsia"/>
                <w:snapToGrid w:val="0"/>
                <w:szCs w:val="21"/>
              </w:rPr>
              <w:t>-2</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N10</w:t>
            </w:r>
          </w:p>
        </w:tc>
      </w:tr>
      <w:tr w:rsidR="00FB5EB0" w:rsidRPr="00F9522B" w:rsidTr="003A7922">
        <w:trPr>
          <w:trHeight w:val="178"/>
          <w:jc w:val="center"/>
        </w:trPr>
        <w:tc>
          <w:tcPr>
            <w:tcW w:w="1326" w:type="dxa"/>
            <w:vMerge w:val="restart"/>
            <w:shd w:val="clear" w:color="auto" w:fill="auto"/>
            <w:vAlign w:val="center"/>
          </w:tcPr>
          <w:p w:rsidR="00FB5EB0" w:rsidRPr="00F9522B" w:rsidRDefault="00FB5EB0" w:rsidP="003A7922">
            <w:pPr>
              <w:spacing w:line="0" w:lineRule="atLeast"/>
              <w:jc w:val="center"/>
              <w:rPr>
                <w:rFonts w:eastAsiaTheme="minorEastAsia"/>
                <w:szCs w:val="21"/>
              </w:rPr>
            </w:pPr>
            <w:r w:rsidRPr="00F9522B">
              <w:rPr>
                <w:rFonts w:eastAsiaTheme="minorEastAsia"/>
                <w:szCs w:val="21"/>
              </w:rPr>
              <w:t>东腰村</w:t>
            </w:r>
          </w:p>
        </w:tc>
        <w:tc>
          <w:tcPr>
            <w:tcW w:w="830"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126.9875862</w:t>
            </w:r>
          </w:p>
        </w:tc>
        <w:tc>
          <w:tcPr>
            <w:tcW w:w="993" w:type="dxa"/>
            <w:vMerge w:val="restart"/>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46.215133</w:t>
            </w: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排水沟</w:t>
            </w:r>
            <w:r w:rsidRPr="00F9522B">
              <w:rPr>
                <w:rFonts w:eastAsiaTheme="minorEastAsia"/>
                <w:snapToGrid w:val="0"/>
                <w:szCs w:val="21"/>
              </w:rPr>
              <w:t>-1</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NW20</w:t>
            </w:r>
          </w:p>
        </w:tc>
      </w:tr>
      <w:tr w:rsidR="00FB5EB0" w:rsidRPr="00F9522B" w:rsidTr="003A7922">
        <w:trPr>
          <w:trHeight w:val="178"/>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生产路</w:t>
            </w:r>
            <w:r w:rsidRPr="00F9522B">
              <w:rPr>
                <w:rFonts w:eastAsiaTheme="minorEastAsia"/>
                <w:snapToGrid w:val="0"/>
                <w:szCs w:val="21"/>
              </w:rPr>
              <w:t>-3</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NW20</w:t>
            </w:r>
          </w:p>
        </w:tc>
      </w:tr>
      <w:tr w:rsidR="00FB5EB0" w:rsidRPr="00F9522B" w:rsidTr="003A7922">
        <w:trPr>
          <w:trHeight w:val="178"/>
          <w:jc w:val="center"/>
        </w:trPr>
        <w:tc>
          <w:tcPr>
            <w:tcW w:w="1326" w:type="dxa"/>
            <w:vMerge/>
            <w:shd w:val="clear" w:color="auto" w:fill="auto"/>
            <w:vAlign w:val="center"/>
          </w:tcPr>
          <w:p w:rsidR="00FB5EB0" w:rsidRPr="00F9522B" w:rsidRDefault="00FB5EB0" w:rsidP="003A7922">
            <w:pPr>
              <w:spacing w:line="0" w:lineRule="atLeast"/>
              <w:jc w:val="center"/>
              <w:rPr>
                <w:rFonts w:eastAsiaTheme="minorEastAsia"/>
                <w:szCs w:val="21"/>
              </w:rPr>
            </w:pPr>
          </w:p>
        </w:tc>
        <w:tc>
          <w:tcPr>
            <w:tcW w:w="830"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993"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708"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567"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851" w:type="dxa"/>
            <w:vMerge/>
            <w:vAlign w:val="center"/>
          </w:tcPr>
          <w:p w:rsidR="00FB5EB0" w:rsidRPr="00F9522B" w:rsidRDefault="00FB5EB0" w:rsidP="003A7922">
            <w:pPr>
              <w:adjustRightInd w:val="0"/>
              <w:snapToGrid w:val="0"/>
              <w:spacing w:line="0" w:lineRule="atLeast"/>
              <w:jc w:val="center"/>
              <w:rPr>
                <w:rFonts w:eastAsiaTheme="minorEastAsia"/>
                <w:snapToGrid w:val="0"/>
                <w:szCs w:val="21"/>
              </w:rPr>
            </w:pPr>
          </w:p>
        </w:tc>
        <w:tc>
          <w:tcPr>
            <w:tcW w:w="1417" w:type="dxa"/>
            <w:vAlign w:val="center"/>
          </w:tcPr>
          <w:p w:rsidR="00FB5EB0" w:rsidRPr="00F9522B" w:rsidRDefault="00FB5EB0"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机电井</w:t>
            </w:r>
            <w:r w:rsidRPr="00F9522B">
              <w:rPr>
                <w:rFonts w:eastAsiaTheme="minorEastAsia"/>
                <w:snapToGrid w:val="0"/>
                <w:szCs w:val="21"/>
              </w:rPr>
              <w:t>-1</w:t>
            </w:r>
          </w:p>
        </w:tc>
        <w:tc>
          <w:tcPr>
            <w:tcW w:w="1389" w:type="dxa"/>
            <w:shd w:val="clear" w:color="auto" w:fill="auto"/>
            <w:vAlign w:val="center"/>
          </w:tcPr>
          <w:p w:rsidR="00FB5EB0" w:rsidRPr="00F9522B" w:rsidRDefault="00FB5EB0" w:rsidP="003A7922">
            <w:pPr>
              <w:adjustRightInd w:val="0"/>
              <w:snapToGrid w:val="0"/>
              <w:spacing w:line="0" w:lineRule="atLeast"/>
              <w:jc w:val="center"/>
              <w:rPr>
                <w:rFonts w:eastAsiaTheme="minorEastAsia"/>
                <w:szCs w:val="21"/>
              </w:rPr>
            </w:pPr>
            <w:r w:rsidRPr="00F9522B">
              <w:rPr>
                <w:rFonts w:eastAsiaTheme="minorEastAsia"/>
                <w:szCs w:val="21"/>
              </w:rPr>
              <w:t>NW80</w:t>
            </w:r>
          </w:p>
        </w:tc>
      </w:tr>
    </w:tbl>
    <w:p w:rsidR="00311756" w:rsidRPr="00F9522B" w:rsidRDefault="00311756"/>
    <w:p w:rsidR="00311756" w:rsidRPr="00F9522B" w:rsidRDefault="00311756"/>
    <w:p w:rsidR="00311756" w:rsidRPr="00F9522B" w:rsidRDefault="00311756" w:rsidP="00311756">
      <w:pPr>
        <w:jc w:val="center"/>
        <w:rPr>
          <w:rFonts w:eastAsiaTheme="minorEastAsia"/>
        </w:rPr>
      </w:pPr>
      <w:r w:rsidRPr="00F9522B">
        <w:rPr>
          <w:rFonts w:eastAsiaTheme="minorEastAsia"/>
          <w:b/>
          <w:kern w:val="0"/>
          <w:szCs w:val="21"/>
        </w:rPr>
        <w:lastRenderedPageBreak/>
        <w:t>续表</w:t>
      </w:r>
      <w:r w:rsidRPr="00F9522B">
        <w:rPr>
          <w:rFonts w:eastAsiaTheme="minorEastAsia"/>
          <w:b/>
          <w:kern w:val="0"/>
          <w:szCs w:val="21"/>
        </w:rPr>
        <w:t>2-8-1</w:t>
      </w:r>
      <w:r w:rsidRPr="00F9522B">
        <w:rPr>
          <w:rFonts w:eastAsiaTheme="minorEastAsia"/>
          <w:b/>
          <w:kern w:val="0"/>
          <w:szCs w:val="21"/>
        </w:rPr>
        <w:t>施工期及运营期环境空气及声环境保护目标一览表</w:t>
      </w:r>
    </w:p>
    <w:tbl>
      <w:tblPr>
        <w:tblW w:w="8111" w:type="dxa"/>
        <w:jc w:val="center"/>
        <w:tblBorders>
          <w:top w:val="single" w:sz="12" w:space="0" w:color="auto"/>
          <w:bottom w:val="single" w:sz="12" w:space="0" w:color="auto"/>
          <w:insideH w:val="single" w:sz="4" w:space="0" w:color="auto"/>
          <w:insideV w:val="single" w:sz="4" w:space="0" w:color="auto"/>
        </w:tblBorders>
        <w:tblLayout w:type="fixed"/>
        <w:tblLook w:val="04A0"/>
      </w:tblPr>
      <w:tblGrid>
        <w:gridCol w:w="1329"/>
        <w:gridCol w:w="833"/>
        <w:gridCol w:w="1002"/>
        <w:gridCol w:w="708"/>
        <w:gridCol w:w="567"/>
        <w:gridCol w:w="855"/>
        <w:gridCol w:w="1401"/>
        <w:gridCol w:w="20"/>
        <w:gridCol w:w="1366"/>
        <w:gridCol w:w="30"/>
      </w:tblGrid>
      <w:tr w:rsidR="00311756" w:rsidRPr="00F9522B" w:rsidTr="00311756">
        <w:trPr>
          <w:gridAfter w:val="1"/>
          <w:wAfter w:w="30" w:type="dxa"/>
          <w:trHeight w:val="178"/>
          <w:jc w:val="center"/>
        </w:trPr>
        <w:tc>
          <w:tcPr>
            <w:tcW w:w="1329" w:type="dxa"/>
            <w:vMerge w:val="restart"/>
            <w:shd w:val="clear" w:color="auto" w:fill="auto"/>
            <w:vAlign w:val="center"/>
          </w:tcPr>
          <w:p w:rsidR="00311756" w:rsidRPr="00F9522B" w:rsidRDefault="00311756" w:rsidP="003A7922">
            <w:pPr>
              <w:spacing w:line="0" w:lineRule="atLeast"/>
              <w:jc w:val="center"/>
              <w:rPr>
                <w:rFonts w:eastAsiaTheme="minorEastAsia"/>
                <w:szCs w:val="21"/>
              </w:rPr>
            </w:pPr>
            <w:r w:rsidRPr="00F9522B">
              <w:rPr>
                <w:rFonts w:eastAsiaTheme="minorEastAsia"/>
                <w:szCs w:val="21"/>
              </w:rPr>
              <w:t>东井村</w:t>
            </w:r>
          </w:p>
        </w:tc>
        <w:tc>
          <w:tcPr>
            <w:tcW w:w="833" w:type="dxa"/>
            <w:vMerge w:val="restart"/>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126.9945010</w:t>
            </w:r>
          </w:p>
        </w:tc>
        <w:tc>
          <w:tcPr>
            <w:tcW w:w="1002" w:type="dxa"/>
            <w:vMerge w:val="restart"/>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46.222308</w:t>
            </w:r>
          </w:p>
        </w:tc>
        <w:tc>
          <w:tcPr>
            <w:tcW w:w="708" w:type="dxa"/>
            <w:vMerge w:val="restart"/>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农村人群集中区</w:t>
            </w:r>
          </w:p>
        </w:tc>
        <w:tc>
          <w:tcPr>
            <w:tcW w:w="567" w:type="dxa"/>
            <w:vMerge w:val="restart"/>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人群</w:t>
            </w:r>
          </w:p>
        </w:tc>
        <w:tc>
          <w:tcPr>
            <w:tcW w:w="855" w:type="dxa"/>
            <w:vMerge w:val="restart"/>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环境空气：二类区；声环境：一类区</w:t>
            </w:r>
          </w:p>
        </w:tc>
        <w:tc>
          <w:tcPr>
            <w:tcW w:w="1401" w:type="dxa"/>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排水沟</w:t>
            </w:r>
            <w:r w:rsidRPr="00F9522B">
              <w:rPr>
                <w:rFonts w:eastAsiaTheme="minorEastAsia"/>
                <w:snapToGrid w:val="0"/>
                <w:szCs w:val="21"/>
              </w:rPr>
              <w:t>-4</w:t>
            </w:r>
          </w:p>
        </w:tc>
        <w:tc>
          <w:tcPr>
            <w:tcW w:w="1386" w:type="dxa"/>
            <w:gridSpan w:val="2"/>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NW20</w:t>
            </w:r>
          </w:p>
        </w:tc>
      </w:tr>
      <w:tr w:rsidR="00311756" w:rsidRPr="00F9522B" w:rsidTr="00311756">
        <w:trPr>
          <w:gridAfter w:val="1"/>
          <w:wAfter w:w="30" w:type="dxa"/>
          <w:trHeight w:val="178"/>
          <w:jc w:val="center"/>
        </w:trPr>
        <w:tc>
          <w:tcPr>
            <w:tcW w:w="1329" w:type="dxa"/>
            <w:vMerge/>
            <w:shd w:val="clear" w:color="auto" w:fill="auto"/>
            <w:vAlign w:val="center"/>
          </w:tcPr>
          <w:p w:rsidR="00311756" w:rsidRPr="00F9522B" w:rsidRDefault="00311756" w:rsidP="003A7922">
            <w:pPr>
              <w:spacing w:line="0" w:lineRule="atLeast"/>
              <w:jc w:val="center"/>
              <w:rPr>
                <w:rFonts w:eastAsiaTheme="minorEastAsia"/>
                <w:szCs w:val="21"/>
              </w:rPr>
            </w:pPr>
          </w:p>
        </w:tc>
        <w:tc>
          <w:tcPr>
            <w:tcW w:w="833"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002"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708"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67"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5"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01" w:type="dxa"/>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沟头防护</w:t>
            </w:r>
            <w:r w:rsidRPr="00F9522B">
              <w:rPr>
                <w:rFonts w:eastAsiaTheme="minorEastAsia"/>
                <w:snapToGrid w:val="0"/>
                <w:szCs w:val="21"/>
              </w:rPr>
              <w:t>-1</w:t>
            </w:r>
          </w:p>
        </w:tc>
        <w:tc>
          <w:tcPr>
            <w:tcW w:w="1386" w:type="dxa"/>
            <w:gridSpan w:val="2"/>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S160</w:t>
            </w:r>
          </w:p>
        </w:tc>
      </w:tr>
      <w:tr w:rsidR="00311756" w:rsidRPr="00F9522B" w:rsidTr="00311756">
        <w:trPr>
          <w:gridAfter w:val="1"/>
          <w:wAfter w:w="30" w:type="dxa"/>
          <w:trHeight w:val="178"/>
          <w:jc w:val="center"/>
        </w:trPr>
        <w:tc>
          <w:tcPr>
            <w:tcW w:w="1329" w:type="dxa"/>
            <w:vMerge w:val="restart"/>
            <w:shd w:val="clear" w:color="auto" w:fill="auto"/>
            <w:vAlign w:val="center"/>
          </w:tcPr>
          <w:p w:rsidR="00311756" w:rsidRPr="00F9522B" w:rsidRDefault="00311756" w:rsidP="003A7922">
            <w:pPr>
              <w:spacing w:line="0" w:lineRule="atLeast"/>
              <w:jc w:val="center"/>
              <w:rPr>
                <w:rFonts w:eastAsiaTheme="minorEastAsia"/>
                <w:szCs w:val="21"/>
              </w:rPr>
            </w:pPr>
            <w:r w:rsidRPr="00F9522B">
              <w:rPr>
                <w:rFonts w:eastAsiaTheme="minorEastAsia"/>
                <w:szCs w:val="21"/>
              </w:rPr>
              <w:t>赵家</w:t>
            </w:r>
          </w:p>
        </w:tc>
        <w:tc>
          <w:tcPr>
            <w:tcW w:w="833" w:type="dxa"/>
            <w:vMerge w:val="restart"/>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126.9490965</w:t>
            </w:r>
          </w:p>
        </w:tc>
        <w:tc>
          <w:tcPr>
            <w:tcW w:w="1002" w:type="dxa"/>
            <w:vMerge w:val="restart"/>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46.223377</w:t>
            </w:r>
          </w:p>
        </w:tc>
        <w:tc>
          <w:tcPr>
            <w:tcW w:w="708"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67"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5"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01" w:type="dxa"/>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机电井</w:t>
            </w:r>
            <w:r w:rsidRPr="00F9522B">
              <w:rPr>
                <w:rFonts w:eastAsiaTheme="minorEastAsia"/>
                <w:snapToGrid w:val="0"/>
                <w:szCs w:val="21"/>
              </w:rPr>
              <w:t>-5</w:t>
            </w:r>
          </w:p>
        </w:tc>
        <w:tc>
          <w:tcPr>
            <w:tcW w:w="1386" w:type="dxa"/>
            <w:gridSpan w:val="2"/>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E160</w:t>
            </w:r>
          </w:p>
        </w:tc>
      </w:tr>
      <w:tr w:rsidR="00311756" w:rsidRPr="00F9522B" w:rsidTr="00311756">
        <w:trPr>
          <w:gridAfter w:val="1"/>
          <w:wAfter w:w="30" w:type="dxa"/>
          <w:trHeight w:val="178"/>
          <w:jc w:val="center"/>
        </w:trPr>
        <w:tc>
          <w:tcPr>
            <w:tcW w:w="1329" w:type="dxa"/>
            <w:vMerge/>
            <w:shd w:val="clear" w:color="auto" w:fill="auto"/>
            <w:vAlign w:val="center"/>
          </w:tcPr>
          <w:p w:rsidR="00311756" w:rsidRPr="00F9522B" w:rsidRDefault="00311756" w:rsidP="003A7922">
            <w:pPr>
              <w:spacing w:line="0" w:lineRule="atLeast"/>
              <w:jc w:val="center"/>
              <w:rPr>
                <w:rFonts w:eastAsiaTheme="minorEastAsia"/>
                <w:szCs w:val="21"/>
              </w:rPr>
            </w:pPr>
          </w:p>
        </w:tc>
        <w:tc>
          <w:tcPr>
            <w:tcW w:w="833"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002"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708"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67"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5"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01" w:type="dxa"/>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机电井</w:t>
            </w:r>
            <w:r w:rsidRPr="00F9522B">
              <w:rPr>
                <w:rFonts w:eastAsiaTheme="minorEastAsia"/>
                <w:snapToGrid w:val="0"/>
                <w:szCs w:val="21"/>
              </w:rPr>
              <w:t>-6</w:t>
            </w:r>
          </w:p>
        </w:tc>
        <w:tc>
          <w:tcPr>
            <w:tcW w:w="1386" w:type="dxa"/>
            <w:gridSpan w:val="2"/>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W20</w:t>
            </w:r>
          </w:p>
        </w:tc>
      </w:tr>
      <w:tr w:rsidR="00311756" w:rsidRPr="00F9522B" w:rsidTr="00311756">
        <w:trPr>
          <w:gridAfter w:val="1"/>
          <w:wAfter w:w="30" w:type="dxa"/>
          <w:trHeight w:val="178"/>
          <w:jc w:val="center"/>
        </w:trPr>
        <w:tc>
          <w:tcPr>
            <w:tcW w:w="1329" w:type="dxa"/>
            <w:vMerge/>
            <w:shd w:val="clear" w:color="auto" w:fill="auto"/>
            <w:vAlign w:val="center"/>
          </w:tcPr>
          <w:p w:rsidR="00311756" w:rsidRPr="00F9522B" w:rsidRDefault="00311756" w:rsidP="003A7922">
            <w:pPr>
              <w:spacing w:line="0" w:lineRule="atLeast"/>
              <w:jc w:val="center"/>
              <w:rPr>
                <w:rFonts w:eastAsiaTheme="minorEastAsia"/>
                <w:szCs w:val="21"/>
              </w:rPr>
            </w:pPr>
          </w:p>
        </w:tc>
        <w:tc>
          <w:tcPr>
            <w:tcW w:w="833"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002"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708"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67"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5"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01" w:type="dxa"/>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排水沟</w:t>
            </w:r>
            <w:r w:rsidRPr="00F9522B">
              <w:rPr>
                <w:rFonts w:eastAsiaTheme="minorEastAsia"/>
                <w:snapToGrid w:val="0"/>
                <w:szCs w:val="21"/>
              </w:rPr>
              <w:t>-2</w:t>
            </w:r>
          </w:p>
        </w:tc>
        <w:tc>
          <w:tcPr>
            <w:tcW w:w="1386" w:type="dxa"/>
            <w:gridSpan w:val="2"/>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N20</w:t>
            </w:r>
          </w:p>
        </w:tc>
      </w:tr>
      <w:tr w:rsidR="00311756" w:rsidRPr="00F9522B" w:rsidTr="00311756">
        <w:trPr>
          <w:gridAfter w:val="1"/>
          <w:wAfter w:w="30" w:type="dxa"/>
          <w:trHeight w:val="178"/>
          <w:jc w:val="center"/>
        </w:trPr>
        <w:tc>
          <w:tcPr>
            <w:tcW w:w="1329" w:type="dxa"/>
            <w:shd w:val="clear" w:color="auto" w:fill="auto"/>
            <w:vAlign w:val="center"/>
          </w:tcPr>
          <w:p w:rsidR="00311756" w:rsidRPr="00F9522B" w:rsidRDefault="00311756" w:rsidP="003A7922">
            <w:pPr>
              <w:spacing w:line="0" w:lineRule="atLeast"/>
              <w:jc w:val="center"/>
              <w:rPr>
                <w:rFonts w:eastAsiaTheme="minorEastAsia"/>
                <w:szCs w:val="21"/>
              </w:rPr>
            </w:pPr>
            <w:r w:rsidRPr="00F9522B">
              <w:rPr>
                <w:rFonts w:eastAsiaTheme="minorEastAsia"/>
                <w:szCs w:val="21"/>
              </w:rPr>
              <w:t>三合村</w:t>
            </w:r>
          </w:p>
        </w:tc>
        <w:tc>
          <w:tcPr>
            <w:tcW w:w="833" w:type="dxa"/>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127.0072790</w:t>
            </w:r>
          </w:p>
        </w:tc>
        <w:tc>
          <w:tcPr>
            <w:tcW w:w="1002" w:type="dxa"/>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46.232417</w:t>
            </w:r>
          </w:p>
        </w:tc>
        <w:tc>
          <w:tcPr>
            <w:tcW w:w="708"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67"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5"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01" w:type="dxa"/>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机耕路</w:t>
            </w:r>
            <w:r w:rsidRPr="00F9522B">
              <w:rPr>
                <w:rFonts w:eastAsiaTheme="minorEastAsia"/>
                <w:snapToGrid w:val="0"/>
                <w:szCs w:val="21"/>
              </w:rPr>
              <w:t>-1</w:t>
            </w:r>
          </w:p>
        </w:tc>
        <w:tc>
          <w:tcPr>
            <w:tcW w:w="1386" w:type="dxa"/>
            <w:gridSpan w:val="2"/>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E30</w:t>
            </w:r>
          </w:p>
        </w:tc>
      </w:tr>
      <w:tr w:rsidR="00311756" w:rsidRPr="00F9522B" w:rsidTr="00311756">
        <w:trPr>
          <w:gridAfter w:val="1"/>
          <w:wAfter w:w="30" w:type="dxa"/>
          <w:trHeight w:val="178"/>
          <w:jc w:val="center"/>
        </w:trPr>
        <w:tc>
          <w:tcPr>
            <w:tcW w:w="1329" w:type="dxa"/>
            <w:vMerge w:val="restart"/>
            <w:shd w:val="clear" w:color="auto" w:fill="auto"/>
            <w:vAlign w:val="center"/>
          </w:tcPr>
          <w:p w:rsidR="00311756" w:rsidRPr="00F9522B" w:rsidRDefault="00311756" w:rsidP="003A7922">
            <w:pPr>
              <w:spacing w:line="0" w:lineRule="atLeast"/>
              <w:jc w:val="center"/>
              <w:rPr>
                <w:rFonts w:eastAsiaTheme="minorEastAsia"/>
                <w:szCs w:val="21"/>
              </w:rPr>
            </w:pPr>
            <w:r w:rsidRPr="00F9522B">
              <w:rPr>
                <w:rFonts w:eastAsiaTheme="minorEastAsia"/>
                <w:szCs w:val="21"/>
              </w:rPr>
              <w:t>金城村</w:t>
            </w:r>
          </w:p>
        </w:tc>
        <w:tc>
          <w:tcPr>
            <w:tcW w:w="833" w:type="dxa"/>
            <w:vMerge w:val="restart"/>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126.9334646</w:t>
            </w:r>
          </w:p>
        </w:tc>
        <w:tc>
          <w:tcPr>
            <w:tcW w:w="1002" w:type="dxa"/>
            <w:vMerge w:val="restart"/>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46.235029</w:t>
            </w:r>
          </w:p>
        </w:tc>
        <w:tc>
          <w:tcPr>
            <w:tcW w:w="708"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67"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5"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01" w:type="dxa"/>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机电井</w:t>
            </w:r>
            <w:r w:rsidRPr="00F9522B">
              <w:rPr>
                <w:rFonts w:eastAsiaTheme="minorEastAsia"/>
                <w:snapToGrid w:val="0"/>
                <w:szCs w:val="21"/>
              </w:rPr>
              <w:t>-3</w:t>
            </w:r>
          </w:p>
        </w:tc>
        <w:tc>
          <w:tcPr>
            <w:tcW w:w="1386" w:type="dxa"/>
            <w:gridSpan w:val="2"/>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S30</w:t>
            </w:r>
          </w:p>
        </w:tc>
      </w:tr>
      <w:tr w:rsidR="00311756" w:rsidRPr="00F9522B" w:rsidTr="00311756">
        <w:trPr>
          <w:gridAfter w:val="1"/>
          <w:wAfter w:w="30" w:type="dxa"/>
          <w:trHeight w:val="178"/>
          <w:jc w:val="center"/>
        </w:trPr>
        <w:tc>
          <w:tcPr>
            <w:tcW w:w="1329" w:type="dxa"/>
            <w:vMerge/>
            <w:shd w:val="clear" w:color="auto" w:fill="auto"/>
            <w:vAlign w:val="center"/>
          </w:tcPr>
          <w:p w:rsidR="00311756" w:rsidRPr="00F9522B" w:rsidRDefault="00311756" w:rsidP="003A7922">
            <w:pPr>
              <w:spacing w:line="0" w:lineRule="atLeast"/>
              <w:jc w:val="center"/>
              <w:rPr>
                <w:rFonts w:eastAsiaTheme="minorEastAsia"/>
                <w:szCs w:val="21"/>
              </w:rPr>
            </w:pPr>
          </w:p>
        </w:tc>
        <w:tc>
          <w:tcPr>
            <w:tcW w:w="833"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002"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708"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67"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5"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01" w:type="dxa"/>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排水沟</w:t>
            </w:r>
            <w:r w:rsidRPr="00F9522B">
              <w:rPr>
                <w:rFonts w:eastAsiaTheme="minorEastAsia"/>
                <w:snapToGrid w:val="0"/>
                <w:szCs w:val="21"/>
              </w:rPr>
              <w:t>-1</w:t>
            </w:r>
          </w:p>
        </w:tc>
        <w:tc>
          <w:tcPr>
            <w:tcW w:w="1386" w:type="dxa"/>
            <w:gridSpan w:val="2"/>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N10</w:t>
            </w:r>
          </w:p>
        </w:tc>
      </w:tr>
      <w:tr w:rsidR="00311756" w:rsidRPr="00F9522B" w:rsidTr="00311756">
        <w:trPr>
          <w:trHeight w:val="172"/>
          <w:jc w:val="center"/>
        </w:trPr>
        <w:tc>
          <w:tcPr>
            <w:tcW w:w="1329" w:type="dxa"/>
            <w:vMerge w:val="restart"/>
            <w:shd w:val="clear" w:color="auto" w:fill="auto"/>
            <w:vAlign w:val="center"/>
          </w:tcPr>
          <w:p w:rsidR="00311756" w:rsidRPr="00F9522B" w:rsidRDefault="00311756" w:rsidP="003A7922">
            <w:pPr>
              <w:spacing w:line="0" w:lineRule="atLeast"/>
              <w:jc w:val="center"/>
              <w:rPr>
                <w:rFonts w:eastAsiaTheme="minorEastAsia"/>
                <w:szCs w:val="21"/>
              </w:rPr>
            </w:pPr>
            <w:r w:rsidRPr="00F9522B">
              <w:rPr>
                <w:rFonts w:eastAsiaTheme="minorEastAsia"/>
                <w:szCs w:val="21"/>
              </w:rPr>
              <w:t>杨木村</w:t>
            </w:r>
          </w:p>
        </w:tc>
        <w:tc>
          <w:tcPr>
            <w:tcW w:w="833" w:type="dxa"/>
            <w:vMerge w:val="restart"/>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126.9708010</w:t>
            </w:r>
          </w:p>
        </w:tc>
        <w:tc>
          <w:tcPr>
            <w:tcW w:w="1002" w:type="dxa"/>
            <w:vMerge w:val="restart"/>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46.249098</w:t>
            </w:r>
          </w:p>
        </w:tc>
        <w:tc>
          <w:tcPr>
            <w:tcW w:w="708"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67"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5"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1" w:type="dxa"/>
            <w:gridSpan w:val="2"/>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机电井</w:t>
            </w:r>
            <w:r w:rsidRPr="00F9522B">
              <w:rPr>
                <w:rFonts w:eastAsiaTheme="minorEastAsia"/>
                <w:snapToGrid w:val="0"/>
                <w:szCs w:val="21"/>
              </w:rPr>
              <w:t>-1</w:t>
            </w:r>
          </w:p>
        </w:tc>
        <w:tc>
          <w:tcPr>
            <w:tcW w:w="1396" w:type="dxa"/>
            <w:gridSpan w:val="2"/>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S190</w:t>
            </w:r>
          </w:p>
        </w:tc>
      </w:tr>
      <w:tr w:rsidR="00311756" w:rsidRPr="00F9522B" w:rsidTr="00311756">
        <w:trPr>
          <w:trHeight w:val="172"/>
          <w:jc w:val="center"/>
        </w:trPr>
        <w:tc>
          <w:tcPr>
            <w:tcW w:w="1329" w:type="dxa"/>
            <w:vMerge/>
            <w:shd w:val="clear" w:color="auto" w:fill="auto"/>
            <w:vAlign w:val="center"/>
          </w:tcPr>
          <w:p w:rsidR="00311756" w:rsidRPr="00F9522B" w:rsidRDefault="00311756" w:rsidP="003A7922">
            <w:pPr>
              <w:spacing w:line="0" w:lineRule="atLeast"/>
              <w:jc w:val="center"/>
              <w:rPr>
                <w:rFonts w:eastAsiaTheme="minorEastAsia"/>
                <w:szCs w:val="21"/>
              </w:rPr>
            </w:pPr>
          </w:p>
        </w:tc>
        <w:tc>
          <w:tcPr>
            <w:tcW w:w="833"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002"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708"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67"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5"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1" w:type="dxa"/>
            <w:gridSpan w:val="2"/>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机电井</w:t>
            </w:r>
            <w:r w:rsidRPr="00F9522B">
              <w:rPr>
                <w:rFonts w:eastAsiaTheme="minorEastAsia"/>
                <w:snapToGrid w:val="0"/>
                <w:szCs w:val="21"/>
              </w:rPr>
              <w:t>-2</w:t>
            </w:r>
          </w:p>
        </w:tc>
        <w:tc>
          <w:tcPr>
            <w:tcW w:w="1396" w:type="dxa"/>
            <w:gridSpan w:val="2"/>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S30</w:t>
            </w:r>
          </w:p>
        </w:tc>
      </w:tr>
      <w:tr w:rsidR="00311756" w:rsidRPr="00F9522B" w:rsidTr="00311756">
        <w:trPr>
          <w:trHeight w:val="172"/>
          <w:jc w:val="center"/>
        </w:trPr>
        <w:tc>
          <w:tcPr>
            <w:tcW w:w="1329" w:type="dxa"/>
            <w:vMerge/>
            <w:shd w:val="clear" w:color="auto" w:fill="auto"/>
            <w:vAlign w:val="center"/>
          </w:tcPr>
          <w:p w:rsidR="00311756" w:rsidRPr="00F9522B" w:rsidRDefault="00311756" w:rsidP="003A7922">
            <w:pPr>
              <w:spacing w:line="0" w:lineRule="atLeast"/>
              <w:jc w:val="center"/>
              <w:rPr>
                <w:rFonts w:eastAsiaTheme="minorEastAsia"/>
                <w:szCs w:val="21"/>
              </w:rPr>
            </w:pPr>
          </w:p>
        </w:tc>
        <w:tc>
          <w:tcPr>
            <w:tcW w:w="833"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002"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708"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67"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5"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1" w:type="dxa"/>
            <w:gridSpan w:val="2"/>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机耕路</w:t>
            </w:r>
            <w:r w:rsidRPr="00F9522B">
              <w:rPr>
                <w:rFonts w:eastAsiaTheme="minorEastAsia"/>
                <w:snapToGrid w:val="0"/>
                <w:szCs w:val="21"/>
              </w:rPr>
              <w:t>-8</w:t>
            </w:r>
          </w:p>
        </w:tc>
        <w:tc>
          <w:tcPr>
            <w:tcW w:w="1396" w:type="dxa"/>
            <w:gridSpan w:val="2"/>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SW20</w:t>
            </w:r>
          </w:p>
        </w:tc>
      </w:tr>
      <w:tr w:rsidR="00311756" w:rsidRPr="00F9522B" w:rsidTr="00311756">
        <w:trPr>
          <w:trHeight w:val="172"/>
          <w:jc w:val="center"/>
        </w:trPr>
        <w:tc>
          <w:tcPr>
            <w:tcW w:w="1329" w:type="dxa"/>
            <w:vMerge/>
            <w:shd w:val="clear" w:color="auto" w:fill="auto"/>
            <w:vAlign w:val="center"/>
          </w:tcPr>
          <w:p w:rsidR="00311756" w:rsidRPr="00F9522B" w:rsidRDefault="00311756" w:rsidP="003A7922">
            <w:pPr>
              <w:spacing w:line="0" w:lineRule="atLeast"/>
              <w:jc w:val="center"/>
              <w:rPr>
                <w:rFonts w:eastAsiaTheme="minorEastAsia"/>
                <w:szCs w:val="21"/>
              </w:rPr>
            </w:pPr>
          </w:p>
        </w:tc>
        <w:tc>
          <w:tcPr>
            <w:tcW w:w="833"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002"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708"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67"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5"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1" w:type="dxa"/>
            <w:gridSpan w:val="2"/>
            <w:vAlign w:val="center"/>
          </w:tcPr>
          <w:p w:rsidR="00311756" w:rsidRPr="00F9522B" w:rsidRDefault="00311756" w:rsidP="00311756">
            <w:pPr>
              <w:adjustRightInd w:val="0"/>
              <w:snapToGrid w:val="0"/>
              <w:spacing w:line="0" w:lineRule="atLeast"/>
              <w:jc w:val="center"/>
              <w:rPr>
                <w:rFonts w:eastAsiaTheme="minorEastAsia"/>
                <w:snapToGrid w:val="0"/>
                <w:szCs w:val="21"/>
              </w:rPr>
            </w:pPr>
            <w:r w:rsidRPr="00F9522B">
              <w:rPr>
                <w:rFonts w:eastAsiaTheme="minorEastAsia"/>
                <w:snapToGrid w:val="0"/>
                <w:szCs w:val="21"/>
              </w:rPr>
              <w:t>排水沟</w:t>
            </w:r>
            <w:r w:rsidRPr="00F9522B">
              <w:rPr>
                <w:rFonts w:eastAsiaTheme="minorEastAsia"/>
                <w:snapToGrid w:val="0"/>
                <w:szCs w:val="21"/>
              </w:rPr>
              <w:t>-1</w:t>
            </w:r>
          </w:p>
        </w:tc>
        <w:tc>
          <w:tcPr>
            <w:tcW w:w="1396" w:type="dxa"/>
            <w:gridSpan w:val="2"/>
            <w:shd w:val="clear" w:color="auto" w:fill="auto"/>
            <w:vAlign w:val="center"/>
          </w:tcPr>
          <w:p w:rsidR="00311756" w:rsidRPr="00F9522B" w:rsidRDefault="00311756" w:rsidP="00311756">
            <w:pPr>
              <w:adjustRightInd w:val="0"/>
              <w:snapToGrid w:val="0"/>
              <w:spacing w:line="0" w:lineRule="atLeast"/>
              <w:jc w:val="center"/>
              <w:rPr>
                <w:rFonts w:eastAsiaTheme="minorEastAsia"/>
                <w:szCs w:val="21"/>
              </w:rPr>
            </w:pPr>
            <w:r w:rsidRPr="00F9522B">
              <w:rPr>
                <w:rFonts w:eastAsiaTheme="minorEastAsia"/>
                <w:szCs w:val="21"/>
              </w:rPr>
              <w:t>N20</w:t>
            </w:r>
          </w:p>
        </w:tc>
      </w:tr>
      <w:tr w:rsidR="00311756" w:rsidRPr="00F9522B" w:rsidTr="00311756">
        <w:trPr>
          <w:trHeight w:val="172"/>
          <w:jc w:val="center"/>
        </w:trPr>
        <w:tc>
          <w:tcPr>
            <w:tcW w:w="1329" w:type="dxa"/>
            <w:vMerge w:val="restart"/>
            <w:shd w:val="clear" w:color="auto" w:fill="auto"/>
            <w:vAlign w:val="center"/>
          </w:tcPr>
          <w:p w:rsidR="00311756" w:rsidRPr="00F9522B" w:rsidRDefault="00311756" w:rsidP="003A7922">
            <w:pPr>
              <w:spacing w:line="0" w:lineRule="atLeast"/>
              <w:jc w:val="center"/>
              <w:rPr>
                <w:rFonts w:eastAsiaTheme="minorEastAsia"/>
                <w:szCs w:val="21"/>
              </w:rPr>
            </w:pPr>
            <w:r w:rsidRPr="00F9522B">
              <w:rPr>
                <w:rFonts w:eastAsiaTheme="minorEastAsia"/>
                <w:szCs w:val="21"/>
              </w:rPr>
              <w:t>永平村</w:t>
            </w:r>
          </w:p>
        </w:tc>
        <w:tc>
          <w:tcPr>
            <w:tcW w:w="833" w:type="dxa"/>
            <w:vMerge w:val="restart"/>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126.9249888</w:t>
            </w:r>
          </w:p>
        </w:tc>
        <w:tc>
          <w:tcPr>
            <w:tcW w:w="1002" w:type="dxa"/>
            <w:vMerge w:val="restart"/>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46.265507</w:t>
            </w:r>
          </w:p>
        </w:tc>
        <w:tc>
          <w:tcPr>
            <w:tcW w:w="708"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67"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5"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1" w:type="dxa"/>
            <w:gridSpan w:val="2"/>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机电井</w:t>
            </w:r>
            <w:r w:rsidRPr="00F9522B">
              <w:rPr>
                <w:rFonts w:eastAsiaTheme="minorEastAsia"/>
                <w:snapToGrid w:val="0"/>
                <w:szCs w:val="21"/>
              </w:rPr>
              <w:t>-7</w:t>
            </w:r>
          </w:p>
        </w:tc>
        <w:tc>
          <w:tcPr>
            <w:tcW w:w="1396" w:type="dxa"/>
            <w:gridSpan w:val="2"/>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S80</w:t>
            </w:r>
          </w:p>
        </w:tc>
      </w:tr>
      <w:tr w:rsidR="00311756" w:rsidRPr="00F9522B" w:rsidTr="00311756">
        <w:trPr>
          <w:trHeight w:val="172"/>
          <w:jc w:val="center"/>
        </w:trPr>
        <w:tc>
          <w:tcPr>
            <w:tcW w:w="1329" w:type="dxa"/>
            <w:vMerge/>
            <w:shd w:val="clear" w:color="auto" w:fill="auto"/>
            <w:vAlign w:val="center"/>
          </w:tcPr>
          <w:p w:rsidR="00311756" w:rsidRPr="00F9522B" w:rsidRDefault="00311756" w:rsidP="003A7922">
            <w:pPr>
              <w:spacing w:line="0" w:lineRule="atLeast"/>
              <w:jc w:val="center"/>
              <w:rPr>
                <w:rFonts w:eastAsiaTheme="minorEastAsia"/>
                <w:szCs w:val="21"/>
              </w:rPr>
            </w:pPr>
          </w:p>
        </w:tc>
        <w:tc>
          <w:tcPr>
            <w:tcW w:w="833"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002"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708"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67"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5"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1" w:type="dxa"/>
            <w:gridSpan w:val="2"/>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机电井</w:t>
            </w:r>
            <w:r w:rsidRPr="00F9522B">
              <w:rPr>
                <w:rFonts w:eastAsiaTheme="minorEastAsia"/>
                <w:snapToGrid w:val="0"/>
                <w:szCs w:val="21"/>
              </w:rPr>
              <w:t>-8</w:t>
            </w:r>
          </w:p>
        </w:tc>
        <w:tc>
          <w:tcPr>
            <w:tcW w:w="1396" w:type="dxa"/>
            <w:gridSpan w:val="2"/>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S15</w:t>
            </w:r>
          </w:p>
        </w:tc>
      </w:tr>
      <w:tr w:rsidR="00311756" w:rsidRPr="00F9522B" w:rsidTr="00311756">
        <w:trPr>
          <w:trHeight w:val="172"/>
          <w:jc w:val="center"/>
        </w:trPr>
        <w:tc>
          <w:tcPr>
            <w:tcW w:w="1329" w:type="dxa"/>
            <w:vMerge/>
            <w:shd w:val="clear" w:color="auto" w:fill="auto"/>
            <w:vAlign w:val="center"/>
          </w:tcPr>
          <w:p w:rsidR="00311756" w:rsidRPr="00F9522B" w:rsidRDefault="00311756" w:rsidP="003A7922">
            <w:pPr>
              <w:spacing w:line="0" w:lineRule="atLeast"/>
              <w:jc w:val="center"/>
              <w:rPr>
                <w:rFonts w:eastAsiaTheme="minorEastAsia"/>
                <w:szCs w:val="21"/>
              </w:rPr>
            </w:pPr>
          </w:p>
        </w:tc>
        <w:tc>
          <w:tcPr>
            <w:tcW w:w="833"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002"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708"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67"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5"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1" w:type="dxa"/>
            <w:gridSpan w:val="2"/>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机电井</w:t>
            </w:r>
            <w:r w:rsidRPr="00F9522B">
              <w:rPr>
                <w:rFonts w:eastAsiaTheme="minorEastAsia"/>
                <w:snapToGrid w:val="0"/>
                <w:szCs w:val="21"/>
              </w:rPr>
              <w:t>-10</w:t>
            </w:r>
          </w:p>
        </w:tc>
        <w:tc>
          <w:tcPr>
            <w:tcW w:w="1396" w:type="dxa"/>
            <w:gridSpan w:val="2"/>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N40</w:t>
            </w:r>
          </w:p>
        </w:tc>
      </w:tr>
      <w:tr w:rsidR="00311756" w:rsidRPr="00F9522B" w:rsidTr="00311756">
        <w:trPr>
          <w:trHeight w:val="172"/>
          <w:jc w:val="center"/>
        </w:trPr>
        <w:tc>
          <w:tcPr>
            <w:tcW w:w="1329" w:type="dxa"/>
            <w:vMerge/>
            <w:shd w:val="clear" w:color="auto" w:fill="auto"/>
            <w:vAlign w:val="center"/>
          </w:tcPr>
          <w:p w:rsidR="00311756" w:rsidRPr="00F9522B" w:rsidRDefault="00311756" w:rsidP="003A7922">
            <w:pPr>
              <w:spacing w:line="0" w:lineRule="atLeast"/>
              <w:jc w:val="center"/>
              <w:rPr>
                <w:rFonts w:eastAsiaTheme="minorEastAsia"/>
                <w:szCs w:val="21"/>
              </w:rPr>
            </w:pPr>
          </w:p>
        </w:tc>
        <w:tc>
          <w:tcPr>
            <w:tcW w:w="833"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002"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708"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67"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5"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1" w:type="dxa"/>
            <w:gridSpan w:val="2"/>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机电井</w:t>
            </w:r>
            <w:r w:rsidRPr="00F9522B">
              <w:rPr>
                <w:rFonts w:eastAsiaTheme="minorEastAsia"/>
                <w:snapToGrid w:val="0"/>
                <w:szCs w:val="21"/>
              </w:rPr>
              <w:t>-11</w:t>
            </w:r>
          </w:p>
        </w:tc>
        <w:tc>
          <w:tcPr>
            <w:tcW w:w="1396" w:type="dxa"/>
            <w:gridSpan w:val="2"/>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N80</w:t>
            </w:r>
          </w:p>
        </w:tc>
      </w:tr>
      <w:tr w:rsidR="00311756" w:rsidRPr="00F9522B" w:rsidTr="00311756">
        <w:trPr>
          <w:trHeight w:val="172"/>
          <w:jc w:val="center"/>
        </w:trPr>
        <w:tc>
          <w:tcPr>
            <w:tcW w:w="1329" w:type="dxa"/>
            <w:vMerge/>
            <w:shd w:val="clear" w:color="auto" w:fill="auto"/>
            <w:vAlign w:val="center"/>
          </w:tcPr>
          <w:p w:rsidR="00311756" w:rsidRPr="00F9522B" w:rsidRDefault="00311756" w:rsidP="003A7922">
            <w:pPr>
              <w:spacing w:line="0" w:lineRule="atLeast"/>
              <w:jc w:val="center"/>
              <w:rPr>
                <w:rFonts w:eastAsiaTheme="minorEastAsia"/>
                <w:szCs w:val="21"/>
              </w:rPr>
            </w:pPr>
          </w:p>
        </w:tc>
        <w:tc>
          <w:tcPr>
            <w:tcW w:w="833"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002"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708"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67"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5"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1" w:type="dxa"/>
            <w:gridSpan w:val="2"/>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机电井</w:t>
            </w:r>
            <w:r w:rsidRPr="00F9522B">
              <w:rPr>
                <w:rFonts w:eastAsiaTheme="minorEastAsia"/>
                <w:snapToGrid w:val="0"/>
                <w:szCs w:val="21"/>
              </w:rPr>
              <w:t>-12</w:t>
            </w:r>
          </w:p>
        </w:tc>
        <w:tc>
          <w:tcPr>
            <w:tcW w:w="1396" w:type="dxa"/>
            <w:gridSpan w:val="2"/>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W35</w:t>
            </w:r>
          </w:p>
        </w:tc>
      </w:tr>
      <w:tr w:rsidR="00311756" w:rsidRPr="00F9522B" w:rsidTr="00311756">
        <w:trPr>
          <w:trHeight w:val="172"/>
          <w:jc w:val="center"/>
        </w:trPr>
        <w:tc>
          <w:tcPr>
            <w:tcW w:w="1329" w:type="dxa"/>
            <w:vMerge w:val="restart"/>
            <w:shd w:val="clear" w:color="auto" w:fill="auto"/>
            <w:vAlign w:val="center"/>
          </w:tcPr>
          <w:p w:rsidR="00311756" w:rsidRPr="00F9522B" w:rsidRDefault="00311756" w:rsidP="003A7922">
            <w:pPr>
              <w:spacing w:line="0" w:lineRule="atLeast"/>
              <w:jc w:val="center"/>
              <w:rPr>
                <w:rFonts w:eastAsiaTheme="minorEastAsia"/>
                <w:szCs w:val="21"/>
              </w:rPr>
            </w:pPr>
            <w:r w:rsidRPr="00F9522B">
              <w:rPr>
                <w:rFonts w:eastAsiaTheme="minorEastAsia"/>
                <w:szCs w:val="21"/>
              </w:rPr>
              <w:t>红光</w:t>
            </w:r>
          </w:p>
        </w:tc>
        <w:tc>
          <w:tcPr>
            <w:tcW w:w="833" w:type="dxa"/>
            <w:vMerge w:val="restart"/>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126.8994113</w:t>
            </w:r>
          </w:p>
        </w:tc>
        <w:tc>
          <w:tcPr>
            <w:tcW w:w="1002" w:type="dxa"/>
            <w:vMerge w:val="restart"/>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46.266100</w:t>
            </w:r>
          </w:p>
        </w:tc>
        <w:tc>
          <w:tcPr>
            <w:tcW w:w="708"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67"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5"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1" w:type="dxa"/>
            <w:gridSpan w:val="2"/>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机电井</w:t>
            </w:r>
            <w:r w:rsidRPr="00F9522B">
              <w:rPr>
                <w:rFonts w:eastAsiaTheme="minorEastAsia"/>
                <w:snapToGrid w:val="0"/>
                <w:szCs w:val="21"/>
              </w:rPr>
              <w:t>-2</w:t>
            </w:r>
          </w:p>
        </w:tc>
        <w:tc>
          <w:tcPr>
            <w:tcW w:w="1396" w:type="dxa"/>
            <w:gridSpan w:val="2"/>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E140</w:t>
            </w:r>
          </w:p>
        </w:tc>
      </w:tr>
      <w:tr w:rsidR="00311756" w:rsidRPr="00F9522B" w:rsidTr="00311756">
        <w:trPr>
          <w:trHeight w:val="172"/>
          <w:jc w:val="center"/>
        </w:trPr>
        <w:tc>
          <w:tcPr>
            <w:tcW w:w="1329" w:type="dxa"/>
            <w:vMerge/>
            <w:shd w:val="clear" w:color="auto" w:fill="auto"/>
            <w:vAlign w:val="center"/>
          </w:tcPr>
          <w:p w:rsidR="00311756" w:rsidRPr="00F9522B" w:rsidRDefault="00311756" w:rsidP="003A7922">
            <w:pPr>
              <w:spacing w:line="0" w:lineRule="atLeast"/>
              <w:jc w:val="center"/>
              <w:rPr>
                <w:rFonts w:eastAsiaTheme="minorEastAsia"/>
                <w:szCs w:val="21"/>
              </w:rPr>
            </w:pPr>
          </w:p>
        </w:tc>
        <w:tc>
          <w:tcPr>
            <w:tcW w:w="833"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002"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708"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67"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5"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1" w:type="dxa"/>
            <w:gridSpan w:val="2"/>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机电井</w:t>
            </w:r>
            <w:r w:rsidRPr="00F9522B">
              <w:rPr>
                <w:rFonts w:eastAsiaTheme="minorEastAsia"/>
                <w:snapToGrid w:val="0"/>
                <w:szCs w:val="21"/>
              </w:rPr>
              <w:t>-3</w:t>
            </w:r>
          </w:p>
        </w:tc>
        <w:tc>
          <w:tcPr>
            <w:tcW w:w="1396" w:type="dxa"/>
            <w:gridSpan w:val="2"/>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S30</w:t>
            </w:r>
          </w:p>
        </w:tc>
      </w:tr>
      <w:tr w:rsidR="00311756" w:rsidRPr="00F9522B" w:rsidTr="00311756">
        <w:trPr>
          <w:trHeight w:val="172"/>
          <w:jc w:val="center"/>
        </w:trPr>
        <w:tc>
          <w:tcPr>
            <w:tcW w:w="1329" w:type="dxa"/>
            <w:vMerge/>
            <w:shd w:val="clear" w:color="auto" w:fill="auto"/>
            <w:vAlign w:val="center"/>
          </w:tcPr>
          <w:p w:rsidR="00311756" w:rsidRPr="00F9522B" w:rsidRDefault="00311756" w:rsidP="003A7922">
            <w:pPr>
              <w:spacing w:line="0" w:lineRule="atLeast"/>
              <w:jc w:val="center"/>
              <w:rPr>
                <w:rFonts w:eastAsiaTheme="minorEastAsia"/>
                <w:szCs w:val="21"/>
              </w:rPr>
            </w:pPr>
          </w:p>
        </w:tc>
        <w:tc>
          <w:tcPr>
            <w:tcW w:w="833"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002"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708"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67"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5"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1" w:type="dxa"/>
            <w:gridSpan w:val="2"/>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机耕路</w:t>
            </w:r>
            <w:r w:rsidRPr="00F9522B">
              <w:rPr>
                <w:rFonts w:eastAsiaTheme="minorEastAsia"/>
                <w:snapToGrid w:val="0"/>
                <w:szCs w:val="21"/>
              </w:rPr>
              <w:t>-4</w:t>
            </w:r>
          </w:p>
        </w:tc>
        <w:tc>
          <w:tcPr>
            <w:tcW w:w="1396" w:type="dxa"/>
            <w:gridSpan w:val="2"/>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W105</w:t>
            </w:r>
          </w:p>
        </w:tc>
      </w:tr>
      <w:tr w:rsidR="00311756" w:rsidRPr="00F9522B" w:rsidTr="00311756">
        <w:trPr>
          <w:trHeight w:val="172"/>
          <w:jc w:val="center"/>
        </w:trPr>
        <w:tc>
          <w:tcPr>
            <w:tcW w:w="1329" w:type="dxa"/>
            <w:vMerge/>
            <w:shd w:val="clear" w:color="auto" w:fill="auto"/>
            <w:vAlign w:val="center"/>
          </w:tcPr>
          <w:p w:rsidR="00311756" w:rsidRPr="00F9522B" w:rsidRDefault="00311756" w:rsidP="003A7922">
            <w:pPr>
              <w:spacing w:line="0" w:lineRule="atLeast"/>
              <w:jc w:val="center"/>
              <w:rPr>
                <w:rFonts w:eastAsiaTheme="minorEastAsia"/>
                <w:szCs w:val="21"/>
              </w:rPr>
            </w:pPr>
          </w:p>
        </w:tc>
        <w:tc>
          <w:tcPr>
            <w:tcW w:w="833"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002"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708"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67"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5"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1" w:type="dxa"/>
            <w:gridSpan w:val="2"/>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排水沟</w:t>
            </w:r>
            <w:r w:rsidRPr="00F9522B">
              <w:rPr>
                <w:rFonts w:eastAsiaTheme="minorEastAsia"/>
                <w:snapToGrid w:val="0"/>
                <w:szCs w:val="21"/>
              </w:rPr>
              <w:t>-1</w:t>
            </w:r>
          </w:p>
        </w:tc>
        <w:tc>
          <w:tcPr>
            <w:tcW w:w="1396" w:type="dxa"/>
            <w:gridSpan w:val="2"/>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NW20</w:t>
            </w:r>
          </w:p>
        </w:tc>
      </w:tr>
      <w:tr w:rsidR="00311756" w:rsidRPr="00F9522B" w:rsidTr="00311756">
        <w:trPr>
          <w:trHeight w:val="172"/>
          <w:jc w:val="center"/>
        </w:trPr>
        <w:tc>
          <w:tcPr>
            <w:tcW w:w="1329" w:type="dxa"/>
            <w:shd w:val="clear" w:color="auto" w:fill="auto"/>
            <w:vAlign w:val="center"/>
          </w:tcPr>
          <w:p w:rsidR="00311756" w:rsidRPr="00F9522B" w:rsidRDefault="00311756" w:rsidP="003A7922">
            <w:pPr>
              <w:spacing w:line="0" w:lineRule="atLeast"/>
              <w:jc w:val="center"/>
              <w:rPr>
                <w:rFonts w:eastAsiaTheme="minorEastAsia"/>
                <w:szCs w:val="21"/>
              </w:rPr>
            </w:pPr>
            <w:r w:rsidRPr="00F9522B">
              <w:rPr>
                <w:rFonts w:eastAsiaTheme="minorEastAsia"/>
                <w:szCs w:val="21"/>
              </w:rPr>
              <w:t>下甸屯</w:t>
            </w:r>
          </w:p>
        </w:tc>
        <w:tc>
          <w:tcPr>
            <w:tcW w:w="833" w:type="dxa"/>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126.923100</w:t>
            </w:r>
          </w:p>
        </w:tc>
        <w:tc>
          <w:tcPr>
            <w:tcW w:w="1002" w:type="dxa"/>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126.923100</w:t>
            </w:r>
          </w:p>
        </w:tc>
        <w:tc>
          <w:tcPr>
            <w:tcW w:w="708"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67"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5"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1" w:type="dxa"/>
            <w:gridSpan w:val="2"/>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过水路面</w:t>
            </w:r>
            <w:r w:rsidRPr="00F9522B">
              <w:rPr>
                <w:rFonts w:eastAsiaTheme="minorEastAsia"/>
                <w:snapToGrid w:val="0"/>
                <w:szCs w:val="21"/>
              </w:rPr>
              <w:t>-3</w:t>
            </w:r>
          </w:p>
        </w:tc>
        <w:tc>
          <w:tcPr>
            <w:tcW w:w="1396" w:type="dxa"/>
            <w:gridSpan w:val="2"/>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E120</w:t>
            </w:r>
          </w:p>
        </w:tc>
      </w:tr>
      <w:tr w:rsidR="00311756" w:rsidRPr="00F9522B" w:rsidTr="00311756">
        <w:trPr>
          <w:trHeight w:val="172"/>
          <w:jc w:val="center"/>
        </w:trPr>
        <w:tc>
          <w:tcPr>
            <w:tcW w:w="1329" w:type="dxa"/>
            <w:vMerge w:val="restart"/>
            <w:shd w:val="clear" w:color="auto" w:fill="auto"/>
            <w:vAlign w:val="center"/>
          </w:tcPr>
          <w:p w:rsidR="00311756" w:rsidRPr="00F9522B" w:rsidRDefault="00311756" w:rsidP="003A7922">
            <w:pPr>
              <w:spacing w:line="0" w:lineRule="atLeast"/>
              <w:jc w:val="center"/>
              <w:rPr>
                <w:rFonts w:eastAsiaTheme="minorEastAsia"/>
                <w:szCs w:val="21"/>
              </w:rPr>
            </w:pPr>
            <w:r w:rsidRPr="00F9522B">
              <w:rPr>
                <w:rFonts w:eastAsiaTheme="minorEastAsia"/>
                <w:szCs w:val="21"/>
              </w:rPr>
              <w:t>城子村</w:t>
            </w:r>
          </w:p>
        </w:tc>
        <w:tc>
          <w:tcPr>
            <w:tcW w:w="833" w:type="dxa"/>
            <w:vMerge w:val="restart"/>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126.9363185</w:t>
            </w:r>
          </w:p>
        </w:tc>
        <w:tc>
          <w:tcPr>
            <w:tcW w:w="1002" w:type="dxa"/>
            <w:vMerge w:val="restart"/>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46.294930</w:t>
            </w:r>
          </w:p>
        </w:tc>
        <w:tc>
          <w:tcPr>
            <w:tcW w:w="708"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67"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5"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1" w:type="dxa"/>
            <w:gridSpan w:val="2"/>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机电井</w:t>
            </w:r>
            <w:r w:rsidRPr="00F9522B">
              <w:rPr>
                <w:rFonts w:eastAsiaTheme="minorEastAsia"/>
                <w:snapToGrid w:val="0"/>
                <w:szCs w:val="21"/>
              </w:rPr>
              <w:t>-11</w:t>
            </w:r>
          </w:p>
        </w:tc>
        <w:tc>
          <w:tcPr>
            <w:tcW w:w="1396" w:type="dxa"/>
            <w:gridSpan w:val="2"/>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N170</w:t>
            </w:r>
          </w:p>
        </w:tc>
      </w:tr>
      <w:tr w:rsidR="00311756" w:rsidRPr="00F9522B" w:rsidTr="00311756">
        <w:trPr>
          <w:trHeight w:val="249"/>
          <w:jc w:val="center"/>
        </w:trPr>
        <w:tc>
          <w:tcPr>
            <w:tcW w:w="1329" w:type="dxa"/>
            <w:vMerge/>
            <w:shd w:val="clear" w:color="auto" w:fill="auto"/>
            <w:vAlign w:val="center"/>
          </w:tcPr>
          <w:p w:rsidR="00311756" w:rsidRPr="00F9522B" w:rsidRDefault="00311756" w:rsidP="003A7922">
            <w:pPr>
              <w:spacing w:line="0" w:lineRule="atLeast"/>
              <w:jc w:val="center"/>
              <w:rPr>
                <w:rFonts w:eastAsiaTheme="minorEastAsia"/>
                <w:szCs w:val="21"/>
              </w:rPr>
            </w:pPr>
          </w:p>
        </w:tc>
        <w:tc>
          <w:tcPr>
            <w:tcW w:w="833"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002"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708"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67"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5"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1" w:type="dxa"/>
            <w:gridSpan w:val="2"/>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生产路</w:t>
            </w:r>
            <w:r w:rsidRPr="00F9522B">
              <w:rPr>
                <w:rFonts w:eastAsiaTheme="minorEastAsia"/>
                <w:snapToGrid w:val="0"/>
                <w:szCs w:val="21"/>
              </w:rPr>
              <w:t>-5</w:t>
            </w:r>
          </w:p>
        </w:tc>
        <w:tc>
          <w:tcPr>
            <w:tcW w:w="1396" w:type="dxa"/>
            <w:gridSpan w:val="2"/>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S20</w:t>
            </w:r>
          </w:p>
        </w:tc>
      </w:tr>
      <w:tr w:rsidR="00311756" w:rsidRPr="00F9522B" w:rsidTr="00311756">
        <w:trPr>
          <w:trHeight w:val="172"/>
          <w:jc w:val="center"/>
        </w:trPr>
        <w:tc>
          <w:tcPr>
            <w:tcW w:w="1329" w:type="dxa"/>
            <w:vMerge/>
            <w:shd w:val="clear" w:color="auto" w:fill="auto"/>
            <w:vAlign w:val="center"/>
          </w:tcPr>
          <w:p w:rsidR="00311756" w:rsidRPr="00F9522B" w:rsidRDefault="00311756" w:rsidP="003A7922">
            <w:pPr>
              <w:spacing w:line="0" w:lineRule="atLeast"/>
              <w:jc w:val="center"/>
              <w:rPr>
                <w:rFonts w:eastAsiaTheme="minorEastAsia"/>
                <w:szCs w:val="21"/>
              </w:rPr>
            </w:pPr>
          </w:p>
        </w:tc>
        <w:tc>
          <w:tcPr>
            <w:tcW w:w="833"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002"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708"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67"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5"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1" w:type="dxa"/>
            <w:gridSpan w:val="2"/>
            <w:vAlign w:val="center"/>
          </w:tcPr>
          <w:p w:rsidR="00311756" w:rsidRPr="00F9522B" w:rsidRDefault="00311756" w:rsidP="00311756">
            <w:pPr>
              <w:adjustRightInd w:val="0"/>
              <w:snapToGrid w:val="0"/>
              <w:spacing w:line="0" w:lineRule="atLeast"/>
              <w:jc w:val="center"/>
              <w:rPr>
                <w:rFonts w:eastAsiaTheme="minorEastAsia"/>
                <w:snapToGrid w:val="0"/>
                <w:szCs w:val="21"/>
              </w:rPr>
            </w:pPr>
            <w:r w:rsidRPr="00F9522B">
              <w:rPr>
                <w:rFonts w:eastAsiaTheme="minorEastAsia"/>
                <w:snapToGrid w:val="0"/>
                <w:szCs w:val="21"/>
              </w:rPr>
              <w:t>排水沟</w:t>
            </w:r>
            <w:r w:rsidRPr="00F9522B">
              <w:rPr>
                <w:rFonts w:eastAsiaTheme="minorEastAsia"/>
                <w:snapToGrid w:val="0"/>
                <w:szCs w:val="21"/>
              </w:rPr>
              <w:t>-1</w:t>
            </w:r>
          </w:p>
        </w:tc>
        <w:tc>
          <w:tcPr>
            <w:tcW w:w="1396" w:type="dxa"/>
            <w:gridSpan w:val="2"/>
            <w:shd w:val="clear" w:color="auto" w:fill="auto"/>
            <w:vAlign w:val="center"/>
          </w:tcPr>
          <w:p w:rsidR="00311756" w:rsidRPr="00F9522B" w:rsidRDefault="00311756" w:rsidP="00311756">
            <w:pPr>
              <w:adjustRightInd w:val="0"/>
              <w:snapToGrid w:val="0"/>
              <w:spacing w:line="0" w:lineRule="atLeast"/>
              <w:jc w:val="center"/>
              <w:rPr>
                <w:rFonts w:eastAsiaTheme="minorEastAsia"/>
                <w:szCs w:val="21"/>
              </w:rPr>
            </w:pPr>
            <w:r w:rsidRPr="00F9522B">
              <w:rPr>
                <w:rFonts w:eastAsiaTheme="minorEastAsia"/>
                <w:szCs w:val="21"/>
              </w:rPr>
              <w:t>E20</w:t>
            </w:r>
          </w:p>
        </w:tc>
      </w:tr>
      <w:tr w:rsidR="00311756" w:rsidRPr="00F9522B" w:rsidTr="00311756">
        <w:trPr>
          <w:trHeight w:val="172"/>
          <w:jc w:val="center"/>
        </w:trPr>
        <w:tc>
          <w:tcPr>
            <w:tcW w:w="1329" w:type="dxa"/>
            <w:vMerge w:val="restart"/>
            <w:shd w:val="clear" w:color="auto" w:fill="auto"/>
            <w:vAlign w:val="center"/>
          </w:tcPr>
          <w:p w:rsidR="00311756" w:rsidRPr="00F9522B" w:rsidRDefault="00311756" w:rsidP="003A7922">
            <w:pPr>
              <w:spacing w:line="0" w:lineRule="atLeast"/>
              <w:jc w:val="center"/>
              <w:rPr>
                <w:rFonts w:eastAsiaTheme="minorEastAsia"/>
                <w:szCs w:val="21"/>
              </w:rPr>
            </w:pPr>
            <w:r w:rsidRPr="00F9522B">
              <w:rPr>
                <w:rFonts w:eastAsiaTheme="minorEastAsia"/>
                <w:szCs w:val="21"/>
              </w:rPr>
              <w:t>罗庆屯</w:t>
            </w:r>
          </w:p>
        </w:tc>
        <w:tc>
          <w:tcPr>
            <w:tcW w:w="833" w:type="dxa"/>
            <w:vMerge w:val="restart"/>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126.9691916</w:t>
            </w:r>
          </w:p>
        </w:tc>
        <w:tc>
          <w:tcPr>
            <w:tcW w:w="1002" w:type="dxa"/>
            <w:vMerge w:val="restart"/>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46.291757</w:t>
            </w:r>
          </w:p>
        </w:tc>
        <w:tc>
          <w:tcPr>
            <w:tcW w:w="708"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67"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5"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1" w:type="dxa"/>
            <w:gridSpan w:val="2"/>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机电井</w:t>
            </w:r>
            <w:r w:rsidRPr="00F9522B">
              <w:rPr>
                <w:rFonts w:eastAsiaTheme="minorEastAsia"/>
                <w:snapToGrid w:val="0"/>
                <w:szCs w:val="21"/>
              </w:rPr>
              <w:t>-15</w:t>
            </w:r>
          </w:p>
        </w:tc>
        <w:tc>
          <w:tcPr>
            <w:tcW w:w="1396" w:type="dxa"/>
            <w:gridSpan w:val="2"/>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E150</w:t>
            </w:r>
          </w:p>
        </w:tc>
      </w:tr>
      <w:tr w:rsidR="00311756" w:rsidRPr="00F9522B" w:rsidTr="00311756">
        <w:trPr>
          <w:trHeight w:val="172"/>
          <w:jc w:val="center"/>
        </w:trPr>
        <w:tc>
          <w:tcPr>
            <w:tcW w:w="1329" w:type="dxa"/>
            <w:vMerge/>
            <w:shd w:val="clear" w:color="auto" w:fill="auto"/>
            <w:vAlign w:val="center"/>
          </w:tcPr>
          <w:p w:rsidR="00311756" w:rsidRPr="00F9522B" w:rsidRDefault="00311756" w:rsidP="003A7922">
            <w:pPr>
              <w:spacing w:line="0" w:lineRule="atLeast"/>
              <w:jc w:val="center"/>
              <w:rPr>
                <w:rFonts w:eastAsiaTheme="minorEastAsia"/>
                <w:szCs w:val="21"/>
              </w:rPr>
            </w:pPr>
          </w:p>
        </w:tc>
        <w:tc>
          <w:tcPr>
            <w:tcW w:w="833"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002"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708"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67"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5"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1" w:type="dxa"/>
            <w:gridSpan w:val="2"/>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机电井</w:t>
            </w:r>
            <w:r w:rsidRPr="00F9522B">
              <w:rPr>
                <w:rFonts w:eastAsiaTheme="minorEastAsia"/>
                <w:snapToGrid w:val="0"/>
                <w:szCs w:val="21"/>
              </w:rPr>
              <w:t>-16</w:t>
            </w:r>
          </w:p>
        </w:tc>
        <w:tc>
          <w:tcPr>
            <w:tcW w:w="1396" w:type="dxa"/>
            <w:gridSpan w:val="2"/>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W200</w:t>
            </w:r>
          </w:p>
        </w:tc>
      </w:tr>
      <w:tr w:rsidR="00311756" w:rsidRPr="00F9522B" w:rsidTr="00311756">
        <w:trPr>
          <w:trHeight w:val="172"/>
          <w:jc w:val="center"/>
        </w:trPr>
        <w:tc>
          <w:tcPr>
            <w:tcW w:w="1329" w:type="dxa"/>
            <w:vMerge/>
            <w:shd w:val="clear" w:color="auto" w:fill="auto"/>
            <w:vAlign w:val="center"/>
          </w:tcPr>
          <w:p w:rsidR="00311756" w:rsidRPr="00F9522B" w:rsidRDefault="00311756" w:rsidP="003A7922">
            <w:pPr>
              <w:spacing w:line="0" w:lineRule="atLeast"/>
              <w:jc w:val="center"/>
              <w:rPr>
                <w:rFonts w:eastAsiaTheme="minorEastAsia"/>
                <w:szCs w:val="21"/>
              </w:rPr>
            </w:pPr>
          </w:p>
        </w:tc>
        <w:tc>
          <w:tcPr>
            <w:tcW w:w="833"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002"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708"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67"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5"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1" w:type="dxa"/>
            <w:gridSpan w:val="2"/>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排水沟</w:t>
            </w:r>
            <w:r w:rsidRPr="00F9522B">
              <w:rPr>
                <w:rFonts w:eastAsiaTheme="minorEastAsia"/>
                <w:snapToGrid w:val="0"/>
                <w:szCs w:val="21"/>
              </w:rPr>
              <w:t>-2</w:t>
            </w:r>
          </w:p>
        </w:tc>
        <w:tc>
          <w:tcPr>
            <w:tcW w:w="1396" w:type="dxa"/>
            <w:gridSpan w:val="2"/>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N15</w:t>
            </w:r>
          </w:p>
        </w:tc>
      </w:tr>
      <w:tr w:rsidR="00311756" w:rsidRPr="00F9522B" w:rsidTr="00311756">
        <w:trPr>
          <w:trHeight w:val="513"/>
          <w:jc w:val="center"/>
        </w:trPr>
        <w:tc>
          <w:tcPr>
            <w:tcW w:w="1329" w:type="dxa"/>
            <w:shd w:val="clear" w:color="auto" w:fill="auto"/>
            <w:vAlign w:val="center"/>
          </w:tcPr>
          <w:p w:rsidR="00311756" w:rsidRPr="00F9522B" w:rsidRDefault="00311756" w:rsidP="003A7922">
            <w:pPr>
              <w:spacing w:line="0" w:lineRule="atLeast"/>
              <w:jc w:val="center"/>
              <w:rPr>
                <w:rFonts w:eastAsiaTheme="minorEastAsia"/>
                <w:szCs w:val="21"/>
              </w:rPr>
            </w:pPr>
            <w:r w:rsidRPr="00F9522B">
              <w:rPr>
                <w:rFonts w:eastAsiaTheme="minorEastAsia"/>
                <w:szCs w:val="21"/>
              </w:rPr>
              <w:t>兴农</w:t>
            </w:r>
          </w:p>
        </w:tc>
        <w:tc>
          <w:tcPr>
            <w:tcW w:w="833" w:type="dxa"/>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126.9861861</w:t>
            </w:r>
          </w:p>
        </w:tc>
        <w:tc>
          <w:tcPr>
            <w:tcW w:w="1002" w:type="dxa"/>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46.289503</w:t>
            </w:r>
          </w:p>
        </w:tc>
        <w:tc>
          <w:tcPr>
            <w:tcW w:w="708"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67"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5"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1" w:type="dxa"/>
            <w:gridSpan w:val="2"/>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机电井</w:t>
            </w:r>
            <w:r w:rsidRPr="00F9522B">
              <w:rPr>
                <w:rFonts w:eastAsiaTheme="minorEastAsia"/>
                <w:snapToGrid w:val="0"/>
                <w:szCs w:val="21"/>
              </w:rPr>
              <w:t>-18</w:t>
            </w:r>
          </w:p>
        </w:tc>
        <w:tc>
          <w:tcPr>
            <w:tcW w:w="1396" w:type="dxa"/>
            <w:gridSpan w:val="2"/>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E120</w:t>
            </w:r>
          </w:p>
        </w:tc>
      </w:tr>
      <w:tr w:rsidR="00311756" w:rsidRPr="00F9522B" w:rsidTr="00311756">
        <w:trPr>
          <w:trHeight w:val="535"/>
          <w:jc w:val="center"/>
        </w:trPr>
        <w:tc>
          <w:tcPr>
            <w:tcW w:w="1329" w:type="dxa"/>
            <w:shd w:val="clear" w:color="auto" w:fill="auto"/>
            <w:vAlign w:val="center"/>
          </w:tcPr>
          <w:p w:rsidR="00311756" w:rsidRPr="00F9522B" w:rsidRDefault="00311756" w:rsidP="003A7922">
            <w:pPr>
              <w:spacing w:line="0" w:lineRule="atLeast"/>
              <w:jc w:val="center"/>
              <w:rPr>
                <w:rFonts w:eastAsiaTheme="minorEastAsia"/>
                <w:szCs w:val="21"/>
              </w:rPr>
            </w:pPr>
            <w:r w:rsidRPr="00F9522B">
              <w:rPr>
                <w:rFonts w:eastAsiaTheme="minorEastAsia"/>
                <w:szCs w:val="21"/>
              </w:rPr>
              <w:t>永发村</w:t>
            </w:r>
          </w:p>
        </w:tc>
        <w:tc>
          <w:tcPr>
            <w:tcW w:w="833" w:type="dxa"/>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126.9739982</w:t>
            </w:r>
          </w:p>
        </w:tc>
        <w:tc>
          <w:tcPr>
            <w:tcW w:w="1002" w:type="dxa"/>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46.301957</w:t>
            </w:r>
          </w:p>
        </w:tc>
        <w:tc>
          <w:tcPr>
            <w:tcW w:w="708"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67"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5"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1" w:type="dxa"/>
            <w:gridSpan w:val="2"/>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排水沟</w:t>
            </w:r>
            <w:r w:rsidRPr="00F9522B">
              <w:rPr>
                <w:rFonts w:eastAsiaTheme="minorEastAsia"/>
                <w:snapToGrid w:val="0"/>
                <w:szCs w:val="21"/>
              </w:rPr>
              <w:t>-1</w:t>
            </w:r>
          </w:p>
        </w:tc>
        <w:tc>
          <w:tcPr>
            <w:tcW w:w="1396" w:type="dxa"/>
            <w:gridSpan w:val="2"/>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N30</w:t>
            </w:r>
          </w:p>
        </w:tc>
      </w:tr>
      <w:tr w:rsidR="00311756" w:rsidRPr="00F9522B" w:rsidTr="00311756">
        <w:trPr>
          <w:trHeight w:val="172"/>
          <w:jc w:val="center"/>
        </w:trPr>
        <w:tc>
          <w:tcPr>
            <w:tcW w:w="1329" w:type="dxa"/>
            <w:vMerge w:val="restart"/>
            <w:shd w:val="clear" w:color="auto" w:fill="auto"/>
            <w:vAlign w:val="center"/>
          </w:tcPr>
          <w:p w:rsidR="00311756" w:rsidRPr="00F9522B" w:rsidRDefault="00311756" w:rsidP="003A7922">
            <w:pPr>
              <w:spacing w:line="0" w:lineRule="atLeast"/>
              <w:jc w:val="center"/>
              <w:rPr>
                <w:rFonts w:eastAsiaTheme="minorEastAsia"/>
                <w:szCs w:val="21"/>
              </w:rPr>
            </w:pPr>
            <w:r w:rsidRPr="00F9522B">
              <w:rPr>
                <w:rFonts w:eastAsiaTheme="minorEastAsia"/>
                <w:szCs w:val="21"/>
              </w:rPr>
              <w:t>张亚</w:t>
            </w:r>
          </w:p>
        </w:tc>
        <w:tc>
          <w:tcPr>
            <w:tcW w:w="833" w:type="dxa"/>
            <w:vMerge w:val="restart"/>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126.9501372</w:t>
            </w:r>
          </w:p>
        </w:tc>
        <w:tc>
          <w:tcPr>
            <w:tcW w:w="1002" w:type="dxa"/>
            <w:vMerge w:val="restart"/>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46.308716</w:t>
            </w:r>
          </w:p>
        </w:tc>
        <w:tc>
          <w:tcPr>
            <w:tcW w:w="708"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67"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5"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1" w:type="dxa"/>
            <w:gridSpan w:val="2"/>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机电井</w:t>
            </w:r>
            <w:r w:rsidRPr="00F9522B">
              <w:rPr>
                <w:rFonts w:eastAsiaTheme="minorEastAsia"/>
                <w:snapToGrid w:val="0"/>
                <w:szCs w:val="21"/>
              </w:rPr>
              <w:t>-4</w:t>
            </w:r>
          </w:p>
        </w:tc>
        <w:tc>
          <w:tcPr>
            <w:tcW w:w="1396" w:type="dxa"/>
            <w:gridSpan w:val="2"/>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S20</w:t>
            </w:r>
          </w:p>
        </w:tc>
      </w:tr>
      <w:tr w:rsidR="00311756" w:rsidRPr="00F9522B" w:rsidTr="00311756">
        <w:trPr>
          <w:trHeight w:val="172"/>
          <w:jc w:val="center"/>
        </w:trPr>
        <w:tc>
          <w:tcPr>
            <w:tcW w:w="1329" w:type="dxa"/>
            <w:vMerge/>
            <w:shd w:val="clear" w:color="auto" w:fill="auto"/>
            <w:vAlign w:val="center"/>
          </w:tcPr>
          <w:p w:rsidR="00311756" w:rsidRPr="00F9522B" w:rsidRDefault="00311756" w:rsidP="003A7922">
            <w:pPr>
              <w:spacing w:line="0" w:lineRule="atLeast"/>
              <w:jc w:val="center"/>
              <w:rPr>
                <w:rFonts w:eastAsiaTheme="minorEastAsia"/>
                <w:szCs w:val="21"/>
              </w:rPr>
            </w:pPr>
          </w:p>
        </w:tc>
        <w:tc>
          <w:tcPr>
            <w:tcW w:w="833"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002"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708"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67"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5"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1" w:type="dxa"/>
            <w:gridSpan w:val="2"/>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生产路</w:t>
            </w:r>
            <w:r w:rsidRPr="00F9522B">
              <w:rPr>
                <w:rFonts w:eastAsiaTheme="minorEastAsia"/>
                <w:snapToGrid w:val="0"/>
                <w:szCs w:val="21"/>
              </w:rPr>
              <w:t>-2</w:t>
            </w:r>
          </w:p>
        </w:tc>
        <w:tc>
          <w:tcPr>
            <w:tcW w:w="1396" w:type="dxa"/>
            <w:gridSpan w:val="2"/>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S130</w:t>
            </w:r>
          </w:p>
        </w:tc>
      </w:tr>
      <w:tr w:rsidR="00311756" w:rsidRPr="00F9522B" w:rsidTr="00311756">
        <w:trPr>
          <w:trHeight w:val="172"/>
          <w:jc w:val="center"/>
        </w:trPr>
        <w:tc>
          <w:tcPr>
            <w:tcW w:w="1329" w:type="dxa"/>
            <w:shd w:val="clear" w:color="auto" w:fill="auto"/>
            <w:vAlign w:val="center"/>
          </w:tcPr>
          <w:p w:rsidR="00311756" w:rsidRPr="00F9522B" w:rsidRDefault="00311756" w:rsidP="003A7922">
            <w:pPr>
              <w:spacing w:line="0" w:lineRule="atLeast"/>
              <w:jc w:val="center"/>
              <w:rPr>
                <w:rFonts w:eastAsiaTheme="minorEastAsia"/>
                <w:szCs w:val="21"/>
              </w:rPr>
            </w:pPr>
            <w:r w:rsidRPr="00F9522B">
              <w:rPr>
                <w:rFonts w:eastAsiaTheme="minorEastAsia"/>
                <w:szCs w:val="21"/>
              </w:rPr>
              <w:t>郭家窝棚</w:t>
            </w:r>
          </w:p>
        </w:tc>
        <w:tc>
          <w:tcPr>
            <w:tcW w:w="833" w:type="dxa"/>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126.8879314</w:t>
            </w:r>
          </w:p>
        </w:tc>
        <w:tc>
          <w:tcPr>
            <w:tcW w:w="1002" w:type="dxa"/>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46.300504</w:t>
            </w:r>
          </w:p>
        </w:tc>
        <w:tc>
          <w:tcPr>
            <w:tcW w:w="708"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67"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5"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1" w:type="dxa"/>
            <w:gridSpan w:val="2"/>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机耕路</w:t>
            </w:r>
            <w:r w:rsidRPr="00F9522B">
              <w:rPr>
                <w:rFonts w:eastAsiaTheme="minorEastAsia"/>
                <w:snapToGrid w:val="0"/>
                <w:szCs w:val="21"/>
              </w:rPr>
              <w:t>-1</w:t>
            </w:r>
          </w:p>
        </w:tc>
        <w:tc>
          <w:tcPr>
            <w:tcW w:w="1396" w:type="dxa"/>
            <w:gridSpan w:val="2"/>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S160</w:t>
            </w:r>
          </w:p>
        </w:tc>
      </w:tr>
      <w:tr w:rsidR="00311756" w:rsidRPr="00F9522B" w:rsidTr="00311756">
        <w:trPr>
          <w:trHeight w:val="399"/>
          <w:jc w:val="center"/>
        </w:trPr>
        <w:tc>
          <w:tcPr>
            <w:tcW w:w="1329" w:type="dxa"/>
            <w:shd w:val="clear" w:color="auto" w:fill="auto"/>
            <w:vAlign w:val="center"/>
          </w:tcPr>
          <w:p w:rsidR="00311756" w:rsidRPr="00F9522B" w:rsidRDefault="00311756" w:rsidP="003A7922">
            <w:pPr>
              <w:spacing w:line="0" w:lineRule="atLeast"/>
              <w:jc w:val="center"/>
              <w:rPr>
                <w:rFonts w:eastAsiaTheme="minorEastAsia"/>
                <w:szCs w:val="21"/>
              </w:rPr>
            </w:pPr>
            <w:r w:rsidRPr="00F9522B">
              <w:rPr>
                <w:rFonts w:eastAsiaTheme="minorEastAsia"/>
                <w:szCs w:val="21"/>
              </w:rPr>
              <w:t>金星</w:t>
            </w:r>
          </w:p>
        </w:tc>
        <w:tc>
          <w:tcPr>
            <w:tcW w:w="833" w:type="dxa"/>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126.8949266</w:t>
            </w:r>
          </w:p>
        </w:tc>
        <w:tc>
          <w:tcPr>
            <w:tcW w:w="1002" w:type="dxa"/>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46.315742</w:t>
            </w:r>
          </w:p>
        </w:tc>
        <w:tc>
          <w:tcPr>
            <w:tcW w:w="708"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67"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5"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1" w:type="dxa"/>
            <w:gridSpan w:val="2"/>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排水沟</w:t>
            </w:r>
            <w:r w:rsidRPr="00F9522B">
              <w:rPr>
                <w:rFonts w:eastAsiaTheme="minorEastAsia"/>
                <w:snapToGrid w:val="0"/>
                <w:szCs w:val="21"/>
              </w:rPr>
              <w:t>-5</w:t>
            </w:r>
          </w:p>
        </w:tc>
        <w:tc>
          <w:tcPr>
            <w:tcW w:w="1396" w:type="dxa"/>
            <w:gridSpan w:val="2"/>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N15</w:t>
            </w:r>
          </w:p>
        </w:tc>
      </w:tr>
      <w:tr w:rsidR="00311756" w:rsidRPr="00F9522B" w:rsidTr="00311756">
        <w:trPr>
          <w:trHeight w:val="172"/>
          <w:jc w:val="center"/>
        </w:trPr>
        <w:tc>
          <w:tcPr>
            <w:tcW w:w="1329" w:type="dxa"/>
            <w:vMerge w:val="restart"/>
            <w:shd w:val="clear" w:color="auto" w:fill="auto"/>
            <w:vAlign w:val="center"/>
          </w:tcPr>
          <w:p w:rsidR="00311756" w:rsidRPr="00F9522B" w:rsidRDefault="00311756" w:rsidP="003A7922">
            <w:pPr>
              <w:spacing w:line="0" w:lineRule="atLeast"/>
              <w:jc w:val="center"/>
              <w:rPr>
                <w:rFonts w:eastAsiaTheme="minorEastAsia"/>
                <w:szCs w:val="21"/>
              </w:rPr>
            </w:pPr>
            <w:r w:rsidRPr="00F9522B">
              <w:rPr>
                <w:rFonts w:eastAsiaTheme="minorEastAsia"/>
                <w:szCs w:val="21"/>
              </w:rPr>
              <w:t>金星村</w:t>
            </w:r>
          </w:p>
        </w:tc>
        <w:tc>
          <w:tcPr>
            <w:tcW w:w="833" w:type="dxa"/>
            <w:vMerge w:val="restart"/>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126.8638988</w:t>
            </w:r>
          </w:p>
        </w:tc>
        <w:tc>
          <w:tcPr>
            <w:tcW w:w="1002" w:type="dxa"/>
            <w:vMerge w:val="restart"/>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46.320217</w:t>
            </w:r>
          </w:p>
        </w:tc>
        <w:tc>
          <w:tcPr>
            <w:tcW w:w="708"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67"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5"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1" w:type="dxa"/>
            <w:gridSpan w:val="2"/>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排水沟</w:t>
            </w:r>
            <w:r w:rsidRPr="00F9522B">
              <w:rPr>
                <w:rFonts w:eastAsiaTheme="minorEastAsia"/>
                <w:snapToGrid w:val="0"/>
                <w:szCs w:val="21"/>
              </w:rPr>
              <w:t>-2</w:t>
            </w:r>
          </w:p>
        </w:tc>
        <w:tc>
          <w:tcPr>
            <w:tcW w:w="1396" w:type="dxa"/>
            <w:gridSpan w:val="2"/>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N15</w:t>
            </w:r>
          </w:p>
        </w:tc>
      </w:tr>
      <w:tr w:rsidR="00311756" w:rsidRPr="00F9522B" w:rsidTr="00311756">
        <w:trPr>
          <w:trHeight w:val="172"/>
          <w:jc w:val="center"/>
        </w:trPr>
        <w:tc>
          <w:tcPr>
            <w:tcW w:w="1329" w:type="dxa"/>
            <w:vMerge/>
            <w:shd w:val="clear" w:color="auto" w:fill="auto"/>
            <w:vAlign w:val="center"/>
          </w:tcPr>
          <w:p w:rsidR="00311756" w:rsidRPr="00F9522B" w:rsidRDefault="00311756" w:rsidP="003A7922">
            <w:pPr>
              <w:spacing w:line="0" w:lineRule="atLeast"/>
              <w:jc w:val="center"/>
              <w:rPr>
                <w:rFonts w:eastAsiaTheme="minorEastAsia"/>
                <w:szCs w:val="21"/>
              </w:rPr>
            </w:pPr>
          </w:p>
        </w:tc>
        <w:tc>
          <w:tcPr>
            <w:tcW w:w="833"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002"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708"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67"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5"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1" w:type="dxa"/>
            <w:gridSpan w:val="2"/>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涵</w:t>
            </w:r>
            <w:r w:rsidRPr="00F9522B">
              <w:rPr>
                <w:rFonts w:eastAsiaTheme="minorEastAsia"/>
                <w:snapToGrid w:val="0"/>
                <w:szCs w:val="21"/>
              </w:rPr>
              <w:t>-5</w:t>
            </w:r>
          </w:p>
        </w:tc>
        <w:tc>
          <w:tcPr>
            <w:tcW w:w="1396" w:type="dxa"/>
            <w:gridSpan w:val="2"/>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N30</w:t>
            </w:r>
          </w:p>
        </w:tc>
      </w:tr>
      <w:tr w:rsidR="00311756" w:rsidRPr="00F9522B" w:rsidTr="00311756">
        <w:trPr>
          <w:trHeight w:val="172"/>
          <w:jc w:val="center"/>
        </w:trPr>
        <w:tc>
          <w:tcPr>
            <w:tcW w:w="1329" w:type="dxa"/>
            <w:vMerge w:val="restart"/>
            <w:shd w:val="clear" w:color="auto" w:fill="auto"/>
            <w:vAlign w:val="center"/>
          </w:tcPr>
          <w:p w:rsidR="00311756" w:rsidRPr="00F9522B" w:rsidRDefault="00311756" w:rsidP="003A7922">
            <w:pPr>
              <w:spacing w:line="0" w:lineRule="atLeast"/>
              <w:jc w:val="center"/>
              <w:rPr>
                <w:rFonts w:eastAsiaTheme="minorEastAsia"/>
                <w:szCs w:val="21"/>
              </w:rPr>
            </w:pPr>
            <w:r w:rsidRPr="00F9522B">
              <w:rPr>
                <w:rFonts w:eastAsiaTheme="minorEastAsia"/>
                <w:szCs w:val="21"/>
              </w:rPr>
              <w:t>石人村</w:t>
            </w:r>
          </w:p>
        </w:tc>
        <w:tc>
          <w:tcPr>
            <w:tcW w:w="833" w:type="dxa"/>
            <w:vMerge w:val="restart"/>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126.8530413</w:t>
            </w:r>
          </w:p>
        </w:tc>
        <w:tc>
          <w:tcPr>
            <w:tcW w:w="1002" w:type="dxa"/>
            <w:vMerge w:val="restart"/>
            <w:vAlign w:val="center"/>
          </w:tcPr>
          <w:p w:rsidR="00311756" w:rsidRPr="00F9522B" w:rsidRDefault="00311756" w:rsidP="003A7922">
            <w:pPr>
              <w:jc w:val="center"/>
              <w:rPr>
                <w:rFonts w:eastAsiaTheme="minorEastAsia"/>
                <w:szCs w:val="21"/>
              </w:rPr>
            </w:pPr>
            <w:r w:rsidRPr="00F9522B">
              <w:rPr>
                <w:rFonts w:eastAsiaTheme="minorEastAsia"/>
                <w:szCs w:val="21"/>
              </w:rPr>
              <w:t>46.288999</w:t>
            </w:r>
          </w:p>
        </w:tc>
        <w:tc>
          <w:tcPr>
            <w:tcW w:w="708"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67"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5"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1" w:type="dxa"/>
            <w:gridSpan w:val="2"/>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机耕路</w:t>
            </w:r>
            <w:r w:rsidRPr="00F9522B">
              <w:rPr>
                <w:rFonts w:eastAsiaTheme="minorEastAsia"/>
                <w:snapToGrid w:val="0"/>
                <w:szCs w:val="21"/>
              </w:rPr>
              <w:t>-5</w:t>
            </w:r>
          </w:p>
        </w:tc>
        <w:tc>
          <w:tcPr>
            <w:tcW w:w="1396" w:type="dxa"/>
            <w:gridSpan w:val="2"/>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N15</w:t>
            </w:r>
          </w:p>
        </w:tc>
      </w:tr>
      <w:tr w:rsidR="00311756" w:rsidRPr="00F9522B" w:rsidTr="00311756">
        <w:trPr>
          <w:trHeight w:val="172"/>
          <w:jc w:val="center"/>
        </w:trPr>
        <w:tc>
          <w:tcPr>
            <w:tcW w:w="1329" w:type="dxa"/>
            <w:vMerge/>
            <w:shd w:val="clear" w:color="auto" w:fill="auto"/>
            <w:vAlign w:val="center"/>
          </w:tcPr>
          <w:p w:rsidR="00311756" w:rsidRPr="00F9522B" w:rsidRDefault="00311756" w:rsidP="003A7922">
            <w:pPr>
              <w:spacing w:line="0" w:lineRule="atLeast"/>
              <w:jc w:val="center"/>
              <w:rPr>
                <w:rFonts w:eastAsiaTheme="minorEastAsia"/>
                <w:szCs w:val="21"/>
              </w:rPr>
            </w:pPr>
          </w:p>
        </w:tc>
        <w:tc>
          <w:tcPr>
            <w:tcW w:w="833"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002"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708"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67"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5"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1" w:type="dxa"/>
            <w:gridSpan w:val="2"/>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涵</w:t>
            </w:r>
            <w:r w:rsidRPr="00F9522B">
              <w:rPr>
                <w:rFonts w:eastAsiaTheme="minorEastAsia"/>
                <w:snapToGrid w:val="0"/>
                <w:szCs w:val="21"/>
              </w:rPr>
              <w:t>-11</w:t>
            </w:r>
          </w:p>
        </w:tc>
        <w:tc>
          <w:tcPr>
            <w:tcW w:w="1396" w:type="dxa"/>
            <w:gridSpan w:val="2"/>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S10</w:t>
            </w:r>
          </w:p>
        </w:tc>
      </w:tr>
      <w:tr w:rsidR="00311756" w:rsidRPr="00F9522B" w:rsidTr="00311756">
        <w:trPr>
          <w:trHeight w:val="172"/>
          <w:jc w:val="center"/>
        </w:trPr>
        <w:tc>
          <w:tcPr>
            <w:tcW w:w="1329" w:type="dxa"/>
            <w:vMerge/>
            <w:shd w:val="clear" w:color="auto" w:fill="auto"/>
            <w:vAlign w:val="center"/>
          </w:tcPr>
          <w:p w:rsidR="00311756" w:rsidRPr="00F9522B" w:rsidRDefault="00311756" w:rsidP="003A7922">
            <w:pPr>
              <w:spacing w:line="0" w:lineRule="atLeast"/>
              <w:jc w:val="center"/>
              <w:rPr>
                <w:rFonts w:eastAsiaTheme="minorEastAsia"/>
                <w:szCs w:val="21"/>
              </w:rPr>
            </w:pPr>
          </w:p>
        </w:tc>
        <w:tc>
          <w:tcPr>
            <w:tcW w:w="833"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002"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708"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67"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5"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1" w:type="dxa"/>
            <w:gridSpan w:val="2"/>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zCs w:val="21"/>
              </w:rPr>
              <w:t>排水沟</w:t>
            </w:r>
            <w:r w:rsidRPr="00F9522B">
              <w:rPr>
                <w:rFonts w:eastAsiaTheme="minorEastAsia"/>
                <w:szCs w:val="21"/>
              </w:rPr>
              <w:t>-1</w:t>
            </w:r>
          </w:p>
        </w:tc>
        <w:tc>
          <w:tcPr>
            <w:tcW w:w="1396" w:type="dxa"/>
            <w:gridSpan w:val="2"/>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S50</w:t>
            </w:r>
          </w:p>
        </w:tc>
      </w:tr>
      <w:tr w:rsidR="00311756" w:rsidRPr="00F9522B" w:rsidTr="00311756">
        <w:trPr>
          <w:trHeight w:val="740"/>
          <w:jc w:val="center"/>
        </w:trPr>
        <w:tc>
          <w:tcPr>
            <w:tcW w:w="1329" w:type="dxa"/>
            <w:shd w:val="clear" w:color="auto" w:fill="auto"/>
            <w:vAlign w:val="center"/>
          </w:tcPr>
          <w:p w:rsidR="00311756" w:rsidRPr="00F9522B" w:rsidRDefault="00311756" w:rsidP="003A7922">
            <w:pPr>
              <w:spacing w:line="0" w:lineRule="atLeast"/>
              <w:jc w:val="center"/>
              <w:rPr>
                <w:rFonts w:eastAsiaTheme="minorEastAsia"/>
                <w:szCs w:val="21"/>
              </w:rPr>
            </w:pPr>
            <w:r w:rsidRPr="00F9522B">
              <w:rPr>
                <w:rFonts w:eastAsiaTheme="minorEastAsia"/>
                <w:szCs w:val="21"/>
              </w:rPr>
              <w:t>江家</w:t>
            </w:r>
          </w:p>
        </w:tc>
        <w:tc>
          <w:tcPr>
            <w:tcW w:w="833" w:type="dxa"/>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126.8329569</w:t>
            </w:r>
          </w:p>
        </w:tc>
        <w:tc>
          <w:tcPr>
            <w:tcW w:w="1002" w:type="dxa"/>
            <w:vAlign w:val="center"/>
          </w:tcPr>
          <w:p w:rsidR="00311756" w:rsidRPr="00F9522B" w:rsidRDefault="00311756" w:rsidP="003A7922">
            <w:pPr>
              <w:jc w:val="center"/>
              <w:rPr>
                <w:rFonts w:eastAsiaTheme="minorEastAsia"/>
                <w:szCs w:val="21"/>
              </w:rPr>
            </w:pPr>
            <w:r w:rsidRPr="00F9522B">
              <w:rPr>
                <w:rFonts w:eastAsiaTheme="minorEastAsia"/>
                <w:szCs w:val="21"/>
              </w:rPr>
              <w:t>46.310999</w:t>
            </w:r>
          </w:p>
        </w:tc>
        <w:tc>
          <w:tcPr>
            <w:tcW w:w="708"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67"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5"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1" w:type="dxa"/>
            <w:gridSpan w:val="2"/>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生产路</w:t>
            </w:r>
            <w:r w:rsidRPr="00F9522B">
              <w:rPr>
                <w:rFonts w:eastAsiaTheme="minorEastAsia"/>
                <w:snapToGrid w:val="0"/>
                <w:szCs w:val="21"/>
              </w:rPr>
              <w:t>-1</w:t>
            </w:r>
          </w:p>
        </w:tc>
        <w:tc>
          <w:tcPr>
            <w:tcW w:w="1396" w:type="dxa"/>
            <w:gridSpan w:val="2"/>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W10</w:t>
            </w:r>
          </w:p>
        </w:tc>
      </w:tr>
    </w:tbl>
    <w:p w:rsidR="00311756" w:rsidRPr="00F9522B" w:rsidRDefault="00311756"/>
    <w:p w:rsidR="00311756" w:rsidRPr="00F9522B" w:rsidRDefault="00311756" w:rsidP="00311756">
      <w:pPr>
        <w:jc w:val="center"/>
        <w:rPr>
          <w:rFonts w:eastAsiaTheme="minorEastAsia"/>
          <w:b/>
        </w:rPr>
      </w:pPr>
      <w:r w:rsidRPr="00F9522B">
        <w:rPr>
          <w:rFonts w:eastAsiaTheme="minorEastAsia"/>
          <w:b/>
          <w:kern w:val="0"/>
          <w:szCs w:val="21"/>
        </w:rPr>
        <w:lastRenderedPageBreak/>
        <w:t>续表</w:t>
      </w:r>
      <w:r w:rsidRPr="00F9522B">
        <w:rPr>
          <w:rFonts w:eastAsiaTheme="minorEastAsia"/>
          <w:b/>
          <w:kern w:val="0"/>
          <w:szCs w:val="21"/>
        </w:rPr>
        <w:t>2-8-1</w:t>
      </w:r>
      <w:r w:rsidRPr="00F9522B">
        <w:rPr>
          <w:rFonts w:eastAsiaTheme="minorEastAsia"/>
          <w:b/>
          <w:kern w:val="0"/>
          <w:szCs w:val="21"/>
        </w:rPr>
        <w:t>施工期及运营期环境空气及声环境保护目标一览表</w:t>
      </w:r>
    </w:p>
    <w:tbl>
      <w:tblPr>
        <w:tblW w:w="8111" w:type="dxa"/>
        <w:jc w:val="center"/>
        <w:tblBorders>
          <w:top w:val="single" w:sz="12" w:space="0" w:color="auto"/>
          <w:bottom w:val="single" w:sz="12" w:space="0" w:color="auto"/>
          <w:insideH w:val="single" w:sz="4" w:space="0" w:color="auto"/>
          <w:insideV w:val="single" w:sz="4" w:space="0" w:color="auto"/>
        </w:tblBorders>
        <w:tblLayout w:type="fixed"/>
        <w:tblLook w:val="04A0"/>
      </w:tblPr>
      <w:tblGrid>
        <w:gridCol w:w="1330"/>
        <w:gridCol w:w="832"/>
        <w:gridCol w:w="1001"/>
        <w:gridCol w:w="710"/>
        <w:gridCol w:w="570"/>
        <w:gridCol w:w="854"/>
        <w:gridCol w:w="1420"/>
        <w:gridCol w:w="1394"/>
      </w:tblGrid>
      <w:tr w:rsidR="00311756" w:rsidRPr="00F9522B" w:rsidTr="00311756">
        <w:trPr>
          <w:trHeight w:val="375"/>
          <w:jc w:val="center"/>
        </w:trPr>
        <w:tc>
          <w:tcPr>
            <w:tcW w:w="1330" w:type="dxa"/>
            <w:vMerge w:val="restart"/>
            <w:shd w:val="clear" w:color="auto" w:fill="auto"/>
            <w:vAlign w:val="center"/>
          </w:tcPr>
          <w:bookmarkEnd w:id="59"/>
          <w:p w:rsidR="00311756" w:rsidRPr="00F9522B" w:rsidRDefault="00311756" w:rsidP="003A7922">
            <w:pPr>
              <w:spacing w:line="0" w:lineRule="atLeast"/>
              <w:jc w:val="center"/>
              <w:rPr>
                <w:rFonts w:eastAsiaTheme="minorEastAsia"/>
                <w:szCs w:val="21"/>
              </w:rPr>
            </w:pPr>
            <w:r w:rsidRPr="00F9522B">
              <w:rPr>
                <w:rFonts w:eastAsiaTheme="minorEastAsia"/>
                <w:szCs w:val="21"/>
              </w:rPr>
              <w:t>于家村</w:t>
            </w:r>
          </w:p>
        </w:tc>
        <w:tc>
          <w:tcPr>
            <w:tcW w:w="832" w:type="dxa"/>
            <w:vMerge w:val="restart"/>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126.8301245</w:t>
            </w:r>
          </w:p>
        </w:tc>
        <w:tc>
          <w:tcPr>
            <w:tcW w:w="1001" w:type="dxa"/>
            <w:vMerge w:val="restart"/>
            <w:vAlign w:val="center"/>
          </w:tcPr>
          <w:p w:rsidR="00311756" w:rsidRPr="00F9522B" w:rsidRDefault="00311756" w:rsidP="003A7922">
            <w:pPr>
              <w:jc w:val="center"/>
              <w:rPr>
                <w:rFonts w:eastAsiaTheme="minorEastAsia"/>
                <w:szCs w:val="21"/>
              </w:rPr>
            </w:pPr>
            <w:r w:rsidRPr="00F9522B">
              <w:rPr>
                <w:rFonts w:eastAsiaTheme="minorEastAsia"/>
                <w:szCs w:val="21"/>
              </w:rPr>
              <w:t>46.304596</w:t>
            </w:r>
          </w:p>
        </w:tc>
        <w:tc>
          <w:tcPr>
            <w:tcW w:w="710" w:type="dxa"/>
            <w:vMerge w:val="restart"/>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农村人群集中区</w:t>
            </w:r>
          </w:p>
        </w:tc>
        <w:tc>
          <w:tcPr>
            <w:tcW w:w="570" w:type="dxa"/>
            <w:vMerge w:val="restart"/>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人群</w:t>
            </w:r>
          </w:p>
        </w:tc>
        <w:tc>
          <w:tcPr>
            <w:tcW w:w="854" w:type="dxa"/>
            <w:vMerge w:val="restart"/>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环境空气：二类区；声环境：一类区</w:t>
            </w:r>
          </w:p>
        </w:tc>
        <w:tc>
          <w:tcPr>
            <w:tcW w:w="1420" w:type="dxa"/>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生产路</w:t>
            </w:r>
            <w:r w:rsidRPr="00F9522B">
              <w:rPr>
                <w:rFonts w:eastAsiaTheme="minorEastAsia"/>
                <w:snapToGrid w:val="0"/>
                <w:szCs w:val="21"/>
              </w:rPr>
              <w:t>-18</w:t>
            </w:r>
          </w:p>
        </w:tc>
        <w:tc>
          <w:tcPr>
            <w:tcW w:w="1394" w:type="dxa"/>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N40</w:t>
            </w:r>
          </w:p>
        </w:tc>
      </w:tr>
      <w:tr w:rsidR="00311756" w:rsidRPr="00F9522B" w:rsidTr="00311756">
        <w:trPr>
          <w:trHeight w:val="133"/>
          <w:jc w:val="center"/>
        </w:trPr>
        <w:tc>
          <w:tcPr>
            <w:tcW w:w="1330" w:type="dxa"/>
            <w:vMerge/>
            <w:shd w:val="clear" w:color="auto" w:fill="auto"/>
            <w:vAlign w:val="center"/>
          </w:tcPr>
          <w:p w:rsidR="00311756" w:rsidRPr="00F9522B" w:rsidRDefault="00311756" w:rsidP="003A7922">
            <w:pPr>
              <w:spacing w:line="0" w:lineRule="atLeast"/>
              <w:jc w:val="center"/>
              <w:rPr>
                <w:rFonts w:eastAsiaTheme="minorEastAsia"/>
                <w:szCs w:val="21"/>
              </w:rPr>
            </w:pPr>
          </w:p>
        </w:tc>
        <w:tc>
          <w:tcPr>
            <w:tcW w:w="832"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001" w:type="dxa"/>
            <w:vMerge/>
            <w:vAlign w:val="center"/>
          </w:tcPr>
          <w:p w:rsidR="00311756" w:rsidRPr="00F9522B" w:rsidRDefault="00311756" w:rsidP="003A7922">
            <w:pPr>
              <w:jc w:val="center"/>
              <w:rPr>
                <w:rFonts w:eastAsiaTheme="minorEastAsia"/>
                <w:szCs w:val="21"/>
              </w:rPr>
            </w:pPr>
          </w:p>
        </w:tc>
        <w:tc>
          <w:tcPr>
            <w:tcW w:w="710"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70"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4"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0" w:type="dxa"/>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涵</w:t>
            </w:r>
            <w:r w:rsidRPr="00F9522B">
              <w:rPr>
                <w:rFonts w:eastAsiaTheme="minorEastAsia"/>
                <w:snapToGrid w:val="0"/>
                <w:szCs w:val="21"/>
              </w:rPr>
              <w:t>-16</w:t>
            </w:r>
          </w:p>
        </w:tc>
        <w:tc>
          <w:tcPr>
            <w:tcW w:w="1394" w:type="dxa"/>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E100</w:t>
            </w:r>
          </w:p>
        </w:tc>
      </w:tr>
      <w:tr w:rsidR="00311756" w:rsidRPr="00F9522B" w:rsidTr="00311756">
        <w:trPr>
          <w:trHeight w:val="133"/>
          <w:jc w:val="center"/>
        </w:trPr>
        <w:tc>
          <w:tcPr>
            <w:tcW w:w="1330" w:type="dxa"/>
            <w:vMerge/>
            <w:shd w:val="clear" w:color="auto" w:fill="auto"/>
            <w:vAlign w:val="center"/>
          </w:tcPr>
          <w:p w:rsidR="00311756" w:rsidRPr="00F9522B" w:rsidRDefault="00311756" w:rsidP="003A7922">
            <w:pPr>
              <w:spacing w:line="0" w:lineRule="atLeast"/>
              <w:jc w:val="center"/>
              <w:rPr>
                <w:rFonts w:eastAsiaTheme="minorEastAsia"/>
                <w:szCs w:val="21"/>
              </w:rPr>
            </w:pPr>
          </w:p>
        </w:tc>
        <w:tc>
          <w:tcPr>
            <w:tcW w:w="832"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001" w:type="dxa"/>
            <w:vMerge/>
            <w:vAlign w:val="center"/>
          </w:tcPr>
          <w:p w:rsidR="00311756" w:rsidRPr="00F9522B" w:rsidRDefault="00311756" w:rsidP="003A7922">
            <w:pPr>
              <w:jc w:val="center"/>
              <w:rPr>
                <w:rFonts w:eastAsiaTheme="minorEastAsia"/>
                <w:szCs w:val="21"/>
              </w:rPr>
            </w:pPr>
          </w:p>
        </w:tc>
        <w:tc>
          <w:tcPr>
            <w:tcW w:w="710"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70"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4"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0" w:type="dxa"/>
            <w:vAlign w:val="center"/>
          </w:tcPr>
          <w:p w:rsidR="00311756" w:rsidRPr="00F9522B" w:rsidRDefault="00311756" w:rsidP="00311756">
            <w:pPr>
              <w:adjustRightInd w:val="0"/>
              <w:snapToGrid w:val="0"/>
              <w:spacing w:line="0" w:lineRule="atLeast"/>
              <w:jc w:val="center"/>
              <w:rPr>
                <w:rFonts w:eastAsiaTheme="minorEastAsia"/>
                <w:snapToGrid w:val="0"/>
                <w:szCs w:val="21"/>
              </w:rPr>
            </w:pPr>
            <w:r w:rsidRPr="00F9522B">
              <w:rPr>
                <w:rFonts w:eastAsiaTheme="minorEastAsia"/>
                <w:szCs w:val="21"/>
              </w:rPr>
              <w:t>排水沟</w:t>
            </w:r>
            <w:r w:rsidRPr="00F9522B">
              <w:rPr>
                <w:rFonts w:eastAsiaTheme="minorEastAsia"/>
                <w:szCs w:val="21"/>
              </w:rPr>
              <w:t>-1</w:t>
            </w:r>
          </w:p>
        </w:tc>
        <w:tc>
          <w:tcPr>
            <w:tcW w:w="1394" w:type="dxa"/>
            <w:shd w:val="clear" w:color="auto" w:fill="auto"/>
            <w:vAlign w:val="center"/>
          </w:tcPr>
          <w:p w:rsidR="00311756" w:rsidRPr="00F9522B" w:rsidRDefault="00311756" w:rsidP="00311756">
            <w:pPr>
              <w:adjustRightInd w:val="0"/>
              <w:snapToGrid w:val="0"/>
              <w:spacing w:line="0" w:lineRule="atLeast"/>
              <w:jc w:val="center"/>
              <w:rPr>
                <w:rFonts w:eastAsiaTheme="minorEastAsia"/>
                <w:szCs w:val="21"/>
              </w:rPr>
            </w:pPr>
            <w:r w:rsidRPr="00F9522B">
              <w:rPr>
                <w:rFonts w:eastAsiaTheme="minorEastAsia"/>
                <w:szCs w:val="21"/>
              </w:rPr>
              <w:t>N20</w:t>
            </w:r>
          </w:p>
        </w:tc>
      </w:tr>
      <w:tr w:rsidR="00311756" w:rsidRPr="00F9522B" w:rsidTr="00311756">
        <w:trPr>
          <w:trHeight w:val="409"/>
          <w:jc w:val="center"/>
        </w:trPr>
        <w:tc>
          <w:tcPr>
            <w:tcW w:w="1330" w:type="dxa"/>
            <w:shd w:val="clear" w:color="auto" w:fill="auto"/>
            <w:vAlign w:val="center"/>
          </w:tcPr>
          <w:p w:rsidR="00311756" w:rsidRPr="00F9522B" w:rsidRDefault="00311756" w:rsidP="003A7922">
            <w:pPr>
              <w:spacing w:line="0" w:lineRule="atLeast"/>
              <w:jc w:val="center"/>
              <w:rPr>
                <w:rFonts w:eastAsiaTheme="minorEastAsia"/>
                <w:szCs w:val="21"/>
              </w:rPr>
            </w:pPr>
            <w:r w:rsidRPr="00F9522B">
              <w:rPr>
                <w:rFonts w:eastAsiaTheme="minorEastAsia"/>
                <w:szCs w:val="21"/>
              </w:rPr>
              <w:t>后城</w:t>
            </w:r>
          </w:p>
        </w:tc>
        <w:tc>
          <w:tcPr>
            <w:tcW w:w="832" w:type="dxa"/>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126.8159624</w:t>
            </w:r>
          </w:p>
        </w:tc>
        <w:tc>
          <w:tcPr>
            <w:tcW w:w="1001" w:type="dxa"/>
            <w:vAlign w:val="center"/>
          </w:tcPr>
          <w:p w:rsidR="00311756" w:rsidRPr="00F9522B" w:rsidRDefault="00311756" w:rsidP="003A7922">
            <w:pPr>
              <w:jc w:val="center"/>
              <w:rPr>
                <w:rFonts w:eastAsiaTheme="minorEastAsia"/>
                <w:szCs w:val="21"/>
              </w:rPr>
            </w:pPr>
            <w:r w:rsidRPr="00F9522B">
              <w:rPr>
                <w:rFonts w:eastAsiaTheme="minorEastAsia"/>
                <w:szCs w:val="21"/>
              </w:rPr>
              <w:t>46.297421</w:t>
            </w:r>
          </w:p>
        </w:tc>
        <w:tc>
          <w:tcPr>
            <w:tcW w:w="710"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70"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4"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0" w:type="dxa"/>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生产路</w:t>
            </w:r>
            <w:r w:rsidRPr="00F9522B">
              <w:rPr>
                <w:rFonts w:eastAsiaTheme="minorEastAsia"/>
                <w:snapToGrid w:val="0"/>
                <w:szCs w:val="21"/>
              </w:rPr>
              <w:t>-20</w:t>
            </w:r>
          </w:p>
        </w:tc>
        <w:tc>
          <w:tcPr>
            <w:tcW w:w="1394" w:type="dxa"/>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N40</w:t>
            </w:r>
          </w:p>
        </w:tc>
      </w:tr>
      <w:tr w:rsidR="00311756" w:rsidRPr="00F9522B" w:rsidTr="00311756">
        <w:trPr>
          <w:trHeight w:val="231"/>
          <w:jc w:val="center"/>
        </w:trPr>
        <w:tc>
          <w:tcPr>
            <w:tcW w:w="1330" w:type="dxa"/>
            <w:vMerge w:val="restart"/>
            <w:shd w:val="clear" w:color="auto" w:fill="auto"/>
            <w:vAlign w:val="center"/>
          </w:tcPr>
          <w:p w:rsidR="00311756" w:rsidRPr="00F9522B" w:rsidRDefault="00311756" w:rsidP="003A7922">
            <w:pPr>
              <w:spacing w:line="0" w:lineRule="atLeast"/>
              <w:jc w:val="center"/>
              <w:rPr>
                <w:rFonts w:eastAsiaTheme="minorEastAsia"/>
                <w:szCs w:val="21"/>
              </w:rPr>
            </w:pPr>
            <w:r w:rsidRPr="00F9522B">
              <w:rPr>
                <w:rFonts w:eastAsiaTheme="minorEastAsia"/>
                <w:szCs w:val="21"/>
              </w:rPr>
              <w:t>全胜</w:t>
            </w:r>
          </w:p>
        </w:tc>
        <w:tc>
          <w:tcPr>
            <w:tcW w:w="832" w:type="dxa"/>
            <w:vMerge w:val="restart"/>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126.8103834</w:t>
            </w:r>
          </w:p>
        </w:tc>
        <w:tc>
          <w:tcPr>
            <w:tcW w:w="1001" w:type="dxa"/>
            <w:vMerge w:val="restart"/>
            <w:vAlign w:val="center"/>
          </w:tcPr>
          <w:p w:rsidR="00311756" w:rsidRPr="00F9522B" w:rsidRDefault="00311756" w:rsidP="003A7922">
            <w:pPr>
              <w:jc w:val="center"/>
              <w:rPr>
                <w:rFonts w:eastAsiaTheme="minorEastAsia"/>
                <w:szCs w:val="21"/>
              </w:rPr>
            </w:pPr>
            <w:r w:rsidRPr="00F9522B">
              <w:rPr>
                <w:rFonts w:eastAsiaTheme="minorEastAsia"/>
                <w:szCs w:val="21"/>
              </w:rPr>
              <w:t>46.294040</w:t>
            </w:r>
          </w:p>
        </w:tc>
        <w:tc>
          <w:tcPr>
            <w:tcW w:w="710"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70"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4"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0" w:type="dxa"/>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涵</w:t>
            </w:r>
            <w:r w:rsidRPr="00F9522B">
              <w:rPr>
                <w:rFonts w:eastAsiaTheme="minorEastAsia"/>
                <w:snapToGrid w:val="0"/>
                <w:szCs w:val="21"/>
              </w:rPr>
              <w:t>-1</w:t>
            </w:r>
          </w:p>
        </w:tc>
        <w:tc>
          <w:tcPr>
            <w:tcW w:w="1394" w:type="dxa"/>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W20</w:t>
            </w:r>
          </w:p>
        </w:tc>
      </w:tr>
      <w:tr w:rsidR="00311756" w:rsidRPr="00F9522B" w:rsidTr="00311756">
        <w:trPr>
          <w:trHeight w:val="221"/>
          <w:jc w:val="center"/>
        </w:trPr>
        <w:tc>
          <w:tcPr>
            <w:tcW w:w="1330" w:type="dxa"/>
            <w:vMerge/>
            <w:shd w:val="clear" w:color="auto" w:fill="auto"/>
            <w:vAlign w:val="center"/>
          </w:tcPr>
          <w:p w:rsidR="00311756" w:rsidRPr="00F9522B" w:rsidRDefault="00311756" w:rsidP="003A7922">
            <w:pPr>
              <w:spacing w:line="0" w:lineRule="atLeast"/>
              <w:jc w:val="center"/>
              <w:rPr>
                <w:rFonts w:eastAsiaTheme="minorEastAsia"/>
                <w:szCs w:val="21"/>
              </w:rPr>
            </w:pPr>
          </w:p>
        </w:tc>
        <w:tc>
          <w:tcPr>
            <w:tcW w:w="832"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001" w:type="dxa"/>
            <w:vMerge/>
            <w:vAlign w:val="center"/>
          </w:tcPr>
          <w:p w:rsidR="00311756" w:rsidRPr="00F9522B" w:rsidRDefault="00311756" w:rsidP="003A7922">
            <w:pPr>
              <w:jc w:val="center"/>
              <w:rPr>
                <w:rFonts w:eastAsiaTheme="minorEastAsia"/>
                <w:szCs w:val="21"/>
              </w:rPr>
            </w:pPr>
          </w:p>
        </w:tc>
        <w:tc>
          <w:tcPr>
            <w:tcW w:w="710"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70"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4"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0" w:type="dxa"/>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zCs w:val="21"/>
              </w:rPr>
              <w:t>排水沟</w:t>
            </w:r>
            <w:r w:rsidRPr="00F9522B">
              <w:rPr>
                <w:rFonts w:eastAsiaTheme="minorEastAsia"/>
                <w:szCs w:val="21"/>
              </w:rPr>
              <w:t>-2</w:t>
            </w:r>
          </w:p>
        </w:tc>
        <w:tc>
          <w:tcPr>
            <w:tcW w:w="1394" w:type="dxa"/>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S20</w:t>
            </w:r>
          </w:p>
        </w:tc>
      </w:tr>
      <w:tr w:rsidR="00311756" w:rsidRPr="00F9522B" w:rsidTr="00311756">
        <w:trPr>
          <w:trHeight w:val="409"/>
          <w:jc w:val="center"/>
        </w:trPr>
        <w:tc>
          <w:tcPr>
            <w:tcW w:w="1330" w:type="dxa"/>
            <w:vMerge w:val="restart"/>
            <w:shd w:val="clear" w:color="auto" w:fill="auto"/>
            <w:vAlign w:val="center"/>
          </w:tcPr>
          <w:p w:rsidR="00311756" w:rsidRPr="00F9522B" w:rsidRDefault="00311756" w:rsidP="003A7922">
            <w:pPr>
              <w:spacing w:line="0" w:lineRule="atLeast"/>
              <w:jc w:val="center"/>
              <w:rPr>
                <w:rFonts w:eastAsiaTheme="minorEastAsia"/>
                <w:szCs w:val="21"/>
              </w:rPr>
            </w:pPr>
            <w:r w:rsidRPr="00F9522B">
              <w:rPr>
                <w:rFonts w:eastAsiaTheme="minorEastAsia"/>
                <w:szCs w:val="21"/>
              </w:rPr>
              <w:t>李大房</w:t>
            </w:r>
          </w:p>
        </w:tc>
        <w:tc>
          <w:tcPr>
            <w:tcW w:w="832" w:type="dxa"/>
            <w:vMerge w:val="restart"/>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126.8030020</w:t>
            </w:r>
          </w:p>
        </w:tc>
        <w:tc>
          <w:tcPr>
            <w:tcW w:w="1001" w:type="dxa"/>
            <w:vMerge w:val="restart"/>
            <w:vAlign w:val="center"/>
          </w:tcPr>
          <w:p w:rsidR="00311756" w:rsidRPr="00F9522B" w:rsidRDefault="00311756" w:rsidP="003A7922">
            <w:pPr>
              <w:jc w:val="center"/>
              <w:rPr>
                <w:rFonts w:eastAsiaTheme="minorEastAsia"/>
                <w:szCs w:val="21"/>
              </w:rPr>
            </w:pPr>
            <w:r w:rsidRPr="00F9522B">
              <w:rPr>
                <w:rFonts w:eastAsiaTheme="minorEastAsia"/>
                <w:szCs w:val="21"/>
              </w:rPr>
              <w:t>46.294930</w:t>
            </w:r>
          </w:p>
        </w:tc>
        <w:tc>
          <w:tcPr>
            <w:tcW w:w="710"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70"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4"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0" w:type="dxa"/>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涵</w:t>
            </w:r>
            <w:r w:rsidRPr="00F9522B">
              <w:rPr>
                <w:rFonts w:eastAsiaTheme="minorEastAsia"/>
                <w:snapToGrid w:val="0"/>
                <w:szCs w:val="21"/>
              </w:rPr>
              <w:t>-18</w:t>
            </w:r>
          </w:p>
        </w:tc>
        <w:tc>
          <w:tcPr>
            <w:tcW w:w="1394" w:type="dxa"/>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W20</w:t>
            </w:r>
          </w:p>
        </w:tc>
      </w:tr>
      <w:tr w:rsidR="00311756" w:rsidRPr="00F9522B" w:rsidTr="00311756">
        <w:trPr>
          <w:trHeight w:val="409"/>
          <w:jc w:val="center"/>
        </w:trPr>
        <w:tc>
          <w:tcPr>
            <w:tcW w:w="1330" w:type="dxa"/>
            <w:vMerge/>
            <w:shd w:val="clear" w:color="auto" w:fill="auto"/>
            <w:vAlign w:val="center"/>
          </w:tcPr>
          <w:p w:rsidR="00311756" w:rsidRPr="00F9522B" w:rsidRDefault="00311756" w:rsidP="003A7922">
            <w:pPr>
              <w:spacing w:line="0" w:lineRule="atLeast"/>
              <w:jc w:val="center"/>
              <w:rPr>
                <w:rFonts w:eastAsiaTheme="minorEastAsia"/>
                <w:szCs w:val="21"/>
              </w:rPr>
            </w:pPr>
          </w:p>
        </w:tc>
        <w:tc>
          <w:tcPr>
            <w:tcW w:w="832"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001" w:type="dxa"/>
            <w:vMerge/>
            <w:vAlign w:val="center"/>
          </w:tcPr>
          <w:p w:rsidR="00311756" w:rsidRPr="00F9522B" w:rsidRDefault="00311756" w:rsidP="003A7922">
            <w:pPr>
              <w:jc w:val="center"/>
              <w:rPr>
                <w:rFonts w:eastAsiaTheme="minorEastAsia"/>
                <w:szCs w:val="21"/>
              </w:rPr>
            </w:pPr>
          </w:p>
        </w:tc>
        <w:tc>
          <w:tcPr>
            <w:tcW w:w="710"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70"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4"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0" w:type="dxa"/>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生产路</w:t>
            </w:r>
            <w:r w:rsidRPr="00F9522B">
              <w:rPr>
                <w:rFonts w:eastAsiaTheme="minorEastAsia"/>
                <w:snapToGrid w:val="0"/>
                <w:szCs w:val="21"/>
              </w:rPr>
              <w:t>-8</w:t>
            </w:r>
          </w:p>
        </w:tc>
        <w:tc>
          <w:tcPr>
            <w:tcW w:w="1394" w:type="dxa"/>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N40</w:t>
            </w:r>
          </w:p>
        </w:tc>
      </w:tr>
      <w:tr w:rsidR="00311756" w:rsidRPr="00F9522B" w:rsidTr="00311756">
        <w:trPr>
          <w:trHeight w:val="409"/>
          <w:jc w:val="center"/>
        </w:trPr>
        <w:tc>
          <w:tcPr>
            <w:tcW w:w="1330" w:type="dxa"/>
            <w:vMerge w:val="restart"/>
            <w:shd w:val="clear" w:color="auto" w:fill="auto"/>
            <w:vAlign w:val="center"/>
          </w:tcPr>
          <w:p w:rsidR="00311756" w:rsidRPr="00F9522B" w:rsidRDefault="00311756" w:rsidP="003A7922">
            <w:pPr>
              <w:spacing w:line="0" w:lineRule="atLeast"/>
              <w:jc w:val="center"/>
              <w:rPr>
                <w:rFonts w:eastAsiaTheme="minorEastAsia"/>
                <w:szCs w:val="21"/>
              </w:rPr>
            </w:pPr>
            <w:r w:rsidRPr="00F9522B">
              <w:rPr>
                <w:rFonts w:eastAsiaTheme="minorEastAsia"/>
                <w:szCs w:val="21"/>
              </w:rPr>
              <w:t>王家窝棚</w:t>
            </w:r>
          </w:p>
        </w:tc>
        <w:tc>
          <w:tcPr>
            <w:tcW w:w="832" w:type="dxa"/>
            <w:vMerge w:val="restart"/>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126.8081947</w:t>
            </w:r>
          </w:p>
        </w:tc>
        <w:tc>
          <w:tcPr>
            <w:tcW w:w="1001" w:type="dxa"/>
            <w:vMerge w:val="restart"/>
            <w:vAlign w:val="center"/>
          </w:tcPr>
          <w:p w:rsidR="00311756" w:rsidRPr="00F9522B" w:rsidRDefault="00311756" w:rsidP="003A7922">
            <w:pPr>
              <w:jc w:val="center"/>
              <w:rPr>
                <w:rFonts w:eastAsiaTheme="minorEastAsia"/>
                <w:szCs w:val="21"/>
              </w:rPr>
            </w:pPr>
            <w:r w:rsidRPr="00F9522B">
              <w:rPr>
                <w:rFonts w:eastAsiaTheme="minorEastAsia"/>
                <w:szCs w:val="21"/>
              </w:rPr>
              <w:t>46.282089</w:t>
            </w:r>
          </w:p>
        </w:tc>
        <w:tc>
          <w:tcPr>
            <w:tcW w:w="710"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70"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4"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0" w:type="dxa"/>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涵</w:t>
            </w:r>
            <w:r w:rsidRPr="00F9522B">
              <w:rPr>
                <w:rFonts w:eastAsiaTheme="minorEastAsia"/>
                <w:snapToGrid w:val="0"/>
                <w:szCs w:val="21"/>
              </w:rPr>
              <w:t>-7</w:t>
            </w:r>
          </w:p>
        </w:tc>
        <w:tc>
          <w:tcPr>
            <w:tcW w:w="1394" w:type="dxa"/>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W20</w:t>
            </w:r>
          </w:p>
        </w:tc>
      </w:tr>
      <w:tr w:rsidR="00311756" w:rsidRPr="00F9522B" w:rsidTr="00311756">
        <w:trPr>
          <w:trHeight w:val="409"/>
          <w:jc w:val="center"/>
        </w:trPr>
        <w:tc>
          <w:tcPr>
            <w:tcW w:w="1330" w:type="dxa"/>
            <w:vMerge/>
            <w:shd w:val="clear" w:color="auto" w:fill="auto"/>
            <w:vAlign w:val="center"/>
          </w:tcPr>
          <w:p w:rsidR="00311756" w:rsidRPr="00F9522B" w:rsidRDefault="00311756" w:rsidP="003A7922">
            <w:pPr>
              <w:spacing w:line="0" w:lineRule="atLeast"/>
              <w:jc w:val="center"/>
              <w:rPr>
                <w:rFonts w:eastAsiaTheme="minorEastAsia"/>
                <w:szCs w:val="21"/>
              </w:rPr>
            </w:pPr>
          </w:p>
        </w:tc>
        <w:tc>
          <w:tcPr>
            <w:tcW w:w="832"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001" w:type="dxa"/>
            <w:vMerge/>
            <w:vAlign w:val="center"/>
          </w:tcPr>
          <w:p w:rsidR="00311756" w:rsidRPr="00F9522B" w:rsidRDefault="00311756" w:rsidP="003A7922">
            <w:pPr>
              <w:jc w:val="center"/>
              <w:rPr>
                <w:rFonts w:eastAsiaTheme="minorEastAsia"/>
                <w:szCs w:val="21"/>
              </w:rPr>
            </w:pPr>
          </w:p>
        </w:tc>
        <w:tc>
          <w:tcPr>
            <w:tcW w:w="710"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70"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4"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0" w:type="dxa"/>
            <w:vAlign w:val="center"/>
          </w:tcPr>
          <w:p w:rsidR="00311756" w:rsidRPr="00F9522B" w:rsidRDefault="00311756" w:rsidP="00311756">
            <w:pPr>
              <w:adjustRightInd w:val="0"/>
              <w:snapToGrid w:val="0"/>
              <w:spacing w:line="0" w:lineRule="atLeast"/>
              <w:jc w:val="center"/>
              <w:rPr>
                <w:rFonts w:eastAsiaTheme="minorEastAsia"/>
                <w:snapToGrid w:val="0"/>
                <w:szCs w:val="21"/>
              </w:rPr>
            </w:pPr>
            <w:r w:rsidRPr="00F9522B">
              <w:rPr>
                <w:rFonts w:eastAsiaTheme="minorEastAsia"/>
                <w:szCs w:val="21"/>
              </w:rPr>
              <w:t>排水沟</w:t>
            </w:r>
            <w:r w:rsidRPr="00F9522B">
              <w:rPr>
                <w:rFonts w:eastAsiaTheme="minorEastAsia"/>
                <w:szCs w:val="21"/>
              </w:rPr>
              <w:t>-1</w:t>
            </w:r>
          </w:p>
        </w:tc>
        <w:tc>
          <w:tcPr>
            <w:tcW w:w="1394" w:type="dxa"/>
            <w:shd w:val="clear" w:color="auto" w:fill="auto"/>
            <w:vAlign w:val="center"/>
          </w:tcPr>
          <w:p w:rsidR="00311756" w:rsidRPr="00F9522B" w:rsidRDefault="00311756" w:rsidP="00311756">
            <w:pPr>
              <w:adjustRightInd w:val="0"/>
              <w:snapToGrid w:val="0"/>
              <w:spacing w:line="0" w:lineRule="atLeast"/>
              <w:jc w:val="center"/>
              <w:rPr>
                <w:rFonts w:eastAsiaTheme="minorEastAsia"/>
                <w:szCs w:val="21"/>
              </w:rPr>
            </w:pPr>
            <w:r w:rsidRPr="00F9522B">
              <w:rPr>
                <w:rFonts w:eastAsiaTheme="minorEastAsia"/>
                <w:szCs w:val="21"/>
              </w:rPr>
              <w:t>W20</w:t>
            </w:r>
          </w:p>
        </w:tc>
      </w:tr>
      <w:tr w:rsidR="00311756" w:rsidRPr="00F9522B" w:rsidTr="00311756">
        <w:trPr>
          <w:trHeight w:val="409"/>
          <w:jc w:val="center"/>
        </w:trPr>
        <w:tc>
          <w:tcPr>
            <w:tcW w:w="1330" w:type="dxa"/>
            <w:vMerge w:val="restart"/>
            <w:shd w:val="clear" w:color="auto" w:fill="auto"/>
            <w:vAlign w:val="center"/>
          </w:tcPr>
          <w:p w:rsidR="00311756" w:rsidRPr="00F9522B" w:rsidRDefault="00311756" w:rsidP="003A7922">
            <w:pPr>
              <w:spacing w:line="0" w:lineRule="atLeast"/>
              <w:jc w:val="center"/>
              <w:rPr>
                <w:rFonts w:eastAsiaTheme="minorEastAsia"/>
                <w:szCs w:val="21"/>
              </w:rPr>
            </w:pPr>
            <w:r w:rsidRPr="00F9522B">
              <w:rPr>
                <w:rFonts w:eastAsiaTheme="minorEastAsia"/>
                <w:szCs w:val="21"/>
              </w:rPr>
              <w:t>古城村</w:t>
            </w:r>
          </w:p>
        </w:tc>
        <w:tc>
          <w:tcPr>
            <w:tcW w:w="832" w:type="dxa"/>
            <w:vMerge w:val="restart"/>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126.8244167</w:t>
            </w:r>
          </w:p>
        </w:tc>
        <w:tc>
          <w:tcPr>
            <w:tcW w:w="1001" w:type="dxa"/>
            <w:vMerge w:val="restart"/>
            <w:vAlign w:val="center"/>
          </w:tcPr>
          <w:p w:rsidR="00311756" w:rsidRPr="00F9522B" w:rsidRDefault="00311756" w:rsidP="003A7922">
            <w:pPr>
              <w:jc w:val="center"/>
              <w:rPr>
                <w:rFonts w:eastAsiaTheme="minorEastAsia"/>
                <w:szCs w:val="21"/>
              </w:rPr>
            </w:pPr>
            <w:r w:rsidRPr="00F9522B">
              <w:rPr>
                <w:rFonts w:eastAsiaTheme="minorEastAsia"/>
                <w:szCs w:val="21"/>
              </w:rPr>
              <w:t>46.281614</w:t>
            </w:r>
          </w:p>
        </w:tc>
        <w:tc>
          <w:tcPr>
            <w:tcW w:w="710"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70"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4"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0" w:type="dxa"/>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涵</w:t>
            </w:r>
            <w:r w:rsidRPr="00F9522B">
              <w:rPr>
                <w:rFonts w:eastAsiaTheme="minorEastAsia"/>
                <w:snapToGrid w:val="0"/>
                <w:szCs w:val="21"/>
              </w:rPr>
              <w:t>-4</w:t>
            </w:r>
          </w:p>
        </w:tc>
        <w:tc>
          <w:tcPr>
            <w:tcW w:w="1394" w:type="dxa"/>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S20</w:t>
            </w:r>
          </w:p>
        </w:tc>
      </w:tr>
      <w:tr w:rsidR="00311756" w:rsidRPr="00F9522B" w:rsidTr="00311756">
        <w:trPr>
          <w:trHeight w:val="409"/>
          <w:jc w:val="center"/>
        </w:trPr>
        <w:tc>
          <w:tcPr>
            <w:tcW w:w="1330" w:type="dxa"/>
            <w:vMerge/>
            <w:shd w:val="clear" w:color="auto" w:fill="auto"/>
            <w:vAlign w:val="center"/>
          </w:tcPr>
          <w:p w:rsidR="00311756" w:rsidRPr="00F9522B" w:rsidRDefault="00311756" w:rsidP="003A7922">
            <w:pPr>
              <w:spacing w:line="0" w:lineRule="atLeast"/>
              <w:jc w:val="center"/>
              <w:rPr>
                <w:rFonts w:eastAsiaTheme="minorEastAsia"/>
                <w:szCs w:val="21"/>
              </w:rPr>
            </w:pPr>
          </w:p>
        </w:tc>
        <w:tc>
          <w:tcPr>
            <w:tcW w:w="832"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001" w:type="dxa"/>
            <w:vMerge/>
            <w:vAlign w:val="center"/>
          </w:tcPr>
          <w:p w:rsidR="00311756" w:rsidRPr="00F9522B" w:rsidRDefault="00311756" w:rsidP="003A7922">
            <w:pPr>
              <w:jc w:val="center"/>
              <w:rPr>
                <w:rFonts w:eastAsiaTheme="minorEastAsia"/>
                <w:szCs w:val="21"/>
              </w:rPr>
            </w:pPr>
          </w:p>
        </w:tc>
        <w:tc>
          <w:tcPr>
            <w:tcW w:w="710"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70"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4"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0" w:type="dxa"/>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生产路</w:t>
            </w:r>
            <w:r w:rsidRPr="00F9522B">
              <w:rPr>
                <w:rFonts w:eastAsiaTheme="minorEastAsia"/>
                <w:snapToGrid w:val="0"/>
                <w:szCs w:val="21"/>
              </w:rPr>
              <w:t>-5</w:t>
            </w:r>
          </w:p>
        </w:tc>
        <w:tc>
          <w:tcPr>
            <w:tcW w:w="1394" w:type="dxa"/>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N30</w:t>
            </w:r>
          </w:p>
        </w:tc>
      </w:tr>
      <w:tr w:rsidR="00311756" w:rsidRPr="00F9522B" w:rsidTr="00311756">
        <w:trPr>
          <w:trHeight w:val="409"/>
          <w:jc w:val="center"/>
        </w:trPr>
        <w:tc>
          <w:tcPr>
            <w:tcW w:w="1330" w:type="dxa"/>
            <w:vMerge/>
            <w:shd w:val="clear" w:color="auto" w:fill="auto"/>
            <w:vAlign w:val="center"/>
          </w:tcPr>
          <w:p w:rsidR="00311756" w:rsidRPr="00F9522B" w:rsidRDefault="00311756" w:rsidP="003A7922">
            <w:pPr>
              <w:spacing w:line="0" w:lineRule="atLeast"/>
              <w:jc w:val="center"/>
              <w:rPr>
                <w:rFonts w:eastAsiaTheme="minorEastAsia"/>
                <w:szCs w:val="21"/>
              </w:rPr>
            </w:pPr>
          </w:p>
        </w:tc>
        <w:tc>
          <w:tcPr>
            <w:tcW w:w="832"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001" w:type="dxa"/>
            <w:vMerge/>
            <w:vAlign w:val="center"/>
          </w:tcPr>
          <w:p w:rsidR="00311756" w:rsidRPr="00F9522B" w:rsidRDefault="00311756" w:rsidP="003A7922">
            <w:pPr>
              <w:jc w:val="center"/>
              <w:rPr>
                <w:rFonts w:eastAsiaTheme="minorEastAsia"/>
                <w:szCs w:val="21"/>
              </w:rPr>
            </w:pPr>
          </w:p>
        </w:tc>
        <w:tc>
          <w:tcPr>
            <w:tcW w:w="710"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70"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4"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0" w:type="dxa"/>
            <w:vAlign w:val="center"/>
          </w:tcPr>
          <w:p w:rsidR="00311756" w:rsidRPr="00F9522B" w:rsidRDefault="00311756" w:rsidP="00311756">
            <w:pPr>
              <w:adjustRightInd w:val="0"/>
              <w:snapToGrid w:val="0"/>
              <w:spacing w:line="0" w:lineRule="atLeast"/>
              <w:jc w:val="center"/>
              <w:rPr>
                <w:rFonts w:eastAsiaTheme="minorEastAsia"/>
                <w:snapToGrid w:val="0"/>
                <w:szCs w:val="21"/>
              </w:rPr>
            </w:pPr>
            <w:r w:rsidRPr="00F9522B">
              <w:rPr>
                <w:rFonts w:eastAsiaTheme="minorEastAsia"/>
                <w:szCs w:val="21"/>
              </w:rPr>
              <w:t>排水沟</w:t>
            </w:r>
            <w:r w:rsidRPr="00F9522B">
              <w:rPr>
                <w:rFonts w:eastAsiaTheme="minorEastAsia"/>
                <w:szCs w:val="21"/>
              </w:rPr>
              <w:t>-1</w:t>
            </w:r>
          </w:p>
        </w:tc>
        <w:tc>
          <w:tcPr>
            <w:tcW w:w="1394" w:type="dxa"/>
            <w:shd w:val="clear" w:color="auto" w:fill="auto"/>
            <w:vAlign w:val="center"/>
          </w:tcPr>
          <w:p w:rsidR="00311756" w:rsidRPr="00F9522B" w:rsidRDefault="00311756" w:rsidP="00311756">
            <w:pPr>
              <w:adjustRightInd w:val="0"/>
              <w:snapToGrid w:val="0"/>
              <w:spacing w:line="0" w:lineRule="atLeast"/>
              <w:jc w:val="center"/>
              <w:rPr>
                <w:rFonts w:eastAsiaTheme="minorEastAsia"/>
                <w:szCs w:val="21"/>
              </w:rPr>
            </w:pPr>
            <w:r w:rsidRPr="00F9522B">
              <w:rPr>
                <w:rFonts w:eastAsiaTheme="minorEastAsia"/>
                <w:szCs w:val="21"/>
              </w:rPr>
              <w:t>W50</w:t>
            </w:r>
          </w:p>
        </w:tc>
      </w:tr>
      <w:tr w:rsidR="00311756" w:rsidRPr="00F9522B" w:rsidTr="00311756">
        <w:trPr>
          <w:trHeight w:val="409"/>
          <w:jc w:val="center"/>
        </w:trPr>
        <w:tc>
          <w:tcPr>
            <w:tcW w:w="1330" w:type="dxa"/>
            <w:vMerge w:val="restart"/>
            <w:shd w:val="clear" w:color="auto" w:fill="auto"/>
            <w:vAlign w:val="center"/>
          </w:tcPr>
          <w:p w:rsidR="00311756" w:rsidRPr="00F9522B" w:rsidRDefault="00311756" w:rsidP="003A7922">
            <w:pPr>
              <w:spacing w:line="0" w:lineRule="atLeast"/>
              <w:jc w:val="center"/>
              <w:rPr>
                <w:rFonts w:eastAsiaTheme="minorEastAsia"/>
                <w:szCs w:val="21"/>
              </w:rPr>
            </w:pPr>
            <w:r w:rsidRPr="00F9522B">
              <w:rPr>
                <w:rFonts w:eastAsiaTheme="minorEastAsia"/>
                <w:szCs w:val="21"/>
              </w:rPr>
              <w:t>关家</w:t>
            </w:r>
          </w:p>
        </w:tc>
        <w:tc>
          <w:tcPr>
            <w:tcW w:w="832" w:type="dxa"/>
            <w:vMerge w:val="restart"/>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126.8180653</w:t>
            </w:r>
          </w:p>
        </w:tc>
        <w:tc>
          <w:tcPr>
            <w:tcW w:w="1001" w:type="dxa"/>
            <w:vMerge w:val="restart"/>
            <w:vAlign w:val="center"/>
          </w:tcPr>
          <w:p w:rsidR="00311756" w:rsidRPr="00F9522B" w:rsidRDefault="00311756" w:rsidP="003A7922">
            <w:pPr>
              <w:jc w:val="center"/>
              <w:rPr>
                <w:rFonts w:eastAsiaTheme="minorEastAsia"/>
                <w:szCs w:val="21"/>
              </w:rPr>
            </w:pPr>
            <w:r w:rsidRPr="00F9522B">
              <w:rPr>
                <w:rFonts w:eastAsiaTheme="minorEastAsia"/>
                <w:szCs w:val="21"/>
              </w:rPr>
              <w:t>46.267851</w:t>
            </w:r>
          </w:p>
        </w:tc>
        <w:tc>
          <w:tcPr>
            <w:tcW w:w="710"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70"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4"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0" w:type="dxa"/>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生产路</w:t>
            </w:r>
            <w:r w:rsidRPr="00F9522B">
              <w:rPr>
                <w:rFonts w:eastAsiaTheme="minorEastAsia"/>
                <w:snapToGrid w:val="0"/>
                <w:szCs w:val="21"/>
              </w:rPr>
              <w:t>-8</w:t>
            </w:r>
          </w:p>
        </w:tc>
        <w:tc>
          <w:tcPr>
            <w:tcW w:w="1394" w:type="dxa"/>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S25</w:t>
            </w:r>
          </w:p>
        </w:tc>
      </w:tr>
      <w:tr w:rsidR="00311756" w:rsidRPr="00F9522B" w:rsidTr="00311756">
        <w:trPr>
          <w:trHeight w:val="409"/>
          <w:jc w:val="center"/>
        </w:trPr>
        <w:tc>
          <w:tcPr>
            <w:tcW w:w="1330" w:type="dxa"/>
            <w:vMerge/>
            <w:shd w:val="clear" w:color="auto" w:fill="auto"/>
            <w:vAlign w:val="center"/>
          </w:tcPr>
          <w:p w:rsidR="00311756" w:rsidRPr="00F9522B" w:rsidRDefault="00311756" w:rsidP="003A7922">
            <w:pPr>
              <w:spacing w:line="0" w:lineRule="atLeast"/>
              <w:jc w:val="center"/>
              <w:rPr>
                <w:rFonts w:eastAsiaTheme="minorEastAsia"/>
                <w:szCs w:val="21"/>
              </w:rPr>
            </w:pPr>
          </w:p>
        </w:tc>
        <w:tc>
          <w:tcPr>
            <w:tcW w:w="832"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001" w:type="dxa"/>
            <w:vMerge/>
            <w:vAlign w:val="center"/>
          </w:tcPr>
          <w:p w:rsidR="00311756" w:rsidRPr="00F9522B" w:rsidRDefault="00311756" w:rsidP="003A7922">
            <w:pPr>
              <w:jc w:val="center"/>
              <w:rPr>
                <w:rFonts w:eastAsiaTheme="minorEastAsia"/>
                <w:szCs w:val="21"/>
              </w:rPr>
            </w:pPr>
          </w:p>
        </w:tc>
        <w:tc>
          <w:tcPr>
            <w:tcW w:w="710"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70"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4"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0" w:type="dxa"/>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机耕路</w:t>
            </w:r>
            <w:r w:rsidRPr="00F9522B">
              <w:rPr>
                <w:rFonts w:eastAsiaTheme="minorEastAsia"/>
                <w:snapToGrid w:val="0"/>
                <w:szCs w:val="21"/>
              </w:rPr>
              <w:t>-4</w:t>
            </w:r>
          </w:p>
        </w:tc>
        <w:tc>
          <w:tcPr>
            <w:tcW w:w="1394" w:type="dxa"/>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W30</w:t>
            </w:r>
          </w:p>
        </w:tc>
      </w:tr>
      <w:tr w:rsidR="00311756" w:rsidRPr="00F9522B" w:rsidTr="00311756">
        <w:trPr>
          <w:trHeight w:val="409"/>
          <w:jc w:val="center"/>
        </w:trPr>
        <w:tc>
          <w:tcPr>
            <w:tcW w:w="1330" w:type="dxa"/>
            <w:vMerge w:val="restart"/>
            <w:shd w:val="clear" w:color="auto" w:fill="auto"/>
            <w:vAlign w:val="center"/>
          </w:tcPr>
          <w:p w:rsidR="00311756" w:rsidRPr="00F9522B" w:rsidRDefault="00311756" w:rsidP="003A7922">
            <w:pPr>
              <w:spacing w:line="0" w:lineRule="atLeast"/>
              <w:jc w:val="center"/>
              <w:rPr>
                <w:rFonts w:eastAsiaTheme="minorEastAsia"/>
                <w:szCs w:val="21"/>
              </w:rPr>
            </w:pPr>
            <w:r w:rsidRPr="00F9522B">
              <w:rPr>
                <w:rFonts w:eastAsiaTheme="minorEastAsia"/>
                <w:szCs w:val="21"/>
              </w:rPr>
              <w:t>王佩村</w:t>
            </w:r>
          </w:p>
        </w:tc>
        <w:tc>
          <w:tcPr>
            <w:tcW w:w="832" w:type="dxa"/>
            <w:vMerge w:val="restart"/>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126.7778965</w:t>
            </w:r>
          </w:p>
        </w:tc>
        <w:tc>
          <w:tcPr>
            <w:tcW w:w="1001" w:type="dxa"/>
            <w:vMerge w:val="restart"/>
            <w:vAlign w:val="center"/>
          </w:tcPr>
          <w:p w:rsidR="00311756" w:rsidRPr="00F9522B" w:rsidRDefault="00311756" w:rsidP="003A7922">
            <w:pPr>
              <w:jc w:val="center"/>
              <w:rPr>
                <w:rFonts w:eastAsiaTheme="minorEastAsia"/>
                <w:szCs w:val="21"/>
              </w:rPr>
            </w:pPr>
            <w:r w:rsidRPr="00F9522B">
              <w:rPr>
                <w:rFonts w:eastAsiaTheme="minorEastAsia"/>
                <w:szCs w:val="21"/>
              </w:rPr>
              <w:t>46.245121</w:t>
            </w:r>
          </w:p>
        </w:tc>
        <w:tc>
          <w:tcPr>
            <w:tcW w:w="710"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70"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4"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0" w:type="dxa"/>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涵</w:t>
            </w:r>
            <w:r w:rsidRPr="00F9522B">
              <w:rPr>
                <w:rFonts w:eastAsiaTheme="minorEastAsia"/>
                <w:snapToGrid w:val="0"/>
                <w:szCs w:val="21"/>
              </w:rPr>
              <w:t>-5</w:t>
            </w:r>
          </w:p>
        </w:tc>
        <w:tc>
          <w:tcPr>
            <w:tcW w:w="1394" w:type="dxa"/>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NW25</w:t>
            </w:r>
          </w:p>
        </w:tc>
      </w:tr>
      <w:tr w:rsidR="00311756" w:rsidRPr="00F9522B" w:rsidTr="00311756">
        <w:trPr>
          <w:trHeight w:val="409"/>
          <w:jc w:val="center"/>
        </w:trPr>
        <w:tc>
          <w:tcPr>
            <w:tcW w:w="1330" w:type="dxa"/>
            <w:vMerge/>
            <w:shd w:val="clear" w:color="auto" w:fill="auto"/>
            <w:vAlign w:val="center"/>
          </w:tcPr>
          <w:p w:rsidR="00311756" w:rsidRPr="00F9522B" w:rsidRDefault="00311756" w:rsidP="003A7922">
            <w:pPr>
              <w:spacing w:line="0" w:lineRule="atLeast"/>
              <w:jc w:val="center"/>
              <w:rPr>
                <w:rFonts w:eastAsiaTheme="minorEastAsia"/>
                <w:szCs w:val="21"/>
              </w:rPr>
            </w:pPr>
          </w:p>
        </w:tc>
        <w:tc>
          <w:tcPr>
            <w:tcW w:w="832"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001" w:type="dxa"/>
            <w:vMerge/>
            <w:vAlign w:val="center"/>
          </w:tcPr>
          <w:p w:rsidR="00311756" w:rsidRPr="00F9522B" w:rsidRDefault="00311756" w:rsidP="003A7922">
            <w:pPr>
              <w:jc w:val="center"/>
              <w:rPr>
                <w:rFonts w:eastAsiaTheme="minorEastAsia"/>
                <w:szCs w:val="21"/>
              </w:rPr>
            </w:pPr>
          </w:p>
        </w:tc>
        <w:tc>
          <w:tcPr>
            <w:tcW w:w="710"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70"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4"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0" w:type="dxa"/>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napToGrid w:val="0"/>
                <w:szCs w:val="21"/>
              </w:rPr>
              <w:t>生产路</w:t>
            </w:r>
            <w:r w:rsidRPr="00F9522B">
              <w:rPr>
                <w:rFonts w:eastAsiaTheme="minorEastAsia"/>
                <w:snapToGrid w:val="0"/>
                <w:szCs w:val="21"/>
              </w:rPr>
              <w:t>-8</w:t>
            </w:r>
          </w:p>
        </w:tc>
        <w:tc>
          <w:tcPr>
            <w:tcW w:w="1394" w:type="dxa"/>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S40</w:t>
            </w:r>
          </w:p>
        </w:tc>
      </w:tr>
      <w:tr w:rsidR="00311756" w:rsidRPr="00F9522B" w:rsidTr="00311756">
        <w:trPr>
          <w:trHeight w:val="409"/>
          <w:jc w:val="center"/>
        </w:trPr>
        <w:tc>
          <w:tcPr>
            <w:tcW w:w="1330" w:type="dxa"/>
            <w:vMerge/>
            <w:shd w:val="clear" w:color="auto" w:fill="auto"/>
            <w:vAlign w:val="center"/>
          </w:tcPr>
          <w:p w:rsidR="00311756" w:rsidRPr="00F9522B" w:rsidRDefault="00311756" w:rsidP="003A7922">
            <w:pPr>
              <w:spacing w:line="0" w:lineRule="atLeast"/>
              <w:jc w:val="center"/>
              <w:rPr>
                <w:rFonts w:eastAsiaTheme="minorEastAsia"/>
                <w:szCs w:val="21"/>
              </w:rPr>
            </w:pPr>
          </w:p>
        </w:tc>
        <w:tc>
          <w:tcPr>
            <w:tcW w:w="832"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001" w:type="dxa"/>
            <w:vMerge/>
            <w:vAlign w:val="center"/>
          </w:tcPr>
          <w:p w:rsidR="00311756" w:rsidRPr="00F9522B" w:rsidRDefault="00311756" w:rsidP="003A7922">
            <w:pPr>
              <w:jc w:val="center"/>
              <w:rPr>
                <w:rFonts w:eastAsiaTheme="minorEastAsia"/>
                <w:szCs w:val="21"/>
              </w:rPr>
            </w:pPr>
          </w:p>
        </w:tc>
        <w:tc>
          <w:tcPr>
            <w:tcW w:w="710"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570"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854" w:type="dxa"/>
            <w:vMerge/>
            <w:vAlign w:val="center"/>
          </w:tcPr>
          <w:p w:rsidR="00311756" w:rsidRPr="00F9522B" w:rsidRDefault="00311756" w:rsidP="003A7922">
            <w:pPr>
              <w:adjustRightInd w:val="0"/>
              <w:snapToGrid w:val="0"/>
              <w:spacing w:line="0" w:lineRule="atLeast"/>
              <w:jc w:val="center"/>
              <w:rPr>
                <w:rFonts w:eastAsiaTheme="minorEastAsia"/>
                <w:snapToGrid w:val="0"/>
                <w:szCs w:val="21"/>
              </w:rPr>
            </w:pPr>
          </w:p>
        </w:tc>
        <w:tc>
          <w:tcPr>
            <w:tcW w:w="1420" w:type="dxa"/>
            <w:vAlign w:val="center"/>
          </w:tcPr>
          <w:p w:rsidR="00311756" w:rsidRPr="00F9522B" w:rsidRDefault="00311756" w:rsidP="003A7922">
            <w:pPr>
              <w:adjustRightInd w:val="0"/>
              <w:snapToGrid w:val="0"/>
              <w:spacing w:line="0" w:lineRule="atLeast"/>
              <w:jc w:val="center"/>
              <w:rPr>
                <w:rFonts w:eastAsiaTheme="minorEastAsia"/>
                <w:snapToGrid w:val="0"/>
                <w:szCs w:val="21"/>
              </w:rPr>
            </w:pPr>
            <w:r w:rsidRPr="00F9522B">
              <w:rPr>
                <w:rFonts w:eastAsiaTheme="minorEastAsia"/>
                <w:szCs w:val="21"/>
              </w:rPr>
              <w:t>排水沟</w:t>
            </w:r>
            <w:r w:rsidRPr="00F9522B">
              <w:rPr>
                <w:rFonts w:eastAsiaTheme="minorEastAsia"/>
                <w:szCs w:val="21"/>
              </w:rPr>
              <w:t>-1</w:t>
            </w:r>
          </w:p>
        </w:tc>
        <w:tc>
          <w:tcPr>
            <w:tcW w:w="1394" w:type="dxa"/>
            <w:shd w:val="clear" w:color="auto" w:fill="auto"/>
            <w:vAlign w:val="center"/>
          </w:tcPr>
          <w:p w:rsidR="00311756" w:rsidRPr="00F9522B" w:rsidRDefault="00311756" w:rsidP="003A7922">
            <w:pPr>
              <w:adjustRightInd w:val="0"/>
              <w:snapToGrid w:val="0"/>
              <w:spacing w:line="0" w:lineRule="atLeast"/>
              <w:jc w:val="center"/>
              <w:rPr>
                <w:rFonts w:eastAsiaTheme="minorEastAsia"/>
                <w:szCs w:val="21"/>
              </w:rPr>
            </w:pPr>
            <w:r w:rsidRPr="00F9522B">
              <w:rPr>
                <w:rFonts w:eastAsiaTheme="minorEastAsia"/>
                <w:szCs w:val="21"/>
              </w:rPr>
              <w:t>E15</w:t>
            </w:r>
          </w:p>
        </w:tc>
      </w:tr>
    </w:tbl>
    <w:p w:rsidR="00311756" w:rsidRPr="00F9522B" w:rsidRDefault="00311756" w:rsidP="00311756">
      <w:pPr>
        <w:contextualSpacing/>
        <w:jc w:val="center"/>
        <w:rPr>
          <w:rFonts w:eastAsiaTheme="minorEastAsia"/>
          <w:b/>
          <w:kern w:val="0"/>
          <w:szCs w:val="21"/>
        </w:rPr>
      </w:pPr>
      <w:bookmarkStart w:id="60" w:name="_Hlk10134549"/>
    </w:p>
    <w:p w:rsidR="00311756" w:rsidRPr="00F9522B" w:rsidRDefault="00311756" w:rsidP="00311756">
      <w:pPr>
        <w:contextualSpacing/>
        <w:jc w:val="center"/>
        <w:rPr>
          <w:rFonts w:eastAsiaTheme="minorEastAsia"/>
          <w:b/>
          <w:kern w:val="0"/>
          <w:szCs w:val="21"/>
        </w:rPr>
      </w:pPr>
    </w:p>
    <w:p w:rsidR="00311756" w:rsidRPr="00F9522B" w:rsidRDefault="00311756" w:rsidP="00311756">
      <w:pPr>
        <w:contextualSpacing/>
        <w:jc w:val="center"/>
        <w:rPr>
          <w:rFonts w:eastAsiaTheme="minorEastAsia"/>
          <w:b/>
          <w:kern w:val="0"/>
          <w:szCs w:val="21"/>
        </w:rPr>
      </w:pPr>
    </w:p>
    <w:p w:rsidR="00311756" w:rsidRPr="00F9522B" w:rsidRDefault="00311756" w:rsidP="00311756">
      <w:pPr>
        <w:contextualSpacing/>
        <w:jc w:val="center"/>
        <w:rPr>
          <w:rFonts w:eastAsiaTheme="minorEastAsia"/>
          <w:b/>
          <w:kern w:val="0"/>
          <w:szCs w:val="21"/>
        </w:rPr>
      </w:pPr>
    </w:p>
    <w:p w:rsidR="00311756" w:rsidRPr="00F9522B" w:rsidRDefault="00311756" w:rsidP="00311756">
      <w:pPr>
        <w:contextualSpacing/>
        <w:jc w:val="center"/>
        <w:rPr>
          <w:rFonts w:eastAsiaTheme="minorEastAsia"/>
          <w:b/>
          <w:kern w:val="0"/>
          <w:szCs w:val="21"/>
        </w:rPr>
      </w:pPr>
    </w:p>
    <w:p w:rsidR="00311756" w:rsidRPr="00F9522B" w:rsidRDefault="00311756" w:rsidP="00311756">
      <w:pPr>
        <w:contextualSpacing/>
        <w:jc w:val="center"/>
        <w:rPr>
          <w:rFonts w:eastAsiaTheme="minorEastAsia"/>
          <w:b/>
          <w:kern w:val="0"/>
          <w:szCs w:val="21"/>
        </w:rPr>
      </w:pPr>
    </w:p>
    <w:p w:rsidR="00311756" w:rsidRPr="00F9522B" w:rsidRDefault="00311756" w:rsidP="00311756">
      <w:pPr>
        <w:contextualSpacing/>
        <w:jc w:val="center"/>
        <w:rPr>
          <w:rFonts w:eastAsiaTheme="minorEastAsia"/>
          <w:b/>
          <w:kern w:val="0"/>
          <w:szCs w:val="21"/>
        </w:rPr>
      </w:pPr>
    </w:p>
    <w:p w:rsidR="00311756" w:rsidRPr="00F9522B" w:rsidRDefault="00311756" w:rsidP="00311756">
      <w:pPr>
        <w:contextualSpacing/>
        <w:jc w:val="center"/>
        <w:rPr>
          <w:rFonts w:eastAsiaTheme="minorEastAsia"/>
          <w:b/>
          <w:kern w:val="0"/>
          <w:szCs w:val="21"/>
        </w:rPr>
      </w:pPr>
    </w:p>
    <w:p w:rsidR="00311756" w:rsidRPr="00F9522B" w:rsidRDefault="00311756" w:rsidP="00311756">
      <w:pPr>
        <w:contextualSpacing/>
        <w:jc w:val="center"/>
        <w:rPr>
          <w:rFonts w:eastAsiaTheme="minorEastAsia"/>
          <w:b/>
          <w:kern w:val="0"/>
          <w:szCs w:val="21"/>
        </w:rPr>
      </w:pPr>
    </w:p>
    <w:p w:rsidR="00311756" w:rsidRPr="00F9522B" w:rsidRDefault="00311756" w:rsidP="00311756">
      <w:pPr>
        <w:contextualSpacing/>
        <w:jc w:val="center"/>
        <w:rPr>
          <w:rFonts w:eastAsiaTheme="minorEastAsia"/>
          <w:b/>
          <w:kern w:val="0"/>
          <w:szCs w:val="21"/>
        </w:rPr>
      </w:pPr>
    </w:p>
    <w:p w:rsidR="00311756" w:rsidRPr="00F9522B" w:rsidRDefault="00311756" w:rsidP="00311756">
      <w:pPr>
        <w:contextualSpacing/>
        <w:jc w:val="center"/>
        <w:rPr>
          <w:rFonts w:eastAsiaTheme="minorEastAsia"/>
          <w:b/>
          <w:kern w:val="0"/>
          <w:szCs w:val="21"/>
        </w:rPr>
      </w:pPr>
    </w:p>
    <w:p w:rsidR="00311756" w:rsidRPr="00F9522B" w:rsidRDefault="00311756" w:rsidP="00311756">
      <w:pPr>
        <w:contextualSpacing/>
        <w:jc w:val="center"/>
        <w:rPr>
          <w:rFonts w:eastAsiaTheme="minorEastAsia"/>
          <w:b/>
          <w:kern w:val="0"/>
          <w:szCs w:val="21"/>
        </w:rPr>
      </w:pPr>
    </w:p>
    <w:p w:rsidR="00311756" w:rsidRPr="00F9522B" w:rsidRDefault="00311756" w:rsidP="00311756">
      <w:pPr>
        <w:contextualSpacing/>
        <w:jc w:val="center"/>
        <w:rPr>
          <w:rFonts w:eastAsiaTheme="minorEastAsia"/>
          <w:b/>
          <w:kern w:val="0"/>
          <w:szCs w:val="21"/>
        </w:rPr>
      </w:pPr>
    </w:p>
    <w:p w:rsidR="00311756" w:rsidRPr="00F9522B" w:rsidRDefault="00311756" w:rsidP="00311756">
      <w:pPr>
        <w:contextualSpacing/>
        <w:jc w:val="center"/>
        <w:rPr>
          <w:rFonts w:eastAsiaTheme="minorEastAsia"/>
          <w:b/>
          <w:kern w:val="0"/>
          <w:szCs w:val="21"/>
        </w:rPr>
      </w:pPr>
    </w:p>
    <w:p w:rsidR="00311756" w:rsidRPr="00F9522B" w:rsidRDefault="00311756" w:rsidP="00311756">
      <w:pPr>
        <w:contextualSpacing/>
        <w:jc w:val="center"/>
        <w:rPr>
          <w:rFonts w:eastAsiaTheme="minorEastAsia"/>
          <w:b/>
          <w:kern w:val="0"/>
          <w:szCs w:val="21"/>
        </w:rPr>
      </w:pPr>
    </w:p>
    <w:p w:rsidR="00311756" w:rsidRPr="00F9522B" w:rsidRDefault="00311756" w:rsidP="00311756">
      <w:pPr>
        <w:contextualSpacing/>
        <w:jc w:val="center"/>
        <w:rPr>
          <w:rFonts w:eastAsiaTheme="minorEastAsia"/>
          <w:b/>
          <w:kern w:val="0"/>
          <w:szCs w:val="21"/>
        </w:rPr>
      </w:pPr>
    </w:p>
    <w:p w:rsidR="00311756" w:rsidRPr="00F9522B" w:rsidRDefault="00311756" w:rsidP="00311756">
      <w:pPr>
        <w:contextualSpacing/>
        <w:jc w:val="center"/>
        <w:rPr>
          <w:rFonts w:eastAsiaTheme="minorEastAsia"/>
          <w:b/>
          <w:kern w:val="0"/>
          <w:szCs w:val="21"/>
        </w:rPr>
      </w:pPr>
    </w:p>
    <w:p w:rsidR="00311756" w:rsidRPr="00F9522B" w:rsidRDefault="00311756" w:rsidP="00311756">
      <w:pPr>
        <w:contextualSpacing/>
        <w:jc w:val="center"/>
        <w:rPr>
          <w:rFonts w:eastAsiaTheme="minorEastAsia"/>
          <w:b/>
          <w:kern w:val="0"/>
          <w:szCs w:val="21"/>
        </w:rPr>
      </w:pPr>
    </w:p>
    <w:p w:rsidR="00311756" w:rsidRPr="00F9522B" w:rsidRDefault="00311756" w:rsidP="00311756">
      <w:pPr>
        <w:contextualSpacing/>
        <w:jc w:val="center"/>
        <w:rPr>
          <w:rFonts w:eastAsiaTheme="minorEastAsia"/>
          <w:b/>
          <w:kern w:val="0"/>
          <w:szCs w:val="21"/>
        </w:rPr>
      </w:pPr>
    </w:p>
    <w:p w:rsidR="00311756" w:rsidRPr="00F9522B" w:rsidRDefault="00311756" w:rsidP="00311756">
      <w:pPr>
        <w:contextualSpacing/>
        <w:jc w:val="center"/>
        <w:rPr>
          <w:rFonts w:eastAsiaTheme="minorEastAsia"/>
          <w:b/>
          <w:kern w:val="0"/>
          <w:szCs w:val="21"/>
        </w:rPr>
      </w:pPr>
    </w:p>
    <w:p w:rsidR="00311756" w:rsidRPr="00F9522B" w:rsidRDefault="00311756" w:rsidP="00311756">
      <w:pPr>
        <w:contextualSpacing/>
        <w:jc w:val="center"/>
        <w:rPr>
          <w:rFonts w:eastAsiaTheme="minorEastAsia"/>
          <w:b/>
          <w:color w:val="FF0000"/>
          <w:kern w:val="0"/>
          <w:szCs w:val="21"/>
        </w:rPr>
      </w:pPr>
      <w:r w:rsidRPr="00F9522B">
        <w:rPr>
          <w:rFonts w:eastAsiaTheme="minorEastAsia"/>
          <w:b/>
          <w:color w:val="FF0000"/>
          <w:kern w:val="0"/>
          <w:szCs w:val="21"/>
        </w:rPr>
        <w:lastRenderedPageBreak/>
        <w:t>表</w:t>
      </w:r>
      <w:r w:rsidRPr="00F9522B">
        <w:rPr>
          <w:rFonts w:eastAsiaTheme="minorEastAsia"/>
          <w:b/>
          <w:color w:val="FF0000"/>
          <w:kern w:val="0"/>
          <w:szCs w:val="21"/>
        </w:rPr>
        <w:t>2-8-2</w:t>
      </w:r>
      <w:r w:rsidRPr="00F9522B">
        <w:rPr>
          <w:rFonts w:eastAsiaTheme="minorEastAsia"/>
          <w:b/>
          <w:color w:val="FF0000"/>
          <w:kern w:val="0"/>
          <w:szCs w:val="21"/>
        </w:rPr>
        <w:t>重点施工工区周边保护目标分布情况一览表</w:t>
      </w:r>
    </w:p>
    <w:tbl>
      <w:tblPr>
        <w:tblW w:w="8111" w:type="dxa"/>
        <w:jc w:val="center"/>
        <w:tblBorders>
          <w:top w:val="single" w:sz="12" w:space="0" w:color="auto"/>
          <w:bottom w:val="single" w:sz="12" w:space="0" w:color="auto"/>
          <w:insideH w:val="single" w:sz="4" w:space="0" w:color="auto"/>
          <w:insideV w:val="single" w:sz="4" w:space="0" w:color="auto"/>
        </w:tblBorders>
        <w:tblLayout w:type="fixed"/>
        <w:tblLook w:val="04A0"/>
      </w:tblPr>
      <w:tblGrid>
        <w:gridCol w:w="1325"/>
        <w:gridCol w:w="835"/>
        <w:gridCol w:w="1006"/>
        <w:gridCol w:w="708"/>
        <w:gridCol w:w="567"/>
        <w:gridCol w:w="851"/>
        <w:gridCol w:w="1416"/>
        <w:gridCol w:w="1373"/>
        <w:gridCol w:w="30"/>
      </w:tblGrid>
      <w:tr w:rsidR="00311756" w:rsidRPr="00F9522B" w:rsidTr="00311756">
        <w:trPr>
          <w:gridAfter w:val="1"/>
          <w:wAfter w:w="30" w:type="dxa"/>
          <w:trHeight w:val="270"/>
          <w:jc w:val="center"/>
        </w:trPr>
        <w:tc>
          <w:tcPr>
            <w:tcW w:w="1325" w:type="dxa"/>
            <w:vMerge w:val="restart"/>
            <w:shd w:val="clear" w:color="auto" w:fill="auto"/>
            <w:vAlign w:val="center"/>
          </w:tcPr>
          <w:p w:rsidR="00311756" w:rsidRPr="00F9522B" w:rsidRDefault="0031175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名称</w:t>
            </w:r>
          </w:p>
        </w:tc>
        <w:tc>
          <w:tcPr>
            <w:tcW w:w="1841" w:type="dxa"/>
            <w:gridSpan w:val="2"/>
            <w:vAlign w:val="center"/>
          </w:tcPr>
          <w:p w:rsidR="00311756" w:rsidRPr="00F9522B" w:rsidRDefault="0031175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坐标（</w:t>
            </w:r>
            <w:r w:rsidRPr="00F9522B">
              <w:rPr>
                <w:rFonts w:eastAsiaTheme="minorEastAsia"/>
                <w:snapToGrid w:val="0"/>
                <w:color w:val="FF0000"/>
                <w:szCs w:val="21"/>
              </w:rPr>
              <w:t>°</w:t>
            </w:r>
            <w:r w:rsidRPr="00F9522B">
              <w:rPr>
                <w:rFonts w:eastAsiaTheme="minorEastAsia"/>
                <w:snapToGrid w:val="0"/>
                <w:color w:val="FF0000"/>
                <w:szCs w:val="21"/>
              </w:rPr>
              <w:t>）</w:t>
            </w:r>
          </w:p>
        </w:tc>
        <w:tc>
          <w:tcPr>
            <w:tcW w:w="708" w:type="dxa"/>
            <w:vMerge w:val="restart"/>
            <w:vAlign w:val="center"/>
          </w:tcPr>
          <w:p w:rsidR="00311756" w:rsidRPr="00F9522B" w:rsidRDefault="0031175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保护对象</w:t>
            </w:r>
          </w:p>
        </w:tc>
        <w:tc>
          <w:tcPr>
            <w:tcW w:w="567" w:type="dxa"/>
            <w:vMerge w:val="restart"/>
            <w:vAlign w:val="center"/>
          </w:tcPr>
          <w:p w:rsidR="00311756" w:rsidRPr="00F9522B" w:rsidRDefault="0031175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保护</w:t>
            </w:r>
          </w:p>
          <w:p w:rsidR="00311756" w:rsidRPr="00F9522B" w:rsidRDefault="0031175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内容</w:t>
            </w:r>
          </w:p>
        </w:tc>
        <w:tc>
          <w:tcPr>
            <w:tcW w:w="851" w:type="dxa"/>
            <w:vMerge w:val="restart"/>
            <w:vAlign w:val="center"/>
          </w:tcPr>
          <w:p w:rsidR="00311756" w:rsidRPr="00F9522B" w:rsidRDefault="0031175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环境功能区</w:t>
            </w:r>
          </w:p>
        </w:tc>
        <w:tc>
          <w:tcPr>
            <w:tcW w:w="1416" w:type="dxa"/>
            <w:vMerge w:val="restart"/>
            <w:vAlign w:val="center"/>
          </w:tcPr>
          <w:p w:rsidR="00311756" w:rsidRPr="00F9522B" w:rsidRDefault="0031175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工程</w:t>
            </w:r>
          </w:p>
        </w:tc>
        <w:tc>
          <w:tcPr>
            <w:tcW w:w="1373" w:type="dxa"/>
            <w:vMerge w:val="restart"/>
            <w:shd w:val="clear" w:color="auto" w:fill="auto"/>
            <w:vAlign w:val="center"/>
          </w:tcPr>
          <w:p w:rsidR="00311756" w:rsidRPr="00F9522B" w:rsidRDefault="0031175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相对工程方位及最近距离</w:t>
            </w:r>
            <w:r w:rsidRPr="00F9522B">
              <w:rPr>
                <w:rFonts w:eastAsiaTheme="minorEastAsia"/>
                <w:snapToGrid w:val="0"/>
                <w:color w:val="FF0000"/>
                <w:szCs w:val="21"/>
              </w:rPr>
              <w:t>m</w:t>
            </w:r>
          </w:p>
        </w:tc>
      </w:tr>
      <w:tr w:rsidR="00311756" w:rsidRPr="00F9522B" w:rsidTr="00311756">
        <w:trPr>
          <w:gridAfter w:val="1"/>
          <w:wAfter w:w="30" w:type="dxa"/>
          <w:trHeight w:val="270"/>
          <w:jc w:val="center"/>
        </w:trPr>
        <w:tc>
          <w:tcPr>
            <w:tcW w:w="1325" w:type="dxa"/>
            <w:vMerge/>
            <w:shd w:val="clear" w:color="auto" w:fill="auto"/>
            <w:vAlign w:val="center"/>
          </w:tcPr>
          <w:p w:rsidR="00311756" w:rsidRPr="00F9522B" w:rsidRDefault="00311756" w:rsidP="00311756">
            <w:pPr>
              <w:adjustRightInd w:val="0"/>
              <w:snapToGrid w:val="0"/>
              <w:spacing w:line="0" w:lineRule="atLeast"/>
              <w:jc w:val="center"/>
              <w:rPr>
                <w:rFonts w:eastAsiaTheme="minorEastAsia"/>
                <w:snapToGrid w:val="0"/>
                <w:color w:val="FF0000"/>
                <w:szCs w:val="21"/>
              </w:rPr>
            </w:pPr>
          </w:p>
        </w:tc>
        <w:tc>
          <w:tcPr>
            <w:tcW w:w="835" w:type="dxa"/>
            <w:vAlign w:val="center"/>
          </w:tcPr>
          <w:p w:rsidR="00311756" w:rsidRPr="00F9522B" w:rsidRDefault="00311756" w:rsidP="00311756">
            <w:pPr>
              <w:adjustRightInd w:val="0"/>
              <w:snapToGrid w:val="0"/>
              <w:spacing w:line="0" w:lineRule="atLeast"/>
              <w:jc w:val="center"/>
              <w:rPr>
                <w:rFonts w:eastAsiaTheme="minorEastAsia"/>
                <w:snapToGrid w:val="0"/>
                <w:color w:val="FF0000"/>
                <w:kern w:val="0"/>
                <w:szCs w:val="21"/>
              </w:rPr>
            </w:pPr>
            <w:r w:rsidRPr="00F9522B">
              <w:rPr>
                <w:rFonts w:eastAsiaTheme="minorEastAsia"/>
                <w:snapToGrid w:val="0"/>
                <w:color w:val="FF0000"/>
                <w:kern w:val="0"/>
                <w:szCs w:val="21"/>
              </w:rPr>
              <w:t>东经</w:t>
            </w:r>
          </w:p>
        </w:tc>
        <w:tc>
          <w:tcPr>
            <w:tcW w:w="1006" w:type="dxa"/>
            <w:vAlign w:val="center"/>
          </w:tcPr>
          <w:p w:rsidR="00311756" w:rsidRPr="00F9522B" w:rsidRDefault="00311756" w:rsidP="00311756">
            <w:pPr>
              <w:adjustRightInd w:val="0"/>
              <w:snapToGrid w:val="0"/>
              <w:spacing w:line="0" w:lineRule="atLeast"/>
              <w:jc w:val="center"/>
              <w:rPr>
                <w:rFonts w:eastAsiaTheme="minorEastAsia"/>
                <w:snapToGrid w:val="0"/>
                <w:color w:val="FF0000"/>
                <w:kern w:val="0"/>
                <w:szCs w:val="21"/>
              </w:rPr>
            </w:pPr>
            <w:r w:rsidRPr="00F9522B">
              <w:rPr>
                <w:rFonts w:eastAsiaTheme="minorEastAsia"/>
                <w:snapToGrid w:val="0"/>
                <w:color w:val="FF0000"/>
                <w:kern w:val="0"/>
                <w:szCs w:val="21"/>
              </w:rPr>
              <w:t>北纬</w:t>
            </w:r>
          </w:p>
        </w:tc>
        <w:tc>
          <w:tcPr>
            <w:tcW w:w="708" w:type="dxa"/>
            <w:vMerge/>
            <w:vAlign w:val="center"/>
          </w:tcPr>
          <w:p w:rsidR="00311756" w:rsidRPr="00F9522B" w:rsidRDefault="00311756" w:rsidP="00311756">
            <w:pPr>
              <w:adjustRightInd w:val="0"/>
              <w:snapToGrid w:val="0"/>
              <w:spacing w:line="0" w:lineRule="atLeast"/>
              <w:jc w:val="center"/>
              <w:rPr>
                <w:rFonts w:eastAsiaTheme="minorEastAsia"/>
                <w:snapToGrid w:val="0"/>
                <w:color w:val="FF0000"/>
                <w:szCs w:val="21"/>
              </w:rPr>
            </w:pPr>
          </w:p>
        </w:tc>
        <w:tc>
          <w:tcPr>
            <w:tcW w:w="567" w:type="dxa"/>
            <w:vMerge/>
            <w:vAlign w:val="center"/>
          </w:tcPr>
          <w:p w:rsidR="00311756" w:rsidRPr="00F9522B" w:rsidRDefault="00311756" w:rsidP="00311756">
            <w:pPr>
              <w:adjustRightInd w:val="0"/>
              <w:snapToGrid w:val="0"/>
              <w:spacing w:line="0" w:lineRule="atLeast"/>
              <w:jc w:val="center"/>
              <w:rPr>
                <w:rFonts w:eastAsiaTheme="minorEastAsia"/>
                <w:snapToGrid w:val="0"/>
                <w:color w:val="FF0000"/>
                <w:szCs w:val="21"/>
              </w:rPr>
            </w:pPr>
          </w:p>
        </w:tc>
        <w:tc>
          <w:tcPr>
            <w:tcW w:w="851" w:type="dxa"/>
            <w:vMerge/>
            <w:vAlign w:val="center"/>
          </w:tcPr>
          <w:p w:rsidR="00311756" w:rsidRPr="00F9522B" w:rsidRDefault="00311756" w:rsidP="00311756">
            <w:pPr>
              <w:adjustRightInd w:val="0"/>
              <w:snapToGrid w:val="0"/>
              <w:spacing w:line="0" w:lineRule="atLeast"/>
              <w:jc w:val="center"/>
              <w:rPr>
                <w:rFonts w:eastAsiaTheme="minorEastAsia"/>
                <w:snapToGrid w:val="0"/>
                <w:color w:val="FF0000"/>
                <w:szCs w:val="21"/>
              </w:rPr>
            </w:pPr>
          </w:p>
        </w:tc>
        <w:tc>
          <w:tcPr>
            <w:tcW w:w="1416" w:type="dxa"/>
            <w:vMerge/>
            <w:vAlign w:val="center"/>
          </w:tcPr>
          <w:p w:rsidR="00311756" w:rsidRPr="00F9522B" w:rsidRDefault="00311756" w:rsidP="00311756">
            <w:pPr>
              <w:adjustRightInd w:val="0"/>
              <w:snapToGrid w:val="0"/>
              <w:spacing w:line="0" w:lineRule="atLeast"/>
              <w:jc w:val="center"/>
              <w:rPr>
                <w:rFonts w:eastAsiaTheme="minorEastAsia"/>
                <w:snapToGrid w:val="0"/>
                <w:color w:val="FF0000"/>
                <w:szCs w:val="21"/>
              </w:rPr>
            </w:pPr>
          </w:p>
        </w:tc>
        <w:tc>
          <w:tcPr>
            <w:tcW w:w="1373" w:type="dxa"/>
            <w:vMerge/>
            <w:shd w:val="clear" w:color="auto" w:fill="auto"/>
            <w:vAlign w:val="center"/>
          </w:tcPr>
          <w:p w:rsidR="00311756" w:rsidRPr="00F9522B" w:rsidRDefault="00311756" w:rsidP="00311756">
            <w:pPr>
              <w:adjustRightInd w:val="0"/>
              <w:snapToGrid w:val="0"/>
              <w:spacing w:line="0" w:lineRule="atLeast"/>
              <w:jc w:val="center"/>
              <w:rPr>
                <w:rFonts w:eastAsiaTheme="minorEastAsia"/>
                <w:snapToGrid w:val="0"/>
                <w:color w:val="FF0000"/>
                <w:szCs w:val="21"/>
              </w:rPr>
            </w:pPr>
          </w:p>
        </w:tc>
      </w:tr>
      <w:tr w:rsidR="009C6B86" w:rsidRPr="00F9522B" w:rsidTr="00C66364">
        <w:trPr>
          <w:gridAfter w:val="1"/>
          <w:wAfter w:w="30" w:type="dxa"/>
          <w:trHeight w:val="393"/>
          <w:jc w:val="center"/>
        </w:trPr>
        <w:tc>
          <w:tcPr>
            <w:tcW w:w="1325" w:type="dxa"/>
            <w:shd w:val="clear" w:color="auto" w:fill="auto"/>
            <w:vAlign w:val="center"/>
          </w:tcPr>
          <w:p w:rsidR="009C6B86" w:rsidRPr="00F9522B" w:rsidRDefault="009C6B86" w:rsidP="00311756">
            <w:pPr>
              <w:spacing w:line="0" w:lineRule="atLeast"/>
              <w:jc w:val="center"/>
              <w:rPr>
                <w:rFonts w:eastAsiaTheme="minorEastAsia"/>
                <w:color w:val="FF0000"/>
                <w:szCs w:val="21"/>
              </w:rPr>
            </w:pPr>
            <w:r w:rsidRPr="00F9522B">
              <w:rPr>
                <w:rFonts w:eastAsiaTheme="minorEastAsia"/>
                <w:color w:val="FF0000"/>
                <w:szCs w:val="21"/>
              </w:rPr>
              <w:t>南城李</w:t>
            </w:r>
          </w:p>
        </w:tc>
        <w:tc>
          <w:tcPr>
            <w:tcW w:w="835"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126.9544931</w:t>
            </w:r>
          </w:p>
        </w:tc>
        <w:tc>
          <w:tcPr>
            <w:tcW w:w="1006"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46.0818368</w:t>
            </w:r>
          </w:p>
        </w:tc>
        <w:tc>
          <w:tcPr>
            <w:tcW w:w="708" w:type="dxa"/>
            <w:vMerge w:val="restart"/>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农村人群集中区</w:t>
            </w:r>
          </w:p>
        </w:tc>
        <w:tc>
          <w:tcPr>
            <w:tcW w:w="567" w:type="dxa"/>
            <w:vMerge w:val="restart"/>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人群</w:t>
            </w:r>
          </w:p>
        </w:tc>
        <w:tc>
          <w:tcPr>
            <w:tcW w:w="851" w:type="dxa"/>
            <w:vMerge w:val="restart"/>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环境空气：二类区；声环境：一类区</w:t>
            </w:r>
          </w:p>
        </w:tc>
        <w:tc>
          <w:tcPr>
            <w:tcW w:w="1416"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排水沟</w:t>
            </w:r>
            <w:r w:rsidRPr="00F9522B">
              <w:rPr>
                <w:rFonts w:eastAsiaTheme="minorEastAsia"/>
                <w:snapToGrid w:val="0"/>
                <w:color w:val="FF0000"/>
                <w:szCs w:val="21"/>
              </w:rPr>
              <w:t>-1</w:t>
            </w:r>
          </w:p>
        </w:tc>
        <w:tc>
          <w:tcPr>
            <w:tcW w:w="1373" w:type="dxa"/>
            <w:shd w:val="clear" w:color="auto" w:fill="auto"/>
            <w:vAlign w:val="center"/>
          </w:tcPr>
          <w:p w:rsidR="009C6B86" w:rsidRPr="00F9522B" w:rsidRDefault="009C6B86" w:rsidP="00311756">
            <w:pPr>
              <w:adjustRightInd w:val="0"/>
              <w:snapToGrid w:val="0"/>
              <w:spacing w:line="0" w:lineRule="atLeast"/>
              <w:jc w:val="center"/>
              <w:rPr>
                <w:rFonts w:eastAsiaTheme="minorEastAsia"/>
                <w:color w:val="FF0000"/>
                <w:szCs w:val="21"/>
              </w:rPr>
            </w:pPr>
            <w:r w:rsidRPr="00F9522B">
              <w:rPr>
                <w:rFonts w:eastAsiaTheme="minorEastAsia"/>
                <w:color w:val="FF0000"/>
                <w:szCs w:val="21"/>
              </w:rPr>
              <w:t>N15</w:t>
            </w:r>
          </w:p>
        </w:tc>
      </w:tr>
      <w:tr w:rsidR="009C6B86" w:rsidRPr="00F9522B" w:rsidTr="00311756">
        <w:trPr>
          <w:gridAfter w:val="1"/>
          <w:wAfter w:w="30" w:type="dxa"/>
          <w:trHeight w:val="385"/>
          <w:jc w:val="center"/>
        </w:trPr>
        <w:tc>
          <w:tcPr>
            <w:tcW w:w="1325" w:type="dxa"/>
            <w:shd w:val="clear" w:color="auto" w:fill="auto"/>
            <w:vAlign w:val="center"/>
          </w:tcPr>
          <w:p w:rsidR="009C6B86" w:rsidRPr="00F9522B" w:rsidRDefault="009C6B86" w:rsidP="00311756">
            <w:pPr>
              <w:spacing w:line="0" w:lineRule="atLeast"/>
              <w:jc w:val="center"/>
              <w:rPr>
                <w:rFonts w:eastAsiaTheme="minorEastAsia"/>
                <w:color w:val="FF0000"/>
                <w:szCs w:val="21"/>
              </w:rPr>
            </w:pPr>
            <w:r w:rsidRPr="00F9522B">
              <w:rPr>
                <w:rFonts w:eastAsiaTheme="minorEastAsia"/>
                <w:color w:val="FF0000"/>
                <w:szCs w:val="21"/>
              </w:rPr>
              <w:t>方台镇</w:t>
            </w:r>
          </w:p>
        </w:tc>
        <w:tc>
          <w:tcPr>
            <w:tcW w:w="835"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color w:val="FF0000"/>
                <w:szCs w:val="21"/>
              </w:rPr>
              <w:t>126.9386681</w:t>
            </w:r>
          </w:p>
        </w:tc>
        <w:tc>
          <w:tcPr>
            <w:tcW w:w="1006"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46.089962</w:t>
            </w:r>
          </w:p>
        </w:tc>
        <w:tc>
          <w:tcPr>
            <w:tcW w:w="708"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567"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851"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1416"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排水沟</w:t>
            </w:r>
            <w:r w:rsidRPr="00F9522B">
              <w:rPr>
                <w:rFonts w:eastAsiaTheme="minorEastAsia"/>
                <w:snapToGrid w:val="0"/>
                <w:color w:val="FF0000"/>
                <w:szCs w:val="21"/>
              </w:rPr>
              <w:t>-2</w:t>
            </w:r>
          </w:p>
        </w:tc>
        <w:tc>
          <w:tcPr>
            <w:tcW w:w="1373" w:type="dxa"/>
            <w:shd w:val="clear" w:color="auto" w:fill="auto"/>
            <w:vAlign w:val="center"/>
          </w:tcPr>
          <w:p w:rsidR="009C6B86" w:rsidRPr="00F9522B" w:rsidRDefault="009C6B86" w:rsidP="00311756">
            <w:pPr>
              <w:adjustRightInd w:val="0"/>
              <w:snapToGrid w:val="0"/>
              <w:spacing w:line="0" w:lineRule="atLeast"/>
              <w:jc w:val="center"/>
              <w:rPr>
                <w:rFonts w:eastAsiaTheme="minorEastAsia"/>
                <w:color w:val="FF0000"/>
                <w:szCs w:val="21"/>
              </w:rPr>
            </w:pPr>
            <w:r w:rsidRPr="00F9522B">
              <w:rPr>
                <w:rFonts w:eastAsiaTheme="minorEastAsia"/>
                <w:color w:val="FF0000"/>
                <w:szCs w:val="21"/>
              </w:rPr>
              <w:t>W140</w:t>
            </w:r>
          </w:p>
        </w:tc>
      </w:tr>
      <w:tr w:rsidR="009C6B86" w:rsidRPr="00F9522B" w:rsidTr="00311756">
        <w:trPr>
          <w:gridAfter w:val="1"/>
          <w:wAfter w:w="30" w:type="dxa"/>
          <w:trHeight w:val="485"/>
          <w:jc w:val="center"/>
        </w:trPr>
        <w:tc>
          <w:tcPr>
            <w:tcW w:w="1325" w:type="dxa"/>
            <w:shd w:val="clear" w:color="auto" w:fill="auto"/>
            <w:vAlign w:val="center"/>
          </w:tcPr>
          <w:p w:rsidR="009C6B86" w:rsidRPr="00F9522B" w:rsidRDefault="009C6B86" w:rsidP="00311756">
            <w:pPr>
              <w:spacing w:line="0" w:lineRule="atLeast"/>
              <w:jc w:val="center"/>
              <w:rPr>
                <w:rFonts w:eastAsiaTheme="minorEastAsia"/>
                <w:color w:val="FF0000"/>
                <w:szCs w:val="21"/>
              </w:rPr>
            </w:pPr>
            <w:r w:rsidRPr="00F9522B">
              <w:rPr>
                <w:rFonts w:eastAsiaTheme="minorEastAsia"/>
                <w:color w:val="FF0000"/>
                <w:szCs w:val="21"/>
              </w:rPr>
              <w:t>宋家村</w:t>
            </w:r>
          </w:p>
        </w:tc>
        <w:tc>
          <w:tcPr>
            <w:tcW w:w="835" w:type="dxa"/>
            <w:vAlign w:val="center"/>
          </w:tcPr>
          <w:p w:rsidR="009C6B86" w:rsidRPr="00F9522B" w:rsidRDefault="009C6B86" w:rsidP="00311756">
            <w:pPr>
              <w:rPr>
                <w:rFonts w:eastAsiaTheme="minorEastAsia"/>
                <w:color w:val="FF0000"/>
                <w:szCs w:val="21"/>
              </w:rPr>
            </w:pPr>
            <w:r w:rsidRPr="00F9522B">
              <w:rPr>
                <w:rFonts w:eastAsiaTheme="minorEastAsia"/>
                <w:color w:val="FF0000"/>
                <w:szCs w:val="21"/>
              </w:rPr>
              <w:t>126.9778069</w:t>
            </w:r>
          </w:p>
        </w:tc>
        <w:tc>
          <w:tcPr>
            <w:tcW w:w="1006"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46.088801</w:t>
            </w:r>
          </w:p>
        </w:tc>
        <w:tc>
          <w:tcPr>
            <w:tcW w:w="708"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567"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851"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1416"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排水沟</w:t>
            </w:r>
            <w:r w:rsidRPr="00F9522B">
              <w:rPr>
                <w:rFonts w:eastAsiaTheme="minorEastAsia"/>
                <w:snapToGrid w:val="0"/>
                <w:color w:val="FF0000"/>
                <w:szCs w:val="21"/>
              </w:rPr>
              <w:t>-1</w:t>
            </w:r>
          </w:p>
        </w:tc>
        <w:tc>
          <w:tcPr>
            <w:tcW w:w="1373" w:type="dxa"/>
            <w:shd w:val="clear" w:color="auto" w:fill="auto"/>
            <w:vAlign w:val="center"/>
          </w:tcPr>
          <w:p w:rsidR="009C6B86" w:rsidRPr="00F9522B" w:rsidRDefault="009C6B86" w:rsidP="00311756">
            <w:pPr>
              <w:adjustRightInd w:val="0"/>
              <w:snapToGrid w:val="0"/>
              <w:spacing w:line="0" w:lineRule="atLeast"/>
              <w:jc w:val="center"/>
              <w:rPr>
                <w:rFonts w:eastAsiaTheme="minorEastAsia"/>
                <w:color w:val="FF0000"/>
                <w:szCs w:val="21"/>
              </w:rPr>
            </w:pPr>
            <w:r w:rsidRPr="00F9522B">
              <w:rPr>
                <w:rFonts w:eastAsiaTheme="minorEastAsia"/>
                <w:color w:val="FF0000"/>
                <w:szCs w:val="21"/>
              </w:rPr>
              <w:t>N60</w:t>
            </w:r>
          </w:p>
        </w:tc>
      </w:tr>
      <w:tr w:rsidR="009C6B86" w:rsidRPr="00F9522B" w:rsidTr="00311756">
        <w:trPr>
          <w:gridAfter w:val="1"/>
          <w:wAfter w:w="30" w:type="dxa"/>
          <w:trHeight w:val="528"/>
          <w:jc w:val="center"/>
        </w:trPr>
        <w:tc>
          <w:tcPr>
            <w:tcW w:w="1325" w:type="dxa"/>
            <w:shd w:val="clear" w:color="auto" w:fill="auto"/>
            <w:vAlign w:val="center"/>
          </w:tcPr>
          <w:p w:rsidR="009C6B86" w:rsidRPr="00F9522B" w:rsidRDefault="009C6B86" w:rsidP="00311756">
            <w:pPr>
              <w:spacing w:line="0" w:lineRule="atLeast"/>
              <w:jc w:val="center"/>
              <w:rPr>
                <w:rFonts w:eastAsiaTheme="minorEastAsia"/>
                <w:color w:val="FF0000"/>
                <w:szCs w:val="21"/>
              </w:rPr>
            </w:pPr>
            <w:r w:rsidRPr="00F9522B">
              <w:rPr>
                <w:rFonts w:eastAsiaTheme="minorEastAsia"/>
                <w:color w:val="FF0000"/>
                <w:szCs w:val="21"/>
              </w:rPr>
              <w:t>阿堡村</w:t>
            </w:r>
          </w:p>
        </w:tc>
        <w:tc>
          <w:tcPr>
            <w:tcW w:w="835" w:type="dxa"/>
            <w:vAlign w:val="center"/>
          </w:tcPr>
          <w:p w:rsidR="009C6B86" w:rsidRPr="00F9522B" w:rsidRDefault="009C6B86" w:rsidP="00311756">
            <w:pPr>
              <w:rPr>
                <w:rFonts w:eastAsiaTheme="minorEastAsia"/>
                <w:color w:val="FF0000"/>
                <w:szCs w:val="21"/>
              </w:rPr>
            </w:pPr>
            <w:r w:rsidRPr="00F9522B">
              <w:rPr>
                <w:rFonts w:eastAsiaTheme="minorEastAsia"/>
                <w:color w:val="FF0000"/>
                <w:szCs w:val="21"/>
              </w:rPr>
              <w:t>126.9892224</w:t>
            </w:r>
          </w:p>
        </w:tc>
        <w:tc>
          <w:tcPr>
            <w:tcW w:w="1006"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46.100081</w:t>
            </w:r>
          </w:p>
        </w:tc>
        <w:tc>
          <w:tcPr>
            <w:tcW w:w="708"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567"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851"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1416"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排水沟</w:t>
            </w:r>
            <w:r w:rsidRPr="00F9522B">
              <w:rPr>
                <w:rFonts w:eastAsiaTheme="minorEastAsia"/>
                <w:snapToGrid w:val="0"/>
                <w:color w:val="FF0000"/>
                <w:szCs w:val="21"/>
              </w:rPr>
              <w:t>-5</w:t>
            </w:r>
          </w:p>
        </w:tc>
        <w:tc>
          <w:tcPr>
            <w:tcW w:w="1373" w:type="dxa"/>
            <w:shd w:val="clear" w:color="auto" w:fill="auto"/>
            <w:vAlign w:val="center"/>
          </w:tcPr>
          <w:p w:rsidR="009C6B86" w:rsidRPr="00F9522B" w:rsidRDefault="009C6B86" w:rsidP="00311756">
            <w:pPr>
              <w:adjustRightInd w:val="0"/>
              <w:snapToGrid w:val="0"/>
              <w:spacing w:line="0" w:lineRule="atLeast"/>
              <w:jc w:val="center"/>
              <w:rPr>
                <w:rFonts w:eastAsiaTheme="minorEastAsia"/>
                <w:color w:val="FF0000"/>
                <w:szCs w:val="21"/>
              </w:rPr>
            </w:pPr>
            <w:r w:rsidRPr="00F9522B">
              <w:rPr>
                <w:rFonts w:eastAsiaTheme="minorEastAsia"/>
                <w:color w:val="FF0000"/>
                <w:szCs w:val="21"/>
              </w:rPr>
              <w:t>E20</w:t>
            </w:r>
          </w:p>
        </w:tc>
      </w:tr>
      <w:tr w:rsidR="009C6B86" w:rsidRPr="00F9522B" w:rsidTr="00311756">
        <w:trPr>
          <w:gridAfter w:val="1"/>
          <w:wAfter w:w="30" w:type="dxa"/>
          <w:trHeight w:val="415"/>
          <w:jc w:val="center"/>
        </w:trPr>
        <w:tc>
          <w:tcPr>
            <w:tcW w:w="1325" w:type="dxa"/>
            <w:shd w:val="clear" w:color="auto" w:fill="auto"/>
            <w:vAlign w:val="center"/>
          </w:tcPr>
          <w:p w:rsidR="009C6B86" w:rsidRPr="00F9522B" w:rsidRDefault="009C6B86" w:rsidP="00311756">
            <w:pPr>
              <w:spacing w:line="0" w:lineRule="atLeast"/>
              <w:jc w:val="center"/>
              <w:rPr>
                <w:rFonts w:eastAsiaTheme="minorEastAsia"/>
                <w:color w:val="FF0000"/>
                <w:szCs w:val="21"/>
              </w:rPr>
            </w:pPr>
            <w:r w:rsidRPr="00F9522B">
              <w:rPr>
                <w:rFonts w:eastAsiaTheme="minorEastAsia"/>
                <w:color w:val="FF0000"/>
                <w:szCs w:val="21"/>
              </w:rPr>
              <w:t>新立</w:t>
            </w:r>
          </w:p>
        </w:tc>
        <w:tc>
          <w:tcPr>
            <w:tcW w:w="835"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126.9865616</w:t>
            </w:r>
          </w:p>
        </w:tc>
        <w:tc>
          <w:tcPr>
            <w:tcW w:w="1006"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46.115344</w:t>
            </w:r>
          </w:p>
        </w:tc>
        <w:tc>
          <w:tcPr>
            <w:tcW w:w="708"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567"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851"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1416"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排水沟</w:t>
            </w:r>
            <w:r w:rsidRPr="00F9522B">
              <w:rPr>
                <w:rFonts w:eastAsiaTheme="minorEastAsia"/>
                <w:snapToGrid w:val="0"/>
                <w:color w:val="FF0000"/>
                <w:szCs w:val="21"/>
              </w:rPr>
              <w:t>-4</w:t>
            </w:r>
          </w:p>
        </w:tc>
        <w:tc>
          <w:tcPr>
            <w:tcW w:w="1373" w:type="dxa"/>
            <w:shd w:val="clear" w:color="auto" w:fill="auto"/>
            <w:vAlign w:val="center"/>
          </w:tcPr>
          <w:p w:rsidR="009C6B86" w:rsidRPr="00F9522B" w:rsidRDefault="009C6B86" w:rsidP="00311756">
            <w:pPr>
              <w:adjustRightInd w:val="0"/>
              <w:snapToGrid w:val="0"/>
              <w:spacing w:line="0" w:lineRule="atLeast"/>
              <w:jc w:val="center"/>
              <w:rPr>
                <w:rFonts w:eastAsiaTheme="minorEastAsia"/>
                <w:color w:val="FF0000"/>
                <w:szCs w:val="21"/>
              </w:rPr>
            </w:pPr>
            <w:r w:rsidRPr="00F9522B">
              <w:rPr>
                <w:rFonts w:eastAsiaTheme="minorEastAsia"/>
                <w:color w:val="FF0000"/>
                <w:szCs w:val="21"/>
              </w:rPr>
              <w:t>N10</w:t>
            </w:r>
          </w:p>
        </w:tc>
      </w:tr>
      <w:tr w:rsidR="009C6B86" w:rsidRPr="00F9522B" w:rsidTr="00311756">
        <w:trPr>
          <w:gridAfter w:val="1"/>
          <w:wAfter w:w="30" w:type="dxa"/>
          <w:trHeight w:val="513"/>
          <w:jc w:val="center"/>
        </w:trPr>
        <w:tc>
          <w:tcPr>
            <w:tcW w:w="1325" w:type="dxa"/>
            <w:shd w:val="clear" w:color="auto" w:fill="auto"/>
            <w:vAlign w:val="center"/>
          </w:tcPr>
          <w:p w:rsidR="009C6B86" w:rsidRPr="00F9522B" w:rsidRDefault="009C6B86" w:rsidP="00311756">
            <w:pPr>
              <w:spacing w:line="0" w:lineRule="atLeast"/>
              <w:jc w:val="center"/>
              <w:rPr>
                <w:rFonts w:eastAsiaTheme="minorEastAsia"/>
                <w:color w:val="FF0000"/>
                <w:szCs w:val="21"/>
              </w:rPr>
            </w:pPr>
            <w:r w:rsidRPr="00F9522B">
              <w:rPr>
                <w:rFonts w:eastAsiaTheme="minorEastAsia"/>
                <w:color w:val="FF0000"/>
                <w:szCs w:val="21"/>
              </w:rPr>
              <w:t>二八镇</w:t>
            </w:r>
          </w:p>
        </w:tc>
        <w:tc>
          <w:tcPr>
            <w:tcW w:w="835"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127.0224818</w:t>
            </w:r>
          </w:p>
        </w:tc>
        <w:tc>
          <w:tcPr>
            <w:tcW w:w="1006"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46.115136</w:t>
            </w:r>
          </w:p>
        </w:tc>
        <w:tc>
          <w:tcPr>
            <w:tcW w:w="708"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567"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851"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1416" w:type="dxa"/>
            <w:vAlign w:val="center"/>
          </w:tcPr>
          <w:p w:rsidR="009C6B86" w:rsidRPr="00F9522B" w:rsidRDefault="009C6B86" w:rsidP="00311756">
            <w:pPr>
              <w:adjustRightInd w:val="0"/>
              <w:snapToGrid w:val="0"/>
              <w:spacing w:line="0" w:lineRule="atLeast"/>
              <w:jc w:val="center"/>
              <w:rPr>
                <w:rFonts w:eastAsiaTheme="minorEastAsia"/>
                <w:color w:val="FF0000"/>
                <w:szCs w:val="21"/>
              </w:rPr>
            </w:pPr>
            <w:r w:rsidRPr="00F9522B">
              <w:rPr>
                <w:rFonts w:eastAsiaTheme="minorEastAsia"/>
                <w:snapToGrid w:val="0"/>
                <w:color w:val="FF0000"/>
                <w:szCs w:val="21"/>
              </w:rPr>
              <w:t>排水沟</w:t>
            </w:r>
            <w:r w:rsidRPr="00F9522B">
              <w:rPr>
                <w:rFonts w:eastAsiaTheme="minorEastAsia"/>
                <w:snapToGrid w:val="0"/>
                <w:color w:val="FF0000"/>
                <w:szCs w:val="21"/>
              </w:rPr>
              <w:t>-2</w:t>
            </w:r>
          </w:p>
        </w:tc>
        <w:tc>
          <w:tcPr>
            <w:tcW w:w="1373" w:type="dxa"/>
            <w:shd w:val="clear" w:color="auto" w:fill="auto"/>
            <w:vAlign w:val="center"/>
          </w:tcPr>
          <w:p w:rsidR="009C6B86" w:rsidRPr="00F9522B" w:rsidRDefault="009C6B86" w:rsidP="00311756">
            <w:pPr>
              <w:adjustRightInd w:val="0"/>
              <w:snapToGrid w:val="0"/>
              <w:spacing w:line="0" w:lineRule="atLeast"/>
              <w:jc w:val="center"/>
              <w:rPr>
                <w:rFonts w:eastAsiaTheme="minorEastAsia"/>
                <w:color w:val="FF0000"/>
                <w:szCs w:val="21"/>
              </w:rPr>
            </w:pPr>
            <w:r w:rsidRPr="00F9522B">
              <w:rPr>
                <w:rFonts w:eastAsiaTheme="minorEastAsia"/>
                <w:color w:val="FF0000"/>
                <w:szCs w:val="21"/>
              </w:rPr>
              <w:t>W30</w:t>
            </w:r>
          </w:p>
        </w:tc>
      </w:tr>
      <w:tr w:rsidR="009C6B86" w:rsidRPr="00F9522B" w:rsidTr="00311756">
        <w:trPr>
          <w:gridAfter w:val="1"/>
          <w:wAfter w:w="30" w:type="dxa"/>
          <w:trHeight w:val="258"/>
          <w:jc w:val="center"/>
        </w:trPr>
        <w:tc>
          <w:tcPr>
            <w:tcW w:w="1325" w:type="dxa"/>
            <w:shd w:val="clear" w:color="auto" w:fill="auto"/>
            <w:vAlign w:val="center"/>
          </w:tcPr>
          <w:p w:rsidR="009C6B86" w:rsidRPr="00F9522B" w:rsidRDefault="009C6B86" w:rsidP="00311756">
            <w:pPr>
              <w:spacing w:line="0" w:lineRule="atLeast"/>
              <w:jc w:val="center"/>
              <w:rPr>
                <w:rFonts w:eastAsiaTheme="minorEastAsia"/>
                <w:color w:val="FF0000"/>
                <w:szCs w:val="21"/>
              </w:rPr>
            </w:pPr>
            <w:r w:rsidRPr="00F9522B">
              <w:rPr>
                <w:rFonts w:eastAsiaTheme="minorEastAsia"/>
                <w:color w:val="FF0000"/>
                <w:szCs w:val="21"/>
              </w:rPr>
              <w:t>鲍堡村</w:t>
            </w:r>
          </w:p>
        </w:tc>
        <w:tc>
          <w:tcPr>
            <w:tcW w:w="835"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127.0337041</w:t>
            </w:r>
          </w:p>
        </w:tc>
        <w:tc>
          <w:tcPr>
            <w:tcW w:w="1006"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46.093876</w:t>
            </w:r>
          </w:p>
        </w:tc>
        <w:tc>
          <w:tcPr>
            <w:tcW w:w="708"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567"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851"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1416"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排水沟</w:t>
            </w:r>
            <w:r w:rsidRPr="00F9522B">
              <w:rPr>
                <w:rFonts w:eastAsiaTheme="minorEastAsia"/>
                <w:snapToGrid w:val="0"/>
                <w:color w:val="FF0000"/>
                <w:szCs w:val="21"/>
              </w:rPr>
              <w:t>-1</w:t>
            </w:r>
          </w:p>
        </w:tc>
        <w:tc>
          <w:tcPr>
            <w:tcW w:w="1373" w:type="dxa"/>
            <w:shd w:val="clear" w:color="auto" w:fill="auto"/>
            <w:vAlign w:val="center"/>
          </w:tcPr>
          <w:p w:rsidR="009C6B86" w:rsidRPr="00F9522B" w:rsidRDefault="009C6B86" w:rsidP="00311756">
            <w:pPr>
              <w:adjustRightInd w:val="0"/>
              <w:snapToGrid w:val="0"/>
              <w:spacing w:line="0" w:lineRule="atLeast"/>
              <w:jc w:val="center"/>
              <w:rPr>
                <w:rFonts w:eastAsiaTheme="minorEastAsia"/>
                <w:color w:val="FF0000"/>
                <w:szCs w:val="21"/>
              </w:rPr>
            </w:pPr>
            <w:r w:rsidRPr="00F9522B">
              <w:rPr>
                <w:rFonts w:eastAsiaTheme="minorEastAsia"/>
                <w:color w:val="FF0000"/>
                <w:szCs w:val="21"/>
              </w:rPr>
              <w:t>N15</w:t>
            </w:r>
          </w:p>
        </w:tc>
      </w:tr>
      <w:tr w:rsidR="009C6B86" w:rsidRPr="00F9522B" w:rsidTr="00311756">
        <w:trPr>
          <w:gridAfter w:val="1"/>
          <w:wAfter w:w="30" w:type="dxa"/>
          <w:trHeight w:val="513"/>
          <w:jc w:val="center"/>
        </w:trPr>
        <w:tc>
          <w:tcPr>
            <w:tcW w:w="1325" w:type="dxa"/>
            <w:shd w:val="clear" w:color="auto" w:fill="auto"/>
            <w:vAlign w:val="center"/>
          </w:tcPr>
          <w:p w:rsidR="009C6B86" w:rsidRPr="00F9522B" w:rsidRDefault="009C6B86" w:rsidP="00311756">
            <w:pPr>
              <w:spacing w:line="0" w:lineRule="atLeast"/>
              <w:jc w:val="center"/>
              <w:rPr>
                <w:rFonts w:eastAsiaTheme="minorEastAsia"/>
                <w:color w:val="FF0000"/>
                <w:szCs w:val="21"/>
              </w:rPr>
            </w:pPr>
            <w:r w:rsidRPr="00F9522B">
              <w:rPr>
                <w:rFonts w:eastAsiaTheme="minorEastAsia"/>
                <w:color w:val="FF0000"/>
                <w:szCs w:val="21"/>
              </w:rPr>
              <w:t>奋斗村</w:t>
            </w:r>
          </w:p>
        </w:tc>
        <w:tc>
          <w:tcPr>
            <w:tcW w:w="835"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127.0268645</w:t>
            </w:r>
          </w:p>
        </w:tc>
        <w:tc>
          <w:tcPr>
            <w:tcW w:w="1006"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46.128994</w:t>
            </w:r>
          </w:p>
        </w:tc>
        <w:tc>
          <w:tcPr>
            <w:tcW w:w="708"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567"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851"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1416"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排水沟</w:t>
            </w:r>
            <w:r w:rsidRPr="00F9522B">
              <w:rPr>
                <w:rFonts w:eastAsiaTheme="minorEastAsia"/>
                <w:snapToGrid w:val="0"/>
                <w:color w:val="FF0000"/>
                <w:szCs w:val="21"/>
              </w:rPr>
              <w:t>-1</w:t>
            </w:r>
          </w:p>
        </w:tc>
        <w:tc>
          <w:tcPr>
            <w:tcW w:w="1373" w:type="dxa"/>
            <w:shd w:val="clear" w:color="auto" w:fill="auto"/>
            <w:vAlign w:val="center"/>
          </w:tcPr>
          <w:p w:rsidR="009C6B86" w:rsidRPr="00F9522B" w:rsidRDefault="009C6B86" w:rsidP="00311756">
            <w:pPr>
              <w:adjustRightInd w:val="0"/>
              <w:snapToGrid w:val="0"/>
              <w:spacing w:line="0" w:lineRule="atLeast"/>
              <w:jc w:val="center"/>
              <w:rPr>
                <w:rFonts w:eastAsiaTheme="minorEastAsia"/>
                <w:color w:val="FF0000"/>
                <w:szCs w:val="21"/>
              </w:rPr>
            </w:pPr>
            <w:r w:rsidRPr="00F9522B">
              <w:rPr>
                <w:rFonts w:eastAsiaTheme="minorEastAsia"/>
                <w:color w:val="FF0000"/>
                <w:szCs w:val="21"/>
              </w:rPr>
              <w:t>N20</w:t>
            </w:r>
          </w:p>
        </w:tc>
      </w:tr>
      <w:tr w:rsidR="009C6B86" w:rsidRPr="00F9522B" w:rsidTr="00311756">
        <w:trPr>
          <w:gridAfter w:val="1"/>
          <w:wAfter w:w="30" w:type="dxa"/>
          <w:trHeight w:val="564"/>
          <w:jc w:val="center"/>
        </w:trPr>
        <w:tc>
          <w:tcPr>
            <w:tcW w:w="1325" w:type="dxa"/>
            <w:shd w:val="clear" w:color="auto" w:fill="auto"/>
            <w:vAlign w:val="center"/>
          </w:tcPr>
          <w:p w:rsidR="009C6B86" w:rsidRPr="00F9522B" w:rsidRDefault="009C6B86" w:rsidP="00311756">
            <w:pPr>
              <w:spacing w:line="0" w:lineRule="atLeast"/>
              <w:jc w:val="center"/>
              <w:rPr>
                <w:rFonts w:eastAsiaTheme="minorEastAsia"/>
                <w:color w:val="FF0000"/>
                <w:szCs w:val="21"/>
              </w:rPr>
            </w:pPr>
            <w:r w:rsidRPr="00F9522B">
              <w:rPr>
                <w:rFonts w:eastAsiaTheme="minorEastAsia"/>
                <w:color w:val="FF0000"/>
                <w:szCs w:val="21"/>
              </w:rPr>
              <w:t>元宝村</w:t>
            </w:r>
          </w:p>
        </w:tc>
        <w:tc>
          <w:tcPr>
            <w:tcW w:w="835"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127.0738997</w:t>
            </w:r>
          </w:p>
        </w:tc>
        <w:tc>
          <w:tcPr>
            <w:tcW w:w="1006"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46.132087</w:t>
            </w:r>
          </w:p>
        </w:tc>
        <w:tc>
          <w:tcPr>
            <w:tcW w:w="708"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567"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851"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1416"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排水沟</w:t>
            </w:r>
            <w:r w:rsidRPr="00F9522B">
              <w:rPr>
                <w:rFonts w:eastAsiaTheme="minorEastAsia"/>
                <w:snapToGrid w:val="0"/>
                <w:color w:val="FF0000"/>
                <w:szCs w:val="21"/>
              </w:rPr>
              <w:t>-1</w:t>
            </w:r>
          </w:p>
        </w:tc>
        <w:tc>
          <w:tcPr>
            <w:tcW w:w="1373" w:type="dxa"/>
            <w:shd w:val="clear" w:color="auto" w:fill="auto"/>
            <w:vAlign w:val="center"/>
          </w:tcPr>
          <w:p w:rsidR="009C6B86" w:rsidRPr="00F9522B" w:rsidRDefault="009C6B86" w:rsidP="00311756">
            <w:pPr>
              <w:adjustRightInd w:val="0"/>
              <w:snapToGrid w:val="0"/>
              <w:spacing w:line="0" w:lineRule="atLeast"/>
              <w:jc w:val="center"/>
              <w:rPr>
                <w:rFonts w:eastAsiaTheme="minorEastAsia"/>
                <w:color w:val="FF0000"/>
                <w:szCs w:val="21"/>
              </w:rPr>
            </w:pPr>
            <w:r w:rsidRPr="00F9522B">
              <w:rPr>
                <w:rFonts w:eastAsiaTheme="minorEastAsia"/>
                <w:color w:val="FF0000"/>
                <w:szCs w:val="21"/>
              </w:rPr>
              <w:t>S35</w:t>
            </w:r>
          </w:p>
        </w:tc>
      </w:tr>
      <w:tr w:rsidR="009C6B86" w:rsidRPr="00F9522B" w:rsidTr="00311756">
        <w:trPr>
          <w:gridAfter w:val="1"/>
          <w:wAfter w:w="30" w:type="dxa"/>
          <w:trHeight w:val="380"/>
          <w:jc w:val="center"/>
        </w:trPr>
        <w:tc>
          <w:tcPr>
            <w:tcW w:w="1325" w:type="dxa"/>
            <w:shd w:val="clear" w:color="auto" w:fill="auto"/>
            <w:vAlign w:val="center"/>
          </w:tcPr>
          <w:p w:rsidR="009C6B86" w:rsidRPr="00F9522B" w:rsidRDefault="009C6B86" w:rsidP="00311756">
            <w:pPr>
              <w:spacing w:line="0" w:lineRule="atLeast"/>
              <w:jc w:val="center"/>
              <w:rPr>
                <w:rFonts w:eastAsiaTheme="minorEastAsia"/>
                <w:color w:val="FF0000"/>
                <w:szCs w:val="21"/>
              </w:rPr>
            </w:pPr>
            <w:r w:rsidRPr="00F9522B">
              <w:rPr>
                <w:rFonts w:eastAsiaTheme="minorEastAsia"/>
                <w:color w:val="FF0000"/>
                <w:szCs w:val="21"/>
              </w:rPr>
              <w:t>平安村</w:t>
            </w:r>
          </w:p>
        </w:tc>
        <w:tc>
          <w:tcPr>
            <w:tcW w:w="835"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127.0494809</w:t>
            </w:r>
          </w:p>
        </w:tc>
        <w:tc>
          <w:tcPr>
            <w:tcW w:w="1006" w:type="dxa"/>
            <w:vAlign w:val="center"/>
          </w:tcPr>
          <w:p w:rsidR="009C6B86" w:rsidRPr="00F9522B" w:rsidRDefault="009C6B86" w:rsidP="00311756">
            <w:pPr>
              <w:jc w:val="center"/>
              <w:rPr>
                <w:rFonts w:eastAsiaTheme="minorEastAsia"/>
                <w:snapToGrid w:val="0"/>
                <w:color w:val="FF0000"/>
                <w:szCs w:val="21"/>
              </w:rPr>
            </w:pPr>
            <w:r w:rsidRPr="00F9522B">
              <w:rPr>
                <w:rFonts w:eastAsiaTheme="minorEastAsia"/>
                <w:snapToGrid w:val="0"/>
                <w:color w:val="FF0000"/>
                <w:szCs w:val="21"/>
              </w:rPr>
              <w:t>46.144309</w:t>
            </w:r>
          </w:p>
        </w:tc>
        <w:tc>
          <w:tcPr>
            <w:tcW w:w="708"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567"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851"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1416"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排水沟</w:t>
            </w:r>
            <w:r w:rsidRPr="00F9522B">
              <w:rPr>
                <w:rFonts w:eastAsiaTheme="minorEastAsia"/>
                <w:snapToGrid w:val="0"/>
                <w:color w:val="FF0000"/>
                <w:szCs w:val="21"/>
              </w:rPr>
              <w:t>-1</w:t>
            </w:r>
          </w:p>
        </w:tc>
        <w:tc>
          <w:tcPr>
            <w:tcW w:w="1373" w:type="dxa"/>
            <w:shd w:val="clear" w:color="auto" w:fill="auto"/>
            <w:vAlign w:val="center"/>
          </w:tcPr>
          <w:p w:rsidR="009C6B86" w:rsidRPr="00F9522B" w:rsidRDefault="009C6B86" w:rsidP="00311756">
            <w:pPr>
              <w:adjustRightInd w:val="0"/>
              <w:snapToGrid w:val="0"/>
              <w:spacing w:line="0" w:lineRule="atLeast"/>
              <w:jc w:val="center"/>
              <w:rPr>
                <w:rFonts w:eastAsiaTheme="minorEastAsia"/>
                <w:color w:val="FF0000"/>
                <w:szCs w:val="21"/>
              </w:rPr>
            </w:pPr>
            <w:r w:rsidRPr="00F9522B">
              <w:rPr>
                <w:rFonts w:eastAsiaTheme="minorEastAsia"/>
                <w:color w:val="FF0000"/>
                <w:szCs w:val="21"/>
              </w:rPr>
              <w:t>N10</w:t>
            </w:r>
          </w:p>
        </w:tc>
      </w:tr>
      <w:tr w:rsidR="009C6B86" w:rsidRPr="00F9522B" w:rsidTr="00311756">
        <w:trPr>
          <w:gridAfter w:val="1"/>
          <w:wAfter w:w="30" w:type="dxa"/>
          <w:trHeight w:val="307"/>
          <w:jc w:val="center"/>
        </w:trPr>
        <w:tc>
          <w:tcPr>
            <w:tcW w:w="1325" w:type="dxa"/>
            <w:shd w:val="clear" w:color="auto" w:fill="auto"/>
            <w:vAlign w:val="center"/>
          </w:tcPr>
          <w:p w:rsidR="009C6B86" w:rsidRPr="00F9522B" w:rsidRDefault="009C6B86" w:rsidP="00311756">
            <w:pPr>
              <w:spacing w:line="0" w:lineRule="atLeast"/>
              <w:jc w:val="center"/>
              <w:rPr>
                <w:rFonts w:eastAsiaTheme="minorEastAsia"/>
                <w:color w:val="FF0000"/>
                <w:szCs w:val="21"/>
              </w:rPr>
            </w:pPr>
            <w:r w:rsidRPr="00F9522B">
              <w:rPr>
                <w:rFonts w:eastAsiaTheme="minorEastAsia"/>
                <w:color w:val="FF0000"/>
                <w:szCs w:val="21"/>
              </w:rPr>
              <w:t>王柱村</w:t>
            </w:r>
          </w:p>
        </w:tc>
        <w:tc>
          <w:tcPr>
            <w:tcW w:w="835"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126.9906010</w:t>
            </w:r>
          </w:p>
        </w:tc>
        <w:tc>
          <w:tcPr>
            <w:tcW w:w="1006" w:type="dxa"/>
            <w:vAlign w:val="center"/>
          </w:tcPr>
          <w:p w:rsidR="009C6B86" w:rsidRPr="00F9522B" w:rsidRDefault="009C6B86" w:rsidP="00311756">
            <w:pPr>
              <w:jc w:val="center"/>
              <w:rPr>
                <w:rFonts w:eastAsiaTheme="minorEastAsia"/>
                <w:snapToGrid w:val="0"/>
                <w:color w:val="FF0000"/>
                <w:szCs w:val="21"/>
              </w:rPr>
            </w:pPr>
            <w:r w:rsidRPr="00F9522B">
              <w:rPr>
                <w:rFonts w:eastAsiaTheme="minorEastAsia"/>
                <w:snapToGrid w:val="0"/>
                <w:color w:val="FF0000"/>
                <w:szCs w:val="21"/>
              </w:rPr>
              <w:t>46.136042</w:t>
            </w:r>
          </w:p>
        </w:tc>
        <w:tc>
          <w:tcPr>
            <w:tcW w:w="708"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567"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851"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1416"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排水沟</w:t>
            </w:r>
            <w:r w:rsidRPr="00F9522B">
              <w:rPr>
                <w:rFonts w:eastAsiaTheme="minorEastAsia"/>
                <w:snapToGrid w:val="0"/>
                <w:color w:val="FF0000"/>
                <w:szCs w:val="21"/>
              </w:rPr>
              <w:t>-1</w:t>
            </w:r>
          </w:p>
        </w:tc>
        <w:tc>
          <w:tcPr>
            <w:tcW w:w="1373" w:type="dxa"/>
            <w:shd w:val="clear" w:color="auto" w:fill="auto"/>
            <w:vAlign w:val="center"/>
          </w:tcPr>
          <w:p w:rsidR="009C6B86" w:rsidRPr="00F9522B" w:rsidRDefault="009C6B86" w:rsidP="00311756">
            <w:pPr>
              <w:adjustRightInd w:val="0"/>
              <w:snapToGrid w:val="0"/>
              <w:spacing w:line="0" w:lineRule="atLeast"/>
              <w:jc w:val="center"/>
              <w:rPr>
                <w:rFonts w:eastAsiaTheme="minorEastAsia"/>
                <w:color w:val="FF0000"/>
                <w:szCs w:val="21"/>
              </w:rPr>
            </w:pPr>
            <w:r w:rsidRPr="00F9522B">
              <w:rPr>
                <w:rFonts w:eastAsiaTheme="minorEastAsia"/>
                <w:color w:val="FF0000"/>
                <w:szCs w:val="21"/>
              </w:rPr>
              <w:t>S10</w:t>
            </w:r>
          </w:p>
        </w:tc>
      </w:tr>
      <w:tr w:rsidR="009C6B86" w:rsidRPr="00F9522B" w:rsidTr="00311756">
        <w:trPr>
          <w:gridAfter w:val="1"/>
          <w:wAfter w:w="30" w:type="dxa"/>
          <w:trHeight w:val="513"/>
          <w:jc w:val="center"/>
        </w:trPr>
        <w:tc>
          <w:tcPr>
            <w:tcW w:w="1325" w:type="dxa"/>
            <w:shd w:val="clear" w:color="auto" w:fill="auto"/>
            <w:vAlign w:val="center"/>
          </w:tcPr>
          <w:p w:rsidR="009C6B86" w:rsidRPr="00F9522B" w:rsidRDefault="009C6B86" w:rsidP="00311756">
            <w:pPr>
              <w:spacing w:line="0" w:lineRule="atLeast"/>
              <w:jc w:val="center"/>
              <w:rPr>
                <w:rFonts w:eastAsiaTheme="minorEastAsia"/>
                <w:color w:val="FF0000"/>
                <w:szCs w:val="21"/>
              </w:rPr>
            </w:pPr>
            <w:r w:rsidRPr="00F9522B">
              <w:rPr>
                <w:rFonts w:eastAsiaTheme="minorEastAsia"/>
                <w:color w:val="FF0000"/>
                <w:szCs w:val="21"/>
              </w:rPr>
              <w:t>高财</w:t>
            </w:r>
          </w:p>
        </w:tc>
        <w:tc>
          <w:tcPr>
            <w:tcW w:w="835"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127.0068230</w:t>
            </w:r>
          </w:p>
        </w:tc>
        <w:tc>
          <w:tcPr>
            <w:tcW w:w="1006"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46.169071</w:t>
            </w:r>
          </w:p>
        </w:tc>
        <w:tc>
          <w:tcPr>
            <w:tcW w:w="708"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567"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851"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1416"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排水沟</w:t>
            </w:r>
            <w:r w:rsidRPr="00F9522B">
              <w:rPr>
                <w:rFonts w:eastAsiaTheme="minorEastAsia"/>
                <w:snapToGrid w:val="0"/>
                <w:color w:val="FF0000"/>
                <w:szCs w:val="21"/>
              </w:rPr>
              <w:t>-3</w:t>
            </w:r>
          </w:p>
        </w:tc>
        <w:tc>
          <w:tcPr>
            <w:tcW w:w="1373" w:type="dxa"/>
            <w:shd w:val="clear" w:color="auto" w:fill="auto"/>
            <w:vAlign w:val="center"/>
          </w:tcPr>
          <w:p w:rsidR="009C6B86" w:rsidRPr="00F9522B" w:rsidRDefault="009C6B86" w:rsidP="00311756">
            <w:pPr>
              <w:adjustRightInd w:val="0"/>
              <w:snapToGrid w:val="0"/>
              <w:spacing w:line="0" w:lineRule="atLeast"/>
              <w:jc w:val="center"/>
              <w:rPr>
                <w:rFonts w:eastAsiaTheme="minorEastAsia"/>
                <w:color w:val="FF0000"/>
                <w:szCs w:val="21"/>
              </w:rPr>
            </w:pPr>
            <w:r w:rsidRPr="00F9522B">
              <w:rPr>
                <w:rFonts w:eastAsiaTheme="minorEastAsia"/>
                <w:color w:val="FF0000"/>
                <w:szCs w:val="21"/>
              </w:rPr>
              <w:t>N10</w:t>
            </w:r>
          </w:p>
        </w:tc>
      </w:tr>
      <w:tr w:rsidR="009C6B86" w:rsidRPr="00F9522B" w:rsidTr="00311756">
        <w:trPr>
          <w:gridAfter w:val="1"/>
          <w:wAfter w:w="30" w:type="dxa"/>
          <w:trHeight w:val="491"/>
          <w:jc w:val="center"/>
        </w:trPr>
        <w:tc>
          <w:tcPr>
            <w:tcW w:w="1325" w:type="dxa"/>
            <w:shd w:val="clear" w:color="auto" w:fill="auto"/>
            <w:vAlign w:val="center"/>
          </w:tcPr>
          <w:p w:rsidR="009C6B86" w:rsidRPr="00F9522B" w:rsidRDefault="009C6B86" w:rsidP="00311756">
            <w:pPr>
              <w:spacing w:line="0" w:lineRule="atLeast"/>
              <w:jc w:val="center"/>
              <w:rPr>
                <w:rFonts w:eastAsiaTheme="minorEastAsia"/>
                <w:color w:val="FF0000"/>
                <w:szCs w:val="21"/>
              </w:rPr>
            </w:pPr>
            <w:r w:rsidRPr="00F9522B">
              <w:rPr>
                <w:rFonts w:eastAsiaTheme="minorEastAsia"/>
                <w:color w:val="FF0000"/>
                <w:szCs w:val="21"/>
              </w:rPr>
              <w:t>王牛村</w:t>
            </w:r>
          </w:p>
        </w:tc>
        <w:tc>
          <w:tcPr>
            <w:tcW w:w="835"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126.9616332</w:t>
            </w:r>
          </w:p>
        </w:tc>
        <w:tc>
          <w:tcPr>
            <w:tcW w:w="1006"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46.153466</w:t>
            </w:r>
          </w:p>
        </w:tc>
        <w:tc>
          <w:tcPr>
            <w:tcW w:w="708"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567"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851"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1416"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排水沟</w:t>
            </w:r>
            <w:r w:rsidRPr="00F9522B">
              <w:rPr>
                <w:rFonts w:eastAsiaTheme="minorEastAsia"/>
                <w:snapToGrid w:val="0"/>
                <w:color w:val="FF0000"/>
                <w:szCs w:val="21"/>
              </w:rPr>
              <w:t>-2</w:t>
            </w:r>
          </w:p>
        </w:tc>
        <w:tc>
          <w:tcPr>
            <w:tcW w:w="1373" w:type="dxa"/>
            <w:shd w:val="clear" w:color="auto" w:fill="auto"/>
            <w:vAlign w:val="center"/>
          </w:tcPr>
          <w:p w:rsidR="009C6B86" w:rsidRPr="00F9522B" w:rsidRDefault="009C6B86" w:rsidP="00311756">
            <w:pPr>
              <w:adjustRightInd w:val="0"/>
              <w:snapToGrid w:val="0"/>
              <w:spacing w:line="0" w:lineRule="atLeast"/>
              <w:jc w:val="center"/>
              <w:rPr>
                <w:rFonts w:eastAsiaTheme="minorEastAsia"/>
                <w:color w:val="FF0000"/>
                <w:szCs w:val="21"/>
              </w:rPr>
            </w:pPr>
            <w:r w:rsidRPr="00F9522B">
              <w:rPr>
                <w:rFonts w:eastAsiaTheme="minorEastAsia"/>
                <w:color w:val="FF0000"/>
                <w:szCs w:val="21"/>
              </w:rPr>
              <w:t>N10</w:t>
            </w:r>
          </w:p>
        </w:tc>
      </w:tr>
      <w:tr w:rsidR="009C6B86" w:rsidRPr="00F9522B" w:rsidTr="00311756">
        <w:trPr>
          <w:gridAfter w:val="1"/>
          <w:wAfter w:w="30" w:type="dxa"/>
          <w:trHeight w:val="419"/>
          <w:jc w:val="center"/>
        </w:trPr>
        <w:tc>
          <w:tcPr>
            <w:tcW w:w="1325" w:type="dxa"/>
            <w:shd w:val="clear" w:color="auto" w:fill="auto"/>
            <w:vAlign w:val="center"/>
          </w:tcPr>
          <w:p w:rsidR="009C6B86" w:rsidRPr="00F9522B" w:rsidRDefault="009C6B86" w:rsidP="00311756">
            <w:pPr>
              <w:spacing w:line="0" w:lineRule="atLeast"/>
              <w:jc w:val="center"/>
              <w:rPr>
                <w:rFonts w:eastAsiaTheme="minorEastAsia"/>
                <w:color w:val="FF0000"/>
                <w:szCs w:val="21"/>
              </w:rPr>
            </w:pPr>
            <w:r w:rsidRPr="00F9522B">
              <w:rPr>
                <w:rFonts w:eastAsiaTheme="minorEastAsia"/>
                <w:color w:val="FF0000"/>
                <w:szCs w:val="21"/>
              </w:rPr>
              <w:t>苏德村</w:t>
            </w:r>
          </w:p>
        </w:tc>
        <w:tc>
          <w:tcPr>
            <w:tcW w:w="835"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126.9530501</w:t>
            </w:r>
          </w:p>
        </w:tc>
        <w:tc>
          <w:tcPr>
            <w:tcW w:w="1006"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46.185207</w:t>
            </w:r>
          </w:p>
        </w:tc>
        <w:tc>
          <w:tcPr>
            <w:tcW w:w="708"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567"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851"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1416"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排水沟</w:t>
            </w:r>
            <w:r w:rsidRPr="00F9522B">
              <w:rPr>
                <w:rFonts w:eastAsiaTheme="minorEastAsia"/>
                <w:snapToGrid w:val="0"/>
                <w:color w:val="FF0000"/>
                <w:szCs w:val="21"/>
              </w:rPr>
              <w:t>-1</w:t>
            </w:r>
          </w:p>
        </w:tc>
        <w:tc>
          <w:tcPr>
            <w:tcW w:w="1373" w:type="dxa"/>
            <w:shd w:val="clear" w:color="auto" w:fill="auto"/>
            <w:vAlign w:val="center"/>
          </w:tcPr>
          <w:p w:rsidR="009C6B86" w:rsidRPr="00F9522B" w:rsidRDefault="009C6B86" w:rsidP="00311756">
            <w:pPr>
              <w:adjustRightInd w:val="0"/>
              <w:snapToGrid w:val="0"/>
              <w:spacing w:line="0" w:lineRule="atLeast"/>
              <w:jc w:val="center"/>
              <w:rPr>
                <w:rFonts w:eastAsiaTheme="minorEastAsia"/>
                <w:color w:val="FF0000"/>
                <w:szCs w:val="21"/>
              </w:rPr>
            </w:pPr>
            <w:r w:rsidRPr="00F9522B">
              <w:rPr>
                <w:rFonts w:eastAsiaTheme="minorEastAsia"/>
                <w:color w:val="FF0000"/>
                <w:szCs w:val="21"/>
              </w:rPr>
              <w:t>N10</w:t>
            </w:r>
          </w:p>
        </w:tc>
      </w:tr>
      <w:tr w:rsidR="009C6B86" w:rsidRPr="00F9522B" w:rsidTr="00311756">
        <w:trPr>
          <w:gridAfter w:val="1"/>
          <w:wAfter w:w="30" w:type="dxa"/>
          <w:trHeight w:val="341"/>
          <w:jc w:val="center"/>
        </w:trPr>
        <w:tc>
          <w:tcPr>
            <w:tcW w:w="1325" w:type="dxa"/>
            <w:shd w:val="clear" w:color="auto" w:fill="auto"/>
            <w:vAlign w:val="center"/>
          </w:tcPr>
          <w:p w:rsidR="009C6B86" w:rsidRPr="00F9522B" w:rsidRDefault="009C6B86" w:rsidP="00311756">
            <w:pPr>
              <w:spacing w:line="0" w:lineRule="atLeast"/>
              <w:jc w:val="center"/>
              <w:rPr>
                <w:rFonts w:eastAsiaTheme="minorEastAsia"/>
                <w:color w:val="FF0000"/>
                <w:szCs w:val="21"/>
              </w:rPr>
            </w:pPr>
            <w:r w:rsidRPr="00F9522B">
              <w:rPr>
                <w:rFonts w:eastAsiaTheme="minorEastAsia"/>
                <w:color w:val="FF0000"/>
                <w:szCs w:val="21"/>
              </w:rPr>
              <w:t>孟井村</w:t>
            </w:r>
          </w:p>
        </w:tc>
        <w:tc>
          <w:tcPr>
            <w:tcW w:w="835"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126.8515446</w:t>
            </w:r>
          </w:p>
        </w:tc>
        <w:tc>
          <w:tcPr>
            <w:tcW w:w="1006"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46.186856</w:t>
            </w:r>
          </w:p>
        </w:tc>
        <w:tc>
          <w:tcPr>
            <w:tcW w:w="708"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567"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851"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1416"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排水沟</w:t>
            </w:r>
            <w:r w:rsidRPr="00F9522B">
              <w:rPr>
                <w:rFonts w:eastAsiaTheme="minorEastAsia"/>
                <w:snapToGrid w:val="0"/>
                <w:color w:val="FF0000"/>
                <w:szCs w:val="21"/>
              </w:rPr>
              <w:t>-1</w:t>
            </w:r>
          </w:p>
        </w:tc>
        <w:tc>
          <w:tcPr>
            <w:tcW w:w="1373" w:type="dxa"/>
            <w:shd w:val="clear" w:color="auto" w:fill="auto"/>
            <w:vAlign w:val="center"/>
          </w:tcPr>
          <w:p w:rsidR="009C6B86" w:rsidRPr="00F9522B" w:rsidRDefault="009C6B86" w:rsidP="00311756">
            <w:pPr>
              <w:adjustRightInd w:val="0"/>
              <w:snapToGrid w:val="0"/>
              <w:spacing w:line="0" w:lineRule="atLeast"/>
              <w:jc w:val="center"/>
              <w:rPr>
                <w:rFonts w:eastAsiaTheme="minorEastAsia"/>
                <w:color w:val="FF0000"/>
                <w:szCs w:val="21"/>
              </w:rPr>
            </w:pPr>
            <w:r w:rsidRPr="00F9522B">
              <w:rPr>
                <w:rFonts w:eastAsiaTheme="minorEastAsia"/>
                <w:color w:val="FF0000"/>
                <w:szCs w:val="21"/>
              </w:rPr>
              <w:t>N30</w:t>
            </w:r>
          </w:p>
        </w:tc>
      </w:tr>
      <w:tr w:rsidR="009C6B86" w:rsidRPr="00F9522B" w:rsidTr="00311756">
        <w:trPr>
          <w:gridAfter w:val="1"/>
          <w:wAfter w:w="30" w:type="dxa"/>
          <w:trHeight w:val="561"/>
          <w:jc w:val="center"/>
        </w:trPr>
        <w:tc>
          <w:tcPr>
            <w:tcW w:w="1325" w:type="dxa"/>
            <w:shd w:val="clear" w:color="auto" w:fill="auto"/>
            <w:vAlign w:val="center"/>
          </w:tcPr>
          <w:p w:rsidR="009C6B86" w:rsidRPr="00F9522B" w:rsidRDefault="009C6B86" w:rsidP="00311756">
            <w:pPr>
              <w:spacing w:line="0" w:lineRule="atLeast"/>
              <w:jc w:val="center"/>
              <w:rPr>
                <w:rFonts w:eastAsiaTheme="minorEastAsia"/>
                <w:color w:val="FF0000"/>
                <w:szCs w:val="21"/>
              </w:rPr>
            </w:pPr>
            <w:r w:rsidRPr="00F9522B">
              <w:rPr>
                <w:rFonts w:eastAsiaTheme="minorEastAsia"/>
                <w:color w:val="FF0000"/>
                <w:szCs w:val="21"/>
              </w:rPr>
              <w:t>西井村</w:t>
            </w:r>
          </w:p>
        </w:tc>
        <w:tc>
          <w:tcPr>
            <w:tcW w:w="835"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126.9667294</w:t>
            </w:r>
          </w:p>
        </w:tc>
        <w:tc>
          <w:tcPr>
            <w:tcW w:w="1006"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46.206996</w:t>
            </w:r>
          </w:p>
        </w:tc>
        <w:tc>
          <w:tcPr>
            <w:tcW w:w="708"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567"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851"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1416"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排水沟</w:t>
            </w:r>
            <w:r w:rsidRPr="00F9522B">
              <w:rPr>
                <w:rFonts w:eastAsiaTheme="minorEastAsia"/>
                <w:snapToGrid w:val="0"/>
                <w:color w:val="FF0000"/>
                <w:szCs w:val="21"/>
              </w:rPr>
              <w:t>-2</w:t>
            </w:r>
          </w:p>
        </w:tc>
        <w:tc>
          <w:tcPr>
            <w:tcW w:w="1373" w:type="dxa"/>
            <w:shd w:val="clear" w:color="auto" w:fill="auto"/>
            <w:vAlign w:val="center"/>
          </w:tcPr>
          <w:p w:rsidR="009C6B86" w:rsidRPr="00F9522B" w:rsidRDefault="009C6B86" w:rsidP="00311756">
            <w:pPr>
              <w:adjustRightInd w:val="0"/>
              <w:snapToGrid w:val="0"/>
              <w:spacing w:line="0" w:lineRule="atLeast"/>
              <w:jc w:val="center"/>
              <w:rPr>
                <w:rFonts w:eastAsiaTheme="minorEastAsia"/>
                <w:color w:val="FF0000"/>
                <w:szCs w:val="21"/>
              </w:rPr>
            </w:pPr>
            <w:r w:rsidRPr="00F9522B">
              <w:rPr>
                <w:rFonts w:eastAsiaTheme="minorEastAsia"/>
                <w:color w:val="FF0000"/>
                <w:szCs w:val="21"/>
              </w:rPr>
              <w:t>N10</w:t>
            </w:r>
          </w:p>
        </w:tc>
      </w:tr>
      <w:tr w:rsidR="009C6B86" w:rsidRPr="00F9522B" w:rsidTr="00311756">
        <w:trPr>
          <w:gridAfter w:val="1"/>
          <w:wAfter w:w="30" w:type="dxa"/>
          <w:trHeight w:val="271"/>
          <w:jc w:val="center"/>
        </w:trPr>
        <w:tc>
          <w:tcPr>
            <w:tcW w:w="1325" w:type="dxa"/>
            <w:shd w:val="clear" w:color="auto" w:fill="auto"/>
            <w:vAlign w:val="center"/>
          </w:tcPr>
          <w:p w:rsidR="009C6B86" w:rsidRPr="00F9522B" w:rsidRDefault="009C6B86" w:rsidP="00311756">
            <w:pPr>
              <w:spacing w:line="0" w:lineRule="atLeast"/>
              <w:jc w:val="center"/>
              <w:rPr>
                <w:rFonts w:eastAsiaTheme="minorEastAsia"/>
                <w:color w:val="FF0000"/>
                <w:szCs w:val="21"/>
              </w:rPr>
            </w:pPr>
            <w:r w:rsidRPr="00F9522B">
              <w:rPr>
                <w:rFonts w:eastAsiaTheme="minorEastAsia"/>
                <w:color w:val="FF0000"/>
                <w:szCs w:val="21"/>
              </w:rPr>
              <w:t>东腰村</w:t>
            </w:r>
          </w:p>
        </w:tc>
        <w:tc>
          <w:tcPr>
            <w:tcW w:w="835"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126.9875862</w:t>
            </w:r>
          </w:p>
        </w:tc>
        <w:tc>
          <w:tcPr>
            <w:tcW w:w="1006"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46.215133</w:t>
            </w:r>
          </w:p>
        </w:tc>
        <w:tc>
          <w:tcPr>
            <w:tcW w:w="708"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567"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851"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1416"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排水沟</w:t>
            </w:r>
            <w:r w:rsidRPr="00F9522B">
              <w:rPr>
                <w:rFonts w:eastAsiaTheme="minorEastAsia"/>
                <w:snapToGrid w:val="0"/>
                <w:color w:val="FF0000"/>
                <w:szCs w:val="21"/>
              </w:rPr>
              <w:t>-1</w:t>
            </w:r>
          </w:p>
        </w:tc>
        <w:tc>
          <w:tcPr>
            <w:tcW w:w="1373" w:type="dxa"/>
            <w:shd w:val="clear" w:color="auto" w:fill="auto"/>
            <w:vAlign w:val="center"/>
          </w:tcPr>
          <w:p w:rsidR="009C6B86" w:rsidRPr="00F9522B" w:rsidRDefault="009C6B86" w:rsidP="00311756">
            <w:pPr>
              <w:adjustRightInd w:val="0"/>
              <w:snapToGrid w:val="0"/>
              <w:spacing w:line="0" w:lineRule="atLeast"/>
              <w:jc w:val="center"/>
              <w:rPr>
                <w:rFonts w:eastAsiaTheme="minorEastAsia"/>
                <w:color w:val="FF0000"/>
                <w:szCs w:val="21"/>
              </w:rPr>
            </w:pPr>
            <w:r w:rsidRPr="00F9522B">
              <w:rPr>
                <w:rFonts w:eastAsiaTheme="minorEastAsia"/>
                <w:color w:val="FF0000"/>
                <w:szCs w:val="21"/>
              </w:rPr>
              <w:t>NW20</w:t>
            </w:r>
          </w:p>
        </w:tc>
      </w:tr>
      <w:tr w:rsidR="009C6B86" w:rsidRPr="00F9522B" w:rsidTr="00311756">
        <w:trPr>
          <w:gridAfter w:val="1"/>
          <w:wAfter w:w="30" w:type="dxa"/>
          <w:trHeight w:val="513"/>
          <w:jc w:val="center"/>
        </w:trPr>
        <w:tc>
          <w:tcPr>
            <w:tcW w:w="1325" w:type="dxa"/>
            <w:shd w:val="clear" w:color="auto" w:fill="auto"/>
            <w:vAlign w:val="center"/>
          </w:tcPr>
          <w:p w:rsidR="009C6B86" w:rsidRPr="00F9522B" w:rsidRDefault="009C6B86" w:rsidP="00311756">
            <w:pPr>
              <w:spacing w:line="0" w:lineRule="atLeast"/>
              <w:jc w:val="center"/>
              <w:rPr>
                <w:rFonts w:eastAsiaTheme="minorEastAsia"/>
                <w:color w:val="FF0000"/>
                <w:szCs w:val="21"/>
              </w:rPr>
            </w:pPr>
            <w:r w:rsidRPr="00F9522B">
              <w:rPr>
                <w:rFonts w:eastAsiaTheme="minorEastAsia"/>
                <w:color w:val="FF0000"/>
                <w:szCs w:val="21"/>
              </w:rPr>
              <w:t>东井村</w:t>
            </w:r>
          </w:p>
        </w:tc>
        <w:tc>
          <w:tcPr>
            <w:tcW w:w="835"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126.9945010</w:t>
            </w:r>
          </w:p>
        </w:tc>
        <w:tc>
          <w:tcPr>
            <w:tcW w:w="1006"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46.222308</w:t>
            </w:r>
          </w:p>
        </w:tc>
        <w:tc>
          <w:tcPr>
            <w:tcW w:w="708"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567"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851"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1416"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排水沟</w:t>
            </w:r>
            <w:r w:rsidRPr="00F9522B">
              <w:rPr>
                <w:rFonts w:eastAsiaTheme="minorEastAsia"/>
                <w:snapToGrid w:val="0"/>
                <w:color w:val="FF0000"/>
                <w:szCs w:val="21"/>
              </w:rPr>
              <w:t>-4</w:t>
            </w:r>
          </w:p>
        </w:tc>
        <w:tc>
          <w:tcPr>
            <w:tcW w:w="1373" w:type="dxa"/>
            <w:shd w:val="clear" w:color="auto" w:fill="auto"/>
            <w:vAlign w:val="center"/>
          </w:tcPr>
          <w:p w:rsidR="009C6B86" w:rsidRPr="00F9522B" w:rsidRDefault="009C6B86" w:rsidP="00311756">
            <w:pPr>
              <w:adjustRightInd w:val="0"/>
              <w:snapToGrid w:val="0"/>
              <w:spacing w:line="0" w:lineRule="atLeast"/>
              <w:jc w:val="center"/>
              <w:rPr>
                <w:rFonts w:eastAsiaTheme="minorEastAsia"/>
                <w:color w:val="FF0000"/>
                <w:szCs w:val="21"/>
              </w:rPr>
            </w:pPr>
            <w:r w:rsidRPr="00F9522B">
              <w:rPr>
                <w:rFonts w:eastAsiaTheme="minorEastAsia"/>
                <w:color w:val="FF0000"/>
                <w:szCs w:val="21"/>
              </w:rPr>
              <w:t>NW20</w:t>
            </w:r>
          </w:p>
        </w:tc>
      </w:tr>
      <w:tr w:rsidR="009C6B86" w:rsidRPr="00F9522B" w:rsidTr="00311756">
        <w:trPr>
          <w:gridAfter w:val="1"/>
          <w:wAfter w:w="30" w:type="dxa"/>
          <w:trHeight w:val="337"/>
          <w:jc w:val="center"/>
        </w:trPr>
        <w:tc>
          <w:tcPr>
            <w:tcW w:w="1325" w:type="dxa"/>
            <w:shd w:val="clear" w:color="auto" w:fill="auto"/>
            <w:vAlign w:val="center"/>
          </w:tcPr>
          <w:p w:rsidR="009C6B86" w:rsidRPr="00F9522B" w:rsidRDefault="009C6B86" w:rsidP="00311756">
            <w:pPr>
              <w:spacing w:line="0" w:lineRule="atLeast"/>
              <w:jc w:val="center"/>
              <w:rPr>
                <w:rFonts w:eastAsiaTheme="minorEastAsia"/>
                <w:color w:val="FF0000"/>
                <w:szCs w:val="21"/>
              </w:rPr>
            </w:pPr>
            <w:r w:rsidRPr="00F9522B">
              <w:rPr>
                <w:rFonts w:eastAsiaTheme="minorEastAsia"/>
                <w:color w:val="FF0000"/>
                <w:szCs w:val="21"/>
              </w:rPr>
              <w:t>赵家</w:t>
            </w:r>
          </w:p>
        </w:tc>
        <w:tc>
          <w:tcPr>
            <w:tcW w:w="835"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126.9490965</w:t>
            </w:r>
          </w:p>
        </w:tc>
        <w:tc>
          <w:tcPr>
            <w:tcW w:w="1006"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46.223377</w:t>
            </w:r>
          </w:p>
        </w:tc>
        <w:tc>
          <w:tcPr>
            <w:tcW w:w="708"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567"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851"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1416"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排水沟</w:t>
            </w:r>
            <w:r w:rsidRPr="00F9522B">
              <w:rPr>
                <w:rFonts w:eastAsiaTheme="minorEastAsia"/>
                <w:snapToGrid w:val="0"/>
                <w:color w:val="FF0000"/>
                <w:szCs w:val="21"/>
              </w:rPr>
              <w:t>-2</w:t>
            </w:r>
          </w:p>
        </w:tc>
        <w:tc>
          <w:tcPr>
            <w:tcW w:w="1373" w:type="dxa"/>
            <w:shd w:val="clear" w:color="auto" w:fill="auto"/>
            <w:vAlign w:val="center"/>
          </w:tcPr>
          <w:p w:rsidR="009C6B86" w:rsidRPr="00F9522B" w:rsidRDefault="009C6B86" w:rsidP="00311756">
            <w:pPr>
              <w:adjustRightInd w:val="0"/>
              <w:snapToGrid w:val="0"/>
              <w:spacing w:line="0" w:lineRule="atLeast"/>
              <w:jc w:val="center"/>
              <w:rPr>
                <w:rFonts w:eastAsiaTheme="minorEastAsia"/>
                <w:color w:val="FF0000"/>
                <w:szCs w:val="21"/>
              </w:rPr>
            </w:pPr>
            <w:r w:rsidRPr="00F9522B">
              <w:rPr>
                <w:rFonts w:eastAsiaTheme="minorEastAsia"/>
                <w:color w:val="FF0000"/>
                <w:szCs w:val="21"/>
              </w:rPr>
              <w:t>N20</w:t>
            </w:r>
          </w:p>
        </w:tc>
      </w:tr>
      <w:tr w:rsidR="009C6B86" w:rsidRPr="00F9522B" w:rsidTr="00311756">
        <w:trPr>
          <w:gridAfter w:val="1"/>
          <w:wAfter w:w="30" w:type="dxa"/>
          <w:trHeight w:val="513"/>
          <w:jc w:val="center"/>
        </w:trPr>
        <w:tc>
          <w:tcPr>
            <w:tcW w:w="1325" w:type="dxa"/>
            <w:shd w:val="clear" w:color="auto" w:fill="auto"/>
            <w:vAlign w:val="center"/>
          </w:tcPr>
          <w:p w:rsidR="009C6B86" w:rsidRPr="00F9522B" w:rsidRDefault="009C6B86" w:rsidP="00311756">
            <w:pPr>
              <w:spacing w:line="0" w:lineRule="atLeast"/>
              <w:jc w:val="center"/>
              <w:rPr>
                <w:rFonts w:eastAsiaTheme="minorEastAsia"/>
                <w:color w:val="FF0000"/>
                <w:szCs w:val="21"/>
              </w:rPr>
            </w:pPr>
            <w:r w:rsidRPr="00F9522B">
              <w:rPr>
                <w:rFonts w:eastAsiaTheme="minorEastAsia"/>
                <w:color w:val="FF0000"/>
                <w:szCs w:val="21"/>
              </w:rPr>
              <w:t>金城村</w:t>
            </w:r>
          </w:p>
        </w:tc>
        <w:tc>
          <w:tcPr>
            <w:tcW w:w="835"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126.9334646</w:t>
            </w:r>
          </w:p>
        </w:tc>
        <w:tc>
          <w:tcPr>
            <w:tcW w:w="1006"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46.235029</w:t>
            </w:r>
          </w:p>
        </w:tc>
        <w:tc>
          <w:tcPr>
            <w:tcW w:w="708"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567"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851"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1416"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排水沟</w:t>
            </w:r>
            <w:r w:rsidRPr="00F9522B">
              <w:rPr>
                <w:rFonts w:eastAsiaTheme="minorEastAsia"/>
                <w:snapToGrid w:val="0"/>
                <w:color w:val="FF0000"/>
                <w:szCs w:val="21"/>
              </w:rPr>
              <w:t>-1</w:t>
            </w:r>
          </w:p>
        </w:tc>
        <w:tc>
          <w:tcPr>
            <w:tcW w:w="1373" w:type="dxa"/>
            <w:shd w:val="clear" w:color="auto" w:fill="auto"/>
            <w:vAlign w:val="center"/>
          </w:tcPr>
          <w:p w:rsidR="009C6B86" w:rsidRPr="00F9522B" w:rsidRDefault="009C6B86" w:rsidP="00311756">
            <w:pPr>
              <w:adjustRightInd w:val="0"/>
              <w:snapToGrid w:val="0"/>
              <w:spacing w:line="0" w:lineRule="atLeast"/>
              <w:jc w:val="center"/>
              <w:rPr>
                <w:rFonts w:eastAsiaTheme="minorEastAsia"/>
                <w:color w:val="FF0000"/>
                <w:szCs w:val="21"/>
              </w:rPr>
            </w:pPr>
            <w:r w:rsidRPr="00F9522B">
              <w:rPr>
                <w:rFonts w:eastAsiaTheme="minorEastAsia"/>
                <w:color w:val="FF0000"/>
                <w:szCs w:val="21"/>
              </w:rPr>
              <w:t>N10</w:t>
            </w:r>
          </w:p>
        </w:tc>
      </w:tr>
      <w:tr w:rsidR="009C6B86" w:rsidRPr="00F9522B" w:rsidTr="00311756">
        <w:trPr>
          <w:trHeight w:val="593"/>
          <w:jc w:val="center"/>
        </w:trPr>
        <w:tc>
          <w:tcPr>
            <w:tcW w:w="1325" w:type="dxa"/>
            <w:shd w:val="clear" w:color="auto" w:fill="auto"/>
            <w:vAlign w:val="center"/>
          </w:tcPr>
          <w:p w:rsidR="009C6B86" w:rsidRPr="00F9522B" w:rsidRDefault="009C6B86" w:rsidP="00311756">
            <w:pPr>
              <w:spacing w:line="0" w:lineRule="atLeast"/>
              <w:jc w:val="center"/>
              <w:rPr>
                <w:rFonts w:eastAsiaTheme="minorEastAsia"/>
                <w:color w:val="FF0000"/>
                <w:szCs w:val="21"/>
              </w:rPr>
            </w:pPr>
            <w:r w:rsidRPr="00F9522B">
              <w:rPr>
                <w:rFonts w:eastAsiaTheme="minorEastAsia"/>
                <w:color w:val="FF0000"/>
                <w:szCs w:val="21"/>
              </w:rPr>
              <w:t>杨木村</w:t>
            </w:r>
          </w:p>
        </w:tc>
        <w:tc>
          <w:tcPr>
            <w:tcW w:w="835"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126.9708010</w:t>
            </w:r>
          </w:p>
        </w:tc>
        <w:tc>
          <w:tcPr>
            <w:tcW w:w="1006"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46.249098</w:t>
            </w:r>
          </w:p>
        </w:tc>
        <w:tc>
          <w:tcPr>
            <w:tcW w:w="708"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567"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851"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1416"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排水沟</w:t>
            </w:r>
            <w:r w:rsidRPr="00F9522B">
              <w:rPr>
                <w:rFonts w:eastAsiaTheme="minorEastAsia"/>
                <w:snapToGrid w:val="0"/>
                <w:color w:val="FF0000"/>
                <w:szCs w:val="21"/>
              </w:rPr>
              <w:t>-1</w:t>
            </w:r>
          </w:p>
        </w:tc>
        <w:tc>
          <w:tcPr>
            <w:tcW w:w="1403" w:type="dxa"/>
            <w:gridSpan w:val="2"/>
            <w:shd w:val="clear" w:color="auto" w:fill="auto"/>
            <w:vAlign w:val="center"/>
          </w:tcPr>
          <w:p w:rsidR="009C6B86" w:rsidRPr="00F9522B" w:rsidRDefault="009C6B86" w:rsidP="00311756">
            <w:pPr>
              <w:adjustRightInd w:val="0"/>
              <w:snapToGrid w:val="0"/>
              <w:spacing w:line="0" w:lineRule="atLeast"/>
              <w:jc w:val="center"/>
              <w:rPr>
                <w:rFonts w:eastAsiaTheme="minorEastAsia"/>
                <w:color w:val="FF0000"/>
                <w:szCs w:val="21"/>
              </w:rPr>
            </w:pPr>
            <w:r w:rsidRPr="00F9522B">
              <w:rPr>
                <w:rFonts w:eastAsiaTheme="minorEastAsia"/>
                <w:color w:val="FF0000"/>
                <w:szCs w:val="21"/>
              </w:rPr>
              <w:t>N20</w:t>
            </w:r>
          </w:p>
        </w:tc>
      </w:tr>
      <w:tr w:rsidR="009C6B86" w:rsidRPr="00F9522B" w:rsidTr="00311756">
        <w:trPr>
          <w:trHeight w:val="64"/>
          <w:jc w:val="center"/>
        </w:trPr>
        <w:tc>
          <w:tcPr>
            <w:tcW w:w="1325" w:type="dxa"/>
            <w:shd w:val="clear" w:color="auto" w:fill="auto"/>
            <w:vAlign w:val="center"/>
          </w:tcPr>
          <w:p w:rsidR="009C6B86" w:rsidRPr="00F9522B" w:rsidRDefault="009C6B86" w:rsidP="00311756">
            <w:pPr>
              <w:spacing w:line="0" w:lineRule="atLeast"/>
              <w:jc w:val="center"/>
              <w:rPr>
                <w:rFonts w:eastAsiaTheme="minorEastAsia"/>
                <w:color w:val="FF0000"/>
                <w:szCs w:val="21"/>
              </w:rPr>
            </w:pPr>
            <w:r w:rsidRPr="00F9522B">
              <w:rPr>
                <w:rFonts w:eastAsiaTheme="minorEastAsia"/>
                <w:color w:val="FF0000"/>
                <w:szCs w:val="21"/>
              </w:rPr>
              <w:t>红光</w:t>
            </w:r>
          </w:p>
        </w:tc>
        <w:tc>
          <w:tcPr>
            <w:tcW w:w="835"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126.8994113</w:t>
            </w:r>
          </w:p>
        </w:tc>
        <w:tc>
          <w:tcPr>
            <w:tcW w:w="1006"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46.266100</w:t>
            </w:r>
          </w:p>
        </w:tc>
        <w:tc>
          <w:tcPr>
            <w:tcW w:w="708"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567"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851"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1416"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排水沟</w:t>
            </w:r>
            <w:r w:rsidRPr="00F9522B">
              <w:rPr>
                <w:rFonts w:eastAsiaTheme="minorEastAsia"/>
                <w:snapToGrid w:val="0"/>
                <w:color w:val="FF0000"/>
                <w:szCs w:val="21"/>
              </w:rPr>
              <w:t>-1</w:t>
            </w:r>
          </w:p>
        </w:tc>
        <w:tc>
          <w:tcPr>
            <w:tcW w:w="1403" w:type="dxa"/>
            <w:gridSpan w:val="2"/>
            <w:shd w:val="clear" w:color="auto" w:fill="auto"/>
            <w:vAlign w:val="center"/>
          </w:tcPr>
          <w:p w:rsidR="009C6B86" w:rsidRPr="00F9522B" w:rsidRDefault="009C6B86" w:rsidP="00311756">
            <w:pPr>
              <w:adjustRightInd w:val="0"/>
              <w:snapToGrid w:val="0"/>
              <w:spacing w:line="0" w:lineRule="atLeast"/>
              <w:jc w:val="center"/>
              <w:rPr>
                <w:rFonts w:eastAsiaTheme="minorEastAsia"/>
                <w:color w:val="FF0000"/>
                <w:szCs w:val="21"/>
              </w:rPr>
            </w:pPr>
            <w:r w:rsidRPr="00F9522B">
              <w:rPr>
                <w:rFonts w:eastAsiaTheme="minorEastAsia"/>
                <w:color w:val="FF0000"/>
                <w:szCs w:val="21"/>
              </w:rPr>
              <w:t>NW20</w:t>
            </w:r>
          </w:p>
        </w:tc>
      </w:tr>
    </w:tbl>
    <w:p w:rsidR="009C6B86" w:rsidRPr="00F9522B" w:rsidRDefault="009C6B86">
      <w:pPr>
        <w:rPr>
          <w:color w:val="FF0000"/>
        </w:rPr>
      </w:pPr>
    </w:p>
    <w:p w:rsidR="00C66364" w:rsidRPr="00F9522B" w:rsidRDefault="00C66364">
      <w:pPr>
        <w:rPr>
          <w:color w:val="FF0000"/>
        </w:rPr>
      </w:pPr>
    </w:p>
    <w:p w:rsidR="009C6B86" w:rsidRPr="00F9522B" w:rsidRDefault="009C6B86" w:rsidP="009C6B86">
      <w:pPr>
        <w:contextualSpacing/>
        <w:jc w:val="center"/>
        <w:rPr>
          <w:rFonts w:eastAsiaTheme="minorEastAsia"/>
          <w:b/>
          <w:color w:val="FF0000"/>
          <w:kern w:val="0"/>
          <w:szCs w:val="21"/>
        </w:rPr>
      </w:pPr>
      <w:r w:rsidRPr="00F9522B">
        <w:rPr>
          <w:rFonts w:eastAsiaTheme="minorEastAsia"/>
          <w:b/>
          <w:color w:val="FF0000"/>
          <w:kern w:val="0"/>
          <w:szCs w:val="21"/>
        </w:rPr>
        <w:lastRenderedPageBreak/>
        <w:t>续表</w:t>
      </w:r>
      <w:r w:rsidRPr="00F9522B">
        <w:rPr>
          <w:rFonts w:eastAsiaTheme="minorEastAsia"/>
          <w:b/>
          <w:color w:val="FF0000"/>
          <w:kern w:val="0"/>
          <w:szCs w:val="21"/>
        </w:rPr>
        <w:t>2-8-2</w:t>
      </w:r>
      <w:r w:rsidRPr="00F9522B">
        <w:rPr>
          <w:rFonts w:eastAsiaTheme="minorEastAsia"/>
          <w:b/>
          <w:color w:val="FF0000"/>
          <w:kern w:val="0"/>
          <w:szCs w:val="21"/>
        </w:rPr>
        <w:t>重点施工工区周边保护目标分布情况一览表</w:t>
      </w:r>
    </w:p>
    <w:tbl>
      <w:tblPr>
        <w:tblW w:w="8111" w:type="dxa"/>
        <w:jc w:val="center"/>
        <w:tblBorders>
          <w:top w:val="single" w:sz="12" w:space="0" w:color="auto"/>
          <w:bottom w:val="single" w:sz="12" w:space="0" w:color="auto"/>
          <w:insideH w:val="single" w:sz="4" w:space="0" w:color="auto"/>
          <w:insideV w:val="single" w:sz="4" w:space="0" w:color="auto"/>
        </w:tblBorders>
        <w:tblLayout w:type="fixed"/>
        <w:tblLook w:val="04A0"/>
      </w:tblPr>
      <w:tblGrid>
        <w:gridCol w:w="1326"/>
        <w:gridCol w:w="834"/>
        <w:gridCol w:w="1003"/>
        <w:gridCol w:w="709"/>
        <w:gridCol w:w="569"/>
        <w:gridCol w:w="853"/>
        <w:gridCol w:w="1417"/>
        <w:gridCol w:w="1400"/>
      </w:tblGrid>
      <w:tr w:rsidR="009C6B86" w:rsidRPr="00F9522B" w:rsidTr="009C6B86">
        <w:trPr>
          <w:trHeight w:val="358"/>
          <w:jc w:val="center"/>
        </w:trPr>
        <w:tc>
          <w:tcPr>
            <w:tcW w:w="1328" w:type="dxa"/>
            <w:shd w:val="clear" w:color="auto" w:fill="auto"/>
            <w:vAlign w:val="center"/>
          </w:tcPr>
          <w:p w:rsidR="009C6B86" w:rsidRPr="00F9522B" w:rsidRDefault="009C6B86" w:rsidP="00311756">
            <w:pPr>
              <w:spacing w:line="0" w:lineRule="atLeast"/>
              <w:jc w:val="center"/>
              <w:rPr>
                <w:rFonts w:eastAsiaTheme="minorEastAsia"/>
                <w:color w:val="FF0000"/>
                <w:szCs w:val="21"/>
              </w:rPr>
            </w:pPr>
            <w:r w:rsidRPr="00F9522B">
              <w:rPr>
                <w:rFonts w:eastAsiaTheme="minorEastAsia"/>
                <w:color w:val="FF0000"/>
                <w:szCs w:val="21"/>
              </w:rPr>
              <w:t>城子村</w:t>
            </w:r>
          </w:p>
        </w:tc>
        <w:tc>
          <w:tcPr>
            <w:tcW w:w="834"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126.9363185</w:t>
            </w:r>
          </w:p>
        </w:tc>
        <w:tc>
          <w:tcPr>
            <w:tcW w:w="1004"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46.294930</w:t>
            </w:r>
          </w:p>
        </w:tc>
        <w:tc>
          <w:tcPr>
            <w:tcW w:w="709" w:type="dxa"/>
            <w:vMerge w:val="restart"/>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农村人群集中区</w:t>
            </w:r>
          </w:p>
        </w:tc>
        <w:tc>
          <w:tcPr>
            <w:tcW w:w="569" w:type="dxa"/>
            <w:vMerge w:val="restart"/>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人群</w:t>
            </w:r>
          </w:p>
        </w:tc>
        <w:tc>
          <w:tcPr>
            <w:tcW w:w="853" w:type="dxa"/>
            <w:vMerge w:val="restart"/>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环境空气：二类区；声环境：一类区</w:t>
            </w:r>
          </w:p>
        </w:tc>
        <w:tc>
          <w:tcPr>
            <w:tcW w:w="1413"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排水沟</w:t>
            </w:r>
            <w:r w:rsidRPr="00F9522B">
              <w:rPr>
                <w:rFonts w:eastAsiaTheme="minorEastAsia"/>
                <w:snapToGrid w:val="0"/>
                <w:color w:val="FF0000"/>
                <w:szCs w:val="21"/>
              </w:rPr>
              <w:t>-1</w:t>
            </w:r>
          </w:p>
        </w:tc>
        <w:tc>
          <w:tcPr>
            <w:tcW w:w="1401" w:type="dxa"/>
            <w:shd w:val="clear" w:color="auto" w:fill="auto"/>
            <w:vAlign w:val="center"/>
          </w:tcPr>
          <w:p w:rsidR="009C6B86" w:rsidRPr="00F9522B" w:rsidRDefault="009C6B86" w:rsidP="00311756">
            <w:pPr>
              <w:adjustRightInd w:val="0"/>
              <w:snapToGrid w:val="0"/>
              <w:spacing w:line="0" w:lineRule="atLeast"/>
              <w:jc w:val="center"/>
              <w:rPr>
                <w:rFonts w:eastAsiaTheme="minorEastAsia"/>
                <w:color w:val="FF0000"/>
                <w:szCs w:val="21"/>
              </w:rPr>
            </w:pPr>
            <w:r w:rsidRPr="00F9522B">
              <w:rPr>
                <w:rFonts w:eastAsiaTheme="minorEastAsia"/>
                <w:color w:val="FF0000"/>
                <w:szCs w:val="21"/>
              </w:rPr>
              <w:t>E20</w:t>
            </w:r>
          </w:p>
        </w:tc>
      </w:tr>
      <w:tr w:rsidR="009C6B86" w:rsidRPr="00F9522B" w:rsidTr="009C6B86">
        <w:trPr>
          <w:trHeight w:val="441"/>
          <w:jc w:val="center"/>
        </w:trPr>
        <w:tc>
          <w:tcPr>
            <w:tcW w:w="1328" w:type="dxa"/>
            <w:shd w:val="clear" w:color="auto" w:fill="auto"/>
            <w:vAlign w:val="center"/>
          </w:tcPr>
          <w:p w:rsidR="009C6B86" w:rsidRPr="00F9522B" w:rsidRDefault="009C6B86" w:rsidP="00311756">
            <w:pPr>
              <w:spacing w:line="0" w:lineRule="atLeast"/>
              <w:jc w:val="center"/>
              <w:rPr>
                <w:rFonts w:eastAsiaTheme="minorEastAsia"/>
                <w:color w:val="FF0000"/>
                <w:szCs w:val="21"/>
              </w:rPr>
            </w:pPr>
            <w:r w:rsidRPr="00F9522B">
              <w:rPr>
                <w:rFonts w:eastAsiaTheme="minorEastAsia"/>
                <w:color w:val="FF0000"/>
                <w:szCs w:val="21"/>
              </w:rPr>
              <w:t>罗庆屯</w:t>
            </w:r>
          </w:p>
        </w:tc>
        <w:tc>
          <w:tcPr>
            <w:tcW w:w="834"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126.9691916</w:t>
            </w:r>
          </w:p>
        </w:tc>
        <w:tc>
          <w:tcPr>
            <w:tcW w:w="1004"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46.291757</w:t>
            </w:r>
          </w:p>
        </w:tc>
        <w:tc>
          <w:tcPr>
            <w:tcW w:w="709"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569"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853"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1413"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排水沟</w:t>
            </w:r>
            <w:r w:rsidRPr="00F9522B">
              <w:rPr>
                <w:rFonts w:eastAsiaTheme="minorEastAsia"/>
                <w:snapToGrid w:val="0"/>
                <w:color w:val="FF0000"/>
                <w:szCs w:val="21"/>
              </w:rPr>
              <w:t>-2</w:t>
            </w:r>
          </w:p>
        </w:tc>
        <w:tc>
          <w:tcPr>
            <w:tcW w:w="1401" w:type="dxa"/>
            <w:shd w:val="clear" w:color="auto" w:fill="auto"/>
            <w:vAlign w:val="center"/>
          </w:tcPr>
          <w:p w:rsidR="009C6B86" w:rsidRPr="00F9522B" w:rsidRDefault="009C6B86" w:rsidP="00311756">
            <w:pPr>
              <w:adjustRightInd w:val="0"/>
              <w:snapToGrid w:val="0"/>
              <w:spacing w:line="0" w:lineRule="atLeast"/>
              <w:jc w:val="center"/>
              <w:rPr>
                <w:rFonts w:eastAsiaTheme="minorEastAsia"/>
                <w:color w:val="FF0000"/>
                <w:szCs w:val="21"/>
              </w:rPr>
            </w:pPr>
            <w:r w:rsidRPr="00F9522B">
              <w:rPr>
                <w:rFonts w:eastAsiaTheme="minorEastAsia"/>
                <w:color w:val="FF0000"/>
                <w:szCs w:val="21"/>
              </w:rPr>
              <w:t>N15</w:t>
            </w:r>
          </w:p>
        </w:tc>
      </w:tr>
      <w:tr w:rsidR="009C6B86" w:rsidRPr="00F9522B" w:rsidTr="009C6B86">
        <w:trPr>
          <w:trHeight w:val="535"/>
          <w:jc w:val="center"/>
        </w:trPr>
        <w:tc>
          <w:tcPr>
            <w:tcW w:w="1328" w:type="dxa"/>
            <w:shd w:val="clear" w:color="auto" w:fill="auto"/>
            <w:vAlign w:val="center"/>
          </w:tcPr>
          <w:p w:rsidR="009C6B86" w:rsidRPr="00F9522B" w:rsidRDefault="009C6B86" w:rsidP="00311756">
            <w:pPr>
              <w:spacing w:line="0" w:lineRule="atLeast"/>
              <w:jc w:val="center"/>
              <w:rPr>
                <w:rFonts w:eastAsiaTheme="minorEastAsia"/>
                <w:color w:val="FF0000"/>
                <w:szCs w:val="21"/>
              </w:rPr>
            </w:pPr>
            <w:r w:rsidRPr="00F9522B">
              <w:rPr>
                <w:rFonts w:eastAsiaTheme="minorEastAsia"/>
                <w:color w:val="FF0000"/>
                <w:szCs w:val="21"/>
              </w:rPr>
              <w:t>永发村</w:t>
            </w:r>
          </w:p>
        </w:tc>
        <w:tc>
          <w:tcPr>
            <w:tcW w:w="834"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126.9739982</w:t>
            </w:r>
          </w:p>
        </w:tc>
        <w:tc>
          <w:tcPr>
            <w:tcW w:w="1004"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46.301957</w:t>
            </w:r>
          </w:p>
        </w:tc>
        <w:tc>
          <w:tcPr>
            <w:tcW w:w="709"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569"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853"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1413"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排水沟</w:t>
            </w:r>
            <w:r w:rsidRPr="00F9522B">
              <w:rPr>
                <w:rFonts w:eastAsiaTheme="minorEastAsia"/>
                <w:snapToGrid w:val="0"/>
                <w:color w:val="FF0000"/>
                <w:szCs w:val="21"/>
              </w:rPr>
              <w:t>-1</w:t>
            </w:r>
          </w:p>
        </w:tc>
        <w:tc>
          <w:tcPr>
            <w:tcW w:w="1401" w:type="dxa"/>
            <w:shd w:val="clear" w:color="auto" w:fill="auto"/>
            <w:vAlign w:val="center"/>
          </w:tcPr>
          <w:p w:rsidR="009C6B86" w:rsidRPr="00F9522B" w:rsidRDefault="009C6B86" w:rsidP="00311756">
            <w:pPr>
              <w:adjustRightInd w:val="0"/>
              <w:snapToGrid w:val="0"/>
              <w:spacing w:line="0" w:lineRule="atLeast"/>
              <w:jc w:val="center"/>
              <w:rPr>
                <w:rFonts w:eastAsiaTheme="minorEastAsia"/>
                <w:color w:val="FF0000"/>
                <w:szCs w:val="21"/>
              </w:rPr>
            </w:pPr>
            <w:r w:rsidRPr="00F9522B">
              <w:rPr>
                <w:rFonts w:eastAsiaTheme="minorEastAsia"/>
                <w:color w:val="FF0000"/>
                <w:szCs w:val="21"/>
              </w:rPr>
              <w:t>N30</w:t>
            </w:r>
          </w:p>
        </w:tc>
      </w:tr>
      <w:tr w:rsidR="009C6B86" w:rsidRPr="00F9522B" w:rsidTr="009C6B86">
        <w:trPr>
          <w:trHeight w:val="399"/>
          <w:jc w:val="center"/>
        </w:trPr>
        <w:tc>
          <w:tcPr>
            <w:tcW w:w="1328" w:type="dxa"/>
            <w:shd w:val="clear" w:color="auto" w:fill="auto"/>
            <w:vAlign w:val="center"/>
          </w:tcPr>
          <w:p w:rsidR="009C6B86" w:rsidRPr="00F9522B" w:rsidRDefault="009C6B86" w:rsidP="00311756">
            <w:pPr>
              <w:spacing w:line="0" w:lineRule="atLeast"/>
              <w:jc w:val="center"/>
              <w:rPr>
                <w:rFonts w:eastAsiaTheme="minorEastAsia"/>
                <w:color w:val="FF0000"/>
                <w:szCs w:val="21"/>
              </w:rPr>
            </w:pPr>
            <w:r w:rsidRPr="00F9522B">
              <w:rPr>
                <w:rFonts w:eastAsiaTheme="minorEastAsia"/>
                <w:color w:val="FF0000"/>
                <w:szCs w:val="21"/>
              </w:rPr>
              <w:t>金星</w:t>
            </w:r>
          </w:p>
        </w:tc>
        <w:tc>
          <w:tcPr>
            <w:tcW w:w="834"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126.8949266</w:t>
            </w:r>
          </w:p>
        </w:tc>
        <w:tc>
          <w:tcPr>
            <w:tcW w:w="1004"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46.315742</w:t>
            </w:r>
          </w:p>
        </w:tc>
        <w:tc>
          <w:tcPr>
            <w:tcW w:w="709"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569"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853"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1413"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排水沟</w:t>
            </w:r>
            <w:r w:rsidRPr="00F9522B">
              <w:rPr>
                <w:rFonts w:eastAsiaTheme="minorEastAsia"/>
                <w:snapToGrid w:val="0"/>
                <w:color w:val="FF0000"/>
                <w:szCs w:val="21"/>
              </w:rPr>
              <w:t>-5</w:t>
            </w:r>
          </w:p>
        </w:tc>
        <w:tc>
          <w:tcPr>
            <w:tcW w:w="1401" w:type="dxa"/>
            <w:shd w:val="clear" w:color="auto" w:fill="auto"/>
            <w:vAlign w:val="center"/>
          </w:tcPr>
          <w:p w:rsidR="009C6B86" w:rsidRPr="00F9522B" w:rsidRDefault="009C6B86" w:rsidP="00311756">
            <w:pPr>
              <w:adjustRightInd w:val="0"/>
              <w:snapToGrid w:val="0"/>
              <w:spacing w:line="0" w:lineRule="atLeast"/>
              <w:jc w:val="center"/>
              <w:rPr>
                <w:rFonts w:eastAsiaTheme="minorEastAsia"/>
                <w:color w:val="FF0000"/>
                <w:szCs w:val="21"/>
              </w:rPr>
            </w:pPr>
            <w:r w:rsidRPr="00F9522B">
              <w:rPr>
                <w:rFonts w:eastAsiaTheme="minorEastAsia"/>
                <w:color w:val="FF0000"/>
                <w:szCs w:val="21"/>
              </w:rPr>
              <w:t>N15</w:t>
            </w:r>
          </w:p>
        </w:tc>
      </w:tr>
      <w:tr w:rsidR="009C6B86" w:rsidRPr="00F9522B" w:rsidTr="009C6B86">
        <w:trPr>
          <w:trHeight w:val="513"/>
          <w:jc w:val="center"/>
        </w:trPr>
        <w:tc>
          <w:tcPr>
            <w:tcW w:w="1328" w:type="dxa"/>
            <w:shd w:val="clear" w:color="auto" w:fill="auto"/>
            <w:vAlign w:val="center"/>
          </w:tcPr>
          <w:p w:rsidR="009C6B86" w:rsidRPr="00F9522B" w:rsidRDefault="009C6B86" w:rsidP="00311756">
            <w:pPr>
              <w:spacing w:line="0" w:lineRule="atLeast"/>
              <w:jc w:val="center"/>
              <w:rPr>
                <w:rFonts w:eastAsiaTheme="minorEastAsia"/>
                <w:color w:val="FF0000"/>
                <w:szCs w:val="21"/>
              </w:rPr>
            </w:pPr>
            <w:r w:rsidRPr="00F9522B">
              <w:rPr>
                <w:rFonts w:eastAsiaTheme="minorEastAsia"/>
                <w:color w:val="FF0000"/>
                <w:szCs w:val="21"/>
              </w:rPr>
              <w:t>金星村</w:t>
            </w:r>
          </w:p>
        </w:tc>
        <w:tc>
          <w:tcPr>
            <w:tcW w:w="834"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126.8638988</w:t>
            </w:r>
          </w:p>
        </w:tc>
        <w:tc>
          <w:tcPr>
            <w:tcW w:w="1004"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46.320217</w:t>
            </w:r>
          </w:p>
        </w:tc>
        <w:tc>
          <w:tcPr>
            <w:tcW w:w="709"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569"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853"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1413"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排水沟</w:t>
            </w:r>
            <w:r w:rsidRPr="00F9522B">
              <w:rPr>
                <w:rFonts w:eastAsiaTheme="minorEastAsia"/>
                <w:snapToGrid w:val="0"/>
                <w:color w:val="FF0000"/>
                <w:szCs w:val="21"/>
              </w:rPr>
              <w:t>-2</w:t>
            </w:r>
          </w:p>
        </w:tc>
        <w:tc>
          <w:tcPr>
            <w:tcW w:w="1401" w:type="dxa"/>
            <w:shd w:val="clear" w:color="auto" w:fill="auto"/>
            <w:vAlign w:val="center"/>
          </w:tcPr>
          <w:p w:rsidR="009C6B86" w:rsidRPr="00F9522B" w:rsidRDefault="009C6B86" w:rsidP="00311756">
            <w:pPr>
              <w:adjustRightInd w:val="0"/>
              <w:snapToGrid w:val="0"/>
              <w:spacing w:line="0" w:lineRule="atLeast"/>
              <w:jc w:val="center"/>
              <w:rPr>
                <w:rFonts w:eastAsiaTheme="minorEastAsia"/>
                <w:color w:val="FF0000"/>
                <w:szCs w:val="21"/>
              </w:rPr>
            </w:pPr>
            <w:r w:rsidRPr="00F9522B">
              <w:rPr>
                <w:rFonts w:eastAsiaTheme="minorEastAsia"/>
                <w:color w:val="FF0000"/>
                <w:szCs w:val="21"/>
              </w:rPr>
              <w:t>N15</w:t>
            </w:r>
          </w:p>
        </w:tc>
      </w:tr>
      <w:tr w:rsidR="009C6B86" w:rsidRPr="00F9522B" w:rsidTr="009C6B86">
        <w:trPr>
          <w:trHeight w:val="229"/>
          <w:jc w:val="center"/>
        </w:trPr>
        <w:tc>
          <w:tcPr>
            <w:tcW w:w="1328" w:type="dxa"/>
            <w:shd w:val="clear" w:color="auto" w:fill="auto"/>
            <w:vAlign w:val="center"/>
          </w:tcPr>
          <w:p w:rsidR="009C6B86" w:rsidRPr="00F9522B" w:rsidRDefault="009C6B86" w:rsidP="00311756">
            <w:pPr>
              <w:spacing w:line="0" w:lineRule="atLeast"/>
              <w:jc w:val="center"/>
              <w:rPr>
                <w:rFonts w:eastAsiaTheme="minorEastAsia"/>
                <w:color w:val="FF0000"/>
                <w:szCs w:val="21"/>
              </w:rPr>
            </w:pPr>
            <w:r w:rsidRPr="00F9522B">
              <w:rPr>
                <w:rFonts w:eastAsiaTheme="minorEastAsia"/>
                <w:color w:val="FF0000"/>
                <w:szCs w:val="21"/>
              </w:rPr>
              <w:t>石人村</w:t>
            </w:r>
          </w:p>
        </w:tc>
        <w:tc>
          <w:tcPr>
            <w:tcW w:w="834"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126.8530413</w:t>
            </w:r>
          </w:p>
        </w:tc>
        <w:tc>
          <w:tcPr>
            <w:tcW w:w="1004" w:type="dxa"/>
            <w:vAlign w:val="center"/>
          </w:tcPr>
          <w:p w:rsidR="009C6B86" w:rsidRPr="00F9522B" w:rsidRDefault="009C6B86" w:rsidP="00311756">
            <w:pPr>
              <w:jc w:val="center"/>
              <w:rPr>
                <w:rFonts w:eastAsiaTheme="minorEastAsia"/>
                <w:color w:val="FF0000"/>
                <w:szCs w:val="21"/>
              </w:rPr>
            </w:pPr>
            <w:r w:rsidRPr="00F9522B">
              <w:rPr>
                <w:rFonts w:eastAsiaTheme="minorEastAsia"/>
                <w:color w:val="FF0000"/>
                <w:szCs w:val="21"/>
              </w:rPr>
              <w:t>46.288999</w:t>
            </w:r>
          </w:p>
        </w:tc>
        <w:tc>
          <w:tcPr>
            <w:tcW w:w="709"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569"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853"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1413"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color w:val="FF0000"/>
                <w:szCs w:val="21"/>
              </w:rPr>
              <w:t>排水沟</w:t>
            </w:r>
            <w:r w:rsidRPr="00F9522B">
              <w:rPr>
                <w:rFonts w:eastAsiaTheme="minorEastAsia"/>
                <w:color w:val="FF0000"/>
                <w:szCs w:val="21"/>
              </w:rPr>
              <w:t>-1</w:t>
            </w:r>
          </w:p>
        </w:tc>
        <w:tc>
          <w:tcPr>
            <w:tcW w:w="1401" w:type="dxa"/>
            <w:shd w:val="clear" w:color="auto" w:fill="auto"/>
            <w:vAlign w:val="center"/>
          </w:tcPr>
          <w:p w:rsidR="009C6B86" w:rsidRPr="00F9522B" w:rsidRDefault="009C6B86" w:rsidP="00311756">
            <w:pPr>
              <w:adjustRightInd w:val="0"/>
              <w:snapToGrid w:val="0"/>
              <w:spacing w:line="0" w:lineRule="atLeast"/>
              <w:jc w:val="center"/>
              <w:rPr>
                <w:rFonts w:eastAsiaTheme="minorEastAsia"/>
                <w:color w:val="FF0000"/>
                <w:szCs w:val="21"/>
              </w:rPr>
            </w:pPr>
            <w:r w:rsidRPr="00F9522B">
              <w:rPr>
                <w:rFonts w:eastAsiaTheme="minorEastAsia"/>
                <w:color w:val="FF0000"/>
                <w:szCs w:val="21"/>
              </w:rPr>
              <w:t>S50</w:t>
            </w:r>
          </w:p>
        </w:tc>
      </w:tr>
      <w:tr w:rsidR="009C6B86" w:rsidRPr="00F9522B" w:rsidTr="009C6B86">
        <w:trPr>
          <w:trHeight w:val="507"/>
          <w:jc w:val="center"/>
        </w:trPr>
        <w:tc>
          <w:tcPr>
            <w:tcW w:w="1328" w:type="dxa"/>
            <w:shd w:val="clear" w:color="auto" w:fill="auto"/>
            <w:vAlign w:val="center"/>
          </w:tcPr>
          <w:p w:rsidR="009C6B86" w:rsidRPr="00F9522B" w:rsidRDefault="009C6B86" w:rsidP="00311756">
            <w:pPr>
              <w:spacing w:line="0" w:lineRule="atLeast"/>
              <w:jc w:val="center"/>
              <w:rPr>
                <w:rFonts w:eastAsiaTheme="minorEastAsia"/>
                <w:color w:val="FF0000"/>
                <w:szCs w:val="21"/>
              </w:rPr>
            </w:pPr>
            <w:r w:rsidRPr="00F9522B">
              <w:rPr>
                <w:rFonts w:eastAsiaTheme="minorEastAsia"/>
                <w:color w:val="FF0000"/>
                <w:szCs w:val="21"/>
              </w:rPr>
              <w:t>于家村</w:t>
            </w:r>
          </w:p>
        </w:tc>
        <w:tc>
          <w:tcPr>
            <w:tcW w:w="834"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126.8301245</w:t>
            </w:r>
          </w:p>
        </w:tc>
        <w:tc>
          <w:tcPr>
            <w:tcW w:w="1004" w:type="dxa"/>
            <w:vAlign w:val="center"/>
          </w:tcPr>
          <w:p w:rsidR="009C6B86" w:rsidRPr="00F9522B" w:rsidRDefault="009C6B86" w:rsidP="00311756">
            <w:pPr>
              <w:jc w:val="center"/>
              <w:rPr>
                <w:rFonts w:eastAsiaTheme="minorEastAsia"/>
                <w:color w:val="FF0000"/>
                <w:szCs w:val="21"/>
              </w:rPr>
            </w:pPr>
            <w:r w:rsidRPr="00F9522B">
              <w:rPr>
                <w:rFonts w:eastAsiaTheme="minorEastAsia"/>
                <w:color w:val="FF0000"/>
                <w:szCs w:val="21"/>
              </w:rPr>
              <w:t>46.304596</w:t>
            </w:r>
          </w:p>
        </w:tc>
        <w:tc>
          <w:tcPr>
            <w:tcW w:w="709"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569"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853"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1418"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color w:val="FF0000"/>
                <w:szCs w:val="21"/>
              </w:rPr>
              <w:t>排水沟</w:t>
            </w:r>
            <w:r w:rsidRPr="00F9522B">
              <w:rPr>
                <w:rFonts w:eastAsiaTheme="minorEastAsia"/>
                <w:color w:val="FF0000"/>
                <w:szCs w:val="21"/>
              </w:rPr>
              <w:t>-1</w:t>
            </w:r>
          </w:p>
        </w:tc>
        <w:tc>
          <w:tcPr>
            <w:tcW w:w="1396" w:type="dxa"/>
            <w:shd w:val="clear" w:color="auto" w:fill="auto"/>
            <w:vAlign w:val="center"/>
          </w:tcPr>
          <w:p w:rsidR="009C6B86" w:rsidRPr="00F9522B" w:rsidRDefault="009C6B86" w:rsidP="00311756">
            <w:pPr>
              <w:adjustRightInd w:val="0"/>
              <w:snapToGrid w:val="0"/>
              <w:spacing w:line="0" w:lineRule="atLeast"/>
              <w:jc w:val="center"/>
              <w:rPr>
                <w:rFonts w:eastAsiaTheme="minorEastAsia"/>
                <w:color w:val="FF0000"/>
                <w:szCs w:val="21"/>
              </w:rPr>
            </w:pPr>
            <w:r w:rsidRPr="00F9522B">
              <w:rPr>
                <w:rFonts w:eastAsiaTheme="minorEastAsia"/>
                <w:color w:val="FF0000"/>
                <w:szCs w:val="21"/>
              </w:rPr>
              <w:t>N20</w:t>
            </w:r>
          </w:p>
        </w:tc>
      </w:tr>
      <w:tr w:rsidR="009C6B86" w:rsidRPr="00F9522B" w:rsidTr="009C6B86">
        <w:trPr>
          <w:trHeight w:val="644"/>
          <w:jc w:val="center"/>
        </w:trPr>
        <w:tc>
          <w:tcPr>
            <w:tcW w:w="1328" w:type="dxa"/>
            <w:shd w:val="clear" w:color="auto" w:fill="auto"/>
            <w:vAlign w:val="center"/>
          </w:tcPr>
          <w:p w:rsidR="009C6B86" w:rsidRPr="00F9522B" w:rsidRDefault="009C6B86" w:rsidP="00311756">
            <w:pPr>
              <w:spacing w:line="0" w:lineRule="atLeast"/>
              <w:jc w:val="center"/>
              <w:rPr>
                <w:rFonts w:eastAsiaTheme="minorEastAsia"/>
                <w:color w:val="FF0000"/>
                <w:szCs w:val="21"/>
              </w:rPr>
            </w:pPr>
            <w:r w:rsidRPr="00F9522B">
              <w:rPr>
                <w:rFonts w:eastAsiaTheme="minorEastAsia"/>
                <w:color w:val="FF0000"/>
                <w:szCs w:val="21"/>
              </w:rPr>
              <w:t>全胜</w:t>
            </w:r>
          </w:p>
        </w:tc>
        <w:tc>
          <w:tcPr>
            <w:tcW w:w="834"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126.8103834</w:t>
            </w:r>
          </w:p>
        </w:tc>
        <w:tc>
          <w:tcPr>
            <w:tcW w:w="1004" w:type="dxa"/>
            <w:vAlign w:val="center"/>
          </w:tcPr>
          <w:p w:rsidR="009C6B86" w:rsidRPr="00F9522B" w:rsidRDefault="009C6B86" w:rsidP="00311756">
            <w:pPr>
              <w:jc w:val="center"/>
              <w:rPr>
                <w:rFonts w:eastAsiaTheme="minorEastAsia"/>
                <w:color w:val="FF0000"/>
                <w:szCs w:val="21"/>
              </w:rPr>
            </w:pPr>
            <w:r w:rsidRPr="00F9522B">
              <w:rPr>
                <w:rFonts w:eastAsiaTheme="minorEastAsia"/>
                <w:color w:val="FF0000"/>
                <w:szCs w:val="21"/>
              </w:rPr>
              <w:t>46.294040</w:t>
            </w:r>
          </w:p>
        </w:tc>
        <w:tc>
          <w:tcPr>
            <w:tcW w:w="709"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569"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853"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1418"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color w:val="FF0000"/>
                <w:szCs w:val="21"/>
              </w:rPr>
              <w:t>排水沟</w:t>
            </w:r>
            <w:r w:rsidRPr="00F9522B">
              <w:rPr>
                <w:rFonts w:eastAsiaTheme="minorEastAsia"/>
                <w:color w:val="FF0000"/>
                <w:szCs w:val="21"/>
              </w:rPr>
              <w:t>-2</w:t>
            </w:r>
          </w:p>
        </w:tc>
        <w:tc>
          <w:tcPr>
            <w:tcW w:w="1396" w:type="dxa"/>
            <w:shd w:val="clear" w:color="auto" w:fill="auto"/>
            <w:vAlign w:val="center"/>
          </w:tcPr>
          <w:p w:rsidR="009C6B86" w:rsidRPr="00F9522B" w:rsidRDefault="009C6B86" w:rsidP="00311756">
            <w:pPr>
              <w:adjustRightInd w:val="0"/>
              <w:snapToGrid w:val="0"/>
              <w:spacing w:line="0" w:lineRule="atLeast"/>
              <w:jc w:val="center"/>
              <w:rPr>
                <w:rFonts w:eastAsiaTheme="minorEastAsia"/>
                <w:color w:val="FF0000"/>
                <w:szCs w:val="21"/>
              </w:rPr>
            </w:pPr>
            <w:r w:rsidRPr="00F9522B">
              <w:rPr>
                <w:rFonts w:eastAsiaTheme="minorEastAsia"/>
                <w:color w:val="FF0000"/>
                <w:szCs w:val="21"/>
              </w:rPr>
              <w:t>S20</w:t>
            </w:r>
          </w:p>
        </w:tc>
      </w:tr>
      <w:tr w:rsidR="009C6B86" w:rsidRPr="00F9522B" w:rsidTr="009C6B86">
        <w:trPr>
          <w:trHeight w:val="361"/>
          <w:jc w:val="center"/>
        </w:trPr>
        <w:tc>
          <w:tcPr>
            <w:tcW w:w="1328" w:type="dxa"/>
            <w:shd w:val="clear" w:color="auto" w:fill="auto"/>
            <w:vAlign w:val="center"/>
          </w:tcPr>
          <w:p w:rsidR="009C6B86" w:rsidRPr="00F9522B" w:rsidRDefault="009C6B86" w:rsidP="00311756">
            <w:pPr>
              <w:spacing w:line="0" w:lineRule="atLeast"/>
              <w:jc w:val="center"/>
              <w:rPr>
                <w:rFonts w:eastAsiaTheme="minorEastAsia"/>
                <w:color w:val="FF0000"/>
                <w:szCs w:val="21"/>
              </w:rPr>
            </w:pPr>
            <w:r w:rsidRPr="00F9522B">
              <w:rPr>
                <w:rFonts w:eastAsiaTheme="minorEastAsia"/>
                <w:color w:val="FF0000"/>
                <w:szCs w:val="21"/>
              </w:rPr>
              <w:t>王家窝棚</w:t>
            </w:r>
          </w:p>
        </w:tc>
        <w:tc>
          <w:tcPr>
            <w:tcW w:w="834"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126.8081947</w:t>
            </w:r>
          </w:p>
        </w:tc>
        <w:tc>
          <w:tcPr>
            <w:tcW w:w="1004" w:type="dxa"/>
            <w:vAlign w:val="center"/>
          </w:tcPr>
          <w:p w:rsidR="009C6B86" w:rsidRPr="00F9522B" w:rsidRDefault="009C6B86" w:rsidP="00311756">
            <w:pPr>
              <w:jc w:val="center"/>
              <w:rPr>
                <w:rFonts w:eastAsiaTheme="minorEastAsia"/>
                <w:color w:val="FF0000"/>
                <w:szCs w:val="21"/>
              </w:rPr>
            </w:pPr>
            <w:r w:rsidRPr="00F9522B">
              <w:rPr>
                <w:rFonts w:eastAsiaTheme="minorEastAsia"/>
                <w:color w:val="FF0000"/>
                <w:szCs w:val="21"/>
              </w:rPr>
              <w:t>46.282089</w:t>
            </w:r>
          </w:p>
        </w:tc>
        <w:tc>
          <w:tcPr>
            <w:tcW w:w="709"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569"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853"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1418"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color w:val="FF0000"/>
                <w:szCs w:val="21"/>
              </w:rPr>
              <w:t>排水沟</w:t>
            </w:r>
            <w:r w:rsidRPr="00F9522B">
              <w:rPr>
                <w:rFonts w:eastAsiaTheme="minorEastAsia"/>
                <w:color w:val="FF0000"/>
                <w:szCs w:val="21"/>
              </w:rPr>
              <w:t>-1</w:t>
            </w:r>
          </w:p>
        </w:tc>
        <w:tc>
          <w:tcPr>
            <w:tcW w:w="1396" w:type="dxa"/>
            <w:shd w:val="clear" w:color="auto" w:fill="auto"/>
            <w:vAlign w:val="center"/>
          </w:tcPr>
          <w:p w:rsidR="009C6B86" w:rsidRPr="00F9522B" w:rsidRDefault="009C6B86" w:rsidP="00311756">
            <w:pPr>
              <w:adjustRightInd w:val="0"/>
              <w:snapToGrid w:val="0"/>
              <w:spacing w:line="0" w:lineRule="atLeast"/>
              <w:jc w:val="center"/>
              <w:rPr>
                <w:rFonts w:eastAsiaTheme="minorEastAsia"/>
                <w:color w:val="FF0000"/>
                <w:szCs w:val="21"/>
              </w:rPr>
            </w:pPr>
            <w:r w:rsidRPr="00F9522B">
              <w:rPr>
                <w:rFonts w:eastAsiaTheme="minorEastAsia"/>
                <w:color w:val="FF0000"/>
                <w:szCs w:val="21"/>
              </w:rPr>
              <w:t>W20</w:t>
            </w:r>
          </w:p>
        </w:tc>
      </w:tr>
      <w:tr w:rsidR="009C6B86" w:rsidRPr="00F9522B" w:rsidTr="009C6B86">
        <w:trPr>
          <w:trHeight w:val="440"/>
          <w:jc w:val="center"/>
        </w:trPr>
        <w:tc>
          <w:tcPr>
            <w:tcW w:w="1328" w:type="dxa"/>
            <w:shd w:val="clear" w:color="auto" w:fill="auto"/>
            <w:vAlign w:val="center"/>
          </w:tcPr>
          <w:p w:rsidR="009C6B86" w:rsidRPr="00F9522B" w:rsidRDefault="009C6B86" w:rsidP="00311756">
            <w:pPr>
              <w:spacing w:line="0" w:lineRule="atLeast"/>
              <w:jc w:val="center"/>
              <w:rPr>
                <w:rFonts w:eastAsiaTheme="minorEastAsia"/>
                <w:color w:val="FF0000"/>
                <w:szCs w:val="21"/>
              </w:rPr>
            </w:pPr>
            <w:r w:rsidRPr="00F9522B">
              <w:rPr>
                <w:rFonts w:eastAsiaTheme="minorEastAsia"/>
                <w:color w:val="FF0000"/>
                <w:szCs w:val="21"/>
              </w:rPr>
              <w:t>古城村</w:t>
            </w:r>
          </w:p>
        </w:tc>
        <w:tc>
          <w:tcPr>
            <w:tcW w:w="834"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126.8244167</w:t>
            </w:r>
          </w:p>
        </w:tc>
        <w:tc>
          <w:tcPr>
            <w:tcW w:w="1004" w:type="dxa"/>
            <w:vAlign w:val="center"/>
          </w:tcPr>
          <w:p w:rsidR="009C6B86" w:rsidRPr="00F9522B" w:rsidRDefault="009C6B86" w:rsidP="00311756">
            <w:pPr>
              <w:jc w:val="center"/>
              <w:rPr>
                <w:rFonts w:eastAsiaTheme="minorEastAsia"/>
                <w:color w:val="FF0000"/>
                <w:szCs w:val="21"/>
              </w:rPr>
            </w:pPr>
            <w:r w:rsidRPr="00F9522B">
              <w:rPr>
                <w:rFonts w:eastAsiaTheme="minorEastAsia"/>
                <w:color w:val="FF0000"/>
                <w:szCs w:val="21"/>
              </w:rPr>
              <w:t>46.281614</w:t>
            </w:r>
          </w:p>
        </w:tc>
        <w:tc>
          <w:tcPr>
            <w:tcW w:w="709"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569"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853"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1418"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color w:val="FF0000"/>
                <w:szCs w:val="21"/>
              </w:rPr>
              <w:t>排水沟</w:t>
            </w:r>
            <w:r w:rsidRPr="00F9522B">
              <w:rPr>
                <w:rFonts w:eastAsiaTheme="minorEastAsia"/>
                <w:color w:val="FF0000"/>
                <w:szCs w:val="21"/>
              </w:rPr>
              <w:t>-1</w:t>
            </w:r>
          </w:p>
        </w:tc>
        <w:tc>
          <w:tcPr>
            <w:tcW w:w="1396" w:type="dxa"/>
            <w:shd w:val="clear" w:color="auto" w:fill="auto"/>
            <w:vAlign w:val="center"/>
          </w:tcPr>
          <w:p w:rsidR="009C6B86" w:rsidRPr="00F9522B" w:rsidRDefault="009C6B86" w:rsidP="00311756">
            <w:pPr>
              <w:adjustRightInd w:val="0"/>
              <w:snapToGrid w:val="0"/>
              <w:spacing w:line="0" w:lineRule="atLeast"/>
              <w:jc w:val="center"/>
              <w:rPr>
                <w:rFonts w:eastAsiaTheme="minorEastAsia"/>
                <w:color w:val="FF0000"/>
                <w:szCs w:val="21"/>
              </w:rPr>
            </w:pPr>
            <w:r w:rsidRPr="00F9522B">
              <w:rPr>
                <w:rFonts w:eastAsiaTheme="minorEastAsia"/>
                <w:color w:val="FF0000"/>
                <w:szCs w:val="21"/>
              </w:rPr>
              <w:t>W50</w:t>
            </w:r>
          </w:p>
        </w:tc>
      </w:tr>
      <w:tr w:rsidR="009C6B86" w:rsidRPr="00F9522B" w:rsidTr="009C6B86">
        <w:trPr>
          <w:trHeight w:val="161"/>
          <w:jc w:val="center"/>
        </w:trPr>
        <w:tc>
          <w:tcPr>
            <w:tcW w:w="1328" w:type="dxa"/>
            <w:shd w:val="clear" w:color="auto" w:fill="auto"/>
            <w:vAlign w:val="center"/>
          </w:tcPr>
          <w:p w:rsidR="009C6B86" w:rsidRPr="00F9522B" w:rsidRDefault="009C6B86" w:rsidP="00311756">
            <w:pPr>
              <w:spacing w:line="0" w:lineRule="atLeast"/>
              <w:jc w:val="center"/>
              <w:rPr>
                <w:rFonts w:eastAsiaTheme="minorEastAsia"/>
                <w:color w:val="FF0000"/>
                <w:szCs w:val="21"/>
              </w:rPr>
            </w:pPr>
            <w:r w:rsidRPr="00F9522B">
              <w:rPr>
                <w:rFonts w:eastAsiaTheme="minorEastAsia"/>
                <w:color w:val="FF0000"/>
                <w:szCs w:val="21"/>
              </w:rPr>
              <w:t>王佩村</w:t>
            </w:r>
          </w:p>
        </w:tc>
        <w:tc>
          <w:tcPr>
            <w:tcW w:w="834"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snapToGrid w:val="0"/>
                <w:color w:val="FF0000"/>
                <w:szCs w:val="21"/>
              </w:rPr>
              <w:t>126.7778965</w:t>
            </w:r>
          </w:p>
        </w:tc>
        <w:tc>
          <w:tcPr>
            <w:tcW w:w="1004" w:type="dxa"/>
            <w:vAlign w:val="center"/>
          </w:tcPr>
          <w:p w:rsidR="009C6B86" w:rsidRPr="00F9522B" w:rsidRDefault="009C6B86" w:rsidP="00311756">
            <w:pPr>
              <w:jc w:val="center"/>
              <w:rPr>
                <w:rFonts w:eastAsiaTheme="minorEastAsia"/>
                <w:color w:val="FF0000"/>
                <w:szCs w:val="21"/>
              </w:rPr>
            </w:pPr>
            <w:r w:rsidRPr="00F9522B">
              <w:rPr>
                <w:rFonts w:eastAsiaTheme="minorEastAsia"/>
                <w:color w:val="FF0000"/>
                <w:szCs w:val="21"/>
              </w:rPr>
              <w:t>46.245121</w:t>
            </w:r>
          </w:p>
        </w:tc>
        <w:tc>
          <w:tcPr>
            <w:tcW w:w="709"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569"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853" w:type="dxa"/>
            <w:vMerge/>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p>
        </w:tc>
        <w:tc>
          <w:tcPr>
            <w:tcW w:w="1418" w:type="dxa"/>
            <w:vAlign w:val="center"/>
          </w:tcPr>
          <w:p w:rsidR="009C6B86" w:rsidRPr="00F9522B" w:rsidRDefault="009C6B86" w:rsidP="00311756">
            <w:pPr>
              <w:adjustRightInd w:val="0"/>
              <w:snapToGrid w:val="0"/>
              <w:spacing w:line="0" w:lineRule="atLeast"/>
              <w:jc w:val="center"/>
              <w:rPr>
                <w:rFonts w:eastAsiaTheme="minorEastAsia"/>
                <w:snapToGrid w:val="0"/>
                <w:color w:val="FF0000"/>
                <w:szCs w:val="21"/>
              </w:rPr>
            </w:pPr>
            <w:r w:rsidRPr="00F9522B">
              <w:rPr>
                <w:rFonts w:eastAsiaTheme="minorEastAsia"/>
                <w:color w:val="FF0000"/>
                <w:szCs w:val="21"/>
              </w:rPr>
              <w:t>排水沟</w:t>
            </w:r>
            <w:r w:rsidRPr="00F9522B">
              <w:rPr>
                <w:rFonts w:eastAsiaTheme="minorEastAsia"/>
                <w:color w:val="FF0000"/>
                <w:szCs w:val="21"/>
              </w:rPr>
              <w:t>-1</w:t>
            </w:r>
          </w:p>
        </w:tc>
        <w:tc>
          <w:tcPr>
            <w:tcW w:w="1396" w:type="dxa"/>
            <w:shd w:val="clear" w:color="auto" w:fill="auto"/>
            <w:vAlign w:val="center"/>
          </w:tcPr>
          <w:p w:rsidR="009C6B86" w:rsidRPr="00F9522B" w:rsidRDefault="009C6B86" w:rsidP="00311756">
            <w:pPr>
              <w:adjustRightInd w:val="0"/>
              <w:snapToGrid w:val="0"/>
              <w:spacing w:line="0" w:lineRule="atLeast"/>
              <w:jc w:val="center"/>
              <w:rPr>
                <w:rFonts w:eastAsiaTheme="minorEastAsia"/>
                <w:color w:val="FF0000"/>
                <w:szCs w:val="21"/>
              </w:rPr>
            </w:pPr>
            <w:r w:rsidRPr="00F9522B">
              <w:rPr>
                <w:rFonts w:eastAsiaTheme="minorEastAsia"/>
                <w:color w:val="FF0000"/>
                <w:szCs w:val="21"/>
              </w:rPr>
              <w:t>E15</w:t>
            </w:r>
          </w:p>
        </w:tc>
      </w:tr>
    </w:tbl>
    <w:p w:rsidR="002A5A5E" w:rsidRPr="00F9522B" w:rsidRDefault="00611CBA">
      <w:pPr>
        <w:spacing w:line="360" w:lineRule="auto"/>
        <w:ind w:firstLineChars="200" w:firstLine="480"/>
        <w:contextualSpacing/>
        <w:rPr>
          <w:rFonts w:eastAsiaTheme="minorEastAsia"/>
          <w:snapToGrid w:val="0"/>
          <w:sz w:val="24"/>
        </w:rPr>
      </w:pPr>
      <w:r w:rsidRPr="00F9522B">
        <w:rPr>
          <w:rFonts w:eastAsiaTheme="minorEastAsia"/>
          <w:sz w:val="24"/>
        </w:rPr>
        <w:t>根据黑龙江省生态环境分区管控数据应用平台出具的《</w:t>
      </w:r>
      <w:r w:rsidR="003A7922" w:rsidRPr="00F9522B">
        <w:rPr>
          <w:rFonts w:eastAsiaTheme="minorEastAsia"/>
          <w:sz w:val="24"/>
        </w:rPr>
        <w:t>呼兰区</w:t>
      </w:r>
      <w:r w:rsidR="003A7922" w:rsidRPr="00F9522B">
        <w:rPr>
          <w:rFonts w:eastAsiaTheme="minorEastAsia"/>
          <w:sz w:val="24"/>
        </w:rPr>
        <w:t>2026</w:t>
      </w:r>
      <w:r w:rsidR="003A7922" w:rsidRPr="00F9522B">
        <w:rPr>
          <w:rFonts w:eastAsiaTheme="minorEastAsia"/>
          <w:sz w:val="24"/>
        </w:rPr>
        <w:t>年高标准农田建设项目</w:t>
      </w:r>
      <w:r w:rsidRPr="00F9522B">
        <w:rPr>
          <w:rFonts w:eastAsiaTheme="minorEastAsia"/>
          <w:sz w:val="24"/>
        </w:rPr>
        <w:t>生态环境分区管控分析报告》可见，本项目工程占地及评价区域内不涉及生态保护红线、</w:t>
      </w:r>
      <w:r w:rsidRPr="00F9522B">
        <w:rPr>
          <w:rFonts w:eastAsiaTheme="minorEastAsia"/>
          <w:snapToGrid w:val="0"/>
          <w:sz w:val="24"/>
        </w:rPr>
        <w:t>国家、省、市重点保护文物、森林公园、地质公园、天然林、公益林、重要湿地等生态保护目标。</w:t>
      </w:r>
    </w:p>
    <w:p w:rsidR="002A5A5E" w:rsidRPr="00F9522B" w:rsidRDefault="00DE64E8">
      <w:pPr>
        <w:spacing w:line="360" w:lineRule="auto"/>
        <w:ind w:firstLineChars="200" w:firstLine="480"/>
        <w:contextualSpacing/>
        <w:rPr>
          <w:rFonts w:eastAsiaTheme="minorEastAsia"/>
          <w:snapToGrid w:val="0"/>
          <w:sz w:val="24"/>
        </w:rPr>
      </w:pPr>
      <w:r w:rsidRPr="00F9522B">
        <w:rPr>
          <w:rFonts w:eastAsiaTheme="minorEastAsia"/>
          <w:snapToGrid w:val="0"/>
          <w:color w:val="FF0000"/>
          <w:sz w:val="24"/>
        </w:rPr>
        <w:t>经勘测单位实地测量，</w:t>
      </w:r>
      <w:r w:rsidR="00160559" w:rsidRPr="00F9522B">
        <w:rPr>
          <w:rFonts w:eastAsiaTheme="minorEastAsia"/>
          <w:snapToGrid w:val="0"/>
          <w:color w:val="FF0000"/>
          <w:sz w:val="24"/>
        </w:rPr>
        <w:t>本项目现有公家沟农田退水口距离黑龙江呼兰河口湿地省级自然保护区约</w:t>
      </w:r>
      <w:r w:rsidRPr="00F9522B">
        <w:rPr>
          <w:rFonts w:eastAsiaTheme="minorEastAsia"/>
          <w:snapToGrid w:val="0"/>
          <w:color w:val="FF0000"/>
          <w:sz w:val="24"/>
        </w:rPr>
        <w:t>25</w:t>
      </w:r>
      <w:r w:rsidR="00160559" w:rsidRPr="00F9522B">
        <w:rPr>
          <w:rFonts w:eastAsiaTheme="minorEastAsia"/>
          <w:snapToGrid w:val="0"/>
          <w:color w:val="FF0000"/>
          <w:sz w:val="24"/>
        </w:rPr>
        <w:t>m</w:t>
      </w:r>
      <w:r w:rsidR="00611CBA" w:rsidRPr="00F9522B">
        <w:rPr>
          <w:rFonts w:eastAsiaTheme="minorEastAsia"/>
          <w:snapToGrid w:val="0"/>
          <w:color w:val="FF0000"/>
          <w:sz w:val="24"/>
        </w:rPr>
        <w:t>。</w:t>
      </w:r>
      <w:r w:rsidR="00611CBA" w:rsidRPr="00F9522B">
        <w:rPr>
          <w:rFonts w:eastAsiaTheme="minorEastAsia"/>
          <w:snapToGrid w:val="0"/>
          <w:sz w:val="24"/>
        </w:rPr>
        <w:t>位置关系图见</w:t>
      </w:r>
      <w:r w:rsidR="00611CBA" w:rsidRPr="00F9522B">
        <w:rPr>
          <w:rFonts w:eastAsiaTheme="minorEastAsia"/>
          <w:snapToGrid w:val="0"/>
          <w:sz w:val="24"/>
        </w:rPr>
        <w:t>2-8-1</w:t>
      </w:r>
      <w:r w:rsidR="00611CBA" w:rsidRPr="00F9522B">
        <w:rPr>
          <w:rFonts w:eastAsiaTheme="minorEastAsia"/>
          <w:snapToGrid w:val="0"/>
          <w:sz w:val="24"/>
        </w:rPr>
        <w:t>。</w:t>
      </w:r>
    </w:p>
    <w:p w:rsidR="002A5A5E" w:rsidRPr="00F9522B" w:rsidRDefault="00611CBA">
      <w:pPr>
        <w:spacing w:line="360" w:lineRule="auto"/>
        <w:ind w:firstLineChars="200" w:firstLine="480"/>
        <w:contextualSpacing/>
        <w:rPr>
          <w:rFonts w:eastAsiaTheme="minorEastAsia"/>
          <w:sz w:val="24"/>
        </w:rPr>
      </w:pPr>
      <w:r w:rsidRPr="00F9522B">
        <w:rPr>
          <w:rFonts w:eastAsiaTheme="minorEastAsia"/>
          <w:snapToGrid w:val="0"/>
          <w:sz w:val="24"/>
        </w:rPr>
        <w:t>根据</w:t>
      </w:r>
      <w:r w:rsidRPr="00F9522B">
        <w:rPr>
          <w:rFonts w:eastAsiaTheme="minorEastAsia"/>
          <w:sz w:val="24"/>
        </w:rPr>
        <w:t>已批复</w:t>
      </w:r>
      <w:r w:rsidRPr="00F9522B">
        <w:rPr>
          <w:rFonts w:eastAsiaTheme="minorEastAsia"/>
          <w:snapToGrid w:val="0"/>
          <w:sz w:val="24"/>
        </w:rPr>
        <w:t>《</w:t>
      </w:r>
      <w:r w:rsidR="003A7922" w:rsidRPr="00F9522B">
        <w:rPr>
          <w:rFonts w:eastAsiaTheme="minorEastAsia"/>
          <w:snapToGrid w:val="0"/>
          <w:sz w:val="24"/>
        </w:rPr>
        <w:t>呼兰区</w:t>
      </w:r>
      <w:r w:rsidR="003A7922" w:rsidRPr="00F9522B">
        <w:rPr>
          <w:rFonts w:eastAsiaTheme="minorEastAsia"/>
          <w:snapToGrid w:val="0"/>
          <w:sz w:val="24"/>
        </w:rPr>
        <w:t>2026</w:t>
      </w:r>
      <w:r w:rsidR="003A7922" w:rsidRPr="00F9522B">
        <w:rPr>
          <w:rFonts w:eastAsiaTheme="minorEastAsia"/>
          <w:snapToGrid w:val="0"/>
          <w:sz w:val="24"/>
        </w:rPr>
        <w:t>年高标准农田建设项目</w:t>
      </w:r>
      <w:r w:rsidRPr="00F9522B">
        <w:rPr>
          <w:rFonts w:eastAsiaTheme="minorEastAsia"/>
          <w:snapToGrid w:val="0"/>
          <w:sz w:val="24"/>
        </w:rPr>
        <w:t>水资源论证报告书》可知，本项目井群地下水开采水位影响范围最大为</w:t>
      </w:r>
      <w:r w:rsidRPr="00F9522B">
        <w:rPr>
          <w:rFonts w:eastAsiaTheme="minorEastAsia"/>
          <w:snapToGrid w:val="0"/>
          <w:sz w:val="24"/>
        </w:rPr>
        <w:t>6</w:t>
      </w:r>
      <w:r w:rsidR="00DD0748" w:rsidRPr="00F9522B">
        <w:rPr>
          <w:rFonts w:eastAsiaTheme="minorEastAsia"/>
          <w:snapToGrid w:val="0"/>
          <w:sz w:val="24"/>
        </w:rPr>
        <w:t>6</w:t>
      </w:r>
      <w:r w:rsidRPr="00F9522B">
        <w:rPr>
          <w:rFonts w:eastAsiaTheme="minorEastAsia"/>
          <w:snapToGrid w:val="0"/>
          <w:sz w:val="24"/>
        </w:rPr>
        <w:t>m</w:t>
      </w:r>
      <w:r w:rsidRPr="00F9522B">
        <w:rPr>
          <w:rFonts w:eastAsiaTheme="minorEastAsia"/>
          <w:snapToGrid w:val="0"/>
          <w:sz w:val="24"/>
        </w:rPr>
        <w:t>，经调查，地下水水位影响范围内未分布天然林、公益林、湿地等生态保护目标。</w:t>
      </w:r>
    </w:p>
    <w:p w:rsidR="002A5A5E" w:rsidRPr="00F9522B" w:rsidRDefault="00DE64E8">
      <w:pPr>
        <w:spacing w:line="360" w:lineRule="auto"/>
        <w:contextualSpacing/>
        <w:jc w:val="left"/>
        <w:rPr>
          <w:rFonts w:eastAsiaTheme="minorEastAsia"/>
          <w:b/>
          <w:snapToGrid w:val="0"/>
          <w:sz w:val="24"/>
        </w:rPr>
      </w:pPr>
      <w:r w:rsidRPr="00F9522B">
        <w:rPr>
          <w:rFonts w:eastAsiaTheme="minorEastAsia"/>
          <w:b/>
          <w:snapToGrid w:val="0"/>
          <w:sz w:val="24"/>
        </w:rPr>
        <w:t xml:space="preserve"> </w:t>
      </w:r>
      <w:r w:rsidRPr="00F9522B">
        <w:rPr>
          <w:rFonts w:eastAsiaTheme="minorEastAsia"/>
          <w:b/>
          <w:noProof/>
          <w:sz w:val="24"/>
        </w:rPr>
        <w:lastRenderedPageBreak/>
        <w:drawing>
          <wp:inline distT="0" distB="0" distL="0" distR="0">
            <wp:extent cx="5274310" cy="2968856"/>
            <wp:effectExtent l="19050" t="19050" r="21590" b="21994"/>
            <wp:docPr id="3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srcRect/>
                    <a:stretch>
                      <a:fillRect/>
                    </a:stretch>
                  </pic:blipFill>
                  <pic:spPr bwMode="auto">
                    <a:xfrm>
                      <a:off x="0" y="0"/>
                      <a:ext cx="5274310" cy="2968856"/>
                    </a:xfrm>
                    <a:prstGeom prst="rect">
                      <a:avLst/>
                    </a:prstGeom>
                    <a:noFill/>
                    <a:ln w="9525">
                      <a:solidFill>
                        <a:schemeClr val="tx1"/>
                      </a:solidFill>
                      <a:miter lim="800000"/>
                      <a:headEnd/>
                      <a:tailEnd/>
                    </a:ln>
                  </pic:spPr>
                </pic:pic>
              </a:graphicData>
            </a:graphic>
          </wp:inline>
        </w:drawing>
      </w:r>
    </w:p>
    <w:p w:rsidR="002A5A5E" w:rsidRPr="00F9522B" w:rsidRDefault="00DE64E8">
      <w:pPr>
        <w:contextualSpacing/>
        <w:jc w:val="center"/>
        <w:rPr>
          <w:rFonts w:eastAsiaTheme="minorEastAsia"/>
          <w:b/>
          <w:color w:val="FF0000"/>
          <w:kern w:val="0"/>
          <w:szCs w:val="21"/>
        </w:rPr>
      </w:pPr>
      <w:r w:rsidRPr="00F9522B">
        <w:rPr>
          <w:rFonts w:eastAsiaTheme="minorEastAsia"/>
          <w:b/>
          <w:noProof/>
          <w:sz w:val="24"/>
        </w:rPr>
        <w:drawing>
          <wp:anchor distT="0" distB="0" distL="114300" distR="114300" simplePos="0" relativeHeight="251793408" behindDoc="0" locked="0" layoutInCell="1" allowOverlap="1">
            <wp:simplePos x="0" y="0"/>
            <wp:positionH relativeFrom="column">
              <wp:posOffset>27956</wp:posOffset>
            </wp:positionH>
            <wp:positionV relativeFrom="paragraph">
              <wp:posOffset>-3063042</wp:posOffset>
            </wp:positionV>
            <wp:extent cx="526580" cy="522514"/>
            <wp:effectExtent l="19050" t="0" r="6820" b="0"/>
            <wp:wrapNone/>
            <wp:docPr id="60"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37"/>
                    <pic:cNvPicPr>
                      <a:picLocks noChangeAspect="1" noChangeArrowheads="1"/>
                    </pic:cNvPicPr>
                  </pic:nvPicPr>
                  <pic:blipFill>
                    <a:blip r:embed="rId28" cstate="print"/>
                    <a:srcRect/>
                    <a:stretch>
                      <a:fillRect/>
                    </a:stretch>
                  </pic:blipFill>
                  <pic:spPr>
                    <a:xfrm>
                      <a:off x="0" y="0"/>
                      <a:ext cx="526580" cy="522514"/>
                    </a:xfrm>
                    <a:prstGeom prst="rect">
                      <a:avLst/>
                    </a:prstGeom>
                    <a:noFill/>
                    <a:ln w="9525">
                      <a:noFill/>
                      <a:miter lim="800000"/>
                      <a:headEnd/>
                      <a:tailEnd/>
                    </a:ln>
                  </pic:spPr>
                </pic:pic>
              </a:graphicData>
            </a:graphic>
          </wp:anchor>
        </w:drawing>
      </w:r>
      <w:r w:rsidR="005273A1" w:rsidRPr="005273A1">
        <w:rPr>
          <w:rFonts w:eastAsiaTheme="minorEastAsia"/>
          <w:b/>
          <w:sz w:val="24"/>
        </w:rPr>
        <w:pict>
          <v:shape id="_x0000_s697118" type="#_x0000_t61" style="position:absolute;left:0;text-align:left;margin-left:73pt;margin-top:-93.05pt;width:69.35pt;height:23.15pt;z-index:251792384;mso-position-horizontal-relative:text;mso-position-vertical-relative:text" adj="23111,-27758" filled="f" strokecolor="red">
            <v:textbox style="mso-next-textbox:#_x0000_s697118">
              <w:txbxContent>
                <w:p w:rsidR="000D2D13" w:rsidRPr="00160559" w:rsidRDefault="000D2D13">
                  <w:pPr>
                    <w:rPr>
                      <w:color w:val="FF0000"/>
                      <w:sz w:val="15"/>
                      <w:szCs w:val="15"/>
                    </w:rPr>
                  </w:pPr>
                  <w:r w:rsidRPr="00160559">
                    <w:rPr>
                      <w:rFonts w:eastAsiaTheme="minorEastAsia" w:hAnsiTheme="minorEastAsia"/>
                      <w:b/>
                      <w:snapToGrid w:val="0"/>
                      <w:color w:val="FF0000"/>
                      <w:sz w:val="15"/>
                      <w:szCs w:val="15"/>
                    </w:rPr>
                    <w:t>现有农田退水口</w:t>
                  </w:r>
                </w:p>
              </w:txbxContent>
            </v:textbox>
          </v:shape>
        </w:pict>
      </w:r>
      <w:r w:rsidR="00611CBA" w:rsidRPr="00F9522B">
        <w:rPr>
          <w:rFonts w:eastAsiaTheme="minorEastAsia"/>
          <w:b/>
          <w:snapToGrid w:val="0"/>
          <w:color w:val="FF0000"/>
          <w:szCs w:val="21"/>
        </w:rPr>
        <w:t>图</w:t>
      </w:r>
      <w:r w:rsidR="00611CBA" w:rsidRPr="00F9522B">
        <w:rPr>
          <w:rFonts w:eastAsiaTheme="minorEastAsia"/>
          <w:b/>
          <w:snapToGrid w:val="0"/>
          <w:color w:val="FF0000"/>
          <w:szCs w:val="21"/>
        </w:rPr>
        <w:t>2-8-1</w:t>
      </w:r>
      <w:r w:rsidR="00611CBA" w:rsidRPr="00F9522B">
        <w:rPr>
          <w:rFonts w:eastAsiaTheme="minorEastAsia"/>
          <w:b/>
          <w:snapToGrid w:val="0"/>
          <w:color w:val="FF0000"/>
          <w:szCs w:val="21"/>
        </w:rPr>
        <w:t>本项目现有农田退水口与黑龙江呼兰河口湿地省级自然保护区位置关系图</w:t>
      </w:r>
    </w:p>
    <w:p w:rsidR="002A5A5E" w:rsidRPr="00F9522B" w:rsidRDefault="00611CBA">
      <w:pPr>
        <w:spacing w:line="360" w:lineRule="auto"/>
        <w:ind w:firstLineChars="200" w:firstLine="480"/>
        <w:contextualSpacing/>
        <w:rPr>
          <w:rFonts w:eastAsiaTheme="minorEastAsia"/>
          <w:snapToGrid w:val="0"/>
          <w:sz w:val="24"/>
        </w:rPr>
      </w:pPr>
      <w:r w:rsidRPr="00F9522B">
        <w:rPr>
          <w:rFonts w:eastAsiaTheme="minorEastAsia"/>
          <w:snapToGrid w:val="0"/>
          <w:sz w:val="24"/>
        </w:rPr>
        <w:t>本项目现有退水路线不涉及重要水生生物的自然产卵场、索饵场、越冬场和洄游通道。</w:t>
      </w:r>
    </w:p>
    <w:p w:rsidR="002A5A5E" w:rsidRPr="00F9522B" w:rsidRDefault="00611CBA">
      <w:pPr>
        <w:contextualSpacing/>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2-8-</w:t>
      </w:r>
      <w:r w:rsidR="009C6B86" w:rsidRPr="00F9522B">
        <w:rPr>
          <w:rFonts w:eastAsiaTheme="minorEastAsia"/>
          <w:b/>
          <w:kern w:val="0"/>
          <w:szCs w:val="21"/>
        </w:rPr>
        <w:t>3</w:t>
      </w:r>
      <w:r w:rsidRPr="00F9522B">
        <w:rPr>
          <w:rFonts w:eastAsiaTheme="minorEastAsia"/>
          <w:b/>
          <w:kern w:val="0"/>
          <w:szCs w:val="21"/>
        </w:rPr>
        <w:t xml:space="preserve"> </w:t>
      </w:r>
      <w:r w:rsidRPr="00F9522B">
        <w:rPr>
          <w:rFonts w:eastAsiaTheme="minorEastAsia"/>
          <w:b/>
          <w:kern w:val="0"/>
          <w:szCs w:val="21"/>
        </w:rPr>
        <w:t>生态环境保护目标一览表</w:t>
      </w:r>
    </w:p>
    <w:tbl>
      <w:tblPr>
        <w:tblW w:w="5000" w:type="pct"/>
        <w:jc w:val="center"/>
        <w:tblBorders>
          <w:top w:val="single" w:sz="12" w:space="0" w:color="auto"/>
          <w:bottom w:val="single" w:sz="12" w:space="0" w:color="auto"/>
          <w:insideH w:val="single" w:sz="2" w:space="0" w:color="auto"/>
          <w:insideV w:val="single" w:sz="2" w:space="0" w:color="auto"/>
        </w:tblBorders>
        <w:tblCellMar>
          <w:left w:w="0" w:type="dxa"/>
          <w:right w:w="0" w:type="dxa"/>
        </w:tblCellMar>
        <w:tblLook w:val="04A0"/>
      </w:tblPr>
      <w:tblGrid>
        <w:gridCol w:w="678"/>
        <w:gridCol w:w="1581"/>
        <w:gridCol w:w="1693"/>
        <w:gridCol w:w="1693"/>
        <w:gridCol w:w="701"/>
        <w:gridCol w:w="1960"/>
      </w:tblGrid>
      <w:tr w:rsidR="002A5A5E" w:rsidRPr="00F9522B">
        <w:trPr>
          <w:trHeight w:val="602"/>
          <w:jc w:val="center"/>
        </w:trPr>
        <w:tc>
          <w:tcPr>
            <w:tcW w:w="408" w:type="pct"/>
            <w:vAlign w:val="center"/>
          </w:tcPr>
          <w:p w:rsidR="002A5A5E" w:rsidRPr="00F9522B" w:rsidRDefault="00611CBA">
            <w:pPr>
              <w:jc w:val="center"/>
              <w:rPr>
                <w:rFonts w:eastAsiaTheme="minorEastAsia"/>
                <w:kern w:val="0"/>
                <w:szCs w:val="21"/>
              </w:rPr>
            </w:pPr>
            <w:r w:rsidRPr="00F9522B">
              <w:rPr>
                <w:rFonts w:eastAsiaTheme="minorEastAsia"/>
                <w:kern w:val="0"/>
                <w:szCs w:val="21"/>
              </w:rPr>
              <w:t>类别</w:t>
            </w:r>
          </w:p>
        </w:tc>
        <w:tc>
          <w:tcPr>
            <w:tcW w:w="952" w:type="pct"/>
            <w:vAlign w:val="center"/>
          </w:tcPr>
          <w:p w:rsidR="002A5A5E" w:rsidRPr="00F9522B" w:rsidRDefault="00611CBA">
            <w:pPr>
              <w:jc w:val="center"/>
              <w:rPr>
                <w:rFonts w:eastAsiaTheme="minorEastAsia"/>
                <w:kern w:val="0"/>
                <w:szCs w:val="21"/>
              </w:rPr>
            </w:pPr>
            <w:r w:rsidRPr="00F9522B">
              <w:rPr>
                <w:rFonts w:eastAsiaTheme="minorEastAsia"/>
                <w:kern w:val="0"/>
                <w:szCs w:val="21"/>
              </w:rPr>
              <w:t>名称</w:t>
            </w:r>
          </w:p>
        </w:tc>
        <w:tc>
          <w:tcPr>
            <w:tcW w:w="1019" w:type="pct"/>
            <w:vAlign w:val="center"/>
          </w:tcPr>
          <w:p w:rsidR="002A5A5E" w:rsidRPr="00F9522B" w:rsidRDefault="00611CBA">
            <w:pPr>
              <w:jc w:val="center"/>
              <w:rPr>
                <w:rFonts w:eastAsiaTheme="minorEastAsia"/>
                <w:kern w:val="0"/>
                <w:szCs w:val="21"/>
              </w:rPr>
            </w:pPr>
            <w:r w:rsidRPr="00F9522B">
              <w:t>环境功能</w:t>
            </w:r>
          </w:p>
        </w:tc>
        <w:tc>
          <w:tcPr>
            <w:tcW w:w="1019" w:type="pct"/>
            <w:vAlign w:val="center"/>
          </w:tcPr>
          <w:p w:rsidR="002A5A5E" w:rsidRPr="00F9522B" w:rsidRDefault="00611CBA">
            <w:pPr>
              <w:jc w:val="center"/>
              <w:rPr>
                <w:rFonts w:eastAsiaTheme="minorEastAsia"/>
              </w:rPr>
            </w:pPr>
            <w:r w:rsidRPr="00F9522B">
              <w:rPr>
                <w:rFonts w:eastAsiaTheme="minorEastAsia"/>
                <w:kern w:val="0"/>
                <w:szCs w:val="21"/>
              </w:rPr>
              <w:t>对应区位关系</w:t>
            </w:r>
          </w:p>
        </w:tc>
        <w:tc>
          <w:tcPr>
            <w:tcW w:w="422" w:type="pct"/>
            <w:vAlign w:val="center"/>
          </w:tcPr>
          <w:p w:rsidR="002A5A5E" w:rsidRPr="00F9522B" w:rsidRDefault="00611CBA">
            <w:pPr>
              <w:jc w:val="center"/>
              <w:rPr>
                <w:rFonts w:eastAsiaTheme="minorEastAsia"/>
              </w:rPr>
            </w:pPr>
            <w:r w:rsidRPr="00F9522B">
              <w:rPr>
                <w:rFonts w:eastAsiaTheme="minorEastAsia"/>
                <w:kern w:val="0"/>
                <w:szCs w:val="21"/>
              </w:rPr>
              <w:t>占用情况</w:t>
            </w:r>
          </w:p>
        </w:tc>
        <w:tc>
          <w:tcPr>
            <w:tcW w:w="1180" w:type="pct"/>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保护要求</w:t>
            </w:r>
          </w:p>
        </w:tc>
      </w:tr>
      <w:tr w:rsidR="002A5A5E" w:rsidRPr="00F9522B">
        <w:trPr>
          <w:trHeight w:val="268"/>
          <w:jc w:val="center"/>
        </w:trPr>
        <w:tc>
          <w:tcPr>
            <w:tcW w:w="408" w:type="pct"/>
            <w:vMerge w:val="restart"/>
            <w:vAlign w:val="center"/>
          </w:tcPr>
          <w:p w:rsidR="002A5A5E" w:rsidRPr="00F9522B" w:rsidRDefault="00611CBA">
            <w:pPr>
              <w:jc w:val="center"/>
              <w:rPr>
                <w:rFonts w:eastAsiaTheme="minorEastAsia"/>
                <w:snapToGrid w:val="0"/>
                <w:szCs w:val="21"/>
              </w:rPr>
            </w:pPr>
            <w:r w:rsidRPr="00F9522B">
              <w:rPr>
                <w:rFonts w:eastAsiaTheme="minorEastAsia"/>
              </w:rPr>
              <w:t>陆生生态</w:t>
            </w:r>
          </w:p>
        </w:tc>
        <w:tc>
          <w:tcPr>
            <w:tcW w:w="952" w:type="pct"/>
            <w:vAlign w:val="center"/>
          </w:tcPr>
          <w:p w:rsidR="002A5A5E" w:rsidRPr="00F9522B" w:rsidRDefault="00611CBA">
            <w:pPr>
              <w:jc w:val="center"/>
              <w:rPr>
                <w:rFonts w:eastAsiaTheme="minorEastAsia"/>
                <w:snapToGrid w:val="0"/>
                <w:szCs w:val="21"/>
              </w:rPr>
            </w:pPr>
            <w:r w:rsidRPr="00F9522B">
              <w:rPr>
                <w:rFonts w:eastAsiaTheme="minorEastAsia"/>
              </w:rPr>
              <w:t>黑土地</w:t>
            </w:r>
          </w:p>
        </w:tc>
        <w:tc>
          <w:tcPr>
            <w:tcW w:w="1019" w:type="pct"/>
            <w:vAlign w:val="center"/>
          </w:tcPr>
          <w:p w:rsidR="002A5A5E" w:rsidRPr="00F9522B" w:rsidRDefault="00611CBA">
            <w:pPr>
              <w:jc w:val="center"/>
              <w:rPr>
                <w:rFonts w:eastAsiaTheme="minorEastAsia"/>
                <w:snapToGrid w:val="0"/>
                <w:szCs w:val="21"/>
              </w:rPr>
            </w:pPr>
            <w:r w:rsidRPr="00F9522B">
              <w:t>粮食生产、固碳</w:t>
            </w:r>
          </w:p>
        </w:tc>
        <w:tc>
          <w:tcPr>
            <w:tcW w:w="1441" w:type="pct"/>
            <w:gridSpan w:val="2"/>
            <w:vAlign w:val="center"/>
          </w:tcPr>
          <w:p w:rsidR="002A5A5E" w:rsidRPr="00F9522B" w:rsidRDefault="00611CBA">
            <w:pPr>
              <w:jc w:val="center"/>
              <w:rPr>
                <w:rFonts w:eastAsiaTheme="minorEastAsia"/>
                <w:smallCaps/>
              </w:rPr>
            </w:pPr>
            <w:r w:rsidRPr="00F9522B">
              <w:rPr>
                <w:rFonts w:eastAsiaTheme="minorEastAsia"/>
                <w:snapToGrid w:val="0"/>
                <w:szCs w:val="21"/>
              </w:rPr>
              <w:t>工程建设占地（田块整治工程）及评价范围</w:t>
            </w:r>
          </w:p>
        </w:tc>
        <w:tc>
          <w:tcPr>
            <w:tcW w:w="1180" w:type="pct"/>
            <w:vAlign w:val="center"/>
          </w:tcPr>
          <w:p w:rsidR="002A5A5E" w:rsidRPr="00F9522B" w:rsidRDefault="00611CBA">
            <w:pPr>
              <w:spacing w:line="0" w:lineRule="atLeast"/>
              <w:jc w:val="center"/>
              <w:rPr>
                <w:rFonts w:eastAsiaTheme="minorEastAsia"/>
                <w:szCs w:val="22"/>
              </w:rPr>
            </w:pPr>
            <w:r w:rsidRPr="00F9522B">
              <w:rPr>
                <w:bCs/>
              </w:rPr>
              <w:t>耕作层表土剥离，严格保护，合理利用</w:t>
            </w:r>
          </w:p>
        </w:tc>
      </w:tr>
      <w:tr w:rsidR="002A5A5E" w:rsidRPr="00F9522B">
        <w:trPr>
          <w:trHeight w:val="456"/>
          <w:jc w:val="center"/>
        </w:trPr>
        <w:tc>
          <w:tcPr>
            <w:tcW w:w="408" w:type="pct"/>
            <w:vMerge/>
            <w:vAlign w:val="center"/>
          </w:tcPr>
          <w:p w:rsidR="002A5A5E" w:rsidRPr="00F9522B" w:rsidRDefault="002A5A5E">
            <w:pPr>
              <w:jc w:val="center"/>
              <w:rPr>
                <w:rFonts w:eastAsiaTheme="minorEastAsia"/>
                <w:snapToGrid w:val="0"/>
                <w:szCs w:val="21"/>
              </w:rPr>
            </w:pPr>
          </w:p>
        </w:tc>
        <w:tc>
          <w:tcPr>
            <w:tcW w:w="952" w:type="pct"/>
            <w:vAlign w:val="center"/>
          </w:tcPr>
          <w:p w:rsidR="002A5A5E" w:rsidRPr="00F9522B" w:rsidRDefault="00611CBA">
            <w:pPr>
              <w:jc w:val="center"/>
              <w:rPr>
                <w:rFonts w:eastAsiaTheme="minorEastAsia"/>
                <w:snapToGrid w:val="0"/>
                <w:szCs w:val="21"/>
              </w:rPr>
            </w:pPr>
            <w:r w:rsidRPr="00F9522B">
              <w:rPr>
                <w:rFonts w:eastAsiaTheme="minorEastAsia"/>
              </w:rPr>
              <w:t>永久基本农田</w:t>
            </w:r>
          </w:p>
        </w:tc>
        <w:tc>
          <w:tcPr>
            <w:tcW w:w="1019" w:type="pct"/>
            <w:vAlign w:val="center"/>
          </w:tcPr>
          <w:p w:rsidR="002A5A5E" w:rsidRPr="00F9522B" w:rsidRDefault="00611CBA">
            <w:pPr>
              <w:jc w:val="center"/>
              <w:rPr>
                <w:rFonts w:eastAsiaTheme="minorEastAsia"/>
                <w:snapToGrid w:val="0"/>
                <w:szCs w:val="21"/>
              </w:rPr>
            </w:pPr>
            <w:r w:rsidRPr="00F9522B">
              <w:t>具有重要的农业生产功能和农村生态功能</w:t>
            </w:r>
          </w:p>
        </w:tc>
        <w:tc>
          <w:tcPr>
            <w:tcW w:w="1441" w:type="pct"/>
            <w:gridSpan w:val="2"/>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工程建设占地（田块整治工程）及评价范围</w:t>
            </w:r>
          </w:p>
        </w:tc>
        <w:tc>
          <w:tcPr>
            <w:tcW w:w="1180" w:type="pct"/>
            <w:vAlign w:val="center"/>
          </w:tcPr>
          <w:p w:rsidR="002A5A5E" w:rsidRPr="00F9522B" w:rsidRDefault="00611CBA">
            <w:pPr>
              <w:spacing w:line="0" w:lineRule="atLeast"/>
              <w:jc w:val="center"/>
              <w:rPr>
                <w:rFonts w:eastAsiaTheme="minorEastAsia"/>
                <w:smallCaps/>
              </w:rPr>
            </w:pPr>
            <w:r w:rsidRPr="00F9522B">
              <w:rPr>
                <w:rFonts w:eastAsiaTheme="minorEastAsia"/>
                <w:bCs/>
                <w:smallCaps/>
              </w:rPr>
              <w:t>严格保护</w:t>
            </w:r>
            <w:r w:rsidRPr="00F9522B">
              <w:rPr>
                <w:rFonts w:eastAsiaTheme="minorEastAsia"/>
                <w:smallCaps/>
              </w:rPr>
              <w:t>永久基本农田</w:t>
            </w:r>
          </w:p>
        </w:tc>
      </w:tr>
      <w:tr w:rsidR="00652A20" w:rsidRPr="00F9522B">
        <w:trPr>
          <w:trHeight w:val="386"/>
          <w:jc w:val="center"/>
        </w:trPr>
        <w:tc>
          <w:tcPr>
            <w:tcW w:w="408" w:type="pct"/>
            <w:vAlign w:val="center"/>
          </w:tcPr>
          <w:p w:rsidR="00652A20" w:rsidRPr="00F9522B" w:rsidRDefault="00652A20">
            <w:pPr>
              <w:jc w:val="center"/>
              <w:rPr>
                <w:rFonts w:eastAsiaTheme="minorEastAsia"/>
                <w:snapToGrid w:val="0"/>
                <w:szCs w:val="21"/>
              </w:rPr>
            </w:pPr>
            <w:r w:rsidRPr="00F9522B">
              <w:rPr>
                <w:rFonts w:eastAsiaTheme="minorEastAsia"/>
              </w:rPr>
              <w:t>水生生态</w:t>
            </w:r>
          </w:p>
        </w:tc>
        <w:tc>
          <w:tcPr>
            <w:tcW w:w="952" w:type="pct"/>
            <w:vAlign w:val="center"/>
          </w:tcPr>
          <w:p w:rsidR="00652A20" w:rsidRPr="00F9522B" w:rsidRDefault="00652A20">
            <w:pPr>
              <w:jc w:val="center"/>
              <w:rPr>
                <w:rFonts w:eastAsiaTheme="minorEastAsia"/>
                <w:snapToGrid w:val="0"/>
                <w:szCs w:val="21"/>
              </w:rPr>
            </w:pPr>
            <w:r w:rsidRPr="00F9522B">
              <w:rPr>
                <w:rFonts w:eastAsiaTheme="minorEastAsia"/>
                <w:snapToGrid w:val="0"/>
              </w:rPr>
              <w:t>黑龙江呼兰河口湿地省级自然保护区</w:t>
            </w:r>
          </w:p>
        </w:tc>
        <w:tc>
          <w:tcPr>
            <w:tcW w:w="1019" w:type="pct"/>
            <w:vAlign w:val="center"/>
          </w:tcPr>
          <w:p w:rsidR="00652A20" w:rsidRPr="00F9522B" w:rsidRDefault="00652A20" w:rsidP="00760E2B">
            <w:pPr>
              <w:jc w:val="center"/>
              <w:rPr>
                <w:rFonts w:eastAsiaTheme="minorEastAsia"/>
                <w:snapToGrid w:val="0"/>
                <w:szCs w:val="21"/>
              </w:rPr>
            </w:pPr>
            <w:r w:rsidRPr="00F9522B">
              <w:t>水源涵养、水土保持、生物多样性、净化水质、控制土壤侵蚀</w:t>
            </w:r>
          </w:p>
        </w:tc>
        <w:tc>
          <w:tcPr>
            <w:tcW w:w="1019" w:type="pct"/>
            <w:vMerge w:val="restart"/>
            <w:vAlign w:val="center"/>
          </w:tcPr>
          <w:p w:rsidR="00652A20" w:rsidRPr="00F9522B" w:rsidRDefault="00652A20">
            <w:pPr>
              <w:jc w:val="center"/>
              <w:rPr>
                <w:rFonts w:eastAsiaTheme="minorEastAsia"/>
                <w:snapToGrid w:val="0"/>
                <w:szCs w:val="21"/>
              </w:rPr>
            </w:pPr>
            <w:r w:rsidRPr="00F9522B">
              <w:rPr>
                <w:rFonts w:eastAsiaTheme="minorEastAsia"/>
                <w:smallCaps/>
              </w:rPr>
              <w:t>水田退水承泄区，</w:t>
            </w:r>
            <w:r w:rsidRPr="00F9522B">
              <w:rPr>
                <w:rFonts w:eastAsiaTheme="minorEastAsia"/>
                <w:kern w:val="0"/>
              </w:rPr>
              <w:t>退水口位于公家沟，汇入</w:t>
            </w:r>
            <w:r w:rsidRPr="00F9522B">
              <w:rPr>
                <w:rFonts w:eastAsiaTheme="minorEastAsia"/>
                <w:snapToGrid w:val="0"/>
              </w:rPr>
              <w:t>松花江</w:t>
            </w:r>
          </w:p>
        </w:tc>
        <w:tc>
          <w:tcPr>
            <w:tcW w:w="422" w:type="pct"/>
            <w:vAlign w:val="center"/>
          </w:tcPr>
          <w:p w:rsidR="00652A20" w:rsidRPr="00F9522B" w:rsidRDefault="00652A20">
            <w:pPr>
              <w:jc w:val="center"/>
              <w:rPr>
                <w:rFonts w:eastAsiaTheme="minorEastAsia"/>
                <w:snapToGrid w:val="0"/>
                <w:szCs w:val="21"/>
              </w:rPr>
            </w:pPr>
            <w:r w:rsidRPr="00F9522B">
              <w:rPr>
                <w:rFonts w:eastAsiaTheme="minorEastAsia"/>
                <w:snapToGrid w:val="0"/>
                <w:szCs w:val="21"/>
              </w:rPr>
              <w:t>不占用</w:t>
            </w:r>
          </w:p>
        </w:tc>
        <w:tc>
          <w:tcPr>
            <w:tcW w:w="1180" w:type="pct"/>
            <w:vAlign w:val="center"/>
          </w:tcPr>
          <w:p w:rsidR="00652A20" w:rsidRPr="00F9522B" w:rsidRDefault="00652A20">
            <w:pPr>
              <w:spacing w:line="0" w:lineRule="atLeast"/>
              <w:jc w:val="center"/>
              <w:rPr>
                <w:rFonts w:eastAsiaTheme="minorEastAsia"/>
                <w:smallCaps/>
              </w:rPr>
            </w:pPr>
            <w:r w:rsidRPr="00F9522B">
              <w:t>工程排水不得对</w:t>
            </w:r>
            <w:r w:rsidRPr="00F9522B">
              <w:rPr>
                <w:rStyle w:val="CharChar"/>
                <w:rFonts w:eastAsiaTheme="minorEastAsia" w:hAnsi="Times New Roman"/>
              </w:rPr>
              <w:t>鱼类资源、浮游、底栖生物、水生生物的多样性</w:t>
            </w:r>
            <w:r w:rsidRPr="00F9522B">
              <w:t>及生境等造成不利影响</w:t>
            </w:r>
          </w:p>
        </w:tc>
      </w:tr>
      <w:tr w:rsidR="00B47652" w:rsidRPr="00F9522B">
        <w:trPr>
          <w:trHeight w:val="386"/>
          <w:jc w:val="center"/>
        </w:trPr>
        <w:tc>
          <w:tcPr>
            <w:tcW w:w="408" w:type="pct"/>
            <w:vAlign w:val="center"/>
          </w:tcPr>
          <w:p w:rsidR="00B47652" w:rsidRPr="00F9522B" w:rsidRDefault="00B47652" w:rsidP="00432235">
            <w:pPr>
              <w:jc w:val="center"/>
              <w:rPr>
                <w:rFonts w:eastAsiaTheme="minorEastAsia"/>
              </w:rPr>
            </w:pPr>
            <w:r w:rsidRPr="00F9522B">
              <w:rPr>
                <w:rFonts w:eastAsiaTheme="minorEastAsia"/>
              </w:rPr>
              <w:t>重要物种</w:t>
            </w:r>
          </w:p>
        </w:tc>
        <w:tc>
          <w:tcPr>
            <w:tcW w:w="952" w:type="pct"/>
            <w:vAlign w:val="center"/>
          </w:tcPr>
          <w:p w:rsidR="00B47652" w:rsidRPr="00F9522B" w:rsidRDefault="00B47652" w:rsidP="00432235">
            <w:pPr>
              <w:jc w:val="center"/>
              <w:rPr>
                <w:rFonts w:eastAsiaTheme="minorEastAsia"/>
                <w:snapToGrid w:val="0"/>
              </w:rPr>
            </w:pPr>
            <w:r w:rsidRPr="00F9522B">
              <w:t>雷氏七鳃鳗、</w:t>
            </w:r>
            <w:r w:rsidRPr="00F9522B">
              <w:rPr>
                <w:szCs w:val="21"/>
              </w:rPr>
              <w:t>日本七鰓鰻、</w:t>
            </w:r>
            <w:r w:rsidRPr="00F9522B">
              <w:rPr>
                <w:spacing w:val="7"/>
                <w:szCs w:val="21"/>
              </w:rPr>
              <w:t>施氏鲟</w:t>
            </w:r>
            <w:r w:rsidRPr="00F9522B">
              <w:rPr>
                <w:spacing w:val="6"/>
                <w:szCs w:val="21"/>
              </w:rPr>
              <w:t>怀头鲇、</w:t>
            </w:r>
            <w:r w:rsidRPr="00F9522B">
              <w:rPr>
                <w:szCs w:val="21"/>
              </w:rPr>
              <w:t>鳇、黑龙江茴鱼、哲罗鲑、乌苏里白鲑</w:t>
            </w:r>
          </w:p>
        </w:tc>
        <w:tc>
          <w:tcPr>
            <w:tcW w:w="1019" w:type="pct"/>
            <w:vAlign w:val="center"/>
          </w:tcPr>
          <w:p w:rsidR="00B47652" w:rsidRPr="00F9522B" w:rsidRDefault="00B47652">
            <w:pPr>
              <w:jc w:val="center"/>
              <w:rPr>
                <w:rFonts w:eastAsiaTheme="minorEastAsia"/>
                <w:snapToGrid w:val="0"/>
                <w:szCs w:val="21"/>
              </w:rPr>
            </w:pPr>
            <w:r w:rsidRPr="00F9522B">
              <w:t>国家二级保护动物、濒危鱼类</w:t>
            </w:r>
            <w:r w:rsidRPr="00F9522B">
              <w:rPr>
                <w:shd w:val="clear" w:color="auto" w:fill="FFFFFF"/>
              </w:rPr>
              <w:t>‌</w:t>
            </w:r>
          </w:p>
        </w:tc>
        <w:tc>
          <w:tcPr>
            <w:tcW w:w="1019" w:type="pct"/>
            <w:vMerge/>
            <w:vAlign w:val="center"/>
          </w:tcPr>
          <w:p w:rsidR="00B47652" w:rsidRPr="00F9522B" w:rsidRDefault="00B47652">
            <w:pPr>
              <w:jc w:val="center"/>
              <w:rPr>
                <w:rFonts w:eastAsiaTheme="minorEastAsia"/>
                <w:smallCaps/>
              </w:rPr>
            </w:pPr>
          </w:p>
        </w:tc>
        <w:tc>
          <w:tcPr>
            <w:tcW w:w="422" w:type="pct"/>
            <w:vAlign w:val="center"/>
          </w:tcPr>
          <w:p w:rsidR="00B47652" w:rsidRPr="00F9522B" w:rsidRDefault="00B47652">
            <w:pPr>
              <w:jc w:val="center"/>
              <w:rPr>
                <w:rFonts w:eastAsiaTheme="minorEastAsia"/>
                <w:snapToGrid w:val="0"/>
                <w:szCs w:val="21"/>
              </w:rPr>
            </w:pPr>
            <w:r w:rsidRPr="00F9522B">
              <w:rPr>
                <w:rFonts w:eastAsiaTheme="minorEastAsia"/>
                <w:snapToGrid w:val="0"/>
                <w:szCs w:val="21"/>
              </w:rPr>
              <w:t>不占用</w:t>
            </w:r>
          </w:p>
        </w:tc>
        <w:tc>
          <w:tcPr>
            <w:tcW w:w="1180" w:type="pct"/>
            <w:vAlign w:val="center"/>
          </w:tcPr>
          <w:p w:rsidR="00B47652" w:rsidRPr="00F9522B" w:rsidRDefault="00B47652">
            <w:pPr>
              <w:spacing w:line="0" w:lineRule="atLeast"/>
              <w:jc w:val="center"/>
              <w:rPr>
                <w:rStyle w:val="CharChar"/>
                <w:rFonts w:eastAsiaTheme="minorEastAsia" w:hAnsi="Times New Roman"/>
              </w:rPr>
            </w:pPr>
            <w:r w:rsidRPr="00F9522B">
              <w:t>禁止捕捞；采取措施保护可能受退水影响的鱼类及其生境</w:t>
            </w:r>
          </w:p>
        </w:tc>
      </w:tr>
    </w:tbl>
    <w:p w:rsidR="00AB10DD" w:rsidRPr="00F9522B" w:rsidRDefault="00AB10DD">
      <w:pPr>
        <w:contextualSpacing/>
        <w:jc w:val="center"/>
        <w:rPr>
          <w:rFonts w:eastAsiaTheme="minorEastAsia"/>
          <w:b/>
          <w:kern w:val="0"/>
          <w:szCs w:val="21"/>
        </w:rPr>
      </w:pPr>
    </w:p>
    <w:p w:rsidR="00AB10DD" w:rsidRPr="00F9522B" w:rsidRDefault="00AB10DD">
      <w:pPr>
        <w:contextualSpacing/>
        <w:jc w:val="center"/>
        <w:rPr>
          <w:rFonts w:eastAsiaTheme="minorEastAsia"/>
          <w:b/>
          <w:kern w:val="0"/>
          <w:szCs w:val="21"/>
        </w:rPr>
      </w:pPr>
    </w:p>
    <w:p w:rsidR="00AB10DD" w:rsidRPr="00F9522B" w:rsidRDefault="00AB10DD">
      <w:pPr>
        <w:contextualSpacing/>
        <w:jc w:val="center"/>
        <w:rPr>
          <w:rFonts w:eastAsiaTheme="minorEastAsia"/>
          <w:b/>
          <w:kern w:val="0"/>
          <w:szCs w:val="21"/>
        </w:rPr>
      </w:pPr>
    </w:p>
    <w:p w:rsidR="00DE64E8" w:rsidRPr="00F9522B" w:rsidRDefault="00DE64E8">
      <w:pPr>
        <w:contextualSpacing/>
        <w:jc w:val="center"/>
        <w:rPr>
          <w:rFonts w:eastAsiaTheme="minorEastAsia"/>
          <w:b/>
          <w:kern w:val="0"/>
          <w:szCs w:val="21"/>
        </w:rPr>
      </w:pPr>
    </w:p>
    <w:p w:rsidR="00DE64E8" w:rsidRPr="00F9522B" w:rsidRDefault="00DE64E8">
      <w:pPr>
        <w:contextualSpacing/>
        <w:jc w:val="center"/>
        <w:rPr>
          <w:rFonts w:eastAsiaTheme="minorEastAsia"/>
          <w:b/>
          <w:kern w:val="0"/>
          <w:szCs w:val="21"/>
        </w:rPr>
      </w:pPr>
    </w:p>
    <w:p w:rsidR="00DE64E8" w:rsidRPr="00F9522B" w:rsidRDefault="00DE64E8">
      <w:pPr>
        <w:contextualSpacing/>
        <w:jc w:val="center"/>
        <w:rPr>
          <w:rFonts w:eastAsiaTheme="minorEastAsia"/>
          <w:b/>
          <w:kern w:val="0"/>
          <w:szCs w:val="21"/>
        </w:rPr>
      </w:pPr>
    </w:p>
    <w:p w:rsidR="00AB10DD" w:rsidRPr="00F9522B" w:rsidRDefault="00AB10DD">
      <w:pPr>
        <w:contextualSpacing/>
        <w:jc w:val="center"/>
        <w:rPr>
          <w:rFonts w:eastAsiaTheme="minorEastAsia"/>
          <w:b/>
          <w:kern w:val="0"/>
          <w:szCs w:val="21"/>
        </w:rPr>
      </w:pPr>
    </w:p>
    <w:p w:rsidR="002A5A5E" w:rsidRPr="00F9522B" w:rsidRDefault="00611CBA">
      <w:pPr>
        <w:contextualSpacing/>
        <w:jc w:val="center"/>
        <w:rPr>
          <w:rFonts w:eastAsiaTheme="minorEastAsia"/>
          <w:b/>
          <w:kern w:val="0"/>
          <w:szCs w:val="21"/>
        </w:rPr>
      </w:pPr>
      <w:r w:rsidRPr="00F9522B">
        <w:rPr>
          <w:rFonts w:eastAsiaTheme="minorEastAsia"/>
          <w:b/>
          <w:kern w:val="0"/>
          <w:szCs w:val="21"/>
        </w:rPr>
        <w:lastRenderedPageBreak/>
        <w:t>表</w:t>
      </w:r>
      <w:r w:rsidRPr="00F9522B">
        <w:rPr>
          <w:rFonts w:eastAsiaTheme="minorEastAsia"/>
          <w:b/>
          <w:kern w:val="0"/>
          <w:szCs w:val="21"/>
        </w:rPr>
        <w:t>2-8-</w:t>
      </w:r>
      <w:r w:rsidR="009C6B86" w:rsidRPr="00F9522B">
        <w:rPr>
          <w:rFonts w:eastAsiaTheme="minorEastAsia"/>
          <w:b/>
          <w:kern w:val="0"/>
          <w:szCs w:val="21"/>
        </w:rPr>
        <w:t>4</w:t>
      </w:r>
      <w:r w:rsidRPr="00F9522B">
        <w:rPr>
          <w:rFonts w:eastAsiaTheme="minorEastAsia"/>
          <w:b/>
          <w:kern w:val="0"/>
          <w:szCs w:val="21"/>
        </w:rPr>
        <w:t xml:space="preserve"> </w:t>
      </w:r>
      <w:r w:rsidRPr="00F9522B">
        <w:rPr>
          <w:rFonts w:eastAsiaTheme="minorEastAsia"/>
          <w:b/>
          <w:kern w:val="0"/>
          <w:szCs w:val="21"/>
        </w:rPr>
        <w:t>地表水环境保护目标一览表</w:t>
      </w:r>
    </w:p>
    <w:tbl>
      <w:tblPr>
        <w:tblW w:w="8333" w:type="dxa"/>
        <w:jc w:val="center"/>
        <w:tblBorders>
          <w:top w:val="single" w:sz="12" w:space="0" w:color="auto"/>
          <w:bottom w:val="single" w:sz="12" w:space="0" w:color="auto"/>
          <w:insideH w:val="single" w:sz="4" w:space="0" w:color="auto"/>
          <w:insideV w:val="single" w:sz="4" w:space="0" w:color="auto"/>
        </w:tblBorders>
        <w:tblLayout w:type="fixed"/>
        <w:tblLook w:val="04A0"/>
      </w:tblPr>
      <w:tblGrid>
        <w:gridCol w:w="710"/>
        <w:gridCol w:w="1856"/>
        <w:gridCol w:w="709"/>
        <w:gridCol w:w="1984"/>
        <w:gridCol w:w="3074"/>
      </w:tblGrid>
      <w:tr w:rsidR="002A5A5E" w:rsidRPr="00F9522B">
        <w:trPr>
          <w:trHeight w:val="266"/>
          <w:jc w:val="center"/>
        </w:trPr>
        <w:tc>
          <w:tcPr>
            <w:tcW w:w="710" w:type="dxa"/>
            <w:vAlign w:val="center"/>
          </w:tcPr>
          <w:p w:rsidR="002A5A5E" w:rsidRPr="00F9522B" w:rsidRDefault="00611CBA">
            <w:pPr>
              <w:pStyle w:val="aff7"/>
              <w:spacing w:line="0" w:lineRule="atLeast"/>
              <w:contextualSpacing/>
              <w:rPr>
                <w:rFonts w:eastAsiaTheme="minorEastAsia" w:hAnsi="Times New Roman"/>
                <w:snapToGrid w:val="0"/>
              </w:rPr>
            </w:pPr>
            <w:r w:rsidRPr="00F9522B">
              <w:rPr>
                <w:rFonts w:eastAsiaTheme="minorEastAsia" w:hAnsi="Times New Roman"/>
                <w:snapToGrid w:val="0"/>
              </w:rPr>
              <w:t>环境要素</w:t>
            </w:r>
          </w:p>
        </w:tc>
        <w:tc>
          <w:tcPr>
            <w:tcW w:w="1856" w:type="dxa"/>
            <w:vAlign w:val="center"/>
          </w:tcPr>
          <w:p w:rsidR="002A5A5E" w:rsidRPr="00F9522B" w:rsidRDefault="00611CBA">
            <w:pPr>
              <w:pStyle w:val="aff7"/>
              <w:spacing w:line="0" w:lineRule="atLeast"/>
              <w:contextualSpacing/>
              <w:rPr>
                <w:rFonts w:eastAsiaTheme="minorEastAsia" w:hAnsi="Times New Roman"/>
                <w:snapToGrid w:val="0"/>
              </w:rPr>
            </w:pPr>
            <w:r w:rsidRPr="00F9522B">
              <w:rPr>
                <w:rFonts w:eastAsiaTheme="minorEastAsia" w:hAnsi="Times New Roman"/>
                <w:snapToGrid w:val="0"/>
              </w:rPr>
              <w:t>敏感点名称</w:t>
            </w:r>
          </w:p>
        </w:tc>
        <w:tc>
          <w:tcPr>
            <w:tcW w:w="709" w:type="dxa"/>
            <w:vAlign w:val="center"/>
          </w:tcPr>
          <w:p w:rsidR="002A5A5E" w:rsidRPr="00F9522B" w:rsidRDefault="00611CBA">
            <w:pPr>
              <w:pStyle w:val="aff7"/>
              <w:spacing w:line="0" w:lineRule="atLeast"/>
              <w:contextualSpacing/>
              <w:rPr>
                <w:rFonts w:eastAsiaTheme="minorEastAsia" w:hAnsi="Times New Roman"/>
                <w:snapToGrid w:val="0"/>
              </w:rPr>
            </w:pPr>
            <w:r w:rsidRPr="00F9522B">
              <w:rPr>
                <w:rFonts w:eastAsiaTheme="minorEastAsia" w:hAnsi="Times New Roman"/>
                <w:snapToGrid w:val="0"/>
              </w:rPr>
              <w:t>保护对象</w:t>
            </w:r>
          </w:p>
        </w:tc>
        <w:tc>
          <w:tcPr>
            <w:tcW w:w="1984" w:type="dxa"/>
            <w:vAlign w:val="center"/>
          </w:tcPr>
          <w:p w:rsidR="002A5A5E" w:rsidRPr="00F9522B" w:rsidRDefault="00611CBA">
            <w:pPr>
              <w:pStyle w:val="aff7"/>
              <w:adjustRightInd w:val="0"/>
              <w:snapToGrid w:val="0"/>
              <w:rPr>
                <w:rFonts w:eastAsiaTheme="minorEastAsia" w:hAnsi="Times New Roman"/>
                <w:snapToGrid w:val="0"/>
              </w:rPr>
            </w:pPr>
            <w:r w:rsidRPr="00F9522B">
              <w:rPr>
                <w:rFonts w:eastAsiaTheme="minorEastAsia" w:hAnsi="Times New Roman"/>
                <w:smallCaps/>
              </w:rPr>
              <w:t>与工程关系</w:t>
            </w:r>
          </w:p>
        </w:tc>
        <w:tc>
          <w:tcPr>
            <w:tcW w:w="3074" w:type="dxa"/>
            <w:shd w:val="clear" w:color="auto" w:fill="auto"/>
            <w:vAlign w:val="center"/>
          </w:tcPr>
          <w:p w:rsidR="002A5A5E" w:rsidRPr="00F9522B" w:rsidRDefault="00611CBA">
            <w:pPr>
              <w:pStyle w:val="aff7"/>
              <w:spacing w:line="0" w:lineRule="atLeast"/>
              <w:contextualSpacing/>
              <w:rPr>
                <w:rFonts w:eastAsiaTheme="minorEastAsia" w:hAnsi="Times New Roman"/>
                <w:snapToGrid w:val="0"/>
              </w:rPr>
            </w:pPr>
            <w:r w:rsidRPr="00F9522B">
              <w:rPr>
                <w:rFonts w:eastAsiaTheme="minorEastAsia" w:hAnsi="Times New Roman"/>
                <w:snapToGrid w:val="0"/>
              </w:rPr>
              <w:t>保护要求</w:t>
            </w:r>
          </w:p>
        </w:tc>
      </w:tr>
      <w:tr w:rsidR="00DD0748" w:rsidRPr="00F9522B">
        <w:trPr>
          <w:trHeight w:val="516"/>
          <w:jc w:val="center"/>
        </w:trPr>
        <w:tc>
          <w:tcPr>
            <w:tcW w:w="710" w:type="dxa"/>
            <w:vMerge w:val="restart"/>
            <w:vAlign w:val="center"/>
          </w:tcPr>
          <w:p w:rsidR="00DD0748" w:rsidRPr="00F9522B" w:rsidRDefault="00DD0748">
            <w:pPr>
              <w:pStyle w:val="aff7"/>
              <w:spacing w:line="0" w:lineRule="atLeast"/>
              <w:contextualSpacing/>
              <w:rPr>
                <w:rFonts w:eastAsiaTheme="minorEastAsia" w:hAnsi="Times New Roman"/>
                <w:snapToGrid w:val="0"/>
              </w:rPr>
            </w:pPr>
            <w:r w:rsidRPr="00F9522B">
              <w:rPr>
                <w:rFonts w:eastAsiaTheme="minorEastAsia" w:hAnsi="Times New Roman"/>
                <w:snapToGrid w:val="0"/>
              </w:rPr>
              <w:t>地表水</w:t>
            </w:r>
          </w:p>
        </w:tc>
        <w:tc>
          <w:tcPr>
            <w:tcW w:w="1856" w:type="dxa"/>
            <w:vAlign w:val="center"/>
          </w:tcPr>
          <w:p w:rsidR="00DD0748" w:rsidRPr="00F9522B" w:rsidRDefault="00DD0748" w:rsidP="00591DC4">
            <w:pPr>
              <w:pStyle w:val="aff7"/>
              <w:spacing w:line="0" w:lineRule="atLeast"/>
              <w:contextualSpacing/>
              <w:rPr>
                <w:rFonts w:eastAsiaTheme="minorEastAsia" w:hAnsi="Times New Roman"/>
                <w:snapToGrid w:val="0"/>
              </w:rPr>
            </w:pPr>
            <w:r w:rsidRPr="00F9522B">
              <w:rPr>
                <w:rFonts w:eastAsiaTheme="minorEastAsia" w:hAnsi="Times New Roman"/>
                <w:snapToGrid w:val="0"/>
              </w:rPr>
              <w:t>松花江</w:t>
            </w:r>
          </w:p>
        </w:tc>
        <w:tc>
          <w:tcPr>
            <w:tcW w:w="709" w:type="dxa"/>
            <w:vMerge w:val="restart"/>
            <w:vAlign w:val="center"/>
          </w:tcPr>
          <w:p w:rsidR="00DD0748" w:rsidRPr="00F9522B" w:rsidRDefault="00B21224" w:rsidP="00591DC4">
            <w:pPr>
              <w:jc w:val="center"/>
              <w:rPr>
                <w:rFonts w:eastAsiaTheme="minorEastAsia"/>
                <w:smallCaps/>
                <w:szCs w:val="21"/>
              </w:rPr>
            </w:pPr>
            <w:r w:rsidRPr="00F9522B">
              <w:rPr>
                <w:rFonts w:eastAsiaTheme="minorEastAsia"/>
                <w:smallCaps/>
                <w:szCs w:val="21"/>
              </w:rPr>
              <w:t>水质及水生生态环境</w:t>
            </w:r>
          </w:p>
        </w:tc>
        <w:tc>
          <w:tcPr>
            <w:tcW w:w="1984" w:type="dxa"/>
            <w:vAlign w:val="center"/>
          </w:tcPr>
          <w:p w:rsidR="00DD0748" w:rsidRPr="00F9522B" w:rsidRDefault="00DD0748" w:rsidP="00591DC4">
            <w:pPr>
              <w:pStyle w:val="aff7"/>
              <w:spacing w:line="0" w:lineRule="atLeast"/>
              <w:contextualSpacing/>
              <w:rPr>
                <w:rFonts w:eastAsiaTheme="minorEastAsia" w:hAnsi="Times New Roman"/>
                <w:snapToGrid w:val="0"/>
              </w:rPr>
            </w:pPr>
            <w:r w:rsidRPr="00F9522B">
              <w:rPr>
                <w:rFonts w:eastAsiaTheme="minorEastAsia" w:hAnsi="Times New Roman"/>
                <w:smallCaps/>
              </w:rPr>
              <w:t>水田退水承泄区，</w:t>
            </w:r>
            <w:r w:rsidRPr="00F9522B">
              <w:rPr>
                <w:rFonts w:eastAsiaTheme="minorEastAsia" w:hAnsi="Times New Roman"/>
                <w:kern w:val="0"/>
              </w:rPr>
              <w:t>退水口位于</w:t>
            </w:r>
            <w:r w:rsidR="00652A20" w:rsidRPr="00F9522B">
              <w:rPr>
                <w:rFonts w:eastAsiaTheme="minorEastAsia" w:hAnsi="Times New Roman"/>
                <w:kern w:val="0"/>
              </w:rPr>
              <w:t>公家沟，汇入</w:t>
            </w:r>
            <w:r w:rsidRPr="00F9522B">
              <w:rPr>
                <w:rFonts w:eastAsiaTheme="minorEastAsia" w:hAnsi="Times New Roman"/>
                <w:snapToGrid w:val="0"/>
              </w:rPr>
              <w:t>松花江</w:t>
            </w:r>
          </w:p>
        </w:tc>
        <w:tc>
          <w:tcPr>
            <w:tcW w:w="3074" w:type="dxa"/>
            <w:shd w:val="clear" w:color="auto" w:fill="auto"/>
            <w:vAlign w:val="center"/>
          </w:tcPr>
          <w:p w:rsidR="00DD0748" w:rsidRPr="00F9522B" w:rsidRDefault="00DD0748" w:rsidP="00DD0748">
            <w:pPr>
              <w:pStyle w:val="aff7"/>
              <w:spacing w:line="0" w:lineRule="atLeast"/>
              <w:contextualSpacing/>
              <w:rPr>
                <w:rFonts w:eastAsiaTheme="minorEastAsia" w:hAnsi="Times New Roman"/>
              </w:rPr>
            </w:pPr>
            <w:r w:rsidRPr="00F9522B">
              <w:rPr>
                <w:rFonts w:hAnsi="Times New Roman"/>
                <w:spacing w:val="3"/>
              </w:rPr>
              <w:t>维持现状水质类别，水质</w:t>
            </w:r>
            <w:r w:rsidRPr="00F9522B">
              <w:rPr>
                <w:rFonts w:hAnsi="Times New Roman"/>
                <w:spacing w:val="5"/>
              </w:rPr>
              <w:t>不恶化；</w:t>
            </w:r>
            <w:r w:rsidRPr="00F9522B">
              <w:rPr>
                <w:rFonts w:eastAsiaTheme="minorEastAsia" w:hAnsi="Times New Roman"/>
              </w:rPr>
              <w:t>《地表水环境质量标准》（</w:t>
            </w:r>
            <w:r w:rsidRPr="00F9522B">
              <w:rPr>
                <w:rFonts w:eastAsiaTheme="minorEastAsia" w:hAnsi="Times New Roman"/>
              </w:rPr>
              <w:t>GB3838-2002</w:t>
            </w:r>
            <w:r w:rsidRPr="00F9522B">
              <w:rPr>
                <w:rFonts w:eastAsiaTheme="minorEastAsia" w:hAnsi="Times New Roman"/>
              </w:rPr>
              <w:t>）</w:t>
            </w:r>
            <w:r w:rsidR="005273A1" w:rsidRPr="00F9522B">
              <w:rPr>
                <w:rFonts w:eastAsiaTheme="minorEastAsia" w:hAnsi="Times New Roman"/>
                <w:bCs/>
              </w:rPr>
              <w:fldChar w:fldCharType="begin"/>
            </w:r>
            <w:r w:rsidRPr="00F9522B">
              <w:rPr>
                <w:rFonts w:eastAsiaTheme="minorEastAsia" w:hAnsi="Times New Roman"/>
                <w:bCs/>
              </w:rPr>
              <w:instrText xml:space="preserve"> = 3 \* ROMAN </w:instrText>
            </w:r>
            <w:r w:rsidR="005273A1" w:rsidRPr="00F9522B">
              <w:rPr>
                <w:rFonts w:eastAsiaTheme="minorEastAsia" w:hAnsi="Times New Roman"/>
                <w:bCs/>
              </w:rPr>
              <w:fldChar w:fldCharType="separate"/>
            </w:r>
            <w:r w:rsidRPr="00F9522B">
              <w:rPr>
                <w:rFonts w:eastAsiaTheme="minorEastAsia" w:hAnsi="Times New Roman"/>
                <w:bCs/>
                <w:noProof/>
              </w:rPr>
              <w:t>III</w:t>
            </w:r>
            <w:r w:rsidR="005273A1" w:rsidRPr="00F9522B">
              <w:rPr>
                <w:rFonts w:eastAsiaTheme="minorEastAsia" w:hAnsi="Times New Roman"/>
                <w:bCs/>
              </w:rPr>
              <w:fldChar w:fldCharType="end"/>
            </w:r>
            <w:r w:rsidRPr="00F9522B">
              <w:rPr>
                <w:rFonts w:eastAsiaTheme="minorEastAsia" w:hAnsi="Times New Roman"/>
              </w:rPr>
              <w:t>类</w:t>
            </w:r>
          </w:p>
        </w:tc>
      </w:tr>
      <w:tr w:rsidR="00DD0748" w:rsidRPr="00F9522B">
        <w:trPr>
          <w:trHeight w:val="516"/>
          <w:jc w:val="center"/>
        </w:trPr>
        <w:tc>
          <w:tcPr>
            <w:tcW w:w="710" w:type="dxa"/>
            <w:vMerge/>
            <w:vAlign w:val="center"/>
          </w:tcPr>
          <w:p w:rsidR="00DD0748" w:rsidRPr="00F9522B" w:rsidRDefault="00DD0748">
            <w:pPr>
              <w:pStyle w:val="aff7"/>
              <w:spacing w:line="0" w:lineRule="atLeast"/>
              <w:contextualSpacing/>
              <w:rPr>
                <w:rFonts w:eastAsiaTheme="minorEastAsia" w:hAnsi="Times New Roman"/>
                <w:snapToGrid w:val="0"/>
              </w:rPr>
            </w:pPr>
          </w:p>
        </w:tc>
        <w:tc>
          <w:tcPr>
            <w:tcW w:w="1856" w:type="dxa"/>
            <w:vAlign w:val="center"/>
          </w:tcPr>
          <w:p w:rsidR="00DD0748" w:rsidRPr="00F9522B" w:rsidRDefault="00DD0748">
            <w:pPr>
              <w:pStyle w:val="aff7"/>
              <w:spacing w:line="0" w:lineRule="atLeast"/>
              <w:contextualSpacing/>
              <w:rPr>
                <w:rFonts w:eastAsiaTheme="minorEastAsia" w:hAnsi="Times New Roman"/>
                <w:snapToGrid w:val="0"/>
              </w:rPr>
            </w:pPr>
            <w:r w:rsidRPr="00F9522B">
              <w:rPr>
                <w:rFonts w:eastAsiaTheme="minorEastAsia" w:hAnsi="Times New Roman"/>
                <w:snapToGrid w:val="0"/>
              </w:rPr>
              <w:t>漂河</w:t>
            </w:r>
          </w:p>
        </w:tc>
        <w:tc>
          <w:tcPr>
            <w:tcW w:w="709" w:type="dxa"/>
            <w:vMerge/>
            <w:vAlign w:val="center"/>
          </w:tcPr>
          <w:p w:rsidR="00DD0748" w:rsidRPr="00F9522B" w:rsidRDefault="00DD0748">
            <w:pPr>
              <w:jc w:val="center"/>
              <w:rPr>
                <w:rFonts w:eastAsiaTheme="minorEastAsia"/>
                <w:smallCaps/>
                <w:szCs w:val="21"/>
              </w:rPr>
            </w:pPr>
          </w:p>
        </w:tc>
        <w:tc>
          <w:tcPr>
            <w:tcW w:w="1984" w:type="dxa"/>
            <w:vAlign w:val="center"/>
          </w:tcPr>
          <w:p w:rsidR="00DD0748" w:rsidRPr="00F9522B" w:rsidRDefault="00DD0748">
            <w:pPr>
              <w:pStyle w:val="aff7"/>
              <w:spacing w:line="0" w:lineRule="atLeast"/>
              <w:contextualSpacing/>
              <w:rPr>
                <w:rFonts w:eastAsiaTheme="minorEastAsia" w:hAnsi="Times New Roman"/>
                <w:snapToGrid w:val="0"/>
              </w:rPr>
            </w:pPr>
            <w:r w:rsidRPr="00F9522B">
              <w:rPr>
                <w:rFonts w:eastAsiaTheme="minorEastAsia" w:hAnsi="Times New Roman"/>
                <w:smallCaps/>
              </w:rPr>
              <w:t>水田退水承泄区，</w:t>
            </w:r>
            <w:r w:rsidRPr="00F9522B">
              <w:rPr>
                <w:rFonts w:eastAsiaTheme="minorEastAsia" w:hAnsi="Times New Roman"/>
                <w:kern w:val="0"/>
              </w:rPr>
              <w:t>退水口位于</w:t>
            </w:r>
            <w:r w:rsidRPr="00F9522B">
              <w:rPr>
                <w:rFonts w:eastAsiaTheme="minorEastAsia" w:hAnsi="Times New Roman"/>
                <w:snapToGrid w:val="0"/>
              </w:rPr>
              <w:t>漂河</w:t>
            </w:r>
          </w:p>
        </w:tc>
        <w:tc>
          <w:tcPr>
            <w:tcW w:w="3074" w:type="dxa"/>
            <w:shd w:val="clear" w:color="auto" w:fill="auto"/>
            <w:vAlign w:val="center"/>
          </w:tcPr>
          <w:p w:rsidR="00DD0748" w:rsidRPr="00F9522B" w:rsidRDefault="00DD0748">
            <w:pPr>
              <w:pStyle w:val="aff7"/>
              <w:spacing w:line="0" w:lineRule="atLeast"/>
              <w:contextualSpacing/>
              <w:rPr>
                <w:rFonts w:eastAsiaTheme="minorEastAsia" w:hAnsi="Times New Roman"/>
              </w:rPr>
            </w:pPr>
            <w:r w:rsidRPr="00F9522B">
              <w:rPr>
                <w:rFonts w:hAnsi="Times New Roman"/>
                <w:spacing w:val="3"/>
              </w:rPr>
              <w:t>维持现状水质类别，水质</w:t>
            </w:r>
            <w:r w:rsidRPr="00F9522B">
              <w:rPr>
                <w:rFonts w:hAnsi="Times New Roman"/>
                <w:spacing w:val="5"/>
              </w:rPr>
              <w:t>不恶化；</w:t>
            </w:r>
            <w:r w:rsidRPr="00F9522B">
              <w:rPr>
                <w:rFonts w:eastAsiaTheme="minorEastAsia" w:hAnsi="Times New Roman"/>
              </w:rPr>
              <w:t>《地表水环境质量标准》（</w:t>
            </w:r>
            <w:r w:rsidRPr="00F9522B">
              <w:rPr>
                <w:rFonts w:eastAsiaTheme="minorEastAsia" w:hAnsi="Times New Roman"/>
              </w:rPr>
              <w:t>GB3838-2002</w:t>
            </w:r>
            <w:r w:rsidRPr="00F9522B">
              <w:rPr>
                <w:rFonts w:eastAsiaTheme="minorEastAsia" w:hAnsi="Times New Roman"/>
              </w:rPr>
              <w:t>）</w:t>
            </w:r>
            <w:r w:rsidR="005273A1" w:rsidRPr="00F9522B">
              <w:rPr>
                <w:rFonts w:eastAsiaTheme="minorEastAsia" w:hAnsi="Times New Roman"/>
                <w:bCs/>
              </w:rPr>
              <w:fldChar w:fldCharType="begin"/>
            </w:r>
            <w:r w:rsidRPr="00F9522B">
              <w:rPr>
                <w:rFonts w:eastAsiaTheme="minorEastAsia" w:hAnsi="Times New Roman"/>
                <w:bCs/>
              </w:rPr>
              <w:instrText xml:space="preserve"> = 5 \* ROMAN </w:instrText>
            </w:r>
            <w:r w:rsidR="005273A1" w:rsidRPr="00F9522B">
              <w:rPr>
                <w:rFonts w:eastAsiaTheme="minorEastAsia" w:hAnsi="Times New Roman"/>
                <w:bCs/>
              </w:rPr>
              <w:fldChar w:fldCharType="separate"/>
            </w:r>
            <w:r w:rsidRPr="00F9522B">
              <w:rPr>
                <w:rFonts w:eastAsiaTheme="minorEastAsia" w:hAnsi="Times New Roman"/>
                <w:bCs/>
              </w:rPr>
              <w:t>V</w:t>
            </w:r>
            <w:r w:rsidR="005273A1" w:rsidRPr="00F9522B">
              <w:rPr>
                <w:rFonts w:eastAsiaTheme="minorEastAsia" w:hAnsi="Times New Roman"/>
                <w:bCs/>
              </w:rPr>
              <w:fldChar w:fldCharType="end"/>
            </w:r>
            <w:r w:rsidRPr="00F9522B">
              <w:rPr>
                <w:rFonts w:eastAsiaTheme="minorEastAsia" w:hAnsi="Times New Roman"/>
              </w:rPr>
              <w:t>类</w:t>
            </w:r>
          </w:p>
        </w:tc>
      </w:tr>
      <w:tr w:rsidR="00DD0748" w:rsidRPr="00F9522B">
        <w:trPr>
          <w:trHeight w:val="516"/>
          <w:jc w:val="center"/>
        </w:trPr>
        <w:tc>
          <w:tcPr>
            <w:tcW w:w="710" w:type="dxa"/>
            <w:vMerge/>
            <w:vAlign w:val="center"/>
          </w:tcPr>
          <w:p w:rsidR="00DD0748" w:rsidRPr="00F9522B" w:rsidRDefault="00DD0748">
            <w:pPr>
              <w:pStyle w:val="aff7"/>
              <w:spacing w:line="0" w:lineRule="atLeast"/>
              <w:contextualSpacing/>
              <w:rPr>
                <w:rFonts w:eastAsiaTheme="minorEastAsia" w:hAnsi="Times New Roman"/>
                <w:snapToGrid w:val="0"/>
              </w:rPr>
            </w:pPr>
          </w:p>
        </w:tc>
        <w:tc>
          <w:tcPr>
            <w:tcW w:w="1856" w:type="dxa"/>
            <w:vAlign w:val="center"/>
          </w:tcPr>
          <w:p w:rsidR="00DD0748" w:rsidRPr="00F9522B" w:rsidRDefault="00DD0748">
            <w:pPr>
              <w:pStyle w:val="aff7"/>
              <w:spacing w:line="0" w:lineRule="atLeast"/>
              <w:contextualSpacing/>
              <w:rPr>
                <w:rFonts w:eastAsiaTheme="minorEastAsia" w:hAnsi="Times New Roman"/>
                <w:snapToGrid w:val="0"/>
              </w:rPr>
            </w:pPr>
            <w:r w:rsidRPr="00F9522B">
              <w:rPr>
                <w:rFonts w:eastAsiaTheme="minorEastAsia" w:hAnsi="Times New Roman"/>
                <w:snapToGrid w:val="0"/>
              </w:rPr>
              <w:t>黑龙江呼兰河口湿地省级自然保护区</w:t>
            </w:r>
          </w:p>
        </w:tc>
        <w:tc>
          <w:tcPr>
            <w:tcW w:w="709" w:type="dxa"/>
            <w:vMerge/>
            <w:vAlign w:val="center"/>
          </w:tcPr>
          <w:p w:rsidR="00DD0748" w:rsidRPr="00F9522B" w:rsidRDefault="00DD0748">
            <w:pPr>
              <w:jc w:val="center"/>
              <w:rPr>
                <w:rFonts w:eastAsiaTheme="minorEastAsia"/>
                <w:smallCaps/>
                <w:szCs w:val="21"/>
              </w:rPr>
            </w:pPr>
          </w:p>
        </w:tc>
        <w:tc>
          <w:tcPr>
            <w:tcW w:w="1984" w:type="dxa"/>
            <w:vAlign w:val="center"/>
          </w:tcPr>
          <w:p w:rsidR="00DD0748" w:rsidRPr="00F9522B" w:rsidRDefault="00B21224">
            <w:pPr>
              <w:pStyle w:val="aff7"/>
              <w:spacing w:line="0" w:lineRule="atLeast"/>
              <w:contextualSpacing/>
              <w:rPr>
                <w:rFonts w:eastAsiaTheme="minorEastAsia" w:hAnsi="Times New Roman"/>
                <w:snapToGrid w:val="0"/>
              </w:rPr>
            </w:pPr>
            <w:r w:rsidRPr="00F9522B">
              <w:rPr>
                <w:rFonts w:eastAsiaTheme="minorEastAsia" w:hAnsi="Times New Roman"/>
                <w:smallCaps/>
              </w:rPr>
              <w:t>水田退水承泄区，</w:t>
            </w:r>
            <w:r w:rsidRPr="00F9522B">
              <w:rPr>
                <w:rFonts w:eastAsiaTheme="minorEastAsia" w:hAnsi="Times New Roman"/>
                <w:kern w:val="0"/>
              </w:rPr>
              <w:t>退水口位于公家沟，汇入</w:t>
            </w:r>
            <w:r w:rsidRPr="00F9522B">
              <w:rPr>
                <w:rFonts w:eastAsiaTheme="minorEastAsia" w:hAnsi="Times New Roman"/>
                <w:snapToGrid w:val="0"/>
              </w:rPr>
              <w:t>松花江</w:t>
            </w:r>
          </w:p>
        </w:tc>
        <w:tc>
          <w:tcPr>
            <w:tcW w:w="3074" w:type="dxa"/>
            <w:shd w:val="clear" w:color="auto" w:fill="auto"/>
            <w:vAlign w:val="center"/>
          </w:tcPr>
          <w:p w:rsidR="00DD0748" w:rsidRPr="00F9522B" w:rsidRDefault="00DD0748">
            <w:pPr>
              <w:pStyle w:val="aff7"/>
              <w:spacing w:line="0" w:lineRule="atLeast"/>
              <w:contextualSpacing/>
              <w:rPr>
                <w:rFonts w:eastAsiaTheme="minorEastAsia" w:hAnsi="Times New Roman"/>
                <w:snapToGrid w:val="0"/>
              </w:rPr>
            </w:pPr>
            <w:r w:rsidRPr="00F9522B">
              <w:rPr>
                <w:rFonts w:hAnsi="Times New Roman"/>
                <w:spacing w:val="3"/>
              </w:rPr>
              <w:t>维持现状水质类别，水质</w:t>
            </w:r>
            <w:r w:rsidRPr="00F9522B">
              <w:rPr>
                <w:rFonts w:hAnsi="Times New Roman"/>
                <w:spacing w:val="5"/>
              </w:rPr>
              <w:t>不恶化；</w:t>
            </w:r>
            <w:r w:rsidRPr="00F9522B">
              <w:rPr>
                <w:rFonts w:hAnsi="Times New Roman"/>
              </w:rPr>
              <w:t>维持生态系统</w:t>
            </w:r>
            <w:r w:rsidRPr="00F9522B">
              <w:rPr>
                <w:rFonts w:hAnsi="Times New Roman"/>
                <w:spacing w:val="8"/>
              </w:rPr>
              <w:t>的完整性、保护功能</w:t>
            </w:r>
          </w:p>
        </w:tc>
      </w:tr>
    </w:tbl>
    <w:p w:rsidR="002A5A5E" w:rsidRPr="00F9522B" w:rsidRDefault="00611CBA">
      <w:pPr>
        <w:contextualSpacing/>
        <w:jc w:val="center"/>
        <w:rPr>
          <w:rFonts w:eastAsiaTheme="minorEastAsia"/>
          <w:b/>
          <w:kern w:val="0"/>
          <w:szCs w:val="21"/>
        </w:rPr>
      </w:pPr>
      <w:bookmarkStart w:id="61" w:name="OLE_LINK5"/>
      <w:bookmarkStart w:id="62" w:name="OLE_LINK4"/>
      <w:bookmarkStart w:id="63" w:name="OLE_LINK10"/>
      <w:bookmarkStart w:id="64" w:name="OLE_LINK9"/>
      <w:r w:rsidRPr="00F9522B">
        <w:rPr>
          <w:rFonts w:eastAsiaTheme="minorEastAsia"/>
          <w:b/>
          <w:kern w:val="0"/>
          <w:szCs w:val="21"/>
        </w:rPr>
        <w:t>表</w:t>
      </w:r>
      <w:r w:rsidRPr="00F9522B">
        <w:rPr>
          <w:rFonts w:eastAsiaTheme="minorEastAsia"/>
          <w:b/>
          <w:kern w:val="0"/>
          <w:szCs w:val="21"/>
        </w:rPr>
        <w:t>2-8-</w:t>
      </w:r>
      <w:r w:rsidR="009C6B86" w:rsidRPr="00F9522B">
        <w:rPr>
          <w:rFonts w:eastAsiaTheme="minorEastAsia"/>
          <w:b/>
          <w:kern w:val="0"/>
          <w:szCs w:val="21"/>
        </w:rPr>
        <w:t xml:space="preserve">5 </w:t>
      </w:r>
      <w:r w:rsidRPr="00F9522B">
        <w:rPr>
          <w:rFonts w:eastAsiaTheme="minorEastAsia"/>
          <w:b/>
          <w:kern w:val="0"/>
          <w:szCs w:val="21"/>
        </w:rPr>
        <w:t>地下水环境保护目标一览表</w:t>
      </w:r>
    </w:p>
    <w:tbl>
      <w:tblPr>
        <w:tblW w:w="8368" w:type="dxa"/>
        <w:jc w:val="center"/>
        <w:tblBorders>
          <w:top w:val="single" w:sz="12" w:space="0" w:color="auto"/>
          <w:bottom w:val="single" w:sz="12" w:space="0" w:color="auto"/>
          <w:insideH w:val="single" w:sz="4" w:space="0" w:color="auto"/>
          <w:insideV w:val="single" w:sz="4" w:space="0" w:color="auto"/>
        </w:tblBorders>
        <w:tblLayout w:type="fixed"/>
        <w:tblLook w:val="04A0"/>
      </w:tblPr>
      <w:tblGrid>
        <w:gridCol w:w="603"/>
        <w:gridCol w:w="1101"/>
        <w:gridCol w:w="800"/>
        <w:gridCol w:w="900"/>
        <w:gridCol w:w="900"/>
        <w:gridCol w:w="900"/>
        <w:gridCol w:w="415"/>
        <w:gridCol w:w="649"/>
        <w:gridCol w:w="1142"/>
        <w:gridCol w:w="958"/>
      </w:tblGrid>
      <w:tr w:rsidR="002A5A5E" w:rsidRPr="00F9522B" w:rsidTr="006C5351">
        <w:trPr>
          <w:trHeight w:val="247"/>
          <w:jc w:val="center"/>
        </w:trPr>
        <w:tc>
          <w:tcPr>
            <w:tcW w:w="603" w:type="dxa"/>
            <w:vAlign w:val="center"/>
          </w:tcPr>
          <w:bookmarkEnd w:id="58"/>
          <w:bookmarkEnd w:id="60"/>
          <w:bookmarkEnd w:id="61"/>
          <w:bookmarkEnd w:id="62"/>
          <w:p w:rsidR="002A5A5E" w:rsidRPr="00F9522B" w:rsidRDefault="00611CBA">
            <w:pPr>
              <w:pStyle w:val="aff7"/>
              <w:spacing w:line="0" w:lineRule="atLeast"/>
              <w:contextualSpacing/>
              <w:rPr>
                <w:rFonts w:eastAsiaTheme="minorEastAsia" w:hAnsi="Times New Roman"/>
                <w:snapToGrid w:val="0"/>
              </w:rPr>
            </w:pPr>
            <w:r w:rsidRPr="00F9522B">
              <w:rPr>
                <w:rFonts w:eastAsiaTheme="minorEastAsia" w:hAnsi="Times New Roman"/>
                <w:snapToGrid w:val="0"/>
              </w:rPr>
              <w:t>环境要素</w:t>
            </w:r>
          </w:p>
        </w:tc>
        <w:tc>
          <w:tcPr>
            <w:tcW w:w="3701" w:type="dxa"/>
            <w:gridSpan w:val="4"/>
            <w:vAlign w:val="center"/>
          </w:tcPr>
          <w:p w:rsidR="002A5A5E" w:rsidRPr="00F9522B" w:rsidRDefault="00611CBA">
            <w:pPr>
              <w:pStyle w:val="aff7"/>
              <w:adjustRightInd w:val="0"/>
              <w:snapToGrid w:val="0"/>
              <w:rPr>
                <w:rFonts w:eastAsiaTheme="minorEastAsia" w:hAnsi="Times New Roman"/>
                <w:snapToGrid w:val="0"/>
              </w:rPr>
            </w:pPr>
            <w:r w:rsidRPr="00F9522B">
              <w:rPr>
                <w:rFonts w:eastAsiaTheme="minorEastAsia" w:hAnsi="Times New Roman"/>
                <w:snapToGrid w:val="0"/>
              </w:rPr>
              <w:t>保护对象</w:t>
            </w:r>
          </w:p>
        </w:tc>
        <w:tc>
          <w:tcPr>
            <w:tcW w:w="900" w:type="dxa"/>
            <w:vAlign w:val="center"/>
          </w:tcPr>
          <w:p w:rsidR="002A5A5E" w:rsidRPr="00F9522B" w:rsidRDefault="00611CBA">
            <w:pPr>
              <w:pStyle w:val="aff7"/>
              <w:adjustRightInd w:val="0"/>
              <w:snapToGrid w:val="0"/>
              <w:rPr>
                <w:rFonts w:eastAsiaTheme="minorEastAsia" w:hAnsi="Times New Roman"/>
                <w:snapToGrid w:val="0"/>
              </w:rPr>
            </w:pPr>
            <w:r w:rsidRPr="00F9522B">
              <w:rPr>
                <w:rFonts w:eastAsiaTheme="minorEastAsia" w:hAnsi="Times New Roman"/>
                <w:snapToGrid w:val="0"/>
              </w:rPr>
              <w:t>坐标</w:t>
            </w:r>
          </w:p>
        </w:tc>
        <w:tc>
          <w:tcPr>
            <w:tcW w:w="415" w:type="dxa"/>
            <w:vAlign w:val="center"/>
          </w:tcPr>
          <w:p w:rsidR="002A5A5E" w:rsidRPr="00F9522B" w:rsidRDefault="00611CBA">
            <w:pPr>
              <w:pStyle w:val="aff7"/>
              <w:adjustRightInd w:val="0"/>
              <w:snapToGrid w:val="0"/>
              <w:rPr>
                <w:rFonts w:eastAsiaTheme="minorEastAsia" w:hAnsi="Times New Roman"/>
                <w:snapToGrid w:val="0"/>
              </w:rPr>
            </w:pPr>
            <w:r w:rsidRPr="00F9522B">
              <w:rPr>
                <w:rFonts w:eastAsiaTheme="minorEastAsia" w:hAnsi="Times New Roman"/>
                <w:snapToGrid w:val="0"/>
              </w:rPr>
              <w:t>取水层</w:t>
            </w:r>
          </w:p>
        </w:tc>
        <w:tc>
          <w:tcPr>
            <w:tcW w:w="649" w:type="dxa"/>
            <w:vAlign w:val="center"/>
          </w:tcPr>
          <w:p w:rsidR="002A5A5E" w:rsidRPr="00F9522B" w:rsidRDefault="00611CBA">
            <w:pPr>
              <w:pStyle w:val="aff7"/>
              <w:adjustRightInd w:val="0"/>
              <w:snapToGrid w:val="0"/>
              <w:rPr>
                <w:rFonts w:eastAsiaTheme="minorEastAsia" w:hAnsi="Times New Roman"/>
                <w:snapToGrid w:val="0"/>
              </w:rPr>
            </w:pPr>
            <w:r w:rsidRPr="00F9522B">
              <w:rPr>
                <w:rFonts w:eastAsiaTheme="minorEastAsia" w:hAnsi="Times New Roman"/>
                <w:snapToGrid w:val="0"/>
              </w:rPr>
              <w:t>工程</w:t>
            </w:r>
          </w:p>
        </w:tc>
        <w:tc>
          <w:tcPr>
            <w:tcW w:w="1142" w:type="dxa"/>
            <w:vAlign w:val="center"/>
          </w:tcPr>
          <w:p w:rsidR="002A5A5E" w:rsidRPr="00F9522B" w:rsidRDefault="00611CBA">
            <w:pPr>
              <w:pStyle w:val="aff7"/>
              <w:adjustRightInd w:val="0"/>
              <w:snapToGrid w:val="0"/>
              <w:rPr>
                <w:rFonts w:eastAsiaTheme="minorEastAsia" w:hAnsi="Times New Roman"/>
                <w:snapToGrid w:val="0"/>
              </w:rPr>
            </w:pPr>
            <w:r w:rsidRPr="00F9522B">
              <w:rPr>
                <w:rFonts w:eastAsiaTheme="minorEastAsia" w:hAnsi="Times New Roman"/>
                <w:snapToGrid w:val="0"/>
              </w:rPr>
              <w:t>相对工程方位及最近距离</w:t>
            </w:r>
            <w:r w:rsidRPr="00F9522B">
              <w:rPr>
                <w:rFonts w:eastAsiaTheme="minorEastAsia" w:hAnsi="Times New Roman"/>
                <w:snapToGrid w:val="0"/>
              </w:rPr>
              <w:t>km</w:t>
            </w:r>
          </w:p>
        </w:tc>
        <w:tc>
          <w:tcPr>
            <w:tcW w:w="958" w:type="dxa"/>
            <w:shd w:val="clear" w:color="auto" w:fill="auto"/>
            <w:vAlign w:val="center"/>
          </w:tcPr>
          <w:p w:rsidR="002A5A5E" w:rsidRPr="00F9522B" w:rsidRDefault="00611CBA">
            <w:pPr>
              <w:pStyle w:val="aff7"/>
              <w:spacing w:line="0" w:lineRule="atLeast"/>
              <w:contextualSpacing/>
              <w:rPr>
                <w:rFonts w:eastAsiaTheme="minorEastAsia" w:hAnsi="Times New Roman"/>
                <w:snapToGrid w:val="0"/>
              </w:rPr>
            </w:pPr>
            <w:r w:rsidRPr="00F9522B">
              <w:rPr>
                <w:rFonts w:eastAsiaTheme="minorEastAsia" w:hAnsi="Times New Roman"/>
                <w:snapToGrid w:val="0"/>
              </w:rPr>
              <w:t>保护要求</w:t>
            </w:r>
          </w:p>
        </w:tc>
      </w:tr>
      <w:tr w:rsidR="00B94198" w:rsidRPr="00F9522B" w:rsidTr="006C5351">
        <w:trPr>
          <w:trHeight w:val="184"/>
          <w:jc w:val="center"/>
        </w:trPr>
        <w:tc>
          <w:tcPr>
            <w:tcW w:w="603" w:type="dxa"/>
            <w:vMerge w:val="restart"/>
            <w:vAlign w:val="center"/>
          </w:tcPr>
          <w:p w:rsidR="00B94198" w:rsidRPr="00F9522B" w:rsidRDefault="00B94198" w:rsidP="00591DC4">
            <w:pPr>
              <w:pStyle w:val="aff7"/>
              <w:spacing w:line="0" w:lineRule="atLeast"/>
              <w:contextualSpacing/>
              <w:rPr>
                <w:rFonts w:eastAsiaTheme="minorEastAsia" w:hAnsi="Times New Roman"/>
                <w:snapToGrid w:val="0"/>
                <w:szCs w:val="22"/>
              </w:rPr>
            </w:pPr>
            <w:r w:rsidRPr="00F9522B">
              <w:rPr>
                <w:rFonts w:eastAsiaTheme="minorEastAsia" w:hAnsi="Times New Roman"/>
                <w:snapToGrid w:val="0"/>
                <w:szCs w:val="22"/>
              </w:rPr>
              <w:t>地下水</w:t>
            </w:r>
          </w:p>
        </w:tc>
        <w:tc>
          <w:tcPr>
            <w:tcW w:w="1101" w:type="dxa"/>
            <w:vAlign w:val="center"/>
          </w:tcPr>
          <w:p w:rsidR="00B94198" w:rsidRPr="00F9522B" w:rsidRDefault="00B94198">
            <w:pPr>
              <w:jc w:val="center"/>
              <w:rPr>
                <w:rFonts w:eastAsiaTheme="minorEastAsia"/>
                <w:szCs w:val="21"/>
              </w:rPr>
            </w:pPr>
            <w:r w:rsidRPr="00F9522B">
              <w:rPr>
                <w:rFonts w:eastAsiaTheme="minorEastAsia"/>
                <w:szCs w:val="21"/>
              </w:rPr>
              <w:t>沈家街道供水工程</w:t>
            </w:r>
            <w:r w:rsidRPr="00F9522B">
              <w:rPr>
                <w:rFonts w:eastAsiaTheme="minorEastAsia"/>
                <w:szCs w:val="21"/>
              </w:rPr>
              <w:t>1#</w:t>
            </w:r>
            <w:r w:rsidRPr="00F9522B">
              <w:rPr>
                <w:rFonts w:eastAsiaTheme="minorEastAsia"/>
                <w:szCs w:val="21"/>
              </w:rPr>
              <w:t>水井</w:t>
            </w:r>
            <w:r w:rsidRPr="00F9522B">
              <w:rPr>
                <w:rFonts w:eastAsiaTheme="minorEastAsia"/>
              </w:rPr>
              <w:t>（井深</w:t>
            </w:r>
            <w:r w:rsidRPr="00F9522B">
              <w:rPr>
                <w:rFonts w:eastAsiaTheme="minorEastAsia"/>
              </w:rPr>
              <w:t>80m</w:t>
            </w:r>
            <w:r w:rsidRPr="00F9522B">
              <w:rPr>
                <w:rFonts w:eastAsiaTheme="minorEastAsia"/>
              </w:rPr>
              <w:t>）</w:t>
            </w:r>
          </w:p>
        </w:tc>
        <w:tc>
          <w:tcPr>
            <w:tcW w:w="800" w:type="dxa"/>
            <w:vAlign w:val="center"/>
          </w:tcPr>
          <w:p w:rsidR="00B94198" w:rsidRPr="00F9522B" w:rsidRDefault="00B94198">
            <w:pPr>
              <w:jc w:val="center"/>
              <w:rPr>
                <w:rFonts w:eastAsiaTheme="minorEastAsia"/>
                <w:szCs w:val="21"/>
              </w:rPr>
            </w:pPr>
            <w:r w:rsidRPr="00F9522B">
              <w:rPr>
                <w:rFonts w:eastAsiaTheme="minorEastAsia"/>
                <w:szCs w:val="21"/>
              </w:rPr>
              <w:t>一级保护区（</w:t>
            </w:r>
            <w:r w:rsidRPr="00F9522B">
              <w:rPr>
                <w:rFonts w:eastAsiaTheme="minorEastAsia"/>
                <w:szCs w:val="21"/>
              </w:rPr>
              <w:t>30m</w:t>
            </w:r>
            <w:r w:rsidRPr="00F9522B">
              <w:rPr>
                <w:rFonts w:eastAsiaTheme="minorEastAsia"/>
                <w:szCs w:val="21"/>
              </w:rPr>
              <w:t>）</w:t>
            </w:r>
          </w:p>
        </w:tc>
        <w:tc>
          <w:tcPr>
            <w:tcW w:w="900" w:type="dxa"/>
            <w:vMerge w:val="restart"/>
            <w:vAlign w:val="center"/>
          </w:tcPr>
          <w:p w:rsidR="00B94198" w:rsidRPr="00F9522B" w:rsidRDefault="00B94198">
            <w:pPr>
              <w:jc w:val="center"/>
              <w:rPr>
                <w:rFonts w:eastAsiaTheme="minorEastAsia"/>
              </w:rPr>
            </w:pPr>
            <w:r w:rsidRPr="00F9522B">
              <w:rPr>
                <w:rFonts w:eastAsiaTheme="minorEastAsia"/>
                <w:szCs w:val="21"/>
              </w:rPr>
              <w:t>供水人数</w:t>
            </w:r>
            <w:r w:rsidRPr="00F9522B">
              <w:rPr>
                <w:rFonts w:eastAsiaTheme="minorEastAsia"/>
                <w:szCs w:val="21"/>
              </w:rPr>
              <w:t>10700</w:t>
            </w:r>
            <w:r w:rsidRPr="00F9522B">
              <w:rPr>
                <w:rFonts w:eastAsiaTheme="minorEastAsia"/>
                <w:szCs w:val="21"/>
              </w:rPr>
              <w:t>人</w:t>
            </w:r>
          </w:p>
        </w:tc>
        <w:tc>
          <w:tcPr>
            <w:tcW w:w="900" w:type="dxa"/>
            <w:vAlign w:val="center"/>
          </w:tcPr>
          <w:p w:rsidR="00B94198" w:rsidRPr="00F9522B" w:rsidRDefault="00B94198">
            <w:pPr>
              <w:jc w:val="center"/>
              <w:rPr>
                <w:rFonts w:eastAsiaTheme="minorEastAsia"/>
                <w:szCs w:val="21"/>
              </w:rPr>
            </w:pPr>
            <w:r w:rsidRPr="00F9522B">
              <w:rPr>
                <w:rFonts w:eastAsiaTheme="minorEastAsia"/>
                <w:szCs w:val="21"/>
              </w:rPr>
              <w:t>供水规模</w:t>
            </w:r>
            <w:r w:rsidRPr="00F9522B">
              <w:rPr>
                <w:rFonts w:eastAsiaTheme="minorEastAsia"/>
                <w:szCs w:val="21"/>
              </w:rPr>
              <w:t>80m³/d</w:t>
            </w:r>
          </w:p>
        </w:tc>
        <w:tc>
          <w:tcPr>
            <w:tcW w:w="900" w:type="dxa"/>
            <w:vAlign w:val="center"/>
          </w:tcPr>
          <w:p w:rsidR="00B94198" w:rsidRPr="00F9522B" w:rsidRDefault="00B94198">
            <w:pPr>
              <w:jc w:val="center"/>
              <w:rPr>
                <w:rFonts w:eastAsiaTheme="minorEastAsia"/>
                <w:szCs w:val="21"/>
              </w:rPr>
            </w:pPr>
            <w:r w:rsidRPr="00F9522B">
              <w:rPr>
                <w:rFonts w:eastAsiaTheme="minorEastAsia"/>
                <w:szCs w:val="21"/>
              </w:rPr>
              <w:t>126.5109100</w:t>
            </w:r>
            <w:r w:rsidRPr="00F9522B">
              <w:rPr>
                <w:rFonts w:eastAsiaTheme="minorEastAsia"/>
                <w:szCs w:val="21"/>
              </w:rPr>
              <w:t>，</w:t>
            </w:r>
            <w:r w:rsidRPr="00F9522B">
              <w:rPr>
                <w:rFonts w:eastAsiaTheme="minorEastAsia"/>
                <w:szCs w:val="21"/>
              </w:rPr>
              <w:t>46.045679</w:t>
            </w:r>
          </w:p>
        </w:tc>
        <w:tc>
          <w:tcPr>
            <w:tcW w:w="415" w:type="dxa"/>
            <w:vAlign w:val="center"/>
          </w:tcPr>
          <w:p w:rsidR="00B94198" w:rsidRPr="00F9522B" w:rsidRDefault="00B94198">
            <w:pPr>
              <w:jc w:val="center"/>
              <w:rPr>
                <w:rFonts w:eastAsiaTheme="minorEastAsia"/>
                <w:szCs w:val="21"/>
              </w:rPr>
            </w:pPr>
            <w:r w:rsidRPr="00F9522B">
              <w:rPr>
                <w:rFonts w:eastAsiaTheme="minorEastAsia"/>
                <w:szCs w:val="21"/>
              </w:rPr>
              <w:t>潜水</w:t>
            </w:r>
          </w:p>
        </w:tc>
        <w:tc>
          <w:tcPr>
            <w:tcW w:w="649" w:type="dxa"/>
            <w:vAlign w:val="center"/>
          </w:tcPr>
          <w:p w:rsidR="00B94198" w:rsidRPr="00F9522B" w:rsidRDefault="007A1F1B" w:rsidP="007A1F1B">
            <w:pPr>
              <w:jc w:val="center"/>
              <w:rPr>
                <w:rFonts w:eastAsiaTheme="minorEastAsia"/>
                <w:szCs w:val="21"/>
              </w:rPr>
            </w:pPr>
            <w:r w:rsidRPr="00F9522B">
              <w:rPr>
                <w:rFonts w:eastAsiaTheme="minorEastAsia"/>
                <w:szCs w:val="21"/>
              </w:rPr>
              <w:t>榆林</w:t>
            </w:r>
            <w:r w:rsidRPr="00F9522B">
              <w:rPr>
                <w:rFonts w:eastAsiaTheme="minorEastAsia"/>
                <w:szCs w:val="21"/>
              </w:rPr>
              <w:t>2</w:t>
            </w:r>
            <w:r w:rsidR="00B94198" w:rsidRPr="00F9522B">
              <w:rPr>
                <w:rFonts w:eastAsiaTheme="minorEastAsia"/>
                <w:szCs w:val="21"/>
              </w:rPr>
              <w:t>#</w:t>
            </w:r>
            <w:r w:rsidR="00B94198" w:rsidRPr="00F9522B">
              <w:rPr>
                <w:rFonts w:eastAsiaTheme="minorEastAsia"/>
                <w:szCs w:val="21"/>
              </w:rPr>
              <w:t>灌溉井</w:t>
            </w:r>
          </w:p>
        </w:tc>
        <w:tc>
          <w:tcPr>
            <w:tcW w:w="1142" w:type="dxa"/>
            <w:vAlign w:val="center"/>
          </w:tcPr>
          <w:p w:rsidR="00B94198" w:rsidRPr="00F9522B" w:rsidRDefault="007A1F1B" w:rsidP="007A1F1B">
            <w:pPr>
              <w:pStyle w:val="aff7"/>
              <w:spacing w:line="0" w:lineRule="atLeast"/>
              <w:contextualSpacing/>
              <w:rPr>
                <w:rFonts w:eastAsiaTheme="minorEastAsia" w:hAnsi="Times New Roman"/>
                <w:snapToGrid w:val="0"/>
                <w:szCs w:val="22"/>
              </w:rPr>
            </w:pPr>
            <w:r w:rsidRPr="00F9522B">
              <w:rPr>
                <w:rFonts w:eastAsiaTheme="minorEastAsia" w:hAnsi="Times New Roman"/>
                <w:snapToGrid w:val="0"/>
                <w:szCs w:val="22"/>
              </w:rPr>
              <w:t>N</w:t>
            </w:r>
            <w:r w:rsidR="00B94198" w:rsidRPr="00F9522B">
              <w:rPr>
                <w:rFonts w:eastAsiaTheme="minorEastAsia" w:hAnsi="Times New Roman"/>
                <w:snapToGrid w:val="0"/>
                <w:szCs w:val="22"/>
              </w:rPr>
              <w:t>W</w:t>
            </w:r>
            <w:r w:rsidRPr="00F9522B">
              <w:rPr>
                <w:rFonts w:eastAsiaTheme="minorEastAsia" w:hAnsi="Times New Roman"/>
                <w:snapToGrid w:val="0"/>
                <w:szCs w:val="22"/>
              </w:rPr>
              <w:t>1.2</w:t>
            </w:r>
          </w:p>
        </w:tc>
        <w:tc>
          <w:tcPr>
            <w:tcW w:w="958" w:type="dxa"/>
            <w:vMerge w:val="restart"/>
            <w:shd w:val="clear" w:color="auto" w:fill="auto"/>
            <w:vAlign w:val="center"/>
          </w:tcPr>
          <w:p w:rsidR="00B94198" w:rsidRPr="00F9522B" w:rsidRDefault="00B94198" w:rsidP="00591DC4">
            <w:pPr>
              <w:pStyle w:val="aff7"/>
              <w:spacing w:line="0" w:lineRule="atLeast"/>
              <w:contextualSpacing/>
              <w:rPr>
                <w:rFonts w:eastAsiaTheme="minorEastAsia" w:hAnsi="Times New Roman"/>
                <w:snapToGrid w:val="0"/>
                <w:szCs w:val="22"/>
              </w:rPr>
            </w:pPr>
            <w:r w:rsidRPr="00F9522B">
              <w:rPr>
                <w:rFonts w:eastAsiaTheme="minorEastAsia" w:hAnsi="Times New Roman"/>
                <w:snapToGrid w:val="0"/>
                <w:szCs w:val="22"/>
              </w:rPr>
              <w:t>《地下水质量标准》（</w:t>
            </w:r>
            <w:r w:rsidRPr="00F9522B">
              <w:rPr>
                <w:rFonts w:eastAsiaTheme="minorEastAsia" w:hAnsi="Times New Roman"/>
                <w:snapToGrid w:val="0"/>
                <w:szCs w:val="22"/>
              </w:rPr>
              <w:t>GB/T14848-2017</w:t>
            </w:r>
            <w:r w:rsidRPr="00F9522B">
              <w:rPr>
                <w:rFonts w:eastAsiaTheme="minorEastAsia" w:hAnsi="Times New Roman"/>
                <w:snapToGrid w:val="0"/>
                <w:szCs w:val="22"/>
              </w:rPr>
              <w:t>）</w:t>
            </w:r>
            <w:r w:rsidRPr="00F9522B">
              <w:rPr>
                <w:rFonts w:eastAsiaTheme="minorEastAsia" w:hAnsi="Times New Roman"/>
                <w:snapToGrid w:val="0"/>
                <w:szCs w:val="22"/>
              </w:rPr>
              <w:t xml:space="preserve">III </w:t>
            </w:r>
            <w:r w:rsidRPr="00F9522B">
              <w:rPr>
                <w:rFonts w:eastAsiaTheme="minorEastAsia" w:hAnsi="Times New Roman"/>
                <w:snapToGrid w:val="0"/>
                <w:szCs w:val="22"/>
              </w:rPr>
              <w:t>类标准</w:t>
            </w:r>
          </w:p>
        </w:tc>
      </w:tr>
      <w:tr w:rsidR="00B94198" w:rsidRPr="00F9522B" w:rsidTr="006C5351">
        <w:trPr>
          <w:trHeight w:val="184"/>
          <w:jc w:val="center"/>
        </w:trPr>
        <w:tc>
          <w:tcPr>
            <w:tcW w:w="603" w:type="dxa"/>
            <w:vMerge/>
            <w:vAlign w:val="center"/>
          </w:tcPr>
          <w:p w:rsidR="00B94198" w:rsidRPr="00F9522B" w:rsidRDefault="00B94198" w:rsidP="00591DC4">
            <w:pPr>
              <w:pStyle w:val="aff7"/>
              <w:spacing w:line="0" w:lineRule="atLeast"/>
              <w:contextualSpacing/>
              <w:rPr>
                <w:rFonts w:eastAsiaTheme="minorEastAsia" w:hAnsi="Times New Roman"/>
                <w:snapToGrid w:val="0"/>
                <w:szCs w:val="22"/>
              </w:rPr>
            </w:pPr>
          </w:p>
        </w:tc>
        <w:tc>
          <w:tcPr>
            <w:tcW w:w="1101" w:type="dxa"/>
            <w:vAlign w:val="center"/>
          </w:tcPr>
          <w:p w:rsidR="00B94198" w:rsidRPr="00F9522B" w:rsidRDefault="00B94198">
            <w:pPr>
              <w:jc w:val="center"/>
              <w:rPr>
                <w:rFonts w:eastAsiaTheme="minorEastAsia"/>
                <w:szCs w:val="21"/>
              </w:rPr>
            </w:pPr>
            <w:r w:rsidRPr="00F9522B">
              <w:rPr>
                <w:rFonts w:eastAsiaTheme="minorEastAsia"/>
                <w:szCs w:val="21"/>
              </w:rPr>
              <w:t>沈家街道供水工程</w:t>
            </w:r>
            <w:r w:rsidRPr="00F9522B">
              <w:rPr>
                <w:rFonts w:eastAsiaTheme="minorEastAsia"/>
                <w:szCs w:val="21"/>
              </w:rPr>
              <w:t>2#</w:t>
            </w:r>
            <w:r w:rsidRPr="00F9522B">
              <w:rPr>
                <w:rFonts w:eastAsiaTheme="minorEastAsia"/>
                <w:szCs w:val="21"/>
              </w:rPr>
              <w:t>水井</w:t>
            </w:r>
            <w:r w:rsidRPr="00F9522B">
              <w:rPr>
                <w:rFonts w:eastAsiaTheme="minorEastAsia"/>
              </w:rPr>
              <w:t>（井深</w:t>
            </w:r>
            <w:r w:rsidRPr="00F9522B">
              <w:rPr>
                <w:rFonts w:eastAsiaTheme="minorEastAsia"/>
              </w:rPr>
              <w:t>80m</w:t>
            </w:r>
            <w:r w:rsidRPr="00F9522B">
              <w:rPr>
                <w:rFonts w:eastAsiaTheme="minorEastAsia"/>
              </w:rPr>
              <w:t>）</w:t>
            </w:r>
          </w:p>
        </w:tc>
        <w:tc>
          <w:tcPr>
            <w:tcW w:w="800" w:type="dxa"/>
            <w:vAlign w:val="center"/>
          </w:tcPr>
          <w:p w:rsidR="00B94198" w:rsidRPr="00F9522B" w:rsidRDefault="00B94198">
            <w:pPr>
              <w:jc w:val="center"/>
              <w:rPr>
                <w:rFonts w:eastAsiaTheme="minorEastAsia"/>
                <w:szCs w:val="21"/>
              </w:rPr>
            </w:pPr>
            <w:r w:rsidRPr="00F9522B">
              <w:rPr>
                <w:rFonts w:eastAsiaTheme="minorEastAsia"/>
                <w:szCs w:val="21"/>
              </w:rPr>
              <w:t>一级保护区（</w:t>
            </w:r>
            <w:r w:rsidRPr="00F9522B">
              <w:rPr>
                <w:rFonts w:eastAsiaTheme="minorEastAsia"/>
                <w:szCs w:val="21"/>
              </w:rPr>
              <w:t>30m</w:t>
            </w:r>
            <w:r w:rsidRPr="00F9522B">
              <w:rPr>
                <w:rFonts w:eastAsiaTheme="minorEastAsia"/>
                <w:szCs w:val="21"/>
              </w:rPr>
              <w:t>）</w:t>
            </w:r>
          </w:p>
        </w:tc>
        <w:tc>
          <w:tcPr>
            <w:tcW w:w="900" w:type="dxa"/>
            <w:vMerge/>
            <w:vAlign w:val="center"/>
          </w:tcPr>
          <w:p w:rsidR="00B94198" w:rsidRPr="00F9522B" w:rsidRDefault="00B94198">
            <w:pPr>
              <w:jc w:val="center"/>
              <w:rPr>
                <w:rFonts w:eastAsiaTheme="minorEastAsia"/>
              </w:rPr>
            </w:pPr>
          </w:p>
        </w:tc>
        <w:tc>
          <w:tcPr>
            <w:tcW w:w="900" w:type="dxa"/>
            <w:vAlign w:val="center"/>
          </w:tcPr>
          <w:p w:rsidR="00B94198" w:rsidRPr="00F9522B" w:rsidRDefault="00B94198">
            <w:pPr>
              <w:jc w:val="center"/>
              <w:rPr>
                <w:rFonts w:eastAsiaTheme="minorEastAsia"/>
                <w:szCs w:val="21"/>
              </w:rPr>
            </w:pPr>
            <w:r w:rsidRPr="00F9522B">
              <w:rPr>
                <w:rFonts w:eastAsiaTheme="minorEastAsia"/>
                <w:szCs w:val="21"/>
              </w:rPr>
              <w:t>供水规模</w:t>
            </w:r>
            <w:r w:rsidRPr="00F9522B">
              <w:rPr>
                <w:rFonts w:eastAsiaTheme="minorEastAsia"/>
                <w:szCs w:val="21"/>
              </w:rPr>
              <w:t>80m³/d</w:t>
            </w:r>
          </w:p>
        </w:tc>
        <w:tc>
          <w:tcPr>
            <w:tcW w:w="900" w:type="dxa"/>
            <w:vAlign w:val="center"/>
          </w:tcPr>
          <w:p w:rsidR="00B94198" w:rsidRPr="00F9522B" w:rsidRDefault="00B94198">
            <w:pPr>
              <w:jc w:val="center"/>
              <w:rPr>
                <w:rFonts w:eastAsiaTheme="minorEastAsia"/>
                <w:szCs w:val="21"/>
              </w:rPr>
            </w:pPr>
            <w:r w:rsidRPr="00F9522B">
              <w:rPr>
                <w:rFonts w:eastAsiaTheme="minorEastAsia"/>
                <w:szCs w:val="21"/>
              </w:rPr>
              <w:t>126.5054719</w:t>
            </w:r>
            <w:r w:rsidRPr="00F9522B">
              <w:rPr>
                <w:rFonts w:eastAsiaTheme="minorEastAsia"/>
                <w:szCs w:val="21"/>
              </w:rPr>
              <w:t>，</w:t>
            </w:r>
            <w:r w:rsidRPr="00F9522B">
              <w:rPr>
                <w:rFonts w:eastAsiaTheme="minorEastAsia"/>
                <w:szCs w:val="21"/>
              </w:rPr>
              <w:t>46.050749</w:t>
            </w:r>
          </w:p>
        </w:tc>
        <w:tc>
          <w:tcPr>
            <w:tcW w:w="415" w:type="dxa"/>
            <w:vAlign w:val="center"/>
          </w:tcPr>
          <w:p w:rsidR="00B94198" w:rsidRPr="00F9522B" w:rsidRDefault="00B94198">
            <w:pPr>
              <w:jc w:val="center"/>
              <w:rPr>
                <w:rFonts w:eastAsiaTheme="minorEastAsia"/>
                <w:szCs w:val="21"/>
              </w:rPr>
            </w:pPr>
            <w:r w:rsidRPr="00F9522B">
              <w:rPr>
                <w:rFonts w:eastAsiaTheme="minorEastAsia"/>
                <w:szCs w:val="21"/>
              </w:rPr>
              <w:t>潜水</w:t>
            </w:r>
          </w:p>
        </w:tc>
        <w:tc>
          <w:tcPr>
            <w:tcW w:w="649" w:type="dxa"/>
            <w:vAlign w:val="center"/>
          </w:tcPr>
          <w:p w:rsidR="00B94198" w:rsidRPr="00F9522B" w:rsidRDefault="007A1F1B">
            <w:pPr>
              <w:jc w:val="center"/>
              <w:rPr>
                <w:rFonts w:eastAsiaTheme="minorEastAsia"/>
                <w:szCs w:val="21"/>
              </w:rPr>
            </w:pPr>
            <w:r w:rsidRPr="00F9522B">
              <w:rPr>
                <w:rFonts w:eastAsiaTheme="minorEastAsia"/>
                <w:szCs w:val="21"/>
              </w:rPr>
              <w:t>榆林</w:t>
            </w:r>
            <w:r w:rsidRPr="00F9522B">
              <w:rPr>
                <w:rFonts w:eastAsiaTheme="minorEastAsia"/>
                <w:szCs w:val="21"/>
              </w:rPr>
              <w:t>2#</w:t>
            </w:r>
            <w:r w:rsidRPr="00F9522B">
              <w:rPr>
                <w:rFonts w:eastAsiaTheme="minorEastAsia"/>
                <w:szCs w:val="21"/>
              </w:rPr>
              <w:t>灌溉井</w:t>
            </w:r>
          </w:p>
        </w:tc>
        <w:tc>
          <w:tcPr>
            <w:tcW w:w="1142" w:type="dxa"/>
            <w:vAlign w:val="center"/>
          </w:tcPr>
          <w:p w:rsidR="00B94198" w:rsidRPr="00F9522B" w:rsidRDefault="007A1F1B" w:rsidP="007A1F1B">
            <w:pPr>
              <w:pStyle w:val="aff7"/>
              <w:spacing w:line="0" w:lineRule="atLeast"/>
              <w:contextualSpacing/>
              <w:rPr>
                <w:rFonts w:eastAsiaTheme="minorEastAsia" w:hAnsi="Times New Roman"/>
                <w:snapToGrid w:val="0"/>
                <w:szCs w:val="22"/>
              </w:rPr>
            </w:pPr>
            <w:r w:rsidRPr="00F9522B">
              <w:rPr>
                <w:rFonts w:eastAsiaTheme="minorEastAsia" w:hAnsi="Times New Roman"/>
                <w:snapToGrid w:val="0"/>
                <w:szCs w:val="22"/>
              </w:rPr>
              <w:t>N</w:t>
            </w:r>
            <w:r w:rsidR="00B94198" w:rsidRPr="00F9522B">
              <w:rPr>
                <w:rFonts w:eastAsiaTheme="minorEastAsia" w:hAnsi="Times New Roman"/>
                <w:snapToGrid w:val="0"/>
                <w:szCs w:val="22"/>
              </w:rPr>
              <w:t>W</w:t>
            </w:r>
            <w:r w:rsidRPr="00F9522B">
              <w:rPr>
                <w:rFonts w:eastAsiaTheme="minorEastAsia" w:hAnsi="Times New Roman"/>
                <w:snapToGrid w:val="0"/>
                <w:szCs w:val="22"/>
              </w:rPr>
              <w:t>1.7</w:t>
            </w:r>
          </w:p>
        </w:tc>
        <w:tc>
          <w:tcPr>
            <w:tcW w:w="958" w:type="dxa"/>
            <w:vMerge/>
            <w:shd w:val="clear" w:color="auto" w:fill="auto"/>
            <w:vAlign w:val="center"/>
          </w:tcPr>
          <w:p w:rsidR="00B94198" w:rsidRPr="00F9522B" w:rsidRDefault="00B94198" w:rsidP="00591DC4">
            <w:pPr>
              <w:pStyle w:val="aff7"/>
              <w:spacing w:line="0" w:lineRule="atLeast"/>
              <w:contextualSpacing/>
              <w:rPr>
                <w:rFonts w:eastAsiaTheme="minorEastAsia" w:hAnsi="Times New Roman"/>
                <w:snapToGrid w:val="0"/>
                <w:szCs w:val="22"/>
              </w:rPr>
            </w:pPr>
          </w:p>
        </w:tc>
      </w:tr>
      <w:tr w:rsidR="00B94198" w:rsidRPr="00F9522B" w:rsidTr="006C5351">
        <w:trPr>
          <w:trHeight w:val="184"/>
          <w:jc w:val="center"/>
        </w:trPr>
        <w:tc>
          <w:tcPr>
            <w:tcW w:w="603" w:type="dxa"/>
            <w:vMerge/>
            <w:vAlign w:val="center"/>
          </w:tcPr>
          <w:p w:rsidR="00B94198" w:rsidRPr="00F9522B" w:rsidRDefault="00B94198" w:rsidP="00591DC4">
            <w:pPr>
              <w:pStyle w:val="aff7"/>
              <w:spacing w:line="0" w:lineRule="atLeast"/>
              <w:contextualSpacing/>
              <w:rPr>
                <w:rFonts w:eastAsiaTheme="minorEastAsia" w:hAnsi="Times New Roman"/>
                <w:snapToGrid w:val="0"/>
                <w:szCs w:val="22"/>
              </w:rPr>
            </w:pPr>
          </w:p>
        </w:tc>
        <w:tc>
          <w:tcPr>
            <w:tcW w:w="1101" w:type="dxa"/>
            <w:vAlign w:val="center"/>
          </w:tcPr>
          <w:p w:rsidR="00B94198" w:rsidRPr="00F9522B" w:rsidRDefault="00B94198">
            <w:pPr>
              <w:jc w:val="center"/>
              <w:rPr>
                <w:rFonts w:eastAsiaTheme="minorEastAsia"/>
                <w:szCs w:val="21"/>
              </w:rPr>
            </w:pPr>
            <w:r w:rsidRPr="00F9522B">
              <w:rPr>
                <w:rFonts w:eastAsiaTheme="minorEastAsia"/>
                <w:szCs w:val="21"/>
              </w:rPr>
              <w:t>二八镇长山村供水工程（</w:t>
            </w:r>
            <w:r w:rsidRPr="00F9522B">
              <w:rPr>
                <w:rFonts w:eastAsiaTheme="minorEastAsia"/>
              </w:rPr>
              <w:t>井深</w:t>
            </w:r>
            <w:r w:rsidRPr="00F9522B">
              <w:rPr>
                <w:rFonts w:eastAsiaTheme="minorEastAsia"/>
              </w:rPr>
              <w:t>90m</w:t>
            </w:r>
            <w:r w:rsidRPr="00F9522B">
              <w:rPr>
                <w:rFonts w:eastAsiaTheme="minorEastAsia"/>
                <w:szCs w:val="21"/>
              </w:rPr>
              <w:t>）</w:t>
            </w:r>
          </w:p>
        </w:tc>
        <w:tc>
          <w:tcPr>
            <w:tcW w:w="800" w:type="dxa"/>
            <w:vAlign w:val="center"/>
          </w:tcPr>
          <w:p w:rsidR="00B94198" w:rsidRPr="00F9522B" w:rsidRDefault="00B94198">
            <w:pPr>
              <w:jc w:val="center"/>
              <w:rPr>
                <w:rFonts w:eastAsiaTheme="minorEastAsia"/>
                <w:szCs w:val="21"/>
              </w:rPr>
            </w:pPr>
            <w:r w:rsidRPr="00F9522B">
              <w:rPr>
                <w:rFonts w:eastAsiaTheme="minorEastAsia"/>
                <w:szCs w:val="21"/>
              </w:rPr>
              <w:t>一级保护区（</w:t>
            </w:r>
            <w:r w:rsidRPr="00F9522B">
              <w:rPr>
                <w:rFonts w:eastAsiaTheme="minorEastAsia"/>
                <w:szCs w:val="21"/>
              </w:rPr>
              <w:t>30m</w:t>
            </w:r>
            <w:r w:rsidRPr="00F9522B">
              <w:rPr>
                <w:rFonts w:eastAsiaTheme="minorEastAsia"/>
                <w:szCs w:val="21"/>
              </w:rPr>
              <w:t>）</w:t>
            </w:r>
          </w:p>
        </w:tc>
        <w:tc>
          <w:tcPr>
            <w:tcW w:w="900" w:type="dxa"/>
            <w:vAlign w:val="center"/>
          </w:tcPr>
          <w:p w:rsidR="00B94198" w:rsidRPr="00F9522B" w:rsidRDefault="00B94198">
            <w:pPr>
              <w:jc w:val="center"/>
              <w:rPr>
                <w:rFonts w:eastAsiaTheme="minorEastAsia"/>
                <w:szCs w:val="21"/>
              </w:rPr>
            </w:pPr>
            <w:r w:rsidRPr="00F9522B">
              <w:rPr>
                <w:rFonts w:eastAsiaTheme="minorEastAsia"/>
                <w:szCs w:val="21"/>
              </w:rPr>
              <w:t>供水人数</w:t>
            </w:r>
            <w:r w:rsidRPr="00F9522B">
              <w:rPr>
                <w:rFonts w:eastAsiaTheme="minorEastAsia"/>
                <w:szCs w:val="21"/>
              </w:rPr>
              <w:t>3725</w:t>
            </w:r>
            <w:r w:rsidRPr="00F9522B">
              <w:rPr>
                <w:rFonts w:eastAsiaTheme="minorEastAsia"/>
                <w:szCs w:val="21"/>
              </w:rPr>
              <w:t>人</w:t>
            </w:r>
          </w:p>
        </w:tc>
        <w:tc>
          <w:tcPr>
            <w:tcW w:w="900" w:type="dxa"/>
            <w:vAlign w:val="center"/>
          </w:tcPr>
          <w:p w:rsidR="00B94198" w:rsidRPr="00F9522B" w:rsidRDefault="00B94198">
            <w:pPr>
              <w:jc w:val="center"/>
              <w:rPr>
                <w:rFonts w:eastAsiaTheme="minorEastAsia"/>
                <w:szCs w:val="21"/>
              </w:rPr>
            </w:pPr>
            <w:r w:rsidRPr="00F9522B">
              <w:rPr>
                <w:rFonts w:eastAsiaTheme="minorEastAsia"/>
                <w:szCs w:val="21"/>
              </w:rPr>
              <w:t>供水规模</w:t>
            </w:r>
            <w:r w:rsidRPr="00F9522B">
              <w:rPr>
                <w:rFonts w:eastAsiaTheme="minorEastAsia"/>
                <w:szCs w:val="21"/>
              </w:rPr>
              <w:t>89m³/d</w:t>
            </w:r>
          </w:p>
        </w:tc>
        <w:tc>
          <w:tcPr>
            <w:tcW w:w="900" w:type="dxa"/>
            <w:vAlign w:val="center"/>
          </w:tcPr>
          <w:p w:rsidR="00B94198" w:rsidRPr="00F9522B" w:rsidRDefault="00B94198">
            <w:pPr>
              <w:jc w:val="center"/>
              <w:rPr>
                <w:rFonts w:eastAsiaTheme="minorEastAsia"/>
                <w:szCs w:val="21"/>
              </w:rPr>
            </w:pPr>
            <w:r w:rsidRPr="00F9522B">
              <w:rPr>
                <w:rFonts w:eastAsiaTheme="minorEastAsia"/>
                <w:szCs w:val="21"/>
              </w:rPr>
              <w:t>127.0366510</w:t>
            </w:r>
            <w:r w:rsidRPr="00F9522B">
              <w:rPr>
                <w:rFonts w:eastAsiaTheme="minorEastAsia"/>
                <w:szCs w:val="21"/>
              </w:rPr>
              <w:t>，</w:t>
            </w:r>
            <w:r w:rsidRPr="00F9522B">
              <w:rPr>
                <w:rFonts w:eastAsiaTheme="minorEastAsia"/>
                <w:szCs w:val="21"/>
              </w:rPr>
              <w:t>46.153173</w:t>
            </w:r>
          </w:p>
        </w:tc>
        <w:tc>
          <w:tcPr>
            <w:tcW w:w="415" w:type="dxa"/>
            <w:vAlign w:val="center"/>
          </w:tcPr>
          <w:p w:rsidR="00B94198" w:rsidRPr="00F9522B" w:rsidRDefault="00B94198">
            <w:pPr>
              <w:jc w:val="center"/>
              <w:rPr>
                <w:rFonts w:eastAsiaTheme="minorEastAsia"/>
                <w:szCs w:val="21"/>
              </w:rPr>
            </w:pPr>
            <w:r w:rsidRPr="00F9522B">
              <w:rPr>
                <w:rFonts w:eastAsiaTheme="minorEastAsia"/>
                <w:szCs w:val="21"/>
              </w:rPr>
              <w:t>潜水</w:t>
            </w:r>
          </w:p>
        </w:tc>
        <w:tc>
          <w:tcPr>
            <w:tcW w:w="649" w:type="dxa"/>
            <w:vAlign w:val="center"/>
          </w:tcPr>
          <w:p w:rsidR="00B94198" w:rsidRPr="00F9522B" w:rsidRDefault="007A1F1B">
            <w:pPr>
              <w:jc w:val="center"/>
              <w:rPr>
                <w:rFonts w:eastAsiaTheme="minorEastAsia"/>
                <w:szCs w:val="21"/>
              </w:rPr>
            </w:pPr>
            <w:r w:rsidRPr="00F9522B">
              <w:rPr>
                <w:rFonts w:eastAsiaTheme="minorEastAsia"/>
                <w:szCs w:val="21"/>
              </w:rPr>
              <w:t>傅井</w:t>
            </w:r>
            <w:r w:rsidR="00B94198" w:rsidRPr="00F9522B">
              <w:rPr>
                <w:rFonts w:eastAsiaTheme="minorEastAsia"/>
                <w:szCs w:val="21"/>
              </w:rPr>
              <w:t>2#</w:t>
            </w:r>
            <w:r w:rsidR="00B94198" w:rsidRPr="00F9522B">
              <w:rPr>
                <w:rFonts w:eastAsiaTheme="minorEastAsia"/>
                <w:szCs w:val="21"/>
              </w:rPr>
              <w:t>灌溉井</w:t>
            </w:r>
          </w:p>
        </w:tc>
        <w:tc>
          <w:tcPr>
            <w:tcW w:w="1142" w:type="dxa"/>
            <w:vAlign w:val="center"/>
          </w:tcPr>
          <w:p w:rsidR="00B94198" w:rsidRPr="00F9522B" w:rsidRDefault="00B94198" w:rsidP="007A1F1B">
            <w:pPr>
              <w:pStyle w:val="aff7"/>
              <w:spacing w:line="0" w:lineRule="atLeast"/>
              <w:contextualSpacing/>
              <w:rPr>
                <w:rFonts w:eastAsiaTheme="minorEastAsia" w:hAnsi="Times New Roman"/>
                <w:snapToGrid w:val="0"/>
                <w:szCs w:val="22"/>
              </w:rPr>
            </w:pPr>
            <w:r w:rsidRPr="00F9522B">
              <w:rPr>
                <w:rFonts w:eastAsiaTheme="minorEastAsia" w:hAnsi="Times New Roman"/>
                <w:snapToGrid w:val="0"/>
                <w:szCs w:val="22"/>
              </w:rPr>
              <w:t>SE</w:t>
            </w:r>
            <w:r w:rsidR="007A1F1B" w:rsidRPr="00F9522B">
              <w:rPr>
                <w:rFonts w:eastAsiaTheme="minorEastAsia" w:hAnsi="Times New Roman"/>
                <w:snapToGrid w:val="0"/>
                <w:szCs w:val="22"/>
              </w:rPr>
              <w:t>2.2</w:t>
            </w:r>
          </w:p>
        </w:tc>
        <w:tc>
          <w:tcPr>
            <w:tcW w:w="958" w:type="dxa"/>
            <w:vMerge/>
            <w:shd w:val="clear" w:color="auto" w:fill="auto"/>
            <w:vAlign w:val="center"/>
          </w:tcPr>
          <w:p w:rsidR="00B94198" w:rsidRPr="00F9522B" w:rsidRDefault="00B94198" w:rsidP="00591DC4">
            <w:pPr>
              <w:pStyle w:val="aff7"/>
              <w:spacing w:line="0" w:lineRule="atLeast"/>
              <w:contextualSpacing/>
              <w:rPr>
                <w:rFonts w:eastAsiaTheme="minorEastAsia" w:hAnsi="Times New Roman"/>
                <w:snapToGrid w:val="0"/>
                <w:szCs w:val="22"/>
              </w:rPr>
            </w:pPr>
          </w:p>
        </w:tc>
      </w:tr>
      <w:tr w:rsidR="00B94198" w:rsidRPr="00F9522B" w:rsidTr="006C5351">
        <w:trPr>
          <w:trHeight w:val="184"/>
          <w:jc w:val="center"/>
        </w:trPr>
        <w:tc>
          <w:tcPr>
            <w:tcW w:w="603" w:type="dxa"/>
            <w:vMerge/>
            <w:vAlign w:val="center"/>
          </w:tcPr>
          <w:p w:rsidR="00B94198" w:rsidRPr="00F9522B" w:rsidRDefault="00B94198" w:rsidP="00591DC4">
            <w:pPr>
              <w:pStyle w:val="aff7"/>
              <w:spacing w:line="0" w:lineRule="atLeast"/>
              <w:contextualSpacing/>
              <w:rPr>
                <w:rFonts w:eastAsiaTheme="minorEastAsia" w:hAnsi="Times New Roman"/>
                <w:snapToGrid w:val="0"/>
                <w:szCs w:val="22"/>
              </w:rPr>
            </w:pPr>
          </w:p>
        </w:tc>
        <w:tc>
          <w:tcPr>
            <w:tcW w:w="1101" w:type="dxa"/>
            <w:vAlign w:val="center"/>
          </w:tcPr>
          <w:p w:rsidR="00B94198" w:rsidRPr="00F9522B" w:rsidRDefault="00B94198">
            <w:pPr>
              <w:jc w:val="center"/>
              <w:rPr>
                <w:rFonts w:eastAsiaTheme="minorEastAsia"/>
                <w:szCs w:val="21"/>
              </w:rPr>
            </w:pPr>
            <w:r w:rsidRPr="00F9522B">
              <w:rPr>
                <w:rFonts w:eastAsiaTheme="minorEastAsia"/>
                <w:szCs w:val="21"/>
              </w:rPr>
              <w:t>方台镇高堡村供水工程水井</w:t>
            </w:r>
            <w:r w:rsidRPr="00F9522B">
              <w:rPr>
                <w:rFonts w:eastAsiaTheme="minorEastAsia"/>
              </w:rPr>
              <w:t>（井深</w:t>
            </w:r>
            <w:r w:rsidRPr="00F9522B">
              <w:rPr>
                <w:rFonts w:eastAsiaTheme="minorEastAsia"/>
              </w:rPr>
              <w:t>75m</w:t>
            </w:r>
            <w:r w:rsidRPr="00F9522B">
              <w:rPr>
                <w:rFonts w:eastAsiaTheme="minorEastAsia"/>
              </w:rPr>
              <w:t>）</w:t>
            </w:r>
          </w:p>
        </w:tc>
        <w:tc>
          <w:tcPr>
            <w:tcW w:w="800" w:type="dxa"/>
            <w:vAlign w:val="center"/>
          </w:tcPr>
          <w:p w:rsidR="00B94198" w:rsidRPr="00F9522B" w:rsidRDefault="00B94198">
            <w:pPr>
              <w:jc w:val="center"/>
              <w:rPr>
                <w:rFonts w:eastAsiaTheme="minorEastAsia"/>
                <w:szCs w:val="21"/>
              </w:rPr>
            </w:pPr>
            <w:r w:rsidRPr="00F9522B">
              <w:rPr>
                <w:rFonts w:eastAsiaTheme="minorEastAsia"/>
                <w:szCs w:val="21"/>
              </w:rPr>
              <w:t>一级保护区（</w:t>
            </w:r>
            <w:r w:rsidRPr="00F9522B">
              <w:rPr>
                <w:rFonts w:eastAsiaTheme="minorEastAsia"/>
                <w:szCs w:val="21"/>
              </w:rPr>
              <w:t>30m</w:t>
            </w:r>
            <w:r w:rsidRPr="00F9522B">
              <w:rPr>
                <w:rFonts w:eastAsiaTheme="minorEastAsia"/>
                <w:szCs w:val="21"/>
              </w:rPr>
              <w:t>）</w:t>
            </w:r>
          </w:p>
        </w:tc>
        <w:tc>
          <w:tcPr>
            <w:tcW w:w="900" w:type="dxa"/>
            <w:vAlign w:val="center"/>
          </w:tcPr>
          <w:p w:rsidR="00B94198" w:rsidRPr="00F9522B" w:rsidRDefault="00B94198">
            <w:pPr>
              <w:jc w:val="center"/>
              <w:rPr>
                <w:rFonts w:eastAsiaTheme="minorEastAsia"/>
                <w:szCs w:val="21"/>
              </w:rPr>
            </w:pPr>
            <w:r w:rsidRPr="00F9522B">
              <w:rPr>
                <w:rFonts w:eastAsiaTheme="minorEastAsia"/>
                <w:szCs w:val="21"/>
              </w:rPr>
              <w:t>供水人数</w:t>
            </w:r>
            <w:r w:rsidRPr="00F9522B">
              <w:rPr>
                <w:rFonts w:eastAsiaTheme="minorEastAsia"/>
                <w:szCs w:val="21"/>
              </w:rPr>
              <w:t>2613</w:t>
            </w:r>
            <w:r w:rsidRPr="00F9522B">
              <w:rPr>
                <w:rFonts w:eastAsiaTheme="minorEastAsia"/>
                <w:szCs w:val="21"/>
              </w:rPr>
              <w:t>人</w:t>
            </w:r>
          </w:p>
        </w:tc>
        <w:tc>
          <w:tcPr>
            <w:tcW w:w="900" w:type="dxa"/>
            <w:vAlign w:val="center"/>
          </w:tcPr>
          <w:p w:rsidR="00B94198" w:rsidRPr="00F9522B" w:rsidRDefault="00B94198">
            <w:pPr>
              <w:jc w:val="center"/>
              <w:rPr>
                <w:rFonts w:eastAsiaTheme="minorEastAsia"/>
                <w:szCs w:val="21"/>
              </w:rPr>
            </w:pPr>
            <w:r w:rsidRPr="00F9522B">
              <w:rPr>
                <w:rFonts w:eastAsiaTheme="minorEastAsia"/>
                <w:szCs w:val="21"/>
              </w:rPr>
              <w:t>供水规模</w:t>
            </w:r>
            <w:r w:rsidRPr="00F9522B">
              <w:rPr>
                <w:rFonts w:eastAsiaTheme="minorEastAsia"/>
                <w:szCs w:val="21"/>
              </w:rPr>
              <w:t>63m³/d</w:t>
            </w:r>
          </w:p>
        </w:tc>
        <w:tc>
          <w:tcPr>
            <w:tcW w:w="900" w:type="dxa"/>
            <w:vAlign w:val="center"/>
          </w:tcPr>
          <w:p w:rsidR="00B94198" w:rsidRPr="00F9522B" w:rsidRDefault="00B94198">
            <w:pPr>
              <w:jc w:val="center"/>
              <w:rPr>
                <w:rFonts w:eastAsiaTheme="minorEastAsia"/>
                <w:szCs w:val="21"/>
              </w:rPr>
            </w:pPr>
            <w:r w:rsidRPr="00F9522B">
              <w:rPr>
                <w:rFonts w:eastAsiaTheme="minorEastAsia"/>
                <w:szCs w:val="21"/>
              </w:rPr>
              <w:t>126.5202719</w:t>
            </w:r>
            <w:r w:rsidRPr="00F9522B">
              <w:rPr>
                <w:rFonts w:eastAsiaTheme="minorEastAsia"/>
                <w:szCs w:val="21"/>
              </w:rPr>
              <w:t>，</w:t>
            </w:r>
            <w:r w:rsidRPr="00F9522B">
              <w:rPr>
                <w:rFonts w:eastAsiaTheme="minorEastAsia"/>
                <w:szCs w:val="21"/>
              </w:rPr>
              <w:t>46.064696</w:t>
            </w:r>
          </w:p>
        </w:tc>
        <w:tc>
          <w:tcPr>
            <w:tcW w:w="415" w:type="dxa"/>
            <w:vAlign w:val="center"/>
          </w:tcPr>
          <w:p w:rsidR="00B94198" w:rsidRPr="00F9522B" w:rsidRDefault="00B94198">
            <w:pPr>
              <w:jc w:val="center"/>
              <w:rPr>
                <w:rFonts w:eastAsiaTheme="minorEastAsia"/>
                <w:szCs w:val="21"/>
              </w:rPr>
            </w:pPr>
            <w:r w:rsidRPr="00F9522B">
              <w:rPr>
                <w:rFonts w:eastAsiaTheme="minorEastAsia"/>
                <w:szCs w:val="21"/>
              </w:rPr>
              <w:t>潜水</w:t>
            </w:r>
          </w:p>
        </w:tc>
        <w:tc>
          <w:tcPr>
            <w:tcW w:w="649" w:type="dxa"/>
            <w:vAlign w:val="center"/>
          </w:tcPr>
          <w:p w:rsidR="00B94198" w:rsidRPr="00F9522B" w:rsidRDefault="007A1F1B">
            <w:pPr>
              <w:jc w:val="center"/>
              <w:rPr>
                <w:rFonts w:eastAsiaTheme="minorEastAsia"/>
                <w:szCs w:val="21"/>
              </w:rPr>
            </w:pPr>
            <w:r w:rsidRPr="00F9522B">
              <w:rPr>
                <w:rFonts w:eastAsiaTheme="minorEastAsia"/>
                <w:szCs w:val="21"/>
              </w:rPr>
              <w:t>永胜</w:t>
            </w:r>
            <w:r w:rsidRPr="00F9522B">
              <w:rPr>
                <w:rFonts w:eastAsiaTheme="minorEastAsia"/>
                <w:szCs w:val="21"/>
              </w:rPr>
              <w:t>1#</w:t>
            </w:r>
            <w:r w:rsidRPr="00F9522B">
              <w:rPr>
                <w:rFonts w:eastAsiaTheme="minorEastAsia"/>
                <w:szCs w:val="21"/>
              </w:rPr>
              <w:t>灌溉井</w:t>
            </w:r>
          </w:p>
        </w:tc>
        <w:tc>
          <w:tcPr>
            <w:tcW w:w="1142" w:type="dxa"/>
            <w:vAlign w:val="center"/>
          </w:tcPr>
          <w:p w:rsidR="00B94198" w:rsidRPr="00F9522B" w:rsidRDefault="007A1F1B">
            <w:pPr>
              <w:pStyle w:val="aff7"/>
              <w:spacing w:line="0" w:lineRule="atLeast"/>
              <w:contextualSpacing/>
              <w:rPr>
                <w:rFonts w:eastAsiaTheme="minorEastAsia" w:hAnsi="Times New Roman"/>
                <w:snapToGrid w:val="0"/>
                <w:szCs w:val="22"/>
              </w:rPr>
            </w:pPr>
            <w:r w:rsidRPr="00F9522B">
              <w:rPr>
                <w:rFonts w:eastAsiaTheme="minorEastAsia" w:hAnsi="Times New Roman"/>
                <w:snapToGrid w:val="0"/>
                <w:szCs w:val="22"/>
              </w:rPr>
              <w:t>S</w:t>
            </w:r>
            <w:r w:rsidR="00B94198" w:rsidRPr="00F9522B">
              <w:rPr>
                <w:rFonts w:eastAsiaTheme="minorEastAsia" w:hAnsi="Times New Roman"/>
                <w:snapToGrid w:val="0"/>
                <w:szCs w:val="22"/>
              </w:rPr>
              <w:t>4.</w:t>
            </w:r>
            <w:r w:rsidRPr="00F9522B">
              <w:rPr>
                <w:rFonts w:eastAsiaTheme="minorEastAsia" w:hAnsi="Times New Roman"/>
                <w:snapToGrid w:val="0"/>
                <w:szCs w:val="22"/>
              </w:rPr>
              <w:t>0</w:t>
            </w:r>
          </w:p>
        </w:tc>
        <w:tc>
          <w:tcPr>
            <w:tcW w:w="958" w:type="dxa"/>
            <w:vMerge/>
            <w:shd w:val="clear" w:color="auto" w:fill="auto"/>
            <w:vAlign w:val="center"/>
          </w:tcPr>
          <w:p w:rsidR="00B94198" w:rsidRPr="00F9522B" w:rsidRDefault="00B94198" w:rsidP="00591DC4">
            <w:pPr>
              <w:pStyle w:val="aff7"/>
              <w:spacing w:line="0" w:lineRule="atLeast"/>
              <w:contextualSpacing/>
              <w:rPr>
                <w:rFonts w:eastAsiaTheme="minorEastAsia" w:hAnsi="Times New Roman"/>
                <w:snapToGrid w:val="0"/>
                <w:szCs w:val="22"/>
              </w:rPr>
            </w:pPr>
          </w:p>
        </w:tc>
      </w:tr>
      <w:tr w:rsidR="00B94198" w:rsidRPr="00F9522B" w:rsidTr="006C5351">
        <w:trPr>
          <w:trHeight w:val="184"/>
          <w:jc w:val="center"/>
        </w:trPr>
        <w:tc>
          <w:tcPr>
            <w:tcW w:w="603" w:type="dxa"/>
            <w:vMerge/>
            <w:vAlign w:val="center"/>
          </w:tcPr>
          <w:p w:rsidR="00B94198" w:rsidRPr="00F9522B" w:rsidRDefault="00B94198">
            <w:pPr>
              <w:pStyle w:val="aff7"/>
              <w:spacing w:line="0" w:lineRule="atLeast"/>
              <w:contextualSpacing/>
              <w:rPr>
                <w:rFonts w:eastAsiaTheme="minorEastAsia" w:hAnsi="Times New Roman"/>
                <w:snapToGrid w:val="0"/>
                <w:szCs w:val="22"/>
              </w:rPr>
            </w:pPr>
          </w:p>
        </w:tc>
        <w:tc>
          <w:tcPr>
            <w:tcW w:w="1101" w:type="dxa"/>
            <w:vAlign w:val="center"/>
          </w:tcPr>
          <w:p w:rsidR="00B94198" w:rsidRPr="00F9522B" w:rsidRDefault="00B94198">
            <w:pPr>
              <w:jc w:val="center"/>
              <w:rPr>
                <w:rFonts w:eastAsiaTheme="minorEastAsia"/>
                <w:szCs w:val="21"/>
              </w:rPr>
            </w:pPr>
            <w:r w:rsidRPr="00F9522B">
              <w:rPr>
                <w:rFonts w:eastAsiaTheme="minorEastAsia"/>
                <w:szCs w:val="21"/>
              </w:rPr>
              <w:t>方台镇东沈村供水工程</w:t>
            </w:r>
            <w:r w:rsidRPr="00F9522B">
              <w:rPr>
                <w:rFonts w:eastAsiaTheme="minorEastAsia"/>
              </w:rPr>
              <w:t>（井深</w:t>
            </w:r>
            <w:r w:rsidR="00A84E93" w:rsidRPr="00F9522B">
              <w:rPr>
                <w:rFonts w:eastAsiaTheme="minorEastAsia"/>
              </w:rPr>
              <w:t>75</w:t>
            </w:r>
            <w:r w:rsidRPr="00F9522B">
              <w:rPr>
                <w:rFonts w:eastAsiaTheme="minorEastAsia"/>
              </w:rPr>
              <w:t>m</w:t>
            </w:r>
            <w:r w:rsidRPr="00F9522B">
              <w:rPr>
                <w:rFonts w:eastAsiaTheme="minorEastAsia"/>
              </w:rPr>
              <w:t>）</w:t>
            </w:r>
          </w:p>
        </w:tc>
        <w:tc>
          <w:tcPr>
            <w:tcW w:w="800" w:type="dxa"/>
            <w:vAlign w:val="center"/>
          </w:tcPr>
          <w:p w:rsidR="00B94198" w:rsidRPr="00F9522B" w:rsidRDefault="00B94198">
            <w:pPr>
              <w:jc w:val="center"/>
              <w:rPr>
                <w:rFonts w:eastAsiaTheme="minorEastAsia"/>
                <w:szCs w:val="21"/>
              </w:rPr>
            </w:pPr>
            <w:r w:rsidRPr="00F9522B">
              <w:rPr>
                <w:rFonts w:eastAsiaTheme="minorEastAsia"/>
                <w:szCs w:val="21"/>
              </w:rPr>
              <w:t>一级保护区（</w:t>
            </w:r>
            <w:r w:rsidRPr="00F9522B">
              <w:rPr>
                <w:rFonts w:eastAsiaTheme="minorEastAsia"/>
                <w:szCs w:val="21"/>
              </w:rPr>
              <w:t>30m</w:t>
            </w:r>
            <w:r w:rsidRPr="00F9522B">
              <w:rPr>
                <w:rFonts w:eastAsiaTheme="minorEastAsia"/>
                <w:szCs w:val="21"/>
              </w:rPr>
              <w:t>）</w:t>
            </w:r>
          </w:p>
        </w:tc>
        <w:tc>
          <w:tcPr>
            <w:tcW w:w="900" w:type="dxa"/>
            <w:vAlign w:val="center"/>
          </w:tcPr>
          <w:p w:rsidR="00B94198" w:rsidRPr="00F9522B" w:rsidRDefault="00B94198" w:rsidP="00A84E93">
            <w:pPr>
              <w:jc w:val="center"/>
              <w:rPr>
                <w:rFonts w:eastAsiaTheme="minorEastAsia"/>
              </w:rPr>
            </w:pPr>
            <w:r w:rsidRPr="00F9522B">
              <w:rPr>
                <w:rFonts w:eastAsiaTheme="minorEastAsia"/>
                <w:szCs w:val="21"/>
              </w:rPr>
              <w:t>供水人数</w:t>
            </w:r>
            <w:r w:rsidR="00A84E93" w:rsidRPr="00F9522B">
              <w:rPr>
                <w:rFonts w:eastAsiaTheme="minorEastAsia"/>
                <w:szCs w:val="21"/>
              </w:rPr>
              <w:t>2854</w:t>
            </w:r>
            <w:r w:rsidRPr="00F9522B">
              <w:rPr>
                <w:rFonts w:eastAsiaTheme="minorEastAsia"/>
                <w:szCs w:val="21"/>
              </w:rPr>
              <w:t>人</w:t>
            </w:r>
          </w:p>
        </w:tc>
        <w:tc>
          <w:tcPr>
            <w:tcW w:w="900" w:type="dxa"/>
            <w:vAlign w:val="center"/>
          </w:tcPr>
          <w:p w:rsidR="00B94198" w:rsidRPr="00F9522B" w:rsidRDefault="00B94198">
            <w:pPr>
              <w:jc w:val="center"/>
              <w:rPr>
                <w:rFonts w:eastAsiaTheme="minorEastAsia"/>
                <w:szCs w:val="21"/>
              </w:rPr>
            </w:pPr>
            <w:r w:rsidRPr="00F9522B">
              <w:rPr>
                <w:rFonts w:eastAsiaTheme="minorEastAsia"/>
                <w:szCs w:val="21"/>
              </w:rPr>
              <w:t>供水规模</w:t>
            </w:r>
            <w:r w:rsidR="00A84E93" w:rsidRPr="00F9522B">
              <w:rPr>
                <w:rFonts w:eastAsiaTheme="minorEastAsia"/>
                <w:szCs w:val="21"/>
              </w:rPr>
              <w:t>68</w:t>
            </w:r>
            <w:r w:rsidRPr="00F9522B">
              <w:rPr>
                <w:rFonts w:eastAsiaTheme="minorEastAsia"/>
                <w:szCs w:val="21"/>
              </w:rPr>
              <w:t>m³/d</w:t>
            </w:r>
          </w:p>
        </w:tc>
        <w:tc>
          <w:tcPr>
            <w:tcW w:w="900" w:type="dxa"/>
            <w:vAlign w:val="center"/>
          </w:tcPr>
          <w:p w:rsidR="00B94198" w:rsidRPr="00F9522B" w:rsidRDefault="00B94198">
            <w:pPr>
              <w:jc w:val="center"/>
              <w:rPr>
                <w:rFonts w:eastAsiaTheme="minorEastAsia"/>
                <w:szCs w:val="21"/>
              </w:rPr>
            </w:pPr>
            <w:r w:rsidRPr="00F9522B">
              <w:rPr>
                <w:rFonts w:eastAsiaTheme="minorEastAsia"/>
                <w:szCs w:val="21"/>
              </w:rPr>
              <w:t>126.8580830</w:t>
            </w:r>
            <w:r w:rsidRPr="00F9522B">
              <w:rPr>
                <w:rFonts w:eastAsiaTheme="minorEastAsia"/>
                <w:szCs w:val="21"/>
              </w:rPr>
              <w:t>，</w:t>
            </w:r>
            <w:r w:rsidRPr="00F9522B">
              <w:rPr>
                <w:rFonts w:eastAsiaTheme="minorEastAsia"/>
                <w:szCs w:val="21"/>
              </w:rPr>
              <w:t>46.123584</w:t>
            </w:r>
          </w:p>
        </w:tc>
        <w:tc>
          <w:tcPr>
            <w:tcW w:w="415" w:type="dxa"/>
            <w:vAlign w:val="center"/>
          </w:tcPr>
          <w:p w:rsidR="00B94198" w:rsidRPr="00F9522B" w:rsidRDefault="00B94198">
            <w:pPr>
              <w:jc w:val="center"/>
              <w:rPr>
                <w:rFonts w:eastAsiaTheme="minorEastAsia"/>
                <w:szCs w:val="21"/>
              </w:rPr>
            </w:pPr>
            <w:r w:rsidRPr="00F9522B">
              <w:rPr>
                <w:rFonts w:eastAsiaTheme="minorEastAsia"/>
                <w:szCs w:val="21"/>
              </w:rPr>
              <w:t>潜水</w:t>
            </w:r>
          </w:p>
        </w:tc>
        <w:tc>
          <w:tcPr>
            <w:tcW w:w="649" w:type="dxa"/>
            <w:vAlign w:val="center"/>
          </w:tcPr>
          <w:p w:rsidR="00B94198" w:rsidRPr="00F9522B" w:rsidRDefault="007A1F1B" w:rsidP="007A1F1B">
            <w:pPr>
              <w:jc w:val="center"/>
              <w:rPr>
                <w:rFonts w:eastAsiaTheme="minorEastAsia"/>
                <w:szCs w:val="21"/>
              </w:rPr>
            </w:pPr>
            <w:r w:rsidRPr="00F9522B">
              <w:rPr>
                <w:rFonts w:eastAsiaTheme="minorEastAsia"/>
                <w:szCs w:val="21"/>
              </w:rPr>
              <w:t>永胜</w:t>
            </w:r>
            <w:r w:rsidRPr="00F9522B">
              <w:rPr>
                <w:rFonts w:eastAsiaTheme="minorEastAsia"/>
                <w:szCs w:val="21"/>
              </w:rPr>
              <w:t>1</w:t>
            </w:r>
            <w:r w:rsidR="00B94198" w:rsidRPr="00F9522B">
              <w:rPr>
                <w:rFonts w:eastAsiaTheme="minorEastAsia"/>
                <w:szCs w:val="21"/>
              </w:rPr>
              <w:t>#</w:t>
            </w:r>
            <w:r w:rsidR="00B94198" w:rsidRPr="00F9522B">
              <w:rPr>
                <w:rFonts w:eastAsiaTheme="minorEastAsia"/>
                <w:szCs w:val="21"/>
              </w:rPr>
              <w:t>灌溉井</w:t>
            </w:r>
          </w:p>
        </w:tc>
        <w:tc>
          <w:tcPr>
            <w:tcW w:w="1142" w:type="dxa"/>
            <w:vAlign w:val="center"/>
          </w:tcPr>
          <w:p w:rsidR="00B94198" w:rsidRPr="00F9522B" w:rsidRDefault="007A1F1B" w:rsidP="007A1F1B">
            <w:pPr>
              <w:pStyle w:val="aff7"/>
              <w:spacing w:line="0" w:lineRule="atLeast"/>
              <w:contextualSpacing/>
              <w:rPr>
                <w:rFonts w:eastAsiaTheme="minorEastAsia" w:hAnsi="Times New Roman"/>
                <w:snapToGrid w:val="0"/>
                <w:szCs w:val="22"/>
              </w:rPr>
            </w:pPr>
            <w:r w:rsidRPr="00F9522B">
              <w:rPr>
                <w:rFonts w:eastAsiaTheme="minorEastAsia" w:hAnsi="Times New Roman"/>
                <w:snapToGrid w:val="0"/>
                <w:szCs w:val="22"/>
              </w:rPr>
              <w:t>S</w:t>
            </w:r>
            <w:r w:rsidR="00B94198" w:rsidRPr="00F9522B">
              <w:rPr>
                <w:rFonts w:eastAsiaTheme="minorEastAsia" w:hAnsi="Times New Roman"/>
                <w:snapToGrid w:val="0"/>
                <w:szCs w:val="22"/>
              </w:rPr>
              <w:t>W</w:t>
            </w:r>
            <w:r w:rsidRPr="00F9522B">
              <w:rPr>
                <w:rFonts w:eastAsiaTheme="minorEastAsia" w:hAnsi="Times New Roman"/>
                <w:snapToGrid w:val="0"/>
                <w:szCs w:val="22"/>
              </w:rPr>
              <w:t>2.9</w:t>
            </w:r>
          </w:p>
        </w:tc>
        <w:tc>
          <w:tcPr>
            <w:tcW w:w="958" w:type="dxa"/>
            <w:vMerge/>
            <w:shd w:val="clear" w:color="auto" w:fill="auto"/>
            <w:vAlign w:val="center"/>
          </w:tcPr>
          <w:p w:rsidR="00B94198" w:rsidRPr="00F9522B" w:rsidRDefault="00B94198">
            <w:pPr>
              <w:pStyle w:val="aff7"/>
              <w:spacing w:line="0" w:lineRule="atLeast"/>
              <w:contextualSpacing/>
              <w:rPr>
                <w:rFonts w:eastAsiaTheme="minorEastAsia" w:hAnsi="Times New Roman"/>
                <w:snapToGrid w:val="0"/>
                <w:szCs w:val="22"/>
              </w:rPr>
            </w:pPr>
          </w:p>
        </w:tc>
      </w:tr>
    </w:tbl>
    <w:bookmarkEnd w:id="63"/>
    <w:bookmarkEnd w:id="64"/>
    <w:p w:rsidR="002A5A5E" w:rsidRPr="00F9522B" w:rsidRDefault="00B0065C">
      <w:pPr>
        <w:spacing w:line="0" w:lineRule="atLeast"/>
        <w:contextualSpacing/>
        <w:jc w:val="center"/>
        <w:rPr>
          <w:rFonts w:eastAsiaTheme="minorEastAsia"/>
          <w:b/>
          <w:kern w:val="0"/>
          <w:szCs w:val="21"/>
        </w:rPr>
      </w:pPr>
      <w:r w:rsidRPr="00F9522B">
        <w:rPr>
          <w:rFonts w:eastAsiaTheme="minorEastAsia"/>
          <w:b/>
          <w:noProof/>
          <w:kern w:val="0"/>
          <w:szCs w:val="21"/>
        </w:rPr>
        <w:lastRenderedPageBreak/>
        <w:drawing>
          <wp:anchor distT="0" distB="0" distL="114300" distR="114300" simplePos="0" relativeHeight="251753472" behindDoc="0" locked="0" layoutInCell="1" allowOverlap="1">
            <wp:simplePos x="0" y="0"/>
            <wp:positionH relativeFrom="column">
              <wp:posOffset>4381500</wp:posOffset>
            </wp:positionH>
            <wp:positionV relativeFrom="paragraph">
              <wp:posOffset>19050</wp:posOffset>
            </wp:positionV>
            <wp:extent cx="628650" cy="628650"/>
            <wp:effectExtent l="19050" t="0" r="0" b="0"/>
            <wp:wrapNone/>
            <wp:docPr id="50"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37"/>
                    <pic:cNvPicPr>
                      <a:picLocks noChangeAspect="1" noChangeArrowheads="1"/>
                    </pic:cNvPicPr>
                  </pic:nvPicPr>
                  <pic:blipFill>
                    <a:blip r:embed="rId25"/>
                    <a:srcRect/>
                    <a:stretch>
                      <a:fillRect/>
                    </a:stretch>
                  </pic:blipFill>
                  <pic:spPr>
                    <a:xfrm>
                      <a:off x="0" y="0"/>
                      <a:ext cx="628650" cy="628650"/>
                    </a:xfrm>
                    <a:prstGeom prst="rect">
                      <a:avLst/>
                    </a:prstGeom>
                    <a:noFill/>
                    <a:ln w="9525">
                      <a:noFill/>
                      <a:miter lim="800000"/>
                      <a:headEnd/>
                      <a:tailEnd/>
                    </a:ln>
                  </pic:spPr>
                </pic:pic>
              </a:graphicData>
            </a:graphic>
          </wp:anchor>
        </w:drawing>
      </w:r>
      <w:r w:rsidR="005273A1">
        <w:rPr>
          <w:rFonts w:eastAsiaTheme="minorEastAsia"/>
          <w:b/>
          <w:kern w:val="0"/>
          <w:szCs w:val="21"/>
        </w:rPr>
        <w:pict>
          <v:oval id="_x0000_s696859" style="position:absolute;left:0;text-align:left;margin-left:25.3pt;margin-top:293.25pt;width:12.15pt;height:9.8pt;z-index:251716608;mso-position-horizontal-relative:text;mso-position-vertical-relative:text" fillcolor="#365f91" strokecolor="red"/>
        </w:pict>
      </w:r>
      <w:r w:rsidRPr="00F9522B">
        <w:rPr>
          <w:rFonts w:eastAsiaTheme="minorEastAsia"/>
          <w:b/>
          <w:noProof/>
          <w:kern w:val="0"/>
          <w:szCs w:val="21"/>
        </w:rPr>
        <w:drawing>
          <wp:anchor distT="0" distB="0" distL="114300" distR="114300" simplePos="0" relativeHeight="251715584" behindDoc="0" locked="0" layoutInCell="1" allowOverlap="1">
            <wp:simplePos x="0" y="0"/>
            <wp:positionH relativeFrom="column">
              <wp:posOffset>342900</wp:posOffset>
            </wp:positionH>
            <wp:positionV relativeFrom="paragraph">
              <wp:posOffset>3495675</wp:posOffset>
            </wp:positionV>
            <wp:extent cx="114300" cy="171450"/>
            <wp:effectExtent l="19050" t="0" r="0" b="0"/>
            <wp:wrapNone/>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noChangeArrowheads="1"/>
                    </pic:cNvPicPr>
                  </pic:nvPicPr>
                  <pic:blipFill>
                    <a:blip r:embed="rId29"/>
                    <a:srcRect/>
                    <a:stretch>
                      <a:fillRect/>
                    </a:stretch>
                  </pic:blipFill>
                  <pic:spPr>
                    <a:xfrm>
                      <a:off x="0" y="0"/>
                      <a:ext cx="114300" cy="171450"/>
                    </a:xfrm>
                    <a:prstGeom prst="rect">
                      <a:avLst/>
                    </a:prstGeom>
                    <a:noFill/>
                    <a:ln w="9525">
                      <a:noFill/>
                      <a:miter lim="800000"/>
                      <a:headEnd/>
                      <a:tailEnd/>
                    </a:ln>
                  </pic:spPr>
                </pic:pic>
              </a:graphicData>
            </a:graphic>
          </wp:anchor>
        </w:drawing>
      </w:r>
      <w:r w:rsidR="005273A1">
        <w:rPr>
          <w:rFonts w:eastAsiaTheme="minorEastAsia"/>
          <w:b/>
          <w:kern w:val="0"/>
          <w:szCs w:val="21"/>
        </w:rPr>
        <w:pict>
          <v:shape id="_x0000_s696858" type="#_x0000_t202" style="position:absolute;left:0;text-align:left;margin-left:21.7pt;margin-top:255.6pt;width:87.15pt;height:55.95pt;z-index:251714560;mso-position-horizontal-relative:text;mso-position-vertical-relative:text" fillcolor="#f2f2f2">
            <v:textbox>
              <w:txbxContent>
                <w:p w:rsidR="000D2D13" w:rsidRDefault="000D2D13">
                  <w:pPr>
                    <w:jc w:val="center"/>
                    <w:rPr>
                      <w:rFonts w:hAnsi="宋体"/>
                      <w:szCs w:val="21"/>
                    </w:rPr>
                  </w:pPr>
                  <w:r>
                    <w:rPr>
                      <w:rFonts w:hAnsi="宋体" w:hint="eastAsia"/>
                      <w:szCs w:val="21"/>
                    </w:rPr>
                    <w:t>图</w:t>
                  </w:r>
                  <w:r>
                    <w:rPr>
                      <w:rFonts w:hAnsi="宋体" w:hint="eastAsia"/>
                      <w:szCs w:val="21"/>
                    </w:rPr>
                    <w:t xml:space="preserve">  </w:t>
                  </w:r>
                  <w:r>
                    <w:rPr>
                      <w:rFonts w:hAnsi="宋体" w:hint="eastAsia"/>
                      <w:szCs w:val="21"/>
                    </w:rPr>
                    <w:t>例</w:t>
                  </w:r>
                </w:p>
                <w:p w:rsidR="000D2D13" w:rsidRDefault="000D2D13">
                  <w:pPr>
                    <w:ind w:leftChars="100" w:left="210"/>
                    <w:rPr>
                      <w:rFonts w:hAnsi="宋体"/>
                      <w:szCs w:val="21"/>
                    </w:rPr>
                  </w:pPr>
                  <w:r>
                    <w:rPr>
                      <w:rFonts w:hAnsi="宋体" w:hint="eastAsia"/>
                      <w:szCs w:val="21"/>
                    </w:rPr>
                    <w:t>水源井位置保护区范围</w:t>
                  </w:r>
                </w:p>
              </w:txbxContent>
            </v:textbox>
          </v:shape>
        </w:pict>
      </w:r>
      <w:r w:rsidR="005273A1">
        <w:rPr>
          <w:rFonts w:eastAsiaTheme="minorEastAsia"/>
          <w:b/>
          <w:kern w:val="0"/>
          <w:szCs w:val="21"/>
        </w:rPr>
        <w:pict>
          <v:shape id="_x0000_s696851" type="#_x0000_t61" style="position:absolute;left:0;text-align:left;margin-left:179.3pt;margin-top:246.1pt;width:80.4pt;height:27.1pt;z-index:251710464;mso-position-horizontal-relative:text;mso-position-vertical-relative:text" adj="13419,-35030" filled="f" strokecolor="yellow">
            <v:textbox>
              <w:txbxContent>
                <w:p w:rsidR="000D2D13" w:rsidRDefault="000D2D13">
                  <w:r w:rsidRPr="00C23EB6">
                    <w:rPr>
                      <w:rFonts w:hint="eastAsia"/>
                      <w:color w:val="FFFF00"/>
                    </w:rPr>
                    <w:t>榆林</w:t>
                  </w:r>
                  <w:r>
                    <w:rPr>
                      <w:color w:val="FFFF00"/>
                    </w:rPr>
                    <w:t>机电井</w:t>
                  </w:r>
                  <w:r>
                    <w:rPr>
                      <w:rFonts w:hint="eastAsia"/>
                      <w:color w:val="FFFF00"/>
                    </w:rPr>
                    <w:t>-2</w:t>
                  </w:r>
                </w:p>
              </w:txbxContent>
            </v:textbox>
          </v:shape>
        </w:pict>
      </w:r>
      <w:r w:rsidR="00C23EB6" w:rsidRPr="00F9522B">
        <w:rPr>
          <w:rFonts w:eastAsiaTheme="minorEastAsia"/>
          <w:b/>
          <w:noProof/>
          <w:kern w:val="0"/>
          <w:szCs w:val="21"/>
        </w:rPr>
        <w:drawing>
          <wp:inline distT="0" distB="0" distL="0" distR="0">
            <wp:extent cx="4744336" cy="3934194"/>
            <wp:effectExtent l="19050" t="19050" r="18164" b="28206"/>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srcRect/>
                    <a:stretch>
                      <a:fillRect/>
                    </a:stretch>
                  </pic:blipFill>
                  <pic:spPr bwMode="auto">
                    <a:xfrm>
                      <a:off x="0" y="0"/>
                      <a:ext cx="4741684" cy="3931995"/>
                    </a:xfrm>
                    <a:prstGeom prst="rect">
                      <a:avLst/>
                    </a:prstGeom>
                    <a:noFill/>
                    <a:ln w="9525">
                      <a:solidFill>
                        <a:schemeClr val="tx1"/>
                      </a:solidFill>
                      <a:miter lim="800000"/>
                      <a:headEnd/>
                      <a:tailEnd/>
                    </a:ln>
                  </pic:spPr>
                </pic:pic>
              </a:graphicData>
            </a:graphic>
          </wp:inline>
        </w:drawing>
      </w:r>
    </w:p>
    <w:p w:rsidR="002A5A5E" w:rsidRPr="00F9522B" w:rsidRDefault="00611CBA">
      <w:pPr>
        <w:contextualSpacing/>
        <w:jc w:val="center"/>
        <w:rPr>
          <w:rFonts w:eastAsiaTheme="minorEastAsia"/>
          <w:b/>
          <w:kern w:val="0"/>
          <w:szCs w:val="21"/>
        </w:rPr>
      </w:pPr>
      <w:r w:rsidRPr="00F9522B">
        <w:rPr>
          <w:rFonts w:eastAsiaTheme="minorEastAsia"/>
          <w:b/>
          <w:kern w:val="0"/>
          <w:szCs w:val="21"/>
        </w:rPr>
        <w:t>图</w:t>
      </w:r>
      <w:r w:rsidRPr="00F9522B">
        <w:rPr>
          <w:rFonts w:eastAsiaTheme="minorEastAsia"/>
          <w:b/>
          <w:kern w:val="0"/>
          <w:szCs w:val="21"/>
        </w:rPr>
        <w:t>2-8-</w:t>
      </w:r>
      <w:r w:rsidR="00B0065C" w:rsidRPr="00F9522B">
        <w:rPr>
          <w:rFonts w:eastAsiaTheme="minorEastAsia"/>
          <w:b/>
          <w:kern w:val="0"/>
          <w:szCs w:val="21"/>
        </w:rPr>
        <w:t>2</w:t>
      </w:r>
      <w:r w:rsidRPr="00F9522B">
        <w:rPr>
          <w:rFonts w:eastAsiaTheme="minorEastAsia"/>
          <w:b/>
          <w:kern w:val="0"/>
          <w:szCs w:val="21"/>
        </w:rPr>
        <w:t>集中式饮用水源井位置、保护区范围与本项目工程灌溉井位置关系图（</w:t>
      </w:r>
      <w:r w:rsidRPr="00F9522B">
        <w:rPr>
          <w:rFonts w:eastAsiaTheme="minorEastAsia"/>
          <w:b/>
          <w:kern w:val="0"/>
          <w:szCs w:val="21"/>
        </w:rPr>
        <w:t>1</w:t>
      </w:r>
      <w:r w:rsidRPr="00F9522B">
        <w:rPr>
          <w:rFonts w:eastAsiaTheme="minorEastAsia"/>
          <w:b/>
          <w:kern w:val="0"/>
          <w:szCs w:val="21"/>
        </w:rPr>
        <w:t>）</w:t>
      </w:r>
    </w:p>
    <w:p w:rsidR="002A5A5E" w:rsidRPr="00F9522B" w:rsidRDefault="00C23EB6">
      <w:pPr>
        <w:contextualSpacing/>
        <w:jc w:val="center"/>
        <w:rPr>
          <w:rFonts w:eastAsiaTheme="minorEastAsia"/>
          <w:b/>
          <w:kern w:val="0"/>
          <w:szCs w:val="21"/>
        </w:rPr>
      </w:pPr>
      <w:r w:rsidRPr="00F9522B">
        <w:rPr>
          <w:rFonts w:eastAsiaTheme="minorEastAsia"/>
          <w:b/>
          <w:noProof/>
          <w:kern w:val="0"/>
          <w:szCs w:val="21"/>
        </w:rPr>
        <w:drawing>
          <wp:anchor distT="0" distB="0" distL="114300" distR="114300" simplePos="0" relativeHeight="251754496" behindDoc="0" locked="0" layoutInCell="1" allowOverlap="1">
            <wp:simplePos x="0" y="0"/>
            <wp:positionH relativeFrom="column">
              <wp:posOffset>4404981</wp:posOffset>
            </wp:positionH>
            <wp:positionV relativeFrom="paragraph">
              <wp:posOffset>87630</wp:posOffset>
            </wp:positionV>
            <wp:extent cx="629536" cy="627321"/>
            <wp:effectExtent l="19050" t="0" r="0" b="0"/>
            <wp:wrapNone/>
            <wp:docPr id="51"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37"/>
                    <pic:cNvPicPr>
                      <a:picLocks noChangeAspect="1" noChangeArrowheads="1"/>
                    </pic:cNvPicPr>
                  </pic:nvPicPr>
                  <pic:blipFill>
                    <a:blip r:embed="rId25"/>
                    <a:srcRect/>
                    <a:stretch>
                      <a:fillRect/>
                    </a:stretch>
                  </pic:blipFill>
                  <pic:spPr>
                    <a:xfrm>
                      <a:off x="0" y="0"/>
                      <a:ext cx="629536" cy="627321"/>
                    </a:xfrm>
                    <a:prstGeom prst="rect">
                      <a:avLst/>
                    </a:prstGeom>
                    <a:noFill/>
                    <a:ln w="9525">
                      <a:noFill/>
                      <a:miter lim="800000"/>
                      <a:headEnd/>
                      <a:tailEnd/>
                    </a:ln>
                  </pic:spPr>
                </pic:pic>
              </a:graphicData>
            </a:graphic>
          </wp:anchor>
        </w:drawing>
      </w:r>
      <w:r w:rsidR="005273A1">
        <w:rPr>
          <w:rFonts w:eastAsiaTheme="minorEastAsia"/>
          <w:b/>
          <w:kern w:val="0"/>
          <w:szCs w:val="21"/>
        </w:rPr>
        <w:pict>
          <v:shape id="_x0000_s696857" type="#_x0000_t61" style="position:absolute;left:0;text-align:left;margin-left:100.9pt;margin-top:113.2pt;width:92.85pt;height:27.1pt;z-index:251713536;mso-position-horizontal-relative:text;mso-position-vertical-relative:text" adj="23694,-33755" filled="f" strokecolor="yellow">
            <v:textbox>
              <w:txbxContent>
                <w:p w:rsidR="000D2D13" w:rsidRDefault="000D2D13">
                  <w:r>
                    <w:rPr>
                      <w:rFonts w:hint="eastAsia"/>
                      <w:color w:val="FFFF00"/>
                    </w:rPr>
                    <w:t>永</w:t>
                  </w:r>
                  <w:r>
                    <w:rPr>
                      <w:color w:val="FFFF00"/>
                    </w:rPr>
                    <w:t>胜机电井</w:t>
                  </w:r>
                  <w:r>
                    <w:rPr>
                      <w:rFonts w:hint="eastAsia"/>
                      <w:color w:val="FFFF00"/>
                    </w:rPr>
                    <w:t>-1</w:t>
                  </w:r>
                </w:p>
              </w:txbxContent>
            </v:textbox>
          </v:shape>
        </w:pict>
      </w:r>
      <w:r w:rsidRPr="00F9522B">
        <w:rPr>
          <w:rFonts w:eastAsiaTheme="minorEastAsia"/>
          <w:b/>
          <w:noProof/>
          <w:kern w:val="0"/>
          <w:szCs w:val="21"/>
        </w:rPr>
        <w:drawing>
          <wp:anchor distT="0" distB="0" distL="114300" distR="114300" simplePos="0" relativeHeight="251737088" behindDoc="0" locked="0" layoutInCell="1" allowOverlap="1">
            <wp:simplePos x="0" y="0"/>
            <wp:positionH relativeFrom="column">
              <wp:posOffset>247650</wp:posOffset>
            </wp:positionH>
            <wp:positionV relativeFrom="paragraph">
              <wp:posOffset>3394356</wp:posOffset>
            </wp:positionV>
            <wp:extent cx="1076103" cy="669851"/>
            <wp:effectExtent l="19050" t="0" r="0" b="0"/>
            <wp:wrapNone/>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31"/>
                    <a:srcRect/>
                    <a:stretch>
                      <a:fillRect/>
                    </a:stretch>
                  </pic:blipFill>
                  <pic:spPr>
                    <a:xfrm>
                      <a:off x="0" y="0"/>
                      <a:ext cx="1076103" cy="669851"/>
                    </a:xfrm>
                    <a:prstGeom prst="rect">
                      <a:avLst/>
                    </a:prstGeom>
                    <a:noFill/>
                    <a:ln w="9525">
                      <a:noFill/>
                      <a:miter lim="800000"/>
                      <a:headEnd/>
                      <a:tailEnd/>
                    </a:ln>
                  </pic:spPr>
                </pic:pic>
              </a:graphicData>
            </a:graphic>
          </wp:anchor>
        </w:drawing>
      </w:r>
      <w:r w:rsidRPr="00F9522B">
        <w:rPr>
          <w:rFonts w:eastAsiaTheme="minorEastAsia"/>
          <w:b/>
          <w:noProof/>
          <w:kern w:val="0"/>
          <w:szCs w:val="21"/>
        </w:rPr>
        <w:drawing>
          <wp:inline distT="0" distB="0" distL="0" distR="0">
            <wp:extent cx="4802867" cy="3976068"/>
            <wp:effectExtent l="19050" t="19050" r="16783" b="24432"/>
            <wp:docPr id="1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a:srcRect/>
                    <a:stretch>
                      <a:fillRect/>
                    </a:stretch>
                  </pic:blipFill>
                  <pic:spPr bwMode="auto">
                    <a:xfrm>
                      <a:off x="0" y="0"/>
                      <a:ext cx="4803846" cy="3976878"/>
                    </a:xfrm>
                    <a:prstGeom prst="rect">
                      <a:avLst/>
                    </a:prstGeom>
                    <a:noFill/>
                    <a:ln w="9525">
                      <a:solidFill>
                        <a:schemeClr val="tx1"/>
                      </a:solidFill>
                      <a:miter lim="800000"/>
                      <a:headEnd/>
                      <a:tailEnd/>
                    </a:ln>
                  </pic:spPr>
                </pic:pic>
              </a:graphicData>
            </a:graphic>
          </wp:inline>
        </w:drawing>
      </w:r>
    </w:p>
    <w:p w:rsidR="002A5A5E" w:rsidRPr="00F9522B" w:rsidRDefault="00611CBA">
      <w:pPr>
        <w:contextualSpacing/>
        <w:jc w:val="center"/>
        <w:rPr>
          <w:rFonts w:eastAsiaTheme="minorEastAsia"/>
          <w:b/>
          <w:kern w:val="0"/>
          <w:szCs w:val="21"/>
        </w:rPr>
      </w:pPr>
      <w:r w:rsidRPr="00F9522B">
        <w:rPr>
          <w:rFonts w:eastAsiaTheme="minorEastAsia"/>
          <w:b/>
          <w:kern w:val="0"/>
          <w:szCs w:val="21"/>
        </w:rPr>
        <w:t>图</w:t>
      </w:r>
      <w:r w:rsidRPr="00F9522B">
        <w:rPr>
          <w:rFonts w:eastAsiaTheme="minorEastAsia"/>
          <w:b/>
          <w:kern w:val="0"/>
          <w:szCs w:val="21"/>
        </w:rPr>
        <w:t>2-8-</w:t>
      </w:r>
      <w:r w:rsidR="00B0065C" w:rsidRPr="00F9522B">
        <w:rPr>
          <w:rFonts w:eastAsiaTheme="minorEastAsia"/>
          <w:b/>
          <w:kern w:val="0"/>
          <w:szCs w:val="21"/>
        </w:rPr>
        <w:t>3</w:t>
      </w:r>
      <w:r w:rsidRPr="00F9522B">
        <w:rPr>
          <w:rFonts w:eastAsiaTheme="minorEastAsia"/>
          <w:b/>
          <w:kern w:val="0"/>
          <w:szCs w:val="21"/>
        </w:rPr>
        <w:t>集中式饮用水源井位置、保护区范围与本项目工程灌溉井位置关系图（</w:t>
      </w:r>
      <w:r w:rsidRPr="00F9522B">
        <w:rPr>
          <w:rFonts w:eastAsiaTheme="minorEastAsia"/>
          <w:b/>
          <w:kern w:val="0"/>
          <w:szCs w:val="21"/>
        </w:rPr>
        <w:t>2</w:t>
      </w:r>
      <w:r w:rsidR="00C23EB6" w:rsidRPr="00F9522B">
        <w:rPr>
          <w:rFonts w:eastAsiaTheme="minorEastAsia"/>
          <w:b/>
          <w:kern w:val="0"/>
          <w:szCs w:val="21"/>
        </w:rPr>
        <w:t>）</w:t>
      </w:r>
    </w:p>
    <w:p w:rsidR="002A5A5E" w:rsidRPr="00F9522B" w:rsidRDefault="00611CBA">
      <w:pPr>
        <w:contextualSpacing/>
        <w:jc w:val="center"/>
        <w:rPr>
          <w:rFonts w:eastAsiaTheme="minorEastAsia"/>
          <w:b/>
          <w:kern w:val="0"/>
          <w:szCs w:val="21"/>
        </w:rPr>
      </w:pPr>
      <w:r w:rsidRPr="00F9522B">
        <w:rPr>
          <w:rFonts w:eastAsiaTheme="minorEastAsia"/>
          <w:b/>
          <w:noProof/>
          <w:kern w:val="0"/>
          <w:szCs w:val="21"/>
        </w:rPr>
        <w:drawing>
          <wp:anchor distT="0" distB="0" distL="114300" distR="114300" simplePos="0" relativeHeight="251738112" behindDoc="0" locked="0" layoutInCell="1" allowOverlap="1">
            <wp:simplePos x="0" y="0"/>
            <wp:positionH relativeFrom="column">
              <wp:posOffset>45085</wp:posOffset>
            </wp:positionH>
            <wp:positionV relativeFrom="paragraph">
              <wp:posOffset>2856865</wp:posOffset>
            </wp:positionV>
            <wp:extent cx="1076325" cy="669925"/>
            <wp:effectExtent l="19050" t="0" r="0" b="0"/>
            <wp:wrapNone/>
            <wp:docPr id="1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9"/>
                    <pic:cNvPicPr>
                      <a:picLocks noChangeAspect="1" noChangeArrowheads="1"/>
                    </pic:cNvPicPr>
                  </pic:nvPicPr>
                  <pic:blipFill>
                    <a:blip r:embed="rId31"/>
                    <a:srcRect/>
                    <a:stretch>
                      <a:fillRect/>
                    </a:stretch>
                  </pic:blipFill>
                  <pic:spPr>
                    <a:xfrm>
                      <a:off x="0" y="0"/>
                      <a:ext cx="1076104" cy="669851"/>
                    </a:xfrm>
                    <a:prstGeom prst="rect">
                      <a:avLst/>
                    </a:prstGeom>
                    <a:noFill/>
                    <a:ln w="9525">
                      <a:noFill/>
                      <a:miter lim="800000"/>
                      <a:headEnd/>
                      <a:tailEnd/>
                    </a:ln>
                  </pic:spPr>
                </pic:pic>
              </a:graphicData>
            </a:graphic>
          </wp:anchor>
        </w:drawing>
      </w:r>
      <w:r w:rsidR="00715342" w:rsidRPr="00F9522B">
        <w:rPr>
          <w:rFonts w:eastAsiaTheme="minorEastAsia"/>
          <w:b/>
          <w:kern w:val="0"/>
          <w:szCs w:val="21"/>
        </w:rPr>
        <w:t xml:space="preserve"> </w:t>
      </w:r>
      <w:r w:rsidR="00715342" w:rsidRPr="00F9522B">
        <w:rPr>
          <w:rFonts w:eastAsiaTheme="minorEastAsia"/>
          <w:b/>
          <w:noProof/>
          <w:kern w:val="0"/>
          <w:szCs w:val="21"/>
        </w:rPr>
        <w:lastRenderedPageBreak/>
        <w:drawing>
          <wp:inline distT="0" distB="0" distL="0" distR="0">
            <wp:extent cx="5274310" cy="3871171"/>
            <wp:effectExtent l="19050" t="19050" r="21590" b="15029"/>
            <wp:docPr id="2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a:srcRect/>
                    <a:stretch>
                      <a:fillRect/>
                    </a:stretch>
                  </pic:blipFill>
                  <pic:spPr bwMode="auto">
                    <a:xfrm>
                      <a:off x="0" y="0"/>
                      <a:ext cx="5274310" cy="3871171"/>
                    </a:xfrm>
                    <a:prstGeom prst="rect">
                      <a:avLst/>
                    </a:prstGeom>
                    <a:noFill/>
                    <a:ln w="9525">
                      <a:solidFill>
                        <a:schemeClr val="tx1"/>
                      </a:solidFill>
                      <a:miter lim="800000"/>
                      <a:headEnd/>
                      <a:tailEnd/>
                    </a:ln>
                  </pic:spPr>
                </pic:pic>
              </a:graphicData>
            </a:graphic>
          </wp:inline>
        </w:drawing>
      </w:r>
    </w:p>
    <w:p w:rsidR="002A5A5E" w:rsidRPr="00F9522B" w:rsidRDefault="00715342">
      <w:pPr>
        <w:contextualSpacing/>
        <w:jc w:val="center"/>
        <w:rPr>
          <w:rFonts w:eastAsiaTheme="minorEastAsia"/>
          <w:b/>
          <w:kern w:val="0"/>
          <w:szCs w:val="21"/>
        </w:rPr>
      </w:pPr>
      <w:r w:rsidRPr="00F9522B">
        <w:rPr>
          <w:rFonts w:eastAsiaTheme="minorEastAsia"/>
          <w:b/>
          <w:noProof/>
          <w:kern w:val="0"/>
          <w:szCs w:val="21"/>
        </w:rPr>
        <w:drawing>
          <wp:anchor distT="0" distB="0" distL="114300" distR="114300" simplePos="0" relativeHeight="251820032" behindDoc="0" locked="0" layoutInCell="1" allowOverlap="1">
            <wp:simplePos x="0" y="0"/>
            <wp:positionH relativeFrom="column">
              <wp:posOffset>45631</wp:posOffset>
            </wp:positionH>
            <wp:positionV relativeFrom="paragraph">
              <wp:posOffset>-708837</wp:posOffset>
            </wp:positionV>
            <wp:extent cx="1076104" cy="669851"/>
            <wp:effectExtent l="19050" t="0" r="0" b="0"/>
            <wp:wrapNone/>
            <wp:docPr id="2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31"/>
                    <a:srcRect/>
                    <a:stretch>
                      <a:fillRect/>
                    </a:stretch>
                  </pic:blipFill>
                  <pic:spPr>
                    <a:xfrm>
                      <a:off x="0" y="0"/>
                      <a:ext cx="1076104" cy="669851"/>
                    </a:xfrm>
                    <a:prstGeom prst="rect">
                      <a:avLst/>
                    </a:prstGeom>
                    <a:noFill/>
                    <a:ln w="9525">
                      <a:noFill/>
                      <a:miter lim="800000"/>
                      <a:headEnd/>
                      <a:tailEnd/>
                    </a:ln>
                  </pic:spPr>
                </pic:pic>
              </a:graphicData>
            </a:graphic>
          </wp:anchor>
        </w:drawing>
      </w:r>
      <w:r w:rsidR="005273A1">
        <w:rPr>
          <w:rFonts w:eastAsiaTheme="minorEastAsia"/>
          <w:b/>
          <w:kern w:val="0"/>
          <w:szCs w:val="21"/>
        </w:rPr>
        <w:pict>
          <v:shape id="_x0000_s696852" type="#_x0000_t61" style="position:absolute;left:0;text-align:left;margin-left:8.55pt;margin-top:-229.45pt;width:80.4pt;height:27.1pt;z-index:251711488;mso-position-horizontal-relative:text;mso-position-vertical-relative:text" adj="9027,53482" filled="f" strokecolor="yellow">
            <v:textbox>
              <w:txbxContent>
                <w:p w:rsidR="000D2D13" w:rsidRDefault="000D2D13">
                  <w:r w:rsidRPr="00715342">
                    <w:rPr>
                      <w:rFonts w:hint="eastAsia"/>
                      <w:color w:val="FFFF00"/>
                    </w:rPr>
                    <w:t>傅</w:t>
                  </w:r>
                  <w:r w:rsidRPr="00715342">
                    <w:rPr>
                      <w:color w:val="FFFF00"/>
                    </w:rPr>
                    <w:t>井</w:t>
                  </w:r>
                  <w:r>
                    <w:rPr>
                      <w:color w:val="FFFF00"/>
                    </w:rPr>
                    <w:t>机电井</w:t>
                  </w:r>
                  <w:r>
                    <w:rPr>
                      <w:rFonts w:hint="eastAsia"/>
                      <w:color w:val="FFFF00"/>
                    </w:rPr>
                    <w:t>-2</w:t>
                  </w:r>
                </w:p>
              </w:txbxContent>
            </v:textbox>
          </v:shape>
        </w:pict>
      </w:r>
      <w:r w:rsidRPr="00F9522B">
        <w:rPr>
          <w:rFonts w:eastAsiaTheme="minorEastAsia"/>
          <w:b/>
          <w:noProof/>
          <w:kern w:val="0"/>
          <w:szCs w:val="21"/>
        </w:rPr>
        <w:drawing>
          <wp:anchor distT="0" distB="0" distL="114300" distR="114300" simplePos="0" relativeHeight="251755520" behindDoc="0" locked="0" layoutInCell="1" allowOverlap="1">
            <wp:simplePos x="0" y="0"/>
            <wp:positionH relativeFrom="column">
              <wp:posOffset>4670794</wp:posOffset>
            </wp:positionH>
            <wp:positionV relativeFrom="paragraph">
              <wp:posOffset>-3909237</wp:posOffset>
            </wp:positionV>
            <wp:extent cx="629536" cy="627321"/>
            <wp:effectExtent l="19050" t="0" r="0" b="0"/>
            <wp:wrapNone/>
            <wp:docPr id="52"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37"/>
                    <pic:cNvPicPr>
                      <a:picLocks noChangeAspect="1" noChangeArrowheads="1"/>
                    </pic:cNvPicPr>
                  </pic:nvPicPr>
                  <pic:blipFill>
                    <a:blip r:embed="rId25"/>
                    <a:srcRect/>
                    <a:stretch>
                      <a:fillRect/>
                    </a:stretch>
                  </pic:blipFill>
                  <pic:spPr>
                    <a:xfrm>
                      <a:off x="0" y="0"/>
                      <a:ext cx="629536" cy="627321"/>
                    </a:xfrm>
                    <a:prstGeom prst="rect">
                      <a:avLst/>
                    </a:prstGeom>
                    <a:noFill/>
                    <a:ln w="9525">
                      <a:noFill/>
                      <a:miter lim="800000"/>
                      <a:headEnd/>
                      <a:tailEnd/>
                    </a:ln>
                  </pic:spPr>
                </pic:pic>
              </a:graphicData>
            </a:graphic>
          </wp:anchor>
        </w:drawing>
      </w:r>
      <w:r w:rsidR="00611CBA" w:rsidRPr="00F9522B">
        <w:rPr>
          <w:rFonts w:eastAsiaTheme="minorEastAsia"/>
          <w:b/>
          <w:kern w:val="0"/>
          <w:szCs w:val="21"/>
        </w:rPr>
        <w:t>图</w:t>
      </w:r>
      <w:r w:rsidR="00611CBA" w:rsidRPr="00F9522B">
        <w:rPr>
          <w:rFonts w:eastAsiaTheme="minorEastAsia"/>
          <w:b/>
          <w:kern w:val="0"/>
          <w:szCs w:val="21"/>
        </w:rPr>
        <w:t>2-8-</w:t>
      </w:r>
      <w:r w:rsidR="00B0065C" w:rsidRPr="00F9522B">
        <w:rPr>
          <w:rFonts w:eastAsiaTheme="minorEastAsia"/>
          <w:b/>
          <w:kern w:val="0"/>
          <w:szCs w:val="21"/>
        </w:rPr>
        <w:t>4</w:t>
      </w:r>
      <w:r w:rsidR="00611CBA" w:rsidRPr="00F9522B">
        <w:rPr>
          <w:rFonts w:eastAsiaTheme="minorEastAsia"/>
          <w:b/>
          <w:kern w:val="0"/>
          <w:szCs w:val="21"/>
        </w:rPr>
        <w:t>集中式饮用水源井位置、保护区范围与本项目工程灌溉井位置关系图（</w:t>
      </w:r>
      <w:r w:rsidR="00611CBA" w:rsidRPr="00F9522B">
        <w:rPr>
          <w:rFonts w:eastAsiaTheme="minorEastAsia"/>
          <w:b/>
          <w:kern w:val="0"/>
          <w:szCs w:val="21"/>
        </w:rPr>
        <w:t>3</w:t>
      </w:r>
      <w:r w:rsidR="00611CBA" w:rsidRPr="00F9522B">
        <w:rPr>
          <w:rFonts w:eastAsiaTheme="minorEastAsia"/>
          <w:b/>
          <w:kern w:val="0"/>
          <w:szCs w:val="21"/>
        </w:rPr>
        <w:t>）</w:t>
      </w:r>
    </w:p>
    <w:p w:rsidR="007A1F1B" w:rsidRPr="00F9522B" w:rsidRDefault="007A1F1B">
      <w:pPr>
        <w:contextualSpacing/>
        <w:jc w:val="center"/>
        <w:rPr>
          <w:rFonts w:eastAsiaTheme="minorEastAsia"/>
          <w:b/>
          <w:kern w:val="0"/>
          <w:szCs w:val="21"/>
        </w:rPr>
        <w:sectPr w:rsidR="007A1F1B" w:rsidRPr="00F9522B">
          <w:pgSz w:w="11906" w:h="16838"/>
          <w:pgMar w:top="1440" w:right="1800" w:bottom="1440" w:left="1800" w:header="851" w:footer="992" w:gutter="0"/>
          <w:cols w:space="425"/>
          <w:docGrid w:type="lines" w:linePitch="312"/>
        </w:sectPr>
      </w:pPr>
    </w:p>
    <w:p w:rsidR="002A5A5E" w:rsidRPr="00F9522B" w:rsidRDefault="00611CBA">
      <w:pPr>
        <w:widowControl/>
        <w:tabs>
          <w:tab w:val="left" w:leader="middleDot" w:pos="7371"/>
        </w:tabs>
        <w:spacing w:before="100" w:beforeAutospacing="1" w:after="100" w:afterAutospacing="1"/>
        <w:jc w:val="left"/>
        <w:outlineLvl w:val="0"/>
        <w:rPr>
          <w:rFonts w:eastAsiaTheme="minorEastAsia"/>
          <w:b/>
          <w:kern w:val="0"/>
          <w:sz w:val="32"/>
          <w:szCs w:val="32"/>
        </w:rPr>
      </w:pPr>
      <w:bookmarkStart w:id="65" w:name="_Toc208906232"/>
      <w:r w:rsidRPr="00F9522B">
        <w:rPr>
          <w:rFonts w:eastAsiaTheme="minorEastAsia"/>
          <w:b/>
          <w:kern w:val="0"/>
          <w:sz w:val="32"/>
          <w:szCs w:val="32"/>
        </w:rPr>
        <w:lastRenderedPageBreak/>
        <w:t>3</w:t>
      </w:r>
      <w:r w:rsidRPr="00F9522B">
        <w:rPr>
          <w:rFonts w:eastAsiaTheme="minorEastAsia"/>
          <w:b/>
          <w:kern w:val="0"/>
          <w:sz w:val="32"/>
          <w:szCs w:val="32"/>
        </w:rPr>
        <w:t>建设项目工程分析</w:t>
      </w:r>
      <w:bookmarkEnd w:id="65"/>
    </w:p>
    <w:p w:rsidR="002A5A5E" w:rsidRPr="00F9522B" w:rsidRDefault="00611CBA">
      <w:pPr>
        <w:spacing w:before="100" w:beforeAutospacing="1" w:after="100" w:afterAutospacing="1"/>
        <w:jc w:val="left"/>
        <w:outlineLvl w:val="1"/>
        <w:rPr>
          <w:rFonts w:eastAsiaTheme="minorEastAsia"/>
          <w:b/>
          <w:bCs/>
          <w:kern w:val="44"/>
          <w:sz w:val="30"/>
          <w:szCs w:val="30"/>
        </w:rPr>
      </w:pPr>
      <w:bookmarkStart w:id="66" w:name="_Toc208906233"/>
      <w:r w:rsidRPr="00F9522B">
        <w:rPr>
          <w:rFonts w:eastAsiaTheme="minorEastAsia"/>
          <w:b/>
          <w:bCs/>
          <w:kern w:val="44"/>
          <w:sz w:val="30"/>
          <w:szCs w:val="30"/>
        </w:rPr>
        <w:t>3.1</w:t>
      </w:r>
      <w:r w:rsidRPr="00F9522B">
        <w:rPr>
          <w:rFonts w:eastAsiaTheme="minorEastAsia"/>
          <w:b/>
          <w:bCs/>
          <w:kern w:val="44"/>
          <w:sz w:val="30"/>
          <w:szCs w:val="30"/>
        </w:rPr>
        <w:t>原有工程回顾性分析</w:t>
      </w:r>
      <w:bookmarkEnd w:id="66"/>
    </w:p>
    <w:p w:rsidR="002A5A5E" w:rsidRPr="00F9522B" w:rsidRDefault="00611CBA">
      <w:pPr>
        <w:spacing w:before="100" w:beforeAutospacing="1" w:after="100" w:afterAutospacing="1" w:line="360" w:lineRule="auto"/>
        <w:contextualSpacing/>
        <w:outlineLvl w:val="2"/>
        <w:rPr>
          <w:rFonts w:eastAsiaTheme="minorEastAsia"/>
          <w:b/>
          <w:kern w:val="0"/>
          <w:sz w:val="28"/>
          <w:szCs w:val="28"/>
        </w:rPr>
      </w:pPr>
      <w:r w:rsidRPr="00F9522B">
        <w:rPr>
          <w:rFonts w:eastAsiaTheme="minorEastAsia"/>
          <w:b/>
          <w:kern w:val="0"/>
          <w:sz w:val="28"/>
          <w:szCs w:val="28"/>
        </w:rPr>
        <w:t>3.1.1</w:t>
      </w:r>
      <w:r w:rsidRPr="00F9522B">
        <w:rPr>
          <w:rFonts w:eastAsiaTheme="minorEastAsia"/>
          <w:b/>
          <w:kern w:val="0"/>
          <w:sz w:val="28"/>
          <w:szCs w:val="28"/>
        </w:rPr>
        <w:t>水源工程、排水工程现状</w:t>
      </w:r>
    </w:p>
    <w:p w:rsidR="00564E89" w:rsidRPr="00F9522B" w:rsidRDefault="00611CBA">
      <w:pPr>
        <w:pStyle w:val="aaa"/>
        <w:spacing w:line="360" w:lineRule="auto"/>
        <w:ind w:firstLine="480"/>
        <w:rPr>
          <w:rFonts w:eastAsiaTheme="minorEastAsia" w:hAnsi="Times New Roman"/>
        </w:rPr>
      </w:pPr>
      <w:r w:rsidRPr="00F9522B">
        <w:rPr>
          <w:rFonts w:eastAsiaTheme="minorEastAsia" w:hAnsi="Times New Roman"/>
        </w:rPr>
        <w:t>项目区域共</w:t>
      </w:r>
      <w:r w:rsidR="004403AE" w:rsidRPr="00F9522B">
        <w:rPr>
          <w:rFonts w:eastAsiaTheme="minorEastAsia" w:hAnsi="Times New Roman"/>
          <w:bCs/>
        </w:rPr>
        <w:t>31.53</w:t>
      </w:r>
      <w:r w:rsidRPr="00F9522B">
        <w:rPr>
          <w:rFonts w:eastAsiaTheme="minorEastAsia" w:hAnsi="Times New Roman"/>
          <w:bCs/>
          <w:snapToGrid w:val="0"/>
        </w:rPr>
        <w:t>万亩旱田，其中</w:t>
      </w:r>
      <w:r w:rsidRPr="00F9522B">
        <w:rPr>
          <w:rFonts w:eastAsiaTheme="minorEastAsia" w:hAnsi="Times New Roman"/>
        </w:rPr>
        <w:t>农户自打机电井</w:t>
      </w:r>
      <w:r w:rsidR="00435915" w:rsidRPr="00F9522B">
        <w:rPr>
          <w:rFonts w:eastAsiaTheme="minorEastAsia" w:hAnsi="Times New Roman"/>
        </w:rPr>
        <w:t>80</w:t>
      </w:r>
      <w:r w:rsidRPr="00F9522B">
        <w:rPr>
          <w:rFonts w:eastAsiaTheme="minorEastAsia" w:hAnsi="Times New Roman"/>
        </w:rPr>
        <w:t>眼，能够满足</w:t>
      </w:r>
      <w:r w:rsidR="00231C56" w:rsidRPr="00F9522B">
        <w:rPr>
          <w:rFonts w:eastAsiaTheme="minorEastAsia" w:hAnsi="Times New Roman"/>
        </w:rPr>
        <w:t>1.16</w:t>
      </w:r>
      <w:r w:rsidRPr="00F9522B">
        <w:rPr>
          <w:rFonts w:eastAsiaTheme="minorEastAsia" w:hAnsi="Times New Roman"/>
        </w:rPr>
        <w:t>万亩旱田的灌溉需求</w:t>
      </w:r>
      <w:r w:rsidR="00564E89" w:rsidRPr="00F9522B">
        <w:rPr>
          <w:rFonts w:eastAsiaTheme="minorEastAsia" w:hAnsi="Times New Roman"/>
        </w:rPr>
        <w:t>，</w:t>
      </w:r>
      <w:r w:rsidR="00564E89" w:rsidRPr="00F9522B">
        <w:rPr>
          <w:rFonts w:eastAsiaTheme="minorEastAsia" w:hAnsi="Times New Roman"/>
          <w:bCs/>
          <w:color w:val="FF0000"/>
        </w:rPr>
        <w:t>采用</w:t>
      </w:r>
      <w:r w:rsidR="00564E89" w:rsidRPr="00F9522B">
        <w:rPr>
          <w:rFonts w:eastAsiaTheme="minorEastAsia" w:hAnsi="Times New Roman"/>
          <w:color w:val="FF0000"/>
          <w:szCs w:val="21"/>
        </w:rPr>
        <w:t>地下水</w:t>
      </w:r>
      <w:r w:rsidR="00564E89" w:rsidRPr="00F9522B">
        <w:rPr>
          <w:rFonts w:eastAsiaTheme="minorEastAsia" w:hAnsi="Times New Roman"/>
          <w:bCs/>
          <w:color w:val="FF0000"/>
        </w:rPr>
        <w:t>井灌的方式</w:t>
      </w:r>
      <w:r w:rsidRPr="00F9522B">
        <w:rPr>
          <w:rFonts w:eastAsiaTheme="minorEastAsia" w:hAnsi="Times New Roman"/>
        </w:rPr>
        <w:t>，其他地块依靠天然降水。</w:t>
      </w:r>
    </w:p>
    <w:p w:rsidR="002A5A5E" w:rsidRPr="00F9522B" w:rsidRDefault="00611CBA">
      <w:pPr>
        <w:pStyle w:val="aaa"/>
        <w:spacing w:line="360" w:lineRule="auto"/>
        <w:ind w:firstLine="480"/>
        <w:rPr>
          <w:rFonts w:eastAsiaTheme="minorEastAsia" w:hAnsi="Times New Roman"/>
        </w:rPr>
      </w:pPr>
      <w:r w:rsidRPr="00F9522B">
        <w:rPr>
          <w:rFonts w:eastAsiaTheme="minorEastAsia" w:hAnsi="Times New Roman"/>
          <w:color w:val="FF0000"/>
        </w:rPr>
        <w:t>项目区域共</w:t>
      </w:r>
      <w:r w:rsidR="004403AE" w:rsidRPr="00F9522B">
        <w:rPr>
          <w:rFonts w:eastAsiaTheme="minorEastAsia" w:hAnsi="Times New Roman"/>
          <w:color w:val="FF0000"/>
        </w:rPr>
        <w:t>0.47</w:t>
      </w:r>
      <w:r w:rsidRPr="00F9522B">
        <w:rPr>
          <w:rFonts w:eastAsiaTheme="minorEastAsia" w:hAnsi="Times New Roman"/>
          <w:color w:val="FF0000"/>
        </w:rPr>
        <w:t>万亩水田，</w:t>
      </w:r>
      <w:r w:rsidRPr="00F9522B">
        <w:rPr>
          <w:rFonts w:eastAsiaTheme="minorEastAsia" w:hAnsi="Times New Roman"/>
          <w:bCs/>
          <w:color w:val="FF0000"/>
        </w:rPr>
        <w:t>水田采用</w:t>
      </w:r>
      <w:r w:rsidRPr="00F9522B">
        <w:rPr>
          <w:rFonts w:eastAsiaTheme="minorEastAsia" w:hAnsi="Times New Roman"/>
          <w:color w:val="FF0000"/>
          <w:szCs w:val="21"/>
        </w:rPr>
        <w:t>地下水</w:t>
      </w:r>
      <w:r w:rsidRPr="00F9522B">
        <w:rPr>
          <w:rFonts w:eastAsiaTheme="minorEastAsia" w:hAnsi="Times New Roman"/>
          <w:bCs/>
          <w:color w:val="FF0000"/>
        </w:rPr>
        <w:t>井灌的方式</w:t>
      </w:r>
      <w:r w:rsidR="00E37BA1" w:rsidRPr="00F9522B">
        <w:rPr>
          <w:rFonts w:eastAsiaTheme="minorEastAsia" w:hAnsi="Times New Roman"/>
          <w:bCs/>
          <w:color w:val="FF0000"/>
        </w:rPr>
        <w:t>，</w:t>
      </w:r>
      <w:r w:rsidRPr="00F9522B">
        <w:rPr>
          <w:rFonts w:eastAsiaTheme="minorEastAsia" w:hAnsi="Times New Roman"/>
        </w:rPr>
        <w:t>农户自行抽取</w:t>
      </w:r>
      <w:r w:rsidR="00435915" w:rsidRPr="00F9522B">
        <w:rPr>
          <w:rFonts w:eastAsiaTheme="minorEastAsia" w:hAnsi="Times New Roman"/>
        </w:rPr>
        <w:t>94</w:t>
      </w:r>
      <w:r w:rsidRPr="00F9522B">
        <w:rPr>
          <w:rFonts w:eastAsiaTheme="minorEastAsia" w:hAnsi="Times New Roman"/>
        </w:rPr>
        <w:t>眼机电井地下水进行灌溉，并且多年运行下来基</w:t>
      </w:r>
      <w:r w:rsidR="00760E2B" w:rsidRPr="00F9522B">
        <w:rPr>
          <w:rFonts w:eastAsiaTheme="minorEastAsia" w:hAnsi="Times New Roman"/>
        </w:rPr>
        <w:t>本能够满足水田的生长需求。本项目建设完成后，现有地下水井依然沿用</w:t>
      </w:r>
      <w:r w:rsidRPr="00F9522B">
        <w:rPr>
          <w:rFonts w:eastAsiaTheme="minorEastAsia" w:hAnsi="Times New Roman"/>
        </w:rPr>
        <w:t>。</w:t>
      </w:r>
    </w:p>
    <w:p w:rsidR="002A5A5E" w:rsidRPr="00F9522B" w:rsidRDefault="00611CBA">
      <w:pPr>
        <w:pStyle w:val="aaa"/>
        <w:spacing w:line="360" w:lineRule="auto"/>
        <w:ind w:firstLine="480"/>
        <w:rPr>
          <w:rFonts w:eastAsiaTheme="minorEastAsia" w:hAnsi="Times New Roman"/>
        </w:rPr>
      </w:pPr>
      <w:r w:rsidRPr="00F9522B">
        <w:rPr>
          <w:rFonts w:eastAsiaTheme="minorEastAsia" w:hAnsi="Times New Roman"/>
        </w:rPr>
        <w:t>（</w:t>
      </w:r>
      <w:r w:rsidRPr="00F9522B">
        <w:rPr>
          <w:rFonts w:eastAsiaTheme="minorEastAsia" w:hAnsi="Times New Roman"/>
        </w:rPr>
        <w:t>1</w:t>
      </w:r>
      <w:r w:rsidRPr="00F9522B">
        <w:rPr>
          <w:rFonts w:eastAsiaTheme="minorEastAsia" w:hAnsi="Times New Roman"/>
        </w:rPr>
        <w:t>）地下水水源</w:t>
      </w:r>
    </w:p>
    <w:p w:rsidR="002A5A5E" w:rsidRPr="00F9522B" w:rsidRDefault="00611CBA">
      <w:pPr>
        <w:pStyle w:val="aaa"/>
        <w:spacing w:line="360" w:lineRule="auto"/>
        <w:ind w:firstLine="480"/>
        <w:rPr>
          <w:rFonts w:eastAsiaTheme="minorEastAsia" w:hAnsi="Times New Roman"/>
        </w:rPr>
      </w:pPr>
      <w:r w:rsidRPr="00F9522B">
        <w:rPr>
          <w:rFonts w:eastAsiaTheme="minorEastAsia" w:hAnsi="Times New Roman"/>
        </w:rPr>
        <w:t>项目区现有农业灌溉机电井</w:t>
      </w:r>
      <w:r w:rsidR="004403AE" w:rsidRPr="00F9522B">
        <w:rPr>
          <w:rFonts w:eastAsiaTheme="minorEastAsia" w:hAnsi="Times New Roman"/>
        </w:rPr>
        <w:t>174</w:t>
      </w:r>
      <w:r w:rsidRPr="00F9522B">
        <w:rPr>
          <w:rFonts w:eastAsiaTheme="minorEastAsia" w:hAnsi="Times New Roman"/>
        </w:rPr>
        <w:t>眼，现有机井运行状况良好，井深</w:t>
      </w:r>
      <w:r w:rsidRPr="00F9522B">
        <w:rPr>
          <w:rFonts w:eastAsiaTheme="minorEastAsia" w:hAnsi="Times New Roman"/>
        </w:rPr>
        <w:t>40-83m</w:t>
      </w:r>
      <w:r w:rsidRPr="00F9522B">
        <w:rPr>
          <w:rFonts w:eastAsiaTheme="minorEastAsia" w:hAnsi="Times New Roman"/>
        </w:rPr>
        <w:t>，单井出水量</w:t>
      </w:r>
      <w:r w:rsidR="00435915" w:rsidRPr="00F9522B">
        <w:rPr>
          <w:rFonts w:eastAsiaTheme="minorEastAsia" w:hAnsi="Times New Roman"/>
        </w:rPr>
        <w:t>30</w:t>
      </w:r>
      <w:r w:rsidRPr="00F9522B">
        <w:rPr>
          <w:rFonts w:eastAsiaTheme="minorEastAsia" w:hAnsi="Times New Roman"/>
        </w:rPr>
        <w:t>m³/h</w:t>
      </w:r>
      <w:r w:rsidRPr="00F9522B">
        <w:rPr>
          <w:rFonts w:eastAsiaTheme="minorEastAsia" w:hAnsi="Times New Roman"/>
        </w:rPr>
        <w:t>，其中水田用灌溉井</w:t>
      </w:r>
      <w:r w:rsidR="00435915" w:rsidRPr="00F9522B">
        <w:rPr>
          <w:rFonts w:eastAsiaTheme="minorEastAsia" w:hAnsi="Times New Roman"/>
        </w:rPr>
        <w:t>94</w:t>
      </w:r>
      <w:r w:rsidRPr="00F9522B">
        <w:rPr>
          <w:rFonts w:eastAsiaTheme="minorEastAsia" w:hAnsi="Times New Roman"/>
        </w:rPr>
        <w:t>眼，旱田用灌溉井</w:t>
      </w:r>
      <w:r w:rsidR="00435915" w:rsidRPr="00F9522B">
        <w:rPr>
          <w:rFonts w:eastAsiaTheme="minorEastAsia" w:hAnsi="Times New Roman"/>
        </w:rPr>
        <w:t>80</w:t>
      </w:r>
      <w:r w:rsidRPr="00F9522B">
        <w:rPr>
          <w:rFonts w:eastAsiaTheme="minorEastAsia" w:hAnsi="Times New Roman"/>
        </w:rPr>
        <w:t>眼，</w:t>
      </w:r>
      <w:r w:rsidRPr="00F9522B">
        <w:rPr>
          <w:rFonts w:eastAsiaTheme="minorEastAsia" w:hAnsi="Times New Roman"/>
          <w:color w:val="FF0000"/>
        </w:rPr>
        <w:t>取水层为第四系松散岩类孔隙承压水</w:t>
      </w:r>
      <w:r w:rsidRPr="00F9522B">
        <w:rPr>
          <w:rFonts w:eastAsiaTheme="minorEastAsia" w:hAnsi="Times New Roman"/>
        </w:rPr>
        <w:t>，均为农民自打井。</w:t>
      </w:r>
    </w:p>
    <w:p w:rsidR="002A5A5E" w:rsidRPr="00F9522B" w:rsidRDefault="00611CBA">
      <w:pPr>
        <w:pStyle w:val="aaa"/>
        <w:spacing w:line="360" w:lineRule="auto"/>
        <w:ind w:firstLine="480"/>
        <w:rPr>
          <w:rFonts w:eastAsiaTheme="minorEastAsia" w:hAnsi="Times New Roman"/>
        </w:rPr>
      </w:pPr>
      <w:r w:rsidRPr="00F9522B">
        <w:rPr>
          <w:rFonts w:eastAsiaTheme="minorEastAsia" w:hAnsi="Times New Roman"/>
        </w:rPr>
        <w:t>（</w:t>
      </w:r>
      <w:r w:rsidRPr="00F9522B">
        <w:rPr>
          <w:rFonts w:eastAsiaTheme="minorEastAsia" w:hAnsi="Times New Roman"/>
        </w:rPr>
        <w:t>2</w:t>
      </w:r>
      <w:r w:rsidRPr="00F9522B">
        <w:rPr>
          <w:rFonts w:eastAsiaTheme="minorEastAsia" w:hAnsi="Times New Roman"/>
        </w:rPr>
        <w:t>）现状用水量</w:t>
      </w:r>
    </w:p>
    <w:p w:rsidR="002A5A5E" w:rsidRPr="00F9522B" w:rsidRDefault="00611CBA">
      <w:pPr>
        <w:pStyle w:val="aaa"/>
        <w:spacing w:line="360" w:lineRule="auto"/>
        <w:ind w:firstLine="480"/>
        <w:rPr>
          <w:rFonts w:eastAsiaTheme="minorEastAsia" w:hAnsi="Times New Roman"/>
        </w:rPr>
      </w:pPr>
      <w:r w:rsidRPr="00F9522B">
        <w:rPr>
          <w:rFonts w:eastAsiaTheme="minorEastAsia" w:hAnsi="Times New Roman"/>
        </w:rPr>
        <w:t>项目现有水田地下水井灌面积</w:t>
      </w:r>
      <w:r w:rsidR="004403AE" w:rsidRPr="00F9522B">
        <w:rPr>
          <w:rFonts w:eastAsiaTheme="minorEastAsia" w:hAnsi="Times New Roman"/>
        </w:rPr>
        <w:t>0.47</w:t>
      </w:r>
      <w:r w:rsidRPr="00F9522B">
        <w:rPr>
          <w:rFonts w:eastAsiaTheme="minorEastAsia" w:hAnsi="Times New Roman"/>
        </w:rPr>
        <w:t>万亩（水田用灌溉井</w:t>
      </w:r>
      <w:r w:rsidR="00435915" w:rsidRPr="00F9522B">
        <w:rPr>
          <w:rFonts w:eastAsiaTheme="minorEastAsia" w:hAnsi="Times New Roman"/>
        </w:rPr>
        <w:t>94</w:t>
      </w:r>
      <w:r w:rsidRPr="00F9522B">
        <w:rPr>
          <w:rFonts w:eastAsiaTheme="minorEastAsia" w:hAnsi="Times New Roman"/>
        </w:rPr>
        <w:t>眼）。</w:t>
      </w:r>
    </w:p>
    <w:p w:rsidR="002A5A5E" w:rsidRPr="00F9522B" w:rsidRDefault="00611CBA">
      <w:pPr>
        <w:widowControl/>
        <w:spacing w:line="360" w:lineRule="auto"/>
        <w:ind w:firstLineChars="200" w:firstLine="422"/>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3-1-1</w:t>
      </w:r>
      <w:r w:rsidRPr="00F9522B">
        <w:rPr>
          <w:rFonts w:eastAsiaTheme="minorEastAsia"/>
          <w:b/>
          <w:kern w:val="0"/>
          <w:szCs w:val="21"/>
        </w:rPr>
        <w:t>水田区取水量表</w:t>
      </w:r>
    </w:p>
    <w:tbl>
      <w:tblPr>
        <w:tblW w:w="5000" w:type="pct"/>
        <w:tblBorders>
          <w:top w:val="single" w:sz="12" w:space="0" w:color="000000"/>
          <w:bottom w:val="single" w:sz="12" w:space="0" w:color="000000"/>
          <w:insideH w:val="single" w:sz="4" w:space="0" w:color="000000"/>
          <w:insideV w:val="single" w:sz="4" w:space="0" w:color="000000"/>
        </w:tblBorders>
        <w:tblLook w:val="04A0"/>
      </w:tblPr>
      <w:tblGrid>
        <w:gridCol w:w="1378"/>
        <w:gridCol w:w="1382"/>
        <w:gridCol w:w="1386"/>
        <w:gridCol w:w="1558"/>
        <w:gridCol w:w="1386"/>
        <w:gridCol w:w="1432"/>
      </w:tblGrid>
      <w:tr w:rsidR="002A5A5E" w:rsidRPr="00F9522B">
        <w:trPr>
          <w:trHeight w:val="403"/>
        </w:trPr>
        <w:tc>
          <w:tcPr>
            <w:tcW w:w="808" w:type="pct"/>
            <w:vMerge w:val="restart"/>
            <w:vAlign w:val="center"/>
          </w:tcPr>
          <w:p w:rsidR="002A5A5E" w:rsidRPr="00F9522B" w:rsidRDefault="00611CBA">
            <w:pPr>
              <w:widowControl/>
              <w:jc w:val="center"/>
              <w:textAlignment w:val="center"/>
              <w:rPr>
                <w:rFonts w:eastAsiaTheme="minorEastAsia"/>
                <w:szCs w:val="21"/>
              </w:rPr>
            </w:pPr>
            <w:r w:rsidRPr="00F9522B">
              <w:rPr>
                <w:rFonts w:eastAsiaTheme="minorEastAsia"/>
                <w:kern w:val="0"/>
                <w:szCs w:val="21"/>
              </w:rPr>
              <w:t>水源</w:t>
            </w:r>
          </w:p>
        </w:tc>
        <w:tc>
          <w:tcPr>
            <w:tcW w:w="811" w:type="pct"/>
            <w:vMerge w:val="restart"/>
            <w:vAlign w:val="center"/>
          </w:tcPr>
          <w:p w:rsidR="002A5A5E" w:rsidRPr="00F9522B" w:rsidRDefault="00611CBA">
            <w:pPr>
              <w:widowControl/>
              <w:jc w:val="center"/>
              <w:textAlignment w:val="center"/>
              <w:rPr>
                <w:rFonts w:eastAsiaTheme="minorEastAsia"/>
                <w:szCs w:val="21"/>
              </w:rPr>
            </w:pPr>
            <w:r w:rsidRPr="00F9522B">
              <w:rPr>
                <w:rFonts w:eastAsiaTheme="minorEastAsia"/>
                <w:kern w:val="0"/>
                <w:szCs w:val="21"/>
              </w:rPr>
              <w:t>灌溉方式</w:t>
            </w:r>
          </w:p>
        </w:tc>
        <w:tc>
          <w:tcPr>
            <w:tcW w:w="813" w:type="pct"/>
            <w:vAlign w:val="center"/>
          </w:tcPr>
          <w:p w:rsidR="002A5A5E" w:rsidRPr="00F9522B" w:rsidRDefault="00611CBA">
            <w:pPr>
              <w:widowControl/>
              <w:jc w:val="center"/>
              <w:textAlignment w:val="center"/>
              <w:rPr>
                <w:rFonts w:eastAsiaTheme="minorEastAsia"/>
                <w:szCs w:val="21"/>
              </w:rPr>
            </w:pPr>
            <w:r w:rsidRPr="00F9522B">
              <w:rPr>
                <w:rFonts w:eastAsiaTheme="minorEastAsia"/>
                <w:kern w:val="0"/>
                <w:szCs w:val="21"/>
              </w:rPr>
              <w:t>灌溉面积</w:t>
            </w:r>
          </w:p>
        </w:tc>
        <w:tc>
          <w:tcPr>
            <w:tcW w:w="914" w:type="pct"/>
            <w:vAlign w:val="center"/>
          </w:tcPr>
          <w:p w:rsidR="002A5A5E" w:rsidRPr="00F9522B" w:rsidRDefault="00611CBA">
            <w:pPr>
              <w:widowControl/>
              <w:jc w:val="center"/>
              <w:textAlignment w:val="center"/>
              <w:rPr>
                <w:rFonts w:eastAsiaTheme="minorEastAsia"/>
                <w:szCs w:val="21"/>
              </w:rPr>
            </w:pPr>
            <w:r w:rsidRPr="00F9522B">
              <w:rPr>
                <w:rFonts w:eastAsiaTheme="minorEastAsia"/>
                <w:kern w:val="0"/>
                <w:szCs w:val="21"/>
              </w:rPr>
              <w:t>灌溉净定额</w:t>
            </w:r>
          </w:p>
        </w:tc>
        <w:tc>
          <w:tcPr>
            <w:tcW w:w="813" w:type="pct"/>
            <w:vMerge w:val="restart"/>
            <w:vAlign w:val="center"/>
          </w:tcPr>
          <w:p w:rsidR="002A5A5E" w:rsidRPr="00F9522B" w:rsidRDefault="00611CBA">
            <w:pPr>
              <w:widowControl/>
              <w:jc w:val="center"/>
              <w:textAlignment w:val="center"/>
              <w:rPr>
                <w:rFonts w:eastAsiaTheme="minorEastAsia"/>
                <w:szCs w:val="21"/>
              </w:rPr>
            </w:pPr>
            <w:r w:rsidRPr="00F9522B">
              <w:rPr>
                <w:rFonts w:eastAsiaTheme="minorEastAsia"/>
                <w:kern w:val="0"/>
                <w:szCs w:val="21"/>
              </w:rPr>
              <w:t>灌溉水利用系数</w:t>
            </w:r>
          </w:p>
        </w:tc>
        <w:tc>
          <w:tcPr>
            <w:tcW w:w="840" w:type="pct"/>
            <w:vAlign w:val="center"/>
          </w:tcPr>
          <w:p w:rsidR="002A5A5E" w:rsidRPr="00F9522B" w:rsidRDefault="00611CBA">
            <w:pPr>
              <w:widowControl/>
              <w:jc w:val="center"/>
              <w:textAlignment w:val="center"/>
              <w:rPr>
                <w:rFonts w:eastAsiaTheme="minorEastAsia"/>
                <w:szCs w:val="21"/>
              </w:rPr>
            </w:pPr>
            <w:r w:rsidRPr="00F9522B">
              <w:rPr>
                <w:rFonts w:eastAsiaTheme="minorEastAsia"/>
                <w:kern w:val="0"/>
                <w:szCs w:val="21"/>
              </w:rPr>
              <w:t>取水量</w:t>
            </w:r>
          </w:p>
        </w:tc>
      </w:tr>
      <w:tr w:rsidR="002A5A5E" w:rsidRPr="00F9522B" w:rsidTr="00E37BA1">
        <w:trPr>
          <w:trHeight w:val="303"/>
        </w:trPr>
        <w:tc>
          <w:tcPr>
            <w:tcW w:w="808" w:type="pct"/>
            <w:vMerge/>
            <w:vAlign w:val="center"/>
          </w:tcPr>
          <w:p w:rsidR="002A5A5E" w:rsidRPr="00F9522B" w:rsidRDefault="002A5A5E">
            <w:pPr>
              <w:widowControl/>
              <w:jc w:val="center"/>
              <w:rPr>
                <w:rFonts w:eastAsiaTheme="minorEastAsia"/>
                <w:szCs w:val="21"/>
              </w:rPr>
            </w:pPr>
          </w:p>
        </w:tc>
        <w:tc>
          <w:tcPr>
            <w:tcW w:w="811" w:type="pct"/>
            <w:vMerge/>
            <w:vAlign w:val="center"/>
          </w:tcPr>
          <w:p w:rsidR="002A5A5E" w:rsidRPr="00F9522B" w:rsidRDefault="002A5A5E">
            <w:pPr>
              <w:widowControl/>
              <w:jc w:val="center"/>
              <w:rPr>
                <w:rFonts w:eastAsiaTheme="minorEastAsia"/>
                <w:szCs w:val="21"/>
              </w:rPr>
            </w:pPr>
          </w:p>
        </w:tc>
        <w:tc>
          <w:tcPr>
            <w:tcW w:w="813" w:type="pct"/>
            <w:vAlign w:val="center"/>
          </w:tcPr>
          <w:p w:rsidR="002A5A5E" w:rsidRPr="00F9522B" w:rsidRDefault="00611CBA">
            <w:pPr>
              <w:widowControl/>
              <w:jc w:val="center"/>
              <w:textAlignment w:val="center"/>
              <w:rPr>
                <w:rFonts w:eastAsiaTheme="minorEastAsia"/>
                <w:szCs w:val="21"/>
              </w:rPr>
            </w:pPr>
            <w:r w:rsidRPr="00F9522B">
              <w:rPr>
                <w:rFonts w:eastAsiaTheme="minorEastAsia"/>
                <w:kern w:val="0"/>
                <w:szCs w:val="21"/>
              </w:rPr>
              <w:t>（万亩）</w:t>
            </w:r>
          </w:p>
        </w:tc>
        <w:tc>
          <w:tcPr>
            <w:tcW w:w="914" w:type="pct"/>
            <w:vAlign w:val="center"/>
          </w:tcPr>
          <w:p w:rsidR="002A5A5E" w:rsidRPr="00F9522B" w:rsidRDefault="00611CBA">
            <w:pPr>
              <w:widowControl/>
              <w:jc w:val="center"/>
              <w:textAlignment w:val="center"/>
              <w:rPr>
                <w:rFonts w:eastAsiaTheme="minorEastAsia"/>
                <w:szCs w:val="21"/>
              </w:rPr>
            </w:pPr>
            <w:r w:rsidRPr="00F9522B">
              <w:rPr>
                <w:rFonts w:eastAsiaTheme="minorEastAsia"/>
                <w:kern w:val="0"/>
                <w:szCs w:val="21"/>
              </w:rPr>
              <w:t>m</w:t>
            </w:r>
            <w:r w:rsidRPr="00F9522B">
              <w:rPr>
                <w:rFonts w:eastAsiaTheme="minorEastAsia"/>
                <w:kern w:val="0"/>
                <w:szCs w:val="21"/>
                <w:vertAlign w:val="superscript"/>
              </w:rPr>
              <w:t>3</w:t>
            </w:r>
            <w:r w:rsidRPr="00F9522B">
              <w:rPr>
                <w:rFonts w:eastAsiaTheme="minorEastAsia"/>
                <w:kern w:val="0"/>
                <w:szCs w:val="21"/>
              </w:rPr>
              <w:t>/</w:t>
            </w:r>
            <w:r w:rsidRPr="00F9522B">
              <w:rPr>
                <w:rFonts w:eastAsiaTheme="minorEastAsia"/>
                <w:kern w:val="0"/>
                <w:szCs w:val="21"/>
              </w:rPr>
              <w:t>亩</w:t>
            </w:r>
          </w:p>
        </w:tc>
        <w:tc>
          <w:tcPr>
            <w:tcW w:w="813" w:type="pct"/>
            <w:vMerge/>
            <w:vAlign w:val="center"/>
          </w:tcPr>
          <w:p w:rsidR="002A5A5E" w:rsidRPr="00F9522B" w:rsidRDefault="002A5A5E">
            <w:pPr>
              <w:widowControl/>
              <w:jc w:val="center"/>
              <w:rPr>
                <w:rFonts w:eastAsiaTheme="minorEastAsia"/>
                <w:szCs w:val="21"/>
              </w:rPr>
            </w:pPr>
          </w:p>
        </w:tc>
        <w:tc>
          <w:tcPr>
            <w:tcW w:w="840" w:type="pct"/>
            <w:vAlign w:val="center"/>
          </w:tcPr>
          <w:p w:rsidR="002A5A5E" w:rsidRPr="00F9522B" w:rsidRDefault="00611CBA">
            <w:pPr>
              <w:widowControl/>
              <w:jc w:val="center"/>
              <w:textAlignment w:val="center"/>
              <w:rPr>
                <w:rFonts w:eastAsiaTheme="minorEastAsia"/>
                <w:szCs w:val="21"/>
              </w:rPr>
            </w:pPr>
            <w:r w:rsidRPr="00F9522B">
              <w:rPr>
                <w:rFonts w:eastAsiaTheme="minorEastAsia"/>
                <w:kern w:val="0"/>
                <w:szCs w:val="21"/>
              </w:rPr>
              <w:t>（万</w:t>
            </w:r>
            <w:r w:rsidRPr="00F9522B">
              <w:rPr>
                <w:rFonts w:eastAsiaTheme="minorEastAsia"/>
                <w:kern w:val="0"/>
                <w:szCs w:val="21"/>
              </w:rPr>
              <w:t>m</w:t>
            </w:r>
            <w:r w:rsidRPr="00F9522B">
              <w:rPr>
                <w:rFonts w:eastAsiaTheme="minorEastAsia"/>
                <w:kern w:val="0"/>
                <w:szCs w:val="21"/>
                <w:vertAlign w:val="superscript"/>
              </w:rPr>
              <w:t>3</w:t>
            </w:r>
            <w:r w:rsidRPr="00F9522B">
              <w:rPr>
                <w:rFonts w:eastAsiaTheme="minorEastAsia"/>
                <w:kern w:val="0"/>
                <w:szCs w:val="21"/>
              </w:rPr>
              <w:t>）</w:t>
            </w:r>
          </w:p>
        </w:tc>
      </w:tr>
      <w:tr w:rsidR="002A5A5E" w:rsidRPr="00F9522B">
        <w:trPr>
          <w:trHeight w:val="272"/>
        </w:trPr>
        <w:tc>
          <w:tcPr>
            <w:tcW w:w="808" w:type="pct"/>
            <w:noWrap/>
            <w:vAlign w:val="center"/>
          </w:tcPr>
          <w:p w:rsidR="002A5A5E" w:rsidRPr="00F9522B" w:rsidRDefault="00611CBA">
            <w:pPr>
              <w:widowControl/>
              <w:jc w:val="center"/>
              <w:textAlignment w:val="center"/>
              <w:rPr>
                <w:rFonts w:eastAsiaTheme="minorEastAsia"/>
                <w:szCs w:val="21"/>
              </w:rPr>
            </w:pPr>
            <w:r w:rsidRPr="00F9522B">
              <w:rPr>
                <w:rFonts w:eastAsiaTheme="minorEastAsia"/>
                <w:kern w:val="0"/>
                <w:szCs w:val="21"/>
              </w:rPr>
              <w:t>地下水</w:t>
            </w:r>
          </w:p>
        </w:tc>
        <w:tc>
          <w:tcPr>
            <w:tcW w:w="811" w:type="pct"/>
            <w:noWrap/>
            <w:vAlign w:val="center"/>
          </w:tcPr>
          <w:p w:rsidR="002A5A5E" w:rsidRPr="00F9522B" w:rsidRDefault="00611CBA">
            <w:pPr>
              <w:widowControl/>
              <w:jc w:val="center"/>
              <w:textAlignment w:val="center"/>
              <w:rPr>
                <w:rFonts w:eastAsiaTheme="minorEastAsia"/>
                <w:szCs w:val="21"/>
              </w:rPr>
            </w:pPr>
            <w:r w:rsidRPr="00F9522B">
              <w:rPr>
                <w:rFonts w:eastAsiaTheme="minorEastAsia"/>
                <w:kern w:val="0"/>
                <w:szCs w:val="21"/>
              </w:rPr>
              <w:t>井灌</w:t>
            </w:r>
          </w:p>
        </w:tc>
        <w:tc>
          <w:tcPr>
            <w:tcW w:w="813" w:type="pct"/>
            <w:noWrap/>
            <w:vAlign w:val="center"/>
          </w:tcPr>
          <w:p w:rsidR="002A5A5E" w:rsidRPr="00F9522B" w:rsidRDefault="004403AE">
            <w:pPr>
              <w:widowControl/>
              <w:jc w:val="center"/>
              <w:textAlignment w:val="center"/>
              <w:rPr>
                <w:rFonts w:eastAsiaTheme="minorEastAsia"/>
                <w:szCs w:val="21"/>
              </w:rPr>
            </w:pPr>
            <w:r w:rsidRPr="00F9522B">
              <w:rPr>
                <w:rFonts w:eastAsiaTheme="minorEastAsia"/>
                <w:kern w:val="0"/>
                <w:sz w:val="22"/>
                <w:szCs w:val="22"/>
              </w:rPr>
              <w:t>0.47</w:t>
            </w:r>
          </w:p>
        </w:tc>
        <w:tc>
          <w:tcPr>
            <w:tcW w:w="914" w:type="pct"/>
            <w:vAlign w:val="center"/>
          </w:tcPr>
          <w:p w:rsidR="002A5A5E" w:rsidRPr="00F9522B" w:rsidRDefault="00611CBA">
            <w:pPr>
              <w:widowControl/>
              <w:jc w:val="center"/>
              <w:textAlignment w:val="center"/>
              <w:rPr>
                <w:rFonts w:eastAsiaTheme="minorEastAsia"/>
                <w:szCs w:val="21"/>
              </w:rPr>
            </w:pPr>
            <w:r w:rsidRPr="00F9522B">
              <w:rPr>
                <w:rFonts w:eastAsiaTheme="minorEastAsia"/>
                <w:kern w:val="0"/>
                <w:sz w:val="22"/>
                <w:szCs w:val="22"/>
              </w:rPr>
              <w:t>386</w:t>
            </w:r>
          </w:p>
        </w:tc>
        <w:tc>
          <w:tcPr>
            <w:tcW w:w="813" w:type="pct"/>
            <w:noWrap/>
            <w:vAlign w:val="center"/>
          </w:tcPr>
          <w:p w:rsidR="002A5A5E" w:rsidRPr="00F9522B" w:rsidRDefault="00611CBA">
            <w:pPr>
              <w:widowControl/>
              <w:jc w:val="center"/>
              <w:textAlignment w:val="center"/>
              <w:rPr>
                <w:rFonts w:eastAsiaTheme="minorEastAsia"/>
                <w:szCs w:val="21"/>
              </w:rPr>
            </w:pPr>
            <w:r w:rsidRPr="00F9522B">
              <w:rPr>
                <w:rFonts w:eastAsiaTheme="minorEastAsia"/>
                <w:kern w:val="0"/>
                <w:sz w:val="22"/>
                <w:szCs w:val="22"/>
              </w:rPr>
              <w:t>0.67</w:t>
            </w:r>
          </w:p>
        </w:tc>
        <w:tc>
          <w:tcPr>
            <w:tcW w:w="840" w:type="pct"/>
            <w:noWrap/>
            <w:vAlign w:val="center"/>
          </w:tcPr>
          <w:p w:rsidR="002A5A5E" w:rsidRPr="00F9522B" w:rsidRDefault="008A0D94">
            <w:pPr>
              <w:widowControl/>
              <w:jc w:val="center"/>
              <w:textAlignment w:val="center"/>
              <w:rPr>
                <w:rFonts w:eastAsiaTheme="minorEastAsia"/>
                <w:szCs w:val="21"/>
              </w:rPr>
            </w:pPr>
            <w:r w:rsidRPr="00F9522B">
              <w:rPr>
                <w:rFonts w:eastAsiaTheme="minorEastAsia"/>
                <w:kern w:val="0"/>
                <w:sz w:val="22"/>
                <w:szCs w:val="22"/>
              </w:rPr>
              <w:t>271</w:t>
            </w:r>
          </w:p>
        </w:tc>
      </w:tr>
    </w:tbl>
    <w:p w:rsidR="002A5A5E" w:rsidRPr="00F9522B" w:rsidRDefault="00611CBA">
      <w:pPr>
        <w:pStyle w:val="aaa"/>
        <w:spacing w:line="360" w:lineRule="auto"/>
        <w:ind w:firstLine="480"/>
        <w:rPr>
          <w:rFonts w:eastAsiaTheme="minorEastAsia" w:hAnsi="Times New Roman"/>
        </w:rPr>
      </w:pPr>
      <w:r w:rsidRPr="00F9522B">
        <w:rPr>
          <w:rFonts w:eastAsiaTheme="minorEastAsia" w:hAnsi="Times New Roman"/>
        </w:rPr>
        <w:t>项目区内旱田原有农户自己打的机电井</w:t>
      </w:r>
      <w:r w:rsidR="00435915" w:rsidRPr="00F9522B">
        <w:rPr>
          <w:rFonts w:eastAsiaTheme="minorEastAsia" w:hAnsi="Times New Roman"/>
        </w:rPr>
        <w:t>80</w:t>
      </w:r>
      <w:r w:rsidRPr="00F9522B">
        <w:rPr>
          <w:rFonts w:eastAsiaTheme="minorEastAsia" w:hAnsi="Times New Roman"/>
        </w:rPr>
        <w:t>眼，能够满足</w:t>
      </w:r>
      <w:r w:rsidR="00231C56" w:rsidRPr="00F9522B">
        <w:rPr>
          <w:rFonts w:eastAsiaTheme="minorEastAsia" w:hAnsi="Times New Roman"/>
        </w:rPr>
        <w:t>1.16</w:t>
      </w:r>
      <w:r w:rsidRPr="00F9522B">
        <w:rPr>
          <w:rFonts w:eastAsiaTheme="minorEastAsia" w:hAnsi="Times New Roman"/>
        </w:rPr>
        <w:t>万亩旱田的灌溉需求。</w:t>
      </w:r>
    </w:p>
    <w:p w:rsidR="002A5A5E" w:rsidRPr="00F9522B" w:rsidRDefault="00611CBA">
      <w:pPr>
        <w:widowControl/>
        <w:spacing w:line="360" w:lineRule="auto"/>
        <w:ind w:firstLineChars="200" w:firstLine="422"/>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3-1-2</w:t>
      </w:r>
      <w:r w:rsidRPr="00F9522B">
        <w:rPr>
          <w:rFonts w:eastAsiaTheme="minorEastAsia"/>
          <w:b/>
          <w:kern w:val="0"/>
          <w:szCs w:val="21"/>
        </w:rPr>
        <w:t>旱田区取水量表</w:t>
      </w:r>
    </w:p>
    <w:tbl>
      <w:tblPr>
        <w:tblW w:w="5000" w:type="pct"/>
        <w:tblBorders>
          <w:top w:val="single" w:sz="12" w:space="0" w:color="000000"/>
          <w:bottom w:val="single" w:sz="12" w:space="0" w:color="000000"/>
          <w:insideH w:val="single" w:sz="4" w:space="0" w:color="000000"/>
          <w:insideV w:val="single" w:sz="4" w:space="0" w:color="000000"/>
        </w:tblBorders>
        <w:tblLook w:val="04A0"/>
      </w:tblPr>
      <w:tblGrid>
        <w:gridCol w:w="1378"/>
        <w:gridCol w:w="1382"/>
        <w:gridCol w:w="1386"/>
        <w:gridCol w:w="1558"/>
        <w:gridCol w:w="1386"/>
        <w:gridCol w:w="1432"/>
      </w:tblGrid>
      <w:tr w:rsidR="002A5A5E" w:rsidRPr="00F9522B">
        <w:trPr>
          <w:trHeight w:val="403"/>
        </w:trPr>
        <w:tc>
          <w:tcPr>
            <w:tcW w:w="808" w:type="pct"/>
            <w:vMerge w:val="restart"/>
            <w:vAlign w:val="center"/>
          </w:tcPr>
          <w:p w:rsidR="002A5A5E" w:rsidRPr="00F9522B" w:rsidRDefault="00611CBA">
            <w:pPr>
              <w:widowControl/>
              <w:jc w:val="center"/>
              <w:textAlignment w:val="center"/>
              <w:rPr>
                <w:rFonts w:eastAsiaTheme="minorEastAsia"/>
                <w:szCs w:val="21"/>
              </w:rPr>
            </w:pPr>
            <w:r w:rsidRPr="00F9522B">
              <w:rPr>
                <w:rFonts w:eastAsiaTheme="minorEastAsia"/>
                <w:kern w:val="0"/>
                <w:szCs w:val="21"/>
              </w:rPr>
              <w:t>水源</w:t>
            </w:r>
          </w:p>
        </w:tc>
        <w:tc>
          <w:tcPr>
            <w:tcW w:w="811" w:type="pct"/>
            <w:vMerge w:val="restart"/>
            <w:vAlign w:val="center"/>
          </w:tcPr>
          <w:p w:rsidR="002A5A5E" w:rsidRPr="00F9522B" w:rsidRDefault="00611CBA">
            <w:pPr>
              <w:widowControl/>
              <w:jc w:val="center"/>
              <w:textAlignment w:val="center"/>
              <w:rPr>
                <w:rFonts w:eastAsiaTheme="minorEastAsia"/>
                <w:szCs w:val="21"/>
              </w:rPr>
            </w:pPr>
            <w:r w:rsidRPr="00F9522B">
              <w:rPr>
                <w:rFonts w:eastAsiaTheme="minorEastAsia"/>
                <w:kern w:val="0"/>
                <w:szCs w:val="21"/>
              </w:rPr>
              <w:t>灌溉方式</w:t>
            </w:r>
          </w:p>
        </w:tc>
        <w:tc>
          <w:tcPr>
            <w:tcW w:w="813" w:type="pct"/>
            <w:vAlign w:val="center"/>
          </w:tcPr>
          <w:p w:rsidR="002A5A5E" w:rsidRPr="00F9522B" w:rsidRDefault="00611CBA">
            <w:pPr>
              <w:widowControl/>
              <w:jc w:val="center"/>
              <w:textAlignment w:val="center"/>
              <w:rPr>
                <w:rFonts w:eastAsiaTheme="minorEastAsia"/>
                <w:szCs w:val="21"/>
              </w:rPr>
            </w:pPr>
            <w:r w:rsidRPr="00F9522B">
              <w:rPr>
                <w:rFonts w:eastAsiaTheme="minorEastAsia"/>
                <w:kern w:val="0"/>
                <w:szCs w:val="21"/>
              </w:rPr>
              <w:t>灌溉面积</w:t>
            </w:r>
          </w:p>
        </w:tc>
        <w:tc>
          <w:tcPr>
            <w:tcW w:w="914" w:type="pct"/>
            <w:vAlign w:val="center"/>
          </w:tcPr>
          <w:p w:rsidR="002A5A5E" w:rsidRPr="00F9522B" w:rsidRDefault="00611CBA">
            <w:pPr>
              <w:widowControl/>
              <w:jc w:val="center"/>
              <w:textAlignment w:val="center"/>
              <w:rPr>
                <w:rFonts w:eastAsiaTheme="minorEastAsia"/>
                <w:szCs w:val="21"/>
              </w:rPr>
            </w:pPr>
            <w:r w:rsidRPr="00F9522B">
              <w:rPr>
                <w:rFonts w:eastAsiaTheme="minorEastAsia"/>
                <w:kern w:val="0"/>
                <w:szCs w:val="21"/>
              </w:rPr>
              <w:t>灌溉净定额</w:t>
            </w:r>
          </w:p>
        </w:tc>
        <w:tc>
          <w:tcPr>
            <w:tcW w:w="813" w:type="pct"/>
            <w:vMerge w:val="restart"/>
            <w:vAlign w:val="center"/>
          </w:tcPr>
          <w:p w:rsidR="002A5A5E" w:rsidRPr="00F9522B" w:rsidRDefault="00611CBA">
            <w:pPr>
              <w:widowControl/>
              <w:jc w:val="center"/>
              <w:textAlignment w:val="center"/>
              <w:rPr>
                <w:rFonts w:eastAsiaTheme="minorEastAsia"/>
                <w:szCs w:val="21"/>
              </w:rPr>
            </w:pPr>
            <w:r w:rsidRPr="00F9522B">
              <w:rPr>
                <w:rFonts w:eastAsiaTheme="minorEastAsia"/>
                <w:kern w:val="0"/>
                <w:szCs w:val="21"/>
              </w:rPr>
              <w:t>灌溉水利用系数</w:t>
            </w:r>
          </w:p>
        </w:tc>
        <w:tc>
          <w:tcPr>
            <w:tcW w:w="840" w:type="pct"/>
            <w:vAlign w:val="center"/>
          </w:tcPr>
          <w:p w:rsidR="002A5A5E" w:rsidRPr="00F9522B" w:rsidRDefault="00611CBA">
            <w:pPr>
              <w:widowControl/>
              <w:jc w:val="center"/>
              <w:textAlignment w:val="center"/>
              <w:rPr>
                <w:rFonts w:eastAsiaTheme="minorEastAsia"/>
                <w:szCs w:val="21"/>
              </w:rPr>
            </w:pPr>
            <w:r w:rsidRPr="00F9522B">
              <w:rPr>
                <w:rFonts w:eastAsiaTheme="minorEastAsia"/>
                <w:kern w:val="0"/>
                <w:szCs w:val="21"/>
              </w:rPr>
              <w:t>取水量</w:t>
            </w:r>
          </w:p>
        </w:tc>
      </w:tr>
      <w:tr w:rsidR="002A5A5E" w:rsidRPr="00F9522B">
        <w:trPr>
          <w:trHeight w:val="161"/>
        </w:trPr>
        <w:tc>
          <w:tcPr>
            <w:tcW w:w="808" w:type="pct"/>
            <w:vMerge/>
            <w:vAlign w:val="center"/>
          </w:tcPr>
          <w:p w:rsidR="002A5A5E" w:rsidRPr="00F9522B" w:rsidRDefault="002A5A5E">
            <w:pPr>
              <w:widowControl/>
              <w:jc w:val="center"/>
              <w:rPr>
                <w:rFonts w:eastAsiaTheme="minorEastAsia"/>
                <w:szCs w:val="21"/>
              </w:rPr>
            </w:pPr>
          </w:p>
        </w:tc>
        <w:tc>
          <w:tcPr>
            <w:tcW w:w="811" w:type="pct"/>
            <w:vMerge/>
            <w:vAlign w:val="center"/>
          </w:tcPr>
          <w:p w:rsidR="002A5A5E" w:rsidRPr="00F9522B" w:rsidRDefault="002A5A5E">
            <w:pPr>
              <w:widowControl/>
              <w:jc w:val="center"/>
              <w:rPr>
                <w:rFonts w:eastAsiaTheme="minorEastAsia"/>
                <w:szCs w:val="21"/>
              </w:rPr>
            </w:pPr>
          </w:p>
        </w:tc>
        <w:tc>
          <w:tcPr>
            <w:tcW w:w="813" w:type="pct"/>
            <w:vAlign w:val="center"/>
          </w:tcPr>
          <w:p w:rsidR="002A5A5E" w:rsidRPr="00F9522B" w:rsidRDefault="00611CBA">
            <w:pPr>
              <w:widowControl/>
              <w:jc w:val="center"/>
              <w:textAlignment w:val="center"/>
              <w:rPr>
                <w:rFonts w:eastAsiaTheme="minorEastAsia"/>
                <w:szCs w:val="21"/>
              </w:rPr>
            </w:pPr>
            <w:r w:rsidRPr="00F9522B">
              <w:rPr>
                <w:rFonts w:eastAsiaTheme="minorEastAsia"/>
                <w:kern w:val="0"/>
                <w:szCs w:val="21"/>
              </w:rPr>
              <w:t>（万亩）</w:t>
            </w:r>
          </w:p>
        </w:tc>
        <w:tc>
          <w:tcPr>
            <w:tcW w:w="914" w:type="pct"/>
            <w:vAlign w:val="center"/>
          </w:tcPr>
          <w:p w:rsidR="002A5A5E" w:rsidRPr="00F9522B" w:rsidRDefault="00611CBA">
            <w:pPr>
              <w:widowControl/>
              <w:jc w:val="center"/>
              <w:textAlignment w:val="center"/>
              <w:rPr>
                <w:rFonts w:eastAsiaTheme="minorEastAsia"/>
                <w:szCs w:val="21"/>
              </w:rPr>
            </w:pPr>
            <w:r w:rsidRPr="00F9522B">
              <w:rPr>
                <w:rFonts w:eastAsiaTheme="minorEastAsia"/>
                <w:kern w:val="0"/>
                <w:szCs w:val="21"/>
              </w:rPr>
              <w:t>m</w:t>
            </w:r>
            <w:r w:rsidRPr="00F9522B">
              <w:rPr>
                <w:rFonts w:eastAsiaTheme="minorEastAsia"/>
                <w:kern w:val="0"/>
                <w:szCs w:val="21"/>
                <w:vertAlign w:val="superscript"/>
              </w:rPr>
              <w:t>3</w:t>
            </w:r>
            <w:r w:rsidRPr="00F9522B">
              <w:rPr>
                <w:rFonts w:eastAsiaTheme="minorEastAsia"/>
                <w:kern w:val="0"/>
                <w:szCs w:val="21"/>
              </w:rPr>
              <w:t>/</w:t>
            </w:r>
            <w:r w:rsidRPr="00F9522B">
              <w:rPr>
                <w:rFonts w:eastAsiaTheme="minorEastAsia"/>
                <w:kern w:val="0"/>
                <w:szCs w:val="21"/>
              </w:rPr>
              <w:t>亩</w:t>
            </w:r>
          </w:p>
        </w:tc>
        <w:tc>
          <w:tcPr>
            <w:tcW w:w="813" w:type="pct"/>
            <w:vMerge/>
            <w:vAlign w:val="center"/>
          </w:tcPr>
          <w:p w:rsidR="002A5A5E" w:rsidRPr="00F9522B" w:rsidRDefault="002A5A5E">
            <w:pPr>
              <w:widowControl/>
              <w:jc w:val="center"/>
              <w:rPr>
                <w:rFonts w:eastAsiaTheme="minorEastAsia"/>
                <w:szCs w:val="21"/>
              </w:rPr>
            </w:pPr>
          </w:p>
        </w:tc>
        <w:tc>
          <w:tcPr>
            <w:tcW w:w="840" w:type="pct"/>
            <w:vAlign w:val="center"/>
          </w:tcPr>
          <w:p w:rsidR="002A5A5E" w:rsidRPr="00F9522B" w:rsidRDefault="00611CBA">
            <w:pPr>
              <w:widowControl/>
              <w:jc w:val="center"/>
              <w:textAlignment w:val="center"/>
              <w:rPr>
                <w:rFonts w:eastAsiaTheme="minorEastAsia"/>
                <w:szCs w:val="21"/>
              </w:rPr>
            </w:pPr>
            <w:r w:rsidRPr="00F9522B">
              <w:rPr>
                <w:rFonts w:eastAsiaTheme="minorEastAsia"/>
                <w:kern w:val="0"/>
                <w:szCs w:val="21"/>
              </w:rPr>
              <w:t>（万</w:t>
            </w:r>
            <w:r w:rsidRPr="00F9522B">
              <w:rPr>
                <w:rFonts w:eastAsiaTheme="minorEastAsia"/>
                <w:kern w:val="0"/>
                <w:szCs w:val="21"/>
              </w:rPr>
              <w:t>m</w:t>
            </w:r>
            <w:r w:rsidRPr="00F9522B">
              <w:rPr>
                <w:rFonts w:eastAsiaTheme="minorEastAsia"/>
                <w:kern w:val="0"/>
                <w:szCs w:val="21"/>
                <w:vertAlign w:val="superscript"/>
              </w:rPr>
              <w:t>3</w:t>
            </w:r>
            <w:r w:rsidRPr="00F9522B">
              <w:rPr>
                <w:rFonts w:eastAsiaTheme="minorEastAsia"/>
                <w:kern w:val="0"/>
                <w:szCs w:val="21"/>
              </w:rPr>
              <w:t>）</w:t>
            </w:r>
          </w:p>
        </w:tc>
      </w:tr>
      <w:tr w:rsidR="002A5A5E" w:rsidRPr="00F9522B">
        <w:trPr>
          <w:trHeight w:val="302"/>
        </w:trPr>
        <w:tc>
          <w:tcPr>
            <w:tcW w:w="808" w:type="pct"/>
            <w:noWrap/>
            <w:vAlign w:val="center"/>
          </w:tcPr>
          <w:p w:rsidR="002A5A5E" w:rsidRPr="00F9522B" w:rsidRDefault="00611CBA">
            <w:pPr>
              <w:widowControl/>
              <w:jc w:val="center"/>
              <w:textAlignment w:val="center"/>
              <w:rPr>
                <w:rFonts w:eastAsiaTheme="minorEastAsia"/>
                <w:szCs w:val="21"/>
              </w:rPr>
            </w:pPr>
            <w:r w:rsidRPr="00F9522B">
              <w:rPr>
                <w:rFonts w:eastAsiaTheme="minorEastAsia"/>
                <w:kern w:val="0"/>
                <w:szCs w:val="21"/>
              </w:rPr>
              <w:t>地下水</w:t>
            </w:r>
          </w:p>
        </w:tc>
        <w:tc>
          <w:tcPr>
            <w:tcW w:w="811" w:type="pct"/>
            <w:noWrap/>
            <w:vAlign w:val="center"/>
          </w:tcPr>
          <w:p w:rsidR="002A5A5E" w:rsidRPr="00F9522B" w:rsidRDefault="00611CBA">
            <w:pPr>
              <w:widowControl/>
              <w:jc w:val="center"/>
              <w:textAlignment w:val="center"/>
              <w:rPr>
                <w:rFonts w:eastAsiaTheme="minorEastAsia"/>
                <w:szCs w:val="21"/>
              </w:rPr>
            </w:pPr>
            <w:r w:rsidRPr="00F9522B">
              <w:rPr>
                <w:rFonts w:eastAsiaTheme="minorEastAsia"/>
                <w:kern w:val="0"/>
                <w:szCs w:val="21"/>
              </w:rPr>
              <w:t>井灌</w:t>
            </w:r>
          </w:p>
        </w:tc>
        <w:tc>
          <w:tcPr>
            <w:tcW w:w="813" w:type="pct"/>
            <w:noWrap/>
            <w:vAlign w:val="center"/>
          </w:tcPr>
          <w:p w:rsidR="002A5A5E" w:rsidRPr="00F9522B" w:rsidRDefault="00AC2B7A">
            <w:pPr>
              <w:widowControl/>
              <w:jc w:val="center"/>
              <w:textAlignment w:val="center"/>
              <w:rPr>
                <w:rFonts w:eastAsiaTheme="minorEastAsia"/>
                <w:szCs w:val="21"/>
              </w:rPr>
            </w:pPr>
            <w:r w:rsidRPr="00F9522B">
              <w:rPr>
                <w:rFonts w:eastAsiaTheme="minorEastAsia"/>
                <w:kern w:val="0"/>
                <w:szCs w:val="21"/>
              </w:rPr>
              <w:t>1.16</w:t>
            </w:r>
          </w:p>
        </w:tc>
        <w:tc>
          <w:tcPr>
            <w:tcW w:w="914" w:type="pct"/>
            <w:vAlign w:val="center"/>
          </w:tcPr>
          <w:p w:rsidR="002A5A5E" w:rsidRPr="00F9522B" w:rsidRDefault="00611CBA">
            <w:pPr>
              <w:widowControl/>
              <w:jc w:val="center"/>
              <w:textAlignment w:val="center"/>
              <w:rPr>
                <w:rFonts w:eastAsiaTheme="minorEastAsia"/>
                <w:szCs w:val="21"/>
              </w:rPr>
            </w:pPr>
            <w:r w:rsidRPr="00F9522B">
              <w:rPr>
                <w:rFonts w:eastAsiaTheme="minorEastAsia"/>
                <w:kern w:val="0"/>
                <w:szCs w:val="21"/>
              </w:rPr>
              <w:t>54</w:t>
            </w:r>
          </w:p>
        </w:tc>
        <w:tc>
          <w:tcPr>
            <w:tcW w:w="813" w:type="pct"/>
            <w:noWrap/>
            <w:vAlign w:val="center"/>
          </w:tcPr>
          <w:p w:rsidR="002A5A5E" w:rsidRPr="00F9522B" w:rsidRDefault="00611CBA">
            <w:pPr>
              <w:widowControl/>
              <w:jc w:val="center"/>
              <w:textAlignment w:val="center"/>
              <w:rPr>
                <w:rFonts w:eastAsiaTheme="minorEastAsia"/>
                <w:szCs w:val="21"/>
              </w:rPr>
            </w:pPr>
            <w:r w:rsidRPr="00F9522B">
              <w:rPr>
                <w:rFonts w:eastAsiaTheme="minorEastAsia"/>
                <w:kern w:val="0"/>
                <w:szCs w:val="21"/>
              </w:rPr>
              <w:t>0.87</w:t>
            </w:r>
          </w:p>
        </w:tc>
        <w:tc>
          <w:tcPr>
            <w:tcW w:w="840" w:type="pct"/>
            <w:noWrap/>
            <w:vAlign w:val="center"/>
          </w:tcPr>
          <w:p w:rsidR="002A5A5E" w:rsidRPr="00F9522B" w:rsidRDefault="00AC2B7A">
            <w:pPr>
              <w:widowControl/>
              <w:jc w:val="center"/>
              <w:textAlignment w:val="center"/>
              <w:rPr>
                <w:rFonts w:eastAsiaTheme="minorEastAsia"/>
                <w:szCs w:val="21"/>
              </w:rPr>
            </w:pPr>
            <w:r w:rsidRPr="00F9522B">
              <w:rPr>
                <w:rFonts w:eastAsiaTheme="minorEastAsia"/>
                <w:kern w:val="0"/>
                <w:szCs w:val="21"/>
              </w:rPr>
              <w:t>72</w:t>
            </w:r>
          </w:p>
        </w:tc>
      </w:tr>
    </w:tbl>
    <w:p w:rsidR="002A5A5E" w:rsidRPr="00F9522B" w:rsidRDefault="00611CBA">
      <w:pPr>
        <w:pStyle w:val="aaa"/>
        <w:spacing w:line="360" w:lineRule="auto"/>
        <w:ind w:firstLine="480"/>
        <w:rPr>
          <w:rFonts w:eastAsiaTheme="minorEastAsia" w:hAnsi="Times New Roman"/>
        </w:rPr>
      </w:pPr>
      <w:r w:rsidRPr="00F9522B">
        <w:rPr>
          <w:rFonts w:eastAsiaTheme="minorEastAsia" w:hAnsi="Times New Roman"/>
        </w:rPr>
        <w:t>（</w:t>
      </w:r>
      <w:r w:rsidRPr="00F9522B">
        <w:rPr>
          <w:rFonts w:eastAsiaTheme="minorEastAsia" w:hAnsi="Times New Roman"/>
        </w:rPr>
        <w:t>3</w:t>
      </w:r>
      <w:r w:rsidRPr="00F9522B">
        <w:rPr>
          <w:rFonts w:eastAsiaTheme="minorEastAsia" w:hAnsi="Times New Roman"/>
        </w:rPr>
        <w:t>）排水工程</w:t>
      </w:r>
    </w:p>
    <w:p w:rsidR="002A5A5E" w:rsidRPr="00F9522B" w:rsidRDefault="00142C81">
      <w:pPr>
        <w:widowControl/>
        <w:spacing w:line="360" w:lineRule="auto"/>
        <w:ind w:firstLineChars="200" w:firstLine="480"/>
        <w:rPr>
          <w:rFonts w:eastAsiaTheme="minorEastAsia"/>
          <w:sz w:val="24"/>
        </w:rPr>
      </w:pPr>
      <w:r w:rsidRPr="00F9522B">
        <w:rPr>
          <w:rFonts w:eastAsiaTheme="minorEastAsia"/>
          <w:sz w:val="24"/>
        </w:rPr>
        <w:t>项目区排水工程已基本形成规模，项目区西部排水通过原有沟汇入公家沟，</w:t>
      </w:r>
      <w:r w:rsidRPr="00F9522B">
        <w:rPr>
          <w:sz w:val="24"/>
        </w:rPr>
        <w:t>设有</w:t>
      </w:r>
      <w:r w:rsidRPr="00F9522B">
        <w:rPr>
          <w:sz w:val="24"/>
        </w:rPr>
        <w:t>3</w:t>
      </w:r>
      <w:r w:rsidRPr="00F9522B">
        <w:rPr>
          <w:sz w:val="24"/>
        </w:rPr>
        <w:t>个农田退水口（</w:t>
      </w:r>
      <w:r w:rsidRPr="00F9522B">
        <w:rPr>
          <w:kern w:val="0"/>
          <w:sz w:val="24"/>
        </w:rPr>
        <w:t>农业排口</w:t>
      </w:r>
      <w:r w:rsidRPr="00F9522B">
        <w:rPr>
          <w:sz w:val="24"/>
        </w:rPr>
        <w:t>），</w:t>
      </w:r>
      <w:r w:rsidRPr="00F9522B">
        <w:rPr>
          <w:rFonts w:eastAsiaTheme="minorEastAsia"/>
          <w:sz w:val="24"/>
        </w:rPr>
        <w:t>最终汇入松花江，承泄区为松花江。项目区</w:t>
      </w:r>
      <w:r w:rsidRPr="00F9522B">
        <w:rPr>
          <w:rFonts w:eastAsiaTheme="minorEastAsia"/>
          <w:sz w:val="24"/>
        </w:rPr>
        <w:lastRenderedPageBreak/>
        <w:t>东部排水汇入原有沟，</w:t>
      </w:r>
      <w:r w:rsidRPr="00F9522B">
        <w:rPr>
          <w:sz w:val="24"/>
        </w:rPr>
        <w:t>设有</w:t>
      </w:r>
      <w:r w:rsidRPr="00F9522B">
        <w:rPr>
          <w:sz w:val="24"/>
        </w:rPr>
        <w:t>1</w:t>
      </w:r>
      <w:r w:rsidRPr="00F9522B">
        <w:rPr>
          <w:sz w:val="24"/>
        </w:rPr>
        <w:t>个农田退水口（</w:t>
      </w:r>
      <w:r w:rsidRPr="00F9522B">
        <w:rPr>
          <w:kern w:val="0"/>
          <w:sz w:val="24"/>
        </w:rPr>
        <w:t>农业排口</w:t>
      </w:r>
      <w:r w:rsidRPr="00F9522B">
        <w:rPr>
          <w:sz w:val="24"/>
        </w:rPr>
        <w:t>），</w:t>
      </w:r>
      <w:r w:rsidRPr="00F9522B">
        <w:rPr>
          <w:rFonts w:eastAsiaTheme="minorEastAsia"/>
          <w:sz w:val="24"/>
        </w:rPr>
        <w:t>最终承泄区为漂河。片区内排水承泄区为松花江及漂河</w:t>
      </w:r>
      <w:r w:rsidR="00611CBA" w:rsidRPr="00F9522B">
        <w:rPr>
          <w:kern w:val="0"/>
          <w:sz w:val="24"/>
        </w:rPr>
        <w:t>。本项目现有入河排污口暂未进行审批登记。退水口位置见图</w:t>
      </w:r>
      <w:r w:rsidR="00611CBA" w:rsidRPr="00F9522B">
        <w:rPr>
          <w:kern w:val="0"/>
          <w:sz w:val="24"/>
        </w:rPr>
        <w:t>4-3-1</w:t>
      </w:r>
      <w:r w:rsidR="00611CBA" w:rsidRPr="00F9522B">
        <w:rPr>
          <w:kern w:val="0"/>
          <w:sz w:val="24"/>
        </w:rPr>
        <w:t>。</w:t>
      </w:r>
    </w:p>
    <w:p w:rsidR="002A5A5E" w:rsidRPr="00F9522B" w:rsidRDefault="00611CBA">
      <w:pPr>
        <w:keepNext/>
        <w:keepLines/>
        <w:spacing w:before="100" w:beforeAutospacing="1" w:after="100" w:afterAutospacing="1"/>
        <w:outlineLvl w:val="2"/>
        <w:rPr>
          <w:rFonts w:eastAsiaTheme="minorEastAsia"/>
          <w:b/>
          <w:sz w:val="28"/>
          <w:szCs w:val="28"/>
        </w:rPr>
      </w:pPr>
      <w:r w:rsidRPr="00F9522B">
        <w:rPr>
          <w:rFonts w:eastAsiaTheme="minorEastAsia"/>
          <w:b/>
          <w:sz w:val="28"/>
          <w:szCs w:val="28"/>
        </w:rPr>
        <w:t>3.1.2</w:t>
      </w:r>
      <w:r w:rsidRPr="00F9522B">
        <w:rPr>
          <w:rFonts w:eastAsiaTheme="minorEastAsia"/>
          <w:b/>
          <w:sz w:val="28"/>
          <w:szCs w:val="28"/>
        </w:rPr>
        <w:t>工程区内现有工程现状</w:t>
      </w:r>
    </w:p>
    <w:p w:rsidR="002A5A5E" w:rsidRPr="00F9522B" w:rsidRDefault="00611CBA">
      <w:pPr>
        <w:widowControl/>
        <w:spacing w:line="360" w:lineRule="auto"/>
        <w:ind w:firstLineChars="200" w:firstLine="480"/>
        <w:rPr>
          <w:rFonts w:eastAsiaTheme="minorEastAsia"/>
          <w:kern w:val="0"/>
          <w:sz w:val="24"/>
        </w:rPr>
      </w:pPr>
      <w:r w:rsidRPr="00F9522B">
        <w:rPr>
          <w:rFonts w:eastAsiaTheme="minorEastAsia"/>
          <w:sz w:val="24"/>
        </w:rPr>
        <w:t>机电井：项目区土地以耕地为主，耕地种植以粮食为重点，玉米种植方式采用地下水坐水种，旱田、水田灌溉方式均为地下水井灌。项目区现有农业灌溉机电井</w:t>
      </w:r>
      <w:r w:rsidR="004403AE" w:rsidRPr="00F9522B">
        <w:rPr>
          <w:rFonts w:eastAsiaTheme="minorEastAsia"/>
          <w:sz w:val="24"/>
        </w:rPr>
        <w:t>174</w:t>
      </w:r>
      <w:r w:rsidRPr="00F9522B">
        <w:rPr>
          <w:rFonts w:eastAsiaTheme="minorEastAsia"/>
          <w:sz w:val="24"/>
        </w:rPr>
        <w:t>眼，现有机井运行状况良好，井深</w:t>
      </w:r>
      <w:r w:rsidRPr="00F9522B">
        <w:rPr>
          <w:rFonts w:eastAsiaTheme="minorEastAsia"/>
          <w:sz w:val="24"/>
        </w:rPr>
        <w:t>40-83m</w:t>
      </w:r>
      <w:r w:rsidRPr="00F9522B">
        <w:rPr>
          <w:rFonts w:eastAsiaTheme="minorEastAsia"/>
          <w:sz w:val="24"/>
        </w:rPr>
        <w:t>，单井出水量</w:t>
      </w:r>
      <w:r w:rsidR="00A575CC" w:rsidRPr="00F9522B">
        <w:rPr>
          <w:rFonts w:eastAsiaTheme="minorEastAsia"/>
          <w:sz w:val="24"/>
        </w:rPr>
        <w:t>30</w:t>
      </w:r>
      <w:r w:rsidRPr="00F9522B">
        <w:rPr>
          <w:rFonts w:eastAsiaTheme="minorEastAsia"/>
          <w:sz w:val="24"/>
        </w:rPr>
        <w:t>m³/h</w:t>
      </w:r>
      <w:r w:rsidRPr="00F9522B">
        <w:rPr>
          <w:rFonts w:eastAsiaTheme="minorEastAsia"/>
          <w:sz w:val="24"/>
        </w:rPr>
        <w:t>，取水层为</w:t>
      </w:r>
      <w:r w:rsidR="0079178B" w:rsidRPr="00F9522B">
        <w:rPr>
          <w:rFonts w:eastAsiaTheme="minorEastAsia"/>
          <w:sz w:val="24"/>
        </w:rPr>
        <w:t>承压水</w:t>
      </w:r>
      <w:r w:rsidRPr="00F9522B">
        <w:rPr>
          <w:rFonts w:eastAsiaTheme="minorEastAsia"/>
          <w:sz w:val="24"/>
        </w:rPr>
        <w:t>。井管均为钢管，现有农业灌溉机电井均为种植户自发建设，后期维护均由种植户自行承担解决，费用较高。春季干旱时旱作地区仅部分实施了坐水种灌溉，地下水开采率不足</w:t>
      </w:r>
      <w:r w:rsidRPr="00F9522B">
        <w:rPr>
          <w:rFonts w:eastAsiaTheme="minorEastAsia"/>
          <w:sz w:val="24"/>
        </w:rPr>
        <w:t>50%</w:t>
      </w:r>
      <w:r w:rsidRPr="00F9522B">
        <w:rPr>
          <w:rFonts w:eastAsiaTheme="minorEastAsia"/>
          <w:sz w:val="24"/>
        </w:rPr>
        <w:t>，水田区由于基础设施薄弱，起井费用较大，严重影响农民增收。干旱制约着农业生产健康发展，投入能力不足，基础设施薄弱，水源开发不到位，农业生产和农业经济稳定性发展保障力不强，不能完全解决靠天吃饭的状态，作物产量没有保障，旱作区急需增加抗旱水源工程，水田区急需解决现有井配电问题</w:t>
      </w:r>
      <w:r w:rsidRPr="00F9522B">
        <w:rPr>
          <w:rFonts w:eastAsiaTheme="minorEastAsia"/>
          <w:kern w:val="0"/>
          <w:sz w:val="24"/>
        </w:rPr>
        <w:t>。</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田间灌溉渠道：根据当地的种植习惯，水田种植作物为水稻，由种植户自行利用原有地上渠，进行自流或二级提水灌溉，在干旱时期启用补水井。多年运行上游渠道跑漏水。水资源浪费严重，灌区无法发挥效益，项目区内渠道急需治理。</w:t>
      </w:r>
    </w:p>
    <w:p w:rsidR="002A5A5E" w:rsidRPr="00F9522B" w:rsidRDefault="00611CBA">
      <w:pPr>
        <w:widowControl/>
        <w:spacing w:line="360" w:lineRule="auto"/>
        <w:ind w:firstLineChars="200" w:firstLine="480"/>
        <w:rPr>
          <w:rFonts w:eastAsiaTheme="minorEastAsia"/>
          <w:sz w:val="24"/>
        </w:rPr>
      </w:pPr>
      <w:r w:rsidRPr="00F9522B">
        <w:rPr>
          <w:rFonts w:eastAsiaTheme="minorEastAsia"/>
          <w:sz w:val="24"/>
        </w:rPr>
        <w:t>建筑物：项目区内现有田间建筑物大多数为简易涵管，涵管直径一般在</w:t>
      </w:r>
      <w:r w:rsidR="00231C56" w:rsidRPr="00F9522B">
        <w:rPr>
          <w:rFonts w:eastAsiaTheme="minorEastAsia"/>
          <w:sz w:val="24"/>
        </w:rPr>
        <w:t>φ6</w:t>
      </w:r>
      <w:r w:rsidRPr="00F9522B">
        <w:rPr>
          <w:rFonts w:eastAsiaTheme="minorEastAsia"/>
          <w:sz w:val="24"/>
        </w:rPr>
        <w:t>0</w:t>
      </w:r>
      <w:r w:rsidRPr="00F9522B">
        <w:rPr>
          <w:rFonts w:eastAsiaTheme="minorEastAsia"/>
          <w:sz w:val="24"/>
        </w:rPr>
        <w:t>～</w:t>
      </w:r>
      <w:r w:rsidRPr="00F9522B">
        <w:rPr>
          <w:rFonts w:eastAsiaTheme="minorEastAsia"/>
          <w:sz w:val="24"/>
        </w:rPr>
        <w:t>φ100</w:t>
      </w:r>
      <w:r w:rsidRPr="00F9522B">
        <w:rPr>
          <w:rFonts w:eastAsiaTheme="minorEastAsia"/>
          <w:sz w:val="24"/>
        </w:rPr>
        <w:t>之间，洞径较小且部分破损严重无法继续使用，现有桥涵多为简易圆涵标准较低，不利于机耕，降低了农机作业效率，增加了生产经营成本，急需新建。本次规划对项目区内洞径较小不满足排水要求、破损严重不满足交通要求的涵洞进行拆除重建，新建后过路涵洞均为有基涵洞，保证项目区内交通、排水要求。</w:t>
      </w:r>
    </w:p>
    <w:p w:rsidR="002A5A5E" w:rsidRPr="00F9522B" w:rsidRDefault="00611CBA">
      <w:pPr>
        <w:widowControl/>
        <w:spacing w:line="360" w:lineRule="auto"/>
        <w:ind w:firstLineChars="200" w:firstLine="480"/>
        <w:rPr>
          <w:rFonts w:eastAsiaTheme="minorEastAsia"/>
          <w:sz w:val="24"/>
        </w:rPr>
      </w:pPr>
      <w:r w:rsidRPr="00F9522B">
        <w:rPr>
          <w:rFonts w:eastAsiaTheme="minorEastAsia"/>
          <w:sz w:val="24"/>
        </w:rPr>
        <w:t>交通：项目区内有村村通贯穿项目区，对外交通方便，项目区内路网也已基本形成，现状村村通水泥路面均为四级公路标准，满足项目建设交通和材料运输的要求。本次对项目区内村村通道路完全利用，这些道路是项目区对外交通重要保障。但现有田间道路标准较低、土路面、基本无路基，部分路段翻浆比较严重，宽度在</w:t>
      </w:r>
      <w:r w:rsidRPr="00F9522B">
        <w:rPr>
          <w:rFonts w:eastAsiaTheme="minorEastAsia"/>
          <w:sz w:val="24"/>
        </w:rPr>
        <w:t>3.5m</w:t>
      </w:r>
      <w:r w:rsidRPr="00F9522B">
        <w:rPr>
          <w:rFonts w:eastAsiaTheme="minorEastAsia"/>
          <w:sz w:val="24"/>
        </w:rPr>
        <w:t>～</w:t>
      </w:r>
      <w:r w:rsidRPr="00F9522B">
        <w:rPr>
          <w:rFonts w:eastAsiaTheme="minorEastAsia"/>
          <w:sz w:val="24"/>
        </w:rPr>
        <w:t>5.5m</w:t>
      </w:r>
      <w:r w:rsidRPr="00F9522B">
        <w:rPr>
          <w:rFonts w:eastAsiaTheme="minorEastAsia"/>
          <w:sz w:val="24"/>
        </w:rPr>
        <w:t>之间。项目区地势起伏跌宕，由于年久失修，多数道路破坏</w:t>
      </w:r>
      <w:r w:rsidRPr="00F9522B">
        <w:rPr>
          <w:rFonts w:eastAsiaTheme="minorEastAsia"/>
          <w:sz w:val="24"/>
        </w:rPr>
        <w:lastRenderedPageBreak/>
        <w:t>比较严重，加上道路不进行管护，破坏比较严重，路面排水，路面积水严重排水不畅，雨天泥泞难行，直接给农业生产、运输、经营造成影响，应对田间道路进行全面规划建设。</w:t>
      </w:r>
    </w:p>
    <w:p w:rsidR="002A5A5E" w:rsidRPr="00F9522B" w:rsidRDefault="00611CBA">
      <w:pPr>
        <w:widowControl/>
        <w:spacing w:line="360" w:lineRule="auto"/>
        <w:ind w:firstLineChars="200" w:firstLine="480"/>
        <w:rPr>
          <w:rFonts w:eastAsiaTheme="minorEastAsia"/>
          <w:sz w:val="24"/>
        </w:rPr>
      </w:pPr>
      <w:r w:rsidRPr="00F9522B">
        <w:rPr>
          <w:rFonts w:eastAsiaTheme="minorEastAsia"/>
          <w:sz w:val="24"/>
        </w:rPr>
        <w:t>电力设施：</w:t>
      </w:r>
      <w:bookmarkStart w:id="67" w:name="_Toc29328"/>
      <w:r w:rsidRPr="00F9522B">
        <w:rPr>
          <w:rFonts w:eastAsiaTheme="minorEastAsia"/>
          <w:sz w:val="24"/>
        </w:rPr>
        <w:t>项目区电力能满足农业生产、居民生活和农副产品加工的动力需求。用电由各乡镇供给，项目区内农村电网改造已基本完成，用电量可以满足，供电可靠</w:t>
      </w:r>
      <w:bookmarkEnd w:id="67"/>
      <w:r w:rsidRPr="00F9522B">
        <w:rPr>
          <w:rFonts w:eastAsiaTheme="minorEastAsia"/>
          <w:sz w:val="24"/>
        </w:rPr>
        <w:t>，并且能够满足项目区新打机电井的动力需求。</w:t>
      </w:r>
    </w:p>
    <w:p w:rsidR="002A5A5E" w:rsidRPr="00F9522B" w:rsidRDefault="00611CBA">
      <w:pPr>
        <w:widowControl/>
        <w:spacing w:line="360" w:lineRule="auto"/>
        <w:ind w:firstLineChars="200" w:firstLine="480"/>
        <w:rPr>
          <w:rFonts w:eastAsiaTheme="minorEastAsia"/>
          <w:sz w:val="24"/>
        </w:rPr>
      </w:pPr>
      <w:r w:rsidRPr="00F9522B">
        <w:rPr>
          <w:rFonts w:eastAsiaTheme="minorEastAsia"/>
          <w:sz w:val="24"/>
        </w:rPr>
        <w:t>农田防护设施：项目区内分布林地覆盖率达到</w:t>
      </w:r>
      <w:r w:rsidRPr="00F9522B">
        <w:rPr>
          <w:rFonts w:eastAsiaTheme="minorEastAsia"/>
          <w:sz w:val="24"/>
        </w:rPr>
        <w:t>2.71%</w:t>
      </w:r>
      <w:r w:rsidRPr="00F9522B">
        <w:rPr>
          <w:rFonts w:eastAsiaTheme="minorEastAsia"/>
          <w:sz w:val="24"/>
        </w:rPr>
        <w:t>，生态环境质量较好。经过多年建设，项目区农田防护林网体系较完善，防护林网覆盖率较高，能有效保护农田，防止风蚀。项目区内林木等植被覆盖率较高，生态环境质量较好。</w:t>
      </w:r>
    </w:p>
    <w:p w:rsidR="002A5A5E" w:rsidRPr="00F9522B" w:rsidRDefault="00611CBA">
      <w:pPr>
        <w:widowControl/>
        <w:spacing w:line="360" w:lineRule="auto"/>
        <w:ind w:firstLineChars="200" w:firstLine="480"/>
        <w:rPr>
          <w:rFonts w:eastAsiaTheme="minorEastAsia"/>
          <w:sz w:val="24"/>
        </w:rPr>
      </w:pPr>
      <w:r w:rsidRPr="00F9522B">
        <w:rPr>
          <w:rFonts w:eastAsiaTheme="minorEastAsia"/>
          <w:sz w:val="24"/>
        </w:rPr>
        <w:t>排水沟：项目区排水工程已基本形成规模，现状干沟运行较好，均达到十年一遇的设计标准。由于现状干沟道运行良好，本次规划尽量现有排水设施，不打乱原有排水现状，仅对有内涝现象区域进行排水沟清淤，以保证排水流畅。</w:t>
      </w:r>
    </w:p>
    <w:p w:rsidR="002A5A5E" w:rsidRPr="00F9522B" w:rsidRDefault="00611CBA">
      <w:pPr>
        <w:numPr>
          <w:ilvl w:val="2"/>
          <w:numId w:val="0"/>
        </w:numPr>
        <w:tabs>
          <w:tab w:val="left" w:pos="851"/>
        </w:tabs>
        <w:spacing w:line="360" w:lineRule="auto"/>
        <w:ind w:left="709" w:hanging="709"/>
        <w:outlineLvl w:val="2"/>
        <w:rPr>
          <w:rFonts w:eastAsiaTheme="minorEastAsia"/>
          <w:kern w:val="0"/>
          <w:sz w:val="24"/>
        </w:rPr>
      </w:pPr>
      <w:r w:rsidRPr="00F9522B">
        <w:rPr>
          <w:rFonts w:eastAsiaTheme="minorEastAsia"/>
          <w:b/>
          <w:sz w:val="28"/>
          <w:szCs w:val="28"/>
        </w:rPr>
        <w:t>3.1.3</w:t>
      </w:r>
      <w:r w:rsidRPr="00F9522B">
        <w:rPr>
          <w:rFonts w:eastAsiaTheme="minorEastAsia"/>
          <w:b/>
          <w:sz w:val="28"/>
          <w:szCs w:val="28"/>
        </w:rPr>
        <w:t>环境影响回顾性评价</w:t>
      </w:r>
    </w:p>
    <w:p w:rsidR="002A5A5E" w:rsidRPr="00F9522B" w:rsidRDefault="00611CBA">
      <w:pPr>
        <w:numPr>
          <w:ilvl w:val="3"/>
          <w:numId w:val="0"/>
        </w:numPr>
        <w:tabs>
          <w:tab w:val="left" w:pos="1134"/>
        </w:tabs>
        <w:spacing w:line="360" w:lineRule="auto"/>
        <w:ind w:left="851" w:hanging="851"/>
        <w:outlineLvl w:val="3"/>
        <w:rPr>
          <w:rFonts w:eastAsiaTheme="minorEastAsia"/>
          <w:kern w:val="0"/>
          <w:sz w:val="24"/>
          <w:szCs w:val="20"/>
        </w:rPr>
      </w:pPr>
      <w:r w:rsidRPr="00F9522B">
        <w:rPr>
          <w:rFonts w:eastAsiaTheme="minorEastAsia"/>
          <w:b/>
          <w:sz w:val="24"/>
        </w:rPr>
        <w:t>3.1.3.1</w:t>
      </w:r>
      <w:r w:rsidRPr="00F9522B">
        <w:rPr>
          <w:rFonts w:eastAsiaTheme="minorEastAsia"/>
          <w:b/>
          <w:sz w:val="24"/>
        </w:rPr>
        <w:t>原有工程环保手续履行情况</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项目区曾建设黑龙江省新增千亿斤粮食产能工程建设项目（呼兰区</w:t>
      </w:r>
      <w:r w:rsidRPr="00F9522B">
        <w:rPr>
          <w:rFonts w:eastAsiaTheme="minorEastAsia"/>
          <w:kern w:val="0"/>
          <w:sz w:val="24"/>
        </w:rPr>
        <w:t>2010</w:t>
      </w:r>
      <w:r w:rsidRPr="00F9522B">
        <w:rPr>
          <w:rFonts w:eastAsiaTheme="minorEastAsia"/>
          <w:kern w:val="0"/>
          <w:sz w:val="24"/>
        </w:rPr>
        <w:t>年）、黑龙江省农业综合开发土地治理项目（哈尔滨市呼兰区</w:t>
      </w:r>
      <w:r w:rsidRPr="00F9522B">
        <w:rPr>
          <w:rFonts w:eastAsiaTheme="minorEastAsia"/>
          <w:kern w:val="0"/>
          <w:sz w:val="24"/>
        </w:rPr>
        <w:t>2010</w:t>
      </w:r>
      <w:r w:rsidRPr="00F9522B">
        <w:rPr>
          <w:rFonts w:eastAsiaTheme="minorEastAsia"/>
          <w:kern w:val="0"/>
          <w:sz w:val="24"/>
        </w:rPr>
        <w:t>年）</w:t>
      </w:r>
      <w:r w:rsidR="00D14C52" w:rsidRPr="00F9522B">
        <w:rPr>
          <w:rFonts w:eastAsiaTheme="minorEastAsia"/>
          <w:kern w:val="0"/>
          <w:sz w:val="24"/>
        </w:rPr>
        <w:t>、黑龙江省农业综合开发土地治理项目（哈尔滨市呼兰区</w:t>
      </w:r>
      <w:r w:rsidR="00D14C52" w:rsidRPr="00F9522B">
        <w:rPr>
          <w:rFonts w:eastAsiaTheme="minorEastAsia"/>
          <w:kern w:val="0"/>
          <w:sz w:val="24"/>
        </w:rPr>
        <w:t>2013</w:t>
      </w:r>
      <w:r w:rsidR="00D14C52" w:rsidRPr="00F9522B">
        <w:rPr>
          <w:rFonts w:eastAsiaTheme="minorEastAsia"/>
          <w:kern w:val="0"/>
          <w:sz w:val="24"/>
        </w:rPr>
        <w:t>年）</w:t>
      </w:r>
      <w:r w:rsidRPr="00F9522B">
        <w:rPr>
          <w:rFonts w:eastAsiaTheme="minorEastAsia"/>
          <w:kern w:val="0"/>
          <w:sz w:val="24"/>
        </w:rPr>
        <w:t>、黑龙江省</w:t>
      </w:r>
      <w:r w:rsidRPr="00F9522B">
        <w:rPr>
          <w:rFonts w:eastAsiaTheme="minorEastAsia"/>
          <w:kern w:val="0"/>
          <w:sz w:val="24"/>
        </w:rPr>
        <w:t>“</w:t>
      </w:r>
      <w:r w:rsidRPr="00F9522B">
        <w:rPr>
          <w:rFonts w:eastAsiaTheme="minorEastAsia"/>
          <w:kern w:val="0"/>
          <w:sz w:val="24"/>
        </w:rPr>
        <w:t>节水增粮行动</w:t>
      </w:r>
      <w:r w:rsidRPr="00F9522B">
        <w:rPr>
          <w:rFonts w:eastAsiaTheme="minorEastAsia"/>
          <w:kern w:val="0"/>
          <w:sz w:val="24"/>
        </w:rPr>
        <w:t>”</w:t>
      </w:r>
      <w:r w:rsidRPr="00F9522B">
        <w:rPr>
          <w:rFonts w:eastAsiaTheme="minorEastAsia"/>
          <w:kern w:val="0"/>
          <w:sz w:val="24"/>
        </w:rPr>
        <w:t>建设项目（哈尔滨市呼兰区</w:t>
      </w:r>
      <w:r w:rsidRPr="00F9522B">
        <w:rPr>
          <w:rFonts w:eastAsiaTheme="minorEastAsia"/>
          <w:kern w:val="0"/>
          <w:sz w:val="24"/>
        </w:rPr>
        <w:t>201</w:t>
      </w:r>
      <w:r w:rsidR="00D14C52" w:rsidRPr="00F9522B">
        <w:rPr>
          <w:rFonts w:eastAsiaTheme="minorEastAsia"/>
          <w:kern w:val="0"/>
          <w:sz w:val="24"/>
        </w:rPr>
        <w:t>4</w:t>
      </w:r>
      <w:r w:rsidRPr="00F9522B">
        <w:rPr>
          <w:rFonts w:eastAsiaTheme="minorEastAsia"/>
          <w:kern w:val="0"/>
          <w:sz w:val="24"/>
        </w:rPr>
        <w:t>年度）、</w:t>
      </w:r>
      <w:r w:rsidR="00D14C52" w:rsidRPr="00F9522B">
        <w:rPr>
          <w:rFonts w:eastAsiaTheme="minorEastAsia"/>
          <w:kern w:val="0"/>
          <w:sz w:val="24"/>
        </w:rPr>
        <w:t>哈尔滨市呼兰区</w:t>
      </w:r>
      <w:r w:rsidR="00D14C52" w:rsidRPr="00F9522B">
        <w:rPr>
          <w:rFonts w:eastAsiaTheme="minorEastAsia"/>
          <w:kern w:val="0"/>
          <w:sz w:val="24"/>
        </w:rPr>
        <w:t>2015</w:t>
      </w:r>
      <w:r w:rsidR="00D14C52" w:rsidRPr="00F9522B">
        <w:rPr>
          <w:rFonts w:eastAsiaTheme="minorEastAsia"/>
          <w:kern w:val="0"/>
          <w:sz w:val="24"/>
        </w:rPr>
        <w:t>年粮食生产能力建设田间工程项目</w:t>
      </w:r>
      <w:r w:rsidRPr="00F9522B">
        <w:rPr>
          <w:rFonts w:eastAsiaTheme="minorEastAsia"/>
          <w:kern w:val="0"/>
          <w:sz w:val="24"/>
        </w:rPr>
        <w:t>、哈尔滨市呼兰区</w:t>
      </w:r>
      <w:r w:rsidRPr="00F9522B">
        <w:rPr>
          <w:rFonts w:eastAsiaTheme="minorEastAsia"/>
          <w:kern w:val="0"/>
          <w:sz w:val="24"/>
        </w:rPr>
        <w:t>2017</w:t>
      </w:r>
      <w:r w:rsidRPr="00F9522B">
        <w:rPr>
          <w:rFonts w:eastAsiaTheme="minorEastAsia"/>
          <w:kern w:val="0"/>
          <w:sz w:val="24"/>
        </w:rPr>
        <w:t>年高效节水灌溉项目、哈尔滨市呼兰区</w:t>
      </w:r>
      <w:r w:rsidRPr="00F9522B">
        <w:rPr>
          <w:rFonts w:eastAsiaTheme="minorEastAsia"/>
          <w:kern w:val="0"/>
          <w:sz w:val="24"/>
        </w:rPr>
        <w:t>2018</w:t>
      </w:r>
      <w:r w:rsidRPr="00F9522B">
        <w:rPr>
          <w:rFonts w:eastAsiaTheme="minorEastAsia"/>
          <w:kern w:val="0"/>
          <w:sz w:val="24"/>
        </w:rPr>
        <w:t>年高效节水灌溉项目。</w:t>
      </w:r>
      <w:r w:rsidRPr="00F9522B">
        <w:rPr>
          <w:sz w:val="24"/>
        </w:rPr>
        <w:t>与本项目建设片区各个施工地无相交工程。</w:t>
      </w:r>
    </w:p>
    <w:p w:rsidR="00DE64E8" w:rsidRPr="00F9522B" w:rsidRDefault="007333A9" w:rsidP="00DE64E8">
      <w:pPr>
        <w:spacing w:line="360" w:lineRule="auto"/>
        <w:ind w:firstLineChars="200" w:firstLine="480"/>
        <w:jc w:val="left"/>
        <w:rPr>
          <w:rFonts w:eastAsiaTheme="minorEastAsia"/>
          <w:kern w:val="0"/>
          <w:sz w:val="24"/>
        </w:rPr>
      </w:pPr>
      <w:r w:rsidRPr="00F9522B">
        <w:rPr>
          <w:sz w:val="24"/>
        </w:rPr>
        <w:t>哈尔滨市呼兰生态环境局于</w:t>
      </w:r>
      <w:r w:rsidRPr="00F9522B">
        <w:rPr>
          <w:sz w:val="24"/>
        </w:rPr>
        <w:t>2024</w:t>
      </w:r>
      <w:r w:rsidRPr="00F9522B">
        <w:rPr>
          <w:sz w:val="24"/>
        </w:rPr>
        <w:t>年</w:t>
      </w:r>
      <w:r w:rsidRPr="00F9522B">
        <w:rPr>
          <w:sz w:val="24"/>
        </w:rPr>
        <w:t>12</w:t>
      </w:r>
      <w:r w:rsidRPr="00F9522B">
        <w:rPr>
          <w:sz w:val="24"/>
        </w:rPr>
        <w:t>月</w:t>
      </w:r>
      <w:r w:rsidRPr="00F9522B">
        <w:rPr>
          <w:sz w:val="24"/>
        </w:rPr>
        <w:t>31</w:t>
      </w:r>
      <w:r w:rsidRPr="00F9522B">
        <w:rPr>
          <w:sz w:val="24"/>
        </w:rPr>
        <w:t>日以《关于呼兰区</w:t>
      </w:r>
      <w:r w:rsidRPr="00F9522B">
        <w:rPr>
          <w:sz w:val="24"/>
        </w:rPr>
        <w:t>2024</w:t>
      </w:r>
      <w:r w:rsidRPr="00F9522B">
        <w:rPr>
          <w:sz w:val="24"/>
        </w:rPr>
        <w:t>年高标准农田建设项目环境影响报告书的批复》（哈环呼审书【</w:t>
      </w:r>
      <w:r w:rsidRPr="00F9522B">
        <w:rPr>
          <w:sz w:val="24"/>
        </w:rPr>
        <w:t>2024</w:t>
      </w:r>
      <w:r w:rsidRPr="00F9522B">
        <w:rPr>
          <w:sz w:val="24"/>
        </w:rPr>
        <w:t>】</w:t>
      </w:r>
      <w:r w:rsidRPr="00F9522B">
        <w:rPr>
          <w:sz w:val="24"/>
        </w:rPr>
        <w:t>2</w:t>
      </w:r>
      <w:r w:rsidRPr="00F9522B">
        <w:rPr>
          <w:sz w:val="24"/>
        </w:rPr>
        <w:t>号）对</w:t>
      </w:r>
      <w:r w:rsidRPr="00F9522B">
        <w:rPr>
          <w:sz w:val="24"/>
        </w:rPr>
        <w:t>2024</w:t>
      </w:r>
      <w:r w:rsidRPr="00F9522B">
        <w:rPr>
          <w:sz w:val="24"/>
        </w:rPr>
        <w:t>年呼兰区高标准农田建设项目进行环评批复。于</w:t>
      </w:r>
      <w:r w:rsidRPr="00F9522B">
        <w:rPr>
          <w:sz w:val="24"/>
        </w:rPr>
        <w:t>2025</w:t>
      </w:r>
      <w:r w:rsidRPr="00F9522B">
        <w:rPr>
          <w:sz w:val="24"/>
        </w:rPr>
        <w:t>年</w:t>
      </w:r>
      <w:r w:rsidRPr="00F9522B">
        <w:rPr>
          <w:sz w:val="24"/>
        </w:rPr>
        <w:t>12</w:t>
      </w:r>
      <w:r w:rsidRPr="00F9522B">
        <w:rPr>
          <w:sz w:val="24"/>
        </w:rPr>
        <w:t>月</w:t>
      </w:r>
      <w:r w:rsidRPr="00F9522B">
        <w:rPr>
          <w:sz w:val="24"/>
        </w:rPr>
        <w:t>23</w:t>
      </w:r>
      <w:r w:rsidRPr="00F9522B">
        <w:rPr>
          <w:sz w:val="24"/>
        </w:rPr>
        <w:t>日以《关于呼兰区</w:t>
      </w:r>
      <w:r w:rsidRPr="00F9522B">
        <w:rPr>
          <w:sz w:val="24"/>
        </w:rPr>
        <w:t>2025</w:t>
      </w:r>
      <w:r w:rsidRPr="00F9522B">
        <w:rPr>
          <w:sz w:val="24"/>
        </w:rPr>
        <w:t>年高标准农田建设项目环境影响报告书的批复》（哈环呼审书【</w:t>
      </w:r>
      <w:r w:rsidRPr="00F9522B">
        <w:rPr>
          <w:sz w:val="24"/>
        </w:rPr>
        <w:t>2025</w:t>
      </w:r>
      <w:r w:rsidRPr="00F9522B">
        <w:rPr>
          <w:sz w:val="24"/>
        </w:rPr>
        <w:t>】</w:t>
      </w:r>
      <w:r w:rsidRPr="00F9522B">
        <w:rPr>
          <w:sz w:val="24"/>
        </w:rPr>
        <w:t>25</w:t>
      </w:r>
      <w:r w:rsidRPr="00F9522B">
        <w:rPr>
          <w:sz w:val="24"/>
        </w:rPr>
        <w:t>号）对</w:t>
      </w:r>
      <w:r w:rsidRPr="00F9522B">
        <w:rPr>
          <w:sz w:val="24"/>
        </w:rPr>
        <w:t>2025</w:t>
      </w:r>
      <w:r w:rsidRPr="00F9522B">
        <w:rPr>
          <w:sz w:val="24"/>
        </w:rPr>
        <w:t>年呼兰区高标准农田建设项目进行环评批复</w:t>
      </w:r>
      <w:r w:rsidR="00611CBA" w:rsidRPr="00F9522B">
        <w:rPr>
          <w:sz w:val="24"/>
        </w:rPr>
        <w:t>。暂未进行环保验收，</w:t>
      </w:r>
      <w:r w:rsidR="00611CBA" w:rsidRPr="00F9522B">
        <w:rPr>
          <w:color w:val="FF0000"/>
          <w:sz w:val="24"/>
        </w:rPr>
        <w:t>本项目与</w:t>
      </w:r>
      <w:r w:rsidR="00611CBA" w:rsidRPr="00F9522B">
        <w:rPr>
          <w:color w:val="FF0000"/>
          <w:sz w:val="24"/>
        </w:rPr>
        <w:t>2024</w:t>
      </w:r>
      <w:r w:rsidR="00A575CC" w:rsidRPr="00F9522B">
        <w:rPr>
          <w:color w:val="FF0000"/>
          <w:sz w:val="24"/>
        </w:rPr>
        <w:t>年</w:t>
      </w:r>
      <w:r w:rsidRPr="00F9522B">
        <w:rPr>
          <w:color w:val="FF0000"/>
          <w:sz w:val="24"/>
        </w:rPr>
        <w:t>、</w:t>
      </w:r>
      <w:r w:rsidRPr="00F9522B">
        <w:rPr>
          <w:color w:val="FF0000"/>
          <w:sz w:val="24"/>
        </w:rPr>
        <w:t>2025</w:t>
      </w:r>
      <w:r w:rsidRPr="00F9522B">
        <w:rPr>
          <w:color w:val="FF0000"/>
          <w:sz w:val="24"/>
        </w:rPr>
        <w:t>年</w:t>
      </w:r>
      <w:r w:rsidR="00A575CC" w:rsidRPr="00F9522B">
        <w:rPr>
          <w:color w:val="FF0000"/>
          <w:sz w:val="24"/>
        </w:rPr>
        <w:t>高标准农田建设项目不存在</w:t>
      </w:r>
      <w:r w:rsidR="00611CBA" w:rsidRPr="00F9522B">
        <w:rPr>
          <w:color w:val="FF0000"/>
          <w:sz w:val="24"/>
        </w:rPr>
        <w:t>工程</w:t>
      </w:r>
      <w:r w:rsidR="008004FE" w:rsidRPr="00F9522B">
        <w:rPr>
          <w:color w:val="FF0000"/>
          <w:sz w:val="24"/>
        </w:rPr>
        <w:t>内容</w:t>
      </w:r>
      <w:r w:rsidR="00A575CC" w:rsidRPr="00F9522B">
        <w:rPr>
          <w:color w:val="FF0000"/>
          <w:sz w:val="24"/>
        </w:rPr>
        <w:t>重叠区</w:t>
      </w:r>
      <w:r w:rsidR="00611CBA" w:rsidRPr="00F9522B">
        <w:rPr>
          <w:color w:val="FF0000"/>
          <w:sz w:val="24"/>
        </w:rPr>
        <w:t>。</w:t>
      </w:r>
    </w:p>
    <w:p w:rsidR="002A5A5E" w:rsidRPr="00F9522B" w:rsidRDefault="00611CBA">
      <w:pPr>
        <w:numPr>
          <w:ilvl w:val="3"/>
          <w:numId w:val="0"/>
        </w:numPr>
        <w:tabs>
          <w:tab w:val="left" w:pos="1134"/>
        </w:tabs>
        <w:spacing w:line="360" w:lineRule="auto"/>
        <w:ind w:left="851" w:hanging="851"/>
        <w:outlineLvl w:val="3"/>
        <w:rPr>
          <w:rFonts w:eastAsiaTheme="minorEastAsia"/>
          <w:b/>
          <w:sz w:val="24"/>
        </w:rPr>
      </w:pPr>
      <w:r w:rsidRPr="00F9522B">
        <w:rPr>
          <w:rFonts w:eastAsiaTheme="minorEastAsia"/>
          <w:b/>
          <w:sz w:val="24"/>
        </w:rPr>
        <w:t>3.1.3.2</w:t>
      </w:r>
      <w:r w:rsidRPr="00F9522B">
        <w:rPr>
          <w:rFonts w:eastAsiaTheme="minorEastAsia"/>
          <w:b/>
          <w:sz w:val="24"/>
        </w:rPr>
        <w:t>原有工程环境影响回顾性评价</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本项目原有工程目前尚无实际统计的项目污染物排放情况。原有工程施工期已结束，其环境影响已随施工的结束消失。根据现场勘查，项目区无施工期遗留</w:t>
      </w:r>
      <w:r w:rsidRPr="00F9522B">
        <w:rPr>
          <w:rFonts w:eastAsiaTheme="minorEastAsia"/>
          <w:kern w:val="0"/>
          <w:sz w:val="24"/>
        </w:rPr>
        <w:lastRenderedPageBreak/>
        <w:t>的生态环境问题。</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w:t>
      </w:r>
      <w:r w:rsidRPr="00F9522B">
        <w:rPr>
          <w:rFonts w:eastAsiaTheme="minorEastAsia"/>
          <w:kern w:val="0"/>
          <w:sz w:val="24"/>
        </w:rPr>
        <w:t>1</w:t>
      </w:r>
      <w:r w:rsidRPr="00F9522B">
        <w:rPr>
          <w:rFonts w:eastAsiaTheme="minorEastAsia"/>
          <w:kern w:val="0"/>
          <w:sz w:val="24"/>
        </w:rPr>
        <w:t>）地表水环境</w:t>
      </w:r>
    </w:p>
    <w:p w:rsidR="002A5A5E" w:rsidRPr="00F9522B" w:rsidRDefault="005273A1">
      <w:pPr>
        <w:spacing w:line="360" w:lineRule="auto"/>
        <w:ind w:firstLineChars="200" w:firstLine="480"/>
        <w:jc w:val="left"/>
        <w:rPr>
          <w:rFonts w:eastAsiaTheme="minorEastAsia"/>
          <w:kern w:val="0"/>
          <w:sz w:val="24"/>
        </w:rPr>
      </w:pPr>
      <w:r w:rsidRPr="00F9522B">
        <w:rPr>
          <w:rFonts w:eastAsiaTheme="minorEastAsia"/>
          <w:kern w:val="0"/>
          <w:sz w:val="24"/>
        </w:rPr>
        <w:fldChar w:fldCharType="begin"/>
      </w:r>
      <w:r w:rsidR="00611CBA" w:rsidRPr="00F9522B">
        <w:rPr>
          <w:rFonts w:eastAsiaTheme="minorEastAsia"/>
          <w:kern w:val="0"/>
          <w:sz w:val="24"/>
        </w:rPr>
        <w:instrText xml:space="preserve"> = 1 \* GB3 </w:instrText>
      </w:r>
      <w:r w:rsidRPr="00F9522B">
        <w:rPr>
          <w:rFonts w:eastAsiaTheme="minorEastAsia"/>
          <w:kern w:val="0"/>
          <w:sz w:val="24"/>
        </w:rPr>
        <w:fldChar w:fldCharType="separate"/>
      </w:r>
      <w:r w:rsidR="00611CBA" w:rsidRPr="00F9522B">
        <w:rPr>
          <w:rFonts w:ascii="宋体" w:hAnsi="宋体" w:cs="宋体" w:hint="eastAsia"/>
          <w:kern w:val="0"/>
          <w:sz w:val="24"/>
        </w:rPr>
        <w:t>①</w:t>
      </w:r>
      <w:r w:rsidRPr="00F9522B">
        <w:rPr>
          <w:rFonts w:eastAsiaTheme="minorEastAsia"/>
          <w:kern w:val="0"/>
          <w:sz w:val="24"/>
        </w:rPr>
        <w:fldChar w:fldCharType="end"/>
      </w:r>
      <w:r w:rsidR="00611CBA" w:rsidRPr="00F9522B">
        <w:rPr>
          <w:rFonts w:eastAsiaTheme="minorEastAsia"/>
          <w:kern w:val="0"/>
          <w:sz w:val="24"/>
        </w:rPr>
        <w:t>化肥、农药使用情况调查</w:t>
      </w:r>
    </w:p>
    <w:p w:rsidR="002A5A5E" w:rsidRPr="00F9522B" w:rsidRDefault="00611CBA">
      <w:pPr>
        <w:pStyle w:val="aff4"/>
        <w:adjustRightInd/>
        <w:snapToGrid/>
        <w:contextualSpacing/>
        <w:rPr>
          <w:rFonts w:ascii="Times New Roman" w:hAnsi="Times New Roman" w:cs="Times New Roman"/>
        </w:rPr>
      </w:pPr>
      <w:r w:rsidRPr="00F9522B">
        <w:rPr>
          <w:rFonts w:ascii="Times New Roman" w:hAnsi="Times New Roman" w:cs="Times New Roman"/>
        </w:rPr>
        <w:t>根据调查资料，化肥、农药使用用量需要根据防治对象、生长环境、病情和虫情、土壤肥力等因素综合考虑，以下为项目区普遍农药、化肥的用量：</w:t>
      </w:r>
    </w:p>
    <w:p w:rsidR="002A5A5E" w:rsidRPr="00F9522B" w:rsidRDefault="00611CBA">
      <w:pPr>
        <w:pStyle w:val="aff4"/>
        <w:adjustRightInd/>
        <w:snapToGrid/>
        <w:contextualSpacing/>
        <w:rPr>
          <w:rFonts w:ascii="Times New Roman" w:hAnsi="Times New Roman" w:cs="Times New Roman"/>
        </w:rPr>
      </w:pPr>
      <w:r w:rsidRPr="00F9522B">
        <w:rPr>
          <w:rFonts w:ascii="Times New Roman" w:hAnsi="Times New Roman" w:cs="Times New Roman"/>
        </w:rPr>
        <w:t>1</w:t>
      </w:r>
      <w:r w:rsidRPr="00F9522B">
        <w:rPr>
          <w:rFonts w:ascii="Times New Roman" w:hAnsi="Times New Roman" w:cs="Times New Roman"/>
        </w:rPr>
        <w:t>）水稻亩施肥量</w:t>
      </w:r>
      <w:r w:rsidRPr="00F9522B">
        <w:rPr>
          <w:rFonts w:ascii="Times New Roman" w:hAnsi="Times New Roman" w:cs="Times New Roman"/>
        </w:rPr>
        <w:t>53</w:t>
      </w:r>
      <w:r w:rsidRPr="00F9522B">
        <w:rPr>
          <w:rFonts w:ascii="Times New Roman" w:hAnsi="Times New Roman" w:cs="Times New Roman"/>
        </w:rPr>
        <w:t>公斤，玉米亩施肥量</w:t>
      </w:r>
      <w:r w:rsidRPr="00F9522B">
        <w:rPr>
          <w:rFonts w:ascii="Times New Roman" w:hAnsi="Times New Roman" w:cs="Times New Roman"/>
        </w:rPr>
        <w:t>68</w:t>
      </w:r>
      <w:r w:rsidRPr="00F9522B">
        <w:rPr>
          <w:rFonts w:ascii="Times New Roman" w:hAnsi="Times New Roman" w:cs="Times New Roman"/>
        </w:rPr>
        <w:t>公斤；</w:t>
      </w:r>
    </w:p>
    <w:p w:rsidR="002A5A5E" w:rsidRPr="00F9522B" w:rsidRDefault="00611CBA">
      <w:pPr>
        <w:pStyle w:val="aff4"/>
        <w:adjustRightInd/>
        <w:snapToGrid/>
        <w:contextualSpacing/>
        <w:rPr>
          <w:rFonts w:ascii="Times New Roman" w:hAnsi="Times New Roman" w:cs="Times New Roman"/>
        </w:rPr>
      </w:pPr>
      <w:r w:rsidRPr="00F9522B">
        <w:rPr>
          <w:rFonts w:ascii="Times New Roman" w:hAnsi="Times New Roman" w:cs="Times New Roman"/>
        </w:rPr>
        <w:t>2</w:t>
      </w:r>
      <w:r w:rsidRPr="00F9522B">
        <w:rPr>
          <w:rFonts w:ascii="Times New Roman" w:hAnsi="Times New Roman" w:cs="Times New Roman"/>
        </w:rPr>
        <w:t>）水稻亩施药量</w:t>
      </w:r>
      <w:r w:rsidRPr="00F9522B">
        <w:rPr>
          <w:rFonts w:ascii="Times New Roman" w:hAnsi="Times New Roman" w:cs="Times New Roman"/>
        </w:rPr>
        <w:t>0.56</w:t>
      </w:r>
      <w:r w:rsidRPr="00F9522B">
        <w:rPr>
          <w:rFonts w:ascii="Times New Roman" w:hAnsi="Times New Roman" w:cs="Times New Roman"/>
        </w:rPr>
        <w:t>公斤，玉米亩施药量</w:t>
      </w:r>
      <w:r w:rsidRPr="00F9522B">
        <w:rPr>
          <w:rFonts w:ascii="Times New Roman" w:hAnsi="Times New Roman" w:cs="Times New Roman"/>
        </w:rPr>
        <w:t>0.51</w:t>
      </w:r>
      <w:r w:rsidRPr="00F9522B">
        <w:rPr>
          <w:rFonts w:ascii="Times New Roman" w:hAnsi="Times New Roman" w:cs="Times New Roman"/>
        </w:rPr>
        <w:t>公斤，大豆亩施药量</w:t>
      </w:r>
      <w:r w:rsidRPr="00F9522B">
        <w:rPr>
          <w:rFonts w:ascii="Times New Roman" w:hAnsi="Times New Roman" w:cs="Times New Roman"/>
        </w:rPr>
        <w:t>0.46</w:t>
      </w:r>
      <w:r w:rsidRPr="00F9522B">
        <w:rPr>
          <w:rFonts w:ascii="Times New Roman" w:hAnsi="Times New Roman" w:cs="Times New Roman"/>
        </w:rPr>
        <w:t>公斤。</w:t>
      </w:r>
    </w:p>
    <w:p w:rsidR="002A5A5E" w:rsidRPr="00F9522B" w:rsidRDefault="005273A1">
      <w:pPr>
        <w:spacing w:line="360" w:lineRule="auto"/>
        <w:ind w:firstLineChars="200" w:firstLine="480"/>
        <w:jc w:val="left"/>
        <w:rPr>
          <w:rFonts w:eastAsiaTheme="minorEastAsia"/>
          <w:sz w:val="24"/>
        </w:rPr>
      </w:pPr>
      <w:r w:rsidRPr="00F9522B">
        <w:rPr>
          <w:rFonts w:eastAsiaTheme="minorEastAsia"/>
          <w:sz w:val="24"/>
        </w:rPr>
        <w:fldChar w:fldCharType="begin"/>
      </w:r>
      <w:r w:rsidR="00611CBA" w:rsidRPr="00F9522B">
        <w:rPr>
          <w:rFonts w:eastAsiaTheme="minorEastAsia"/>
          <w:sz w:val="24"/>
        </w:rPr>
        <w:instrText xml:space="preserve"> = 2 \* GB3 </w:instrText>
      </w:r>
      <w:r w:rsidRPr="00F9522B">
        <w:rPr>
          <w:rFonts w:eastAsiaTheme="minorEastAsia"/>
          <w:sz w:val="24"/>
        </w:rPr>
        <w:fldChar w:fldCharType="separate"/>
      </w:r>
      <w:r w:rsidR="00611CBA" w:rsidRPr="00F9522B">
        <w:rPr>
          <w:rFonts w:ascii="宋体" w:hAnsi="宋体" w:cs="宋体" w:hint="eastAsia"/>
          <w:sz w:val="24"/>
        </w:rPr>
        <w:t>②</w:t>
      </w:r>
      <w:r w:rsidRPr="00F9522B">
        <w:rPr>
          <w:rFonts w:eastAsiaTheme="minorEastAsia"/>
          <w:sz w:val="24"/>
        </w:rPr>
        <w:fldChar w:fldCharType="end"/>
      </w:r>
      <w:r w:rsidR="00611CBA" w:rsidRPr="00F9522B">
        <w:rPr>
          <w:rFonts w:eastAsiaTheme="minorEastAsia"/>
          <w:sz w:val="24"/>
        </w:rPr>
        <w:t>退水承泄区</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sz w:val="24"/>
        </w:rPr>
        <w:t>项目</w:t>
      </w:r>
      <w:r w:rsidR="00625A6C" w:rsidRPr="00F9522B">
        <w:rPr>
          <w:rFonts w:eastAsiaTheme="minorEastAsia"/>
          <w:sz w:val="24"/>
        </w:rPr>
        <w:t>片区内排水承泄区为松花江及漂河</w:t>
      </w:r>
      <w:r w:rsidRPr="00F9522B">
        <w:rPr>
          <w:rFonts w:eastAsiaTheme="minorEastAsia"/>
          <w:kern w:val="0"/>
          <w:sz w:val="24"/>
        </w:rPr>
        <w:t>。</w:t>
      </w:r>
    </w:p>
    <w:p w:rsidR="002A5A5E" w:rsidRPr="00F9522B" w:rsidRDefault="00611CBA">
      <w:pPr>
        <w:spacing w:line="360" w:lineRule="auto"/>
        <w:ind w:firstLineChars="200" w:firstLine="480"/>
        <w:rPr>
          <w:rFonts w:eastAsiaTheme="minorEastAsia"/>
          <w:bCs/>
          <w:kern w:val="0"/>
          <w:sz w:val="24"/>
          <w:szCs w:val="21"/>
        </w:rPr>
      </w:pPr>
      <w:r w:rsidRPr="00F9522B">
        <w:rPr>
          <w:rFonts w:eastAsiaTheme="minorEastAsia"/>
          <w:sz w:val="24"/>
        </w:rPr>
        <w:t>根据《</w:t>
      </w:r>
      <w:r w:rsidRPr="00F9522B">
        <w:rPr>
          <w:rFonts w:eastAsiaTheme="minorEastAsia"/>
          <w:sz w:val="24"/>
        </w:rPr>
        <w:t>2024</w:t>
      </w:r>
      <w:r w:rsidRPr="00F9522B">
        <w:rPr>
          <w:rFonts w:eastAsiaTheme="minorEastAsia"/>
          <w:sz w:val="24"/>
        </w:rPr>
        <w:t>年哈尔滨生态环境质量状况年报》及《</w:t>
      </w:r>
      <w:r w:rsidRPr="00F9522B">
        <w:rPr>
          <w:rFonts w:eastAsiaTheme="minorEastAsia"/>
          <w:bCs/>
          <w:sz w:val="24"/>
        </w:rPr>
        <w:t>哈尔滨市水环境质量月报</w:t>
      </w:r>
      <w:r w:rsidR="00C27FC4" w:rsidRPr="00F9522B">
        <w:rPr>
          <w:rFonts w:eastAsiaTheme="minorEastAsia"/>
          <w:sz w:val="24"/>
        </w:rPr>
        <w:t>》</w:t>
      </w:r>
      <w:r w:rsidRPr="00F9522B">
        <w:rPr>
          <w:rFonts w:eastAsiaTheme="minorEastAsia"/>
          <w:sz w:val="24"/>
        </w:rPr>
        <w:t>可知，少陵河桥</w:t>
      </w:r>
      <w:r w:rsidRPr="00F9522B">
        <w:rPr>
          <w:rFonts w:eastAsiaTheme="minorEastAsia"/>
          <w:bCs/>
          <w:kern w:val="0"/>
          <w:sz w:val="24"/>
          <w:szCs w:val="21"/>
        </w:rPr>
        <w:t>断面水质为</w:t>
      </w:r>
      <w:r w:rsidR="005273A1" w:rsidRPr="00F9522B">
        <w:rPr>
          <w:rFonts w:eastAsiaTheme="minorEastAsia"/>
          <w:bCs/>
          <w:kern w:val="0"/>
          <w:sz w:val="24"/>
          <w:szCs w:val="21"/>
        </w:rPr>
        <w:fldChar w:fldCharType="begin"/>
      </w:r>
      <w:r w:rsidRPr="00F9522B">
        <w:rPr>
          <w:rFonts w:eastAsiaTheme="minorEastAsia"/>
          <w:bCs/>
          <w:kern w:val="0"/>
          <w:sz w:val="24"/>
          <w:szCs w:val="21"/>
        </w:rPr>
        <w:instrText xml:space="preserve"> = 5 \* ROMAN </w:instrText>
      </w:r>
      <w:r w:rsidR="005273A1" w:rsidRPr="00F9522B">
        <w:rPr>
          <w:rFonts w:eastAsiaTheme="minorEastAsia"/>
          <w:bCs/>
          <w:kern w:val="0"/>
          <w:sz w:val="24"/>
          <w:szCs w:val="21"/>
        </w:rPr>
        <w:fldChar w:fldCharType="separate"/>
      </w:r>
      <w:r w:rsidRPr="00F9522B">
        <w:rPr>
          <w:rFonts w:eastAsiaTheme="minorEastAsia"/>
          <w:bCs/>
          <w:kern w:val="0"/>
          <w:sz w:val="24"/>
          <w:szCs w:val="21"/>
        </w:rPr>
        <w:t>V</w:t>
      </w:r>
      <w:r w:rsidR="005273A1" w:rsidRPr="00F9522B">
        <w:rPr>
          <w:rFonts w:eastAsiaTheme="minorEastAsia"/>
          <w:bCs/>
          <w:kern w:val="0"/>
          <w:sz w:val="24"/>
          <w:szCs w:val="21"/>
        </w:rPr>
        <w:fldChar w:fldCharType="end"/>
      </w:r>
      <w:r w:rsidRPr="00F9522B">
        <w:rPr>
          <w:rFonts w:eastAsiaTheme="minorEastAsia"/>
          <w:bCs/>
          <w:kern w:val="0"/>
          <w:sz w:val="24"/>
          <w:szCs w:val="21"/>
        </w:rPr>
        <w:t>类，</w:t>
      </w:r>
      <w:r w:rsidRPr="00F9522B">
        <w:rPr>
          <w:rFonts w:eastAsiaTheme="minorEastAsia"/>
          <w:bCs/>
          <w:kern w:val="0"/>
          <w:sz w:val="24"/>
          <w:szCs w:val="21"/>
        </w:rPr>
        <w:t>202</w:t>
      </w:r>
      <w:r w:rsidR="00D14C52" w:rsidRPr="00F9522B">
        <w:rPr>
          <w:rFonts w:eastAsiaTheme="minorEastAsia"/>
          <w:bCs/>
          <w:kern w:val="0"/>
          <w:sz w:val="24"/>
          <w:szCs w:val="21"/>
        </w:rPr>
        <w:t>5</w:t>
      </w:r>
      <w:r w:rsidRPr="00F9522B">
        <w:rPr>
          <w:rFonts w:eastAsiaTheme="minorEastAsia"/>
          <w:bCs/>
          <w:kern w:val="0"/>
          <w:sz w:val="24"/>
          <w:szCs w:val="21"/>
        </w:rPr>
        <w:t>年</w:t>
      </w:r>
      <w:r w:rsidRPr="00F9522B">
        <w:rPr>
          <w:rFonts w:eastAsiaTheme="minorEastAsia"/>
          <w:bCs/>
          <w:kern w:val="0"/>
          <w:sz w:val="24"/>
          <w:szCs w:val="21"/>
        </w:rPr>
        <w:t>5</w:t>
      </w:r>
      <w:r w:rsidRPr="00F9522B">
        <w:rPr>
          <w:rFonts w:eastAsiaTheme="minorEastAsia"/>
          <w:bCs/>
          <w:kern w:val="0"/>
          <w:sz w:val="24"/>
          <w:szCs w:val="21"/>
        </w:rPr>
        <w:t>月水质超标，其他月份均达标，满足</w:t>
      </w:r>
      <w:r w:rsidR="005273A1" w:rsidRPr="00F9522B">
        <w:rPr>
          <w:rFonts w:eastAsiaTheme="minorEastAsia"/>
          <w:bCs/>
          <w:kern w:val="0"/>
          <w:sz w:val="24"/>
          <w:szCs w:val="21"/>
        </w:rPr>
        <w:fldChar w:fldCharType="begin"/>
      </w:r>
      <w:r w:rsidRPr="00F9522B">
        <w:rPr>
          <w:rFonts w:eastAsiaTheme="minorEastAsia"/>
          <w:bCs/>
          <w:kern w:val="0"/>
          <w:sz w:val="24"/>
          <w:szCs w:val="21"/>
        </w:rPr>
        <w:instrText xml:space="preserve"> = 5 \* ROMAN </w:instrText>
      </w:r>
      <w:r w:rsidR="005273A1" w:rsidRPr="00F9522B">
        <w:rPr>
          <w:rFonts w:eastAsiaTheme="minorEastAsia"/>
          <w:bCs/>
          <w:kern w:val="0"/>
          <w:sz w:val="24"/>
          <w:szCs w:val="21"/>
        </w:rPr>
        <w:fldChar w:fldCharType="separate"/>
      </w:r>
      <w:r w:rsidRPr="00F9522B">
        <w:rPr>
          <w:rFonts w:eastAsiaTheme="minorEastAsia"/>
          <w:bCs/>
          <w:kern w:val="0"/>
          <w:sz w:val="24"/>
          <w:szCs w:val="21"/>
        </w:rPr>
        <w:t>V</w:t>
      </w:r>
      <w:r w:rsidR="005273A1" w:rsidRPr="00F9522B">
        <w:rPr>
          <w:rFonts w:eastAsiaTheme="minorEastAsia"/>
          <w:bCs/>
          <w:kern w:val="0"/>
          <w:sz w:val="24"/>
          <w:szCs w:val="21"/>
        </w:rPr>
        <w:fldChar w:fldCharType="end"/>
      </w:r>
      <w:r w:rsidRPr="00F9522B">
        <w:rPr>
          <w:rFonts w:eastAsiaTheme="minorEastAsia"/>
          <w:sz w:val="24"/>
        </w:rPr>
        <w:t>类水体类别要求。</w:t>
      </w:r>
      <w:r w:rsidR="00D14C52" w:rsidRPr="00F9522B">
        <w:rPr>
          <w:rFonts w:eastAsiaTheme="minorEastAsia"/>
          <w:sz w:val="24"/>
        </w:rPr>
        <w:t>大顶子山断面</w:t>
      </w:r>
      <w:r w:rsidRPr="00F9522B">
        <w:rPr>
          <w:rFonts w:eastAsiaTheme="minorEastAsia"/>
          <w:bCs/>
          <w:kern w:val="0"/>
          <w:sz w:val="24"/>
          <w:szCs w:val="21"/>
        </w:rPr>
        <w:t>水质为</w:t>
      </w:r>
      <w:r w:rsidR="00D14C52" w:rsidRPr="00F9522B">
        <w:rPr>
          <w:rFonts w:eastAsiaTheme="minorEastAsia"/>
          <w:bCs/>
          <w:kern w:val="0"/>
          <w:sz w:val="24"/>
          <w:szCs w:val="21"/>
        </w:rPr>
        <w:t>Ⅲ</w:t>
      </w:r>
      <w:r w:rsidRPr="00F9522B">
        <w:rPr>
          <w:rFonts w:eastAsiaTheme="minorEastAsia"/>
          <w:bCs/>
          <w:kern w:val="0"/>
          <w:sz w:val="24"/>
          <w:szCs w:val="21"/>
        </w:rPr>
        <w:t>类，满足</w:t>
      </w:r>
      <w:r w:rsidR="00D14C52" w:rsidRPr="00F9522B">
        <w:rPr>
          <w:rFonts w:eastAsiaTheme="minorEastAsia"/>
          <w:bCs/>
          <w:kern w:val="0"/>
          <w:sz w:val="24"/>
          <w:szCs w:val="21"/>
        </w:rPr>
        <w:t>Ⅲ</w:t>
      </w:r>
      <w:r w:rsidRPr="00F9522B">
        <w:rPr>
          <w:rFonts w:eastAsiaTheme="minorEastAsia"/>
          <w:bCs/>
          <w:kern w:val="0"/>
          <w:sz w:val="24"/>
          <w:szCs w:val="21"/>
        </w:rPr>
        <w:t>类</w:t>
      </w:r>
      <w:r w:rsidRPr="00F9522B">
        <w:rPr>
          <w:rFonts w:eastAsiaTheme="minorEastAsia"/>
          <w:sz w:val="24"/>
        </w:rPr>
        <w:t>水体类别要求。少陵河桥断面</w:t>
      </w:r>
      <w:r w:rsidRPr="00F9522B">
        <w:rPr>
          <w:rFonts w:eastAsiaTheme="minorEastAsia"/>
          <w:bCs/>
          <w:kern w:val="0"/>
          <w:sz w:val="24"/>
          <w:szCs w:val="21"/>
        </w:rPr>
        <w:t>202</w:t>
      </w:r>
      <w:r w:rsidR="00D14C52" w:rsidRPr="00F9522B">
        <w:rPr>
          <w:rFonts w:eastAsiaTheme="minorEastAsia"/>
          <w:bCs/>
          <w:kern w:val="0"/>
          <w:sz w:val="24"/>
          <w:szCs w:val="21"/>
        </w:rPr>
        <w:t>5</w:t>
      </w:r>
      <w:r w:rsidRPr="00F9522B">
        <w:rPr>
          <w:rFonts w:eastAsiaTheme="minorEastAsia"/>
          <w:bCs/>
          <w:kern w:val="0"/>
          <w:sz w:val="24"/>
          <w:szCs w:val="21"/>
        </w:rPr>
        <w:t>年</w:t>
      </w:r>
      <w:r w:rsidRPr="00F9522B">
        <w:rPr>
          <w:rFonts w:eastAsiaTheme="minorEastAsia"/>
          <w:bCs/>
          <w:kern w:val="0"/>
          <w:sz w:val="24"/>
          <w:szCs w:val="21"/>
        </w:rPr>
        <w:t>5</w:t>
      </w:r>
      <w:r w:rsidRPr="00F9522B">
        <w:rPr>
          <w:rFonts w:eastAsiaTheme="minorEastAsia"/>
          <w:bCs/>
          <w:kern w:val="0"/>
          <w:sz w:val="24"/>
          <w:szCs w:val="21"/>
        </w:rPr>
        <w:t>月水质超标，</w:t>
      </w:r>
      <w:r w:rsidRPr="00F9522B">
        <w:rPr>
          <w:rFonts w:eastAsiaTheme="minorEastAsia"/>
          <w:sz w:val="24"/>
        </w:rPr>
        <w:t>本项目现有水田</w:t>
      </w:r>
      <w:r w:rsidRPr="00F9522B">
        <w:rPr>
          <w:rFonts w:eastAsiaTheme="minorEastAsia"/>
          <w:sz w:val="24"/>
        </w:rPr>
        <w:t>5</w:t>
      </w:r>
      <w:r w:rsidRPr="00F9522B">
        <w:rPr>
          <w:rFonts w:eastAsiaTheme="minorEastAsia"/>
          <w:sz w:val="24"/>
        </w:rPr>
        <w:t>月泡田期水田不施用农药化肥，</w:t>
      </w:r>
      <w:r w:rsidRPr="00F9522B">
        <w:rPr>
          <w:rFonts w:eastAsiaTheme="minorEastAsia"/>
          <w:bCs/>
          <w:kern w:val="0"/>
          <w:sz w:val="24"/>
          <w:szCs w:val="21"/>
        </w:rPr>
        <w:t>非本项目退水影响，</w:t>
      </w:r>
      <w:r w:rsidRPr="00F9522B">
        <w:rPr>
          <w:rFonts w:eastAsiaTheme="minorEastAsia"/>
          <w:sz w:val="24"/>
        </w:rPr>
        <w:t>退水期间与非退水期间水质变化不大。故本项目现有水田退水未导致</w:t>
      </w:r>
      <w:r w:rsidR="00D14C52" w:rsidRPr="00F9522B">
        <w:rPr>
          <w:rFonts w:eastAsiaTheme="minorEastAsia"/>
          <w:sz w:val="24"/>
        </w:rPr>
        <w:t>松花江</w:t>
      </w:r>
      <w:r w:rsidRPr="00F9522B">
        <w:rPr>
          <w:rFonts w:eastAsiaTheme="minorEastAsia"/>
          <w:sz w:val="24"/>
        </w:rPr>
        <w:t>、漂河及地表水保护目标水质发生恶化。具体分析见章节</w:t>
      </w:r>
      <w:r w:rsidRPr="00F9522B">
        <w:rPr>
          <w:rFonts w:eastAsiaTheme="minorEastAsia"/>
          <w:sz w:val="24"/>
        </w:rPr>
        <w:t>4.2.2</w:t>
      </w:r>
      <w:r w:rsidRPr="00F9522B">
        <w:rPr>
          <w:rFonts w:eastAsiaTheme="minorEastAsia"/>
          <w:sz w:val="24"/>
        </w:rPr>
        <w:t>。</w:t>
      </w:r>
      <w:r w:rsidRPr="00F9522B">
        <w:rPr>
          <w:rFonts w:eastAsiaTheme="minorEastAsia"/>
          <w:sz w:val="24"/>
        </w:rPr>
        <w:t xml:space="preserve"> </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w:t>
      </w:r>
      <w:r w:rsidRPr="00F9522B">
        <w:rPr>
          <w:rFonts w:eastAsiaTheme="minorEastAsia"/>
          <w:kern w:val="0"/>
          <w:sz w:val="24"/>
        </w:rPr>
        <w:t>2</w:t>
      </w:r>
      <w:r w:rsidRPr="00F9522B">
        <w:rPr>
          <w:rFonts w:eastAsiaTheme="minorEastAsia"/>
          <w:kern w:val="0"/>
          <w:sz w:val="24"/>
        </w:rPr>
        <w:t>）地下水环境</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项目区位于松花江呼兰河阶地，含水层为上更新统顾乡屯组砂砾石，其上覆</w:t>
      </w:r>
      <w:r w:rsidRPr="00F9522B">
        <w:rPr>
          <w:rFonts w:eastAsiaTheme="minorEastAsia"/>
          <w:kern w:val="0"/>
          <w:sz w:val="24"/>
        </w:rPr>
        <w:t>5</w:t>
      </w:r>
      <w:r w:rsidRPr="00F9522B">
        <w:rPr>
          <w:rFonts w:eastAsiaTheme="minorEastAsia"/>
          <w:kern w:val="0"/>
          <w:sz w:val="24"/>
        </w:rPr>
        <w:t>～</w:t>
      </w:r>
      <w:r w:rsidRPr="00F9522B">
        <w:rPr>
          <w:rFonts w:eastAsiaTheme="minorEastAsia"/>
          <w:kern w:val="0"/>
          <w:sz w:val="24"/>
        </w:rPr>
        <w:t>20m</w:t>
      </w:r>
      <w:r w:rsidRPr="00F9522B">
        <w:rPr>
          <w:rFonts w:eastAsiaTheme="minorEastAsia"/>
          <w:kern w:val="0"/>
          <w:sz w:val="24"/>
        </w:rPr>
        <w:t>的黄土状亚粘土，顶板埋深</w:t>
      </w:r>
      <w:r w:rsidRPr="00F9522B">
        <w:rPr>
          <w:rFonts w:eastAsiaTheme="minorEastAsia"/>
          <w:kern w:val="0"/>
          <w:sz w:val="24"/>
        </w:rPr>
        <w:t>7</w:t>
      </w:r>
      <w:r w:rsidRPr="00F9522B">
        <w:rPr>
          <w:rFonts w:eastAsiaTheme="minorEastAsia"/>
          <w:kern w:val="0"/>
          <w:sz w:val="24"/>
        </w:rPr>
        <w:t>～</w:t>
      </w:r>
      <w:r w:rsidRPr="00F9522B">
        <w:rPr>
          <w:rFonts w:eastAsiaTheme="minorEastAsia"/>
          <w:kern w:val="0"/>
          <w:sz w:val="24"/>
        </w:rPr>
        <w:t>20m</w:t>
      </w:r>
      <w:r w:rsidRPr="00F9522B">
        <w:rPr>
          <w:rFonts w:eastAsiaTheme="minorEastAsia"/>
          <w:kern w:val="0"/>
          <w:sz w:val="24"/>
        </w:rPr>
        <w:t>，局部达</w:t>
      </w:r>
      <w:r w:rsidRPr="00F9522B">
        <w:rPr>
          <w:rFonts w:eastAsiaTheme="minorEastAsia"/>
          <w:kern w:val="0"/>
          <w:sz w:val="24"/>
        </w:rPr>
        <w:t>30m</w:t>
      </w:r>
      <w:r w:rsidRPr="00F9522B">
        <w:rPr>
          <w:rFonts w:eastAsiaTheme="minorEastAsia"/>
          <w:kern w:val="0"/>
          <w:sz w:val="24"/>
        </w:rPr>
        <w:t>，含水层厚度</w:t>
      </w:r>
      <w:r w:rsidRPr="00F9522B">
        <w:rPr>
          <w:rFonts w:eastAsiaTheme="minorEastAsia"/>
          <w:kern w:val="0"/>
          <w:sz w:val="24"/>
        </w:rPr>
        <w:t>20</w:t>
      </w:r>
      <w:r w:rsidRPr="00F9522B">
        <w:rPr>
          <w:rFonts w:eastAsiaTheme="minorEastAsia"/>
          <w:kern w:val="0"/>
          <w:sz w:val="24"/>
        </w:rPr>
        <w:t>～</w:t>
      </w:r>
      <w:r w:rsidRPr="00F9522B">
        <w:rPr>
          <w:rFonts w:eastAsiaTheme="minorEastAsia"/>
          <w:kern w:val="0"/>
          <w:sz w:val="24"/>
        </w:rPr>
        <w:t>35m</w:t>
      </w:r>
      <w:r w:rsidRPr="00F9522B">
        <w:rPr>
          <w:rFonts w:eastAsiaTheme="minorEastAsia"/>
          <w:kern w:val="0"/>
          <w:sz w:val="24"/>
        </w:rPr>
        <w:t>，水位埋深</w:t>
      </w:r>
      <w:r w:rsidRPr="00F9522B">
        <w:rPr>
          <w:rFonts w:eastAsiaTheme="minorEastAsia"/>
          <w:kern w:val="0"/>
          <w:sz w:val="24"/>
        </w:rPr>
        <w:t>5</w:t>
      </w:r>
      <w:r w:rsidRPr="00F9522B">
        <w:rPr>
          <w:rFonts w:eastAsiaTheme="minorEastAsia"/>
          <w:kern w:val="0"/>
          <w:sz w:val="24"/>
        </w:rPr>
        <w:t>～</w:t>
      </w:r>
      <w:r w:rsidRPr="00F9522B">
        <w:rPr>
          <w:rFonts w:eastAsiaTheme="minorEastAsia"/>
          <w:kern w:val="0"/>
          <w:sz w:val="24"/>
        </w:rPr>
        <w:t>15m</w:t>
      </w:r>
      <w:r w:rsidRPr="00F9522B">
        <w:rPr>
          <w:rFonts w:eastAsiaTheme="minorEastAsia"/>
          <w:kern w:val="0"/>
          <w:sz w:val="24"/>
        </w:rPr>
        <w:t>，富水性中等，导水性强，渗透系数</w:t>
      </w:r>
      <w:r w:rsidRPr="00F9522B">
        <w:rPr>
          <w:rFonts w:eastAsiaTheme="minorEastAsia"/>
          <w:kern w:val="0"/>
          <w:sz w:val="24"/>
        </w:rPr>
        <w:t>25m/d</w:t>
      </w:r>
      <w:r w:rsidRPr="00F9522B">
        <w:rPr>
          <w:rFonts w:eastAsiaTheme="minorEastAsia"/>
          <w:kern w:val="0"/>
          <w:sz w:val="24"/>
        </w:rPr>
        <w:t>，水位年变化幅度</w:t>
      </w:r>
      <w:r w:rsidRPr="00F9522B">
        <w:rPr>
          <w:rFonts w:eastAsiaTheme="minorEastAsia"/>
          <w:kern w:val="0"/>
          <w:sz w:val="24"/>
        </w:rPr>
        <w:t>3.0</w:t>
      </w:r>
      <w:r w:rsidRPr="00F9522B">
        <w:rPr>
          <w:rFonts w:eastAsiaTheme="minorEastAsia"/>
          <w:kern w:val="0"/>
          <w:sz w:val="24"/>
        </w:rPr>
        <w:t>～</w:t>
      </w:r>
      <w:r w:rsidRPr="00F9522B">
        <w:rPr>
          <w:rFonts w:eastAsiaTheme="minorEastAsia"/>
          <w:kern w:val="0"/>
          <w:sz w:val="24"/>
        </w:rPr>
        <w:t>4.0m</w:t>
      </w:r>
      <w:r w:rsidRPr="00F9522B">
        <w:rPr>
          <w:rFonts w:eastAsiaTheme="minorEastAsia"/>
          <w:kern w:val="0"/>
          <w:sz w:val="24"/>
        </w:rPr>
        <w:t>，根据地下水检测结果，区域地下水总矿化度小于</w:t>
      </w:r>
      <w:r w:rsidRPr="00F9522B">
        <w:rPr>
          <w:rFonts w:eastAsiaTheme="minorEastAsia"/>
          <w:kern w:val="0"/>
          <w:sz w:val="24"/>
        </w:rPr>
        <w:t>1.5g/L</w:t>
      </w:r>
      <w:r w:rsidRPr="00F9522B">
        <w:rPr>
          <w:rFonts w:eastAsiaTheme="minorEastAsia"/>
          <w:kern w:val="0"/>
          <w:sz w:val="24"/>
        </w:rPr>
        <w:t>，</w:t>
      </w:r>
      <w:r w:rsidRPr="00F9522B">
        <w:rPr>
          <w:rFonts w:eastAsiaTheme="minorEastAsia"/>
          <w:kern w:val="0"/>
          <w:sz w:val="24"/>
        </w:rPr>
        <w:t>pH</w:t>
      </w:r>
      <w:r w:rsidRPr="00F9522B">
        <w:rPr>
          <w:rFonts w:eastAsiaTheme="minorEastAsia"/>
          <w:kern w:val="0"/>
          <w:sz w:val="24"/>
        </w:rPr>
        <w:t>值</w:t>
      </w:r>
      <w:r w:rsidR="005D4635" w:rsidRPr="00F9522B">
        <w:rPr>
          <w:rFonts w:eastAsiaTheme="minorEastAsia"/>
          <w:kern w:val="0"/>
          <w:sz w:val="24"/>
        </w:rPr>
        <w:t>7.1</w:t>
      </w:r>
      <w:r w:rsidRPr="00F9522B">
        <w:rPr>
          <w:rFonts w:eastAsiaTheme="minorEastAsia"/>
          <w:kern w:val="0"/>
          <w:sz w:val="24"/>
        </w:rPr>
        <w:t>～</w:t>
      </w:r>
      <w:r w:rsidRPr="00F9522B">
        <w:rPr>
          <w:rFonts w:eastAsiaTheme="minorEastAsia"/>
          <w:kern w:val="0"/>
          <w:sz w:val="24"/>
        </w:rPr>
        <w:t>7.</w:t>
      </w:r>
      <w:r w:rsidR="005D4635" w:rsidRPr="00F9522B">
        <w:rPr>
          <w:rFonts w:eastAsiaTheme="minorEastAsia"/>
          <w:kern w:val="0"/>
          <w:sz w:val="24"/>
        </w:rPr>
        <w:t>6</w:t>
      </w:r>
      <w:r w:rsidRPr="00F9522B">
        <w:rPr>
          <w:rFonts w:eastAsiaTheme="minorEastAsia"/>
          <w:kern w:val="0"/>
          <w:sz w:val="24"/>
        </w:rPr>
        <w:t>，为</w:t>
      </w:r>
      <w:r w:rsidRPr="00F9522B">
        <w:rPr>
          <w:rFonts w:eastAsiaTheme="minorEastAsia"/>
          <w:kern w:val="0"/>
          <w:sz w:val="24"/>
        </w:rPr>
        <w:t>HCO</w:t>
      </w:r>
      <w:r w:rsidRPr="00F9522B">
        <w:rPr>
          <w:rFonts w:eastAsiaTheme="minorEastAsia"/>
          <w:kern w:val="0"/>
          <w:sz w:val="24"/>
          <w:vertAlign w:val="subscript"/>
        </w:rPr>
        <w:t>3</w:t>
      </w:r>
      <w:r w:rsidRPr="00F9522B">
        <w:rPr>
          <w:rFonts w:eastAsiaTheme="minorEastAsia"/>
          <w:kern w:val="0"/>
          <w:sz w:val="24"/>
          <w:vertAlign w:val="superscript"/>
        </w:rPr>
        <w:t>-</w:t>
      </w:r>
      <w:r w:rsidRPr="00F9522B">
        <w:rPr>
          <w:rFonts w:eastAsiaTheme="minorEastAsia"/>
          <w:kern w:val="0"/>
          <w:sz w:val="24"/>
        </w:rPr>
        <w:t>-Ca</w:t>
      </w:r>
      <w:r w:rsidRPr="00F9522B">
        <w:rPr>
          <w:rFonts w:eastAsiaTheme="minorEastAsia"/>
          <w:kern w:val="0"/>
          <w:sz w:val="24"/>
          <w:vertAlign w:val="superscript"/>
        </w:rPr>
        <w:t>2+</w:t>
      </w:r>
      <w:r w:rsidRPr="00F9522B">
        <w:rPr>
          <w:rFonts w:eastAsiaTheme="minorEastAsia"/>
          <w:kern w:val="0"/>
          <w:sz w:val="24"/>
        </w:rPr>
        <w:t>-Mg</w:t>
      </w:r>
      <w:r w:rsidRPr="00F9522B">
        <w:rPr>
          <w:rFonts w:eastAsiaTheme="minorEastAsia"/>
          <w:kern w:val="0"/>
          <w:sz w:val="24"/>
          <w:vertAlign w:val="superscript"/>
        </w:rPr>
        <w:t>2+</w:t>
      </w:r>
      <w:r w:rsidRPr="00F9522B">
        <w:rPr>
          <w:rFonts w:eastAsiaTheme="minorEastAsia"/>
          <w:kern w:val="0"/>
          <w:sz w:val="24"/>
        </w:rPr>
        <w:t>型水</w:t>
      </w:r>
      <w:r w:rsidR="005D4635" w:rsidRPr="00F9522B">
        <w:rPr>
          <w:rFonts w:eastAsiaTheme="minorEastAsia"/>
          <w:kern w:val="0"/>
          <w:sz w:val="24"/>
        </w:rPr>
        <w:t>、</w:t>
      </w:r>
      <w:r w:rsidR="005D4635" w:rsidRPr="00F9522B">
        <w:rPr>
          <w:rFonts w:eastAsiaTheme="minorEastAsia"/>
          <w:sz w:val="24"/>
        </w:rPr>
        <w:t>HCO</w:t>
      </w:r>
      <w:r w:rsidR="005D4635" w:rsidRPr="00F9522B">
        <w:rPr>
          <w:rFonts w:eastAsiaTheme="minorEastAsia"/>
          <w:sz w:val="24"/>
          <w:vertAlign w:val="subscript"/>
        </w:rPr>
        <w:t>3</w:t>
      </w:r>
      <w:r w:rsidR="005D4635" w:rsidRPr="00F9522B">
        <w:rPr>
          <w:rFonts w:eastAsiaTheme="minorEastAsia"/>
          <w:sz w:val="24"/>
          <w:vertAlign w:val="superscript"/>
        </w:rPr>
        <w:t>-</w:t>
      </w:r>
      <w:r w:rsidR="005D4635" w:rsidRPr="00F9522B">
        <w:rPr>
          <w:rFonts w:eastAsiaTheme="minorEastAsia"/>
          <w:sz w:val="24"/>
        </w:rPr>
        <w:t>-SO</w:t>
      </w:r>
      <w:r w:rsidR="005D4635" w:rsidRPr="00F9522B">
        <w:rPr>
          <w:rFonts w:eastAsiaTheme="minorEastAsia"/>
          <w:sz w:val="24"/>
          <w:vertAlign w:val="subscript"/>
        </w:rPr>
        <w:t>4</w:t>
      </w:r>
      <w:r w:rsidR="005D4635" w:rsidRPr="00F9522B">
        <w:rPr>
          <w:rFonts w:eastAsiaTheme="minorEastAsia"/>
          <w:sz w:val="24"/>
          <w:vertAlign w:val="superscript"/>
        </w:rPr>
        <w:t>2-</w:t>
      </w:r>
      <w:r w:rsidR="005D4635" w:rsidRPr="00F9522B">
        <w:rPr>
          <w:rFonts w:eastAsiaTheme="minorEastAsia"/>
          <w:sz w:val="24"/>
        </w:rPr>
        <w:t>-Cl</w:t>
      </w:r>
      <w:r w:rsidR="005D4635" w:rsidRPr="00F9522B">
        <w:rPr>
          <w:rFonts w:eastAsiaTheme="minorEastAsia"/>
          <w:sz w:val="24"/>
          <w:vertAlign w:val="superscript"/>
        </w:rPr>
        <w:t>-</w:t>
      </w:r>
      <w:r w:rsidR="005D4635" w:rsidRPr="00F9522B">
        <w:rPr>
          <w:rFonts w:eastAsiaTheme="minorEastAsia"/>
          <w:sz w:val="24"/>
        </w:rPr>
        <w:t>Ca</w:t>
      </w:r>
      <w:r w:rsidR="005D4635" w:rsidRPr="00F9522B">
        <w:rPr>
          <w:rFonts w:eastAsiaTheme="minorEastAsia"/>
          <w:sz w:val="24"/>
          <w:vertAlign w:val="superscript"/>
        </w:rPr>
        <w:t>2+</w:t>
      </w:r>
      <w:r w:rsidR="005D4635" w:rsidRPr="00F9522B">
        <w:rPr>
          <w:rFonts w:eastAsiaTheme="minorEastAsia"/>
          <w:sz w:val="24"/>
        </w:rPr>
        <w:t>-Mg</w:t>
      </w:r>
      <w:r w:rsidR="005D4635" w:rsidRPr="00F9522B">
        <w:rPr>
          <w:rFonts w:eastAsiaTheme="minorEastAsia"/>
          <w:sz w:val="24"/>
          <w:vertAlign w:val="superscript"/>
        </w:rPr>
        <w:t>2+</w:t>
      </w:r>
      <w:r w:rsidR="005D4635" w:rsidRPr="00F9522B">
        <w:rPr>
          <w:rFonts w:eastAsiaTheme="minorEastAsia"/>
          <w:kern w:val="0"/>
          <w:sz w:val="24"/>
        </w:rPr>
        <w:t>型水</w:t>
      </w:r>
      <w:r w:rsidRPr="00F9522B">
        <w:rPr>
          <w:rFonts w:eastAsiaTheme="minorEastAsia"/>
          <w:kern w:val="0"/>
          <w:sz w:val="24"/>
        </w:rPr>
        <w:t>。</w:t>
      </w:r>
    </w:p>
    <w:p w:rsidR="002A5A5E" w:rsidRPr="00F9522B" w:rsidRDefault="00891513">
      <w:pPr>
        <w:spacing w:line="360" w:lineRule="auto"/>
        <w:ind w:firstLineChars="200" w:firstLine="480"/>
        <w:rPr>
          <w:rFonts w:eastAsiaTheme="minorEastAsia"/>
          <w:sz w:val="24"/>
        </w:rPr>
      </w:pPr>
      <w:r w:rsidRPr="00F9522B">
        <w:rPr>
          <w:rFonts w:eastAsiaTheme="minorEastAsia"/>
          <w:bCs/>
          <w:sz w:val="24"/>
        </w:rPr>
        <w:t>大庆市润泽水利工程技术咨询有限责任公司于</w:t>
      </w:r>
      <w:r w:rsidRPr="00F9522B">
        <w:rPr>
          <w:rFonts w:eastAsiaTheme="minorEastAsia"/>
          <w:bCs/>
          <w:sz w:val="24"/>
        </w:rPr>
        <w:t>2026</w:t>
      </w:r>
      <w:r w:rsidRPr="00F9522B">
        <w:rPr>
          <w:rFonts w:eastAsiaTheme="minorEastAsia"/>
          <w:bCs/>
          <w:sz w:val="24"/>
        </w:rPr>
        <w:t>年</w:t>
      </w:r>
      <w:r w:rsidRPr="00F9522B">
        <w:rPr>
          <w:rFonts w:eastAsiaTheme="minorEastAsia"/>
          <w:bCs/>
          <w:sz w:val="24"/>
        </w:rPr>
        <w:t>1</w:t>
      </w:r>
      <w:r w:rsidRPr="00F9522B">
        <w:rPr>
          <w:rFonts w:eastAsiaTheme="minorEastAsia"/>
          <w:bCs/>
          <w:sz w:val="24"/>
        </w:rPr>
        <w:t>月编制的《呼兰区</w:t>
      </w:r>
      <w:r w:rsidRPr="00F9522B">
        <w:rPr>
          <w:rFonts w:eastAsiaTheme="minorEastAsia"/>
          <w:bCs/>
          <w:sz w:val="24"/>
        </w:rPr>
        <w:t>2026</w:t>
      </w:r>
      <w:r w:rsidRPr="00F9522B">
        <w:rPr>
          <w:rFonts w:eastAsiaTheme="minorEastAsia"/>
          <w:bCs/>
          <w:sz w:val="24"/>
        </w:rPr>
        <w:t>年高标准农田建设项目水资源论证报告书》已通过专家审查。</w:t>
      </w:r>
      <w:r w:rsidR="00611CBA" w:rsidRPr="00F9522B">
        <w:rPr>
          <w:rFonts w:eastAsiaTheme="minorEastAsia"/>
          <w:sz w:val="24"/>
        </w:rPr>
        <w:t>根据水资源论证报告书结论，项目范围呼兰区地下水可开采量为</w:t>
      </w:r>
      <w:r w:rsidR="00611CBA" w:rsidRPr="00F9522B">
        <w:rPr>
          <w:rFonts w:eastAsiaTheme="minorEastAsia"/>
          <w:sz w:val="24"/>
        </w:rPr>
        <w:t>22433×10</w:t>
      </w:r>
      <w:r w:rsidR="00611CBA" w:rsidRPr="00F9522B">
        <w:rPr>
          <w:rFonts w:eastAsiaTheme="minorEastAsia"/>
          <w:sz w:val="24"/>
          <w:vertAlign w:val="superscript"/>
        </w:rPr>
        <w:t>4</w:t>
      </w:r>
      <w:r w:rsidR="00611CBA" w:rsidRPr="00F9522B">
        <w:rPr>
          <w:rFonts w:eastAsiaTheme="minorEastAsia"/>
          <w:sz w:val="24"/>
        </w:rPr>
        <w:t>m</w:t>
      </w:r>
      <w:r w:rsidR="00611CBA" w:rsidRPr="00F9522B">
        <w:rPr>
          <w:rFonts w:eastAsiaTheme="minorEastAsia"/>
          <w:sz w:val="24"/>
          <w:vertAlign w:val="superscript"/>
        </w:rPr>
        <w:t>3</w:t>
      </w:r>
      <w:r w:rsidR="00611CBA" w:rsidRPr="00F9522B">
        <w:rPr>
          <w:rFonts w:eastAsiaTheme="minorEastAsia"/>
          <w:sz w:val="24"/>
        </w:rPr>
        <w:t>，现状年地下水用水量（含现状农民自打井取水）</w:t>
      </w:r>
      <w:r w:rsidR="00611CBA" w:rsidRPr="00F9522B">
        <w:rPr>
          <w:rFonts w:eastAsiaTheme="minorEastAsia"/>
          <w:sz w:val="24"/>
        </w:rPr>
        <w:t>8320×10</w:t>
      </w:r>
      <w:r w:rsidR="00611CBA" w:rsidRPr="00F9522B">
        <w:rPr>
          <w:rFonts w:eastAsiaTheme="minorEastAsia"/>
          <w:sz w:val="24"/>
          <w:vertAlign w:val="superscript"/>
        </w:rPr>
        <w:t>4</w:t>
      </w:r>
      <w:r w:rsidR="00611CBA" w:rsidRPr="00F9522B">
        <w:rPr>
          <w:rFonts w:eastAsiaTheme="minorEastAsia"/>
          <w:sz w:val="24"/>
        </w:rPr>
        <w:t>m</w:t>
      </w:r>
      <w:r w:rsidR="00611CBA" w:rsidRPr="00F9522B">
        <w:rPr>
          <w:rFonts w:eastAsiaTheme="minorEastAsia"/>
          <w:sz w:val="24"/>
          <w:vertAlign w:val="superscript"/>
        </w:rPr>
        <w:t>3</w:t>
      </w:r>
      <w:r w:rsidR="00611CBA" w:rsidRPr="00F9522B">
        <w:rPr>
          <w:rFonts w:eastAsiaTheme="minorEastAsia"/>
          <w:sz w:val="24"/>
        </w:rPr>
        <w:t>，开发利用程度为</w:t>
      </w:r>
      <w:r w:rsidR="00611CBA" w:rsidRPr="00F9522B">
        <w:rPr>
          <w:rFonts w:eastAsiaTheme="minorEastAsia"/>
          <w:sz w:val="24"/>
        </w:rPr>
        <w:t>37%</w:t>
      </w:r>
      <w:r w:rsidR="00611CBA" w:rsidRPr="00F9522B">
        <w:rPr>
          <w:rFonts w:eastAsiaTheme="minorEastAsia"/>
          <w:sz w:val="24"/>
        </w:rPr>
        <w:t>，地下水资源具备开发潜力。</w:t>
      </w:r>
    </w:p>
    <w:p w:rsidR="002A5A5E" w:rsidRPr="00F9522B" w:rsidRDefault="00611CBA">
      <w:pPr>
        <w:spacing w:line="360" w:lineRule="auto"/>
        <w:ind w:firstLineChars="200" w:firstLine="480"/>
        <w:jc w:val="left"/>
        <w:rPr>
          <w:rFonts w:eastAsiaTheme="minorEastAsia"/>
          <w:kern w:val="0"/>
          <w:sz w:val="24"/>
          <w:szCs w:val="20"/>
        </w:rPr>
      </w:pPr>
      <w:r w:rsidRPr="00F9522B">
        <w:rPr>
          <w:rFonts w:eastAsiaTheme="minorEastAsia"/>
          <w:smallCaps/>
          <w:kern w:val="0"/>
          <w:sz w:val="24"/>
          <w:szCs w:val="20"/>
        </w:rPr>
        <w:t>本项目所在区域地下水水质状况良好，</w:t>
      </w:r>
      <w:r w:rsidR="00902F59" w:rsidRPr="00F9522B">
        <w:rPr>
          <w:sz w:val="24"/>
        </w:rPr>
        <w:t>锰超标，由于原生地质条件导致，其</w:t>
      </w:r>
      <w:r w:rsidR="00902F59" w:rsidRPr="00F9522B">
        <w:rPr>
          <w:sz w:val="24"/>
        </w:rPr>
        <w:lastRenderedPageBreak/>
        <w:t>余监测因子均符合《地下水质量标准》（</w:t>
      </w:r>
      <w:r w:rsidR="00902F59" w:rsidRPr="00F9522B">
        <w:rPr>
          <w:sz w:val="24"/>
        </w:rPr>
        <w:t>GB/T14848-2017</w:t>
      </w:r>
      <w:r w:rsidR="00902F59" w:rsidRPr="00F9522B">
        <w:rPr>
          <w:sz w:val="24"/>
        </w:rPr>
        <w:t>）中</w:t>
      </w:r>
      <w:r w:rsidR="00902F59" w:rsidRPr="00F9522B">
        <w:rPr>
          <w:sz w:val="24"/>
        </w:rPr>
        <w:t>Ⅲ</w:t>
      </w:r>
      <w:r w:rsidR="00902F59" w:rsidRPr="00F9522B">
        <w:rPr>
          <w:sz w:val="24"/>
        </w:rPr>
        <w:t>类标准</w:t>
      </w:r>
      <w:r w:rsidR="00902F59" w:rsidRPr="00F9522B">
        <w:rPr>
          <w:rFonts w:eastAsiaTheme="minorEastAsia"/>
          <w:sz w:val="24"/>
        </w:rPr>
        <w:t>。石油类未检出，满足《地表水环境质量标准》（</w:t>
      </w:r>
      <w:r w:rsidR="00902F59" w:rsidRPr="00F9522B">
        <w:rPr>
          <w:rFonts w:eastAsiaTheme="minorEastAsia"/>
          <w:sz w:val="24"/>
        </w:rPr>
        <w:t>GB3838-2002</w:t>
      </w:r>
      <w:r w:rsidR="00902F59" w:rsidRPr="00F9522B">
        <w:rPr>
          <w:rFonts w:eastAsiaTheme="minorEastAsia"/>
          <w:sz w:val="24"/>
        </w:rPr>
        <w:t>）</w:t>
      </w:r>
      <w:r w:rsidR="005273A1" w:rsidRPr="004B63C1">
        <w:rPr>
          <w:rFonts w:eastAsiaTheme="minorEastAsia"/>
          <w:bCs/>
          <w:sz w:val="24"/>
        </w:rPr>
        <w:fldChar w:fldCharType="begin"/>
      </w:r>
      <w:r w:rsidR="004B63C1" w:rsidRPr="004B63C1">
        <w:rPr>
          <w:rFonts w:eastAsiaTheme="minorEastAsia"/>
          <w:bCs/>
          <w:sz w:val="24"/>
        </w:rPr>
        <w:instrText xml:space="preserve"> </w:instrText>
      </w:r>
      <w:r w:rsidR="004B63C1" w:rsidRPr="004B63C1">
        <w:rPr>
          <w:rFonts w:eastAsiaTheme="minorEastAsia" w:hint="eastAsia"/>
          <w:bCs/>
          <w:sz w:val="24"/>
        </w:rPr>
        <w:instrText>= 2 \* ROMAN</w:instrText>
      </w:r>
      <w:r w:rsidR="004B63C1" w:rsidRPr="004B63C1">
        <w:rPr>
          <w:rFonts w:eastAsiaTheme="minorEastAsia"/>
          <w:bCs/>
          <w:sz w:val="24"/>
        </w:rPr>
        <w:instrText xml:space="preserve"> </w:instrText>
      </w:r>
      <w:r w:rsidR="005273A1" w:rsidRPr="004B63C1">
        <w:rPr>
          <w:rFonts w:eastAsiaTheme="minorEastAsia"/>
          <w:bCs/>
          <w:sz w:val="24"/>
        </w:rPr>
        <w:fldChar w:fldCharType="separate"/>
      </w:r>
      <w:r w:rsidR="004B63C1" w:rsidRPr="004B63C1">
        <w:rPr>
          <w:rFonts w:eastAsiaTheme="minorEastAsia"/>
          <w:bCs/>
          <w:sz w:val="24"/>
        </w:rPr>
        <w:t>II</w:t>
      </w:r>
      <w:r w:rsidR="005273A1" w:rsidRPr="004B63C1">
        <w:rPr>
          <w:rFonts w:eastAsiaTheme="minorEastAsia"/>
          <w:bCs/>
          <w:sz w:val="24"/>
        </w:rPr>
        <w:fldChar w:fldCharType="end"/>
      </w:r>
      <w:r w:rsidR="00902F59" w:rsidRPr="00F9522B">
        <w:rPr>
          <w:rFonts w:eastAsiaTheme="minorEastAsia"/>
          <w:sz w:val="24"/>
        </w:rPr>
        <w:t>类标准</w:t>
      </w:r>
      <w:r w:rsidR="00902F59" w:rsidRPr="00F9522B">
        <w:rPr>
          <w:rFonts w:eastAsiaTheme="minorEastAsia"/>
          <w:smallCaps/>
          <w:kern w:val="0"/>
          <w:sz w:val="24"/>
          <w:szCs w:val="20"/>
        </w:rPr>
        <w:t>。</w:t>
      </w:r>
    </w:p>
    <w:p w:rsidR="002A5A5E" w:rsidRPr="00F9522B" w:rsidRDefault="00611CBA">
      <w:pPr>
        <w:spacing w:line="360" w:lineRule="auto"/>
        <w:ind w:firstLineChars="200" w:firstLine="480"/>
        <w:jc w:val="left"/>
        <w:rPr>
          <w:rFonts w:eastAsiaTheme="minorEastAsia"/>
          <w:kern w:val="0"/>
          <w:sz w:val="24"/>
          <w:szCs w:val="20"/>
        </w:rPr>
      </w:pPr>
      <w:r w:rsidRPr="00F9522B">
        <w:rPr>
          <w:rFonts w:eastAsiaTheme="minorEastAsia"/>
          <w:kern w:val="0"/>
          <w:sz w:val="24"/>
          <w:szCs w:val="20"/>
        </w:rPr>
        <w:t>综上</w:t>
      </w:r>
      <w:bookmarkStart w:id="68" w:name="_Hlk158729954"/>
      <w:r w:rsidRPr="00F9522B">
        <w:rPr>
          <w:rFonts w:eastAsiaTheme="minorEastAsia"/>
          <w:kern w:val="0"/>
          <w:sz w:val="24"/>
          <w:szCs w:val="20"/>
        </w:rPr>
        <w:t>，灌区的运行未对所在区域地表水及地下水环境产生不利影响</w:t>
      </w:r>
      <w:bookmarkEnd w:id="68"/>
      <w:r w:rsidRPr="00F9522B">
        <w:rPr>
          <w:rFonts w:eastAsiaTheme="minorEastAsia"/>
          <w:kern w:val="0"/>
          <w:sz w:val="24"/>
          <w:szCs w:val="20"/>
        </w:rPr>
        <w:t>。</w:t>
      </w:r>
    </w:p>
    <w:p w:rsidR="002A5A5E" w:rsidRPr="00F9522B" w:rsidRDefault="00611CBA">
      <w:pPr>
        <w:spacing w:line="360" w:lineRule="auto"/>
        <w:ind w:firstLineChars="200" w:firstLine="480"/>
        <w:jc w:val="left"/>
        <w:rPr>
          <w:rFonts w:eastAsiaTheme="minorEastAsia"/>
          <w:smallCaps/>
          <w:kern w:val="0"/>
          <w:sz w:val="24"/>
          <w:szCs w:val="20"/>
        </w:rPr>
      </w:pPr>
      <w:r w:rsidRPr="00F9522B">
        <w:rPr>
          <w:rFonts w:eastAsiaTheme="minorEastAsia"/>
          <w:smallCaps/>
          <w:kern w:val="0"/>
          <w:sz w:val="24"/>
          <w:szCs w:val="20"/>
        </w:rPr>
        <w:t>（</w:t>
      </w:r>
      <w:r w:rsidRPr="00F9522B">
        <w:rPr>
          <w:rFonts w:eastAsiaTheme="minorEastAsia"/>
          <w:smallCaps/>
          <w:kern w:val="0"/>
          <w:sz w:val="24"/>
          <w:szCs w:val="20"/>
        </w:rPr>
        <w:t>3</w:t>
      </w:r>
      <w:r w:rsidRPr="00F9522B">
        <w:rPr>
          <w:rFonts w:eastAsiaTheme="minorEastAsia"/>
          <w:smallCaps/>
          <w:kern w:val="0"/>
          <w:sz w:val="24"/>
          <w:szCs w:val="20"/>
        </w:rPr>
        <w:t>）生态环境现状</w:t>
      </w:r>
    </w:p>
    <w:p w:rsidR="002A5A5E" w:rsidRPr="00F9522B" w:rsidRDefault="00611CBA">
      <w:pPr>
        <w:spacing w:line="360" w:lineRule="auto"/>
        <w:ind w:firstLineChars="200" w:firstLine="480"/>
        <w:jc w:val="left"/>
        <w:rPr>
          <w:rFonts w:eastAsiaTheme="minorEastAsia"/>
          <w:smallCaps/>
          <w:kern w:val="0"/>
          <w:sz w:val="24"/>
          <w:szCs w:val="20"/>
        </w:rPr>
      </w:pPr>
      <w:r w:rsidRPr="00F9522B">
        <w:rPr>
          <w:rFonts w:eastAsiaTheme="minorEastAsia"/>
          <w:smallCaps/>
          <w:kern w:val="0"/>
          <w:sz w:val="24"/>
          <w:szCs w:val="20"/>
        </w:rPr>
        <w:t>现有灌区</w:t>
      </w:r>
      <w:r w:rsidRPr="00F9522B">
        <w:rPr>
          <w:rFonts w:eastAsiaTheme="minorEastAsia"/>
          <w:kern w:val="0"/>
          <w:sz w:val="24"/>
          <w:szCs w:val="20"/>
        </w:rPr>
        <w:t>建设年代较早</w:t>
      </w:r>
      <w:r w:rsidRPr="00F9522B">
        <w:rPr>
          <w:rFonts w:eastAsiaTheme="minorEastAsia"/>
          <w:smallCaps/>
          <w:kern w:val="0"/>
          <w:sz w:val="24"/>
          <w:szCs w:val="20"/>
        </w:rPr>
        <w:t>。工程建设施工时间较短，在施工时采取了相应的环境保护措施，严格控制施工范围在永久占地范围内，施工结束后对临时占地恢复原地类，施工过程中未对周围环境产生影响。</w:t>
      </w:r>
    </w:p>
    <w:p w:rsidR="002A5A5E" w:rsidRPr="00F9522B" w:rsidRDefault="00611CBA">
      <w:pPr>
        <w:spacing w:line="360" w:lineRule="auto"/>
        <w:ind w:firstLineChars="200" w:firstLine="480"/>
        <w:jc w:val="left"/>
        <w:rPr>
          <w:rFonts w:eastAsiaTheme="minorEastAsia"/>
          <w:smallCaps/>
          <w:kern w:val="0"/>
          <w:sz w:val="24"/>
          <w:szCs w:val="20"/>
        </w:rPr>
      </w:pPr>
      <w:r w:rsidRPr="00F9522B">
        <w:rPr>
          <w:rFonts w:eastAsiaTheme="minorEastAsia"/>
          <w:smallCaps/>
          <w:kern w:val="0"/>
          <w:sz w:val="24"/>
          <w:szCs w:val="20"/>
        </w:rPr>
        <w:t>从整体上看，原有灌区工程灌排体系相对较为完善，引水渠道和排水渠道等线性工程对生境的切割和阻隔作用已经存在，工程的建设不可避免地对生态环境产生了一定影响，但是没有造成该区植被类型消失、植物种类灭绝，灌区目前没有发生土壤潜育化、沼泽化、盐渍化、沙化等现象，施工结束后已采取了植被恢复措施，对生态环境造成的环境影响在可接受范围内。工程的实施有利于灌区内小气候的改善，湿度增加，温度适宜，加上绿色覆盖面的增加，区内田成块、路相通，美化自然景观。</w:t>
      </w:r>
    </w:p>
    <w:p w:rsidR="002A5A5E" w:rsidRPr="00F9522B" w:rsidRDefault="00611CBA">
      <w:pPr>
        <w:spacing w:line="360" w:lineRule="auto"/>
        <w:ind w:firstLineChars="200" w:firstLine="480"/>
        <w:jc w:val="left"/>
        <w:rPr>
          <w:rFonts w:eastAsiaTheme="minorEastAsia"/>
          <w:smallCaps/>
          <w:kern w:val="0"/>
          <w:sz w:val="24"/>
          <w:szCs w:val="20"/>
        </w:rPr>
      </w:pPr>
      <w:r w:rsidRPr="00F9522B">
        <w:rPr>
          <w:rFonts w:eastAsiaTheme="minorEastAsia"/>
          <w:smallCaps/>
          <w:kern w:val="0"/>
          <w:sz w:val="24"/>
          <w:szCs w:val="20"/>
        </w:rPr>
        <w:t>灌区已运行多年，由于水流冲刷原因，对坡面的植被造成破坏，渠道边坡等局部水土流失、输水效率低、渗漏损失大等。</w:t>
      </w:r>
    </w:p>
    <w:p w:rsidR="002A5A5E" w:rsidRPr="00F9522B" w:rsidRDefault="00611CBA">
      <w:pPr>
        <w:spacing w:line="360" w:lineRule="auto"/>
        <w:ind w:firstLineChars="200" w:firstLine="480"/>
        <w:jc w:val="left"/>
        <w:rPr>
          <w:rFonts w:eastAsiaTheme="minorEastAsia"/>
          <w:smallCaps/>
          <w:kern w:val="0"/>
          <w:sz w:val="24"/>
          <w:szCs w:val="20"/>
        </w:rPr>
      </w:pPr>
      <w:r w:rsidRPr="00F9522B">
        <w:rPr>
          <w:rFonts w:eastAsiaTheme="minorEastAsia"/>
          <w:smallCaps/>
          <w:kern w:val="0"/>
          <w:sz w:val="24"/>
          <w:szCs w:val="20"/>
        </w:rPr>
        <w:t>根据生态环境质量现状评价，评价范围内水田、旱地所占比例多，景观优势度高，因此整体来看评价区的生物恢复力较高；耕地景观优势度明显高于林地，所以评价区内基质主要为耕地，其基质地位比较容易维持；评价区种群源的持久性和可达性较高；评价区中景观的基质为耕地，其连通性较好，连接度较好，在景观水平上，景观组织的开放性较好，对景观受外界干扰冲击和生态恢复具有积极意义。对陆生生态影响较小。</w:t>
      </w:r>
    </w:p>
    <w:p w:rsidR="002A5A5E" w:rsidRPr="00F9522B" w:rsidRDefault="00611CBA">
      <w:pPr>
        <w:spacing w:line="360" w:lineRule="auto"/>
        <w:ind w:firstLineChars="200" w:firstLine="480"/>
        <w:jc w:val="left"/>
        <w:rPr>
          <w:rFonts w:eastAsiaTheme="minorEastAsia"/>
          <w:smallCaps/>
          <w:kern w:val="0"/>
          <w:sz w:val="24"/>
          <w:szCs w:val="20"/>
        </w:rPr>
      </w:pPr>
      <w:r w:rsidRPr="00F9522B">
        <w:rPr>
          <w:rFonts w:eastAsiaTheme="minorEastAsia"/>
          <w:smallCaps/>
          <w:kern w:val="0"/>
          <w:sz w:val="24"/>
          <w:szCs w:val="20"/>
        </w:rPr>
        <w:t>综上所述，灌区的运行未对所在区域生态环境造成较大影响，灌区渠首的修建和阻隔影响及现有水田退水的影响经过多年的演替，已形成稳定的适合现有鱼类及水生生物生长繁殖的生境和生态系统。</w:t>
      </w:r>
      <w:r w:rsidRPr="00F9522B">
        <w:rPr>
          <w:rFonts w:eastAsiaTheme="minorEastAsia"/>
          <w:sz w:val="24"/>
        </w:rPr>
        <w:t>本项目现有水田退水未导致</w:t>
      </w:r>
      <w:r w:rsidR="00D14C52" w:rsidRPr="00F9522B">
        <w:rPr>
          <w:rFonts w:eastAsiaTheme="minorEastAsia"/>
          <w:sz w:val="24"/>
        </w:rPr>
        <w:t>松花江</w:t>
      </w:r>
      <w:r w:rsidRPr="00F9522B">
        <w:rPr>
          <w:rFonts w:eastAsiaTheme="minorEastAsia"/>
          <w:sz w:val="24"/>
        </w:rPr>
        <w:t>、漂河及地表水保护目标</w:t>
      </w:r>
      <w:r w:rsidRPr="00F9522B">
        <w:rPr>
          <w:rFonts w:eastAsiaTheme="minorEastAsia"/>
          <w:smallCaps/>
          <w:kern w:val="0"/>
          <w:sz w:val="24"/>
          <w:szCs w:val="20"/>
        </w:rPr>
        <w:t>水生生态环境</w:t>
      </w:r>
      <w:r w:rsidRPr="00F9522B">
        <w:rPr>
          <w:rFonts w:eastAsiaTheme="minorEastAsia"/>
          <w:sz w:val="24"/>
        </w:rPr>
        <w:t>发生恶化。</w:t>
      </w:r>
    </w:p>
    <w:p w:rsidR="002A5A5E" w:rsidRPr="00F9522B" w:rsidRDefault="00611CBA">
      <w:pPr>
        <w:adjustRightInd w:val="0"/>
        <w:snapToGrid w:val="0"/>
        <w:spacing w:line="360" w:lineRule="auto"/>
        <w:ind w:firstLineChars="200" w:firstLine="480"/>
        <w:rPr>
          <w:rFonts w:eastAsiaTheme="minorEastAsia"/>
          <w:sz w:val="24"/>
          <w:szCs w:val="22"/>
        </w:rPr>
      </w:pPr>
      <w:r w:rsidRPr="00F9522B">
        <w:rPr>
          <w:rFonts w:eastAsiaTheme="minorEastAsia"/>
          <w:sz w:val="24"/>
          <w:szCs w:val="22"/>
        </w:rPr>
        <w:t>（</w:t>
      </w:r>
      <w:r w:rsidRPr="00F9522B">
        <w:rPr>
          <w:rFonts w:eastAsiaTheme="minorEastAsia"/>
          <w:sz w:val="24"/>
          <w:szCs w:val="22"/>
        </w:rPr>
        <w:t>4</w:t>
      </w:r>
      <w:r w:rsidRPr="00F9522B">
        <w:rPr>
          <w:rFonts w:eastAsiaTheme="minorEastAsia"/>
          <w:sz w:val="24"/>
          <w:szCs w:val="22"/>
        </w:rPr>
        <w:t>）土壤</w:t>
      </w:r>
    </w:p>
    <w:p w:rsidR="002A5A5E" w:rsidRPr="00F9522B" w:rsidRDefault="00A93CEB">
      <w:pPr>
        <w:adjustRightInd w:val="0"/>
        <w:snapToGrid w:val="0"/>
        <w:spacing w:line="360" w:lineRule="auto"/>
        <w:ind w:firstLineChars="200" w:firstLine="480"/>
        <w:rPr>
          <w:rFonts w:eastAsiaTheme="minorEastAsia"/>
          <w:smallCaps/>
          <w:kern w:val="0"/>
          <w:sz w:val="24"/>
          <w:szCs w:val="20"/>
        </w:rPr>
      </w:pPr>
      <w:r w:rsidRPr="00F9522B">
        <w:rPr>
          <w:rFonts w:eastAsiaTheme="minorEastAsia"/>
          <w:sz w:val="24"/>
          <w:szCs w:val="21"/>
        </w:rPr>
        <w:t>根据土壤现状监测结果，</w:t>
      </w:r>
      <w:r w:rsidRPr="00F9522B">
        <w:rPr>
          <w:rFonts w:eastAsiaTheme="minorEastAsia"/>
          <w:sz w:val="24"/>
          <w:szCs w:val="21"/>
        </w:rPr>
        <w:t>3</w:t>
      </w:r>
      <w:r w:rsidRPr="00F9522B">
        <w:rPr>
          <w:rFonts w:eastAsiaTheme="minorEastAsia"/>
          <w:sz w:val="24"/>
          <w:szCs w:val="21"/>
        </w:rPr>
        <w:t>个监测点</w:t>
      </w:r>
      <w:r w:rsidRPr="00F9522B">
        <w:rPr>
          <w:rFonts w:eastAsiaTheme="minorEastAsia"/>
          <w:sz w:val="24"/>
          <w:szCs w:val="21"/>
        </w:rPr>
        <w:t>pH</w:t>
      </w:r>
      <w:r w:rsidRPr="00F9522B">
        <w:rPr>
          <w:rFonts w:eastAsiaTheme="minorEastAsia"/>
          <w:sz w:val="24"/>
          <w:szCs w:val="21"/>
        </w:rPr>
        <w:t>值在</w:t>
      </w:r>
      <w:r w:rsidRPr="00F9522B">
        <w:rPr>
          <w:rFonts w:eastAsiaTheme="minorEastAsia"/>
          <w:sz w:val="24"/>
          <w:szCs w:val="21"/>
        </w:rPr>
        <w:t>6.17-7.31</w:t>
      </w:r>
      <w:r w:rsidRPr="00F9522B">
        <w:rPr>
          <w:rFonts w:eastAsiaTheme="minorEastAsia"/>
          <w:sz w:val="24"/>
          <w:szCs w:val="21"/>
        </w:rPr>
        <w:t>之间，含盐量为</w:t>
      </w:r>
      <w:r w:rsidRPr="00F9522B">
        <w:rPr>
          <w:rFonts w:eastAsiaTheme="minorEastAsia"/>
          <w:sz w:val="24"/>
          <w:szCs w:val="21"/>
        </w:rPr>
        <w:t>0.4-0.9g/kg</w:t>
      </w:r>
      <w:r w:rsidRPr="00F9522B">
        <w:rPr>
          <w:rFonts w:eastAsiaTheme="minorEastAsia"/>
          <w:sz w:val="24"/>
        </w:rPr>
        <w:t>。均</w:t>
      </w:r>
      <w:r w:rsidRPr="00F9522B">
        <w:rPr>
          <w:rFonts w:eastAsiaTheme="minorEastAsia"/>
          <w:sz w:val="24"/>
          <w:szCs w:val="21"/>
        </w:rPr>
        <w:t>满足《土壤环境质量</w:t>
      </w:r>
      <w:r w:rsidRPr="00F9522B">
        <w:rPr>
          <w:rFonts w:eastAsiaTheme="minorEastAsia"/>
          <w:sz w:val="24"/>
          <w:szCs w:val="21"/>
        </w:rPr>
        <w:t xml:space="preserve"> </w:t>
      </w:r>
      <w:r w:rsidRPr="00F9522B">
        <w:rPr>
          <w:rFonts w:eastAsiaTheme="minorEastAsia"/>
          <w:sz w:val="24"/>
          <w:szCs w:val="21"/>
        </w:rPr>
        <w:t>农用地土壤污染风险管控标准（试行）》（</w:t>
      </w:r>
      <w:r w:rsidRPr="00F9522B">
        <w:rPr>
          <w:rFonts w:eastAsiaTheme="minorEastAsia"/>
          <w:sz w:val="24"/>
          <w:szCs w:val="21"/>
        </w:rPr>
        <w:t>GB15618-2018</w:t>
      </w:r>
      <w:r w:rsidRPr="00F9522B">
        <w:rPr>
          <w:rFonts w:eastAsiaTheme="minorEastAsia"/>
          <w:sz w:val="24"/>
          <w:szCs w:val="21"/>
        </w:rPr>
        <w:t>）表</w:t>
      </w:r>
      <w:r w:rsidRPr="00F9522B">
        <w:rPr>
          <w:rFonts w:eastAsiaTheme="minorEastAsia"/>
          <w:sz w:val="24"/>
          <w:szCs w:val="21"/>
        </w:rPr>
        <w:t>1</w:t>
      </w:r>
      <w:r w:rsidRPr="00F9522B">
        <w:rPr>
          <w:rFonts w:eastAsiaTheme="minorEastAsia"/>
          <w:sz w:val="24"/>
          <w:szCs w:val="21"/>
        </w:rPr>
        <w:t>中标准限值</w:t>
      </w:r>
      <w:r w:rsidR="00611CBA" w:rsidRPr="00F9522B">
        <w:rPr>
          <w:rFonts w:eastAsiaTheme="minorEastAsia"/>
          <w:sz w:val="24"/>
          <w:szCs w:val="22"/>
        </w:rPr>
        <w:t>。土壤未</w:t>
      </w:r>
      <w:r w:rsidR="00611CBA" w:rsidRPr="00F9522B">
        <w:rPr>
          <w:rFonts w:eastAsiaTheme="minorEastAsia"/>
          <w:smallCaps/>
          <w:kern w:val="0"/>
          <w:sz w:val="24"/>
          <w:szCs w:val="20"/>
        </w:rPr>
        <w:t>发生土壤盐渍化、酸化、碱化。</w:t>
      </w:r>
    </w:p>
    <w:p w:rsidR="002A5A5E" w:rsidRPr="00F9522B" w:rsidRDefault="00611CBA">
      <w:pPr>
        <w:adjustRightInd w:val="0"/>
        <w:snapToGrid w:val="0"/>
        <w:spacing w:line="360" w:lineRule="auto"/>
        <w:ind w:firstLineChars="200" w:firstLine="480"/>
        <w:rPr>
          <w:rFonts w:eastAsiaTheme="minorEastAsia"/>
          <w:smallCaps/>
          <w:kern w:val="0"/>
          <w:sz w:val="24"/>
          <w:szCs w:val="20"/>
        </w:rPr>
      </w:pPr>
      <w:r w:rsidRPr="00F9522B">
        <w:rPr>
          <w:rFonts w:eastAsiaTheme="minorEastAsia"/>
          <w:smallCaps/>
          <w:kern w:val="0"/>
          <w:sz w:val="24"/>
          <w:szCs w:val="20"/>
        </w:rPr>
        <w:lastRenderedPageBreak/>
        <w:t>（</w:t>
      </w:r>
      <w:r w:rsidRPr="00F9522B">
        <w:rPr>
          <w:rFonts w:eastAsiaTheme="minorEastAsia"/>
          <w:smallCaps/>
          <w:kern w:val="0"/>
          <w:sz w:val="24"/>
          <w:szCs w:val="20"/>
        </w:rPr>
        <w:t>5</w:t>
      </w:r>
      <w:r w:rsidRPr="00F9522B">
        <w:rPr>
          <w:rFonts w:eastAsiaTheme="minorEastAsia"/>
          <w:smallCaps/>
          <w:kern w:val="0"/>
          <w:sz w:val="24"/>
          <w:szCs w:val="20"/>
        </w:rPr>
        <w:t>）水文及水资源</w:t>
      </w:r>
    </w:p>
    <w:p w:rsidR="002A5A5E" w:rsidRPr="00F9522B" w:rsidRDefault="00611CBA">
      <w:pPr>
        <w:adjustRightInd w:val="0"/>
        <w:snapToGrid w:val="0"/>
        <w:spacing w:line="360" w:lineRule="auto"/>
        <w:ind w:firstLineChars="200" w:firstLine="480"/>
        <w:rPr>
          <w:rFonts w:eastAsiaTheme="minorEastAsia"/>
          <w:sz w:val="24"/>
          <w:szCs w:val="22"/>
        </w:rPr>
      </w:pPr>
      <w:r w:rsidRPr="00F9522B">
        <w:rPr>
          <w:rFonts w:eastAsiaTheme="minorEastAsia"/>
          <w:sz w:val="24"/>
          <w:szCs w:val="22"/>
        </w:rPr>
        <w:t>灌区干渠上现有部分涵洞、过水路面等渠系建筑物部分已到达合理使用年限，老化破损严重，年久失修，无法继续满足基本灌溉需求；渠道衬砌长度较短，渗漏损失大，导致渠道输水效率低，部分输水渠段跑、冒、漏严重，致使渠道沿程水损失较大，水资源浪费严重。项目区部分排水沟淤积严重，排水不畅。</w:t>
      </w:r>
    </w:p>
    <w:p w:rsidR="002A5A5E" w:rsidRPr="00F9522B" w:rsidRDefault="00611CBA">
      <w:pPr>
        <w:adjustRightInd w:val="0"/>
        <w:snapToGrid w:val="0"/>
        <w:spacing w:line="360" w:lineRule="auto"/>
        <w:ind w:firstLineChars="200" w:firstLine="480"/>
        <w:rPr>
          <w:rFonts w:eastAsiaTheme="minorEastAsia"/>
          <w:bCs/>
          <w:sz w:val="24"/>
          <w:szCs w:val="22"/>
        </w:rPr>
      </w:pPr>
      <w:r w:rsidRPr="00F9522B">
        <w:rPr>
          <w:rFonts w:eastAsiaTheme="minorEastAsia"/>
          <w:sz w:val="24"/>
          <w:szCs w:val="22"/>
        </w:rPr>
        <w:t>综上，</w:t>
      </w:r>
      <w:r w:rsidRPr="00F9522B">
        <w:rPr>
          <w:rFonts w:eastAsiaTheme="minorEastAsia"/>
          <w:bCs/>
          <w:sz w:val="24"/>
          <w:szCs w:val="22"/>
        </w:rPr>
        <w:t>现有工程运行多年，对环境造成影响较小，未导致地表水、地下水、生态、土壤环境发生恶化。</w:t>
      </w:r>
    </w:p>
    <w:p w:rsidR="002A5A5E" w:rsidRPr="00F9522B" w:rsidRDefault="00611CBA">
      <w:pPr>
        <w:numPr>
          <w:ilvl w:val="3"/>
          <w:numId w:val="0"/>
        </w:numPr>
        <w:tabs>
          <w:tab w:val="left" w:pos="1134"/>
        </w:tabs>
        <w:spacing w:line="360" w:lineRule="auto"/>
        <w:ind w:left="851" w:hanging="851"/>
        <w:outlineLvl w:val="3"/>
        <w:rPr>
          <w:rFonts w:eastAsiaTheme="minorEastAsia"/>
          <w:kern w:val="0"/>
          <w:sz w:val="24"/>
          <w:szCs w:val="20"/>
        </w:rPr>
      </w:pPr>
      <w:r w:rsidRPr="00F9522B">
        <w:rPr>
          <w:rFonts w:eastAsiaTheme="minorEastAsia"/>
          <w:b/>
          <w:sz w:val="24"/>
        </w:rPr>
        <w:t>3.1.3.3</w:t>
      </w:r>
      <w:r w:rsidRPr="00F9522B">
        <w:rPr>
          <w:rFonts w:eastAsiaTheme="minorEastAsia"/>
          <w:b/>
          <w:sz w:val="24"/>
        </w:rPr>
        <w:t>现状存在的生态环境问题以及</w:t>
      </w:r>
      <w:r w:rsidRPr="00F9522B">
        <w:rPr>
          <w:rFonts w:eastAsiaTheme="minorEastAsia"/>
          <w:b/>
          <w:sz w:val="24"/>
        </w:rPr>
        <w:t>“</w:t>
      </w:r>
      <w:r w:rsidRPr="00F9522B">
        <w:rPr>
          <w:rFonts w:eastAsiaTheme="minorEastAsia"/>
          <w:b/>
          <w:sz w:val="24"/>
        </w:rPr>
        <w:t>以新带老</w:t>
      </w:r>
      <w:r w:rsidRPr="00F9522B">
        <w:rPr>
          <w:rFonts w:eastAsiaTheme="minorEastAsia"/>
          <w:b/>
          <w:sz w:val="24"/>
        </w:rPr>
        <w:t>”</w:t>
      </w:r>
      <w:r w:rsidRPr="00F9522B">
        <w:rPr>
          <w:rFonts w:eastAsiaTheme="minorEastAsia"/>
          <w:b/>
          <w:sz w:val="24"/>
        </w:rPr>
        <w:t>措施</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本项目实施即对原有输水渠道和渠系构筑物进行改造维护，项目实施后原输水渠道将恢复设计输水能力，提高灌溉设计保证率，节水效益显著提高，促进区域健康发展。</w:t>
      </w:r>
    </w:p>
    <w:p w:rsidR="002A5A5E" w:rsidRPr="00F9522B" w:rsidRDefault="00611CBA">
      <w:pPr>
        <w:contextualSpacing/>
        <w:jc w:val="center"/>
        <w:rPr>
          <w:rFonts w:eastAsiaTheme="minorEastAsia"/>
          <w:b/>
          <w:kern w:val="0"/>
          <w:szCs w:val="21"/>
        </w:rPr>
      </w:pPr>
      <w:bookmarkStart w:id="69" w:name="_Hlk150932396"/>
      <w:r w:rsidRPr="00F9522B">
        <w:rPr>
          <w:rFonts w:eastAsiaTheme="minorEastAsia"/>
          <w:b/>
          <w:kern w:val="0"/>
          <w:szCs w:val="21"/>
        </w:rPr>
        <w:t>表</w:t>
      </w:r>
      <w:r w:rsidRPr="00F9522B">
        <w:rPr>
          <w:rFonts w:eastAsiaTheme="minorEastAsia"/>
          <w:b/>
          <w:kern w:val="0"/>
          <w:szCs w:val="21"/>
        </w:rPr>
        <w:t xml:space="preserve">3-1-3 </w:t>
      </w:r>
      <w:r w:rsidRPr="00F9522B">
        <w:rPr>
          <w:rFonts w:eastAsiaTheme="minorEastAsia"/>
          <w:b/>
          <w:kern w:val="0"/>
          <w:szCs w:val="21"/>
        </w:rPr>
        <w:t>现状主要生态环境问题及整改措施</w:t>
      </w:r>
    </w:p>
    <w:tbl>
      <w:tblPr>
        <w:tblW w:w="8444" w:type="dxa"/>
        <w:tblBorders>
          <w:top w:val="single" w:sz="12" w:space="0" w:color="auto"/>
          <w:bottom w:val="single" w:sz="12" w:space="0" w:color="auto"/>
          <w:insideH w:val="single" w:sz="6" w:space="0" w:color="auto"/>
          <w:insideV w:val="single" w:sz="6" w:space="0" w:color="auto"/>
        </w:tblBorders>
        <w:tblLook w:val="04A0"/>
      </w:tblPr>
      <w:tblGrid>
        <w:gridCol w:w="940"/>
        <w:gridCol w:w="4864"/>
        <w:gridCol w:w="2640"/>
      </w:tblGrid>
      <w:tr w:rsidR="002A5A5E" w:rsidRPr="00F9522B">
        <w:trPr>
          <w:trHeight w:val="425"/>
        </w:trPr>
        <w:tc>
          <w:tcPr>
            <w:tcW w:w="940" w:type="dxa"/>
            <w:vAlign w:val="center"/>
          </w:tcPr>
          <w:p w:rsidR="002A5A5E" w:rsidRPr="00F9522B" w:rsidRDefault="00611CBA">
            <w:pPr>
              <w:adjustRightInd w:val="0"/>
              <w:snapToGrid w:val="0"/>
              <w:jc w:val="center"/>
              <w:rPr>
                <w:rFonts w:eastAsiaTheme="minorEastAsia"/>
                <w:spacing w:val="-4"/>
                <w:kern w:val="0"/>
                <w:szCs w:val="20"/>
              </w:rPr>
            </w:pPr>
            <w:r w:rsidRPr="00F9522B">
              <w:rPr>
                <w:rFonts w:eastAsiaTheme="minorEastAsia"/>
                <w:spacing w:val="-4"/>
                <w:kern w:val="0"/>
                <w:szCs w:val="20"/>
              </w:rPr>
              <w:t>类别</w:t>
            </w:r>
          </w:p>
        </w:tc>
        <w:tc>
          <w:tcPr>
            <w:tcW w:w="4864" w:type="dxa"/>
            <w:vAlign w:val="center"/>
          </w:tcPr>
          <w:p w:rsidR="002A5A5E" w:rsidRPr="00F9522B" w:rsidRDefault="00611CBA">
            <w:pPr>
              <w:adjustRightInd w:val="0"/>
              <w:snapToGrid w:val="0"/>
              <w:jc w:val="center"/>
              <w:rPr>
                <w:rFonts w:eastAsiaTheme="minorEastAsia"/>
                <w:spacing w:val="-4"/>
                <w:kern w:val="0"/>
                <w:szCs w:val="20"/>
              </w:rPr>
            </w:pPr>
            <w:r w:rsidRPr="00F9522B">
              <w:rPr>
                <w:rFonts w:eastAsiaTheme="minorEastAsia"/>
                <w:spacing w:val="-4"/>
                <w:kern w:val="0"/>
                <w:szCs w:val="20"/>
              </w:rPr>
              <w:t>存在问题</w:t>
            </w:r>
          </w:p>
        </w:tc>
        <w:tc>
          <w:tcPr>
            <w:tcW w:w="2640" w:type="dxa"/>
            <w:vAlign w:val="center"/>
          </w:tcPr>
          <w:p w:rsidR="002A5A5E" w:rsidRPr="00F9522B" w:rsidRDefault="00611CBA">
            <w:pPr>
              <w:adjustRightInd w:val="0"/>
              <w:snapToGrid w:val="0"/>
              <w:jc w:val="center"/>
              <w:rPr>
                <w:rFonts w:eastAsiaTheme="minorEastAsia"/>
                <w:spacing w:val="-4"/>
                <w:kern w:val="0"/>
                <w:szCs w:val="20"/>
              </w:rPr>
            </w:pPr>
            <w:r w:rsidRPr="00F9522B">
              <w:rPr>
                <w:rFonts w:eastAsiaTheme="minorEastAsia"/>
                <w:spacing w:val="-4"/>
                <w:kern w:val="0"/>
                <w:szCs w:val="20"/>
              </w:rPr>
              <w:t>整改措施</w:t>
            </w:r>
          </w:p>
        </w:tc>
      </w:tr>
      <w:tr w:rsidR="002A5A5E" w:rsidRPr="00F9522B">
        <w:trPr>
          <w:trHeight w:val="1660"/>
        </w:trPr>
        <w:tc>
          <w:tcPr>
            <w:tcW w:w="940" w:type="dxa"/>
            <w:vAlign w:val="center"/>
          </w:tcPr>
          <w:p w:rsidR="002A5A5E" w:rsidRPr="00F9522B" w:rsidRDefault="00611CBA">
            <w:pPr>
              <w:adjustRightInd w:val="0"/>
              <w:snapToGrid w:val="0"/>
              <w:jc w:val="center"/>
              <w:rPr>
                <w:rFonts w:eastAsiaTheme="minorEastAsia"/>
                <w:spacing w:val="-4"/>
                <w:kern w:val="0"/>
                <w:szCs w:val="20"/>
              </w:rPr>
            </w:pPr>
            <w:r w:rsidRPr="00F9522B">
              <w:rPr>
                <w:rFonts w:eastAsiaTheme="minorEastAsia"/>
                <w:spacing w:val="-4"/>
                <w:kern w:val="0"/>
                <w:szCs w:val="20"/>
              </w:rPr>
              <w:t>水文及水资源</w:t>
            </w:r>
          </w:p>
        </w:tc>
        <w:tc>
          <w:tcPr>
            <w:tcW w:w="4864" w:type="dxa"/>
            <w:vAlign w:val="center"/>
          </w:tcPr>
          <w:p w:rsidR="002A5A5E" w:rsidRPr="00F9522B" w:rsidRDefault="00611CBA" w:rsidP="00A575CC">
            <w:pPr>
              <w:adjustRightInd w:val="0"/>
              <w:snapToGrid w:val="0"/>
              <w:jc w:val="left"/>
              <w:rPr>
                <w:rFonts w:eastAsiaTheme="minorEastAsia"/>
                <w:color w:val="FF0000"/>
                <w:spacing w:val="-4"/>
                <w:kern w:val="0"/>
                <w:szCs w:val="20"/>
              </w:rPr>
            </w:pPr>
            <w:r w:rsidRPr="00F9522B">
              <w:rPr>
                <w:rFonts w:eastAsiaTheme="minorEastAsia"/>
                <w:color w:val="FF0000"/>
                <w:spacing w:val="-4"/>
                <w:kern w:val="0"/>
                <w:szCs w:val="21"/>
              </w:rPr>
              <w:t>灌区</w:t>
            </w:r>
            <w:r w:rsidR="00A575CC" w:rsidRPr="00F9522B">
              <w:rPr>
                <w:rFonts w:eastAsiaTheme="minorEastAsia"/>
                <w:color w:val="FF0000"/>
                <w:spacing w:val="-4"/>
                <w:kern w:val="0"/>
                <w:szCs w:val="20"/>
              </w:rPr>
              <w:t>干渠上现有部分涵洞</w:t>
            </w:r>
            <w:r w:rsidRPr="00F9522B">
              <w:rPr>
                <w:rFonts w:eastAsiaTheme="minorEastAsia"/>
                <w:color w:val="FF0000"/>
                <w:spacing w:val="-4"/>
                <w:kern w:val="0"/>
                <w:szCs w:val="20"/>
              </w:rPr>
              <w:t>等渠系建筑物部分已到达合理使用年限，老化破损严重，年久失修，无法继续满足基本灌溉需求；渠道衬砌长度较短，渗漏损失大，导致渠道输水效率低，部分输水渠段跑、冒、漏严重，致使渠道沿程水损失较大，水资源浪费严重。项目区部分排水沟淤积严重，排水不畅。</w:t>
            </w:r>
          </w:p>
        </w:tc>
        <w:tc>
          <w:tcPr>
            <w:tcW w:w="2640" w:type="dxa"/>
            <w:vAlign w:val="center"/>
          </w:tcPr>
          <w:p w:rsidR="002A5A5E" w:rsidRPr="00F9522B" w:rsidRDefault="00611CBA">
            <w:pPr>
              <w:adjustRightInd w:val="0"/>
              <w:snapToGrid w:val="0"/>
              <w:jc w:val="left"/>
              <w:rPr>
                <w:rFonts w:eastAsiaTheme="minorEastAsia"/>
                <w:spacing w:val="-4"/>
                <w:kern w:val="0"/>
                <w:szCs w:val="20"/>
              </w:rPr>
            </w:pPr>
            <w:r w:rsidRPr="00F9522B">
              <w:rPr>
                <w:rFonts w:eastAsiaTheme="minorEastAsia"/>
                <w:spacing w:val="-4"/>
                <w:kern w:val="0"/>
                <w:szCs w:val="20"/>
              </w:rPr>
              <w:t>对现有渠道进行衬砌，对建筑物进行新建或拆除重建。</w:t>
            </w:r>
          </w:p>
          <w:p w:rsidR="002A5A5E" w:rsidRPr="00F9522B" w:rsidRDefault="00611CBA">
            <w:pPr>
              <w:adjustRightInd w:val="0"/>
              <w:snapToGrid w:val="0"/>
              <w:jc w:val="left"/>
              <w:rPr>
                <w:rFonts w:eastAsiaTheme="minorEastAsia"/>
                <w:spacing w:val="-4"/>
                <w:kern w:val="0"/>
                <w:szCs w:val="20"/>
              </w:rPr>
            </w:pPr>
            <w:r w:rsidRPr="00F9522B">
              <w:rPr>
                <w:rFonts w:eastAsiaTheme="minorEastAsia"/>
                <w:spacing w:val="-4"/>
                <w:kern w:val="0"/>
                <w:szCs w:val="20"/>
              </w:rPr>
              <w:t>对部分现有排水沟进行清淤、衬砌。</w:t>
            </w:r>
          </w:p>
        </w:tc>
      </w:tr>
      <w:tr w:rsidR="002A5A5E" w:rsidRPr="00F9522B">
        <w:trPr>
          <w:trHeight w:val="1372"/>
        </w:trPr>
        <w:tc>
          <w:tcPr>
            <w:tcW w:w="940" w:type="dxa"/>
            <w:vAlign w:val="center"/>
          </w:tcPr>
          <w:p w:rsidR="002A5A5E" w:rsidRPr="00F9522B" w:rsidRDefault="00611CBA">
            <w:pPr>
              <w:adjustRightInd w:val="0"/>
              <w:snapToGrid w:val="0"/>
              <w:jc w:val="center"/>
              <w:rPr>
                <w:rFonts w:eastAsiaTheme="minorEastAsia"/>
                <w:spacing w:val="-4"/>
                <w:kern w:val="0"/>
                <w:szCs w:val="20"/>
              </w:rPr>
            </w:pPr>
            <w:r w:rsidRPr="00F9522B">
              <w:rPr>
                <w:rFonts w:eastAsiaTheme="minorEastAsia"/>
                <w:spacing w:val="-4"/>
                <w:kern w:val="0"/>
                <w:szCs w:val="20"/>
              </w:rPr>
              <w:t>地表水</w:t>
            </w:r>
          </w:p>
        </w:tc>
        <w:tc>
          <w:tcPr>
            <w:tcW w:w="4864" w:type="dxa"/>
            <w:vAlign w:val="center"/>
          </w:tcPr>
          <w:p w:rsidR="002A5A5E" w:rsidRPr="00F9522B" w:rsidRDefault="00611CBA">
            <w:pPr>
              <w:adjustRightInd w:val="0"/>
              <w:snapToGrid w:val="0"/>
              <w:jc w:val="left"/>
              <w:rPr>
                <w:rFonts w:eastAsiaTheme="minorEastAsia"/>
                <w:spacing w:val="-4"/>
                <w:kern w:val="0"/>
                <w:szCs w:val="20"/>
              </w:rPr>
            </w:pPr>
            <w:r w:rsidRPr="00F9522B">
              <w:rPr>
                <w:rFonts w:eastAsiaTheme="minorEastAsia"/>
                <w:spacing w:val="-4"/>
                <w:kern w:val="0"/>
                <w:szCs w:val="20"/>
              </w:rPr>
              <w:t>农田退水对水环境产生一定的影响。</w:t>
            </w:r>
            <w:r w:rsidRPr="00F9522B">
              <w:rPr>
                <w:rFonts w:eastAsiaTheme="minorEastAsia"/>
                <w:spacing w:val="-4"/>
                <w:kern w:val="0"/>
                <w:szCs w:val="20"/>
              </w:rPr>
              <w:t xml:space="preserve"> </w:t>
            </w:r>
            <w:r w:rsidRPr="00F9522B">
              <w:rPr>
                <w:rFonts w:eastAsiaTheme="minorEastAsia"/>
                <w:spacing w:val="-4"/>
                <w:kern w:val="0"/>
                <w:szCs w:val="20"/>
              </w:rPr>
              <w:t>本项目现有入河排污口暂未进行审批登记，未</w:t>
            </w:r>
            <w:r w:rsidRPr="00F9522B">
              <w:rPr>
                <w:rFonts w:eastAsiaTheme="minorEastAsia"/>
                <w:bCs/>
                <w:spacing w:val="-4"/>
                <w:kern w:val="0"/>
                <w:szCs w:val="20"/>
              </w:rPr>
              <w:t>进行排污口规范化建设</w:t>
            </w:r>
            <w:r w:rsidRPr="00F9522B">
              <w:rPr>
                <w:rFonts w:eastAsiaTheme="minorEastAsia"/>
                <w:spacing w:val="-4"/>
                <w:kern w:val="0"/>
                <w:szCs w:val="20"/>
              </w:rPr>
              <w:t>。</w:t>
            </w:r>
          </w:p>
        </w:tc>
        <w:tc>
          <w:tcPr>
            <w:tcW w:w="2640" w:type="dxa"/>
            <w:vAlign w:val="center"/>
          </w:tcPr>
          <w:p w:rsidR="002A5A5E" w:rsidRPr="00F9522B" w:rsidRDefault="00611CBA">
            <w:pPr>
              <w:adjustRightInd w:val="0"/>
              <w:snapToGrid w:val="0"/>
              <w:jc w:val="left"/>
              <w:rPr>
                <w:rFonts w:eastAsiaTheme="minorEastAsia"/>
                <w:spacing w:val="-4"/>
                <w:kern w:val="0"/>
                <w:szCs w:val="20"/>
              </w:rPr>
            </w:pPr>
            <w:r w:rsidRPr="00F9522B">
              <w:rPr>
                <w:rFonts w:eastAsiaTheme="minorEastAsia"/>
                <w:spacing w:val="-4"/>
                <w:kern w:val="0"/>
                <w:szCs w:val="20"/>
              </w:rPr>
              <w:t>运行期加强管理，科学、合理使用化肥，减少农药化肥的施用。</w:t>
            </w:r>
            <w:r w:rsidRPr="00F9522B">
              <w:rPr>
                <w:rFonts w:eastAsiaTheme="minorEastAsia"/>
                <w:bCs/>
                <w:spacing w:val="-4"/>
                <w:kern w:val="0"/>
                <w:szCs w:val="20"/>
              </w:rPr>
              <w:t>对现有入河排污口办理入河排污口登记程序并进行排污口规范化建设</w:t>
            </w:r>
            <w:r w:rsidRPr="00F9522B">
              <w:rPr>
                <w:rFonts w:eastAsiaTheme="minorEastAsia"/>
                <w:spacing w:val="-4"/>
                <w:kern w:val="0"/>
                <w:szCs w:val="20"/>
              </w:rPr>
              <w:t>。</w:t>
            </w:r>
          </w:p>
        </w:tc>
      </w:tr>
      <w:tr w:rsidR="002A5A5E" w:rsidRPr="00F9522B">
        <w:trPr>
          <w:trHeight w:val="847"/>
        </w:trPr>
        <w:tc>
          <w:tcPr>
            <w:tcW w:w="940" w:type="dxa"/>
            <w:vAlign w:val="center"/>
          </w:tcPr>
          <w:p w:rsidR="002A5A5E" w:rsidRPr="00F9522B" w:rsidRDefault="00611CBA">
            <w:pPr>
              <w:adjustRightInd w:val="0"/>
              <w:snapToGrid w:val="0"/>
              <w:jc w:val="center"/>
              <w:rPr>
                <w:rFonts w:eastAsiaTheme="minorEastAsia"/>
                <w:spacing w:val="-4"/>
                <w:kern w:val="0"/>
                <w:szCs w:val="20"/>
              </w:rPr>
            </w:pPr>
            <w:r w:rsidRPr="00F9522B">
              <w:rPr>
                <w:rFonts w:eastAsiaTheme="minorEastAsia"/>
                <w:spacing w:val="-4"/>
                <w:kern w:val="0"/>
                <w:szCs w:val="20"/>
              </w:rPr>
              <w:t>陆生</w:t>
            </w:r>
          </w:p>
          <w:p w:rsidR="002A5A5E" w:rsidRPr="00F9522B" w:rsidRDefault="00611CBA">
            <w:pPr>
              <w:adjustRightInd w:val="0"/>
              <w:snapToGrid w:val="0"/>
              <w:jc w:val="center"/>
              <w:rPr>
                <w:rFonts w:eastAsiaTheme="minorEastAsia"/>
                <w:spacing w:val="-4"/>
                <w:kern w:val="0"/>
                <w:szCs w:val="20"/>
              </w:rPr>
            </w:pPr>
            <w:r w:rsidRPr="00F9522B">
              <w:rPr>
                <w:rFonts w:eastAsiaTheme="minorEastAsia"/>
                <w:spacing w:val="-4"/>
                <w:kern w:val="0"/>
                <w:szCs w:val="20"/>
              </w:rPr>
              <w:t>生态</w:t>
            </w:r>
          </w:p>
        </w:tc>
        <w:tc>
          <w:tcPr>
            <w:tcW w:w="4864" w:type="dxa"/>
            <w:vAlign w:val="center"/>
          </w:tcPr>
          <w:p w:rsidR="002A5A5E" w:rsidRPr="00F9522B" w:rsidRDefault="00611CBA">
            <w:pPr>
              <w:adjustRightInd w:val="0"/>
              <w:snapToGrid w:val="0"/>
              <w:jc w:val="left"/>
              <w:rPr>
                <w:rFonts w:eastAsiaTheme="minorEastAsia"/>
                <w:spacing w:val="-4"/>
                <w:kern w:val="0"/>
                <w:szCs w:val="20"/>
              </w:rPr>
            </w:pPr>
            <w:r w:rsidRPr="00F9522B">
              <w:rPr>
                <w:rFonts w:eastAsiaTheme="minorEastAsia"/>
                <w:spacing w:val="-4"/>
                <w:kern w:val="0"/>
                <w:szCs w:val="22"/>
              </w:rPr>
              <w:t>灌区已运行多年，由于水流冲刷原因，</w:t>
            </w:r>
            <w:r w:rsidRPr="00F9522B">
              <w:rPr>
                <w:rFonts w:eastAsiaTheme="minorEastAsia"/>
                <w:spacing w:val="-4"/>
                <w:kern w:val="0"/>
                <w:szCs w:val="21"/>
              </w:rPr>
              <w:t>对坡面的植被造成破坏</w:t>
            </w:r>
            <w:r w:rsidRPr="00F9522B">
              <w:rPr>
                <w:rFonts w:eastAsiaTheme="minorEastAsia"/>
                <w:spacing w:val="-4"/>
                <w:kern w:val="0"/>
                <w:szCs w:val="22"/>
              </w:rPr>
              <w:t>，渠道边坡等局部水土流失、输水效率低、渗漏损失大等。</w:t>
            </w:r>
          </w:p>
        </w:tc>
        <w:tc>
          <w:tcPr>
            <w:tcW w:w="2640" w:type="dxa"/>
            <w:vAlign w:val="center"/>
          </w:tcPr>
          <w:p w:rsidR="002A5A5E" w:rsidRPr="00F9522B" w:rsidRDefault="00611CBA">
            <w:pPr>
              <w:adjustRightInd w:val="0"/>
              <w:snapToGrid w:val="0"/>
              <w:jc w:val="left"/>
              <w:rPr>
                <w:rFonts w:eastAsiaTheme="minorEastAsia"/>
                <w:spacing w:val="-4"/>
                <w:kern w:val="0"/>
                <w:szCs w:val="22"/>
              </w:rPr>
            </w:pPr>
            <w:r w:rsidRPr="00F9522B">
              <w:rPr>
                <w:rFonts w:eastAsiaTheme="minorEastAsia"/>
                <w:spacing w:val="-4"/>
                <w:kern w:val="0"/>
                <w:szCs w:val="22"/>
              </w:rPr>
              <w:t>本工程对渠道两侧进行衬砌，减轻水土流失。</w:t>
            </w:r>
          </w:p>
        </w:tc>
      </w:tr>
    </w:tbl>
    <w:p w:rsidR="002A5A5E" w:rsidRPr="00F9522B" w:rsidRDefault="00611CBA">
      <w:pPr>
        <w:keepNext/>
        <w:keepLines/>
        <w:spacing w:before="100" w:beforeAutospacing="1" w:after="100" w:afterAutospacing="1"/>
        <w:outlineLvl w:val="2"/>
        <w:rPr>
          <w:rFonts w:eastAsiaTheme="minorEastAsia"/>
          <w:b/>
          <w:sz w:val="28"/>
          <w:szCs w:val="28"/>
        </w:rPr>
      </w:pPr>
      <w:bookmarkStart w:id="70" w:name="_Toc112420350"/>
      <w:bookmarkStart w:id="71" w:name="_Toc182022280"/>
      <w:bookmarkStart w:id="72" w:name="_Toc113078920"/>
      <w:bookmarkStart w:id="73" w:name="_Toc118086779"/>
      <w:bookmarkStart w:id="74" w:name="_Toc11758487"/>
      <w:bookmarkEnd w:id="69"/>
      <w:r w:rsidRPr="00F9522B">
        <w:rPr>
          <w:rFonts w:eastAsiaTheme="minorEastAsia"/>
          <w:b/>
          <w:sz w:val="28"/>
          <w:szCs w:val="28"/>
        </w:rPr>
        <w:t>3.1.</w:t>
      </w:r>
      <w:bookmarkEnd w:id="70"/>
      <w:bookmarkEnd w:id="71"/>
      <w:bookmarkEnd w:id="72"/>
      <w:bookmarkEnd w:id="73"/>
      <w:r w:rsidRPr="00F9522B">
        <w:rPr>
          <w:rFonts w:eastAsiaTheme="minorEastAsia"/>
          <w:b/>
          <w:sz w:val="28"/>
          <w:szCs w:val="28"/>
        </w:rPr>
        <w:t>4</w:t>
      </w:r>
      <w:r w:rsidRPr="00F9522B">
        <w:rPr>
          <w:rFonts w:eastAsiaTheme="minorEastAsia"/>
          <w:b/>
          <w:sz w:val="28"/>
          <w:szCs w:val="28"/>
        </w:rPr>
        <w:t>项目名称及基本组成</w:t>
      </w:r>
      <w:bookmarkEnd w:id="74"/>
    </w:p>
    <w:p w:rsidR="002A5A5E" w:rsidRPr="00F9522B" w:rsidRDefault="00611CBA">
      <w:pPr>
        <w:widowControl/>
        <w:spacing w:line="360" w:lineRule="auto"/>
        <w:ind w:firstLineChars="200" w:firstLine="480"/>
        <w:rPr>
          <w:rFonts w:eastAsiaTheme="minorEastAsia"/>
          <w:kern w:val="0"/>
          <w:sz w:val="24"/>
        </w:rPr>
      </w:pPr>
      <w:r w:rsidRPr="00F9522B">
        <w:rPr>
          <w:rFonts w:eastAsiaTheme="minorEastAsia"/>
          <w:kern w:val="0"/>
          <w:sz w:val="24"/>
        </w:rPr>
        <w:t>项目名称：</w:t>
      </w:r>
      <w:r w:rsidR="003A7922" w:rsidRPr="00F9522B">
        <w:rPr>
          <w:rFonts w:eastAsiaTheme="minorEastAsia"/>
          <w:kern w:val="0"/>
          <w:sz w:val="24"/>
        </w:rPr>
        <w:t>呼兰区</w:t>
      </w:r>
      <w:r w:rsidR="003A7922" w:rsidRPr="00F9522B">
        <w:rPr>
          <w:rFonts w:eastAsiaTheme="minorEastAsia"/>
          <w:kern w:val="0"/>
          <w:sz w:val="24"/>
        </w:rPr>
        <w:t>2026</w:t>
      </w:r>
      <w:r w:rsidR="003A7922" w:rsidRPr="00F9522B">
        <w:rPr>
          <w:rFonts w:eastAsiaTheme="minorEastAsia"/>
          <w:kern w:val="0"/>
          <w:sz w:val="24"/>
        </w:rPr>
        <w:t>年高标准农田建设项目</w:t>
      </w:r>
    </w:p>
    <w:p w:rsidR="002A5A5E" w:rsidRPr="00F9522B" w:rsidRDefault="00611CBA">
      <w:pPr>
        <w:widowControl/>
        <w:spacing w:line="360" w:lineRule="auto"/>
        <w:ind w:firstLineChars="200" w:firstLine="480"/>
        <w:rPr>
          <w:rFonts w:eastAsiaTheme="minorEastAsia"/>
          <w:kern w:val="0"/>
          <w:sz w:val="24"/>
        </w:rPr>
      </w:pPr>
      <w:r w:rsidRPr="00F9522B">
        <w:rPr>
          <w:rFonts w:eastAsiaTheme="minorEastAsia"/>
          <w:kern w:val="0"/>
          <w:sz w:val="24"/>
        </w:rPr>
        <w:t>项目建设单位：哈尔滨市呼兰区农业技术推广中心</w:t>
      </w:r>
    </w:p>
    <w:p w:rsidR="002A5A5E" w:rsidRPr="00F9522B" w:rsidRDefault="00611CBA">
      <w:pPr>
        <w:widowControl/>
        <w:spacing w:line="360" w:lineRule="auto"/>
        <w:ind w:firstLineChars="200" w:firstLine="480"/>
        <w:rPr>
          <w:rFonts w:eastAsiaTheme="minorEastAsia"/>
          <w:kern w:val="0"/>
          <w:sz w:val="24"/>
        </w:rPr>
      </w:pPr>
      <w:r w:rsidRPr="00F9522B">
        <w:rPr>
          <w:rFonts w:eastAsiaTheme="minorEastAsia"/>
          <w:kern w:val="0"/>
          <w:sz w:val="24"/>
        </w:rPr>
        <w:t>项目性质：改扩建</w:t>
      </w:r>
    </w:p>
    <w:p w:rsidR="002A5A5E" w:rsidRPr="00F9522B" w:rsidRDefault="00611CBA">
      <w:pPr>
        <w:pStyle w:val="aff4"/>
        <w:adjustRightInd/>
        <w:snapToGrid/>
        <w:jc w:val="both"/>
        <w:rPr>
          <w:rFonts w:ascii="Times New Roman" w:hAnsi="Times New Roman" w:cs="Times New Roman"/>
          <w:snapToGrid w:val="0"/>
          <w:kern w:val="0"/>
        </w:rPr>
      </w:pPr>
      <w:r w:rsidRPr="00F9522B">
        <w:rPr>
          <w:rFonts w:ascii="Times New Roman" w:hAnsi="Times New Roman" w:cs="Times New Roman"/>
        </w:rPr>
        <w:t>建设地点：</w:t>
      </w:r>
      <w:r w:rsidR="00140308" w:rsidRPr="00F9522B">
        <w:rPr>
          <w:rFonts w:ascii="Times New Roman" w:hAnsi="Times New Roman" w:cs="Times New Roman"/>
          <w:snapToGrid w:val="0"/>
          <w:kern w:val="0"/>
        </w:rPr>
        <w:t>黑龙江省哈尔滨市呼兰区二八镇阿堡村、鲍堡村、二八村、傅井村、头屯村、王柱村、元宝村、长山村；方台镇的方台村、高家村、宋家村、榆林村；康金街道的金城村、永胜村、历井村、孟井村、双合村、苏德村、王牛村、</w:t>
      </w:r>
      <w:r w:rsidR="00140308" w:rsidRPr="00F9522B">
        <w:rPr>
          <w:rFonts w:ascii="Times New Roman" w:hAnsi="Times New Roman" w:cs="Times New Roman"/>
          <w:snapToGrid w:val="0"/>
          <w:kern w:val="0"/>
        </w:rPr>
        <w:lastRenderedPageBreak/>
        <w:t>王佩村、东井村、西井村、杨木村、东腰村、历井农场、新农村；石人镇的城子村、古城村、金星村、石人村、永发村、永平村、于家村、双宝村、站前村</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项目区曾实施过的国土、发改、农业开发等各类建设项目的地块，本次称为改造提升任务项目区，曾经无建设项目的，本次称为新建任务项目区。</w:t>
      </w:r>
    </w:p>
    <w:p w:rsidR="002A5A5E" w:rsidRPr="00F9522B" w:rsidRDefault="00611CBA">
      <w:pPr>
        <w:widowControl/>
        <w:spacing w:line="360" w:lineRule="auto"/>
        <w:ind w:firstLineChars="200" w:firstLine="422"/>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3-1-</w:t>
      </w:r>
      <w:r w:rsidR="000173EF" w:rsidRPr="00F9522B">
        <w:rPr>
          <w:rFonts w:eastAsiaTheme="minorEastAsia"/>
          <w:b/>
          <w:kern w:val="0"/>
          <w:szCs w:val="21"/>
        </w:rPr>
        <w:t>4</w:t>
      </w:r>
      <w:r w:rsidRPr="00F9522B">
        <w:rPr>
          <w:rFonts w:eastAsiaTheme="minorEastAsia"/>
          <w:b/>
          <w:kern w:val="0"/>
          <w:szCs w:val="21"/>
        </w:rPr>
        <w:t>改造任务项目区耕地面积表</w:t>
      </w:r>
    </w:p>
    <w:tbl>
      <w:tblPr>
        <w:tblW w:w="4932" w:type="pct"/>
        <w:jc w:val="center"/>
        <w:tblBorders>
          <w:top w:val="single" w:sz="12" w:space="0" w:color="000000"/>
          <w:bottom w:val="single" w:sz="12" w:space="0" w:color="000000"/>
          <w:insideH w:val="single" w:sz="4" w:space="0" w:color="000000"/>
          <w:insideV w:val="single" w:sz="4" w:space="0" w:color="000000"/>
        </w:tblBorders>
        <w:tblLook w:val="04A0"/>
      </w:tblPr>
      <w:tblGrid>
        <w:gridCol w:w="958"/>
        <w:gridCol w:w="1264"/>
        <w:gridCol w:w="1434"/>
        <w:gridCol w:w="1784"/>
        <w:gridCol w:w="1458"/>
        <w:gridCol w:w="1508"/>
      </w:tblGrid>
      <w:tr w:rsidR="002A5A5E" w:rsidRPr="00F9522B">
        <w:trPr>
          <w:trHeight w:val="380"/>
          <w:jc w:val="center"/>
        </w:trPr>
        <w:tc>
          <w:tcPr>
            <w:tcW w:w="570" w:type="pct"/>
            <w:vAlign w:val="center"/>
          </w:tcPr>
          <w:p w:rsidR="002A5A5E" w:rsidRPr="00F9522B" w:rsidRDefault="00611CBA">
            <w:pPr>
              <w:widowControl/>
              <w:jc w:val="center"/>
              <w:textAlignment w:val="center"/>
              <w:rPr>
                <w:rFonts w:eastAsiaTheme="minorEastAsia"/>
                <w:szCs w:val="21"/>
              </w:rPr>
            </w:pPr>
            <w:r w:rsidRPr="00F9522B">
              <w:rPr>
                <w:rFonts w:eastAsiaTheme="minorEastAsia"/>
                <w:kern w:val="0"/>
                <w:szCs w:val="21"/>
              </w:rPr>
              <w:t>序号</w:t>
            </w:r>
          </w:p>
        </w:tc>
        <w:tc>
          <w:tcPr>
            <w:tcW w:w="752" w:type="pct"/>
            <w:vAlign w:val="center"/>
          </w:tcPr>
          <w:p w:rsidR="002A5A5E" w:rsidRPr="00F9522B" w:rsidRDefault="00611CBA">
            <w:pPr>
              <w:widowControl/>
              <w:jc w:val="center"/>
              <w:textAlignment w:val="center"/>
              <w:rPr>
                <w:rFonts w:eastAsiaTheme="minorEastAsia"/>
                <w:szCs w:val="21"/>
              </w:rPr>
            </w:pPr>
            <w:r w:rsidRPr="00F9522B">
              <w:rPr>
                <w:rFonts w:eastAsiaTheme="minorEastAsia"/>
                <w:kern w:val="0"/>
                <w:szCs w:val="21"/>
              </w:rPr>
              <w:t>片区名称</w:t>
            </w:r>
          </w:p>
        </w:tc>
        <w:tc>
          <w:tcPr>
            <w:tcW w:w="853" w:type="pct"/>
            <w:vAlign w:val="center"/>
          </w:tcPr>
          <w:p w:rsidR="002A5A5E" w:rsidRPr="00F9522B" w:rsidRDefault="00611CBA">
            <w:pPr>
              <w:widowControl/>
              <w:jc w:val="center"/>
              <w:textAlignment w:val="center"/>
              <w:rPr>
                <w:rFonts w:eastAsiaTheme="minorEastAsia"/>
                <w:szCs w:val="21"/>
              </w:rPr>
            </w:pPr>
            <w:r w:rsidRPr="00F9522B">
              <w:rPr>
                <w:rFonts w:eastAsiaTheme="minorEastAsia"/>
                <w:kern w:val="0"/>
                <w:szCs w:val="21"/>
              </w:rPr>
              <w:t>村名</w:t>
            </w:r>
          </w:p>
        </w:tc>
        <w:tc>
          <w:tcPr>
            <w:tcW w:w="1061" w:type="pct"/>
            <w:vAlign w:val="center"/>
          </w:tcPr>
          <w:p w:rsidR="002A5A5E" w:rsidRPr="00F9522B" w:rsidRDefault="00611CBA">
            <w:pPr>
              <w:widowControl/>
              <w:jc w:val="center"/>
              <w:textAlignment w:val="center"/>
              <w:rPr>
                <w:rFonts w:eastAsiaTheme="minorEastAsia"/>
                <w:szCs w:val="21"/>
              </w:rPr>
            </w:pPr>
            <w:r w:rsidRPr="00F9522B">
              <w:rPr>
                <w:rFonts w:eastAsiaTheme="minorEastAsia"/>
                <w:kern w:val="0"/>
                <w:szCs w:val="21"/>
              </w:rPr>
              <w:t>耕地面积（万亩）</w:t>
            </w:r>
          </w:p>
        </w:tc>
        <w:tc>
          <w:tcPr>
            <w:tcW w:w="867" w:type="pct"/>
            <w:vAlign w:val="center"/>
          </w:tcPr>
          <w:p w:rsidR="002A5A5E" w:rsidRPr="00F9522B" w:rsidRDefault="00611CBA">
            <w:pPr>
              <w:widowControl/>
              <w:jc w:val="center"/>
              <w:textAlignment w:val="center"/>
              <w:rPr>
                <w:rFonts w:eastAsiaTheme="minorEastAsia"/>
                <w:szCs w:val="21"/>
              </w:rPr>
            </w:pPr>
            <w:r w:rsidRPr="00F9522B">
              <w:rPr>
                <w:rFonts w:eastAsiaTheme="minorEastAsia"/>
                <w:kern w:val="0"/>
                <w:szCs w:val="21"/>
              </w:rPr>
              <w:t>旱田（万亩）</w:t>
            </w:r>
          </w:p>
        </w:tc>
        <w:tc>
          <w:tcPr>
            <w:tcW w:w="897" w:type="pct"/>
            <w:vAlign w:val="center"/>
          </w:tcPr>
          <w:p w:rsidR="002A5A5E" w:rsidRPr="00F9522B" w:rsidRDefault="00611CBA">
            <w:pPr>
              <w:widowControl/>
              <w:jc w:val="center"/>
              <w:textAlignment w:val="center"/>
              <w:rPr>
                <w:rFonts w:eastAsiaTheme="minorEastAsia"/>
                <w:szCs w:val="21"/>
              </w:rPr>
            </w:pPr>
            <w:r w:rsidRPr="00F9522B">
              <w:rPr>
                <w:rFonts w:eastAsiaTheme="minorEastAsia"/>
                <w:kern w:val="0"/>
                <w:szCs w:val="21"/>
              </w:rPr>
              <w:t>水田（万亩）</w:t>
            </w:r>
          </w:p>
        </w:tc>
      </w:tr>
      <w:tr w:rsidR="0083738D" w:rsidRPr="00F9522B">
        <w:trPr>
          <w:trHeight w:val="380"/>
          <w:jc w:val="center"/>
        </w:trPr>
        <w:tc>
          <w:tcPr>
            <w:tcW w:w="570" w:type="pct"/>
            <w:vMerge w:val="restart"/>
            <w:vAlign w:val="center"/>
          </w:tcPr>
          <w:p w:rsidR="0083738D" w:rsidRPr="00F9522B" w:rsidRDefault="0083738D">
            <w:pPr>
              <w:widowControl/>
              <w:jc w:val="center"/>
              <w:textAlignment w:val="center"/>
              <w:rPr>
                <w:rFonts w:eastAsiaTheme="minorEastAsia"/>
                <w:szCs w:val="21"/>
              </w:rPr>
            </w:pPr>
            <w:r w:rsidRPr="00F9522B">
              <w:rPr>
                <w:rFonts w:eastAsiaTheme="minorEastAsia"/>
                <w:kern w:val="0"/>
                <w:szCs w:val="21"/>
              </w:rPr>
              <w:t>1</w:t>
            </w:r>
          </w:p>
        </w:tc>
        <w:tc>
          <w:tcPr>
            <w:tcW w:w="752" w:type="pct"/>
            <w:vMerge w:val="restart"/>
            <w:vAlign w:val="center"/>
          </w:tcPr>
          <w:p w:rsidR="0083738D" w:rsidRPr="00F9522B" w:rsidRDefault="0083738D">
            <w:pPr>
              <w:jc w:val="center"/>
              <w:rPr>
                <w:rFonts w:eastAsiaTheme="minorEastAsia"/>
                <w:kern w:val="0"/>
                <w:szCs w:val="21"/>
              </w:rPr>
            </w:pPr>
            <w:r w:rsidRPr="00F9522B">
              <w:rPr>
                <w:rFonts w:eastAsiaTheme="minorEastAsia"/>
                <w:kern w:val="0"/>
                <w:szCs w:val="21"/>
              </w:rPr>
              <w:t>二八片区</w:t>
            </w:r>
          </w:p>
        </w:tc>
        <w:tc>
          <w:tcPr>
            <w:tcW w:w="853"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二八村</w:t>
            </w:r>
          </w:p>
        </w:tc>
        <w:tc>
          <w:tcPr>
            <w:tcW w:w="1061"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0.26 </w:t>
            </w:r>
          </w:p>
        </w:tc>
        <w:tc>
          <w:tcPr>
            <w:tcW w:w="867"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0.26 </w:t>
            </w:r>
          </w:p>
        </w:tc>
        <w:tc>
          <w:tcPr>
            <w:tcW w:w="897"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0.00 </w:t>
            </w:r>
          </w:p>
        </w:tc>
      </w:tr>
      <w:tr w:rsidR="0083738D" w:rsidRPr="00F9522B">
        <w:trPr>
          <w:trHeight w:val="380"/>
          <w:jc w:val="center"/>
        </w:trPr>
        <w:tc>
          <w:tcPr>
            <w:tcW w:w="570" w:type="pct"/>
            <w:vMerge/>
            <w:vAlign w:val="center"/>
          </w:tcPr>
          <w:p w:rsidR="0083738D" w:rsidRPr="00F9522B" w:rsidRDefault="0083738D">
            <w:pPr>
              <w:widowControl/>
              <w:jc w:val="center"/>
              <w:textAlignment w:val="center"/>
              <w:rPr>
                <w:rFonts w:eastAsiaTheme="minorEastAsia"/>
                <w:kern w:val="0"/>
                <w:szCs w:val="21"/>
              </w:rPr>
            </w:pPr>
          </w:p>
        </w:tc>
        <w:tc>
          <w:tcPr>
            <w:tcW w:w="752" w:type="pct"/>
            <w:vMerge/>
            <w:vAlign w:val="center"/>
          </w:tcPr>
          <w:p w:rsidR="0083738D" w:rsidRPr="00F9522B" w:rsidRDefault="0083738D">
            <w:pPr>
              <w:jc w:val="center"/>
              <w:rPr>
                <w:rFonts w:eastAsiaTheme="minorEastAsia"/>
                <w:kern w:val="0"/>
                <w:szCs w:val="21"/>
              </w:rPr>
            </w:pPr>
          </w:p>
        </w:tc>
        <w:tc>
          <w:tcPr>
            <w:tcW w:w="853"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长山村</w:t>
            </w:r>
          </w:p>
        </w:tc>
        <w:tc>
          <w:tcPr>
            <w:tcW w:w="1061"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0.41 </w:t>
            </w:r>
          </w:p>
        </w:tc>
        <w:tc>
          <w:tcPr>
            <w:tcW w:w="867"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0.41 </w:t>
            </w:r>
          </w:p>
        </w:tc>
        <w:tc>
          <w:tcPr>
            <w:tcW w:w="897"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0.00 </w:t>
            </w:r>
          </w:p>
        </w:tc>
      </w:tr>
      <w:tr w:rsidR="0083738D" w:rsidRPr="00F9522B">
        <w:trPr>
          <w:trHeight w:val="380"/>
          <w:jc w:val="center"/>
        </w:trPr>
        <w:tc>
          <w:tcPr>
            <w:tcW w:w="570" w:type="pct"/>
            <w:vMerge w:val="restart"/>
            <w:vAlign w:val="center"/>
          </w:tcPr>
          <w:p w:rsidR="0083738D" w:rsidRPr="00F9522B" w:rsidRDefault="0083738D">
            <w:pPr>
              <w:widowControl/>
              <w:jc w:val="center"/>
              <w:textAlignment w:val="center"/>
              <w:rPr>
                <w:rFonts w:eastAsiaTheme="minorEastAsia"/>
                <w:szCs w:val="21"/>
              </w:rPr>
            </w:pPr>
            <w:r w:rsidRPr="00F9522B">
              <w:rPr>
                <w:rFonts w:eastAsiaTheme="minorEastAsia"/>
                <w:kern w:val="0"/>
                <w:szCs w:val="21"/>
              </w:rPr>
              <w:t>2</w:t>
            </w:r>
          </w:p>
        </w:tc>
        <w:tc>
          <w:tcPr>
            <w:tcW w:w="752" w:type="pct"/>
            <w:vMerge w:val="restart"/>
            <w:vAlign w:val="center"/>
          </w:tcPr>
          <w:p w:rsidR="0083738D" w:rsidRPr="00F9522B" w:rsidRDefault="0083738D">
            <w:pPr>
              <w:jc w:val="center"/>
              <w:rPr>
                <w:rFonts w:eastAsiaTheme="minorEastAsia"/>
                <w:kern w:val="0"/>
                <w:szCs w:val="21"/>
              </w:rPr>
            </w:pPr>
            <w:r w:rsidRPr="00F9522B">
              <w:rPr>
                <w:rFonts w:eastAsiaTheme="minorEastAsia"/>
                <w:kern w:val="0"/>
                <w:szCs w:val="21"/>
              </w:rPr>
              <w:t>方台片区</w:t>
            </w:r>
          </w:p>
        </w:tc>
        <w:tc>
          <w:tcPr>
            <w:tcW w:w="853"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方台村</w:t>
            </w:r>
          </w:p>
        </w:tc>
        <w:tc>
          <w:tcPr>
            <w:tcW w:w="1061"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0.52 </w:t>
            </w:r>
          </w:p>
        </w:tc>
        <w:tc>
          <w:tcPr>
            <w:tcW w:w="867"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0.52 </w:t>
            </w:r>
          </w:p>
        </w:tc>
        <w:tc>
          <w:tcPr>
            <w:tcW w:w="897"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0.00 </w:t>
            </w:r>
          </w:p>
        </w:tc>
      </w:tr>
      <w:tr w:rsidR="0083738D" w:rsidRPr="00F9522B">
        <w:trPr>
          <w:trHeight w:val="380"/>
          <w:jc w:val="center"/>
        </w:trPr>
        <w:tc>
          <w:tcPr>
            <w:tcW w:w="570" w:type="pct"/>
            <w:vMerge/>
            <w:vAlign w:val="center"/>
          </w:tcPr>
          <w:p w:rsidR="0083738D" w:rsidRPr="00F9522B" w:rsidRDefault="0083738D">
            <w:pPr>
              <w:widowControl/>
              <w:jc w:val="center"/>
              <w:textAlignment w:val="center"/>
              <w:rPr>
                <w:rFonts w:eastAsiaTheme="minorEastAsia"/>
                <w:kern w:val="0"/>
                <w:szCs w:val="21"/>
              </w:rPr>
            </w:pPr>
          </w:p>
        </w:tc>
        <w:tc>
          <w:tcPr>
            <w:tcW w:w="752" w:type="pct"/>
            <w:vMerge/>
            <w:vAlign w:val="center"/>
          </w:tcPr>
          <w:p w:rsidR="0083738D" w:rsidRPr="00F9522B" w:rsidRDefault="0083738D">
            <w:pPr>
              <w:jc w:val="center"/>
              <w:rPr>
                <w:rFonts w:eastAsiaTheme="minorEastAsia"/>
                <w:kern w:val="0"/>
                <w:szCs w:val="21"/>
              </w:rPr>
            </w:pPr>
          </w:p>
        </w:tc>
        <w:tc>
          <w:tcPr>
            <w:tcW w:w="853"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宋家村</w:t>
            </w:r>
          </w:p>
        </w:tc>
        <w:tc>
          <w:tcPr>
            <w:tcW w:w="1061"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0.07 </w:t>
            </w:r>
          </w:p>
        </w:tc>
        <w:tc>
          <w:tcPr>
            <w:tcW w:w="867"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0.07 </w:t>
            </w:r>
          </w:p>
        </w:tc>
        <w:tc>
          <w:tcPr>
            <w:tcW w:w="897"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0.00 </w:t>
            </w:r>
          </w:p>
        </w:tc>
      </w:tr>
      <w:tr w:rsidR="0083738D" w:rsidRPr="00F9522B">
        <w:trPr>
          <w:trHeight w:val="380"/>
          <w:jc w:val="center"/>
        </w:trPr>
        <w:tc>
          <w:tcPr>
            <w:tcW w:w="570" w:type="pct"/>
            <w:vMerge/>
            <w:vAlign w:val="center"/>
          </w:tcPr>
          <w:p w:rsidR="0083738D" w:rsidRPr="00F9522B" w:rsidRDefault="0083738D">
            <w:pPr>
              <w:widowControl/>
              <w:jc w:val="center"/>
              <w:textAlignment w:val="center"/>
              <w:rPr>
                <w:rFonts w:eastAsiaTheme="minorEastAsia"/>
                <w:kern w:val="0"/>
                <w:szCs w:val="21"/>
              </w:rPr>
            </w:pPr>
          </w:p>
        </w:tc>
        <w:tc>
          <w:tcPr>
            <w:tcW w:w="752" w:type="pct"/>
            <w:vMerge/>
            <w:vAlign w:val="center"/>
          </w:tcPr>
          <w:p w:rsidR="0083738D" w:rsidRPr="00F9522B" w:rsidRDefault="0083738D">
            <w:pPr>
              <w:jc w:val="center"/>
              <w:rPr>
                <w:rFonts w:eastAsiaTheme="minorEastAsia"/>
                <w:kern w:val="0"/>
                <w:szCs w:val="21"/>
              </w:rPr>
            </w:pPr>
          </w:p>
        </w:tc>
        <w:tc>
          <w:tcPr>
            <w:tcW w:w="853"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榆林村</w:t>
            </w:r>
          </w:p>
        </w:tc>
        <w:tc>
          <w:tcPr>
            <w:tcW w:w="1061"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0.30 </w:t>
            </w:r>
          </w:p>
        </w:tc>
        <w:tc>
          <w:tcPr>
            <w:tcW w:w="867"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0.30 </w:t>
            </w:r>
          </w:p>
        </w:tc>
        <w:tc>
          <w:tcPr>
            <w:tcW w:w="897"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0.00 </w:t>
            </w:r>
          </w:p>
        </w:tc>
      </w:tr>
      <w:tr w:rsidR="0083738D" w:rsidRPr="00F9522B">
        <w:trPr>
          <w:trHeight w:val="380"/>
          <w:jc w:val="center"/>
        </w:trPr>
        <w:tc>
          <w:tcPr>
            <w:tcW w:w="570" w:type="pct"/>
            <w:vMerge w:val="restart"/>
            <w:vAlign w:val="center"/>
          </w:tcPr>
          <w:p w:rsidR="0083738D" w:rsidRPr="00F9522B" w:rsidRDefault="0083738D">
            <w:pPr>
              <w:widowControl/>
              <w:jc w:val="center"/>
              <w:textAlignment w:val="center"/>
              <w:rPr>
                <w:rFonts w:eastAsiaTheme="minorEastAsia"/>
                <w:szCs w:val="21"/>
              </w:rPr>
            </w:pPr>
            <w:r w:rsidRPr="00F9522B">
              <w:rPr>
                <w:rFonts w:eastAsiaTheme="minorEastAsia"/>
                <w:kern w:val="0"/>
                <w:szCs w:val="21"/>
              </w:rPr>
              <w:t>3</w:t>
            </w:r>
          </w:p>
        </w:tc>
        <w:tc>
          <w:tcPr>
            <w:tcW w:w="752" w:type="pct"/>
            <w:vMerge w:val="restart"/>
            <w:vAlign w:val="center"/>
          </w:tcPr>
          <w:p w:rsidR="0083738D" w:rsidRPr="00F9522B" w:rsidRDefault="0083738D">
            <w:pPr>
              <w:jc w:val="center"/>
              <w:rPr>
                <w:rFonts w:eastAsiaTheme="minorEastAsia"/>
                <w:kern w:val="0"/>
                <w:szCs w:val="21"/>
              </w:rPr>
            </w:pPr>
            <w:r w:rsidRPr="00F9522B">
              <w:rPr>
                <w:rFonts w:eastAsiaTheme="minorEastAsia"/>
                <w:kern w:val="0"/>
                <w:szCs w:val="21"/>
              </w:rPr>
              <w:t>康金片区</w:t>
            </w:r>
          </w:p>
        </w:tc>
        <w:tc>
          <w:tcPr>
            <w:tcW w:w="853"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东井村</w:t>
            </w:r>
          </w:p>
        </w:tc>
        <w:tc>
          <w:tcPr>
            <w:tcW w:w="1061"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0.21 </w:t>
            </w:r>
          </w:p>
        </w:tc>
        <w:tc>
          <w:tcPr>
            <w:tcW w:w="867"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0.21 </w:t>
            </w:r>
          </w:p>
        </w:tc>
        <w:tc>
          <w:tcPr>
            <w:tcW w:w="897"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0.00 </w:t>
            </w:r>
          </w:p>
        </w:tc>
      </w:tr>
      <w:tr w:rsidR="0083738D" w:rsidRPr="00F9522B">
        <w:trPr>
          <w:trHeight w:val="380"/>
          <w:jc w:val="center"/>
        </w:trPr>
        <w:tc>
          <w:tcPr>
            <w:tcW w:w="570" w:type="pct"/>
            <w:vMerge/>
            <w:vAlign w:val="center"/>
          </w:tcPr>
          <w:p w:rsidR="0083738D" w:rsidRPr="00F9522B" w:rsidRDefault="0083738D">
            <w:pPr>
              <w:widowControl/>
              <w:jc w:val="center"/>
              <w:textAlignment w:val="center"/>
              <w:rPr>
                <w:rFonts w:eastAsiaTheme="minorEastAsia"/>
                <w:kern w:val="0"/>
                <w:szCs w:val="21"/>
              </w:rPr>
            </w:pPr>
          </w:p>
        </w:tc>
        <w:tc>
          <w:tcPr>
            <w:tcW w:w="752" w:type="pct"/>
            <w:vMerge/>
            <w:vAlign w:val="center"/>
          </w:tcPr>
          <w:p w:rsidR="0083738D" w:rsidRPr="00F9522B" w:rsidRDefault="0083738D">
            <w:pPr>
              <w:jc w:val="center"/>
              <w:rPr>
                <w:rFonts w:eastAsiaTheme="minorEastAsia"/>
                <w:kern w:val="0"/>
                <w:szCs w:val="21"/>
              </w:rPr>
            </w:pPr>
          </w:p>
        </w:tc>
        <w:tc>
          <w:tcPr>
            <w:tcW w:w="853"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东腰村</w:t>
            </w:r>
          </w:p>
        </w:tc>
        <w:tc>
          <w:tcPr>
            <w:tcW w:w="1061"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0.50 </w:t>
            </w:r>
          </w:p>
        </w:tc>
        <w:tc>
          <w:tcPr>
            <w:tcW w:w="867"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0.50 </w:t>
            </w:r>
          </w:p>
        </w:tc>
        <w:tc>
          <w:tcPr>
            <w:tcW w:w="897"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0.00 </w:t>
            </w:r>
          </w:p>
        </w:tc>
      </w:tr>
      <w:tr w:rsidR="0083738D" w:rsidRPr="00F9522B">
        <w:trPr>
          <w:trHeight w:val="380"/>
          <w:jc w:val="center"/>
        </w:trPr>
        <w:tc>
          <w:tcPr>
            <w:tcW w:w="570" w:type="pct"/>
            <w:vMerge/>
            <w:vAlign w:val="center"/>
          </w:tcPr>
          <w:p w:rsidR="0083738D" w:rsidRPr="00F9522B" w:rsidRDefault="0083738D">
            <w:pPr>
              <w:widowControl/>
              <w:jc w:val="center"/>
              <w:textAlignment w:val="center"/>
              <w:rPr>
                <w:rFonts w:eastAsiaTheme="minorEastAsia"/>
                <w:kern w:val="0"/>
                <w:szCs w:val="21"/>
              </w:rPr>
            </w:pPr>
          </w:p>
        </w:tc>
        <w:tc>
          <w:tcPr>
            <w:tcW w:w="752" w:type="pct"/>
            <w:vMerge/>
            <w:vAlign w:val="center"/>
          </w:tcPr>
          <w:p w:rsidR="0083738D" w:rsidRPr="00F9522B" w:rsidRDefault="0083738D">
            <w:pPr>
              <w:jc w:val="center"/>
              <w:rPr>
                <w:rFonts w:eastAsiaTheme="minorEastAsia"/>
                <w:kern w:val="0"/>
                <w:szCs w:val="21"/>
              </w:rPr>
            </w:pPr>
          </w:p>
        </w:tc>
        <w:tc>
          <w:tcPr>
            <w:tcW w:w="853"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金城村</w:t>
            </w:r>
          </w:p>
        </w:tc>
        <w:tc>
          <w:tcPr>
            <w:tcW w:w="1061"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0.42 </w:t>
            </w:r>
          </w:p>
        </w:tc>
        <w:tc>
          <w:tcPr>
            <w:tcW w:w="867"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0.42 </w:t>
            </w:r>
          </w:p>
        </w:tc>
        <w:tc>
          <w:tcPr>
            <w:tcW w:w="897"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0.00 </w:t>
            </w:r>
          </w:p>
        </w:tc>
      </w:tr>
      <w:tr w:rsidR="0083738D" w:rsidRPr="00F9522B">
        <w:trPr>
          <w:trHeight w:val="380"/>
          <w:jc w:val="center"/>
        </w:trPr>
        <w:tc>
          <w:tcPr>
            <w:tcW w:w="570" w:type="pct"/>
            <w:vMerge/>
            <w:vAlign w:val="center"/>
          </w:tcPr>
          <w:p w:rsidR="0083738D" w:rsidRPr="00F9522B" w:rsidRDefault="0083738D">
            <w:pPr>
              <w:widowControl/>
              <w:jc w:val="center"/>
              <w:textAlignment w:val="center"/>
              <w:rPr>
                <w:rFonts w:eastAsiaTheme="minorEastAsia"/>
                <w:kern w:val="0"/>
                <w:szCs w:val="21"/>
              </w:rPr>
            </w:pPr>
          </w:p>
        </w:tc>
        <w:tc>
          <w:tcPr>
            <w:tcW w:w="752" w:type="pct"/>
            <w:vMerge/>
            <w:vAlign w:val="center"/>
          </w:tcPr>
          <w:p w:rsidR="0083738D" w:rsidRPr="00F9522B" w:rsidRDefault="0083738D">
            <w:pPr>
              <w:jc w:val="center"/>
              <w:rPr>
                <w:rFonts w:eastAsiaTheme="minorEastAsia"/>
                <w:kern w:val="0"/>
                <w:szCs w:val="21"/>
              </w:rPr>
            </w:pPr>
          </w:p>
        </w:tc>
        <w:tc>
          <w:tcPr>
            <w:tcW w:w="853"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历井村</w:t>
            </w:r>
          </w:p>
        </w:tc>
        <w:tc>
          <w:tcPr>
            <w:tcW w:w="1061"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0.97 </w:t>
            </w:r>
          </w:p>
        </w:tc>
        <w:tc>
          <w:tcPr>
            <w:tcW w:w="867"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0.97 </w:t>
            </w:r>
          </w:p>
        </w:tc>
        <w:tc>
          <w:tcPr>
            <w:tcW w:w="897"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0.00 </w:t>
            </w:r>
          </w:p>
        </w:tc>
      </w:tr>
      <w:tr w:rsidR="0083738D" w:rsidRPr="00F9522B">
        <w:trPr>
          <w:trHeight w:val="380"/>
          <w:jc w:val="center"/>
        </w:trPr>
        <w:tc>
          <w:tcPr>
            <w:tcW w:w="570" w:type="pct"/>
            <w:vMerge/>
            <w:vAlign w:val="center"/>
          </w:tcPr>
          <w:p w:rsidR="0083738D" w:rsidRPr="00F9522B" w:rsidRDefault="0083738D">
            <w:pPr>
              <w:widowControl/>
              <w:jc w:val="center"/>
              <w:textAlignment w:val="center"/>
              <w:rPr>
                <w:rFonts w:eastAsiaTheme="minorEastAsia"/>
                <w:kern w:val="0"/>
                <w:szCs w:val="21"/>
              </w:rPr>
            </w:pPr>
          </w:p>
        </w:tc>
        <w:tc>
          <w:tcPr>
            <w:tcW w:w="752" w:type="pct"/>
            <w:vMerge/>
            <w:vAlign w:val="center"/>
          </w:tcPr>
          <w:p w:rsidR="0083738D" w:rsidRPr="00F9522B" w:rsidRDefault="0083738D">
            <w:pPr>
              <w:jc w:val="center"/>
              <w:rPr>
                <w:rFonts w:eastAsiaTheme="minorEastAsia"/>
                <w:kern w:val="0"/>
                <w:szCs w:val="21"/>
              </w:rPr>
            </w:pPr>
          </w:p>
        </w:tc>
        <w:tc>
          <w:tcPr>
            <w:tcW w:w="853"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历井农村</w:t>
            </w:r>
          </w:p>
        </w:tc>
        <w:tc>
          <w:tcPr>
            <w:tcW w:w="1061"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0.29 </w:t>
            </w:r>
          </w:p>
        </w:tc>
        <w:tc>
          <w:tcPr>
            <w:tcW w:w="867"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0.29 </w:t>
            </w:r>
          </w:p>
        </w:tc>
        <w:tc>
          <w:tcPr>
            <w:tcW w:w="897"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0.00 </w:t>
            </w:r>
          </w:p>
        </w:tc>
      </w:tr>
      <w:tr w:rsidR="0083738D" w:rsidRPr="00F9522B">
        <w:trPr>
          <w:trHeight w:val="380"/>
          <w:jc w:val="center"/>
        </w:trPr>
        <w:tc>
          <w:tcPr>
            <w:tcW w:w="570" w:type="pct"/>
            <w:vMerge/>
            <w:vAlign w:val="center"/>
          </w:tcPr>
          <w:p w:rsidR="0083738D" w:rsidRPr="00F9522B" w:rsidRDefault="0083738D">
            <w:pPr>
              <w:widowControl/>
              <w:jc w:val="center"/>
              <w:textAlignment w:val="center"/>
              <w:rPr>
                <w:rFonts w:eastAsiaTheme="minorEastAsia"/>
                <w:kern w:val="0"/>
                <w:szCs w:val="21"/>
              </w:rPr>
            </w:pPr>
          </w:p>
        </w:tc>
        <w:tc>
          <w:tcPr>
            <w:tcW w:w="752" w:type="pct"/>
            <w:vMerge/>
            <w:vAlign w:val="center"/>
          </w:tcPr>
          <w:p w:rsidR="0083738D" w:rsidRPr="00F9522B" w:rsidRDefault="0083738D">
            <w:pPr>
              <w:jc w:val="center"/>
              <w:rPr>
                <w:rFonts w:eastAsiaTheme="minorEastAsia"/>
                <w:kern w:val="0"/>
                <w:szCs w:val="21"/>
              </w:rPr>
            </w:pPr>
          </w:p>
        </w:tc>
        <w:tc>
          <w:tcPr>
            <w:tcW w:w="853"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孟井村</w:t>
            </w:r>
          </w:p>
        </w:tc>
        <w:tc>
          <w:tcPr>
            <w:tcW w:w="1061"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0.38 </w:t>
            </w:r>
          </w:p>
        </w:tc>
        <w:tc>
          <w:tcPr>
            <w:tcW w:w="867"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0.38 </w:t>
            </w:r>
          </w:p>
        </w:tc>
        <w:tc>
          <w:tcPr>
            <w:tcW w:w="897"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0.00 </w:t>
            </w:r>
          </w:p>
        </w:tc>
      </w:tr>
      <w:tr w:rsidR="0083738D" w:rsidRPr="00F9522B">
        <w:trPr>
          <w:trHeight w:val="380"/>
          <w:jc w:val="center"/>
        </w:trPr>
        <w:tc>
          <w:tcPr>
            <w:tcW w:w="570" w:type="pct"/>
            <w:vMerge/>
            <w:vAlign w:val="center"/>
          </w:tcPr>
          <w:p w:rsidR="0083738D" w:rsidRPr="00F9522B" w:rsidRDefault="0083738D">
            <w:pPr>
              <w:widowControl/>
              <w:jc w:val="center"/>
              <w:textAlignment w:val="center"/>
              <w:rPr>
                <w:rFonts w:eastAsiaTheme="minorEastAsia"/>
                <w:kern w:val="0"/>
                <w:szCs w:val="21"/>
              </w:rPr>
            </w:pPr>
          </w:p>
        </w:tc>
        <w:tc>
          <w:tcPr>
            <w:tcW w:w="752" w:type="pct"/>
            <w:vMerge/>
            <w:vAlign w:val="center"/>
          </w:tcPr>
          <w:p w:rsidR="0083738D" w:rsidRPr="00F9522B" w:rsidRDefault="0083738D">
            <w:pPr>
              <w:jc w:val="center"/>
              <w:rPr>
                <w:rFonts w:eastAsiaTheme="minorEastAsia"/>
                <w:kern w:val="0"/>
                <w:szCs w:val="21"/>
              </w:rPr>
            </w:pPr>
          </w:p>
        </w:tc>
        <w:tc>
          <w:tcPr>
            <w:tcW w:w="853"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双合村</w:t>
            </w:r>
          </w:p>
        </w:tc>
        <w:tc>
          <w:tcPr>
            <w:tcW w:w="1061"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0.55 </w:t>
            </w:r>
          </w:p>
        </w:tc>
        <w:tc>
          <w:tcPr>
            <w:tcW w:w="867"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0.55 </w:t>
            </w:r>
          </w:p>
        </w:tc>
        <w:tc>
          <w:tcPr>
            <w:tcW w:w="897"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0.00 </w:t>
            </w:r>
          </w:p>
        </w:tc>
      </w:tr>
      <w:tr w:rsidR="0083738D" w:rsidRPr="00F9522B">
        <w:trPr>
          <w:trHeight w:val="380"/>
          <w:jc w:val="center"/>
        </w:trPr>
        <w:tc>
          <w:tcPr>
            <w:tcW w:w="570" w:type="pct"/>
            <w:vMerge/>
            <w:vAlign w:val="center"/>
          </w:tcPr>
          <w:p w:rsidR="0083738D" w:rsidRPr="00F9522B" w:rsidRDefault="0083738D">
            <w:pPr>
              <w:widowControl/>
              <w:jc w:val="center"/>
              <w:textAlignment w:val="center"/>
              <w:rPr>
                <w:rFonts w:eastAsiaTheme="minorEastAsia"/>
                <w:kern w:val="0"/>
                <w:szCs w:val="21"/>
              </w:rPr>
            </w:pPr>
          </w:p>
        </w:tc>
        <w:tc>
          <w:tcPr>
            <w:tcW w:w="752" w:type="pct"/>
            <w:vMerge/>
            <w:vAlign w:val="center"/>
          </w:tcPr>
          <w:p w:rsidR="0083738D" w:rsidRPr="00F9522B" w:rsidRDefault="0083738D">
            <w:pPr>
              <w:jc w:val="center"/>
              <w:rPr>
                <w:rFonts w:eastAsiaTheme="minorEastAsia"/>
                <w:kern w:val="0"/>
                <w:szCs w:val="21"/>
              </w:rPr>
            </w:pPr>
          </w:p>
        </w:tc>
        <w:tc>
          <w:tcPr>
            <w:tcW w:w="853"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西井村</w:t>
            </w:r>
          </w:p>
        </w:tc>
        <w:tc>
          <w:tcPr>
            <w:tcW w:w="1061"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0.36 </w:t>
            </w:r>
          </w:p>
        </w:tc>
        <w:tc>
          <w:tcPr>
            <w:tcW w:w="867"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0.36 </w:t>
            </w:r>
          </w:p>
        </w:tc>
        <w:tc>
          <w:tcPr>
            <w:tcW w:w="897"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0.00 </w:t>
            </w:r>
          </w:p>
        </w:tc>
      </w:tr>
      <w:tr w:rsidR="0083738D" w:rsidRPr="00F9522B">
        <w:trPr>
          <w:trHeight w:val="380"/>
          <w:jc w:val="center"/>
        </w:trPr>
        <w:tc>
          <w:tcPr>
            <w:tcW w:w="570" w:type="pct"/>
            <w:vMerge/>
            <w:vAlign w:val="center"/>
          </w:tcPr>
          <w:p w:rsidR="0083738D" w:rsidRPr="00F9522B" w:rsidRDefault="0083738D">
            <w:pPr>
              <w:widowControl/>
              <w:jc w:val="center"/>
              <w:textAlignment w:val="center"/>
              <w:rPr>
                <w:rFonts w:eastAsiaTheme="minorEastAsia"/>
                <w:kern w:val="0"/>
                <w:szCs w:val="21"/>
              </w:rPr>
            </w:pPr>
          </w:p>
        </w:tc>
        <w:tc>
          <w:tcPr>
            <w:tcW w:w="752" w:type="pct"/>
            <w:vMerge/>
            <w:vAlign w:val="center"/>
          </w:tcPr>
          <w:p w:rsidR="0083738D" w:rsidRPr="00F9522B" w:rsidRDefault="0083738D">
            <w:pPr>
              <w:jc w:val="center"/>
              <w:rPr>
                <w:rFonts w:eastAsiaTheme="minorEastAsia"/>
                <w:kern w:val="0"/>
                <w:szCs w:val="21"/>
              </w:rPr>
            </w:pPr>
          </w:p>
        </w:tc>
        <w:tc>
          <w:tcPr>
            <w:tcW w:w="853"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新农村</w:t>
            </w:r>
          </w:p>
        </w:tc>
        <w:tc>
          <w:tcPr>
            <w:tcW w:w="1061"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0.02 </w:t>
            </w:r>
          </w:p>
        </w:tc>
        <w:tc>
          <w:tcPr>
            <w:tcW w:w="867"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0.02 </w:t>
            </w:r>
          </w:p>
        </w:tc>
        <w:tc>
          <w:tcPr>
            <w:tcW w:w="897"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0.00 </w:t>
            </w:r>
          </w:p>
        </w:tc>
      </w:tr>
      <w:tr w:rsidR="0083738D" w:rsidRPr="00F9522B">
        <w:trPr>
          <w:trHeight w:val="380"/>
          <w:jc w:val="center"/>
        </w:trPr>
        <w:tc>
          <w:tcPr>
            <w:tcW w:w="570" w:type="pct"/>
            <w:vMerge/>
            <w:vAlign w:val="center"/>
          </w:tcPr>
          <w:p w:rsidR="0083738D" w:rsidRPr="00F9522B" w:rsidRDefault="0083738D">
            <w:pPr>
              <w:widowControl/>
              <w:jc w:val="center"/>
              <w:textAlignment w:val="center"/>
              <w:rPr>
                <w:rFonts w:eastAsiaTheme="minorEastAsia"/>
                <w:kern w:val="0"/>
                <w:szCs w:val="21"/>
              </w:rPr>
            </w:pPr>
          </w:p>
        </w:tc>
        <w:tc>
          <w:tcPr>
            <w:tcW w:w="752" w:type="pct"/>
            <w:vMerge/>
            <w:vAlign w:val="center"/>
          </w:tcPr>
          <w:p w:rsidR="0083738D" w:rsidRPr="00F9522B" w:rsidRDefault="0083738D">
            <w:pPr>
              <w:jc w:val="center"/>
              <w:rPr>
                <w:rFonts w:eastAsiaTheme="minorEastAsia"/>
                <w:kern w:val="0"/>
                <w:szCs w:val="21"/>
              </w:rPr>
            </w:pPr>
          </w:p>
        </w:tc>
        <w:tc>
          <w:tcPr>
            <w:tcW w:w="853"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杨木村</w:t>
            </w:r>
          </w:p>
        </w:tc>
        <w:tc>
          <w:tcPr>
            <w:tcW w:w="1061"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1.11 </w:t>
            </w:r>
          </w:p>
        </w:tc>
        <w:tc>
          <w:tcPr>
            <w:tcW w:w="867"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1.11 </w:t>
            </w:r>
          </w:p>
        </w:tc>
        <w:tc>
          <w:tcPr>
            <w:tcW w:w="897"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0.00 </w:t>
            </w:r>
          </w:p>
        </w:tc>
      </w:tr>
      <w:tr w:rsidR="0083738D" w:rsidRPr="00F9522B">
        <w:trPr>
          <w:trHeight w:val="380"/>
          <w:jc w:val="center"/>
        </w:trPr>
        <w:tc>
          <w:tcPr>
            <w:tcW w:w="570" w:type="pct"/>
            <w:vMerge/>
            <w:vAlign w:val="center"/>
          </w:tcPr>
          <w:p w:rsidR="0083738D" w:rsidRPr="00F9522B" w:rsidRDefault="0083738D">
            <w:pPr>
              <w:widowControl/>
              <w:jc w:val="center"/>
              <w:textAlignment w:val="center"/>
              <w:rPr>
                <w:rFonts w:eastAsiaTheme="minorEastAsia"/>
                <w:kern w:val="0"/>
                <w:szCs w:val="21"/>
              </w:rPr>
            </w:pPr>
          </w:p>
        </w:tc>
        <w:tc>
          <w:tcPr>
            <w:tcW w:w="752" w:type="pct"/>
            <w:vMerge/>
            <w:vAlign w:val="center"/>
          </w:tcPr>
          <w:p w:rsidR="0083738D" w:rsidRPr="00F9522B" w:rsidRDefault="0083738D">
            <w:pPr>
              <w:jc w:val="center"/>
              <w:rPr>
                <w:rFonts w:eastAsiaTheme="minorEastAsia"/>
                <w:kern w:val="0"/>
                <w:szCs w:val="21"/>
              </w:rPr>
            </w:pPr>
          </w:p>
        </w:tc>
        <w:tc>
          <w:tcPr>
            <w:tcW w:w="853"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永胜村</w:t>
            </w:r>
          </w:p>
        </w:tc>
        <w:tc>
          <w:tcPr>
            <w:tcW w:w="1061"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0.21 </w:t>
            </w:r>
          </w:p>
        </w:tc>
        <w:tc>
          <w:tcPr>
            <w:tcW w:w="867"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0.21 </w:t>
            </w:r>
          </w:p>
        </w:tc>
        <w:tc>
          <w:tcPr>
            <w:tcW w:w="897"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0.00 </w:t>
            </w:r>
          </w:p>
        </w:tc>
      </w:tr>
      <w:tr w:rsidR="0083738D" w:rsidRPr="00F9522B">
        <w:trPr>
          <w:trHeight w:val="380"/>
          <w:jc w:val="center"/>
        </w:trPr>
        <w:tc>
          <w:tcPr>
            <w:tcW w:w="570" w:type="pct"/>
            <w:vMerge w:val="restart"/>
            <w:vAlign w:val="center"/>
          </w:tcPr>
          <w:p w:rsidR="0083738D" w:rsidRPr="00F9522B" w:rsidRDefault="0083738D">
            <w:pPr>
              <w:jc w:val="center"/>
              <w:textAlignment w:val="center"/>
              <w:rPr>
                <w:rFonts w:eastAsiaTheme="minorEastAsia"/>
                <w:szCs w:val="21"/>
              </w:rPr>
            </w:pPr>
            <w:r w:rsidRPr="00F9522B">
              <w:rPr>
                <w:rFonts w:eastAsiaTheme="minorEastAsia"/>
                <w:kern w:val="0"/>
                <w:szCs w:val="21"/>
              </w:rPr>
              <w:t>4</w:t>
            </w:r>
          </w:p>
        </w:tc>
        <w:tc>
          <w:tcPr>
            <w:tcW w:w="752" w:type="pct"/>
            <w:vMerge w:val="restart"/>
            <w:vAlign w:val="center"/>
          </w:tcPr>
          <w:p w:rsidR="0083738D" w:rsidRPr="00F9522B" w:rsidRDefault="0083738D">
            <w:pPr>
              <w:jc w:val="center"/>
              <w:rPr>
                <w:rFonts w:eastAsiaTheme="minorEastAsia"/>
                <w:kern w:val="0"/>
                <w:szCs w:val="21"/>
              </w:rPr>
            </w:pPr>
            <w:r w:rsidRPr="00F9522B">
              <w:rPr>
                <w:rFonts w:eastAsiaTheme="minorEastAsia"/>
                <w:kern w:val="0"/>
                <w:szCs w:val="21"/>
              </w:rPr>
              <w:t>石人片区</w:t>
            </w:r>
          </w:p>
        </w:tc>
        <w:tc>
          <w:tcPr>
            <w:tcW w:w="853"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城子村</w:t>
            </w:r>
          </w:p>
        </w:tc>
        <w:tc>
          <w:tcPr>
            <w:tcW w:w="1061"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0.64 </w:t>
            </w:r>
          </w:p>
        </w:tc>
        <w:tc>
          <w:tcPr>
            <w:tcW w:w="867"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0.64 </w:t>
            </w:r>
          </w:p>
        </w:tc>
        <w:tc>
          <w:tcPr>
            <w:tcW w:w="897"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0.00 </w:t>
            </w:r>
          </w:p>
        </w:tc>
      </w:tr>
      <w:tr w:rsidR="0083738D" w:rsidRPr="00F9522B">
        <w:trPr>
          <w:trHeight w:val="411"/>
          <w:jc w:val="center"/>
        </w:trPr>
        <w:tc>
          <w:tcPr>
            <w:tcW w:w="570" w:type="pct"/>
            <w:vMerge/>
            <w:vAlign w:val="center"/>
          </w:tcPr>
          <w:p w:rsidR="0083738D" w:rsidRPr="00F9522B" w:rsidRDefault="0083738D">
            <w:pPr>
              <w:widowControl/>
              <w:jc w:val="center"/>
              <w:textAlignment w:val="center"/>
              <w:rPr>
                <w:rFonts w:eastAsiaTheme="minorEastAsia"/>
                <w:szCs w:val="21"/>
              </w:rPr>
            </w:pPr>
          </w:p>
        </w:tc>
        <w:tc>
          <w:tcPr>
            <w:tcW w:w="0" w:type="auto"/>
            <w:vMerge/>
            <w:vAlign w:val="center"/>
          </w:tcPr>
          <w:p w:rsidR="0083738D" w:rsidRPr="00F9522B" w:rsidRDefault="0083738D">
            <w:pPr>
              <w:widowControl/>
              <w:jc w:val="left"/>
              <w:rPr>
                <w:rFonts w:eastAsiaTheme="minorEastAsia"/>
                <w:szCs w:val="21"/>
              </w:rPr>
            </w:pPr>
          </w:p>
        </w:tc>
        <w:tc>
          <w:tcPr>
            <w:tcW w:w="853"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古城村</w:t>
            </w:r>
          </w:p>
        </w:tc>
        <w:tc>
          <w:tcPr>
            <w:tcW w:w="1061"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0.21 </w:t>
            </w:r>
          </w:p>
        </w:tc>
        <w:tc>
          <w:tcPr>
            <w:tcW w:w="867"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0.21 </w:t>
            </w:r>
          </w:p>
        </w:tc>
        <w:tc>
          <w:tcPr>
            <w:tcW w:w="897"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0.00 </w:t>
            </w:r>
          </w:p>
        </w:tc>
      </w:tr>
      <w:tr w:rsidR="0083738D" w:rsidRPr="00F9522B">
        <w:trPr>
          <w:trHeight w:val="411"/>
          <w:jc w:val="center"/>
        </w:trPr>
        <w:tc>
          <w:tcPr>
            <w:tcW w:w="570" w:type="pct"/>
            <w:vMerge/>
            <w:vAlign w:val="center"/>
          </w:tcPr>
          <w:p w:rsidR="0083738D" w:rsidRPr="00F9522B" w:rsidRDefault="0083738D">
            <w:pPr>
              <w:widowControl/>
              <w:jc w:val="center"/>
              <w:textAlignment w:val="center"/>
              <w:rPr>
                <w:rFonts w:eastAsiaTheme="minorEastAsia"/>
                <w:szCs w:val="21"/>
              </w:rPr>
            </w:pPr>
          </w:p>
        </w:tc>
        <w:tc>
          <w:tcPr>
            <w:tcW w:w="0" w:type="auto"/>
            <w:vMerge/>
            <w:vAlign w:val="center"/>
          </w:tcPr>
          <w:p w:rsidR="0083738D" w:rsidRPr="00F9522B" w:rsidRDefault="0083738D">
            <w:pPr>
              <w:widowControl/>
              <w:jc w:val="left"/>
              <w:rPr>
                <w:rFonts w:eastAsiaTheme="minorEastAsia"/>
                <w:szCs w:val="21"/>
              </w:rPr>
            </w:pPr>
          </w:p>
        </w:tc>
        <w:tc>
          <w:tcPr>
            <w:tcW w:w="853"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石人村</w:t>
            </w:r>
          </w:p>
        </w:tc>
        <w:tc>
          <w:tcPr>
            <w:tcW w:w="1061"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0.21 </w:t>
            </w:r>
          </w:p>
        </w:tc>
        <w:tc>
          <w:tcPr>
            <w:tcW w:w="867"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0.21 </w:t>
            </w:r>
          </w:p>
        </w:tc>
        <w:tc>
          <w:tcPr>
            <w:tcW w:w="897"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0.00 </w:t>
            </w:r>
          </w:p>
        </w:tc>
      </w:tr>
      <w:tr w:rsidR="0083738D" w:rsidRPr="00F9522B">
        <w:trPr>
          <w:trHeight w:val="411"/>
          <w:jc w:val="center"/>
        </w:trPr>
        <w:tc>
          <w:tcPr>
            <w:tcW w:w="570" w:type="pct"/>
            <w:vMerge/>
            <w:vAlign w:val="center"/>
          </w:tcPr>
          <w:p w:rsidR="0083738D" w:rsidRPr="00F9522B" w:rsidRDefault="0083738D">
            <w:pPr>
              <w:widowControl/>
              <w:jc w:val="center"/>
              <w:textAlignment w:val="center"/>
              <w:rPr>
                <w:rFonts w:eastAsiaTheme="minorEastAsia"/>
                <w:szCs w:val="21"/>
              </w:rPr>
            </w:pPr>
          </w:p>
        </w:tc>
        <w:tc>
          <w:tcPr>
            <w:tcW w:w="0" w:type="auto"/>
            <w:vMerge/>
            <w:vAlign w:val="center"/>
          </w:tcPr>
          <w:p w:rsidR="0083738D" w:rsidRPr="00F9522B" w:rsidRDefault="0083738D">
            <w:pPr>
              <w:widowControl/>
              <w:jc w:val="left"/>
              <w:rPr>
                <w:rFonts w:eastAsiaTheme="minorEastAsia"/>
                <w:szCs w:val="21"/>
              </w:rPr>
            </w:pPr>
          </w:p>
        </w:tc>
        <w:tc>
          <w:tcPr>
            <w:tcW w:w="853"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双宝村</w:t>
            </w:r>
          </w:p>
        </w:tc>
        <w:tc>
          <w:tcPr>
            <w:tcW w:w="1061"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0.05 </w:t>
            </w:r>
          </w:p>
        </w:tc>
        <w:tc>
          <w:tcPr>
            <w:tcW w:w="867"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0.05 </w:t>
            </w:r>
          </w:p>
        </w:tc>
        <w:tc>
          <w:tcPr>
            <w:tcW w:w="897"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0.00 </w:t>
            </w:r>
          </w:p>
        </w:tc>
      </w:tr>
      <w:tr w:rsidR="0083738D" w:rsidRPr="00F9522B">
        <w:trPr>
          <w:trHeight w:val="411"/>
          <w:jc w:val="center"/>
        </w:trPr>
        <w:tc>
          <w:tcPr>
            <w:tcW w:w="570" w:type="pct"/>
            <w:vMerge/>
            <w:vAlign w:val="center"/>
          </w:tcPr>
          <w:p w:rsidR="0083738D" w:rsidRPr="00F9522B" w:rsidRDefault="0083738D">
            <w:pPr>
              <w:widowControl/>
              <w:jc w:val="center"/>
              <w:textAlignment w:val="center"/>
              <w:rPr>
                <w:rFonts w:eastAsiaTheme="minorEastAsia"/>
                <w:szCs w:val="21"/>
              </w:rPr>
            </w:pPr>
          </w:p>
        </w:tc>
        <w:tc>
          <w:tcPr>
            <w:tcW w:w="0" w:type="auto"/>
            <w:vMerge/>
            <w:vAlign w:val="center"/>
          </w:tcPr>
          <w:p w:rsidR="0083738D" w:rsidRPr="00F9522B" w:rsidRDefault="0083738D">
            <w:pPr>
              <w:widowControl/>
              <w:jc w:val="left"/>
              <w:rPr>
                <w:rFonts w:eastAsiaTheme="minorEastAsia"/>
                <w:szCs w:val="21"/>
              </w:rPr>
            </w:pPr>
          </w:p>
        </w:tc>
        <w:tc>
          <w:tcPr>
            <w:tcW w:w="853"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永发村</w:t>
            </w:r>
          </w:p>
        </w:tc>
        <w:tc>
          <w:tcPr>
            <w:tcW w:w="1061"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0.79 </w:t>
            </w:r>
          </w:p>
        </w:tc>
        <w:tc>
          <w:tcPr>
            <w:tcW w:w="867"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0.78 </w:t>
            </w:r>
          </w:p>
        </w:tc>
        <w:tc>
          <w:tcPr>
            <w:tcW w:w="897"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0.01 </w:t>
            </w:r>
          </w:p>
        </w:tc>
      </w:tr>
      <w:tr w:rsidR="0083738D" w:rsidRPr="00F9522B">
        <w:trPr>
          <w:trHeight w:val="411"/>
          <w:jc w:val="center"/>
        </w:trPr>
        <w:tc>
          <w:tcPr>
            <w:tcW w:w="570" w:type="pct"/>
            <w:vMerge/>
            <w:vAlign w:val="center"/>
          </w:tcPr>
          <w:p w:rsidR="0083738D" w:rsidRPr="00F9522B" w:rsidRDefault="0083738D">
            <w:pPr>
              <w:widowControl/>
              <w:jc w:val="center"/>
              <w:textAlignment w:val="center"/>
              <w:rPr>
                <w:rFonts w:eastAsiaTheme="minorEastAsia"/>
                <w:szCs w:val="21"/>
              </w:rPr>
            </w:pPr>
          </w:p>
        </w:tc>
        <w:tc>
          <w:tcPr>
            <w:tcW w:w="0" w:type="auto"/>
            <w:vMerge/>
            <w:vAlign w:val="center"/>
          </w:tcPr>
          <w:p w:rsidR="0083738D" w:rsidRPr="00F9522B" w:rsidRDefault="0083738D">
            <w:pPr>
              <w:widowControl/>
              <w:jc w:val="left"/>
              <w:rPr>
                <w:rFonts w:eastAsiaTheme="minorEastAsia"/>
                <w:szCs w:val="21"/>
              </w:rPr>
            </w:pPr>
          </w:p>
        </w:tc>
        <w:tc>
          <w:tcPr>
            <w:tcW w:w="853"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永平村</w:t>
            </w:r>
          </w:p>
        </w:tc>
        <w:tc>
          <w:tcPr>
            <w:tcW w:w="1061"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0.01 </w:t>
            </w:r>
          </w:p>
        </w:tc>
        <w:tc>
          <w:tcPr>
            <w:tcW w:w="867"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0.01 </w:t>
            </w:r>
          </w:p>
        </w:tc>
        <w:tc>
          <w:tcPr>
            <w:tcW w:w="897"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0.00 </w:t>
            </w:r>
          </w:p>
        </w:tc>
      </w:tr>
      <w:tr w:rsidR="0083738D" w:rsidRPr="00F9522B">
        <w:trPr>
          <w:trHeight w:val="411"/>
          <w:jc w:val="center"/>
        </w:trPr>
        <w:tc>
          <w:tcPr>
            <w:tcW w:w="570" w:type="pct"/>
            <w:vMerge/>
            <w:vAlign w:val="center"/>
          </w:tcPr>
          <w:p w:rsidR="0083738D" w:rsidRPr="00F9522B" w:rsidRDefault="0083738D">
            <w:pPr>
              <w:widowControl/>
              <w:jc w:val="center"/>
              <w:textAlignment w:val="center"/>
              <w:rPr>
                <w:rFonts w:eastAsiaTheme="minorEastAsia"/>
                <w:szCs w:val="21"/>
              </w:rPr>
            </w:pPr>
          </w:p>
        </w:tc>
        <w:tc>
          <w:tcPr>
            <w:tcW w:w="0" w:type="auto"/>
            <w:vMerge/>
            <w:vAlign w:val="center"/>
          </w:tcPr>
          <w:p w:rsidR="0083738D" w:rsidRPr="00F9522B" w:rsidRDefault="0083738D">
            <w:pPr>
              <w:widowControl/>
              <w:jc w:val="left"/>
              <w:rPr>
                <w:rFonts w:eastAsiaTheme="minorEastAsia"/>
                <w:szCs w:val="21"/>
              </w:rPr>
            </w:pPr>
          </w:p>
        </w:tc>
        <w:tc>
          <w:tcPr>
            <w:tcW w:w="853"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于家村</w:t>
            </w:r>
          </w:p>
        </w:tc>
        <w:tc>
          <w:tcPr>
            <w:tcW w:w="1061"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0.33 </w:t>
            </w:r>
          </w:p>
        </w:tc>
        <w:tc>
          <w:tcPr>
            <w:tcW w:w="867"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0.33 </w:t>
            </w:r>
          </w:p>
        </w:tc>
        <w:tc>
          <w:tcPr>
            <w:tcW w:w="897"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0.00 </w:t>
            </w:r>
          </w:p>
        </w:tc>
      </w:tr>
      <w:tr w:rsidR="0083738D" w:rsidRPr="00F9522B">
        <w:trPr>
          <w:trHeight w:val="411"/>
          <w:jc w:val="center"/>
        </w:trPr>
        <w:tc>
          <w:tcPr>
            <w:tcW w:w="570" w:type="pct"/>
            <w:vMerge/>
            <w:vAlign w:val="center"/>
          </w:tcPr>
          <w:p w:rsidR="0083738D" w:rsidRPr="00F9522B" w:rsidRDefault="0083738D">
            <w:pPr>
              <w:widowControl/>
              <w:jc w:val="center"/>
              <w:textAlignment w:val="center"/>
              <w:rPr>
                <w:rFonts w:eastAsiaTheme="minorEastAsia"/>
                <w:szCs w:val="21"/>
              </w:rPr>
            </w:pPr>
          </w:p>
        </w:tc>
        <w:tc>
          <w:tcPr>
            <w:tcW w:w="0" w:type="auto"/>
            <w:vMerge/>
            <w:vAlign w:val="center"/>
          </w:tcPr>
          <w:p w:rsidR="0083738D" w:rsidRPr="00F9522B" w:rsidRDefault="0083738D">
            <w:pPr>
              <w:widowControl/>
              <w:jc w:val="left"/>
              <w:rPr>
                <w:rFonts w:eastAsiaTheme="minorEastAsia"/>
                <w:szCs w:val="21"/>
              </w:rPr>
            </w:pPr>
          </w:p>
        </w:tc>
        <w:tc>
          <w:tcPr>
            <w:tcW w:w="853"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站前村</w:t>
            </w:r>
          </w:p>
        </w:tc>
        <w:tc>
          <w:tcPr>
            <w:tcW w:w="1061"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0.16 </w:t>
            </w:r>
          </w:p>
        </w:tc>
        <w:tc>
          <w:tcPr>
            <w:tcW w:w="867"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0.16 </w:t>
            </w:r>
          </w:p>
        </w:tc>
        <w:tc>
          <w:tcPr>
            <w:tcW w:w="897" w:type="pct"/>
            <w:vAlign w:val="center"/>
          </w:tcPr>
          <w:p w:rsidR="0083738D" w:rsidRPr="00F9522B" w:rsidRDefault="0083738D">
            <w:pPr>
              <w:widowControl/>
              <w:jc w:val="center"/>
              <w:textAlignment w:val="center"/>
              <w:rPr>
                <w:rFonts w:eastAsiaTheme="minorEastAsia"/>
                <w:kern w:val="0"/>
                <w:szCs w:val="21"/>
              </w:rPr>
            </w:pPr>
            <w:r w:rsidRPr="00F9522B">
              <w:rPr>
                <w:rFonts w:eastAsiaTheme="minorEastAsia"/>
                <w:kern w:val="0"/>
                <w:szCs w:val="21"/>
              </w:rPr>
              <w:t xml:space="preserve">0.00 </w:t>
            </w:r>
          </w:p>
        </w:tc>
      </w:tr>
      <w:tr w:rsidR="002A5A5E" w:rsidRPr="00F9522B">
        <w:trPr>
          <w:trHeight w:val="380"/>
          <w:jc w:val="center"/>
        </w:trPr>
        <w:tc>
          <w:tcPr>
            <w:tcW w:w="2175" w:type="pct"/>
            <w:gridSpan w:val="3"/>
            <w:vAlign w:val="center"/>
          </w:tcPr>
          <w:p w:rsidR="002A5A5E" w:rsidRPr="00F9522B" w:rsidRDefault="00611CBA">
            <w:pPr>
              <w:jc w:val="center"/>
              <w:rPr>
                <w:rFonts w:eastAsiaTheme="minorEastAsia"/>
                <w:kern w:val="0"/>
                <w:szCs w:val="21"/>
              </w:rPr>
            </w:pPr>
            <w:r w:rsidRPr="00F9522B">
              <w:rPr>
                <w:rFonts w:eastAsiaTheme="minorEastAsia"/>
                <w:kern w:val="0"/>
                <w:szCs w:val="21"/>
              </w:rPr>
              <w:t>合计</w:t>
            </w:r>
          </w:p>
        </w:tc>
        <w:tc>
          <w:tcPr>
            <w:tcW w:w="1061" w:type="pct"/>
            <w:vAlign w:val="center"/>
          </w:tcPr>
          <w:p w:rsidR="002A5A5E" w:rsidRPr="00F9522B" w:rsidRDefault="0083738D">
            <w:pPr>
              <w:widowControl/>
              <w:jc w:val="center"/>
              <w:textAlignment w:val="center"/>
              <w:rPr>
                <w:rFonts w:eastAsiaTheme="minorEastAsia"/>
                <w:kern w:val="0"/>
                <w:szCs w:val="21"/>
              </w:rPr>
            </w:pPr>
            <w:r w:rsidRPr="00F9522B">
              <w:rPr>
                <w:rFonts w:eastAsiaTheme="minorEastAsia"/>
                <w:kern w:val="0"/>
                <w:szCs w:val="21"/>
              </w:rPr>
              <w:t>9.00</w:t>
            </w:r>
          </w:p>
        </w:tc>
        <w:tc>
          <w:tcPr>
            <w:tcW w:w="867" w:type="pct"/>
            <w:vAlign w:val="center"/>
          </w:tcPr>
          <w:p w:rsidR="002A5A5E" w:rsidRPr="00F9522B" w:rsidRDefault="0083738D">
            <w:pPr>
              <w:widowControl/>
              <w:jc w:val="center"/>
              <w:textAlignment w:val="center"/>
              <w:rPr>
                <w:rFonts w:eastAsiaTheme="minorEastAsia"/>
                <w:kern w:val="0"/>
                <w:szCs w:val="21"/>
              </w:rPr>
            </w:pPr>
            <w:r w:rsidRPr="00F9522B">
              <w:rPr>
                <w:rFonts w:eastAsiaTheme="minorEastAsia"/>
                <w:kern w:val="0"/>
                <w:szCs w:val="21"/>
              </w:rPr>
              <w:t>8.99</w:t>
            </w:r>
          </w:p>
        </w:tc>
        <w:tc>
          <w:tcPr>
            <w:tcW w:w="897" w:type="pct"/>
            <w:vAlign w:val="center"/>
          </w:tcPr>
          <w:p w:rsidR="002A5A5E" w:rsidRPr="00F9522B" w:rsidRDefault="0083738D">
            <w:pPr>
              <w:widowControl/>
              <w:jc w:val="center"/>
              <w:textAlignment w:val="center"/>
              <w:rPr>
                <w:rFonts w:eastAsiaTheme="minorEastAsia"/>
                <w:kern w:val="0"/>
                <w:szCs w:val="21"/>
              </w:rPr>
            </w:pPr>
            <w:r w:rsidRPr="00F9522B">
              <w:rPr>
                <w:rFonts w:eastAsiaTheme="minorEastAsia"/>
                <w:kern w:val="0"/>
                <w:szCs w:val="21"/>
              </w:rPr>
              <w:t>0.01</w:t>
            </w:r>
          </w:p>
        </w:tc>
      </w:tr>
    </w:tbl>
    <w:p w:rsidR="00E268F3" w:rsidRPr="00F9522B" w:rsidRDefault="00E268F3">
      <w:pPr>
        <w:widowControl/>
        <w:spacing w:line="360" w:lineRule="auto"/>
        <w:ind w:firstLineChars="200" w:firstLine="422"/>
        <w:jc w:val="center"/>
        <w:rPr>
          <w:rFonts w:eastAsiaTheme="minorEastAsia"/>
          <w:b/>
          <w:kern w:val="0"/>
          <w:szCs w:val="21"/>
        </w:rPr>
      </w:pPr>
    </w:p>
    <w:p w:rsidR="007E0713" w:rsidRPr="00F9522B" w:rsidRDefault="007E0713">
      <w:pPr>
        <w:widowControl/>
        <w:spacing w:line="360" w:lineRule="auto"/>
        <w:ind w:firstLineChars="200" w:firstLine="422"/>
        <w:jc w:val="center"/>
        <w:rPr>
          <w:rFonts w:eastAsiaTheme="minorEastAsia"/>
          <w:b/>
          <w:kern w:val="0"/>
          <w:szCs w:val="21"/>
        </w:rPr>
      </w:pPr>
    </w:p>
    <w:p w:rsidR="002A5A5E" w:rsidRPr="00F9522B" w:rsidRDefault="00611CBA">
      <w:pPr>
        <w:widowControl/>
        <w:spacing w:line="360" w:lineRule="auto"/>
        <w:ind w:firstLineChars="200" w:firstLine="422"/>
        <w:jc w:val="center"/>
        <w:rPr>
          <w:rFonts w:eastAsiaTheme="minorEastAsia"/>
          <w:b/>
          <w:kern w:val="0"/>
          <w:szCs w:val="21"/>
        </w:rPr>
      </w:pPr>
      <w:r w:rsidRPr="00F9522B">
        <w:rPr>
          <w:rFonts w:eastAsiaTheme="minorEastAsia"/>
          <w:b/>
          <w:kern w:val="0"/>
          <w:szCs w:val="21"/>
        </w:rPr>
        <w:lastRenderedPageBreak/>
        <w:t>表</w:t>
      </w:r>
      <w:r w:rsidRPr="00F9522B">
        <w:rPr>
          <w:rFonts w:eastAsiaTheme="minorEastAsia"/>
          <w:b/>
          <w:kern w:val="0"/>
          <w:szCs w:val="21"/>
        </w:rPr>
        <w:t>3-1-</w:t>
      </w:r>
      <w:r w:rsidR="000173EF" w:rsidRPr="00F9522B">
        <w:rPr>
          <w:rFonts w:eastAsiaTheme="minorEastAsia"/>
          <w:b/>
          <w:kern w:val="0"/>
          <w:szCs w:val="21"/>
        </w:rPr>
        <w:t>5</w:t>
      </w:r>
      <w:r w:rsidRPr="00F9522B">
        <w:rPr>
          <w:rFonts w:eastAsiaTheme="minorEastAsia"/>
          <w:b/>
          <w:kern w:val="0"/>
          <w:szCs w:val="21"/>
        </w:rPr>
        <w:t>新建任务项目区耕地面积表</w:t>
      </w:r>
    </w:p>
    <w:tbl>
      <w:tblPr>
        <w:tblW w:w="4866" w:type="pct"/>
        <w:jc w:val="center"/>
        <w:tblBorders>
          <w:top w:val="single" w:sz="12" w:space="0" w:color="000000"/>
          <w:bottom w:val="single" w:sz="12" w:space="0" w:color="000000"/>
          <w:insideH w:val="single" w:sz="4" w:space="0" w:color="000000"/>
          <w:insideV w:val="single" w:sz="4" w:space="0" w:color="000000"/>
        </w:tblBorders>
        <w:tblLook w:val="04A0"/>
      </w:tblPr>
      <w:tblGrid>
        <w:gridCol w:w="945"/>
        <w:gridCol w:w="1249"/>
        <w:gridCol w:w="1412"/>
        <w:gridCol w:w="1962"/>
        <w:gridCol w:w="1437"/>
        <w:gridCol w:w="1289"/>
      </w:tblGrid>
      <w:tr w:rsidR="002A5A5E" w:rsidRPr="00F9522B">
        <w:trPr>
          <w:trHeight w:val="268"/>
          <w:jc w:val="center"/>
        </w:trPr>
        <w:tc>
          <w:tcPr>
            <w:tcW w:w="570" w:type="pct"/>
            <w:vAlign w:val="center"/>
          </w:tcPr>
          <w:p w:rsidR="002A5A5E" w:rsidRPr="00F9522B" w:rsidRDefault="00611CBA">
            <w:pPr>
              <w:widowControl/>
              <w:jc w:val="center"/>
              <w:textAlignment w:val="center"/>
              <w:rPr>
                <w:rFonts w:eastAsiaTheme="minorEastAsia"/>
                <w:szCs w:val="21"/>
              </w:rPr>
            </w:pPr>
            <w:r w:rsidRPr="00F9522B">
              <w:rPr>
                <w:rFonts w:eastAsiaTheme="minorEastAsia"/>
                <w:kern w:val="0"/>
                <w:szCs w:val="21"/>
              </w:rPr>
              <w:t>序号</w:t>
            </w:r>
          </w:p>
        </w:tc>
        <w:tc>
          <w:tcPr>
            <w:tcW w:w="753" w:type="pct"/>
            <w:vAlign w:val="center"/>
          </w:tcPr>
          <w:p w:rsidR="002A5A5E" w:rsidRPr="00F9522B" w:rsidRDefault="00611CBA">
            <w:pPr>
              <w:widowControl/>
              <w:jc w:val="center"/>
              <w:textAlignment w:val="center"/>
              <w:rPr>
                <w:rFonts w:eastAsiaTheme="minorEastAsia"/>
                <w:szCs w:val="21"/>
              </w:rPr>
            </w:pPr>
            <w:r w:rsidRPr="00F9522B">
              <w:rPr>
                <w:rFonts w:eastAsiaTheme="minorEastAsia"/>
                <w:kern w:val="0"/>
                <w:szCs w:val="21"/>
              </w:rPr>
              <w:t>片区名称</w:t>
            </w:r>
          </w:p>
        </w:tc>
        <w:tc>
          <w:tcPr>
            <w:tcW w:w="851" w:type="pct"/>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村名</w:t>
            </w:r>
          </w:p>
        </w:tc>
        <w:tc>
          <w:tcPr>
            <w:tcW w:w="1183" w:type="pct"/>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耕地面积（万亩）</w:t>
            </w:r>
          </w:p>
        </w:tc>
        <w:tc>
          <w:tcPr>
            <w:tcW w:w="866" w:type="pct"/>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旱田（万亩）</w:t>
            </w:r>
          </w:p>
        </w:tc>
        <w:tc>
          <w:tcPr>
            <w:tcW w:w="777" w:type="pct"/>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水田（万亩）</w:t>
            </w:r>
          </w:p>
        </w:tc>
      </w:tr>
      <w:tr w:rsidR="009D7646" w:rsidRPr="00F9522B">
        <w:trPr>
          <w:trHeight w:val="268"/>
          <w:jc w:val="center"/>
        </w:trPr>
        <w:tc>
          <w:tcPr>
            <w:tcW w:w="570" w:type="pct"/>
            <w:vMerge w:val="restart"/>
            <w:vAlign w:val="center"/>
          </w:tcPr>
          <w:p w:rsidR="009D7646" w:rsidRPr="00F9522B" w:rsidRDefault="009D7646">
            <w:pPr>
              <w:widowControl/>
              <w:jc w:val="center"/>
              <w:textAlignment w:val="center"/>
              <w:rPr>
                <w:rFonts w:eastAsiaTheme="minorEastAsia"/>
                <w:szCs w:val="21"/>
              </w:rPr>
            </w:pPr>
            <w:r w:rsidRPr="00F9522B">
              <w:rPr>
                <w:rFonts w:eastAsiaTheme="minorEastAsia"/>
                <w:kern w:val="0"/>
                <w:szCs w:val="21"/>
              </w:rPr>
              <w:t>1</w:t>
            </w:r>
          </w:p>
        </w:tc>
        <w:tc>
          <w:tcPr>
            <w:tcW w:w="753" w:type="pct"/>
            <w:vMerge w:val="restart"/>
            <w:vAlign w:val="center"/>
          </w:tcPr>
          <w:p w:rsidR="009D7646" w:rsidRPr="00F9522B" w:rsidRDefault="009D7646">
            <w:pPr>
              <w:widowControl/>
              <w:jc w:val="center"/>
              <w:textAlignment w:val="center"/>
              <w:rPr>
                <w:rFonts w:eastAsiaTheme="minorEastAsia"/>
                <w:szCs w:val="21"/>
              </w:rPr>
            </w:pPr>
            <w:r w:rsidRPr="00F9522B">
              <w:rPr>
                <w:rFonts w:eastAsiaTheme="minorEastAsia"/>
                <w:kern w:val="0"/>
                <w:szCs w:val="21"/>
              </w:rPr>
              <w:t>二八片区</w:t>
            </w:r>
          </w:p>
        </w:tc>
        <w:tc>
          <w:tcPr>
            <w:tcW w:w="851"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阿堡村</w:t>
            </w:r>
          </w:p>
        </w:tc>
        <w:tc>
          <w:tcPr>
            <w:tcW w:w="1183"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1.40 </w:t>
            </w:r>
          </w:p>
        </w:tc>
        <w:tc>
          <w:tcPr>
            <w:tcW w:w="866"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1.40 </w:t>
            </w:r>
          </w:p>
        </w:tc>
        <w:tc>
          <w:tcPr>
            <w:tcW w:w="777"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0.00 </w:t>
            </w:r>
          </w:p>
        </w:tc>
      </w:tr>
      <w:tr w:rsidR="009D7646" w:rsidRPr="00F9522B">
        <w:trPr>
          <w:trHeight w:val="268"/>
          <w:jc w:val="center"/>
        </w:trPr>
        <w:tc>
          <w:tcPr>
            <w:tcW w:w="570" w:type="pct"/>
            <w:vMerge/>
            <w:vAlign w:val="center"/>
          </w:tcPr>
          <w:p w:rsidR="009D7646" w:rsidRPr="00F9522B" w:rsidRDefault="009D7646">
            <w:pPr>
              <w:widowControl/>
              <w:jc w:val="center"/>
              <w:textAlignment w:val="center"/>
              <w:rPr>
                <w:rFonts w:eastAsiaTheme="minorEastAsia"/>
                <w:szCs w:val="21"/>
              </w:rPr>
            </w:pPr>
          </w:p>
        </w:tc>
        <w:tc>
          <w:tcPr>
            <w:tcW w:w="0" w:type="auto"/>
            <w:vMerge/>
            <w:vAlign w:val="center"/>
          </w:tcPr>
          <w:p w:rsidR="009D7646" w:rsidRPr="00F9522B" w:rsidRDefault="009D7646">
            <w:pPr>
              <w:widowControl/>
              <w:jc w:val="left"/>
              <w:rPr>
                <w:rFonts w:eastAsiaTheme="minorEastAsia"/>
                <w:szCs w:val="21"/>
              </w:rPr>
            </w:pPr>
          </w:p>
        </w:tc>
        <w:tc>
          <w:tcPr>
            <w:tcW w:w="851"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鲍堡村</w:t>
            </w:r>
          </w:p>
        </w:tc>
        <w:tc>
          <w:tcPr>
            <w:tcW w:w="1183"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0.75 </w:t>
            </w:r>
          </w:p>
        </w:tc>
        <w:tc>
          <w:tcPr>
            <w:tcW w:w="866"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0.75 </w:t>
            </w:r>
          </w:p>
        </w:tc>
        <w:tc>
          <w:tcPr>
            <w:tcW w:w="777"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0.00 </w:t>
            </w:r>
          </w:p>
        </w:tc>
      </w:tr>
      <w:tr w:rsidR="009D7646" w:rsidRPr="00F9522B">
        <w:trPr>
          <w:trHeight w:val="268"/>
          <w:jc w:val="center"/>
        </w:trPr>
        <w:tc>
          <w:tcPr>
            <w:tcW w:w="570" w:type="pct"/>
            <w:vMerge/>
            <w:vAlign w:val="center"/>
          </w:tcPr>
          <w:p w:rsidR="009D7646" w:rsidRPr="00F9522B" w:rsidRDefault="009D7646">
            <w:pPr>
              <w:widowControl/>
              <w:jc w:val="center"/>
              <w:textAlignment w:val="center"/>
              <w:rPr>
                <w:rFonts w:eastAsiaTheme="minorEastAsia"/>
                <w:szCs w:val="21"/>
              </w:rPr>
            </w:pPr>
          </w:p>
        </w:tc>
        <w:tc>
          <w:tcPr>
            <w:tcW w:w="0" w:type="auto"/>
            <w:vMerge/>
            <w:vAlign w:val="center"/>
          </w:tcPr>
          <w:p w:rsidR="009D7646" w:rsidRPr="00F9522B" w:rsidRDefault="009D7646">
            <w:pPr>
              <w:widowControl/>
              <w:jc w:val="left"/>
              <w:rPr>
                <w:rFonts w:eastAsiaTheme="minorEastAsia"/>
                <w:szCs w:val="21"/>
              </w:rPr>
            </w:pPr>
          </w:p>
        </w:tc>
        <w:tc>
          <w:tcPr>
            <w:tcW w:w="851"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二八村</w:t>
            </w:r>
          </w:p>
        </w:tc>
        <w:tc>
          <w:tcPr>
            <w:tcW w:w="1183"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1.09 </w:t>
            </w:r>
          </w:p>
        </w:tc>
        <w:tc>
          <w:tcPr>
            <w:tcW w:w="866"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1.09 </w:t>
            </w:r>
          </w:p>
        </w:tc>
        <w:tc>
          <w:tcPr>
            <w:tcW w:w="777"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0.00 </w:t>
            </w:r>
          </w:p>
        </w:tc>
      </w:tr>
      <w:tr w:rsidR="009D7646" w:rsidRPr="00F9522B">
        <w:trPr>
          <w:trHeight w:val="268"/>
          <w:jc w:val="center"/>
        </w:trPr>
        <w:tc>
          <w:tcPr>
            <w:tcW w:w="570" w:type="pct"/>
            <w:vMerge/>
            <w:vAlign w:val="center"/>
          </w:tcPr>
          <w:p w:rsidR="009D7646" w:rsidRPr="00F9522B" w:rsidRDefault="009D7646">
            <w:pPr>
              <w:widowControl/>
              <w:jc w:val="center"/>
              <w:textAlignment w:val="center"/>
              <w:rPr>
                <w:rFonts w:eastAsiaTheme="minorEastAsia"/>
                <w:szCs w:val="21"/>
              </w:rPr>
            </w:pPr>
          </w:p>
        </w:tc>
        <w:tc>
          <w:tcPr>
            <w:tcW w:w="0" w:type="auto"/>
            <w:vMerge/>
            <w:vAlign w:val="center"/>
          </w:tcPr>
          <w:p w:rsidR="009D7646" w:rsidRPr="00F9522B" w:rsidRDefault="009D7646">
            <w:pPr>
              <w:widowControl/>
              <w:jc w:val="left"/>
              <w:rPr>
                <w:rFonts w:eastAsiaTheme="minorEastAsia"/>
                <w:szCs w:val="21"/>
              </w:rPr>
            </w:pPr>
          </w:p>
        </w:tc>
        <w:tc>
          <w:tcPr>
            <w:tcW w:w="851"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傅井村</w:t>
            </w:r>
          </w:p>
        </w:tc>
        <w:tc>
          <w:tcPr>
            <w:tcW w:w="1183"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0.33 </w:t>
            </w:r>
          </w:p>
        </w:tc>
        <w:tc>
          <w:tcPr>
            <w:tcW w:w="866"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0.33 </w:t>
            </w:r>
          </w:p>
        </w:tc>
        <w:tc>
          <w:tcPr>
            <w:tcW w:w="777"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0.00 </w:t>
            </w:r>
          </w:p>
        </w:tc>
      </w:tr>
      <w:tr w:rsidR="009D7646" w:rsidRPr="00F9522B">
        <w:trPr>
          <w:trHeight w:val="268"/>
          <w:jc w:val="center"/>
        </w:trPr>
        <w:tc>
          <w:tcPr>
            <w:tcW w:w="570" w:type="pct"/>
            <w:vMerge/>
            <w:vAlign w:val="center"/>
          </w:tcPr>
          <w:p w:rsidR="009D7646" w:rsidRPr="00F9522B" w:rsidRDefault="009D7646">
            <w:pPr>
              <w:widowControl/>
              <w:jc w:val="center"/>
              <w:textAlignment w:val="center"/>
              <w:rPr>
                <w:rFonts w:eastAsiaTheme="minorEastAsia"/>
                <w:szCs w:val="21"/>
              </w:rPr>
            </w:pPr>
          </w:p>
        </w:tc>
        <w:tc>
          <w:tcPr>
            <w:tcW w:w="753" w:type="pct"/>
            <w:vMerge/>
            <w:vAlign w:val="center"/>
          </w:tcPr>
          <w:p w:rsidR="009D7646" w:rsidRPr="00F9522B" w:rsidRDefault="009D7646">
            <w:pPr>
              <w:widowControl/>
              <w:jc w:val="center"/>
              <w:textAlignment w:val="center"/>
              <w:rPr>
                <w:rFonts w:eastAsiaTheme="minorEastAsia"/>
                <w:szCs w:val="21"/>
              </w:rPr>
            </w:pPr>
          </w:p>
        </w:tc>
        <w:tc>
          <w:tcPr>
            <w:tcW w:w="851"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头屯村</w:t>
            </w:r>
          </w:p>
        </w:tc>
        <w:tc>
          <w:tcPr>
            <w:tcW w:w="1183"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1.01 </w:t>
            </w:r>
          </w:p>
        </w:tc>
        <w:tc>
          <w:tcPr>
            <w:tcW w:w="866"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1.01 </w:t>
            </w:r>
          </w:p>
        </w:tc>
        <w:tc>
          <w:tcPr>
            <w:tcW w:w="777"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0.00 </w:t>
            </w:r>
          </w:p>
        </w:tc>
      </w:tr>
      <w:tr w:rsidR="009D7646" w:rsidRPr="00F9522B">
        <w:trPr>
          <w:trHeight w:val="268"/>
          <w:jc w:val="center"/>
        </w:trPr>
        <w:tc>
          <w:tcPr>
            <w:tcW w:w="570" w:type="pct"/>
            <w:vMerge/>
            <w:vAlign w:val="center"/>
          </w:tcPr>
          <w:p w:rsidR="009D7646" w:rsidRPr="00F9522B" w:rsidRDefault="009D7646">
            <w:pPr>
              <w:widowControl/>
              <w:jc w:val="center"/>
              <w:textAlignment w:val="center"/>
              <w:rPr>
                <w:rFonts w:eastAsiaTheme="minorEastAsia"/>
                <w:szCs w:val="21"/>
              </w:rPr>
            </w:pPr>
          </w:p>
        </w:tc>
        <w:tc>
          <w:tcPr>
            <w:tcW w:w="0" w:type="auto"/>
            <w:vMerge/>
            <w:vAlign w:val="center"/>
          </w:tcPr>
          <w:p w:rsidR="009D7646" w:rsidRPr="00F9522B" w:rsidRDefault="009D7646">
            <w:pPr>
              <w:widowControl/>
              <w:jc w:val="left"/>
              <w:rPr>
                <w:rFonts w:eastAsiaTheme="minorEastAsia"/>
                <w:szCs w:val="21"/>
              </w:rPr>
            </w:pPr>
          </w:p>
        </w:tc>
        <w:tc>
          <w:tcPr>
            <w:tcW w:w="851"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王柱村</w:t>
            </w:r>
          </w:p>
        </w:tc>
        <w:tc>
          <w:tcPr>
            <w:tcW w:w="1183"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0.75 </w:t>
            </w:r>
          </w:p>
        </w:tc>
        <w:tc>
          <w:tcPr>
            <w:tcW w:w="866"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0.75 </w:t>
            </w:r>
          </w:p>
        </w:tc>
        <w:tc>
          <w:tcPr>
            <w:tcW w:w="777"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0.00 </w:t>
            </w:r>
          </w:p>
        </w:tc>
      </w:tr>
      <w:tr w:rsidR="009D7646" w:rsidRPr="00F9522B">
        <w:trPr>
          <w:trHeight w:val="268"/>
          <w:jc w:val="center"/>
        </w:trPr>
        <w:tc>
          <w:tcPr>
            <w:tcW w:w="570" w:type="pct"/>
            <w:vMerge/>
            <w:vAlign w:val="center"/>
          </w:tcPr>
          <w:p w:rsidR="009D7646" w:rsidRPr="00F9522B" w:rsidRDefault="009D7646">
            <w:pPr>
              <w:widowControl/>
              <w:jc w:val="center"/>
              <w:textAlignment w:val="center"/>
              <w:rPr>
                <w:rFonts w:eastAsiaTheme="minorEastAsia"/>
                <w:szCs w:val="21"/>
              </w:rPr>
            </w:pPr>
          </w:p>
        </w:tc>
        <w:tc>
          <w:tcPr>
            <w:tcW w:w="0" w:type="auto"/>
            <w:vMerge/>
            <w:vAlign w:val="center"/>
          </w:tcPr>
          <w:p w:rsidR="009D7646" w:rsidRPr="00F9522B" w:rsidRDefault="009D7646">
            <w:pPr>
              <w:widowControl/>
              <w:jc w:val="left"/>
              <w:rPr>
                <w:rFonts w:eastAsiaTheme="minorEastAsia"/>
                <w:szCs w:val="21"/>
              </w:rPr>
            </w:pPr>
          </w:p>
        </w:tc>
        <w:tc>
          <w:tcPr>
            <w:tcW w:w="851"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元宝村</w:t>
            </w:r>
          </w:p>
        </w:tc>
        <w:tc>
          <w:tcPr>
            <w:tcW w:w="1183"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1.45 </w:t>
            </w:r>
          </w:p>
        </w:tc>
        <w:tc>
          <w:tcPr>
            <w:tcW w:w="866"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1.42 </w:t>
            </w:r>
          </w:p>
        </w:tc>
        <w:tc>
          <w:tcPr>
            <w:tcW w:w="777"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0.03 </w:t>
            </w:r>
          </w:p>
        </w:tc>
      </w:tr>
      <w:tr w:rsidR="009D7646" w:rsidRPr="00F9522B">
        <w:trPr>
          <w:trHeight w:val="268"/>
          <w:jc w:val="center"/>
        </w:trPr>
        <w:tc>
          <w:tcPr>
            <w:tcW w:w="570" w:type="pct"/>
            <w:vMerge/>
            <w:vAlign w:val="center"/>
          </w:tcPr>
          <w:p w:rsidR="009D7646" w:rsidRPr="00F9522B" w:rsidRDefault="009D7646">
            <w:pPr>
              <w:widowControl/>
              <w:jc w:val="center"/>
              <w:textAlignment w:val="center"/>
              <w:rPr>
                <w:rFonts w:eastAsiaTheme="minorEastAsia"/>
                <w:szCs w:val="21"/>
              </w:rPr>
            </w:pPr>
          </w:p>
        </w:tc>
        <w:tc>
          <w:tcPr>
            <w:tcW w:w="0" w:type="auto"/>
            <w:vMerge/>
            <w:vAlign w:val="center"/>
          </w:tcPr>
          <w:p w:rsidR="009D7646" w:rsidRPr="00F9522B" w:rsidRDefault="009D7646">
            <w:pPr>
              <w:widowControl/>
              <w:jc w:val="left"/>
              <w:rPr>
                <w:rFonts w:eastAsiaTheme="minorEastAsia"/>
                <w:szCs w:val="21"/>
              </w:rPr>
            </w:pPr>
          </w:p>
        </w:tc>
        <w:tc>
          <w:tcPr>
            <w:tcW w:w="851"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长山村</w:t>
            </w:r>
          </w:p>
        </w:tc>
        <w:tc>
          <w:tcPr>
            <w:tcW w:w="1183"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0.92 </w:t>
            </w:r>
          </w:p>
        </w:tc>
        <w:tc>
          <w:tcPr>
            <w:tcW w:w="866"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0.84 </w:t>
            </w:r>
          </w:p>
        </w:tc>
        <w:tc>
          <w:tcPr>
            <w:tcW w:w="777"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0.09 </w:t>
            </w:r>
          </w:p>
        </w:tc>
      </w:tr>
      <w:tr w:rsidR="009D7646" w:rsidRPr="00F9522B">
        <w:trPr>
          <w:trHeight w:val="268"/>
          <w:jc w:val="center"/>
        </w:trPr>
        <w:tc>
          <w:tcPr>
            <w:tcW w:w="570" w:type="pct"/>
            <w:vMerge w:val="restart"/>
            <w:vAlign w:val="center"/>
          </w:tcPr>
          <w:p w:rsidR="009D7646" w:rsidRPr="00F9522B" w:rsidRDefault="009D7646">
            <w:pPr>
              <w:widowControl/>
              <w:jc w:val="center"/>
              <w:textAlignment w:val="center"/>
              <w:rPr>
                <w:rFonts w:eastAsiaTheme="minorEastAsia"/>
                <w:szCs w:val="21"/>
              </w:rPr>
            </w:pPr>
            <w:r w:rsidRPr="00F9522B">
              <w:rPr>
                <w:rFonts w:eastAsiaTheme="minorEastAsia"/>
                <w:szCs w:val="21"/>
              </w:rPr>
              <w:t>2</w:t>
            </w:r>
          </w:p>
        </w:tc>
        <w:tc>
          <w:tcPr>
            <w:tcW w:w="0" w:type="auto"/>
            <w:vMerge w:val="restart"/>
            <w:vAlign w:val="center"/>
          </w:tcPr>
          <w:p w:rsidR="009D7646" w:rsidRPr="00F9522B" w:rsidRDefault="009D7646">
            <w:pPr>
              <w:widowControl/>
              <w:jc w:val="left"/>
              <w:rPr>
                <w:rFonts w:eastAsiaTheme="minorEastAsia"/>
                <w:szCs w:val="21"/>
              </w:rPr>
            </w:pPr>
            <w:r w:rsidRPr="00F9522B">
              <w:rPr>
                <w:rFonts w:eastAsiaTheme="minorEastAsia"/>
                <w:kern w:val="0"/>
                <w:szCs w:val="21"/>
              </w:rPr>
              <w:t>方台片区</w:t>
            </w:r>
          </w:p>
        </w:tc>
        <w:tc>
          <w:tcPr>
            <w:tcW w:w="851"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方台村</w:t>
            </w:r>
          </w:p>
        </w:tc>
        <w:tc>
          <w:tcPr>
            <w:tcW w:w="1183"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0.80 </w:t>
            </w:r>
          </w:p>
        </w:tc>
        <w:tc>
          <w:tcPr>
            <w:tcW w:w="866"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0.80 </w:t>
            </w:r>
          </w:p>
        </w:tc>
        <w:tc>
          <w:tcPr>
            <w:tcW w:w="777"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0.00 </w:t>
            </w:r>
          </w:p>
        </w:tc>
      </w:tr>
      <w:tr w:rsidR="009D7646" w:rsidRPr="00F9522B">
        <w:trPr>
          <w:trHeight w:val="268"/>
          <w:jc w:val="center"/>
        </w:trPr>
        <w:tc>
          <w:tcPr>
            <w:tcW w:w="570" w:type="pct"/>
            <w:vMerge/>
            <w:vAlign w:val="center"/>
          </w:tcPr>
          <w:p w:rsidR="009D7646" w:rsidRPr="00F9522B" w:rsidRDefault="009D7646">
            <w:pPr>
              <w:widowControl/>
              <w:jc w:val="center"/>
              <w:textAlignment w:val="center"/>
              <w:rPr>
                <w:rFonts w:eastAsiaTheme="minorEastAsia"/>
                <w:szCs w:val="21"/>
              </w:rPr>
            </w:pPr>
          </w:p>
        </w:tc>
        <w:tc>
          <w:tcPr>
            <w:tcW w:w="0" w:type="auto"/>
            <w:vMerge/>
            <w:vAlign w:val="center"/>
          </w:tcPr>
          <w:p w:rsidR="009D7646" w:rsidRPr="00F9522B" w:rsidRDefault="009D7646">
            <w:pPr>
              <w:widowControl/>
              <w:jc w:val="left"/>
              <w:rPr>
                <w:rFonts w:eastAsiaTheme="minorEastAsia"/>
                <w:szCs w:val="21"/>
              </w:rPr>
            </w:pPr>
          </w:p>
        </w:tc>
        <w:tc>
          <w:tcPr>
            <w:tcW w:w="851"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高家村</w:t>
            </w:r>
          </w:p>
        </w:tc>
        <w:tc>
          <w:tcPr>
            <w:tcW w:w="1183"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0.98 </w:t>
            </w:r>
          </w:p>
        </w:tc>
        <w:tc>
          <w:tcPr>
            <w:tcW w:w="866"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0.71 </w:t>
            </w:r>
          </w:p>
        </w:tc>
        <w:tc>
          <w:tcPr>
            <w:tcW w:w="777"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0.27 </w:t>
            </w:r>
          </w:p>
        </w:tc>
      </w:tr>
      <w:tr w:rsidR="009D7646" w:rsidRPr="00F9522B">
        <w:trPr>
          <w:trHeight w:val="268"/>
          <w:jc w:val="center"/>
        </w:trPr>
        <w:tc>
          <w:tcPr>
            <w:tcW w:w="570" w:type="pct"/>
            <w:vMerge/>
            <w:vAlign w:val="center"/>
          </w:tcPr>
          <w:p w:rsidR="009D7646" w:rsidRPr="00F9522B" w:rsidRDefault="009D7646">
            <w:pPr>
              <w:widowControl/>
              <w:jc w:val="center"/>
              <w:textAlignment w:val="center"/>
              <w:rPr>
                <w:rFonts w:eastAsiaTheme="minorEastAsia"/>
                <w:szCs w:val="21"/>
              </w:rPr>
            </w:pPr>
          </w:p>
        </w:tc>
        <w:tc>
          <w:tcPr>
            <w:tcW w:w="753" w:type="pct"/>
            <w:vMerge/>
            <w:vAlign w:val="center"/>
          </w:tcPr>
          <w:p w:rsidR="009D7646" w:rsidRPr="00F9522B" w:rsidRDefault="009D7646">
            <w:pPr>
              <w:widowControl/>
              <w:jc w:val="center"/>
              <w:textAlignment w:val="center"/>
              <w:rPr>
                <w:rFonts w:eastAsiaTheme="minorEastAsia"/>
                <w:szCs w:val="21"/>
              </w:rPr>
            </w:pPr>
          </w:p>
        </w:tc>
        <w:tc>
          <w:tcPr>
            <w:tcW w:w="851"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宋家村</w:t>
            </w:r>
          </w:p>
        </w:tc>
        <w:tc>
          <w:tcPr>
            <w:tcW w:w="1183"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1.00 </w:t>
            </w:r>
          </w:p>
        </w:tc>
        <w:tc>
          <w:tcPr>
            <w:tcW w:w="866"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0.98 </w:t>
            </w:r>
          </w:p>
        </w:tc>
        <w:tc>
          <w:tcPr>
            <w:tcW w:w="777"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0.02 </w:t>
            </w:r>
          </w:p>
        </w:tc>
      </w:tr>
      <w:tr w:rsidR="009D7646" w:rsidRPr="00F9522B">
        <w:trPr>
          <w:trHeight w:val="268"/>
          <w:jc w:val="center"/>
        </w:trPr>
        <w:tc>
          <w:tcPr>
            <w:tcW w:w="570" w:type="pct"/>
            <w:vMerge/>
            <w:vAlign w:val="center"/>
          </w:tcPr>
          <w:p w:rsidR="009D7646" w:rsidRPr="00F9522B" w:rsidRDefault="009D7646">
            <w:pPr>
              <w:widowControl/>
              <w:jc w:val="center"/>
              <w:textAlignment w:val="center"/>
              <w:rPr>
                <w:rFonts w:eastAsiaTheme="minorEastAsia"/>
                <w:szCs w:val="21"/>
              </w:rPr>
            </w:pPr>
          </w:p>
        </w:tc>
        <w:tc>
          <w:tcPr>
            <w:tcW w:w="0" w:type="auto"/>
            <w:vMerge/>
            <w:vAlign w:val="center"/>
          </w:tcPr>
          <w:p w:rsidR="009D7646" w:rsidRPr="00F9522B" w:rsidRDefault="009D7646">
            <w:pPr>
              <w:widowControl/>
              <w:jc w:val="left"/>
              <w:rPr>
                <w:rFonts w:eastAsiaTheme="minorEastAsia"/>
                <w:szCs w:val="21"/>
              </w:rPr>
            </w:pPr>
          </w:p>
        </w:tc>
        <w:tc>
          <w:tcPr>
            <w:tcW w:w="851"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榆林村</w:t>
            </w:r>
          </w:p>
        </w:tc>
        <w:tc>
          <w:tcPr>
            <w:tcW w:w="1183"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0.28 </w:t>
            </w:r>
          </w:p>
        </w:tc>
        <w:tc>
          <w:tcPr>
            <w:tcW w:w="866"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0.28 </w:t>
            </w:r>
          </w:p>
        </w:tc>
        <w:tc>
          <w:tcPr>
            <w:tcW w:w="777"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0.00 </w:t>
            </w:r>
          </w:p>
        </w:tc>
      </w:tr>
      <w:tr w:rsidR="009D7646" w:rsidRPr="00F9522B">
        <w:trPr>
          <w:trHeight w:val="268"/>
          <w:jc w:val="center"/>
        </w:trPr>
        <w:tc>
          <w:tcPr>
            <w:tcW w:w="570" w:type="pct"/>
            <w:vMerge w:val="restart"/>
            <w:vAlign w:val="center"/>
          </w:tcPr>
          <w:p w:rsidR="009D7646" w:rsidRPr="00F9522B" w:rsidRDefault="009D7646">
            <w:pPr>
              <w:widowControl/>
              <w:jc w:val="center"/>
              <w:textAlignment w:val="center"/>
              <w:rPr>
                <w:rFonts w:eastAsiaTheme="minorEastAsia"/>
                <w:szCs w:val="21"/>
              </w:rPr>
            </w:pPr>
            <w:r w:rsidRPr="00F9522B">
              <w:rPr>
                <w:rFonts w:eastAsiaTheme="minorEastAsia"/>
                <w:szCs w:val="21"/>
              </w:rPr>
              <w:t>3</w:t>
            </w:r>
          </w:p>
        </w:tc>
        <w:tc>
          <w:tcPr>
            <w:tcW w:w="753" w:type="pct"/>
            <w:vMerge w:val="restart"/>
            <w:vAlign w:val="center"/>
          </w:tcPr>
          <w:p w:rsidR="009D7646" w:rsidRPr="00F9522B" w:rsidRDefault="009D7646">
            <w:pPr>
              <w:widowControl/>
              <w:jc w:val="center"/>
              <w:textAlignment w:val="center"/>
              <w:rPr>
                <w:rFonts w:eastAsiaTheme="minorEastAsia"/>
                <w:szCs w:val="21"/>
              </w:rPr>
            </w:pPr>
            <w:r w:rsidRPr="00F9522B">
              <w:rPr>
                <w:rFonts w:eastAsiaTheme="minorEastAsia"/>
                <w:szCs w:val="21"/>
              </w:rPr>
              <w:t>石人</w:t>
            </w:r>
            <w:r w:rsidRPr="00F9522B">
              <w:rPr>
                <w:rFonts w:eastAsiaTheme="minorEastAsia"/>
                <w:kern w:val="0"/>
                <w:szCs w:val="21"/>
              </w:rPr>
              <w:t>片区</w:t>
            </w:r>
          </w:p>
        </w:tc>
        <w:tc>
          <w:tcPr>
            <w:tcW w:w="851"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城子村</w:t>
            </w:r>
          </w:p>
        </w:tc>
        <w:tc>
          <w:tcPr>
            <w:tcW w:w="1183"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0.73 </w:t>
            </w:r>
          </w:p>
        </w:tc>
        <w:tc>
          <w:tcPr>
            <w:tcW w:w="866"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0.73 </w:t>
            </w:r>
          </w:p>
        </w:tc>
        <w:tc>
          <w:tcPr>
            <w:tcW w:w="777"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0.00 </w:t>
            </w:r>
          </w:p>
        </w:tc>
      </w:tr>
      <w:tr w:rsidR="009D7646" w:rsidRPr="00F9522B">
        <w:trPr>
          <w:trHeight w:val="268"/>
          <w:jc w:val="center"/>
        </w:trPr>
        <w:tc>
          <w:tcPr>
            <w:tcW w:w="570" w:type="pct"/>
            <w:vMerge/>
            <w:vAlign w:val="center"/>
          </w:tcPr>
          <w:p w:rsidR="009D7646" w:rsidRPr="00F9522B" w:rsidRDefault="009D7646">
            <w:pPr>
              <w:widowControl/>
              <w:jc w:val="center"/>
              <w:textAlignment w:val="center"/>
              <w:rPr>
                <w:rFonts w:eastAsiaTheme="minorEastAsia"/>
                <w:szCs w:val="21"/>
              </w:rPr>
            </w:pPr>
          </w:p>
        </w:tc>
        <w:tc>
          <w:tcPr>
            <w:tcW w:w="753" w:type="pct"/>
            <w:vMerge/>
            <w:vAlign w:val="center"/>
          </w:tcPr>
          <w:p w:rsidR="009D7646" w:rsidRPr="00F9522B" w:rsidRDefault="009D7646">
            <w:pPr>
              <w:widowControl/>
              <w:jc w:val="center"/>
              <w:textAlignment w:val="center"/>
              <w:rPr>
                <w:rFonts w:eastAsiaTheme="minorEastAsia"/>
                <w:szCs w:val="21"/>
              </w:rPr>
            </w:pPr>
          </w:p>
        </w:tc>
        <w:tc>
          <w:tcPr>
            <w:tcW w:w="851"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古城村</w:t>
            </w:r>
          </w:p>
        </w:tc>
        <w:tc>
          <w:tcPr>
            <w:tcW w:w="1183"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0.47 </w:t>
            </w:r>
          </w:p>
        </w:tc>
        <w:tc>
          <w:tcPr>
            <w:tcW w:w="866"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0.47 </w:t>
            </w:r>
          </w:p>
        </w:tc>
        <w:tc>
          <w:tcPr>
            <w:tcW w:w="777"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0.00 </w:t>
            </w:r>
          </w:p>
        </w:tc>
      </w:tr>
      <w:tr w:rsidR="009D7646" w:rsidRPr="00F9522B">
        <w:trPr>
          <w:trHeight w:val="268"/>
          <w:jc w:val="center"/>
        </w:trPr>
        <w:tc>
          <w:tcPr>
            <w:tcW w:w="570" w:type="pct"/>
            <w:vMerge/>
            <w:vAlign w:val="center"/>
          </w:tcPr>
          <w:p w:rsidR="009D7646" w:rsidRPr="00F9522B" w:rsidRDefault="009D7646">
            <w:pPr>
              <w:widowControl/>
              <w:jc w:val="center"/>
              <w:textAlignment w:val="center"/>
              <w:rPr>
                <w:rFonts w:eastAsiaTheme="minorEastAsia"/>
                <w:szCs w:val="21"/>
              </w:rPr>
            </w:pPr>
          </w:p>
        </w:tc>
        <w:tc>
          <w:tcPr>
            <w:tcW w:w="0" w:type="auto"/>
            <w:vMerge/>
            <w:vAlign w:val="center"/>
          </w:tcPr>
          <w:p w:rsidR="009D7646" w:rsidRPr="00F9522B" w:rsidRDefault="009D7646">
            <w:pPr>
              <w:widowControl/>
              <w:jc w:val="left"/>
              <w:rPr>
                <w:rFonts w:eastAsiaTheme="minorEastAsia"/>
                <w:szCs w:val="21"/>
              </w:rPr>
            </w:pPr>
          </w:p>
        </w:tc>
        <w:tc>
          <w:tcPr>
            <w:tcW w:w="851"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金星村</w:t>
            </w:r>
          </w:p>
        </w:tc>
        <w:tc>
          <w:tcPr>
            <w:tcW w:w="1183"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1.57 </w:t>
            </w:r>
          </w:p>
        </w:tc>
        <w:tc>
          <w:tcPr>
            <w:tcW w:w="866"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1.57 </w:t>
            </w:r>
          </w:p>
        </w:tc>
        <w:tc>
          <w:tcPr>
            <w:tcW w:w="777"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0.00 </w:t>
            </w:r>
          </w:p>
        </w:tc>
      </w:tr>
      <w:tr w:rsidR="009D7646" w:rsidRPr="00F9522B">
        <w:trPr>
          <w:trHeight w:val="268"/>
          <w:jc w:val="center"/>
        </w:trPr>
        <w:tc>
          <w:tcPr>
            <w:tcW w:w="570" w:type="pct"/>
            <w:vMerge/>
            <w:vAlign w:val="center"/>
          </w:tcPr>
          <w:p w:rsidR="009D7646" w:rsidRPr="00F9522B" w:rsidRDefault="009D7646">
            <w:pPr>
              <w:widowControl/>
              <w:jc w:val="center"/>
              <w:textAlignment w:val="center"/>
              <w:rPr>
                <w:rFonts w:eastAsiaTheme="minorEastAsia"/>
                <w:szCs w:val="21"/>
              </w:rPr>
            </w:pPr>
          </w:p>
        </w:tc>
        <w:tc>
          <w:tcPr>
            <w:tcW w:w="0" w:type="auto"/>
            <w:vMerge/>
            <w:vAlign w:val="center"/>
          </w:tcPr>
          <w:p w:rsidR="009D7646" w:rsidRPr="00F9522B" w:rsidRDefault="009D7646">
            <w:pPr>
              <w:widowControl/>
              <w:jc w:val="left"/>
              <w:rPr>
                <w:rFonts w:eastAsiaTheme="minorEastAsia"/>
                <w:szCs w:val="21"/>
              </w:rPr>
            </w:pPr>
          </w:p>
        </w:tc>
        <w:tc>
          <w:tcPr>
            <w:tcW w:w="851"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石人村</w:t>
            </w:r>
          </w:p>
        </w:tc>
        <w:tc>
          <w:tcPr>
            <w:tcW w:w="1183"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1.52 </w:t>
            </w:r>
          </w:p>
        </w:tc>
        <w:tc>
          <w:tcPr>
            <w:tcW w:w="866"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1.52 </w:t>
            </w:r>
          </w:p>
        </w:tc>
        <w:tc>
          <w:tcPr>
            <w:tcW w:w="777"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0.00 </w:t>
            </w:r>
          </w:p>
        </w:tc>
      </w:tr>
      <w:tr w:rsidR="009D7646" w:rsidRPr="00F9522B">
        <w:trPr>
          <w:trHeight w:val="268"/>
          <w:jc w:val="center"/>
        </w:trPr>
        <w:tc>
          <w:tcPr>
            <w:tcW w:w="570" w:type="pct"/>
            <w:vMerge/>
            <w:vAlign w:val="center"/>
          </w:tcPr>
          <w:p w:rsidR="009D7646" w:rsidRPr="00F9522B" w:rsidRDefault="009D7646">
            <w:pPr>
              <w:widowControl/>
              <w:jc w:val="center"/>
              <w:textAlignment w:val="center"/>
              <w:rPr>
                <w:rFonts w:eastAsiaTheme="minorEastAsia"/>
                <w:szCs w:val="21"/>
              </w:rPr>
            </w:pPr>
          </w:p>
        </w:tc>
        <w:tc>
          <w:tcPr>
            <w:tcW w:w="0" w:type="auto"/>
            <w:vMerge/>
            <w:vAlign w:val="center"/>
          </w:tcPr>
          <w:p w:rsidR="009D7646" w:rsidRPr="00F9522B" w:rsidRDefault="009D7646">
            <w:pPr>
              <w:widowControl/>
              <w:jc w:val="left"/>
              <w:rPr>
                <w:rFonts w:eastAsiaTheme="minorEastAsia"/>
                <w:szCs w:val="21"/>
              </w:rPr>
            </w:pPr>
          </w:p>
        </w:tc>
        <w:tc>
          <w:tcPr>
            <w:tcW w:w="851"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永发村</w:t>
            </w:r>
          </w:p>
        </w:tc>
        <w:tc>
          <w:tcPr>
            <w:tcW w:w="1183"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0.05 </w:t>
            </w:r>
          </w:p>
        </w:tc>
        <w:tc>
          <w:tcPr>
            <w:tcW w:w="866"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0.05 </w:t>
            </w:r>
          </w:p>
        </w:tc>
        <w:tc>
          <w:tcPr>
            <w:tcW w:w="777"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0.00 </w:t>
            </w:r>
          </w:p>
        </w:tc>
      </w:tr>
      <w:tr w:rsidR="009D7646" w:rsidRPr="00F9522B">
        <w:trPr>
          <w:trHeight w:val="268"/>
          <w:jc w:val="center"/>
        </w:trPr>
        <w:tc>
          <w:tcPr>
            <w:tcW w:w="570" w:type="pct"/>
            <w:vMerge/>
            <w:vAlign w:val="center"/>
          </w:tcPr>
          <w:p w:rsidR="009D7646" w:rsidRPr="00F9522B" w:rsidRDefault="009D7646">
            <w:pPr>
              <w:widowControl/>
              <w:jc w:val="center"/>
              <w:textAlignment w:val="center"/>
              <w:rPr>
                <w:rFonts w:eastAsiaTheme="minorEastAsia"/>
                <w:szCs w:val="21"/>
              </w:rPr>
            </w:pPr>
          </w:p>
        </w:tc>
        <w:tc>
          <w:tcPr>
            <w:tcW w:w="0" w:type="auto"/>
            <w:vMerge/>
            <w:vAlign w:val="center"/>
          </w:tcPr>
          <w:p w:rsidR="009D7646" w:rsidRPr="00F9522B" w:rsidRDefault="009D7646">
            <w:pPr>
              <w:widowControl/>
              <w:jc w:val="left"/>
              <w:rPr>
                <w:rFonts w:eastAsiaTheme="minorEastAsia"/>
                <w:szCs w:val="21"/>
              </w:rPr>
            </w:pPr>
          </w:p>
        </w:tc>
        <w:tc>
          <w:tcPr>
            <w:tcW w:w="851"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永平村</w:t>
            </w:r>
          </w:p>
        </w:tc>
        <w:tc>
          <w:tcPr>
            <w:tcW w:w="1183"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1.63 </w:t>
            </w:r>
          </w:p>
        </w:tc>
        <w:tc>
          <w:tcPr>
            <w:tcW w:w="866"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1.63 </w:t>
            </w:r>
          </w:p>
        </w:tc>
        <w:tc>
          <w:tcPr>
            <w:tcW w:w="777"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0.00 </w:t>
            </w:r>
          </w:p>
        </w:tc>
      </w:tr>
      <w:tr w:rsidR="009D7646" w:rsidRPr="00F9522B">
        <w:trPr>
          <w:trHeight w:val="268"/>
          <w:jc w:val="center"/>
        </w:trPr>
        <w:tc>
          <w:tcPr>
            <w:tcW w:w="570" w:type="pct"/>
            <w:vMerge/>
            <w:vAlign w:val="center"/>
          </w:tcPr>
          <w:p w:rsidR="009D7646" w:rsidRPr="00F9522B" w:rsidRDefault="009D7646">
            <w:pPr>
              <w:widowControl/>
              <w:jc w:val="center"/>
              <w:textAlignment w:val="center"/>
              <w:rPr>
                <w:rFonts w:eastAsiaTheme="minorEastAsia"/>
                <w:szCs w:val="21"/>
              </w:rPr>
            </w:pPr>
          </w:p>
        </w:tc>
        <w:tc>
          <w:tcPr>
            <w:tcW w:w="0" w:type="auto"/>
            <w:vMerge/>
            <w:vAlign w:val="center"/>
          </w:tcPr>
          <w:p w:rsidR="009D7646" w:rsidRPr="00F9522B" w:rsidRDefault="009D7646">
            <w:pPr>
              <w:widowControl/>
              <w:jc w:val="left"/>
              <w:rPr>
                <w:rFonts w:eastAsiaTheme="minorEastAsia"/>
                <w:szCs w:val="21"/>
              </w:rPr>
            </w:pPr>
          </w:p>
        </w:tc>
        <w:tc>
          <w:tcPr>
            <w:tcW w:w="851"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于家村</w:t>
            </w:r>
          </w:p>
        </w:tc>
        <w:tc>
          <w:tcPr>
            <w:tcW w:w="1183"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0.41 </w:t>
            </w:r>
          </w:p>
        </w:tc>
        <w:tc>
          <w:tcPr>
            <w:tcW w:w="866"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0.41 </w:t>
            </w:r>
          </w:p>
        </w:tc>
        <w:tc>
          <w:tcPr>
            <w:tcW w:w="777"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0.00 </w:t>
            </w:r>
          </w:p>
        </w:tc>
      </w:tr>
      <w:tr w:rsidR="009D7646" w:rsidRPr="00F9522B">
        <w:trPr>
          <w:trHeight w:val="268"/>
          <w:jc w:val="center"/>
        </w:trPr>
        <w:tc>
          <w:tcPr>
            <w:tcW w:w="570" w:type="pct"/>
            <w:vMerge w:val="restart"/>
            <w:vAlign w:val="center"/>
          </w:tcPr>
          <w:p w:rsidR="009D7646" w:rsidRPr="00F9522B" w:rsidRDefault="009D7646">
            <w:pPr>
              <w:widowControl/>
              <w:jc w:val="center"/>
              <w:textAlignment w:val="center"/>
              <w:rPr>
                <w:rFonts w:eastAsiaTheme="minorEastAsia"/>
                <w:szCs w:val="21"/>
              </w:rPr>
            </w:pPr>
            <w:r w:rsidRPr="00F9522B">
              <w:rPr>
                <w:rFonts w:eastAsiaTheme="minorEastAsia"/>
                <w:szCs w:val="21"/>
              </w:rPr>
              <w:t>4</w:t>
            </w:r>
          </w:p>
        </w:tc>
        <w:tc>
          <w:tcPr>
            <w:tcW w:w="753" w:type="pct"/>
            <w:vMerge w:val="restart"/>
            <w:vAlign w:val="center"/>
          </w:tcPr>
          <w:p w:rsidR="009D7646" w:rsidRPr="00F9522B" w:rsidRDefault="009D7646">
            <w:pPr>
              <w:widowControl/>
              <w:jc w:val="center"/>
              <w:textAlignment w:val="center"/>
              <w:rPr>
                <w:rFonts w:eastAsiaTheme="minorEastAsia"/>
                <w:szCs w:val="21"/>
              </w:rPr>
            </w:pPr>
            <w:r w:rsidRPr="00F9522B">
              <w:rPr>
                <w:rFonts w:eastAsiaTheme="minorEastAsia"/>
                <w:szCs w:val="21"/>
              </w:rPr>
              <w:t>康金片区</w:t>
            </w:r>
          </w:p>
        </w:tc>
        <w:tc>
          <w:tcPr>
            <w:tcW w:w="851"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金城村</w:t>
            </w:r>
          </w:p>
        </w:tc>
        <w:tc>
          <w:tcPr>
            <w:tcW w:w="1183"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0.31 </w:t>
            </w:r>
          </w:p>
        </w:tc>
        <w:tc>
          <w:tcPr>
            <w:tcW w:w="866"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0.31 </w:t>
            </w:r>
          </w:p>
        </w:tc>
        <w:tc>
          <w:tcPr>
            <w:tcW w:w="777"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0.00 </w:t>
            </w:r>
          </w:p>
        </w:tc>
      </w:tr>
      <w:tr w:rsidR="009D7646" w:rsidRPr="00F9522B">
        <w:trPr>
          <w:trHeight w:val="268"/>
          <w:jc w:val="center"/>
        </w:trPr>
        <w:tc>
          <w:tcPr>
            <w:tcW w:w="570" w:type="pct"/>
            <w:vMerge/>
            <w:vAlign w:val="center"/>
          </w:tcPr>
          <w:p w:rsidR="009D7646" w:rsidRPr="00F9522B" w:rsidRDefault="009D7646">
            <w:pPr>
              <w:widowControl/>
              <w:jc w:val="center"/>
              <w:textAlignment w:val="center"/>
              <w:rPr>
                <w:rFonts w:eastAsiaTheme="minorEastAsia"/>
                <w:szCs w:val="21"/>
              </w:rPr>
            </w:pPr>
          </w:p>
        </w:tc>
        <w:tc>
          <w:tcPr>
            <w:tcW w:w="753" w:type="pct"/>
            <w:vMerge/>
            <w:vAlign w:val="center"/>
          </w:tcPr>
          <w:p w:rsidR="009D7646" w:rsidRPr="00F9522B" w:rsidRDefault="009D7646">
            <w:pPr>
              <w:widowControl/>
              <w:jc w:val="center"/>
              <w:textAlignment w:val="center"/>
              <w:rPr>
                <w:rFonts w:eastAsiaTheme="minorEastAsia"/>
                <w:szCs w:val="21"/>
              </w:rPr>
            </w:pPr>
          </w:p>
        </w:tc>
        <w:tc>
          <w:tcPr>
            <w:tcW w:w="851"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永胜村</w:t>
            </w:r>
          </w:p>
        </w:tc>
        <w:tc>
          <w:tcPr>
            <w:tcW w:w="1183"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0.21 </w:t>
            </w:r>
          </w:p>
        </w:tc>
        <w:tc>
          <w:tcPr>
            <w:tcW w:w="866"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0.21 </w:t>
            </w:r>
          </w:p>
        </w:tc>
        <w:tc>
          <w:tcPr>
            <w:tcW w:w="777"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0.00 </w:t>
            </w:r>
          </w:p>
        </w:tc>
      </w:tr>
      <w:tr w:rsidR="009D7646" w:rsidRPr="00F9522B">
        <w:trPr>
          <w:trHeight w:val="268"/>
          <w:jc w:val="center"/>
        </w:trPr>
        <w:tc>
          <w:tcPr>
            <w:tcW w:w="570" w:type="pct"/>
            <w:vMerge/>
            <w:vAlign w:val="center"/>
          </w:tcPr>
          <w:p w:rsidR="009D7646" w:rsidRPr="00F9522B" w:rsidRDefault="009D7646">
            <w:pPr>
              <w:widowControl/>
              <w:jc w:val="center"/>
              <w:textAlignment w:val="center"/>
              <w:rPr>
                <w:rFonts w:eastAsiaTheme="minorEastAsia"/>
                <w:szCs w:val="21"/>
              </w:rPr>
            </w:pPr>
          </w:p>
        </w:tc>
        <w:tc>
          <w:tcPr>
            <w:tcW w:w="753" w:type="pct"/>
            <w:vMerge/>
            <w:vAlign w:val="center"/>
          </w:tcPr>
          <w:p w:rsidR="009D7646" w:rsidRPr="00F9522B" w:rsidRDefault="009D7646">
            <w:pPr>
              <w:widowControl/>
              <w:jc w:val="center"/>
              <w:textAlignment w:val="center"/>
              <w:rPr>
                <w:rFonts w:eastAsiaTheme="minorEastAsia"/>
                <w:szCs w:val="21"/>
              </w:rPr>
            </w:pPr>
          </w:p>
        </w:tc>
        <w:tc>
          <w:tcPr>
            <w:tcW w:w="851"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历井村</w:t>
            </w:r>
          </w:p>
        </w:tc>
        <w:tc>
          <w:tcPr>
            <w:tcW w:w="1183"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0.37 </w:t>
            </w:r>
          </w:p>
        </w:tc>
        <w:tc>
          <w:tcPr>
            <w:tcW w:w="866"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0.37 </w:t>
            </w:r>
          </w:p>
        </w:tc>
        <w:tc>
          <w:tcPr>
            <w:tcW w:w="777"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0.00 </w:t>
            </w:r>
          </w:p>
        </w:tc>
      </w:tr>
      <w:tr w:rsidR="009D7646" w:rsidRPr="00F9522B">
        <w:trPr>
          <w:trHeight w:val="268"/>
          <w:jc w:val="center"/>
        </w:trPr>
        <w:tc>
          <w:tcPr>
            <w:tcW w:w="570" w:type="pct"/>
            <w:vMerge/>
            <w:vAlign w:val="center"/>
          </w:tcPr>
          <w:p w:rsidR="009D7646" w:rsidRPr="00F9522B" w:rsidRDefault="009D7646">
            <w:pPr>
              <w:widowControl/>
              <w:jc w:val="center"/>
              <w:textAlignment w:val="center"/>
              <w:rPr>
                <w:rFonts w:eastAsiaTheme="minorEastAsia"/>
                <w:szCs w:val="21"/>
              </w:rPr>
            </w:pPr>
          </w:p>
        </w:tc>
        <w:tc>
          <w:tcPr>
            <w:tcW w:w="753" w:type="pct"/>
            <w:vMerge/>
            <w:vAlign w:val="center"/>
          </w:tcPr>
          <w:p w:rsidR="009D7646" w:rsidRPr="00F9522B" w:rsidRDefault="009D7646">
            <w:pPr>
              <w:widowControl/>
              <w:jc w:val="center"/>
              <w:textAlignment w:val="center"/>
              <w:rPr>
                <w:rFonts w:eastAsiaTheme="minorEastAsia"/>
                <w:szCs w:val="21"/>
              </w:rPr>
            </w:pPr>
          </w:p>
        </w:tc>
        <w:tc>
          <w:tcPr>
            <w:tcW w:w="851"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孟井村</w:t>
            </w:r>
          </w:p>
        </w:tc>
        <w:tc>
          <w:tcPr>
            <w:tcW w:w="1183"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0.33 </w:t>
            </w:r>
          </w:p>
        </w:tc>
        <w:tc>
          <w:tcPr>
            <w:tcW w:w="866"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0.33 </w:t>
            </w:r>
          </w:p>
        </w:tc>
        <w:tc>
          <w:tcPr>
            <w:tcW w:w="777"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0.00 </w:t>
            </w:r>
          </w:p>
        </w:tc>
      </w:tr>
      <w:tr w:rsidR="009D7646" w:rsidRPr="00F9522B">
        <w:trPr>
          <w:trHeight w:val="268"/>
          <w:jc w:val="center"/>
        </w:trPr>
        <w:tc>
          <w:tcPr>
            <w:tcW w:w="570" w:type="pct"/>
            <w:vMerge/>
            <w:vAlign w:val="center"/>
          </w:tcPr>
          <w:p w:rsidR="009D7646" w:rsidRPr="00F9522B" w:rsidRDefault="009D7646">
            <w:pPr>
              <w:widowControl/>
              <w:jc w:val="center"/>
              <w:textAlignment w:val="center"/>
              <w:rPr>
                <w:rFonts w:eastAsiaTheme="minorEastAsia"/>
                <w:szCs w:val="21"/>
              </w:rPr>
            </w:pPr>
          </w:p>
        </w:tc>
        <w:tc>
          <w:tcPr>
            <w:tcW w:w="753" w:type="pct"/>
            <w:vMerge/>
            <w:vAlign w:val="center"/>
          </w:tcPr>
          <w:p w:rsidR="009D7646" w:rsidRPr="00F9522B" w:rsidRDefault="009D7646">
            <w:pPr>
              <w:widowControl/>
              <w:jc w:val="center"/>
              <w:textAlignment w:val="center"/>
              <w:rPr>
                <w:rFonts w:eastAsiaTheme="minorEastAsia"/>
                <w:szCs w:val="21"/>
              </w:rPr>
            </w:pPr>
          </w:p>
        </w:tc>
        <w:tc>
          <w:tcPr>
            <w:tcW w:w="851"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双合村</w:t>
            </w:r>
          </w:p>
        </w:tc>
        <w:tc>
          <w:tcPr>
            <w:tcW w:w="1183"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0.51 </w:t>
            </w:r>
          </w:p>
        </w:tc>
        <w:tc>
          <w:tcPr>
            <w:tcW w:w="866"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0.51 </w:t>
            </w:r>
          </w:p>
        </w:tc>
        <w:tc>
          <w:tcPr>
            <w:tcW w:w="777"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0.00 </w:t>
            </w:r>
          </w:p>
        </w:tc>
      </w:tr>
      <w:tr w:rsidR="009D7646" w:rsidRPr="00F9522B">
        <w:trPr>
          <w:trHeight w:val="268"/>
          <w:jc w:val="center"/>
        </w:trPr>
        <w:tc>
          <w:tcPr>
            <w:tcW w:w="570" w:type="pct"/>
            <w:vMerge/>
            <w:vAlign w:val="center"/>
          </w:tcPr>
          <w:p w:rsidR="009D7646" w:rsidRPr="00F9522B" w:rsidRDefault="009D7646">
            <w:pPr>
              <w:widowControl/>
              <w:jc w:val="center"/>
              <w:textAlignment w:val="center"/>
              <w:rPr>
                <w:rFonts w:eastAsiaTheme="minorEastAsia"/>
                <w:szCs w:val="21"/>
              </w:rPr>
            </w:pPr>
          </w:p>
        </w:tc>
        <w:tc>
          <w:tcPr>
            <w:tcW w:w="753" w:type="pct"/>
            <w:vMerge/>
            <w:vAlign w:val="center"/>
          </w:tcPr>
          <w:p w:rsidR="009D7646" w:rsidRPr="00F9522B" w:rsidRDefault="009D7646">
            <w:pPr>
              <w:widowControl/>
              <w:jc w:val="center"/>
              <w:textAlignment w:val="center"/>
              <w:rPr>
                <w:rFonts w:eastAsiaTheme="minorEastAsia"/>
                <w:szCs w:val="21"/>
              </w:rPr>
            </w:pPr>
          </w:p>
        </w:tc>
        <w:tc>
          <w:tcPr>
            <w:tcW w:w="851"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苏德村</w:t>
            </w:r>
          </w:p>
        </w:tc>
        <w:tc>
          <w:tcPr>
            <w:tcW w:w="1183"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0.74 </w:t>
            </w:r>
          </w:p>
        </w:tc>
        <w:tc>
          <w:tcPr>
            <w:tcW w:w="866"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0.74 </w:t>
            </w:r>
          </w:p>
        </w:tc>
        <w:tc>
          <w:tcPr>
            <w:tcW w:w="777"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0.00 </w:t>
            </w:r>
          </w:p>
        </w:tc>
      </w:tr>
      <w:tr w:rsidR="009D7646" w:rsidRPr="00F9522B">
        <w:trPr>
          <w:trHeight w:val="268"/>
          <w:jc w:val="center"/>
        </w:trPr>
        <w:tc>
          <w:tcPr>
            <w:tcW w:w="570" w:type="pct"/>
            <w:vMerge/>
            <w:vAlign w:val="center"/>
          </w:tcPr>
          <w:p w:rsidR="009D7646" w:rsidRPr="00F9522B" w:rsidRDefault="009D7646">
            <w:pPr>
              <w:widowControl/>
              <w:jc w:val="center"/>
              <w:textAlignment w:val="center"/>
              <w:rPr>
                <w:rFonts w:eastAsiaTheme="minorEastAsia"/>
                <w:szCs w:val="21"/>
              </w:rPr>
            </w:pPr>
          </w:p>
        </w:tc>
        <w:tc>
          <w:tcPr>
            <w:tcW w:w="753" w:type="pct"/>
            <w:vMerge/>
            <w:vAlign w:val="center"/>
          </w:tcPr>
          <w:p w:rsidR="009D7646" w:rsidRPr="00F9522B" w:rsidRDefault="009D7646">
            <w:pPr>
              <w:widowControl/>
              <w:jc w:val="center"/>
              <w:textAlignment w:val="center"/>
              <w:rPr>
                <w:rFonts w:eastAsiaTheme="minorEastAsia"/>
                <w:szCs w:val="21"/>
              </w:rPr>
            </w:pPr>
          </w:p>
        </w:tc>
        <w:tc>
          <w:tcPr>
            <w:tcW w:w="851"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王牛村</w:t>
            </w:r>
          </w:p>
        </w:tc>
        <w:tc>
          <w:tcPr>
            <w:tcW w:w="1183"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1.38 </w:t>
            </w:r>
          </w:p>
        </w:tc>
        <w:tc>
          <w:tcPr>
            <w:tcW w:w="866"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1.38 </w:t>
            </w:r>
          </w:p>
        </w:tc>
        <w:tc>
          <w:tcPr>
            <w:tcW w:w="777"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0.00 </w:t>
            </w:r>
          </w:p>
        </w:tc>
      </w:tr>
      <w:tr w:rsidR="009D7646" w:rsidRPr="00F9522B">
        <w:trPr>
          <w:trHeight w:val="268"/>
          <w:jc w:val="center"/>
        </w:trPr>
        <w:tc>
          <w:tcPr>
            <w:tcW w:w="570" w:type="pct"/>
            <w:vMerge/>
            <w:vAlign w:val="center"/>
          </w:tcPr>
          <w:p w:rsidR="009D7646" w:rsidRPr="00F9522B" w:rsidRDefault="009D7646">
            <w:pPr>
              <w:widowControl/>
              <w:jc w:val="center"/>
              <w:textAlignment w:val="center"/>
              <w:rPr>
                <w:rFonts w:eastAsiaTheme="minorEastAsia"/>
                <w:szCs w:val="21"/>
              </w:rPr>
            </w:pPr>
          </w:p>
        </w:tc>
        <w:tc>
          <w:tcPr>
            <w:tcW w:w="753" w:type="pct"/>
            <w:vMerge/>
            <w:vAlign w:val="center"/>
          </w:tcPr>
          <w:p w:rsidR="009D7646" w:rsidRPr="00F9522B" w:rsidRDefault="009D7646">
            <w:pPr>
              <w:widowControl/>
              <w:jc w:val="center"/>
              <w:textAlignment w:val="center"/>
              <w:rPr>
                <w:rFonts w:eastAsiaTheme="minorEastAsia"/>
                <w:szCs w:val="21"/>
              </w:rPr>
            </w:pPr>
          </w:p>
        </w:tc>
        <w:tc>
          <w:tcPr>
            <w:tcW w:w="851"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王佩村</w:t>
            </w:r>
          </w:p>
        </w:tc>
        <w:tc>
          <w:tcPr>
            <w:tcW w:w="1183"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0.99 </w:t>
            </w:r>
          </w:p>
        </w:tc>
        <w:tc>
          <w:tcPr>
            <w:tcW w:w="866"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0.99 </w:t>
            </w:r>
          </w:p>
        </w:tc>
        <w:tc>
          <w:tcPr>
            <w:tcW w:w="777"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0.00 </w:t>
            </w:r>
          </w:p>
        </w:tc>
      </w:tr>
      <w:tr w:rsidR="009D7646" w:rsidRPr="00F9522B">
        <w:trPr>
          <w:trHeight w:val="268"/>
          <w:jc w:val="center"/>
        </w:trPr>
        <w:tc>
          <w:tcPr>
            <w:tcW w:w="570" w:type="pct"/>
            <w:vMerge/>
            <w:vAlign w:val="center"/>
          </w:tcPr>
          <w:p w:rsidR="009D7646" w:rsidRPr="00F9522B" w:rsidRDefault="009D7646">
            <w:pPr>
              <w:widowControl/>
              <w:jc w:val="center"/>
              <w:textAlignment w:val="center"/>
              <w:rPr>
                <w:rFonts w:eastAsiaTheme="minorEastAsia"/>
                <w:szCs w:val="21"/>
              </w:rPr>
            </w:pPr>
          </w:p>
        </w:tc>
        <w:tc>
          <w:tcPr>
            <w:tcW w:w="753" w:type="pct"/>
            <w:vMerge/>
            <w:vAlign w:val="center"/>
          </w:tcPr>
          <w:p w:rsidR="009D7646" w:rsidRPr="00F9522B" w:rsidRDefault="009D7646">
            <w:pPr>
              <w:widowControl/>
              <w:jc w:val="center"/>
              <w:textAlignment w:val="center"/>
              <w:rPr>
                <w:rFonts w:eastAsiaTheme="minorEastAsia"/>
                <w:szCs w:val="21"/>
              </w:rPr>
            </w:pPr>
          </w:p>
        </w:tc>
        <w:tc>
          <w:tcPr>
            <w:tcW w:w="851"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西井村</w:t>
            </w:r>
          </w:p>
        </w:tc>
        <w:tc>
          <w:tcPr>
            <w:tcW w:w="1183"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0.46 </w:t>
            </w:r>
          </w:p>
        </w:tc>
        <w:tc>
          <w:tcPr>
            <w:tcW w:w="866"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0.46 </w:t>
            </w:r>
          </w:p>
        </w:tc>
        <w:tc>
          <w:tcPr>
            <w:tcW w:w="777"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0.00 </w:t>
            </w:r>
          </w:p>
        </w:tc>
      </w:tr>
      <w:tr w:rsidR="009D7646" w:rsidRPr="00F9522B">
        <w:trPr>
          <w:trHeight w:val="268"/>
          <w:jc w:val="center"/>
        </w:trPr>
        <w:tc>
          <w:tcPr>
            <w:tcW w:w="570" w:type="pct"/>
            <w:vMerge/>
            <w:vAlign w:val="center"/>
          </w:tcPr>
          <w:p w:rsidR="009D7646" w:rsidRPr="00F9522B" w:rsidRDefault="009D7646">
            <w:pPr>
              <w:widowControl/>
              <w:jc w:val="center"/>
              <w:textAlignment w:val="center"/>
              <w:rPr>
                <w:rFonts w:eastAsiaTheme="minorEastAsia"/>
                <w:szCs w:val="21"/>
              </w:rPr>
            </w:pPr>
          </w:p>
        </w:tc>
        <w:tc>
          <w:tcPr>
            <w:tcW w:w="753" w:type="pct"/>
            <w:vMerge/>
            <w:vAlign w:val="center"/>
          </w:tcPr>
          <w:p w:rsidR="009D7646" w:rsidRPr="00F9522B" w:rsidRDefault="009D7646">
            <w:pPr>
              <w:widowControl/>
              <w:jc w:val="center"/>
              <w:textAlignment w:val="center"/>
              <w:rPr>
                <w:rFonts w:eastAsiaTheme="minorEastAsia"/>
                <w:szCs w:val="21"/>
              </w:rPr>
            </w:pPr>
          </w:p>
        </w:tc>
        <w:tc>
          <w:tcPr>
            <w:tcW w:w="851"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杨木村</w:t>
            </w:r>
          </w:p>
        </w:tc>
        <w:tc>
          <w:tcPr>
            <w:tcW w:w="1183"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0.55 </w:t>
            </w:r>
          </w:p>
        </w:tc>
        <w:tc>
          <w:tcPr>
            <w:tcW w:w="866"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0.50 </w:t>
            </w:r>
          </w:p>
        </w:tc>
        <w:tc>
          <w:tcPr>
            <w:tcW w:w="777" w:type="pct"/>
            <w:vAlign w:val="center"/>
          </w:tcPr>
          <w:p w:rsidR="009D7646" w:rsidRPr="00F9522B" w:rsidRDefault="009D7646">
            <w:pPr>
              <w:widowControl/>
              <w:jc w:val="center"/>
              <w:textAlignment w:val="center"/>
              <w:rPr>
                <w:rFonts w:eastAsiaTheme="minorEastAsia"/>
                <w:kern w:val="0"/>
                <w:szCs w:val="21"/>
              </w:rPr>
            </w:pPr>
            <w:r w:rsidRPr="00F9522B">
              <w:rPr>
                <w:rFonts w:eastAsiaTheme="minorEastAsia"/>
                <w:kern w:val="0"/>
                <w:szCs w:val="21"/>
              </w:rPr>
              <w:t xml:space="preserve">0.05 </w:t>
            </w:r>
          </w:p>
        </w:tc>
      </w:tr>
      <w:tr w:rsidR="002A5A5E" w:rsidRPr="00F9522B">
        <w:trPr>
          <w:trHeight w:val="268"/>
          <w:jc w:val="center"/>
        </w:trPr>
        <w:tc>
          <w:tcPr>
            <w:tcW w:w="2174" w:type="pct"/>
            <w:gridSpan w:val="3"/>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合计</w:t>
            </w:r>
          </w:p>
        </w:tc>
        <w:tc>
          <w:tcPr>
            <w:tcW w:w="1183" w:type="pct"/>
            <w:vAlign w:val="center"/>
          </w:tcPr>
          <w:p w:rsidR="002A5A5E" w:rsidRPr="00F9522B" w:rsidRDefault="00611CBA" w:rsidP="009D7646">
            <w:pPr>
              <w:widowControl/>
              <w:jc w:val="center"/>
              <w:textAlignment w:val="center"/>
              <w:rPr>
                <w:rFonts w:eastAsiaTheme="minorEastAsia"/>
                <w:kern w:val="0"/>
                <w:szCs w:val="21"/>
              </w:rPr>
            </w:pPr>
            <w:r w:rsidRPr="00F9522B">
              <w:rPr>
                <w:rFonts w:eastAsiaTheme="minorEastAsia"/>
                <w:kern w:val="0"/>
                <w:szCs w:val="21"/>
              </w:rPr>
              <w:t>2</w:t>
            </w:r>
            <w:r w:rsidR="009D7646" w:rsidRPr="00F9522B">
              <w:rPr>
                <w:rFonts w:eastAsiaTheme="minorEastAsia"/>
                <w:kern w:val="0"/>
                <w:szCs w:val="21"/>
              </w:rPr>
              <w:t>3</w:t>
            </w:r>
            <w:r w:rsidRPr="00F9522B">
              <w:rPr>
                <w:rFonts w:eastAsiaTheme="minorEastAsia"/>
                <w:kern w:val="0"/>
                <w:szCs w:val="21"/>
              </w:rPr>
              <w:t xml:space="preserve">.00 </w:t>
            </w:r>
          </w:p>
        </w:tc>
        <w:tc>
          <w:tcPr>
            <w:tcW w:w="866" w:type="pct"/>
            <w:vAlign w:val="center"/>
          </w:tcPr>
          <w:p w:rsidR="002A5A5E" w:rsidRPr="00F9522B" w:rsidRDefault="009D7646">
            <w:pPr>
              <w:widowControl/>
              <w:jc w:val="center"/>
              <w:textAlignment w:val="center"/>
              <w:rPr>
                <w:rFonts w:eastAsiaTheme="minorEastAsia"/>
                <w:kern w:val="0"/>
                <w:szCs w:val="21"/>
              </w:rPr>
            </w:pPr>
            <w:r w:rsidRPr="00F9522B">
              <w:rPr>
                <w:rFonts w:eastAsiaTheme="minorEastAsia"/>
                <w:kern w:val="0"/>
                <w:szCs w:val="21"/>
              </w:rPr>
              <w:t>22.54</w:t>
            </w:r>
          </w:p>
        </w:tc>
        <w:tc>
          <w:tcPr>
            <w:tcW w:w="777" w:type="pct"/>
            <w:vAlign w:val="center"/>
          </w:tcPr>
          <w:p w:rsidR="002A5A5E" w:rsidRPr="00F9522B" w:rsidRDefault="009D7646">
            <w:pPr>
              <w:widowControl/>
              <w:jc w:val="center"/>
              <w:textAlignment w:val="center"/>
              <w:rPr>
                <w:rFonts w:eastAsiaTheme="minorEastAsia"/>
                <w:kern w:val="0"/>
                <w:szCs w:val="21"/>
              </w:rPr>
            </w:pPr>
            <w:r w:rsidRPr="00F9522B">
              <w:rPr>
                <w:rFonts w:eastAsiaTheme="minorEastAsia"/>
                <w:kern w:val="0"/>
                <w:szCs w:val="21"/>
              </w:rPr>
              <w:t>0.46</w:t>
            </w:r>
          </w:p>
        </w:tc>
      </w:tr>
    </w:tbl>
    <w:p w:rsidR="00E268F3" w:rsidRPr="00F9522B" w:rsidRDefault="00E268F3" w:rsidP="00E268F3">
      <w:pPr>
        <w:contextualSpacing/>
        <w:jc w:val="center"/>
        <w:rPr>
          <w:rFonts w:eastAsiaTheme="minorEastAsia"/>
          <w:b/>
          <w:kern w:val="0"/>
          <w:szCs w:val="21"/>
        </w:rPr>
      </w:pPr>
    </w:p>
    <w:p w:rsidR="00E268F3" w:rsidRPr="00F9522B" w:rsidRDefault="00E268F3" w:rsidP="002C1EE3">
      <w:pPr>
        <w:contextualSpacing/>
        <w:jc w:val="center"/>
        <w:rPr>
          <w:rFonts w:eastAsiaTheme="minorEastAsia"/>
          <w:b/>
          <w:kern w:val="0"/>
          <w:szCs w:val="21"/>
        </w:rPr>
      </w:pPr>
    </w:p>
    <w:p w:rsidR="00E268F3" w:rsidRPr="00F9522B" w:rsidRDefault="00E268F3" w:rsidP="00E268F3">
      <w:pPr>
        <w:contextualSpacing/>
        <w:jc w:val="center"/>
        <w:rPr>
          <w:rFonts w:eastAsiaTheme="minorEastAsia"/>
          <w:b/>
          <w:kern w:val="0"/>
          <w:szCs w:val="21"/>
        </w:rPr>
      </w:pPr>
    </w:p>
    <w:p w:rsidR="00E268F3" w:rsidRPr="00F9522B" w:rsidRDefault="00E268F3" w:rsidP="00E268F3">
      <w:pPr>
        <w:contextualSpacing/>
        <w:jc w:val="center"/>
        <w:rPr>
          <w:rFonts w:eastAsiaTheme="minorEastAsia"/>
          <w:b/>
          <w:kern w:val="0"/>
          <w:szCs w:val="21"/>
        </w:rPr>
      </w:pPr>
    </w:p>
    <w:p w:rsidR="00660C23" w:rsidRPr="00F9522B" w:rsidRDefault="00660C23" w:rsidP="00E268F3">
      <w:pPr>
        <w:contextualSpacing/>
        <w:jc w:val="center"/>
        <w:rPr>
          <w:rFonts w:eastAsiaTheme="minorEastAsia"/>
          <w:b/>
          <w:kern w:val="0"/>
          <w:szCs w:val="21"/>
        </w:rPr>
      </w:pPr>
    </w:p>
    <w:p w:rsidR="00660C23" w:rsidRPr="00F9522B" w:rsidRDefault="00660C23" w:rsidP="00E268F3">
      <w:pPr>
        <w:contextualSpacing/>
        <w:jc w:val="center"/>
        <w:rPr>
          <w:rFonts w:eastAsiaTheme="minorEastAsia"/>
          <w:b/>
          <w:kern w:val="0"/>
          <w:szCs w:val="21"/>
        </w:rPr>
      </w:pPr>
    </w:p>
    <w:p w:rsidR="00E268F3" w:rsidRPr="00F9522B" w:rsidRDefault="00E268F3" w:rsidP="00E268F3">
      <w:pPr>
        <w:contextualSpacing/>
        <w:jc w:val="center"/>
        <w:rPr>
          <w:rFonts w:eastAsiaTheme="minorEastAsia"/>
          <w:b/>
          <w:kern w:val="0"/>
          <w:szCs w:val="21"/>
        </w:rPr>
      </w:pPr>
    </w:p>
    <w:p w:rsidR="002C1EE3" w:rsidRPr="00F9522B" w:rsidRDefault="002C1EE3" w:rsidP="00E268F3">
      <w:pPr>
        <w:contextualSpacing/>
        <w:jc w:val="center"/>
        <w:rPr>
          <w:rFonts w:eastAsiaTheme="minorEastAsia"/>
          <w:b/>
          <w:kern w:val="0"/>
          <w:szCs w:val="21"/>
        </w:rPr>
      </w:pPr>
    </w:p>
    <w:p w:rsidR="00E268F3" w:rsidRPr="00F9522B" w:rsidRDefault="00E268F3" w:rsidP="00E268F3">
      <w:pPr>
        <w:contextualSpacing/>
        <w:jc w:val="center"/>
        <w:rPr>
          <w:rFonts w:eastAsiaTheme="minorEastAsia"/>
          <w:b/>
          <w:kern w:val="0"/>
          <w:szCs w:val="21"/>
        </w:rPr>
      </w:pPr>
    </w:p>
    <w:p w:rsidR="00E268F3" w:rsidRPr="00F9522B" w:rsidRDefault="00E268F3" w:rsidP="00E268F3">
      <w:pPr>
        <w:contextualSpacing/>
        <w:jc w:val="center"/>
        <w:rPr>
          <w:rFonts w:eastAsiaTheme="minorEastAsia"/>
          <w:b/>
          <w:kern w:val="0"/>
          <w:szCs w:val="21"/>
        </w:rPr>
      </w:pPr>
    </w:p>
    <w:p w:rsidR="00E268F3" w:rsidRPr="00F9522B" w:rsidRDefault="00E268F3" w:rsidP="00E268F3">
      <w:pPr>
        <w:contextualSpacing/>
        <w:jc w:val="center"/>
        <w:rPr>
          <w:rFonts w:eastAsiaTheme="minorEastAsia"/>
          <w:b/>
          <w:kern w:val="0"/>
          <w:szCs w:val="21"/>
        </w:rPr>
      </w:pPr>
    </w:p>
    <w:p w:rsidR="00E268F3" w:rsidRPr="00F9522B" w:rsidRDefault="00E268F3" w:rsidP="00E268F3">
      <w:pPr>
        <w:contextualSpacing/>
        <w:jc w:val="center"/>
        <w:rPr>
          <w:rFonts w:eastAsiaTheme="minorEastAsia"/>
          <w:b/>
          <w:kern w:val="0"/>
          <w:szCs w:val="21"/>
        </w:rPr>
      </w:pPr>
      <w:r w:rsidRPr="00F9522B">
        <w:rPr>
          <w:rFonts w:eastAsiaTheme="minorEastAsia"/>
          <w:b/>
          <w:kern w:val="0"/>
          <w:szCs w:val="21"/>
        </w:rPr>
        <w:lastRenderedPageBreak/>
        <w:t>表</w:t>
      </w:r>
      <w:r w:rsidRPr="00F9522B">
        <w:rPr>
          <w:rFonts w:eastAsiaTheme="minorEastAsia"/>
          <w:b/>
          <w:kern w:val="0"/>
          <w:szCs w:val="21"/>
        </w:rPr>
        <w:t>3-1-</w:t>
      </w:r>
      <w:r w:rsidR="000173EF" w:rsidRPr="00F9522B">
        <w:rPr>
          <w:rFonts w:eastAsiaTheme="minorEastAsia"/>
          <w:b/>
          <w:kern w:val="0"/>
          <w:szCs w:val="21"/>
        </w:rPr>
        <w:t>6</w:t>
      </w:r>
      <w:r w:rsidRPr="00F9522B">
        <w:rPr>
          <w:rFonts w:eastAsiaTheme="minorEastAsia"/>
          <w:b/>
          <w:kern w:val="0"/>
          <w:szCs w:val="21"/>
        </w:rPr>
        <w:t>项目区分布及坐标范围表</w:t>
      </w:r>
    </w:p>
    <w:tbl>
      <w:tblPr>
        <w:tblW w:w="5020" w:type="pct"/>
        <w:tblInd w:w="-34" w:type="dxa"/>
        <w:tblBorders>
          <w:top w:val="single" w:sz="12" w:space="0" w:color="000000"/>
          <w:bottom w:val="single" w:sz="12" w:space="0" w:color="000000"/>
          <w:insideH w:val="single" w:sz="4" w:space="0" w:color="000000"/>
          <w:insideV w:val="single" w:sz="4" w:space="0" w:color="000000"/>
        </w:tblBorders>
        <w:tblLayout w:type="fixed"/>
        <w:tblLook w:val="04A0"/>
      </w:tblPr>
      <w:tblGrid>
        <w:gridCol w:w="854"/>
        <w:gridCol w:w="995"/>
        <w:gridCol w:w="1233"/>
        <w:gridCol w:w="961"/>
        <w:gridCol w:w="1267"/>
        <w:gridCol w:w="1662"/>
        <w:gridCol w:w="1584"/>
      </w:tblGrid>
      <w:tr w:rsidR="00E268F3" w:rsidRPr="00F9522B" w:rsidTr="00E268F3">
        <w:trPr>
          <w:trHeight w:val="460"/>
        </w:trPr>
        <w:tc>
          <w:tcPr>
            <w:tcW w:w="854" w:type="dxa"/>
            <w:vMerge w:val="restart"/>
            <w:noWrap/>
            <w:vAlign w:val="center"/>
          </w:tcPr>
          <w:p w:rsidR="00E268F3" w:rsidRPr="00F9522B" w:rsidRDefault="00E268F3" w:rsidP="00E268F3">
            <w:pPr>
              <w:widowControl/>
              <w:jc w:val="center"/>
              <w:textAlignment w:val="center"/>
              <w:rPr>
                <w:rFonts w:eastAsiaTheme="minorEastAsia"/>
                <w:kern w:val="0"/>
                <w:szCs w:val="21"/>
              </w:rPr>
            </w:pPr>
            <w:r w:rsidRPr="00F9522B">
              <w:rPr>
                <w:rFonts w:eastAsiaTheme="minorEastAsia"/>
                <w:kern w:val="0"/>
                <w:szCs w:val="21"/>
              </w:rPr>
              <w:t>片区</w:t>
            </w:r>
          </w:p>
        </w:tc>
        <w:tc>
          <w:tcPr>
            <w:tcW w:w="4456" w:type="dxa"/>
            <w:gridSpan w:val="4"/>
            <w:noWrap/>
            <w:vAlign w:val="center"/>
          </w:tcPr>
          <w:p w:rsidR="00E268F3" w:rsidRPr="00F9522B" w:rsidRDefault="00E268F3" w:rsidP="00E268F3">
            <w:pPr>
              <w:widowControl/>
              <w:jc w:val="center"/>
              <w:textAlignment w:val="center"/>
              <w:rPr>
                <w:rFonts w:eastAsiaTheme="minorEastAsia"/>
                <w:kern w:val="0"/>
                <w:szCs w:val="21"/>
              </w:rPr>
            </w:pPr>
            <w:r w:rsidRPr="00F9522B">
              <w:rPr>
                <w:rFonts w:eastAsiaTheme="minorEastAsia"/>
                <w:kern w:val="0"/>
                <w:szCs w:val="21"/>
              </w:rPr>
              <w:t>四至</w:t>
            </w:r>
          </w:p>
        </w:tc>
        <w:tc>
          <w:tcPr>
            <w:tcW w:w="3246" w:type="dxa"/>
            <w:gridSpan w:val="2"/>
            <w:vAlign w:val="center"/>
          </w:tcPr>
          <w:p w:rsidR="00E268F3" w:rsidRPr="00F9522B" w:rsidRDefault="00E268F3" w:rsidP="00E268F3">
            <w:pPr>
              <w:widowControl/>
              <w:jc w:val="center"/>
              <w:textAlignment w:val="center"/>
              <w:rPr>
                <w:rFonts w:eastAsiaTheme="minorEastAsia"/>
                <w:kern w:val="0"/>
                <w:szCs w:val="21"/>
              </w:rPr>
            </w:pPr>
            <w:r w:rsidRPr="00F9522B">
              <w:rPr>
                <w:rFonts w:eastAsiaTheme="minorEastAsia"/>
                <w:kern w:val="0"/>
                <w:szCs w:val="21"/>
              </w:rPr>
              <w:t>坐标范围</w:t>
            </w:r>
            <w:r w:rsidRPr="00F9522B">
              <w:rPr>
                <w:rFonts w:eastAsiaTheme="minorEastAsia"/>
                <w:kern w:val="0"/>
                <w:szCs w:val="21"/>
              </w:rPr>
              <w:t>(2000</w:t>
            </w:r>
            <w:r w:rsidRPr="00F9522B">
              <w:rPr>
                <w:rFonts w:eastAsiaTheme="minorEastAsia"/>
                <w:kern w:val="0"/>
                <w:szCs w:val="21"/>
              </w:rPr>
              <w:t>国家大地坐标系</w:t>
            </w:r>
            <w:r w:rsidRPr="00F9522B">
              <w:rPr>
                <w:rFonts w:eastAsiaTheme="minorEastAsia"/>
                <w:kern w:val="0"/>
                <w:szCs w:val="21"/>
              </w:rPr>
              <w:t>)</w:t>
            </w:r>
          </w:p>
        </w:tc>
      </w:tr>
      <w:tr w:rsidR="00E268F3" w:rsidRPr="00F9522B" w:rsidTr="00E268F3">
        <w:trPr>
          <w:trHeight w:val="270"/>
        </w:trPr>
        <w:tc>
          <w:tcPr>
            <w:tcW w:w="854" w:type="dxa"/>
            <w:vMerge/>
            <w:vAlign w:val="center"/>
          </w:tcPr>
          <w:p w:rsidR="00E268F3" w:rsidRPr="00F9522B" w:rsidRDefault="00E268F3" w:rsidP="00E268F3">
            <w:pPr>
              <w:widowControl/>
              <w:jc w:val="center"/>
              <w:textAlignment w:val="center"/>
              <w:rPr>
                <w:rFonts w:eastAsiaTheme="minorEastAsia"/>
                <w:kern w:val="0"/>
                <w:szCs w:val="21"/>
              </w:rPr>
            </w:pPr>
          </w:p>
        </w:tc>
        <w:tc>
          <w:tcPr>
            <w:tcW w:w="995" w:type="dxa"/>
            <w:noWrap/>
            <w:vAlign w:val="center"/>
          </w:tcPr>
          <w:p w:rsidR="00E268F3" w:rsidRPr="00F9522B" w:rsidRDefault="00E268F3" w:rsidP="00E268F3">
            <w:pPr>
              <w:widowControl/>
              <w:autoSpaceDE w:val="0"/>
              <w:jc w:val="center"/>
              <w:textAlignment w:val="center"/>
              <w:rPr>
                <w:rFonts w:eastAsiaTheme="minorEastAsia"/>
                <w:kern w:val="0"/>
                <w:szCs w:val="21"/>
              </w:rPr>
            </w:pPr>
            <w:r w:rsidRPr="00F9522B">
              <w:rPr>
                <w:rFonts w:eastAsiaTheme="minorEastAsia"/>
                <w:kern w:val="0"/>
                <w:szCs w:val="21"/>
              </w:rPr>
              <w:t>北至</w:t>
            </w:r>
          </w:p>
        </w:tc>
        <w:tc>
          <w:tcPr>
            <w:tcW w:w="1233" w:type="dxa"/>
            <w:noWrap/>
            <w:vAlign w:val="center"/>
          </w:tcPr>
          <w:p w:rsidR="00E268F3" w:rsidRPr="00F9522B" w:rsidRDefault="00E268F3" w:rsidP="00E268F3">
            <w:pPr>
              <w:widowControl/>
              <w:autoSpaceDE w:val="0"/>
              <w:jc w:val="center"/>
              <w:textAlignment w:val="center"/>
              <w:rPr>
                <w:rFonts w:eastAsiaTheme="minorEastAsia"/>
                <w:kern w:val="0"/>
                <w:szCs w:val="21"/>
              </w:rPr>
            </w:pPr>
            <w:r w:rsidRPr="00F9522B">
              <w:rPr>
                <w:rFonts w:eastAsiaTheme="minorEastAsia"/>
                <w:kern w:val="0"/>
                <w:szCs w:val="21"/>
              </w:rPr>
              <w:t>南至</w:t>
            </w:r>
          </w:p>
        </w:tc>
        <w:tc>
          <w:tcPr>
            <w:tcW w:w="961" w:type="dxa"/>
            <w:noWrap/>
            <w:vAlign w:val="center"/>
          </w:tcPr>
          <w:p w:rsidR="00E268F3" w:rsidRPr="00F9522B" w:rsidRDefault="00E268F3" w:rsidP="00E268F3">
            <w:pPr>
              <w:widowControl/>
              <w:autoSpaceDE w:val="0"/>
              <w:jc w:val="center"/>
              <w:textAlignment w:val="center"/>
              <w:rPr>
                <w:rFonts w:eastAsiaTheme="minorEastAsia"/>
                <w:kern w:val="0"/>
                <w:szCs w:val="21"/>
              </w:rPr>
            </w:pPr>
            <w:r w:rsidRPr="00F9522B">
              <w:rPr>
                <w:rFonts w:eastAsiaTheme="minorEastAsia"/>
                <w:kern w:val="0"/>
                <w:szCs w:val="21"/>
              </w:rPr>
              <w:t>西至</w:t>
            </w:r>
          </w:p>
        </w:tc>
        <w:tc>
          <w:tcPr>
            <w:tcW w:w="1267" w:type="dxa"/>
            <w:noWrap/>
            <w:vAlign w:val="center"/>
          </w:tcPr>
          <w:p w:rsidR="00E268F3" w:rsidRPr="00F9522B" w:rsidRDefault="00E268F3" w:rsidP="00E268F3">
            <w:pPr>
              <w:widowControl/>
              <w:autoSpaceDE w:val="0"/>
              <w:jc w:val="center"/>
              <w:textAlignment w:val="center"/>
              <w:rPr>
                <w:rFonts w:eastAsiaTheme="minorEastAsia"/>
                <w:kern w:val="0"/>
                <w:szCs w:val="21"/>
              </w:rPr>
            </w:pPr>
            <w:r w:rsidRPr="00F9522B">
              <w:rPr>
                <w:rFonts w:eastAsiaTheme="minorEastAsia"/>
                <w:kern w:val="0"/>
                <w:szCs w:val="21"/>
              </w:rPr>
              <w:t>东至</w:t>
            </w:r>
          </w:p>
        </w:tc>
        <w:tc>
          <w:tcPr>
            <w:tcW w:w="1662" w:type="dxa"/>
            <w:vAlign w:val="center"/>
          </w:tcPr>
          <w:p w:rsidR="00E268F3" w:rsidRPr="00F9522B" w:rsidRDefault="00E268F3" w:rsidP="00E268F3">
            <w:pPr>
              <w:widowControl/>
              <w:jc w:val="center"/>
              <w:textAlignment w:val="center"/>
              <w:rPr>
                <w:rFonts w:eastAsiaTheme="minorEastAsia"/>
                <w:kern w:val="0"/>
                <w:szCs w:val="21"/>
              </w:rPr>
            </w:pPr>
            <w:r w:rsidRPr="00F9522B">
              <w:rPr>
                <w:rFonts w:eastAsiaTheme="minorEastAsia"/>
                <w:kern w:val="0"/>
                <w:szCs w:val="21"/>
              </w:rPr>
              <w:t>X</w:t>
            </w:r>
            <w:r w:rsidRPr="00F9522B">
              <w:rPr>
                <w:rFonts w:eastAsiaTheme="minorEastAsia"/>
                <w:kern w:val="0"/>
                <w:szCs w:val="21"/>
              </w:rPr>
              <w:t>坐标</w:t>
            </w:r>
          </w:p>
        </w:tc>
        <w:tc>
          <w:tcPr>
            <w:tcW w:w="1584" w:type="dxa"/>
            <w:vAlign w:val="center"/>
          </w:tcPr>
          <w:p w:rsidR="00E268F3" w:rsidRPr="00F9522B" w:rsidRDefault="00E268F3" w:rsidP="00E268F3">
            <w:pPr>
              <w:widowControl/>
              <w:jc w:val="center"/>
              <w:textAlignment w:val="center"/>
              <w:rPr>
                <w:rFonts w:eastAsiaTheme="minorEastAsia"/>
                <w:kern w:val="0"/>
                <w:szCs w:val="21"/>
              </w:rPr>
            </w:pPr>
            <w:r w:rsidRPr="00F9522B">
              <w:rPr>
                <w:rFonts w:eastAsiaTheme="minorEastAsia"/>
                <w:kern w:val="0"/>
                <w:szCs w:val="21"/>
              </w:rPr>
              <w:t>Y</w:t>
            </w:r>
            <w:r w:rsidRPr="00F9522B">
              <w:rPr>
                <w:rFonts w:eastAsiaTheme="minorEastAsia"/>
                <w:kern w:val="0"/>
                <w:szCs w:val="21"/>
              </w:rPr>
              <w:t>坐标</w:t>
            </w:r>
          </w:p>
        </w:tc>
      </w:tr>
      <w:tr w:rsidR="00E268F3" w:rsidRPr="00F9522B" w:rsidTr="00E268F3">
        <w:trPr>
          <w:trHeight w:val="449"/>
        </w:trPr>
        <w:tc>
          <w:tcPr>
            <w:tcW w:w="854" w:type="dxa"/>
            <w:noWrap/>
            <w:vAlign w:val="center"/>
          </w:tcPr>
          <w:p w:rsidR="00E268F3" w:rsidRPr="00F9522B" w:rsidRDefault="00E268F3" w:rsidP="00E268F3">
            <w:pPr>
              <w:widowControl/>
              <w:jc w:val="center"/>
              <w:textAlignment w:val="center"/>
              <w:rPr>
                <w:rFonts w:eastAsiaTheme="minorEastAsia"/>
                <w:kern w:val="0"/>
                <w:szCs w:val="21"/>
              </w:rPr>
            </w:pPr>
            <w:r w:rsidRPr="00F9522B">
              <w:rPr>
                <w:rFonts w:eastAsiaTheme="minorEastAsia"/>
                <w:kern w:val="0"/>
                <w:szCs w:val="21"/>
              </w:rPr>
              <w:t>康金片区</w:t>
            </w:r>
          </w:p>
        </w:tc>
        <w:tc>
          <w:tcPr>
            <w:tcW w:w="995" w:type="dxa"/>
            <w:noWrap/>
            <w:vAlign w:val="center"/>
          </w:tcPr>
          <w:p w:rsidR="00E268F3" w:rsidRPr="00F9522B" w:rsidRDefault="00E268F3" w:rsidP="00E268F3">
            <w:pPr>
              <w:widowControl/>
              <w:jc w:val="center"/>
              <w:textAlignment w:val="center"/>
              <w:rPr>
                <w:rFonts w:eastAsiaTheme="minorEastAsia"/>
                <w:kern w:val="0"/>
                <w:szCs w:val="21"/>
              </w:rPr>
            </w:pPr>
            <w:r w:rsidRPr="00F9522B">
              <w:rPr>
                <w:rFonts w:eastAsiaTheme="minorEastAsia"/>
                <w:kern w:val="0"/>
                <w:szCs w:val="21"/>
              </w:rPr>
              <w:t>石人镇</w:t>
            </w:r>
          </w:p>
        </w:tc>
        <w:tc>
          <w:tcPr>
            <w:tcW w:w="1233" w:type="dxa"/>
            <w:noWrap/>
            <w:vAlign w:val="center"/>
          </w:tcPr>
          <w:p w:rsidR="00E268F3" w:rsidRPr="00F9522B" w:rsidRDefault="00E268F3" w:rsidP="00E268F3">
            <w:pPr>
              <w:widowControl/>
              <w:jc w:val="center"/>
              <w:textAlignment w:val="center"/>
              <w:rPr>
                <w:rFonts w:eastAsiaTheme="minorEastAsia"/>
                <w:kern w:val="0"/>
                <w:szCs w:val="21"/>
              </w:rPr>
            </w:pPr>
            <w:r w:rsidRPr="00F9522B">
              <w:rPr>
                <w:rFonts w:eastAsiaTheme="minorEastAsia"/>
                <w:kern w:val="0"/>
                <w:szCs w:val="21"/>
              </w:rPr>
              <w:t>方台镇</w:t>
            </w:r>
          </w:p>
        </w:tc>
        <w:tc>
          <w:tcPr>
            <w:tcW w:w="961" w:type="dxa"/>
            <w:noWrap/>
            <w:vAlign w:val="center"/>
          </w:tcPr>
          <w:p w:rsidR="00E268F3" w:rsidRPr="00F9522B" w:rsidRDefault="00E268F3" w:rsidP="00E268F3">
            <w:pPr>
              <w:widowControl/>
              <w:jc w:val="center"/>
              <w:textAlignment w:val="center"/>
              <w:rPr>
                <w:rFonts w:eastAsiaTheme="minorEastAsia"/>
                <w:kern w:val="0"/>
                <w:szCs w:val="21"/>
              </w:rPr>
            </w:pPr>
            <w:r w:rsidRPr="00F9522B">
              <w:rPr>
                <w:rFonts w:eastAsiaTheme="minorEastAsia"/>
                <w:kern w:val="0"/>
                <w:szCs w:val="21"/>
              </w:rPr>
              <w:t>许堡乡、大用镇</w:t>
            </w:r>
          </w:p>
        </w:tc>
        <w:tc>
          <w:tcPr>
            <w:tcW w:w="1267" w:type="dxa"/>
            <w:noWrap/>
            <w:vAlign w:val="center"/>
          </w:tcPr>
          <w:p w:rsidR="00E268F3" w:rsidRPr="00F9522B" w:rsidRDefault="00E268F3" w:rsidP="00E268F3">
            <w:pPr>
              <w:widowControl/>
              <w:jc w:val="center"/>
              <w:textAlignment w:val="center"/>
              <w:rPr>
                <w:rFonts w:eastAsiaTheme="minorEastAsia"/>
                <w:kern w:val="0"/>
                <w:szCs w:val="21"/>
              </w:rPr>
            </w:pPr>
            <w:r w:rsidRPr="00F9522B">
              <w:rPr>
                <w:rFonts w:eastAsiaTheme="minorEastAsia"/>
                <w:kern w:val="0"/>
                <w:szCs w:val="21"/>
              </w:rPr>
              <w:t>巴彦县</w:t>
            </w:r>
          </w:p>
        </w:tc>
        <w:tc>
          <w:tcPr>
            <w:tcW w:w="1662" w:type="dxa"/>
            <w:noWrap/>
            <w:vAlign w:val="center"/>
          </w:tcPr>
          <w:p w:rsidR="00E268F3" w:rsidRPr="00F9522B" w:rsidRDefault="00E268F3" w:rsidP="00E268F3">
            <w:pPr>
              <w:widowControl/>
              <w:jc w:val="center"/>
              <w:textAlignment w:val="center"/>
              <w:rPr>
                <w:rFonts w:eastAsiaTheme="minorEastAsia"/>
                <w:kern w:val="0"/>
                <w:szCs w:val="21"/>
              </w:rPr>
            </w:pPr>
            <w:r w:rsidRPr="00F9522B">
              <w:rPr>
                <w:rFonts w:eastAsiaTheme="minorEastAsia"/>
                <w:kern w:val="0"/>
                <w:szCs w:val="21"/>
              </w:rPr>
              <w:t>5125940.599-5112197.856</w:t>
            </w:r>
          </w:p>
        </w:tc>
        <w:tc>
          <w:tcPr>
            <w:tcW w:w="1584" w:type="dxa"/>
            <w:noWrap/>
            <w:vAlign w:val="center"/>
          </w:tcPr>
          <w:p w:rsidR="00E268F3" w:rsidRPr="00F9522B" w:rsidRDefault="00E268F3" w:rsidP="00E268F3">
            <w:pPr>
              <w:widowControl/>
              <w:jc w:val="center"/>
              <w:textAlignment w:val="center"/>
              <w:rPr>
                <w:rFonts w:eastAsiaTheme="minorEastAsia"/>
                <w:kern w:val="0"/>
                <w:szCs w:val="21"/>
              </w:rPr>
            </w:pPr>
            <w:r w:rsidRPr="00F9522B">
              <w:rPr>
                <w:rFonts w:eastAsiaTheme="minorEastAsia"/>
                <w:kern w:val="0"/>
                <w:szCs w:val="21"/>
              </w:rPr>
              <w:t>42558094.335-42577816.222</w:t>
            </w:r>
          </w:p>
        </w:tc>
      </w:tr>
      <w:tr w:rsidR="00E268F3" w:rsidRPr="00F9522B" w:rsidTr="00E268F3">
        <w:trPr>
          <w:trHeight w:val="761"/>
        </w:trPr>
        <w:tc>
          <w:tcPr>
            <w:tcW w:w="854" w:type="dxa"/>
            <w:noWrap/>
            <w:vAlign w:val="center"/>
          </w:tcPr>
          <w:p w:rsidR="00E268F3" w:rsidRPr="00F9522B" w:rsidRDefault="00E268F3" w:rsidP="00E268F3">
            <w:pPr>
              <w:widowControl/>
              <w:jc w:val="center"/>
              <w:textAlignment w:val="center"/>
              <w:rPr>
                <w:rFonts w:eastAsiaTheme="minorEastAsia"/>
                <w:kern w:val="0"/>
                <w:szCs w:val="21"/>
              </w:rPr>
            </w:pPr>
            <w:r w:rsidRPr="00F9522B">
              <w:rPr>
                <w:rFonts w:eastAsiaTheme="minorEastAsia"/>
                <w:kern w:val="0"/>
                <w:szCs w:val="21"/>
              </w:rPr>
              <w:t>二八片区</w:t>
            </w:r>
          </w:p>
        </w:tc>
        <w:tc>
          <w:tcPr>
            <w:tcW w:w="995" w:type="dxa"/>
            <w:noWrap/>
            <w:vAlign w:val="center"/>
          </w:tcPr>
          <w:p w:rsidR="00E268F3" w:rsidRPr="00F9522B" w:rsidRDefault="00E268F3" w:rsidP="00E268F3">
            <w:pPr>
              <w:widowControl/>
              <w:jc w:val="center"/>
              <w:textAlignment w:val="center"/>
              <w:rPr>
                <w:rFonts w:eastAsiaTheme="minorEastAsia"/>
                <w:kern w:val="0"/>
                <w:szCs w:val="21"/>
              </w:rPr>
            </w:pPr>
            <w:r w:rsidRPr="00F9522B">
              <w:rPr>
                <w:rFonts w:eastAsiaTheme="minorEastAsia"/>
                <w:kern w:val="0"/>
                <w:szCs w:val="21"/>
              </w:rPr>
              <w:t>康金街道</w:t>
            </w:r>
          </w:p>
        </w:tc>
        <w:tc>
          <w:tcPr>
            <w:tcW w:w="1233" w:type="dxa"/>
            <w:noWrap/>
            <w:vAlign w:val="center"/>
          </w:tcPr>
          <w:p w:rsidR="00E268F3" w:rsidRPr="00F9522B" w:rsidRDefault="00E268F3" w:rsidP="00E268F3">
            <w:pPr>
              <w:widowControl/>
              <w:jc w:val="center"/>
              <w:textAlignment w:val="center"/>
              <w:rPr>
                <w:rFonts w:eastAsiaTheme="minorEastAsia"/>
                <w:kern w:val="0"/>
                <w:szCs w:val="21"/>
              </w:rPr>
            </w:pPr>
            <w:r w:rsidRPr="00F9522B">
              <w:rPr>
                <w:rFonts w:eastAsiaTheme="minorEastAsia"/>
                <w:kern w:val="0"/>
                <w:szCs w:val="21"/>
              </w:rPr>
              <w:t>杨林乡、方台镇</w:t>
            </w:r>
          </w:p>
        </w:tc>
        <w:tc>
          <w:tcPr>
            <w:tcW w:w="961" w:type="dxa"/>
            <w:noWrap/>
            <w:vAlign w:val="center"/>
          </w:tcPr>
          <w:p w:rsidR="00E268F3" w:rsidRPr="00F9522B" w:rsidRDefault="00E268F3" w:rsidP="00E268F3">
            <w:pPr>
              <w:widowControl/>
              <w:jc w:val="center"/>
              <w:textAlignment w:val="center"/>
              <w:rPr>
                <w:rFonts w:eastAsiaTheme="minorEastAsia"/>
                <w:kern w:val="0"/>
                <w:szCs w:val="21"/>
              </w:rPr>
            </w:pPr>
            <w:r w:rsidRPr="00F9522B">
              <w:rPr>
                <w:rFonts w:eastAsiaTheme="minorEastAsia"/>
                <w:kern w:val="0"/>
                <w:szCs w:val="21"/>
              </w:rPr>
              <w:t>方台镇</w:t>
            </w:r>
          </w:p>
        </w:tc>
        <w:tc>
          <w:tcPr>
            <w:tcW w:w="1267" w:type="dxa"/>
            <w:noWrap/>
            <w:vAlign w:val="center"/>
          </w:tcPr>
          <w:p w:rsidR="00E268F3" w:rsidRPr="00F9522B" w:rsidRDefault="00E268F3" w:rsidP="00E268F3">
            <w:pPr>
              <w:widowControl/>
              <w:jc w:val="center"/>
              <w:textAlignment w:val="center"/>
              <w:rPr>
                <w:rFonts w:eastAsiaTheme="minorEastAsia"/>
                <w:kern w:val="0"/>
                <w:szCs w:val="21"/>
              </w:rPr>
            </w:pPr>
            <w:r w:rsidRPr="00F9522B">
              <w:rPr>
                <w:rFonts w:eastAsiaTheme="minorEastAsia"/>
                <w:kern w:val="0"/>
                <w:szCs w:val="21"/>
              </w:rPr>
              <w:t>巴彦县</w:t>
            </w:r>
          </w:p>
        </w:tc>
        <w:tc>
          <w:tcPr>
            <w:tcW w:w="1662" w:type="dxa"/>
            <w:noWrap/>
            <w:vAlign w:val="center"/>
          </w:tcPr>
          <w:p w:rsidR="00E268F3" w:rsidRPr="00F9522B" w:rsidRDefault="00E268F3" w:rsidP="00E268F3">
            <w:pPr>
              <w:widowControl/>
              <w:jc w:val="center"/>
              <w:textAlignment w:val="center"/>
              <w:rPr>
                <w:rFonts w:eastAsiaTheme="minorEastAsia"/>
                <w:kern w:val="0"/>
                <w:szCs w:val="21"/>
              </w:rPr>
            </w:pPr>
            <w:r w:rsidRPr="00F9522B">
              <w:rPr>
                <w:rFonts w:eastAsiaTheme="minorEastAsia"/>
                <w:kern w:val="0"/>
                <w:szCs w:val="21"/>
              </w:rPr>
              <w:t>5117730.872-5102371.665</w:t>
            </w:r>
          </w:p>
        </w:tc>
        <w:tc>
          <w:tcPr>
            <w:tcW w:w="1584" w:type="dxa"/>
            <w:noWrap/>
            <w:vAlign w:val="center"/>
          </w:tcPr>
          <w:p w:rsidR="00E268F3" w:rsidRPr="00F9522B" w:rsidRDefault="00E268F3" w:rsidP="00E268F3">
            <w:pPr>
              <w:widowControl/>
              <w:jc w:val="center"/>
              <w:textAlignment w:val="center"/>
              <w:rPr>
                <w:rFonts w:eastAsiaTheme="minorEastAsia"/>
                <w:kern w:val="0"/>
                <w:szCs w:val="21"/>
              </w:rPr>
            </w:pPr>
            <w:r w:rsidRPr="00F9522B">
              <w:rPr>
                <w:rFonts w:eastAsiaTheme="minorEastAsia"/>
                <w:kern w:val="0"/>
                <w:szCs w:val="21"/>
              </w:rPr>
              <w:t>42574724.316-42585362.766</w:t>
            </w:r>
          </w:p>
        </w:tc>
      </w:tr>
      <w:tr w:rsidR="00E268F3" w:rsidRPr="00F9522B" w:rsidTr="00E268F3">
        <w:trPr>
          <w:trHeight w:val="551"/>
        </w:trPr>
        <w:tc>
          <w:tcPr>
            <w:tcW w:w="854" w:type="dxa"/>
            <w:noWrap/>
            <w:vAlign w:val="center"/>
          </w:tcPr>
          <w:p w:rsidR="00E268F3" w:rsidRPr="00F9522B" w:rsidRDefault="00E268F3" w:rsidP="00E268F3">
            <w:pPr>
              <w:widowControl/>
              <w:jc w:val="center"/>
              <w:textAlignment w:val="center"/>
              <w:rPr>
                <w:rFonts w:eastAsiaTheme="minorEastAsia"/>
                <w:kern w:val="0"/>
                <w:szCs w:val="21"/>
              </w:rPr>
            </w:pPr>
            <w:r w:rsidRPr="00F9522B">
              <w:rPr>
                <w:rFonts w:eastAsiaTheme="minorEastAsia"/>
                <w:kern w:val="0"/>
                <w:szCs w:val="21"/>
              </w:rPr>
              <w:t>方台片区</w:t>
            </w:r>
          </w:p>
        </w:tc>
        <w:tc>
          <w:tcPr>
            <w:tcW w:w="995" w:type="dxa"/>
            <w:noWrap/>
            <w:vAlign w:val="center"/>
          </w:tcPr>
          <w:p w:rsidR="00E268F3" w:rsidRPr="00F9522B" w:rsidRDefault="00E268F3" w:rsidP="00E268F3">
            <w:pPr>
              <w:widowControl/>
              <w:jc w:val="center"/>
              <w:textAlignment w:val="center"/>
              <w:rPr>
                <w:rFonts w:eastAsiaTheme="minorEastAsia"/>
                <w:kern w:val="0"/>
                <w:szCs w:val="21"/>
              </w:rPr>
            </w:pPr>
            <w:r w:rsidRPr="00F9522B">
              <w:rPr>
                <w:rFonts w:eastAsiaTheme="minorEastAsia"/>
                <w:kern w:val="0"/>
                <w:szCs w:val="21"/>
              </w:rPr>
              <w:t>康金街道</w:t>
            </w:r>
          </w:p>
        </w:tc>
        <w:tc>
          <w:tcPr>
            <w:tcW w:w="1233" w:type="dxa"/>
            <w:noWrap/>
            <w:vAlign w:val="center"/>
          </w:tcPr>
          <w:p w:rsidR="00E268F3" w:rsidRPr="00F9522B" w:rsidRDefault="00E268F3" w:rsidP="00E268F3">
            <w:pPr>
              <w:widowControl/>
              <w:jc w:val="center"/>
              <w:textAlignment w:val="center"/>
              <w:rPr>
                <w:rFonts w:eastAsiaTheme="minorEastAsia"/>
                <w:kern w:val="0"/>
                <w:szCs w:val="21"/>
              </w:rPr>
            </w:pPr>
            <w:r w:rsidRPr="00F9522B">
              <w:rPr>
                <w:rFonts w:eastAsiaTheme="minorEastAsia"/>
                <w:kern w:val="0"/>
                <w:szCs w:val="21"/>
              </w:rPr>
              <w:t>腰堡街道</w:t>
            </w:r>
          </w:p>
        </w:tc>
        <w:tc>
          <w:tcPr>
            <w:tcW w:w="961" w:type="dxa"/>
            <w:noWrap/>
            <w:vAlign w:val="center"/>
          </w:tcPr>
          <w:p w:rsidR="00E268F3" w:rsidRPr="00F9522B" w:rsidRDefault="00E268F3" w:rsidP="00E268F3">
            <w:pPr>
              <w:widowControl/>
              <w:jc w:val="center"/>
              <w:textAlignment w:val="center"/>
              <w:rPr>
                <w:rFonts w:eastAsiaTheme="minorEastAsia"/>
                <w:kern w:val="0"/>
                <w:szCs w:val="21"/>
              </w:rPr>
            </w:pPr>
            <w:r w:rsidRPr="00F9522B">
              <w:rPr>
                <w:rFonts w:eastAsiaTheme="minorEastAsia"/>
                <w:kern w:val="0"/>
                <w:szCs w:val="21"/>
              </w:rPr>
              <w:t>沈家镇</w:t>
            </w:r>
          </w:p>
        </w:tc>
        <w:tc>
          <w:tcPr>
            <w:tcW w:w="1267" w:type="dxa"/>
            <w:noWrap/>
            <w:vAlign w:val="center"/>
          </w:tcPr>
          <w:p w:rsidR="00E268F3" w:rsidRPr="00F9522B" w:rsidRDefault="00E268F3" w:rsidP="00E268F3">
            <w:pPr>
              <w:widowControl/>
              <w:jc w:val="center"/>
              <w:textAlignment w:val="center"/>
              <w:rPr>
                <w:rFonts w:eastAsiaTheme="minorEastAsia"/>
                <w:kern w:val="0"/>
                <w:szCs w:val="21"/>
              </w:rPr>
            </w:pPr>
            <w:r w:rsidRPr="00F9522B">
              <w:rPr>
                <w:rFonts w:eastAsiaTheme="minorEastAsia"/>
                <w:kern w:val="0"/>
                <w:szCs w:val="21"/>
              </w:rPr>
              <w:t>二八镇</w:t>
            </w:r>
          </w:p>
        </w:tc>
        <w:tc>
          <w:tcPr>
            <w:tcW w:w="1662" w:type="dxa"/>
            <w:noWrap/>
            <w:vAlign w:val="center"/>
          </w:tcPr>
          <w:p w:rsidR="00E268F3" w:rsidRPr="00F9522B" w:rsidRDefault="00E268F3" w:rsidP="00E268F3">
            <w:pPr>
              <w:widowControl/>
              <w:jc w:val="center"/>
              <w:textAlignment w:val="center"/>
              <w:rPr>
                <w:rFonts w:eastAsiaTheme="minorEastAsia"/>
                <w:kern w:val="0"/>
                <w:szCs w:val="21"/>
              </w:rPr>
            </w:pPr>
            <w:r w:rsidRPr="00F9522B">
              <w:rPr>
                <w:rFonts w:eastAsiaTheme="minorEastAsia"/>
                <w:kern w:val="0"/>
                <w:szCs w:val="21"/>
              </w:rPr>
              <w:t>5108803.384-5099364.861</w:t>
            </w:r>
          </w:p>
        </w:tc>
        <w:tc>
          <w:tcPr>
            <w:tcW w:w="1584" w:type="dxa"/>
            <w:noWrap/>
            <w:vAlign w:val="center"/>
          </w:tcPr>
          <w:p w:rsidR="00E268F3" w:rsidRPr="00F9522B" w:rsidRDefault="00E268F3" w:rsidP="00E268F3">
            <w:pPr>
              <w:widowControl/>
              <w:jc w:val="center"/>
              <w:textAlignment w:val="center"/>
              <w:rPr>
                <w:rFonts w:eastAsiaTheme="minorEastAsia"/>
                <w:kern w:val="0"/>
                <w:szCs w:val="21"/>
              </w:rPr>
            </w:pPr>
            <w:r w:rsidRPr="00F9522B">
              <w:rPr>
                <w:rFonts w:eastAsiaTheme="minorEastAsia"/>
                <w:kern w:val="0"/>
                <w:szCs w:val="21"/>
              </w:rPr>
              <w:t>42564678.645-42578152.535</w:t>
            </w:r>
          </w:p>
        </w:tc>
      </w:tr>
      <w:tr w:rsidR="00E268F3" w:rsidRPr="00F9522B" w:rsidTr="00E268F3">
        <w:trPr>
          <w:trHeight w:val="300"/>
        </w:trPr>
        <w:tc>
          <w:tcPr>
            <w:tcW w:w="854" w:type="dxa"/>
            <w:noWrap/>
            <w:vAlign w:val="center"/>
          </w:tcPr>
          <w:p w:rsidR="00E268F3" w:rsidRPr="00F9522B" w:rsidRDefault="00E268F3" w:rsidP="00E268F3">
            <w:pPr>
              <w:widowControl/>
              <w:jc w:val="center"/>
              <w:textAlignment w:val="center"/>
              <w:rPr>
                <w:rFonts w:eastAsiaTheme="minorEastAsia"/>
                <w:kern w:val="0"/>
                <w:szCs w:val="21"/>
              </w:rPr>
            </w:pPr>
            <w:r w:rsidRPr="00F9522B">
              <w:rPr>
                <w:rFonts w:eastAsiaTheme="minorEastAsia"/>
                <w:kern w:val="0"/>
                <w:szCs w:val="21"/>
              </w:rPr>
              <w:t>石人片区</w:t>
            </w:r>
          </w:p>
        </w:tc>
        <w:tc>
          <w:tcPr>
            <w:tcW w:w="995" w:type="dxa"/>
            <w:noWrap/>
            <w:vAlign w:val="center"/>
          </w:tcPr>
          <w:p w:rsidR="00E268F3" w:rsidRPr="00F9522B" w:rsidRDefault="00E268F3" w:rsidP="00E268F3">
            <w:pPr>
              <w:widowControl/>
              <w:jc w:val="center"/>
              <w:textAlignment w:val="center"/>
              <w:rPr>
                <w:rFonts w:eastAsiaTheme="minorEastAsia"/>
                <w:kern w:val="0"/>
                <w:szCs w:val="21"/>
              </w:rPr>
            </w:pPr>
            <w:r w:rsidRPr="00F9522B">
              <w:rPr>
                <w:rFonts w:eastAsiaTheme="minorEastAsia"/>
                <w:kern w:val="0"/>
                <w:szCs w:val="21"/>
              </w:rPr>
              <w:t>白奎镇</w:t>
            </w:r>
          </w:p>
        </w:tc>
        <w:tc>
          <w:tcPr>
            <w:tcW w:w="1233" w:type="dxa"/>
            <w:noWrap/>
            <w:vAlign w:val="center"/>
          </w:tcPr>
          <w:p w:rsidR="00E268F3" w:rsidRPr="00F9522B" w:rsidRDefault="00E268F3" w:rsidP="00E268F3">
            <w:pPr>
              <w:widowControl/>
              <w:jc w:val="center"/>
              <w:textAlignment w:val="center"/>
              <w:rPr>
                <w:rFonts w:eastAsiaTheme="minorEastAsia"/>
                <w:kern w:val="0"/>
                <w:szCs w:val="21"/>
              </w:rPr>
            </w:pPr>
            <w:r w:rsidRPr="00F9522B">
              <w:rPr>
                <w:rFonts w:eastAsiaTheme="minorEastAsia"/>
                <w:kern w:val="0"/>
                <w:szCs w:val="21"/>
              </w:rPr>
              <w:t>康金街道</w:t>
            </w:r>
          </w:p>
        </w:tc>
        <w:tc>
          <w:tcPr>
            <w:tcW w:w="961" w:type="dxa"/>
            <w:noWrap/>
            <w:vAlign w:val="center"/>
          </w:tcPr>
          <w:p w:rsidR="00E268F3" w:rsidRPr="00F9522B" w:rsidRDefault="00E268F3" w:rsidP="00E268F3">
            <w:pPr>
              <w:widowControl/>
              <w:jc w:val="center"/>
              <w:textAlignment w:val="center"/>
              <w:rPr>
                <w:rFonts w:eastAsiaTheme="minorEastAsia"/>
                <w:kern w:val="0"/>
                <w:szCs w:val="21"/>
              </w:rPr>
            </w:pPr>
            <w:r w:rsidRPr="00F9522B">
              <w:rPr>
                <w:rFonts w:eastAsiaTheme="minorEastAsia"/>
                <w:kern w:val="0"/>
                <w:szCs w:val="21"/>
              </w:rPr>
              <w:t>莲花镇</w:t>
            </w:r>
          </w:p>
        </w:tc>
        <w:tc>
          <w:tcPr>
            <w:tcW w:w="1267" w:type="dxa"/>
            <w:noWrap/>
            <w:vAlign w:val="center"/>
          </w:tcPr>
          <w:p w:rsidR="00E268F3" w:rsidRPr="00F9522B" w:rsidRDefault="00E268F3" w:rsidP="00E268F3">
            <w:pPr>
              <w:widowControl/>
              <w:jc w:val="center"/>
              <w:textAlignment w:val="center"/>
              <w:rPr>
                <w:rFonts w:eastAsiaTheme="minorEastAsia"/>
                <w:kern w:val="0"/>
                <w:szCs w:val="21"/>
              </w:rPr>
            </w:pPr>
            <w:r w:rsidRPr="00F9522B">
              <w:rPr>
                <w:rFonts w:eastAsiaTheme="minorEastAsia"/>
                <w:kern w:val="0"/>
                <w:szCs w:val="21"/>
              </w:rPr>
              <w:t>巴彦县</w:t>
            </w:r>
          </w:p>
        </w:tc>
        <w:tc>
          <w:tcPr>
            <w:tcW w:w="1662" w:type="dxa"/>
            <w:noWrap/>
            <w:vAlign w:val="center"/>
          </w:tcPr>
          <w:p w:rsidR="00E268F3" w:rsidRPr="00F9522B" w:rsidRDefault="00E268F3" w:rsidP="00E268F3">
            <w:pPr>
              <w:widowControl/>
              <w:jc w:val="center"/>
              <w:textAlignment w:val="center"/>
              <w:rPr>
                <w:rFonts w:eastAsiaTheme="minorEastAsia"/>
                <w:kern w:val="0"/>
                <w:szCs w:val="21"/>
              </w:rPr>
            </w:pPr>
            <w:r w:rsidRPr="00F9522B">
              <w:rPr>
                <w:rFonts w:eastAsiaTheme="minorEastAsia"/>
                <w:kern w:val="0"/>
                <w:szCs w:val="21"/>
              </w:rPr>
              <w:t>5134127.054-5123470.027</w:t>
            </w:r>
          </w:p>
        </w:tc>
        <w:tc>
          <w:tcPr>
            <w:tcW w:w="1584" w:type="dxa"/>
            <w:noWrap/>
            <w:vAlign w:val="center"/>
          </w:tcPr>
          <w:p w:rsidR="00E268F3" w:rsidRPr="00F9522B" w:rsidRDefault="00E268F3" w:rsidP="00E268F3">
            <w:pPr>
              <w:widowControl/>
              <w:jc w:val="center"/>
              <w:textAlignment w:val="center"/>
              <w:rPr>
                <w:rFonts w:eastAsiaTheme="minorEastAsia"/>
                <w:kern w:val="0"/>
                <w:szCs w:val="21"/>
              </w:rPr>
            </w:pPr>
            <w:r w:rsidRPr="00F9522B">
              <w:rPr>
                <w:rFonts w:eastAsiaTheme="minorEastAsia"/>
                <w:kern w:val="0"/>
                <w:szCs w:val="21"/>
              </w:rPr>
              <w:t>42560955.846-42577095.552</w:t>
            </w:r>
          </w:p>
        </w:tc>
      </w:tr>
    </w:tbl>
    <w:p w:rsidR="002A5A5E" w:rsidRPr="00F9522B" w:rsidRDefault="00611CBA">
      <w:pPr>
        <w:spacing w:line="360" w:lineRule="auto"/>
        <w:ind w:firstLineChars="200" w:firstLine="480"/>
        <w:rPr>
          <w:rFonts w:eastAsiaTheme="minorEastAsia"/>
          <w:snapToGrid w:val="0"/>
          <w:kern w:val="0"/>
          <w:sz w:val="24"/>
        </w:rPr>
      </w:pPr>
      <w:r w:rsidRPr="00F9522B">
        <w:rPr>
          <w:rFonts w:eastAsiaTheme="minorEastAsia"/>
          <w:snapToGrid w:val="0"/>
          <w:kern w:val="0"/>
          <w:sz w:val="24"/>
        </w:rPr>
        <w:t>工程投资：</w:t>
      </w:r>
      <w:r w:rsidR="00140B49" w:rsidRPr="00F9522B">
        <w:rPr>
          <w:rFonts w:eastAsiaTheme="minorEastAsia"/>
          <w:snapToGrid w:val="0"/>
          <w:kern w:val="0"/>
          <w:sz w:val="24"/>
        </w:rPr>
        <w:t>78948</w:t>
      </w:r>
      <w:r w:rsidR="00140B49" w:rsidRPr="00F9522B">
        <w:rPr>
          <w:rFonts w:eastAsiaTheme="minorEastAsia"/>
          <w:snapToGrid w:val="0"/>
          <w:kern w:val="0"/>
          <w:sz w:val="24"/>
        </w:rPr>
        <w:t>万元</w:t>
      </w:r>
    </w:p>
    <w:p w:rsidR="002A5A5E" w:rsidRPr="00F9522B" w:rsidRDefault="00611CBA">
      <w:pPr>
        <w:spacing w:line="360" w:lineRule="auto"/>
        <w:ind w:firstLineChars="200" w:firstLine="480"/>
        <w:rPr>
          <w:rFonts w:eastAsiaTheme="minorEastAsia"/>
          <w:kern w:val="0"/>
          <w:sz w:val="24"/>
          <w:szCs w:val="20"/>
          <w:vertAlign w:val="superscript"/>
        </w:rPr>
      </w:pPr>
      <w:r w:rsidRPr="00F9522B">
        <w:rPr>
          <w:rFonts w:eastAsiaTheme="minorEastAsia"/>
          <w:snapToGrid w:val="0"/>
          <w:kern w:val="0"/>
          <w:sz w:val="24"/>
        </w:rPr>
        <w:t>占地面积：</w:t>
      </w:r>
      <w:r w:rsidRPr="00F9522B">
        <w:rPr>
          <w:rFonts w:eastAsiaTheme="minorEastAsia"/>
          <w:bCs/>
          <w:snapToGrid w:val="0"/>
          <w:kern w:val="0"/>
          <w:sz w:val="24"/>
        </w:rPr>
        <w:t>项目工程</w:t>
      </w:r>
      <w:r w:rsidRPr="00F9522B">
        <w:rPr>
          <w:rFonts w:eastAsiaTheme="minorEastAsia"/>
          <w:bCs/>
          <w:sz w:val="24"/>
        </w:rPr>
        <w:t>永久占地约</w:t>
      </w:r>
      <w:r w:rsidR="00E268F3" w:rsidRPr="00F9522B">
        <w:rPr>
          <w:rFonts w:eastAsiaTheme="minorEastAsia"/>
          <w:bCs/>
          <w:sz w:val="24"/>
        </w:rPr>
        <w:t>3614</w:t>
      </w:r>
      <w:r w:rsidR="00E268F3" w:rsidRPr="00F9522B">
        <w:rPr>
          <w:rFonts w:eastAsiaTheme="minorEastAsia"/>
          <w:bCs/>
          <w:sz w:val="24"/>
        </w:rPr>
        <w:t>万</w:t>
      </w:r>
      <w:r w:rsidRPr="00F9522B">
        <w:rPr>
          <w:rFonts w:eastAsiaTheme="minorEastAsia"/>
          <w:bCs/>
          <w:sz w:val="24"/>
        </w:rPr>
        <w:t>m</w:t>
      </w:r>
      <w:r w:rsidRPr="00F9522B">
        <w:rPr>
          <w:rFonts w:eastAsiaTheme="minorEastAsia"/>
          <w:bCs/>
          <w:sz w:val="24"/>
          <w:vertAlign w:val="superscript"/>
        </w:rPr>
        <w:t>2</w:t>
      </w:r>
      <w:r w:rsidRPr="00F9522B">
        <w:rPr>
          <w:rFonts w:eastAsiaTheme="minorEastAsia"/>
          <w:bCs/>
          <w:sz w:val="24"/>
        </w:rPr>
        <w:t>（</w:t>
      </w:r>
      <w:r w:rsidR="00E268F3" w:rsidRPr="00F9522B">
        <w:rPr>
          <w:rFonts w:eastAsiaTheme="minorEastAsia"/>
          <w:bCs/>
          <w:sz w:val="24"/>
        </w:rPr>
        <w:t>其中新增约</w:t>
      </w:r>
      <w:r w:rsidR="00E268F3" w:rsidRPr="00F9522B">
        <w:rPr>
          <w:rFonts w:eastAsiaTheme="minorEastAsia"/>
          <w:bCs/>
          <w:sz w:val="24"/>
        </w:rPr>
        <w:t>46260</w:t>
      </w:r>
      <w:r w:rsidRPr="00F9522B">
        <w:rPr>
          <w:rFonts w:eastAsiaTheme="minorEastAsia"/>
          <w:bCs/>
          <w:sz w:val="24"/>
        </w:rPr>
        <w:t>m</w:t>
      </w:r>
      <w:r w:rsidRPr="00F9522B">
        <w:rPr>
          <w:rFonts w:eastAsiaTheme="minorEastAsia"/>
          <w:bCs/>
          <w:sz w:val="24"/>
          <w:vertAlign w:val="superscript"/>
        </w:rPr>
        <w:t>2</w:t>
      </w:r>
      <w:r w:rsidRPr="00F9522B">
        <w:rPr>
          <w:rFonts w:eastAsiaTheme="minorEastAsia"/>
          <w:bCs/>
          <w:sz w:val="24"/>
        </w:rPr>
        <w:t>），</w:t>
      </w:r>
      <w:r w:rsidRPr="00F9522B">
        <w:rPr>
          <w:rFonts w:eastAsiaTheme="minorEastAsia"/>
          <w:kern w:val="0"/>
          <w:sz w:val="24"/>
          <w:szCs w:val="20"/>
        </w:rPr>
        <w:t>临时占用共</w:t>
      </w:r>
      <w:r w:rsidR="00AA4603">
        <w:rPr>
          <w:rFonts w:eastAsiaTheme="minorEastAsia"/>
          <w:kern w:val="0"/>
          <w:sz w:val="24"/>
          <w:szCs w:val="20"/>
        </w:rPr>
        <w:t>294140</w:t>
      </w:r>
      <w:r w:rsidRPr="00F9522B">
        <w:rPr>
          <w:rFonts w:eastAsiaTheme="minorEastAsia"/>
          <w:kern w:val="0"/>
          <w:sz w:val="24"/>
          <w:szCs w:val="20"/>
        </w:rPr>
        <w:t>m</w:t>
      </w:r>
      <w:r w:rsidRPr="00F9522B">
        <w:rPr>
          <w:rFonts w:eastAsiaTheme="minorEastAsia"/>
          <w:kern w:val="0"/>
          <w:sz w:val="24"/>
          <w:szCs w:val="20"/>
          <w:vertAlign w:val="superscript"/>
        </w:rPr>
        <w:t>2</w:t>
      </w:r>
    </w:p>
    <w:p w:rsidR="002A5A5E" w:rsidRPr="00F9522B" w:rsidRDefault="00611CBA">
      <w:pPr>
        <w:pStyle w:val="aff4"/>
        <w:adjustRightInd/>
        <w:snapToGrid/>
        <w:jc w:val="both"/>
        <w:rPr>
          <w:rFonts w:ascii="Times New Roman" w:hAnsi="Times New Roman" w:cs="Times New Roman"/>
          <w:snapToGrid w:val="0"/>
          <w:kern w:val="0"/>
        </w:rPr>
      </w:pPr>
      <w:r w:rsidRPr="00F9522B">
        <w:rPr>
          <w:rFonts w:ascii="Times New Roman" w:hAnsi="Times New Roman" w:cs="Times New Roman"/>
          <w:snapToGrid w:val="0"/>
          <w:kern w:val="0"/>
        </w:rPr>
        <w:t>建设任务：本项目建设内容主要为</w:t>
      </w:r>
      <w:r w:rsidRPr="00F9522B">
        <w:rPr>
          <w:rFonts w:ascii="Times New Roman" w:hAnsi="Times New Roman" w:cs="Times New Roman"/>
        </w:rPr>
        <w:t>田块整治工程、灌溉与排水工程、田间道路工程、农田输配电工程</w:t>
      </w:r>
      <w:r w:rsidRPr="00F9522B">
        <w:rPr>
          <w:rFonts w:ascii="Times New Roman" w:hAnsi="Times New Roman" w:cs="Times New Roman"/>
          <w:snapToGrid w:val="0"/>
          <w:kern w:val="0"/>
        </w:rPr>
        <w:t>。</w:t>
      </w:r>
      <w:r w:rsidR="00140B49" w:rsidRPr="00F9522B">
        <w:rPr>
          <w:rFonts w:ascii="Times New Roman" w:hAnsi="Times New Roman" w:cs="Times New Roman"/>
          <w:bCs/>
          <w:snapToGrid w:val="0"/>
          <w:kern w:val="0"/>
        </w:rPr>
        <w:t>建设</w:t>
      </w:r>
      <w:r w:rsidR="00140B49" w:rsidRPr="00F9522B">
        <w:rPr>
          <w:rFonts w:ascii="Times New Roman" w:hAnsi="Times New Roman" w:cs="Times New Roman"/>
          <w:bCs/>
          <w:snapToGrid w:val="0"/>
          <w:kern w:val="0"/>
        </w:rPr>
        <w:t>32</w:t>
      </w:r>
      <w:r w:rsidR="00140B49" w:rsidRPr="00F9522B">
        <w:rPr>
          <w:rFonts w:ascii="Times New Roman" w:hAnsi="Times New Roman" w:cs="Times New Roman"/>
          <w:bCs/>
          <w:snapToGrid w:val="0"/>
          <w:kern w:val="0"/>
        </w:rPr>
        <w:t>万亩高标准农田（旱田</w:t>
      </w:r>
      <w:r w:rsidR="00140B49" w:rsidRPr="00F9522B">
        <w:rPr>
          <w:rFonts w:ascii="Times New Roman" w:hAnsi="Times New Roman" w:cs="Times New Roman"/>
          <w:bCs/>
          <w:snapToGrid w:val="0"/>
          <w:kern w:val="0"/>
        </w:rPr>
        <w:t>31.53</w:t>
      </w:r>
      <w:r w:rsidR="00140B49" w:rsidRPr="00F9522B">
        <w:rPr>
          <w:rFonts w:ascii="Times New Roman" w:hAnsi="Times New Roman" w:cs="Times New Roman"/>
          <w:bCs/>
          <w:snapToGrid w:val="0"/>
          <w:kern w:val="0"/>
        </w:rPr>
        <w:t>万亩，水田</w:t>
      </w:r>
      <w:r w:rsidR="00140B49" w:rsidRPr="00F9522B">
        <w:rPr>
          <w:rFonts w:ascii="Times New Roman" w:hAnsi="Times New Roman" w:cs="Times New Roman"/>
          <w:bCs/>
          <w:snapToGrid w:val="0"/>
          <w:kern w:val="0"/>
        </w:rPr>
        <w:t>0.47</w:t>
      </w:r>
      <w:r w:rsidR="00140B49" w:rsidRPr="00F9522B">
        <w:rPr>
          <w:rFonts w:ascii="Times New Roman" w:hAnsi="Times New Roman" w:cs="Times New Roman"/>
          <w:bCs/>
          <w:snapToGrid w:val="0"/>
          <w:kern w:val="0"/>
        </w:rPr>
        <w:t>万亩）</w:t>
      </w:r>
    </w:p>
    <w:p w:rsidR="002A5A5E" w:rsidRPr="00F9522B" w:rsidRDefault="00611CBA">
      <w:pPr>
        <w:pStyle w:val="aff4"/>
        <w:adjustRightInd/>
        <w:snapToGrid/>
        <w:jc w:val="both"/>
        <w:rPr>
          <w:rFonts w:ascii="Times New Roman" w:hAnsi="Times New Roman" w:cs="Times New Roman"/>
          <w:snapToGrid w:val="0"/>
          <w:kern w:val="0"/>
        </w:rPr>
      </w:pPr>
      <w:r w:rsidRPr="00F9522B">
        <w:rPr>
          <w:rFonts w:ascii="Times New Roman" w:hAnsi="Times New Roman" w:cs="Times New Roman"/>
          <w:snapToGrid w:val="0"/>
          <w:kern w:val="0"/>
        </w:rPr>
        <w:t>（一）田块整治工程</w:t>
      </w:r>
    </w:p>
    <w:p w:rsidR="002A5A5E" w:rsidRPr="00F9522B" w:rsidRDefault="00DF6D38">
      <w:pPr>
        <w:pStyle w:val="aff4"/>
        <w:adjustRightInd/>
        <w:snapToGrid/>
        <w:jc w:val="both"/>
        <w:rPr>
          <w:rFonts w:ascii="Times New Roman" w:hAnsi="Times New Roman" w:cs="Times New Roman"/>
          <w:snapToGrid w:val="0"/>
          <w:kern w:val="0"/>
        </w:rPr>
      </w:pPr>
      <w:r w:rsidRPr="00F9522B">
        <w:rPr>
          <w:rFonts w:ascii="Times New Roman" w:hAnsi="Times New Roman" w:cs="Times New Roman"/>
          <w:bCs/>
          <w:snapToGrid w:val="0"/>
          <w:kern w:val="0"/>
        </w:rPr>
        <w:t>旱田田块平整面积</w:t>
      </w:r>
      <w:r w:rsidRPr="00F9522B">
        <w:rPr>
          <w:rFonts w:ascii="Times New Roman" w:hAnsi="Times New Roman" w:cs="Times New Roman"/>
          <w:bCs/>
          <w:snapToGrid w:val="0"/>
          <w:kern w:val="0"/>
        </w:rPr>
        <w:t>1351.29</w:t>
      </w:r>
      <w:r w:rsidRPr="00F9522B">
        <w:rPr>
          <w:rFonts w:ascii="Times New Roman" w:hAnsi="Times New Roman" w:cs="Times New Roman"/>
          <w:bCs/>
          <w:snapToGrid w:val="0"/>
          <w:kern w:val="0"/>
        </w:rPr>
        <w:t>亩，客土回填面积</w:t>
      </w:r>
      <w:r w:rsidRPr="00F9522B">
        <w:rPr>
          <w:rFonts w:ascii="Times New Roman" w:hAnsi="Times New Roman" w:cs="Times New Roman"/>
          <w:bCs/>
          <w:snapToGrid w:val="0"/>
          <w:kern w:val="0"/>
        </w:rPr>
        <w:t>1659.91</w:t>
      </w:r>
      <w:r w:rsidRPr="00F9522B">
        <w:rPr>
          <w:rFonts w:ascii="Times New Roman" w:hAnsi="Times New Roman" w:cs="Times New Roman"/>
          <w:bCs/>
          <w:snapToGrid w:val="0"/>
          <w:kern w:val="0"/>
        </w:rPr>
        <w:t>亩；水田格田改造面积</w:t>
      </w:r>
      <w:r w:rsidRPr="00F9522B">
        <w:rPr>
          <w:rFonts w:ascii="Times New Roman" w:hAnsi="Times New Roman" w:cs="Times New Roman"/>
          <w:bCs/>
          <w:snapToGrid w:val="0"/>
          <w:kern w:val="0"/>
        </w:rPr>
        <w:t>428.89</w:t>
      </w:r>
      <w:r w:rsidRPr="00F9522B">
        <w:rPr>
          <w:rFonts w:ascii="Times New Roman" w:hAnsi="Times New Roman" w:cs="Times New Roman"/>
          <w:bCs/>
          <w:snapToGrid w:val="0"/>
          <w:kern w:val="0"/>
        </w:rPr>
        <w:t>亩；旱田障碍土层消除</w:t>
      </w:r>
      <w:r w:rsidRPr="00F9522B">
        <w:rPr>
          <w:rFonts w:ascii="Times New Roman" w:hAnsi="Times New Roman" w:cs="Times New Roman"/>
          <w:bCs/>
          <w:snapToGrid w:val="0"/>
          <w:kern w:val="0"/>
        </w:rPr>
        <w:t>47888</w:t>
      </w:r>
      <w:r w:rsidRPr="00F9522B">
        <w:rPr>
          <w:rFonts w:ascii="Times New Roman" w:hAnsi="Times New Roman" w:cs="Times New Roman"/>
          <w:bCs/>
          <w:snapToGrid w:val="0"/>
          <w:kern w:val="0"/>
        </w:rPr>
        <w:t>亩；沟头防护</w:t>
      </w:r>
      <w:r w:rsidRPr="00F9522B">
        <w:rPr>
          <w:rFonts w:ascii="Times New Roman" w:hAnsi="Times New Roman" w:cs="Times New Roman"/>
          <w:bCs/>
          <w:snapToGrid w:val="0"/>
          <w:kern w:val="0"/>
        </w:rPr>
        <w:t>200</w:t>
      </w:r>
      <w:r w:rsidRPr="00F9522B">
        <w:rPr>
          <w:rFonts w:ascii="Times New Roman" w:hAnsi="Times New Roman" w:cs="Times New Roman"/>
          <w:bCs/>
          <w:snapToGrid w:val="0"/>
          <w:kern w:val="0"/>
        </w:rPr>
        <w:t>座；岸坡防护</w:t>
      </w:r>
      <w:r w:rsidRPr="00F9522B">
        <w:rPr>
          <w:rFonts w:ascii="Times New Roman" w:hAnsi="Times New Roman" w:cs="Times New Roman"/>
          <w:bCs/>
          <w:snapToGrid w:val="0"/>
          <w:kern w:val="0"/>
        </w:rPr>
        <w:t>15.558</w:t>
      </w:r>
      <w:r w:rsidRPr="00F9522B">
        <w:rPr>
          <w:rFonts w:ascii="Times New Roman" w:hAnsi="Times New Roman" w:cs="Times New Roman"/>
          <w:bCs/>
          <w:snapToGrid w:val="0"/>
          <w:kern w:val="0"/>
        </w:rPr>
        <w:t>公里</w:t>
      </w:r>
    </w:p>
    <w:p w:rsidR="002A5A5E" w:rsidRPr="00F9522B" w:rsidRDefault="00611CBA">
      <w:pPr>
        <w:pStyle w:val="aff4"/>
        <w:adjustRightInd/>
        <w:snapToGrid/>
        <w:jc w:val="both"/>
        <w:rPr>
          <w:rFonts w:ascii="Times New Roman" w:hAnsi="Times New Roman" w:cs="Times New Roman"/>
          <w:snapToGrid w:val="0"/>
          <w:kern w:val="0"/>
        </w:rPr>
      </w:pPr>
      <w:r w:rsidRPr="00F9522B">
        <w:rPr>
          <w:rFonts w:ascii="Times New Roman" w:hAnsi="Times New Roman" w:cs="Times New Roman"/>
          <w:snapToGrid w:val="0"/>
          <w:kern w:val="0"/>
        </w:rPr>
        <w:t>（二）灌溉与排水工程</w:t>
      </w:r>
    </w:p>
    <w:p w:rsidR="002A5A5E" w:rsidRPr="00F9522B" w:rsidRDefault="00611CBA">
      <w:pPr>
        <w:pStyle w:val="aff4"/>
        <w:adjustRightInd/>
        <w:snapToGrid/>
        <w:jc w:val="both"/>
        <w:rPr>
          <w:rFonts w:ascii="Times New Roman" w:hAnsi="Times New Roman" w:cs="Times New Roman"/>
          <w:snapToGrid w:val="0"/>
          <w:kern w:val="0"/>
        </w:rPr>
      </w:pPr>
      <w:r w:rsidRPr="00F9522B">
        <w:rPr>
          <w:rFonts w:ascii="Times New Roman" w:hAnsi="Times New Roman" w:cs="Times New Roman"/>
          <w:snapToGrid w:val="0"/>
          <w:kern w:val="0"/>
        </w:rPr>
        <w:t>建筑物工程：</w:t>
      </w:r>
      <w:r w:rsidR="00DF6D38" w:rsidRPr="00F9522B">
        <w:rPr>
          <w:rFonts w:ascii="Times New Roman" w:hAnsi="Times New Roman" w:cs="Times New Roman"/>
          <w:bCs/>
          <w:snapToGrid w:val="0"/>
          <w:kern w:val="0"/>
        </w:rPr>
        <w:t>新建建筑物</w:t>
      </w:r>
      <w:r w:rsidR="00DF6D38" w:rsidRPr="00F9522B">
        <w:rPr>
          <w:rFonts w:ascii="Times New Roman" w:hAnsi="Times New Roman" w:cs="Times New Roman"/>
          <w:bCs/>
          <w:snapToGrid w:val="0"/>
          <w:kern w:val="0"/>
        </w:rPr>
        <w:t>1450</w:t>
      </w:r>
      <w:r w:rsidR="00DF6D38" w:rsidRPr="00F9522B">
        <w:rPr>
          <w:rFonts w:ascii="Times New Roman" w:hAnsi="Times New Roman" w:cs="Times New Roman"/>
          <w:bCs/>
          <w:snapToGrid w:val="0"/>
          <w:kern w:val="0"/>
        </w:rPr>
        <w:t>座，其中：涵洞</w:t>
      </w:r>
      <w:r w:rsidR="00DF6D38" w:rsidRPr="00F9522B">
        <w:rPr>
          <w:rFonts w:ascii="Times New Roman" w:hAnsi="Times New Roman" w:cs="Times New Roman"/>
          <w:bCs/>
          <w:snapToGrid w:val="0"/>
          <w:kern w:val="0"/>
        </w:rPr>
        <w:t>707</w:t>
      </w:r>
      <w:r w:rsidR="00DF6D38" w:rsidRPr="00F9522B">
        <w:rPr>
          <w:rFonts w:ascii="Times New Roman" w:hAnsi="Times New Roman" w:cs="Times New Roman"/>
          <w:bCs/>
          <w:snapToGrid w:val="0"/>
          <w:kern w:val="0"/>
        </w:rPr>
        <w:t>座</w:t>
      </w:r>
      <w:r w:rsidR="00DF6D38" w:rsidRPr="00F9522B">
        <w:rPr>
          <w:rFonts w:ascii="Times New Roman" w:hAnsi="Times New Roman" w:cs="Times New Roman"/>
          <w:snapToGrid w:val="0"/>
          <w:kern w:val="0"/>
        </w:rPr>
        <w:t>（其中</w:t>
      </w:r>
      <w:r w:rsidR="000037AB" w:rsidRPr="00F9522B">
        <w:rPr>
          <w:rFonts w:ascii="Times New Roman" w:hAnsi="Times New Roman" w:cs="Times New Roman"/>
          <w:snapToGrid w:val="0"/>
          <w:kern w:val="0"/>
        </w:rPr>
        <w:t>10</w:t>
      </w:r>
      <w:r w:rsidR="000037AB" w:rsidRPr="00F9522B">
        <w:rPr>
          <w:rFonts w:ascii="Times New Roman" w:hAnsi="Times New Roman" w:cs="Times New Roman"/>
          <w:snapToGrid w:val="0"/>
          <w:kern w:val="0"/>
        </w:rPr>
        <w:t>座现有涵洞</w:t>
      </w:r>
      <w:r w:rsidR="00DF6D38" w:rsidRPr="00F9522B">
        <w:rPr>
          <w:rFonts w:ascii="Times New Roman" w:hAnsi="Times New Roman" w:cs="Times New Roman"/>
          <w:snapToGrid w:val="0"/>
          <w:kern w:val="0"/>
        </w:rPr>
        <w:t>拆除重建）</w:t>
      </w:r>
      <w:r w:rsidR="00DF6D38" w:rsidRPr="00F9522B">
        <w:rPr>
          <w:rFonts w:ascii="Times New Roman" w:hAnsi="Times New Roman" w:cs="Times New Roman"/>
          <w:bCs/>
          <w:snapToGrid w:val="0"/>
          <w:kern w:val="0"/>
        </w:rPr>
        <w:t>，过水路面</w:t>
      </w:r>
      <w:r w:rsidR="00DF6D38" w:rsidRPr="00F9522B">
        <w:rPr>
          <w:rFonts w:ascii="Times New Roman" w:hAnsi="Times New Roman" w:cs="Times New Roman"/>
          <w:bCs/>
          <w:snapToGrid w:val="0"/>
          <w:kern w:val="0"/>
        </w:rPr>
        <w:t>742</w:t>
      </w:r>
      <w:r w:rsidR="00DF6D38" w:rsidRPr="00F9522B">
        <w:rPr>
          <w:rFonts w:ascii="Times New Roman" w:hAnsi="Times New Roman" w:cs="Times New Roman"/>
          <w:bCs/>
          <w:snapToGrid w:val="0"/>
          <w:kern w:val="0"/>
        </w:rPr>
        <w:t>座，渡槽</w:t>
      </w:r>
      <w:r w:rsidR="00DF6D38" w:rsidRPr="00F9522B">
        <w:rPr>
          <w:rFonts w:ascii="Times New Roman" w:hAnsi="Times New Roman" w:cs="Times New Roman"/>
          <w:bCs/>
          <w:snapToGrid w:val="0"/>
          <w:kern w:val="0"/>
        </w:rPr>
        <w:t>1</w:t>
      </w:r>
      <w:r w:rsidR="00DF6D38" w:rsidRPr="00F9522B">
        <w:rPr>
          <w:rFonts w:ascii="Times New Roman" w:hAnsi="Times New Roman" w:cs="Times New Roman"/>
          <w:bCs/>
          <w:snapToGrid w:val="0"/>
          <w:kern w:val="0"/>
        </w:rPr>
        <w:t>座</w:t>
      </w:r>
    </w:p>
    <w:p w:rsidR="002A5A5E" w:rsidRPr="00F9522B" w:rsidRDefault="00611CBA">
      <w:pPr>
        <w:pStyle w:val="aff4"/>
        <w:adjustRightInd/>
        <w:snapToGrid/>
        <w:jc w:val="both"/>
        <w:rPr>
          <w:rFonts w:ascii="Times New Roman" w:hAnsi="Times New Roman" w:cs="Times New Roman"/>
          <w:snapToGrid w:val="0"/>
          <w:kern w:val="0"/>
        </w:rPr>
      </w:pPr>
      <w:r w:rsidRPr="00F9522B">
        <w:rPr>
          <w:rFonts w:ascii="Times New Roman" w:hAnsi="Times New Roman" w:cs="Times New Roman"/>
          <w:snapToGrid w:val="0"/>
          <w:kern w:val="0"/>
        </w:rPr>
        <w:t>灌溉工程：</w:t>
      </w:r>
      <w:r w:rsidR="004451AD" w:rsidRPr="00F9522B">
        <w:rPr>
          <w:rFonts w:ascii="Times New Roman" w:hAnsi="Times New Roman" w:cs="Times New Roman"/>
        </w:rPr>
        <w:t>本项目</w:t>
      </w:r>
      <w:r w:rsidR="004451AD" w:rsidRPr="00F9522B">
        <w:rPr>
          <w:rFonts w:ascii="Times New Roman" w:hAnsi="Times New Roman" w:cs="Times New Roman"/>
          <w:bCs/>
        </w:rPr>
        <w:t>新建机电井</w:t>
      </w:r>
      <w:r w:rsidR="004451AD" w:rsidRPr="00F9522B">
        <w:rPr>
          <w:rFonts w:ascii="Times New Roman" w:hAnsi="Times New Roman" w:cs="Times New Roman"/>
          <w:bCs/>
        </w:rPr>
        <w:t>264</w:t>
      </w:r>
      <w:r w:rsidR="004451AD" w:rsidRPr="00F9522B">
        <w:rPr>
          <w:rFonts w:ascii="Times New Roman" w:hAnsi="Times New Roman" w:cs="Times New Roman"/>
          <w:bCs/>
        </w:rPr>
        <w:t>眼，其中</w:t>
      </w:r>
      <w:r w:rsidR="004451AD" w:rsidRPr="00F9522B">
        <w:rPr>
          <w:rFonts w:ascii="Times New Roman" w:hAnsi="Times New Roman" w:cs="Times New Roman"/>
          <w:bCs/>
        </w:rPr>
        <w:t>70</w:t>
      </w:r>
      <w:r w:rsidR="004451AD" w:rsidRPr="00F9522B">
        <w:rPr>
          <w:rFonts w:ascii="Times New Roman" w:hAnsi="Times New Roman" w:cs="Times New Roman"/>
          <w:bCs/>
        </w:rPr>
        <w:t>口滴灌井，</w:t>
      </w:r>
      <w:r w:rsidR="004451AD" w:rsidRPr="00F9522B">
        <w:rPr>
          <w:rFonts w:ascii="Times New Roman" w:hAnsi="Times New Roman" w:cs="Times New Roman"/>
          <w:bCs/>
        </w:rPr>
        <w:t>194</w:t>
      </w:r>
      <w:r w:rsidR="004451AD" w:rsidRPr="00F9522B">
        <w:rPr>
          <w:rFonts w:ascii="Times New Roman" w:hAnsi="Times New Roman" w:cs="Times New Roman"/>
          <w:bCs/>
        </w:rPr>
        <w:t>口抗旱井（干旱时使用），</w:t>
      </w:r>
      <w:r w:rsidR="004451AD" w:rsidRPr="00F9522B">
        <w:rPr>
          <w:rFonts w:ascii="Times New Roman" w:hAnsi="Times New Roman" w:cs="Times New Roman"/>
        </w:rPr>
        <w:t>运营期设计</w:t>
      </w:r>
      <w:r w:rsidR="004451AD" w:rsidRPr="00F9522B">
        <w:rPr>
          <w:rFonts w:ascii="Times New Roman" w:hAnsi="Times New Roman" w:cs="Times New Roman"/>
          <w:bCs/>
        </w:rPr>
        <w:t>抗旱井</w:t>
      </w:r>
      <w:r w:rsidR="004451AD" w:rsidRPr="00F9522B">
        <w:rPr>
          <w:rFonts w:ascii="Times New Roman" w:hAnsi="Times New Roman" w:cs="Times New Roman"/>
        </w:rPr>
        <w:t>每年</w:t>
      </w:r>
      <w:r w:rsidR="004451AD" w:rsidRPr="00F9522B">
        <w:rPr>
          <w:rFonts w:ascii="Times New Roman" w:hAnsi="Times New Roman" w:cs="Times New Roman"/>
        </w:rPr>
        <w:t>5-7</w:t>
      </w:r>
      <w:r w:rsidR="004451AD" w:rsidRPr="00F9522B">
        <w:rPr>
          <w:rFonts w:ascii="Times New Roman" w:hAnsi="Times New Roman" w:cs="Times New Roman"/>
        </w:rPr>
        <w:t>月干旱时灌水</w:t>
      </w:r>
      <w:r w:rsidR="004451AD" w:rsidRPr="00F9522B">
        <w:rPr>
          <w:rFonts w:ascii="Times New Roman" w:hAnsi="Times New Roman" w:cs="Times New Roman"/>
        </w:rPr>
        <w:t>15d</w:t>
      </w:r>
      <w:r w:rsidR="004451AD" w:rsidRPr="00F9522B">
        <w:rPr>
          <w:rFonts w:ascii="Times New Roman" w:hAnsi="Times New Roman" w:cs="Times New Roman"/>
        </w:rPr>
        <w:t>，每天灌溉时间约为</w:t>
      </w:r>
      <w:r w:rsidR="004451AD" w:rsidRPr="00F9522B">
        <w:rPr>
          <w:rFonts w:ascii="Times New Roman" w:hAnsi="Times New Roman" w:cs="Times New Roman"/>
        </w:rPr>
        <w:t>8h</w:t>
      </w:r>
      <w:r w:rsidR="004451AD" w:rsidRPr="00F9522B">
        <w:rPr>
          <w:rFonts w:ascii="Times New Roman" w:hAnsi="Times New Roman" w:cs="Times New Roman"/>
        </w:rPr>
        <w:t>，总灌水时间约</w:t>
      </w:r>
      <w:r w:rsidR="004451AD" w:rsidRPr="00F9522B">
        <w:rPr>
          <w:rFonts w:ascii="Times New Roman" w:hAnsi="Times New Roman" w:cs="Times New Roman"/>
        </w:rPr>
        <w:t>120h</w:t>
      </w:r>
      <w:r w:rsidR="004451AD" w:rsidRPr="00F9522B">
        <w:rPr>
          <w:rFonts w:ascii="Times New Roman" w:hAnsi="Times New Roman" w:cs="Times New Roman"/>
        </w:rPr>
        <w:t>，设计单井涌水量为</w:t>
      </w:r>
      <w:r w:rsidR="004451AD" w:rsidRPr="00F9522B">
        <w:rPr>
          <w:rFonts w:ascii="Times New Roman" w:hAnsi="Times New Roman" w:cs="Times New Roman"/>
        </w:rPr>
        <w:t>30m</w:t>
      </w:r>
      <w:r w:rsidR="004451AD" w:rsidRPr="00F9522B">
        <w:rPr>
          <w:rFonts w:ascii="Times New Roman" w:hAnsi="Times New Roman" w:cs="Times New Roman"/>
          <w:vertAlign w:val="superscript"/>
        </w:rPr>
        <w:t>3</w:t>
      </w:r>
      <w:r w:rsidR="004451AD" w:rsidRPr="00F9522B">
        <w:rPr>
          <w:rFonts w:ascii="Times New Roman" w:hAnsi="Times New Roman" w:cs="Times New Roman"/>
        </w:rPr>
        <w:t>/h</w:t>
      </w:r>
      <w:r w:rsidR="004451AD" w:rsidRPr="00F9522B">
        <w:rPr>
          <w:rFonts w:ascii="Times New Roman" w:hAnsi="Times New Roman" w:cs="Times New Roman"/>
        </w:rPr>
        <w:t>，</w:t>
      </w:r>
      <w:r w:rsidR="004451AD" w:rsidRPr="00F9522B">
        <w:rPr>
          <w:rFonts w:ascii="Times New Roman" w:hAnsi="Times New Roman" w:cs="Times New Roman"/>
          <w:bCs/>
        </w:rPr>
        <w:t>滴灌井生育期灌溉总天数</w:t>
      </w:r>
      <w:r w:rsidR="004451AD" w:rsidRPr="00F9522B">
        <w:rPr>
          <w:rFonts w:ascii="Times New Roman" w:hAnsi="Times New Roman" w:cs="Times New Roman"/>
          <w:bCs/>
        </w:rPr>
        <w:t>43d</w:t>
      </w:r>
      <w:r w:rsidR="004451AD" w:rsidRPr="00F9522B">
        <w:rPr>
          <w:rFonts w:ascii="Times New Roman" w:hAnsi="Times New Roman" w:cs="Times New Roman"/>
          <w:bCs/>
        </w:rPr>
        <w:t>，</w:t>
      </w:r>
      <w:r w:rsidR="004451AD" w:rsidRPr="00F9522B">
        <w:rPr>
          <w:rFonts w:ascii="Times New Roman" w:hAnsi="Times New Roman" w:cs="Times New Roman"/>
        </w:rPr>
        <w:t>每天灌溉时间约为</w:t>
      </w:r>
      <w:r w:rsidR="004451AD" w:rsidRPr="00F9522B">
        <w:rPr>
          <w:rFonts w:ascii="Times New Roman" w:hAnsi="Times New Roman" w:cs="Times New Roman"/>
        </w:rPr>
        <w:t>20h</w:t>
      </w:r>
      <w:r w:rsidR="004451AD" w:rsidRPr="00F9522B">
        <w:rPr>
          <w:rFonts w:ascii="Times New Roman" w:hAnsi="Times New Roman" w:cs="Times New Roman"/>
        </w:rPr>
        <w:t>，总灌水时间约</w:t>
      </w:r>
      <w:r w:rsidR="004451AD" w:rsidRPr="00F9522B">
        <w:rPr>
          <w:rFonts w:ascii="Times New Roman" w:hAnsi="Times New Roman" w:cs="Times New Roman"/>
        </w:rPr>
        <w:t>860h</w:t>
      </w:r>
      <w:r w:rsidR="004451AD" w:rsidRPr="00F9522B">
        <w:rPr>
          <w:rFonts w:ascii="Times New Roman" w:hAnsi="Times New Roman" w:cs="Times New Roman"/>
        </w:rPr>
        <w:t>，设计单井涌水量为</w:t>
      </w:r>
      <w:r w:rsidR="004451AD" w:rsidRPr="00F9522B">
        <w:rPr>
          <w:rFonts w:ascii="Times New Roman" w:hAnsi="Times New Roman" w:cs="Times New Roman"/>
        </w:rPr>
        <w:t>30m</w:t>
      </w:r>
      <w:r w:rsidR="004451AD" w:rsidRPr="00F9522B">
        <w:rPr>
          <w:rFonts w:ascii="Times New Roman" w:hAnsi="Times New Roman" w:cs="Times New Roman"/>
          <w:vertAlign w:val="superscript"/>
        </w:rPr>
        <w:t>3</w:t>
      </w:r>
      <w:r w:rsidR="004451AD" w:rsidRPr="00F9522B">
        <w:rPr>
          <w:rFonts w:ascii="Times New Roman" w:hAnsi="Times New Roman" w:cs="Times New Roman"/>
        </w:rPr>
        <w:t>/h</w:t>
      </w:r>
      <w:r w:rsidR="004451AD" w:rsidRPr="00F9522B">
        <w:rPr>
          <w:rFonts w:ascii="Times New Roman" w:hAnsi="Times New Roman" w:cs="Times New Roman"/>
        </w:rPr>
        <w:t>。根据项目区的灌溉定额和灌溉水利用系数，项目区取水量为</w:t>
      </w:r>
      <w:r w:rsidR="004451AD" w:rsidRPr="00F9522B">
        <w:rPr>
          <w:rFonts w:ascii="Times New Roman" w:hAnsi="Times New Roman" w:cs="Times New Roman"/>
        </w:rPr>
        <w:t>242.74</w:t>
      </w:r>
      <w:r w:rsidR="004451AD" w:rsidRPr="00F9522B">
        <w:rPr>
          <w:rFonts w:ascii="Times New Roman" w:hAnsi="Times New Roman" w:cs="Times New Roman"/>
        </w:rPr>
        <w:t>万</w:t>
      </w:r>
      <w:r w:rsidR="004451AD" w:rsidRPr="00F9522B">
        <w:rPr>
          <w:rFonts w:ascii="Times New Roman" w:hAnsi="Times New Roman" w:cs="Times New Roman"/>
        </w:rPr>
        <w:t>m³/a</w:t>
      </w:r>
      <w:r w:rsidR="004451AD" w:rsidRPr="00F9522B">
        <w:rPr>
          <w:rFonts w:ascii="Times New Roman" w:hAnsi="Times New Roman" w:cs="Times New Roman"/>
        </w:rPr>
        <w:t>（其中</w:t>
      </w:r>
      <w:r w:rsidR="004451AD" w:rsidRPr="00F9522B">
        <w:rPr>
          <w:rFonts w:ascii="Times New Roman" w:hAnsi="Times New Roman" w:cs="Times New Roman"/>
          <w:bCs/>
        </w:rPr>
        <w:t>抗旱井</w:t>
      </w:r>
      <w:r w:rsidR="004451AD" w:rsidRPr="00F9522B">
        <w:rPr>
          <w:rFonts w:ascii="Times New Roman" w:hAnsi="Times New Roman" w:cs="Times New Roman"/>
          <w:bCs/>
        </w:rPr>
        <w:t>63.44</w:t>
      </w:r>
      <w:r w:rsidR="004451AD" w:rsidRPr="00F9522B">
        <w:rPr>
          <w:rFonts w:ascii="Times New Roman" w:hAnsi="Times New Roman" w:cs="Times New Roman"/>
          <w:bCs/>
        </w:rPr>
        <w:t>万</w:t>
      </w:r>
      <w:r w:rsidR="004451AD" w:rsidRPr="00F9522B">
        <w:rPr>
          <w:rFonts w:ascii="Times New Roman" w:hAnsi="Times New Roman" w:cs="Times New Roman"/>
        </w:rPr>
        <w:t>m³/a</w:t>
      </w:r>
      <w:r w:rsidR="004451AD" w:rsidRPr="00F9522B">
        <w:rPr>
          <w:rFonts w:ascii="Times New Roman" w:hAnsi="Times New Roman" w:cs="Times New Roman"/>
        </w:rPr>
        <w:t>、</w:t>
      </w:r>
      <w:r w:rsidR="004451AD" w:rsidRPr="00F9522B">
        <w:rPr>
          <w:rFonts w:ascii="Times New Roman" w:hAnsi="Times New Roman" w:cs="Times New Roman"/>
          <w:bCs/>
        </w:rPr>
        <w:t>滴灌井</w:t>
      </w:r>
      <w:r w:rsidR="004451AD" w:rsidRPr="00F9522B">
        <w:rPr>
          <w:rFonts w:ascii="Times New Roman" w:hAnsi="Times New Roman" w:cs="Times New Roman"/>
          <w:bCs/>
        </w:rPr>
        <w:t>179.3</w:t>
      </w:r>
      <w:r w:rsidR="004451AD" w:rsidRPr="00F9522B">
        <w:rPr>
          <w:rFonts w:ascii="Times New Roman" w:hAnsi="Times New Roman" w:cs="Times New Roman"/>
          <w:bCs/>
        </w:rPr>
        <w:t>万</w:t>
      </w:r>
      <w:r w:rsidR="004451AD" w:rsidRPr="00F9522B">
        <w:rPr>
          <w:rFonts w:ascii="Times New Roman" w:hAnsi="Times New Roman" w:cs="Times New Roman"/>
        </w:rPr>
        <w:t>m³/a</w:t>
      </w:r>
      <w:r w:rsidR="004451AD" w:rsidRPr="00F9522B">
        <w:rPr>
          <w:rFonts w:ascii="Times New Roman" w:hAnsi="Times New Roman" w:cs="Times New Roman"/>
        </w:rPr>
        <w:t>），日取水量</w:t>
      </w:r>
      <w:r w:rsidR="00620357" w:rsidRPr="00F9522B">
        <w:rPr>
          <w:rFonts w:ascii="Times New Roman" w:hAnsi="Times New Roman" w:cs="Times New Roman"/>
        </w:rPr>
        <w:t>约</w:t>
      </w:r>
      <w:r w:rsidR="004451AD" w:rsidRPr="00F9522B">
        <w:rPr>
          <w:rFonts w:ascii="Times New Roman" w:hAnsi="Times New Roman" w:cs="Times New Roman"/>
        </w:rPr>
        <w:t>为</w:t>
      </w:r>
      <w:r w:rsidR="004451AD" w:rsidRPr="00F9522B">
        <w:rPr>
          <w:rFonts w:ascii="Times New Roman" w:hAnsi="Times New Roman" w:cs="Times New Roman"/>
        </w:rPr>
        <w:t>83991m</w:t>
      </w:r>
      <w:r w:rsidR="004451AD" w:rsidRPr="00F9522B">
        <w:rPr>
          <w:rFonts w:ascii="Times New Roman" w:hAnsi="Times New Roman" w:cs="Times New Roman"/>
          <w:vertAlign w:val="superscript"/>
        </w:rPr>
        <w:t>3</w:t>
      </w:r>
      <w:r w:rsidR="004451AD" w:rsidRPr="00F9522B">
        <w:rPr>
          <w:rFonts w:ascii="Times New Roman" w:hAnsi="Times New Roman" w:cs="Times New Roman"/>
        </w:rPr>
        <w:t>（其中</w:t>
      </w:r>
      <w:r w:rsidR="004451AD" w:rsidRPr="00F9522B">
        <w:rPr>
          <w:rFonts w:ascii="Times New Roman" w:hAnsi="Times New Roman" w:cs="Times New Roman"/>
          <w:bCs/>
        </w:rPr>
        <w:t>抗旱井</w:t>
      </w:r>
      <w:r w:rsidR="004451AD" w:rsidRPr="00F9522B">
        <w:rPr>
          <w:rFonts w:ascii="Times New Roman" w:hAnsi="Times New Roman" w:cs="Times New Roman"/>
          <w:bCs/>
        </w:rPr>
        <w:t>42293</w:t>
      </w:r>
      <w:r w:rsidR="004451AD" w:rsidRPr="00F9522B">
        <w:rPr>
          <w:rFonts w:ascii="Times New Roman" w:hAnsi="Times New Roman" w:cs="Times New Roman"/>
        </w:rPr>
        <w:t>m³</w:t>
      </w:r>
      <w:r w:rsidR="004451AD" w:rsidRPr="00F9522B">
        <w:rPr>
          <w:rFonts w:ascii="Times New Roman" w:hAnsi="Times New Roman" w:cs="Times New Roman"/>
        </w:rPr>
        <w:t>、</w:t>
      </w:r>
      <w:r w:rsidR="004451AD" w:rsidRPr="00F9522B">
        <w:rPr>
          <w:rFonts w:ascii="Times New Roman" w:hAnsi="Times New Roman" w:cs="Times New Roman"/>
          <w:bCs/>
        </w:rPr>
        <w:t>滴灌井</w:t>
      </w:r>
      <w:r w:rsidR="004451AD" w:rsidRPr="00F9522B">
        <w:rPr>
          <w:rFonts w:ascii="Times New Roman" w:hAnsi="Times New Roman" w:cs="Times New Roman"/>
          <w:bCs/>
        </w:rPr>
        <w:t>41698</w:t>
      </w:r>
      <w:r w:rsidR="004451AD" w:rsidRPr="00F9522B">
        <w:rPr>
          <w:rFonts w:ascii="Times New Roman" w:hAnsi="Times New Roman" w:cs="Times New Roman"/>
        </w:rPr>
        <w:t>m³</w:t>
      </w:r>
      <w:r w:rsidR="004451AD" w:rsidRPr="00F9522B">
        <w:rPr>
          <w:rFonts w:ascii="Times New Roman" w:hAnsi="Times New Roman" w:cs="Times New Roman"/>
        </w:rPr>
        <w:t>）。</w:t>
      </w:r>
      <w:r w:rsidR="004451AD" w:rsidRPr="00F9522B">
        <w:rPr>
          <w:rFonts w:ascii="Times New Roman" w:hAnsi="Times New Roman" w:cs="Times New Roman"/>
          <w:kern w:val="0"/>
        </w:rPr>
        <w:t>灌溉面积</w:t>
      </w:r>
      <w:r w:rsidR="004451AD" w:rsidRPr="00F9522B">
        <w:rPr>
          <w:rFonts w:ascii="Times New Roman" w:hAnsi="Times New Roman" w:cs="Times New Roman"/>
          <w:kern w:val="0"/>
        </w:rPr>
        <w:t>122041.64</w:t>
      </w:r>
      <w:r w:rsidR="004451AD" w:rsidRPr="00F9522B">
        <w:rPr>
          <w:rFonts w:ascii="Times New Roman" w:hAnsi="Times New Roman" w:cs="Times New Roman"/>
          <w:kern w:val="0"/>
        </w:rPr>
        <w:t>亩，均为旱田，无水田</w:t>
      </w:r>
      <w:r w:rsidRPr="00F9522B">
        <w:rPr>
          <w:rFonts w:ascii="Times New Roman" w:hAnsi="Times New Roman" w:cs="Times New Roman"/>
          <w:kern w:val="0"/>
        </w:rPr>
        <w:t>。</w:t>
      </w:r>
      <w:r w:rsidR="00DF6D38" w:rsidRPr="00F9522B">
        <w:rPr>
          <w:rFonts w:ascii="Times New Roman" w:hAnsi="Times New Roman" w:cs="Times New Roman"/>
          <w:bCs/>
          <w:snapToGrid w:val="0"/>
          <w:kern w:val="0"/>
        </w:rPr>
        <w:t>水肥一体灌溉面积</w:t>
      </w:r>
      <w:r w:rsidR="00DF6D38" w:rsidRPr="00F9522B">
        <w:rPr>
          <w:rFonts w:ascii="Times New Roman" w:hAnsi="Times New Roman" w:cs="Times New Roman"/>
          <w:bCs/>
          <w:snapToGrid w:val="0"/>
          <w:kern w:val="0"/>
        </w:rPr>
        <w:t>1.63</w:t>
      </w:r>
      <w:r w:rsidR="00DF6D38" w:rsidRPr="00F9522B">
        <w:rPr>
          <w:rFonts w:ascii="Times New Roman" w:hAnsi="Times New Roman" w:cs="Times New Roman"/>
          <w:bCs/>
          <w:snapToGrid w:val="0"/>
          <w:kern w:val="0"/>
        </w:rPr>
        <w:t>万亩</w:t>
      </w:r>
      <w:r w:rsidR="00DF6D38" w:rsidRPr="00F9522B">
        <w:rPr>
          <w:rFonts w:ascii="Times New Roman" w:hAnsi="Times New Roman" w:cs="Times New Roman"/>
          <w:bCs/>
        </w:rPr>
        <w:t>。排水沟清淤</w:t>
      </w:r>
      <w:r w:rsidR="00DF6D38" w:rsidRPr="00F9522B">
        <w:rPr>
          <w:rFonts w:ascii="Times New Roman" w:hAnsi="Times New Roman" w:cs="Times New Roman"/>
          <w:bCs/>
        </w:rPr>
        <w:t>14.073km</w:t>
      </w:r>
      <w:r w:rsidR="00DF6D38" w:rsidRPr="00F9522B">
        <w:rPr>
          <w:rFonts w:ascii="Times New Roman" w:hAnsi="Times New Roman" w:cs="Times New Roman"/>
          <w:bCs/>
        </w:rPr>
        <w:t>，排水沟护砌</w:t>
      </w:r>
      <w:r w:rsidR="00DF6D38" w:rsidRPr="00F9522B">
        <w:rPr>
          <w:rFonts w:ascii="Times New Roman" w:hAnsi="Times New Roman" w:cs="Times New Roman"/>
          <w:bCs/>
        </w:rPr>
        <w:t>78.697km</w:t>
      </w:r>
    </w:p>
    <w:p w:rsidR="002A5A5E" w:rsidRPr="00F9522B" w:rsidRDefault="00611CBA">
      <w:pPr>
        <w:pStyle w:val="aff4"/>
        <w:adjustRightInd/>
        <w:snapToGrid/>
        <w:jc w:val="both"/>
        <w:rPr>
          <w:rFonts w:ascii="Times New Roman" w:hAnsi="Times New Roman" w:cs="Times New Roman"/>
          <w:snapToGrid w:val="0"/>
          <w:kern w:val="0"/>
        </w:rPr>
      </w:pPr>
      <w:r w:rsidRPr="00F9522B">
        <w:rPr>
          <w:rFonts w:ascii="Times New Roman" w:hAnsi="Times New Roman" w:cs="Times New Roman"/>
          <w:snapToGrid w:val="0"/>
          <w:kern w:val="0"/>
        </w:rPr>
        <w:lastRenderedPageBreak/>
        <w:t>排水工程：购置移动泵车</w:t>
      </w:r>
      <w:r w:rsidR="005E3027" w:rsidRPr="00F9522B">
        <w:rPr>
          <w:rFonts w:ascii="Times New Roman" w:hAnsi="Times New Roman" w:cs="Times New Roman"/>
          <w:snapToGrid w:val="0"/>
          <w:kern w:val="0"/>
        </w:rPr>
        <w:t>78</w:t>
      </w:r>
      <w:r w:rsidR="005E3027" w:rsidRPr="00F9522B">
        <w:rPr>
          <w:rFonts w:ascii="Times New Roman" w:hAnsi="Times New Roman" w:cs="Times New Roman"/>
          <w:snapToGrid w:val="0"/>
          <w:kern w:val="0"/>
        </w:rPr>
        <w:t>台</w:t>
      </w:r>
      <w:r w:rsidRPr="00F9522B">
        <w:rPr>
          <w:rFonts w:ascii="Times New Roman" w:hAnsi="Times New Roman" w:cs="Times New Roman"/>
          <w:snapToGrid w:val="0"/>
          <w:kern w:val="0"/>
        </w:rPr>
        <w:t>，流量为</w:t>
      </w:r>
      <w:r w:rsidR="004451AD" w:rsidRPr="00F9522B">
        <w:rPr>
          <w:rFonts w:ascii="Times New Roman" w:hAnsi="Times New Roman" w:cs="Times New Roman"/>
          <w:snapToGrid w:val="0"/>
          <w:kern w:val="0"/>
        </w:rPr>
        <w:t>6</w:t>
      </w:r>
      <w:r w:rsidRPr="00F9522B">
        <w:rPr>
          <w:rFonts w:ascii="Times New Roman" w:hAnsi="Times New Roman" w:cs="Times New Roman"/>
          <w:snapToGrid w:val="0"/>
          <w:kern w:val="0"/>
        </w:rPr>
        <w:t>00m³/h</w:t>
      </w:r>
      <w:r w:rsidRPr="00F9522B">
        <w:rPr>
          <w:rFonts w:ascii="Times New Roman" w:hAnsi="Times New Roman" w:cs="Times New Roman"/>
          <w:snapToGrid w:val="0"/>
          <w:kern w:val="0"/>
        </w:rPr>
        <w:t>；</w:t>
      </w:r>
      <w:r w:rsidRPr="00F9522B">
        <w:rPr>
          <w:rFonts w:ascii="Times New Roman" w:hAnsi="Times New Roman" w:cs="Times New Roman"/>
          <w:bCs/>
        </w:rPr>
        <w:t>排水沟清淤</w:t>
      </w:r>
      <w:r w:rsidR="000037AB" w:rsidRPr="00F9522B">
        <w:rPr>
          <w:rFonts w:ascii="Times New Roman" w:hAnsi="Times New Roman" w:cs="Times New Roman"/>
          <w:bCs/>
        </w:rPr>
        <w:t>14.073km</w:t>
      </w:r>
      <w:r w:rsidRPr="00F9522B">
        <w:rPr>
          <w:rFonts w:ascii="Times New Roman" w:hAnsi="Times New Roman" w:cs="Times New Roman"/>
          <w:bCs/>
        </w:rPr>
        <w:t>，排水沟护砌</w:t>
      </w:r>
      <w:r w:rsidRPr="00F9522B">
        <w:rPr>
          <w:rFonts w:ascii="Times New Roman" w:hAnsi="Times New Roman" w:cs="Times New Roman"/>
          <w:bCs/>
        </w:rPr>
        <w:t>36.008km</w:t>
      </w:r>
    </w:p>
    <w:p w:rsidR="002A5A5E" w:rsidRPr="00F9522B" w:rsidRDefault="00611CBA">
      <w:pPr>
        <w:pStyle w:val="aff4"/>
        <w:adjustRightInd/>
        <w:snapToGrid/>
        <w:jc w:val="both"/>
        <w:rPr>
          <w:rFonts w:ascii="Times New Roman" w:hAnsi="Times New Roman" w:cs="Times New Roman"/>
          <w:snapToGrid w:val="0"/>
          <w:kern w:val="0"/>
        </w:rPr>
      </w:pPr>
      <w:r w:rsidRPr="00F9522B">
        <w:rPr>
          <w:rFonts w:ascii="Times New Roman" w:hAnsi="Times New Roman" w:cs="Times New Roman"/>
          <w:snapToGrid w:val="0"/>
          <w:kern w:val="0"/>
        </w:rPr>
        <w:t>（三）田间道路工程</w:t>
      </w:r>
    </w:p>
    <w:p w:rsidR="002A5A5E" w:rsidRPr="00F9522B" w:rsidRDefault="00DF6D38">
      <w:pPr>
        <w:pStyle w:val="aff4"/>
        <w:adjustRightInd/>
        <w:snapToGrid/>
        <w:jc w:val="both"/>
        <w:rPr>
          <w:rFonts w:ascii="Times New Roman" w:hAnsi="Times New Roman" w:cs="Times New Roman"/>
          <w:snapToGrid w:val="0"/>
          <w:kern w:val="0"/>
        </w:rPr>
      </w:pPr>
      <w:r w:rsidRPr="00F9522B">
        <w:rPr>
          <w:rFonts w:ascii="Times New Roman" w:hAnsi="Times New Roman" w:cs="Times New Roman"/>
          <w:bCs/>
          <w:snapToGrid w:val="0"/>
          <w:kern w:val="0"/>
        </w:rPr>
        <w:t>修缮道路</w:t>
      </w:r>
      <w:r w:rsidRPr="00F9522B">
        <w:rPr>
          <w:rFonts w:ascii="Times New Roman" w:hAnsi="Times New Roman" w:cs="Times New Roman"/>
          <w:bCs/>
          <w:snapToGrid w:val="0"/>
          <w:kern w:val="0"/>
        </w:rPr>
        <w:t>792</w:t>
      </w:r>
      <w:r w:rsidRPr="00F9522B">
        <w:rPr>
          <w:rFonts w:ascii="Times New Roman" w:hAnsi="Times New Roman" w:cs="Times New Roman"/>
          <w:bCs/>
          <w:snapToGrid w:val="0"/>
          <w:kern w:val="0"/>
        </w:rPr>
        <w:t>条，共</w:t>
      </w:r>
      <w:r w:rsidRPr="00F9522B">
        <w:rPr>
          <w:rFonts w:ascii="Times New Roman" w:hAnsi="Times New Roman" w:cs="Times New Roman"/>
          <w:bCs/>
          <w:snapToGrid w:val="0"/>
          <w:kern w:val="0"/>
        </w:rPr>
        <w:t>537.512km</w:t>
      </w:r>
      <w:r w:rsidRPr="00F9522B">
        <w:rPr>
          <w:rFonts w:ascii="Times New Roman" w:hAnsi="Times New Roman" w:cs="Times New Roman"/>
          <w:bCs/>
          <w:snapToGrid w:val="0"/>
          <w:kern w:val="0"/>
        </w:rPr>
        <w:t>，其中：机耕路（混凝土路面）</w:t>
      </w:r>
      <w:r w:rsidRPr="00F9522B">
        <w:rPr>
          <w:rFonts w:ascii="Times New Roman" w:hAnsi="Times New Roman" w:cs="Times New Roman"/>
          <w:bCs/>
          <w:snapToGrid w:val="0"/>
          <w:kern w:val="0"/>
        </w:rPr>
        <w:t>157</w:t>
      </w:r>
      <w:r w:rsidRPr="00F9522B">
        <w:rPr>
          <w:rFonts w:ascii="Times New Roman" w:hAnsi="Times New Roman" w:cs="Times New Roman"/>
          <w:bCs/>
          <w:snapToGrid w:val="0"/>
          <w:kern w:val="0"/>
        </w:rPr>
        <w:t>条，共</w:t>
      </w:r>
      <w:r w:rsidRPr="00F9522B">
        <w:rPr>
          <w:rFonts w:ascii="Times New Roman" w:hAnsi="Times New Roman" w:cs="Times New Roman"/>
          <w:bCs/>
          <w:snapToGrid w:val="0"/>
          <w:kern w:val="0"/>
        </w:rPr>
        <w:t>129.289km</w:t>
      </w:r>
      <w:r w:rsidRPr="00F9522B">
        <w:rPr>
          <w:rFonts w:ascii="Times New Roman" w:hAnsi="Times New Roman" w:cs="Times New Roman"/>
          <w:bCs/>
          <w:snapToGrid w:val="0"/>
          <w:kern w:val="0"/>
        </w:rPr>
        <w:t>；生产路（砂石路面）</w:t>
      </w:r>
      <w:r w:rsidRPr="00F9522B">
        <w:rPr>
          <w:rFonts w:ascii="Times New Roman" w:hAnsi="Times New Roman" w:cs="Times New Roman"/>
          <w:bCs/>
          <w:snapToGrid w:val="0"/>
          <w:kern w:val="0"/>
        </w:rPr>
        <w:t>635</w:t>
      </w:r>
      <w:r w:rsidRPr="00F9522B">
        <w:rPr>
          <w:rFonts w:ascii="Times New Roman" w:hAnsi="Times New Roman" w:cs="Times New Roman"/>
          <w:bCs/>
          <w:snapToGrid w:val="0"/>
          <w:kern w:val="0"/>
        </w:rPr>
        <w:t>条，共</w:t>
      </w:r>
      <w:r w:rsidRPr="00F9522B">
        <w:rPr>
          <w:rFonts w:ascii="Times New Roman" w:hAnsi="Times New Roman" w:cs="Times New Roman"/>
          <w:bCs/>
          <w:snapToGrid w:val="0"/>
          <w:kern w:val="0"/>
        </w:rPr>
        <w:t>408.223km</w:t>
      </w:r>
    </w:p>
    <w:p w:rsidR="002A5A5E" w:rsidRPr="00F9522B" w:rsidRDefault="00611CBA">
      <w:pPr>
        <w:pStyle w:val="aff4"/>
        <w:adjustRightInd/>
        <w:snapToGrid/>
        <w:jc w:val="both"/>
        <w:rPr>
          <w:rFonts w:ascii="Times New Roman" w:hAnsi="Times New Roman" w:cs="Times New Roman"/>
          <w:snapToGrid w:val="0"/>
          <w:kern w:val="0"/>
        </w:rPr>
      </w:pPr>
      <w:r w:rsidRPr="00F9522B">
        <w:rPr>
          <w:rFonts w:ascii="Times New Roman" w:hAnsi="Times New Roman" w:cs="Times New Roman"/>
          <w:snapToGrid w:val="0"/>
          <w:kern w:val="0"/>
        </w:rPr>
        <w:t>（四）农田输配电工程</w:t>
      </w:r>
    </w:p>
    <w:p w:rsidR="002A5A5E" w:rsidRPr="00F9522B" w:rsidRDefault="00DF6D38">
      <w:pPr>
        <w:pStyle w:val="aff4"/>
        <w:adjustRightInd/>
        <w:snapToGrid/>
        <w:jc w:val="both"/>
        <w:rPr>
          <w:rFonts w:ascii="Times New Roman" w:hAnsi="Times New Roman" w:cs="Times New Roman"/>
          <w:bCs/>
        </w:rPr>
      </w:pPr>
      <w:r w:rsidRPr="00F9522B">
        <w:rPr>
          <w:rFonts w:ascii="Times New Roman" w:hAnsi="Times New Roman" w:cs="Times New Roman"/>
          <w:bCs/>
        </w:rPr>
        <w:t>新建</w:t>
      </w:r>
      <w:r w:rsidRPr="00F9522B">
        <w:rPr>
          <w:rFonts w:ascii="Times New Roman" w:hAnsi="Times New Roman" w:cs="Times New Roman"/>
          <w:bCs/>
        </w:rPr>
        <w:t>10kV</w:t>
      </w:r>
      <w:r w:rsidRPr="00F9522B">
        <w:rPr>
          <w:rFonts w:ascii="Times New Roman" w:hAnsi="Times New Roman" w:cs="Times New Roman"/>
          <w:bCs/>
        </w:rPr>
        <w:t>高压电缆线路</w:t>
      </w:r>
      <w:r w:rsidRPr="00F9522B">
        <w:rPr>
          <w:rFonts w:ascii="Times New Roman" w:hAnsi="Times New Roman" w:cs="Times New Roman"/>
          <w:bCs/>
        </w:rPr>
        <w:t>97.31km</w:t>
      </w:r>
      <w:r w:rsidRPr="00F9522B">
        <w:rPr>
          <w:rFonts w:ascii="Times New Roman" w:hAnsi="Times New Roman" w:cs="Times New Roman"/>
          <w:bCs/>
        </w:rPr>
        <w:t>，其中</w:t>
      </w:r>
      <w:r w:rsidRPr="00F9522B">
        <w:rPr>
          <w:rFonts w:ascii="Times New Roman" w:hAnsi="Times New Roman" w:cs="Times New Roman"/>
          <w:bCs/>
        </w:rPr>
        <w:t>10kV</w:t>
      </w:r>
      <w:r w:rsidRPr="00F9522B">
        <w:rPr>
          <w:rFonts w:ascii="Times New Roman" w:hAnsi="Times New Roman" w:cs="Times New Roman"/>
          <w:bCs/>
        </w:rPr>
        <w:t>高压架空线路</w:t>
      </w:r>
      <w:r w:rsidRPr="00F9522B">
        <w:rPr>
          <w:rFonts w:ascii="Times New Roman" w:hAnsi="Times New Roman" w:cs="Times New Roman"/>
          <w:bCs/>
        </w:rPr>
        <w:t>48.086km</w:t>
      </w:r>
      <w:r w:rsidRPr="00F9522B">
        <w:rPr>
          <w:rFonts w:ascii="Times New Roman" w:hAnsi="Times New Roman" w:cs="Times New Roman"/>
          <w:bCs/>
        </w:rPr>
        <w:t>、地埋线路</w:t>
      </w:r>
      <w:r w:rsidRPr="00F9522B">
        <w:rPr>
          <w:rFonts w:ascii="Times New Roman" w:hAnsi="Times New Roman" w:cs="Times New Roman"/>
          <w:bCs/>
        </w:rPr>
        <w:t>49.224km</w:t>
      </w:r>
      <w:r w:rsidRPr="00F9522B">
        <w:rPr>
          <w:rFonts w:ascii="Times New Roman" w:hAnsi="Times New Roman" w:cs="Times New Roman"/>
          <w:bCs/>
        </w:rPr>
        <w:t>；新建</w:t>
      </w:r>
      <w:r w:rsidRPr="00F9522B">
        <w:rPr>
          <w:rFonts w:ascii="Times New Roman" w:hAnsi="Times New Roman" w:cs="Times New Roman"/>
          <w:bCs/>
        </w:rPr>
        <w:t>0.4kV</w:t>
      </w:r>
      <w:r w:rsidRPr="00F9522B">
        <w:rPr>
          <w:rFonts w:ascii="Times New Roman" w:hAnsi="Times New Roman" w:cs="Times New Roman"/>
          <w:bCs/>
        </w:rPr>
        <w:t>低压地埋线路</w:t>
      </w:r>
      <w:r w:rsidRPr="00F9522B">
        <w:rPr>
          <w:rFonts w:ascii="Times New Roman" w:hAnsi="Times New Roman" w:cs="Times New Roman"/>
          <w:bCs/>
        </w:rPr>
        <w:t>29.676km</w:t>
      </w:r>
      <w:r w:rsidR="00611CBA" w:rsidRPr="00F9522B">
        <w:rPr>
          <w:rFonts w:ascii="Times New Roman" w:hAnsi="Times New Roman" w:cs="Times New Roman"/>
          <w:bCs/>
        </w:rPr>
        <w:t>。配套</w:t>
      </w:r>
      <w:r w:rsidR="003D06B8" w:rsidRPr="00F9522B">
        <w:rPr>
          <w:rFonts w:ascii="Times New Roman" w:hAnsi="Times New Roman" w:cs="Times New Roman"/>
          <w:bCs/>
        </w:rPr>
        <w:t>变压器</w:t>
      </w:r>
      <w:r w:rsidR="003D06B8" w:rsidRPr="00F9522B">
        <w:rPr>
          <w:rFonts w:ascii="Times New Roman" w:hAnsi="Times New Roman" w:cs="Times New Roman"/>
          <w:bCs/>
        </w:rPr>
        <w:t>256</w:t>
      </w:r>
      <w:r w:rsidR="003D06B8" w:rsidRPr="00F9522B">
        <w:rPr>
          <w:rFonts w:ascii="Times New Roman" w:hAnsi="Times New Roman" w:cs="Times New Roman"/>
          <w:bCs/>
        </w:rPr>
        <w:t>台</w:t>
      </w:r>
    </w:p>
    <w:p w:rsidR="002A5A5E" w:rsidRPr="00F9522B" w:rsidRDefault="00611CBA">
      <w:pPr>
        <w:keepNext/>
        <w:keepLines/>
        <w:spacing w:before="100" w:beforeAutospacing="1" w:after="100" w:afterAutospacing="1"/>
        <w:outlineLvl w:val="2"/>
        <w:rPr>
          <w:rFonts w:eastAsiaTheme="minorEastAsia"/>
          <w:b/>
          <w:sz w:val="28"/>
          <w:szCs w:val="28"/>
        </w:rPr>
      </w:pPr>
      <w:bookmarkStart w:id="75" w:name="_Toc15991641"/>
      <w:r w:rsidRPr="00F9522B">
        <w:rPr>
          <w:rFonts w:eastAsiaTheme="minorEastAsia"/>
          <w:b/>
          <w:sz w:val="28"/>
          <w:szCs w:val="28"/>
        </w:rPr>
        <w:t>3.1.5</w:t>
      </w:r>
      <w:r w:rsidRPr="00F9522B">
        <w:rPr>
          <w:rFonts w:eastAsiaTheme="minorEastAsia"/>
          <w:b/>
          <w:sz w:val="28"/>
          <w:szCs w:val="28"/>
        </w:rPr>
        <w:t>建设规模及建设内容</w:t>
      </w:r>
      <w:bookmarkEnd w:id="75"/>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具体建设内容见表</w:t>
      </w:r>
      <w:r w:rsidRPr="00F9522B">
        <w:rPr>
          <w:rFonts w:ascii="Times New Roman" w:hAnsi="Times New Roman" w:cs="Times New Roman"/>
        </w:rPr>
        <w:t>3-1-7</w:t>
      </w:r>
      <w:r w:rsidRPr="00F9522B">
        <w:rPr>
          <w:rFonts w:ascii="Times New Roman" w:hAnsi="Times New Roman" w:cs="Times New Roman"/>
        </w:rPr>
        <w:t>。</w:t>
      </w:r>
    </w:p>
    <w:p w:rsidR="002A5A5E" w:rsidRPr="00F9522B" w:rsidRDefault="00611CBA">
      <w:pPr>
        <w:contextualSpacing/>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3-1-7</w:t>
      </w:r>
      <w:r w:rsidRPr="00F9522B">
        <w:rPr>
          <w:rFonts w:eastAsiaTheme="minorEastAsia"/>
          <w:b/>
          <w:kern w:val="0"/>
          <w:szCs w:val="21"/>
        </w:rPr>
        <w:t>工程组成一览表</w:t>
      </w:r>
    </w:p>
    <w:tbl>
      <w:tblPr>
        <w:tblW w:w="5000" w:type="pct"/>
        <w:jc w:val="center"/>
        <w:tblBorders>
          <w:top w:val="single" w:sz="12" w:space="0" w:color="auto"/>
          <w:bottom w:val="single" w:sz="12" w:space="0" w:color="auto"/>
          <w:insideH w:val="single" w:sz="4" w:space="0" w:color="auto"/>
          <w:insideV w:val="single" w:sz="4" w:space="0" w:color="auto"/>
        </w:tblBorders>
        <w:tblLook w:val="04A0"/>
      </w:tblPr>
      <w:tblGrid>
        <w:gridCol w:w="673"/>
        <w:gridCol w:w="852"/>
        <w:gridCol w:w="5814"/>
        <w:gridCol w:w="1183"/>
      </w:tblGrid>
      <w:tr w:rsidR="002A5A5E" w:rsidRPr="00F9522B" w:rsidTr="00AB10DD">
        <w:trPr>
          <w:trHeight w:val="44"/>
          <w:jc w:val="center"/>
        </w:trPr>
        <w:tc>
          <w:tcPr>
            <w:tcW w:w="395" w:type="pct"/>
            <w:vAlign w:val="center"/>
          </w:tcPr>
          <w:p w:rsidR="002A5A5E" w:rsidRPr="00F9522B" w:rsidRDefault="00611CBA">
            <w:pPr>
              <w:pStyle w:val="aff7"/>
              <w:spacing w:line="0" w:lineRule="atLeast"/>
              <w:contextualSpacing/>
              <w:rPr>
                <w:rFonts w:eastAsiaTheme="minorEastAsia" w:hAnsi="Times New Roman"/>
              </w:rPr>
            </w:pPr>
            <w:bookmarkStart w:id="76" w:name="_Hlk527725606"/>
            <w:r w:rsidRPr="00F9522B">
              <w:rPr>
                <w:rFonts w:eastAsiaTheme="minorEastAsia" w:hAnsi="Times New Roman"/>
              </w:rPr>
              <w:t>工程类别</w:t>
            </w:r>
          </w:p>
        </w:tc>
        <w:tc>
          <w:tcPr>
            <w:tcW w:w="500" w:type="pct"/>
            <w:vAlign w:val="center"/>
          </w:tcPr>
          <w:p w:rsidR="002A5A5E" w:rsidRPr="00F9522B" w:rsidRDefault="00611CBA">
            <w:pPr>
              <w:pStyle w:val="aff7"/>
              <w:spacing w:line="0" w:lineRule="atLeast"/>
              <w:contextualSpacing/>
              <w:rPr>
                <w:rFonts w:eastAsiaTheme="minorEastAsia" w:hAnsi="Times New Roman"/>
              </w:rPr>
            </w:pPr>
            <w:r w:rsidRPr="00F9522B">
              <w:rPr>
                <w:rFonts w:eastAsiaTheme="minorEastAsia" w:hAnsi="Times New Roman"/>
              </w:rPr>
              <w:t>工程名称</w:t>
            </w:r>
          </w:p>
        </w:tc>
        <w:tc>
          <w:tcPr>
            <w:tcW w:w="3411" w:type="pct"/>
            <w:vAlign w:val="center"/>
          </w:tcPr>
          <w:p w:rsidR="002A5A5E" w:rsidRPr="00F9522B" w:rsidRDefault="00611CBA">
            <w:pPr>
              <w:pStyle w:val="aff7"/>
              <w:spacing w:line="0" w:lineRule="atLeast"/>
              <w:contextualSpacing/>
              <w:rPr>
                <w:rFonts w:eastAsiaTheme="minorEastAsia" w:hAnsi="Times New Roman"/>
              </w:rPr>
            </w:pPr>
            <w:r w:rsidRPr="00F9522B">
              <w:rPr>
                <w:rFonts w:eastAsiaTheme="minorEastAsia" w:hAnsi="Times New Roman"/>
              </w:rPr>
              <w:t>建筑规模</w:t>
            </w:r>
          </w:p>
        </w:tc>
        <w:tc>
          <w:tcPr>
            <w:tcW w:w="694" w:type="pct"/>
            <w:vAlign w:val="center"/>
          </w:tcPr>
          <w:p w:rsidR="002A5A5E" w:rsidRPr="00F9522B" w:rsidRDefault="00611CBA">
            <w:pPr>
              <w:pStyle w:val="aff7"/>
              <w:spacing w:line="0" w:lineRule="atLeast"/>
              <w:contextualSpacing/>
              <w:rPr>
                <w:rFonts w:eastAsiaTheme="minorEastAsia" w:hAnsi="Times New Roman"/>
              </w:rPr>
            </w:pPr>
            <w:r w:rsidRPr="00F9522B">
              <w:rPr>
                <w:rFonts w:eastAsiaTheme="minorEastAsia" w:hAnsi="Times New Roman"/>
              </w:rPr>
              <w:t>备注</w:t>
            </w:r>
          </w:p>
        </w:tc>
      </w:tr>
      <w:tr w:rsidR="00DD5FB6" w:rsidRPr="00F9522B" w:rsidTr="00AB10DD">
        <w:trPr>
          <w:trHeight w:val="528"/>
          <w:jc w:val="center"/>
        </w:trPr>
        <w:tc>
          <w:tcPr>
            <w:tcW w:w="395" w:type="pct"/>
            <w:vMerge w:val="restart"/>
            <w:vAlign w:val="center"/>
          </w:tcPr>
          <w:p w:rsidR="00DD5FB6" w:rsidRPr="00F9522B" w:rsidRDefault="00DD5FB6">
            <w:pPr>
              <w:pStyle w:val="aff7"/>
              <w:spacing w:line="0" w:lineRule="atLeast"/>
              <w:contextualSpacing/>
              <w:rPr>
                <w:rFonts w:eastAsiaTheme="minorEastAsia" w:hAnsi="Times New Roman"/>
              </w:rPr>
            </w:pPr>
            <w:r w:rsidRPr="00F9522B">
              <w:rPr>
                <w:rFonts w:eastAsiaTheme="minorEastAsia" w:hAnsi="Times New Roman"/>
              </w:rPr>
              <w:t>主体工程</w:t>
            </w:r>
          </w:p>
        </w:tc>
        <w:tc>
          <w:tcPr>
            <w:tcW w:w="500" w:type="pct"/>
            <w:vMerge w:val="restart"/>
            <w:vAlign w:val="center"/>
          </w:tcPr>
          <w:p w:rsidR="00DD5FB6" w:rsidRPr="00F9522B" w:rsidRDefault="00DD5FB6">
            <w:pPr>
              <w:jc w:val="center"/>
              <w:rPr>
                <w:rFonts w:eastAsiaTheme="minorEastAsia"/>
                <w:szCs w:val="21"/>
              </w:rPr>
            </w:pPr>
            <w:r w:rsidRPr="00F9522B">
              <w:rPr>
                <w:rFonts w:eastAsiaTheme="minorEastAsia"/>
                <w:szCs w:val="21"/>
              </w:rPr>
              <w:t>灌溉工程</w:t>
            </w:r>
          </w:p>
        </w:tc>
        <w:tc>
          <w:tcPr>
            <w:tcW w:w="3411" w:type="pct"/>
            <w:vAlign w:val="center"/>
          </w:tcPr>
          <w:p w:rsidR="00DD5FB6" w:rsidRPr="00F9522B" w:rsidRDefault="00DD5FB6" w:rsidP="00DD5FB6">
            <w:pPr>
              <w:pStyle w:val="2fc"/>
              <w:jc w:val="left"/>
              <w:rPr>
                <w:rFonts w:eastAsiaTheme="minorEastAsia"/>
                <w:snapToGrid w:val="0"/>
                <w:kern w:val="0"/>
              </w:rPr>
            </w:pPr>
            <w:r w:rsidRPr="00F9522B">
              <w:rPr>
                <w:rFonts w:eastAsiaTheme="minorEastAsia"/>
                <w:snapToGrid w:val="0"/>
                <w:kern w:val="0"/>
              </w:rPr>
              <w:t>本项目</w:t>
            </w:r>
            <w:r w:rsidRPr="00F9522B">
              <w:rPr>
                <w:rFonts w:eastAsiaTheme="minorEastAsia"/>
                <w:bCs/>
                <w:snapToGrid w:val="0"/>
                <w:kern w:val="0"/>
              </w:rPr>
              <w:t>新建机电井</w:t>
            </w:r>
            <w:r w:rsidRPr="00F9522B">
              <w:rPr>
                <w:rFonts w:eastAsiaTheme="minorEastAsia"/>
                <w:bCs/>
                <w:snapToGrid w:val="0"/>
                <w:kern w:val="0"/>
              </w:rPr>
              <w:t>264</w:t>
            </w:r>
            <w:r w:rsidRPr="00F9522B">
              <w:rPr>
                <w:rFonts w:eastAsiaTheme="minorEastAsia"/>
                <w:bCs/>
                <w:snapToGrid w:val="0"/>
                <w:kern w:val="0"/>
              </w:rPr>
              <w:t>眼，其中</w:t>
            </w:r>
            <w:r w:rsidRPr="00F9522B">
              <w:rPr>
                <w:rFonts w:eastAsiaTheme="minorEastAsia"/>
                <w:bCs/>
                <w:snapToGrid w:val="0"/>
                <w:kern w:val="0"/>
              </w:rPr>
              <w:t>70</w:t>
            </w:r>
            <w:r w:rsidRPr="00F9522B">
              <w:rPr>
                <w:rFonts w:eastAsiaTheme="minorEastAsia"/>
                <w:bCs/>
                <w:snapToGrid w:val="0"/>
                <w:kern w:val="0"/>
              </w:rPr>
              <w:t>口滴灌井，</w:t>
            </w:r>
            <w:r w:rsidRPr="00F9522B">
              <w:rPr>
                <w:rFonts w:eastAsiaTheme="minorEastAsia"/>
                <w:bCs/>
                <w:snapToGrid w:val="0"/>
                <w:kern w:val="0"/>
              </w:rPr>
              <w:t>194</w:t>
            </w:r>
            <w:r w:rsidRPr="00F9522B">
              <w:rPr>
                <w:rFonts w:eastAsiaTheme="minorEastAsia"/>
                <w:bCs/>
                <w:snapToGrid w:val="0"/>
                <w:kern w:val="0"/>
              </w:rPr>
              <w:t>口抗旱井（干旱时使用），</w:t>
            </w:r>
            <w:r w:rsidRPr="00F9522B">
              <w:rPr>
                <w:rFonts w:eastAsiaTheme="minorEastAsia"/>
                <w:snapToGrid w:val="0"/>
                <w:kern w:val="0"/>
              </w:rPr>
              <w:t>运营期设计</w:t>
            </w:r>
            <w:r w:rsidRPr="00F9522B">
              <w:rPr>
                <w:rFonts w:eastAsiaTheme="minorEastAsia"/>
                <w:bCs/>
                <w:snapToGrid w:val="0"/>
                <w:kern w:val="0"/>
              </w:rPr>
              <w:t>抗旱井</w:t>
            </w:r>
            <w:r w:rsidRPr="00F9522B">
              <w:rPr>
                <w:rFonts w:eastAsiaTheme="minorEastAsia"/>
                <w:snapToGrid w:val="0"/>
                <w:kern w:val="0"/>
              </w:rPr>
              <w:t>每年</w:t>
            </w:r>
            <w:r w:rsidRPr="00F9522B">
              <w:rPr>
                <w:rFonts w:eastAsiaTheme="minorEastAsia"/>
                <w:snapToGrid w:val="0"/>
                <w:kern w:val="0"/>
              </w:rPr>
              <w:t>5-7</w:t>
            </w:r>
            <w:r w:rsidRPr="00F9522B">
              <w:rPr>
                <w:rFonts w:eastAsiaTheme="minorEastAsia"/>
                <w:snapToGrid w:val="0"/>
                <w:kern w:val="0"/>
              </w:rPr>
              <w:t>月干旱时灌水</w:t>
            </w:r>
            <w:r w:rsidRPr="00F9522B">
              <w:rPr>
                <w:rFonts w:eastAsiaTheme="minorEastAsia"/>
                <w:snapToGrid w:val="0"/>
                <w:kern w:val="0"/>
              </w:rPr>
              <w:t>15d</w:t>
            </w:r>
            <w:r w:rsidRPr="00F9522B">
              <w:rPr>
                <w:rFonts w:eastAsiaTheme="minorEastAsia"/>
                <w:snapToGrid w:val="0"/>
                <w:kern w:val="0"/>
              </w:rPr>
              <w:t>，每天灌溉时间约为</w:t>
            </w:r>
            <w:r w:rsidRPr="00F9522B">
              <w:rPr>
                <w:rFonts w:eastAsiaTheme="minorEastAsia"/>
                <w:snapToGrid w:val="0"/>
                <w:kern w:val="0"/>
              </w:rPr>
              <w:t>8h</w:t>
            </w:r>
            <w:r w:rsidRPr="00F9522B">
              <w:rPr>
                <w:rFonts w:eastAsiaTheme="minorEastAsia"/>
                <w:snapToGrid w:val="0"/>
                <w:kern w:val="0"/>
              </w:rPr>
              <w:t>，总灌水时间约</w:t>
            </w:r>
            <w:r w:rsidRPr="00F9522B">
              <w:rPr>
                <w:rFonts w:eastAsiaTheme="minorEastAsia"/>
                <w:snapToGrid w:val="0"/>
                <w:kern w:val="0"/>
              </w:rPr>
              <w:t>120h</w:t>
            </w:r>
            <w:r w:rsidRPr="00F9522B">
              <w:rPr>
                <w:rFonts w:eastAsiaTheme="minorEastAsia"/>
                <w:snapToGrid w:val="0"/>
                <w:kern w:val="0"/>
              </w:rPr>
              <w:t>，设计单井涌水量为</w:t>
            </w:r>
            <w:r w:rsidRPr="00F9522B">
              <w:rPr>
                <w:rFonts w:eastAsiaTheme="minorEastAsia"/>
                <w:snapToGrid w:val="0"/>
                <w:kern w:val="0"/>
              </w:rPr>
              <w:t>30m</w:t>
            </w:r>
            <w:r w:rsidRPr="00F9522B">
              <w:rPr>
                <w:rFonts w:eastAsiaTheme="minorEastAsia"/>
                <w:snapToGrid w:val="0"/>
                <w:kern w:val="0"/>
                <w:vertAlign w:val="superscript"/>
              </w:rPr>
              <w:t>3</w:t>
            </w:r>
            <w:r w:rsidRPr="00F9522B">
              <w:rPr>
                <w:rFonts w:eastAsiaTheme="minorEastAsia"/>
                <w:snapToGrid w:val="0"/>
                <w:kern w:val="0"/>
              </w:rPr>
              <w:t>/h</w:t>
            </w:r>
            <w:r w:rsidRPr="00F9522B">
              <w:rPr>
                <w:rFonts w:eastAsiaTheme="minorEastAsia"/>
                <w:snapToGrid w:val="0"/>
                <w:kern w:val="0"/>
              </w:rPr>
              <w:t>，</w:t>
            </w:r>
            <w:r w:rsidRPr="00F9522B">
              <w:rPr>
                <w:rFonts w:eastAsiaTheme="minorEastAsia"/>
                <w:bCs/>
                <w:snapToGrid w:val="0"/>
                <w:kern w:val="0"/>
              </w:rPr>
              <w:t>滴灌井生育期灌溉总天数</w:t>
            </w:r>
            <w:r w:rsidRPr="00F9522B">
              <w:rPr>
                <w:rFonts w:eastAsiaTheme="minorEastAsia"/>
                <w:bCs/>
                <w:snapToGrid w:val="0"/>
                <w:kern w:val="0"/>
              </w:rPr>
              <w:t>43d</w:t>
            </w:r>
            <w:r w:rsidRPr="00F9522B">
              <w:rPr>
                <w:rFonts w:eastAsiaTheme="minorEastAsia"/>
                <w:bCs/>
                <w:snapToGrid w:val="0"/>
                <w:kern w:val="0"/>
              </w:rPr>
              <w:t>，</w:t>
            </w:r>
            <w:r w:rsidRPr="00F9522B">
              <w:rPr>
                <w:rFonts w:eastAsiaTheme="minorEastAsia"/>
                <w:snapToGrid w:val="0"/>
                <w:kern w:val="0"/>
              </w:rPr>
              <w:t>每天灌溉时间约为</w:t>
            </w:r>
            <w:r w:rsidRPr="00F9522B">
              <w:rPr>
                <w:rFonts w:eastAsiaTheme="minorEastAsia"/>
                <w:snapToGrid w:val="0"/>
                <w:kern w:val="0"/>
              </w:rPr>
              <w:t>20h</w:t>
            </w:r>
            <w:r w:rsidRPr="00F9522B">
              <w:rPr>
                <w:rFonts w:eastAsiaTheme="minorEastAsia"/>
                <w:snapToGrid w:val="0"/>
                <w:kern w:val="0"/>
              </w:rPr>
              <w:t>，总灌水时间约</w:t>
            </w:r>
            <w:r w:rsidRPr="00F9522B">
              <w:rPr>
                <w:rFonts w:eastAsiaTheme="minorEastAsia"/>
                <w:snapToGrid w:val="0"/>
                <w:kern w:val="0"/>
              </w:rPr>
              <w:t>860h</w:t>
            </w:r>
            <w:r w:rsidRPr="00F9522B">
              <w:rPr>
                <w:rFonts w:eastAsiaTheme="minorEastAsia"/>
                <w:snapToGrid w:val="0"/>
                <w:kern w:val="0"/>
              </w:rPr>
              <w:t>，设计单井涌水量为</w:t>
            </w:r>
            <w:r w:rsidRPr="00F9522B">
              <w:rPr>
                <w:rFonts w:eastAsiaTheme="minorEastAsia"/>
                <w:snapToGrid w:val="0"/>
                <w:kern w:val="0"/>
              </w:rPr>
              <w:t>30m</w:t>
            </w:r>
            <w:r w:rsidRPr="00F9522B">
              <w:rPr>
                <w:rFonts w:eastAsiaTheme="minorEastAsia"/>
                <w:snapToGrid w:val="0"/>
                <w:kern w:val="0"/>
                <w:vertAlign w:val="superscript"/>
              </w:rPr>
              <w:t>3</w:t>
            </w:r>
            <w:r w:rsidRPr="00F9522B">
              <w:rPr>
                <w:rFonts w:eastAsiaTheme="minorEastAsia"/>
                <w:snapToGrid w:val="0"/>
                <w:kern w:val="0"/>
              </w:rPr>
              <w:t>/h</w:t>
            </w:r>
            <w:r w:rsidRPr="00F9522B">
              <w:rPr>
                <w:rFonts w:eastAsiaTheme="minorEastAsia"/>
                <w:snapToGrid w:val="0"/>
                <w:kern w:val="0"/>
              </w:rPr>
              <w:t>。根据项目区的灌溉定额和灌溉水利用系数，项目区取水量为</w:t>
            </w:r>
            <w:r w:rsidRPr="00F9522B">
              <w:rPr>
                <w:rFonts w:eastAsiaTheme="minorEastAsia"/>
                <w:snapToGrid w:val="0"/>
                <w:kern w:val="0"/>
              </w:rPr>
              <w:t>242.74</w:t>
            </w:r>
            <w:r w:rsidRPr="00F9522B">
              <w:rPr>
                <w:rFonts w:eastAsiaTheme="minorEastAsia"/>
                <w:snapToGrid w:val="0"/>
                <w:kern w:val="0"/>
              </w:rPr>
              <w:t>万</w:t>
            </w:r>
            <w:r w:rsidRPr="00F9522B">
              <w:rPr>
                <w:rFonts w:eastAsiaTheme="minorEastAsia"/>
                <w:snapToGrid w:val="0"/>
                <w:kern w:val="0"/>
              </w:rPr>
              <w:t>m³/a</w:t>
            </w:r>
            <w:r w:rsidRPr="00F9522B">
              <w:rPr>
                <w:rFonts w:eastAsiaTheme="minorEastAsia"/>
                <w:snapToGrid w:val="0"/>
                <w:kern w:val="0"/>
              </w:rPr>
              <w:t>（其中</w:t>
            </w:r>
            <w:r w:rsidRPr="00F9522B">
              <w:rPr>
                <w:rFonts w:eastAsiaTheme="minorEastAsia"/>
                <w:bCs/>
                <w:snapToGrid w:val="0"/>
                <w:kern w:val="0"/>
              </w:rPr>
              <w:t>抗旱井</w:t>
            </w:r>
            <w:r w:rsidRPr="00F9522B">
              <w:rPr>
                <w:rFonts w:eastAsiaTheme="minorEastAsia"/>
                <w:bCs/>
                <w:snapToGrid w:val="0"/>
                <w:kern w:val="0"/>
              </w:rPr>
              <w:t>63.44</w:t>
            </w:r>
            <w:r w:rsidRPr="00F9522B">
              <w:rPr>
                <w:rFonts w:eastAsiaTheme="minorEastAsia"/>
                <w:bCs/>
                <w:snapToGrid w:val="0"/>
                <w:kern w:val="0"/>
              </w:rPr>
              <w:t>万</w:t>
            </w:r>
            <w:r w:rsidRPr="00F9522B">
              <w:rPr>
                <w:rFonts w:eastAsiaTheme="minorEastAsia"/>
                <w:snapToGrid w:val="0"/>
                <w:kern w:val="0"/>
              </w:rPr>
              <w:t>m³/a</w:t>
            </w:r>
            <w:r w:rsidRPr="00F9522B">
              <w:rPr>
                <w:rFonts w:eastAsiaTheme="minorEastAsia"/>
                <w:snapToGrid w:val="0"/>
                <w:kern w:val="0"/>
              </w:rPr>
              <w:t>、</w:t>
            </w:r>
            <w:r w:rsidRPr="00F9522B">
              <w:rPr>
                <w:rFonts w:eastAsiaTheme="minorEastAsia"/>
                <w:bCs/>
                <w:snapToGrid w:val="0"/>
                <w:kern w:val="0"/>
              </w:rPr>
              <w:t>滴灌井</w:t>
            </w:r>
            <w:r w:rsidRPr="00F9522B">
              <w:rPr>
                <w:rFonts w:eastAsiaTheme="minorEastAsia"/>
                <w:bCs/>
                <w:snapToGrid w:val="0"/>
                <w:kern w:val="0"/>
              </w:rPr>
              <w:t>179.3</w:t>
            </w:r>
            <w:r w:rsidRPr="00F9522B">
              <w:rPr>
                <w:rFonts w:eastAsiaTheme="minorEastAsia"/>
                <w:bCs/>
                <w:snapToGrid w:val="0"/>
                <w:kern w:val="0"/>
              </w:rPr>
              <w:t>万</w:t>
            </w:r>
            <w:r w:rsidRPr="00F9522B">
              <w:rPr>
                <w:rFonts w:eastAsiaTheme="minorEastAsia"/>
                <w:snapToGrid w:val="0"/>
                <w:kern w:val="0"/>
              </w:rPr>
              <w:t>m³/a</w:t>
            </w:r>
            <w:r w:rsidRPr="00F9522B">
              <w:rPr>
                <w:rFonts w:eastAsiaTheme="minorEastAsia"/>
                <w:snapToGrid w:val="0"/>
                <w:kern w:val="0"/>
              </w:rPr>
              <w:t>），日取水量为</w:t>
            </w:r>
            <w:r w:rsidRPr="00F9522B">
              <w:rPr>
                <w:rFonts w:eastAsiaTheme="minorEastAsia"/>
                <w:snapToGrid w:val="0"/>
                <w:kern w:val="0"/>
              </w:rPr>
              <w:t>83991m</w:t>
            </w:r>
            <w:r w:rsidRPr="00F9522B">
              <w:rPr>
                <w:rFonts w:eastAsiaTheme="minorEastAsia"/>
                <w:snapToGrid w:val="0"/>
                <w:kern w:val="0"/>
                <w:vertAlign w:val="superscript"/>
              </w:rPr>
              <w:t>3</w:t>
            </w:r>
            <w:r w:rsidRPr="00F9522B">
              <w:rPr>
                <w:rFonts w:eastAsiaTheme="minorEastAsia"/>
                <w:snapToGrid w:val="0"/>
                <w:kern w:val="0"/>
              </w:rPr>
              <w:t>（其中</w:t>
            </w:r>
            <w:r w:rsidRPr="00F9522B">
              <w:rPr>
                <w:rFonts w:eastAsiaTheme="minorEastAsia"/>
                <w:bCs/>
                <w:snapToGrid w:val="0"/>
                <w:kern w:val="0"/>
              </w:rPr>
              <w:t>抗旱井</w:t>
            </w:r>
            <w:r w:rsidRPr="00F9522B">
              <w:rPr>
                <w:rFonts w:eastAsiaTheme="minorEastAsia"/>
                <w:bCs/>
                <w:snapToGrid w:val="0"/>
                <w:kern w:val="0"/>
              </w:rPr>
              <w:t>42293</w:t>
            </w:r>
            <w:r w:rsidRPr="00F9522B">
              <w:rPr>
                <w:rFonts w:eastAsiaTheme="minorEastAsia"/>
                <w:snapToGrid w:val="0"/>
                <w:kern w:val="0"/>
              </w:rPr>
              <w:t>m³</w:t>
            </w:r>
            <w:r w:rsidRPr="00F9522B">
              <w:rPr>
                <w:rFonts w:eastAsiaTheme="minorEastAsia"/>
                <w:snapToGrid w:val="0"/>
                <w:kern w:val="0"/>
              </w:rPr>
              <w:t>、</w:t>
            </w:r>
            <w:r w:rsidRPr="00F9522B">
              <w:rPr>
                <w:rFonts w:eastAsiaTheme="minorEastAsia"/>
                <w:bCs/>
                <w:snapToGrid w:val="0"/>
                <w:kern w:val="0"/>
              </w:rPr>
              <w:t>滴灌井</w:t>
            </w:r>
            <w:r w:rsidRPr="00F9522B">
              <w:rPr>
                <w:rFonts w:eastAsiaTheme="minorEastAsia"/>
                <w:bCs/>
                <w:snapToGrid w:val="0"/>
                <w:kern w:val="0"/>
              </w:rPr>
              <w:t>41698</w:t>
            </w:r>
            <w:r w:rsidRPr="00F9522B">
              <w:rPr>
                <w:rFonts w:eastAsiaTheme="minorEastAsia"/>
                <w:snapToGrid w:val="0"/>
                <w:kern w:val="0"/>
              </w:rPr>
              <w:t>m³</w:t>
            </w:r>
            <w:r w:rsidRPr="00F9522B">
              <w:rPr>
                <w:rFonts w:eastAsiaTheme="minorEastAsia"/>
                <w:snapToGrid w:val="0"/>
                <w:kern w:val="0"/>
              </w:rPr>
              <w:t>）。灌溉面积</w:t>
            </w:r>
            <w:r w:rsidRPr="00F9522B">
              <w:rPr>
                <w:rFonts w:eastAsiaTheme="minorEastAsia"/>
                <w:snapToGrid w:val="0"/>
                <w:kern w:val="0"/>
              </w:rPr>
              <w:t>122041.64</w:t>
            </w:r>
            <w:r w:rsidRPr="00F9522B">
              <w:rPr>
                <w:rFonts w:eastAsiaTheme="minorEastAsia"/>
                <w:snapToGrid w:val="0"/>
                <w:kern w:val="0"/>
              </w:rPr>
              <w:t>亩，均为旱田，无水田。</w:t>
            </w:r>
            <w:r w:rsidRPr="00F9522B">
              <w:rPr>
                <w:rFonts w:eastAsiaTheme="minorEastAsia"/>
                <w:bCs/>
                <w:snapToGrid w:val="0"/>
                <w:kern w:val="0"/>
              </w:rPr>
              <w:t>排水沟清淤</w:t>
            </w:r>
            <w:r w:rsidRPr="00F9522B">
              <w:rPr>
                <w:rFonts w:eastAsiaTheme="minorEastAsia"/>
                <w:bCs/>
                <w:snapToGrid w:val="0"/>
                <w:kern w:val="0"/>
              </w:rPr>
              <w:t>14.073km</w:t>
            </w:r>
            <w:r w:rsidRPr="00F9522B">
              <w:rPr>
                <w:rFonts w:eastAsiaTheme="minorEastAsia"/>
                <w:bCs/>
                <w:snapToGrid w:val="0"/>
                <w:kern w:val="0"/>
              </w:rPr>
              <w:t>，排水沟护砌</w:t>
            </w:r>
            <w:r w:rsidRPr="00F9522B">
              <w:rPr>
                <w:rFonts w:eastAsiaTheme="minorEastAsia"/>
                <w:bCs/>
                <w:snapToGrid w:val="0"/>
                <w:kern w:val="0"/>
              </w:rPr>
              <w:t>78.697km</w:t>
            </w:r>
          </w:p>
        </w:tc>
        <w:tc>
          <w:tcPr>
            <w:tcW w:w="694" w:type="pct"/>
            <w:vMerge w:val="restart"/>
            <w:vAlign w:val="center"/>
          </w:tcPr>
          <w:p w:rsidR="00DD5FB6" w:rsidRPr="00F9522B" w:rsidRDefault="00DD5FB6">
            <w:pPr>
              <w:pStyle w:val="aff7"/>
              <w:spacing w:line="0" w:lineRule="atLeast"/>
              <w:contextualSpacing/>
              <w:rPr>
                <w:rFonts w:eastAsiaTheme="minorEastAsia" w:hAnsi="Times New Roman"/>
              </w:rPr>
            </w:pPr>
            <w:r w:rsidRPr="00F9522B">
              <w:rPr>
                <w:rFonts w:eastAsiaTheme="minorEastAsia" w:hAnsi="Times New Roman"/>
              </w:rPr>
              <w:t>修缮现有渠道；其余均为新建</w:t>
            </w:r>
          </w:p>
        </w:tc>
      </w:tr>
      <w:tr w:rsidR="00DD5FB6" w:rsidRPr="00F9522B" w:rsidTr="00AB10DD">
        <w:trPr>
          <w:trHeight w:val="528"/>
          <w:jc w:val="center"/>
        </w:trPr>
        <w:tc>
          <w:tcPr>
            <w:tcW w:w="395" w:type="pct"/>
            <w:vMerge/>
            <w:vAlign w:val="center"/>
          </w:tcPr>
          <w:p w:rsidR="00DD5FB6" w:rsidRPr="00F9522B" w:rsidRDefault="00DD5FB6">
            <w:pPr>
              <w:pStyle w:val="aff7"/>
              <w:spacing w:line="0" w:lineRule="atLeast"/>
              <w:contextualSpacing/>
              <w:rPr>
                <w:rFonts w:eastAsiaTheme="minorEastAsia" w:hAnsi="Times New Roman"/>
              </w:rPr>
            </w:pPr>
          </w:p>
        </w:tc>
        <w:tc>
          <w:tcPr>
            <w:tcW w:w="500" w:type="pct"/>
            <w:vMerge/>
            <w:vAlign w:val="center"/>
          </w:tcPr>
          <w:p w:rsidR="00DD5FB6" w:rsidRPr="00F9522B" w:rsidRDefault="00DD5FB6">
            <w:pPr>
              <w:jc w:val="center"/>
              <w:rPr>
                <w:rFonts w:eastAsiaTheme="minorEastAsia"/>
                <w:szCs w:val="21"/>
              </w:rPr>
            </w:pPr>
          </w:p>
        </w:tc>
        <w:tc>
          <w:tcPr>
            <w:tcW w:w="3411" w:type="pct"/>
            <w:vAlign w:val="center"/>
          </w:tcPr>
          <w:p w:rsidR="00DD5FB6" w:rsidRPr="00DD5FB6" w:rsidRDefault="00DD5FB6" w:rsidP="00DD5FB6">
            <w:pPr>
              <w:pStyle w:val="2fc"/>
              <w:jc w:val="left"/>
              <w:rPr>
                <w:rFonts w:eastAsiaTheme="minorEastAsia"/>
                <w:bCs/>
                <w:snapToGrid w:val="0"/>
                <w:color w:val="FF0000"/>
                <w:kern w:val="0"/>
              </w:rPr>
            </w:pPr>
            <w:r w:rsidRPr="00DD5FB6">
              <w:rPr>
                <w:rFonts w:eastAsiaTheme="minorEastAsia"/>
                <w:bCs/>
                <w:snapToGrid w:val="0"/>
                <w:color w:val="FF0000"/>
                <w:kern w:val="0"/>
              </w:rPr>
              <w:t>水肥一体灌溉面积</w:t>
            </w:r>
            <w:r w:rsidRPr="00DD5FB6">
              <w:rPr>
                <w:rFonts w:eastAsiaTheme="minorEastAsia"/>
                <w:bCs/>
                <w:snapToGrid w:val="0"/>
                <w:color w:val="FF0000"/>
                <w:kern w:val="0"/>
              </w:rPr>
              <w:t>1.63</w:t>
            </w:r>
            <w:r w:rsidRPr="00DD5FB6">
              <w:rPr>
                <w:rFonts w:eastAsiaTheme="minorEastAsia"/>
                <w:bCs/>
                <w:snapToGrid w:val="0"/>
                <w:color w:val="FF0000"/>
                <w:kern w:val="0"/>
              </w:rPr>
              <w:t>万亩。水源为</w:t>
            </w:r>
            <w:r w:rsidRPr="00DD5FB6">
              <w:rPr>
                <w:rFonts w:eastAsiaTheme="minorEastAsia"/>
                <w:bCs/>
                <w:snapToGrid w:val="0"/>
                <w:color w:val="FF0000"/>
                <w:kern w:val="0"/>
              </w:rPr>
              <w:t>70</w:t>
            </w:r>
            <w:r w:rsidRPr="00DD5FB6">
              <w:rPr>
                <w:rFonts w:eastAsiaTheme="minorEastAsia"/>
                <w:bCs/>
                <w:snapToGrid w:val="0"/>
                <w:color w:val="FF0000"/>
                <w:kern w:val="0"/>
              </w:rPr>
              <w:t>口滴灌井。滴灌带铺设在垄上两行玉米正中间。采用滴灌带滴头流量为</w:t>
            </w:r>
            <w:r w:rsidRPr="00DD5FB6">
              <w:rPr>
                <w:rFonts w:eastAsiaTheme="minorEastAsia"/>
                <w:bCs/>
                <w:snapToGrid w:val="0"/>
                <w:color w:val="FF0000"/>
                <w:kern w:val="0"/>
              </w:rPr>
              <w:t>0.8L/h</w:t>
            </w:r>
            <w:r w:rsidRPr="00DD5FB6">
              <w:rPr>
                <w:rFonts w:eastAsiaTheme="minorEastAsia"/>
                <w:bCs/>
                <w:snapToGrid w:val="0"/>
                <w:color w:val="FF0000"/>
                <w:kern w:val="0"/>
              </w:rPr>
              <w:t>，滴头间距为</w:t>
            </w:r>
            <w:r w:rsidRPr="00DD5FB6">
              <w:rPr>
                <w:rFonts w:eastAsiaTheme="minorEastAsia"/>
                <w:bCs/>
                <w:snapToGrid w:val="0"/>
                <w:color w:val="FF0000"/>
                <w:kern w:val="0"/>
              </w:rPr>
              <w:t>30cm</w:t>
            </w:r>
            <w:r w:rsidRPr="00DD5FB6">
              <w:rPr>
                <w:rFonts w:eastAsiaTheme="minorEastAsia"/>
                <w:bCs/>
                <w:snapToGrid w:val="0"/>
                <w:color w:val="FF0000"/>
                <w:kern w:val="0"/>
              </w:rPr>
              <w:t>。建设水肥一体化系统</w:t>
            </w:r>
            <w:r w:rsidRPr="00DD5FB6">
              <w:rPr>
                <w:rFonts w:eastAsiaTheme="minorEastAsia"/>
                <w:bCs/>
                <w:snapToGrid w:val="0"/>
                <w:color w:val="FF0000"/>
                <w:kern w:val="0"/>
              </w:rPr>
              <w:t>70</w:t>
            </w:r>
            <w:r w:rsidRPr="00DD5FB6">
              <w:rPr>
                <w:rFonts w:eastAsiaTheme="minorEastAsia"/>
                <w:bCs/>
                <w:snapToGrid w:val="0"/>
                <w:color w:val="FF0000"/>
                <w:kern w:val="0"/>
              </w:rPr>
              <w:t>套。系统首部应用潜水泵加压，经过灌溉集成首部输送到田间作物根系。系统首部安装有压力表、排气阀等仪器和设备。施肥系统通过施肥机进行加压，每个系统配备</w:t>
            </w:r>
            <w:r w:rsidRPr="00DD5FB6">
              <w:rPr>
                <w:rFonts w:eastAsiaTheme="minorEastAsia"/>
                <w:bCs/>
                <w:snapToGrid w:val="0"/>
                <w:color w:val="FF0000"/>
                <w:kern w:val="0"/>
              </w:rPr>
              <w:t>1</w:t>
            </w:r>
            <w:r w:rsidRPr="00DD5FB6">
              <w:rPr>
                <w:rFonts w:eastAsiaTheme="minorEastAsia"/>
                <w:bCs/>
                <w:snapToGrid w:val="0"/>
                <w:color w:val="FF0000"/>
                <w:kern w:val="0"/>
              </w:rPr>
              <w:t>个</w:t>
            </w:r>
            <w:r w:rsidRPr="00DD5FB6">
              <w:rPr>
                <w:rFonts w:eastAsiaTheme="minorEastAsia"/>
                <w:bCs/>
                <w:snapToGrid w:val="0"/>
                <w:color w:val="FF0000"/>
                <w:kern w:val="0"/>
              </w:rPr>
              <w:t>1</w:t>
            </w:r>
            <w:r w:rsidRPr="00DD5FB6">
              <w:rPr>
                <w:rFonts w:eastAsiaTheme="minorEastAsia"/>
                <w:bCs/>
                <w:snapToGrid w:val="0"/>
                <w:color w:val="FF0000"/>
                <w:kern w:val="0"/>
              </w:rPr>
              <w:t>方肥料桶。各地块肥料通过定量的方式进行控制，以此实现施肥系统的管理。肥料采用商品有机肥，符合《有机肥标准》（</w:t>
            </w:r>
            <w:r w:rsidRPr="00DD5FB6">
              <w:rPr>
                <w:rFonts w:eastAsiaTheme="minorEastAsia"/>
                <w:bCs/>
                <w:snapToGrid w:val="0"/>
                <w:color w:val="FF0000"/>
                <w:kern w:val="0"/>
              </w:rPr>
              <w:t>NY525-2021</w:t>
            </w:r>
            <w:r w:rsidRPr="00DD5FB6">
              <w:rPr>
                <w:rFonts w:eastAsiaTheme="minorEastAsia"/>
                <w:bCs/>
                <w:snapToGrid w:val="0"/>
                <w:color w:val="FF0000"/>
                <w:kern w:val="0"/>
              </w:rPr>
              <w:t>）标准，不产生异味</w:t>
            </w:r>
          </w:p>
        </w:tc>
        <w:tc>
          <w:tcPr>
            <w:tcW w:w="694" w:type="pct"/>
            <w:vMerge/>
            <w:vAlign w:val="center"/>
          </w:tcPr>
          <w:p w:rsidR="00DD5FB6" w:rsidRPr="00F9522B" w:rsidRDefault="00DD5FB6">
            <w:pPr>
              <w:pStyle w:val="aff7"/>
              <w:spacing w:line="0" w:lineRule="atLeast"/>
              <w:contextualSpacing/>
              <w:rPr>
                <w:rFonts w:eastAsiaTheme="minorEastAsia" w:hAnsi="Times New Roman"/>
              </w:rPr>
            </w:pPr>
          </w:p>
        </w:tc>
      </w:tr>
      <w:tr w:rsidR="002A5A5E" w:rsidRPr="00F9522B" w:rsidTr="00AB10DD">
        <w:trPr>
          <w:trHeight w:val="528"/>
          <w:jc w:val="center"/>
        </w:trPr>
        <w:tc>
          <w:tcPr>
            <w:tcW w:w="395" w:type="pct"/>
            <w:vMerge/>
            <w:vAlign w:val="center"/>
          </w:tcPr>
          <w:p w:rsidR="002A5A5E" w:rsidRPr="00F9522B" w:rsidRDefault="002A5A5E">
            <w:pPr>
              <w:pStyle w:val="aff7"/>
              <w:spacing w:line="0" w:lineRule="atLeast"/>
              <w:contextualSpacing/>
              <w:rPr>
                <w:rFonts w:eastAsiaTheme="minorEastAsia" w:hAnsi="Times New Roman"/>
              </w:rPr>
            </w:pPr>
          </w:p>
        </w:tc>
        <w:tc>
          <w:tcPr>
            <w:tcW w:w="500" w:type="pct"/>
            <w:vAlign w:val="center"/>
          </w:tcPr>
          <w:p w:rsidR="002A5A5E" w:rsidRPr="00F9522B" w:rsidRDefault="00611CBA">
            <w:pPr>
              <w:jc w:val="center"/>
              <w:rPr>
                <w:rFonts w:eastAsiaTheme="minorEastAsia"/>
                <w:szCs w:val="21"/>
              </w:rPr>
            </w:pPr>
            <w:r w:rsidRPr="00F9522B">
              <w:rPr>
                <w:rFonts w:eastAsiaTheme="minorEastAsia"/>
                <w:szCs w:val="21"/>
              </w:rPr>
              <w:t>建筑物工程</w:t>
            </w:r>
          </w:p>
        </w:tc>
        <w:tc>
          <w:tcPr>
            <w:tcW w:w="3411" w:type="pct"/>
            <w:vAlign w:val="center"/>
          </w:tcPr>
          <w:p w:rsidR="002A5A5E" w:rsidRPr="00F9522B" w:rsidRDefault="00DF6D38" w:rsidP="000037AB">
            <w:pPr>
              <w:pStyle w:val="2fc"/>
              <w:jc w:val="left"/>
              <w:rPr>
                <w:rFonts w:eastAsiaTheme="minorEastAsia"/>
                <w:snapToGrid w:val="0"/>
                <w:kern w:val="0"/>
              </w:rPr>
            </w:pPr>
            <w:r w:rsidRPr="00F9522B">
              <w:rPr>
                <w:rFonts w:eastAsiaTheme="minorEastAsia"/>
                <w:bCs/>
                <w:snapToGrid w:val="0"/>
                <w:kern w:val="0"/>
              </w:rPr>
              <w:t>新建建筑物</w:t>
            </w:r>
            <w:r w:rsidRPr="00F9522B">
              <w:rPr>
                <w:rFonts w:eastAsiaTheme="minorEastAsia"/>
                <w:bCs/>
                <w:snapToGrid w:val="0"/>
                <w:kern w:val="0"/>
              </w:rPr>
              <w:t>1450</w:t>
            </w:r>
            <w:r w:rsidRPr="00F9522B">
              <w:rPr>
                <w:rFonts w:eastAsiaTheme="minorEastAsia"/>
                <w:bCs/>
                <w:snapToGrid w:val="0"/>
                <w:kern w:val="0"/>
              </w:rPr>
              <w:t>座，其中：涵洞</w:t>
            </w:r>
            <w:r w:rsidRPr="00F9522B">
              <w:rPr>
                <w:rFonts w:eastAsiaTheme="minorEastAsia"/>
                <w:bCs/>
                <w:snapToGrid w:val="0"/>
                <w:kern w:val="0"/>
              </w:rPr>
              <w:t>707</w:t>
            </w:r>
            <w:r w:rsidRPr="00F9522B">
              <w:rPr>
                <w:rFonts w:eastAsiaTheme="minorEastAsia"/>
                <w:bCs/>
                <w:snapToGrid w:val="0"/>
                <w:kern w:val="0"/>
              </w:rPr>
              <w:t>座</w:t>
            </w:r>
            <w:r w:rsidRPr="00F9522B">
              <w:rPr>
                <w:rFonts w:eastAsiaTheme="minorEastAsia"/>
                <w:snapToGrid w:val="0"/>
                <w:kern w:val="0"/>
              </w:rPr>
              <w:t>（其中</w:t>
            </w:r>
            <w:r w:rsidR="000037AB" w:rsidRPr="00F9522B">
              <w:rPr>
                <w:rFonts w:eastAsiaTheme="minorEastAsia"/>
                <w:snapToGrid w:val="0"/>
                <w:kern w:val="0"/>
              </w:rPr>
              <w:t>10</w:t>
            </w:r>
            <w:r w:rsidRPr="00F9522B">
              <w:rPr>
                <w:rFonts w:eastAsiaTheme="minorEastAsia"/>
                <w:snapToGrid w:val="0"/>
                <w:kern w:val="0"/>
              </w:rPr>
              <w:t>座现有涵洞拆除重建）</w:t>
            </w:r>
            <w:r w:rsidRPr="00F9522B">
              <w:rPr>
                <w:rFonts w:eastAsiaTheme="minorEastAsia"/>
                <w:bCs/>
                <w:snapToGrid w:val="0"/>
                <w:kern w:val="0"/>
              </w:rPr>
              <w:t>，过水路面</w:t>
            </w:r>
            <w:r w:rsidRPr="00F9522B">
              <w:rPr>
                <w:rFonts w:eastAsiaTheme="minorEastAsia"/>
                <w:bCs/>
                <w:snapToGrid w:val="0"/>
                <w:kern w:val="0"/>
              </w:rPr>
              <w:t>742</w:t>
            </w:r>
            <w:r w:rsidRPr="00F9522B">
              <w:rPr>
                <w:rFonts w:eastAsiaTheme="minorEastAsia"/>
                <w:bCs/>
                <w:snapToGrid w:val="0"/>
                <w:kern w:val="0"/>
              </w:rPr>
              <w:t>座，渡槽</w:t>
            </w:r>
            <w:r w:rsidRPr="00F9522B">
              <w:rPr>
                <w:rFonts w:eastAsiaTheme="minorEastAsia"/>
                <w:bCs/>
                <w:snapToGrid w:val="0"/>
                <w:kern w:val="0"/>
              </w:rPr>
              <w:t>1</w:t>
            </w:r>
            <w:r w:rsidRPr="00F9522B">
              <w:rPr>
                <w:rFonts w:eastAsiaTheme="minorEastAsia"/>
                <w:bCs/>
                <w:snapToGrid w:val="0"/>
                <w:kern w:val="0"/>
              </w:rPr>
              <w:t>座</w:t>
            </w:r>
          </w:p>
        </w:tc>
        <w:tc>
          <w:tcPr>
            <w:tcW w:w="694" w:type="pct"/>
            <w:vAlign w:val="center"/>
          </w:tcPr>
          <w:p w:rsidR="002A5A5E" w:rsidRPr="00F9522B" w:rsidRDefault="00730492" w:rsidP="00730492">
            <w:pPr>
              <w:pStyle w:val="aff7"/>
              <w:spacing w:line="0" w:lineRule="atLeast"/>
              <w:contextualSpacing/>
              <w:rPr>
                <w:rFonts w:eastAsiaTheme="minorEastAsia" w:hAnsi="Times New Roman"/>
                <w:snapToGrid w:val="0"/>
                <w:kern w:val="0"/>
              </w:rPr>
            </w:pPr>
            <w:r>
              <w:rPr>
                <w:rFonts w:eastAsiaTheme="minorEastAsia" w:hAnsi="Times New Roman" w:hint="eastAsia"/>
                <w:snapToGrid w:val="0"/>
                <w:kern w:val="0"/>
              </w:rPr>
              <w:t>部分</w:t>
            </w:r>
            <w:r w:rsidR="00611CBA" w:rsidRPr="00F9522B">
              <w:rPr>
                <w:rFonts w:eastAsiaTheme="minorEastAsia" w:hAnsi="Times New Roman"/>
                <w:snapToGrid w:val="0"/>
                <w:kern w:val="0"/>
              </w:rPr>
              <w:t>拆除重建；</w:t>
            </w:r>
            <w:r w:rsidR="00611CBA" w:rsidRPr="00F9522B">
              <w:rPr>
                <w:rFonts w:eastAsiaTheme="minorEastAsia" w:hAnsi="Times New Roman"/>
              </w:rPr>
              <w:t>其余</w:t>
            </w:r>
            <w:r w:rsidR="00611CBA" w:rsidRPr="00F9522B">
              <w:rPr>
                <w:rFonts w:eastAsiaTheme="minorEastAsia" w:hAnsi="Times New Roman"/>
                <w:snapToGrid w:val="0"/>
                <w:kern w:val="0"/>
              </w:rPr>
              <w:t>新建</w:t>
            </w:r>
          </w:p>
        </w:tc>
      </w:tr>
      <w:tr w:rsidR="002A5A5E" w:rsidRPr="00F9522B" w:rsidTr="00AB10DD">
        <w:trPr>
          <w:trHeight w:val="528"/>
          <w:jc w:val="center"/>
        </w:trPr>
        <w:tc>
          <w:tcPr>
            <w:tcW w:w="395" w:type="pct"/>
            <w:vMerge/>
            <w:vAlign w:val="center"/>
          </w:tcPr>
          <w:p w:rsidR="002A5A5E" w:rsidRPr="00F9522B" w:rsidRDefault="002A5A5E">
            <w:pPr>
              <w:pStyle w:val="aff7"/>
              <w:spacing w:line="0" w:lineRule="atLeast"/>
              <w:contextualSpacing/>
              <w:rPr>
                <w:rFonts w:eastAsiaTheme="minorEastAsia" w:hAnsi="Times New Roman"/>
              </w:rPr>
            </w:pPr>
          </w:p>
        </w:tc>
        <w:tc>
          <w:tcPr>
            <w:tcW w:w="500" w:type="pct"/>
            <w:vAlign w:val="center"/>
          </w:tcPr>
          <w:p w:rsidR="002A5A5E" w:rsidRPr="00F9522B" w:rsidRDefault="00611CBA">
            <w:pPr>
              <w:jc w:val="center"/>
              <w:rPr>
                <w:rFonts w:eastAsiaTheme="minorEastAsia"/>
                <w:szCs w:val="21"/>
              </w:rPr>
            </w:pPr>
            <w:r w:rsidRPr="00F9522B">
              <w:rPr>
                <w:rFonts w:eastAsiaTheme="minorEastAsia"/>
                <w:szCs w:val="21"/>
              </w:rPr>
              <w:t>排水工程</w:t>
            </w:r>
          </w:p>
        </w:tc>
        <w:tc>
          <w:tcPr>
            <w:tcW w:w="3411" w:type="pct"/>
            <w:vAlign w:val="center"/>
          </w:tcPr>
          <w:p w:rsidR="002A5A5E" w:rsidRPr="00F9522B" w:rsidRDefault="00611CBA" w:rsidP="00730492">
            <w:pPr>
              <w:pStyle w:val="2fc"/>
              <w:jc w:val="left"/>
              <w:rPr>
                <w:rFonts w:eastAsiaTheme="minorEastAsia"/>
                <w:snapToGrid w:val="0"/>
                <w:kern w:val="0"/>
              </w:rPr>
            </w:pPr>
            <w:r w:rsidRPr="00F9522B">
              <w:rPr>
                <w:rFonts w:eastAsiaTheme="minorEastAsia"/>
                <w:snapToGrid w:val="0"/>
                <w:kern w:val="0"/>
              </w:rPr>
              <w:t>排水沟（农沟）清淤长度</w:t>
            </w:r>
            <w:r w:rsidR="00DF6D38" w:rsidRPr="00F9522B">
              <w:rPr>
                <w:rFonts w:eastAsiaTheme="minorEastAsia"/>
                <w:snapToGrid w:val="0"/>
                <w:kern w:val="0"/>
              </w:rPr>
              <w:t>14.073</w:t>
            </w:r>
            <w:r w:rsidRPr="00F9522B">
              <w:rPr>
                <w:rFonts w:eastAsiaTheme="minorEastAsia"/>
                <w:snapToGrid w:val="0"/>
                <w:kern w:val="0"/>
              </w:rPr>
              <w:t>km</w:t>
            </w:r>
            <w:r w:rsidRPr="00F9522B">
              <w:rPr>
                <w:rFonts w:eastAsiaTheme="minorEastAsia"/>
                <w:snapToGrid w:val="0"/>
                <w:kern w:val="0"/>
              </w:rPr>
              <w:t>；</w:t>
            </w:r>
            <w:r w:rsidR="00730492" w:rsidRPr="00730492">
              <w:rPr>
                <w:rFonts w:eastAsiaTheme="minorEastAsia"/>
                <w:snapToGrid w:val="0"/>
                <w:color w:val="FF0000"/>
                <w:kern w:val="0"/>
              </w:rPr>
              <w:t>清淤采用挖掘机和人工结合的方式进行，清淤深度约为</w:t>
            </w:r>
            <w:r w:rsidR="00730492" w:rsidRPr="00730492">
              <w:rPr>
                <w:rFonts w:eastAsiaTheme="minorEastAsia"/>
                <w:snapToGrid w:val="0"/>
                <w:color w:val="FF0000"/>
                <w:kern w:val="0"/>
              </w:rPr>
              <w:t>18cm</w:t>
            </w:r>
            <w:r w:rsidR="00730492" w:rsidRPr="00730492">
              <w:rPr>
                <w:rFonts w:eastAsiaTheme="minorEastAsia"/>
                <w:snapToGrid w:val="0"/>
                <w:color w:val="FF0000"/>
                <w:kern w:val="0"/>
              </w:rPr>
              <w:t>，宽度约为</w:t>
            </w:r>
            <w:r w:rsidR="00730492" w:rsidRPr="00730492">
              <w:rPr>
                <w:rFonts w:eastAsiaTheme="minorEastAsia"/>
                <w:snapToGrid w:val="0"/>
                <w:color w:val="FF0000"/>
                <w:kern w:val="0"/>
              </w:rPr>
              <w:t>1m</w:t>
            </w:r>
            <w:r w:rsidRPr="00730492">
              <w:rPr>
                <w:rFonts w:eastAsiaTheme="minorEastAsia"/>
                <w:snapToGrid w:val="0"/>
                <w:color w:val="FF0000"/>
                <w:kern w:val="0"/>
              </w:rPr>
              <w:t>，</w:t>
            </w:r>
            <w:r w:rsidRPr="00F9522B">
              <w:rPr>
                <w:rFonts w:eastAsiaTheme="minorEastAsia"/>
                <w:snapToGrid w:val="0"/>
                <w:kern w:val="0"/>
              </w:rPr>
              <w:t>总清淤量</w:t>
            </w:r>
            <w:r w:rsidR="000037AB" w:rsidRPr="00F9522B">
              <w:rPr>
                <w:rFonts w:eastAsiaTheme="minorEastAsia"/>
                <w:snapToGrid w:val="0"/>
                <w:kern w:val="0"/>
              </w:rPr>
              <w:t>255</w:t>
            </w:r>
            <w:r w:rsidRPr="00F9522B">
              <w:rPr>
                <w:rFonts w:eastAsiaTheme="minorEastAsia"/>
                <w:snapToGrid w:val="0"/>
                <w:kern w:val="0"/>
              </w:rPr>
              <w:t>0m</w:t>
            </w:r>
            <w:r w:rsidRPr="00F9522B">
              <w:rPr>
                <w:rFonts w:eastAsiaTheme="minorEastAsia"/>
                <w:snapToGrid w:val="0"/>
                <w:kern w:val="0"/>
                <w:vertAlign w:val="superscript"/>
              </w:rPr>
              <w:t>3</w:t>
            </w:r>
            <w:r w:rsidRPr="00F9522B">
              <w:rPr>
                <w:rFonts w:eastAsiaTheme="minorEastAsia"/>
                <w:snapToGrid w:val="0"/>
                <w:kern w:val="0"/>
              </w:rPr>
              <w:t>，</w:t>
            </w:r>
            <w:r w:rsidR="00730492" w:rsidRPr="00730492">
              <w:rPr>
                <w:rFonts w:eastAsiaTheme="minorEastAsia" w:hint="eastAsia"/>
                <w:bCs/>
                <w:color w:val="FF0000"/>
              </w:rPr>
              <w:t>排水沟淤泥培至工程附近</w:t>
            </w:r>
            <w:r w:rsidR="00730492" w:rsidRPr="00730492">
              <w:rPr>
                <w:rFonts w:eastAsiaTheme="minorEastAsia" w:hint="eastAsia"/>
                <w:bCs/>
                <w:color w:val="FF0000"/>
              </w:rPr>
              <w:t>200</w:t>
            </w:r>
            <w:r w:rsidR="00730492" w:rsidRPr="00730492">
              <w:rPr>
                <w:rFonts w:eastAsiaTheme="minorEastAsia" w:hint="eastAsia"/>
                <w:bCs/>
                <w:color w:val="FF0000"/>
              </w:rPr>
              <w:t>米范围内无环境保护目标的排水沟两侧</w:t>
            </w:r>
            <w:r w:rsidRPr="00F9522B">
              <w:rPr>
                <w:rFonts w:eastAsiaTheme="minorEastAsia"/>
                <w:snapToGrid w:val="0"/>
                <w:kern w:val="0"/>
              </w:rPr>
              <w:t>；排水沟格宾石笼护砌</w:t>
            </w:r>
            <w:r w:rsidR="00DF6D38" w:rsidRPr="00F9522B">
              <w:rPr>
                <w:bCs/>
              </w:rPr>
              <w:t>78.697</w:t>
            </w:r>
            <w:r w:rsidRPr="00F9522B">
              <w:rPr>
                <w:rFonts w:eastAsiaTheme="minorEastAsia"/>
                <w:snapToGrid w:val="0"/>
                <w:kern w:val="0"/>
              </w:rPr>
              <w:t>km</w:t>
            </w:r>
            <w:r w:rsidRPr="00F9522B">
              <w:rPr>
                <w:rFonts w:eastAsiaTheme="minorEastAsia"/>
                <w:snapToGrid w:val="0"/>
                <w:kern w:val="0"/>
              </w:rPr>
              <w:t>；设置移动泵车</w:t>
            </w:r>
            <w:r w:rsidR="005E3027" w:rsidRPr="00F9522B">
              <w:rPr>
                <w:rFonts w:eastAsiaTheme="minorEastAsia"/>
                <w:snapToGrid w:val="0"/>
                <w:kern w:val="0"/>
              </w:rPr>
              <w:t>78</w:t>
            </w:r>
            <w:r w:rsidR="005E3027" w:rsidRPr="00F9522B">
              <w:rPr>
                <w:rFonts w:eastAsiaTheme="minorEastAsia"/>
                <w:snapToGrid w:val="0"/>
                <w:kern w:val="0"/>
              </w:rPr>
              <w:t>台</w:t>
            </w:r>
            <w:r w:rsidRPr="00F9522B">
              <w:rPr>
                <w:rFonts w:eastAsiaTheme="minorEastAsia"/>
                <w:snapToGrid w:val="0"/>
                <w:kern w:val="0"/>
              </w:rPr>
              <w:t>，流量为</w:t>
            </w:r>
            <w:r w:rsidR="00DF6D38" w:rsidRPr="00F9522B">
              <w:rPr>
                <w:rFonts w:eastAsiaTheme="minorEastAsia"/>
                <w:snapToGrid w:val="0"/>
                <w:kern w:val="0"/>
              </w:rPr>
              <w:t>6</w:t>
            </w:r>
            <w:r w:rsidRPr="00F9522B">
              <w:rPr>
                <w:rFonts w:eastAsiaTheme="minorEastAsia"/>
                <w:snapToGrid w:val="0"/>
                <w:kern w:val="0"/>
              </w:rPr>
              <w:t>00m³/h</w:t>
            </w:r>
          </w:p>
        </w:tc>
        <w:tc>
          <w:tcPr>
            <w:tcW w:w="694" w:type="pct"/>
            <w:vAlign w:val="center"/>
          </w:tcPr>
          <w:p w:rsidR="002A5A5E" w:rsidRPr="00F9522B" w:rsidRDefault="00611CBA">
            <w:pPr>
              <w:pStyle w:val="aff7"/>
              <w:spacing w:line="0" w:lineRule="atLeast"/>
              <w:contextualSpacing/>
              <w:rPr>
                <w:rFonts w:eastAsiaTheme="minorEastAsia" w:hAnsi="Times New Roman"/>
              </w:rPr>
            </w:pPr>
            <w:r w:rsidRPr="00F9522B">
              <w:rPr>
                <w:rFonts w:eastAsiaTheme="minorEastAsia" w:hAnsi="Times New Roman"/>
              </w:rPr>
              <w:t>对现有</w:t>
            </w:r>
            <w:r w:rsidRPr="00F9522B">
              <w:rPr>
                <w:rFonts w:eastAsiaTheme="minorEastAsia" w:hAnsi="Times New Roman"/>
                <w:snapToGrid w:val="0"/>
                <w:kern w:val="0"/>
              </w:rPr>
              <w:t>排水沟清淤、护砌</w:t>
            </w:r>
          </w:p>
        </w:tc>
      </w:tr>
    </w:tbl>
    <w:p w:rsidR="00DD5FB6" w:rsidRPr="00F9522B" w:rsidRDefault="00DD5FB6" w:rsidP="00DD5FB6">
      <w:pPr>
        <w:contextualSpacing/>
        <w:jc w:val="center"/>
        <w:rPr>
          <w:rFonts w:eastAsiaTheme="minorEastAsia"/>
          <w:b/>
          <w:kern w:val="0"/>
          <w:szCs w:val="21"/>
        </w:rPr>
      </w:pPr>
      <w:r w:rsidRPr="00F9522B">
        <w:rPr>
          <w:rFonts w:eastAsiaTheme="minorEastAsia"/>
          <w:b/>
          <w:kern w:val="0"/>
          <w:szCs w:val="21"/>
        </w:rPr>
        <w:lastRenderedPageBreak/>
        <w:t>续表</w:t>
      </w:r>
      <w:r w:rsidRPr="00F9522B">
        <w:rPr>
          <w:rFonts w:eastAsiaTheme="minorEastAsia"/>
          <w:b/>
          <w:kern w:val="0"/>
          <w:szCs w:val="21"/>
        </w:rPr>
        <w:t>3-1-7</w:t>
      </w:r>
      <w:r w:rsidRPr="00F9522B">
        <w:rPr>
          <w:rFonts w:eastAsiaTheme="minorEastAsia"/>
          <w:b/>
          <w:kern w:val="0"/>
          <w:szCs w:val="21"/>
        </w:rPr>
        <w:t>工程组成一览表</w:t>
      </w:r>
    </w:p>
    <w:tbl>
      <w:tblPr>
        <w:tblW w:w="5000" w:type="pct"/>
        <w:jc w:val="center"/>
        <w:tblBorders>
          <w:top w:val="single" w:sz="12" w:space="0" w:color="auto"/>
          <w:bottom w:val="single" w:sz="12" w:space="0" w:color="auto"/>
          <w:insideH w:val="single" w:sz="4" w:space="0" w:color="auto"/>
          <w:insideV w:val="single" w:sz="4" w:space="0" w:color="auto"/>
        </w:tblBorders>
        <w:tblLook w:val="04A0"/>
      </w:tblPr>
      <w:tblGrid>
        <w:gridCol w:w="673"/>
        <w:gridCol w:w="852"/>
        <w:gridCol w:w="5814"/>
        <w:gridCol w:w="1183"/>
      </w:tblGrid>
      <w:tr w:rsidR="00DD5FB6" w:rsidRPr="00F9522B" w:rsidTr="00AB10DD">
        <w:trPr>
          <w:trHeight w:val="528"/>
          <w:jc w:val="center"/>
        </w:trPr>
        <w:tc>
          <w:tcPr>
            <w:tcW w:w="395" w:type="pct"/>
            <w:vMerge w:val="restart"/>
            <w:vAlign w:val="center"/>
          </w:tcPr>
          <w:p w:rsidR="00DD5FB6" w:rsidRPr="00F9522B" w:rsidRDefault="00DD5FB6" w:rsidP="004031CB">
            <w:pPr>
              <w:pStyle w:val="aff7"/>
              <w:spacing w:line="0" w:lineRule="atLeast"/>
              <w:contextualSpacing/>
              <w:rPr>
                <w:rFonts w:eastAsiaTheme="minorEastAsia" w:hAnsi="Times New Roman"/>
              </w:rPr>
            </w:pPr>
            <w:r w:rsidRPr="00F9522B">
              <w:rPr>
                <w:rFonts w:eastAsiaTheme="minorEastAsia" w:hAnsi="Times New Roman"/>
              </w:rPr>
              <w:t>主体工程</w:t>
            </w:r>
          </w:p>
        </w:tc>
        <w:tc>
          <w:tcPr>
            <w:tcW w:w="500" w:type="pct"/>
            <w:vAlign w:val="center"/>
          </w:tcPr>
          <w:p w:rsidR="00DD5FB6" w:rsidRPr="00F9522B" w:rsidRDefault="00DD5FB6">
            <w:pPr>
              <w:widowControl/>
              <w:jc w:val="center"/>
              <w:rPr>
                <w:rFonts w:eastAsiaTheme="minorEastAsia"/>
                <w:bCs/>
                <w:kern w:val="0"/>
                <w:szCs w:val="21"/>
              </w:rPr>
            </w:pPr>
            <w:r w:rsidRPr="00F9522B">
              <w:rPr>
                <w:rFonts w:eastAsiaTheme="minorEastAsia"/>
                <w:kern w:val="0"/>
                <w:szCs w:val="21"/>
              </w:rPr>
              <w:t>田间道路工程</w:t>
            </w:r>
          </w:p>
        </w:tc>
        <w:tc>
          <w:tcPr>
            <w:tcW w:w="3411" w:type="pct"/>
            <w:vAlign w:val="center"/>
          </w:tcPr>
          <w:p w:rsidR="00DD5FB6" w:rsidRPr="00F9522B" w:rsidRDefault="00DD5FB6" w:rsidP="00DF6D38">
            <w:pPr>
              <w:jc w:val="left"/>
              <w:rPr>
                <w:rFonts w:eastAsiaTheme="minorEastAsia"/>
                <w:snapToGrid w:val="0"/>
                <w:kern w:val="0"/>
                <w:szCs w:val="21"/>
              </w:rPr>
            </w:pPr>
            <w:r w:rsidRPr="00F9522B">
              <w:rPr>
                <w:rFonts w:eastAsiaTheme="minorEastAsia"/>
                <w:snapToGrid w:val="0"/>
                <w:kern w:val="0"/>
                <w:szCs w:val="21"/>
              </w:rPr>
              <w:t>现有田间道路均为土路；本项目修缮</w:t>
            </w:r>
            <w:r w:rsidRPr="00F9522B">
              <w:rPr>
                <w:rFonts w:eastAsiaTheme="minorEastAsia"/>
              </w:rPr>
              <w:t>现有</w:t>
            </w:r>
            <w:r w:rsidRPr="00F9522B">
              <w:rPr>
                <w:rFonts w:eastAsiaTheme="minorEastAsia"/>
                <w:snapToGrid w:val="0"/>
                <w:kern w:val="0"/>
                <w:szCs w:val="21"/>
              </w:rPr>
              <w:t>田间道路</w:t>
            </w:r>
            <w:r w:rsidRPr="00F9522B">
              <w:rPr>
                <w:rFonts w:eastAsiaTheme="minorEastAsia"/>
                <w:snapToGrid w:val="0"/>
                <w:kern w:val="0"/>
                <w:szCs w:val="21"/>
              </w:rPr>
              <w:t>792</w:t>
            </w:r>
            <w:r w:rsidRPr="00F9522B">
              <w:rPr>
                <w:rFonts w:eastAsiaTheme="minorEastAsia"/>
                <w:snapToGrid w:val="0"/>
                <w:kern w:val="0"/>
                <w:szCs w:val="21"/>
              </w:rPr>
              <w:t>条，</w:t>
            </w:r>
            <w:r w:rsidRPr="00F9522B">
              <w:rPr>
                <w:rFonts w:eastAsiaTheme="minorEastAsia"/>
              </w:rPr>
              <w:t>不拓宽，不新开垦道路</w:t>
            </w:r>
            <w:r w:rsidRPr="00F9522B">
              <w:rPr>
                <w:rFonts w:eastAsiaTheme="minorEastAsia"/>
                <w:snapToGrid w:val="0"/>
                <w:kern w:val="0"/>
                <w:szCs w:val="21"/>
              </w:rPr>
              <w:t>，其中：机耕路（土路改为水泥混凝土路）</w:t>
            </w:r>
            <w:r w:rsidRPr="00F9522B">
              <w:rPr>
                <w:rFonts w:eastAsiaTheme="minorEastAsia"/>
                <w:bCs/>
                <w:snapToGrid w:val="0"/>
                <w:kern w:val="0"/>
                <w:szCs w:val="21"/>
              </w:rPr>
              <w:t>157</w:t>
            </w:r>
            <w:r w:rsidRPr="00F9522B">
              <w:rPr>
                <w:rFonts w:eastAsiaTheme="minorEastAsia"/>
                <w:bCs/>
                <w:snapToGrid w:val="0"/>
                <w:kern w:val="0"/>
                <w:szCs w:val="21"/>
              </w:rPr>
              <w:t>条，共</w:t>
            </w:r>
            <w:r w:rsidRPr="00F9522B">
              <w:rPr>
                <w:rFonts w:eastAsiaTheme="minorEastAsia"/>
                <w:bCs/>
                <w:snapToGrid w:val="0"/>
                <w:kern w:val="0"/>
                <w:szCs w:val="21"/>
              </w:rPr>
              <w:t>129.289km</w:t>
            </w:r>
            <w:r w:rsidRPr="00F9522B">
              <w:rPr>
                <w:rFonts w:eastAsiaTheme="minorEastAsia"/>
                <w:kern w:val="0"/>
                <w:szCs w:val="21"/>
              </w:rPr>
              <w:t>，路面宽</w:t>
            </w:r>
            <w:r w:rsidRPr="00F9522B">
              <w:rPr>
                <w:rFonts w:eastAsiaTheme="minorEastAsia"/>
                <w:kern w:val="0"/>
                <w:szCs w:val="21"/>
              </w:rPr>
              <w:t>4m</w:t>
            </w:r>
            <w:r w:rsidRPr="00F9522B">
              <w:rPr>
                <w:rFonts w:eastAsiaTheme="minorEastAsia"/>
                <w:kern w:val="0"/>
                <w:szCs w:val="21"/>
              </w:rPr>
              <w:t>、</w:t>
            </w:r>
            <w:r w:rsidRPr="00F9522B">
              <w:rPr>
                <w:rFonts w:eastAsiaTheme="minorEastAsia"/>
                <w:kern w:val="0"/>
                <w:szCs w:val="21"/>
              </w:rPr>
              <w:t>4.5m</w:t>
            </w:r>
            <w:r w:rsidRPr="00F9522B">
              <w:rPr>
                <w:rFonts w:eastAsiaTheme="minorEastAsia"/>
                <w:snapToGrid w:val="0"/>
                <w:kern w:val="0"/>
                <w:szCs w:val="21"/>
              </w:rPr>
              <w:t>，生产路（土路改为砂石路）</w:t>
            </w:r>
            <w:r w:rsidRPr="00F9522B">
              <w:rPr>
                <w:rFonts w:eastAsiaTheme="minorEastAsia"/>
                <w:bCs/>
                <w:snapToGrid w:val="0"/>
                <w:kern w:val="0"/>
                <w:szCs w:val="21"/>
              </w:rPr>
              <w:t>635</w:t>
            </w:r>
            <w:r w:rsidRPr="00F9522B">
              <w:rPr>
                <w:rFonts w:eastAsiaTheme="minorEastAsia"/>
                <w:bCs/>
                <w:snapToGrid w:val="0"/>
                <w:kern w:val="0"/>
                <w:szCs w:val="21"/>
              </w:rPr>
              <w:t>条，共</w:t>
            </w:r>
            <w:r w:rsidRPr="00F9522B">
              <w:rPr>
                <w:rFonts w:eastAsiaTheme="minorEastAsia"/>
                <w:bCs/>
                <w:snapToGrid w:val="0"/>
                <w:kern w:val="0"/>
                <w:szCs w:val="21"/>
              </w:rPr>
              <w:t>408.223km</w:t>
            </w:r>
            <w:r w:rsidRPr="00F9522B">
              <w:rPr>
                <w:rFonts w:eastAsiaTheme="minorEastAsia"/>
                <w:snapToGrid w:val="0"/>
                <w:kern w:val="0"/>
                <w:szCs w:val="21"/>
              </w:rPr>
              <w:t>，</w:t>
            </w:r>
            <w:r w:rsidRPr="00F9522B">
              <w:rPr>
                <w:rFonts w:eastAsiaTheme="minorEastAsia"/>
                <w:kern w:val="0"/>
                <w:szCs w:val="21"/>
              </w:rPr>
              <w:t>路面宽</w:t>
            </w:r>
            <w:r w:rsidRPr="00F9522B">
              <w:rPr>
                <w:rFonts w:eastAsiaTheme="minorEastAsia"/>
                <w:kern w:val="0"/>
                <w:szCs w:val="21"/>
              </w:rPr>
              <w:t>3m</w:t>
            </w:r>
            <w:r w:rsidRPr="00F9522B">
              <w:rPr>
                <w:rFonts w:eastAsiaTheme="minorEastAsia"/>
                <w:kern w:val="0"/>
                <w:szCs w:val="21"/>
              </w:rPr>
              <w:t>、</w:t>
            </w:r>
            <w:r w:rsidRPr="00F9522B">
              <w:rPr>
                <w:rFonts w:eastAsiaTheme="minorEastAsia"/>
                <w:kern w:val="0"/>
                <w:szCs w:val="21"/>
              </w:rPr>
              <w:t>3.5m</w:t>
            </w:r>
          </w:p>
        </w:tc>
        <w:tc>
          <w:tcPr>
            <w:tcW w:w="694" w:type="pct"/>
            <w:vAlign w:val="center"/>
          </w:tcPr>
          <w:p w:rsidR="00DD5FB6" w:rsidRPr="00F9522B" w:rsidRDefault="00DD5FB6">
            <w:pPr>
              <w:pStyle w:val="aff7"/>
              <w:spacing w:line="0" w:lineRule="atLeast"/>
              <w:contextualSpacing/>
              <w:rPr>
                <w:rFonts w:eastAsiaTheme="minorEastAsia" w:hAnsi="Times New Roman"/>
              </w:rPr>
            </w:pPr>
            <w:r w:rsidRPr="00F9522B">
              <w:rPr>
                <w:rFonts w:eastAsiaTheme="minorEastAsia" w:hAnsi="Times New Roman"/>
              </w:rPr>
              <w:t>修缮现有道路</w:t>
            </w:r>
          </w:p>
        </w:tc>
      </w:tr>
      <w:tr w:rsidR="00DD5FB6" w:rsidRPr="00F9522B" w:rsidTr="00AB10DD">
        <w:trPr>
          <w:trHeight w:val="528"/>
          <w:jc w:val="center"/>
        </w:trPr>
        <w:tc>
          <w:tcPr>
            <w:tcW w:w="395" w:type="pct"/>
            <w:vMerge/>
            <w:vAlign w:val="center"/>
          </w:tcPr>
          <w:p w:rsidR="00DD5FB6" w:rsidRPr="00F9522B" w:rsidRDefault="00DD5FB6" w:rsidP="004031CB">
            <w:pPr>
              <w:pStyle w:val="aff7"/>
              <w:spacing w:line="0" w:lineRule="atLeast"/>
              <w:contextualSpacing/>
              <w:rPr>
                <w:rFonts w:eastAsiaTheme="minorEastAsia" w:hAnsi="Times New Roman"/>
              </w:rPr>
            </w:pPr>
          </w:p>
        </w:tc>
        <w:tc>
          <w:tcPr>
            <w:tcW w:w="500" w:type="pct"/>
            <w:vAlign w:val="center"/>
          </w:tcPr>
          <w:p w:rsidR="00DD5FB6" w:rsidRPr="00F9522B" w:rsidRDefault="00DD5FB6">
            <w:pPr>
              <w:widowControl/>
              <w:jc w:val="center"/>
              <w:rPr>
                <w:rFonts w:eastAsiaTheme="minorEastAsia"/>
                <w:bCs/>
                <w:kern w:val="0"/>
                <w:szCs w:val="21"/>
              </w:rPr>
            </w:pPr>
            <w:r w:rsidRPr="00F9522B">
              <w:rPr>
                <w:rFonts w:eastAsiaTheme="minorEastAsia"/>
                <w:bCs/>
                <w:kern w:val="0"/>
                <w:szCs w:val="21"/>
              </w:rPr>
              <w:t>农田输配电工程</w:t>
            </w:r>
          </w:p>
        </w:tc>
        <w:tc>
          <w:tcPr>
            <w:tcW w:w="3411" w:type="pct"/>
            <w:vAlign w:val="center"/>
          </w:tcPr>
          <w:p w:rsidR="00DD5FB6" w:rsidRPr="00F9522B" w:rsidRDefault="00DD5FB6" w:rsidP="00DF6D38">
            <w:pPr>
              <w:pStyle w:val="15"/>
              <w:autoSpaceDE w:val="0"/>
              <w:autoSpaceDN w:val="0"/>
              <w:jc w:val="left"/>
              <w:rPr>
                <w:b w:val="0"/>
                <w:bCs w:val="0"/>
                <w:kern w:val="0"/>
                <w:sz w:val="21"/>
                <w:szCs w:val="21"/>
              </w:rPr>
            </w:pPr>
            <w:r w:rsidRPr="00F9522B">
              <w:rPr>
                <w:b w:val="0"/>
                <w:bCs w:val="0"/>
                <w:kern w:val="0"/>
                <w:sz w:val="21"/>
                <w:szCs w:val="21"/>
              </w:rPr>
              <w:t>新建</w:t>
            </w:r>
            <w:r w:rsidRPr="00F9522B">
              <w:rPr>
                <w:b w:val="0"/>
                <w:bCs w:val="0"/>
                <w:kern w:val="0"/>
                <w:sz w:val="21"/>
                <w:szCs w:val="21"/>
              </w:rPr>
              <w:t>10kV</w:t>
            </w:r>
            <w:r w:rsidRPr="00F9522B">
              <w:rPr>
                <w:b w:val="0"/>
                <w:bCs w:val="0"/>
                <w:kern w:val="0"/>
                <w:sz w:val="21"/>
                <w:szCs w:val="21"/>
              </w:rPr>
              <w:t>高压电缆线路</w:t>
            </w:r>
            <w:r w:rsidRPr="00F9522B">
              <w:rPr>
                <w:b w:val="0"/>
                <w:bCs w:val="0"/>
                <w:kern w:val="0"/>
                <w:sz w:val="21"/>
                <w:szCs w:val="21"/>
              </w:rPr>
              <w:t>97.31km</w:t>
            </w:r>
            <w:r w:rsidRPr="00F9522B">
              <w:rPr>
                <w:b w:val="0"/>
                <w:bCs w:val="0"/>
                <w:kern w:val="0"/>
                <w:sz w:val="21"/>
                <w:szCs w:val="21"/>
              </w:rPr>
              <w:t>，其中</w:t>
            </w:r>
            <w:r w:rsidRPr="00F9522B">
              <w:rPr>
                <w:b w:val="0"/>
                <w:bCs w:val="0"/>
                <w:kern w:val="0"/>
                <w:sz w:val="21"/>
                <w:szCs w:val="21"/>
              </w:rPr>
              <w:t>10kV</w:t>
            </w:r>
            <w:r w:rsidRPr="00F9522B">
              <w:rPr>
                <w:b w:val="0"/>
                <w:bCs w:val="0"/>
                <w:kern w:val="0"/>
                <w:sz w:val="21"/>
                <w:szCs w:val="21"/>
              </w:rPr>
              <w:t>高压架空线路</w:t>
            </w:r>
            <w:r w:rsidRPr="00F9522B">
              <w:rPr>
                <w:b w:val="0"/>
                <w:bCs w:val="0"/>
                <w:kern w:val="0"/>
                <w:sz w:val="21"/>
                <w:szCs w:val="21"/>
              </w:rPr>
              <w:t>48.086km</w:t>
            </w:r>
            <w:r w:rsidRPr="00F9522B">
              <w:rPr>
                <w:b w:val="0"/>
                <w:bCs w:val="0"/>
                <w:kern w:val="0"/>
                <w:sz w:val="21"/>
                <w:szCs w:val="21"/>
              </w:rPr>
              <w:t>、地埋线路</w:t>
            </w:r>
            <w:r w:rsidRPr="00F9522B">
              <w:rPr>
                <w:b w:val="0"/>
                <w:bCs w:val="0"/>
                <w:kern w:val="0"/>
                <w:sz w:val="21"/>
                <w:szCs w:val="21"/>
              </w:rPr>
              <w:t>49.224km</w:t>
            </w:r>
            <w:r w:rsidRPr="00F9522B">
              <w:rPr>
                <w:b w:val="0"/>
                <w:bCs w:val="0"/>
                <w:kern w:val="0"/>
                <w:sz w:val="21"/>
                <w:szCs w:val="21"/>
              </w:rPr>
              <w:t>；新建</w:t>
            </w:r>
            <w:r w:rsidRPr="00F9522B">
              <w:rPr>
                <w:b w:val="0"/>
                <w:bCs w:val="0"/>
                <w:kern w:val="0"/>
                <w:sz w:val="21"/>
                <w:szCs w:val="21"/>
              </w:rPr>
              <w:t>0.4kV</w:t>
            </w:r>
            <w:r w:rsidRPr="00F9522B">
              <w:rPr>
                <w:b w:val="0"/>
                <w:bCs w:val="0"/>
                <w:kern w:val="0"/>
                <w:sz w:val="21"/>
                <w:szCs w:val="21"/>
              </w:rPr>
              <w:t>低压地埋线路</w:t>
            </w:r>
            <w:r w:rsidRPr="00F9522B">
              <w:rPr>
                <w:b w:val="0"/>
                <w:bCs w:val="0"/>
                <w:kern w:val="0"/>
                <w:sz w:val="21"/>
                <w:szCs w:val="21"/>
              </w:rPr>
              <w:t>29.676km</w:t>
            </w:r>
            <w:r w:rsidRPr="00F9522B">
              <w:rPr>
                <w:b w:val="0"/>
                <w:bCs w:val="0"/>
                <w:kern w:val="0"/>
                <w:sz w:val="21"/>
                <w:szCs w:val="21"/>
              </w:rPr>
              <w:t>。配套变压器</w:t>
            </w:r>
            <w:r w:rsidRPr="00F9522B">
              <w:rPr>
                <w:b w:val="0"/>
                <w:bCs w:val="0"/>
                <w:kern w:val="0"/>
                <w:sz w:val="21"/>
                <w:szCs w:val="21"/>
              </w:rPr>
              <w:t>256</w:t>
            </w:r>
            <w:r w:rsidRPr="00F9522B">
              <w:rPr>
                <w:b w:val="0"/>
                <w:bCs w:val="0"/>
                <w:kern w:val="0"/>
                <w:sz w:val="21"/>
                <w:szCs w:val="21"/>
              </w:rPr>
              <w:t>台，变压器型号为</w:t>
            </w:r>
            <w:r w:rsidRPr="00F9522B">
              <w:rPr>
                <w:b w:val="0"/>
                <w:bCs w:val="0"/>
                <w:kern w:val="0"/>
                <w:sz w:val="21"/>
                <w:szCs w:val="21"/>
              </w:rPr>
              <w:t>S20-M-30kVA</w:t>
            </w:r>
            <w:r w:rsidRPr="00F9522B">
              <w:rPr>
                <w:b w:val="0"/>
                <w:bCs w:val="0"/>
                <w:kern w:val="0"/>
                <w:sz w:val="21"/>
                <w:szCs w:val="21"/>
              </w:rPr>
              <w:t>、</w:t>
            </w:r>
            <w:r w:rsidRPr="00F9522B">
              <w:rPr>
                <w:b w:val="0"/>
                <w:bCs w:val="0"/>
                <w:kern w:val="0"/>
                <w:sz w:val="21"/>
                <w:szCs w:val="21"/>
              </w:rPr>
              <w:t>S20-M-50kVA</w:t>
            </w:r>
            <w:r w:rsidRPr="00F9522B">
              <w:rPr>
                <w:b w:val="0"/>
                <w:bCs w:val="0"/>
                <w:kern w:val="0"/>
                <w:sz w:val="21"/>
                <w:szCs w:val="21"/>
              </w:rPr>
              <w:t>、</w:t>
            </w:r>
            <w:r w:rsidRPr="00F9522B">
              <w:rPr>
                <w:b w:val="0"/>
                <w:bCs w:val="0"/>
                <w:kern w:val="0"/>
                <w:sz w:val="21"/>
                <w:szCs w:val="21"/>
              </w:rPr>
              <w:t>S20-M-80kVA</w:t>
            </w:r>
            <w:r w:rsidRPr="00F9522B">
              <w:rPr>
                <w:b w:val="0"/>
                <w:bCs w:val="0"/>
                <w:kern w:val="0"/>
                <w:sz w:val="21"/>
                <w:szCs w:val="21"/>
              </w:rPr>
              <w:t>、</w:t>
            </w:r>
            <w:r w:rsidRPr="00F9522B">
              <w:rPr>
                <w:b w:val="0"/>
                <w:bCs w:val="0"/>
                <w:kern w:val="0"/>
                <w:sz w:val="21"/>
                <w:szCs w:val="21"/>
              </w:rPr>
              <w:t>S20-M-125kVA</w:t>
            </w:r>
          </w:p>
        </w:tc>
        <w:tc>
          <w:tcPr>
            <w:tcW w:w="694" w:type="pct"/>
            <w:vAlign w:val="center"/>
          </w:tcPr>
          <w:p w:rsidR="00DD5FB6" w:rsidRPr="00F9522B" w:rsidRDefault="00DD5FB6">
            <w:pPr>
              <w:pStyle w:val="aff7"/>
              <w:spacing w:line="0" w:lineRule="atLeast"/>
              <w:contextualSpacing/>
              <w:rPr>
                <w:rFonts w:eastAsiaTheme="minorEastAsia" w:hAnsi="Times New Roman"/>
              </w:rPr>
            </w:pPr>
            <w:r w:rsidRPr="00F9522B">
              <w:rPr>
                <w:rFonts w:eastAsiaTheme="minorEastAsia" w:hAnsi="Times New Roman"/>
              </w:rPr>
              <w:t>新建</w:t>
            </w:r>
          </w:p>
        </w:tc>
      </w:tr>
      <w:tr w:rsidR="00DD5FB6" w:rsidRPr="00F9522B" w:rsidTr="00AB10DD">
        <w:trPr>
          <w:trHeight w:val="528"/>
          <w:jc w:val="center"/>
        </w:trPr>
        <w:tc>
          <w:tcPr>
            <w:tcW w:w="395" w:type="pct"/>
            <w:vMerge/>
            <w:vAlign w:val="center"/>
          </w:tcPr>
          <w:p w:rsidR="00DD5FB6" w:rsidRPr="00F9522B" w:rsidRDefault="00DD5FB6" w:rsidP="004031CB">
            <w:pPr>
              <w:pStyle w:val="aff7"/>
              <w:spacing w:line="0" w:lineRule="atLeast"/>
              <w:contextualSpacing/>
              <w:rPr>
                <w:rFonts w:eastAsiaTheme="minorEastAsia" w:hAnsi="Times New Roman"/>
              </w:rPr>
            </w:pPr>
          </w:p>
        </w:tc>
        <w:tc>
          <w:tcPr>
            <w:tcW w:w="500" w:type="pct"/>
            <w:vAlign w:val="center"/>
          </w:tcPr>
          <w:p w:rsidR="00DD5FB6" w:rsidRPr="00F9522B" w:rsidRDefault="00DD5FB6">
            <w:pPr>
              <w:pStyle w:val="aff7"/>
              <w:spacing w:line="0" w:lineRule="atLeast"/>
              <w:contextualSpacing/>
              <w:rPr>
                <w:rFonts w:eastAsiaTheme="minorEastAsia" w:hAnsi="Times New Roman"/>
              </w:rPr>
            </w:pPr>
            <w:r w:rsidRPr="00F9522B">
              <w:rPr>
                <w:rFonts w:eastAsiaTheme="minorEastAsia" w:hAnsi="Times New Roman"/>
                <w:snapToGrid w:val="0"/>
                <w:kern w:val="0"/>
              </w:rPr>
              <w:t>田块整治工程</w:t>
            </w:r>
          </w:p>
        </w:tc>
        <w:tc>
          <w:tcPr>
            <w:tcW w:w="3411" w:type="pct"/>
            <w:vAlign w:val="center"/>
          </w:tcPr>
          <w:p w:rsidR="00DD5FB6" w:rsidRPr="00F9522B" w:rsidRDefault="00DD5FB6">
            <w:pPr>
              <w:pStyle w:val="aff7"/>
              <w:spacing w:line="0" w:lineRule="atLeast"/>
              <w:contextualSpacing/>
              <w:jc w:val="left"/>
              <w:rPr>
                <w:rFonts w:eastAsiaTheme="minorEastAsia" w:hAnsi="Times New Roman"/>
                <w:snapToGrid w:val="0"/>
                <w:kern w:val="0"/>
              </w:rPr>
            </w:pPr>
            <w:r w:rsidRPr="00F9522B">
              <w:rPr>
                <w:rFonts w:eastAsiaTheme="minorEastAsia" w:hAnsi="Times New Roman"/>
                <w:bCs/>
                <w:snapToGrid w:val="0"/>
                <w:kern w:val="0"/>
              </w:rPr>
              <w:t>旱田田块平整面积</w:t>
            </w:r>
            <w:r w:rsidRPr="00F9522B">
              <w:rPr>
                <w:rFonts w:eastAsiaTheme="minorEastAsia" w:hAnsi="Times New Roman"/>
                <w:bCs/>
                <w:snapToGrid w:val="0"/>
                <w:kern w:val="0"/>
              </w:rPr>
              <w:t>1351.29</w:t>
            </w:r>
            <w:r w:rsidRPr="00F9522B">
              <w:rPr>
                <w:rFonts w:eastAsiaTheme="minorEastAsia" w:hAnsi="Times New Roman"/>
                <w:bCs/>
                <w:snapToGrid w:val="0"/>
                <w:kern w:val="0"/>
              </w:rPr>
              <w:t>亩；客土回填面积</w:t>
            </w:r>
            <w:r w:rsidRPr="00F9522B">
              <w:rPr>
                <w:rFonts w:eastAsiaTheme="minorEastAsia" w:hAnsi="Times New Roman"/>
                <w:bCs/>
                <w:snapToGrid w:val="0"/>
                <w:kern w:val="0"/>
              </w:rPr>
              <w:t>1659.91</w:t>
            </w:r>
            <w:r w:rsidRPr="00F9522B">
              <w:rPr>
                <w:rFonts w:eastAsiaTheme="minorEastAsia" w:hAnsi="Times New Roman"/>
                <w:bCs/>
                <w:snapToGrid w:val="0"/>
                <w:kern w:val="0"/>
              </w:rPr>
              <w:t>亩；水田格田改造面积</w:t>
            </w:r>
            <w:r w:rsidRPr="00F9522B">
              <w:rPr>
                <w:rFonts w:eastAsiaTheme="minorEastAsia" w:hAnsi="Times New Roman"/>
                <w:bCs/>
                <w:snapToGrid w:val="0"/>
                <w:kern w:val="0"/>
              </w:rPr>
              <w:t>428.89</w:t>
            </w:r>
            <w:r w:rsidRPr="00F9522B">
              <w:rPr>
                <w:rFonts w:eastAsiaTheme="minorEastAsia" w:hAnsi="Times New Roman"/>
                <w:bCs/>
                <w:snapToGrid w:val="0"/>
                <w:kern w:val="0"/>
              </w:rPr>
              <w:t>亩；旱田障碍土层消除</w:t>
            </w:r>
            <w:r w:rsidRPr="00F9522B">
              <w:rPr>
                <w:rFonts w:eastAsiaTheme="minorEastAsia" w:hAnsi="Times New Roman"/>
                <w:bCs/>
                <w:snapToGrid w:val="0"/>
                <w:kern w:val="0"/>
              </w:rPr>
              <w:t>47888</w:t>
            </w:r>
            <w:r w:rsidRPr="00F9522B">
              <w:rPr>
                <w:rFonts w:eastAsiaTheme="minorEastAsia" w:hAnsi="Times New Roman"/>
                <w:bCs/>
                <w:snapToGrid w:val="0"/>
                <w:kern w:val="0"/>
              </w:rPr>
              <w:t>亩；沟头防护</w:t>
            </w:r>
            <w:r w:rsidRPr="00F9522B">
              <w:rPr>
                <w:rFonts w:eastAsiaTheme="minorEastAsia" w:hAnsi="Times New Roman"/>
                <w:bCs/>
                <w:snapToGrid w:val="0"/>
                <w:kern w:val="0"/>
              </w:rPr>
              <w:t>200</w:t>
            </w:r>
            <w:r w:rsidRPr="00F9522B">
              <w:rPr>
                <w:rFonts w:eastAsiaTheme="minorEastAsia" w:hAnsi="Times New Roman"/>
                <w:bCs/>
                <w:snapToGrid w:val="0"/>
                <w:kern w:val="0"/>
              </w:rPr>
              <w:t>座；岸坡防护</w:t>
            </w:r>
            <w:r w:rsidRPr="00F9522B">
              <w:rPr>
                <w:rFonts w:eastAsiaTheme="minorEastAsia" w:hAnsi="Times New Roman"/>
                <w:bCs/>
                <w:snapToGrid w:val="0"/>
                <w:kern w:val="0"/>
              </w:rPr>
              <w:t>15.558</w:t>
            </w:r>
            <w:r w:rsidRPr="00F9522B">
              <w:rPr>
                <w:rFonts w:eastAsiaTheme="minorEastAsia" w:hAnsi="Times New Roman"/>
                <w:bCs/>
                <w:snapToGrid w:val="0"/>
                <w:kern w:val="0"/>
              </w:rPr>
              <w:t>公里</w:t>
            </w:r>
          </w:p>
        </w:tc>
        <w:tc>
          <w:tcPr>
            <w:tcW w:w="694" w:type="pct"/>
            <w:vAlign w:val="center"/>
          </w:tcPr>
          <w:p w:rsidR="00DD5FB6" w:rsidRPr="00F9522B" w:rsidRDefault="00DD5FB6">
            <w:pPr>
              <w:pStyle w:val="aff7"/>
              <w:spacing w:line="0" w:lineRule="atLeast"/>
              <w:contextualSpacing/>
              <w:rPr>
                <w:rFonts w:eastAsiaTheme="minorEastAsia" w:hAnsi="Times New Roman"/>
              </w:rPr>
            </w:pPr>
            <w:r w:rsidRPr="00F9522B">
              <w:rPr>
                <w:rFonts w:eastAsiaTheme="minorEastAsia" w:hAnsi="Times New Roman"/>
                <w:bCs/>
                <w:snapToGrid w:val="0"/>
                <w:kern w:val="0"/>
              </w:rPr>
              <w:t>均为</w:t>
            </w:r>
            <w:r w:rsidRPr="00F9522B">
              <w:rPr>
                <w:rFonts w:eastAsiaTheme="minorEastAsia" w:hAnsi="Times New Roman"/>
              </w:rPr>
              <w:t>现有农田</w:t>
            </w:r>
          </w:p>
        </w:tc>
      </w:tr>
      <w:tr w:rsidR="00DD5FB6" w:rsidRPr="00F9522B" w:rsidTr="00DD5FB6">
        <w:trPr>
          <w:trHeight w:val="528"/>
          <w:jc w:val="center"/>
        </w:trPr>
        <w:tc>
          <w:tcPr>
            <w:tcW w:w="895" w:type="pct"/>
            <w:gridSpan w:val="2"/>
            <w:vAlign w:val="center"/>
          </w:tcPr>
          <w:p w:rsidR="00DD5FB6" w:rsidRPr="00DD5FB6" w:rsidRDefault="00DD5FB6">
            <w:pPr>
              <w:pStyle w:val="aff7"/>
              <w:spacing w:line="0" w:lineRule="atLeast"/>
              <w:contextualSpacing/>
              <w:rPr>
                <w:rFonts w:eastAsiaTheme="minorEastAsia" w:hAnsi="Times New Roman"/>
                <w:snapToGrid w:val="0"/>
                <w:color w:val="FF0000"/>
                <w:kern w:val="0"/>
              </w:rPr>
            </w:pPr>
            <w:r w:rsidRPr="00AA4603">
              <w:rPr>
                <w:rFonts w:eastAsiaTheme="minorEastAsia" w:hAnsi="Times New Roman"/>
                <w:snapToGrid w:val="0"/>
                <w:color w:val="FF0000"/>
                <w:kern w:val="0"/>
              </w:rPr>
              <w:t>占地情况</w:t>
            </w:r>
          </w:p>
        </w:tc>
        <w:tc>
          <w:tcPr>
            <w:tcW w:w="4105" w:type="pct"/>
            <w:gridSpan w:val="2"/>
            <w:vAlign w:val="center"/>
          </w:tcPr>
          <w:p w:rsidR="00DD5FB6" w:rsidRPr="00DD5FB6" w:rsidRDefault="00DD5FB6" w:rsidP="00DD5FB6">
            <w:pPr>
              <w:pStyle w:val="aff7"/>
              <w:spacing w:line="0" w:lineRule="atLeast"/>
              <w:contextualSpacing/>
              <w:rPr>
                <w:rFonts w:eastAsiaTheme="minorEastAsia" w:hAnsi="Times New Roman"/>
                <w:bCs/>
                <w:snapToGrid w:val="0"/>
                <w:color w:val="FF0000"/>
                <w:kern w:val="0"/>
              </w:rPr>
            </w:pPr>
            <w:r w:rsidRPr="00DD5FB6">
              <w:rPr>
                <w:rFonts w:eastAsiaTheme="minorEastAsia" w:hAnsi="Times New Roman"/>
                <w:bCs/>
                <w:snapToGrid w:val="0"/>
                <w:color w:val="FF0000"/>
                <w:kern w:val="0"/>
              </w:rPr>
              <w:t>工程永久占地类型为草地、交通运输用地、水利设施用地、坑塘水面</w:t>
            </w:r>
            <w:r w:rsidR="00AA4603">
              <w:rPr>
                <w:rFonts w:eastAsiaTheme="minorEastAsia" w:hAnsi="Times New Roman" w:hint="eastAsia"/>
                <w:bCs/>
                <w:snapToGrid w:val="0"/>
                <w:color w:val="FF0000"/>
                <w:kern w:val="0"/>
              </w:rPr>
              <w:t>，</w:t>
            </w:r>
            <w:r w:rsidRPr="00DD5FB6">
              <w:rPr>
                <w:rFonts w:eastAsiaTheme="minorEastAsia" w:hAnsi="Times New Roman"/>
                <w:bCs/>
                <w:snapToGrid w:val="0"/>
                <w:color w:val="FF0000"/>
                <w:kern w:val="0"/>
              </w:rPr>
              <w:t>永久占地约</w:t>
            </w:r>
            <w:r w:rsidRPr="00DD5FB6">
              <w:rPr>
                <w:rFonts w:eastAsiaTheme="minorEastAsia" w:hAnsi="Times New Roman"/>
                <w:bCs/>
                <w:snapToGrid w:val="0"/>
                <w:color w:val="FF0000"/>
                <w:kern w:val="0"/>
              </w:rPr>
              <w:t>3614</w:t>
            </w:r>
            <w:r w:rsidRPr="00DD5FB6">
              <w:rPr>
                <w:rFonts w:eastAsiaTheme="minorEastAsia" w:hAnsi="Times New Roman"/>
                <w:bCs/>
                <w:snapToGrid w:val="0"/>
                <w:color w:val="FF0000"/>
                <w:kern w:val="0"/>
              </w:rPr>
              <w:t>万</w:t>
            </w:r>
            <w:r w:rsidRPr="00DD5FB6">
              <w:rPr>
                <w:rFonts w:eastAsiaTheme="minorEastAsia" w:hAnsi="Times New Roman"/>
                <w:bCs/>
                <w:snapToGrid w:val="0"/>
                <w:color w:val="FF0000"/>
                <w:kern w:val="0"/>
              </w:rPr>
              <w:t>m</w:t>
            </w:r>
            <w:r w:rsidRPr="00DD5FB6">
              <w:rPr>
                <w:rFonts w:eastAsiaTheme="minorEastAsia" w:hAnsi="Times New Roman"/>
                <w:bCs/>
                <w:snapToGrid w:val="0"/>
                <w:color w:val="FF0000"/>
                <w:kern w:val="0"/>
                <w:vertAlign w:val="superscript"/>
              </w:rPr>
              <w:t>2</w:t>
            </w:r>
            <w:r w:rsidRPr="00DD5FB6">
              <w:rPr>
                <w:rFonts w:eastAsiaTheme="minorEastAsia" w:hAnsi="Times New Roman"/>
                <w:bCs/>
                <w:snapToGrid w:val="0"/>
                <w:color w:val="FF0000"/>
                <w:kern w:val="0"/>
              </w:rPr>
              <w:t>（其中新增约</w:t>
            </w:r>
            <w:r w:rsidRPr="00DD5FB6">
              <w:rPr>
                <w:rFonts w:eastAsiaTheme="minorEastAsia" w:hAnsi="Times New Roman"/>
                <w:bCs/>
                <w:snapToGrid w:val="0"/>
                <w:color w:val="FF0000"/>
                <w:kern w:val="0"/>
              </w:rPr>
              <w:t>46260m</w:t>
            </w:r>
            <w:r w:rsidRPr="00DD5FB6">
              <w:rPr>
                <w:rFonts w:eastAsiaTheme="minorEastAsia" w:hAnsi="Times New Roman"/>
                <w:bCs/>
                <w:snapToGrid w:val="0"/>
                <w:color w:val="FF0000"/>
                <w:kern w:val="0"/>
                <w:vertAlign w:val="superscript"/>
              </w:rPr>
              <w:t>2</w:t>
            </w:r>
            <w:r w:rsidRPr="00DD5FB6">
              <w:rPr>
                <w:rFonts w:eastAsiaTheme="minorEastAsia" w:hAnsi="Times New Roman"/>
                <w:bCs/>
                <w:snapToGrid w:val="0"/>
                <w:color w:val="FF0000"/>
                <w:kern w:val="0"/>
              </w:rPr>
              <w:t>）</w:t>
            </w:r>
            <w:r>
              <w:rPr>
                <w:rFonts w:eastAsiaTheme="minorEastAsia" w:hAnsi="Times New Roman"/>
                <w:bCs/>
                <w:snapToGrid w:val="0"/>
                <w:color w:val="FF0000"/>
                <w:kern w:val="0"/>
              </w:rPr>
              <w:t>；</w:t>
            </w:r>
            <w:r w:rsidRPr="00DD5FB6">
              <w:rPr>
                <w:rFonts w:eastAsiaTheme="minorEastAsia" w:hAnsi="Times New Roman"/>
                <w:bCs/>
                <w:snapToGrid w:val="0"/>
                <w:color w:val="FF0000"/>
                <w:kern w:val="0"/>
              </w:rPr>
              <w:t>临时占地类型为旱地、草地</w:t>
            </w:r>
            <w:r w:rsidR="00AA4603">
              <w:rPr>
                <w:rFonts w:eastAsiaTheme="minorEastAsia" w:hAnsi="Times New Roman"/>
                <w:bCs/>
                <w:snapToGrid w:val="0"/>
                <w:color w:val="FF0000"/>
                <w:kern w:val="0"/>
              </w:rPr>
              <w:t>，临时占用</w:t>
            </w:r>
            <w:r w:rsidR="00AA4603" w:rsidRPr="00AA4603">
              <w:rPr>
                <w:rFonts w:eastAsiaTheme="minorEastAsia" w:hAnsi="Times New Roman"/>
                <w:bCs/>
                <w:snapToGrid w:val="0"/>
                <w:color w:val="FF0000"/>
                <w:kern w:val="0"/>
              </w:rPr>
              <w:t>294140m</w:t>
            </w:r>
            <w:r w:rsidR="00AA4603" w:rsidRPr="00AA4603">
              <w:rPr>
                <w:rFonts w:eastAsiaTheme="minorEastAsia" w:hAnsi="Times New Roman"/>
                <w:bCs/>
                <w:snapToGrid w:val="0"/>
                <w:color w:val="FF0000"/>
                <w:kern w:val="0"/>
                <w:vertAlign w:val="superscript"/>
              </w:rPr>
              <w:t>2</w:t>
            </w:r>
          </w:p>
        </w:tc>
      </w:tr>
      <w:tr w:rsidR="00DD5FB6" w:rsidRPr="00F9522B" w:rsidTr="00DD5FB6">
        <w:trPr>
          <w:trHeight w:val="528"/>
          <w:jc w:val="center"/>
        </w:trPr>
        <w:tc>
          <w:tcPr>
            <w:tcW w:w="895" w:type="pct"/>
            <w:gridSpan w:val="2"/>
            <w:vAlign w:val="center"/>
          </w:tcPr>
          <w:p w:rsidR="00DD5FB6" w:rsidRPr="00DD5FB6" w:rsidRDefault="00DD5FB6">
            <w:pPr>
              <w:pStyle w:val="aff7"/>
              <w:spacing w:line="0" w:lineRule="atLeast"/>
              <w:contextualSpacing/>
              <w:rPr>
                <w:rFonts w:eastAsiaTheme="minorEastAsia" w:hAnsi="Times New Roman"/>
                <w:snapToGrid w:val="0"/>
                <w:color w:val="FF0000"/>
                <w:kern w:val="0"/>
              </w:rPr>
            </w:pPr>
            <w:r w:rsidRPr="00DD5FB6">
              <w:rPr>
                <w:rFonts w:eastAsiaTheme="minorEastAsia" w:hAnsi="Times New Roman"/>
                <w:snapToGrid w:val="0"/>
                <w:color w:val="FF0000"/>
                <w:kern w:val="0"/>
              </w:rPr>
              <w:t>临时占地恢复方案</w:t>
            </w:r>
          </w:p>
        </w:tc>
        <w:tc>
          <w:tcPr>
            <w:tcW w:w="4105" w:type="pct"/>
            <w:gridSpan w:val="2"/>
            <w:vAlign w:val="center"/>
          </w:tcPr>
          <w:p w:rsidR="00DD5FB6" w:rsidRPr="00DD5FB6" w:rsidRDefault="00DD5FB6">
            <w:pPr>
              <w:pStyle w:val="aff7"/>
              <w:spacing w:line="0" w:lineRule="atLeast"/>
              <w:contextualSpacing/>
              <w:rPr>
                <w:rFonts w:eastAsiaTheme="minorEastAsia" w:hAnsi="Times New Roman"/>
                <w:snapToGrid w:val="0"/>
                <w:color w:val="FF0000"/>
                <w:kern w:val="0"/>
              </w:rPr>
            </w:pPr>
            <w:r w:rsidRPr="00DD5FB6">
              <w:rPr>
                <w:rFonts w:eastAsiaTheme="minorEastAsia" w:hAnsi="Times New Roman"/>
                <w:snapToGrid w:val="0"/>
                <w:color w:val="FF0000"/>
                <w:kern w:val="0"/>
              </w:rPr>
              <w:t>输配电工程表土及土方临时堆存在施工沿线，分区存放，设置临时拦挡并采用密目网苫盖，施工结束后分层回填，</w:t>
            </w:r>
            <w:r w:rsidR="00617138">
              <w:rPr>
                <w:rFonts w:eastAsiaTheme="minorEastAsia" w:hAnsi="Times New Roman"/>
                <w:snapToGrid w:val="0"/>
                <w:color w:val="FF0000"/>
                <w:kern w:val="0"/>
              </w:rPr>
              <w:t>施工场地恢复现状草地，播撒草籽面积</w:t>
            </w:r>
            <w:r w:rsidR="00617138">
              <w:rPr>
                <w:rFonts w:eastAsiaTheme="minorEastAsia" w:hAnsi="Times New Roman"/>
                <w:snapToGrid w:val="0"/>
                <w:color w:val="FF0000"/>
                <w:kern w:val="0"/>
              </w:rPr>
              <w:t>224662</w:t>
            </w:r>
            <w:r w:rsidRPr="00DD5FB6">
              <w:rPr>
                <w:rFonts w:eastAsiaTheme="minorEastAsia" w:hAnsi="Times New Roman"/>
                <w:snapToGrid w:val="0"/>
                <w:color w:val="FF0000"/>
                <w:kern w:val="0"/>
              </w:rPr>
              <w:t>m</w:t>
            </w:r>
            <w:r w:rsidRPr="00DD5FB6">
              <w:rPr>
                <w:rFonts w:eastAsiaTheme="minorEastAsia" w:hAnsi="Times New Roman"/>
                <w:snapToGrid w:val="0"/>
                <w:color w:val="FF0000"/>
                <w:kern w:val="0"/>
                <w:vertAlign w:val="superscript"/>
              </w:rPr>
              <w:t>2</w:t>
            </w:r>
            <w:r w:rsidRPr="00DD5FB6">
              <w:rPr>
                <w:rFonts w:eastAsiaTheme="minorEastAsia" w:hAnsi="Times New Roman"/>
                <w:snapToGrid w:val="0"/>
                <w:color w:val="FF0000"/>
                <w:kern w:val="0"/>
              </w:rPr>
              <w:t>，草籽选用紫花苜蓿等，种草密度</w:t>
            </w:r>
            <w:r w:rsidRPr="00DD5FB6">
              <w:rPr>
                <w:rFonts w:eastAsiaTheme="minorEastAsia" w:hAnsi="Times New Roman"/>
                <w:snapToGrid w:val="0"/>
                <w:color w:val="FF0000"/>
                <w:kern w:val="0"/>
              </w:rPr>
              <w:t>80kg/</w:t>
            </w:r>
            <w:r w:rsidRPr="00DD5FB6">
              <w:rPr>
                <w:rFonts w:eastAsiaTheme="minorEastAsia" w:hAnsi="Times New Roman"/>
                <w:snapToGrid w:val="0"/>
                <w:color w:val="FF0000"/>
                <w:kern w:val="0"/>
              </w:rPr>
              <w:t>公顷，恢复旱地</w:t>
            </w:r>
            <w:r w:rsidRPr="00DD5FB6">
              <w:rPr>
                <w:rFonts w:eastAsiaTheme="minorEastAsia" w:hAnsi="Times New Roman"/>
                <w:snapToGrid w:val="0"/>
                <w:color w:val="FF0000"/>
                <w:kern w:val="0"/>
              </w:rPr>
              <w:t>32558m</w:t>
            </w:r>
            <w:r w:rsidRPr="00DD5FB6">
              <w:rPr>
                <w:rFonts w:eastAsiaTheme="minorEastAsia" w:hAnsi="Times New Roman"/>
                <w:snapToGrid w:val="0"/>
                <w:color w:val="FF0000"/>
                <w:kern w:val="0"/>
                <w:vertAlign w:val="superscript"/>
              </w:rPr>
              <w:t>2</w:t>
            </w:r>
            <w:r w:rsidRPr="00DD5FB6">
              <w:rPr>
                <w:rFonts w:eastAsiaTheme="minorEastAsia" w:hAnsi="Times New Roman"/>
                <w:snapToGrid w:val="0"/>
                <w:color w:val="FF0000"/>
                <w:kern w:val="0"/>
              </w:rPr>
              <w:t>；灌溉井工程剥离表土、开挖土方暂存于施工场地内，分区存放，设置临时拦挡并采用密目网苫盖，施工结束后施工场地、临时道路恢复为旱地，恢复面积</w:t>
            </w:r>
            <w:r w:rsidRPr="00DD5FB6">
              <w:rPr>
                <w:rFonts w:eastAsiaTheme="minorEastAsia" w:hAnsi="Times New Roman"/>
                <w:snapToGrid w:val="0"/>
                <w:color w:val="FF0000"/>
                <w:kern w:val="0"/>
              </w:rPr>
              <w:t>7920m</w:t>
            </w:r>
            <w:r w:rsidRPr="00DD5FB6">
              <w:rPr>
                <w:rFonts w:eastAsiaTheme="minorEastAsia" w:hAnsi="Times New Roman"/>
                <w:snapToGrid w:val="0"/>
                <w:color w:val="FF0000"/>
                <w:kern w:val="0"/>
                <w:vertAlign w:val="superscript"/>
              </w:rPr>
              <w:t>2</w:t>
            </w:r>
            <w:r w:rsidRPr="00DD5FB6">
              <w:rPr>
                <w:rFonts w:eastAsiaTheme="minorEastAsia" w:hAnsi="Times New Roman"/>
                <w:snapToGrid w:val="0"/>
                <w:color w:val="FF0000"/>
                <w:kern w:val="0"/>
              </w:rPr>
              <w:t>；涵洞等建筑物工程剥离表土、开挖土方暂存于施工场地内，分区存放，设置临时拦挡并采用密目网苫盖，施工结束后施工场地恢复为草地，播撒草籽面积</w:t>
            </w:r>
            <w:r w:rsidRPr="00DD5FB6">
              <w:rPr>
                <w:rFonts w:eastAsiaTheme="minorEastAsia" w:hAnsi="Times New Roman"/>
                <w:snapToGrid w:val="0"/>
                <w:color w:val="FF0000"/>
                <w:kern w:val="0"/>
              </w:rPr>
              <w:t>18500m</w:t>
            </w:r>
            <w:r w:rsidRPr="00DD5FB6">
              <w:rPr>
                <w:rFonts w:eastAsiaTheme="minorEastAsia" w:hAnsi="Times New Roman"/>
                <w:snapToGrid w:val="0"/>
                <w:color w:val="FF0000"/>
                <w:kern w:val="0"/>
                <w:vertAlign w:val="superscript"/>
              </w:rPr>
              <w:t>2</w:t>
            </w:r>
            <w:r w:rsidRPr="00DD5FB6">
              <w:rPr>
                <w:rFonts w:eastAsiaTheme="minorEastAsia" w:hAnsi="Times New Roman"/>
                <w:snapToGrid w:val="0"/>
                <w:color w:val="FF0000"/>
                <w:kern w:val="0"/>
              </w:rPr>
              <w:t>，草籽选用紫花苜蓿等，种草密度</w:t>
            </w:r>
            <w:r w:rsidRPr="00DD5FB6">
              <w:rPr>
                <w:rFonts w:eastAsiaTheme="minorEastAsia" w:hAnsi="Times New Roman"/>
                <w:snapToGrid w:val="0"/>
                <w:color w:val="FF0000"/>
                <w:kern w:val="0"/>
              </w:rPr>
              <w:t>80kg/</w:t>
            </w:r>
            <w:r w:rsidRPr="00DD5FB6">
              <w:rPr>
                <w:rFonts w:eastAsiaTheme="minorEastAsia" w:hAnsi="Times New Roman"/>
                <w:snapToGrid w:val="0"/>
                <w:color w:val="FF0000"/>
                <w:kern w:val="0"/>
              </w:rPr>
              <w:t>公顷，恢复旱地</w:t>
            </w:r>
            <w:r w:rsidRPr="00DD5FB6">
              <w:rPr>
                <w:rFonts w:eastAsiaTheme="minorEastAsia" w:hAnsi="Times New Roman"/>
                <w:snapToGrid w:val="0"/>
                <w:color w:val="FF0000"/>
                <w:kern w:val="0"/>
              </w:rPr>
              <w:t>10500m</w:t>
            </w:r>
            <w:r w:rsidRPr="00DD5FB6">
              <w:rPr>
                <w:rFonts w:eastAsiaTheme="minorEastAsia" w:hAnsi="Times New Roman"/>
                <w:snapToGrid w:val="0"/>
                <w:color w:val="FF0000"/>
                <w:kern w:val="0"/>
                <w:vertAlign w:val="superscript"/>
              </w:rPr>
              <w:t>2</w:t>
            </w:r>
            <w:r w:rsidRPr="00DD5FB6">
              <w:rPr>
                <w:rFonts w:eastAsiaTheme="minorEastAsia" w:hAnsi="Times New Roman"/>
                <w:snapToGrid w:val="0"/>
                <w:color w:val="FF0000"/>
                <w:kern w:val="0"/>
              </w:rPr>
              <w:t>。使临时占地土地利用类型、植被覆盖度、生物量等恢复为原有水平。减少由于工程施工对其景观、生态、水土保持等方面的不利影响。表土暂存场</w:t>
            </w:r>
            <w:r w:rsidRPr="00DD5FB6">
              <w:rPr>
                <w:rFonts w:eastAsiaTheme="minorEastAsia" w:hAnsi="Times New Roman"/>
                <w:bCs/>
                <w:color w:val="FF0000"/>
                <w:kern w:val="0"/>
              </w:rPr>
              <w:t>堆高在</w:t>
            </w:r>
            <w:r w:rsidRPr="00DD5FB6">
              <w:rPr>
                <w:rFonts w:eastAsiaTheme="minorEastAsia" w:hAnsi="Times New Roman"/>
                <w:bCs/>
                <w:color w:val="FF0000"/>
                <w:kern w:val="0"/>
              </w:rPr>
              <w:t>3m</w:t>
            </w:r>
            <w:r w:rsidRPr="00DD5FB6">
              <w:rPr>
                <w:rFonts w:eastAsiaTheme="minorEastAsia" w:hAnsi="Times New Roman"/>
                <w:bCs/>
                <w:color w:val="FF0000"/>
                <w:kern w:val="0"/>
              </w:rPr>
              <w:t>以内，坡比</w:t>
            </w:r>
            <w:r w:rsidRPr="00DD5FB6">
              <w:rPr>
                <w:rFonts w:eastAsiaTheme="minorEastAsia" w:hAnsi="Times New Roman"/>
                <w:bCs/>
                <w:color w:val="FF0000"/>
                <w:kern w:val="0"/>
              </w:rPr>
              <w:t>1</w:t>
            </w:r>
            <w:r w:rsidRPr="00DD5FB6">
              <w:rPr>
                <w:rFonts w:eastAsiaTheme="minorEastAsia" w:hAnsi="Times New Roman"/>
                <w:bCs/>
                <w:color w:val="FF0000"/>
                <w:kern w:val="0"/>
              </w:rPr>
              <w:t>：</w:t>
            </w:r>
            <w:r w:rsidRPr="00DD5FB6">
              <w:rPr>
                <w:rFonts w:eastAsiaTheme="minorEastAsia" w:hAnsi="Times New Roman"/>
                <w:bCs/>
                <w:color w:val="FF0000"/>
                <w:kern w:val="0"/>
              </w:rPr>
              <w:t>1</w:t>
            </w:r>
            <w:r w:rsidRPr="00DD5FB6">
              <w:rPr>
                <w:rFonts w:eastAsiaTheme="minorEastAsia" w:hAnsi="Times New Roman"/>
                <w:bCs/>
                <w:color w:val="FF0000"/>
                <w:kern w:val="0"/>
              </w:rPr>
              <w:t>，可以保证堆土的稳定性及安全性。堆放地宜相对低凹、周围相对平缓，并设置排水设施</w:t>
            </w:r>
          </w:p>
        </w:tc>
      </w:tr>
      <w:tr w:rsidR="00DD5FB6" w:rsidRPr="00F9522B" w:rsidTr="00DD5FB6">
        <w:trPr>
          <w:trHeight w:val="528"/>
          <w:jc w:val="center"/>
        </w:trPr>
        <w:tc>
          <w:tcPr>
            <w:tcW w:w="895" w:type="pct"/>
            <w:gridSpan w:val="2"/>
            <w:vAlign w:val="center"/>
          </w:tcPr>
          <w:p w:rsidR="00DD5FB6" w:rsidRPr="00DD5FB6" w:rsidRDefault="00DD5FB6">
            <w:pPr>
              <w:pStyle w:val="aff7"/>
              <w:spacing w:line="0" w:lineRule="atLeast"/>
              <w:contextualSpacing/>
              <w:rPr>
                <w:rFonts w:eastAsiaTheme="minorEastAsia" w:hAnsi="Times New Roman"/>
                <w:snapToGrid w:val="0"/>
                <w:color w:val="FF0000"/>
                <w:kern w:val="0"/>
              </w:rPr>
            </w:pPr>
            <w:r w:rsidRPr="00DD5FB6">
              <w:rPr>
                <w:rFonts w:eastAsiaTheme="minorEastAsia" w:hAnsi="Times New Roman" w:hint="eastAsia"/>
                <w:snapToGrid w:val="0"/>
                <w:color w:val="FF0000"/>
                <w:kern w:val="0"/>
              </w:rPr>
              <w:t>建设周期</w:t>
            </w:r>
          </w:p>
        </w:tc>
        <w:tc>
          <w:tcPr>
            <w:tcW w:w="4105" w:type="pct"/>
            <w:gridSpan w:val="2"/>
            <w:vAlign w:val="center"/>
          </w:tcPr>
          <w:p w:rsidR="00DD5FB6" w:rsidRPr="00DD5FB6" w:rsidRDefault="00DD5FB6">
            <w:pPr>
              <w:pStyle w:val="aff7"/>
              <w:spacing w:line="0" w:lineRule="atLeast"/>
              <w:contextualSpacing/>
              <w:rPr>
                <w:rFonts w:eastAsiaTheme="minorEastAsia" w:hAnsi="Times New Roman"/>
                <w:bCs/>
                <w:snapToGrid w:val="0"/>
                <w:color w:val="FF0000"/>
                <w:kern w:val="0"/>
              </w:rPr>
            </w:pPr>
            <w:r w:rsidRPr="00DD5FB6">
              <w:rPr>
                <w:rFonts w:eastAsiaTheme="minorEastAsia" w:hAnsi="Times New Roman"/>
                <w:bCs/>
                <w:snapToGrid w:val="0"/>
                <w:color w:val="FF0000"/>
                <w:kern w:val="0"/>
              </w:rPr>
              <w:t>项目建设期为</w:t>
            </w:r>
            <w:r w:rsidRPr="00DD5FB6">
              <w:rPr>
                <w:rFonts w:eastAsiaTheme="minorEastAsia" w:hAnsi="Times New Roman"/>
                <w:bCs/>
                <w:snapToGrid w:val="0"/>
                <w:color w:val="FF0000"/>
                <w:kern w:val="0"/>
              </w:rPr>
              <w:t>2026</w:t>
            </w:r>
            <w:r w:rsidRPr="00DD5FB6">
              <w:rPr>
                <w:rFonts w:eastAsiaTheme="minorEastAsia" w:hAnsi="Times New Roman"/>
                <w:bCs/>
                <w:snapToGrid w:val="0"/>
                <w:color w:val="FF0000"/>
                <w:kern w:val="0"/>
              </w:rPr>
              <w:t>年</w:t>
            </w:r>
            <w:r w:rsidRPr="00DD5FB6">
              <w:rPr>
                <w:rFonts w:eastAsiaTheme="minorEastAsia" w:hAnsi="Times New Roman"/>
                <w:bCs/>
                <w:snapToGrid w:val="0"/>
                <w:color w:val="FF0000"/>
                <w:kern w:val="0"/>
              </w:rPr>
              <w:t>8</w:t>
            </w:r>
            <w:r w:rsidRPr="00DD5FB6">
              <w:rPr>
                <w:rFonts w:eastAsiaTheme="minorEastAsia" w:hAnsi="Times New Roman"/>
                <w:bCs/>
                <w:snapToGrid w:val="0"/>
                <w:color w:val="FF0000"/>
                <w:kern w:val="0"/>
              </w:rPr>
              <w:t>月～</w:t>
            </w:r>
            <w:r w:rsidRPr="00DD5FB6">
              <w:rPr>
                <w:rFonts w:eastAsiaTheme="minorEastAsia" w:hAnsi="Times New Roman"/>
                <w:bCs/>
                <w:snapToGrid w:val="0"/>
                <w:color w:val="FF0000"/>
                <w:kern w:val="0"/>
              </w:rPr>
              <w:t>2028</w:t>
            </w:r>
            <w:r w:rsidRPr="00DD5FB6">
              <w:rPr>
                <w:rFonts w:eastAsiaTheme="minorEastAsia" w:hAnsi="Times New Roman"/>
                <w:bCs/>
                <w:snapToGrid w:val="0"/>
                <w:color w:val="FF0000"/>
                <w:kern w:val="0"/>
              </w:rPr>
              <w:t>年</w:t>
            </w:r>
            <w:r w:rsidRPr="00DD5FB6">
              <w:rPr>
                <w:rFonts w:eastAsiaTheme="minorEastAsia" w:hAnsi="Times New Roman"/>
                <w:bCs/>
                <w:snapToGrid w:val="0"/>
                <w:color w:val="FF0000"/>
                <w:kern w:val="0"/>
              </w:rPr>
              <w:t>2</w:t>
            </w:r>
            <w:r w:rsidRPr="00DD5FB6">
              <w:rPr>
                <w:rFonts w:eastAsiaTheme="minorEastAsia" w:hAnsi="Times New Roman"/>
                <w:bCs/>
                <w:snapToGrid w:val="0"/>
                <w:color w:val="FF0000"/>
                <w:kern w:val="0"/>
              </w:rPr>
              <w:t>月，工期</w:t>
            </w:r>
            <w:r w:rsidRPr="00DD5FB6">
              <w:rPr>
                <w:rFonts w:eastAsiaTheme="minorEastAsia" w:hAnsi="Times New Roman"/>
                <w:bCs/>
                <w:snapToGrid w:val="0"/>
                <w:color w:val="FF0000"/>
                <w:kern w:val="0"/>
              </w:rPr>
              <w:t>18</w:t>
            </w:r>
            <w:r w:rsidRPr="00DD5FB6">
              <w:rPr>
                <w:rFonts w:eastAsiaTheme="minorEastAsia" w:hAnsi="Times New Roman"/>
                <w:bCs/>
                <w:snapToGrid w:val="0"/>
                <w:color w:val="FF0000"/>
                <w:kern w:val="0"/>
              </w:rPr>
              <w:t>个月</w:t>
            </w:r>
          </w:p>
        </w:tc>
      </w:tr>
      <w:tr w:rsidR="00DD5FB6" w:rsidRPr="00F9522B" w:rsidTr="00DD5FB6">
        <w:trPr>
          <w:trHeight w:val="103"/>
          <w:jc w:val="center"/>
        </w:trPr>
        <w:tc>
          <w:tcPr>
            <w:tcW w:w="895" w:type="pct"/>
            <w:gridSpan w:val="2"/>
            <w:vAlign w:val="center"/>
          </w:tcPr>
          <w:p w:rsidR="00DD5FB6" w:rsidRPr="002901EE" w:rsidRDefault="00DD5FB6">
            <w:pPr>
              <w:jc w:val="center"/>
              <w:rPr>
                <w:rFonts w:eastAsiaTheme="minorEastAsia"/>
                <w:color w:val="FF0000"/>
                <w:szCs w:val="21"/>
              </w:rPr>
            </w:pPr>
            <w:r w:rsidRPr="002901EE">
              <w:rPr>
                <w:rFonts w:eastAsiaTheme="minorEastAsia"/>
                <w:color w:val="FF0000"/>
                <w:szCs w:val="21"/>
              </w:rPr>
              <w:t>土石方工程</w:t>
            </w:r>
          </w:p>
        </w:tc>
        <w:tc>
          <w:tcPr>
            <w:tcW w:w="4105" w:type="pct"/>
            <w:gridSpan w:val="2"/>
            <w:vAlign w:val="center"/>
          </w:tcPr>
          <w:p w:rsidR="00DD5FB6" w:rsidRPr="002901EE" w:rsidRDefault="00DD5FB6" w:rsidP="002901EE">
            <w:pPr>
              <w:pStyle w:val="aff7"/>
              <w:spacing w:line="0" w:lineRule="atLeast"/>
              <w:contextualSpacing/>
              <w:rPr>
                <w:rFonts w:eastAsiaTheme="minorEastAsia" w:hAnsi="Times New Roman"/>
                <w:color w:val="FF0000"/>
              </w:rPr>
            </w:pPr>
            <w:r w:rsidRPr="002901EE">
              <w:rPr>
                <w:rFonts w:eastAsiaTheme="minorEastAsia" w:hAnsi="Times New Roman"/>
                <w:color w:val="FF0000"/>
              </w:rPr>
              <w:t>土方开挖</w:t>
            </w:r>
            <w:r w:rsidRPr="002901EE">
              <w:rPr>
                <w:rFonts w:eastAsiaTheme="minorEastAsia" w:hAnsi="Times New Roman"/>
                <w:color w:val="FF0000"/>
              </w:rPr>
              <w:t>13</w:t>
            </w:r>
            <w:r w:rsidR="002901EE" w:rsidRPr="002901EE">
              <w:rPr>
                <w:rFonts w:eastAsiaTheme="minorEastAsia" w:hAnsi="Times New Roman" w:hint="eastAsia"/>
                <w:color w:val="FF0000"/>
              </w:rPr>
              <w:t>8.4</w:t>
            </w:r>
            <w:r w:rsidRPr="002901EE">
              <w:rPr>
                <w:rFonts w:eastAsiaTheme="minorEastAsia" w:hAnsi="Times New Roman"/>
                <w:color w:val="FF0000"/>
              </w:rPr>
              <w:t>万</w:t>
            </w:r>
            <w:r w:rsidRPr="002901EE">
              <w:rPr>
                <w:rFonts w:eastAsiaTheme="minorEastAsia" w:hAnsi="Times New Roman"/>
                <w:color w:val="FF0000"/>
              </w:rPr>
              <w:t>m</w:t>
            </w:r>
            <w:r w:rsidRPr="002901EE">
              <w:rPr>
                <w:rFonts w:eastAsiaTheme="minorEastAsia" w:hAnsi="Times New Roman"/>
                <w:color w:val="FF0000"/>
                <w:vertAlign w:val="superscript"/>
              </w:rPr>
              <w:t>3</w:t>
            </w:r>
            <w:r w:rsidRPr="002901EE">
              <w:rPr>
                <w:rFonts w:eastAsiaTheme="minorEastAsia" w:hAnsi="Times New Roman"/>
                <w:color w:val="FF0000"/>
              </w:rPr>
              <w:t>（含表土</w:t>
            </w:r>
            <w:r w:rsidRPr="002901EE">
              <w:rPr>
                <w:rFonts w:eastAsiaTheme="minorEastAsia" w:hAnsi="Times New Roman"/>
                <w:color w:val="FF0000"/>
              </w:rPr>
              <w:t>3</w:t>
            </w:r>
            <w:r w:rsidR="002901EE">
              <w:rPr>
                <w:rFonts w:eastAsiaTheme="minorEastAsia" w:hAnsi="Times New Roman" w:hint="eastAsia"/>
                <w:color w:val="FF0000"/>
              </w:rPr>
              <w:t>8.7</w:t>
            </w:r>
            <w:r w:rsidRPr="002901EE">
              <w:rPr>
                <w:rFonts w:eastAsiaTheme="minorEastAsia" w:hAnsi="Times New Roman"/>
                <w:color w:val="FF0000"/>
              </w:rPr>
              <w:t>万</w:t>
            </w:r>
            <w:r w:rsidRPr="002901EE">
              <w:rPr>
                <w:rFonts w:eastAsiaTheme="minorEastAsia" w:hAnsi="Times New Roman"/>
                <w:color w:val="FF0000"/>
              </w:rPr>
              <w:t>m</w:t>
            </w:r>
            <w:r w:rsidRPr="002901EE">
              <w:rPr>
                <w:rFonts w:eastAsiaTheme="minorEastAsia" w:hAnsi="Times New Roman"/>
                <w:color w:val="FF0000"/>
                <w:vertAlign w:val="superscript"/>
              </w:rPr>
              <w:t>3</w:t>
            </w:r>
            <w:r w:rsidRPr="002901EE">
              <w:rPr>
                <w:rFonts w:eastAsiaTheme="minorEastAsia" w:hAnsi="Times New Roman"/>
                <w:color w:val="FF0000"/>
              </w:rPr>
              <w:t>）。土方回填</w:t>
            </w:r>
            <w:r w:rsidRPr="002901EE">
              <w:rPr>
                <w:rFonts w:eastAsiaTheme="minorEastAsia" w:hAnsi="Times New Roman"/>
                <w:color w:val="FF0000"/>
              </w:rPr>
              <w:t>1</w:t>
            </w:r>
            <w:r w:rsidR="002901EE" w:rsidRPr="002901EE">
              <w:rPr>
                <w:rFonts w:eastAsiaTheme="minorEastAsia" w:hAnsi="Times New Roman" w:hint="eastAsia"/>
                <w:color w:val="FF0000"/>
              </w:rPr>
              <w:t>93.</w:t>
            </w:r>
            <w:r w:rsidR="002901EE">
              <w:rPr>
                <w:rFonts w:eastAsiaTheme="minorEastAsia" w:hAnsi="Times New Roman" w:hint="eastAsia"/>
                <w:color w:val="FF0000"/>
              </w:rPr>
              <w:t>8</w:t>
            </w:r>
            <w:r w:rsidRPr="002901EE">
              <w:rPr>
                <w:rFonts w:eastAsiaTheme="minorEastAsia" w:hAnsi="Times New Roman"/>
                <w:color w:val="FF0000"/>
              </w:rPr>
              <w:t>万</w:t>
            </w:r>
            <w:r w:rsidRPr="002901EE">
              <w:rPr>
                <w:rFonts w:eastAsiaTheme="minorEastAsia" w:hAnsi="Times New Roman"/>
                <w:color w:val="FF0000"/>
              </w:rPr>
              <w:t>m</w:t>
            </w:r>
            <w:r w:rsidRPr="002901EE">
              <w:rPr>
                <w:rFonts w:eastAsiaTheme="minorEastAsia" w:hAnsi="Times New Roman"/>
                <w:color w:val="FF0000"/>
                <w:vertAlign w:val="superscript"/>
              </w:rPr>
              <w:t>3</w:t>
            </w:r>
            <w:r w:rsidRPr="002901EE">
              <w:rPr>
                <w:rFonts w:eastAsiaTheme="minorEastAsia" w:hAnsi="Times New Roman"/>
                <w:color w:val="FF0000"/>
              </w:rPr>
              <w:t>（含表土</w:t>
            </w:r>
            <w:r w:rsidR="002901EE">
              <w:rPr>
                <w:rFonts w:eastAsiaTheme="minorEastAsia" w:hAnsi="Times New Roman" w:hint="eastAsia"/>
                <w:color w:val="FF0000"/>
              </w:rPr>
              <w:t>44</w:t>
            </w:r>
            <w:r w:rsidRPr="002901EE">
              <w:rPr>
                <w:rFonts w:eastAsiaTheme="minorEastAsia" w:hAnsi="Times New Roman"/>
                <w:color w:val="FF0000"/>
              </w:rPr>
              <w:t>万</w:t>
            </w:r>
            <w:r w:rsidRPr="002901EE">
              <w:rPr>
                <w:rFonts w:eastAsiaTheme="minorEastAsia" w:hAnsi="Times New Roman"/>
                <w:color w:val="FF0000"/>
              </w:rPr>
              <w:t>m</w:t>
            </w:r>
            <w:r w:rsidRPr="002901EE">
              <w:rPr>
                <w:rFonts w:eastAsiaTheme="minorEastAsia" w:hAnsi="Times New Roman"/>
                <w:color w:val="FF0000"/>
                <w:vertAlign w:val="superscript"/>
              </w:rPr>
              <w:t>3</w:t>
            </w:r>
            <w:r w:rsidRPr="002901EE">
              <w:rPr>
                <w:rFonts w:eastAsiaTheme="minorEastAsia" w:hAnsi="Times New Roman"/>
                <w:color w:val="FF0000"/>
              </w:rPr>
              <w:t>）。利用方</w:t>
            </w:r>
            <w:r w:rsidR="002901EE">
              <w:rPr>
                <w:rFonts w:eastAsiaTheme="minorEastAsia" w:hAnsi="Times New Roman" w:hint="eastAsia"/>
                <w:color w:val="FF0000"/>
              </w:rPr>
              <w:t>103.8</w:t>
            </w:r>
            <w:r w:rsidRPr="002901EE">
              <w:rPr>
                <w:rFonts w:eastAsiaTheme="minorEastAsia" w:hAnsi="Times New Roman"/>
                <w:color w:val="FF0000"/>
              </w:rPr>
              <w:t>万</w:t>
            </w:r>
            <w:r w:rsidRPr="002901EE">
              <w:rPr>
                <w:rFonts w:eastAsiaTheme="minorEastAsia" w:hAnsi="Times New Roman"/>
                <w:color w:val="FF0000"/>
              </w:rPr>
              <w:t>m</w:t>
            </w:r>
            <w:r w:rsidRPr="002901EE">
              <w:rPr>
                <w:rFonts w:eastAsiaTheme="minorEastAsia" w:hAnsi="Times New Roman"/>
                <w:color w:val="FF0000"/>
                <w:vertAlign w:val="superscript"/>
              </w:rPr>
              <w:t>3</w:t>
            </w:r>
            <w:r w:rsidRPr="002901EE">
              <w:rPr>
                <w:rFonts w:eastAsiaTheme="minorEastAsia" w:hAnsi="Times New Roman"/>
                <w:color w:val="FF0000"/>
              </w:rPr>
              <w:t>（含表土</w:t>
            </w:r>
            <w:r w:rsidR="002901EE">
              <w:rPr>
                <w:rFonts w:eastAsiaTheme="minorEastAsia" w:hAnsi="Times New Roman" w:hint="eastAsia"/>
                <w:color w:val="FF0000"/>
              </w:rPr>
              <w:t>38.5</w:t>
            </w:r>
            <w:r w:rsidRPr="002901EE">
              <w:rPr>
                <w:rFonts w:eastAsiaTheme="minorEastAsia" w:hAnsi="Times New Roman"/>
                <w:color w:val="FF0000"/>
              </w:rPr>
              <w:t>万</w:t>
            </w:r>
            <w:r w:rsidRPr="002901EE">
              <w:rPr>
                <w:rFonts w:eastAsiaTheme="minorEastAsia" w:hAnsi="Times New Roman"/>
                <w:color w:val="FF0000"/>
              </w:rPr>
              <w:t>m</w:t>
            </w:r>
            <w:r w:rsidRPr="002901EE">
              <w:rPr>
                <w:rFonts w:eastAsiaTheme="minorEastAsia" w:hAnsi="Times New Roman"/>
                <w:color w:val="FF0000"/>
                <w:vertAlign w:val="superscript"/>
              </w:rPr>
              <w:t>3</w:t>
            </w:r>
            <w:r w:rsidRPr="002901EE">
              <w:rPr>
                <w:rFonts w:eastAsiaTheme="minorEastAsia" w:hAnsi="Times New Roman"/>
                <w:color w:val="FF0000"/>
              </w:rPr>
              <w:t>），借方</w:t>
            </w:r>
            <w:r w:rsidRPr="002901EE">
              <w:rPr>
                <w:rFonts w:eastAsiaTheme="minorEastAsia" w:hAnsi="Times New Roman"/>
                <w:color w:val="FF0000"/>
              </w:rPr>
              <w:t>90</w:t>
            </w:r>
            <w:r w:rsidRPr="002901EE">
              <w:rPr>
                <w:rFonts w:eastAsiaTheme="minorEastAsia" w:hAnsi="Times New Roman"/>
                <w:color w:val="FF0000"/>
              </w:rPr>
              <w:t>万</w:t>
            </w:r>
            <w:r w:rsidRPr="002901EE">
              <w:rPr>
                <w:rFonts w:eastAsiaTheme="minorEastAsia" w:hAnsi="Times New Roman"/>
                <w:color w:val="FF0000"/>
              </w:rPr>
              <w:t>m</w:t>
            </w:r>
            <w:r w:rsidRPr="002901EE">
              <w:rPr>
                <w:rFonts w:eastAsiaTheme="minorEastAsia" w:hAnsi="Times New Roman"/>
                <w:color w:val="FF0000"/>
                <w:vertAlign w:val="superscript"/>
              </w:rPr>
              <w:t>3</w:t>
            </w:r>
            <w:r w:rsidRPr="002901EE">
              <w:rPr>
                <w:rFonts w:eastAsiaTheme="minorEastAsia" w:hAnsi="Times New Roman"/>
                <w:color w:val="FF0000"/>
              </w:rPr>
              <w:t>（含表土</w:t>
            </w:r>
            <w:r w:rsidRPr="002901EE">
              <w:rPr>
                <w:rFonts w:eastAsiaTheme="minorEastAsia" w:hAnsi="Times New Roman"/>
                <w:color w:val="FF0000"/>
              </w:rPr>
              <w:t>5.5</w:t>
            </w:r>
            <w:r w:rsidRPr="002901EE">
              <w:rPr>
                <w:rFonts w:eastAsiaTheme="minorEastAsia" w:hAnsi="Times New Roman"/>
                <w:color w:val="FF0000"/>
              </w:rPr>
              <w:t>万</w:t>
            </w:r>
            <w:r w:rsidRPr="002901EE">
              <w:rPr>
                <w:rFonts w:eastAsiaTheme="minorEastAsia" w:hAnsi="Times New Roman"/>
                <w:color w:val="FF0000"/>
              </w:rPr>
              <w:t>m</w:t>
            </w:r>
            <w:r w:rsidRPr="002901EE">
              <w:rPr>
                <w:rFonts w:eastAsiaTheme="minorEastAsia" w:hAnsi="Times New Roman"/>
                <w:color w:val="FF0000"/>
                <w:vertAlign w:val="superscript"/>
              </w:rPr>
              <w:t>3</w:t>
            </w:r>
            <w:r w:rsidRPr="002901EE">
              <w:rPr>
                <w:rFonts w:eastAsiaTheme="minorEastAsia" w:hAnsi="Times New Roman"/>
                <w:color w:val="FF0000"/>
              </w:rPr>
              <w:t>）。弃方</w:t>
            </w:r>
            <w:r w:rsidRPr="002901EE">
              <w:rPr>
                <w:rFonts w:eastAsiaTheme="minorEastAsia" w:hAnsi="Times New Roman"/>
                <w:color w:val="FF0000"/>
              </w:rPr>
              <w:t>34.6</w:t>
            </w:r>
            <w:r w:rsidRPr="002901EE">
              <w:rPr>
                <w:rFonts w:eastAsiaTheme="minorEastAsia" w:hAnsi="Times New Roman"/>
                <w:color w:val="FF0000"/>
              </w:rPr>
              <w:t>万</w:t>
            </w:r>
            <w:r w:rsidRPr="002901EE">
              <w:rPr>
                <w:rFonts w:eastAsiaTheme="minorEastAsia" w:hAnsi="Times New Roman"/>
                <w:color w:val="FF0000"/>
              </w:rPr>
              <w:t>m</w:t>
            </w:r>
            <w:r w:rsidRPr="002901EE">
              <w:rPr>
                <w:rFonts w:eastAsiaTheme="minorEastAsia" w:hAnsi="Times New Roman"/>
                <w:color w:val="FF0000"/>
                <w:vertAlign w:val="superscript"/>
              </w:rPr>
              <w:t>3</w:t>
            </w:r>
            <w:r w:rsidRPr="002901EE">
              <w:rPr>
                <w:rFonts w:eastAsiaTheme="minorEastAsia" w:hAnsi="Times New Roman"/>
                <w:color w:val="FF0000"/>
              </w:rPr>
              <w:t>（建筑垃圾大部分用于</w:t>
            </w:r>
            <w:r w:rsidRPr="002901EE">
              <w:rPr>
                <w:rFonts w:eastAsiaTheme="minorEastAsia" w:hAnsi="Times New Roman"/>
                <w:snapToGrid w:val="0"/>
                <w:color w:val="FF0000"/>
                <w:kern w:val="0"/>
              </w:rPr>
              <w:t>田块整治工程，剩余</w:t>
            </w:r>
            <w:r w:rsidRPr="002901EE">
              <w:rPr>
                <w:rFonts w:eastAsiaTheme="minorEastAsia" w:hAnsi="Times New Roman"/>
                <w:color w:val="FF0000"/>
              </w:rPr>
              <w:t>及时送至建材公司回用，废泥浆</w:t>
            </w:r>
            <w:r w:rsidRPr="00730492">
              <w:rPr>
                <w:rFonts w:eastAsiaTheme="minorEastAsia" w:hAnsi="Times New Roman"/>
                <w:color w:val="FF0000"/>
              </w:rPr>
              <w:t>风干后用于周围道路平整，</w:t>
            </w:r>
            <w:r w:rsidR="00730492" w:rsidRPr="00730492">
              <w:rPr>
                <w:rFonts w:eastAsiaTheme="minorEastAsia" w:hAnsi="Times New Roman" w:hint="eastAsia"/>
                <w:bCs/>
                <w:color w:val="FF0000"/>
              </w:rPr>
              <w:t>排水沟淤泥培至工程附近</w:t>
            </w:r>
            <w:r w:rsidR="00730492" w:rsidRPr="00730492">
              <w:rPr>
                <w:rFonts w:eastAsiaTheme="minorEastAsia" w:hAnsi="Times New Roman" w:hint="eastAsia"/>
                <w:bCs/>
                <w:color w:val="FF0000"/>
              </w:rPr>
              <w:t>200</w:t>
            </w:r>
            <w:r w:rsidR="00730492">
              <w:rPr>
                <w:rFonts w:eastAsiaTheme="minorEastAsia" w:hAnsi="Times New Roman" w:hint="eastAsia"/>
                <w:bCs/>
                <w:color w:val="FF0000"/>
              </w:rPr>
              <w:t>米范围内无环境保护目标的排水沟两侧</w:t>
            </w:r>
            <w:r w:rsidRPr="00730492">
              <w:rPr>
                <w:rFonts w:eastAsiaTheme="minorEastAsia" w:hAnsi="Times New Roman"/>
                <w:color w:val="FF0000"/>
              </w:rPr>
              <w:t>）</w:t>
            </w:r>
          </w:p>
        </w:tc>
      </w:tr>
      <w:tr w:rsidR="00AB10DD" w:rsidRPr="00F9522B" w:rsidTr="00AB10DD">
        <w:trPr>
          <w:trHeight w:val="103"/>
          <w:jc w:val="center"/>
        </w:trPr>
        <w:tc>
          <w:tcPr>
            <w:tcW w:w="395" w:type="pct"/>
            <w:vMerge w:val="restart"/>
            <w:vAlign w:val="center"/>
          </w:tcPr>
          <w:p w:rsidR="00AB10DD" w:rsidRPr="00F9522B" w:rsidRDefault="00AB10DD" w:rsidP="009D380C">
            <w:pPr>
              <w:pStyle w:val="aff7"/>
              <w:spacing w:line="0" w:lineRule="atLeast"/>
              <w:contextualSpacing/>
              <w:rPr>
                <w:rFonts w:eastAsiaTheme="minorEastAsia" w:hAnsi="Times New Roman"/>
              </w:rPr>
            </w:pPr>
            <w:r w:rsidRPr="00F9522B">
              <w:rPr>
                <w:rFonts w:eastAsiaTheme="minorEastAsia" w:hAnsi="Times New Roman"/>
              </w:rPr>
              <w:t>临时工程</w:t>
            </w:r>
          </w:p>
        </w:tc>
        <w:tc>
          <w:tcPr>
            <w:tcW w:w="500" w:type="pct"/>
            <w:vAlign w:val="center"/>
          </w:tcPr>
          <w:p w:rsidR="00AB10DD" w:rsidRPr="00F9522B" w:rsidRDefault="00AB10DD">
            <w:pPr>
              <w:jc w:val="center"/>
              <w:rPr>
                <w:rFonts w:eastAsiaTheme="minorEastAsia"/>
                <w:szCs w:val="21"/>
              </w:rPr>
            </w:pPr>
            <w:r w:rsidRPr="00F9522B">
              <w:rPr>
                <w:rFonts w:eastAsiaTheme="minorEastAsia"/>
                <w:szCs w:val="21"/>
              </w:rPr>
              <w:t>施工道路</w:t>
            </w:r>
          </w:p>
        </w:tc>
        <w:tc>
          <w:tcPr>
            <w:tcW w:w="3411" w:type="pct"/>
            <w:vAlign w:val="center"/>
          </w:tcPr>
          <w:p w:rsidR="00AB10DD" w:rsidRPr="00F9522B" w:rsidRDefault="00AB10DD">
            <w:pPr>
              <w:spacing w:line="0" w:lineRule="atLeast"/>
              <w:jc w:val="left"/>
              <w:rPr>
                <w:rFonts w:eastAsiaTheme="minorEastAsia"/>
                <w:szCs w:val="21"/>
              </w:rPr>
            </w:pPr>
            <w:r w:rsidRPr="00F9522B">
              <w:rPr>
                <w:rFonts w:eastAsiaTheme="minorEastAsia"/>
                <w:szCs w:val="21"/>
              </w:rPr>
              <w:t>大部分工程利用现有水泥路、砂石路及村地头路。</w:t>
            </w:r>
            <w:r w:rsidRPr="00F9522B">
              <w:rPr>
                <w:rFonts w:eastAsiaTheme="minorEastAsia"/>
                <w:bCs/>
                <w:kern w:val="0"/>
                <w:szCs w:val="21"/>
              </w:rPr>
              <w:t>输配电</w:t>
            </w:r>
            <w:r w:rsidRPr="00F9522B">
              <w:rPr>
                <w:rFonts w:eastAsiaTheme="minorEastAsia"/>
                <w:szCs w:val="21"/>
              </w:rPr>
              <w:t>、排水、涵洞等</w:t>
            </w:r>
            <w:r w:rsidRPr="00F9522B">
              <w:rPr>
                <w:rFonts w:eastAsiaTheme="minorEastAsia"/>
                <w:bCs/>
                <w:kern w:val="0"/>
                <w:szCs w:val="21"/>
              </w:rPr>
              <w:t>工程</w:t>
            </w:r>
            <w:r w:rsidRPr="00F9522B">
              <w:rPr>
                <w:rFonts w:eastAsiaTheme="minorEastAsia"/>
              </w:rPr>
              <w:t>地点均距离道路较近，</w:t>
            </w:r>
            <w:r w:rsidRPr="00F9522B">
              <w:rPr>
                <w:rFonts w:eastAsiaTheme="minorEastAsia"/>
                <w:szCs w:val="21"/>
              </w:rPr>
              <w:t>不设置临时道路；</w:t>
            </w:r>
            <w:r w:rsidRPr="00F9522B">
              <w:rPr>
                <w:rFonts w:eastAsiaTheme="minorEastAsia"/>
              </w:rPr>
              <w:t>灌溉井工程运输机械进入施工场地过程中占用少量农田，</w:t>
            </w:r>
            <w:r w:rsidRPr="00F9522B">
              <w:rPr>
                <w:rFonts w:eastAsiaTheme="minorEastAsia"/>
                <w:szCs w:val="21"/>
              </w:rPr>
              <w:t>作为临时道路（宽约</w:t>
            </w:r>
            <w:r w:rsidRPr="00F9522B">
              <w:rPr>
                <w:rFonts w:eastAsiaTheme="minorEastAsia"/>
                <w:szCs w:val="21"/>
              </w:rPr>
              <w:t>2m</w:t>
            </w:r>
            <w:r w:rsidRPr="00F9522B">
              <w:rPr>
                <w:rFonts w:eastAsiaTheme="minorEastAsia"/>
                <w:szCs w:val="21"/>
              </w:rPr>
              <w:t>，临时占地共约</w:t>
            </w:r>
            <w:r w:rsidRPr="00F9522B">
              <w:rPr>
                <w:rFonts w:eastAsiaTheme="minorEastAsia"/>
                <w:szCs w:val="21"/>
              </w:rPr>
              <w:t>2640m</w:t>
            </w:r>
            <w:r w:rsidRPr="00F9522B">
              <w:rPr>
                <w:rFonts w:eastAsiaTheme="minorEastAsia"/>
                <w:szCs w:val="21"/>
                <w:vertAlign w:val="superscript"/>
              </w:rPr>
              <w:t>2</w:t>
            </w:r>
            <w:r w:rsidRPr="00F9522B">
              <w:rPr>
                <w:rFonts w:eastAsiaTheme="minorEastAsia"/>
                <w:szCs w:val="21"/>
              </w:rPr>
              <w:t>）</w:t>
            </w:r>
          </w:p>
        </w:tc>
        <w:tc>
          <w:tcPr>
            <w:tcW w:w="694" w:type="pct"/>
            <w:vAlign w:val="center"/>
          </w:tcPr>
          <w:p w:rsidR="00AB10DD" w:rsidRPr="00F9522B" w:rsidRDefault="00AB10DD">
            <w:pPr>
              <w:pStyle w:val="aff7"/>
              <w:spacing w:line="0" w:lineRule="atLeast"/>
              <w:contextualSpacing/>
              <w:rPr>
                <w:rFonts w:eastAsiaTheme="minorEastAsia" w:hAnsi="Times New Roman"/>
              </w:rPr>
            </w:pPr>
            <w:r w:rsidRPr="00F9522B">
              <w:rPr>
                <w:rFonts w:eastAsiaTheme="minorEastAsia" w:hAnsi="Times New Roman"/>
              </w:rPr>
              <w:t>灌溉井工程新建；其余依托现有</w:t>
            </w:r>
          </w:p>
        </w:tc>
      </w:tr>
      <w:tr w:rsidR="00AB10DD" w:rsidRPr="00F9522B" w:rsidTr="00AB10DD">
        <w:trPr>
          <w:trHeight w:val="103"/>
          <w:jc w:val="center"/>
        </w:trPr>
        <w:tc>
          <w:tcPr>
            <w:tcW w:w="395" w:type="pct"/>
            <w:vMerge/>
            <w:vAlign w:val="center"/>
          </w:tcPr>
          <w:p w:rsidR="00AB10DD" w:rsidRPr="00F9522B" w:rsidRDefault="00AB10DD" w:rsidP="009D380C">
            <w:pPr>
              <w:pStyle w:val="aff7"/>
              <w:spacing w:line="0" w:lineRule="atLeast"/>
              <w:contextualSpacing/>
              <w:rPr>
                <w:rFonts w:eastAsiaTheme="minorEastAsia" w:hAnsi="Times New Roman"/>
              </w:rPr>
            </w:pPr>
          </w:p>
        </w:tc>
        <w:tc>
          <w:tcPr>
            <w:tcW w:w="500" w:type="pct"/>
            <w:vAlign w:val="center"/>
          </w:tcPr>
          <w:p w:rsidR="00AB10DD" w:rsidRPr="00F9522B" w:rsidRDefault="00AB10DD">
            <w:pPr>
              <w:jc w:val="center"/>
              <w:rPr>
                <w:rFonts w:eastAsiaTheme="minorEastAsia"/>
                <w:szCs w:val="21"/>
              </w:rPr>
            </w:pPr>
            <w:r w:rsidRPr="00F9522B">
              <w:rPr>
                <w:rFonts w:eastAsiaTheme="minorEastAsia"/>
                <w:szCs w:val="21"/>
              </w:rPr>
              <w:t>施工场地</w:t>
            </w:r>
          </w:p>
        </w:tc>
        <w:tc>
          <w:tcPr>
            <w:tcW w:w="3411" w:type="pct"/>
            <w:vAlign w:val="center"/>
          </w:tcPr>
          <w:p w:rsidR="00AB10DD" w:rsidRPr="00F9522B" w:rsidRDefault="00AB10DD" w:rsidP="00617138">
            <w:pPr>
              <w:spacing w:line="0" w:lineRule="atLeast"/>
              <w:jc w:val="left"/>
              <w:rPr>
                <w:rFonts w:eastAsiaTheme="minorEastAsia"/>
                <w:szCs w:val="21"/>
              </w:rPr>
            </w:pPr>
            <w:r w:rsidRPr="00F9522B">
              <w:rPr>
                <w:rFonts w:eastAsiaTheme="minorEastAsia"/>
                <w:szCs w:val="21"/>
              </w:rPr>
              <w:t>田间道路工程在现有道路基础上修建，现有</w:t>
            </w:r>
            <w:r w:rsidRPr="00F9522B">
              <w:rPr>
                <w:rFonts w:eastAsiaTheme="minorEastAsia"/>
                <w:snapToGrid w:val="0"/>
                <w:kern w:val="0"/>
              </w:rPr>
              <w:t>灌溉渠道衬砌，</w:t>
            </w:r>
            <w:r w:rsidRPr="00F9522B">
              <w:rPr>
                <w:rFonts w:eastAsiaTheme="minorEastAsia"/>
                <w:szCs w:val="21"/>
              </w:rPr>
              <w:t>现有排水沟清淤，田块整治工程</w:t>
            </w:r>
            <w:r w:rsidRPr="00F9522B">
              <w:rPr>
                <w:rFonts w:eastAsiaTheme="minorEastAsia"/>
                <w:bCs/>
              </w:rPr>
              <w:t>在永久占地范围内</w:t>
            </w:r>
            <w:r w:rsidRPr="00F9522B">
              <w:rPr>
                <w:rFonts w:eastAsiaTheme="minorEastAsia"/>
                <w:szCs w:val="21"/>
              </w:rPr>
              <w:t>，不新增临时占地；机电井工程每口设置</w:t>
            </w:r>
            <w:r w:rsidRPr="00F9522B">
              <w:rPr>
                <w:rFonts w:eastAsiaTheme="minorEastAsia"/>
                <w:szCs w:val="21"/>
              </w:rPr>
              <w:t>1</w:t>
            </w:r>
            <w:r w:rsidRPr="00F9522B">
              <w:rPr>
                <w:rFonts w:eastAsiaTheme="minorEastAsia"/>
                <w:szCs w:val="21"/>
              </w:rPr>
              <w:t>处</w:t>
            </w:r>
            <w:r w:rsidRPr="00F9522B">
              <w:rPr>
                <w:rFonts w:eastAsiaTheme="minorEastAsia"/>
                <w:szCs w:val="21"/>
              </w:rPr>
              <w:t>20m</w:t>
            </w:r>
            <w:r w:rsidRPr="00F9522B">
              <w:rPr>
                <w:rFonts w:eastAsiaTheme="minorEastAsia"/>
                <w:szCs w:val="21"/>
                <w:vertAlign w:val="superscript"/>
              </w:rPr>
              <w:t>2</w:t>
            </w:r>
            <w:r w:rsidRPr="00F9522B">
              <w:rPr>
                <w:rFonts w:eastAsiaTheme="minorEastAsia"/>
                <w:szCs w:val="21"/>
              </w:rPr>
              <w:t>临时占地，共</w:t>
            </w:r>
            <w:r w:rsidRPr="00F9522B">
              <w:rPr>
                <w:rFonts w:eastAsiaTheme="minorEastAsia"/>
                <w:szCs w:val="21"/>
              </w:rPr>
              <w:t>5280m</w:t>
            </w:r>
            <w:r w:rsidRPr="00F9522B">
              <w:rPr>
                <w:rFonts w:eastAsiaTheme="minorEastAsia"/>
                <w:szCs w:val="21"/>
                <w:vertAlign w:val="superscript"/>
              </w:rPr>
              <w:t>2</w:t>
            </w:r>
            <w:r w:rsidRPr="00F9522B">
              <w:rPr>
                <w:rFonts w:eastAsiaTheme="minorEastAsia"/>
                <w:szCs w:val="21"/>
              </w:rPr>
              <w:t>；涵洞等建筑物工程每座设置</w:t>
            </w:r>
            <w:r w:rsidRPr="00F9522B">
              <w:rPr>
                <w:rFonts w:eastAsiaTheme="minorEastAsia"/>
                <w:szCs w:val="21"/>
              </w:rPr>
              <w:t>1</w:t>
            </w:r>
            <w:r w:rsidRPr="00F9522B">
              <w:rPr>
                <w:rFonts w:eastAsiaTheme="minorEastAsia"/>
                <w:szCs w:val="21"/>
              </w:rPr>
              <w:t>处</w:t>
            </w:r>
            <w:r w:rsidRPr="00F9522B">
              <w:rPr>
                <w:rFonts w:eastAsiaTheme="minorEastAsia"/>
                <w:szCs w:val="21"/>
              </w:rPr>
              <w:t>20m</w:t>
            </w:r>
            <w:r w:rsidRPr="00F9522B">
              <w:rPr>
                <w:rFonts w:eastAsiaTheme="minorEastAsia"/>
                <w:szCs w:val="21"/>
                <w:vertAlign w:val="superscript"/>
              </w:rPr>
              <w:t>2</w:t>
            </w:r>
            <w:r w:rsidRPr="00F9522B">
              <w:rPr>
                <w:rFonts w:eastAsiaTheme="minorEastAsia"/>
                <w:szCs w:val="21"/>
              </w:rPr>
              <w:t>临时占地，共</w:t>
            </w:r>
            <w:r w:rsidRPr="00F9522B">
              <w:rPr>
                <w:rFonts w:eastAsiaTheme="minorEastAsia"/>
                <w:szCs w:val="21"/>
              </w:rPr>
              <w:t>29000m</w:t>
            </w:r>
            <w:r w:rsidRPr="00F9522B">
              <w:rPr>
                <w:rFonts w:eastAsiaTheme="minorEastAsia"/>
                <w:szCs w:val="21"/>
                <w:vertAlign w:val="superscript"/>
              </w:rPr>
              <w:t>2</w:t>
            </w:r>
            <w:r w:rsidRPr="00F9522B">
              <w:rPr>
                <w:rFonts w:eastAsiaTheme="minorEastAsia"/>
                <w:szCs w:val="21"/>
              </w:rPr>
              <w:t>；</w:t>
            </w:r>
            <w:r w:rsidRPr="00F9522B">
              <w:rPr>
                <w:rFonts w:eastAsiaTheme="minorEastAsia"/>
                <w:bCs/>
                <w:kern w:val="0"/>
                <w:szCs w:val="21"/>
              </w:rPr>
              <w:t>农田输配电工程高压地埋输电线路</w:t>
            </w:r>
            <w:r w:rsidRPr="00F9522B">
              <w:rPr>
                <w:rFonts w:eastAsiaTheme="minorEastAsia"/>
                <w:bCs/>
                <w:kern w:val="0"/>
                <w:szCs w:val="21"/>
              </w:rPr>
              <w:t>49.224</w:t>
            </w:r>
            <w:r w:rsidRPr="00F9522B">
              <w:rPr>
                <w:rFonts w:eastAsiaTheme="minorEastAsia"/>
                <w:bCs/>
                <w:kern w:val="0"/>
                <w:szCs w:val="21"/>
              </w:rPr>
              <w:t>公里，低压地埋电线路</w:t>
            </w:r>
            <w:r w:rsidRPr="00F9522B">
              <w:rPr>
                <w:rFonts w:eastAsiaTheme="minorEastAsia"/>
                <w:bCs/>
                <w:kern w:val="0"/>
                <w:szCs w:val="21"/>
              </w:rPr>
              <w:t>29.676</w:t>
            </w:r>
            <w:r w:rsidRPr="00F9522B">
              <w:rPr>
                <w:rFonts w:eastAsiaTheme="minorEastAsia"/>
                <w:bCs/>
                <w:kern w:val="0"/>
                <w:szCs w:val="21"/>
              </w:rPr>
              <w:t>公里，高压、低压电缆开挖宽度为</w:t>
            </w:r>
            <w:r w:rsidRPr="00F9522B">
              <w:rPr>
                <w:rFonts w:eastAsiaTheme="minorEastAsia"/>
                <w:bCs/>
                <w:kern w:val="0"/>
                <w:szCs w:val="21"/>
              </w:rPr>
              <w:t>0.5m</w:t>
            </w:r>
            <w:r w:rsidRPr="00F9522B">
              <w:rPr>
                <w:rFonts w:eastAsiaTheme="minorEastAsia"/>
                <w:bCs/>
                <w:kern w:val="0"/>
                <w:szCs w:val="21"/>
              </w:rPr>
              <w:t>，</w:t>
            </w:r>
            <w:r w:rsidRPr="00F9522B">
              <w:rPr>
                <w:rFonts w:eastAsiaTheme="minorEastAsia"/>
                <w:bCs/>
                <w:color w:val="FF0000"/>
                <w:kern w:val="0"/>
                <w:szCs w:val="21"/>
              </w:rPr>
              <w:t>沿线一侧外扩</w:t>
            </w:r>
            <w:r w:rsidR="003C682E" w:rsidRPr="00F9522B">
              <w:rPr>
                <w:rFonts w:eastAsiaTheme="minorEastAsia"/>
                <w:bCs/>
                <w:color w:val="FF0000"/>
                <w:kern w:val="0"/>
                <w:szCs w:val="21"/>
              </w:rPr>
              <w:t>3</w:t>
            </w:r>
            <w:r w:rsidRPr="00F9522B">
              <w:rPr>
                <w:rFonts w:eastAsiaTheme="minorEastAsia"/>
                <w:bCs/>
                <w:color w:val="FF0000"/>
                <w:kern w:val="0"/>
                <w:szCs w:val="21"/>
              </w:rPr>
              <w:t>m</w:t>
            </w:r>
            <w:r w:rsidRPr="00F9522B">
              <w:rPr>
                <w:rFonts w:eastAsiaTheme="minorEastAsia"/>
                <w:bCs/>
                <w:color w:val="FF0000"/>
                <w:kern w:val="0"/>
                <w:szCs w:val="21"/>
              </w:rPr>
              <w:t>为临时占地施工场地，</w:t>
            </w:r>
            <w:r w:rsidR="003C682E" w:rsidRPr="00F9522B">
              <w:rPr>
                <w:rFonts w:eastAsiaTheme="minorEastAsia"/>
                <w:bCs/>
                <w:color w:val="FF0000"/>
                <w:kern w:val="0"/>
                <w:szCs w:val="21"/>
              </w:rPr>
              <w:t>变压器为杆上变压器，每处水泥电杆设置</w:t>
            </w:r>
            <w:r w:rsidR="00617138">
              <w:rPr>
                <w:rFonts w:eastAsiaTheme="minorEastAsia" w:hint="eastAsia"/>
                <w:bCs/>
                <w:color w:val="FF0000"/>
                <w:kern w:val="0"/>
                <w:szCs w:val="21"/>
              </w:rPr>
              <w:t>15</w:t>
            </w:r>
            <w:r w:rsidR="003C682E" w:rsidRPr="00F9522B">
              <w:rPr>
                <w:rFonts w:eastAsiaTheme="minorEastAsia"/>
                <w:bCs/>
                <w:color w:val="FF0000"/>
                <w:kern w:val="0"/>
                <w:szCs w:val="21"/>
              </w:rPr>
              <w:t>m</w:t>
            </w:r>
            <w:r w:rsidR="003C682E" w:rsidRPr="00F9522B">
              <w:rPr>
                <w:rFonts w:eastAsiaTheme="minorEastAsia"/>
                <w:bCs/>
                <w:color w:val="FF0000"/>
                <w:kern w:val="0"/>
                <w:szCs w:val="21"/>
                <w:vertAlign w:val="superscript"/>
              </w:rPr>
              <w:t>2</w:t>
            </w:r>
            <w:r w:rsidR="003C682E" w:rsidRPr="00F9522B">
              <w:rPr>
                <w:rFonts w:eastAsiaTheme="minorEastAsia"/>
                <w:bCs/>
                <w:color w:val="FF0000"/>
                <w:kern w:val="0"/>
                <w:szCs w:val="21"/>
              </w:rPr>
              <w:t>临时占</w:t>
            </w:r>
            <w:r w:rsidR="003C682E" w:rsidRPr="00617138">
              <w:rPr>
                <w:rFonts w:eastAsiaTheme="minorEastAsia"/>
                <w:bCs/>
                <w:color w:val="FF0000"/>
                <w:kern w:val="0"/>
                <w:szCs w:val="21"/>
              </w:rPr>
              <w:t>地</w:t>
            </w:r>
            <w:r w:rsidRPr="00617138">
              <w:rPr>
                <w:rFonts w:eastAsiaTheme="minorEastAsia"/>
                <w:bCs/>
                <w:color w:val="FF0000"/>
                <w:kern w:val="0"/>
                <w:szCs w:val="21"/>
              </w:rPr>
              <w:t>，临时占地共</w:t>
            </w:r>
            <w:r w:rsidR="00617138">
              <w:rPr>
                <w:rFonts w:eastAsiaTheme="minorEastAsia"/>
                <w:bCs/>
                <w:color w:val="FF0000"/>
                <w:kern w:val="0"/>
                <w:szCs w:val="21"/>
              </w:rPr>
              <w:t>257220</w:t>
            </w:r>
            <w:r w:rsidRPr="00617138">
              <w:rPr>
                <w:rFonts w:eastAsiaTheme="minorEastAsia"/>
                <w:color w:val="FF0000"/>
                <w:szCs w:val="21"/>
              </w:rPr>
              <w:t>m</w:t>
            </w:r>
            <w:r w:rsidRPr="00617138">
              <w:rPr>
                <w:rFonts w:eastAsiaTheme="minorEastAsia"/>
                <w:color w:val="FF0000"/>
                <w:szCs w:val="21"/>
                <w:vertAlign w:val="superscript"/>
              </w:rPr>
              <w:t>2</w:t>
            </w:r>
          </w:p>
        </w:tc>
        <w:tc>
          <w:tcPr>
            <w:tcW w:w="694" w:type="pct"/>
            <w:vAlign w:val="center"/>
          </w:tcPr>
          <w:p w:rsidR="00AB10DD" w:rsidRPr="00F9522B" w:rsidRDefault="00AB10DD">
            <w:pPr>
              <w:pStyle w:val="aff7"/>
              <w:spacing w:line="0" w:lineRule="atLeast"/>
              <w:contextualSpacing/>
              <w:rPr>
                <w:rFonts w:eastAsiaTheme="minorEastAsia" w:hAnsi="Times New Roman"/>
              </w:rPr>
            </w:pPr>
            <w:r w:rsidRPr="00F9522B">
              <w:rPr>
                <w:rFonts w:eastAsiaTheme="minorEastAsia" w:hAnsi="Times New Roman"/>
              </w:rPr>
              <w:t>新建</w:t>
            </w:r>
            <w:r w:rsidRPr="00F9522B">
              <w:rPr>
                <w:rFonts w:eastAsiaTheme="minorEastAsia" w:hAnsi="Times New Roman"/>
              </w:rPr>
              <w:t>/</w:t>
            </w:r>
            <w:r w:rsidRPr="00F9522B">
              <w:rPr>
                <w:rFonts w:eastAsiaTheme="minorEastAsia" w:hAnsi="Times New Roman"/>
              </w:rPr>
              <w:t>依托</w:t>
            </w:r>
          </w:p>
        </w:tc>
      </w:tr>
    </w:tbl>
    <w:p w:rsidR="00730492" w:rsidRDefault="00730492" w:rsidP="00DD5FB6">
      <w:pPr>
        <w:contextualSpacing/>
        <w:jc w:val="center"/>
        <w:rPr>
          <w:rFonts w:eastAsiaTheme="minorEastAsia"/>
          <w:b/>
          <w:kern w:val="0"/>
          <w:szCs w:val="21"/>
        </w:rPr>
      </w:pPr>
    </w:p>
    <w:p w:rsidR="00730492" w:rsidRDefault="00730492" w:rsidP="00DD5FB6">
      <w:pPr>
        <w:contextualSpacing/>
        <w:jc w:val="center"/>
        <w:rPr>
          <w:rFonts w:eastAsiaTheme="minorEastAsia"/>
          <w:b/>
          <w:kern w:val="0"/>
          <w:szCs w:val="21"/>
        </w:rPr>
      </w:pPr>
    </w:p>
    <w:p w:rsidR="00DD5FB6" w:rsidRPr="00F9522B" w:rsidRDefault="00DD5FB6" w:rsidP="00DD5FB6">
      <w:pPr>
        <w:contextualSpacing/>
        <w:jc w:val="center"/>
        <w:rPr>
          <w:rFonts w:eastAsiaTheme="minorEastAsia"/>
          <w:b/>
          <w:kern w:val="0"/>
          <w:szCs w:val="21"/>
        </w:rPr>
      </w:pPr>
      <w:r w:rsidRPr="00F9522B">
        <w:rPr>
          <w:rFonts w:eastAsiaTheme="minorEastAsia"/>
          <w:b/>
          <w:kern w:val="0"/>
          <w:szCs w:val="21"/>
        </w:rPr>
        <w:lastRenderedPageBreak/>
        <w:t>续表</w:t>
      </w:r>
      <w:r w:rsidRPr="00F9522B">
        <w:rPr>
          <w:rFonts w:eastAsiaTheme="minorEastAsia"/>
          <w:b/>
          <w:kern w:val="0"/>
          <w:szCs w:val="21"/>
        </w:rPr>
        <w:t>3-1-7</w:t>
      </w:r>
      <w:r w:rsidRPr="00F9522B">
        <w:rPr>
          <w:rFonts w:eastAsiaTheme="minorEastAsia"/>
          <w:b/>
          <w:kern w:val="0"/>
          <w:szCs w:val="21"/>
        </w:rPr>
        <w:t>工程组成一览表</w:t>
      </w:r>
    </w:p>
    <w:tbl>
      <w:tblPr>
        <w:tblW w:w="5000" w:type="pct"/>
        <w:jc w:val="center"/>
        <w:tblBorders>
          <w:top w:val="single" w:sz="12" w:space="0" w:color="auto"/>
          <w:bottom w:val="single" w:sz="12" w:space="0" w:color="auto"/>
          <w:insideH w:val="single" w:sz="4" w:space="0" w:color="auto"/>
          <w:insideV w:val="single" w:sz="4" w:space="0" w:color="auto"/>
        </w:tblBorders>
        <w:tblLook w:val="04A0"/>
      </w:tblPr>
      <w:tblGrid>
        <w:gridCol w:w="673"/>
        <w:gridCol w:w="852"/>
        <w:gridCol w:w="5814"/>
        <w:gridCol w:w="1183"/>
      </w:tblGrid>
      <w:tr w:rsidR="00AB10DD" w:rsidRPr="00F9522B" w:rsidTr="00AB10DD">
        <w:trPr>
          <w:trHeight w:val="103"/>
          <w:jc w:val="center"/>
        </w:trPr>
        <w:tc>
          <w:tcPr>
            <w:tcW w:w="395" w:type="pct"/>
            <w:vMerge w:val="restart"/>
            <w:vAlign w:val="center"/>
          </w:tcPr>
          <w:p w:rsidR="00AB10DD" w:rsidRPr="00F9522B" w:rsidRDefault="00DD5FB6">
            <w:pPr>
              <w:pStyle w:val="aff7"/>
              <w:spacing w:line="0" w:lineRule="atLeast"/>
              <w:contextualSpacing/>
              <w:rPr>
                <w:rFonts w:eastAsiaTheme="minorEastAsia" w:hAnsi="Times New Roman"/>
              </w:rPr>
            </w:pPr>
            <w:r w:rsidRPr="00F9522B">
              <w:rPr>
                <w:rFonts w:eastAsiaTheme="minorEastAsia" w:hAnsi="Times New Roman"/>
              </w:rPr>
              <w:t>临时工程</w:t>
            </w:r>
          </w:p>
        </w:tc>
        <w:tc>
          <w:tcPr>
            <w:tcW w:w="500" w:type="pct"/>
            <w:vAlign w:val="center"/>
          </w:tcPr>
          <w:p w:rsidR="00AB10DD" w:rsidRPr="00F9522B" w:rsidRDefault="00AB10DD">
            <w:pPr>
              <w:jc w:val="center"/>
              <w:rPr>
                <w:rFonts w:eastAsiaTheme="minorEastAsia"/>
                <w:szCs w:val="21"/>
              </w:rPr>
            </w:pPr>
            <w:r w:rsidRPr="00F9522B">
              <w:rPr>
                <w:rFonts w:eastAsiaTheme="minorEastAsia"/>
                <w:szCs w:val="21"/>
              </w:rPr>
              <w:t>生活区</w:t>
            </w:r>
          </w:p>
        </w:tc>
        <w:tc>
          <w:tcPr>
            <w:tcW w:w="3411" w:type="pct"/>
            <w:vAlign w:val="center"/>
          </w:tcPr>
          <w:p w:rsidR="00AB10DD" w:rsidRPr="00F9522B" w:rsidRDefault="00AB10DD">
            <w:pPr>
              <w:spacing w:line="0" w:lineRule="atLeast"/>
              <w:jc w:val="left"/>
              <w:rPr>
                <w:rFonts w:eastAsiaTheme="minorEastAsia"/>
                <w:szCs w:val="21"/>
              </w:rPr>
            </w:pPr>
            <w:r w:rsidRPr="00F9522B">
              <w:rPr>
                <w:rFonts w:eastAsiaTheme="minorEastAsia"/>
                <w:szCs w:val="21"/>
              </w:rPr>
              <w:t>生活区依托附近民房，因此，不设置施工生活区</w:t>
            </w:r>
          </w:p>
        </w:tc>
        <w:tc>
          <w:tcPr>
            <w:tcW w:w="694" w:type="pct"/>
            <w:vAlign w:val="center"/>
          </w:tcPr>
          <w:p w:rsidR="00AB10DD" w:rsidRPr="00F9522B" w:rsidRDefault="00AB10DD">
            <w:pPr>
              <w:pStyle w:val="aff7"/>
              <w:spacing w:line="0" w:lineRule="atLeast"/>
              <w:contextualSpacing/>
              <w:rPr>
                <w:rFonts w:eastAsiaTheme="minorEastAsia" w:hAnsi="Times New Roman"/>
              </w:rPr>
            </w:pPr>
            <w:r w:rsidRPr="00F9522B">
              <w:rPr>
                <w:rFonts w:eastAsiaTheme="minorEastAsia" w:hAnsi="Times New Roman"/>
              </w:rPr>
              <w:t>依托</w:t>
            </w:r>
          </w:p>
        </w:tc>
      </w:tr>
      <w:tr w:rsidR="00AB10DD" w:rsidRPr="00F9522B" w:rsidTr="00AB10DD">
        <w:trPr>
          <w:trHeight w:val="64"/>
          <w:jc w:val="center"/>
        </w:trPr>
        <w:tc>
          <w:tcPr>
            <w:tcW w:w="395" w:type="pct"/>
            <w:vMerge/>
            <w:vAlign w:val="center"/>
          </w:tcPr>
          <w:p w:rsidR="00AB10DD" w:rsidRPr="00F9522B" w:rsidRDefault="00AB10DD">
            <w:pPr>
              <w:pStyle w:val="aff7"/>
              <w:spacing w:line="0" w:lineRule="atLeast"/>
              <w:contextualSpacing/>
              <w:rPr>
                <w:rFonts w:eastAsiaTheme="minorEastAsia" w:hAnsi="Times New Roman"/>
              </w:rPr>
            </w:pPr>
          </w:p>
        </w:tc>
        <w:tc>
          <w:tcPr>
            <w:tcW w:w="500" w:type="pct"/>
            <w:vAlign w:val="center"/>
          </w:tcPr>
          <w:p w:rsidR="00AB10DD" w:rsidRPr="00F9522B" w:rsidRDefault="00AB10DD">
            <w:pPr>
              <w:jc w:val="center"/>
              <w:rPr>
                <w:rFonts w:eastAsiaTheme="minorEastAsia"/>
                <w:szCs w:val="21"/>
              </w:rPr>
            </w:pPr>
            <w:r w:rsidRPr="00F9522B">
              <w:rPr>
                <w:rFonts w:eastAsiaTheme="minorEastAsia"/>
                <w:szCs w:val="21"/>
              </w:rPr>
              <w:t>堆料场</w:t>
            </w:r>
          </w:p>
        </w:tc>
        <w:tc>
          <w:tcPr>
            <w:tcW w:w="3411" w:type="pct"/>
            <w:vAlign w:val="center"/>
          </w:tcPr>
          <w:p w:rsidR="00AB10DD" w:rsidRPr="00F9522B" w:rsidRDefault="00AB10DD" w:rsidP="00D61453">
            <w:pPr>
              <w:spacing w:line="0" w:lineRule="atLeast"/>
              <w:jc w:val="left"/>
              <w:rPr>
                <w:rFonts w:eastAsiaTheme="minorEastAsia"/>
                <w:szCs w:val="21"/>
              </w:rPr>
            </w:pPr>
            <w:r w:rsidRPr="00F9522B">
              <w:rPr>
                <w:rFonts w:eastAsiaTheme="minorEastAsia"/>
                <w:bCs/>
                <w:szCs w:val="21"/>
              </w:rPr>
              <w:t>农田输配电工程</w:t>
            </w:r>
            <w:r w:rsidR="00617138" w:rsidRPr="00617138">
              <w:rPr>
                <w:rFonts w:eastAsiaTheme="minorEastAsia"/>
                <w:color w:val="FF0000"/>
                <w:szCs w:val="21"/>
              </w:rPr>
              <w:t>沿线一侧外扩</w:t>
            </w:r>
            <w:r w:rsidR="00617138" w:rsidRPr="00617138">
              <w:rPr>
                <w:rFonts w:eastAsiaTheme="minorEastAsia"/>
                <w:color w:val="FF0000"/>
                <w:szCs w:val="21"/>
              </w:rPr>
              <w:t>3m</w:t>
            </w:r>
            <w:r w:rsidR="00617138" w:rsidRPr="00617138">
              <w:rPr>
                <w:rFonts w:eastAsiaTheme="minorEastAsia"/>
                <w:color w:val="FF0000"/>
                <w:szCs w:val="21"/>
              </w:rPr>
              <w:t>为临时占地施工场地，共设置</w:t>
            </w:r>
            <w:r w:rsidR="00617138" w:rsidRPr="00617138">
              <w:rPr>
                <w:rFonts w:eastAsiaTheme="minorEastAsia"/>
                <w:color w:val="FF0000"/>
                <w:szCs w:val="21"/>
              </w:rPr>
              <w:t>1368</w:t>
            </w:r>
            <w:r w:rsidR="00617138" w:rsidRPr="00617138">
              <w:rPr>
                <w:rFonts w:eastAsiaTheme="minorEastAsia"/>
                <w:color w:val="FF0000"/>
                <w:szCs w:val="21"/>
              </w:rPr>
              <w:t>根水泥电杆，变压器为杆上变压器，每处设置</w:t>
            </w:r>
            <w:r w:rsidR="00617138" w:rsidRPr="00617138">
              <w:rPr>
                <w:rFonts w:eastAsiaTheme="minorEastAsia" w:hint="eastAsia"/>
                <w:color w:val="FF0000"/>
                <w:szCs w:val="21"/>
              </w:rPr>
              <w:t>15</w:t>
            </w:r>
            <w:r w:rsidR="00617138" w:rsidRPr="00617138">
              <w:rPr>
                <w:rFonts w:eastAsiaTheme="minorEastAsia"/>
                <w:color w:val="FF0000"/>
                <w:szCs w:val="21"/>
              </w:rPr>
              <w:t>m</w:t>
            </w:r>
            <w:r w:rsidR="00617138" w:rsidRPr="00617138">
              <w:rPr>
                <w:rFonts w:eastAsiaTheme="minorEastAsia"/>
                <w:color w:val="FF0000"/>
                <w:szCs w:val="21"/>
                <w:vertAlign w:val="superscript"/>
              </w:rPr>
              <w:t>2</w:t>
            </w:r>
            <w:r w:rsidR="00617138" w:rsidRPr="00617138">
              <w:rPr>
                <w:rFonts w:eastAsiaTheme="minorEastAsia"/>
                <w:color w:val="FF0000"/>
                <w:szCs w:val="21"/>
              </w:rPr>
              <w:t>临时占地</w:t>
            </w:r>
            <w:r w:rsidRPr="00617138">
              <w:rPr>
                <w:rFonts w:eastAsiaTheme="minorEastAsia"/>
                <w:color w:val="FF0000"/>
                <w:szCs w:val="21"/>
              </w:rPr>
              <w:t>，</w:t>
            </w:r>
            <w:r w:rsidRPr="00F9522B">
              <w:rPr>
                <w:rFonts w:eastAsiaTheme="minorEastAsia"/>
                <w:szCs w:val="21"/>
              </w:rPr>
              <w:t>施工材料均沿线堆放在施工范围内，不设集中堆料场；机电井及涵洞等建筑物工程施工材料堆放在施工场地内，堆高</w:t>
            </w:r>
            <w:r w:rsidRPr="00F9522B">
              <w:rPr>
                <w:rFonts w:eastAsiaTheme="minorEastAsia"/>
                <w:szCs w:val="21"/>
              </w:rPr>
              <w:t>0.5m</w:t>
            </w:r>
            <w:r w:rsidRPr="00F9522B">
              <w:rPr>
                <w:rFonts w:eastAsiaTheme="minorEastAsia"/>
                <w:szCs w:val="21"/>
              </w:rPr>
              <w:t>；田间道路工程、排水工程、田块整治工程施工材料堆放在永久占地内，不设集中堆料场</w:t>
            </w:r>
          </w:p>
        </w:tc>
        <w:tc>
          <w:tcPr>
            <w:tcW w:w="694" w:type="pct"/>
            <w:vAlign w:val="center"/>
          </w:tcPr>
          <w:p w:rsidR="00AB10DD" w:rsidRPr="00F9522B" w:rsidRDefault="00AB10DD">
            <w:pPr>
              <w:pStyle w:val="aff7"/>
              <w:spacing w:line="0" w:lineRule="atLeast"/>
              <w:contextualSpacing/>
              <w:rPr>
                <w:rFonts w:eastAsiaTheme="minorEastAsia" w:hAnsi="Times New Roman"/>
              </w:rPr>
            </w:pPr>
            <w:r w:rsidRPr="00F9522B">
              <w:rPr>
                <w:rFonts w:eastAsiaTheme="minorEastAsia" w:hAnsi="Times New Roman"/>
              </w:rPr>
              <w:t>新建</w:t>
            </w:r>
          </w:p>
        </w:tc>
      </w:tr>
      <w:tr w:rsidR="00AB10DD" w:rsidRPr="00F9522B" w:rsidTr="00AB10DD">
        <w:trPr>
          <w:trHeight w:val="64"/>
          <w:jc w:val="center"/>
        </w:trPr>
        <w:tc>
          <w:tcPr>
            <w:tcW w:w="395" w:type="pct"/>
            <w:vMerge/>
            <w:vAlign w:val="center"/>
          </w:tcPr>
          <w:p w:rsidR="00AB10DD" w:rsidRPr="00F9522B" w:rsidRDefault="00AB10DD">
            <w:pPr>
              <w:pStyle w:val="aff7"/>
              <w:spacing w:line="0" w:lineRule="atLeast"/>
              <w:contextualSpacing/>
              <w:rPr>
                <w:rFonts w:eastAsiaTheme="minorEastAsia" w:hAnsi="Times New Roman"/>
              </w:rPr>
            </w:pPr>
          </w:p>
        </w:tc>
        <w:tc>
          <w:tcPr>
            <w:tcW w:w="500" w:type="pct"/>
            <w:vAlign w:val="center"/>
          </w:tcPr>
          <w:p w:rsidR="00AB10DD" w:rsidRPr="00F9522B" w:rsidRDefault="00AB10DD">
            <w:pPr>
              <w:jc w:val="center"/>
              <w:rPr>
                <w:rFonts w:eastAsiaTheme="minorEastAsia"/>
                <w:szCs w:val="21"/>
              </w:rPr>
            </w:pPr>
            <w:r w:rsidRPr="00F9522B">
              <w:rPr>
                <w:rFonts w:eastAsiaTheme="minorEastAsia"/>
                <w:szCs w:val="21"/>
              </w:rPr>
              <w:t>取弃土场</w:t>
            </w:r>
          </w:p>
        </w:tc>
        <w:tc>
          <w:tcPr>
            <w:tcW w:w="3411" w:type="pct"/>
            <w:vAlign w:val="center"/>
          </w:tcPr>
          <w:p w:rsidR="00AB10DD" w:rsidRPr="00F9522B" w:rsidRDefault="00AB10DD" w:rsidP="00730492">
            <w:pPr>
              <w:spacing w:line="0" w:lineRule="atLeast"/>
              <w:jc w:val="left"/>
              <w:rPr>
                <w:rFonts w:eastAsiaTheme="minorEastAsia"/>
                <w:szCs w:val="21"/>
              </w:rPr>
            </w:pPr>
            <w:r w:rsidRPr="00F9522B">
              <w:rPr>
                <w:rFonts w:eastAsiaTheme="minorEastAsia"/>
                <w:snapToGrid w:val="0"/>
                <w:kern w:val="0"/>
              </w:rPr>
              <w:t>田块整治工程黑土回填土源为哈尔滨都市圈环线高速公路项目工程剥离黑土，无偿交由呼兰区政府统筹合法利用。土源</w:t>
            </w:r>
            <w:r w:rsidRPr="00F9522B">
              <w:rPr>
                <w:rFonts w:eastAsiaTheme="minorEastAsia"/>
                <w:bCs/>
                <w:snapToGrid w:val="0"/>
                <w:kern w:val="0"/>
              </w:rPr>
              <w:t>生态修复的责任主体为原土地占用方。</w:t>
            </w:r>
            <w:r w:rsidRPr="00F9522B">
              <w:rPr>
                <w:rFonts w:eastAsiaTheme="minorEastAsia"/>
                <w:snapToGrid w:val="0"/>
                <w:kern w:val="0"/>
              </w:rPr>
              <w:t>故不设置取土场。</w:t>
            </w:r>
            <w:r w:rsidRPr="00F9522B">
              <w:rPr>
                <w:rFonts w:eastAsiaTheme="minorEastAsia"/>
                <w:szCs w:val="21"/>
              </w:rPr>
              <w:t>施工期项目区水泥、钢筋混凝土结构件、钢筋、砂等由呼兰区供应，山皮石、砂砾石、风化砂等均在宾西石场购买，可满足项目需求；施工期间土方均堆存于施工范围内，施工结束后表土全部用于临时工程土地恢复及</w:t>
            </w:r>
            <w:r w:rsidRPr="00F9522B">
              <w:rPr>
                <w:rFonts w:eastAsiaTheme="minorEastAsia"/>
                <w:snapToGrid w:val="0"/>
                <w:kern w:val="0"/>
              </w:rPr>
              <w:t>田块整治工程</w:t>
            </w:r>
            <w:r w:rsidRPr="00F9522B">
              <w:rPr>
                <w:rFonts w:eastAsiaTheme="minorEastAsia"/>
                <w:szCs w:val="21"/>
              </w:rPr>
              <w:t>。建筑垃圾大部分用于</w:t>
            </w:r>
            <w:r w:rsidRPr="00F9522B">
              <w:rPr>
                <w:rFonts w:eastAsiaTheme="minorEastAsia"/>
                <w:snapToGrid w:val="0"/>
                <w:kern w:val="0"/>
              </w:rPr>
              <w:t>田块整治工程，剩余</w:t>
            </w:r>
            <w:r w:rsidRPr="00F9522B">
              <w:rPr>
                <w:rFonts w:eastAsiaTheme="minorEastAsia"/>
                <w:szCs w:val="21"/>
              </w:rPr>
              <w:t>及时送至建材公司回用。废泥浆风干后用于周围道路平整。</w:t>
            </w:r>
            <w:r w:rsidR="00730492" w:rsidRPr="00730492">
              <w:rPr>
                <w:rFonts w:eastAsiaTheme="minorEastAsia" w:hint="eastAsia"/>
                <w:bCs/>
                <w:color w:val="FF0000"/>
              </w:rPr>
              <w:t>排水沟淤泥培至工程附近</w:t>
            </w:r>
            <w:r w:rsidR="00730492" w:rsidRPr="00730492">
              <w:rPr>
                <w:rFonts w:eastAsiaTheme="minorEastAsia" w:hint="eastAsia"/>
                <w:bCs/>
                <w:color w:val="FF0000"/>
              </w:rPr>
              <w:t>200</w:t>
            </w:r>
            <w:r w:rsidR="00730492" w:rsidRPr="00730492">
              <w:rPr>
                <w:rFonts w:eastAsiaTheme="minorEastAsia" w:hint="eastAsia"/>
                <w:bCs/>
                <w:color w:val="FF0000"/>
              </w:rPr>
              <w:t>米范围内无环境保护目标的排水沟两侧</w:t>
            </w:r>
            <w:r w:rsidRPr="00F9522B">
              <w:rPr>
                <w:rFonts w:eastAsiaTheme="minorEastAsia"/>
                <w:szCs w:val="21"/>
              </w:rPr>
              <w:t>。因此不设置弃土场</w:t>
            </w:r>
          </w:p>
        </w:tc>
        <w:tc>
          <w:tcPr>
            <w:tcW w:w="694" w:type="pct"/>
            <w:vAlign w:val="center"/>
          </w:tcPr>
          <w:p w:rsidR="00AB10DD" w:rsidRPr="00F9522B" w:rsidRDefault="00AB10DD">
            <w:pPr>
              <w:pStyle w:val="aff4"/>
              <w:spacing w:line="0" w:lineRule="atLeast"/>
              <w:ind w:firstLineChars="0" w:firstLine="0"/>
              <w:contextualSpacing/>
              <w:jc w:val="center"/>
              <w:rPr>
                <w:rFonts w:ascii="Times New Roman" w:hAnsi="Times New Roman" w:cs="Times New Roman"/>
                <w:sz w:val="21"/>
                <w:szCs w:val="21"/>
              </w:rPr>
            </w:pPr>
            <w:r w:rsidRPr="00F9522B">
              <w:rPr>
                <w:rFonts w:ascii="Times New Roman" w:hAnsi="Times New Roman" w:cs="Times New Roman"/>
                <w:sz w:val="21"/>
                <w:szCs w:val="21"/>
              </w:rPr>
              <w:t>依托</w:t>
            </w:r>
          </w:p>
        </w:tc>
      </w:tr>
      <w:tr w:rsidR="00DD5FB6" w:rsidRPr="00F9522B" w:rsidTr="00AB10DD">
        <w:trPr>
          <w:trHeight w:val="64"/>
          <w:jc w:val="center"/>
        </w:trPr>
        <w:tc>
          <w:tcPr>
            <w:tcW w:w="395" w:type="pct"/>
            <w:vMerge w:val="restart"/>
            <w:vAlign w:val="center"/>
          </w:tcPr>
          <w:p w:rsidR="00DD5FB6" w:rsidRPr="00F9522B" w:rsidRDefault="00DD5FB6" w:rsidP="009D380C">
            <w:pPr>
              <w:pStyle w:val="aff7"/>
              <w:spacing w:line="0" w:lineRule="atLeast"/>
              <w:contextualSpacing/>
              <w:rPr>
                <w:rFonts w:eastAsiaTheme="minorEastAsia" w:hAnsi="Times New Roman"/>
              </w:rPr>
            </w:pPr>
            <w:r w:rsidRPr="00F9522B">
              <w:rPr>
                <w:rFonts w:eastAsiaTheme="minorEastAsia" w:hAnsi="Times New Roman"/>
              </w:rPr>
              <w:t>公用工程</w:t>
            </w:r>
          </w:p>
        </w:tc>
        <w:tc>
          <w:tcPr>
            <w:tcW w:w="500" w:type="pct"/>
            <w:vAlign w:val="center"/>
          </w:tcPr>
          <w:p w:rsidR="00DD5FB6" w:rsidRPr="00F9522B" w:rsidRDefault="00DD5FB6">
            <w:pPr>
              <w:jc w:val="center"/>
              <w:rPr>
                <w:rFonts w:eastAsiaTheme="minorEastAsia"/>
                <w:szCs w:val="21"/>
              </w:rPr>
            </w:pPr>
            <w:r w:rsidRPr="00F9522B">
              <w:rPr>
                <w:rFonts w:eastAsiaTheme="minorEastAsia"/>
                <w:szCs w:val="21"/>
              </w:rPr>
              <w:t>移动式不锈钢沉淀池</w:t>
            </w:r>
          </w:p>
        </w:tc>
        <w:tc>
          <w:tcPr>
            <w:tcW w:w="3411" w:type="pct"/>
            <w:vAlign w:val="center"/>
          </w:tcPr>
          <w:p w:rsidR="00DD5FB6" w:rsidRPr="00F9522B" w:rsidRDefault="00DD5FB6" w:rsidP="0061289D">
            <w:pPr>
              <w:spacing w:line="0" w:lineRule="atLeast"/>
              <w:jc w:val="left"/>
              <w:rPr>
                <w:rFonts w:eastAsiaTheme="minorEastAsia"/>
                <w:szCs w:val="21"/>
              </w:rPr>
            </w:pPr>
            <w:r w:rsidRPr="00F9522B">
              <w:rPr>
                <w:rFonts w:eastAsiaTheme="minorEastAsia"/>
                <w:color w:val="FF0000"/>
                <w:szCs w:val="22"/>
              </w:rPr>
              <w:t>废泥浆</w:t>
            </w:r>
            <w:r w:rsidRPr="00F9522B">
              <w:rPr>
                <w:rFonts w:eastAsiaTheme="minorEastAsia"/>
                <w:color w:val="FF0000"/>
              </w:rPr>
              <w:t>暂存于施工场地</w:t>
            </w:r>
            <w:r w:rsidRPr="00F9522B">
              <w:rPr>
                <w:rFonts w:eastAsiaTheme="minorEastAsia"/>
                <w:color w:val="FF0000"/>
              </w:rPr>
              <w:t>5</w:t>
            </w:r>
            <w:r w:rsidRPr="00F9522B">
              <w:rPr>
                <w:rFonts w:eastAsiaTheme="minorEastAsia"/>
                <w:color w:val="FF0000"/>
              </w:rPr>
              <w:t>个</w:t>
            </w:r>
            <w:r w:rsidRPr="00F9522B">
              <w:rPr>
                <w:rFonts w:eastAsiaTheme="minorEastAsia"/>
                <w:color w:val="FF0000"/>
              </w:rPr>
              <w:t>20</w:t>
            </w:r>
            <w:r w:rsidRPr="00F9522B">
              <w:rPr>
                <w:rFonts w:eastAsiaTheme="minorEastAsia"/>
                <w:color w:val="FF0000"/>
                <w:szCs w:val="22"/>
              </w:rPr>
              <w:t>m</w:t>
            </w:r>
            <w:r w:rsidRPr="00F9522B">
              <w:rPr>
                <w:rFonts w:eastAsiaTheme="minorEastAsia"/>
                <w:color w:val="FF0000"/>
                <w:szCs w:val="22"/>
                <w:vertAlign w:val="superscript"/>
              </w:rPr>
              <w:t>3</w:t>
            </w:r>
            <w:r w:rsidRPr="00F9522B">
              <w:rPr>
                <w:rFonts w:eastAsiaTheme="minorEastAsia"/>
                <w:color w:val="FF0000"/>
              </w:rPr>
              <w:t>移动式不锈钢沉淀池内，</w:t>
            </w:r>
            <w:r w:rsidRPr="00F9522B">
              <w:rPr>
                <w:rFonts w:eastAsiaTheme="minorEastAsia"/>
              </w:rPr>
              <w:t>沉淀后上层清水用于洒水降尘，下层钻井</w:t>
            </w:r>
            <w:r w:rsidRPr="00F9522B">
              <w:rPr>
                <w:rFonts w:eastAsiaTheme="minorEastAsia"/>
                <w:bCs/>
              </w:rPr>
              <w:t>泥浆自然干化后用于周围路面平整</w:t>
            </w:r>
          </w:p>
        </w:tc>
        <w:tc>
          <w:tcPr>
            <w:tcW w:w="694" w:type="pct"/>
            <w:vMerge w:val="restart"/>
            <w:vAlign w:val="center"/>
          </w:tcPr>
          <w:p w:rsidR="00DD5FB6" w:rsidRPr="00F9522B" w:rsidRDefault="00DD5FB6" w:rsidP="00DD5FB6">
            <w:pPr>
              <w:pStyle w:val="aff4"/>
              <w:spacing w:line="0" w:lineRule="atLeast"/>
              <w:ind w:firstLineChars="0" w:firstLine="0"/>
              <w:contextualSpacing/>
              <w:jc w:val="center"/>
              <w:rPr>
                <w:rFonts w:ascii="Times New Roman" w:hAnsi="Times New Roman" w:cs="Times New Roman"/>
                <w:sz w:val="21"/>
                <w:szCs w:val="21"/>
              </w:rPr>
            </w:pPr>
            <w:r w:rsidRPr="00F9522B">
              <w:rPr>
                <w:rFonts w:ascii="Times New Roman" w:hAnsi="Times New Roman" w:cs="Times New Roman"/>
                <w:sz w:val="21"/>
                <w:szCs w:val="21"/>
              </w:rPr>
              <w:t>新建</w:t>
            </w:r>
          </w:p>
        </w:tc>
      </w:tr>
      <w:tr w:rsidR="00DD5FB6" w:rsidRPr="00F9522B" w:rsidTr="00AB10DD">
        <w:trPr>
          <w:trHeight w:val="64"/>
          <w:jc w:val="center"/>
        </w:trPr>
        <w:tc>
          <w:tcPr>
            <w:tcW w:w="395" w:type="pct"/>
            <w:vMerge/>
            <w:vAlign w:val="center"/>
          </w:tcPr>
          <w:p w:rsidR="00DD5FB6" w:rsidRPr="00F9522B" w:rsidRDefault="00DD5FB6" w:rsidP="009D380C">
            <w:pPr>
              <w:pStyle w:val="aff7"/>
              <w:spacing w:line="0" w:lineRule="atLeast"/>
              <w:contextualSpacing/>
              <w:rPr>
                <w:rFonts w:eastAsiaTheme="minorEastAsia" w:hAnsi="Times New Roman"/>
              </w:rPr>
            </w:pPr>
          </w:p>
        </w:tc>
        <w:tc>
          <w:tcPr>
            <w:tcW w:w="500" w:type="pct"/>
            <w:vAlign w:val="center"/>
          </w:tcPr>
          <w:p w:rsidR="00DD5FB6" w:rsidRPr="00F9522B" w:rsidRDefault="00DD5FB6">
            <w:pPr>
              <w:jc w:val="center"/>
              <w:rPr>
                <w:rFonts w:eastAsiaTheme="minorEastAsia"/>
                <w:szCs w:val="21"/>
              </w:rPr>
            </w:pPr>
            <w:r w:rsidRPr="00F9522B">
              <w:rPr>
                <w:rFonts w:eastAsiaTheme="minorEastAsia"/>
                <w:szCs w:val="21"/>
              </w:rPr>
              <w:t>表土堆场</w:t>
            </w:r>
          </w:p>
        </w:tc>
        <w:tc>
          <w:tcPr>
            <w:tcW w:w="3411" w:type="pct"/>
            <w:vAlign w:val="center"/>
          </w:tcPr>
          <w:p w:rsidR="00DD5FB6" w:rsidRPr="00F9522B" w:rsidRDefault="00DD5FB6" w:rsidP="000E1386">
            <w:pPr>
              <w:spacing w:line="0" w:lineRule="atLeast"/>
              <w:jc w:val="left"/>
              <w:rPr>
                <w:rFonts w:eastAsiaTheme="minorEastAsia"/>
                <w:szCs w:val="21"/>
              </w:rPr>
            </w:pPr>
            <w:r w:rsidRPr="00F9522B">
              <w:rPr>
                <w:rFonts w:eastAsiaTheme="minorEastAsia"/>
                <w:szCs w:val="21"/>
              </w:rPr>
              <w:t>剥离的表土量共</w:t>
            </w:r>
            <w:r w:rsidR="000E1386" w:rsidRPr="000E1386">
              <w:rPr>
                <w:rFonts w:eastAsiaTheme="minorEastAsia" w:hint="eastAsia"/>
                <w:color w:val="FF0000"/>
                <w:szCs w:val="21"/>
              </w:rPr>
              <w:t>387420</w:t>
            </w:r>
            <w:r w:rsidRPr="00F9522B">
              <w:rPr>
                <w:rFonts w:eastAsiaTheme="minorEastAsia"/>
                <w:szCs w:val="21"/>
              </w:rPr>
              <w:t>m</w:t>
            </w:r>
            <w:r w:rsidRPr="00F9522B">
              <w:rPr>
                <w:rFonts w:eastAsiaTheme="minorEastAsia"/>
                <w:szCs w:val="21"/>
                <w:vertAlign w:val="superscript"/>
              </w:rPr>
              <w:t>3</w:t>
            </w:r>
            <w:r w:rsidRPr="00F9522B">
              <w:rPr>
                <w:rFonts w:eastAsiaTheme="minorEastAsia"/>
                <w:szCs w:val="21"/>
              </w:rPr>
              <w:t>，灌溉工程、</w:t>
            </w:r>
            <w:r w:rsidRPr="00F9522B">
              <w:rPr>
                <w:rFonts w:eastAsiaTheme="minorEastAsia"/>
                <w:bCs/>
                <w:szCs w:val="21"/>
              </w:rPr>
              <w:t>农田输配电工程、建筑物工程等</w:t>
            </w:r>
            <w:r w:rsidRPr="00F9522B">
              <w:rPr>
                <w:rFonts w:eastAsiaTheme="minorEastAsia"/>
                <w:szCs w:val="21"/>
              </w:rPr>
              <w:t>永久占地剥离表土在施工现场贮存，用于田块整治工程客土回填；灌溉工程、</w:t>
            </w:r>
            <w:r w:rsidRPr="00F9522B">
              <w:rPr>
                <w:rFonts w:eastAsiaTheme="minorEastAsia"/>
                <w:bCs/>
                <w:szCs w:val="21"/>
              </w:rPr>
              <w:t>农田输配电</w:t>
            </w:r>
            <w:r w:rsidRPr="00F9522B">
              <w:rPr>
                <w:rFonts w:eastAsiaTheme="minorEastAsia"/>
                <w:szCs w:val="21"/>
              </w:rPr>
              <w:t>、建筑物工程等临时占地剥离表土堆放在施工场地内，施工结束后表土全部用于临时工程土地恢复，</w:t>
            </w:r>
            <w:r w:rsidRPr="00F9522B">
              <w:rPr>
                <w:rFonts w:eastAsiaTheme="minorEastAsia"/>
                <w:snapToGrid w:val="0"/>
                <w:kern w:val="0"/>
                <w:szCs w:val="21"/>
              </w:rPr>
              <w:t>田块整治工程</w:t>
            </w:r>
            <w:r w:rsidRPr="00F9522B">
              <w:rPr>
                <w:rFonts w:eastAsiaTheme="minorEastAsia"/>
                <w:szCs w:val="21"/>
              </w:rPr>
              <w:t>剥离表土在施工现场贮存，用于田块整治工程表土恢复</w:t>
            </w:r>
          </w:p>
        </w:tc>
        <w:tc>
          <w:tcPr>
            <w:tcW w:w="694" w:type="pct"/>
            <w:vMerge/>
            <w:vAlign w:val="center"/>
          </w:tcPr>
          <w:p w:rsidR="00DD5FB6" w:rsidRPr="00F9522B" w:rsidRDefault="00DD5FB6">
            <w:pPr>
              <w:pStyle w:val="aff4"/>
              <w:adjustRightInd/>
              <w:snapToGrid/>
              <w:spacing w:line="0" w:lineRule="atLeast"/>
              <w:ind w:firstLineChars="0" w:firstLine="0"/>
              <w:contextualSpacing/>
              <w:jc w:val="center"/>
              <w:rPr>
                <w:rFonts w:ascii="Times New Roman" w:hAnsi="Times New Roman" w:cs="Times New Roman"/>
                <w:sz w:val="21"/>
                <w:szCs w:val="21"/>
              </w:rPr>
            </w:pPr>
          </w:p>
        </w:tc>
      </w:tr>
      <w:tr w:rsidR="00DD5FB6" w:rsidRPr="00F9522B" w:rsidTr="00AB10DD">
        <w:trPr>
          <w:trHeight w:val="64"/>
          <w:jc w:val="center"/>
        </w:trPr>
        <w:tc>
          <w:tcPr>
            <w:tcW w:w="395" w:type="pct"/>
            <w:vMerge/>
            <w:vAlign w:val="center"/>
          </w:tcPr>
          <w:p w:rsidR="00DD5FB6" w:rsidRPr="00F9522B" w:rsidRDefault="00DD5FB6">
            <w:pPr>
              <w:pStyle w:val="aff7"/>
              <w:spacing w:line="0" w:lineRule="atLeast"/>
              <w:contextualSpacing/>
              <w:rPr>
                <w:rFonts w:eastAsiaTheme="minorEastAsia" w:hAnsi="Times New Roman"/>
              </w:rPr>
            </w:pPr>
          </w:p>
        </w:tc>
        <w:tc>
          <w:tcPr>
            <w:tcW w:w="500" w:type="pct"/>
            <w:vAlign w:val="center"/>
          </w:tcPr>
          <w:p w:rsidR="00DD5FB6" w:rsidRPr="00F9522B" w:rsidRDefault="00DD5FB6">
            <w:pPr>
              <w:pStyle w:val="aff7"/>
              <w:spacing w:line="0" w:lineRule="atLeast"/>
              <w:contextualSpacing/>
              <w:rPr>
                <w:rFonts w:eastAsiaTheme="minorEastAsia" w:hAnsi="Times New Roman"/>
              </w:rPr>
            </w:pPr>
            <w:r w:rsidRPr="00F9522B">
              <w:rPr>
                <w:rFonts w:eastAsiaTheme="minorEastAsia" w:hAnsi="Times New Roman"/>
              </w:rPr>
              <w:t>供电</w:t>
            </w:r>
          </w:p>
        </w:tc>
        <w:tc>
          <w:tcPr>
            <w:tcW w:w="3411" w:type="pct"/>
            <w:vAlign w:val="center"/>
          </w:tcPr>
          <w:p w:rsidR="00DD5FB6" w:rsidRPr="00F9522B" w:rsidRDefault="00DD5FB6">
            <w:pPr>
              <w:pStyle w:val="aff7"/>
              <w:spacing w:line="0" w:lineRule="atLeast"/>
              <w:contextualSpacing/>
              <w:jc w:val="left"/>
              <w:rPr>
                <w:rFonts w:eastAsiaTheme="minorEastAsia" w:hAnsi="Times New Roman"/>
              </w:rPr>
            </w:pPr>
            <w:r w:rsidRPr="00F9522B">
              <w:rPr>
                <w:rFonts w:eastAsiaTheme="minorEastAsia" w:hAnsi="Times New Roman"/>
              </w:rPr>
              <w:t>本项目施工期</w:t>
            </w:r>
            <w:r w:rsidRPr="00F9522B">
              <w:rPr>
                <w:rFonts w:eastAsiaTheme="minorEastAsia" w:hAnsi="Times New Roman"/>
                <w:kern w:val="0"/>
                <w:szCs w:val="20"/>
              </w:rPr>
              <w:t>主要利用工程区附近的农用供电线路解决，部分施工期用电分散，施工时间短，用电量小，从系统电源接线供电不经济，拟配备柴油发电机组供电</w:t>
            </w:r>
            <w:r w:rsidRPr="00F9522B">
              <w:rPr>
                <w:rFonts w:eastAsiaTheme="minorEastAsia" w:hAnsi="Times New Roman"/>
              </w:rPr>
              <w:t>；本项目新建灌溉井均由配套建设的输配电系统供电，可以满足项目用电需求</w:t>
            </w:r>
          </w:p>
        </w:tc>
        <w:tc>
          <w:tcPr>
            <w:tcW w:w="694" w:type="pct"/>
            <w:vMerge w:val="restart"/>
            <w:vAlign w:val="center"/>
          </w:tcPr>
          <w:p w:rsidR="00DD5FB6" w:rsidRPr="00F9522B" w:rsidRDefault="00DD5FB6">
            <w:pPr>
              <w:pStyle w:val="aff7"/>
              <w:spacing w:line="0" w:lineRule="atLeast"/>
              <w:contextualSpacing/>
              <w:rPr>
                <w:rFonts w:eastAsiaTheme="minorEastAsia" w:hAnsi="Times New Roman"/>
              </w:rPr>
            </w:pPr>
            <w:r w:rsidRPr="00F9522B">
              <w:rPr>
                <w:rFonts w:eastAsiaTheme="minorEastAsia" w:hAnsi="Times New Roman"/>
              </w:rPr>
              <w:t>依托</w:t>
            </w:r>
            <w:r w:rsidRPr="00F9522B">
              <w:rPr>
                <w:rFonts w:eastAsiaTheme="minorEastAsia" w:hAnsi="Times New Roman"/>
              </w:rPr>
              <w:t>/</w:t>
            </w:r>
            <w:r w:rsidRPr="00F9522B">
              <w:rPr>
                <w:rFonts w:eastAsiaTheme="minorEastAsia" w:hAnsi="Times New Roman"/>
              </w:rPr>
              <w:t>新建</w:t>
            </w:r>
          </w:p>
        </w:tc>
      </w:tr>
      <w:tr w:rsidR="00DD5FB6" w:rsidRPr="00F9522B" w:rsidTr="00AB10DD">
        <w:trPr>
          <w:trHeight w:val="340"/>
          <w:jc w:val="center"/>
        </w:trPr>
        <w:tc>
          <w:tcPr>
            <w:tcW w:w="395" w:type="pct"/>
            <w:vMerge/>
            <w:vAlign w:val="center"/>
          </w:tcPr>
          <w:p w:rsidR="00DD5FB6" w:rsidRPr="00F9522B" w:rsidRDefault="00DD5FB6">
            <w:pPr>
              <w:pStyle w:val="aff7"/>
              <w:spacing w:line="0" w:lineRule="atLeast"/>
              <w:contextualSpacing/>
              <w:rPr>
                <w:rFonts w:eastAsiaTheme="minorEastAsia" w:hAnsi="Times New Roman"/>
              </w:rPr>
            </w:pPr>
          </w:p>
        </w:tc>
        <w:tc>
          <w:tcPr>
            <w:tcW w:w="500" w:type="pct"/>
            <w:vAlign w:val="center"/>
          </w:tcPr>
          <w:p w:rsidR="00DD5FB6" w:rsidRPr="00F9522B" w:rsidRDefault="00DD5FB6">
            <w:pPr>
              <w:pStyle w:val="aff7"/>
              <w:spacing w:line="0" w:lineRule="atLeast"/>
              <w:contextualSpacing/>
              <w:rPr>
                <w:rFonts w:eastAsiaTheme="minorEastAsia" w:hAnsi="Times New Roman"/>
              </w:rPr>
            </w:pPr>
            <w:r w:rsidRPr="00F9522B">
              <w:rPr>
                <w:rFonts w:eastAsiaTheme="minorEastAsia" w:hAnsi="Times New Roman"/>
              </w:rPr>
              <w:t>给水</w:t>
            </w:r>
          </w:p>
        </w:tc>
        <w:tc>
          <w:tcPr>
            <w:tcW w:w="3411" w:type="pct"/>
            <w:vAlign w:val="center"/>
          </w:tcPr>
          <w:p w:rsidR="00DD5FB6" w:rsidRPr="00F9522B" w:rsidRDefault="00DD5FB6">
            <w:pPr>
              <w:pStyle w:val="aff7"/>
              <w:spacing w:line="0" w:lineRule="atLeast"/>
              <w:contextualSpacing/>
              <w:jc w:val="left"/>
              <w:rPr>
                <w:rFonts w:eastAsiaTheme="minorEastAsia" w:hAnsi="Times New Roman"/>
              </w:rPr>
            </w:pPr>
            <w:r w:rsidRPr="00F9522B">
              <w:rPr>
                <w:rFonts w:eastAsiaTheme="minorEastAsia" w:hAnsi="Times New Roman"/>
              </w:rPr>
              <w:t>施工期用水由附近村屯现有水井供给；运营期旱田由现有及新建地下水灌溉井供给，水田依托现有地下水灌溉井供给</w:t>
            </w:r>
          </w:p>
        </w:tc>
        <w:tc>
          <w:tcPr>
            <w:tcW w:w="694" w:type="pct"/>
            <w:vMerge/>
            <w:vAlign w:val="center"/>
          </w:tcPr>
          <w:p w:rsidR="00DD5FB6" w:rsidRPr="00F9522B" w:rsidRDefault="00DD5FB6">
            <w:pPr>
              <w:pStyle w:val="aff7"/>
              <w:spacing w:line="0" w:lineRule="atLeast"/>
              <w:contextualSpacing/>
              <w:rPr>
                <w:rFonts w:eastAsiaTheme="minorEastAsia" w:hAnsi="Times New Roman"/>
              </w:rPr>
            </w:pPr>
          </w:p>
        </w:tc>
      </w:tr>
      <w:tr w:rsidR="00DD5FB6" w:rsidRPr="00F9522B" w:rsidTr="00AB10DD">
        <w:trPr>
          <w:trHeight w:val="340"/>
          <w:jc w:val="center"/>
        </w:trPr>
        <w:tc>
          <w:tcPr>
            <w:tcW w:w="395" w:type="pct"/>
            <w:vMerge/>
            <w:vAlign w:val="center"/>
          </w:tcPr>
          <w:p w:rsidR="00DD5FB6" w:rsidRPr="00F9522B" w:rsidRDefault="00DD5FB6">
            <w:pPr>
              <w:pStyle w:val="aff7"/>
              <w:spacing w:line="0" w:lineRule="atLeast"/>
              <w:contextualSpacing/>
              <w:rPr>
                <w:rFonts w:eastAsiaTheme="minorEastAsia" w:hAnsi="Times New Roman"/>
              </w:rPr>
            </w:pPr>
          </w:p>
        </w:tc>
        <w:tc>
          <w:tcPr>
            <w:tcW w:w="500" w:type="pct"/>
            <w:vAlign w:val="center"/>
          </w:tcPr>
          <w:p w:rsidR="00DD5FB6" w:rsidRPr="00F9522B" w:rsidRDefault="00DD5FB6">
            <w:pPr>
              <w:pStyle w:val="aff7"/>
              <w:spacing w:line="0" w:lineRule="atLeast"/>
              <w:contextualSpacing/>
              <w:rPr>
                <w:rFonts w:eastAsiaTheme="minorEastAsia" w:hAnsi="Times New Roman"/>
              </w:rPr>
            </w:pPr>
            <w:r w:rsidRPr="00F9522B">
              <w:rPr>
                <w:rFonts w:eastAsiaTheme="minorEastAsia" w:hAnsi="Times New Roman"/>
              </w:rPr>
              <w:t>排水</w:t>
            </w:r>
          </w:p>
        </w:tc>
        <w:tc>
          <w:tcPr>
            <w:tcW w:w="3411" w:type="pct"/>
            <w:vAlign w:val="center"/>
          </w:tcPr>
          <w:p w:rsidR="00DD5FB6" w:rsidRPr="00F9522B" w:rsidRDefault="00DD5FB6" w:rsidP="0061289D">
            <w:pPr>
              <w:pStyle w:val="aff7"/>
              <w:spacing w:line="0" w:lineRule="atLeast"/>
              <w:contextualSpacing/>
              <w:jc w:val="left"/>
              <w:rPr>
                <w:rFonts w:eastAsiaTheme="minorEastAsia" w:hAnsi="Times New Roman"/>
                <w:b/>
                <w:bCs/>
              </w:rPr>
            </w:pPr>
            <w:r w:rsidRPr="00F9522B">
              <w:rPr>
                <w:rFonts w:eastAsiaTheme="minorEastAsia" w:hAnsi="Times New Roman"/>
              </w:rPr>
              <w:t>施工期</w:t>
            </w:r>
            <w:r w:rsidRPr="00F9522B">
              <w:rPr>
                <w:rFonts w:eastAsiaTheme="minorEastAsia" w:hAnsi="Times New Roman"/>
                <w:bCs/>
              </w:rPr>
              <w:t>生活污水依托附近民房防渗旱厕，定期清掏，外运堆肥，不外排</w:t>
            </w:r>
            <w:r w:rsidRPr="00F9522B">
              <w:rPr>
                <w:rFonts w:eastAsiaTheme="minorEastAsia" w:hAnsi="Times New Roman"/>
              </w:rPr>
              <w:t>。洗井废水用于洒水降尘。钻井泥浆循环利用，</w:t>
            </w:r>
            <w:r w:rsidRPr="00F9522B">
              <w:rPr>
                <w:rFonts w:eastAsiaTheme="minorEastAsia" w:hAnsi="Times New Roman"/>
                <w:szCs w:val="22"/>
              </w:rPr>
              <w:t>废泥浆</w:t>
            </w:r>
            <w:r w:rsidRPr="00F9522B">
              <w:rPr>
                <w:rFonts w:eastAsiaTheme="minorEastAsia" w:hAnsi="Times New Roman"/>
              </w:rPr>
              <w:t>暂存于施工场地</w:t>
            </w:r>
            <w:r w:rsidRPr="00F9522B">
              <w:rPr>
                <w:rFonts w:eastAsiaTheme="minorEastAsia" w:hAnsi="Times New Roman"/>
              </w:rPr>
              <w:t>5</w:t>
            </w:r>
            <w:r w:rsidRPr="00F9522B">
              <w:rPr>
                <w:rFonts w:eastAsiaTheme="minorEastAsia" w:hAnsi="Times New Roman"/>
              </w:rPr>
              <w:t>个</w:t>
            </w:r>
            <w:r w:rsidRPr="00F9522B">
              <w:rPr>
                <w:rFonts w:eastAsiaTheme="minorEastAsia" w:hAnsi="Times New Roman"/>
              </w:rPr>
              <w:t>20</w:t>
            </w:r>
            <w:r w:rsidRPr="00F9522B">
              <w:rPr>
                <w:rFonts w:eastAsiaTheme="minorEastAsia" w:hAnsi="Times New Roman"/>
                <w:szCs w:val="22"/>
              </w:rPr>
              <w:t>m</w:t>
            </w:r>
            <w:r w:rsidRPr="00F9522B">
              <w:rPr>
                <w:rFonts w:eastAsiaTheme="minorEastAsia" w:hAnsi="Times New Roman"/>
                <w:szCs w:val="22"/>
                <w:vertAlign w:val="superscript"/>
              </w:rPr>
              <w:t>3</w:t>
            </w:r>
            <w:r w:rsidRPr="00F9522B">
              <w:rPr>
                <w:rFonts w:eastAsiaTheme="minorEastAsia" w:hAnsi="Times New Roman"/>
              </w:rPr>
              <w:t>移动式不锈钢沉淀池内，沉淀后上层清水用于洒水降尘，下层钻井</w:t>
            </w:r>
            <w:r w:rsidRPr="00F9522B">
              <w:rPr>
                <w:rFonts w:eastAsiaTheme="minorEastAsia" w:hAnsi="Times New Roman"/>
                <w:bCs/>
              </w:rPr>
              <w:t>泥浆自然干化后用于周围路面平整。清淤工程污泥沥水与排水沟内水质基本一致，排入排水沟内；</w:t>
            </w:r>
            <w:r w:rsidRPr="00F9522B">
              <w:rPr>
                <w:rFonts w:eastAsiaTheme="minorEastAsia" w:hAnsi="Times New Roman"/>
              </w:rPr>
              <w:t>运营期</w:t>
            </w:r>
            <w:r w:rsidRPr="00F9522B">
              <w:rPr>
                <w:rFonts w:eastAsiaTheme="minorEastAsia" w:hAnsi="Times New Roman"/>
                <w:bCs/>
              </w:rPr>
              <w:t>项目区水田排水工程已基本形成规模，片区内排水承泄区为松花江及漂河，项目建成后灌区年退水量与现状相比减少</w:t>
            </w:r>
            <w:r w:rsidRPr="00F9522B">
              <w:rPr>
                <w:rFonts w:eastAsiaTheme="minorEastAsia" w:hAnsi="Times New Roman"/>
                <w:bCs/>
              </w:rPr>
              <w:t>15</w:t>
            </w:r>
            <w:r w:rsidRPr="00F9522B">
              <w:rPr>
                <w:rFonts w:eastAsiaTheme="minorEastAsia" w:hAnsi="Times New Roman"/>
                <w:bCs/>
              </w:rPr>
              <w:t>万</w:t>
            </w:r>
            <w:r w:rsidRPr="00F9522B">
              <w:rPr>
                <w:rFonts w:eastAsiaTheme="minorEastAsia" w:hAnsi="Times New Roman"/>
                <w:bCs/>
              </w:rPr>
              <w:t>m</w:t>
            </w:r>
            <w:r w:rsidRPr="00F9522B">
              <w:rPr>
                <w:rFonts w:eastAsiaTheme="minorEastAsia" w:hAnsi="Times New Roman"/>
                <w:bCs/>
                <w:vertAlign w:val="superscript"/>
              </w:rPr>
              <w:t>3</w:t>
            </w:r>
          </w:p>
        </w:tc>
        <w:tc>
          <w:tcPr>
            <w:tcW w:w="694" w:type="pct"/>
            <w:vAlign w:val="center"/>
          </w:tcPr>
          <w:p w:rsidR="00DD5FB6" w:rsidRPr="00F9522B" w:rsidRDefault="00DD5FB6">
            <w:pPr>
              <w:pStyle w:val="aff7"/>
              <w:spacing w:line="0" w:lineRule="atLeast"/>
              <w:contextualSpacing/>
              <w:rPr>
                <w:rFonts w:eastAsiaTheme="minorEastAsia" w:hAnsi="Times New Roman"/>
              </w:rPr>
            </w:pPr>
            <w:r w:rsidRPr="00F9522B">
              <w:rPr>
                <w:rFonts w:eastAsiaTheme="minorEastAsia" w:hAnsi="Times New Roman"/>
              </w:rPr>
              <w:t>依托</w:t>
            </w:r>
            <w:r w:rsidRPr="00F9522B">
              <w:rPr>
                <w:rFonts w:eastAsiaTheme="minorEastAsia" w:hAnsi="Times New Roman"/>
              </w:rPr>
              <w:t>/</w:t>
            </w:r>
            <w:r w:rsidRPr="00F9522B">
              <w:rPr>
                <w:rFonts w:eastAsiaTheme="minorEastAsia" w:hAnsi="Times New Roman"/>
              </w:rPr>
              <w:t>新建</w:t>
            </w:r>
          </w:p>
        </w:tc>
      </w:tr>
      <w:tr w:rsidR="00DD5FB6" w:rsidRPr="00F9522B" w:rsidTr="00AB10DD">
        <w:trPr>
          <w:trHeight w:val="340"/>
          <w:jc w:val="center"/>
        </w:trPr>
        <w:tc>
          <w:tcPr>
            <w:tcW w:w="395" w:type="pct"/>
            <w:vMerge/>
            <w:vAlign w:val="center"/>
          </w:tcPr>
          <w:p w:rsidR="00DD5FB6" w:rsidRPr="00F9522B" w:rsidRDefault="00DD5FB6">
            <w:pPr>
              <w:pStyle w:val="aff7"/>
              <w:spacing w:line="0" w:lineRule="atLeast"/>
              <w:contextualSpacing/>
              <w:rPr>
                <w:rFonts w:eastAsiaTheme="minorEastAsia" w:hAnsi="Times New Roman"/>
              </w:rPr>
            </w:pPr>
          </w:p>
        </w:tc>
        <w:tc>
          <w:tcPr>
            <w:tcW w:w="500" w:type="pct"/>
            <w:vAlign w:val="center"/>
          </w:tcPr>
          <w:p w:rsidR="00DD5FB6" w:rsidRPr="00F9522B" w:rsidRDefault="00DD5FB6">
            <w:pPr>
              <w:pStyle w:val="aff7"/>
              <w:spacing w:line="0" w:lineRule="atLeast"/>
              <w:contextualSpacing/>
              <w:rPr>
                <w:rFonts w:eastAsiaTheme="minorEastAsia" w:hAnsi="Times New Roman"/>
              </w:rPr>
            </w:pPr>
            <w:bookmarkStart w:id="77" w:name="_Hlk527725718"/>
            <w:r w:rsidRPr="00F9522B">
              <w:rPr>
                <w:rFonts w:eastAsiaTheme="minorEastAsia" w:hAnsi="Times New Roman"/>
              </w:rPr>
              <w:t>供热</w:t>
            </w:r>
            <w:bookmarkEnd w:id="77"/>
          </w:p>
        </w:tc>
        <w:tc>
          <w:tcPr>
            <w:tcW w:w="3411" w:type="pct"/>
            <w:vAlign w:val="center"/>
          </w:tcPr>
          <w:p w:rsidR="00DD5FB6" w:rsidRPr="00F9522B" w:rsidRDefault="00DD5FB6">
            <w:pPr>
              <w:pStyle w:val="aff7"/>
              <w:spacing w:line="0" w:lineRule="atLeast"/>
              <w:contextualSpacing/>
              <w:jc w:val="left"/>
              <w:rPr>
                <w:rFonts w:eastAsiaTheme="minorEastAsia" w:hAnsi="Times New Roman"/>
              </w:rPr>
            </w:pPr>
            <w:r w:rsidRPr="00F9522B">
              <w:rPr>
                <w:rFonts w:eastAsiaTheme="minorEastAsia" w:hAnsi="Times New Roman"/>
                <w:snapToGrid w:val="0"/>
                <w:kern w:val="0"/>
              </w:rPr>
              <w:t>本项目冬季不供暖，亦无采暖工程</w:t>
            </w:r>
          </w:p>
        </w:tc>
        <w:tc>
          <w:tcPr>
            <w:tcW w:w="694" w:type="pct"/>
            <w:vAlign w:val="center"/>
          </w:tcPr>
          <w:p w:rsidR="00DD5FB6" w:rsidRPr="00F9522B" w:rsidRDefault="00DD5FB6">
            <w:pPr>
              <w:pStyle w:val="aff7"/>
              <w:spacing w:line="0" w:lineRule="atLeast"/>
              <w:contextualSpacing/>
              <w:rPr>
                <w:rFonts w:eastAsiaTheme="minorEastAsia" w:hAnsi="Times New Roman"/>
              </w:rPr>
            </w:pPr>
            <w:r w:rsidRPr="00F9522B">
              <w:rPr>
                <w:rFonts w:eastAsiaTheme="minorEastAsia" w:hAnsi="Times New Roman"/>
              </w:rPr>
              <w:t>/</w:t>
            </w:r>
          </w:p>
        </w:tc>
      </w:tr>
    </w:tbl>
    <w:p w:rsidR="00DD5FB6" w:rsidRDefault="00DD5FB6"/>
    <w:p w:rsidR="00DD5FB6" w:rsidRDefault="00DD5FB6"/>
    <w:p w:rsidR="00DD5FB6" w:rsidRDefault="00DD5FB6"/>
    <w:p w:rsidR="00DD5FB6" w:rsidRDefault="00DD5FB6"/>
    <w:p w:rsidR="00DD5FB6" w:rsidRDefault="00DD5FB6"/>
    <w:p w:rsidR="00DD5FB6" w:rsidRDefault="00DD5FB6"/>
    <w:p w:rsidR="00DD5FB6" w:rsidRPr="00F9522B" w:rsidRDefault="00DD5FB6" w:rsidP="00DD5FB6">
      <w:pPr>
        <w:contextualSpacing/>
        <w:jc w:val="center"/>
        <w:rPr>
          <w:rFonts w:eastAsiaTheme="minorEastAsia"/>
          <w:b/>
          <w:kern w:val="0"/>
          <w:szCs w:val="21"/>
        </w:rPr>
      </w:pPr>
      <w:r w:rsidRPr="00F9522B">
        <w:rPr>
          <w:rFonts w:eastAsiaTheme="minorEastAsia"/>
          <w:b/>
          <w:kern w:val="0"/>
          <w:szCs w:val="21"/>
        </w:rPr>
        <w:lastRenderedPageBreak/>
        <w:t>续表</w:t>
      </w:r>
      <w:r w:rsidRPr="00F9522B">
        <w:rPr>
          <w:rFonts w:eastAsiaTheme="minorEastAsia"/>
          <w:b/>
          <w:kern w:val="0"/>
          <w:szCs w:val="21"/>
        </w:rPr>
        <w:t>3-1-7</w:t>
      </w:r>
      <w:r w:rsidRPr="00F9522B">
        <w:rPr>
          <w:rFonts w:eastAsiaTheme="minorEastAsia"/>
          <w:b/>
          <w:kern w:val="0"/>
          <w:szCs w:val="21"/>
        </w:rPr>
        <w:t>工程组成一览表</w:t>
      </w:r>
    </w:p>
    <w:tbl>
      <w:tblPr>
        <w:tblW w:w="5000" w:type="pct"/>
        <w:jc w:val="center"/>
        <w:tblBorders>
          <w:top w:val="single" w:sz="12" w:space="0" w:color="auto"/>
          <w:bottom w:val="single" w:sz="12" w:space="0" w:color="auto"/>
          <w:insideH w:val="single" w:sz="4" w:space="0" w:color="auto"/>
          <w:insideV w:val="single" w:sz="4" w:space="0" w:color="auto"/>
        </w:tblBorders>
        <w:tblLook w:val="04A0"/>
      </w:tblPr>
      <w:tblGrid>
        <w:gridCol w:w="673"/>
        <w:gridCol w:w="852"/>
        <w:gridCol w:w="5814"/>
        <w:gridCol w:w="1183"/>
      </w:tblGrid>
      <w:tr w:rsidR="000037AB" w:rsidRPr="00F9522B" w:rsidTr="00AB10DD">
        <w:trPr>
          <w:trHeight w:val="508"/>
          <w:jc w:val="center"/>
        </w:trPr>
        <w:tc>
          <w:tcPr>
            <w:tcW w:w="395" w:type="pct"/>
            <w:vMerge w:val="restart"/>
            <w:vAlign w:val="center"/>
          </w:tcPr>
          <w:p w:rsidR="000037AB" w:rsidRPr="00F9522B" w:rsidRDefault="000037AB">
            <w:pPr>
              <w:pStyle w:val="aff7"/>
              <w:spacing w:line="0" w:lineRule="atLeast"/>
              <w:rPr>
                <w:rFonts w:eastAsiaTheme="minorEastAsia" w:hAnsi="Times New Roman"/>
              </w:rPr>
            </w:pPr>
            <w:r w:rsidRPr="00F9522B">
              <w:rPr>
                <w:rFonts w:eastAsiaTheme="minorEastAsia" w:hAnsi="Times New Roman"/>
              </w:rPr>
              <w:t>环保工程</w:t>
            </w:r>
          </w:p>
        </w:tc>
        <w:tc>
          <w:tcPr>
            <w:tcW w:w="500" w:type="pct"/>
            <w:vMerge w:val="restart"/>
            <w:vAlign w:val="center"/>
          </w:tcPr>
          <w:p w:rsidR="000037AB" w:rsidRPr="00F9522B" w:rsidRDefault="000037AB">
            <w:pPr>
              <w:pStyle w:val="aff7"/>
              <w:spacing w:line="0" w:lineRule="atLeast"/>
              <w:rPr>
                <w:rFonts w:eastAsiaTheme="minorEastAsia" w:hAnsi="Times New Roman"/>
              </w:rPr>
            </w:pPr>
            <w:r w:rsidRPr="00F9522B">
              <w:rPr>
                <w:rFonts w:eastAsiaTheme="minorEastAsia" w:hAnsi="Times New Roman"/>
              </w:rPr>
              <w:t>废气</w:t>
            </w:r>
          </w:p>
        </w:tc>
        <w:tc>
          <w:tcPr>
            <w:tcW w:w="3411" w:type="pct"/>
            <w:vAlign w:val="center"/>
          </w:tcPr>
          <w:p w:rsidR="000037AB" w:rsidRPr="00F9522B" w:rsidRDefault="000037AB">
            <w:pPr>
              <w:rPr>
                <w:rFonts w:eastAsiaTheme="minorEastAsia"/>
                <w:szCs w:val="21"/>
              </w:rPr>
            </w:pPr>
            <w:r w:rsidRPr="00F9522B">
              <w:rPr>
                <w:rFonts w:eastAsiaTheme="minorEastAsia"/>
              </w:rPr>
              <w:t>施工期施工现场使用商品混凝土、预拌砂浆，严禁现场搅拌；建筑材料密闭存放或严密覆盖，严禁露天放置；余料及时回收；施工期间，施工单位非冬季时期制定洒水降尘制度，配套洒水车，专人负责，对施工场地及施工道路洒水抑尘；施工地面及时压实并及时采取洒水降尘措施，天气干燥时增加洒水密度与频率；施工现场运送土方、渣土的车辆封闭或遮盖严密，严禁使用未办理相关手续的渣土等运输车辆，严禁沿路遗撒和随意倾倒；途经施工区村屯干道的运输车辆，实行限速管理，时速应小于</w:t>
            </w:r>
            <w:r w:rsidRPr="00F9522B">
              <w:rPr>
                <w:rFonts w:eastAsiaTheme="minorEastAsia"/>
              </w:rPr>
              <w:t>20km/h</w:t>
            </w:r>
            <w:r w:rsidRPr="00F9522B">
              <w:rPr>
                <w:rFonts w:eastAsiaTheme="minorEastAsia"/>
              </w:rPr>
              <w:t>，非冬季干旱、多风天气，路段每天洒水不少于两次；加强运输车辆的维护、保养，避免尾气超标排放；</w:t>
            </w:r>
            <w:r w:rsidRPr="00943455">
              <w:rPr>
                <w:rFonts w:eastAsiaTheme="minorEastAsia"/>
                <w:color w:val="FF0000"/>
              </w:rPr>
              <w:t>灌溉井、田间道路、涵洞、变压器、排水沟清淤等工程在距离环境保护目标较近位置施工时（</w:t>
            </w:r>
            <w:r w:rsidR="007A5D2B" w:rsidRPr="00943455">
              <w:rPr>
                <w:rFonts w:eastAsiaTheme="minorEastAsia"/>
                <w:color w:val="FF0000"/>
              </w:rPr>
              <w:t>如八里荒、榆树村等村屯</w:t>
            </w:r>
            <w:r w:rsidR="00943455" w:rsidRPr="00943455">
              <w:rPr>
                <w:rFonts w:eastAsiaTheme="minorEastAsia"/>
                <w:color w:val="FF0000"/>
              </w:rPr>
              <w:t>，具体村屯名称见表</w:t>
            </w:r>
            <w:r w:rsidR="00943455" w:rsidRPr="00943455">
              <w:rPr>
                <w:rFonts w:eastAsiaTheme="minorEastAsia"/>
                <w:color w:val="FF0000"/>
              </w:rPr>
              <w:t>2-8-1</w:t>
            </w:r>
            <w:r w:rsidRPr="00943455">
              <w:rPr>
                <w:rFonts w:eastAsiaTheme="minorEastAsia"/>
                <w:color w:val="FF0000"/>
              </w:rPr>
              <w:t>），应设置施工围挡</w:t>
            </w:r>
            <w:r w:rsidRPr="00F9522B">
              <w:rPr>
                <w:rFonts w:eastAsiaTheme="minorEastAsia"/>
              </w:rPr>
              <w:t>，将施工场地及施工人员与居民分离开，保证施工安全、减少扬尘逸散；合理安排清淤时间，喷洒微生物除臭剂</w:t>
            </w:r>
            <w:r w:rsidR="00730492">
              <w:rPr>
                <w:rFonts w:eastAsiaTheme="minorEastAsia"/>
              </w:rPr>
              <w:t>，</w:t>
            </w:r>
            <w:r w:rsidR="00730492" w:rsidRPr="004C69F2">
              <w:rPr>
                <w:rFonts w:eastAsiaTheme="minorEastAsia"/>
                <w:color w:val="FF0000"/>
              </w:rPr>
              <w:t>排水沟淤泥</w:t>
            </w:r>
            <w:r w:rsidR="00730492" w:rsidRPr="004C69F2">
              <w:rPr>
                <w:rFonts w:eastAsiaTheme="minorEastAsia"/>
                <w:bCs/>
                <w:color w:val="FF0000"/>
              </w:rPr>
              <w:t>培至工程附近</w:t>
            </w:r>
            <w:r w:rsidR="00730492" w:rsidRPr="004C69F2">
              <w:rPr>
                <w:rFonts w:eastAsiaTheme="minorEastAsia"/>
                <w:bCs/>
                <w:color w:val="FF0000"/>
              </w:rPr>
              <w:t>200</w:t>
            </w:r>
            <w:r w:rsidR="00730492" w:rsidRPr="004C69F2">
              <w:rPr>
                <w:rFonts w:eastAsiaTheme="minorEastAsia"/>
                <w:bCs/>
                <w:color w:val="FF0000"/>
              </w:rPr>
              <w:t>米范围内无环境保护目标的排水沟两侧（避开南城李、方台镇、宋家村等</w:t>
            </w:r>
            <w:r w:rsidR="00730492" w:rsidRPr="004C69F2">
              <w:rPr>
                <w:rFonts w:eastAsiaTheme="minorEastAsia"/>
                <w:bCs/>
                <w:color w:val="FF0000"/>
              </w:rPr>
              <w:t>33</w:t>
            </w:r>
            <w:r w:rsidR="00730492" w:rsidRPr="004C69F2">
              <w:rPr>
                <w:rFonts w:eastAsiaTheme="minorEastAsia"/>
                <w:bCs/>
                <w:color w:val="FF0000"/>
              </w:rPr>
              <w:t>个村屯，具体见表</w:t>
            </w:r>
            <w:r w:rsidR="00730492" w:rsidRPr="004C69F2">
              <w:rPr>
                <w:rFonts w:eastAsiaTheme="minorEastAsia"/>
                <w:bCs/>
                <w:color w:val="FF0000"/>
              </w:rPr>
              <w:t>2-8-2</w:t>
            </w:r>
            <w:r w:rsidR="00730492" w:rsidRPr="004C69F2">
              <w:rPr>
                <w:rFonts w:eastAsiaTheme="minorEastAsia"/>
                <w:bCs/>
                <w:color w:val="FF0000"/>
              </w:rPr>
              <w:t>）</w:t>
            </w:r>
          </w:p>
        </w:tc>
        <w:tc>
          <w:tcPr>
            <w:tcW w:w="694" w:type="pct"/>
            <w:vMerge w:val="restart"/>
            <w:vAlign w:val="center"/>
          </w:tcPr>
          <w:p w:rsidR="000037AB" w:rsidRPr="00F9522B" w:rsidRDefault="000037AB">
            <w:pPr>
              <w:pStyle w:val="aff7"/>
              <w:spacing w:line="0" w:lineRule="atLeast"/>
              <w:rPr>
                <w:rFonts w:eastAsiaTheme="minorEastAsia" w:hAnsi="Times New Roman"/>
              </w:rPr>
            </w:pPr>
            <w:r w:rsidRPr="00F9522B">
              <w:rPr>
                <w:rFonts w:eastAsiaTheme="minorEastAsia" w:hAnsi="Times New Roman"/>
              </w:rPr>
              <w:t>新建</w:t>
            </w:r>
          </w:p>
        </w:tc>
      </w:tr>
      <w:tr w:rsidR="000037AB" w:rsidRPr="00F9522B" w:rsidTr="00AB10DD">
        <w:trPr>
          <w:trHeight w:val="508"/>
          <w:jc w:val="center"/>
        </w:trPr>
        <w:tc>
          <w:tcPr>
            <w:tcW w:w="395" w:type="pct"/>
            <w:vMerge/>
            <w:vAlign w:val="center"/>
          </w:tcPr>
          <w:p w:rsidR="000037AB" w:rsidRPr="00F9522B" w:rsidRDefault="000037AB">
            <w:pPr>
              <w:pStyle w:val="aff7"/>
              <w:spacing w:line="0" w:lineRule="atLeast"/>
              <w:rPr>
                <w:rFonts w:eastAsiaTheme="minorEastAsia" w:hAnsi="Times New Roman"/>
              </w:rPr>
            </w:pPr>
          </w:p>
        </w:tc>
        <w:tc>
          <w:tcPr>
            <w:tcW w:w="500" w:type="pct"/>
            <w:vMerge/>
            <w:vAlign w:val="center"/>
          </w:tcPr>
          <w:p w:rsidR="000037AB" w:rsidRPr="00F9522B" w:rsidRDefault="000037AB">
            <w:pPr>
              <w:pStyle w:val="aff7"/>
              <w:spacing w:line="0" w:lineRule="atLeast"/>
              <w:rPr>
                <w:rFonts w:eastAsiaTheme="minorEastAsia" w:hAnsi="Times New Roman"/>
              </w:rPr>
            </w:pPr>
          </w:p>
        </w:tc>
        <w:tc>
          <w:tcPr>
            <w:tcW w:w="3411" w:type="pct"/>
            <w:vAlign w:val="center"/>
          </w:tcPr>
          <w:p w:rsidR="000037AB" w:rsidRPr="00F9522B" w:rsidRDefault="000037AB">
            <w:pPr>
              <w:rPr>
                <w:rFonts w:eastAsiaTheme="minorEastAsia"/>
              </w:rPr>
            </w:pPr>
            <w:r w:rsidRPr="00F9522B">
              <w:rPr>
                <w:rFonts w:eastAsiaTheme="minorEastAsia"/>
              </w:rPr>
              <w:t>运营期</w:t>
            </w:r>
            <w:r w:rsidRPr="00F9522B">
              <w:rPr>
                <w:rFonts w:eastAsiaTheme="minorEastAsia"/>
                <w:kern w:val="0"/>
                <w:szCs w:val="21"/>
              </w:rPr>
              <w:t>田间道路</w:t>
            </w:r>
            <w:r w:rsidRPr="00F9522B">
              <w:rPr>
                <w:rFonts w:eastAsiaTheme="minorEastAsia"/>
              </w:rPr>
              <w:t>车辆通过会产生少量汽车尾气，采取限速措施；排水沟仅在降水无法排出情况下采用柴油机移动泵车进行排水，使用时间较短，采用轻质柴油，减少柴油机移动泵车废气影响</w:t>
            </w:r>
          </w:p>
        </w:tc>
        <w:tc>
          <w:tcPr>
            <w:tcW w:w="694" w:type="pct"/>
            <w:vMerge/>
            <w:vAlign w:val="center"/>
          </w:tcPr>
          <w:p w:rsidR="000037AB" w:rsidRPr="00F9522B" w:rsidRDefault="000037AB">
            <w:pPr>
              <w:pStyle w:val="aff7"/>
              <w:spacing w:line="0" w:lineRule="atLeast"/>
              <w:rPr>
                <w:rFonts w:eastAsiaTheme="minorEastAsia" w:hAnsi="Times New Roman"/>
              </w:rPr>
            </w:pPr>
          </w:p>
        </w:tc>
      </w:tr>
      <w:tr w:rsidR="000037AB" w:rsidRPr="00F9522B" w:rsidTr="00AB10DD">
        <w:trPr>
          <w:trHeight w:val="340"/>
          <w:jc w:val="center"/>
        </w:trPr>
        <w:tc>
          <w:tcPr>
            <w:tcW w:w="395" w:type="pct"/>
            <w:vMerge/>
            <w:vAlign w:val="center"/>
          </w:tcPr>
          <w:p w:rsidR="000037AB" w:rsidRPr="00F9522B" w:rsidRDefault="000037AB">
            <w:pPr>
              <w:pStyle w:val="aff7"/>
              <w:spacing w:line="0" w:lineRule="atLeast"/>
              <w:rPr>
                <w:rFonts w:eastAsiaTheme="minorEastAsia" w:hAnsi="Times New Roman"/>
              </w:rPr>
            </w:pPr>
          </w:p>
        </w:tc>
        <w:tc>
          <w:tcPr>
            <w:tcW w:w="500" w:type="pct"/>
            <w:vAlign w:val="center"/>
          </w:tcPr>
          <w:p w:rsidR="000037AB" w:rsidRPr="00F9522B" w:rsidRDefault="000037AB">
            <w:pPr>
              <w:pStyle w:val="aff7"/>
              <w:spacing w:line="0" w:lineRule="atLeast"/>
              <w:rPr>
                <w:rFonts w:eastAsiaTheme="minorEastAsia" w:hAnsi="Times New Roman"/>
              </w:rPr>
            </w:pPr>
            <w:r w:rsidRPr="00F9522B">
              <w:rPr>
                <w:rFonts w:eastAsiaTheme="minorEastAsia" w:hAnsi="Times New Roman"/>
              </w:rPr>
              <w:t>废水</w:t>
            </w:r>
          </w:p>
        </w:tc>
        <w:tc>
          <w:tcPr>
            <w:tcW w:w="3411" w:type="pct"/>
            <w:vAlign w:val="center"/>
          </w:tcPr>
          <w:p w:rsidR="000037AB" w:rsidRPr="00F9522B" w:rsidRDefault="000037AB">
            <w:pPr>
              <w:pStyle w:val="aff7"/>
              <w:spacing w:line="0" w:lineRule="atLeast"/>
              <w:jc w:val="left"/>
              <w:rPr>
                <w:rFonts w:eastAsiaTheme="minorEastAsia" w:hAnsi="Times New Roman"/>
              </w:rPr>
            </w:pPr>
            <w:r w:rsidRPr="00F9522B">
              <w:rPr>
                <w:rFonts w:eastAsiaTheme="minorEastAsia" w:hAnsi="Times New Roman"/>
              </w:rPr>
              <w:t>施工期</w:t>
            </w:r>
            <w:r w:rsidRPr="00F9522B">
              <w:rPr>
                <w:rFonts w:eastAsiaTheme="minorEastAsia" w:hAnsi="Times New Roman"/>
                <w:bCs/>
              </w:rPr>
              <w:t>生活污水依托附近民房防渗旱厕，定期清掏，外运堆肥，不外排</w:t>
            </w:r>
            <w:r w:rsidRPr="00F9522B">
              <w:rPr>
                <w:rFonts w:eastAsiaTheme="minorEastAsia" w:hAnsi="Times New Roman"/>
              </w:rPr>
              <w:t>。洗井废水用于洒水降尘。钻井泥浆循环利用，</w:t>
            </w:r>
            <w:r w:rsidRPr="00F9522B">
              <w:rPr>
                <w:rFonts w:eastAsiaTheme="minorEastAsia" w:hAnsi="Times New Roman"/>
                <w:szCs w:val="22"/>
              </w:rPr>
              <w:t>废泥浆</w:t>
            </w:r>
            <w:r w:rsidRPr="00F9522B">
              <w:rPr>
                <w:rFonts w:eastAsiaTheme="minorEastAsia" w:hAnsi="Times New Roman"/>
              </w:rPr>
              <w:t>暂存于施工场地</w:t>
            </w:r>
            <w:r w:rsidR="0009673A" w:rsidRPr="00F9522B">
              <w:rPr>
                <w:rFonts w:eastAsiaTheme="minorEastAsia" w:hAnsi="Times New Roman"/>
              </w:rPr>
              <w:t>5</w:t>
            </w:r>
            <w:r w:rsidR="0009673A" w:rsidRPr="00F9522B">
              <w:rPr>
                <w:rFonts w:eastAsiaTheme="minorEastAsia" w:hAnsi="Times New Roman"/>
              </w:rPr>
              <w:t>个</w:t>
            </w:r>
            <w:r w:rsidR="0009673A" w:rsidRPr="00F9522B">
              <w:rPr>
                <w:rFonts w:eastAsiaTheme="minorEastAsia" w:hAnsi="Times New Roman"/>
              </w:rPr>
              <w:t>2</w:t>
            </w:r>
            <w:r w:rsidRPr="00F9522B">
              <w:rPr>
                <w:rFonts w:eastAsiaTheme="minorEastAsia" w:hAnsi="Times New Roman"/>
              </w:rPr>
              <w:t>0</w:t>
            </w:r>
            <w:r w:rsidRPr="00F9522B">
              <w:rPr>
                <w:rFonts w:eastAsiaTheme="minorEastAsia" w:hAnsi="Times New Roman"/>
                <w:szCs w:val="22"/>
              </w:rPr>
              <w:t>m</w:t>
            </w:r>
            <w:r w:rsidRPr="00F9522B">
              <w:rPr>
                <w:rFonts w:eastAsiaTheme="minorEastAsia" w:hAnsi="Times New Roman"/>
                <w:szCs w:val="22"/>
                <w:vertAlign w:val="superscript"/>
              </w:rPr>
              <w:t>3</w:t>
            </w:r>
            <w:r w:rsidRPr="00F9522B">
              <w:rPr>
                <w:rFonts w:eastAsiaTheme="minorEastAsia" w:hAnsi="Times New Roman"/>
              </w:rPr>
              <w:t>移动式不锈钢沉淀池内，沉淀后上层清水用于洒水降尘，下层钻井</w:t>
            </w:r>
            <w:r w:rsidRPr="00F9522B">
              <w:rPr>
                <w:rFonts w:eastAsiaTheme="minorEastAsia" w:hAnsi="Times New Roman"/>
                <w:bCs/>
              </w:rPr>
              <w:t>泥浆自然干化后用于周围路面平整。清淤工程污泥沥水与排水沟内水质基本一致，排入排水沟内；</w:t>
            </w:r>
            <w:r w:rsidRPr="00F9522B">
              <w:rPr>
                <w:rFonts w:eastAsiaTheme="minorEastAsia" w:hAnsi="Times New Roman"/>
              </w:rPr>
              <w:t>运营期</w:t>
            </w:r>
            <w:r w:rsidRPr="00F9522B">
              <w:rPr>
                <w:rFonts w:eastAsiaTheme="minorEastAsia" w:hAnsi="Times New Roman"/>
                <w:bCs/>
              </w:rPr>
              <w:t>项目区水田排水工程已基本形成规模，片区内排水承泄区为松花江及漂河，项目建成后灌区年退水量与现状相比</w:t>
            </w:r>
            <w:r w:rsidR="004A0FF6" w:rsidRPr="00F9522B">
              <w:rPr>
                <w:rFonts w:eastAsiaTheme="minorEastAsia" w:hAnsi="Times New Roman"/>
                <w:bCs/>
              </w:rPr>
              <w:t>减少</w:t>
            </w:r>
            <w:r w:rsidR="004A0FF6" w:rsidRPr="00F9522B">
              <w:rPr>
                <w:rFonts w:eastAsiaTheme="minorEastAsia" w:hAnsi="Times New Roman"/>
                <w:bCs/>
              </w:rPr>
              <w:t>15</w:t>
            </w:r>
            <w:r w:rsidR="004A0FF6" w:rsidRPr="00F9522B">
              <w:rPr>
                <w:rFonts w:eastAsiaTheme="minorEastAsia" w:hAnsi="Times New Roman"/>
                <w:bCs/>
              </w:rPr>
              <w:t>万</w:t>
            </w:r>
            <w:r w:rsidRPr="00F9522B">
              <w:rPr>
                <w:rFonts w:eastAsiaTheme="minorEastAsia" w:hAnsi="Times New Roman"/>
                <w:bCs/>
              </w:rPr>
              <w:t>m</w:t>
            </w:r>
            <w:r w:rsidRPr="00F9522B">
              <w:rPr>
                <w:rFonts w:eastAsiaTheme="minorEastAsia" w:hAnsi="Times New Roman"/>
                <w:bCs/>
                <w:vertAlign w:val="superscript"/>
              </w:rPr>
              <w:t>3</w:t>
            </w:r>
          </w:p>
        </w:tc>
        <w:tc>
          <w:tcPr>
            <w:tcW w:w="694" w:type="pct"/>
            <w:vAlign w:val="center"/>
          </w:tcPr>
          <w:p w:rsidR="000037AB" w:rsidRPr="00F9522B" w:rsidRDefault="000037AB">
            <w:pPr>
              <w:pStyle w:val="aff7"/>
              <w:spacing w:line="0" w:lineRule="atLeast"/>
              <w:rPr>
                <w:rFonts w:eastAsiaTheme="minorEastAsia" w:hAnsi="Times New Roman"/>
              </w:rPr>
            </w:pPr>
            <w:r w:rsidRPr="00F9522B">
              <w:rPr>
                <w:rFonts w:eastAsiaTheme="minorEastAsia" w:hAnsi="Times New Roman"/>
              </w:rPr>
              <w:t>依托</w:t>
            </w:r>
            <w:r w:rsidRPr="00F9522B">
              <w:rPr>
                <w:rFonts w:eastAsiaTheme="minorEastAsia" w:hAnsi="Times New Roman"/>
              </w:rPr>
              <w:t>/</w:t>
            </w:r>
            <w:r w:rsidRPr="00F9522B">
              <w:rPr>
                <w:rFonts w:eastAsiaTheme="minorEastAsia" w:hAnsi="Times New Roman"/>
              </w:rPr>
              <w:t>新建</w:t>
            </w:r>
          </w:p>
        </w:tc>
      </w:tr>
      <w:tr w:rsidR="00AB10DD" w:rsidRPr="00F9522B" w:rsidTr="00AB10DD">
        <w:trPr>
          <w:trHeight w:val="340"/>
          <w:jc w:val="center"/>
        </w:trPr>
        <w:tc>
          <w:tcPr>
            <w:tcW w:w="395" w:type="pct"/>
            <w:vMerge w:val="restart"/>
            <w:vAlign w:val="center"/>
          </w:tcPr>
          <w:p w:rsidR="00AB10DD" w:rsidRPr="00F9522B" w:rsidRDefault="00AB10DD" w:rsidP="004031CB">
            <w:pPr>
              <w:pStyle w:val="aff7"/>
              <w:spacing w:line="0" w:lineRule="atLeast"/>
              <w:rPr>
                <w:rFonts w:eastAsiaTheme="minorEastAsia" w:hAnsi="Times New Roman"/>
              </w:rPr>
            </w:pPr>
            <w:r w:rsidRPr="00F9522B">
              <w:rPr>
                <w:rFonts w:eastAsiaTheme="minorEastAsia" w:hAnsi="Times New Roman"/>
              </w:rPr>
              <w:t>环保工程</w:t>
            </w:r>
          </w:p>
        </w:tc>
        <w:tc>
          <w:tcPr>
            <w:tcW w:w="500" w:type="pct"/>
            <w:vMerge w:val="restart"/>
            <w:vAlign w:val="center"/>
          </w:tcPr>
          <w:p w:rsidR="00AB10DD" w:rsidRPr="00F9522B" w:rsidRDefault="00AB10DD">
            <w:pPr>
              <w:pStyle w:val="aff7"/>
              <w:spacing w:line="0" w:lineRule="atLeast"/>
              <w:rPr>
                <w:rFonts w:eastAsiaTheme="minorEastAsia" w:hAnsi="Times New Roman"/>
              </w:rPr>
            </w:pPr>
            <w:r w:rsidRPr="00F9522B">
              <w:rPr>
                <w:rFonts w:eastAsiaTheme="minorEastAsia" w:hAnsi="Times New Roman"/>
              </w:rPr>
              <w:t>噪声</w:t>
            </w:r>
          </w:p>
        </w:tc>
        <w:tc>
          <w:tcPr>
            <w:tcW w:w="3411" w:type="pct"/>
            <w:vAlign w:val="center"/>
          </w:tcPr>
          <w:p w:rsidR="00AB10DD" w:rsidRPr="00F9522B" w:rsidRDefault="00AB10DD">
            <w:pPr>
              <w:pStyle w:val="aff7"/>
              <w:spacing w:line="0" w:lineRule="atLeast"/>
              <w:jc w:val="left"/>
              <w:rPr>
                <w:rFonts w:eastAsiaTheme="minorEastAsia" w:hAnsi="Times New Roman"/>
              </w:rPr>
            </w:pPr>
            <w:r w:rsidRPr="00943455">
              <w:rPr>
                <w:rFonts w:eastAsiaTheme="minorEastAsia" w:hAnsi="Times New Roman"/>
                <w:color w:val="FF0000"/>
              </w:rPr>
              <w:t>在</w:t>
            </w:r>
            <w:r w:rsidRPr="00943455">
              <w:rPr>
                <w:rFonts w:eastAsiaTheme="minorEastAsia" w:hAnsi="Times New Roman"/>
                <w:color w:val="FF0000"/>
              </w:rPr>
              <w:t>10m</w:t>
            </w:r>
            <w:r w:rsidRPr="00943455">
              <w:rPr>
                <w:rFonts w:eastAsiaTheme="minorEastAsia" w:hAnsi="Times New Roman"/>
                <w:color w:val="FF0000"/>
              </w:rPr>
              <w:t>以内分布有居民（八里荒、榆树村、黄家窝堡等村屯，共</w:t>
            </w:r>
            <w:r w:rsidRPr="00943455">
              <w:rPr>
                <w:rFonts w:eastAsiaTheme="minorEastAsia" w:hAnsi="Times New Roman"/>
                <w:color w:val="FF0000"/>
              </w:rPr>
              <w:t>25</w:t>
            </w:r>
            <w:r w:rsidRPr="00943455">
              <w:rPr>
                <w:rFonts w:eastAsiaTheme="minorEastAsia" w:hAnsi="Times New Roman"/>
                <w:color w:val="FF0000"/>
              </w:rPr>
              <w:t>处，具体村屯名称</w:t>
            </w:r>
            <w:r w:rsidR="00660C23" w:rsidRPr="00943455">
              <w:rPr>
                <w:rFonts w:eastAsiaTheme="minorEastAsia" w:hAnsi="Times New Roman"/>
                <w:color w:val="FF0000"/>
              </w:rPr>
              <w:t>见表</w:t>
            </w:r>
            <w:r w:rsidR="00660C23" w:rsidRPr="00943455">
              <w:rPr>
                <w:rFonts w:eastAsiaTheme="minorEastAsia" w:hAnsi="Times New Roman"/>
                <w:color w:val="FF0000"/>
              </w:rPr>
              <w:t>2-8-1</w:t>
            </w:r>
            <w:r w:rsidRPr="00943455">
              <w:rPr>
                <w:rFonts w:eastAsiaTheme="minorEastAsia" w:hAnsi="Times New Roman"/>
                <w:color w:val="FF0000"/>
              </w:rPr>
              <w:t>）的灌溉与排水、田间道路、涵洞等建筑物、</w:t>
            </w:r>
            <w:r w:rsidRPr="00943455">
              <w:rPr>
                <w:rFonts w:eastAsiaTheme="minorEastAsia" w:hAnsi="Times New Roman"/>
                <w:bCs/>
                <w:color w:val="FF0000"/>
              </w:rPr>
              <w:t>输配电</w:t>
            </w:r>
            <w:r w:rsidRPr="00943455">
              <w:rPr>
                <w:rFonts w:eastAsiaTheme="minorEastAsia" w:hAnsi="Times New Roman"/>
                <w:color w:val="FF0000"/>
              </w:rPr>
              <w:t>工程处设置双层移动隔声屏障，高度为</w:t>
            </w:r>
            <w:r w:rsidRPr="00943455">
              <w:rPr>
                <w:rFonts w:eastAsiaTheme="minorEastAsia" w:hAnsi="Times New Roman"/>
                <w:color w:val="FF0000"/>
              </w:rPr>
              <w:t>2m</w:t>
            </w:r>
            <w:r w:rsidRPr="00943455">
              <w:rPr>
                <w:rFonts w:eastAsiaTheme="minorEastAsia" w:hAnsi="Times New Roman"/>
                <w:color w:val="FF0000"/>
              </w:rPr>
              <w:t>，长度超出敏感目标两侧各</w:t>
            </w:r>
            <w:r w:rsidRPr="00943455">
              <w:rPr>
                <w:rFonts w:eastAsiaTheme="minorEastAsia" w:hAnsi="Times New Roman"/>
                <w:color w:val="FF0000"/>
              </w:rPr>
              <w:t>10m</w:t>
            </w:r>
            <w:r w:rsidRPr="00F9522B">
              <w:rPr>
                <w:rFonts w:eastAsiaTheme="minorEastAsia" w:hAnsi="Times New Roman"/>
              </w:rPr>
              <w:t>；对施工机械和车辆进行维护保养；运输车辆在经过沿线村屯时采取减速慢行、禁止鸣笛等管理措施，</w:t>
            </w:r>
            <w:r w:rsidRPr="00F9522B">
              <w:rPr>
                <w:rFonts w:eastAsiaTheme="minorEastAsia" w:hAnsi="Times New Roman"/>
                <w:bCs/>
              </w:rPr>
              <w:t>控制车速不超过</w:t>
            </w:r>
            <w:r w:rsidRPr="00F9522B">
              <w:rPr>
                <w:rFonts w:eastAsiaTheme="minorEastAsia" w:hAnsi="Times New Roman"/>
                <w:bCs/>
              </w:rPr>
              <w:t>20km/h</w:t>
            </w:r>
            <w:r w:rsidRPr="00F9522B">
              <w:rPr>
                <w:rFonts w:eastAsiaTheme="minorEastAsia" w:hAnsi="Times New Roman"/>
              </w:rPr>
              <w:t>；合理布置施工现场，尽量让高噪声设备远离敏感点一侧布置。加强施工期环境管理，尽量避免高噪声机械设备集中使用或几台声功率相同的设备同时、同点作业，以减少作业时的噪声声级。合理安排施工作业时间，禁止夜间（</w:t>
            </w:r>
            <w:r w:rsidRPr="00F9522B">
              <w:rPr>
                <w:rFonts w:eastAsiaTheme="minorEastAsia" w:hAnsi="Times New Roman"/>
              </w:rPr>
              <w:t>22:00-6:00</w:t>
            </w:r>
            <w:r w:rsidRPr="00F9522B">
              <w:rPr>
                <w:rFonts w:eastAsiaTheme="minorEastAsia" w:hAnsi="Times New Roman"/>
              </w:rPr>
              <w:t>）施工；</w:t>
            </w:r>
            <w:r w:rsidRPr="00F9522B">
              <w:rPr>
                <w:rFonts w:eastAsiaTheme="minorEastAsia" w:hAnsi="Times New Roman"/>
                <w:bCs/>
              </w:rPr>
              <w:t>加强施工期噪声监测，确保声环境功能区达标</w:t>
            </w:r>
          </w:p>
        </w:tc>
        <w:tc>
          <w:tcPr>
            <w:tcW w:w="694" w:type="pct"/>
            <w:vMerge w:val="restart"/>
            <w:vAlign w:val="center"/>
          </w:tcPr>
          <w:p w:rsidR="00AB10DD" w:rsidRPr="00F9522B" w:rsidRDefault="00AB10DD">
            <w:pPr>
              <w:contextualSpacing/>
              <w:jc w:val="center"/>
              <w:rPr>
                <w:rFonts w:eastAsiaTheme="minorEastAsia"/>
                <w:kern w:val="0"/>
                <w:szCs w:val="21"/>
              </w:rPr>
            </w:pPr>
            <w:r w:rsidRPr="00F9522B">
              <w:rPr>
                <w:rFonts w:eastAsiaTheme="minorEastAsia"/>
                <w:kern w:val="0"/>
                <w:szCs w:val="21"/>
              </w:rPr>
              <w:t>新建</w:t>
            </w:r>
          </w:p>
        </w:tc>
      </w:tr>
      <w:tr w:rsidR="00AB10DD" w:rsidRPr="00F9522B" w:rsidTr="00AB10DD">
        <w:trPr>
          <w:trHeight w:val="340"/>
          <w:jc w:val="center"/>
        </w:trPr>
        <w:tc>
          <w:tcPr>
            <w:tcW w:w="395" w:type="pct"/>
            <w:vMerge/>
            <w:vAlign w:val="center"/>
          </w:tcPr>
          <w:p w:rsidR="00AB10DD" w:rsidRPr="00F9522B" w:rsidRDefault="00AB10DD" w:rsidP="004031CB">
            <w:pPr>
              <w:pStyle w:val="aff7"/>
              <w:spacing w:line="0" w:lineRule="atLeast"/>
              <w:rPr>
                <w:rFonts w:eastAsiaTheme="minorEastAsia" w:hAnsi="Times New Roman"/>
              </w:rPr>
            </w:pPr>
          </w:p>
        </w:tc>
        <w:tc>
          <w:tcPr>
            <w:tcW w:w="500" w:type="pct"/>
            <w:vMerge/>
            <w:vAlign w:val="center"/>
          </w:tcPr>
          <w:p w:rsidR="00AB10DD" w:rsidRPr="00F9522B" w:rsidRDefault="00AB10DD">
            <w:pPr>
              <w:pStyle w:val="aff7"/>
              <w:spacing w:line="0" w:lineRule="atLeast"/>
              <w:rPr>
                <w:rFonts w:eastAsiaTheme="minorEastAsia" w:hAnsi="Times New Roman"/>
              </w:rPr>
            </w:pPr>
          </w:p>
        </w:tc>
        <w:tc>
          <w:tcPr>
            <w:tcW w:w="3411" w:type="pct"/>
            <w:vAlign w:val="center"/>
          </w:tcPr>
          <w:p w:rsidR="00AB10DD" w:rsidRPr="00F9522B" w:rsidRDefault="00AB10DD">
            <w:pPr>
              <w:pStyle w:val="aff7"/>
              <w:spacing w:line="0" w:lineRule="atLeast"/>
              <w:jc w:val="left"/>
              <w:rPr>
                <w:rFonts w:eastAsiaTheme="minorEastAsia" w:hAnsi="Times New Roman"/>
              </w:rPr>
            </w:pPr>
            <w:r w:rsidRPr="00F9522B">
              <w:rPr>
                <w:rFonts w:eastAsiaTheme="minorEastAsia" w:hAnsi="Times New Roman"/>
              </w:rPr>
              <w:t>运营期潜水泵、</w:t>
            </w:r>
            <w:r w:rsidR="00A4540D" w:rsidRPr="00F9522B">
              <w:rPr>
                <w:rFonts w:eastAsiaTheme="minorEastAsia" w:hAnsi="Times New Roman"/>
              </w:rPr>
              <w:t>水肥一体化设备</w:t>
            </w:r>
            <w:r w:rsidRPr="00F9522B">
              <w:rPr>
                <w:rFonts w:eastAsiaTheme="minorEastAsia" w:hAnsi="Times New Roman"/>
              </w:rPr>
              <w:t>位于井房内，潜水泵位于地下，潜水泵、</w:t>
            </w:r>
            <w:r w:rsidR="00A4540D" w:rsidRPr="00F9522B">
              <w:rPr>
                <w:rFonts w:eastAsiaTheme="minorEastAsia" w:hAnsi="Times New Roman"/>
              </w:rPr>
              <w:t>水肥一体化设备</w:t>
            </w:r>
            <w:r w:rsidRPr="00F9522B">
              <w:rPr>
                <w:rFonts w:eastAsiaTheme="minorEastAsia" w:hAnsi="Times New Roman"/>
              </w:rPr>
              <w:t>采取减振措施；变压器基础减振；临近敏感目标的道路处设置限速、禁鸣标识</w:t>
            </w:r>
          </w:p>
        </w:tc>
        <w:tc>
          <w:tcPr>
            <w:tcW w:w="694" w:type="pct"/>
            <w:vMerge/>
            <w:vAlign w:val="center"/>
          </w:tcPr>
          <w:p w:rsidR="00AB10DD" w:rsidRPr="00F9522B" w:rsidRDefault="00AB10DD">
            <w:pPr>
              <w:pStyle w:val="aff7"/>
              <w:spacing w:line="0" w:lineRule="atLeast"/>
              <w:rPr>
                <w:rFonts w:eastAsiaTheme="minorEastAsia" w:hAnsi="Times New Roman"/>
              </w:rPr>
            </w:pPr>
          </w:p>
        </w:tc>
      </w:tr>
    </w:tbl>
    <w:p w:rsidR="00DD5FB6" w:rsidRDefault="00DD5FB6"/>
    <w:p w:rsidR="00DD5FB6" w:rsidRDefault="00DD5FB6"/>
    <w:p w:rsidR="00DD5FB6" w:rsidRDefault="00DD5FB6"/>
    <w:p w:rsidR="00DD5FB6" w:rsidRPr="00F9522B" w:rsidRDefault="00DD5FB6" w:rsidP="00DD5FB6">
      <w:pPr>
        <w:contextualSpacing/>
        <w:jc w:val="center"/>
        <w:rPr>
          <w:rFonts w:eastAsiaTheme="minorEastAsia"/>
          <w:b/>
          <w:kern w:val="0"/>
          <w:szCs w:val="21"/>
        </w:rPr>
      </w:pPr>
      <w:r w:rsidRPr="00F9522B">
        <w:rPr>
          <w:rFonts w:eastAsiaTheme="minorEastAsia"/>
          <w:b/>
          <w:kern w:val="0"/>
          <w:szCs w:val="21"/>
        </w:rPr>
        <w:lastRenderedPageBreak/>
        <w:t>续表</w:t>
      </w:r>
      <w:r w:rsidRPr="00F9522B">
        <w:rPr>
          <w:rFonts w:eastAsiaTheme="minorEastAsia"/>
          <w:b/>
          <w:kern w:val="0"/>
          <w:szCs w:val="21"/>
        </w:rPr>
        <w:t>3-1-7</w:t>
      </w:r>
      <w:r w:rsidRPr="00F9522B">
        <w:rPr>
          <w:rFonts w:eastAsiaTheme="minorEastAsia"/>
          <w:b/>
          <w:kern w:val="0"/>
          <w:szCs w:val="21"/>
        </w:rPr>
        <w:t>工程组成一览表</w:t>
      </w:r>
    </w:p>
    <w:tbl>
      <w:tblPr>
        <w:tblW w:w="5000" w:type="pct"/>
        <w:jc w:val="center"/>
        <w:tblBorders>
          <w:top w:val="single" w:sz="12" w:space="0" w:color="auto"/>
          <w:bottom w:val="single" w:sz="12" w:space="0" w:color="auto"/>
          <w:insideH w:val="single" w:sz="4" w:space="0" w:color="auto"/>
          <w:insideV w:val="single" w:sz="4" w:space="0" w:color="auto"/>
        </w:tblBorders>
        <w:tblLook w:val="04A0"/>
      </w:tblPr>
      <w:tblGrid>
        <w:gridCol w:w="673"/>
        <w:gridCol w:w="852"/>
        <w:gridCol w:w="5814"/>
        <w:gridCol w:w="1183"/>
      </w:tblGrid>
      <w:tr w:rsidR="00AB10DD" w:rsidRPr="00F9522B" w:rsidTr="00AB10DD">
        <w:trPr>
          <w:trHeight w:val="340"/>
          <w:jc w:val="center"/>
        </w:trPr>
        <w:tc>
          <w:tcPr>
            <w:tcW w:w="395" w:type="pct"/>
            <w:vMerge w:val="restart"/>
            <w:vAlign w:val="center"/>
          </w:tcPr>
          <w:p w:rsidR="00AB10DD" w:rsidRPr="00F9522B" w:rsidRDefault="00DD5FB6" w:rsidP="004031CB">
            <w:pPr>
              <w:pStyle w:val="aff7"/>
              <w:spacing w:line="0" w:lineRule="atLeast"/>
              <w:rPr>
                <w:rFonts w:eastAsiaTheme="minorEastAsia" w:hAnsi="Times New Roman"/>
              </w:rPr>
            </w:pPr>
            <w:r w:rsidRPr="00F9522B">
              <w:rPr>
                <w:rFonts w:eastAsiaTheme="minorEastAsia" w:hAnsi="Times New Roman"/>
              </w:rPr>
              <w:t>环保工程</w:t>
            </w:r>
          </w:p>
        </w:tc>
        <w:tc>
          <w:tcPr>
            <w:tcW w:w="500" w:type="pct"/>
            <w:vAlign w:val="center"/>
          </w:tcPr>
          <w:p w:rsidR="00AB10DD" w:rsidRPr="00F9522B" w:rsidRDefault="00AB10DD">
            <w:pPr>
              <w:pStyle w:val="aff7"/>
              <w:spacing w:line="0" w:lineRule="atLeast"/>
              <w:rPr>
                <w:rFonts w:eastAsiaTheme="minorEastAsia" w:hAnsi="Times New Roman"/>
              </w:rPr>
            </w:pPr>
            <w:r w:rsidRPr="00F9522B">
              <w:rPr>
                <w:rFonts w:eastAsiaTheme="minorEastAsia" w:hAnsi="Times New Roman"/>
              </w:rPr>
              <w:t>固废</w:t>
            </w:r>
          </w:p>
        </w:tc>
        <w:tc>
          <w:tcPr>
            <w:tcW w:w="3411" w:type="pct"/>
            <w:vAlign w:val="center"/>
          </w:tcPr>
          <w:p w:rsidR="00AB10DD" w:rsidRPr="00F9522B" w:rsidRDefault="00AB10DD" w:rsidP="009E4DCE">
            <w:pPr>
              <w:pStyle w:val="aff7"/>
              <w:spacing w:line="0" w:lineRule="atLeast"/>
              <w:jc w:val="left"/>
              <w:rPr>
                <w:rFonts w:eastAsiaTheme="minorEastAsia" w:hAnsi="Times New Roman"/>
              </w:rPr>
            </w:pPr>
            <w:r w:rsidRPr="00F9522B">
              <w:rPr>
                <w:rFonts w:eastAsiaTheme="minorEastAsia" w:hAnsi="Times New Roman"/>
              </w:rPr>
              <w:t>施工期建筑垃圾大部分用于</w:t>
            </w:r>
            <w:r w:rsidRPr="00F9522B">
              <w:rPr>
                <w:rFonts w:eastAsiaTheme="minorEastAsia" w:hAnsi="Times New Roman"/>
                <w:snapToGrid w:val="0"/>
                <w:kern w:val="0"/>
              </w:rPr>
              <w:t>田块整治工程，剩余送至建筑公司回用</w:t>
            </w:r>
            <w:r w:rsidRPr="00F9522B">
              <w:rPr>
                <w:rFonts w:eastAsiaTheme="minorEastAsia" w:hAnsi="Times New Roman"/>
              </w:rPr>
              <w:t>；钻井泥浆循环利用，</w:t>
            </w:r>
            <w:r w:rsidRPr="00F9522B">
              <w:rPr>
                <w:rFonts w:eastAsiaTheme="minorEastAsia" w:hAnsi="Times New Roman"/>
                <w:szCs w:val="22"/>
              </w:rPr>
              <w:t>废泥浆</w:t>
            </w:r>
            <w:r w:rsidRPr="00F9522B">
              <w:rPr>
                <w:rFonts w:eastAsiaTheme="minorEastAsia" w:hAnsi="Times New Roman"/>
              </w:rPr>
              <w:t>暂存于施工场地</w:t>
            </w:r>
            <w:r w:rsidR="0009673A" w:rsidRPr="00F9522B">
              <w:rPr>
                <w:rFonts w:eastAsiaTheme="minorEastAsia" w:hAnsi="Times New Roman"/>
              </w:rPr>
              <w:t>5</w:t>
            </w:r>
            <w:r w:rsidR="0009673A" w:rsidRPr="00F9522B">
              <w:rPr>
                <w:rFonts w:eastAsiaTheme="minorEastAsia" w:hAnsi="Times New Roman"/>
              </w:rPr>
              <w:t>个</w:t>
            </w:r>
            <w:r w:rsidR="0009673A" w:rsidRPr="00F9522B">
              <w:rPr>
                <w:rFonts w:eastAsiaTheme="minorEastAsia" w:hAnsi="Times New Roman"/>
              </w:rPr>
              <w:t>2</w:t>
            </w:r>
            <w:r w:rsidRPr="00F9522B">
              <w:rPr>
                <w:rFonts w:eastAsiaTheme="minorEastAsia" w:hAnsi="Times New Roman"/>
              </w:rPr>
              <w:t>0</w:t>
            </w:r>
            <w:r w:rsidRPr="00F9522B">
              <w:rPr>
                <w:rFonts w:eastAsiaTheme="minorEastAsia" w:hAnsi="Times New Roman"/>
                <w:szCs w:val="22"/>
              </w:rPr>
              <w:t>m</w:t>
            </w:r>
            <w:r w:rsidRPr="00F9522B">
              <w:rPr>
                <w:rFonts w:eastAsiaTheme="minorEastAsia" w:hAnsi="Times New Roman"/>
                <w:szCs w:val="22"/>
                <w:vertAlign w:val="superscript"/>
              </w:rPr>
              <w:t>3</w:t>
            </w:r>
            <w:r w:rsidRPr="00F9522B">
              <w:rPr>
                <w:rFonts w:eastAsiaTheme="minorEastAsia" w:hAnsi="Times New Roman"/>
              </w:rPr>
              <w:t>移动式不锈钢沉淀池内，沉淀后上层清水用于洒水降尘，下层钻井</w:t>
            </w:r>
            <w:r w:rsidRPr="00F9522B">
              <w:rPr>
                <w:rFonts w:eastAsiaTheme="minorEastAsia" w:hAnsi="Times New Roman"/>
                <w:bCs/>
              </w:rPr>
              <w:t>泥浆自然干化后用于周围路面平整</w:t>
            </w:r>
            <w:r w:rsidRPr="00F9522B">
              <w:rPr>
                <w:rFonts w:eastAsiaTheme="minorEastAsia" w:hAnsi="Times New Roman"/>
              </w:rPr>
              <w:t>；</w:t>
            </w:r>
            <w:r w:rsidRPr="00F9522B">
              <w:rPr>
                <w:rFonts w:eastAsiaTheme="minorEastAsia" w:hAnsi="Times New Roman"/>
                <w:snapToGrid w:val="0"/>
                <w:kern w:val="0"/>
              </w:rPr>
              <w:t>表土全部用于临时工程土地恢复及田块整治工程；施工人员产生的生活垃圾集中收集后由市政环卫部门统一清运处置</w:t>
            </w:r>
            <w:r w:rsidRPr="00F9522B">
              <w:rPr>
                <w:rFonts w:eastAsiaTheme="minorEastAsia" w:hAnsi="Times New Roman"/>
              </w:rPr>
              <w:t>；</w:t>
            </w:r>
            <w:r w:rsidR="00730492" w:rsidRPr="00730492">
              <w:rPr>
                <w:rFonts w:eastAsiaTheme="minorEastAsia" w:hAnsi="Times New Roman" w:hint="eastAsia"/>
                <w:bCs/>
                <w:color w:val="FF0000"/>
              </w:rPr>
              <w:t>排水沟淤泥培至工程附近</w:t>
            </w:r>
            <w:r w:rsidR="00730492" w:rsidRPr="00730492">
              <w:rPr>
                <w:rFonts w:eastAsiaTheme="minorEastAsia" w:hAnsi="Times New Roman" w:hint="eastAsia"/>
                <w:bCs/>
                <w:color w:val="FF0000"/>
              </w:rPr>
              <w:t>200</w:t>
            </w:r>
            <w:r w:rsidR="00730492" w:rsidRPr="00730492">
              <w:rPr>
                <w:rFonts w:eastAsiaTheme="minorEastAsia" w:hAnsi="Times New Roman" w:hint="eastAsia"/>
                <w:bCs/>
                <w:color w:val="FF0000"/>
              </w:rPr>
              <w:t>米范围内无环境保护目标的排水沟两侧（避开南城李、方台镇、宋家村等</w:t>
            </w:r>
            <w:r w:rsidR="00730492" w:rsidRPr="00730492">
              <w:rPr>
                <w:rFonts w:eastAsiaTheme="minorEastAsia" w:hAnsi="Times New Roman" w:hint="eastAsia"/>
                <w:bCs/>
                <w:color w:val="FF0000"/>
              </w:rPr>
              <w:t>33</w:t>
            </w:r>
            <w:r w:rsidR="00730492" w:rsidRPr="00730492">
              <w:rPr>
                <w:rFonts w:eastAsiaTheme="minorEastAsia" w:hAnsi="Times New Roman" w:hint="eastAsia"/>
                <w:bCs/>
                <w:color w:val="FF0000"/>
              </w:rPr>
              <w:t>个村屯，具体见表</w:t>
            </w:r>
            <w:r w:rsidR="00730492" w:rsidRPr="00730492">
              <w:rPr>
                <w:rFonts w:eastAsiaTheme="minorEastAsia" w:hAnsi="Times New Roman" w:hint="eastAsia"/>
                <w:bCs/>
                <w:color w:val="FF0000"/>
              </w:rPr>
              <w:t>2-8-2</w:t>
            </w:r>
            <w:r w:rsidR="00730492" w:rsidRPr="00730492">
              <w:rPr>
                <w:rFonts w:eastAsiaTheme="minorEastAsia" w:hAnsi="Times New Roman" w:hint="eastAsia"/>
                <w:bCs/>
                <w:color w:val="FF0000"/>
              </w:rPr>
              <w:t>）</w:t>
            </w:r>
            <w:r w:rsidRPr="00F9522B">
              <w:rPr>
                <w:rFonts w:eastAsiaTheme="minorEastAsia" w:hAnsi="Times New Roman"/>
                <w:snapToGrid w:val="0"/>
                <w:kern w:val="0"/>
              </w:rPr>
              <w:t>；</w:t>
            </w:r>
            <w:r w:rsidRPr="00F9522B">
              <w:rPr>
                <w:rFonts w:eastAsiaTheme="minorEastAsia" w:hAnsi="Times New Roman"/>
                <w:bCs/>
              </w:rPr>
              <w:t>废肥料包装袋，外售废品收购站</w:t>
            </w:r>
            <w:r w:rsidRPr="00F9522B">
              <w:rPr>
                <w:rFonts w:eastAsiaTheme="minorEastAsia" w:hAnsi="Times New Roman"/>
                <w:snapToGrid w:val="0"/>
                <w:kern w:val="0"/>
              </w:rPr>
              <w:t>；</w:t>
            </w:r>
            <w:r w:rsidR="009E4DCE" w:rsidRPr="00F9522B">
              <w:rPr>
                <w:rFonts w:eastAsiaTheme="minorEastAsia" w:hAnsi="Times New Roman"/>
                <w:color w:val="FF0000"/>
              </w:rPr>
              <w:t>运营期</w:t>
            </w:r>
            <w:r w:rsidRPr="00F9522B">
              <w:rPr>
                <w:rFonts w:eastAsiaTheme="minorEastAsia" w:hAnsi="Times New Roman"/>
                <w:color w:val="FF0000"/>
              </w:rPr>
              <w:t>秸秆</w:t>
            </w:r>
            <w:r w:rsidR="009E4DCE" w:rsidRPr="00F9522B">
              <w:rPr>
                <w:rFonts w:eastAsiaTheme="minorEastAsia" w:hAnsi="Times New Roman"/>
                <w:color w:val="FF0000"/>
              </w:rPr>
              <w:t>、</w:t>
            </w:r>
            <w:r w:rsidRPr="00F9522B">
              <w:rPr>
                <w:rFonts w:eastAsiaTheme="minorEastAsia" w:hAnsi="Times New Roman"/>
                <w:bCs/>
                <w:color w:val="FF0000"/>
              </w:rPr>
              <w:t>废肥料包装袋</w:t>
            </w:r>
            <w:r w:rsidR="0069766D" w:rsidRPr="00F9522B">
              <w:rPr>
                <w:rFonts w:hAnsi="Times New Roman"/>
                <w:bCs/>
                <w:color w:val="FF0000"/>
              </w:rPr>
              <w:t>由当地农民负责外售综合利用</w:t>
            </w:r>
            <w:r w:rsidR="009E4DCE" w:rsidRPr="00F9522B">
              <w:rPr>
                <w:rFonts w:hAnsi="Times New Roman"/>
                <w:bCs/>
                <w:color w:val="FF0000"/>
              </w:rPr>
              <w:t>；农业使用者及时收集</w:t>
            </w:r>
            <w:r w:rsidR="009E4DCE" w:rsidRPr="00F9522B">
              <w:rPr>
                <w:rFonts w:eastAsiaTheme="minorEastAsia" w:hAnsi="Times New Roman"/>
                <w:bCs/>
                <w:color w:val="FF0000"/>
              </w:rPr>
              <w:t>农药包装物，由并交回农药经营者或回收站</w:t>
            </w:r>
          </w:p>
        </w:tc>
        <w:tc>
          <w:tcPr>
            <w:tcW w:w="694" w:type="pct"/>
            <w:vAlign w:val="center"/>
          </w:tcPr>
          <w:p w:rsidR="00AB10DD" w:rsidRPr="00F9522B" w:rsidRDefault="00DD5FB6" w:rsidP="00DD5FB6">
            <w:pPr>
              <w:contextualSpacing/>
              <w:jc w:val="center"/>
              <w:rPr>
                <w:rFonts w:eastAsiaTheme="minorEastAsia"/>
              </w:rPr>
            </w:pPr>
            <w:r w:rsidRPr="00F9522B">
              <w:rPr>
                <w:rFonts w:eastAsiaTheme="minorEastAsia"/>
              </w:rPr>
              <w:t>新建</w:t>
            </w:r>
          </w:p>
        </w:tc>
      </w:tr>
      <w:tr w:rsidR="00AB10DD" w:rsidRPr="00F9522B" w:rsidTr="00AB10DD">
        <w:trPr>
          <w:trHeight w:val="340"/>
          <w:jc w:val="center"/>
        </w:trPr>
        <w:tc>
          <w:tcPr>
            <w:tcW w:w="395" w:type="pct"/>
            <w:vMerge/>
            <w:vAlign w:val="center"/>
          </w:tcPr>
          <w:p w:rsidR="00AB10DD" w:rsidRPr="00F9522B" w:rsidRDefault="00AB10DD">
            <w:pPr>
              <w:pStyle w:val="aff7"/>
              <w:spacing w:line="0" w:lineRule="atLeast"/>
              <w:rPr>
                <w:rFonts w:eastAsiaTheme="minorEastAsia" w:hAnsi="Times New Roman"/>
              </w:rPr>
            </w:pPr>
          </w:p>
        </w:tc>
        <w:tc>
          <w:tcPr>
            <w:tcW w:w="500" w:type="pct"/>
            <w:vAlign w:val="center"/>
          </w:tcPr>
          <w:p w:rsidR="00AB10DD" w:rsidRPr="00F9522B" w:rsidRDefault="00AB10DD">
            <w:pPr>
              <w:pStyle w:val="aff7"/>
              <w:spacing w:line="0" w:lineRule="atLeast"/>
              <w:rPr>
                <w:rFonts w:eastAsiaTheme="minorEastAsia" w:hAnsi="Times New Roman"/>
              </w:rPr>
            </w:pPr>
            <w:r w:rsidRPr="00F9522B">
              <w:rPr>
                <w:rFonts w:eastAsiaTheme="minorEastAsia" w:hAnsi="Times New Roman"/>
              </w:rPr>
              <w:t>生态</w:t>
            </w:r>
          </w:p>
        </w:tc>
        <w:tc>
          <w:tcPr>
            <w:tcW w:w="3411" w:type="pct"/>
            <w:vAlign w:val="center"/>
          </w:tcPr>
          <w:p w:rsidR="00AB10DD" w:rsidRPr="00F9522B" w:rsidRDefault="00AB10DD">
            <w:pPr>
              <w:pStyle w:val="aff7"/>
              <w:spacing w:line="0" w:lineRule="atLeast"/>
              <w:jc w:val="left"/>
              <w:rPr>
                <w:rFonts w:eastAsiaTheme="minorEastAsia" w:hAnsi="Times New Roman"/>
              </w:rPr>
            </w:pPr>
            <w:r w:rsidRPr="00F9522B">
              <w:rPr>
                <w:rFonts w:eastAsiaTheme="minorEastAsia" w:hAnsi="Times New Roman"/>
              </w:rPr>
              <w:t>建设单位为生态恢复工程实施责任主体</w:t>
            </w:r>
            <w:r w:rsidRPr="00F9522B">
              <w:rPr>
                <w:rFonts w:eastAsiaTheme="minorEastAsia" w:hAnsi="Times New Roman"/>
                <w:snapToGrid w:val="0"/>
                <w:kern w:val="0"/>
              </w:rPr>
              <w:t>；严格控制施工范围，对施工人员进行生态保护教育；施工单位优化施工工艺和施工时序，夜间、雨天及大风天不施工；涵洞等建筑物工程施工过程禁止施工生产废水排放至沟渠内；施工过程中采取</w:t>
            </w:r>
            <w:r w:rsidRPr="00F9522B">
              <w:rPr>
                <w:rFonts w:eastAsiaTheme="minorEastAsia" w:hAnsi="Times New Roman"/>
                <w:snapToGrid w:val="0"/>
                <w:kern w:val="0"/>
              </w:rPr>
              <w:t>“</w:t>
            </w:r>
            <w:r w:rsidRPr="00F9522B">
              <w:rPr>
                <w:rFonts w:eastAsiaTheme="minorEastAsia" w:hAnsi="Times New Roman"/>
                <w:snapToGrid w:val="0"/>
                <w:kern w:val="0"/>
              </w:rPr>
              <w:t>边施工、边修复</w:t>
            </w:r>
            <w:r w:rsidRPr="00F9522B">
              <w:rPr>
                <w:rFonts w:eastAsiaTheme="minorEastAsia" w:hAnsi="Times New Roman"/>
                <w:snapToGrid w:val="0"/>
                <w:kern w:val="0"/>
              </w:rPr>
              <w:t>”</w:t>
            </w:r>
            <w:r w:rsidRPr="00F9522B">
              <w:rPr>
                <w:rFonts w:eastAsiaTheme="minorEastAsia" w:hAnsi="Times New Roman"/>
                <w:snapToGrid w:val="0"/>
                <w:kern w:val="0"/>
              </w:rPr>
              <w:t>措施</w:t>
            </w:r>
          </w:p>
        </w:tc>
        <w:tc>
          <w:tcPr>
            <w:tcW w:w="694" w:type="pct"/>
            <w:vMerge w:val="restart"/>
            <w:vAlign w:val="center"/>
          </w:tcPr>
          <w:p w:rsidR="00AB10DD" w:rsidRPr="00F9522B" w:rsidRDefault="00AB10DD">
            <w:pPr>
              <w:pStyle w:val="aff7"/>
              <w:spacing w:line="0" w:lineRule="atLeast"/>
              <w:rPr>
                <w:rFonts w:eastAsiaTheme="minorEastAsia" w:hAnsi="Times New Roman"/>
              </w:rPr>
            </w:pPr>
            <w:r w:rsidRPr="00F9522B">
              <w:rPr>
                <w:rFonts w:eastAsiaTheme="minorEastAsia" w:hAnsi="Times New Roman"/>
              </w:rPr>
              <w:t>新建</w:t>
            </w:r>
          </w:p>
        </w:tc>
      </w:tr>
      <w:tr w:rsidR="00AB10DD" w:rsidRPr="00F9522B" w:rsidTr="00AB10DD">
        <w:trPr>
          <w:trHeight w:val="340"/>
          <w:jc w:val="center"/>
        </w:trPr>
        <w:tc>
          <w:tcPr>
            <w:tcW w:w="395" w:type="pct"/>
            <w:vMerge/>
            <w:vAlign w:val="center"/>
          </w:tcPr>
          <w:p w:rsidR="00AB10DD" w:rsidRPr="00F9522B" w:rsidRDefault="00AB10DD">
            <w:pPr>
              <w:pStyle w:val="aff7"/>
              <w:spacing w:line="0" w:lineRule="atLeast"/>
              <w:rPr>
                <w:rFonts w:eastAsiaTheme="minorEastAsia" w:hAnsi="Times New Roman"/>
              </w:rPr>
            </w:pPr>
          </w:p>
        </w:tc>
        <w:tc>
          <w:tcPr>
            <w:tcW w:w="500" w:type="pct"/>
            <w:vAlign w:val="center"/>
          </w:tcPr>
          <w:p w:rsidR="00AB10DD" w:rsidRPr="00F9522B" w:rsidRDefault="00AB10DD">
            <w:pPr>
              <w:pStyle w:val="aff7"/>
              <w:spacing w:line="0" w:lineRule="atLeast"/>
              <w:rPr>
                <w:rFonts w:eastAsiaTheme="minorEastAsia" w:hAnsi="Times New Roman"/>
              </w:rPr>
            </w:pPr>
            <w:r w:rsidRPr="00F9522B">
              <w:rPr>
                <w:rFonts w:eastAsiaTheme="minorEastAsia" w:hAnsi="Times New Roman"/>
              </w:rPr>
              <w:t>环境风险</w:t>
            </w:r>
          </w:p>
        </w:tc>
        <w:tc>
          <w:tcPr>
            <w:tcW w:w="3411" w:type="pct"/>
            <w:vAlign w:val="center"/>
          </w:tcPr>
          <w:p w:rsidR="00AB10DD" w:rsidRPr="00F9522B" w:rsidRDefault="00AB10DD">
            <w:pPr>
              <w:pStyle w:val="aff7"/>
              <w:spacing w:line="0" w:lineRule="atLeast"/>
              <w:jc w:val="both"/>
              <w:rPr>
                <w:rFonts w:eastAsiaTheme="minorEastAsia" w:hAnsi="Times New Roman"/>
              </w:rPr>
            </w:pPr>
            <w:r w:rsidRPr="00F9522B">
              <w:rPr>
                <w:rFonts w:eastAsiaTheme="minorEastAsia" w:hAnsi="Times New Roman"/>
              </w:rPr>
              <w:t>选取项目</w:t>
            </w:r>
            <w:r w:rsidRPr="00F9522B">
              <w:rPr>
                <w:rFonts w:eastAsiaTheme="minorEastAsia" w:hAnsi="Times New Roman"/>
              </w:rPr>
              <w:t>3</w:t>
            </w:r>
            <w:r w:rsidRPr="00F9522B">
              <w:rPr>
                <w:rFonts w:eastAsiaTheme="minorEastAsia" w:hAnsi="Times New Roman"/>
              </w:rPr>
              <w:t>口灌溉井作为跟踪监测井；制定突发环境事件应急预案，说明各种可能发生的突发环境事件情景及应急处置措施</w:t>
            </w:r>
          </w:p>
        </w:tc>
        <w:tc>
          <w:tcPr>
            <w:tcW w:w="694" w:type="pct"/>
            <w:vMerge/>
            <w:vAlign w:val="center"/>
          </w:tcPr>
          <w:p w:rsidR="00AB10DD" w:rsidRPr="00F9522B" w:rsidRDefault="00AB10DD">
            <w:pPr>
              <w:pStyle w:val="aff7"/>
              <w:spacing w:line="0" w:lineRule="atLeast"/>
              <w:rPr>
                <w:rFonts w:eastAsiaTheme="minorEastAsia" w:hAnsi="Times New Roman"/>
              </w:rPr>
            </w:pPr>
          </w:p>
        </w:tc>
      </w:tr>
    </w:tbl>
    <w:p w:rsidR="002A5A5E" w:rsidRPr="00F9522B" w:rsidRDefault="00611CBA">
      <w:pPr>
        <w:spacing w:before="100" w:beforeAutospacing="1" w:after="100" w:afterAutospacing="1"/>
        <w:contextualSpacing/>
        <w:jc w:val="left"/>
        <w:outlineLvl w:val="2"/>
        <w:rPr>
          <w:rFonts w:eastAsiaTheme="minorEastAsia"/>
          <w:b/>
          <w:bCs/>
          <w:kern w:val="44"/>
          <w:sz w:val="30"/>
          <w:szCs w:val="30"/>
        </w:rPr>
      </w:pPr>
      <w:bookmarkStart w:id="78" w:name="_Toc184823203"/>
      <w:bookmarkEnd w:id="76"/>
      <w:r w:rsidRPr="00F9522B">
        <w:rPr>
          <w:rFonts w:eastAsiaTheme="minorEastAsia"/>
          <w:b/>
          <w:bCs/>
          <w:kern w:val="44"/>
          <w:sz w:val="30"/>
          <w:szCs w:val="30"/>
        </w:rPr>
        <w:t>3.1.6</w:t>
      </w:r>
      <w:r w:rsidRPr="00F9522B">
        <w:rPr>
          <w:rFonts w:eastAsiaTheme="minorEastAsia"/>
          <w:b/>
          <w:bCs/>
          <w:kern w:val="44"/>
          <w:sz w:val="30"/>
          <w:szCs w:val="30"/>
        </w:rPr>
        <w:t>工程设计</w:t>
      </w:r>
      <w:bookmarkEnd w:id="78"/>
    </w:p>
    <w:p w:rsidR="002A5A5E" w:rsidRPr="00F9522B" w:rsidRDefault="00611CBA">
      <w:pPr>
        <w:autoSpaceDE w:val="0"/>
        <w:autoSpaceDN w:val="0"/>
        <w:spacing w:before="100" w:beforeAutospacing="1" w:after="100" w:afterAutospacing="1"/>
        <w:outlineLvl w:val="3"/>
        <w:rPr>
          <w:rFonts w:eastAsiaTheme="minorEastAsia"/>
          <w:b/>
          <w:sz w:val="24"/>
        </w:rPr>
      </w:pPr>
      <w:r w:rsidRPr="00F9522B">
        <w:rPr>
          <w:rFonts w:eastAsiaTheme="minorEastAsia"/>
          <w:b/>
          <w:sz w:val="24"/>
        </w:rPr>
        <w:t>3.1.6.1</w:t>
      </w:r>
      <w:r w:rsidRPr="00F9522B">
        <w:rPr>
          <w:rFonts w:eastAsiaTheme="minorEastAsia"/>
          <w:b/>
          <w:sz w:val="24"/>
        </w:rPr>
        <w:t>灌溉与排水工程</w:t>
      </w:r>
    </w:p>
    <w:p w:rsidR="002A5A5E" w:rsidRPr="00F9522B" w:rsidRDefault="00611CBA">
      <w:pPr>
        <w:autoSpaceDE w:val="0"/>
        <w:autoSpaceDN w:val="0"/>
        <w:spacing w:line="360" w:lineRule="auto"/>
        <w:ind w:firstLineChars="200" w:firstLine="480"/>
        <w:rPr>
          <w:rFonts w:eastAsiaTheme="minorEastAsia"/>
          <w:color w:val="FF0000"/>
          <w:sz w:val="24"/>
        </w:rPr>
      </w:pPr>
      <w:r w:rsidRPr="00F9522B">
        <w:rPr>
          <w:rFonts w:eastAsiaTheme="minorEastAsia"/>
          <w:color w:val="FF0000"/>
          <w:sz w:val="24"/>
        </w:rPr>
        <w:t>（</w:t>
      </w:r>
      <w:r w:rsidRPr="00F9522B">
        <w:rPr>
          <w:rFonts w:eastAsiaTheme="minorEastAsia"/>
          <w:color w:val="FF0000"/>
          <w:sz w:val="24"/>
        </w:rPr>
        <w:t>1</w:t>
      </w:r>
      <w:r w:rsidRPr="00F9522B">
        <w:rPr>
          <w:rFonts w:eastAsiaTheme="minorEastAsia"/>
          <w:color w:val="FF0000"/>
          <w:sz w:val="24"/>
        </w:rPr>
        <w:t>）灌溉工程</w:t>
      </w:r>
    </w:p>
    <w:p w:rsidR="0086311D" w:rsidRPr="00F9522B" w:rsidRDefault="00B40846" w:rsidP="00DD5FB6">
      <w:pPr>
        <w:adjustRightInd w:val="0"/>
        <w:spacing w:line="360" w:lineRule="auto"/>
        <w:ind w:firstLineChars="200" w:firstLine="480"/>
        <w:rPr>
          <w:rFonts w:eastAsiaTheme="minorEastAsia"/>
          <w:color w:val="FF0000"/>
          <w:sz w:val="24"/>
        </w:rPr>
      </w:pPr>
      <w:r w:rsidRPr="00DD5FB6">
        <w:rPr>
          <w:rFonts w:eastAsiaTheme="minorEastAsia"/>
          <w:color w:val="FF0000"/>
          <w:sz w:val="24"/>
        </w:rPr>
        <w:t>本项目建设前后旱地数量不变，仍为</w:t>
      </w:r>
      <w:r w:rsidRPr="00DD5FB6">
        <w:rPr>
          <w:rFonts w:eastAsiaTheme="minorEastAsia"/>
          <w:bCs/>
          <w:color w:val="FF0000"/>
          <w:sz w:val="24"/>
        </w:rPr>
        <w:t>31.53</w:t>
      </w:r>
      <w:r w:rsidRPr="00DD5FB6">
        <w:rPr>
          <w:rFonts w:eastAsiaTheme="minorEastAsia"/>
          <w:bCs/>
          <w:color w:val="FF0000"/>
          <w:sz w:val="24"/>
        </w:rPr>
        <w:t>万亩。</w:t>
      </w:r>
      <w:r w:rsidR="0086311D" w:rsidRPr="00F9522B">
        <w:rPr>
          <w:rFonts w:eastAsiaTheme="minorEastAsia"/>
          <w:color w:val="FF0000"/>
          <w:sz w:val="24"/>
        </w:rPr>
        <w:t>根据《呼兰区</w:t>
      </w:r>
      <w:r w:rsidR="0086311D" w:rsidRPr="00F9522B">
        <w:rPr>
          <w:rFonts w:eastAsiaTheme="minorEastAsia"/>
          <w:color w:val="FF0000"/>
          <w:sz w:val="24"/>
        </w:rPr>
        <w:t>2026</w:t>
      </w:r>
      <w:r w:rsidR="0086311D" w:rsidRPr="00F9522B">
        <w:rPr>
          <w:rFonts w:eastAsiaTheme="minorEastAsia"/>
          <w:color w:val="FF0000"/>
          <w:sz w:val="24"/>
        </w:rPr>
        <w:t>年高标准农田建设项目水资源论证报告书》《节水灌溉工程技术规范》和《黑龙江：用水定额》（</w:t>
      </w:r>
      <w:r w:rsidR="0086311D" w:rsidRPr="00F9522B">
        <w:rPr>
          <w:rFonts w:eastAsiaTheme="minorEastAsia"/>
          <w:color w:val="FF0000"/>
          <w:sz w:val="24"/>
        </w:rPr>
        <w:t>DB23/T 727-2025</w:t>
      </w:r>
      <w:r w:rsidR="0086311D" w:rsidRPr="00F9522B">
        <w:rPr>
          <w:rFonts w:eastAsiaTheme="minorEastAsia"/>
          <w:color w:val="FF0000"/>
          <w:sz w:val="24"/>
        </w:rPr>
        <w:t>），本项目实施后，项目区设计灌溉保证率为</w:t>
      </w:r>
      <w:r w:rsidR="0086311D" w:rsidRPr="00F9522B">
        <w:rPr>
          <w:rFonts w:eastAsiaTheme="minorEastAsia"/>
          <w:color w:val="FF0000"/>
          <w:sz w:val="24"/>
        </w:rPr>
        <w:t>90%</w:t>
      </w:r>
      <w:r w:rsidR="0086311D" w:rsidRPr="00F9522B">
        <w:rPr>
          <w:rFonts w:eastAsiaTheme="minorEastAsia"/>
          <w:color w:val="FF0000"/>
          <w:sz w:val="24"/>
        </w:rPr>
        <w:t>，坐水种灌溉净定额</w:t>
      </w:r>
      <w:r w:rsidR="0086311D" w:rsidRPr="00F9522B">
        <w:rPr>
          <w:rFonts w:eastAsiaTheme="minorEastAsia"/>
          <w:color w:val="FF0000"/>
          <w:sz w:val="24"/>
        </w:rPr>
        <w:t>6m</w:t>
      </w:r>
      <w:r w:rsidR="0086311D" w:rsidRPr="00F9522B">
        <w:rPr>
          <w:rFonts w:eastAsiaTheme="minorEastAsia"/>
          <w:color w:val="FF0000"/>
          <w:sz w:val="24"/>
          <w:vertAlign w:val="superscript"/>
        </w:rPr>
        <w:t>3</w:t>
      </w:r>
      <w:r w:rsidR="0086311D" w:rsidRPr="00F9522B">
        <w:rPr>
          <w:rFonts w:eastAsiaTheme="minorEastAsia"/>
          <w:color w:val="FF0000"/>
          <w:sz w:val="24"/>
        </w:rPr>
        <w:t>/</w:t>
      </w:r>
      <w:r w:rsidR="0086311D" w:rsidRPr="00F9522B">
        <w:rPr>
          <w:rFonts w:eastAsiaTheme="minorEastAsia"/>
          <w:color w:val="FF0000"/>
          <w:sz w:val="24"/>
        </w:rPr>
        <w:t>亩，灌溉水利用系数</w:t>
      </w:r>
      <w:r w:rsidR="0086311D" w:rsidRPr="00F9522B">
        <w:rPr>
          <w:rFonts w:eastAsiaTheme="minorEastAsia"/>
          <w:color w:val="FF0000"/>
          <w:sz w:val="24"/>
        </w:rPr>
        <w:t>0.9</w:t>
      </w:r>
      <w:r w:rsidR="0086311D" w:rsidRPr="00F9522B">
        <w:rPr>
          <w:rFonts w:eastAsiaTheme="minorEastAsia"/>
          <w:color w:val="FF0000"/>
          <w:sz w:val="24"/>
        </w:rPr>
        <w:t>，滴灌净定额为</w:t>
      </w:r>
      <w:r w:rsidR="0086311D" w:rsidRPr="00F9522B">
        <w:rPr>
          <w:rFonts w:eastAsiaTheme="minorEastAsia"/>
          <w:color w:val="FF0000"/>
          <w:sz w:val="24"/>
        </w:rPr>
        <w:t>110m</w:t>
      </w:r>
      <w:r w:rsidR="0086311D" w:rsidRPr="00F9522B">
        <w:rPr>
          <w:rFonts w:eastAsiaTheme="minorEastAsia"/>
          <w:color w:val="FF0000"/>
          <w:sz w:val="24"/>
          <w:vertAlign w:val="superscript"/>
        </w:rPr>
        <w:t>3</w:t>
      </w:r>
      <w:r w:rsidR="0086311D" w:rsidRPr="00F9522B">
        <w:rPr>
          <w:rFonts w:eastAsiaTheme="minorEastAsia"/>
          <w:color w:val="FF0000"/>
          <w:sz w:val="24"/>
        </w:rPr>
        <w:t>/</w:t>
      </w:r>
      <w:r w:rsidR="0086311D" w:rsidRPr="00F9522B">
        <w:rPr>
          <w:rFonts w:eastAsiaTheme="minorEastAsia"/>
          <w:color w:val="FF0000"/>
          <w:sz w:val="24"/>
        </w:rPr>
        <w:t>亩，滴灌灌溉水利用系数取</w:t>
      </w:r>
      <w:r w:rsidR="0086311D" w:rsidRPr="00F9522B">
        <w:rPr>
          <w:rFonts w:eastAsiaTheme="minorEastAsia"/>
          <w:color w:val="FF0000"/>
          <w:sz w:val="24"/>
        </w:rPr>
        <w:t>0.93</w:t>
      </w:r>
      <w:r w:rsidR="0086311D" w:rsidRPr="00F9522B">
        <w:rPr>
          <w:rFonts w:eastAsiaTheme="minorEastAsia"/>
          <w:color w:val="FF0000"/>
          <w:sz w:val="24"/>
        </w:rPr>
        <w:t>。各项目区需水量见下表。</w:t>
      </w:r>
    </w:p>
    <w:p w:rsidR="0086311D" w:rsidRPr="00F9522B" w:rsidRDefault="0086311D" w:rsidP="0086311D">
      <w:pPr>
        <w:contextualSpacing/>
        <w:jc w:val="center"/>
        <w:rPr>
          <w:color w:val="FF0000"/>
          <w:kern w:val="0"/>
          <w:szCs w:val="21"/>
        </w:rPr>
      </w:pPr>
      <w:r w:rsidRPr="00F9522B">
        <w:rPr>
          <w:rFonts w:eastAsiaTheme="minorEastAsia"/>
          <w:b/>
          <w:color w:val="FF0000"/>
          <w:kern w:val="0"/>
          <w:szCs w:val="21"/>
        </w:rPr>
        <w:t>表</w:t>
      </w:r>
      <w:r w:rsidRPr="00F9522B">
        <w:rPr>
          <w:rFonts w:eastAsiaTheme="minorEastAsia"/>
          <w:b/>
          <w:color w:val="FF0000"/>
          <w:kern w:val="0"/>
          <w:szCs w:val="21"/>
        </w:rPr>
        <w:t>3-1-8</w:t>
      </w:r>
      <w:r w:rsidRPr="00F9522B">
        <w:rPr>
          <w:rFonts w:eastAsiaTheme="minorEastAsia"/>
          <w:b/>
          <w:color w:val="FF0000"/>
          <w:kern w:val="0"/>
          <w:szCs w:val="21"/>
        </w:rPr>
        <w:t>各项目区需水量一览表</w:t>
      </w:r>
    </w:p>
    <w:tbl>
      <w:tblPr>
        <w:tblW w:w="8008" w:type="dxa"/>
        <w:jc w:val="center"/>
        <w:tblBorders>
          <w:top w:val="single" w:sz="12" w:space="0" w:color="auto"/>
          <w:bottom w:val="single" w:sz="12" w:space="0" w:color="auto"/>
          <w:insideH w:val="single" w:sz="4" w:space="0" w:color="auto"/>
          <w:insideV w:val="single" w:sz="4" w:space="0" w:color="auto"/>
        </w:tblBorders>
        <w:tblLayout w:type="fixed"/>
        <w:tblLook w:val="04A0"/>
      </w:tblPr>
      <w:tblGrid>
        <w:gridCol w:w="1552"/>
        <w:gridCol w:w="1134"/>
        <w:gridCol w:w="709"/>
        <w:gridCol w:w="640"/>
        <w:gridCol w:w="642"/>
        <w:gridCol w:w="803"/>
        <w:gridCol w:w="803"/>
        <w:gridCol w:w="1124"/>
        <w:gridCol w:w="568"/>
        <w:gridCol w:w="33"/>
      </w:tblGrid>
      <w:tr w:rsidR="0086311D" w:rsidRPr="00F9522B" w:rsidTr="0093401E">
        <w:trPr>
          <w:gridAfter w:val="1"/>
          <w:wAfter w:w="33" w:type="dxa"/>
          <w:trHeight w:val="477"/>
          <w:tblHeader/>
          <w:jc w:val="center"/>
        </w:trPr>
        <w:tc>
          <w:tcPr>
            <w:tcW w:w="1552" w:type="dxa"/>
            <w:vMerge w:val="restart"/>
            <w:vAlign w:val="center"/>
          </w:tcPr>
          <w:p w:rsidR="0086311D" w:rsidRPr="00F9522B" w:rsidRDefault="0086311D" w:rsidP="0093401E">
            <w:pPr>
              <w:widowControl/>
              <w:jc w:val="center"/>
              <w:textAlignment w:val="center"/>
              <w:rPr>
                <w:rFonts w:eastAsiaTheme="minorEastAsia"/>
                <w:color w:val="FF0000"/>
                <w:kern w:val="0"/>
                <w:szCs w:val="21"/>
              </w:rPr>
            </w:pPr>
            <w:r w:rsidRPr="00F9522B">
              <w:rPr>
                <w:rFonts w:eastAsiaTheme="minorEastAsia"/>
                <w:color w:val="FF0000"/>
                <w:kern w:val="0"/>
                <w:szCs w:val="21"/>
              </w:rPr>
              <w:t>片区</w:t>
            </w:r>
          </w:p>
        </w:tc>
        <w:tc>
          <w:tcPr>
            <w:tcW w:w="1843" w:type="dxa"/>
            <w:gridSpan w:val="2"/>
            <w:vAlign w:val="center"/>
          </w:tcPr>
          <w:p w:rsidR="0086311D" w:rsidRPr="00F9522B" w:rsidRDefault="0086311D" w:rsidP="0093401E">
            <w:pPr>
              <w:widowControl/>
              <w:jc w:val="center"/>
              <w:textAlignment w:val="center"/>
              <w:rPr>
                <w:rFonts w:eastAsiaTheme="minorEastAsia"/>
                <w:color w:val="FF0000"/>
                <w:kern w:val="0"/>
                <w:szCs w:val="21"/>
              </w:rPr>
            </w:pPr>
            <w:r w:rsidRPr="00F9522B">
              <w:rPr>
                <w:rFonts w:eastAsiaTheme="minorEastAsia"/>
                <w:color w:val="FF0000"/>
                <w:kern w:val="0"/>
                <w:szCs w:val="21"/>
              </w:rPr>
              <w:t>灌溉面积（亩）</w:t>
            </w:r>
          </w:p>
        </w:tc>
        <w:tc>
          <w:tcPr>
            <w:tcW w:w="1282" w:type="dxa"/>
            <w:gridSpan w:val="2"/>
            <w:vAlign w:val="center"/>
          </w:tcPr>
          <w:p w:rsidR="0086311D" w:rsidRPr="00F9522B" w:rsidRDefault="0086311D" w:rsidP="0093401E">
            <w:pPr>
              <w:jc w:val="center"/>
              <w:textAlignment w:val="center"/>
              <w:rPr>
                <w:rFonts w:eastAsiaTheme="minorEastAsia"/>
                <w:color w:val="FF0000"/>
                <w:kern w:val="0"/>
                <w:szCs w:val="21"/>
              </w:rPr>
            </w:pPr>
            <w:r w:rsidRPr="00F9522B">
              <w:rPr>
                <w:rFonts w:eastAsiaTheme="minorEastAsia"/>
                <w:color w:val="FF0000"/>
                <w:kern w:val="0"/>
                <w:szCs w:val="21"/>
              </w:rPr>
              <w:t>灌溉水利用系数</w:t>
            </w:r>
          </w:p>
        </w:tc>
        <w:tc>
          <w:tcPr>
            <w:tcW w:w="1606" w:type="dxa"/>
            <w:gridSpan w:val="2"/>
            <w:vAlign w:val="center"/>
          </w:tcPr>
          <w:p w:rsidR="0086311D" w:rsidRPr="00F9522B" w:rsidRDefault="0086311D" w:rsidP="0093401E">
            <w:pPr>
              <w:jc w:val="center"/>
              <w:textAlignment w:val="center"/>
              <w:rPr>
                <w:rFonts w:eastAsiaTheme="minorEastAsia"/>
                <w:color w:val="FF0000"/>
                <w:kern w:val="0"/>
                <w:szCs w:val="21"/>
              </w:rPr>
            </w:pPr>
            <w:r w:rsidRPr="00F9522B">
              <w:rPr>
                <w:rFonts w:eastAsiaTheme="minorEastAsia"/>
                <w:color w:val="FF0000"/>
                <w:kern w:val="0"/>
                <w:szCs w:val="21"/>
              </w:rPr>
              <w:t>灌溉定额（</w:t>
            </w:r>
            <w:r w:rsidRPr="00F9522B">
              <w:rPr>
                <w:rFonts w:eastAsiaTheme="minorEastAsia"/>
                <w:color w:val="FF0000"/>
                <w:kern w:val="0"/>
                <w:szCs w:val="21"/>
              </w:rPr>
              <w:t>m</w:t>
            </w:r>
            <w:r w:rsidRPr="00F9522B">
              <w:rPr>
                <w:rFonts w:eastAsiaTheme="minorEastAsia"/>
                <w:color w:val="FF0000"/>
                <w:kern w:val="0"/>
                <w:szCs w:val="21"/>
                <w:vertAlign w:val="superscript"/>
              </w:rPr>
              <w:t>3</w:t>
            </w:r>
            <w:r w:rsidRPr="00F9522B">
              <w:rPr>
                <w:rFonts w:eastAsiaTheme="minorEastAsia"/>
                <w:color w:val="FF0000"/>
                <w:kern w:val="0"/>
                <w:szCs w:val="21"/>
              </w:rPr>
              <w:t>/</w:t>
            </w:r>
            <w:r w:rsidRPr="00F9522B">
              <w:rPr>
                <w:rFonts w:eastAsiaTheme="minorEastAsia"/>
                <w:color w:val="FF0000"/>
                <w:kern w:val="0"/>
                <w:szCs w:val="21"/>
              </w:rPr>
              <w:t>亩）</w:t>
            </w:r>
          </w:p>
        </w:tc>
        <w:tc>
          <w:tcPr>
            <w:tcW w:w="1692" w:type="dxa"/>
            <w:gridSpan w:val="2"/>
            <w:vAlign w:val="center"/>
          </w:tcPr>
          <w:p w:rsidR="0086311D" w:rsidRPr="00F9522B" w:rsidRDefault="0086311D" w:rsidP="0093401E">
            <w:pPr>
              <w:jc w:val="center"/>
              <w:textAlignment w:val="center"/>
              <w:rPr>
                <w:rFonts w:eastAsiaTheme="minorEastAsia"/>
                <w:color w:val="FF0000"/>
                <w:kern w:val="0"/>
                <w:szCs w:val="21"/>
              </w:rPr>
            </w:pPr>
            <w:r w:rsidRPr="00F9522B">
              <w:rPr>
                <w:rFonts w:eastAsiaTheme="minorEastAsia"/>
                <w:color w:val="FF0000"/>
                <w:kern w:val="0"/>
                <w:szCs w:val="21"/>
              </w:rPr>
              <w:t>灌溉需水量（万</w:t>
            </w:r>
            <w:r w:rsidRPr="00F9522B">
              <w:rPr>
                <w:rFonts w:eastAsiaTheme="minorEastAsia"/>
                <w:color w:val="FF0000"/>
                <w:kern w:val="0"/>
                <w:szCs w:val="21"/>
              </w:rPr>
              <w:t>m</w:t>
            </w:r>
            <w:r w:rsidRPr="00F9522B">
              <w:rPr>
                <w:rFonts w:eastAsiaTheme="minorEastAsia"/>
                <w:color w:val="FF0000"/>
                <w:kern w:val="0"/>
                <w:szCs w:val="21"/>
                <w:vertAlign w:val="superscript"/>
              </w:rPr>
              <w:t>3</w:t>
            </w:r>
            <w:r w:rsidRPr="00F9522B">
              <w:rPr>
                <w:rFonts w:eastAsiaTheme="minorEastAsia"/>
                <w:color w:val="FF0000"/>
                <w:kern w:val="0"/>
                <w:szCs w:val="21"/>
              </w:rPr>
              <w:t>）</w:t>
            </w:r>
          </w:p>
        </w:tc>
      </w:tr>
      <w:tr w:rsidR="0086311D" w:rsidRPr="00F9522B" w:rsidTr="0093401E">
        <w:trPr>
          <w:trHeight w:val="871"/>
          <w:jc w:val="center"/>
        </w:trPr>
        <w:tc>
          <w:tcPr>
            <w:tcW w:w="1552" w:type="dxa"/>
            <w:vMerge/>
            <w:vAlign w:val="center"/>
          </w:tcPr>
          <w:p w:rsidR="0086311D" w:rsidRPr="00F9522B" w:rsidRDefault="0086311D" w:rsidP="0093401E">
            <w:pPr>
              <w:widowControl/>
              <w:jc w:val="center"/>
              <w:textAlignment w:val="center"/>
              <w:rPr>
                <w:rFonts w:eastAsiaTheme="minorEastAsia"/>
                <w:color w:val="FF0000"/>
                <w:kern w:val="0"/>
                <w:szCs w:val="21"/>
              </w:rPr>
            </w:pPr>
          </w:p>
        </w:tc>
        <w:tc>
          <w:tcPr>
            <w:tcW w:w="1134" w:type="dxa"/>
            <w:vAlign w:val="center"/>
          </w:tcPr>
          <w:p w:rsidR="0086311D" w:rsidRPr="00F9522B" w:rsidRDefault="0086311D" w:rsidP="0093401E">
            <w:pPr>
              <w:widowControl/>
              <w:jc w:val="center"/>
              <w:textAlignment w:val="center"/>
              <w:rPr>
                <w:rFonts w:eastAsiaTheme="minorEastAsia"/>
                <w:color w:val="FF0000"/>
                <w:kern w:val="0"/>
                <w:szCs w:val="21"/>
              </w:rPr>
            </w:pPr>
            <w:r w:rsidRPr="00F9522B">
              <w:rPr>
                <w:bCs/>
                <w:color w:val="FF0000"/>
                <w:szCs w:val="21"/>
              </w:rPr>
              <w:t>坐水种</w:t>
            </w:r>
          </w:p>
        </w:tc>
        <w:tc>
          <w:tcPr>
            <w:tcW w:w="709" w:type="dxa"/>
            <w:vAlign w:val="center"/>
          </w:tcPr>
          <w:p w:rsidR="0086311D" w:rsidRPr="00F9522B" w:rsidRDefault="0086311D" w:rsidP="0093401E">
            <w:pPr>
              <w:widowControl/>
              <w:jc w:val="center"/>
              <w:textAlignment w:val="center"/>
              <w:rPr>
                <w:rFonts w:eastAsiaTheme="minorEastAsia"/>
                <w:color w:val="FF0000"/>
                <w:kern w:val="0"/>
                <w:szCs w:val="21"/>
              </w:rPr>
            </w:pPr>
            <w:r w:rsidRPr="00F9522B">
              <w:rPr>
                <w:rFonts w:eastAsiaTheme="minorEastAsia"/>
                <w:color w:val="FF0000"/>
                <w:kern w:val="0"/>
                <w:szCs w:val="21"/>
              </w:rPr>
              <w:t>滴灌</w:t>
            </w:r>
          </w:p>
        </w:tc>
        <w:tc>
          <w:tcPr>
            <w:tcW w:w="640" w:type="dxa"/>
            <w:vAlign w:val="center"/>
          </w:tcPr>
          <w:p w:rsidR="0086311D" w:rsidRPr="00F9522B" w:rsidRDefault="0086311D" w:rsidP="0093401E">
            <w:pPr>
              <w:widowControl/>
              <w:jc w:val="center"/>
              <w:textAlignment w:val="center"/>
              <w:rPr>
                <w:rFonts w:eastAsiaTheme="minorEastAsia"/>
                <w:color w:val="FF0000"/>
                <w:kern w:val="0"/>
                <w:szCs w:val="21"/>
              </w:rPr>
            </w:pPr>
            <w:r w:rsidRPr="00F9522B">
              <w:rPr>
                <w:bCs/>
                <w:color w:val="FF0000"/>
                <w:szCs w:val="21"/>
              </w:rPr>
              <w:t>坐水种</w:t>
            </w:r>
          </w:p>
        </w:tc>
        <w:tc>
          <w:tcPr>
            <w:tcW w:w="642" w:type="dxa"/>
            <w:vAlign w:val="center"/>
          </w:tcPr>
          <w:p w:rsidR="0086311D" w:rsidRPr="00F9522B" w:rsidRDefault="0086311D" w:rsidP="0093401E">
            <w:pPr>
              <w:widowControl/>
              <w:jc w:val="center"/>
              <w:textAlignment w:val="center"/>
              <w:rPr>
                <w:rFonts w:eastAsiaTheme="minorEastAsia"/>
                <w:color w:val="FF0000"/>
                <w:kern w:val="0"/>
                <w:szCs w:val="21"/>
              </w:rPr>
            </w:pPr>
            <w:r w:rsidRPr="00F9522B">
              <w:rPr>
                <w:rFonts w:eastAsiaTheme="minorEastAsia"/>
                <w:color w:val="FF0000"/>
                <w:kern w:val="0"/>
                <w:szCs w:val="21"/>
              </w:rPr>
              <w:t>滴灌</w:t>
            </w:r>
          </w:p>
        </w:tc>
        <w:tc>
          <w:tcPr>
            <w:tcW w:w="803" w:type="dxa"/>
            <w:vAlign w:val="center"/>
          </w:tcPr>
          <w:p w:rsidR="0086311D" w:rsidRPr="00F9522B" w:rsidRDefault="0086311D" w:rsidP="0093401E">
            <w:pPr>
              <w:widowControl/>
              <w:jc w:val="center"/>
              <w:textAlignment w:val="center"/>
              <w:rPr>
                <w:rFonts w:eastAsiaTheme="minorEastAsia"/>
                <w:color w:val="FF0000"/>
                <w:kern w:val="0"/>
                <w:szCs w:val="21"/>
              </w:rPr>
            </w:pPr>
            <w:r w:rsidRPr="00F9522B">
              <w:rPr>
                <w:bCs/>
                <w:color w:val="FF0000"/>
                <w:szCs w:val="21"/>
              </w:rPr>
              <w:t>坐水种</w:t>
            </w:r>
          </w:p>
        </w:tc>
        <w:tc>
          <w:tcPr>
            <w:tcW w:w="803" w:type="dxa"/>
            <w:vAlign w:val="center"/>
          </w:tcPr>
          <w:p w:rsidR="0086311D" w:rsidRPr="00F9522B" w:rsidRDefault="0086311D" w:rsidP="0093401E">
            <w:pPr>
              <w:widowControl/>
              <w:jc w:val="center"/>
              <w:textAlignment w:val="center"/>
              <w:rPr>
                <w:rFonts w:eastAsiaTheme="minorEastAsia"/>
                <w:color w:val="FF0000"/>
                <w:kern w:val="0"/>
                <w:szCs w:val="21"/>
              </w:rPr>
            </w:pPr>
            <w:r w:rsidRPr="00F9522B">
              <w:rPr>
                <w:rFonts w:eastAsiaTheme="minorEastAsia"/>
                <w:color w:val="FF0000"/>
                <w:kern w:val="0"/>
                <w:szCs w:val="21"/>
              </w:rPr>
              <w:t>滴灌</w:t>
            </w:r>
          </w:p>
        </w:tc>
        <w:tc>
          <w:tcPr>
            <w:tcW w:w="1124" w:type="dxa"/>
            <w:vAlign w:val="center"/>
          </w:tcPr>
          <w:p w:rsidR="0086311D" w:rsidRPr="00F9522B" w:rsidRDefault="0086311D" w:rsidP="0093401E">
            <w:pPr>
              <w:widowControl/>
              <w:jc w:val="center"/>
              <w:textAlignment w:val="center"/>
              <w:rPr>
                <w:rFonts w:eastAsiaTheme="minorEastAsia"/>
                <w:color w:val="FF0000"/>
                <w:kern w:val="0"/>
                <w:szCs w:val="21"/>
              </w:rPr>
            </w:pPr>
            <w:r w:rsidRPr="00F9522B">
              <w:rPr>
                <w:bCs/>
                <w:color w:val="FF0000"/>
                <w:szCs w:val="21"/>
              </w:rPr>
              <w:t>坐水种（抗旱）</w:t>
            </w:r>
          </w:p>
        </w:tc>
        <w:tc>
          <w:tcPr>
            <w:tcW w:w="601" w:type="dxa"/>
            <w:gridSpan w:val="2"/>
            <w:vAlign w:val="center"/>
          </w:tcPr>
          <w:p w:rsidR="0086311D" w:rsidRPr="00F9522B" w:rsidRDefault="0086311D" w:rsidP="0093401E">
            <w:pPr>
              <w:widowControl/>
              <w:jc w:val="center"/>
              <w:textAlignment w:val="center"/>
              <w:rPr>
                <w:rFonts w:eastAsiaTheme="minorEastAsia"/>
                <w:color w:val="FF0000"/>
                <w:kern w:val="0"/>
                <w:szCs w:val="21"/>
              </w:rPr>
            </w:pPr>
            <w:r w:rsidRPr="00F9522B">
              <w:rPr>
                <w:rFonts w:eastAsiaTheme="minorEastAsia"/>
                <w:color w:val="FF0000"/>
                <w:kern w:val="0"/>
                <w:szCs w:val="21"/>
              </w:rPr>
              <w:t>滴灌</w:t>
            </w:r>
          </w:p>
        </w:tc>
      </w:tr>
      <w:tr w:rsidR="0086311D" w:rsidRPr="00F9522B" w:rsidTr="0093401E">
        <w:trPr>
          <w:gridAfter w:val="1"/>
          <w:wAfter w:w="33" w:type="dxa"/>
          <w:trHeight w:val="537"/>
          <w:jc w:val="center"/>
        </w:trPr>
        <w:tc>
          <w:tcPr>
            <w:tcW w:w="1552" w:type="dxa"/>
            <w:vAlign w:val="center"/>
          </w:tcPr>
          <w:p w:rsidR="0086311D" w:rsidRPr="00F9522B" w:rsidRDefault="0086311D" w:rsidP="0093401E">
            <w:pPr>
              <w:widowControl/>
              <w:jc w:val="center"/>
              <w:textAlignment w:val="center"/>
              <w:rPr>
                <w:rFonts w:eastAsiaTheme="minorEastAsia"/>
                <w:color w:val="FF0000"/>
                <w:kern w:val="0"/>
                <w:szCs w:val="21"/>
              </w:rPr>
            </w:pPr>
            <w:r w:rsidRPr="00F9522B">
              <w:rPr>
                <w:rFonts w:eastAsia="瀹嬩綋"/>
                <w:color w:val="FF0000"/>
                <w:szCs w:val="21"/>
              </w:rPr>
              <w:t>二八镇片区</w:t>
            </w:r>
          </w:p>
        </w:tc>
        <w:tc>
          <w:tcPr>
            <w:tcW w:w="1134" w:type="dxa"/>
            <w:vAlign w:val="center"/>
          </w:tcPr>
          <w:p w:rsidR="0086311D" w:rsidRPr="00F9522B" w:rsidRDefault="0086311D" w:rsidP="0093401E">
            <w:pPr>
              <w:widowControl/>
              <w:jc w:val="center"/>
              <w:textAlignment w:val="center"/>
              <w:rPr>
                <w:rFonts w:eastAsiaTheme="minorEastAsia"/>
                <w:color w:val="FF0000"/>
                <w:kern w:val="0"/>
                <w:szCs w:val="21"/>
              </w:rPr>
            </w:pPr>
            <w:r w:rsidRPr="00F9522B">
              <w:rPr>
                <w:rFonts w:eastAsiaTheme="minorEastAsia"/>
                <w:color w:val="FF0000"/>
                <w:kern w:val="0"/>
                <w:szCs w:val="21"/>
              </w:rPr>
              <w:t>20167.22</w:t>
            </w:r>
          </w:p>
        </w:tc>
        <w:tc>
          <w:tcPr>
            <w:tcW w:w="709" w:type="dxa"/>
            <w:vAlign w:val="center"/>
          </w:tcPr>
          <w:p w:rsidR="0086311D" w:rsidRPr="00F9522B" w:rsidRDefault="0086311D" w:rsidP="0093401E">
            <w:pPr>
              <w:widowControl/>
              <w:jc w:val="center"/>
              <w:textAlignment w:val="center"/>
              <w:rPr>
                <w:rFonts w:eastAsiaTheme="minorEastAsia"/>
                <w:color w:val="FF0000"/>
                <w:kern w:val="0"/>
                <w:szCs w:val="21"/>
              </w:rPr>
            </w:pPr>
            <w:r w:rsidRPr="00F9522B">
              <w:rPr>
                <w:rFonts w:eastAsiaTheme="minorEastAsia"/>
                <w:color w:val="FF0000"/>
                <w:kern w:val="0"/>
                <w:szCs w:val="21"/>
              </w:rPr>
              <w:t>/</w:t>
            </w:r>
          </w:p>
        </w:tc>
        <w:tc>
          <w:tcPr>
            <w:tcW w:w="640" w:type="dxa"/>
            <w:vAlign w:val="center"/>
          </w:tcPr>
          <w:p w:rsidR="0086311D" w:rsidRPr="00F9522B" w:rsidRDefault="0086311D" w:rsidP="0093401E">
            <w:pPr>
              <w:widowControl/>
              <w:jc w:val="center"/>
              <w:textAlignment w:val="center"/>
              <w:rPr>
                <w:rFonts w:eastAsiaTheme="minorEastAsia"/>
                <w:color w:val="FF0000"/>
                <w:kern w:val="0"/>
                <w:szCs w:val="21"/>
              </w:rPr>
            </w:pPr>
            <w:r w:rsidRPr="00F9522B">
              <w:rPr>
                <w:rFonts w:eastAsiaTheme="minorEastAsia"/>
                <w:color w:val="FF0000"/>
                <w:kern w:val="0"/>
                <w:szCs w:val="21"/>
              </w:rPr>
              <w:t>0.9</w:t>
            </w:r>
          </w:p>
        </w:tc>
        <w:tc>
          <w:tcPr>
            <w:tcW w:w="642" w:type="dxa"/>
            <w:vAlign w:val="center"/>
          </w:tcPr>
          <w:p w:rsidR="0086311D" w:rsidRPr="00F9522B" w:rsidRDefault="0086311D" w:rsidP="0093401E">
            <w:pPr>
              <w:widowControl/>
              <w:jc w:val="center"/>
              <w:textAlignment w:val="center"/>
              <w:rPr>
                <w:rFonts w:eastAsiaTheme="minorEastAsia"/>
                <w:color w:val="FF0000"/>
                <w:kern w:val="0"/>
                <w:szCs w:val="21"/>
              </w:rPr>
            </w:pPr>
            <w:r w:rsidRPr="00F9522B">
              <w:rPr>
                <w:rFonts w:eastAsiaTheme="minorEastAsia"/>
                <w:color w:val="FF0000"/>
                <w:kern w:val="0"/>
                <w:szCs w:val="21"/>
              </w:rPr>
              <w:t>/</w:t>
            </w:r>
          </w:p>
        </w:tc>
        <w:tc>
          <w:tcPr>
            <w:tcW w:w="803" w:type="dxa"/>
            <w:vAlign w:val="center"/>
          </w:tcPr>
          <w:p w:rsidR="0086311D" w:rsidRPr="00F9522B" w:rsidRDefault="0086311D" w:rsidP="0093401E">
            <w:pPr>
              <w:widowControl/>
              <w:jc w:val="center"/>
              <w:textAlignment w:val="center"/>
              <w:rPr>
                <w:rFonts w:eastAsiaTheme="minorEastAsia"/>
                <w:color w:val="FF0000"/>
                <w:kern w:val="0"/>
                <w:szCs w:val="21"/>
              </w:rPr>
            </w:pPr>
            <w:r w:rsidRPr="00F9522B">
              <w:rPr>
                <w:rFonts w:eastAsiaTheme="minorEastAsia"/>
                <w:color w:val="FF0000"/>
                <w:kern w:val="0"/>
                <w:szCs w:val="21"/>
              </w:rPr>
              <w:t>6</w:t>
            </w:r>
          </w:p>
        </w:tc>
        <w:tc>
          <w:tcPr>
            <w:tcW w:w="803" w:type="dxa"/>
            <w:vAlign w:val="center"/>
          </w:tcPr>
          <w:p w:rsidR="0086311D" w:rsidRPr="00F9522B" w:rsidRDefault="0086311D" w:rsidP="0093401E">
            <w:pPr>
              <w:widowControl/>
              <w:jc w:val="center"/>
              <w:textAlignment w:val="center"/>
              <w:rPr>
                <w:rFonts w:eastAsiaTheme="minorEastAsia"/>
                <w:color w:val="FF0000"/>
                <w:kern w:val="0"/>
                <w:szCs w:val="21"/>
              </w:rPr>
            </w:pPr>
            <w:r w:rsidRPr="00F9522B">
              <w:rPr>
                <w:rFonts w:eastAsiaTheme="minorEastAsia"/>
                <w:color w:val="FF0000"/>
                <w:kern w:val="0"/>
                <w:szCs w:val="21"/>
              </w:rPr>
              <w:t>/</w:t>
            </w:r>
          </w:p>
        </w:tc>
        <w:tc>
          <w:tcPr>
            <w:tcW w:w="1124" w:type="dxa"/>
            <w:vAlign w:val="center"/>
          </w:tcPr>
          <w:p w:rsidR="0086311D" w:rsidRPr="00F9522B" w:rsidRDefault="0086311D" w:rsidP="0093401E">
            <w:pPr>
              <w:widowControl/>
              <w:jc w:val="center"/>
              <w:textAlignment w:val="center"/>
              <w:rPr>
                <w:rFonts w:eastAsiaTheme="minorEastAsia"/>
                <w:color w:val="FF0000"/>
                <w:kern w:val="0"/>
                <w:szCs w:val="21"/>
              </w:rPr>
            </w:pPr>
            <w:r w:rsidRPr="00F9522B">
              <w:rPr>
                <w:rFonts w:eastAsiaTheme="minorEastAsia"/>
                <w:color w:val="FF0000"/>
                <w:kern w:val="0"/>
                <w:szCs w:val="21"/>
              </w:rPr>
              <w:t>12.1</w:t>
            </w:r>
          </w:p>
        </w:tc>
        <w:tc>
          <w:tcPr>
            <w:tcW w:w="568" w:type="dxa"/>
            <w:vAlign w:val="center"/>
          </w:tcPr>
          <w:p w:rsidR="0086311D" w:rsidRPr="00F9522B" w:rsidRDefault="0086311D" w:rsidP="0093401E">
            <w:pPr>
              <w:widowControl/>
              <w:jc w:val="center"/>
              <w:textAlignment w:val="center"/>
              <w:rPr>
                <w:rFonts w:eastAsiaTheme="minorEastAsia"/>
                <w:color w:val="FF0000"/>
                <w:kern w:val="0"/>
                <w:szCs w:val="21"/>
              </w:rPr>
            </w:pPr>
            <w:r w:rsidRPr="00F9522B">
              <w:rPr>
                <w:rFonts w:eastAsiaTheme="minorEastAsia"/>
                <w:color w:val="FF0000"/>
                <w:kern w:val="0"/>
                <w:szCs w:val="21"/>
              </w:rPr>
              <w:t>/</w:t>
            </w:r>
          </w:p>
        </w:tc>
      </w:tr>
      <w:tr w:rsidR="0086311D" w:rsidRPr="00F9522B" w:rsidTr="0093401E">
        <w:trPr>
          <w:gridAfter w:val="1"/>
          <w:wAfter w:w="33" w:type="dxa"/>
          <w:trHeight w:val="514"/>
          <w:jc w:val="center"/>
        </w:trPr>
        <w:tc>
          <w:tcPr>
            <w:tcW w:w="1552" w:type="dxa"/>
            <w:vAlign w:val="center"/>
          </w:tcPr>
          <w:p w:rsidR="0086311D" w:rsidRPr="00F9522B" w:rsidRDefault="0086311D" w:rsidP="0093401E">
            <w:pPr>
              <w:widowControl/>
              <w:jc w:val="center"/>
              <w:textAlignment w:val="center"/>
              <w:rPr>
                <w:rFonts w:eastAsiaTheme="minorEastAsia"/>
                <w:color w:val="FF0000"/>
                <w:kern w:val="0"/>
                <w:szCs w:val="21"/>
              </w:rPr>
            </w:pPr>
            <w:r w:rsidRPr="00F9522B">
              <w:rPr>
                <w:rFonts w:eastAsia="瀹嬩綋"/>
                <w:color w:val="FF0000"/>
                <w:szCs w:val="21"/>
              </w:rPr>
              <w:t>方台镇片区</w:t>
            </w:r>
          </w:p>
        </w:tc>
        <w:tc>
          <w:tcPr>
            <w:tcW w:w="1134" w:type="dxa"/>
            <w:vAlign w:val="center"/>
          </w:tcPr>
          <w:p w:rsidR="0086311D" w:rsidRPr="00F9522B" w:rsidRDefault="0086311D" w:rsidP="0093401E">
            <w:pPr>
              <w:widowControl/>
              <w:jc w:val="center"/>
              <w:textAlignment w:val="center"/>
              <w:rPr>
                <w:rFonts w:eastAsiaTheme="minorEastAsia"/>
                <w:color w:val="FF0000"/>
                <w:kern w:val="0"/>
                <w:szCs w:val="21"/>
              </w:rPr>
            </w:pPr>
            <w:r w:rsidRPr="00F9522B">
              <w:rPr>
                <w:rFonts w:eastAsiaTheme="minorEastAsia"/>
                <w:color w:val="FF0000"/>
                <w:kern w:val="0"/>
                <w:szCs w:val="21"/>
              </w:rPr>
              <w:t>35973.96</w:t>
            </w:r>
          </w:p>
        </w:tc>
        <w:tc>
          <w:tcPr>
            <w:tcW w:w="709" w:type="dxa"/>
            <w:vAlign w:val="center"/>
          </w:tcPr>
          <w:p w:rsidR="0086311D" w:rsidRPr="00F9522B" w:rsidRDefault="0086311D" w:rsidP="0093401E">
            <w:pPr>
              <w:widowControl/>
              <w:jc w:val="center"/>
              <w:textAlignment w:val="center"/>
              <w:rPr>
                <w:rFonts w:eastAsiaTheme="minorEastAsia"/>
                <w:color w:val="FF0000"/>
                <w:kern w:val="0"/>
                <w:szCs w:val="21"/>
              </w:rPr>
            </w:pPr>
            <w:r w:rsidRPr="00F9522B">
              <w:rPr>
                <w:rFonts w:eastAsiaTheme="minorEastAsia"/>
                <w:color w:val="FF0000"/>
                <w:kern w:val="0"/>
                <w:szCs w:val="21"/>
              </w:rPr>
              <w:t>/</w:t>
            </w:r>
          </w:p>
        </w:tc>
        <w:tc>
          <w:tcPr>
            <w:tcW w:w="640" w:type="dxa"/>
            <w:vAlign w:val="center"/>
          </w:tcPr>
          <w:p w:rsidR="0086311D" w:rsidRPr="00F9522B" w:rsidRDefault="0086311D" w:rsidP="0093401E">
            <w:pPr>
              <w:widowControl/>
              <w:jc w:val="center"/>
              <w:textAlignment w:val="center"/>
              <w:rPr>
                <w:rFonts w:eastAsiaTheme="minorEastAsia"/>
                <w:color w:val="FF0000"/>
                <w:kern w:val="0"/>
                <w:szCs w:val="21"/>
              </w:rPr>
            </w:pPr>
            <w:r w:rsidRPr="00F9522B">
              <w:rPr>
                <w:rFonts w:eastAsiaTheme="minorEastAsia"/>
                <w:color w:val="FF0000"/>
                <w:kern w:val="0"/>
                <w:szCs w:val="21"/>
              </w:rPr>
              <w:t>0.9</w:t>
            </w:r>
          </w:p>
        </w:tc>
        <w:tc>
          <w:tcPr>
            <w:tcW w:w="642" w:type="dxa"/>
            <w:vAlign w:val="center"/>
          </w:tcPr>
          <w:p w:rsidR="0086311D" w:rsidRPr="00F9522B" w:rsidRDefault="0086311D" w:rsidP="0093401E">
            <w:pPr>
              <w:widowControl/>
              <w:jc w:val="center"/>
              <w:textAlignment w:val="center"/>
              <w:rPr>
                <w:rFonts w:eastAsiaTheme="minorEastAsia"/>
                <w:color w:val="FF0000"/>
                <w:kern w:val="0"/>
                <w:szCs w:val="21"/>
              </w:rPr>
            </w:pPr>
            <w:r w:rsidRPr="00F9522B">
              <w:rPr>
                <w:rFonts w:eastAsiaTheme="minorEastAsia"/>
                <w:color w:val="FF0000"/>
                <w:kern w:val="0"/>
                <w:szCs w:val="21"/>
              </w:rPr>
              <w:t>/</w:t>
            </w:r>
          </w:p>
        </w:tc>
        <w:tc>
          <w:tcPr>
            <w:tcW w:w="803" w:type="dxa"/>
            <w:vAlign w:val="center"/>
          </w:tcPr>
          <w:p w:rsidR="0086311D" w:rsidRPr="00F9522B" w:rsidRDefault="0086311D" w:rsidP="0093401E">
            <w:pPr>
              <w:widowControl/>
              <w:jc w:val="center"/>
              <w:textAlignment w:val="center"/>
              <w:rPr>
                <w:rFonts w:eastAsiaTheme="minorEastAsia"/>
                <w:color w:val="FF0000"/>
                <w:kern w:val="0"/>
                <w:szCs w:val="21"/>
              </w:rPr>
            </w:pPr>
            <w:r w:rsidRPr="00F9522B">
              <w:rPr>
                <w:rFonts w:eastAsiaTheme="minorEastAsia"/>
                <w:color w:val="FF0000"/>
                <w:kern w:val="0"/>
                <w:szCs w:val="21"/>
              </w:rPr>
              <w:t>6</w:t>
            </w:r>
          </w:p>
        </w:tc>
        <w:tc>
          <w:tcPr>
            <w:tcW w:w="803" w:type="dxa"/>
            <w:vAlign w:val="center"/>
          </w:tcPr>
          <w:p w:rsidR="0086311D" w:rsidRPr="00F9522B" w:rsidRDefault="0086311D" w:rsidP="0093401E">
            <w:pPr>
              <w:widowControl/>
              <w:jc w:val="center"/>
              <w:textAlignment w:val="center"/>
              <w:rPr>
                <w:rFonts w:eastAsiaTheme="minorEastAsia"/>
                <w:color w:val="FF0000"/>
                <w:kern w:val="0"/>
                <w:szCs w:val="21"/>
              </w:rPr>
            </w:pPr>
            <w:r w:rsidRPr="00F9522B">
              <w:rPr>
                <w:rFonts w:eastAsiaTheme="minorEastAsia"/>
                <w:color w:val="FF0000"/>
                <w:kern w:val="0"/>
                <w:szCs w:val="21"/>
              </w:rPr>
              <w:t>/</w:t>
            </w:r>
          </w:p>
        </w:tc>
        <w:tc>
          <w:tcPr>
            <w:tcW w:w="1124" w:type="dxa"/>
            <w:vAlign w:val="center"/>
          </w:tcPr>
          <w:p w:rsidR="0086311D" w:rsidRPr="00F9522B" w:rsidRDefault="0086311D" w:rsidP="0093401E">
            <w:pPr>
              <w:widowControl/>
              <w:jc w:val="center"/>
              <w:textAlignment w:val="center"/>
              <w:rPr>
                <w:rFonts w:eastAsiaTheme="minorEastAsia"/>
                <w:color w:val="FF0000"/>
                <w:kern w:val="0"/>
                <w:szCs w:val="21"/>
              </w:rPr>
            </w:pPr>
            <w:r w:rsidRPr="00F9522B">
              <w:rPr>
                <w:rFonts w:eastAsiaTheme="minorEastAsia"/>
                <w:color w:val="FF0000"/>
                <w:kern w:val="0"/>
                <w:szCs w:val="21"/>
              </w:rPr>
              <w:t>21.58</w:t>
            </w:r>
          </w:p>
        </w:tc>
        <w:tc>
          <w:tcPr>
            <w:tcW w:w="568" w:type="dxa"/>
            <w:vAlign w:val="center"/>
          </w:tcPr>
          <w:p w:rsidR="0086311D" w:rsidRPr="00F9522B" w:rsidRDefault="0086311D" w:rsidP="0093401E">
            <w:pPr>
              <w:widowControl/>
              <w:jc w:val="center"/>
              <w:textAlignment w:val="center"/>
              <w:rPr>
                <w:rFonts w:eastAsiaTheme="minorEastAsia"/>
                <w:color w:val="FF0000"/>
                <w:kern w:val="0"/>
                <w:szCs w:val="21"/>
              </w:rPr>
            </w:pPr>
            <w:r w:rsidRPr="00F9522B">
              <w:rPr>
                <w:rFonts w:eastAsiaTheme="minorEastAsia"/>
                <w:color w:val="FF0000"/>
                <w:kern w:val="0"/>
                <w:szCs w:val="21"/>
              </w:rPr>
              <w:t>/</w:t>
            </w:r>
          </w:p>
        </w:tc>
      </w:tr>
      <w:tr w:rsidR="0086311D" w:rsidRPr="00F9522B" w:rsidTr="0093401E">
        <w:trPr>
          <w:gridAfter w:val="1"/>
          <w:wAfter w:w="33" w:type="dxa"/>
          <w:trHeight w:val="514"/>
          <w:jc w:val="center"/>
        </w:trPr>
        <w:tc>
          <w:tcPr>
            <w:tcW w:w="1552" w:type="dxa"/>
            <w:vAlign w:val="center"/>
          </w:tcPr>
          <w:p w:rsidR="0086311D" w:rsidRPr="00F9522B" w:rsidRDefault="0086311D" w:rsidP="0093401E">
            <w:pPr>
              <w:widowControl/>
              <w:jc w:val="center"/>
              <w:textAlignment w:val="center"/>
              <w:rPr>
                <w:rFonts w:eastAsiaTheme="minorEastAsia"/>
                <w:color w:val="FF0000"/>
                <w:kern w:val="0"/>
                <w:szCs w:val="21"/>
              </w:rPr>
            </w:pPr>
            <w:r w:rsidRPr="00F9522B">
              <w:rPr>
                <w:rFonts w:eastAsia="瀹嬩綋"/>
                <w:color w:val="FF0000"/>
                <w:szCs w:val="21"/>
              </w:rPr>
              <w:t>康金街道片区</w:t>
            </w:r>
          </w:p>
        </w:tc>
        <w:tc>
          <w:tcPr>
            <w:tcW w:w="1134" w:type="dxa"/>
            <w:vAlign w:val="center"/>
          </w:tcPr>
          <w:p w:rsidR="0086311D" w:rsidRPr="00F9522B" w:rsidRDefault="0086311D" w:rsidP="0093401E">
            <w:pPr>
              <w:widowControl/>
              <w:jc w:val="center"/>
              <w:textAlignment w:val="center"/>
              <w:rPr>
                <w:rFonts w:eastAsiaTheme="minorEastAsia"/>
                <w:color w:val="FF0000"/>
                <w:kern w:val="0"/>
                <w:szCs w:val="21"/>
              </w:rPr>
            </w:pPr>
            <w:r w:rsidRPr="00F9522B">
              <w:rPr>
                <w:rFonts w:eastAsiaTheme="minorEastAsia"/>
                <w:color w:val="FF0000"/>
                <w:kern w:val="0"/>
                <w:szCs w:val="21"/>
              </w:rPr>
              <w:t>25617.82</w:t>
            </w:r>
          </w:p>
        </w:tc>
        <w:tc>
          <w:tcPr>
            <w:tcW w:w="709" w:type="dxa"/>
            <w:vAlign w:val="center"/>
          </w:tcPr>
          <w:p w:rsidR="0086311D" w:rsidRPr="00F9522B" w:rsidRDefault="0086311D" w:rsidP="0093401E">
            <w:pPr>
              <w:widowControl/>
              <w:jc w:val="center"/>
              <w:textAlignment w:val="center"/>
              <w:rPr>
                <w:rFonts w:eastAsiaTheme="minorEastAsia"/>
                <w:color w:val="FF0000"/>
                <w:kern w:val="0"/>
                <w:szCs w:val="21"/>
              </w:rPr>
            </w:pPr>
            <w:r w:rsidRPr="00F9522B">
              <w:rPr>
                <w:rFonts w:eastAsiaTheme="minorEastAsia"/>
                <w:color w:val="FF0000"/>
                <w:kern w:val="0"/>
                <w:szCs w:val="21"/>
              </w:rPr>
              <w:t>16300</w:t>
            </w:r>
          </w:p>
        </w:tc>
        <w:tc>
          <w:tcPr>
            <w:tcW w:w="640" w:type="dxa"/>
            <w:vAlign w:val="center"/>
          </w:tcPr>
          <w:p w:rsidR="0086311D" w:rsidRPr="00F9522B" w:rsidRDefault="0086311D" w:rsidP="0093401E">
            <w:pPr>
              <w:widowControl/>
              <w:jc w:val="center"/>
              <w:textAlignment w:val="center"/>
              <w:rPr>
                <w:rFonts w:eastAsiaTheme="minorEastAsia"/>
                <w:color w:val="FF0000"/>
                <w:kern w:val="0"/>
                <w:szCs w:val="21"/>
              </w:rPr>
            </w:pPr>
            <w:r w:rsidRPr="00F9522B">
              <w:rPr>
                <w:rFonts w:eastAsiaTheme="minorEastAsia"/>
                <w:color w:val="FF0000"/>
                <w:kern w:val="0"/>
                <w:szCs w:val="21"/>
              </w:rPr>
              <w:t>0.9</w:t>
            </w:r>
          </w:p>
        </w:tc>
        <w:tc>
          <w:tcPr>
            <w:tcW w:w="642" w:type="dxa"/>
            <w:vAlign w:val="center"/>
          </w:tcPr>
          <w:p w:rsidR="0086311D" w:rsidRPr="00F9522B" w:rsidRDefault="0086311D" w:rsidP="0093401E">
            <w:pPr>
              <w:widowControl/>
              <w:jc w:val="center"/>
              <w:textAlignment w:val="center"/>
              <w:rPr>
                <w:rFonts w:eastAsiaTheme="minorEastAsia"/>
                <w:color w:val="FF0000"/>
                <w:kern w:val="0"/>
                <w:szCs w:val="21"/>
              </w:rPr>
            </w:pPr>
            <w:r w:rsidRPr="00F9522B">
              <w:rPr>
                <w:rFonts w:eastAsiaTheme="minorEastAsia"/>
                <w:color w:val="FF0000"/>
                <w:kern w:val="0"/>
                <w:szCs w:val="21"/>
              </w:rPr>
              <w:t>0.93</w:t>
            </w:r>
          </w:p>
        </w:tc>
        <w:tc>
          <w:tcPr>
            <w:tcW w:w="803" w:type="dxa"/>
            <w:vAlign w:val="center"/>
          </w:tcPr>
          <w:p w:rsidR="0086311D" w:rsidRPr="00F9522B" w:rsidRDefault="0086311D" w:rsidP="0093401E">
            <w:pPr>
              <w:widowControl/>
              <w:jc w:val="center"/>
              <w:textAlignment w:val="center"/>
              <w:rPr>
                <w:rFonts w:eastAsiaTheme="minorEastAsia"/>
                <w:color w:val="FF0000"/>
                <w:kern w:val="0"/>
                <w:szCs w:val="21"/>
              </w:rPr>
            </w:pPr>
            <w:r w:rsidRPr="00F9522B">
              <w:rPr>
                <w:rFonts w:eastAsiaTheme="minorEastAsia"/>
                <w:color w:val="FF0000"/>
                <w:kern w:val="0"/>
                <w:szCs w:val="21"/>
              </w:rPr>
              <w:t>6</w:t>
            </w:r>
          </w:p>
        </w:tc>
        <w:tc>
          <w:tcPr>
            <w:tcW w:w="803" w:type="dxa"/>
            <w:vAlign w:val="center"/>
          </w:tcPr>
          <w:p w:rsidR="0086311D" w:rsidRPr="00F9522B" w:rsidRDefault="0086311D" w:rsidP="0093401E">
            <w:pPr>
              <w:widowControl/>
              <w:jc w:val="center"/>
              <w:textAlignment w:val="center"/>
              <w:rPr>
                <w:rFonts w:eastAsiaTheme="minorEastAsia"/>
                <w:color w:val="FF0000"/>
                <w:kern w:val="0"/>
                <w:szCs w:val="21"/>
              </w:rPr>
            </w:pPr>
            <w:r w:rsidRPr="00F9522B">
              <w:rPr>
                <w:rFonts w:eastAsiaTheme="minorEastAsia"/>
                <w:color w:val="FF0000"/>
                <w:kern w:val="0"/>
                <w:szCs w:val="21"/>
              </w:rPr>
              <w:t>110</w:t>
            </w:r>
          </w:p>
        </w:tc>
        <w:tc>
          <w:tcPr>
            <w:tcW w:w="1124" w:type="dxa"/>
            <w:vAlign w:val="center"/>
          </w:tcPr>
          <w:p w:rsidR="0086311D" w:rsidRPr="00F9522B" w:rsidRDefault="0086311D" w:rsidP="0093401E">
            <w:pPr>
              <w:widowControl/>
              <w:jc w:val="center"/>
              <w:textAlignment w:val="center"/>
              <w:rPr>
                <w:rFonts w:eastAsiaTheme="minorEastAsia"/>
                <w:color w:val="FF0000"/>
                <w:kern w:val="0"/>
                <w:szCs w:val="21"/>
              </w:rPr>
            </w:pPr>
            <w:r w:rsidRPr="00F9522B">
              <w:rPr>
                <w:rFonts w:eastAsiaTheme="minorEastAsia"/>
                <w:color w:val="FF0000"/>
                <w:kern w:val="0"/>
                <w:szCs w:val="21"/>
              </w:rPr>
              <w:t>15.37</w:t>
            </w:r>
          </w:p>
        </w:tc>
        <w:tc>
          <w:tcPr>
            <w:tcW w:w="568" w:type="dxa"/>
            <w:vAlign w:val="center"/>
          </w:tcPr>
          <w:p w:rsidR="0086311D" w:rsidRPr="00F9522B" w:rsidRDefault="0086311D" w:rsidP="0093401E">
            <w:pPr>
              <w:widowControl/>
              <w:jc w:val="center"/>
              <w:textAlignment w:val="center"/>
              <w:rPr>
                <w:rFonts w:eastAsiaTheme="minorEastAsia"/>
                <w:color w:val="FF0000"/>
                <w:kern w:val="0"/>
                <w:szCs w:val="21"/>
              </w:rPr>
            </w:pPr>
            <w:r w:rsidRPr="00F9522B">
              <w:rPr>
                <w:rFonts w:eastAsiaTheme="minorEastAsia"/>
                <w:color w:val="FF0000"/>
                <w:kern w:val="0"/>
                <w:szCs w:val="21"/>
              </w:rPr>
              <w:t>179.3</w:t>
            </w:r>
          </w:p>
        </w:tc>
      </w:tr>
      <w:tr w:rsidR="0086311D" w:rsidRPr="00F9522B" w:rsidTr="0093401E">
        <w:trPr>
          <w:gridAfter w:val="1"/>
          <w:wAfter w:w="33" w:type="dxa"/>
          <w:trHeight w:val="514"/>
          <w:jc w:val="center"/>
        </w:trPr>
        <w:tc>
          <w:tcPr>
            <w:tcW w:w="1552" w:type="dxa"/>
            <w:vAlign w:val="center"/>
          </w:tcPr>
          <w:p w:rsidR="0086311D" w:rsidRPr="00F9522B" w:rsidRDefault="0086311D" w:rsidP="0093401E">
            <w:pPr>
              <w:widowControl/>
              <w:jc w:val="center"/>
              <w:textAlignment w:val="center"/>
              <w:rPr>
                <w:rFonts w:eastAsia="瀹嬩綋"/>
                <w:color w:val="FF0000"/>
                <w:szCs w:val="21"/>
              </w:rPr>
            </w:pPr>
            <w:r w:rsidRPr="00F9522B">
              <w:rPr>
                <w:rFonts w:eastAsia="瀹嬩綋"/>
                <w:color w:val="FF0000"/>
                <w:szCs w:val="21"/>
              </w:rPr>
              <w:t>石人镇片区</w:t>
            </w:r>
          </w:p>
        </w:tc>
        <w:tc>
          <w:tcPr>
            <w:tcW w:w="1134" w:type="dxa"/>
            <w:vAlign w:val="center"/>
          </w:tcPr>
          <w:p w:rsidR="0086311D" w:rsidRPr="00F9522B" w:rsidRDefault="0086311D" w:rsidP="0093401E">
            <w:pPr>
              <w:widowControl/>
              <w:jc w:val="center"/>
              <w:textAlignment w:val="center"/>
              <w:rPr>
                <w:rFonts w:eastAsiaTheme="minorEastAsia"/>
                <w:color w:val="FF0000"/>
                <w:kern w:val="0"/>
                <w:szCs w:val="21"/>
              </w:rPr>
            </w:pPr>
            <w:r w:rsidRPr="00F9522B">
              <w:rPr>
                <w:rFonts w:eastAsiaTheme="minorEastAsia"/>
                <w:color w:val="FF0000"/>
                <w:kern w:val="0"/>
                <w:szCs w:val="21"/>
              </w:rPr>
              <w:t>23982.64</w:t>
            </w:r>
          </w:p>
        </w:tc>
        <w:tc>
          <w:tcPr>
            <w:tcW w:w="709" w:type="dxa"/>
            <w:vAlign w:val="center"/>
          </w:tcPr>
          <w:p w:rsidR="0086311D" w:rsidRPr="00F9522B" w:rsidRDefault="0086311D" w:rsidP="0093401E">
            <w:pPr>
              <w:widowControl/>
              <w:jc w:val="center"/>
              <w:textAlignment w:val="center"/>
              <w:rPr>
                <w:rFonts w:eastAsiaTheme="minorEastAsia"/>
                <w:color w:val="FF0000"/>
                <w:kern w:val="0"/>
                <w:szCs w:val="21"/>
              </w:rPr>
            </w:pPr>
            <w:r w:rsidRPr="00F9522B">
              <w:rPr>
                <w:rFonts w:eastAsiaTheme="minorEastAsia"/>
                <w:color w:val="FF0000"/>
                <w:kern w:val="0"/>
                <w:szCs w:val="21"/>
              </w:rPr>
              <w:t>/</w:t>
            </w:r>
          </w:p>
        </w:tc>
        <w:tc>
          <w:tcPr>
            <w:tcW w:w="640" w:type="dxa"/>
            <w:vAlign w:val="center"/>
          </w:tcPr>
          <w:p w:rsidR="0086311D" w:rsidRPr="00F9522B" w:rsidRDefault="0086311D" w:rsidP="0093401E">
            <w:pPr>
              <w:widowControl/>
              <w:jc w:val="center"/>
              <w:textAlignment w:val="center"/>
              <w:rPr>
                <w:rFonts w:eastAsiaTheme="minorEastAsia"/>
                <w:color w:val="FF0000"/>
                <w:kern w:val="0"/>
                <w:szCs w:val="21"/>
              </w:rPr>
            </w:pPr>
            <w:r w:rsidRPr="00F9522B">
              <w:rPr>
                <w:rFonts w:eastAsiaTheme="minorEastAsia"/>
                <w:color w:val="FF0000"/>
                <w:kern w:val="0"/>
                <w:szCs w:val="21"/>
              </w:rPr>
              <w:t>0.9</w:t>
            </w:r>
          </w:p>
        </w:tc>
        <w:tc>
          <w:tcPr>
            <w:tcW w:w="642" w:type="dxa"/>
            <w:vAlign w:val="center"/>
          </w:tcPr>
          <w:p w:rsidR="0086311D" w:rsidRPr="00F9522B" w:rsidRDefault="0086311D" w:rsidP="0093401E">
            <w:pPr>
              <w:widowControl/>
              <w:jc w:val="center"/>
              <w:textAlignment w:val="center"/>
              <w:rPr>
                <w:rFonts w:eastAsiaTheme="minorEastAsia"/>
                <w:color w:val="FF0000"/>
                <w:kern w:val="0"/>
                <w:szCs w:val="21"/>
              </w:rPr>
            </w:pPr>
            <w:r w:rsidRPr="00F9522B">
              <w:rPr>
                <w:rFonts w:eastAsiaTheme="minorEastAsia"/>
                <w:color w:val="FF0000"/>
                <w:kern w:val="0"/>
                <w:szCs w:val="21"/>
              </w:rPr>
              <w:t>/</w:t>
            </w:r>
          </w:p>
        </w:tc>
        <w:tc>
          <w:tcPr>
            <w:tcW w:w="803" w:type="dxa"/>
            <w:vAlign w:val="center"/>
          </w:tcPr>
          <w:p w:rsidR="0086311D" w:rsidRPr="00F9522B" w:rsidRDefault="0086311D" w:rsidP="0093401E">
            <w:pPr>
              <w:widowControl/>
              <w:jc w:val="center"/>
              <w:textAlignment w:val="center"/>
              <w:rPr>
                <w:rFonts w:eastAsiaTheme="minorEastAsia"/>
                <w:color w:val="FF0000"/>
                <w:kern w:val="0"/>
                <w:szCs w:val="21"/>
              </w:rPr>
            </w:pPr>
            <w:r w:rsidRPr="00F9522B">
              <w:rPr>
                <w:rFonts w:eastAsiaTheme="minorEastAsia"/>
                <w:color w:val="FF0000"/>
                <w:kern w:val="0"/>
                <w:szCs w:val="21"/>
              </w:rPr>
              <w:t>6</w:t>
            </w:r>
          </w:p>
        </w:tc>
        <w:tc>
          <w:tcPr>
            <w:tcW w:w="803" w:type="dxa"/>
            <w:vAlign w:val="center"/>
          </w:tcPr>
          <w:p w:rsidR="0086311D" w:rsidRPr="00F9522B" w:rsidRDefault="0086311D" w:rsidP="0093401E">
            <w:pPr>
              <w:widowControl/>
              <w:jc w:val="center"/>
              <w:textAlignment w:val="center"/>
              <w:rPr>
                <w:rFonts w:eastAsiaTheme="minorEastAsia"/>
                <w:color w:val="FF0000"/>
                <w:kern w:val="0"/>
                <w:szCs w:val="21"/>
              </w:rPr>
            </w:pPr>
            <w:r w:rsidRPr="00F9522B">
              <w:rPr>
                <w:rFonts w:eastAsiaTheme="minorEastAsia"/>
                <w:color w:val="FF0000"/>
                <w:kern w:val="0"/>
                <w:szCs w:val="21"/>
              </w:rPr>
              <w:t>/</w:t>
            </w:r>
          </w:p>
        </w:tc>
        <w:tc>
          <w:tcPr>
            <w:tcW w:w="1124" w:type="dxa"/>
            <w:vAlign w:val="center"/>
          </w:tcPr>
          <w:p w:rsidR="0086311D" w:rsidRPr="00F9522B" w:rsidRDefault="0086311D" w:rsidP="0093401E">
            <w:pPr>
              <w:widowControl/>
              <w:jc w:val="center"/>
              <w:textAlignment w:val="center"/>
              <w:rPr>
                <w:rFonts w:eastAsiaTheme="minorEastAsia"/>
                <w:color w:val="FF0000"/>
                <w:kern w:val="0"/>
                <w:szCs w:val="21"/>
              </w:rPr>
            </w:pPr>
            <w:r w:rsidRPr="00F9522B">
              <w:rPr>
                <w:rFonts w:eastAsiaTheme="minorEastAsia"/>
                <w:color w:val="FF0000"/>
                <w:kern w:val="0"/>
                <w:szCs w:val="21"/>
              </w:rPr>
              <w:t>14.39</w:t>
            </w:r>
          </w:p>
        </w:tc>
        <w:tc>
          <w:tcPr>
            <w:tcW w:w="568" w:type="dxa"/>
            <w:vAlign w:val="center"/>
          </w:tcPr>
          <w:p w:rsidR="0086311D" w:rsidRPr="00F9522B" w:rsidRDefault="0086311D" w:rsidP="0093401E">
            <w:pPr>
              <w:widowControl/>
              <w:jc w:val="center"/>
              <w:textAlignment w:val="center"/>
              <w:rPr>
                <w:rFonts w:eastAsiaTheme="minorEastAsia"/>
                <w:color w:val="FF0000"/>
                <w:kern w:val="0"/>
                <w:szCs w:val="21"/>
              </w:rPr>
            </w:pPr>
            <w:r w:rsidRPr="00F9522B">
              <w:rPr>
                <w:rFonts w:eastAsiaTheme="minorEastAsia"/>
                <w:color w:val="FF0000"/>
                <w:kern w:val="0"/>
                <w:szCs w:val="21"/>
              </w:rPr>
              <w:t>/</w:t>
            </w:r>
          </w:p>
        </w:tc>
      </w:tr>
      <w:tr w:rsidR="0086311D" w:rsidRPr="00F9522B" w:rsidTr="0093401E">
        <w:trPr>
          <w:gridAfter w:val="1"/>
          <w:wAfter w:w="33" w:type="dxa"/>
          <w:trHeight w:val="514"/>
          <w:jc w:val="center"/>
        </w:trPr>
        <w:tc>
          <w:tcPr>
            <w:tcW w:w="1552" w:type="dxa"/>
            <w:vAlign w:val="center"/>
          </w:tcPr>
          <w:p w:rsidR="0086311D" w:rsidRPr="00F9522B" w:rsidRDefault="0086311D" w:rsidP="0093401E">
            <w:pPr>
              <w:widowControl/>
              <w:jc w:val="center"/>
              <w:textAlignment w:val="center"/>
              <w:rPr>
                <w:rFonts w:eastAsiaTheme="minorEastAsia"/>
                <w:color w:val="FF0000"/>
                <w:kern w:val="0"/>
                <w:szCs w:val="21"/>
              </w:rPr>
            </w:pPr>
            <w:r w:rsidRPr="00F9522B">
              <w:rPr>
                <w:rFonts w:eastAsiaTheme="minorEastAsia"/>
                <w:color w:val="FF0000"/>
                <w:kern w:val="0"/>
                <w:szCs w:val="21"/>
              </w:rPr>
              <w:t>合计</w:t>
            </w:r>
          </w:p>
        </w:tc>
        <w:tc>
          <w:tcPr>
            <w:tcW w:w="1843" w:type="dxa"/>
            <w:gridSpan w:val="2"/>
            <w:vAlign w:val="center"/>
          </w:tcPr>
          <w:p w:rsidR="0086311D" w:rsidRPr="00F9522B" w:rsidRDefault="0086311D" w:rsidP="0093401E">
            <w:pPr>
              <w:widowControl/>
              <w:jc w:val="center"/>
              <w:textAlignment w:val="center"/>
              <w:rPr>
                <w:rFonts w:eastAsiaTheme="minorEastAsia"/>
                <w:color w:val="FF0000"/>
                <w:kern w:val="0"/>
                <w:szCs w:val="21"/>
              </w:rPr>
            </w:pPr>
            <w:r w:rsidRPr="00F9522B">
              <w:rPr>
                <w:rFonts w:eastAsiaTheme="minorEastAsia"/>
                <w:color w:val="FF0000"/>
                <w:kern w:val="0"/>
                <w:szCs w:val="21"/>
              </w:rPr>
              <w:t>122041.64</w:t>
            </w:r>
          </w:p>
        </w:tc>
        <w:tc>
          <w:tcPr>
            <w:tcW w:w="640" w:type="dxa"/>
            <w:vAlign w:val="center"/>
          </w:tcPr>
          <w:p w:rsidR="0086311D" w:rsidRPr="00F9522B" w:rsidRDefault="0086311D" w:rsidP="0093401E">
            <w:pPr>
              <w:widowControl/>
              <w:jc w:val="center"/>
              <w:textAlignment w:val="center"/>
              <w:rPr>
                <w:rFonts w:eastAsiaTheme="minorEastAsia"/>
                <w:color w:val="FF0000"/>
                <w:kern w:val="0"/>
                <w:szCs w:val="21"/>
              </w:rPr>
            </w:pPr>
            <w:r w:rsidRPr="00F9522B">
              <w:rPr>
                <w:rFonts w:eastAsiaTheme="minorEastAsia"/>
                <w:color w:val="FF0000"/>
                <w:kern w:val="0"/>
                <w:szCs w:val="21"/>
              </w:rPr>
              <w:t>/</w:t>
            </w:r>
          </w:p>
        </w:tc>
        <w:tc>
          <w:tcPr>
            <w:tcW w:w="642" w:type="dxa"/>
            <w:vAlign w:val="center"/>
          </w:tcPr>
          <w:p w:rsidR="0086311D" w:rsidRPr="00F9522B" w:rsidRDefault="0086311D" w:rsidP="0093401E">
            <w:pPr>
              <w:widowControl/>
              <w:jc w:val="center"/>
              <w:textAlignment w:val="center"/>
              <w:rPr>
                <w:rFonts w:eastAsiaTheme="minorEastAsia"/>
                <w:color w:val="FF0000"/>
                <w:kern w:val="0"/>
                <w:szCs w:val="21"/>
              </w:rPr>
            </w:pPr>
            <w:r w:rsidRPr="00F9522B">
              <w:rPr>
                <w:rFonts w:eastAsiaTheme="minorEastAsia"/>
                <w:color w:val="FF0000"/>
                <w:kern w:val="0"/>
                <w:szCs w:val="21"/>
              </w:rPr>
              <w:t>/</w:t>
            </w:r>
          </w:p>
        </w:tc>
        <w:tc>
          <w:tcPr>
            <w:tcW w:w="803" w:type="dxa"/>
            <w:vAlign w:val="center"/>
          </w:tcPr>
          <w:p w:rsidR="0086311D" w:rsidRPr="00F9522B" w:rsidRDefault="0086311D" w:rsidP="0093401E">
            <w:pPr>
              <w:widowControl/>
              <w:jc w:val="center"/>
              <w:textAlignment w:val="center"/>
              <w:rPr>
                <w:rFonts w:eastAsiaTheme="minorEastAsia"/>
                <w:color w:val="FF0000"/>
                <w:kern w:val="0"/>
                <w:szCs w:val="21"/>
              </w:rPr>
            </w:pPr>
            <w:r w:rsidRPr="00F9522B">
              <w:rPr>
                <w:rFonts w:eastAsiaTheme="minorEastAsia"/>
                <w:color w:val="FF0000"/>
                <w:kern w:val="0"/>
                <w:szCs w:val="21"/>
              </w:rPr>
              <w:t>/</w:t>
            </w:r>
          </w:p>
        </w:tc>
        <w:tc>
          <w:tcPr>
            <w:tcW w:w="803" w:type="dxa"/>
            <w:vAlign w:val="center"/>
          </w:tcPr>
          <w:p w:rsidR="0086311D" w:rsidRPr="00F9522B" w:rsidRDefault="0086311D" w:rsidP="0093401E">
            <w:pPr>
              <w:widowControl/>
              <w:jc w:val="center"/>
              <w:textAlignment w:val="center"/>
              <w:rPr>
                <w:rFonts w:eastAsiaTheme="minorEastAsia"/>
                <w:color w:val="FF0000"/>
                <w:kern w:val="0"/>
                <w:szCs w:val="21"/>
              </w:rPr>
            </w:pPr>
            <w:r w:rsidRPr="00F9522B">
              <w:rPr>
                <w:rFonts w:eastAsiaTheme="minorEastAsia"/>
                <w:color w:val="FF0000"/>
                <w:kern w:val="0"/>
                <w:szCs w:val="21"/>
              </w:rPr>
              <w:t>/</w:t>
            </w:r>
          </w:p>
        </w:tc>
        <w:tc>
          <w:tcPr>
            <w:tcW w:w="1692" w:type="dxa"/>
            <w:gridSpan w:val="2"/>
            <w:vAlign w:val="center"/>
          </w:tcPr>
          <w:p w:rsidR="0086311D" w:rsidRPr="00F9522B" w:rsidRDefault="0086311D" w:rsidP="0093401E">
            <w:pPr>
              <w:widowControl/>
              <w:jc w:val="center"/>
              <w:textAlignment w:val="center"/>
              <w:rPr>
                <w:rFonts w:eastAsiaTheme="minorEastAsia"/>
                <w:color w:val="FF0000"/>
                <w:kern w:val="0"/>
                <w:szCs w:val="21"/>
              </w:rPr>
            </w:pPr>
            <w:r w:rsidRPr="00F9522B">
              <w:rPr>
                <w:rFonts w:eastAsiaTheme="minorEastAsia"/>
                <w:color w:val="FF0000"/>
                <w:kern w:val="0"/>
                <w:szCs w:val="21"/>
              </w:rPr>
              <w:t>242.74</w:t>
            </w:r>
          </w:p>
        </w:tc>
      </w:tr>
    </w:tbl>
    <w:p w:rsidR="0086311D" w:rsidRPr="00F9522B" w:rsidRDefault="0086311D" w:rsidP="0086311D">
      <w:pPr>
        <w:spacing w:line="360" w:lineRule="auto"/>
        <w:ind w:firstLineChars="200" w:firstLine="480"/>
        <w:rPr>
          <w:rFonts w:eastAsiaTheme="minorEastAsia"/>
          <w:color w:val="FF0000"/>
          <w:kern w:val="0"/>
          <w:sz w:val="24"/>
          <w:szCs w:val="22"/>
        </w:rPr>
      </w:pPr>
      <w:r w:rsidRPr="00F9522B">
        <w:rPr>
          <w:rFonts w:eastAsiaTheme="minorEastAsia"/>
          <w:color w:val="FF0000"/>
          <w:sz w:val="24"/>
        </w:rPr>
        <w:lastRenderedPageBreak/>
        <w:t>项目实施后，</w:t>
      </w:r>
      <w:r w:rsidR="00B40846" w:rsidRPr="00F9522B">
        <w:rPr>
          <w:rFonts w:eastAsiaTheme="minorEastAsia"/>
          <w:color w:val="FF0000"/>
          <w:sz w:val="24"/>
        </w:rPr>
        <w:t>旱地</w:t>
      </w:r>
      <w:r w:rsidR="00B40846" w:rsidRPr="00F9522B">
        <w:rPr>
          <w:rFonts w:eastAsiaTheme="minorEastAsia"/>
          <w:color w:val="FF0000"/>
          <w:kern w:val="0"/>
          <w:sz w:val="24"/>
        </w:rPr>
        <w:t>灌溉面积</w:t>
      </w:r>
      <w:r w:rsidR="00B40846" w:rsidRPr="00F9522B">
        <w:rPr>
          <w:rFonts w:eastAsiaTheme="minorEastAsia"/>
          <w:color w:val="FF0000"/>
          <w:kern w:val="0"/>
          <w:sz w:val="24"/>
        </w:rPr>
        <w:t>122041.64</w:t>
      </w:r>
      <w:r w:rsidR="00B40846" w:rsidRPr="00F9522B">
        <w:rPr>
          <w:rFonts w:eastAsiaTheme="minorEastAsia"/>
          <w:color w:val="FF0000"/>
          <w:kern w:val="0"/>
          <w:sz w:val="24"/>
        </w:rPr>
        <w:t>亩，</w:t>
      </w:r>
      <w:r w:rsidRPr="00F9522B">
        <w:rPr>
          <w:rFonts w:eastAsiaTheme="minorEastAsia"/>
          <w:color w:val="FF0000"/>
          <w:sz w:val="24"/>
        </w:rPr>
        <w:t>地下水最大年取水量为</w:t>
      </w:r>
      <w:r w:rsidRPr="00F9522B">
        <w:rPr>
          <w:rFonts w:eastAsiaTheme="minorEastAsia"/>
          <w:color w:val="FF0000"/>
          <w:sz w:val="24"/>
        </w:rPr>
        <w:t>242.74</w:t>
      </w:r>
      <w:r w:rsidRPr="00F9522B">
        <w:rPr>
          <w:rFonts w:eastAsiaTheme="minorEastAsia"/>
          <w:color w:val="FF0000"/>
          <w:sz w:val="24"/>
        </w:rPr>
        <w:t>万</w:t>
      </w:r>
      <w:r w:rsidRPr="00F9522B">
        <w:rPr>
          <w:rFonts w:eastAsiaTheme="minorEastAsia"/>
          <w:color w:val="FF0000"/>
          <w:sz w:val="24"/>
        </w:rPr>
        <w:t>m</w:t>
      </w:r>
      <w:r w:rsidRPr="00F9522B">
        <w:rPr>
          <w:rFonts w:eastAsiaTheme="minorEastAsia"/>
          <w:color w:val="FF0000"/>
          <w:sz w:val="24"/>
          <w:vertAlign w:val="superscript"/>
        </w:rPr>
        <w:t>3</w:t>
      </w:r>
      <w:r w:rsidRPr="00F9522B">
        <w:rPr>
          <w:rFonts w:eastAsiaTheme="minorEastAsia"/>
          <w:color w:val="FF0000"/>
          <w:sz w:val="24"/>
        </w:rPr>
        <w:t>。本项目已取得《关于呼兰区</w:t>
      </w:r>
      <w:r w:rsidRPr="00F9522B">
        <w:rPr>
          <w:rFonts w:eastAsiaTheme="minorEastAsia"/>
          <w:color w:val="FF0000"/>
          <w:sz w:val="24"/>
        </w:rPr>
        <w:t>2026</w:t>
      </w:r>
      <w:r w:rsidRPr="00F9522B">
        <w:rPr>
          <w:rFonts w:eastAsiaTheme="minorEastAsia"/>
          <w:color w:val="FF0000"/>
          <w:sz w:val="24"/>
        </w:rPr>
        <w:t>年高标准农田建设项目取水许可申请的批复》（哈呼水发〔</w:t>
      </w:r>
      <w:r w:rsidRPr="00F9522B">
        <w:rPr>
          <w:rFonts w:eastAsiaTheme="minorEastAsia"/>
          <w:color w:val="FF0000"/>
          <w:sz w:val="24"/>
        </w:rPr>
        <w:t>2026</w:t>
      </w:r>
      <w:r w:rsidRPr="00F9522B">
        <w:rPr>
          <w:rFonts w:eastAsiaTheme="minorEastAsia"/>
          <w:color w:val="FF0000"/>
          <w:sz w:val="24"/>
        </w:rPr>
        <w:t>〕</w:t>
      </w:r>
      <w:r w:rsidRPr="00F9522B">
        <w:rPr>
          <w:rFonts w:eastAsiaTheme="minorEastAsia"/>
          <w:color w:val="FF0000"/>
          <w:sz w:val="24"/>
        </w:rPr>
        <w:t>1</w:t>
      </w:r>
      <w:r w:rsidRPr="00F9522B">
        <w:rPr>
          <w:rFonts w:eastAsiaTheme="minorEastAsia"/>
          <w:color w:val="FF0000"/>
          <w:sz w:val="24"/>
        </w:rPr>
        <w:t>号）。</w:t>
      </w:r>
    </w:p>
    <w:p w:rsidR="0086311D" w:rsidRPr="00F9522B" w:rsidRDefault="0086311D" w:rsidP="0086311D">
      <w:pPr>
        <w:autoSpaceDE w:val="0"/>
        <w:autoSpaceDN w:val="0"/>
        <w:spacing w:line="360" w:lineRule="auto"/>
        <w:ind w:firstLineChars="200" w:firstLine="480"/>
        <w:rPr>
          <w:rFonts w:eastAsiaTheme="minorEastAsia"/>
          <w:color w:val="FF0000"/>
          <w:sz w:val="24"/>
          <w:shd w:val="clear" w:color="auto" w:fill="FFFFFF"/>
        </w:rPr>
      </w:pPr>
      <w:r w:rsidRPr="00F9522B">
        <w:rPr>
          <w:rFonts w:eastAsiaTheme="minorEastAsia"/>
          <w:color w:val="FF0000"/>
          <w:sz w:val="24"/>
          <w:shd w:val="clear" w:color="auto" w:fill="FFFFFF"/>
        </w:rPr>
        <w:t>根据本项目地下水监测报告数据可知，项目区水质满足《农田灌溉水质标准》（</w:t>
      </w:r>
      <w:r w:rsidRPr="00F9522B">
        <w:rPr>
          <w:rFonts w:eastAsiaTheme="minorEastAsia"/>
          <w:color w:val="FF0000"/>
          <w:sz w:val="24"/>
          <w:shd w:val="clear" w:color="auto" w:fill="FFFFFF"/>
        </w:rPr>
        <w:t>GB5048-2021</w:t>
      </w:r>
      <w:r w:rsidRPr="00F9522B">
        <w:rPr>
          <w:rFonts w:eastAsiaTheme="minorEastAsia"/>
          <w:color w:val="FF0000"/>
          <w:sz w:val="24"/>
          <w:shd w:val="clear" w:color="auto" w:fill="FFFFFF"/>
        </w:rPr>
        <w:t>）中旱地作物及水田作物水质要求。</w:t>
      </w:r>
    </w:p>
    <w:p w:rsidR="0086311D" w:rsidRPr="00F9522B" w:rsidRDefault="0086311D" w:rsidP="0086311D">
      <w:pPr>
        <w:ind w:firstLineChars="200" w:firstLine="422"/>
        <w:jc w:val="center"/>
        <w:rPr>
          <w:rFonts w:eastAsiaTheme="minorEastAsia"/>
          <w:b/>
          <w:color w:val="FF0000"/>
          <w:kern w:val="0"/>
          <w:szCs w:val="21"/>
        </w:rPr>
      </w:pPr>
      <w:r w:rsidRPr="00F9522B">
        <w:rPr>
          <w:rFonts w:eastAsiaTheme="minorEastAsia"/>
          <w:b/>
          <w:color w:val="FF0000"/>
          <w:kern w:val="0"/>
          <w:szCs w:val="21"/>
        </w:rPr>
        <w:t>表</w:t>
      </w:r>
      <w:r w:rsidRPr="00F9522B">
        <w:rPr>
          <w:rFonts w:eastAsiaTheme="minorEastAsia"/>
          <w:b/>
          <w:color w:val="FF0000"/>
          <w:kern w:val="0"/>
          <w:szCs w:val="21"/>
        </w:rPr>
        <w:t>3-1-9</w:t>
      </w:r>
      <w:r w:rsidRPr="00F9522B">
        <w:rPr>
          <w:rFonts w:eastAsiaTheme="minorEastAsia"/>
          <w:b/>
          <w:color w:val="FF0000"/>
          <w:kern w:val="0"/>
          <w:szCs w:val="21"/>
        </w:rPr>
        <w:t>《农田灌溉水质标准》（</w:t>
      </w:r>
      <w:r w:rsidRPr="00F9522B">
        <w:rPr>
          <w:rFonts w:eastAsiaTheme="minorEastAsia"/>
          <w:b/>
          <w:color w:val="FF0000"/>
          <w:kern w:val="0"/>
          <w:szCs w:val="21"/>
        </w:rPr>
        <w:t>GB5084-2021</w:t>
      </w:r>
      <w:r w:rsidRPr="00F9522B">
        <w:rPr>
          <w:rFonts w:eastAsiaTheme="minorEastAsia"/>
          <w:b/>
          <w:color w:val="FF0000"/>
          <w:kern w:val="0"/>
          <w:szCs w:val="21"/>
        </w:rPr>
        <w:t>）</w:t>
      </w:r>
    </w:p>
    <w:tbl>
      <w:tblPr>
        <w:tblStyle w:val="afc"/>
        <w:tblW w:w="8206" w:type="dxa"/>
        <w:jc w:val="center"/>
        <w:tblBorders>
          <w:top w:val="single" w:sz="12" w:space="0" w:color="auto"/>
          <w:left w:val="none" w:sz="0" w:space="0" w:color="auto"/>
          <w:bottom w:val="single" w:sz="12" w:space="0" w:color="auto"/>
          <w:right w:val="none" w:sz="0" w:space="0" w:color="auto"/>
        </w:tblBorders>
        <w:tblLook w:val="04A0"/>
      </w:tblPr>
      <w:tblGrid>
        <w:gridCol w:w="959"/>
        <w:gridCol w:w="3402"/>
        <w:gridCol w:w="1922"/>
        <w:gridCol w:w="1923"/>
      </w:tblGrid>
      <w:tr w:rsidR="0086311D" w:rsidRPr="00F9522B" w:rsidTr="0086311D">
        <w:trPr>
          <w:trHeight w:val="265"/>
          <w:jc w:val="center"/>
        </w:trPr>
        <w:tc>
          <w:tcPr>
            <w:tcW w:w="959" w:type="dxa"/>
            <w:vAlign w:val="center"/>
          </w:tcPr>
          <w:p w:rsidR="0086311D" w:rsidRPr="00F9522B" w:rsidRDefault="0086311D" w:rsidP="0093401E">
            <w:pPr>
              <w:spacing w:line="0" w:lineRule="atLeast"/>
              <w:jc w:val="center"/>
              <w:rPr>
                <w:rFonts w:eastAsiaTheme="minorEastAsia"/>
                <w:color w:val="FF0000"/>
                <w:kern w:val="0"/>
                <w:szCs w:val="21"/>
              </w:rPr>
            </w:pPr>
            <w:r w:rsidRPr="00F9522B">
              <w:rPr>
                <w:rFonts w:eastAsiaTheme="minorEastAsia"/>
                <w:color w:val="FF0000"/>
                <w:kern w:val="0"/>
                <w:szCs w:val="21"/>
              </w:rPr>
              <w:t>序号</w:t>
            </w:r>
          </w:p>
        </w:tc>
        <w:tc>
          <w:tcPr>
            <w:tcW w:w="3402" w:type="dxa"/>
            <w:vAlign w:val="center"/>
          </w:tcPr>
          <w:p w:rsidR="0086311D" w:rsidRPr="00F9522B" w:rsidRDefault="0086311D" w:rsidP="0093401E">
            <w:pPr>
              <w:spacing w:line="0" w:lineRule="atLeast"/>
              <w:jc w:val="center"/>
              <w:rPr>
                <w:rFonts w:eastAsiaTheme="minorEastAsia"/>
                <w:color w:val="FF0000"/>
                <w:kern w:val="0"/>
                <w:szCs w:val="21"/>
              </w:rPr>
            </w:pPr>
            <w:r w:rsidRPr="00F9522B">
              <w:rPr>
                <w:rFonts w:eastAsiaTheme="minorEastAsia"/>
                <w:color w:val="FF0000"/>
                <w:kern w:val="0"/>
                <w:szCs w:val="21"/>
              </w:rPr>
              <w:t>项目类别</w:t>
            </w:r>
          </w:p>
        </w:tc>
        <w:tc>
          <w:tcPr>
            <w:tcW w:w="1922" w:type="dxa"/>
            <w:vAlign w:val="center"/>
          </w:tcPr>
          <w:p w:rsidR="0086311D" w:rsidRPr="00F9522B" w:rsidRDefault="0086311D" w:rsidP="0093401E">
            <w:pPr>
              <w:spacing w:line="0" w:lineRule="atLeast"/>
              <w:jc w:val="center"/>
              <w:rPr>
                <w:rFonts w:eastAsiaTheme="minorEastAsia"/>
                <w:color w:val="FF0000"/>
                <w:kern w:val="0"/>
                <w:szCs w:val="21"/>
              </w:rPr>
            </w:pPr>
            <w:r w:rsidRPr="00F9522B">
              <w:rPr>
                <w:rFonts w:eastAsiaTheme="minorEastAsia"/>
                <w:color w:val="FF0000"/>
                <w:kern w:val="0"/>
                <w:szCs w:val="21"/>
              </w:rPr>
              <w:t>旱地作物</w:t>
            </w:r>
          </w:p>
        </w:tc>
        <w:tc>
          <w:tcPr>
            <w:tcW w:w="1923" w:type="dxa"/>
            <w:vAlign w:val="center"/>
          </w:tcPr>
          <w:p w:rsidR="0086311D" w:rsidRPr="00F9522B" w:rsidRDefault="0086311D" w:rsidP="0093401E">
            <w:pPr>
              <w:spacing w:line="0" w:lineRule="atLeast"/>
              <w:jc w:val="center"/>
              <w:rPr>
                <w:rFonts w:eastAsiaTheme="minorEastAsia"/>
                <w:color w:val="FF0000"/>
                <w:kern w:val="0"/>
                <w:szCs w:val="21"/>
              </w:rPr>
            </w:pPr>
            <w:r w:rsidRPr="00F9522B">
              <w:rPr>
                <w:rFonts w:eastAsiaTheme="minorEastAsia"/>
                <w:color w:val="FF0000"/>
                <w:kern w:val="0"/>
                <w:szCs w:val="21"/>
              </w:rPr>
              <w:t>水田作物</w:t>
            </w:r>
          </w:p>
        </w:tc>
      </w:tr>
      <w:tr w:rsidR="0086311D" w:rsidRPr="00F9522B" w:rsidTr="0086311D">
        <w:trPr>
          <w:trHeight w:val="265"/>
          <w:jc w:val="center"/>
        </w:trPr>
        <w:tc>
          <w:tcPr>
            <w:tcW w:w="959" w:type="dxa"/>
            <w:vAlign w:val="center"/>
          </w:tcPr>
          <w:p w:rsidR="0086311D" w:rsidRPr="00F9522B" w:rsidRDefault="0086311D" w:rsidP="0093401E">
            <w:pPr>
              <w:spacing w:line="0" w:lineRule="atLeast"/>
              <w:jc w:val="center"/>
              <w:rPr>
                <w:rFonts w:eastAsiaTheme="minorEastAsia"/>
                <w:color w:val="FF0000"/>
                <w:kern w:val="0"/>
                <w:szCs w:val="21"/>
              </w:rPr>
            </w:pPr>
            <w:r w:rsidRPr="00F9522B">
              <w:rPr>
                <w:rFonts w:eastAsiaTheme="minorEastAsia"/>
                <w:color w:val="FF0000"/>
                <w:kern w:val="0"/>
                <w:szCs w:val="21"/>
              </w:rPr>
              <w:t>1</w:t>
            </w:r>
          </w:p>
        </w:tc>
        <w:tc>
          <w:tcPr>
            <w:tcW w:w="3402" w:type="dxa"/>
            <w:vAlign w:val="center"/>
          </w:tcPr>
          <w:p w:rsidR="0086311D" w:rsidRPr="00F9522B" w:rsidRDefault="0086311D" w:rsidP="0093401E">
            <w:pPr>
              <w:spacing w:line="0" w:lineRule="atLeast"/>
              <w:jc w:val="center"/>
              <w:rPr>
                <w:rFonts w:eastAsiaTheme="minorEastAsia"/>
                <w:color w:val="FF0000"/>
                <w:kern w:val="0"/>
                <w:szCs w:val="21"/>
              </w:rPr>
            </w:pPr>
            <w:r w:rsidRPr="00F9522B">
              <w:rPr>
                <w:rFonts w:eastAsiaTheme="minorEastAsia"/>
                <w:color w:val="FF0000"/>
                <w:kern w:val="0"/>
                <w:szCs w:val="21"/>
              </w:rPr>
              <w:t>pH</w:t>
            </w:r>
            <w:r w:rsidRPr="00F9522B">
              <w:rPr>
                <w:rFonts w:eastAsiaTheme="minorEastAsia"/>
                <w:color w:val="FF0000"/>
                <w:kern w:val="0"/>
                <w:szCs w:val="21"/>
              </w:rPr>
              <w:t>值</w:t>
            </w:r>
          </w:p>
        </w:tc>
        <w:tc>
          <w:tcPr>
            <w:tcW w:w="3845" w:type="dxa"/>
            <w:gridSpan w:val="2"/>
            <w:vAlign w:val="center"/>
          </w:tcPr>
          <w:p w:rsidR="0086311D" w:rsidRPr="00F9522B" w:rsidRDefault="0086311D" w:rsidP="0093401E">
            <w:pPr>
              <w:spacing w:line="0" w:lineRule="atLeast"/>
              <w:jc w:val="center"/>
              <w:rPr>
                <w:rFonts w:eastAsiaTheme="minorEastAsia"/>
                <w:color w:val="FF0000"/>
                <w:kern w:val="0"/>
                <w:szCs w:val="21"/>
              </w:rPr>
            </w:pPr>
            <w:r w:rsidRPr="00F9522B">
              <w:rPr>
                <w:rFonts w:eastAsiaTheme="minorEastAsia"/>
                <w:color w:val="FF0000"/>
                <w:kern w:val="0"/>
                <w:szCs w:val="21"/>
              </w:rPr>
              <w:t>5.5~8.5</w:t>
            </w:r>
          </w:p>
        </w:tc>
      </w:tr>
      <w:tr w:rsidR="0086311D" w:rsidRPr="00F9522B" w:rsidTr="0086311D">
        <w:trPr>
          <w:trHeight w:val="265"/>
          <w:jc w:val="center"/>
        </w:trPr>
        <w:tc>
          <w:tcPr>
            <w:tcW w:w="959" w:type="dxa"/>
            <w:vAlign w:val="center"/>
          </w:tcPr>
          <w:p w:rsidR="0086311D" w:rsidRPr="00F9522B" w:rsidRDefault="0086311D" w:rsidP="0093401E">
            <w:pPr>
              <w:spacing w:line="0" w:lineRule="atLeast"/>
              <w:jc w:val="center"/>
              <w:rPr>
                <w:rFonts w:eastAsiaTheme="minorEastAsia"/>
                <w:color w:val="FF0000"/>
                <w:kern w:val="0"/>
                <w:szCs w:val="21"/>
              </w:rPr>
            </w:pPr>
            <w:r w:rsidRPr="00F9522B">
              <w:rPr>
                <w:rFonts w:eastAsiaTheme="minorEastAsia"/>
                <w:color w:val="FF0000"/>
                <w:kern w:val="0"/>
                <w:szCs w:val="21"/>
              </w:rPr>
              <w:t>2</w:t>
            </w:r>
          </w:p>
        </w:tc>
        <w:tc>
          <w:tcPr>
            <w:tcW w:w="3402" w:type="dxa"/>
            <w:vAlign w:val="center"/>
          </w:tcPr>
          <w:p w:rsidR="0086311D" w:rsidRPr="00F9522B" w:rsidRDefault="0086311D" w:rsidP="0093401E">
            <w:pPr>
              <w:spacing w:line="0" w:lineRule="atLeast"/>
              <w:jc w:val="center"/>
              <w:rPr>
                <w:rFonts w:eastAsiaTheme="minorEastAsia"/>
                <w:color w:val="FF0000"/>
                <w:kern w:val="0"/>
                <w:szCs w:val="21"/>
              </w:rPr>
            </w:pPr>
            <w:r w:rsidRPr="00F9522B">
              <w:rPr>
                <w:rFonts w:eastAsiaTheme="minorEastAsia"/>
                <w:color w:val="FF0000"/>
                <w:kern w:val="0"/>
                <w:szCs w:val="21"/>
              </w:rPr>
              <w:t>五日生化需氧量</w:t>
            </w:r>
            <w:r w:rsidRPr="00F9522B">
              <w:rPr>
                <w:rFonts w:eastAsiaTheme="minorEastAsia"/>
                <w:color w:val="FF0000"/>
                <w:kern w:val="0"/>
                <w:szCs w:val="21"/>
              </w:rPr>
              <w:t>≤</w:t>
            </w:r>
          </w:p>
        </w:tc>
        <w:tc>
          <w:tcPr>
            <w:tcW w:w="1922" w:type="dxa"/>
            <w:vAlign w:val="center"/>
          </w:tcPr>
          <w:p w:rsidR="0086311D" w:rsidRPr="00F9522B" w:rsidRDefault="0086311D" w:rsidP="0093401E">
            <w:pPr>
              <w:spacing w:line="0" w:lineRule="atLeast"/>
              <w:jc w:val="center"/>
              <w:rPr>
                <w:rFonts w:eastAsiaTheme="minorEastAsia"/>
                <w:color w:val="FF0000"/>
                <w:kern w:val="0"/>
                <w:szCs w:val="21"/>
              </w:rPr>
            </w:pPr>
            <w:r w:rsidRPr="00F9522B">
              <w:rPr>
                <w:rFonts w:eastAsiaTheme="minorEastAsia"/>
                <w:color w:val="FF0000"/>
                <w:kern w:val="0"/>
                <w:szCs w:val="21"/>
              </w:rPr>
              <w:t>100</w:t>
            </w:r>
          </w:p>
        </w:tc>
        <w:tc>
          <w:tcPr>
            <w:tcW w:w="1923" w:type="dxa"/>
            <w:vAlign w:val="center"/>
          </w:tcPr>
          <w:p w:rsidR="0086311D" w:rsidRPr="00F9522B" w:rsidRDefault="0086311D" w:rsidP="0093401E">
            <w:pPr>
              <w:spacing w:line="0" w:lineRule="atLeast"/>
              <w:jc w:val="center"/>
              <w:rPr>
                <w:rFonts w:eastAsiaTheme="minorEastAsia"/>
                <w:color w:val="FF0000"/>
                <w:kern w:val="0"/>
                <w:szCs w:val="21"/>
              </w:rPr>
            </w:pPr>
            <w:r w:rsidRPr="00F9522B">
              <w:rPr>
                <w:rFonts w:eastAsiaTheme="minorEastAsia"/>
                <w:color w:val="FF0000"/>
                <w:kern w:val="0"/>
                <w:szCs w:val="21"/>
              </w:rPr>
              <w:t>60</w:t>
            </w:r>
          </w:p>
        </w:tc>
      </w:tr>
      <w:tr w:rsidR="0086311D" w:rsidRPr="00F9522B" w:rsidTr="0086311D">
        <w:trPr>
          <w:trHeight w:val="265"/>
          <w:jc w:val="center"/>
        </w:trPr>
        <w:tc>
          <w:tcPr>
            <w:tcW w:w="959" w:type="dxa"/>
            <w:vAlign w:val="center"/>
          </w:tcPr>
          <w:p w:rsidR="0086311D" w:rsidRPr="00F9522B" w:rsidRDefault="0086311D" w:rsidP="0093401E">
            <w:pPr>
              <w:spacing w:line="0" w:lineRule="atLeast"/>
              <w:jc w:val="center"/>
              <w:rPr>
                <w:rFonts w:eastAsiaTheme="minorEastAsia"/>
                <w:color w:val="FF0000"/>
                <w:kern w:val="0"/>
                <w:szCs w:val="21"/>
              </w:rPr>
            </w:pPr>
            <w:r w:rsidRPr="00F9522B">
              <w:rPr>
                <w:rFonts w:eastAsiaTheme="minorEastAsia"/>
                <w:color w:val="FF0000"/>
                <w:kern w:val="0"/>
                <w:szCs w:val="21"/>
              </w:rPr>
              <w:t>3</w:t>
            </w:r>
          </w:p>
        </w:tc>
        <w:tc>
          <w:tcPr>
            <w:tcW w:w="3402" w:type="dxa"/>
            <w:vAlign w:val="center"/>
          </w:tcPr>
          <w:p w:rsidR="0086311D" w:rsidRPr="00F9522B" w:rsidRDefault="0086311D" w:rsidP="0093401E">
            <w:pPr>
              <w:spacing w:line="0" w:lineRule="atLeast"/>
              <w:jc w:val="center"/>
              <w:rPr>
                <w:rFonts w:eastAsiaTheme="minorEastAsia"/>
                <w:color w:val="FF0000"/>
                <w:kern w:val="0"/>
                <w:szCs w:val="21"/>
              </w:rPr>
            </w:pPr>
            <w:r w:rsidRPr="00F9522B">
              <w:rPr>
                <w:rFonts w:eastAsiaTheme="minorEastAsia"/>
                <w:color w:val="FF0000"/>
                <w:kern w:val="0"/>
                <w:szCs w:val="21"/>
              </w:rPr>
              <w:t>氯化物</w:t>
            </w:r>
            <w:r w:rsidRPr="00F9522B">
              <w:rPr>
                <w:rFonts w:eastAsiaTheme="minorEastAsia"/>
                <w:color w:val="FF0000"/>
                <w:kern w:val="0"/>
                <w:szCs w:val="21"/>
              </w:rPr>
              <w:t>/</w:t>
            </w:r>
            <w:r w:rsidRPr="00F9522B">
              <w:rPr>
                <w:rFonts w:eastAsiaTheme="minorEastAsia"/>
                <w:color w:val="FF0000"/>
                <w:kern w:val="0"/>
                <w:szCs w:val="21"/>
              </w:rPr>
              <w:t>（</w:t>
            </w:r>
            <w:r w:rsidRPr="00F9522B">
              <w:rPr>
                <w:rFonts w:eastAsiaTheme="minorEastAsia"/>
                <w:color w:val="FF0000"/>
                <w:kern w:val="0"/>
                <w:szCs w:val="21"/>
              </w:rPr>
              <w:t>mg/L</w:t>
            </w:r>
            <w:r w:rsidRPr="00F9522B">
              <w:rPr>
                <w:rFonts w:eastAsiaTheme="minorEastAsia"/>
                <w:color w:val="FF0000"/>
                <w:kern w:val="0"/>
                <w:szCs w:val="21"/>
              </w:rPr>
              <w:t>）</w:t>
            </w:r>
            <w:r w:rsidRPr="00F9522B">
              <w:rPr>
                <w:rFonts w:eastAsiaTheme="minorEastAsia"/>
                <w:color w:val="FF0000"/>
                <w:kern w:val="0"/>
                <w:szCs w:val="21"/>
              </w:rPr>
              <w:t>≤</w:t>
            </w:r>
          </w:p>
        </w:tc>
        <w:tc>
          <w:tcPr>
            <w:tcW w:w="3845" w:type="dxa"/>
            <w:gridSpan w:val="2"/>
            <w:vAlign w:val="center"/>
          </w:tcPr>
          <w:p w:rsidR="0086311D" w:rsidRPr="00F9522B" w:rsidRDefault="0086311D" w:rsidP="0093401E">
            <w:pPr>
              <w:spacing w:line="0" w:lineRule="atLeast"/>
              <w:jc w:val="center"/>
              <w:rPr>
                <w:rFonts w:eastAsiaTheme="minorEastAsia"/>
                <w:color w:val="FF0000"/>
                <w:kern w:val="0"/>
                <w:szCs w:val="21"/>
              </w:rPr>
            </w:pPr>
            <w:r w:rsidRPr="00F9522B">
              <w:rPr>
                <w:rFonts w:eastAsiaTheme="minorEastAsia"/>
                <w:color w:val="FF0000"/>
                <w:kern w:val="0"/>
                <w:szCs w:val="21"/>
              </w:rPr>
              <w:t>350</w:t>
            </w:r>
          </w:p>
        </w:tc>
      </w:tr>
      <w:tr w:rsidR="0086311D" w:rsidRPr="00F9522B" w:rsidTr="0086311D">
        <w:trPr>
          <w:trHeight w:val="259"/>
          <w:jc w:val="center"/>
        </w:trPr>
        <w:tc>
          <w:tcPr>
            <w:tcW w:w="959" w:type="dxa"/>
            <w:vAlign w:val="center"/>
          </w:tcPr>
          <w:p w:rsidR="0086311D" w:rsidRPr="00F9522B" w:rsidRDefault="0086311D" w:rsidP="0093401E">
            <w:pPr>
              <w:spacing w:line="0" w:lineRule="atLeast"/>
              <w:jc w:val="center"/>
              <w:rPr>
                <w:rFonts w:eastAsiaTheme="minorEastAsia"/>
                <w:color w:val="FF0000"/>
                <w:kern w:val="0"/>
                <w:szCs w:val="21"/>
              </w:rPr>
            </w:pPr>
            <w:r w:rsidRPr="00F9522B">
              <w:rPr>
                <w:rFonts w:eastAsiaTheme="minorEastAsia"/>
                <w:color w:val="FF0000"/>
                <w:kern w:val="0"/>
                <w:szCs w:val="21"/>
              </w:rPr>
              <w:t>4</w:t>
            </w:r>
          </w:p>
        </w:tc>
        <w:tc>
          <w:tcPr>
            <w:tcW w:w="3402" w:type="dxa"/>
            <w:vAlign w:val="center"/>
          </w:tcPr>
          <w:p w:rsidR="0086311D" w:rsidRPr="00F9522B" w:rsidRDefault="0086311D" w:rsidP="0093401E">
            <w:pPr>
              <w:spacing w:line="0" w:lineRule="atLeast"/>
              <w:jc w:val="center"/>
              <w:rPr>
                <w:rFonts w:eastAsiaTheme="minorEastAsia"/>
                <w:color w:val="FF0000"/>
                <w:kern w:val="0"/>
                <w:szCs w:val="21"/>
              </w:rPr>
            </w:pPr>
            <w:r w:rsidRPr="00F9522B">
              <w:rPr>
                <w:rFonts w:eastAsiaTheme="minorEastAsia"/>
                <w:color w:val="FF0000"/>
                <w:kern w:val="0"/>
                <w:szCs w:val="21"/>
              </w:rPr>
              <w:t>总铅</w:t>
            </w:r>
            <w:r w:rsidRPr="00F9522B">
              <w:rPr>
                <w:rFonts w:eastAsiaTheme="minorEastAsia"/>
                <w:color w:val="FF0000"/>
                <w:kern w:val="0"/>
                <w:szCs w:val="21"/>
              </w:rPr>
              <w:t>/</w:t>
            </w:r>
            <w:r w:rsidRPr="00F9522B">
              <w:rPr>
                <w:rFonts w:eastAsiaTheme="minorEastAsia"/>
                <w:color w:val="FF0000"/>
                <w:kern w:val="0"/>
                <w:szCs w:val="21"/>
              </w:rPr>
              <w:t>（</w:t>
            </w:r>
            <w:r w:rsidRPr="00F9522B">
              <w:rPr>
                <w:rFonts w:eastAsiaTheme="minorEastAsia"/>
                <w:color w:val="FF0000"/>
                <w:kern w:val="0"/>
                <w:szCs w:val="21"/>
              </w:rPr>
              <w:t>mg/L</w:t>
            </w:r>
            <w:r w:rsidRPr="00F9522B">
              <w:rPr>
                <w:rFonts w:eastAsiaTheme="minorEastAsia"/>
                <w:color w:val="FF0000"/>
                <w:kern w:val="0"/>
                <w:szCs w:val="21"/>
              </w:rPr>
              <w:t>）</w:t>
            </w:r>
            <w:r w:rsidRPr="00F9522B">
              <w:rPr>
                <w:rFonts w:eastAsiaTheme="minorEastAsia"/>
                <w:color w:val="FF0000"/>
                <w:kern w:val="0"/>
                <w:szCs w:val="21"/>
              </w:rPr>
              <w:t>≤</w:t>
            </w:r>
          </w:p>
        </w:tc>
        <w:tc>
          <w:tcPr>
            <w:tcW w:w="3845" w:type="dxa"/>
            <w:gridSpan w:val="2"/>
            <w:vAlign w:val="center"/>
          </w:tcPr>
          <w:p w:rsidR="0086311D" w:rsidRPr="00F9522B" w:rsidRDefault="0086311D" w:rsidP="0093401E">
            <w:pPr>
              <w:spacing w:line="0" w:lineRule="atLeast"/>
              <w:jc w:val="center"/>
              <w:rPr>
                <w:rFonts w:eastAsiaTheme="minorEastAsia"/>
                <w:color w:val="FF0000"/>
                <w:kern w:val="0"/>
                <w:szCs w:val="21"/>
              </w:rPr>
            </w:pPr>
            <w:r w:rsidRPr="00F9522B">
              <w:rPr>
                <w:rFonts w:eastAsiaTheme="minorEastAsia"/>
                <w:color w:val="FF0000"/>
                <w:kern w:val="0"/>
                <w:szCs w:val="21"/>
              </w:rPr>
              <w:t>0.2</w:t>
            </w:r>
          </w:p>
        </w:tc>
      </w:tr>
      <w:tr w:rsidR="0086311D" w:rsidRPr="00F9522B" w:rsidTr="0086311D">
        <w:trPr>
          <w:trHeight w:val="265"/>
          <w:jc w:val="center"/>
        </w:trPr>
        <w:tc>
          <w:tcPr>
            <w:tcW w:w="959" w:type="dxa"/>
            <w:vAlign w:val="center"/>
          </w:tcPr>
          <w:p w:rsidR="0086311D" w:rsidRPr="00F9522B" w:rsidRDefault="0086311D" w:rsidP="0093401E">
            <w:pPr>
              <w:spacing w:line="0" w:lineRule="atLeast"/>
              <w:jc w:val="center"/>
              <w:rPr>
                <w:rFonts w:eastAsiaTheme="minorEastAsia"/>
                <w:color w:val="FF0000"/>
                <w:kern w:val="0"/>
                <w:szCs w:val="21"/>
              </w:rPr>
            </w:pPr>
            <w:r w:rsidRPr="00F9522B">
              <w:rPr>
                <w:rFonts w:eastAsiaTheme="minorEastAsia"/>
                <w:color w:val="FF0000"/>
                <w:kern w:val="0"/>
                <w:szCs w:val="21"/>
              </w:rPr>
              <w:t>5</w:t>
            </w:r>
          </w:p>
        </w:tc>
        <w:tc>
          <w:tcPr>
            <w:tcW w:w="3402" w:type="dxa"/>
            <w:vAlign w:val="center"/>
          </w:tcPr>
          <w:p w:rsidR="0086311D" w:rsidRPr="00F9522B" w:rsidRDefault="0086311D" w:rsidP="0093401E">
            <w:pPr>
              <w:spacing w:line="0" w:lineRule="atLeast"/>
              <w:jc w:val="center"/>
              <w:rPr>
                <w:rFonts w:eastAsiaTheme="minorEastAsia"/>
                <w:color w:val="FF0000"/>
                <w:kern w:val="0"/>
                <w:szCs w:val="21"/>
              </w:rPr>
            </w:pPr>
            <w:r w:rsidRPr="00F9522B">
              <w:rPr>
                <w:rFonts w:eastAsiaTheme="minorEastAsia"/>
                <w:color w:val="FF0000"/>
                <w:kern w:val="0"/>
                <w:szCs w:val="21"/>
              </w:rPr>
              <w:t>总镉</w:t>
            </w:r>
            <w:r w:rsidRPr="00F9522B">
              <w:rPr>
                <w:rFonts w:eastAsiaTheme="minorEastAsia"/>
                <w:color w:val="FF0000"/>
                <w:kern w:val="0"/>
                <w:szCs w:val="21"/>
              </w:rPr>
              <w:t>/</w:t>
            </w:r>
            <w:r w:rsidRPr="00F9522B">
              <w:rPr>
                <w:rFonts w:eastAsiaTheme="minorEastAsia"/>
                <w:color w:val="FF0000"/>
                <w:kern w:val="0"/>
                <w:szCs w:val="21"/>
              </w:rPr>
              <w:t>（</w:t>
            </w:r>
            <w:r w:rsidRPr="00F9522B">
              <w:rPr>
                <w:rFonts w:eastAsiaTheme="minorEastAsia"/>
                <w:color w:val="FF0000"/>
                <w:kern w:val="0"/>
                <w:szCs w:val="21"/>
              </w:rPr>
              <w:t>mg/L</w:t>
            </w:r>
            <w:r w:rsidRPr="00F9522B">
              <w:rPr>
                <w:rFonts w:eastAsiaTheme="minorEastAsia"/>
                <w:color w:val="FF0000"/>
                <w:kern w:val="0"/>
                <w:szCs w:val="21"/>
              </w:rPr>
              <w:t>）</w:t>
            </w:r>
            <w:r w:rsidRPr="00F9522B">
              <w:rPr>
                <w:rFonts w:eastAsiaTheme="minorEastAsia"/>
                <w:color w:val="FF0000"/>
                <w:kern w:val="0"/>
                <w:szCs w:val="21"/>
              </w:rPr>
              <w:t>≤</w:t>
            </w:r>
          </w:p>
        </w:tc>
        <w:tc>
          <w:tcPr>
            <w:tcW w:w="3845" w:type="dxa"/>
            <w:gridSpan w:val="2"/>
            <w:vAlign w:val="center"/>
          </w:tcPr>
          <w:p w:rsidR="0086311D" w:rsidRPr="00F9522B" w:rsidRDefault="0086311D" w:rsidP="0093401E">
            <w:pPr>
              <w:spacing w:line="0" w:lineRule="atLeast"/>
              <w:jc w:val="center"/>
              <w:rPr>
                <w:rFonts w:eastAsiaTheme="minorEastAsia"/>
                <w:color w:val="FF0000"/>
                <w:kern w:val="0"/>
                <w:szCs w:val="21"/>
              </w:rPr>
            </w:pPr>
            <w:r w:rsidRPr="00F9522B">
              <w:rPr>
                <w:rFonts w:eastAsiaTheme="minorEastAsia"/>
                <w:color w:val="FF0000"/>
                <w:kern w:val="0"/>
                <w:szCs w:val="21"/>
              </w:rPr>
              <w:t>0.01</w:t>
            </w:r>
          </w:p>
        </w:tc>
      </w:tr>
      <w:tr w:rsidR="0086311D" w:rsidRPr="00F9522B" w:rsidTr="0086311D">
        <w:trPr>
          <w:trHeight w:val="265"/>
          <w:jc w:val="center"/>
        </w:trPr>
        <w:tc>
          <w:tcPr>
            <w:tcW w:w="959" w:type="dxa"/>
            <w:vAlign w:val="center"/>
          </w:tcPr>
          <w:p w:rsidR="0086311D" w:rsidRPr="00F9522B" w:rsidRDefault="0086311D" w:rsidP="0093401E">
            <w:pPr>
              <w:spacing w:line="0" w:lineRule="atLeast"/>
              <w:jc w:val="center"/>
              <w:rPr>
                <w:rFonts w:eastAsiaTheme="minorEastAsia"/>
                <w:color w:val="FF0000"/>
                <w:kern w:val="0"/>
                <w:szCs w:val="21"/>
              </w:rPr>
            </w:pPr>
            <w:r w:rsidRPr="00F9522B">
              <w:rPr>
                <w:rFonts w:eastAsiaTheme="minorEastAsia"/>
                <w:color w:val="FF0000"/>
                <w:kern w:val="0"/>
                <w:szCs w:val="21"/>
              </w:rPr>
              <w:t>6</w:t>
            </w:r>
          </w:p>
        </w:tc>
        <w:tc>
          <w:tcPr>
            <w:tcW w:w="3402" w:type="dxa"/>
            <w:vAlign w:val="center"/>
          </w:tcPr>
          <w:p w:rsidR="0086311D" w:rsidRPr="00F9522B" w:rsidRDefault="0086311D" w:rsidP="0093401E">
            <w:pPr>
              <w:spacing w:line="0" w:lineRule="atLeast"/>
              <w:jc w:val="center"/>
              <w:rPr>
                <w:rFonts w:eastAsiaTheme="minorEastAsia"/>
                <w:color w:val="FF0000"/>
                <w:kern w:val="0"/>
                <w:szCs w:val="21"/>
              </w:rPr>
            </w:pPr>
            <w:r w:rsidRPr="00F9522B">
              <w:rPr>
                <w:rFonts w:eastAsiaTheme="minorEastAsia"/>
                <w:color w:val="FF0000"/>
                <w:kern w:val="0"/>
                <w:szCs w:val="21"/>
              </w:rPr>
              <w:t>铬</w:t>
            </w:r>
            <w:r w:rsidRPr="00F9522B">
              <w:rPr>
                <w:rFonts w:eastAsiaTheme="minorEastAsia"/>
                <w:color w:val="FF0000"/>
                <w:kern w:val="0"/>
                <w:szCs w:val="21"/>
              </w:rPr>
              <w:t>(</w:t>
            </w:r>
            <w:r w:rsidRPr="00F9522B">
              <w:rPr>
                <w:rFonts w:eastAsiaTheme="minorEastAsia"/>
                <w:color w:val="FF0000"/>
                <w:kern w:val="0"/>
                <w:szCs w:val="21"/>
              </w:rPr>
              <w:t>六价</w:t>
            </w:r>
            <w:r w:rsidRPr="00F9522B">
              <w:rPr>
                <w:rFonts w:eastAsiaTheme="minorEastAsia"/>
                <w:color w:val="FF0000"/>
                <w:kern w:val="0"/>
                <w:szCs w:val="21"/>
              </w:rPr>
              <w:t>)/</w:t>
            </w:r>
            <w:r w:rsidRPr="00F9522B">
              <w:rPr>
                <w:rFonts w:eastAsiaTheme="minorEastAsia"/>
                <w:color w:val="FF0000"/>
                <w:kern w:val="0"/>
                <w:szCs w:val="21"/>
              </w:rPr>
              <w:t>（</w:t>
            </w:r>
            <w:r w:rsidRPr="00F9522B">
              <w:rPr>
                <w:rFonts w:eastAsiaTheme="minorEastAsia"/>
                <w:color w:val="FF0000"/>
                <w:kern w:val="0"/>
                <w:szCs w:val="21"/>
              </w:rPr>
              <w:t>mg/L</w:t>
            </w:r>
            <w:r w:rsidRPr="00F9522B">
              <w:rPr>
                <w:rFonts w:eastAsiaTheme="minorEastAsia"/>
                <w:color w:val="FF0000"/>
                <w:kern w:val="0"/>
                <w:szCs w:val="21"/>
              </w:rPr>
              <w:t>）</w:t>
            </w:r>
            <w:r w:rsidRPr="00F9522B">
              <w:rPr>
                <w:rFonts w:eastAsiaTheme="minorEastAsia"/>
                <w:color w:val="FF0000"/>
                <w:kern w:val="0"/>
                <w:szCs w:val="21"/>
              </w:rPr>
              <w:t>≤</w:t>
            </w:r>
          </w:p>
        </w:tc>
        <w:tc>
          <w:tcPr>
            <w:tcW w:w="3845" w:type="dxa"/>
            <w:gridSpan w:val="2"/>
            <w:vAlign w:val="center"/>
          </w:tcPr>
          <w:p w:rsidR="0086311D" w:rsidRPr="00F9522B" w:rsidRDefault="0086311D" w:rsidP="0093401E">
            <w:pPr>
              <w:spacing w:line="0" w:lineRule="atLeast"/>
              <w:jc w:val="center"/>
              <w:rPr>
                <w:rFonts w:eastAsiaTheme="minorEastAsia"/>
                <w:color w:val="FF0000"/>
                <w:kern w:val="0"/>
                <w:szCs w:val="21"/>
              </w:rPr>
            </w:pPr>
            <w:r w:rsidRPr="00F9522B">
              <w:rPr>
                <w:rFonts w:eastAsiaTheme="minorEastAsia"/>
                <w:color w:val="FF0000"/>
                <w:kern w:val="0"/>
                <w:szCs w:val="21"/>
              </w:rPr>
              <w:t>0.1</w:t>
            </w:r>
          </w:p>
        </w:tc>
      </w:tr>
      <w:tr w:rsidR="0086311D" w:rsidRPr="00F9522B" w:rsidTr="0086311D">
        <w:trPr>
          <w:trHeight w:val="272"/>
          <w:jc w:val="center"/>
        </w:trPr>
        <w:tc>
          <w:tcPr>
            <w:tcW w:w="959" w:type="dxa"/>
            <w:vAlign w:val="center"/>
          </w:tcPr>
          <w:p w:rsidR="0086311D" w:rsidRPr="00F9522B" w:rsidRDefault="0086311D" w:rsidP="0093401E">
            <w:pPr>
              <w:spacing w:line="0" w:lineRule="atLeast"/>
              <w:jc w:val="center"/>
              <w:rPr>
                <w:rFonts w:eastAsiaTheme="minorEastAsia"/>
                <w:color w:val="FF0000"/>
                <w:kern w:val="0"/>
                <w:szCs w:val="21"/>
              </w:rPr>
            </w:pPr>
            <w:r w:rsidRPr="00F9522B">
              <w:rPr>
                <w:rFonts w:eastAsiaTheme="minorEastAsia"/>
                <w:color w:val="FF0000"/>
                <w:kern w:val="0"/>
                <w:szCs w:val="21"/>
              </w:rPr>
              <w:t>7</w:t>
            </w:r>
          </w:p>
        </w:tc>
        <w:tc>
          <w:tcPr>
            <w:tcW w:w="3402" w:type="dxa"/>
            <w:vAlign w:val="center"/>
          </w:tcPr>
          <w:p w:rsidR="0086311D" w:rsidRPr="00F9522B" w:rsidRDefault="0086311D" w:rsidP="0093401E">
            <w:pPr>
              <w:spacing w:line="0" w:lineRule="atLeast"/>
              <w:jc w:val="center"/>
              <w:rPr>
                <w:rFonts w:eastAsiaTheme="minorEastAsia"/>
                <w:color w:val="FF0000"/>
                <w:kern w:val="0"/>
                <w:szCs w:val="21"/>
              </w:rPr>
            </w:pPr>
            <w:r w:rsidRPr="00F9522B">
              <w:rPr>
                <w:rFonts w:eastAsiaTheme="minorEastAsia"/>
                <w:color w:val="FF0000"/>
                <w:kern w:val="0"/>
                <w:szCs w:val="21"/>
              </w:rPr>
              <w:t>总汞</w:t>
            </w:r>
            <w:r w:rsidRPr="00F9522B">
              <w:rPr>
                <w:rFonts w:eastAsiaTheme="minorEastAsia"/>
                <w:color w:val="FF0000"/>
                <w:kern w:val="0"/>
                <w:szCs w:val="21"/>
              </w:rPr>
              <w:t>/</w:t>
            </w:r>
            <w:r w:rsidRPr="00F9522B">
              <w:rPr>
                <w:rFonts w:eastAsiaTheme="minorEastAsia"/>
                <w:color w:val="FF0000"/>
                <w:kern w:val="0"/>
                <w:szCs w:val="21"/>
              </w:rPr>
              <w:t>（</w:t>
            </w:r>
            <w:r w:rsidRPr="00F9522B">
              <w:rPr>
                <w:rFonts w:eastAsiaTheme="minorEastAsia"/>
                <w:color w:val="FF0000"/>
                <w:kern w:val="0"/>
                <w:szCs w:val="21"/>
              </w:rPr>
              <w:t>mg/L</w:t>
            </w:r>
            <w:r w:rsidRPr="00F9522B">
              <w:rPr>
                <w:rFonts w:eastAsiaTheme="minorEastAsia"/>
                <w:color w:val="FF0000"/>
                <w:kern w:val="0"/>
                <w:szCs w:val="21"/>
              </w:rPr>
              <w:t>）</w:t>
            </w:r>
            <w:r w:rsidRPr="00F9522B">
              <w:rPr>
                <w:rFonts w:eastAsiaTheme="minorEastAsia"/>
                <w:color w:val="FF0000"/>
                <w:kern w:val="0"/>
                <w:szCs w:val="21"/>
              </w:rPr>
              <w:t>≤</w:t>
            </w:r>
          </w:p>
        </w:tc>
        <w:tc>
          <w:tcPr>
            <w:tcW w:w="3845" w:type="dxa"/>
            <w:gridSpan w:val="2"/>
            <w:vAlign w:val="center"/>
          </w:tcPr>
          <w:p w:rsidR="0086311D" w:rsidRPr="00F9522B" w:rsidRDefault="0086311D" w:rsidP="0093401E">
            <w:pPr>
              <w:spacing w:line="0" w:lineRule="atLeast"/>
              <w:jc w:val="center"/>
              <w:rPr>
                <w:rFonts w:eastAsiaTheme="minorEastAsia"/>
                <w:color w:val="FF0000"/>
                <w:kern w:val="0"/>
                <w:szCs w:val="21"/>
              </w:rPr>
            </w:pPr>
            <w:r w:rsidRPr="00F9522B">
              <w:rPr>
                <w:rFonts w:eastAsiaTheme="minorEastAsia"/>
                <w:color w:val="FF0000"/>
                <w:kern w:val="0"/>
                <w:szCs w:val="21"/>
              </w:rPr>
              <w:t>0.01</w:t>
            </w:r>
          </w:p>
        </w:tc>
      </w:tr>
      <w:tr w:rsidR="0086311D" w:rsidRPr="00F9522B" w:rsidTr="0086311D">
        <w:trPr>
          <w:trHeight w:val="272"/>
          <w:jc w:val="center"/>
        </w:trPr>
        <w:tc>
          <w:tcPr>
            <w:tcW w:w="959" w:type="dxa"/>
            <w:vAlign w:val="center"/>
          </w:tcPr>
          <w:p w:rsidR="0086311D" w:rsidRPr="00F9522B" w:rsidRDefault="0086311D" w:rsidP="0093401E">
            <w:pPr>
              <w:spacing w:line="0" w:lineRule="atLeast"/>
              <w:jc w:val="center"/>
              <w:rPr>
                <w:rFonts w:eastAsiaTheme="minorEastAsia"/>
                <w:color w:val="FF0000"/>
                <w:kern w:val="0"/>
                <w:szCs w:val="21"/>
              </w:rPr>
            </w:pPr>
            <w:r w:rsidRPr="00F9522B">
              <w:rPr>
                <w:rFonts w:eastAsiaTheme="minorEastAsia"/>
                <w:color w:val="FF0000"/>
                <w:kern w:val="0"/>
                <w:szCs w:val="21"/>
              </w:rPr>
              <w:t>8</w:t>
            </w:r>
          </w:p>
        </w:tc>
        <w:tc>
          <w:tcPr>
            <w:tcW w:w="3402" w:type="dxa"/>
            <w:vAlign w:val="center"/>
          </w:tcPr>
          <w:p w:rsidR="0086311D" w:rsidRPr="00F9522B" w:rsidRDefault="0086311D" w:rsidP="0093401E">
            <w:pPr>
              <w:spacing w:line="0" w:lineRule="atLeast"/>
              <w:jc w:val="center"/>
              <w:rPr>
                <w:rFonts w:eastAsiaTheme="minorEastAsia"/>
                <w:color w:val="FF0000"/>
                <w:kern w:val="0"/>
                <w:szCs w:val="21"/>
              </w:rPr>
            </w:pPr>
            <w:r w:rsidRPr="00F9522B">
              <w:rPr>
                <w:rFonts w:eastAsiaTheme="minorEastAsia"/>
                <w:color w:val="FF0000"/>
                <w:kern w:val="0"/>
                <w:szCs w:val="21"/>
              </w:rPr>
              <w:t>总砷</w:t>
            </w:r>
            <w:r w:rsidRPr="00F9522B">
              <w:rPr>
                <w:rFonts w:eastAsiaTheme="minorEastAsia"/>
                <w:color w:val="FF0000"/>
                <w:kern w:val="0"/>
                <w:szCs w:val="21"/>
              </w:rPr>
              <w:t>/</w:t>
            </w:r>
            <w:r w:rsidRPr="00F9522B">
              <w:rPr>
                <w:rFonts w:eastAsiaTheme="minorEastAsia"/>
                <w:color w:val="FF0000"/>
                <w:kern w:val="0"/>
                <w:szCs w:val="21"/>
              </w:rPr>
              <w:t>（</w:t>
            </w:r>
            <w:r w:rsidRPr="00F9522B">
              <w:rPr>
                <w:rFonts w:eastAsiaTheme="minorEastAsia"/>
                <w:color w:val="FF0000"/>
                <w:kern w:val="0"/>
                <w:szCs w:val="21"/>
              </w:rPr>
              <w:t>mg/L</w:t>
            </w:r>
            <w:r w:rsidRPr="00F9522B">
              <w:rPr>
                <w:rFonts w:eastAsiaTheme="minorEastAsia"/>
                <w:color w:val="FF0000"/>
                <w:kern w:val="0"/>
                <w:szCs w:val="21"/>
              </w:rPr>
              <w:t>）</w:t>
            </w:r>
            <w:r w:rsidRPr="00F9522B">
              <w:rPr>
                <w:rFonts w:eastAsiaTheme="minorEastAsia"/>
                <w:color w:val="FF0000"/>
                <w:kern w:val="0"/>
                <w:szCs w:val="21"/>
              </w:rPr>
              <w:t>≤</w:t>
            </w:r>
          </w:p>
        </w:tc>
        <w:tc>
          <w:tcPr>
            <w:tcW w:w="1922" w:type="dxa"/>
            <w:vAlign w:val="center"/>
          </w:tcPr>
          <w:p w:rsidR="0086311D" w:rsidRPr="00F9522B" w:rsidRDefault="0086311D" w:rsidP="0093401E">
            <w:pPr>
              <w:spacing w:line="0" w:lineRule="atLeast"/>
              <w:jc w:val="center"/>
              <w:rPr>
                <w:rFonts w:eastAsiaTheme="minorEastAsia"/>
                <w:color w:val="FF0000"/>
                <w:kern w:val="0"/>
                <w:szCs w:val="21"/>
              </w:rPr>
            </w:pPr>
            <w:r w:rsidRPr="00F9522B">
              <w:rPr>
                <w:rFonts w:eastAsiaTheme="minorEastAsia"/>
                <w:color w:val="FF0000"/>
                <w:kern w:val="0"/>
                <w:szCs w:val="21"/>
              </w:rPr>
              <w:t>0.1</w:t>
            </w:r>
          </w:p>
        </w:tc>
        <w:tc>
          <w:tcPr>
            <w:tcW w:w="1923" w:type="dxa"/>
            <w:vAlign w:val="center"/>
          </w:tcPr>
          <w:p w:rsidR="0086311D" w:rsidRPr="00F9522B" w:rsidRDefault="0086311D" w:rsidP="0093401E">
            <w:pPr>
              <w:spacing w:line="0" w:lineRule="atLeast"/>
              <w:jc w:val="center"/>
              <w:rPr>
                <w:rFonts w:eastAsiaTheme="minorEastAsia"/>
                <w:color w:val="FF0000"/>
                <w:kern w:val="0"/>
                <w:szCs w:val="21"/>
              </w:rPr>
            </w:pPr>
            <w:r w:rsidRPr="00F9522B">
              <w:rPr>
                <w:rFonts w:eastAsiaTheme="minorEastAsia"/>
                <w:color w:val="FF0000"/>
                <w:kern w:val="0"/>
                <w:szCs w:val="21"/>
              </w:rPr>
              <w:t>0.05</w:t>
            </w:r>
          </w:p>
        </w:tc>
      </w:tr>
      <w:tr w:rsidR="0086311D" w:rsidRPr="00F9522B" w:rsidTr="0086311D">
        <w:trPr>
          <w:trHeight w:val="319"/>
          <w:jc w:val="center"/>
        </w:trPr>
        <w:tc>
          <w:tcPr>
            <w:tcW w:w="959" w:type="dxa"/>
            <w:vAlign w:val="center"/>
          </w:tcPr>
          <w:p w:rsidR="0086311D" w:rsidRPr="00F9522B" w:rsidRDefault="0086311D" w:rsidP="0093401E">
            <w:pPr>
              <w:spacing w:line="0" w:lineRule="atLeast"/>
              <w:jc w:val="center"/>
              <w:rPr>
                <w:rFonts w:eastAsiaTheme="minorEastAsia"/>
                <w:color w:val="FF0000"/>
                <w:kern w:val="0"/>
                <w:szCs w:val="21"/>
              </w:rPr>
            </w:pPr>
            <w:r w:rsidRPr="00F9522B">
              <w:rPr>
                <w:rFonts w:eastAsiaTheme="minorEastAsia"/>
                <w:color w:val="FF0000"/>
                <w:kern w:val="0"/>
                <w:szCs w:val="21"/>
              </w:rPr>
              <w:t>9</w:t>
            </w:r>
          </w:p>
        </w:tc>
        <w:tc>
          <w:tcPr>
            <w:tcW w:w="3402" w:type="dxa"/>
            <w:vAlign w:val="center"/>
          </w:tcPr>
          <w:p w:rsidR="0086311D" w:rsidRPr="00F9522B" w:rsidRDefault="0086311D" w:rsidP="0093401E">
            <w:pPr>
              <w:spacing w:line="0" w:lineRule="atLeast"/>
              <w:jc w:val="center"/>
              <w:rPr>
                <w:rFonts w:eastAsiaTheme="minorEastAsia"/>
                <w:color w:val="FF0000"/>
                <w:kern w:val="0"/>
                <w:szCs w:val="21"/>
              </w:rPr>
            </w:pPr>
            <w:r w:rsidRPr="00F9522B">
              <w:rPr>
                <w:rFonts w:eastAsiaTheme="minorEastAsia"/>
                <w:color w:val="FF0000"/>
                <w:kern w:val="0"/>
                <w:szCs w:val="21"/>
              </w:rPr>
              <w:t>粪大肠菌群数</w:t>
            </w:r>
            <w:r w:rsidRPr="00F9522B">
              <w:rPr>
                <w:rFonts w:eastAsiaTheme="minorEastAsia"/>
                <w:color w:val="FF0000"/>
                <w:kern w:val="0"/>
                <w:szCs w:val="21"/>
              </w:rPr>
              <w:t>/</w:t>
            </w:r>
            <w:r w:rsidRPr="00F9522B">
              <w:rPr>
                <w:rFonts w:eastAsiaTheme="minorEastAsia"/>
                <w:color w:val="FF0000"/>
                <w:kern w:val="0"/>
                <w:szCs w:val="21"/>
              </w:rPr>
              <w:t>（</w:t>
            </w:r>
            <w:r w:rsidRPr="00F9522B">
              <w:rPr>
                <w:rFonts w:eastAsiaTheme="minorEastAsia"/>
                <w:color w:val="FF0000"/>
                <w:kern w:val="0"/>
                <w:szCs w:val="21"/>
              </w:rPr>
              <w:t>MPN/L</w:t>
            </w:r>
            <w:r w:rsidRPr="00F9522B">
              <w:rPr>
                <w:rFonts w:eastAsiaTheme="minorEastAsia"/>
                <w:color w:val="FF0000"/>
                <w:kern w:val="0"/>
                <w:szCs w:val="21"/>
              </w:rPr>
              <w:t>）</w:t>
            </w:r>
            <w:r w:rsidRPr="00F9522B">
              <w:rPr>
                <w:rFonts w:eastAsiaTheme="minorEastAsia"/>
                <w:color w:val="FF0000"/>
                <w:kern w:val="0"/>
                <w:szCs w:val="21"/>
              </w:rPr>
              <w:t>≤</w:t>
            </w:r>
          </w:p>
        </w:tc>
        <w:tc>
          <w:tcPr>
            <w:tcW w:w="3845" w:type="dxa"/>
            <w:gridSpan w:val="2"/>
            <w:vAlign w:val="center"/>
          </w:tcPr>
          <w:p w:rsidR="0086311D" w:rsidRPr="00F9522B" w:rsidRDefault="0086311D" w:rsidP="0093401E">
            <w:pPr>
              <w:spacing w:line="0" w:lineRule="atLeast"/>
              <w:jc w:val="center"/>
              <w:rPr>
                <w:rFonts w:eastAsiaTheme="minorEastAsia"/>
                <w:color w:val="FF0000"/>
                <w:kern w:val="0"/>
                <w:szCs w:val="21"/>
              </w:rPr>
            </w:pPr>
            <w:r w:rsidRPr="00F9522B">
              <w:rPr>
                <w:rFonts w:eastAsiaTheme="minorEastAsia"/>
                <w:color w:val="FF0000"/>
                <w:kern w:val="0"/>
                <w:szCs w:val="21"/>
              </w:rPr>
              <w:t>40000</w:t>
            </w:r>
          </w:p>
        </w:tc>
      </w:tr>
    </w:tbl>
    <w:p w:rsidR="002A5A5E" w:rsidRPr="00F9522B" w:rsidRDefault="00611CBA">
      <w:pPr>
        <w:pStyle w:val="affffffffd"/>
        <w:numPr>
          <w:ilvl w:val="0"/>
          <w:numId w:val="10"/>
        </w:numPr>
        <w:autoSpaceDE w:val="0"/>
        <w:autoSpaceDN w:val="0"/>
        <w:spacing w:line="360" w:lineRule="auto"/>
        <w:ind w:firstLineChars="0"/>
        <w:rPr>
          <w:rFonts w:eastAsiaTheme="minorEastAsia"/>
          <w:sz w:val="24"/>
        </w:rPr>
      </w:pPr>
      <w:r w:rsidRPr="00F9522B">
        <w:rPr>
          <w:rFonts w:eastAsiaTheme="minorEastAsia"/>
          <w:sz w:val="24"/>
        </w:rPr>
        <w:t>灌溉井工程</w:t>
      </w:r>
    </w:p>
    <w:p w:rsidR="002A5A5E" w:rsidRPr="00F9522B" w:rsidRDefault="00611CBA">
      <w:pPr>
        <w:spacing w:line="360" w:lineRule="auto"/>
        <w:ind w:firstLineChars="200" w:firstLine="480"/>
        <w:rPr>
          <w:rFonts w:eastAsiaTheme="minorEastAsia"/>
          <w:bCs/>
          <w:sz w:val="24"/>
          <w:szCs w:val="21"/>
        </w:rPr>
      </w:pPr>
      <w:r w:rsidRPr="00F9522B">
        <w:rPr>
          <w:rFonts w:eastAsiaTheme="minorEastAsia"/>
          <w:sz w:val="24"/>
          <w:szCs w:val="21"/>
        </w:rPr>
        <w:t>根据项目区水文地质条件、地质勘察成果及当地多年打井资料，参照</w:t>
      </w:r>
      <w:r w:rsidRPr="00F9522B">
        <w:rPr>
          <w:rFonts w:eastAsiaTheme="minorEastAsia"/>
          <w:kern w:val="0"/>
          <w:sz w:val="24"/>
        </w:rPr>
        <w:t>《喷灌工程技术规范》（</w:t>
      </w:r>
      <w:r w:rsidRPr="00F9522B">
        <w:rPr>
          <w:rFonts w:eastAsiaTheme="minorEastAsia"/>
          <w:kern w:val="0"/>
          <w:sz w:val="24"/>
        </w:rPr>
        <w:t>GB/T50085-2007</w:t>
      </w:r>
      <w:r w:rsidRPr="00F9522B">
        <w:rPr>
          <w:rFonts w:eastAsiaTheme="minorEastAsia"/>
          <w:kern w:val="0"/>
          <w:sz w:val="24"/>
        </w:rPr>
        <w:t>）</w:t>
      </w:r>
      <w:r w:rsidRPr="00F9522B">
        <w:rPr>
          <w:rFonts w:eastAsiaTheme="minorEastAsia"/>
          <w:sz w:val="24"/>
          <w:szCs w:val="21"/>
        </w:rPr>
        <w:t>的有关规定进行灌溉井工程设计。选择灌溉井位以保证水量为主，</w:t>
      </w:r>
      <w:r w:rsidRPr="00F9522B">
        <w:rPr>
          <w:rFonts w:eastAsiaTheme="minorEastAsia"/>
          <w:bCs/>
          <w:sz w:val="24"/>
          <w:szCs w:val="21"/>
        </w:rPr>
        <w:t>本次新建灌溉井</w:t>
      </w:r>
      <w:r w:rsidR="00121DFD" w:rsidRPr="00F9522B">
        <w:rPr>
          <w:rFonts w:eastAsiaTheme="minorEastAsia"/>
          <w:bCs/>
          <w:sz w:val="24"/>
          <w:szCs w:val="21"/>
        </w:rPr>
        <w:t>264</w:t>
      </w:r>
      <w:r w:rsidR="00121DFD" w:rsidRPr="00F9522B">
        <w:rPr>
          <w:rFonts w:eastAsiaTheme="minorEastAsia"/>
          <w:bCs/>
          <w:sz w:val="24"/>
          <w:szCs w:val="21"/>
        </w:rPr>
        <w:t>眼</w:t>
      </w:r>
      <w:r w:rsidRPr="00F9522B">
        <w:rPr>
          <w:rFonts w:eastAsiaTheme="minorEastAsia"/>
          <w:bCs/>
          <w:sz w:val="24"/>
          <w:szCs w:val="21"/>
        </w:rPr>
        <w:t>，单井出水量为</w:t>
      </w:r>
      <w:r w:rsidRPr="00F9522B">
        <w:rPr>
          <w:rFonts w:eastAsiaTheme="minorEastAsia"/>
          <w:bCs/>
          <w:sz w:val="24"/>
          <w:szCs w:val="21"/>
        </w:rPr>
        <w:t>30m</w:t>
      </w:r>
      <w:r w:rsidRPr="00F9522B">
        <w:rPr>
          <w:rFonts w:eastAsiaTheme="minorEastAsia"/>
          <w:bCs/>
          <w:sz w:val="24"/>
          <w:szCs w:val="21"/>
          <w:vertAlign w:val="superscript"/>
        </w:rPr>
        <w:t>3</w:t>
      </w:r>
      <w:r w:rsidRPr="00F9522B">
        <w:rPr>
          <w:rFonts w:eastAsiaTheme="minorEastAsia"/>
          <w:bCs/>
          <w:sz w:val="24"/>
          <w:szCs w:val="21"/>
        </w:rPr>
        <w:t>/h</w:t>
      </w:r>
      <w:r w:rsidRPr="00F9522B">
        <w:rPr>
          <w:rFonts w:eastAsiaTheme="minorEastAsia"/>
          <w:sz w:val="24"/>
          <w:szCs w:val="21"/>
        </w:rPr>
        <w:t>，</w:t>
      </w:r>
      <w:r w:rsidRPr="00F9522B">
        <w:rPr>
          <w:rFonts w:eastAsiaTheme="minorEastAsia"/>
          <w:color w:val="FF0000"/>
          <w:sz w:val="24"/>
          <w:szCs w:val="21"/>
        </w:rPr>
        <w:t>本项目灌溉井</w:t>
      </w:r>
      <w:r w:rsidRPr="00F9522B">
        <w:rPr>
          <w:rFonts w:eastAsiaTheme="minorEastAsia"/>
          <w:color w:val="FF0000"/>
          <w:kern w:val="0"/>
          <w:sz w:val="24"/>
        </w:rPr>
        <w:t>取水目的层为第四系松散岩类孔隙承压水</w:t>
      </w:r>
      <w:r w:rsidR="0079178B" w:rsidRPr="00F9522B">
        <w:rPr>
          <w:rFonts w:eastAsiaTheme="minorEastAsia"/>
          <w:color w:val="FF0000"/>
          <w:kern w:val="0"/>
          <w:sz w:val="24"/>
        </w:rPr>
        <w:t>，不进行</w:t>
      </w:r>
      <w:r w:rsidRPr="00F9522B">
        <w:rPr>
          <w:rFonts w:eastAsiaTheme="minorEastAsia"/>
          <w:color w:val="FF0000"/>
          <w:kern w:val="0"/>
          <w:sz w:val="24"/>
        </w:rPr>
        <w:t>混合开采。</w:t>
      </w:r>
    </w:p>
    <w:p w:rsidR="002A5A5E" w:rsidRPr="00F9522B" w:rsidRDefault="00611CBA">
      <w:pPr>
        <w:spacing w:line="360" w:lineRule="auto"/>
        <w:ind w:firstLineChars="200" w:firstLine="480"/>
        <w:rPr>
          <w:rFonts w:eastAsiaTheme="minorEastAsia"/>
          <w:sz w:val="24"/>
          <w:szCs w:val="21"/>
        </w:rPr>
      </w:pPr>
      <w:r w:rsidRPr="00F9522B">
        <w:rPr>
          <w:rFonts w:eastAsiaTheme="minorEastAsia"/>
          <w:sz w:val="24"/>
          <w:szCs w:val="21"/>
        </w:rPr>
        <w:t>本工程新建灌溉井参数及位置坐标详见表</w:t>
      </w:r>
      <w:r w:rsidRPr="00F9522B">
        <w:rPr>
          <w:rFonts w:eastAsiaTheme="minorEastAsia"/>
          <w:sz w:val="24"/>
          <w:szCs w:val="21"/>
        </w:rPr>
        <w:t>3-1-</w:t>
      </w:r>
      <w:r w:rsidR="0086311D" w:rsidRPr="00F9522B">
        <w:rPr>
          <w:rFonts w:eastAsiaTheme="minorEastAsia"/>
          <w:sz w:val="24"/>
          <w:szCs w:val="21"/>
        </w:rPr>
        <w:t>10</w:t>
      </w:r>
      <w:r w:rsidRPr="00F9522B">
        <w:rPr>
          <w:rFonts w:eastAsiaTheme="minorEastAsia"/>
          <w:sz w:val="24"/>
          <w:szCs w:val="21"/>
        </w:rPr>
        <w:t>。</w:t>
      </w:r>
    </w:p>
    <w:p w:rsidR="00DD5FB6" w:rsidRDefault="00DD5FB6">
      <w:pPr>
        <w:contextualSpacing/>
        <w:jc w:val="center"/>
        <w:rPr>
          <w:rFonts w:eastAsiaTheme="minorEastAsia"/>
          <w:b/>
          <w:kern w:val="0"/>
          <w:szCs w:val="21"/>
        </w:rPr>
      </w:pPr>
    </w:p>
    <w:p w:rsidR="00DD5FB6" w:rsidRDefault="00DD5FB6">
      <w:pPr>
        <w:contextualSpacing/>
        <w:jc w:val="center"/>
        <w:rPr>
          <w:rFonts w:eastAsiaTheme="minorEastAsia"/>
          <w:b/>
          <w:kern w:val="0"/>
          <w:szCs w:val="21"/>
        </w:rPr>
      </w:pPr>
    </w:p>
    <w:p w:rsidR="00DD5FB6" w:rsidRDefault="00DD5FB6">
      <w:pPr>
        <w:contextualSpacing/>
        <w:jc w:val="center"/>
        <w:rPr>
          <w:rFonts w:eastAsiaTheme="minorEastAsia"/>
          <w:b/>
          <w:kern w:val="0"/>
          <w:szCs w:val="21"/>
        </w:rPr>
      </w:pPr>
    </w:p>
    <w:p w:rsidR="00DD5FB6" w:rsidRDefault="00DD5FB6">
      <w:pPr>
        <w:contextualSpacing/>
        <w:jc w:val="center"/>
        <w:rPr>
          <w:rFonts w:eastAsiaTheme="minorEastAsia"/>
          <w:b/>
          <w:kern w:val="0"/>
          <w:szCs w:val="21"/>
        </w:rPr>
      </w:pPr>
    </w:p>
    <w:p w:rsidR="00DD5FB6" w:rsidRDefault="00DD5FB6">
      <w:pPr>
        <w:contextualSpacing/>
        <w:jc w:val="center"/>
        <w:rPr>
          <w:rFonts w:eastAsiaTheme="minorEastAsia"/>
          <w:b/>
          <w:kern w:val="0"/>
          <w:szCs w:val="21"/>
        </w:rPr>
      </w:pPr>
    </w:p>
    <w:p w:rsidR="00DD5FB6" w:rsidRDefault="00DD5FB6">
      <w:pPr>
        <w:contextualSpacing/>
        <w:jc w:val="center"/>
        <w:rPr>
          <w:rFonts w:eastAsiaTheme="minorEastAsia"/>
          <w:b/>
          <w:kern w:val="0"/>
          <w:szCs w:val="21"/>
        </w:rPr>
      </w:pPr>
    </w:p>
    <w:p w:rsidR="00DD5FB6" w:rsidRDefault="00DD5FB6">
      <w:pPr>
        <w:contextualSpacing/>
        <w:jc w:val="center"/>
        <w:rPr>
          <w:rFonts w:eastAsiaTheme="minorEastAsia"/>
          <w:b/>
          <w:kern w:val="0"/>
          <w:szCs w:val="21"/>
        </w:rPr>
      </w:pPr>
    </w:p>
    <w:p w:rsidR="00DD5FB6" w:rsidRDefault="00DD5FB6">
      <w:pPr>
        <w:contextualSpacing/>
        <w:jc w:val="center"/>
        <w:rPr>
          <w:rFonts w:eastAsiaTheme="minorEastAsia"/>
          <w:b/>
          <w:kern w:val="0"/>
          <w:szCs w:val="21"/>
        </w:rPr>
      </w:pPr>
    </w:p>
    <w:p w:rsidR="00DD5FB6" w:rsidRDefault="00DD5FB6">
      <w:pPr>
        <w:contextualSpacing/>
        <w:jc w:val="center"/>
        <w:rPr>
          <w:rFonts w:eastAsiaTheme="minorEastAsia"/>
          <w:b/>
          <w:kern w:val="0"/>
          <w:szCs w:val="21"/>
        </w:rPr>
      </w:pPr>
    </w:p>
    <w:p w:rsidR="00DD5FB6" w:rsidRDefault="00DD5FB6">
      <w:pPr>
        <w:contextualSpacing/>
        <w:jc w:val="center"/>
        <w:rPr>
          <w:rFonts w:eastAsiaTheme="minorEastAsia"/>
          <w:b/>
          <w:kern w:val="0"/>
          <w:szCs w:val="21"/>
        </w:rPr>
      </w:pPr>
    </w:p>
    <w:p w:rsidR="00DD5FB6" w:rsidRDefault="00DD5FB6">
      <w:pPr>
        <w:contextualSpacing/>
        <w:jc w:val="center"/>
        <w:rPr>
          <w:rFonts w:eastAsiaTheme="minorEastAsia"/>
          <w:b/>
          <w:kern w:val="0"/>
          <w:szCs w:val="21"/>
        </w:rPr>
      </w:pPr>
    </w:p>
    <w:p w:rsidR="00DD5FB6" w:rsidRDefault="00DD5FB6">
      <w:pPr>
        <w:contextualSpacing/>
        <w:jc w:val="center"/>
        <w:rPr>
          <w:rFonts w:eastAsiaTheme="minorEastAsia"/>
          <w:b/>
          <w:kern w:val="0"/>
          <w:szCs w:val="21"/>
        </w:rPr>
      </w:pPr>
    </w:p>
    <w:p w:rsidR="00DD5FB6" w:rsidRDefault="00DD5FB6">
      <w:pPr>
        <w:contextualSpacing/>
        <w:jc w:val="center"/>
        <w:rPr>
          <w:rFonts w:eastAsiaTheme="minorEastAsia"/>
          <w:b/>
          <w:kern w:val="0"/>
          <w:szCs w:val="21"/>
        </w:rPr>
      </w:pPr>
    </w:p>
    <w:p w:rsidR="00DD5FB6" w:rsidRDefault="00DD5FB6">
      <w:pPr>
        <w:contextualSpacing/>
        <w:jc w:val="center"/>
        <w:rPr>
          <w:rFonts w:eastAsiaTheme="minorEastAsia"/>
          <w:b/>
          <w:kern w:val="0"/>
          <w:szCs w:val="21"/>
        </w:rPr>
      </w:pPr>
    </w:p>
    <w:p w:rsidR="00DD5FB6" w:rsidRDefault="00DD5FB6">
      <w:pPr>
        <w:contextualSpacing/>
        <w:jc w:val="center"/>
        <w:rPr>
          <w:rFonts w:eastAsiaTheme="minorEastAsia"/>
          <w:b/>
          <w:kern w:val="0"/>
          <w:szCs w:val="21"/>
        </w:rPr>
      </w:pPr>
    </w:p>
    <w:p w:rsidR="00DD5FB6" w:rsidRDefault="00DD5FB6">
      <w:pPr>
        <w:contextualSpacing/>
        <w:jc w:val="center"/>
        <w:rPr>
          <w:rFonts w:eastAsiaTheme="minorEastAsia"/>
          <w:b/>
          <w:kern w:val="0"/>
          <w:szCs w:val="21"/>
        </w:rPr>
      </w:pPr>
    </w:p>
    <w:p w:rsidR="00DD5FB6" w:rsidRDefault="00DD5FB6">
      <w:pPr>
        <w:contextualSpacing/>
        <w:jc w:val="center"/>
        <w:rPr>
          <w:rFonts w:eastAsiaTheme="minorEastAsia"/>
          <w:b/>
          <w:kern w:val="0"/>
          <w:szCs w:val="21"/>
        </w:rPr>
      </w:pPr>
    </w:p>
    <w:p w:rsidR="002A5A5E" w:rsidRPr="00F9522B" w:rsidRDefault="00611CBA">
      <w:pPr>
        <w:contextualSpacing/>
        <w:jc w:val="center"/>
        <w:rPr>
          <w:rFonts w:eastAsiaTheme="minorEastAsia"/>
          <w:b/>
          <w:kern w:val="0"/>
          <w:szCs w:val="21"/>
        </w:rPr>
      </w:pPr>
      <w:r w:rsidRPr="00F9522B">
        <w:rPr>
          <w:rFonts w:eastAsiaTheme="minorEastAsia"/>
          <w:b/>
          <w:kern w:val="0"/>
          <w:szCs w:val="21"/>
        </w:rPr>
        <w:lastRenderedPageBreak/>
        <w:t>表</w:t>
      </w:r>
      <w:r w:rsidRPr="00F9522B">
        <w:rPr>
          <w:rFonts w:eastAsiaTheme="minorEastAsia"/>
          <w:b/>
          <w:kern w:val="0"/>
          <w:szCs w:val="21"/>
        </w:rPr>
        <w:t>3-1-</w:t>
      </w:r>
      <w:r w:rsidR="00B40846" w:rsidRPr="00F9522B">
        <w:rPr>
          <w:rFonts w:eastAsiaTheme="minorEastAsia"/>
          <w:b/>
          <w:kern w:val="0"/>
          <w:szCs w:val="21"/>
        </w:rPr>
        <w:t>10</w:t>
      </w:r>
      <w:r w:rsidRPr="00F9522B">
        <w:rPr>
          <w:rFonts w:eastAsiaTheme="minorEastAsia"/>
          <w:b/>
          <w:kern w:val="0"/>
          <w:szCs w:val="21"/>
        </w:rPr>
        <w:t>新建灌溉井参数及位置表</w:t>
      </w:r>
    </w:p>
    <w:tbl>
      <w:tblPr>
        <w:tblW w:w="5000" w:type="pct"/>
        <w:tblBorders>
          <w:top w:val="single" w:sz="12" w:space="0" w:color="000000"/>
          <w:bottom w:val="single" w:sz="12" w:space="0" w:color="000000"/>
          <w:insideH w:val="single" w:sz="4" w:space="0" w:color="000000"/>
          <w:insideV w:val="single" w:sz="4" w:space="0" w:color="000000"/>
        </w:tblBorders>
        <w:tblLook w:val="04A0"/>
      </w:tblPr>
      <w:tblGrid>
        <w:gridCol w:w="486"/>
        <w:gridCol w:w="551"/>
        <w:gridCol w:w="641"/>
        <w:gridCol w:w="1435"/>
        <w:gridCol w:w="1161"/>
        <w:gridCol w:w="1072"/>
        <w:gridCol w:w="759"/>
        <w:gridCol w:w="728"/>
        <w:gridCol w:w="757"/>
        <w:gridCol w:w="932"/>
      </w:tblGrid>
      <w:tr w:rsidR="00325FFB" w:rsidRPr="00F9522B" w:rsidTr="00325FFB">
        <w:trPr>
          <w:trHeight w:val="270"/>
        </w:trPr>
        <w:tc>
          <w:tcPr>
            <w:tcW w:w="285" w:type="pct"/>
            <w:vMerge w:val="restart"/>
            <w:vAlign w:val="center"/>
            <w:hideMark/>
          </w:tcPr>
          <w:p w:rsidR="00325FFB" w:rsidRPr="00F9522B" w:rsidRDefault="00325FFB">
            <w:pPr>
              <w:widowControl/>
              <w:autoSpaceDE w:val="0"/>
              <w:adjustRightInd w:val="0"/>
              <w:snapToGrid w:val="0"/>
              <w:jc w:val="center"/>
              <w:textAlignment w:val="center"/>
              <w:rPr>
                <w:rFonts w:eastAsiaTheme="minorEastAsia"/>
                <w:b/>
                <w:bCs/>
                <w:sz w:val="18"/>
                <w:szCs w:val="18"/>
              </w:rPr>
            </w:pPr>
            <w:r w:rsidRPr="00F9522B">
              <w:rPr>
                <w:rFonts w:eastAsiaTheme="minorEastAsia"/>
                <w:b/>
                <w:bCs/>
                <w:kern w:val="0"/>
                <w:sz w:val="18"/>
                <w:szCs w:val="18"/>
              </w:rPr>
              <w:t>序号</w:t>
            </w:r>
          </w:p>
        </w:tc>
        <w:tc>
          <w:tcPr>
            <w:tcW w:w="323" w:type="pct"/>
            <w:vMerge w:val="restart"/>
            <w:vAlign w:val="center"/>
            <w:hideMark/>
          </w:tcPr>
          <w:p w:rsidR="00325FFB" w:rsidRPr="00F9522B" w:rsidRDefault="00325FFB">
            <w:pPr>
              <w:widowControl/>
              <w:autoSpaceDE w:val="0"/>
              <w:adjustRightInd w:val="0"/>
              <w:snapToGrid w:val="0"/>
              <w:jc w:val="center"/>
              <w:textAlignment w:val="center"/>
              <w:rPr>
                <w:rFonts w:eastAsiaTheme="minorEastAsia"/>
                <w:b/>
                <w:bCs/>
                <w:sz w:val="18"/>
                <w:szCs w:val="18"/>
              </w:rPr>
            </w:pPr>
            <w:r w:rsidRPr="00F9522B">
              <w:rPr>
                <w:rFonts w:eastAsiaTheme="minorEastAsia"/>
                <w:b/>
                <w:bCs/>
                <w:kern w:val="0"/>
                <w:sz w:val="18"/>
                <w:szCs w:val="18"/>
              </w:rPr>
              <w:t>片区</w:t>
            </w:r>
          </w:p>
        </w:tc>
        <w:tc>
          <w:tcPr>
            <w:tcW w:w="376" w:type="pct"/>
            <w:vMerge w:val="restart"/>
            <w:vAlign w:val="center"/>
            <w:hideMark/>
          </w:tcPr>
          <w:p w:rsidR="00325FFB" w:rsidRPr="00F9522B" w:rsidRDefault="00325FFB">
            <w:pPr>
              <w:widowControl/>
              <w:autoSpaceDE w:val="0"/>
              <w:adjustRightInd w:val="0"/>
              <w:snapToGrid w:val="0"/>
              <w:jc w:val="center"/>
              <w:textAlignment w:val="center"/>
              <w:rPr>
                <w:rFonts w:eastAsiaTheme="minorEastAsia"/>
                <w:b/>
                <w:bCs/>
                <w:sz w:val="18"/>
                <w:szCs w:val="18"/>
              </w:rPr>
            </w:pPr>
            <w:r w:rsidRPr="00F9522B">
              <w:rPr>
                <w:rFonts w:eastAsiaTheme="minorEastAsia"/>
                <w:b/>
                <w:bCs/>
                <w:kern w:val="0"/>
                <w:sz w:val="18"/>
                <w:szCs w:val="18"/>
              </w:rPr>
              <w:t>村屯名称</w:t>
            </w:r>
          </w:p>
        </w:tc>
        <w:tc>
          <w:tcPr>
            <w:tcW w:w="842" w:type="pct"/>
            <w:vMerge w:val="restart"/>
            <w:vAlign w:val="center"/>
            <w:hideMark/>
          </w:tcPr>
          <w:p w:rsidR="00325FFB" w:rsidRPr="00F9522B" w:rsidRDefault="00325FFB">
            <w:pPr>
              <w:widowControl/>
              <w:autoSpaceDE w:val="0"/>
              <w:adjustRightInd w:val="0"/>
              <w:snapToGrid w:val="0"/>
              <w:jc w:val="center"/>
              <w:textAlignment w:val="center"/>
              <w:rPr>
                <w:rFonts w:eastAsiaTheme="minorEastAsia"/>
                <w:b/>
                <w:bCs/>
                <w:sz w:val="18"/>
                <w:szCs w:val="18"/>
              </w:rPr>
            </w:pPr>
            <w:r w:rsidRPr="00F9522B">
              <w:rPr>
                <w:rFonts w:eastAsiaTheme="minorEastAsia"/>
                <w:b/>
                <w:bCs/>
                <w:kern w:val="0"/>
                <w:sz w:val="18"/>
                <w:szCs w:val="18"/>
              </w:rPr>
              <w:t>新建井名称</w:t>
            </w:r>
          </w:p>
        </w:tc>
        <w:tc>
          <w:tcPr>
            <w:tcW w:w="1310" w:type="pct"/>
            <w:gridSpan w:val="2"/>
            <w:vAlign w:val="center"/>
            <w:hideMark/>
          </w:tcPr>
          <w:p w:rsidR="00325FFB" w:rsidRPr="00F9522B" w:rsidRDefault="00325FFB">
            <w:pPr>
              <w:widowControl/>
              <w:autoSpaceDE w:val="0"/>
              <w:adjustRightInd w:val="0"/>
              <w:snapToGrid w:val="0"/>
              <w:jc w:val="center"/>
              <w:textAlignment w:val="center"/>
              <w:rPr>
                <w:rFonts w:eastAsiaTheme="minorEastAsia"/>
                <w:b/>
                <w:bCs/>
                <w:sz w:val="18"/>
                <w:szCs w:val="18"/>
              </w:rPr>
            </w:pPr>
            <w:r w:rsidRPr="00F9522B">
              <w:rPr>
                <w:rFonts w:eastAsiaTheme="minorEastAsia"/>
                <w:b/>
                <w:bCs/>
                <w:kern w:val="0"/>
                <w:sz w:val="18"/>
                <w:szCs w:val="18"/>
              </w:rPr>
              <w:t>位置</w:t>
            </w:r>
          </w:p>
        </w:tc>
        <w:tc>
          <w:tcPr>
            <w:tcW w:w="445" w:type="pct"/>
            <w:vAlign w:val="center"/>
            <w:hideMark/>
          </w:tcPr>
          <w:p w:rsidR="00325FFB" w:rsidRPr="00F9522B" w:rsidRDefault="00325FFB">
            <w:pPr>
              <w:widowControl/>
              <w:autoSpaceDE w:val="0"/>
              <w:adjustRightInd w:val="0"/>
              <w:snapToGrid w:val="0"/>
              <w:jc w:val="center"/>
              <w:textAlignment w:val="center"/>
              <w:rPr>
                <w:rFonts w:eastAsiaTheme="minorEastAsia"/>
                <w:b/>
                <w:bCs/>
                <w:sz w:val="18"/>
                <w:szCs w:val="18"/>
              </w:rPr>
            </w:pPr>
            <w:r w:rsidRPr="00F9522B">
              <w:rPr>
                <w:rFonts w:eastAsiaTheme="minorEastAsia"/>
                <w:b/>
                <w:bCs/>
                <w:kern w:val="0"/>
                <w:sz w:val="18"/>
                <w:szCs w:val="18"/>
              </w:rPr>
              <w:t>数量</w:t>
            </w:r>
          </w:p>
        </w:tc>
        <w:tc>
          <w:tcPr>
            <w:tcW w:w="427" w:type="pct"/>
            <w:vAlign w:val="center"/>
            <w:hideMark/>
          </w:tcPr>
          <w:p w:rsidR="00325FFB" w:rsidRPr="00F9522B" w:rsidRDefault="00325FFB">
            <w:pPr>
              <w:widowControl/>
              <w:autoSpaceDE w:val="0"/>
              <w:adjustRightInd w:val="0"/>
              <w:snapToGrid w:val="0"/>
              <w:jc w:val="center"/>
              <w:textAlignment w:val="center"/>
              <w:rPr>
                <w:rFonts w:eastAsiaTheme="minorEastAsia"/>
                <w:b/>
                <w:bCs/>
                <w:sz w:val="18"/>
                <w:szCs w:val="18"/>
              </w:rPr>
            </w:pPr>
            <w:r w:rsidRPr="00F9522B">
              <w:rPr>
                <w:rFonts w:eastAsiaTheme="minorEastAsia"/>
                <w:b/>
                <w:bCs/>
                <w:kern w:val="0"/>
                <w:sz w:val="18"/>
                <w:szCs w:val="18"/>
              </w:rPr>
              <w:t>井深</w:t>
            </w:r>
          </w:p>
        </w:tc>
        <w:tc>
          <w:tcPr>
            <w:tcW w:w="444" w:type="pct"/>
            <w:vMerge w:val="restart"/>
            <w:vAlign w:val="center"/>
            <w:hideMark/>
          </w:tcPr>
          <w:p w:rsidR="00325FFB" w:rsidRPr="00F9522B" w:rsidRDefault="00325FFB">
            <w:pPr>
              <w:widowControl/>
              <w:autoSpaceDE w:val="0"/>
              <w:adjustRightInd w:val="0"/>
              <w:snapToGrid w:val="0"/>
              <w:jc w:val="center"/>
              <w:textAlignment w:val="center"/>
              <w:rPr>
                <w:rFonts w:eastAsiaTheme="minorEastAsia"/>
                <w:b/>
                <w:bCs/>
                <w:sz w:val="18"/>
                <w:szCs w:val="18"/>
              </w:rPr>
            </w:pPr>
            <w:r w:rsidRPr="00F9522B">
              <w:rPr>
                <w:rFonts w:eastAsiaTheme="minorEastAsia"/>
                <w:b/>
                <w:bCs/>
                <w:kern w:val="0"/>
                <w:sz w:val="18"/>
                <w:szCs w:val="18"/>
              </w:rPr>
              <w:t>灌溉方式</w:t>
            </w:r>
          </w:p>
        </w:tc>
        <w:tc>
          <w:tcPr>
            <w:tcW w:w="547" w:type="pct"/>
            <w:vAlign w:val="center"/>
            <w:hideMark/>
          </w:tcPr>
          <w:p w:rsidR="00325FFB" w:rsidRPr="00F9522B" w:rsidRDefault="00325FFB">
            <w:pPr>
              <w:widowControl/>
              <w:autoSpaceDE w:val="0"/>
              <w:adjustRightInd w:val="0"/>
              <w:snapToGrid w:val="0"/>
              <w:jc w:val="center"/>
              <w:textAlignment w:val="center"/>
              <w:rPr>
                <w:rFonts w:eastAsiaTheme="minorEastAsia"/>
                <w:b/>
                <w:bCs/>
                <w:sz w:val="18"/>
                <w:szCs w:val="18"/>
              </w:rPr>
            </w:pPr>
            <w:r w:rsidRPr="00F9522B">
              <w:rPr>
                <w:rFonts w:eastAsiaTheme="minorEastAsia"/>
                <w:b/>
                <w:bCs/>
                <w:kern w:val="0"/>
                <w:sz w:val="18"/>
                <w:szCs w:val="18"/>
              </w:rPr>
              <w:t>单井出水量</w:t>
            </w:r>
          </w:p>
        </w:tc>
      </w:tr>
      <w:tr w:rsidR="00325FFB" w:rsidRPr="00F9522B" w:rsidTr="00325FFB">
        <w:trPr>
          <w:trHeight w:val="285"/>
        </w:trPr>
        <w:tc>
          <w:tcPr>
            <w:tcW w:w="285" w:type="pct"/>
            <w:vMerge/>
            <w:vAlign w:val="center"/>
          </w:tcPr>
          <w:p w:rsidR="00325FFB" w:rsidRPr="00F9522B" w:rsidRDefault="00325FFB">
            <w:pPr>
              <w:widowControl/>
              <w:autoSpaceDE w:val="0"/>
              <w:adjustRightInd w:val="0"/>
              <w:snapToGrid w:val="0"/>
              <w:jc w:val="center"/>
              <w:rPr>
                <w:rFonts w:eastAsiaTheme="minorEastAsia"/>
                <w:b/>
                <w:bCs/>
                <w:sz w:val="18"/>
                <w:szCs w:val="18"/>
              </w:rPr>
            </w:pPr>
          </w:p>
        </w:tc>
        <w:tc>
          <w:tcPr>
            <w:tcW w:w="323" w:type="pct"/>
            <w:vMerge/>
            <w:vAlign w:val="center"/>
          </w:tcPr>
          <w:p w:rsidR="00325FFB" w:rsidRPr="00F9522B" w:rsidRDefault="00325FFB">
            <w:pPr>
              <w:widowControl/>
              <w:autoSpaceDE w:val="0"/>
              <w:adjustRightInd w:val="0"/>
              <w:snapToGrid w:val="0"/>
              <w:jc w:val="center"/>
              <w:rPr>
                <w:rFonts w:eastAsiaTheme="minorEastAsia"/>
                <w:b/>
                <w:bCs/>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b/>
                <w:bCs/>
                <w:sz w:val="18"/>
                <w:szCs w:val="18"/>
              </w:rPr>
            </w:pPr>
          </w:p>
        </w:tc>
        <w:tc>
          <w:tcPr>
            <w:tcW w:w="842" w:type="pct"/>
            <w:vMerge/>
            <w:vAlign w:val="center"/>
          </w:tcPr>
          <w:p w:rsidR="00325FFB" w:rsidRPr="00F9522B" w:rsidRDefault="00325FFB">
            <w:pPr>
              <w:widowControl/>
              <w:autoSpaceDE w:val="0"/>
              <w:adjustRightInd w:val="0"/>
              <w:snapToGrid w:val="0"/>
              <w:jc w:val="center"/>
              <w:rPr>
                <w:rFonts w:eastAsiaTheme="minorEastAsia"/>
                <w:b/>
                <w:bCs/>
                <w:sz w:val="18"/>
                <w:szCs w:val="18"/>
              </w:rPr>
            </w:pPr>
          </w:p>
        </w:tc>
        <w:tc>
          <w:tcPr>
            <w:tcW w:w="681" w:type="pct"/>
            <w:vAlign w:val="center"/>
            <w:hideMark/>
          </w:tcPr>
          <w:p w:rsidR="00325FFB" w:rsidRPr="00F9522B" w:rsidRDefault="00325FFB">
            <w:pPr>
              <w:widowControl/>
              <w:autoSpaceDE w:val="0"/>
              <w:adjustRightInd w:val="0"/>
              <w:snapToGrid w:val="0"/>
              <w:jc w:val="center"/>
              <w:textAlignment w:val="center"/>
              <w:rPr>
                <w:rFonts w:eastAsiaTheme="minorEastAsia"/>
                <w:b/>
                <w:bCs/>
                <w:sz w:val="18"/>
                <w:szCs w:val="18"/>
              </w:rPr>
            </w:pPr>
            <w:r w:rsidRPr="00F9522B">
              <w:rPr>
                <w:rFonts w:eastAsiaTheme="minorEastAsia"/>
                <w:b/>
                <w:bCs/>
                <w:kern w:val="0"/>
                <w:sz w:val="18"/>
                <w:szCs w:val="18"/>
              </w:rPr>
              <w:t>X</w:t>
            </w:r>
            <w:r w:rsidRPr="00F9522B">
              <w:rPr>
                <w:rFonts w:eastAsiaTheme="minorEastAsia"/>
                <w:b/>
                <w:bCs/>
                <w:kern w:val="0"/>
                <w:sz w:val="18"/>
                <w:szCs w:val="18"/>
              </w:rPr>
              <w:t>坐标</w:t>
            </w:r>
          </w:p>
        </w:tc>
        <w:tc>
          <w:tcPr>
            <w:tcW w:w="629" w:type="pct"/>
            <w:vAlign w:val="center"/>
            <w:hideMark/>
          </w:tcPr>
          <w:p w:rsidR="00325FFB" w:rsidRPr="00F9522B" w:rsidRDefault="00325FFB">
            <w:pPr>
              <w:widowControl/>
              <w:autoSpaceDE w:val="0"/>
              <w:adjustRightInd w:val="0"/>
              <w:snapToGrid w:val="0"/>
              <w:jc w:val="center"/>
              <w:textAlignment w:val="center"/>
              <w:rPr>
                <w:rFonts w:eastAsiaTheme="minorEastAsia"/>
                <w:b/>
                <w:bCs/>
                <w:sz w:val="18"/>
                <w:szCs w:val="18"/>
              </w:rPr>
            </w:pPr>
            <w:r w:rsidRPr="00F9522B">
              <w:rPr>
                <w:rFonts w:eastAsiaTheme="minorEastAsia"/>
                <w:b/>
                <w:bCs/>
                <w:kern w:val="0"/>
                <w:sz w:val="18"/>
                <w:szCs w:val="18"/>
              </w:rPr>
              <w:t>Y</w:t>
            </w:r>
            <w:r w:rsidRPr="00F9522B">
              <w:rPr>
                <w:rFonts w:eastAsiaTheme="minorEastAsia"/>
                <w:b/>
                <w:bCs/>
                <w:kern w:val="0"/>
                <w:sz w:val="18"/>
                <w:szCs w:val="18"/>
              </w:rPr>
              <w:t>坐标</w:t>
            </w:r>
          </w:p>
        </w:tc>
        <w:tc>
          <w:tcPr>
            <w:tcW w:w="445" w:type="pct"/>
            <w:vAlign w:val="center"/>
            <w:hideMark/>
          </w:tcPr>
          <w:p w:rsidR="00325FFB" w:rsidRPr="00F9522B" w:rsidRDefault="00325FFB">
            <w:pPr>
              <w:widowControl/>
              <w:autoSpaceDE w:val="0"/>
              <w:adjustRightInd w:val="0"/>
              <w:snapToGrid w:val="0"/>
              <w:jc w:val="center"/>
              <w:textAlignment w:val="center"/>
              <w:rPr>
                <w:rFonts w:eastAsiaTheme="minorEastAsia"/>
                <w:b/>
                <w:bCs/>
                <w:sz w:val="18"/>
                <w:szCs w:val="18"/>
              </w:rPr>
            </w:pPr>
            <w:r w:rsidRPr="00F9522B">
              <w:rPr>
                <w:rFonts w:eastAsiaTheme="minorEastAsia"/>
                <w:b/>
                <w:bCs/>
                <w:kern w:val="0"/>
                <w:sz w:val="18"/>
                <w:szCs w:val="18"/>
              </w:rPr>
              <w:t>（眼）</w:t>
            </w:r>
          </w:p>
        </w:tc>
        <w:tc>
          <w:tcPr>
            <w:tcW w:w="427" w:type="pct"/>
            <w:vAlign w:val="center"/>
            <w:hideMark/>
          </w:tcPr>
          <w:p w:rsidR="00325FFB" w:rsidRPr="00F9522B" w:rsidRDefault="00325FFB">
            <w:pPr>
              <w:widowControl/>
              <w:autoSpaceDE w:val="0"/>
              <w:adjustRightInd w:val="0"/>
              <w:snapToGrid w:val="0"/>
              <w:jc w:val="center"/>
              <w:textAlignment w:val="center"/>
              <w:rPr>
                <w:rFonts w:eastAsiaTheme="minorEastAsia"/>
                <w:b/>
                <w:bCs/>
                <w:sz w:val="18"/>
                <w:szCs w:val="18"/>
              </w:rPr>
            </w:pPr>
            <w:r w:rsidRPr="00F9522B">
              <w:rPr>
                <w:rFonts w:eastAsiaTheme="minorEastAsia"/>
                <w:b/>
                <w:bCs/>
                <w:kern w:val="0"/>
                <w:sz w:val="18"/>
                <w:szCs w:val="18"/>
              </w:rPr>
              <w:t>（</w:t>
            </w:r>
            <w:r w:rsidRPr="00F9522B">
              <w:rPr>
                <w:rFonts w:eastAsiaTheme="minorEastAsia"/>
                <w:b/>
                <w:bCs/>
                <w:kern w:val="0"/>
                <w:sz w:val="18"/>
                <w:szCs w:val="18"/>
              </w:rPr>
              <w:t>m</w:t>
            </w:r>
            <w:r w:rsidRPr="00F9522B">
              <w:rPr>
                <w:rFonts w:eastAsiaTheme="minorEastAsia"/>
                <w:b/>
                <w:bCs/>
                <w:kern w:val="0"/>
                <w:sz w:val="18"/>
                <w:szCs w:val="18"/>
              </w:rPr>
              <w:t>）</w:t>
            </w:r>
          </w:p>
        </w:tc>
        <w:tc>
          <w:tcPr>
            <w:tcW w:w="444" w:type="pct"/>
            <w:vMerge/>
            <w:vAlign w:val="center"/>
          </w:tcPr>
          <w:p w:rsidR="00325FFB" w:rsidRPr="00F9522B" w:rsidRDefault="00325FFB">
            <w:pPr>
              <w:widowControl/>
              <w:autoSpaceDE w:val="0"/>
              <w:adjustRightInd w:val="0"/>
              <w:snapToGrid w:val="0"/>
              <w:jc w:val="center"/>
              <w:rPr>
                <w:rFonts w:eastAsiaTheme="minorEastAsia"/>
                <w:b/>
                <w:bCs/>
                <w:sz w:val="18"/>
                <w:szCs w:val="18"/>
              </w:rPr>
            </w:pPr>
          </w:p>
        </w:tc>
        <w:tc>
          <w:tcPr>
            <w:tcW w:w="547" w:type="pct"/>
            <w:vAlign w:val="center"/>
            <w:hideMark/>
          </w:tcPr>
          <w:p w:rsidR="00325FFB" w:rsidRPr="00F9522B" w:rsidRDefault="00325FFB">
            <w:pPr>
              <w:widowControl/>
              <w:autoSpaceDE w:val="0"/>
              <w:adjustRightInd w:val="0"/>
              <w:snapToGrid w:val="0"/>
              <w:jc w:val="center"/>
              <w:textAlignment w:val="center"/>
              <w:rPr>
                <w:rFonts w:eastAsiaTheme="minorEastAsia"/>
                <w:b/>
                <w:bCs/>
                <w:sz w:val="18"/>
                <w:szCs w:val="18"/>
              </w:rPr>
            </w:pPr>
            <w:r w:rsidRPr="00F9522B">
              <w:rPr>
                <w:rFonts w:eastAsiaTheme="minorEastAsia"/>
                <w:b/>
                <w:bCs/>
                <w:kern w:val="0"/>
                <w:sz w:val="18"/>
                <w:szCs w:val="18"/>
              </w:rPr>
              <w:t>（</w:t>
            </w:r>
            <w:r w:rsidRPr="00F9522B">
              <w:rPr>
                <w:rFonts w:eastAsiaTheme="minorEastAsia"/>
                <w:b/>
                <w:bCs/>
                <w:kern w:val="0"/>
                <w:sz w:val="18"/>
                <w:szCs w:val="18"/>
              </w:rPr>
              <w:t>m³/h</w:t>
            </w:r>
            <w:r w:rsidRPr="00F9522B">
              <w:rPr>
                <w:rFonts w:eastAsiaTheme="minorEastAsia"/>
                <w:b/>
                <w:bCs/>
                <w:kern w:val="0"/>
                <w:sz w:val="18"/>
                <w:szCs w:val="18"/>
              </w:rPr>
              <w:t>）</w:t>
            </w:r>
          </w:p>
        </w:tc>
      </w:tr>
      <w:tr w:rsidR="00325FFB" w:rsidRPr="00F9522B" w:rsidTr="00325FFB">
        <w:trPr>
          <w:trHeight w:val="300"/>
        </w:trPr>
        <w:tc>
          <w:tcPr>
            <w:tcW w:w="285"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323" w:type="pct"/>
            <w:vMerge w:val="restar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方台片区</w:t>
            </w:r>
          </w:p>
        </w:tc>
        <w:tc>
          <w:tcPr>
            <w:tcW w:w="376" w:type="pct"/>
            <w:vMerge w:val="restar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榆林村</w:t>
            </w: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榆林设计井</w:t>
            </w:r>
            <w:r w:rsidRPr="00F9522B">
              <w:rPr>
                <w:rFonts w:eastAsiaTheme="minorEastAsia"/>
                <w:kern w:val="0"/>
                <w:sz w:val="18"/>
                <w:szCs w:val="18"/>
              </w:rPr>
              <w:t>1</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5104694.956</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566706.557</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325FFB">
        <w:trPr>
          <w:trHeight w:val="300"/>
        </w:trPr>
        <w:tc>
          <w:tcPr>
            <w:tcW w:w="285"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榆林设计井</w:t>
            </w:r>
            <w:r w:rsidRPr="00F9522B">
              <w:rPr>
                <w:rFonts w:eastAsiaTheme="minorEastAsia"/>
                <w:kern w:val="0"/>
                <w:sz w:val="18"/>
                <w:szCs w:val="18"/>
              </w:rPr>
              <w:t>2</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5104680.354</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566915.292</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325FFB">
        <w:trPr>
          <w:trHeight w:val="300"/>
        </w:trPr>
        <w:tc>
          <w:tcPr>
            <w:tcW w:w="285"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榆林设计井</w:t>
            </w:r>
            <w:r w:rsidRPr="00F9522B">
              <w:rPr>
                <w:rFonts w:eastAsiaTheme="minorEastAsia"/>
                <w:kern w:val="0"/>
                <w:sz w:val="18"/>
                <w:szCs w:val="18"/>
              </w:rPr>
              <w:t>3</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5104465.943</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567032.391</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325FFB">
        <w:trPr>
          <w:trHeight w:val="300"/>
        </w:trPr>
        <w:tc>
          <w:tcPr>
            <w:tcW w:w="285"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4</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榆林设计井</w:t>
            </w:r>
            <w:r w:rsidRPr="00F9522B">
              <w:rPr>
                <w:rFonts w:eastAsiaTheme="minorEastAsia"/>
                <w:kern w:val="0"/>
                <w:sz w:val="18"/>
                <w:szCs w:val="18"/>
              </w:rPr>
              <w:t>4</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5104437.257</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567255.922</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325FFB">
        <w:trPr>
          <w:trHeight w:val="300"/>
        </w:trPr>
        <w:tc>
          <w:tcPr>
            <w:tcW w:w="285"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榆林设计井</w:t>
            </w:r>
            <w:r w:rsidRPr="00F9522B">
              <w:rPr>
                <w:rFonts w:eastAsiaTheme="minorEastAsia"/>
                <w:kern w:val="0"/>
                <w:sz w:val="18"/>
                <w:szCs w:val="18"/>
              </w:rPr>
              <w:t>5</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5104396.865</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567686.942</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325FFB">
        <w:trPr>
          <w:trHeight w:val="300"/>
        </w:trPr>
        <w:tc>
          <w:tcPr>
            <w:tcW w:w="285"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6</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榆林设计井</w:t>
            </w:r>
            <w:r w:rsidRPr="00F9522B">
              <w:rPr>
                <w:rFonts w:eastAsiaTheme="minorEastAsia"/>
                <w:kern w:val="0"/>
                <w:sz w:val="18"/>
                <w:szCs w:val="18"/>
              </w:rPr>
              <w:t>6</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5104490.824</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567958.824</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325FFB">
        <w:trPr>
          <w:trHeight w:val="300"/>
        </w:trPr>
        <w:tc>
          <w:tcPr>
            <w:tcW w:w="285"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7</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榆林设计井</w:t>
            </w:r>
            <w:r w:rsidRPr="00F9522B">
              <w:rPr>
                <w:rFonts w:eastAsiaTheme="minorEastAsia"/>
                <w:kern w:val="0"/>
                <w:sz w:val="18"/>
                <w:szCs w:val="18"/>
              </w:rPr>
              <w:t>7</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5104075.351</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567374.721</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325FFB">
        <w:trPr>
          <w:trHeight w:val="300"/>
        </w:trPr>
        <w:tc>
          <w:tcPr>
            <w:tcW w:w="285"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榆林设计井</w:t>
            </w:r>
            <w:r w:rsidRPr="00F9522B">
              <w:rPr>
                <w:rFonts w:eastAsiaTheme="minorEastAsia"/>
                <w:kern w:val="0"/>
                <w:sz w:val="18"/>
                <w:szCs w:val="18"/>
              </w:rPr>
              <w:t>8</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5103994.068</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567672.365</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325FFB">
        <w:trPr>
          <w:trHeight w:val="300"/>
        </w:trPr>
        <w:tc>
          <w:tcPr>
            <w:tcW w:w="285"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restar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高家村</w:t>
            </w: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高家设计井</w:t>
            </w:r>
            <w:r w:rsidRPr="00F9522B">
              <w:rPr>
                <w:rFonts w:eastAsiaTheme="minorEastAsia"/>
                <w:kern w:val="0"/>
                <w:sz w:val="18"/>
                <w:szCs w:val="18"/>
              </w:rPr>
              <w:t>1</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5103582.661</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568415.758</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325FFB">
        <w:trPr>
          <w:trHeight w:val="300"/>
        </w:trPr>
        <w:tc>
          <w:tcPr>
            <w:tcW w:w="285"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10</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高家设计井</w:t>
            </w:r>
            <w:r w:rsidRPr="00F9522B">
              <w:rPr>
                <w:rFonts w:eastAsiaTheme="minorEastAsia"/>
                <w:kern w:val="0"/>
                <w:sz w:val="18"/>
                <w:szCs w:val="18"/>
              </w:rPr>
              <w:t>2</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5103165.182</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568498.291</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325FFB">
        <w:trPr>
          <w:trHeight w:val="300"/>
        </w:trPr>
        <w:tc>
          <w:tcPr>
            <w:tcW w:w="285"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11</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高家设计井</w:t>
            </w:r>
            <w:r w:rsidRPr="00F9522B">
              <w:rPr>
                <w:rFonts w:eastAsiaTheme="minorEastAsia"/>
                <w:kern w:val="0"/>
                <w:sz w:val="18"/>
                <w:szCs w:val="18"/>
              </w:rPr>
              <w:t>3</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5103090.121</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568872.011</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325FFB">
        <w:trPr>
          <w:trHeight w:val="300"/>
        </w:trPr>
        <w:tc>
          <w:tcPr>
            <w:tcW w:w="285"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12</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高家设计井</w:t>
            </w:r>
            <w:r w:rsidRPr="00F9522B">
              <w:rPr>
                <w:rFonts w:eastAsiaTheme="minorEastAsia"/>
                <w:kern w:val="0"/>
                <w:sz w:val="18"/>
                <w:szCs w:val="18"/>
              </w:rPr>
              <w:t>4</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5102928.374</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568687.758</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325FFB">
        <w:trPr>
          <w:trHeight w:val="300"/>
        </w:trPr>
        <w:tc>
          <w:tcPr>
            <w:tcW w:w="285"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13</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高家设计井</w:t>
            </w:r>
            <w:r w:rsidRPr="00F9522B">
              <w:rPr>
                <w:rFonts w:eastAsiaTheme="minorEastAsia"/>
                <w:kern w:val="0"/>
                <w:sz w:val="18"/>
                <w:szCs w:val="18"/>
              </w:rPr>
              <w:t>5</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5102739.378</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568626.793</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325FFB">
        <w:trPr>
          <w:trHeight w:val="300"/>
        </w:trPr>
        <w:tc>
          <w:tcPr>
            <w:tcW w:w="285"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14</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高家设计井</w:t>
            </w:r>
            <w:r w:rsidRPr="00F9522B">
              <w:rPr>
                <w:rFonts w:eastAsiaTheme="minorEastAsia"/>
                <w:kern w:val="0"/>
                <w:sz w:val="18"/>
                <w:szCs w:val="18"/>
              </w:rPr>
              <w:t>6</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5102505.569</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568627.393</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325FFB">
        <w:trPr>
          <w:trHeight w:val="300"/>
        </w:trPr>
        <w:tc>
          <w:tcPr>
            <w:tcW w:w="285"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15</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高家设计井</w:t>
            </w:r>
            <w:r w:rsidRPr="00F9522B">
              <w:rPr>
                <w:rFonts w:eastAsiaTheme="minorEastAsia"/>
                <w:kern w:val="0"/>
                <w:sz w:val="18"/>
                <w:szCs w:val="18"/>
              </w:rPr>
              <w:t>7</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5102572.334</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568055.392</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325FFB">
        <w:trPr>
          <w:trHeight w:val="300"/>
        </w:trPr>
        <w:tc>
          <w:tcPr>
            <w:tcW w:w="285"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16</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高家设计井</w:t>
            </w:r>
            <w:r w:rsidRPr="00F9522B">
              <w:rPr>
                <w:rFonts w:eastAsiaTheme="minorEastAsia"/>
                <w:kern w:val="0"/>
                <w:sz w:val="18"/>
                <w:szCs w:val="18"/>
              </w:rPr>
              <w:t>8</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5102464.623</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568176.853</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325FFB">
        <w:trPr>
          <w:trHeight w:val="300"/>
        </w:trPr>
        <w:tc>
          <w:tcPr>
            <w:tcW w:w="285"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17</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高家设计井</w:t>
            </w:r>
            <w:r w:rsidRPr="00F9522B">
              <w:rPr>
                <w:rFonts w:eastAsiaTheme="minorEastAsia"/>
                <w:kern w:val="0"/>
                <w:sz w:val="18"/>
                <w:szCs w:val="18"/>
              </w:rPr>
              <w:t>9</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5102131.072</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566063.510</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325FFB">
        <w:trPr>
          <w:trHeight w:val="300"/>
        </w:trPr>
        <w:tc>
          <w:tcPr>
            <w:tcW w:w="285"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18</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高家设计井</w:t>
            </w:r>
            <w:r w:rsidRPr="00F9522B">
              <w:rPr>
                <w:rFonts w:eastAsiaTheme="minorEastAsia"/>
                <w:kern w:val="0"/>
                <w:sz w:val="18"/>
                <w:szCs w:val="18"/>
              </w:rPr>
              <w:t>10</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5102176.120</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566460.393</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325FFB">
        <w:trPr>
          <w:trHeight w:val="300"/>
        </w:trPr>
        <w:tc>
          <w:tcPr>
            <w:tcW w:w="285"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19</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高家设计井</w:t>
            </w:r>
            <w:r w:rsidRPr="00F9522B">
              <w:rPr>
                <w:rFonts w:eastAsiaTheme="minorEastAsia"/>
                <w:kern w:val="0"/>
                <w:sz w:val="18"/>
                <w:szCs w:val="18"/>
              </w:rPr>
              <w:t>11</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5102167.290</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566806.251</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325FFB">
        <w:trPr>
          <w:trHeight w:val="300"/>
        </w:trPr>
        <w:tc>
          <w:tcPr>
            <w:tcW w:w="285"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20</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高家设计井</w:t>
            </w:r>
            <w:r w:rsidRPr="00F9522B">
              <w:rPr>
                <w:rFonts w:eastAsiaTheme="minorEastAsia"/>
                <w:kern w:val="0"/>
                <w:sz w:val="18"/>
                <w:szCs w:val="18"/>
              </w:rPr>
              <w:t>12</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5102368.090</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567124.224</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325FFB">
        <w:trPr>
          <w:trHeight w:val="300"/>
        </w:trPr>
        <w:tc>
          <w:tcPr>
            <w:tcW w:w="285"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21</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高家设计井</w:t>
            </w:r>
            <w:r w:rsidRPr="00F9522B">
              <w:rPr>
                <w:rFonts w:eastAsiaTheme="minorEastAsia"/>
                <w:kern w:val="0"/>
                <w:sz w:val="18"/>
                <w:szCs w:val="18"/>
              </w:rPr>
              <w:t>13</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5101949.072</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566579.662</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325FFB">
        <w:trPr>
          <w:trHeight w:val="300"/>
        </w:trPr>
        <w:tc>
          <w:tcPr>
            <w:tcW w:w="285"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22</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高家设计井</w:t>
            </w:r>
            <w:r w:rsidRPr="00F9522B">
              <w:rPr>
                <w:rFonts w:eastAsiaTheme="minorEastAsia"/>
                <w:kern w:val="0"/>
                <w:sz w:val="18"/>
                <w:szCs w:val="18"/>
              </w:rPr>
              <w:t>14</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5101645.107</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566564.880</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325FFB">
        <w:trPr>
          <w:trHeight w:val="300"/>
        </w:trPr>
        <w:tc>
          <w:tcPr>
            <w:tcW w:w="285"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23</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高家设计井</w:t>
            </w:r>
            <w:r w:rsidRPr="00F9522B">
              <w:rPr>
                <w:rFonts w:eastAsiaTheme="minorEastAsia"/>
                <w:kern w:val="0"/>
                <w:sz w:val="18"/>
                <w:szCs w:val="18"/>
              </w:rPr>
              <w:t>15</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5101675.598</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566780.765</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325FFB">
        <w:trPr>
          <w:trHeight w:val="300"/>
        </w:trPr>
        <w:tc>
          <w:tcPr>
            <w:tcW w:w="285"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24</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高家设计井</w:t>
            </w:r>
            <w:r w:rsidRPr="00F9522B">
              <w:rPr>
                <w:rFonts w:eastAsiaTheme="minorEastAsia"/>
                <w:kern w:val="0"/>
                <w:sz w:val="18"/>
                <w:szCs w:val="18"/>
              </w:rPr>
              <w:t>16</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5101808.878</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567139.741</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325FFB">
        <w:trPr>
          <w:trHeight w:val="300"/>
        </w:trPr>
        <w:tc>
          <w:tcPr>
            <w:tcW w:w="285"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25</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高家设计井</w:t>
            </w:r>
            <w:r w:rsidRPr="00F9522B">
              <w:rPr>
                <w:rFonts w:eastAsiaTheme="minorEastAsia"/>
                <w:kern w:val="0"/>
                <w:sz w:val="18"/>
                <w:szCs w:val="18"/>
              </w:rPr>
              <w:t>17</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5101882.244</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567303.487</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325FFB">
        <w:trPr>
          <w:trHeight w:val="300"/>
        </w:trPr>
        <w:tc>
          <w:tcPr>
            <w:tcW w:w="285"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26</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高家设计井</w:t>
            </w:r>
            <w:r w:rsidRPr="00F9522B">
              <w:rPr>
                <w:rFonts w:eastAsiaTheme="minorEastAsia"/>
                <w:kern w:val="0"/>
                <w:sz w:val="18"/>
                <w:szCs w:val="18"/>
              </w:rPr>
              <w:t>18</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5101927.449</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567463.097</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325FFB">
        <w:trPr>
          <w:trHeight w:val="300"/>
        </w:trPr>
        <w:tc>
          <w:tcPr>
            <w:tcW w:w="285"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27</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高家设计井</w:t>
            </w:r>
            <w:r w:rsidRPr="00F9522B">
              <w:rPr>
                <w:rFonts w:eastAsiaTheme="minorEastAsia"/>
                <w:kern w:val="0"/>
                <w:sz w:val="18"/>
                <w:szCs w:val="18"/>
              </w:rPr>
              <w:t>19</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5101916.705</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567674.163</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325FFB">
        <w:trPr>
          <w:trHeight w:val="300"/>
        </w:trPr>
        <w:tc>
          <w:tcPr>
            <w:tcW w:w="285"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28</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高家设计井</w:t>
            </w:r>
            <w:r w:rsidRPr="00F9522B">
              <w:rPr>
                <w:rFonts w:eastAsiaTheme="minorEastAsia"/>
                <w:kern w:val="0"/>
                <w:sz w:val="18"/>
                <w:szCs w:val="18"/>
              </w:rPr>
              <w:t>20</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5102141.761</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567815.193</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325FFB">
        <w:trPr>
          <w:trHeight w:val="300"/>
        </w:trPr>
        <w:tc>
          <w:tcPr>
            <w:tcW w:w="285"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29</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高家设计井</w:t>
            </w:r>
            <w:r w:rsidRPr="00F9522B">
              <w:rPr>
                <w:rFonts w:eastAsiaTheme="minorEastAsia"/>
                <w:kern w:val="0"/>
                <w:sz w:val="18"/>
                <w:szCs w:val="18"/>
              </w:rPr>
              <w:t>21</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5102147.755</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568062.103</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325FFB">
        <w:trPr>
          <w:trHeight w:val="300"/>
        </w:trPr>
        <w:tc>
          <w:tcPr>
            <w:tcW w:w="285"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高家设计井</w:t>
            </w:r>
            <w:r w:rsidRPr="00F9522B">
              <w:rPr>
                <w:rFonts w:eastAsiaTheme="minorEastAsia"/>
                <w:kern w:val="0"/>
                <w:sz w:val="18"/>
                <w:szCs w:val="18"/>
              </w:rPr>
              <w:t>22</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5102258.852</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568253.666</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325FFB">
        <w:trPr>
          <w:trHeight w:val="300"/>
        </w:trPr>
        <w:tc>
          <w:tcPr>
            <w:tcW w:w="285"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31</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高家设计井</w:t>
            </w:r>
            <w:r w:rsidRPr="00F9522B">
              <w:rPr>
                <w:rFonts w:eastAsiaTheme="minorEastAsia"/>
                <w:kern w:val="0"/>
                <w:sz w:val="18"/>
                <w:szCs w:val="18"/>
              </w:rPr>
              <w:t>23</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5102111.208</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568606.953</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325FFB">
        <w:trPr>
          <w:trHeight w:val="300"/>
        </w:trPr>
        <w:tc>
          <w:tcPr>
            <w:tcW w:w="285"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32</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高家设计井</w:t>
            </w:r>
            <w:r w:rsidRPr="00F9522B">
              <w:rPr>
                <w:rFonts w:eastAsiaTheme="minorEastAsia"/>
                <w:kern w:val="0"/>
                <w:sz w:val="18"/>
                <w:szCs w:val="18"/>
              </w:rPr>
              <w:t>24</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5101636.464</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567172.164</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325FFB">
        <w:trPr>
          <w:trHeight w:val="300"/>
        </w:trPr>
        <w:tc>
          <w:tcPr>
            <w:tcW w:w="285"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33</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高家设计井</w:t>
            </w:r>
            <w:r w:rsidRPr="00F9522B">
              <w:rPr>
                <w:rFonts w:eastAsiaTheme="minorEastAsia"/>
                <w:kern w:val="0"/>
                <w:sz w:val="18"/>
                <w:szCs w:val="18"/>
              </w:rPr>
              <w:t>25</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5101726.586</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567290.017</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325FFB">
        <w:trPr>
          <w:trHeight w:val="300"/>
        </w:trPr>
        <w:tc>
          <w:tcPr>
            <w:tcW w:w="285"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34</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高家设计井</w:t>
            </w:r>
            <w:r w:rsidRPr="00F9522B">
              <w:rPr>
                <w:rFonts w:eastAsiaTheme="minorEastAsia"/>
                <w:kern w:val="0"/>
                <w:sz w:val="18"/>
                <w:szCs w:val="18"/>
              </w:rPr>
              <w:t>26</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5101675.532</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567435.617</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325FFB">
        <w:trPr>
          <w:trHeight w:val="300"/>
        </w:trPr>
        <w:tc>
          <w:tcPr>
            <w:tcW w:w="285"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35</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高家设计井</w:t>
            </w:r>
            <w:r w:rsidRPr="00F9522B">
              <w:rPr>
                <w:rFonts w:eastAsiaTheme="minorEastAsia"/>
                <w:kern w:val="0"/>
                <w:sz w:val="18"/>
                <w:szCs w:val="18"/>
              </w:rPr>
              <w:t>27</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5101733.797</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567640.562</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325FFB">
        <w:trPr>
          <w:trHeight w:val="300"/>
        </w:trPr>
        <w:tc>
          <w:tcPr>
            <w:tcW w:w="285"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36</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高家设计井</w:t>
            </w:r>
            <w:r w:rsidRPr="00F9522B">
              <w:rPr>
                <w:rFonts w:eastAsiaTheme="minorEastAsia"/>
                <w:kern w:val="0"/>
                <w:sz w:val="18"/>
                <w:szCs w:val="18"/>
              </w:rPr>
              <w:t>28</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5101759.338</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567835.129</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bl>
    <w:p w:rsidR="00AB10DD" w:rsidRPr="00F9522B" w:rsidRDefault="00AB10DD" w:rsidP="00297C54">
      <w:pPr>
        <w:contextualSpacing/>
        <w:jc w:val="center"/>
        <w:rPr>
          <w:rFonts w:eastAsiaTheme="minorEastAsia"/>
          <w:b/>
          <w:kern w:val="0"/>
          <w:szCs w:val="21"/>
        </w:rPr>
      </w:pPr>
    </w:p>
    <w:p w:rsidR="00AB10DD" w:rsidRPr="00F9522B" w:rsidRDefault="00AB10DD" w:rsidP="00297C54">
      <w:pPr>
        <w:contextualSpacing/>
        <w:jc w:val="center"/>
        <w:rPr>
          <w:rFonts w:eastAsiaTheme="minorEastAsia"/>
          <w:b/>
          <w:kern w:val="0"/>
          <w:szCs w:val="21"/>
        </w:rPr>
      </w:pPr>
    </w:p>
    <w:p w:rsidR="00AB10DD" w:rsidRPr="00F9522B" w:rsidRDefault="00AB10DD" w:rsidP="00297C54">
      <w:pPr>
        <w:contextualSpacing/>
        <w:jc w:val="center"/>
        <w:rPr>
          <w:rFonts w:eastAsiaTheme="minorEastAsia"/>
          <w:b/>
          <w:kern w:val="0"/>
          <w:szCs w:val="21"/>
        </w:rPr>
      </w:pPr>
    </w:p>
    <w:p w:rsidR="00AB10DD" w:rsidRPr="00F9522B" w:rsidRDefault="00AB10DD" w:rsidP="00297C54">
      <w:pPr>
        <w:contextualSpacing/>
        <w:jc w:val="center"/>
        <w:rPr>
          <w:rFonts w:eastAsiaTheme="minorEastAsia"/>
          <w:b/>
          <w:kern w:val="0"/>
          <w:szCs w:val="21"/>
        </w:rPr>
      </w:pPr>
    </w:p>
    <w:p w:rsidR="00AB10DD" w:rsidRPr="00F9522B" w:rsidRDefault="00AB10DD" w:rsidP="00297C54">
      <w:pPr>
        <w:contextualSpacing/>
        <w:jc w:val="center"/>
        <w:rPr>
          <w:rFonts w:eastAsiaTheme="minorEastAsia"/>
          <w:b/>
          <w:kern w:val="0"/>
          <w:szCs w:val="21"/>
        </w:rPr>
      </w:pPr>
    </w:p>
    <w:p w:rsidR="00297C54" w:rsidRPr="00F9522B" w:rsidRDefault="00297C54" w:rsidP="00297C54">
      <w:pPr>
        <w:contextualSpacing/>
        <w:jc w:val="center"/>
        <w:rPr>
          <w:rFonts w:eastAsiaTheme="minorEastAsia"/>
          <w:b/>
          <w:kern w:val="0"/>
          <w:szCs w:val="21"/>
        </w:rPr>
      </w:pPr>
      <w:r w:rsidRPr="00F9522B">
        <w:rPr>
          <w:rFonts w:eastAsiaTheme="minorEastAsia"/>
          <w:b/>
          <w:kern w:val="0"/>
          <w:szCs w:val="21"/>
        </w:rPr>
        <w:lastRenderedPageBreak/>
        <w:t>续表</w:t>
      </w:r>
      <w:r w:rsidRPr="00F9522B">
        <w:rPr>
          <w:rFonts w:eastAsiaTheme="minorEastAsia"/>
          <w:b/>
          <w:kern w:val="0"/>
          <w:szCs w:val="21"/>
        </w:rPr>
        <w:t>3-1-</w:t>
      </w:r>
      <w:r w:rsidR="00B40846" w:rsidRPr="00F9522B">
        <w:rPr>
          <w:rFonts w:eastAsiaTheme="minorEastAsia"/>
          <w:b/>
          <w:kern w:val="0"/>
          <w:szCs w:val="21"/>
        </w:rPr>
        <w:t>10</w:t>
      </w:r>
      <w:r w:rsidRPr="00F9522B">
        <w:rPr>
          <w:rFonts w:eastAsiaTheme="minorEastAsia"/>
          <w:b/>
          <w:kern w:val="0"/>
          <w:szCs w:val="21"/>
        </w:rPr>
        <w:t>新建灌溉井参数及位置表</w:t>
      </w:r>
    </w:p>
    <w:tbl>
      <w:tblPr>
        <w:tblW w:w="5000" w:type="pct"/>
        <w:tblBorders>
          <w:top w:val="single" w:sz="12" w:space="0" w:color="000000"/>
          <w:bottom w:val="single" w:sz="12" w:space="0" w:color="000000"/>
          <w:insideH w:val="single" w:sz="4" w:space="0" w:color="000000"/>
          <w:insideV w:val="single" w:sz="4" w:space="0" w:color="000000"/>
        </w:tblBorders>
        <w:tblLook w:val="04A0"/>
      </w:tblPr>
      <w:tblGrid>
        <w:gridCol w:w="487"/>
        <w:gridCol w:w="551"/>
        <w:gridCol w:w="641"/>
        <w:gridCol w:w="1435"/>
        <w:gridCol w:w="1161"/>
        <w:gridCol w:w="1072"/>
        <w:gridCol w:w="758"/>
        <w:gridCol w:w="728"/>
        <w:gridCol w:w="757"/>
        <w:gridCol w:w="932"/>
      </w:tblGrid>
      <w:tr w:rsidR="00297C54" w:rsidRPr="00F9522B" w:rsidTr="00297C54">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37</w:t>
            </w:r>
          </w:p>
        </w:tc>
        <w:tc>
          <w:tcPr>
            <w:tcW w:w="323" w:type="pct"/>
            <w:vMerge w:val="restart"/>
            <w:vAlign w:val="center"/>
          </w:tcPr>
          <w:p w:rsidR="00297C54" w:rsidRPr="00F9522B" w:rsidRDefault="00297C54" w:rsidP="00E268F3">
            <w:pPr>
              <w:autoSpaceDE w:val="0"/>
              <w:adjustRightInd w:val="0"/>
              <w:snapToGrid w:val="0"/>
              <w:jc w:val="center"/>
              <w:rPr>
                <w:rFonts w:eastAsiaTheme="minorEastAsia"/>
                <w:sz w:val="18"/>
                <w:szCs w:val="18"/>
              </w:rPr>
            </w:pPr>
            <w:r w:rsidRPr="00F9522B">
              <w:rPr>
                <w:rFonts w:eastAsiaTheme="minorEastAsia"/>
                <w:kern w:val="0"/>
                <w:sz w:val="18"/>
                <w:szCs w:val="18"/>
              </w:rPr>
              <w:t>方台片区</w:t>
            </w:r>
          </w:p>
        </w:tc>
        <w:tc>
          <w:tcPr>
            <w:tcW w:w="376" w:type="pct"/>
            <w:vMerge w:val="restart"/>
            <w:vAlign w:val="center"/>
          </w:tcPr>
          <w:p w:rsidR="00297C54" w:rsidRPr="00F9522B" w:rsidRDefault="00297C54">
            <w:pPr>
              <w:widowControl/>
              <w:autoSpaceDE w:val="0"/>
              <w:adjustRightInd w:val="0"/>
              <w:snapToGrid w:val="0"/>
              <w:jc w:val="center"/>
              <w:rPr>
                <w:rFonts w:eastAsiaTheme="minorEastAsia"/>
                <w:sz w:val="18"/>
                <w:szCs w:val="18"/>
              </w:rPr>
            </w:pPr>
            <w:r w:rsidRPr="00F9522B">
              <w:rPr>
                <w:rFonts w:eastAsiaTheme="minorEastAsia"/>
                <w:kern w:val="0"/>
                <w:sz w:val="18"/>
                <w:szCs w:val="18"/>
              </w:rPr>
              <w:t>高家村</w:t>
            </w: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高家设计井</w:t>
            </w:r>
            <w:r w:rsidRPr="00F9522B">
              <w:rPr>
                <w:rFonts w:eastAsiaTheme="minorEastAsia"/>
                <w:kern w:val="0"/>
                <w:sz w:val="18"/>
                <w:szCs w:val="18"/>
              </w:rPr>
              <w:t>29</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5101947.201</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568223.781</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297C54">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38</w:t>
            </w:r>
          </w:p>
        </w:tc>
        <w:tc>
          <w:tcPr>
            <w:tcW w:w="323" w:type="pct"/>
            <w:vMerge/>
            <w:vAlign w:val="center"/>
          </w:tcPr>
          <w:p w:rsidR="00297C54" w:rsidRPr="00F9522B" w:rsidRDefault="00297C54" w:rsidP="00E268F3">
            <w:pPr>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高家设计井</w:t>
            </w:r>
            <w:r w:rsidRPr="00F9522B">
              <w:rPr>
                <w:rFonts w:eastAsiaTheme="minorEastAsia"/>
                <w:kern w:val="0"/>
                <w:sz w:val="18"/>
                <w:szCs w:val="18"/>
              </w:rPr>
              <w:t>30</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5101817.400</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568290.100</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297C54">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39</w:t>
            </w:r>
          </w:p>
        </w:tc>
        <w:tc>
          <w:tcPr>
            <w:tcW w:w="323" w:type="pct"/>
            <w:vMerge/>
            <w:vAlign w:val="center"/>
          </w:tcPr>
          <w:p w:rsidR="00297C54" w:rsidRPr="00F9522B" w:rsidRDefault="00297C54" w:rsidP="00E268F3">
            <w:pPr>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高家设计井</w:t>
            </w:r>
            <w:r w:rsidRPr="00F9522B">
              <w:rPr>
                <w:rFonts w:eastAsiaTheme="minorEastAsia"/>
                <w:kern w:val="0"/>
                <w:sz w:val="18"/>
                <w:szCs w:val="18"/>
              </w:rPr>
              <w:t>31</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5101482.261</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567167.643</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297C54">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40</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restar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方台村</w:t>
            </w: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方台设计井</w:t>
            </w:r>
            <w:r w:rsidRPr="00F9522B">
              <w:rPr>
                <w:rFonts w:eastAsiaTheme="minorEastAsia"/>
                <w:kern w:val="0"/>
                <w:sz w:val="18"/>
                <w:szCs w:val="18"/>
              </w:rPr>
              <w:t>1</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5108167.922</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573427.833</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297C54">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41</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方台设计井</w:t>
            </w:r>
            <w:r w:rsidRPr="00F9522B">
              <w:rPr>
                <w:rFonts w:eastAsiaTheme="minorEastAsia"/>
                <w:kern w:val="0"/>
                <w:sz w:val="18"/>
                <w:szCs w:val="18"/>
              </w:rPr>
              <w:t>2</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5107519.239</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571984.760</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297C54">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42</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方台设计井</w:t>
            </w:r>
            <w:r w:rsidRPr="00F9522B">
              <w:rPr>
                <w:rFonts w:eastAsiaTheme="minorEastAsia"/>
                <w:kern w:val="0"/>
                <w:sz w:val="18"/>
                <w:szCs w:val="18"/>
              </w:rPr>
              <w:t>3</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5106752.661</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572093.164</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297C54">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43</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方台设计井</w:t>
            </w:r>
            <w:r w:rsidRPr="00F9522B">
              <w:rPr>
                <w:rFonts w:eastAsiaTheme="minorEastAsia"/>
                <w:kern w:val="0"/>
                <w:sz w:val="18"/>
                <w:szCs w:val="18"/>
              </w:rPr>
              <w:t>4</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5106502.122</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572709.912</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297C54">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44</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方台设计井</w:t>
            </w:r>
            <w:r w:rsidRPr="00F9522B">
              <w:rPr>
                <w:rFonts w:eastAsiaTheme="minorEastAsia"/>
                <w:kern w:val="0"/>
                <w:sz w:val="18"/>
                <w:szCs w:val="18"/>
              </w:rPr>
              <w:t>5</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5106483.534</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573413.708</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297C54">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45</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方台设计井</w:t>
            </w:r>
            <w:r w:rsidRPr="00F9522B">
              <w:rPr>
                <w:rFonts w:eastAsiaTheme="minorEastAsia"/>
                <w:kern w:val="0"/>
                <w:sz w:val="18"/>
                <w:szCs w:val="18"/>
              </w:rPr>
              <w:t>6</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5104539.209</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572883.676</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297C54">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46</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方台设计井</w:t>
            </w:r>
            <w:r w:rsidRPr="00F9522B">
              <w:rPr>
                <w:rFonts w:eastAsiaTheme="minorEastAsia"/>
                <w:kern w:val="0"/>
                <w:sz w:val="18"/>
                <w:szCs w:val="18"/>
              </w:rPr>
              <w:t>7</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5104011.937</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572172.390</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297C54">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47</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方台设计井</w:t>
            </w:r>
            <w:r w:rsidRPr="00F9522B">
              <w:rPr>
                <w:rFonts w:eastAsiaTheme="minorEastAsia"/>
                <w:kern w:val="0"/>
                <w:sz w:val="18"/>
                <w:szCs w:val="18"/>
              </w:rPr>
              <w:t>8</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5104156.551</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572979.229</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297C54">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48</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方台设计井</w:t>
            </w:r>
            <w:r w:rsidRPr="00F9522B">
              <w:rPr>
                <w:rFonts w:eastAsiaTheme="minorEastAsia"/>
                <w:kern w:val="0"/>
                <w:sz w:val="18"/>
                <w:szCs w:val="18"/>
              </w:rPr>
              <w:t>9</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5104136.661</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573757.786</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297C54">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49</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方台设计井</w:t>
            </w:r>
            <w:r w:rsidRPr="00F9522B">
              <w:rPr>
                <w:rFonts w:eastAsiaTheme="minorEastAsia"/>
                <w:kern w:val="0"/>
                <w:sz w:val="18"/>
                <w:szCs w:val="18"/>
              </w:rPr>
              <w:t>10</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5105931.250</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571702.705</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297C54">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50</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方台设计井</w:t>
            </w:r>
            <w:r w:rsidRPr="00F9522B">
              <w:rPr>
                <w:rFonts w:eastAsiaTheme="minorEastAsia"/>
                <w:kern w:val="0"/>
                <w:sz w:val="18"/>
                <w:szCs w:val="18"/>
              </w:rPr>
              <w:t>11</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5105878.869</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572312.370</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297C54">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方台设计井</w:t>
            </w:r>
            <w:r w:rsidRPr="00F9522B">
              <w:rPr>
                <w:rFonts w:eastAsiaTheme="minorEastAsia"/>
                <w:kern w:val="0"/>
                <w:sz w:val="18"/>
                <w:szCs w:val="18"/>
              </w:rPr>
              <w:t>12</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5103653.412</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571640.551</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297C54">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52</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restar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宋家村</w:t>
            </w: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宋家设计井</w:t>
            </w:r>
            <w:r w:rsidRPr="00F9522B">
              <w:rPr>
                <w:rFonts w:eastAsiaTheme="minorEastAsia"/>
                <w:kern w:val="0"/>
                <w:sz w:val="18"/>
                <w:szCs w:val="18"/>
              </w:rPr>
              <w:t>1</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5107175.011</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576957.107</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297C54">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53</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宋家设计井</w:t>
            </w:r>
            <w:r w:rsidRPr="00F9522B">
              <w:rPr>
                <w:rFonts w:eastAsiaTheme="minorEastAsia"/>
                <w:kern w:val="0"/>
                <w:sz w:val="18"/>
                <w:szCs w:val="18"/>
              </w:rPr>
              <w:t>2</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5106951.975</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576595.774</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297C54">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54</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宋家设计井</w:t>
            </w:r>
            <w:r w:rsidRPr="00F9522B">
              <w:rPr>
                <w:rFonts w:eastAsiaTheme="minorEastAsia"/>
                <w:kern w:val="0"/>
                <w:sz w:val="18"/>
                <w:szCs w:val="18"/>
              </w:rPr>
              <w:t>3</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5106777.372</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576313.422</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297C54">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55</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宋家设计井</w:t>
            </w:r>
            <w:r w:rsidRPr="00F9522B">
              <w:rPr>
                <w:rFonts w:eastAsiaTheme="minorEastAsia"/>
                <w:kern w:val="0"/>
                <w:sz w:val="18"/>
                <w:szCs w:val="18"/>
              </w:rPr>
              <w:t>4</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5106100.779</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576441.660</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297C54">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宋家设计井</w:t>
            </w:r>
            <w:r w:rsidRPr="00F9522B">
              <w:rPr>
                <w:rFonts w:eastAsiaTheme="minorEastAsia"/>
                <w:kern w:val="0"/>
                <w:sz w:val="18"/>
                <w:szCs w:val="18"/>
              </w:rPr>
              <w:t>5</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5106026.309</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576753.188</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297C54">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宋家设计井</w:t>
            </w:r>
            <w:r w:rsidRPr="00F9522B">
              <w:rPr>
                <w:rFonts w:eastAsiaTheme="minorEastAsia"/>
                <w:kern w:val="0"/>
                <w:sz w:val="18"/>
                <w:szCs w:val="18"/>
              </w:rPr>
              <w:t>6</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5105675.749</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576781.263</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297C54">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58</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宋家设计井</w:t>
            </w:r>
            <w:r w:rsidRPr="00F9522B">
              <w:rPr>
                <w:rFonts w:eastAsiaTheme="minorEastAsia"/>
                <w:kern w:val="0"/>
                <w:sz w:val="18"/>
                <w:szCs w:val="18"/>
              </w:rPr>
              <w:t>7</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5105495.998</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576677.522</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297C54">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59</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宋家设计井</w:t>
            </w:r>
            <w:r w:rsidRPr="00F9522B">
              <w:rPr>
                <w:rFonts w:eastAsiaTheme="minorEastAsia"/>
                <w:kern w:val="0"/>
                <w:sz w:val="18"/>
                <w:szCs w:val="18"/>
              </w:rPr>
              <w:t>8</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5105903.140</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577632.814</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297C54">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60</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宋家设计井</w:t>
            </w:r>
            <w:r w:rsidRPr="00F9522B">
              <w:rPr>
                <w:rFonts w:eastAsiaTheme="minorEastAsia"/>
                <w:kern w:val="0"/>
                <w:sz w:val="18"/>
                <w:szCs w:val="18"/>
              </w:rPr>
              <w:t>9</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5105703.140</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577632.814</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297C54">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61</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宋家设计井</w:t>
            </w:r>
            <w:r w:rsidRPr="00F9522B">
              <w:rPr>
                <w:rFonts w:eastAsiaTheme="minorEastAsia"/>
                <w:kern w:val="0"/>
                <w:sz w:val="18"/>
                <w:szCs w:val="18"/>
              </w:rPr>
              <w:t>10</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5105737.231</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574805.152</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297C54">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62</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宋家设计井</w:t>
            </w:r>
            <w:r w:rsidRPr="00F9522B">
              <w:rPr>
                <w:rFonts w:eastAsiaTheme="minorEastAsia"/>
                <w:kern w:val="0"/>
                <w:sz w:val="18"/>
                <w:szCs w:val="18"/>
              </w:rPr>
              <w:t>11</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5106474.337</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574679.260</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297C54">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63</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宋家设计井</w:t>
            </w:r>
            <w:r w:rsidRPr="00F9522B">
              <w:rPr>
                <w:rFonts w:eastAsiaTheme="minorEastAsia"/>
                <w:kern w:val="0"/>
                <w:sz w:val="18"/>
                <w:szCs w:val="18"/>
              </w:rPr>
              <w:t>12</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5106351.243</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574614.776</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297C54">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64</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宋家设计井</w:t>
            </w:r>
            <w:r w:rsidRPr="00F9522B">
              <w:rPr>
                <w:rFonts w:eastAsiaTheme="minorEastAsia"/>
                <w:kern w:val="0"/>
                <w:sz w:val="18"/>
                <w:szCs w:val="18"/>
              </w:rPr>
              <w:t>13</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5106250.006</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574874.947</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297C54">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65</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宋家设计井</w:t>
            </w:r>
            <w:r w:rsidRPr="00F9522B">
              <w:rPr>
                <w:rFonts w:eastAsiaTheme="minorEastAsia"/>
                <w:kern w:val="0"/>
                <w:sz w:val="18"/>
                <w:szCs w:val="18"/>
              </w:rPr>
              <w:t>14</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5106242.616</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574976.083</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297C54">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66</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宋家设计井</w:t>
            </w:r>
            <w:r w:rsidRPr="00F9522B">
              <w:rPr>
                <w:rFonts w:eastAsiaTheme="minorEastAsia"/>
                <w:kern w:val="0"/>
                <w:sz w:val="18"/>
                <w:szCs w:val="18"/>
              </w:rPr>
              <w:t>15</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5106225.885</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575256.918</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297C54">
        <w:trPr>
          <w:trHeight w:val="300"/>
        </w:trPr>
        <w:tc>
          <w:tcPr>
            <w:tcW w:w="286"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67</w:t>
            </w:r>
          </w:p>
        </w:tc>
        <w:tc>
          <w:tcPr>
            <w:tcW w:w="323" w:type="pct"/>
            <w:vMerge w:val="restar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石人片区</w:t>
            </w:r>
          </w:p>
        </w:tc>
        <w:tc>
          <w:tcPr>
            <w:tcW w:w="376" w:type="pct"/>
            <w:vMerge w:val="restar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城子村</w:t>
            </w: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城子设计井</w:t>
            </w:r>
            <w:r w:rsidRPr="00F9522B">
              <w:rPr>
                <w:rFonts w:eastAsiaTheme="minorEastAsia"/>
                <w:kern w:val="0"/>
                <w:sz w:val="18"/>
                <w:szCs w:val="18"/>
              </w:rPr>
              <w:t>1</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5130702.845</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571099.635</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297C54">
        <w:trPr>
          <w:trHeight w:val="300"/>
        </w:trPr>
        <w:tc>
          <w:tcPr>
            <w:tcW w:w="286"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68</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城子设计井</w:t>
            </w:r>
            <w:r w:rsidRPr="00F9522B">
              <w:rPr>
                <w:rFonts w:eastAsiaTheme="minorEastAsia"/>
                <w:kern w:val="0"/>
                <w:sz w:val="18"/>
                <w:szCs w:val="18"/>
              </w:rPr>
              <w:t>2</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5130895.248</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572048.999</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297C54">
        <w:trPr>
          <w:trHeight w:val="300"/>
        </w:trPr>
        <w:tc>
          <w:tcPr>
            <w:tcW w:w="286"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69</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城子设计井</w:t>
            </w:r>
            <w:r w:rsidRPr="00F9522B">
              <w:rPr>
                <w:rFonts w:eastAsiaTheme="minorEastAsia"/>
                <w:kern w:val="0"/>
                <w:sz w:val="18"/>
                <w:szCs w:val="18"/>
              </w:rPr>
              <w:t>3</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5130975.542</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572439.890</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297C54">
        <w:trPr>
          <w:trHeight w:val="300"/>
        </w:trPr>
        <w:tc>
          <w:tcPr>
            <w:tcW w:w="286"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70</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城子设计井</w:t>
            </w:r>
            <w:r w:rsidRPr="00F9522B">
              <w:rPr>
                <w:rFonts w:eastAsiaTheme="minorEastAsia"/>
                <w:kern w:val="0"/>
                <w:sz w:val="18"/>
                <w:szCs w:val="18"/>
              </w:rPr>
              <w:t>4</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5131088.263</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573247.605</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297C54">
        <w:trPr>
          <w:trHeight w:val="300"/>
        </w:trPr>
        <w:tc>
          <w:tcPr>
            <w:tcW w:w="286"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71</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城子设计井</w:t>
            </w:r>
            <w:r w:rsidRPr="00F9522B">
              <w:rPr>
                <w:rFonts w:eastAsiaTheme="minorEastAsia"/>
                <w:kern w:val="0"/>
                <w:sz w:val="18"/>
                <w:szCs w:val="18"/>
              </w:rPr>
              <w:t>5</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5131302.922</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573597.684</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297C54">
        <w:trPr>
          <w:trHeight w:val="300"/>
        </w:trPr>
        <w:tc>
          <w:tcPr>
            <w:tcW w:w="286"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72</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城子设计井</w:t>
            </w:r>
            <w:r w:rsidRPr="00F9522B">
              <w:rPr>
                <w:rFonts w:eastAsiaTheme="minorEastAsia"/>
                <w:kern w:val="0"/>
                <w:sz w:val="18"/>
                <w:szCs w:val="18"/>
              </w:rPr>
              <w:t>6</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5131334.530</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573738.736</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297C54">
        <w:trPr>
          <w:trHeight w:val="300"/>
        </w:trPr>
        <w:tc>
          <w:tcPr>
            <w:tcW w:w="286"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73</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城子设计井</w:t>
            </w:r>
            <w:r w:rsidRPr="00F9522B">
              <w:rPr>
                <w:rFonts w:eastAsiaTheme="minorEastAsia"/>
                <w:kern w:val="0"/>
                <w:sz w:val="18"/>
                <w:szCs w:val="18"/>
              </w:rPr>
              <w:t>7</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5130467.396</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572132.695</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297C54">
        <w:trPr>
          <w:trHeight w:val="300"/>
        </w:trPr>
        <w:tc>
          <w:tcPr>
            <w:tcW w:w="286"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74</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城子设计井</w:t>
            </w:r>
            <w:r w:rsidRPr="00F9522B">
              <w:rPr>
                <w:rFonts w:eastAsiaTheme="minorEastAsia"/>
                <w:kern w:val="0"/>
                <w:sz w:val="18"/>
                <w:szCs w:val="18"/>
              </w:rPr>
              <w:t>8</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5130551.228</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572795.842</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297C54">
        <w:trPr>
          <w:trHeight w:val="300"/>
        </w:trPr>
        <w:tc>
          <w:tcPr>
            <w:tcW w:w="286"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75</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城子设计井</w:t>
            </w:r>
            <w:r w:rsidRPr="00F9522B">
              <w:rPr>
                <w:rFonts w:eastAsiaTheme="minorEastAsia"/>
                <w:kern w:val="0"/>
                <w:sz w:val="18"/>
                <w:szCs w:val="18"/>
              </w:rPr>
              <w:t>9</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5129723.609</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571325.761</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297C54">
        <w:trPr>
          <w:trHeight w:val="300"/>
        </w:trPr>
        <w:tc>
          <w:tcPr>
            <w:tcW w:w="286"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76</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城子设计井</w:t>
            </w:r>
            <w:r w:rsidRPr="00F9522B">
              <w:rPr>
                <w:rFonts w:eastAsiaTheme="minorEastAsia"/>
                <w:kern w:val="0"/>
                <w:sz w:val="18"/>
                <w:szCs w:val="18"/>
              </w:rPr>
              <w:t>10</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5129538.922</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571776.659</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297C54">
        <w:trPr>
          <w:trHeight w:val="300"/>
        </w:trPr>
        <w:tc>
          <w:tcPr>
            <w:tcW w:w="286"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77</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城子设计井</w:t>
            </w:r>
            <w:r w:rsidRPr="00F9522B">
              <w:rPr>
                <w:rFonts w:eastAsiaTheme="minorEastAsia"/>
                <w:kern w:val="0"/>
                <w:sz w:val="18"/>
                <w:szCs w:val="18"/>
              </w:rPr>
              <w:t>11</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5128904.317</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572436.517</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297C54">
        <w:trPr>
          <w:trHeight w:val="300"/>
        </w:trPr>
        <w:tc>
          <w:tcPr>
            <w:tcW w:w="286"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78</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城子设计井</w:t>
            </w:r>
            <w:r w:rsidRPr="00F9522B">
              <w:rPr>
                <w:rFonts w:eastAsiaTheme="minorEastAsia"/>
                <w:kern w:val="0"/>
                <w:sz w:val="18"/>
                <w:szCs w:val="18"/>
              </w:rPr>
              <w:t>12</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5128764.183</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573081.050</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bl>
    <w:p w:rsidR="00297C54" w:rsidRPr="00F9522B" w:rsidRDefault="00297C54"/>
    <w:p w:rsidR="00297C54" w:rsidRPr="00F9522B" w:rsidRDefault="00297C54" w:rsidP="00297C54">
      <w:pPr>
        <w:contextualSpacing/>
        <w:jc w:val="center"/>
        <w:rPr>
          <w:rFonts w:eastAsiaTheme="minorEastAsia"/>
          <w:b/>
          <w:kern w:val="0"/>
          <w:szCs w:val="21"/>
        </w:rPr>
      </w:pPr>
      <w:r w:rsidRPr="00F9522B">
        <w:rPr>
          <w:rFonts w:eastAsiaTheme="minorEastAsia"/>
          <w:b/>
          <w:kern w:val="0"/>
          <w:szCs w:val="21"/>
        </w:rPr>
        <w:lastRenderedPageBreak/>
        <w:t>续表</w:t>
      </w:r>
      <w:r w:rsidRPr="00F9522B">
        <w:rPr>
          <w:rFonts w:eastAsiaTheme="minorEastAsia"/>
          <w:b/>
          <w:kern w:val="0"/>
          <w:szCs w:val="21"/>
        </w:rPr>
        <w:t>3-1-</w:t>
      </w:r>
      <w:r w:rsidR="00B40846" w:rsidRPr="00F9522B">
        <w:rPr>
          <w:rFonts w:eastAsiaTheme="minorEastAsia"/>
          <w:b/>
          <w:kern w:val="0"/>
          <w:szCs w:val="21"/>
        </w:rPr>
        <w:t>10</w:t>
      </w:r>
      <w:r w:rsidRPr="00F9522B">
        <w:rPr>
          <w:rFonts w:eastAsiaTheme="minorEastAsia"/>
          <w:b/>
          <w:kern w:val="0"/>
          <w:szCs w:val="21"/>
        </w:rPr>
        <w:t>新建灌溉井参数及位置表</w:t>
      </w:r>
    </w:p>
    <w:tbl>
      <w:tblPr>
        <w:tblW w:w="5000" w:type="pct"/>
        <w:tblBorders>
          <w:top w:val="single" w:sz="12" w:space="0" w:color="000000"/>
          <w:bottom w:val="single" w:sz="12" w:space="0" w:color="000000"/>
          <w:insideH w:val="single" w:sz="4" w:space="0" w:color="000000"/>
          <w:insideV w:val="single" w:sz="4" w:space="0" w:color="000000"/>
        </w:tblBorders>
        <w:tblLook w:val="04A0"/>
      </w:tblPr>
      <w:tblGrid>
        <w:gridCol w:w="487"/>
        <w:gridCol w:w="551"/>
        <w:gridCol w:w="641"/>
        <w:gridCol w:w="1435"/>
        <w:gridCol w:w="1161"/>
        <w:gridCol w:w="1072"/>
        <w:gridCol w:w="758"/>
        <w:gridCol w:w="728"/>
        <w:gridCol w:w="757"/>
        <w:gridCol w:w="932"/>
      </w:tblGrid>
      <w:tr w:rsidR="00297C54" w:rsidRPr="00F9522B" w:rsidTr="00297C54">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79</w:t>
            </w:r>
          </w:p>
        </w:tc>
        <w:tc>
          <w:tcPr>
            <w:tcW w:w="323" w:type="pct"/>
            <w:vMerge w:val="restart"/>
            <w:vAlign w:val="center"/>
          </w:tcPr>
          <w:p w:rsidR="00297C54" w:rsidRPr="00F9522B" w:rsidRDefault="00297C54" w:rsidP="00E268F3">
            <w:pPr>
              <w:autoSpaceDE w:val="0"/>
              <w:adjustRightInd w:val="0"/>
              <w:snapToGrid w:val="0"/>
              <w:jc w:val="center"/>
              <w:rPr>
                <w:rFonts w:eastAsiaTheme="minorEastAsia"/>
                <w:sz w:val="18"/>
                <w:szCs w:val="18"/>
              </w:rPr>
            </w:pPr>
            <w:r w:rsidRPr="00F9522B">
              <w:rPr>
                <w:rFonts w:eastAsiaTheme="minorEastAsia"/>
                <w:kern w:val="0"/>
                <w:sz w:val="18"/>
                <w:szCs w:val="18"/>
              </w:rPr>
              <w:t>石人片区</w:t>
            </w:r>
          </w:p>
        </w:tc>
        <w:tc>
          <w:tcPr>
            <w:tcW w:w="376" w:type="pct"/>
            <w:vMerge w:val="restart"/>
            <w:vAlign w:val="center"/>
            <w:hideMark/>
          </w:tcPr>
          <w:p w:rsidR="00297C54" w:rsidRPr="00F9522B" w:rsidRDefault="00297C54" w:rsidP="00E268F3">
            <w:pPr>
              <w:autoSpaceDE w:val="0"/>
              <w:adjustRightInd w:val="0"/>
              <w:snapToGrid w:val="0"/>
              <w:jc w:val="center"/>
              <w:rPr>
                <w:rFonts w:eastAsiaTheme="minorEastAsia"/>
                <w:sz w:val="18"/>
                <w:szCs w:val="18"/>
              </w:rPr>
            </w:pPr>
            <w:r w:rsidRPr="00F9522B">
              <w:rPr>
                <w:rFonts w:eastAsiaTheme="minorEastAsia"/>
                <w:kern w:val="0"/>
                <w:sz w:val="18"/>
                <w:szCs w:val="18"/>
              </w:rPr>
              <w:t>永发村</w:t>
            </w: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永发设计井</w:t>
            </w:r>
            <w:r w:rsidRPr="00F9522B">
              <w:rPr>
                <w:rFonts w:eastAsiaTheme="minorEastAsia"/>
                <w:kern w:val="0"/>
                <w:sz w:val="18"/>
                <w:szCs w:val="18"/>
              </w:rPr>
              <w:t>1</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5130467.053</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573584.594</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297C54">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323" w:type="pct"/>
            <w:vMerge/>
            <w:vAlign w:val="center"/>
          </w:tcPr>
          <w:p w:rsidR="00297C54" w:rsidRPr="00F9522B" w:rsidRDefault="00297C54" w:rsidP="00E268F3">
            <w:pPr>
              <w:autoSpaceDE w:val="0"/>
              <w:adjustRightInd w:val="0"/>
              <w:snapToGrid w:val="0"/>
              <w:jc w:val="center"/>
              <w:rPr>
                <w:rFonts w:eastAsiaTheme="minorEastAsia"/>
                <w:sz w:val="18"/>
                <w:szCs w:val="18"/>
              </w:rPr>
            </w:pPr>
          </w:p>
        </w:tc>
        <w:tc>
          <w:tcPr>
            <w:tcW w:w="376" w:type="pct"/>
            <w:vMerge/>
            <w:vAlign w:val="center"/>
          </w:tcPr>
          <w:p w:rsidR="00297C54" w:rsidRPr="00F9522B" w:rsidRDefault="00297C54" w:rsidP="00E268F3">
            <w:pPr>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永发设计井</w:t>
            </w:r>
            <w:r w:rsidRPr="00F9522B">
              <w:rPr>
                <w:rFonts w:eastAsiaTheme="minorEastAsia"/>
                <w:kern w:val="0"/>
                <w:sz w:val="18"/>
                <w:szCs w:val="18"/>
              </w:rPr>
              <w:t>2</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5130476.836</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573835.376</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297C54">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81</w:t>
            </w:r>
          </w:p>
        </w:tc>
        <w:tc>
          <w:tcPr>
            <w:tcW w:w="323" w:type="pct"/>
            <w:vMerge/>
            <w:vAlign w:val="center"/>
          </w:tcPr>
          <w:p w:rsidR="00297C54" w:rsidRPr="00F9522B" w:rsidRDefault="00297C54" w:rsidP="00E268F3">
            <w:pPr>
              <w:autoSpaceDE w:val="0"/>
              <w:adjustRightInd w:val="0"/>
              <w:snapToGrid w:val="0"/>
              <w:jc w:val="center"/>
              <w:rPr>
                <w:rFonts w:eastAsiaTheme="minorEastAsia"/>
                <w:sz w:val="18"/>
                <w:szCs w:val="18"/>
              </w:rPr>
            </w:pPr>
          </w:p>
        </w:tc>
        <w:tc>
          <w:tcPr>
            <w:tcW w:w="376" w:type="pct"/>
            <w:vMerge/>
            <w:vAlign w:val="center"/>
          </w:tcPr>
          <w:p w:rsidR="00297C54" w:rsidRPr="00F9522B" w:rsidRDefault="00297C54" w:rsidP="00E268F3">
            <w:pPr>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永发设计井</w:t>
            </w:r>
            <w:r w:rsidRPr="00F9522B">
              <w:rPr>
                <w:rFonts w:eastAsiaTheme="minorEastAsia"/>
                <w:kern w:val="0"/>
                <w:sz w:val="18"/>
                <w:szCs w:val="18"/>
              </w:rPr>
              <w:t>3</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5130496.931</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574048.449</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297C54">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82</w:t>
            </w:r>
          </w:p>
        </w:tc>
        <w:tc>
          <w:tcPr>
            <w:tcW w:w="323" w:type="pct"/>
            <w:vMerge/>
            <w:vAlign w:val="center"/>
          </w:tcPr>
          <w:p w:rsidR="00297C54" w:rsidRPr="00F9522B" w:rsidRDefault="00297C54" w:rsidP="00E268F3">
            <w:pPr>
              <w:autoSpaceDE w:val="0"/>
              <w:adjustRightInd w:val="0"/>
              <w:snapToGrid w:val="0"/>
              <w:jc w:val="center"/>
              <w:rPr>
                <w:rFonts w:eastAsiaTheme="minorEastAsia"/>
                <w:sz w:val="18"/>
                <w:szCs w:val="18"/>
              </w:rPr>
            </w:pPr>
          </w:p>
        </w:tc>
        <w:tc>
          <w:tcPr>
            <w:tcW w:w="376" w:type="pct"/>
            <w:vMerge/>
            <w:vAlign w:val="center"/>
          </w:tcPr>
          <w:p w:rsidR="00297C54" w:rsidRPr="00F9522B" w:rsidRDefault="00297C54" w:rsidP="00E268F3">
            <w:pPr>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永发设计井</w:t>
            </w:r>
            <w:r w:rsidRPr="00F9522B">
              <w:rPr>
                <w:rFonts w:eastAsiaTheme="minorEastAsia"/>
                <w:kern w:val="0"/>
                <w:sz w:val="18"/>
                <w:szCs w:val="18"/>
              </w:rPr>
              <w:t>4</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5130499.936</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574251.161</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83</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永发设计井</w:t>
            </w:r>
            <w:r w:rsidRPr="00F9522B">
              <w:rPr>
                <w:rFonts w:eastAsiaTheme="minorEastAsia"/>
                <w:kern w:val="0"/>
                <w:sz w:val="18"/>
                <w:szCs w:val="18"/>
              </w:rPr>
              <w:t>5</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5130506.507</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574454.047</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84</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永发设计井</w:t>
            </w:r>
            <w:r w:rsidRPr="00F9522B">
              <w:rPr>
                <w:rFonts w:eastAsiaTheme="minorEastAsia"/>
                <w:kern w:val="0"/>
                <w:sz w:val="18"/>
                <w:szCs w:val="18"/>
              </w:rPr>
              <w:t>6</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5130103.340</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573603.127</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85</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永发设计井</w:t>
            </w:r>
            <w:r w:rsidRPr="00F9522B">
              <w:rPr>
                <w:rFonts w:eastAsiaTheme="minorEastAsia"/>
                <w:kern w:val="0"/>
                <w:sz w:val="18"/>
                <w:szCs w:val="18"/>
              </w:rPr>
              <w:t>7</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5130126.227</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573786.347</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86</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永发设计井</w:t>
            </w:r>
            <w:r w:rsidRPr="00F9522B">
              <w:rPr>
                <w:rFonts w:eastAsiaTheme="minorEastAsia"/>
                <w:kern w:val="0"/>
                <w:sz w:val="18"/>
                <w:szCs w:val="18"/>
              </w:rPr>
              <w:t>8</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5130158.227</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573985.573</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87</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永发设计井</w:t>
            </w:r>
            <w:r w:rsidRPr="00F9522B">
              <w:rPr>
                <w:rFonts w:eastAsiaTheme="minorEastAsia"/>
                <w:kern w:val="0"/>
                <w:sz w:val="18"/>
                <w:szCs w:val="18"/>
              </w:rPr>
              <w:t>9</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5130194.012</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574213.230</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88</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永发设计井</w:t>
            </w:r>
            <w:r w:rsidRPr="00F9522B">
              <w:rPr>
                <w:rFonts w:eastAsiaTheme="minorEastAsia"/>
                <w:kern w:val="0"/>
                <w:sz w:val="18"/>
                <w:szCs w:val="18"/>
              </w:rPr>
              <w:t>10</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5130227.400</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574446.528</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89</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永发设计井</w:t>
            </w:r>
            <w:r w:rsidRPr="00F9522B">
              <w:rPr>
                <w:rFonts w:eastAsiaTheme="minorEastAsia"/>
                <w:kern w:val="0"/>
                <w:sz w:val="18"/>
                <w:szCs w:val="18"/>
              </w:rPr>
              <w:t>11</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5130228.798</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574627.699</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永发设计井</w:t>
            </w:r>
            <w:r w:rsidRPr="00F9522B">
              <w:rPr>
                <w:rFonts w:eastAsiaTheme="minorEastAsia"/>
                <w:kern w:val="0"/>
                <w:sz w:val="18"/>
                <w:szCs w:val="18"/>
              </w:rPr>
              <w:t>12</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5128840.293</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573573.071</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91</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永发设计井</w:t>
            </w:r>
            <w:r w:rsidRPr="00F9522B">
              <w:rPr>
                <w:rFonts w:eastAsiaTheme="minorEastAsia"/>
                <w:kern w:val="0"/>
                <w:sz w:val="18"/>
                <w:szCs w:val="18"/>
              </w:rPr>
              <w:t>13</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5128870.041</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573774.839</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92</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永发设计井</w:t>
            </w:r>
            <w:r w:rsidRPr="00F9522B">
              <w:rPr>
                <w:rFonts w:eastAsiaTheme="minorEastAsia"/>
                <w:kern w:val="0"/>
                <w:sz w:val="18"/>
                <w:szCs w:val="18"/>
              </w:rPr>
              <w:t>14</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5128896.101</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573989.708</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93</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永发设计井</w:t>
            </w:r>
            <w:r w:rsidRPr="00F9522B">
              <w:rPr>
                <w:rFonts w:eastAsiaTheme="minorEastAsia"/>
                <w:kern w:val="0"/>
                <w:sz w:val="18"/>
                <w:szCs w:val="18"/>
              </w:rPr>
              <w:t>15</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5128904.479</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574197.999</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94</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永发设计井</w:t>
            </w:r>
            <w:r w:rsidRPr="00F9522B">
              <w:rPr>
                <w:rFonts w:eastAsiaTheme="minorEastAsia"/>
                <w:kern w:val="0"/>
                <w:sz w:val="18"/>
                <w:szCs w:val="18"/>
              </w:rPr>
              <w:t>16</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5128841.032</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574987.540</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95</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永发设计井</w:t>
            </w:r>
            <w:r w:rsidRPr="00F9522B">
              <w:rPr>
                <w:rFonts w:eastAsiaTheme="minorEastAsia"/>
                <w:kern w:val="0"/>
                <w:sz w:val="18"/>
                <w:szCs w:val="18"/>
              </w:rPr>
              <w:t>17</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5128834.602</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575251.890</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96</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永发设计井</w:t>
            </w:r>
            <w:r w:rsidRPr="00F9522B">
              <w:rPr>
                <w:rFonts w:eastAsiaTheme="minorEastAsia"/>
                <w:kern w:val="0"/>
                <w:sz w:val="18"/>
                <w:szCs w:val="18"/>
              </w:rPr>
              <w:t>18</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5128792.571</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575454.320</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97</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永发设计井</w:t>
            </w:r>
            <w:r w:rsidRPr="00F9522B">
              <w:rPr>
                <w:rFonts w:eastAsiaTheme="minorEastAsia"/>
                <w:kern w:val="0"/>
                <w:sz w:val="18"/>
                <w:szCs w:val="18"/>
              </w:rPr>
              <w:t>19</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5130741.754</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573772.931</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98</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restar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永平村</w:t>
            </w: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永平设计井</w:t>
            </w:r>
            <w:r w:rsidRPr="00F9522B">
              <w:rPr>
                <w:rFonts w:eastAsiaTheme="minorEastAsia"/>
                <w:kern w:val="0"/>
                <w:sz w:val="18"/>
                <w:szCs w:val="18"/>
              </w:rPr>
              <w:t>1</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5126314.481</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572691.107</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99</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永平设计井</w:t>
            </w:r>
            <w:r w:rsidRPr="00F9522B">
              <w:rPr>
                <w:rFonts w:eastAsiaTheme="minorEastAsia"/>
                <w:kern w:val="0"/>
                <w:sz w:val="18"/>
                <w:szCs w:val="18"/>
              </w:rPr>
              <w:t>2</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5126019.220</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568858.997</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100</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永平设计井</w:t>
            </w:r>
            <w:r w:rsidRPr="00F9522B">
              <w:rPr>
                <w:rFonts w:eastAsiaTheme="minorEastAsia"/>
                <w:kern w:val="0"/>
                <w:sz w:val="18"/>
                <w:szCs w:val="18"/>
              </w:rPr>
              <w:t>3</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5126216.869</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569191.929</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101</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永平设计井</w:t>
            </w:r>
            <w:r w:rsidRPr="00F9522B">
              <w:rPr>
                <w:rFonts w:eastAsiaTheme="minorEastAsia"/>
                <w:kern w:val="0"/>
                <w:sz w:val="18"/>
                <w:szCs w:val="18"/>
              </w:rPr>
              <w:t>4</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5126062.433</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569671.781</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102</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永平设计井</w:t>
            </w:r>
            <w:r w:rsidRPr="00F9522B">
              <w:rPr>
                <w:rFonts w:eastAsiaTheme="minorEastAsia"/>
                <w:kern w:val="0"/>
                <w:sz w:val="18"/>
                <w:szCs w:val="18"/>
              </w:rPr>
              <w:t>5</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5126158.843</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570272.325</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103</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永平设计井</w:t>
            </w:r>
            <w:r w:rsidRPr="00F9522B">
              <w:rPr>
                <w:rFonts w:eastAsiaTheme="minorEastAsia"/>
                <w:kern w:val="0"/>
                <w:sz w:val="18"/>
                <w:szCs w:val="18"/>
              </w:rPr>
              <w:t>6</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5126184.912</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570453.576</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104</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永平设计井</w:t>
            </w:r>
            <w:r w:rsidRPr="00F9522B">
              <w:rPr>
                <w:rFonts w:eastAsiaTheme="minorEastAsia"/>
                <w:kern w:val="0"/>
                <w:sz w:val="18"/>
                <w:szCs w:val="18"/>
              </w:rPr>
              <w:t>7</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5126252.925</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571052.955</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105</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永平设计井</w:t>
            </w:r>
            <w:r w:rsidRPr="00F9522B">
              <w:rPr>
                <w:rFonts w:eastAsiaTheme="minorEastAsia"/>
                <w:kern w:val="0"/>
                <w:sz w:val="18"/>
                <w:szCs w:val="18"/>
              </w:rPr>
              <w:t>8</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5126347.668</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571186.147</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106</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永平设计井</w:t>
            </w:r>
            <w:r w:rsidRPr="00F9522B">
              <w:rPr>
                <w:rFonts w:eastAsiaTheme="minorEastAsia"/>
                <w:kern w:val="0"/>
                <w:sz w:val="18"/>
                <w:szCs w:val="18"/>
              </w:rPr>
              <w:t>9</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5125818.269</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570434.643</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107</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永平设计井</w:t>
            </w:r>
            <w:r w:rsidRPr="00F9522B">
              <w:rPr>
                <w:rFonts w:eastAsiaTheme="minorEastAsia"/>
                <w:kern w:val="0"/>
                <w:sz w:val="18"/>
                <w:szCs w:val="18"/>
              </w:rPr>
              <w:t>10</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5125668.910</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571033.937</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108</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永平设计井</w:t>
            </w:r>
            <w:r w:rsidRPr="00F9522B">
              <w:rPr>
                <w:rFonts w:eastAsiaTheme="minorEastAsia"/>
                <w:kern w:val="0"/>
                <w:sz w:val="18"/>
                <w:szCs w:val="18"/>
              </w:rPr>
              <w:t>11</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5125733.981</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571513.789</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109</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永平设计井</w:t>
            </w:r>
            <w:r w:rsidRPr="00F9522B">
              <w:rPr>
                <w:rFonts w:eastAsiaTheme="minorEastAsia"/>
                <w:kern w:val="0"/>
                <w:sz w:val="18"/>
                <w:szCs w:val="18"/>
              </w:rPr>
              <w:t>12</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5126178.226</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571895.068</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110</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永平设计井</w:t>
            </w:r>
            <w:r w:rsidRPr="00F9522B">
              <w:rPr>
                <w:rFonts w:eastAsiaTheme="minorEastAsia"/>
                <w:kern w:val="0"/>
                <w:sz w:val="18"/>
                <w:szCs w:val="18"/>
              </w:rPr>
              <w:t>13</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5126225.860</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572237.339</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325FFB">
        <w:trPr>
          <w:trHeight w:val="300"/>
        </w:trPr>
        <w:tc>
          <w:tcPr>
            <w:tcW w:w="286"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111</w:t>
            </w:r>
          </w:p>
        </w:tc>
        <w:tc>
          <w:tcPr>
            <w:tcW w:w="323" w:type="pct"/>
            <w:vMerge w:val="restar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康金片区</w:t>
            </w:r>
          </w:p>
        </w:tc>
        <w:tc>
          <w:tcPr>
            <w:tcW w:w="376" w:type="pct"/>
            <w:vMerge w:val="restar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孟井村</w:t>
            </w: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孟井设计井</w:t>
            </w:r>
            <w:r w:rsidRPr="00F9522B">
              <w:rPr>
                <w:rFonts w:eastAsiaTheme="minorEastAsia"/>
                <w:kern w:val="0"/>
                <w:sz w:val="18"/>
                <w:szCs w:val="18"/>
              </w:rPr>
              <w:t>1</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5117453.019</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565486.898</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325FFB">
        <w:trPr>
          <w:trHeight w:val="300"/>
        </w:trPr>
        <w:tc>
          <w:tcPr>
            <w:tcW w:w="286"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112</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孟井设计井</w:t>
            </w:r>
            <w:r w:rsidRPr="00F9522B">
              <w:rPr>
                <w:rFonts w:eastAsiaTheme="minorEastAsia"/>
                <w:kern w:val="0"/>
                <w:sz w:val="18"/>
                <w:szCs w:val="18"/>
              </w:rPr>
              <w:t>2</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5117476.431</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565749.857</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325FFB">
        <w:trPr>
          <w:trHeight w:val="300"/>
        </w:trPr>
        <w:tc>
          <w:tcPr>
            <w:tcW w:w="286"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113</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孟井设计井</w:t>
            </w:r>
            <w:r w:rsidRPr="00F9522B">
              <w:rPr>
                <w:rFonts w:eastAsiaTheme="minorEastAsia"/>
                <w:kern w:val="0"/>
                <w:sz w:val="18"/>
                <w:szCs w:val="18"/>
              </w:rPr>
              <w:t>3</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5117512.908</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566109.974</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325FFB">
        <w:trPr>
          <w:trHeight w:val="300"/>
        </w:trPr>
        <w:tc>
          <w:tcPr>
            <w:tcW w:w="286"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114</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孟井设计井</w:t>
            </w:r>
            <w:r w:rsidRPr="00F9522B">
              <w:rPr>
                <w:rFonts w:eastAsiaTheme="minorEastAsia"/>
                <w:kern w:val="0"/>
                <w:sz w:val="18"/>
                <w:szCs w:val="18"/>
              </w:rPr>
              <w:t>4</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5116923.936</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565374.615</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325FFB">
        <w:trPr>
          <w:trHeight w:val="300"/>
        </w:trPr>
        <w:tc>
          <w:tcPr>
            <w:tcW w:w="286"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115</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孟井设计井</w:t>
            </w:r>
            <w:r w:rsidRPr="00F9522B">
              <w:rPr>
                <w:rFonts w:eastAsiaTheme="minorEastAsia"/>
                <w:kern w:val="0"/>
                <w:sz w:val="18"/>
                <w:szCs w:val="18"/>
              </w:rPr>
              <w:t>5</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5116958.363</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565696.661</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325FFB">
        <w:trPr>
          <w:trHeight w:val="300"/>
        </w:trPr>
        <w:tc>
          <w:tcPr>
            <w:tcW w:w="286"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116</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孟井设计井</w:t>
            </w:r>
            <w:r w:rsidRPr="00F9522B">
              <w:rPr>
                <w:rFonts w:eastAsiaTheme="minorEastAsia"/>
                <w:kern w:val="0"/>
                <w:sz w:val="18"/>
                <w:szCs w:val="18"/>
              </w:rPr>
              <w:t>6</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5116993.160</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565979.221</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325FFB">
        <w:trPr>
          <w:trHeight w:val="300"/>
        </w:trPr>
        <w:tc>
          <w:tcPr>
            <w:tcW w:w="286"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117</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restar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历井农场</w:t>
            </w: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历井农场滴灌井</w:t>
            </w:r>
            <w:r w:rsidRPr="00F9522B">
              <w:rPr>
                <w:rFonts w:eastAsiaTheme="minorEastAsia"/>
                <w:kern w:val="0"/>
                <w:sz w:val="18"/>
                <w:szCs w:val="18"/>
              </w:rPr>
              <w:t>1</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5115876.951</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566760.327</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325FFB">
        <w:trPr>
          <w:trHeight w:val="300"/>
        </w:trPr>
        <w:tc>
          <w:tcPr>
            <w:tcW w:w="286"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118</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历井农场滴灌井</w:t>
            </w:r>
            <w:r w:rsidRPr="00F9522B">
              <w:rPr>
                <w:rFonts w:eastAsiaTheme="minorEastAsia"/>
                <w:kern w:val="0"/>
                <w:sz w:val="18"/>
                <w:szCs w:val="18"/>
              </w:rPr>
              <w:t>2</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5115383.322</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566717.956</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325FFB" w:rsidRPr="00F9522B" w:rsidTr="00325FFB">
        <w:trPr>
          <w:trHeight w:val="300"/>
        </w:trPr>
        <w:tc>
          <w:tcPr>
            <w:tcW w:w="286"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119</w:t>
            </w:r>
          </w:p>
        </w:tc>
        <w:tc>
          <w:tcPr>
            <w:tcW w:w="323"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376" w:type="pct"/>
            <w:vMerge/>
            <w:vAlign w:val="center"/>
          </w:tcPr>
          <w:p w:rsidR="00325FFB" w:rsidRPr="00F9522B" w:rsidRDefault="00325FFB">
            <w:pPr>
              <w:widowControl/>
              <w:autoSpaceDE w:val="0"/>
              <w:adjustRightInd w:val="0"/>
              <w:snapToGrid w:val="0"/>
              <w:jc w:val="center"/>
              <w:rPr>
                <w:rFonts w:eastAsiaTheme="minorEastAsia"/>
                <w:sz w:val="18"/>
                <w:szCs w:val="18"/>
              </w:rPr>
            </w:pPr>
          </w:p>
        </w:tc>
        <w:tc>
          <w:tcPr>
            <w:tcW w:w="842" w:type="pct"/>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历井农场滴灌井</w:t>
            </w:r>
            <w:r w:rsidRPr="00F9522B">
              <w:rPr>
                <w:rFonts w:eastAsiaTheme="minorEastAsia"/>
                <w:kern w:val="0"/>
                <w:sz w:val="18"/>
                <w:szCs w:val="18"/>
              </w:rPr>
              <w:t>3</w:t>
            </w:r>
          </w:p>
        </w:tc>
        <w:tc>
          <w:tcPr>
            <w:tcW w:w="681"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5115019.278</w:t>
            </w:r>
          </w:p>
        </w:tc>
        <w:tc>
          <w:tcPr>
            <w:tcW w:w="629"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566755.105</w:t>
            </w:r>
          </w:p>
        </w:tc>
        <w:tc>
          <w:tcPr>
            <w:tcW w:w="445"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325FFB" w:rsidRPr="00F9522B" w:rsidRDefault="00325FFB">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bl>
    <w:p w:rsidR="00297C54" w:rsidRPr="00F9522B" w:rsidRDefault="00297C54"/>
    <w:p w:rsidR="00297C54" w:rsidRPr="00F9522B" w:rsidRDefault="00297C54" w:rsidP="00297C54">
      <w:pPr>
        <w:contextualSpacing/>
        <w:jc w:val="center"/>
        <w:rPr>
          <w:rFonts w:eastAsiaTheme="minorEastAsia"/>
          <w:b/>
          <w:kern w:val="0"/>
          <w:szCs w:val="21"/>
        </w:rPr>
      </w:pPr>
      <w:r w:rsidRPr="00F9522B">
        <w:rPr>
          <w:rFonts w:eastAsiaTheme="minorEastAsia"/>
          <w:b/>
          <w:kern w:val="0"/>
          <w:szCs w:val="21"/>
        </w:rPr>
        <w:lastRenderedPageBreak/>
        <w:t>续表</w:t>
      </w:r>
      <w:r w:rsidRPr="00F9522B">
        <w:rPr>
          <w:rFonts w:eastAsiaTheme="minorEastAsia"/>
          <w:b/>
          <w:kern w:val="0"/>
          <w:szCs w:val="21"/>
        </w:rPr>
        <w:t>3-1-</w:t>
      </w:r>
      <w:r w:rsidR="00B40846" w:rsidRPr="00F9522B">
        <w:rPr>
          <w:rFonts w:eastAsiaTheme="minorEastAsia"/>
          <w:b/>
          <w:kern w:val="0"/>
          <w:szCs w:val="21"/>
        </w:rPr>
        <w:t>10</w:t>
      </w:r>
      <w:r w:rsidRPr="00F9522B">
        <w:rPr>
          <w:rFonts w:eastAsiaTheme="minorEastAsia"/>
          <w:b/>
          <w:kern w:val="0"/>
          <w:szCs w:val="21"/>
        </w:rPr>
        <w:t>新建灌溉井参数及位置表</w:t>
      </w:r>
    </w:p>
    <w:tbl>
      <w:tblPr>
        <w:tblW w:w="5000" w:type="pct"/>
        <w:tblBorders>
          <w:top w:val="single" w:sz="12" w:space="0" w:color="000000"/>
          <w:bottom w:val="single" w:sz="12" w:space="0" w:color="000000"/>
          <w:insideH w:val="single" w:sz="4" w:space="0" w:color="000000"/>
          <w:insideV w:val="single" w:sz="4" w:space="0" w:color="000000"/>
        </w:tblBorders>
        <w:tblLook w:val="04A0"/>
      </w:tblPr>
      <w:tblGrid>
        <w:gridCol w:w="487"/>
        <w:gridCol w:w="551"/>
        <w:gridCol w:w="641"/>
        <w:gridCol w:w="1435"/>
        <w:gridCol w:w="1161"/>
        <w:gridCol w:w="1072"/>
        <w:gridCol w:w="758"/>
        <w:gridCol w:w="728"/>
        <w:gridCol w:w="757"/>
        <w:gridCol w:w="932"/>
      </w:tblGrid>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120</w:t>
            </w:r>
          </w:p>
        </w:tc>
        <w:tc>
          <w:tcPr>
            <w:tcW w:w="323" w:type="pct"/>
            <w:vMerge w:val="restart"/>
            <w:vAlign w:val="center"/>
          </w:tcPr>
          <w:p w:rsidR="00297C54" w:rsidRPr="00F9522B" w:rsidRDefault="00297C54" w:rsidP="00E268F3">
            <w:pPr>
              <w:autoSpaceDE w:val="0"/>
              <w:adjustRightInd w:val="0"/>
              <w:snapToGrid w:val="0"/>
              <w:jc w:val="center"/>
              <w:rPr>
                <w:rFonts w:eastAsiaTheme="minorEastAsia"/>
                <w:sz w:val="18"/>
                <w:szCs w:val="18"/>
              </w:rPr>
            </w:pPr>
            <w:r w:rsidRPr="00F9522B">
              <w:rPr>
                <w:rFonts w:eastAsiaTheme="minorEastAsia"/>
                <w:kern w:val="0"/>
                <w:sz w:val="18"/>
                <w:szCs w:val="18"/>
              </w:rPr>
              <w:t>康金片区</w:t>
            </w:r>
          </w:p>
        </w:tc>
        <w:tc>
          <w:tcPr>
            <w:tcW w:w="376" w:type="pct"/>
            <w:vMerge w:val="restart"/>
            <w:vAlign w:val="center"/>
          </w:tcPr>
          <w:p w:rsidR="00297C54" w:rsidRPr="00F9522B" w:rsidRDefault="00297C54" w:rsidP="00E268F3">
            <w:pPr>
              <w:autoSpaceDE w:val="0"/>
              <w:adjustRightInd w:val="0"/>
              <w:snapToGrid w:val="0"/>
              <w:jc w:val="center"/>
              <w:rPr>
                <w:rFonts w:eastAsiaTheme="minorEastAsia"/>
                <w:sz w:val="18"/>
                <w:szCs w:val="18"/>
              </w:rPr>
            </w:pPr>
            <w:r w:rsidRPr="00F9522B">
              <w:rPr>
                <w:rFonts w:eastAsiaTheme="minorEastAsia"/>
                <w:kern w:val="0"/>
                <w:sz w:val="18"/>
                <w:szCs w:val="18"/>
              </w:rPr>
              <w:t>历井农场</w:t>
            </w: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历井农场滴灌井</w:t>
            </w:r>
            <w:r w:rsidRPr="00F9522B">
              <w:rPr>
                <w:rFonts w:eastAsiaTheme="minorEastAsia"/>
                <w:kern w:val="0"/>
                <w:sz w:val="18"/>
                <w:szCs w:val="18"/>
              </w:rPr>
              <w:t>4</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5115272.929</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566218.149</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121</w:t>
            </w:r>
          </w:p>
        </w:tc>
        <w:tc>
          <w:tcPr>
            <w:tcW w:w="323" w:type="pct"/>
            <w:vMerge/>
            <w:vAlign w:val="center"/>
          </w:tcPr>
          <w:p w:rsidR="00297C54" w:rsidRPr="00F9522B" w:rsidRDefault="00297C54" w:rsidP="00E268F3">
            <w:pPr>
              <w:autoSpaceDE w:val="0"/>
              <w:adjustRightInd w:val="0"/>
              <w:snapToGrid w:val="0"/>
              <w:jc w:val="center"/>
              <w:rPr>
                <w:rFonts w:eastAsiaTheme="minorEastAsia"/>
                <w:sz w:val="18"/>
                <w:szCs w:val="18"/>
              </w:rPr>
            </w:pPr>
          </w:p>
        </w:tc>
        <w:tc>
          <w:tcPr>
            <w:tcW w:w="376" w:type="pct"/>
            <w:vMerge/>
            <w:vAlign w:val="center"/>
          </w:tcPr>
          <w:p w:rsidR="00297C54" w:rsidRPr="00F9522B" w:rsidRDefault="00297C54" w:rsidP="00E268F3">
            <w:pPr>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历井农场滴灌井</w:t>
            </w:r>
            <w:r w:rsidRPr="00F9522B">
              <w:rPr>
                <w:rFonts w:eastAsiaTheme="minorEastAsia"/>
                <w:kern w:val="0"/>
                <w:sz w:val="18"/>
                <w:szCs w:val="18"/>
              </w:rPr>
              <w:t>5</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5114797.551</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566013.640</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122</w:t>
            </w:r>
          </w:p>
        </w:tc>
        <w:tc>
          <w:tcPr>
            <w:tcW w:w="323" w:type="pct"/>
            <w:vMerge/>
            <w:vAlign w:val="center"/>
          </w:tcPr>
          <w:p w:rsidR="00297C54" w:rsidRPr="00F9522B" w:rsidRDefault="00297C54" w:rsidP="00E268F3">
            <w:pPr>
              <w:autoSpaceDE w:val="0"/>
              <w:adjustRightInd w:val="0"/>
              <w:snapToGrid w:val="0"/>
              <w:jc w:val="center"/>
              <w:rPr>
                <w:rFonts w:eastAsiaTheme="minorEastAsia"/>
                <w:sz w:val="18"/>
                <w:szCs w:val="18"/>
              </w:rPr>
            </w:pPr>
          </w:p>
        </w:tc>
        <w:tc>
          <w:tcPr>
            <w:tcW w:w="376" w:type="pct"/>
            <w:vMerge/>
            <w:vAlign w:val="center"/>
          </w:tcPr>
          <w:p w:rsidR="00297C54" w:rsidRPr="00F9522B" w:rsidRDefault="00297C54" w:rsidP="00E268F3">
            <w:pPr>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历井农场滴灌井</w:t>
            </w:r>
            <w:r w:rsidRPr="00F9522B">
              <w:rPr>
                <w:rFonts w:eastAsiaTheme="minorEastAsia"/>
                <w:kern w:val="0"/>
                <w:sz w:val="18"/>
                <w:szCs w:val="18"/>
              </w:rPr>
              <w:t>6</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5114859.667</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566233.130</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123</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历井农场滴灌井</w:t>
            </w:r>
            <w:r w:rsidRPr="00F9522B">
              <w:rPr>
                <w:rFonts w:eastAsiaTheme="minorEastAsia"/>
                <w:kern w:val="0"/>
                <w:sz w:val="18"/>
                <w:szCs w:val="18"/>
              </w:rPr>
              <w:t>7</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5114327.291</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566298.720</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124</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历井农场滴灌井</w:t>
            </w:r>
            <w:r w:rsidRPr="00F9522B">
              <w:rPr>
                <w:rFonts w:eastAsiaTheme="minorEastAsia"/>
                <w:kern w:val="0"/>
                <w:sz w:val="18"/>
                <w:szCs w:val="18"/>
              </w:rPr>
              <w:t>8</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5114278.373</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566947.491</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125</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历井农场滴灌井</w:t>
            </w:r>
            <w:r w:rsidRPr="00F9522B">
              <w:rPr>
                <w:rFonts w:eastAsiaTheme="minorEastAsia"/>
                <w:kern w:val="0"/>
                <w:sz w:val="18"/>
                <w:szCs w:val="18"/>
              </w:rPr>
              <w:t>9</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5114761.786</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566529.866</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126</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历井农场滴灌井</w:t>
            </w:r>
            <w:r w:rsidRPr="00F9522B">
              <w:rPr>
                <w:rFonts w:eastAsiaTheme="minorEastAsia"/>
                <w:kern w:val="0"/>
                <w:sz w:val="18"/>
                <w:szCs w:val="18"/>
              </w:rPr>
              <w:t>10</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5114200.454</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566689.142</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127</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pacing w:val="-20"/>
                <w:sz w:val="18"/>
                <w:szCs w:val="18"/>
              </w:rPr>
            </w:pPr>
            <w:r w:rsidRPr="00F9522B">
              <w:rPr>
                <w:rFonts w:eastAsiaTheme="minorEastAsia"/>
                <w:kern w:val="0"/>
                <w:sz w:val="18"/>
                <w:szCs w:val="18"/>
              </w:rPr>
              <w:t>历井农场滴灌井</w:t>
            </w:r>
            <w:r w:rsidRPr="00F9522B">
              <w:rPr>
                <w:rFonts w:eastAsiaTheme="minorEastAsia"/>
                <w:kern w:val="0"/>
                <w:sz w:val="18"/>
                <w:szCs w:val="18"/>
              </w:rPr>
              <w:t>11</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5114001.229</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567188.419</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128</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restar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历井村</w:t>
            </w: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pacing w:val="-20"/>
                <w:sz w:val="18"/>
                <w:szCs w:val="18"/>
              </w:rPr>
            </w:pPr>
            <w:r w:rsidRPr="00F9522B">
              <w:rPr>
                <w:rFonts w:eastAsiaTheme="minorEastAsia"/>
                <w:kern w:val="0"/>
                <w:sz w:val="18"/>
                <w:szCs w:val="18"/>
              </w:rPr>
              <w:t>历井滴灌井</w:t>
            </w:r>
            <w:r w:rsidRPr="00F9522B">
              <w:rPr>
                <w:rFonts w:eastAsiaTheme="minorEastAsia"/>
                <w:kern w:val="0"/>
                <w:sz w:val="18"/>
                <w:szCs w:val="18"/>
              </w:rPr>
              <w:t>1</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5117640.284</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568470.518</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129</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2</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5117558.353</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568798.867</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130</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3</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5117660.853</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569295.722</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131</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4</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5117229.024</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568607.680</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132</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5</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5117123.272</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568088.230</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133</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6</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5117258.904</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567752.884</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134</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7</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5116418.783</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567337.226</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135</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8</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5116542.795</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567741.317</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136</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9</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5116650.010</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568082.237</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137</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10</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5116747.641</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568420.947</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138</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11</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5116854.660</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568830.613</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139</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12</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5116911.790</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569046.206</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140</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13</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5117026.531</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569451.634</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141</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14</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5116988.783</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569629.882</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142</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15</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5116954.172</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569223.571</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143</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16</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5116465.101</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569009.070</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144</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17</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5116251.755</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568455.201</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145</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18</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5116159.646</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568145.164</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146</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19</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5116128.017</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567355.092</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147</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20</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5115810.664</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567099.070</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148</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21</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5115834.676</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567299.331</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149</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22</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5115972.138</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567698.349</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150</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23</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5115944.698</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568189.354</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151</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24</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5116052.760</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568546.392</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152</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25</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5116366.401</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568827.042</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153</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26</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5116540.184</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569273.678</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154</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27</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5116726.214</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569740.983</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155</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28</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5116405.706</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570070.818</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156</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29</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5116083.711</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570145.844</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157</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30</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5116401.979</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569843.797</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158</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31</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5115778.522</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569729.374</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bl>
    <w:p w:rsidR="00297C54" w:rsidRPr="00F9522B" w:rsidRDefault="00297C54" w:rsidP="00297C54">
      <w:pPr>
        <w:contextualSpacing/>
        <w:jc w:val="center"/>
        <w:rPr>
          <w:rFonts w:eastAsiaTheme="minorEastAsia"/>
          <w:b/>
          <w:kern w:val="0"/>
          <w:szCs w:val="21"/>
        </w:rPr>
      </w:pPr>
      <w:r w:rsidRPr="00F9522B">
        <w:rPr>
          <w:rFonts w:eastAsiaTheme="minorEastAsia"/>
          <w:b/>
          <w:kern w:val="0"/>
          <w:szCs w:val="21"/>
        </w:rPr>
        <w:lastRenderedPageBreak/>
        <w:t>续表</w:t>
      </w:r>
      <w:r w:rsidRPr="00F9522B">
        <w:rPr>
          <w:rFonts w:eastAsiaTheme="minorEastAsia"/>
          <w:b/>
          <w:kern w:val="0"/>
          <w:szCs w:val="21"/>
        </w:rPr>
        <w:t>3-1-</w:t>
      </w:r>
      <w:r w:rsidR="00B40846" w:rsidRPr="00F9522B">
        <w:rPr>
          <w:rFonts w:eastAsiaTheme="minorEastAsia"/>
          <w:b/>
          <w:kern w:val="0"/>
          <w:szCs w:val="21"/>
        </w:rPr>
        <w:t>10</w:t>
      </w:r>
      <w:r w:rsidRPr="00F9522B">
        <w:rPr>
          <w:rFonts w:eastAsiaTheme="minorEastAsia"/>
          <w:b/>
          <w:kern w:val="0"/>
          <w:szCs w:val="21"/>
        </w:rPr>
        <w:t>新建灌溉井参数及位置表</w:t>
      </w:r>
    </w:p>
    <w:tbl>
      <w:tblPr>
        <w:tblW w:w="5000" w:type="pct"/>
        <w:tblBorders>
          <w:top w:val="single" w:sz="12" w:space="0" w:color="000000"/>
          <w:bottom w:val="single" w:sz="12" w:space="0" w:color="000000"/>
          <w:insideH w:val="single" w:sz="4" w:space="0" w:color="000000"/>
          <w:insideV w:val="single" w:sz="4" w:space="0" w:color="000000"/>
        </w:tblBorders>
        <w:tblLook w:val="04A0"/>
      </w:tblPr>
      <w:tblGrid>
        <w:gridCol w:w="487"/>
        <w:gridCol w:w="551"/>
        <w:gridCol w:w="641"/>
        <w:gridCol w:w="1435"/>
        <w:gridCol w:w="1161"/>
        <w:gridCol w:w="1072"/>
        <w:gridCol w:w="758"/>
        <w:gridCol w:w="728"/>
        <w:gridCol w:w="757"/>
        <w:gridCol w:w="932"/>
      </w:tblGrid>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159</w:t>
            </w:r>
          </w:p>
        </w:tc>
        <w:tc>
          <w:tcPr>
            <w:tcW w:w="323" w:type="pct"/>
            <w:vMerge w:val="restart"/>
            <w:vAlign w:val="center"/>
          </w:tcPr>
          <w:p w:rsidR="00297C54" w:rsidRPr="00F9522B" w:rsidRDefault="00297C54" w:rsidP="00461EB7">
            <w:pPr>
              <w:autoSpaceDE w:val="0"/>
              <w:adjustRightInd w:val="0"/>
              <w:snapToGrid w:val="0"/>
              <w:jc w:val="center"/>
              <w:rPr>
                <w:rFonts w:eastAsiaTheme="minorEastAsia"/>
                <w:sz w:val="18"/>
                <w:szCs w:val="18"/>
              </w:rPr>
            </w:pPr>
            <w:r w:rsidRPr="00F9522B">
              <w:rPr>
                <w:rFonts w:eastAsiaTheme="minorEastAsia"/>
                <w:kern w:val="0"/>
                <w:sz w:val="18"/>
                <w:szCs w:val="18"/>
              </w:rPr>
              <w:t>康金片区</w:t>
            </w:r>
          </w:p>
        </w:tc>
        <w:tc>
          <w:tcPr>
            <w:tcW w:w="376" w:type="pct"/>
            <w:vMerge w:val="restart"/>
            <w:vAlign w:val="center"/>
          </w:tcPr>
          <w:p w:rsidR="00297C54" w:rsidRPr="00F9522B" w:rsidRDefault="00297C54" w:rsidP="00461EB7">
            <w:pPr>
              <w:autoSpaceDE w:val="0"/>
              <w:adjustRightInd w:val="0"/>
              <w:snapToGrid w:val="0"/>
              <w:jc w:val="center"/>
              <w:rPr>
                <w:rFonts w:eastAsiaTheme="minorEastAsia"/>
                <w:sz w:val="18"/>
                <w:szCs w:val="18"/>
              </w:rPr>
            </w:pPr>
            <w:r w:rsidRPr="00F9522B">
              <w:rPr>
                <w:rFonts w:eastAsiaTheme="minorEastAsia"/>
                <w:kern w:val="0"/>
                <w:sz w:val="18"/>
                <w:szCs w:val="18"/>
              </w:rPr>
              <w:t>历井农场</w:t>
            </w: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32</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5116321.894</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569428.822</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160</w:t>
            </w:r>
          </w:p>
        </w:tc>
        <w:tc>
          <w:tcPr>
            <w:tcW w:w="323" w:type="pct"/>
            <w:vMerge/>
            <w:vAlign w:val="center"/>
          </w:tcPr>
          <w:p w:rsidR="00297C54" w:rsidRPr="00F9522B" w:rsidRDefault="00297C54" w:rsidP="00461EB7">
            <w:pPr>
              <w:autoSpaceDE w:val="0"/>
              <w:adjustRightInd w:val="0"/>
              <w:snapToGrid w:val="0"/>
              <w:jc w:val="center"/>
              <w:rPr>
                <w:rFonts w:eastAsiaTheme="minorEastAsia"/>
                <w:sz w:val="18"/>
                <w:szCs w:val="18"/>
              </w:rPr>
            </w:pPr>
          </w:p>
        </w:tc>
        <w:tc>
          <w:tcPr>
            <w:tcW w:w="376" w:type="pct"/>
            <w:vMerge/>
            <w:vAlign w:val="center"/>
          </w:tcPr>
          <w:p w:rsidR="00297C54" w:rsidRPr="00F9522B" w:rsidRDefault="00297C54" w:rsidP="00461EB7">
            <w:pPr>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33</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5115727.972</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569214.527</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161</w:t>
            </w:r>
          </w:p>
        </w:tc>
        <w:tc>
          <w:tcPr>
            <w:tcW w:w="323" w:type="pct"/>
            <w:vMerge/>
            <w:vAlign w:val="center"/>
          </w:tcPr>
          <w:p w:rsidR="00297C54" w:rsidRPr="00F9522B" w:rsidRDefault="00297C54" w:rsidP="00461EB7">
            <w:pPr>
              <w:autoSpaceDE w:val="0"/>
              <w:adjustRightInd w:val="0"/>
              <w:snapToGrid w:val="0"/>
              <w:jc w:val="center"/>
              <w:rPr>
                <w:rFonts w:eastAsiaTheme="minorEastAsia"/>
                <w:sz w:val="18"/>
                <w:szCs w:val="18"/>
              </w:rPr>
            </w:pPr>
          </w:p>
        </w:tc>
        <w:tc>
          <w:tcPr>
            <w:tcW w:w="376" w:type="pct"/>
            <w:vMerge/>
            <w:vAlign w:val="center"/>
          </w:tcPr>
          <w:p w:rsidR="00297C54" w:rsidRPr="00F9522B" w:rsidRDefault="00297C54" w:rsidP="00461EB7">
            <w:pPr>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34</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5115715.807</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569004.427</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162</w:t>
            </w:r>
          </w:p>
        </w:tc>
        <w:tc>
          <w:tcPr>
            <w:tcW w:w="323" w:type="pct"/>
            <w:vMerge/>
            <w:vAlign w:val="center"/>
          </w:tcPr>
          <w:p w:rsidR="00297C54" w:rsidRPr="00F9522B" w:rsidRDefault="00297C54" w:rsidP="00461EB7">
            <w:pPr>
              <w:autoSpaceDE w:val="0"/>
              <w:adjustRightInd w:val="0"/>
              <w:snapToGrid w:val="0"/>
              <w:jc w:val="center"/>
              <w:rPr>
                <w:rFonts w:eastAsiaTheme="minorEastAsia"/>
                <w:sz w:val="18"/>
                <w:szCs w:val="18"/>
              </w:rPr>
            </w:pPr>
          </w:p>
        </w:tc>
        <w:tc>
          <w:tcPr>
            <w:tcW w:w="376" w:type="pct"/>
            <w:vMerge/>
            <w:vAlign w:val="center"/>
          </w:tcPr>
          <w:p w:rsidR="00297C54" w:rsidRPr="00F9522B" w:rsidRDefault="00297C54" w:rsidP="00461EB7">
            <w:pPr>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35</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5115492.318</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567993.993</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163</w:t>
            </w:r>
          </w:p>
        </w:tc>
        <w:tc>
          <w:tcPr>
            <w:tcW w:w="323" w:type="pct"/>
            <w:vMerge/>
            <w:vAlign w:val="center"/>
          </w:tcPr>
          <w:p w:rsidR="00297C54" w:rsidRPr="00F9522B" w:rsidRDefault="00297C54" w:rsidP="00461EB7">
            <w:pPr>
              <w:autoSpaceDE w:val="0"/>
              <w:adjustRightInd w:val="0"/>
              <w:snapToGrid w:val="0"/>
              <w:jc w:val="center"/>
              <w:rPr>
                <w:rFonts w:eastAsiaTheme="minorEastAsia"/>
                <w:sz w:val="18"/>
                <w:szCs w:val="18"/>
              </w:rPr>
            </w:pPr>
          </w:p>
        </w:tc>
        <w:tc>
          <w:tcPr>
            <w:tcW w:w="376" w:type="pct"/>
            <w:vMerge/>
            <w:vAlign w:val="center"/>
          </w:tcPr>
          <w:p w:rsidR="00297C54" w:rsidRPr="00F9522B" w:rsidRDefault="00297C54" w:rsidP="00461EB7">
            <w:pPr>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36</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5115601.914</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568763.707</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164</w:t>
            </w:r>
          </w:p>
        </w:tc>
        <w:tc>
          <w:tcPr>
            <w:tcW w:w="323" w:type="pct"/>
            <w:vMerge/>
            <w:vAlign w:val="center"/>
          </w:tcPr>
          <w:p w:rsidR="00297C54" w:rsidRPr="00F9522B" w:rsidRDefault="00297C54" w:rsidP="00461EB7">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rsidP="00461EB7">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37</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5115283.313</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568732.558</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165</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38</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5115544.268</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569254.094</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166</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39</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5115500.767</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569974.971</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167</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40</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5115788.091</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569970.870</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168</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41</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5115510.062</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570321.295</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169</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42</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5115288.304</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569517.116</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170</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43</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5115501.776</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569052.636</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171</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44</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5114920.738</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568736.854</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172</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45</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5115270.811</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568386.792</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173</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46</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5115153.571</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567969.236</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174</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47</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5115163.918</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567162.795</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175</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48</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5115143.359</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567584.396</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176</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49</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5114625.497</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567317.051</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177</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50</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5114671.856</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567594.431</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178</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51</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5114266.709</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568018.309</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179</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52</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5114326.753</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568362.498</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180</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53</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5114495.357</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569236.011</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181</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54</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5115005.488</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569171.424</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182</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55</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5113780.911</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568015.796</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183</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56</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5113837.931</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568470.321</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184</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57</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5114155.914</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568933.363</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185</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58</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5114542.937</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569516.969</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186</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历井滴灌井</w:t>
            </w:r>
            <w:r w:rsidRPr="00F9522B">
              <w:rPr>
                <w:rFonts w:eastAsiaTheme="minorEastAsia"/>
                <w:kern w:val="0"/>
                <w:sz w:val="18"/>
                <w:szCs w:val="18"/>
              </w:rPr>
              <w:t>59</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5116297.183</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567877.460</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灌溉井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187</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restar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永胜村</w:t>
            </w: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永胜设计井</w:t>
            </w:r>
            <w:r w:rsidRPr="00F9522B">
              <w:rPr>
                <w:rFonts w:eastAsiaTheme="minorEastAsia"/>
                <w:kern w:val="0"/>
                <w:sz w:val="18"/>
                <w:szCs w:val="18"/>
              </w:rPr>
              <w:t>1</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5112962.025</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567461.446</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188</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永胜设计井</w:t>
            </w:r>
            <w:r w:rsidRPr="00F9522B">
              <w:rPr>
                <w:rFonts w:eastAsiaTheme="minorEastAsia"/>
                <w:kern w:val="0"/>
                <w:sz w:val="18"/>
                <w:szCs w:val="18"/>
              </w:rPr>
              <w:t>2</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5112962.807</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567618.449</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189</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永胜设计井</w:t>
            </w:r>
            <w:r w:rsidRPr="00F9522B">
              <w:rPr>
                <w:rFonts w:eastAsiaTheme="minorEastAsia"/>
                <w:kern w:val="0"/>
                <w:sz w:val="18"/>
                <w:szCs w:val="18"/>
              </w:rPr>
              <w:t>3</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5112965.011</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567781.128</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190</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restar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杨木村</w:t>
            </w: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杨木设计井</w:t>
            </w:r>
            <w:r w:rsidRPr="00F9522B">
              <w:rPr>
                <w:rFonts w:eastAsiaTheme="minorEastAsia"/>
                <w:kern w:val="0"/>
                <w:sz w:val="18"/>
                <w:szCs w:val="18"/>
              </w:rPr>
              <w:t>1</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5124739.808</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575078.195</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191</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杨木设计井</w:t>
            </w:r>
            <w:r w:rsidRPr="00F9522B">
              <w:rPr>
                <w:rFonts w:eastAsiaTheme="minorEastAsia"/>
                <w:kern w:val="0"/>
                <w:sz w:val="18"/>
                <w:szCs w:val="18"/>
              </w:rPr>
              <w:t>2</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5124554.074</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575086.210</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192</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杨木设计井</w:t>
            </w:r>
            <w:r w:rsidRPr="00F9522B">
              <w:rPr>
                <w:rFonts w:eastAsiaTheme="minorEastAsia"/>
                <w:kern w:val="0"/>
                <w:sz w:val="18"/>
                <w:szCs w:val="18"/>
              </w:rPr>
              <w:t>3</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5123236.368</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575720.866</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193</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杨木设计井</w:t>
            </w:r>
            <w:r w:rsidRPr="00F9522B">
              <w:rPr>
                <w:rFonts w:eastAsiaTheme="minorEastAsia"/>
                <w:kern w:val="0"/>
                <w:sz w:val="18"/>
                <w:szCs w:val="18"/>
              </w:rPr>
              <w:t>4</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5123284.720</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575883.142</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194</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杨木设计井</w:t>
            </w:r>
            <w:r w:rsidRPr="00F9522B">
              <w:rPr>
                <w:rFonts w:eastAsiaTheme="minorEastAsia"/>
                <w:kern w:val="0"/>
                <w:sz w:val="18"/>
                <w:szCs w:val="18"/>
              </w:rPr>
              <w:t>5</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5123291.236</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576094.054</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195</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杨木设计井</w:t>
            </w:r>
            <w:r w:rsidRPr="00F9522B">
              <w:rPr>
                <w:rFonts w:eastAsiaTheme="minorEastAsia"/>
                <w:kern w:val="0"/>
                <w:sz w:val="18"/>
                <w:szCs w:val="18"/>
              </w:rPr>
              <w:t>6</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5123325.564</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576330.048</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196</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杨木设计井</w:t>
            </w:r>
            <w:r w:rsidRPr="00F9522B">
              <w:rPr>
                <w:rFonts w:eastAsiaTheme="minorEastAsia"/>
                <w:kern w:val="0"/>
                <w:sz w:val="18"/>
                <w:szCs w:val="18"/>
              </w:rPr>
              <w:t>7</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5123351.651</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576485.425</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197</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restar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东腰村</w:t>
            </w: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东腰设计井</w:t>
            </w:r>
            <w:r w:rsidRPr="00F9522B">
              <w:rPr>
                <w:rFonts w:eastAsiaTheme="minorEastAsia"/>
                <w:kern w:val="0"/>
                <w:sz w:val="18"/>
                <w:szCs w:val="18"/>
              </w:rPr>
              <w:t>1</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5120276.235</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576212.231</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198</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东腰设计井</w:t>
            </w:r>
            <w:r w:rsidRPr="00F9522B">
              <w:rPr>
                <w:rFonts w:eastAsiaTheme="minorEastAsia"/>
                <w:kern w:val="0"/>
                <w:sz w:val="18"/>
                <w:szCs w:val="18"/>
              </w:rPr>
              <w:t>2</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5121090.620</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575170.309</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199</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东腰设计井</w:t>
            </w:r>
            <w:r w:rsidRPr="00F9522B">
              <w:rPr>
                <w:rFonts w:eastAsiaTheme="minorEastAsia"/>
                <w:kern w:val="0"/>
                <w:sz w:val="18"/>
                <w:szCs w:val="18"/>
              </w:rPr>
              <w:t>3</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5121272.757</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575624.369</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200</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东腰设计井</w:t>
            </w:r>
            <w:r w:rsidRPr="00F9522B">
              <w:rPr>
                <w:rFonts w:eastAsiaTheme="minorEastAsia"/>
                <w:kern w:val="0"/>
                <w:sz w:val="18"/>
                <w:szCs w:val="18"/>
              </w:rPr>
              <w:t>4</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5120848.963</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575313.933</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201</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东腰设计井</w:t>
            </w:r>
            <w:r w:rsidRPr="00F9522B">
              <w:rPr>
                <w:rFonts w:eastAsiaTheme="minorEastAsia"/>
                <w:kern w:val="0"/>
                <w:sz w:val="18"/>
                <w:szCs w:val="18"/>
              </w:rPr>
              <w:t>5</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5121212.804</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575931.022</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bl>
    <w:p w:rsidR="00297C54" w:rsidRPr="00F9522B" w:rsidRDefault="00297C54" w:rsidP="00297C54">
      <w:pPr>
        <w:contextualSpacing/>
        <w:jc w:val="center"/>
        <w:rPr>
          <w:rFonts w:eastAsiaTheme="minorEastAsia"/>
          <w:b/>
          <w:kern w:val="0"/>
          <w:szCs w:val="21"/>
        </w:rPr>
      </w:pPr>
      <w:r w:rsidRPr="00F9522B">
        <w:rPr>
          <w:rFonts w:eastAsiaTheme="minorEastAsia"/>
          <w:b/>
          <w:kern w:val="0"/>
          <w:szCs w:val="21"/>
        </w:rPr>
        <w:lastRenderedPageBreak/>
        <w:t>续表</w:t>
      </w:r>
      <w:r w:rsidRPr="00F9522B">
        <w:rPr>
          <w:rFonts w:eastAsiaTheme="minorEastAsia"/>
          <w:b/>
          <w:kern w:val="0"/>
          <w:szCs w:val="21"/>
        </w:rPr>
        <w:t>3-1-</w:t>
      </w:r>
      <w:r w:rsidR="00B40846" w:rsidRPr="00F9522B">
        <w:rPr>
          <w:rFonts w:eastAsiaTheme="minorEastAsia"/>
          <w:b/>
          <w:kern w:val="0"/>
          <w:szCs w:val="21"/>
        </w:rPr>
        <w:t>10</w:t>
      </w:r>
      <w:r w:rsidRPr="00F9522B">
        <w:rPr>
          <w:rFonts w:eastAsiaTheme="minorEastAsia"/>
          <w:b/>
          <w:kern w:val="0"/>
          <w:szCs w:val="21"/>
        </w:rPr>
        <w:t>新建灌溉井参数及位置表</w:t>
      </w:r>
    </w:p>
    <w:tbl>
      <w:tblPr>
        <w:tblW w:w="5000" w:type="pct"/>
        <w:tblBorders>
          <w:top w:val="single" w:sz="12" w:space="0" w:color="000000"/>
          <w:bottom w:val="single" w:sz="12" w:space="0" w:color="000000"/>
          <w:insideH w:val="single" w:sz="4" w:space="0" w:color="000000"/>
          <w:insideV w:val="single" w:sz="4" w:space="0" w:color="000000"/>
        </w:tblBorders>
        <w:tblLook w:val="04A0"/>
      </w:tblPr>
      <w:tblGrid>
        <w:gridCol w:w="487"/>
        <w:gridCol w:w="551"/>
        <w:gridCol w:w="641"/>
        <w:gridCol w:w="1435"/>
        <w:gridCol w:w="1161"/>
        <w:gridCol w:w="1072"/>
        <w:gridCol w:w="758"/>
        <w:gridCol w:w="728"/>
        <w:gridCol w:w="757"/>
        <w:gridCol w:w="932"/>
      </w:tblGrid>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202</w:t>
            </w:r>
          </w:p>
        </w:tc>
        <w:tc>
          <w:tcPr>
            <w:tcW w:w="323" w:type="pct"/>
            <w:vMerge w:val="restart"/>
            <w:vAlign w:val="center"/>
          </w:tcPr>
          <w:p w:rsidR="00297C54" w:rsidRPr="00F9522B" w:rsidRDefault="00297C54" w:rsidP="00461EB7">
            <w:pPr>
              <w:autoSpaceDE w:val="0"/>
              <w:adjustRightInd w:val="0"/>
              <w:snapToGrid w:val="0"/>
              <w:jc w:val="center"/>
              <w:rPr>
                <w:rFonts w:eastAsiaTheme="minorEastAsia"/>
                <w:sz w:val="18"/>
                <w:szCs w:val="18"/>
              </w:rPr>
            </w:pPr>
            <w:r w:rsidRPr="00F9522B">
              <w:rPr>
                <w:rFonts w:eastAsiaTheme="minorEastAsia"/>
                <w:kern w:val="0"/>
                <w:sz w:val="18"/>
                <w:szCs w:val="18"/>
              </w:rPr>
              <w:t>康金片区</w:t>
            </w:r>
          </w:p>
        </w:tc>
        <w:tc>
          <w:tcPr>
            <w:tcW w:w="376" w:type="pct"/>
            <w:vMerge w:val="restar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金城村</w:t>
            </w: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金城设计井</w:t>
            </w:r>
            <w:r w:rsidRPr="00F9522B">
              <w:rPr>
                <w:rFonts w:eastAsiaTheme="minorEastAsia"/>
                <w:kern w:val="0"/>
                <w:sz w:val="18"/>
                <w:szCs w:val="18"/>
              </w:rPr>
              <w:t>1</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5123125.994</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572256.395</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203</w:t>
            </w:r>
          </w:p>
        </w:tc>
        <w:tc>
          <w:tcPr>
            <w:tcW w:w="323" w:type="pct"/>
            <w:vMerge/>
            <w:vAlign w:val="center"/>
          </w:tcPr>
          <w:p w:rsidR="00297C54" w:rsidRPr="00F9522B" w:rsidRDefault="00297C54" w:rsidP="00461EB7">
            <w:pPr>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金城设计井</w:t>
            </w:r>
            <w:r w:rsidRPr="00F9522B">
              <w:rPr>
                <w:rFonts w:eastAsiaTheme="minorEastAsia"/>
                <w:kern w:val="0"/>
                <w:sz w:val="18"/>
                <w:szCs w:val="18"/>
              </w:rPr>
              <w:t>2</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5123142.356</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572559.863</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204</w:t>
            </w:r>
          </w:p>
        </w:tc>
        <w:tc>
          <w:tcPr>
            <w:tcW w:w="323" w:type="pct"/>
            <w:vMerge/>
            <w:vAlign w:val="center"/>
          </w:tcPr>
          <w:p w:rsidR="00297C54" w:rsidRPr="00F9522B" w:rsidRDefault="00297C54" w:rsidP="00461EB7">
            <w:pPr>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金城设计井</w:t>
            </w:r>
            <w:r w:rsidRPr="00F9522B">
              <w:rPr>
                <w:rFonts w:eastAsiaTheme="minorEastAsia"/>
                <w:kern w:val="0"/>
                <w:sz w:val="18"/>
                <w:szCs w:val="18"/>
              </w:rPr>
              <w:t>3</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5122801.781</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572033.556</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205</w:t>
            </w:r>
          </w:p>
        </w:tc>
        <w:tc>
          <w:tcPr>
            <w:tcW w:w="323" w:type="pct"/>
            <w:vMerge/>
            <w:vAlign w:val="center"/>
          </w:tcPr>
          <w:p w:rsidR="00297C54" w:rsidRPr="00F9522B" w:rsidRDefault="00297C54" w:rsidP="00461EB7">
            <w:pPr>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金城设计井</w:t>
            </w:r>
            <w:r w:rsidRPr="00F9522B">
              <w:rPr>
                <w:rFonts w:eastAsiaTheme="minorEastAsia"/>
                <w:kern w:val="0"/>
                <w:sz w:val="18"/>
                <w:szCs w:val="18"/>
              </w:rPr>
              <w:t>4</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5121269.079</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572611.851</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206</w:t>
            </w:r>
          </w:p>
        </w:tc>
        <w:tc>
          <w:tcPr>
            <w:tcW w:w="323" w:type="pct"/>
            <w:vMerge/>
            <w:vAlign w:val="center"/>
          </w:tcPr>
          <w:p w:rsidR="00297C54" w:rsidRPr="00F9522B" w:rsidRDefault="00297C54" w:rsidP="00461EB7">
            <w:pPr>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金城设计井</w:t>
            </w:r>
            <w:r w:rsidRPr="00F9522B">
              <w:rPr>
                <w:rFonts w:eastAsiaTheme="minorEastAsia"/>
                <w:kern w:val="0"/>
                <w:sz w:val="18"/>
                <w:szCs w:val="18"/>
              </w:rPr>
              <w:t>5</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5121300.413</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572840.433</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207</w:t>
            </w:r>
          </w:p>
        </w:tc>
        <w:tc>
          <w:tcPr>
            <w:tcW w:w="323" w:type="pct"/>
            <w:vMerge/>
            <w:vAlign w:val="center"/>
          </w:tcPr>
          <w:p w:rsidR="00297C54" w:rsidRPr="00F9522B" w:rsidRDefault="00297C54" w:rsidP="00461EB7">
            <w:pPr>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金城设计井</w:t>
            </w:r>
            <w:r w:rsidRPr="00F9522B">
              <w:rPr>
                <w:rFonts w:eastAsiaTheme="minorEastAsia"/>
                <w:kern w:val="0"/>
                <w:sz w:val="18"/>
                <w:szCs w:val="18"/>
              </w:rPr>
              <w:t>6</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5121470.311</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573436.130</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208</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restar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西井村</w:t>
            </w: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西井设计井</w:t>
            </w:r>
            <w:r w:rsidRPr="00F9522B">
              <w:rPr>
                <w:rFonts w:eastAsiaTheme="minorEastAsia"/>
                <w:kern w:val="0"/>
                <w:sz w:val="18"/>
                <w:szCs w:val="18"/>
              </w:rPr>
              <w:t>1</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5119350.769</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573590.056</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209</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西井设计井</w:t>
            </w:r>
            <w:r w:rsidRPr="00F9522B">
              <w:rPr>
                <w:rFonts w:eastAsiaTheme="minorEastAsia"/>
                <w:kern w:val="0"/>
                <w:sz w:val="18"/>
                <w:szCs w:val="18"/>
              </w:rPr>
              <w:t>2</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5119511.346</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574006.302</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210</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西井设计井</w:t>
            </w:r>
            <w:r w:rsidRPr="00F9522B">
              <w:rPr>
                <w:rFonts w:eastAsiaTheme="minorEastAsia"/>
                <w:kern w:val="0"/>
                <w:sz w:val="18"/>
                <w:szCs w:val="18"/>
              </w:rPr>
              <w:t>3</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5118743.118</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574397.700</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211</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西井设计井</w:t>
            </w:r>
            <w:r w:rsidRPr="00F9522B">
              <w:rPr>
                <w:rFonts w:eastAsiaTheme="minorEastAsia"/>
                <w:kern w:val="0"/>
                <w:sz w:val="18"/>
                <w:szCs w:val="18"/>
              </w:rPr>
              <w:t>4</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5118352.238</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574868.957</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212</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restar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苏德村</w:t>
            </w: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苏德设计井</w:t>
            </w:r>
            <w:r w:rsidRPr="00F9522B">
              <w:rPr>
                <w:rFonts w:eastAsiaTheme="minorEastAsia"/>
                <w:kern w:val="0"/>
                <w:sz w:val="18"/>
                <w:szCs w:val="18"/>
              </w:rPr>
              <w:t>1</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5117375.825</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573762.496</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213</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苏德设计井</w:t>
            </w:r>
            <w:r w:rsidRPr="00F9522B">
              <w:rPr>
                <w:rFonts w:eastAsiaTheme="minorEastAsia"/>
                <w:kern w:val="0"/>
                <w:sz w:val="18"/>
                <w:szCs w:val="18"/>
              </w:rPr>
              <w:t>2</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5116604.787</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573087.441</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214</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苏德设计井</w:t>
            </w:r>
            <w:r w:rsidRPr="00F9522B">
              <w:rPr>
                <w:rFonts w:eastAsiaTheme="minorEastAsia"/>
                <w:kern w:val="0"/>
                <w:sz w:val="18"/>
                <w:szCs w:val="18"/>
              </w:rPr>
              <w:t>3</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5116885.816</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573760.715</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215</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苏德设计井</w:t>
            </w:r>
            <w:r w:rsidRPr="00F9522B">
              <w:rPr>
                <w:rFonts w:eastAsiaTheme="minorEastAsia"/>
                <w:kern w:val="0"/>
                <w:sz w:val="18"/>
                <w:szCs w:val="18"/>
              </w:rPr>
              <w:t>4</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5117044.445</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574059.177</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216</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restar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王牛村</w:t>
            </w: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王牛设计井</w:t>
            </w:r>
            <w:r w:rsidRPr="00F9522B">
              <w:rPr>
                <w:rFonts w:eastAsiaTheme="minorEastAsia"/>
                <w:kern w:val="0"/>
                <w:sz w:val="18"/>
                <w:szCs w:val="18"/>
              </w:rPr>
              <w:t>1</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5115471.992</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573447.174</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217</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王牛设计井</w:t>
            </w:r>
            <w:r w:rsidRPr="00F9522B">
              <w:rPr>
                <w:rFonts w:eastAsiaTheme="minorEastAsia"/>
                <w:kern w:val="0"/>
                <w:sz w:val="18"/>
                <w:szCs w:val="18"/>
              </w:rPr>
              <w:t>2</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5115252.018</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573521.989</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218</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王牛设计井</w:t>
            </w:r>
            <w:r w:rsidRPr="00F9522B">
              <w:rPr>
                <w:rFonts w:eastAsiaTheme="minorEastAsia"/>
                <w:kern w:val="0"/>
                <w:sz w:val="18"/>
                <w:szCs w:val="18"/>
              </w:rPr>
              <w:t>3</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5115144.513</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573650.051</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219</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王牛设计井</w:t>
            </w:r>
            <w:r w:rsidRPr="00F9522B">
              <w:rPr>
                <w:rFonts w:eastAsiaTheme="minorEastAsia"/>
                <w:kern w:val="0"/>
                <w:sz w:val="18"/>
                <w:szCs w:val="18"/>
              </w:rPr>
              <w:t>4</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5115136.556</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573902.476</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220</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王牛设计井</w:t>
            </w:r>
            <w:r w:rsidRPr="00F9522B">
              <w:rPr>
                <w:rFonts w:eastAsiaTheme="minorEastAsia"/>
                <w:kern w:val="0"/>
                <w:sz w:val="18"/>
                <w:szCs w:val="18"/>
              </w:rPr>
              <w:t>5</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5114977.393</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574150.956</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221</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王牛设计井</w:t>
            </w:r>
            <w:r w:rsidRPr="00F9522B">
              <w:rPr>
                <w:rFonts w:eastAsiaTheme="minorEastAsia"/>
                <w:kern w:val="0"/>
                <w:sz w:val="18"/>
                <w:szCs w:val="18"/>
              </w:rPr>
              <w:t>6</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5114351.420</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574147.287</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222</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王牛设计井</w:t>
            </w:r>
            <w:r w:rsidRPr="00F9522B">
              <w:rPr>
                <w:rFonts w:eastAsiaTheme="minorEastAsia"/>
                <w:kern w:val="0"/>
                <w:sz w:val="18"/>
                <w:szCs w:val="18"/>
              </w:rPr>
              <w:t>7</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5114156.777</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574224.328</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223</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王牛设计井</w:t>
            </w:r>
            <w:r w:rsidRPr="00F9522B">
              <w:rPr>
                <w:rFonts w:eastAsiaTheme="minorEastAsia"/>
                <w:kern w:val="0"/>
                <w:sz w:val="18"/>
                <w:szCs w:val="18"/>
              </w:rPr>
              <w:t>8</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5113552.018</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573362.125</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224</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王牛设计井</w:t>
            </w:r>
            <w:r w:rsidRPr="00F9522B">
              <w:rPr>
                <w:rFonts w:eastAsiaTheme="minorEastAsia"/>
                <w:kern w:val="0"/>
                <w:sz w:val="18"/>
                <w:szCs w:val="18"/>
              </w:rPr>
              <w:t>9</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5113808.366</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573768.886</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225</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王牛设计井</w:t>
            </w:r>
            <w:r w:rsidRPr="00F9522B">
              <w:rPr>
                <w:rFonts w:eastAsiaTheme="minorEastAsia"/>
                <w:kern w:val="0"/>
                <w:sz w:val="18"/>
                <w:szCs w:val="18"/>
              </w:rPr>
              <w:t>10</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5113673.170</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575036.814</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226</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王牛设计井</w:t>
            </w:r>
            <w:r w:rsidRPr="00F9522B">
              <w:rPr>
                <w:rFonts w:eastAsiaTheme="minorEastAsia"/>
                <w:kern w:val="0"/>
                <w:sz w:val="18"/>
                <w:szCs w:val="18"/>
              </w:rPr>
              <w:t>11</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5113563.187</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575198.332</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325FFB">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227</w:t>
            </w:r>
          </w:p>
        </w:tc>
        <w:tc>
          <w:tcPr>
            <w:tcW w:w="323"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376"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42"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王牛设计井</w:t>
            </w:r>
            <w:r w:rsidRPr="00F9522B">
              <w:rPr>
                <w:rFonts w:eastAsiaTheme="minorEastAsia"/>
                <w:kern w:val="0"/>
                <w:sz w:val="18"/>
                <w:szCs w:val="18"/>
              </w:rPr>
              <w:t>12</w:t>
            </w:r>
          </w:p>
        </w:tc>
        <w:tc>
          <w:tcPr>
            <w:tcW w:w="6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5112295.939</w:t>
            </w:r>
          </w:p>
        </w:tc>
        <w:tc>
          <w:tcPr>
            <w:tcW w:w="62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573817.769</w:t>
            </w:r>
          </w:p>
        </w:tc>
        <w:tc>
          <w:tcPr>
            <w:tcW w:w="445"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44"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1C4D9E" w:rsidRPr="00F9522B" w:rsidTr="00325FFB">
        <w:trPr>
          <w:trHeight w:val="300"/>
        </w:trPr>
        <w:tc>
          <w:tcPr>
            <w:tcW w:w="286" w:type="pct"/>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228</w:t>
            </w:r>
          </w:p>
        </w:tc>
        <w:tc>
          <w:tcPr>
            <w:tcW w:w="323" w:type="pct"/>
            <w:vMerge w:val="restart"/>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二八片区</w:t>
            </w:r>
          </w:p>
        </w:tc>
        <w:tc>
          <w:tcPr>
            <w:tcW w:w="376" w:type="pct"/>
            <w:vMerge w:val="restart"/>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二八村</w:t>
            </w:r>
          </w:p>
        </w:tc>
        <w:tc>
          <w:tcPr>
            <w:tcW w:w="842" w:type="pct"/>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二八设计井</w:t>
            </w:r>
            <w:r w:rsidRPr="00F9522B">
              <w:rPr>
                <w:rFonts w:eastAsiaTheme="minorEastAsia"/>
                <w:kern w:val="0"/>
                <w:sz w:val="18"/>
                <w:szCs w:val="18"/>
              </w:rPr>
              <w:t>1</w:t>
            </w:r>
          </w:p>
        </w:tc>
        <w:tc>
          <w:tcPr>
            <w:tcW w:w="681"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5108419.966</w:t>
            </w:r>
          </w:p>
        </w:tc>
        <w:tc>
          <w:tcPr>
            <w:tcW w:w="629"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578162.772</w:t>
            </w:r>
          </w:p>
        </w:tc>
        <w:tc>
          <w:tcPr>
            <w:tcW w:w="445"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70</w:t>
            </w:r>
          </w:p>
        </w:tc>
        <w:tc>
          <w:tcPr>
            <w:tcW w:w="444"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1C4D9E" w:rsidRPr="00F9522B" w:rsidTr="00325FFB">
        <w:trPr>
          <w:trHeight w:val="300"/>
        </w:trPr>
        <w:tc>
          <w:tcPr>
            <w:tcW w:w="286" w:type="pct"/>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229</w:t>
            </w:r>
          </w:p>
        </w:tc>
        <w:tc>
          <w:tcPr>
            <w:tcW w:w="323" w:type="pct"/>
            <w:vMerge/>
            <w:noWrap/>
            <w:vAlign w:val="center"/>
          </w:tcPr>
          <w:p w:rsidR="001C4D9E" w:rsidRPr="00F9522B" w:rsidRDefault="001C4D9E">
            <w:pPr>
              <w:widowControl/>
              <w:autoSpaceDE w:val="0"/>
              <w:adjustRightInd w:val="0"/>
              <w:snapToGrid w:val="0"/>
              <w:jc w:val="center"/>
              <w:rPr>
                <w:rFonts w:eastAsiaTheme="minorEastAsia"/>
                <w:sz w:val="18"/>
                <w:szCs w:val="18"/>
              </w:rPr>
            </w:pPr>
          </w:p>
        </w:tc>
        <w:tc>
          <w:tcPr>
            <w:tcW w:w="376" w:type="pct"/>
            <w:vMerge/>
            <w:vAlign w:val="center"/>
          </w:tcPr>
          <w:p w:rsidR="001C4D9E" w:rsidRPr="00F9522B" w:rsidRDefault="001C4D9E">
            <w:pPr>
              <w:widowControl/>
              <w:autoSpaceDE w:val="0"/>
              <w:adjustRightInd w:val="0"/>
              <w:snapToGrid w:val="0"/>
              <w:jc w:val="center"/>
              <w:rPr>
                <w:rFonts w:eastAsiaTheme="minorEastAsia"/>
                <w:sz w:val="18"/>
                <w:szCs w:val="18"/>
              </w:rPr>
            </w:pPr>
          </w:p>
        </w:tc>
        <w:tc>
          <w:tcPr>
            <w:tcW w:w="842" w:type="pct"/>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二八设计井</w:t>
            </w:r>
            <w:r w:rsidRPr="00F9522B">
              <w:rPr>
                <w:rFonts w:eastAsiaTheme="minorEastAsia"/>
                <w:kern w:val="0"/>
                <w:sz w:val="18"/>
                <w:szCs w:val="18"/>
              </w:rPr>
              <w:t>2</w:t>
            </w:r>
          </w:p>
        </w:tc>
        <w:tc>
          <w:tcPr>
            <w:tcW w:w="681"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5108512.394</w:t>
            </w:r>
          </w:p>
        </w:tc>
        <w:tc>
          <w:tcPr>
            <w:tcW w:w="629"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578316.674</w:t>
            </w:r>
          </w:p>
        </w:tc>
        <w:tc>
          <w:tcPr>
            <w:tcW w:w="445"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70</w:t>
            </w:r>
          </w:p>
        </w:tc>
        <w:tc>
          <w:tcPr>
            <w:tcW w:w="444"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1C4D9E" w:rsidRPr="00F9522B" w:rsidTr="00325FFB">
        <w:trPr>
          <w:trHeight w:val="300"/>
        </w:trPr>
        <w:tc>
          <w:tcPr>
            <w:tcW w:w="286" w:type="pct"/>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230</w:t>
            </w:r>
          </w:p>
        </w:tc>
        <w:tc>
          <w:tcPr>
            <w:tcW w:w="323" w:type="pct"/>
            <w:vMerge/>
            <w:noWrap/>
            <w:vAlign w:val="center"/>
          </w:tcPr>
          <w:p w:rsidR="001C4D9E" w:rsidRPr="00F9522B" w:rsidRDefault="001C4D9E">
            <w:pPr>
              <w:widowControl/>
              <w:autoSpaceDE w:val="0"/>
              <w:adjustRightInd w:val="0"/>
              <w:snapToGrid w:val="0"/>
              <w:jc w:val="center"/>
              <w:rPr>
                <w:rFonts w:eastAsiaTheme="minorEastAsia"/>
                <w:sz w:val="18"/>
                <w:szCs w:val="18"/>
              </w:rPr>
            </w:pPr>
          </w:p>
        </w:tc>
        <w:tc>
          <w:tcPr>
            <w:tcW w:w="376" w:type="pct"/>
            <w:vMerge/>
            <w:vAlign w:val="center"/>
          </w:tcPr>
          <w:p w:rsidR="001C4D9E" w:rsidRPr="00F9522B" w:rsidRDefault="001C4D9E">
            <w:pPr>
              <w:widowControl/>
              <w:autoSpaceDE w:val="0"/>
              <w:adjustRightInd w:val="0"/>
              <w:snapToGrid w:val="0"/>
              <w:jc w:val="center"/>
              <w:rPr>
                <w:rFonts w:eastAsiaTheme="minorEastAsia"/>
                <w:sz w:val="18"/>
                <w:szCs w:val="18"/>
              </w:rPr>
            </w:pPr>
          </w:p>
        </w:tc>
        <w:tc>
          <w:tcPr>
            <w:tcW w:w="842" w:type="pct"/>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二八设计井</w:t>
            </w:r>
            <w:r w:rsidRPr="00F9522B">
              <w:rPr>
                <w:rFonts w:eastAsiaTheme="minorEastAsia"/>
                <w:kern w:val="0"/>
                <w:sz w:val="18"/>
                <w:szCs w:val="18"/>
              </w:rPr>
              <w:t>3</w:t>
            </w:r>
          </w:p>
        </w:tc>
        <w:tc>
          <w:tcPr>
            <w:tcW w:w="681"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5108587.837</w:t>
            </w:r>
          </w:p>
        </w:tc>
        <w:tc>
          <w:tcPr>
            <w:tcW w:w="629"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580051.625</w:t>
            </w:r>
          </w:p>
        </w:tc>
        <w:tc>
          <w:tcPr>
            <w:tcW w:w="445"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70</w:t>
            </w:r>
          </w:p>
        </w:tc>
        <w:tc>
          <w:tcPr>
            <w:tcW w:w="444"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1C4D9E" w:rsidRPr="00F9522B" w:rsidTr="00325FFB">
        <w:trPr>
          <w:trHeight w:val="300"/>
        </w:trPr>
        <w:tc>
          <w:tcPr>
            <w:tcW w:w="286" w:type="pct"/>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231</w:t>
            </w:r>
          </w:p>
        </w:tc>
        <w:tc>
          <w:tcPr>
            <w:tcW w:w="323" w:type="pct"/>
            <w:vMerge/>
            <w:noWrap/>
            <w:vAlign w:val="center"/>
          </w:tcPr>
          <w:p w:rsidR="001C4D9E" w:rsidRPr="00F9522B" w:rsidRDefault="001C4D9E">
            <w:pPr>
              <w:widowControl/>
              <w:autoSpaceDE w:val="0"/>
              <w:adjustRightInd w:val="0"/>
              <w:snapToGrid w:val="0"/>
              <w:jc w:val="center"/>
              <w:rPr>
                <w:rFonts w:eastAsiaTheme="minorEastAsia"/>
                <w:sz w:val="18"/>
                <w:szCs w:val="18"/>
              </w:rPr>
            </w:pPr>
          </w:p>
        </w:tc>
        <w:tc>
          <w:tcPr>
            <w:tcW w:w="376" w:type="pct"/>
            <w:vMerge w:val="restart"/>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鲍堡村</w:t>
            </w:r>
          </w:p>
        </w:tc>
        <w:tc>
          <w:tcPr>
            <w:tcW w:w="842" w:type="pct"/>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鲍堡设计井</w:t>
            </w:r>
            <w:r w:rsidRPr="00F9522B">
              <w:rPr>
                <w:rFonts w:eastAsiaTheme="minorEastAsia"/>
                <w:kern w:val="0"/>
                <w:sz w:val="18"/>
                <w:szCs w:val="18"/>
              </w:rPr>
              <w:t>1</w:t>
            </w:r>
          </w:p>
        </w:tc>
        <w:tc>
          <w:tcPr>
            <w:tcW w:w="681"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5108783.801</w:t>
            </w:r>
          </w:p>
        </w:tc>
        <w:tc>
          <w:tcPr>
            <w:tcW w:w="629"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581293.924</w:t>
            </w:r>
          </w:p>
        </w:tc>
        <w:tc>
          <w:tcPr>
            <w:tcW w:w="445"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70</w:t>
            </w:r>
          </w:p>
        </w:tc>
        <w:tc>
          <w:tcPr>
            <w:tcW w:w="444"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1C4D9E" w:rsidRPr="00F9522B" w:rsidTr="00325FFB">
        <w:trPr>
          <w:trHeight w:val="300"/>
        </w:trPr>
        <w:tc>
          <w:tcPr>
            <w:tcW w:w="286" w:type="pct"/>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232</w:t>
            </w:r>
          </w:p>
        </w:tc>
        <w:tc>
          <w:tcPr>
            <w:tcW w:w="323" w:type="pct"/>
            <w:vMerge/>
            <w:noWrap/>
            <w:vAlign w:val="center"/>
          </w:tcPr>
          <w:p w:rsidR="001C4D9E" w:rsidRPr="00F9522B" w:rsidRDefault="001C4D9E">
            <w:pPr>
              <w:widowControl/>
              <w:autoSpaceDE w:val="0"/>
              <w:adjustRightInd w:val="0"/>
              <w:snapToGrid w:val="0"/>
              <w:jc w:val="center"/>
              <w:rPr>
                <w:rFonts w:eastAsiaTheme="minorEastAsia"/>
                <w:sz w:val="18"/>
                <w:szCs w:val="18"/>
              </w:rPr>
            </w:pPr>
          </w:p>
        </w:tc>
        <w:tc>
          <w:tcPr>
            <w:tcW w:w="376" w:type="pct"/>
            <w:vMerge/>
            <w:vAlign w:val="center"/>
          </w:tcPr>
          <w:p w:rsidR="001C4D9E" w:rsidRPr="00F9522B" w:rsidRDefault="001C4D9E">
            <w:pPr>
              <w:widowControl/>
              <w:autoSpaceDE w:val="0"/>
              <w:adjustRightInd w:val="0"/>
              <w:snapToGrid w:val="0"/>
              <w:jc w:val="center"/>
              <w:rPr>
                <w:rFonts w:eastAsiaTheme="minorEastAsia"/>
                <w:sz w:val="18"/>
                <w:szCs w:val="18"/>
              </w:rPr>
            </w:pPr>
          </w:p>
        </w:tc>
        <w:tc>
          <w:tcPr>
            <w:tcW w:w="842" w:type="pct"/>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鲍堡设计井</w:t>
            </w:r>
            <w:r w:rsidRPr="00F9522B">
              <w:rPr>
                <w:rFonts w:eastAsiaTheme="minorEastAsia"/>
                <w:kern w:val="0"/>
                <w:sz w:val="18"/>
                <w:szCs w:val="18"/>
              </w:rPr>
              <w:t>2</w:t>
            </w:r>
          </w:p>
        </w:tc>
        <w:tc>
          <w:tcPr>
            <w:tcW w:w="681"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5108833.337</w:t>
            </w:r>
          </w:p>
        </w:tc>
        <w:tc>
          <w:tcPr>
            <w:tcW w:w="629"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581620.762</w:t>
            </w:r>
          </w:p>
        </w:tc>
        <w:tc>
          <w:tcPr>
            <w:tcW w:w="445"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70</w:t>
            </w:r>
          </w:p>
        </w:tc>
        <w:tc>
          <w:tcPr>
            <w:tcW w:w="444"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1C4D9E" w:rsidRPr="00F9522B" w:rsidTr="00325FFB">
        <w:trPr>
          <w:trHeight w:val="300"/>
        </w:trPr>
        <w:tc>
          <w:tcPr>
            <w:tcW w:w="286" w:type="pct"/>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233</w:t>
            </w:r>
          </w:p>
        </w:tc>
        <w:tc>
          <w:tcPr>
            <w:tcW w:w="323" w:type="pct"/>
            <w:vMerge/>
            <w:noWrap/>
            <w:vAlign w:val="center"/>
          </w:tcPr>
          <w:p w:rsidR="001C4D9E" w:rsidRPr="00F9522B" w:rsidRDefault="001C4D9E">
            <w:pPr>
              <w:widowControl/>
              <w:autoSpaceDE w:val="0"/>
              <w:adjustRightInd w:val="0"/>
              <w:snapToGrid w:val="0"/>
              <w:jc w:val="center"/>
              <w:rPr>
                <w:rFonts w:eastAsiaTheme="minorEastAsia"/>
                <w:sz w:val="18"/>
                <w:szCs w:val="18"/>
              </w:rPr>
            </w:pPr>
          </w:p>
        </w:tc>
        <w:tc>
          <w:tcPr>
            <w:tcW w:w="376" w:type="pct"/>
            <w:vMerge/>
            <w:vAlign w:val="center"/>
          </w:tcPr>
          <w:p w:rsidR="001C4D9E" w:rsidRPr="00F9522B" w:rsidRDefault="001C4D9E">
            <w:pPr>
              <w:widowControl/>
              <w:autoSpaceDE w:val="0"/>
              <w:adjustRightInd w:val="0"/>
              <w:snapToGrid w:val="0"/>
              <w:jc w:val="center"/>
              <w:rPr>
                <w:rFonts w:eastAsiaTheme="minorEastAsia"/>
                <w:sz w:val="18"/>
                <w:szCs w:val="18"/>
              </w:rPr>
            </w:pPr>
          </w:p>
        </w:tc>
        <w:tc>
          <w:tcPr>
            <w:tcW w:w="842" w:type="pct"/>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鲍堡设计井</w:t>
            </w:r>
            <w:r w:rsidRPr="00F9522B">
              <w:rPr>
                <w:rFonts w:eastAsiaTheme="minorEastAsia"/>
                <w:kern w:val="0"/>
                <w:sz w:val="18"/>
                <w:szCs w:val="18"/>
              </w:rPr>
              <w:t>3</w:t>
            </w:r>
          </w:p>
        </w:tc>
        <w:tc>
          <w:tcPr>
            <w:tcW w:w="681"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5109186.052</w:t>
            </w:r>
          </w:p>
        </w:tc>
        <w:tc>
          <w:tcPr>
            <w:tcW w:w="629"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582090.473</w:t>
            </w:r>
          </w:p>
        </w:tc>
        <w:tc>
          <w:tcPr>
            <w:tcW w:w="445"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70</w:t>
            </w:r>
          </w:p>
        </w:tc>
        <w:tc>
          <w:tcPr>
            <w:tcW w:w="444"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1C4D9E" w:rsidRPr="00F9522B" w:rsidTr="00325FFB">
        <w:trPr>
          <w:trHeight w:val="300"/>
        </w:trPr>
        <w:tc>
          <w:tcPr>
            <w:tcW w:w="286" w:type="pct"/>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234</w:t>
            </w:r>
          </w:p>
        </w:tc>
        <w:tc>
          <w:tcPr>
            <w:tcW w:w="323" w:type="pct"/>
            <w:vMerge/>
            <w:noWrap/>
            <w:vAlign w:val="center"/>
          </w:tcPr>
          <w:p w:rsidR="001C4D9E" w:rsidRPr="00F9522B" w:rsidRDefault="001C4D9E">
            <w:pPr>
              <w:widowControl/>
              <w:autoSpaceDE w:val="0"/>
              <w:adjustRightInd w:val="0"/>
              <w:snapToGrid w:val="0"/>
              <w:jc w:val="center"/>
              <w:rPr>
                <w:rFonts w:eastAsiaTheme="minorEastAsia"/>
                <w:sz w:val="18"/>
                <w:szCs w:val="18"/>
              </w:rPr>
            </w:pPr>
          </w:p>
        </w:tc>
        <w:tc>
          <w:tcPr>
            <w:tcW w:w="376" w:type="pct"/>
            <w:vMerge/>
            <w:vAlign w:val="center"/>
          </w:tcPr>
          <w:p w:rsidR="001C4D9E" w:rsidRPr="00F9522B" w:rsidRDefault="001C4D9E">
            <w:pPr>
              <w:widowControl/>
              <w:autoSpaceDE w:val="0"/>
              <w:adjustRightInd w:val="0"/>
              <w:snapToGrid w:val="0"/>
              <w:jc w:val="center"/>
              <w:rPr>
                <w:rFonts w:eastAsiaTheme="minorEastAsia"/>
                <w:sz w:val="18"/>
                <w:szCs w:val="18"/>
              </w:rPr>
            </w:pPr>
          </w:p>
        </w:tc>
        <w:tc>
          <w:tcPr>
            <w:tcW w:w="842" w:type="pct"/>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鲍堡设计井</w:t>
            </w:r>
            <w:r w:rsidRPr="00F9522B">
              <w:rPr>
                <w:rFonts w:eastAsiaTheme="minorEastAsia"/>
                <w:kern w:val="0"/>
                <w:sz w:val="18"/>
                <w:szCs w:val="18"/>
              </w:rPr>
              <w:t>4</w:t>
            </w:r>
          </w:p>
        </w:tc>
        <w:tc>
          <w:tcPr>
            <w:tcW w:w="681"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5108943.775</w:t>
            </w:r>
          </w:p>
        </w:tc>
        <w:tc>
          <w:tcPr>
            <w:tcW w:w="629"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582128.518</w:t>
            </w:r>
          </w:p>
        </w:tc>
        <w:tc>
          <w:tcPr>
            <w:tcW w:w="445"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70</w:t>
            </w:r>
          </w:p>
        </w:tc>
        <w:tc>
          <w:tcPr>
            <w:tcW w:w="444"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1C4D9E" w:rsidRPr="00F9522B" w:rsidTr="00325FFB">
        <w:trPr>
          <w:trHeight w:val="300"/>
        </w:trPr>
        <w:tc>
          <w:tcPr>
            <w:tcW w:w="286" w:type="pct"/>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235</w:t>
            </w:r>
          </w:p>
        </w:tc>
        <w:tc>
          <w:tcPr>
            <w:tcW w:w="323" w:type="pct"/>
            <w:vMerge/>
            <w:noWrap/>
            <w:vAlign w:val="center"/>
          </w:tcPr>
          <w:p w:rsidR="001C4D9E" w:rsidRPr="00F9522B" w:rsidRDefault="001C4D9E">
            <w:pPr>
              <w:widowControl/>
              <w:autoSpaceDE w:val="0"/>
              <w:adjustRightInd w:val="0"/>
              <w:snapToGrid w:val="0"/>
              <w:jc w:val="center"/>
              <w:rPr>
                <w:rFonts w:eastAsiaTheme="minorEastAsia"/>
                <w:sz w:val="18"/>
                <w:szCs w:val="18"/>
              </w:rPr>
            </w:pPr>
          </w:p>
        </w:tc>
        <w:tc>
          <w:tcPr>
            <w:tcW w:w="376" w:type="pct"/>
            <w:vMerge/>
            <w:vAlign w:val="center"/>
          </w:tcPr>
          <w:p w:rsidR="001C4D9E" w:rsidRPr="00F9522B" w:rsidRDefault="001C4D9E">
            <w:pPr>
              <w:widowControl/>
              <w:autoSpaceDE w:val="0"/>
              <w:adjustRightInd w:val="0"/>
              <w:snapToGrid w:val="0"/>
              <w:jc w:val="center"/>
              <w:rPr>
                <w:rFonts w:eastAsiaTheme="minorEastAsia"/>
                <w:sz w:val="18"/>
                <w:szCs w:val="18"/>
              </w:rPr>
            </w:pPr>
          </w:p>
        </w:tc>
        <w:tc>
          <w:tcPr>
            <w:tcW w:w="842" w:type="pct"/>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鲍堡设计井</w:t>
            </w:r>
            <w:r w:rsidRPr="00F9522B">
              <w:rPr>
                <w:rFonts w:eastAsiaTheme="minorEastAsia"/>
                <w:kern w:val="0"/>
                <w:sz w:val="18"/>
                <w:szCs w:val="18"/>
              </w:rPr>
              <w:t>5</w:t>
            </w:r>
          </w:p>
        </w:tc>
        <w:tc>
          <w:tcPr>
            <w:tcW w:w="681"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5108933.625</w:t>
            </w:r>
          </w:p>
        </w:tc>
        <w:tc>
          <w:tcPr>
            <w:tcW w:w="629"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582329.915</w:t>
            </w:r>
          </w:p>
        </w:tc>
        <w:tc>
          <w:tcPr>
            <w:tcW w:w="445"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70</w:t>
            </w:r>
          </w:p>
        </w:tc>
        <w:tc>
          <w:tcPr>
            <w:tcW w:w="444"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1C4D9E" w:rsidRPr="00F9522B" w:rsidTr="00325FFB">
        <w:trPr>
          <w:trHeight w:val="300"/>
        </w:trPr>
        <w:tc>
          <w:tcPr>
            <w:tcW w:w="286" w:type="pct"/>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236</w:t>
            </w:r>
          </w:p>
        </w:tc>
        <w:tc>
          <w:tcPr>
            <w:tcW w:w="323" w:type="pct"/>
            <w:vMerge/>
            <w:noWrap/>
            <w:vAlign w:val="center"/>
          </w:tcPr>
          <w:p w:rsidR="001C4D9E" w:rsidRPr="00F9522B" w:rsidRDefault="001C4D9E">
            <w:pPr>
              <w:widowControl/>
              <w:autoSpaceDE w:val="0"/>
              <w:adjustRightInd w:val="0"/>
              <w:snapToGrid w:val="0"/>
              <w:jc w:val="center"/>
              <w:rPr>
                <w:rFonts w:eastAsiaTheme="minorEastAsia"/>
                <w:sz w:val="18"/>
                <w:szCs w:val="18"/>
              </w:rPr>
            </w:pPr>
          </w:p>
        </w:tc>
        <w:tc>
          <w:tcPr>
            <w:tcW w:w="376" w:type="pct"/>
            <w:vMerge/>
            <w:vAlign w:val="center"/>
          </w:tcPr>
          <w:p w:rsidR="001C4D9E" w:rsidRPr="00F9522B" w:rsidRDefault="001C4D9E">
            <w:pPr>
              <w:widowControl/>
              <w:autoSpaceDE w:val="0"/>
              <w:adjustRightInd w:val="0"/>
              <w:snapToGrid w:val="0"/>
              <w:jc w:val="center"/>
              <w:rPr>
                <w:rFonts w:eastAsiaTheme="minorEastAsia"/>
                <w:sz w:val="18"/>
                <w:szCs w:val="18"/>
              </w:rPr>
            </w:pPr>
          </w:p>
        </w:tc>
        <w:tc>
          <w:tcPr>
            <w:tcW w:w="842" w:type="pct"/>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鲍堡设计井</w:t>
            </w:r>
            <w:r w:rsidRPr="00F9522B">
              <w:rPr>
                <w:rFonts w:eastAsiaTheme="minorEastAsia"/>
                <w:kern w:val="0"/>
                <w:sz w:val="18"/>
                <w:szCs w:val="18"/>
              </w:rPr>
              <w:t>6</w:t>
            </w:r>
          </w:p>
        </w:tc>
        <w:tc>
          <w:tcPr>
            <w:tcW w:w="681"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5108910.976</w:t>
            </w:r>
          </w:p>
        </w:tc>
        <w:tc>
          <w:tcPr>
            <w:tcW w:w="629"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582531.013</w:t>
            </w:r>
          </w:p>
        </w:tc>
        <w:tc>
          <w:tcPr>
            <w:tcW w:w="445"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70</w:t>
            </w:r>
          </w:p>
        </w:tc>
        <w:tc>
          <w:tcPr>
            <w:tcW w:w="444"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1C4D9E" w:rsidRPr="00F9522B" w:rsidTr="00325FFB">
        <w:trPr>
          <w:trHeight w:val="300"/>
        </w:trPr>
        <w:tc>
          <w:tcPr>
            <w:tcW w:w="286" w:type="pct"/>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237</w:t>
            </w:r>
          </w:p>
        </w:tc>
        <w:tc>
          <w:tcPr>
            <w:tcW w:w="323" w:type="pct"/>
            <w:vMerge/>
            <w:noWrap/>
            <w:vAlign w:val="center"/>
          </w:tcPr>
          <w:p w:rsidR="001C4D9E" w:rsidRPr="00F9522B" w:rsidRDefault="001C4D9E">
            <w:pPr>
              <w:widowControl/>
              <w:autoSpaceDE w:val="0"/>
              <w:adjustRightInd w:val="0"/>
              <w:snapToGrid w:val="0"/>
              <w:jc w:val="center"/>
              <w:rPr>
                <w:rFonts w:eastAsiaTheme="minorEastAsia"/>
                <w:sz w:val="18"/>
                <w:szCs w:val="18"/>
              </w:rPr>
            </w:pPr>
          </w:p>
        </w:tc>
        <w:tc>
          <w:tcPr>
            <w:tcW w:w="376" w:type="pct"/>
            <w:vMerge/>
            <w:vAlign w:val="center"/>
          </w:tcPr>
          <w:p w:rsidR="001C4D9E" w:rsidRPr="00F9522B" w:rsidRDefault="001C4D9E">
            <w:pPr>
              <w:widowControl/>
              <w:autoSpaceDE w:val="0"/>
              <w:adjustRightInd w:val="0"/>
              <w:snapToGrid w:val="0"/>
              <w:jc w:val="center"/>
              <w:rPr>
                <w:rFonts w:eastAsiaTheme="minorEastAsia"/>
                <w:sz w:val="18"/>
                <w:szCs w:val="18"/>
              </w:rPr>
            </w:pPr>
          </w:p>
        </w:tc>
        <w:tc>
          <w:tcPr>
            <w:tcW w:w="842" w:type="pct"/>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鲍堡设计井</w:t>
            </w:r>
            <w:r w:rsidRPr="00F9522B">
              <w:rPr>
                <w:rFonts w:eastAsiaTheme="minorEastAsia"/>
                <w:kern w:val="0"/>
                <w:sz w:val="18"/>
                <w:szCs w:val="18"/>
              </w:rPr>
              <w:t>7</w:t>
            </w:r>
          </w:p>
        </w:tc>
        <w:tc>
          <w:tcPr>
            <w:tcW w:w="681"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5108527.663</w:t>
            </w:r>
          </w:p>
        </w:tc>
        <w:tc>
          <w:tcPr>
            <w:tcW w:w="629"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582175.814</w:t>
            </w:r>
          </w:p>
        </w:tc>
        <w:tc>
          <w:tcPr>
            <w:tcW w:w="445"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70</w:t>
            </w:r>
          </w:p>
        </w:tc>
        <w:tc>
          <w:tcPr>
            <w:tcW w:w="444"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1C4D9E" w:rsidRPr="00F9522B" w:rsidTr="00325FFB">
        <w:trPr>
          <w:trHeight w:val="300"/>
        </w:trPr>
        <w:tc>
          <w:tcPr>
            <w:tcW w:w="286" w:type="pct"/>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238</w:t>
            </w:r>
          </w:p>
        </w:tc>
        <w:tc>
          <w:tcPr>
            <w:tcW w:w="323" w:type="pct"/>
            <w:vMerge/>
            <w:noWrap/>
            <w:vAlign w:val="center"/>
          </w:tcPr>
          <w:p w:rsidR="001C4D9E" w:rsidRPr="00F9522B" w:rsidRDefault="001C4D9E">
            <w:pPr>
              <w:widowControl/>
              <w:autoSpaceDE w:val="0"/>
              <w:adjustRightInd w:val="0"/>
              <w:snapToGrid w:val="0"/>
              <w:jc w:val="center"/>
              <w:rPr>
                <w:rFonts w:eastAsiaTheme="minorEastAsia"/>
                <w:sz w:val="18"/>
                <w:szCs w:val="18"/>
              </w:rPr>
            </w:pPr>
          </w:p>
        </w:tc>
        <w:tc>
          <w:tcPr>
            <w:tcW w:w="376" w:type="pct"/>
            <w:vMerge/>
            <w:vAlign w:val="center"/>
          </w:tcPr>
          <w:p w:rsidR="001C4D9E" w:rsidRPr="00F9522B" w:rsidRDefault="001C4D9E">
            <w:pPr>
              <w:widowControl/>
              <w:autoSpaceDE w:val="0"/>
              <w:adjustRightInd w:val="0"/>
              <w:snapToGrid w:val="0"/>
              <w:jc w:val="center"/>
              <w:rPr>
                <w:rFonts w:eastAsiaTheme="minorEastAsia"/>
                <w:sz w:val="18"/>
                <w:szCs w:val="18"/>
              </w:rPr>
            </w:pPr>
          </w:p>
        </w:tc>
        <w:tc>
          <w:tcPr>
            <w:tcW w:w="842" w:type="pct"/>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鲍堡设计井</w:t>
            </w:r>
            <w:r w:rsidRPr="00F9522B">
              <w:rPr>
                <w:rFonts w:eastAsiaTheme="minorEastAsia"/>
                <w:kern w:val="0"/>
                <w:sz w:val="18"/>
                <w:szCs w:val="18"/>
              </w:rPr>
              <w:t>8</w:t>
            </w:r>
          </w:p>
        </w:tc>
        <w:tc>
          <w:tcPr>
            <w:tcW w:w="681"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5108099.104</w:t>
            </w:r>
          </w:p>
        </w:tc>
        <w:tc>
          <w:tcPr>
            <w:tcW w:w="629"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582222.219</w:t>
            </w:r>
          </w:p>
        </w:tc>
        <w:tc>
          <w:tcPr>
            <w:tcW w:w="445"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70</w:t>
            </w:r>
          </w:p>
        </w:tc>
        <w:tc>
          <w:tcPr>
            <w:tcW w:w="444"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1C4D9E" w:rsidRPr="00F9522B" w:rsidTr="00325FFB">
        <w:trPr>
          <w:trHeight w:val="300"/>
        </w:trPr>
        <w:tc>
          <w:tcPr>
            <w:tcW w:w="286" w:type="pct"/>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239</w:t>
            </w:r>
          </w:p>
        </w:tc>
        <w:tc>
          <w:tcPr>
            <w:tcW w:w="323" w:type="pct"/>
            <w:vMerge/>
            <w:noWrap/>
            <w:vAlign w:val="center"/>
          </w:tcPr>
          <w:p w:rsidR="001C4D9E" w:rsidRPr="00F9522B" w:rsidRDefault="001C4D9E">
            <w:pPr>
              <w:widowControl/>
              <w:autoSpaceDE w:val="0"/>
              <w:adjustRightInd w:val="0"/>
              <w:snapToGrid w:val="0"/>
              <w:jc w:val="center"/>
              <w:rPr>
                <w:rFonts w:eastAsiaTheme="minorEastAsia"/>
                <w:sz w:val="18"/>
                <w:szCs w:val="18"/>
              </w:rPr>
            </w:pPr>
          </w:p>
        </w:tc>
        <w:tc>
          <w:tcPr>
            <w:tcW w:w="376" w:type="pct"/>
            <w:vMerge/>
            <w:vAlign w:val="center"/>
          </w:tcPr>
          <w:p w:rsidR="001C4D9E" w:rsidRPr="00F9522B" w:rsidRDefault="001C4D9E">
            <w:pPr>
              <w:widowControl/>
              <w:autoSpaceDE w:val="0"/>
              <w:adjustRightInd w:val="0"/>
              <w:snapToGrid w:val="0"/>
              <w:jc w:val="center"/>
              <w:rPr>
                <w:rFonts w:eastAsiaTheme="minorEastAsia"/>
                <w:sz w:val="18"/>
                <w:szCs w:val="18"/>
              </w:rPr>
            </w:pPr>
          </w:p>
        </w:tc>
        <w:tc>
          <w:tcPr>
            <w:tcW w:w="842" w:type="pct"/>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鲍堡设计井</w:t>
            </w:r>
            <w:r w:rsidRPr="00F9522B">
              <w:rPr>
                <w:rFonts w:eastAsiaTheme="minorEastAsia"/>
                <w:kern w:val="0"/>
                <w:sz w:val="18"/>
                <w:szCs w:val="18"/>
              </w:rPr>
              <w:t>9</w:t>
            </w:r>
          </w:p>
        </w:tc>
        <w:tc>
          <w:tcPr>
            <w:tcW w:w="681"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5108334.544</w:t>
            </w:r>
          </w:p>
        </w:tc>
        <w:tc>
          <w:tcPr>
            <w:tcW w:w="629"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582758.281</w:t>
            </w:r>
          </w:p>
        </w:tc>
        <w:tc>
          <w:tcPr>
            <w:tcW w:w="445"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70</w:t>
            </w:r>
          </w:p>
        </w:tc>
        <w:tc>
          <w:tcPr>
            <w:tcW w:w="444"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1C4D9E" w:rsidRPr="00F9522B" w:rsidTr="00325FFB">
        <w:trPr>
          <w:trHeight w:val="300"/>
        </w:trPr>
        <w:tc>
          <w:tcPr>
            <w:tcW w:w="286" w:type="pct"/>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240</w:t>
            </w:r>
          </w:p>
        </w:tc>
        <w:tc>
          <w:tcPr>
            <w:tcW w:w="323" w:type="pct"/>
            <w:vMerge/>
            <w:noWrap/>
            <w:vAlign w:val="center"/>
          </w:tcPr>
          <w:p w:rsidR="001C4D9E" w:rsidRPr="00F9522B" w:rsidRDefault="001C4D9E">
            <w:pPr>
              <w:widowControl/>
              <w:autoSpaceDE w:val="0"/>
              <w:adjustRightInd w:val="0"/>
              <w:snapToGrid w:val="0"/>
              <w:jc w:val="center"/>
              <w:rPr>
                <w:rFonts w:eastAsiaTheme="minorEastAsia"/>
                <w:sz w:val="18"/>
                <w:szCs w:val="18"/>
              </w:rPr>
            </w:pPr>
          </w:p>
        </w:tc>
        <w:tc>
          <w:tcPr>
            <w:tcW w:w="376" w:type="pct"/>
            <w:vMerge w:val="restart"/>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元宝村</w:t>
            </w:r>
          </w:p>
        </w:tc>
        <w:tc>
          <w:tcPr>
            <w:tcW w:w="842" w:type="pct"/>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元宝设计井</w:t>
            </w:r>
            <w:r w:rsidRPr="00F9522B">
              <w:rPr>
                <w:rFonts w:eastAsiaTheme="minorEastAsia"/>
                <w:kern w:val="0"/>
                <w:sz w:val="18"/>
                <w:szCs w:val="18"/>
              </w:rPr>
              <w:t>1</w:t>
            </w:r>
          </w:p>
        </w:tc>
        <w:tc>
          <w:tcPr>
            <w:tcW w:w="681"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5111519.122</w:t>
            </w:r>
          </w:p>
        </w:tc>
        <w:tc>
          <w:tcPr>
            <w:tcW w:w="629"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582191.380</w:t>
            </w:r>
          </w:p>
        </w:tc>
        <w:tc>
          <w:tcPr>
            <w:tcW w:w="445"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1C4D9E" w:rsidRPr="00F9522B" w:rsidTr="00325FFB">
        <w:trPr>
          <w:trHeight w:val="300"/>
        </w:trPr>
        <w:tc>
          <w:tcPr>
            <w:tcW w:w="286" w:type="pct"/>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241</w:t>
            </w:r>
          </w:p>
        </w:tc>
        <w:tc>
          <w:tcPr>
            <w:tcW w:w="323" w:type="pct"/>
            <w:vMerge/>
            <w:noWrap/>
            <w:vAlign w:val="center"/>
          </w:tcPr>
          <w:p w:rsidR="001C4D9E" w:rsidRPr="00F9522B" w:rsidRDefault="001C4D9E">
            <w:pPr>
              <w:widowControl/>
              <w:autoSpaceDE w:val="0"/>
              <w:adjustRightInd w:val="0"/>
              <w:snapToGrid w:val="0"/>
              <w:jc w:val="center"/>
              <w:rPr>
                <w:rFonts w:eastAsiaTheme="minorEastAsia"/>
                <w:sz w:val="18"/>
                <w:szCs w:val="18"/>
              </w:rPr>
            </w:pPr>
          </w:p>
        </w:tc>
        <w:tc>
          <w:tcPr>
            <w:tcW w:w="376" w:type="pct"/>
            <w:vMerge/>
            <w:vAlign w:val="center"/>
          </w:tcPr>
          <w:p w:rsidR="001C4D9E" w:rsidRPr="00F9522B" w:rsidRDefault="001C4D9E">
            <w:pPr>
              <w:widowControl/>
              <w:autoSpaceDE w:val="0"/>
              <w:adjustRightInd w:val="0"/>
              <w:snapToGrid w:val="0"/>
              <w:jc w:val="center"/>
              <w:rPr>
                <w:rFonts w:eastAsiaTheme="minorEastAsia"/>
                <w:sz w:val="18"/>
                <w:szCs w:val="18"/>
              </w:rPr>
            </w:pPr>
          </w:p>
        </w:tc>
        <w:tc>
          <w:tcPr>
            <w:tcW w:w="842" w:type="pct"/>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元宝设计井</w:t>
            </w:r>
            <w:r w:rsidRPr="00F9522B">
              <w:rPr>
                <w:rFonts w:eastAsiaTheme="minorEastAsia"/>
                <w:kern w:val="0"/>
                <w:sz w:val="18"/>
                <w:szCs w:val="18"/>
              </w:rPr>
              <w:t>2</w:t>
            </w:r>
          </w:p>
        </w:tc>
        <w:tc>
          <w:tcPr>
            <w:tcW w:w="681"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5111462.459</w:t>
            </w:r>
          </w:p>
        </w:tc>
        <w:tc>
          <w:tcPr>
            <w:tcW w:w="629"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582673.843</w:t>
            </w:r>
          </w:p>
        </w:tc>
        <w:tc>
          <w:tcPr>
            <w:tcW w:w="445"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1C4D9E" w:rsidRPr="00F9522B" w:rsidTr="00325FFB">
        <w:trPr>
          <w:trHeight w:val="300"/>
        </w:trPr>
        <w:tc>
          <w:tcPr>
            <w:tcW w:w="286" w:type="pct"/>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242</w:t>
            </w:r>
          </w:p>
        </w:tc>
        <w:tc>
          <w:tcPr>
            <w:tcW w:w="323" w:type="pct"/>
            <w:vMerge/>
            <w:noWrap/>
            <w:vAlign w:val="center"/>
          </w:tcPr>
          <w:p w:rsidR="001C4D9E" w:rsidRPr="00F9522B" w:rsidRDefault="001C4D9E">
            <w:pPr>
              <w:widowControl/>
              <w:autoSpaceDE w:val="0"/>
              <w:adjustRightInd w:val="0"/>
              <w:snapToGrid w:val="0"/>
              <w:jc w:val="center"/>
              <w:rPr>
                <w:rFonts w:eastAsiaTheme="minorEastAsia"/>
                <w:sz w:val="18"/>
                <w:szCs w:val="18"/>
              </w:rPr>
            </w:pPr>
          </w:p>
        </w:tc>
        <w:tc>
          <w:tcPr>
            <w:tcW w:w="376" w:type="pct"/>
            <w:vMerge/>
            <w:vAlign w:val="center"/>
          </w:tcPr>
          <w:p w:rsidR="001C4D9E" w:rsidRPr="00F9522B" w:rsidRDefault="001C4D9E">
            <w:pPr>
              <w:widowControl/>
              <w:autoSpaceDE w:val="0"/>
              <w:adjustRightInd w:val="0"/>
              <w:snapToGrid w:val="0"/>
              <w:jc w:val="center"/>
              <w:rPr>
                <w:rFonts w:eastAsiaTheme="minorEastAsia"/>
                <w:sz w:val="18"/>
                <w:szCs w:val="18"/>
              </w:rPr>
            </w:pPr>
          </w:p>
        </w:tc>
        <w:tc>
          <w:tcPr>
            <w:tcW w:w="842" w:type="pct"/>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元宝设计井</w:t>
            </w:r>
            <w:r w:rsidRPr="00F9522B">
              <w:rPr>
                <w:rFonts w:eastAsiaTheme="minorEastAsia"/>
                <w:kern w:val="0"/>
                <w:sz w:val="18"/>
                <w:szCs w:val="18"/>
              </w:rPr>
              <w:t>3</w:t>
            </w:r>
          </w:p>
        </w:tc>
        <w:tc>
          <w:tcPr>
            <w:tcW w:w="681"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5111626.182</w:t>
            </w:r>
          </w:p>
        </w:tc>
        <w:tc>
          <w:tcPr>
            <w:tcW w:w="629"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583262.694</w:t>
            </w:r>
          </w:p>
        </w:tc>
        <w:tc>
          <w:tcPr>
            <w:tcW w:w="445"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1C4D9E" w:rsidRPr="00F9522B" w:rsidTr="00325FFB">
        <w:trPr>
          <w:trHeight w:val="300"/>
        </w:trPr>
        <w:tc>
          <w:tcPr>
            <w:tcW w:w="286" w:type="pct"/>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243</w:t>
            </w:r>
          </w:p>
        </w:tc>
        <w:tc>
          <w:tcPr>
            <w:tcW w:w="323" w:type="pct"/>
            <w:vMerge/>
            <w:noWrap/>
            <w:vAlign w:val="center"/>
          </w:tcPr>
          <w:p w:rsidR="001C4D9E" w:rsidRPr="00F9522B" w:rsidRDefault="001C4D9E">
            <w:pPr>
              <w:widowControl/>
              <w:autoSpaceDE w:val="0"/>
              <w:adjustRightInd w:val="0"/>
              <w:snapToGrid w:val="0"/>
              <w:jc w:val="center"/>
              <w:rPr>
                <w:rFonts w:eastAsiaTheme="minorEastAsia"/>
                <w:sz w:val="18"/>
                <w:szCs w:val="18"/>
              </w:rPr>
            </w:pPr>
          </w:p>
        </w:tc>
        <w:tc>
          <w:tcPr>
            <w:tcW w:w="376" w:type="pct"/>
            <w:vMerge/>
            <w:vAlign w:val="center"/>
          </w:tcPr>
          <w:p w:rsidR="001C4D9E" w:rsidRPr="00F9522B" w:rsidRDefault="001C4D9E">
            <w:pPr>
              <w:widowControl/>
              <w:autoSpaceDE w:val="0"/>
              <w:adjustRightInd w:val="0"/>
              <w:snapToGrid w:val="0"/>
              <w:jc w:val="center"/>
              <w:rPr>
                <w:rFonts w:eastAsiaTheme="minorEastAsia"/>
                <w:sz w:val="18"/>
                <w:szCs w:val="18"/>
              </w:rPr>
            </w:pPr>
          </w:p>
        </w:tc>
        <w:tc>
          <w:tcPr>
            <w:tcW w:w="842" w:type="pct"/>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元宝设计井</w:t>
            </w:r>
            <w:r w:rsidRPr="00F9522B">
              <w:rPr>
                <w:rFonts w:eastAsiaTheme="minorEastAsia"/>
                <w:kern w:val="0"/>
                <w:sz w:val="18"/>
                <w:szCs w:val="18"/>
              </w:rPr>
              <w:t>4</w:t>
            </w:r>
          </w:p>
        </w:tc>
        <w:tc>
          <w:tcPr>
            <w:tcW w:w="681"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5111605.193</w:t>
            </w:r>
          </w:p>
        </w:tc>
        <w:tc>
          <w:tcPr>
            <w:tcW w:w="629"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583681.235</w:t>
            </w:r>
          </w:p>
        </w:tc>
        <w:tc>
          <w:tcPr>
            <w:tcW w:w="445"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1C4D9E" w:rsidRPr="00F9522B" w:rsidTr="00325FFB">
        <w:trPr>
          <w:trHeight w:val="300"/>
        </w:trPr>
        <w:tc>
          <w:tcPr>
            <w:tcW w:w="286" w:type="pct"/>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244</w:t>
            </w:r>
          </w:p>
        </w:tc>
        <w:tc>
          <w:tcPr>
            <w:tcW w:w="323" w:type="pct"/>
            <w:vMerge/>
            <w:noWrap/>
            <w:vAlign w:val="center"/>
          </w:tcPr>
          <w:p w:rsidR="001C4D9E" w:rsidRPr="00F9522B" w:rsidRDefault="001C4D9E">
            <w:pPr>
              <w:widowControl/>
              <w:autoSpaceDE w:val="0"/>
              <w:adjustRightInd w:val="0"/>
              <w:snapToGrid w:val="0"/>
              <w:jc w:val="center"/>
              <w:rPr>
                <w:rFonts w:eastAsiaTheme="minorEastAsia"/>
                <w:sz w:val="18"/>
                <w:szCs w:val="18"/>
              </w:rPr>
            </w:pPr>
          </w:p>
        </w:tc>
        <w:tc>
          <w:tcPr>
            <w:tcW w:w="376" w:type="pct"/>
            <w:vMerge/>
            <w:vAlign w:val="center"/>
          </w:tcPr>
          <w:p w:rsidR="001C4D9E" w:rsidRPr="00F9522B" w:rsidRDefault="001C4D9E">
            <w:pPr>
              <w:widowControl/>
              <w:autoSpaceDE w:val="0"/>
              <w:adjustRightInd w:val="0"/>
              <w:snapToGrid w:val="0"/>
              <w:jc w:val="center"/>
              <w:rPr>
                <w:rFonts w:eastAsiaTheme="minorEastAsia"/>
                <w:sz w:val="18"/>
                <w:szCs w:val="18"/>
              </w:rPr>
            </w:pPr>
          </w:p>
        </w:tc>
        <w:tc>
          <w:tcPr>
            <w:tcW w:w="842" w:type="pct"/>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元宝设计井</w:t>
            </w:r>
            <w:r w:rsidRPr="00F9522B">
              <w:rPr>
                <w:rFonts w:eastAsiaTheme="minorEastAsia"/>
                <w:kern w:val="0"/>
                <w:sz w:val="18"/>
                <w:szCs w:val="18"/>
              </w:rPr>
              <w:t>5</w:t>
            </w:r>
          </w:p>
        </w:tc>
        <w:tc>
          <w:tcPr>
            <w:tcW w:w="681"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5110956.277</w:t>
            </w:r>
          </w:p>
        </w:tc>
        <w:tc>
          <w:tcPr>
            <w:tcW w:w="629"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582308.068</w:t>
            </w:r>
          </w:p>
        </w:tc>
        <w:tc>
          <w:tcPr>
            <w:tcW w:w="445"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427"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44"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47" w:type="pct"/>
            <w:noWrap/>
            <w:vAlign w:val="center"/>
            <w:hideMark/>
          </w:tcPr>
          <w:p w:rsidR="001C4D9E" w:rsidRPr="00F9522B" w:rsidRDefault="001C4D9E">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bl>
    <w:p w:rsidR="00AB10DD" w:rsidRPr="00F9522B" w:rsidRDefault="00AB10DD" w:rsidP="00AB10DD">
      <w:pPr>
        <w:contextualSpacing/>
        <w:jc w:val="center"/>
        <w:rPr>
          <w:rFonts w:eastAsiaTheme="minorEastAsia"/>
          <w:b/>
          <w:kern w:val="0"/>
          <w:szCs w:val="21"/>
        </w:rPr>
      </w:pPr>
      <w:r w:rsidRPr="00F9522B">
        <w:rPr>
          <w:rFonts w:eastAsiaTheme="minorEastAsia"/>
          <w:b/>
          <w:kern w:val="0"/>
          <w:szCs w:val="21"/>
        </w:rPr>
        <w:lastRenderedPageBreak/>
        <w:t>续表</w:t>
      </w:r>
      <w:r w:rsidRPr="00F9522B">
        <w:rPr>
          <w:rFonts w:eastAsiaTheme="minorEastAsia"/>
          <w:b/>
          <w:kern w:val="0"/>
          <w:szCs w:val="21"/>
        </w:rPr>
        <w:t>3-1-</w:t>
      </w:r>
      <w:r w:rsidR="00B40846" w:rsidRPr="00F9522B">
        <w:rPr>
          <w:rFonts w:eastAsiaTheme="minorEastAsia"/>
          <w:b/>
          <w:kern w:val="0"/>
          <w:szCs w:val="21"/>
        </w:rPr>
        <w:t>10</w:t>
      </w:r>
      <w:r w:rsidRPr="00F9522B">
        <w:rPr>
          <w:rFonts w:eastAsiaTheme="minorEastAsia"/>
          <w:b/>
          <w:kern w:val="0"/>
          <w:szCs w:val="21"/>
        </w:rPr>
        <w:t>新建灌溉井参数及位置表</w:t>
      </w:r>
    </w:p>
    <w:tbl>
      <w:tblPr>
        <w:tblW w:w="5000" w:type="pct"/>
        <w:tblBorders>
          <w:top w:val="single" w:sz="12" w:space="0" w:color="000000"/>
          <w:bottom w:val="single" w:sz="12" w:space="0" w:color="000000"/>
          <w:insideH w:val="single" w:sz="4" w:space="0" w:color="000000"/>
          <w:insideV w:val="single" w:sz="4" w:space="0" w:color="000000"/>
        </w:tblBorders>
        <w:tblLayout w:type="fixed"/>
        <w:tblLook w:val="04A0"/>
      </w:tblPr>
      <w:tblGrid>
        <w:gridCol w:w="488"/>
        <w:gridCol w:w="471"/>
        <w:gridCol w:w="713"/>
        <w:gridCol w:w="1422"/>
        <w:gridCol w:w="1278"/>
        <w:gridCol w:w="990"/>
        <w:gridCol w:w="850"/>
        <w:gridCol w:w="562"/>
        <w:gridCol w:w="850"/>
        <w:gridCol w:w="898"/>
      </w:tblGrid>
      <w:tr w:rsidR="00297C54" w:rsidRPr="00F9522B" w:rsidTr="00AB10DD">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245</w:t>
            </w:r>
          </w:p>
        </w:tc>
        <w:tc>
          <w:tcPr>
            <w:tcW w:w="276" w:type="pct"/>
            <w:vMerge w:val="restart"/>
            <w:noWrap/>
            <w:vAlign w:val="center"/>
          </w:tcPr>
          <w:p w:rsidR="00297C54" w:rsidRPr="00F9522B" w:rsidRDefault="00297C54" w:rsidP="001C4D9E">
            <w:pPr>
              <w:autoSpaceDE w:val="0"/>
              <w:adjustRightInd w:val="0"/>
              <w:snapToGrid w:val="0"/>
              <w:rPr>
                <w:rFonts w:eastAsiaTheme="minorEastAsia"/>
                <w:sz w:val="18"/>
                <w:szCs w:val="18"/>
              </w:rPr>
            </w:pPr>
            <w:r w:rsidRPr="00F9522B">
              <w:rPr>
                <w:rFonts w:eastAsiaTheme="minorEastAsia"/>
                <w:sz w:val="18"/>
                <w:szCs w:val="18"/>
              </w:rPr>
              <w:t>二八片区</w:t>
            </w:r>
          </w:p>
        </w:tc>
        <w:tc>
          <w:tcPr>
            <w:tcW w:w="418" w:type="pct"/>
            <w:vMerge w:val="restart"/>
            <w:vAlign w:val="center"/>
          </w:tcPr>
          <w:p w:rsidR="00297C54" w:rsidRPr="00F9522B" w:rsidRDefault="00297C54" w:rsidP="00297C54">
            <w:pPr>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元宝村</w:t>
            </w:r>
          </w:p>
        </w:tc>
        <w:tc>
          <w:tcPr>
            <w:tcW w:w="834"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元宝设计井</w:t>
            </w:r>
            <w:r w:rsidRPr="00F9522B">
              <w:rPr>
                <w:rFonts w:eastAsiaTheme="minorEastAsia"/>
                <w:kern w:val="0"/>
                <w:sz w:val="18"/>
                <w:szCs w:val="18"/>
              </w:rPr>
              <w:t>6</w:t>
            </w:r>
          </w:p>
        </w:tc>
        <w:tc>
          <w:tcPr>
            <w:tcW w:w="750"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5110673.283</w:t>
            </w:r>
          </w:p>
        </w:tc>
        <w:tc>
          <w:tcPr>
            <w:tcW w:w="5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581937.772</w:t>
            </w:r>
          </w:p>
        </w:tc>
        <w:tc>
          <w:tcPr>
            <w:tcW w:w="49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330"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9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AB10DD">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246</w:t>
            </w:r>
          </w:p>
        </w:tc>
        <w:tc>
          <w:tcPr>
            <w:tcW w:w="276" w:type="pct"/>
            <w:vMerge/>
            <w:noWrap/>
            <w:vAlign w:val="center"/>
          </w:tcPr>
          <w:p w:rsidR="00297C54" w:rsidRPr="00F9522B" w:rsidRDefault="00297C54" w:rsidP="001C4D9E">
            <w:pPr>
              <w:autoSpaceDE w:val="0"/>
              <w:adjustRightInd w:val="0"/>
              <w:snapToGrid w:val="0"/>
              <w:rPr>
                <w:rFonts w:eastAsiaTheme="minorEastAsia"/>
                <w:sz w:val="18"/>
                <w:szCs w:val="18"/>
              </w:rPr>
            </w:pPr>
          </w:p>
        </w:tc>
        <w:tc>
          <w:tcPr>
            <w:tcW w:w="418" w:type="pct"/>
            <w:vMerge/>
            <w:vAlign w:val="center"/>
          </w:tcPr>
          <w:p w:rsidR="00297C54" w:rsidRPr="00F9522B" w:rsidRDefault="00297C54" w:rsidP="00297C54">
            <w:pPr>
              <w:autoSpaceDE w:val="0"/>
              <w:adjustRightInd w:val="0"/>
              <w:snapToGrid w:val="0"/>
              <w:jc w:val="center"/>
              <w:textAlignment w:val="center"/>
              <w:rPr>
                <w:rFonts w:eastAsiaTheme="minorEastAsia"/>
                <w:sz w:val="18"/>
                <w:szCs w:val="18"/>
              </w:rPr>
            </w:pPr>
          </w:p>
        </w:tc>
        <w:tc>
          <w:tcPr>
            <w:tcW w:w="834"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元宝设计井</w:t>
            </w:r>
            <w:r w:rsidRPr="00F9522B">
              <w:rPr>
                <w:rFonts w:eastAsiaTheme="minorEastAsia"/>
                <w:kern w:val="0"/>
                <w:sz w:val="18"/>
                <w:szCs w:val="18"/>
              </w:rPr>
              <w:t>7</w:t>
            </w:r>
          </w:p>
        </w:tc>
        <w:tc>
          <w:tcPr>
            <w:tcW w:w="750"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5110976.211</w:t>
            </w:r>
          </w:p>
        </w:tc>
        <w:tc>
          <w:tcPr>
            <w:tcW w:w="5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583127.902</w:t>
            </w:r>
          </w:p>
        </w:tc>
        <w:tc>
          <w:tcPr>
            <w:tcW w:w="49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330"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90</w:t>
            </w:r>
          </w:p>
        </w:tc>
        <w:tc>
          <w:tcPr>
            <w:tcW w:w="49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AB10DD">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247</w:t>
            </w:r>
          </w:p>
        </w:tc>
        <w:tc>
          <w:tcPr>
            <w:tcW w:w="276" w:type="pct"/>
            <w:vMerge/>
            <w:noWrap/>
            <w:vAlign w:val="center"/>
          </w:tcPr>
          <w:p w:rsidR="00297C54" w:rsidRPr="00F9522B" w:rsidRDefault="00297C54" w:rsidP="001C4D9E">
            <w:pPr>
              <w:autoSpaceDE w:val="0"/>
              <w:adjustRightInd w:val="0"/>
              <w:snapToGrid w:val="0"/>
              <w:rPr>
                <w:rFonts w:eastAsiaTheme="minorEastAsia"/>
                <w:sz w:val="18"/>
                <w:szCs w:val="18"/>
              </w:rPr>
            </w:pPr>
          </w:p>
        </w:tc>
        <w:tc>
          <w:tcPr>
            <w:tcW w:w="418" w:type="pct"/>
            <w:vMerge/>
            <w:vAlign w:val="center"/>
          </w:tcPr>
          <w:p w:rsidR="00297C54" w:rsidRPr="00F9522B" w:rsidRDefault="00297C54" w:rsidP="00297C54">
            <w:pPr>
              <w:autoSpaceDE w:val="0"/>
              <w:adjustRightInd w:val="0"/>
              <w:snapToGrid w:val="0"/>
              <w:jc w:val="center"/>
              <w:textAlignment w:val="center"/>
              <w:rPr>
                <w:rFonts w:eastAsiaTheme="minorEastAsia"/>
                <w:sz w:val="18"/>
                <w:szCs w:val="18"/>
              </w:rPr>
            </w:pPr>
          </w:p>
        </w:tc>
        <w:tc>
          <w:tcPr>
            <w:tcW w:w="834"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元宝设计井</w:t>
            </w:r>
            <w:r w:rsidRPr="00F9522B">
              <w:rPr>
                <w:rFonts w:eastAsiaTheme="minorEastAsia"/>
                <w:kern w:val="0"/>
                <w:sz w:val="18"/>
                <w:szCs w:val="18"/>
              </w:rPr>
              <w:t>8</w:t>
            </w:r>
          </w:p>
        </w:tc>
        <w:tc>
          <w:tcPr>
            <w:tcW w:w="750"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5113427.406</w:t>
            </w:r>
          </w:p>
        </w:tc>
        <w:tc>
          <w:tcPr>
            <w:tcW w:w="5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584171.983</w:t>
            </w:r>
          </w:p>
        </w:tc>
        <w:tc>
          <w:tcPr>
            <w:tcW w:w="49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330"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70</w:t>
            </w:r>
          </w:p>
        </w:tc>
        <w:tc>
          <w:tcPr>
            <w:tcW w:w="49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AB10DD">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248</w:t>
            </w:r>
          </w:p>
        </w:tc>
        <w:tc>
          <w:tcPr>
            <w:tcW w:w="276" w:type="pct"/>
            <w:vMerge/>
            <w:noWrap/>
            <w:vAlign w:val="center"/>
          </w:tcPr>
          <w:p w:rsidR="00297C54" w:rsidRPr="00F9522B" w:rsidRDefault="00297C54" w:rsidP="001C4D9E">
            <w:pPr>
              <w:autoSpaceDE w:val="0"/>
              <w:adjustRightInd w:val="0"/>
              <w:snapToGrid w:val="0"/>
              <w:rPr>
                <w:rFonts w:eastAsiaTheme="minorEastAsia"/>
                <w:sz w:val="18"/>
                <w:szCs w:val="18"/>
              </w:rPr>
            </w:pPr>
          </w:p>
        </w:tc>
        <w:tc>
          <w:tcPr>
            <w:tcW w:w="418" w:type="pct"/>
            <w:vMerge/>
            <w:vAlign w:val="center"/>
          </w:tcPr>
          <w:p w:rsidR="00297C54" w:rsidRPr="00F9522B" w:rsidRDefault="00297C54" w:rsidP="00297C54">
            <w:pPr>
              <w:autoSpaceDE w:val="0"/>
              <w:adjustRightInd w:val="0"/>
              <w:snapToGrid w:val="0"/>
              <w:jc w:val="center"/>
              <w:textAlignment w:val="center"/>
              <w:rPr>
                <w:rFonts w:eastAsiaTheme="minorEastAsia"/>
                <w:sz w:val="18"/>
                <w:szCs w:val="18"/>
              </w:rPr>
            </w:pPr>
          </w:p>
        </w:tc>
        <w:tc>
          <w:tcPr>
            <w:tcW w:w="834"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元宝设计井</w:t>
            </w:r>
            <w:r w:rsidRPr="00F9522B">
              <w:rPr>
                <w:rFonts w:eastAsiaTheme="minorEastAsia"/>
                <w:kern w:val="0"/>
                <w:sz w:val="18"/>
                <w:szCs w:val="18"/>
              </w:rPr>
              <w:t>9</w:t>
            </w:r>
          </w:p>
        </w:tc>
        <w:tc>
          <w:tcPr>
            <w:tcW w:w="750"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5112696.943</w:t>
            </w:r>
          </w:p>
        </w:tc>
        <w:tc>
          <w:tcPr>
            <w:tcW w:w="5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584468.781</w:t>
            </w:r>
          </w:p>
        </w:tc>
        <w:tc>
          <w:tcPr>
            <w:tcW w:w="49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330"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70</w:t>
            </w:r>
          </w:p>
        </w:tc>
        <w:tc>
          <w:tcPr>
            <w:tcW w:w="49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AB10DD">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249</w:t>
            </w:r>
          </w:p>
        </w:tc>
        <w:tc>
          <w:tcPr>
            <w:tcW w:w="276" w:type="pct"/>
            <w:vMerge/>
            <w:noWrap/>
            <w:vAlign w:val="center"/>
          </w:tcPr>
          <w:p w:rsidR="00297C54" w:rsidRPr="00F9522B" w:rsidRDefault="00297C54" w:rsidP="001C4D9E">
            <w:pPr>
              <w:autoSpaceDE w:val="0"/>
              <w:adjustRightInd w:val="0"/>
              <w:snapToGrid w:val="0"/>
              <w:rPr>
                <w:rFonts w:eastAsiaTheme="minorEastAsia"/>
                <w:sz w:val="18"/>
                <w:szCs w:val="18"/>
              </w:rPr>
            </w:pPr>
          </w:p>
        </w:tc>
        <w:tc>
          <w:tcPr>
            <w:tcW w:w="418" w:type="pct"/>
            <w:vMerge/>
            <w:vAlign w:val="center"/>
          </w:tcPr>
          <w:p w:rsidR="00297C54" w:rsidRPr="00F9522B" w:rsidRDefault="00297C54" w:rsidP="00297C54">
            <w:pPr>
              <w:autoSpaceDE w:val="0"/>
              <w:adjustRightInd w:val="0"/>
              <w:snapToGrid w:val="0"/>
              <w:jc w:val="center"/>
              <w:textAlignment w:val="center"/>
              <w:rPr>
                <w:rFonts w:eastAsiaTheme="minorEastAsia"/>
                <w:sz w:val="18"/>
                <w:szCs w:val="18"/>
              </w:rPr>
            </w:pPr>
          </w:p>
        </w:tc>
        <w:tc>
          <w:tcPr>
            <w:tcW w:w="834"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元宝设计井</w:t>
            </w:r>
            <w:r w:rsidRPr="00F9522B">
              <w:rPr>
                <w:rFonts w:eastAsiaTheme="minorEastAsia"/>
                <w:kern w:val="0"/>
                <w:sz w:val="18"/>
                <w:szCs w:val="18"/>
              </w:rPr>
              <w:t>10</w:t>
            </w:r>
          </w:p>
        </w:tc>
        <w:tc>
          <w:tcPr>
            <w:tcW w:w="750"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5111200.222</w:t>
            </w:r>
          </w:p>
        </w:tc>
        <w:tc>
          <w:tcPr>
            <w:tcW w:w="5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584577.333</w:t>
            </w:r>
          </w:p>
        </w:tc>
        <w:tc>
          <w:tcPr>
            <w:tcW w:w="49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330"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70</w:t>
            </w:r>
          </w:p>
        </w:tc>
        <w:tc>
          <w:tcPr>
            <w:tcW w:w="49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AB10DD">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250</w:t>
            </w:r>
          </w:p>
        </w:tc>
        <w:tc>
          <w:tcPr>
            <w:tcW w:w="276" w:type="pct"/>
            <w:vMerge/>
            <w:noWrap/>
            <w:vAlign w:val="center"/>
          </w:tcPr>
          <w:p w:rsidR="00297C54" w:rsidRPr="00F9522B" w:rsidRDefault="00297C54" w:rsidP="001C4D9E">
            <w:pPr>
              <w:widowControl/>
              <w:autoSpaceDE w:val="0"/>
              <w:adjustRightInd w:val="0"/>
              <w:snapToGrid w:val="0"/>
              <w:rPr>
                <w:rFonts w:eastAsiaTheme="minorEastAsia"/>
                <w:sz w:val="18"/>
                <w:szCs w:val="18"/>
              </w:rPr>
            </w:pPr>
          </w:p>
        </w:tc>
        <w:tc>
          <w:tcPr>
            <w:tcW w:w="418" w:type="pct"/>
            <w:vMerge/>
            <w:vAlign w:val="center"/>
          </w:tcPr>
          <w:p w:rsidR="00297C54" w:rsidRPr="00F9522B" w:rsidRDefault="00297C54" w:rsidP="00297C54">
            <w:pPr>
              <w:widowControl/>
              <w:autoSpaceDE w:val="0"/>
              <w:adjustRightInd w:val="0"/>
              <w:snapToGrid w:val="0"/>
              <w:jc w:val="center"/>
              <w:textAlignment w:val="center"/>
              <w:rPr>
                <w:rFonts w:eastAsiaTheme="minorEastAsia"/>
                <w:kern w:val="0"/>
                <w:sz w:val="18"/>
                <w:szCs w:val="18"/>
              </w:rPr>
            </w:pPr>
          </w:p>
        </w:tc>
        <w:tc>
          <w:tcPr>
            <w:tcW w:w="834" w:type="pct"/>
            <w:vAlign w:val="center"/>
            <w:hideMark/>
          </w:tcPr>
          <w:p w:rsidR="00297C54" w:rsidRPr="00F9522B" w:rsidRDefault="00297C54" w:rsidP="00297C54">
            <w:pPr>
              <w:widowControl/>
              <w:autoSpaceDE w:val="0"/>
              <w:adjustRightInd w:val="0"/>
              <w:snapToGrid w:val="0"/>
              <w:jc w:val="center"/>
              <w:textAlignment w:val="center"/>
              <w:rPr>
                <w:rFonts w:eastAsiaTheme="minorEastAsia"/>
                <w:kern w:val="0"/>
                <w:sz w:val="18"/>
                <w:szCs w:val="18"/>
              </w:rPr>
            </w:pPr>
            <w:r w:rsidRPr="00F9522B">
              <w:rPr>
                <w:rFonts w:eastAsiaTheme="minorEastAsia"/>
                <w:kern w:val="0"/>
                <w:sz w:val="18"/>
                <w:szCs w:val="18"/>
              </w:rPr>
              <w:t>元宝设计井</w:t>
            </w:r>
            <w:r w:rsidRPr="00F9522B">
              <w:rPr>
                <w:rFonts w:eastAsiaTheme="minorEastAsia"/>
                <w:kern w:val="0"/>
                <w:sz w:val="18"/>
                <w:szCs w:val="18"/>
              </w:rPr>
              <w:t>11</w:t>
            </w:r>
          </w:p>
        </w:tc>
        <w:tc>
          <w:tcPr>
            <w:tcW w:w="750" w:type="pct"/>
            <w:noWrap/>
            <w:vAlign w:val="center"/>
            <w:hideMark/>
          </w:tcPr>
          <w:p w:rsidR="00297C54" w:rsidRPr="00F9522B" w:rsidRDefault="00297C54" w:rsidP="00297C54">
            <w:pPr>
              <w:widowControl/>
              <w:autoSpaceDE w:val="0"/>
              <w:adjustRightInd w:val="0"/>
              <w:snapToGrid w:val="0"/>
              <w:jc w:val="center"/>
              <w:textAlignment w:val="center"/>
              <w:rPr>
                <w:rFonts w:eastAsiaTheme="minorEastAsia"/>
                <w:kern w:val="0"/>
                <w:sz w:val="18"/>
                <w:szCs w:val="18"/>
              </w:rPr>
            </w:pPr>
            <w:r w:rsidRPr="00F9522B">
              <w:rPr>
                <w:rFonts w:eastAsiaTheme="minorEastAsia"/>
                <w:kern w:val="0"/>
                <w:sz w:val="18"/>
                <w:szCs w:val="18"/>
              </w:rPr>
              <w:t>5110182.681</w:t>
            </w:r>
          </w:p>
        </w:tc>
        <w:tc>
          <w:tcPr>
            <w:tcW w:w="581" w:type="pct"/>
            <w:noWrap/>
            <w:vAlign w:val="center"/>
            <w:hideMark/>
          </w:tcPr>
          <w:p w:rsidR="00297C54" w:rsidRPr="00F9522B" w:rsidRDefault="00297C54" w:rsidP="00297C54">
            <w:pPr>
              <w:widowControl/>
              <w:autoSpaceDE w:val="0"/>
              <w:adjustRightInd w:val="0"/>
              <w:snapToGrid w:val="0"/>
              <w:jc w:val="center"/>
              <w:textAlignment w:val="center"/>
              <w:rPr>
                <w:rFonts w:eastAsiaTheme="minorEastAsia"/>
                <w:kern w:val="0"/>
                <w:sz w:val="18"/>
                <w:szCs w:val="18"/>
              </w:rPr>
            </w:pPr>
            <w:r w:rsidRPr="00F9522B">
              <w:rPr>
                <w:rFonts w:eastAsiaTheme="minorEastAsia"/>
                <w:kern w:val="0"/>
                <w:sz w:val="18"/>
                <w:szCs w:val="18"/>
              </w:rPr>
              <w:t>584141.061</w:t>
            </w:r>
          </w:p>
        </w:tc>
        <w:tc>
          <w:tcPr>
            <w:tcW w:w="499" w:type="pct"/>
            <w:noWrap/>
            <w:vAlign w:val="center"/>
            <w:hideMark/>
          </w:tcPr>
          <w:p w:rsidR="00297C54" w:rsidRPr="00F9522B" w:rsidRDefault="00297C54" w:rsidP="00297C54">
            <w:pPr>
              <w:widowControl/>
              <w:autoSpaceDE w:val="0"/>
              <w:adjustRightInd w:val="0"/>
              <w:snapToGrid w:val="0"/>
              <w:jc w:val="center"/>
              <w:textAlignment w:val="center"/>
              <w:rPr>
                <w:rFonts w:eastAsiaTheme="minorEastAsia"/>
                <w:kern w:val="0"/>
                <w:sz w:val="18"/>
                <w:szCs w:val="18"/>
              </w:rPr>
            </w:pPr>
            <w:r w:rsidRPr="00F9522B">
              <w:rPr>
                <w:rFonts w:eastAsiaTheme="minorEastAsia"/>
                <w:kern w:val="0"/>
                <w:sz w:val="18"/>
                <w:szCs w:val="18"/>
              </w:rPr>
              <w:t>1</w:t>
            </w:r>
          </w:p>
        </w:tc>
        <w:tc>
          <w:tcPr>
            <w:tcW w:w="330" w:type="pct"/>
            <w:noWrap/>
            <w:vAlign w:val="center"/>
            <w:hideMark/>
          </w:tcPr>
          <w:p w:rsidR="00297C54" w:rsidRPr="00F9522B" w:rsidRDefault="00297C54" w:rsidP="00297C54">
            <w:pPr>
              <w:widowControl/>
              <w:autoSpaceDE w:val="0"/>
              <w:adjustRightInd w:val="0"/>
              <w:snapToGrid w:val="0"/>
              <w:jc w:val="center"/>
              <w:textAlignment w:val="center"/>
              <w:rPr>
                <w:rFonts w:eastAsiaTheme="minorEastAsia"/>
                <w:kern w:val="0"/>
                <w:sz w:val="18"/>
                <w:szCs w:val="18"/>
              </w:rPr>
            </w:pPr>
            <w:r w:rsidRPr="00F9522B">
              <w:rPr>
                <w:rFonts w:eastAsiaTheme="minorEastAsia"/>
                <w:kern w:val="0"/>
                <w:sz w:val="18"/>
                <w:szCs w:val="18"/>
              </w:rPr>
              <w:t>70</w:t>
            </w:r>
          </w:p>
        </w:tc>
        <w:tc>
          <w:tcPr>
            <w:tcW w:w="499" w:type="pct"/>
            <w:noWrap/>
            <w:vAlign w:val="center"/>
            <w:hideMark/>
          </w:tcPr>
          <w:p w:rsidR="00297C54" w:rsidRPr="00F9522B" w:rsidRDefault="00297C54" w:rsidP="00297C54">
            <w:pPr>
              <w:widowControl/>
              <w:autoSpaceDE w:val="0"/>
              <w:adjustRightInd w:val="0"/>
              <w:snapToGrid w:val="0"/>
              <w:jc w:val="center"/>
              <w:textAlignment w:val="center"/>
              <w:rPr>
                <w:rFonts w:eastAsiaTheme="minorEastAsia"/>
                <w:kern w:val="0"/>
                <w:sz w:val="18"/>
                <w:szCs w:val="18"/>
              </w:rPr>
            </w:pPr>
            <w:r w:rsidRPr="00F9522B">
              <w:rPr>
                <w:rFonts w:eastAsiaTheme="minorEastAsia"/>
                <w:kern w:val="0"/>
                <w:sz w:val="18"/>
                <w:szCs w:val="18"/>
              </w:rPr>
              <w:t>抗旱井</w:t>
            </w:r>
          </w:p>
        </w:tc>
        <w:tc>
          <w:tcPr>
            <w:tcW w:w="527" w:type="pct"/>
            <w:noWrap/>
            <w:vAlign w:val="center"/>
            <w:hideMark/>
          </w:tcPr>
          <w:p w:rsidR="00297C54" w:rsidRPr="00F9522B" w:rsidRDefault="00297C54" w:rsidP="00297C54">
            <w:pPr>
              <w:widowControl/>
              <w:autoSpaceDE w:val="0"/>
              <w:adjustRightInd w:val="0"/>
              <w:snapToGrid w:val="0"/>
              <w:jc w:val="center"/>
              <w:textAlignment w:val="center"/>
              <w:rPr>
                <w:rFonts w:eastAsiaTheme="minorEastAsia"/>
                <w:kern w:val="0"/>
                <w:sz w:val="18"/>
                <w:szCs w:val="18"/>
              </w:rPr>
            </w:pPr>
            <w:r w:rsidRPr="00F9522B">
              <w:rPr>
                <w:rFonts w:eastAsiaTheme="minorEastAsia"/>
                <w:kern w:val="0"/>
                <w:sz w:val="18"/>
                <w:szCs w:val="18"/>
              </w:rPr>
              <w:t>30</w:t>
            </w:r>
          </w:p>
        </w:tc>
      </w:tr>
      <w:tr w:rsidR="00297C54" w:rsidRPr="00F9522B" w:rsidTr="00AB10DD">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251</w:t>
            </w:r>
          </w:p>
        </w:tc>
        <w:tc>
          <w:tcPr>
            <w:tcW w:w="276" w:type="pct"/>
            <w:vMerge/>
            <w:noWrap/>
            <w:vAlign w:val="center"/>
          </w:tcPr>
          <w:p w:rsidR="00297C54" w:rsidRPr="00F9522B" w:rsidRDefault="00297C54">
            <w:pPr>
              <w:widowControl/>
              <w:autoSpaceDE w:val="0"/>
              <w:adjustRightInd w:val="0"/>
              <w:snapToGrid w:val="0"/>
              <w:jc w:val="center"/>
              <w:rPr>
                <w:rFonts w:eastAsiaTheme="minorEastAsia"/>
                <w:sz w:val="18"/>
                <w:szCs w:val="18"/>
              </w:rPr>
            </w:pPr>
          </w:p>
        </w:tc>
        <w:tc>
          <w:tcPr>
            <w:tcW w:w="418" w:type="pct"/>
            <w:vMerge w:val="restar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阿堡村</w:t>
            </w:r>
          </w:p>
        </w:tc>
        <w:tc>
          <w:tcPr>
            <w:tcW w:w="834"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阿堡设计井</w:t>
            </w:r>
            <w:r w:rsidRPr="00F9522B">
              <w:rPr>
                <w:rFonts w:eastAsiaTheme="minorEastAsia"/>
                <w:kern w:val="0"/>
                <w:sz w:val="18"/>
                <w:szCs w:val="18"/>
              </w:rPr>
              <w:t>1</w:t>
            </w:r>
          </w:p>
        </w:tc>
        <w:tc>
          <w:tcPr>
            <w:tcW w:w="750"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5109724.922</w:t>
            </w:r>
          </w:p>
        </w:tc>
        <w:tc>
          <w:tcPr>
            <w:tcW w:w="5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576334.767</w:t>
            </w:r>
          </w:p>
        </w:tc>
        <w:tc>
          <w:tcPr>
            <w:tcW w:w="49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330"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9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AB10DD">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252</w:t>
            </w:r>
          </w:p>
        </w:tc>
        <w:tc>
          <w:tcPr>
            <w:tcW w:w="276" w:type="pct"/>
            <w:vMerge/>
            <w:noWrap/>
            <w:vAlign w:val="center"/>
          </w:tcPr>
          <w:p w:rsidR="00297C54" w:rsidRPr="00F9522B" w:rsidRDefault="00297C54">
            <w:pPr>
              <w:widowControl/>
              <w:autoSpaceDE w:val="0"/>
              <w:adjustRightInd w:val="0"/>
              <w:snapToGrid w:val="0"/>
              <w:jc w:val="center"/>
              <w:rPr>
                <w:rFonts w:eastAsiaTheme="minorEastAsia"/>
                <w:sz w:val="18"/>
                <w:szCs w:val="18"/>
              </w:rPr>
            </w:pPr>
          </w:p>
        </w:tc>
        <w:tc>
          <w:tcPr>
            <w:tcW w:w="418"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34"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阿堡设计井</w:t>
            </w:r>
            <w:r w:rsidRPr="00F9522B">
              <w:rPr>
                <w:rFonts w:eastAsiaTheme="minorEastAsia"/>
                <w:kern w:val="0"/>
                <w:sz w:val="18"/>
                <w:szCs w:val="18"/>
              </w:rPr>
              <w:t>2</w:t>
            </w:r>
          </w:p>
        </w:tc>
        <w:tc>
          <w:tcPr>
            <w:tcW w:w="750"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5109660.668</w:t>
            </w:r>
          </w:p>
        </w:tc>
        <w:tc>
          <w:tcPr>
            <w:tcW w:w="5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576925.529</w:t>
            </w:r>
          </w:p>
        </w:tc>
        <w:tc>
          <w:tcPr>
            <w:tcW w:w="49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330"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9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AB10DD">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253</w:t>
            </w:r>
          </w:p>
        </w:tc>
        <w:tc>
          <w:tcPr>
            <w:tcW w:w="276" w:type="pct"/>
            <w:vMerge/>
            <w:noWrap/>
            <w:vAlign w:val="center"/>
          </w:tcPr>
          <w:p w:rsidR="00297C54" w:rsidRPr="00F9522B" w:rsidRDefault="00297C54">
            <w:pPr>
              <w:widowControl/>
              <w:autoSpaceDE w:val="0"/>
              <w:adjustRightInd w:val="0"/>
              <w:snapToGrid w:val="0"/>
              <w:jc w:val="center"/>
              <w:rPr>
                <w:rFonts w:eastAsiaTheme="minorEastAsia"/>
                <w:sz w:val="18"/>
                <w:szCs w:val="18"/>
              </w:rPr>
            </w:pPr>
          </w:p>
        </w:tc>
        <w:tc>
          <w:tcPr>
            <w:tcW w:w="418"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34"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阿堡设计井</w:t>
            </w:r>
            <w:r w:rsidRPr="00F9522B">
              <w:rPr>
                <w:rFonts w:eastAsiaTheme="minorEastAsia"/>
                <w:kern w:val="0"/>
                <w:sz w:val="18"/>
                <w:szCs w:val="18"/>
              </w:rPr>
              <w:t>3</w:t>
            </w:r>
          </w:p>
        </w:tc>
        <w:tc>
          <w:tcPr>
            <w:tcW w:w="750"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5109398.080</w:t>
            </w:r>
          </w:p>
        </w:tc>
        <w:tc>
          <w:tcPr>
            <w:tcW w:w="5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577283.586</w:t>
            </w:r>
          </w:p>
        </w:tc>
        <w:tc>
          <w:tcPr>
            <w:tcW w:w="49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330"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9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AB10DD">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254</w:t>
            </w:r>
          </w:p>
        </w:tc>
        <w:tc>
          <w:tcPr>
            <w:tcW w:w="276" w:type="pct"/>
            <w:vMerge/>
            <w:noWrap/>
            <w:vAlign w:val="center"/>
          </w:tcPr>
          <w:p w:rsidR="00297C54" w:rsidRPr="00F9522B" w:rsidRDefault="00297C54">
            <w:pPr>
              <w:widowControl/>
              <w:autoSpaceDE w:val="0"/>
              <w:adjustRightInd w:val="0"/>
              <w:snapToGrid w:val="0"/>
              <w:jc w:val="center"/>
              <w:rPr>
                <w:rFonts w:eastAsiaTheme="minorEastAsia"/>
                <w:sz w:val="18"/>
                <w:szCs w:val="18"/>
              </w:rPr>
            </w:pPr>
          </w:p>
        </w:tc>
        <w:tc>
          <w:tcPr>
            <w:tcW w:w="418"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34"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阿堡设计井</w:t>
            </w:r>
            <w:r w:rsidRPr="00F9522B">
              <w:rPr>
                <w:rFonts w:eastAsiaTheme="minorEastAsia"/>
                <w:kern w:val="0"/>
                <w:sz w:val="18"/>
                <w:szCs w:val="18"/>
              </w:rPr>
              <w:t>4</w:t>
            </w:r>
          </w:p>
        </w:tc>
        <w:tc>
          <w:tcPr>
            <w:tcW w:w="750"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5107735.340</w:t>
            </w:r>
          </w:p>
        </w:tc>
        <w:tc>
          <w:tcPr>
            <w:tcW w:w="5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576062.559</w:t>
            </w:r>
          </w:p>
        </w:tc>
        <w:tc>
          <w:tcPr>
            <w:tcW w:w="49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330"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70</w:t>
            </w:r>
          </w:p>
        </w:tc>
        <w:tc>
          <w:tcPr>
            <w:tcW w:w="49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AB10DD">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255</w:t>
            </w:r>
          </w:p>
        </w:tc>
        <w:tc>
          <w:tcPr>
            <w:tcW w:w="276" w:type="pct"/>
            <w:vMerge/>
            <w:noWrap/>
            <w:vAlign w:val="center"/>
          </w:tcPr>
          <w:p w:rsidR="00297C54" w:rsidRPr="00F9522B" w:rsidRDefault="00297C54">
            <w:pPr>
              <w:widowControl/>
              <w:autoSpaceDE w:val="0"/>
              <w:adjustRightInd w:val="0"/>
              <w:snapToGrid w:val="0"/>
              <w:jc w:val="center"/>
              <w:rPr>
                <w:rFonts w:eastAsiaTheme="minorEastAsia"/>
                <w:sz w:val="18"/>
                <w:szCs w:val="18"/>
              </w:rPr>
            </w:pPr>
          </w:p>
        </w:tc>
        <w:tc>
          <w:tcPr>
            <w:tcW w:w="418"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34"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阿堡设计井</w:t>
            </w:r>
            <w:r w:rsidRPr="00F9522B">
              <w:rPr>
                <w:rFonts w:eastAsiaTheme="minorEastAsia"/>
                <w:kern w:val="0"/>
                <w:sz w:val="18"/>
                <w:szCs w:val="18"/>
              </w:rPr>
              <w:t>5</w:t>
            </w:r>
          </w:p>
        </w:tc>
        <w:tc>
          <w:tcPr>
            <w:tcW w:w="750"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5107267.853</w:t>
            </w:r>
          </w:p>
        </w:tc>
        <w:tc>
          <w:tcPr>
            <w:tcW w:w="5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576116.916</w:t>
            </w:r>
          </w:p>
        </w:tc>
        <w:tc>
          <w:tcPr>
            <w:tcW w:w="49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330"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70</w:t>
            </w:r>
          </w:p>
        </w:tc>
        <w:tc>
          <w:tcPr>
            <w:tcW w:w="49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AB10DD">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256</w:t>
            </w:r>
          </w:p>
        </w:tc>
        <w:tc>
          <w:tcPr>
            <w:tcW w:w="276" w:type="pct"/>
            <w:vMerge/>
            <w:noWrap/>
            <w:vAlign w:val="center"/>
          </w:tcPr>
          <w:p w:rsidR="00297C54" w:rsidRPr="00F9522B" w:rsidRDefault="00297C54">
            <w:pPr>
              <w:widowControl/>
              <w:autoSpaceDE w:val="0"/>
              <w:adjustRightInd w:val="0"/>
              <w:snapToGrid w:val="0"/>
              <w:jc w:val="center"/>
              <w:rPr>
                <w:rFonts w:eastAsiaTheme="minorEastAsia"/>
                <w:sz w:val="18"/>
                <w:szCs w:val="18"/>
              </w:rPr>
            </w:pPr>
          </w:p>
        </w:tc>
        <w:tc>
          <w:tcPr>
            <w:tcW w:w="418"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34"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阿堡设计井</w:t>
            </w:r>
            <w:r w:rsidRPr="00F9522B">
              <w:rPr>
                <w:rFonts w:eastAsiaTheme="minorEastAsia"/>
                <w:kern w:val="0"/>
                <w:sz w:val="18"/>
                <w:szCs w:val="18"/>
              </w:rPr>
              <w:t>6</w:t>
            </w:r>
          </w:p>
        </w:tc>
        <w:tc>
          <w:tcPr>
            <w:tcW w:w="750"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5107822.161</w:t>
            </w:r>
          </w:p>
        </w:tc>
        <w:tc>
          <w:tcPr>
            <w:tcW w:w="5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576714.978</w:t>
            </w:r>
          </w:p>
        </w:tc>
        <w:tc>
          <w:tcPr>
            <w:tcW w:w="49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330"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70</w:t>
            </w:r>
          </w:p>
        </w:tc>
        <w:tc>
          <w:tcPr>
            <w:tcW w:w="49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AB10DD">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257</w:t>
            </w:r>
          </w:p>
        </w:tc>
        <w:tc>
          <w:tcPr>
            <w:tcW w:w="276" w:type="pct"/>
            <w:vMerge/>
            <w:noWrap/>
            <w:vAlign w:val="center"/>
          </w:tcPr>
          <w:p w:rsidR="00297C54" w:rsidRPr="00F9522B" w:rsidRDefault="00297C54">
            <w:pPr>
              <w:widowControl/>
              <w:autoSpaceDE w:val="0"/>
              <w:adjustRightInd w:val="0"/>
              <w:snapToGrid w:val="0"/>
              <w:jc w:val="center"/>
              <w:rPr>
                <w:rFonts w:eastAsiaTheme="minorEastAsia"/>
                <w:sz w:val="18"/>
                <w:szCs w:val="18"/>
              </w:rPr>
            </w:pPr>
          </w:p>
        </w:tc>
        <w:tc>
          <w:tcPr>
            <w:tcW w:w="418"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34"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阿堡设计井</w:t>
            </w:r>
            <w:r w:rsidRPr="00F9522B">
              <w:rPr>
                <w:rFonts w:eastAsiaTheme="minorEastAsia"/>
                <w:kern w:val="0"/>
                <w:sz w:val="18"/>
                <w:szCs w:val="18"/>
              </w:rPr>
              <w:t>7</w:t>
            </w:r>
          </w:p>
        </w:tc>
        <w:tc>
          <w:tcPr>
            <w:tcW w:w="750"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5107592.049</w:t>
            </w:r>
          </w:p>
        </w:tc>
        <w:tc>
          <w:tcPr>
            <w:tcW w:w="5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576906.256</w:t>
            </w:r>
          </w:p>
        </w:tc>
        <w:tc>
          <w:tcPr>
            <w:tcW w:w="49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330"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70</w:t>
            </w:r>
          </w:p>
        </w:tc>
        <w:tc>
          <w:tcPr>
            <w:tcW w:w="49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AB10DD">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258</w:t>
            </w:r>
          </w:p>
        </w:tc>
        <w:tc>
          <w:tcPr>
            <w:tcW w:w="276" w:type="pct"/>
            <w:vMerge/>
            <w:noWrap/>
            <w:vAlign w:val="center"/>
          </w:tcPr>
          <w:p w:rsidR="00297C54" w:rsidRPr="00F9522B" w:rsidRDefault="00297C54">
            <w:pPr>
              <w:widowControl/>
              <w:autoSpaceDE w:val="0"/>
              <w:adjustRightInd w:val="0"/>
              <w:snapToGrid w:val="0"/>
              <w:jc w:val="center"/>
              <w:rPr>
                <w:rFonts w:eastAsiaTheme="minorEastAsia"/>
                <w:sz w:val="18"/>
                <w:szCs w:val="18"/>
              </w:rPr>
            </w:pPr>
          </w:p>
        </w:tc>
        <w:tc>
          <w:tcPr>
            <w:tcW w:w="418"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34"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阿堡设计井</w:t>
            </w:r>
            <w:r w:rsidRPr="00F9522B">
              <w:rPr>
                <w:rFonts w:eastAsiaTheme="minorEastAsia"/>
                <w:kern w:val="0"/>
                <w:sz w:val="18"/>
                <w:szCs w:val="18"/>
              </w:rPr>
              <w:t>8</w:t>
            </w:r>
          </w:p>
        </w:tc>
        <w:tc>
          <w:tcPr>
            <w:tcW w:w="750"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5107654.223</w:t>
            </w:r>
          </w:p>
        </w:tc>
        <w:tc>
          <w:tcPr>
            <w:tcW w:w="5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577051.494</w:t>
            </w:r>
          </w:p>
        </w:tc>
        <w:tc>
          <w:tcPr>
            <w:tcW w:w="49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330"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70</w:t>
            </w:r>
          </w:p>
        </w:tc>
        <w:tc>
          <w:tcPr>
            <w:tcW w:w="49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AB10DD">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259</w:t>
            </w:r>
          </w:p>
        </w:tc>
        <w:tc>
          <w:tcPr>
            <w:tcW w:w="276" w:type="pct"/>
            <w:vMerge/>
            <w:noWrap/>
            <w:vAlign w:val="center"/>
          </w:tcPr>
          <w:p w:rsidR="00297C54" w:rsidRPr="00F9522B" w:rsidRDefault="00297C54">
            <w:pPr>
              <w:widowControl/>
              <w:autoSpaceDE w:val="0"/>
              <w:adjustRightInd w:val="0"/>
              <w:snapToGrid w:val="0"/>
              <w:jc w:val="center"/>
              <w:rPr>
                <w:rFonts w:eastAsiaTheme="minorEastAsia"/>
                <w:sz w:val="18"/>
                <w:szCs w:val="18"/>
              </w:rPr>
            </w:pPr>
          </w:p>
        </w:tc>
        <w:tc>
          <w:tcPr>
            <w:tcW w:w="418"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34"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阿堡设计井</w:t>
            </w:r>
            <w:r w:rsidRPr="00F9522B">
              <w:rPr>
                <w:rFonts w:eastAsiaTheme="minorEastAsia"/>
                <w:kern w:val="0"/>
                <w:sz w:val="18"/>
                <w:szCs w:val="18"/>
              </w:rPr>
              <w:t>9</w:t>
            </w:r>
          </w:p>
        </w:tc>
        <w:tc>
          <w:tcPr>
            <w:tcW w:w="750"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5107764.859</w:t>
            </w:r>
          </w:p>
        </w:tc>
        <w:tc>
          <w:tcPr>
            <w:tcW w:w="5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577110.203</w:t>
            </w:r>
          </w:p>
        </w:tc>
        <w:tc>
          <w:tcPr>
            <w:tcW w:w="49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330"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70</w:t>
            </w:r>
          </w:p>
        </w:tc>
        <w:tc>
          <w:tcPr>
            <w:tcW w:w="49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AB10DD">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260</w:t>
            </w:r>
          </w:p>
        </w:tc>
        <w:tc>
          <w:tcPr>
            <w:tcW w:w="276" w:type="pct"/>
            <w:vMerge/>
            <w:noWrap/>
            <w:vAlign w:val="center"/>
          </w:tcPr>
          <w:p w:rsidR="00297C54" w:rsidRPr="00F9522B" w:rsidRDefault="00297C54">
            <w:pPr>
              <w:widowControl/>
              <w:autoSpaceDE w:val="0"/>
              <w:adjustRightInd w:val="0"/>
              <w:snapToGrid w:val="0"/>
              <w:jc w:val="center"/>
              <w:rPr>
                <w:rFonts w:eastAsiaTheme="minorEastAsia"/>
                <w:sz w:val="18"/>
                <w:szCs w:val="18"/>
              </w:rPr>
            </w:pPr>
          </w:p>
        </w:tc>
        <w:tc>
          <w:tcPr>
            <w:tcW w:w="418"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34"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阿堡设计井</w:t>
            </w:r>
            <w:r w:rsidRPr="00F9522B">
              <w:rPr>
                <w:rFonts w:eastAsiaTheme="minorEastAsia"/>
                <w:kern w:val="0"/>
                <w:sz w:val="18"/>
                <w:szCs w:val="18"/>
              </w:rPr>
              <w:t>10</w:t>
            </w:r>
          </w:p>
        </w:tc>
        <w:tc>
          <w:tcPr>
            <w:tcW w:w="750"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5108100.571</w:t>
            </w:r>
          </w:p>
        </w:tc>
        <w:tc>
          <w:tcPr>
            <w:tcW w:w="5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577729.087</w:t>
            </w:r>
          </w:p>
        </w:tc>
        <w:tc>
          <w:tcPr>
            <w:tcW w:w="49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330"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70</w:t>
            </w:r>
          </w:p>
        </w:tc>
        <w:tc>
          <w:tcPr>
            <w:tcW w:w="49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AB10DD">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261</w:t>
            </w:r>
          </w:p>
        </w:tc>
        <w:tc>
          <w:tcPr>
            <w:tcW w:w="276" w:type="pct"/>
            <w:vMerge/>
            <w:noWrap/>
            <w:vAlign w:val="center"/>
          </w:tcPr>
          <w:p w:rsidR="00297C54" w:rsidRPr="00F9522B" w:rsidRDefault="00297C54">
            <w:pPr>
              <w:widowControl/>
              <w:autoSpaceDE w:val="0"/>
              <w:adjustRightInd w:val="0"/>
              <w:snapToGrid w:val="0"/>
              <w:jc w:val="center"/>
              <w:rPr>
                <w:rFonts w:eastAsiaTheme="minorEastAsia"/>
                <w:sz w:val="18"/>
                <w:szCs w:val="18"/>
              </w:rPr>
            </w:pPr>
          </w:p>
        </w:tc>
        <w:tc>
          <w:tcPr>
            <w:tcW w:w="418"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34"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阿堡设计井</w:t>
            </w:r>
            <w:r w:rsidRPr="00F9522B">
              <w:rPr>
                <w:rFonts w:eastAsiaTheme="minorEastAsia"/>
                <w:kern w:val="0"/>
                <w:sz w:val="18"/>
                <w:szCs w:val="18"/>
              </w:rPr>
              <w:t>11</w:t>
            </w:r>
          </w:p>
        </w:tc>
        <w:tc>
          <w:tcPr>
            <w:tcW w:w="750"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5107741.192</w:t>
            </w:r>
          </w:p>
        </w:tc>
        <w:tc>
          <w:tcPr>
            <w:tcW w:w="5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577788.510</w:t>
            </w:r>
          </w:p>
        </w:tc>
        <w:tc>
          <w:tcPr>
            <w:tcW w:w="49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330"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70</w:t>
            </w:r>
          </w:p>
        </w:tc>
        <w:tc>
          <w:tcPr>
            <w:tcW w:w="49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AB10DD">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262</w:t>
            </w:r>
          </w:p>
        </w:tc>
        <w:tc>
          <w:tcPr>
            <w:tcW w:w="276" w:type="pct"/>
            <w:vMerge/>
            <w:noWrap/>
            <w:vAlign w:val="center"/>
          </w:tcPr>
          <w:p w:rsidR="00297C54" w:rsidRPr="00F9522B" w:rsidRDefault="00297C54">
            <w:pPr>
              <w:widowControl/>
              <w:autoSpaceDE w:val="0"/>
              <w:adjustRightInd w:val="0"/>
              <w:snapToGrid w:val="0"/>
              <w:jc w:val="center"/>
              <w:rPr>
                <w:rFonts w:eastAsiaTheme="minorEastAsia"/>
                <w:sz w:val="18"/>
                <w:szCs w:val="18"/>
              </w:rPr>
            </w:pPr>
          </w:p>
        </w:tc>
        <w:tc>
          <w:tcPr>
            <w:tcW w:w="418"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34"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阿堡设计井</w:t>
            </w:r>
            <w:r w:rsidRPr="00F9522B">
              <w:rPr>
                <w:rFonts w:eastAsiaTheme="minorEastAsia"/>
                <w:kern w:val="0"/>
                <w:sz w:val="18"/>
                <w:szCs w:val="18"/>
              </w:rPr>
              <w:t>12</w:t>
            </w:r>
          </w:p>
        </w:tc>
        <w:tc>
          <w:tcPr>
            <w:tcW w:w="750"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5108305.108</w:t>
            </w:r>
          </w:p>
        </w:tc>
        <w:tc>
          <w:tcPr>
            <w:tcW w:w="5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578202.806</w:t>
            </w:r>
          </w:p>
        </w:tc>
        <w:tc>
          <w:tcPr>
            <w:tcW w:w="49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330"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70</w:t>
            </w:r>
          </w:p>
        </w:tc>
        <w:tc>
          <w:tcPr>
            <w:tcW w:w="49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AB10DD">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263</w:t>
            </w:r>
          </w:p>
        </w:tc>
        <w:tc>
          <w:tcPr>
            <w:tcW w:w="276" w:type="pct"/>
            <w:vMerge/>
            <w:noWrap/>
            <w:vAlign w:val="center"/>
          </w:tcPr>
          <w:p w:rsidR="00297C54" w:rsidRPr="00F9522B" w:rsidRDefault="00297C54">
            <w:pPr>
              <w:widowControl/>
              <w:autoSpaceDE w:val="0"/>
              <w:adjustRightInd w:val="0"/>
              <w:snapToGrid w:val="0"/>
              <w:jc w:val="center"/>
              <w:rPr>
                <w:rFonts w:eastAsiaTheme="minorEastAsia"/>
                <w:sz w:val="18"/>
                <w:szCs w:val="18"/>
              </w:rPr>
            </w:pPr>
          </w:p>
        </w:tc>
        <w:tc>
          <w:tcPr>
            <w:tcW w:w="418" w:type="pct"/>
            <w:vMerge/>
            <w:vAlign w:val="center"/>
          </w:tcPr>
          <w:p w:rsidR="00297C54" w:rsidRPr="00F9522B" w:rsidRDefault="00297C54">
            <w:pPr>
              <w:widowControl/>
              <w:autoSpaceDE w:val="0"/>
              <w:adjustRightInd w:val="0"/>
              <w:snapToGrid w:val="0"/>
              <w:jc w:val="center"/>
              <w:rPr>
                <w:rFonts w:eastAsiaTheme="minorEastAsia"/>
                <w:sz w:val="18"/>
                <w:szCs w:val="18"/>
              </w:rPr>
            </w:pPr>
          </w:p>
        </w:tc>
        <w:tc>
          <w:tcPr>
            <w:tcW w:w="834"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阿堡设计井</w:t>
            </w:r>
            <w:r w:rsidRPr="00F9522B">
              <w:rPr>
                <w:rFonts w:eastAsiaTheme="minorEastAsia"/>
                <w:kern w:val="0"/>
                <w:sz w:val="18"/>
                <w:szCs w:val="18"/>
              </w:rPr>
              <w:t>13</w:t>
            </w:r>
          </w:p>
        </w:tc>
        <w:tc>
          <w:tcPr>
            <w:tcW w:w="750"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5107853.961</w:t>
            </w:r>
          </w:p>
        </w:tc>
        <w:tc>
          <w:tcPr>
            <w:tcW w:w="5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578396.333</w:t>
            </w:r>
          </w:p>
        </w:tc>
        <w:tc>
          <w:tcPr>
            <w:tcW w:w="49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330"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70</w:t>
            </w:r>
          </w:p>
        </w:tc>
        <w:tc>
          <w:tcPr>
            <w:tcW w:w="49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r w:rsidR="00297C54" w:rsidRPr="00F9522B" w:rsidTr="00AB10DD">
        <w:trPr>
          <w:trHeight w:val="300"/>
        </w:trPr>
        <w:tc>
          <w:tcPr>
            <w:tcW w:w="286"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264</w:t>
            </w:r>
          </w:p>
        </w:tc>
        <w:tc>
          <w:tcPr>
            <w:tcW w:w="276" w:type="pct"/>
            <w:vMerge/>
            <w:noWrap/>
            <w:vAlign w:val="center"/>
          </w:tcPr>
          <w:p w:rsidR="00297C54" w:rsidRPr="00F9522B" w:rsidRDefault="00297C54">
            <w:pPr>
              <w:widowControl/>
              <w:autoSpaceDE w:val="0"/>
              <w:adjustRightInd w:val="0"/>
              <w:snapToGrid w:val="0"/>
              <w:jc w:val="center"/>
              <w:rPr>
                <w:rFonts w:eastAsiaTheme="minorEastAsia"/>
                <w:sz w:val="18"/>
                <w:szCs w:val="18"/>
              </w:rPr>
            </w:pPr>
          </w:p>
        </w:tc>
        <w:tc>
          <w:tcPr>
            <w:tcW w:w="418"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傅井村</w:t>
            </w:r>
          </w:p>
        </w:tc>
        <w:tc>
          <w:tcPr>
            <w:tcW w:w="834" w:type="pct"/>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傅井设计井</w:t>
            </w:r>
            <w:r w:rsidRPr="00F9522B">
              <w:rPr>
                <w:rFonts w:eastAsiaTheme="minorEastAsia"/>
                <w:kern w:val="0"/>
                <w:sz w:val="18"/>
                <w:szCs w:val="18"/>
              </w:rPr>
              <w:t>1</w:t>
            </w:r>
          </w:p>
        </w:tc>
        <w:tc>
          <w:tcPr>
            <w:tcW w:w="750"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5114109.481</w:t>
            </w:r>
          </w:p>
        </w:tc>
        <w:tc>
          <w:tcPr>
            <w:tcW w:w="581"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577971.149</w:t>
            </w:r>
          </w:p>
        </w:tc>
        <w:tc>
          <w:tcPr>
            <w:tcW w:w="49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1</w:t>
            </w:r>
          </w:p>
        </w:tc>
        <w:tc>
          <w:tcPr>
            <w:tcW w:w="330"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80</w:t>
            </w:r>
          </w:p>
        </w:tc>
        <w:tc>
          <w:tcPr>
            <w:tcW w:w="499"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抗旱井</w:t>
            </w:r>
          </w:p>
        </w:tc>
        <w:tc>
          <w:tcPr>
            <w:tcW w:w="527" w:type="pct"/>
            <w:noWrap/>
            <w:vAlign w:val="center"/>
            <w:hideMark/>
          </w:tcPr>
          <w:p w:rsidR="00297C54" w:rsidRPr="00F9522B" w:rsidRDefault="00297C54">
            <w:pPr>
              <w:widowControl/>
              <w:autoSpaceDE w:val="0"/>
              <w:adjustRightInd w:val="0"/>
              <w:snapToGrid w:val="0"/>
              <w:jc w:val="center"/>
              <w:textAlignment w:val="center"/>
              <w:rPr>
                <w:rFonts w:eastAsiaTheme="minorEastAsia"/>
                <w:sz w:val="18"/>
                <w:szCs w:val="18"/>
              </w:rPr>
            </w:pPr>
            <w:r w:rsidRPr="00F9522B">
              <w:rPr>
                <w:rFonts w:eastAsiaTheme="minorEastAsia"/>
                <w:kern w:val="0"/>
                <w:sz w:val="18"/>
                <w:szCs w:val="18"/>
              </w:rPr>
              <w:t>30</w:t>
            </w:r>
          </w:p>
        </w:tc>
      </w:tr>
    </w:tbl>
    <w:p w:rsidR="002A5A5E" w:rsidRPr="00F9522B" w:rsidRDefault="00611CBA">
      <w:pPr>
        <w:autoSpaceDE w:val="0"/>
        <w:autoSpaceDN w:val="0"/>
        <w:spacing w:line="360" w:lineRule="auto"/>
        <w:ind w:firstLineChars="200" w:firstLine="480"/>
        <w:rPr>
          <w:rFonts w:eastAsiaTheme="minorEastAsia"/>
          <w:sz w:val="24"/>
        </w:rPr>
      </w:pPr>
      <w:r w:rsidRPr="00F9522B">
        <w:rPr>
          <w:rFonts w:ascii="宋体" w:hAnsi="宋体" w:cs="宋体" w:hint="eastAsia"/>
          <w:sz w:val="24"/>
        </w:rPr>
        <w:t>②</w:t>
      </w:r>
      <w:r w:rsidRPr="00F9522B">
        <w:rPr>
          <w:rFonts w:eastAsiaTheme="minorEastAsia"/>
          <w:sz w:val="24"/>
        </w:rPr>
        <w:t>井管、井深</w:t>
      </w:r>
    </w:p>
    <w:p w:rsidR="002A5A5E" w:rsidRPr="00F9522B" w:rsidRDefault="00611CBA">
      <w:pPr>
        <w:autoSpaceDE w:val="0"/>
        <w:autoSpaceDN w:val="0"/>
        <w:spacing w:line="360" w:lineRule="auto"/>
        <w:ind w:firstLineChars="200" w:firstLine="480"/>
        <w:rPr>
          <w:rFonts w:eastAsiaTheme="minorEastAsia"/>
          <w:sz w:val="24"/>
        </w:rPr>
      </w:pPr>
      <w:r w:rsidRPr="00F9522B">
        <w:rPr>
          <w:rFonts w:eastAsiaTheme="minorEastAsia"/>
          <w:sz w:val="24"/>
        </w:rPr>
        <w:t>根据项目区调查及实际运用情况，综合考虑地表粘性厚度、地下水位埋深、含水层碎石层岩性，项目区成井深为</w:t>
      </w:r>
      <w:r w:rsidR="00C34FAB" w:rsidRPr="00F9522B">
        <w:rPr>
          <w:rFonts w:eastAsiaTheme="minorEastAsia"/>
          <w:sz w:val="24"/>
        </w:rPr>
        <w:t>70m</w:t>
      </w:r>
      <w:r w:rsidR="00C34FAB" w:rsidRPr="00F9522B">
        <w:rPr>
          <w:rFonts w:eastAsiaTheme="minorEastAsia"/>
          <w:sz w:val="24"/>
        </w:rPr>
        <w:t>、</w:t>
      </w:r>
      <w:r w:rsidR="00C34FAB" w:rsidRPr="00F9522B">
        <w:rPr>
          <w:rFonts w:eastAsiaTheme="minorEastAsia"/>
          <w:sz w:val="24"/>
        </w:rPr>
        <w:t>8</w:t>
      </w:r>
      <w:r w:rsidRPr="00F9522B">
        <w:rPr>
          <w:rFonts w:eastAsiaTheme="minorEastAsia"/>
          <w:sz w:val="24"/>
        </w:rPr>
        <w:t>0m</w:t>
      </w:r>
      <w:r w:rsidRPr="00F9522B">
        <w:rPr>
          <w:rFonts w:eastAsiaTheme="minorEastAsia"/>
          <w:sz w:val="24"/>
        </w:rPr>
        <w:t>、</w:t>
      </w:r>
      <w:r w:rsidR="00C34FAB" w:rsidRPr="00F9522B">
        <w:rPr>
          <w:rFonts w:eastAsiaTheme="minorEastAsia"/>
          <w:sz w:val="24"/>
        </w:rPr>
        <w:t>9</w:t>
      </w:r>
      <w:r w:rsidRPr="00F9522B">
        <w:rPr>
          <w:rFonts w:eastAsiaTheme="minorEastAsia"/>
          <w:sz w:val="24"/>
        </w:rPr>
        <w:t>0m</w:t>
      </w:r>
      <w:r w:rsidR="00C34FAB" w:rsidRPr="00F9522B">
        <w:rPr>
          <w:rFonts w:eastAsiaTheme="minorEastAsia"/>
          <w:sz w:val="24"/>
        </w:rPr>
        <w:t>三</w:t>
      </w:r>
      <w:r w:rsidRPr="00F9522B">
        <w:rPr>
          <w:rFonts w:eastAsiaTheme="minorEastAsia"/>
          <w:sz w:val="24"/>
        </w:rPr>
        <w:t>种，详见上表，井外径</w:t>
      </w:r>
      <w:r w:rsidR="00C34FAB" w:rsidRPr="00F9522B">
        <w:rPr>
          <w:rFonts w:eastAsiaTheme="minorEastAsia"/>
          <w:sz w:val="24"/>
        </w:rPr>
        <w:t>273</w:t>
      </w:r>
      <w:r w:rsidR="00715E69" w:rsidRPr="00F9522B">
        <w:rPr>
          <w:rFonts w:eastAsiaTheme="minorEastAsia"/>
          <w:sz w:val="24"/>
        </w:rPr>
        <w:t>.1</w:t>
      </w:r>
      <w:r w:rsidRPr="00F9522B">
        <w:rPr>
          <w:rFonts w:eastAsiaTheme="minorEastAsia"/>
          <w:sz w:val="24"/>
        </w:rPr>
        <w:t>mm</w:t>
      </w:r>
      <w:r w:rsidRPr="00F9522B">
        <w:rPr>
          <w:rFonts w:eastAsiaTheme="minorEastAsia"/>
          <w:sz w:val="24"/>
        </w:rPr>
        <w:t>，井管材料选用钢管，壁厚</w:t>
      </w:r>
      <w:r w:rsidR="00715E69" w:rsidRPr="00F9522B">
        <w:rPr>
          <w:rFonts w:eastAsiaTheme="minorEastAsia"/>
          <w:sz w:val="24"/>
        </w:rPr>
        <w:t>5</w:t>
      </w:r>
      <w:r w:rsidRPr="00F9522B">
        <w:rPr>
          <w:rFonts w:eastAsiaTheme="minorEastAsia"/>
          <w:sz w:val="24"/>
        </w:rPr>
        <w:t>mm</w:t>
      </w:r>
      <w:r w:rsidRPr="00F9522B">
        <w:rPr>
          <w:rFonts w:eastAsiaTheme="minorEastAsia"/>
          <w:sz w:val="24"/>
        </w:rPr>
        <w:t>。井孔直径设计为</w:t>
      </w:r>
      <w:r w:rsidRPr="00F9522B">
        <w:rPr>
          <w:rFonts w:eastAsiaTheme="minorEastAsia"/>
          <w:sz w:val="24"/>
        </w:rPr>
        <w:t>500mm</w:t>
      </w:r>
      <w:r w:rsidRPr="00F9522B">
        <w:rPr>
          <w:rFonts w:eastAsiaTheme="minorEastAsia"/>
          <w:sz w:val="24"/>
        </w:rPr>
        <w:t>。滤料规格选粒径</w:t>
      </w:r>
      <w:r w:rsidRPr="00F9522B">
        <w:rPr>
          <w:rFonts w:eastAsiaTheme="minorEastAsia"/>
          <w:sz w:val="24"/>
        </w:rPr>
        <w:t>2</w:t>
      </w:r>
      <w:r w:rsidRPr="00F9522B">
        <w:rPr>
          <w:rFonts w:eastAsiaTheme="minorEastAsia"/>
          <w:sz w:val="24"/>
        </w:rPr>
        <w:t>～</w:t>
      </w:r>
      <w:r w:rsidRPr="00F9522B">
        <w:rPr>
          <w:rFonts w:eastAsiaTheme="minorEastAsia"/>
          <w:sz w:val="24"/>
        </w:rPr>
        <w:t>20mm</w:t>
      </w:r>
      <w:r w:rsidRPr="00F9522B">
        <w:rPr>
          <w:rFonts w:eastAsiaTheme="minorEastAsia"/>
          <w:sz w:val="24"/>
        </w:rPr>
        <w:t>的级配砂砾石，填料厚度不少于</w:t>
      </w:r>
      <w:r w:rsidRPr="00F9522B">
        <w:rPr>
          <w:rFonts w:eastAsiaTheme="minorEastAsia"/>
          <w:sz w:val="24"/>
        </w:rPr>
        <w:t>100mm</w:t>
      </w:r>
      <w:r w:rsidRPr="00F9522B">
        <w:rPr>
          <w:rFonts w:eastAsiaTheme="minorEastAsia"/>
          <w:sz w:val="24"/>
        </w:rPr>
        <w:t>，高度要高于滤水管上限的</w:t>
      </w:r>
      <w:r w:rsidRPr="00F9522B">
        <w:rPr>
          <w:rFonts w:eastAsiaTheme="minorEastAsia"/>
          <w:sz w:val="24"/>
        </w:rPr>
        <w:t>2</w:t>
      </w:r>
      <w:r w:rsidRPr="00F9522B">
        <w:rPr>
          <w:rFonts w:eastAsiaTheme="minorEastAsia"/>
          <w:sz w:val="24"/>
        </w:rPr>
        <w:t>～</w:t>
      </w:r>
      <w:r w:rsidRPr="00F9522B">
        <w:rPr>
          <w:rFonts w:eastAsiaTheme="minorEastAsia"/>
          <w:sz w:val="24"/>
        </w:rPr>
        <w:t>5m</w:t>
      </w:r>
      <w:r w:rsidRPr="00F9522B">
        <w:rPr>
          <w:rFonts w:eastAsiaTheme="minorEastAsia"/>
          <w:sz w:val="24"/>
        </w:rPr>
        <w:t>。</w:t>
      </w:r>
    </w:p>
    <w:p w:rsidR="002A5A5E" w:rsidRPr="00F9522B" w:rsidRDefault="00611CBA">
      <w:pPr>
        <w:autoSpaceDE w:val="0"/>
        <w:autoSpaceDN w:val="0"/>
        <w:spacing w:line="360" w:lineRule="auto"/>
        <w:ind w:firstLineChars="200" w:firstLine="480"/>
        <w:rPr>
          <w:rFonts w:eastAsiaTheme="minorEastAsia"/>
          <w:sz w:val="24"/>
        </w:rPr>
      </w:pPr>
      <w:r w:rsidRPr="00F9522B">
        <w:rPr>
          <w:rFonts w:eastAsiaTheme="minorEastAsia"/>
          <w:sz w:val="24"/>
        </w:rPr>
        <w:t>井管结构：井管材料选用钢管；滤水管规格采用桥式滤水管或圆孔式包网型，孔隙率达到</w:t>
      </w:r>
      <w:r w:rsidRPr="00F9522B">
        <w:rPr>
          <w:rFonts w:eastAsiaTheme="minorEastAsia"/>
          <w:sz w:val="24"/>
        </w:rPr>
        <w:t>20</w:t>
      </w:r>
      <w:r w:rsidRPr="00F9522B">
        <w:rPr>
          <w:rFonts w:eastAsiaTheme="minorEastAsia"/>
          <w:sz w:val="24"/>
        </w:rPr>
        <w:t>～</w:t>
      </w:r>
      <w:r w:rsidRPr="00F9522B">
        <w:rPr>
          <w:rFonts w:eastAsiaTheme="minorEastAsia"/>
          <w:sz w:val="24"/>
        </w:rPr>
        <w:t>30%</w:t>
      </w:r>
      <w:r w:rsidRPr="00F9522B">
        <w:rPr>
          <w:rFonts w:eastAsiaTheme="minorEastAsia"/>
          <w:sz w:val="24"/>
        </w:rPr>
        <w:t>，孔心纵横距</w:t>
      </w:r>
      <w:r w:rsidRPr="00F9522B">
        <w:rPr>
          <w:rFonts w:eastAsiaTheme="minorEastAsia"/>
          <w:sz w:val="24"/>
        </w:rPr>
        <w:t>45</w:t>
      </w:r>
      <w:r w:rsidRPr="00F9522B">
        <w:rPr>
          <w:rFonts w:eastAsiaTheme="minorEastAsia"/>
          <w:sz w:val="24"/>
        </w:rPr>
        <w:t>～</w:t>
      </w:r>
      <w:r w:rsidRPr="00F9522B">
        <w:rPr>
          <w:rFonts w:eastAsiaTheme="minorEastAsia"/>
          <w:sz w:val="24"/>
        </w:rPr>
        <w:t>48mm</w:t>
      </w:r>
      <w:r w:rsidRPr="00F9522B">
        <w:rPr>
          <w:rFonts w:eastAsiaTheme="minorEastAsia"/>
          <w:sz w:val="24"/>
        </w:rPr>
        <w:t>，孔径</w:t>
      </w:r>
      <w:r w:rsidRPr="00F9522B">
        <w:rPr>
          <w:rFonts w:eastAsiaTheme="minorEastAsia"/>
          <w:sz w:val="24"/>
        </w:rPr>
        <w:t>d=20mm</w:t>
      </w:r>
      <w:r w:rsidRPr="00F9522B">
        <w:rPr>
          <w:rFonts w:eastAsiaTheme="minorEastAsia"/>
          <w:sz w:val="24"/>
        </w:rPr>
        <w:t>。</w:t>
      </w:r>
    </w:p>
    <w:p w:rsidR="002A5A5E" w:rsidRPr="00F9522B" w:rsidRDefault="001F42D9">
      <w:pPr>
        <w:autoSpaceDE w:val="0"/>
        <w:autoSpaceDN w:val="0"/>
        <w:spacing w:line="360" w:lineRule="auto"/>
        <w:jc w:val="center"/>
        <w:rPr>
          <w:rFonts w:eastAsiaTheme="minorEastAsia"/>
          <w:sz w:val="24"/>
        </w:rPr>
      </w:pPr>
      <w:r w:rsidRPr="00F9522B">
        <w:rPr>
          <w:rFonts w:eastAsiaTheme="minorEastAsia"/>
          <w:noProof/>
          <w:sz w:val="24"/>
        </w:rPr>
        <w:lastRenderedPageBreak/>
        <w:drawing>
          <wp:inline distT="0" distB="0" distL="0" distR="0">
            <wp:extent cx="5274310" cy="5036733"/>
            <wp:effectExtent l="19050" t="0" r="2540" b="0"/>
            <wp:docPr id="78"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4"/>
                    <a:srcRect/>
                    <a:stretch>
                      <a:fillRect/>
                    </a:stretch>
                  </pic:blipFill>
                  <pic:spPr bwMode="auto">
                    <a:xfrm>
                      <a:off x="0" y="0"/>
                      <a:ext cx="5274310" cy="5036733"/>
                    </a:xfrm>
                    <a:prstGeom prst="rect">
                      <a:avLst/>
                    </a:prstGeom>
                    <a:noFill/>
                    <a:ln w="9525">
                      <a:noFill/>
                      <a:miter lim="800000"/>
                      <a:headEnd/>
                      <a:tailEnd/>
                    </a:ln>
                  </pic:spPr>
                </pic:pic>
              </a:graphicData>
            </a:graphic>
          </wp:inline>
        </w:drawing>
      </w:r>
    </w:p>
    <w:p w:rsidR="002A5A5E" w:rsidRPr="00F9522B" w:rsidRDefault="00611CBA">
      <w:pPr>
        <w:autoSpaceDE w:val="0"/>
        <w:autoSpaceDN w:val="0"/>
        <w:spacing w:line="360" w:lineRule="auto"/>
        <w:ind w:firstLineChars="200" w:firstLine="422"/>
        <w:jc w:val="center"/>
        <w:rPr>
          <w:rFonts w:eastAsiaTheme="minorEastAsia"/>
          <w:b/>
          <w:szCs w:val="21"/>
        </w:rPr>
      </w:pPr>
      <w:r w:rsidRPr="00F9522B">
        <w:rPr>
          <w:rFonts w:eastAsiaTheme="minorEastAsia"/>
          <w:b/>
          <w:szCs w:val="21"/>
        </w:rPr>
        <w:t>图</w:t>
      </w:r>
      <w:r w:rsidRPr="00F9522B">
        <w:rPr>
          <w:rFonts w:eastAsiaTheme="minorEastAsia"/>
          <w:b/>
          <w:szCs w:val="21"/>
        </w:rPr>
        <w:t xml:space="preserve">3-1-1 </w:t>
      </w:r>
      <w:r w:rsidRPr="00F9522B">
        <w:rPr>
          <w:rFonts w:eastAsiaTheme="minorEastAsia"/>
          <w:b/>
          <w:szCs w:val="21"/>
        </w:rPr>
        <w:t>项目灌溉井成井柱状图（</w:t>
      </w:r>
      <w:r w:rsidR="001F42D9" w:rsidRPr="00F9522B">
        <w:rPr>
          <w:rFonts w:eastAsiaTheme="minorEastAsia"/>
          <w:b/>
          <w:szCs w:val="21"/>
        </w:rPr>
        <w:t>7</w:t>
      </w:r>
      <w:r w:rsidRPr="00F9522B">
        <w:rPr>
          <w:rFonts w:eastAsiaTheme="minorEastAsia"/>
          <w:b/>
          <w:szCs w:val="21"/>
        </w:rPr>
        <w:t>0m</w:t>
      </w:r>
      <w:r w:rsidRPr="00F9522B">
        <w:rPr>
          <w:rFonts w:eastAsiaTheme="minorEastAsia"/>
          <w:b/>
          <w:szCs w:val="21"/>
        </w:rPr>
        <w:t>水井）</w:t>
      </w:r>
    </w:p>
    <w:p w:rsidR="002A5A5E" w:rsidRPr="00F9522B" w:rsidRDefault="001F42D9">
      <w:pPr>
        <w:autoSpaceDE w:val="0"/>
        <w:autoSpaceDN w:val="0"/>
        <w:spacing w:line="360" w:lineRule="auto"/>
        <w:jc w:val="center"/>
        <w:rPr>
          <w:rFonts w:eastAsiaTheme="minorEastAsia"/>
          <w:b/>
          <w:szCs w:val="21"/>
        </w:rPr>
      </w:pPr>
      <w:r w:rsidRPr="00F9522B">
        <w:rPr>
          <w:rFonts w:eastAsiaTheme="minorEastAsia"/>
          <w:b/>
          <w:noProof/>
          <w:szCs w:val="21"/>
        </w:rPr>
        <w:lastRenderedPageBreak/>
        <w:drawing>
          <wp:inline distT="0" distB="0" distL="0" distR="0">
            <wp:extent cx="5274310" cy="5045916"/>
            <wp:effectExtent l="19050" t="0" r="2540" b="0"/>
            <wp:docPr id="73"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
                    <a:srcRect/>
                    <a:stretch>
                      <a:fillRect/>
                    </a:stretch>
                  </pic:blipFill>
                  <pic:spPr bwMode="auto">
                    <a:xfrm>
                      <a:off x="0" y="0"/>
                      <a:ext cx="5274310" cy="5045916"/>
                    </a:xfrm>
                    <a:prstGeom prst="rect">
                      <a:avLst/>
                    </a:prstGeom>
                    <a:noFill/>
                    <a:ln w="9525">
                      <a:noFill/>
                      <a:miter lim="800000"/>
                      <a:headEnd/>
                      <a:tailEnd/>
                    </a:ln>
                  </pic:spPr>
                </pic:pic>
              </a:graphicData>
            </a:graphic>
          </wp:inline>
        </w:drawing>
      </w:r>
    </w:p>
    <w:p w:rsidR="002A5A5E" w:rsidRPr="00F9522B" w:rsidRDefault="00611CBA">
      <w:pPr>
        <w:autoSpaceDE w:val="0"/>
        <w:autoSpaceDN w:val="0"/>
        <w:spacing w:line="360" w:lineRule="auto"/>
        <w:ind w:firstLineChars="200" w:firstLine="422"/>
        <w:jc w:val="center"/>
        <w:rPr>
          <w:rFonts w:eastAsiaTheme="minorEastAsia"/>
          <w:b/>
          <w:szCs w:val="21"/>
        </w:rPr>
      </w:pPr>
      <w:r w:rsidRPr="00F9522B">
        <w:rPr>
          <w:rFonts w:eastAsiaTheme="minorEastAsia"/>
          <w:b/>
          <w:szCs w:val="21"/>
        </w:rPr>
        <w:t>图</w:t>
      </w:r>
      <w:r w:rsidRPr="00F9522B">
        <w:rPr>
          <w:rFonts w:eastAsiaTheme="minorEastAsia"/>
          <w:b/>
          <w:szCs w:val="21"/>
        </w:rPr>
        <w:t xml:space="preserve">3-1-2 </w:t>
      </w:r>
      <w:r w:rsidRPr="00F9522B">
        <w:rPr>
          <w:rFonts w:eastAsiaTheme="minorEastAsia"/>
          <w:b/>
          <w:szCs w:val="21"/>
        </w:rPr>
        <w:t>项目灌溉井成井柱状图（</w:t>
      </w:r>
      <w:r w:rsidR="001F42D9" w:rsidRPr="00F9522B">
        <w:rPr>
          <w:rFonts w:eastAsiaTheme="minorEastAsia"/>
          <w:b/>
          <w:szCs w:val="21"/>
        </w:rPr>
        <w:t>8</w:t>
      </w:r>
      <w:r w:rsidRPr="00F9522B">
        <w:rPr>
          <w:rFonts w:eastAsiaTheme="minorEastAsia"/>
          <w:b/>
          <w:szCs w:val="21"/>
        </w:rPr>
        <w:t>0m</w:t>
      </w:r>
      <w:r w:rsidRPr="00F9522B">
        <w:rPr>
          <w:rFonts w:eastAsiaTheme="minorEastAsia"/>
          <w:b/>
          <w:szCs w:val="21"/>
        </w:rPr>
        <w:t>水井）</w:t>
      </w:r>
    </w:p>
    <w:p w:rsidR="002C0455" w:rsidRPr="00F9522B" w:rsidRDefault="001F42D9" w:rsidP="001F42D9">
      <w:pPr>
        <w:autoSpaceDE w:val="0"/>
        <w:autoSpaceDN w:val="0"/>
        <w:spacing w:line="360" w:lineRule="auto"/>
        <w:rPr>
          <w:rFonts w:eastAsiaTheme="minorEastAsia"/>
          <w:b/>
          <w:szCs w:val="21"/>
        </w:rPr>
      </w:pPr>
      <w:r w:rsidRPr="00F9522B">
        <w:rPr>
          <w:rFonts w:eastAsiaTheme="minorEastAsia"/>
          <w:b/>
          <w:noProof/>
          <w:szCs w:val="21"/>
        </w:rPr>
        <w:lastRenderedPageBreak/>
        <w:drawing>
          <wp:inline distT="0" distB="0" distL="0" distR="0">
            <wp:extent cx="5274310" cy="5019022"/>
            <wp:effectExtent l="19050" t="0" r="2540" b="0"/>
            <wp:docPr id="178"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6"/>
                    <a:srcRect/>
                    <a:stretch>
                      <a:fillRect/>
                    </a:stretch>
                  </pic:blipFill>
                  <pic:spPr bwMode="auto">
                    <a:xfrm>
                      <a:off x="0" y="0"/>
                      <a:ext cx="5274310" cy="5019022"/>
                    </a:xfrm>
                    <a:prstGeom prst="rect">
                      <a:avLst/>
                    </a:prstGeom>
                    <a:noFill/>
                    <a:ln w="9525">
                      <a:noFill/>
                      <a:miter lim="800000"/>
                      <a:headEnd/>
                      <a:tailEnd/>
                    </a:ln>
                  </pic:spPr>
                </pic:pic>
              </a:graphicData>
            </a:graphic>
          </wp:inline>
        </w:drawing>
      </w:r>
    </w:p>
    <w:p w:rsidR="002C0455" w:rsidRPr="00F9522B" w:rsidRDefault="002C0455" w:rsidP="002C0455">
      <w:pPr>
        <w:autoSpaceDE w:val="0"/>
        <w:autoSpaceDN w:val="0"/>
        <w:spacing w:line="360" w:lineRule="auto"/>
        <w:ind w:firstLineChars="200" w:firstLine="422"/>
        <w:jc w:val="center"/>
        <w:rPr>
          <w:rFonts w:eastAsiaTheme="minorEastAsia"/>
          <w:b/>
          <w:szCs w:val="21"/>
        </w:rPr>
      </w:pPr>
      <w:r w:rsidRPr="00F9522B">
        <w:rPr>
          <w:rFonts w:eastAsiaTheme="minorEastAsia"/>
          <w:b/>
          <w:szCs w:val="21"/>
        </w:rPr>
        <w:t>图</w:t>
      </w:r>
      <w:r w:rsidRPr="00F9522B">
        <w:rPr>
          <w:rFonts w:eastAsiaTheme="minorEastAsia"/>
          <w:b/>
          <w:szCs w:val="21"/>
        </w:rPr>
        <w:t xml:space="preserve">3-1-3 </w:t>
      </w:r>
      <w:r w:rsidRPr="00F9522B">
        <w:rPr>
          <w:rFonts w:eastAsiaTheme="minorEastAsia"/>
          <w:b/>
          <w:szCs w:val="21"/>
        </w:rPr>
        <w:t>项目灌溉井成井柱状图（</w:t>
      </w:r>
      <w:r w:rsidR="001F42D9" w:rsidRPr="00F9522B">
        <w:rPr>
          <w:rFonts w:eastAsiaTheme="minorEastAsia"/>
          <w:b/>
          <w:szCs w:val="21"/>
        </w:rPr>
        <w:t>9</w:t>
      </w:r>
      <w:r w:rsidRPr="00F9522B">
        <w:rPr>
          <w:rFonts w:eastAsiaTheme="minorEastAsia"/>
          <w:b/>
          <w:szCs w:val="21"/>
        </w:rPr>
        <w:t>0m</w:t>
      </w:r>
      <w:r w:rsidRPr="00F9522B">
        <w:rPr>
          <w:rFonts w:eastAsiaTheme="minorEastAsia"/>
          <w:b/>
          <w:szCs w:val="21"/>
        </w:rPr>
        <w:t>水井）</w:t>
      </w:r>
    </w:p>
    <w:p w:rsidR="002A5A5E" w:rsidRPr="00F9522B" w:rsidRDefault="00611CBA">
      <w:pPr>
        <w:autoSpaceDE w:val="0"/>
        <w:autoSpaceDN w:val="0"/>
        <w:spacing w:line="360" w:lineRule="auto"/>
        <w:ind w:firstLineChars="200" w:firstLine="480"/>
        <w:rPr>
          <w:rFonts w:eastAsiaTheme="minorEastAsia"/>
          <w:sz w:val="24"/>
        </w:rPr>
      </w:pPr>
      <w:r w:rsidRPr="00F9522B">
        <w:rPr>
          <w:rFonts w:ascii="宋体" w:hAnsi="宋体" w:cs="宋体" w:hint="eastAsia"/>
          <w:sz w:val="24"/>
        </w:rPr>
        <w:t>③</w:t>
      </w:r>
      <w:r w:rsidRPr="00F9522B">
        <w:rPr>
          <w:rFonts w:eastAsiaTheme="minorEastAsia"/>
          <w:sz w:val="24"/>
        </w:rPr>
        <w:t>井房</w:t>
      </w:r>
    </w:p>
    <w:p w:rsidR="002A5A5E" w:rsidRPr="00F9522B" w:rsidRDefault="00611CBA">
      <w:pPr>
        <w:autoSpaceDE w:val="0"/>
        <w:autoSpaceDN w:val="0"/>
        <w:spacing w:line="360" w:lineRule="auto"/>
        <w:ind w:firstLineChars="200" w:firstLine="480"/>
        <w:rPr>
          <w:rFonts w:eastAsiaTheme="minorEastAsia"/>
          <w:sz w:val="24"/>
        </w:rPr>
      </w:pPr>
      <w:r w:rsidRPr="00F9522B">
        <w:rPr>
          <w:rFonts w:eastAsiaTheme="minorEastAsia"/>
          <w:sz w:val="24"/>
        </w:rPr>
        <w:t>本次共需配置井房</w:t>
      </w:r>
      <w:r w:rsidR="00715E69" w:rsidRPr="00F9522B">
        <w:rPr>
          <w:rFonts w:eastAsiaTheme="minorEastAsia"/>
          <w:sz w:val="24"/>
        </w:rPr>
        <w:t>264</w:t>
      </w:r>
      <w:r w:rsidRPr="00F9522B">
        <w:rPr>
          <w:rFonts w:eastAsiaTheme="minorEastAsia"/>
          <w:sz w:val="24"/>
        </w:rPr>
        <w:t>座，其中</w:t>
      </w:r>
      <w:r w:rsidR="00715E69" w:rsidRPr="00F9522B">
        <w:rPr>
          <w:rFonts w:eastAsiaTheme="minorEastAsia"/>
          <w:sz w:val="24"/>
        </w:rPr>
        <w:t>194</w:t>
      </w:r>
      <w:r w:rsidRPr="00F9522B">
        <w:rPr>
          <w:rFonts w:eastAsiaTheme="minorEastAsia"/>
          <w:sz w:val="24"/>
        </w:rPr>
        <w:t>眼抗旱井选用</w:t>
      </w:r>
      <w:r w:rsidRPr="00F9522B">
        <w:rPr>
          <w:rFonts w:eastAsiaTheme="minorEastAsia"/>
          <w:sz w:val="24"/>
        </w:rPr>
        <w:t>1.02m*1.02m*1.65m</w:t>
      </w:r>
      <w:r w:rsidRPr="00F9522B">
        <w:rPr>
          <w:rFonts w:eastAsiaTheme="minorEastAsia"/>
          <w:sz w:val="24"/>
        </w:rPr>
        <w:t>玻璃钢智能井房，建筑面积为</w:t>
      </w:r>
      <w:r w:rsidRPr="00F9522B">
        <w:rPr>
          <w:rFonts w:eastAsiaTheme="minorEastAsia"/>
          <w:sz w:val="24"/>
        </w:rPr>
        <w:t>2.04m</w:t>
      </w:r>
      <w:r w:rsidRPr="00F9522B">
        <w:rPr>
          <w:rFonts w:eastAsiaTheme="minorEastAsia"/>
          <w:sz w:val="24"/>
          <w:vertAlign w:val="superscript"/>
        </w:rPr>
        <w:t>2</w:t>
      </w:r>
      <w:r w:rsidRPr="00F9522B">
        <w:rPr>
          <w:rFonts w:eastAsiaTheme="minorEastAsia"/>
          <w:sz w:val="24"/>
        </w:rPr>
        <w:t>。其余</w:t>
      </w:r>
      <w:r w:rsidR="00715E69" w:rsidRPr="00F9522B">
        <w:rPr>
          <w:rFonts w:eastAsiaTheme="minorEastAsia"/>
          <w:sz w:val="24"/>
        </w:rPr>
        <w:t>70</w:t>
      </w:r>
      <w:r w:rsidRPr="00F9522B">
        <w:rPr>
          <w:rFonts w:eastAsiaTheme="minorEastAsia"/>
          <w:sz w:val="24"/>
        </w:rPr>
        <w:t>眼井为历井农场</w:t>
      </w:r>
      <w:r w:rsidR="00715E69" w:rsidRPr="00F9522B">
        <w:rPr>
          <w:rFonts w:eastAsiaTheme="minorEastAsia"/>
          <w:sz w:val="24"/>
        </w:rPr>
        <w:t>及历井村</w:t>
      </w:r>
      <w:r w:rsidRPr="00F9522B">
        <w:rPr>
          <w:rFonts w:eastAsiaTheme="minorEastAsia"/>
          <w:sz w:val="24"/>
        </w:rPr>
        <w:t>水肥一体水源井，井房设计采用</w:t>
      </w:r>
      <w:r w:rsidRPr="00F9522B">
        <w:rPr>
          <w:rFonts w:eastAsiaTheme="minorEastAsia"/>
          <w:sz w:val="24"/>
        </w:rPr>
        <w:t>2</w:t>
      </w:r>
      <w:r w:rsidR="00715E69" w:rsidRPr="00F9522B">
        <w:rPr>
          <w:rFonts w:eastAsiaTheme="minorEastAsia"/>
          <w:sz w:val="24"/>
        </w:rPr>
        <w:t>4</w:t>
      </w:r>
      <w:r w:rsidRPr="00F9522B">
        <w:rPr>
          <w:rFonts w:eastAsiaTheme="minorEastAsia"/>
          <w:sz w:val="24"/>
        </w:rPr>
        <w:t>m</w:t>
      </w:r>
      <w:r w:rsidRPr="00F9522B">
        <w:rPr>
          <w:rFonts w:eastAsiaTheme="minorEastAsia"/>
          <w:sz w:val="24"/>
          <w:vertAlign w:val="superscript"/>
        </w:rPr>
        <w:t>2</w:t>
      </w:r>
      <w:r w:rsidRPr="00F9522B">
        <w:rPr>
          <w:rFonts w:eastAsiaTheme="minorEastAsia"/>
          <w:sz w:val="24"/>
        </w:rPr>
        <w:t>预制井房，长</w:t>
      </w:r>
      <w:r w:rsidRPr="00F9522B">
        <w:rPr>
          <w:rFonts w:eastAsiaTheme="minorEastAsia"/>
          <w:sz w:val="24"/>
        </w:rPr>
        <w:t>6m</w:t>
      </w:r>
      <w:r w:rsidRPr="00F9522B">
        <w:rPr>
          <w:rFonts w:eastAsiaTheme="minorEastAsia"/>
          <w:sz w:val="24"/>
        </w:rPr>
        <w:t>，宽</w:t>
      </w:r>
      <w:r w:rsidR="00715E69" w:rsidRPr="00F9522B">
        <w:rPr>
          <w:rFonts w:eastAsiaTheme="minorEastAsia"/>
          <w:sz w:val="24"/>
        </w:rPr>
        <w:t>4</w:t>
      </w:r>
      <w:r w:rsidRPr="00F9522B">
        <w:rPr>
          <w:rFonts w:eastAsiaTheme="minorEastAsia"/>
          <w:sz w:val="24"/>
        </w:rPr>
        <w:t>m</w:t>
      </w:r>
      <w:r w:rsidRPr="00F9522B">
        <w:rPr>
          <w:rFonts w:eastAsiaTheme="minorEastAsia"/>
          <w:sz w:val="24"/>
        </w:rPr>
        <w:t>。</w:t>
      </w:r>
    </w:p>
    <w:p w:rsidR="002A5A5E" w:rsidRPr="00F9522B" w:rsidRDefault="00611CBA">
      <w:pPr>
        <w:autoSpaceDE w:val="0"/>
        <w:autoSpaceDN w:val="0"/>
        <w:spacing w:line="360" w:lineRule="auto"/>
        <w:ind w:firstLineChars="200" w:firstLine="480"/>
        <w:rPr>
          <w:rFonts w:eastAsiaTheme="minorEastAsia"/>
          <w:sz w:val="24"/>
        </w:rPr>
      </w:pPr>
      <w:r w:rsidRPr="00F9522B">
        <w:rPr>
          <w:rFonts w:ascii="宋体" w:hAnsi="宋体" w:cs="宋体" w:hint="eastAsia"/>
          <w:sz w:val="24"/>
        </w:rPr>
        <w:t>④</w:t>
      </w:r>
      <w:r w:rsidRPr="00F9522B">
        <w:rPr>
          <w:rFonts w:eastAsiaTheme="minorEastAsia"/>
          <w:sz w:val="24"/>
        </w:rPr>
        <w:t>灌溉设施</w:t>
      </w:r>
    </w:p>
    <w:p w:rsidR="002A5A5E" w:rsidRPr="00F9522B" w:rsidRDefault="00611CBA">
      <w:pPr>
        <w:autoSpaceDE w:val="0"/>
        <w:autoSpaceDN w:val="0"/>
        <w:spacing w:line="360" w:lineRule="auto"/>
        <w:ind w:firstLineChars="200" w:firstLine="480"/>
        <w:rPr>
          <w:rFonts w:eastAsiaTheme="minorEastAsia"/>
          <w:bCs/>
          <w:sz w:val="24"/>
        </w:rPr>
      </w:pPr>
      <w:r w:rsidRPr="00F9522B">
        <w:rPr>
          <w:rFonts w:eastAsiaTheme="minorEastAsia"/>
          <w:bCs/>
          <w:sz w:val="24"/>
        </w:rPr>
        <w:t>根据《黑龙江</w:t>
      </w:r>
      <w:r w:rsidR="00175C36" w:rsidRPr="00F9522B">
        <w:rPr>
          <w:rFonts w:eastAsiaTheme="minorEastAsia"/>
          <w:bCs/>
          <w:sz w:val="24"/>
        </w:rPr>
        <w:t>：</w:t>
      </w:r>
      <w:r w:rsidRPr="00F9522B">
        <w:rPr>
          <w:rFonts w:eastAsiaTheme="minorEastAsia"/>
          <w:bCs/>
          <w:sz w:val="24"/>
        </w:rPr>
        <w:t>用水定额》（</w:t>
      </w:r>
      <w:r w:rsidRPr="00F9522B">
        <w:rPr>
          <w:rFonts w:eastAsiaTheme="minorEastAsia"/>
          <w:bCs/>
          <w:sz w:val="24"/>
        </w:rPr>
        <w:t>DB23/T 727-202</w:t>
      </w:r>
      <w:r w:rsidR="00175C36" w:rsidRPr="00F9522B">
        <w:rPr>
          <w:rFonts w:eastAsiaTheme="minorEastAsia"/>
          <w:bCs/>
          <w:sz w:val="24"/>
        </w:rPr>
        <w:t>5</w:t>
      </w:r>
      <w:r w:rsidRPr="00F9522B">
        <w:rPr>
          <w:rFonts w:eastAsiaTheme="minorEastAsia"/>
          <w:bCs/>
          <w:sz w:val="24"/>
        </w:rPr>
        <w:t>）的要求，坐水种和滴灌灌溉设计水文年</w:t>
      </w:r>
      <w:r w:rsidRPr="00F9522B">
        <w:rPr>
          <w:rFonts w:eastAsiaTheme="minorEastAsia"/>
          <w:bCs/>
          <w:sz w:val="24"/>
        </w:rPr>
        <w:t>50%-75%</w:t>
      </w:r>
      <w:r w:rsidRPr="00F9522B">
        <w:rPr>
          <w:rFonts w:eastAsiaTheme="minorEastAsia"/>
          <w:bCs/>
          <w:sz w:val="24"/>
        </w:rPr>
        <w:t>。本项目以项目区内的浅层地下水及承压水为水源，灌溉设计保证率取</w:t>
      </w:r>
      <w:r w:rsidRPr="00F9522B">
        <w:rPr>
          <w:rFonts w:eastAsiaTheme="minorEastAsia"/>
          <w:bCs/>
          <w:sz w:val="24"/>
        </w:rPr>
        <w:t>90%</w:t>
      </w:r>
      <w:r w:rsidRPr="00F9522B">
        <w:rPr>
          <w:rFonts w:eastAsiaTheme="minorEastAsia"/>
          <w:bCs/>
          <w:sz w:val="24"/>
        </w:rPr>
        <w:t>。本次采用坐水种和滴灌方式灌溉就是保证玉米出苗率。</w:t>
      </w:r>
    </w:p>
    <w:p w:rsidR="002A5A5E" w:rsidRPr="00F9522B" w:rsidRDefault="00611CBA">
      <w:pPr>
        <w:autoSpaceDE w:val="0"/>
        <w:autoSpaceDN w:val="0"/>
        <w:spacing w:line="360" w:lineRule="auto"/>
        <w:ind w:firstLineChars="200" w:firstLine="480"/>
        <w:rPr>
          <w:rFonts w:eastAsiaTheme="minorEastAsia"/>
          <w:bCs/>
          <w:sz w:val="24"/>
        </w:rPr>
      </w:pPr>
      <w:r w:rsidRPr="00F9522B">
        <w:rPr>
          <w:rFonts w:eastAsiaTheme="minorEastAsia"/>
          <w:bCs/>
          <w:sz w:val="24"/>
        </w:rPr>
        <w:t>坐水种：每个项目区设置固定式储水罐和移动水罐车。固定式</w:t>
      </w:r>
      <w:r w:rsidRPr="00F9522B">
        <w:rPr>
          <w:rFonts w:eastAsiaTheme="minorEastAsia"/>
          <w:bCs/>
          <w:sz w:val="24"/>
        </w:rPr>
        <w:t>30</w:t>
      </w:r>
      <w:r w:rsidRPr="00F9522B">
        <w:rPr>
          <w:rFonts w:eastAsiaTheme="minorEastAsia"/>
          <w:bCs/>
          <w:sz w:val="24"/>
        </w:rPr>
        <w:t>吨储水罐长</w:t>
      </w:r>
      <w:r w:rsidRPr="00F9522B">
        <w:rPr>
          <w:rFonts w:eastAsiaTheme="minorEastAsia"/>
          <w:bCs/>
          <w:sz w:val="24"/>
        </w:rPr>
        <w:t>7m</w:t>
      </w:r>
      <w:r w:rsidRPr="00F9522B">
        <w:rPr>
          <w:rFonts w:eastAsiaTheme="minorEastAsia"/>
          <w:bCs/>
          <w:sz w:val="24"/>
        </w:rPr>
        <w:t>，直径</w:t>
      </w:r>
      <w:r w:rsidRPr="00F9522B">
        <w:rPr>
          <w:rFonts w:eastAsiaTheme="minorEastAsia"/>
          <w:bCs/>
          <w:sz w:val="24"/>
        </w:rPr>
        <w:t>2.5m</w:t>
      </w:r>
      <w:r w:rsidRPr="00F9522B">
        <w:rPr>
          <w:rFonts w:eastAsiaTheme="minorEastAsia"/>
          <w:bCs/>
          <w:sz w:val="24"/>
        </w:rPr>
        <w:t>，钢板厚度</w:t>
      </w:r>
      <w:r w:rsidRPr="00F9522B">
        <w:rPr>
          <w:rFonts w:eastAsiaTheme="minorEastAsia"/>
          <w:bCs/>
          <w:sz w:val="24"/>
        </w:rPr>
        <w:t>3.5mm</w:t>
      </w:r>
      <w:r w:rsidRPr="00F9522B">
        <w:rPr>
          <w:rFonts w:eastAsiaTheme="minorEastAsia"/>
          <w:bCs/>
          <w:sz w:val="24"/>
        </w:rPr>
        <w:t>，</w:t>
      </w:r>
      <w:r w:rsidRPr="00F9522B">
        <w:rPr>
          <w:rFonts w:eastAsiaTheme="minorEastAsia"/>
          <w:bCs/>
          <w:sz w:val="24"/>
        </w:rPr>
        <w:t>304</w:t>
      </w:r>
      <w:r w:rsidRPr="00F9522B">
        <w:rPr>
          <w:rFonts w:eastAsiaTheme="minorEastAsia"/>
          <w:bCs/>
          <w:sz w:val="24"/>
        </w:rPr>
        <w:t>不锈钢材质，基础采用</w:t>
      </w:r>
      <w:r w:rsidRPr="00F9522B">
        <w:rPr>
          <w:rFonts w:eastAsiaTheme="minorEastAsia"/>
          <w:bCs/>
          <w:sz w:val="24"/>
        </w:rPr>
        <w:t>C25</w:t>
      </w:r>
      <w:r w:rsidRPr="00F9522B">
        <w:rPr>
          <w:rFonts w:eastAsiaTheme="minorEastAsia"/>
          <w:bCs/>
          <w:sz w:val="24"/>
        </w:rPr>
        <w:t>混凝土圈梁结构，地上水罐支撑墙体采用红砖砌体结构。移动水罐车为单轴两轮式结构。</w:t>
      </w:r>
    </w:p>
    <w:p w:rsidR="002A5A5E" w:rsidRPr="00F9522B" w:rsidRDefault="00611CBA">
      <w:pPr>
        <w:autoSpaceDE w:val="0"/>
        <w:autoSpaceDN w:val="0"/>
        <w:spacing w:line="360" w:lineRule="auto"/>
        <w:ind w:firstLineChars="200" w:firstLine="480"/>
        <w:rPr>
          <w:rFonts w:eastAsiaTheme="minorEastAsia"/>
          <w:bCs/>
          <w:sz w:val="24"/>
        </w:rPr>
      </w:pPr>
      <w:r w:rsidRPr="00F9522B">
        <w:rPr>
          <w:rFonts w:eastAsiaTheme="minorEastAsia"/>
          <w:bCs/>
          <w:sz w:val="24"/>
        </w:rPr>
        <w:lastRenderedPageBreak/>
        <w:t>滴灌：</w:t>
      </w:r>
    </w:p>
    <w:p w:rsidR="002A5A5E" w:rsidRPr="00F9522B" w:rsidRDefault="00611CBA">
      <w:pPr>
        <w:autoSpaceDE w:val="0"/>
        <w:autoSpaceDN w:val="0"/>
        <w:spacing w:line="360" w:lineRule="auto"/>
        <w:ind w:firstLineChars="200" w:firstLine="480"/>
        <w:rPr>
          <w:rFonts w:eastAsiaTheme="minorEastAsia"/>
          <w:bCs/>
          <w:sz w:val="24"/>
        </w:rPr>
      </w:pPr>
      <w:r w:rsidRPr="00F9522B">
        <w:rPr>
          <w:rFonts w:eastAsiaTheme="minorEastAsia"/>
          <w:bCs/>
          <w:sz w:val="24"/>
        </w:rPr>
        <w:t>根据井的出水量、地块形状、作物等情况，设置滴灌带，铺设在垄上两行玉米正中间。在设计中灌溉方案依据玉米大垄双行的种植方式，采用滴灌带滴头流量为</w:t>
      </w:r>
      <w:r w:rsidR="002D377E" w:rsidRPr="00F9522B">
        <w:rPr>
          <w:rFonts w:eastAsiaTheme="minorEastAsia"/>
          <w:bCs/>
          <w:sz w:val="24"/>
        </w:rPr>
        <w:t>1.1</w:t>
      </w:r>
      <w:r w:rsidRPr="00F9522B">
        <w:rPr>
          <w:rFonts w:eastAsiaTheme="minorEastAsia"/>
          <w:bCs/>
          <w:sz w:val="24"/>
        </w:rPr>
        <w:t>L/h</w:t>
      </w:r>
      <w:r w:rsidRPr="00F9522B">
        <w:rPr>
          <w:rFonts w:eastAsiaTheme="minorEastAsia"/>
          <w:bCs/>
          <w:sz w:val="24"/>
        </w:rPr>
        <w:t>，滴头间距为</w:t>
      </w:r>
      <w:r w:rsidR="002D377E" w:rsidRPr="00F9522B">
        <w:rPr>
          <w:rFonts w:eastAsiaTheme="minorEastAsia"/>
          <w:bCs/>
          <w:sz w:val="24"/>
        </w:rPr>
        <w:t>30</w:t>
      </w:r>
      <w:r w:rsidRPr="00F9522B">
        <w:rPr>
          <w:rFonts w:eastAsiaTheme="minorEastAsia"/>
          <w:bCs/>
          <w:sz w:val="24"/>
        </w:rPr>
        <w:t>cm</w:t>
      </w:r>
      <w:r w:rsidRPr="00F9522B">
        <w:rPr>
          <w:rFonts w:eastAsiaTheme="minorEastAsia"/>
          <w:kern w:val="0"/>
          <w:sz w:val="24"/>
          <w:szCs w:val="20"/>
        </w:rPr>
        <w:t>。安装水肥一体</w:t>
      </w:r>
      <w:r w:rsidR="00596FF0" w:rsidRPr="00F9522B">
        <w:rPr>
          <w:rFonts w:eastAsiaTheme="minorEastAsia"/>
          <w:kern w:val="0"/>
          <w:sz w:val="24"/>
          <w:szCs w:val="20"/>
        </w:rPr>
        <w:t>化</w:t>
      </w:r>
      <w:r w:rsidRPr="00F9522B">
        <w:rPr>
          <w:rFonts w:eastAsiaTheme="minorEastAsia"/>
          <w:kern w:val="0"/>
          <w:sz w:val="24"/>
          <w:szCs w:val="20"/>
        </w:rPr>
        <w:t>设备及施肥机。</w:t>
      </w:r>
    </w:p>
    <w:p w:rsidR="002A5A5E" w:rsidRPr="00F9522B" w:rsidRDefault="00611CBA">
      <w:pPr>
        <w:autoSpaceDE w:val="0"/>
        <w:autoSpaceDN w:val="0"/>
        <w:spacing w:line="360" w:lineRule="auto"/>
        <w:ind w:firstLineChars="200" w:firstLine="480"/>
        <w:rPr>
          <w:rFonts w:eastAsiaTheme="minorEastAsia"/>
          <w:kern w:val="0"/>
          <w:sz w:val="24"/>
          <w:szCs w:val="20"/>
        </w:rPr>
      </w:pPr>
      <w:r w:rsidRPr="00F9522B">
        <w:rPr>
          <w:rFonts w:ascii="宋体" w:hAnsi="宋体" w:cs="宋体" w:hint="eastAsia"/>
          <w:sz w:val="24"/>
        </w:rPr>
        <w:t>⑤</w:t>
      </w:r>
      <w:r w:rsidRPr="00F9522B">
        <w:rPr>
          <w:rFonts w:eastAsiaTheme="minorEastAsia"/>
          <w:kern w:val="0"/>
          <w:sz w:val="24"/>
          <w:szCs w:val="20"/>
        </w:rPr>
        <w:t>灌溉制度</w:t>
      </w:r>
    </w:p>
    <w:p w:rsidR="002A5A5E" w:rsidRPr="00F9522B" w:rsidRDefault="00611CBA">
      <w:pPr>
        <w:autoSpaceDE w:val="0"/>
        <w:autoSpaceDN w:val="0"/>
        <w:spacing w:line="360" w:lineRule="auto"/>
        <w:ind w:firstLineChars="200" w:firstLine="480"/>
        <w:rPr>
          <w:rFonts w:eastAsiaTheme="minorEastAsia"/>
          <w:kern w:val="0"/>
          <w:sz w:val="24"/>
        </w:rPr>
      </w:pPr>
      <w:r w:rsidRPr="00F9522B">
        <w:rPr>
          <w:rFonts w:eastAsiaTheme="minorEastAsia"/>
          <w:sz w:val="24"/>
        </w:rPr>
        <w:t>根据已批复《</w:t>
      </w:r>
      <w:r w:rsidR="003A7922" w:rsidRPr="00F9522B">
        <w:rPr>
          <w:rFonts w:eastAsiaTheme="minorEastAsia"/>
          <w:sz w:val="24"/>
        </w:rPr>
        <w:t>呼兰区</w:t>
      </w:r>
      <w:r w:rsidR="003A7922" w:rsidRPr="00F9522B">
        <w:rPr>
          <w:rFonts w:eastAsiaTheme="minorEastAsia"/>
          <w:sz w:val="24"/>
        </w:rPr>
        <w:t>2026</w:t>
      </w:r>
      <w:r w:rsidR="003A7922" w:rsidRPr="00F9522B">
        <w:rPr>
          <w:rFonts w:eastAsiaTheme="minorEastAsia"/>
          <w:sz w:val="24"/>
        </w:rPr>
        <w:t>年高标准农田建设项目</w:t>
      </w:r>
      <w:r w:rsidRPr="00F9522B">
        <w:rPr>
          <w:rFonts w:eastAsiaTheme="minorEastAsia"/>
          <w:sz w:val="24"/>
        </w:rPr>
        <w:t>水资源论证报告书》</w:t>
      </w:r>
      <w:r w:rsidRPr="00F9522B">
        <w:rPr>
          <w:rFonts w:eastAsiaTheme="minorEastAsia"/>
          <w:kern w:val="0"/>
          <w:sz w:val="24"/>
        </w:rPr>
        <w:t>《节水灌溉工程技术规范》和</w:t>
      </w:r>
      <w:r w:rsidRPr="00F9522B">
        <w:rPr>
          <w:rFonts w:eastAsiaTheme="minorEastAsia"/>
          <w:bCs/>
          <w:sz w:val="24"/>
        </w:rPr>
        <w:t>《黑龙江：用水定额》（</w:t>
      </w:r>
      <w:r w:rsidRPr="00F9522B">
        <w:rPr>
          <w:rFonts w:eastAsiaTheme="minorEastAsia"/>
          <w:bCs/>
          <w:sz w:val="24"/>
        </w:rPr>
        <w:t>DB23/T 727-202</w:t>
      </w:r>
      <w:r w:rsidR="00175C36" w:rsidRPr="00F9522B">
        <w:rPr>
          <w:rFonts w:eastAsiaTheme="minorEastAsia"/>
          <w:bCs/>
          <w:sz w:val="24"/>
        </w:rPr>
        <w:t>5</w:t>
      </w:r>
      <w:r w:rsidRPr="00F9522B">
        <w:rPr>
          <w:rFonts w:eastAsiaTheme="minorEastAsia"/>
          <w:bCs/>
          <w:sz w:val="24"/>
        </w:rPr>
        <w:t>）</w:t>
      </w:r>
      <w:r w:rsidRPr="00F9522B">
        <w:rPr>
          <w:rFonts w:eastAsiaTheme="minorEastAsia"/>
          <w:kern w:val="0"/>
          <w:sz w:val="24"/>
        </w:rPr>
        <w:t>，本项目设计灌溉保证率为</w:t>
      </w:r>
      <w:r w:rsidRPr="00F9522B">
        <w:rPr>
          <w:rFonts w:eastAsiaTheme="minorEastAsia"/>
          <w:kern w:val="0"/>
          <w:sz w:val="24"/>
        </w:rPr>
        <w:t>90%</w:t>
      </w:r>
      <w:r w:rsidRPr="00F9522B">
        <w:rPr>
          <w:rFonts w:eastAsiaTheme="minorEastAsia"/>
          <w:kern w:val="0"/>
          <w:sz w:val="24"/>
        </w:rPr>
        <w:t>，坐水种灌溉净定额</w:t>
      </w:r>
      <w:r w:rsidRPr="00F9522B">
        <w:rPr>
          <w:rFonts w:eastAsiaTheme="minorEastAsia"/>
          <w:kern w:val="0"/>
          <w:sz w:val="24"/>
        </w:rPr>
        <w:t>6m</w:t>
      </w:r>
      <w:r w:rsidRPr="00F9522B">
        <w:rPr>
          <w:rFonts w:eastAsiaTheme="minorEastAsia"/>
          <w:kern w:val="0"/>
          <w:sz w:val="24"/>
          <w:vertAlign w:val="superscript"/>
        </w:rPr>
        <w:t>3</w:t>
      </w:r>
      <w:r w:rsidRPr="00F9522B">
        <w:rPr>
          <w:rFonts w:eastAsiaTheme="minorEastAsia"/>
          <w:kern w:val="0"/>
          <w:sz w:val="24"/>
        </w:rPr>
        <w:t>/</w:t>
      </w:r>
      <w:r w:rsidRPr="00F9522B">
        <w:rPr>
          <w:rFonts w:eastAsiaTheme="minorEastAsia"/>
          <w:kern w:val="0"/>
          <w:sz w:val="24"/>
        </w:rPr>
        <w:t>亩，灌溉水利用系数</w:t>
      </w:r>
      <w:r w:rsidRPr="00F9522B">
        <w:rPr>
          <w:rFonts w:eastAsiaTheme="minorEastAsia"/>
          <w:kern w:val="0"/>
          <w:sz w:val="24"/>
        </w:rPr>
        <w:t>0.</w:t>
      </w:r>
      <w:r w:rsidR="002C0455" w:rsidRPr="00F9522B">
        <w:rPr>
          <w:rFonts w:eastAsiaTheme="minorEastAsia"/>
          <w:kern w:val="0"/>
          <w:sz w:val="24"/>
        </w:rPr>
        <w:t>9</w:t>
      </w:r>
      <w:r w:rsidRPr="00F9522B">
        <w:rPr>
          <w:rFonts w:eastAsiaTheme="minorEastAsia"/>
          <w:kern w:val="0"/>
          <w:sz w:val="24"/>
        </w:rPr>
        <w:t>，滴灌净定额为</w:t>
      </w:r>
      <w:r w:rsidR="002C0455" w:rsidRPr="00F9522B">
        <w:rPr>
          <w:rFonts w:eastAsiaTheme="minorEastAsia"/>
          <w:kern w:val="0"/>
          <w:sz w:val="24"/>
        </w:rPr>
        <w:t>11</w:t>
      </w:r>
      <w:r w:rsidRPr="00F9522B">
        <w:rPr>
          <w:rFonts w:eastAsiaTheme="minorEastAsia"/>
          <w:kern w:val="0"/>
          <w:sz w:val="24"/>
        </w:rPr>
        <w:t>0m</w:t>
      </w:r>
      <w:r w:rsidRPr="00F9522B">
        <w:rPr>
          <w:rFonts w:eastAsiaTheme="minorEastAsia"/>
          <w:kern w:val="0"/>
          <w:sz w:val="24"/>
          <w:vertAlign w:val="superscript"/>
        </w:rPr>
        <w:t>3</w:t>
      </w:r>
      <w:r w:rsidRPr="00F9522B">
        <w:rPr>
          <w:rFonts w:eastAsiaTheme="minorEastAsia"/>
          <w:kern w:val="0"/>
          <w:sz w:val="24"/>
        </w:rPr>
        <w:t>/</w:t>
      </w:r>
      <w:r w:rsidRPr="00F9522B">
        <w:rPr>
          <w:rFonts w:eastAsiaTheme="minorEastAsia"/>
          <w:kern w:val="0"/>
          <w:sz w:val="24"/>
        </w:rPr>
        <w:t>亩，滴灌灌溉水利用系数取</w:t>
      </w:r>
      <w:r w:rsidRPr="00F9522B">
        <w:rPr>
          <w:rFonts w:eastAsiaTheme="minorEastAsia"/>
          <w:kern w:val="0"/>
          <w:sz w:val="24"/>
        </w:rPr>
        <w:t>0.9</w:t>
      </w:r>
      <w:r w:rsidR="002C0455" w:rsidRPr="00F9522B">
        <w:rPr>
          <w:rFonts w:eastAsiaTheme="minorEastAsia"/>
          <w:kern w:val="0"/>
          <w:sz w:val="24"/>
        </w:rPr>
        <w:t>3</w:t>
      </w:r>
      <w:r w:rsidRPr="00F9522B">
        <w:rPr>
          <w:rFonts w:eastAsiaTheme="minorEastAsia"/>
          <w:kern w:val="0"/>
          <w:sz w:val="24"/>
        </w:rPr>
        <w:t>。</w:t>
      </w:r>
    </w:p>
    <w:p w:rsidR="002A5A5E" w:rsidRPr="00F9522B" w:rsidRDefault="00611CBA">
      <w:pPr>
        <w:autoSpaceDE w:val="0"/>
        <w:autoSpaceDN w:val="0"/>
        <w:spacing w:line="360" w:lineRule="auto"/>
        <w:ind w:firstLineChars="200" w:firstLine="480"/>
        <w:rPr>
          <w:rFonts w:eastAsiaTheme="minorEastAsia"/>
          <w:sz w:val="24"/>
        </w:rPr>
      </w:pPr>
      <w:r w:rsidRPr="00F9522B">
        <w:rPr>
          <w:rFonts w:eastAsiaTheme="minorEastAsia"/>
          <w:sz w:val="24"/>
        </w:rPr>
        <w:t>（</w:t>
      </w:r>
      <w:r w:rsidRPr="00F9522B">
        <w:rPr>
          <w:rFonts w:eastAsiaTheme="minorEastAsia"/>
          <w:sz w:val="24"/>
        </w:rPr>
        <w:t>2</w:t>
      </w:r>
      <w:r w:rsidRPr="00F9522B">
        <w:rPr>
          <w:rFonts w:eastAsiaTheme="minorEastAsia"/>
          <w:sz w:val="24"/>
        </w:rPr>
        <w:t>）水肥一体化系统</w:t>
      </w:r>
    </w:p>
    <w:p w:rsidR="002A5A5E" w:rsidRPr="00F9522B" w:rsidRDefault="00611CBA">
      <w:pPr>
        <w:autoSpaceDE w:val="0"/>
        <w:autoSpaceDN w:val="0"/>
        <w:spacing w:line="360" w:lineRule="auto"/>
        <w:ind w:firstLineChars="200" w:firstLine="480"/>
        <w:rPr>
          <w:rFonts w:eastAsiaTheme="minorEastAsia"/>
          <w:kern w:val="0"/>
          <w:sz w:val="24"/>
        </w:rPr>
      </w:pPr>
      <w:r w:rsidRPr="00F9522B">
        <w:rPr>
          <w:rFonts w:eastAsiaTheme="minorEastAsia"/>
          <w:kern w:val="0"/>
          <w:sz w:val="24"/>
        </w:rPr>
        <w:t>本项目在历井农场</w:t>
      </w:r>
      <w:r w:rsidR="004324C7" w:rsidRPr="00F9522B">
        <w:rPr>
          <w:rFonts w:eastAsiaTheme="minorEastAsia"/>
          <w:kern w:val="0"/>
          <w:sz w:val="24"/>
        </w:rPr>
        <w:t>及历井村</w:t>
      </w:r>
      <w:r w:rsidRPr="00F9522B">
        <w:rPr>
          <w:rFonts w:eastAsiaTheme="minorEastAsia"/>
          <w:kern w:val="0"/>
          <w:sz w:val="24"/>
        </w:rPr>
        <w:t>发展水肥一体化灌溉，项目区面积</w:t>
      </w:r>
      <w:r w:rsidRPr="00F9522B">
        <w:rPr>
          <w:rFonts w:eastAsiaTheme="minorEastAsia"/>
          <w:kern w:val="0"/>
          <w:sz w:val="24"/>
        </w:rPr>
        <w:t>1</w:t>
      </w:r>
      <w:r w:rsidR="004324C7" w:rsidRPr="00F9522B">
        <w:rPr>
          <w:rFonts w:eastAsiaTheme="minorEastAsia"/>
          <w:kern w:val="0"/>
          <w:sz w:val="24"/>
        </w:rPr>
        <w:t>.63</w:t>
      </w:r>
      <w:r w:rsidR="004324C7" w:rsidRPr="00F9522B">
        <w:rPr>
          <w:rFonts w:eastAsiaTheme="minorEastAsia"/>
          <w:kern w:val="0"/>
          <w:sz w:val="24"/>
        </w:rPr>
        <w:t>万</w:t>
      </w:r>
      <w:r w:rsidRPr="00F9522B">
        <w:rPr>
          <w:rFonts w:eastAsiaTheme="minorEastAsia"/>
          <w:kern w:val="0"/>
          <w:sz w:val="24"/>
        </w:rPr>
        <w:t>亩，主要种植作物为玉米，种植行距为</w:t>
      </w:r>
      <w:r w:rsidR="004324C7" w:rsidRPr="00F9522B">
        <w:rPr>
          <w:rFonts w:eastAsiaTheme="minorEastAsia"/>
          <w:kern w:val="0"/>
          <w:sz w:val="24"/>
        </w:rPr>
        <w:t>1.1</w:t>
      </w:r>
      <w:r w:rsidRPr="00F9522B">
        <w:rPr>
          <w:rFonts w:eastAsiaTheme="minorEastAsia"/>
          <w:kern w:val="0"/>
          <w:sz w:val="24"/>
        </w:rPr>
        <w:t>m</w:t>
      </w:r>
      <w:r w:rsidRPr="00F9522B">
        <w:rPr>
          <w:rFonts w:eastAsiaTheme="minorEastAsia"/>
          <w:kern w:val="0"/>
          <w:sz w:val="24"/>
        </w:rPr>
        <w:t>；项目水源为滴灌井。滴灌带铺设在垄上两行玉米正中间。在设计中灌溉方案依据玉米大垄双行的种植方式，采用滴灌带滴头流量为</w:t>
      </w:r>
      <w:r w:rsidRPr="00F9522B">
        <w:rPr>
          <w:rFonts w:eastAsiaTheme="minorEastAsia"/>
          <w:kern w:val="0"/>
          <w:sz w:val="24"/>
        </w:rPr>
        <w:t>0.8L/h</w:t>
      </w:r>
      <w:r w:rsidRPr="00F9522B">
        <w:rPr>
          <w:rFonts w:eastAsiaTheme="minorEastAsia"/>
          <w:kern w:val="0"/>
          <w:sz w:val="24"/>
        </w:rPr>
        <w:t>，滴头间距为</w:t>
      </w:r>
      <w:r w:rsidRPr="00F9522B">
        <w:rPr>
          <w:rFonts w:eastAsiaTheme="minorEastAsia"/>
          <w:kern w:val="0"/>
          <w:sz w:val="24"/>
        </w:rPr>
        <w:t>30cm</w:t>
      </w:r>
      <w:r w:rsidRPr="00F9522B">
        <w:rPr>
          <w:rFonts w:eastAsiaTheme="minorEastAsia"/>
          <w:kern w:val="0"/>
          <w:sz w:val="24"/>
        </w:rPr>
        <w:t>。</w:t>
      </w:r>
    </w:p>
    <w:p w:rsidR="002A5A5E" w:rsidRPr="00F9522B" w:rsidRDefault="00611CBA">
      <w:pPr>
        <w:autoSpaceDE w:val="0"/>
        <w:autoSpaceDN w:val="0"/>
        <w:spacing w:line="360" w:lineRule="auto"/>
        <w:ind w:firstLineChars="200" w:firstLine="480"/>
        <w:rPr>
          <w:rFonts w:eastAsiaTheme="minorEastAsia"/>
          <w:kern w:val="0"/>
          <w:sz w:val="24"/>
        </w:rPr>
      </w:pPr>
      <w:r w:rsidRPr="00F9522B">
        <w:rPr>
          <w:rFonts w:eastAsiaTheme="minorEastAsia"/>
          <w:kern w:val="0"/>
          <w:sz w:val="24"/>
        </w:rPr>
        <w:t>建设</w:t>
      </w:r>
      <w:r w:rsidRPr="00F9522B">
        <w:rPr>
          <w:rFonts w:eastAsiaTheme="minorEastAsia"/>
          <w:sz w:val="24"/>
        </w:rPr>
        <w:t>水肥一体化</w:t>
      </w:r>
      <w:r w:rsidRPr="00F9522B">
        <w:rPr>
          <w:rFonts w:eastAsiaTheme="minorEastAsia"/>
          <w:kern w:val="0"/>
          <w:sz w:val="24"/>
        </w:rPr>
        <w:t>系统</w:t>
      </w:r>
      <w:r w:rsidR="004324C7" w:rsidRPr="00F9522B">
        <w:rPr>
          <w:rFonts w:eastAsiaTheme="minorEastAsia"/>
          <w:kern w:val="0"/>
          <w:sz w:val="24"/>
        </w:rPr>
        <w:t>70</w:t>
      </w:r>
      <w:r w:rsidR="004324C7" w:rsidRPr="00F9522B">
        <w:rPr>
          <w:rFonts w:eastAsiaTheme="minorEastAsia"/>
          <w:kern w:val="0"/>
          <w:sz w:val="24"/>
        </w:rPr>
        <w:t>套</w:t>
      </w:r>
      <w:r w:rsidRPr="00F9522B">
        <w:rPr>
          <w:rFonts w:eastAsiaTheme="minorEastAsia"/>
          <w:kern w:val="0"/>
          <w:sz w:val="24"/>
        </w:rPr>
        <w:t>。系统首部应用潜水泵加压，经过灌溉集成首部输送到田间作物根系。系统首部安装有压力表、排气阀等仪器和设备。</w:t>
      </w:r>
    </w:p>
    <w:p w:rsidR="002A5A5E" w:rsidRPr="00F9522B" w:rsidRDefault="00611CBA">
      <w:pPr>
        <w:autoSpaceDE w:val="0"/>
        <w:autoSpaceDN w:val="0"/>
        <w:spacing w:line="360" w:lineRule="auto"/>
        <w:ind w:firstLineChars="200" w:firstLine="480"/>
        <w:rPr>
          <w:rFonts w:eastAsiaTheme="minorEastAsia"/>
          <w:kern w:val="0"/>
          <w:sz w:val="24"/>
        </w:rPr>
      </w:pPr>
      <w:r w:rsidRPr="00F9522B">
        <w:rPr>
          <w:rFonts w:eastAsiaTheme="minorEastAsia"/>
          <w:kern w:val="0"/>
          <w:sz w:val="24"/>
        </w:rPr>
        <w:t>施肥系统通过施肥机进行加压，每个系统配备</w:t>
      </w:r>
      <w:r w:rsidRPr="00F9522B">
        <w:rPr>
          <w:rFonts w:eastAsiaTheme="minorEastAsia"/>
          <w:kern w:val="0"/>
          <w:sz w:val="24"/>
        </w:rPr>
        <w:t>1</w:t>
      </w:r>
      <w:r w:rsidRPr="00F9522B">
        <w:rPr>
          <w:rFonts w:eastAsiaTheme="minorEastAsia"/>
          <w:kern w:val="0"/>
          <w:sz w:val="24"/>
        </w:rPr>
        <w:t>个</w:t>
      </w:r>
      <w:r w:rsidRPr="00F9522B">
        <w:rPr>
          <w:rFonts w:eastAsiaTheme="minorEastAsia"/>
          <w:kern w:val="0"/>
          <w:sz w:val="24"/>
        </w:rPr>
        <w:t>1</w:t>
      </w:r>
      <w:r w:rsidRPr="00F9522B">
        <w:rPr>
          <w:rFonts w:eastAsiaTheme="minorEastAsia"/>
          <w:kern w:val="0"/>
          <w:sz w:val="24"/>
        </w:rPr>
        <w:t>方肥料桶。各地块肥料通过定量的方式进行控制，以此实现施肥系统的管理。肥料采用商品有机肥，符合</w:t>
      </w:r>
      <w:r w:rsidRPr="00F9522B">
        <w:rPr>
          <w:rFonts w:eastAsiaTheme="minorEastAsia"/>
          <w:sz w:val="24"/>
        </w:rPr>
        <w:t>《有机肥标准》（</w:t>
      </w:r>
      <w:r w:rsidRPr="00F9522B">
        <w:rPr>
          <w:rFonts w:eastAsiaTheme="minorEastAsia"/>
          <w:sz w:val="24"/>
        </w:rPr>
        <w:t>NY525-2021</w:t>
      </w:r>
      <w:r w:rsidRPr="00F9522B">
        <w:rPr>
          <w:rFonts w:eastAsiaTheme="minorEastAsia"/>
          <w:sz w:val="24"/>
        </w:rPr>
        <w:t>）</w:t>
      </w:r>
      <w:r w:rsidRPr="00F9522B">
        <w:rPr>
          <w:rFonts w:eastAsiaTheme="minorEastAsia"/>
          <w:kern w:val="0"/>
          <w:sz w:val="24"/>
        </w:rPr>
        <w:t>标准，不产生异味。项目建成</w:t>
      </w:r>
      <w:r w:rsidRPr="00F9522B">
        <w:rPr>
          <w:rFonts w:eastAsiaTheme="minorEastAsia"/>
          <w:bCs/>
          <w:kern w:val="0"/>
          <w:sz w:val="24"/>
        </w:rPr>
        <w:t>运营期水肥一体化系统由所在村屯日常使用和管理。</w:t>
      </w:r>
    </w:p>
    <w:p w:rsidR="002A5A5E" w:rsidRPr="00F9522B" w:rsidRDefault="00611CBA">
      <w:pPr>
        <w:autoSpaceDE w:val="0"/>
        <w:autoSpaceDN w:val="0"/>
        <w:spacing w:line="360" w:lineRule="auto"/>
        <w:ind w:firstLineChars="200" w:firstLine="480"/>
        <w:rPr>
          <w:rFonts w:eastAsiaTheme="minorEastAsia"/>
          <w:bCs/>
          <w:sz w:val="24"/>
        </w:rPr>
      </w:pPr>
      <w:r w:rsidRPr="00F9522B">
        <w:rPr>
          <w:rFonts w:eastAsiaTheme="minorEastAsia"/>
          <w:sz w:val="24"/>
        </w:rPr>
        <w:t>（</w:t>
      </w:r>
      <w:r w:rsidRPr="00F9522B">
        <w:rPr>
          <w:rFonts w:eastAsiaTheme="minorEastAsia"/>
          <w:sz w:val="24"/>
        </w:rPr>
        <w:t>3</w:t>
      </w:r>
      <w:r w:rsidRPr="00F9522B">
        <w:rPr>
          <w:rFonts w:eastAsiaTheme="minorEastAsia"/>
          <w:sz w:val="24"/>
        </w:rPr>
        <w:t>）</w:t>
      </w:r>
      <w:r w:rsidRPr="00F9522B">
        <w:rPr>
          <w:rFonts w:eastAsiaTheme="minorEastAsia"/>
          <w:bCs/>
          <w:sz w:val="24"/>
        </w:rPr>
        <w:t>灌溉渠道工程</w:t>
      </w:r>
    </w:p>
    <w:p w:rsidR="002A5A5E" w:rsidRPr="00F9522B" w:rsidRDefault="00611CBA">
      <w:pPr>
        <w:autoSpaceDE w:val="0"/>
        <w:autoSpaceDN w:val="0"/>
        <w:spacing w:line="360" w:lineRule="auto"/>
        <w:ind w:firstLineChars="200" w:firstLine="480"/>
        <w:rPr>
          <w:rFonts w:eastAsiaTheme="minorEastAsia"/>
          <w:sz w:val="24"/>
        </w:rPr>
      </w:pPr>
      <w:r w:rsidRPr="00F9522B">
        <w:rPr>
          <w:rFonts w:eastAsiaTheme="minorEastAsia"/>
          <w:sz w:val="24"/>
        </w:rPr>
        <w:t>本项目不改变项目区原有渠道布局，对项目区内灌溉渠道进行衬砌及修缮，</w:t>
      </w:r>
      <w:r w:rsidR="00775190" w:rsidRPr="00F9522B">
        <w:rPr>
          <w:rFonts w:eastAsiaTheme="minorEastAsia"/>
          <w:sz w:val="24"/>
        </w:rPr>
        <w:t>渠道衬砌</w:t>
      </w:r>
      <w:r w:rsidR="00775190" w:rsidRPr="00F9522B">
        <w:rPr>
          <w:rFonts w:eastAsiaTheme="minorEastAsia"/>
          <w:sz w:val="24"/>
        </w:rPr>
        <w:t>1.368km</w:t>
      </w:r>
      <w:r w:rsidRPr="00F9522B">
        <w:rPr>
          <w:rFonts w:eastAsiaTheme="minorEastAsia"/>
          <w:sz w:val="24"/>
        </w:rPr>
        <w:t>，对于流量较小、断面较小、交通不便、节省占地的渠道采用矩形槽衬砌型式，其余则采用预制砼板衬砌。</w:t>
      </w:r>
    </w:p>
    <w:p w:rsidR="002A5A5E" w:rsidRPr="00F9522B" w:rsidRDefault="00611CBA">
      <w:pPr>
        <w:autoSpaceDE w:val="0"/>
        <w:autoSpaceDN w:val="0"/>
        <w:spacing w:line="360" w:lineRule="auto"/>
        <w:ind w:firstLineChars="200" w:firstLine="480"/>
        <w:rPr>
          <w:rFonts w:eastAsiaTheme="minorEastAsia"/>
          <w:sz w:val="24"/>
        </w:rPr>
      </w:pPr>
      <w:r w:rsidRPr="00F9522B">
        <w:rPr>
          <w:rFonts w:eastAsiaTheme="minorEastAsia"/>
          <w:sz w:val="24"/>
        </w:rPr>
        <w:t>预制矩形槽渠道结构设计：渠道底宽小于</w:t>
      </w:r>
      <w:r w:rsidRPr="00F9522B">
        <w:rPr>
          <w:rFonts w:eastAsiaTheme="minorEastAsia"/>
          <w:sz w:val="24"/>
        </w:rPr>
        <w:t>2m</w:t>
      </w:r>
      <w:r w:rsidRPr="00F9522B">
        <w:rPr>
          <w:rFonts w:eastAsiaTheme="minorEastAsia"/>
          <w:sz w:val="24"/>
        </w:rPr>
        <w:t>，多数渠道旁没有道路，现浇混凝土运料、施工困难，采用预制矩形槽衬砌。本次设计采用型号为：</w:t>
      </w:r>
      <w:r w:rsidRPr="00F9522B">
        <w:rPr>
          <w:rFonts w:eastAsiaTheme="minorEastAsia"/>
          <w:sz w:val="24"/>
        </w:rPr>
        <w:t>UD400</w:t>
      </w:r>
      <w:r w:rsidRPr="00F9522B">
        <w:rPr>
          <w:rFonts w:eastAsiaTheme="minorEastAsia"/>
          <w:sz w:val="24"/>
        </w:rPr>
        <w:t>、</w:t>
      </w:r>
      <w:r w:rsidRPr="00F9522B">
        <w:rPr>
          <w:rFonts w:eastAsiaTheme="minorEastAsia"/>
          <w:sz w:val="24"/>
        </w:rPr>
        <w:t>UD600</w:t>
      </w:r>
      <w:r w:rsidRPr="00F9522B">
        <w:rPr>
          <w:rFonts w:eastAsiaTheme="minorEastAsia"/>
          <w:sz w:val="24"/>
        </w:rPr>
        <w:t>、</w:t>
      </w:r>
      <w:r w:rsidRPr="00F9522B">
        <w:rPr>
          <w:rFonts w:eastAsiaTheme="minorEastAsia"/>
          <w:sz w:val="24"/>
        </w:rPr>
        <w:t>UD1000</w:t>
      </w:r>
      <w:r w:rsidRPr="00F9522B">
        <w:rPr>
          <w:rFonts w:eastAsiaTheme="minorEastAsia"/>
          <w:sz w:val="24"/>
        </w:rPr>
        <w:t>预制装配式矩形槽。下设</w:t>
      </w:r>
      <w:r w:rsidRPr="00F9522B">
        <w:rPr>
          <w:rFonts w:eastAsiaTheme="minorEastAsia"/>
          <w:sz w:val="24"/>
        </w:rPr>
        <w:t>20cm</w:t>
      </w:r>
      <w:r w:rsidRPr="00F9522B">
        <w:rPr>
          <w:rFonts w:eastAsiaTheme="minorEastAsia"/>
          <w:sz w:val="24"/>
        </w:rPr>
        <w:t>砂垫层，采用遇水膨胀胶条止水，接口采用</w:t>
      </w:r>
      <w:r w:rsidRPr="00F9522B">
        <w:rPr>
          <w:rFonts w:eastAsiaTheme="minorEastAsia"/>
          <w:sz w:val="24"/>
        </w:rPr>
        <w:t>2cm</w:t>
      </w:r>
      <w:r w:rsidRPr="00F9522B">
        <w:rPr>
          <w:rFonts w:eastAsiaTheme="minorEastAsia"/>
          <w:sz w:val="24"/>
        </w:rPr>
        <w:t>硅酮耐候密封胶。</w:t>
      </w:r>
    </w:p>
    <w:p w:rsidR="002A5A5E" w:rsidRPr="00F9522B" w:rsidRDefault="00611CBA">
      <w:pPr>
        <w:autoSpaceDE w:val="0"/>
        <w:autoSpaceDN w:val="0"/>
        <w:spacing w:line="360" w:lineRule="auto"/>
        <w:ind w:firstLineChars="200" w:firstLine="480"/>
        <w:rPr>
          <w:rFonts w:eastAsiaTheme="minorEastAsia"/>
          <w:sz w:val="24"/>
        </w:rPr>
      </w:pPr>
      <w:r w:rsidRPr="00F9522B">
        <w:rPr>
          <w:rFonts w:eastAsiaTheme="minorEastAsia"/>
          <w:sz w:val="24"/>
        </w:rPr>
        <w:t>预制混凝土板衬砌结构设计：根据渠道实际情况采用</w:t>
      </w:r>
      <w:r w:rsidRPr="00F9522B">
        <w:rPr>
          <w:rFonts w:eastAsiaTheme="minorEastAsia"/>
          <w:sz w:val="24"/>
        </w:rPr>
        <w:t>10cm</w:t>
      </w:r>
      <w:r w:rsidRPr="00F9522B">
        <w:rPr>
          <w:rFonts w:eastAsiaTheme="minorEastAsia"/>
          <w:sz w:val="24"/>
        </w:rPr>
        <w:t>厚预制混凝土板</w:t>
      </w:r>
      <w:r w:rsidRPr="00F9522B">
        <w:rPr>
          <w:rFonts w:eastAsiaTheme="minorEastAsia"/>
          <w:sz w:val="24"/>
        </w:rPr>
        <w:lastRenderedPageBreak/>
        <w:t>（</w:t>
      </w:r>
      <w:r w:rsidRPr="00F9522B">
        <w:rPr>
          <w:rFonts w:eastAsiaTheme="minorEastAsia"/>
          <w:sz w:val="24"/>
        </w:rPr>
        <w:t>C30F200</w:t>
      </w:r>
      <w:r w:rsidRPr="00F9522B">
        <w:rPr>
          <w:rFonts w:eastAsiaTheme="minorEastAsia"/>
          <w:sz w:val="24"/>
        </w:rPr>
        <w:t>）作为保护层。</w:t>
      </w:r>
    </w:p>
    <w:p w:rsidR="002A5A5E" w:rsidRPr="00F9522B" w:rsidRDefault="00611CBA">
      <w:pPr>
        <w:autoSpaceDE w:val="0"/>
        <w:autoSpaceDN w:val="0"/>
        <w:spacing w:line="360" w:lineRule="auto"/>
        <w:ind w:firstLineChars="200" w:firstLine="480"/>
        <w:rPr>
          <w:rFonts w:eastAsiaTheme="minorEastAsia"/>
          <w:sz w:val="24"/>
        </w:rPr>
      </w:pPr>
      <w:r w:rsidRPr="00F9522B">
        <w:rPr>
          <w:rFonts w:eastAsiaTheme="minorEastAsia"/>
          <w:sz w:val="24"/>
        </w:rPr>
        <w:t>（</w:t>
      </w:r>
      <w:r w:rsidRPr="00F9522B">
        <w:rPr>
          <w:rFonts w:eastAsiaTheme="minorEastAsia"/>
          <w:sz w:val="24"/>
        </w:rPr>
        <w:t>4</w:t>
      </w:r>
      <w:r w:rsidR="00DB3B37" w:rsidRPr="00F9522B">
        <w:rPr>
          <w:rFonts w:eastAsiaTheme="minorEastAsia"/>
          <w:sz w:val="24"/>
        </w:rPr>
        <w:t>）排水沟清淤</w:t>
      </w:r>
    </w:p>
    <w:p w:rsidR="002A5A5E" w:rsidRPr="00F9522B" w:rsidRDefault="00611CBA">
      <w:pPr>
        <w:autoSpaceDE w:val="0"/>
        <w:autoSpaceDN w:val="0"/>
        <w:spacing w:line="360" w:lineRule="auto"/>
        <w:ind w:firstLineChars="200" w:firstLine="480"/>
        <w:rPr>
          <w:rFonts w:eastAsiaTheme="minorEastAsia"/>
          <w:color w:val="FF0000"/>
          <w:sz w:val="24"/>
        </w:rPr>
      </w:pPr>
      <w:r w:rsidRPr="00730492">
        <w:rPr>
          <w:rFonts w:eastAsiaTheme="minorEastAsia"/>
          <w:color w:val="FF0000"/>
          <w:sz w:val="24"/>
        </w:rPr>
        <w:t>本项目排水沟清淤总长度为</w:t>
      </w:r>
      <w:r w:rsidR="000037AB" w:rsidRPr="00730492">
        <w:rPr>
          <w:rFonts w:eastAsiaTheme="minorEastAsia"/>
          <w:color w:val="FF0000"/>
          <w:sz w:val="24"/>
        </w:rPr>
        <w:t>14.073km</w:t>
      </w:r>
      <w:r w:rsidRPr="00730492">
        <w:rPr>
          <w:rFonts w:eastAsiaTheme="minorEastAsia"/>
          <w:color w:val="FF0000"/>
          <w:sz w:val="24"/>
        </w:rPr>
        <w:t>，排水沟分布情况见附图</w:t>
      </w:r>
      <w:r w:rsidRPr="00730492">
        <w:rPr>
          <w:rFonts w:eastAsiaTheme="minorEastAsia"/>
          <w:color w:val="FF0000"/>
          <w:sz w:val="24"/>
        </w:rPr>
        <w:t>9</w:t>
      </w:r>
      <w:r w:rsidRPr="00730492">
        <w:rPr>
          <w:rFonts w:eastAsiaTheme="minorEastAsia"/>
          <w:color w:val="FF0000"/>
          <w:sz w:val="24"/>
        </w:rPr>
        <w:t>。</w:t>
      </w:r>
      <w:r w:rsidRPr="00730492">
        <w:rPr>
          <w:rFonts w:eastAsiaTheme="minorEastAsia"/>
          <w:snapToGrid w:val="0"/>
          <w:color w:val="FF0000"/>
          <w:kern w:val="0"/>
          <w:sz w:val="24"/>
        </w:rPr>
        <w:t>清淤深度</w:t>
      </w:r>
      <w:r w:rsidR="005510C6" w:rsidRPr="00730492">
        <w:rPr>
          <w:rFonts w:eastAsiaTheme="minorEastAsia"/>
          <w:snapToGrid w:val="0"/>
          <w:color w:val="FF0000"/>
          <w:kern w:val="0"/>
          <w:sz w:val="24"/>
        </w:rPr>
        <w:t>约为</w:t>
      </w:r>
      <w:r w:rsidR="005510C6" w:rsidRPr="00730492">
        <w:rPr>
          <w:rFonts w:eastAsiaTheme="minorEastAsia"/>
          <w:snapToGrid w:val="0"/>
          <w:color w:val="FF0000"/>
          <w:kern w:val="0"/>
          <w:sz w:val="24"/>
        </w:rPr>
        <w:t>18</w:t>
      </w:r>
      <w:r w:rsidR="005510C6" w:rsidRPr="00730492">
        <w:rPr>
          <w:rFonts w:eastAsiaTheme="minorEastAsia"/>
          <w:color w:val="FF0000"/>
          <w:sz w:val="24"/>
        </w:rPr>
        <w:t>cm</w:t>
      </w:r>
      <w:r w:rsidR="005510C6" w:rsidRPr="00730492">
        <w:rPr>
          <w:rFonts w:eastAsiaTheme="minorEastAsia"/>
          <w:color w:val="FF0000"/>
          <w:sz w:val="24"/>
        </w:rPr>
        <w:t>，宽度约为</w:t>
      </w:r>
      <w:r w:rsidR="005510C6" w:rsidRPr="00730492">
        <w:rPr>
          <w:rFonts w:eastAsiaTheme="minorEastAsia"/>
          <w:color w:val="FF0000"/>
          <w:sz w:val="24"/>
        </w:rPr>
        <w:t>1m</w:t>
      </w:r>
      <w:r w:rsidRPr="00730492">
        <w:rPr>
          <w:rFonts w:eastAsiaTheme="minorEastAsia"/>
          <w:snapToGrid w:val="0"/>
          <w:color w:val="FF0000"/>
          <w:kern w:val="0"/>
          <w:sz w:val="24"/>
        </w:rPr>
        <w:t>。</w:t>
      </w:r>
      <w:r w:rsidR="005510C6" w:rsidRPr="00730492">
        <w:rPr>
          <w:rFonts w:eastAsiaTheme="minorEastAsia"/>
          <w:snapToGrid w:val="0"/>
          <w:color w:val="FF0000"/>
          <w:kern w:val="0"/>
          <w:sz w:val="24"/>
        </w:rPr>
        <w:t>根据《呼兰区</w:t>
      </w:r>
      <w:r w:rsidR="005510C6" w:rsidRPr="00730492">
        <w:rPr>
          <w:rFonts w:eastAsiaTheme="minorEastAsia"/>
          <w:snapToGrid w:val="0"/>
          <w:color w:val="FF0000"/>
          <w:kern w:val="0"/>
          <w:sz w:val="24"/>
        </w:rPr>
        <w:t>2026</w:t>
      </w:r>
      <w:r w:rsidR="005510C6" w:rsidRPr="00730492">
        <w:rPr>
          <w:rFonts w:eastAsiaTheme="minorEastAsia"/>
          <w:snapToGrid w:val="0"/>
          <w:color w:val="FF0000"/>
          <w:kern w:val="0"/>
          <w:sz w:val="24"/>
        </w:rPr>
        <w:t>年高标准农田建设项目初步设计》，</w:t>
      </w:r>
      <w:r w:rsidR="005510C6" w:rsidRPr="00730492">
        <w:rPr>
          <w:rFonts w:eastAsiaTheme="minorEastAsia"/>
          <w:color w:val="FF0000"/>
          <w:sz w:val="24"/>
        </w:rPr>
        <w:t>总清淤土方约</w:t>
      </w:r>
      <w:r w:rsidR="005510C6" w:rsidRPr="00730492">
        <w:rPr>
          <w:rFonts w:eastAsiaTheme="minorEastAsia"/>
          <w:color w:val="FF0000"/>
          <w:sz w:val="24"/>
        </w:rPr>
        <w:t>2550m</w:t>
      </w:r>
      <w:r w:rsidR="005510C6" w:rsidRPr="00730492">
        <w:rPr>
          <w:rFonts w:eastAsiaTheme="minorEastAsia"/>
          <w:color w:val="FF0000"/>
          <w:sz w:val="24"/>
          <w:vertAlign w:val="superscript"/>
        </w:rPr>
        <w:t>3</w:t>
      </w:r>
      <w:r w:rsidR="005510C6" w:rsidRPr="00730492">
        <w:rPr>
          <w:rFonts w:eastAsiaTheme="minorEastAsia"/>
          <w:color w:val="FF0000"/>
          <w:sz w:val="24"/>
        </w:rPr>
        <w:t>，清淤采用挖掘机和人工结合的方式进行。</w:t>
      </w:r>
      <w:r w:rsidR="005510C6" w:rsidRPr="00730492">
        <w:rPr>
          <w:rFonts w:eastAsiaTheme="minorEastAsia"/>
          <w:bCs/>
          <w:color w:val="FF0000"/>
          <w:sz w:val="24"/>
        </w:rPr>
        <w:t>在枯水期施工，</w:t>
      </w:r>
      <w:r w:rsidR="005510C6" w:rsidRPr="00730492">
        <w:rPr>
          <w:rFonts w:eastAsiaTheme="minorEastAsia"/>
          <w:color w:val="FF0000"/>
          <w:sz w:val="24"/>
        </w:rPr>
        <w:t>排水沟淤泥</w:t>
      </w:r>
      <w:r w:rsidR="005510C6" w:rsidRPr="00730492">
        <w:rPr>
          <w:rFonts w:eastAsiaTheme="minorEastAsia"/>
          <w:bCs/>
          <w:color w:val="FF0000"/>
          <w:sz w:val="24"/>
        </w:rPr>
        <w:t>培至工程附近</w:t>
      </w:r>
      <w:r w:rsidR="005510C6" w:rsidRPr="00730492">
        <w:rPr>
          <w:rFonts w:eastAsiaTheme="minorEastAsia"/>
          <w:bCs/>
          <w:color w:val="FF0000"/>
          <w:sz w:val="24"/>
        </w:rPr>
        <w:t>200</w:t>
      </w:r>
      <w:r w:rsidR="005510C6" w:rsidRPr="00730492">
        <w:rPr>
          <w:rFonts w:eastAsiaTheme="minorEastAsia"/>
          <w:bCs/>
          <w:color w:val="FF0000"/>
          <w:sz w:val="24"/>
        </w:rPr>
        <w:t>米范围内无环境保护目标的排水沟两侧</w:t>
      </w:r>
      <w:r w:rsidR="005510C6" w:rsidRPr="00730492">
        <w:rPr>
          <w:rFonts w:eastAsiaTheme="minorEastAsia"/>
          <w:color w:val="FF0000"/>
          <w:sz w:val="24"/>
        </w:rPr>
        <w:t>。</w:t>
      </w:r>
      <w:r w:rsidRPr="00730492">
        <w:rPr>
          <w:rFonts w:eastAsiaTheme="minorEastAsia"/>
          <w:color w:val="FF0000"/>
          <w:kern w:val="10"/>
          <w:sz w:val="24"/>
          <w:szCs w:val="22"/>
        </w:rPr>
        <w:t>本项目排水沟底泥检测样品无重金属污染，底泥污染物均满足</w:t>
      </w:r>
      <w:r w:rsidR="00EE6E53" w:rsidRPr="00730492">
        <w:rPr>
          <w:rFonts w:eastAsiaTheme="minorEastAsia"/>
          <w:color w:val="FF0000"/>
          <w:kern w:val="10"/>
          <w:sz w:val="24"/>
          <w:szCs w:val="22"/>
        </w:rPr>
        <w:t>《土壤环境质量农用地土壤污染风险管控标准（试行）》（</w:t>
      </w:r>
      <w:r w:rsidR="00EE6E53" w:rsidRPr="00730492">
        <w:rPr>
          <w:rFonts w:eastAsiaTheme="minorEastAsia"/>
          <w:color w:val="FF0000"/>
          <w:kern w:val="10"/>
          <w:sz w:val="24"/>
          <w:szCs w:val="22"/>
        </w:rPr>
        <w:t>GB15618-2018</w:t>
      </w:r>
      <w:r w:rsidR="00EE6E53" w:rsidRPr="00730492">
        <w:rPr>
          <w:rFonts w:eastAsiaTheme="minorEastAsia"/>
          <w:color w:val="FF0000"/>
          <w:kern w:val="10"/>
          <w:sz w:val="24"/>
          <w:szCs w:val="22"/>
        </w:rPr>
        <w:t>）表</w:t>
      </w:r>
      <w:r w:rsidR="00EE6E53" w:rsidRPr="00730492">
        <w:rPr>
          <w:rFonts w:eastAsiaTheme="minorEastAsia"/>
          <w:color w:val="FF0000"/>
          <w:kern w:val="10"/>
          <w:sz w:val="24"/>
          <w:szCs w:val="22"/>
        </w:rPr>
        <w:t>1</w:t>
      </w:r>
      <w:r w:rsidR="00EE6E53" w:rsidRPr="00730492">
        <w:rPr>
          <w:rFonts w:eastAsiaTheme="minorEastAsia"/>
          <w:color w:val="FF0000"/>
          <w:kern w:val="10"/>
          <w:sz w:val="24"/>
          <w:szCs w:val="22"/>
        </w:rPr>
        <w:t>、表</w:t>
      </w:r>
      <w:r w:rsidR="00EE6E53" w:rsidRPr="00730492">
        <w:rPr>
          <w:rFonts w:eastAsiaTheme="minorEastAsia"/>
          <w:color w:val="FF0000"/>
          <w:kern w:val="10"/>
          <w:sz w:val="24"/>
          <w:szCs w:val="22"/>
        </w:rPr>
        <w:t>2</w:t>
      </w:r>
      <w:r w:rsidR="00EE6E53" w:rsidRPr="00730492">
        <w:rPr>
          <w:rFonts w:eastAsiaTheme="minorEastAsia"/>
          <w:color w:val="FF0000"/>
          <w:kern w:val="10"/>
          <w:sz w:val="24"/>
          <w:szCs w:val="22"/>
        </w:rPr>
        <w:t>中筛选值要求</w:t>
      </w:r>
      <w:r w:rsidRPr="00730492">
        <w:rPr>
          <w:rFonts w:eastAsiaTheme="minorEastAsia"/>
          <w:color w:val="FF0000"/>
          <w:kern w:val="10"/>
          <w:sz w:val="24"/>
          <w:szCs w:val="22"/>
        </w:rPr>
        <w:t>。</w:t>
      </w:r>
    </w:p>
    <w:p w:rsidR="002A5A5E" w:rsidRPr="00730492" w:rsidRDefault="00611CBA">
      <w:pPr>
        <w:autoSpaceDE w:val="0"/>
        <w:autoSpaceDN w:val="0"/>
        <w:spacing w:line="360" w:lineRule="auto"/>
        <w:ind w:firstLineChars="200" w:firstLine="480"/>
        <w:rPr>
          <w:rFonts w:eastAsiaTheme="minorEastAsia"/>
          <w:sz w:val="24"/>
        </w:rPr>
      </w:pPr>
      <w:r w:rsidRPr="00730492">
        <w:rPr>
          <w:rFonts w:eastAsiaTheme="minorEastAsia"/>
          <w:sz w:val="24"/>
        </w:rPr>
        <w:t>淤泥处置可行性：排水沟长度为</w:t>
      </w:r>
      <w:r w:rsidR="000037AB" w:rsidRPr="00730492">
        <w:rPr>
          <w:rFonts w:eastAsiaTheme="minorEastAsia"/>
          <w:sz w:val="24"/>
        </w:rPr>
        <w:t>14.073km</w:t>
      </w:r>
      <w:r w:rsidRPr="00730492">
        <w:rPr>
          <w:rFonts w:eastAsiaTheme="minorEastAsia"/>
          <w:sz w:val="24"/>
        </w:rPr>
        <w:t>，</w:t>
      </w:r>
      <w:r w:rsidR="00730492" w:rsidRPr="00730492">
        <w:rPr>
          <w:rFonts w:eastAsiaTheme="minorEastAsia" w:hint="eastAsia"/>
          <w:bCs/>
          <w:color w:val="FF0000"/>
          <w:sz w:val="24"/>
        </w:rPr>
        <w:t>排水沟淤泥培至工程附近</w:t>
      </w:r>
      <w:r w:rsidR="00730492" w:rsidRPr="00730492">
        <w:rPr>
          <w:rFonts w:eastAsiaTheme="minorEastAsia" w:hint="eastAsia"/>
          <w:bCs/>
          <w:color w:val="FF0000"/>
          <w:sz w:val="24"/>
        </w:rPr>
        <w:t>200</w:t>
      </w:r>
      <w:r w:rsidR="00730492" w:rsidRPr="00730492">
        <w:rPr>
          <w:rFonts w:eastAsiaTheme="minorEastAsia" w:hint="eastAsia"/>
          <w:bCs/>
          <w:color w:val="FF0000"/>
          <w:sz w:val="24"/>
        </w:rPr>
        <w:t>米范围内无环境保护目标的排水沟两侧</w:t>
      </w:r>
      <w:r w:rsidRPr="00730492">
        <w:rPr>
          <w:rFonts w:eastAsiaTheme="minorEastAsia"/>
          <w:sz w:val="24"/>
        </w:rPr>
        <w:t>侧各</w:t>
      </w:r>
      <w:r w:rsidRPr="00730492">
        <w:rPr>
          <w:rFonts w:eastAsiaTheme="minorEastAsia"/>
          <w:sz w:val="24"/>
        </w:rPr>
        <w:t>50cm</w:t>
      </w:r>
      <w:r w:rsidRPr="00730492">
        <w:rPr>
          <w:rFonts w:eastAsiaTheme="minorEastAsia"/>
          <w:sz w:val="24"/>
        </w:rPr>
        <w:t>，厚</w:t>
      </w:r>
      <w:r w:rsidRPr="00730492">
        <w:rPr>
          <w:rFonts w:eastAsiaTheme="minorEastAsia"/>
          <w:sz w:val="24"/>
        </w:rPr>
        <w:t>20cm</w:t>
      </w:r>
      <w:r w:rsidRPr="00730492">
        <w:rPr>
          <w:rFonts w:eastAsiaTheme="minorEastAsia"/>
          <w:sz w:val="24"/>
        </w:rPr>
        <w:t>，最大存放量约为</w:t>
      </w:r>
      <w:r w:rsidR="000037AB" w:rsidRPr="00730492">
        <w:rPr>
          <w:rFonts w:eastAsiaTheme="minorEastAsia"/>
          <w:sz w:val="24"/>
        </w:rPr>
        <w:t>2815</w:t>
      </w:r>
      <w:r w:rsidRPr="00730492">
        <w:rPr>
          <w:rFonts w:eastAsiaTheme="minorEastAsia"/>
          <w:sz w:val="24"/>
        </w:rPr>
        <w:t>m</w:t>
      </w:r>
      <w:r w:rsidRPr="00730492">
        <w:rPr>
          <w:rFonts w:eastAsiaTheme="minorEastAsia"/>
          <w:sz w:val="24"/>
          <w:vertAlign w:val="superscript"/>
        </w:rPr>
        <w:t>3</w:t>
      </w:r>
      <w:r w:rsidR="00730492" w:rsidRPr="00730492">
        <w:rPr>
          <w:rFonts w:eastAsiaTheme="minorEastAsia" w:hint="eastAsia"/>
          <w:sz w:val="24"/>
        </w:rPr>
        <w:t>，</w:t>
      </w:r>
      <w:r w:rsidRPr="00730492">
        <w:rPr>
          <w:rFonts w:eastAsiaTheme="minorEastAsia"/>
          <w:sz w:val="24"/>
        </w:rPr>
        <w:t>本项目总清淤土方</w:t>
      </w:r>
      <w:r w:rsidR="000037AB" w:rsidRPr="00730492">
        <w:rPr>
          <w:rFonts w:eastAsiaTheme="minorEastAsia"/>
          <w:sz w:val="24"/>
        </w:rPr>
        <w:t>255</w:t>
      </w:r>
      <w:r w:rsidRPr="00730492">
        <w:rPr>
          <w:rFonts w:eastAsiaTheme="minorEastAsia"/>
          <w:sz w:val="24"/>
        </w:rPr>
        <w:t>0m</w:t>
      </w:r>
      <w:r w:rsidRPr="00730492">
        <w:rPr>
          <w:rFonts w:eastAsiaTheme="minorEastAsia"/>
          <w:sz w:val="24"/>
          <w:vertAlign w:val="superscript"/>
        </w:rPr>
        <w:t>3</w:t>
      </w:r>
      <w:r w:rsidRPr="00730492">
        <w:rPr>
          <w:rFonts w:eastAsiaTheme="minorEastAsia"/>
          <w:sz w:val="24"/>
        </w:rPr>
        <w:t>，故处置可行。</w:t>
      </w:r>
    </w:p>
    <w:p w:rsidR="002A5A5E" w:rsidRPr="00F9522B" w:rsidRDefault="00611CBA">
      <w:pPr>
        <w:autoSpaceDE w:val="0"/>
        <w:autoSpaceDN w:val="0"/>
        <w:spacing w:line="360" w:lineRule="auto"/>
        <w:ind w:firstLineChars="200" w:firstLine="480"/>
        <w:rPr>
          <w:rFonts w:eastAsiaTheme="minorEastAsia"/>
          <w:sz w:val="24"/>
        </w:rPr>
      </w:pPr>
      <w:r w:rsidRPr="00F9522B">
        <w:rPr>
          <w:rFonts w:eastAsiaTheme="minorEastAsia"/>
          <w:sz w:val="24"/>
        </w:rPr>
        <w:t>（</w:t>
      </w:r>
      <w:r w:rsidRPr="00F9522B">
        <w:rPr>
          <w:rFonts w:eastAsiaTheme="minorEastAsia"/>
          <w:sz w:val="24"/>
        </w:rPr>
        <w:t>5</w:t>
      </w:r>
      <w:r w:rsidRPr="00F9522B">
        <w:rPr>
          <w:rFonts w:eastAsiaTheme="minorEastAsia"/>
          <w:sz w:val="24"/>
        </w:rPr>
        <w:t>）建筑物工程</w:t>
      </w:r>
    </w:p>
    <w:p w:rsidR="002A5A5E" w:rsidRPr="00F9522B" w:rsidRDefault="00611CBA">
      <w:pPr>
        <w:autoSpaceDE w:val="0"/>
        <w:autoSpaceDN w:val="0"/>
        <w:spacing w:line="360" w:lineRule="auto"/>
        <w:ind w:firstLineChars="200" w:firstLine="480"/>
        <w:rPr>
          <w:rFonts w:eastAsiaTheme="minorEastAsia"/>
          <w:sz w:val="24"/>
        </w:rPr>
      </w:pPr>
      <w:r w:rsidRPr="00F9522B">
        <w:rPr>
          <w:rFonts w:eastAsiaTheme="minorEastAsia"/>
          <w:sz w:val="24"/>
        </w:rPr>
        <w:t>本项目建设涵洞</w:t>
      </w:r>
      <w:r w:rsidR="005F21AE" w:rsidRPr="00F9522B">
        <w:rPr>
          <w:rFonts w:eastAsiaTheme="minorEastAsia"/>
          <w:sz w:val="24"/>
        </w:rPr>
        <w:t>707</w:t>
      </w:r>
      <w:r w:rsidRPr="00F9522B">
        <w:rPr>
          <w:rFonts w:eastAsiaTheme="minorEastAsia"/>
          <w:sz w:val="24"/>
        </w:rPr>
        <w:t>座（其中</w:t>
      </w:r>
      <w:r w:rsidR="000037AB" w:rsidRPr="00F9522B">
        <w:rPr>
          <w:rFonts w:eastAsiaTheme="minorEastAsia"/>
          <w:sz w:val="24"/>
        </w:rPr>
        <w:t>10</w:t>
      </w:r>
      <w:r w:rsidR="000037AB" w:rsidRPr="00F9522B">
        <w:rPr>
          <w:rFonts w:eastAsiaTheme="minorEastAsia"/>
          <w:sz w:val="24"/>
        </w:rPr>
        <w:t>座现有涵洞</w:t>
      </w:r>
      <w:r w:rsidRPr="00F9522B">
        <w:rPr>
          <w:rFonts w:eastAsiaTheme="minorEastAsia"/>
          <w:sz w:val="24"/>
        </w:rPr>
        <w:t>拆除重建），其中：圆涵</w:t>
      </w:r>
      <w:r w:rsidR="00FB5B36" w:rsidRPr="00F9522B">
        <w:rPr>
          <w:rFonts w:eastAsiaTheme="minorEastAsia"/>
          <w:sz w:val="24"/>
        </w:rPr>
        <w:t>222</w:t>
      </w:r>
      <w:r w:rsidRPr="00F9522B">
        <w:rPr>
          <w:rFonts w:eastAsiaTheme="minorEastAsia"/>
          <w:sz w:val="24"/>
        </w:rPr>
        <w:t>座、方涵</w:t>
      </w:r>
      <w:r w:rsidR="00FB5B36" w:rsidRPr="00F9522B">
        <w:rPr>
          <w:rFonts w:eastAsiaTheme="minorEastAsia"/>
          <w:sz w:val="24"/>
        </w:rPr>
        <w:t>91</w:t>
      </w:r>
      <w:r w:rsidRPr="00F9522B">
        <w:rPr>
          <w:rFonts w:eastAsiaTheme="minorEastAsia"/>
          <w:sz w:val="24"/>
        </w:rPr>
        <w:t>座、进地涵</w:t>
      </w:r>
      <w:r w:rsidR="00FB5B36" w:rsidRPr="00F9522B">
        <w:rPr>
          <w:rFonts w:eastAsiaTheme="minorEastAsia"/>
          <w:sz w:val="24"/>
        </w:rPr>
        <w:t>394</w:t>
      </w:r>
      <w:r w:rsidRPr="00F9522B">
        <w:rPr>
          <w:rFonts w:eastAsiaTheme="minorEastAsia"/>
          <w:sz w:val="24"/>
        </w:rPr>
        <w:t>座。新建过水路面</w:t>
      </w:r>
      <w:r w:rsidR="00990FF3" w:rsidRPr="00F9522B">
        <w:rPr>
          <w:rFonts w:eastAsiaTheme="minorEastAsia"/>
          <w:sz w:val="24"/>
        </w:rPr>
        <w:t>742</w:t>
      </w:r>
      <w:r w:rsidRPr="00F9522B">
        <w:rPr>
          <w:rFonts w:eastAsiaTheme="minorEastAsia"/>
          <w:sz w:val="24"/>
        </w:rPr>
        <w:t>座、</w:t>
      </w:r>
      <w:r w:rsidR="00990FF3" w:rsidRPr="00F9522B">
        <w:rPr>
          <w:rFonts w:eastAsiaTheme="minorEastAsia"/>
          <w:bCs/>
          <w:sz w:val="24"/>
        </w:rPr>
        <w:t>渡槽</w:t>
      </w:r>
      <w:r w:rsidR="00990FF3" w:rsidRPr="00F9522B">
        <w:rPr>
          <w:rFonts w:eastAsiaTheme="minorEastAsia"/>
          <w:bCs/>
          <w:sz w:val="24"/>
        </w:rPr>
        <w:t>1</w:t>
      </w:r>
      <w:r w:rsidRPr="00F9522B">
        <w:rPr>
          <w:rFonts w:eastAsiaTheme="minorEastAsia"/>
          <w:bCs/>
          <w:sz w:val="24"/>
        </w:rPr>
        <w:t>座</w:t>
      </w:r>
      <w:r w:rsidRPr="00F9522B">
        <w:rPr>
          <w:rFonts w:eastAsiaTheme="minorEastAsia"/>
          <w:sz w:val="24"/>
        </w:rPr>
        <w:t>。</w:t>
      </w:r>
      <w:r w:rsidR="00990FF3" w:rsidRPr="00F9522B">
        <w:rPr>
          <w:rFonts w:eastAsiaTheme="minorEastAsia"/>
          <w:bCs/>
          <w:sz w:val="24"/>
        </w:rPr>
        <w:t>渡槽</w:t>
      </w:r>
      <w:r w:rsidRPr="00F9522B">
        <w:rPr>
          <w:rFonts w:eastAsiaTheme="minorEastAsia"/>
          <w:sz w:val="24"/>
        </w:rPr>
        <w:t>位于现有支渠上，具体位置见附图</w:t>
      </w:r>
      <w:r w:rsidRPr="00F9522B">
        <w:rPr>
          <w:rFonts w:eastAsiaTheme="minorEastAsia"/>
          <w:sz w:val="24"/>
        </w:rPr>
        <w:t>9</w:t>
      </w:r>
      <w:r w:rsidRPr="00F9522B">
        <w:rPr>
          <w:rFonts w:eastAsiaTheme="minorEastAsia"/>
          <w:sz w:val="24"/>
        </w:rPr>
        <w:t>。</w:t>
      </w:r>
    </w:p>
    <w:p w:rsidR="002A5A5E" w:rsidRPr="00F9522B" w:rsidRDefault="00611CBA">
      <w:pPr>
        <w:autoSpaceDE w:val="0"/>
        <w:autoSpaceDN w:val="0"/>
        <w:spacing w:line="360" w:lineRule="auto"/>
        <w:ind w:firstLineChars="200" w:firstLine="480"/>
        <w:rPr>
          <w:rFonts w:eastAsiaTheme="minorEastAsia"/>
          <w:sz w:val="24"/>
        </w:rPr>
      </w:pPr>
      <w:r w:rsidRPr="00F9522B">
        <w:rPr>
          <w:rFonts w:eastAsiaTheme="minorEastAsia"/>
          <w:sz w:val="24"/>
        </w:rPr>
        <w:t>涵洞：</w:t>
      </w:r>
    </w:p>
    <w:p w:rsidR="002A5A5E" w:rsidRPr="00F9522B" w:rsidRDefault="00611CBA">
      <w:pPr>
        <w:autoSpaceDE w:val="0"/>
        <w:autoSpaceDN w:val="0"/>
        <w:spacing w:line="360" w:lineRule="auto"/>
        <w:ind w:firstLineChars="200" w:firstLine="480"/>
        <w:rPr>
          <w:rFonts w:eastAsiaTheme="minorEastAsia"/>
          <w:sz w:val="24"/>
        </w:rPr>
      </w:pPr>
      <w:r w:rsidRPr="00F9522B">
        <w:rPr>
          <w:rFonts w:ascii="宋体" w:hAnsi="宋体" w:cs="宋体" w:hint="eastAsia"/>
          <w:sz w:val="24"/>
        </w:rPr>
        <w:t>①</w:t>
      </w:r>
      <w:r w:rsidRPr="00F9522B">
        <w:rPr>
          <w:rFonts w:eastAsiaTheme="minorEastAsia"/>
          <w:sz w:val="24"/>
        </w:rPr>
        <w:t>设计参数</w:t>
      </w:r>
    </w:p>
    <w:p w:rsidR="002A5A5E" w:rsidRPr="00F9522B" w:rsidRDefault="00611CBA">
      <w:pPr>
        <w:autoSpaceDE w:val="0"/>
        <w:autoSpaceDN w:val="0"/>
        <w:spacing w:line="360" w:lineRule="auto"/>
        <w:ind w:firstLineChars="200" w:firstLine="480"/>
        <w:rPr>
          <w:rFonts w:eastAsiaTheme="minorEastAsia"/>
          <w:sz w:val="24"/>
        </w:rPr>
      </w:pPr>
      <w:r w:rsidRPr="00F9522B">
        <w:rPr>
          <w:rFonts w:eastAsiaTheme="minorEastAsia"/>
          <w:sz w:val="24"/>
        </w:rPr>
        <w:t>设计流量：采用</w:t>
      </w:r>
      <w:r w:rsidRPr="00F9522B">
        <w:rPr>
          <w:rFonts w:eastAsiaTheme="minorEastAsia"/>
          <w:sz w:val="24"/>
        </w:rPr>
        <w:t>10</w:t>
      </w:r>
      <w:r w:rsidRPr="00F9522B">
        <w:rPr>
          <w:rFonts w:eastAsiaTheme="minorEastAsia"/>
          <w:sz w:val="24"/>
        </w:rPr>
        <w:t>年一遇，</w:t>
      </w:r>
      <w:r w:rsidRPr="00F9522B">
        <w:rPr>
          <w:rFonts w:eastAsiaTheme="minorEastAsia"/>
          <w:sz w:val="24"/>
        </w:rPr>
        <w:t>1</w:t>
      </w:r>
      <w:r w:rsidRPr="00F9522B">
        <w:rPr>
          <w:rFonts w:eastAsiaTheme="minorEastAsia"/>
          <w:sz w:val="24"/>
        </w:rPr>
        <w:t>日暴雨</w:t>
      </w:r>
      <w:r w:rsidRPr="00F9522B">
        <w:rPr>
          <w:rFonts w:eastAsiaTheme="minorEastAsia"/>
          <w:sz w:val="24"/>
        </w:rPr>
        <w:t>2</w:t>
      </w:r>
      <w:r w:rsidRPr="00F9522B">
        <w:rPr>
          <w:rFonts w:eastAsiaTheme="minorEastAsia"/>
          <w:sz w:val="24"/>
        </w:rPr>
        <w:t>日排出</w:t>
      </w:r>
    </w:p>
    <w:p w:rsidR="002A5A5E" w:rsidRPr="00F9522B" w:rsidRDefault="00611CBA">
      <w:pPr>
        <w:autoSpaceDE w:val="0"/>
        <w:autoSpaceDN w:val="0"/>
        <w:spacing w:line="360" w:lineRule="auto"/>
        <w:ind w:firstLineChars="200" w:firstLine="480"/>
        <w:rPr>
          <w:rFonts w:eastAsiaTheme="minorEastAsia"/>
          <w:sz w:val="24"/>
        </w:rPr>
      </w:pPr>
      <w:r w:rsidRPr="00F9522B">
        <w:rPr>
          <w:rFonts w:eastAsiaTheme="minorEastAsia"/>
          <w:sz w:val="24"/>
        </w:rPr>
        <w:t>建筑物级别：主要建筑物级别为</w:t>
      </w:r>
      <w:r w:rsidRPr="00F9522B">
        <w:rPr>
          <w:rFonts w:eastAsiaTheme="minorEastAsia"/>
          <w:sz w:val="24"/>
        </w:rPr>
        <w:t>5</w:t>
      </w:r>
      <w:r w:rsidRPr="00F9522B">
        <w:rPr>
          <w:rFonts w:eastAsiaTheme="minorEastAsia"/>
          <w:sz w:val="24"/>
        </w:rPr>
        <w:t>级</w:t>
      </w:r>
    </w:p>
    <w:p w:rsidR="002A5A5E" w:rsidRPr="00F9522B" w:rsidRDefault="00611CBA">
      <w:pPr>
        <w:autoSpaceDE w:val="0"/>
        <w:autoSpaceDN w:val="0"/>
        <w:spacing w:line="360" w:lineRule="auto"/>
        <w:ind w:firstLineChars="200" w:firstLine="480"/>
        <w:rPr>
          <w:rFonts w:eastAsiaTheme="minorEastAsia"/>
          <w:sz w:val="24"/>
        </w:rPr>
      </w:pPr>
      <w:r w:rsidRPr="00F9522B">
        <w:rPr>
          <w:rFonts w:eastAsiaTheme="minorEastAsia"/>
          <w:sz w:val="24"/>
        </w:rPr>
        <w:t>汽车车辆荷载：公路</w:t>
      </w:r>
      <w:r w:rsidRPr="00F9522B">
        <w:rPr>
          <w:rFonts w:eastAsiaTheme="minorEastAsia"/>
          <w:sz w:val="24"/>
        </w:rPr>
        <w:t>Ⅱ</w:t>
      </w:r>
      <w:r w:rsidRPr="00F9522B">
        <w:rPr>
          <w:rFonts w:eastAsiaTheme="minorEastAsia"/>
          <w:sz w:val="24"/>
        </w:rPr>
        <w:t>级汽车荷载</w:t>
      </w:r>
    </w:p>
    <w:p w:rsidR="002A5A5E" w:rsidRPr="00F9522B" w:rsidRDefault="00611CBA">
      <w:pPr>
        <w:pStyle w:val="affffffffd"/>
        <w:numPr>
          <w:ilvl w:val="0"/>
          <w:numId w:val="10"/>
        </w:numPr>
        <w:autoSpaceDE w:val="0"/>
        <w:autoSpaceDN w:val="0"/>
        <w:spacing w:line="360" w:lineRule="auto"/>
        <w:ind w:firstLineChars="0"/>
        <w:rPr>
          <w:rFonts w:eastAsiaTheme="minorEastAsia"/>
          <w:sz w:val="24"/>
        </w:rPr>
      </w:pPr>
      <w:r w:rsidRPr="00F9522B">
        <w:rPr>
          <w:rFonts w:eastAsiaTheme="minorEastAsia"/>
          <w:sz w:val="24"/>
        </w:rPr>
        <w:t>设计规模</w:t>
      </w:r>
    </w:p>
    <w:p w:rsidR="002A5A5E" w:rsidRPr="00F9522B" w:rsidRDefault="00FB5B36">
      <w:pPr>
        <w:autoSpaceDE w:val="0"/>
        <w:autoSpaceDN w:val="0"/>
        <w:spacing w:line="360" w:lineRule="auto"/>
        <w:ind w:firstLineChars="200" w:firstLine="480"/>
        <w:rPr>
          <w:rFonts w:eastAsiaTheme="minorEastAsia"/>
          <w:kern w:val="0"/>
          <w:sz w:val="24"/>
          <w:szCs w:val="20"/>
        </w:rPr>
      </w:pPr>
      <w:r w:rsidRPr="00F9522B">
        <w:rPr>
          <w:rFonts w:eastAsiaTheme="minorEastAsia"/>
          <w:sz w:val="24"/>
        </w:rPr>
        <w:t>圆涵</w:t>
      </w:r>
      <w:r w:rsidRPr="00F9522B">
        <w:rPr>
          <w:rFonts w:eastAsiaTheme="minorEastAsia"/>
          <w:sz w:val="24"/>
        </w:rPr>
        <w:t>222</w:t>
      </w:r>
      <w:r w:rsidRPr="00F9522B">
        <w:rPr>
          <w:rFonts w:eastAsiaTheme="minorEastAsia"/>
          <w:sz w:val="24"/>
        </w:rPr>
        <w:t>座、方涵</w:t>
      </w:r>
      <w:r w:rsidRPr="00F9522B">
        <w:rPr>
          <w:rFonts w:eastAsiaTheme="minorEastAsia"/>
          <w:sz w:val="24"/>
        </w:rPr>
        <w:t>91</w:t>
      </w:r>
      <w:r w:rsidRPr="00F9522B">
        <w:rPr>
          <w:rFonts w:eastAsiaTheme="minorEastAsia"/>
          <w:sz w:val="24"/>
        </w:rPr>
        <w:t>座、进地涵</w:t>
      </w:r>
      <w:r w:rsidRPr="00F9522B">
        <w:rPr>
          <w:rFonts w:eastAsiaTheme="minorEastAsia"/>
          <w:sz w:val="24"/>
        </w:rPr>
        <w:t>394</w:t>
      </w:r>
      <w:r w:rsidRPr="00F9522B">
        <w:rPr>
          <w:rFonts w:eastAsiaTheme="minorEastAsia"/>
          <w:sz w:val="24"/>
        </w:rPr>
        <w:t>座</w:t>
      </w:r>
      <w:r w:rsidR="00611CBA" w:rsidRPr="00F9522B">
        <w:rPr>
          <w:rFonts w:eastAsiaTheme="minorEastAsia"/>
          <w:kern w:val="0"/>
          <w:sz w:val="24"/>
          <w:szCs w:val="20"/>
        </w:rPr>
        <w:t>。</w:t>
      </w:r>
    </w:p>
    <w:p w:rsidR="002A5A5E" w:rsidRPr="00F9522B" w:rsidRDefault="00611CBA">
      <w:pPr>
        <w:autoSpaceDE w:val="0"/>
        <w:autoSpaceDN w:val="0"/>
        <w:spacing w:line="360" w:lineRule="auto"/>
        <w:ind w:firstLineChars="200" w:firstLine="480"/>
        <w:rPr>
          <w:rFonts w:eastAsiaTheme="minorEastAsia"/>
          <w:sz w:val="24"/>
        </w:rPr>
      </w:pPr>
      <w:r w:rsidRPr="00F9522B">
        <w:rPr>
          <w:rFonts w:ascii="宋体" w:hAnsi="宋体" w:cs="宋体" w:hint="eastAsia"/>
          <w:sz w:val="24"/>
        </w:rPr>
        <w:t>③</w:t>
      </w:r>
      <w:r w:rsidRPr="00F9522B">
        <w:rPr>
          <w:rFonts w:eastAsiaTheme="minorEastAsia"/>
          <w:sz w:val="24"/>
        </w:rPr>
        <w:t>结构形式和尺寸</w:t>
      </w:r>
    </w:p>
    <w:p w:rsidR="002A5A5E" w:rsidRPr="00F9522B" w:rsidRDefault="00FB5B36" w:rsidP="00FB5B36">
      <w:pPr>
        <w:adjustRightInd w:val="0"/>
        <w:spacing w:line="360" w:lineRule="auto"/>
        <w:ind w:firstLineChars="200" w:firstLine="480"/>
        <w:rPr>
          <w:rFonts w:eastAsiaTheme="minorEastAsia"/>
          <w:bCs/>
          <w:sz w:val="24"/>
        </w:rPr>
      </w:pPr>
      <w:r w:rsidRPr="00F9522B">
        <w:rPr>
          <w:rFonts w:eastAsiaTheme="minorEastAsia"/>
          <w:bCs/>
          <w:sz w:val="24"/>
        </w:rPr>
        <w:t>圆涵由进出口挡土墙和洞身段组成，圆涵进出口挡土墙为一字形结构，厚</w:t>
      </w:r>
      <w:r w:rsidRPr="00F9522B">
        <w:rPr>
          <w:rFonts w:eastAsiaTheme="minorEastAsia"/>
          <w:bCs/>
          <w:sz w:val="24"/>
        </w:rPr>
        <w:t>0.30m</w:t>
      </w:r>
      <w:r w:rsidRPr="00F9522B">
        <w:rPr>
          <w:rFonts w:eastAsiaTheme="minorEastAsia"/>
          <w:bCs/>
          <w:sz w:val="24"/>
        </w:rPr>
        <w:t>，埋深</w:t>
      </w:r>
      <w:r w:rsidRPr="00F9522B">
        <w:rPr>
          <w:rFonts w:eastAsiaTheme="minorEastAsia"/>
          <w:bCs/>
          <w:sz w:val="24"/>
        </w:rPr>
        <w:t>0.5m</w:t>
      </w:r>
      <w:r w:rsidRPr="00F9522B">
        <w:rPr>
          <w:rFonts w:eastAsiaTheme="minorEastAsia"/>
          <w:bCs/>
          <w:sz w:val="24"/>
        </w:rPr>
        <w:t>。洞身段由钢筋混凝土管构成，每节长</w:t>
      </w:r>
      <w:r w:rsidRPr="00F9522B">
        <w:rPr>
          <w:rFonts w:eastAsiaTheme="minorEastAsia"/>
          <w:bCs/>
          <w:sz w:val="24"/>
        </w:rPr>
        <w:t>2m</w:t>
      </w:r>
      <w:r w:rsidRPr="00F9522B">
        <w:rPr>
          <w:rFonts w:eastAsiaTheme="minorEastAsia"/>
          <w:bCs/>
          <w:sz w:val="24"/>
        </w:rPr>
        <w:t>，采用国标</w:t>
      </w:r>
      <w:r w:rsidRPr="00F9522B">
        <w:rPr>
          <w:rFonts w:eastAsiaTheme="minorEastAsia"/>
          <w:bCs/>
          <w:sz w:val="24"/>
        </w:rPr>
        <w:t>Ⅱ</w:t>
      </w:r>
      <w:r w:rsidRPr="00F9522B">
        <w:rPr>
          <w:rFonts w:eastAsiaTheme="minorEastAsia"/>
          <w:bCs/>
          <w:sz w:val="24"/>
        </w:rPr>
        <w:t>级涵管，涵管下垫</w:t>
      </w:r>
      <w:r w:rsidRPr="00F9522B">
        <w:rPr>
          <w:rFonts w:eastAsiaTheme="minorEastAsia"/>
          <w:bCs/>
          <w:sz w:val="24"/>
        </w:rPr>
        <w:t>0.5m</w:t>
      </w:r>
      <w:r w:rsidRPr="00F9522B">
        <w:rPr>
          <w:rFonts w:eastAsiaTheme="minorEastAsia"/>
          <w:bCs/>
          <w:sz w:val="24"/>
        </w:rPr>
        <w:t>钢筋混凝土基础，与进出口挡土墙采用刚性连接。为防止基础冻胀，基础下铺设</w:t>
      </w:r>
      <w:r w:rsidRPr="00F9522B">
        <w:rPr>
          <w:rFonts w:eastAsiaTheme="minorEastAsia"/>
          <w:bCs/>
          <w:sz w:val="24"/>
        </w:rPr>
        <w:t>0.1mC20</w:t>
      </w:r>
      <w:r w:rsidRPr="00F9522B">
        <w:rPr>
          <w:rFonts w:eastAsiaTheme="minorEastAsia"/>
          <w:bCs/>
          <w:sz w:val="24"/>
        </w:rPr>
        <w:t>素混凝土垫层和</w:t>
      </w:r>
      <w:r w:rsidRPr="00F9522B">
        <w:rPr>
          <w:rFonts w:eastAsiaTheme="minorEastAsia"/>
          <w:bCs/>
          <w:sz w:val="24"/>
        </w:rPr>
        <w:t>0.50m</w:t>
      </w:r>
      <w:r w:rsidRPr="00F9522B">
        <w:rPr>
          <w:rFonts w:eastAsiaTheme="minorEastAsia"/>
          <w:bCs/>
          <w:sz w:val="24"/>
        </w:rPr>
        <w:t>水撼砂。涵顶上回填土毛石不小于</w:t>
      </w:r>
      <w:r w:rsidRPr="00F9522B">
        <w:rPr>
          <w:rFonts w:eastAsiaTheme="minorEastAsia"/>
          <w:bCs/>
          <w:sz w:val="24"/>
        </w:rPr>
        <w:t>0.4m</w:t>
      </w:r>
      <w:r w:rsidRPr="00F9522B">
        <w:rPr>
          <w:rFonts w:eastAsiaTheme="minorEastAsia"/>
          <w:bCs/>
          <w:sz w:val="24"/>
        </w:rPr>
        <w:t>，涵洞与两侧路面衔接的引道坡比不大于</w:t>
      </w:r>
      <w:r w:rsidRPr="00F9522B">
        <w:rPr>
          <w:rFonts w:eastAsiaTheme="minorEastAsia"/>
          <w:bCs/>
          <w:sz w:val="24"/>
        </w:rPr>
        <w:t>5%</w:t>
      </w:r>
      <w:r w:rsidRPr="00F9522B">
        <w:rPr>
          <w:rFonts w:eastAsiaTheme="minorEastAsia"/>
          <w:bCs/>
          <w:sz w:val="24"/>
        </w:rPr>
        <w:t>。进出口护砌各</w:t>
      </w:r>
      <w:r w:rsidRPr="00F9522B">
        <w:rPr>
          <w:rFonts w:eastAsiaTheme="minorEastAsia"/>
          <w:bCs/>
          <w:sz w:val="24"/>
        </w:rPr>
        <w:t>4m</w:t>
      </w:r>
      <w:r w:rsidRPr="00F9522B">
        <w:rPr>
          <w:rFonts w:eastAsiaTheme="minorEastAsia"/>
          <w:bCs/>
          <w:sz w:val="24"/>
        </w:rPr>
        <w:t>长，采用</w:t>
      </w:r>
      <w:r w:rsidRPr="00F9522B">
        <w:rPr>
          <w:rFonts w:eastAsiaTheme="minorEastAsia"/>
          <w:bCs/>
          <w:sz w:val="24"/>
        </w:rPr>
        <w:t>23cm</w:t>
      </w:r>
      <w:r w:rsidRPr="00F9522B">
        <w:rPr>
          <w:rFonts w:eastAsiaTheme="minorEastAsia"/>
          <w:bCs/>
          <w:sz w:val="24"/>
        </w:rPr>
        <w:t>雷诺护垫，下设</w:t>
      </w:r>
      <w:r w:rsidRPr="00F9522B">
        <w:rPr>
          <w:rFonts w:eastAsiaTheme="minorEastAsia"/>
          <w:bCs/>
          <w:sz w:val="24"/>
        </w:rPr>
        <w:t>10cm</w:t>
      </w:r>
      <w:r w:rsidRPr="00F9522B">
        <w:rPr>
          <w:rFonts w:eastAsiaTheme="minorEastAsia"/>
          <w:bCs/>
          <w:sz w:val="24"/>
        </w:rPr>
        <w:t>砂砾石垫层，无纺布一层，两侧压顶各</w:t>
      </w:r>
      <w:r w:rsidRPr="00F9522B">
        <w:rPr>
          <w:rFonts w:eastAsiaTheme="minorEastAsia"/>
          <w:bCs/>
          <w:sz w:val="24"/>
        </w:rPr>
        <w:t>30cm</w:t>
      </w:r>
      <w:r w:rsidRPr="00F9522B">
        <w:rPr>
          <w:rFonts w:eastAsiaTheme="minorEastAsia"/>
          <w:bCs/>
          <w:sz w:val="24"/>
        </w:rPr>
        <w:t>，</w:t>
      </w:r>
      <w:r w:rsidRPr="00F9522B">
        <w:rPr>
          <w:rFonts w:eastAsiaTheme="minorEastAsia"/>
          <w:bCs/>
          <w:sz w:val="24"/>
        </w:rPr>
        <w:lastRenderedPageBreak/>
        <w:t>全断面采用格宾石笼固脚（</w:t>
      </w:r>
      <w:r w:rsidRPr="00F9522B">
        <w:rPr>
          <w:rFonts w:eastAsiaTheme="minorEastAsia"/>
          <w:bCs/>
          <w:sz w:val="24"/>
        </w:rPr>
        <w:t>50cm×80cm</w:t>
      </w:r>
      <w:r w:rsidRPr="00F9522B">
        <w:rPr>
          <w:rFonts w:eastAsiaTheme="minorEastAsia"/>
          <w:bCs/>
          <w:sz w:val="24"/>
        </w:rPr>
        <w:t>）</w:t>
      </w:r>
      <w:r w:rsidR="00611CBA" w:rsidRPr="00F9522B">
        <w:rPr>
          <w:rFonts w:eastAsiaTheme="minorEastAsia"/>
          <w:bCs/>
          <w:sz w:val="24"/>
        </w:rPr>
        <w:t>。</w:t>
      </w:r>
    </w:p>
    <w:p w:rsidR="002A5A5E" w:rsidRPr="00F9522B" w:rsidRDefault="00FB5B36" w:rsidP="00FB5B36">
      <w:pPr>
        <w:adjustRightInd w:val="0"/>
        <w:spacing w:line="360" w:lineRule="auto"/>
        <w:ind w:firstLineChars="200" w:firstLine="480"/>
        <w:rPr>
          <w:rFonts w:eastAsiaTheme="minorEastAsia"/>
          <w:bCs/>
          <w:sz w:val="24"/>
        </w:rPr>
      </w:pPr>
      <w:r w:rsidRPr="00F9522B">
        <w:rPr>
          <w:rFonts w:eastAsiaTheme="minorEastAsia"/>
          <w:bCs/>
          <w:sz w:val="24"/>
        </w:rPr>
        <w:t>方涵由进出口挡土墙和洞身段组成，进出口挡土墙为一字形结构，厚</w:t>
      </w:r>
      <w:r w:rsidRPr="00F9522B">
        <w:rPr>
          <w:rFonts w:eastAsiaTheme="minorEastAsia"/>
          <w:bCs/>
          <w:sz w:val="24"/>
        </w:rPr>
        <w:t>0.4m</w:t>
      </w:r>
      <w:r w:rsidRPr="00F9522B">
        <w:rPr>
          <w:rFonts w:eastAsiaTheme="minorEastAsia"/>
          <w:bCs/>
          <w:sz w:val="24"/>
        </w:rPr>
        <w:t>，墙基础埋深</w:t>
      </w:r>
      <w:r w:rsidRPr="00F9522B">
        <w:rPr>
          <w:rFonts w:eastAsiaTheme="minorEastAsia"/>
          <w:bCs/>
          <w:sz w:val="24"/>
        </w:rPr>
        <w:t>0.8m</w:t>
      </w:r>
      <w:r w:rsidRPr="00F9522B">
        <w:rPr>
          <w:rFonts w:eastAsiaTheme="minorEastAsia"/>
          <w:bCs/>
          <w:sz w:val="24"/>
        </w:rPr>
        <w:t>。方涵底板、侧墙和顶板均为</w:t>
      </w:r>
      <w:r w:rsidRPr="00F9522B">
        <w:rPr>
          <w:rFonts w:eastAsiaTheme="minorEastAsia"/>
          <w:bCs/>
          <w:sz w:val="24"/>
        </w:rPr>
        <w:t>0.4m</w:t>
      </w:r>
      <w:r w:rsidRPr="00F9522B">
        <w:rPr>
          <w:rFonts w:eastAsiaTheme="minorEastAsia"/>
          <w:bCs/>
          <w:sz w:val="24"/>
        </w:rPr>
        <w:t>厚。为防止基础冻胀，基础下铺设</w:t>
      </w:r>
      <w:r w:rsidRPr="00F9522B">
        <w:rPr>
          <w:rFonts w:eastAsiaTheme="minorEastAsia"/>
          <w:bCs/>
          <w:sz w:val="24"/>
        </w:rPr>
        <w:t>0.1mC20</w:t>
      </w:r>
      <w:r w:rsidRPr="00F9522B">
        <w:rPr>
          <w:rFonts w:eastAsiaTheme="minorEastAsia"/>
          <w:bCs/>
          <w:sz w:val="24"/>
        </w:rPr>
        <w:t>素混凝土垫层和</w:t>
      </w:r>
      <w:r w:rsidRPr="00F9522B">
        <w:rPr>
          <w:rFonts w:eastAsiaTheme="minorEastAsia"/>
          <w:bCs/>
          <w:sz w:val="24"/>
        </w:rPr>
        <w:t>0.50m</w:t>
      </w:r>
      <w:r w:rsidRPr="00F9522B">
        <w:rPr>
          <w:rFonts w:eastAsiaTheme="minorEastAsia"/>
          <w:bCs/>
          <w:sz w:val="24"/>
        </w:rPr>
        <w:t>水撼砂，挡土墙侧墙外铺设保温板。涵顶上回填土毛石不小于</w:t>
      </w:r>
      <w:r w:rsidRPr="00F9522B">
        <w:rPr>
          <w:rFonts w:eastAsiaTheme="minorEastAsia"/>
          <w:bCs/>
          <w:sz w:val="24"/>
        </w:rPr>
        <w:t>0.4m</w:t>
      </w:r>
      <w:r w:rsidRPr="00F9522B">
        <w:rPr>
          <w:rFonts w:eastAsiaTheme="minorEastAsia"/>
          <w:bCs/>
          <w:sz w:val="24"/>
        </w:rPr>
        <w:t>，涵洞与两侧路面衔接的引道坡比不大于</w:t>
      </w:r>
      <w:r w:rsidRPr="00F9522B">
        <w:rPr>
          <w:rFonts w:eastAsiaTheme="minorEastAsia"/>
          <w:bCs/>
          <w:sz w:val="24"/>
        </w:rPr>
        <w:t>5%</w:t>
      </w:r>
      <w:r w:rsidRPr="00F9522B">
        <w:rPr>
          <w:rFonts w:eastAsiaTheme="minorEastAsia"/>
          <w:bCs/>
          <w:sz w:val="24"/>
        </w:rPr>
        <w:t>。进出口护砌各</w:t>
      </w:r>
      <w:r w:rsidRPr="00F9522B">
        <w:rPr>
          <w:rFonts w:eastAsiaTheme="minorEastAsia"/>
          <w:bCs/>
          <w:sz w:val="24"/>
        </w:rPr>
        <w:t>4m</w:t>
      </w:r>
      <w:r w:rsidRPr="00F9522B">
        <w:rPr>
          <w:rFonts w:eastAsiaTheme="minorEastAsia"/>
          <w:bCs/>
          <w:sz w:val="24"/>
        </w:rPr>
        <w:t>长，采用</w:t>
      </w:r>
      <w:r w:rsidRPr="00F9522B">
        <w:rPr>
          <w:rFonts w:eastAsiaTheme="minorEastAsia"/>
          <w:bCs/>
          <w:sz w:val="24"/>
        </w:rPr>
        <w:t>23cm</w:t>
      </w:r>
      <w:r w:rsidRPr="00F9522B">
        <w:rPr>
          <w:rFonts w:eastAsiaTheme="minorEastAsia"/>
          <w:bCs/>
          <w:sz w:val="24"/>
        </w:rPr>
        <w:t>雷诺护垫，下设</w:t>
      </w:r>
      <w:r w:rsidRPr="00F9522B">
        <w:rPr>
          <w:rFonts w:eastAsiaTheme="minorEastAsia"/>
          <w:bCs/>
          <w:sz w:val="24"/>
        </w:rPr>
        <w:t>10cm</w:t>
      </w:r>
      <w:r w:rsidRPr="00F9522B">
        <w:rPr>
          <w:rFonts w:eastAsiaTheme="minorEastAsia"/>
          <w:bCs/>
          <w:sz w:val="24"/>
        </w:rPr>
        <w:t>砂砾石垫层，无纺布一层，两侧压顶各</w:t>
      </w:r>
      <w:r w:rsidRPr="00F9522B">
        <w:rPr>
          <w:rFonts w:eastAsiaTheme="minorEastAsia"/>
          <w:bCs/>
          <w:sz w:val="24"/>
        </w:rPr>
        <w:t>50cm</w:t>
      </w:r>
      <w:r w:rsidRPr="00F9522B">
        <w:rPr>
          <w:rFonts w:eastAsiaTheme="minorEastAsia"/>
          <w:bCs/>
          <w:sz w:val="24"/>
        </w:rPr>
        <w:t>，全断面采用格宾石笼固脚（</w:t>
      </w:r>
      <w:r w:rsidRPr="00F9522B">
        <w:rPr>
          <w:rFonts w:eastAsiaTheme="minorEastAsia"/>
          <w:bCs/>
          <w:sz w:val="24"/>
        </w:rPr>
        <w:t>50cm×80cm</w:t>
      </w:r>
      <w:r w:rsidRPr="00F9522B">
        <w:rPr>
          <w:rFonts w:eastAsiaTheme="minorEastAsia"/>
          <w:bCs/>
          <w:sz w:val="24"/>
        </w:rPr>
        <w:t>）</w:t>
      </w:r>
      <w:r w:rsidR="00611CBA" w:rsidRPr="00F9522B">
        <w:rPr>
          <w:rFonts w:eastAsiaTheme="minorEastAsia"/>
          <w:bCs/>
          <w:sz w:val="24"/>
        </w:rPr>
        <w:t>。</w:t>
      </w:r>
    </w:p>
    <w:p w:rsidR="002A5A5E" w:rsidRPr="00F9522B" w:rsidRDefault="00611CBA">
      <w:pPr>
        <w:adjustRightInd w:val="0"/>
        <w:spacing w:line="360" w:lineRule="auto"/>
        <w:ind w:firstLineChars="200" w:firstLine="480"/>
        <w:rPr>
          <w:rFonts w:eastAsiaTheme="minorEastAsia"/>
          <w:bCs/>
          <w:sz w:val="24"/>
        </w:rPr>
      </w:pPr>
      <w:r w:rsidRPr="00F9522B">
        <w:rPr>
          <w:rFonts w:eastAsiaTheme="minorEastAsia"/>
          <w:bCs/>
          <w:sz w:val="24"/>
        </w:rPr>
        <w:t>过水路面：</w:t>
      </w:r>
    </w:p>
    <w:p w:rsidR="002A5A5E" w:rsidRPr="00F9522B" w:rsidRDefault="00611CBA">
      <w:pPr>
        <w:adjustRightInd w:val="0"/>
        <w:spacing w:line="360" w:lineRule="auto"/>
        <w:ind w:firstLineChars="200" w:firstLine="480"/>
        <w:rPr>
          <w:rFonts w:eastAsiaTheme="minorEastAsia"/>
          <w:bCs/>
          <w:sz w:val="24"/>
        </w:rPr>
      </w:pPr>
      <w:r w:rsidRPr="00F9522B">
        <w:rPr>
          <w:rFonts w:eastAsiaTheme="minorEastAsia"/>
          <w:bCs/>
          <w:sz w:val="24"/>
        </w:rPr>
        <w:t>过水路面上下游均为坡耕地，下游若有排水沟道，汇水水流经过现有道路流入下游排水沟道，下游若无排水沟道，仍散排至田间。因此需设置过水路面，长度根据过水流量及水深设计为</w:t>
      </w:r>
      <w:r w:rsidRPr="00F9522B">
        <w:rPr>
          <w:rFonts w:eastAsiaTheme="minorEastAsia"/>
          <w:bCs/>
          <w:sz w:val="24"/>
        </w:rPr>
        <w:t>30</w:t>
      </w:r>
      <w:r w:rsidRPr="00F9522B">
        <w:rPr>
          <w:rFonts w:eastAsiaTheme="minorEastAsia"/>
          <w:bCs/>
          <w:sz w:val="24"/>
        </w:rPr>
        <w:t>～</w:t>
      </w:r>
      <w:r w:rsidRPr="00F9522B">
        <w:rPr>
          <w:rFonts w:eastAsiaTheme="minorEastAsia"/>
          <w:bCs/>
          <w:sz w:val="24"/>
        </w:rPr>
        <w:t>120m</w:t>
      </w:r>
      <w:r w:rsidRPr="00F9522B">
        <w:rPr>
          <w:rFonts w:eastAsiaTheme="minorEastAsia"/>
          <w:bCs/>
          <w:sz w:val="24"/>
        </w:rPr>
        <w:t>。过水路面宽度以不低于现有路面宽度为原则，项目区共布置过水路面</w:t>
      </w:r>
      <w:r w:rsidR="00FB5B36" w:rsidRPr="00F9522B">
        <w:rPr>
          <w:rFonts w:eastAsiaTheme="minorEastAsia"/>
          <w:bCs/>
          <w:sz w:val="24"/>
        </w:rPr>
        <w:t>742</w:t>
      </w:r>
      <w:r w:rsidRPr="00F9522B">
        <w:rPr>
          <w:rFonts w:eastAsiaTheme="minorEastAsia"/>
          <w:bCs/>
          <w:sz w:val="24"/>
        </w:rPr>
        <w:t>座，过水路面结构自上而下为</w:t>
      </w:r>
      <w:r w:rsidRPr="00F9522B">
        <w:rPr>
          <w:rFonts w:eastAsiaTheme="minorEastAsia"/>
          <w:bCs/>
          <w:sz w:val="24"/>
        </w:rPr>
        <w:t>22cm</w:t>
      </w:r>
      <w:r w:rsidRPr="00F9522B">
        <w:rPr>
          <w:rFonts w:eastAsiaTheme="minorEastAsia"/>
          <w:bCs/>
          <w:sz w:val="24"/>
        </w:rPr>
        <w:t>混凝土面层，下铺</w:t>
      </w:r>
      <w:r w:rsidRPr="00F9522B">
        <w:rPr>
          <w:rFonts w:eastAsiaTheme="minorEastAsia"/>
          <w:bCs/>
          <w:sz w:val="24"/>
        </w:rPr>
        <w:t>50cm</w:t>
      </w:r>
      <w:r w:rsidRPr="00F9522B">
        <w:rPr>
          <w:rFonts w:eastAsiaTheme="minorEastAsia"/>
          <w:bCs/>
          <w:sz w:val="24"/>
        </w:rPr>
        <w:t>浆砌石基层，项目区属于丘陵地带，部分过水路面下游冲刷严重，本次设计针对冲刷严重段进行雷诺护垫护砌及抛石防冲槽，雷诺护垫厚度为</w:t>
      </w:r>
      <w:r w:rsidRPr="00F9522B">
        <w:rPr>
          <w:rFonts w:eastAsiaTheme="minorEastAsia"/>
          <w:bCs/>
          <w:sz w:val="24"/>
        </w:rPr>
        <w:t>30cm</w:t>
      </w:r>
      <w:r w:rsidRPr="00F9522B">
        <w:rPr>
          <w:rFonts w:eastAsiaTheme="minorEastAsia"/>
          <w:bCs/>
          <w:sz w:val="24"/>
        </w:rPr>
        <w:t>，下铺</w:t>
      </w:r>
      <w:r w:rsidRPr="00F9522B">
        <w:rPr>
          <w:rFonts w:eastAsiaTheme="minorEastAsia"/>
          <w:bCs/>
          <w:sz w:val="24"/>
        </w:rPr>
        <w:t>10cm</w:t>
      </w:r>
      <w:r w:rsidRPr="00F9522B">
        <w:rPr>
          <w:rFonts w:eastAsiaTheme="minorEastAsia"/>
          <w:bCs/>
          <w:sz w:val="24"/>
        </w:rPr>
        <w:t>砂砾石和土工布一层，为防止农户经过过水路面发生意外，过水路面设有水位标记一个。项目区复合式过水路面共计</w:t>
      </w:r>
      <w:r w:rsidRPr="00F9522B">
        <w:rPr>
          <w:rFonts w:eastAsiaTheme="minorEastAsia"/>
          <w:bCs/>
          <w:sz w:val="24"/>
        </w:rPr>
        <w:t>1</w:t>
      </w:r>
      <w:r w:rsidRPr="00F9522B">
        <w:rPr>
          <w:rFonts w:eastAsiaTheme="minorEastAsia"/>
          <w:bCs/>
          <w:sz w:val="24"/>
        </w:rPr>
        <w:t>座，为路面下带方涵结构过水路面。上部过水路面形式同一般过水路面，方涵孔径为</w:t>
      </w:r>
      <w:r w:rsidRPr="00F9522B">
        <w:rPr>
          <w:rFonts w:eastAsiaTheme="minorEastAsia"/>
          <w:bCs/>
          <w:sz w:val="24"/>
        </w:rPr>
        <w:t>2.0×1.0m</w:t>
      </w:r>
      <w:r w:rsidRPr="00F9522B">
        <w:rPr>
          <w:rFonts w:eastAsiaTheme="minorEastAsia"/>
          <w:bCs/>
          <w:sz w:val="24"/>
        </w:rPr>
        <w:t>。</w:t>
      </w:r>
    </w:p>
    <w:p w:rsidR="002A5A5E" w:rsidRPr="00F9522B" w:rsidRDefault="00611CBA">
      <w:pPr>
        <w:adjustRightInd w:val="0"/>
        <w:spacing w:line="360" w:lineRule="auto"/>
        <w:ind w:firstLineChars="200" w:firstLine="480"/>
        <w:rPr>
          <w:rFonts w:eastAsiaTheme="minorEastAsia"/>
          <w:bCs/>
          <w:sz w:val="24"/>
        </w:rPr>
      </w:pPr>
      <w:r w:rsidRPr="00F9522B">
        <w:rPr>
          <w:rFonts w:eastAsiaTheme="minorEastAsia"/>
          <w:bCs/>
          <w:sz w:val="24"/>
        </w:rPr>
        <w:t>过水路面所带方涵由进出口挡土墙和洞身段组成，进出口挡土墙为一字形结构，墙立板高</w:t>
      </w:r>
      <w:r w:rsidRPr="00F9522B">
        <w:rPr>
          <w:rFonts w:eastAsiaTheme="minorEastAsia"/>
          <w:bCs/>
          <w:sz w:val="24"/>
        </w:rPr>
        <w:t>1.3-2.3m</w:t>
      </w:r>
      <w:r w:rsidRPr="00F9522B">
        <w:rPr>
          <w:rFonts w:eastAsiaTheme="minorEastAsia"/>
          <w:bCs/>
          <w:sz w:val="24"/>
        </w:rPr>
        <w:t>，底板厚</w:t>
      </w:r>
      <w:r w:rsidRPr="00F9522B">
        <w:rPr>
          <w:rFonts w:eastAsiaTheme="minorEastAsia"/>
          <w:bCs/>
          <w:sz w:val="24"/>
        </w:rPr>
        <w:t>0.5m</w:t>
      </w:r>
      <w:r w:rsidRPr="00F9522B">
        <w:rPr>
          <w:rFonts w:eastAsiaTheme="minorEastAsia"/>
          <w:bCs/>
          <w:sz w:val="24"/>
        </w:rPr>
        <w:t>，墙顶厚</w:t>
      </w:r>
      <w:r w:rsidRPr="00F9522B">
        <w:rPr>
          <w:rFonts w:eastAsiaTheme="minorEastAsia"/>
          <w:bCs/>
          <w:sz w:val="24"/>
        </w:rPr>
        <w:t>0.4m</w:t>
      </w:r>
      <w:r w:rsidRPr="00F9522B">
        <w:rPr>
          <w:rFonts w:eastAsiaTheme="minorEastAsia"/>
          <w:bCs/>
          <w:sz w:val="24"/>
        </w:rPr>
        <w:t>。方涵底板</w:t>
      </w:r>
      <w:r w:rsidRPr="00F9522B">
        <w:rPr>
          <w:rFonts w:eastAsiaTheme="minorEastAsia"/>
          <w:bCs/>
          <w:sz w:val="24"/>
        </w:rPr>
        <w:t>0.4m</w:t>
      </w:r>
      <w:r w:rsidRPr="00F9522B">
        <w:rPr>
          <w:rFonts w:eastAsiaTheme="minorEastAsia"/>
          <w:bCs/>
          <w:sz w:val="24"/>
        </w:rPr>
        <w:t>厚，侧墙和顶板均为</w:t>
      </w:r>
      <w:r w:rsidRPr="00F9522B">
        <w:rPr>
          <w:rFonts w:eastAsiaTheme="minorEastAsia"/>
          <w:bCs/>
          <w:sz w:val="24"/>
        </w:rPr>
        <w:t>0.3m</w:t>
      </w:r>
      <w:r w:rsidRPr="00F9522B">
        <w:rPr>
          <w:rFonts w:eastAsiaTheme="minorEastAsia"/>
          <w:bCs/>
          <w:sz w:val="24"/>
        </w:rPr>
        <w:t>厚（砼标号</w:t>
      </w:r>
      <w:r w:rsidRPr="00F9522B">
        <w:rPr>
          <w:rFonts w:eastAsiaTheme="minorEastAsia"/>
          <w:bCs/>
          <w:sz w:val="24"/>
        </w:rPr>
        <w:t>C25F200</w:t>
      </w:r>
      <w:r w:rsidRPr="00F9522B">
        <w:rPr>
          <w:rFonts w:eastAsiaTheme="minorEastAsia"/>
          <w:bCs/>
          <w:sz w:val="24"/>
        </w:rPr>
        <w:t>）。为防止基础冻胀，基础下铺设</w:t>
      </w:r>
      <w:r w:rsidRPr="00F9522B">
        <w:rPr>
          <w:rFonts w:eastAsiaTheme="minorEastAsia"/>
          <w:bCs/>
          <w:sz w:val="24"/>
        </w:rPr>
        <w:t>0.1m</w:t>
      </w:r>
      <w:r w:rsidRPr="00F9522B">
        <w:rPr>
          <w:rFonts w:eastAsiaTheme="minorEastAsia"/>
          <w:bCs/>
          <w:sz w:val="24"/>
        </w:rPr>
        <w:t>素砼垫层（砼标号</w:t>
      </w:r>
      <w:r w:rsidRPr="00F9522B">
        <w:rPr>
          <w:rFonts w:eastAsiaTheme="minorEastAsia"/>
          <w:bCs/>
          <w:sz w:val="24"/>
        </w:rPr>
        <w:t>C20</w:t>
      </w:r>
      <w:r w:rsidRPr="00F9522B">
        <w:rPr>
          <w:rFonts w:eastAsiaTheme="minorEastAsia"/>
          <w:bCs/>
          <w:sz w:val="24"/>
        </w:rPr>
        <w:t>）和</w:t>
      </w:r>
      <w:r w:rsidRPr="00F9522B">
        <w:rPr>
          <w:rFonts w:eastAsiaTheme="minorEastAsia"/>
          <w:bCs/>
          <w:sz w:val="24"/>
        </w:rPr>
        <w:t>0.1m</w:t>
      </w:r>
      <w:r w:rsidRPr="00F9522B">
        <w:rPr>
          <w:rFonts w:eastAsiaTheme="minorEastAsia"/>
          <w:bCs/>
          <w:sz w:val="24"/>
        </w:rPr>
        <w:t>厚保温苯板，保温苯板采用绝热用挤塑聚苯乙烯泡沫塑料（</w:t>
      </w:r>
      <w:r w:rsidRPr="00F9522B">
        <w:rPr>
          <w:rFonts w:eastAsiaTheme="minorEastAsia"/>
          <w:bCs/>
          <w:sz w:val="24"/>
        </w:rPr>
        <w:t>XPS</w:t>
      </w:r>
      <w:r w:rsidRPr="00F9522B">
        <w:rPr>
          <w:rFonts w:eastAsiaTheme="minorEastAsia"/>
          <w:bCs/>
          <w:sz w:val="24"/>
        </w:rPr>
        <w:t>），类型为</w:t>
      </w:r>
      <w:r w:rsidRPr="00F9522B">
        <w:rPr>
          <w:rFonts w:eastAsiaTheme="minorEastAsia"/>
          <w:bCs/>
          <w:sz w:val="24"/>
        </w:rPr>
        <w:t>X300</w:t>
      </w:r>
      <w:r w:rsidRPr="00F9522B">
        <w:rPr>
          <w:rFonts w:eastAsiaTheme="minorEastAsia"/>
          <w:bCs/>
          <w:sz w:val="24"/>
        </w:rPr>
        <w:t>型。</w:t>
      </w:r>
    </w:p>
    <w:p w:rsidR="002A5A5E" w:rsidRPr="00F9522B" w:rsidRDefault="00FB5B36">
      <w:pPr>
        <w:adjustRightInd w:val="0"/>
        <w:spacing w:line="360" w:lineRule="auto"/>
        <w:ind w:firstLineChars="200" w:firstLine="480"/>
        <w:rPr>
          <w:rFonts w:eastAsiaTheme="minorEastAsia"/>
          <w:bCs/>
          <w:sz w:val="24"/>
        </w:rPr>
      </w:pPr>
      <w:r w:rsidRPr="00F9522B">
        <w:rPr>
          <w:rFonts w:eastAsiaTheme="minorEastAsia"/>
          <w:bCs/>
          <w:sz w:val="24"/>
        </w:rPr>
        <w:t>渡槽</w:t>
      </w:r>
      <w:r w:rsidR="00611CBA" w:rsidRPr="00F9522B">
        <w:rPr>
          <w:rFonts w:eastAsiaTheme="minorEastAsia"/>
          <w:bCs/>
          <w:sz w:val="24"/>
        </w:rPr>
        <w:t>：</w:t>
      </w:r>
    </w:p>
    <w:p w:rsidR="002A5A5E" w:rsidRPr="00F9522B" w:rsidRDefault="00611CBA">
      <w:pPr>
        <w:adjustRightInd w:val="0"/>
        <w:spacing w:line="360" w:lineRule="auto"/>
        <w:ind w:firstLineChars="200" w:firstLine="480"/>
        <w:rPr>
          <w:rFonts w:eastAsiaTheme="minorEastAsia"/>
          <w:sz w:val="24"/>
        </w:rPr>
      </w:pPr>
      <w:r w:rsidRPr="00F9522B">
        <w:rPr>
          <w:rFonts w:eastAsiaTheme="minorEastAsia"/>
          <w:sz w:val="24"/>
        </w:rPr>
        <w:t>本项目建设</w:t>
      </w:r>
      <w:r w:rsidR="00FB5B36" w:rsidRPr="00F9522B">
        <w:rPr>
          <w:rFonts w:eastAsiaTheme="minorEastAsia"/>
          <w:bCs/>
          <w:sz w:val="24"/>
        </w:rPr>
        <w:t>渡槽</w:t>
      </w:r>
      <w:r w:rsidR="00FB5B36" w:rsidRPr="00F9522B">
        <w:rPr>
          <w:rFonts w:eastAsiaTheme="minorEastAsia"/>
          <w:sz w:val="24"/>
        </w:rPr>
        <w:t>1</w:t>
      </w:r>
      <w:r w:rsidRPr="00F9522B">
        <w:rPr>
          <w:rFonts w:eastAsiaTheme="minorEastAsia"/>
          <w:sz w:val="24"/>
        </w:rPr>
        <w:t>座</w:t>
      </w:r>
      <w:r w:rsidR="00FB5B36" w:rsidRPr="00F9522B">
        <w:rPr>
          <w:rFonts w:eastAsiaTheme="minorEastAsia"/>
          <w:sz w:val="24"/>
        </w:rPr>
        <w:t>，选用钢管结构渡槽</w:t>
      </w:r>
      <w:r w:rsidRPr="00F9522B">
        <w:rPr>
          <w:rFonts w:eastAsiaTheme="minorEastAsia"/>
          <w:sz w:val="24"/>
        </w:rPr>
        <w:t>。</w:t>
      </w:r>
    </w:p>
    <w:p w:rsidR="002A5A5E" w:rsidRPr="00F9522B" w:rsidRDefault="00FB5B36" w:rsidP="00FB5B36">
      <w:pPr>
        <w:adjustRightInd w:val="0"/>
        <w:spacing w:line="360" w:lineRule="auto"/>
        <w:ind w:firstLineChars="200" w:firstLine="480"/>
        <w:rPr>
          <w:rFonts w:eastAsiaTheme="minorEastAsia"/>
          <w:sz w:val="24"/>
        </w:rPr>
      </w:pPr>
      <w:r w:rsidRPr="00F9522B">
        <w:rPr>
          <w:rFonts w:eastAsiaTheme="minorEastAsia"/>
          <w:bCs/>
          <w:sz w:val="24"/>
        </w:rPr>
        <w:t>两侧边墙为钢筋砼悬臂式挡土墙结构，槽身采用</w:t>
      </w:r>
      <w:r w:rsidRPr="00F9522B">
        <w:rPr>
          <w:rFonts w:eastAsiaTheme="minorEastAsia"/>
          <w:bCs/>
          <w:sz w:val="24"/>
        </w:rPr>
        <w:t>φ60</w:t>
      </w:r>
      <w:r w:rsidRPr="00F9522B">
        <w:rPr>
          <w:rFonts w:eastAsiaTheme="minorEastAsia"/>
          <w:bCs/>
          <w:sz w:val="24"/>
        </w:rPr>
        <w:t>钢管，长</w:t>
      </w:r>
      <w:r w:rsidRPr="00F9522B">
        <w:rPr>
          <w:rFonts w:eastAsiaTheme="minorEastAsia"/>
          <w:bCs/>
          <w:sz w:val="24"/>
        </w:rPr>
        <w:t>8.0</w:t>
      </w:r>
      <w:r w:rsidRPr="00F9522B">
        <w:rPr>
          <w:rFonts w:eastAsiaTheme="minorEastAsia"/>
          <w:bCs/>
          <w:sz w:val="24"/>
        </w:rPr>
        <w:t>米</w:t>
      </w:r>
      <w:r w:rsidR="00611CBA" w:rsidRPr="00F9522B">
        <w:rPr>
          <w:rFonts w:eastAsiaTheme="minorEastAsia"/>
          <w:sz w:val="24"/>
        </w:rPr>
        <w:t>。</w:t>
      </w:r>
    </w:p>
    <w:p w:rsidR="002A5A5E" w:rsidRPr="00F9522B" w:rsidRDefault="00611CBA">
      <w:pPr>
        <w:adjustRightInd w:val="0"/>
        <w:spacing w:line="360" w:lineRule="auto"/>
        <w:ind w:firstLineChars="200" w:firstLine="480"/>
        <w:rPr>
          <w:rFonts w:eastAsiaTheme="minorEastAsia"/>
          <w:bCs/>
          <w:sz w:val="24"/>
        </w:rPr>
      </w:pPr>
      <w:r w:rsidRPr="00F9522B">
        <w:rPr>
          <w:rFonts w:eastAsiaTheme="minorEastAsia"/>
          <w:bCs/>
          <w:sz w:val="24"/>
        </w:rPr>
        <w:t>（</w:t>
      </w:r>
      <w:r w:rsidRPr="00F9522B">
        <w:rPr>
          <w:rFonts w:eastAsiaTheme="minorEastAsia"/>
          <w:bCs/>
          <w:sz w:val="24"/>
        </w:rPr>
        <w:t>6</w:t>
      </w:r>
      <w:r w:rsidRPr="00F9522B">
        <w:rPr>
          <w:rFonts w:eastAsiaTheme="minorEastAsia"/>
          <w:bCs/>
          <w:sz w:val="24"/>
        </w:rPr>
        <w:t>）强排工程</w:t>
      </w:r>
    </w:p>
    <w:p w:rsidR="002A5A5E" w:rsidRPr="00F9522B" w:rsidRDefault="00611CBA">
      <w:pPr>
        <w:adjustRightInd w:val="0"/>
        <w:spacing w:line="360" w:lineRule="auto"/>
        <w:ind w:firstLineChars="200" w:firstLine="480"/>
        <w:rPr>
          <w:rFonts w:eastAsiaTheme="minorEastAsia"/>
          <w:kern w:val="0"/>
          <w:sz w:val="24"/>
          <w:szCs w:val="20"/>
        </w:rPr>
      </w:pPr>
      <w:r w:rsidRPr="00F9522B">
        <w:rPr>
          <w:rFonts w:eastAsiaTheme="minorEastAsia"/>
          <w:kern w:val="0"/>
          <w:sz w:val="24"/>
          <w:szCs w:val="20"/>
        </w:rPr>
        <w:t>本项目区有多处承泄区的沟道水位高于项目区内的支沟水位，无法自流排出，使得耕地存在被淹隐患，需要配备强排设备，解决内涝问题。根据对项目区的实际测量数据，项目区所布置移动泵车的位置都有农田道路联通，并且有路基不好</w:t>
      </w:r>
      <w:r w:rsidRPr="00F9522B">
        <w:rPr>
          <w:rFonts w:eastAsiaTheme="minorEastAsia"/>
          <w:kern w:val="0"/>
          <w:sz w:val="24"/>
          <w:szCs w:val="20"/>
        </w:rPr>
        <w:lastRenderedPageBreak/>
        <w:t>的道路已被本项目田间道路工程修缮，并且泵车所落位置有较大的空间可以放置泵车工作平台。根据实际测量情况，并分析地形能否有放置移动泵车的位置，共布置</w:t>
      </w:r>
      <w:r w:rsidR="005E3027" w:rsidRPr="00F9522B">
        <w:rPr>
          <w:rFonts w:eastAsiaTheme="minorEastAsia"/>
          <w:kern w:val="0"/>
          <w:sz w:val="24"/>
          <w:szCs w:val="20"/>
        </w:rPr>
        <w:t>78</w:t>
      </w:r>
      <w:r w:rsidR="005E3027" w:rsidRPr="00F9522B">
        <w:rPr>
          <w:rFonts w:eastAsiaTheme="minorEastAsia"/>
          <w:kern w:val="0"/>
          <w:sz w:val="24"/>
          <w:szCs w:val="20"/>
        </w:rPr>
        <w:t>台</w:t>
      </w:r>
      <w:r w:rsidRPr="00F9522B">
        <w:rPr>
          <w:rFonts w:eastAsiaTheme="minorEastAsia"/>
          <w:kern w:val="0"/>
          <w:sz w:val="24"/>
          <w:szCs w:val="20"/>
        </w:rPr>
        <w:t>。本次设计移动泵车流量：</w:t>
      </w:r>
      <w:r w:rsidR="009125FF" w:rsidRPr="00F9522B">
        <w:rPr>
          <w:rFonts w:eastAsiaTheme="minorEastAsia"/>
          <w:kern w:val="0"/>
          <w:sz w:val="24"/>
          <w:szCs w:val="20"/>
        </w:rPr>
        <w:t>0.17</w:t>
      </w:r>
      <w:r w:rsidRPr="00F9522B">
        <w:rPr>
          <w:rFonts w:eastAsiaTheme="minorEastAsia"/>
          <w:kern w:val="0"/>
          <w:sz w:val="24"/>
          <w:szCs w:val="20"/>
        </w:rPr>
        <w:t>m³/s</w:t>
      </w:r>
      <w:r w:rsidRPr="00F9522B">
        <w:rPr>
          <w:rFonts w:eastAsiaTheme="minorEastAsia"/>
          <w:kern w:val="0"/>
          <w:sz w:val="24"/>
          <w:szCs w:val="20"/>
        </w:rPr>
        <w:t>，扬程：</w:t>
      </w:r>
      <w:r w:rsidRPr="00F9522B">
        <w:rPr>
          <w:rFonts w:eastAsiaTheme="minorEastAsia"/>
          <w:kern w:val="0"/>
          <w:sz w:val="24"/>
          <w:szCs w:val="20"/>
        </w:rPr>
        <w:t>8m</w:t>
      </w:r>
      <w:r w:rsidRPr="00F9522B">
        <w:rPr>
          <w:rFonts w:eastAsiaTheme="minorEastAsia"/>
          <w:kern w:val="0"/>
          <w:sz w:val="24"/>
          <w:szCs w:val="20"/>
        </w:rPr>
        <w:t>，功率：</w:t>
      </w:r>
      <w:r w:rsidR="009125FF" w:rsidRPr="00F9522B">
        <w:rPr>
          <w:rFonts w:eastAsiaTheme="minorEastAsia"/>
          <w:kern w:val="0"/>
          <w:sz w:val="24"/>
          <w:szCs w:val="20"/>
        </w:rPr>
        <w:t>22</w:t>
      </w:r>
      <w:r w:rsidRPr="00F9522B">
        <w:rPr>
          <w:rFonts w:eastAsiaTheme="minorEastAsia"/>
          <w:kern w:val="0"/>
          <w:sz w:val="24"/>
          <w:szCs w:val="20"/>
        </w:rPr>
        <w:t>KW</w:t>
      </w:r>
      <w:r w:rsidRPr="00F9522B">
        <w:rPr>
          <w:rFonts w:eastAsiaTheme="minorEastAsia"/>
          <w:kern w:val="0"/>
          <w:sz w:val="24"/>
          <w:szCs w:val="20"/>
        </w:rPr>
        <w:t>，水泵流量为</w:t>
      </w:r>
      <w:r w:rsidR="009125FF" w:rsidRPr="00F9522B">
        <w:rPr>
          <w:rFonts w:eastAsiaTheme="minorEastAsia"/>
          <w:kern w:val="0"/>
          <w:sz w:val="24"/>
          <w:szCs w:val="20"/>
        </w:rPr>
        <w:t>6</w:t>
      </w:r>
      <w:r w:rsidRPr="00F9522B">
        <w:rPr>
          <w:rFonts w:eastAsiaTheme="minorEastAsia"/>
          <w:kern w:val="0"/>
          <w:sz w:val="24"/>
          <w:szCs w:val="20"/>
        </w:rPr>
        <w:t>00m³/h</w:t>
      </w:r>
      <w:r w:rsidRPr="00F9522B">
        <w:rPr>
          <w:rFonts w:eastAsiaTheme="minorEastAsia"/>
          <w:kern w:val="0"/>
          <w:sz w:val="24"/>
          <w:szCs w:val="20"/>
        </w:rPr>
        <w:t>。</w:t>
      </w:r>
    </w:p>
    <w:p w:rsidR="002A5A5E" w:rsidRPr="00F9522B" w:rsidRDefault="00611CBA">
      <w:pPr>
        <w:autoSpaceDE w:val="0"/>
        <w:autoSpaceDN w:val="0"/>
        <w:spacing w:before="100" w:beforeAutospacing="1" w:after="100" w:afterAutospacing="1"/>
        <w:ind w:firstLineChars="49" w:firstLine="118"/>
        <w:outlineLvl w:val="3"/>
        <w:rPr>
          <w:rFonts w:eastAsiaTheme="minorEastAsia"/>
          <w:b/>
          <w:sz w:val="24"/>
        </w:rPr>
      </w:pPr>
      <w:r w:rsidRPr="00F9522B">
        <w:rPr>
          <w:rFonts w:eastAsiaTheme="minorEastAsia"/>
          <w:b/>
          <w:sz w:val="24"/>
        </w:rPr>
        <w:t>3.1.6.2</w:t>
      </w:r>
      <w:r w:rsidRPr="00F9522B">
        <w:rPr>
          <w:rFonts w:eastAsiaTheme="minorEastAsia"/>
          <w:b/>
          <w:bCs/>
          <w:sz w:val="24"/>
        </w:rPr>
        <w:t>田间道路工程</w:t>
      </w:r>
    </w:p>
    <w:p w:rsidR="002A5A5E" w:rsidRPr="00F9522B" w:rsidRDefault="00611CBA">
      <w:pPr>
        <w:autoSpaceDE w:val="0"/>
        <w:autoSpaceDN w:val="0"/>
        <w:spacing w:line="360" w:lineRule="auto"/>
        <w:ind w:firstLineChars="200" w:firstLine="480"/>
        <w:rPr>
          <w:rFonts w:eastAsiaTheme="minorEastAsia"/>
          <w:sz w:val="24"/>
        </w:rPr>
      </w:pPr>
      <w:r w:rsidRPr="00F9522B">
        <w:rPr>
          <w:rFonts w:eastAsiaTheme="minorEastAsia"/>
          <w:sz w:val="24"/>
        </w:rPr>
        <w:t>现有田间道路均为土路，为了满足农民出行、便于田间作业与田间管理、同时满足农业机械化生产的需要，建设道路工程。道路工程在原有土路上进行建设，本次不拓宽，不新开垦道路，耕路不涉及平交，不涉及砍伐树木，施工人员主要为附近村屯居民，本次不设置施工营地，施工料场设置于各道路的起点、中点及终点位置，在道路占地范围内设置施工料场，不新增临时占地。</w:t>
      </w:r>
    </w:p>
    <w:p w:rsidR="002A5A5E" w:rsidRPr="00F9522B" w:rsidRDefault="00611CBA">
      <w:pPr>
        <w:autoSpaceDE w:val="0"/>
        <w:autoSpaceDN w:val="0"/>
        <w:spacing w:line="360" w:lineRule="auto"/>
        <w:ind w:firstLineChars="200" w:firstLine="480"/>
        <w:rPr>
          <w:rFonts w:eastAsiaTheme="minorEastAsia"/>
          <w:sz w:val="24"/>
        </w:rPr>
      </w:pPr>
      <w:r w:rsidRPr="00F9522B">
        <w:rPr>
          <w:rFonts w:eastAsiaTheme="minorEastAsia"/>
          <w:sz w:val="24"/>
        </w:rPr>
        <w:t>本项目田间道路工程主要服务于耕作需求，道路等级不高，在混凝土路面建设完成后，应在其终凝前进行养护，通常在混凝土浇筑完毕后</w:t>
      </w:r>
      <w:r w:rsidRPr="00F9522B">
        <w:rPr>
          <w:rFonts w:eastAsiaTheme="minorEastAsia"/>
          <w:sz w:val="24"/>
        </w:rPr>
        <w:t>8</w:t>
      </w:r>
      <w:r w:rsidRPr="00F9522B">
        <w:rPr>
          <w:rFonts w:eastAsiaTheme="minorEastAsia"/>
          <w:sz w:val="24"/>
        </w:rPr>
        <w:t>～</w:t>
      </w:r>
      <w:r w:rsidRPr="00F9522B">
        <w:rPr>
          <w:rFonts w:eastAsiaTheme="minorEastAsia"/>
          <w:sz w:val="24"/>
        </w:rPr>
        <w:t>12</w:t>
      </w:r>
      <w:r w:rsidRPr="00F9522B">
        <w:rPr>
          <w:rFonts w:eastAsiaTheme="minorEastAsia"/>
          <w:sz w:val="24"/>
        </w:rPr>
        <w:t>小时内自然养护，同时喷洒少量水，养护水自然蒸发。</w:t>
      </w:r>
    </w:p>
    <w:p w:rsidR="002A5A5E" w:rsidRPr="00F9522B" w:rsidRDefault="00611CBA">
      <w:pPr>
        <w:autoSpaceDE w:val="0"/>
        <w:autoSpaceDN w:val="0"/>
        <w:spacing w:line="360" w:lineRule="auto"/>
        <w:ind w:firstLineChars="200" w:firstLine="480"/>
        <w:rPr>
          <w:rFonts w:eastAsiaTheme="minorEastAsia"/>
          <w:sz w:val="24"/>
        </w:rPr>
      </w:pPr>
      <w:r w:rsidRPr="00F9522B">
        <w:rPr>
          <w:rFonts w:eastAsiaTheme="minorEastAsia"/>
          <w:sz w:val="24"/>
        </w:rPr>
        <w:t>项目区共修缮现有田间道路</w:t>
      </w:r>
      <w:r w:rsidR="005954A2" w:rsidRPr="00F9522B">
        <w:rPr>
          <w:rFonts w:eastAsiaTheme="minorEastAsia"/>
          <w:sz w:val="24"/>
        </w:rPr>
        <w:t>792</w:t>
      </w:r>
      <w:r w:rsidRPr="00F9522B">
        <w:rPr>
          <w:rFonts w:eastAsiaTheme="minorEastAsia"/>
          <w:sz w:val="24"/>
        </w:rPr>
        <w:t>条，不拓宽，不新开垦道路，其中：机耕路（土路改为水泥混凝土路）</w:t>
      </w:r>
      <w:r w:rsidR="005954A2" w:rsidRPr="00F9522B">
        <w:rPr>
          <w:rFonts w:eastAsiaTheme="minorEastAsia"/>
          <w:bCs/>
          <w:sz w:val="24"/>
        </w:rPr>
        <w:t>157</w:t>
      </w:r>
      <w:r w:rsidRPr="00F9522B">
        <w:rPr>
          <w:rFonts w:eastAsiaTheme="minorEastAsia"/>
          <w:bCs/>
          <w:sz w:val="24"/>
        </w:rPr>
        <w:t>条，共</w:t>
      </w:r>
      <w:r w:rsidRPr="00F9522B">
        <w:rPr>
          <w:rFonts w:eastAsiaTheme="minorEastAsia"/>
          <w:bCs/>
          <w:sz w:val="24"/>
        </w:rPr>
        <w:t>1</w:t>
      </w:r>
      <w:r w:rsidR="005954A2" w:rsidRPr="00F9522B">
        <w:rPr>
          <w:rFonts w:eastAsiaTheme="minorEastAsia"/>
          <w:bCs/>
          <w:sz w:val="24"/>
        </w:rPr>
        <w:t>29.289</w:t>
      </w:r>
      <w:r w:rsidRPr="00F9522B">
        <w:rPr>
          <w:rFonts w:eastAsiaTheme="minorEastAsia"/>
          <w:bCs/>
          <w:sz w:val="24"/>
        </w:rPr>
        <w:t>km</w:t>
      </w:r>
      <w:r w:rsidRPr="00F9522B">
        <w:rPr>
          <w:rFonts w:eastAsiaTheme="minorEastAsia"/>
          <w:sz w:val="24"/>
        </w:rPr>
        <w:t>，路面宽</w:t>
      </w:r>
      <w:r w:rsidRPr="00F9522B">
        <w:rPr>
          <w:rFonts w:eastAsiaTheme="minorEastAsia"/>
          <w:sz w:val="24"/>
        </w:rPr>
        <w:t>4m</w:t>
      </w:r>
      <w:r w:rsidRPr="00F9522B">
        <w:rPr>
          <w:rFonts w:eastAsiaTheme="minorEastAsia"/>
          <w:sz w:val="24"/>
        </w:rPr>
        <w:t>、</w:t>
      </w:r>
      <w:r w:rsidRPr="00F9522B">
        <w:rPr>
          <w:rFonts w:eastAsiaTheme="minorEastAsia"/>
          <w:sz w:val="24"/>
        </w:rPr>
        <w:t>4.5m</w:t>
      </w:r>
      <w:r w:rsidRPr="00F9522B">
        <w:rPr>
          <w:rFonts w:eastAsiaTheme="minorEastAsia"/>
          <w:sz w:val="24"/>
        </w:rPr>
        <w:t>，生产路（土路改为砂石路）</w:t>
      </w:r>
      <w:r w:rsidR="005954A2" w:rsidRPr="00F9522B">
        <w:rPr>
          <w:rFonts w:eastAsiaTheme="minorEastAsia"/>
          <w:bCs/>
          <w:sz w:val="24"/>
        </w:rPr>
        <w:t>63</w:t>
      </w:r>
      <w:r w:rsidRPr="00F9522B">
        <w:rPr>
          <w:rFonts w:eastAsiaTheme="minorEastAsia"/>
          <w:bCs/>
          <w:sz w:val="24"/>
        </w:rPr>
        <w:t>5</w:t>
      </w:r>
      <w:r w:rsidRPr="00F9522B">
        <w:rPr>
          <w:rFonts w:eastAsiaTheme="minorEastAsia"/>
          <w:bCs/>
          <w:sz w:val="24"/>
        </w:rPr>
        <w:t>条，共</w:t>
      </w:r>
      <w:r w:rsidR="005954A2" w:rsidRPr="00F9522B">
        <w:rPr>
          <w:rFonts w:eastAsiaTheme="minorEastAsia"/>
          <w:bCs/>
          <w:sz w:val="24"/>
        </w:rPr>
        <w:t>408.223</w:t>
      </w:r>
      <w:r w:rsidRPr="00F9522B">
        <w:rPr>
          <w:rFonts w:eastAsiaTheme="minorEastAsia"/>
          <w:bCs/>
          <w:sz w:val="24"/>
        </w:rPr>
        <w:t>km</w:t>
      </w:r>
      <w:r w:rsidRPr="00F9522B">
        <w:rPr>
          <w:rFonts w:eastAsiaTheme="minorEastAsia"/>
          <w:sz w:val="24"/>
        </w:rPr>
        <w:t>，路面宽</w:t>
      </w:r>
      <w:r w:rsidRPr="00F9522B">
        <w:rPr>
          <w:rFonts w:eastAsiaTheme="minorEastAsia"/>
          <w:sz w:val="24"/>
        </w:rPr>
        <w:t>3m</w:t>
      </w:r>
      <w:r w:rsidRPr="00F9522B">
        <w:rPr>
          <w:rFonts w:eastAsiaTheme="minorEastAsia"/>
          <w:sz w:val="24"/>
        </w:rPr>
        <w:t>、</w:t>
      </w:r>
      <w:r w:rsidRPr="00F9522B">
        <w:rPr>
          <w:rFonts w:eastAsiaTheme="minorEastAsia"/>
          <w:sz w:val="24"/>
        </w:rPr>
        <w:t>3.5m</w:t>
      </w:r>
      <w:r w:rsidRPr="00F9522B">
        <w:rPr>
          <w:rFonts w:eastAsiaTheme="minorEastAsia"/>
          <w:sz w:val="24"/>
        </w:rPr>
        <w:t>。</w:t>
      </w:r>
    </w:p>
    <w:p w:rsidR="002A5A5E" w:rsidRPr="00F9522B" w:rsidRDefault="00611CBA">
      <w:pPr>
        <w:autoSpaceDE w:val="0"/>
        <w:autoSpaceDN w:val="0"/>
        <w:spacing w:line="360" w:lineRule="auto"/>
        <w:ind w:firstLineChars="200" w:firstLine="480"/>
        <w:rPr>
          <w:rFonts w:eastAsiaTheme="minorEastAsia"/>
          <w:sz w:val="24"/>
        </w:rPr>
      </w:pPr>
      <w:r w:rsidRPr="00F9522B">
        <w:rPr>
          <w:rFonts w:eastAsiaTheme="minorEastAsia"/>
          <w:sz w:val="24"/>
        </w:rPr>
        <w:t>（</w:t>
      </w:r>
      <w:r w:rsidRPr="00F9522B">
        <w:rPr>
          <w:rFonts w:eastAsiaTheme="minorEastAsia"/>
          <w:sz w:val="24"/>
        </w:rPr>
        <w:t>1</w:t>
      </w:r>
      <w:r w:rsidRPr="00F9522B">
        <w:rPr>
          <w:rFonts w:eastAsiaTheme="minorEastAsia"/>
          <w:sz w:val="24"/>
        </w:rPr>
        <w:t>）主要技术指标</w:t>
      </w:r>
    </w:p>
    <w:p w:rsidR="002A5A5E" w:rsidRPr="00F9522B" w:rsidRDefault="00611CBA">
      <w:pPr>
        <w:spacing w:line="360" w:lineRule="auto"/>
        <w:ind w:firstLineChars="200" w:firstLine="480"/>
        <w:rPr>
          <w:rFonts w:eastAsiaTheme="minorEastAsia"/>
          <w:kern w:val="0"/>
          <w:sz w:val="24"/>
          <w:szCs w:val="22"/>
        </w:rPr>
      </w:pPr>
      <w:r w:rsidRPr="00F9522B">
        <w:rPr>
          <w:rFonts w:eastAsiaTheme="minorEastAsia"/>
          <w:kern w:val="0"/>
          <w:sz w:val="24"/>
          <w:szCs w:val="22"/>
        </w:rPr>
        <w:t>道路等级：机耕路参照</w:t>
      </w:r>
      <w:r w:rsidRPr="00F9522B">
        <w:rPr>
          <w:rFonts w:eastAsiaTheme="minorEastAsia"/>
          <w:kern w:val="0"/>
          <w:sz w:val="24"/>
          <w:szCs w:val="22"/>
        </w:rPr>
        <w:t>“</w:t>
      </w:r>
      <w:r w:rsidRPr="00F9522B">
        <w:rPr>
          <w:rFonts w:eastAsiaTheme="minorEastAsia"/>
          <w:kern w:val="0"/>
          <w:sz w:val="24"/>
          <w:szCs w:val="22"/>
        </w:rPr>
        <w:t>四级公路</w:t>
      </w:r>
      <w:r w:rsidRPr="00F9522B">
        <w:rPr>
          <w:rFonts w:eastAsiaTheme="minorEastAsia"/>
          <w:kern w:val="0"/>
          <w:sz w:val="24"/>
          <w:szCs w:val="22"/>
        </w:rPr>
        <w:t>”</w:t>
      </w:r>
      <w:r w:rsidRPr="00F9522B">
        <w:rPr>
          <w:rFonts w:eastAsiaTheme="minorEastAsia"/>
          <w:kern w:val="0"/>
          <w:sz w:val="24"/>
          <w:szCs w:val="22"/>
        </w:rPr>
        <w:t>标准设计。生产路按照生产路设计标准设计。</w:t>
      </w:r>
    </w:p>
    <w:p w:rsidR="002A5A5E" w:rsidRPr="00F9522B" w:rsidRDefault="00611CBA">
      <w:pPr>
        <w:spacing w:line="360" w:lineRule="auto"/>
        <w:ind w:firstLineChars="200" w:firstLine="480"/>
        <w:rPr>
          <w:rFonts w:eastAsiaTheme="minorEastAsia"/>
          <w:kern w:val="0"/>
          <w:sz w:val="24"/>
          <w:szCs w:val="22"/>
        </w:rPr>
      </w:pPr>
      <w:r w:rsidRPr="00F9522B">
        <w:rPr>
          <w:rFonts w:eastAsiaTheme="minorEastAsia"/>
          <w:kern w:val="0"/>
          <w:sz w:val="24"/>
          <w:szCs w:val="22"/>
        </w:rPr>
        <w:t>路面宽度：</w:t>
      </w:r>
      <w:r w:rsidRPr="00F9522B">
        <w:rPr>
          <w:rFonts w:eastAsiaTheme="minorEastAsia"/>
          <w:sz w:val="24"/>
        </w:rPr>
        <w:t>不拓宽，不新开垦道路</w:t>
      </w:r>
    </w:p>
    <w:p w:rsidR="002A5A5E" w:rsidRPr="00F9522B" w:rsidRDefault="00611CBA">
      <w:pPr>
        <w:spacing w:line="360" w:lineRule="auto"/>
        <w:ind w:firstLineChars="200" w:firstLine="480"/>
        <w:rPr>
          <w:rFonts w:eastAsiaTheme="minorEastAsia"/>
          <w:kern w:val="0"/>
          <w:sz w:val="24"/>
          <w:szCs w:val="22"/>
        </w:rPr>
      </w:pPr>
      <w:r w:rsidRPr="00F9522B">
        <w:rPr>
          <w:rFonts w:eastAsiaTheme="minorEastAsia"/>
          <w:kern w:val="0"/>
          <w:sz w:val="24"/>
          <w:szCs w:val="22"/>
        </w:rPr>
        <w:t>机耕路：水泥混凝土路，路面宽</w:t>
      </w:r>
      <w:r w:rsidRPr="00F9522B">
        <w:rPr>
          <w:rFonts w:eastAsiaTheme="minorEastAsia"/>
          <w:sz w:val="24"/>
        </w:rPr>
        <w:t>4m</w:t>
      </w:r>
      <w:r w:rsidRPr="00F9522B">
        <w:rPr>
          <w:rFonts w:eastAsiaTheme="minorEastAsia"/>
          <w:sz w:val="24"/>
        </w:rPr>
        <w:t>、</w:t>
      </w:r>
      <w:r w:rsidRPr="00F9522B">
        <w:rPr>
          <w:rFonts w:eastAsiaTheme="minorEastAsia"/>
          <w:sz w:val="24"/>
        </w:rPr>
        <w:t>4.5m</w:t>
      </w:r>
      <w:r w:rsidRPr="00F9522B">
        <w:rPr>
          <w:rFonts w:eastAsiaTheme="minorEastAsia"/>
          <w:kern w:val="0"/>
          <w:sz w:val="24"/>
          <w:szCs w:val="22"/>
        </w:rPr>
        <w:t>，两侧设素土路肩各</w:t>
      </w:r>
      <w:r w:rsidRPr="00F9522B">
        <w:rPr>
          <w:rFonts w:eastAsiaTheme="minorEastAsia"/>
          <w:kern w:val="0"/>
          <w:sz w:val="24"/>
          <w:szCs w:val="22"/>
        </w:rPr>
        <w:t>30cm</w:t>
      </w:r>
      <w:r w:rsidRPr="00F9522B">
        <w:rPr>
          <w:rFonts w:eastAsiaTheme="minorEastAsia"/>
          <w:kern w:val="0"/>
          <w:sz w:val="24"/>
          <w:szCs w:val="22"/>
        </w:rPr>
        <w:t>宽；</w:t>
      </w:r>
    </w:p>
    <w:p w:rsidR="002A5A5E" w:rsidRPr="00F9522B" w:rsidRDefault="00611CBA">
      <w:pPr>
        <w:spacing w:line="360" w:lineRule="auto"/>
        <w:ind w:firstLineChars="200" w:firstLine="480"/>
        <w:rPr>
          <w:rFonts w:eastAsiaTheme="minorEastAsia"/>
          <w:kern w:val="0"/>
          <w:sz w:val="24"/>
          <w:szCs w:val="22"/>
        </w:rPr>
      </w:pPr>
      <w:r w:rsidRPr="00F9522B">
        <w:rPr>
          <w:rFonts w:eastAsiaTheme="minorEastAsia"/>
          <w:kern w:val="0"/>
          <w:sz w:val="24"/>
          <w:szCs w:val="22"/>
        </w:rPr>
        <w:t>生产路：砂石路面，</w:t>
      </w:r>
      <w:r w:rsidRPr="00F9522B">
        <w:rPr>
          <w:rFonts w:eastAsiaTheme="minorEastAsia"/>
          <w:sz w:val="24"/>
        </w:rPr>
        <w:t>路面宽</w:t>
      </w:r>
      <w:r w:rsidRPr="00F9522B">
        <w:rPr>
          <w:rFonts w:eastAsiaTheme="minorEastAsia"/>
          <w:sz w:val="24"/>
        </w:rPr>
        <w:t>3m</w:t>
      </w:r>
      <w:r w:rsidRPr="00F9522B">
        <w:rPr>
          <w:rFonts w:eastAsiaTheme="minorEastAsia"/>
          <w:sz w:val="24"/>
        </w:rPr>
        <w:t>、</w:t>
      </w:r>
      <w:r w:rsidRPr="00F9522B">
        <w:rPr>
          <w:rFonts w:eastAsiaTheme="minorEastAsia"/>
          <w:sz w:val="24"/>
        </w:rPr>
        <w:t>3.5m</w:t>
      </w:r>
      <w:r w:rsidRPr="00F9522B">
        <w:rPr>
          <w:rFonts w:eastAsiaTheme="minorEastAsia"/>
          <w:kern w:val="0"/>
          <w:sz w:val="24"/>
          <w:szCs w:val="22"/>
        </w:rPr>
        <w:t>，两侧不设路肩</w:t>
      </w:r>
    </w:p>
    <w:p w:rsidR="002A5A5E" w:rsidRPr="00F9522B" w:rsidRDefault="00611CBA">
      <w:pPr>
        <w:spacing w:line="360" w:lineRule="auto"/>
        <w:ind w:firstLineChars="200" w:firstLine="480"/>
        <w:rPr>
          <w:rFonts w:eastAsiaTheme="minorEastAsia"/>
          <w:kern w:val="0"/>
          <w:sz w:val="24"/>
          <w:szCs w:val="22"/>
        </w:rPr>
      </w:pPr>
      <w:r w:rsidRPr="00F9522B">
        <w:rPr>
          <w:rFonts w:eastAsiaTheme="minorEastAsia"/>
          <w:kern w:val="0"/>
          <w:sz w:val="24"/>
          <w:szCs w:val="22"/>
        </w:rPr>
        <w:t>路面结构类型：由</w:t>
      </w:r>
      <w:r w:rsidRPr="00F9522B">
        <w:rPr>
          <w:rFonts w:eastAsiaTheme="minorEastAsia"/>
          <w:sz w:val="24"/>
        </w:rPr>
        <w:t>土路改为</w:t>
      </w:r>
      <w:r w:rsidRPr="00F9522B">
        <w:rPr>
          <w:rFonts w:eastAsiaTheme="minorEastAsia"/>
          <w:kern w:val="0"/>
          <w:sz w:val="24"/>
          <w:szCs w:val="22"/>
        </w:rPr>
        <w:t>水泥混凝土路面、砂石路面</w:t>
      </w:r>
    </w:p>
    <w:p w:rsidR="002A5A5E" w:rsidRPr="00F9522B" w:rsidRDefault="00611CBA">
      <w:pPr>
        <w:spacing w:line="360" w:lineRule="auto"/>
        <w:ind w:firstLineChars="200" w:firstLine="480"/>
        <w:rPr>
          <w:rFonts w:eastAsiaTheme="minorEastAsia"/>
          <w:b/>
          <w:sz w:val="28"/>
          <w:szCs w:val="28"/>
        </w:rPr>
      </w:pPr>
      <w:r w:rsidRPr="00F9522B">
        <w:rPr>
          <w:rFonts w:eastAsiaTheme="minorEastAsia"/>
          <w:sz w:val="24"/>
        </w:rPr>
        <w:t>（</w:t>
      </w:r>
      <w:r w:rsidRPr="00F9522B">
        <w:rPr>
          <w:rFonts w:eastAsiaTheme="minorEastAsia"/>
          <w:kern w:val="0"/>
          <w:sz w:val="24"/>
          <w:szCs w:val="22"/>
        </w:rPr>
        <w:t>2</w:t>
      </w:r>
      <w:r w:rsidRPr="00F9522B">
        <w:rPr>
          <w:rFonts w:eastAsiaTheme="minorEastAsia"/>
          <w:kern w:val="0"/>
          <w:sz w:val="24"/>
          <w:szCs w:val="22"/>
        </w:rPr>
        <w:t>）生产路</w:t>
      </w:r>
    </w:p>
    <w:p w:rsidR="002A5A5E" w:rsidRPr="00F9522B" w:rsidRDefault="00611CBA">
      <w:pPr>
        <w:spacing w:line="360" w:lineRule="auto"/>
        <w:ind w:firstLineChars="200" w:firstLine="480"/>
        <w:rPr>
          <w:rFonts w:eastAsiaTheme="minorEastAsia"/>
          <w:kern w:val="0"/>
          <w:sz w:val="24"/>
          <w:szCs w:val="22"/>
        </w:rPr>
      </w:pPr>
      <w:r w:rsidRPr="00F9522B">
        <w:rPr>
          <w:rFonts w:eastAsiaTheme="minorEastAsia"/>
          <w:kern w:val="0"/>
          <w:sz w:val="24"/>
          <w:szCs w:val="22"/>
        </w:rPr>
        <w:t>本项目修缮生产路（砂石路面）</w:t>
      </w:r>
      <w:r w:rsidR="005954A2" w:rsidRPr="00F9522B">
        <w:rPr>
          <w:rFonts w:eastAsiaTheme="minorEastAsia"/>
          <w:bCs/>
          <w:sz w:val="24"/>
        </w:rPr>
        <w:t>635</w:t>
      </w:r>
      <w:r w:rsidR="005954A2" w:rsidRPr="00F9522B">
        <w:rPr>
          <w:rFonts w:eastAsiaTheme="minorEastAsia"/>
          <w:bCs/>
          <w:sz w:val="24"/>
        </w:rPr>
        <w:t>条，共</w:t>
      </w:r>
      <w:r w:rsidR="005954A2" w:rsidRPr="00F9522B">
        <w:rPr>
          <w:rFonts w:eastAsiaTheme="minorEastAsia"/>
          <w:bCs/>
          <w:sz w:val="24"/>
        </w:rPr>
        <w:t>408.223km</w:t>
      </w:r>
      <w:r w:rsidRPr="00F9522B">
        <w:rPr>
          <w:rFonts w:eastAsiaTheme="minorEastAsia"/>
          <w:kern w:val="0"/>
          <w:sz w:val="24"/>
          <w:szCs w:val="22"/>
        </w:rPr>
        <w:t>。机耕路（砂石路）结构由上至下：路基</w:t>
      </w:r>
      <w:r w:rsidRPr="00F9522B">
        <w:rPr>
          <w:rFonts w:eastAsiaTheme="minorEastAsia"/>
          <w:kern w:val="0"/>
          <w:sz w:val="24"/>
          <w:szCs w:val="22"/>
        </w:rPr>
        <w:t>30cm</w:t>
      </w:r>
      <w:r w:rsidRPr="00F9522B">
        <w:rPr>
          <w:rFonts w:eastAsiaTheme="minorEastAsia"/>
          <w:kern w:val="0"/>
          <w:sz w:val="24"/>
          <w:szCs w:val="22"/>
        </w:rPr>
        <w:t>厚土毛石基层，上铺</w:t>
      </w:r>
      <w:r w:rsidRPr="00F9522B">
        <w:rPr>
          <w:rFonts w:eastAsiaTheme="minorEastAsia"/>
          <w:kern w:val="0"/>
          <w:sz w:val="24"/>
          <w:szCs w:val="22"/>
        </w:rPr>
        <w:t>5cm</w:t>
      </w:r>
      <w:r w:rsidRPr="00F9522B">
        <w:rPr>
          <w:rFonts w:eastAsiaTheme="minorEastAsia"/>
          <w:kern w:val="0"/>
          <w:sz w:val="24"/>
          <w:szCs w:val="22"/>
        </w:rPr>
        <w:t>厚风化砂面层，路面单向坡</w:t>
      </w:r>
      <w:r w:rsidRPr="00F9522B">
        <w:rPr>
          <w:rFonts w:eastAsiaTheme="minorEastAsia"/>
          <w:kern w:val="0"/>
          <w:sz w:val="24"/>
          <w:szCs w:val="22"/>
        </w:rPr>
        <w:t>3%</w:t>
      </w:r>
      <w:r w:rsidRPr="00F9522B">
        <w:rPr>
          <w:rFonts w:eastAsiaTheme="minorEastAsia"/>
          <w:kern w:val="0"/>
          <w:sz w:val="24"/>
          <w:szCs w:val="22"/>
        </w:rPr>
        <w:t>，生产路路基压实度</w:t>
      </w:r>
      <w:r w:rsidRPr="00F9522B">
        <w:rPr>
          <w:rFonts w:eastAsiaTheme="minorEastAsia"/>
          <w:kern w:val="0"/>
          <w:sz w:val="24"/>
          <w:szCs w:val="22"/>
        </w:rPr>
        <w:t>≥94%</w:t>
      </w:r>
      <w:r w:rsidRPr="00F9522B">
        <w:rPr>
          <w:rFonts w:eastAsiaTheme="minorEastAsia"/>
          <w:kern w:val="0"/>
          <w:sz w:val="24"/>
          <w:szCs w:val="22"/>
        </w:rPr>
        <w:t>。</w:t>
      </w:r>
    </w:p>
    <w:p w:rsidR="002A5A5E" w:rsidRPr="00F9522B" w:rsidRDefault="00611CBA">
      <w:pPr>
        <w:spacing w:line="360" w:lineRule="auto"/>
        <w:ind w:firstLineChars="200" w:firstLine="480"/>
        <w:rPr>
          <w:rFonts w:eastAsiaTheme="minorEastAsia"/>
          <w:kern w:val="0"/>
          <w:sz w:val="24"/>
          <w:szCs w:val="22"/>
        </w:rPr>
      </w:pPr>
      <w:r w:rsidRPr="00F9522B">
        <w:rPr>
          <w:rFonts w:eastAsiaTheme="minorEastAsia"/>
          <w:kern w:val="0"/>
          <w:sz w:val="24"/>
          <w:szCs w:val="22"/>
        </w:rPr>
        <w:t>（</w:t>
      </w:r>
      <w:r w:rsidRPr="00F9522B">
        <w:rPr>
          <w:rFonts w:eastAsiaTheme="minorEastAsia"/>
          <w:kern w:val="0"/>
          <w:sz w:val="24"/>
          <w:szCs w:val="22"/>
        </w:rPr>
        <w:t>3</w:t>
      </w:r>
      <w:r w:rsidRPr="00F9522B">
        <w:rPr>
          <w:rFonts w:eastAsiaTheme="minorEastAsia"/>
          <w:kern w:val="0"/>
          <w:sz w:val="24"/>
          <w:szCs w:val="22"/>
        </w:rPr>
        <w:t>）机耕路</w:t>
      </w:r>
    </w:p>
    <w:p w:rsidR="002A5A5E" w:rsidRPr="00F9522B" w:rsidRDefault="00611CBA">
      <w:pPr>
        <w:spacing w:line="360" w:lineRule="auto"/>
        <w:ind w:firstLineChars="200" w:firstLine="480"/>
        <w:rPr>
          <w:rFonts w:eastAsiaTheme="minorEastAsia"/>
          <w:kern w:val="0"/>
          <w:sz w:val="24"/>
          <w:szCs w:val="22"/>
        </w:rPr>
      </w:pPr>
      <w:r w:rsidRPr="00F9522B">
        <w:rPr>
          <w:rFonts w:eastAsiaTheme="minorEastAsia"/>
          <w:kern w:val="0"/>
          <w:sz w:val="24"/>
          <w:szCs w:val="22"/>
        </w:rPr>
        <w:t>本项目修缮机耕路（水泥混凝土路面）</w:t>
      </w:r>
      <w:r w:rsidR="005954A2" w:rsidRPr="00F9522B">
        <w:rPr>
          <w:rFonts w:eastAsiaTheme="minorEastAsia"/>
          <w:bCs/>
          <w:sz w:val="24"/>
        </w:rPr>
        <w:t>157</w:t>
      </w:r>
      <w:r w:rsidR="005954A2" w:rsidRPr="00F9522B">
        <w:rPr>
          <w:rFonts w:eastAsiaTheme="minorEastAsia"/>
          <w:bCs/>
          <w:sz w:val="24"/>
        </w:rPr>
        <w:t>条，共</w:t>
      </w:r>
      <w:r w:rsidR="005954A2" w:rsidRPr="00F9522B">
        <w:rPr>
          <w:rFonts w:eastAsiaTheme="minorEastAsia"/>
          <w:bCs/>
          <w:sz w:val="24"/>
        </w:rPr>
        <w:t>129.289km</w:t>
      </w:r>
      <w:r w:rsidRPr="00F9522B">
        <w:rPr>
          <w:rFonts w:eastAsiaTheme="minorEastAsia"/>
          <w:kern w:val="0"/>
          <w:sz w:val="24"/>
          <w:szCs w:val="22"/>
        </w:rPr>
        <w:t>。结构层自下</w:t>
      </w:r>
      <w:r w:rsidRPr="00F9522B">
        <w:rPr>
          <w:rFonts w:eastAsiaTheme="minorEastAsia"/>
          <w:kern w:val="0"/>
          <w:sz w:val="24"/>
          <w:szCs w:val="22"/>
        </w:rPr>
        <w:lastRenderedPageBreak/>
        <w:t>而上为</w:t>
      </w:r>
      <w:r w:rsidRPr="00F9522B">
        <w:rPr>
          <w:rFonts w:eastAsiaTheme="minorEastAsia"/>
          <w:kern w:val="0"/>
          <w:sz w:val="24"/>
          <w:szCs w:val="22"/>
        </w:rPr>
        <w:t>20cm5%</w:t>
      </w:r>
      <w:r w:rsidRPr="00F9522B">
        <w:rPr>
          <w:rFonts w:eastAsiaTheme="minorEastAsia"/>
          <w:kern w:val="0"/>
          <w:sz w:val="24"/>
          <w:szCs w:val="22"/>
        </w:rPr>
        <w:t>水泥稳定碎石基层，上铺</w:t>
      </w:r>
      <w:r w:rsidRPr="00F9522B">
        <w:rPr>
          <w:rFonts w:eastAsiaTheme="minorEastAsia"/>
          <w:kern w:val="0"/>
          <w:sz w:val="24"/>
          <w:szCs w:val="22"/>
        </w:rPr>
        <w:t>20cm C30</w:t>
      </w:r>
      <w:r w:rsidRPr="00F9522B">
        <w:rPr>
          <w:rFonts w:eastAsiaTheme="minorEastAsia"/>
          <w:kern w:val="0"/>
          <w:sz w:val="24"/>
          <w:szCs w:val="22"/>
        </w:rPr>
        <w:t>混凝土路面，两侧各</w:t>
      </w:r>
      <w:r w:rsidRPr="00F9522B">
        <w:rPr>
          <w:rFonts w:eastAsiaTheme="minorEastAsia"/>
          <w:kern w:val="0"/>
          <w:sz w:val="24"/>
          <w:szCs w:val="22"/>
        </w:rPr>
        <w:t>0.</w:t>
      </w:r>
      <w:r w:rsidR="00AE0F1D" w:rsidRPr="00F9522B">
        <w:rPr>
          <w:rFonts w:eastAsiaTheme="minorEastAsia"/>
          <w:kern w:val="0"/>
          <w:sz w:val="24"/>
          <w:szCs w:val="22"/>
        </w:rPr>
        <w:t>3</w:t>
      </w:r>
      <w:r w:rsidRPr="00F9522B">
        <w:rPr>
          <w:rFonts w:eastAsiaTheme="minorEastAsia"/>
          <w:kern w:val="0"/>
          <w:sz w:val="24"/>
          <w:szCs w:val="22"/>
        </w:rPr>
        <w:t>m</w:t>
      </w:r>
      <w:r w:rsidRPr="00F9522B">
        <w:rPr>
          <w:rFonts w:eastAsiaTheme="minorEastAsia"/>
          <w:kern w:val="0"/>
          <w:sz w:val="24"/>
          <w:szCs w:val="22"/>
        </w:rPr>
        <w:t>土路肩。</w:t>
      </w:r>
      <w:r w:rsidRPr="00F9522B">
        <w:rPr>
          <w:rFonts w:eastAsiaTheme="minorEastAsia"/>
          <w:bCs/>
          <w:kern w:val="0"/>
          <w:sz w:val="24"/>
          <w:szCs w:val="22"/>
        </w:rPr>
        <w:t>混凝土路面单向横坡为</w:t>
      </w:r>
      <w:r w:rsidRPr="00F9522B">
        <w:rPr>
          <w:rFonts w:eastAsiaTheme="minorEastAsia"/>
          <w:bCs/>
          <w:kern w:val="0"/>
          <w:sz w:val="24"/>
          <w:szCs w:val="22"/>
        </w:rPr>
        <w:t>1.5%</w:t>
      </w:r>
      <w:r w:rsidRPr="00F9522B">
        <w:rPr>
          <w:rFonts w:eastAsiaTheme="minorEastAsia"/>
          <w:bCs/>
          <w:kern w:val="0"/>
          <w:sz w:val="24"/>
          <w:szCs w:val="22"/>
        </w:rPr>
        <w:t>，路肩横坡为</w:t>
      </w:r>
      <w:r w:rsidRPr="00F9522B">
        <w:rPr>
          <w:rFonts w:eastAsiaTheme="minorEastAsia"/>
          <w:bCs/>
          <w:kern w:val="0"/>
          <w:sz w:val="24"/>
          <w:szCs w:val="22"/>
        </w:rPr>
        <w:t>2.5%</w:t>
      </w:r>
      <w:r w:rsidRPr="00F9522B">
        <w:rPr>
          <w:rFonts w:eastAsiaTheme="minorEastAsia"/>
          <w:bCs/>
          <w:kern w:val="0"/>
          <w:sz w:val="24"/>
          <w:szCs w:val="22"/>
        </w:rPr>
        <w:t>，路肩压实度不小于</w:t>
      </w:r>
      <w:r w:rsidRPr="00F9522B">
        <w:rPr>
          <w:rFonts w:eastAsiaTheme="minorEastAsia"/>
          <w:bCs/>
          <w:kern w:val="0"/>
          <w:sz w:val="24"/>
          <w:szCs w:val="22"/>
        </w:rPr>
        <w:t>9</w:t>
      </w:r>
      <w:r w:rsidR="00AE0F1D" w:rsidRPr="00F9522B">
        <w:rPr>
          <w:rFonts w:eastAsiaTheme="minorEastAsia"/>
          <w:bCs/>
          <w:kern w:val="0"/>
          <w:sz w:val="24"/>
          <w:szCs w:val="22"/>
        </w:rPr>
        <w:t>4</w:t>
      </w:r>
      <w:r w:rsidRPr="00F9522B">
        <w:rPr>
          <w:rFonts w:eastAsiaTheme="minorEastAsia"/>
          <w:bCs/>
          <w:kern w:val="0"/>
          <w:sz w:val="24"/>
          <w:szCs w:val="22"/>
        </w:rPr>
        <w:t>%</w:t>
      </w:r>
      <w:r w:rsidRPr="00F9522B">
        <w:rPr>
          <w:rFonts w:eastAsiaTheme="minorEastAsia"/>
          <w:bCs/>
          <w:kern w:val="0"/>
          <w:sz w:val="24"/>
          <w:szCs w:val="22"/>
        </w:rPr>
        <w:t>。</w:t>
      </w:r>
    </w:p>
    <w:p w:rsidR="002A5A5E" w:rsidRPr="00F9522B" w:rsidRDefault="00611CBA">
      <w:pPr>
        <w:spacing w:line="360" w:lineRule="auto"/>
        <w:ind w:firstLineChars="200" w:firstLine="480"/>
        <w:rPr>
          <w:rFonts w:eastAsiaTheme="minorEastAsia"/>
          <w:kern w:val="0"/>
          <w:sz w:val="24"/>
          <w:szCs w:val="22"/>
        </w:rPr>
      </w:pPr>
      <w:r w:rsidRPr="00F9522B">
        <w:rPr>
          <w:rFonts w:eastAsiaTheme="minorEastAsia"/>
          <w:kern w:val="0"/>
          <w:sz w:val="24"/>
          <w:szCs w:val="22"/>
        </w:rPr>
        <w:t>面层：面层采用水泥混凝土路面，板厚为</w:t>
      </w:r>
      <w:r w:rsidRPr="00F9522B">
        <w:rPr>
          <w:rFonts w:eastAsiaTheme="minorEastAsia"/>
          <w:kern w:val="0"/>
          <w:sz w:val="24"/>
          <w:szCs w:val="22"/>
        </w:rPr>
        <w:t>20cm</w:t>
      </w:r>
      <w:r w:rsidRPr="00F9522B">
        <w:rPr>
          <w:rFonts w:eastAsiaTheme="minorEastAsia"/>
          <w:kern w:val="0"/>
          <w:sz w:val="24"/>
          <w:szCs w:val="22"/>
        </w:rPr>
        <w:t>，采用</w:t>
      </w:r>
      <w:r w:rsidRPr="00F9522B">
        <w:rPr>
          <w:rFonts w:eastAsiaTheme="minorEastAsia"/>
          <w:kern w:val="0"/>
          <w:sz w:val="24"/>
          <w:szCs w:val="22"/>
        </w:rPr>
        <w:t>P.O42.5</w:t>
      </w:r>
      <w:r w:rsidRPr="00F9522B">
        <w:rPr>
          <w:rFonts w:eastAsiaTheme="minorEastAsia"/>
          <w:kern w:val="0"/>
          <w:sz w:val="24"/>
          <w:szCs w:val="22"/>
        </w:rPr>
        <w:t>普通硅酸盐水泥，其物理性质和化学性质应符合国颁标准。水泥混凝土路面具有耐磨、抗变形能力强，使用寿命长，养护费用少，防水性能好的优点。</w:t>
      </w:r>
    </w:p>
    <w:p w:rsidR="002A5A5E" w:rsidRPr="00F9522B" w:rsidRDefault="00611CBA">
      <w:pPr>
        <w:spacing w:line="360" w:lineRule="auto"/>
        <w:ind w:firstLineChars="200" w:firstLine="480"/>
        <w:rPr>
          <w:rFonts w:eastAsiaTheme="minorEastAsia"/>
          <w:kern w:val="0"/>
          <w:sz w:val="24"/>
          <w:szCs w:val="22"/>
        </w:rPr>
      </w:pPr>
      <w:r w:rsidRPr="00F9522B">
        <w:rPr>
          <w:rFonts w:eastAsiaTheme="minorEastAsia"/>
          <w:kern w:val="0"/>
          <w:sz w:val="24"/>
          <w:szCs w:val="22"/>
        </w:rPr>
        <w:t>基层：基层采用</w:t>
      </w:r>
      <w:r w:rsidRPr="00F9522B">
        <w:rPr>
          <w:rFonts w:eastAsiaTheme="minorEastAsia"/>
          <w:kern w:val="0"/>
          <w:sz w:val="24"/>
          <w:szCs w:val="22"/>
        </w:rPr>
        <w:t>5%</w:t>
      </w:r>
      <w:r w:rsidRPr="00F9522B">
        <w:rPr>
          <w:rFonts w:eastAsiaTheme="minorEastAsia"/>
          <w:kern w:val="0"/>
          <w:sz w:val="24"/>
          <w:szCs w:val="22"/>
        </w:rPr>
        <w:t>水泥稳定碎石结构，厚度为</w:t>
      </w:r>
      <w:r w:rsidRPr="00F9522B">
        <w:rPr>
          <w:rFonts w:eastAsiaTheme="minorEastAsia"/>
          <w:kern w:val="0"/>
          <w:sz w:val="24"/>
          <w:szCs w:val="22"/>
        </w:rPr>
        <w:t>20cm</w:t>
      </w:r>
      <w:r w:rsidRPr="00F9522B">
        <w:rPr>
          <w:rFonts w:eastAsiaTheme="minorEastAsia"/>
          <w:kern w:val="0"/>
          <w:sz w:val="24"/>
          <w:szCs w:val="22"/>
        </w:rPr>
        <w:t>，采用</w:t>
      </w:r>
      <w:r w:rsidRPr="00F9522B">
        <w:rPr>
          <w:rFonts w:eastAsiaTheme="minorEastAsia"/>
          <w:kern w:val="0"/>
          <w:sz w:val="24"/>
          <w:szCs w:val="22"/>
        </w:rPr>
        <w:t>P.O42.5</w:t>
      </w:r>
      <w:r w:rsidRPr="00F9522B">
        <w:rPr>
          <w:rFonts w:eastAsiaTheme="minorEastAsia"/>
          <w:kern w:val="0"/>
          <w:sz w:val="24"/>
          <w:szCs w:val="22"/>
        </w:rPr>
        <w:t>普通硅酸盐水泥。</w:t>
      </w:r>
      <w:r w:rsidR="00AE0F1D" w:rsidRPr="00F9522B">
        <w:rPr>
          <w:rFonts w:eastAsiaTheme="minorEastAsia"/>
          <w:kern w:val="0"/>
          <w:sz w:val="24"/>
          <w:szCs w:val="22"/>
        </w:rPr>
        <w:t>碎石必须由</w:t>
      </w:r>
      <w:r w:rsidR="00AE0F1D" w:rsidRPr="00F9522B">
        <w:rPr>
          <w:rFonts w:eastAsiaTheme="minorEastAsia"/>
          <w:kern w:val="0"/>
          <w:sz w:val="24"/>
          <w:szCs w:val="22"/>
        </w:rPr>
        <w:t>3</w:t>
      </w:r>
      <w:r w:rsidR="00AE0F1D" w:rsidRPr="00F9522B">
        <w:rPr>
          <w:rFonts w:eastAsiaTheme="minorEastAsia"/>
          <w:kern w:val="0"/>
          <w:sz w:val="24"/>
          <w:szCs w:val="22"/>
        </w:rPr>
        <w:t>～</w:t>
      </w:r>
      <w:r w:rsidR="00AE0F1D" w:rsidRPr="00F9522B">
        <w:rPr>
          <w:rFonts w:eastAsiaTheme="minorEastAsia"/>
          <w:kern w:val="0"/>
          <w:sz w:val="24"/>
          <w:szCs w:val="22"/>
        </w:rPr>
        <w:t>4</w:t>
      </w:r>
      <w:r w:rsidR="00AE0F1D" w:rsidRPr="00F9522B">
        <w:rPr>
          <w:rFonts w:eastAsiaTheme="minorEastAsia"/>
          <w:kern w:val="0"/>
          <w:sz w:val="24"/>
          <w:szCs w:val="22"/>
        </w:rPr>
        <w:t>种粒级规格的骨料组成，实行分仓配料。宜按</w:t>
      </w:r>
      <w:r w:rsidR="00AE0F1D" w:rsidRPr="00F9522B">
        <w:rPr>
          <w:rFonts w:eastAsiaTheme="minorEastAsia"/>
          <w:kern w:val="0"/>
          <w:sz w:val="24"/>
          <w:szCs w:val="22"/>
        </w:rPr>
        <w:t>15</w:t>
      </w:r>
      <w:r w:rsidR="00AE0F1D" w:rsidRPr="00F9522B">
        <w:rPr>
          <w:rFonts w:eastAsiaTheme="minorEastAsia"/>
          <w:kern w:val="0"/>
          <w:sz w:val="24"/>
          <w:szCs w:val="22"/>
        </w:rPr>
        <w:t>～</w:t>
      </w:r>
      <w:r w:rsidR="00AE0F1D" w:rsidRPr="00F9522B">
        <w:rPr>
          <w:rFonts w:eastAsiaTheme="minorEastAsia"/>
          <w:kern w:val="0"/>
          <w:sz w:val="24"/>
          <w:szCs w:val="22"/>
        </w:rPr>
        <w:t>30mm</w:t>
      </w:r>
      <w:r w:rsidR="00AE0F1D" w:rsidRPr="00F9522B">
        <w:rPr>
          <w:rFonts w:eastAsiaTheme="minorEastAsia"/>
          <w:kern w:val="0"/>
          <w:sz w:val="24"/>
          <w:szCs w:val="22"/>
        </w:rPr>
        <w:t>、</w:t>
      </w:r>
      <w:r w:rsidR="00AE0F1D" w:rsidRPr="00F9522B">
        <w:rPr>
          <w:rFonts w:eastAsiaTheme="minorEastAsia"/>
          <w:kern w:val="0"/>
          <w:sz w:val="24"/>
          <w:szCs w:val="22"/>
        </w:rPr>
        <w:t>5</w:t>
      </w:r>
      <w:r w:rsidR="00AE0F1D" w:rsidRPr="00F9522B">
        <w:rPr>
          <w:rFonts w:eastAsiaTheme="minorEastAsia"/>
          <w:kern w:val="0"/>
          <w:sz w:val="24"/>
          <w:szCs w:val="22"/>
        </w:rPr>
        <w:t>～</w:t>
      </w:r>
      <w:r w:rsidR="00AE0F1D" w:rsidRPr="00F9522B">
        <w:rPr>
          <w:rFonts w:eastAsiaTheme="minorEastAsia"/>
          <w:kern w:val="0"/>
          <w:sz w:val="24"/>
          <w:szCs w:val="22"/>
        </w:rPr>
        <w:t>15mm</w:t>
      </w:r>
      <w:r w:rsidR="00AE0F1D" w:rsidRPr="00F9522B">
        <w:rPr>
          <w:rFonts w:eastAsiaTheme="minorEastAsia"/>
          <w:kern w:val="0"/>
          <w:sz w:val="24"/>
          <w:szCs w:val="22"/>
        </w:rPr>
        <w:t>、</w:t>
      </w:r>
      <w:r w:rsidR="00AE0F1D" w:rsidRPr="00F9522B">
        <w:rPr>
          <w:rFonts w:eastAsiaTheme="minorEastAsia"/>
          <w:kern w:val="0"/>
          <w:sz w:val="24"/>
          <w:szCs w:val="22"/>
        </w:rPr>
        <w:t>0</w:t>
      </w:r>
      <w:r w:rsidR="00AE0F1D" w:rsidRPr="00F9522B">
        <w:rPr>
          <w:rFonts w:eastAsiaTheme="minorEastAsia"/>
          <w:kern w:val="0"/>
          <w:sz w:val="24"/>
          <w:szCs w:val="22"/>
        </w:rPr>
        <w:t>～</w:t>
      </w:r>
      <w:r w:rsidR="00AE0F1D" w:rsidRPr="00F9522B">
        <w:rPr>
          <w:rFonts w:eastAsiaTheme="minorEastAsia"/>
          <w:kern w:val="0"/>
          <w:sz w:val="24"/>
          <w:szCs w:val="22"/>
        </w:rPr>
        <w:t>5mm</w:t>
      </w:r>
      <w:r w:rsidR="00AE0F1D" w:rsidRPr="00F9522B">
        <w:rPr>
          <w:rFonts w:eastAsiaTheme="minorEastAsia"/>
          <w:kern w:val="0"/>
          <w:sz w:val="24"/>
          <w:szCs w:val="22"/>
        </w:rPr>
        <w:t>分级，然后按比例掺配，不得直接使用天然级配碎石。水泥采用普通硅酸盐水泥</w:t>
      </w:r>
      <w:r w:rsidRPr="00F9522B">
        <w:rPr>
          <w:rFonts w:eastAsiaTheme="minorEastAsia"/>
          <w:kern w:val="0"/>
          <w:sz w:val="24"/>
          <w:szCs w:val="22"/>
        </w:rPr>
        <w:t>。施工前由现场实验室按规范或设计推荐的比例进行混合料配比方案试验，混合料试件的</w:t>
      </w:r>
      <w:r w:rsidRPr="00F9522B">
        <w:rPr>
          <w:rFonts w:eastAsiaTheme="minorEastAsia"/>
          <w:kern w:val="0"/>
          <w:sz w:val="24"/>
          <w:szCs w:val="22"/>
        </w:rPr>
        <w:t>7</w:t>
      </w:r>
      <w:r w:rsidRPr="00F9522B">
        <w:rPr>
          <w:rFonts w:eastAsiaTheme="minorEastAsia"/>
          <w:kern w:val="0"/>
          <w:sz w:val="24"/>
          <w:szCs w:val="22"/>
        </w:rPr>
        <w:t>天无侧限抗压强度不小于</w:t>
      </w:r>
      <w:r w:rsidRPr="00F9522B">
        <w:rPr>
          <w:rFonts w:eastAsiaTheme="minorEastAsia"/>
          <w:kern w:val="0"/>
          <w:sz w:val="24"/>
          <w:szCs w:val="22"/>
        </w:rPr>
        <w:t>2.</w:t>
      </w:r>
      <w:r w:rsidR="00AE0F1D" w:rsidRPr="00F9522B">
        <w:rPr>
          <w:rFonts w:eastAsiaTheme="minorEastAsia"/>
          <w:kern w:val="0"/>
          <w:sz w:val="24"/>
          <w:szCs w:val="22"/>
        </w:rPr>
        <w:t>5</w:t>
      </w:r>
      <w:r w:rsidRPr="00F9522B">
        <w:rPr>
          <w:rFonts w:eastAsiaTheme="minorEastAsia"/>
          <w:kern w:val="0"/>
          <w:sz w:val="24"/>
          <w:szCs w:val="22"/>
        </w:rPr>
        <w:t>Mpa</w:t>
      </w:r>
      <w:r w:rsidRPr="00F9522B">
        <w:rPr>
          <w:rFonts w:eastAsiaTheme="minorEastAsia"/>
          <w:kern w:val="0"/>
          <w:sz w:val="24"/>
          <w:szCs w:val="22"/>
        </w:rPr>
        <w:t>，抗压回弹模量</w:t>
      </w:r>
      <w:r w:rsidRPr="00F9522B">
        <w:rPr>
          <w:rFonts w:eastAsiaTheme="minorEastAsia"/>
          <w:kern w:val="0"/>
          <w:sz w:val="24"/>
          <w:szCs w:val="22"/>
        </w:rPr>
        <w:t>≥40MPa</w:t>
      </w:r>
      <w:r w:rsidRPr="00F9522B">
        <w:rPr>
          <w:rFonts w:eastAsiaTheme="minorEastAsia"/>
          <w:kern w:val="0"/>
          <w:sz w:val="24"/>
          <w:szCs w:val="22"/>
        </w:rPr>
        <w:t>，压实度</w:t>
      </w:r>
      <w:r w:rsidRPr="00F9522B">
        <w:rPr>
          <w:rFonts w:eastAsiaTheme="minorEastAsia"/>
          <w:kern w:val="0"/>
          <w:sz w:val="24"/>
          <w:szCs w:val="22"/>
        </w:rPr>
        <w:t>≥9</w:t>
      </w:r>
      <w:r w:rsidR="00AE0F1D" w:rsidRPr="00F9522B">
        <w:rPr>
          <w:rFonts w:eastAsiaTheme="minorEastAsia"/>
          <w:kern w:val="0"/>
          <w:sz w:val="24"/>
          <w:szCs w:val="22"/>
        </w:rPr>
        <w:t>7</w:t>
      </w:r>
      <w:r w:rsidRPr="00F9522B">
        <w:rPr>
          <w:rFonts w:eastAsiaTheme="minorEastAsia"/>
          <w:kern w:val="0"/>
          <w:sz w:val="24"/>
          <w:szCs w:val="22"/>
        </w:rPr>
        <w:t>%</w:t>
      </w:r>
      <w:r w:rsidRPr="00F9522B">
        <w:rPr>
          <w:rFonts w:eastAsiaTheme="minorEastAsia"/>
          <w:kern w:val="0"/>
          <w:sz w:val="24"/>
          <w:szCs w:val="22"/>
        </w:rPr>
        <w:t>。</w:t>
      </w:r>
    </w:p>
    <w:p w:rsidR="002A5A5E" w:rsidRPr="00F9522B" w:rsidRDefault="00611CBA">
      <w:pPr>
        <w:spacing w:line="360" w:lineRule="auto"/>
        <w:ind w:firstLineChars="200" w:firstLine="480"/>
        <w:rPr>
          <w:rFonts w:eastAsiaTheme="minorEastAsia"/>
          <w:kern w:val="0"/>
          <w:sz w:val="24"/>
          <w:szCs w:val="22"/>
        </w:rPr>
      </w:pPr>
      <w:r w:rsidRPr="00F9522B">
        <w:rPr>
          <w:rFonts w:eastAsiaTheme="minorEastAsia"/>
          <w:kern w:val="0"/>
          <w:sz w:val="24"/>
          <w:szCs w:val="22"/>
        </w:rPr>
        <w:t>垫层：铺设</w:t>
      </w:r>
      <w:r w:rsidRPr="00F9522B">
        <w:rPr>
          <w:rFonts w:eastAsiaTheme="minorEastAsia"/>
          <w:kern w:val="0"/>
          <w:sz w:val="24"/>
          <w:szCs w:val="22"/>
        </w:rPr>
        <w:t>30cm</w:t>
      </w:r>
      <w:r w:rsidRPr="00F9522B">
        <w:rPr>
          <w:rFonts w:eastAsiaTheme="minorEastAsia"/>
          <w:kern w:val="0"/>
          <w:sz w:val="24"/>
          <w:szCs w:val="22"/>
        </w:rPr>
        <w:t>山皮石垫层。山皮石垫层压实度不小于</w:t>
      </w:r>
      <w:r w:rsidRPr="00F9522B">
        <w:rPr>
          <w:rFonts w:eastAsiaTheme="minorEastAsia"/>
          <w:kern w:val="0"/>
          <w:sz w:val="24"/>
          <w:szCs w:val="22"/>
        </w:rPr>
        <w:t>94%</w:t>
      </w:r>
      <w:r w:rsidRPr="00F9522B">
        <w:rPr>
          <w:rFonts w:eastAsiaTheme="minorEastAsia"/>
          <w:kern w:val="0"/>
          <w:sz w:val="24"/>
          <w:szCs w:val="22"/>
        </w:rPr>
        <w:t>。</w:t>
      </w:r>
    </w:p>
    <w:p w:rsidR="002A5A5E" w:rsidRPr="00F9522B" w:rsidRDefault="00611CBA">
      <w:pPr>
        <w:autoSpaceDE w:val="0"/>
        <w:autoSpaceDN w:val="0"/>
        <w:spacing w:before="100" w:beforeAutospacing="1" w:after="100" w:afterAutospacing="1"/>
        <w:outlineLvl w:val="3"/>
        <w:rPr>
          <w:rFonts w:eastAsiaTheme="minorEastAsia"/>
          <w:b/>
          <w:sz w:val="24"/>
        </w:rPr>
      </w:pPr>
      <w:r w:rsidRPr="00F9522B">
        <w:rPr>
          <w:rFonts w:eastAsiaTheme="minorEastAsia"/>
          <w:b/>
          <w:sz w:val="24"/>
        </w:rPr>
        <w:t>3.1.6.3</w:t>
      </w:r>
      <w:r w:rsidRPr="00F9522B">
        <w:rPr>
          <w:rFonts w:eastAsiaTheme="minorEastAsia"/>
          <w:b/>
          <w:sz w:val="24"/>
        </w:rPr>
        <w:t>农田输配电工程</w:t>
      </w:r>
    </w:p>
    <w:p w:rsidR="002A5A5E" w:rsidRPr="00F9522B" w:rsidRDefault="003D06B8">
      <w:pPr>
        <w:adjustRightInd w:val="0"/>
        <w:snapToGrid w:val="0"/>
        <w:spacing w:line="360" w:lineRule="auto"/>
        <w:ind w:firstLineChars="200" w:firstLine="480"/>
        <w:jc w:val="left"/>
        <w:rPr>
          <w:rFonts w:eastAsiaTheme="minorEastAsia"/>
          <w:bCs/>
          <w:sz w:val="24"/>
        </w:rPr>
      </w:pPr>
      <w:r w:rsidRPr="00F9522B">
        <w:rPr>
          <w:rFonts w:eastAsiaTheme="minorEastAsia"/>
          <w:bCs/>
          <w:sz w:val="24"/>
        </w:rPr>
        <w:t>新建</w:t>
      </w:r>
      <w:r w:rsidRPr="00F9522B">
        <w:rPr>
          <w:rFonts w:eastAsiaTheme="minorEastAsia"/>
          <w:bCs/>
          <w:sz w:val="24"/>
        </w:rPr>
        <w:t>10kV</w:t>
      </w:r>
      <w:r w:rsidRPr="00F9522B">
        <w:rPr>
          <w:rFonts w:eastAsiaTheme="minorEastAsia"/>
          <w:bCs/>
          <w:sz w:val="24"/>
        </w:rPr>
        <w:t>高压电缆线路</w:t>
      </w:r>
      <w:r w:rsidRPr="00F9522B">
        <w:rPr>
          <w:rFonts w:eastAsiaTheme="minorEastAsia"/>
          <w:bCs/>
          <w:sz w:val="24"/>
        </w:rPr>
        <w:t>97.31km</w:t>
      </w:r>
      <w:r w:rsidRPr="00F9522B">
        <w:rPr>
          <w:rFonts w:eastAsiaTheme="minorEastAsia"/>
          <w:bCs/>
          <w:sz w:val="24"/>
        </w:rPr>
        <w:t>，其中</w:t>
      </w:r>
      <w:r w:rsidRPr="00F9522B">
        <w:rPr>
          <w:rFonts w:eastAsiaTheme="minorEastAsia"/>
          <w:bCs/>
          <w:sz w:val="24"/>
        </w:rPr>
        <w:t>10kV</w:t>
      </w:r>
      <w:r w:rsidRPr="00F9522B">
        <w:rPr>
          <w:rFonts w:eastAsiaTheme="minorEastAsia"/>
          <w:bCs/>
          <w:sz w:val="24"/>
        </w:rPr>
        <w:t>高压架空线路</w:t>
      </w:r>
      <w:r w:rsidRPr="00F9522B">
        <w:rPr>
          <w:rFonts w:eastAsiaTheme="minorEastAsia"/>
          <w:bCs/>
          <w:sz w:val="24"/>
        </w:rPr>
        <w:t>48.086km</w:t>
      </w:r>
      <w:r w:rsidRPr="00F9522B">
        <w:rPr>
          <w:rFonts w:eastAsiaTheme="minorEastAsia"/>
          <w:bCs/>
          <w:sz w:val="24"/>
        </w:rPr>
        <w:t>、地埋线路</w:t>
      </w:r>
      <w:r w:rsidRPr="00F9522B">
        <w:rPr>
          <w:rFonts w:eastAsiaTheme="minorEastAsia"/>
          <w:bCs/>
          <w:sz w:val="24"/>
        </w:rPr>
        <w:t>49.224km</w:t>
      </w:r>
      <w:r w:rsidRPr="00F9522B">
        <w:rPr>
          <w:rFonts w:eastAsiaTheme="minorEastAsia"/>
          <w:bCs/>
          <w:sz w:val="24"/>
        </w:rPr>
        <w:t>；新建</w:t>
      </w:r>
      <w:r w:rsidRPr="00F9522B">
        <w:rPr>
          <w:rFonts w:eastAsiaTheme="minorEastAsia"/>
          <w:bCs/>
          <w:sz w:val="24"/>
        </w:rPr>
        <w:t>0.4kV</w:t>
      </w:r>
      <w:r w:rsidRPr="00F9522B">
        <w:rPr>
          <w:rFonts w:eastAsiaTheme="minorEastAsia"/>
          <w:bCs/>
          <w:sz w:val="24"/>
        </w:rPr>
        <w:t>低压地埋线路</w:t>
      </w:r>
      <w:r w:rsidRPr="00F9522B">
        <w:rPr>
          <w:rFonts w:eastAsiaTheme="minorEastAsia"/>
          <w:bCs/>
          <w:sz w:val="24"/>
        </w:rPr>
        <w:t>29.676km</w:t>
      </w:r>
      <w:r w:rsidR="00611CBA" w:rsidRPr="00F9522B">
        <w:rPr>
          <w:rFonts w:eastAsiaTheme="minorEastAsia"/>
          <w:bCs/>
          <w:sz w:val="24"/>
        </w:rPr>
        <w:t>。</w:t>
      </w:r>
    </w:p>
    <w:p w:rsidR="002A5A5E" w:rsidRPr="00F9522B" w:rsidRDefault="002F3828" w:rsidP="002F3828">
      <w:pPr>
        <w:adjustRightInd w:val="0"/>
        <w:snapToGrid w:val="0"/>
        <w:spacing w:line="360" w:lineRule="auto"/>
        <w:ind w:firstLineChars="200" w:firstLine="480"/>
        <w:jc w:val="left"/>
        <w:rPr>
          <w:rFonts w:eastAsiaTheme="minorEastAsia"/>
          <w:kern w:val="0"/>
          <w:sz w:val="24"/>
          <w:szCs w:val="22"/>
        </w:rPr>
      </w:pPr>
      <w:r w:rsidRPr="00F9522B">
        <w:rPr>
          <w:rFonts w:eastAsiaTheme="minorEastAsia"/>
          <w:kern w:val="0"/>
          <w:sz w:val="24"/>
          <w:szCs w:val="22"/>
        </w:rPr>
        <w:t>高压电缆线路采用一用一备方式，双缆敷设，</w:t>
      </w:r>
      <w:r w:rsidR="00611CBA" w:rsidRPr="00F9522B">
        <w:rPr>
          <w:rFonts w:eastAsiaTheme="minorEastAsia"/>
          <w:kern w:val="0"/>
          <w:sz w:val="24"/>
          <w:szCs w:val="22"/>
        </w:rPr>
        <w:t>电源取自附近国网</w:t>
      </w:r>
      <w:r w:rsidR="00611CBA" w:rsidRPr="00F9522B">
        <w:rPr>
          <w:rFonts w:eastAsiaTheme="minorEastAsia"/>
          <w:kern w:val="0"/>
          <w:sz w:val="24"/>
          <w:szCs w:val="22"/>
        </w:rPr>
        <w:t>10kV</w:t>
      </w:r>
      <w:r w:rsidRPr="00F9522B">
        <w:rPr>
          <w:rFonts w:eastAsiaTheme="minorEastAsia"/>
          <w:kern w:val="0"/>
          <w:sz w:val="24"/>
          <w:szCs w:val="22"/>
        </w:rPr>
        <w:t>线路，</w:t>
      </w:r>
      <w:r w:rsidR="00611CBA" w:rsidRPr="00F9522B">
        <w:rPr>
          <w:rFonts w:eastAsiaTheme="minorEastAsia"/>
          <w:kern w:val="0"/>
          <w:sz w:val="24"/>
          <w:szCs w:val="22"/>
        </w:rPr>
        <w:t>接点</w:t>
      </w:r>
      <w:r w:rsidRPr="00F9522B">
        <w:rPr>
          <w:rFonts w:eastAsiaTheme="minorEastAsia"/>
          <w:kern w:val="0"/>
          <w:sz w:val="24"/>
          <w:szCs w:val="22"/>
        </w:rPr>
        <w:t>处安装一二次融合智能真空断路器、避雷器、跌落式熔断器、高压计量装置。</w:t>
      </w:r>
    </w:p>
    <w:p w:rsidR="002A5A5E" w:rsidRPr="00F9522B" w:rsidRDefault="00611CBA">
      <w:pPr>
        <w:adjustRightInd w:val="0"/>
        <w:snapToGrid w:val="0"/>
        <w:spacing w:line="360" w:lineRule="auto"/>
        <w:ind w:firstLineChars="200" w:firstLine="480"/>
        <w:jc w:val="left"/>
        <w:rPr>
          <w:rFonts w:eastAsiaTheme="minorEastAsia"/>
          <w:kern w:val="0"/>
          <w:sz w:val="24"/>
          <w:szCs w:val="22"/>
        </w:rPr>
      </w:pPr>
      <w:r w:rsidRPr="00F9522B">
        <w:rPr>
          <w:rFonts w:eastAsiaTheme="minorEastAsia"/>
          <w:bCs/>
          <w:kern w:val="0"/>
          <w:sz w:val="24"/>
        </w:rPr>
        <w:t>地埋电缆采取直埋敷设方式，高压、低压电缆开挖宽度为</w:t>
      </w:r>
      <w:r w:rsidRPr="00F9522B">
        <w:rPr>
          <w:rFonts w:eastAsiaTheme="minorEastAsia"/>
          <w:bCs/>
          <w:kern w:val="0"/>
          <w:sz w:val="24"/>
        </w:rPr>
        <w:t>0.5m</w:t>
      </w:r>
      <w:r w:rsidRPr="00F9522B">
        <w:rPr>
          <w:rFonts w:eastAsiaTheme="minorEastAsia"/>
          <w:bCs/>
          <w:kern w:val="0"/>
          <w:sz w:val="24"/>
        </w:rPr>
        <w:t>，深度</w:t>
      </w:r>
      <w:r w:rsidRPr="00F9522B">
        <w:rPr>
          <w:rFonts w:eastAsiaTheme="minorEastAsia"/>
          <w:bCs/>
          <w:kern w:val="0"/>
          <w:sz w:val="24"/>
        </w:rPr>
        <w:t>1.5m</w:t>
      </w:r>
      <w:r w:rsidRPr="00F9522B">
        <w:rPr>
          <w:rFonts w:eastAsiaTheme="minorEastAsia"/>
          <w:bCs/>
          <w:kern w:val="0"/>
          <w:sz w:val="24"/>
        </w:rPr>
        <w:t>。</w:t>
      </w:r>
      <w:r w:rsidR="00617138" w:rsidRPr="00F9522B">
        <w:rPr>
          <w:rFonts w:eastAsiaTheme="minorEastAsia"/>
          <w:color w:val="FF0000"/>
          <w:sz w:val="24"/>
        </w:rPr>
        <w:t>沿线一侧外扩</w:t>
      </w:r>
      <w:r w:rsidR="00617138" w:rsidRPr="00F9522B">
        <w:rPr>
          <w:rFonts w:eastAsiaTheme="minorEastAsia"/>
          <w:color w:val="FF0000"/>
          <w:sz w:val="24"/>
        </w:rPr>
        <w:t>3m</w:t>
      </w:r>
      <w:r w:rsidR="00617138" w:rsidRPr="00F9522B">
        <w:rPr>
          <w:rFonts w:eastAsiaTheme="minorEastAsia"/>
          <w:color w:val="FF0000"/>
          <w:sz w:val="24"/>
        </w:rPr>
        <w:t>为临时占地施工场地，</w:t>
      </w:r>
      <w:r w:rsidR="00617138" w:rsidRPr="00AA4603">
        <w:rPr>
          <w:rFonts w:eastAsiaTheme="minorEastAsia"/>
          <w:color w:val="FF0000"/>
          <w:sz w:val="24"/>
        </w:rPr>
        <w:t>共设置</w:t>
      </w:r>
      <w:r w:rsidR="00617138" w:rsidRPr="00AA4603">
        <w:rPr>
          <w:rFonts w:eastAsiaTheme="minorEastAsia"/>
          <w:color w:val="FF0000"/>
          <w:sz w:val="24"/>
        </w:rPr>
        <w:t>1368</w:t>
      </w:r>
      <w:r w:rsidR="00617138" w:rsidRPr="00AA4603">
        <w:rPr>
          <w:rFonts w:eastAsiaTheme="minorEastAsia"/>
          <w:color w:val="FF0000"/>
          <w:sz w:val="24"/>
        </w:rPr>
        <w:t>根水泥电杆，变压器为杆上变压器，每处设置</w:t>
      </w:r>
      <w:r w:rsidR="00617138" w:rsidRPr="00AA4603">
        <w:rPr>
          <w:rFonts w:eastAsiaTheme="minorEastAsia" w:hint="eastAsia"/>
          <w:snapToGrid w:val="0"/>
          <w:color w:val="FF0000"/>
          <w:kern w:val="0"/>
          <w:sz w:val="24"/>
        </w:rPr>
        <w:t>15</w:t>
      </w:r>
      <w:r w:rsidR="00617138" w:rsidRPr="00AA4603">
        <w:rPr>
          <w:rFonts w:eastAsiaTheme="minorEastAsia"/>
          <w:snapToGrid w:val="0"/>
          <w:color w:val="FF0000"/>
          <w:kern w:val="0"/>
          <w:sz w:val="24"/>
        </w:rPr>
        <w:t>m</w:t>
      </w:r>
      <w:r w:rsidR="00617138" w:rsidRPr="00AA4603">
        <w:rPr>
          <w:rFonts w:eastAsiaTheme="minorEastAsia"/>
          <w:snapToGrid w:val="0"/>
          <w:color w:val="FF0000"/>
          <w:kern w:val="0"/>
          <w:sz w:val="24"/>
          <w:vertAlign w:val="superscript"/>
        </w:rPr>
        <w:t>2</w:t>
      </w:r>
      <w:r w:rsidR="00617138" w:rsidRPr="00AA4603">
        <w:rPr>
          <w:rFonts w:eastAsiaTheme="minorEastAsia"/>
          <w:color w:val="FF0000"/>
          <w:sz w:val="24"/>
        </w:rPr>
        <w:t>临时占地</w:t>
      </w:r>
      <w:r w:rsidR="00617138">
        <w:rPr>
          <w:rFonts w:eastAsiaTheme="minorEastAsia"/>
          <w:color w:val="FF0000"/>
          <w:sz w:val="24"/>
        </w:rPr>
        <w:t>，</w:t>
      </w:r>
      <w:r w:rsidRPr="00F9522B">
        <w:rPr>
          <w:rFonts w:eastAsiaTheme="minorEastAsia"/>
          <w:bCs/>
          <w:kern w:val="0"/>
          <w:sz w:val="24"/>
          <w:szCs w:val="20"/>
        </w:rPr>
        <w:t>农田输配电工程</w:t>
      </w:r>
      <w:r w:rsidRPr="00F9522B">
        <w:rPr>
          <w:rFonts w:eastAsiaTheme="minorEastAsia"/>
          <w:kern w:val="0"/>
          <w:sz w:val="24"/>
          <w:szCs w:val="20"/>
        </w:rPr>
        <w:t>在工程建设前对表土进行剥离，剥离厚度约</w:t>
      </w:r>
      <w:r w:rsidRPr="00F9522B">
        <w:rPr>
          <w:rFonts w:eastAsiaTheme="minorEastAsia"/>
          <w:kern w:val="0"/>
          <w:sz w:val="24"/>
          <w:szCs w:val="20"/>
        </w:rPr>
        <w:t>30cm</w:t>
      </w:r>
      <w:r w:rsidRPr="00F9522B">
        <w:rPr>
          <w:rFonts w:eastAsiaTheme="minorEastAsia"/>
          <w:kern w:val="0"/>
          <w:sz w:val="24"/>
          <w:szCs w:val="20"/>
        </w:rPr>
        <w:t>。剥离后的表土在施工现场贮存，用于</w:t>
      </w:r>
      <w:r w:rsidRPr="00F9522B">
        <w:rPr>
          <w:rFonts w:eastAsiaTheme="minorEastAsia"/>
          <w:bCs/>
          <w:kern w:val="0"/>
          <w:sz w:val="24"/>
          <w:szCs w:val="20"/>
        </w:rPr>
        <w:t>输配电工程</w:t>
      </w:r>
      <w:r w:rsidRPr="00F9522B">
        <w:rPr>
          <w:rFonts w:eastAsiaTheme="minorEastAsia"/>
          <w:kern w:val="0"/>
          <w:sz w:val="24"/>
          <w:szCs w:val="20"/>
        </w:rPr>
        <w:t>表土恢复。共设置</w:t>
      </w:r>
      <w:r w:rsidRPr="00F9522B">
        <w:rPr>
          <w:rFonts w:eastAsiaTheme="minorEastAsia"/>
          <w:kern w:val="0"/>
          <w:sz w:val="24"/>
          <w:szCs w:val="20"/>
        </w:rPr>
        <w:t>136</w:t>
      </w:r>
      <w:r w:rsidR="0048385C" w:rsidRPr="00F9522B">
        <w:rPr>
          <w:rFonts w:eastAsiaTheme="minorEastAsia"/>
          <w:kern w:val="0"/>
          <w:sz w:val="24"/>
          <w:szCs w:val="20"/>
        </w:rPr>
        <w:t>8</w:t>
      </w:r>
      <w:r w:rsidRPr="00F9522B">
        <w:rPr>
          <w:rFonts w:eastAsiaTheme="minorEastAsia"/>
          <w:kern w:val="0"/>
          <w:sz w:val="24"/>
          <w:szCs w:val="20"/>
        </w:rPr>
        <w:t>根水泥电杆。</w:t>
      </w:r>
    </w:p>
    <w:p w:rsidR="002A5A5E" w:rsidRPr="00F9522B" w:rsidRDefault="00611CBA">
      <w:pPr>
        <w:adjustRightInd w:val="0"/>
        <w:snapToGrid w:val="0"/>
        <w:spacing w:line="360" w:lineRule="auto"/>
        <w:ind w:firstLineChars="200" w:firstLine="480"/>
        <w:jc w:val="left"/>
        <w:rPr>
          <w:rFonts w:eastAsiaTheme="minorEastAsia"/>
          <w:kern w:val="0"/>
          <w:sz w:val="24"/>
          <w:szCs w:val="22"/>
        </w:rPr>
      </w:pPr>
      <w:r w:rsidRPr="00F9522B">
        <w:rPr>
          <w:rFonts w:eastAsiaTheme="minorEastAsia"/>
          <w:bCs/>
          <w:kern w:val="0"/>
          <w:sz w:val="24"/>
          <w:szCs w:val="22"/>
        </w:rPr>
        <w:t>设置</w:t>
      </w:r>
      <w:r w:rsidR="003D06B8" w:rsidRPr="00F9522B">
        <w:rPr>
          <w:rFonts w:eastAsiaTheme="minorEastAsia"/>
          <w:bCs/>
          <w:kern w:val="0"/>
          <w:sz w:val="24"/>
          <w:szCs w:val="22"/>
        </w:rPr>
        <w:t>变压器</w:t>
      </w:r>
      <w:r w:rsidR="003D06B8" w:rsidRPr="00F9522B">
        <w:rPr>
          <w:rFonts w:eastAsiaTheme="minorEastAsia"/>
          <w:bCs/>
          <w:kern w:val="0"/>
          <w:sz w:val="24"/>
          <w:szCs w:val="22"/>
        </w:rPr>
        <w:t>256</w:t>
      </w:r>
      <w:r w:rsidR="003D06B8" w:rsidRPr="00F9522B">
        <w:rPr>
          <w:rFonts w:eastAsiaTheme="minorEastAsia"/>
          <w:bCs/>
          <w:kern w:val="0"/>
          <w:sz w:val="24"/>
          <w:szCs w:val="22"/>
        </w:rPr>
        <w:t>台</w:t>
      </w:r>
      <w:r w:rsidRPr="00F9522B">
        <w:rPr>
          <w:rFonts w:eastAsiaTheme="minorEastAsia"/>
          <w:bCs/>
          <w:kern w:val="0"/>
          <w:sz w:val="24"/>
          <w:szCs w:val="22"/>
        </w:rPr>
        <w:t>，变压器型号为</w:t>
      </w:r>
      <w:r w:rsidRPr="00F9522B">
        <w:rPr>
          <w:rFonts w:eastAsiaTheme="minorEastAsia"/>
          <w:kern w:val="0"/>
          <w:sz w:val="24"/>
          <w:szCs w:val="22"/>
        </w:rPr>
        <w:t>S20-M-30kVA</w:t>
      </w:r>
      <w:r w:rsidRPr="00F9522B">
        <w:rPr>
          <w:rFonts w:eastAsiaTheme="minorEastAsia"/>
          <w:kern w:val="0"/>
          <w:sz w:val="24"/>
          <w:szCs w:val="22"/>
        </w:rPr>
        <w:t>、</w:t>
      </w:r>
      <w:r w:rsidRPr="00F9522B">
        <w:rPr>
          <w:rFonts w:eastAsiaTheme="minorEastAsia"/>
          <w:kern w:val="0"/>
          <w:sz w:val="24"/>
          <w:szCs w:val="22"/>
        </w:rPr>
        <w:t>S20-M-50kVA</w:t>
      </w:r>
      <w:r w:rsidRPr="00F9522B">
        <w:rPr>
          <w:rFonts w:eastAsiaTheme="minorEastAsia"/>
          <w:kern w:val="0"/>
          <w:sz w:val="24"/>
          <w:szCs w:val="22"/>
        </w:rPr>
        <w:t>、</w:t>
      </w:r>
      <w:r w:rsidRPr="00F9522B">
        <w:rPr>
          <w:rFonts w:eastAsiaTheme="minorEastAsia"/>
          <w:kern w:val="0"/>
          <w:sz w:val="24"/>
          <w:szCs w:val="22"/>
        </w:rPr>
        <w:t>S20-M-80kVA</w:t>
      </w:r>
      <w:r w:rsidRPr="00F9522B">
        <w:rPr>
          <w:rFonts w:eastAsiaTheme="minorEastAsia"/>
          <w:sz w:val="24"/>
        </w:rPr>
        <w:t>、</w:t>
      </w:r>
      <w:r w:rsidRPr="00F9522B">
        <w:rPr>
          <w:rFonts w:eastAsiaTheme="minorEastAsia"/>
          <w:sz w:val="24"/>
        </w:rPr>
        <w:t>S20-M-1</w:t>
      </w:r>
      <w:r w:rsidR="0048385C" w:rsidRPr="00F9522B">
        <w:rPr>
          <w:rFonts w:eastAsiaTheme="minorEastAsia"/>
          <w:sz w:val="24"/>
        </w:rPr>
        <w:t>25</w:t>
      </w:r>
      <w:r w:rsidRPr="00F9522B">
        <w:rPr>
          <w:rFonts w:eastAsiaTheme="minorEastAsia"/>
          <w:sz w:val="24"/>
        </w:rPr>
        <w:t>kVA</w:t>
      </w:r>
      <w:r w:rsidRPr="00F9522B">
        <w:rPr>
          <w:rFonts w:eastAsiaTheme="minorEastAsia"/>
          <w:kern w:val="0"/>
          <w:sz w:val="24"/>
          <w:szCs w:val="22"/>
        </w:rPr>
        <w:t>。各变压器箱内变压器油存储量最大为</w:t>
      </w:r>
      <w:r w:rsidRPr="00F9522B">
        <w:rPr>
          <w:rFonts w:eastAsiaTheme="minorEastAsia"/>
          <w:kern w:val="0"/>
          <w:sz w:val="24"/>
          <w:szCs w:val="22"/>
        </w:rPr>
        <w:t>115kg</w:t>
      </w:r>
      <w:r w:rsidRPr="00F9522B">
        <w:rPr>
          <w:rFonts w:eastAsiaTheme="minorEastAsia"/>
          <w:kern w:val="0"/>
          <w:sz w:val="24"/>
          <w:szCs w:val="22"/>
        </w:rPr>
        <w:t>。</w:t>
      </w:r>
      <w:r w:rsidRPr="00F9522B">
        <w:rPr>
          <w:rFonts w:eastAsiaTheme="minorEastAsia"/>
          <w:bCs/>
          <w:snapToGrid w:val="0"/>
          <w:sz w:val="24"/>
        </w:rPr>
        <w:t>运营期由所在村屯日常维护和管理。</w:t>
      </w:r>
    </w:p>
    <w:p w:rsidR="002A5A5E" w:rsidRPr="00F9522B" w:rsidRDefault="00611CBA">
      <w:pPr>
        <w:autoSpaceDE w:val="0"/>
        <w:autoSpaceDN w:val="0"/>
        <w:spacing w:before="100" w:beforeAutospacing="1" w:after="100" w:afterAutospacing="1"/>
        <w:outlineLvl w:val="3"/>
        <w:rPr>
          <w:rFonts w:eastAsiaTheme="minorEastAsia"/>
          <w:b/>
          <w:sz w:val="24"/>
        </w:rPr>
      </w:pPr>
      <w:r w:rsidRPr="00F9522B">
        <w:rPr>
          <w:rFonts w:eastAsiaTheme="minorEastAsia"/>
          <w:b/>
          <w:sz w:val="24"/>
        </w:rPr>
        <w:t>3.1.6.4</w:t>
      </w:r>
      <w:r w:rsidRPr="00F9522B">
        <w:rPr>
          <w:rFonts w:eastAsiaTheme="minorEastAsia"/>
          <w:b/>
          <w:sz w:val="24"/>
        </w:rPr>
        <w:t>田块整治工程</w:t>
      </w:r>
    </w:p>
    <w:p w:rsidR="002A5A5E" w:rsidRPr="00F9522B" w:rsidRDefault="00611CBA">
      <w:pPr>
        <w:adjustRightInd w:val="0"/>
        <w:snapToGrid w:val="0"/>
        <w:spacing w:line="360" w:lineRule="auto"/>
        <w:ind w:firstLine="482"/>
        <w:rPr>
          <w:rFonts w:eastAsiaTheme="minorEastAsia"/>
          <w:sz w:val="24"/>
        </w:rPr>
      </w:pPr>
      <w:r w:rsidRPr="00F9522B">
        <w:rPr>
          <w:rFonts w:eastAsiaTheme="minorEastAsia"/>
          <w:sz w:val="24"/>
        </w:rPr>
        <w:t>本项目田块整治工程包括：旱田土地平整、</w:t>
      </w:r>
      <w:r w:rsidR="00486380" w:rsidRPr="00F9522B">
        <w:rPr>
          <w:rFonts w:eastAsiaTheme="minorEastAsia"/>
          <w:bCs/>
          <w:sz w:val="24"/>
        </w:rPr>
        <w:t>客土回填</w:t>
      </w:r>
      <w:r w:rsidR="00486380" w:rsidRPr="00F9522B">
        <w:rPr>
          <w:rFonts w:eastAsiaTheme="minorEastAsia"/>
          <w:sz w:val="24"/>
        </w:rPr>
        <w:t>、</w:t>
      </w:r>
      <w:r w:rsidR="00486380" w:rsidRPr="00F9522B">
        <w:rPr>
          <w:rFonts w:eastAsiaTheme="minorEastAsia"/>
          <w:bCs/>
          <w:sz w:val="24"/>
        </w:rPr>
        <w:t>旱田障碍土层消除、沟头防护、岸坡防护、</w:t>
      </w:r>
      <w:r w:rsidR="00486380" w:rsidRPr="00F9522B">
        <w:rPr>
          <w:rFonts w:eastAsiaTheme="minorEastAsia"/>
          <w:sz w:val="24"/>
        </w:rPr>
        <w:t>水田格田改造</w:t>
      </w:r>
      <w:r w:rsidRPr="00F9522B">
        <w:rPr>
          <w:rFonts w:eastAsiaTheme="minorEastAsia"/>
          <w:sz w:val="24"/>
        </w:rPr>
        <w:t>。工程具体位置见附图</w:t>
      </w:r>
      <w:r w:rsidRPr="00F9522B">
        <w:rPr>
          <w:rFonts w:eastAsiaTheme="minorEastAsia"/>
          <w:sz w:val="24"/>
        </w:rPr>
        <w:t>9</w:t>
      </w:r>
      <w:r w:rsidRPr="00F9522B">
        <w:rPr>
          <w:rFonts w:eastAsiaTheme="minorEastAsia"/>
          <w:sz w:val="24"/>
        </w:rPr>
        <w:t>。</w:t>
      </w:r>
    </w:p>
    <w:p w:rsidR="002A5A5E" w:rsidRPr="00F9522B" w:rsidRDefault="00611CBA">
      <w:pPr>
        <w:adjustRightInd w:val="0"/>
        <w:snapToGrid w:val="0"/>
        <w:spacing w:line="360" w:lineRule="auto"/>
        <w:ind w:firstLine="482"/>
        <w:rPr>
          <w:rFonts w:eastAsiaTheme="minorEastAsia"/>
          <w:sz w:val="24"/>
        </w:rPr>
      </w:pPr>
      <w:r w:rsidRPr="00F9522B">
        <w:rPr>
          <w:rFonts w:eastAsiaTheme="minorEastAsia"/>
          <w:sz w:val="24"/>
        </w:rPr>
        <w:lastRenderedPageBreak/>
        <w:t>根据平整地块所在村的平均土壤厚度确定表土剥离厚度在</w:t>
      </w:r>
      <w:r w:rsidRPr="00F9522B">
        <w:rPr>
          <w:rFonts w:eastAsiaTheme="minorEastAsia"/>
          <w:sz w:val="24"/>
        </w:rPr>
        <w:t>25cm</w:t>
      </w:r>
      <w:r w:rsidRPr="00F9522B">
        <w:rPr>
          <w:rFonts w:eastAsiaTheme="minorEastAsia"/>
          <w:sz w:val="24"/>
        </w:rPr>
        <w:t>左右。</w:t>
      </w:r>
    </w:p>
    <w:p w:rsidR="002A5A5E" w:rsidRPr="00F9522B" w:rsidRDefault="00611CBA">
      <w:pPr>
        <w:pStyle w:val="aff4"/>
        <w:adjustRightInd/>
        <w:snapToGrid/>
        <w:jc w:val="both"/>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1</w:t>
      </w:r>
      <w:r w:rsidRPr="00F9522B">
        <w:rPr>
          <w:rFonts w:ascii="Times New Roman" w:hAnsi="Times New Roman" w:cs="Times New Roman"/>
        </w:rPr>
        <w:t>）旱田</w:t>
      </w:r>
    </w:p>
    <w:p w:rsidR="002A5A5E" w:rsidRPr="00F9522B" w:rsidRDefault="00611CBA">
      <w:pPr>
        <w:pStyle w:val="aff4"/>
        <w:rPr>
          <w:rFonts w:ascii="Times New Roman" w:hAnsi="Times New Roman" w:cs="Times New Roman"/>
          <w:bCs/>
          <w:snapToGrid w:val="0"/>
          <w:kern w:val="0"/>
        </w:rPr>
      </w:pPr>
      <w:r w:rsidRPr="00F9522B">
        <w:rPr>
          <w:rFonts w:ascii="Times New Roman" w:hAnsi="Times New Roman" w:cs="Times New Roman"/>
          <w:bCs/>
          <w:snapToGrid w:val="0"/>
          <w:kern w:val="0"/>
        </w:rPr>
        <w:t>旱田土地平整：项目区内旱田有少部分地块地势起伏较大，影响农田机械作业，本次针对这种地块采用土地平整方式，对地块整体进行平整，减小地块内落差起伏，共</w:t>
      </w:r>
      <w:r w:rsidR="006D6516" w:rsidRPr="00F9522B">
        <w:rPr>
          <w:rFonts w:ascii="Times New Roman" w:hAnsi="Times New Roman" w:cs="Times New Roman"/>
          <w:bCs/>
        </w:rPr>
        <w:t>1351.29</w:t>
      </w:r>
      <w:r w:rsidRPr="00F9522B">
        <w:rPr>
          <w:rFonts w:ascii="Times New Roman" w:hAnsi="Times New Roman" w:cs="Times New Roman"/>
          <w:bCs/>
          <w:snapToGrid w:val="0"/>
          <w:kern w:val="0"/>
        </w:rPr>
        <w:t>亩。</w:t>
      </w:r>
    </w:p>
    <w:p w:rsidR="002A5A5E" w:rsidRPr="00F9522B" w:rsidRDefault="00611CBA">
      <w:pPr>
        <w:pStyle w:val="aff4"/>
        <w:rPr>
          <w:rFonts w:ascii="Times New Roman" w:hAnsi="Times New Roman" w:cs="Times New Roman"/>
        </w:rPr>
      </w:pPr>
      <w:r w:rsidRPr="00F9522B">
        <w:rPr>
          <w:rFonts w:ascii="Times New Roman" w:hAnsi="Times New Roman" w:cs="Times New Roman"/>
        </w:rPr>
        <w:t>土地平整面积</w:t>
      </w:r>
      <w:r w:rsidR="00DB3B37" w:rsidRPr="00F9522B">
        <w:rPr>
          <w:rFonts w:ascii="Times New Roman" w:hAnsi="Times New Roman" w:cs="Times New Roman"/>
          <w:bCs/>
        </w:rPr>
        <w:t>1351.29</w:t>
      </w:r>
      <w:r w:rsidR="00DB3B37" w:rsidRPr="00F9522B">
        <w:rPr>
          <w:rFonts w:ascii="Times New Roman" w:hAnsi="Times New Roman" w:cs="Times New Roman"/>
          <w:bCs/>
        </w:rPr>
        <w:t>亩</w:t>
      </w:r>
      <w:r w:rsidRPr="00F9522B">
        <w:rPr>
          <w:rFonts w:ascii="Times New Roman" w:hAnsi="Times New Roman" w:cs="Times New Roman"/>
        </w:rPr>
        <w:t>，表土剥离量</w:t>
      </w:r>
      <w:r w:rsidR="00C35856" w:rsidRPr="00F9522B">
        <w:rPr>
          <w:rFonts w:ascii="Times New Roman" w:hAnsi="Times New Roman" w:cs="Times New Roman"/>
        </w:rPr>
        <w:t>224990</w:t>
      </w:r>
      <w:r w:rsidRPr="00F9522B">
        <w:rPr>
          <w:rFonts w:ascii="Times New Roman" w:hAnsi="Times New Roman" w:cs="Times New Roman"/>
        </w:rPr>
        <w:t>m</w:t>
      </w:r>
      <w:r w:rsidRPr="00F9522B">
        <w:rPr>
          <w:rFonts w:ascii="Times New Roman" w:hAnsi="Times New Roman" w:cs="Times New Roman"/>
          <w:vertAlign w:val="superscript"/>
        </w:rPr>
        <w:t>3</w:t>
      </w:r>
      <w:r w:rsidRPr="00F9522B">
        <w:rPr>
          <w:rFonts w:ascii="Times New Roman" w:hAnsi="Times New Roman" w:cs="Times New Roman"/>
        </w:rPr>
        <w:t>，客土回填量</w:t>
      </w:r>
      <w:r w:rsidR="009B3DFB" w:rsidRPr="00F9522B">
        <w:rPr>
          <w:rFonts w:ascii="Times New Roman" w:hAnsi="Times New Roman" w:cs="Times New Roman"/>
        </w:rPr>
        <w:t>113810</w:t>
      </w:r>
      <w:r w:rsidRPr="00F9522B">
        <w:rPr>
          <w:rFonts w:ascii="Times New Roman" w:hAnsi="Times New Roman" w:cs="Times New Roman"/>
        </w:rPr>
        <w:t>m³</w:t>
      </w:r>
      <w:r w:rsidRPr="00F9522B">
        <w:rPr>
          <w:rFonts w:ascii="Times New Roman" w:hAnsi="Times New Roman" w:cs="Times New Roman"/>
        </w:rPr>
        <w:t>，</w:t>
      </w:r>
      <w:r w:rsidRPr="00F9522B">
        <w:rPr>
          <w:rFonts w:ascii="Times New Roman" w:hAnsi="Times New Roman" w:cs="Times New Roman"/>
          <w:bCs/>
          <w:snapToGrid w:val="0"/>
          <w:kern w:val="0"/>
        </w:rPr>
        <w:t>外运</w:t>
      </w:r>
      <w:r w:rsidRPr="00F9522B">
        <w:rPr>
          <w:rFonts w:ascii="Times New Roman" w:hAnsi="Times New Roman" w:cs="Times New Roman"/>
          <w:bCs/>
          <w:kern w:val="0"/>
          <w:szCs w:val="21"/>
        </w:rPr>
        <w:t>排水沟、渠道衬砌工程</w:t>
      </w:r>
      <w:r w:rsidRPr="00F9522B">
        <w:rPr>
          <w:rFonts w:ascii="Times New Roman" w:hAnsi="Times New Roman" w:cs="Times New Roman"/>
          <w:bCs/>
          <w:snapToGrid w:val="0"/>
          <w:kern w:val="0"/>
        </w:rPr>
        <w:t>清基土回填压实</w:t>
      </w:r>
      <w:r w:rsidRPr="00F9522B">
        <w:rPr>
          <w:rFonts w:ascii="Times New Roman" w:hAnsi="Times New Roman" w:cs="Times New Roman"/>
        </w:rPr>
        <w:t>（采用</w:t>
      </w:r>
      <w:r w:rsidRPr="00F9522B">
        <w:rPr>
          <w:rFonts w:ascii="Times New Roman" w:hAnsi="Times New Roman" w:cs="Times New Roman"/>
          <w:bCs/>
          <w:kern w:val="0"/>
          <w:szCs w:val="21"/>
        </w:rPr>
        <w:t>排水沟、渠道衬砌工程弃方</w:t>
      </w:r>
      <w:r w:rsidRPr="00F9522B">
        <w:rPr>
          <w:rFonts w:ascii="Times New Roman" w:hAnsi="Times New Roman" w:cs="Times New Roman"/>
        </w:rPr>
        <w:t>）平整后进行表土回覆，回覆表土</w:t>
      </w:r>
      <w:r w:rsidR="00C35856" w:rsidRPr="00F9522B">
        <w:rPr>
          <w:rFonts w:ascii="Times New Roman" w:hAnsi="Times New Roman" w:cs="Times New Roman"/>
        </w:rPr>
        <w:t>224990</w:t>
      </w:r>
      <w:r w:rsidRPr="00F9522B">
        <w:rPr>
          <w:rFonts w:ascii="Times New Roman" w:hAnsi="Times New Roman" w:cs="Times New Roman"/>
        </w:rPr>
        <w:t>m</w:t>
      </w:r>
      <w:r w:rsidRPr="00F9522B">
        <w:rPr>
          <w:rFonts w:ascii="Times New Roman" w:hAnsi="Times New Roman" w:cs="Times New Roman"/>
          <w:vertAlign w:val="superscript"/>
        </w:rPr>
        <w:t>3</w:t>
      </w:r>
      <w:r w:rsidRPr="00F9522B">
        <w:rPr>
          <w:rFonts w:ascii="Times New Roman" w:hAnsi="Times New Roman" w:cs="Times New Roman"/>
        </w:rPr>
        <w:t>。</w:t>
      </w:r>
    </w:p>
    <w:p w:rsidR="002A5A5E" w:rsidRPr="00F9522B" w:rsidRDefault="00DB3B37" w:rsidP="00DB3B37">
      <w:pPr>
        <w:pStyle w:val="aff4"/>
        <w:rPr>
          <w:rFonts w:ascii="Times New Roman" w:hAnsi="Times New Roman" w:cs="Times New Roman"/>
          <w:bCs/>
          <w:snapToGrid w:val="0"/>
          <w:kern w:val="0"/>
        </w:rPr>
      </w:pPr>
      <w:r w:rsidRPr="00F9522B">
        <w:rPr>
          <w:rFonts w:ascii="Times New Roman" w:hAnsi="Times New Roman" w:cs="Times New Roman"/>
          <w:bCs/>
        </w:rPr>
        <w:t>客土回填</w:t>
      </w:r>
      <w:r w:rsidR="00611CBA" w:rsidRPr="00F9522B">
        <w:rPr>
          <w:rFonts w:ascii="Times New Roman" w:hAnsi="Times New Roman" w:cs="Times New Roman"/>
          <w:bCs/>
          <w:snapToGrid w:val="0"/>
          <w:kern w:val="0"/>
        </w:rPr>
        <w:t>：</w:t>
      </w:r>
      <w:r w:rsidRPr="00F9522B">
        <w:rPr>
          <w:rFonts w:ascii="Times New Roman" w:hAnsi="Times New Roman" w:cs="Times New Roman"/>
          <w:bCs/>
        </w:rPr>
        <w:t>客土回填面积</w:t>
      </w:r>
      <w:r w:rsidRPr="00F9522B">
        <w:rPr>
          <w:rFonts w:ascii="Times New Roman" w:hAnsi="Times New Roman" w:cs="Times New Roman"/>
          <w:bCs/>
        </w:rPr>
        <w:t>1659.91</w:t>
      </w:r>
      <w:r w:rsidRPr="00F9522B">
        <w:rPr>
          <w:rFonts w:ascii="Times New Roman" w:hAnsi="Times New Roman" w:cs="Times New Roman"/>
          <w:bCs/>
        </w:rPr>
        <w:t>亩</w:t>
      </w:r>
      <w:r w:rsidR="00611CBA" w:rsidRPr="00F9522B">
        <w:rPr>
          <w:rFonts w:ascii="Times New Roman" w:hAnsi="Times New Roman" w:cs="Times New Roman"/>
          <w:bCs/>
          <w:snapToGrid w:val="0"/>
          <w:kern w:val="0"/>
        </w:rPr>
        <w:t>。</w:t>
      </w:r>
      <w:r w:rsidR="00473DCA" w:rsidRPr="00F9522B">
        <w:rPr>
          <w:rFonts w:ascii="Times New Roman" w:hAnsi="Times New Roman" w:cs="Times New Roman"/>
        </w:rPr>
        <w:t>本次规划的客土回填工程，对原有耕作层不进行剥离。先对田块进行灭茬处理，再将外运的黑土覆于原有耕作层上，以整体增加田块耕作层厚度，覆土厚度</w:t>
      </w:r>
      <w:r w:rsidR="00473DCA" w:rsidRPr="00F9522B">
        <w:rPr>
          <w:rFonts w:ascii="Times New Roman" w:hAnsi="Times New Roman" w:cs="Times New Roman"/>
        </w:rPr>
        <w:t>5cm</w:t>
      </w:r>
      <w:r w:rsidR="00473DCA" w:rsidRPr="00F9522B">
        <w:rPr>
          <w:rFonts w:ascii="Times New Roman" w:hAnsi="Times New Roman" w:cs="Times New Roman"/>
        </w:rPr>
        <w:t>。</w:t>
      </w:r>
      <w:r w:rsidR="00611CBA" w:rsidRPr="00F9522B">
        <w:rPr>
          <w:rFonts w:ascii="Times New Roman" w:hAnsi="Times New Roman" w:cs="Times New Roman"/>
          <w:bCs/>
          <w:snapToGrid w:val="0"/>
          <w:kern w:val="0"/>
        </w:rPr>
        <w:t>外运黑土进行表层耕作土回填，</w:t>
      </w:r>
      <w:r w:rsidR="00611CBA" w:rsidRPr="00F9522B">
        <w:rPr>
          <w:rFonts w:ascii="Times New Roman" w:hAnsi="Times New Roman" w:cs="Times New Roman"/>
        </w:rPr>
        <w:t>共需外借黑土量为</w:t>
      </w:r>
      <w:r w:rsidR="009B6482" w:rsidRPr="00F9522B">
        <w:rPr>
          <w:rFonts w:ascii="Times New Roman" w:hAnsi="Times New Roman" w:cs="Times New Roman"/>
        </w:rPr>
        <w:t>55275</w:t>
      </w:r>
      <w:r w:rsidR="00611CBA" w:rsidRPr="00F9522B">
        <w:rPr>
          <w:rFonts w:ascii="Times New Roman" w:hAnsi="Times New Roman" w:cs="Times New Roman"/>
        </w:rPr>
        <w:t>m</w:t>
      </w:r>
      <w:r w:rsidR="00611CBA" w:rsidRPr="00F9522B">
        <w:rPr>
          <w:rFonts w:ascii="Times New Roman" w:hAnsi="Times New Roman" w:cs="Times New Roman"/>
          <w:vertAlign w:val="superscript"/>
        </w:rPr>
        <w:t>3</w:t>
      </w:r>
      <w:r w:rsidR="00611CBA" w:rsidRPr="00F9522B">
        <w:rPr>
          <w:rFonts w:ascii="Times New Roman" w:hAnsi="Times New Roman" w:cs="Times New Roman"/>
        </w:rPr>
        <w:t>。其中采用灌溉井、建筑物、农田输配电工程永久占地表土</w:t>
      </w:r>
      <w:r w:rsidR="00F74680" w:rsidRPr="00F9522B">
        <w:rPr>
          <w:rFonts w:ascii="Times New Roman" w:hAnsi="Times New Roman" w:cs="Times New Roman"/>
        </w:rPr>
        <w:t>2778</w:t>
      </w:r>
      <w:r w:rsidR="00611CBA" w:rsidRPr="00F9522B">
        <w:rPr>
          <w:rFonts w:ascii="Times New Roman" w:hAnsi="Times New Roman" w:cs="Times New Roman"/>
        </w:rPr>
        <w:t>m</w:t>
      </w:r>
      <w:r w:rsidR="00611CBA" w:rsidRPr="00F9522B">
        <w:rPr>
          <w:rFonts w:ascii="Times New Roman" w:hAnsi="Times New Roman" w:cs="Times New Roman"/>
          <w:vertAlign w:val="superscript"/>
        </w:rPr>
        <w:t>3</w:t>
      </w:r>
      <w:r w:rsidR="00611CBA" w:rsidRPr="00F9522B">
        <w:rPr>
          <w:rFonts w:ascii="Times New Roman" w:hAnsi="Times New Roman" w:cs="Times New Roman"/>
        </w:rPr>
        <w:t>，外借黑土量为</w:t>
      </w:r>
      <w:r w:rsidR="00F74680" w:rsidRPr="00F9522B">
        <w:rPr>
          <w:rFonts w:ascii="Times New Roman" w:hAnsi="Times New Roman" w:cs="Times New Roman"/>
        </w:rPr>
        <w:t>52497</w:t>
      </w:r>
      <w:r w:rsidR="00611CBA" w:rsidRPr="00F9522B">
        <w:rPr>
          <w:rFonts w:ascii="Times New Roman" w:hAnsi="Times New Roman" w:cs="Times New Roman"/>
        </w:rPr>
        <w:t>m</w:t>
      </w:r>
      <w:r w:rsidR="00611CBA" w:rsidRPr="00F9522B">
        <w:rPr>
          <w:rFonts w:ascii="Times New Roman" w:hAnsi="Times New Roman" w:cs="Times New Roman"/>
          <w:vertAlign w:val="superscript"/>
        </w:rPr>
        <w:t>3</w:t>
      </w:r>
      <w:r w:rsidR="00611CBA" w:rsidRPr="00F9522B">
        <w:rPr>
          <w:rFonts w:ascii="Times New Roman" w:hAnsi="Times New Roman" w:cs="Times New Roman"/>
        </w:rPr>
        <w:t>。</w:t>
      </w:r>
      <w:r w:rsidR="00473DCA" w:rsidRPr="00F9522B">
        <w:rPr>
          <w:rFonts w:ascii="Times New Roman" w:hAnsi="Times New Roman" w:cs="Times New Roman"/>
        </w:rPr>
        <w:t>回填后</w:t>
      </w:r>
      <w:r w:rsidR="006D6516" w:rsidRPr="00F9522B">
        <w:rPr>
          <w:rFonts w:ascii="Times New Roman" w:hAnsi="Times New Roman" w:cs="Times New Roman"/>
        </w:rPr>
        <w:t>施用的土壤改良剂（商品有机肥料）应符合《有机肥标准》（</w:t>
      </w:r>
      <w:r w:rsidR="006D6516" w:rsidRPr="00F9522B">
        <w:rPr>
          <w:rFonts w:ascii="Times New Roman" w:hAnsi="Times New Roman" w:cs="Times New Roman"/>
        </w:rPr>
        <w:t>NY525-2021</w:t>
      </w:r>
      <w:r w:rsidR="006D6516" w:rsidRPr="00F9522B">
        <w:rPr>
          <w:rFonts w:ascii="Times New Roman" w:hAnsi="Times New Roman" w:cs="Times New Roman"/>
        </w:rPr>
        <w:t>）的规定。</w:t>
      </w:r>
    </w:p>
    <w:p w:rsidR="002A5A5E" w:rsidRPr="00896799" w:rsidRDefault="00611CBA" w:rsidP="00896799">
      <w:pPr>
        <w:adjustRightInd w:val="0"/>
        <w:snapToGrid w:val="0"/>
        <w:spacing w:line="360" w:lineRule="auto"/>
        <w:ind w:firstLine="482"/>
        <w:rPr>
          <w:rFonts w:eastAsiaTheme="minorEastAsia"/>
          <w:color w:val="FF0000"/>
          <w:sz w:val="24"/>
        </w:rPr>
      </w:pPr>
      <w:r w:rsidRPr="00896799">
        <w:rPr>
          <w:rFonts w:eastAsiaTheme="minorEastAsia"/>
          <w:color w:val="FF0000"/>
          <w:sz w:val="24"/>
        </w:rPr>
        <w:t>黑土回填土源为</w:t>
      </w:r>
      <w:r w:rsidR="00473DCA" w:rsidRPr="00896799">
        <w:rPr>
          <w:rFonts w:eastAsiaTheme="minorEastAsia"/>
          <w:color w:val="FF0000"/>
          <w:kern w:val="0"/>
          <w:sz w:val="24"/>
        </w:rPr>
        <w:t>哈尔滨都市圈环线高速公路项目</w:t>
      </w:r>
      <w:r w:rsidRPr="00896799">
        <w:rPr>
          <w:rFonts w:eastAsiaTheme="minorEastAsia"/>
          <w:color w:val="FF0000"/>
          <w:kern w:val="0"/>
          <w:sz w:val="24"/>
          <w:lang w:val="zh-CN"/>
        </w:rPr>
        <w:t>工程剥离黑土，</w:t>
      </w:r>
      <w:r w:rsidR="00896799">
        <w:rPr>
          <w:rFonts w:eastAsiaTheme="minorEastAsia"/>
          <w:color w:val="FF0000"/>
          <w:sz w:val="24"/>
        </w:rPr>
        <w:t>属于公路建设占用黑土耕地依法剥离的耕作层表土，</w:t>
      </w:r>
      <w:r w:rsidR="00896799" w:rsidRPr="00896799">
        <w:rPr>
          <w:rFonts w:eastAsiaTheme="minorEastAsia"/>
          <w:color w:val="FF0000"/>
          <w:sz w:val="24"/>
        </w:rPr>
        <w:t>符合《中华人民共和国黑土地保护法》《黑龙江省黑土地保护利用条例》《黑政办规〔</w:t>
      </w:r>
      <w:r w:rsidR="00896799" w:rsidRPr="00896799">
        <w:rPr>
          <w:rFonts w:eastAsiaTheme="minorEastAsia"/>
          <w:color w:val="FF0000"/>
          <w:sz w:val="24"/>
        </w:rPr>
        <w:t>2021</w:t>
      </w:r>
      <w:r w:rsidR="00896799" w:rsidRPr="00896799">
        <w:rPr>
          <w:rFonts w:eastAsiaTheme="minorEastAsia"/>
          <w:color w:val="FF0000"/>
          <w:sz w:val="24"/>
        </w:rPr>
        <w:t>〕</w:t>
      </w:r>
      <w:r w:rsidR="00896799" w:rsidRPr="00896799">
        <w:rPr>
          <w:rFonts w:eastAsiaTheme="minorEastAsia"/>
          <w:color w:val="FF0000"/>
          <w:sz w:val="24"/>
        </w:rPr>
        <w:t xml:space="preserve">18 </w:t>
      </w:r>
      <w:r w:rsidR="00896799" w:rsidRPr="00896799">
        <w:rPr>
          <w:rFonts w:eastAsiaTheme="minorEastAsia"/>
          <w:color w:val="FF0000"/>
          <w:sz w:val="24"/>
        </w:rPr>
        <w:t>号》关于建设占用黑土应剥离、剥离黑土就近用于土地复垦、耕地改良、生态修复的规定</w:t>
      </w:r>
      <w:r w:rsidR="00896799">
        <w:rPr>
          <w:rFonts w:eastAsiaTheme="minorEastAsia" w:hint="eastAsia"/>
          <w:color w:val="FF0000"/>
          <w:sz w:val="24"/>
        </w:rPr>
        <w:t>。</w:t>
      </w:r>
      <w:r w:rsidR="00896799" w:rsidRPr="00896799">
        <w:rPr>
          <w:rFonts w:eastAsiaTheme="minorEastAsia"/>
          <w:color w:val="FF0000"/>
          <w:sz w:val="24"/>
        </w:rPr>
        <w:t>客土为典型东北黑土，腐殖质层发育完整，土质疏松、团粒结构良好，有机质、氮</w:t>
      </w:r>
      <w:r w:rsidR="00896799">
        <w:rPr>
          <w:rFonts w:eastAsiaTheme="minorEastAsia"/>
          <w:color w:val="FF0000"/>
          <w:sz w:val="24"/>
        </w:rPr>
        <w:t>磷钾等养分含量满足农用地耕作标准；无砂石、建筑垃圾等杂物，适宜耕地复垦。</w:t>
      </w:r>
      <w:r w:rsidRPr="00896799">
        <w:rPr>
          <w:rFonts w:eastAsiaTheme="minorEastAsia"/>
          <w:color w:val="FF0000"/>
          <w:sz w:val="24"/>
        </w:rPr>
        <w:t>该土源</w:t>
      </w:r>
      <w:r w:rsidRPr="00896799">
        <w:rPr>
          <w:rFonts w:eastAsiaTheme="minorEastAsia"/>
          <w:bCs/>
          <w:color w:val="FF0000"/>
          <w:sz w:val="24"/>
        </w:rPr>
        <w:t>生态修复的责任主体为原土地占用方</w:t>
      </w:r>
      <w:r w:rsidR="00896799">
        <w:rPr>
          <w:rFonts w:eastAsiaTheme="minorEastAsia"/>
          <w:bCs/>
          <w:color w:val="FF0000"/>
          <w:sz w:val="24"/>
        </w:rPr>
        <w:t>，</w:t>
      </w:r>
      <w:r w:rsidR="00896799">
        <w:rPr>
          <w:rFonts w:eastAsiaTheme="minorEastAsia"/>
          <w:color w:val="FF0000"/>
          <w:sz w:val="24"/>
        </w:rPr>
        <w:t>无偿交由呼兰区政府统筹合法利用</w:t>
      </w:r>
      <w:r w:rsidRPr="00896799">
        <w:rPr>
          <w:rFonts w:eastAsiaTheme="minorEastAsia"/>
          <w:bCs/>
          <w:color w:val="FF0000"/>
          <w:sz w:val="24"/>
        </w:rPr>
        <w:t>。</w:t>
      </w:r>
      <w:r w:rsidRPr="00896799">
        <w:rPr>
          <w:rFonts w:eastAsiaTheme="minorEastAsia"/>
          <w:color w:val="FF0000"/>
          <w:sz w:val="24"/>
        </w:rPr>
        <w:t>现状表土量</w:t>
      </w:r>
      <w:r w:rsidR="00896799">
        <w:rPr>
          <w:rFonts w:eastAsiaTheme="minorEastAsia" w:hint="eastAsia"/>
          <w:color w:val="FF0000"/>
          <w:sz w:val="24"/>
        </w:rPr>
        <w:t>充足</w:t>
      </w:r>
      <w:r w:rsidRPr="00896799">
        <w:rPr>
          <w:rFonts w:eastAsiaTheme="minorEastAsia"/>
          <w:color w:val="FF0000"/>
          <w:sz w:val="24"/>
        </w:rPr>
        <w:t>。</w:t>
      </w:r>
      <w:r w:rsidR="00473DCA" w:rsidRPr="00896799">
        <w:rPr>
          <w:rFonts w:eastAsiaTheme="minorEastAsia"/>
          <w:color w:val="FF0000"/>
          <w:sz w:val="24"/>
        </w:rPr>
        <w:t>运距约</w:t>
      </w:r>
      <w:r w:rsidR="00473DCA" w:rsidRPr="00896799">
        <w:rPr>
          <w:rFonts w:eastAsiaTheme="minorEastAsia"/>
          <w:color w:val="FF0000"/>
          <w:sz w:val="24"/>
        </w:rPr>
        <w:t>45km</w:t>
      </w:r>
      <w:r w:rsidR="00473DCA" w:rsidRPr="00896799">
        <w:rPr>
          <w:rFonts w:eastAsiaTheme="minorEastAsia"/>
          <w:color w:val="FF0000"/>
          <w:sz w:val="24"/>
        </w:rPr>
        <w:t>。</w:t>
      </w:r>
      <w:r w:rsidR="00896799" w:rsidRPr="00896799">
        <w:rPr>
          <w:rFonts w:eastAsiaTheme="minorEastAsia"/>
          <w:color w:val="FF0000"/>
          <w:sz w:val="24"/>
        </w:rPr>
        <w:t>客土来源、质量及储量保障</w:t>
      </w:r>
      <w:r w:rsidR="00896799">
        <w:rPr>
          <w:rFonts w:eastAsiaTheme="minorEastAsia"/>
          <w:color w:val="FF0000"/>
          <w:sz w:val="24"/>
        </w:rPr>
        <w:t>均符合本项目要求。</w:t>
      </w:r>
    </w:p>
    <w:p w:rsidR="00DB3B37" w:rsidRPr="00F9522B" w:rsidRDefault="00DB3B37">
      <w:pPr>
        <w:adjustRightInd w:val="0"/>
        <w:snapToGrid w:val="0"/>
        <w:spacing w:line="360" w:lineRule="auto"/>
        <w:ind w:firstLine="482"/>
        <w:rPr>
          <w:rFonts w:eastAsiaTheme="minorEastAsia"/>
          <w:sz w:val="24"/>
        </w:rPr>
      </w:pPr>
      <w:r w:rsidRPr="00F9522B">
        <w:rPr>
          <w:rFonts w:eastAsiaTheme="minorEastAsia"/>
          <w:bCs/>
          <w:sz w:val="24"/>
        </w:rPr>
        <w:t>旱田障碍土层消除：旱田障碍土层消除</w:t>
      </w:r>
      <w:r w:rsidRPr="00F9522B">
        <w:rPr>
          <w:rFonts w:eastAsiaTheme="minorEastAsia"/>
          <w:bCs/>
          <w:sz w:val="24"/>
        </w:rPr>
        <w:t>47888</w:t>
      </w:r>
      <w:r w:rsidRPr="00F9522B">
        <w:rPr>
          <w:rFonts w:eastAsiaTheme="minorEastAsia"/>
          <w:bCs/>
          <w:sz w:val="24"/>
        </w:rPr>
        <w:t>亩，</w:t>
      </w:r>
      <w:r w:rsidR="00766933" w:rsidRPr="00F9522B">
        <w:rPr>
          <w:rFonts w:eastAsiaTheme="minorEastAsia"/>
          <w:bCs/>
          <w:sz w:val="24"/>
        </w:rPr>
        <w:t>二八镇片区鲍堡村、二八村，石人片区古城村、金星村，康金片区孟井村、历井村和历井农场，共</w:t>
      </w:r>
      <w:r w:rsidR="00766933" w:rsidRPr="00F9522B">
        <w:rPr>
          <w:rFonts w:eastAsiaTheme="minorEastAsia"/>
          <w:bCs/>
          <w:sz w:val="24"/>
        </w:rPr>
        <w:t>3</w:t>
      </w:r>
      <w:r w:rsidR="00766933" w:rsidRPr="00F9522B">
        <w:rPr>
          <w:rFonts w:eastAsiaTheme="minorEastAsia"/>
          <w:bCs/>
          <w:sz w:val="24"/>
        </w:rPr>
        <w:t>个乡镇</w:t>
      </w:r>
      <w:r w:rsidR="00766933" w:rsidRPr="00F9522B">
        <w:rPr>
          <w:rFonts w:eastAsiaTheme="minorEastAsia"/>
          <w:bCs/>
          <w:sz w:val="24"/>
        </w:rPr>
        <w:t>7</w:t>
      </w:r>
      <w:r w:rsidR="00766933" w:rsidRPr="00F9522B">
        <w:rPr>
          <w:rFonts w:eastAsiaTheme="minorEastAsia"/>
          <w:bCs/>
          <w:sz w:val="24"/>
        </w:rPr>
        <w:t>个行政村。本次设计采用秸秆配施有机肥深混还田在打破犁底层的同时构建肥沃耕层技术，通过深翻机械作业，将</w:t>
      </w:r>
      <w:r w:rsidR="00766933" w:rsidRPr="00F9522B">
        <w:rPr>
          <w:rFonts w:eastAsiaTheme="minorEastAsia"/>
          <w:bCs/>
          <w:sz w:val="24"/>
        </w:rPr>
        <w:t>30cm</w:t>
      </w:r>
      <w:r w:rsidR="00766933" w:rsidRPr="00F9522B">
        <w:rPr>
          <w:rFonts w:eastAsiaTheme="minorEastAsia"/>
          <w:bCs/>
          <w:sz w:val="24"/>
        </w:rPr>
        <w:t>土层旋转</w:t>
      </w:r>
      <w:r w:rsidR="00766933" w:rsidRPr="00F9522B">
        <w:rPr>
          <w:rFonts w:eastAsiaTheme="minorEastAsia"/>
          <w:bCs/>
          <w:sz w:val="24"/>
        </w:rPr>
        <w:t>60°~120°</w:t>
      </w:r>
      <w:r w:rsidR="00766933" w:rsidRPr="00F9522B">
        <w:rPr>
          <w:rFonts w:eastAsiaTheme="minorEastAsia"/>
          <w:bCs/>
          <w:sz w:val="24"/>
        </w:rPr>
        <w:t>，同时将秸秆和有机肥深混于厚度</w:t>
      </w:r>
      <w:r w:rsidR="00F74680" w:rsidRPr="00F9522B">
        <w:rPr>
          <w:rFonts w:eastAsiaTheme="minorEastAsia"/>
          <w:bCs/>
          <w:sz w:val="24"/>
        </w:rPr>
        <w:t>30</w:t>
      </w:r>
      <w:r w:rsidR="00766933" w:rsidRPr="00F9522B">
        <w:rPr>
          <w:rFonts w:eastAsiaTheme="minorEastAsia"/>
          <w:bCs/>
          <w:sz w:val="24"/>
        </w:rPr>
        <w:t>cm</w:t>
      </w:r>
      <w:r w:rsidR="00766933" w:rsidRPr="00F9522B">
        <w:rPr>
          <w:rFonts w:eastAsiaTheme="minorEastAsia"/>
          <w:bCs/>
          <w:sz w:val="24"/>
        </w:rPr>
        <w:t>土层之中。有机肥的施用量为</w:t>
      </w:r>
      <w:r w:rsidR="00766933" w:rsidRPr="00F9522B">
        <w:rPr>
          <w:rFonts w:eastAsiaTheme="minorEastAsia"/>
          <w:bCs/>
          <w:sz w:val="24"/>
        </w:rPr>
        <w:t>2t/</w:t>
      </w:r>
      <w:r w:rsidR="00766933" w:rsidRPr="00F9522B">
        <w:rPr>
          <w:rFonts w:eastAsiaTheme="minorEastAsia"/>
          <w:bCs/>
          <w:sz w:val="24"/>
        </w:rPr>
        <w:t>亩。</w:t>
      </w:r>
      <w:r w:rsidR="00FF473C" w:rsidRPr="00F9522B">
        <w:rPr>
          <w:rFonts w:eastAsiaTheme="minorEastAsia"/>
          <w:bCs/>
          <w:color w:val="FF0000"/>
          <w:sz w:val="24"/>
        </w:rPr>
        <w:t>不产生弃方。</w:t>
      </w:r>
    </w:p>
    <w:p w:rsidR="002A5A5E" w:rsidRPr="00F9522B" w:rsidRDefault="00611CBA" w:rsidP="001F4A40">
      <w:pPr>
        <w:adjustRightInd w:val="0"/>
        <w:snapToGrid w:val="0"/>
        <w:spacing w:line="360" w:lineRule="auto"/>
        <w:ind w:firstLineChars="200" w:firstLine="480"/>
        <w:rPr>
          <w:rFonts w:eastAsiaTheme="minorEastAsia"/>
          <w:sz w:val="24"/>
        </w:rPr>
      </w:pPr>
      <w:r w:rsidRPr="00F9522B">
        <w:rPr>
          <w:rFonts w:eastAsiaTheme="minorEastAsia"/>
          <w:sz w:val="24"/>
        </w:rPr>
        <w:t>（</w:t>
      </w:r>
      <w:r w:rsidRPr="00F9522B">
        <w:rPr>
          <w:rFonts w:eastAsiaTheme="minorEastAsia"/>
          <w:sz w:val="24"/>
        </w:rPr>
        <w:t>2</w:t>
      </w:r>
      <w:r w:rsidRPr="00F9522B">
        <w:rPr>
          <w:rFonts w:eastAsiaTheme="minorEastAsia"/>
          <w:sz w:val="24"/>
        </w:rPr>
        <w:t>）水田</w:t>
      </w:r>
    </w:p>
    <w:p w:rsidR="002A5A5E" w:rsidRPr="00F9522B" w:rsidRDefault="00611CBA" w:rsidP="001F4A40">
      <w:pPr>
        <w:adjustRightInd w:val="0"/>
        <w:snapToGrid w:val="0"/>
        <w:spacing w:line="360" w:lineRule="auto"/>
        <w:ind w:firstLineChars="200" w:firstLine="480"/>
        <w:rPr>
          <w:rFonts w:eastAsiaTheme="minorEastAsia"/>
          <w:bCs/>
          <w:sz w:val="24"/>
        </w:rPr>
      </w:pPr>
      <w:r w:rsidRPr="00F9522B">
        <w:rPr>
          <w:rFonts w:eastAsiaTheme="minorEastAsia"/>
          <w:bCs/>
          <w:sz w:val="24"/>
        </w:rPr>
        <w:t>水田方格田改造：</w:t>
      </w:r>
      <w:r w:rsidRPr="00F9522B">
        <w:rPr>
          <w:rFonts w:eastAsiaTheme="minorEastAsia"/>
          <w:sz w:val="24"/>
        </w:rPr>
        <w:t>涉及</w:t>
      </w:r>
      <w:r w:rsidRPr="00F9522B">
        <w:rPr>
          <w:rFonts w:eastAsiaTheme="minorEastAsia"/>
          <w:sz w:val="24"/>
        </w:rPr>
        <w:t>3</w:t>
      </w:r>
      <w:r w:rsidRPr="00F9522B">
        <w:rPr>
          <w:rFonts w:eastAsiaTheme="minorEastAsia"/>
          <w:sz w:val="24"/>
        </w:rPr>
        <w:t>个乡镇。包括</w:t>
      </w:r>
      <w:r w:rsidR="00C35856" w:rsidRPr="00F9522B">
        <w:rPr>
          <w:rFonts w:eastAsiaTheme="minorEastAsia"/>
          <w:sz w:val="24"/>
        </w:rPr>
        <w:t>康金片区杨木村、二八片区长山村及石人片区永发村</w:t>
      </w:r>
      <w:r w:rsidRPr="00F9522B">
        <w:rPr>
          <w:rFonts w:eastAsiaTheme="minorEastAsia"/>
          <w:sz w:val="24"/>
        </w:rPr>
        <w:t>，格田改造面积</w:t>
      </w:r>
      <w:r w:rsidR="00DB3B37" w:rsidRPr="00F9522B">
        <w:rPr>
          <w:rFonts w:eastAsiaTheme="minorEastAsia"/>
          <w:bCs/>
          <w:sz w:val="24"/>
        </w:rPr>
        <w:t>428.89</w:t>
      </w:r>
      <w:r w:rsidR="00DB3B37" w:rsidRPr="00F9522B">
        <w:rPr>
          <w:rFonts w:eastAsiaTheme="minorEastAsia"/>
          <w:bCs/>
          <w:sz w:val="24"/>
        </w:rPr>
        <w:t>亩</w:t>
      </w:r>
      <w:r w:rsidRPr="00F9522B">
        <w:rPr>
          <w:rFonts w:eastAsiaTheme="minorEastAsia"/>
          <w:sz w:val="24"/>
        </w:rPr>
        <w:t>，水田区格田改造工程具体位置见附</w:t>
      </w:r>
      <w:r w:rsidRPr="00F9522B">
        <w:rPr>
          <w:rFonts w:eastAsiaTheme="minorEastAsia"/>
          <w:sz w:val="24"/>
        </w:rPr>
        <w:lastRenderedPageBreak/>
        <w:t>图</w:t>
      </w:r>
      <w:r w:rsidRPr="00F9522B">
        <w:rPr>
          <w:rFonts w:eastAsiaTheme="minorEastAsia"/>
          <w:sz w:val="24"/>
        </w:rPr>
        <w:t>9</w:t>
      </w:r>
      <w:r w:rsidRPr="00F9522B">
        <w:rPr>
          <w:rFonts w:eastAsiaTheme="minorEastAsia"/>
          <w:sz w:val="24"/>
        </w:rPr>
        <w:t>，将土质田埂改造为组合式输水渠埂。组合式复合塑钢田埂是由面板、侧板和加强支架按不同需求尺寸组成。设计田埂宽</w:t>
      </w:r>
      <w:r w:rsidRPr="00F9522B">
        <w:rPr>
          <w:rFonts w:eastAsiaTheme="minorEastAsia"/>
          <w:sz w:val="24"/>
        </w:rPr>
        <w:t>35m</w:t>
      </w:r>
      <w:r w:rsidRPr="00F9522B">
        <w:rPr>
          <w:rFonts w:eastAsiaTheme="minorEastAsia"/>
          <w:sz w:val="24"/>
        </w:rPr>
        <w:t>、高度</w:t>
      </w:r>
      <w:r w:rsidRPr="00F9522B">
        <w:rPr>
          <w:rFonts w:eastAsiaTheme="minorEastAsia"/>
          <w:sz w:val="24"/>
        </w:rPr>
        <w:t>0.4m</w:t>
      </w:r>
      <w:r w:rsidRPr="00F9522B">
        <w:rPr>
          <w:rFonts w:eastAsiaTheme="minorEastAsia"/>
          <w:sz w:val="24"/>
        </w:rPr>
        <w:t>，田埂压实度</w:t>
      </w:r>
      <w:r w:rsidRPr="00F9522B">
        <w:rPr>
          <w:rFonts w:eastAsiaTheme="minorEastAsia"/>
          <w:sz w:val="24"/>
        </w:rPr>
        <w:t>&gt;0.9</w:t>
      </w:r>
      <w:r w:rsidRPr="00F9522B">
        <w:rPr>
          <w:rFonts w:eastAsiaTheme="minorEastAsia"/>
          <w:sz w:val="24"/>
        </w:rPr>
        <w:t>。</w:t>
      </w:r>
      <w:r w:rsidRPr="00F9522B">
        <w:rPr>
          <w:rFonts w:eastAsiaTheme="minorEastAsia"/>
          <w:bCs/>
          <w:snapToGrid w:val="0"/>
          <w:kern w:val="0"/>
          <w:sz w:val="24"/>
        </w:rPr>
        <w:t>剥离表土</w:t>
      </w:r>
      <w:r w:rsidR="00766933" w:rsidRPr="00F9522B">
        <w:rPr>
          <w:rFonts w:eastAsiaTheme="minorEastAsia"/>
          <w:bCs/>
          <w:snapToGrid w:val="0"/>
          <w:kern w:val="0"/>
          <w:sz w:val="24"/>
        </w:rPr>
        <w:t>71410</w:t>
      </w:r>
      <w:r w:rsidRPr="00F9522B">
        <w:rPr>
          <w:rFonts w:eastAsiaTheme="minorEastAsia"/>
          <w:bCs/>
          <w:snapToGrid w:val="0"/>
          <w:kern w:val="0"/>
          <w:sz w:val="24"/>
        </w:rPr>
        <w:t>m</w:t>
      </w:r>
      <w:r w:rsidRPr="00F9522B">
        <w:rPr>
          <w:rFonts w:eastAsiaTheme="minorEastAsia"/>
          <w:bCs/>
          <w:snapToGrid w:val="0"/>
          <w:kern w:val="0"/>
          <w:sz w:val="24"/>
          <w:vertAlign w:val="superscript"/>
        </w:rPr>
        <w:t>3</w:t>
      </w:r>
      <w:r w:rsidRPr="00F9522B">
        <w:rPr>
          <w:rFonts w:eastAsiaTheme="minorEastAsia"/>
          <w:bCs/>
          <w:snapToGrid w:val="0"/>
          <w:kern w:val="0"/>
          <w:sz w:val="24"/>
        </w:rPr>
        <w:t>。</w:t>
      </w:r>
    </w:p>
    <w:p w:rsidR="002A5A5E" w:rsidRPr="00F9522B" w:rsidRDefault="00611CBA" w:rsidP="001F4A40">
      <w:pPr>
        <w:autoSpaceDE w:val="0"/>
        <w:autoSpaceDN w:val="0"/>
        <w:spacing w:line="360" w:lineRule="auto"/>
        <w:ind w:firstLineChars="200" w:firstLine="480"/>
        <w:rPr>
          <w:rFonts w:eastAsiaTheme="minorEastAsia"/>
          <w:bCs/>
          <w:sz w:val="24"/>
        </w:rPr>
      </w:pPr>
      <w:r w:rsidRPr="00F9522B">
        <w:rPr>
          <w:rFonts w:eastAsiaTheme="minorEastAsia"/>
          <w:sz w:val="24"/>
        </w:rPr>
        <w:t>通过格田改造，可以减少池埂、水渠占地面积，提高了土地的利用率和机械作业效率，有助于改善土壤结构，提高农田保水能力，提升耕地质量，实施标准化格田改造这一根本措施，实现节水、节肥，提高机械化率、提高水稻产量、提高稻米品质，减少收获损失、减少机械投入、减少人工费支出、减少机械破坏土</w:t>
      </w:r>
      <w:r w:rsidRPr="00F9522B">
        <w:rPr>
          <w:rFonts w:eastAsiaTheme="minorEastAsia"/>
          <w:bCs/>
          <w:sz w:val="24"/>
        </w:rPr>
        <w:t>地，在节省成本的同时，实现增收、增效。实现</w:t>
      </w:r>
      <w:r w:rsidRPr="00F9522B">
        <w:rPr>
          <w:rFonts w:eastAsiaTheme="minorEastAsia"/>
          <w:bCs/>
          <w:sz w:val="24"/>
        </w:rPr>
        <w:t>“</w:t>
      </w:r>
      <w:r w:rsidRPr="00F9522B">
        <w:rPr>
          <w:rFonts w:eastAsiaTheme="minorEastAsia"/>
          <w:bCs/>
          <w:sz w:val="24"/>
        </w:rPr>
        <w:t>一改二节三提四减</w:t>
      </w:r>
      <w:r w:rsidRPr="00F9522B">
        <w:rPr>
          <w:rFonts w:eastAsiaTheme="minorEastAsia"/>
          <w:bCs/>
          <w:sz w:val="24"/>
        </w:rPr>
        <w:t>”</w:t>
      </w:r>
      <w:r w:rsidRPr="00F9522B">
        <w:rPr>
          <w:rFonts w:eastAsiaTheme="minorEastAsia"/>
          <w:bCs/>
          <w:sz w:val="24"/>
        </w:rPr>
        <w:t>。</w:t>
      </w:r>
    </w:p>
    <w:p w:rsidR="002A5A5E" w:rsidRPr="00F9522B" w:rsidRDefault="00611CBA" w:rsidP="001F4A40">
      <w:pPr>
        <w:autoSpaceDE w:val="0"/>
        <w:autoSpaceDN w:val="0"/>
        <w:spacing w:line="360" w:lineRule="auto"/>
        <w:ind w:firstLineChars="200" w:firstLine="480"/>
        <w:rPr>
          <w:rFonts w:eastAsiaTheme="minorEastAsia"/>
          <w:bCs/>
          <w:sz w:val="24"/>
        </w:rPr>
      </w:pPr>
      <w:r w:rsidRPr="00F9522B">
        <w:rPr>
          <w:rFonts w:eastAsiaTheme="minorEastAsia"/>
          <w:bCs/>
          <w:sz w:val="24"/>
        </w:rPr>
        <w:t>禁止将利用垃圾、污泥及各种工矿废弃物制作的有机肥投入农田中。购买的合格肥料发放至村委会，由村委会派专人管理和发放至农户，农户在耕种前对自家土地进行施肥，与农户例行春耕无异。</w:t>
      </w:r>
    </w:p>
    <w:p w:rsidR="00DB3B37" w:rsidRPr="00F9522B" w:rsidRDefault="00DB3B37" w:rsidP="00DB3B37">
      <w:pPr>
        <w:autoSpaceDE w:val="0"/>
        <w:autoSpaceDN w:val="0"/>
        <w:spacing w:line="360" w:lineRule="auto"/>
        <w:ind w:firstLineChars="200" w:firstLine="480"/>
        <w:rPr>
          <w:rFonts w:eastAsiaTheme="minorEastAsia"/>
          <w:bCs/>
          <w:sz w:val="24"/>
        </w:rPr>
      </w:pPr>
      <w:r w:rsidRPr="00F9522B">
        <w:rPr>
          <w:rFonts w:eastAsiaTheme="minorEastAsia"/>
          <w:bCs/>
          <w:sz w:val="24"/>
        </w:rPr>
        <w:t>（</w:t>
      </w:r>
      <w:r w:rsidRPr="00F9522B">
        <w:rPr>
          <w:rFonts w:eastAsiaTheme="minorEastAsia"/>
          <w:bCs/>
          <w:sz w:val="24"/>
        </w:rPr>
        <w:t>3</w:t>
      </w:r>
      <w:r w:rsidRPr="00F9522B">
        <w:rPr>
          <w:rFonts w:eastAsiaTheme="minorEastAsia"/>
          <w:bCs/>
          <w:sz w:val="24"/>
        </w:rPr>
        <w:t>）沟道岸坡防护</w:t>
      </w:r>
    </w:p>
    <w:p w:rsidR="00DB3B37" w:rsidRPr="00F9522B" w:rsidRDefault="00DB3B37" w:rsidP="00DB3B37">
      <w:pPr>
        <w:autoSpaceDE w:val="0"/>
        <w:autoSpaceDN w:val="0"/>
        <w:spacing w:line="360" w:lineRule="auto"/>
        <w:ind w:firstLineChars="200" w:firstLine="480"/>
        <w:rPr>
          <w:rFonts w:eastAsiaTheme="minorEastAsia"/>
          <w:bCs/>
          <w:sz w:val="24"/>
        </w:rPr>
      </w:pPr>
      <w:r w:rsidRPr="00F9522B">
        <w:rPr>
          <w:rFonts w:eastAsiaTheme="minorEastAsia"/>
          <w:bCs/>
          <w:sz w:val="24"/>
        </w:rPr>
        <w:t>项目区部分地块属于破岗地，地势较陡，现状排水沟的水流速较大，导致沟道边坡被冲刷的严重，特别是沟道改变方向的地方，迎水面岸坡冲刷严重，导致耕地每年都有不同程度的损失，急需对沟道边坡进行防护，本次设计进行沟道岸坡防护</w:t>
      </w:r>
      <w:r w:rsidRPr="00F9522B">
        <w:rPr>
          <w:rFonts w:eastAsiaTheme="minorEastAsia"/>
          <w:bCs/>
          <w:sz w:val="24"/>
        </w:rPr>
        <w:t>15.558</w:t>
      </w:r>
      <w:r w:rsidRPr="00F9522B">
        <w:rPr>
          <w:rFonts w:eastAsiaTheme="minorEastAsia"/>
          <w:bCs/>
          <w:sz w:val="24"/>
        </w:rPr>
        <w:t>公里。</w:t>
      </w:r>
    </w:p>
    <w:p w:rsidR="00DB3B37" w:rsidRPr="00F9522B" w:rsidRDefault="00DB3B37" w:rsidP="00DB3B37">
      <w:pPr>
        <w:autoSpaceDE w:val="0"/>
        <w:autoSpaceDN w:val="0"/>
        <w:spacing w:line="360" w:lineRule="auto"/>
        <w:ind w:firstLineChars="200" w:firstLine="480"/>
        <w:rPr>
          <w:rFonts w:eastAsiaTheme="minorEastAsia"/>
          <w:bCs/>
          <w:sz w:val="24"/>
        </w:rPr>
      </w:pPr>
      <w:r w:rsidRPr="00F9522B">
        <w:rPr>
          <w:rFonts w:eastAsiaTheme="minorEastAsia"/>
          <w:bCs/>
          <w:sz w:val="24"/>
        </w:rPr>
        <w:t>沟道断面较小的断面，在对边坡整形后，整形后坡比</w:t>
      </w:r>
      <w:r w:rsidRPr="00F9522B">
        <w:rPr>
          <w:rFonts w:eastAsiaTheme="minorEastAsia"/>
          <w:bCs/>
          <w:sz w:val="24"/>
        </w:rPr>
        <w:t>1:1.5-1:3</w:t>
      </w:r>
      <w:r w:rsidRPr="00F9522B">
        <w:rPr>
          <w:rFonts w:eastAsiaTheme="minorEastAsia"/>
          <w:bCs/>
          <w:sz w:val="24"/>
        </w:rPr>
        <w:t>，采用沿边坡铺设</w:t>
      </w:r>
      <w:r w:rsidRPr="00F9522B">
        <w:rPr>
          <w:rFonts w:eastAsiaTheme="minorEastAsia"/>
          <w:bCs/>
          <w:sz w:val="24"/>
        </w:rPr>
        <w:t>30cm</w:t>
      </w:r>
      <w:r w:rsidRPr="00F9522B">
        <w:rPr>
          <w:rFonts w:eastAsiaTheme="minorEastAsia"/>
          <w:bCs/>
          <w:sz w:val="24"/>
        </w:rPr>
        <w:t>厚雷诺石笼，下铺</w:t>
      </w:r>
      <w:r w:rsidRPr="00F9522B">
        <w:rPr>
          <w:rFonts w:eastAsiaTheme="minorEastAsia"/>
          <w:bCs/>
          <w:sz w:val="24"/>
        </w:rPr>
        <w:t>10cm</w:t>
      </w:r>
      <w:r w:rsidRPr="00F9522B">
        <w:rPr>
          <w:rFonts w:eastAsiaTheme="minorEastAsia"/>
          <w:bCs/>
          <w:sz w:val="24"/>
        </w:rPr>
        <w:t>砂砾石垫层和无纺布一层，固脚格宾石笼高度</w:t>
      </w:r>
      <w:r w:rsidRPr="00F9522B">
        <w:rPr>
          <w:rFonts w:eastAsiaTheme="minorEastAsia"/>
          <w:bCs/>
          <w:sz w:val="24"/>
        </w:rPr>
        <w:t>1.0m</w:t>
      </w:r>
      <w:r w:rsidRPr="00F9522B">
        <w:rPr>
          <w:rFonts w:eastAsiaTheme="minorEastAsia"/>
          <w:bCs/>
          <w:sz w:val="24"/>
        </w:rPr>
        <w:t>，宽</w:t>
      </w:r>
      <w:r w:rsidRPr="00F9522B">
        <w:rPr>
          <w:rFonts w:eastAsiaTheme="minorEastAsia"/>
          <w:bCs/>
          <w:sz w:val="24"/>
        </w:rPr>
        <w:t>0.5m</w:t>
      </w:r>
      <w:r w:rsidRPr="00F9522B">
        <w:rPr>
          <w:rFonts w:eastAsiaTheme="minorEastAsia"/>
          <w:bCs/>
          <w:sz w:val="24"/>
        </w:rPr>
        <w:t>；沟断面较大在对边坡整形成台阶式后，每层采用沿边坡铺设</w:t>
      </w:r>
      <w:r w:rsidRPr="00F9522B">
        <w:rPr>
          <w:rFonts w:eastAsiaTheme="minorEastAsia"/>
          <w:bCs/>
          <w:sz w:val="24"/>
        </w:rPr>
        <w:t>0.5m</w:t>
      </w:r>
      <w:r w:rsidRPr="00F9522B">
        <w:rPr>
          <w:rFonts w:eastAsiaTheme="minorEastAsia"/>
          <w:bCs/>
          <w:sz w:val="24"/>
        </w:rPr>
        <w:t>厚格宾石笼构成，格宾石笼均为高</w:t>
      </w:r>
      <w:r w:rsidRPr="00F9522B">
        <w:rPr>
          <w:rFonts w:eastAsiaTheme="minorEastAsia"/>
          <w:bCs/>
          <w:sz w:val="24"/>
        </w:rPr>
        <w:t>0.5m</w:t>
      </w:r>
      <w:r w:rsidRPr="00F9522B">
        <w:rPr>
          <w:rFonts w:eastAsiaTheme="minorEastAsia"/>
          <w:bCs/>
          <w:sz w:val="24"/>
        </w:rPr>
        <w:t>，且比前一层向土坡方向错开</w:t>
      </w:r>
      <w:r w:rsidRPr="00F9522B">
        <w:rPr>
          <w:rFonts w:eastAsiaTheme="minorEastAsia"/>
          <w:bCs/>
          <w:sz w:val="24"/>
        </w:rPr>
        <w:t>0.5m</w:t>
      </w:r>
      <w:r w:rsidRPr="00F9522B">
        <w:rPr>
          <w:rFonts w:eastAsiaTheme="minorEastAsia"/>
          <w:bCs/>
          <w:sz w:val="24"/>
        </w:rPr>
        <w:t>，最底层固脚格宾石笼高度</w:t>
      </w:r>
      <w:r w:rsidRPr="00F9522B">
        <w:rPr>
          <w:rFonts w:eastAsiaTheme="minorEastAsia"/>
          <w:bCs/>
          <w:sz w:val="24"/>
        </w:rPr>
        <w:t>1.0m</w:t>
      </w:r>
      <w:r w:rsidRPr="00F9522B">
        <w:rPr>
          <w:rFonts w:eastAsiaTheme="minorEastAsia"/>
          <w:bCs/>
          <w:sz w:val="24"/>
        </w:rPr>
        <w:t>，格宾石笼下部回填砂砾石和无纺布一层。</w:t>
      </w:r>
    </w:p>
    <w:p w:rsidR="00C52CFB" w:rsidRPr="00F9522B" w:rsidRDefault="00C52CFB" w:rsidP="00C52CFB">
      <w:pPr>
        <w:autoSpaceDE w:val="0"/>
        <w:autoSpaceDN w:val="0"/>
        <w:spacing w:line="360" w:lineRule="auto"/>
        <w:ind w:firstLineChars="200" w:firstLine="480"/>
        <w:rPr>
          <w:rFonts w:eastAsiaTheme="minorEastAsia"/>
          <w:bCs/>
          <w:sz w:val="24"/>
        </w:rPr>
      </w:pPr>
      <w:r w:rsidRPr="00F9522B">
        <w:rPr>
          <w:rFonts w:eastAsiaTheme="minorEastAsia"/>
          <w:bCs/>
          <w:sz w:val="24"/>
        </w:rPr>
        <w:t>对于沟道落差大于</w:t>
      </w:r>
      <w:r w:rsidRPr="00F9522B">
        <w:rPr>
          <w:rFonts w:eastAsiaTheme="minorEastAsia"/>
          <w:bCs/>
          <w:sz w:val="24"/>
        </w:rPr>
        <w:t xml:space="preserve"> 1 m</w:t>
      </w:r>
      <w:r w:rsidRPr="00F9522B">
        <w:rPr>
          <w:rFonts w:eastAsiaTheme="minorEastAsia"/>
          <w:bCs/>
          <w:sz w:val="24"/>
        </w:rPr>
        <w:t>、土层较厚、土壤及水分条件良好且正在发育的中小型侵蚀沟，本次采用柳编护砌形式。柳编护砌不仅可以有效消减径流进入沟道的势能，控制侵蚀沟沟岸扩张和沟头前进导致的耕地面积减小，保护黑土耕地面积，还具有一定的经济效益和生态效益。</w:t>
      </w:r>
    </w:p>
    <w:p w:rsidR="00DB3B37" w:rsidRPr="00F9522B" w:rsidRDefault="00DB3B37" w:rsidP="00DB3B37">
      <w:pPr>
        <w:autoSpaceDE w:val="0"/>
        <w:autoSpaceDN w:val="0"/>
        <w:spacing w:line="360" w:lineRule="auto"/>
        <w:ind w:firstLineChars="200" w:firstLine="480"/>
        <w:rPr>
          <w:rFonts w:eastAsiaTheme="minorEastAsia"/>
          <w:bCs/>
          <w:sz w:val="24"/>
        </w:rPr>
      </w:pPr>
      <w:r w:rsidRPr="00F9522B">
        <w:rPr>
          <w:rFonts w:eastAsiaTheme="minorEastAsia"/>
          <w:bCs/>
          <w:sz w:val="24"/>
        </w:rPr>
        <w:t>（</w:t>
      </w:r>
      <w:r w:rsidRPr="00F9522B">
        <w:rPr>
          <w:rFonts w:eastAsiaTheme="minorEastAsia"/>
          <w:bCs/>
          <w:sz w:val="24"/>
        </w:rPr>
        <w:t>4</w:t>
      </w:r>
      <w:r w:rsidRPr="00F9522B">
        <w:rPr>
          <w:rFonts w:eastAsiaTheme="minorEastAsia"/>
          <w:bCs/>
          <w:sz w:val="24"/>
        </w:rPr>
        <w:t>）沟头防护</w:t>
      </w:r>
    </w:p>
    <w:p w:rsidR="00DB3B37" w:rsidRPr="00F9522B" w:rsidRDefault="00C52CFB" w:rsidP="00DB3B37">
      <w:pPr>
        <w:autoSpaceDE w:val="0"/>
        <w:autoSpaceDN w:val="0"/>
        <w:spacing w:line="360" w:lineRule="auto"/>
        <w:ind w:firstLineChars="200" w:firstLine="480"/>
        <w:rPr>
          <w:rFonts w:eastAsiaTheme="minorEastAsia"/>
          <w:bCs/>
          <w:sz w:val="24"/>
        </w:rPr>
      </w:pPr>
      <w:r w:rsidRPr="00F9522B">
        <w:rPr>
          <w:rFonts w:eastAsiaTheme="minorEastAsia"/>
          <w:bCs/>
          <w:sz w:val="24"/>
        </w:rPr>
        <w:t>沟头防护</w:t>
      </w:r>
      <w:r w:rsidR="00DB3B37" w:rsidRPr="00F9522B">
        <w:rPr>
          <w:rFonts w:eastAsiaTheme="minorEastAsia"/>
          <w:bCs/>
          <w:sz w:val="24"/>
        </w:rPr>
        <w:t>200</w:t>
      </w:r>
      <w:r w:rsidR="00DB3B37" w:rsidRPr="00F9522B">
        <w:rPr>
          <w:rFonts w:eastAsiaTheme="minorEastAsia"/>
          <w:bCs/>
          <w:sz w:val="24"/>
        </w:rPr>
        <w:t>座</w:t>
      </w:r>
      <w:r w:rsidRPr="00F9522B">
        <w:rPr>
          <w:rFonts w:eastAsiaTheme="minorEastAsia"/>
          <w:bCs/>
          <w:sz w:val="24"/>
        </w:rPr>
        <w:t>。根据《水土保持综合治理技术规范》</w:t>
      </w:r>
      <w:r w:rsidRPr="00F9522B">
        <w:rPr>
          <w:rFonts w:eastAsiaTheme="minorEastAsia"/>
          <w:bCs/>
          <w:sz w:val="24"/>
        </w:rPr>
        <w:t>GB/T16453.3—2008</w:t>
      </w:r>
      <w:r w:rsidRPr="00F9522B">
        <w:rPr>
          <w:rFonts w:eastAsiaTheme="minorEastAsia"/>
          <w:bCs/>
          <w:sz w:val="24"/>
        </w:rPr>
        <w:t>，沟头防护工程防御标准为</w:t>
      </w:r>
      <w:r w:rsidRPr="00F9522B">
        <w:rPr>
          <w:rFonts w:eastAsiaTheme="minorEastAsia"/>
          <w:bCs/>
          <w:sz w:val="24"/>
        </w:rPr>
        <w:t>10</w:t>
      </w:r>
      <w:r w:rsidRPr="00F9522B">
        <w:rPr>
          <w:rFonts w:eastAsiaTheme="minorEastAsia"/>
          <w:bCs/>
          <w:sz w:val="24"/>
        </w:rPr>
        <w:t>年一遇</w:t>
      </w:r>
      <w:r w:rsidRPr="00F9522B">
        <w:rPr>
          <w:rFonts w:eastAsiaTheme="minorEastAsia"/>
          <w:bCs/>
          <w:sz w:val="24"/>
        </w:rPr>
        <w:t>1h</w:t>
      </w:r>
      <w:r w:rsidRPr="00F9522B">
        <w:rPr>
          <w:rFonts w:eastAsiaTheme="minorEastAsia"/>
          <w:bCs/>
          <w:sz w:val="24"/>
        </w:rPr>
        <w:t>小时最大暴雨量。采用格宾石笼沟头防护。</w:t>
      </w:r>
    </w:p>
    <w:p w:rsidR="002A5A5E" w:rsidRPr="00F9522B" w:rsidRDefault="00611CBA" w:rsidP="00DB3B37">
      <w:pPr>
        <w:autoSpaceDE w:val="0"/>
        <w:autoSpaceDN w:val="0"/>
        <w:spacing w:line="360" w:lineRule="auto"/>
        <w:ind w:firstLineChars="200" w:firstLine="480"/>
        <w:rPr>
          <w:rFonts w:eastAsiaTheme="minorEastAsia"/>
          <w:sz w:val="24"/>
        </w:rPr>
      </w:pPr>
      <w:r w:rsidRPr="00F9522B">
        <w:rPr>
          <w:rFonts w:eastAsiaTheme="minorEastAsia"/>
          <w:bCs/>
          <w:sz w:val="24"/>
        </w:rPr>
        <w:t>本工程不涉及河湖、大型沟渠，具体位置见附图</w:t>
      </w:r>
      <w:r w:rsidRPr="00F9522B">
        <w:rPr>
          <w:rFonts w:eastAsiaTheme="minorEastAsia"/>
          <w:bCs/>
          <w:sz w:val="24"/>
        </w:rPr>
        <w:t>9</w:t>
      </w:r>
      <w:r w:rsidRPr="00F9522B">
        <w:rPr>
          <w:rFonts w:eastAsiaTheme="minorEastAsia"/>
          <w:sz w:val="24"/>
        </w:rPr>
        <w:t>。</w:t>
      </w:r>
    </w:p>
    <w:p w:rsidR="002A5A5E" w:rsidRPr="00F9522B" w:rsidRDefault="00611CBA">
      <w:pPr>
        <w:keepNext/>
        <w:keepLines/>
        <w:spacing w:before="100" w:beforeAutospacing="1" w:after="100" w:afterAutospacing="1"/>
        <w:outlineLvl w:val="2"/>
        <w:rPr>
          <w:rFonts w:eastAsiaTheme="minorEastAsia"/>
          <w:b/>
          <w:sz w:val="28"/>
          <w:szCs w:val="28"/>
        </w:rPr>
      </w:pPr>
      <w:r w:rsidRPr="00F9522B">
        <w:rPr>
          <w:rFonts w:eastAsiaTheme="minorEastAsia"/>
          <w:b/>
          <w:sz w:val="28"/>
          <w:szCs w:val="28"/>
        </w:rPr>
        <w:lastRenderedPageBreak/>
        <w:t>3.1.7</w:t>
      </w:r>
      <w:r w:rsidRPr="00F9522B">
        <w:rPr>
          <w:rFonts w:eastAsiaTheme="minorEastAsia"/>
          <w:b/>
          <w:sz w:val="28"/>
          <w:szCs w:val="28"/>
        </w:rPr>
        <w:t>主要设备</w:t>
      </w:r>
    </w:p>
    <w:p w:rsidR="002A5A5E" w:rsidRPr="00F9522B" w:rsidRDefault="00611CBA">
      <w:pPr>
        <w:spacing w:line="360" w:lineRule="auto"/>
        <w:ind w:firstLineChars="200" w:firstLine="480"/>
        <w:rPr>
          <w:rFonts w:eastAsiaTheme="minorEastAsia"/>
          <w:sz w:val="24"/>
          <w:szCs w:val="21"/>
        </w:rPr>
      </w:pPr>
      <w:r w:rsidRPr="00F9522B">
        <w:rPr>
          <w:rFonts w:eastAsiaTheme="minorEastAsia"/>
          <w:sz w:val="24"/>
          <w:szCs w:val="21"/>
        </w:rPr>
        <w:t>主要设备清单见表</w:t>
      </w:r>
      <w:r w:rsidRPr="00F9522B">
        <w:rPr>
          <w:rFonts w:eastAsiaTheme="minorEastAsia"/>
          <w:sz w:val="24"/>
          <w:szCs w:val="21"/>
        </w:rPr>
        <w:t>3-1-1</w:t>
      </w:r>
      <w:r w:rsidR="00B40846" w:rsidRPr="00F9522B">
        <w:rPr>
          <w:rFonts w:eastAsiaTheme="minorEastAsia"/>
          <w:sz w:val="24"/>
          <w:szCs w:val="21"/>
        </w:rPr>
        <w:t>1</w:t>
      </w:r>
      <w:r w:rsidRPr="00F9522B">
        <w:rPr>
          <w:rFonts w:eastAsiaTheme="minorEastAsia"/>
          <w:sz w:val="24"/>
          <w:szCs w:val="21"/>
        </w:rPr>
        <w:t>。</w:t>
      </w:r>
    </w:p>
    <w:p w:rsidR="00CA6D46" w:rsidRDefault="00CA6D46">
      <w:pPr>
        <w:contextualSpacing/>
        <w:jc w:val="center"/>
        <w:rPr>
          <w:rFonts w:eastAsiaTheme="minorEastAsia"/>
          <w:b/>
          <w:kern w:val="0"/>
          <w:szCs w:val="21"/>
        </w:rPr>
      </w:pPr>
    </w:p>
    <w:p w:rsidR="00CA6D46" w:rsidRDefault="00CA6D46">
      <w:pPr>
        <w:contextualSpacing/>
        <w:jc w:val="center"/>
        <w:rPr>
          <w:rFonts w:eastAsiaTheme="minorEastAsia"/>
          <w:b/>
          <w:kern w:val="0"/>
          <w:szCs w:val="21"/>
        </w:rPr>
      </w:pPr>
    </w:p>
    <w:p w:rsidR="002A5A5E" w:rsidRPr="00F9522B" w:rsidRDefault="00611CBA">
      <w:pPr>
        <w:contextualSpacing/>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3-1-1</w:t>
      </w:r>
      <w:r w:rsidR="00B40846" w:rsidRPr="00F9522B">
        <w:rPr>
          <w:rFonts w:eastAsiaTheme="minorEastAsia"/>
          <w:b/>
          <w:kern w:val="0"/>
          <w:szCs w:val="21"/>
        </w:rPr>
        <w:t>1</w:t>
      </w:r>
      <w:r w:rsidRPr="00F9522B">
        <w:rPr>
          <w:rFonts w:eastAsiaTheme="minorEastAsia"/>
          <w:b/>
          <w:kern w:val="0"/>
          <w:szCs w:val="21"/>
        </w:rPr>
        <w:t>主要设备清单</w:t>
      </w:r>
    </w:p>
    <w:tbl>
      <w:tblPr>
        <w:tblW w:w="8676" w:type="dxa"/>
        <w:tblBorders>
          <w:top w:val="single" w:sz="12" w:space="0" w:color="auto"/>
          <w:bottom w:val="single" w:sz="12" w:space="0" w:color="auto"/>
          <w:insideH w:val="single" w:sz="4" w:space="0" w:color="auto"/>
          <w:insideV w:val="single" w:sz="4" w:space="0" w:color="auto"/>
        </w:tblBorders>
        <w:tblLayout w:type="fixed"/>
        <w:tblLook w:val="04A0"/>
      </w:tblPr>
      <w:tblGrid>
        <w:gridCol w:w="1556"/>
        <w:gridCol w:w="3079"/>
        <w:gridCol w:w="2024"/>
        <w:gridCol w:w="2017"/>
      </w:tblGrid>
      <w:tr w:rsidR="002A5A5E" w:rsidRPr="00F9522B">
        <w:trPr>
          <w:trHeight w:val="323"/>
        </w:trPr>
        <w:tc>
          <w:tcPr>
            <w:tcW w:w="1556" w:type="dxa"/>
            <w:tcBorders>
              <w:tl2br w:val="nil"/>
              <w:tr2bl w:val="nil"/>
            </w:tcBorders>
            <w:vAlign w:val="center"/>
          </w:tcPr>
          <w:p w:rsidR="002A5A5E" w:rsidRPr="00F9522B" w:rsidRDefault="00611CBA">
            <w:pPr>
              <w:widowControl/>
              <w:jc w:val="center"/>
              <w:rPr>
                <w:rFonts w:eastAsiaTheme="minorEastAsia"/>
                <w:b/>
                <w:kern w:val="0"/>
                <w:szCs w:val="21"/>
              </w:rPr>
            </w:pPr>
            <w:r w:rsidRPr="00F9522B">
              <w:rPr>
                <w:rFonts w:eastAsiaTheme="minorEastAsia"/>
                <w:b/>
                <w:kern w:val="0"/>
                <w:szCs w:val="21"/>
              </w:rPr>
              <w:t>序号</w:t>
            </w:r>
          </w:p>
        </w:tc>
        <w:tc>
          <w:tcPr>
            <w:tcW w:w="3079" w:type="dxa"/>
            <w:tcBorders>
              <w:tl2br w:val="nil"/>
              <w:tr2bl w:val="nil"/>
            </w:tcBorders>
            <w:vAlign w:val="center"/>
          </w:tcPr>
          <w:p w:rsidR="002A5A5E" w:rsidRPr="00F9522B" w:rsidRDefault="00611CBA">
            <w:pPr>
              <w:widowControl/>
              <w:jc w:val="center"/>
              <w:rPr>
                <w:rFonts w:eastAsiaTheme="minorEastAsia"/>
                <w:b/>
                <w:kern w:val="0"/>
                <w:szCs w:val="21"/>
              </w:rPr>
            </w:pPr>
            <w:r w:rsidRPr="00F9522B">
              <w:rPr>
                <w:rFonts w:eastAsiaTheme="minorEastAsia"/>
                <w:b/>
                <w:kern w:val="0"/>
                <w:szCs w:val="21"/>
              </w:rPr>
              <w:t>设备名称</w:t>
            </w:r>
          </w:p>
        </w:tc>
        <w:tc>
          <w:tcPr>
            <w:tcW w:w="2024" w:type="dxa"/>
            <w:tcBorders>
              <w:tl2br w:val="nil"/>
              <w:tr2bl w:val="nil"/>
            </w:tcBorders>
            <w:vAlign w:val="center"/>
          </w:tcPr>
          <w:p w:rsidR="002A5A5E" w:rsidRPr="00F9522B" w:rsidRDefault="00611CBA">
            <w:pPr>
              <w:widowControl/>
              <w:jc w:val="center"/>
              <w:rPr>
                <w:rFonts w:eastAsiaTheme="minorEastAsia"/>
                <w:b/>
                <w:kern w:val="0"/>
                <w:szCs w:val="21"/>
              </w:rPr>
            </w:pPr>
            <w:r w:rsidRPr="00F9522B">
              <w:rPr>
                <w:rFonts w:eastAsiaTheme="minorEastAsia"/>
                <w:b/>
                <w:kern w:val="0"/>
                <w:szCs w:val="21"/>
              </w:rPr>
              <w:t>单位</w:t>
            </w:r>
          </w:p>
        </w:tc>
        <w:tc>
          <w:tcPr>
            <w:tcW w:w="2017" w:type="dxa"/>
            <w:tcBorders>
              <w:tl2br w:val="nil"/>
              <w:tr2bl w:val="nil"/>
            </w:tcBorders>
            <w:vAlign w:val="center"/>
          </w:tcPr>
          <w:p w:rsidR="002A5A5E" w:rsidRPr="00F9522B" w:rsidRDefault="00611CBA">
            <w:pPr>
              <w:widowControl/>
              <w:jc w:val="center"/>
              <w:rPr>
                <w:rFonts w:eastAsiaTheme="minorEastAsia"/>
                <w:b/>
                <w:kern w:val="0"/>
                <w:szCs w:val="21"/>
              </w:rPr>
            </w:pPr>
            <w:r w:rsidRPr="00F9522B">
              <w:rPr>
                <w:rFonts w:eastAsiaTheme="minorEastAsia"/>
                <w:b/>
                <w:kern w:val="0"/>
                <w:szCs w:val="21"/>
              </w:rPr>
              <w:t>数量</w:t>
            </w:r>
          </w:p>
        </w:tc>
      </w:tr>
      <w:tr w:rsidR="002A5A5E" w:rsidRPr="00F9522B">
        <w:trPr>
          <w:trHeight w:val="323"/>
        </w:trPr>
        <w:tc>
          <w:tcPr>
            <w:tcW w:w="8676" w:type="dxa"/>
            <w:gridSpan w:val="4"/>
            <w:tcBorders>
              <w:tl2br w:val="nil"/>
              <w:tr2bl w:val="nil"/>
            </w:tcBorders>
            <w:vAlign w:val="center"/>
          </w:tcPr>
          <w:p w:rsidR="002A5A5E" w:rsidRPr="00F9522B" w:rsidRDefault="00611CBA">
            <w:pPr>
              <w:widowControl/>
              <w:jc w:val="center"/>
              <w:rPr>
                <w:rFonts w:eastAsiaTheme="minorEastAsia"/>
                <w:b/>
                <w:kern w:val="0"/>
                <w:szCs w:val="21"/>
              </w:rPr>
            </w:pPr>
            <w:r w:rsidRPr="00F9522B">
              <w:rPr>
                <w:rFonts w:eastAsiaTheme="minorEastAsia"/>
                <w:b/>
                <w:kern w:val="0"/>
                <w:szCs w:val="21"/>
              </w:rPr>
              <w:t>施工期</w:t>
            </w:r>
          </w:p>
        </w:tc>
      </w:tr>
      <w:tr w:rsidR="002A5A5E" w:rsidRPr="00F9522B">
        <w:trPr>
          <w:trHeight w:val="323"/>
        </w:trPr>
        <w:tc>
          <w:tcPr>
            <w:tcW w:w="1556" w:type="dxa"/>
            <w:tcBorders>
              <w:tl2br w:val="nil"/>
              <w:tr2bl w:val="nil"/>
            </w:tcBorders>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1</w:t>
            </w:r>
          </w:p>
        </w:tc>
        <w:tc>
          <w:tcPr>
            <w:tcW w:w="3079" w:type="dxa"/>
            <w:tcBorders>
              <w:tl2br w:val="nil"/>
              <w:tr2bl w:val="nil"/>
            </w:tcBorders>
            <w:vAlign w:val="center"/>
          </w:tcPr>
          <w:p w:rsidR="002A5A5E" w:rsidRPr="00F9522B" w:rsidRDefault="00611CBA">
            <w:pPr>
              <w:adjustRightInd w:val="0"/>
              <w:snapToGrid w:val="0"/>
              <w:spacing w:before="40" w:after="40" w:line="240" w:lineRule="exact"/>
              <w:jc w:val="center"/>
              <w:rPr>
                <w:rFonts w:eastAsiaTheme="minorEastAsia"/>
                <w:kern w:val="0"/>
                <w:szCs w:val="21"/>
              </w:rPr>
            </w:pPr>
            <w:r w:rsidRPr="00F9522B">
              <w:rPr>
                <w:rFonts w:eastAsiaTheme="minorEastAsia"/>
                <w:kern w:val="0"/>
                <w:szCs w:val="21"/>
              </w:rPr>
              <w:t>轮式装载机</w:t>
            </w:r>
          </w:p>
        </w:tc>
        <w:tc>
          <w:tcPr>
            <w:tcW w:w="2024" w:type="dxa"/>
            <w:tcBorders>
              <w:tl2br w:val="nil"/>
              <w:tr2bl w:val="nil"/>
            </w:tcBorders>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台</w:t>
            </w:r>
          </w:p>
        </w:tc>
        <w:tc>
          <w:tcPr>
            <w:tcW w:w="2017" w:type="dxa"/>
            <w:tcBorders>
              <w:tl2br w:val="nil"/>
              <w:tr2bl w:val="nil"/>
            </w:tcBorders>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30</w:t>
            </w:r>
          </w:p>
        </w:tc>
      </w:tr>
      <w:tr w:rsidR="002A5A5E" w:rsidRPr="00F9522B">
        <w:trPr>
          <w:trHeight w:val="323"/>
        </w:trPr>
        <w:tc>
          <w:tcPr>
            <w:tcW w:w="1556" w:type="dxa"/>
            <w:tcBorders>
              <w:tl2br w:val="nil"/>
              <w:tr2bl w:val="nil"/>
            </w:tcBorders>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2</w:t>
            </w:r>
          </w:p>
        </w:tc>
        <w:tc>
          <w:tcPr>
            <w:tcW w:w="3079" w:type="dxa"/>
            <w:tcBorders>
              <w:tl2br w:val="nil"/>
              <w:tr2bl w:val="nil"/>
            </w:tcBorders>
            <w:vAlign w:val="center"/>
          </w:tcPr>
          <w:p w:rsidR="002A5A5E" w:rsidRPr="00F9522B" w:rsidRDefault="00611CBA">
            <w:pPr>
              <w:adjustRightInd w:val="0"/>
              <w:snapToGrid w:val="0"/>
              <w:spacing w:before="40" w:after="40" w:line="240" w:lineRule="exact"/>
              <w:jc w:val="center"/>
              <w:rPr>
                <w:rFonts w:eastAsiaTheme="minorEastAsia"/>
                <w:kern w:val="0"/>
                <w:szCs w:val="21"/>
              </w:rPr>
            </w:pPr>
            <w:r w:rsidRPr="00F9522B">
              <w:rPr>
                <w:rFonts w:eastAsiaTheme="minorEastAsia"/>
                <w:kern w:val="0"/>
                <w:szCs w:val="21"/>
              </w:rPr>
              <w:t>平地机</w:t>
            </w:r>
          </w:p>
        </w:tc>
        <w:tc>
          <w:tcPr>
            <w:tcW w:w="2024" w:type="dxa"/>
            <w:tcBorders>
              <w:tl2br w:val="nil"/>
              <w:tr2bl w:val="nil"/>
            </w:tcBorders>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辆</w:t>
            </w:r>
          </w:p>
        </w:tc>
        <w:tc>
          <w:tcPr>
            <w:tcW w:w="2017" w:type="dxa"/>
            <w:tcBorders>
              <w:tl2br w:val="nil"/>
              <w:tr2bl w:val="nil"/>
            </w:tcBorders>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15</w:t>
            </w:r>
          </w:p>
        </w:tc>
      </w:tr>
      <w:tr w:rsidR="002A5A5E" w:rsidRPr="00F9522B">
        <w:trPr>
          <w:trHeight w:val="323"/>
        </w:trPr>
        <w:tc>
          <w:tcPr>
            <w:tcW w:w="1556" w:type="dxa"/>
            <w:tcBorders>
              <w:tl2br w:val="nil"/>
              <w:tr2bl w:val="nil"/>
            </w:tcBorders>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3</w:t>
            </w:r>
          </w:p>
        </w:tc>
        <w:tc>
          <w:tcPr>
            <w:tcW w:w="3079" w:type="dxa"/>
            <w:tcBorders>
              <w:tl2br w:val="nil"/>
              <w:tr2bl w:val="nil"/>
            </w:tcBorders>
            <w:vAlign w:val="center"/>
          </w:tcPr>
          <w:p w:rsidR="002A5A5E" w:rsidRPr="00F9522B" w:rsidRDefault="00611CBA">
            <w:pPr>
              <w:adjustRightInd w:val="0"/>
              <w:snapToGrid w:val="0"/>
              <w:spacing w:before="40" w:after="40" w:line="240" w:lineRule="exact"/>
              <w:jc w:val="center"/>
              <w:rPr>
                <w:rFonts w:eastAsiaTheme="minorEastAsia"/>
                <w:kern w:val="0"/>
                <w:szCs w:val="21"/>
              </w:rPr>
            </w:pPr>
            <w:r w:rsidRPr="00F9522B">
              <w:rPr>
                <w:rFonts w:eastAsiaTheme="minorEastAsia"/>
                <w:kern w:val="0"/>
                <w:szCs w:val="21"/>
              </w:rPr>
              <w:t>压路机</w:t>
            </w:r>
          </w:p>
        </w:tc>
        <w:tc>
          <w:tcPr>
            <w:tcW w:w="2024" w:type="dxa"/>
            <w:tcBorders>
              <w:tl2br w:val="nil"/>
              <w:tr2bl w:val="nil"/>
            </w:tcBorders>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辆</w:t>
            </w:r>
          </w:p>
        </w:tc>
        <w:tc>
          <w:tcPr>
            <w:tcW w:w="2017" w:type="dxa"/>
            <w:tcBorders>
              <w:tl2br w:val="nil"/>
              <w:tr2bl w:val="nil"/>
            </w:tcBorders>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15</w:t>
            </w:r>
          </w:p>
        </w:tc>
      </w:tr>
      <w:tr w:rsidR="002A5A5E" w:rsidRPr="00F9522B">
        <w:trPr>
          <w:trHeight w:val="323"/>
        </w:trPr>
        <w:tc>
          <w:tcPr>
            <w:tcW w:w="1556" w:type="dxa"/>
            <w:tcBorders>
              <w:tl2br w:val="nil"/>
              <w:tr2bl w:val="nil"/>
            </w:tcBorders>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4</w:t>
            </w:r>
          </w:p>
        </w:tc>
        <w:tc>
          <w:tcPr>
            <w:tcW w:w="3079" w:type="dxa"/>
            <w:tcBorders>
              <w:tl2br w:val="nil"/>
              <w:tr2bl w:val="nil"/>
            </w:tcBorders>
            <w:vAlign w:val="center"/>
          </w:tcPr>
          <w:p w:rsidR="002A5A5E" w:rsidRPr="00F9522B" w:rsidRDefault="00611CBA">
            <w:pPr>
              <w:adjustRightInd w:val="0"/>
              <w:snapToGrid w:val="0"/>
              <w:spacing w:before="40" w:after="40" w:line="240" w:lineRule="exact"/>
              <w:jc w:val="center"/>
              <w:rPr>
                <w:rFonts w:eastAsiaTheme="minorEastAsia"/>
                <w:kern w:val="0"/>
                <w:szCs w:val="21"/>
              </w:rPr>
            </w:pPr>
            <w:r w:rsidRPr="00F9522B">
              <w:rPr>
                <w:rFonts w:eastAsiaTheme="minorEastAsia"/>
                <w:kern w:val="0"/>
                <w:szCs w:val="21"/>
              </w:rPr>
              <w:t>推土机</w:t>
            </w:r>
          </w:p>
        </w:tc>
        <w:tc>
          <w:tcPr>
            <w:tcW w:w="2024" w:type="dxa"/>
            <w:tcBorders>
              <w:tl2br w:val="nil"/>
              <w:tr2bl w:val="nil"/>
            </w:tcBorders>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辆</w:t>
            </w:r>
          </w:p>
        </w:tc>
        <w:tc>
          <w:tcPr>
            <w:tcW w:w="2017" w:type="dxa"/>
            <w:tcBorders>
              <w:tl2br w:val="nil"/>
              <w:tr2bl w:val="nil"/>
            </w:tcBorders>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15</w:t>
            </w:r>
          </w:p>
        </w:tc>
      </w:tr>
      <w:tr w:rsidR="002A5A5E" w:rsidRPr="00F9522B">
        <w:trPr>
          <w:trHeight w:val="323"/>
        </w:trPr>
        <w:tc>
          <w:tcPr>
            <w:tcW w:w="1556" w:type="dxa"/>
            <w:tcBorders>
              <w:tl2br w:val="nil"/>
              <w:tr2bl w:val="nil"/>
            </w:tcBorders>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5</w:t>
            </w:r>
          </w:p>
        </w:tc>
        <w:tc>
          <w:tcPr>
            <w:tcW w:w="3079" w:type="dxa"/>
            <w:tcBorders>
              <w:tl2br w:val="nil"/>
              <w:tr2bl w:val="nil"/>
            </w:tcBorders>
            <w:vAlign w:val="center"/>
          </w:tcPr>
          <w:p w:rsidR="002A5A5E" w:rsidRPr="00F9522B" w:rsidRDefault="00611CBA">
            <w:pPr>
              <w:adjustRightInd w:val="0"/>
              <w:snapToGrid w:val="0"/>
              <w:spacing w:before="40" w:after="40" w:line="240" w:lineRule="exact"/>
              <w:jc w:val="center"/>
              <w:rPr>
                <w:rFonts w:eastAsiaTheme="minorEastAsia"/>
                <w:kern w:val="0"/>
                <w:szCs w:val="21"/>
              </w:rPr>
            </w:pPr>
            <w:r w:rsidRPr="00F9522B">
              <w:rPr>
                <w:rFonts w:eastAsiaTheme="minorEastAsia"/>
                <w:kern w:val="0"/>
                <w:szCs w:val="21"/>
              </w:rPr>
              <w:t>挖掘机</w:t>
            </w:r>
          </w:p>
        </w:tc>
        <w:tc>
          <w:tcPr>
            <w:tcW w:w="2024" w:type="dxa"/>
            <w:tcBorders>
              <w:tl2br w:val="nil"/>
              <w:tr2bl w:val="nil"/>
            </w:tcBorders>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辆</w:t>
            </w:r>
          </w:p>
        </w:tc>
        <w:tc>
          <w:tcPr>
            <w:tcW w:w="2017" w:type="dxa"/>
            <w:tcBorders>
              <w:tl2br w:val="nil"/>
              <w:tr2bl w:val="nil"/>
            </w:tcBorders>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15</w:t>
            </w:r>
          </w:p>
        </w:tc>
      </w:tr>
      <w:tr w:rsidR="002A5A5E" w:rsidRPr="00F9522B">
        <w:trPr>
          <w:trHeight w:val="323"/>
        </w:trPr>
        <w:tc>
          <w:tcPr>
            <w:tcW w:w="1556" w:type="dxa"/>
            <w:tcBorders>
              <w:tl2br w:val="nil"/>
              <w:tr2bl w:val="nil"/>
            </w:tcBorders>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6</w:t>
            </w:r>
          </w:p>
        </w:tc>
        <w:tc>
          <w:tcPr>
            <w:tcW w:w="3079" w:type="dxa"/>
            <w:tcBorders>
              <w:tl2br w:val="nil"/>
              <w:tr2bl w:val="nil"/>
            </w:tcBorders>
            <w:vAlign w:val="center"/>
          </w:tcPr>
          <w:p w:rsidR="002A5A5E" w:rsidRPr="00F9522B" w:rsidRDefault="00611CBA">
            <w:pPr>
              <w:adjustRightInd w:val="0"/>
              <w:snapToGrid w:val="0"/>
              <w:spacing w:before="40" w:after="40" w:line="240" w:lineRule="exact"/>
              <w:jc w:val="center"/>
              <w:rPr>
                <w:rFonts w:eastAsiaTheme="minorEastAsia"/>
                <w:kern w:val="0"/>
                <w:szCs w:val="21"/>
              </w:rPr>
            </w:pPr>
            <w:r w:rsidRPr="00F9522B">
              <w:rPr>
                <w:rFonts w:eastAsiaTheme="minorEastAsia"/>
                <w:kern w:val="0"/>
                <w:szCs w:val="21"/>
              </w:rPr>
              <w:t>摊铺机</w:t>
            </w:r>
          </w:p>
        </w:tc>
        <w:tc>
          <w:tcPr>
            <w:tcW w:w="2024" w:type="dxa"/>
            <w:tcBorders>
              <w:tl2br w:val="nil"/>
              <w:tr2bl w:val="nil"/>
            </w:tcBorders>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辆</w:t>
            </w:r>
          </w:p>
        </w:tc>
        <w:tc>
          <w:tcPr>
            <w:tcW w:w="2017" w:type="dxa"/>
            <w:tcBorders>
              <w:tl2br w:val="nil"/>
              <w:tr2bl w:val="nil"/>
            </w:tcBorders>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15</w:t>
            </w:r>
          </w:p>
        </w:tc>
      </w:tr>
      <w:tr w:rsidR="002A5A5E" w:rsidRPr="00F9522B">
        <w:trPr>
          <w:trHeight w:val="323"/>
        </w:trPr>
        <w:tc>
          <w:tcPr>
            <w:tcW w:w="1556" w:type="dxa"/>
            <w:tcBorders>
              <w:tl2br w:val="nil"/>
              <w:tr2bl w:val="nil"/>
            </w:tcBorders>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7</w:t>
            </w:r>
          </w:p>
        </w:tc>
        <w:tc>
          <w:tcPr>
            <w:tcW w:w="3079" w:type="dxa"/>
            <w:tcBorders>
              <w:tl2br w:val="nil"/>
              <w:tr2bl w:val="nil"/>
            </w:tcBorders>
            <w:vAlign w:val="center"/>
          </w:tcPr>
          <w:p w:rsidR="002A5A5E" w:rsidRPr="00F9522B" w:rsidRDefault="00611CBA">
            <w:pPr>
              <w:adjustRightInd w:val="0"/>
              <w:snapToGrid w:val="0"/>
              <w:spacing w:before="40" w:after="40" w:line="240" w:lineRule="exact"/>
              <w:jc w:val="center"/>
              <w:rPr>
                <w:rFonts w:eastAsiaTheme="minorEastAsia"/>
                <w:kern w:val="0"/>
                <w:szCs w:val="21"/>
              </w:rPr>
            </w:pPr>
            <w:r w:rsidRPr="00F9522B">
              <w:rPr>
                <w:rFonts w:eastAsiaTheme="minorEastAsia"/>
                <w:kern w:val="0"/>
                <w:szCs w:val="21"/>
              </w:rPr>
              <w:t>发电机组</w:t>
            </w:r>
          </w:p>
        </w:tc>
        <w:tc>
          <w:tcPr>
            <w:tcW w:w="2024" w:type="dxa"/>
            <w:tcBorders>
              <w:tl2br w:val="nil"/>
              <w:tr2bl w:val="nil"/>
            </w:tcBorders>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台</w:t>
            </w:r>
          </w:p>
        </w:tc>
        <w:tc>
          <w:tcPr>
            <w:tcW w:w="2017" w:type="dxa"/>
            <w:tcBorders>
              <w:tl2br w:val="nil"/>
              <w:tr2bl w:val="nil"/>
            </w:tcBorders>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15</w:t>
            </w:r>
          </w:p>
        </w:tc>
      </w:tr>
      <w:tr w:rsidR="002A5A5E" w:rsidRPr="00F9522B">
        <w:trPr>
          <w:trHeight w:val="323"/>
        </w:trPr>
        <w:tc>
          <w:tcPr>
            <w:tcW w:w="1556" w:type="dxa"/>
            <w:tcBorders>
              <w:tl2br w:val="nil"/>
              <w:tr2bl w:val="nil"/>
            </w:tcBorders>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8</w:t>
            </w:r>
          </w:p>
        </w:tc>
        <w:tc>
          <w:tcPr>
            <w:tcW w:w="3079" w:type="dxa"/>
            <w:tcBorders>
              <w:tl2br w:val="nil"/>
              <w:tr2bl w:val="nil"/>
            </w:tcBorders>
            <w:vAlign w:val="center"/>
          </w:tcPr>
          <w:p w:rsidR="002A5A5E" w:rsidRPr="00F9522B" w:rsidRDefault="00611CBA">
            <w:pPr>
              <w:adjustRightInd w:val="0"/>
              <w:snapToGrid w:val="0"/>
              <w:spacing w:before="40" w:after="40" w:line="240" w:lineRule="exact"/>
              <w:jc w:val="center"/>
              <w:rPr>
                <w:rFonts w:eastAsiaTheme="minorEastAsia"/>
                <w:kern w:val="0"/>
                <w:szCs w:val="21"/>
              </w:rPr>
            </w:pPr>
            <w:r w:rsidRPr="00F9522B">
              <w:rPr>
                <w:rFonts w:eastAsiaTheme="minorEastAsia"/>
                <w:kern w:val="0"/>
                <w:szCs w:val="21"/>
              </w:rPr>
              <w:t>地质钻机</w:t>
            </w:r>
            <w:r w:rsidRPr="00F9522B">
              <w:rPr>
                <w:rFonts w:eastAsiaTheme="minorEastAsia"/>
                <w:kern w:val="0"/>
                <w:szCs w:val="21"/>
              </w:rPr>
              <w:t>300</w:t>
            </w:r>
            <w:r w:rsidRPr="00F9522B">
              <w:rPr>
                <w:rFonts w:eastAsiaTheme="minorEastAsia"/>
                <w:kern w:val="0"/>
                <w:szCs w:val="21"/>
              </w:rPr>
              <w:t>型钻井机</w:t>
            </w:r>
          </w:p>
        </w:tc>
        <w:tc>
          <w:tcPr>
            <w:tcW w:w="2024" w:type="dxa"/>
            <w:tcBorders>
              <w:tl2br w:val="nil"/>
              <w:tr2bl w:val="nil"/>
            </w:tcBorders>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台</w:t>
            </w:r>
          </w:p>
        </w:tc>
        <w:tc>
          <w:tcPr>
            <w:tcW w:w="2017" w:type="dxa"/>
            <w:tcBorders>
              <w:tl2br w:val="nil"/>
              <w:tr2bl w:val="nil"/>
            </w:tcBorders>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15</w:t>
            </w:r>
          </w:p>
        </w:tc>
      </w:tr>
      <w:tr w:rsidR="002A5A5E" w:rsidRPr="00F9522B">
        <w:trPr>
          <w:trHeight w:val="323"/>
        </w:trPr>
        <w:tc>
          <w:tcPr>
            <w:tcW w:w="1556" w:type="dxa"/>
            <w:tcBorders>
              <w:tl2br w:val="nil"/>
              <w:tr2bl w:val="nil"/>
            </w:tcBorders>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9</w:t>
            </w:r>
          </w:p>
        </w:tc>
        <w:tc>
          <w:tcPr>
            <w:tcW w:w="3079" w:type="dxa"/>
            <w:tcBorders>
              <w:tl2br w:val="nil"/>
              <w:tr2bl w:val="nil"/>
            </w:tcBorders>
            <w:vAlign w:val="center"/>
          </w:tcPr>
          <w:p w:rsidR="002A5A5E" w:rsidRPr="00F9522B" w:rsidRDefault="00611CBA">
            <w:pPr>
              <w:adjustRightInd w:val="0"/>
              <w:snapToGrid w:val="0"/>
              <w:spacing w:before="40" w:after="40" w:line="240" w:lineRule="exact"/>
              <w:jc w:val="center"/>
              <w:rPr>
                <w:rFonts w:eastAsiaTheme="minorEastAsia"/>
                <w:kern w:val="0"/>
                <w:szCs w:val="21"/>
              </w:rPr>
            </w:pPr>
            <w:r w:rsidRPr="00F9522B">
              <w:rPr>
                <w:spacing w:val="2"/>
                <w:szCs w:val="21"/>
              </w:rPr>
              <w:t>自卸汽车</w:t>
            </w:r>
          </w:p>
        </w:tc>
        <w:tc>
          <w:tcPr>
            <w:tcW w:w="2024" w:type="dxa"/>
            <w:tcBorders>
              <w:tl2br w:val="nil"/>
              <w:tr2bl w:val="nil"/>
            </w:tcBorders>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辆</w:t>
            </w:r>
          </w:p>
        </w:tc>
        <w:tc>
          <w:tcPr>
            <w:tcW w:w="2017" w:type="dxa"/>
            <w:tcBorders>
              <w:tl2br w:val="nil"/>
              <w:tr2bl w:val="nil"/>
            </w:tcBorders>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30</w:t>
            </w:r>
          </w:p>
        </w:tc>
      </w:tr>
      <w:tr w:rsidR="002A5A5E" w:rsidRPr="00F9522B">
        <w:trPr>
          <w:trHeight w:val="323"/>
        </w:trPr>
        <w:tc>
          <w:tcPr>
            <w:tcW w:w="1556" w:type="dxa"/>
            <w:tcBorders>
              <w:tl2br w:val="nil"/>
              <w:tr2bl w:val="nil"/>
            </w:tcBorders>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10</w:t>
            </w:r>
          </w:p>
        </w:tc>
        <w:tc>
          <w:tcPr>
            <w:tcW w:w="3079" w:type="dxa"/>
            <w:tcBorders>
              <w:tl2br w:val="nil"/>
              <w:tr2bl w:val="nil"/>
            </w:tcBorders>
            <w:vAlign w:val="center"/>
          </w:tcPr>
          <w:p w:rsidR="002A5A5E" w:rsidRPr="00F9522B" w:rsidRDefault="00611CBA">
            <w:pPr>
              <w:adjustRightInd w:val="0"/>
              <w:snapToGrid w:val="0"/>
              <w:spacing w:before="40" w:after="40" w:line="240" w:lineRule="exact"/>
              <w:jc w:val="center"/>
              <w:rPr>
                <w:rFonts w:eastAsiaTheme="minorEastAsia"/>
                <w:kern w:val="0"/>
                <w:szCs w:val="21"/>
              </w:rPr>
            </w:pPr>
            <w:r w:rsidRPr="00F9522B">
              <w:rPr>
                <w:rFonts w:eastAsiaTheme="minorEastAsia"/>
                <w:kern w:val="0"/>
                <w:szCs w:val="21"/>
              </w:rPr>
              <w:t>移动式吊车</w:t>
            </w:r>
          </w:p>
        </w:tc>
        <w:tc>
          <w:tcPr>
            <w:tcW w:w="2024" w:type="dxa"/>
            <w:tcBorders>
              <w:tl2br w:val="nil"/>
              <w:tr2bl w:val="nil"/>
            </w:tcBorders>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辆</w:t>
            </w:r>
          </w:p>
        </w:tc>
        <w:tc>
          <w:tcPr>
            <w:tcW w:w="2017" w:type="dxa"/>
            <w:tcBorders>
              <w:tl2br w:val="nil"/>
              <w:tr2bl w:val="nil"/>
            </w:tcBorders>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15</w:t>
            </w:r>
          </w:p>
        </w:tc>
      </w:tr>
      <w:tr w:rsidR="00766933" w:rsidRPr="00F9522B">
        <w:trPr>
          <w:trHeight w:val="323"/>
        </w:trPr>
        <w:tc>
          <w:tcPr>
            <w:tcW w:w="1556" w:type="dxa"/>
            <w:tcBorders>
              <w:tl2br w:val="nil"/>
              <w:tr2bl w:val="nil"/>
            </w:tcBorders>
            <w:vAlign w:val="center"/>
          </w:tcPr>
          <w:p w:rsidR="00766933" w:rsidRPr="00F9522B" w:rsidRDefault="00766933">
            <w:pPr>
              <w:widowControl/>
              <w:jc w:val="center"/>
              <w:rPr>
                <w:rFonts w:eastAsiaTheme="minorEastAsia"/>
                <w:kern w:val="0"/>
                <w:szCs w:val="21"/>
              </w:rPr>
            </w:pPr>
            <w:r w:rsidRPr="00F9522B">
              <w:rPr>
                <w:rFonts w:eastAsiaTheme="minorEastAsia"/>
                <w:kern w:val="0"/>
                <w:szCs w:val="21"/>
              </w:rPr>
              <w:t>11</w:t>
            </w:r>
          </w:p>
        </w:tc>
        <w:tc>
          <w:tcPr>
            <w:tcW w:w="3079" w:type="dxa"/>
            <w:tcBorders>
              <w:tl2br w:val="nil"/>
              <w:tr2bl w:val="nil"/>
            </w:tcBorders>
            <w:vAlign w:val="center"/>
          </w:tcPr>
          <w:p w:rsidR="00766933" w:rsidRPr="00F9522B" w:rsidRDefault="00766933">
            <w:pPr>
              <w:adjustRightInd w:val="0"/>
              <w:snapToGrid w:val="0"/>
              <w:spacing w:before="40" w:after="40" w:line="240" w:lineRule="exact"/>
              <w:jc w:val="center"/>
              <w:rPr>
                <w:rFonts w:eastAsiaTheme="minorEastAsia"/>
                <w:kern w:val="0"/>
                <w:szCs w:val="21"/>
              </w:rPr>
            </w:pPr>
            <w:r w:rsidRPr="00F9522B">
              <w:rPr>
                <w:rFonts w:eastAsiaTheme="minorEastAsia"/>
                <w:kern w:val="0"/>
                <w:szCs w:val="21"/>
              </w:rPr>
              <w:t>螺旋式犁壁犁</w:t>
            </w:r>
          </w:p>
        </w:tc>
        <w:tc>
          <w:tcPr>
            <w:tcW w:w="2024" w:type="dxa"/>
            <w:tcBorders>
              <w:tl2br w:val="nil"/>
              <w:tr2bl w:val="nil"/>
            </w:tcBorders>
            <w:vAlign w:val="center"/>
          </w:tcPr>
          <w:p w:rsidR="00766933" w:rsidRPr="00F9522B" w:rsidRDefault="00766933" w:rsidP="00E268F3">
            <w:pPr>
              <w:widowControl/>
              <w:jc w:val="center"/>
              <w:rPr>
                <w:rFonts w:eastAsiaTheme="minorEastAsia"/>
                <w:kern w:val="0"/>
                <w:szCs w:val="21"/>
              </w:rPr>
            </w:pPr>
            <w:r w:rsidRPr="00F9522B">
              <w:rPr>
                <w:rFonts w:eastAsiaTheme="minorEastAsia"/>
                <w:kern w:val="0"/>
                <w:szCs w:val="21"/>
              </w:rPr>
              <w:t>台</w:t>
            </w:r>
          </w:p>
        </w:tc>
        <w:tc>
          <w:tcPr>
            <w:tcW w:w="2017" w:type="dxa"/>
            <w:tcBorders>
              <w:tl2br w:val="nil"/>
              <w:tr2bl w:val="nil"/>
            </w:tcBorders>
            <w:vAlign w:val="center"/>
          </w:tcPr>
          <w:p w:rsidR="00766933" w:rsidRPr="00F9522B" w:rsidRDefault="00766933" w:rsidP="00E268F3">
            <w:pPr>
              <w:widowControl/>
              <w:jc w:val="center"/>
              <w:rPr>
                <w:rFonts w:eastAsiaTheme="minorEastAsia"/>
                <w:kern w:val="0"/>
                <w:szCs w:val="21"/>
              </w:rPr>
            </w:pPr>
            <w:r w:rsidRPr="00F9522B">
              <w:rPr>
                <w:rFonts w:eastAsiaTheme="minorEastAsia"/>
                <w:kern w:val="0"/>
                <w:szCs w:val="21"/>
              </w:rPr>
              <w:t>5</w:t>
            </w:r>
          </w:p>
        </w:tc>
      </w:tr>
      <w:tr w:rsidR="00766933" w:rsidRPr="00F9522B">
        <w:trPr>
          <w:trHeight w:val="323"/>
        </w:trPr>
        <w:tc>
          <w:tcPr>
            <w:tcW w:w="8676" w:type="dxa"/>
            <w:gridSpan w:val="4"/>
            <w:tcBorders>
              <w:tl2br w:val="nil"/>
              <w:tr2bl w:val="nil"/>
            </w:tcBorders>
            <w:vAlign w:val="center"/>
          </w:tcPr>
          <w:p w:rsidR="00766933" w:rsidRPr="00F9522B" w:rsidRDefault="00766933">
            <w:pPr>
              <w:widowControl/>
              <w:jc w:val="center"/>
              <w:rPr>
                <w:rFonts w:eastAsiaTheme="minorEastAsia"/>
                <w:b/>
                <w:kern w:val="0"/>
                <w:szCs w:val="21"/>
              </w:rPr>
            </w:pPr>
            <w:r w:rsidRPr="00F9522B">
              <w:rPr>
                <w:rFonts w:eastAsiaTheme="minorEastAsia"/>
                <w:b/>
                <w:kern w:val="0"/>
                <w:szCs w:val="21"/>
              </w:rPr>
              <w:t>运营期</w:t>
            </w:r>
          </w:p>
        </w:tc>
      </w:tr>
      <w:tr w:rsidR="00766933" w:rsidRPr="00F9522B">
        <w:trPr>
          <w:trHeight w:val="323"/>
        </w:trPr>
        <w:tc>
          <w:tcPr>
            <w:tcW w:w="1556" w:type="dxa"/>
            <w:tcBorders>
              <w:tl2br w:val="nil"/>
              <w:tr2bl w:val="nil"/>
            </w:tcBorders>
            <w:vAlign w:val="center"/>
          </w:tcPr>
          <w:p w:rsidR="00766933" w:rsidRPr="00F9522B" w:rsidRDefault="00766933">
            <w:pPr>
              <w:widowControl/>
              <w:jc w:val="center"/>
              <w:rPr>
                <w:rFonts w:eastAsiaTheme="minorEastAsia"/>
                <w:kern w:val="0"/>
                <w:szCs w:val="21"/>
              </w:rPr>
            </w:pPr>
            <w:r w:rsidRPr="00F9522B">
              <w:rPr>
                <w:rFonts w:eastAsiaTheme="minorEastAsia"/>
                <w:kern w:val="0"/>
                <w:szCs w:val="21"/>
              </w:rPr>
              <w:t>1</w:t>
            </w:r>
          </w:p>
        </w:tc>
        <w:tc>
          <w:tcPr>
            <w:tcW w:w="3079" w:type="dxa"/>
            <w:tcBorders>
              <w:tl2br w:val="nil"/>
              <w:tr2bl w:val="nil"/>
            </w:tcBorders>
            <w:vAlign w:val="center"/>
          </w:tcPr>
          <w:p w:rsidR="00766933" w:rsidRPr="00F9522B" w:rsidRDefault="00766933">
            <w:pPr>
              <w:adjustRightInd w:val="0"/>
              <w:snapToGrid w:val="0"/>
              <w:spacing w:before="40" w:after="40" w:line="240" w:lineRule="exact"/>
              <w:jc w:val="center"/>
              <w:rPr>
                <w:rFonts w:eastAsiaTheme="minorEastAsia"/>
                <w:kern w:val="0"/>
                <w:szCs w:val="21"/>
              </w:rPr>
            </w:pPr>
            <w:r w:rsidRPr="00F9522B">
              <w:rPr>
                <w:rFonts w:eastAsiaTheme="minorEastAsia"/>
                <w:snapToGrid w:val="0"/>
                <w:kern w:val="0"/>
              </w:rPr>
              <w:t>水肥一体</w:t>
            </w:r>
            <w:r w:rsidR="00596FF0" w:rsidRPr="00F9522B">
              <w:rPr>
                <w:rFonts w:eastAsiaTheme="minorEastAsia"/>
                <w:snapToGrid w:val="0"/>
                <w:kern w:val="0"/>
              </w:rPr>
              <w:t>化</w:t>
            </w:r>
            <w:r w:rsidRPr="00F9522B">
              <w:rPr>
                <w:rFonts w:eastAsiaTheme="minorEastAsia"/>
                <w:snapToGrid w:val="0"/>
                <w:kern w:val="0"/>
              </w:rPr>
              <w:t>设备</w:t>
            </w:r>
          </w:p>
        </w:tc>
        <w:tc>
          <w:tcPr>
            <w:tcW w:w="2024" w:type="dxa"/>
            <w:tcBorders>
              <w:tl2br w:val="nil"/>
              <w:tr2bl w:val="nil"/>
            </w:tcBorders>
            <w:vAlign w:val="center"/>
          </w:tcPr>
          <w:p w:rsidR="00766933" w:rsidRPr="00F9522B" w:rsidRDefault="00766933">
            <w:pPr>
              <w:widowControl/>
              <w:jc w:val="center"/>
              <w:rPr>
                <w:rFonts w:eastAsiaTheme="minorEastAsia"/>
                <w:kern w:val="0"/>
                <w:szCs w:val="21"/>
              </w:rPr>
            </w:pPr>
            <w:r w:rsidRPr="00F9522B">
              <w:rPr>
                <w:rFonts w:eastAsiaTheme="minorEastAsia"/>
                <w:kern w:val="0"/>
                <w:szCs w:val="21"/>
              </w:rPr>
              <w:t>套</w:t>
            </w:r>
          </w:p>
        </w:tc>
        <w:tc>
          <w:tcPr>
            <w:tcW w:w="2017" w:type="dxa"/>
            <w:tcBorders>
              <w:tl2br w:val="nil"/>
              <w:tr2bl w:val="nil"/>
            </w:tcBorders>
            <w:vAlign w:val="center"/>
          </w:tcPr>
          <w:p w:rsidR="00766933" w:rsidRPr="00F9522B" w:rsidRDefault="00766933">
            <w:pPr>
              <w:widowControl/>
              <w:jc w:val="center"/>
              <w:rPr>
                <w:rFonts w:eastAsiaTheme="minorEastAsia"/>
                <w:kern w:val="0"/>
                <w:szCs w:val="21"/>
              </w:rPr>
            </w:pPr>
            <w:r w:rsidRPr="00F9522B">
              <w:rPr>
                <w:rFonts w:eastAsiaTheme="minorEastAsia"/>
                <w:kern w:val="0"/>
                <w:szCs w:val="21"/>
              </w:rPr>
              <w:t>70</w:t>
            </w:r>
          </w:p>
        </w:tc>
      </w:tr>
      <w:tr w:rsidR="00766933" w:rsidRPr="00F9522B">
        <w:trPr>
          <w:trHeight w:val="85"/>
        </w:trPr>
        <w:tc>
          <w:tcPr>
            <w:tcW w:w="1556" w:type="dxa"/>
            <w:tcBorders>
              <w:tl2br w:val="nil"/>
              <w:tr2bl w:val="nil"/>
            </w:tcBorders>
            <w:vAlign w:val="center"/>
          </w:tcPr>
          <w:p w:rsidR="00766933" w:rsidRPr="00F9522B" w:rsidRDefault="00766933">
            <w:pPr>
              <w:widowControl/>
              <w:jc w:val="center"/>
              <w:rPr>
                <w:rFonts w:eastAsiaTheme="minorEastAsia"/>
                <w:kern w:val="0"/>
                <w:szCs w:val="21"/>
              </w:rPr>
            </w:pPr>
            <w:r w:rsidRPr="00F9522B">
              <w:rPr>
                <w:rFonts w:eastAsiaTheme="minorEastAsia"/>
                <w:kern w:val="0"/>
                <w:szCs w:val="21"/>
              </w:rPr>
              <w:t>2</w:t>
            </w:r>
          </w:p>
        </w:tc>
        <w:tc>
          <w:tcPr>
            <w:tcW w:w="3079" w:type="dxa"/>
            <w:tcBorders>
              <w:tl2br w:val="nil"/>
              <w:tr2bl w:val="nil"/>
            </w:tcBorders>
            <w:vAlign w:val="center"/>
          </w:tcPr>
          <w:p w:rsidR="00766933" w:rsidRPr="00F9522B" w:rsidRDefault="00766933">
            <w:pPr>
              <w:adjustRightInd w:val="0"/>
              <w:snapToGrid w:val="0"/>
              <w:spacing w:before="40" w:after="40" w:line="240" w:lineRule="exact"/>
              <w:jc w:val="center"/>
              <w:rPr>
                <w:rFonts w:eastAsiaTheme="minorEastAsia"/>
                <w:kern w:val="0"/>
                <w:szCs w:val="21"/>
              </w:rPr>
            </w:pPr>
            <w:r w:rsidRPr="00F9522B">
              <w:rPr>
                <w:rFonts w:eastAsiaTheme="minorEastAsia"/>
                <w:kern w:val="0"/>
                <w:szCs w:val="21"/>
              </w:rPr>
              <w:t>文丘里施肥机</w:t>
            </w:r>
          </w:p>
        </w:tc>
        <w:tc>
          <w:tcPr>
            <w:tcW w:w="2024" w:type="dxa"/>
            <w:tcBorders>
              <w:tl2br w:val="nil"/>
              <w:tr2bl w:val="nil"/>
            </w:tcBorders>
          </w:tcPr>
          <w:p w:rsidR="00766933" w:rsidRPr="00F9522B" w:rsidRDefault="00766933">
            <w:pPr>
              <w:widowControl/>
              <w:jc w:val="center"/>
              <w:rPr>
                <w:rFonts w:eastAsiaTheme="minorEastAsia"/>
                <w:kern w:val="0"/>
                <w:szCs w:val="21"/>
              </w:rPr>
            </w:pPr>
            <w:r w:rsidRPr="00F9522B">
              <w:rPr>
                <w:rFonts w:eastAsiaTheme="minorEastAsia"/>
                <w:kern w:val="0"/>
                <w:szCs w:val="21"/>
              </w:rPr>
              <w:t>个</w:t>
            </w:r>
          </w:p>
        </w:tc>
        <w:tc>
          <w:tcPr>
            <w:tcW w:w="2017" w:type="dxa"/>
            <w:tcBorders>
              <w:tl2br w:val="nil"/>
              <w:tr2bl w:val="nil"/>
            </w:tcBorders>
          </w:tcPr>
          <w:p w:rsidR="00766933" w:rsidRPr="00F9522B" w:rsidRDefault="00766933">
            <w:pPr>
              <w:widowControl/>
              <w:jc w:val="center"/>
              <w:rPr>
                <w:rFonts w:eastAsiaTheme="minorEastAsia"/>
                <w:kern w:val="0"/>
                <w:szCs w:val="21"/>
              </w:rPr>
            </w:pPr>
            <w:r w:rsidRPr="00F9522B">
              <w:rPr>
                <w:rFonts w:eastAsiaTheme="minorEastAsia"/>
                <w:kern w:val="0"/>
                <w:szCs w:val="21"/>
              </w:rPr>
              <w:t>70</w:t>
            </w:r>
          </w:p>
        </w:tc>
      </w:tr>
      <w:tr w:rsidR="00766933" w:rsidRPr="00F9522B">
        <w:trPr>
          <w:trHeight w:val="323"/>
        </w:trPr>
        <w:tc>
          <w:tcPr>
            <w:tcW w:w="1556" w:type="dxa"/>
            <w:tcBorders>
              <w:tl2br w:val="nil"/>
              <w:tr2bl w:val="nil"/>
            </w:tcBorders>
            <w:vAlign w:val="center"/>
          </w:tcPr>
          <w:p w:rsidR="00766933" w:rsidRPr="00F9522B" w:rsidRDefault="00766933">
            <w:pPr>
              <w:widowControl/>
              <w:jc w:val="center"/>
              <w:rPr>
                <w:rFonts w:eastAsiaTheme="minorEastAsia"/>
                <w:kern w:val="0"/>
                <w:szCs w:val="21"/>
              </w:rPr>
            </w:pPr>
            <w:r w:rsidRPr="00F9522B">
              <w:rPr>
                <w:rFonts w:eastAsiaTheme="minorEastAsia"/>
                <w:kern w:val="0"/>
                <w:szCs w:val="21"/>
              </w:rPr>
              <w:t>3</w:t>
            </w:r>
          </w:p>
        </w:tc>
        <w:tc>
          <w:tcPr>
            <w:tcW w:w="3079" w:type="dxa"/>
            <w:tcBorders>
              <w:tl2br w:val="nil"/>
              <w:tr2bl w:val="nil"/>
            </w:tcBorders>
            <w:vAlign w:val="center"/>
          </w:tcPr>
          <w:p w:rsidR="00766933" w:rsidRPr="00F9522B" w:rsidRDefault="00766933">
            <w:pPr>
              <w:adjustRightInd w:val="0"/>
              <w:snapToGrid w:val="0"/>
              <w:spacing w:before="40" w:after="40" w:line="240" w:lineRule="exact"/>
              <w:jc w:val="center"/>
              <w:rPr>
                <w:rFonts w:eastAsiaTheme="minorEastAsia"/>
                <w:kern w:val="0"/>
                <w:szCs w:val="21"/>
              </w:rPr>
            </w:pPr>
            <w:r w:rsidRPr="00F9522B">
              <w:rPr>
                <w:rFonts w:eastAsiaTheme="minorEastAsia"/>
                <w:kern w:val="0"/>
                <w:szCs w:val="21"/>
              </w:rPr>
              <w:t>潜水泵</w:t>
            </w:r>
          </w:p>
        </w:tc>
        <w:tc>
          <w:tcPr>
            <w:tcW w:w="2024" w:type="dxa"/>
            <w:tcBorders>
              <w:tl2br w:val="nil"/>
              <w:tr2bl w:val="nil"/>
            </w:tcBorders>
            <w:vAlign w:val="center"/>
          </w:tcPr>
          <w:p w:rsidR="00766933" w:rsidRPr="00F9522B" w:rsidRDefault="00766933">
            <w:pPr>
              <w:widowControl/>
              <w:jc w:val="center"/>
              <w:rPr>
                <w:rFonts w:eastAsiaTheme="minorEastAsia"/>
                <w:kern w:val="0"/>
                <w:szCs w:val="21"/>
              </w:rPr>
            </w:pPr>
            <w:r w:rsidRPr="00F9522B">
              <w:rPr>
                <w:rFonts w:eastAsiaTheme="minorEastAsia"/>
                <w:kern w:val="0"/>
                <w:szCs w:val="21"/>
              </w:rPr>
              <w:t>台</w:t>
            </w:r>
          </w:p>
        </w:tc>
        <w:tc>
          <w:tcPr>
            <w:tcW w:w="2017" w:type="dxa"/>
            <w:tcBorders>
              <w:tl2br w:val="nil"/>
              <w:tr2bl w:val="nil"/>
            </w:tcBorders>
            <w:vAlign w:val="center"/>
          </w:tcPr>
          <w:p w:rsidR="00766933" w:rsidRPr="00F9522B" w:rsidRDefault="00766933">
            <w:pPr>
              <w:widowControl/>
              <w:jc w:val="center"/>
              <w:rPr>
                <w:rFonts w:eastAsiaTheme="minorEastAsia"/>
                <w:kern w:val="0"/>
                <w:szCs w:val="21"/>
              </w:rPr>
            </w:pPr>
            <w:r w:rsidRPr="00F9522B">
              <w:rPr>
                <w:rFonts w:eastAsiaTheme="minorEastAsia"/>
                <w:kern w:val="0"/>
                <w:szCs w:val="21"/>
              </w:rPr>
              <w:t>264</w:t>
            </w:r>
          </w:p>
        </w:tc>
      </w:tr>
      <w:tr w:rsidR="00766933" w:rsidRPr="00F9522B">
        <w:trPr>
          <w:trHeight w:val="323"/>
        </w:trPr>
        <w:tc>
          <w:tcPr>
            <w:tcW w:w="1556" w:type="dxa"/>
            <w:tcBorders>
              <w:tl2br w:val="nil"/>
              <w:tr2bl w:val="nil"/>
            </w:tcBorders>
            <w:vAlign w:val="center"/>
          </w:tcPr>
          <w:p w:rsidR="00766933" w:rsidRPr="00F9522B" w:rsidRDefault="00766933">
            <w:pPr>
              <w:widowControl/>
              <w:jc w:val="center"/>
              <w:rPr>
                <w:rFonts w:eastAsiaTheme="minorEastAsia"/>
                <w:kern w:val="0"/>
                <w:szCs w:val="21"/>
              </w:rPr>
            </w:pPr>
            <w:r w:rsidRPr="00F9522B">
              <w:rPr>
                <w:rFonts w:eastAsiaTheme="minorEastAsia"/>
                <w:kern w:val="0"/>
                <w:szCs w:val="21"/>
              </w:rPr>
              <w:t>4</w:t>
            </w:r>
          </w:p>
        </w:tc>
        <w:tc>
          <w:tcPr>
            <w:tcW w:w="3079" w:type="dxa"/>
            <w:tcBorders>
              <w:tl2br w:val="nil"/>
              <w:tr2bl w:val="nil"/>
            </w:tcBorders>
            <w:vAlign w:val="center"/>
          </w:tcPr>
          <w:p w:rsidR="00766933" w:rsidRPr="00F9522B" w:rsidRDefault="00766933">
            <w:pPr>
              <w:adjustRightInd w:val="0"/>
              <w:snapToGrid w:val="0"/>
              <w:spacing w:before="40" w:after="40" w:line="240" w:lineRule="exact"/>
              <w:jc w:val="center"/>
              <w:rPr>
                <w:rFonts w:eastAsiaTheme="minorEastAsia"/>
                <w:kern w:val="0"/>
                <w:szCs w:val="21"/>
              </w:rPr>
            </w:pPr>
            <w:r w:rsidRPr="00F9522B">
              <w:rPr>
                <w:rFonts w:eastAsiaTheme="minorEastAsia"/>
                <w:kern w:val="0"/>
                <w:szCs w:val="21"/>
              </w:rPr>
              <w:t>变压器</w:t>
            </w:r>
          </w:p>
        </w:tc>
        <w:tc>
          <w:tcPr>
            <w:tcW w:w="2024" w:type="dxa"/>
            <w:tcBorders>
              <w:tl2br w:val="nil"/>
              <w:tr2bl w:val="nil"/>
            </w:tcBorders>
            <w:vAlign w:val="center"/>
          </w:tcPr>
          <w:p w:rsidR="00766933" w:rsidRPr="00F9522B" w:rsidRDefault="00766933">
            <w:pPr>
              <w:widowControl/>
              <w:jc w:val="center"/>
              <w:rPr>
                <w:rFonts w:eastAsiaTheme="minorEastAsia"/>
                <w:kern w:val="0"/>
                <w:szCs w:val="21"/>
              </w:rPr>
            </w:pPr>
            <w:r w:rsidRPr="00F9522B">
              <w:rPr>
                <w:rFonts w:eastAsiaTheme="minorEastAsia"/>
                <w:kern w:val="0"/>
                <w:szCs w:val="21"/>
              </w:rPr>
              <w:t>台</w:t>
            </w:r>
          </w:p>
        </w:tc>
        <w:tc>
          <w:tcPr>
            <w:tcW w:w="2017" w:type="dxa"/>
            <w:tcBorders>
              <w:tl2br w:val="nil"/>
              <w:tr2bl w:val="nil"/>
            </w:tcBorders>
            <w:vAlign w:val="center"/>
          </w:tcPr>
          <w:p w:rsidR="00766933" w:rsidRPr="00F9522B" w:rsidRDefault="00766933">
            <w:pPr>
              <w:widowControl/>
              <w:jc w:val="center"/>
              <w:rPr>
                <w:rFonts w:eastAsiaTheme="minorEastAsia"/>
                <w:kern w:val="0"/>
                <w:szCs w:val="21"/>
              </w:rPr>
            </w:pPr>
            <w:r w:rsidRPr="00F9522B">
              <w:rPr>
                <w:rFonts w:eastAsiaTheme="minorEastAsia"/>
                <w:kern w:val="0"/>
                <w:szCs w:val="21"/>
              </w:rPr>
              <w:t>256</w:t>
            </w:r>
          </w:p>
        </w:tc>
      </w:tr>
      <w:tr w:rsidR="00766933" w:rsidRPr="00F9522B">
        <w:trPr>
          <w:trHeight w:val="323"/>
        </w:trPr>
        <w:tc>
          <w:tcPr>
            <w:tcW w:w="1556" w:type="dxa"/>
            <w:tcBorders>
              <w:tl2br w:val="nil"/>
              <w:tr2bl w:val="nil"/>
            </w:tcBorders>
            <w:vAlign w:val="center"/>
          </w:tcPr>
          <w:p w:rsidR="00766933" w:rsidRPr="00F9522B" w:rsidRDefault="00766933">
            <w:pPr>
              <w:widowControl/>
              <w:jc w:val="center"/>
              <w:rPr>
                <w:rFonts w:eastAsiaTheme="minorEastAsia"/>
                <w:kern w:val="0"/>
                <w:szCs w:val="21"/>
              </w:rPr>
            </w:pPr>
            <w:r w:rsidRPr="00F9522B">
              <w:rPr>
                <w:rFonts w:eastAsiaTheme="minorEastAsia"/>
                <w:kern w:val="0"/>
                <w:szCs w:val="21"/>
              </w:rPr>
              <w:t>5</w:t>
            </w:r>
          </w:p>
        </w:tc>
        <w:tc>
          <w:tcPr>
            <w:tcW w:w="3079" w:type="dxa"/>
            <w:tcBorders>
              <w:tl2br w:val="nil"/>
              <w:tr2bl w:val="nil"/>
            </w:tcBorders>
            <w:vAlign w:val="center"/>
          </w:tcPr>
          <w:p w:rsidR="00766933" w:rsidRPr="00F9522B" w:rsidRDefault="00766933">
            <w:pPr>
              <w:adjustRightInd w:val="0"/>
              <w:snapToGrid w:val="0"/>
              <w:spacing w:before="40" w:after="40" w:line="240" w:lineRule="exact"/>
              <w:jc w:val="center"/>
              <w:rPr>
                <w:rFonts w:eastAsiaTheme="minorEastAsia"/>
                <w:snapToGrid w:val="0"/>
                <w:kern w:val="0"/>
              </w:rPr>
            </w:pPr>
            <w:r w:rsidRPr="00F9522B">
              <w:rPr>
                <w:rFonts w:eastAsiaTheme="minorEastAsia"/>
                <w:snapToGrid w:val="0"/>
                <w:kern w:val="0"/>
              </w:rPr>
              <w:t>柴油机移动泵车</w:t>
            </w:r>
          </w:p>
        </w:tc>
        <w:tc>
          <w:tcPr>
            <w:tcW w:w="2024" w:type="dxa"/>
            <w:tcBorders>
              <w:tl2br w:val="nil"/>
              <w:tr2bl w:val="nil"/>
            </w:tcBorders>
            <w:vAlign w:val="center"/>
          </w:tcPr>
          <w:p w:rsidR="00766933" w:rsidRPr="00F9522B" w:rsidRDefault="00766933">
            <w:pPr>
              <w:widowControl/>
              <w:jc w:val="center"/>
              <w:rPr>
                <w:rFonts w:eastAsiaTheme="minorEastAsia"/>
                <w:kern w:val="0"/>
                <w:szCs w:val="21"/>
              </w:rPr>
            </w:pPr>
            <w:r w:rsidRPr="00F9522B">
              <w:rPr>
                <w:rFonts w:eastAsiaTheme="minorEastAsia"/>
                <w:kern w:val="0"/>
                <w:szCs w:val="21"/>
              </w:rPr>
              <w:t>台</w:t>
            </w:r>
          </w:p>
        </w:tc>
        <w:tc>
          <w:tcPr>
            <w:tcW w:w="2017" w:type="dxa"/>
            <w:tcBorders>
              <w:tl2br w:val="nil"/>
              <w:tr2bl w:val="nil"/>
            </w:tcBorders>
            <w:vAlign w:val="center"/>
          </w:tcPr>
          <w:p w:rsidR="00766933" w:rsidRPr="00F9522B" w:rsidRDefault="00766933">
            <w:pPr>
              <w:widowControl/>
              <w:jc w:val="center"/>
              <w:rPr>
                <w:rFonts w:eastAsiaTheme="minorEastAsia"/>
                <w:kern w:val="0"/>
                <w:szCs w:val="21"/>
              </w:rPr>
            </w:pPr>
            <w:r w:rsidRPr="00F9522B">
              <w:rPr>
                <w:rFonts w:eastAsiaTheme="minorEastAsia"/>
                <w:kern w:val="0"/>
                <w:szCs w:val="21"/>
              </w:rPr>
              <w:t>78</w:t>
            </w:r>
          </w:p>
        </w:tc>
      </w:tr>
      <w:tr w:rsidR="00766933" w:rsidRPr="00F9522B">
        <w:trPr>
          <w:trHeight w:val="323"/>
        </w:trPr>
        <w:tc>
          <w:tcPr>
            <w:tcW w:w="1556" w:type="dxa"/>
            <w:tcBorders>
              <w:tl2br w:val="nil"/>
              <w:tr2bl w:val="nil"/>
            </w:tcBorders>
            <w:vAlign w:val="center"/>
          </w:tcPr>
          <w:p w:rsidR="00766933" w:rsidRPr="00F9522B" w:rsidRDefault="00766933">
            <w:pPr>
              <w:widowControl/>
              <w:jc w:val="center"/>
              <w:rPr>
                <w:rFonts w:eastAsiaTheme="minorEastAsia"/>
                <w:kern w:val="0"/>
                <w:szCs w:val="21"/>
              </w:rPr>
            </w:pPr>
            <w:r w:rsidRPr="00F9522B">
              <w:rPr>
                <w:rFonts w:eastAsiaTheme="minorEastAsia"/>
                <w:kern w:val="0"/>
                <w:szCs w:val="21"/>
              </w:rPr>
              <w:t>6</w:t>
            </w:r>
          </w:p>
        </w:tc>
        <w:tc>
          <w:tcPr>
            <w:tcW w:w="3079" w:type="dxa"/>
            <w:tcBorders>
              <w:tl2br w:val="nil"/>
              <w:tr2bl w:val="nil"/>
            </w:tcBorders>
            <w:vAlign w:val="center"/>
          </w:tcPr>
          <w:p w:rsidR="00766933" w:rsidRPr="00F9522B" w:rsidRDefault="00766933">
            <w:pPr>
              <w:adjustRightInd w:val="0"/>
              <w:snapToGrid w:val="0"/>
              <w:spacing w:before="40" w:after="40" w:line="240" w:lineRule="exact"/>
              <w:jc w:val="center"/>
              <w:rPr>
                <w:rFonts w:eastAsiaTheme="minorEastAsia"/>
                <w:snapToGrid w:val="0"/>
                <w:kern w:val="0"/>
              </w:rPr>
            </w:pPr>
            <w:r w:rsidRPr="00F9522B">
              <w:rPr>
                <w:rFonts w:eastAsiaTheme="minorEastAsia"/>
                <w:bCs/>
                <w:snapToGrid w:val="0"/>
                <w:kern w:val="0"/>
              </w:rPr>
              <w:t>固定式储水罐和移动水罐车</w:t>
            </w:r>
          </w:p>
        </w:tc>
        <w:tc>
          <w:tcPr>
            <w:tcW w:w="2024" w:type="dxa"/>
            <w:tcBorders>
              <w:tl2br w:val="nil"/>
              <w:tr2bl w:val="nil"/>
            </w:tcBorders>
          </w:tcPr>
          <w:p w:rsidR="00766933" w:rsidRPr="00F9522B" w:rsidRDefault="00766933">
            <w:pPr>
              <w:widowControl/>
              <w:jc w:val="center"/>
              <w:rPr>
                <w:rFonts w:eastAsiaTheme="minorEastAsia"/>
                <w:kern w:val="0"/>
                <w:szCs w:val="21"/>
              </w:rPr>
            </w:pPr>
            <w:r w:rsidRPr="00F9522B">
              <w:rPr>
                <w:rFonts w:eastAsiaTheme="minorEastAsia"/>
                <w:kern w:val="0"/>
                <w:szCs w:val="21"/>
              </w:rPr>
              <w:t>套</w:t>
            </w:r>
          </w:p>
        </w:tc>
        <w:tc>
          <w:tcPr>
            <w:tcW w:w="2017" w:type="dxa"/>
            <w:tcBorders>
              <w:tl2br w:val="nil"/>
              <w:tr2bl w:val="nil"/>
            </w:tcBorders>
          </w:tcPr>
          <w:p w:rsidR="00766933" w:rsidRPr="00F9522B" w:rsidRDefault="00766933">
            <w:pPr>
              <w:widowControl/>
              <w:jc w:val="center"/>
              <w:rPr>
                <w:rFonts w:eastAsiaTheme="minorEastAsia"/>
                <w:kern w:val="0"/>
                <w:szCs w:val="21"/>
              </w:rPr>
            </w:pPr>
            <w:r w:rsidRPr="00F9522B">
              <w:rPr>
                <w:rFonts w:eastAsiaTheme="minorEastAsia"/>
                <w:kern w:val="0"/>
                <w:szCs w:val="21"/>
              </w:rPr>
              <w:t>若干</w:t>
            </w:r>
          </w:p>
        </w:tc>
      </w:tr>
      <w:tr w:rsidR="00766933" w:rsidRPr="00F9522B">
        <w:trPr>
          <w:trHeight w:val="323"/>
        </w:trPr>
        <w:tc>
          <w:tcPr>
            <w:tcW w:w="1556" w:type="dxa"/>
            <w:tcBorders>
              <w:tl2br w:val="nil"/>
              <w:tr2bl w:val="nil"/>
            </w:tcBorders>
            <w:vAlign w:val="center"/>
          </w:tcPr>
          <w:p w:rsidR="00766933" w:rsidRPr="00F9522B" w:rsidRDefault="00766933">
            <w:pPr>
              <w:widowControl/>
              <w:jc w:val="center"/>
              <w:rPr>
                <w:rFonts w:eastAsiaTheme="minorEastAsia"/>
                <w:kern w:val="0"/>
                <w:szCs w:val="21"/>
              </w:rPr>
            </w:pPr>
            <w:r w:rsidRPr="00F9522B">
              <w:rPr>
                <w:rFonts w:eastAsiaTheme="minorEastAsia"/>
                <w:kern w:val="0"/>
                <w:szCs w:val="21"/>
              </w:rPr>
              <w:t>7</w:t>
            </w:r>
          </w:p>
        </w:tc>
        <w:tc>
          <w:tcPr>
            <w:tcW w:w="3079" w:type="dxa"/>
            <w:tcBorders>
              <w:tl2br w:val="nil"/>
              <w:tr2bl w:val="nil"/>
            </w:tcBorders>
            <w:vAlign w:val="center"/>
          </w:tcPr>
          <w:p w:rsidR="00766933" w:rsidRPr="00F9522B" w:rsidRDefault="00766933">
            <w:pPr>
              <w:adjustRightInd w:val="0"/>
              <w:snapToGrid w:val="0"/>
              <w:spacing w:before="40" w:after="40" w:line="240" w:lineRule="exact"/>
              <w:jc w:val="center"/>
              <w:rPr>
                <w:rFonts w:eastAsiaTheme="minorEastAsia"/>
                <w:bCs/>
                <w:snapToGrid w:val="0"/>
                <w:kern w:val="0"/>
              </w:rPr>
            </w:pPr>
            <w:r w:rsidRPr="00F9522B">
              <w:rPr>
                <w:rFonts w:eastAsiaTheme="minorEastAsia"/>
                <w:bCs/>
                <w:snapToGrid w:val="0"/>
                <w:kern w:val="0"/>
              </w:rPr>
              <w:t>断路器</w:t>
            </w:r>
            <w:r w:rsidRPr="00F9522B">
              <w:rPr>
                <w:rFonts w:eastAsiaTheme="minorEastAsia"/>
                <w:bCs/>
                <w:snapToGrid w:val="0"/>
                <w:kern w:val="0"/>
              </w:rPr>
              <w:t xml:space="preserve"> </w:t>
            </w:r>
            <w:r w:rsidRPr="00F9522B">
              <w:rPr>
                <w:rFonts w:eastAsiaTheme="minorEastAsia"/>
                <w:bCs/>
                <w:snapToGrid w:val="0"/>
                <w:kern w:val="0"/>
              </w:rPr>
              <w:t>熔断器、避雷器等</w:t>
            </w:r>
          </w:p>
        </w:tc>
        <w:tc>
          <w:tcPr>
            <w:tcW w:w="2024" w:type="dxa"/>
            <w:tcBorders>
              <w:tl2br w:val="nil"/>
              <w:tr2bl w:val="nil"/>
            </w:tcBorders>
          </w:tcPr>
          <w:p w:rsidR="00766933" w:rsidRPr="00F9522B" w:rsidRDefault="00766933">
            <w:pPr>
              <w:widowControl/>
              <w:jc w:val="center"/>
              <w:rPr>
                <w:rFonts w:eastAsiaTheme="minorEastAsia"/>
                <w:kern w:val="0"/>
                <w:szCs w:val="21"/>
              </w:rPr>
            </w:pPr>
            <w:r w:rsidRPr="00F9522B">
              <w:rPr>
                <w:rFonts w:eastAsiaTheme="minorEastAsia"/>
                <w:kern w:val="0"/>
                <w:szCs w:val="21"/>
              </w:rPr>
              <w:t>套</w:t>
            </w:r>
          </w:p>
        </w:tc>
        <w:tc>
          <w:tcPr>
            <w:tcW w:w="2017" w:type="dxa"/>
            <w:tcBorders>
              <w:tl2br w:val="nil"/>
              <w:tr2bl w:val="nil"/>
            </w:tcBorders>
          </w:tcPr>
          <w:p w:rsidR="00766933" w:rsidRPr="00F9522B" w:rsidRDefault="00766933">
            <w:pPr>
              <w:widowControl/>
              <w:jc w:val="center"/>
              <w:rPr>
                <w:rFonts w:eastAsiaTheme="minorEastAsia"/>
                <w:kern w:val="0"/>
                <w:szCs w:val="21"/>
              </w:rPr>
            </w:pPr>
            <w:r w:rsidRPr="00F9522B">
              <w:rPr>
                <w:rFonts w:eastAsiaTheme="minorEastAsia"/>
                <w:kern w:val="0"/>
                <w:szCs w:val="21"/>
              </w:rPr>
              <w:t>若干</w:t>
            </w:r>
          </w:p>
        </w:tc>
      </w:tr>
    </w:tbl>
    <w:p w:rsidR="002A5A5E" w:rsidRPr="00F9522B" w:rsidRDefault="00611CBA">
      <w:pPr>
        <w:keepNext/>
        <w:keepLines/>
        <w:spacing w:before="100" w:beforeAutospacing="1" w:after="100" w:afterAutospacing="1"/>
        <w:outlineLvl w:val="2"/>
        <w:rPr>
          <w:rFonts w:eastAsiaTheme="minorEastAsia"/>
          <w:b/>
          <w:sz w:val="28"/>
          <w:szCs w:val="28"/>
        </w:rPr>
      </w:pPr>
      <w:r w:rsidRPr="00F9522B">
        <w:rPr>
          <w:rFonts w:eastAsiaTheme="minorEastAsia"/>
          <w:b/>
          <w:sz w:val="28"/>
          <w:szCs w:val="28"/>
        </w:rPr>
        <w:t>3.1.8</w:t>
      </w:r>
      <w:r w:rsidRPr="00F9522B">
        <w:rPr>
          <w:rFonts w:eastAsiaTheme="minorEastAsia"/>
          <w:b/>
          <w:sz w:val="28"/>
          <w:szCs w:val="28"/>
        </w:rPr>
        <w:t>原材料消耗</w:t>
      </w:r>
    </w:p>
    <w:p w:rsidR="002A5A5E" w:rsidRPr="00F9522B" w:rsidRDefault="00611CBA">
      <w:pPr>
        <w:spacing w:line="360" w:lineRule="auto"/>
        <w:ind w:firstLineChars="200" w:firstLine="480"/>
        <w:rPr>
          <w:rFonts w:eastAsiaTheme="minorEastAsia"/>
          <w:kern w:val="0"/>
          <w:sz w:val="24"/>
          <w:szCs w:val="20"/>
        </w:rPr>
      </w:pPr>
      <w:r w:rsidRPr="00F9522B">
        <w:rPr>
          <w:rFonts w:eastAsiaTheme="minorEastAsia"/>
          <w:kern w:val="0"/>
          <w:sz w:val="24"/>
          <w:szCs w:val="20"/>
        </w:rPr>
        <w:t>本项目施工期主要原辅材料消耗情况详见表</w:t>
      </w:r>
      <w:r w:rsidRPr="00F9522B">
        <w:rPr>
          <w:rFonts w:eastAsiaTheme="minorEastAsia"/>
          <w:kern w:val="0"/>
          <w:sz w:val="24"/>
          <w:szCs w:val="20"/>
        </w:rPr>
        <w:t>3-1-1</w:t>
      </w:r>
      <w:r w:rsidR="00B40846" w:rsidRPr="00F9522B">
        <w:rPr>
          <w:rFonts w:eastAsiaTheme="minorEastAsia"/>
          <w:kern w:val="0"/>
          <w:sz w:val="24"/>
          <w:szCs w:val="20"/>
        </w:rPr>
        <w:t>2</w:t>
      </w:r>
      <w:r w:rsidRPr="00F9522B">
        <w:rPr>
          <w:rFonts w:eastAsiaTheme="minorEastAsia"/>
          <w:kern w:val="0"/>
          <w:sz w:val="24"/>
          <w:szCs w:val="20"/>
        </w:rPr>
        <w:t>。</w:t>
      </w:r>
    </w:p>
    <w:p w:rsidR="002A5A5E" w:rsidRDefault="002A5A5E">
      <w:pPr>
        <w:contextualSpacing/>
        <w:jc w:val="center"/>
        <w:rPr>
          <w:rFonts w:eastAsiaTheme="minorEastAsia"/>
          <w:b/>
          <w:kern w:val="0"/>
          <w:szCs w:val="21"/>
        </w:rPr>
      </w:pPr>
    </w:p>
    <w:p w:rsidR="00CA6D46" w:rsidRDefault="00CA6D46">
      <w:pPr>
        <w:contextualSpacing/>
        <w:jc w:val="center"/>
        <w:rPr>
          <w:rFonts w:eastAsiaTheme="minorEastAsia"/>
          <w:b/>
          <w:kern w:val="0"/>
          <w:szCs w:val="21"/>
        </w:rPr>
      </w:pPr>
    </w:p>
    <w:p w:rsidR="00CA6D46" w:rsidRDefault="00CA6D46">
      <w:pPr>
        <w:contextualSpacing/>
        <w:jc w:val="center"/>
        <w:rPr>
          <w:rFonts w:eastAsiaTheme="minorEastAsia"/>
          <w:b/>
          <w:kern w:val="0"/>
          <w:szCs w:val="21"/>
        </w:rPr>
      </w:pPr>
    </w:p>
    <w:p w:rsidR="00CA6D46" w:rsidRDefault="00CA6D46">
      <w:pPr>
        <w:contextualSpacing/>
        <w:jc w:val="center"/>
        <w:rPr>
          <w:rFonts w:eastAsiaTheme="minorEastAsia"/>
          <w:b/>
          <w:kern w:val="0"/>
          <w:szCs w:val="21"/>
        </w:rPr>
      </w:pPr>
    </w:p>
    <w:p w:rsidR="00CA6D46" w:rsidRDefault="00CA6D46">
      <w:pPr>
        <w:contextualSpacing/>
        <w:jc w:val="center"/>
        <w:rPr>
          <w:rFonts w:eastAsiaTheme="minorEastAsia"/>
          <w:b/>
          <w:kern w:val="0"/>
          <w:szCs w:val="21"/>
        </w:rPr>
      </w:pPr>
    </w:p>
    <w:p w:rsidR="00CA6D46" w:rsidRDefault="00CA6D46">
      <w:pPr>
        <w:contextualSpacing/>
        <w:jc w:val="center"/>
        <w:rPr>
          <w:rFonts w:eastAsiaTheme="minorEastAsia"/>
          <w:b/>
          <w:kern w:val="0"/>
          <w:szCs w:val="21"/>
        </w:rPr>
      </w:pPr>
    </w:p>
    <w:p w:rsidR="00CA6D46" w:rsidRDefault="00CA6D46">
      <w:pPr>
        <w:contextualSpacing/>
        <w:jc w:val="center"/>
        <w:rPr>
          <w:rFonts w:eastAsiaTheme="minorEastAsia"/>
          <w:b/>
          <w:kern w:val="0"/>
          <w:szCs w:val="21"/>
        </w:rPr>
      </w:pPr>
    </w:p>
    <w:p w:rsidR="00CA6D46" w:rsidRDefault="00CA6D46">
      <w:pPr>
        <w:contextualSpacing/>
        <w:jc w:val="center"/>
        <w:rPr>
          <w:rFonts w:eastAsiaTheme="minorEastAsia"/>
          <w:b/>
          <w:kern w:val="0"/>
          <w:szCs w:val="21"/>
        </w:rPr>
      </w:pPr>
    </w:p>
    <w:p w:rsidR="00CA6D46" w:rsidRDefault="00CA6D46">
      <w:pPr>
        <w:contextualSpacing/>
        <w:jc w:val="center"/>
        <w:rPr>
          <w:rFonts w:eastAsiaTheme="minorEastAsia"/>
          <w:b/>
          <w:kern w:val="0"/>
          <w:szCs w:val="21"/>
        </w:rPr>
      </w:pPr>
    </w:p>
    <w:p w:rsidR="00CA6D46" w:rsidRDefault="00CA6D46">
      <w:pPr>
        <w:contextualSpacing/>
        <w:jc w:val="center"/>
        <w:rPr>
          <w:rFonts w:eastAsiaTheme="minorEastAsia"/>
          <w:b/>
          <w:kern w:val="0"/>
          <w:szCs w:val="21"/>
        </w:rPr>
      </w:pPr>
    </w:p>
    <w:p w:rsidR="00CA6D46" w:rsidRDefault="00CA6D46">
      <w:pPr>
        <w:contextualSpacing/>
        <w:jc w:val="center"/>
        <w:rPr>
          <w:rFonts w:eastAsiaTheme="minorEastAsia"/>
          <w:b/>
          <w:kern w:val="0"/>
          <w:szCs w:val="21"/>
        </w:rPr>
      </w:pPr>
    </w:p>
    <w:p w:rsidR="00CA6D46" w:rsidRDefault="00CA6D46">
      <w:pPr>
        <w:contextualSpacing/>
        <w:jc w:val="center"/>
        <w:rPr>
          <w:rFonts w:eastAsiaTheme="minorEastAsia"/>
          <w:b/>
          <w:kern w:val="0"/>
          <w:szCs w:val="21"/>
        </w:rPr>
      </w:pPr>
    </w:p>
    <w:p w:rsidR="00CA6D46" w:rsidRDefault="00CA6D46">
      <w:pPr>
        <w:contextualSpacing/>
        <w:jc w:val="center"/>
        <w:rPr>
          <w:rFonts w:eastAsiaTheme="minorEastAsia"/>
          <w:b/>
          <w:kern w:val="0"/>
          <w:szCs w:val="21"/>
        </w:rPr>
      </w:pPr>
    </w:p>
    <w:p w:rsidR="00CA6D46" w:rsidRDefault="00CA6D46">
      <w:pPr>
        <w:contextualSpacing/>
        <w:jc w:val="center"/>
        <w:rPr>
          <w:rFonts w:eastAsiaTheme="minorEastAsia"/>
          <w:b/>
          <w:kern w:val="0"/>
          <w:szCs w:val="21"/>
        </w:rPr>
      </w:pPr>
    </w:p>
    <w:p w:rsidR="00CA6D46" w:rsidRPr="00F9522B" w:rsidRDefault="00CA6D46">
      <w:pPr>
        <w:contextualSpacing/>
        <w:jc w:val="center"/>
        <w:rPr>
          <w:rFonts w:eastAsiaTheme="minorEastAsia"/>
          <w:b/>
          <w:kern w:val="0"/>
          <w:szCs w:val="21"/>
        </w:rPr>
      </w:pPr>
    </w:p>
    <w:p w:rsidR="002A5A5E" w:rsidRPr="00F9522B" w:rsidRDefault="00611CBA">
      <w:pPr>
        <w:contextualSpacing/>
        <w:jc w:val="center"/>
        <w:rPr>
          <w:rFonts w:eastAsiaTheme="minorEastAsia"/>
          <w:b/>
          <w:bCs/>
          <w:sz w:val="24"/>
        </w:rPr>
      </w:pPr>
      <w:r w:rsidRPr="00F9522B">
        <w:rPr>
          <w:rFonts w:eastAsiaTheme="minorEastAsia"/>
          <w:b/>
          <w:kern w:val="0"/>
          <w:szCs w:val="21"/>
        </w:rPr>
        <w:t>表</w:t>
      </w:r>
      <w:r w:rsidRPr="00F9522B">
        <w:rPr>
          <w:rFonts w:eastAsiaTheme="minorEastAsia"/>
          <w:b/>
          <w:kern w:val="0"/>
          <w:szCs w:val="21"/>
        </w:rPr>
        <w:t>3-1-1</w:t>
      </w:r>
      <w:r w:rsidR="00B40846" w:rsidRPr="00F9522B">
        <w:rPr>
          <w:rFonts w:eastAsiaTheme="minorEastAsia"/>
          <w:b/>
          <w:kern w:val="0"/>
          <w:szCs w:val="21"/>
        </w:rPr>
        <w:t>2</w:t>
      </w:r>
      <w:r w:rsidRPr="00F9522B">
        <w:rPr>
          <w:rFonts w:eastAsiaTheme="minorEastAsia"/>
          <w:b/>
          <w:kern w:val="0"/>
          <w:szCs w:val="21"/>
        </w:rPr>
        <w:t>主要原辅材料及用量一览表</w:t>
      </w:r>
    </w:p>
    <w:tbl>
      <w:tblPr>
        <w:tblW w:w="8717" w:type="dxa"/>
        <w:jc w:val="center"/>
        <w:tblBorders>
          <w:top w:val="single" w:sz="12" w:space="0" w:color="auto"/>
          <w:bottom w:val="single" w:sz="12" w:space="0" w:color="auto"/>
          <w:insideH w:val="single" w:sz="6" w:space="0" w:color="auto"/>
          <w:insideV w:val="single" w:sz="6" w:space="0" w:color="auto"/>
        </w:tblBorders>
        <w:tblLayout w:type="fixed"/>
        <w:tblLook w:val="04A0"/>
      </w:tblPr>
      <w:tblGrid>
        <w:gridCol w:w="1998"/>
        <w:gridCol w:w="2451"/>
        <w:gridCol w:w="1710"/>
        <w:gridCol w:w="2558"/>
      </w:tblGrid>
      <w:tr w:rsidR="002A5A5E" w:rsidRPr="00F9522B">
        <w:trPr>
          <w:trHeight w:val="340"/>
          <w:jc w:val="center"/>
        </w:trPr>
        <w:tc>
          <w:tcPr>
            <w:tcW w:w="1998" w:type="dxa"/>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工程类别</w:t>
            </w:r>
          </w:p>
        </w:tc>
        <w:tc>
          <w:tcPr>
            <w:tcW w:w="2451" w:type="dxa"/>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原材料名称</w:t>
            </w:r>
          </w:p>
        </w:tc>
        <w:tc>
          <w:tcPr>
            <w:tcW w:w="1710" w:type="dxa"/>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消耗量</w:t>
            </w:r>
          </w:p>
        </w:tc>
        <w:tc>
          <w:tcPr>
            <w:tcW w:w="2558" w:type="dxa"/>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原材料来源</w:t>
            </w:r>
          </w:p>
        </w:tc>
      </w:tr>
      <w:tr w:rsidR="002A5A5E" w:rsidRPr="00F9522B">
        <w:trPr>
          <w:trHeight w:val="340"/>
          <w:jc w:val="center"/>
        </w:trPr>
        <w:tc>
          <w:tcPr>
            <w:tcW w:w="1998" w:type="dxa"/>
            <w:vMerge w:val="restart"/>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灌溉与排水工程</w:t>
            </w:r>
          </w:p>
        </w:tc>
        <w:tc>
          <w:tcPr>
            <w:tcW w:w="2451" w:type="dxa"/>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井管</w:t>
            </w:r>
          </w:p>
        </w:tc>
        <w:tc>
          <w:tcPr>
            <w:tcW w:w="1710" w:type="dxa"/>
            <w:vAlign w:val="center"/>
          </w:tcPr>
          <w:p w:rsidR="002A5A5E" w:rsidRPr="00F9522B" w:rsidRDefault="00565A50">
            <w:pPr>
              <w:widowControl/>
              <w:jc w:val="center"/>
              <w:rPr>
                <w:rFonts w:eastAsiaTheme="minorEastAsia"/>
                <w:kern w:val="0"/>
                <w:szCs w:val="21"/>
              </w:rPr>
            </w:pPr>
            <w:r w:rsidRPr="00F9522B">
              <w:rPr>
                <w:rFonts w:eastAsiaTheme="minorEastAsia"/>
                <w:szCs w:val="21"/>
              </w:rPr>
              <w:t>21580</w:t>
            </w:r>
            <w:r w:rsidR="00611CBA" w:rsidRPr="00F9522B">
              <w:rPr>
                <w:rFonts w:eastAsiaTheme="minorEastAsia"/>
                <w:szCs w:val="21"/>
              </w:rPr>
              <w:t>m</w:t>
            </w:r>
          </w:p>
        </w:tc>
        <w:tc>
          <w:tcPr>
            <w:tcW w:w="2558" w:type="dxa"/>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建材市场</w:t>
            </w:r>
          </w:p>
        </w:tc>
      </w:tr>
      <w:tr w:rsidR="002A5A5E" w:rsidRPr="00F9522B">
        <w:trPr>
          <w:trHeight w:val="340"/>
          <w:jc w:val="center"/>
        </w:trPr>
        <w:tc>
          <w:tcPr>
            <w:tcW w:w="1998" w:type="dxa"/>
            <w:vMerge/>
            <w:vAlign w:val="center"/>
          </w:tcPr>
          <w:p w:rsidR="002A5A5E" w:rsidRPr="00F9522B" w:rsidRDefault="002A5A5E">
            <w:pPr>
              <w:widowControl/>
              <w:jc w:val="center"/>
              <w:rPr>
                <w:rFonts w:eastAsiaTheme="minorEastAsia"/>
                <w:kern w:val="0"/>
                <w:szCs w:val="21"/>
              </w:rPr>
            </w:pPr>
          </w:p>
        </w:tc>
        <w:tc>
          <w:tcPr>
            <w:tcW w:w="2451" w:type="dxa"/>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钢筋混凝土结构件</w:t>
            </w:r>
          </w:p>
        </w:tc>
        <w:tc>
          <w:tcPr>
            <w:tcW w:w="1710" w:type="dxa"/>
            <w:vAlign w:val="center"/>
          </w:tcPr>
          <w:p w:rsidR="002A5A5E" w:rsidRPr="00F9522B" w:rsidRDefault="00611CBA">
            <w:pPr>
              <w:widowControl/>
              <w:jc w:val="center"/>
              <w:rPr>
                <w:rFonts w:eastAsiaTheme="minorEastAsia"/>
                <w:szCs w:val="21"/>
              </w:rPr>
            </w:pPr>
            <w:r w:rsidRPr="00F9522B">
              <w:rPr>
                <w:rFonts w:eastAsiaTheme="minorEastAsia"/>
                <w:szCs w:val="21"/>
              </w:rPr>
              <w:t>/</w:t>
            </w:r>
          </w:p>
        </w:tc>
        <w:tc>
          <w:tcPr>
            <w:tcW w:w="2558" w:type="dxa"/>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采购</w:t>
            </w:r>
          </w:p>
        </w:tc>
      </w:tr>
      <w:tr w:rsidR="002A5A5E" w:rsidRPr="00F9522B">
        <w:trPr>
          <w:trHeight w:val="340"/>
          <w:jc w:val="center"/>
        </w:trPr>
        <w:tc>
          <w:tcPr>
            <w:tcW w:w="1998" w:type="dxa"/>
            <w:vMerge/>
            <w:vAlign w:val="center"/>
          </w:tcPr>
          <w:p w:rsidR="002A5A5E" w:rsidRPr="00F9522B" w:rsidRDefault="002A5A5E">
            <w:pPr>
              <w:widowControl/>
              <w:jc w:val="center"/>
              <w:rPr>
                <w:rFonts w:eastAsiaTheme="minorEastAsia"/>
                <w:kern w:val="0"/>
                <w:szCs w:val="21"/>
              </w:rPr>
            </w:pPr>
          </w:p>
        </w:tc>
        <w:tc>
          <w:tcPr>
            <w:tcW w:w="2451" w:type="dxa"/>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砂砾石</w:t>
            </w:r>
          </w:p>
        </w:tc>
        <w:tc>
          <w:tcPr>
            <w:tcW w:w="1710" w:type="dxa"/>
            <w:vAlign w:val="center"/>
          </w:tcPr>
          <w:p w:rsidR="002A5A5E" w:rsidRPr="00F9522B" w:rsidRDefault="00611CBA">
            <w:pPr>
              <w:widowControl/>
              <w:jc w:val="center"/>
              <w:rPr>
                <w:rFonts w:eastAsiaTheme="minorEastAsia"/>
                <w:szCs w:val="21"/>
              </w:rPr>
            </w:pPr>
            <w:r w:rsidRPr="00F9522B">
              <w:rPr>
                <w:rFonts w:eastAsiaTheme="minorEastAsia"/>
                <w:szCs w:val="21"/>
              </w:rPr>
              <w:t>128000</w:t>
            </w:r>
            <w:r w:rsidRPr="00F9522B">
              <w:rPr>
                <w:rFonts w:eastAsiaTheme="minorEastAsia"/>
                <w:kern w:val="0"/>
                <w:szCs w:val="21"/>
              </w:rPr>
              <w:t>m</w:t>
            </w:r>
            <w:r w:rsidRPr="00F9522B">
              <w:rPr>
                <w:rFonts w:eastAsiaTheme="minorEastAsia"/>
                <w:kern w:val="0"/>
                <w:szCs w:val="21"/>
                <w:vertAlign w:val="superscript"/>
              </w:rPr>
              <w:t>3</w:t>
            </w:r>
          </w:p>
        </w:tc>
        <w:tc>
          <w:tcPr>
            <w:tcW w:w="2558" w:type="dxa"/>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宾西石场</w:t>
            </w:r>
          </w:p>
        </w:tc>
      </w:tr>
      <w:tr w:rsidR="002A5A5E" w:rsidRPr="00F9522B">
        <w:trPr>
          <w:trHeight w:val="340"/>
          <w:jc w:val="center"/>
        </w:trPr>
        <w:tc>
          <w:tcPr>
            <w:tcW w:w="1998" w:type="dxa"/>
            <w:vMerge/>
            <w:vAlign w:val="center"/>
          </w:tcPr>
          <w:p w:rsidR="002A5A5E" w:rsidRPr="00F9522B" w:rsidRDefault="002A5A5E">
            <w:pPr>
              <w:jc w:val="center"/>
              <w:rPr>
                <w:rFonts w:eastAsiaTheme="minorEastAsia"/>
                <w:szCs w:val="21"/>
              </w:rPr>
            </w:pPr>
          </w:p>
        </w:tc>
        <w:tc>
          <w:tcPr>
            <w:tcW w:w="2451" w:type="dxa"/>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膨润土</w:t>
            </w:r>
          </w:p>
        </w:tc>
        <w:tc>
          <w:tcPr>
            <w:tcW w:w="1710" w:type="dxa"/>
            <w:vAlign w:val="center"/>
          </w:tcPr>
          <w:p w:rsidR="002A5A5E" w:rsidRPr="00F9522B" w:rsidRDefault="0082757B">
            <w:pPr>
              <w:widowControl/>
              <w:jc w:val="center"/>
              <w:rPr>
                <w:rFonts w:eastAsiaTheme="minorEastAsia"/>
                <w:kern w:val="0"/>
                <w:szCs w:val="21"/>
              </w:rPr>
            </w:pPr>
            <w:r w:rsidRPr="00F9522B">
              <w:rPr>
                <w:rFonts w:eastAsiaTheme="minorEastAsia"/>
                <w:kern w:val="0"/>
                <w:szCs w:val="21"/>
              </w:rPr>
              <w:t>1020</w:t>
            </w:r>
            <w:r w:rsidR="00611CBA" w:rsidRPr="00F9522B">
              <w:rPr>
                <w:rFonts w:eastAsiaTheme="minorEastAsia"/>
                <w:kern w:val="0"/>
                <w:szCs w:val="21"/>
              </w:rPr>
              <w:t>m</w:t>
            </w:r>
            <w:r w:rsidR="00611CBA" w:rsidRPr="00F9522B">
              <w:rPr>
                <w:rFonts w:eastAsiaTheme="minorEastAsia"/>
                <w:kern w:val="0"/>
                <w:szCs w:val="21"/>
                <w:vertAlign w:val="superscript"/>
              </w:rPr>
              <w:t>3</w:t>
            </w:r>
          </w:p>
        </w:tc>
        <w:tc>
          <w:tcPr>
            <w:tcW w:w="2558" w:type="dxa"/>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建材市场</w:t>
            </w:r>
          </w:p>
        </w:tc>
      </w:tr>
      <w:tr w:rsidR="002A5A5E" w:rsidRPr="00F9522B">
        <w:trPr>
          <w:trHeight w:val="340"/>
          <w:jc w:val="center"/>
        </w:trPr>
        <w:tc>
          <w:tcPr>
            <w:tcW w:w="1998" w:type="dxa"/>
            <w:vMerge/>
            <w:vAlign w:val="center"/>
          </w:tcPr>
          <w:p w:rsidR="002A5A5E" w:rsidRPr="00F9522B" w:rsidRDefault="002A5A5E">
            <w:pPr>
              <w:jc w:val="center"/>
              <w:rPr>
                <w:rFonts w:eastAsiaTheme="minorEastAsia"/>
                <w:szCs w:val="21"/>
              </w:rPr>
            </w:pPr>
          </w:p>
        </w:tc>
        <w:tc>
          <w:tcPr>
            <w:tcW w:w="2451" w:type="dxa"/>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雷诺护垫</w:t>
            </w:r>
          </w:p>
        </w:tc>
        <w:tc>
          <w:tcPr>
            <w:tcW w:w="1710" w:type="dxa"/>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86500m</w:t>
            </w:r>
            <w:r w:rsidRPr="00F9522B">
              <w:rPr>
                <w:rFonts w:eastAsiaTheme="minorEastAsia"/>
                <w:kern w:val="0"/>
                <w:szCs w:val="21"/>
                <w:vertAlign w:val="superscript"/>
              </w:rPr>
              <w:t>3</w:t>
            </w:r>
          </w:p>
        </w:tc>
        <w:tc>
          <w:tcPr>
            <w:tcW w:w="2558" w:type="dxa"/>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建材市场</w:t>
            </w:r>
          </w:p>
        </w:tc>
      </w:tr>
      <w:tr w:rsidR="002A5A5E" w:rsidRPr="00F9522B">
        <w:trPr>
          <w:trHeight w:val="340"/>
          <w:jc w:val="center"/>
        </w:trPr>
        <w:tc>
          <w:tcPr>
            <w:tcW w:w="1998" w:type="dxa"/>
            <w:vMerge/>
            <w:vAlign w:val="center"/>
          </w:tcPr>
          <w:p w:rsidR="002A5A5E" w:rsidRPr="00F9522B" w:rsidRDefault="002A5A5E">
            <w:pPr>
              <w:jc w:val="center"/>
              <w:rPr>
                <w:rFonts w:eastAsiaTheme="minorEastAsia"/>
                <w:szCs w:val="21"/>
              </w:rPr>
            </w:pPr>
          </w:p>
        </w:tc>
        <w:tc>
          <w:tcPr>
            <w:tcW w:w="2451" w:type="dxa"/>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钢筋</w:t>
            </w:r>
          </w:p>
        </w:tc>
        <w:tc>
          <w:tcPr>
            <w:tcW w:w="1710" w:type="dxa"/>
            <w:vAlign w:val="center"/>
          </w:tcPr>
          <w:p w:rsidR="002A5A5E" w:rsidRPr="00F9522B" w:rsidRDefault="0082757B">
            <w:pPr>
              <w:widowControl/>
              <w:jc w:val="center"/>
              <w:rPr>
                <w:rFonts w:eastAsiaTheme="minorEastAsia"/>
                <w:kern w:val="0"/>
                <w:szCs w:val="21"/>
              </w:rPr>
            </w:pPr>
            <w:r w:rsidRPr="00F9522B">
              <w:rPr>
                <w:rFonts w:eastAsiaTheme="minorEastAsia"/>
                <w:kern w:val="0"/>
                <w:szCs w:val="21"/>
              </w:rPr>
              <w:t>2337</w:t>
            </w:r>
            <w:r w:rsidR="00611CBA" w:rsidRPr="00F9522B">
              <w:rPr>
                <w:rFonts w:eastAsiaTheme="minorEastAsia"/>
                <w:kern w:val="0"/>
                <w:szCs w:val="21"/>
              </w:rPr>
              <w:t>t</w:t>
            </w:r>
          </w:p>
        </w:tc>
        <w:tc>
          <w:tcPr>
            <w:tcW w:w="2558" w:type="dxa"/>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建材市场</w:t>
            </w:r>
          </w:p>
        </w:tc>
      </w:tr>
      <w:tr w:rsidR="002A5A5E" w:rsidRPr="00F9522B">
        <w:trPr>
          <w:trHeight w:val="340"/>
          <w:jc w:val="center"/>
        </w:trPr>
        <w:tc>
          <w:tcPr>
            <w:tcW w:w="1998" w:type="dxa"/>
            <w:vMerge/>
            <w:vAlign w:val="center"/>
          </w:tcPr>
          <w:p w:rsidR="002A5A5E" w:rsidRPr="00F9522B" w:rsidRDefault="002A5A5E">
            <w:pPr>
              <w:jc w:val="center"/>
              <w:rPr>
                <w:rFonts w:eastAsiaTheme="minorEastAsia"/>
                <w:szCs w:val="21"/>
              </w:rPr>
            </w:pPr>
          </w:p>
        </w:tc>
        <w:tc>
          <w:tcPr>
            <w:tcW w:w="2451" w:type="dxa"/>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生态合金格室</w:t>
            </w:r>
          </w:p>
        </w:tc>
        <w:tc>
          <w:tcPr>
            <w:tcW w:w="1710" w:type="dxa"/>
            <w:vAlign w:val="center"/>
          </w:tcPr>
          <w:p w:rsidR="002A5A5E" w:rsidRPr="00F9522B" w:rsidRDefault="00E44968">
            <w:pPr>
              <w:widowControl/>
              <w:jc w:val="center"/>
              <w:rPr>
                <w:rFonts w:eastAsiaTheme="minorEastAsia"/>
                <w:kern w:val="0"/>
                <w:szCs w:val="21"/>
              </w:rPr>
            </w:pPr>
            <w:r w:rsidRPr="00F9522B">
              <w:rPr>
                <w:rFonts w:eastAsiaTheme="minorEastAsia"/>
                <w:kern w:val="0"/>
                <w:szCs w:val="21"/>
              </w:rPr>
              <w:t>16653</w:t>
            </w:r>
            <w:r w:rsidR="00611CBA" w:rsidRPr="00F9522B">
              <w:rPr>
                <w:rFonts w:eastAsiaTheme="minorEastAsia"/>
                <w:kern w:val="0"/>
                <w:szCs w:val="21"/>
              </w:rPr>
              <w:t>m</w:t>
            </w:r>
            <w:r w:rsidR="00611CBA" w:rsidRPr="00F9522B">
              <w:rPr>
                <w:rFonts w:eastAsiaTheme="minorEastAsia"/>
                <w:kern w:val="0"/>
                <w:szCs w:val="21"/>
                <w:vertAlign w:val="superscript"/>
              </w:rPr>
              <w:t>2</w:t>
            </w:r>
          </w:p>
        </w:tc>
        <w:tc>
          <w:tcPr>
            <w:tcW w:w="2558" w:type="dxa"/>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建材市场</w:t>
            </w:r>
          </w:p>
        </w:tc>
      </w:tr>
      <w:tr w:rsidR="002A5A5E" w:rsidRPr="00F9522B">
        <w:trPr>
          <w:trHeight w:val="340"/>
          <w:jc w:val="center"/>
        </w:trPr>
        <w:tc>
          <w:tcPr>
            <w:tcW w:w="1998" w:type="dxa"/>
            <w:vMerge/>
            <w:vAlign w:val="center"/>
          </w:tcPr>
          <w:p w:rsidR="002A5A5E" w:rsidRPr="00F9522B" w:rsidRDefault="002A5A5E">
            <w:pPr>
              <w:jc w:val="center"/>
              <w:rPr>
                <w:rFonts w:eastAsiaTheme="minorEastAsia"/>
                <w:szCs w:val="21"/>
              </w:rPr>
            </w:pPr>
          </w:p>
        </w:tc>
        <w:tc>
          <w:tcPr>
            <w:tcW w:w="2451" w:type="dxa"/>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土工布</w:t>
            </w:r>
          </w:p>
        </w:tc>
        <w:tc>
          <w:tcPr>
            <w:tcW w:w="1710" w:type="dxa"/>
            <w:vAlign w:val="center"/>
          </w:tcPr>
          <w:p w:rsidR="002A5A5E" w:rsidRPr="00F9522B" w:rsidRDefault="00E44968" w:rsidP="00E44968">
            <w:pPr>
              <w:widowControl/>
              <w:jc w:val="center"/>
              <w:rPr>
                <w:rFonts w:eastAsiaTheme="minorEastAsia"/>
                <w:kern w:val="0"/>
                <w:szCs w:val="21"/>
              </w:rPr>
            </w:pPr>
            <w:r w:rsidRPr="00F9522B">
              <w:rPr>
                <w:rFonts w:eastAsiaTheme="minorEastAsia"/>
                <w:kern w:val="0"/>
                <w:szCs w:val="21"/>
              </w:rPr>
              <w:t>266500</w:t>
            </w:r>
            <w:r w:rsidR="00611CBA" w:rsidRPr="00F9522B">
              <w:rPr>
                <w:rFonts w:eastAsiaTheme="minorEastAsia"/>
                <w:kern w:val="0"/>
                <w:szCs w:val="21"/>
              </w:rPr>
              <w:t>m</w:t>
            </w:r>
            <w:r w:rsidR="00611CBA" w:rsidRPr="00F9522B">
              <w:rPr>
                <w:rFonts w:eastAsiaTheme="minorEastAsia"/>
                <w:kern w:val="0"/>
                <w:szCs w:val="21"/>
                <w:vertAlign w:val="superscript"/>
              </w:rPr>
              <w:t>3</w:t>
            </w:r>
          </w:p>
        </w:tc>
        <w:tc>
          <w:tcPr>
            <w:tcW w:w="2558" w:type="dxa"/>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建材市场</w:t>
            </w:r>
          </w:p>
        </w:tc>
      </w:tr>
      <w:tr w:rsidR="002A5A5E" w:rsidRPr="00F9522B">
        <w:trPr>
          <w:trHeight w:val="340"/>
          <w:jc w:val="center"/>
        </w:trPr>
        <w:tc>
          <w:tcPr>
            <w:tcW w:w="1998" w:type="dxa"/>
            <w:vMerge w:val="restart"/>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田间道路工程</w:t>
            </w:r>
          </w:p>
        </w:tc>
        <w:tc>
          <w:tcPr>
            <w:tcW w:w="2451" w:type="dxa"/>
            <w:vAlign w:val="center"/>
          </w:tcPr>
          <w:p w:rsidR="002A5A5E" w:rsidRPr="00F9522B" w:rsidRDefault="0082757B">
            <w:pPr>
              <w:widowControl/>
              <w:jc w:val="center"/>
              <w:rPr>
                <w:rFonts w:eastAsiaTheme="minorEastAsia"/>
                <w:kern w:val="0"/>
                <w:szCs w:val="21"/>
              </w:rPr>
            </w:pPr>
            <w:r w:rsidRPr="00F9522B">
              <w:rPr>
                <w:rFonts w:eastAsiaTheme="minorEastAsia"/>
                <w:kern w:val="0"/>
                <w:szCs w:val="21"/>
              </w:rPr>
              <w:t>土毛</w:t>
            </w:r>
            <w:r w:rsidR="00611CBA" w:rsidRPr="00F9522B">
              <w:rPr>
                <w:rFonts w:eastAsiaTheme="minorEastAsia"/>
                <w:kern w:val="0"/>
                <w:szCs w:val="21"/>
              </w:rPr>
              <w:t>石</w:t>
            </w:r>
          </w:p>
        </w:tc>
        <w:tc>
          <w:tcPr>
            <w:tcW w:w="1710" w:type="dxa"/>
            <w:vAlign w:val="center"/>
          </w:tcPr>
          <w:p w:rsidR="002A5A5E" w:rsidRPr="00F9522B" w:rsidRDefault="0082757B">
            <w:pPr>
              <w:widowControl/>
              <w:jc w:val="center"/>
              <w:rPr>
                <w:rFonts w:eastAsiaTheme="minorEastAsia"/>
                <w:kern w:val="0"/>
                <w:szCs w:val="21"/>
              </w:rPr>
            </w:pPr>
            <w:r w:rsidRPr="00F9522B">
              <w:rPr>
                <w:rFonts w:eastAsiaTheme="minorEastAsia"/>
                <w:kern w:val="0"/>
                <w:szCs w:val="21"/>
              </w:rPr>
              <w:t>401871</w:t>
            </w:r>
            <w:r w:rsidR="00611CBA" w:rsidRPr="00F9522B">
              <w:rPr>
                <w:rFonts w:eastAsiaTheme="minorEastAsia"/>
                <w:kern w:val="0"/>
                <w:szCs w:val="21"/>
              </w:rPr>
              <w:t>m</w:t>
            </w:r>
            <w:r w:rsidR="00611CBA" w:rsidRPr="00F9522B">
              <w:rPr>
                <w:rFonts w:eastAsiaTheme="minorEastAsia"/>
                <w:kern w:val="0"/>
                <w:szCs w:val="21"/>
                <w:vertAlign w:val="superscript"/>
              </w:rPr>
              <w:t>3</w:t>
            </w:r>
          </w:p>
        </w:tc>
        <w:tc>
          <w:tcPr>
            <w:tcW w:w="2558" w:type="dxa"/>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宾西石场</w:t>
            </w:r>
          </w:p>
        </w:tc>
      </w:tr>
      <w:tr w:rsidR="002A5A5E" w:rsidRPr="00F9522B">
        <w:trPr>
          <w:trHeight w:val="340"/>
          <w:jc w:val="center"/>
        </w:trPr>
        <w:tc>
          <w:tcPr>
            <w:tcW w:w="1998" w:type="dxa"/>
            <w:vMerge/>
            <w:vAlign w:val="center"/>
          </w:tcPr>
          <w:p w:rsidR="002A5A5E" w:rsidRPr="00F9522B" w:rsidRDefault="002A5A5E">
            <w:pPr>
              <w:jc w:val="center"/>
              <w:rPr>
                <w:rFonts w:eastAsiaTheme="minorEastAsia"/>
                <w:szCs w:val="21"/>
              </w:rPr>
            </w:pPr>
          </w:p>
        </w:tc>
        <w:tc>
          <w:tcPr>
            <w:tcW w:w="2451" w:type="dxa"/>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混凝土</w:t>
            </w:r>
          </w:p>
        </w:tc>
        <w:tc>
          <w:tcPr>
            <w:tcW w:w="1710" w:type="dxa"/>
            <w:vAlign w:val="center"/>
          </w:tcPr>
          <w:p w:rsidR="002A5A5E" w:rsidRPr="00F9522B" w:rsidRDefault="0082757B">
            <w:pPr>
              <w:widowControl/>
              <w:jc w:val="center"/>
              <w:rPr>
                <w:rFonts w:eastAsiaTheme="minorEastAsia"/>
                <w:kern w:val="0"/>
                <w:szCs w:val="21"/>
              </w:rPr>
            </w:pPr>
            <w:r w:rsidRPr="00F9522B">
              <w:rPr>
                <w:rFonts w:eastAsiaTheme="minorEastAsia"/>
                <w:kern w:val="0"/>
                <w:szCs w:val="21"/>
              </w:rPr>
              <w:t>46879</w:t>
            </w:r>
            <w:r w:rsidR="00611CBA" w:rsidRPr="00F9522B">
              <w:rPr>
                <w:rFonts w:eastAsiaTheme="minorEastAsia"/>
                <w:kern w:val="0"/>
                <w:szCs w:val="21"/>
              </w:rPr>
              <w:t>m</w:t>
            </w:r>
            <w:r w:rsidR="00611CBA" w:rsidRPr="00F9522B">
              <w:rPr>
                <w:rFonts w:eastAsiaTheme="minorEastAsia"/>
                <w:kern w:val="0"/>
                <w:szCs w:val="21"/>
                <w:vertAlign w:val="superscript"/>
              </w:rPr>
              <w:t>3</w:t>
            </w:r>
          </w:p>
        </w:tc>
        <w:tc>
          <w:tcPr>
            <w:tcW w:w="2558" w:type="dxa"/>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附近混凝土搅拌站</w:t>
            </w:r>
          </w:p>
        </w:tc>
      </w:tr>
      <w:tr w:rsidR="002A5A5E" w:rsidRPr="00F9522B">
        <w:trPr>
          <w:trHeight w:val="340"/>
          <w:jc w:val="center"/>
        </w:trPr>
        <w:tc>
          <w:tcPr>
            <w:tcW w:w="1998" w:type="dxa"/>
            <w:vMerge/>
            <w:vAlign w:val="center"/>
          </w:tcPr>
          <w:p w:rsidR="002A5A5E" w:rsidRPr="00F9522B" w:rsidRDefault="002A5A5E">
            <w:pPr>
              <w:jc w:val="center"/>
              <w:rPr>
                <w:rFonts w:eastAsiaTheme="minorEastAsia"/>
                <w:szCs w:val="21"/>
              </w:rPr>
            </w:pPr>
          </w:p>
        </w:tc>
        <w:tc>
          <w:tcPr>
            <w:tcW w:w="2451" w:type="dxa"/>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风化砂</w:t>
            </w:r>
          </w:p>
        </w:tc>
        <w:tc>
          <w:tcPr>
            <w:tcW w:w="1710" w:type="dxa"/>
            <w:vAlign w:val="center"/>
          </w:tcPr>
          <w:p w:rsidR="002A5A5E" w:rsidRPr="00F9522B" w:rsidRDefault="0082757B">
            <w:pPr>
              <w:widowControl/>
              <w:jc w:val="center"/>
              <w:rPr>
                <w:rFonts w:eastAsiaTheme="minorEastAsia"/>
                <w:kern w:val="0"/>
                <w:szCs w:val="21"/>
              </w:rPr>
            </w:pPr>
            <w:r w:rsidRPr="00F9522B">
              <w:rPr>
                <w:rFonts w:eastAsiaTheme="minorEastAsia"/>
                <w:kern w:val="0"/>
                <w:szCs w:val="21"/>
              </w:rPr>
              <w:t>138444</w:t>
            </w:r>
            <w:r w:rsidR="00611CBA" w:rsidRPr="00F9522B">
              <w:rPr>
                <w:rFonts w:eastAsiaTheme="minorEastAsia"/>
                <w:kern w:val="0"/>
                <w:szCs w:val="21"/>
              </w:rPr>
              <w:t>m</w:t>
            </w:r>
            <w:r w:rsidR="00611CBA" w:rsidRPr="00F9522B">
              <w:rPr>
                <w:rFonts w:eastAsiaTheme="minorEastAsia"/>
                <w:kern w:val="0"/>
                <w:szCs w:val="21"/>
                <w:vertAlign w:val="superscript"/>
              </w:rPr>
              <w:t>3</w:t>
            </w:r>
          </w:p>
        </w:tc>
        <w:tc>
          <w:tcPr>
            <w:tcW w:w="2558" w:type="dxa"/>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宾西石场</w:t>
            </w:r>
          </w:p>
        </w:tc>
      </w:tr>
      <w:tr w:rsidR="002A5A5E" w:rsidRPr="00F9522B">
        <w:trPr>
          <w:trHeight w:val="340"/>
          <w:jc w:val="center"/>
        </w:trPr>
        <w:tc>
          <w:tcPr>
            <w:tcW w:w="1998" w:type="dxa"/>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农田输配电工程</w:t>
            </w:r>
          </w:p>
        </w:tc>
        <w:tc>
          <w:tcPr>
            <w:tcW w:w="4161" w:type="dxa"/>
            <w:gridSpan w:val="2"/>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高压线、低压电缆、水泥杆等</w:t>
            </w:r>
          </w:p>
        </w:tc>
        <w:tc>
          <w:tcPr>
            <w:tcW w:w="2558" w:type="dxa"/>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采购</w:t>
            </w:r>
          </w:p>
        </w:tc>
      </w:tr>
      <w:tr w:rsidR="00486380" w:rsidRPr="00F9522B">
        <w:trPr>
          <w:trHeight w:val="340"/>
          <w:jc w:val="center"/>
        </w:trPr>
        <w:tc>
          <w:tcPr>
            <w:tcW w:w="1998" w:type="dxa"/>
            <w:vMerge w:val="restart"/>
            <w:vAlign w:val="center"/>
          </w:tcPr>
          <w:p w:rsidR="00486380" w:rsidRPr="00F9522B" w:rsidRDefault="00486380">
            <w:pPr>
              <w:widowControl/>
              <w:jc w:val="center"/>
              <w:rPr>
                <w:rFonts w:eastAsiaTheme="minorEastAsia"/>
                <w:kern w:val="0"/>
                <w:szCs w:val="21"/>
              </w:rPr>
            </w:pPr>
            <w:r w:rsidRPr="00F9522B">
              <w:rPr>
                <w:rFonts w:eastAsiaTheme="minorEastAsia"/>
                <w:kern w:val="0"/>
                <w:szCs w:val="21"/>
              </w:rPr>
              <w:t>田块整治工程</w:t>
            </w:r>
          </w:p>
        </w:tc>
        <w:tc>
          <w:tcPr>
            <w:tcW w:w="2451" w:type="dxa"/>
            <w:vAlign w:val="center"/>
          </w:tcPr>
          <w:p w:rsidR="00486380" w:rsidRPr="00F9522B" w:rsidRDefault="00486380">
            <w:pPr>
              <w:widowControl/>
              <w:jc w:val="center"/>
              <w:rPr>
                <w:rFonts w:eastAsiaTheme="minorEastAsia"/>
                <w:kern w:val="0"/>
                <w:szCs w:val="21"/>
              </w:rPr>
            </w:pPr>
            <w:r w:rsidRPr="00F9522B">
              <w:rPr>
                <w:rFonts w:eastAsiaTheme="minorEastAsia"/>
                <w:kern w:val="0"/>
                <w:szCs w:val="21"/>
              </w:rPr>
              <w:t>黑土</w:t>
            </w:r>
          </w:p>
        </w:tc>
        <w:tc>
          <w:tcPr>
            <w:tcW w:w="1710" w:type="dxa"/>
            <w:vAlign w:val="center"/>
          </w:tcPr>
          <w:p w:rsidR="00486380" w:rsidRPr="00F9522B" w:rsidRDefault="0082757B">
            <w:pPr>
              <w:widowControl/>
              <w:jc w:val="center"/>
              <w:rPr>
                <w:rFonts w:eastAsiaTheme="minorEastAsia"/>
                <w:kern w:val="0"/>
                <w:szCs w:val="21"/>
              </w:rPr>
            </w:pPr>
            <w:r w:rsidRPr="00F9522B">
              <w:rPr>
                <w:rFonts w:eastAsiaTheme="minorEastAsia"/>
              </w:rPr>
              <w:t>52497</w:t>
            </w:r>
            <w:r w:rsidR="00F74680" w:rsidRPr="00F9522B">
              <w:rPr>
                <w:rFonts w:eastAsiaTheme="minorEastAsia"/>
              </w:rPr>
              <w:t>m</w:t>
            </w:r>
            <w:r w:rsidR="00486380" w:rsidRPr="00F9522B">
              <w:rPr>
                <w:rFonts w:eastAsiaTheme="minorEastAsia"/>
                <w:kern w:val="0"/>
                <w:szCs w:val="21"/>
                <w:vertAlign w:val="superscript"/>
              </w:rPr>
              <w:t>3</w:t>
            </w:r>
          </w:p>
        </w:tc>
        <w:tc>
          <w:tcPr>
            <w:tcW w:w="2558" w:type="dxa"/>
            <w:vAlign w:val="center"/>
          </w:tcPr>
          <w:p w:rsidR="00486380" w:rsidRPr="00F9522B" w:rsidRDefault="006239CD">
            <w:pPr>
              <w:widowControl/>
              <w:jc w:val="center"/>
              <w:rPr>
                <w:rFonts w:eastAsiaTheme="minorEastAsia"/>
                <w:kern w:val="0"/>
                <w:szCs w:val="21"/>
              </w:rPr>
            </w:pPr>
            <w:r w:rsidRPr="00F9522B">
              <w:rPr>
                <w:rFonts w:eastAsiaTheme="minorEastAsia"/>
                <w:kern w:val="0"/>
                <w:szCs w:val="21"/>
              </w:rPr>
              <w:t>哈尔滨都市圈环线高速公路项目</w:t>
            </w:r>
            <w:r w:rsidR="00486380" w:rsidRPr="00F9522B">
              <w:rPr>
                <w:rFonts w:eastAsiaTheme="minorEastAsia"/>
                <w:kern w:val="0"/>
                <w:szCs w:val="21"/>
              </w:rPr>
              <w:t>工程剥离黑土</w:t>
            </w:r>
          </w:p>
        </w:tc>
      </w:tr>
      <w:tr w:rsidR="00486380" w:rsidRPr="00F9522B">
        <w:trPr>
          <w:trHeight w:val="340"/>
          <w:jc w:val="center"/>
        </w:trPr>
        <w:tc>
          <w:tcPr>
            <w:tcW w:w="1998" w:type="dxa"/>
            <w:vMerge/>
            <w:vAlign w:val="center"/>
          </w:tcPr>
          <w:p w:rsidR="00486380" w:rsidRPr="00F9522B" w:rsidRDefault="00486380">
            <w:pPr>
              <w:widowControl/>
              <w:jc w:val="center"/>
              <w:rPr>
                <w:rFonts w:eastAsiaTheme="minorEastAsia"/>
                <w:kern w:val="0"/>
                <w:szCs w:val="21"/>
              </w:rPr>
            </w:pPr>
          </w:p>
        </w:tc>
        <w:tc>
          <w:tcPr>
            <w:tcW w:w="2451" w:type="dxa"/>
            <w:vAlign w:val="center"/>
          </w:tcPr>
          <w:p w:rsidR="00486380" w:rsidRPr="00F9522B" w:rsidRDefault="00486380">
            <w:pPr>
              <w:widowControl/>
              <w:jc w:val="center"/>
              <w:rPr>
                <w:rFonts w:eastAsiaTheme="minorEastAsia"/>
                <w:kern w:val="0"/>
                <w:szCs w:val="21"/>
              </w:rPr>
            </w:pPr>
            <w:r w:rsidRPr="00F9522B">
              <w:rPr>
                <w:rFonts w:eastAsiaTheme="minorEastAsia"/>
                <w:kern w:val="0"/>
                <w:szCs w:val="21"/>
              </w:rPr>
              <w:t>砂料</w:t>
            </w:r>
          </w:p>
        </w:tc>
        <w:tc>
          <w:tcPr>
            <w:tcW w:w="1710" w:type="dxa"/>
            <w:vAlign w:val="center"/>
          </w:tcPr>
          <w:p w:rsidR="00486380" w:rsidRPr="00F9522B" w:rsidRDefault="0082757B">
            <w:pPr>
              <w:widowControl/>
              <w:jc w:val="center"/>
              <w:rPr>
                <w:rFonts w:eastAsiaTheme="minorEastAsia"/>
              </w:rPr>
            </w:pPr>
            <w:r w:rsidRPr="00F9522B">
              <w:rPr>
                <w:rFonts w:eastAsiaTheme="minorEastAsia"/>
              </w:rPr>
              <w:t>81086</w:t>
            </w:r>
            <w:r w:rsidR="00486380" w:rsidRPr="00F9522B">
              <w:rPr>
                <w:rFonts w:eastAsiaTheme="minorEastAsia"/>
                <w:kern w:val="0"/>
                <w:szCs w:val="21"/>
              </w:rPr>
              <w:t>m</w:t>
            </w:r>
            <w:r w:rsidR="00486380" w:rsidRPr="00F9522B">
              <w:rPr>
                <w:rFonts w:eastAsiaTheme="minorEastAsia"/>
                <w:kern w:val="0"/>
                <w:szCs w:val="21"/>
                <w:vertAlign w:val="superscript"/>
              </w:rPr>
              <w:t>3</w:t>
            </w:r>
          </w:p>
        </w:tc>
        <w:tc>
          <w:tcPr>
            <w:tcW w:w="2558" w:type="dxa"/>
            <w:vAlign w:val="center"/>
          </w:tcPr>
          <w:p w:rsidR="00486380" w:rsidRPr="00F9522B" w:rsidRDefault="00486380">
            <w:pPr>
              <w:widowControl/>
              <w:jc w:val="center"/>
              <w:rPr>
                <w:rFonts w:eastAsiaTheme="minorEastAsia"/>
                <w:kern w:val="0"/>
                <w:szCs w:val="21"/>
              </w:rPr>
            </w:pPr>
            <w:r w:rsidRPr="00F9522B">
              <w:rPr>
                <w:rFonts w:eastAsiaTheme="minorEastAsia"/>
                <w:kern w:val="0"/>
                <w:szCs w:val="21"/>
              </w:rPr>
              <w:t>宾西石场</w:t>
            </w:r>
          </w:p>
        </w:tc>
      </w:tr>
      <w:tr w:rsidR="00486380" w:rsidRPr="00F9522B">
        <w:trPr>
          <w:trHeight w:val="340"/>
          <w:jc w:val="center"/>
        </w:trPr>
        <w:tc>
          <w:tcPr>
            <w:tcW w:w="1998" w:type="dxa"/>
            <w:vMerge/>
            <w:vAlign w:val="center"/>
          </w:tcPr>
          <w:p w:rsidR="00486380" w:rsidRPr="00F9522B" w:rsidRDefault="00486380">
            <w:pPr>
              <w:widowControl/>
              <w:jc w:val="center"/>
              <w:rPr>
                <w:rFonts w:eastAsiaTheme="minorEastAsia"/>
                <w:kern w:val="0"/>
                <w:szCs w:val="21"/>
              </w:rPr>
            </w:pPr>
          </w:p>
        </w:tc>
        <w:tc>
          <w:tcPr>
            <w:tcW w:w="2451" w:type="dxa"/>
            <w:vAlign w:val="center"/>
          </w:tcPr>
          <w:p w:rsidR="00486380" w:rsidRPr="00F9522B" w:rsidRDefault="00486380" w:rsidP="00FF4273">
            <w:pPr>
              <w:widowControl/>
              <w:jc w:val="center"/>
              <w:rPr>
                <w:rFonts w:eastAsiaTheme="minorEastAsia"/>
                <w:kern w:val="0"/>
                <w:szCs w:val="21"/>
              </w:rPr>
            </w:pPr>
            <w:r w:rsidRPr="00F9522B">
              <w:rPr>
                <w:rFonts w:eastAsiaTheme="minorEastAsia"/>
                <w:kern w:val="0"/>
                <w:szCs w:val="21"/>
              </w:rPr>
              <w:t>商品有机肥</w:t>
            </w:r>
          </w:p>
        </w:tc>
        <w:tc>
          <w:tcPr>
            <w:tcW w:w="1710" w:type="dxa"/>
            <w:vAlign w:val="center"/>
          </w:tcPr>
          <w:p w:rsidR="00486380" w:rsidRPr="00F9522B" w:rsidRDefault="001003E4" w:rsidP="00FF4273">
            <w:pPr>
              <w:widowControl/>
              <w:jc w:val="center"/>
              <w:rPr>
                <w:rFonts w:eastAsiaTheme="minorEastAsia"/>
                <w:kern w:val="0"/>
                <w:szCs w:val="21"/>
              </w:rPr>
            </w:pPr>
            <w:r w:rsidRPr="00F9522B">
              <w:rPr>
                <w:rFonts w:eastAsiaTheme="minorEastAsia"/>
                <w:kern w:val="0"/>
                <w:szCs w:val="21"/>
              </w:rPr>
              <w:t>98265.87</w:t>
            </w:r>
            <w:r w:rsidR="00486380" w:rsidRPr="00F9522B">
              <w:rPr>
                <w:rFonts w:eastAsiaTheme="minorEastAsia"/>
                <w:kern w:val="0"/>
                <w:szCs w:val="21"/>
              </w:rPr>
              <w:t>t</w:t>
            </w:r>
          </w:p>
        </w:tc>
        <w:tc>
          <w:tcPr>
            <w:tcW w:w="2558" w:type="dxa"/>
            <w:vAlign w:val="center"/>
          </w:tcPr>
          <w:p w:rsidR="00486380" w:rsidRPr="00F9522B" w:rsidRDefault="00486380">
            <w:pPr>
              <w:widowControl/>
              <w:jc w:val="center"/>
              <w:rPr>
                <w:rFonts w:eastAsiaTheme="minorEastAsia"/>
                <w:kern w:val="0"/>
                <w:szCs w:val="21"/>
              </w:rPr>
            </w:pPr>
            <w:r w:rsidRPr="00F9522B">
              <w:rPr>
                <w:rFonts w:eastAsiaTheme="minorEastAsia"/>
                <w:kern w:val="0"/>
                <w:szCs w:val="21"/>
              </w:rPr>
              <w:t>采购</w:t>
            </w:r>
          </w:p>
        </w:tc>
      </w:tr>
      <w:tr w:rsidR="00486380" w:rsidRPr="00F9522B">
        <w:trPr>
          <w:trHeight w:val="340"/>
          <w:jc w:val="center"/>
        </w:trPr>
        <w:tc>
          <w:tcPr>
            <w:tcW w:w="1998" w:type="dxa"/>
            <w:vMerge/>
            <w:vAlign w:val="center"/>
          </w:tcPr>
          <w:p w:rsidR="00486380" w:rsidRPr="00F9522B" w:rsidRDefault="00486380">
            <w:pPr>
              <w:widowControl/>
              <w:jc w:val="center"/>
              <w:rPr>
                <w:rFonts w:eastAsiaTheme="minorEastAsia"/>
                <w:kern w:val="0"/>
                <w:szCs w:val="21"/>
              </w:rPr>
            </w:pPr>
          </w:p>
        </w:tc>
        <w:tc>
          <w:tcPr>
            <w:tcW w:w="2451" w:type="dxa"/>
            <w:vAlign w:val="center"/>
          </w:tcPr>
          <w:p w:rsidR="00486380" w:rsidRPr="00F9522B" w:rsidRDefault="00486380" w:rsidP="00FF4273">
            <w:pPr>
              <w:widowControl/>
              <w:jc w:val="center"/>
              <w:rPr>
                <w:rFonts w:eastAsiaTheme="minorEastAsia"/>
                <w:kern w:val="0"/>
                <w:szCs w:val="21"/>
              </w:rPr>
            </w:pPr>
            <w:r w:rsidRPr="00F9522B">
              <w:rPr>
                <w:rFonts w:eastAsiaTheme="minorEastAsia"/>
                <w:kern w:val="0"/>
                <w:szCs w:val="21"/>
              </w:rPr>
              <w:t>秸秆</w:t>
            </w:r>
          </w:p>
        </w:tc>
        <w:tc>
          <w:tcPr>
            <w:tcW w:w="1710" w:type="dxa"/>
            <w:vAlign w:val="center"/>
          </w:tcPr>
          <w:p w:rsidR="00486380" w:rsidRPr="00F9522B" w:rsidRDefault="00486380" w:rsidP="00FF4273">
            <w:pPr>
              <w:widowControl/>
              <w:jc w:val="center"/>
              <w:rPr>
                <w:rFonts w:eastAsiaTheme="minorEastAsia"/>
                <w:kern w:val="0"/>
                <w:szCs w:val="21"/>
              </w:rPr>
            </w:pPr>
            <w:r w:rsidRPr="00F9522B">
              <w:rPr>
                <w:rFonts w:eastAsiaTheme="minorEastAsia"/>
                <w:kern w:val="0"/>
                <w:szCs w:val="21"/>
              </w:rPr>
              <w:t>1441.23m</w:t>
            </w:r>
            <w:r w:rsidRPr="00F9522B">
              <w:rPr>
                <w:rFonts w:eastAsiaTheme="minorEastAsia"/>
                <w:kern w:val="0"/>
                <w:szCs w:val="21"/>
                <w:vertAlign w:val="superscript"/>
              </w:rPr>
              <w:t>3</w:t>
            </w:r>
          </w:p>
        </w:tc>
        <w:tc>
          <w:tcPr>
            <w:tcW w:w="2558" w:type="dxa"/>
            <w:vAlign w:val="center"/>
          </w:tcPr>
          <w:p w:rsidR="00486380" w:rsidRPr="00F9522B" w:rsidRDefault="00486380">
            <w:pPr>
              <w:widowControl/>
              <w:jc w:val="center"/>
              <w:rPr>
                <w:rFonts w:eastAsiaTheme="minorEastAsia"/>
                <w:kern w:val="0"/>
                <w:szCs w:val="21"/>
              </w:rPr>
            </w:pPr>
            <w:r w:rsidRPr="00F9522B">
              <w:rPr>
                <w:rFonts w:eastAsiaTheme="minorEastAsia"/>
                <w:kern w:val="0"/>
                <w:szCs w:val="21"/>
              </w:rPr>
              <w:t>采购</w:t>
            </w:r>
          </w:p>
        </w:tc>
      </w:tr>
      <w:tr w:rsidR="00D61453" w:rsidRPr="00F9522B">
        <w:trPr>
          <w:trHeight w:val="340"/>
          <w:jc w:val="center"/>
        </w:trPr>
        <w:tc>
          <w:tcPr>
            <w:tcW w:w="1998" w:type="dxa"/>
            <w:vAlign w:val="center"/>
          </w:tcPr>
          <w:p w:rsidR="00D61453" w:rsidRPr="00F9522B" w:rsidRDefault="00D61453">
            <w:pPr>
              <w:widowControl/>
              <w:jc w:val="center"/>
              <w:rPr>
                <w:rFonts w:eastAsiaTheme="minorEastAsia"/>
                <w:kern w:val="0"/>
                <w:szCs w:val="21"/>
              </w:rPr>
            </w:pPr>
            <w:r w:rsidRPr="00F9522B">
              <w:rPr>
                <w:rFonts w:eastAsiaTheme="minorEastAsia"/>
                <w:kern w:val="0"/>
                <w:szCs w:val="21"/>
              </w:rPr>
              <w:t>/</w:t>
            </w:r>
          </w:p>
        </w:tc>
        <w:tc>
          <w:tcPr>
            <w:tcW w:w="2451" w:type="dxa"/>
            <w:vAlign w:val="center"/>
          </w:tcPr>
          <w:p w:rsidR="00D61453" w:rsidRPr="00F9522B" w:rsidRDefault="00D61453">
            <w:pPr>
              <w:widowControl/>
              <w:jc w:val="center"/>
              <w:rPr>
                <w:rFonts w:eastAsiaTheme="minorEastAsia"/>
                <w:kern w:val="0"/>
                <w:szCs w:val="21"/>
              </w:rPr>
            </w:pPr>
            <w:r w:rsidRPr="00F9522B">
              <w:rPr>
                <w:rFonts w:eastAsiaTheme="minorEastAsia"/>
                <w:kern w:val="0"/>
                <w:szCs w:val="21"/>
              </w:rPr>
              <w:t>柴油</w:t>
            </w:r>
          </w:p>
        </w:tc>
        <w:tc>
          <w:tcPr>
            <w:tcW w:w="1710" w:type="dxa"/>
            <w:vAlign w:val="center"/>
          </w:tcPr>
          <w:p w:rsidR="00D61453" w:rsidRPr="00F9522B" w:rsidRDefault="0082757B" w:rsidP="00486380">
            <w:pPr>
              <w:widowControl/>
              <w:jc w:val="center"/>
              <w:rPr>
                <w:rFonts w:eastAsiaTheme="minorEastAsia"/>
                <w:kern w:val="0"/>
                <w:szCs w:val="21"/>
              </w:rPr>
            </w:pPr>
            <w:r w:rsidRPr="00F9522B">
              <w:rPr>
                <w:rFonts w:eastAsiaTheme="minorEastAsia"/>
                <w:kern w:val="0"/>
                <w:szCs w:val="21"/>
              </w:rPr>
              <w:t>2245</w:t>
            </w:r>
            <w:r w:rsidR="00D61453" w:rsidRPr="00F9522B">
              <w:rPr>
                <w:rFonts w:eastAsiaTheme="minorEastAsia"/>
                <w:kern w:val="0"/>
                <w:szCs w:val="21"/>
              </w:rPr>
              <w:t>t</w:t>
            </w:r>
          </w:p>
        </w:tc>
        <w:tc>
          <w:tcPr>
            <w:tcW w:w="2558" w:type="dxa"/>
            <w:vAlign w:val="center"/>
          </w:tcPr>
          <w:p w:rsidR="00D61453" w:rsidRPr="00F9522B" w:rsidRDefault="00CA6D46">
            <w:pPr>
              <w:widowControl/>
              <w:jc w:val="center"/>
              <w:rPr>
                <w:rFonts w:eastAsiaTheme="minorEastAsia"/>
                <w:kern w:val="0"/>
                <w:szCs w:val="21"/>
              </w:rPr>
            </w:pPr>
            <w:r>
              <w:rPr>
                <w:rFonts w:eastAsiaTheme="minorEastAsia"/>
                <w:kern w:val="0"/>
                <w:szCs w:val="21"/>
              </w:rPr>
              <w:t>附近加油站</w:t>
            </w:r>
            <w:r w:rsidR="00D61453" w:rsidRPr="00F9522B">
              <w:rPr>
                <w:rFonts w:eastAsiaTheme="minorEastAsia"/>
                <w:kern w:val="0"/>
                <w:szCs w:val="21"/>
              </w:rPr>
              <w:t>采购</w:t>
            </w:r>
          </w:p>
        </w:tc>
      </w:tr>
    </w:tbl>
    <w:p w:rsidR="002A5A5E" w:rsidRPr="00F9522B" w:rsidRDefault="00611CBA">
      <w:pPr>
        <w:pStyle w:val="aff4"/>
        <w:adjustRightInd/>
        <w:snapToGrid/>
        <w:contextualSpacing/>
        <w:jc w:val="both"/>
        <w:rPr>
          <w:rFonts w:ascii="Times New Roman" w:hAnsi="Times New Roman" w:cs="Times New Roman"/>
          <w:snapToGrid w:val="0"/>
          <w:lang w:val="zh-CN"/>
        </w:rPr>
      </w:pPr>
      <w:r w:rsidRPr="00F9522B">
        <w:rPr>
          <w:rFonts w:ascii="Times New Roman" w:hAnsi="Times New Roman" w:cs="Times New Roman"/>
          <w:snapToGrid w:val="0"/>
          <w:lang w:val="zh-CN"/>
        </w:rPr>
        <w:t>施工过程井管为成品直接运至施工现场直接安装，不设置混凝土搅拌站及混凝土管预制件场所。</w:t>
      </w:r>
    </w:p>
    <w:p w:rsidR="002A5A5E" w:rsidRPr="00F9522B" w:rsidRDefault="00611CBA">
      <w:pPr>
        <w:keepNext/>
        <w:keepLines/>
        <w:spacing w:before="100" w:beforeAutospacing="1" w:after="100" w:afterAutospacing="1"/>
        <w:outlineLvl w:val="2"/>
        <w:rPr>
          <w:rFonts w:eastAsiaTheme="minorEastAsia"/>
          <w:b/>
          <w:sz w:val="28"/>
          <w:szCs w:val="28"/>
        </w:rPr>
      </w:pPr>
      <w:r w:rsidRPr="00F9522B">
        <w:rPr>
          <w:rFonts w:eastAsiaTheme="minorEastAsia"/>
          <w:b/>
          <w:sz w:val="28"/>
          <w:szCs w:val="28"/>
        </w:rPr>
        <w:t>3.1.9</w:t>
      </w:r>
      <w:r w:rsidRPr="00F9522B">
        <w:rPr>
          <w:rFonts w:eastAsiaTheme="minorEastAsia"/>
          <w:b/>
          <w:sz w:val="28"/>
          <w:szCs w:val="28"/>
        </w:rPr>
        <w:t>土石方平衡</w:t>
      </w:r>
    </w:p>
    <w:p w:rsidR="002A5A5E" w:rsidRPr="00F9522B" w:rsidRDefault="00611CBA">
      <w:pPr>
        <w:spacing w:line="360" w:lineRule="auto"/>
        <w:ind w:firstLineChars="200" w:firstLine="480"/>
        <w:jc w:val="left"/>
        <w:rPr>
          <w:rFonts w:eastAsiaTheme="minorEastAsia"/>
          <w:sz w:val="24"/>
        </w:rPr>
      </w:pPr>
      <w:r w:rsidRPr="00F9522B">
        <w:rPr>
          <w:rFonts w:eastAsiaTheme="minorEastAsia"/>
          <w:kern w:val="0"/>
          <w:sz w:val="24"/>
          <w:szCs w:val="20"/>
        </w:rPr>
        <w:t>项目施工建设中，根据施工布局和工程主要施工方法，在施工过程中可利用的土方基本全部回填利用</w:t>
      </w:r>
      <w:r w:rsidRPr="00F9522B">
        <w:rPr>
          <w:rFonts w:eastAsiaTheme="minorEastAsia"/>
          <w:sz w:val="24"/>
        </w:rPr>
        <w:t>。</w:t>
      </w:r>
    </w:p>
    <w:p w:rsidR="00CA6D46" w:rsidRDefault="00CA6D46">
      <w:pPr>
        <w:tabs>
          <w:tab w:val="left" w:pos="1114"/>
        </w:tabs>
        <w:spacing w:line="360" w:lineRule="auto"/>
        <w:jc w:val="center"/>
        <w:rPr>
          <w:rFonts w:eastAsiaTheme="minorEastAsia"/>
          <w:b/>
          <w:kern w:val="0"/>
          <w:szCs w:val="21"/>
        </w:rPr>
      </w:pPr>
    </w:p>
    <w:p w:rsidR="00CA6D46" w:rsidRDefault="00CA6D46">
      <w:pPr>
        <w:tabs>
          <w:tab w:val="left" w:pos="1114"/>
        </w:tabs>
        <w:spacing w:line="360" w:lineRule="auto"/>
        <w:jc w:val="center"/>
        <w:rPr>
          <w:rFonts w:eastAsiaTheme="minorEastAsia"/>
          <w:b/>
          <w:kern w:val="0"/>
          <w:szCs w:val="21"/>
        </w:rPr>
      </w:pPr>
    </w:p>
    <w:p w:rsidR="00CA6D46" w:rsidRDefault="00CA6D46">
      <w:pPr>
        <w:tabs>
          <w:tab w:val="left" w:pos="1114"/>
        </w:tabs>
        <w:spacing w:line="360" w:lineRule="auto"/>
        <w:jc w:val="center"/>
        <w:rPr>
          <w:rFonts w:eastAsiaTheme="minorEastAsia"/>
          <w:b/>
          <w:kern w:val="0"/>
          <w:szCs w:val="21"/>
        </w:rPr>
      </w:pPr>
    </w:p>
    <w:p w:rsidR="00CA6D46" w:rsidRDefault="00CA6D46">
      <w:pPr>
        <w:tabs>
          <w:tab w:val="left" w:pos="1114"/>
        </w:tabs>
        <w:spacing w:line="360" w:lineRule="auto"/>
        <w:jc w:val="center"/>
        <w:rPr>
          <w:rFonts w:eastAsiaTheme="minorEastAsia"/>
          <w:b/>
          <w:kern w:val="0"/>
          <w:szCs w:val="21"/>
        </w:rPr>
      </w:pPr>
    </w:p>
    <w:p w:rsidR="00CA6D46" w:rsidRDefault="00CA6D46">
      <w:pPr>
        <w:tabs>
          <w:tab w:val="left" w:pos="1114"/>
        </w:tabs>
        <w:spacing w:line="360" w:lineRule="auto"/>
        <w:jc w:val="center"/>
        <w:rPr>
          <w:rFonts w:eastAsiaTheme="minorEastAsia"/>
          <w:b/>
          <w:kern w:val="0"/>
          <w:szCs w:val="21"/>
        </w:rPr>
      </w:pPr>
    </w:p>
    <w:p w:rsidR="00CA6D46" w:rsidRDefault="00CA6D46">
      <w:pPr>
        <w:tabs>
          <w:tab w:val="left" w:pos="1114"/>
        </w:tabs>
        <w:spacing w:line="360" w:lineRule="auto"/>
        <w:jc w:val="center"/>
        <w:rPr>
          <w:rFonts w:eastAsiaTheme="minorEastAsia"/>
          <w:b/>
          <w:kern w:val="0"/>
          <w:szCs w:val="21"/>
        </w:rPr>
      </w:pPr>
    </w:p>
    <w:p w:rsidR="00CA6D46" w:rsidRDefault="00CA6D46">
      <w:pPr>
        <w:tabs>
          <w:tab w:val="left" w:pos="1114"/>
        </w:tabs>
        <w:spacing w:line="360" w:lineRule="auto"/>
        <w:jc w:val="center"/>
        <w:rPr>
          <w:rFonts w:eastAsiaTheme="minorEastAsia"/>
          <w:b/>
          <w:kern w:val="0"/>
          <w:szCs w:val="21"/>
        </w:rPr>
      </w:pPr>
    </w:p>
    <w:p w:rsidR="00CA6D46" w:rsidRDefault="00CA6D46">
      <w:pPr>
        <w:tabs>
          <w:tab w:val="left" w:pos="1114"/>
        </w:tabs>
        <w:spacing w:line="360" w:lineRule="auto"/>
        <w:jc w:val="center"/>
        <w:rPr>
          <w:rFonts w:eastAsiaTheme="minorEastAsia"/>
          <w:b/>
          <w:kern w:val="0"/>
          <w:szCs w:val="21"/>
        </w:rPr>
      </w:pPr>
    </w:p>
    <w:p w:rsidR="002A5A5E" w:rsidRPr="00F9522B" w:rsidRDefault="00611CBA">
      <w:pPr>
        <w:tabs>
          <w:tab w:val="left" w:pos="1114"/>
        </w:tabs>
        <w:spacing w:line="360" w:lineRule="auto"/>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3-1-1</w:t>
      </w:r>
      <w:r w:rsidR="00B40846" w:rsidRPr="00F9522B">
        <w:rPr>
          <w:rFonts w:eastAsiaTheme="minorEastAsia"/>
          <w:b/>
          <w:kern w:val="0"/>
          <w:szCs w:val="21"/>
        </w:rPr>
        <w:t>3</w:t>
      </w:r>
      <w:r w:rsidRPr="00F9522B">
        <w:rPr>
          <w:rFonts w:eastAsiaTheme="minorEastAsia"/>
          <w:b/>
          <w:kern w:val="0"/>
          <w:szCs w:val="21"/>
        </w:rPr>
        <w:t>工程土石方平衡表</w:t>
      </w:r>
      <w:r w:rsidRPr="00F9522B">
        <w:rPr>
          <w:rFonts w:eastAsiaTheme="minorEastAsia"/>
          <w:b/>
          <w:kern w:val="0"/>
          <w:szCs w:val="21"/>
        </w:rPr>
        <w:t xml:space="preserve">         </w:t>
      </w:r>
      <w:r w:rsidRPr="00F9522B">
        <w:rPr>
          <w:rFonts w:eastAsiaTheme="minorEastAsia"/>
          <w:b/>
          <w:kern w:val="0"/>
          <w:szCs w:val="21"/>
        </w:rPr>
        <w:t>单位：</w:t>
      </w:r>
      <w:r w:rsidRPr="00F9522B">
        <w:rPr>
          <w:rFonts w:eastAsiaTheme="minorEastAsia"/>
          <w:b/>
          <w:kern w:val="0"/>
          <w:szCs w:val="21"/>
        </w:rPr>
        <w:t>m</w:t>
      </w:r>
      <w:r w:rsidRPr="00F9522B">
        <w:rPr>
          <w:rFonts w:eastAsiaTheme="minorEastAsia"/>
          <w:b/>
          <w:kern w:val="0"/>
          <w:szCs w:val="21"/>
          <w:vertAlign w:val="superscript"/>
        </w:rPr>
        <w:t>3</w:t>
      </w:r>
    </w:p>
    <w:tbl>
      <w:tblPr>
        <w:tblW w:w="5190" w:type="pct"/>
        <w:tblBorders>
          <w:top w:val="single" w:sz="12" w:space="0" w:color="auto"/>
          <w:bottom w:val="single" w:sz="12" w:space="0" w:color="auto"/>
          <w:insideH w:val="single" w:sz="4" w:space="0" w:color="auto"/>
          <w:insideV w:val="single" w:sz="4" w:space="0" w:color="auto"/>
        </w:tblBorders>
        <w:tblLayout w:type="fixed"/>
        <w:tblCellMar>
          <w:left w:w="28" w:type="dxa"/>
          <w:right w:w="28" w:type="dxa"/>
        </w:tblCellMar>
        <w:tblLook w:val="04A0"/>
      </w:tblPr>
      <w:tblGrid>
        <w:gridCol w:w="536"/>
        <w:gridCol w:w="694"/>
        <w:gridCol w:w="641"/>
        <w:gridCol w:w="568"/>
        <w:gridCol w:w="566"/>
        <w:gridCol w:w="568"/>
        <w:gridCol w:w="1276"/>
        <w:gridCol w:w="679"/>
        <w:gridCol w:w="899"/>
        <w:gridCol w:w="689"/>
        <w:gridCol w:w="851"/>
        <w:gridCol w:w="713"/>
      </w:tblGrid>
      <w:tr w:rsidR="002A5A5E" w:rsidRPr="00F9522B" w:rsidTr="00041C73">
        <w:trPr>
          <w:trHeight w:val="489"/>
        </w:trPr>
        <w:tc>
          <w:tcPr>
            <w:tcW w:w="709" w:type="pct"/>
            <w:gridSpan w:val="2"/>
            <w:vMerge w:val="restart"/>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工程名称</w:t>
            </w:r>
          </w:p>
        </w:tc>
        <w:tc>
          <w:tcPr>
            <w:tcW w:w="369" w:type="pct"/>
            <w:vMerge w:val="restart"/>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挖方</w:t>
            </w:r>
          </w:p>
        </w:tc>
        <w:tc>
          <w:tcPr>
            <w:tcW w:w="327" w:type="pct"/>
            <w:vMerge w:val="restart"/>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填方</w:t>
            </w:r>
          </w:p>
        </w:tc>
        <w:tc>
          <w:tcPr>
            <w:tcW w:w="326" w:type="pct"/>
            <w:vMerge w:val="restart"/>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利用方</w:t>
            </w:r>
          </w:p>
        </w:tc>
        <w:tc>
          <w:tcPr>
            <w:tcW w:w="1062" w:type="pct"/>
            <w:gridSpan w:val="2"/>
            <w:vAlign w:val="center"/>
          </w:tcPr>
          <w:p w:rsidR="002A5A5E" w:rsidRPr="00F9522B" w:rsidRDefault="00611CBA">
            <w:pPr>
              <w:widowControl/>
              <w:jc w:val="center"/>
              <w:rPr>
                <w:rFonts w:eastAsiaTheme="minorEastAsia"/>
                <w:kern w:val="0"/>
                <w:szCs w:val="21"/>
              </w:rPr>
            </w:pPr>
            <w:r w:rsidRPr="00F9522B">
              <w:rPr>
                <w:rFonts w:eastAsiaTheme="minorEastAsia"/>
                <w:szCs w:val="21"/>
              </w:rPr>
              <w:t>借方</w:t>
            </w:r>
          </w:p>
        </w:tc>
        <w:tc>
          <w:tcPr>
            <w:tcW w:w="909" w:type="pct"/>
            <w:gridSpan w:val="2"/>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区域内调出方</w:t>
            </w:r>
          </w:p>
        </w:tc>
        <w:tc>
          <w:tcPr>
            <w:tcW w:w="397" w:type="pct"/>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区域内调入方</w:t>
            </w:r>
          </w:p>
        </w:tc>
        <w:tc>
          <w:tcPr>
            <w:tcW w:w="901" w:type="pct"/>
            <w:gridSpan w:val="2"/>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弃方</w:t>
            </w:r>
          </w:p>
        </w:tc>
      </w:tr>
      <w:tr w:rsidR="002A5A5E" w:rsidRPr="00F9522B" w:rsidTr="00041C73">
        <w:trPr>
          <w:trHeight w:val="246"/>
        </w:trPr>
        <w:tc>
          <w:tcPr>
            <w:tcW w:w="709" w:type="pct"/>
            <w:gridSpan w:val="2"/>
            <w:vMerge/>
            <w:vAlign w:val="center"/>
          </w:tcPr>
          <w:p w:rsidR="002A5A5E" w:rsidRPr="00F9522B" w:rsidRDefault="002A5A5E">
            <w:pPr>
              <w:jc w:val="center"/>
              <w:rPr>
                <w:rFonts w:eastAsiaTheme="minorEastAsia"/>
                <w:szCs w:val="21"/>
              </w:rPr>
            </w:pPr>
          </w:p>
        </w:tc>
        <w:tc>
          <w:tcPr>
            <w:tcW w:w="369" w:type="pct"/>
            <w:vMerge/>
            <w:vAlign w:val="center"/>
          </w:tcPr>
          <w:p w:rsidR="002A5A5E" w:rsidRPr="00F9522B" w:rsidRDefault="002A5A5E">
            <w:pPr>
              <w:jc w:val="center"/>
              <w:rPr>
                <w:rFonts w:eastAsiaTheme="minorEastAsia"/>
                <w:szCs w:val="21"/>
              </w:rPr>
            </w:pPr>
          </w:p>
        </w:tc>
        <w:tc>
          <w:tcPr>
            <w:tcW w:w="327" w:type="pct"/>
            <w:vMerge/>
            <w:vAlign w:val="center"/>
          </w:tcPr>
          <w:p w:rsidR="002A5A5E" w:rsidRPr="00F9522B" w:rsidRDefault="002A5A5E">
            <w:pPr>
              <w:jc w:val="center"/>
              <w:rPr>
                <w:rFonts w:eastAsiaTheme="minorEastAsia"/>
                <w:szCs w:val="21"/>
              </w:rPr>
            </w:pPr>
          </w:p>
        </w:tc>
        <w:tc>
          <w:tcPr>
            <w:tcW w:w="326" w:type="pct"/>
            <w:vMerge/>
            <w:vAlign w:val="center"/>
          </w:tcPr>
          <w:p w:rsidR="002A5A5E" w:rsidRPr="00F9522B" w:rsidRDefault="002A5A5E">
            <w:pPr>
              <w:widowControl/>
              <w:jc w:val="center"/>
              <w:rPr>
                <w:rFonts w:eastAsiaTheme="minorEastAsia"/>
                <w:kern w:val="0"/>
                <w:szCs w:val="21"/>
              </w:rPr>
            </w:pPr>
          </w:p>
        </w:tc>
        <w:tc>
          <w:tcPr>
            <w:tcW w:w="327" w:type="pct"/>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数量</w:t>
            </w:r>
          </w:p>
        </w:tc>
        <w:tc>
          <w:tcPr>
            <w:tcW w:w="735" w:type="pct"/>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来源</w:t>
            </w:r>
          </w:p>
        </w:tc>
        <w:tc>
          <w:tcPr>
            <w:tcW w:w="391" w:type="pct"/>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数量</w:t>
            </w:r>
          </w:p>
        </w:tc>
        <w:tc>
          <w:tcPr>
            <w:tcW w:w="518" w:type="pct"/>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去向</w:t>
            </w:r>
          </w:p>
        </w:tc>
        <w:tc>
          <w:tcPr>
            <w:tcW w:w="397" w:type="pct"/>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数量</w:t>
            </w:r>
          </w:p>
        </w:tc>
        <w:tc>
          <w:tcPr>
            <w:tcW w:w="490" w:type="pct"/>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数量</w:t>
            </w:r>
          </w:p>
        </w:tc>
        <w:tc>
          <w:tcPr>
            <w:tcW w:w="411" w:type="pct"/>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去向</w:t>
            </w:r>
          </w:p>
        </w:tc>
      </w:tr>
      <w:tr w:rsidR="009A1ABC" w:rsidRPr="00F9522B" w:rsidTr="00041C73">
        <w:trPr>
          <w:trHeight w:val="396"/>
        </w:trPr>
        <w:tc>
          <w:tcPr>
            <w:tcW w:w="309" w:type="pct"/>
            <w:vAlign w:val="center"/>
          </w:tcPr>
          <w:p w:rsidR="009A1ABC" w:rsidRPr="00F9522B" w:rsidRDefault="009A1ABC">
            <w:pPr>
              <w:widowControl/>
              <w:jc w:val="center"/>
              <w:rPr>
                <w:rFonts w:eastAsiaTheme="minorEastAsia"/>
                <w:kern w:val="0"/>
                <w:szCs w:val="21"/>
              </w:rPr>
            </w:pPr>
            <w:r w:rsidRPr="00F9522B">
              <w:rPr>
                <w:rFonts w:eastAsiaTheme="minorEastAsia"/>
                <w:szCs w:val="21"/>
              </w:rPr>
              <w:t>农田输配电工程</w:t>
            </w:r>
          </w:p>
        </w:tc>
        <w:tc>
          <w:tcPr>
            <w:tcW w:w="400" w:type="pct"/>
            <w:vAlign w:val="center"/>
          </w:tcPr>
          <w:p w:rsidR="009A1ABC" w:rsidRPr="00F9522B" w:rsidRDefault="009A1ABC">
            <w:pPr>
              <w:widowControl/>
              <w:jc w:val="center"/>
              <w:rPr>
                <w:rFonts w:eastAsiaTheme="minorEastAsia"/>
                <w:kern w:val="0"/>
                <w:szCs w:val="21"/>
              </w:rPr>
            </w:pPr>
            <w:r w:rsidRPr="00F9522B">
              <w:rPr>
                <w:rFonts w:eastAsiaTheme="minorEastAsia"/>
                <w:kern w:val="0"/>
                <w:szCs w:val="21"/>
              </w:rPr>
              <w:t>地埋电缆</w:t>
            </w:r>
          </w:p>
        </w:tc>
        <w:tc>
          <w:tcPr>
            <w:tcW w:w="369" w:type="pct"/>
            <w:vAlign w:val="center"/>
          </w:tcPr>
          <w:p w:rsidR="009A1ABC" w:rsidRPr="009A1ABC" w:rsidRDefault="009A1ABC">
            <w:pPr>
              <w:jc w:val="center"/>
              <w:rPr>
                <w:color w:val="FF0000"/>
                <w:szCs w:val="21"/>
              </w:rPr>
            </w:pPr>
            <w:r w:rsidRPr="009A1ABC">
              <w:rPr>
                <w:color w:val="FF0000"/>
                <w:szCs w:val="21"/>
              </w:rPr>
              <w:t>100080.8</w:t>
            </w:r>
          </w:p>
        </w:tc>
        <w:tc>
          <w:tcPr>
            <w:tcW w:w="327" w:type="pct"/>
            <w:vAlign w:val="center"/>
          </w:tcPr>
          <w:p w:rsidR="009A1ABC" w:rsidRPr="009A1ABC" w:rsidRDefault="009A1ABC">
            <w:pPr>
              <w:jc w:val="center"/>
              <w:rPr>
                <w:color w:val="FF0000"/>
                <w:szCs w:val="21"/>
              </w:rPr>
            </w:pPr>
            <w:r w:rsidRPr="009A1ABC">
              <w:rPr>
                <w:color w:val="FF0000"/>
                <w:szCs w:val="21"/>
              </w:rPr>
              <w:t>99875.6</w:t>
            </w:r>
          </w:p>
        </w:tc>
        <w:tc>
          <w:tcPr>
            <w:tcW w:w="326" w:type="pct"/>
            <w:vAlign w:val="center"/>
          </w:tcPr>
          <w:p w:rsidR="009A1ABC" w:rsidRPr="009A1ABC" w:rsidRDefault="009A1ABC">
            <w:pPr>
              <w:jc w:val="center"/>
              <w:rPr>
                <w:color w:val="FF0000"/>
                <w:szCs w:val="21"/>
              </w:rPr>
            </w:pPr>
            <w:r w:rsidRPr="009A1ABC">
              <w:rPr>
                <w:color w:val="FF0000"/>
                <w:szCs w:val="21"/>
              </w:rPr>
              <w:t>99875.6</w:t>
            </w:r>
          </w:p>
        </w:tc>
        <w:tc>
          <w:tcPr>
            <w:tcW w:w="327" w:type="pct"/>
            <w:vAlign w:val="center"/>
          </w:tcPr>
          <w:p w:rsidR="009A1ABC" w:rsidRPr="00F9522B" w:rsidRDefault="009A1ABC">
            <w:pPr>
              <w:jc w:val="center"/>
              <w:rPr>
                <w:rFonts w:eastAsiaTheme="minorEastAsia"/>
                <w:szCs w:val="21"/>
              </w:rPr>
            </w:pPr>
            <w:r w:rsidRPr="00F9522B">
              <w:rPr>
                <w:rFonts w:eastAsiaTheme="minorEastAsia"/>
                <w:szCs w:val="21"/>
              </w:rPr>
              <w:t>0</w:t>
            </w:r>
          </w:p>
        </w:tc>
        <w:tc>
          <w:tcPr>
            <w:tcW w:w="735" w:type="pct"/>
            <w:vAlign w:val="center"/>
          </w:tcPr>
          <w:p w:rsidR="009A1ABC" w:rsidRPr="00F9522B" w:rsidRDefault="009A1ABC">
            <w:pPr>
              <w:jc w:val="center"/>
              <w:rPr>
                <w:rFonts w:eastAsiaTheme="minorEastAsia"/>
                <w:szCs w:val="21"/>
              </w:rPr>
            </w:pPr>
            <w:r w:rsidRPr="00F9522B">
              <w:rPr>
                <w:rFonts w:eastAsiaTheme="minorEastAsia"/>
                <w:szCs w:val="21"/>
              </w:rPr>
              <w:t>/</w:t>
            </w:r>
          </w:p>
        </w:tc>
        <w:tc>
          <w:tcPr>
            <w:tcW w:w="391" w:type="pct"/>
            <w:vAlign w:val="center"/>
          </w:tcPr>
          <w:p w:rsidR="009A1ABC" w:rsidRPr="00F9522B" w:rsidRDefault="009A1ABC">
            <w:pPr>
              <w:jc w:val="center"/>
              <w:rPr>
                <w:rFonts w:eastAsiaTheme="minorEastAsia"/>
                <w:szCs w:val="21"/>
              </w:rPr>
            </w:pPr>
            <w:r w:rsidRPr="00F9522B">
              <w:rPr>
                <w:rFonts w:eastAsiaTheme="minorEastAsia"/>
                <w:szCs w:val="21"/>
              </w:rPr>
              <w:t>205.2</w:t>
            </w:r>
          </w:p>
        </w:tc>
        <w:tc>
          <w:tcPr>
            <w:tcW w:w="518" w:type="pct"/>
            <w:vAlign w:val="center"/>
          </w:tcPr>
          <w:p w:rsidR="009A1ABC" w:rsidRPr="00F9522B" w:rsidRDefault="009A1ABC">
            <w:pPr>
              <w:jc w:val="center"/>
              <w:rPr>
                <w:rFonts w:eastAsiaTheme="minorEastAsia"/>
                <w:szCs w:val="21"/>
              </w:rPr>
            </w:pPr>
            <w:r w:rsidRPr="00F9522B">
              <w:rPr>
                <w:rFonts w:eastAsiaTheme="minorEastAsia"/>
                <w:szCs w:val="21"/>
              </w:rPr>
              <w:t>用于田块整治工程</w:t>
            </w:r>
          </w:p>
        </w:tc>
        <w:tc>
          <w:tcPr>
            <w:tcW w:w="397" w:type="pct"/>
            <w:vAlign w:val="center"/>
          </w:tcPr>
          <w:p w:rsidR="009A1ABC" w:rsidRPr="00F9522B" w:rsidRDefault="009A1ABC">
            <w:pPr>
              <w:jc w:val="center"/>
              <w:rPr>
                <w:rFonts w:eastAsiaTheme="minorEastAsia"/>
                <w:szCs w:val="21"/>
              </w:rPr>
            </w:pPr>
            <w:r w:rsidRPr="00F9522B">
              <w:rPr>
                <w:rFonts w:eastAsiaTheme="minorEastAsia"/>
                <w:szCs w:val="21"/>
              </w:rPr>
              <w:t>205.2</w:t>
            </w:r>
          </w:p>
        </w:tc>
        <w:tc>
          <w:tcPr>
            <w:tcW w:w="490" w:type="pct"/>
            <w:vAlign w:val="center"/>
          </w:tcPr>
          <w:p w:rsidR="009A1ABC" w:rsidRPr="00F9522B" w:rsidRDefault="009A1ABC">
            <w:pPr>
              <w:jc w:val="center"/>
              <w:rPr>
                <w:rFonts w:eastAsiaTheme="minorEastAsia"/>
                <w:szCs w:val="21"/>
              </w:rPr>
            </w:pPr>
            <w:r w:rsidRPr="00F9522B">
              <w:rPr>
                <w:rFonts w:eastAsiaTheme="minorEastAsia"/>
                <w:szCs w:val="21"/>
              </w:rPr>
              <w:t>0</w:t>
            </w:r>
          </w:p>
        </w:tc>
        <w:tc>
          <w:tcPr>
            <w:tcW w:w="411" w:type="pct"/>
            <w:vAlign w:val="center"/>
          </w:tcPr>
          <w:p w:rsidR="009A1ABC" w:rsidRPr="00F9522B" w:rsidRDefault="009A1ABC">
            <w:pPr>
              <w:jc w:val="center"/>
              <w:rPr>
                <w:rFonts w:eastAsiaTheme="minorEastAsia"/>
                <w:szCs w:val="21"/>
              </w:rPr>
            </w:pPr>
            <w:r w:rsidRPr="00F9522B">
              <w:rPr>
                <w:rFonts w:eastAsiaTheme="minorEastAsia"/>
                <w:szCs w:val="21"/>
              </w:rPr>
              <w:t>/</w:t>
            </w:r>
          </w:p>
        </w:tc>
      </w:tr>
      <w:tr w:rsidR="00904296" w:rsidRPr="00F9522B" w:rsidTr="00041C73">
        <w:trPr>
          <w:trHeight w:val="333"/>
        </w:trPr>
        <w:tc>
          <w:tcPr>
            <w:tcW w:w="309" w:type="pct"/>
            <w:vMerge w:val="restart"/>
            <w:vAlign w:val="center"/>
          </w:tcPr>
          <w:p w:rsidR="00904296" w:rsidRPr="00F9522B" w:rsidRDefault="00904296">
            <w:pPr>
              <w:widowControl/>
              <w:jc w:val="center"/>
              <w:rPr>
                <w:rFonts w:eastAsiaTheme="minorEastAsia"/>
                <w:bCs/>
                <w:kern w:val="0"/>
                <w:szCs w:val="21"/>
              </w:rPr>
            </w:pPr>
            <w:r w:rsidRPr="00F9522B">
              <w:rPr>
                <w:rFonts w:eastAsiaTheme="minorEastAsia"/>
                <w:bCs/>
                <w:kern w:val="0"/>
                <w:szCs w:val="21"/>
              </w:rPr>
              <w:t>田间道路工程</w:t>
            </w:r>
          </w:p>
        </w:tc>
        <w:tc>
          <w:tcPr>
            <w:tcW w:w="400" w:type="pct"/>
            <w:vAlign w:val="center"/>
          </w:tcPr>
          <w:p w:rsidR="00904296" w:rsidRPr="00F9522B" w:rsidRDefault="00904296">
            <w:pPr>
              <w:widowControl/>
              <w:jc w:val="center"/>
              <w:rPr>
                <w:rFonts w:eastAsiaTheme="minorEastAsia"/>
                <w:bCs/>
                <w:kern w:val="0"/>
                <w:szCs w:val="21"/>
              </w:rPr>
            </w:pPr>
            <w:r w:rsidRPr="00F9522B">
              <w:rPr>
                <w:rFonts w:eastAsiaTheme="minorEastAsia"/>
                <w:bCs/>
                <w:kern w:val="0"/>
                <w:szCs w:val="21"/>
              </w:rPr>
              <w:t>机耕路</w:t>
            </w:r>
          </w:p>
        </w:tc>
        <w:tc>
          <w:tcPr>
            <w:tcW w:w="369" w:type="pct"/>
            <w:vAlign w:val="center"/>
          </w:tcPr>
          <w:p w:rsidR="00904296" w:rsidRPr="00F9522B" w:rsidRDefault="00625929" w:rsidP="00904296">
            <w:pPr>
              <w:jc w:val="center"/>
              <w:rPr>
                <w:rFonts w:eastAsiaTheme="minorEastAsia"/>
                <w:szCs w:val="21"/>
              </w:rPr>
            </w:pPr>
            <w:r w:rsidRPr="00F9522B">
              <w:rPr>
                <w:rFonts w:eastAsiaTheme="minorEastAsia"/>
                <w:szCs w:val="21"/>
              </w:rPr>
              <w:t>1</w:t>
            </w:r>
            <w:r w:rsidR="00904296" w:rsidRPr="00F9522B">
              <w:rPr>
                <w:rFonts w:eastAsiaTheme="minorEastAsia"/>
                <w:szCs w:val="21"/>
              </w:rPr>
              <w:t>51210</w:t>
            </w:r>
          </w:p>
        </w:tc>
        <w:tc>
          <w:tcPr>
            <w:tcW w:w="327" w:type="pct"/>
            <w:vAlign w:val="center"/>
          </w:tcPr>
          <w:p w:rsidR="00904296" w:rsidRPr="00F9522B" w:rsidRDefault="00625929" w:rsidP="00625929">
            <w:pPr>
              <w:jc w:val="center"/>
              <w:rPr>
                <w:rFonts w:eastAsiaTheme="minorEastAsia"/>
                <w:szCs w:val="21"/>
              </w:rPr>
            </w:pPr>
            <w:r w:rsidRPr="00F9522B">
              <w:rPr>
                <w:rFonts w:eastAsiaTheme="minorEastAsia"/>
                <w:szCs w:val="21"/>
              </w:rPr>
              <w:t>95350</w:t>
            </w:r>
          </w:p>
        </w:tc>
        <w:tc>
          <w:tcPr>
            <w:tcW w:w="326" w:type="pct"/>
            <w:vAlign w:val="center"/>
          </w:tcPr>
          <w:p w:rsidR="00904296" w:rsidRPr="00F9522B" w:rsidRDefault="00625929">
            <w:pPr>
              <w:jc w:val="center"/>
              <w:rPr>
                <w:rFonts w:eastAsiaTheme="minorEastAsia"/>
                <w:szCs w:val="21"/>
              </w:rPr>
            </w:pPr>
            <w:r w:rsidRPr="00F9522B">
              <w:rPr>
                <w:rFonts w:eastAsiaTheme="minorEastAsia"/>
                <w:szCs w:val="21"/>
              </w:rPr>
              <w:t>25</w:t>
            </w:r>
            <w:r w:rsidR="00904296" w:rsidRPr="00F9522B">
              <w:rPr>
                <w:rFonts w:eastAsiaTheme="minorEastAsia"/>
                <w:szCs w:val="21"/>
              </w:rPr>
              <w:t>900</w:t>
            </w:r>
          </w:p>
        </w:tc>
        <w:tc>
          <w:tcPr>
            <w:tcW w:w="327" w:type="pct"/>
            <w:vAlign w:val="center"/>
          </w:tcPr>
          <w:p w:rsidR="00904296" w:rsidRPr="00F9522B" w:rsidRDefault="00625929" w:rsidP="00D302ED">
            <w:pPr>
              <w:jc w:val="center"/>
              <w:rPr>
                <w:rFonts w:eastAsiaTheme="minorEastAsia"/>
                <w:szCs w:val="21"/>
              </w:rPr>
            </w:pPr>
            <w:r w:rsidRPr="00F9522B">
              <w:rPr>
                <w:rFonts w:eastAsiaTheme="minorEastAsia"/>
                <w:szCs w:val="21"/>
              </w:rPr>
              <w:t>69450</w:t>
            </w:r>
          </w:p>
        </w:tc>
        <w:tc>
          <w:tcPr>
            <w:tcW w:w="735" w:type="pct"/>
            <w:vAlign w:val="center"/>
          </w:tcPr>
          <w:p w:rsidR="00904296" w:rsidRPr="00F9522B" w:rsidRDefault="00904296">
            <w:pPr>
              <w:jc w:val="center"/>
              <w:rPr>
                <w:rFonts w:eastAsiaTheme="minorEastAsia"/>
                <w:szCs w:val="21"/>
              </w:rPr>
            </w:pPr>
            <w:r w:rsidRPr="00F9522B">
              <w:rPr>
                <w:rFonts w:eastAsiaTheme="minorEastAsia"/>
                <w:szCs w:val="21"/>
              </w:rPr>
              <w:t>外购</w:t>
            </w:r>
          </w:p>
        </w:tc>
        <w:tc>
          <w:tcPr>
            <w:tcW w:w="391" w:type="pct"/>
            <w:vAlign w:val="center"/>
          </w:tcPr>
          <w:p w:rsidR="00904296" w:rsidRPr="00F9522B" w:rsidRDefault="00904296">
            <w:pPr>
              <w:jc w:val="center"/>
              <w:textAlignment w:val="center"/>
              <w:rPr>
                <w:rFonts w:eastAsiaTheme="minorEastAsia"/>
                <w:szCs w:val="21"/>
              </w:rPr>
            </w:pPr>
            <w:r w:rsidRPr="00F9522B">
              <w:rPr>
                <w:rFonts w:eastAsiaTheme="minorEastAsia"/>
                <w:szCs w:val="21"/>
              </w:rPr>
              <w:t>0</w:t>
            </w:r>
          </w:p>
        </w:tc>
        <w:tc>
          <w:tcPr>
            <w:tcW w:w="518" w:type="pct"/>
            <w:vAlign w:val="center"/>
          </w:tcPr>
          <w:p w:rsidR="00904296" w:rsidRPr="00F9522B" w:rsidRDefault="00167709">
            <w:pPr>
              <w:jc w:val="center"/>
              <w:textAlignment w:val="center"/>
              <w:rPr>
                <w:rFonts w:eastAsiaTheme="minorEastAsia"/>
                <w:szCs w:val="21"/>
              </w:rPr>
            </w:pPr>
            <w:r w:rsidRPr="00F9522B">
              <w:rPr>
                <w:rFonts w:eastAsiaTheme="minorEastAsia"/>
                <w:szCs w:val="21"/>
              </w:rPr>
              <w:t>/</w:t>
            </w:r>
          </w:p>
        </w:tc>
        <w:tc>
          <w:tcPr>
            <w:tcW w:w="397" w:type="pct"/>
            <w:vAlign w:val="center"/>
          </w:tcPr>
          <w:p w:rsidR="00904296" w:rsidRPr="00F9522B" w:rsidRDefault="00904296">
            <w:pPr>
              <w:jc w:val="center"/>
              <w:textAlignment w:val="center"/>
              <w:rPr>
                <w:rFonts w:eastAsiaTheme="minorEastAsia"/>
                <w:szCs w:val="21"/>
              </w:rPr>
            </w:pPr>
            <w:r w:rsidRPr="00F9522B">
              <w:rPr>
                <w:rFonts w:eastAsiaTheme="minorEastAsia"/>
                <w:szCs w:val="21"/>
              </w:rPr>
              <w:t>0</w:t>
            </w:r>
          </w:p>
        </w:tc>
        <w:tc>
          <w:tcPr>
            <w:tcW w:w="490" w:type="pct"/>
            <w:vAlign w:val="center"/>
          </w:tcPr>
          <w:p w:rsidR="00904296" w:rsidRPr="00F9522B" w:rsidRDefault="00625929">
            <w:pPr>
              <w:jc w:val="center"/>
              <w:textAlignment w:val="center"/>
              <w:rPr>
                <w:rFonts w:eastAsiaTheme="minorEastAsia"/>
                <w:szCs w:val="21"/>
              </w:rPr>
            </w:pPr>
            <w:r w:rsidRPr="00F9522B">
              <w:rPr>
                <w:rFonts w:eastAsiaTheme="minorEastAsia"/>
                <w:szCs w:val="21"/>
              </w:rPr>
              <w:t>125310</w:t>
            </w:r>
          </w:p>
        </w:tc>
        <w:tc>
          <w:tcPr>
            <w:tcW w:w="411" w:type="pct"/>
            <w:vMerge w:val="restart"/>
            <w:vAlign w:val="center"/>
          </w:tcPr>
          <w:p w:rsidR="00904296" w:rsidRPr="00F9522B" w:rsidRDefault="00904296">
            <w:pPr>
              <w:jc w:val="center"/>
              <w:rPr>
                <w:rFonts w:eastAsiaTheme="minorEastAsia"/>
                <w:szCs w:val="21"/>
              </w:rPr>
            </w:pPr>
            <w:r w:rsidRPr="00F9522B">
              <w:rPr>
                <w:rFonts w:eastAsiaTheme="minorEastAsia"/>
                <w:szCs w:val="21"/>
              </w:rPr>
              <w:t>建筑公司回用</w:t>
            </w:r>
          </w:p>
        </w:tc>
      </w:tr>
      <w:tr w:rsidR="00904296" w:rsidRPr="00F9522B" w:rsidTr="00041C73">
        <w:trPr>
          <w:trHeight w:val="352"/>
        </w:trPr>
        <w:tc>
          <w:tcPr>
            <w:tcW w:w="309" w:type="pct"/>
            <w:vMerge/>
            <w:vAlign w:val="center"/>
          </w:tcPr>
          <w:p w:rsidR="00904296" w:rsidRPr="00F9522B" w:rsidRDefault="00904296">
            <w:pPr>
              <w:widowControl/>
              <w:jc w:val="center"/>
              <w:rPr>
                <w:rFonts w:eastAsiaTheme="minorEastAsia"/>
                <w:bCs/>
                <w:kern w:val="0"/>
                <w:szCs w:val="21"/>
              </w:rPr>
            </w:pPr>
          </w:p>
        </w:tc>
        <w:tc>
          <w:tcPr>
            <w:tcW w:w="400" w:type="pct"/>
            <w:vAlign w:val="center"/>
          </w:tcPr>
          <w:p w:rsidR="00904296" w:rsidRPr="00F9522B" w:rsidRDefault="00904296">
            <w:pPr>
              <w:widowControl/>
              <w:jc w:val="center"/>
              <w:rPr>
                <w:rFonts w:eastAsiaTheme="minorEastAsia"/>
                <w:bCs/>
                <w:kern w:val="0"/>
                <w:szCs w:val="21"/>
              </w:rPr>
            </w:pPr>
            <w:r w:rsidRPr="00F9522B">
              <w:rPr>
                <w:rFonts w:eastAsiaTheme="minorEastAsia"/>
                <w:bCs/>
                <w:kern w:val="0"/>
                <w:szCs w:val="21"/>
              </w:rPr>
              <w:t>生产路</w:t>
            </w:r>
          </w:p>
        </w:tc>
        <w:tc>
          <w:tcPr>
            <w:tcW w:w="369" w:type="pct"/>
            <w:vAlign w:val="center"/>
          </w:tcPr>
          <w:p w:rsidR="00904296" w:rsidRPr="00F9522B" w:rsidRDefault="00625929" w:rsidP="00904296">
            <w:pPr>
              <w:jc w:val="center"/>
              <w:rPr>
                <w:rFonts w:eastAsiaTheme="minorEastAsia"/>
                <w:szCs w:val="21"/>
              </w:rPr>
            </w:pPr>
            <w:r w:rsidRPr="00F9522B">
              <w:rPr>
                <w:rFonts w:eastAsiaTheme="minorEastAsia"/>
                <w:szCs w:val="21"/>
              </w:rPr>
              <w:t>1</w:t>
            </w:r>
            <w:r w:rsidR="00904296" w:rsidRPr="00F9522B">
              <w:rPr>
                <w:rFonts w:eastAsiaTheme="minorEastAsia"/>
                <w:szCs w:val="21"/>
              </w:rPr>
              <w:t>05000</w:t>
            </w:r>
          </w:p>
        </w:tc>
        <w:tc>
          <w:tcPr>
            <w:tcW w:w="327" w:type="pct"/>
            <w:vAlign w:val="center"/>
          </w:tcPr>
          <w:p w:rsidR="00904296" w:rsidRPr="00F9522B" w:rsidRDefault="00625929" w:rsidP="00904296">
            <w:pPr>
              <w:jc w:val="center"/>
              <w:rPr>
                <w:rFonts w:eastAsiaTheme="minorEastAsia"/>
                <w:szCs w:val="21"/>
              </w:rPr>
            </w:pPr>
            <w:r w:rsidRPr="00F9522B">
              <w:rPr>
                <w:rFonts w:eastAsiaTheme="minorEastAsia"/>
                <w:bCs/>
                <w:szCs w:val="21"/>
              </w:rPr>
              <w:t>1</w:t>
            </w:r>
            <w:r w:rsidR="00904296" w:rsidRPr="00F9522B">
              <w:rPr>
                <w:rFonts w:eastAsiaTheme="minorEastAsia"/>
                <w:bCs/>
                <w:szCs w:val="21"/>
              </w:rPr>
              <w:t>16800</w:t>
            </w:r>
          </w:p>
        </w:tc>
        <w:tc>
          <w:tcPr>
            <w:tcW w:w="326" w:type="pct"/>
            <w:vAlign w:val="center"/>
          </w:tcPr>
          <w:p w:rsidR="00904296" w:rsidRPr="00F9522B" w:rsidRDefault="00560FEE">
            <w:pPr>
              <w:jc w:val="center"/>
              <w:rPr>
                <w:rFonts w:eastAsiaTheme="minorEastAsia"/>
                <w:szCs w:val="21"/>
              </w:rPr>
            </w:pPr>
            <w:r w:rsidRPr="00F9522B">
              <w:rPr>
                <w:rFonts w:eastAsiaTheme="minorEastAsia"/>
                <w:szCs w:val="21"/>
              </w:rPr>
              <w:t>2</w:t>
            </w:r>
            <w:r w:rsidR="00904296" w:rsidRPr="00F9522B">
              <w:rPr>
                <w:rFonts w:eastAsiaTheme="minorEastAsia"/>
                <w:szCs w:val="21"/>
              </w:rPr>
              <w:t>7020</w:t>
            </w:r>
          </w:p>
        </w:tc>
        <w:tc>
          <w:tcPr>
            <w:tcW w:w="327" w:type="pct"/>
            <w:vAlign w:val="center"/>
          </w:tcPr>
          <w:p w:rsidR="00904296" w:rsidRPr="00F9522B" w:rsidRDefault="00560FEE" w:rsidP="00D302ED">
            <w:pPr>
              <w:jc w:val="center"/>
              <w:rPr>
                <w:rFonts w:eastAsiaTheme="minorEastAsia"/>
                <w:szCs w:val="21"/>
              </w:rPr>
            </w:pPr>
            <w:r w:rsidRPr="00F9522B">
              <w:rPr>
                <w:rFonts w:eastAsiaTheme="minorEastAsia"/>
                <w:szCs w:val="21"/>
              </w:rPr>
              <w:t>89780</w:t>
            </w:r>
          </w:p>
        </w:tc>
        <w:tc>
          <w:tcPr>
            <w:tcW w:w="735" w:type="pct"/>
            <w:vAlign w:val="center"/>
          </w:tcPr>
          <w:p w:rsidR="00904296" w:rsidRPr="00F9522B" w:rsidRDefault="00904296">
            <w:pPr>
              <w:jc w:val="center"/>
              <w:rPr>
                <w:rFonts w:eastAsiaTheme="minorEastAsia"/>
                <w:szCs w:val="21"/>
              </w:rPr>
            </w:pPr>
            <w:r w:rsidRPr="00F9522B">
              <w:rPr>
                <w:rFonts w:eastAsiaTheme="minorEastAsia"/>
                <w:szCs w:val="21"/>
              </w:rPr>
              <w:t>外购</w:t>
            </w:r>
          </w:p>
        </w:tc>
        <w:tc>
          <w:tcPr>
            <w:tcW w:w="391" w:type="pct"/>
            <w:vAlign w:val="center"/>
          </w:tcPr>
          <w:p w:rsidR="00904296" w:rsidRPr="00F9522B" w:rsidRDefault="00904296">
            <w:pPr>
              <w:jc w:val="center"/>
              <w:textAlignment w:val="center"/>
              <w:rPr>
                <w:rFonts w:eastAsiaTheme="minorEastAsia"/>
                <w:szCs w:val="21"/>
              </w:rPr>
            </w:pPr>
            <w:r w:rsidRPr="00F9522B">
              <w:rPr>
                <w:rFonts w:eastAsiaTheme="minorEastAsia"/>
                <w:szCs w:val="21"/>
              </w:rPr>
              <w:t>12239.3</w:t>
            </w:r>
          </w:p>
        </w:tc>
        <w:tc>
          <w:tcPr>
            <w:tcW w:w="518" w:type="pct"/>
            <w:vAlign w:val="center"/>
          </w:tcPr>
          <w:p w:rsidR="00904296" w:rsidRPr="00F9522B" w:rsidRDefault="00167709">
            <w:pPr>
              <w:jc w:val="center"/>
              <w:textAlignment w:val="center"/>
              <w:rPr>
                <w:rFonts w:eastAsiaTheme="minorEastAsia"/>
                <w:szCs w:val="21"/>
              </w:rPr>
            </w:pPr>
            <w:r w:rsidRPr="00F9522B">
              <w:rPr>
                <w:rFonts w:eastAsiaTheme="minorEastAsia"/>
                <w:szCs w:val="21"/>
              </w:rPr>
              <w:t>用于田块整治工程</w:t>
            </w:r>
          </w:p>
        </w:tc>
        <w:tc>
          <w:tcPr>
            <w:tcW w:w="397" w:type="pct"/>
            <w:vAlign w:val="center"/>
          </w:tcPr>
          <w:p w:rsidR="00904296" w:rsidRPr="00F9522B" w:rsidRDefault="00904296">
            <w:pPr>
              <w:jc w:val="center"/>
              <w:textAlignment w:val="center"/>
              <w:rPr>
                <w:rFonts w:eastAsiaTheme="minorEastAsia"/>
                <w:szCs w:val="21"/>
              </w:rPr>
            </w:pPr>
            <w:r w:rsidRPr="00F9522B">
              <w:rPr>
                <w:rFonts w:eastAsiaTheme="minorEastAsia"/>
                <w:szCs w:val="21"/>
              </w:rPr>
              <w:t>12239.3</w:t>
            </w:r>
          </w:p>
        </w:tc>
        <w:tc>
          <w:tcPr>
            <w:tcW w:w="490" w:type="pct"/>
            <w:vAlign w:val="center"/>
          </w:tcPr>
          <w:p w:rsidR="00904296" w:rsidRPr="00F9522B" w:rsidRDefault="00560FEE">
            <w:pPr>
              <w:jc w:val="center"/>
              <w:textAlignment w:val="center"/>
              <w:rPr>
                <w:rFonts w:eastAsiaTheme="minorEastAsia"/>
                <w:szCs w:val="21"/>
              </w:rPr>
            </w:pPr>
            <w:r w:rsidRPr="00F9522B">
              <w:rPr>
                <w:rFonts w:eastAsiaTheme="minorEastAsia"/>
                <w:szCs w:val="21"/>
              </w:rPr>
              <w:t>65740.7</w:t>
            </w:r>
          </w:p>
        </w:tc>
        <w:tc>
          <w:tcPr>
            <w:tcW w:w="411" w:type="pct"/>
            <w:vMerge/>
            <w:vAlign w:val="center"/>
          </w:tcPr>
          <w:p w:rsidR="00904296" w:rsidRPr="00F9522B" w:rsidRDefault="00904296">
            <w:pPr>
              <w:jc w:val="center"/>
              <w:rPr>
                <w:rFonts w:eastAsiaTheme="minorEastAsia"/>
                <w:szCs w:val="21"/>
              </w:rPr>
            </w:pPr>
          </w:p>
        </w:tc>
      </w:tr>
      <w:tr w:rsidR="002A5A5E" w:rsidRPr="00F9522B" w:rsidTr="00041C73">
        <w:trPr>
          <w:trHeight w:val="357"/>
        </w:trPr>
        <w:tc>
          <w:tcPr>
            <w:tcW w:w="309" w:type="pct"/>
            <w:vMerge w:val="restart"/>
            <w:vAlign w:val="center"/>
          </w:tcPr>
          <w:p w:rsidR="002A5A5E" w:rsidRPr="00F9522B" w:rsidRDefault="00611CBA">
            <w:pPr>
              <w:widowControl/>
              <w:jc w:val="center"/>
              <w:rPr>
                <w:rFonts w:eastAsiaTheme="minorEastAsia"/>
                <w:kern w:val="0"/>
                <w:szCs w:val="21"/>
              </w:rPr>
            </w:pPr>
            <w:r w:rsidRPr="00F9522B">
              <w:rPr>
                <w:rFonts w:eastAsiaTheme="minorEastAsia"/>
                <w:szCs w:val="21"/>
              </w:rPr>
              <w:t>灌溉与排水工程</w:t>
            </w:r>
          </w:p>
        </w:tc>
        <w:tc>
          <w:tcPr>
            <w:tcW w:w="400" w:type="pct"/>
            <w:vAlign w:val="center"/>
          </w:tcPr>
          <w:p w:rsidR="002A5A5E" w:rsidRPr="00F9522B" w:rsidRDefault="00611CBA">
            <w:pPr>
              <w:widowControl/>
              <w:jc w:val="center"/>
              <w:rPr>
                <w:rFonts w:eastAsiaTheme="minorEastAsia"/>
                <w:szCs w:val="21"/>
              </w:rPr>
            </w:pPr>
            <w:r w:rsidRPr="00F9522B">
              <w:rPr>
                <w:rFonts w:eastAsiaTheme="minorEastAsia"/>
                <w:szCs w:val="21"/>
              </w:rPr>
              <w:t>灌溉井</w:t>
            </w:r>
          </w:p>
        </w:tc>
        <w:tc>
          <w:tcPr>
            <w:tcW w:w="369" w:type="pct"/>
            <w:vAlign w:val="center"/>
          </w:tcPr>
          <w:p w:rsidR="002A5A5E" w:rsidRPr="00F9522B" w:rsidRDefault="00783B46">
            <w:pPr>
              <w:jc w:val="center"/>
              <w:rPr>
                <w:rFonts w:eastAsiaTheme="minorEastAsia"/>
                <w:szCs w:val="21"/>
              </w:rPr>
            </w:pPr>
            <w:r w:rsidRPr="00F9522B">
              <w:rPr>
                <w:rFonts w:eastAsiaTheme="minorEastAsia"/>
                <w:szCs w:val="21"/>
              </w:rPr>
              <w:t>5280.8</w:t>
            </w:r>
          </w:p>
        </w:tc>
        <w:tc>
          <w:tcPr>
            <w:tcW w:w="327" w:type="pct"/>
            <w:vAlign w:val="center"/>
          </w:tcPr>
          <w:p w:rsidR="002A5A5E" w:rsidRPr="00F9522B" w:rsidRDefault="00783B46">
            <w:pPr>
              <w:jc w:val="center"/>
              <w:rPr>
                <w:rFonts w:eastAsiaTheme="minorEastAsia"/>
                <w:szCs w:val="21"/>
              </w:rPr>
            </w:pPr>
            <w:r w:rsidRPr="00F9522B">
              <w:rPr>
                <w:rFonts w:eastAsiaTheme="minorEastAsia"/>
                <w:szCs w:val="21"/>
              </w:rPr>
              <w:t>4968</w:t>
            </w:r>
          </w:p>
        </w:tc>
        <w:tc>
          <w:tcPr>
            <w:tcW w:w="326" w:type="pct"/>
            <w:vAlign w:val="center"/>
          </w:tcPr>
          <w:p w:rsidR="002A5A5E" w:rsidRPr="00F9522B" w:rsidRDefault="00783B46" w:rsidP="00783B46">
            <w:pPr>
              <w:jc w:val="center"/>
              <w:rPr>
                <w:rFonts w:eastAsiaTheme="minorEastAsia"/>
                <w:szCs w:val="21"/>
              </w:rPr>
            </w:pPr>
            <w:r w:rsidRPr="00F9522B">
              <w:rPr>
                <w:rFonts w:eastAsiaTheme="minorEastAsia"/>
                <w:szCs w:val="21"/>
              </w:rPr>
              <w:t>4658</w:t>
            </w:r>
          </w:p>
        </w:tc>
        <w:tc>
          <w:tcPr>
            <w:tcW w:w="327" w:type="pct"/>
            <w:vAlign w:val="center"/>
          </w:tcPr>
          <w:p w:rsidR="002A5A5E" w:rsidRPr="00F9522B" w:rsidRDefault="00783B46">
            <w:pPr>
              <w:jc w:val="center"/>
              <w:rPr>
                <w:rFonts w:eastAsiaTheme="minorEastAsia"/>
                <w:szCs w:val="21"/>
              </w:rPr>
            </w:pPr>
            <w:r w:rsidRPr="00F9522B">
              <w:rPr>
                <w:rFonts w:eastAsiaTheme="minorEastAsia"/>
                <w:szCs w:val="21"/>
              </w:rPr>
              <w:t>310</w:t>
            </w:r>
          </w:p>
        </w:tc>
        <w:tc>
          <w:tcPr>
            <w:tcW w:w="735" w:type="pct"/>
            <w:vAlign w:val="center"/>
          </w:tcPr>
          <w:p w:rsidR="002A5A5E" w:rsidRPr="00F9522B" w:rsidRDefault="00611CBA">
            <w:pPr>
              <w:jc w:val="center"/>
              <w:rPr>
                <w:rFonts w:eastAsiaTheme="minorEastAsia"/>
                <w:szCs w:val="21"/>
              </w:rPr>
            </w:pPr>
            <w:r w:rsidRPr="00F9522B">
              <w:rPr>
                <w:rFonts w:eastAsiaTheme="minorEastAsia"/>
                <w:szCs w:val="21"/>
              </w:rPr>
              <w:t>外购</w:t>
            </w:r>
          </w:p>
        </w:tc>
        <w:tc>
          <w:tcPr>
            <w:tcW w:w="391" w:type="pct"/>
            <w:vAlign w:val="center"/>
          </w:tcPr>
          <w:p w:rsidR="002A5A5E" w:rsidRPr="00F9522B" w:rsidRDefault="00024747">
            <w:pPr>
              <w:jc w:val="center"/>
              <w:rPr>
                <w:rFonts w:eastAsiaTheme="minorEastAsia"/>
                <w:szCs w:val="21"/>
              </w:rPr>
            </w:pPr>
            <w:r w:rsidRPr="00F9522B">
              <w:rPr>
                <w:rFonts w:eastAsiaTheme="minorEastAsia"/>
                <w:szCs w:val="21"/>
              </w:rPr>
              <w:t>622.8</w:t>
            </w:r>
          </w:p>
        </w:tc>
        <w:tc>
          <w:tcPr>
            <w:tcW w:w="518" w:type="pct"/>
            <w:vAlign w:val="center"/>
          </w:tcPr>
          <w:p w:rsidR="002A5A5E" w:rsidRPr="00F9522B" w:rsidRDefault="00611CBA">
            <w:pPr>
              <w:jc w:val="center"/>
              <w:rPr>
                <w:rFonts w:eastAsiaTheme="minorEastAsia"/>
                <w:szCs w:val="21"/>
              </w:rPr>
            </w:pPr>
            <w:r w:rsidRPr="00F9522B">
              <w:rPr>
                <w:rFonts w:eastAsiaTheme="minorEastAsia"/>
                <w:szCs w:val="21"/>
              </w:rPr>
              <w:t>用于田块整治工程</w:t>
            </w:r>
          </w:p>
        </w:tc>
        <w:tc>
          <w:tcPr>
            <w:tcW w:w="397" w:type="pct"/>
            <w:vAlign w:val="center"/>
          </w:tcPr>
          <w:p w:rsidR="002A5A5E" w:rsidRPr="00F9522B" w:rsidRDefault="00024747">
            <w:pPr>
              <w:jc w:val="center"/>
              <w:rPr>
                <w:rFonts w:eastAsiaTheme="minorEastAsia"/>
                <w:szCs w:val="21"/>
              </w:rPr>
            </w:pPr>
            <w:r w:rsidRPr="00F9522B">
              <w:rPr>
                <w:rFonts w:eastAsiaTheme="minorEastAsia"/>
                <w:szCs w:val="21"/>
              </w:rPr>
              <w:t>622.8</w:t>
            </w:r>
          </w:p>
        </w:tc>
        <w:tc>
          <w:tcPr>
            <w:tcW w:w="490" w:type="pct"/>
            <w:vAlign w:val="center"/>
          </w:tcPr>
          <w:p w:rsidR="002A5A5E" w:rsidRPr="00F9522B" w:rsidRDefault="00611CBA">
            <w:pPr>
              <w:jc w:val="center"/>
              <w:rPr>
                <w:rFonts w:eastAsiaTheme="minorEastAsia"/>
                <w:szCs w:val="21"/>
              </w:rPr>
            </w:pPr>
            <w:r w:rsidRPr="00F9522B">
              <w:rPr>
                <w:rFonts w:eastAsiaTheme="minorEastAsia"/>
                <w:szCs w:val="21"/>
              </w:rPr>
              <w:t>0</w:t>
            </w:r>
          </w:p>
        </w:tc>
        <w:tc>
          <w:tcPr>
            <w:tcW w:w="411" w:type="pct"/>
            <w:vAlign w:val="center"/>
          </w:tcPr>
          <w:p w:rsidR="002A5A5E" w:rsidRPr="00F9522B" w:rsidRDefault="00611CBA">
            <w:pPr>
              <w:jc w:val="center"/>
              <w:rPr>
                <w:rFonts w:eastAsiaTheme="minorEastAsia"/>
                <w:szCs w:val="21"/>
              </w:rPr>
            </w:pPr>
            <w:r w:rsidRPr="00F9522B">
              <w:rPr>
                <w:rFonts w:eastAsiaTheme="minorEastAsia"/>
                <w:szCs w:val="21"/>
              </w:rPr>
              <w:t>/</w:t>
            </w:r>
          </w:p>
        </w:tc>
      </w:tr>
      <w:tr w:rsidR="002A5A5E" w:rsidRPr="00F9522B" w:rsidTr="00041C73">
        <w:trPr>
          <w:trHeight w:val="373"/>
        </w:trPr>
        <w:tc>
          <w:tcPr>
            <w:tcW w:w="309" w:type="pct"/>
            <w:vMerge/>
            <w:vAlign w:val="center"/>
          </w:tcPr>
          <w:p w:rsidR="002A5A5E" w:rsidRPr="00F9522B" w:rsidRDefault="002A5A5E">
            <w:pPr>
              <w:widowControl/>
              <w:jc w:val="center"/>
              <w:rPr>
                <w:rFonts w:eastAsiaTheme="minorEastAsia"/>
                <w:szCs w:val="21"/>
              </w:rPr>
            </w:pPr>
          </w:p>
        </w:tc>
        <w:tc>
          <w:tcPr>
            <w:tcW w:w="400" w:type="pct"/>
            <w:vAlign w:val="center"/>
          </w:tcPr>
          <w:p w:rsidR="002A5A5E" w:rsidRPr="00F9522B" w:rsidRDefault="00611CBA">
            <w:pPr>
              <w:widowControl/>
              <w:jc w:val="center"/>
              <w:rPr>
                <w:rFonts w:eastAsiaTheme="minorEastAsia"/>
                <w:szCs w:val="21"/>
              </w:rPr>
            </w:pPr>
            <w:r w:rsidRPr="00F9522B">
              <w:rPr>
                <w:rFonts w:eastAsiaTheme="minorEastAsia"/>
                <w:szCs w:val="21"/>
              </w:rPr>
              <w:t>建筑物</w:t>
            </w:r>
          </w:p>
        </w:tc>
        <w:tc>
          <w:tcPr>
            <w:tcW w:w="369" w:type="pct"/>
            <w:vAlign w:val="center"/>
          </w:tcPr>
          <w:p w:rsidR="002A5A5E" w:rsidRPr="00F9522B" w:rsidRDefault="009E5FD9" w:rsidP="009E5FD9">
            <w:pPr>
              <w:jc w:val="center"/>
              <w:rPr>
                <w:rFonts w:eastAsiaTheme="minorEastAsia"/>
                <w:szCs w:val="21"/>
              </w:rPr>
            </w:pPr>
            <w:r w:rsidRPr="00F9522B">
              <w:rPr>
                <w:rFonts w:eastAsiaTheme="minorEastAsia"/>
                <w:szCs w:val="21"/>
              </w:rPr>
              <w:t>16780</w:t>
            </w:r>
          </w:p>
        </w:tc>
        <w:tc>
          <w:tcPr>
            <w:tcW w:w="327" w:type="pct"/>
            <w:vAlign w:val="center"/>
          </w:tcPr>
          <w:p w:rsidR="002A5A5E" w:rsidRPr="00F9522B" w:rsidRDefault="00611CBA" w:rsidP="009E5FD9">
            <w:pPr>
              <w:jc w:val="center"/>
              <w:rPr>
                <w:rFonts w:eastAsiaTheme="minorEastAsia"/>
                <w:szCs w:val="21"/>
              </w:rPr>
            </w:pPr>
            <w:r w:rsidRPr="00F9522B">
              <w:rPr>
                <w:rFonts w:eastAsiaTheme="minorEastAsia"/>
                <w:szCs w:val="21"/>
              </w:rPr>
              <w:t>17</w:t>
            </w:r>
            <w:r w:rsidR="009E5FD9" w:rsidRPr="00F9522B">
              <w:rPr>
                <w:rFonts w:eastAsiaTheme="minorEastAsia"/>
                <w:szCs w:val="21"/>
              </w:rPr>
              <w:t>8</w:t>
            </w:r>
            <w:r w:rsidRPr="00F9522B">
              <w:rPr>
                <w:rFonts w:eastAsiaTheme="minorEastAsia"/>
                <w:szCs w:val="21"/>
              </w:rPr>
              <w:t>500</w:t>
            </w:r>
          </w:p>
        </w:tc>
        <w:tc>
          <w:tcPr>
            <w:tcW w:w="326" w:type="pct"/>
            <w:vAlign w:val="center"/>
          </w:tcPr>
          <w:p w:rsidR="002A5A5E" w:rsidRPr="00F9522B" w:rsidRDefault="009E5FD9">
            <w:pPr>
              <w:jc w:val="center"/>
              <w:rPr>
                <w:rFonts w:eastAsiaTheme="minorEastAsia"/>
                <w:szCs w:val="21"/>
              </w:rPr>
            </w:pPr>
            <w:r w:rsidRPr="00F9522B">
              <w:rPr>
                <w:rFonts w:eastAsiaTheme="minorEastAsia"/>
                <w:szCs w:val="21"/>
              </w:rPr>
              <w:t>140</w:t>
            </w:r>
            <w:r w:rsidR="00611CBA" w:rsidRPr="00F9522B">
              <w:rPr>
                <w:rFonts w:eastAsiaTheme="minorEastAsia"/>
                <w:szCs w:val="21"/>
              </w:rPr>
              <w:t>30</w:t>
            </w:r>
          </w:p>
        </w:tc>
        <w:tc>
          <w:tcPr>
            <w:tcW w:w="327" w:type="pct"/>
            <w:vAlign w:val="center"/>
          </w:tcPr>
          <w:p w:rsidR="002A5A5E" w:rsidRPr="00F9522B" w:rsidRDefault="00611CBA" w:rsidP="009E5FD9">
            <w:pPr>
              <w:jc w:val="center"/>
              <w:rPr>
                <w:rFonts w:eastAsiaTheme="minorEastAsia"/>
                <w:szCs w:val="21"/>
              </w:rPr>
            </w:pPr>
            <w:r w:rsidRPr="00F9522B">
              <w:rPr>
                <w:rFonts w:eastAsiaTheme="minorEastAsia"/>
                <w:szCs w:val="21"/>
              </w:rPr>
              <w:t>16</w:t>
            </w:r>
            <w:r w:rsidR="009E5FD9" w:rsidRPr="00F9522B">
              <w:rPr>
                <w:rFonts w:eastAsiaTheme="minorEastAsia"/>
                <w:szCs w:val="21"/>
              </w:rPr>
              <w:t>4</w:t>
            </w:r>
            <w:r w:rsidR="00812183" w:rsidRPr="00F9522B">
              <w:rPr>
                <w:rFonts w:eastAsiaTheme="minorEastAsia"/>
                <w:szCs w:val="21"/>
              </w:rPr>
              <w:t>4</w:t>
            </w:r>
            <w:r w:rsidR="009E5FD9" w:rsidRPr="00F9522B">
              <w:rPr>
                <w:rFonts w:eastAsiaTheme="minorEastAsia"/>
                <w:szCs w:val="21"/>
              </w:rPr>
              <w:t>70</w:t>
            </w:r>
          </w:p>
        </w:tc>
        <w:tc>
          <w:tcPr>
            <w:tcW w:w="735" w:type="pct"/>
            <w:vAlign w:val="center"/>
          </w:tcPr>
          <w:p w:rsidR="002A5A5E" w:rsidRPr="00F9522B" w:rsidRDefault="00611CBA">
            <w:pPr>
              <w:jc w:val="center"/>
              <w:rPr>
                <w:rFonts w:eastAsiaTheme="minorEastAsia"/>
                <w:szCs w:val="21"/>
              </w:rPr>
            </w:pPr>
            <w:r w:rsidRPr="00F9522B">
              <w:rPr>
                <w:rFonts w:eastAsiaTheme="minorEastAsia"/>
                <w:szCs w:val="21"/>
              </w:rPr>
              <w:t>外购</w:t>
            </w:r>
          </w:p>
        </w:tc>
        <w:tc>
          <w:tcPr>
            <w:tcW w:w="391" w:type="pct"/>
            <w:vAlign w:val="center"/>
          </w:tcPr>
          <w:p w:rsidR="002A5A5E" w:rsidRPr="00F9522B" w:rsidRDefault="00024747">
            <w:pPr>
              <w:jc w:val="center"/>
              <w:rPr>
                <w:rFonts w:eastAsiaTheme="minorEastAsia"/>
                <w:szCs w:val="21"/>
              </w:rPr>
            </w:pPr>
            <w:r w:rsidRPr="00F9522B">
              <w:rPr>
                <w:rFonts w:eastAsiaTheme="minorEastAsia"/>
                <w:szCs w:val="21"/>
              </w:rPr>
              <w:t>1950</w:t>
            </w:r>
          </w:p>
        </w:tc>
        <w:tc>
          <w:tcPr>
            <w:tcW w:w="518" w:type="pct"/>
            <w:vAlign w:val="center"/>
          </w:tcPr>
          <w:p w:rsidR="002A5A5E" w:rsidRPr="00F9522B" w:rsidRDefault="00611CBA">
            <w:pPr>
              <w:jc w:val="center"/>
              <w:rPr>
                <w:rFonts w:eastAsiaTheme="minorEastAsia"/>
                <w:szCs w:val="21"/>
              </w:rPr>
            </w:pPr>
            <w:r w:rsidRPr="00F9522B">
              <w:rPr>
                <w:rFonts w:eastAsiaTheme="minorEastAsia"/>
                <w:szCs w:val="21"/>
              </w:rPr>
              <w:t>用于田块整治工程</w:t>
            </w:r>
          </w:p>
        </w:tc>
        <w:tc>
          <w:tcPr>
            <w:tcW w:w="397" w:type="pct"/>
            <w:vAlign w:val="center"/>
          </w:tcPr>
          <w:p w:rsidR="002A5A5E" w:rsidRPr="00F9522B" w:rsidRDefault="00024747">
            <w:pPr>
              <w:jc w:val="center"/>
              <w:rPr>
                <w:rFonts w:eastAsiaTheme="minorEastAsia"/>
                <w:szCs w:val="21"/>
              </w:rPr>
            </w:pPr>
            <w:r w:rsidRPr="00F9522B">
              <w:rPr>
                <w:rFonts w:eastAsiaTheme="minorEastAsia"/>
                <w:szCs w:val="21"/>
              </w:rPr>
              <w:t>1950</w:t>
            </w:r>
          </w:p>
        </w:tc>
        <w:tc>
          <w:tcPr>
            <w:tcW w:w="490" w:type="pct"/>
            <w:vAlign w:val="center"/>
          </w:tcPr>
          <w:p w:rsidR="002A5A5E" w:rsidRPr="00F9522B" w:rsidRDefault="00024747">
            <w:pPr>
              <w:jc w:val="center"/>
              <w:rPr>
                <w:rFonts w:eastAsiaTheme="minorEastAsia"/>
                <w:szCs w:val="21"/>
              </w:rPr>
            </w:pPr>
            <w:r w:rsidRPr="00F9522B">
              <w:rPr>
                <w:rFonts w:eastAsiaTheme="minorEastAsia"/>
                <w:szCs w:val="21"/>
              </w:rPr>
              <w:t>8</w:t>
            </w:r>
            <w:r w:rsidR="00611CBA" w:rsidRPr="00F9522B">
              <w:rPr>
                <w:rFonts w:eastAsiaTheme="minorEastAsia"/>
                <w:szCs w:val="21"/>
              </w:rPr>
              <w:t>00</w:t>
            </w:r>
          </w:p>
        </w:tc>
        <w:tc>
          <w:tcPr>
            <w:tcW w:w="411" w:type="pct"/>
            <w:vAlign w:val="center"/>
          </w:tcPr>
          <w:p w:rsidR="002A5A5E" w:rsidRPr="00F9522B" w:rsidRDefault="00611CBA">
            <w:pPr>
              <w:jc w:val="center"/>
              <w:rPr>
                <w:rFonts w:eastAsiaTheme="minorEastAsia"/>
                <w:szCs w:val="21"/>
              </w:rPr>
            </w:pPr>
            <w:r w:rsidRPr="00F9522B">
              <w:rPr>
                <w:rFonts w:eastAsiaTheme="minorEastAsia"/>
                <w:szCs w:val="21"/>
              </w:rPr>
              <w:t>建筑公司回用</w:t>
            </w:r>
          </w:p>
        </w:tc>
      </w:tr>
      <w:tr w:rsidR="002A5A5E" w:rsidRPr="00F9522B" w:rsidTr="00041C73">
        <w:trPr>
          <w:trHeight w:val="510"/>
        </w:trPr>
        <w:tc>
          <w:tcPr>
            <w:tcW w:w="309" w:type="pct"/>
            <w:vMerge/>
            <w:vAlign w:val="center"/>
          </w:tcPr>
          <w:p w:rsidR="002A5A5E" w:rsidRPr="00F9522B" w:rsidRDefault="002A5A5E">
            <w:pPr>
              <w:widowControl/>
              <w:jc w:val="center"/>
              <w:rPr>
                <w:rFonts w:eastAsiaTheme="minorEastAsia"/>
                <w:szCs w:val="21"/>
              </w:rPr>
            </w:pPr>
          </w:p>
        </w:tc>
        <w:tc>
          <w:tcPr>
            <w:tcW w:w="400" w:type="pct"/>
            <w:vAlign w:val="center"/>
          </w:tcPr>
          <w:p w:rsidR="002A5A5E" w:rsidRPr="00F9522B" w:rsidRDefault="00611CBA">
            <w:pPr>
              <w:widowControl/>
              <w:jc w:val="center"/>
              <w:rPr>
                <w:rFonts w:eastAsiaTheme="minorEastAsia"/>
                <w:szCs w:val="21"/>
              </w:rPr>
            </w:pPr>
            <w:r w:rsidRPr="00F9522B">
              <w:rPr>
                <w:rFonts w:eastAsiaTheme="minorEastAsia"/>
                <w:szCs w:val="21"/>
              </w:rPr>
              <w:t>排水沟清淤</w:t>
            </w:r>
          </w:p>
        </w:tc>
        <w:tc>
          <w:tcPr>
            <w:tcW w:w="369" w:type="pct"/>
            <w:vAlign w:val="center"/>
          </w:tcPr>
          <w:p w:rsidR="002A5A5E" w:rsidRPr="00F9522B" w:rsidRDefault="00024747">
            <w:pPr>
              <w:jc w:val="center"/>
              <w:rPr>
                <w:rFonts w:eastAsiaTheme="minorEastAsia"/>
                <w:bCs/>
                <w:szCs w:val="21"/>
              </w:rPr>
            </w:pPr>
            <w:r w:rsidRPr="00F9522B">
              <w:rPr>
                <w:rFonts w:eastAsiaTheme="minorEastAsia"/>
                <w:bCs/>
                <w:szCs w:val="21"/>
              </w:rPr>
              <w:t>2550</w:t>
            </w:r>
          </w:p>
        </w:tc>
        <w:tc>
          <w:tcPr>
            <w:tcW w:w="327" w:type="pct"/>
            <w:vAlign w:val="center"/>
          </w:tcPr>
          <w:p w:rsidR="002A5A5E" w:rsidRPr="00F9522B" w:rsidRDefault="00611CBA">
            <w:pPr>
              <w:jc w:val="center"/>
              <w:rPr>
                <w:rFonts w:eastAsiaTheme="minorEastAsia"/>
                <w:szCs w:val="21"/>
              </w:rPr>
            </w:pPr>
            <w:r w:rsidRPr="00F9522B">
              <w:rPr>
                <w:rFonts w:eastAsiaTheme="minorEastAsia"/>
                <w:bCs/>
                <w:szCs w:val="21"/>
              </w:rPr>
              <w:t>0</w:t>
            </w:r>
          </w:p>
        </w:tc>
        <w:tc>
          <w:tcPr>
            <w:tcW w:w="326" w:type="pct"/>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0</w:t>
            </w:r>
          </w:p>
        </w:tc>
        <w:tc>
          <w:tcPr>
            <w:tcW w:w="327" w:type="pct"/>
            <w:vAlign w:val="center"/>
          </w:tcPr>
          <w:p w:rsidR="002A5A5E" w:rsidRPr="00F9522B" w:rsidRDefault="00611CBA">
            <w:pPr>
              <w:jc w:val="center"/>
              <w:rPr>
                <w:rFonts w:eastAsiaTheme="minorEastAsia"/>
                <w:szCs w:val="21"/>
              </w:rPr>
            </w:pPr>
            <w:r w:rsidRPr="00F9522B">
              <w:rPr>
                <w:rFonts w:eastAsiaTheme="minorEastAsia"/>
                <w:bCs/>
                <w:szCs w:val="21"/>
              </w:rPr>
              <w:t>0</w:t>
            </w:r>
          </w:p>
        </w:tc>
        <w:tc>
          <w:tcPr>
            <w:tcW w:w="735" w:type="pct"/>
            <w:vAlign w:val="center"/>
          </w:tcPr>
          <w:p w:rsidR="002A5A5E" w:rsidRPr="00F9522B" w:rsidRDefault="00611CBA">
            <w:pPr>
              <w:jc w:val="center"/>
              <w:rPr>
                <w:rFonts w:eastAsiaTheme="minorEastAsia"/>
                <w:szCs w:val="21"/>
              </w:rPr>
            </w:pPr>
            <w:r w:rsidRPr="00F9522B">
              <w:rPr>
                <w:rFonts w:eastAsiaTheme="minorEastAsia"/>
                <w:szCs w:val="21"/>
              </w:rPr>
              <w:t>/</w:t>
            </w:r>
          </w:p>
        </w:tc>
        <w:tc>
          <w:tcPr>
            <w:tcW w:w="391" w:type="pct"/>
            <w:vAlign w:val="center"/>
          </w:tcPr>
          <w:p w:rsidR="002A5A5E" w:rsidRPr="00F9522B" w:rsidRDefault="00024747">
            <w:pPr>
              <w:jc w:val="center"/>
              <w:rPr>
                <w:rFonts w:eastAsiaTheme="minorEastAsia"/>
                <w:szCs w:val="21"/>
              </w:rPr>
            </w:pPr>
            <w:r w:rsidRPr="00F9522B">
              <w:rPr>
                <w:rFonts w:eastAsiaTheme="minorEastAsia"/>
                <w:bCs/>
                <w:szCs w:val="21"/>
              </w:rPr>
              <w:t>2550</w:t>
            </w:r>
          </w:p>
        </w:tc>
        <w:tc>
          <w:tcPr>
            <w:tcW w:w="518" w:type="pct"/>
            <w:vAlign w:val="center"/>
          </w:tcPr>
          <w:p w:rsidR="002A5A5E" w:rsidRPr="00F9522B" w:rsidRDefault="00611CBA">
            <w:pPr>
              <w:jc w:val="center"/>
              <w:rPr>
                <w:rFonts w:eastAsiaTheme="minorEastAsia"/>
                <w:bCs/>
                <w:szCs w:val="21"/>
              </w:rPr>
            </w:pPr>
            <w:r w:rsidRPr="00F9522B">
              <w:rPr>
                <w:rFonts w:eastAsiaTheme="minorEastAsia"/>
                <w:bCs/>
                <w:szCs w:val="21"/>
              </w:rPr>
              <w:t>培至排水沟两侧</w:t>
            </w:r>
          </w:p>
        </w:tc>
        <w:tc>
          <w:tcPr>
            <w:tcW w:w="397" w:type="pct"/>
            <w:vAlign w:val="center"/>
          </w:tcPr>
          <w:p w:rsidR="002A5A5E" w:rsidRPr="00F9522B" w:rsidRDefault="00024747">
            <w:pPr>
              <w:jc w:val="center"/>
              <w:rPr>
                <w:rFonts w:eastAsiaTheme="minorEastAsia"/>
                <w:bCs/>
                <w:szCs w:val="21"/>
              </w:rPr>
            </w:pPr>
            <w:r w:rsidRPr="00F9522B">
              <w:rPr>
                <w:rFonts w:eastAsiaTheme="minorEastAsia"/>
                <w:bCs/>
                <w:szCs w:val="21"/>
              </w:rPr>
              <w:t>2550</w:t>
            </w:r>
          </w:p>
        </w:tc>
        <w:tc>
          <w:tcPr>
            <w:tcW w:w="490" w:type="pct"/>
            <w:vAlign w:val="center"/>
          </w:tcPr>
          <w:p w:rsidR="002A5A5E" w:rsidRPr="00F9522B" w:rsidRDefault="00611CBA">
            <w:pPr>
              <w:jc w:val="center"/>
              <w:rPr>
                <w:rFonts w:eastAsiaTheme="minorEastAsia"/>
                <w:szCs w:val="21"/>
              </w:rPr>
            </w:pPr>
            <w:r w:rsidRPr="00F9522B">
              <w:rPr>
                <w:rFonts w:eastAsiaTheme="minorEastAsia"/>
                <w:bCs/>
                <w:szCs w:val="21"/>
              </w:rPr>
              <w:t>0</w:t>
            </w:r>
          </w:p>
        </w:tc>
        <w:tc>
          <w:tcPr>
            <w:tcW w:w="411" w:type="pct"/>
            <w:vAlign w:val="center"/>
          </w:tcPr>
          <w:p w:rsidR="002A5A5E" w:rsidRPr="00F9522B" w:rsidRDefault="00611CBA">
            <w:pPr>
              <w:jc w:val="center"/>
              <w:rPr>
                <w:rFonts w:eastAsiaTheme="minorEastAsia"/>
                <w:szCs w:val="21"/>
              </w:rPr>
            </w:pPr>
            <w:r w:rsidRPr="00F9522B">
              <w:rPr>
                <w:rFonts w:eastAsiaTheme="minorEastAsia"/>
                <w:bCs/>
                <w:szCs w:val="21"/>
              </w:rPr>
              <w:t>/</w:t>
            </w:r>
          </w:p>
        </w:tc>
      </w:tr>
      <w:tr w:rsidR="00AC5F82" w:rsidRPr="00F9522B" w:rsidTr="00041C73">
        <w:trPr>
          <w:trHeight w:val="510"/>
        </w:trPr>
        <w:tc>
          <w:tcPr>
            <w:tcW w:w="309" w:type="pct"/>
            <w:vMerge/>
            <w:vAlign w:val="center"/>
          </w:tcPr>
          <w:p w:rsidR="00AC5F82" w:rsidRPr="00F9522B" w:rsidRDefault="00AC5F82">
            <w:pPr>
              <w:widowControl/>
              <w:jc w:val="center"/>
              <w:rPr>
                <w:rFonts w:eastAsiaTheme="minorEastAsia"/>
                <w:szCs w:val="21"/>
              </w:rPr>
            </w:pPr>
          </w:p>
        </w:tc>
        <w:tc>
          <w:tcPr>
            <w:tcW w:w="400" w:type="pct"/>
            <w:vAlign w:val="center"/>
          </w:tcPr>
          <w:p w:rsidR="00AC5F82" w:rsidRPr="00F9522B" w:rsidRDefault="00AC5F82" w:rsidP="00167709">
            <w:pPr>
              <w:jc w:val="center"/>
              <w:rPr>
                <w:rFonts w:eastAsiaTheme="minorEastAsia"/>
                <w:bCs/>
                <w:szCs w:val="21"/>
              </w:rPr>
            </w:pPr>
            <w:r w:rsidRPr="00F9522B">
              <w:rPr>
                <w:rFonts w:eastAsiaTheme="minorEastAsia"/>
                <w:bCs/>
                <w:szCs w:val="21"/>
              </w:rPr>
              <w:t>排水沟护砌</w:t>
            </w:r>
          </w:p>
        </w:tc>
        <w:tc>
          <w:tcPr>
            <w:tcW w:w="369" w:type="pct"/>
            <w:vAlign w:val="center"/>
          </w:tcPr>
          <w:p w:rsidR="00AC5F82" w:rsidRPr="00F9522B" w:rsidRDefault="00AC5F82" w:rsidP="00167709">
            <w:pPr>
              <w:jc w:val="center"/>
              <w:rPr>
                <w:rFonts w:eastAsiaTheme="minorEastAsia"/>
                <w:bCs/>
                <w:szCs w:val="21"/>
              </w:rPr>
            </w:pPr>
            <w:r w:rsidRPr="00F9522B">
              <w:rPr>
                <w:rFonts w:eastAsiaTheme="minorEastAsia"/>
                <w:bCs/>
                <w:szCs w:val="21"/>
              </w:rPr>
              <w:t>683856</w:t>
            </w:r>
          </w:p>
        </w:tc>
        <w:tc>
          <w:tcPr>
            <w:tcW w:w="327" w:type="pct"/>
            <w:vAlign w:val="center"/>
          </w:tcPr>
          <w:p w:rsidR="00AC5F82" w:rsidRPr="00F9522B" w:rsidRDefault="00041C73" w:rsidP="00167709">
            <w:pPr>
              <w:jc w:val="center"/>
              <w:rPr>
                <w:rFonts w:eastAsiaTheme="minorEastAsia"/>
                <w:bCs/>
                <w:szCs w:val="21"/>
              </w:rPr>
            </w:pPr>
            <w:r w:rsidRPr="00F9522B">
              <w:rPr>
                <w:rFonts w:eastAsiaTheme="minorEastAsia"/>
                <w:bCs/>
                <w:szCs w:val="21"/>
              </w:rPr>
              <w:t>939556</w:t>
            </w:r>
          </w:p>
        </w:tc>
        <w:tc>
          <w:tcPr>
            <w:tcW w:w="326" w:type="pct"/>
            <w:vAlign w:val="center"/>
          </w:tcPr>
          <w:p w:rsidR="00AC5F82" w:rsidRPr="00F9522B" w:rsidRDefault="00AC5F82" w:rsidP="00167709">
            <w:pPr>
              <w:jc w:val="center"/>
              <w:rPr>
                <w:rFonts w:eastAsiaTheme="minorEastAsia"/>
                <w:bCs/>
                <w:szCs w:val="21"/>
              </w:rPr>
            </w:pPr>
            <w:r w:rsidRPr="00F9522B">
              <w:rPr>
                <w:rFonts w:eastAsiaTheme="minorEastAsia"/>
                <w:bCs/>
                <w:szCs w:val="21"/>
              </w:rPr>
              <w:t>570756</w:t>
            </w:r>
          </w:p>
        </w:tc>
        <w:tc>
          <w:tcPr>
            <w:tcW w:w="327" w:type="pct"/>
            <w:vAlign w:val="center"/>
          </w:tcPr>
          <w:p w:rsidR="00AC5F82" w:rsidRPr="00F9522B" w:rsidRDefault="00AC5F82" w:rsidP="00167709">
            <w:pPr>
              <w:jc w:val="center"/>
              <w:rPr>
                <w:rFonts w:eastAsiaTheme="minorEastAsia"/>
                <w:bCs/>
                <w:szCs w:val="21"/>
              </w:rPr>
            </w:pPr>
            <w:r w:rsidRPr="00F9522B">
              <w:rPr>
                <w:rFonts w:eastAsiaTheme="minorEastAsia"/>
                <w:bCs/>
                <w:szCs w:val="21"/>
              </w:rPr>
              <w:t>368800</w:t>
            </w:r>
          </w:p>
        </w:tc>
        <w:tc>
          <w:tcPr>
            <w:tcW w:w="735" w:type="pct"/>
            <w:vAlign w:val="center"/>
          </w:tcPr>
          <w:p w:rsidR="00AC5F82" w:rsidRPr="00F9522B" w:rsidRDefault="00AC5F82" w:rsidP="00167709">
            <w:pPr>
              <w:jc w:val="center"/>
              <w:rPr>
                <w:rFonts w:eastAsiaTheme="minorEastAsia"/>
                <w:bCs/>
                <w:szCs w:val="21"/>
              </w:rPr>
            </w:pPr>
            <w:r w:rsidRPr="00F9522B">
              <w:rPr>
                <w:rFonts w:eastAsiaTheme="minorEastAsia"/>
                <w:bCs/>
                <w:szCs w:val="21"/>
              </w:rPr>
              <w:t>外购</w:t>
            </w:r>
          </w:p>
        </w:tc>
        <w:tc>
          <w:tcPr>
            <w:tcW w:w="391" w:type="pct"/>
            <w:vAlign w:val="center"/>
          </w:tcPr>
          <w:p w:rsidR="00AC5F82" w:rsidRPr="00F9522B" w:rsidRDefault="00AC5F82" w:rsidP="00AC5F82">
            <w:pPr>
              <w:jc w:val="center"/>
              <w:rPr>
                <w:rFonts w:eastAsiaTheme="minorEastAsia"/>
                <w:bCs/>
                <w:szCs w:val="21"/>
              </w:rPr>
            </w:pPr>
            <w:r w:rsidRPr="00F9522B">
              <w:rPr>
                <w:rFonts w:eastAsiaTheme="minorEastAsia"/>
                <w:bCs/>
                <w:szCs w:val="21"/>
              </w:rPr>
              <w:t>113100</w:t>
            </w:r>
          </w:p>
        </w:tc>
        <w:tc>
          <w:tcPr>
            <w:tcW w:w="518" w:type="pct"/>
            <w:vAlign w:val="center"/>
          </w:tcPr>
          <w:p w:rsidR="00AC5F82" w:rsidRPr="00F9522B" w:rsidRDefault="00AC5F82" w:rsidP="00167709">
            <w:pPr>
              <w:jc w:val="center"/>
              <w:rPr>
                <w:rFonts w:eastAsiaTheme="minorEastAsia"/>
                <w:bCs/>
                <w:szCs w:val="21"/>
              </w:rPr>
            </w:pPr>
            <w:r w:rsidRPr="00F9522B">
              <w:rPr>
                <w:rFonts w:eastAsiaTheme="minorEastAsia"/>
                <w:szCs w:val="21"/>
              </w:rPr>
              <w:t>用于田块整治工程</w:t>
            </w:r>
          </w:p>
        </w:tc>
        <w:tc>
          <w:tcPr>
            <w:tcW w:w="397" w:type="pct"/>
            <w:vAlign w:val="center"/>
          </w:tcPr>
          <w:p w:rsidR="00AC5F82" w:rsidRPr="00F9522B" w:rsidRDefault="00AC5F82" w:rsidP="00D302ED">
            <w:pPr>
              <w:jc w:val="center"/>
              <w:rPr>
                <w:rFonts w:eastAsiaTheme="minorEastAsia"/>
                <w:bCs/>
                <w:szCs w:val="21"/>
              </w:rPr>
            </w:pPr>
            <w:r w:rsidRPr="00F9522B">
              <w:rPr>
                <w:rFonts w:eastAsiaTheme="minorEastAsia"/>
                <w:bCs/>
                <w:szCs w:val="21"/>
              </w:rPr>
              <w:t>113100</w:t>
            </w:r>
          </w:p>
        </w:tc>
        <w:tc>
          <w:tcPr>
            <w:tcW w:w="490" w:type="pct"/>
            <w:vAlign w:val="center"/>
          </w:tcPr>
          <w:p w:rsidR="00AC5F82" w:rsidRPr="00F9522B" w:rsidRDefault="00AC5F82" w:rsidP="00167709">
            <w:pPr>
              <w:jc w:val="center"/>
              <w:rPr>
                <w:rFonts w:eastAsiaTheme="minorEastAsia"/>
                <w:bCs/>
                <w:szCs w:val="21"/>
              </w:rPr>
            </w:pPr>
            <w:r w:rsidRPr="00F9522B">
              <w:rPr>
                <w:rFonts w:eastAsiaTheme="minorEastAsia"/>
                <w:bCs/>
                <w:szCs w:val="21"/>
              </w:rPr>
              <w:t>0</w:t>
            </w:r>
          </w:p>
        </w:tc>
        <w:tc>
          <w:tcPr>
            <w:tcW w:w="411" w:type="pct"/>
            <w:vAlign w:val="center"/>
          </w:tcPr>
          <w:p w:rsidR="00AC5F82" w:rsidRPr="00F9522B" w:rsidRDefault="00AC5F82" w:rsidP="00167709">
            <w:pPr>
              <w:jc w:val="center"/>
              <w:rPr>
                <w:rFonts w:eastAsiaTheme="minorEastAsia"/>
                <w:bCs/>
                <w:szCs w:val="21"/>
              </w:rPr>
            </w:pPr>
            <w:r w:rsidRPr="00F9522B">
              <w:rPr>
                <w:rFonts w:eastAsiaTheme="minorEastAsia"/>
                <w:bCs/>
                <w:szCs w:val="21"/>
              </w:rPr>
              <w:t>/</w:t>
            </w:r>
          </w:p>
        </w:tc>
      </w:tr>
      <w:tr w:rsidR="00AC5F82" w:rsidRPr="00F9522B" w:rsidTr="00041C73">
        <w:trPr>
          <w:trHeight w:val="510"/>
        </w:trPr>
        <w:tc>
          <w:tcPr>
            <w:tcW w:w="309" w:type="pct"/>
            <w:vMerge/>
            <w:vAlign w:val="center"/>
          </w:tcPr>
          <w:p w:rsidR="00AC5F82" w:rsidRPr="00F9522B" w:rsidRDefault="00AC5F82">
            <w:pPr>
              <w:widowControl/>
              <w:jc w:val="center"/>
              <w:rPr>
                <w:rFonts w:eastAsiaTheme="minorEastAsia"/>
                <w:szCs w:val="21"/>
              </w:rPr>
            </w:pPr>
          </w:p>
        </w:tc>
        <w:tc>
          <w:tcPr>
            <w:tcW w:w="400" w:type="pct"/>
            <w:vAlign w:val="center"/>
          </w:tcPr>
          <w:p w:rsidR="00AC5F82" w:rsidRPr="00F9522B" w:rsidRDefault="00AC5F82">
            <w:pPr>
              <w:widowControl/>
              <w:jc w:val="center"/>
              <w:rPr>
                <w:rFonts w:eastAsiaTheme="minorEastAsia"/>
                <w:szCs w:val="21"/>
              </w:rPr>
            </w:pPr>
            <w:r w:rsidRPr="00F9522B">
              <w:rPr>
                <w:rFonts w:eastAsiaTheme="minorEastAsia"/>
                <w:szCs w:val="21"/>
              </w:rPr>
              <w:t>渠道衬砌</w:t>
            </w:r>
          </w:p>
        </w:tc>
        <w:tc>
          <w:tcPr>
            <w:tcW w:w="369" w:type="pct"/>
            <w:vAlign w:val="center"/>
          </w:tcPr>
          <w:p w:rsidR="00AC5F82" w:rsidRPr="00F9522B" w:rsidRDefault="00AC5F82" w:rsidP="00167709">
            <w:pPr>
              <w:jc w:val="center"/>
              <w:rPr>
                <w:rFonts w:eastAsiaTheme="minorEastAsia"/>
                <w:bCs/>
                <w:szCs w:val="21"/>
              </w:rPr>
            </w:pPr>
            <w:r w:rsidRPr="00F9522B">
              <w:rPr>
                <w:rFonts w:eastAsiaTheme="minorEastAsia"/>
                <w:bCs/>
                <w:szCs w:val="21"/>
              </w:rPr>
              <w:t>710</w:t>
            </w:r>
          </w:p>
        </w:tc>
        <w:tc>
          <w:tcPr>
            <w:tcW w:w="327" w:type="pct"/>
            <w:vAlign w:val="center"/>
          </w:tcPr>
          <w:p w:rsidR="00AC5F82" w:rsidRPr="00F9522B" w:rsidRDefault="00AC5F82">
            <w:pPr>
              <w:jc w:val="center"/>
              <w:rPr>
                <w:rFonts w:eastAsiaTheme="minorEastAsia"/>
                <w:szCs w:val="21"/>
              </w:rPr>
            </w:pPr>
            <w:r w:rsidRPr="00F9522B">
              <w:rPr>
                <w:rFonts w:eastAsiaTheme="minorEastAsia"/>
                <w:szCs w:val="21"/>
              </w:rPr>
              <w:t>853</w:t>
            </w:r>
          </w:p>
        </w:tc>
        <w:tc>
          <w:tcPr>
            <w:tcW w:w="326" w:type="pct"/>
            <w:vAlign w:val="center"/>
          </w:tcPr>
          <w:p w:rsidR="00AC5F82" w:rsidRPr="00F9522B" w:rsidRDefault="00AC5F82">
            <w:pPr>
              <w:widowControl/>
              <w:jc w:val="center"/>
              <w:rPr>
                <w:rFonts w:eastAsiaTheme="minorEastAsia"/>
                <w:kern w:val="0"/>
                <w:szCs w:val="21"/>
              </w:rPr>
            </w:pPr>
            <w:r w:rsidRPr="00F9522B">
              <w:rPr>
                <w:rFonts w:eastAsiaTheme="minorEastAsia"/>
                <w:kern w:val="0"/>
                <w:szCs w:val="21"/>
              </w:rPr>
              <w:t>0</w:t>
            </w:r>
          </w:p>
        </w:tc>
        <w:tc>
          <w:tcPr>
            <w:tcW w:w="327" w:type="pct"/>
            <w:vAlign w:val="center"/>
          </w:tcPr>
          <w:p w:rsidR="00AC5F82" w:rsidRPr="00F9522B" w:rsidRDefault="00AC5F82">
            <w:pPr>
              <w:jc w:val="center"/>
              <w:rPr>
                <w:rFonts w:eastAsiaTheme="minorEastAsia"/>
                <w:szCs w:val="21"/>
              </w:rPr>
            </w:pPr>
            <w:r w:rsidRPr="00F9522B">
              <w:rPr>
                <w:rFonts w:eastAsiaTheme="minorEastAsia"/>
                <w:szCs w:val="21"/>
              </w:rPr>
              <w:t>853</w:t>
            </w:r>
          </w:p>
        </w:tc>
        <w:tc>
          <w:tcPr>
            <w:tcW w:w="735" w:type="pct"/>
            <w:vAlign w:val="center"/>
          </w:tcPr>
          <w:p w:rsidR="00AC5F82" w:rsidRPr="00F9522B" w:rsidRDefault="00AC5F82">
            <w:pPr>
              <w:jc w:val="center"/>
              <w:rPr>
                <w:rFonts w:eastAsiaTheme="minorEastAsia"/>
                <w:szCs w:val="21"/>
              </w:rPr>
            </w:pPr>
            <w:r w:rsidRPr="00F9522B">
              <w:rPr>
                <w:rFonts w:eastAsiaTheme="minorEastAsia"/>
                <w:szCs w:val="21"/>
              </w:rPr>
              <w:t>外购</w:t>
            </w:r>
          </w:p>
        </w:tc>
        <w:tc>
          <w:tcPr>
            <w:tcW w:w="391" w:type="pct"/>
            <w:vAlign w:val="center"/>
          </w:tcPr>
          <w:p w:rsidR="00AC5F82" w:rsidRPr="00F9522B" w:rsidRDefault="00AC5F82" w:rsidP="00D302ED">
            <w:pPr>
              <w:jc w:val="center"/>
              <w:rPr>
                <w:rFonts w:eastAsiaTheme="minorEastAsia"/>
                <w:bCs/>
                <w:szCs w:val="21"/>
              </w:rPr>
            </w:pPr>
            <w:r w:rsidRPr="00F9522B">
              <w:rPr>
                <w:rFonts w:eastAsiaTheme="minorEastAsia"/>
                <w:bCs/>
                <w:szCs w:val="21"/>
              </w:rPr>
              <w:t>710</w:t>
            </w:r>
          </w:p>
        </w:tc>
        <w:tc>
          <w:tcPr>
            <w:tcW w:w="518" w:type="pct"/>
            <w:vAlign w:val="center"/>
          </w:tcPr>
          <w:p w:rsidR="00AC5F82" w:rsidRPr="00F9522B" w:rsidRDefault="00AC5F82">
            <w:pPr>
              <w:jc w:val="center"/>
              <w:rPr>
                <w:rFonts w:eastAsiaTheme="minorEastAsia"/>
                <w:bCs/>
                <w:szCs w:val="21"/>
              </w:rPr>
            </w:pPr>
            <w:r w:rsidRPr="00F9522B">
              <w:rPr>
                <w:rFonts w:eastAsiaTheme="minorEastAsia"/>
                <w:szCs w:val="21"/>
              </w:rPr>
              <w:t>用于田块整治工程</w:t>
            </w:r>
          </w:p>
        </w:tc>
        <w:tc>
          <w:tcPr>
            <w:tcW w:w="397" w:type="pct"/>
            <w:vAlign w:val="center"/>
          </w:tcPr>
          <w:p w:rsidR="00AC5F82" w:rsidRPr="00F9522B" w:rsidRDefault="00AC5F82" w:rsidP="00D302ED">
            <w:pPr>
              <w:jc w:val="center"/>
              <w:rPr>
                <w:rFonts w:eastAsiaTheme="minorEastAsia"/>
                <w:bCs/>
                <w:szCs w:val="21"/>
              </w:rPr>
            </w:pPr>
            <w:r w:rsidRPr="00F9522B">
              <w:rPr>
                <w:rFonts w:eastAsiaTheme="minorEastAsia"/>
                <w:bCs/>
                <w:szCs w:val="21"/>
              </w:rPr>
              <w:t>710</w:t>
            </w:r>
          </w:p>
        </w:tc>
        <w:tc>
          <w:tcPr>
            <w:tcW w:w="490" w:type="pct"/>
            <w:vAlign w:val="center"/>
          </w:tcPr>
          <w:p w:rsidR="00AC5F82" w:rsidRPr="00F9522B" w:rsidRDefault="00AC5F82">
            <w:pPr>
              <w:jc w:val="center"/>
              <w:rPr>
                <w:rFonts w:eastAsiaTheme="minorEastAsia"/>
                <w:bCs/>
                <w:szCs w:val="21"/>
              </w:rPr>
            </w:pPr>
            <w:r w:rsidRPr="00F9522B">
              <w:rPr>
                <w:rFonts w:eastAsiaTheme="minorEastAsia"/>
                <w:bCs/>
                <w:szCs w:val="21"/>
              </w:rPr>
              <w:t>0</w:t>
            </w:r>
          </w:p>
        </w:tc>
        <w:tc>
          <w:tcPr>
            <w:tcW w:w="411" w:type="pct"/>
            <w:vAlign w:val="center"/>
          </w:tcPr>
          <w:p w:rsidR="00AC5F82" w:rsidRPr="00F9522B" w:rsidRDefault="00AC5F82">
            <w:pPr>
              <w:jc w:val="center"/>
              <w:rPr>
                <w:rFonts w:eastAsiaTheme="minorEastAsia"/>
                <w:szCs w:val="21"/>
              </w:rPr>
            </w:pPr>
            <w:r w:rsidRPr="00F9522B">
              <w:rPr>
                <w:rFonts w:eastAsiaTheme="minorEastAsia"/>
                <w:szCs w:val="21"/>
              </w:rPr>
              <w:t>/</w:t>
            </w:r>
          </w:p>
        </w:tc>
      </w:tr>
      <w:tr w:rsidR="00167709" w:rsidRPr="00F9522B" w:rsidTr="00041C73">
        <w:trPr>
          <w:trHeight w:val="510"/>
        </w:trPr>
        <w:tc>
          <w:tcPr>
            <w:tcW w:w="309" w:type="pct"/>
            <w:vMerge w:val="restart"/>
            <w:vAlign w:val="center"/>
          </w:tcPr>
          <w:p w:rsidR="00167709" w:rsidRPr="00F9522B" w:rsidRDefault="00167709">
            <w:pPr>
              <w:widowControl/>
              <w:jc w:val="center"/>
              <w:rPr>
                <w:rFonts w:eastAsiaTheme="minorEastAsia"/>
                <w:szCs w:val="21"/>
              </w:rPr>
            </w:pPr>
            <w:r w:rsidRPr="00F9522B">
              <w:rPr>
                <w:rFonts w:eastAsiaTheme="minorEastAsia"/>
                <w:szCs w:val="21"/>
              </w:rPr>
              <w:t>田块整治工程</w:t>
            </w:r>
          </w:p>
        </w:tc>
        <w:tc>
          <w:tcPr>
            <w:tcW w:w="400" w:type="pct"/>
            <w:vAlign w:val="center"/>
          </w:tcPr>
          <w:p w:rsidR="00167709" w:rsidRPr="00F9522B" w:rsidRDefault="00167709">
            <w:pPr>
              <w:widowControl/>
              <w:jc w:val="center"/>
              <w:rPr>
                <w:rFonts w:eastAsiaTheme="minorEastAsia"/>
                <w:szCs w:val="21"/>
              </w:rPr>
            </w:pPr>
            <w:r w:rsidRPr="00F9522B">
              <w:rPr>
                <w:rFonts w:eastAsiaTheme="minorEastAsia"/>
                <w:szCs w:val="21"/>
              </w:rPr>
              <w:t>土地平整</w:t>
            </w:r>
          </w:p>
        </w:tc>
        <w:tc>
          <w:tcPr>
            <w:tcW w:w="369" w:type="pct"/>
            <w:vAlign w:val="center"/>
          </w:tcPr>
          <w:p w:rsidR="00167709" w:rsidRPr="00F9522B" w:rsidRDefault="00167709">
            <w:pPr>
              <w:widowControl/>
              <w:jc w:val="center"/>
              <w:textAlignment w:val="center"/>
              <w:rPr>
                <w:rFonts w:eastAsiaTheme="minorEastAsia"/>
                <w:szCs w:val="21"/>
              </w:rPr>
            </w:pPr>
            <w:r w:rsidRPr="00F9522B">
              <w:rPr>
                <w:rFonts w:eastAsiaTheme="minorEastAsia"/>
                <w:szCs w:val="21"/>
              </w:rPr>
              <w:t>224990</w:t>
            </w:r>
          </w:p>
        </w:tc>
        <w:tc>
          <w:tcPr>
            <w:tcW w:w="327" w:type="pct"/>
            <w:vAlign w:val="center"/>
          </w:tcPr>
          <w:p w:rsidR="00167709" w:rsidRPr="00F9522B" w:rsidRDefault="00167709">
            <w:pPr>
              <w:widowControl/>
              <w:jc w:val="center"/>
              <w:textAlignment w:val="center"/>
              <w:rPr>
                <w:rFonts w:eastAsiaTheme="minorEastAsia"/>
                <w:szCs w:val="21"/>
              </w:rPr>
            </w:pPr>
            <w:r w:rsidRPr="00F9522B">
              <w:rPr>
                <w:rFonts w:eastAsiaTheme="minorEastAsia"/>
                <w:szCs w:val="21"/>
              </w:rPr>
              <w:t>338800</w:t>
            </w:r>
          </w:p>
        </w:tc>
        <w:tc>
          <w:tcPr>
            <w:tcW w:w="326" w:type="pct"/>
            <w:vAlign w:val="center"/>
          </w:tcPr>
          <w:p w:rsidR="00167709" w:rsidRPr="00F9522B" w:rsidRDefault="00167709">
            <w:pPr>
              <w:widowControl/>
              <w:jc w:val="center"/>
              <w:textAlignment w:val="center"/>
              <w:rPr>
                <w:rFonts w:eastAsiaTheme="minorEastAsia"/>
                <w:szCs w:val="21"/>
              </w:rPr>
            </w:pPr>
            <w:r w:rsidRPr="00F9522B">
              <w:rPr>
                <w:rFonts w:eastAsiaTheme="minorEastAsia"/>
                <w:szCs w:val="21"/>
              </w:rPr>
              <w:t>224990</w:t>
            </w:r>
          </w:p>
        </w:tc>
        <w:tc>
          <w:tcPr>
            <w:tcW w:w="327" w:type="pct"/>
            <w:vAlign w:val="center"/>
          </w:tcPr>
          <w:p w:rsidR="00167709" w:rsidRPr="00F9522B" w:rsidRDefault="00167709">
            <w:pPr>
              <w:widowControl/>
              <w:jc w:val="center"/>
              <w:textAlignment w:val="center"/>
              <w:rPr>
                <w:rFonts w:eastAsiaTheme="minorEastAsia"/>
                <w:szCs w:val="21"/>
              </w:rPr>
            </w:pPr>
            <w:r w:rsidRPr="00F9522B">
              <w:t>113810</w:t>
            </w:r>
          </w:p>
        </w:tc>
        <w:tc>
          <w:tcPr>
            <w:tcW w:w="735" w:type="pct"/>
            <w:vAlign w:val="center"/>
          </w:tcPr>
          <w:p w:rsidR="00167709" w:rsidRPr="00F9522B" w:rsidRDefault="00167709">
            <w:pPr>
              <w:jc w:val="center"/>
              <w:rPr>
                <w:rFonts w:eastAsiaTheme="minorEastAsia"/>
                <w:szCs w:val="21"/>
              </w:rPr>
            </w:pPr>
            <w:r w:rsidRPr="00F9522B">
              <w:rPr>
                <w:rFonts w:eastAsiaTheme="minorEastAsia"/>
                <w:szCs w:val="21"/>
              </w:rPr>
              <w:t>来源于</w:t>
            </w:r>
            <w:r w:rsidRPr="00F9522B">
              <w:rPr>
                <w:rFonts w:eastAsiaTheme="minorEastAsia"/>
                <w:bCs/>
                <w:kern w:val="0"/>
                <w:szCs w:val="21"/>
              </w:rPr>
              <w:t>排水沟、渠道衬砌弃方</w:t>
            </w:r>
          </w:p>
        </w:tc>
        <w:tc>
          <w:tcPr>
            <w:tcW w:w="391" w:type="pct"/>
            <w:vAlign w:val="center"/>
          </w:tcPr>
          <w:p w:rsidR="00167709" w:rsidRPr="00F9522B" w:rsidRDefault="00167709">
            <w:pPr>
              <w:jc w:val="center"/>
              <w:rPr>
                <w:rFonts w:eastAsiaTheme="minorEastAsia"/>
                <w:szCs w:val="21"/>
              </w:rPr>
            </w:pPr>
            <w:r w:rsidRPr="00F9522B">
              <w:rPr>
                <w:rFonts w:eastAsiaTheme="minorEastAsia"/>
                <w:szCs w:val="21"/>
              </w:rPr>
              <w:t>0</w:t>
            </w:r>
          </w:p>
        </w:tc>
        <w:tc>
          <w:tcPr>
            <w:tcW w:w="518" w:type="pct"/>
            <w:vAlign w:val="center"/>
          </w:tcPr>
          <w:p w:rsidR="00167709" w:rsidRPr="00F9522B" w:rsidRDefault="00167709">
            <w:pPr>
              <w:jc w:val="center"/>
              <w:rPr>
                <w:rFonts w:eastAsiaTheme="minorEastAsia"/>
                <w:szCs w:val="21"/>
              </w:rPr>
            </w:pPr>
            <w:r w:rsidRPr="00F9522B">
              <w:rPr>
                <w:rFonts w:eastAsiaTheme="minorEastAsia"/>
                <w:szCs w:val="21"/>
              </w:rPr>
              <w:t>/</w:t>
            </w:r>
          </w:p>
        </w:tc>
        <w:tc>
          <w:tcPr>
            <w:tcW w:w="397" w:type="pct"/>
            <w:vAlign w:val="center"/>
          </w:tcPr>
          <w:p w:rsidR="00167709" w:rsidRPr="00F9522B" w:rsidRDefault="00167709">
            <w:pPr>
              <w:jc w:val="center"/>
              <w:rPr>
                <w:rFonts w:eastAsiaTheme="minorEastAsia"/>
                <w:szCs w:val="21"/>
              </w:rPr>
            </w:pPr>
            <w:r w:rsidRPr="00F9522B">
              <w:rPr>
                <w:rFonts w:eastAsiaTheme="minorEastAsia"/>
                <w:szCs w:val="21"/>
              </w:rPr>
              <w:t>0</w:t>
            </w:r>
          </w:p>
        </w:tc>
        <w:tc>
          <w:tcPr>
            <w:tcW w:w="490" w:type="pct"/>
            <w:vAlign w:val="center"/>
          </w:tcPr>
          <w:p w:rsidR="00167709" w:rsidRPr="00F9522B" w:rsidRDefault="00167709">
            <w:pPr>
              <w:jc w:val="center"/>
              <w:rPr>
                <w:rFonts w:eastAsiaTheme="minorEastAsia"/>
                <w:szCs w:val="21"/>
              </w:rPr>
            </w:pPr>
            <w:r w:rsidRPr="00F9522B">
              <w:rPr>
                <w:rFonts w:eastAsiaTheme="minorEastAsia"/>
                <w:szCs w:val="21"/>
              </w:rPr>
              <w:t>0</w:t>
            </w:r>
          </w:p>
        </w:tc>
        <w:tc>
          <w:tcPr>
            <w:tcW w:w="411" w:type="pct"/>
            <w:vAlign w:val="center"/>
          </w:tcPr>
          <w:p w:rsidR="00167709" w:rsidRPr="00F9522B" w:rsidRDefault="00167709">
            <w:pPr>
              <w:jc w:val="center"/>
              <w:rPr>
                <w:rFonts w:eastAsiaTheme="minorEastAsia"/>
                <w:szCs w:val="21"/>
              </w:rPr>
            </w:pPr>
            <w:r w:rsidRPr="00F9522B">
              <w:rPr>
                <w:rFonts w:eastAsiaTheme="minorEastAsia"/>
                <w:szCs w:val="21"/>
              </w:rPr>
              <w:t>/</w:t>
            </w:r>
          </w:p>
        </w:tc>
      </w:tr>
      <w:tr w:rsidR="00167709" w:rsidRPr="00F9522B" w:rsidTr="00041C73">
        <w:trPr>
          <w:trHeight w:val="510"/>
        </w:trPr>
        <w:tc>
          <w:tcPr>
            <w:tcW w:w="309" w:type="pct"/>
            <w:vMerge/>
            <w:vAlign w:val="center"/>
          </w:tcPr>
          <w:p w:rsidR="00167709" w:rsidRPr="00F9522B" w:rsidRDefault="00167709">
            <w:pPr>
              <w:widowControl/>
              <w:jc w:val="center"/>
              <w:rPr>
                <w:rFonts w:eastAsiaTheme="minorEastAsia"/>
                <w:szCs w:val="21"/>
              </w:rPr>
            </w:pPr>
          </w:p>
        </w:tc>
        <w:tc>
          <w:tcPr>
            <w:tcW w:w="400" w:type="pct"/>
            <w:vAlign w:val="center"/>
          </w:tcPr>
          <w:p w:rsidR="00167709" w:rsidRPr="00F9522B" w:rsidRDefault="00167709">
            <w:pPr>
              <w:widowControl/>
              <w:jc w:val="center"/>
              <w:rPr>
                <w:rFonts w:eastAsiaTheme="minorEastAsia"/>
                <w:szCs w:val="21"/>
              </w:rPr>
            </w:pPr>
            <w:r w:rsidRPr="00F9522B">
              <w:rPr>
                <w:rFonts w:eastAsiaTheme="minorEastAsia"/>
                <w:szCs w:val="21"/>
              </w:rPr>
              <w:t>客土回填</w:t>
            </w:r>
          </w:p>
        </w:tc>
        <w:tc>
          <w:tcPr>
            <w:tcW w:w="369" w:type="pct"/>
            <w:vAlign w:val="center"/>
          </w:tcPr>
          <w:p w:rsidR="00167709" w:rsidRPr="00F9522B" w:rsidRDefault="00167709">
            <w:pPr>
              <w:widowControl/>
              <w:jc w:val="center"/>
              <w:textAlignment w:val="center"/>
              <w:rPr>
                <w:rFonts w:eastAsiaTheme="minorEastAsia"/>
                <w:szCs w:val="21"/>
              </w:rPr>
            </w:pPr>
            <w:r w:rsidRPr="00F9522B">
              <w:t>0</w:t>
            </w:r>
          </w:p>
        </w:tc>
        <w:tc>
          <w:tcPr>
            <w:tcW w:w="327" w:type="pct"/>
            <w:vAlign w:val="center"/>
          </w:tcPr>
          <w:p w:rsidR="00167709" w:rsidRPr="00F9522B" w:rsidRDefault="00167709">
            <w:pPr>
              <w:widowControl/>
              <w:jc w:val="center"/>
              <w:textAlignment w:val="center"/>
              <w:rPr>
                <w:rFonts w:eastAsiaTheme="minorEastAsia"/>
                <w:kern w:val="0"/>
                <w:szCs w:val="21"/>
              </w:rPr>
            </w:pPr>
            <w:r w:rsidRPr="00F9522B">
              <w:t>55275</w:t>
            </w:r>
          </w:p>
        </w:tc>
        <w:tc>
          <w:tcPr>
            <w:tcW w:w="326" w:type="pct"/>
            <w:vAlign w:val="center"/>
          </w:tcPr>
          <w:p w:rsidR="00167709" w:rsidRPr="00F9522B" w:rsidRDefault="00167709">
            <w:pPr>
              <w:widowControl/>
              <w:jc w:val="center"/>
              <w:rPr>
                <w:rFonts w:eastAsiaTheme="minorEastAsia"/>
                <w:szCs w:val="21"/>
              </w:rPr>
            </w:pPr>
            <w:r w:rsidRPr="00F9522B">
              <w:rPr>
                <w:rFonts w:eastAsiaTheme="minorEastAsia"/>
                <w:szCs w:val="21"/>
              </w:rPr>
              <w:t>0</w:t>
            </w:r>
          </w:p>
        </w:tc>
        <w:tc>
          <w:tcPr>
            <w:tcW w:w="327" w:type="pct"/>
            <w:vAlign w:val="center"/>
          </w:tcPr>
          <w:p w:rsidR="00167709" w:rsidRPr="00F9522B" w:rsidRDefault="00167709">
            <w:pPr>
              <w:jc w:val="center"/>
              <w:rPr>
                <w:rFonts w:eastAsiaTheme="minorEastAsia"/>
                <w:szCs w:val="21"/>
              </w:rPr>
            </w:pPr>
            <w:r w:rsidRPr="00F9522B">
              <w:t>55275</w:t>
            </w:r>
          </w:p>
        </w:tc>
        <w:tc>
          <w:tcPr>
            <w:tcW w:w="735" w:type="pct"/>
            <w:vAlign w:val="center"/>
          </w:tcPr>
          <w:p w:rsidR="00167709" w:rsidRPr="00F9522B" w:rsidRDefault="00167709">
            <w:pPr>
              <w:jc w:val="center"/>
              <w:rPr>
                <w:rFonts w:eastAsiaTheme="minorEastAsia"/>
                <w:szCs w:val="21"/>
              </w:rPr>
            </w:pPr>
            <w:r w:rsidRPr="00F9522B">
              <w:rPr>
                <w:rFonts w:eastAsiaTheme="minorEastAsia"/>
                <w:szCs w:val="21"/>
              </w:rPr>
              <w:t>灌溉井、建筑物、农田输配电工程永久占地表土</w:t>
            </w:r>
            <w:r w:rsidRPr="00F9522B">
              <w:rPr>
                <w:rFonts w:eastAsiaTheme="minorEastAsia"/>
                <w:szCs w:val="21"/>
              </w:rPr>
              <w:t>2778</w:t>
            </w:r>
            <w:r w:rsidRPr="00F9522B">
              <w:rPr>
                <w:rFonts w:eastAsiaTheme="minorEastAsia"/>
                <w:szCs w:val="21"/>
              </w:rPr>
              <w:t>、黑土土源</w:t>
            </w:r>
            <w:r w:rsidRPr="00F9522B">
              <w:rPr>
                <w:rFonts w:eastAsiaTheme="minorEastAsia"/>
                <w:szCs w:val="21"/>
              </w:rPr>
              <w:t>52497</w:t>
            </w:r>
          </w:p>
        </w:tc>
        <w:tc>
          <w:tcPr>
            <w:tcW w:w="391" w:type="pct"/>
            <w:vAlign w:val="center"/>
          </w:tcPr>
          <w:p w:rsidR="00167709" w:rsidRPr="00F9522B" w:rsidRDefault="00167709">
            <w:pPr>
              <w:jc w:val="center"/>
              <w:rPr>
                <w:rFonts w:eastAsiaTheme="minorEastAsia"/>
                <w:szCs w:val="21"/>
              </w:rPr>
            </w:pPr>
            <w:r w:rsidRPr="00F9522B">
              <w:rPr>
                <w:rFonts w:eastAsiaTheme="minorEastAsia"/>
                <w:szCs w:val="21"/>
              </w:rPr>
              <w:t>0</w:t>
            </w:r>
          </w:p>
        </w:tc>
        <w:tc>
          <w:tcPr>
            <w:tcW w:w="518" w:type="pct"/>
            <w:vAlign w:val="center"/>
          </w:tcPr>
          <w:p w:rsidR="00167709" w:rsidRPr="00F9522B" w:rsidRDefault="00167709">
            <w:pPr>
              <w:jc w:val="center"/>
              <w:rPr>
                <w:rFonts w:eastAsiaTheme="minorEastAsia"/>
                <w:szCs w:val="21"/>
              </w:rPr>
            </w:pPr>
            <w:r w:rsidRPr="00F9522B">
              <w:rPr>
                <w:rFonts w:eastAsiaTheme="minorEastAsia"/>
                <w:szCs w:val="21"/>
              </w:rPr>
              <w:t>/</w:t>
            </w:r>
          </w:p>
        </w:tc>
        <w:tc>
          <w:tcPr>
            <w:tcW w:w="397" w:type="pct"/>
            <w:vAlign w:val="center"/>
          </w:tcPr>
          <w:p w:rsidR="00167709" w:rsidRPr="00F9522B" w:rsidRDefault="00167709">
            <w:pPr>
              <w:jc w:val="center"/>
              <w:rPr>
                <w:rFonts w:eastAsiaTheme="minorEastAsia"/>
                <w:szCs w:val="21"/>
              </w:rPr>
            </w:pPr>
            <w:r w:rsidRPr="00F9522B">
              <w:rPr>
                <w:rFonts w:eastAsiaTheme="minorEastAsia"/>
                <w:szCs w:val="21"/>
              </w:rPr>
              <w:t>0</w:t>
            </w:r>
          </w:p>
        </w:tc>
        <w:tc>
          <w:tcPr>
            <w:tcW w:w="490" w:type="pct"/>
            <w:vAlign w:val="center"/>
          </w:tcPr>
          <w:p w:rsidR="00167709" w:rsidRPr="00F9522B" w:rsidRDefault="00167709">
            <w:pPr>
              <w:jc w:val="center"/>
              <w:rPr>
                <w:rFonts w:eastAsiaTheme="minorEastAsia"/>
                <w:szCs w:val="21"/>
              </w:rPr>
            </w:pPr>
            <w:r w:rsidRPr="00F9522B">
              <w:rPr>
                <w:rFonts w:eastAsiaTheme="minorEastAsia"/>
                <w:szCs w:val="21"/>
              </w:rPr>
              <w:t>0</w:t>
            </w:r>
          </w:p>
        </w:tc>
        <w:tc>
          <w:tcPr>
            <w:tcW w:w="411" w:type="pct"/>
            <w:vAlign w:val="center"/>
          </w:tcPr>
          <w:p w:rsidR="00167709" w:rsidRPr="00F9522B" w:rsidRDefault="00167709">
            <w:pPr>
              <w:jc w:val="center"/>
              <w:rPr>
                <w:rFonts w:eastAsiaTheme="minorEastAsia"/>
                <w:szCs w:val="21"/>
              </w:rPr>
            </w:pPr>
            <w:r w:rsidRPr="00F9522B">
              <w:rPr>
                <w:rFonts w:eastAsiaTheme="minorEastAsia"/>
                <w:szCs w:val="21"/>
              </w:rPr>
              <w:t>/</w:t>
            </w:r>
          </w:p>
        </w:tc>
      </w:tr>
      <w:tr w:rsidR="00167709" w:rsidRPr="00F9522B" w:rsidTr="00041C73">
        <w:trPr>
          <w:trHeight w:val="510"/>
        </w:trPr>
        <w:tc>
          <w:tcPr>
            <w:tcW w:w="309" w:type="pct"/>
            <w:vMerge/>
            <w:vAlign w:val="center"/>
          </w:tcPr>
          <w:p w:rsidR="00167709" w:rsidRPr="00F9522B" w:rsidRDefault="00167709">
            <w:pPr>
              <w:widowControl/>
              <w:jc w:val="center"/>
              <w:rPr>
                <w:rFonts w:eastAsiaTheme="minorEastAsia"/>
                <w:szCs w:val="21"/>
              </w:rPr>
            </w:pPr>
          </w:p>
        </w:tc>
        <w:tc>
          <w:tcPr>
            <w:tcW w:w="400" w:type="pct"/>
            <w:vAlign w:val="center"/>
          </w:tcPr>
          <w:p w:rsidR="00167709" w:rsidRPr="00F9522B" w:rsidRDefault="00167709">
            <w:pPr>
              <w:widowControl/>
              <w:jc w:val="center"/>
              <w:rPr>
                <w:rFonts w:eastAsiaTheme="minorEastAsia"/>
                <w:szCs w:val="21"/>
              </w:rPr>
            </w:pPr>
            <w:r w:rsidRPr="00F9522B">
              <w:rPr>
                <w:rFonts w:eastAsiaTheme="minorEastAsia"/>
                <w:szCs w:val="21"/>
              </w:rPr>
              <w:t>方格田改造</w:t>
            </w:r>
          </w:p>
        </w:tc>
        <w:tc>
          <w:tcPr>
            <w:tcW w:w="369" w:type="pct"/>
            <w:vAlign w:val="center"/>
          </w:tcPr>
          <w:p w:rsidR="00167709" w:rsidRPr="00F9522B" w:rsidRDefault="00167709">
            <w:pPr>
              <w:widowControl/>
              <w:jc w:val="center"/>
              <w:textAlignment w:val="center"/>
              <w:rPr>
                <w:rFonts w:eastAsiaTheme="minorEastAsia"/>
                <w:szCs w:val="21"/>
              </w:rPr>
            </w:pPr>
            <w:r w:rsidRPr="00F9522B">
              <w:rPr>
                <w:rFonts w:eastAsiaTheme="minorEastAsia"/>
                <w:bCs/>
                <w:szCs w:val="21"/>
              </w:rPr>
              <w:t>71410</w:t>
            </w:r>
          </w:p>
        </w:tc>
        <w:tc>
          <w:tcPr>
            <w:tcW w:w="327" w:type="pct"/>
            <w:vAlign w:val="center"/>
          </w:tcPr>
          <w:p w:rsidR="00167709" w:rsidRPr="00F9522B" w:rsidRDefault="00167709">
            <w:pPr>
              <w:widowControl/>
              <w:jc w:val="center"/>
              <w:textAlignment w:val="center"/>
              <w:rPr>
                <w:rFonts w:eastAsiaTheme="minorEastAsia"/>
                <w:szCs w:val="21"/>
              </w:rPr>
            </w:pPr>
            <w:r w:rsidRPr="00F9522B">
              <w:rPr>
                <w:rFonts w:eastAsiaTheme="minorEastAsia"/>
                <w:szCs w:val="21"/>
              </w:rPr>
              <w:t>83649.3</w:t>
            </w:r>
          </w:p>
        </w:tc>
        <w:tc>
          <w:tcPr>
            <w:tcW w:w="326" w:type="pct"/>
            <w:vAlign w:val="center"/>
          </w:tcPr>
          <w:p w:rsidR="00167709" w:rsidRPr="00F9522B" w:rsidRDefault="00167709">
            <w:pPr>
              <w:widowControl/>
              <w:jc w:val="center"/>
              <w:textAlignment w:val="center"/>
              <w:rPr>
                <w:rFonts w:eastAsiaTheme="minorEastAsia"/>
                <w:szCs w:val="21"/>
              </w:rPr>
            </w:pPr>
            <w:r w:rsidRPr="00F9522B">
              <w:rPr>
                <w:rFonts w:eastAsiaTheme="minorEastAsia"/>
                <w:bCs/>
                <w:szCs w:val="21"/>
              </w:rPr>
              <w:t>71410</w:t>
            </w:r>
          </w:p>
        </w:tc>
        <w:tc>
          <w:tcPr>
            <w:tcW w:w="327" w:type="pct"/>
            <w:vAlign w:val="center"/>
          </w:tcPr>
          <w:p w:rsidR="00167709" w:rsidRPr="00F9522B" w:rsidRDefault="00167709">
            <w:pPr>
              <w:jc w:val="center"/>
              <w:rPr>
                <w:rFonts w:eastAsiaTheme="minorEastAsia"/>
                <w:szCs w:val="21"/>
              </w:rPr>
            </w:pPr>
            <w:r w:rsidRPr="00F9522B">
              <w:rPr>
                <w:rFonts w:eastAsiaTheme="minorEastAsia"/>
                <w:szCs w:val="21"/>
              </w:rPr>
              <w:t>12239.3</w:t>
            </w:r>
          </w:p>
        </w:tc>
        <w:tc>
          <w:tcPr>
            <w:tcW w:w="735" w:type="pct"/>
            <w:vAlign w:val="center"/>
          </w:tcPr>
          <w:p w:rsidR="00167709" w:rsidRPr="00F9522B" w:rsidRDefault="00167709">
            <w:pPr>
              <w:jc w:val="center"/>
              <w:rPr>
                <w:rFonts w:eastAsiaTheme="minorEastAsia"/>
                <w:szCs w:val="21"/>
              </w:rPr>
            </w:pPr>
            <w:r w:rsidRPr="00F9522B">
              <w:rPr>
                <w:rFonts w:eastAsiaTheme="minorEastAsia"/>
                <w:szCs w:val="21"/>
              </w:rPr>
              <w:t>采用</w:t>
            </w:r>
            <w:r w:rsidRPr="00F9522B">
              <w:rPr>
                <w:rFonts w:eastAsiaTheme="minorEastAsia"/>
                <w:bCs/>
                <w:kern w:val="0"/>
                <w:szCs w:val="21"/>
              </w:rPr>
              <w:t>田间道路工程弃方</w:t>
            </w:r>
          </w:p>
        </w:tc>
        <w:tc>
          <w:tcPr>
            <w:tcW w:w="391" w:type="pct"/>
            <w:vAlign w:val="center"/>
          </w:tcPr>
          <w:p w:rsidR="00167709" w:rsidRPr="00F9522B" w:rsidRDefault="00167709">
            <w:pPr>
              <w:jc w:val="center"/>
              <w:rPr>
                <w:rFonts w:eastAsiaTheme="minorEastAsia"/>
                <w:szCs w:val="21"/>
              </w:rPr>
            </w:pPr>
            <w:r w:rsidRPr="00F9522B">
              <w:rPr>
                <w:rFonts w:eastAsiaTheme="minorEastAsia"/>
                <w:szCs w:val="21"/>
              </w:rPr>
              <w:t>0</w:t>
            </w:r>
          </w:p>
        </w:tc>
        <w:tc>
          <w:tcPr>
            <w:tcW w:w="518" w:type="pct"/>
            <w:vAlign w:val="center"/>
          </w:tcPr>
          <w:p w:rsidR="00167709" w:rsidRPr="00F9522B" w:rsidRDefault="00167709">
            <w:pPr>
              <w:jc w:val="center"/>
              <w:rPr>
                <w:rFonts w:eastAsiaTheme="minorEastAsia"/>
                <w:szCs w:val="21"/>
              </w:rPr>
            </w:pPr>
            <w:r w:rsidRPr="00F9522B">
              <w:rPr>
                <w:rFonts w:eastAsiaTheme="minorEastAsia"/>
                <w:szCs w:val="21"/>
              </w:rPr>
              <w:t>/</w:t>
            </w:r>
          </w:p>
        </w:tc>
        <w:tc>
          <w:tcPr>
            <w:tcW w:w="397" w:type="pct"/>
            <w:vAlign w:val="center"/>
          </w:tcPr>
          <w:p w:rsidR="00167709" w:rsidRPr="00F9522B" w:rsidRDefault="00167709">
            <w:pPr>
              <w:jc w:val="center"/>
              <w:rPr>
                <w:rFonts w:eastAsiaTheme="minorEastAsia"/>
                <w:szCs w:val="21"/>
              </w:rPr>
            </w:pPr>
            <w:r w:rsidRPr="00F9522B">
              <w:rPr>
                <w:rFonts w:eastAsiaTheme="minorEastAsia"/>
                <w:szCs w:val="21"/>
              </w:rPr>
              <w:t>0</w:t>
            </w:r>
          </w:p>
        </w:tc>
        <w:tc>
          <w:tcPr>
            <w:tcW w:w="490" w:type="pct"/>
            <w:vAlign w:val="center"/>
          </w:tcPr>
          <w:p w:rsidR="00167709" w:rsidRPr="00F9522B" w:rsidRDefault="00167709">
            <w:pPr>
              <w:jc w:val="center"/>
              <w:rPr>
                <w:rFonts w:eastAsiaTheme="minorEastAsia"/>
                <w:szCs w:val="21"/>
              </w:rPr>
            </w:pPr>
            <w:r w:rsidRPr="00F9522B">
              <w:rPr>
                <w:rFonts w:eastAsiaTheme="minorEastAsia"/>
                <w:szCs w:val="21"/>
              </w:rPr>
              <w:t>0</w:t>
            </w:r>
          </w:p>
        </w:tc>
        <w:tc>
          <w:tcPr>
            <w:tcW w:w="411" w:type="pct"/>
            <w:vAlign w:val="center"/>
          </w:tcPr>
          <w:p w:rsidR="00167709" w:rsidRPr="00F9522B" w:rsidRDefault="00167709">
            <w:pPr>
              <w:jc w:val="center"/>
              <w:rPr>
                <w:rFonts w:eastAsiaTheme="minorEastAsia"/>
                <w:szCs w:val="21"/>
              </w:rPr>
            </w:pPr>
            <w:r w:rsidRPr="00F9522B">
              <w:rPr>
                <w:rFonts w:eastAsiaTheme="minorEastAsia"/>
                <w:szCs w:val="21"/>
              </w:rPr>
              <w:t>/</w:t>
            </w:r>
          </w:p>
        </w:tc>
      </w:tr>
      <w:tr w:rsidR="00BB24A1" w:rsidRPr="00F9522B" w:rsidTr="00041C73">
        <w:trPr>
          <w:trHeight w:val="510"/>
        </w:trPr>
        <w:tc>
          <w:tcPr>
            <w:tcW w:w="309" w:type="pct"/>
            <w:vMerge/>
            <w:vAlign w:val="center"/>
          </w:tcPr>
          <w:p w:rsidR="00BB24A1" w:rsidRPr="00F9522B" w:rsidRDefault="00BB24A1">
            <w:pPr>
              <w:widowControl/>
              <w:jc w:val="center"/>
              <w:rPr>
                <w:rFonts w:eastAsiaTheme="minorEastAsia"/>
                <w:szCs w:val="21"/>
              </w:rPr>
            </w:pPr>
          </w:p>
        </w:tc>
        <w:tc>
          <w:tcPr>
            <w:tcW w:w="400" w:type="pct"/>
            <w:vAlign w:val="center"/>
          </w:tcPr>
          <w:p w:rsidR="00BB24A1" w:rsidRPr="00F9522B" w:rsidRDefault="00BB24A1">
            <w:pPr>
              <w:widowControl/>
              <w:jc w:val="center"/>
              <w:rPr>
                <w:rFonts w:eastAsiaTheme="minorEastAsia"/>
                <w:szCs w:val="21"/>
              </w:rPr>
            </w:pPr>
            <w:r w:rsidRPr="00F9522B">
              <w:rPr>
                <w:rFonts w:eastAsiaTheme="minorEastAsia"/>
                <w:bCs/>
                <w:szCs w:val="21"/>
              </w:rPr>
              <w:t>岸坡防护</w:t>
            </w:r>
          </w:p>
        </w:tc>
        <w:tc>
          <w:tcPr>
            <w:tcW w:w="369" w:type="pct"/>
            <w:vAlign w:val="center"/>
          </w:tcPr>
          <w:p w:rsidR="00BB24A1" w:rsidRPr="00F9522B" w:rsidRDefault="00993103">
            <w:pPr>
              <w:widowControl/>
              <w:jc w:val="center"/>
              <w:textAlignment w:val="center"/>
              <w:rPr>
                <w:rFonts w:eastAsiaTheme="minorEastAsia"/>
                <w:bCs/>
                <w:szCs w:val="21"/>
              </w:rPr>
            </w:pPr>
            <w:r w:rsidRPr="00F9522B">
              <w:rPr>
                <w:rFonts w:eastAsiaTheme="minorEastAsia"/>
                <w:bCs/>
                <w:szCs w:val="21"/>
              </w:rPr>
              <w:t>2</w:t>
            </w:r>
            <w:r w:rsidR="00BB24A1" w:rsidRPr="00F9522B">
              <w:rPr>
                <w:rFonts w:eastAsiaTheme="minorEastAsia"/>
                <w:bCs/>
                <w:szCs w:val="21"/>
              </w:rPr>
              <w:t>2516</w:t>
            </w:r>
          </w:p>
        </w:tc>
        <w:tc>
          <w:tcPr>
            <w:tcW w:w="327" w:type="pct"/>
            <w:vAlign w:val="center"/>
          </w:tcPr>
          <w:p w:rsidR="00BB24A1" w:rsidRPr="00F9522B" w:rsidRDefault="00993103">
            <w:pPr>
              <w:widowControl/>
              <w:jc w:val="center"/>
              <w:textAlignment w:val="center"/>
              <w:rPr>
                <w:rFonts w:eastAsiaTheme="minorEastAsia"/>
                <w:bCs/>
                <w:szCs w:val="21"/>
              </w:rPr>
            </w:pPr>
            <w:r w:rsidRPr="00F9522B">
              <w:rPr>
                <w:rFonts w:eastAsiaTheme="minorEastAsia"/>
                <w:bCs/>
                <w:szCs w:val="21"/>
              </w:rPr>
              <w:t>2</w:t>
            </w:r>
            <w:r w:rsidR="00BB24A1" w:rsidRPr="00F9522B">
              <w:rPr>
                <w:rFonts w:eastAsiaTheme="minorEastAsia"/>
                <w:bCs/>
                <w:szCs w:val="21"/>
              </w:rPr>
              <w:t>5060</w:t>
            </w:r>
          </w:p>
        </w:tc>
        <w:tc>
          <w:tcPr>
            <w:tcW w:w="326" w:type="pct"/>
            <w:vAlign w:val="center"/>
          </w:tcPr>
          <w:p w:rsidR="00BB24A1" w:rsidRPr="00F9522B" w:rsidRDefault="00BB24A1">
            <w:pPr>
              <w:widowControl/>
              <w:jc w:val="center"/>
              <w:textAlignment w:val="center"/>
              <w:rPr>
                <w:rFonts w:eastAsiaTheme="minorEastAsia"/>
                <w:bCs/>
                <w:szCs w:val="21"/>
              </w:rPr>
            </w:pPr>
            <w:r w:rsidRPr="00F9522B">
              <w:rPr>
                <w:rFonts w:eastAsiaTheme="minorEastAsia"/>
                <w:bCs/>
                <w:szCs w:val="21"/>
              </w:rPr>
              <w:t>0</w:t>
            </w:r>
          </w:p>
        </w:tc>
        <w:tc>
          <w:tcPr>
            <w:tcW w:w="327" w:type="pct"/>
            <w:vAlign w:val="center"/>
          </w:tcPr>
          <w:p w:rsidR="00BB24A1" w:rsidRPr="00F9522B" w:rsidRDefault="00993103">
            <w:pPr>
              <w:jc w:val="center"/>
              <w:rPr>
                <w:rFonts w:eastAsiaTheme="minorEastAsia"/>
                <w:bCs/>
                <w:szCs w:val="21"/>
              </w:rPr>
            </w:pPr>
            <w:r w:rsidRPr="00F9522B">
              <w:rPr>
                <w:rFonts w:eastAsiaTheme="minorEastAsia"/>
                <w:bCs/>
                <w:szCs w:val="21"/>
              </w:rPr>
              <w:t>2</w:t>
            </w:r>
            <w:r w:rsidR="00BB24A1" w:rsidRPr="00F9522B">
              <w:rPr>
                <w:rFonts w:eastAsiaTheme="minorEastAsia"/>
                <w:bCs/>
                <w:szCs w:val="21"/>
              </w:rPr>
              <w:t>5060</w:t>
            </w:r>
          </w:p>
        </w:tc>
        <w:tc>
          <w:tcPr>
            <w:tcW w:w="735" w:type="pct"/>
            <w:vAlign w:val="center"/>
          </w:tcPr>
          <w:p w:rsidR="00BB24A1" w:rsidRPr="00F9522B" w:rsidRDefault="00BB24A1">
            <w:pPr>
              <w:jc w:val="center"/>
              <w:rPr>
                <w:rFonts w:eastAsiaTheme="minorEastAsia"/>
                <w:bCs/>
                <w:szCs w:val="21"/>
              </w:rPr>
            </w:pPr>
            <w:r w:rsidRPr="00F9522B">
              <w:rPr>
                <w:rFonts w:eastAsiaTheme="minorEastAsia"/>
                <w:bCs/>
                <w:szCs w:val="21"/>
              </w:rPr>
              <w:t>外购</w:t>
            </w:r>
          </w:p>
        </w:tc>
        <w:tc>
          <w:tcPr>
            <w:tcW w:w="391" w:type="pct"/>
            <w:vAlign w:val="center"/>
          </w:tcPr>
          <w:p w:rsidR="00BB24A1" w:rsidRPr="00F9522B" w:rsidRDefault="00BB24A1" w:rsidP="00D302ED">
            <w:pPr>
              <w:jc w:val="center"/>
              <w:rPr>
                <w:rFonts w:eastAsiaTheme="minorEastAsia"/>
                <w:bCs/>
                <w:szCs w:val="21"/>
              </w:rPr>
            </w:pPr>
            <w:r w:rsidRPr="00F9522B">
              <w:rPr>
                <w:rFonts w:eastAsiaTheme="minorEastAsia"/>
                <w:bCs/>
                <w:szCs w:val="21"/>
              </w:rPr>
              <w:t>0</w:t>
            </w:r>
          </w:p>
        </w:tc>
        <w:tc>
          <w:tcPr>
            <w:tcW w:w="518" w:type="pct"/>
            <w:vAlign w:val="center"/>
          </w:tcPr>
          <w:p w:rsidR="00BB24A1" w:rsidRPr="00F9522B" w:rsidRDefault="00BB24A1" w:rsidP="00D302ED">
            <w:pPr>
              <w:jc w:val="center"/>
              <w:rPr>
                <w:rFonts w:eastAsiaTheme="minorEastAsia"/>
                <w:bCs/>
                <w:szCs w:val="21"/>
              </w:rPr>
            </w:pPr>
            <w:r w:rsidRPr="00F9522B">
              <w:rPr>
                <w:rFonts w:eastAsiaTheme="minorEastAsia"/>
                <w:bCs/>
                <w:szCs w:val="21"/>
              </w:rPr>
              <w:t>/</w:t>
            </w:r>
          </w:p>
        </w:tc>
        <w:tc>
          <w:tcPr>
            <w:tcW w:w="397" w:type="pct"/>
            <w:vAlign w:val="center"/>
          </w:tcPr>
          <w:p w:rsidR="00BB24A1" w:rsidRPr="00F9522B" w:rsidRDefault="00BB24A1" w:rsidP="00D302ED">
            <w:pPr>
              <w:jc w:val="center"/>
              <w:rPr>
                <w:rFonts w:eastAsiaTheme="minorEastAsia"/>
                <w:bCs/>
                <w:szCs w:val="21"/>
              </w:rPr>
            </w:pPr>
            <w:r w:rsidRPr="00F9522B">
              <w:rPr>
                <w:rFonts w:eastAsiaTheme="minorEastAsia"/>
                <w:bCs/>
                <w:szCs w:val="21"/>
              </w:rPr>
              <w:t>0</w:t>
            </w:r>
          </w:p>
        </w:tc>
        <w:tc>
          <w:tcPr>
            <w:tcW w:w="490" w:type="pct"/>
            <w:vAlign w:val="center"/>
          </w:tcPr>
          <w:p w:rsidR="00BB24A1" w:rsidRPr="00F9522B" w:rsidRDefault="00993103" w:rsidP="00D302ED">
            <w:pPr>
              <w:widowControl/>
              <w:jc w:val="center"/>
              <w:textAlignment w:val="center"/>
              <w:rPr>
                <w:rFonts w:eastAsiaTheme="minorEastAsia"/>
                <w:bCs/>
                <w:szCs w:val="21"/>
              </w:rPr>
            </w:pPr>
            <w:r w:rsidRPr="00F9522B">
              <w:rPr>
                <w:rFonts w:eastAsiaTheme="minorEastAsia"/>
                <w:bCs/>
                <w:szCs w:val="21"/>
              </w:rPr>
              <w:t>2</w:t>
            </w:r>
            <w:r w:rsidR="00BB24A1" w:rsidRPr="00F9522B">
              <w:rPr>
                <w:rFonts w:eastAsiaTheme="minorEastAsia"/>
                <w:bCs/>
                <w:szCs w:val="21"/>
              </w:rPr>
              <w:t>2516</w:t>
            </w:r>
          </w:p>
        </w:tc>
        <w:tc>
          <w:tcPr>
            <w:tcW w:w="411" w:type="pct"/>
            <w:vAlign w:val="center"/>
          </w:tcPr>
          <w:p w:rsidR="00BB24A1" w:rsidRPr="00F9522B" w:rsidRDefault="00BB24A1">
            <w:pPr>
              <w:jc w:val="center"/>
              <w:rPr>
                <w:rFonts w:eastAsiaTheme="minorEastAsia"/>
                <w:bCs/>
                <w:szCs w:val="21"/>
              </w:rPr>
            </w:pPr>
            <w:r w:rsidRPr="00F9522B">
              <w:rPr>
                <w:rFonts w:eastAsiaTheme="minorEastAsia"/>
                <w:bCs/>
                <w:szCs w:val="21"/>
              </w:rPr>
              <w:t>建筑公司回用</w:t>
            </w:r>
          </w:p>
        </w:tc>
      </w:tr>
      <w:tr w:rsidR="009A1ABC" w:rsidRPr="00F9522B" w:rsidTr="00041C73">
        <w:trPr>
          <w:trHeight w:val="510"/>
        </w:trPr>
        <w:tc>
          <w:tcPr>
            <w:tcW w:w="709" w:type="pct"/>
            <w:gridSpan w:val="2"/>
            <w:vAlign w:val="center"/>
          </w:tcPr>
          <w:p w:rsidR="009A1ABC" w:rsidRPr="00F9522B" w:rsidRDefault="009A1ABC">
            <w:pPr>
              <w:widowControl/>
              <w:jc w:val="center"/>
              <w:rPr>
                <w:rFonts w:eastAsiaTheme="minorEastAsia"/>
                <w:szCs w:val="21"/>
              </w:rPr>
            </w:pPr>
            <w:r w:rsidRPr="00F9522B">
              <w:rPr>
                <w:rFonts w:eastAsiaTheme="minorEastAsia"/>
                <w:szCs w:val="21"/>
              </w:rPr>
              <w:t>合计</w:t>
            </w:r>
          </w:p>
        </w:tc>
        <w:tc>
          <w:tcPr>
            <w:tcW w:w="369" w:type="pct"/>
            <w:vAlign w:val="center"/>
          </w:tcPr>
          <w:p w:rsidR="009A1ABC" w:rsidRPr="009A1ABC" w:rsidRDefault="009A1ABC">
            <w:pPr>
              <w:jc w:val="center"/>
              <w:rPr>
                <w:color w:val="FF0000"/>
                <w:szCs w:val="21"/>
              </w:rPr>
            </w:pPr>
            <w:r w:rsidRPr="009A1ABC">
              <w:rPr>
                <w:color w:val="FF0000"/>
                <w:szCs w:val="21"/>
              </w:rPr>
              <w:t>1384383.6</w:t>
            </w:r>
          </w:p>
        </w:tc>
        <w:tc>
          <w:tcPr>
            <w:tcW w:w="327" w:type="pct"/>
            <w:vAlign w:val="center"/>
          </w:tcPr>
          <w:p w:rsidR="009A1ABC" w:rsidRPr="009A1ABC" w:rsidRDefault="009A1ABC">
            <w:pPr>
              <w:jc w:val="center"/>
              <w:rPr>
                <w:color w:val="FF0000"/>
                <w:szCs w:val="21"/>
              </w:rPr>
            </w:pPr>
            <w:r w:rsidRPr="009A1ABC">
              <w:rPr>
                <w:color w:val="FF0000"/>
                <w:szCs w:val="21"/>
              </w:rPr>
              <w:t>1938686.9</w:t>
            </w:r>
          </w:p>
        </w:tc>
        <w:tc>
          <w:tcPr>
            <w:tcW w:w="326" w:type="pct"/>
            <w:vAlign w:val="center"/>
          </w:tcPr>
          <w:p w:rsidR="009A1ABC" w:rsidRPr="009A1ABC" w:rsidRDefault="009A1ABC">
            <w:pPr>
              <w:jc w:val="center"/>
              <w:rPr>
                <w:color w:val="FF0000"/>
                <w:szCs w:val="21"/>
              </w:rPr>
            </w:pPr>
            <w:r w:rsidRPr="009A1ABC">
              <w:rPr>
                <w:color w:val="FF0000"/>
                <w:szCs w:val="21"/>
              </w:rPr>
              <w:t>1038639.6</w:t>
            </w:r>
          </w:p>
        </w:tc>
        <w:tc>
          <w:tcPr>
            <w:tcW w:w="327" w:type="pct"/>
            <w:vAlign w:val="center"/>
          </w:tcPr>
          <w:p w:rsidR="009A1ABC" w:rsidRPr="00F9522B" w:rsidRDefault="009A1ABC">
            <w:pPr>
              <w:jc w:val="center"/>
              <w:rPr>
                <w:szCs w:val="21"/>
              </w:rPr>
            </w:pPr>
            <w:r w:rsidRPr="00F9522B">
              <w:rPr>
                <w:szCs w:val="21"/>
              </w:rPr>
              <w:t>900047.3</w:t>
            </w:r>
          </w:p>
        </w:tc>
        <w:tc>
          <w:tcPr>
            <w:tcW w:w="735" w:type="pct"/>
            <w:vAlign w:val="center"/>
          </w:tcPr>
          <w:p w:rsidR="009A1ABC" w:rsidRPr="00F9522B" w:rsidRDefault="009A1ABC">
            <w:pPr>
              <w:jc w:val="center"/>
              <w:rPr>
                <w:rFonts w:eastAsiaTheme="minorEastAsia"/>
                <w:szCs w:val="21"/>
              </w:rPr>
            </w:pPr>
            <w:r w:rsidRPr="00F9522B">
              <w:rPr>
                <w:rFonts w:eastAsiaTheme="minorEastAsia"/>
                <w:szCs w:val="21"/>
              </w:rPr>
              <w:t>/</w:t>
            </w:r>
          </w:p>
        </w:tc>
        <w:tc>
          <w:tcPr>
            <w:tcW w:w="391" w:type="pct"/>
            <w:vAlign w:val="center"/>
          </w:tcPr>
          <w:p w:rsidR="009A1ABC" w:rsidRPr="00F9522B" w:rsidRDefault="009A1ABC">
            <w:pPr>
              <w:jc w:val="center"/>
              <w:rPr>
                <w:rFonts w:eastAsiaTheme="minorEastAsia"/>
                <w:szCs w:val="21"/>
              </w:rPr>
            </w:pPr>
            <w:r w:rsidRPr="00F9522B">
              <w:rPr>
                <w:rFonts w:eastAsiaTheme="minorEastAsia"/>
                <w:szCs w:val="21"/>
              </w:rPr>
              <w:t>131377.3</w:t>
            </w:r>
          </w:p>
        </w:tc>
        <w:tc>
          <w:tcPr>
            <w:tcW w:w="518" w:type="pct"/>
            <w:vAlign w:val="center"/>
          </w:tcPr>
          <w:p w:rsidR="009A1ABC" w:rsidRPr="00F9522B" w:rsidRDefault="009A1ABC">
            <w:pPr>
              <w:jc w:val="center"/>
              <w:rPr>
                <w:rFonts w:eastAsiaTheme="minorEastAsia"/>
                <w:szCs w:val="21"/>
              </w:rPr>
            </w:pPr>
            <w:r w:rsidRPr="00F9522B">
              <w:rPr>
                <w:rFonts w:eastAsiaTheme="minorEastAsia"/>
                <w:szCs w:val="21"/>
              </w:rPr>
              <w:t>/</w:t>
            </w:r>
          </w:p>
        </w:tc>
        <w:tc>
          <w:tcPr>
            <w:tcW w:w="397" w:type="pct"/>
            <w:vAlign w:val="center"/>
          </w:tcPr>
          <w:p w:rsidR="009A1ABC" w:rsidRPr="00F9522B" w:rsidRDefault="009A1ABC" w:rsidP="00D302ED">
            <w:pPr>
              <w:jc w:val="center"/>
              <w:rPr>
                <w:rFonts w:eastAsiaTheme="minorEastAsia"/>
                <w:szCs w:val="21"/>
              </w:rPr>
            </w:pPr>
            <w:r w:rsidRPr="00F9522B">
              <w:rPr>
                <w:rFonts w:eastAsiaTheme="minorEastAsia"/>
                <w:szCs w:val="21"/>
              </w:rPr>
              <w:t>131377.3</w:t>
            </w:r>
          </w:p>
        </w:tc>
        <w:tc>
          <w:tcPr>
            <w:tcW w:w="490" w:type="pct"/>
            <w:vAlign w:val="center"/>
          </w:tcPr>
          <w:p w:rsidR="009A1ABC" w:rsidRPr="00F9522B" w:rsidRDefault="009A1ABC" w:rsidP="00041C73">
            <w:pPr>
              <w:jc w:val="center"/>
              <w:rPr>
                <w:szCs w:val="21"/>
              </w:rPr>
            </w:pPr>
            <w:r w:rsidRPr="00F9522B">
              <w:rPr>
                <w:szCs w:val="21"/>
              </w:rPr>
              <w:t>214366.7</w:t>
            </w:r>
          </w:p>
        </w:tc>
        <w:tc>
          <w:tcPr>
            <w:tcW w:w="411" w:type="pct"/>
            <w:vAlign w:val="center"/>
          </w:tcPr>
          <w:p w:rsidR="009A1ABC" w:rsidRPr="00F9522B" w:rsidRDefault="009A1ABC">
            <w:pPr>
              <w:jc w:val="center"/>
              <w:rPr>
                <w:rFonts w:eastAsiaTheme="minorEastAsia"/>
                <w:szCs w:val="21"/>
              </w:rPr>
            </w:pPr>
            <w:r w:rsidRPr="00F9522B">
              <w:rPr>
                <w:rFonts w:eastAsiaTheme="minorEastAsia"/>
                <w:szCs w:val="21"/>
              </w:rPr>
              <w:t>/</w:t>
            </w:r>
          </w:p>
        </w:tc>
      </w:tr>
    </w:tbl>
    <w:p w:rsidR="002A5A5E" w:rsidRPr="00F9522B" w:rsidRDefault="00611CBA">
      <w:pPr>
        <w:spacing w:line="360" w:lineRule="auto"/>
        <w:ind w:firstLineChars="200" w:firstLine="480"/>
        <w:contextualSpacing/>
        <w:rPr>
          <w:rFonts w:eastAsiaTheme="minorEastAsia"/>
          <w:kern w:val="0"/>
          <w:sz w:val="24"/>
          <w:szCs w:val="20"/>
        </w:rPr>
      </w:pPr>
      <w:r w:rsidRPr="00F9522B">
        <w:rPr>
          <w:rFonts w:eastAsiaTheme="minorEastAsia"/>
          <w:kern w:val="0"/>
          <w:sz w:val="24"/>
          <w:szCs w:val="20"/>
        </w:rPr>
        <w:lastRenderedPageBreak/>
        <w:t>表土平衡：</w:t>
      </w:r>
    </w:p>
    <w:p w:rsidR="002A5A5E" w:rsidRPr="00F9522B" w:rsidRDefault="00611CBA">
      <w:pPr>
        <w:spacing w:line="360" w:lineRule="auto"/>
        <w:ind w:firstLineChars="200" w:firstLine="480"/>
        <w:contextualSpacing/>
        <w:rPr>
          <w:rFonts w:eastAsiaTheme="minorEastAsia"/>
          <w:kern w:val="0"/>
          <w:sz w:val="24"/>
          <w:szCs w:val="20"/>
        </w:rPr>
      </w:pPr>
      <w:r w:rsidRPr="00F9522B">
        <w:rPr>
          <w:rFonts w:eastAsiaTheme="minorEastAsia"/>
          <w:kern w:val="0"/>
          <w:sz w:val="24"/>
          <w:szCs w:val="20"/>
        </w:rPr>
        <w:t>本项目灌溉井工程、</w:t>
      </w:r>
      <w:r w:rsidRPr="00F9522B">
        <w:rPr>
          <w:rFonts w:eastAsiaTheme="minorEastAsia"/>
          <w:bCs/>
          <w:kern w:val="0"/>
          <w:sz w:val="24"/>
          <w:szCs w:val="20"/>
        </w:rPr>
        <w:t>建筑物工程</w:t>
      </w:r>
      <w:r w:rsidRPr="00F9522B">
        <w:rPr>
          <w:rFonts w:eastAsiaTheme="minorEastAsia"/>
          <w:kern w:val="0"/>
          <w:sz w:val="24"/>
          <w:szCs w:val="20"/>
        </w:rPr>
        <w:t>永久占地在工程建设前对表土进行剥离，剥离厚度约</w:t>
      </w:r>
      <w:r w:rsidRPr="00F9522B">
        <w:rPr>
          <w:rFonts w:eastAsiaTheme="minorEastAsia"/>
          <w:kern w:val="0"/>
          <w:sz w:val="24"/>
          <w:szCs w:val="20"/>
        </w:rPr>
        <w:t>30cm</w:t>
      </w:r>
      <w:r w:rsidRPr="00F9522B">
        <w:rPr>
          <w:rFonts w:eastAsiaTheme="minorEastAsia"/>
          <w:kern w:val="0"/>
          <w:sz w:val="24"/>
          <w:szCs w:val="20"/>
        </w:rPr>
        <w:t>。灌溉井工程永久占地</w:t>
      </w:r>
      <w:r w:rsidR="00745972" w:rsidRPr="00F9522B">
        <w:rPr>
          <w:rFonts w:eastAsiaTheme="minorEastAsia"/>
          <w:kern w:val="0"/>
          <w:sz w:val="24"/>
          <w:szCs w:val="20"/>
        </w:rPr>
        <w:t>2076</w:t>
      </w:r>
      <w:r w:rsidRPr="00F9522B">
        <w:rPr>
          <w:rFonts w:eastAsiaTheme="minorEastAsia"/>
          <w:kern w:val="0"/>
          <w:sz w:val="24"/>
          <w:szCs w:val="20"/>
        </w:rPr>
        <w:t>m</w:t>
      </w:r>
      <w:r w:rsidRPr="00F9522B">
        <w:rPr>
          <w:rFonts w:eastAsiaTheme="minorEastAsia"/>
          <w:kern w:val="0"/>
          <w:sz w:val="24"/>
          <w:szCs w:val="20"/>
          <w:vertAlign w:val="superscript"/>
        </w:rPr>
        <w:t>2</w:t>
      </w:r>
      <w:r w:rsidRPr="00F9522B">
        <w:rPr>
          <w:rFonts w:eastAsiaTheme="minorEastAsia"/>
          <w:kern w:val="0"/>
          <w:sz w:val="24"/>
          <w:szCs w:val="20"/>
        </w:rPr>
        <w:t>，</w:t>
      </w:r>
      <w:r w:rsidRPr="00F9522B">
        <w:rPr>
          <w:rFonts w:eastAsiaTheme="minorEastAsia"/>
          <w:bCs/>
          <w:kern w:val="0"/>
          <w:sz w:val="24"/>
          <w:szCs w:val="20"/>
        </w:rPr>
        <w:t>建筑物工程</w:t>
      </w:r>
      <w:r w:rsidRPr="00F9522B">
        <w:rPr>
          <w:rFonts w:eastAsiaTheme="minorEastAsia"/>
          <w:kern w:val="0"/>
          <w:sz w:val="24"/>
          <w:szCs w:val="20"/>
        </w:rPr>
        <w:t>永久占地</w:t>
      </w:r>
      <w:r w:rsidR="007A6145" w:rsidRPr="00F9522B">
        <w:rPr>
          <w:rFonts w:eastAsiaTheme="minorEastAsia"/>
          <w:kern w:val="0"/>
          <w:sz w:val="24"/>
          <w:szCs w:val="20"/>
        </w:rPr>
        <w:t>65</w:t>
      </w:r>
      <w:r w:rsidRPr="00F9522B">
        <w:rPr>
          <w:rFonts w:eastAsiaTheme="minorEastAsia"/>
          <w:kern w:val="0"/>
          <w:sz w:val="24"/>
          <w:szCs w:val="20"/>
        </w:rPr>
        <w:t>00m</w:t>
      </w:r>
      <w:r w:rsidRPr="00F9522B">
        <w:rPr>
          <w:rFonts w:eastAsiaTheme="minorEastAsia"/>
          <w:kern w:val="0"/>
          <w:sz w:val="24"/>
          <w:szCs w:val="20"/>
          <w:vertAlign w:val="superscript"/>
        </w:rPr>
        <w:t>2</w:t>
      </w:r>
      <w:r w:rsidRPr="00F9522B">
        <w:rPr>
          <w:rFonts w:eastAsiaTheme="minorEastAsia"/>
          <w:kern w:val="0"/>
          <w:sz w:val="24"/>
          <w:szCs w:val="20"/>
        </w:rPr>
        <w:t>（其中草地</w:t>
      </w:r>
      <w:r w:rsidR="007A6145" w:rsidRPr="00F9522B">
        <w:rPr>
          <w:rFonts w:eastAsiaTheme="minorEastAsia"/>
          <w:kern w:val="0"/>
          <w:sz w:val="24"/>
          <w:szCs w:val="20"/>
        </w:rPr>
        <w:t>53</w:t>
      </w:r>
      <w:r w:rsidRPr="00F9522B">
        <w:rPr>
          <w:rFonts w:eastAsiaTheme="minorEastAsia"/>
          <w:kern w:val="0"/>
          <w:sz w:val="24"/>
          <w:szCs w:val="20"/>
        </w:rPr>
        <w:t>00</w:t>
      </w:r>
      <w:r w:rsidRPr="00F9522B">
        <w:rPr>
          <w:rFonts w:eastAsiaTheme="minorEastAsia"/>
          <w:kern w:val="0"/>
          <w:sz w:val="24"/>
          <w:szCs w:val="20"/>
        </w:rPr>
        <w:t>、旱地为</w:t>
      </w:r>
      <w:r w:rsidRPr="00F9522B">
        <w:rPr>
          <w:rFonts w:eastAsiaTheme="minorEastAsia"/>
          <w:kern w:val="0"/>
          <w:sz w:val="24"/>
          <w:szCs w:val="20"/>
        </w:rPr>
        <w:t>1200</w:t>
      </w:r>
      <w:r w:rsidRPr="00F9522B">
        <w:rPr>
          <w:rFonts w:eastAsiaTheme="minorEastAsia"/>
          <w:kern w:val="0"/>
          <w:sz w:val="24"/>
          <w:szCs w:val="20"/>
        </w:rPr>
        <w:t>），输配电工程水泥杆永久占地</w:t>
      </w:r>
      <w:r w:rsidRPr="00F9522B">
        <w:rPr>
          <w:rFonts w:eastAsiaTheme="minorEastAsia"/>
          <w:kern w:val="0"/>
          <w:sz w:val="24"/>
          <w:szCs w:val="20"/>
        </w:rPr>
        <w:t>684m</w:t>
      </w:r>
      <w:r w:rsidRPr="00F9522B">
        <w:rPr>
          <w:rFonts w:eastAsiaTheme="minorEastAsia"/>
          <w:kern w:val="0"/>
          <w:sz w:val="24"/>
          <w:szCs w:val="20"/>
          <w:vertAlign w:val="superscript"/>
        </w:rPr>
        <w:t>2</w:t>
      </w:r>
      <w:r w:rsidRPr="00F9522B">
        <w:rPr>
          <w:rFonts w:eastAsiaTheme="minorEastAsia"/>
          <w:kern w:val="0"/>
          <w:sz w:val="24"/>
          <w:szCs w:val="20"/>
        </w:rPr>
        <w:t>，故永久占地表土剥离量</w:t>
      </w:r>
      <w:r w:rsidR="00E734F1" w:rsidRPr="00F9522B">
        <w:rPr>
          <w:rFonts w:eastAsiaTheme="minorEastAsia"/>
          <w:kern w:val="0"/>
          <w:sz w:val="24"/>
          <w:szCs w:val="20"/>
        </w:rPr>
        <w:t>2778</w:t>
      </w:r>
      <w:r w:rsidRPr="00F9522B">
        <w:rPr>
          <w:rFonts w:eastAsiaTheme="minorEastAsia"/>
          <w:kern w:val="0"/>
          <w:sz w:val="24"/>
          <w:szCs w:val="20"/>
        </w:rPr>
        <w:t>m</w:t>
      </w:r>
      <w:r w:rsidRPr="00F9522B">
        <w:rPr>
          <w:rFonts w:eastAsiaTheme="minorEastAsia"/>
          <w:kern w:val="0"/>
          <w:sz w:val="24"/>
          <w:szCs w:val="20"/>
          <w:vertAlign w:val="superscript"/>
        </w:rPr>
        <w:t>3</w:t>
      </w:r>
      <w:r w:rsidRPr="00F9522B">
        <w:rPr>
          <w:rFonts w:eastAsiaTheme="minorEastAsia"/>
          <w:kern w:val="0"/>
          <w:sz w:val="24"/>
          <w:szCs w:val="20"/>
        </w:rPr>
        <w:t>（灌溉井</w:t>
      </w:r>
      <w:r w:rsidR="00E734F1" w:rsidRPr="00F9522B">
        <w:rPr>
          <w:rFonts w:eastAsiaTheme="minorEastAsia"/>
          <w:kern w:val="0"/>
          <w:sz w:val="24"/>
          <w:szCs w:val="20"/>
        </w:rPr>
        <w:t>6228</w:t>
      </w:r>
      <w:r w:rsidRPr="00F9522B">
        <w:rPr>
          <w:rFonts w:eastAsiaTheme="minorEastAsia"/>
          <w:kern w:val="0"/>
          <w:sz w:val="24"/>
          <w:szCs w:val="20"/>
        </w:rPr>
        <w:t>、</w:t>
      </w:r>
      <w:r w:rsidRPr="00F9522B">
        <w:rPr>
          <w:rFonts w:eastAsiaTheme="minorEastAsia"/>
          <w:bCs/>
          <w:kern w:val="0"/>
          <w:sz w:val="24"/>
          <w:szCs w:val="20"/>
        </w:rPr>
        <w:t>建筑物</w:t>
      </w:r>
      <w:r w:rsidR="00E734F1" w:rsidRPr="00F9522B">
        <w:rPr>
          <w:rFonts w:eastAsiaTheme="minorEastAsia"/>
          <w:kern w:val="0"/>
          <w:sz w:val="24"/>
          <w:szCs w:val="20"/>
        </w:rPr>
        <w:t>1950</w:t>
      </w:r>
      <w:r w:rsidRPr="00F9522B">
        <w:rPr>
          <w:rFonts w:eastAsiaTheme="minorEastAsia"/>
          <w:kern w:val="0"/>
          <w:sz w:val="24"/>
          <w:szCs w:val="20"/>
        </w:rPr>
        <w:t>、输配电</w:t>
      </w:r>
      <w:r w:rsidR="00E734F1" w:rsidRPr="00F9522B">
        <w:rPr>
          <w:rFonts w:eastAsiaTheme="minorEastAsia"/>
          <w:kern w:val="0"/>
          <w:sz w:val="24"/>
          <w:szCs w:val="20"/>
        </w:rPr>
        <w:t>205.2</w:t>
      </w:r>
      <w:r w:rsidRPr="00F9522B">
        <w:rPr>
          <w:rFonts w:eastAsiaTheme="minorEastAsia"/>
          <w:kern w:val="0"/>
          <w:sz w:val="24"/>
          <w:szCs w:val="20"/>
        </w:rPr>
        <w:t>），剥离后的表土在施工现场贮存，永久占地表土用于田块整治工程客土回填。</w:t>
      </w:r>
    </w:p>
    <w:p w:rsidR="002A5A5E" w:rsidRPr="00F9522B" w:rsidRDefault="00611CBA">
      <w:pPr>
        <w:spacing w:line="360" w:lineRule="auto"/>
        <w:ind w:firstLineChars="200" w:firstLine="480"/>
        <w:contextualSpacing/>
        <w:rPr>
          <w:rFonts w:eastAsiaTheme="minorEastAsia"/>
          <w:kern w:val="0"/>
          <w:sz w:val="24"/>
          <w:szCs w:val="20"/>
        </w:rPr>
      </w:pPr>
      <w:r w:rsidRPr="00F9522B">
        <w:rPr>
          <w:rFonts w:eastAsiaTheme="minorEastAsia"/>
          <w:bCs/>
          <w:kern w:val="0"/>
          <w:sz w:val="24"/>
          <w:szCs w:val="20"/>
        </w:rPr>
        <w:t>田块整治</w:t>
      </w:r>
      <w:r w:rsidR="00F74680" w:rsidRPr="00F9522B">
        <w:rPr>
          <w:rFonts w:eastAsiaTheme="minorEastAsia"/>
          <w:bCs/>
          <w:kern w:val="0"/>
          <w:sz w:val="24"/>
          <w:szCs w:val="20"/>
        </w:rPr>
        <w:t>部分</w:t>
      </w:r>
      <w:r w:rsidRPr="00F9522B">
        <w:rPr>
          <w:rFonts w:eastAsiaTheme="minorEastAsia"/>
          <w:bCs/>
          <w:kern w:val="0"/>
          <w:sz w:val="24"/>
          <w:szCs w:val="20"/>
        </w:rPr>
        <w:t>工程表土</w:t>
      </w:r>
      <w:r w:rsidRPr="00F9522B">
        <w:rPr>
          <w:rFonts w:eastAsiaTheme="minorEastAsia"/>
          <w:kern w:val="0"/>
          <w:sz w:val="24"/>
          <w:szCs w:val="20"/>
        </w:rPr>
        <w:t>剥离厚度约</w:t>
      </w:r>
      <w:r w:rsidRPr="00F9522B">
        <w:rPr>
          <w:rFonts w:eastAsiaTheme="minorEastAsia"/>
          <w:kern w:val="0"/>
          <w:sz w:val="24"/>
          <w:szCs w:val="20"/>
        </w:rPr>
        <w:t>25cm</w:t>
      </w:r>
      <w:r w:rsidRPr="00F9522B">
        <w:rPr>
          <w:rFonts w:eastAsiaTheme="minorEastAsia"/>
          <w:kern w:val="0"/>
          <w:sz w:val="24"/>
          <w:szCs w:val="20"/>
        </w:rPr>
        <w:t>。表土剥离量</w:t>
      </w:r>
      <w:r w:rsidR="00F74680" w:rsidRPr="00F9522B">
        <w:rPr>
          <w:rFonts w:eastAsiaTheme="minorEastAsia"/>
          <w:kern w:val="0"/>
          <w:sz w:val="24"/>
          <w:szCs w:val="20"/>
        </w:rPr>
        <w:t>296400</w:t>
      </w:r>
      <w:r w:rsidRPr="00F9522B">
        <w:rPr>
          <w:rFonts w:eastAsiaTheme="minorEastAsia"/>
          <w:kern w:val="0"/>
          <w:sz w:val="24"/>
          <w:szCs w:val="20"/>
        </w:rPr>
        <w:t>m</w:t>
      </w:r>
      <w:r w:rsidRPr="00F9522B">
        <w:rPr>
          <w:rFonts w:eastAsiaTheme="minorEastAsia"/>
          <w:kern w:val="0"/>
          <w:sz w:val="24"/>
          <w:szCs w:val="20"/>
          <w:vertAlign w:val="superscript"/>
        </w:rPr>
        <w:t>3</w:t>
      </w:r>
      <w:r w:rsidRPr="00F9522B">
        <w:rPr>
          <w:rFonts w:eastAsiaTheme="minorEastAsia"/>
          <w:bCs/>
          <w:kern w:val="0"/>
          <w:sz w:val="24"/>
          <w:szCs w:val="20"/>
        </w:rPr>
        <w:t>，</w:t>
      </w:r>
      <w:r w:rsidRPr="00F9522B">
        <w:rPr>
          <w:rFonts w:eastAsiaTheme="minorEastAsia"/>
          <w:kern w:val="0"/>
          <w:sz w:val="24"/>
          <w:szCs w:val="20"/>
        </w:rPr>
        <w:t>剥离后的表土在施工现场贮存，用于田块整治工程表土恢复。</w:t>
      </w:r>
    </w:p>
    <w:p w:rsidR="002A5A5E" w:rsidRPr="00F9522B" w:rsidRDefault="00611CBA">
      <w:pPr>
        <w:spacing w:line="360" w:lineRule="auto"/>
        <w:ind w:firstLineChars="200" w:firstLine="480"/>
        <w:contextualSpacing/>
        <w:rPr>
          <w:rFonts w:eastAsiaTheme="minorEastAsia"/>
          <w:kern w:val="0"/>
          <w:sz w:val="24"/>
          <w:szCs w:val="20"/>
        </w:rPr>
      </w:pPr>
      <w:r w:rsidRPr="00F9522B">
        <w:rPr>
          <w:rFonts w:eastAsiaTheme="minorEastAsia"/>
          <w:kern w:val="0"/>
          <w:sz w:val="24"/>
          <w:szCs w:val="20"/>
        </w:rPr>
        <w:t>项目施工过程中会设置施工场地、施工道路，为临时占地，需要对表土进行剥离，剥离厚度约</w:t>
      </w:r>
      <w:r w:rsidRPr="00F9522B">
        <w:rPr>
          <w:rFonts w:eastAsiaTheme="minorEastAsia"/>
          <w:kern w:val="0"/>
          <w:sz w:val="24"/>
          <w:szCs w:val="20"/>
        </w:rPr>
        <w:t>30cm</w:t>
      </w:r>
      <w:r w:rsidRPr="00F9522B">
        <w:rPr>
          <w:rFonts w:eastAsiaTheme="minorEastAsia"/>
          <w:kern w:val="0"/>
          <w:sz w:val="24"/>
          <w:szCs w:val="20"/>
        </w:rPr>
        <w:t>，本项目临时占用共</w:t>
      </w:r>
      <w:r w:rsidR="00AA4603" w:rsidRPr="004862ED">
        <w:rPr>
          <w:rFonts w:eastAsiaTheme="minorEastAsia"/>
          <w:color w:val="FF0000"/>
          <w:kern w:val="0"/>
          <w:sz w:val="24"/>
          <w:szCs w:val="20"/>
        </w:rPr>
        <w:t>294140</w:t>
      </w:r>
      <w:r w:rsidRPr="004862ED">
        <w:rPr>
          <w:rFonts w:eastAsiaTheme="minorEastAsia"/>
          <w:color w:val="FF0000"/>
          <w:kern w:val="0"/>
          <w:sz w:val="24"/>
          <w:szCs w:val="20"/>
        </w:rPr>
        <w:t>m</w:t>
      </w:r>
      <w:r w:rsidRPr="004862ED">
        <w:rPr>
          <w:rFonts w:eastAsiaTheme="minorEastAsia"/>
          <w:color w:val="FF0000"/>
          <w:kern w:val="0"/>
          <w:sz w:val="24"/>
          <w:szCs w:val="20"/>
          <w:vertAlign w:val="superscript"/>
        </w:rPr>
        <w:t>2</w:t>
      </w:r>
      <w:r w:rsidRPr="004862ED">
        <w:rPr>
          <w:rFonts w:eastAsiaTheme="minorEastAsia"/>
          <w:color w:val="FF0000"/>
          <w:kern w:val="0"/>
          <w:sz w:val="24"/>
          <w:szCs w:val="20"/>
        </w:rPr>
        <w:t>（</w:t>
      </w:r>
      <w:r w:rsidRPr="00F9522B">
        <w:rPr>
          <w:rFonts w:eastAsiaTheme="minorEastAsia"/>
          <w:kern w:val="0"/>
          <w:sz w:val="24"/>
          <w:szCs w:val="20"/>
        </w:rPr>
        <w:t>灌溉井</w:t>
      </w:r>
      <w:r w:rsidR="00E734F1" w:rsidRPr="00F9522B">
        <w:rPr>
          <w:rFonts w:eastAsiaTheme="minorEastAsia"/>
          <w:kern w:val="0"/>
          <w:sz w:val="24"/>
          <w:szCs w:val="20"/>
        </w:rPr>
        <w:t>7920</w:t>
      </w:r>
      <w:r w:rsidRPr="00F9522B">
        <w:rPr>
          <w:rFonts w:eastAsiaTheme="minorEastAsia"/>
          <w:kern w:val="0"/>
          <w:sz w:val="24"/>
          <w:szCs w:val="20"/>
        </w:rPr>
        <w:t>、建筑物</w:t>
      </w:r>
      <w:r w:rsidR="00E734F1" w:rsidRPr="00F9522B">
        <w:rPr>
          <w:rFonts w:eastAsiaTheme="minorEastAsia"/>
          <w:kern w:val="0"/>
          <w:sz w:val="24"/>
          <w:szCs w:val="20"/>
        </w:rPr>
        <w:t>29000</w:t>
      </w:r>
      <w:r w:rsidRPr="00F9522B">
        <w:rPr>
          <w:rFonts w:eastAsiaTheme="minorEastAsia"/>
          <w:kern w:val="0"/>
          <w:sz w:val="24"/>
          <w:szCs w:val="20"/>
        </w:rPr>
        <w:t>、</w:t>
      </w:r>
      <w:r w:rsidRPr="004862ED">
        <w:rPr>
          <w:rFonts w:eastAsiaTheme="minorEastAsia"/>
          <w:color w:val="FF0000"/>
          <w:kern w:val="0"/>
          <w:sz w:val="24"/>
          <w:szCs w:val="20"/>
        </w:rPr>
        <w:t>输配电</w:t>
      </w:r>
      <w:r w:rsidR="00617138" w:rsidRPr="004862ED">
        <w:rPr>
          <w:rFonts w:eastAsiaTheme="minorEastAsia"/>
          <w:color w:val="FF0000"/>
          <w:kern w:val="0"/>
          <w:sz w:val="24"/>
          <w:szCs w:val="20"/>
        </w:rPr>
        <w:t>257220</w:t>
      </w:r>
      <w:r w:rsidRPr="004862ED">
        <w:rPr>
          <w:rFonts w:eastAsiaTheme="minorEastAsia"/>
          <w:color w:val="FF0000"/>
          <w:kern w:val="0"/>
          <w:sz w:val="24"/>
          <w:szCs w:val="20"/>
        </w:rPr>
        <w:t>）</w:t>
      </w:r>
      <w:r w:rsidRPr="00F9522B">
        <w:rPr>
          <w:rFonts w:eastAsiaTheme="minorEastAsia"/>
          <w:kern w:val="0"/>
          <w:sz w:val="24"/>
          <w:szCs w:val="20"/>
        </w:rPr>
        <w:t>，临时占地表土剥离总量</w:t>
      </w:r>
      <w:r w:rsidR="00E734F1" w:rsidRPr="00F9522B">
        <w:rPr>
          <w:rFonts w:eastAsiaTheme="minorEastAsia"/>
          <w:kern w:val="0"/>
          <w:sz w:val="24"/>
          <w:szCs w:val="20"/>
        </w:rPr>
        <w:t>46811.4</w:t>
      </w:r>
      <w:r w:rsidRPr="00F9522B">
        <w:rPr>
          <w:rFonts w:eastAsiaTheme="minorEastAsia"/>
          <w:kern w:val="0"/>
          <w:sz w:val="24"/>
          <w:szCs w:val="20"/>
        </w:rPr>
        <w:t>m</w:t>
      </w:r>
      <w:r w:rsidRPr="00F9522B">
        <w:rPr>
          <w:rFonts w:eastAsiaTheme="minorEastAsia"/>
          <w:kern w:val="0"/>
          <w:sz w:val="24"/>
          <w:szCs w:val="20"/>
          <w:vertAlign w:val="superscript"/>
        </w:rPr>
        <w:t>3</w:t>
      </w:r>
      <w:r w:rsidRPr="00F9522B">
        <w:rPr>
          <w:rFonts w:eastAsiaTheme="minorEastAsia"/>
          <w:kern w:val="0"/>
          <w:sz w:val="24"/>
          <w:szCs w:val="20"/>
        </w:rPr>
        <w:t>（灌溉井</w:t>
      </w:r>
      <w:r w:rsidR="00E734F1" w:rsidRPr="00F9522B">
        <w:rPr>
          <w:rFonts w:eastAsiaTheme="minorEastAsia"/>
          <w:kern w:val="0"/>
          <w:sz w:val="24"/>
          <w:szCs w:val="20"/>
        </w:rPr>
        <w:t>2376</w:t>
      </w:r>
      <w:r w:rsidRPr="00F9522B">
        <w:rPr>
          <w:rFonts w:eastAsiaTheme="minorEastAsia"/>
          <w:kern w:val="0"/>
          <w:sz w:val="24"/>
          <w:szCs w:val="20"/>
        </w:rPr>
        <w:t>、建筑物</w:t>
      </w:r>
      <w:r w:rsidR="00E734F1" w:rsidRPr="00F9522B">
        <w:rPr>
          <w:rFonts w:eastAsiaTheme="minorEastAsia"/>
          <w:kern w:val="0"/>
          <w:sz w:val="24"/>
          <w:szCs w:val="20"/>
        </w:rPr>
        <w:t>8700</w:t>
      </w:r>
      <w:r w:rsidRPr="00F9522B">
        <w:rPr>
          <w:rFonts w:eastAsiaTheme="minorEastAsia"/>
          <w:kern w:val="0"/>
          <w:sz w:val="24"/>
          <w:szCs w:val="20"/>
        </w:rPr>
        <w:t>、</w:t>
      </w:r>
      <w:r w:rsidRPr="004862ED">
        <w:rPr>
          <w:rFonts w:eastAsiaTheme="minorEastAsia"/>
          <w:color w:val="FF0000"/>
          <w:kern w:val="0"/>
          <w:sz w:val="24"/>
          <w:szCs w:val="20"/>
        </w:rPr>
        <w:t>输配电</w:t>
      </w:r>
      <w:r w:rsidR="004862ED" w:rsidRPr="004862ED">
        <w:rPr>
          <w:rFonts w:eastAsiaTheme="minorEastAsia" w:hint="eastAsia"/>
          <w:color w:val="FF0000"/>
          <w:kern w:val="0"/>
          <w:sz w:val="24"/>
          <w:szCs w:val="20"/>
        </w:rPr>
        <w:t>77166</w:t>
      </w:r>
      <w:r w:rsidRPr="00F9522B">
        <w:rPr>
          <w:rFonts w:eastAsiaTheme="minorEastAsia"/>
          <w:kern w:val="0"/>
          <w:sz w:val="24"/>
          <w:szCs w:val="20"/>
        </w:rPr>
        <w:t>），临时占地的表土分层剥离，分别堆放在输配电工程、灌溉井、建筑物等施工场地内，并加盖苫布，贮存过程严格按照表土贮存要求，施工结束后，进行表土分层回填措施，使其逐渐恢复其原有生态系统。</w:t>
      </w:r>
    </w:p>
    <w:p w:rsidR="002A5A5E" w:rsidRPr="00F9522B" w:rsidRDefault="00611CBA">
      <w:pPr>
        <w:contextualSpacing/>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3-1-1</w:t>
      </w:r>
      <w:r w:rsidR="00B40846" w:rsidRPr="00F9522B">
        <w:rPr>
          <w:rFonts w:eastAsiaTheme="minorEastAsia"/>
          <w:b/>
          <w:kern w:val="0"/>
          <w:szCs w:val="21"/>
        </w:rPr>
        <w:t>4</w:t>
      </w:r>
      <w:r w:rsidR="004862ED">
        <w:rPr>
          <w:rFonts w:eastAsiaTheme="minorEastAsia" w:hint="eastAsia"/>
          <w:b/>
          <w:kern w:val="0"/>
          <w:szCs w:val="21"/>
        </w:rPr>
        <w:t xml:space="preserve"> </w:t>
      </w:r>
      <w:r w:rsidRPr="00F9522B">
        <w:rPr>
          <w:rFonts w:eastAsiaTheme="minorEastAsia"/>
          <w:b/>
          <w:kern w:val="0"/>
          <w:szCs w:val="21"/>
        </w:rPr>
        <w:t>表土平衡表</w:t>
      </w:r>
      <w:r w:rsidRPr="00F9522B">
        <w:rPr>
          <w:rFonts w:eastAsiaTheme="minorEastAsia"/>
          <w:b/>
          <w:kern w:val="0"/>
          <w:szCs w:val="21"/>
        </w:rPr>
        <w:t xml:space="preserve">         </w:t>
      </w:r>
      <w:r w:rsidRPr="00F9522B">
        <w:rPr>
          <w:rFonts w:eastAsiaTheme="minorEastAsia"/>
          <w:b/>
          <w:kern w:val="0"/>
          <w:szCs w:val="21"/>
        </w:rPr>
        <w:t>单位：</w:t>
      </w:r>
      <w:r w:rsidRPr="00F9522B">
        <w:rPr>
          <w:rFonts w:eastAsiaTheme="minorEastAsia"/>
          <w:b/>
          <w:kern w:val="0"/>
          <w:szCs w:val="21"/>
        </w:rPr>
        <w:t>m</w:t>
      </w:r>
      <w:r w:rsidRPr="00F9522B">
        <w:rPr>
          <w:rFonts w:eastAsiaTheme="minorEastAsia"/>
          <w:b/>
          <w:kern w:val="0"/>
          <w:szCs w:val="21"/>
          <w:vertAlign w:val="superscript"/>
        </w:rPr>
        <w:t>3</w:t>
      </w:r>
    </w:p>
    <w:tbl>
      <w:tblPr>
        <w:tblW w:w="5018" w:type="pct"/>
        <w:tblBorders>
          <w:top w:val="single" w:sz="12" w:space="0" w:color="auto"/>
          <w:bottom w:val="single" w:sz="12" w:space="0" w:color="auto"/>
          <w:insideH w:val="single" w:sz="4" w:space="0" w:color="auto"/>
          <w:insideV w:val="single" w:sz="4" w:space="0" w:color="auto"/>
        </w:tblBorders>
        <w:tblLayout w:type="fixed"/>
        <w:tblCellMar>
          <w:left w:w="28" w:type="dxa"/>
          <w:right w:w="28" w:type="dxa"/>
        </w:tblCellMar>
        <w:tblLook w:val="04A0"/>
      </w:tblPr>
      <w:tblGrid>
        <w:gridCol w:w="263"/>
        <w:gridCol w:w="268"/>
        <w:gridCol w:w="791"/>
        <w:gridCol w:w="692"/>
        <w:gridCol w:w="708"/>
        <w:gridCol w:w="567"/>
        <w:gridCol w:w="1135"/>
        <w:gridCol w:w="707"/>
        <w:gridCol w:w="994"/>
        <w:gridCol w:w="992"/>
        <w:gridCol w:w="708"/>
        <w:gridCol w:w="567"/>
      </w:tblGrid>
      <w:tr w:rsidR="002A5A5E" w:rsidRPr="00F9522B" w:rsidTr="00BA2329">
        <w:trPr>
          <w:trHeight w:val="89"/>
        </w:trPr>
        <w:tc>
          <w:tcPr>
            <w:tcW w:w="316" w:type="pct"/>
            <w:gridSpan w:val="2"/>
            <w:vMerge w:val="restart"/>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工程名称</w:t>
            </w:r>
          </w:p>
        </w:tc>
        <w:tc>
          <w:tcPr>
            <w:tcW w:w="471" w:type="pct"/>
            <w:vMerge w:val="restart"/>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挖方</w:t>
            </w:r>
          </w:p>
        </w:tc>
        <w:tc>
          <w:tcPr>
            <w:tcW w:w="412" w:type="pct"/>
            <w:vMerge w:val="restart"/>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填方</w:t>
            </w:r>
          </w:p>
        </w:tc>
        <w:tc>
          <w:tcPr>
            <w:tcW w:w="422" w:type="pct"/>
            <w:vMerge w:val="restart"/>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利用方</w:t>
            </w:r>
          </w:p>
        </w:tc>
        <w:tc>
          <w:tcPr>
            <w:tcW w:w="1014" w:type="pct"/>
            <w:gridSpan w:val="2"/>
            <w:vAlign w:val="center"/>
          </w:tcPr>
          <w:p w:rsidR="002A5A5E" w:rsidRPr="00F9522B" w:rsidRDefault="00611CBA">
            <w:pPr>
              <w:widowControl/>
              <w:jc w:val="center"/>
              <w:rPr>
                <w:rFonts w:eastAsiaTheme="minorEastAsia"/>
                <w:kern w:val="0"/>
                <w:szCs w:val="21"/>
              </w:rPr>
            </w:pPr>
            <w:r w:rsidRPr="00F9522B">
              <w:rPr>
                <w:rFonts w:eastAsiaTheme="minorEastAsia"/>
                <w:szCs w:val="21"/>
              </w:rPr>
              <w:t>借方</w:t>
            </w:r>
          </w:p>
        </w:tc>
        <w:tc>
          <w:tcPr>
            <w:tcW w:w="1013" w:type="pct"/>
            <w:gridSpan w:val="2"/>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区域内调出方</w:t>
            </w:r>
          </w:p>
        </w:tc>
        <w:tc>
          <w:tcPr>
            <w:tcW w:w="591" w:type="pct"/>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区域内调入方</w:t>
            </w:r>
          </w:p>
        </w:tc>
        <w:tc>
          <w:tcPr>
            <w:tcW w:w="760" w:type="pct"/>
            <w:gridSpan w:val="2"/>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弃方</w:t>
            </w:r>
          </w:p>
        </w:tc>
      </w:tr>
      <w:tr w:rsidR="002A5A5E" w:rsidRPr="00F9522B" w:rsidTr="00BA2329">
        <w:trPr>
          <w:trHeight w:val="282"/>
        </w:trPr>
        <w:tc>
          <w:tcPr>
            <w:tcW w:w="316" w:type="pct"/>
            <w:gridSpan w:val="2"/>
            <w:vMerge/>
            <w:vAlign w:val="center"/>
          </w:tcPr>
          <w:p w:rsidR="002A5A5E" w:rsidRPr="00F9522B" w:rsidRDefault="002A5A5E">
            <w:pPr>
              <w:jc w:val="center"/>
              <w:rPr>
                <w:rFonts w:eastAsiaTheme="minorEastAsia"/>
                <w:szCs w:val="21"/>
              </w:rPr>
            </w:pPr>
          </w:p>
        </w:tc>
        <w:tc>
          <w:tcPr>
            <w:tcW w:w="471" w:type="pct"/>
            <w:vMerge/>
            <w:vAlign w:val="center"/>
          </w:tcPr>
          <w:p w:rsidR="002A5A5E" w:rsidRPr="00F9522B" w:rsidRDefault="002A5A5E">
            <w:pPr>
              <w:jc w:val="center"/>
              <w:rPr>
                <w:rFonts w:eastAsiaTheme="minorEastAsia"/>
                <w:szCs w:val="21"/>
              </w:rPr>
            </w:pPr>
          </w:p>
        </w:tc>
        <w:tc>
          <w:tcPr>
            <w:tcW w:w="412" w:type="pct"/>
            <w:vMerge/>
            <w:vAlign w:val="center"/>
          </w:tcPr>
          <w:p w:rsidR="002A5A5E" w:rsidRPr="00F9522B" w:rsidRDefault="002A5A5E">
            <w:pPr>
              <w:jc w:val="center"/>
              <w:rPr>
                <w:rFonts w:eastAsiaTheme="minorEastAsia"/>
                <w:szCs w:val="21"/>
              </w:rPr>
            </w:pPr>
          </w:p>
        </w:tc>
        <w:tc>
          <w:tcPr>
            <w:tcW w:w="422" w:type="pct"/>
            <w:vMerge/>
            <w:vAlign w:val="center"/>
          </w:tcPr>
          <w:p w:rsidR="002A5A5E" w:rsidRPr="00F9522B" w:rsidRDefault="002A5A5E">
            <w:pPr>
              <w:widowControl/>
              <w:jc w:val="center"/>
              <w:rPr>
                <w:rFonts w:eastAsiaTheme="minorEastAsia"/>
                <w:kern w:val="0"/>
                <w:szCs w:val="21"/>
              </w:rPr>
            </w:pPr>
          </w:p>
        </w:tc>
        <w:tc>
          <w:tcPr>
            <w:tcW w:w="338" w:type="pct"/>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数量</w:t>
            </w:r>
          </w:p>
        </w:tc>
        <w:tc>
          <w:tcPr>
            <w:tcW w:w="676" w:type="pct"/>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来源</w:t>
            </w:r>
          </w:p>
        </w:tc>
        <w:tc>
          <w:tcPr>
            <w:tcW w:w="421" w:type="pct"/>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数量</w:t>
            </w:r>
          </w:p>
        </w:tc>
        <w:tc>
          <w:tcPr>
            <w:tcW w:w="592" w:type="pct"/>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去向</w:t>
            </w:r>
          </w:p>
        </w:tc>
        <w:tc>
          <w:tcPr>
            <w:tcW w:w="591" w:type="pct"/>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数量</w:t>
            </w:r>
          </w:p>
        </w:tc>
        <w:tc>
          <w:tcPr>
            <w:tcW w:w="422" w:type="pct"/>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数量</w:t>
            </w:r>
          </w:p>
        </w:tc>
        <w:tc>
          <w:tcPr>
            <w:tcW w:w="338" w:type="pct"/>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去向</w:t>
            </w:r>
          </w:p>
        </w:tc>
      </w:tr>
      <w:tr w:rsidR="002A5A5E" w:rsidRPr="00F9522B" w:rsidTr="00BA2329">
        <w:trPr>
          <w:trHeight w:val="455"/>
        </w:trPr>
        <w:tc>
          <w:tcPr>
            <w:tcW w:w="316" w:type="pct"/>
            <w:gridSpan w:val="2"/>
            <w:vAlign w:val="center"/>
          </w:tcPr>
          <w:p w:rsidR="002A5A5E" w:rsidRPr="00F9522B" w:rsidRDefault="00611CBA">
            <w:pPr>
              <w:widowControl/>
              <w:jc w:val="center"/>
              <w:rPr>
                <w:rFonts w:eastAsiaTheme="minorEastAsia"/>
                <w:kern w:val="0"/>
                <w:szCs w:val="21"/>
              </w:rPr>
            </w:pPr>
            <w:r w:rsidRPr="00F9522B">
              <w:rPr>
                <w:rFonts w:eastAsiaTheme="minorEastAsia"/>
                <w:szCs w:val="21"/>
              </w:rPr>
              <w:t>农田输配电工程</w:t>
            </w:r>
          </w:p>
        </w:tc>
        <w:tc>
          <w:tcPr>
            <w:tcW w:w="471" w:type="pct"/>
            <w:vAlign w:val="center"/>
          </w:tcPr>
          <w:p w:rsidR="002A5A5E" w:rsidRPr="004862ED" w:rsidRDefault="004862ED">
            <w:pPr>
              <w:jc w:val="center"/>
              <w:rPr>
                <w:rFonts w:eastAsiaTheme="minorEastAsia"/>
                <w:bCs/>
                <w:color w:val="FF0000"/>
                <w:szCs w:val="21"/>
              </w:rPr>
            </w:pPr>
            <w:r w:rsidRPr="004862ED">
              <w:rPr>
                <w:rFonts w:eastAsiaTheme="minorEastAsia" w:hint="eastAsia"/>
                <w:bCs/>
                <w:color w:val="FF0000"/>
                <w:szCs w:val="21"/>
              </w:rPr>
              <w:t>77371.2</w:t>
            </w:r>
          </w:p>
        </w:tc>
        <w:tc>
          <w:tcPr>
            <w:tcW w:w="412" w:type="pct"/>
            <w:vAlign w:val="center"/>
          </w:tcPr>
          <w:p w:rsidR="002A5A5E" w:rsidRPr="004862ED" w:rsidRDefault="004862ED">
            <w:pPr>
              <w:jc w:val="center"/>
              <w:rPr>
                <w:rFonts w:eastAsiaTheme="minorEastAsia"/>
                <w:color w:val="FF0000"/>
                <w:szCs w:val="21"/>
              </w:rPr>
            </w:pPr>
            <w:r w:rsidRPr="004862ED">
              <w:rPr>
                <w:rFonts w:eastAsiaTheme="minorEastAsia" w:hint="eastAsia"/>
                <w:color w:val="FF0000"/>
                <w:szCs w:val="21"/>
              </w:rPr>
              <w:t>77166</w:t>
            </w:r>
          </w:p>
        </w:tc>
        <w:tc>
          <w:tcPr>
            <w:tcW w:w="422" w:type="pct"/>
            <w:vAlign w:val="center"/>
          </w:tcPr>
          <w:p w:rsidR="002A5A5E" w:rsidRPr="004862ED" w:rsidRDefault="004862ED">
            <w:pPr>
              <w:widowControl/>
              <w:jc w:val="center"/>
              <w:rPr>
                <w:rFonts w:eastAsiaTheme="minorEastAsia"/>
                <w:color w:val="FF0000"/>
                <w:kern w:val="0"/>
                <w:szCs w:val="21"/>
              </w:rPr>
            </w:pPr>
            <w:r w:rsidRPr="004862ED">
              <w:rPr>
                <w:rFonts w:eastAsiaTheme="minorEastAsia" w:hint="eastAsia"/>
                <w:color w:val="FF0000"/>
                <w:kern w:val="0"/>
                <w:szCs w:val="21"/>
              </w:rPr>
              <w:t>77166</w:t>
            </w:r>
          </w:p>
        </w:tc>
        <w:tc>
          <w:tcPr>
            <w:tcW w:w="338" w:type="pct"/>
            <w:vAlign w:val="center"/>
          </w:tcPr>
          <w:p w:rsidR="002A5A5E" w:rsidRPr="00F9522B" w:rsidRDefault="00611CBA">
            <w:pPr>
              <w:jc w:val="center"/>
              <w:rPr>
                <w:rFonts w:eastAsiaTheme="minorEastAsia"/>
                <w:szCs w:val="21"/>
              </w:rPr>
            </w:pPr>
            <w:r w:rsidRPr="00F9522B">
              <w:rPr>
                <w:rFonts w:eastAsiaTheme="minorEastAsia"/>
                <w:szCs w:val="21"/>
              </w:rPr>
              <w:t>0</w:t>
            </w:r>
          </w:p>
        </w:tc>
        <w:tc>
          <w:tcPr>
            <w:tcW w:w="676" w:type="pct"/>
            <w:vAlign w:val="center"/>
          </w:tcPr>
          <w:p w:rsidR="002A5A5E" w:rsidRPr="00F9522B" w:rsidRDefault="00611CBA">
            <w:pPr>
              <w:jc w:val="center"/>
              <w:rPr>
                <w:rFonts w:eastAsiaTheme="minorEastAsia"/>
                <w:szCs w:val="21"/>
              </w:rPr>
            </w:pPr>
            <w:r w:rsidRPr="00F9522B">
              <w:rPr>
                <w:rFonts w:eastAsiaTheme="minorEastAsia"/>
                <w:szCs w:val="21"/>
              </w:rPr>
              <w:t>/</w:t>
            </w:r>
          </w:p>
        </w:tc>
        <w:tc>
          <w:tcPr>
            <w:tcW w:w="421" w:type="pct"/>
            <w:vAlign w:val="center"/>
          </w:tcPr>
          <w:p w:rsidR="002A5A5E" w:rsidRPr="00F9522B" w:rsidRDefault="004E6397">
            <w:pPr>
              <w:jc w:val="center"/>
              <w:rPr>
                <w:rFonts w:eastAsiaTheme="minorEastAsia"/>
                <w:szCs w:val="21"/>
              </w:rPr>
            </w:pPr>
            <w:r w:rsidRPr="00F9522B">
              <w:rPr>
                <w:rFonts w:eastAsiaTheme="minorEastAsia"/>
                <w:szCs w:val="21"/>
              </w:rPr>
              <w:t>205.2</w:t>
            </w:r>
          </w:p>
        </w:tc>
        <w:tc>
          <w:tcPr>
            <w:tcW w:w="592" w:type="pct"/>
            <w:vAlign w:val="center"/>
          </w:tcPr>
          <w:p w:rsidR="002A5A5E" w:rsidRPr="00F9522B" w:rsidRDefault="00611CBA">
            <w:pPr>
              <w:jc w:val="center"/>
              <w:rPr>
                <w:rFonts w:eastAsiaTheme="minorEastAsia"/>
                <w:szCs w:val="21"/>
              </w:rPr>
            </w:pPr>
            <w:r w:rsidRPr="00F9522B">
              <w:rPr>
                <w:rFonts w:eastAsiaTheme="minorEastAsia"/>
                <w:szCs w:val="21"/>
              </w:rPr>
              <w:t>田块整治工程</w:t>
            </w:r>
          </w:p>
        </w:tc>
        <w:tc>
          <w:tcPr>
            <w:tcW w:w="591" w:type="pct"/>
            <w:vAlign w:val="center"/>
          </w:tcPr>
          <w:p w:rsidR="002A5A5E" w:rsidRPr="00F9522B" w:rsidRDefault="00611CBA">
            <w:pPr>
              <w:jc w:val="center"/>
              <w:rPr>
                <w:rFonts w:eastAsiaTheme="minorEastAsia"/>
                <w:szCs w:val="21"/>
              </w:rPr>
            </w:pPr>
            <w:r w:rsidRPr="00F9522B">
              <w:rPr>
                <w:rFonts w:eastAsiaTheme="minorEastAsia"/>
                <w:szCs w:val="21"/>
              </w:rPr>
              <w:t>205.2</w:t>
            </w:r>
          </w:p>
        </w:tc>
        <w:tc>
          <w:tcPr>
            <w:tcW w:w="422" w:type="pct"/>
            <w:vAlign w:val="center"/>
          </w:tcPr>
          <w:p w:rsidR="002A5A5E" w:rsidRPr="00F9522B" w:rsidRDefault="00611CBA">
            <w:pPr>
              <w:jc w:val="center"/>
              <w:rPr>
                <w:rFonts w:eastAsiaTheme="minorEastAsia"/>
                <w:szCs w:val="21"/>
              </w:rPr>
            </w:pPr>
            <w:r w:rsidRPr="00F9522B">
              <w:rPr>
                <w:rFonts w:eastAsiaTheme="minorEastAsia"/>
                <w:szCs w:val="21"/>
              </w:rPr>
              <w:t>0</w:t>
            </w:r>
          </w:p>
        </w:tc>
        <w:tc>
          <w:tcPr>
            <w:tcW w:w="338" w:type="pct"/>
            <w:vAlign w:val="center"/>
          </w:tcPr>
          <w:p w:rsidR="002A5A5E" w:rsidRPr="00F9522B" w:rsidRDefault="00611CBA">
            <w:pPr>
              <w:jc w:val="center"/>
              <w:rPr>
                <w:rFonts w:eastAsiaTheme="minorEastAsia"/>
                <w:szCs w:val="21"/>
              </w:rPr>
            </w:pPr>
            <w:r w:rsidRPr="00F9522B">
              <w:rPr>
                <w:rFonts w:eastAsiaTheme="minorEastAsia"/>
                <w:szCs w:val="21"/>
              </w:rPr>
              <w:t>/</w:t>
            </w:r>
          </w:p>
        </w:tc>
      </w:tr>
      <w:tr w:rsidR="002A5A5E" w:rsidRPr="00F9522B" w:rsidTr="001E454C">
        <w:trPr>
          <w:trHeight w:val="587"/>
        </w:trPr>
        <w:tc>
          <w:tcPr>
            <w:tcW w:w="157" w:type="pct"/>
            <w:vMerge w:val="restart"/>
            <w:vAlign w:val="center"/>
          </w:tcPr>
          <w:p w:rsidR="002A5A5E" w:rsidRPr="00F9522B" w:rsidRDefault="00611CBA">
            <w:pPr>
              <w:widowControl/>
              <w:jc w:val="center"/>
              <w:rPr>
                <w:rFonts w:eastAsiaTheme="minorEastAsia"/>
                <w:kern w:val="0"/>
                <w:szCs w:val="21"/>
              </w:rPr>
            </w:pPr>
            <w:r w:rsidRPr="00F9522B">
              <w:rPr>
                <w:rFonts w:eastAsiaTheme="minorEastAsia"/>
                <w:szCs w:val="21"/>
              </w:rPr>
              <w:t>灌溉与排水工程</w:t>
            </w:r>
          </w:p>
        </w:tc>
        <w:tc>
          <w:tcPr>
            <w:tcW w:w="160" w:type="pct"/>
            <w:vAlign w:val="center"/>
          </w:tcPr>
          <w:p w:rsidR="002A5A5E" w:rsidRPr="00F9522B" w:rsidRDefault="00611CBA">
            <w:pPr>
              <w:widowControl/>
              <w:jc w:val="center"/>
              <w:rPr>
                <w:rFonts w:eastAsiaTheme="minorEastAsia"/>
                <w:szCs w:val="21"/>
              </w:rPr>
            </w:pPr>
            <w:r w:rsidRPr="00F9522B">
              <w:rPr>
                <w:rFonts w:eastAsiaTheme="minorEastAsia"/>
                <w:szCs w:val="21"/>
              </w:rPr>
              <w:t>灌溉井</w:t>
            </w:r>
          </w:p>
        </w:tc>
        <w:tc>
          <w:tcPr>
            <w:tcW w:w="471" w:type="pct"/>
            <w:vAlign w:val="center"/>
          </w:tcPr>
          <w:p w:rsidR="002A5A5E" w:rsidRPr="00F9522B" w:rsidRDefault="001E454C">
            <w:pPr>
              <w:jc w:val="center"/>
              <w:rPr>
                <w:rFonts w:eastAsiaTheme="minorEastAsia"/>
                <w:bCs/>
                <w:szCs w:val="21"/>
              </w:rPr>
            </w:pPr>
            <w:r w:rsidRPr="00F9522B">
              <w:rPr>
                <w:rFonts w:eastAsiaTheme="minorEastAsia"/>
                <w:bCs/>
                <w:szCs w:val="21"/>
              </w:rPr>
              <w:t>2998.8</w:t>
            </w:r>
          </w:p>
        </w:tc>
        <w:tc>
          <w:tcPr>
            <w:tcW w:w="412" w:type="pct"/>
            <w:vAlign w:val="center"/>
          </w:tcPr>
          <w:p w:rsidR="002A5A5E" w:rsidRPr="00F9522B" w:rsidRDefault="001E454C">
            <w:pPr>
              <w:jc w:val="center"/>
              <w:rPr>
                <w:rFonts w:eastAsiaTheme="minorEastAsia"/>
                <w:szCs w:val="21"/>
              </w:rPr>
            </w:pPr>
            <w:r w:rsidRPr="00F9522B">
              <w:rPr>
                <w:rFonts w:eastAsiaTheme="minorEastAsia"/>
                <w:szCs w:val="21"/>
              </w:rPr>
              <w:t>2376</w:t>
            </w:r>
          </w:p>
        </w:tc>
        <w:tc>
          <w:tcPr>
            <w:tcW w:w="422" w:type="pct"/>
            <w:vAlign w:val="center"/>
          </w:tcPr>
          <w:p w:rsidR="002A5A5E" w:rsidRPr="00F9522B" w:rsidRDefault="001E454C">
            <w:pPr>
              <w:widowControl/>
              <w:jc w:val="center"/>
              <w:rPr>
                <w:rFonts w:eastAsiaTheme="minorEastAsia"/>
                <w:kern w:val="0"/>
                <w:szCs w:val="21"/>
              </w:rPr>
            </w:pPr>
            <w:r w:rsidRPr="00F9522B">
              <w:rPr>
                <w:rFonts w:eastAsiaTheme="minorEastAsia"/>
                <w:kern w:val="0"/>
                <w:szCs w:val="21"/>
              </w:rPr>
              <w:t>2376</w:t>
            </w:r>
          </w:p>
        </w:tc>
        <w:tc>
          <w:tcPr>
            <w:tcW w:w="338" w:type="pct"/>
            <w:vAlign w:val="center"/>
          </w:tcPr>
          <w:p w:rsidR="002A5A5E" w:rsidRPr="00F9522B" w:rsidRDefault="00611CBA">
            <w:pPr>
              <w:jc w:val="center"/>
              <w:rPr>
                <w:rFonts w:eastAsiaTheme="minorEastAsia"/>
                <w:szCs w:val="21"/>
              </w:rPr>
            </w:pPr>
            <w:r w:rsidRPr="00F9522B">
              <w:rPr>
                <w:rFonts w:eastAsiaTheme="minorEastAsia"/>
                <w:szCs w:val="21"/>
              </w:rPr>
              <w:t>0</w:t>
            </w:r>
          </w:p>
        </w:tc>
        <w:tc>
          <w:tcPr>
            <w:tcW w:w="676" w:type="pct"/>
            <w:vAlign w:val="center"/>
          </w:tcPr>
          <w:p w:rsidR="002A5A5E" w:rsidRPr="00F9522B" w:rsidRDefault="00611CBA">
            <w:pPr>
              <w:jc w:val="center"/>
              <w:rPr>
                <w:rFonts w:eastAsiaTheme="minorEastAsia"/>
                <w:szCs w:val="21"/>
              </w:rPr>
            </w:pPr>
            <w:r w:rsidRPr="00F9522B">
              <w:rPr>
                <w:rFonts w:eastAsiaTheme="minorEastAsia"/>
                <w:szCs w:val="21"/>
              </w:rPr>
              <w:t>/</w:t>
            </w:r>
          </w:p>
        </w:tc>
        <w:tc>
          <w:tcPr>
            <w:tcW w:w="421" w:type="pct"/>
            <w:vAlign w:val="center"/>
          </w:tcPr>
          <w:p w:rsidR="002A5A5E" w:rsidRPr="00F9522B" w:rsidRDefault="001E454C">
            <w:pPr>
              <w:jc w:val="center"/>
              <w:rPr>
                <w:rFonts w:eastAsiaTheme="minorEastAsia"/>
                <w:szCs w:val="21"/>
              </w:rPr>
            </w:pPr>
            <w:r w:rsidRPr="00F9522B">
              <w:rPr>
                <w:rFonts w:eastAsiaTheme="minorEastAsia"/>
                <w:szCs w:val="21"/>
              </w:rPr>
              <w:t>622.8</w:t>
            </w:r>
          </w:p>
        </w:tc>
        <w:tc>
          <w:tcPr>
            <w:tcW w:w="592" w:type="pct"/>
            <w:vAlign w:val="center"/>
          </w:tcPr>
          <w:p w:rsidR="002A5A5E" w:rsidRPr="00F9522B" w:rsidRDefault="00611CBA">
            <w:pPr>
              <w:jc w:val="center"/>
              <w:rPr>
                <w:rFonts w:eastAsiaTheme="minorEastAsia"/>
                <w:szCs w:val="21"/>
              </w:rPr>
            </w:pPr>
            <w:r w:rsidRPr="00F9522B">
              <w:rPr>
                <w:rFonts w:eastAsiaTheme="minorEastAsia"/>
                <w:szCs w:val="21"/>
              </w:rPr>
              <w:t>田块整治工程</w:t>
            </w:r>
          </w:p>
        </w:tc>
        <w:tc>
          <w:tcPr>
            <w:tcW w:w="591" w:type="pct"/>
            <w:vAlign w:val="center"/>
          </w:tcPr>
          <w:p w:rsidR="002A5A5E" w:rsidRPr="00F9522B" w:rsidRDefault="001E454C">
            <w:pPr>
              <w:jc w:val="center"/>
              <w:rPr>
                <w:rFonts w:eastAsiaTheme="minorEastAsia"/>
                <w:szCs w:val="21"/>
              </w:rPr>
            </w:pPr>
            <w:r w:rsidRPr="00F9522B">
              <w:rPr>
                <w:rFonts w:eastAsiaTheme="minorEastAsia"/>
                <w:szCs w:val="21"/>
              </w:rPr>
              <w:t>622.8</w:t>
            </w:r>
          </w:p>
        </w:tc>
        <w:tc>
          <w:tcPr>
            <w:tcW w:w="422" w:type="pct"/>
            <w:vAlign w:val="center"/>
          </w:tcPr>
          <w:p w:rsidR="002A5A5E" w:rsidRPr="00F9522B" w:rsidRDefault="00611CBA">
            <w:pPr>
              <w:jc w:val="center"/>
              <w:rPr>
                <w:rFonts w:eastAsiaTheme="minorEastAsia"/>
                <w:szCs w:val="21"/>
              </w:rPr>
            </w:pPr>
            <w:r w:rsidRPr="00F9522B">
              <w:rPr>
                <w:rFonts w:eastAsiaTheme="minorEastAsia"/>
                <w:szCs w:val="21"/>
              </w:rPr>
              <w:t>0</w:t>
            </w:r>
          </w:p>
        </w:tc>
        <w:tc>
          <w:tcPr>
            <w:tcW w:w="338" w:type="pct"/>
            <w:vAlign w:val="center"/>
          </w:tcPr>
          <w:p w:rsidR="002A5A5E" w:rsidRPr="00F9522B" w:rsidRDefault="00611CBA">
            <w:pPr>
              <w:jc w:val="center"/>
              <w:rPr>
                <w:rFonts w:eastAsiaTheme="minorEastAsia"/>
                <w:szCs w:val="21"/>
              </w:rPr>
            </w:pPr>
            <w:r w:rsidRPr="00F9522B">
              <w:rPr>
                <w:rFonts w:eastAsiaTheme="minorEastAsia"/>
                <w:szCs w:val="21"/>
              </w:rPr>
              <w:t>/</w:t>
            </w:r>
          </w:p>
        </w:tc>
      </w:tr>
      <w:tr w:rsidR="002A5A5E" w:rsidRPr="00F9522B" w:rsidTr="001E454C">
        <w:trPr>
          <w:trHeight w:val="587"/>
        </w:trPr>
        <w:tc>
          <w:tcPr>
            <w:tcW w:w="157" w:type="pct"/>
            <w:vMerge/>
            <w:vAlign w:val="center"/>
          </w:tcPr>
          <w:p w:rsidR="002A5A5E" w:rsidRPr="00F9522B" w:rsidRDefault="002A5A5E">
            <w:pPr>
              <w:widowControl/>
              <w:jc w:val="center"/>
              <w:rPr>
                <w:rFonts w:eastAsiaTheme="minorEastAsia"/>
                <w:szCs w:val="21"/>
              </w:rPr>
            </w:pPr>
          </w:p>
        </w:tc>
        <w:tc>
          <w:tcPr>
            <w:tcW w:w="160" w:type="pct"/>
            <w:vAlign w:val="center"/>
          </w:tcPr>
          <w:p w:rsidR="002A5A5E" w:rsidRPr="00F9522B" w:rsidRDefault="00611CBA">
            <w:pPr>
              <w:widowControl/>
              <w:jc w:val="center"/>
              <w:rPr>
                <w:rFonts w:eastAsiaTheme="minorEastAsia"/>
                <w:szCs w:val="21"/>
              </w:rPr>
            </w:pPr>
            <w:r w:rsidRPr="00F9522B">
              <w:rPr>
                <w:rFonts w:eastAsiaTheme="minorEastAsia"/>
                <w:szCs w:val="21"/>
              </w:rPr>
              <w:t>建筑物</w:t>
            </w:r>
          </w:p>
        </w:tc>
        <w:tc>
          <w:tcPr>
            <w:tcW w:w="471" w:type="pct"/>
            <w:vAlign w:val="center"/>
          </w:tcPr>
          <w:p w:rsidR="002A5A5E" w:rsidRPr="00F9522B" w:rsidRDefault="001E454C">
            <w:pPr>
              <w:jc w:val="center"/>
              <w:rPr>
                <w:rFonts w:eastAsiaTheme="minorEastAsia"/>
                <w:szCs w:val="21"/>
              </w:rPr>
            </w:pPr>
            <w:r w:rsidRPr="00F9522B">
              <w:rPr>
                <w:rFonts w:eastAsiaTheme="minorEastAsia"/>
                <w:szCs w:val="21"/>
              </w:rPr>
              <w:t>10650</w:t>
            </w:r>
          </w:p>
        </w:tc>
        <w:tc>
          <w:tcPr>
            <w:tcW w:w="412" w:type="pct"/>
            <w:vAlign w:val="center"/>
          </w:tcPr>
          <w:p w:rsidR="002A5A5E" w:rsidRPr="00F9522B" w:rsidRDefault="001E454C">
            <w:pPr>
              <w:jc w:val="center"/>
              <w:rPr>
                <w:rFonts w:eastAsiaTheme="minorEastAsia"/>
                <w:szCs w:val="21"/>
              </w:rPr>
            </w:pPr>
            <w:r w:rsidRPr="00F9522B">
              <w:rPr>
                <w:rFonts w:eastAsiaTheme="minorEastAsia"/>
                <w:szCs w:val="21"/>
              </w:rPr>
              <w:t>8700</w:t>
            </w:r>
          </w:p>
        </w:tc>
        <w:tc>
          <w:tcPr>
            <w:tcW w:w="422" w:type="pct"/>
            <w:vAlign w:val="center"/>
          </w:tcPr>
          <w:p w:rsidR="002A5A5E" w:rsidRPr="00F9522B" w:rsidRDefault="001E454C" w:rsidP="001E454C">
            <w:pPr>
              <w:jc w:val="center"/>
              <w:rPr>
                <w:rFonts w:eastAsiaTheme="minorEastAsia"/>
                <w:szCs w:val="21"/>
              </w:rPr>
            </w:pPr>
            <w:r w:rsidRPr="00F9522B">
              <w:rPr>
                <w:rFonts w:eastAsiaTheme="minorEastAsia"/>
                <w:szCs w:val="21"/>
              </w:rPr>
              <w:t>8700</w:t>
            </w:r>
          </w:p>
        </w:tc>
        <w:tc>
          <w:tcPr>
            <w:tcW w:w="338" w:type="pct"/>
            <w:vAlign w:val="center"/>
          </w:tcPr>
          <w:p w:rsidR="002A5A5E" w:rsidRPr="00F9522B" w:rsidRDefault="00611CBA">
            <w:pPr>
              <w:jc w:val="center"/>
              <w:rPr>
                <w:rFonts w:eastAsiaTheme="minorEastAsia"/>
                <w:szCs w:val="21"/>
              </w:rPr>
            </w:pPr>
            <w:r w:rsidRPr="00F9522B">
              <w:rPr>
                <w:rFonts w:eastAsiaTheme="minorEastAsia"/>
                <w:szCs w:val="21"/>
              </w:rPr>
              <w:t>0</w:t>
            </w:r>
          </w:p>
        </w:tc>
        <w:tc>
          <w:tcPr>
            <w:tcW w:w="676" w:type="pct"/>
            <w:vAlign w:val="center"/>
          </w:tcPr>
          <w:p w:rsidR="002A5A5E" w:rsidRPr="00F9522B" w:rsidRDefault="00611CBA">
            <w:pPr>
              <w:jc w:val="center"/>
              <w:rPr>
                <w:rFonts w:eastAsiaTheme="minorEastAsia"/>
                <w:szCs w:val="21"/>
              </w:rPr>
            </w:pPr>
            <w:r w:rsidRPr="00F9522B">
              <w:rPr>
                <w:rFonts w:eastAsiaTheme="minorEastAsia"/>
                <w:szCs w:val="21"/>
              </w:rPr>
              <w:t>/</w:t>
            </w:r>
          </w:p>
        </w:tc>
        <w:tc>
          <w:tcPr>
            <w:tcW w:w="421" w:type="pct"/>
            <w:vAlign w:val="center"/>
          </w:tcPr>
          <w:p w:rsidR="002A5A5E" w:rsidRPr="00F9522B" w:rsidRDefault="001E454C">
            <w:pPr>
              <w:jc w:val="center"/>
              <w:rPr>
                <w:rFonts w:eastAsiaTheme="minorEastAsia"/>
                <w:szCs w:val="21"/>
              </w:rPr>
            </w:pPr>
            <w:r w:rsidRPr="00F9522B">
              <w:rPr>
                <w:rFonts w:eastAsiaTheme="minorEastAsia"/>
                <w:szCs w:val="21"/>
              </w:rPr>
              <w:t>1950</w:t>
            </w:r>
          </w:p>
        </w:tc>
        <w:tc>
          <w:tcPr>
            <w:tcW w:w="592" w:type="pct"/>
            <w:vAlign w:val="center"/>
          </w:tcPr>
          <w:p w:rsidR="002A5A5E" w:rsidRPr="00F9522B" w:rsidRDefault="00611CBA">
            <w:pPr>
              <w:jc w:val="center"/>
              <w:rPr>
                <w:rFonts w:eastAsiaTheme="minorEastAsia"/>
                <w:szCs w:val="21"/>
              </w:rPr>
            </w:pPr>
            <w:r w:rsidRPr="00F9522B">
              <w:rPr>
                <w:rFonts w:eastAsiaTheme="minorEastAsia"/>
                <w:szCs w:val="21"/>
              </w:rPr>
              <w:t>田块整治工程</w:t>
            </w:r>
          </w:p>
        </w:tc>
        <w:tc>
          <w:tcPr>
            <w:tcW w:w="591" w:type="pct"/>
            <w:vAlign w:val="center"/>
          </w:tcPr>
          <w:p w:rsidR="002A5A5E" w:rsidRPr="00F9522B" w:rsidRDefault="001E454C">
            <w:pPr>
              <w:jc w:val="center"/>
              <w:rPr>
                <w:rFonts w:eastAsiaTheme="minorEastAsia"/>
                <w:szCs w:val="21"/>
              </w:rPr>
            </w:pPr>
            <w:r w:rsidRPr="00F9522B">
              <w:rPr>
                <w:rFonts w:eastAsiaTheme="minorEastAsia"/>
                <w:szCs w:val="21"/>
              </w:rPr>
              <w:t>195</w:t>
            </w:r>
            <w:r w:rsidR="00611CBA" w:rsidRPr="00F9522B">
              <w:rPr>
                <w:rFonts w:eastAsiaTheme="minorEastAsia"/>
                <w:szCs w:val="21"/>
              </w:rPr>
              <w:t>0</w:t>
            </w:r>
          </w:p>
        </w:tc>
        <w:tc>
          <w:tcPr>
            <w:tcW w:w="422" w:type="pct"/>
            <w:vAlign w:val="center"/>
          </w:tcPr>
          <w:p w:rsidR="002A5A5E" w:rsidRPr="00F9522B" w:rsidRDefault="00611CBA">
            <w:pPr>
              <w:jc w:val="center"/>
              <w:rPr>
                <w:rFonts w:eastAsiaTheme="minorEastAsia"/>
                <w:szCs w:val="21"/>
              </w:rPr>
            </w:pPr>
            <w:r w:rsidRPr="00F9522B">
              <w:rPr>
                <w:rFonts w:eastAsiaTheme="minorEastAsia"/>
                <w:szCs w:val="21"/>
              </w:rPr>
              <w:t>0</w:t>
            </w:r>
          </w:p>
        </w:tc>
        <w:tc>
          <w:tcPr>
            <w:tcW w:w="338" w:type="pct"/>
            <w:vAlign w:val="center"/>
          </w:tcPr>
          <w:p w:rsidR="002A5A5E" w:rsidRPr="00F9522B" w:rsidRDefault="00611CBA">
            <w:pPr>
              <w:jc w:val="center"/>
              <w:rPr>
                <w:rFonts w:eastAsiaTheme="minorEastAsia"/>
                <w:szCs w:val="21"/>
              </w:rPr>
            </w:pPr>
            <w:r w:rsidRPr="00F9522B">
              <w:rPr>
                <w:rFonts w:eastAsiaTheme="minorEastAsia"/>
                <w:szCs w:val="21"/>
              </w:rPr>
              <w:t>/</w:t>
            </w:r>
          </w:p>
        </w:tc>
      </w:tr>
      <w:tr w:rsidR="002A5A5E" w:rsidRPr="00F9522B" w:rsidTr="00BA2329">
        <w:trPr>
          <w:trHeight w:val="587"/>
        </w:trPr>
        <w:tc>
          <w:tcPr>
            <w:tcW w:w="316" w:type="pct"/>
            <w:gridSpan w:val="2"/>
            <w:vAlign w:val="center"/>
          </w:tcPr>
          <w:p w:rsidR="002A5A5E" w:rsidRPr="00F9522B" w:rsidRDefault="00611CBA" w:rsidP="00F74680">
            <w:pPr>
              <w:jc w:val="center"/>
              <w:rPr>
                <w:rFonts w:eastAsiaTheme="minorEastAsia"/>
                <w:szCs w:val="21"/>
              </w:rPr>
            </w:pPr>
            <w:r w:rsidRPr="00F9522B">
              <w:rPr>
                <w:rFonts w:eastAsiaTheme="minorEastAsia"/>
                <w:szCs w:val="21"/>
              </w:rPr>
              <w:t>田块整治工程</w:t>
            </w:r>
          </w:p>
        </w:tc>
        <w:tc>
          <w:tcPr>
            <w:tcW w:w="471" w:type="pct"/>
            <w:vAlign w:val="center"/>
          </w:tcPr>
          <w:p w:rsidR="002A5A5E" w:rsidRPr="00F9522B" w:rsidRDefault="00F74680" w:rsidP="00F74680">
            <w:pPr>
              <w:jc w:val="center"/>
              <w:textAlignment w:val="center"/>
              <w:rPr>
                <w:rFonts w:eastAsiaTheme="minorEastAsia"/>
                <w:szCs w:val="21"/>
              </w:rPr>
            </w:pPr>
            <w:r w:rsidRPr="00F9522B">
              <w:rPr>
                <w:rFonts w:eastAsiaTheme="minorEastAsia"/>
                <w:szCs w:val="21"/>
              </w:rPr>
              <w:t>296400</w:t>
            </w:r>
          </w:p>
        </w:tc>
        <w:tc>
          <w:tcPr>
            <w:tcW w:w="412" w:type="pct"/>
            <w:vAlign w:val="center"/>
          </w:tcPr>
          <w:p w:rsidR="002A5A5E" w:rsidRPr="00F9522B" w:rsidRDefault="00BA2329" w:rsidP="00F74680">
            <w:pPr>
              <w:jc w:val="center"/>
              <w:textAlignment w:val="center"/>
              <w:rPr>
                <w:rFonts w:eastAsiaTheme="minorEastAsia"/>
                <w:szCs w:val="21"/>
              </w:rPr>
            </w:pPr>
            <w:r w:rsidRPr="00F9522B">
              <w:rPr>
                <w:rFonts w:eastAsiaTheme="minorEastAsia"/>
                <w:szCs w:val="21"/>
              </w:rPr>
              <w:t>351675</w:t>
            </w:r>
          </w:p>
        </w:tc>
        <w:tc>
          <w:tcPr>
            <w:tcW w:w="422" w:type="pct"/>
            <w:vAlign w:val="center"/>
          </w:tcPr>
          <w:p w:rsidR="002A5A5E" w:rsidRPr="00F9522B" w:rsidRDefault="00BA2329" w:rsidP="00F74680">
            <w:pPr>
              <w:jc w:val="center"/>
              <w:rPr>
                <w:rFonts w:eastAsiaTheme="minorEastAsia"/>
                <w:szCs w:val="21"/>
              </w:rPr>
            </w:pPr>
            <w:r w:rsidRPr="00F9522B">
              <w:rPr>
                <w:rFonts w:eastAsiaTheme="minorEastAsia"/>
                <w:szCs w:val="21"/>
              </w:rPr>
              <w:t>296400</w:t>
            </w:r>
          </w:p>
        </w:tc>
        <w:tc>
          <w:tcPr>
            <w:tcW w:w="338" w:type="pct"/>
            <w:vAlign w:val="center"/>
          </w:tcPr>
          <w:p w:rsidR="002A5A5E" w:rsidRPr="00F9522B" w:rsidRDefault="00F74680" w:rsidP="00F74680">
            <w:pPr>
              <w:jc w:val="center"/>
              <w:rPr>
                <w:rFonts w:eastAsiaTheme="minorEastAsia"/>
                <w:szCs w:val="21"/>
              </w:rPr>
            </w:pPr>
            <w:r w:rsidRPr="00F9522B">
              <w:rPr>
                <w:rFonts w:eastAsiaTheme="minorEastAsia"/>
                <w:szCs w:val="21"/>
              </w:rPr>
              <w:t>55275</w:t>
            </w:r>
          </w:p>
        </w:tc>
        <w:tc>
          <w:tcPr>
            <w:tcW w:w="676" w:type="pct"/>
            <w:vAlign w:val="center"/>
          </w:tcPr>
          <w:p w:rsidR="002A5A5E" w:rsidRPr="00F9522B" w:rsidRDefault="00611CBA" w:rsidP="00F74680">
            <w:pPr>
              <w:jc w:val="center"/>
              <w:rPr>
                <w:rFonts w:eastAsiaTheme="minorEastAsia"/>
                <w:szCs w:val="21"/>
              </w:rPr>
            </w:pPr>
            <w:r w:rsidRPr="00F9522B">
              <w:rPr>
                <w:rFonts w:eastAsiaTheme="minorEastAsia"/>
                <w:szCs w:val="21"/>
              </w:rPr>
              <w:t>灌溉井、建筑物、农田输配电工程永久占地表土</w:t>
            </w:r>
            <w:r w:rsidR="004E6397" w:rsidRPr="00F9522B">
              <w:rPr>
                <w:rFonts w:eastAsiaTheme="minorEastAsia"/>
                <w:szCs w:val="21"/>
              </w:rPr>
              <w:t>2778</w:t>
            </w:r>
            <w:r w:rsidRPr="00F9522B">
              <w:rPr>
                <w:rFonts w:eastAsiaTheme="minorEastAsia"/>
                <w:szCs w:val="21"/>
              </w:rPr>
              <w:t>、黑土土源</w:t>
            </w:r>
            <w:r w:rsidR="00F74680" w:rsidRPr="00F9522B">
              <w:rPr>
                <w:rFonts w:eastAsiaTheme="minorEastAsia"/>
                <w:szCs w:val="21"/>
              </w:rPr>
              <w:t>52497</w:t>
            </w:r>
          </w:p>
        </w:tc>
        <w:tc>
          <w:tcPr>
            <w:tcW w:w="421" w:type="pct"/>
            <w:vAlign w:val="center"/>
          </w:tcPr>
          <w:p w:rsidR="002A5A5E" w:rsidRPr="00F9522B" w:rsidRDefault="00611CBA">
            <w:pPr>
              <w:jc w:val="center"/>
              <w:rPr>
                <w:rFonts w:eastAsiaTheme="minorEastAsia"/>
                <w:szCs w:val="21"/>
              </w:rPr>
            </w:pPr>
            <w:r w:rsidRPr="00F9522B">
              <w:rPr>
                <w:rFonts w:eastAsiaTheme="minorEastAsia"/>
                <w:szCs w:val="21"/>
              </w:rPr>
              <w:t>0</w:t>
            </w:r>
          </w:p>
        </w:tc>
        <w:tc>
          <w:tcPr>
            <w:tcW w:w="592" w:type="pct"/>
            <w:vAlign w:val="center"/>
          </w:tcPr>
          <w:p w:rsidR="002A5A5E" w:rsidRPr="00F9522B" w:rsidRDefault="00611CBA">
            <w:pPr>
              <w:jc w:val="center"/>
              <w:rPr>
                <w:rFonts w:eastAsiaTheme="minorEastAsia"/>
                <w:szCs w:val="21"/>
              </w:rPr>
            </w:pPr>
            <w:r w:rsidRPr="00F9522B">
              <w:rPr>
                <w:rFonts w:eastAsiaTheme="minorEastAsia"/>
                <w:szCs w:val="21"/>
              </w:rPr>
              <w:t>/</w:t>
            </w:r>
          </w:p>
        </w:tc>
        <w:tc>
          <w:tcPr>
            <w:tcW w:w="591" w:type="pct"/>
            <w:vAlign w:val="center"/>
          </w:tcPr>
          <w:p w:rsidR="002A5A5E" w:rsidRPr="00F9522B" w:rsidRDefault="00611CBA">
            <w:pPr>
              <w:jc w:val="center"/>
              <w:rPr>
                <w:rFonts w:eastAsiaTheme="minorEastAsia"/>
                <w:szCs w:val="21"/>
              </w:rPr>
            </w:pPr>
            <w:r w:rsidRPr="00F9522B">
              <w:rPr>
                <w:rFonts w:eastAsiaTheme="minorEastAsia"/>
                <w:szCs w:val="21"/>
              </w:rPr>
              <w:t>0</w:t>
            </w:r>
          </w:p>
        </w:tc>
        <w:tc>
          <w:tcPr>
            <w:tcW w:w="422" w:type="pct"/>
            <w:vAlign w:val="center"/>
          </w:tcPr>
          <w:p w:rsidR="002A5A5E" w:rsidRPr="00F9522B" w:rsidRDefault="00611CBA">
            <w:pPr>
              <w:jc w:val="center"/>
              <w:rPr>
                <w:rFonts w:eastAsiaTheme="minorEastAsia"/>
                <w:szCs w:val="21"/>
              </w:rPr>
            </w:pPr>
            <w:r w:rsidRPr="00F9522B">
              <w:rPr>
                <w:rFonts w:eastAsiaTheme="minorEastAsia"/>
                <w:szCs w:val="21"/>
              </w:rPr>
              <w:t>0</w:t>
            </w:r>
          </w:p>
        </w:tc>
        <w:tc>
          <w:tcPr>
            <w:tcW w:w="338" w:type="pct"/>
            <w:vAlign w:val="center"/>
          </w:tcPr>
          <w:p w:rsidR="002A5A5E" w:rsidRPr="00F9522B" w:rsidRDefault="00611CBA">
            <w:pPr>
              <w:jc w:val="center"/>
              <w:rPr>
                <w:rFonts w:eastAsiaTheme="minorEastAsia"/>
                <w:szCs w:val="21"/>
              </w:rPr>
            </w:pPr>
            <w:r w:rsidRPr="00F9522B">
              <w:rPr>
                <w:rFonts w:eastAsiaTheme="minorEastAsia"/>
                <w:szCs w:val="21"/>
              </w:rPr>
              <w:t>/</w:t>
            </w:r>
          </w:p>
        </w:tc>
      </w:tr>
      <w:tr w:rsidR="004862ED" w:rsidRPr="00F9522B" w:rsidTr="00BA2329">
        <w:trPr>
          <w:trHeight w:val="587"/>
        </w:trPr>
        <w:tc>
          <w:tcPr>
            <w:tcW w:w="316" w:type="pct"/>
            <w:gridSpan w:val="2"/>
            <w:vAlign w:val="center"/>
          </w:tcPr>
          <w:p w:rsidR="004862ED" w:rsidRPr="00F9522B" w:rsidRDefault="004862ED">
            <w:pPr>
              <w:widowControl/>
              <w:jc w:val="center"/>
              <w:rPr>
                <w:rFonts w:eastAsiaTheme="minorEastAsia"/>
                <w:kern w:val="0"/>
                <w:szCs w:val="21"/>
              </w:rPr>
            </w:pPr>
            <w:r w:rsidRPr="00F9522B">
              <w:rPr>
                <w:rFonts w:eastAsiaTheme="minorEastAsia"/>
                <w:kern w:val="0"/>
                <w:szCs w:val="21"/>
              </w:rPr>
              <w:lastRenderedPageBreak/>
              <w:t>合计</w:t>
            </w:r>
          </w:p>
        </w:tc>
        <w:tc>
          <w:tcPr>
            <w:tcW w:w="471" w:type="pct"/>
            <w:vAlign w:val="center"/>
          </w:tcPr>
          <w:p w:rsidR="004862ED" w:rsidRPr="004862ED" w:rsidRDefault="004862ED" w:rsidP="004862ED">
            <w:pPr>
              <w:jc w:val="center"/>
              <w:textAlignment w:val="center"/>
              <w:rPr>
                <w:rFonts w:eastAsiaTheme="minorEastAsia"/>
                <w:color w:val="FF0000"/>
                <w:szCs w:val="21"/>
              </w:rPr>
            </w:pPr>
            <w:r w:rsidRPr="004862ED">
              <w:rPr>
                <w:rFonts w:eastAsiaTheme="minorEastAsia" w:hint="eastAsia"/>
                <w:color w:val="FF0000"/>
                <w:szCs w:val="21"/>
              </w:rPr>
              <w:t>387420</w:t>
            </w:r>
          </w:p>
        </w:tc>
        <w:tc>
          <w:tcPr>
            <w:tcW w:w="412" w:type="pct"/>
            <w:vAlign w:val="center"/>
          </w:tcPr>
          <w:p w:rsidR="004862ED" w:rsidRPr="004862ED" w:rsidRDefault="004862ED" w:rsidP="004862ED">
            <w:pPr>
              <w:jc w:val="center"/>
              <w:textAlignment w:val="center"/>
              <w:rPr>
                <w:rFonts w:eastAsiaTheme="minorEastAsia"/>
                <w:color w:val="FF0000"/>
                <w:szCs w:val="21"/>
              </w:rPr>
            </w:pPr>
            <w:r w:rsidRPr="004862ED">
              <w:rPr>
                <w:rFonts w:eastAsiaTheme="minorEastAsia" w:hint="eastAsia"/>
                <w:color w:val="FF0000"/>
                <w:szCs w:val="21"/>
              </w:rPr>
              <w:t>439917</w:t>
            </w:r>
          </w:p>
        </w:tc>
        <w:tc>
          <w:tcPr>
            <w:tcW w:w="422" w:type="pct"/>
            <w:vAlign w:val="center"/>
          </w:tcPr>
          <w:p w:rsidR="004862ED" w:rsidRPr="004862ED" w:rsidRDefault="004862ED" w:rsidP="004862ED">
            <w:pPr>
              <w:jc w:val="center"/>
              <w:textAlignment w:val="center"/>
              <w:rPr>
                <w:rFonts w:eastAsiaTheme="minorEastAsia"/>
                <w:color w:val="FF0000"/>
                <w:szCs w:val="21"/>
              </w:rPr>
            </w:pPr>
            <w:r w:rsidRPr="004862ED">
              <w:rPr>
                <w:rFonts w:eastAsiaTheme="minorEastAsia" w:hint="eastAsia"/>
                <w:color w:val="FF0000"/>
                <w:szCs w:val="21"/>
              </w:rPr>
              <w:t>384642</w:t>
            </w:r>
          </w:p>
        </w:tc>
        <w:tc>
          <w:tcPr>
            <w:tcW w:w="338" w:type="pct"/>
            <w:vAlign w:val="center"/>
          </w:tcPr>
          <w:p w:rsidR="004862ED" w:rsidRPr="00F9522B" w:rsidRDefault="004862ED">
            <w:pPr>
              <w:jc w:val="center"/>
              <w:rPr>
                <w:rFonts w:eastAsiaTheme="minorEastAsia"/>
                <w:szCs w:val="21"/>
              </w:rPr>
            </w:pPr>
            <w:r w:rsidRPr="00F9522B">
              <w:rPr>
                <w:rFonts w:eastAsiaTheme="minorEastAsia"/>
                <w:szCs w:val="21"/>
              </w:rPr>
              <w:t>55275</w:t>
            </w:r>
          </w:p>
        </w:tc>
        <w:tc>
          <w:tcPr>
            <w:tcW w:w="676" w:type="pct"/>
            <w:vAlign w:val="center"/>
          </w:tcPr>
          <w:p w:rsidR="004862ED" w:rsidRPr="00F9522B" w:rsidRDefault="004862ED">
            <w:pPr>
              <w:jc w:val="center"/>
              <w:rPr>
                <w:rFonts w:eastAsiaTheme="minorEastAsia"/>
                <w:szCs w:val="21"/>
              </w:rPr>
            </w:pPr>
            <w:r w:rsidRPr="00F9522B">
              <w:rPr>
                <w:rFonts w:eastAsiaTheme="minorEastAsia"/>
                <w:szCs w:val="21"/>
              </w:rPr>
              <w:t>/</w:t>
            </w:r>
          </w:p>
        </w:tc>
        <w:tc>
          <w:tcPr>
            <w:tcW w:w="421" w:type="pct"/>
            <w:vAlign w:val="center"/>
          </w:tcPr>
          <w:p w:rsidR="004862ED" w:rsidRPr="00F9522B" w:rsidRDefault="004862ED">
            <w:pPr>
              <w:jc w:val="center"/>
              <w:rPr>
                <w:rFonts w:eastAsiaTheme="minorEastAsia"/>
                <w:szCs w:val="21"/>
              </w:rPr>
            </w:pPr>
            <w:r w:rsidRPr="00F9522B">
              <w:rPr>
                <w:rFonts w:eastAsiaTheme="minorEastAsia"/>
                <w:szCs w:val="21"/>
              </w:rPr>
              <w:t>2778</w:t>
            </w:r>
          </w:p>
        </w:tc>
        <w:tc>
          <w:tcPr>
            <w:tcW w:w="592" w:type="pct"/>
            <w:vAlign w:val="center"/>
          </w:tcPr>
          <w:p w:rsidR="004862ED" w:rsidRPr="00F9522B" w:rsidRDefault="004862ED">
            <w:pPr>
              <w:jc w:val="center"/>
              <w:rPr>
                <w:rFonts w:eastAsiaTheme="minorEastAsia"/>
                <w:szCs w:val="21"/>
              </w:rPr>
            </w:pPr>
            <w:r w:rsidRPr="00F9522B">
              <w:rPr>
                <w:rFonts w:eastAsiaTheme="minorEastAsia"/>
                <w:szCs w:val="21"/>
              </w:rPr>
              <w:t>/</w:t>
            </w:r>
          </w:p>
        </w:tc>
        <w:tc>
          <w:tcPr>
            <w:tcW w:w="591" w:type="pct"/>
            <w:vAlign w:val="center"/>
          </w:tcPr>
          <w:p w:rsidR="004862ED" w:rsidRPr="00F9522B" w:rsidRDefault="004862ED">
            <w:pPr>
              <w:jc w:val="center"/>
              <w:rPr>
                <w:rFonts w:eastAsiaTheme="minorEastAsia"/>
                <w:szCs w:val="21"/>
              </w:rPr>
            </w:pPr>
            <w:r w:rsidRPr="00F9522B">
              <w:rPr>
                <w:rFonts w:eastAsiaTheme="minorEastAsia"/>
                <w:szCs w:val="21"/>
              </w:rPr>
              <w:t>2778</w:t>
            </w:r>
          </w:p>
        </w:tc>
        <w:tc>
          <w:tcPr>
            <w:tcW w:w="422" w:type="pct"/>
            <w:vAlign w:val="center"/>
          </w:tcPr>
          <w:p w:rsidR="004862ED" w:rsidRPr="00F9522B" w:rsidRDefault="004862ED">
            <w:pPr>
              <w:jc w:val="center"/>
              <w:rPr>
                <w:rFonts w:eastAsiaTheme="minorEastAsia"/>
                <w:szCs w:val="21"/>
              </w:rPr>
            </w:pPr>
            <w:r w:rsidRPr="00F9522B">
              <w:rPr>
                <w:rFonts w:eastAsiaTheme="minorEastAsia"/>
                <w:szCs w:val="21"/>
              </w:rPr>
              <w:t>0</w:t>
            </w:r>
          </w:p>
        </w:tc>
        <w:tc>
          <w:tcPr>
            <w:tcW w:w="338" w:type="pct"/>
            <w:vAlign w:val="center"/>
          </w:tcPr>
          <w:p w:rsidR="004862ED" w:rsidRPr="00F9522B" w:rsidRDefault="004862ED">
            <w:pPr>
              <w:jc w:val="center"/>
              <w:rPr>
                <w:rFonts w:eastAsiaTheme="minorEastAsia"/>
                <w:szCs w:val="21"/>
              </w:rPr>
            </w:pPr>
            <w:r w:rsidRPr="00F9522B">
              <w:rPr>
                <w:rFonts w:eastAsiaTheme="minorEastAsia"/>
                <w:szCs w:val="21"/>
              </w:rPr>
              <w:t>/</w:t>
            </w:r>
          </w:p>
        </w:tc>
      </w:tr>
    </w:tbl>
    <w:p w:rsidR="002A5A5E" w:rsidRPr="00F9522B" w:rsidRDefault="00611CBA">
      <w:pPr>
        <w:keepNext/>
        <w:keepLines/>
        <w:spacing w:before="100" w:beforeAutospacing="1" w:after="100" w:afterAutospacing="1"/>
        <w:outlineLvl w:val="2"/>
        <w:rPr>
          <w:rFonts w:eastAsiaTheme="minorEastAsia"/>
          <w:b/>
          <w:sz w:val="28"/>
          <w:szCs w:val="28"/>
        </w:rPr>
      </w:pPr>
      <w:bookmarkStart w:id="79" w:name="_Toc456590362"/>
      <w:r w:rsidRPr="00F9522B">
        <w:rPr>
          <w:rFonts w:eastAsiaTheme="minorEastAsia"/>
          <w:b/>
          <w:sz w:val="28"/>
          <w:szCs w:val="28"/>
        </w:rPr>
        <w:t>3.1.10</w:t>
      </w:r>
      <w:r w:rsidRPr="00F9522B">
        <w:rPr>
          <w:rFonts w:eastAsiaTheme="minorEastAsia"/>
          <w:b/>
          <w:sz w:val="28"/>
          <w:szCs w:val="28"/>
        </w:rPr>
        <w:t>公用工程</w:t>
      </w:r>
      <w:bookmarkEnd w:id="79"/>
    </w:p>
    <w:p w:rsidR="002A5A5E" w:rsidRPr="00F9522B" w:rsidRDefault="005273A1">
      <w:pPr>
        <w:autoSpaceDE w:val="0"/>
        <w:autoSpaceDN w:val="0"/>
        <w:spacing w:before="100" w:beforeAutospacing="1" w:after="100" w:afterAutospacing="1"/>
        <w:outlineLvl w:val="3"/>
        <w:rPr>
          <w:rFonts w:eastAsiaTheme="minorEastAsia"/>
          <w:b/>
          <w:sz w:val="24"/>
        </w:rPr>
      </w:pPr>
      <w:hyperlink r:id="rId37" w:anchor="_Toc110400207" w:history="1">
        <w:bookmarkStart w:id="80" w:name="_Toc113078928"/>
        <w:bookmarkStart w:id="81" w:name="_Toc112420357"/>
        <w:bookmarkStart w:id="82" w:name="_Toc118087006"/>
        <w:bookmarkStart w:id="83" w:name="_Toc182022287"/>
        <w:r w:rsidR="00611CBA" w:rsidRPr="00F9522B">
          <w:rPr>
            <w:rFonts w:eastAsiaTheme="minorEastAsia"/>
            <w:b/>
            <w:sz w:val="24"/>
          </w:rPr>
          <w:t>3.1.10.1</w:t>
        </w:r>
        <w:r w:rsidR="00611CBA" w:rsidRPr="00F9522B">
          <w:rPr>
            <w:rFonts w:eastAsiaTheme="minorEastAsia"/>
            <w:b/>
            <w:sz w:val="24"/>
          </w:rPr>
          <w:t>供水工程</w:t>
        </w:r>
        <w:bookmarkEnd w:id="80"/>
        <w:bookmarkEnd w:id="81"/>
        <w:bookmarkEnd w:id="82"/>
        <w:bookmarkEnd w:id="83"/>
      </w:hyperlink>
    </w:p>
    <w:p w:rsidR="002A5A5E" w:rsidRPr="00F9522B" w:rsidRDefault="00611CBA">
      <w:pPr>
        <w:pStyle w:val="affffffffd"/>
        <w:numPr>
          <w:ilvl w:val="0"/>
          <w:numId w:val="11"/>
        </w:numPr>
        <w:adjustRightInd w:val="0"/>
        <w:spacing w:line="360" w:lineRule="auto"/>
        <w:ind w:firstLineChars="0"/>
        <w:rPr>
          <w:rFonts w:eastAsiaTheme="minorEastAsia"/>
          <w:sz w:val="24"/>
        </w:rPr>
      </w:pPr>
      <w:bookmarkStart w:id="84" w:name="_Hlk480319058"/>
      <w:bookmarkStart w:id="85" w:name="_Hlk480325814"/>
      <w:bookmarkStart w:id="86" w:name="_Hlk480327007"/>
      <w:r w:rsidRPr="00F9522B">
        <w:rPr>
          <w:rFonts w:eastAsiaTheme="minorEastAsia"/>
          <w:sz w:val="24"/>
        </w:rPr>
        <w:t>施工期</w:t>
      </w:r>
    </w:p>
    <w:p w:rsidR="002A5A5E" w:rsidRPr="00F9522B" w:rsidRDefault="00611CBA">
      <w:pPr>
        <w:adjustRightInd w:val="0"/>
        <w:spacing w:line="360" w:lineRule="auto"/>
        <w:ind w:firstLineChars="200" w:firstLine="480"/>
        <w:rPr>
          <w:rFonts w:eastAsiaTheme="minorEastAsia"/>
          <w:sz w:val="24"/>
        </w:rPr>
      </w:pPr>
      <w:r w:rsidRPr="00F9522B">
        <w:rPr>
          <w:rFonts w:eastAsiaTheme="minorEastAsia"/>
          <w:sz w:val="24"/>
        </w:rPr>
        <w:t>施工期用水主要为钻井用水、路面施工用水和施工人员生活用水，施工期用水量为</w:t>
      </w:r>
      <w:r w:rsidRPr="00F9522B">
        <w:rPr>
          <w:rFonts w:eastAsiaTheme="minorEastAsia"/>
          <w:sz w:val="24"/>
        </w:rPr>
        <w:t>21669m</w:t>
      </w:r>
      <w:r w:rsidRPr="00F9522B">
        <w:rPr>
          <w:rFonts w:eastAsiaTheme="minorEastAsia"/>
          <w:sz w:val="24"/>
          <w:vertAlign w:val="superscript"/>
        </w:rPr>
        <w:t>3</w:t>
      </w:r>
      <w:r w:rsidRPr="00F9522B">
        <w:rPr>
          <w:rFonts w:eastAsiaTheme="minorEastAsia"/>
          <w:sz w:val="24"/>
        </w:rPr>
        <w:t>。用水由附近村屯现有水井供给，能够满足项目需求。</w:t>
      </w:r>
      <w:bookmarkEnd w:id="84"/>
    </w:p>
    <w:p w:rsidR="002A5A5E" w:rsidRPr="00F9522B" w:rsidRDefault="00611CBA">
      <w:pPr>
        <w:tabs>
          <w:tab w:val="left" w:pos="2550"/>
        </w:tabs>
        <w:spacing w:line="360" w:lineRule="auto"/>
        <w:ind w:firstLineChars="200" w:firstLine="480"/>
        <w:rPr>
          <w:rFonts w:eastAsiaTheme="minorEastAsia"/>
          <w:sz w:val="24"/>
        </w:rPr>
      </w:pPr>
      <w:r w:rsidRPr="00F9522B">
        <w:rPr>
          <w:rFonts w:eastAsiaTheme="minorEastAsia"/>
          <w:sz w:val="24"/>
        </w:rPr>
        <w:t>路面施工用水量为少量路面养护水，使用量约为</w:t>
      </w:r>
      <w:r w:rsidRPr="00F9522B">
        <w:rPr>
          <w:rFonts w:eastAsiaTheme="minorEastAsia"/>
          <w:sz w:val="24"/>
        </w:rPr>
        <w:t>3.5kg/m</w:t>
      </w:r>
      <w:r w:rsidRPr="00F9522B">
        <w:rPr>
          <w:rFonts w:eastAsiaTheme="minorEastAsia"/>
          <w:sz w:val="24"/>
          <w:vertAlign w:val="superscript"/>
        </w:rPr>
        <w:t>2</w:t>
      </w:r>
      <w:r w:rsidRPr="00F9522B">
        <w:rPr>
          <w:rFonts w:eastAsiaTheme="minorEastAsia"/>
          <w:sz w:val="24"/>
        </w:rPr>
        <w:t>，路面约为</w:t>
      </w:r>
      <w:r w:rsidR="001302DD" w:rsidRPr="00F9522B">
        <w:rPr>
          <w:rFonts w:eastAsiaTheme="minorEastAsia"/>
          <w:sz w:val="24"/>
        </w:rPr>
        <w:t>1694000</w:t>
      </w:r>
      <w:r w:rsidRPr="00F9522B">
        <w:rPr>
          <w:rFonts w:eastAsiaTheme="minorEastAsia"/>
          <w:sz w:val="24"/>
        </w:rPr>
        <w:t>m</w:t>
      </w:r>
      <w:r w:rsidRPr="00F9522B">
        <w:rPr>
          <w:rFonts w:eastAsiaTheme="minorEastAsia"/>
          <w:sz w:val="24"/>
          <w:vertAlign w:val="superscript"/>
        </w:rPr>
        <w:t>2</w:t>
      </w:r>
      <w:r w:rsidRPr="00F9522B">
        <w:rPr>
          <w:rFonts w:eastAsiaTheme="minorEastAsia"/>
          <w:sz w:val="24"/>
        </w:rPr>
        <w:t>，总用水量约为</w:t>
      </w:r>
      <w:r w:rsidR="001302DD" w:rsidRPr="00F9522B">
        <w:rPr>
          <w:rFonts w:eastAsiaTheme="minorEastAsia"/>
          <w:sz w:val="24"/>
        </w:rPr>
        <w:t>5929</w:t>
      </w:r>
      <w:r w:rsidRPr="00F9522B">
        <w:rPr>
          <w:rFonts w:eastAsiaTheme="minorEastAsia"/>
          <w:sz w:val="24"/>
        </w:rPr>
        <w:t>m</w:t>
      </w:r>
      <w:r w:rsidRPr="00F9522B">
        <w:rPr>
          <w:rFonts w:eastAsiaTheme="minorEastAsia"/>
          <w:sz w:val="24"/>
          <w:vertAlign w:val="superscript"/>
        </w:rPr>
        <w:t>3</w:t>
      </w:r>
      <w:r w:rsidRPr="00F9522B">
        <w:rPr>
          <w:rFonts w:eastAsiaTheme="minorEastAsia"/>
          <w:sz w:val="24"/>
        </w:rPr>
        <w:t>。</w:t>
      </w:r>
    </w:p>
    <w:p w:rsidR="002A5A5E" w:rsidRPr="00F9522B" w:rsidRDefault="00611CBA">
      <w:pPr>
        <w:tabs>
          <w:tab w:val="left" w:pos="2550"/>
        </w:tabs>
        <w:spacing w:line="360" w:lineRule="auto"/>
        <w:ind w:firstLineChars="200" w:firstLine="480"/>
        <w:rPr>
          <w:rFonts w:eastAsiaTheme="minorEastAsia"/>
          <w:sz w:val="24"/>
        </w:rPr>
      </w:pPr>
      <w:r w:rsidRPr="00F9522B">
        <w:rPr>
          <w:rFonts w:eastAsiaTheme="minorEastAsia"/>
          <w:sz w:val="24"/>
        </w:rPr>
        <w:t>钻井用水主要对钻头在岩层钻孔中起润滑作用，同时可将钻井过程产生的岩屑排出，</w:t>
      </w:r>
      <w:r w:rsidRPr="00F9522B">
        <w:rPr>
          <w:rFonts w:eastAsiaTheme="minorEastAsia"/>
          <w:snapToGrid w:val="0"/>
          <w:kern w:val="0"/>
          <w:sz w:val="24"/>
        </w:rPr>
        <w:t>根据《</w:t>
      </w:r>
      <w:r w:rsidR="003A7922" w:rsidRPr="00F9522B">
        <w:rPr>
          <w:rFonts w:eastAsiaTheme="minorEastAsia"/>
          <w:snapToGrid w:val="0"/>
          <w:kern w:val="0"/>
          <w:sz w:val="24"/>
        </w:rPr>
        <w:t>呼兰区</w:t>
      </w:r>
      <w:r w:rsidR="003A7922" w:rsidRPr="00F9522B">
        <w:rPr>
          <w:rFonts w:eastAsiaTheme="minorEastAsia"/>
          <w:snapToGrid w:val="0"/>
          <w:kern w:val="0"/>
          <w:sz w:val="24"/>
        </w:rPr>
        <w:t>2026</w:t>
      </w:r>
      <w:r w:rsidR="003A7922" w:rsidRPr="00F9522B">
        <w:rPr>
          <w:rFonts w:eastAsiaTheme="minorEastAsia"/>
          <w:snapToGrid w:val="0"/>
          <w:kern w:val="0"/>
          <w:sz w:val="24"/>
        </w:rPr>
        <w:t>年高标准农田建设项目</w:t>
      </w:r>
      <w:r w:rsidRPr="00F9522B">
        <w:rPr>
          <w:rFonts w:eastAsiaTheme="minorEastAsia"/>
          <w:snapToGrid w:val="0"/>
          <w:kern w:val="0"/>
          <w:sz w:val="24"/>
        </w:rPr>
        <w:t>初步设计》，</w:t>
      </w:r>
      <w:r w:rsidR="001B5E3D" w:rsidRPr="00F9522B">
        <w:rPr>
          <w:rFonts w:eastAsiaTheme="minorEastAsia"/>
          <w:snapToGrid w:val="0"/>
          <w:kern w:val="0"/>
          <w:sz w:val="24"/>
        </w:rPr>
        <w:t>7</w:t>
      </w:r>
      <w:r w:rsidRPr="00F9522B">
        <w:rPr>
          <w:rFonts w:eastAsiaTheme="minorEastAsia"/>
          <w:snapToGrid w:val="0"/>
          <w:kern w:val="0"/>
          <w:sz w:val="24"/>
        </w:rPr>
        <w:t>0m</w:t>
      </w:r>
      <w:r w:rsidRPr="00F9522B">
        <w:rPr>
          <w:rFonts w:eastAsiaTheme="minorEastAsia"/>
          <w:snapToGrid w:val="0"/>
          <w:kern w:val="0"/>
          <w:sz w:val="24"/>
        </w:rPr>
        <w:t>深水井</w:t>
      </w:r>
      <w:r w:rsidRPr="00F9522B">
        <w:rPr>
          <w:rFonts w:eastAsiaTheme="minorEastAsia"/>
          <w:sz w:val="24"/>
        </w:rPr>
        <w:t>钻井用水量约</w:t>
      </w:r>
      <w:r w:rsidRPr="00F9522B">
        <w:rPr>
          <w:rFonts w:eastAsiaTheme="minorEastAsia"/>
          <w:sz w:val="24"/>
        </w:rPr>
        <w:t>1</w:t>
      </w:r>
      <w:r w:rsidR="001B5E3D" w:rsidRPr="00F9522B">
        <w:rPr>
          <w:rFonts w:eastAsiaTheme="minorEastAsia"/>
          <w:sz w:val="24"/>
        </w:rPr>
        <w:t>4</w:t>
      </w:r>
      <w:r w:rsidRPr="00F9522B">
        <w:rPr>
          <w:rFonts w:eastAsiaTheme="minorEastAsia"/>
          <w:sz w:val="24"/>
        </w:rPr>
        <w:t>m</w:t>
      </w:r>
      <w:r w:rsidRPr="00F9522B">
        <w:rPr>
          <w:rFonts w:eastAsiaTheme="minorEastAsia"/>
          <w:sz w:val="24"/>
          <w:vertAlign w:val="superscript"/>
        </w:rPr>
        <w:t>3</w:t>
      </w:r>
      <w:r w:rsidRPr="00F9522B">
        <w:rPr>
          <w:rFonts w:eastAsiaTheme="minorEastAsia"/>
          <w:sz w:val="24"/>
        </w:rPr>
        <w:t>/</w:t>
      </w:r>
      <w:r w:rsidRPr="00F9522B">
        <w:rPr>
          <w:rFonts w:eastAsiaTheme="minorEastAsia"/>
          <w:sz w:val="24"/>
        </w:rPr>
        <w:t>口，</w:t>
      </w:r>
      <w:r w:rsidRPr="00F9522B">
        <w:rPr>
          <w:rFonts w:eastAsiaTheme="minorEastAsia"/>
          <w:snapToGrid w:val="0"/>
          <w:kern w:val="0"/>
          <w:sz w:val="24"/>
        </w:rPr>
        <w:t>80m</w:t>
      </w:r>
      <w:r w:rsidRPr="00F9522B">
        <w:rPr>
          <w:rFonts w:eastAsiaTheme="minorEastAsia"/>
          <w:snapToGrid w:val="0"/>
          <w:kern w:val="0"/>
          <w:sz w:val="24"/>
        </w:rPr>
        <w:t>深水井</w:t>
      </w:r>
      <w:r w:rsidRPr="00F9522B">
        <w:rPr>
          <w:rFonts w:eastAsiaTheme="minorEastAsia"/>
          <w:sz w:val="24"/>
        </w:rPr>
        <w:t>钻井用水量约</w:t>
      </w:r>
      <w:r w:rsidRPr="00F9522B">
        <w:rPr>
          <w:rFonts w:eastAsiaTheme="minorEastAsia"/>
          <w:sz w:val="24"/>
        </w:rPr>
        <w:t>15m</w:t>
      </w:r>
      <w:r w:rsidRPr="00F9522B">
        <w:rPr>
          <w:rFonts w:eastAsiaTheme="minorEastAsia"/>
          <w:sz w:val="24"/>
          <w:vertAlign w:val="superscript"/>
        </w:rPr>
        <w:t>3</w:t>
      </w:r>
      <w:r w:rsidRPr="00F9522B">
        <w:rPr>
          <w:rFonts w:eastAsiaTheme="minorEastAsia"/>
          <w:sz w:val="24"/>
        </w:rPr>
        <w:t>/</w:t>
      </w:r>
      <w:r w:rsidRPr="00F9522B">
        <w:rPr>
          <w:rFonts w:eastAsiaTheme="minorEastAsia"/>
          <w:sz w:val="24"/>
        </w:rPr>
        <w:t>口，</w:t>
      </w:r>
      <w:r w:rsidR="001B5E3D" w:rsidRPr="00F9522B">
        <w:rPr>
          <w:rFonts w:eastAsiaTheme="minorEastAsia"/>
          <w:snapToGrid w:val="0"/>
          <w:kern w:val="0"/>
          <w:sz w:val="24"/>
        </w:rPr>
        <w:t>90m</w:t>
      </w:r>
      <w:r w:rsidR="001B5E3D" w:rsidRPr="00F9522B">
        <w:rPr>
          <w:rFonts w:eastAsiaTheme="minorEastAsia"/>
          <w:snapToGrid w:val="0"/>
          <w:kern w:val="0"/>
          <w:sz w:val="24"/>
        </w:rPr>
        <w:t>深水井</w:t>
      </w:r>
      <w:r w:rsidR="001B5E3D" w:rsidRPr="00F9522B">
        <w:rPr>
          <w:rFonts w:eastAsiaTheme="minorEastAsia"/>
          <w:sz w:val="24"/>
        </w:rPr>
        <w:t>钻井用水量约</w:t>
      </w:r>
      <w:r w:rsidR="001B5E3D" w:rsidRPr="00F9522B">
        <w:rPr>
          <w:rFonts w:eastAsiaTheme="minorEastAsia"/>
          <w:sz w:val="24"/>
        </w:rPr>
        <w:t>16m</w:t>
      </w:r>
      <w:r w:rsidR="001B5E3D" w:rsidRPr="00F9522B">
        <w:rPr>
          <w:rFonts w:eastAsiaTheme="minorEastAsia"/>
          <w:sz w:val="24"/>
          <w:vertAlign w:val="superscript"/>
        </w:rPr>
        <w:t>3</w:t>
      </w:r>
      <w:r w:rsidR="001B5E3D" w:rsidRPr="00F9522B">
        <w:rPr>
          <w:rFonts w:eastAsiaTheme="minorEastAsia"/>
          <w:sz w:val="24"/>
        </w:rPr>
        <w:t>/</w:t>
      </w:r>
      <w:r w:rsidR="001B5E3D" w:rsidRPr="00F9522B">
        <w:rPr>
          <w:rFonts w:eastAsiaTheme="minorEastAsia"/>
          <w:sz w:val="24"/>
        </w:rPr>
        <w:t>口，</w:t>
      </w:r>
      <w:r w:rsidRPr="00F9522B">
        <w:rPr>
          <w:rFonts w:eastAsiaTheme="minorEastAsia"/>
          <w:sz w:val="24"/>
        </w:rPr>
        <w:t>钻井完成后进入钻井泥浆中，钻井泥浆可循环使用。</w:t>
      </w:r>
      <w:r w:rsidRPr="00F9522B">
        <w:rPr>
          <w:rFonts w:eastAsiaTheme="minorEastAsia"/>
          <w:snapToGrid w:val="0"/>
          <w:kern w:val="0"/>
          <w:sz w:val="24"/>
        </w:rPr>
        <w:t>根据《</w:t>
      </w:r>
      <w:r w:rsidR="003A7922" w:rsidRPr="00F9522B">
        <w:rPr>
          <w:rFonts w:eastAsiaTheme="minorEastAsia"/>
          <w:snapToGrid w:val="0"/>
          <w:kern w:val="0"/>
          <w:sz w:val="24"/>
        </w:rPr>
        <w:t>呼兰区</w:t>
      </w:r>
      <w:r w:rsidR="003A7922" w:rsidRPr="00F9522B">
        <w:rPr>
          <w:rFonts w:eastAsiaTheme="minorEastAsia"/>
          <w:snapToGrid w:val="0"/>
          <w:kern w:val="0"/>
          <w:sz w:val="24"/>
        </w:rPr>
        <w:t>2026</w:t>
      </w:r>
      <w:r w:rsidR="003A7922" w:rsidRPr="00F9522B">
        <w:rPr>
          <w:rFonts w:eastAsiaTheme="minorEastAsia"/>
          <w:snapToGrid w:val="0"/>
          <w:kern w:val="0"/>
          <w:sz w:val="24"/>
        </w:rPr>
        <w:t>年高标准农田建设项目</w:t>
      </w:r>
      <w:r w:rsidRPr="00F9522B">
        <w:rPr>
          <w:rFonts w:eastAsiaTheme="minorEastAsia"/>
          <w:snapToGrid w:val="0"/>
          <w:kern w:val="0"/>
          <w:sz w:val="24"/>
        </w:rPr>
        <w:t>初步设计》，</w:t>
      </w:r>
      <w:r w:rsidR="00DE2B0A" w:rsidRPr="00F9522B">
        <w:rPr>
          <w:rFonts w:eastAsiaTheme="minorEastAsia"/>
          <w:snapToGrid w:val="0"/>
          <w:kern w:val="0"/>
          <w:sz w:val="24"/>
        </w:rPr>
        <w:t>7</w:t>
      </w:r>
      <w:r w:rsidRPr="00F9522B">
        <w:rPr>
          <w:rFonts w:eastAsiaTheme="minorEastAsia"/>
          <w:snapToGrid w:val="0"/>
          <w:kern w:val="0"/>
          <w:sz w:val="24"/>
        </w:rPr>
        <w:t>0m</w:t>
      </w:r>
      <w:r w:rsidRPr="00F9522B">
        <w:rPr>
          <w:rFonts w:eastAsiaTheme="minorEastAsia"/>
          <w:snapToGrid w:val="0"/>
          <w:kern w:val="0"/>
          <w:sz w:val="24"/>
        </w:rPr>
        <w:t>深水井</w:t>
      </w:r>
      <w:r w:rsidRPr="00F9522B">
        <w:rPr>
          <w:rFonts w:eastAsiaTheme="minorEastAsia"/>
          <w:sz w:val="24"/>
        </w:rPr>
        <w:t>洗井用水量约</w:t>
      </w:r>
      <w:r w:rsidRPr="00F9522B">
        <w:rPr>
          <w:rFonts w:eastAsiaTheme="minorEastAsia"/>
          <w:sz w:val="24"/>
        </w:rPr>
        <w:t>1</w:t>
      </w:r>
      <w:r w:rsidR="00DE2B0A" w:rsidRPr="00F9522B">
        <w:rPr>
          <w:rFonts w:eastAsiaTheme="minorEastAsia"/>
          <w:sz w:val="24"/>
        </w:rPr>
        <w:t>4</w:t>
      </w:r>
      <w:r w:rsidRPr="00F9522B">
        <w:rPr>
          <w:rFonts w:eastAsiaTheme="minorEastAsia"/>
          <w:sz w:val="24"/>
        </w:rPr>
        <w:t>m</w:t>
      </w:r>
      <w:r w:rsidRPr="00F9522B">
        <w:rPr>
          <w:rFonts w:eastAsiaTheme="minorEastAsia"/>
          <w:sz w:val="24"/>
          <w:vertAlign w:val="superscript"/>
        </w:rPr>
        <w:t>3</w:t>
      </w:r>
      <w:r w:rsidRPr="00F9522B">
        <w:rPr>
          <w:rFonts w:eastAsiaTheme="minorEastAsia"/>
          <w:sz w:val="24"/>
        </w:rPr>
        <w:t>/</w:t>
      </w:r>
      <w:r w:rsidRPr="00F9522B">
        <w:rPr>
          <w:rFonts w:eastAsiaTheme="minorEastAsia"/>
          <w:sz w:val="24"/>
        </w:rPr>
        <w:t>口，</w:t>
      </w:r>
      <w:r w:rsidRPr="00F9522B">
        <w:rPr>
          <w:rFonts w:eastAsiaTheme="minorEastAsia"/>
          <w:snapToGrid w:val="0"/>
          <w:kern w:val="0"/>
          <w:sz w:val="24"/>
        </w:rPr>
        <w:t>80m</w:t>
      </w:r>
      <w:r w:rsidRPr="00F9522B">
        <w:rPr>
          <w:rFonts w:eastAsiaTheme="minorEastAsia"/>
          <w:snapToGrid w:val="0"/>
          <w:kern w:val="0"/>
          <w:sz w:val="24"/>
        </w:rPr>
        <w:t>深水井</w:t>
      </w:r>
      <w:r w:rsidRPr="00F9522B">
        <w:rPr>
          <w:rFonts w:eastAsiaTheme="minorEastAsia"/>
          <w:sz w:val="24"/>
        </w:rPr>
        <w:t>洗井用水量约</w:t>
      </w:r>
      <w:r w:rsidRPr="00F9522B">
        <w:rPr>
          <w:rFonts w:eastAsiaTheme="minorEastAsia"/>
          <w:sz w:val="24"/>
        </w:rPr>
        <w:t>15m</w:t>
      </w:r>
      <w:r w:rsidRPr="00F9522B">
        <w:rPr>
          <w:rFonts w:eastAsiaTheme="minorEastAsia"/>
          <w:sz w:val="24"/>
          <w:vertAlign w:val="superscript"/>
        </w:rPr>
        <w:t>3</w:t>
      </w:r>
      <w:r w:rsidRPr="00F9522B">
        <w:rPr>
          <w:rFonts w:eastAsiaTheme="minorEastAsia"/>
          <w:sz w:val="24"/>
        </w:rPr>
        <w:t>/</w:t>
      </w:r>
      <w:r w:rsidRPr="00F9522B">
        <w:rPr>
          <w:rFonts w:eastAsiaTheme="minorEastAsia"/>
          <w:sz w:val="24"/>
        </w:rPr>
        <w:t>口</w:t>
      </w:r>
      <w:r w:rsidR="00DE2B0A" w:rsidRPr="00F9522B">
        <w:rPr>
          <w:rFonts w:eastAsiaTheme="minorEastAsia"/>
          <w:sz w:val="24"/>
        </w:rPr>
        <w:t>，</w:t>
      </w:r>
      <w:r w:rsidR="00DE2B0A" w:rsidRPr="00F9522B">
        <w:rPr>
          <w:rFonts w:eastAsiaTheme="minorEastAsia"/>
          <w:snapToGrid w:val="0"/>
          <w:kern w:val="0"/>
          <w:sz w:val="24"/>
        </w:rPr>
        <w:t>90m</w:t>
      </w:r>
      <w:r w:rsidR="00DE2B0A" w:rsidRPr="00F9522B">
        <w:rPr>
          <w:rFonts w:eastAsiaTheme="minorEastAsia"/>
          <w:snapToGrid w:val="0"/>
          <w:kern w:val="0"/>
          <w:sz w:val="24"/>
        </w:rPr>
        <w:t>深水井</w:t>
      </w:r>
      <w:r w:rsidR="00DE2B0A" w:rsidRPr="00F9522B">
        <w:rPr>
          <w:rFonts w:eastAsiaTheme="minorEastAsia"/>
          <w:sz w:val="24"/>
        </w:rPr>
        <w:t>洗井用水量约</w:t>
      </w:r>
      <w:r w:rsidR="00DE2B0A" w:rsidRPr="00F9522B">
        <w:rPr>
          <w:rFonts w:eastAsiaTheme="minorEastAsia"/>
          <w:sz w:val="24"/>
        </w:rPr>
        <w:t>16m</w:t>
      </w:r>
      <w:r w:rsidR="00DE2B0A" w:rsidRPr="00F9522B">
        <w:rPr>
          <w:rFonts w:eastAsiaTheme="minorEastAsia"/>
          <w:sz w:val="24"/>
          <w:vertAlign w:val="superscript"/>
        </w:rPr>
        <w:t>3</w:t>
      </w:r>
      <w:r w:rsidR="00DE2B0A" w:rsidRPr="00F9522B">
        <w:rPr>
          <w:rFonts w:eastAsiaTheme="minorEastAsia"/>
          <w:sz w:val="24"/>
        </w:rPr>
        <w:t>/</w:t>
      </w:r>
      <w:r w:rsidR="00DE2B0A" w:rsidRPr="00F9522B">
        <w:rPr>
          <w:rFonts w:eastAsiaTheme="minorEastAsia"/>
          <w:sz w:val="24"/>
        </w:rPr>
        <w:t>口</w:t>
      </w:r>
      <w:r w:rsidRPr="00F9522B">
        <w:rPr>
          <w:rFonts w:eastAsiaTheme="minorEastAsia"/>
          <w:sz w:val="24"/>
        </w:rPr>
        <w:t>。</w:t>
      </w:r>
    </w:p>
    <w:p w:rsidR="002A5A5E" w:rsidRPr="00F9522B" w:rsidRDefault="00611CBA">
      <w:pPr>
        <w:tabs>
          <w:tab w:val="left" w:pos="2550"/>
        </w:tabs>
        <w:spacing w:line="360" w:lineRule="auto"/>
        <w:ind w:firstLineChars="200" w:firstLine="480"/>
        <w:rPr>
          <w:rFonts w:eastAsiaTheme="minorEastAsia"/>
          <w:sz w:val="24"/>
        </w:rPr>
      </w:pPr>
      <w:r w:rsidRPr="00F9522B">
        <w:rPr>
          <w:rFonts w:eastAsiaTheme="minorEastAsia"/>
          <w:sz w:val="24"/>
        </w:rPr>
        <w:t>本工程涉及</w:t>
      </w:r>
      <w:r w:rsidRPr="00F9522B">
        <w:rPr>
          <w:rFonts w:eastAsiaTheme="minorEastAsia"/>
          <w:sz w:val="24"/>
        </w:rPr>
        <w:t>3</w:t>
      </w:r>
      <w:r w:rsidR="008F7BF6" w:rsidRPr="00F9522B">
        <w:rPr>
          <w:rFonts w:eastAsiaTheme="minorEastAsia"/>
          <w:sz w:val="24"/>
        </w:rPr>
        <w:t>5</w:t>
      </w:r>
      <w:r w:rsidRPr="00F9522B">
        <w:rPr>
          <w:rFonts w:eastAsiaTheme="minorEastAsia"/>
          <w:sz w:val="24"/>
        </w:rPr>
        <w:t>个自然村，每个村施工人员约</w:t>
      </w:r>
      <w:r w:rsidRPr="00F9522B">
        <w:rPr>
          <w:rFonts w:eastAsiaTheme="minorEastAsia"/>
          <w:sz w:val="24"/>
        </w:rPr>
        <w:t>12</w:t>
      </w:r>
      <w:r w:rsidRPr="00F9522B">
        <w:rPr>
          <w:rFonts w:eastAsiaTheme="minorEastAsia"/>
          <w:sz w:val="24"/>
        </w:rPr>
        <w:t>人，则施工期总人员约为</w:t>
      </w:r>
      <w:r w:rsidR="008F7BF6" w:rsidRPr="00F9522B">
        <w:rPr>
          <w:rFonts w:eastAsiaTheme="minorEastAsia"/>
          <w:sz w:val="24"/>
        </w:rPr>
        <w:t>420</w:t>
      </w:r>
      <w:r w:rsidRPr="00F9522B">
        <w:rPr>
          <w:rFonts w:eastAsiaTheme="minorEastAsia"/>
          <w:sz w:val="24"/>
        </w:rPr>
        <w:t>人，</w:t>
      </w:r>
      <w:r w:rsidRPr="00F9522B">
        <w:rPr>
          <w:rFonts w:eastAsiaTheme="minorEastAsia"/>
          <w:sz w:val="24"/>
          <w:szCs w:val="20"/>
        </w:rPr>
        <w:t>施工人员不在施工现场吃住，</w:t>
      </w:r>
      <w:r w:rsidRPr="00F9522B">
        <w:rPr>
          <w:rFonts w:eastAsiaTheme="minorEastAsia"/>
          <w:sz w:val="24"/>
        </w:rPr>
        <w:t>施工人员用水量</w:t>
      </w:r>
      <w:r w:rsidRPr="00F9522B">
        <w:rPr>
          <w:rFonts w:eastAsiaTheme="minorEastAsia"/>
          <w:bCs/>
          <w:sz w:val="24"/>
        </w:rPr>
        <w:t>参照《黑龙江：用水定额》（</w:t>
      </w:r>
      <w:r w:rsidRPr="00F9522B">
        <w:rPr>
          <w:rFonts w:eastAsiaTheme="minorEastAsia"/>
          <w:bCs/>
          <w:sz w:val="24"/>
        </w:rPr>
        <w:t>DB23/T 727-202</w:t>
      </w:r>
      <w:r w:rsidR="00175C36" w:rsidRPr="00F9522B">
        <w:rPr>
          <w:rFonts w:eastAsiaTheme="minorEastAsia"/>
          <w:bCs/>
          <w:sz w:val="24"/>
        </w:rPr>
        <w:t>5</w:t>
      </w:r>
      <w:r w:rsidRPr="00F9522B">
        <w:rPr>
          <w:rFonts w:eastAsiaTheme="minorEastAsia"/>
          <w:bCs/>
          <w:sz w:val="24"/>
        </w:rPr>
        <w:t>），生活用水采用</w:t>
      </w:r>
      <w:r w:rsidRPr="00F9522B">
        <w:rPr>
          <w:rFonts w:eastAsiaTheme="minorEastAsia"/>
          <w:bCs/>
          <w:sz w:val="24"/>
        </w:rPr>
        <w:t>80L/</w:t>
      </w:r>
      <w:r w:rsidRPr="00F9522B">
        <w:rPr>
          <w:rFonts w:eastAsiaTheme="minorEastAsia"/>
          <w:bCs/>
          <w:sz w:val="24"/>
        </w:rPr>
        <w:t>人</w:t>
      </w:r>
      <w:r w:rsidRPr="00F9522B">
        <w:rPr>
          <w:rFonts w:eastAsiaTheme="minorEastAsia"/>
          <w:bCs/>
          <w:sz w:val="24"/>
        </w:rPr>
        <w:t>·d</w:t>
      </w:r>
      <w:r w:rsidRPr="00F9522B">
        <w:rPr>
          <w:rFonts w:eastAsiaTheme="minorEastAsia"/>
          <w:bCs/>
          <w:sz w:val="24"/>
        </w:rPr>
        <w:t>，</w:t>
      </w:r>
      <w:r w:rsidRPr="00F9522B">
        <w:rPr>
          <w:rFonts w:eastAsiaTheme="minorEastAsia"/>
          <w:sz w:val="24"/>
        </w:rPr>
        <w:t>用水量为</w:t>
      </w:r>
      <w:r w:rsidR="008F7BF6" w:rsidRPr="00F9522B">
        <w:rPr>
          <w:rFonts w:eastAsiaTheme="minorEastAsia"/>
          <w:sz w:val="24"/>
        </w:rPr>
        <w:t>33.6</w:t>
      </w:r>
      <w:r w:rsidRPr="00F9522B">
        <w:rPr>
          <w:rFonts w:eastAsiaTheme="minorEastAsia"/>
          <w:sz w:val="24"/>
        </w:rPr>
        <w:t>m</w:t>
      </w:r>
      <w:r w:rsidRPr="00F9522B">
        <w:rPr>
          <w:rFonts w:eastAsiaTheme="minorEastAsia"/>
          <w:sz w:val="24"/>
          <w:vertAlign w:val="superscript"/>
        </w:rPr>
        <w:t>3</w:t>
      </w:r>
      <w:r w:rsidRPr="00F9522B">
        <w:rPr>
          <w:rFonts w:eastAsiaTheme="minorEastAsia"/>
          <w:sz w:val="24"/>
        </w:rPr>
        <w:t>/d</w:t>
      </w:r>
      <w:r w:rsidRPr="00F9522B">
        <w:rPr>
          <w:rFonts w:eastAsiaTheme="minorEastAsia"/>
          <w:sz w:val="24"/>
        </w:rPr>
        <w:t>，施工天数约</w:t>
      </w:r>
      <w:r w:rsidR="00C55D97" w:rsidRPr="00F9522B">
        <w:rPr>
          <w:rFonts w:eastAsiaTheme="minorEastAsia"/>
          <w:sz w:val="24"/>
        </w:rPr>
        <w:t>540</w:t>
      </w:r>
      <w:r w:rsidRPr="00F9522B">
        <w:rPr>
          <w:rFonts w:eastAsiaTheme="minorEastAsia"/>
          <w:sz w:val="24"/>
        </w:rPr>
        <w:t>d</w:t>
      </w:r>
      <w:r w:rsidRPr="00F9522B">
        <w:rPr>
          <w:rFonts w:eastAsiaTheme="minorEastAsia"/>
          <w:sz w:val="24"/>
        </w:rPr>
        <w:t>，故生活用水量为</w:t>
      </w:r>
      <w:r w:rsidR="00C55D97" w:rsidRPr="00F9522B">
        <w:rPr>
          <w:rFonts w:eastAsiaTheme="minorEastAsia"/>
          <w:sz w:val="24"/>
        </w:rPr>
        <w:t>18144</w:t>
      </w:r>
      <w:r w:rsidRPr="00F9522B">
        <w:rPr>
          <w:rFonts w:eastAsiaTheme="minorEastAsia"/>
          <w:sz w:val="24"/>
        </w:rPr>
        <w:t>m</w:t>
      </w:r>
      <w:r w:rsidRPr="00F9522B">
        <w:rPr>
          <w:rFonts w:eastAsiaTheme="minorEastAsia"/>
          <w:sz w:val="24"/>
          <w:vertAlign w:val="superscript"/>
        </w:rPr>
        <w:t>3</w:t>
      </w:r>
      <w:r w:rsidRPr="00F9522B">
        <w:rPr>
          <w:rFonts w:eastAsiaTheme="minorEastAsia"/>
          <w:sz w:val="24"/>
        </w:rPr>
        <w:t>。</w:t>
      </w:r>
    </w:p>
    <w:p w:rsidR="002A5A5E" w:rsidRPr="00F9522B" w:rsidRDefault="00611CBA">
      <w:pPr>
        <w:pStyle w:val="affffffffd"/>
        <w:numPr>
          <w:ilvl w:val="0"/>
          <w:numId w:val="11"/>
        </w:numPr>
        <w:adjustRightInd w:val="0"/>
        <w:spacing w:line="360" w:lineRule="auto"/>
        <w:ind w:firstLineChars="0"/>
        <w:rPr>
          <w:rFonts w:eastAsiaTheme="minorEastAsia"/>
          <w:sz w:val="24"/>
        </w:rPr>
      </w:pPr>
      <w:r w:rsidRPr="00F9522B">
        <w:rPr>
          <w:rFonts w:eastAsiaTheme="minorEastAsia"/>
          <w:sz w:val="24"/>
        </w:rPr>
        <w:t>运营期</w:t>
      </w:r>
    </w:p>
    <w:p w:rsidR="002A5A5E" w:rsidRPr="00F9522B" w:rsidRDefault="00611CBA">
      <w:pPr>
        <w:adjustRightInd w:val="0"/>
        <w:spacing w:line="360" w:lineRule="auto"/>
        <w:ind w:firstLineChars="200" w:firstLine="480"/>
        <w:rPr>
          <w:rFonts w:eastAsiaTheme="minorEastAsia"/>
          <w:sz w:val="24"/>
        </w:rPr>
      </w:pPr>
      <w:r w:rsidRPr="00F9522B">
        <w:rPr>
          <w:rFonts w:eastAsiaTheme="minorEastAsia"/>
          <w:sz w:val="24"/>
        </w:rPr>
        <w:t>运营期灌溉井采取当地村委会巡查形式维护，不单独设置留守人员值守，不产生生活污水。</w:t>
      </w:r>
    </w:p>
    <w:p w:rsidR="002A5A5E" w:rsidRPr="00F9522B" w:rsidRDefault="00611CBA" w:rsidP="00596FF0">
      <w:pPr>
        <w:adjustRightInd w:val="0"/>
        <w:spacing w:line="360" w:lineRule="auto"/>
        <w:ind w:firstLineChars="200" w:firstLine="480"/>
        <w:rPr>
          <w:rFonts w:eastAsiaTheme="minorEastAsia"/>
          <w:sz w:val="24"/>
        </w:rPr>
      </w:pPr>
      <w:r w:rsidRPr="00F9522B">
        <w:rPr>
          <w:rFonts w:eastAsiaTheme="minorEastAsia"/>
          <w:sz w:val="24"/>
        </w:rPr>
        <w:t>旱地</w:t>
      </w:r>
      <w:r w:rsidR="00596FF0" w:rsidRPr="00F9522B">
        <w:rPr>
          <w:rFonts w:eastAsiaTheme="minorEastAsia"/>
          <w:sz w:val="24"/>
        </w:rPr>
        <w:t>：</w:t>
      </w:r>
      <w:r w:rsidRPr="00F9522B">
        <w:rPr>
          <w:rFonts w:eastAsiaTheme="minorEastAsia"/>
          <w:sz w:val="24"/>
        </w:rPr>
        <w:t>本项目新建机电井</w:t>
      </w:r>
      <w:r w:rsidR="00121DFD" w:rsidRPr="00F9522B">
        <w:rPr>
          <w:rFonts w:eastAsiaTheme="minorEastAsia"/>
          <w:sz w:val="24"/>
        </w:rPr>
        <w:t>264</w:t>
      </w:r>
      <w:r w:rsidR="00121DFD" w:rsidRPr="00F9522B">
        <w:rPr>
          <w:rFonts w:eastAsiaTheme="minorEastAsia"/>
          <w:sz w:val="24"/>
        </w:rPr>
        <w:t>眼</w:t>
      </w:r>
      <w:r w:rsidRPr="00F9522B">
        <w:rPr>
          <w:rFonts w:eastAsiaTheme="minorEastAsia"/>
          <w:sz w:val="24"/>
        </w:rPr>
        <w:t>，其中</w:t>
      </w:r>
      <w:r w:rsidR="008A4031" w:rsidRPr="00F9522B">
        <w:rPr>
          <w:rFonts w:eastAsiaTheme="minorEastAsia"/>
          <w:sz w:val="24"/>
        </w:rPr>
        <w:t>70</w:t>
      </w:r>
      <w:r w:rsidRPr="00F9522B">
        <w:rPr>
          <w:rFonts w:eastAsiaTheme="minorEastAsia"/>
          <w:sz w:val="24"/>
        </w:rPr>
        <w:t>口滴灌井，</w:t>
      </w:r>
      <w:r w:rsidR="00DF5A47" w:rsidRPr="00F9522B">
        <w:rPr>
          <w:rFonts w:eastAsiaTheme="minorEastAsia"/>
          <w:sz w:val="24"/>
        </w:rPr>
        <w:t>194</w:t>
      </w:r>
      <w:r w:rsidRPr="00F9522B">
        <w:rPr>
          <w:rFonts w:eastAsiaTheme="minorEastAsia"/>
          <w:sz w:val="24"/>
        </w:rPr>
        <w:t>口抗旱井（干旱时启用），运营期设计抗旱井每年</w:t>
      </w:r>
      <w:r w:rsidRPr="00F9522B">
        <w:rPr>
          <w:rFonts w:eastAsiaTheme="minorEastAsia"/>
          <w:sz w:val="24"/>
        </w:rPr>
        <w:t>5-7</w:t>
      </w:r>
      <w:r w:rsidRPr="00F9522B">
        <w:rPr>
          <w:rFonts w:eastAsiaTheme="minorEastAsia"/>
          <w:sz w:val="24"/>
        </w:rPr>
        <w:t>月干旱时灌水</w:t>
      </w:r>
      <w:r w:rsidRPr="00F9522B">
        <w:rPr>
          <w:rFonts w:eastAsiaTheme="minorEastAsia"/>
          <w:sz w:val="24"/>
        </w:rPr>
        <w:t>15d</w:t>
      </w:r>
      <w:r w:rsidRPr="00F9522B">
        <w:rPr>
          <w:rFonts w:eastAsiaTheme="minorEastAsia"/>
          <w:sz w:val="24"/>
        </w:rPr>
        <w:t>，</w:t>
      </w:r>
      <w:r w:rsidR="00FB3457" w:rsidRPr="00F9522B">
        <w:rPr>
          <w:rFonts w:eastAsiaTheme="minorEastAsia"/>
          <w:sz w:val="24"/>
        </w:rPr>
        <w:t>每天灌溉时间约为</w:t>
      </w:r>
      <w:r w:rsidR="00FB3457" w:rsidRPr="00F9522B">
        <w:rPr>
          <w:rFonts w:eastAsiaTheme="minorEastAsia"/>
          <w:sz w:val="24"/>
        </w:rPr>
        <w:t>8h</w:t>
      </w:r>
      <w:r w:rsidR="00FB3457" w:rsidRPr="00F9522B">
        <w:rPr>
          <w:rFonts w:eastAsiaTheme="minorEastAsia"/>
          <w:sz w:val="24"/>
        </w:rPr>
        <w:t>，总灌水时间约</w:t>
      </w:r>
      <w:r w:rsidR="00FB3457" w:rsidRPr="00F9522B">
        <w:rPr>
          <w:rFonts w:eastAsiaTheme="minorEastAsia"/>
          <w:sz w:val="24"/>
        </w:rPr>
        <w:t>120h</w:t>
      </w:r>
      <w:r w:rsidR="00FB3457" w:rsidRPr="00F9522B">
        <w:rPr>
          <w:rFonts w:eastAsiaTheme="minorEastAsia"/>
          <w:sz w:val="24"/>
        </w:rPr>
        <w:t>，设计单井涌水量为</w:t>
      </w:r>
      <w:r w:rsidR="00FB3457" w:rsidRPr="00F9522B">
        <w:rPr>
          <w:rFonts w:eastAsiaTheme="minorEastAsia"/>
          <w:sz w:val="24"/>
        </w:rPr>
        <w:t>30m</w:t>
      </w:r>
      <w:r w:rsidR="00FB3457" w:rsidRPr="00F9522B">
        <w:rPr>
          <w:rFonts w:eastAsiaTheme="minorEastAsia"/>
          <w:sz w:val="24"/>
          <w:vertAlign w:val="superscript"/>
        </w:rPr>
        <w:t>3</w:t>
      </w:r>
      <w:r w:rsidR="00FB3457" w:rsidRPr="00F9522B">
        <w:rPr>
          <w:rFonts w:eastAsiaTheme="minorEastAsia"/>
          <w:sz w:val="24"/>
        </w:rPr>
        <w:t>/h</w:t>
      </w:r>
      <w:r w:rsidR="00FB3457" w:rsidRPr="00F9522B">
        <w:rPr>
          <w:rFonts w:eastAsiaTheme="minorEastAsia"/>
          <w:sz w:val="24"/>
        </w:rPr>
        <w:t>，</w:t>
      </w:r>
      <w:r w:rsidR="00FB3457" w:rsidRPr="00F9522B">
        <w:rPr>
          <w:rFonts w:eastAsiaTheme="minorEastAsia"/>
          <w:bCs/>
          <w:sz w:val="24"/>
        </w:rPr>
        <w:t>滴灌井生育期灌溉总天数</w:t>
      </w:r>
      <w:r w:rsidR="00FB3457" w:rsidRPr="00F9522B">
        <w:rPr>
          <w:rFonts w:eastAsiaTheme="minorEastAsia"/>
          <w:bCs/>
          <w:sz w:val="24"/>
        </w:rPr>
        <w:t>43d</w:t>
      </w:r>
      <w:r w:rsidR="00FB3457" w:rsidRPr="00F9522B">
        <w:rPr>
          <w:rFonts w:eastAsiaTheme="minorEastAsia"/>
          <w:bCs/>
          <w:sz w:val="24"/>
        </w:rPr>
        <w:t>，</w:t>
      </w:r>
      <w:r w:rsidR="00FB3457" w:rsidRPr="00F9522B">
        <w:rPr>
          <w:rFonts w:eastAsiaTheme="minorEastAsia"/>
          <w:sz w:val="24"/>
        </w:rPr>
        <w:t>每天灌溉时间约为</w:t>
      </w:r>
      <w:r w:rsidR="00FB3457" w:rsidRPr="00F9522B">
        <w:rPr>
          <w:rFonts w:eastAsiaTheme="minorEastAsia"/>
          <w:sz w:val="24"/>
        </w:rPr>
        <w:t>20h</w:t>
      </w:r>
      <w:r w:rsidR="00FB3457" w:rsidRPr="00F9522B">
        <w:rPr>
          <w:rFonts w:eastAsiaTheme="minorEastAsia"/>
          <w:sz w:val="24"/>
        </w:rPr>
        <w:t>，总灌水时间约</w:t>
      </w:r>
      <w:r w:rsidR="00FB3457" w:rsidRPr="00F9522B">
        <w:rPr>
          <w:rFonts w:eastAsiaTheme="minorEastAsia"/>
          <w:sz w:val="24"/>
        </w:rPr>
        <w:t>860h</w:t>
      </w:r>
      <w:r w:rsidRPr="00F9522B">
        <w:rPr>
          <w:rFonts w:eastAsiaTheme="minorEastAsia"/>
          <w:sz w:val="24"/>
        </w:rPr>
        <w:t>。实现玉米</w:t>
      </w:r>
      <w:r w:rsidR="009F0766" w:rsidRPr="00F9522B">
        <w:rPr>
          <w:rFonts w:eastAsiaTheme="minorEastAsia"/>
          <w:sz w:val="24"/>
        </w:rPr>
        <w:t>灌溉面积</w:t>
      </w:r>
      <w:r w:rsidR="009F0766" w:rsidRPr="00F9522B">
        <w:rPr>
          <w:rFonts w:eastAsiaTheme="minorEastAsia"/>
          <w:sz w:val="24"/>
        </w:rPr>
        <w:t>122041.64</w:t>
      </w:r>
      <w:r w:rsidR="009F0766" w:rsidRPr="00F9522B">
        <w:rPr>
          <w:rFonts w:eastAsiaTheme="minorEastAsia"/>
          <w:sz w:val="24"/>
        </w:rPr>
        <w:t>亩</w:t>
      </w:r>
      <w:r w:rsidRPr="00F9522B">
        <w:rPr>
          <w:rFonts w:eastAsiaTheme="minorEastAsia"/>
          <w:sz w:val="24"/>
        </w:rPr>
        <w:t>。根据已批复《</w:t>
      </w:r>
      <w:r w:rsidR="003A7922" w:rsidRPr="00F9522B">
        <w:rPr>
          <w:rFonts w:eastAsiaTheme="minorEastAsia"/>
          <w:sz w:val="24"/>
        </w:rPr>
        <w:t>呼兰区</w:t>
      </w:r>
      <w:r w:rsidR="003A7922" w:rsidRPr="00F9522B">
        <w:rPr>
          <w:rFonts w:eastAsiaTheme="minorEastAsia"/>
          <w:sz w:val="24"/>
        </w:rPr>
        <w:t>2026</w:t>
      </w:r>
      <w:r w:rsidR="003A7922" w:rsidRPr="00F9522B">
        <w:rPr>
          <w:rFonts w:eastAsiaTheme="minorEastAsia"/>
          <w:sz w:val="24"/>
        </w:rPr>
        <w:t>年高标准农田建设项目</w:t>
      </w:r>
      <w:r w:rsidRPr="00F9522B">
        <w:rPr>
          <w:rFonts w:eastAsiaTheme="minorEastAsia"/>
          <w:sz w:val="24"/>
        </w:rPr>
        <w:t>水资源论证报告书》，项目区的灌溉定额和灌溉水利用系数，</w:t>
      </w:r>
      <w:r w:rsidR="0097424D" w:rsidRPr="00F9522B">
        <w:rPr>
          <w:rFonts w:eastAsiaTheme="minorEastAsia"/>
          <w:sz w:val="24"/>
        </w:rPr>
        <w:t>项目区取水量为</w:t>
      </w:r>
      <w:r w:rsidR="0097424D" w:rsidRPr="00F9522B">
        <w:rPr>
          <w:rFonts w:eastAsiaTheme="minorEastAsia"/>
          <w:sz w:val="24"/>
        </w:rPr>
        <w:t>242.74</w:t>
      </w:r>
      <w:r w:rsidR="0097424D" w:rsidRPr="00F9522B">
        <w:rPr>
          <w:rFonts w:eastAsiaTheme="minorEastAsia"/>
          <w:sz w:val="24"/>
        </w:rPr>
        <w:t>万</w:t>
      </w:r>
      <w:r w:rsidR="0097424D" w:rsidRPr="00F9522B">
        <w:rPr>
          <w:rFonts w:eastAsiaTheme="minorEastAsia"/>
          <w:sz w:val="24"/>
        </w:rPr>
        <w:t>m</w:t>
      </w:r>
      <w:r w:rsidR="008A4031" w:rsidRPr="00F9522B">
        <w:rPr>
          <w:rFonts w:eastAsiaTheme="minorEastAsia"/>
          <w:sz w:val="24"/>
        </w:rPr>
        <w:t>³</w:t>
      </w:r>
      <w:r w:rsidR="0097424D" w:rsidRPr="00F9522B">
        <w:rPr>
          <w:rFonts w:eastAsiaTheme="minorEastAsia"/>
          <w:sz w:val="24"/>
        </w:rPr>
        <w:t>/a</w:t>
      </w:r>
      <w:r w:rsidR="0097424D" w:rsidRPr="00F9522B">
        <w:rPr>
          <w:rFonts w:eastAsiaTheme="minorEastAsia"/>
          <w:sz w:val="24"/>
        </w:rPr>
        <w:t>（其中抗旱井</w:t>
      </w:r>
      <w:r w:rsidR="0097424D" w:rsidRPr="00F9522B">
        <w:rPr>
          <w:rFonts w:eastAsiaTheme="minorEastAsia"/>
          <w:sz w:val="24"/>
        </w:rPr>
        <w:t>63.44</w:t>
      </w:r>
      <w:r w:rsidR="0097424D" w:rsidRPr="00F9522B">
        <w:rPr>
          <w:rFonts w:eastAsiaTheme="minorEastAsia"/>
          <w:sz w:val="24"/>
        </w:rPr>
        <w:lastRenderedPageBreak/>
        <w:t>万</w:t>
      </w:r>
      <w:r w:rsidR="0097424D" w:rsidRPr="00F9522B">
        <w:rPr>
          <w:rFonts w:eastAsiaTheme="minorEastAsia"/>
          <w:sz w:val="24"/>
        </w:rPr>
        <w:t>m³/a</w:t>
      </w:r>
      <w:r w:rsidR="0097424D" w:rsidRPr="00F9522B">
        <w:rPr>
          <w:rFonts w:eastAsiaTheme="minorEastAsia"/>
          <w:sz w:val="24"/>
        </w:rPr>
        <w:t>、滴灌井</w:t>
      </w:r>
      <w:r w:rsidR="0097424D" w:rsidRPr="00F9522B">
        <w:rPr>
          <w:rFonts w:eastAsiaTheme="minorEastAsia"/>
          <w:sz w:val="24"/>
        </w:rPr>
        <w:t>179.3</w:t>
      </w:r>
      <w:r w:rsidR="0097424D" w:rsidRPr="00F9522B">
        <w:rPr>
          <w:rFonts w:eastAsiaTheme="minorEastAsia"/>
          <w:sz w:val="24"/>
        </w:rPr>
        <w:t>万</w:t>
      </w:r>
      <w:r w:rsidR="0097424D" w:rsidRPr="00F9522B">
        <w:rPr>
          <w:rFonts w:eastAsiaTheme="minorEastAsia"/>
          <w:sz w:val="24"/>
        </w:rPr>
        <w:t>m³/a</w:t>
      </w:r>
      <w:r w:rsidR="0097424D" w:rsidRPr="00F9522B">
        <w:rPr>
          <w:rFonts w:eastAsiaTheme="minorEastAsia"/>
          <w:sz w:val="24"/>
        </w:rPr>
        <w:t>），日取水量</w:t>
      </w:r>
      <w:r w:rsidR="00DF5A47" w:rsidRPr="00F9522B">
        <w:rPr>
          <w:rFonts w:eastAsiaTheme="minorEastAsia"/>
          <w:sz w:val="24"/>
        </w:rPr>
        <w:t>约</w:t>
      </w:r>
      <w:r w:rsidR="0097424D" w:rsidRPr="00F9522B">
        <w:rPr>
          <w:rFonts w:eastAsiaTheme="minorEastAsia"/>
          <w:sz w:val="24"/>
        </w:rPr>
        <w:t>为</w:t>
      </w:r>
      <w:r w:rsidR="0097424D" w:rsidRPr="00F9522B">
        <w:rPr>
          <w:rFonts w:eastAsiaTheme="minorEastAsia"/>
          <w:sz w:val="24"/>
        </w:rPr>
        <w:t>83991m</w:t>
      </w:r>
      <w:r w:rsidR="0097424D" w:rsidRPr="00F9522B">
        <w:rPr>
          <w:rFonts w:eastAsiaTheme="minorEastAsia"/>
          <w:sz w:val="24"/>
        </w:rPr>
        <w:t>（其中抗旱井</w:t>
      </w:r>
      <w:r w:rsidR="0097424D" w:rsidRPr="00F9522B">
        <w:rPr>
          <w:rFonts w:eastAsiaTheme="minorEastAsia"/>
          <w:sz w:val="24"/>
        </w:rPr>
        <w:t>42293m³</w:t>
      </w:r>
      <w:r w:rsidR="0097424D" w:rsidRPr="00F9522B">
        <w:rPr>
          <w:rFonts w:eastAsiaTheme="minorEastAsia"/>
          <w:sz w:val="24"/>
        </w:rPr>
        <w:t>、滴灌井</w:t>
      </w:r>
      <w:r w:rsidR="0097424D" w:rsidRPr="00F9522B">
        <w:rPr>
          <w:rFonts w:eastAsiaTheme="minorEastAsia"/>
          <w:sz w:val="24"/>
        </w:rPr>
        <w:t>41698m³</w:t>
      </w:r>
      <w:r w:rsidR="0097424D" w:rsidRPr="00F9522B">
        <w:rPr>
          <w:rFonts w:eastAsiaTheme="minorEastAsia"/>
          <w:sz w:val="24"/>
        </w:rPr>
        <w:t>）。</w:t>
      </w:r>
      <w:r w:rsidRPr="00F9522B">
        <w:rPr>
          <w:rFonts w:eastAsiaTheme="minorEastAsia"/>
          <w:sz w:val="24"/>
        </w:rPr>
        <w:t>已取得《关于</w:t>
      </w:r>
      <w:r w:rsidR="003A7922" w:rsidRPr="00F9522B">
        <w:rPr>
          <w:rFonts w:eastAsiaTheme="minorEastAsia"/>
          <w:sz w:val="24"/>
        </w:rPr>
        <w:t>呼兰区</w:t>
      </w:r>
      <w:r w:rsidR="003A7922" w:rsidRPr="00F9522B">
        <w:rPr>
          <w:rFonts w:eastAsiaTheme="minorEastAsia"/>
          <w:sz w:val="24"/>
        </w:rPr>
        <w:t>2026</w:t>
      </w:r>
      <w:r w:rsidR="003A7922" w:rsidRPr="00F9522B">
        <w:rPr>
          <w:rFonts w:eastAsiaTheme="minorEastAsia"/>
          <w:sz w:val="24"/>
        </w:rPr>
        <w:t>年高标准农田建设项目</w:t>
      </w:r>
      <w:r w:rsidRPr="00F9522B">
        <w:rPr>
          <w:rFonts w:eastAsiaTheme="minorEastAsia"/>
          <w:sz w:val="24"/>
        </w:rPr>
        <w:t>取水许可申请的批复》（</w:t>
      </w:r>
      <w:r w:rsidR="00D302ED" w:rsidRPr="00F9522B">
        <w:rPr>
          <w:rFonts w:eastAsiaTheme="minorEastAsia"/>
          <w:sz w:val="24"/>
        </w:rPr>
        <w:t>哈呼水发〔</w:t>
      </w:r>
      <w:r w:rsidR="00D302ED" w:rsidRPr="00F9522B">
        <w:rPr>
          <w:rFonts w:eastAsiaTheme="minorEastAsia"/>
          <w:sz w:val="24"/>
        </w:rPr>
        <w:t>2026</w:t>
      </w:r>
      <w:r w:rsidR="00D302ED" w:rsidRPr="00F9522B">
        <w:rPr>
          <w:rFonts w:eastAsiaTheme="minorEastAsia"/>
          <w:sz w:val="24"/>
        </w:rPr>
        <w:t>〕</w:t>
      </w:r>
      <w:r w:rsidR="00D302ED" w:rsidRPr="00F9522B">
        <w:rPr>
          <w:rFonts w:eastAsiaTheme="minorEastAsia"/>
          <w:sz w:val="24"/>
        </w:rPr>
        <w:t>1</w:t>
      </w:r>
      <w:r w:rsidR="00D302ED" w:rsidRPr="00F9522B">
        <w:rPr>
          <w:rFonts w:eastAsiaTheme="minorEastAsia"/>
          <w:sz w:val="24"/>
        </w:rPr>
        <w:t>号</w:t>
      </w:r>
      <w:r w:rsidRPr="00F9522B">
        <w:rPr>
          <w:rFonts w:eastAsiaTheme="minorEastAsia"/>
          <w:sz w:val="24"/>
        </w:rPr>
        <w:t>）。</w:t>
      </w:r>
    </w:p>
    <w:p w:rsidR="002A5A5E" w:rsidRPr="00F9522B" w:rsidRDefault="00611CBA" w:rsidP="00B40846">
      <w:pPr>
        <w:adjustRightInd w:val="0"/>
        <w:spacing w:line="360" w:lineRule="auto"/>
        <w:ind w:firstLineChars="200" w:firstLine="480"/>
        <w:rPr>
          <w:rFonts w:eastAsiaTheme="minorEastAsia"/>
          <w:color w:val="FF0000"/>
          <w:sz w:val="24"/>
        </w:rPr>
      </w:pPr>
      <w:r w:rsidRPr="00F9522B">
        <w:rPr>
          <w:rFonts w:eastAsiaTheme="minorEastAsia"/>
          <w:color w:val="FF0000"/>
          <w:sz w:val="24"/>
        </w:rPr>
        <w:t>水田</w:t>
      </w:r>
      <w:r w:rsidR="00596FF0" w:rsidRPr="00F9522B">
        <w:rPr>
          <w:rFonts w:eastAsiaTheme="minorEastAsia"/>
          <w:color w:val="FF0000"/>
          <w:sz w:val="24"/>
        </w:rPr>
        <w:t>：</w:t>
      </w:r>
      <w:r w:rsidR="00F25A84" w:rsidRPr="00F9522B">
        <w:rPr>
          <w:rFonts w:eastAsiaTheme="minorEastAsia"/>
          <w:color w:val="FF0000"/>
          <w:sz w:val="24"/>
        </w:rPr>
        <w:t>本项目现状水田地下水灌溉面积</w:t>
      </w:r>
      <w:r w:rsidR="00F25A84" w:rsidRPr="00F9522B">
        <w:rPr>
          <w:rFonts w:eastAsiaTheme="minorEastAsia"/>
          <w:color w:val="FF0000"/>
          <w:sz w:val="24"/>
        </w:rPr>
        <w:t>0.47</w:t>
      </w:r>
      <w:r w:rsidR="00F25A84" w:rsidRPr="00F9522B">
        <w:rPr>
          <w:rFonts w:eastAsiaTheme="minorEastAsia"/>
          <w:color w:val="FF0000"/>
          <w:sz w:val="24"/>
        </w:rPr>
        <w:t>万亩，其中康金、石人、方台片区</w:t>
      </w:r>
      <w:r w:rsidR="00F25A84" w:rsidRPr="00F9522B">
        <w:rPr>
          <w:rFonts w:eastAsiaTheme="minorEastAsia"/>
          <w:color w:val="FF0000"/>
          <w:sz w:val="24"/>
        </w:rPr>
        <w:t>0.325</w:t>
      </w:r>
      <w:r w:rsidR="00F25A84" w:rsidRPr="00F9522B">
        <w:rPr>
          <w:rFonts w:eastAsiaTheme="minorEastAsia"/>
          <w:color w:val="FF0000"/>
          <w:sz w:val="24"/>
        </w:rPr>
        <w:t>万亩（松花江退水口），二八、康金、石人片区</w:t>
      </w:r>
      <w:r w:rsidR="00F25A84" w:rsidRPr="00F9522B">
        <w:rPr>
          <w:rFonts w:eastAsiaTheme="minorEastAsia"/>
          <w:color w:val="FF0000"/>
          <w:sz w:val="24"/>
        </w:rPr>
        <w:t>0.145</w:t>
      </w:r>
      <w:r w:rsidR="00F25A84" w:rsidRPr="00F9522B">
        <w:rPr>
          <w:rFonts w:eastAsiaTheme="minorEastAsia"/>
          <w:color w:val="FF0000"/>
          <w:sz w:val="24"/>
        </w:rPr>
        <w:t>万亩（漂河退水口）</w:t>
      </w:r>
      <w:r w:rsidRPr="00F9522B">
        <w:rPr>
          <w:rFonts w:eastAsiaTheme="minorEastAsia"/>
          <w:color w:val="FF0000"/>
          <w:sz w:val="24"/>
        </w:rPr>
        <w:t>。现状年灌溉水利用系数</w:t>
      </w:r>
      <w:r w:rsidRPr="00F9522B">
        <w:rPr>
          <w:rFonts w:eastAsiaTheme="minorEastAsia"/>
          <w:color w:val="FF0000"/>
          <w:sz w:val="24"/>
        </w:rPr>
        <w:t>0.67</w:t>
      </w:r>
      <w:r w:rsidRPr="00F9522B">
        <w:rPr>
          <w:rFonts w:eastAsiaTheme="minorEastAsia"/>
          <w:color w:val="FF0000"/>
          <w:sz w:val="24"/>
        </w:rPr>
        <w:t>，水田灌溉用水定额为</w:t>
      </w:r>
      <w:r w:rsidRPr="00F9522B">
        <w:rPr>
          <w:rFonts w:eastAsiaTheme="minorEastAsia"/>
          <w:color w:val="FF0000"/>
          <w:sz w:val="24"/>
        </w:rPr>
        <w:t>576.1m</w:t>
      </w:r>
      <w:r w:rsidRPr="00F9522B">
        <w:rPr>
          <w:rFonts w:eastAsiaTheme="minorEastAsia"/>
          <w:color w:val="FF0000"/>
          <w:sz w:val="24"/>
          <w:vertAlign w:val="superscript"/>
        </w:rPr>
        <w:t>3</w:t>
      </w:r>
      <w:r w:rsidRPr="00F9522B">
        <w:rPr>
          <w:rFonts w:eastAsiaTheme="minorEastAsia"/>
          <w:color w:val="FF0000"/>
          <w:sz w:val="24"/>
        </w:rPr>
        <w:t>/</w:t>
      </w:r>
      <w:r w:rsidRPr="00F9522B">
        <w:rPr>
          <w:rFonts w:eastAsiaTheme="minorEastAsia"/>
          <w:color w:val="FF0000"/>
          <w:sz w:val="24"/>
        </w:rPr>
        <w:t>亩，现状引水总量</w:t>
      </w:r>
      <w:r w:rsidR="00F25A84" w:rsidRPr="00F9522B">
        <w:rPr>
          <w:rFonts w:eastAsiaTheme="minorEastAsia"/>
          <w:color w:val="FF0000"/>
          <w:sz w:val="24"/>
        </w:rPr>
        <w:t>271</w:t>
      </w:r>
      <w:r w:rsidRPr="00F9522B">
        <w:rPr>
          <w:rFonts w:eastAsiaTheme="minorEastAsia"/>
          <w:color w:val="FF0000"/>
          <w:sz w:val="24"/>
        </w:rPr>
        <w:t>万</w:t>
      </w:r>
      <w:r w:rsidRPr="00F9522B">
        <w:rPr>
          <w:rFonts w:eastAsiaTheme="minorEastAsia"/>
          <w:color w:val="FF0000"/>
          <w:sz w:val="24"/>
        </w:rPr>
        <w:t>m</w:t>
      </w:r>
      <w:r w:rsidRPr="00F9522B">
        <w:rPr>
          <w:rFonts w:eastAsiaTheme="minorEastAsia"/>
          <w:color w:val="FF0000"/>
          <w:sz w:val="24"/>
          <w:vertAlign w:val="superscript"/>
        </w:rPr>
        <w:t>3</w:t>
      </w:r>
      <w:r w:rsidRPr="00F9522B">
        <w:rPr>
          <w:rFonts w:eastAsiaTheme="minorEastAsia"/>
          <w:color w:val="FF0000"/>
          <w:sz w:val="24"/>
        </w:rPr>
        <w:t>。本项目建设后通过格田改造、土地平整等工程，可以减少池埂占地面积，提高农田保水能力，并且由于渠系配套完善，减少引水跑冒滴漏，水利用系数提升至</w:t>
      </w:r>
      <w:r w:rsidRPr="00F9522B">
        <w:rPr>
          <w:rFonts w:eastAsiaTheme="minorEastAsia"/>
          <w:color w:val="FF0000"/>
          <w:sz w:val="24"/>
        </w:rPr>
        <w:t>0.69</w:t>
      </w:r>
      <w:r w:rsidRPr="00F9522B">
        <w:rPr>
          <w:rFonts w:eastAsiaTheme="minorEastAsia"/>
          <w:color w:val="FF0000"/>
          <w:sz w:val="24"/>
        </w:rPr>
        <w:t>，水田灌溉用水定额为</w:t>
      </w:r>
      <w:r w:rsidRPr="00F9522B">
        <w:rPr>
          <w:rFonts w:eastAsiaTheme="minorEastAsia"/>
          <w:color w:val="FF0000"/>
          <w:sz w:val="24"/>
        </w:rPr>
        <w:t>559.42m</w:t>
      </w:r>
      <w:r w:rsidRPr="00F9522B">
        <w:rPr>
          <w:rFonts w:eastAsiaTheme="minorEastAsia"/>
          <w:color w:val="FF0000"/>
          <w:sz w:val="24"/>
          <w:vertAlign w:val="superscript"/>
        </w:rPr>
        <w:t>3</w:t>
      </w:r>
      <w:r w:rsidRPr="00F9522B">
        <w:rPr>
          <w:rFonts w:eastAsiaTheme="minorEastAsia"/>
          <w:color w:val="FF0000"/>
          <w:sz w:val="24"/>
        </w:rPr>
        <w:t>/</w:t>
      </w:r>
      <w:r w:rsidRPr="00F9522B">
        <w:rPr>
          <w:rFonts w:eastAsiaTheme="minorEastAsia"/>
          <w:color w:val="FF0000"/>
          <w:sz w:val="24"/>
        </w:rPr>
        <w:t>亩，引水总量</w:t>
      </w:r>
      <w:r w:rsidR="00F25A84" w:rsidRPr="00F9522B">
        <w:rPr>
          <w:rFonts w:eastAsiaTheme="minorEastAsia"/>
          <w:color w:val="FF0000"/>
          <w:sz w:val="24"/>
        </w:rPr>
        <w:t>263</w:t>
      </w:r>
      <w:r w:rsidRPr="00F9522B">
        <w:rPr>
          <w:rFonts w:eastAsiaTheme="minorEastAsia"/>
          <w:color w:val="FF0000"/>
          <w:sz w:val="24"/>
        </w:rPr>
        <w:t>万</w:t>
      </w:r>
      <w:r w:rsidRPr="00F9522B">
        <w:rPr>
          <w:rFonts w:eastAsiaTheme="minorEastAsia"/>
          <w:color w:val="FF0000"/>
          <w:sz w:val="24"/>
        </w:rPr>
        <w:t>m</w:t>
      </w:r>
      <w:r w:rsidRPr="00F9522B">
        <w:rPr>
          <w:rFonts w:eastAsiaTheme="minorEastAsia"/>
          <w:color w:val="FF0000"/>
          <w:sz w:val="24"/>
          <w:vertAlign w:val="superscript"/>
        </w:rPr>
        <w:t>3</w:t>
      </w:r>
      <w:r w:rsidRPr="00F9522B">
        <w:rPr>
          <w:rFonts w:eastAsiaTheme="minorEastAsia"/>
          <w:color w:val="FF0000"/>
          <w:sz w:val="24"/>
        </w:rPr>
        <w:t>。</w:t>
      </w:r>
    </w:p>
    <w:bookmarkEnd w:id="85"/>
    <w:bookmarkEnd w:id="86"/>
    <w:p w:rsidR="002A5A5E" w:rsidRPr="00F9522B" w:rsidRDefault="005273A1">
      <w:pPr>
        <w:autoSpaceDE w:val="0"/>
        <w:autoSpaceDN w:val="0"/>
        <w:spacing w:before="100" w:beforeAutospacing="1" w:after="100" w:afterAutospacing="1"/>
        <w:outlineLvl w:val="3"/>
        <w:rPr>
          <w:rFonts w:eastAsiaTheme="minorEastAsia"/>
          <w:b/>
          <w:sz w:val="24"/>
        </w:rPr>
      </w:pPr>
      <w:r w:rsidRPr="00F9522B">
        <w:rPr>
          <w:rFonts w:eastAsiaTheme="minorEastAsia"/>
          <w:b/>
          <w:sz w:val="24"/>
        </w:rPr>
        <w:fldChar w:fldCharType="begin"/>
      </w:r>
      <w:r w:rsidR="00611CBA" w:rsidRPr="00F9522B">
        <w:rPr>
          <w:rFonts w:eastAsiaTheme="minorEastAsia"/>
          <w:b/>
          <w:sz w:val="24"/>
        </w:rPr>
        <w:instrText>HYPERLINK "file:///F:\\360</w:instrText>
      </w:r>
      <w:r w:rsidR="00611CBA" w:rsidRPr="00F9522B">
        <w:rPr>
          <w:rFonts w:eastAsiaTheme="minorEastAsia"/>
          <w:b/>
          <w:sz w:val="24"/>
        </w:rPr>
        <w:instrText>用户文件</w:instrText>
      </w:r>
      <w:r w:rsidR="00611CBA" w:rsidRPr="00F9522B">
        <w:rPr>
          <w:rFonts w:eastAsiaTheme="minorEastAsia"/>
          <w:b/>
          <w:sz w:val="24"/>
        </w:rPr>
        <w:instrText>\\</w:instrText>
      </w:r>
      <w:r w:rsidR="00611CBA" w:rsidRPr="00F9522B">
        <w:rPr>
          <w:rFonts w:eastAsiaTheme="minorEastAsia"/>
          <w:b/>
          <w:sz w:val="24"/>
        </w:rPr>
        <w:instrText>游戏大厅</w:instrText>
      </w:r>
      <w:r w:rsidR="00611CBA" w:rsidRPr="00F9522B">
        <w:rPr>
          <w:rFonts w:eastAsiaTheme="minorEastAsia"/>
          <w:b/>
          <w:sz w:val="24"/>
        </w:rPr>
        <w:instrText>\\</w:instrText>
      </w:r>
      <w:r w:rsidR="00611CBA" w:rsidRPr="00F9522B">
        <w:rPr>
          <w:rFonts w:eastAsiaTheme="minorEastAsia"/>
          <w:b/>
          <w:sz w:val="24"/>
        </w:rPr>
        <w:instrText>天兆养猪有限公司环评</w:instrText>
      </w:r>
      <w:r w:rsidR="00611CBA" w:rsidRPr="00F9522B">
        <w:rPr>
          <w:rFonts w:eastAsiaTheme="minorEastAsia"/>
          <w:b/>
          <w:sz w:val="24"/>
        </w:rPr>
        <w:instrText>\\1106</w:instrText>
      </w:r>
      <w:r w:rsidR="00611CBA" w:rsidRPr="00F9522B">
        <w:rPr>
          <w:rFonts w:eastAsiaTheme="minorEastAsia"/>
          <w:b/>
          <w:sz w:val="24"/>
        </w:rPr>
        <w:instrText>天兆养猪</w:instrText>
      </w:r>
      <w:r w:rsidR="00611CBA" w:rsidRPr="00F9522B">
        <w:rPr>
          <w:rFonts w:eastAsiaTheme="minorEastAsia"/>
          <w:b/>
          <w:sz w:val="24"/>
        </w:rPr>
        <w:instrText>\\</w:instrText>
      </w:r>
      <w:r w:rsidR="00611CBA" w:rsidRPr="00F9522B">
        <w:rPr>
          <w:rFonts w:eastAsiaTheme="minorEastAsia"/>
          <w:b/>
          <w:sz w:val="24"/>
        </w:rPr>
        <w:instrText>天兆养猪有限公司环评</w:instrText>
      </w:r>
      <w:r w:rsidR="00611CBA" w:rsidRPr="00F9522B">
        <w:rPr>
          <w:rFonts w:eastAsiaTheme="minorEastAsia"/>
          <w:b/>
          <w:sz w:val="24"/>
        </w:rPr>
        <w:instrText>1117.docx" \l "_Toc110400208"</w:instrText>
      </w:r>
      <w:r w:rsidRPr="00F9522B">
        <w:rPr>
          <w:rFonts w:eastAsiaTheme="minorEastAsia"/>
          <w:b/>
          <w:sz w:val="24"/>
        </w:rPr>
        <w:fldChar w:fldCharType="separate"/>
      </w:r>
      <w:r w:rsidR="00611CBA" w:rsidRPr="00F9522B">
        <w:rPr>
          <w:rFonts w:eastAsiaTheme="minorEastAsia"/>
          <w:b/>
          <w:sz w:val="24"/>
        </w:rPr>
        <w:t>3.1.10.2</w:t>
      </w:r>
      <w:r w:rsidR="00611CBA" w:rsidRPr="00F9522B">
        <w:rPr>
          <w:rFonts w:eastAsiaTheme="minorEastAsia"/>
          <w:b/>
          <w:sz w:val="24"/>
        </w:rPr>
        <w:t>排水工程</w:t>
      </w:r>
      <w:r w:rsidRPr="00F9522B">
        <w:rPr>
          <w:rFonts w:eastAsiaTheme="minorEastAsia"/>
          <w:b/>
          <w:sz w:val="24"/>
        </w:rPr>
        <w:fldChar w:fldCharType="end"/>
      </w:r>
    </w:p>
    <w:p w:rsidR="002A5A5E" w:rsidRPr="00F9522B" w:rsidRDefault="00611CBA">
      <w:pPr>
        <w:adjustRightInd w:val="0"/>
        <w:spacing w:line="360" w:lineRule="auto"/>
        <w:ind w:firstLineChars="150" w:firstLine="360"/>
        <w:rPr>
          <w:rFonts w:eastAsiaTheme="minorEastAsia"/>
          <w:sz w:val="24"/>
        </w:rPr>
      </w:pPr>
      <w:bookmarkStart w:id="87" w:name="_Hlk479525300"/>
      <w:bookmarkStart w:id="88" w:name="_Hlk480325836"/>
      <w:r w:rsidRPr="00F9522B">
        <w:rPr>
          <w:rFonts w:eastAsiaTheme="minorEastAsia"/>
          <w:sz w:val="24"/>
        </w:rPr>
        <w:t>（</w:t>
      </w:r>
      <w:r w:rsidRPr="00F9522B">
        <w:rPr>
          <w:rFonts w:eastAsiaTheme="minorEastAsia"/>
          <w:sz w:val="24"/>
        </w:rPr>
        <w:t>1</w:t>
      </w:r>
      <w:r w:rsidRPr="00F9522B">
        <w:rPr>
          <w:rFonts w:eastAsiaTheme="minorEastAsia"/>
          <w:sz w:val="24"/>
        </w:rPr>
        <w:t>）施工期</w:t>
      </w:r>
    </w:p>
    <w:p w:rsidR="002A5A5E" w:rsidRPr="00F9522B" w:rsidRDefault="00611CBA">
      <w:pPr>
        <w:adjustRightInd w:val="0"/>
        <w:snapToGrid w:val="0"/>
        <w:spacing w:line="360" w:lineRule="auto"/>
        <w:ind w:firstLineChars="200" w:firstLine="480"/>
        <w:jc w:val="left"/>
        <w:rPr>
          <w:rFonts w:eastAsiaTheme="minorEastAsia"/>
          <w:sz w:val="24"/>
        </w:rPr>
      </w:pPr>
      <w:r w:rsidRPr="00F9522B">
        <w:rPr>
          <w:rFonts w:eastAsiaTheme="minorEastAsia"/>
          <w:sz w:val="24"/>
        </w:rPr>
        <w:t>本项目田间道路工程主要服务于耕作需求，道路等级不高，在混凝土路面建设完成后，应在其终凝前进行养护，通常在混凝土浇筑完毕后</w:t>
      </w:r>
      <w:r w:rsidRPr="00F9522B">
        <w:rPr>
          <w:rFonts w:eastAsiaTheme="minorEastAsia"/>
          <w:sz w:val="24"/>
        </w:rPr>
        <w:t>8</w:t>
      </w:r>
      <w:r w:rsidRPr="00F9522B">
        <w:rPr>
          <w:rFonts w:eastAsiaTheme="minorEastAsia"/>
          <w:sz w:val="24"/>
        </w:rPr>
        <w:t>～</w:t>
      </w:r>
      <w:r w:rsidRPr="00F9522B">
        <w:rPr>
          <w:rFonts w:eastAsiaTheme="minorEastAsia"/>
          <w:sz w:val="24"/>
        </w:rPr>
        <w:t>12</w:t>
      </w:r>
      <w:r w:rsidRPr="00F9522B">
        <w:rPr>
          <w:rFonts w:eastAsiaTheme="minorEastAsia"/>
          <w:sz w:val="24"/>
        </w:rPr>
        <w:t>小时内自然养护，同时喷洒少量水，养护水自然蒸发。</w:t>
      </w:r>
    </w:p>
    <w:bookmarkEnd w:id="87"/>
    <w:p w:rsidR="002A5A5E" w:rsidRPr="00F9522B" w:rsidRDefault="00611CBA">
      <w:pPr>
        <w:spacing w:line="360" w:lineRule="auto"/>
        <w:ind w:firstLineChars="200" w:firstLine="480"/>
        <w:contextualSpacing/>
        <w:rPr>
          <w:rFonts w:eastAsiaTheme="minorEastAsia"/>
          <w:sz w:val="24"/>
        </w:rPr>
      </w:pPr>
      <w:r w:rsidRPr="00F9522B">
        <w:rPr>
          <w:rFonts w:eastAsiaTheme="minorEastAsia"/>
          <w:sz w:val="24"/>
        </w:rPr>
        <w:t>施工期废水主要为职工生活污水及施工废水，生活污水产生量</w:t>
      </w:r>
      <w:r w:rsidRPr="00F9522B">
        <w:rPr>
          <w:rFonts w:eastAsiaTheme="minorEastAsia"/>
          <w:bCs/>
          <w:kern w:val="0"/>
          <w:sz w:val="24"/>
          <w:szCs w:val="20"/>
        </w:rPr>
        <w:t>按用水量的</w:t>
      </w:r>
      <w:r w:rsidRPr="00F9522B">
        <w:rPr>
          <w:rFonts w:eastAsiaTheme="minorEastAsia"/>
          <w:bCs/>
          <w:kern w:val="0"/>
          <w:sz w:val="24"/>
          <w:szCs w:val="20"/>
        </w:rPr>
        <w:t>80%</w:t>
      </w:r>
      <w:r w:rsidRPr="00F9522B">
        <w:rPr>
          <w:rFonts w:eastAsiaTheme="minorEastAsia"/>
          <w:bCs/>
          <w:kern w:val="0"/>
          <w:sz w:val="24"/>
          <w:szCs w:val="20"/>
        </w:rPr>
        <w:t>计，产生量为</w:t>
      </w:r>
      <w:r w:rsidRPr="00F9522B">
        <w:rPr>
          <w:rFonts w:eastAsiaTheme="minorEastAsia"/>
          <w:bCs/>
          <w:kern w:val="0"/>
          <w:sz w:val="24"/>
          <w:szCs w:val="20"/>
        </w:rPr>
        <w:t>2</w:t>
      </w:r>
      <w:r w:rsidR="00C55D97" w:rsidRPr="00F9522B">
        <w:rPr>
          <w:rFonts w:eastAsiaTheme="minorEastAsia"/>
          <w:bCs/>
          <w:kern w:val="0"/>
          <w:sz w:val="24"/>
          <w:szCs w:val="20"/>
        </w:rPr>
        <w:t>6.9</w:t>
      </w:r>
      <w:r w:rsidRPr="00F9522B">
        <w:rPr>
          <w:rFonts w:eastAsiaTheme="minorEastAsia"/>
          <w:bCs/>
          <w:kern w:val="0"/>
          <w:sz w:val="24"/>
          <w:szCs w:val="20"/>
        </w:rPr>
        <w:t>t/d</w:t>
      </w:r>
      <w:r w:rsidRPr="00F9522B">
        <w:rPr>
          <w:rFonts w:eastAsiaTheme="minorEastAsia"/>
          <w:bCs/>
          <w:kern w:val="0"/>
          <w:sz w:val="24"/>
          <w:szCs w:val="20"/>
        </w:rPr>
        <w:t>，</w:t>
      </w:r>
      <w:r w:rsidRPr="00F9522B">
        <w:rPr>
          <w:rFonts w:eastAsiaTheme="minorEastAsia"/>
          <w:bCs/>
          <w:sz w:val="24"/>
        </w:rPr>
        <w:t>生活污水依托附近民房防渗旱厕，定期清掏，外运堆肥，不外排。</w:t>
      </w:r>
    </w:p>
    <w:p w:rsidR="002A5A5E" w:rsidRPr="00F9522B" w:rsidRDefault="00611CBA">
      <w:pPr>
        <w:tabs>
          <w:tab w:val="left" w:pos="2550"/>
        </w:tabs>
        <w:spacing w:line="360" w:lineRule="auto"/>
        <w:ind w:firstLineChars="200" w:firstLine="480"/>
        <w:rPr>
          <w:rFonts w:eastAsiaTheme="minorEastAsia"/>
          <w:sz w:val="24"/>
          <w:szCs w:val="20"/>
        </w:rPr>
      </w:pPr>
      <w:r w:rsidRPr="00F9522B">
        <w:rPr>
          <w:rFonts w:eastAsiaTheme="minorEastAsia"/>
          <w:sz w:val="24"/>
          <w:szCs w:val="20"/>
        </w:rPr>
        <w:t>施工废水主要是灌溉井施工过程中产生的含有泥浆或砂石的工程</w:t>
      </w:r>
      <w:r w:rsidRPr="00F9522B">
        <w:rPr>
          <w:rFonts w:eastAsiaTheme="minorEastAsia"/>
          <w:sz w:val="24"/>
        </w:rPr>
        <w:t>钻井泥浆</w:t>
      </w:r>
      <w:r w:rsidRPr="00F9522B">
        <w:rPr>
          <w:rFonts w:eastAsiaTheme="minorEastAsia"/>
          <w:sz w:val="24"/>
          <w:szCs w:val="20"/>
        </w:rPr>
        <w:t>及洗井废水。</w:t>
      </w:r>
    </w:p>
    <w:p w:rsidR="00DE2B0A" w:rsidRPr="00F9522B" w:rsidRDefault="00611CBA" w:rsidP="00DE2B0A">
      <w:pPr>
        <w:tabs>
          <w:tab w:val="left" w:pos="2550"/>
        </w:tabs>
        <w:spacing w:line="360" w:lineRule="auto"/>
        <w:ind w:firstLineChars="200" w:firstLine="480"/>
        <w:rPr>
          <w:rFonts w:eastAsiaTheme="minorEastAsia"/>
          <w:sz w:val="24"/>
        </w:rPr>
      </w:pPr>
      <w:r w:rsidRPr="00F9522B">
        <w:rPr>
          <w:rFonts w:eastAsiaTheme="minorEastAsia"/>
          <w:snapToGrid w:val="0"/>
          <w:kern w:val="0"/>
          <w:sz w:val="24"/>
        </w:rPr>
        <w:t>根据《</w:t>
      </w:r>
      <w:r w:rsidR="003A7922" w:rsidRPr="00F9522B">
        <w:rPr>
          <w:rFonts w:eastAsiaTheme="minorEastAsia"/>
          <w:snapToGrid w:val="0"/>
          <w:kern w:val="0"/>
          <w:sz w:val="24"/>
        </w:rPr>
        <w:t>呼兰区</w:t>
      </w:r>
      <w:r w:rsidR="003A7922" w:rsidRPr="00F9522B">
        <w:rPr>
          <w:rFonts w:eastAsiaTheme="minorEastAsia"/>
          <w:snapToGrid w:val="0"/>
          <w:kern w:val="0"/>
          <w:sz w:val="24"/>
        </w:rPr>
        <w:t>2026</w:t>
      </w:r>
      <w:r w:rsidR="003A7922" w:rsidRPr="00F9522B">
        <w:rPr>
          <w:rFonts w:eastAsiaTheme="minorEastAsia"/>
          <w:snapToGrid w:val="0"/>
          <w:kern w:val="0"/>
          <w:sz w:val="24"/>
        </w:rPr>
        <w:t>年高标准农田建设项目</w:t>
      </w:r>
      <w:r w:rsidRPr="00F9522B">
        <w:rPr>
          <w:rFonts w:eastAsiaTheme="minorEastAsia"/>
          <w:snapToGrid w:val="0"/>
          <w:kern w:val="0"/>
          <w:sz w:val="24"/>
        </w:rPr>
        <w:t>初步设计》，</w:t>
      </w:r>
      <w:r w:rsidR="00DE2B0A" w:rsidRPr="00F9522B">
        <w:rPr>
          <w:rFonts w:eastAsiaTheme="minorEastAsia"/>
          <w:snapToGrid w:val="0"/>
          <w:kern w:val="0"/>
          <w:sz w:val="24"/>
        </w:rPr>
        <w:t>7</w:t>
      </w:r>
      <w:r w:rsidRPr="00F9522B">
        <w:rPr>
          <w:rFonts w:eastAsiaTheme="minorEastAsia"/>
          <w:snapToGrid w:val="0"/>
          <w:kern w:val="0"/>
          <w:sz w:val="24"/>
        </w:rPr>
        <w:t>0m</w:t>
      </w:r>
      <w:r w:rsidRPr="00F9522B">
        <w:rPr>
          <w:rFonts w:eastAsiaTheme="minorEastAsia"/>
          <w:snapToGrid w:val="0"/>
          <w:kern w:val="0"/>
          <w:sz w:val="24"/>
        </w:rPr>
        <w:t>深水井</w:t>
      </w:r>
      <w:r w:rsidRPr="00F9522B">
        <w:rPr>
          <w:rFonts w:eastAsiaTheme="minorEastAsia"/>
          <w:sz w:val="24"/>
        </w:rPr>
        <w:t>钻井废水量约</w:t>
      </w:r>
      <w:r w:rsidR="00DE2B0A" w:rsidRPr="00F9522B">
        <w:rPr>
          <w:rFonts w:eastAsiaTheme="minorEastAsia"/>
          <w:sz w:val="24"/>
        </w:rPr>
        <w:t>14</w:t>
      </w:r>
      <w:r w:rsidRPr="00F9522B">
        <w:rPr>
          <w:rFonts w:eastAsiaTheme="minorEastAsia"/>
          <w:sz w:val="24"/>
        </w:rPr>
        <w:t>m</w:t>
      </w:r>
      <w:r w:rsidRPr="00F9522B">
        <w:rPr>
          <w:rFonts w:eastAsiaTheme="minorEastAsia"/>
          <w:sz w:val="24"/>
          <w:vertAlign w:val="superscript"/>
        </w:rPr>
        <w:t>3</w:t>
      </w:r>
      <w:r w:rsidRPr="00F9522B">
        <w:rPr>
          <w:rFonts w:eastAsiaTheme="minorEastAsia"/>
          <w:sz w:val="24"/>
        </w:rPr>
        <w:t>/</w:t>
      </w:r>
      <w:r w:rsidRPr="00F9522B">
        <w:rPr>
          <w:rFonts w:eastAsiaTheme="minorEastAsia"/>
          <w:sz w:val="24"/>
        </w:rPr>
        <w:t>口，</w:t>
      </w:r>
      <w:r w:rsidRPr="00F9522B">
        <w:rPr>
          <w:rFonts w:eastAsiaTheme="minorEastAsia"/>
          <w:snapToGrid w:val="0"/>
          <w:kern w:val="0"/>
          <w:sz w:val="24"/>
        </w:rPr>
        <w:t>80m</w:t>
      </w:r>
      <w:r w:rsidRPr="00F9522B">
        <w:rPr>
          <w:rFonts w:eastAsiaTheme="minorEastAsia"/>
          <w:snapToGrid w:val="0"/>
          <w:kern w:val="0"/>
          <w:sz w:val="24"/>
        </w:rPr>
        <w:t>深水井</w:t>
      </w:r>
      <w:r w:rsidRPr="00F9522B">
        <w:rPr>
          <w:rFonts w:eastAsiaTheme="minorEastAsia"/>
          <w:sz w:val="24"/>
        </w:rPr>
        <w:t>钻井废水量约</w:t>
      </w:r>
      <w:r w:rsidRPr="00F9522B">
        <w:rPr>
          <w:rFonts w:eastAsiaTheme="minorEastAsia"/>
          <w:sz w:val="24"/>
        </w:rPr>
        <w:t>15m</w:t>
      </w:r>
      <w:r w:rsidRPr="00F9522B">
        <w:rPr>
          <w:rFonts w:eastAsiaTheme="minorEastAsia"/>
          <w:sz w:val="24"/>
          <w:vertAlign w:val="superscript"/>
        </w:rPr>
        <w:t>3</w:t>
      </w:r>
      <w:r w:rsidRPr="00F9522B">
        <w:rPr>
          <w:rFonts w:eastAsiaTheme="minorEastAsia"/>
          <w:sz w:val="24"/>
        </w:rPr>
        <w:t>/</w:t>
      </w:r>
      <w:r w:rsidRPr="00F9522B">
        <w:rPr>
          <w:rFonts w:eastAsiaTheme="minorEastAsia"/>
          <w:sz w:val="24"/>
        </w:rPr>
        <w:t>口</w:t>
      </w:r>
      <w:r w:rsidR="00DE2B0A" w:rsidRPr="00F9522B">
        <w:rPr>
          <w:rFonts w:eastAsiaTheme="minorEastAsia"/>
          <w:sz w:val="24"/>
        </w:rPr>
        <w:t>，</w:t>
      </w:r>
      <w:r w:rsidR="00DE2B0A" w:rsidRPr="00F9522B">
        <w:rPr>
          <w:rFonts w:eastAsiaTheme="minorEastAsia"/>
          <w:snapToGrid w:val="0"/>
          <w:kern w:val="0"/>
          <w:sz w:val="24"/>
        </w:rPr>
        <w:t>90m</w:t>
      </w:r>
      <w:r w:rsidR="00DE2B0A" w:rsidRPr="00F9522B">
        <w:rPr>
          <w:rFonts w:eastAsiaTheme="minorEastAsia"/>
          <w:snapToGrid w:val="0"/>
          <w:kern w:val="0"/>
          <w:sz w:val="24"/>
        </w:rPr>
        <w:t>深水井</w:t>
      </w:r>
      <w:r w:rsidR="00DE2B0A" w:rsidRPr="00F9522B">
        <w:rPr>
          <w:rFonts w:eastAsiaTheme="minorEastAsia"/>
          <w:sz w:val="24"/>
        </w:rPr>
        <w:t>钻井废水量约</w:t>
      </w:r>
      <w:r w:rsidR="00DE2B0A" w:rsidRPr="00F9522B">
        <w:rPr>
          <w:rFonts w:eastAsiaTheme="minorEastAsia"/>
          <w:sz w:val="24"/>
        </w:rPr>
        <w:t>16m</w:t>
      </w:r>
      <w:r w:rsidR="00DE2B0A" w:rsidRPr="00F9522B">
        <w:rPr>
          <w:rFonts w:eastAsiaTheme="minorEastAsia"/>
          <w:sz w:val="24"/>
          <w:vertAlign w:val="superscript"/>
        </w:rPr>
        <w:t>3</w:t>
      </w:r>
      <w:r w:rsidR="00DE2B0A" w:rsidRPr="00F9522B">
        <w:rPr>
          <w:rFonts w:eastAsiaTheme="minorEastAsia"/>
          <w:sz w:val="24"/>
        </w:rPr>
        <w:t>/</w:t>
      </w:r>
      <w:r w:rsidR="00DE2B0A" w:rsidRPr="00F9522B">
        <w:rPr>
          <w:rFonts w:eastAsiaTheme="minorEastAsia"/>
          <w:sz w:val="24"/>
        </w:rPr>
        <w:t>口</w:t>
      </w:r>
      <w:r w:rsidRPr="00F9522B">
        <w:rPr>
          <w:rFonts w:eastAsiaTheme="minorEastAsia"/>
          <w:sz w:val="24"/>
        </w:rPr>
        <w:t>，钻井完成后进入钻井泥浆。</w:t>
      </w:r>
      <w:r w:rsidR="00DE2B0A" w:rsidRPr="00F9522B">
        <w:rPr>
          <w:rFonts w:eastAsiaTheme="minorEastAsia"/>
          <w:snapToGrid w:val="0"/>
          <w:kern w:val="0"/>
          <w:sz w:val="24"/>
        </w:rPr>
        <w:t>70m</w:t>
      </w:r>
      <w:r w:rsidR="00DE2B0A" w:rsidRPr="00F9522B">
        <w:rPr>
          <w:rFonts w:eastAsiaTheme="minorEastAsia"/>
          <w:snapToGrid w:val="0"/>
          <w:kern w:val="0"/>
          <w:sz w:val="24"/>
        </w:rPr>
        <w:t>深水井</w:t>
      </w:r>
      <w:r w:rsidR="00DE2B0A" w:rsidRPr="00F9522B">
        <w:rPr>
          <w:rFonts w:eastAsiaTheme="minorEastAsia"/>
          <w:sz w:val="24"/>
        </w:rPr>
        <w:t>洗井用水量约</w:t>
      </w:r>
      <w:r w:rsidR="00DE2B0A" w:rsidRPr="00F9522B">
        <w:rPr>
          <w:rFonts w:eastAsiaTheme="minorEastAsia"/>
          <w:sz w:val="24"/>
        </w:rPr>
        <w:t>14m</w:t>
      </w:r>
      <w:r w:rsidR="00DE2B0A" w:rsidRPr="00F9522B">
        <w:rPr>
          <w:rFonts w:eastAsiaTheme="minorEastAsia"/>
          <w:sz w:val="24"/>
          <w:vertAlign w:val="superscript"/>
        </w:rPr>
        <w:t>3</w:t>
      </w:r>
      <w:r w:rsidR="00DE2B0A" w:rsidRPr="00F9522B">
        <w:rPr>
          <w:rFonts w:eastAsiaTheme="minorEastAsia"/>
          <w:sz w:val="24"/>
        </w:rPr>
        <w:t>/</w:t>
      </w:r>
      <w:r w:rsidR="00DE2B0A" w:rsidRPr="00F9522B">
        <w:rPr>
          <w:rFonts w:eastAsiaTheme="minorEastAsia"/>
          <w:sz w:val="24"/>
        </w:rPr>
        <w:t>口，</w:t>
      </w:r>
      <w:r w:rsidR="00DE2B0A" w:rsidRPr="00F9522B">
        <w:rPr>
          <w:rFonts w:eastAsiaTheme="minorEastAsia"/>
          <w:snapToGrid w:val="0"/>
          <w:kern w:val="0"/>
          <w:sz w:val="24"/>
        </w:rPr>
        <w:t>80m</w:t>
      </w:r>
      <w:r w:rsidR="00DE2B0A" w:rsidRPr="00F9522B">
        <w:rPr>
          <w:rFonts w:eastAsiaTheme="minorEastAsia"/>
          <w:snapToGrid w:val="0"/>
          <w:kern w:val="0"/>
          <w:sz w:val="24"/>
        </w:rPr>
        <w:t>深水井</w:t>
      </w:r>
      <w:r w:rsidR="00DE2B0A" w:rsidRPr="00F9522B">
        <w:rPr>
          <w:rFonts w:eastAsiaTheme="minorEastAsia"/>
          <w:sz w:val="24"/>
        </w:rPr>
        <w:t>洗井用水量约</w:t>
      </w:r>
      <w:r w:rsidR="00DE2B0A" w:rsidRPr="00F9522B">
        <w:rPr>
          <w:rFonts w:eastAsiaTheme="minorEastAsia"/>
          <w:sz w:val="24"/>
        </w:rPr>
        <w:t>15m</w:t>
      </w:r>
      <w:r w:rsidR="00DE2B0A" w:rsidRPr="00F9522B">
        <w:rPr>
          <w:rFonts w:eastAsiaTheme="minorEastAsia"/>
          <w:sz w:val="24"/>
          <w:vertAlign w:val="superscript"/>
        </w:rPr>
        <w:t>3</w:t>
      </w:r>
      <w:r w:rsidR="00DE2B0A" w:rsidRPr="00F9522B">
        <w:rPr>
          <w:rFonts w:eastAsiaTheme="minorEastAsia"/>
          <w:sz w:val="24"/>
        </w:rPr>
        <w:t>/</w:t>
      </w:r>
      <w:r w:rsidR="00DE2B0A" w:rsidRPr="00F9522B">
        <w:rPr>
          <w:rFonts w:eastAsiaTheme="minorEastAsia"/>
          <w:sz w:val="24"/>
        </w:rPr>
        <w:t>口，</w:t>
      </w:r>
      <w:r w:rsidR="00DE2B0A" w:rsidRPr="00F9522B">
        <w:rPr>
          <w:rFonts w:eastAsiaTheme="minorEastAsia"/>
          <w:snapToGrid w:val="0"/>
          <w:kern w:val="0"/>
          <w:sz w:val="24"/>
        </w:rPr>
        <w:t>90m</w:t>
      </w:r>
      <w:r w:rsidR="00DE2B0A" w:rsidRPr="00F9522B">
        <w:rPr>
          <w:rFonts w:eastAsiaTheme="minorEastAsia"/>
          <w:snapToGrid w:val="0"/>
          <w:kern w:val="0"/>
          <w:sz w:val="24"/>
        </w:rPr>
        <w:t>深水井</w:t>
      </w:r>
      <w:r w:rsidR="00DE2B0A" w:rsidRPr="00F9522B">
        <w:rPr>
          <w:rFonts w:eastAsiaTheme="minorEastAsia"/>
          <w:sz w:val="24"/>
        </w:rPr>
        <w:t>洗井用水量约</w:t>
      </w:r>
      <w:r w:rsidR="00DE2B0A" w:rsidRPr="00F9522B">
        <w:rPr>
          <w:rFonts w:eastAsiaTheme="minorEastAsia"/>
          <w:sz w:val="24"/>
        </w:rPr>
        <w:t>16m</w:t>
      </w:r>
      <w:r w:rsidR="00DE2B0A" w:rsidRPr="00F9522B">
        <w:rPr>
          <w:rFonts w:eastAsiaTheme="minorEastAsia"/>
          <w:sz w:val="24"/>
          <w:vertAlign w:val="superscript"/>
        </w:rPr>
        <w:t>3</w:t>
      </w:r>
      <w:r w:rsidR="00DE2B0A" w:rsidRPr="00F9522B">
        <w:rPr>
          <w:rFonts w:eastAsiaTheme="minorEastAsia"/>
          <w:sz w:val="24"/>
        </w:rPr>
        <w:t>/</w:t>
      </w:r>
      <w:r w:rsidR="00DE2B0A" w:rsidRPr="00F9522B">
        <w:rPr>
          <w:rFonts w:eastAsiaTheme="minorEastAsia"/>
          <w:sz w:val="24"/>
        </w:rPr>
        <w:t>口。</w:t>
      </w:r>
    </w:p>
    <w:p w:rsidR="002A5A5E" w:rsidRPr="00F9522B" w:rsidRDefault="00611CBA">
      <w:pPr>
        <w:contextualSpacing/>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3-1-15</w:t>
      </w:r>
      <w:r w:rsidR="008F5BFF" w:rsidRPr="00F9522B">
        <w:rPr>
          <w:rFonts w:eastAsiaTheme="minorEastAsia"/>
          <w:b/>
          <w:kern w:val="0"/>
          <w:szCs w:val="21"/>
        </w:rPr>
        <w:t xml:space="preserve"> </w:t>
      </w:r>
      <w:r w:rsidRPr="00F9522B">
        <w:rPr>
          <w:rFonts w:eastAsiaTheme="minorEastAsia"/>
          <w:b/>
          <w:kern w:val="0"/>
          <w:szCs w:val="21"/>
        </w:rPr>
        <w:t>洗井废水产生量一览表</w:t>
      </w:r>
    </w:p>
    <w:tbl>
      <w:tblPr>
        <w:tblW w:w="4904" w:type="pct"/>
        <w:tblBorders>
          <w:top w:val="single" w:sz="12" w:space="0" w:color="auto"/>
          <w:bottom w:val="single" w:sz="12" w:space="0" w:color="auto"/>
          <w:insideH w:val="single" w:sz="4" w:space="0" w:color="auto"/>
          <w:insideV w:val="single" w:sz="4" w:space="0" w:color="auto"/>
        </w:tblBorders>
        <w:tblLook w:val="04A0"/>
      </w:tblPr>
      <w:tblGrid>
        <w:gridCol w:w="1666"/>
        <w:gridCol w:w="2553"/>
        <w:gridCol w:w="1971"/>
        <w:gridCol w:w="2168"/>
      </w:tblGrid>
      <w:tr w:rsidR="002A5A5E" w:rsidRPr="00F9522B" w:rsidTr="00CC24C1">
        <w:trPr>
          <w:trHeight w:val="572"/>
        </w:trPr>
        <w:tc>
          <w:tcPr>
            <w:tcW w:w="997" w:type="pct"/>
            <w:tcBorders>
              <w:tl2br w:val="nil"/>
              <w:tr2bl w:val="nil"/>
            </w:tcBorders>
            <w:vAlign w:val="center"/>
          </w:tcPr>
          <w:p w:rsidR="002A5A5E" w:rsidRPr="00F9522B" w:rsidRDefault="00611CBA">
            <w:pPr>
              <w:autoSpaceDE w:val="0"/>
              <w:autoSpaceDN w:val="0"/>
              <w:jc w:val="center"/>
              <w:rPr>
                <w:rFonts w:eastAsiaTheme="minorEastAsia"/>
                <w:bCs/>
                <w:snapToGrid w:val="0"/>
                <w:kern w:val="0"/>
                <w:szCs w:val="21"/>
              </w:rPr>
            </w:pPr>
            <w:r w:rsidRPr="00F9522B">
              <w:rPr>
                <w:rFonts w:eastAsiaTheme="minorEastAsia"/>
                <w:bCs/>
                <w:snapToGrid w:val="0"/>
                <w:kern w:val="0"/>
                <w:szCs w:val="21"/>
              </w:rPr>
              <w:t>井深（</w:t>
            </w:r>
            <w:r w:rsidRPr="00F9522B">
              <w:rPr>
                <w:rFonts w:eastAsiaTheme="minorEastAsia"/>
                <w:bCs/>
                <w:snapToGrid w:val="0"/>
                <w:kern w:val="0"/>
                <w:szCs w:val="21"/>
              </w:rPr>
              <w:t>m</w:t>
            </w:r>
            <w:r w:rsidRPr="00F9522B">
              <w:rPr>
                <w:rFonts w:eastAsiaTheme="minorEastAsia"/>
                <w:bCs/>
                <w:snapToGrid w:val="0"/>
                <w:kern w:val="0"/>
                <w:szCs w:val="21"/>
              </w:rPr>
              <w:t>）</w:t>
            </w:r>
          </w:p>
        </w:tc>
        <w:tc>
          <w:tcPr>
            <w:tcW w:w="1527" w:type="pct"/>
            <w:tcBorders>
              <w:tl2br w:val="nil"/>
              <w:tr2bl w:val="nil"/>
            </w:tcBorders>
            <w:vAlign w:val="center"/>
          </w:tcPr>
          <w:p w:rsidR="002A5A5E" w:rsidRPr="00F9522B" w:rsidRDefault="00611CBA">
            <w:pPr>
              <w:autoSpaceDE w:val="0"/>
              <w:autoSpaceDN w:val="0"/>
              <w:jc w:val="center"/>
              <w:rPr>
                <w:rFonts w:eastAsiaTheme="minorEastAsia"/>
                <w:bCs/>
                <w:snapToGrid w:val="0"/>
                <w:kern w:val="0"/>
                <w:szCs w:val="21"/>
              </w:rPr>
            </w:pPr>
            <w:r w:rsidRPr="00F9522B">
              <w:rPr>
                <w:rFonts w:eastAsiaTheme="minorEastAsia"/>
                <w:bCs/>
                <w:snapToGrid w:val="0"/>
                <w:kern w:val="0"/>
                <w:szCs w:val="21"/>
              </w:rPr>
              <w:t>灌溉井数（眼）</w:t>
            </w:r>
          </w:p>
        </w:tc>
        <w:tc>
          <w:tcPr>
            <w:tcW w:w="1179" w:type="pct"/>
            <w:tcBorders>
              <w:tl2br w:val="nil"/>
              <w:tr2bl w:val="nil"/>
            </w:tcBorders>
            <w:vAlign w:val="center"/>
          </w:tcPr>
          <w:p w:rsidR="002A5A5E" w:rsidRPr="00F9522B" w:rsidRDefault="00611CBA">
            <w:pPr>
              <w:autoSpaceDE w:val="0"/>
              <w:autoSpaceDN w:val="0"/>
              <w:jc w:val="center"/>
              <w:rPr>
                <w:rFonts w:eastAsiaTheme="minorEastAsia"/>
                <w:bCs/>
                <w:snapToGrid w:val="0"/>
                <w:kern w:val="0"/>
                <w:szCs w:val="21"/>
              </w:rPr>
            </w:pPr>
            <w:r w:rsidRPr="00F9522B">
              <w:rPr>
                <w:rFonts w:eastAsiaTheme="minorEastAsia"/>
                <w:bCs/>
                <w:snapToGrid w:val="0"/>
                <w:kern w:val="0"/>
                <w:szCs w:val="21"/>
              </w:rPr>
              <w:t>单井洗井废水产生量（</w:t>
            </w:r>
            <w:r w:rsidRPr="00F9522B">
              <w:rPr>
                <w:rFonts w:eastAsiaTheme="minorEastAsia"/>
                <w:bCs/>
                <w:snapToGrid w:val="0"/>
                <w:kern w:val="0"/>
                <w:szCs w:val="21"/>
              </w:rPr>
              <w:t>m</w:t>
            </w:r>
            <w:r w:rsidRPr="00F9522B">
              <w:rPr>
                <w:rFonts w:eastAsiaTheme="minorEastAsia"/>
                <w:bCs/>
                <w:snapToGrid w:val="0"/>
                <w:kern w:val="0"/>
                <w:szCs w:val="21"/>
                <w:vertAlign w:val="superscript"/>
              </w:rPr>
              <w:t>3</w:t>
            </w:r>
            <w:r w:rsidRPr="00F9522B">
              <w:rPr>
                <w:rFonts w:eastAsiaTheme="minorEastAsia"/>
                <w:bCs/>
                <w:snapToGrid w:val="0"/>
                <w:kern w:val="0"/>
                <w:szCs w:val="21"/>
              </w:rPr>
              <w:t>）</w:t>
            </w:r>
          </w:p>
        </w:tc>
        <w:tc>
          <w:tcPr>
            <w:tcW w:w="1297" w:type="pct"/>
            <w:tcBorders>
              <w:tl2br w:val="nil"/>
              <w:tr2bl w:val="nil"/>
            </w:tcBorders>
            <w:vAlign w:val="center"/>
          </w:tcPr>
          <w:p w:rsidR="002A5A5E" w:rsidRPr="00F9522B" w:rsidRDefault="00611CBA">
            <w:pPr>
              <w:autoSpaceDE w:val="0"/>
              <w:autoSpaceDN w:val="0"/>
              <w:jc w:val="center"/>
              <w:rPr>
                <w:rFonts w:eastAsiaTheme="minorEastAsia"/>
                <w:bCs/>
                <w:snapToGrid w:val="0"/>
                <w:kern w:val="0"/>
                <w:szCs w:val="21"/>
              </w:rPr>
            </w:pPr>
            <w:r w:rsidRPr="00F9522B">
              <w:rPr>
                <w:rFonts w:eastAsiaTheme="minorEastAsia"/>
                <w:bCs/>
                <w:snapToGrid w:val="0"/>
                <w:kern w:val="0"/>
                <w:szCs w:val="21"/>
              </w:rPr>
              <w:t>洗井废水产生量（</w:t>
            </w:r>
            <w:r w:rsidRPr="00F9522B">
              <w:rPr>
                <w:rFonts w:eastAsiaTheme="minorEastAsia"/>
                <w:bCs/>
                <w:snapToGrid w:val="0"/>
                <w:kern w:val="0"/>
                <w:szCs w:val="21"/>
              </w:rPr>
              <w:t>m</w:t>
            </w:r>
            <w:r w:rsidRPr="00F9522B">
              <w:rPr>
                <w:rFonts w:eastAsiaTheme="minorEastAsia"/>
                <w:bCs/>
                <w:snapToGrid w:val="0"/>
                <w:kern w:val="0"/>
                <w:szCs w:val="21"/>
                <w:vertAlign w:val="superscript"/>
              </w:rPr>
              <w:t>3</w:t>
            </w:r>
            <w:r w:rsidRPr="00F9522B">
              <w:rPr>
                <w:rFonts w:eastAsiaTheme="minorEastAsia"/>
                <w:bCs/>
                <w:snapToGrid w:val="0"/>
                <w:kern w:val="0"/>
                <w:szCs w:val="21"/>
              </w:rPr>
              <w:t>）</w:t>
            </w:r>
          </w:p>
        </w:tc>
      </w:tr>
      <w:tr w:rsidR="002A5A5E" w:rsidRPr="00F9522B" w:rsidTr="00CC24C1">
        <w:trPr>
          <w:trHeight w:val="277"/>
        </w:trPr>
        <w:tc>
          <w:tcPr>
            <w:tcW w:w="997" w:type="pct"/>
            <w:tcBorders>
              <w:tl2br w:val="nil"/>
              <w:tr2bl w:val="nil"/>
            </w:tcBorders>
            <w:vAlign w:val="center"/>
          </w:tcPr>
          <w:p w:rsidR="002A5A5E" w:rsidRPr="00F9522B" w:rsidRDefault="00DE2B0A">
            <w:pPr>
              <w:autoSpaceDE w:val="0"/>
              <w:autoSpaceDN w:val="0"/>
              <w:jc w:val="center"/>
              <w:rPr>
                <w:rFonts w:eastAsiaTheme="minorEastAsia"/>
                <w:bCs/>
                <w:snapToGrid w:val="0"/>
                <w:kern w:val="0"/>
                <w:szCs w:val="21"/>
              </w:rPr>
            </w:pPr>
            <w:r w:rsidRPr="00F9522B">
              <w:rPr>
                <w:rFonts w:eastAsiaTheme="minorEastAsia"/>
                <w:bCs/>
                <w:snapToGrid w:val="0"/>
                <w:kern w:val="0"/>
                <w:szCs w:val="21"/>
              </w:rPr>
              <w:t>70</w:t>
            </w:r>
          </w:p>
        </w:tc>
        <w:tc>
          <w:tcPr>
            <w:tcW w:w="1527" w:type="pct"/>
            <w:tcBorders>
              <w:tl2br w:val="nil"/>
              <w:tr2bl w:val="nil"/>
            </w:tcBorders>
            <w:vAlign w:val="center"/>
          </w:tcPr>
          <w:p w:rsidR="002A5A5E" w:rsidRPr="00F9522B" w:rsidRDefault="0081510C">
            <w:pPr>
              <w:autoSpaceDE w:val="0"/>
              <w:autoSpaceDN w:val="0"/>
              <w:jc w:val="center"/>
              <w:rPr>
                <w:rFonts w:eastAsiaTheme="minorEastAsia"/>
                <w:bCs/>
                <w:snapToGrid w:val="0"/>
                <w:kern w:val="0"/>
                <w:szCs w:val="21"/>
              </w:rPr>
            </w:pPr>
            <w:r w:rsidRPr="00F9522B">
              <w:rPr>
                <w:rFonts w:eastAsiaTheme="minorEastAsia"/>
                <w:bCs/>
                <w:snapToGrid w:val="0"/>
                <w:kern w:val="0"/>
                <w:szCs w:val="21"/>
              </w:rPr>
              <w:t>26</w:t>
            </w:r>
          </w:p>
        </w:tc>
        <w:tc>
          <w:tcPr>
            <w:tcW w:w="1179" w:type="pct"/>
            <w:tcBorders>
              <w:tl2br w:val="nil"/>
              <w:tr2bl w:val="nil"/>
            </w:tcBorders>
            <w:vAlign w:val="center"/>
          </w:tcPr>
          <w:p w:rsidR="002A5A5E" w:rsidRPr="00F9522B" w:rsidRDefault="00DE2B0A">
            <w:pPr>
              <w:autoSpaceDE w:val="0"/>
              <w:autoSpaceDN w:val="0"/>
              <w:jc w:val="center"/>
              <w:rPr>
                <w:rFonts w:eastAsiaTheme="minorEastAsia"/>
                <w:snapToGrid w:val="0"/>
                <w:kern w:val="0"/>
                <w:szCs w:val="21"/>
              </w:rPr>
            </w:pPr>
            <w:r w:rsidRPr="00F9522B">
              <w:rPr>
                <w:rFonts w:eastAsiaTheme="minorEastAsia"/>
                <w:snapToGrid w:val="0"/>
                <w:kern w:val="0"/>
                <w:szCs w:val="21"/>
              </w:rPr>
              <w:t>14</w:t>
            </w:r>
          </w:p>
        </w:tc>
        <w:tc>
          <w:tcPr>
            <w:tcW w:w="1297" w:type="pct"/>
            <w:tcBorders>
              <w:tl2br w:val="nil"/>
              <w:tr2bl w:val="nil"/>
            </w:tcBorders>
            <w:vAlign w:val="center"/>
          </w:tcPr>
          <w:p w:rsidR="002A5A5E" w:rsidRPr="00F9522B" w:rsidRDefault="0081510C">
            <w:pPr>
              <w:autoSpaceDE w:val="0"/>
              <w:autoSpaceDN w:val="0"/>
              <w:jc w:val="center"/>
              <w:rPr>
                <w:rFonts w:eastAsiaTheme="minorEastAsia"/>
                <w:snapToGrid w:val="0"/>
                <w:kern w:val="0"/>
                <w:szCs w:val="21"/>
              </w:rPr>
            </w:pPr>
            <w:r w:rsidRPr="00F9522B">
              <w:rPr>
                <w:rFonts w:eastAsiaTheme="minorEastAsia"/>
                <w:snapToGrid w:val="0"/>
                <w:kern w:val="0"/>
                <w:szCs w:val="21"/>
              </w:rPr>
              <w:t>364</w:t>
            </w:r>
          </w:p>
        </w:tc>
      </w:tr>
      <w:tr w:rsidR="002A5A5E" w:rsidRPr="00F9522B" w:rsidTr="00CC24C1">
        <w:trPr>
          <w:trHeight w:val="295"/>
        </w:trPr>
        <w:tc>
          <w:tcPr>
            <w:tcW w:w="997" w:type="pct"/>
            <w:tcBorders>
              <w:tl2br w:val="nil"/>
              <w:tr2bl w:val="nil"/>
            </w:tcBorders>
            <w:vAlign w:val="center"/>
          </w:tcPr>
          <w:p w:rsidR="002A5A5E" w:rsidRPr="00F9522B" w:rsidRDefault="00611CBA">
            <w:pPr>
              <w:autoSpaceDE w:val="0"/>
              <w:autoSpaceDN w:val="0"/>
              <w:jc w:val="center"/>
              <w:rPr>
                <w:rFonts w:eastAsiaTheme="minorEastAsia"/>
                <w:bCs/>
                <w:snapToGrid w:val="0"/>
                <w:kern w:val="0"/>
                <w:szCs w:val="21"/>
              </w:rPr>
            </w:pPr>
            <w:r w:rsidRPr="00F9522B">
              <w:rPr>
                <w:rFonts w:eastAsiaTheme="minorEastAsia"/>
                <w:bCs/>
                <w:snapToGrid w:val="0"/>
                <w:kern w:val="0"/>
                <w:szCs w:val="21"/>
              </w:rPr>
              <w:t>80</w:t>
            </w:r>
          </w:p>
        </w:tc>
        <w:tc>
          <w:tcPr>
            <w:tcW w:w="1527" w:type="pct"/>
            <w:tcBorders>
              <w:tl2br w:val="nil"/>
              <w:tr2bl w:val="nil"/>
            </w:tcBorders>
            <w:vAlign w:val="center"/>
          </w:tcPr>
          <w:p w:rsidR="002A5A5E" w:rsidRPr="00F9522B" w:rsidRDefault="0081510C">
            <w:pPr>
              <w:autoSpaceDE w:val="0"/>
              <w:autoSpaceDN w:val="0"/>
              <w:jc w:val="center"/>
              <w:rPr>
                <w:rFonts w:eastAsiaTheme="minorEastAsia"/>
                <w:bCs/>
                <w:snapToGrid w:val="0"/>
                <w:kern w:val="0"/>
                <w:szCs w:val="21"/>
              </w:rPr>
            </w:pPr>
            <w:r w:rsidRPr="00F9522B">
              <w:rPr>
                <w:rFonts w:eastAsiaTheme="minorEastAsia"/>
                <w:bCs/>
                <w:snapToGrid w:val="0"/>
                <w:kern w:val="0"/>
                <w:szCs w:val="21"/>
              </w:rPr>
              <w:t>166</w:t>
            </w:r>
          </w:p>
        </w:tc>
        <w:tc>
          <w:tcPr>
            <w:tcW w:w="1179" w:type="pct"/>
            <w:tcBorders>
              <w:tl2br w:val="nil"/>
              <w:tr2bl w:val="nil"/>
            </w:tcBorders>
            <w:vAlign w:val="center"/>
          </w:tcPr>
          <w:p w:rsidR="002A5A5E" w:rsidRPr="00F9522B" w:rsidRDefault="00611CBA">
            <w:pPr>
              <w:autoSpaceDE w:val="0"/>
              <w:autoSpaceDN w:val="0"/>
              <w:jc w:val="center"/>
              <w:rPr>
                <w:rFonts w:eastAsiaTheme="minorEastAsia"/>
                <w:snapToGrid w:val="0"/>
                <w:kern w:val="0"/>
                <w:szCs w:val="21"/>
              </w:rPr>
            </w:pPr>
            <w:r w:rsidRPr="00F9522B">
              <w:rPr>
                <w:rFonts w:eastAsiaTheme="minorEastAsia"/>
                <w:snapToGrid w:val="0"/>
                <w:kern w:val="0"/>
                <w:szCs w:val="21"/>
              </w:rPr>
              <w:t>15</w:t>
            </w:r>
          </w:p>
        </w:tc>
        <w:tc>
          <w:tcPr>
            <w:tcW w:w="1297" w:type="pct"/>
            <w:tcBorders>
              <w:tl2br w:val="nil"/>
              <w:tr2bl w:val="nil"/>
            </w:tcBorders>
            <w:vAlign w:val="center"/>
          </w:tcPr>
          <w:p w:rsidR="002A5A5E" w:rsidRPr="00F9522B" w:rsidRDefault="0081510C">
            <w:pPr>
              <w:autoSpaceDE w:val="0"/>
              <w:autoSpaceDN w:val="0"/>
              <w:jc w:val="center"/>
              <w:rPr>
                <w:rFonts w:eastAsiaTheme="minorEastAsia"/>
                <w:snapToGrid w:val="0"/>
                <w:kern w:val="0"/>
                <w:szCs w:val="21"/>
              </w:rPr>
            </w:pPr>
            <w:r w:rsidRPr="00F9522B">
              <w:rPr>
                <w:rFonts w:eastAsiaTheme="minorEastAsia"/>
                <w:snapToGrid w:val="0"/>
                <w:kern w:val="0"/>
                <w:szCs w:val="21"/>
              </w:rPr>
              <w:t>2490</w:t>
            </w:r>
          </w:p>
        </w:tc>
      </w:tr>
      <w:tr w:rsidR="00DE2B0A" w:rsidRPr="00F9522B" w:rsidTr="00CC24C1">
        <w:trPr>
          <w:trHeight w:val="295"/>
        </w:trPr>
        <w:tc>
          <w:tcPr>
            <w:tcW w:w="997" w:type="pct"/>
            <w:tcBorders>
              <w:tl2br w:val="nil"/>
              <w:tr2bl w:val="nil"/>
            </w:tcBorders>
            <w:vAlign w:val="center"/>
          </w:tcPr>
          <w:p w:rsidR="00DE2B0A" w:rsidRPr="00F9522B" w:rsidRDefault="00DE2B0A">
            <w:pPr>
              <w:autoSpaceDE w:val="0"/>
              <w:autoSpaceDN w:val="0"/>
              <w:jc w:val="center"/>
              <w:rPr>
                <w:rFonts w:eastAsiaTheme="minorEastAsia"/>
                <w:bCs/>
                <w:snapToGrid w:val="0"/>
                <w:kern w:val="0"/>
                <w:szCs w:val="21"/>
              </w:rPr>
            </w:pPr>
            <w:r w:rsidRPr="00F9522B">
              <w:rPr>
                <w:rFonts w:eastAsiaTheme="minorEastAsia"/>
                <w:bCs/>
                <w:snapToGrid w:val="0"/>
                <w:kern w:val="0"/>
                <w:szCs w:val="21"/>
              </w:rPr>
              <w:t>90</w:t>
            </w:r>
          </w:p>
        </w:tc>
        <w:tc>
          <w:tcPr>
            <w:tcW w:w="1527" w:type="pct"/>
            <w:tcBorders>
              <w:tl2br w:val="nil"/>
              <w:tr2bl w:val="nil"/>
            </w:tcBorders>
            <w:vAlign w:val="center"/>
          </w:tcPr>
          <w:p w:rsidR="00DE2B0A" w:rsidRPr="00F9522B" w:rsidRDefault="0081510C">
            <w:pPr>
              <w:autoSpaceDE w:val="0"/>
              <w:autoSpaceDN w:val="0"/>
              <w:jc w:val="center"/>
              <w:rPr>
                <w:rFonts w:eastAsiaTheme="minorEastAsia"/>
                <w:bCs/>
                <w:snapToGrid w:val="0"/>
                <w:kern w:val="0"/>
                <w:szCs w:val="21"/>
              </w:rPr>
            </w:pPr>
            <w:r w:rsidRPr="00F9522B">
              <w:rPr>
                <w:rFonts w:eastAsiaTheme="minorEastAsia"/>
                <w:bCs/>
                <w:snapToGrid w:val="0"/>
                <w:kern w:val="0"/>
                <w:szCs w:val="21"/>
              </w:rPr>
              <w:t>72</w:t>
            </w:r>
          </w:p>
        </w:tc>
        <w:tc>
          <w:tcPr>
            <w:tcW w:w="1179" w:type="pct"/>
            <w:tcBorders>
              <w:tl2br w:val="nil"/>
              <w:tr2bl w:val="nil"/>
            </w:tcBorders>
            <w:vAlign w:val="center"/>
          </w:tcPr>
          <w:p w:rsidR="00DE2B0A" w:rsidRPr="00F9522B" w:rsidRDefault="00DE2B0A">
            <w:pPr>
              <w:autoSpaceDE w:val="0"/>
              <w:autoSpaceDN w:val="0"/>
              <w:jc w:val="center"/>
              <w:rPr>
                <w:rFonts w:eastAsiaTheme="minorEastAsia"/>
                <w:snapToGrid w:val="0"/>
                <w:kern w:val="0"/>
                <w:szCs w:val="21"/>
              </w:rPr>
            </w:pPr>
            <w:r w:rsidRPr="00F9522B">
              <w:rPr>
                <w:rFonts w:eastAsiaTheme="minorEastAsia"/>
                <w:snapToGrid w:val="0"/>
                <w:kern w:val="0"/>
                <w:szCs w:val="21"/>
              </w:rPr>
              <w:t>16</w:t>
            </w:r>
          </w:p>
        </w:tc>
        <w:tc>
          <w:tcPr>
            <w:tcW w:w="1297" w:type="pct"/>
            <w:tcBorders>
              <w:tl2br w:val="nil"/>
              <w:tr2bl w:val="nil"/>
            </w:tcBorders>
            <w:vAlign w:val="center"/>
          </w:tcPr>
          <w:p w:rsidR="00DE2B0A" w:rsidRPr="00F9522B" w:rsidRDefault="0081510C">
            <w:pPr>
              <w:autoSpaceDE w:val="0"/>
              <w:autoSpaceDN w:val="0"/>
              <w:jc w:val="center"/>
              <w:rPr>
                <w:rFonts w:eastAsiaTheme="minorEastAsia"/>
                <w:snapToGrid w:val="0"/>
                <w:kern w:val="0"/>
                <w:szCs w:val="21"/>
              </w:rPr>
            </w:pPr>
            <w:r w:rsidRPr="00F9522B">
              <w:rPr>
                <w:rFonts w:eastAsiaTheme="minorEastAsia"/>
                <w:snapToGrid w:val="0"/>
                <w:kern w:val="0"/>
                <w:szCs w:val="21"/>
              </w:rPr>
              <w:t>1152</w:t>
            </w:r>
          </w:p>
        </w:tc>
      </w:tr>
    </w:tbl>
    <w:p w:rsidR="002A5A5E" w:rsidRPr="00F9522B" w:rsidRDefault="00DE2B0A">
      <w:pPr>
        <w:tabs>
          <w:tab w:val="left" w:pos="2550"/>
        </w:tabs>
        <w:spacing w:line="360" w:lineRule="auto"/>
        <w:ind w:firstLineChars="200" w:firstLine="480"/>
        <w:rPr>
          <w:rFonts w:eastAsiaTheme="minorEastAsia"/>
          <w:sz w:val="24"/>
        </w:rPr>
      </w:pPr>
      <w:r w:rsidRPr="00F9522B">
        <w:rPr>
          <w:rFonts w:eastAsiaTheme="minorEastAsia"/>
          <w:bCs/>
          <w:sz w:val="24"/>
          <w:szCs w:val="22"/>
        </w:rPr>
        <w:t>单井</w:t>
      </w:r>
      <w:r w:rsidR="00611CBA" w:rsidRPr="00F9522B">
        <w:rPr>
          <w:rFonts w:eastAsiaTheme="minorEastAsia"/>
          <w:bCs/>
          <w:sz w:val="24"/>
          <w:szCs w:val="22"/>
        </w:rPr>
        <w:t>泥浆</w:t>
      </w:r>
      <w:r w:rsidRPr="00F9522B">
        <w:rPr>
          <w:rFonts w:eastAsiaTheme="minorEastAsia"/>
          <w:bCs/>
          <w:sz w:val="24"/>
          <w:szCs w:val="22"/>
        </w:rPr>
        <w:t>最大</w:t>
      </w:r>
      <w:r w:rsidR="00611CBA" w:rsidRPr="00F9522B">
        <w:rPr>
          <w:rFonts w:eastAsiaTheme="minorEastAsia"/>
          <w:bCs/>
          <w:sz w:val="24"/>
          <w:szCs w:val="22"/>
        </w:rPr>
        <w:t>产生量</w:t>
      </w:r>
      <w:r w:rsidR="00611CBA" w:rsidRPr="00F9522B">
        <w:rPr>
          <w:rFonts w:eastAsiaTheme="minorEastAsia"/>
          <w:bCs/>
          <w:sz w:val="24"/>
          <w:szCs w:val="22"/>
        </w:rPr>
        <w:t>1</w:t>
      </w:r>
      <w:r w:rsidRPr="00F9522B">
        <w:rPr>
          <w:rFonts w:eastAsiaTheme="minorEastAsia"/>
          <w:bCs/>
          <w:sz w:val="24"/>
          <w:szCs w:val="22"/>
        </w:rPr>
        <w:t>6</w:t>
      </w:r>
      <w:r w:rsidR="00611CBA" w:rsidRPr="00F9522B">
        <w:rPr>
          <w:rFonts w:eastAsiaTheme="minorEastAsia"/>
          <w:bCs/>
          <w:sz w:val="24"/>
          <w:szCs w:val="22"/>
        </w:rPr>
        <w:t>m</w:t>
      </w:r>
      <w:r w:rsidR="00611CBA" w:rsidRPr="00F9522B">
        <w:rPr>
          <w:rFonts w:eastAsiaTheme="minorEastAsia"/>
          <w:bCs/>
          <w:sz w:val="24"/>
          <w:szCs w:val="22"/>
          <w:vertAlign w:val="superscript"/>
        </w:rPr>
        <w:t>3</w:t>
      </w:r>
      <w:r w:rsidR="00611CBA" w:rsidRPr="00F9522B">
        <w:rPr>
          <w:rFonts w:eastAsiaTheme="minorEastAsia"/>
          <w:bCs/>
          <w:sz w:val="24"/>
          <w:szCs w:val="22"/>
        </w:rPr>
        <w:t>，</w:t>
      </w:r>
      <w:r w:rsidR="00611CBA" w:rsidRPr="00F9522B">
        <w:rPr>
          <w:rFonts w:eastAsiaTheme="minorEastAsia"/>
          <w:sz w:val="24"/>
        </w:rPr>
        <w:t>可循环利用，</w:t>
      </w:r>
      <w:r w:rsidR="00611CBA" w:rsidRPr="00F9522B">
        <w:rPr>
          <w:rFonts w:eastAsiaTheme="minorEastAsia"/>
          <w:sz w:val="24"/>
          <w:szCs w:val="22"/>
        </w:rPr>
        <w:t>废泥浆</w:t>
      </w:r>
      <w:r w:rsidR="00611CBA" w:rsidRPr="00F9522B">
        <w:rPr>
          <w:rFonts w:eastAsiaTheme="minorEastAsia"/>
          <w:sz w:val="24"/>
        </w:rPr>
        <w:t>暂存于施工场地</w:t>
      </w:r>
      <w:r w:rsidR="0009673A" w:rsidRPr="00F9522B">
        <w:rPr>
          <w:rFonts w:eastAsiaTheme="minorEastAsia"/>
          <w:sz w:val="24"/>
        </w:rPr>
        <w:t>5</w:t>
      </w:r>
      <w:r w:rsidR="0009673A" w:rsidRPr="00F9522B">
        <w:rPr>
          <w:rFonts w:eastAsiaTheme="minorEastAsia"/>
          <w:sz w:val="24"/>
        </w:rPr>
        <w:t>个</w:t>
      </w:r>
      <w:r w:rsidR="0009673A" w:rsidRPr="00F9522B">
        <w:rPr>
          <w:rFonts w:eastAsiaTheme="minorEastAsia"/>
          <w:sz w:val="24"/>
        </w:rPr>
        <w:t>2</w:t>
      </w:r>
      <w:r w:rsidR="00611CBA" w:rsidRPr="00F9522B">
        <w:rPr>
          <w:rFonts w:eastAsiaTheme="minorEastAsia"/>
          <w:sz w:val="24"/>
        </w:rPr>
        <w:t>0</w:t>
      </w:r>
      <w:r w:rsidR="00611CBA" w:rsidRPr="00F9522B">
        <w:rPr>
          <w:rFonts w:eastAsiaTheme="minorEastAsia"/>
          <w:sz w:val="24"/>
          <w:szCs w:val="22"/>
        </w:rPr>
        <w:t>m</w:t>
      </w:r>
      <w:r w:rsidR="00611CBA" w:rsidRPr="00F9522B">
        <w:rPr>
          <w:rFonts w:eastAsiaTheme="minorEastAsia"/>
          <w:sz w:val="24"/>
          <w:szCs w:val="22"/>
          <w:vertAlign w:val="superscript"/>
        </w:rPr>
        <w:t>3</w:t>
      </w:r>
      <w:r w:rsidR="00611CBA" w:rsidRPr="00F9522B">
        <w:rPr>
          <w:rFonts w:eastAsiaTheme="minorEastAsia"/>
          <w:sz w:val="24"/>
        </w:rPr>
        <w:lastRenderedPageBreak/>
        <w:t>移动式不锈钢沉淀池内，沉淀后上层清水用于洒水降尘，下层钻井</w:t>
      </w:r>
      <w:r w:rsidR="00611CBA" w:rsidRPr="00F9522B">
        <w:rPr>
          <w:rFonts w:eastAsiaTheme="minorEastAsia"/>
          <w:bCs/>
          <w:sz w:val="24"/>
          <w:szCs w:val="22"/>
        </w:rPr>
        <w:t>泥浆自然干化后用于周围路面平整。</w:t>
      </w:r>
      <w:r w:rsidR="00611CBA" w:rsidRPr="00F9522B">
        <w:rPr>
          <w:rFonts w:eastAsiaTheme="minorEastAsia"/>
          <w:sz w:val="24"/>
        </w:rPr>
        <w:t>洗井废水产生</w:t>
      </w:r>
      <w:r w:rsidR="00611CBA" w:rsidRPr="00F9522B">
        <w:rPr>
          <w:rFonts w:eastAsiaTheme="minorEastAsia"/>
          <w:sz w:val="24"/>
          <w:szCs w:val="22"/>
        </w:rPr>
        <w:t>量为</w:t>
      </w:r>
      <w:r w:rsidR="0081510C" w:rsidRPr="00F9522B">
        <w:rPr>
          <w:rFonts w:eastAsiaTheme="minorEastAsia"/>
          <w:sz w:val="24"/>
          <w:szCs w:val="22"/>
        </w:rPr>
        <w:t>4006</w:t>
      </w:r>
      <w:r w:rsidR="00611CBA" w:rsidRPr="00F9522B">
        <w:rPr>
          <w:rFonts w:eastAsiaTheme="minorEastAsia"/>
          <w:sz w:val="24"/>
          <w:szCs w:val="22"/>
        </w:rPr>
        <w:t>m</w:t>
      </w:r>
      <w:r w:rsidR="00611CBA" w:rsidRPr="00F9522B">
        <w:rPr>
          <w:rFonts w:eastAsiaTheme="minorEastAsia"/>
          <w:sz w:val="24"/>
          <w:szCs w:val="22"/>
          <w:vertAlign w:val="superscript"/>
        </w:rPr>
        <w:t>3</w:t>
      </w:r>
      <w:r w:rsidR="00611CBA" w:rsidRPr="00F9522B">
        <w:rPr>
          <w:rFonts w:eastAsiaTheme="minorEastAsia"/>
          <w:sz w:val="24"/>
          <w:szCs w:val="22"/>
        </w:rPr>
        <w:t>，</w:t>
      </w:r>
      <w:r w:rsidR="00611CBA" w:rsidRPr="00F9522B">
        <w:rPr>
          <w:rFonts w:eastAsiaTheme="minorEastAsia"/>
          <w:sz w:val="24"/>
        </w:rPr>
        <w:t>用于洒水降尘。</w:t>
      </w:r>
    </w:p>
    <w:p w:rsidR="002A5A5E" w:rsidRPr="00F9522B" w:rsidRDefault="00611CBA">
      <w:pPr>
        <w:tabs>
          <w:tab w:val="left" w:pos="2550"/>
        </w:tabs>
        <w:spacing w:line="360" w:lineRule="auto"/>
        <w:ind w:firstLineChars="200" w:firstLine="480"/>
        <w:rPr>
          <w:rFonts w:eastAsiaTheme="minorEastAsia"/>
          <w:sz w:val="24"/>
        </w:rPr>
      </w:pPr>
      <w:r w:rsidRPr="00F9522B">
        <w:rPr>
          <w:rFonts w:eastAsiaTheme="minorEastAsia"/>
          <w:sz w:val="24"/>
        </w:rPr>
        <w:t>（</w:t>
      </w:r>
      <w:r w:rsidRPr="00F9522B">
        <w:rPr>
          <w:rFonts w:eastAsiaTheme="minorEastAsia"/>
          <w:sz w:val="24"/>
        </w:rPr>
        <w:t>2</w:t>
      </w:r>
      <w:r w:rsidRPr="00F9522B">
        <w:rPr>
          <w:rFonts w:eastAsiaTheme="minorEastAsia"/>
          <w:sz w:val="24"/>
        </w:rPr>
        <w:t>）运营期</w:t>
      </w:r>
    </w:p>
    <w:p w:rsidR="002A5A5E" w:rsidRPr="00F9522B" w:rsidRDefault="00142C81">
      <w:pPr>
        <w:tabs>
          <w:tab w:val="left" w:pos="2550"/>
        </w:tabs>
        <w:spacing w:line="360" w:lineRule="auto"/>
        <w:ind w:firstLineChars="200" w:firstLine="480"/>
        <w:rPr>
          <w:rFonts w:eastAsiaTheme="minorEastAsia"/>
          <w:sz w:val="24"/>
        </w:rPr>
      </w:pPr>
      <w:r w:rsidRPr="00F9522B">
        <w:rPr>
          <w:rFonts w:eastAsiaTheme="minorEastAsia"/>
          <w:sz w:val="24"/>
        </w:rPr>
        <w:t>项目区排水工程已基本形成规模，项目区西部排水通过原有沟汇入公家沟，最终汇入松花江，承泄区为松花江。项目区东部排水汇入原有沟，最终承泄区为漂河。片区内排水承泄区为松花江及漂河</w:t>
      </w:r>
      <w:r w:rsidR="00611CBA" w:rsidRPr="00F9522B">
        <w:rPr>
          <w:rFonts w:eastAsiaTheme="minorEastAsia"/>
          <w:sz w:val="24"/>
        </w:rPr>
        <w:t>。退水口分布情况见图</w:t>
      </w:r>
      <w:r w:rsidR="00611CBA" w:rsidRPr="00F9522B">
        <w:rPr>
          <w:rFonts w:eastAsiaTheme="minorEastAsia"/>
          <w:sz w:val="24"/>
        </w:rPr>
        <w:t>4-3-1</w:t>
      </w:r>
      <w:r w:rsidR="00611CBA" w:rsidRPr="00F9522B">
        <w:rPr>
          <w:rFonts w:eastAsiaTheme="minorEastAsia"/>
          <w:sz w:val="24"/>
        </w:rPr>
        <w:t>。</w:t>
      </w:r>
    </w:p>
    <w:p w:rsidR="002A5A5E" w:rsidRPr="00F9522B" w:rsidRDefault="00F25A84">
      <w:pPr>
        <w:adjustRightInd w:val="0"/>
        <w:spacing w:line="360" w:lineRule="auto"/>
        <w:ind w:firstLineChars="200" w:firstLine="480"/>
        <w:rPr>
          <w:rFonts w:eastAsiaTheme="minorEastAsia"/>
          <w:sz w:val="24"/>
        </w:rPr>
      </w:pPr>
      <w:r w:rsidRPr="00F9522B">
        <w:rPr>
          <w:rFonts w:eastAsiaTheme="minorEastAsia"/>
          <w:sz w:val="24"/>
        </w:rPr>
        <w:t>本项目现状水田地下水灌溉面积</w:t>
      </w:r>
      <w:r w:rsidRPr="00F9522B">
        <w:rPr>
          <w:rFonts w:eastAsiaTheme="minorEastAsia"/>
          <w:sz w:val="24"/>
        </w:rPr>
        <w:t>0.47</w:t>
      </w:r>
      <w:r w:rsidRPr="00F9522B">
        <w:rPr>
          <w:rFonts w:eastAsiaTheme="minorEastAsia"/>
          <w:sz w:val="24"/>
        </w:rPr>
        <w:t>万亩，其中康金、石人、方台片区</w:t>
      </w:r>
      <w:r w:rsidRPr="00F9522B">
        <w:rPr>
          <w:rFonts w:eastAsiaTheme="minorEastAsia"/>
          <w:sz w:val="24"/>
        </w:rPr>
        <w:t>0.325</w:t>
      </w:r>
      <w:r w:rsidRPr="00F9522B">
        <w:rPr>
          <w:rFonts w:eastAsiaTheme="minorEastAsia"/>
          <w:sz w:val="24"/>
        </w:rPr>
        <w:t>万亩（松花江退水口），二八、康金、石人片区</w:t>
      </w:r>
      <w:r w:rsidRPr="00F9522B">
        <w:rPr>
          <w:rFonts w:eastAsiaTheme="minorEastAsia"/>
          <w:sz w:val="24"/>
        </w:rPr>
        <w:t>0.145</w:t>
      </w:r>
      <w:r w:rsidRPr="00F9522B">
        <w:rPr>
          <w:rFonts w:eastAsiaTheme="minorEastAsia"/>
          <w:sz w:val="24"/>
        </w:rPr>
        <w:t>万亩（漂河退水口）</w:t>
      </w:r>
      <w:r w:rsidR="00611CBA" w:rsidRPr="00F9522B">
        <w:rPr>
          <w:rFonts w:eastAsiaTheme="minorEastAsia"/>
          <w:sz w:val="24"/>
        </w:rPr>
        <w:t>。现状年灌溉水利用系数</w:t>
      </w:r>
      <w:r w:rsidR="00611CBA" w:rsidRPr="00F9522B">
        <w:rPr>
          <w:rFonts w:eastAsiaTheme="minorEastAsia"/>
          <w:sz w:val="24"/>
        </w:rPr>
        <w:t>0.67</w:t>
      </w:r>
      <w:r w:rsidR="00611CBA" w:rsidRPr="00F9522B">
        <w:rPr>
          <w:rFonts w:eastAsiaTheme="minorEastAsia"/>
          <w:sz w:val="24"/>
        </w:rPr>
        <w:t>，水田灌溉用水定额为</w:t>
      </w:r>
      <w:r w:rsidR="00611CBA" w:rsidRPr="00F9522B">
        <w:rPr>
          <w:rFonts w:eastAsiaTheme="minorEastAsia"/>
          <w:sz w:val="24"/>
        </w:rPr>
        <w:t>576.1m</w:t>
      </w:r>
      <w:r w:rsidR="00611CBA" w:rsidRPr="00F9522B">
        <w:rPr>
          <w:rFonts w:eastAsiaTheme="minorEastAsia"/>
          <w:sz w:val="24"/>
          <w:vertAlign w:val="superscript"/>
        </w:rPr>
        <w:t>3</w:t>
      </w:r>
      <w:r w:rsidR="00611CBA" w:rsidRPr="00F9522B">
        <w:rPr>
          <w:rFonts w:eastAsiaTheme="minorEastAsia"/>
          <w:sz w:val="24"/>
        </w:rPr>
        <w:t>/</w:t>
      </w:r>
      <w:r w:rsidR="00611CBA" w:rsidRPr="00F9522B">
        <w:rPr>
          <w:rFonts w:eastAsiaTheme="minorEastAsia"/>
          <w:sz w:val="24"/>
        </w:rPr>
        <w:t>亩，现状引水总量</w:t>
      </w:r>
      <w:r w:rsidRPr="00F9522B">
        <w:rPr>
          <w:rFonts w:eastAsiaTheme="minorEastAsia"/>
          <w:sz w:val="24"/>
        </w:rPr>
        <w:t>271</w:t>
      </w:r>
      <w:r w:rsidR="00611CBA" w:rsidRPr="00F9522B">
        <w:rPr>
          <w:rFonts w:eastAsiaTheme="minorEastAsia"/>
          <w:sz w:val="24"/>
        </w:rPr>
        <w:t>万</w:t>
      </w:r>
      <w:r w:rsidR="00611CBA" w:rsidRPr="00F9522B">
        <w:rPr>
          <w:rFonts w:eastAsiaTheme="minorEastAsia"/>
          <w:sz w:val="24"/>
        </w:rPr>
        <w:t>m</w:t>
      </w:r>
      <w:r w:rsidR="00611CBA" w:rsidRPr="00F9522B">
        <w:rPr>
          <w:rFonts w:eastAsiaTheme="minorEastAsia"/>
          <w:sz w:val="24"/>
          <w:vertAlign w:val="superscript"/>
        </w:rPr>
        <w:t>3</w:t>
      </w:r>
      <w:r w:rsidR="00611CBA" w:rsidRPr="00F9522B">
        <w:rPr>
          <w:rFonts w:eastAsiaTheme="minorEastAsia"/>
          <w:sz w:val="24"/>
        </w:rPr>
        <w:t>，现状退水系数按</w:t>
      </w:r>
      <w:r w:rsidR="00611CBA" w:rsidRPr="00F9522B">
        <w:rPr>
          <w:rFonts w:eastAsiaTheme="minorEastAsia"/>
          <w:sz w:val="24"/>
        </w:rPr>
        <w:t>0.2</w:t>
      </w:r>
      <w:r w:rsidR="00611CBA" w:rsidRPr="00F9522B">
        <w:rPr>
          <w:rFonts w:eastAsiaTheme="minorEastAsia"/>
          <w:sz w:val="24"/>
        </w:rPr>
        <w:t>计，则现状年灌区退水总量</w:t>
      </w:r>
      <w:r w:rsidRPr="00F9522B">
        <w:rPr>
          <w:rFonts w:eastAsiaTheme="minorEastAsia"/>
          <w:sz w:val="24"/>
        </w:rPr>
        <w:t>54</w:t>
      </w:r>
      <w:r w:rsidR="00611CBA" w:rsidRPr="00F9522B">
        <w:rPr>
          <w:rFonts w:eastAsiaTheme="minorEastAsia"/>
          <w:sz w:val="24"/>
        </w:rPr>
        <w:t>万</w:t>
      </w:r>
      <w:r w:rsidR="00611CBA" w:rsidRPr="00F9522B">
        <w:rPr>
          <w:rFonts w:eastAsiaTheme="minorEastAsia"/>
          <w:sz w:val="24"/>
        </w:rPr>
        <w:t>m</w:t>
      </w:r>
      <w:r w:rsidR="00611CBA" w:rsidRPr="00F9522B">
        <w:rPr>
          <w:rFonts w:eastAsiaTheme="minorEastAsia"/>
          <w:sz w:val="24"/>
          <w:vertAlign w:val="superscript"/>
        </w:rPr>
        <w:t>3</w:t>
      </w:r>
      <w:r w:rsidR="00611CBA" w:rsidRPr="00F9522B">
        <w:rPr>
          <w:rFonts w:eastAsiaTheme="minorEastAsia"/>
          <w:sz w:val="24"/>
        </w:rPr>
        <w:t>。</w:t>
      </w:r>
    </w:p>
    <w:p w:rsidR="002A5A5E" w:rsidRPr="00F9522B" w:rsidRDefault="00611CBA">
      <w:pPr>
        <w:adjustRightInd w:val="0"/>
        <w:spacing w:line="360" w:lineRule="auto"/>
        <w:ind w:firstLineChars="200" w:firstLine="480"/>
        <w:rPr>
          <w:rFonts w:eastAsiaTheme="minorEastAsia"/>
          <w:sz w:val="24"/>
        </w:rPr>
      </w:pPr>
      <w:r w:rsidRPr="00F9522B">
        <w:rPr>
          <w:rFonts w:eastAsiaTheme="minorEastAsia"/>
          <w:sz w:val="24"/>
        </w:rPr>
        <w:t>本项目建设后通过格田改造、土地平整等工程，可以减少池埂占地面积，提高农田保水能力，并且由于渠系配套完善，减少引水跑冒滴漏，水利用系数提升至</w:t>
      </w:r>
      <w:r w:rsidRPr="00F9522B">
        <w:rPr>
          <w:rFonts w:eastAsiaTheme="minorEastAsia"/>
          <w:sz w:val="24"/>
        </w:rPr>
        <w:t>0.69</w:t>
      </w:r>
      <w:r w:rsidRPr="00F9522B">
        <w:rPr>
          <w:rFonts w:eastAsiaTheme="minorEastAsia"/>
          <w:sz w:val="24"/>
        </w:rPr>
        <w:t>，水田灌溉用水定额为</w:t>
      </w:r>
      <w:r w:rsidRPr="00F9522B">
        <w:rPr>
          <w:rFonts w:eastAsiaTheme="minorEastAsia"/>
          <w:sz w:val="24"/>
        </w:rPr>
        <w:t>559.42m</w:t>
      </w:r>
      <w:r w:rsidRPr="00F9522B">
        <w:rPr>
          <w:rFonts w:eastAsiaTheme="minorEastAsia"/>
          <w:sz w:val="24"/>
          <w:vertAlign w:val="superscript"/>
        </w:rPr>
        <w:t>3</w:t>
      </w:r>
      <w:r w:rsidRPr="00F9522B">
        <w:rPr>
          <w:rFonts w:eastAsiaTheme="minorEastAsia"/>
          <w:sz w:val="24"/>
        </w:rPr>
        <w:t>/</w:t>
      </w:r>
      <w:r w:rsidRPr="00F9522B">
        <w:rPr>
          <w:rFonts w:eastAsiaTheme="minorEastAsia"/>
          <w:sz w:val="24"/>
        </w:rPr>
        <w:t>亩，引水总量</w:t>
      </w:r>
      <w:r w:rsidR="00F25A84" w:rsidRPr="00F9522B">
        <w:rPr>
          <w:rFonts w:eastAsiaTheme="minorEastAsia"/>
          <w:sz w:val="24"/>
        </w:rPr>
        <w:t>263</w:t>
      </w:r>
      <w:r w:rsidRPr="00F9522B">
        <w:rPr>
          <w:rFonts w:eastAsiaTheme="minorEastAsia"/>
          <w:sz w:val="24"/>
        </w:rPr>
        <w:t>万</w:t>
      </w:r>
      <w:r w:rsidRPr="00F9522B">
        <w:rPr>
          <w:rFonts w:eastAsiaTheme="minorEastAsia"/>
          <w:sz w:val="24"/>
        </w:rPr>
        <w:t>m</w:t>
      </w:r>
      <w:r w:rsidRPr="00F9522B">
        <w:rPr>
          <w:rFonts w:eastAsiaTheme="minorEastAsia"/>
          <w:sz w:val="24"/>
          <w:vertAlign w:val="superscript"/>
        </w:rPr>
        <w:t>3</w:t>
      </w:r>
      <w:r w:rsidRPr="00F9522B">
        <w:rPr>
          <w:rFonts w:eastAsiaTheme="minorEastAsia"/>
          <w:sz w:val="24"/>
        </w:rPr>
        <w:t>，退水系数按</w:t>
      </w:r>
      <w:r w:rsidRPr="00F9522B">
        <w:rPr>
          <w:rFonts w:eastAsiaTheme="minorEastAsia"/>
          <w:sz w:val="24"/>
        </w:rPr>
        <w:t>0.15</w:t>
      </w:r>
      <w:r w:rsidRPr="00F9522B">
        <w:rPr>
          <w:rFonts w:eastAsiaTheme="minorEastAsia"/>
          <w:sz w:val="24"/>
        </w:rPr>
        <w:t>计，则项目建成后年灌区退水总量为</w:t>
      </w:r>
      <w:r w:rsidR="00F25A84" w:rsidRPr="00F9522B">
        <w:rPr>
          <w:rFonts w:eastAsiaTheme="minorEastAsia"/>
          <w:sz w:val="24"/>
        </w:rPr>
        <w:t>39</w:t>
      </w:r>
      <w:r w:rsidRPr="00F9522B">
        <w:rPr>
          <w:rFonts w:eastAsiaTheme="minorEastAsia"/>
          <w:sz w:val="24"/>
        </w:rPr>
        <w:t>万</w:t>
      </w:r>
      <w:r w:rsidRPr="00F9522B">
        <w:rPr>
          <w:rFonts w:eastAsiaTheme="minorEastAsia"/>
          <w:sz w:val="24"/>
        </w:rPr>
        <w:t>m</w:t>
      </w:r>
      <w:r w:rsidRPr="00F9522B">
        <w:rPr>
          <w:rFonts w:eastAsiaTheme="minorEastAsia"/>
          <w:sz w:val="24"/>
          <w:vertAlign w:val="superscript"/>
        </w:rPr>
        <w:t>3</w:t>
      </w:r>
      <w:r w:rsidRPr="00F9522B">
        <w:rPr>
          <w:rFonts w:eastAsiaTheme="minorEastAsia"/>
          <w:sz w:val="24"/>
        </w:rPr>
        <w:t>。</w:t>
      </w:r>
    </w:p>
    <w:p w:rsidR="002A5A5E" w:rsidRPr="00F9522B" w:rsidRDefault="00611CBA">
      <w:pPr>
        <w:contextualSpacing/>
        <w:jc w:val="center"/>
        <w:rPr>
          <w:rFonts w:eastAsiaTheme="minorEastAsia"/>
          <w:b/>
          <w:szCs w:val="21"/>
        </w:rPr>
      </w:pPr>
      <w:r w:rsidRPr="00F9522B">
        <w:rPr>
          <w:rFonts w:eastAsiaTheme="minorEastAsia"/>
          <w:b/>
          <w:szCs w:val="21"/>
        </w:rPr>
        <w:t>表</w:t>
      </w:r>
      <w:r w:rsidRPr="00F9522B">
        <w:rPr>
          <w:rFonts w:eastAsiaTheme="minorEastAsia"/>
          <w:b/>
          <w:szCs w:val="21"/>
        </w:rPr>
        <w:t>3-1-16</w:t>
      </w:r>
      <w:r w:rsidR="008F5BFF" w:rsidRPr="00F9522B">
        <w:rPr>
          <w:rFonts w:eastAsiaTheme="minorEastAsia"/>
          <w:b/>
          <w:szCs w:val="21"/>
        </w:rPr>
        <w:t xml:space="preserve"> </w:t>
      </w:r>
      <w:r w:rsidRPr="00F9522B">
        <w:rPr>
          <w:rFonts w:eastAsiaTheme="minorEastAsia"/>
          <w:b/>
          <w:szCs w:val="21"/>
        </w:rPr>
        <w:t>水田供排水平衡一览表</w:t>
      </w:r>
      <w:r w:rsidRPr="00F9522B">
        <w:rPr>
          <w:rFonts w:eastAsiaTheme="minorEastAsia"/>
          <w:b/>
          <w:szCs w:val="21"/>
        </w:rPr>
        <w:t xml:space="preserve">  </w:t>
      </w:r>
      <w:r w:rsidRPr="00F9522B">
        <w:rPr>
          <w:rFonts w:eastAsiaTheme="minorEastAsia"/>
          <w:b/>
          <w:szCs w:val="21"/>
        </w:rPr>
        <w:t>单位：万</w:t>
      </w:r>
      <w:r w:rsidRPr="00F9522B">
        <w:rPr>
          <w:rFonts w:eastAsiaTheme="minorEastAsia"/>
          <w:b/>
          <w:szCs w:val="21"/>
        </w:rPr>
        <w:t>m</w:t>
      </w:r>
      <w:r w:rsidRPr="00F9522B">
        <w:rPr>
          <w:rFonts w:eastAsiaTheme="minorEastAsia"/>
          <w:b/>
          <w:szCs w:val="21"/>
          <w:vertAlign w:val="superscript"/>
        </w:rPr>
        <w:t>3</w:t>
      </w:r>
      <w:r w:rsidRPr="00F9522B">
        <w:rPr>
          <w:rFonts w:eastAsiaTheme="minorEastAsia"/>
          <w:b/>
          <w:bCs/>
          <w:szCs w:val="21"/>
        </w:rPr>
        <w:t>/a</w:t>
      </w:r>
    </w:p>
    <w:tbl>
      <w:tblPr>
        <w:tblStyle w:val="afc"/>
        <w:tblW w:w="4981" w:type="pct"/>
        <w:tblLook w:val="04A0"/>
      </w:tblPr>
      <w:tblGrid>
        <w:gridCol w:w="2121"/>
        <w:gridCol w:w="2121"/>
        <w:gridCol w:w="2124"/>
        <w:gridCol w:w="2124"/>
      </w:tblGrid>
      <w:tr w:rsidR="002A5A5E" w:rsidRPr="00F9522B" w:rsidTr="00D821C1">
        <w:trPr>
          <w:trHeight w:val="377"/>
        </w:trPr>
        <w:tc>
          <w:tcPr>
            <w:tcW w:w="1249" w:type="pct"/>
            <w:tcBorders>
              <w:top w:val="single" w:sz="12" w:space="0" w:color="auto"/>
              <w:left w:val="nil"/>
            </w:tcBorders>
            <w:vAlign w:val="center"/>
          </w:tcPr>
          <w:p w:rsidR="002A5A5E" w:rsidRPr="00F9522B" w:rsidRDefault="00611CBA">
            <w:pPr>
              <w:jc w:val="center"/>
              <w:rPr>
                <w:rFonts w:eastAsiaTheme="minorEastAsia"/>
                <w:kern w:val="0"/>
                <w:szCs w:val="21"/>
              </w:rPr>
            </w:pPr>
            <w:r w:rsidRPr="00F9522B">
              <w:rPr>
                <w:rFonts w:eastAsiaTheme="minorEastAsia"/>
                <w:kern w:val="0"/>
                <w:szCs w:val="21"/>
              </w:rPr>
              <w:t>灌区</w:t>
            </w:r>
          </w:p>
        </w:tc>
        <w:tc>
          <w:tcPr>
            <w:tcW w:w="1249" w:type="pct"/>
            <w:tcBorders>
              <w:top w:val="single" w:sz="12" w:space="0" w:color="auto"/>
            </w:tcBorders>
            <w:vAlign w:val="center"/>
          </w:tcPr>
          <w:p w:rsidR="002A5A5E" w:rsidRPr="00F9522B" w:rsidRDefault="00611CBA">
            <w:pPr>
              <w:jc w:val="center"/>
              <w:rPr>
                <w:rFonts w:eastAsiaTheme="minorEastAsia"/>
                <w:kern w:val="0"/>
                <w:szCs w:val="21"/>
              </w:rPr>
            </w:pPr>
            <w:r w:rsidRPr="00F9522B">
              <w:rPr>
                <w:rFonts w:eastAsiaTheme="minorEastAsia"/>
                <w:kern w:val="0"/>
                <w:szCs w:val="21"/>
              </w:rPr>
              <w:t>用水量</w:t>
            </w:r>
          </w:p>
        </w:tc>
        <w:tc>
          <w:tcPr>
            <w:tcW w:w="1251" w:type="pct"/>
            <w:tcBorders>
              <w:top w:val="single" w:sz="12" w:space="0" w:color="auto"/>
              <w:right w:val="nil"/>
            </w:tcBorders>
            <w:vAlign w:val="center"/>
          </w:tcPr>
          <w:p w:rsidR="002A5A5E" w:rsidRPr="00F9522B" w:rsidRDefault="00611CBA">
            <w:pPr>
              <w:jc w:val="center"/>
              <w:rPr>
                <w:rFonts w:eastAsiaTheme="minorEastAsia"/>
                <w:kern w:val="0"/>
                <w:szCs w:val="21"/>
              </w:rPr>
            </w:pPr>
            <w:r w:rsidRPr="00F9522B">
              <w:rPr>
                <w:rFonts w:eastAsiaTheme="minorEastAsia"/>
                <w:kern w:val="0"/>
                <w:szCs w:val="21"/>
              </w:rPr>
              <w:t>作物吸收及蒸发量</w:t>
            </w:r>
          </w:p>
        </w:tc>
        <w:tc>
          <w:tcPr>
            <w:tcW w:w="1251" w:type="pct"/>
            <w:tcBorders>
              <w:top w:val="single" w:sz="12" w:space="0" w:color="auto"/>
              <w:right w:val="nil"/>
            </w:tcBorders>
            <w:vAlign w:val="center"/>
          </w:tcPr>
          <w:p w:rsidR="002A5A5E" w:rsidRPr="00F9522B" w:rsidRDefault="00611CBA">
            <w:pPr>
              <w:jc w:val="center"/>
              <w:rPr>
                <w:rFonts w:eastAsiaTheme="minorEastAsia"/>
                <w:kern w:val="0"/>
                <w:szCs w:val="21"/>
              </w:rPr>
            </w:pPr>
            <w:r w:rsidRPr="00F9522B">
              <w:rPr>
                <w:rFonts w:eastAsiaTheme="minorEastAsia"/>
                <w:kern w:val="0"/>
                <w:szCs w:val="21"/>
              </w:rPr>
              <w:t>退水量</w:t>
            </w:r>
          </w:p>
        </w:tc>
      </w:tr>
      <w:tr w:rsidR="00F25A84" w:rsidRPr="00F9522B" w:rsidTr="00D821C1">
        <w:trPr>
          <w:trHeight w:val="352"/>
        </w:trPr>
        <w:tc>
          <w:tcPr>
            <w:tcW w:w="1249" w:type="pct"/>
            <w:tcBorders>
              <w:left w:val="nil"/>
            </w:tcBorders>
            <w:vAlign w:val="center"/>
          </w:tcPr>
          <w:p w:rsidR="00F25A84" w:rsidRPr="00F9522B" w:rsidRDefault="00F25A84">
            <w:pPr>
              <w:jc w:val="center"/>
              <w:rPr>
                <w:rFonts w:eastAsiaTheme="minorEastAsia"/>
                <w:kern w:val="0"/>
                <w:szCs w:val="21"/>
              </w:rPr>
            </w:pPr>
            <w:r w:rsidRPr="00F9522B">
              <w:rPr>
                <w:rFonts w:eastAsiaTheme="minorEastAsia"/>
                <w:kern w:val="0"/>
                <w:szCs w:val="21"/>
              </w:rPr>
              <w:t>建成前</w:t>
            </w:r>
          </w:p>
        </w:tc>
        <w:tc>
          <w:tcPr>
            <w:tcW w:w="1249" w:type="pct"/>
            <w:vAlign w:val="center"/>
          </w:tcPr>
          <w:p w:rsidR="00F25A84" w:rsidRPr="00F9522B" w:rsidRDefault="00F25A84">
            <w:pPr>
              <w:jc w:val="center"/>
              <w:rPr>
                <w:szCs w:val="21"/>
              </w:rPr>
            </w:pPr>
            <w:r w:rsidRPr="00F9522B">
              <w:rPr>
                <w:szCs w:val="21"/>
              </w:rPr>
              <w:t>271</w:t>
            </w:r>
          </w:p>
        </w:tc>
        <w:tc>
          <w:tcPr>
            <w:tcW w:w="1251" w:type="pct"/>
            <w:tcBorders>
              <w:right w:val="nil"/>
            </w:tcBorders>
            <w:vAlign w:val="center"/>
          </w:tcPr>
          <w:p w:rsidR="00F25A84" w:rsidRPr="00F9522B" w:rsidRDefault="00F25A84">
            <w:pPr>
              <w:jc w:val="center"/>
              <w:rPr>
                <w:rFonts w:eastAsiaTheme="minorEastAsia"/>
                <w:kern w:val="0"/>
                <w:szCs w:val="21"/>
              </w:rPr>
            </w:pPr>
            <w:r w:rsidRPr="00F9522B">
              <w:rPr>
                <w:rFonts w:eastAsiaTheme="minorEastAsia"/>
                <w:kern w:val="0"/>
                <w:szCs w:val="21"/>
              </w:rPr>
              <w:t>217</w:t>
            </w:r>
          </w:p>
        </w:tc>
        <w:tc>
          <w:tcPr>
            <w:tcW w:w="1251" w:type="pct"/>
            <w:tcBorders>
              <w:right w:val="nil"/>
            </w:tcBorders>
            <w:vAlign w:val="center"/>
          </w:tcPr>
          <w:p w:rsidR="00F25A84" w:rsidRPr="00F9522B" w:rsidRDefault="00F25A84">
            <w:pPr>
              <w:jc w:val="center"/>
              <w:rPr>
                <w:szCs w:val="21"/>
              </w:rPr>
            </w:pPr>
            <w:r w:rsidRPr="00F9522B">
              <w:rPr>
                <w:szCs w:val="21"/>
              </w:rPr>
              <w:t>54</w:t>
            </w:r>
          </w:p>
        </w:tc>
      </w:tr>
      <w:tr w:rsidR="00F25A84" w:rsidRPr="00F9522B" w:rsidTr="00D821C1">
        <w:trPr>
          <w:trHeight w:val="387"/>
        </w:trPr>
        <w:tc>
          <w:tcPr>
            <w:tcW w:w="1249" w:type="pct"/>
            <w:tcBorders>
              <w:left w:val="nil"/>
            </w:tcBorders>
            <w:vAlign w:val="center"/>
          </w:tcPr>
          <w:p w:rsidR="00F25A84" w:rsidRPr="00F9522B" w:rsidRDefault="00F25A84">
            <w:pPr>
              <w:jc w:val="center"/>
              <w:rPr>
                <w:rFonts w:eastAsiaTheme="minorEastAsia"/>
                <w:kern w:val="0"/>
                <w:szCs w:val="21"/>
              </w:rPr>
            </w:pPr>
            <w:r w:rsidRPr="00F9522B">
              <w:rPr>
                <w:rFonts w:eastAsiaTheme="minorEastAsia"/>
                <w:kern w:val="0"/>
                <w:szCs w:val="21"/>
              </w:rPr>
              <w:t>建成后</w:t>
            </w:r>
          </w:p>
        </w:tc>
        <w:tc>
          <w:tcPr>
            <w:tcW w:w="1249" w:type="pct"/>
            <w:vAlign w:val="center"/>
          </w:tcPr>
          <w:p w:rsidR="00F25A84" w:rsidRPr="00F9522B" w:rsidRDefault="00F25A84">
            <w:pPr>
              <w:jc w:val="center"/>
              <w:rPr>
                <w:szCs w:val="21"/>
              </w:rPr>
            </w:pPr>
            <w:r w:rsidRPr="00F9522B">
              <w:rPr>
                <w:szCs w:val="21"/>
              </w:rPr>
              <w:t>263</w:t>
            </w:r>
          </w:p>
        </w:tc>
        <w:tc>
          <w:tcPr>
            <w:tcW w:w="1251" w:type="pct"/>
            <w:tcBorders>
              <w:right w:val="nil"/>
            </w:tcBorders>
            <w:vAlign w:val="center"/>
          </w:tcPr>
          <w:p w:rsidR="00F25A84" w:rsidRPr="00F9522B" w:rsidRDefault="00F25A84">
            <w:pPr>
              <w:jc w:val="center"/>
              <w:rPr>
                <w:rFonts w:eastAsiaTheme="minorEastAsia"/>
                <w:kern w:val="0"/>
                <w:szCs w:val="21"/>
              </w:rPr>
            </w:pPr>
            <w:r w:rsidRPr="00F9522B">
              <w:rPr>
                <w:rFonts w:eastAsiaTheme="minorEastAsia"/>
                <w:kern w:val="0"/>
                <w:szCs w:val="21"/>
              </w:rPr>
              <w:t>224</w:t>
            </w:r>
          </w:p>
        </w:tc>
        <w:tc>
          <w:tcPr>
            <w:tcW w:w="1251" w:type="pct"/>
            <w:tcBorders>
              <w:right w:val="nil"/>
            </w:tcBorders>
            <w:vAlign w:val="center"/>
          </w:tcPr>
          <w:p w:rsidR="00F25A84" w:rsidRPr="00F9522B" w:rsidRDefault="00F25A84">
            <w:pPr>
              <w:jc w:val="center"/>
              <w:rPr>
                <w:szCs w:val="21"/>
              </w:rPr>
            </w:pPr>
            <w:r w:rsidRPr="00F9522B">
              <w:rPr>
                <w:szCs w:val="21"/>
              </w:rPr>
              <w:t>39</w:t>
            </w:r>
          </w:p>
        </w:tc>
      </w:tr>
      <w:tr w:rsidR="00F25A84" w:rsidRPr="00F9522B" w:rsidTr="00D821C1">
        <w:trPr>
          <w:trHeight w:val="397"/>
        </w:trPr>
        <w:tc>
          <w:tcPr>
            <w:tcW w:w="1249" w:type="pct"/>
            <w:tcBorders>
              <w:left w:val="nil"/>
              <w:bottom w:val="single" w:sz="12" w:space="0" w:color="auto"/>
            </w:tcBorders>
            <w:vAlign w:val="center"/>
          </w:tcPr>
          <w:p w:rsidR="00F25A84" w:rsidRPr="00F9522B" w:rsidRDefault="00F25A84">
            <w:pPr>
              <w:jc w:val="center"/>
              <w:rPr>
                <w:rFonts w:eastAsiaTheme="minorEastAsia"/>
                <w:kern w:val="0"/>
                <w:szCs w:val="21"/>
              </w:rPr>
            </w:pPr>
            <w:r w:rsidRPr="00F9522B">
              <w:rPr>
                <w:rFonts w:eastAsiaTheme="minorEastAsia"/>
                <w:kern w:val="0"/>
                <w:szCs w:val="21"/>
              </w:rPr>
              <w:t>变化量</w:t>
            </w:r>
          </w:p>
        </w:tc>
        <w:tc>
          <w:tcPr>
            <w:tcW w:w="1249" w:type="pct"/>
            <w:tcBorders>
              <w:bottom w:val="single" w:sz="12" w:space="0" w:color="auto"/>
            </w:tcBorders>
            <w:vAlign w:val="center"/>
          </w:tcPr>
          <w:p w:rsidR="00F25A84" w:rsidRPr="00F9522B" w:rsidRDefault="00F25A84">
            <w:pPr>
              <w:jc w:val="center"/>
              <w:rPr>
                <w:szCs w:val="21"/>
              </w:rPr>
            </w:pPr>
            <w:r w:rsidRPr="00F9522B">
              <w:rPr>
                <w:szCs w:val="21"/>
              </w:rPr>
              <w:t>-8</w:t>
            </w:r>
          </w:p>
        </w:tc>
        <w:tc>
          <w:tcPr>
            <w:tcW w:w="1251" w:type="pct"/>
            <w:tcBorders>
              <w:bottom w:val="single" w:sz="12" w:space="0" w:color="auto"/>
              <w:right w:val="nil"/>
            </w:tcBorders>
            <w:vAlign w:val="center"/>
          </w:tcPr>
          <w:p w:rsidR="00F25A84" w:rsidRPr="00F9522B" w:rsidRDefault="00F25A84">
            <w:pPr>
              <w:jc w:val="center"/>
              <w:rPr>
                <w:rFonts w:eastAsiaTheme="minorEastAsia"/>
                <w:kern w:val="0"/>
                <w:szCs w:val="21"/>
              </w:rPr>
            </w:pPr>
            <w:r w:rsidRPr="00F9522B">
              <w:rPr>
                <w:rFonts w:eastAsiaTheme="minorEastAsia"/>
                <w:kern w:val="0"/>
                <w:szCs w:val="21"/>
              </w:rPr>
              <w:t>+7</w:t>
            </w:r>
          </w:p>
        </w:tc>
        <w:tc>
          <w:tcPr>
            <w:tcW w:w="1251" w:type="pct"/>
            <w:tcBorders>
              <w:bottom w:val="single" w:sz="12" w:space="0" w:color="auto"/>
              <w:right w:val="nil"/>
            </w:tcBorders>
            <w:vAlign w:val="center"/>
          </w:tcPr>
          <w:p w:rsidR="00F25A84" w:rsidRPr="00F9522B" w:rsidRDefault="00F25A84">
            <w:pPr>
              <w:jc w:val="center"/>
              <w:rPr>
                <w:szCs w:val="21"/>
              </w:rPr>
            </w:pPr>
            <w:r w:rsidRPr="00F9522B">
              <w:rPr>
                <w:szCs w:val="21"/>
              </w:rPr>
              <w:t>-15</w:t>
            </w:r>
          </w:p>
        </w:tc>
      </w:tr>
    </w:tbl>
    <w:bookmarkEnd w:id="88"/>
    <w:p w:rsidR="002A5A5E" w:rsidRPr="00F9522B" w:rsidRDefault="005273A1">
      <w:pPr>
        <w:autoSpaceDE w:val="0"/>
        <w:autoSpaceDN w:val="0"/>
        <w:spacing w:before="100" w:beforeAutospacing="1" w:after="100" w:afterAutospacing="1"/>
        <w:outlineLvl w:val="3"/>
        <w:rPr>
          <w:rFonts w:eastAsiaTheme="minorEastAsia"/>
          <w:b/>
          <w:sz w:val="24"/>
        </w:rPr>
      </w:pPr>
      <w:r w:rsidRPr="00F9522B">
        <w:rPr>
          <w:rFonts w:eastAsiaTheme="minorEastAsia"/>
          <w:b/>
          <w:sz w:val="24"/>
        </w:rPr>
        <w:fldChar w:fldCharType="begin"/>
      </w:r>
      <w:r w:rsidR="00611CBA" w:rsidRPr="00F9522B">
        <w:rPr>
          <w:rFonts w:eastAsiaTheme="minorEastAsia"/>
          <w:b/>
          <w:sz w:val="24"/>
        </w:rPr>
        <w:instrText>HYPERLINK "file:///F:\\360</w:instrText>
      </w:r>
      <w:r w:rsidR="00611CBA" w:rsidRPr="00F9522B">
        <w:rPr>
          <w:rFonts w:eastAsiaTheme="minorEastAsia"/>
          <w:b/>
          <w:sz w:val="24"/>
        </w:rPr>
        <w:instrText>用户文件</w:instrText>
      </w:r>
      <w:r w:rsidR="00611CBA" w:rsidRPr="00F9522B">
        <w:rPr>
          <w:rFonts w:eastAsiaTheme="minorEastAsia"/>
          <w:b/>
          <w:sz w:val="24"/>
        </w:rPr>
        <w:instrText>\\</w:instrText>
      </w:r>
      <w:r w:rsidR="00611CBA" w:rsidRPr="00F9522B">
        <w:rPr>
          <w:rFonts w:eastAsiaTheme="minorEastAsia"/>
          <w:b/>
          <w:sz w:val="24"/>
        </w:rPr>
        <w:instrText>游戏大厅</w:instrText>
      </w:r>
      <w:r w:rsidR="00611CBA" w:rsidRPr="00F9522B">
        <w:rPr>
          <w:rFonts w:eastAsiaTheme="minorEastAsia"/>
          <w:b/>
          <w:sz w:val="24"/>
        </w:rPr>
        <w:instrText>\\</w:instrText>
      </w:r>
      <w:r w:rsidR="00611CBA" w:rsidRPr="00F9522B">
        <w:rPr>
          <w:rFonts w:eastAsiaTheme="minorEastAsia"/>
          <w:b/>
          <w:sz w:val="24"/>
        </w:rPr>
        <w:instrText>天兆养猪有限公司环评</w:instrText>
      </w:r>
      <w:r w:rsidR="00611CBA" w:rsidRPr="00F9522B">
        <w:rPr>
          <w:rFonts w:eastAsiaTheme="minorEastAsia"/>
          <w:b/>
          <w:sz w:val="24"/>
        </w:rPr>
        <w:instrText>\\1106</w:instrText>
      </w:r>
      <w:r w:rsidR="00611CBA" w:rsidRPr="00F9522B">
        <w:rPr>
          <w:rFonts w:eastAsiaTheme="minorEastAsia"/>
          <w:b/>
          <w:sz w:val="24"/>
        </w:rPr>
        <w:instrText>天兆养猪</w:instrText>
      </w:r>
      <w:r w:rsidR="00611CBA" w:rsidRPr="00F9522B">
        <w:rPr>
          <w:rFonts w:eastAsiaTheme="minorEastAsia"/>
          <w:b/>
          <w:sz w:val="24"/>
        </w:rPr>
        <w:instrText>\\</w:instrText>
      </w:r>
      <w:r w:rsidR="00611CBA" w:rsidRPr="00F9522B">
        <w:rPr>
          <w:rFonts w:eastAsiaTheme="minorEastAsia"/>
          <w:b/>
          <w:sz w:val="24"/>
        </w:rPr>
        <w:instrText>天兆养猪有限公司环评</w:instrText>
      </w:r>
      <w:r w:rsidR="00611CBA" w:rsidRPr="00F9522B">
        <w:rPr>
          <w:rFonts w:eastAsiaTheme="minorEastAsia"/>
          <w:b/>
          <w:sz w:val="24"/>
        </w:rPr>
        <w:instrText>1117.docx" \l "_Toc110400208"</w:instrText>
      </w:r>
      <w:r w:rsidRPr="00F9522B">
        <w:rPr>
          <w:rFonts w:eastAsiaTheme="minorEastAsia"/>
          <w:b/>
          <w:sz w:val="24"/>
        </w:rPr>
        <w:fldChar w:fldCharType="separate"/>
      </w:r>
      <w:bookmarkStart w:id="89" w:name="_Toc118087007"/>
      <w:bookmarkStart w:id="90" w:name="_Toc113078929"/>
      <w:bookmarkStart w:id="91" w:name="_Toc112420358"/>
      <w:bookmarkStart w:id="92" w:name="_Toc182022288"/>
      <w:r w:rsidR="00611CBA" w:rsidRPr="00F9522B">
        <w:rPr>
          <w:rFonts w:eastAsiaTheme="minorEastAsia"/>
          <w:b/>
          <w:sz w:val="24"/>
        </w:rPr>
        <w:t>3.1.10.3</w:t>
      </w:r>
      <w:r w:rsidR="00611CBA" w:rsidRPr="00F9522B">
        <w:rPr>
          <w:rFonts w:eastAsiaTheme="minorEastAsia"/>
          <w:b/>
          <w:sz w:val="24"/>
        </w:rPr>
        <w:t>供电工程</w:t>
      </w:r>
      <w:bookmarkEnd w:id="89"/>
      <w:bookmarkEnd w:id="90"/>
      <w:bookmarkEnd w:id="91"/>
      <w:bookmarkEnd w:id="92"/>
      <w:r w:rsidRPr="00F9522B">
        <w:rPr>
          <w:rFonts w:eastAsiaTheme="minorEastAsia"/>
          <w:b/>
          <w:sz w:val="24"/>
        </w:rPr>
        <w:fldChar w:fldCharType="end"/>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本项目施工期主要利用工程区附近的农用供电线路解决，部分施工期用电分散，施工时间短，用电量小，从系统电源接线供电不经济，拟配备柴油发电机组供电；本项目新建灌溉井均由配套建设的输配电系统供电，可以满足项目用电需求。</w:t>
      </w:r>
    </w:p>
    <w:p w:rsidR="002A5A5E" w:rsidRPr="00F9522B" w:rsidRDefault="005273A1">
      <w:pPr>
        <w:autoSpaceDE w:val="0"/>
        <w:autoSpaceDN w:val="0"/>
        <w:spacing w:before="100" w:beforeAutospacing="1" w:after="100" w:afterAutospacing="1"/>
        <w:outlineLvl w:val="3"/>
        <w:rPr>
          <w:rFonts w:eastAsiaTheme="minorEastAsia"/>
          <w:b/>
          <w:sz w:val="24"/>
        </w:rPr>
      </w:pPr>
      <w:hyperlink r:id="rId38" w:anchor="_Toc110400209" w:history="1">
        <w:r w:rsidR="00611CBA" w:rsidRPr="00F9522B">
          <w:rPr>
            <w:rFonts w:eastAsiaTheme="minorEastAsia"/>
            <w:b/>
            <w:sz w:val="24"/>
          </w:rPr>
          <w:t>3.1.10.4</w:t>
        </w:r>
      </w:hyperlink>
      <w:r w:rsidR="00611CBA" w:rsidRPr="00F9522B">
        <w:rPr>
          <w:rFonts w:eastAsiaTheme="minorEastAsia"/>
          <w:b/>
          <w:sz w:val="24"/>
        </w:rPr>
        <w:t>供热工程</w:t>
      </w:r>
    </w:p>
    <w:p w:rsidR="002A5A5E" w:rsidRPr="00F9522B" w:rsidRDefault="00611CBA">
      <w:pPr>
        <w:spacing w:line="360" w:lineRule="auto"/>
        <w:ind w:firstLineChars="200" w:firstLine="480"/>
        <w:rPr>
          <w:rFonts w:eastAsiaTheme="minorEastAsia"/>
          <w:bCs/>
          <w:kern w:val="44"/>
          <w:sz w:val="24"/>
        </w:rPr>
      </w:pPr>
      <w:r w:rsidRPr="00F9522B">
        <w:rPr>
          <w:rFonts w:eastAsiaTheme="minorEastAsia"/>
          <w:bCs/>
          <w:sz w:val="24"/>
        </w:rPr>
        <w:t>本项目冬季不供暖，亦无采暖工程</w:t>
      </w:r>
      <w:r w:rsidRPr="00F9522B">
        <w:rPr>
          <w:rFonts w:eastAsiaTheme="minorEastAsia"/>
          <w:bCs/>
          <w:kern w:val="44"/>
          <w:sz w:val="24"/>
        </w:rPr>
        <w:t>。</w:t>
      </w:r>
    </w:p>
    <w:p w:rsidR="002A5A5E" w:rsidRPr="00F9522B" w:rsidRDefault="00611CBA">
      <w:pPr>
        <w:keepNext/>
        <w:keepLines/>
        <w:spacing w:before="100" w:beforeAutospacing="1" w:after="100" w:afterAutospacing="1"/>
        <w:outlineLvl w:val="2"/>
        <w:rPr>
          <w:rFonts w:eastAsiaTheme="minorEastAsia"/>
          <w:b/>
          <w:sz w:val="28"/>
          <w:szCs w:val="28"/>
        </w:rPr>
      </w:pPr>
      <w:r w:rsidRPr="00F9522B">
        <w:rPr>
          <w:rFonts w:eastAsiaTheme="minorEastAsia"/>
          <w:b/>
          <w:sz w:val="28"/>
          <w:szCs w:val="28"/>
        </w:rPr>
        <w:lastRenderedPageBreak/>
        <w:t>3.1.11</w:t>
      </w:r>
      <w:r w:rsidRPr="00F9522B">
        <w:rPr>
          <w:rFonts w:eastAsiaTheme="minorEastAsia"/>
          <w:b/>
          <w:sz w:val="28"/>
          <w:szCs w:val="28"/>
        </w:rPr>
        <w:t>占地情况</w:t>
      </w:r>
    </w:p>
    <w:p w:rsidR="002A5A5E" w:rsidRPr="00F9522B" w:rsidRDefault="00611CBA">
      <w:pPr>
        <w:adjustRightInd w:val="0"/>
        <w:snapToGrid w:val="0"/>
        <w:spacing w:line="360" w:lineRule="auto"/>
        <w:ind w:firstLineChars="200" w:firstLine="480"/>
        <w:rPr>
          <w:rFonts w:eastAsiaTheme="minorEastAsia"/>
          <w:sz w:val="24"/>
        </w:rPr>
      </w:pPr>
      <w:r w:rsidRPr="00F9522B">
        <w:rPr>
          <w:rFonts w:eastAsiaTheme="minorEastAsia"/>
          <w:bCs/>
          <w:snapToGrid w:val="0"/>
          <w:kern w:val="0"/>
          <w:sz w:val="24"/>
        </w:rPr>
        <w:t>本项目用地包括永久占地和临</w:t>
      </w:r>
      <w:r w:rsidRPr="00F9522B">
        <w:rPr>
          <w:rFonts w:eastAsiaTheme="minorEastAsia"/>
          <w:sz w:val="24"/>
        </w:rPr>
        <w:t>时占地，</w:t>
      </w:r>
      <w:r w:rsidRPr="00F9522B">
        <w:rPr>
          <w:rFonts w:eastAsiaTheme="minorEastAsia"/>
          <w:bCs/>
          <w:snapToGrid w:val="0"/>
          <w:color w:val="FF0000"/>
          <w:kern w:val="0"/>
          <w:sz w:val="24"/>
        </w:rPr>
        <w:t>永久占地类型为</w:t>
      </w:r>
      <w:r w:rsidR="009555CD" w:rsidRPr="00F9522B">
        <w:rPr>
          <w:rFonts w:eastAsiaTheme="minorEastAsia"/>
          <w:bCs/>
          <w:snapToGrid w:val="0"/>
          <w:color w:val="FF0000"/>
          <w:kern w:val="0"/>
          <w:sz w:val="24"/>
        </w:rPr>
        <w:t>草地、交通运输用地、水利设施用地、坑塘水面</w:t>
      </w:r>
      <w:r w:rsidRPr="00F9522B">
        <w:rPr>
          <w:rFonts w:eastAsiaTheme="minorEastAsia"/>
          <w:bCs/>
          <w:snapToGrid w:val="0"/>
          <w:color w:val="FF0000"/>
          <w:kern w:val="0"/>
          <w:sz w:val="24"/>
        </w:rPr>
        <w:t>，</w:t>
      </w:r>
      <w:r w:rsidRPr="00F9522B">
        <w:rPr>
          <w:rFonts w:eastAsiaTheme="minorEastAsia"/>
          <w:bCs/>
          <w:snapToGrid w:val="0"/>
          <w:kern w:val="0"/>
          <w:sz w:val="24"/>
        </w:rPr>
        <w:t>临时占地类型为旱地、草地</w:t>
      </w:r>
      <w:r w:rsidRPr="00F9522B">
        <w:rPr>
          <w:rFonts w:eastAsiaTheme="minorEastAsia"/>
          <w:sz w:val="24"/>
        </w:rPr>
        <w:t>。地表植被为玉米、狗尾巴草、</w:t>
      </w:r>
      <w:r w:rsidRPr="00F9522B">
        <w:rPr>
          <w:rFonts w:eastAsiaTheme="minorEastAsia"/>
          <w:sz w:val="24"/>
          <w:lang w:bidi="en-US"/>
        </w:rPr>
        <w:t>星星草等</w:t>
      </w:r>
      <w:r w:rsidRPr="00F9522B">
        <w:rPr>
          <w:rFonts w:eastAsiaTheme="minorEastAsia"/>
          <w:sz w:val="24"/>
        </w:rPr>
        <w:t>。</w:t>
      </w:r>
    </w:p>
    <w:p w:rsidR="002A5A5E" w:rsidRPr="00F9522B" w:rsidRDefault="00611CBA">
      <w:pPr>
        <w:adjustRightInd w:val="0"/>
        <w:snapToGrid w:val="0"/>
        <w:spacing w:line="360" w:lineRule="auto"/>
        <w:ind w:firstLineChars="200" w:firstLine="480"/>
        <w:rPr>
          <w:rFonts w:eastAsiaTheme="minorEastAsia"/>
          <w:sz w:val="24"/>
        </w:rPr>
      </w:pPr>
      <w:r w:rsidRPr="00F9522B">
        <w:rPr>
          <w:rFonts w:eastAsiaTheme="minorEastAsia"/>
          <w:sz w:val="24"/>
        </w:rPr>
        <w:t>（</w:t>
      </w:r>
      <w:r w:rsidRPr="00F9522B">
        <w:rPr>
          <w:rFonts w:eastAsiaTheme="minorEastAsia"/>
          <w:sz w:val="24"/>
        </w:rPr>
        <w:t>1</w:t>
      </w:r>
      <w:r w:rsidRPr="00F9522B">
        <w:rPr>
          <w:rFonts w:eastAsiaTheme="minorEastAsia"/>
          <w:sz w:val="24"/>
        </w:rPr>
        <w:t>）永久占地</w:t>
      </w:r>
    </w:p>
    <w:p w:rsidR="002A5A5E" w:rsidRPr="00F9522B" w:rsidRDefault="00611CBA">
      <w:pPr>
        <w:adjustRightInd w:val="0"/>
        <w:snapToGrid w:val="0"/>
        <w:spacing w:line="360" w:lineRule="auto"/>
        <w:ind w:firstLineChars="200" w:firstLine="480"/>
        <w:rPr>
          <w:rFonts w:eastAsiaTheme="minorEastAsia"/>
          <w:bCs/>
          <w:snapToGrid w:val="0"/>
          <w:kern w:val="0"/>
          <w:sz w:val="24"/>
        </w:rPr>
      </w:pPr>
      <w:r w:rsidRPr="00F9522B">
        <w:rPr>
          <w:rFonts w:eastAsiaTheme="minorEastAsia"/>
          <w:bCs/>
          <w:snapToGrid w:val="0"/>
          <w:kern w:val="0"/>
          <w:sz w:val="24"/>
        </w:rPr>
        <w:t>本项目永久占地主要</w:t>
      </w:r>
      <w:r w:rsidR="00D61453" w:rsidRPr="00F9522B">
        <w:rPr>
          <w:rFonts w:eastAsiaTheme="minorEastAsia"/>
          <w:bCs/>
          <w:snapToGrid w:val="0"/>
          <w:kern w:val="0"/>
          <w:sz w:val="24"/>
        </w:rPr>
        <w:t>包括田间道路工程、灌溉和排水工程、田块整治工程、农田输配电工程</w:t>
      </w:r>
      <w:r w:rsidRPr="00F9522B">
        <w:rPr>
          <w:rFonts w:eastAsiaTheme="minorEastAsia"/>
          <w:bCs/>
          <w:snapToGrid w:val="0"/>
          <w:kern w:val="0"/>
          <w:sz w:val="24"/>
        </w:rPr>
        <w:t>占地。</w:t>
      </w:r>
      <w:r w:rsidRPr="00F9522B">
        <w:rPr>
          <w:rFonts w:eastAsiaTheme="minorEastAsia"/>
          <w:sz w:val="24"/>
        </w:rPr>
        <w:t>强排工程为设置柴油移动泵车，使用时间较短，使用后放置在附近村屯内，故无占地。</w:t>
      </w:r>
      <w:r w:rsidRPr="00F9522B">
        <w:rPr>
          <w:rFonts w:eastAsiaTheme="minorEastAsia"/>
          <w:bCs/>
          <w:snapToGrid w:val="0"/>
          <w:kern w:val="0"/>
          <w:sz w:val="24"/>
        </w:rPr>
        <w:t>工程永久占地类型为</w:t>
      </w:r>
      <w:r w:rsidR="009555CD" w:rsidRPr="00F9522B">
        <w:rPr>
          <w:rFonts w:eastAsiaTheme="minorEastAsia"/>
          <w:bCs/>
          <w:snapToGrid w:val="0"/>
          <w:kern w:val="0"/>
          <w:sz w:val="24"/>
        </w:rPr>
        <w:t>草地、交通运输用地、水利设施用地、坑塘水面</w:t>
      </w:r>
      <w:r w:rsidRPr="00F9522B">
        <w:rPr>
          <w:rFonts w:eastAsiaTheme="minorEastAsia"/>
          <w:bCs/>
          <w:snapToGrid w:val="0"/>
          <w:kern w:val="0"/>
          <w:sz w:val="24"/>
        </w:rPr>
        <w:t>。田间道路工程在原有道路上铺设，现有灌溉渠道衬砌，现有排水沟清淤、衬砌，淤泥堆放在排水沟两侧，新增永久占地。项目工程永久占地约</w:t>
      </w:r>
      <w:r w:rsidR="00E268F3" w:rsidRPr="00F9522B">
        <w:rPr>
          <w:rFonts w:eastAsiaTheme="minorEastAsia"/>
          <w:bCs/>
          <w:snapToGrid w:val="0"/>
          <w:kern w:val="0"/>
          <w:sz w:val="24"/>
        </w:rPr>
        <w:t>3614</w:t>
      </w:r>
      <w:r w:rsidR="00E268F3" w:rsidRPr="00F9522B">
        <w:rPr>
          <w:rFonts w:eastAsiaTheme="minorEastAsia"/>
          <w:bCs/>
          <w:snapToGrid w:val="0"/>
          <w:kern w:val="0"/>
          <w:sz w:val="24"/>
        </w:rPr>
        <w:t>万</w:t>
      </w:r>
      <w:r w:rsidRPr="00F9522B">
        <w:rPr>
          <w:rFonts w:eastAsiaTheme="minorEastAsia"/>
          <w:bCs/>
          <w:snapToGrid w:val="0"/>
          <w:kern w:val="0"/>
          <w:sz w:val="24"/>
        </w:rPr>
        <w:t>m</w:t>
      </w:r>
      <w:r w:rsidRPr="00F9522B">
        <w:rPr>
          <w:rFonts w:eastAsiaTheme="minorEastAsia"/>
          <w:bCs/>
          <w:snapToGrid w:val="0"/>
          <w:kern w:val="0"/>
          <w:sz w:val="24"/>
          <w:vertAlign w:val="superscript"/>
        </w:rPr>
        <w:t>2</w:t>
      </w:r>
      <w:r w:rsidRPr="00F9522B">
        <w:rPr>
          <w:rFonts w:eastAsiaTheme="minorEastAsia"/>
          <w:bCs/>
          <w:snapToGrid w:val="0"/>
          <w:kern w:val="0"/>
          <w:sz w:val="24"/>
        </w:rPr>
        <w:t>（</w:t>
      </w:r>
      <w:r w:rsidR="00E268F3" w:rsidRPr="00F9522B">
        <w:rPr>
          <w:rFonts w:eastAsiaTheme="minorEastAsia"/>
          <w:bCs/>
          <w:snapToGrid w:val="0"/>
          <w:kern w:val="0"/>
          <w:sz w:val="24"/>
        </w:rPr>
        <w:t>其中新增约</w:t>
      </w:r>
      <w:r w:rsidR="00E268F3" w:rsidRPr="00F9522B">
        <w:rPr>
          <w:rFonts w:eastAsiaTheme="minorEastAsia"/>
          <w:bCs/>
          <w:snapToGrid w:val="0"/>
          <w:kern w:val="0"/>
          <w:sz w:val="24"/>
        </w:rPr>
        <w:t>46260</w:t>
      </w:r>
      <w:r w:rsidRPr="00F9522B">
        <w:rPr>
          <w:rFonts w:eastAsiaTheme="minorEastAsia"/>
          <w:bCs/>
          <w:snapToGrid w:val="0"/>
          <w:kern w:val="0"/>
          <w:sz w:val="24"/>
        </w:rPr>
        <w:t>m</w:t>
      </w:r>
      <w:r w:rsidRPr="00F9522B">
        <w:rPr>
          <w:rFonts w:eastAsiaTheme="minorEastAsia"/>
          <w:bCs/>
          <w:snapToGrid w:val="0"/>
          <w:kern w:val="0"/>
          <w:sz w:val="24"/>
          <w:vertAlign w:val="superscript"/>
        </w:rPr>
        <w:t>2</w:t>
      </w:r>
      <w:r w:rsidRPr="00F9522B">
        <w:rPr>
          <w:rFonts w:eastAsiaTheme="minorEastAsia"/>
          <w:bCs/>
          <w:snapToGrid w:val="0"/>
          <w:kern w:val="0"/>
          <w:sz w:val="24"/>
        </w:rPr>
        <w:t>）。</w:t>
      </w:r>
    </w:p>
    <w:p w:rsidR="002A5A5E" w:rsidRPr="00F9522B" w:rsidRDefault="00611CBA">
      <w:pPr>
        <w:adjustRightInd w:val="0"/>
        <w:snapToGrid w:val="0"/>
        <w:spacing w:line="360" w:lineRule="auto"/>
        <w:ind w:firstLineChars="200" w:firstLine="480"/>
        <w:rPr>
          <w:rFonts w:eastAsiaTheme="minorEastAsia"/>
          <w:bCs/>
          <w:snapToGrid w:val="0"/>
          <w:kern w:val="0"/>
          <w:sz w:val="24"/>
        </w:rPr>
      </w:pPr>
      <w:r w:rsidRPr="00F9522B">
        <w:rPr>
          <w:rFonts w:eastAsiaTheme="minorEastAsia"/>
          <w:bCs/>
          <w:snapToGrid w:val="0"/>
          <w:kern w:val="0"/>
          <w:sz w:val="24"/>
        </w:rPr>
        <w:t>工程实施后区域土地类型及面积变化情况统计见表</w:t>
      </w:r>
      <w:r w:rsidRPr="00F9522B">
        <w:rPr>
          <w:rFonts w:eastAsiaTheme="minorEastAsia"/>
          <w:bCs/>
          <w:snapToGrid w:val="0"/>
          <w:kern w:val="0"/>
          <w:sz w:val="24"/>
        </w:rPr>
        <w:t>4-2-</w:t>
      </w:r>
      <w:r w:rsidR="00CC24C1" w:rsidRPr="00F9522B">
        <w:rPr>
          <w:rFonts w:eastAsiaTheme="minorEastAsia"/>
          <w:bCs/>
          <w:snapToGrid w:val="0"/>
          <w:kern w:val="0"/>
          <w:sz w:val="24"/>
        </w:rPr>
        <w:t>17</w:t>
      </w:r>
      <w:r w:rsidRPr="00F9522B">
        <w:rPr>
          <w:rFonts w:eastAsiaTheme="minorEastAsia"/>
          <w:bCs/>
          <w:snapToGrid w:val="0"/>
          <w:kern w:val="0"/>
          <w:sz w:val="24"/>
        </w:rPr>
        <w:t>。</w:t>
      </w:r>
    </w:p>
    <w:p w:rsidR="002A5A5E" w:rsidRPr="00F9522B" w:rsidRDefault="00611CBA">
      <w:pPr>
        <w:contextualSpacing/>
        <w:jc w:val="center"/>
        <w:rPr>
          <w:rFonts w:eastAsiaTheme="minorEastAsia"/>
          <w:kern w:val="0"/>
          <w:szCs w:val="21"/>
        </w:rPr>
      </w:pPr>
      <w:r w:rsidRPr="00F9522B">
        <w:rPr>
          <w:rFonts w:eastAsiaTheme="minorEastAsia"/>
          <w:b/>
          <w:kern w:val="0"/>
          <w:szCs w:val="21"/>
        </w:rPr>
        <w:t>表</w:t>
      </w:r>
      <w:r w:rsidRPr="00F9522B">
        <w:rPr>
          <w:rFonts w:eastAsiaTheme="minorEastAsia"/>
          <w:b/>
          <w:kern w:val="0"/>
          <w:szCs w:val="21"/>
        </w:rPr>
        <w:t>3-1-17</w:t>
      </w:r>
      <w:r w:rsidRPr="00F9522B">
        <w:rPr>
          <w:rFonts w:eastAsiaTheme="minorEastAsia"/>
          <w:b/>
          <w:kern w:val="0"/>
          <w:szCs w:val="21"/>
        </w:rPr>
        <w:t>工程永久土地利用及变化情况</w:t>
      </w:r>
      <w:r w:rsidRPr="00F9522B">
        <w:rPr>
          <w:rFonts w:eastAsiaTheme="minorEastAsia"/>
          <w:b/>
          <w:kern w:val="0"/>
          <w:szCs w:val="21"/>
        </w:rPr>
        <w:t xml:space="preserve">  </w:t>
      </w:r>
    </w:p>
    <w:tbl>
      <w:tblPr>
        <w:tblW w:w="7879" w:type="dxa"/>
        <w:jc w:val="center"/>
        <w:tblBorders>
          <w:top w:val="single" w:sz="12" w:space="0" w:color="auto"/>
          <w:bottom w:val="single" w:sz="12" w:space="0" w:color="auto"/>
          <w:insideH w:val="single" w:sz="4" w:space="0" w:color="auto"/>
          <w:insideV w:val="single" w:sz="4" w:space="0" w:color="auto"/>
        </w:tblBorders>
        <w:tblLayout w:type="fixed"/>
        <w:tblLook w:val="04A0"/>
      </w:tblPr>
      <w:tblGrid>
        <w:gridCol w:w="1308"/>
        <w:gridCol w:w="1314"/>
        <w:gridCol w:w="1701"/>
        <w:gridCol w:w="1985"/>
        <w:gridCol w:w="1571"/>
      </w:tblGrid>
      <w:tr w:rsidR="002A5A5E" w:rsidRPr="00F9522B">
        <w:trPr>
          <w:trHeight w:val="672"/>
          <w:tblHeader/>
          <w:jc w:val="center"/>
        </w:trPr>
        <w:tc>
          <w:tcPr>
            <w:tcW w:w="1308" w:type="dxa"/>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工程</w:t>
            </w:r>
          </w:p>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内容</w:t>
            </w:r>
          </w:p>
        </w:tc>
        <w:tc>
          <w:tcPr>
            <w:tcW w:w="1314" w:type="dxa"/>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占地</w:t>
            </w:r>
          </w:p>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现状</w:t>
            </w:r>
          </w:p>
        </w:tc>
        <w:tc>
          <w:tcPr>
            <w:tcW w:w="1701" w:type="dxa"/>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占地面积（</w:t>
            </w:r>
            <w:r w:rsidRPr="00F9522B">
              <w:rPr>
                <w:rFonts w:eastAsiaTheme="minorEastAsia"/>
                <w:kern w:val="0"/>
                <w:szCs w:val="21"/>
              </w:rPr>
              <w:t>m</w:t>
            </w:r>
            <w:r w:rsidRPr="00F9522B">
              <w:rPr>
                <w:rFonts w:eastAsiaTheme="minorEastAsia"/>
                <w:kern w:val="0"/>
                <w:szCs w:val="21"/>
                <w:vertAlign w:val="superscript"/>
              </w:rPr>
              <w:t>2</w:t>
            </w:r>
            <w:r w:rsidRPr="00F9522B">
              <w:rPr>
                <w:rFonts w:eastAsiaTheme="minorEastAsia"/>
                <w:kern w:val="0"/>
                <w:szCs w:val="21"/>
              </w:rPr>
              <w:t>）</w:t>
            </w:r>
          </w:p>
        </w:tc>
        <w:tc>
          <w:tcPr>
            <w:tcW w:w="1985" w:type="dxa"/>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技术指标</w:t>
            </w:r>
          </w:p>
        </w:tc>
        <w:tc>
          <w:tcPr>
            <w:tcW w:w="1571" w:type="dxa"/>
            <w:vAlign w:val="center"/>
          </w:tcPr>
          <w:p w:rsidR="002A5A5E" w:rsidRPr="00F9522B" w:rsidRDefault="00611CBA">
            <w:pPr>
              <w:jc w:val="center"/>
              <w:textAlignment w:val="center"/>
              <w:rPr>
                <w:rFonts w:eastAsiaTheme="minorEastAsia"/>
                <w:kern w:val="0"/>
                <w:szCs w:val="21"/>
              </w:rPr>
            </w:pPr>
            <w:r w:rsidRPr="00F9522B">
              <w:rPr>
                <w:rFonts w:eastAsiaTheme="minorEastAsia"/>
                <w:kern w:val="0"/>
                <w:szCs w:val="21"/>
              </w:rPr>
              <w:t>项目建设后土地类型</w:t>
            </w:r>
          </w:p>
        </w:tc>
      </w:tr>
      <w:tr w:rsidR="002A5A5E" w:rsidRPr="00F9522B">
        <w:trPr>
          <w:trHeight w:val="340"/>
          <w:jc w:val="center"/>
        </w:trPr>
        <w:tc>
          <w:tcPr>
            <w:tcW w:w="1308" w:type="dxa"/>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田间道路</w:t>
            </w:r>
          </w:p>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工程</w:t>
            </w:r>
          </w:p>
        </w:tc>
        <w:tc>
          <w:tcPr>
            <w:tcW w:w="1314" w:type="dxa"/>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交通运输用地</w:t>
            </w:r>
          </w:p>
        </w:tc>
        <w:tc>
          <w:tcPr>
            <w:tcW w:w="1701" w:type="dxa"/>
            <w:vAlign w:val="center"/>
          </w:tcPr>
          <w:p w:rsidR="002A5A5E" w:rsidRPr="00F9522B" w:rsidRDefault="001302DD">
            <w:pPr>
              <w:widowControl/>
              <w:jc w:val="center"/>
              <w:textAlignment w:val="center"/>
              <w:rPr>
                <w:rFonts w:eastAsiaTheme="minorEastAsia"/>
                <w:kern w:val="0"/>
                <w:szCs w:val="21"/>
              </w:rPr>
            </w:pPr>
            <w:r w:rsidRPr="00F9522B">
              <w:rPr>
                <w:rFonts w:eastAsiaTheme="minorEastAsia"/>
                <w:kern w:val="0"/>
                <w:szCs w:val="21"/>
              </w:rPr>
              <w:t>1694000</w:t>
            </w:r>
          </w:p>
        </w:tc>
        <w:tc>
          <w:tcPr>
            <w:tcW w:w="1985" w:type="dxa"/>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道路宽度</w:t>
            </w:r>
            <w:r w:rsidRPr="00F9522B">
              <w:rPr>
                <w:rFonts w:eastAsiaTheme="minorEastAsia"/>
                <w:kern w:val="0"/>
                <w:szCs w:val="21"/>
              </w:rPr>
              <w:t>×</w:t>
            </w:r>
            <w:r w:rsidRPr="00F9522B">
              <w:rPr>
                <w:rFonts w:eastAsiaTheme="minorEastAsia"/>
                <w:kern w:val="0"/>
                <w:szCs w:val="21"/>
              </w:rPr>
              <w:t>长度</w:t>
            </w:r>
          </w:p>
        </w:tc>
        <w:tc>
          <w:tcPr>
            <w:tcW w:w="1571" w:type="dxa"/>
            <w:vAlign w:val="center"/>
          </w:tcPr>
          <w:p w:rsidR="002A5A5E" w:rsidRPr="00F9522B" w:rsidRDefault="00611CBA" w:rsidP="009555CD">
            <w:pPr>
              <w:widowControl/>
              <w:jc w:val="center"/>
              <w:textAlignment w:val="center"/>
              <w:rPr>
                <w:rFonts w:eastAsiaTheme="minorEastAsia"/>
                <w:kern w:val="0"/>
                <w:szCs w:val="21"/>
              </w:rPr>
            </w:pPr>
            <w:r w:rsidRPr="00F9522B">
              <w:rPr>
                <w:rFonts w:eastAsiaTheme="minorEastAsia"/>
                <w:kern w:val="0"/>
                <w:szCs w:val="21"/>
              </w:rPr>
              <w:t>交通运输用地</w:t>
            </w:r>
          </w:p>
        </w:tc>
      </w:tr>
      <w:tr w:rsidR="002A5A5E" w:rsidRPr="00F9522B">
        <w:trPr>
          <w:trHeight w:val="754"/>
          <w:jc w:val="center"/>
        </w:trPr>
        <w:tc>
          <w:tcPr>
            <w:tcW w:w="1308" w:type="dxa"/>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灌溉井</w:t>
            </w:r>
          </w:p>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工程</w:t>
            </w:r>
          </w:p>
        </w:tc>
        <w:tc>
          <w:tcPr>
            <w:tcW w:w="1314" w:type="dxa"/>
            <w:vAlign w:val="center"/>
          </w:tcPr>
          <w:p w:rsidR="002A5A5E" w:rsidRPr="00F9522B" w:rsidRDefault="009555CD">
            <w:pPr>
              <w:widowControl/>
              <w:jc w:val="center"/>
              <w:textAlignment w:val="center"/>
              <w:rPr>
                <w:rFonts w:eastAsiaTheme="minorEastAsia"/>
                <w:color w:val="FF0000"/>
                <w:kern w:val="0"/>
                <w:szCs w:val="21"/>
              </w:rPr>
            </w:pPr>
            <w:r w:rsidRPr="00F9522B">
              <w:rPr>
                <w:rFonts w:eastAsiaTheme="minorEastAsia"/>
                <w:color w:val="FF0000"/>
                <w:kern w:val="0"/>
                <w:szCs w:val="21"/>
              </w:rPr>
              <w:t>草地</w:t>
            </w:r>
          </w:p>
        </w:tc>
        <w:tc>
          <w:tcPr>
            <w:tcW w:w="1701" w:type="dxa"/>
            <w:vAlign w:val="center"/>
          </w:tcPr>
          <w:p w:rsidR="002A5A5E" w:rsidRPr="00F9522B" w:rsidRDefault="009D0AD9">
            <w:pPr>
              <w:widowControl/>
              <w:jc w:val="center"/>
              <w:textAlignment w:val="center"/>
              <w:rPr>
                <w:rFonts w:eastAsiaTheme="minorEastAsia"/>
                <w:kern w:val="0"/>
                <w:szCs w:val="21"/>
              </w:rPr>
            </w:pPr>
            <w:r w:rsidRPr="00F9522B">
              <w:rPr>
                <w:rFonts w:eastAsiaTheme="minorEastAsia"/>
                <w:kern w:val="0"/>
                <w:szCs w:val="21"/>
              </w:rPr>
              <w:t>2076</w:t>
            </w:r>
            <w:r w:rsidR="00611CBA" w:rsidRPr="00F9522B">
              <w:rPr>
                <w:rFonts w:eastAsiaTheme="minorEastAsia"/>
                <w:kern w:val="0"/>
                <w:szCs w:val="21"/>
              </w:rPr>
              <w:t>（新增）</w:t>
            </w:r>
          </w:p>
        </w:tc>
        <w:tc>
          <w:tcPr>
            <w:tcW w:w="1985" w:type="dxa"/>
            <w:vAlign w:val="center"/>
          </w:tcPr>
          <w:p w:rsidR="002A5A5E" w:rsidRPr="00F9522B" w:rsidRDefault="001302DD" w:rsidP="001302DD">
            <w:pPr>
              <w:widowControl/>
              <w:jc w:val="center"/>
              <w:textAlignment w:val="center"/>
              <w:rPr>
                <w:rFonts w:eastAsiaTheme="minorEastAsia"/>
                <w:kern w:val="0"/>
                <w:szCs w:val="21"/>
              </w:rPr>
            </w:pPr>
            <w:r w:rsidRPr="00F9522B">
              <w:rPr>
                <w:rFonts w:eastAsiaTheme="minorEastAsia"/>
                <w:kern w:val="0"/>
                <w:szCs w:val="21"/>
              </w:rPr>
              <w:t>194</w:t>
            </w:r>
            <w:r w:rsidR="00611CBA" w:rsidRPr="00F9522B">
              <w:rPr>
                <w:rFonts w:eastAsiaTheme="minorEastAsia"/>
                <w:kern w:val="0"/>
                <w:szCs w:val="21"/>
              </w:rPr>
              <w:t>眼抗旱井井房占地面积为</w:t>
            </w:r>
            <w:r w:rsidR="00611CBA" w:rsidRPr="00F9522B">
              <w:rPr>
                <w:rFonts w:eastAsiaTheme="minorEastAsia"/>
                <w:kern w:val="0"/>
                <w:szCs w:val="21"/>
              </w:rPr>
              <w:t>2.04m</w:t>
            </w:r>
            <w:r w:rsidR="00611CBA" w:rsidRPr="00F9522B">
              <w:rPr>
                <w:rFonts w:eastAsiaTheme="minorEastAsia"/>
                <w:kern w:val="0"/>
                <w:szCs w:val="21"/>
                <w:vertAlign w:val="superscript"/>
              </w:rPr>
              <w:t>2</w:t>
            </w:r>
            <w:r w:rsidR="00611CBA" w:rsidRPr="00F9522B">
              <w:rPr>
                <w:rFonts w:eastAsiaTheme="minorEastAsia"/>
                <w:kern w:val="0"/>
                <w:szCs w:val="21"/>
              </w:rPr>
              <w:t>。其余</w:t>
            </w:r>
            <w:r w:rsidRPr="00F9522B">
              <w:rPr>
                <w:rFonts w:eastAsiaTheme="minorEastAsia"/>
                <w:kern w:val="0"/>
                <w:szCs w:val="21"/>
              </w:rPr>
              <w:t>70</w:t>
            </w:r>
            <w:r w:rsidR="00611CBA" w:rsidRPr="00F9522B">
              <w:rPr>
                <w:rFonts w:eastAsiaTheme="minorEastAsia"/>
                <w:kern w:val="0"/>
                <w:szCs w:val="21"/>
              </w:rPr>
              <w:t>眼水肥一体水源井井房占地面积</w:t>
            </w:r>
            <w:r w:rsidR="00611CBA" w:rsidRPr="00F9522B">
              <w:rPr>
                <w:rFonts w:eastAsiaTheme="minorEastAsia"/>
                <w:kern w:val="0"/>
                <w:szCs w:val="21"/>
              </w:rPr>
              <w:t>2</w:t>
            </w:r>
            <w:r w:rsidRPr="00F9522B">
              <w:rPr>
                <w:rFonts w:eastAsiaTheme="minorEastAsia"/>
                <w:kern w:val="0"/>
                <w:szCs w:val="21"/>
              </w:rPr>
              <w:t>4</w:t>
            </w:r>
            <w:r w:rsidR="00611CBA" w:rsidRPr="00F9522B">
              <w:rPr>
                <w:rFonts w:eastAsiaTheme="minorEastAsia"/>
                <w:kern w:val="0"/>
                <w:szCs w:val="21"/>
              </w:rPr>
              <w:t>m</w:t>
            </w:r>
            <w:r w:rsidR="00611CBA" w:rsidRPr="00F9522B">
              <w:rPr>
                <w:rFonts w:eastAsiaTheme="minorEastAsia"/>
                <w:kern w:val="0"/>
                <w:szCs w:val="21"/>
                <w:vertAlign w:val="superscript"/>
              </w:rPr>
              <w:t>2</w:t>
            </w:r>
          </w:p>
        </w:tc>
        <w:tc>
          <w:tcPr>
            <w:tcW w:w="1571" w:type="dxa"/>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bCs/>
                <w:kern w:val="0"/>
                <w:szCs w:val="21"/>
              </w:rPr>
              <w:t>水利设施用地</w:t>
            </w:r>
          </w:p>
        </w:tc>
      </w:tr>
      <w:tr w:rsidR="002A5A5E" w:rsidRPr="00F9522B">
        <w:trPr>
          <w:trHeight w:val="449"/>
          <w:jc w:val="center"/>
        </w:trPr>
        <w:tc>
          <w:tcPr>
            <w:tcW w:w="1308" w:type="dxa"/>
            <w:vMerge w:val="restart"/>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bCs/>
                <w:kern w:val="0"/>
                <w:szCs w:val="21"/>
              </w:rPr>
              <w:t>灌溉渠道工程、</w:t>
            </w:r>
            <w:r w:rsidRPr="00F9522B">
              <w:rPr>
                <w:rFonts w:eastAsiaTheme="minorEastAsia"/>
                <w:kern w:val="0"/>
                <w:szCs w:val="21"/>
              </w:rPr>
              <w:t>排水工程、建筑物工程</w:t>
            </w:r>
          </w:p>
        </w:tc>
        <w:tc>
          <w:tcPr>
            <w:tcW w:w="1314" w:type="dxa"/>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bCs/>
                <w:kern w:val="0"/>
                <w:szCs w:val="21"/>
              </w:rPr>
              <w:t>水利设施用地</w:t>
            </w:r>
          </w:p>
        </w:tc>
        <w:tc>
          <w:tcPr>
            <w:tcW w:w="1701" w:type="dxa"/>
            <w:vAlign w:val="center"/>
          </w:tcPr>
          <w:p w:rsidR="002A5A5E" w:rsidRPr="00F9522B" w:rsidRDefault="00592BCE" w:rsidP="00592BCE">
            <w:pPr>
              <w:widowControl/>
              <w:jc w:val="center"/>
              <w:textAlignment w:val="center"/>
              <w:rPr>
                <w:rFonts w:eastAsiaTheme="minorEastAsia"/>
                <w:kern w:val="0"/>
                <w:szCs w:val="21"/>
              </w:rPr>
            </w:pPr>
            <w:r w:rsidRPr="00F9522B">
              <w:rPr>
                <w:rFonts w:eastAsiaTheme="minorEastAsia"/>
                <w:kern w:val="0"/>
                <w:szCs w:val="21"/>
              </w:rPr>
              <w:t>226500</w:t>
            </w:r>
            <w:r w:rsidR="00611CBA" w:rsidRPr="00F9522B">
              <w:rPr>
                <w:rFonts w:eastAsiaTheme="minorEastAsia"/>
                <w:kern w:val="0"/>
                <w:szCs w:val="21"/>
              </w:rPr>
              <w:t>（其中新增</w:t>
            </w:r>
            <w:r w:rsidRPr="00F9522B">
              <w:rPr>
                <w:rFonts w:eastAsiaTheme="minorEastAsia"/>
                <w:kern w:val="0"/>
                <w:szCs w:val="21"/>
              </w:rPr>
              <w:t>14500</w:t>
            </w:r>
            <w:r w:rsidR="00611CBA" w:rsidRPr="00F9522B">
              <w:rPr>
                <w:rFonts w:eastAsiaTheme="minorEastAsia"/>
                <w:kern w:val="0"/>
                <w:szCs w:val="21"/>
              </w:rPr>
              <w:t>）</w:t>
            </w:r>
          </w:p>
        </w:tc>
        <w:tc>
          <w:tcPr>
            <w:tcW w:w="1985" w:type="dxa"/>
            <w:vMerge w:val="restart"/>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w:t>
            </w:r>
          </w:p>
        </w:tc>
        <w:tc>
          <w:tcPr>
            <w:tcW w:w="1571" w:type="dxa"/>
            <w:vMerge w:val="restart"/>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bCs/>
                <w:kern w:val="0"/>
                <w:szCs w:val="21"/>
              </w:rPr>
              <w:t>水利设施用地</w:t>
            </w:r>
          </w:p>
        </w:tc>
      </w:tr>
      <w:tr w:rsidR="002A5A5E" w:rsidRPr="00F9522B">
        <w:trPr>
          <w:trHeight w:val="449"/>
          <w:jc w:val="center"/>
        </w:trPr>
        <w:tc>
          <w:tcPr>
            <w:tcW w:w="1308" w:type="dxa"/>
            <w:vMerge/>
            <w:vAlign w:val="center"/>
          </w:tcPr>
          <w:p w:rsidR="002A5A5E" w:rsidRPr="00F9522B" w:rsidRDefault="002A5A5E">
            <w:pPr>
              <w:widowControl/>
              <w:jc w:val="center"/>
              <w:textAlignment w:val="center"/>
              <w:rPr>
                <w:rFonts w:eastAsiaTheme="minorEastAsia"/>
                <w:kern w:val="0"/>
                <w:szCs w:val="21"/>
              </w:rPr>
            </w:pPr>
          </w:p>
        </w:tc>
        <w:tc>
          <w:tcPr>
            <w:tcW w:w="1314" w:type="dxa"/>
            <w:vAlign w:val="center"/>
          </w:tcPr>
          <w:p w:rsidR="002A5A5E" w:rsidRPr="00F9522B" w:rsidRDefault="00611CBA">
            <w:pPr>
              <w:widowControl/>
              <w:jc w:val="center"/>
              <w:textAlignment w:val="center"/>
              <w:rPr>
                <w:rFonts w:eastAsiaTheme="minorEastAsia"/>
                <w:bCs/>
                <w:kern w:val="0"/>
                <w:szCs w:val="21"/>
              </w:rPr>
            </w:pPr>
            <w:r w:rsidRPr="00F9522B">
              <w:rPr>
                <w:rFonts w:eastAsiaTheme="minorEastAsia"/>
                <w:bCs/>
                <w:kern w:val="0"/>
                <w:szCs w:val="21"/>
              </w:rPr>
              <w:t>坑塘水面</w:t>
            </w:r>
          </w:p>
        </w:tc>
        <w:tc>
          <w:tcPr>
            <w:tcW w:w="1701" w:type="dxa"/>
            <w:vAlign w:val="center"/>
          </w:tcPr>
          <w:p w:rsidR="002A5A5E" w:rsidRPr="00F9522B" w:rsidRDefault="00196336">
            <w:pPr>
              <w:widowControl/>
              <w:jc w:val="center"/>
              <w:textAlignment w:val="center"/>
              <w:rPr>
                <w:rFonts w:eastAsiaTheme="minorEastAsia"/>
                <w:kern w:val="0"/>
                <w:szCs w:val="21"/>
              </w:rPr>
            </w:pPr>
            <w:r w:rsidRPr="00F9522B">
              <w:rPr>
                <w:rFonts w:eastAsiaTheme="minorEastAsia"/>
                <w:kern w:val="0"/>
                <w:szCs w:val="21"/>
              </w:rPr>
              <w:t>2</w:t>
            </w:r>
            <w:r w:rsidR="00611CBA" w:rsidRPr="00F9522B">
              <w:rPr>
                <w:rFonts w:eastAsiaTheme="minorEastAsia"/>
                <w:kern w:val="0"/>
                <w:szCs w:val="21"/>
              </w:rPr>
              <w:t>2500</w:t>
            </w:r>
            <w:r w:rsidR="00611CBA" w:rsidRPr="00F9522B">
              <w:rPr>
                <w:rFonts w:eastAsiaTheme="minorEastAsia"/>
                <w:kern w:val="0"/>
                <w:szCs w:val="21"/>
              </w:rPr>
              <w:t>（新增）</w:t>
            </w:r>
          </w:p>
        </w:tc>
        <w:tc>
          <w:tcPr>
            <w:tcW w:w="1985" w:type="dxa"/>
            <w:vMerge/>
            <w:vAlign w:val="center"/>
          </w:tcPr>
          <w:p w:rsidR="002A5A5E" w:rsidRPr="00F9522B" w:rsidRDefault="002A5A5E">
            <w:pPr>
              <w:widowControl/>
              <w:jc w:val="center"/>
              <w:textAlignment w:val="center"/>
              <w:rPr>
                <w:rFonts w:eastAsiaTheme="minorEastAsia"/>
                <w:kern w:val="0"/>
                <w:szCs w:val="21"/>
              </w:rPr>
            </w:pPr>
          </w:p>
        </w:tc>
        <w:tc>
          <w:tcPr>
            <w:tcW w:w="1571" w:type="dxa"/>
            <w:vMerge/>
            <w:vAlign w:val="center"/>
          </w:tcPr>
          <w:p w:rsidR="002A5A5E" w:rsidRPr="00F9522B" w:rsidRDefault="002A5A5E">
            <w:pPr>
              <w:widowControl/>
              <w:jc w:val="center"/>
              <w:textAlignment w:val="center"/>
              <w:rPr>
                <w:rFonts w:eastAsiaTheme="minorEastAsia"/>
                <w:bCs/>
                <w:kern w:val="0"/>
                <w:szCs w:val="21"/>
              </w:rPr>
            </w:pPr>
          </w:p>
        </w:tc>
      </w:tr>
      <w:tr w:rsidR="009555CD" w:rsidRPr="00F9522B" w:rsidTr="009555CD">
        <w:trPr>
          <w:trHeight w:val="491"/>
          <w:jc w:val="center"/>
        </w:trPr>
        <w:tc>
          <w:tcPr>
            <w:tcW w:w="1308" w:type="dxa"/>
            <w:vMerge/>
            <w:vAlign w:val="center"/>
          </w:tcPr>
          <w:p w:rsidR="009555CD" w:rsidRPr="00F9522B" w:rsidRDefault="009555CD">
            <w:pPr>
              <w:widowControl/>
              <w:jc w:val="center"/>
              <w:textAlignment w:val="center"/>
              <w:rPr>
                <w:rFonts w:eastAsiaTheme="minorEastAsia"/>
                <w:kern w:val="0"/>
                <w:szCs w:val="21"/>
              </w:rPr>
            </w:pPr>
          </w:p>
        </w:tc>
        <w:tc>
          <w:tcPr>
            <w:tcW w:w="1314" w:type="dxa"/>
            <w:vAlign w:val="center"/>
          </w:tcPr>
          <w:p w:rsidR="009555CD" w:rsidRPr="00F9522B" w:rsidRDefault="009555CD">
            <w:pPr>
              <w:widowControl/>
              <w:jc w:val="center"/>
              <w:textAlignment w:val="center"/>
              <w:rPr>
                <w:rFonts w:eastAsiaTheme="minorEastAsia"/>
                <w:bCs/>
                <w:color w:val="FF0000"/>
                <w:kern w:val="0"/>
                <w:szCs w:val="21"/>
              </w:rPr>
            </w:pPr>
            <w:r w:rsidRPr="00F9522B">
              <w:rPr>
                <w:rFonts w:eastAsiaTheme="minorEastAsia"/>
                <w:bCs/>
                <w:color w:val="FF0000"/>
                <w:kern w:val="0"/>
                <w:szCs w:val="21"/>
              </w:rPr>
              <w:t>草地</w:t>
            </w:r>
          </w:p>
        </w:tc>
        <w:tc>
          <w:tcPr>
            <w:tcW w:w="1701" w:type="dxa"/>
            <w:vAlign w:val="center"/>
          </w:tcPr>
          <w:p w:rsidR="009555CD" w:rsidRPr="00F9522B" w:rsidRDefault="009555CD">
            <w:pPr>
              <w:widowControl/>
              <w:jc w:val="center"/>
              <w:textAlignment w:val="center"/>
              <w:rPr>
                <w:rFonts w:eastAsiaTheme="minorEastAsia"/>
                <w:color w:val="FF0000"/>
                <w:kern w:val="0"/>
                <w:szCs w:val="21"/>
              </w:rPr>
            </w:pPr>
            <w:r w:rsidRPr="00F9522B">
              <w:rPr>
                <w:rFonts w:eastAsiaTheme="minorEastAsia"/>
                <w:color w:val="FF0000"/>
                <w:kern w:val="0"/>
                <w:szCs w:val="21"/>
              </w:rPr>
              <w:t>6500</w:t>
            </w:r>
            <w:r w:rsidRPr="00F9522B">
              <w:rPr>
                <w:rFonts w:eastAsiaTheme="minorEastAsia"/>
                <w:color w:val="FF0000"/>
                <w:kern w:val="0"/>
                <w:szCs w:val="21"/>
              </w:rPr>
              <w:t>（新增）</w:t>
            </w:r>
          </w:p>
        </w:tc>
        <w:tc>
          <w:tcPr>
            <w:tcW w:w="1985" w:type="dxa"/>
            <w:vMerge/>
            <w:vAlign w:val="center"/>
          </w:tcPr>
          <w:p w:rsidR="009555CD" w:rsidRPr="00F9522B" w:rsidRDefault="009555CD">
            <w:pPr>
              <w:widowControl/>
              <w:jc w:val="center"/>
              <w:textAlignment w:val="center"/>
              <w:rPr>
                <w:rFonts w:eastAsiaTheme="minorEastAsia"/>
                <w:kern w:val="0"/>
                <w:szCs w:val="21"/>
              </w:rPr>
            </w:pPr>
          </w:p>
        </w:tc>
        <w:tc>
          <w:tcPr>
            <w:tcW w:w="1571" w:type="dxa"/>
            <w:vMerge/>
            <w:vAlign w:val="center"/>
          </w:tcPr>
          <w:p w:rsidR="009555CD" w:rsidRPr="00F9522B" w:rsidRDefault="009555CD">
            <w:pPr>
              <w:widowControl/>
              <w:jc w:val="center"/>
              <w:textAlignment w:val="center"/>
              <w:rPr>
                <w:rFonts w:eastAsiaTheme="minorEastAsia"/>
                <w:bCs/>
                <w:kern w:val="0"/>
                <w:szCs w:val="21"/>
              </w:rPr>
            </w:pPr>
          </w:p>
        </w:tc>
      </w:tr>
      <w:tr w:rsidR="006509EE" w:rsidRPr="00F9522B">
        <w:trPr>
          <w:trHeight w:val="580"/>
          <w:jc w:val="center"/>
        </w:trPr>
        <w:tc>
          <w:tcPr>
            <w:tcW w:w="1308" w:type="dxa"/>
            <w:vMerge w:val="restart"/>
            <w:vAlign w:val="center"/>
          </w:tcPr>
          <w:p w:rsidR="006509EE" w:rsidRPr="00F9522B" w:rsidRDefault="006509EE">
            <w:pPr>
              <w:widowControl/>
              <w:jc w:val="center"/>
              <w:textAlignment w:val="center"/>
              <w:rPr>
                <w:rFonts w:eastAsiaTheme="minorEastAsia"/>
                <w:kern w:val="0"/>
                <w:szCs w:val="21"/>
              </w:rPr>
            </w:pPr>
            <w:r w:rsidRPr="00F9522B">
              <w:rPr>
                <w:rFonts w:eastAsiaTheme="minorEastAsia"/>
                <w:kern w:val="0"/>
                <w:szCs w:val="21"/>
              </w:rPr>
              <w:t>田块整治工程</w:t>
            </w:r>
          </w:p>
        </w:tc>
        <w:tc>
          <w:tcPr>
            <w:tcW w:w="1314" w:type="dxa"/>
            <w:vMerge w:val="restart"/>
            <w:vAlign w:val="center"/>
          </w:tcPr>
          <w:p w:rsidR="006509EE" w:rsidRPr="00F9522B" w:rsidRDefault="006509EE">
            <w:pPr>
              <w:widowControl/>
              <w:jc w:val="center"/>
              <w:textAlignment w:val="center"/>
              <w:rPr>
                <w:rFonts w:eastAsiaTheme="minorEastAsia"/>
                <w:kern w:val="0"/>
                <w:szCs w:val="21"/>
              </w:rPr>
            </w:pPr>
            <w:r w:rsidRPr="00F9522B">
              <w:rPr>
                <w:rFonts w:eastAsiaTheme="minorEastAsia"/>
                <w:kern w:val="0"/>
                <w:szCs w:val="21"/>
              </w:rPr>
              <w:t>旱地</w:t>
            </w:r>
          </w:p>
        </w:tc>
        <w:tc>
          <w:tcPr>
            <w:tcW w:w="1701" w:type="dxa"/>
            <w:vAlign w:val="center"/>
          </w:tcPr>
          <w:p w:rsidR="006509EE" w:rsidRPr="00F9522B" w:rsidRDefault="00A61277">
            <w:pPr>
              <w:widowControl/>
              <w:jc w:val="center"/>
              <w:textAlignment w:val="center"/>
              <w:rPr>
                <w:rFonts w:eastAsiaTheme="minorEastAsia"/>
                <w:kern w:val="0"/>
                <w:szCs w:val="21"/>
              </w:rPr>
            </w:pPr>
            <w:r w:rsidRPr="00F9522B">
              <w:rPr>
                <w:rFonts w:eastAsiaTheme="minorEastAsia"/>
                <w:kern w:val="0"/>
                <w:szCs w:val="21"/>
              </w:rPr>
              <w:t>899959</w:t>
            </w:r>
          </w:p>
        </w:tc>
        <w:tc>
          <w:tcPr>
            <w:tcW w:w="1985" w:type="dxa"/>
            <w:vAlign w:val="center"/>
          </w:tcPr>
          <w:p w:rsidR="006509EE" w:rsidRPr="00F9522B" w:rsidRDefault="006509EE" w:rsidP="006509EE">
            <w:pPr>
              <w:widowControl/>
              <w:jc w:val="center"/>
              <w:textAlignment w:val="center"/>
              <w:rPr>
                <w:rFonts w:eastAsiaTheme="minorEastAsia"/>
                <w:kern w:val="0"/>
                <w:szCs w:val="21"/>
              </w:rPr>
            </w:pPr>
            <w:r w:rsidRPr="00F9522B">
              <w:rPr>
                <w:rFonts w:eastAsiaTheme="minorEastAsia"/>
                <w:bCs/>
                <w:kern w:val="0"/>
                <w:szCs w:val="21"/>
              </w:rPr>
              <w:t>旱地田块平整</w:t>
            </w:r>
            <w:r w:rsidRPr="00F9522B">
              <w:rPr>
                <w:rFonts w:eastAsiaTheme="minorEastAsia"/>
                <w:bCs/>
                <w:kern w:val="0"/>
                <w:szCs w:val="21"/>
              </w:rPr>
              <w:t>1351.29</w:t>
            </w:r>
            <w:r w:rsidRPr="00F9522B">
              <w:rPr>
                <w:rFonts w:eastAsiaTheme="minorEastAsia"/>
                <w:bCs/>
                <w:kern w:val="0"/>
                <w:szCs w:val="21"/>
              </w:rPr>
              <w:t>亩</w:t>
            </w:r>
          </w:p>
        </w:tc>
        <w:tc>
          <w:tcPr>
            <w:tcW w:w="1571" w:type="dxa"/>
            <w:vMerge w:val="restart"/>
            <w:vAlign w:val="center"/>
          </w:tcPr>
          <w:p w:rsidR="006509EE" w:rsidRPr="00F9522B" w:rsidRDefault="006509EE">
            <w:pPr>
              <w:widowControl/>
              <w:jc w:val="center"/>
              <w:textAlignment w:val="center"/>
              <w:rPr>
                <w:rFonts w:eastAsiaTheme="minorEastAsia"/>
                <w:kern w:val="0"/>
                <w:szCs w:val="21"/>
              </w:rPr>
            </w:pPr>
            <w:r w:rsidRPr="00F9522B">
              <w:rPr>
                <w:rFonts w:eastAsiaTheme="minorEastAsia"/>
                <w:kern w:val="0"/>
                <w:szCs w:val="21"/>
              </w:rPr>
              <w:t>旱地</w:t>
            </w:r>
          </w:p>
        </w:tc>
      </w:tr>
      <w:tr w:rsidR="006509EE" w:rsidRPr="00F9522B">
        <w:trPr>
          <w:trHeight w:val="580"/>
          <w:jc w:val="center"/>
        </w:trPr>
        <w:tc>
          <w:tcPr>
            <w:tcW w:w="1308" w:type="dxa"/>
            <w:vMerge/>
            <w:vAlign w:val="center"/>
          </w:tcPr>
          <w:p w:rsidR="006509EE" w:rsidRPr="00F9522B" w:rsidRDefault="006509EE">
            <w:pPr>
              <w:widowControl/>
              <w:jc w:val="center"/>
              <w:textAlignment w:val="center"/>
              <w:rPr>
                <w:rFonts w:eastAsiaTheme="minorEastAsia"/>
                <w:kern w:val="0"/>
                <w:szCs w:val="21"/>
              </w:rPr>
            </w:pPr>
          </w:p>
        </w:tc>
        <w:tc>
          <w:tcPr>
            <w:tcW w:w="1314" w:type="dxa"/>
            <w:vMerge/>
            <w:vAlign w:val="center"/>
          </w:tcPr>
          <w:p w:rsidR="006509EE" w:rsidRPr="00F9522B" w:rsidRDefault="006509EE">
            <w:pPr>
              <w:widowControl/>
              <w:jc w:val="center"/>
              <w:textAlignment w:val="center"/>
              <w:rPr>
                <w:rFonts w:eastAsiaTheme="minorEastAsia"/>
                <w:kern w:val="0"/>
                <w:szCs w:val="21"/>
              </w:rPr>
            </w:pPr>
          </w:p>
        </w:tc>
        <w:tc>
          <w:tcPr>
            <w:tcW w:w="1701" w:type="dxa"/>
            <w:vAlign w:val="center"/>
          </w:tcPr>
          <w:p w:rsidR="006509EE" w:rsidRPr="00F9522B" w:rsidRDefault="00A61277">
            <w:pPr>
              <w:widowControl/>
              <w:jc w:val="center"/>
              <w:textAlignment w:val="center"/>
              <w:rPr>
                <w:rFonts w:eastAsiaTheme="minorEastAsia"/>
                <w:kern w:val="0"/>
                <w:szCs w:val="21"/>
              </w:rPr>
            </w:pPr>
            <w:r w:rsidRPr="00F9522B">
              <w:rPr>
                <w:rFonts w:eastAsiaTheme="minorEastAsia"/>
                <w:kern w:val="0"/>
                <w:szCs w:val="21"/>
              </w:rPr>
              <w:t>1105500</w:t>
            </w:r>
          </w:p>
        </w:tc>
        <w:tc>
          <w:tcPr>
            <w:tcW w:w="1985" w:type="dxa"/>
            <w:vAlign w:val="center"/>
          </w:tcPr>
          <w:p w:rsidR="006509EE" w:rsidRPr="00F9522B" w:rsidRDefault="006509EE" w:rsidP="006509EE">
            <w:pPr>
              <w:widowControl/>
              <w:jc w:val="center"/>
              <w:textAlignment w:val="center"/>
              <w:rPr>
                <w:rFonts w:eastAsiaTheme="minorEastAsia"/>
                <w:kern w:val="0"/>
                <w:szCs w:val="21"/>
              </w:rPr>
            </w:pPr>
            <w:r w:rsidRPr="00F9522B">
              <w:rPr>
                <w:rFonts w:eastAsiaTheme="minorEastAsia"/>
                <w:bCs/>
                <w:kern w:val="0"/>
                <w:szCs w:val="21"/>
              </w:rPr>
              <w:t>客土回填面积</w:t>
            </w:r>
            <w:r w:rsidRPr="00F9522B">
              <w:rPr>
                <w:rFonts w:eastAsiaTheme="minorEastAsia"/>
                <w:bCs/>
                <w:kern w:val="0"/>
                <w:szCs w:val="21"/>
              </w:rPr>
              <w:t>1659.91</w:t>
            </w:r>
            <w:r w:rsidRPr="00F9522B">
              <w:rPr>
                <w:rFonts w:eastAsiaTheme="minorEastAsia"/>
                <w:bCs/>
                <w:kern w:val="0"/>
                <w:szCs w:val="21"/>
              </w:rPr>
              <w:t>亩</w:t>
            </w:r>
          </w:p>
        </w:tc>
        <w:tc>
          <w:tcPr>
            <w:tcW w:w="1571" w:type="dxa"/>
            <w:vMerge/>
            <w:vAlign w:val="center"/>
          </w:tcPr>
          <w:p w:rsidR="006509EE" w:rsidRPr="00F9522B" w:rsidRDefault="006509EE">
            <w:pPr>
              <w:widowControl/>
              <w:jc w:val="center"/>
              <w:textAlignment w:val="center"/>
              <w:rPr>
                <w:rFonts w:eastAsiaTheme="minorEastAsia"/>
                <w:kern w:val="0"/>
                <w:szCs w:val="21"/>
              </w:rPr>
            </w:pPr>
          </w:p>
        </w:tc>
      </w:tr>
      <w:tr w:rsidR="006509EE" w:rsidRPr="00F9522B">
        <w:trPr>
          <w:trHeight w:val="580"/>
          <w:jc w:val="center"/>
        </w:trPr>
        <w:tc>
          <w:tcPr>
            <w:tcW w:w="1308" w:type="dxa"/>
            <w:vMerge/>
            <w:vAlign w:val="center"/>
          </w:tcPr>
          <w:p w:rsidR="006509EE" w:rsidRPr="00F9522B" w:rsidRDefault="006509EE">
            <w:pPr>
              <w:widowControl/>
              <w:jc w:val="center"/>
              <w:textAlignment w:val="center"/>
              <w:rPr>
                <w:rFonts w:eastAsiaTheme="minorEastAsia"/>
                <w:kern w:val="0"/>
                <w:szCs w:val="21"/>
              </w:rPr>
            </w:pPr>
          </w:p>
        </w:tc>
        <w:tc>
          <w:tcPr>
            <w:tcW w:w="1314" w:type="dxa"/>
            <w:vMerge/>
            <w:vAlign w:val="center"/>
          </w:tcPr>
          <w:p w:rsidR="006509EE" w:rsidRPr="00F9522B" w:rsidRDefault="006509EE">
            <w:pPr>
              <w:widowControl/>
              <w:jc w:val="center"/>
              <w:textAlignment w:val="center"/>
              <w:rPr>
                <w:rFonts w:eastAsiaTheme="minorEastAsia"/>
                <w:kern w:val="0"/>
                <w:szCs w:val="21"/>
              </w:rPr>
            </w:pPr>
          </w:p>
        </w:tc>
        <w:tc>
          <w:tcPr>
            <w:tcW w:w="1701" w:type="dxa"/>
            <w:vAlign w:val="center"/>
          </w:tcPr>
          <w:p w:rsidR="006509EE" w:rsidRPr="00F9522B" w:rsidRDefault="00A61277">
            <w:pPr>
              <w:widowControl/>
              <w:jc w:val="center"/>
              <w:textAlignment w:val="center"/>
              <w:rPr>
                <w:rFonts w:eastAsiaTheme="minorEastAsia"/>
                <w:kern w:val="0"/>
                <w:szCs w:val="21"/>
              </w:rPr>
            </w:pPr>
            <w:r w:rsidRPr="00F9522B">
              <w:rPr>
                <w:rFonts w:eastAsiaTheme="minorEastAsia"/>
                <w:kern w:val="0"/>
                <w:szCs w:val="21"/>
              </w:rPr>
              <w:t>31893408</w:t>
            </w:r>
          </w:p>
        </w:tc>
        <w:tc>
          <w:tcPr>
            <w:tcW w:w="1985" w:type="dxa"/>
            <w:vAlign w:val="center"/>
          </w:tcPr>
          <w:p w:rsidR="006509EE" w:rsidRPr="00F9522B" w:rsidRDefault="006509EE" w:rsidP="006509EE">
            <w:pPr>
              <w:widowControl/>
              <w:jc w:val="center"/>
              <w:textAlignment w:val="center"/>
              <w:rPr>
                <w:rFonts w:eastAsiaTheme="minorEastAsia"/>
                <w:bCs/>
                <w:kern w:val="0"/>
                <w:szCs w:val="21"/>
              </w:rPr>
            </w:pPr>
            <w:r w:rsidRPr="00F9522B">
              <w:rPr>
                <w:rFonts w:eastAsiaTheme="minorEastAsia"/>
                <w:bCs/>
                <w:kern w:val="0"/>
                <w:szCs w:val="21"/>
              </w:rPr>
              <w:t>旱田障碍土层消除</w:t>
            </w:r>
            <w:r w:rsidRPr="00F9522B">
              <w:rPr>
                <w:rFonts w:eastAsiaTheme="minorEastAsia"/>
                <w:bCs/>
                <w:kern w:val="0"/>
                <w:szCs w:val="21"/>
              </w:rPr>
              <w:t>47888</w:t>
            </w:r>
            <w:r w:rsidRPr="00F9522B">
              <w:rPr>
                <w:rFonts w:eastAsiaTheme="minorEastAsia"/>
                <w:bCs/>
                <w:kern w:val="0"/>
                <w:szCs w:val="21"/>
              </w:rPr>
              <w:t>亩</w:t>
            </w:r>
          </w:p>
        </w:tc>
        <w:tc>
          <w:tcPr>
            <w:tcW w:w="1571" w:type="dxa"/>
            <w:vMerge/>
            <w:vAlign w:val="center"/>
          </w:tcPr>
          <w:p w:rsidR="006509EE" w:rsidRPr="00F9522B" w:rsidRDefault="006509EE">
            <w:pPr>
              <w:widowControl/>
              <w:jc w:val="center"/>
              <w:textAlignment w:val="center"/>
              <w:rPr>
                <w:rFonts w:eastAsiaTheme="minorEastAsia"/>
                <w:kern w:val="0"/>
                <w:szCs w:val="21"/>
              </w:rPr>
            </w:pPr>
          </w:p>
        </w:tc>
      </w:tr>
      <w:tr w:rsidR="002A5A5E" w:rsidRPr="00F9522B">
        <w:trPr>
          <w:trHeight w:val="579"/>
          <w:jc w:val="center"/>
        </w:trPr>
        <w:tc>
          <w:tcPr>
            <w:tcW w:w="1308" w:type="dxa"/>
            <w:vMerge/>
            <w:vAlign w:val="center"/>
          </w:tcPr>
          <w:p w:rsidR="002A5A5E" w:rsidRPr="00F9522B" w:rsidRDefault="002A5A5E">
            <w:pPr>
              <w:widowControl/>
              <w:jc w:val="center"/>
              <w:textAlignment w:val="center"/>
              <w:rPr>
                <w:rFonts w:eastAsiaTheme="minorEastAsia"/>
                <w:kern w:val="0"/>
                <w:szCs w:val="21"/>
              </w:rPr>
            </w:pPr>
          </w:p>
        </w:tc>
        <w:tc>
          <w:tcPr>
            <w:tcW w:w="1314" w:type="dxa"/>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水田</w:t>
            </w:r>
          </w:p>
        </w:tc>
        <w:tc>
          <w:tcPr>
            <w:tcW w:w="1701" w:type="dxa"/>
            <w:vAlign w:val="center"/>
          </w:tcPr>
          <w:p w:rsidR="002A5A5E" w:rsidRPr="00F9522B" w:rsidRDefault="00A61277">
            <w:pPr>
              <w:widowControl/>
              <w:jc w:val="center"/>
              <w:textAlignment w:val="center"/>
              <w:rPr>
                <w:rFonts w:eastAsiaTheme="minorEastAsia"/>
                <w:kern w:val="0"/>
                <w:szCs w:val="21"/>
              </w:rPr>
            </w:pPr>
            <w:r w:rsidRPr="00F9522B">
              <w:rPr>
                <w:rFonts w:eastAsiaTheme="minorEastAsia"/>
                <w:kern w:val="0"/>
                <w:szCs w:val="21"/>
              </w:rPr>
              <w:t>285641</w:t>
            </w:r>
          </w:p>
        </w:tc>
        <w:tc>
          <w:tcPr>
            <w:tcW w:w="1985" w:type="dxa"/>
            <w:vAlign w:val="center"/>
          </w:tcPr>
          <w:p w:rsidR="002A5A5E" w:rsidRPr="00F9522B" w:rsidRDefault="00611CBA" w:rsidP="006509EE">
            <w:pPr>
              <w:widowControl/>
              <w:jc w:val="center"/>
              <w:textAlignment w:val="center"/>
              <w:rPr>
                <w:rFonts w:eastAsiaTheme="minorEastAsia"/>
                <w:kern w:val="0"/>
                <w:szCs w:val="21"/>
              </w:rPr>
            </w:pPr>
            <w:r w:rsidRPr="00F9522B">
              <w:rPr>
                <w:rFonts w:eastAsiaTheme="minorEastAsia"/>
                <w:bCs/>
                <w:kern w:val="0"/>
                <w:szCs w:val="21"/>
              </w:rPr>
              <w:t>水田方格田改造</w:t>
            </w:r>
            <w:r w:rsidR="006509EE" w:rsidRPr="00F9522B">
              <w:rPr>
                <w:rFonts w:eastAsiaTheme="minorEastAsia"/>
                <w:bCs/>
                <w:kern w:val="0"/>
                <w:szCs w:val="21"/>
              </w:rPr>
              <w:t>428.89</w:t>
            </w:r>
            <w:r w:rsidRPr="00F9522B">
              <w:rPr>
                <w:rFonts w:eastAsiaTheme="minorEastAsia"/>
                <w:bCs/>
                <w:kern w:val="0"/>
                <w:szCs w:val="21"/>
              </w:rPr>
              <w:t>亩</w:t>
            </w:r>
          </w:p>
        </w:tc>
        <w:tc>
          <w:tcPr>
            <w:tcW w:w="1571" w:type="dxa"/>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水田</w:t>
            </w:r>
          </w:p>
        </w:tc>
      </w:tr>
      <w:tr w:rsidR="002A5A5E" w:rsidRPr="00F9522B">
        <w:trPr>
          <w:trHeight w:val="90"/>
          <w:jc w:val="center"/>
        </w:trPr>
        <w:tc>
          <w:tcPr>
            <w:tcW w:w="1308" w:type="dxa"/>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bCs/>
                <w:kern w:val="0"/>
                <w:szCs w:val="21"/>
              </w:rPr>
              <w:t>农田输配电</w:t>
            </w:r>
            <w:r w:rsidRPr="00F9522B">
              <w:rPr>
                <w:rFonts w:eastAsiaTheme="minorEastAsia"/>
                <w:kern w:val="0"/>
                <w:szCs w:val="21"/>
              </w:rPr>
              <w:lastRenderedPageBreak/>
              <w:t>工程</w:t>
            </w:r>
          </w:p>
        </w:tc>
        <w:tc>
          <w:tcPr>
            <w:tcW w:w="1314" w:type="dxa"/>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bCs/>
                <w:kern w:val="0"/>
                <w:szCs w:val="21"/>
              </w:rPr>
              <w:lastRenderedPageBreak/>
              <w:t>草地</w:t>
            </w:r>
          </w:p>
        </w:tc>
        <w:tc>
          <w:tcPr>
            <w:tcW w:w="1701" w:type="dxa"/>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684</w:t>
            </w:r>
            <w:r w:rsidRPr="00F9522B">
              <w:rPr>
                <w:rFonts w:eastAsiaTheme="minorEastAsia"/>
                <w:kern w:val="0"/>
                <w:szCs w:val="21"/>
              </w:rPr>
              <w:t>（新增）</w:t>
            </w:r>
          </w:p>
        </w:tc>
        <w:tc>
          <w:tcPr>
            <w:tcW w:w="1985" w:type="dxa"/>
            <w:vAlign w:val="center"/>
          </w:tcPr>
          <w:p w:rsidR="002A5A5E" w:rsidRPr="00F9522B" w:rsidRDefault="00611CBA" w:rsidP="006509EE">
            <w:pPr>
              <w:widowControl/>
              <w:jc w:val="center"/>
              <w:textAlignment w:val="center"/>
              <w:rPr>
                <w:rFonts w:eastAsiaTheme="minorEastAsia"/>
                <w:kern w:val="0"/>
                <w:szCs w:val="21"/>
              </w:rPr>
            </w:pPr>
            <w:r w:rsidRPr="00F9522B">
              <w:rPr>
                <w:rFonts w:eastAsiaTheme="minorEastAsia"/>
                <w:kern w:val="0"/>
                <w:szCs w:val="21"/>
              </w:rPr>
              <w:t>共设置</w:t>
            </w:r>
            <w:r w:rsidRPr="00F9522B">
              <w:rPr>
                <w:rFonts w:eastAsiaTheme="minorEastAsia"/>
                <w:kern w:val="0"/>
                <w:szCs w:val="21"/>
              </w:rPr>
              <w:t>136</w:t>
            </w:r>
            <w:r w:rsidR="006509EE" w:rsidRPr="00F9522B">
              <w:rPr>
                <w:rFonts w:eastAsiaTheme="minorEastAsia"/>
                <w:kern w:val="0"/>
                <w:szCs w:val="21"/>
              </w:rPr>
              <w:t>8</w:t>
            </w:r>
            <w:r w:rsidRPr="00F9522B">
              <w:rPr>
                <w:rFonts w:eastAsiaTheme="minorEastAsia"/>
                <w:kern w:val="0"/>
                <w:szCs w:val="21"/>
              </w:rPr>
              <w:t>根水泥</w:t>
            </w:r>
            <w:r w:rsidRPr="00F9522B">
              <w:rPr>
                <w:rFonts w:eastAsiaTheme="minorEastAsia"/>
                <w:kern w:val="0"/>
                <w:szCs w:val="21"/>
              </w:rPr>
              <w:lastRenderedPageBreak/>
              <w:t>电杆，每根占地约</w:t>
            </w:r>
            <w:r w:rsidRPr="00F9522B">
              <w:rPr>
                <w:rFonts w:eastAsiaTheme="minorEastAsia"/>
                <w:kern w:val="0"/>
                <w:szCs w:val="21"/>
              </w:rPr>
              <w:t>0.5m</w:t>
            </w:r>
            <w:r w:rsidRPr="00F9522B">
              <w:rPr>
                <w:rFonts w:eastAsiaTheme="minorEastAsia"/>
                <w:kern w:val="0"/>
                <w:szCs w:val="21"/>
                <w:vertAlign w:val="superscript"/>
              </w:rPr>
              <w:t>2</w:t>
            </w:r>
          </w:p>
        </w:tc>
        <w:tc>
          <w:tcPr>
            <w:tcW w:w="1571" w:type="dxa"/>
            <w:vAlign w:val="center"/>
          </w:tcPr>
          <w:p w:rsidR="002A5A5E" w:rsidRPr="00F9522B" w:rsidRDefault="00611CBA">
            <w:pPr>
              <w:jc w:val="center"/>
              <w:rPr>
                <w:rFonts w:eastAsiaTheme="minorEastAsia"/>
                <w:szCs w:val="21"/>
              </w:rPr>
            </w:pPr>
            <w:r w:rsidRPr="00F9522B">
              <w:rPr>
                <w:rFonts w:eastAsiaTheme="minorEastAsia"/>
                <w:kern w:val="0"/>
                <w:szCs w:val="21"/>
              </w:rPr>
              <w:lastRenderedPageBreak/>
              <w:t>公用设施用地</w:t>
            </w:r>
          </w:p>
        </w:tc>
      </w:tr>
      <w:tr w:rsidR="002A5A5E" w:rsidRPr="00F9522B">
        <w:trPr>
          <w:trHeight w:val="340"/>
          <w:jc w:val="center"/>
        </w:trPr>
        <w:tc>
          <w:tcPr>
            <w:tcW w:w="2622" w:type="dxa"/>
            <w:gridSpan w:val="2"/>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lastRenderedPageBreak/>
              <w:t>小计</w:t>
            </w:r>
          </w:p>
        </w:tc>
        <w:tc>
          <w:tcPr>
            <w:tcW w:w="1701" w:type="dxa"/>
            <w:vAlign w:val="center"/>
          </w:tcPr>
          <w:p w:rsidR="002A5A5E" w:rsidRPr="00F9522B" w:rsidRDefault="00E268F3">
            <w:pPr>
              <w:widowControl/>
              <w:jc w:val="center"/>
              <w:textAlignment w:val="center"/>
              <w:rPr>
                <w:rFonts w:eastAsiaTheme="minorEastAsia"/>
                <w:kern w:val="0"/>
                <w:szCs w:val="21"/>
              </w:rPr>
            </w:pPr>
            <w:r w:rsidRPr="00F9522B">
              <w:rPr>
                <w:rFonts w:eastAsiaTheme="minorEastAsia"/>
                <w:kern w:val="0"/>
                <w:szCs w:val="21"/>
              </w:rPr>
              <w:t>36136768</w:t>
            </w:r>
          </w:p>
        </w:tc>
        <w:tc>
          <w:tcPr>
            <w:tcW w:w="1985" w:type="dxa"/>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w:t>
            </w:r>
          </w:p>
        </w:tc>
        <w:tc>
          <w:tcPr>
            <w:tcW w:w="1571" w:type="dxa"/>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w:t>
            </w:r>
          </w:p>
        </w:tc>
      </w:tr>
    </w:tbl>
    <w:p w:rsidR="002A5A5E" w:rsidRPr="00F9522B" w:rsidRDefault="00611CBA">
      <w:pPr>
        <w:rPr>
          <w:rFonts w:eastAsiaTheme="minorEastAsia"/>
          <w:kern w:val="0"/>
          <w:szCs w:val="21"/>
        </w:rPr>
      </w:pPr>
      <w:r w:rsidRPr="00F9522B">
        <w:rPr>
          <w:rFonts w:eastAsiaTheme="minorEastAsia"/>
          <w:kern w:val="0"/>
          <w:szCs w:val="21"/>
        </w:rPr>
        <w:t>注：本项目占地范围内包括一般农田，由于项目属于农业生产设施配套服务项目，项目建设后抗旱效果明显，新建灌溉井及建筑物呈点状分布，单个占</w:t>
      </w:r>
      <w:r w:rsidR="00772BB1" w:rsidRPr="00F9522B">
        <w:rPr>
          <w:rFonts w:eastAsiaTheme="minorEastAsia"/>
          <w:kern w:val="0"/>
          <w:szCs w:val="21"/>
        </w:rPr>
        <w:t>地面积较小，不涉及补偿问题</w:t>
      </w:r>
    </w:p>
    <w:p w:rsidR="002A5A5E" w:rsidRPr="00F9522B" w:rsidRDefault="00611CBA">
      <w:pPr>
        <w:spacing w:line="360" w:lineRule="auto"/>
        <w:ind w:firstLineChars="200" w:firstLine="480"/>
        <w:rPr>
          <w:rFonts w:eastAsiaTheme="minorEastAsia"/>
          <w:kern w:val="0"/>
          <w:sz w:val="24"/>
          <w:szCs w:val="20"/>
        </w:rPr>
      </w:pPr>
      <w:r w:rsidRPr="00F9522B">
        <w:rPr>
          <w:rFonts w:eastAsiaTheme="minorEastAsia"/>
          <w:kern w:val="0"/>
          <w:sz w:val="24"/>
          <w:szCs w:val="20"/>
        </w:rPr>
        <w:t>（</w:t>
      </w:r>
      <w:r w:rsidRPr="00F9522B">
        <w:rPr>
          <w:rFonts w:eastAsiaTheme="minorEastAsia"/>
          <w:kern w:val="0"/>
          <w:sz w:val="24"/>
          <w:szCs w:val="20"/>
        </w:rPr>
        <w:t>2</w:t>
      </w:r>
      <w:r w:rsidRPr="00F9522B">
        <w:rPr>
          <w:rFonts w:eastAsiaTheme="minorEastAsia"/>
          <w:kern w:val="0"/>
          <w:sz w:val="24"/>
          <w:szCs w:val="20"/>
        </w:rPr>
        <w:t>）临时占地</w:t>
      </w:r>
    </w:p>
    <w:p w:rsidR="002A5A5E" w:rsidRPr="00F9522B" w:rsidRDefault="00611CBA">
      <w:pPr>
        <w:spacing w:line="360" w:lineRule="auto"/>
        <w:ind w:firstLineChars="200" w:firstLine="480"/>
        <w:rPr>
          <w:rFonts w:eastAsiaTheme="minorEastAsia"/>
          <w:kern w:val="0"/>
          <w:sz w:val="24"/>
          <w:szCs w:val="20"/>
        </w:rPr>
      </w:pPr>
      <w:r w:rsidRPr="00F9522B">
        <w:rPr>
          <w:rFonts w:eastAsiaTheme="minorEastAsia"/>
          <w:snapToGrid w:val="0"/>
          <w:kern w:val="0"/>
          <w:sz w:val="24"/>
        </w:rPr>
        <w:t>本项目田间道路工程在现有道路基础上修建，</w:t>
      </w:r>
      <w:r w:rsidR="00D61453" w:rsidRPr="00F9522B">
        <w:rPr>
          <w:rFonts w:eastAsiaTheme="minorEastAsia"/>
          <w:snapToGrid w:val="0"/>
          <w:kern w:val="0"/>
          <w:sz w:val="24"/>
        </w:rPr>
        <w:t>现有灌溉渠道衬砌，现有排水沟清淤，不新增临时占地；田块整治工程</w:t>
      </w:r>
      <w:r w:rsidRPr="00F9522B">
        <w:rPr>
          <w:rFonts w:eastAsiaTheme="minorEastAsia"/>
          <w:bCs/>
          <w:snapToGrid w:val="0"/>
          <w:kern w:val="0"/>
          <w:sz w:val="24"/>
        </w:rPr>
        <w:t>在永久占地范围内</w:t>
      </w:r>
      <w:r w:rsidRPr="00F9522B">
        <w:rPr>
          <w:rFonts w:eastAsiaTheme="minorEastAsia"/>
          <w:snapToGrid w:val="0"/>
          <w:kern w:val="0"/>
          <w:sz w:val="24"/>
        </w:rPr>
        <w:t>，不新增临时占地；</w:t>
      </w:r>
      <w:r w:rsidRPr="00AA4603">
        <w:rPr>
          <w:rFonts w:eastAsiaTheme="minorEastAsia"/>
          <w:color w:val="FF0000"/>
          <w:kern w:val="0"/>
          <w:sz w:val="24"/>
          <w:szCs w:val="20"/>
        </w:rPr>
        <w:t>本项目临时占用共</w:t>
      </w:r>
      <w:r w:rsidR="00AA4603" w:rsidRPr="00AA4603">
        <w:rPr>
          <w:rFonts w:eastAsiaTheme="minorEastAsia"/>
          <w:color w:val="FF0000"/>
          <w:kern w:val="0"/>
          <w:sz w:val="24"/>
          <w:szCs w:val="20"/>
        </w:rPr>
        <w:t>294140</w:t>
      </w:r>
      <w:r w:rsidRPr="00AA4603">
        <w:rPr>
          <w:rFonts w:eastAsiaTheme="minorEastAsia"/>
          <w:color w:val="FF0000"/>
          <w:kern w:val="0"/>
          <w:sz w:val="24"/>
          <w:szCs w:val="20"/>
        </w:rPr>
        <w:t>m</w:t>
      </w:r>
      <w:r w:rsidRPr="00AA4603">
        <w:rPr>
          <w:rFonts w:eastAsiaTheme="minorEastAsia"/>
          <w:color w:val="FF0000"/>
          <w:kern w:val="0"/>
          <w:sz w:val="24"/>
          <w:szCs w:val="20"/>
          <w:vertAlign w:val="superscript"/>
        </w:rPr>
        <w:t>2</w:t>
      </w:r>
      <w:r w:rsidRPr="00AA4603">
        <w:rPr>
          <w:rFonts w:eastAsiaTheme="minorEastAsia"/>
          <w:color w:val="FF0000"/>
          <w:kern w:val="0"/>
          <w:sz w:val="24"/>
          <w:szCs w:val="20"/>
        </w:rPr>
        <w:t>。</w:t>
      </w:r>
    </w:p>
    <w:p w:rsidR="002A5A5E" w:rsidRPr="00F9522B" w:rsidRDefault="005273A1">
      <w:pPr>
        <w:spacing w:line="360" w:lineRule="auto"/>
        <w:ind w:firstLineChars="200" w:firstLine="480"/>
        <w:rPr>
          <w:rFonts w:eastAsiaTheme="minorEastAsia"/>
          <w:sz w:val="24"/>
        </w:rPr>
      </w:pPr>
      <w:r w:rsidRPr="00F9522B">
        <w:rPr>
          <w:rFonts w:eastAsiaTheme="minorEastAsia"/>
          <w:sz w:val="24"/>
        </w:rPr>
        <w:fldChar w:fldCharType="begin"/>
      </w:r>
      <w:r w:rsidR="00611CBA" w:rsidRPr="00F9522B">
        <w:rPr>
          <w:rFonts w:eastAsiaTheme="minorEastAsia"/>
          <w:sz w:val="24"/>
        </w:rPr>
        <w:instrText>= 1 \* GB3</w:instrText>
      </w:r>
      <w:r w:rsidRPr="00F9522B">
        <w:rPr>
          <w:rFonts w:eastAsiaTheme="minorEastAsia"/>
          <w:sz w:val="24"/>
        </w:rPr>
        <w:fldChar w:fldCharType="separate"/>
      </w:r>
      <w:r w:rsidR="00611CBA" w:rsidRPr="00F9522B">
        <w:rPr>
          <w:rFonts w:ascii="宋体" w:hAnsi="宋体" w:cs="宋体" w:hint="eastAsia"/>
          <w:sz w:val="24"/>
        </w:rPr>
        <w:t>①</w:t>
      </w:r>
      <w:r w:rsidRPr="00F9522B">
        <w:rPr>
          <w:rFonts w:eastAsiaTheme="minorEastAsia"/>
          <w:sz w:val="24"/>
        </w:rPr>
        <w:fldChar w:fldCharType="end"/>
      </w:r>
      <w:r w:rsidR="00611CBA" w:rsidRPr="00F9522B">
        <w:rPr>
          <w:rFonts w:eastAsiaTheme="minorEastAsia"/>
          <w:sz w:val="24"/>
        </w:rPr>
        <w:t>机电井工程每口设置</w:t>
      </w:r>
      <w:r w:rsidR="00611CBA" w:rsidRPr="00F9522B">
        <w:rPr>
          <w:rFonts w:eastAsiaTheme="minorEastAsia"/>
          <w:sz w:val="24"/>
        </w:rPr>
        <w:t>1</w:t>
      </w:r>
      <w:r w:rsidR="00611CBA" w:rsidRPr="00F9522B">
        <w:rPr>
          <w:rFonts w:eastAsiaTheme="minorEastAsia"/>
          <w:sz w:val="24"/>
        </w:rPr>
        <w:t>处</w:t>
      </w:r>
      <w:r w:rsidR="00611CBA" w:rsidRPr="00F9522B">
        <w:rPr>
          <w:rFonts w:eastAsiaTheme="minorEastAsia"/>
          <w:sz w:val="24"/>
        </w:rPr>
        <w:t>20m</w:t>
      </w:r>
      <w:r w:rsidR="00611CBA" w:rsidRPr="00F9522B">
        <w:rPr>
          <w:rFonts w:eastAsiaTheme="minorEastAsia"/>
          <w:sz w:val="24"/>
          <w:vertAlign w:val="superscript"/>
        </w:rPr>
        <w:t>2</w:t>
      </w:r>
      <w:r w:rsidR="00611CBA" w:rsidRPr="00F9522B">
        <w:rPr>
          <w:rFonts w:eastAsiaTheme="minorEastAsia"/>
          <w:sz w:val="24"/>
        </w:rPr>
        <w:t>临时占地，占地类型为旱地，共</w:t>
      </w:r>
      <w:r w:rsidR="00592BCE" w:rsidRPr="00F9522B">
        <w:rPr>
          <w:rFonts w:eastAsiaTheme="minorEastAsia"/>
          <w:sz w:val="24"/>
        </w:rPr>
        <w:t>5280</w:t>
      </w:r>
      <w:r w:rsidR="00611CBA" w:rsidRPr="00F9522B">
        <w:rPr>
          <w:rFonts w:eastAsiaTheme="minorEastAsia"/>
          <w:sz w:val="24"/>
        </w:rPr>
        <w:t>m</w:t>
      </w:r>
      <w:r w:rsidR="00611CBA" w:rsidRPr="00F9522B">
        <w:rPr>
          <w:rFonts w:eastAsiaTheme="minorEastAsia"/>
          <w:sz w:val="24"/>
          <w:vertAlign w:val="superscript"/>
        </w:rPr>
        <w:t>2</w:t>
      </w:r>
      <w:r w:rsidR="00611CBA" w:rsidRPr="00F9522B">
        <w:rPr>
          <w:rFonts w:eastAsiaTheme="minorEastAsia"/>
          <w:sz w:val="24"/>
        </w:rPr>
        <w:t>；灌溉井工程运输机械进入施工场地过程中占用少量农田，作为临时道路（宽约</w:t>
      </w:r>
      <w:r w:rsidR="00611CBA" w:rsidRPr="00F9522B">
        <w:rPr>
          <w:rFonts w:eastAsiaTheme="minorEastAsia"/>
          <w:sz w:val="24"/>
        </w:rPr>
        <w:t>2m</w:t>
      </w:r>
      <w:r w:rsidR="00611CBA" w:rsidRPr="00F9522B">
        <w:rPr>
          <w:rFonts w:eastAsiaTheme="minorEastAsia"/>
          <w:sz w:val="24"/>
        </w:rPr>
        <w:t>，临时占地共约</w:t>
      </w:r>
      <w:r w:rsidR="00E61664" w:rsidRPr="00F9522B">
        <w:rPr>
          <w:rFonts w:eastAsiaTheme="minorEastAsia"/>
          <w:sz w:val="24"/>
        </w:rPr>
        <w:t>264</w:t>
      </w:r>
      <w:r w:rsidR="00611CBA" w:rsidRPr="00F9522B">
        <w:rPr>
          <w:rFonts w:eastAsiaTheme="minorEastAsia"/>
          <w:sz w:val="24"/>
        </w:rPr>
        <w:t>0m</w:t>
      </w:r>
      <w:r w:rsidR="00611CBA" w:rsidRPr="00F9522B">
        <w:rPr>
          <w:rFonts w:eastAsiaTheme="minorEastAsia"/>
          <w:sz w:val="24"/>
          <w:vertAlign w:val="superscript"/>
        </w:rPr>
        <w:t>2</w:t>
      </w:r>
      <w:r w:rsidR="00611CBA" w:rsidRPr="00F9522B">
        <w:rPr>
          <w:rFonts w:eastAsiaTheme="minorEastAsia"/>
          <w:sz w:val="24"/>
        </w:rPr>
        <w:t>）；</w:t>
      </w:r>
      <w:r w:rsidR="00611CBA" w:rsidRPr="00F9522B">
        <w:rPr>
          <w:rFonts w:eastAsiaTheme="minorEastAsia"/>
          <w:snapToGrid w:val="0"/>
          <w:kern w:val="0"/>
          <w:sz w:val="24"/>
        </w:rPr>
        <w:t>涵洞等建筑物工程每座设置</w:t>
      </w:r>
      <w:r w:rsidR="00611CBA" w:rsidRPr="00F9522B">
        <w:rPr>
          <w:rFonts w:eastAsiaTheme="minorEastAsia"/>
          <w:snapToGrid w:val="0"/>
          <w:kern w:val="0"/>
          <w:sz w:val="24"/>
        </w:rPr>
        <w:t>1</w:t>
      </w:r>
      <w:r w:rsidR="00611CBA" w:rsidRPr="00F9522B">
        <w:rPr>
          <w:rFonts w:eastAsiaTheme="minorEastAsia"/>
          <w:snapToGrid w:val="0"/>
          <w:kern w:val="0"/>
          <w:sz w:val="24"/>
        </w:rPr>
        <w:t>处</w:t>
      </w:r>
      <w:r w:rsidR="00611CBA" w:rsidRPr="00F9522B">
        <w:rPr>
          <w:rFonts w:eastAsiaTheme="minorEastAsia"/>
          <w:snapToGrid w:val="0"/>
          <w:kern w:val="0"/>
          <w:sz w:val="24"/>
        </w:rPr>
        <w:t>20m</w:t>
      </w:r>
      <w:r w:rsidR="00611CBA" w:rsidRPr="00F9522B">
        <w:rPr>
          <w:rFonts w:eastAsiaTheme="minorEastAsia"/>
          <w:snapToGrid w:val="0"/>
          <w:kern w:val="0"/>
          <w:sz w:val="24"/>
          <w:vertAlign w:val="superscript"/>
        </w:rPr>
        <w:t>2</w:t>
      </w:r>
      <w:r w:rsidR="00611CBA" w:rsidRPr="00F9522B">
        <w:rPr>
          <w:rFonts w:eastAsiaTheme="minorEastAsia"/>
          <w:snapToGrid w:val="0"/>
          <w:kern w:val="0"/>
          <w:sz w:val="24"/>
        </w:rPr>
        <w:t>临时占地，共</w:t>
      </w:r>
      <w:r w:rsidR="00E61664" w:rsidRPr="00F9522B">
        <w:rPr>
          <w:rFonts w:eastAsiaTheme="minorEastAsia"/>
          <w:snapToGrid w:val="0"/>
          <w:kern w:val="0"/>
          <w:sz w:val="24"/>
        </w:rPr>
        <w:t>29000</w:t>
      </w:r>
      <w:r w:rsidR="00611CBA" w:rsidRPr="00F9522B">
        <w:rPr>
          <w:rFonts w:eastAsiaTheme="minorEastAsia"/>
          <w:snapToGrid w:val="0"/>
          <w:kern w:val="0"/>
          <w:sz w:val="24"/>
        </w:rPr>
        <w:t>m</w:t>
      </w:r>
      <w:r w:rsidR="00611CBA" w:rsidRPr="00F9522B">
        <w:rPr>
          <w:rFonts w:eastAsiaTheme="minorEastAsia"/>
          <w:snapToGrid w:val="0"/>
          <w:kern w:val="0"/>
          <w:sz w:val="24"/>
          <w:vertAlign w:val="superscript"/>
        </w:rPr>
        <w:t>2</w:t>
      </w:r>
      <w:r w:rsidR="00611CBA" w:rsidRPr="00F9522B">
        <w:rPr>
          <w:rFonts w:eastAsiaTheme="minorEastAsia"/>
          <w:sz w:val="24"/>
        </w:rPr>
        <w:t>，占地类型为草地</w:t>
      </w:r>
      <w:r w:rsidR="00611CBA" w:rsidRPr="00F9522B">
        <w:rPr>
          <w:rFonts w:eastAsiaTheme="minorEastAsia"/>
          <w:sz w:val="24"/>
        </w:rPr>
        <w:t>1</w:t>
      </w:r>
      <w:r w:rsidR="00E61664" w:rsidRPr="00F9522B">
        <w:rPr>
          <w:rFonts w:eastAsiaTheme="minorEastAsia"/>
          <w:sz w:val="24"/>
        </w:rPr>
        <w:t>8</w:t>
      </w:r>
      <w:r w:rsidR="00611CBA" w:rsidRPr="00F9522B">
        <w:rPr>
          <w:rFonts w:eastAsiaTheme="minorEastAsia"/>
          <w:sz w:val="24"/>
        </w:rPr>
        <w:t>500</w:t>
      </w:r>
      <w:r w:rsidR="00611CBA" w:rsidRPr="00F9522B">
        <w:rPr>
          <w:rFonts w:eastAsiaTheme="minorEastAsia"/>
          <w:snapToGrid w:val="0"/>
          <w:kern w:val="0"/>
          <w:sz w:val="24"/>
        </w:rPr>
        <w:t>m</w:t>
      </w:r>
      <w:r w:rsidR="00611CBA" w:rsidRPr="00F9522B">
        <w:rPr>
          <w:rFonts w:eastAsiaTheme="minorEastAsia"/>
          <w:snapToGrid w:val="0"/>
          <w:kern w:val="0"/>
          <w:sz w:val="24"/>
          <w:vertAlign w:val="superscript"/>
        </w:rPr>
        <w:t>2</w:t>
      </w:r>
      <w:r w:rsidR="00611CBA" w:rsidRPr="00F9522B">
        <w:rPr>
          <w:rFonts w:eastAsiaTheme="minorEastAsia"/>
          <w:sz w:val="24"/>
        </w:rPr>
        <w:t>、旱地</w:t>
      </w:r>
      <w:r w:rsidR="00611CBA" w:rsidRPr="00F9522B">
        <w:rPr>
          <w:rFonts w:eastAsiaTheme="minorEastAsia"/>
          <w:snapToGrid w:val="0"/>
          <w:kern w:val="0"/>
          <w:sz w:val="24"/>
        </w:rPr>
        <w:t>1</w:t>
      </w:r>
      <w:r w:rsidR="00E61664" w:rsidRPr="00F9522B">
        <w:rPr>
          <w:rFonts w:eastAsiaTheme="minorEastAsia"/>
          <w:snapToGrid w:val="0"/>
          <w:kern w:val="0"/>
          <w:sz w:val="24"/>
        </w:rPr>
        <w:t>0500</w:t>
      </w:r>
      <w:r w:rsidR="00611CBA" w:rsidRPr="00F9522B">
        <w:rPr>
          <w:rFonts w:eastAsiaTheme="minorEastAsia"/>
          <w:snapToGrid w:val="0"/>
          <w:kern w:val="0"/>
          <w:sz w:val="24"/>
        </w:rPr>
        <w:t>m</w:t>
      </w:r>
      <w:r w:rsidR="00611CBA" w:rsidRPr="00F9522B">
        <w:rPr>
          <w:rFonts w:eastAsiaTheme="minorEastAsia"/>
          <w:snapToGrid w:val="0"/>
          <w:kern w:val="0"/>
          <w:sz w:val="24"/>
          <w:vertAlign w:val="superscript"/>
        </w:rPr>
        <w:t>2</w:t>
      </w:r>
      <w:r w:rsidR="00611CBA" w:rsidRPr="00F9522B">
        <w:rPr>
          <w:rFonts w:eastAsiaTheme="minorEastAsia"/>
          <w:sz w:val="24"/>
        </w:rPr>
        <w:t>。</w:t>
      </w:r>
    </w:p>
    <w:p w:rsidR="002A5A5E" w:rsidRPr="00F9522B" w:rsidRDefault="005273A1">
      <w:pPr>
        <w:spacing w:line="360" w:lineRule="auto"/>
        <w:ind w:firstLineChars="200" w:firstLine="480"/>
        <w:rPr>
          <w:rFonts w:eastAsiaTheme="minorEastAsia"/>
          <w:sz w:val="24"/>
        </w:rPr>
      </w:pPr>
      <w:r w:rsidRPr="00F9522B">
        <w:rPr>
          <w:rFonts w:eastAsiaTheme="minorEastAsia"/>
          <w:sz w:val="24"/>
        </w:rPr>
        <w:fldChar w:fldCharType="begin"/>
      </w:r>
      <w:r w:rsidR="00611CBA" w:rsidRPr="00F9522B">
        <w:rPr>
          <w:rFonts w:eastAsiaTheme="minorEastAsia"/>
          <w:sz w:val="24"/>
        </w:rPr>
        <w:instrText>= 2 \* GB3</w:instrText>
      </w:r>
      <w:r w:rsidRPr="00F9522B">
        <w:rPr>
          <w:rFonts w:eastAsiaTheme="minorEastAsia"/>
          <w:sz w:val="24"/>
        </w:rPr>
        <w:fldChar w:fldCharType="separate"/>
      </w:r>
      <w:r w:rsidR="00611CBA" w:rsidRPr="00F9522B">
        <w:rPr>
          <w:rFonts w:ascii="宋体" w:hAnsi="宋体" w:cs="宋体" w:hint="eastAsia"/>
          <w:sz w:val="24"/>
        </w:rPr>
        <w:t>②</w:t>
      </w:r>
      <w:r w:rsidRPr="00F9522B">
        <w:rPr>
          <w:rFonts w:eastAsiaTheme="minorEastAsia"/>
          <w:sz w:val="24"/>
        </w:rPr>
        <w:fldChar w:fldCharType="end"/>
      </w:r>
      <w:r w:rsidR="00611CBA" w:rsidRPr="00F9522B">
        <w:rPr>
          <w:rFonts w:eastAsiaTheme="minorEastAsia"/>
          <w:sz w:val="24"/>
        </w:rPr>
        <w:t>农田输配电工程高压地埋输电线路</w:t>
      </w:r>
      <w:r w:rsidR="00E268F3" w:rsidRPr="00F9522B">
        <w:rPr>
          <w:rFonts w:eastAsiaTheme="minorEastAsia"/>
          <w:sz w:val="24"/>
        </w:rPr>
        <w:t>49.224</w:t>
      </w:r>
      <w:r w:rsidR="00611CBA" w:rsidRPr="00F9522B">
        <w:rPr>
          <w:rFonts w:eastAsiaTheme="minorEastAsia"/>
          <w:sz w:val="24"/>
        </w:rPr>
        <w:t>公里，低压地埋电线路</w:t>
      </w:r>
      <w:r w:rsidR="00E268F3" w:rsidRPr="00F9522B">
        <w:rPr>
          <w:rFonts w:eastAsiaTheme="minorEastAsia"/>
          <w:sz w:val="24"/>
        </w:rPr>
        <w:t>29.676</w:t>
      </w:r>
      <w:r w:rsidR="00611CBA" w:rsidRPr="00F9522B">
        <w:rPr>
          <w:rFonts w:eastAsiaTheme="minorEastAsia"/>
          <w:sz w:val="24"/>
        </w:rPr>
        <w:t>公里，高压、低压电缆开挖宽度为</w:t>
      </w:r>
      <w:r w:rsidR="00611CBA" w:rsidRPr="00F9522B">
        <w:rPr>
          <w:rFonts w:eastAsiaTheme="minorEastAsia"/>
          <w:sz w:val="24"/>
        </w:rPr>
        <w:t>0.5m</w:t>
      </w:r>
      <w:r w:rsidR="00611CBA" w:rsidRPr="00F9522B">
        <w:rPr>
          <w:rFonts w:eastAsiaTheme="minorEastAsia"/>
          <w:sz w:val="24"/>
        </w:rPr>
        <w:t>，</w:t>
      </w:r>
      <w:r w:rsidR="00611CBA" w:rsidRPr="00F9522B">
        <w:rPr>
          <w:rFonts w:eastAsiaTheme="minorEastAsia"/>
          <w:color w:val="FF0000"/>
          <w:sz w:val="24"/>
        </w:rPr>
        <w:t>沿线一侧外扩</w:t>
      </w:r>
      <w:r w:rsidR="00EB3DD0" w:rsidRPr="00F9522B">
        <w:rPr>
          <w:rFonts w:eastAsiaTheme="minorEastAsia"/>
          <w:color w:val="FF0000"/>
          <w:sz w:val="24"/>
        </w:rPr>
        <w:t>3</w:t>
      </w:r>
      <w:r w:rsidR="00611CBA" w:rsidRPr="00F9522B">
        <w:rPr>
          <w:rFonts w:eastAsiaTheme="minorEastAsia"/>
          <w:color w:val="FF0000"/>
          <w:sz w:val="24"/>
        </w:rPr>
        <w:t>m</w:t>
      </w:r>
      <w:r w:rsidR="00611CBA" w:rsidRPr="00F9522B">
        <w:rPr>
          <w:rFonts w:eastAsiaTheme="minorEastAsia"/>
          <w:color w:val="FF0000"/>
          <w:sz w:val="24"/>
        </w:rPr>
        <w:t>为临时占地施工场地，</w:t>
      </w:r>
      <w:r w:rsidR="00EB3DD0" w:rsidRPr="00AA4603">
        <w:rPr>
          <w:rFonts w:eastAsiaTheme="minorEastAsia"/>
          <w:color w:val="FF0000"/>
          <w:sz w:val="24"/>
        </w:rPr>
        <w:t>共设置</w:t>
      </w:r>
      <w:r w:rsidR="00EB3DD0" w:rsidRPr="00AA4603">
        <w:rPr>
          <w:rFonts w:eastAsiaTheme="minorEastAsia"/>
          <w:color w:val="FF0000"/>
          <w:sz w:val="24"/>
        </w:rPr>
        <w:t>1368</w:t>
      </w:r>
      <w:r w:rsidR="00EB3DD0" w:rsidRPr="00AA4603">
        <w:rPr>
          <w:rFonts w:eastAsiaTheme="minorEastAsia"/>
          <w:color w:val="FF0000"/>
          <w:sz w:val="24"/>
        </w:rPr>
        <w:t>根水泥电杆，</w:t>
      </w:r>
      <w:r w:rsidR="00611CBA" w:rsidRPr="00AA4603">
        <w:rPr>
          <w:rFonts w:eastAsiaTheme="minorEastAsia"/>
          <w:color w:val="FF0000"/>
          <w:sz w:val="24"/>
        </w:rPr>
        <w:t>变压器</w:t>
      </w:r>
      <w:r w:rsidR="00EB3DD0" w:rsidRPr="00AA4603">
        <w:rPr>
          <w:rFonts w:eastAsiaTheme="minorEastAsia"/>
          <w:color w:val="FF0000"/>
          <w:sz w:val="24"/>
        </w:rPr>
        <w:t>为杆上变压器，每处设置</w:t>
      </w:r>
      <w:r w:rsidR="00AA4603" w:rsidRPr="00AA4603">
        <w:rPr>
          <w:rFonts w:eastAsiaTheme="minorEastAsia" w:hint="eastAsia"/>
          <w:snapToGrid w:val="0"/>
          <w:color w:val="FF0000"/>
          <w:kern w:val="0"/>
          <w:sz w:val="24"/>
        </w:rPr>
        <w:t>15</w:t>
      </w:r>
      <w:r w:rsidR="00EB3DD0" w:rsidRPr="00AA4603">
        <w:rPr>
          <w:rFonts w:eastAsiaTheme="minorEastAsia"/>
          <w:snapToGrid w:val="0"/>
          <w:color w:val="FF0000"/>
          <w:kern w:val="0"/>
          <w:sz w:val="24"/>
        </w:rPr>
        <w:t>m</w:t>
      </w:r>
      <w:r w:rsidR="00EB3DD0" w:rsidRPr="00AA4603">
        <w:rPr>
          <w:rFonts w:eastAsiaTheme="minorEastAsia"/>
          <w:snapToGrid w:val="0"/>
          <w:color w:val="FF0000"/>
          <w:kern w:val="0"/>
          <w:sz w:val="24"/>
          <w:vertAlign w:val="superscript"/>
        </w:rPr>
        <w:t>2</w:t>
      </w:r>
      <w:r w:rsidR="00611CBA" w:rsidRPr="00AA4603">
        <w:rPr>
          <w:rFonts w:eastAsiaTheme="minorEastAsia"/>
          <w:color w:val="FF0000"/>
          <w:sz w:val="24"/>
        </w:rPr>
        <w:t>临时占地，临时占地共</w:t>
      </w:r>
      <w:r w:rsidR="00AA4603" w:rsidRPr="00AA4603">
        <w:rPr>
          <w:rFonts w:eastAsiaTheme="minorEastAsia" w:hint="eastAsia"/>
          <w:color w:val="FF0000"/>
          <w:sz w:val="24"/>
        </w:rPr>
        <w:t>257220</w:t>
      </w:r>
      <w:r w:rsidR="00611CBA" w:rsidRPr="00AA4603">
        <w:rPr>
          <w:rFonts w:eastAsiaTheme="minorEastAsia"/>
          <w:color w:val="FF0000"/>
          <w:sz w:val="24"/>
        </w:rPr>
        <w:t>m</w:t>
      </w:r>
      <w:r w:rsidR="00611CBA" w:rsidRPr="00AA4603">
        <w:rPr>
          <w:rFonts w:eastAsiaTheme="minorEastAsia"/>
          <w:color w:val="FF0000"/>
          <w:sz w:val="24"/>
          <w:vertAlign w:val="superscript"/>
        </w:rPr>
        <w:t>2</w:t>
      </w:r>
      <w:r w:rsidR="00611CBA" w:rsidRPr="00AA4603">
        <w:rPr>
          <w:rFonts w:eastAsiaTheme="minorEastAsia"/>
          <w:color w:val="FF0000"/>
          <w:sz w:val="24"/>
        </w:rPr>
        <w:t>，占地类型为草地</w:t>
      </w:r>
      <w:r w:rsidR="00AA4603" w:rsidRPr="00AA4603">
        <w:rPr>
          <w:rFonts w:eastAsiaTheme="minorEastAsia" w:hint="eastAsia"/>
          <w:color w:val="FF0000"/>
          <w:sz w:val="24"/>
        </w:rPr>
        <w:t>224662</w:t>
      </w:r>
      <w:r w:rsidR="00611CBA" w:rsidRPr="00AA4603">
        <w:rPr>
          <w:rFonts w:eastAsiaTheme="minorEastAsia"/>
          <w:color w:val="FF0000"/>
          <w:sz w:val="24"/>
        </w:rPr>
        <w:t>m</w:t>
      </w:r>
      <w:r w:rsidR="00611CBA" w:rsidRPr="00AA4603">
        <w:rPr>
          <w:rFonts w:eastAsiaTheme="minorEastAsia"/>
          <w:color w:val="FF0000"/>
          <w:sz w:val="24"/>
          <w:vertAlign w:val="superscript"/>
        </w:rPr>
        <w:t>2</w:t>
      </w:r>
      <w:r w:rsidR="00611CBA" w:rsidRPr="00AA4603">
        <w:rPr>
          <w:rFonts w:eastAsiaTheme="minorEastAsia"/>
          <w:color w:val="FF0000"/>
          <w:sz w:val="24"/>
        </w:rPr>
        <w:t>、旱地</w:t>
      </w:r>
      <w:r w:rsidR="00E268F3" w:rsidRPr="00AA4603">
        <w:rPr>
          <w:rFonts w:eastAsiaTheme="minorEastAsia"/>
          <w:color w:val="FF0000"/>
          <w:sz w:val="24"/>
        </w:rPr>
        <w:t>32558</w:t>
      </w:r>
      <w:r w:rsidR="00611CBA" w:rsidRPr="00AA4603">
        <w:rPr>
          <w:rFonts w:eastAsiaTheme="minorEastAsia"/>
          <w:color w:val="FF0000"/>
          <w:sz w:val="24"/>
        </w:rPr>
        <w:t>m</w:t>
      </w:r>
      <w:r w:rsidR="00611CBA" w:rsidRPr="00AA4603">
        <w:rPr>
          <w:rFonts w:eastAsiaTheme="minorEastAsia"/>
          <w:color w:val="FF0000"/>
          <w:sz w:val="24"/>
          <w:vertAlign w:val="superscript"/>
        </w:rPr>
        <w:t>2</w:t>
      </w:r>
      <w:r w:rsidR="00611CBA" w:rsidRPr="00AA4603">
        <w:rPr>
          <w:rFonts w:eastAsiaTheme="minorEastAsia"/>
          <w:color w:val="FF0000"/>
          <w:sz w:val="24"/>
        </w:rPr>
        <w:t>。</w:t>
      </w:r>
    </w:p>
    <w:p w:rsidR="002A5A5E" w:rsidRPr="00F9522B" w:rsidRDefault="00611CBA">
      <w:pPr>
        <w:keepNext/>
        <w:keepLines/>
        <w:spacing w:before="100" w:beforeAutospacing="1" w:after="100" w:afterAutospacing="1"/>
        <w:outlineLvl w:val="2"/>
        <w:rPr>
          <w:rFonts w:eastAsiaTheme="minorEastAsia"/>
          <w:b/>
          <w:sz w:val="28"/>
          <w:szCs w:val="28"/>
        </w:rPr>
      </w:pPr>
      <w:r w:rsidRPr="00F9522B">
        <w:rPr>
          <w:rFonts w:eastAsiaTheme="minorEastAsia"/>
          <w:b/>
          <w:sz w:val="28"/>
          <w:szCs w:val="28"/>
        </w:rPr>
        <w:t>3.1.12</w:t>
      </w:r>
      <w:r w:rsidRPr="00F9522B">
        <w:rPr>
          <w:rFonts w:eastAsiaTheme="minorEastAsia"/>
          <w:b/>
          <w:sz w:val="28"/>
          <w:szCs w:val="28"/>
        </w:rPr>
        <w:t>施工期相关设计</w:t>
      </w:r>
    </w:p>
    <w:p w:rsidR="002A5A5E" w:rsidRPr="00F9522B" w:rsidRDefault="00611CBA">
      <w:pPr>
        <w:adjustRightInd w:val="0"/>
        <w:snapToGrid w:val="0"/>
        <w:spacing w:line="360" w:lineRule="auto"/>
        <w:ind w:firstLineChars="200" w:firstLine="480"/>
        <w:rPr>
          <w:rFonts w:eastAsiaTheme="minorEastAsia"/>
          <w:sz w:val="24"/>
        </w:rPr>
      </w:pPr>
      <w:r w:rsidRPr="00F9522B">
        <w:rPr>
          <w:rFonts w:eastAsiaTheme="minorEastAsia"/>
          <w:sz w:val="24"/>
        </w:rPr>
        <w:t>（</w:t>
      </w:r>
      <w:r w:rsidRPr="00F9522B">
        <w:rPr>
          <w:rFonts w:eastAsiaTheme="minorEastAsia"/>
          <w:sz w:val="24"/>
        </w:rPr>
        <w:t>1</w:t>
      </w:r>
      <w:r w:rsidRPr="00F9522B">
        <w:rPr>
          <w:rFonts w:eastAsiaTheme="minorEastAsia"/>
          <w:sz w:val="24"/>
        </w:rPr>
        <w:t>）施工条件</w:t>
      </w:r>
    </w:p>
    <w:p w:rsidR="002A5A5E" w:rsidRPr="00F9522B" w:rsidRDefault="00611CBA">
      <w:pPr>
        <w:adjustRightInd w:val="0"/>
        <w:snapToGrid w:val="0"/>
        <w:spacing w:line="360" w:lineRule="auto"/>
        <w:ind w:firstLineChars="200" w:firstLine="480"/>
        <w:rPr>
          <w:rFonts w:eastAsiaTheme="minorEastAsia"/>
          <w:sz w:val="24"/>
        </w:rPr>
      </w:pPr>
      <w:r w:rsidRPr="00F9522B">
        <w:rPr>
          <w:rFonts w:eastAsiaTheme="minorEastAsia"/>
          <w:sz w:val="24"/>
        </w:rPr>
        <w:t>本工程涉及范围广，施工现场分散，虽然附近分布少量村屯，但工程施工过程中对当地人民生产生活干扰较少，场地周围环境较好，对野外施工作业没有较大影响。项目区对外交通便利，若干土路形成路网分布于项目区。良好的交通条件为工程实施中材料的进入提供了保障。综上，项目区内道路交通情况可以为建筑材料的运输提供良好条件。</w:t>
      </w:r>
    </w:p>
    <w:p w:rsidR="002A5A5E" w:rsidRPr="00F9522B" w:rsidRDefault="00611CBA">
      <w:pPr>
        <w:adjustRightInd w:val="0"/>
        <w:snapToGrid w:val="0"/>
        <w:spacing w:line="360" w:lineRule="auto"/>
        <w:ind w:firstLineChars="200" w:firstLine="480"/>
        <w:rPr>
          <w:rFonts w:eastAsiaTheme="minorEastAsia"/>
          <w:sz w:val="24"/>
        </w:rPr>
      </w:pPr>
      <w:r w:rsidRPr="00F9522B">
        <w:rPr>
          <w:rFonts w:eastAsiaTheme="minorEastAsia"/>
          <w:sz w:val="24"/>
        </w:rPr>
        <w:t>项目区水源比较丰富，施工用水及饮用水可就近使用居民点井水。工地供电就近从当地电网系统接入或从已建的建筑物供电线路接入，完全可以满足项目施工用电的要求。</w:t>
      </w:r>
    </w:p>
    <w:p w:rsidR="002A5A5E" w:rsidRPr="00F9522B" w:rsidRDefault="00611CBA">
      <w:pPr>
        <w:adjustRightInd w:val="0"/>
        <w:snapToGrid w:val="0"/>
        <w:spacing w:line="360" w:lineRule="auto"/>
        <w:ind w:firstLineChars="200" w:firstLine="480"/>
        <w:rPr>
          <w:rFonts w:eastAsiaTheme="minorEastAsia"/>
          <w:color w:val="FF0000"/>
          <w:sz w:val="24"/>
        </w:rPr>
      </w:pPr>
      <w:r w:rsidRPr="00F9522B">
        <w:rPr>
          <w:rFonts w:eastAsiaTheme="minorEastAsia"/>
          <w:sz w:val="24"/>
        </w:rPr>
        <w:t>工程使用的原辅料可以在哈尔滨市购买，储量及质量均满足设计、施工要求；</w:t>
      </w:r>
      <w:r w:rsidR="003C682E" w:rsidRPr="00F9522B">
        <w:rPr>
          <w:rFonts w:eastAsiaTheme="minorEastAsia"/>
          <w:snapToGrid w:val="0"/>
          <w:color w:val="FF0000"/>
          <w:sz w:val="24"/>
        </w:rPr>
        <w:lastRenderedPageBreak/>
        <w:t>施工现场使用商品混凝土、预拌砂浆；</w:t>
      </w:r>
      <w:r w:rsidR="003C682E" w:rsidRPr="00F9522B">
        <w:rPr>
          <w:rFonts w:eastAsiaTheme="minorEastAsia"/>
          <w:color w:val="FF0000"/>
          <w:sz w:val="24"/>
        </w:rPr>
        <w:t>施工</w:t>
      </w:r>
      <w:r w:rsidRPr="00F9522B">
        <w:rPr>
          <w:rFonts w:eastAsiaTheme="minorEastAsia"/>
          <w:color w:val="FF0000"/>
          <w:sz w:val="24"/>
        </w:rPr>
        <w:t>机械所需油料直接在附近加油站购买</w:t>
      </w:r>
      <w:r w:rsidR="003C682E" w:rsidRPr="00F9522B">
        <w:rPr>
          <w:rFonts w:eastAsiaTheme="minorEastAsia"/>
          <w:color w:val="FF0000"/>
          <w:sz w:val="24"/>
        </w:rPr>
        <w:t>，不设置柴油贮存设施</w:t>
      </w:r>
      <w:r w:rsidRPr="00F9522B">
        <w:rPr>
          <w:rFonts w:eastAsiaTheme="minorEastAsia"/>
          <w:color w:val="FF0000"/>
          <w:sz w:val="24"/>
        </w:rPr>
        <w:t>。</w:t>
      </w:r>
    </w:p>
    <w:p w:rsidR="002A5A5E" w:rsidRPr="00F9522B" w:rsidRDefault="00611CBA">
      <w:pPr>
        <w:adjustRightInd w:val="0"/>
        <w:snapToGrid w:val="0"/>
        <w:spacing w:line="360" w:lineRule="auto"/>
        <w:ind w:firstLineChars="200" w:firstLine="480"/>
        <w:rPr>
          <w:rFonts w:eastAsiaTheme="minorEastAsia"/>
          <w:sz w:val="24"/>
        </w:rPr>
      </w:pPr>
      <w:r w:rsidRPr="00F9522B">
        <w:rPr>
          <w:rFonts w:eastAsiaTheme="minorEastAsia"/>
          <w:sz w:val="24"/>
        </w:rPr>
        <w:t>（</w:t>
      </w:r>
      <w:r w:rsidRPr="00F9522B">
        <w:rPr>
          <w:rFonts w:eastAsiaTheme="minorEastAsia"/>
          <w:sz w:val="24"/>
        </w:rPr>
        <w:t>2</w:t>
      </w:r>
      <w:r w:rsidRPr="00F9522B">
        <w:rPr>
          <w:rFonts w:eastAsiaTheme="minorEastAsia"/>
          <w:sz w:val="24"/>
        </w:rPr>
        <w:t>）施工总体布置</w:t>
      </w:r>
    </w:p>
    <w:p w:rsidR="002A5A5E" w:rsidRPr="00F9522B" w:rsidRDefault="00611CBA">
      <w:pPr>
        <w:adjustRightInd w:val="0"/>
        <w:snapToGrid w:val="0"/>
        <w:spacing w:line="360" w:lineRule="auto"/>
        <w:ind w:firstLineChars="200" w:firstLine="480"/>
        <w:rPr>
          <w:rFonts w:eastAsiaTheme="minorEastAsia"/>
          <w:sz w:val="24"/>
        </w:rPr>
      </w:pPr>
      <w:r w:rsidRPr="00F9522B">
        <w:rPr>
          <w:rFonts w:ascii="宋体" w:hAnsi="宋体" w:cs="宋体" w:hint="eastAsia"/>
          <w:sz w:val="24"/>
        </w:rPr>
        <w:t>①</w:t>
      </w:r>
      <w:r w:rsidRPr="00F9522B">
        <w:rPr>
          <w:rFonts w:eastAsiaTheme="minorEastAsia"/>
          <w:sz w:val="24"/>
        </w:rPr>
        <w:t>施工道路布置</w:t>
      </w:r>
    </w:p>
    <w:p w:rsidR="002A5A5E" w:rsidRPr="00F9522B" w:rsidRDefault="00611CBA">
      <w:pPr>
        <w:adjustRightInd w:val="0"/>
        <w:snapToGrid w:val="0"/>
        <w:spacing w:line="360" w:lineRule="auto"/>
        <w:ind w:firstLineChars="200" w:firstLine="480"/>
        <w:rPr>
          <w:rFonts w:eastAsiaTheme="minorEastAsia"/>
          <w:sz w:val="24"/>
        </w:rPr>
      </w:pPr>
      <w:r w:rsidRPr="00F9522B">
        <w:rPr>
          <w:rFonts w:eastAsiaTheme="minorEastAsia"/>
          <w:sz w:val="24"/>
        </w:rPr>
        <w:t>项目区对外交通状况较好，村村通的混凝土路基本覆盖项目区所涉及村屯，公路等骨干交通路网已经形成，到附近乡镇和县里购买工程资料比较方便。大部分工程利用现有水泥路、砂石路及村地头路。涵洞等建筑物、</w:t>
      </w:r>
      <w:r w:rsidRPr="00F9522B">
        <w:rPr>
          <w:rFonts w:eastAsiaTheme="minorEastAsia"/>
          <w:bCs/>
          <w:sz w:val="24"/>
        </w:rPr>
        <w:t>输配电工程</w:t>
      </w:r>
      <w:r w:rsidRPr="00F9522B">
        <w:rPr>
          <w:rFonts w:eastAsiaTheme="minorEastAsia"/>
          <w:sz w:val="24"/>
        </w:rPr>
        <w:t>地点均距离道路较近，不设置临时道路；灌溉井工程运输机械进入施工场地过程中占用少量农田，作为临时道路（</w:t>
      </w:r>
      <w:r w:rsidR="00E268F3" w:rsidRPr="00F9522B">
        <w:rPr>
          <w:rFonts w:eastAsiaTheme="minorEastAsia"/>
          <w:sz w:val="24"/>
        </w:rPr>
        <w:t>宽约</w:t>
      </w:r>
      <w:r w:rsidR="00E268F3" w:rsidRPr="00F9522B">
        <w:rPr>
          <w:rFonts w:eastAsiaTheme="minorEastAsia"/>
          <w:sz w:val="24"/>
        </w:rPr>
        <w:t>2m</w:t>
      </w:r>
      <w:r w:rsidR="00E268F3" w:rsidRPr="00F9522B">
        <w:rPr>
          <w:rFonts w:eastAsiaTheme="minorEastAsia"/>
          <w:sz w:val="24"/>
        </w:rPr>
        <w:t>，临时占地共约</w:t>
      </w:r>
      <w:r w:rsidR="00E268F3" w:rsidRPr="00F9522B">
        <w:rPr>
          <w:rFonts w:eastAsiaTheme="minorEastAsia"/>
          <w:sz w:val="24"/>
        </w:rPr>
        <w:t>2640</w:t>
      </w:r>
      <w:r w:rsidRPr="00F9522B">
        <w:rPr>
          <w:rFonts w:eastAsiaTheme="minorEastAsia"/>
          <w:sz w:val="24"/>
        </w:rPr>
        <w:t>m</w:t>
      </w:r>
      <w:r w:rsidRPr="00F9522B">
        <w:rPr>
          <w:rFonts w:eastAsiaTheme="minorEastAsia"/>
          <w:sz w:val="24"/>
          <w:vertAlign w:val="superscript"/>
        </w:rPr>
        <w:t>2</w:t>
      </w:r>
      <w:r w:rsidRPr="00F9522B">
        <w:rPr>
          <w:rFonts w:eastAsiaTheme="minorEastAsia"/>
          <w:sz w:val="24"/>
        </w:rPr>
        <w:t>）。</w:t>
      </w:r>
    </w:p>
    <w:p w:rsidR="002A5A5E" w:rsidRPr="00F9522B" w:rsidRDefault="00611CBA">
      <w:pPr>
        <w:adjustRightInd w:val="0"/>
        <w:snapToGrid w:val="0"/>
        <w:spacing w:line="360" w:lineRule="auto"/>
        <w:ind w:firstLineChars="200" w:firstLine="480"/>
        <w:rPr>
          <w:rFonts w:eastAsiaTheme="minorEastAsia"/>
          <w:color w:val="FF0000"/>
          <w:sz w:val="24"/>
        </w:rPr>
      </w:pPr>
      <w:r w:rsidRPr="00F9522B">
        <w:rPr>
          <w:rFonts w:ascii="宋体" w:hAnsi="宋体" w:cs="宋体" w:hint="eastAsia"/>
          <w:color w:val="FF0000"/>
          <w:sz w:val="24"/>
        </w:rPr>
        <w:t>②</w:t>
      </w:r>
      <w:r w:rsidR="003C682E" w:rsidRPr="00F9522B">
        <w:rPr>
          <w:rFonts w:eastAsiaTheme="minorEastAsia"/>
          <w:color w:val="FF0000"/>
          <w:sz w:val="24"/>
        </w:rPr>
        <w:t>施工营地</w:t>
      </w:r>
      <w:r w:rsidRPr="00F9522B">
        <w:rPr>
          <w:rFonts w:eastAsiaTheme="minorEastAsia"/>
          <w:color w:val="FF0000"/>
          <w:sz w:val="24"/>
        </w:rPr>
        <w:t>布置</w:t>
      </w:r>
    </w:p>
    <w:p w:rsidR="002A5A5E" w:rsidRPr="00F9522B" w:rsidRDefault="00611CBA">
      <w:pPr>
        <w:adjustRightInd w:val="0"/>
        <w:snapToGrid w:val="0"/>
        <w:spacing w:line="360" w:lineRule="auto"/>
        <w:ind w:firstLineChars="200" w:firstLine="480"/>
        <w:rPr>
          <w:rFonts w:eastAsiaTheme="minorEastAsia"/>
          <w:color w:val="FF0000"/>
          <w:sz w:val="24"/>
        </w:rPr>
      </w:pPr>
      <w:r w:rsidRPr="00F9522B">
        <w:rPr>
          <w:rFonts w:eastAsiaTheme="minorEastAsia"/>
          <w:color w:val="FF0000"/>
          <w:sz w:val="24"/>
        </w:rPr>
        <w:t>项目施工人员均雇佣附近居民，大部分施工聚集区均距离附近村屯较近，故生活区依托附近民房可行，材料购买均有专业销售公司运送至项目场地，因此不设置生活区、综合加工厂、仓库、食堂等。</w:t>
      </w:r>
    </w:p>
    <w:p w:rsidR="002A5A5E" w:rsidRPr="00F9522B" w:rsidRDefault="00611CBA">
      <w:pPr>
        <w:adjustRightInd w:val="0"/>
        <w:snapToGrid w:val="0"/>
        <w:spacing w:line="360" w:lineRule="auto"/>
        <w:ind w:firstLineChars="200" w:firstLine="480"/>
        <w:rPr>
          <w:rFonts w:eastAsiaTheme="minorEastAsia"/>
          <w:sz w:val="24"/>
        </w:rPr>
      </w:pPr>
      <w:r w:rsidRPr="00F9522B">
        <w:rPr>
          <w:rFonts w:eastAsiaTheme="minorEastAsia"/>
          <w:sz w:val="24"/>
        </w:rPr>
        <w:t>（</w:t>
      </w:r>
      <w:r w:rsidRPr="00F9522B">
        <w:rPr>
          <w:rFonts w:eastAsiaTheme="minorEastAsia"/>
          <w:sz w:val="24"/>
        </w:rPr>
        <w:t>3</w:t>
      </w:r>
      <w:r w:rsidRPr="00F9522B">
        <w:rPr>
          <w:rFonts w:eastAsiaTheme="minorEastAsia"/>
          <w:sz w:val="24"/>
        </w:rPr>
        <w:t>）施工</w:t>
      </w:r>
      <w:r w:rsidRPr="00F9522B">
        <w:rPr>
          <w:rFonts w:eastAsiaTheme="minorEastAsia"/>
          <w:sz w:val="24"/>
        </w:rPr>
        <w:t>“</w:t>
      </w:r>
      <w:r w:rsidRPr="00F9522B">
        <w:rPr>
          <w:rFonts w:eastAsiaTheme="minorEastAsia"/>
          <w:sz w:val="24"/>
        </w:rPr>
        <w:t>三场</w:t>
      </w:r>
      <w:r w:rsidRPr="00F9522B">
        <w:rPr>
          <w:rFonts w:eastAsiaTheme="minorEastAsia"/>
          <w:sz w:val="24"/>
        </w:rPr>
        <w:t>”</w:t>
      </w:r>
      <w:r w:rsidRPr="00F9522B">
        <w:rPr>
          <w:rFonts w:eastAsiaTheme="minorEastAsia"/>
          <w:sz w:val="24"/>
        </w:rPr>
        <w:t>设置情况</w:t>
      </w:r>
    </w:p>
    <w:p w:rsidR="002A5A5E" w:rsidRPr="00F9522B" w:rsidRDefault="00611CBA">
      <w:pPr>
        <w:adjustRightInd w:val="0"/>
        <w:snapToGrid w:val="0"/>
        <w:spacing w:line="360" w:lineRule="auto"/>
        <w:ind w:firstLineChars="200" w:firstLine="480"/>
        <w:rPr>
          <w:rFonts w:eastAsiaTheme="minorEastAsia"/>
          <w:sz w:val="24"/>
        </w:rPr>
      </w:pPr>
      <w:r w:rsidRPr="00F9522B">
        <w:rPr>
          <w:rFonts w:ascii="宋体" w:hAnsi="宋体" w:cs="宋体" w:hint="eastAsia"/>
          <w:sz w:val="24"/>
        </w:rPr>
        <w:t>①</w:t>
      </w:r>
      <w:r w:rsidRPr="00F9522B">
        <w:rPr>
          <w:rFonts w:eastAsiaTheme="minorEastAsia"/>
          <w:sz w:val="24"/>
        </w:rPr>
        <w:t>取弃土场</w:t>
      </w:r>
    </w:p>
    <w:p w:rsidR="002A5A5E" w:rsidRPr="00F9522B" w:rsidRDefault="00611CBA">
      <w:pPr>
        <w:adjustRightInd w:val="0"/>
        <w:snapToGrid w:val="0"/>
        <w:spacing w:line="360" w:lineRule="auto"/>
        <w:ind w:firstLineChars="200" w:firstLine="480"/>
        <w:rPr>
          <w:rFonts w:eastAsiaTheme="minorEastAsia"/>
          <w:sz w:val="24"/>
        </w:rPr>
      </w:pPr>
      <w:r w:rsidRPr="00F9522B">
        <w:rPr>
          <w:rFonts w:eastAsiaTheme="minorEastAsia"/>
          <w:sz w:val="24"/>
        </w:rPr>
        <w:t>施工期项目区水泥、钢筋混凝土结构件、钢筋、砂等由呼兰区供应，山皮石、砂砾石、风化砂等均在宾西石场购买，可满足项目需求。</w:t>
      </w:r>
    </w:p>
    <w:p w:rsidR="002A5A5E" w:rsidRPr="00F9522B" w:rsidRDefault="00611CBA">
      <w:pPr>
        <w:adjustRightInd w:val="0"/>
        <w:snapToGrid w:val="0"/>
        <w:spacing w:line="360" w:lineRule="auto"/>
        <w:ind w:firstLineChars="200" w:firstLine="480"/>
        <w:rPr>
          <w:rFonts w:eastAsiaTheme="minorEastAsia"/>
          <w:sz w:val="24"/>
        </w:rPr>
      </w:pPr>
      <w:r w:rsidRPr="00F9522B">
        <w:rPr>
          <w:rFonts w:eastAsiaTheme="minorEastAsia"/>
          <w:sz w:val="24"/>
        </w:rPr>
        <w:t>本项目田块整治工程黑土回填土源为</w:t>
      </w:r>
      <w:r w:rsidR="006239CD" w:rsidRPr="00F9522B">
        <w:rPr>
          <w:rFonts w:eastAsiaTheme="minorEastAsia"/>
          <w:kern w:val="0"/>
          <w:sz w:val="24"/>
          <w:lang w:val="zh-CN"/>
        </w:rPr>
        <w:t>哈尔滨都市圈环线高速公路项目</w:t>
      </w:r>
      <w:r w:rsidRPr="00F9522B">
        <w:rPr>
          <w:rFonts w:eastAsiaTheme="minorEastAsia"/>
          <w:kern w:val="0"/>
          <w:sz w:val="24"/>
          <w:lang w:val="zh-CN"/>
        </w:rPr>
        <w:t>工程剥离黑土，</w:t>
      </w:r>
      <w:r w:rsidRPr="00F9522B">
        <w:rPr>
          <w:rFonts w:eastAsiaTheme="minorEastAsia"/>
          <w:sz w:val="24"/>
        </w:rPr>
        <w:t>无偿交由呼兰区政府统筹合法利用。土源</w:t>
      </w:r>
      <w:r w:rsidRPr="00F9522B">
        <w:rPr>
          <w:rFonts w:eastAsiaTheme="minorEastAsia"/>
          <w:bCs/>
          <w:sz w:val="24"/>
        </w:rPr>
        <w:t>生态修复的责任主体为原土地占用方。故本项目不设置取土场。</w:t>
      </w:r>
      <w:r w:rsidRPr="00F9522B">
        <w:rPr>
          <w:rFonts w:eastAsiaTheme="minorEastAsia"/>
          <w:sz w:val="24"/>
        </w:rPr>
        <w:t>土源不涉及自然保护区、风景名胜区、湿地公园等环境敏感区和生态保护红线。周边土地类型均为旱地。</w:t>
      </w:r>
    </w:p>
    <w:p w:rsidR="002A5A5E" w:rsidRPr="00F9522B" w:rsidRDefault="00611CBA">
      <w:pPr>
        <w:adjustRightInd w:val="0"/>
        <w:snapToGrid w:val="0"/>
        <w:spacing w:line="360" w:lineRule="auto"/>
        <w:ind w:firstLineChars="200" w:firstLine="480"/>
        <w:rPr>
          <w:rFonts w:eastAsiaTheme="minorEastAsia"/>
          <w:sz w:val="24"/>
        </w:rPr>
      </w:pPr>
      <w:r w:rsidRPr="00F9522B">
        <w:rPr>
          <w:rFonts w:eastAsiaTheme="minorEastAsia"/>
          <w:sz w:val="24"/>
        </w:rPr>
        <w:t>项目施工期间土方均堆存于施工范围内，施工结束后表土全部用于临时工程土地恢复及田块整治工程，土方能回填的及时回填，建筑垃圾大部分用于田块整治工程，剩余及时送至建材公司回用，</w:t>
      </w:r>
      <w:r w:rsidR="00730492" w:rsidRPr="00730492">
        <w:rPr>
          <w:rFonts w:eastAsiaTheme="minorEastAsia" w:hint="eastAsia"/>
          <w:bCs/>
          <w:sz w:val="24"/>
        </w:rPr>
        <w:t>排水沟淤泥培至工程附近</w:t>
      </w:r>
      <w:r w:rsidR="00730492" w:rsidRPr="00730492">
        <w:rPr>
          <w:rFonts w:eastAsiaTheme="minorEastAsia" w:hint="eastAsia"/>
          <w:bCs/>
          <w:sz w:val="24"/>
        </w:rPr>
        <w:t>200</w:t>
      </w:r>
      <w:r w:rsidR="00730492" w:rsidRPr="00730492">
        <w:rPr>
          <w:rFonts w:eastAsiaTheme="minorEastAsia" w:hint="eastAsia"/>
          <w:bCs/>
          <w:sz w:val="24"/>
        </w:rPr>
        <w:t>米范围内无环境保护目标的排水沟两侧（避开南城李、方台镇、宋家村等</w:t>
      </w:r>
      <w:r w:rsidR="00730492" w:rsidRPr="00730492">
        <w:rPr>
          <w:rFonts w:eastAsiaTheme="minorEastAsia" w:hint="eastAsia"/>
          <w:bCs/>
          <w:sz w:val="24"/>
        </w:rPr>
        <w:t>33</w:t>
      </w:r>
      <w:r w:rsidR="00730492" w:rsidRPr="00730492">
        <w:rPr>
          <w:rFonts w:eastAsiaTheme="minorEastAsia" w:hint="eastAsia"/>
          <w:bCs/>
          <w:sz w:val="24"/>
        </w:rPr>
        <w:t>个村屯，具体见表</w:t>
      </w:r>
      <w:r w:rsidR="00730492" w:rsidRPr="00730492">
        <w:rPr>
          <w:rFonts w:eastAsiaTheme="minorEastAsia" w:hint="eastAsia"/>
          <w:bCs/>
          <w:sz w:val="24"/>
        </w:rPr>
        <w:t>2-8-2</w:t>
      </w:r>
      <w:r w:rsidR="00730492" w:rsidRPr="00730492">
        <w:rPr>
          <w:rFonts w:eastAsiaTheme="minorEastAsia" w:hint="eastAsia"/>
          <w:bCs/>
          <w:sz w:val="24"/>
        </w:rPr>
        <w:t>）</w:t>
      </w:r>
      <w:r w:rsidRPr="00F9522B">
        <w:rPr>
          <w:rFonts w:eastAsiaTheme="minorEastAsia"/>
          <w:sz w:val="24"/>
        </w:rPr>
        <w:t>，因此不设置弃土场。</w:t>
      </w:r>
    </w:p>
    <w:p w:rsidR="002A5A5E" w:rsidRPr="00F9522B" w:rsidRDefault="006101F4" w:rsidP="006101F4">
      <w:pPr>
        <w:adjustRightInd w:val="0"/>
        <w:snapToGrid w:val="0"/>
        <w:spacing w:line="360" w:lineRule="auto"/>
        <w:ind w:firstLineChars="200" w:firstLine="480"/>
        <w:rPr>
          <w:rFonts w:eastAsiaTheme="minorEastAsia"/>
          <w:sz w:val="24"/>
        </w:rPr>
      </w:pPr>
      <w:r w:rsidRPr="00F9522B">
        <w:rPr>
          <w:rFonts w:ascii="宋体" w:hAnsi="宋体" w:cs="宋体" w:hint="eastAsia"/>
          <w:sz w:val="24"/>
        </w:rPr>
        <w:t>②</w:t>
      </w:r>
      <w:r w:rsidR="00611CBA" w:rsidRPr="00F9522B">
        <w:rPr>
          <w:rFonts w:eastAsiaTheme="minorEastAsia"/>
          <w:sz w:val="24"/>
        </w:rPr>
        <w:t>施工场地</w:t>
      </w:r>
    </w:p>
    <w:p w:rsidR="002A5A5E" w:rsidRPr="00F9522B" w:rsidRDefault="00611CBA">
      <w:pPr>
        <w:spacing w:line="360" w:lineRule="auto"/>
        <w:ind w:firstLineChars="200" w:firstLine="480"/>
        <w:rPr>
          <w:rFonts w:eastAsiaTheme="minorEastAsia"/>
          <w:sz w:val="24"/>
        </w:rPr>
      </w:pPr>
      <w:r w:rsidRPr="00617138">
        <w:rPr>
          <w:rFonts w:eastAsiaTheme="minorEastAsia"/>
          <w:snapToGrid w:val="0"/>
          <w:kern w:val="0"/>
          <w:sz w:val="24"/>
        </w:rPr>
        <w:t>项目田间道路工程在现有</w:t>
      </w:r>
      <w:r w:rsidR="00D61453" w:rsidRPr="00617138">
        <w:rPr>
          <w:rFonts w:eastAsiaTheme="minorEastAsia"/>
          <w:snapToGrid w:val="0"/>
          <w:kern w:val="0"/>
          <w:sz w:val="24"/>
        </w:rPr>
        <w:t>道路基础上修建，现有灌溉渠道衬砌，现有排水沟清淤，田块整治工程</w:t>
      </w:r>
      <w:r w:rsidRPr="00617138">
        <w:rPr>
          <w:rFonts w:eastAsiaTheme="minorEastAsia"/>
          <w:bCs/>
          <w:snapToGrid w:val="0"/>
          <w:kern w:val="0"/>
          <w:sz w:val="24"/>
        </w:rPr>
        <w:t>在永久占地范围内</w:t>
      </w:r>
      <w:r w:rsidRPr="00617138">
        <w:rPr>
          <w:rFonts w:eastAsiaTheme="minorEastAsia"/>
          <w:snapToGrid w:val="0"/>
          <w:kern w:val="0"/>
          <w:sz w:val="24"/>
        </w:rPr>
        <w:t>，不新增临时占地</w:t>
      </w:r>
      <w:r w:rsidRPr="00617138">
        <w:rPr>
          <w:rFonts w:eastAsiaTheme="minorEastAsia"/>
          <w:sz w:val="24"/>
        </w:rPr>
        <w:t>；机电井工程每口设置</w:t>
      </w:r>
      <w:r w:rsidRPr="00617138">
        <w:rPr>
          <w:rFonts w:eastAsiaTheme="minorEastAsia"/>
          <w:sz w:val="24"/>
        </w:rPr>
        <w:t>1</w:t>
      </w:r>
      <w:r w:rsidRPr="00617138">
        <w:rPr>
          <w:rFonts w:eastAsiaTheme="minorEastAsia"/>
          <w:sz w:val="24"/>
        </w:rPr>
        <w:t>处</w:t>
      </w:r>
      <w:r w:rsidRPr="00617138">
        <w:rPr>
          <w:rFonts w:eastAsiaTheme="minorEastAsia"/>
          <w:sz w:val="24"/>
        </w:rPr>
        <w:t>20m</w:t>
      </w:r>
      <w:r w:rsidRPr="00617138">
        <w:rPr>
          <w:rFonts w:eastAsiaTheme="minorEastAsia"/>
          <w:sz w:val="24"/>
          <w:vertAlign w:val="superscript"/>
        </w:rPr>
        <w:t>2</w:t>
      </w:r>
      <w:r w:rsidRPr="00617138">
        <w:rPr>
          <w:rFonts w:eastAsiaTheme="minorEastAsia"/>
          <w:sz w:val="24"/>
        </w:rPr>
        <w:t>临时占地，共</w:t>
      </w:r>
      <w:r w:rsidR="00E268F3" w:rsidRPr="00617138">
        <w:rPr>
          <w:rFonts w:eastAsiaTheme="minorEastAsia"/>
          <w:sz w:val="24"/>
        </w:rPr>
        <w:t>5280</w:t>
      </w:r>
      <w:r w:rsidRPr="00617138">
        <w:rPr>
          <w:rFonts w:eastAsiaTheme="minorEastAsia"/>
          <w:sz w:val="24"/>
        </w:rPr>
        <w:t>m</w:t>
      </w:r>
      <w:r w:rsidRPr="00617138">
        <w:rPr>
          <w:rFonts w:eastAsiaTheme="minorEastAsia"/>
          <w:sz w:val="24"/>
          <w:vertAlign w:val="superscript"/>
        </w:rPr>
        <w:t>2</w:t>
      </w:r>
      <w:r w:rsidRPr="00617138">
        <w:rPr>
          <w:rFonts w:eastAsiaTheme="minorEastAsia"/>
          <w:sz w:val="24"/>
        </w:rPr>
        <w:t>；灌溉井工程运输机械进入施工场地过程中占用</w:t>
      </w:r>
      <w:r w:rsidRPr="00617138">
        <w:rPr>
          <w:rFonts w:eastAsiaTheme="minorEastAsia"/>
          <w:sz w:val="24"/>
        </w:rPr>
        <w:lastRenderedPageBreak/>
        <w:t>少量农田，作为临时道路（</w:t>
      </w:r>
      <w:r w:rsidR="00E268F3" w:rsidRPr="00617138">
        <w:rPr>
          <w:rFonts w:eastAsiaTheme="minorEastAsia"/>
          <w:sz w:val="24"/>
        </w:rPr>
        <w:t>宽约</w:t>
      </w:r>
      <w:r w:rsidR="00E268F3" w:rsidRPr="00617138">
        <w:rPr>
          <w:rFonts w:eastAsiaTheme="minorEastAsia"/>
          <w:sz w:val="24"/>
        </w:rPr>
        <w:t>2m</w:t>
      </w:r>
      <w:r w:rsidR="00E268F3" w:rsidRPr="00617138">
        <w:rPr>
          <w:rFonts w:eastAsiaTheme="minorEastAsia"/>
          <w:sz w:val="24"/>
        </w:rPr>
        <w:t>，临时占地共约</w:t>
      </w:r>
      <w:r w:rsidR="00E268F3" w:rsidRPr="00617138">
        <w:rPr>
          <w:rFonts w:eastAsiaTheme="minorEastAsia"/>
          <w:sz w:val="24"/>
        </w:rPr>
        <w:t>2640</w:t>
      </w:r>
      <w:r w:rsidRPr="00617138">
        <w:rPr>
          <w:rFonts w:eastAsiaTheme="minorEastAsia"/>
          <w:sz w:val="24"/>
        </w:rPr>
        <w:t>m</w:t>
      </w:r>
      <w:r w:rsidRPr="00617138">
        <w:rPr>
          <w:rFonts w:eastAsiaTheme="minorEastAsia"/>
          <w:sz w:val="24"/>
          <w:vertAlign w:val="superscript"/>
        </w:rPr>
        <w:t>2</w:t>
      </w:r>
      <w:r w:rsidRPr="00617138">
        <w:rPr>
          <w:rFonts w:eastAsiaTheme="minorEastAsia"/>
          <w:sz w:val="24"/>
        </w:rPr>
        <w:t>）；</w:t>
      </w:r>
      <w:r w:rsidRPr="00617138">
        <w:rPr>
          <w:rFonts w:eastAsiaTheme="minorEastAsia"/>
          <w:snapToGrid w:val="0"/>
          <w:kern w:val="0"/>
          <w:sz w:val="24"/>
        </w:rPr>
        <w:t>涵洞等建筑物工程每座设置</w:t>
      </w:r>
      <w:r w:rsidRPr="00617138">
        <w:rPr>
          <w:rFonts w:eastAsiaTheme="minorEastAsia"/>
          <w:snapToGrid w:val="0"/>
          <w:kern w:val="0"/>
          <w:sz w:val="24"/>
        </w:rPr>
        <w:t>1</w:t>
      </w:r>
      <w:r w:rsidRPr="00617138">
        <w:rPr>
          <w:rFonts w:eastAsiaTheme="minorEastAsia"/>
          <w:snapToGrid w:val="0"/>
          <w:kern w:val="0"/>
          <w:sz w:val="24"/>
        </w:rPr>
        <w:t>处</w:t>
      </w:r>
      <w:r w:rsidRPr="00617138">
        <w:rPr>
          <w:rFonts w:eastAsiaTheme="minorEastAsia"/>
          <w:snapToGrid w:val="0"/>
          <w:kern w:val="0"/>
          <w:sz w:val="24"/>
        </w:rPr>
        <w:t>20m</w:t>
      </w:r>
      <w:r w:rsidRPr="00617138">
        <w:rPr>
          <w:rFonts w:eastAsiaTheme="minorEastAsia"/>
          <w:snapToGrid w:val="0"/>
          <w:kern w:val="0"/>
          <w:sz w:val="24"/>
          <w:vertAlign w:val="superscript"/>
        </w:rPr>
        <w:t>2</w:t>
      </w:r>
      <w:r w:rsidRPr="00617138">
        <w:rPr>
          <w:rFonts w:eastAsiaTheme="minorEastAsia"/>
          <w:snapToGrid w:val="0"/>
          <w:kern w:val="0"/>
          <w:sz w:val="24"/>
        </w:rPr>
        <w:t>临时占地，共</w:t>
      </w:r>
      <w:r w:rsidRPr="00617138">
        <w:rPr>
          <w:rFonts w:eastAsiaTheme="minorEastAsia"/>
          <w:snapToGrid w:val="0"/>
          <w:kern w:val="0"/>
          <w:sz w:val="24"/>
        </w:rPr>
        <w:t>2</w:t>
      </w:r>
      <w:r w:rsidR="00E268F3" w:rsidRPr="00617138">
        <w:rPr>
          <w:rFonts w:eastAsiaTheme="minorEastAsia"/>
          <w:snapToGrid w:val="0"/>
          <w:kern w:val="0"/>
          <w:sz w:val="24"/>
        </w:rPr>
        <w:t>9000</w:t>
      </w:r>
      <w:r w:rsidRPr="00617138">
        <w:rPr>
          <w:rFonts w:eastAsiaTheme="minorEastAsia"/>
          <w:snapToGrid w:val="0"/>
          <w:kern w:val="0"/>
          <w:sz w:val="24"/>
        </w:rPr>
        <w:t>m</w:t>
      </w:r>
      <w:r w:rsidRPr="00617138">
        <w:rPr>
          <w:rFonts w:eastAsiaTheme="minorEastAsia"/>
          <w:snapToGrid w:val="0"/>
          <w:kern w:val="0"/>
          <w:sz w:val="24"/>
          <w:vertAlign w:val="superscript"/>
        </w:rPr>
        <w:t>2</w:t>
      </w:r>
      <w:r w:rsidRPr="00617138">
        <w:rPr>
          <w:rFonts w:eastAsiaTheme="minorEastAsia"/>
          <w:sz w:val="24"/>
        </w:rPr>
        <w:t>。</w:t>
      </w:r>
      <w:r w:rsidR="00E268F3" w:rsidRPr="00617138">
        <w:rPr>
          <w:rFonts w:eastAsiaTheme="minorEastAsia"/>
          <w:sz w:val="24"/>
        </w:rPr>
        <w:t>农田输配电工程高压地埋输电线路</w:t>
      </w:r>
      <w:r w:rsidR="00E268F3" w:rsidRPr="00617138">
        <w:rPr>
          <w:rFonts w:eastAsiaTheme="minorEastAsia"/>
          <w:sz w:val="24"/>
        </w:rPr>
        <w:t>49.224</w:t>
      </w:r>
      <w:r w:rsidR="00E268F3" w:rsidRPr="00617138">
        <w:rPr>
          <w:rFonts w:eastAsiaTheme="minorEastAsia"/>
          <w:sz w:val="24"/>
        </w:rPr>
        <w:t>公里，低压地埋电线路</w:t>
      </w:r>
      <w:r w:rsidR="00E268F3" w:rsidRPr="00617138">
        <w:rPr>
          <w:rFonts w:eastAsiaTheme="minorEastAsia"/>
          <w:sz w:val="24"/>
        </w:rPr>
        <w:t>29.676</w:t>
      </w:r>
      <w:r w:rsidR="00E268F3" w:rsidRPr="00617138">
        <w:rPr>
          <w:rFonts w:eastAsiaTheme="minorEastAsia"/>
          <w:sz w:val="24"/>
        </w:rPr>
        <w:t>公里，高压、低压电缆开挖宽度为</w:t>
      </w:r>
      <w:r w:rsidR="00E268F3" w:rsidRPr="00617138">
        <w:rPr>
          <w:rFonts w:eastAsiaTheme="minorEastAsia"/>
          <w:sz w:val="24"/>
        </w:rPr>
        <w:t>0.5m</w:t>
      </w:r>
      <w:r w:rsidR="00E268F3" w:rsidRPr="00617138">
        <w:rPr>
          <w:rFonts w:eastAsiaTheme="minorEastAsia"/>
          <w:sz w:val="24"/>
        </w:rPr>
        <w:t>，</w:t>
      </w:r>
      <w:r w:rsidR="00617138" w:rsidRPr="00617138">
        <w:rPr>
          <w:rFonts w:eastAsiaTheme="minorEastAsia"/>
          <w:color w:val="FF0000"/>
          <w:sz w:val="24"/>
        </w:rPr>
        <w:t>沿线一侧外扩</w:t>
      </w:r>
      <w:r w:rsidR="00617138" w:rsidRPr="00617138">
        <w:rPr>
          <w:rFonts w:eastAsiaTheme="minorEastAsia"/>
          <w:color w:val="FF0000"/>
          <w:sz w:val="24"/>
        </w:rPr>
        <w:t>3m</w:t>
      </w:r>
      <w:r w:rsidR="00617138" w:rsidRPr="00617138">
        <w:rPr>
          <w:rFonts w:eastAsiaTheme="minorEastAsia"/>
          <w:color w:val="FF0000"/>
          <w:sz w:val="24"/>
        </w:rPr>
        <w:t>为临时占地施工场地，共设置</w:t>
      </w:r>
      <w:r w:rsidR="00617138" w:rsidRPr="00617138">
        <w:rPr>
          <w:rFonts w:eastAsiaTheme="minorEastAsia"/>
          <w:color w:val="FF0000"/>
          <w:sz w:val="24"/>
        </w:rPr>
        <w:t>1368</w:t>
      </w:r>
      <w:r w:rsidR="00617138" w:rsidRPr="00617138">
        <w:rPr>
          <w:rFonts w:eastAsiaTheme="minorEastAsia"/>
          <w:color w:val="FF0000"/>
          <w:sz w:val="24"/>
        </w:rPr>
        <w:t>根水泥电杆，变压器为杆上变压器，每处设置</w:t>
      </w:r>
      <w:r w:rsidR="00617138" w:rsidRPr="00617138">
        <w:rPr>
          <w:rFonts w:eastAsiaTheme="minorEastAsia" w:hint="eastAsia"/>
          <w:snapToGrid w:val="0"/>
          <w:color w:val="FF0000"/>
          <w:kern w:val="0"/>
          <w:sz w:val="24"/>
        </w:rPr>
        <w:t>15</w:t>
      </w:r>
      <w:r w:rsidR="00617138" w:rsidRPr="00617138">
        <w:rPr>
          <w:rFonts w:eastAsiaTheme="minorEastAsia"/>
          <w:snapToGrid w:val="0"/>
          <w:color w:val="FF0000"/>
          <w:kern w:val="0"/>
          <w:sz w:val="24"/>
        </w:rPr>
        <w:t>m</w:t>
      </w:r>
      <w:r w:rsidR="00617138" w:rsidRPr="00617138">
        <w:rPr>
          <w:rFonts w:eastAsiaTheme="minorEastAsia"/>
          <w:snapToGrid w:val="0"/>
          <w:color w:val="FF0000"/>
          <w:kern w:val="0"/>
          <w:sz w:val="24"/>
          <w:vertAlign w:val="superscript"/>
        </w:rPr>
        <w:t>2</w:t>
      </w:r>
      <w:r w:rsidR="00617138" w:rsidRPr="00617138">
        <w:rPr>
          <w:rFonts w:eastAsiaTheme="minorEastAsia"/>
          <w:color w:val="FF0000"/>
          <w:sz w:val="24"/>
        </w:rPr>
        <w:t>临时占地，</w:t>
      </w:r>
      <w:r w:rsidR="00E268F3" w:rsidRPr="00617138">
        <w:rPr>
          <w:rFonts w:eastAsiaTheme="minorEastAsia"/>
          <w:sz w:val="24"/>
        </w:rPr>
        <w:t>临时占地共</w:t>
      </w:r>
      <w:r w:rsidR="00617138" w:rsidRPr="00617138">
        <w:rPr>
          <w:rFonts w:eastAsiaTheme="minorEastAsia" w:hint="eastAsia"/>
          <w:sz w:val="24"/>
        </w:rPr>
        <w:t>257220</w:t>
      </w:r>
      <w:r w:rsidRPr="00617138">
        <w:rPr>
          <w:rFonts w:eastAsiaTheme="minorEastAsia"/>
          <w:sz w:val="24"/>
        </w:rPr>
        <w:t>m</w:t>
      </w:r>
      <w:r w:rsidRPr="00617138">
        <w:rPr>
          <w:rFonts w:eastAsiaTheme="minorEastAsia"/>
          <w:sz w:val="24"/>
          <w:vertAlign w:val="superscript"/>
        </w:rPr>
        <w:t>2</w:t>
      </w:r>
      <w:r w:rsidRPr="00617138">
        <w:rPr>
          <w:rFonts w:eastAsiaTheme="minorEastAsia"/>
          <w:sz w:val="24"/>
        </w:rPr>
        <w:t>。施工表土及弃土临时堆放在</w:t>
      </w:r>
      <w:r w:rsidRPr="00617138">
        <w:rPr>
          <w:rFonts w:eastAsiaTheme="minorEastAsia"/>
          <w:bCs/>
          <w:snapToGrid w:val="0"/>
          <w:kern w:val="0"/>
          <w:sz w:val="24"/>
        </w:rPr>
        <w:t>临时施工场地内。</w:t>
      </w:r>
      <w:r w:rsidRPr="00617138">
        <w:rPr>
          <w:rFonts w:eastAsiaTheme="minorEastAsia"/>
          <w:sz w:val="24"/>
        </w:rPr>
        <w:t>强排工程为设置柴油移动泵车，使用时间较短，使用后放置在附近村屯内，故无占地</w:t>
      </w:r>
      <w:r w:rsidRPr="00617138">
        <w:rPr>
          <w:rFonts w:eastAsiaTheme="minorEastAsia"/>
          <w:color w:val="FF0000"/>
          <w:sz w:val="24"/>
        </w:rPr>
        <w:t>。临时占地</w:t>
      </w:r>
      <w:r w:rsidRPr="00617138">
        <w:rPr>
          <w:rFonts w:eastAsiaTheme="minorEastAsia"/>
          <w:snapToGrid w:val="0"/>
          <w:color w:val="FF0000"/>
          <w:kern w:val="0"/>
          <w:sz w:val="24"/>
        </w:rPr>
        <w:t>共</w:t>
      </w:r>
      <w:r w:rsidR="00AA4603" w:rsidRPr="00617138">
        <w:rPr>
          <w:rFonts w:eastAsiaTheme="minorEastAsia"/>
          <w:color w:val="FF0000"/>
          <w:kern w:val="0"/>
          <w:sz w:val="24"/>
          <w:szCs w:val="20"/>
        </w:rPr>
        <w:t>294140</w:t>
      </w:r>
      <w:r w:rsidRPr="00617138">
        <w:rPr>
          <w:rFonts w:eastAsiaTheme="minorEastAsia"/>
          <w:snapToGrid w:val="0"/>
          <w:color w:val="FF0000"/>
          <w:kern w:val="0"/>
          <w:sz w:val="24"/>
        </w:rPr>
        <w:t>m</w:t>
      </w:r>
      <w:r w:rsidRPr="00617138">
        <w:rPr>
          <w:rFonts w:eastAsiaTheme="minorEastAsia"/>
          <w:snapToGrid w:val="0"/>
          <w:color w:val="FF0000"/>
          <w:kern w:val="0"/>
          <w:sz w:val="24"/>
          <w:vertAlign w:val="superscript"/>
        </w:rPr>
        <w:t>2</w:t>
      </w:r>
      <w:r w:rsidRPr="00617138">
        <w:rPr>
          <w:rFonts w:eastAsiaTheme="minorEastAsia"/>
          <w:color w:val="FF0000"/>
          <w:sz w:val="24"/>
        </w:rPr>
        <w:t>。</w:t>
      </w:r>
    </w:p>
    <w:p w:rsidR="002A5A5E" w:rsidRPr="00F9522B" w:rsidRDefault="00611CBA">
      <w:pPr>
        <w:adjustRightInd w:val="0"/>
        <w:snapToGrid w:val="0"/>
        <w:spacing w:line="360" w:lineRule="auto"/>
        <w:ind w:firstLineChars="200" w:firstLine="480"/>
        <w:rPr>
          <w:rFonts w:eastAsiaTheme="minorEastAsia"/>
          <w:sz w:val="24"/>
        </w:rPr>
      </w:pPr>
      <w:r w:rsidRPr="00F9522B">
        <w:rPr>
          <w:rFonts w:ascii="宋体" w:hAnsi="宋体" w:cs="宋体" w:hint="eastAsia"/>
          <w:sz w:val="24"/>
        </w:rPr>
        <w:t>③</w:t>
      </w:r>
      <w:r w:rsidRPr="00F9522B">
        <w:rPr>
          <w:rFonts w:eastAsiaTheme="minorEastAsia"/>
          <w:sz w:val="24"/>
        </w:rPr>
        <w:t>堆料场</w:t>
      </w:r>
    </w:p>
    <w:p w:rsidR="002A5A5E" w:rsidRPr="00F9522B" w:rsidRDefault="00611CBA">
      <w:pPr>
        <w:adjustRightInd w:val="0"/>
        <w:snapToGrid w:val="0"/>
        <w:spacing w:line="360" w:lineRule="auto"/>
        <w:ind w:firstLineChars="200" w:firstLine="480"/>
        <w:rPr>
          <w:rFonts w:eastAsiaTheme="minorEastAsia"/>
          <w:sz w:val="24"/>
        </w:rPr>
      </w:pPr>
      <w:r w:rsidRPr="00617138">
        <w:rPr>
          <w:rFonts w:eastAsiaTheme="minorEastAsia"/>
          <w:snapToGrid w:val="0"/>
          <w:color w:val="FF0000"/>
          <w:kern w:val="0"/>
          <w:sz w:val="24"/>
        </w:rPr>
        <w:t>项目</w:t>
      </w:r>
      <w:r w:rsidRPr="00617138">
        <w:rPr>
          <w:rFonts w:eastAsiaTheme="minorEastAsia"/>
          <w:bCs/>
          <w:color w:val="FF0000"/>
          <w:sz w:val="24"/>
        </w:rPr>
        <w:t>农田输配电工程沿线一侧外扩</w:t>
      </w:r>
      <w:r w:rsidR="003C682E" w:rsidRPr="00617138">
        <w:rPr>
          <w:rFonts w:eastAsiaTheme="minorEastAsia"/>
          <w:bCs/>
          <w:color w:val="FF0000"/>
          <w:sz w:val="24"/>
        </w:rPr>
        <w:t>3</w:t>
      </w:r>
      <w:r w:rsidRPr="00617138">
        <w:rPr>
          <w:rFonts w:eastAsiaTheme="minorEastAsia"/>
          <w:bCs/>
          <w:color w:val="FF0000"/>
          <w:sz w:val="24"/>
        </w:rPr>
        <w:t>m</w:t>
      </w:r>
      <w:r w:rsidRPr="00617138">
        <w:rPr>
          <w:rFonts w:eastAsiaTheme="minorEastAsia"/>
          <w:bCs/>
          <w:color w:val="FF0000"/>
          <w:sz w:val="24"/>
        </w:rPr>
        <w:t>范围设为施工范围，</w:t>
      </w:r>
      <w:r w:rsidR="003C682E" w:rsidRPr="00F9522B">
        <w:rPr>
          <w:rFonts w:eastAsiaTheme="minorEastAsia"/>
          <w:color w:val="FF0000"/>
          <w:sz w:val="24"/>
        </w:rPr>
        <w:t>变压器为杆上变压器，每处水泥电杆设置</w:t>
      </w:r>
      <w:r w:rsidR="003C682E" w:rsidRPr="00F9522B">
        <w:rPr>
          <w:rFonts w:eastAsiaTheme="minorEastAsia"/>
          <w:snapToGrid w:val="0"/>
          <w:color w:val="FF0000"/>
          <w:kern w:val="0"/>
          <w:sz w:val="24"/>
        </w:rPr>
        <w:t>20m</w:t>
      </w:r>
      <w:r w:rsidR="003C682E" w:rsidRPr="00F9522B">
        <w:rPr>
          <w:rFonts w:eastAsiaTheme="minorEastAsia"/>
          <w:snapToGrid w:val="0"/>
          <w:color w:val="FF0000"/>
          <w:kern w:val="0"/>
          <w:sz w:val="24"/>
          <w:vertAlign w:val="superscript"/>
        </w:rPr>
        <w:t>2</w:t>
      </w:r>
      <w:r w:rsidR="003C682E" w:rsidRPr="00F9522B">
        <w:rPr>
          <w:rFonts w:eastAsiaTheme="minorEastAsia"/>
          <w:color w:val="FF0000"/>
          <w:sz w:val="24"/>
        </w:rPr>
        <w:t>临时占地</w:t>
      </w:r>
      <w:r w:rsidRPr="00F9522B">
        <w:rPr>
          <w:rFonts w:eastAsiaTheme="minorEastAsia"/>
          <w:sz w:val="24"/>
        </w:rPr>
        <w:t>，</w:t>
      </w:r>
      <w:r w:rsidRPr="00F9522B">
        <w:rPr>
          <w:rFonts w:eastAsiaTheme="minorEastAsia"/>
          <w:bCs/>
          <w:sz w:val="24"/>
        </w:rPr>
        <w:t>施工材料均沿线堆放在施工范围内，不设集中堆料场；机电井及涵洞等建筑物工程施工材料堆放在施工场地内，堆高</w:t>
      </w:r>
      <w:r w:rsidRPr="00F9522B">
        <w:rPr>
          <w:rFonts w:eastAsiaTheme="minorEastAsia"/>
          <w:bCs/>
          <w:sz w:val="24"/>
        </w:rPr>
        <w:t>0.5m</w:t>
      </w:r>
      <w:r w:rsidR="00D61453" w:rsidRPr="00F9522B">
        <w:rPr>
          <w:rFonts w:eastAsiaTheme="minorEastAsia"/>
          <w:bCs/>
          <w:sz w:val="24"/>
        </w:rPr>
        <w:t>；田间道路工程、排水工程、田块整治工程</w:t>
      </w:r>
      <w:r w:rsidRPr="00F9522B">
        <w:rPr>
          <w:rFonts w:eastAsiaTheme="minorEastAsia"/>
          <w:bCs/>
          <w:sz w:val="24"/>
        </w:rPr>
        <w:t>施工材料堆放在永久占地内，不设集中堆料场</w:t>
      </w:r>
      <w:r w:rsidRPr="00F9522B">
        <w:rPr>
          <w:rFonts w:eastAsiaTheme="minorEastAsia"/>
          <w:sz w:val="24"/>
        </w:rPr>
        <w:t>。</w:t>
      </w:r>
    </w:p>
    <w:p w:rsidR="002A5A5E" w:rsidRPr="00F9522B" w:rsidRDefault="00611CBA">
      <w:pPr>
        <w:adjustRightInd w:val="0"/>
        <w:snapToGrid w:val="0"/>
        <w:spacing w:line="360" w:lineRule="auto"/>
        <w:ind w:firstLineChars="200" w:firstLine="480"/>
        <w:rPr>
          <w:rFonts w:eastAsiaTheme="minorEastAsia"/>
          <w:sz w:val="24"/>
        </w:rPr>
      </w:pPr>
      <w:r w:rsidRPr="00F9522B">
        <w:rPr>
          <w:rFonts w:eastAsiaTheme="minorEastAsia"/>
          <w:sz w:val="24"/>
        </w:rPr>
        <w:t>典型施工总体布置（道路工程、料场、生活区）图见</w:t>
      </w:r>
      <w:r w:rsidRPr="00F9522B">
        <w:rPr>
          <w:rFonts w:eastAsiaTheme="minorEastAsia"/>
          <w:sz w:val="24"/>
        </w:rPr>
        <w:t>3-1-4</w:t>
      </w:r>
      <w:r w:rsidRPr="00F9522B">
        <w:rPr>
          <w:rFonts w:eastAsiaTheme="minorEastAsia"/>
          <w:sz w:val="24"/>
        </w:rPr>
        <w:t>。项目工程及施工总平面布置图见附图</w:t>
      </w:r>
      <w:r w:rsidRPr="00F9522B">
        <w:rPr>
          <w:rFonts w:eastAsiaTheme="minorEastAsia"/>
          <w:sz w:val="24"/>
        </w:rPr>
        <w:t>9</w:t>
      </w:r>
      <w:r w:rsidRPr="00F9522B">
        <w:rPr>
          <w:rFonts w:eastAsiaTheme="minorEastAsia"/>
          <w:sz w:val="24"/>
        </w:rPr>
        <w:t>。</w:t>
      </w:r>
    </w:p>
    <w:p w:rsidR="00193E44" w:rsidRPr="00F9522B" w:rsidRDefault="005273A1" w:rsidP="007E12A4">
      <w:pPr>
        <w:adjustRightInd w:val="0"/>
        <w:snapToGrid w:val="0"/>
        <w:spacing w:line="360" w:lineRule="auto"/>
        <w:rPr>
          <w:rStyle w:val="Charf3"/>
          <w:rFonts w:ascii="Times New Roman" w:eastAsiaTheme="minorEastAsia" w:hAnsi="Times New Roman"/>
        </w:rPr>
      </w:pPr>
      <w:r w:rsidRPr="005273A1">
        <w:rPr>
          <w:rFonts w:eastAsiaTheme="minorEastAsia"/>
          <w:sz w:val="24"/>
        </w:rPr>
        <w:pict>
          <v:rect id="_x0000_s697064" style="position:absolute;left:0;text-align:left;margin-left:333.4pt;margin-top:219.2pt;width:10.6pt;height:10.25pt;z-index:251749376" fillcolor="#938953" strokecolor="#938953"/>
        </w:pict>
      </w:r>
      <w:r w:rsidRPr="005273A1">
        <w:rPr>
          <w:rFonts w:eastAsiaTheme="minorEastAsia"/>
          <w:sz w:val="24"/>
        </w:rPr>
        <w:pict>
          <v:shape id="_x0000_s697062" type="#_x0000_t32" style="position:absolute;left:0;text-align:left;margin-left:46.55pt;margin-top:196.6pt;width:.05pt;height:5.85pt;z-index:251747328" o:connectortype="straight" strokecolor="yellow" strokeweight="1.5pt"/>
        </w:pict>
      </w:r>
      <w:r w:rsidRPr="005273A1">
        <w:rPr>
          <w:rFonts w:eastAsiaTheme="minorEastAsia"/>
          <w:sz w:val="24"/>
        </w:rPr>
        <w:pict>
          <v:shape id="_x0000_s696999" type="#_x0000_t32" style="position:absolute;left:0;text-align:left;margin-left:204.25pt;margin-top:178.7pt;width:3pt;height:6.55pt;z-index:251722752" o:connectortype="straight" strokecolor="yellow" strokeweight="1.5pt"/>
        </w:pict>
      </w:r>
      <w:r w:rsidR="00193E44" w:rsidRPr="00F9522B">
        <w:rPr>
          <w:rFonts w:eastAsiaTheme="minorEastAsia"/>
          <w:noProof/>
          <w:sz w:val="24"/>
        </w:rPr>
        <w:drawing>
          <wp:anchor distT="0" distB="0" distL="114300" distR="114300" simplePos="0" relativeHeight="251757568" behindDoc="0" locked="0" layoutInCell="1" allowOverlap="1">
            <wp:simplePos x="0" y="0"/>
            <wp:positionH relativeFrom="column">
              <wp:posOffset>4787265</wp:posOffset>
            </wp:positionH>
            <wp:positionV relativeFrom="paragraph">
              <wp:posOffset>29210</wp:posOffset>
            </wp:positionV>
            <wp:extent cx="506730" cy="504190"/>
            <wp:effectExtent l="19050" t="0" r="7620" b="0"/>
            <wp:wrapNone/>
            <wp:docPr id="54"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37"/>
                    <pic:cNvPicPr>
                      <a:picLocks noChangeAspect="1" noChangeArrowheads="1"/>
                    </pic:cNvPicPr>
                  </pic:nvPicPr>
                  <pic:blipFill>
                    <a:blip r:embed="rId39" cstate="print"/>
                    <a:srcRect/>
                    <a:stretch>
                      <a:fillRect/>
                    </a:stretch>
                  </pic:blipFill>
                  <pic:spPr>
                    <a:xfrm>
                      <a:off x="0" y="0"/>
                      <a:ext cx="506730" cy="504190"/>
                    </a:xfrm>
                    <a:prstGeom prst="rect">
                      <a:avLst/>
                    </a:prstGeom>
                    <a:noFill/>
                    <a:ln w="9525">
                      <a:noFill/>
                      <a:miter lim="800000"/>
                      <a:headEnd/>
                      <a:tailEnd/>
                    </a:ln>
                  </pic:spPr>
                </pic:pic>
              </a:graphicData>
            </a:graphic>
          </wp:anchor>
        </w:drawing>
      </w:r>
      <w:r w:rsidRPr="005273A1">
        <w:rPr>
          <w:rFonts w:eastAsiaTheme="minorEastAsia"/>
          <w:sz w:val="24"/>
        </w:rPr>
        <w:pict>
          <v:shape id="_x0000_s697008" style="position:absolute;left:0;text-align:left;margin-left:109.85pt;margin-top:55.15pt;width:212.5pt;height:2in;z-index:251728896;mso-position-horizontal-relative:text;mso-position-vertical-relative:text;mso-width-relative:page;mso-height-relative:page" coordsize="4250,2880" path="m92,2296l24,2619r234,74l360,2740r,140l613,2815r624,-103l1475,2630r242,-81l2212,2432r617,-94l3203,2263r337,-168l3783,2086r226,-101l4250,1740,4204,,3194,243,2455,431r-206,56l1613,627r-187,47l1256,844r-288,7l772,925r-300,80l237,1092,,1259r35,80l92,2296xe" fillcolor="#4bacc6" strokecolor="#4bacc6">
            <v:fill opacity=".5" color2="#92cddc" o:opacity2=".5" rotate="t" focus="100%" type="gradient"/>
            <v:path arrowok="t"/>
          </v:shape>
        </w:pict>
      </w:r>
      <w:r w:rsidRPr="005273A1">
        <w:rPr>
          <w:rFonts w:eastAsiaTheme="minorEastAsia"/>
          <w:noProof/>
          <w:sz w:val="24"/>
        </w:rPr>
        <w:pict>
          <v:shape id="_x0000_s697187" style="position:absolute;left:0;text-align:left;margin-left:355.55pt;margin-top:200.55pt;width:60.8pt;height:9.35pt;z-index:251838464;mso-position-horizontal-relative:text;mso-position-vertical-relative:text;mso-width-relative:page;mso-height-relative:page" coordsize="1216,187" path="m1216,l535,137,,187,508,129,1216,xe" strokecolor="#938953" strokeweight="1.5pt">
            <v:path arrowok="t"/>
          </v:shape>
        </w:pict>
      </w:r>
      <w:r w:rsidRPr="005273A1">
        <w:rPr>
          <w:rFonts w:eastAsiaTheme="minorEastAsia"/>
          <w:noProof/>
          <w:sz w:val="24"/>
        </w:rPr>
        <w:pict>
          <v:shape id="_x0000_s697186" style="position:absolute;left:0;text-align:left;margin-left:193.3pt;margin-top:180.45pt;width:19.2pt;height:82.5pt;z-index:251837440;mso-position-horizontal-relative:text;mso-position-vertical-relative:text;mso-width-relative:page;mso-height-relative:page" coordsize="384,1650" path="m,l185,864r199,786l185,898,,xe" strokecolor="#938953" strokeweight="1.5pt">
            <v:path arrowok="t"/>
          </v:shape>
        </w:pict>
      </w:r>
      <w:r w:rsidRPr="005273A1">
        <w:rPr>
          <w:rFonts w:eastAsiaTheme="minorEastAsia"/>
          <w:noProof/>
          <w:sz w:val="24"/>
        </w:rPr>
        <w:pict>
          <v:polyline id="_x0000_s697185" style="position:absolute;left:0;text-align:left;z-index:251836416;mso-position-horizontal-relative:text;mso-position-vertical-relative:text;mso-width-relative:page;mso-height-relative:page" points="41.1pt,149.45pt,44.4pt,150.15pt,45.95pt,150.45pt,47.1pt,150.85pt,55.4pt,151.95pt,62.4pt,155.7pt,73.65pt,157.55pt,94.7pt,153.8pt" coordsize="1072,162" filled="f" strokecolor="#938953" strokeweight="1.5pt">
            <v:path arrowok="t"/>
          </v:polyline>
        </w:pict>
      </w:r>
      <w:r w:rsidRPr="005273A1">
        <w:rPr>
          <w:rFonts w:eastAsiaTheme="minorEastAsia"/>
          <w:sz w:val="24"/>
        </w:rPr>
        <w:pict>
          <v:shape id="_x0000_s697006" style="position:absolute;left:0;text-align:left;margin-left:329.85pt;margin-top:140.95pt;width:24.75pt;height:62.9pt;z-index:251725824;mso-position-horizontal-relative:text;mso-position-vertical-relative:text;mso-width-relative:page;mso-height-relative:page" coordsize="495,1258" path="m,l271,603r224,655l271,631,,xe" strokecolor="#938953" strokeweight="1.5pt">
            <v:path arrowok="t"/>
          </v:shape>
        </w:pict>
      </w:r>
      <w:r w:rsidRPr="005273A1">
        <w:rPr>
          <w:rFonts w:eastAsiaTheme="minorEastAsia"/>
          <w:sz w:val="24"/>
        </w:rPr>
        <w:pict>
          <v:polyline id="_x0000_s697007" style="position:absolute;left:0;text-align:left;z-index:251726848;mso-position-horizontal-relative:text;mso-position-vertical-relative:text;mso-width-relative:page;mso-height-relative:page" points="127.45pt,232.2pt,140.5pt,226.3pt,146.55pt,223.5pt,151.25pt,220.2pt,217.15pt,204.8pt,262.5pt,193.55pt,338.75pt,175.7pt" coordsize="4226,1130" filled="f" strokecolor="#938953" strokeweight="1.5pt">
            <v:path arrowok="t"/>
          </v:polyline>
        </w:pict>
      </w:r>
      <w:r w:rsidRPr="005273A1">
        <w:rPr>
          <w:rFonts w:eastAsiaTheme="minorEastAsia"/>
          <w:noProof/>
          <w:sz w:val="24"/>
        </w:rPr>
        <w:pict>
          <v:rect id="_x0000_s697184" style="position:absolute;left:0;text-align:left;margin-left:182.6pt;margin-top:213.65pt;width:10.6pt;height:10.25pt;z-index:251835392;mso-position-horizontal-relative:text;mso-position-vertical-relative:text" fillcolor="#938953" strokecolor="#938953"/>
        </w:pict>
      </w:r>
      <w:r w:rsidRPr="005273A1">
        <w:rPr>
          <w:rFonts w:eastAsiaTheme="minorEastAsia"/>
          <w:noProof/>
          <w:sz w:val="24"/>
        </w:rPr>
        <w:pict>
          <v:shape id="_x0000_s697183" type="#_x0000_t32" style="position:absolute;left:0;text-align:left;margin-left:323.65pt;margin-top:119.2pt;width:6.2pt;height:.05pt;z-index:251834368;mso-position-horizontal-relative:text;mso-position-vertical-relative:text" o:connectortype="straight" strokecolor="yellow" strokeweight="1.5pt"/>
        </w:pict>
      </w:r>
      <w:r w:rsidRPr="005273A1">
        <w:rPr>
          <w:rFonts w:eastAsiaTheme="minorEastAsia"/>
          <w:noProof/>
          <w:sz w:val="24"/>
        </w:rPr>
        <w:pict>
          <v:shape id="_x0000_s697182" type="#_x0000_t32" style="position:absolute;left:0;text-align:left;margin-left:101.55pt;margin-top:155.95pt;width:0;height:3.7pt;flip:y;z-index:251833344;mso-position-horizontal-relative:text;mso-position-vertical-relative:text" o:connectortype="straight" strokecolor="yellow" strokeweight="1.5pt"/>
        </w:pict>
      </w:r>
      <w:r w:rsidRPr="005273A1">
        <w:rPr>
          <w:rFonts w:eastAsiaTheme="minorEastAsia"/>
          <w:sz w:val="24"/>
        </w:rPr>
        <w:pict>
          <v:rect id="_x0000_s697063" style="position:absolute;left:0;text-align:left;margin-left:333.45pt;margin-top:114.4pt;width:10.6pt;height:10.25pt;z-index:251748352;mso-position-horizontal-relative:text;mso-position-vertical-relative:text" fillcolor="#938953" strokecolor="#938953"/>
        </w:pict>
      </w:r>
      <w:r w:rsidRPr="005273A1">
        <w:rPr>
          <w:rFonts w:eastAsiaTheme="minorEastAsia"/>
          <w:sz w:val="24"/>
        </w:rPr>
        <w:pict>
          <v:rect id="_x0000_s697001" style="position:absolute;left:0;text-align:left;margin-left:83.95pt;margin-top:155.95pt;width:10.6pt;height:10.25pt;z-index:251723776;mso-position-horizontal-relative:text;mso-position-vertical-relative:text" fillcolor="#938953" strokecolor="#938953"/>
        </w:pict>
      </w:r>
      <w:r w:rsidRPr="005273A1">
        <w:rPr>
          <w:rFonts w:eastAsiaTheme="minorEastAsia"/>
          <w:sz w:val="24"/>
        </w:rPr>
        <w:pict>
          <v:rect id="_x0000_s697002" style="position:absolute;left:0;text-align:left;margin-left:69.85pt;margin-top:29.15pt;width:10.6pt;height:10.25pt;z-index:251724800;mso-position-horizontal-relative:text;mso-position-vertical-relative:text" fillcolor="#938953" strokecolor="#938953"/>
        </w:pict>
      </w:r>
      <w:r w:rsidRPr="005273A1">
        <w:rPr>
          <w:rFonts w:eastAsiaTheme="minorEastAsia"/>
          <w:sz w:val="24"/>
        </w:rPr>
        <w:pict>
          <v:shape id="_x0000_s697000" type="#_x0000_t32" style="position:absolute;left:0;text-align:left;margin-left:83.95pt;margin-top:24.5pt;width:25.9pt;height:.05pt;z-index:251727872;mso-position-horizontal-relative:text;mso-position-vertical-relative:text" o:connectortype="straight" strokecolor="yellow" strokeweight="1.5pt"/>
        </w:pict>
      </w:r>
      <w:r w:rsidRPr="005273A1">
        <w:rPr>
          <w:rFonts w:eastAsiaTheme="minorEastAsia"/>
          <w:sz w:val="24"/>
        </w:rPr>
        <w:pict>
          <v:rect id="_x0000_s697013" style="position:absolute;left:0;text-align:left;margin-left:11.9pt;margin-top:243pt;width:8.7pt;height:10.35pt;z-index:251732992;mso-position-horizontal-relative:text;mso-position-vertical-relative:text" fillcolor="#938953" strokecolor="#938953"/>
        </w:pict>
      </w:r>
      <w:r w:rsidRPr="005273A1">
        <w:rPr>
          <w:rFonts w:eastAsiaTheme="minorEastAsia"/>
          <w:sz w:val="24"/>
        </w:rPr>
        <w:pict>
          <v:shape id="_x0000_s697012" type="#_x0000_t32" style="position:absolute;left:0;text-align:left;margin-left:8.25pt;margin-top:232.2pt;width:16.4pt;height:0;z-index:251731968;mso-position-horizontal-relative:text;mso-position-vertical-relative:text" o:connectortype="straight" strokecolor="yellow" strokeweight="2.25pt"/>
        </w:pict>
      </w:r>
      <w:r w:rsidRPr="005273A1">
        <w:rPr>
          <w:rFonts w:eastAsiaTheme="minorEastAsia"/>
          <w:sz w:val="24"/>
        </w:rPr>
        <w:pict>
          <v:rect id="_x0000_s697010" style="position:absolute;left:0;text-align:left;margin-left:6.2pt;margin-top:212.05pt;width:16.95pt;height:11.85pt;z-index:251730944;mso-position-horizontal-relative:text;mso-position-vertical-relative:text" fillcolor="#4bacc6" strokecolor="#4bacc6">
            <v:fill opacity=".5" color2="#92cddc" o:opacity2=".5" rotate="t" focus="100%" type="gradient"/>
          </v:rect>
        </w:pict>
      </w:r>
      <w:r w:rsidRPr="005273A1">
        <w:rPr>
          <w:rFonts w:eastAsiaTheme="minorEastAsia"/>
          <w:sz w:val="24"/>
        </w:rPr>
        <w:pict>
          <v:shape id="_x0000_s697009" type="#_x0000_t202" style="position:absolute;left:0;text-align:left;margin-left:2.45pt;margin-top:190.75pt;width:125pt;height:72.2pt;z-index:251729920;mso-position-horizontal-relative:text;mso-position-vertical-relative:text">
            <v:textbox>
              <w:txbxContent>
                <w:p w:rsidR="000D2D13" w:rsidRDefault="000D2D13">
                  <w:pPr>
                    <w:spacing w:line="240" w:lineRule="atLeast"/>
                    <w:jc w:val="center"/>
                    <w:rPr>
                      <w:sz w:val="18"/>
                      <w:szCs w:val="18"/>
                    </w:rPr>
                  </w:pPr>
                  <w:r>
                    <w:rPr>
                      <w:sz w:val="18"/>
                      <w:szCs w:val="18"/>
                    </w:rPr>
                    <w:t>图例</w:t>
                  </w:r>
                </w:p>
                <w:p w:rsidR="000D2D13" w:rsidRDefault="000D2D13">
                  <w:pPr>
                    <w:spacing w:line="240" w:lineRule="atLeast"/>
                    <w:ind w:firstLineChars="250" w:firstLine="375"/>
                    <w:rPr>
                      <w:sz w:val="15"/>
                      <w:szCs w:val="15"/>
                    </w:rPr>
                  </w:pPr>
                  <w:r>
                    <w:rPr>
                      <w:rFonts w:hint="eastAsia"/>
                      <w:sz w:val="15"/>
                      <w:szCs w:val="15"/>
                    </w:rPr>
                    <w:t>生活区</w:t>
                  </w:r>
                </w:p>
                <w:p w:rsidR="000D2D13" w:rsidRDefault="000D2D13">
                  <w:pPr>
                    <w:spacing w:line="240" w:lineRule="atLeast"/>
                    <w:ind w:firstLineChars="250" w:firstLine="375"/>
                    <w:rPr>
                      <w:sz w:val="15"/>
                      <w:szCs w:val="15"/>
                    </w:rPr>
                  </w:pPr>
                  <w:r>
                    <w:rPr>
                      <w:rFonts w:hint="eastAsia"/>
                      <w:sz w:val="15"/>
                      <w:szCs w:val="15"/>
                    </w:rPr>
                    <w:t>临时道路</w:t>
                  </w:r>
                </w:p>
                <w:p w:rsidR="000D2D13" w:rsidRDefault="000D2D13">
                  <w:pPr>
                    <w:spacing w:line="240" w:lineRule="atLeast"/>
                    <w:ind w:firstLineChars="250" w:firstLine="375"/>
                    <w:rPr>
                      <w:sz w:val="15"/>
                      <w:szCs w:val="15"/>
                    </w:rPr>
                  </w:pPr>
                  <w:r>
                    <w:rPr>
                      <w:rFonts w:hint="eastAsia"/>
                      <w:sz w:val="15"/>
                      <w:szCs w:val="15"/>
                    </w:rPr>
                    <w:t>施工场地（含料场弃土堆场）</w:t>
                  </w:r>
                </w:p>
              </w:txbxContent>
            </v:textbox>
          </v:shape>
        </w:pict>
      </w:r>
      <w:r w:rsidR="00193E44" w:rsidRPr="00F9522B">
        <w:rPr>
          <w:rFonts w:eastAsiaTheme="minorEastAsia"/>
          <w:noProof/>
          <w:szCs w:val="21"/>
        </w:rPr>
        <w:drawing>
          <wp:inline distT="0" distB="0" distL="0" distR="0">
            <wp:extent cx="5274310" cy="3318384"/>
            <wp:effectExtent l="19050" t="19050" r="21590" b="15366"/>
            <wp:docPr id="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srcRect/>
                    <a:stretch>
                      <a:fillRect/>
                    </a:stretch>
                  </pic:blipFill>
                  <pic:spPr bwMode="auto">
                    <a:xfrm>
                      <a:off x="0" y="0"/>
                      <a:ext cx="5274310" cy="3318384"/>
                    </a:xfrm>
                    <a:prstGeom prst="rect">
                      <a:avLst/>
                    </a:prstGeom>
                    <a:noFill/>
                    <a:ln w="9525">
                      <a:solidFill>
                        <a:schemeClr val="tx1"/>
                      </a:solidFill>
                      <a:miter lim="800000"/>
                      <a:headEnd/>
                      <a:tailEnd/>
                    </a:ln>
                  </pic:spPr>
                </pic:pic>
              </a:graphicData>
            </a:graphic>
          </wp:inline>
        </w:drawing>
      </w:r>
    </w:p>
    <w:p w:rsidR="002A5A5E" w:rsidRPr="00F9522B" w:rsidRDefault="00611CBA">
      <w:pPr>
        <w:widowControl/>
        <w:spacing w:line="360" w:lineRule="auto"/>
        <w:jc w:val="center"/>
        <w:textAlignment w:val="baseline"/>
        <w:rPr>
          <w:rFonts w:eastAsiaTheme="minorEastAsia"/>
          <w:sz w:val="24"/>
        </w:rPr>
      </w:pPr>
      <w:r w:rsidRPr="00F9522B">
        <w:rPr>
          <w:rStyle w:val="Charf3"/>
          <w:rFonts w:ascii="Times New Roman" w:eastAsiaTheme="minorEastAsia" w:hAnsi="Times New Roman"/>
        </w:rPr>
        <w:t>图</w:t>
      </w:r>
      <w:r w:rsidRPr="00F9522B">
        <w:rPr>
          <w:rStyle w:val="Charf3"/>
          <w:rFonts w:ascii="Times New Roman" w:eastAsiaTheme="minorEastAsia" w:hAnsi="Times New Roman"/>
        </w:rPr>
        <w:t>3-1-</w:t>
      </w:r>
      <w:r w:rsidR="00CC24C1" w:rsidRPr="00F9522B">
        <w:rPr>
          <w:rStyle w:val="Charf3"/>
          <w:rFonts w:ascii="Times New Roman" w:eastAsiaTheme="minorEastAsia" w:hAnsi="Times New Roman"/>
        </w:rPr>
        <w:t>4</w:t>
      </w:r>
      <w:r w:rsidRPr="00F9522B">
        <w:rPr>
          <w:rFonts w:eastAsiaTheme="minorEastAsia"/>
          <w:b/>
          <w:szCs w:val="21"/>
        </w:rPr>
        <w:t>典型施工总体布置（道路工程、料场、生活区）</w:t>
      </w:r>
      <w:r w:rsidRPr="00F9522B">
        <w:rPr>
          <w:rStyle w:val="Charf3"/>
          <w:rFonts w:ascii="Times New Roman" w:eastAsiaTheme="minorEastAsia" w:hAnsi="Times New Roman"/>
        </w:rPr>
        <w:t>图</w:t>
      </w:r>
    </w:p>
    <w:p w:rsidR="002A5A5E" w:rsidRPr="00F9522B" w:rsidRDefault="00611CBA">
      <w:pPr>
        <w:keepNext/>
        <w:keepLines/>
        <w:spacing w:before="100" w:beforeAutospacing="1" w:after="100" w:afterAutospacing="1"/>
        <w:outlineLvl w:val="2"/>
        <w:rPr>
          <w:rFonts w:eastAsiaTheme="minorEastAsia"/>
          <w:b/>
          <w:sz w:val="28"/>
          <w:szCs w:val="28"/>
        </w:rPr>
      </w:pPr>
      <w:r w:rsidRPr="00F9522B">
        <w:rPr>
          <w:rFonts w:eastAsiaTheme="minorEastAsia"/>
          <w:b/>
          <w:sz w:val="28"/>
          <w:szCs w:val="28"/>
        </w:rPr>
        <w:lastRenderedPageBreak/>
        <w:t>3.1.13</w:t>
      </w:r>
      <w:r w:rsidRPr="00F9522B">
        <w:rPr>
          <w:rFonts w:eastAsiaTheme="minorEastAsia"/>
          <w:b/>
          <w:sz w:val="28"/>
          <w:szCs w:val="28"/>
        </w:rPr>
        <w:t>施工进度安排</w:t>
      </w:r>
    </w:p>
    <w:p w:rsidR="002A5A5E" w:rsidRPr="00F9522B" w:rsidRDefault="00611CBA">
      <w:pPr>
        <w:adjustRightInd w:val="0"/>
        <w:snapToGrid w:val="0"/>
        <w:spacing w:line="360" w:lineRule="auto"/>
        <w:ind w:firstLineChars="200" w:firstLine="480"/>
        <w:rPr>
          <w:rFonts w:eastAsiaTheme="minorEastAsia"/>
          <w:snapToGrid w:val="0"/>
          <w:kern w:val="0"/>
          <w:sz w:val="24"/>
        </w:rPr>
      </w:pPr>
      <w:r w:rsidRPr="00F9522B">
        <w:rPr>
          <w:rFonts w:eastAsiaTheme="minorEastAsia"/>
          <w:snapToGrid w:val="0"/>
          <w:kern w:val="0"/>
          <w:sz w:val="24"/>
        </w:rPr>
        <w:t>项目建设期为</w:t>
      </w:r>
      <w:r w:rsidRPr="00F9522B">
        <w:rPr>
          <w:rFonts w:eastAsiaTheme="minorEastAsia"/>
          <w:snapToGrid w:val="0"/>
          <w:kern w:val="0"/>
          <w:sz w:val="24"/>
        </w:rPr>
        <w:t>202</w:t>
      </w:r>
      <w:r w:rsidR="00D00C4A" w:rsidRPr="00F9522B">
        <w:rPr>
          <w:rFonts w:eastAsiaTheme="minorEastAsia"/>
          <w:snapToGrid w:val="0"/>
          <w:kern w:val="0"/>
          <w:sz w:val="24"/>
        </w:rPr>
        <w:t>6</w:t>
      </w:r>
      <w:r w:rsidRPr="00F9522B">
        <w:rPr>
          <w:rFonts w:eastAsiaTheme="minorEastAsia"/>
          <w:snapToGrid w:val="0"/>
          <w:kern w:val="0"/>
          <w:sz w:val="24"/>
        </w:rPr>
        <w:t>年</w:t>
      </w:r>
      <w:r w:rsidR="00D00C4A" w:rsidRPr="00F9522B">
        <w:rPr>
          <w:rFonts w:eastAsiaTheme="minorEastAsia"/>
          <w:snapToGrid w:val="0"/>
          <w:kern w:val="0"/>
          <w:sz w:val="24"/>
        </w:rPr>
        <w:t>8</w:t>
      </w:r>
      <w:r w:rsidRPr="00F9522B">
        <w:rPr>
          <w:rFonts w:eastAsiaTheme="minorEastAsia"/>
          <w:snapToGrid w:val="0"/>
          <w:kern w:val="0"/>
          <w:sz w:val="24"/>
        </w:rPr>
        <w:t>月～</w:t>
      </w:r>
      <w:r w:rsidRPr="00F9522B">
        <w:rPr>
          <w:rFonts w:eastAsiaTheme="minorEastAsia"/>
          <w:snapToGrid w:val="0"/>
          <w:kern w:val="0"/>
          <w:sz w:val="24"/>
        </w:rPr>
        <w:t>202</w:t>
      </w:r>
      <w:r w:rsidR="00D00C4A" w:rsidRPr="00F9522B">
        <w:rPr>
          <w:rFonts w:eastAsiaTheme="minorEastAsia"/>
          <w:snapToGrid w:val="0"/>
          <w:kern w:val="0"/>
          <w:sz w:val="24"/>
        </w:rPr>
        <w:t>8</w:t>
      </w:r>
      <w:r w:rsidRPr="00F9522B">
        <w:rPr>
          <w:rFonts w:eastAsiaTheme="minorEastAsia"/>
          <w:snapToGrid w:val="0"/>
          <w:kern w:val="0"/>
          <w:sz w:val="24"/>
        </w:rPr>
        <w:t>年</w:t>
      </w:r>
      <w:r w:rsidRPr="00F9522B">
        <w:rPr>
          <w:rFonts w:eastAsiaTheme="minorEastAsia"/>
          <w:snapToGrid w:val="0"/>
          <w:kern w:val="0"/>
          <w:sz w:val="24"/>
        </w:rPr>
        <w:t>2</w:t>
      </w:r>
      <w:r w:rsidRPr="00F9522B">
        <w:rPr>
          <w:rFonts w:eastAsiaTheme="minorEastAsia"/>
          <w:snapToGrid w:val="0"/>
          <w:kern w:val="0"/>
          <w:sz w:val="24"/>
        </w:rPr>
        <w:t>月，工期</w:t>
      </w:r>
      <w:r w:rsidRPr="00F9522B">
        <w:rPr>
          <w:rFonts w:eastAsiaTheme="minorEastAsia"/>
          <w:snapToGrid w:val="0"/>
          <w:kern w:val="0"/>
          <w:sz w:val="24"/>
        </w:rPr>
        <w:t>1</w:t>
      </w:r>
      <w:r w:rsidR="00D00C4A" w:rsidRPr="00F9522B">
        <w:rPr>
          <w:rFonts w:eastAsiaTheme="minorEastAsia"/>
          <w:snapToGrid w:val="0"/>
          <w:kern w:val="0"/>
          <w:sz w:val="24"/>
        </w:rPr>
        <w:t>8</w:t>
      </w:r>
      <w:r w:rsidRPr="00F9522B">
        <w:rPr>
          <w:rFonts w:eastAsiaTheme="minorEastAsia"/>
          <w:snapToGrid w:val="0"/>
          <w:kern w:val="0"/>
          <w:sz w:val="24"/>
        </w:rPr>
        <w:t>个月。多个片区同时施工，具体安排如下：</w:t>
      </w:r>
    </w:p>
    <w:p w:rsidR="002A5A5E" w:rsidRPr="00F9522B" w:rsidRDefault="00611CBA">
      <w:pPr>
        <w:adjustRightInd w:val="0"/>
        <w:snapToGrid w:val="0"/>
        <w:spacing w:line="360" w:lineRule="auto"/>
        <w:ind w:firstLineChars="200" w:firstLine="480"/>
        <w:rPr>
          <w:rFonts w:eastAsiaTheme="minorEastAsia"/>
          <w:snapToGrid w:val="0"/>
          <w:kern w:val="0"/>
          <w:sz w:val="24"/>
        </w:rPr>
      </w:pPr>
      <w:r w:rsidRPr="00F9522B">
        <w:rPr>
          <w:rFonts w:eastAsiaTheme="minorEastAsia"/>
          <w:snapToGrid w:val="0"/>
          <w:kern w:val="0"/>
          <w:sz w:val="24"/>
        </w:rPr>
        <w:t>202</w:t>
      </w:r>
      <w:r w:rsidR="00D00C4A" w:rsidRPr="00F9522B">
        <w:rPr>
          <w:rFonts w:eastAsiaTheme="minorEastAsia"/>
          <w:snapToGrid w:val="0"/>
          <w:kern w:val="0"/>
          <w:sz w:val="24"/>
        </w:rPr>
        <w:t>6</w:t>
      </w:r>
      <w:r w:rsidRPr="00F9522B">
        <w:rPr>
          <w:rFonts w:eastAsiaTheme="minorEastAsia"/>
          <w:snapToGrid w:val="0"/>
          <w:kern w:val="0"/>
          <w:sz w:val="24"/>
        </w:rPr>
        <w:t>年</w:t>
      </w:r>
      <w:r w:rsidR="00D00C4A" w:rsidRPr="00F9522B">
        <w:rPr>
          <w:rFonts w:eastAsiaTheme="minorEastAsia"/>
          <w:snapToGrid w:val="0"/>
          <w:kern w:val="0"/>
          <w:sz w:val="24"/>
        </w:rPr>
        <w:t>8</w:t>
      </w:r>
      <w:r w:rsidRPr="00F9522B">
        <w:rPr>
          <w:rFonts w:eastAsiaTheme="minorEastAsia"/>
          <w:snapToGrid w:val="0"/>
          <w:kern w:val="0"/>
          <w:sz w:val="24"/>
        </w:rPr>
        <w:t>月：施工准备、备料，完成农田输配电工程施工；</w:t>
      </w:r>
    </w:p>
    <w:p w:rsidR="002A5A5E" w:rsidRPr="00F9522B" w:rsidRDefault="00611CBA">
      <w:pPr>
        <w:adjustRightInd w:val="0"/>
        <w:snapToGrid w:val="0"/>
        <w:spacing w:line="360" w:lineRule="auto"/>
        <w:ind w:firstLineChars="200" w:firstLine="480"/>
        <w:rPr>
          <w:rFonts w:eastAsiaTheme="minorEastAsia"/>
          <w:snapToGrid w:val="0"/>
          <w:kern w:val="0"/>
          <w:sz w:val="24"/>
        </w:rPr>
      </w:pPr>
      <w:r w:rsidRPr="00F9522B">
        <w:rPr>
          <w:rFonts w:eastAsiaTheme="minorEastAsia"/>
          <w:snapToGrid w:val="0"/>
          <w:kern w:val="0"/>
          <w:sz w:val="24"/>
        </w:rPr>
        <w:t>202</w:t>
      </w:r>
      <w:r w:rsidR="00D00C4A" w:rsidRPr="00F9522B">
        <w:rPr>
          <w:rFonts w:eastAsiaTheme="minorEastAsia"/>
          <w:snapToGrid w:val="0"/>
          <w:kern w:val="0"/>
          <w:sz w:val="24"/>
        </w:rPr>
        <w:t>7</w:t>
      </w:r>
      <w:r w:rsidRPr="00F9522B">
        <w:rPr>
          <w:rFonts w:eastAsiaTheme="minorEastAsia"/>
          <w:snapToGrid w:val="0"/>
          <w:kern w:val="0"/>
          <w:sz w:val="24"/>
        </w:rPr>
        <w:t>年</w:t>
      </w:r>
      <w:r w:rsidRPr="00F9522B">
        <w:rPr>
          <w:rFonts w:eastAsiaTheme="minorEastAsia"/>
          <w:snapToGrid w:val="0"/>
          <w:kern w:val="0"/>
          <w:sz w:val="24"/>
        </w:rPr>
        <w:t>3</w:t>
      </w:r>
      <w:r w:rsidRPr="00F9522B">
        <w:rPr>
          <w:rFonts w:eastAsiaTheme="minorEastAsia"/>
          <w:snapToGrid w:val="0"/>
          <w:kern w:val="0"/>
          <w:sz w:val="24"/>
        </w:rPr>
        <w:t>月～</w:t>
      </w:r>
      <w:r w:rsidRPr="00F9522B">
        <w:rPr>
          <w:rFonts w:eastAsiaTheme="minorEastAsia"/>
          <w:snapToGrid w:val="0"/>
          <w:kern w:val="0"/>
          <w:sz w:val="24"/>
        </w:rPr>
        <w:t>202</w:t>
      </w:r>
      <w:r w:rsidR="00D00C4A" w:rsidRPr="00F9522B">
        <w:rPr>
          <w:rFonts w:eastAsiaTheme="minorEastAsia"/>
          <w:snapToGrid w:val="0"/>
          <w:kern w:val="0"/>
          <w:sz w:val="24"/>
        </w:rPr>
        <w:t>7</w:t>
      </w:r>
      <w:r w:rsidRPr="00F9522B">
        <w:rPr>
          <w:rFonts w:eastAsiaTheme="minorEastAsia"/>
          <w:snapToGrid w:val="0"/>
          <w:kern w:val="0"/>
          <w:sz w:val="24"/>
        </w:rPr>
        <w:t>年</w:t>
      </w:r>
      <w:r w:rsidRPr="00F9522B">
        <w:rPr>
          <w:rFonts w:eastAsiaTheme="minorEastAsia"/>
          <w:snapToGrid w:val="0"/>
          <w:kern w:val="0"/>
          <w:sz w:val="24"/>
        </w:rPr>
        <w:t>4</w:t>
      </w:r>
      <w:r w:rsidRPr="00F9522B">
        <w:rPr>
          <w:rFonts w:eastAsiaTheme="minorEastAsia"/>
          <w:snapToGrid w:val="0"/>
          <w:kern w:val="0"/>
          <w:sz w:val="24"/>
        </w:rPr>
        <w:t>月：完成灌溉与排水工程（排水沟清淤、建筑物工程、灌溉渠道衬砌</w:t>
      </w:r>
      <w:r w:rsidRPr="00F9522B">
        <w:rPr>
          <w:rFonts w:eastAsiaTheme="minorEastAsia"/>
          <w:bCs/>
          <w:kern w:val="0"/>
          <w:sz w:val="24"/>
          <w:szCs w:val="20"/>
        </w:rPr>
        <w:t>等</w:t>
      </w:r>
      <w:r w:rsidRPr="00F9522B">
        <w:rPr>
          <w:rFonts w:eastAsiaTheme="minorEastAsia"/>
          <w:snapToGrid w:val="0"/>
          <w:kern w:val="0"/>
          <w:sz w:val="24"/>
        </w:rPr>
        <w:t>）；</w:t>
      </w:r>
    </w:p>
    <w:p w:rsidR="002A5A5E" w:rsidRPr="00F9522B" w:rsidRDefault="00611CBA">
      <w:pPr>
        <w:adjustRightInd w:val="0"/>
        <w:snapToGrid w:val="0"/>
        <w:spacing w:line="360" w:lineRule="auto"/>
        <w:ind w:firstLineChars="200" w:firstLine="480"/>
        <w:rPr>
          <w:rFonts w:eastAsiaTheme="minorEastAsia"/>
          <w:snapToGrid w:val="0"/>
          <w:kern w:val="0"/>
          <w:sz w:val="24"/>
        </w:rPr>
      </w:pPr>
      <w:r w:rsidRPr="00F9522B">
        <w:rPr>
          <w:rFonts w:eastAsiaTheme="minorEastAsia"/>
          <w:snapToGrid w:val="0"/>
          <w:kern w:val="0"/>
          <w:sz w:val="24"/>
        </w:rPr>
        <w:t>202</w:t>
      </w:r>
      <w:r w:rsidR="00D00C4A" w:rsidRPr="00F9522B">
        <w:rPr>
          <w:rFonts w:eastAsiaTheme="minorEastAsia"/>
          <w:snapToGrid w:val="0"/>
          <w:kern w:val="0"/>
          <w:sz w:val="24"/>
        </w:rPr>
        <w:t>7</w:t>
      </w:r>
      <w:r w:rsidRPr="00F9522B">
        <w:rPr>
          <w:rFonts w:eastAsiaTheme="minorEastAsia"/>
          <w:snapToGrid w:val="0"/>
          <w:kern w:val="0"/>
          <w:sz w:val="24"/>
        </w:rPr>
        <w:t>年</w:t>
      </w:r>
      <w:r w:rsidRPr="00F9522B">
        <w:rPr>
          <w:rFonts w:eastAsiaTheme="minorEastAsia"/>
          <w:snapToGrid w:val="0"/>
          <w:kern w:val="0"/>
          <w:sz w:val="24"/>
        </w:rPr>
        <w:t>5</w:t>
      </w:r>
      <w:r w:rsidRPr="00F9522B">
        <w:rPr>
          <w:rFonts w:eastAsiaTheme="minorEastAsia"/>
          <w:snapToGrid w:val="0"/>
          <w:kern w:val="0"/>
          <w:sz w:val="24"/>
        </w:rPr>
        <w:t>月～</w:t>
      </w:r>
      <w:r w:rsidRPr="00F9522B">
        <w:rPr>
          <w:rFonts w:eastAsiaTheme="minorEastAsia"/>
          <w:snapToGrid w:val="0"/>
          <w:kern w:val="0"/>
          <w:sz w:val="24"/>
        </w:rPr>
        <w:t>202</w:t>
      </w:r>
      <w:r w:rsidR="008A3A95" w:rsidRPr="00F9522B">
        <w:rPr>
          <w:rFonts w:eastAsiaTheme="minorEastAsia"/>
          <w:snapToGrid w:val="0"/>
          <w:kern w:val="0"/>
          <w:sz w:val="24"/>
        </w:rPr>
        <w:t>7</w:t>
      </w:r>
      <w:r w:rsidRPr="00F9522B">
        <w:rPr>
          <w:rFonts w:eastAsiaTheme="minorEastAsia"/>
          <w:snapToGrid w:val="0"/>
          <w:kern w:val="0"/>
          <w:sz w:val="24"/>
        </w:rPr>
        <w:t>年</w:t>
      </w:r>
      <w:r w:rsidRPr="00F9522B">
        <w:rPr>
          <w:rFonts w:eastAsiaTheme="minorEastAsia"/>
          <w:snapToGrid w:val="0"/>
          <w:kern w:val="0"/>
          <w:sz w:val="24"/>
        </w:rPr>
        <w:t>9</w:t>
      </w:r>
      <w:r w:rsidRPr="00F9522B">
        <w:rPr>
          <w:rFonts w:eastAsiaTheme="minorEastAsia"/>
          <w:snapToGrid w:val="0"/>
          <w:kern w:val="0"/>
          <w:sz w:val="24"/>
        </w:rPr>
        <w:t>月：完成田间道路工程、灌溉井工程施工；</w:t>
      </w:r>
    </w:p>
    <w:p w:rsidR="002A5A5E" w:rsidRPr="00F9522B" w:rsidRDefault="00611CBA">
      <w:pPr>
        <w:adjustRightInd w:val="0"/>
        <w:snapToGrid w:val="0"/>
        <w:spacing w:line="360" w:lineRule="auto"/>
        <w:ind w:firstLineChars="200" w:firstLine="480"/>
        <w:rPr>
          <w:rFonts w:eastAsiaTheme="minorEastAsia"/>
          <w:snapToGrid w:val="0"/>
          <w:kern w:val="0"/>
          <w:sz w:val="24"/>
        </w:rPr>
      </w:pPr>
      <w:r w:rsidRPr="00F9522B">
        <w:rPr>
          <w:rFonts w:eastAsiaTheme="minorEastAsia"/>
          <w:snapToGrid w:val="0"/>
          <w:kern w:val="0"/>
          <w:sz w:val="24"/>
        </w:rPr>
        <w:t>202</w:t>
      </w:r>
      <w:r w:rsidR="008A3A95" w:rsidRPr="00F9522B">
        <w:rPr>
          <w:rFonts w:eastAsiaTheme="minorEastAsia"/>
          <w:snapToGrid w:val="0"/>
          <w:kern w:val="0"/>
          <w:sz w:val="24"/>
        </w:rPr>
        <w:t>7</w:t>
      </w:r>
      <w:r w:rsidRPr="00F9522B">
        <w:rPr>
          <w:rFonts w:eastAsiaTheme="minorEastAsia"/>
          <w:snapToGrid w:val="0"/>
          <w:kern w:val="0"/>
          <w:sz w:val="24"/>
        </w:rPr>
        <w:t>年</w:t>
      </w:r>
      <w:r w:rsidRPr="00F9522B">
        <w:rPr>
          <w:rFonts w:eastAsiaTheme="minorEastAsia"/>
          <w:snapToGrid w:val="0"/>
          <w:kern w:val="0"/>
          <w:sz w:val="24"/>
        </w:rPr>
        <w:t>12</w:t>
      </w:r>
      <w:r w:rsidRPr="00F9522B">
        <w:rPr>
          <w:rFonts w:eastAsiaTheme="minorEastAsia"/>
          <w:snapToGrid w:val="0"/>
          <w:kern w:val="0"/>
          <w:sz w:val="24"/>
        </w:rPr>
        <w:t>月～</w:t>
      </w:r>
      <w:r w:rsidRPr="00F9522B">
        <w:rPr>
          <w:rFonts w:eastAsiaTheme="minorEastAsia"/>
          <w:snapToGrid w:val="0"/>
          <w:kern w:val="0"/>
          <w:sz w:val="24"/>
        </w:rPr>
        <w:t>202</w:t>
      </w:r>
      <w:r w:rsidR="008A3A95" w:rsidRPr="00F9522B">
        <w:rPr>
          <w:rFonts w:eastAsiaTheme="minorEastAsia"/>
          <w:snapToGrid w:val="0"/>
          <w:kern w:val="0"/>
          <w:sz w:val="24"/>
        </w:rPr>
        <w:t>8</w:t>
      </w:r>
      <w:r w:rsidRPr="00F9522B">
        <w:rPr>
          <w:rFonts w:eastAsiaTheme="minorEastAsia"/>
          <w:snapToGrid w:val="0"/>
          <w:kern w:val="0"/>
          <w:sz w:val="24"/>
        </w:rPr>
        <w:t>年</w:t>
      </w:r>
      <w:r w:rsidRPr="00F9522B">
        <w:rPr>
          <w:rFonts w:eastAsiaTheme="minorEastAsia"/>
          <w:snapToGrid w:val="0"/>
          <w:kern w:val="0"/>
          <w:sz w:val="24"/>
        </w:rPr>
        <w:t>1</w:t>
      </w:r>
      <w:r w:rsidR="00D61453" w:rsidRPr="00F9522B">
        <w:rPr>
          <w:rFonts w:eastAsiaTheme="minorEastAsia"/>
          <w:snapToGrid w:val="0"/>
          <w:kern w:val="0"/>
          <w:sz w:val="24"/>
        </w:rPr>
        <w:t>月：完成田块整治工程施工</w:t>
      </w:r>
      <w:r w:rsidRPr="00F9522B">
        <w:rPr>
          <w:rFonts w:eastAsiaTheme="minorEastAsia"/>
          <w:snapToGrid w:val="0"/>
          <w:kern w:val="0"/>
          <w:sz w:val="24"/>
        </w:rPr>
        <w:t>；</w:t>
      </w:r>
    </w:p>
    <w:p w:rsidR="002A5A5E" w:rsidRPr="00F9522B" w:rsidRDefault="00611CBA">
      <w:pPr>
        <w:adjustRightInd w:val="0"/>
        <w:snapToGrid w:val="0"/>
        <w:spacing w:line="360" w:lineRule="auto"/>
        <w:ind w:firstLineChars="200" w:firstLine="480"/>
        <w:rPr>
          <w:rFonts w:eastAsiaTheme="minorEastAsia"/>
          <w:snapToGrid w:val="0"/>
          <w:kern w:val="0"/>
          <w:sz w:val="24"/>
        </w:rPr>
      </w:pPr>
      <w:r w:rsidRPr="00F9522B">
        <w:rPr>
          <w:rFonts w:eastAsiaTheme="minorEastAsia"/>
          <w:snapToGrid w:val="0"/>
          <w:kern w:val="0"/>
          <w:sz w:val="24"/>
        </w:rPr>
        <w:t>202</w:t>
      </w:r>
      <w:r w:rsidR="008A3A95" w:rsidRPr="00F9522B">
        <w:rPr>
          <w:rFonts w:eastAsiaTheme="minorEastAsia"/>
          <w:snapToGrid w:val="0"/>
          <w:kern w:val="0"/>
          <w:sz w:val="24"/>
        </w:rPr>
        <w:t>8</w:t>
      </w:r>
      <w:r w:rsidRPr="00F9522B">
        <w:rPr>
          <w:rFonts w:eastAsiaTheme="minorEastAsia"/>
          <w:snapToGrid w:val="0"/>
          <w:kern w:val="0"/>
          <w:sz w:val="24"/>
        </w:rPr>
        <w:t>年</w:t>
      </w:r>
      <w:r w:rsidRPr="00F9522B">
        <w:rPr>
          <w:rFonts w:eastAsiaTheme="minorEastAsia"/>
          <w:snapToGrid w:val="0"/>
          <w:kern w:val="0"/>
          <w:sz w:val="24"/>
        </w:rPr>
        <w:t>2</w:t>
      </w:r>
      <w:r w:rsidRPr="00F9522B">
        <w:rPr>
          <w:rFonts w:eastAsiaTheme="minorEastAsia"/>
          <w:snapToGrid w:val="0"/>
          <w:kern w:val="0"/>
          <w:sz w:val="24"/>
        </w:rPr>
        <w:t>月：验收工作。</w:t>
      </w:r>
    </w:p>
    <w:p w:rsidR="002A5A5E" w:rsidRPr="00F9522B" w:rsidRDefault="00611CBA">
      <w:pPr>
        <w:keepNext/>
        <w:keepLines/>
        <w:spacing w:before="100" w:beforeAutospacing="1" w:after="100" w:afterAutospacing="1"/>
        <w:outlineLvl w:val="2"/>
        <w:rPr>
          <w:rFonts w:eastAsiaTheme="minorEastAsia"/>
          <w:b/>
          <w:sz w:val="28"/>
          <w:szCs w:val="28"/>
        </w:rPr>
      </w:pPr>
      <w:r w:rsidRPr="00F9522B">
        <w:rPr>
          <w:rFonts w:eastAsiaTheme="minorEastAsia"/>
          <w:b/>
          <w:sz w:val="28"/>
          <w:szCs w:val="28"/>
        </w:rPr>
        <w:t>3.1.14</w:t>
      </w:r>
      <w:r w:rsidRPr="00F9522B">
        <w:rPr>
          <w:rFonts w:eastAsiaTheme="minorEastAsia"/>
          <w:b/>
          <w:sz w:val="28"/>
          <w:szCs w:val="28"/>
        </w:rPr>
        <w:t>生态恢复方案</w:t>
      </w:r>
    </w:p>
    <w:p w:rsidR="002A5A5E" w:rsidRPr="00F9522B" w:rsidRDefault="00611CBA">
      <w:pPr>
        <w:spacing w:line="360" w:lineRule="auto"/>
        <w:ind w:firstLineChars="200" w:firstLine="480"/>
        <w:rPr>
          <w:rFonts w:eastAsiaTheme="minorEastAsia"/>
          <w:snapToGrid w:val="0"/>
          <w:kern w:val="0"/>
          <w:sz w:val="24"/>
        </w:rPr>
      </w:pPr>
      <w:r w:rsidRPr="00F9522B">
        <w:rPr>
          <w:rFonts w:eastAsiaTheme="minorEastAsia"/>
          <w:snapToGrid w:val="0"/>
          <w:kern w:val="0"/>
          <w:sz w:val="24"/>
        </w:rPr>
        <w:t>加强管理，严格控制施工作业范围，优化施工时序，进行</w:t>
      </w:r>
      <w:r w:rsidRPr="00F9522B">
        <w:rPr>
          <w:rFonts w:eastAsiaTheme="minorEastAsia"/>
          <w:snapToGrid w:val="0"/>
          <w:kern w:val="0"/>
          <w:sz w:val="24"/>
        </w:rPr>
        <w:t>“</w:t>
      </w:r>
      <w:r w:rsidRPr="00F9522B">
        <w:rPr>
          <w:rFonts w:eastAsiaTheme="minorEastAsia"/>
          <w:snapToGrid w:val="0"/>
          <w:kern w:val="0"/>
          <w:sz w:val="24"/>
        </w:rPr>
        <w:t>边施工、边修复</w:t>
      </w:r>
      <w:r w:rsidRPr="00F9522B">
        <w:rPr>
          <w:rFonts w:eastAsiaTheme="minorEastAsia"/>
          <w:snapToGrid w:val="0"/>
          <w:kern w:val="0"/>
          <w:sz w:val="24"/>
        </w:rPr>
        <w:t>”</w:t>
      </w:r>
      <w:r w:rsidRPr="00F9522B">
        <w:rPr>
          <w:rFonts w:eastAsiaTheme="minorEastAsia"/>
          <w:snapToGrid w:val="0"/>
          <w:kern w:val="0"/>
          <w:sz w:val="24"/>
        </w:rPr>
        <w:t>，项目施工场地、临时道路、堆料场、表土暂存场在相应工程结束后需对开挖地面平整覆土，并尽快恢复原状，防止遭受降雨侵蚀。由建设单位组织生态恢复，建设单位为生态恢复工程实施责任主体。</w:t>
      </w:r>
    </w:p>
    <w:p w:rsidR="002A5A5E" w:rsidRPr="00F9522B" w:rsidRDefault="00611CBA">
      <w:pPr>
        <w:spacing w:line="360" w:lineRule="auto"/>
        <w:ind w:firstLineChars="200" w:firstLine="480"/>
        <w:rPr>
          <w:rFonts w:eastAsiaTheme="minorEastAsia"/>
          <w:kern w:val="0"/>
          <w:sz w:val="24"/>
        </w:rPr>
      </w:pPr>
      <w:r w:rsidRPr="00F9522B">
        <w:rPr>
          <w:rFonts w:eastAsiaTheme="minorEastAsia"/>
          <w:snapToGrid w:val="0"/>
          <w:kern w:val="0"/>
          <w:sz w:val="24"/>
        </w:rPr>
        <w:t>输配电工程表土及土方临时堆存在施工沿线，分区存放，设置临时拦挡并采用密目网苫盖，施工结束后分层回填，</w:t>
      </w:r>
      <w:r w:rsidR="00617138">
        <w:rPr>
          <w:rFonts w:eastAsiaTheme="minorEastAsia"/>
          <w:snapToGrid w:val="0"/>
          <w:kern w:val="0"/>
          <w:sz w:val="24"/>
        </w:rPr>
        <w:t>施工场地恢复现状草地，播撒草籽面积</w:t>
      </w:r>
      <w:r w:rsidR="00617138">
        <w:rPr>
          <w:rFonts w:eastAsiaTheme="minorEastAsia"/>
          <w:snapToGrid w:val="0"/>
          <w:kern w:val="0"/>
          <w:sz w:val="24"/>
        </w:rPr>
        <w:t>224662</w:t>
      </w:r>
      <w:r w:rsidRPr="00F9522B">
        <w:rPr>
          <w:rFonts w:eastAsiaTheme="minorEastAsia"/>
          <w:snapToGrid w:val="0"/>
          <w:kern w:val="0"/>
          <w:sz w:val="24"/>
        </w:rPr>
        <w:t>m</w:t>
      </w:r>
      <w:r w:rsidRPr="00F9522B">
        <w:rPr>
          <w:rFonts w:eastAsiaTheme="minorEastAsia"/>
          <w:snapToGrid w:val="0"/>
          <w:kern w:val="0"/>
          <w:sz w:val="24"/>
          <w:vertAlign w:val="superscript"/>
        </w:rPr>
        <w:t>2</w:t>
      </w:r>
      <w:r w:rsidRPr="00F9522B">
        <w:rPr>
          <w:rFonts w:eastAsiaTheme="minorEastAsia"/>
          <w:snapToGrid w:val="0"/>
          <w:kern w:val="0"/>
          <w:sz w:val="24"/>
        </w:rPr>
        <w:t>，草籽选用紫花苜蓿等，种草密度</w:t>
      </w:r>
      <w:r w:rsidRPr="00F9522B">
        <w:rPr>
          <w:rFonts w:eastAsiaTheme="minorEastAsia"/>
          <w:snapToGrid w:val="0"/>
          <w:kern w:val="0"/>
          <w:sz w:val="24"/>
        </w:rPr>
        <w:t>80kg/</w:t>
      </w:r>
      <w:r w:rsidRPr="00F9522B">
        <w:rPr>
          <w:rFonts w:eastAsiaTheme="minorEastAsia"/>
          <w:snapToGrid w:val="0"/>
          <w:kern w:val="0"/>
          <w:sz w:val="24"/>
        </w:rPr>
        <w:t>公顷，恢复旱地</w:t>
      </w:r>
      <w:r w:rsidR="00413308" w:rsidRPr="00F9522B">
        <w:rPr>
          <w:rFonts w:eastAsiaTheme="minorEastAsia"/>
          <w:snapToGrid w:val="0"/>
          <w:kern w:val="0"/>
          <w:sz w:val="24"/>
        </w:rPr>
        <w:t>32558</w:t>
      </w:r>
      <w:r w:rsidRPr="00F9522B">
        <w:rPr>
          <w:rFonts w:eastAsiaTheme="minorEastAsia"/>
          <w:snapToGrid w:val="0"/>
          <w:kern w:val="0"/>
          <w:sz w:val="24"/>
        </w:rPr>
        <w:t>m</w:t>
      </w:r>
      <w:r w:rsidRPr="00F9522B">
        <w:rPr>
          <w:rFonts w:eastAsiaTheme="minorEastAsia"/>
          <w:snapToGrid w:val="0"/>
          <w:kern w:val="0"/>
          <w:sz w:val="24"/>
          <w:vertAlign w:val="superscript"/>
        </w:rPr>
        <w:t>2</w:t>
      </w:r>
      <w:r w:rsidRPr="00F9522B">
        <w:rPr>
          <w:rFonts w:eastAsiaTheme="minorEastAsia"/>
          <w:snapToGrid w:val="0"/>
          <w:kern w:val="0"/>
          <w:sz w:val="24"/>
        </w:rPr>
        <w:t>；灌溉井工程剥离表土、开挖土方暂存于施工场地内，分区存放，设置临时拦挡并采用密目网苫盖，施工结束后施工场地、临时道路恢复为旱地，恢复面积</w:t>
      </w:r>
      <w:r w:rsidR="00413308" w:rsidRPr="00F9522B">
        <w:rPr>
          <w:rFonts w:eastAsiaTheme="minorEastAsia"/>
          <w:snapToGrid w:val="0"/>
          <w:kern w:val="0"/>
          <w:sz w:val="24"/>
        </w:rPr>
        <w:t>7920</w:t>
      </w:r>
      <w:r w:rsidRPr="00F9522B">
        <w:rPr>
          <w:rFonts w:eastAsiaTheme="minorEastAsia"/>
          <w:snapToGrid w:val="0"/>
          <w:kern w:val="0"/>
          <w:sz w:val="24"/>
        </w:rPr>
        <w:t>m</w:t>
      </w:r>
      <w:r w:rsidRPr="00F9522B">
        <w:rPr>
          <w:rFonts w:eastAsiaTheme="minorEastAsia"/>
          <w:snapToGrid w:val="0"/>
          <w:kern w:val="0"/>
          <w:sz w:val="24"/>
          <w:vertAlign w:val="superscript"/>
        </w:rPr>
        <w:t>2</w:t>
      </w:r>
      <w:r w:rsidRPr="00F9522B">
        <w:rPr>
          <w:rFonts w:eastAsiaTheme="minorEastAsia"/>
          <w:snapToGrid w:val="0"/>
          <w:kern w:val="0"/>
          <w:sz w:val="24"/>
        </w:rPr>
        <w:t>；涵洞等建筑物工程剥离表土、开挖土方暂存于施工场地内，分区存放，设置临时拦挡并采用密目网苫盖，施工结束后施工场地恢复为草地，播撒草籽面积</w:t>
      </w:r>
      <w:r w:rsidR="00413308" w:rsidRPr="00F9522B">
        <w:rPr>
          <w:rFonts w:eastAsiaTheme="minorEastAsia"/>
          <w:sz w:val="24"/>
        </w:rPr>
        <w:t>18500</w:t>
      </w:r>
      <w:r w:rsidRPr="00F9522B">
        <w:rPr>
          <w:rFonts w:eastAsiaTheme="minorEastAsia"/>
          <w:snapToGrid w:val="0"/>
          <w:kern w:val="0"/>
          <w:sz w:val="24"/>
        </w:rPr>
        <w:t>m</w:t>
      </w:r>
      <w:r w:rsidRPr="00F9522B">
        <w:rPr>
          <w:rFonts w:eastAsiaTheme="minorEastAsia"/>
          <w:snapToGrid w:val="0"/>
          <w:kern w:val="0"/>
          <w:sz w:val="24"/>
          <w:vertAlign w:val="superscript"/>
        </w:rPr>
        <w:t>2</w:t>
      </w:r>
      <w:r w:rsidRPr="00F9522B">
        <w:rPr>
          <w:rFonts w:eastAsiaTheme="minorEastAsia"/>
          <w:snapToGrid w:val="0"/>
          <w:kern w:val="0"/>
          <w:sz w:val="24"/>
        </w:rPr>
        <w:t>，草籽选用紫花苜蓿等，种草密度</w:t>
      </w:r>
      <w:r w:rsidRPr="00F9522B">
        <w:rPr>
          <w:rFonts w:eastAsiaTheme="minorEastAsia"/>
          <w:snapToGrid w:val="0"/>
          <w:kern w:val="0"/>
          <w:sz w:val="24"/>
        </w:rPr>
        <w:t>80kg/</w:t>
      </w:r>
      <w:r w:rsidRPr="00F9522B">
        <w:rPr>
          <w:rFonts w:eastAsiaTheme="minorEastAsia"/>
          <w:snapToGrid w:val="0"/>
          <w:kern w:val="0"/>
          <w:sz w:val="24"/>
        </w:rPr>
        <w:t>公顷，恢复旱地</w:t>
      </w:r>
      <w:r w:rsidR="00413308" w:rsidRPr="00F9522B">
        <w:rPr>
          <w:rFonts w:eastAsiaTheme="minorEastAsia"/>
          <w:snapToGrid w:val="0"/>
          <w:kern w:val="0"/>
          <w:sz w:val="24"/>
        </w:rPr>
        <w:t>10500</w:t>
      </w:r>
      <w:r w:rsidRPr="00F9522B">
        <w:rPr>
          <w:rFonts w:eastAsiaTheme="minorEastAsia"/>
          <w:snapToGrid w:val="0"/>
          <w:kern w:val="0"/>
          <w:sz w:val="24"/>
        </w:rPr>
        <w:t>m</w:t>
      </w:r>
      <w:r w:rsidRPr="00F9522B">
        <w:rPr>
          <w:rFonts w:eastAsiaTheme="minorEastAsia"/>
          <w:snapToGrid w:val="0"/>
          <w:kern w:val="0"/>
          <w:sz w:val="24"/>
          <w:vertAlign w:val="superscript"/>
        </w:rPr>
        <w:t>2</w:t>
      </w:r>
      <w:r w:rsidRPr="00F9522B">
        <w:rPr>
          <w:rFonts w:eastAsiaTheme="minorEastAsia"/>
          <w:snapToGrid w:val="0"/>
          <w:kern w:val="0"/>
          <w:sz w:val="24"/>
        </w:rPr>
        <w:t>。</w:t>
      </w:r>
      <w:r w:rsidRPr="00F9522B">
        <w:rPr>
          <w:rFonts w:eastAsiaTheme="minorEastAsia"/>
          <w:sz w:val="24"/>
        </w:rPr>
        <w:t>使临时占地土地利用类型、植被覆盖度、生物量等恢复为原有水平。减少由于工程施工对其景观、生态、水土保持等方面的不利影响。</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表土暂存场堆高在</w:t>
      </w:r>
      <w:r w:rsidRPr="00F9522B">
        <w:rPr>
          <w:rFonts w:eastAsiaTheme="minorEastAsia"/>
          <w:sz w:val="24"/>
        </w:rPr>
        <w:t>3m</w:t>
      </w:r>
      <w:r w:rsidRPr="00F9522B">
        <w:rPr>
          <w:rFonts w:eastAsiaTheme="minorEastAsia"/>
          <w:sz w:val="24"/>
        </w:rPr>
        <w:t>以内，坡比</w:t>
      </w:r>
      <w:r w:rsidRPr="00F9522B">
        <w:rPr>
          <w:rFonts w:eastAsiaTheme="minorEastAsia"/>
          <w:sz w:val="24"/>
        </w:rPr>
        <w:t>1</w:t>
      </w:r>
      <w:r w:rsidRPr="00F9522B">
        <w:rPr>
          <w:rFonts w:eastAsiaTheme="minorEastAsia"/>
          <w:sz w:val="24"/>
        </w:rPr>
        <w:t>：</w:t>
      </w:r>
      <w:r w:rsidRPr="00F9522B">
        <w:rPr>
          <w:rFonts w:eastAsiaTheme="minorEastAsia"/>
          <w:sz w:val="24"/>
        </w:rPr>
        <w:t>1</w:t>
      </w:r>
      <w:r w:rsidRPr="00F9522B">
        <w:rPr>
          <w:rFonts w:eastAsiaTheme="minorEastAsia"/>
          <w:sz w:val="24"/>
        </w:rPr>
        <w:t>，可以保证堆土的稳定性及安全性。堆放地宜相对低凹、周围相对平缓，并设置排水设施。</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黑土回填土源为</w:t>
      </w:r>
      <w:r w:rsidR="006239CD" w:rsidRPr="00F9522B">
        <w:rPr>
          <w:rFonts w:eastAsiaTheme="minorEastAsia"/>
          <w:sz w:val="24"/>
        </w:rPr>
        <w:t>哈尔滨都市圈环线高速公路项目</w:t>
      </w:r>
      <w:r w:rsidRPr="00F9522B">
        <w:rPr>
          <w:rFonts w:eastAsiaTheme="minorEastAsia"/>
          <w:sz w:val="24"/>
        </w:rPr>
        <w:t>工程剥离黑土。土源生态修</w:t>
      </w:r>
      <w:r w:rsidRPr="00F9522B">
        <w:rPr>
          <w:rFonts w:eastAsiaTheme="minorEastAsia"/>
          <w:sz w:val="24"/>
        </w:rPr>
        <w:lastRenderedPageBreak/>
        <w:t>复的责任主体为原土地占用方。</w:t>
      </w:r>
    </w:p>
    <w:p w:rsidR="002A5A5E" w:rsidRPr="00943455" w:rsidRDefault="00611CBA">
      <w:pPr>
        <w:keepNext/>
        <w:keepLines/>
        <w:spacing w:before="100" w:beforeAutospacing="1" w:after="100" w:afterAutospacing="1"/>
        <w:outlineLvl w:val="2"/>
        <w:rPr>
          <w:rFonts w:eastAsiaTheme="minorEastAsia"/>
          <w:b/>
          <w:color w:val="FF0000"/>
          <w:sz w:val="28"/>
          <w:szCs w:val="28"/>
        </w:rPr>
      </w:pPr>
      <w:r w:rsidRPr="00943455">
        <w:rPr>
          <w:rFonts w:eastAsiaTheme="minorEastAsia"/>
          <w:b/>
          <w:color w:val="FF0000"/>
          <w:sz w:val="28"/>
          <w:szCs w:val="28"/>
        </w:rPr>
        <w:t>3.1.15</w:t>
      </w:r>
      <w:r w:rsidRPr="00943455">
        <w:rPr>
          <w:rFonts w:eastAsiaTheme="minorEastAsia"/>
          <w:b/>
          <w:color w:val="FF0000"/>
          <w:sz w:val="28"/>
          <w:szCs w:val="28"/>
        </w:rPr>
        <w:t>表土</w:t>
      </w:r>
      <w:r w:rsidR="00943455" w:rsidRPr="00943455">
        <w:rPr>
          <w:rFonts w:eastAsiaTheme="minorEastAsia"/>
          <w:b/>
          <w:color w:val="FF0000"/>
          <w:sz w:val="28"/>
          <w:szCs w:val="28"/>
        </w:rPr>
        <w:t>剥离</w:t>
      </w:r>
      <w:r w:rsidRPr="00943455">
        <w:rPr>
          <w:rFonts w:eastAsiaTheme="minorEastAsia"/>
          <w:b/>
          <w:color w:val="FF0000"/>
          <w:sz w:val="28"/>
          <w:szCs w:val="28"/>
        </w:rPr>
        <w:t>与利用方案</w:t>
      </w:r>
    </w:p>
    <w:p w:rsidR="002A5A5E" w:rsidRPr="00943455" w:rsidRDefault="00611CBA">
      <w:pPr>
        <w:spacing w:line="360" w:lineRule="auto"/>
        <w:ind w:firstLineChars="200" w:firstLine="480"/>
        <w:contextualSpacing/>
        <w:rPr>
          <w:rFonts w:eastAsiaTheme="minorEastAsia"/>
          <w:color w:val="FF0000"/>
          <w:kern w:val="0"/>
          <w:sz w:val="24"/>
          <w:szCs w:val="20"/>
        </w:rPr>
      </w:pPr>
      <w:r w:rsidRPr="00943455">
        <w:rPr>
          <w:rFonts w:eastAsiaTheme="minorEastAsia"/>
          <w:color w:val="FF0000"/>
          <w:kern w:val="0"/>
          <w:sz w:val="24"/>
          <w:szCs w:val="20"/>
        </w:rPr>
        <w:t>本项目灌溉井、</w:t>
      </w:r>
      <w:r w:rsidRPr="00943455">
        <w:rPr>
          <w:rFonts w:eastAsiaTheme="minorEastAsia"/>
          <w:bCs/>
          <w:color w:val="FF0000"/>
          <w:kern w:val="0"/>
          <w:sz w:val="24"/>
          <w:szCs w:val="20"/>
        </w:rPr>
        <w:t>建筑物等工程</w:t>
      </w:r>
      <w:r w:rsidRPr="00943455">
        <w:rPr>
          <w:rFonts w:eastAsiaTheme="minorEastAsia"/>
          <w:color w:val="FF0000"/>
          <w:kern w:val="0"/>
          <w:sz w:val="24"/>
          <w:szCs w:val="20"/>
        </w:rPr>
        <w:t>永久占地在工程建设前对表土进行剥离，剥离厚度约</w:t>
      </w:r>
      <w:r w:rsidRPr="00943455">
        <w:rPr>
          <w:rFonts w:eastAsiaTheme="minorEastAsia"/>
          <w:color w:val="FF0000"/>
          <w:kern w:val="0"/>
          <w:sz w:val="24"/>
          <w:szCs w:val="20"/>
        </w:rPr>
        <w:t>30cm</w:t>
      </w:r>
      <w:r w:rsidRPr="00943455">
        <w:rPr>
          <w:rFonts w:eastAsiaTheme="minorEastAsia"/>
          <w:color w:val="FF0000"/>
          <w:kern w:val="0"/>
          <w:sz w:val="24"/>
          <w:szCs w:val="20"/>
        </w:rPr>
        <w:t>。剥离后的表土在施工现场内贮存，作为表土暂存场，</w:t>
      </w:r>
      <w:r w:rsidRPr="00943455">
        <w:rPr>
          <w:rFonts w:eastAsiaTheme="minorEastAsia"/>
          <w:snapToGrid w:val="0"/>
          <w:color w:val="FF0000"/>
          <w:kern w:val="0"/>
          <w:sz w:val="24"/>
        </w:rPr>
        <w:t>设置临时拦挡并采用密目网苫盖</w:t>
      </w:r>
      <w:r w:rsidRPr="00943455">
        <w:rPr>
          <w:rFonts w:eastAsiaTheme="minorEastAsia"/>
          <w:color w:val="FF0000"/>
          <w:kern w:val="0"/>
          <w:sz w:val="24"/>
          <w:szCs w:val="20"/>
        </w:rPr>
        <w:t>，贮存过程严格按照表土贮存要求，永久占地表土用于田块整治工程客土回填。</w:t>
      </w:r>
    </w:p>
    <w:p w:rsidR="002A5A5E" w:rsidRPr="00943455" w:rsidRDefault="00611CBA">
      <w:pPr>
        <w:spacing w:line="360" w:lineRule="auto"/>
        <w:ind w:firstLineChars="200" w:firstLine="480"/>
        <w:contextualSpacing/>
        <w:rPr>
          <w:rFonts w:eastAsiaTheme="minorEastAsia"/>
          <w:color w:val="FF0000"/>
          <w:kern w:val="0"/>
          <w:sz w:val="24"/>
          <w:szCs w:val="20"/>
        </w:rPr>
      </w:pPr>
      <w:r w:rsidRPr="00943455">
        <w:rPr>
          <w:rFonts w:eastAsiaTheme="minorEastAsia"/>
          <w:color w:val="FF0000"/>
          <w:kern w:val="0"/>
          <w:sz w:val="24"/>
          <w:szCs w:val="20"/>
        </w:rPr>
        <w:t>田块整治工程</w:t>
      </w:r>
      <w:r w:rsidRPr="00943455">
        <w:rPr>
          <w:rFonts w:eastAsiaTheme="minorEastAsia"/>
          <w:color w:val="FF0000"/>
          <w:sz w:val="24"/>
        </w:rPr>
        <w:t>根据平整地块所在村的平均土壤厚度确定表土剥离厚度约</w:t>
      </w:r>
      <w:r w:rsidRPr="00943455">
        <w:rPr>
          <w:rFonts w:eastAsiaTheme="minorEastAsia"/>
          <w:color w:val="FF0000"/>
          <w:sz w:val="24"/>
        </w:rPr>
        <w:t>25cm</w:t>
      </w:r>
      <w:r w:rsidRPr="00943455">
        <w:rPr>
          <w:rFonts w:eastAsiaTheme="minorEastAsia"/>
          <w:color w:val="FF0000"/>
          <w:kern w:val="0"/>
          <w:sz w:val="24"/>
          <w:szCs w:val="20"/>
        </w:rPr>
        <w:t>，剥离后的表土在施工现场贮存，</w:t>
      </w:r>
      <w:r w:rsidRPr="00943455">
        <w:rPr>
          <w:rFonts w:eastAsiaTheme="minorEastAsia"/>
          <w:snapToGrid w:val="0"/>
          <w:color w:val="FF0000"/>
          <w:kern w:val="0"/>
          <w:sz w:val="24"/>
        </w:rPr>
        <w:t>设置临时拦挡并采用密目网苫盖</w:t>
      </w:r>
      <w:r w:rsidRPr="00943455">
        <w:rPr>
          <w:rFonts w:eastAsiaTheme="minorEastAsia"/>
          <w:color w:val="FF0000"/>
          <w:kern w:val="0"/>
          <w:sz w:val="24"/>
          <w:szCs w:val="20"/>
        </w:rPr>
        <w:t>，贮存过程严格按照表土贮存要求，用于田块整治工程表土恢复。</w:t>
      </w:r>
    </w:p>
    <w:p w:rsidR="002A5A5E" w:rsidRPr="00943455" w:rsidRDefault="00611CBA">
      <w:pPr>
        <w:spacing w:line="360" w:lineRule="auto"/>
        <w:ind w:firstLineChars="200" w:firstLine="480"/>
        <w:contextualSpacing/>
        <w:rPr>
          <w:rFonts w:eastAsiaTheme="minorEastAsia"/>
          <w:color w:val="FF0000"/>
          <w:kern w:val="0"/>
          <w:sz w:val="24"/>
          <w:szCs w:val="20"/>
        </w:rPr>
      </w:pPr>
      <w:r w:rsidRPr="00943455">
        <w:rPr>
          <w:rFonts w:eastAsiaTheme="minorEastAsia"/>
          <w:color w:val="FF0000"/>
          <w:kern w:val="0"/>
          <w:sz w:val="24"/>
          <w:szCs w:val="20"/>
        </w:rPr>
        <w:t>项目施工过程中会设置施工场地、施工道路，为临时占地，需要对表土进行剥离，剥离厚度约</w:t>
      </w:r>
      <w:r w:rsidRPr="00943455">
        <w:rPr>
          <w:rFonts w:eastAsiaTheme="minorEastAsia"/>
          <w:color w:val="FF0000"/>
          <w:kern w:val="0"/>
          <w:sz w:val="24"/>
          <w:szCs w:val="20"/>
        </w:rPr>
        <w:t>30cm</w:t>
      </w:r>
      <w:r w:rsidRPr="00943455">
        <w:rPr>
          <w:rFonts w:eastAsiaTheme="minorEastAsia"/>
          <w:color w:val="FF0000"/>
          <w:kern w:val="0"/>
          <w:sz w:val="24"/>
          <w:szCs w:val="20"/>
        </w:rPr>
        <w:t>，临时占地的表土分层剥离，分别堆放在输配电工程、灌溉井、建筑物等施工场地内，作为表土暂存场，</w:t>
      </w:r>
      <w:r w:rsidRPr="00943455">
        <w:rPr>
          <w:rFonts w:eastAsiaTheme="minorEastAsia"/>
          <w:snapToGrid w:val="0"/>
          <w:color w:val="FF0000"/>
          <w:kern w:val="0"/>
          <w:sz w:val="24"/>
        </w:rPr>
        <w:t>设置临时拦挡并采用密目网苫盖</w:t>
      </w:r>
      <w:r w:rsidRPr="00943455">
        <w:rPr>
          <w:rFonts w:eastAsiaTheme="minorEastAsia"/>
          <w:color w:val="FF0000"/>
          <w:kern w:val="0"/>
          <w:sz w:val="24"/>
          <w:szCs w:val="20"/>
        </w:rPr>
        <w:t>，贮存过程严格按照表土贮存要求，施工结束后，进行表土分层回填措施，使其逐渐恢复其原有生态系统。</w:t>
      </w:r>
    </w:p>
    <w:p w:rsidR="002A5A5E" w:rsidRPr="00F9522B" w:rsidRDefault="00611CBA">
      <w:pPr>
        <w:spacing w:before="100" w:beforeAutospacing="1" w:after="100" w:afterAutospacing="1"/>
        <w:contextualSpacing/>
        <w:jc w:val="left"/>
        <w:outlineLvl w:val="1"/>
        <w:rPr>
          <w:rFonts w:eastAsiaTheme="minorEastAsia"/>
          <w:b/>
          <w:bCs/>
          <w:kern w:val="44"/>
          <w:sz w:val="30"/>
          <w:szCs w:val="30"/>
        </w:rPr>
      </w:pPr>
      <w:bookmarkStart w:id="93" w:name="_Toc208906234"/>
      <w:r w:rsidRPr="00F9522B">
        <w:rPr>
          <w:rFonts w:eastAsiaTheme="minorEastAsia"/>
          <w:b/>
          <w:bCs/>
          <w:kern w:val="44"/>
          <w:sz w:val="30"/>
          <w:szCs w:val="30"/>
        </w:rPr>
        <w:t>3.2</w:t>
      </w:r>
      <w:r w:rsidRPr="00F9522B">
        <w:rPr>
          <w:rFonts w:eastAsiaTheme="minorEastAsia"/>
          <w:b/>
          <w:bCs/>
          <w:kern w:val="44"/>
          <w:sz w:val="30"/>
          <w:szCs w:val="30"/>
        </w:rPr>
        <w:t>影响因素分析</w:t>
      </w:r>
      <w:bookmarkEnd w:id="93"/>
    </w:p>
    <w:p w:rsidR="002A5A5E" w:rsidRPr="00F9522B" w:rsidRDefault="00611CBA">
      <w:pPr>
        <w:keepNext/>
        <w:keepLines/>
        <w:spacing w:before="100" w:beforeAutospacing="1" w:after="100" w:afterAutospacing="1"/>
        <w:outlineLvl w:val="2"/>
        <w:rPr>
          <w:rFonts w:eastAsiaTheme="minorEastAsia"/>
          <w:b/>
          <w:sz w:val="28"/>
          <w:szCs w:val="28"/>
        </w:rPr>
      </w:pPr>
      <w:r w:rsidRPr="00F9522B">
        <w:rPr>
          <w:rFonts w:eastAsiaTheme="minorEastAsia"/>
          <w:b/>
          <w:sz w:val="28"/>
          <w:szCs w:val="28"/>
        </w:rPr>
        <w:t>3.2.1</w:t>
      </w:r>
      <w:r w:rsidRPr="00F9522B">
        <w:rPr>
          <w:rFonts w:eastAsiaTheme="minorEastAsia"/>
          <w:b/>
          <w:sz w:val="28"/>
          <w:szCs w:val="28"/>
        </w:rPr>
        <w:t>施工期影响因素分析</w:t>
      </w:r>
    </w:p>
    <w:p w:rsidR="002A5A5E" w:rsidRPr="00F9522B" w:rsidRDefault="00611CBA">
      <w:pPr>
        <w:autoSpaceDE w:val="0"/>
        <w:autoSpaceDN w:val="0"/>
        <w:spacing w:before="100" w:beforeAutospacing="1" w:after="100" w:afterAutospacing="1"/>
        <w:outlineLvl w:val="3"/>
        <w:rPr>
          <w:rFonts w:eastAsiaTheme="minorEastAsia"/>
          <w:b/>
          <w:sz w:val="24"/>
        </w:rPr>
      </w:pPr>
      <w:r w:rsidRPr="00F9522B">
        <w:rPr>
          <w:rFonts w:eastAsiaTheme="minorEastAsia"/>
          <w:b/>
          <w:sz w:val="24"/>
        </w:rPr>
        <w:t>3.2.1.1</w:t>
      </w:r>
      <w:r w:rsidRPr="00F9522B">
        <w:rPr>
          <w:rFonts w:eastAsiaTheme="minorEastAsia"/>
          <w:b/>
          <w:sz w:val="24"/>
        </w:rPr>
        <w:t>灌溉井施工流程及产污环节分析</w:t>
      </w:r>
    </w:p>
    <w:p w:rsidR="002A5A5E" w:rsidRPr="00F9522B" w:rsidRDefault="00611CBA">
      <w:pPr>
        <w:spacing w:line="360" w:lineRule="auto"/>
        <w:ind w:firstLineChars="200" w:firstLine="420"/>
        <w:rPr>
          <w:rFonts w:eastAsiaTheme="minorEastAsia"/>
          <w:sz w:val="24"/>
        </w:rPr>
      </w:pPr>
      <w:r w:rsidRPr="00F9522B">
        <w:rPr>
          <w:rFonts w:eastAsiaTheme="minorEastAsia"/>
          <w:snapToGrid w:val="0"/>
        </w:rPr>
        <w:t>（</w:t>
      </w:r>
      <w:r w:rsidRPr="00F9522B">
        <w:rPr>
          <w:rFonts w:eastAsiaTheme="minorEastAsia"/>
          <w:snapToGrid w:val="0"/>
        </w:rPr>
        <w:t>1</w:t>
      </w:r>
      <w:r w:rsidRPr="00F9522B">
        <w:rPr>
          <w:rFonts w:eastAsiaTheme="minorEastAsia"/>
          <w:snapToGrid w:val="0"/>
        </w:rPr>
        <w:t>）</w:t>
      </w:r>
      <w:r w:rsidRPr="00F9522B">
        <w:rPr>
          <w:rFonts w:eastAsiaTheme="minorEastAsia"/>
          <w:sz w:val="24"/>
        </w:rPr>
        <w:t>钻机定位</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根据设计井孔位置，安装钻机，钻机类型为地质钻机</w:t>
      </w:r>
      <w:r w:rsidRPr="00F9522B">
        <w:rPr>
          <w:rFonts w:eastAsiaTheme="minorEastAsia"/>
          <w:sz w:val="24"/>
        </w:rPr>
        <w:t>300</w:t>
      </w:r>
      <w:r w:rsidRPr="00F9522B">
        <w:rPr>
          <w:rFonts w:eastAsiaTheme="minorEastAsia"/>
          <w:sz w:val="24"/>
        </w:rPr>
        <w:t>型钻井机，钻机定位后必须平整稳固，确保在施工中不发生倾斜、移动，同时调整钻机垂直度，垂直度运行偏差</w:t>
      </w:r>
      <w:r w:rsidRPr="00F9522B">
        <w:rPr>
          <w:rFonts w:eastAsiaTheme="minorEastAsia"/>
          <w:sz w:val="24"/>
        </w:rPr>
        <w:t>≤0.5%</w:t>
      </w:r>
      <w:r w:rsidRPr="00F9522B">
        <w:rPr>
          <w:rFonts w:eastAsiaTheme="minorEastAsia"/>
          <w:sz w:val="24"/>
        </w:rPr>
        <w:t>，钻尖应对准井位中心，其水平位置允许偏差</w:t>
      </w:r>
      <w:r w:rsidRPr="00F9522B">
        <w:rPr>
          <w:rFonts w:eastAsiaTheme="minorEastAsia"/>
          <w:sz w:val="24"/>
        </w:rPr>
        <w:t>20mm</w:t>
      </w:r>
      <w:r w:rsidRPr="00F9522B">
        <w:rPr>
          <w:rFonts w:eastAsiaTheme="minorEastAsia"/>
          <w:sz w:val="24"/>
        </w:rPr>
        <w:t>，将高程引到可靠便于施工和检查的位置，并经监理复核后方可开钻。</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w:t>
      </w:r>
      <w:r w:rsidRPr="00F9522B">
        <w:rPr>
          <w:rFonts w:eastAsiaTheme="minorEastAsia"/>
          <w:sz w:val="24"/>
        </w:rPr>
        <w:t>2</w:t>
      </w:r>
      <w:r w:rsidRPr="00F9522B">
        <w:rPr>
          <w:rFonts w:eastAsiaTheme="minorEastAsia"/>
          <w:sz w:val="24"/>
        </w:rPr>
        <w:t>）水基泥浆配制</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泥浆配制约</w:t>
      </w:r>
      <w:r w:rsidRPr="00F9522B">
        <w:rPr>
          <w:rFonts w:eastAsiaTheme="minorEastAsia"/>
          <w:sz w:val="24"/>
        </w:rPr>
        <w:t>1.02~1.08kg/cm³</w:t>
      </w:r>
      <w:r w:rsidRPr="00F9522B">
        <w:rPr>
          <w:rFonts w:eastAsiaTheme="minorEastAsia"/>
          <w:sz w:val="24"/>
        </w:rPr>
        <w:t>，含砂率</w:t>
      </w:r>
      <w:r w:rsidRPr="00F9522B">
        <w:rPr>
          <w:rFonts w:eastAsiaTheme="minorEastAsia"/>
          <w:sz w:val="24"/>
        </w:rPr>
        <w:t>≤4%</w:t>
      </w:r>
      <w:r w:rsidRPr="00F9522B">
        <w:rPr>
          <w:rFonts w:eastAsiaTheme="minorEastAsia"/>
          <w:sz w:val="24"/>
        </w:rPr>
        <w:t>，根据地层情况选择泥浆的相对密度，然后确定黏土和配浆水的用量。先在搅拌机中加入水，再按配方要求依次加入所需烧碱、纯碱，搅拌溶解</w:t>
      </w:r>
      <w:r w:rsidRPr="00F9522B">
        <w:rPr>
          <w:rFonts w:eastAsiaTheme="minorEastAsia"/>
          <w:sz w:val="24"/>
        </w:rPr>
        <w:t>15min</w:t>
      </w:r>
      <w:r w:rsidRPr="00F9522B">
        <w:rPr>
          <w:rFonts w:eastAsiaTheme="minorEastAsia"/>
          <w:sz w:val="24"/>
        </w:rPr>
        <w:t>后，按配方要求的量，向上述搅拌机中加入</w:t>
      </w:r>
      <w:r w:rsidRPr="00F9522B">
        <w:rPr>
          <w:rFonts w:eastAsiaTheme="minorEastAsia"/>
          <w:sz w:val="24"/>
        </w:rPr>
        <w:lastRenderedPageBreak/>
        <w:t>膨润土粉，充分搅拌。若使用钠基膨润土，搅拌</w:t>
      </w:r>
      <w:r w:rsidRPr="00F9522B">
        <w:rPr>
          <w:rFonts w:eastAsiaTheme="minorEastAsia"/>
          <w:sz w:val="24"/>
        </w:rPr>
        <w:t>1h</w:t>
      </w:r>
      <w:r w:rsidRPr="00F9522B">
        <w:rPr>
          <w:rFonts w:eastAsiaTheme="minorEastAsia"/>
          <w:sz w:val="24"/>
        </w:rPr>
        <w:t>左右即可使用</w:t>
      </w:r>
      <w:r w:rsidRPr="00F9522B">
        <w:rPr>
          <w:rFonts w:eastAsiaTheme="minorEastAsia"/>
          <w:sz w:val="24"/>
        </w:rPr>
        <w:t>;</w:t>
      </w:r>
      <w:r w:rsidRPr="00F9522B">
        <w:rPr>
          <w:rFonts w:eastAsiaTheme="minorEastAsia"/>
          <w:sz w:val="24"/>
        </w:rPr>
        <w:t>若使用钙基膨润土，应持续搅拌</w:t>
      </w:r>
      <w:r w:rsidRPr="00F9522B">
        <w:rPr>
          <w:rFonts w:eastAsiaTheme="minorEastAsia"/>
          <w:sz w:val="24"/>
        </w:rPr>
        <w:t>16h</w:t>
      </w:r>
      <w:r w:rsidRPr="00F9522B">
        <w:rPr>
          <w:rFonts w:eastAsiaTheme="minorEastAsia"/>
          <w:sz w:val="24"/>
        </w:rPr>
        <w:t>以上效果最佳。</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w:t>
      </w:r>
      <w:r w:rsidRPr="00F9522B">
        <w:rPr>
          <w:rFonts w:eastAsiaTheme="minorEastAsia"/>
          <w:sz w:val="24"/>
        </w:rPr>
        <w:t>3</w:t>
      </w:r>
      <w:r w:rsidRPr="00F9522B">
        <w:rPr>
          <w:rFonts w:eastAsiaTheme="minorEastAsia"/>
          <w:sz w:val="24"/>
        </w:rPr>
        <w:t>）成孔</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整个成孔过程采用反循环工艺，控制塔架垂直度，第一根钻杆钻进时一定要注意，因此时钻具重心高，送浆管偏心受力，钻具易晃动；根据井径、孔深、钻头种类钻速、泵的扬程和土质情况，掌握进尺度，做好钻孔记录，选择合适的重型钻头或安装稳定器及导向装置，以减少钻头、钻杆摆动问题和因土质不均引起偏水现象；检查钻杆的垂直度，允许偏差一般应</w:t>
      </w:r>
      <w:r w:rsidRPr="00F9522B">
        <w:rPr>
          <w:rFonts w:eastAsiaTheme="minorEastAsia"/>
          <w:sz w:val="24"/>
        </w:rPr>
        <w:t>≤0.5%</w:t>
      </w:r>
      <w:r w:rsidRPr="00F9522B">
        <w:rPr>
          <w:rFonts w:eastAsiaTheme="minorEastAsia"/>
          <w:sz w:val="24"/>
        </w:rPr>
        <w:t>，应经常检查，超过此值时应进行纠偏。</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w:t>
      </w:r>
      <w:r w:rsidRPr="00F9522B">
        <w:rPr>
          <w:rFonts w:eastAsiaTheme="minorEastAsia"/>
          <w:sz w:val="24"/>
        </w:rPr>
        <w:t>4</w:t>
      </w:r>
      <w:r w:rsidRPr="00F9522B">
        <w:rPr>
          <w:rFonts w:eastAsiaTheme="minorEastAsia"/>
          <w:sz w:val="24"/>
        </w:rPr>
        <w:t>）清孔</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用优质泥浆清孔，待吸出泥浆比重小于</w:t>
      </w:r>
      <w:r w:rsidRPr="00F9522B">
        <w:rPr>
          <w:rFonts w:eastAsiaTheme="minorEastAsia"/>
          <w:sz w:val="24"/>
        </w:rPr>
        <w:t>1.08g/cm³</w:t>
      </w:r>
      <w:r w:rsidRPr="00F9522B">
        <w:rPr>
          <w:rFonts w:eastAsiaTheme="minorEastAsia"/>
          <w:sz w:val="24"/>
        </w:rPr>
        <w:t>，砂率小于</w:t>
      </w:r>
      <w:r w:rsidRPr="00F9522B">
        <w:rPr>
          <w:rFonts w:eastAsiaTheme="minorEastAsia"/>
          <w:sz w:val="24"/>
        </w:rPr>
        <w:t>4%</w:t>
      </w:r>
      <w:r w:rsidRPr="00F9522B">
        <w:rPr>
          <w:rFonts w:eastAsiaTheme="minorEastAsia"/>
          <w:sz w:val="24"/>
        </w:rPr>
        <w:t>时，即可得终孔深度，终孔垂直度运行偏差</w:t>
      </w:r>
      <w:r w:rsidRPr="00F9522B">
        <w:rPr>
          <w:rFonts w:eastAsiaTheme="minorEastAsia"/>
          <w:sz w:val="24"/>
        </w:rPr>
        <w:t>≤0.5%</w:t>
      </w:r>
      <w:r w:rsidRPr="00F9522B">
        <w:rPr>
          <w:rFonts w:eastAsiaTheme="minorEastAsia"/>
          <w:sz w:val="24"/>
        </w:rPr>
        <w:t>，用经纬仪从两个方向检查钻杆垂直度，即可得终孔垂直度。</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w:t>
      </w:r>
      <w:r w:rsidRPr="00F9522B">
        <w:rPr>
          <w:rFonts w:eastAsiaTheme="minorEastAsia"/>
          <w:sz w:val="24"/>
        </w:rPr>
        <w:t>5</w:t>
      </w:r>
      <w:r w:rsidRPr="00F9522B">
        <w:rPr>
          <w:rFonts w:eastAsiaTheme="minorEastAsia"/>
          <w:sz w:val="24"/>
        </w:rPr>
        <w:t>）井管安装</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采用钢丝绳托盘下管法。下管时采用四根兜底绳，分别缠绕于绞车上，在其另一端编好钢丝绳套，分别从托盘的四个穿绳孔插入，使四个绳套同心重叠对准托盘的钻钉孔。将销钉表面涂上黄油，插入销钉孔，销往四根兜底绳，销钉要伸到穿绳以下</w:t>
      </w:r>
      <w:r w:rsidRPr="00F9522B">
        <w:rPr>
          <w:rFonts w:eastAsiaTheme="minorEastAsia"/>
          <w:sz w:val="24"/>
        </w:rPr>
        <w:t>15cm</w:t>
      </w:r>
      <w:r w:rsidRPr="00F9522B">
        <w:rPr>
          <w:rFonts w:eastAsiaTheme="minorEastAsia"/>
          <w:sz w:val="24"/>
        </w:rPr>
        <w:t>左右，把销好兜底绳的托盘放在预先安置在孔口上的垫板上，即可开始安装井管。</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安装井管时，使井管垂直插入托盘的插口，在接口处缠</w:t>
      </w:r>
      <w:r w:rsidRPr="00F9522B">
        <w:rPr>
          <w:rFonts w:eastAsiaTheme="minorEastAsia"/>
          <w:sz w:val="24"/>
        </w:rPr>
        <w:t>3~4</w:t>
      </w:r>
      <w:r w:rsidRPr="00F9522B">
        <w:rPr>
          <w:rFonts w:eastAsiaTheme="minorEastAsia"/>
          <w:sz w:val="24"/>
        </w:rPr>
        <w:t>圈塑料薄膜，用</w:t>
      </w:r>
      <w:r w:rsidRPr="00F9522B">
        <w:rPr>
          <w:rFonts w:eastAsiaTheme="minorEastAsia"/>
          <w:sz w:val="24"/>
        </w:rPr>
        <w:t>6~8</w:t>
      </w:r>
      <w:r w:rsidRPr="00F9522B">
        <w:rPr>
          <w:rFonts w:eastAsiaTheme="minorEastAsia"/>
          <w:sz w:val="24"/>
        </w:rPr>
        <w:t>根竹蔑均匀地围在接头处，使井管与托盘连接牢固，将中心绳放松</w:t>
      </w:r>
      <w:r w:rsidRPr="00F9522B">
        <w:rPr>
          <w:rFonts w:eastAsiaTheme="minorEastAsia"/>
          <w:sz w:val="24"/>
        </w:rPr>
        <w:t>8~10m</w:t>
      </w:r>
      <w:r w:rsidRPr="00F9522B">
        <w:rPr>
          <w:rFonts w:eastAsiaTheme="minorEastAsia"/>
          <w:sz w:val="24"/>
        </w:rPr>
        <w:t>，盘旋塞进井管内，以防意外抽动中心绳拔出销钉，起吊托和沉淀管，待兜底绳吃力后，将垫板抽样徐徐下降，把托盘和第一根井管送入钻孔内，至井管上口超出台</w:t>
      </w:r>
      <w:r w:rsidRPr="00F9522B">
        <w:rPr>
          <w:rFonts w:eastAsiaTheme="minorEastAsia"/>
          <w:sz w:val="24"/>
        </w:rPr>
        <w:t>1m</w:t>
      </w:r>
      <w:r w:rsidRPr="00F9522B">
        <w:rPr>
          <w:rFonts w:eastAsiaTheme="minorEastAsia"/>
          <w:sz w:val="24"/>
        </w:rPr>
        <w:t>左右，停止下降，即开始安装第二根井管，如此往复，直至井管下完，托盘下到孔底，井管安装完毕，校核无误后，将管身固定，不使摇摆，然后将兜底绳放松，即可起拔中心绳，销钉拔出后，再用绞车拔兜底绳，兜底绳拔出后即可回填砾料。</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w:t>
      </w:r>
      <w:r w:rsidRPr="00F9522B">
        <w:rPr>
          <w:rFonts w:eastAsiaTheme="minorEastAsia"/>
          <w:sz w:val="24"/>
        </w:rPr>
        <w:t>6</w:t>
      </w:r>
      <w:r w:rsidRPr="00F9522B">
        <w:rPr>
          <w:rFonts w:eastAsiaTheme="minorEastAsia"/>
          <w:sz w:val="24"/>
        </w:rPr>
        <w:t>）填砂料</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填砾是管井建造的一个重要环节，中粗砂含水层、填砾厚度不小于</w:t>
      </w:r>
      <w:r w:rsidRPr="00F9522B">
        <w:rPr>
          <w:rFonts w:eastAsiaTheme="minorEastAsia"/>
          <w:sz w:val="24"/>
        </w:rPr>
        <w:t>100mm</w:t>
      </w:r>
      <w:r w:rsidRPr="00F9522B">
        <w:rPr>
          <w:rFonts w:eastAsiaTheme="minorEastAsia"/>
          <w:sz w:val="24"/>
        </w:rPr>
        <w:t>，</w:t>
      </w:r>
      <w:r w:rsidRPr="00F9522B">
        <w:rPr>
          <w:rFonts w:eastAsiaTheme="minorEastAsia"/>
          <w:sz w:val="24"/>
        </w:rPr>
        <w:lastRenderedPageBreak/>
        <w:t>细砂以下含水层，厚度不小于</w:t>
      </w:r>
      <w:r w:rsidRPr="00F9522B">
        <w:rPr>
          <w:rFonts w:eastAsiaTheme="minorEastAsia"/>
          <w:sz w:val="24"/>
        </w:rPr>
        <w:t>150mm</w:t>
      </w:r>
      <w:r w:rsidRPr="00F9522B">
        <w:rPr>
          <w:rFonts w:eastAsiaTheme="minorEastAsia"/>
          <w:sz w:val="24"/>
        </w:rPr>
        <w:t>，滤料选用磨圆度好的硅质砾石，以圆形卵石或砂料为宜，质地坚硬，不含化学成分，经过严格筛分，合格率大于</w:t>
      </w:r>
      <w:r w:rsidRPr="00F9522B">
        <w:rPr>
          <w:rFonts w:eastAsiaTheme="minorEastAsia"/>
          <w:sz w:val="24"/>
        </w:rPr>
        <w:t>90%</w:t>
      </w:r>
      <w:r w:rsidRPr="00F9522B">
        <w:rPr>
          <w:rFonts w:eastAsiaTheme="minorEastAsia"/>
          <w:sz w:val="24"/>
        </w:rPr>
        <w:t>，不得含土过多，或含有其他杂质。</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根据钻孔记录，确定各含水层高程，有两个以上含水层时，应将两个含水层之间的隔水层分为二段，下段为隔水层厚度的</w:t>
      </w:r>
      <w:r w:rsidRPr="00F9522B">
        <w:rPr>
          <w:rFonts w:eastAsiaTheme="minorEastAsia"/>
          <w:sz w:val="24"/>
        </w:rPr>
        <w:t>4/5</w:t>
      </w:r>
      <w:r w:rsidRPr="00F9522B">
        <w:rPr>
          <w:rFonts w:eastAsiaTheme="minorEastAsia"/>
          <w:sz w:val="24"/>
        </w:rPr>
        <w:t>，填入与下部含水量相应的规格砾石，上段为</w:t>
      </w:r>
      <w:r w:rsidRPr="00F9522B">
        <w:rPr>
          <w:rFonts w:eastAsiaTheme="minorEastAsia"/>
          <w:sz w:val="24"/>
        </w:rPr>
        <w:t>1/5</w:t>
      </w:r>
      <w:r w:rsidRPr="00F9522B">
        <w:rPr>
          <w:rFonts w:eastAsiaTheme="minorEastAsia"/>
          <w:sz w:val="24"/>
        </w:rPr>
        <w:t>，填入上部含水层相应的规定砾石。</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w:t>
      </w:r>
      <w:r w:rsidRPr="00F9522B">
        <w:rPr>
          <w:rFonts w:eastAsiaTheme="minorEastAsia"/>
          <w:sz w:val="24"/>
        </w:rPr>
        <w:t>7</w:t>
      </w:r>
      <w:r w:rsidRPr="00F9522B">
        <w:rPr>
          <w:rFonts w:eastAsiaTheme="minorEastAsia"/>
          <w:sz w:val="24"/>
        </w:rPr>
        <w:t>）井管外封闭</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进行井管外封闭前按照井的柱状图将所需的粘土球及粘土数量、计划填入深度计算妥当，并准备一定余量，一般填入的粘土球的数量应比封闭层实际需要的多填</w:t>
      </w:r>
      <w:r w:rsidRPr="00F9522B">
        <w:rPr>
          <w:rFonts w:eastAsiaTheme="minorEastAsia"/>
          <w:sz w:val="24"/>
        </w:rPr>
        <w:t>25%</w:t>
      </w:r>
      <w:r w:rsidRPr="00F9522B">
        <w:rPr>
          <w:rFonts w:eastAsiaTheme="minorEastAsia"/>
          <w:sz w:val="24"/>
        </w:rPr>
        <w:t>左右，粘土球直径为</w:t>
      </w:r>
      <w:r w:rsidRPr="00F9522B">
        <w:rPr>
          <w:rFonts w:eastAsiaTheme="minorEastAsia"/>
          <w:sz w:val="24"/>
        </w:rPr>
        <w:t>25mm</w:t>
      </w:r>
      <w:r w:rsidRPr="00F9522B">
        <w:rPr>
          <w:rFonts w:eastAsiaTheme="minorEastAsia"/>
          <w:sz w:val="24"/>
        </w:rPr>
        <w:t>，呈圆形，用优质粘土制成，对粘土球在泥浆中心，溶化时间进行试验，根据实验结果，确定粘土球湿度按照井柱状图，将最下含水层砾石填入，再用</w:t>
      </w:r>
      <w:r w:rsidRPr="00F9522B">
        <w:rPr>
          <w:rFonts w:eastAsiaTheme="minorEastAsia"/>
          <w:sz w:val="24"/>
        </w:rPr>
        <w:t>25mm</w:t>
      </w:r>
      <w:r w:rsidRPr="00F9522B">
        <w:rPr>
          <w:rFonts w:eastAsiaTheme="minorEastAsia"/>
          <w:sz w:val="24"/>
        </w:rPr>
        <w:t>左右半干状态粘土球徐徐填入，填至计划位置，以此类推，进行井管外封闭。</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w:t>
      </w:r>
      <w:r w:rsidRPr="00F9522B">
        <w:rPr>
          <w:rFonts w:eastAsiaTheme="minorEastAsia"/>
          <w:sz w:val="24"/>
        </w:rPr>
        <w:t>8</w:t>
      </w:r>
      <w:r w:rsidRPr="00F9522B">
        <w:rPr>
          <w:rFonts w:eastAsiaTheme="minorEastAsia"/>
          <w:sz w:val="24"/>
        </w:rPr>
        <w:t>）止水</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常用方法为粘土球止水法。保证粘土球质量并分层填入，逐层填满，填实。</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w:t>
      </w:r>
      <w:r w:rsidRPr="00F9522B">
        <w:rPr>
          <w:rFonts w:eastAsiaTheme="minorEastAsia"/>
          <w:sz w:val="24"/>
        </w:rPr>
        <w:t>9</w:t>
      </w:r>
      <w:r w:rsidRPr="00F9522B">
        <w:rPr>
          <w:rFonts w:eastAsiaTheme="minorEastAsia"/>
          <w:sz w:val="24"/>
        </w:rPr>
        <w:t>）洗井</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洗井主要是清除在钻孔过程中孔内泥浆对含水层的堵塞，同时排出滤管周围含水层的细粒，以疏通水层，减少进水阻力，以达到应有的出水量。</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井管安装完毕后，采用机动固定式</w:t>
      </w:r>
      <w:r w:rsidRPr="00F9522B">
        <w:rPr>
          <w:rFonts w:eastAsiaTheme="minorEastAsia"/>
          <w:sz w:val="24"/>
        </w:rPr>
        <w:t>1.2m³</w:t>
      </w:r>
      <w:r w:rsidRPr="00F9522B">
        <w:rPr>
          <w:rFonts w:eastAsiaTheme="minorEastAsia"/>
          <w:sz w:val="24"/>
        </w:rPr>
        <w:t>，</w:t>
      </w:r>
      <w:r w:rsidRPr="00F9522B">
        <w:rPr>
          <w:rFonts w:eastAsiaTheme="minorEastAsia"/>
          <w:sz w:val="24"/>
        </w:rPr>
        <w:t>10</w:t>
      </w:r>
      <w:r w:rsidRPr="00F9522B">
        <w:rPr>
          <w:rFonts w:eastAsiaTheme="minorEastAsia"/>
          <w:sz w:val="24"/>
        </w:rPr>
        <w:t>压力空气压缩机对管井中的泥土、细砂、泥浆等全部清洗，保证管井达到正常出水量。</w:t>
      </w:r>
    </w:p>
    <w:p w:rsidR="002A5A5E" w:rsidRPr="00F9522B" w:rsidRDefault="00DE2B0A">
      <w:pPr>
        <w:spacing w:line="360" w:lineRule="auto"/>
        <w:ind w:firstLineChars="200" w:firstLine="480"/>
        <w:rPr>
          <w:rFonts w:eastAsiaTheme="minorEastAsia"/>
          <w:color w:val="FF0000"/>
          <w:sz w:val="24"/>
        </w:rPr>
      </w:pPr>
      <w:r w:rsidRPr="00F9522B">
        <w:rPr>
          <w:rFonts w:eastAsiaTheme="minorEastAsia"/>
          <w:bCs/>
          <w:sz w:val="24"/>
          <w:szCs w:val="22"/>
        </w:rPr>
        <w:t>单井泥浆最大产生量</w:t>
      </w:r>
      <w:r w:rsidRPr="00F9522B">
        <w:rPr>
          <w:rFonts w:eastAsiaTheme="minorEastAsia"/>
          <w:bCs/>
          <w:sz w:val="24"/>
          <w:szCs w:val="22"/>
        </w:rPr>
        <w:t>16m</w:t>
      </w:r>
      <w:r w:rsidRPr="00F9522B">
        <w:rPr>
          <w:rFonts w:eastAsiaTheme="minorEastAsia"/>
          <w:bCs/>
          <w:sz w:val="24"/>
          <w:szCs w:val="22"/>
          <w:vertAlign w:val="superscript"/>
        </w:rPr>
        <w:t>3</w:t>
      </w:r>
      <w:r w:rsidR="00611CBA" w:rsidRPr="00F9522B">
        <w:rPr>
          <w:rFonts w:eastAsiaTheme="minorEastAsia"/>
          <w:bCs/>
          <w:sz w:val="24"/>
          <w:szCs w:val="22"/>
        </w:rPr>
        <w:t>，</w:t>
      </w:r>
      <w:r w:rsidR="00611CBA" w:rsidRPr="00F9522B">
        <w:rPr>
          <w:rFonts w:eastAsiaTheme="minorEastAsia"/>
          <w:sz w:val="24"/>
        </w:rPr>
        <w:t>钻井泥浆不含油类物质及其他化学成分，部分可循环利用，</w:t>
      </w:r>
      <w:r w:rsidR="00611CBA" w:rsidRPr="00F9522B">
        <w:rPr>
          <w:rFonts w:eastAsiaTheme="minorEastAsia"/>
          <w:sz w:val="24"/>
          <w:szCs w:val="22"/>
        </w:rPr>
        <w:t>废泥浆</w:t>
      </w:r>
      <w:r w:rsidR="00611CBA" w:rsidRPr="00F9522B">
        <w:rPr>
          <w:rFonts w:eastAsiaTheme="minorEastAsia"/>
          <w:sz w:val="24"/>
        </w:rPr>
        <w:t>暂存于施工场地</w:t>
      </w:r>
      <w:r w:rsidR="0009673A" w:rsidRPr="00F9522B">
        <w:rPr>
          <w:rFonts w:eastAsiaTheme="minorEastAsia"/>
          <w:sz w:val="24"/>
        </w:rPr>
        <w:t>5</w:t>
      </w:r>
      <w:r w:rsidR="0009673A" w:rsidRPr="00F9522B">
        <w:rPr>
          <w:rFonts w:eastAsiaTheme="minorEastAsia"/>
          <w:sz w:val="24"/>
        </w:rPr>
        <w:t>个</w:t>
      </w:r>
      <w:r w:rsidR="0009673A" w:rsidRPr="00F9522B">
        <w:rPr>
          <w:rFonts w:eastAsiaTheme="minorEastAsia"/>
          <w:sz w:val="24"/>
        </w:rPr>
        <w:t>2</w:t>
      </w:r>
      <w:r w:rsidR="00611CBA" w:rsidRPr="00F9522B">
        <w:rPr>
          <w:rFonts w:eastAsiaTheme="minorEastAsia"/>
          <w:sz w:val="24"/>
        </w:rPr>
        <w:t>0</w:t>
      </w:r>
      <w:r w:rsidR="00611CBA" w:rsidRPr="00F9522B">
        <w:rPr>
          <w:rFonts w:eastAsiaTheme="minorEastAsia"/>
          <w:sz w:val="24"/>
          <w:szCs w:val="22"/>
        </w:rPr>
        <w:t>m</w:t>
      </w:r>
      <w:r w:rsidR="00611CBA" w:rsidRPr="00F9522B">
        <w:rPr>
          <w:rFonts w:eastAsiaTheme="minorEastAsia"/>
          <w:sz w:val="24"/>
          <w:szCs w:val="22"/>
          <w:vertAlign w:val="superscript"/>
        </w:rPr>
        <w:t>3</w:t>
      </w:r>
      <w:r w:rsidR="00611CBA" w:rsidRPr="00F9522B">
        <w:rPr>
          <w:rFonts w:eastAsiaTheme="minorEastAsia"/>
          <w:sz w:val="24"/>
        </w:rPr>
        <w:t>移动式不锈钢沉淀池内，沉淀后上层清水用于洒水降尘，下层钻井</w:t>
      </w:r>
      <w:r w:rsidR="00611CBA" w:rsidRPr="00F9522B">
        <w:rPr>
          <w:rFonts w:eastAsiaTheme="minorEastAsia"/>
          <w:bCs/>
          <w:sz w:val="24"/>
          <w:szCs w:val="22"/>
        </w:rPr>
        <w:t>泥浆自然干化后用于周围道路平整</w:t>
      </w:r>
      <w:r w:rsidR="00611CBA" w:rsidRPr="00F9522B">
        <w:rPr>
          <w:rFonts w:eastAsiaTheme="minorEastAsia"/>
          <w:sz w:val="24"/>
          <w:szCs w:val="22"/>
        </w:rPr>
        <w:t>；</w:t>
      </w:r>
      <w:r w:rsidR="00611CBA" w:rsidRPr="00F9522B">
        <w:rPr>
          <w:rFonts w:eastAsiaTheme="minorEastAsia"/>
          <w:color w:val="FF0000"/>
          <w:sz w:val="24"/>
        </w:rPr>
        <w:t>洗井废水产生</w:t>
      </w:r>
      <w:r w:rsidR="00611CBA" w:rsidRPr="00F9522B">
        <w:rPr>
          <w:rFonts w:eastAsiaTheme="minorEastAsia"/>
          <w:color w:val="FF0000"/>
          <w:sz w:val="24"/>
          <w:szCs w:val="22"/>
        </w:rPr>
        <w:t>量为</w:t>
      </w:r>
      <w:r w:rsidR="0081510C" w:rsidRPr="00F9522B">
        <w:rPr>
          <w:rFonts w:eastAsiaTheme="minorEastAsia"/>
          <w:color w:val="FF0000"/>
          <w:sz w:val="24"/>
          <w:szCs w:val="22"/>
        </w:rPr>
        <w:t>4006</w:t>
      </w:r>
      <w:r w:rsidR="00611CBA" w:rsidRPr="00F9522B">
        <w:rPr>
          <w:rFonts w:eastAsiaTheme="minorEastAsia"/>
          <w:color w:val="FF0000"/>
          <w:sz w:val="24"/>
          <w:szCs w:val="22"/>
        </w:rPr>
        <w:t>m</w:t>
      </w:r>
      <w:r w:rsidR="00611CBA" w:rsidRPr="00F9522B">
        <w:rPr>
          <w:rFonts w:eastAsiaTheme="minorEastAsia"/>
          <w:color w:val="FF0000"/>
          <w:sz w:val="24"/>
          <w:szCs w:val="22"/>
          <w:vertAlign w:val="superscript"/>
        </w:rPr>
        <w:t>3</w:t>
      </w:r>
      <w:r w:rsidR="00611CBA" w:rsidRPr="00F9522B">
        <w:rPr>
          <w:rFonts w:eastAsiaTheme="minorEastAsia"/>
          <w:color w:val="FF0000"/>
          <w:sz w:val="24"/>
          <w:szCs w:val="22"/>
        </w:rPr>
        <w:t>，</w:t>
      </w:r>
      <w:r w:rsidR="00611CBA" w:rsidRPr="00F9522B">
        <w:rPr>
          <w:rFonts w:eastAsiaTheme="minorEastAsia"/>
          <w:color w:val="FF0000"/>
          <w:sz w:val="24"/>
        </w:rPr>
        <w:t>用于洒水降尘。</w:t>
      </w:r>
    </w:p>
    <w:p w:rsidR="002A5A5E" w:rsidRPr="00F9522B" w:rsidRDefault="005273A1">
      <w:pPr>
        <w:spacing w:line="360" w:lineRule="auto"/>
        <w:ind w:firstLineChars="200" w:firstLine="482"/>
        <w:rPr>
          <w:rFonts w:eastAsiaTheme="minorEastAsia"/>
          <w:b/>
          <w:sz w:val="24"/>
          <w:szCs w:val="20"/>
        </w:rPr>
      </w:pPr>
      <w:r w:rsidRPr="005273A1">
        <w:rPr>
          <w:rFonts w:eastAsiaTheme="minorEastAsia"/>
          <w:b/>
          <w:sz w:val="24"/>
        </w:rPr>
        <w:pict>
          <v:shape id="_x0000_s696463" type="#_x0000_t202" style="position:absolute;left:0;text-align:left;margin-left:384.4pt;margin-top:7.35pt;width:54.6pt;height:23.4pt;z-index:251688960" filled="f" stroked="f">
            <v:textbox>
              <w:txbxContent>
                <w:p w:rsidR="000D2D13" w:rsidRDefault="000D2D13">
                  <w:pPr>
                    <w:jc w:val="center"/>
                    <w:rPr>
                      <w:rFonts w:ascii="宋体" w:hAnsi="宋体" w:cs="宋体"/>
                    </w:rPr>
                  </w:pPr>
                  <w:r>
                    <w:rPr>
                      <w:rFonts w:ascii="宋体" w:hAnsi="宋体" w:cs="宋体" w:hint="eastAsia"/>
                      <w:szCs w:val="20"/>
                    </w:rPr>
                    <w:t>噪声</w:t>
                  </w:r>
                </w:p>
              </w:txbxContent>
            </v:textbox>
          </v:shape>
        </w:pict>
      </w:r>
      <w:r w:rsidRPr="005273A1">
        <w:rPr>
          <w:rFonts w:eastAsiaTheme="minorEastAsia"/>
        </w:rPr>
        <w:pict>
          <v:line id="_x0000_s696464" style="position:absolute;left:0;text-align:left;rotation:180;z-index:251689984" from="413.95pt,20.9pt" to="414pt,44.3pt">
            <v:stroke dashstyle="dash" endarrow="block"/>
          </v:line>
        </w:pict>
      </w:r>
      <w:r w:rsidRPr="005273A1">
        <w:rPr>
          <w:rFonts w:eastAsiaTheme="minorEastAsia"/>
        </w:rPr>
        <w:pict>
          <v:shape id="_x0000_s696462" type="#_x0000_t202" style="position:absolute;left:0;text-align:left;margin-left:300.9pt;margin-top:5.8pt;width:54.6pt;height:23.4pt;z-index:251687936" filled="f" stroked="f">
            <v:textbox>
              <w:txbxContent>
                <w:p w:rsidR="000D2D13" w:rsidRDefault="000D2D13">
                  <w:pPr>
                    <w:jc w:val="center"/>
                    <w:rPr>
                      <w:rFonts w:ascii="宋体" w:hAnsi="宋体" w:cs="宋体"/>
                    </w:rPr>
                  </w:pPr>
                  <w:r>
                    <w:rPr>
                      <w:rFonts w:ascii="宋体" w:hAnsi="宋体" w:cs="宋体" w:hint="eastAsia"/>
                      <w:szCs w:val="20"/>
                    </w:rPr>
                    <w:t>噪声</w:t>
                  </w:r>
                </w:p>
              </w:txbxContent>
            </v:textbox>
          </v:shape>
        </w:pict>
      </w:r>
      <w:r w:rsidRPr="005273A1">
        <w:rPr>
          <w:rFonts w:eastAsiaTheme="minorEastAsia"/>
        </w:rPr>
        <w:pict>
          <v:line id="_x0000_s696433" style="position:absolute;left:0;text-align:left;rotation:180;z-index:251681792" from="330.15pt,20.9pt" to="330.2pt,44.3pt">
            <v:stroke dashstyle="dash" endarrow="block"/>
          </v:line>
        </w:pict>
      </w:r>
      <w:r w:rsidRPr="005273A1">
        <w:rPr>
          <w:rFonts w:eastAsiaTheme="minorEastAsia"/>
        </w:rPr>
        <w:pict>
          <v:shape id="_x0000_s696429" type="#_x0000_t202" style="position:absolute;left:0;text-align:left;margin-left:218.95pt;margin-top:6.45pt;width:54.6pt;height:23.4pt;z-index:251677696" filled="f" stroked="f">
            <v:textbox>
              <w:txbxContent>
                <w:p w:rsidR="000D2D13" w:rsidRDefault="000D2D13">
                  <w:pPr>
                    <w:jc w:val="center"/>
                    <w:rPr>
                      <w:rFonts w:ascii="宋体" w:hAnsi="宋体" w:cs="宋体"/>
                    </w:rPr>
                  </w:pPr>
                  <w:r>
                    <w:rPr>
                      <w:rFonts w:ascii="宋体" w:hAnsi="宋体" w:cs="宋体" w:hint="eastAsia"/>
                      <w:szCs w:val="20"/>
                    </w:rPr>
                    <w:t>噪声</w:t>
                  </w:r>
                </w:p>
              </w:txbxContent>
            </v:textbox>
          </v:shape>
        </w:pict>
      </w:r>
      <w:r w:rsidRPr="005273A1">
        <w:rPr>
          <w:rFonts w:eastAsiaTheme="minorEastAsia"/>
        </w:rPr>
        <w:pict>
          <v:line id="直线 671" o:spid="_x0000_s696422" style="position:absolute;left:0;text-align:left;rotation:180;z-index:251670528" from="103.45pt,22.2pt" to="103.5pt,45.6pt">
            <v:stroke dashstyle="dash" endarrow="block"/>
          </v:line>
        </w:pict>
      </w:r>
      <w:r w:rsidRPr="005273A1">
        <w:rPr>
          <w:rFonts w:eastAsiaTheme="minorEastAsia"/>
        </w:rPr>
        <w:pict>
          <v:shape id="_x0000_s696431" type="#_x0000_t202" style="position:absolute;left:0;text-align:left;margin-left:144.6pt;margin-top:6.45pt;width:54.6pt;height:23.4pt;z-index:251679744" filled="f" stroked="f">
            <v:textbox>
              <w:txbxContent>
                <w:p w:rsidR="000D2D13" w:rsidRDefault="000D2D13">
                  <w:pPr>
                    <w:jc w:val="center"/>
                    <w:rPr>
                      <w:rFonts w:ascii="宋体" w:hAnsi="宋体" w:cs="宋体"/>
                    </w:rPr>
                  </w:pPr>
                  <w:r>
                    <w:rPr>
                      <w:rFonts w:ascii="宋体" w:hAnsi="宋体" w:cs="宋体" w:hint="eastAsia"/>
                      <w:szCs w:val="20"/>
                    </w:rPr>
                    <w:t>噪声</w:t>
                  </w:r>
                </w:p>
              </w:txbxContent>
            </v:textbox>
          </v:shape>
        </w:pict>
      </w:r>
      <w:r w:rsidRPr="005273A1">
        <w:rPr>
          <w:rFonts w:eastAsiaTheme="minorEastAsia"/>
        </w:rPr>
        <w:pict>
          <v:shape id="文本框 672" o:spid="_x0000_s696423" type="#_x0000_t202" style="position:absolute;left:0;text-align:left;margin-left:19.75pt;margin-top:5.8pt;width:143.85pt;height:23.4pt;z-index:251671552" filled="f" stroked="f">
            <v:textbox>
              <w:txbxContent>
                <w:p w:rsidR="000D2D13" w:rsidRDefault="000D2D13">
                  <w:pPr>
                    <w:jc w:val="center"/>
                    <w:rPr>
                      <w:rFonts w:ascii="宋体" w:hAnsi="宋体" w:cs="宋体"/>
                    </w:rPr>
                  </w:pPr>
                  <w:r>
                    <w:rPr>
                      <w:rFonts w:ascii="宋体" w:hAnsi="宋体" w:cs="宋体" w:hint="eastAsia"/>
                      <w:szCs w:val="20"/>
                    </w:rPr>
                    <w:t>噪声、废泥浆、生态影响</w:t>
                  </w:r>
                </w:p>
              </w:txbxContent>
            </v:textbox>
          </v:shape>
        </w:pict>
      </w:r>
      <w:r w:rsidRPr="005273A1">
        <w:rPr>
          <w:rFonts w:eastAsiaTheme="minorEastAsia"/>
        </w:rPr>
        <w:pict>
          <v:shape id="文本框 664" o:spid="_x0000_s696415" type="#_x0000_t202" style="position:absolute;left:0;text-align:left;margin-left:83.55pt;margin-top:46.35pt;width:39.7pt;height:23.4pt;z-index:251663360" filled="f">
            <v:textbox>
              <w:txbxContent>
                <w:p w:rsidR="000D2D13" w:rsidRDefault="000D2D13">
                  <w:pPr>
                    <w:jc w:val="center"/>
                    <w:rPr>
                      <w:rFonts w:ascii="宋体" w:hAnsi="宋体" w:cs="宋体"/>
                    </w:rPr>
                  </w:pPr>
                  <w:r>
                    <w:rPr>
                      <w:rFonts w:ascii="宋体" w:hAnsi="宋体" w:cs="宋体" w:hint="eastAsia"/>
                      <w:szCs w:val="20"/>
                    </w:rPr>
                    <w:t>成孔</w:t>
                  </w:r>
                </w:p>
              </w:txbxContent>
            </v:textbox>
          </v:shape>
        </w:pict>
      </w:r>
      <w:r w:rsidRPr="005273A1">
        <w:rPr>
          <w:rFonts w:eastAsiaTheme="minorEastAsia"/>
        </w:rPr>
        <w:pict>
          <v:line id="直线 668" o:spid="_x0000_s696419" style="position:absolute;left:0;text-align:left;z-index:251667456" from="125.9pt,58.3pt" to="151.4pt,58.3pt">
            <v:stroke endarrow="block"/>
          </v:line>
        </w:pict>
      </w:r>
      <w:r w:rsidRPr="005273A1">
        <w:rPr>
          <w:rFonts w:eastAsiaTheme="minorEastAsia"/>
        </w:rPr>
        <w:pict>
          <v:shape id="文本框 673" o:spid="_x0000_s696424" type="#_x0000_t202" style="position:absolute;left:0;text-align:left;margin-left:-4.95pt;margin-top:45.6pt;width:59.2pt;height:23.4pt;z-index:251672576" filled="f">
            <v:textbox>
              <w:txbxContent>
                <w:p w:rsidR="000D2D13" w:rsidRDefault="000D2D13">
                  <w:pPr>
                    <w:rPr>
                      <w:rFonts w:ascii="宋体" w:hAnsi="宋体" w:cs="宋体"/>
                      <w:szCs w:val="20"/>
                    </w:rPr>
                  </w:pPr>
                  <w:r>
                    <w:rPr>
                      <w:rFonts w:ascii="宋体" w:hAnsi="宋体" w:cs="宋体"/>
                      <w:szCs w:val="20"/>
                    </w:rPr>
                    <w:t>钻机定位</w:t>
                  </w:r>
                </w:p>
              </w:txbxContent>
            </v:textbox>
          </v:shape>
        </w:pict>
      </w:r>
      <w:r w:rsidRPr="005273A1">
        <w:rPr>
          <w:rFonts w:eastAsiaTheme="minorEastAsia"/>
        </w:rPr>
        <w:pict>
          <v:line id="直线 674" o:spid="_x0000_s696425" style="position:absolute;left:0;text-align:left;z-index:251673600" from="56.3pt,57.5pt" to="81.8pt,57.5pt">
            <v:stroke endarrow="block"/>
          </v:line>
        </w:pict>
      </w:r>
      <w:r w:rsidRPr="005273A1">
        <w:rPr>
          <w:rFonts w:eastAsiaTheme="minorEastAsia"/>
        </w:rPr>
        <w:pict>
          <v:line id="直线 678" o:spid="_x0000_s696427" style="position:absolute;left:0;text-align:left;z-index:251675648" from="353.8pt,58.05pt" to="379.3pt,58.05pt">
            <v:stroke endarrow="block"/>
          </v:line>
        </w:pict>
      </w:r>
    </w:p>
    <w:p w:rsidR="002A5A5E" w:rsidRPr="00F9522B" w:rsidRDefault="005273A1">
      <w:pPr>
        <w:spacing w:line="500" w:lineRule="exact"/>
        <w:rPr>
          <w:rFonts w:eastAsiaTheme="minorEastAsia"/>
          <w:b/>
          <w:sz w:val="24"/>
          <w:szCs w:val="20"/>
        </w:rPr>
      </w:pPr>
      <w:r w:rsidRPr="005273A1">
        <w:rPr>
          <w:rFonts w:eastAsiaTheme="minorEastAsia"/>
          <w:b/>
          <w:sz w:val="24"/>
        </w:rPr>
        <w:pict>
          <v:shape id="_x0000_s696458" type="#_x0000_t202" style="position:absolute;left:0;text-align:left;margin-left:379.3pt;margin-top:22.2pt;width:68.6pt;height:23.4pt;z-index:251683840" filled="f">
            <v:textbox>
              <w:txbxContent>
                <w:p w:rsidR="000D2D13" w:rsidRDefault="000D2D13">
                  <w:pPr>
                    <w:jc w:val="center"/>
                    <w:rPr>
                      <w:rFonts w:ascii="宋体" w:hAnsi="宋体" w:cs="宋体"/>
                    </w:rPr>
                  </w:pPr>
                  <w:r>
                    <w:rPr>
                      <w:rFonts w:ascii="宋体" w:hAnsi="宋体" w:cs="宋体" w:hint="eastAsia"/>
                      <w:szCs w:val="20"/>
                    </w:rPr>
                    <w:t>井管外封闭</w:t>
                  </w:r>
                </w:p>
              </w:txbxContent>
            </v:textbox>
          </v:shape>
        </w:pict>
      </w:r>
      <w:r w:rsidRPr="005273A1">
        <w:rPr>
          <w:rFonts w:eastAsiaTheme="minorEastAsia"/>
        </w:rPr>
        <w:pict>
          <v:shape id="文本框 666" o:spid="_x0000_s696417" type="#_x0000_t202" style="position:absolute;left:0;text-align:left;margin-left:304.65pt;margin-top:23.35pt;width:49.15pt;height:23.4pt;z-index:251665408" filled="f">
            <v:textbox>
              <w:txbxContent>
                <w:p w:rsidR="000D2D13" w:rsidRDefault="000D2D13">
                  <w:pPr>
                    <w:jc w:val="center"/>
                    <w:rPr>
                      <w:rFonts w:ascii="宋体" w:hAnsi="宋体" w:cs="宋体"/>
                    </w:rPr>
                  </w:pPr>
                  <w:r>
                    <w:rPr>
                      <w:rFonts w:ascii="宋体" w:hAnsi="宋体" w:cs="宋体" w:hint="eastAsia"/>
                      <w:szCs w:val="20"/>
                    </w:rPr>
                    <w:t>填砂料</w:t>
                  </w:r>
                </w:p>
              </w:txbxContent>
            </v:textbox>
          </v:shape>
        </w:pict>
      </w:r>
      <w:r w:rsidRPr="005273A1">
        <w:rPr>
          <w:rFonts w:eastAsiaTheme="minorEastAsia"/>
        </w:rPr>
        <w:pict>
          <v:line id="_x0000_s696430" style="position:absolute;left:0;text-align:left;rotation:180;z-index:251678720" from="245.85pt,-.35pt" to="245.9pt,23.05pt">
            <v:stroke dashstyle="dash" endarrow="block"/>
          </v:line>
        </w:pict>
      </w:r>
      <w:r w:rsidRPr="005273A1">
        <w:rPr>
          <w:rFonts w:eastAsiaTheme="minorEastAsia"/>
        </w:rPr>
        <w:pict>
          <v:shape id="文本框 665" o:spid="_x0000_s696416" type="#_x0000_t202" style="position:absolute;left:0;text-align:left;margin-left:218.4pt;margin-top:23.35pt;width:60.25pt;height:23.4pt;z-index:251664384" filled="f">
            <v:textbox>
              <w:txbxContent>
                <w:p w:rsidR="000D2D13" w:rsidRDefault="000D2D13">
                  <w:pPr>
                    <w:jc w:val="center"/>
                    <w:rPr>
                      <w:rFonts w:ascii="宋体" w:hAnsi="宋体" w:cs="宋体"/>
                    </w:rPr>
                  </w:pPr>
                  <w:r>
                    <w:rPr>
                      <w:rFonts w:ascii="宋体" w:hAnsi="宋体" w:cs="宋体" w:hint="eastAsia"/>
                      <w:szCs w:val="20"/>
                    </w:rPr>
                    <w:t>井管安装</w:t>
                  </w:r>
                </w:p>
              </w:txbxContent>
            </v:textbox>
          </v:shape>
        </w:pict>
      </w:r>
      <w:r w:rsidRPr="005273A1">
        <w:rPr>
          <w:rFonts w:eastAsiaTheme="minorEastAsia"/>
        </w:rPr>
        <w:pict>
          <v:line id="_x0000_s696428" style="position:absolute;left:0;text-align:left;rotation:180;z-index:251676672" from="171.1pt,-.15pt" to="171.15pt,23.25pt">
            <v:stroke dashstyle="dash" endarrow="block"/>
          </v:line>
        </w:pict>
      </w:r>
      <w:r w:rsidRPr="005273A1">
        <w:rPr>
          <w:rFonts w:eastAsiaTheme="minorEastAsia"/>
          <w:b/>
          <w:sz w:val="24"/>
        </w:rPr>
        <w:pict>
          <v:shape id="_x0000_s696460" type="#_x0000_t202" style="position:absolute;left:0;text-align:left;margin-left:151.4pt;margin-top:22.2pt;width:39.7pt;height:23.4pt;z-index:251685888" filled="f">
            <v:textbox>
              <w:txbxContent>
                <w:p w:rsidR="000D2D13" w:rsidRDefault="000D2D13">
                  <w:pPr>
                    <w:jc w:val="center"/>
                    <w:rPr>
                      <w:rFonts w:ascii="宋体" w:hAnsi="宋体" w:cs="宋体"/>
                    </w:rPr>
                  </w:pPr>
                  <w:r>
                    <w:rPr>
                      <w:rFonts w:ascii="宋体" w:hAnsi="宋体" w:cs="宋体" w:hint="eastAsia"/>
                      <w:szCs w:val="20"/>
                    </w:rPr>
                    <w:t>清孔</w:t>
                  </w:r>
                </w:p>
              </w:txbxContent>
            </v:textbox>
          </v:shape>
        </w:pict>
      </w:r>
    </w:p>
    <w:p w:rsidR="002A5A5E" w:rsidRPr="00F9522B" w:rsidRDefault="005273A1">
      <w:pPr>
        <w:spacing w:line="500" w:lineRule="exact"/>
        <w:ind w:firstLineChars="200" w:firstLine="482"/>
        <w:rPr>
          <w:rFonts w:eastAsiaTheme="minorEastAsia"/>
          <w:sz w:val="24"/>
          <w:szCs w:val="20"/>
        </w:rPr>
      </w:pPr>
      <w:r w:rsidRPr="005273A1">
        <w:rPr>
          <w:rFonts w:eastAsiaTheme="minorEastAsia"/>
          <w:b/>
          <w:sz w:val="24"/>
        </w:rPr>
        <w:pict>
          <v:line id="_x0000_s696457" style="position:absolute;left:0;text-align:left;z-index:251682816" from="415.05pt,21.35pt" to="415.05pt,48.3pt">
            <v:stroke endarrow="block"/>
          </v:line>
        </w:pict>
      </w:r>
      <w:r w:rsidRPr="005273A1">
        <w:rPr>
          <w:rFonts w:eastAsiaTheme="minorEastAsia"/>
        </w:rPr>
        <w:pict>
          <v:line id="直线 670" o:spid="_x0000_s696421" style="position:absolute;left:0;text-align:left;z-index:251669504" from="279.45pt,9.95pt" to="304.95pt,9.95pt">
            <v:stroke endarrow="block"/>
          </v:line>
        </w:pict>
      </w:r>
      <w:r w:rsidRPr="005273A1">
        <w:rPr>
          <w:rFonts w:eastAsiaTheme="minorEastAsia"/>
        </w:rPr>
        <w:pict>
          <v:line id="直线 669" o:spid="_x0000_s696420" style="position:absolute;left:0;text-align:left;z-index:251668480" from="192.9pt,9.95pt" to="218.4pt,9.95pt">
            <v:stroke endarrow="block"/>
          </v:line>
        </w:pict>
      </w:r>
      <w:r w:rsidRPr="005273A1">
        <w:rPr>
          <w:rFonts w:eastAsiaTheme="minorEastAsia"/>
          <w:b/>
          <w:sz w:val="24"/>
        </w:rPr>
        <w:pict>
          <v:line id="_x0000_s696461" style="position:absolute;left:0;text-align:left;flip:y;z-index:251686912" from="103.5pt,20.6pt" to="103.5pt,45.7pt">
            <v:stroke endarrow="block"/>
          </v:line>
        </w:pict>
      </w:r>
    </w:p>
    <w:p w:rsidR="002A5A5E" w:rsidRPr="00F9522B" w:rsidRDefault="002A5A5E">
      <w:pPr>
        <w:adjustRightInd w:val="0"/>
        <w:spacing w:line="360" w:lineRule="auto"/>
        <w:jc w:val="center"/>
        <w:rPr>
          <w:rFonts w:eastAsiaTheme="minorEastAsia"/>
          <w:b/>
          <w:sz w:val="24"/>
        </w:rPr>
      </w:pPr>
    </w:p>
    <w:p w:rsidR="002A5A5E" w:rsidRPr="00F9522B" w:rsidRDefault="005273A1">
      <w:pPr>
        <w:tabs>
          <w:tab w:val="left" w:pos="3852"/>
          <w:tab w:val="center" w:pos="4153"/>
        </w:tabs>
        <w:adjustRightInd w:val="0"/>
        <w:spacing w:line="360" w:lineRule="auto"/>
        <w:jc w:val="left"/>
        <w:rPr>
          <w:rFonts w:eastAsiaTheme="minorEastAsia"/>
          <w:b/>
          <w:sz w:val="24"/>
        </w:rPr>
      </w:pPr>
      <w:r>
        <w:rPr>
          <w:rFonts w:eastAsiaTheme="minorEastAsia"/>
          <w:b/>
          <w:sz w:val="24"/>
        </w:rPr>
        <w:pict>
          <v:shape id="_x0000_s697075" type="#_x0000_t202" style="position:absolute;margin-left:401.45pt;margin-top:-.45pt;width:39.7pt;height:23.4pt;z-index:251770880" filled="f">
            <v:textbox>
              <w:txbxContent>
                <w:p w:rsidR="000D2D13" w:rsidRDefault="000D2D13">
                  <w:pPr>
                    <w:jc w:val="center"/>
                    <w:rPr>
                      <w:rFonts w:ascii="宋体" w:hAnsi="宋体" w:cs="宋体"/>
                    </w:rPr>
                  </w:pPr>
                  <w:r>
                    <w:rPr>
                      <w:rFonts w:ascii="宋体" w:hAnsi="宋体" w:cs="宋体" w:hint="eastAsia"/>
                      <w:szCs w:val="20"/>
                    </w:rPr>
                    <w:t>止水</w:t>
                  </w:r>
                </w:p>
              </w:txbxContent>
            </v:textbox>
          </v:shape>
        </w:pict>
      </w:r>
      <w:r w:rsidR="00611CBA" w:rsidRPr="00F9522B">
        <w:rPr>
          <w:rFonts w:eastAsiaTheme="minorEastAsia"/>
          <w:b/>
          <w:sz w:val="24"/>
        </w:rPr>
        <w:tab/>
      </w:r>
      <w:r w:rsidR="00611CBA" w:rsidRPr="00F9522B">
        <w:rPr>
          <w:rFonts w:eastAsiaTheme="minorEastAsia"/>
          <w:b/>
          <w:sz w:val="24"/>
        </w:rPr>
        <w:tab/>
      </w:r>
      <w:r w:rsidRPr="005273A1">
        <w:rPr>
          <w:rFonts w:eastAsiaTheme="minorEastAsia"/>
        </w:rPr>
        <w:pict>
          <v:line id="_x0000_s697074" style="position:absolute;flip:x;z-index:251769856;mso-position-horizontal-relative:text;mso-position-vertical-relative:text" from="371.2pt,11.1pt" to="401.8pt,11.1pt">
            <v:stroke endarrow="block"/>
          </v:line>
        </w:pict>
      </w:r>
      <w:r w:rsidRPr="005273A1">
        <w:rPr>
          <w:rFonts w:eastAsiaTheme="minorEastAsia"/>
        </w:rPr>
        <w:pict>
          <v:shape id="文本框 677" o:spid="_x0000_s696426" type="#_x0000_t202" style="position:absolute;margin-left:331.5pt;margin-top:-.1pt;width:39.7pt;height:23.4pt;z-index:251674624;mso-position-horizontal-relative:text;mso-position-vertical-relative:text" filled="f">
            <v:textbox>
              <w:txbxContent>
                <w:p w:rsidR="000D2D13" w:rsidRDefault="000D2D13">
                  <w:pPr>
                    <w:jc w:val="center"/>
                    <w:rPr>
                      <w:rFonts w:ascii="宋体" w:hAnsi="宋体" w:cs="宋体"/>
                    </w:rPr>
                  </w:pPr>
                  <w:r>
                    <w:rPr>
                      <w:rFonts w:ascii="宋体" w:hAnsi="宋体" w:cs="宋体" w:hint="eastAsia"/>
                      <w:szCs w:val="20"/>
                    </w:rPr>
                    <w:t>洗井</w:t>
                  </w:r>
                </w:p>
              </w:txbxContent>
            </v:textbox>
          </v:shape>
        </w:pict>
      </w:r>
      <w:r w:rsidRPr="005273A1">
        <w:rPr>
          <w:rFonts w:eastAsiaTheme="minorEastAsia"/>
        </w:rPr>
        <w:pict>
          <v:line id="_x0000_s696465" style="position:absolute;flip:x;z-index:251691008;mso-position-horizontal-relative:text;mso-position-vertical-relative:text" from="300.9pt,11.1pt" to="331.5pt,11.1pt">
            <v:stroke endarrow="block"/>
          </v:line>
        </w:pict>
      </w:r>
      <w:r w:rsidRPr="005273A1">
        <w:rPr>
          <w:rFonts w:eastAsiaTheme="minorEastAsia"/>
        </w:rPr>
        <w:pict>
          <v:shape id="文本框 667" o:spid="_x0000_s696418" type="#_x0000_t202" style="position:absolute;margin-left:247.7pt;margin-top:-.1pt;width:53.2pt;height:23.4pt;z-index:251666432;mso-position-horizontal-relative:text;mso-position-vertical-relative:text" filled="f">
            <v:textbox>
              <w:txbxContent>
                <w:p w:rsidR="000D2D13" w:rsidRDefault="000D2D13">
                  <w:pPr>
                    <w:jc w:val="center"/>
                    <w:rPr>
                      <w:rFonts w:ascii="宋体" w:hAnsi="宋体" w:cs="宋体"/>
                    </w:rPr>
                  </w:pPr>
                  <w:r>
                    <w:rPr>
                      <w:rFonts w:ascii="宋体" w:hAnsi="宋体" w:cs="宋体" w:hint="eastAsia"/>
                      <w:szCs w:val="20"/>
                    </w:rPr>
                    <w:t>验收</w:t>
                  </w:r>
                </w:p>
              </w:txbxContent>
            </v:textbox>
          </v:shape>
        </w:pict>
      </w:r>
      <w:r>
        <w:rPr>
          <w:rFonts w:eastAsiaTheme="minorEastAsia"/>
          <w:b/>
          <w:sz w:val="24"/>
        </w:rPr>
        <w:pict>
          <v:shape id="_x0000_s696459" type="#_x0000_t202" style="position:absolute;margin-left:72.6pt;margin-top:-.1pt;width:62.45pt;height:23.4pt;z-index:251684864;mso-position-horizontal-relative:text;mso-position-vertical-relative:text" filled="f">
            <v:textbox>
              <w:txbxContent>
                <w:p w:rsidR="000D2D13" w:rsidRDefault="000D2D13">
                  <w:r>
                    <w:rPr>
                      <w:rFonts w:ascii="宋体" w:hAnsi="宋体" w:cs="宋体"/>
                      <w:szCs w:val="20"/>
                    </w:rPr>
                    <w:t>泥浆配制</w:t>
                  </w:r>
                </w:p>
              </w:txbxContent>
            </v:textbox>
          </v:shape>
        </w:pict>
      </w:r>
    </w:p>
    <w:p w:rsidR="002A5A5E" w:rsidRPr="00F9522B" w:rsidRDefault="005273A1">
      <w:pPr>
        <w:spacing w:line="360" w:lineRule="auto"/>
        <w:ind w:left="420"/>
        <w:contextualSpacing/>
        <w:jc w:val="center"/>
        <w:rPr>
          <w:rFonts w:eastAsiaTheme="minorEastAsia"/>
          <w:b/>
          <w:sz w:val="24"/>
        </w:rPr>
      </w:pPr>
      <w:r w:rsidRPr="005273A1">
        <w:rPr>
          <w:rFonts w:eastAsiaTheme="minorEastAsia"/>
        </w:rPr>
        <w:lastRenderedPageBreak/>
        <w:pict>
          <v:shape id="_x0000_s696432" type="#_x0000_t202" style="position:absolute;left:0;text-align:left;margin-left:307.65pt;margin-top:17.2pt;width:92.2pt;height:23.4pt;z-index:251680768" filled="f" stroked="f">
            <v:textbox>
              <w:txbxContent>
                <w:p w:rsidR="000D2D13" w:rsidRDefault="000D2D13">
                  <w:pPr>
                    <w:jc w:val="center"/>
                    <w:rPr>
                      <w:rFonts w:ascii="宋体" w:hAnsi="宋体" w:cs="宋体"/>
                    </w:rPr>
                  </w:pPr>
                  <w:r>
                    <w:rPr>
                      <w:rFonts w:ascii="宋体" w:hAnsi="宋体" w:cs="宋体" w:hint="eastAsia"/>
                      <w:szCs w:val="20"/>
                    </w:rPr>
                    <w:t>噪声、废水</w:t>
                  </w:r>
                </w:p>
              </w:txbxContent>
            </v:textbox>
          </v:shape>
        </w:pict>
      </w:r>
      <w:r w:rsidRPr="005273A1">
        <w:rPr>
          <w:rFonts w:eastAsiaTheme="minorEastAsia"/>
        </w:rPr>
        <w:pict>
          <v:line id="_x0000_s696466" style="position:absolute;left:0;text-align:left;rotation:180;flip:y;z-index:251692032" from="351.9pt,-.1pt" to="351.9pt,21.95pt">
            <v:stroke dashstyle="dash" endarrow="block"/>
          </v:line>
        </w:pict>
      </w:r>
    </w:p>
    <w:p w:rsidR="004903CD" w:rsidRPr="00F9522B" w:rsidRDefault="004903CD">
      <w:pPr>
        <w:contextualSpacing/>
        <w:jc w:val="center"/>
        <w:rPr>
          <w:rFonts w:eastAsiaTheme="minorEastAsia"/>
          <w:b/>
          <w:kern w:val="0"/>
          <w:szCs w:val="21"/>
        </w:rPr>
      </w:pPr>
    </w:p>
    <w:p w:rsidR="002A5A5E" w:rsidRPr="00F9522B" w:rsidRDefault="00611CBA">
      <w:pPr>
        <w:contextualSpacing/>
        <w:jc w:val="center"/>
        <w:rPr>
          <w:rFonts w:eastAsiaTheme="minorEastAsia"/>
          <w:b/>
          <w:color w:val="FF0000"/>
          <w:kern w:val="0"/>
          <w:szCs w:val="21"/>
        </w:rPr>
      </w:pPr>
      <w:r w:rsidRPr="00F9522B">
        <w:rPr>
          <w:rFonts w:eastAsiaTheme="minorEastAsia"/>
          <w:b/>
          <w:color w:val="FF0000"/>
          <w:kern w:val="0"/>
          <w:szCs w:val="21"/>
        </w:rPr>
        <w:t>图</w:t>
      </w:r>
      <w:r w:rsidRPr="00F9522B">
        <w:rPr>
          <w:rFonts w:eastAsiaTheme="minorEastAsia"/>
          <w:b/>
          <w:color w:val="FF0000"/>
          <w:kern w:val="0"/>
          <w:szCs w:val="21"/>
        </w:rPr>
        <w:t>3-2-1</w:t>
      </w:r>
      <w:r w:rsidRPr="00F9522B">
        <w:rPr>
          <w:rFonts w:eastAsiaTheme="minorEastAsia"/>
          <w:b/>
          <w:color w:val="FF0000"/>
          <w:kern w:val="0"/>
          <w:szCs w:val="21"/>
        </w:rPr>
        <w:t>灌溉井施工工艺流程及排污节点图</w:t>
      </w:r>
    </w:p>
    <w:p w:rsidR="002A5A5E" w:rsidRPr="00F9522B" w:rsidRDefault="00611CBA">
      <w:pPr>
        <w:autoSpaceDE w:val="0"/>
        <w:autoSpaceDN w:val="0"/>
        <w:spacing w:before="100" w:beforeAutospacing="1" w:after="100" w:afterAutospacing="1"/>
        <w:outlineLvl w:val="3"/>
        <w:rPr>
          <w:rFonts w:eastAsiaTheme="minorEastAsia"/>
          <w:b/>
          <w:sz w:val="24"/>
        </w:rPr>
      </w:pPr>
      <w:r w:rsidRPr="00F9522B">
        <w:rPr>
          <w:rFonts w:eastAsiaTheme="minorEastAsia"/>
          <w:b/>
          <w:sz w:val="24"/>
        </w:rPr>
        <w:t>3.2.1.2</w:t>
      </w:r>
      <w:r w:rsidRPr="00F9522B">
        <w:rPr>
          <w:rFonts w:eastAsiaTheme="minorEastAsia"/>
          <w:b/>
          <w:sz w:val="24"/>
        </w:rPr>
        <w:t>田间道路施工流程及产污环节分析</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混凝土路：路面（地面）水泥混凝土面层厚</w:t>
      </w:r>
      <w:r w:rsidRPr="00F9522B">
        <w:rPr>
          <w:rFonts w:eastAsiaTheme="minorEastAsia"/>
          <w:sz w:val="24"/>
        </w:rPr>
        <w:t>20cm</w:t>
      </w:r>
      <w:r w:rsidRPr="00F9522B">
        <w:rPr>
          <w:rFonts w:eastAsiaTheme="minorEastAsia"/>
          <w:sz w:val="24"/>
        </w:rPr>
        <w:t>，下设</w:t>
      </w:r>
      <w:r w:rsidRPr="00F9522B">
        <w:rPr>
          <w:rFonts w:eastAsiaTheme="minorEastAsia"/>
          <w:sz w:val="24"/>
        </w:rPr>
        <w:t>20cm5%</w:t>
      </w:r>
      <w:r w:rsidRPr="00F9522B">
        <w:rPr>
          <w:rFonts w:eastAsiaTheme="minorEastAsia"/>
          <w:sz w:val="24"/>
        </w:rPr>
        <w:t>水泥稳定碎石基层，</w:t>
      </w:r>
      <w:r w:rsidRPr="00F9522B">
        <w:rPr>
          <w:rFonts w:eastAsiaTheme="minorEastAsia"/>
          <w:sz w:val="24"/>
        </w:rPr>
        <w:t>30cm</w:t>
      </w:r>
      <w:r w:rsidRPr="00F9522B">
        <w:rPr>
          <w:rFonts w:eastAsiaTheme="minorEastAsia"/>
          <w:sz w:val="24"/>
        </w:rPr>
        <w:t>山皮石垫层。</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工程开工前做好施工测量工作，进行清基，采用推土机以深度不大的纵向挖掘前进，一次挖到设计基础标高，边开挖，边整形，路基刮平碾压，先对路基采用推土机开挖路槽，再采用压路机碾压，达到压实度</w:t>
      </w:r>
      <w:r w:rsidRPr="00F9522B">
        <w:rPr>
          <w:rFonts w:eastAsiaTheme="minorEastAsia"/>
          <w:sz w:val="24"/>
        </w:rPr>
        <w:t>≥0.85</w:t>
      </w:r>
      <w:r w:rsidRPr="00F9522B">
        <w:rPr>
          <w:rFonts w:eastAsiaTheme="minorEastAsia"/>
          <w:sz w:val="24"/>
        </w:rPr>
        <w:t>要求，采用推土机和平地机组合一次山皮石摊铺、推土机推平、人工整型、检查摊铺厚度、平地机精平、压路机碾压、支立模板和安设钢筋、摊铺混凝土、提浆、刮平、机械抹平、机械抹光、表面制毛、机械锯缝、拆模、填缝、开放交通。在混凝土路面建设完成后，应在其终凝前进行养护，通常在混凝土浇筑完毕后</w:t>
      </w:r>
      <w:r w:rsidRPr="00F9522B">
        <w:rPr>
          <w:rFonts w:eastAsiaTheme="minorEastAsia"/>
          <w:sz w:val="24"/>
        </w:rPr>
        <w:t>8</w:t>
      </w:r>
      <w:r w:rsidRPr="00F9522B">
        <w:rPr>
          <w:rFonts w:eastAsiaTheme="minorEastAsia"/>
          <w:sz w:val="24"/>
        </w:rPr>
        <w:t>～</w:t>
      </w:r>
      <w:r w:rsidRPr="00F9522B">
        <w:rPr>
          <w:rFonts w:eastAsiaTheme="minorEastAsia"/>
          <w:sz w:val="24"/>
        </w:rPr>
        <w:t>12</w:t>
      </w:r>
      <w:r w:rsidRPr="00F9522B">
        <w:rPr>
          <w:rFonts w:eastAsiaTheme="minorEastAsia"/>
          <w:sz w:val="24"/>
        </w:rPr>
        <w:t>小时内自然养护，同时喷洒少量水，养护水自然蒸发，不产生养护废水。</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砂石路：工程开工前做好施工测量工作，进行清基，采用推土机和平地机组合一次山皮石摊铺，采用压路机碾压，上铺</w:t>
      </w:r>
      <w:r w:rsidRPr="00F9522B">
        <w:rPr>
          <w:rFonts w:eastAsiaTheme="minorEastAsia"/>
          <w:sz w:val="24"/>
        </w:rPr>
        <w:t>10cm</w:t>
      </w:r>
      <w:r w:rsidRPr="00F9522B">
        <w:rPr>
          <w:rFonts w:eastAsiaTheme="minorEastAsia"/>
          <w:sz w:val="24"/>
        </w:rPr>
        <w:t>厚的风化砂磨耗层、找平。</w:t>
      </w:r>
    </w:p>
    <w:p w:rsidR="002A5A5E" w:rsidRPr="00F9522B" w:rsidRDefault="00611CBA">
      <w:pPr>
        <w:autoSpaceDE w:val="0"/>
        <w:autoSpaceDN w:val="0"/>
        <w:adjustRightInd w:val="0"/>
        <w:spacing w:line="360" w:lineRule="auto"/>
        <w:jc w:val="center"/>
        <w:rPr>
          <w:rFonts w:eastAsiaTheme="minorEastAsia"/>
          <w:b/>
          <w:bCs/>
          <w:sz w:val="24"/>
        </w:rPr>
      </w:pPr>
      <w:r w:rsidRPr="00F9522B">
        <w:rPr>
          <w:rFonts w:eastAsiaTheme="minorEastAsia"/>
          <w:b/>
          <w:bCs/>
          <w:noProof/>
          <w:sz w:val="24"/>
        </w:rPr>
        <w:drawing>
          <wp:inline distT="0" distB="0" distL="0" distR="0">
            <wp:extent cx="3423920" cy="818515"/>
            <wp:effectExtent l="19050" t="0" r="5080" b="0"/>
            <wp:docPr id="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3"/>
                    <pic:cNvPicPr>
                      <a:picLocks noChangeAspect="1" noChangeArrowheads="1"/>
                    </pic:cNvPicPr>
                  </pic:nvPicPr>
                  <pic:blipFill>
                    <a:blip r:embed="rId41"/>
                    <a:srcRect/>
                    <a:stretch>
                      <a:fillRect/>
                    </a:stretch>
                  </pic:blipFill>
                  <pic:spPr>
                    <a:xfrm>
                      <a:off x="0" y="0"/>
                      <a:ext cx="3423920" cy="818515"/>
                    </a:xfrm>
                    <a:prstGeom prst="rect">
                      <a:avLst/>
                    </a:prstGeom>
                    <a:noFill/>
                    <a:ln w="9525">
                      <a:noFill/>
                      <a:miter lim="800000"/>
                      <a:headEnd/>
                      <a:tailEnd/>
                    </a:ln>
                  </pic:spPr>
                </pic:pic>
              </a:graphicData>
            </a:graphic>
          </wp:inline>
        </w:drawing>
      </w:r>
    </w:p>
    <w:p w:rsidR="002A5A5E" w:rsidRPr="00F9522B" w:rsidRDefault="00611CBA">
      <w:pPr>
        <w:contextualSpacing/>
        <w:jc w:val="center"/>
        <w:rPr>
          <w:rFonts w:eastAsiaTheme="minorEastAsia"/>
          <w:b/>
          <w:kern w:val="0"/>
          <w:szCs w:val="21"/>
        </w:rPr>
      </w:pPr>
      <w:r w:rsidRPr="00F9522B">
        <w:rPr>
          <w:rFonts w:eastAsiaTheme="minorEastAsia"/>
          <w:b/>
          <w:kern w:val="0"/>
          <w:szCs w:val="21"/>
        </w:rPr>
        <w:t>图</w:t>
      </w:r>
      <w:r w:rsidRPr="00F9522B">
        <w:rPr>
          <w:rFonts w:eastAsiaTheme="minorEastAsia"/>
          <w:b/>
          <w:kern w:val="0"/>
          <w:szCs w:val="21"/>
        </w:rPr>
        <w:t xml:space="preserve">3-2-2 </w:t>
      </w:r>
      <w:r w:rsidRPr="00F9522B">
        <w:rPr>
          <w:rFonts w:eastAsiaTheme="minorEastAsia"/>
          <w:b/>
          <w:kern w:val="0"/>
          <w:szCs w:val="21"/>
        </w:rPr>
        <w:t>道路工程施工流程及排污节点图</w:t>
      </w:r>
    </w:p>
    <w:p w:rsidR="002A5A5E" w:rsidRPr="00F9522B" w:rsidRDefault="00611CBA">
      <w:pPr>
        <w:autoSpaceDE w:val="0"/>
        <w:autoSpaceDN w:val="0"/>
        <w:spacing w:before="100" w:beforeAutospacing="1" w:after="100" w:afterAutospacing="1"/>
        <w:outlineLvl w:val="3"/>
        <w:rPr>
          <w:rFonts w:eastAsiaTheme="minorEastAsia"/>
          <w:b/>
          <w:sz w:val="24"/>
        </w:rPr>
      </w:pPr>
      <w:r w:rsidRPr="00F9522B">
        <w:rPr>
          <w:rFonts w:eastAsiaTheme="minorEastAsia"/>
          <w:b/>
          <w:sz w:val="24"/>
        </w:rPr>
        <w:t>3.2.1.3</w:t>
      </w:r>
      <w:r w:rsidRPr="00F9522B">
        <w:rPr>
          <w:rFonts w:eastAsiaTheme="minorEastAsia"/>
          <w:b/>
          <w:sz w:val="24"/>
        </w:rPr>
        <w:t>农田输配电工程施工流程及产污环节分析</w:t>
      </w:r>
    </w:p>
    <w:p w:rsidR="002A5A5E" w:rsidRPr="00F9522B" w:rsidRDefault="0003457C">
      <w:pPr>
        <w:autoSpaceDE w:val="0"/>
        <w:autoSpaceDN w:val="0"/>
        <w:adjustRightInd w:val="0"/>
        <w:spacing w:line="360" w:lineRule="auto"/>
        <w:ind w:firstLineChars="225" w:firstLine="540"/>
        <w:jc w:val="left"/>
        <w:rPr>
          <w:rFonts w:eastAsiaTheme="minorEastAsia"/>
          <w:bCs/>
          <w:kern w:val="0"/>
          <w:sz w:val="24"/>
        </w:rPr>
      </w:pPr>
      <w:r w:rsidRPr="00F9522B">
        <w:rPr>
          <w:rFonts w:eastAsiaTheme="minorEastAsia"/>
          <w:bCs/>
          <w:kern w:val="0"/>
          <w:sz w:val="24"/>
        </w:rPr>
        <w:t>（</w:t>
      </w:r>
      <w:r w:rsidRPr="00F9522B">
        <w:rPr>
          <w:rFonts w:eastAsiaTheme="minorEastAsia"/>
          <w:bCs/>
          <w:kern w:val="0"/>
          <w:sz w:val="24"/>
        </w:rPr>
        <w:t>1</w:t>
      </w:r>
      <w:r w:rsidRPr="00F9522B">
        <w:rPr>
          <w:rFonts w:eastAsiaTheme="minorEastAsia"/>
          <w:bCs/>
          <w:kern w:val="0"/>
          <w:sz w:val="24"/>
        </w:rPr>
        <w:t>）</w:t>
      </w:r>
      <w:r w:rsidR="00611CBA" w:rsidRPr="00F9522B">
        <w:rPr>
          <w:rFonts w:eastAsiaTheme="minorEastAsia"/>
          <w:bCs/>
          <w:kern w:val="0"/>
          <w:sz w:val="24"/>
        </w:rPr>
        <w:t>10kV</w:t>
      </w:r>
      <w:r w:rsidR="00611CBA" w:rsidRPr="00F9522B">
        <w:rPr>
          <w:rFonts w:eastAsiaTheme="minorEastAsia"/>
          <w:bCs/>
          <w:kern w:val="0"/>
          <w:sz w:val="24"/>
        </w:rPr>
        <w:t>输电线路架设</w:t>
      </w:r>
    </w:p>
    <w:p w:rsidR="002A5A5E" w:rsidRPr="00F9522B" w:rsidRDefault="00611CBA">
      <w:pPr>
        <w:autoSpaceDE w:val="0"/>
        <w:autoSpaceDN w:val="0"/>
        <w:adjustRightInd w:val="0"/>
        <w:spacing w:line="360" w:lineRule="auto"/>
        <w:ind w:firstLineChars="225" w:firstLine="540"/>
        <w:jc w:val="left"/>
        <w:rPr>
          <w:rFonts w:eastAsiaTheme="minorEastAsia"/>
          <w:bCs/>
          <w:kern w:val="0"/>
          <w:sz w:val="24"/>
        </w:rPr>
      </w:pPr>
      <w:r w:rsidRPr="00F9522B">
        <w:rPr>
          <w:rFonts w:eastAsiaTheme="minorEastAsia"/>
          <w:bCs/>
          <w:kern w:val="0"/>
          <w:sz w:val="24"/>
        </w:rPr>
        <w:t>杆塔基础施工：按放样位置开挖基坑，采用</w:t>
      </w:r>
      <w:r w:rsidRPr="00F9522B">
        <w:rPr>
          <w:rFonts w:eastAsiaTheme="minorEastAsia"/>
          <w:bCs/>
          <w:kern w:val="0"/>
          <w:sz w:val="24"/>
        </w:rPr>
        <w:t>C25</w:t>
      </w:r>
      <w:r w:rsidRPr="00F9522B">
        <w:rPr>
          <w:rFonts w:eastAsiaTheme="minorEastAsia"/>
          <w:bCs/>
          <w:kern w:val="0"/>
          <w:sz w:val="24"/>
        </w:rPr>
        <w:t>预拌混凝土浇筑，振捣密实后养护。基础顶面预埋地脚螺栓，与电杆底盘连接牢固。</w:t>
      </w:r>
    </w:p>
    <w:p w:rsidR="002A5A5E" w:rsidRPr="00F9522B" w:rsidRDefault="00611CBA">
      <w:pPr>
        <w:autoSpaceDE w:val="0"/>
        <w:autoSpaceDN w:val="0"/>
        <w:adjustRightInd w:val="0"/>
        <w:spacing w:line="360" w:lineRule="auto"/>
        <w:ind w:firstLineChars="225" w:firstLine="540"/>
        <w:jc w:val="left"/>
        <w:rPr>
          <w:rFonts w:eastAsiaTheme="minorEastAsia"/>
          <w:bCs/>
          <w:kern w:val="0"/>
          <w:sz w:val="24"/>
        </w:rPr>
      </w:pPr>
      <w:r w:rsidRPr="00F9522B">
        <w:rPr>
          <w:rFonts w:eastAsiaTheme="minorEastAsia"/>
          <w:bCs/>
          <w:kern w:val="0"/>
          <w:sz w:val="24"/>
        </w:rPr>
        <w:t>杆塔组立：采用吊车吊装</w:t>
      </w:r>
      <w:r w:rsidRPr="00F9522B">
        <w:rPr>
          <w:rFonts w:eastAsiaTheme="minorEastAsia"/>
          <w:bCs/>
          <w:kern w:val="0"/>
          <w:sz w:val="24"/>
        </w:rPr>
        <w:t>12m</w:t>
      </w:r>
      <w:r w:rsidRPr="00F9522B">
        <w:rPr>
          <w:rFonts w:eastAsiaTheme="minorEastAsia"/>
          <w:bCs/>
          <w:kern w:val="0"/>
          <w:sz w:val="24"/>
        </w:rPr>
        <w:t>水泥电杆，校正垂直度，回填基坑并分层夯实（压实度</w:t>
      </w:r>
      <w:r w:rsidRPr="00F9522B">
        <w:rPr>
          <w:rFonts w:eastAsiaTheme="minorEastAsia"/>
          <w:bCs/>
          <w:kern w:val="0"/>
          <w:sz w:val="24"/>
        </w:rPr>
        <w:t>≥90%</w:t>
      </w:r>
      <w:r w:rsidRPr="00F9522B">
        <w:rPr>
          <w:rFonts w:eastAsiaTheme="minorEastAsia"/>
          <w:bCs/>
          <w:kern w:val="0"/>
          <w:sz w:val="24"/>
        </w:rPr>
        <w:t>）；转角杆、终端杆安装拉线，拉线坑深</w:t>
      </w:r>
      <w:r w:rsidRPr="00F9522B">
        <w:rPr>
          <w:rFonts w:eastAsiaTheme="minorEastAsia"/>
          <w:bCs/>
          <w:kern w:val="0"/>
          <w:sz w:val="24"/>
        </w:rPr>
        <w:t>1.2m</w:t>
      </w:r>
      <w:r w:rsidRPr="00F9522B">
        <w:rPr>
          <w:rFonts w:eastAsiaTheme="minorEastAsia"/>
          <w:bCs/>
          <w:kern w:val="0"/>
          <w:sz w:val="24"/>
        </w:rPr>
        <w:t>，设置拉线盘（</w:t>
      </w:r>
      <w:r w:rsidRPr="00F9522B">
        <w:rPr>
          <w:rFonts w:eastAsiaTheme="minorEastAsia"/>
          <w:bCs/>
          <w:kern w:val="0"/>
          <w:sz w:val="24"/>
        </w:rPr>
        <w:t>0.6m×0.6m×0.1m</w:t>
      </w:r>
      <w:r w:rsidRPr="00F9522B">
        <w:rPr>
          <w:rFonts w:eastAsiaTheme="minorEastAsia"/>
          <w:bCs/>
          <w:kern w:val="0"/>
          <w:sz w:val="24"/>
        </w:rPr>
        <w:t>），收紧拉线后用</w:t>
      </w:r>
      <w:r w:rsidRPr="00F9522B">
        <w:rPr>
          <w:rFonts w:eastAsiaTheme="minorEastAsia"/>
          <w:bCs/>
          <w:kern w:val="0"/>
          <w:sz w:val="24"/>
        </w:rPr>
        <w:t>UT</w:t>
      </w:r>
      <w:r w:rsidRPr="00F9522B">
        <w:rPr>
          <w:rFonts w:eastAsiaTheme="minorEastAsia"/>
          <w:bCs/>
          <w:kern w:val="0"/>
          <w:sz w:val="24"/>
        </w:rPr>
        <w:t>线夹固定。</w:t>
      </w:r>
      <w:r w:rsidRPr="00F9522B">
        <w:rPr>
          <w:rFonts w:eastAsia="MS Mincho"/>
          <w:bCs/>
          <w:kern w:val="0"/>
          <w:sz w:val="24"/>
        </w:rPr>
        <w:t>​</w:t>
      </w:r>
    </w:p>
    <w:p w:rsidR="002A5A5E" w:rsidRPr="00F9522B" w:rsidRDefault="00611CBA">
      <w:pPr>
        <w:autoSpaceDE w:val="0"/>
        <w:autoSpaceDN w:val="0"/>
        <w:adjustRightInd w:val="0"/>
        <w:spacing w:line="360" w:lineRule="auto"/>
        <w:ind w:firstLineChars="225" w:firstLine="540"/>
        <w:jc w:val="left"/>
        <w:rPr>
          <w:rFonts w:eastAsiaTheme="minorEastAsia"/>
          <w:bCs/>
          <w:kern w:val="0"/>
          <w:sz w:val="24"/>
        </w:rPr>
      </w:pPr>
      <w:r w:rsidRPr="00F9522B">
        <w:rPr>
          <w:rFonts w:eastAsiaTheme="minorEastAsia"/>
          <w:bCs/>
          <w:kern w:val="0"/>
          <w:sz w:val="24"/>
        </w:rPr>
        <w:t>导线架设：采用放线机展放</w:t>
      </w:r>
      <w:r w:rsidRPr="00F9522B">
        <w:rPr>
          <w:rFonts w:eastAsiaTheme="minorEastAsia"/>
          <w:bCs/>
          <w:kern w:val="0"/>
          <w:sz w:val="24"/>
        </w:rPr>
        <w:t>10kV</w:t>
      </w:r>
      <w:r w:rsidRPr="00F9522B">
        <w:rPr>
          <w:rFonts w:eastAsiaTheme="minorEastAsia"/>
          <w:bCs/>
          <w:kern w:val="0"/>
          <w:sz w:val="24"/>
        </w:rPr>
        <w:t>绝缘导线，每相导线在杆塔上通过针式绝</w:t>
      </w:r>
      <w:r w:rsidRPr="00F9522B">
        <w:rPr>
          <w:rFonts w:eastAsiaTheme="minorEastAsia"/>
          <w:bCs/>
          <w:kern w:val="0"/>
          <w:sz w:val="24"/>
        </w:rPr>
        <w:lastRenderedPageBreak/>
        <w:t>缘子固定，导线弧垂按设计值调整；导线接头采用压接式接续管，接头处绝缘层用热缩管处理，相间距离</w:t>
      </w:r>
      <w:r w:rsidRPr="00F9522B">
        <w:rPr>
          <w:rFonts w:eastAsiaTheme="minorEastAsia"/>
          <w:bCs/>
          <w:kern w:val="0"/>
          <w:sz w:val="24"/>
        </w:rPr>
        <w:t>≥0.3m</w:t>
      </w:r>
      <w:r w:rsidRPr="00F9522B">
        <w:rPr>
          <w:rFonts w:eastAsiaTheme="minorEastAsia"/>
          <w:bCs/>
          <w:kern w:val="0"/>
          <w:sz w:val="24"/>
        </w:rPr>
        <w:t>，与杆塔距离</w:t>
      </w:r>
      <w:r w:rsidRPr="00F9522B">
        <w:rPr>
          <w:rFonts w:eastAsiaTheme="minorEastAsia"/>
          <w:bCs/>
          <w:kern w:val="0"/>
          <w:sz w:val="24"/>
        </w:rPr>
        <w:t>≥0.2m</w:t>
      </w:r>
      <w:r w:rsidRPr="00F9522B">
        <w:rPr>
          <w:rFonts w:eastAsiaTheme="minorEastAsia"/>
          <w:bCs/>
          <w:kern w:val="0"/>
          <w:sz w:val="24"/>
        </w:rPr>
        <w:t>。</w:t>
      </w:r>
    </w:p>
    <w:p w:rsidR="002A5A5E" w:rsidRPr="00F9522B" w:rsidRDefault="0003457C">
      <w:pPr>
        <w:autoSpaceDE w:val="0"/>
        <w:autoSpaceDN w:val="0"/>
        <w:adjustRightInd w:val="0"/>
        <w:spacing w:line="360" w:lineRule="auto"/>
        <w:ind w:firstLineChars="225" w:firstLine="540"/>
        <w:jc w:val="left"/>
        <w:rPr>
          <w:rFonts w:eastAsiaTheme="minorEastAsia"/>
          <w:bCs/>
          <w:kern w:val="0"/>
          <w:sz w:val="24"/>
        </w:rPr>
      </w:pPr>
      <w:r w:rsidRPr="00F9522B">
        <w:rPr>
          <w:rFonts w:eastAsiaTheme="minorEastAsia"/>
          <w:bCs/>
          <w:kern w:val="0"/>
          <w:sz w:val="24"/>
        </w:rPr>
        <w:t>（</w:t>
      </w:r>
      <w:r w:rsidRPr="00F9522B">
        <w:rPr>
          <w:rFonts w:eastAsiaTheme="minorEastAsia"/>
          <w:bCs/>
          <w:kern w:val="0"/>
          <w:sz w:val="24"/>
        </w:rPr>
        <w:t>2</w:t>
      </w:r>
      <w:r w:rsidRPr="00F9522B">
        <w:rPr>
          <w:rFonts w:eastAsiaTheme="minorEastAsia"/>
          <w:bCs/>
          <w:kern w:val="0"/>
          <w:sz w:val="24"/>
        </w:rPr>
        <w:t>）</w:t>
      </w:r>
      <w:r w:rsidR="00611CBA" w:rsidRPr="00F9522B">
        <w:rPr>
          <w:rFonts w:eastAsiaTheme="minorEastAsia"/>
          <w:bCs/>
          <w:kern w:val="0"/>
          <w:sz w:val="24"/>
        </w:rPr>
        <w:t>变压器安装</w:t>
      </w:r>
    </w:p>
    <w:p w:rsidR="002A5A5E" w:rsidRPr="00F9522B" w:rsidRDefault="00611CBA">
      <w:pPr>
        <w:autoSpaceDE w:val="0"/>
        <w:autoSpaceDN w:val="0"/>
        <w:adjustRightInd w:val="0"/>
        <w:spacing w:line="360" w:lineRule="auto"/>
        <w:ind w:firstLineChars="225" w:firstLine="540"/>
        <w:jc w:val="left"/>
        <w:rPr>
          <w:rFonts w:eastAsiaTheme="minorEastAsia"/>
          <w:bCs/>
          <w:kern w:val="0"/>
          <w:sz w:val="24"/>
        </w:rPr>
      </w:pPr>
      <w:r w:rsidRPr="00F9522B">
        <w:rPr>
          <w:rFonts w:eastAsiaTheme="minorEastAsia"/>
          <w:bCs/>
          <w:kern w:val="0"/>
          <w:sz w:val="24"/>
        </w:rPr>
        <w:t>设备就位：</w:t>
      </w:r>
      <w:r w:rsidR="00AA4603" w:rsidRPr="00AA4603">
        <w:rPr>
          <w:rFonts w:eastAsiaTheme="minorEastAsia"/>
          <w:bCs/>
          <w:color w:val="FF0000"/>
          <w:kern w:val="0"/>
          <w:sz w:val="24"/>
        </w:rPr>
        <w:t>变压器为杆上变压器，</w:t>
      </w:r>
      <w:r w:rsidRPr="00F9522B">
        <w:rPr>
          <w:rFonts w:eastAsiaTheme="minorEastAsia"/>
          <w:bCs/>
          <w:kern w:val="0"/>
          <w:sz w:val="24"/>
        </w:rPr>
        <w:t>用吊车将变压器吊装至基础上，找平后紧固底座螺栓，变压器高压侧朝向</w:t>
      </w:r>
      <w:r w:rsidRPr="00F9522B">
        <w:rPr>
          <w:rFonts w:eastAsiaTheme="minorEastAsia"/>
          <w:bCs/>
          <w:kern w:val="0"/>
          <w:sz w:val="24"/>
        </w:rPr>
        <w:t>10kV</w:t>
      </w:r>
      <w:r w:rsidRPr="00F9522B">
        <w:rPr>
          <w:rFonts w:eastAsiaTheme="minorEastAsia"/>
          <w:bCs/>
          <w:kern w:val="0"/>
          <w:sz w:val="24"/>
        </w:rPr>
        <w:t>线路，低压侧朝向机电井，距地面高度</w:t>
      </w:r>
      <w:r w:rsidRPr="00F9522B">
        <w:rPr>
          <w:rFonts w:eastAsiaTheme="minorEastAsia"/>
          <w:bCs/>
          <w:kern w:val="0"/>
          <w:sz w:val="24"/>
        </w:rPr>
        <w:t>1.2m</w:t>
      </w:r>
      <w:r w:rsidRPr="00F9522B">
        <w:rPr>
          <w:rFonts w:eastAsiaTheme="minorEastAsia"/>
          <w:bCs/>
          <w:kern w:val="0"/>
          <w:sz w:val="24"/>
        </w:rPr>
        <w:t>。</w:t>
      </w:r>
      <w:r w:rsidRPr="00F9522B">
        <w:rPr>
          <w:rFonts w:eastAsia="MS Mincho"/>
          <w:bCs/>
          <w:kern w:val="0"/>
          <w:sz w:val="24"/>
        </w:rPr>
        <w:t>​</w:t>
      </w:r>
    </w:p>
    <w:p w:rsidR="002A5A5E" w:rsidRPr="00F9522B" w:rsidRDefault="00611CBA">
      <w:pPr>
        <w:autoSpaceDE w:val="0"/>
        <w:autoSpaceDN w:val="0"/>
        <w:adjustRightInd w:val="0"/>
        <w:spacing w:line="360" w:lineRule="auto"/>
        <w:ind w:firstLineChars="225" w:firstLine="540"/>
        <w:jc w:val="left"/>
        <w:rPr>
          <w:rFonts w:eastAsiaTheme="minorEastAsia"/>
          <w:bCs/>
          <w:kern w:val="0"/>
          <w:sz w:val="24"/>
        </w:rPr>
      </w:pPr>
      <w:r w:rsidRPr="00F9522B">
        <w:rPr>
          <w:rFonts w:eastAsiaTheme="minorEastAsia"/>
          <w:bCs/>
          <w:kern w:val="0"/>
          <w:sz w:val="24"/>
        </w:rPr>
        <w:t>接线与接地：高压侧通过跌落式熔断器（</w:t>
      </w:r>
      <w:r w:rsidRPr="00F9522B">
        <w:rPr>
          <w:rFonts w:eastAsiaTheme="minorEastAsia"/>
          <w:bCs/>
          <w:kern w:val="0"/>
          <w:sz w:val="24"/>
        </w:rPr>
        <w:t>RW11-10/100A</w:t>
      </w:r>
      <w:r w:rsidRPr="00F9522B">
        <w:rPr>
          <w:rFonts w:eastAsiaTheme="minorEastAsia"/>
          <w:bCs/>
          <w:kern w:val="0"/>
          <w:sz w:val="24"/>
        </w:rPr>
        <w:t>）连接</w:t>
      </w:r>
      <w:r w:rsidRPr="00F9522B">
        <w:rPr>
          <w:rFonts w:eastAsiaTheme="minorEastAsia"/>
          <w:bCs/>
          <w:kern w:val="0"/>
          <w:sz w:val="24"/>
        </w:rPr>
        <w:t>10kV</w:t>
      </w:r>
      <w:r w:rsidRPr="00F9522B">
        <w:rPr>
          <w:rFonts w:eastAsiaTheme="minorEastAsia"/>
          <w:bCs/>
          <w:kern w:val="0"/>
          <w:sz w:val="24"/>
        </w:rPr>
        <w:t>线路，低压侧出线端接低压电缆（采用铜铝过渡端子压接）。</w:t>
      </w:r>
      <w:r w:rsidRPr="00F9522B">
        <w:rPr>
          <w:rFonts w:eastAsia="MS Mincho"/>
          <w:bCs/>
          <w:kern w:val="0"/>
          <w:sz w:val="24"/>
        </w:rPr>
        <w:t>​</w:t>
      </w:r>
    </w:p>
    <w:p w:rsidR="002A5A5E" w:rsidRPr="00F9522B" w:rsidRDefault="0003457C">
      <w:pPr>
        <w:autoSpaceDE w:val="0"/>
        <w:autoSpaceDN w:val="0"/>
        <w:adjustRightInd w:val="0"/>
        <w:spacing w:line="360" w:lineRule="auto"/>
        <w:ind w:firstLineChars="225" w:firstLine="540"/>
        <w:jc w:val="left"/>
        <w:rPr>
          <w:rFonts w:eastAsiaTheme="minorEastAsia"/>
          <w:bCs/>
          <w:kern w:val="0"/>
          <w:sz w:val="24"/>
        </w:rPr>
      </w:pPr>
      <w:r w:rsidRPr="00F9522B">
        <w:rPr>
          <w:rFonts w:eastAsiaTheme="minorEastAsia"/>
          <w:bCs/>
          <w:kern w:val="0"/>
          <w:sz w:val="24"/>
        </w:rPr>
        <w:t>（</w:t>
      </w:r>
      <w:r w:rsidRPr="00F9522B">
        <w:rPr>
          <w:rFonts w:eastAsiaTheme="minorEastAsia"/>
          <w:bCs/>
          <w:kern w:val="0"/>
          <w:sz w:val="24"/>
        </w:rPr>
        <w:t>3</w:t>
      </w:r>
      <w:r w:rsidRPr="00F9522B">
        <w:rPr>
          <w:rFonts w:eastAsiaTheme="minorEastAsia"/>
          <w:bCs/>
          <w:kern w:val="0"/>
          <w:sz w:val="24"/>
        </w:rPr>
        <w:t>）</w:t>
      </w:r>
      <w:r w:rsidR="00611CBA" w:rsidRPr="00F9522B">
        <w:rPr>
          <w:rFonts w:eastAsiaTheme="minorEastAsia"/>
          <w:bCs/>
          <w:kern w:val="0"/>
          <w:sz w:val="24"/>
        </w:rPr>
        <w:t>低压地埋电缆敷设</w:t>
      </w:r>
    </w:p>
    <w:p w:rsidR="002A5A5E" w:rsidRPr="00F9522B" w:rsidRDefault="00611CBA">
      <w:pPr>
        <w:autoSpaceDE w:val="0"/>
        <w:autoSpaceDN w:val="0"/>
        <w:adjustRightInd w:val="0"/>
        <w:spacing w:line="360" w:lineRule="auto"/>
        <w:ind w:firstLineChars="225" w:firstLine="540"/>
        <w:jc w:val="left"/>
        <w:rPr>
          <w:rFonts w:eastAsiaTheme="minorEastAsia"/>
          <w:bCs/>
          <w:kern w:val="0"/>
          <w:sz w:val="24"/>
        </w:rPr>
      </w:pPr>
      <w:r w:rsidRPr="00F9522B">
        <w:rPr>
          <w:rFonts w:eastAsiaTheme="minorEastAsia"/>
          <w:bCs/>
          <w:kern w:val="0"/>
          <w:sz w:val="24"/>
        </w:rPr>
        <w:t>电缆沟开挖：沿路径用</w:t>
      </w:r>
      <w:r w:rsidR="00AA4603" w:rsidRPr="00AA4603">
        <w:rPr>
          <w:rFonts w:eastAsiaTheme="minorEastAsia"/>
          <w:bCs/>
          <w:color w:val="FF0000"/>
          <w:kern w:val="0"/>
          <w:sz w:val="24"/>
        </w:rPr>
        <w:t>小型</w:t>
      </w:r>
      <w:r w:rsidRPr="00AA4603">
        <w:rPr>
          <w:rFonts w:eastAsiaTheme="minorEastAsia"/>
          <w:bCs/>
          <w:color w:val="FF0000"/>
          <w:kern w:val="0"/>
          <w:sz w:val="24"/>
        </w:rPr>
        <w:t>挖掘机</w:t>
      </w:r>
      <w:r w:rsidRPr="00F9522B">
        <w:rPr>
          <w:rFonts w:eastAsiaTheme="minorEastAsia"/>
          <w:bCs/>
          <w:kern w:val="0"/>
          <w:sz w:val="24"/>
        </w:rPr>
        <w:t>开挖宽</w:t>
      </w:r>
      <w:r w:rsidRPr="00F9522B">
        <w:rPr>
          <w:rFonts w:eastAsiaTheme="minorEastAsia"/>
          <w:bCs/>
          <w:kern w:val="0"/>
          <w:sz w:val="24"/>
        </w:rPr>
        <w:t>0.5m</w:t>
      </w:r>
      <w:r w:rsidRPr="00F9522B">
        <w:rPr>
          <w:rFonts w:eastAsiaTheme="minorEastAsia"/>
          <w:bCs/>
          <w:kern w:val="0"/>
          <w:sz w:val="24"/>
        </w:rPr>
        <w:t>、深</w:t>
      </w:r>
      <w:r w:rsidRPr="00F9522B">
        <w:rPr>
          <w:rFonts w:eastAsiaTheme="minorEastAsia"/>
          <w:bCs/>
          <w:kern w:val="0"/>
          <w:sz w:val="24"/>
        </w:rPr>
        <w:t>1.5m</w:t>
      </w:r>
      <w:r w:rsidRPr="00F9522B">
        <w:rPr>
          <w:rFonts w:eastAsiaTheme="minorEastAsia"/>
          <w:bCs/>
          <w:kern w:val="0"/>
          <w:sz w:val="24"/>
        </w:rPr>
        <w:t>的电缆沟，沟底铺设</w:t>
      </w:r>
      <w:r w:rsidRPr="00F9522B">
        <w:rPr>
          <w:rFonts w:eastAsiaTheme="minorEastAsia"/>
          <w:bCs/>
          <w:kern w:val="0"/>
          <w:sz w:val="24"/>
        </w:rPr>
        <w:t>10cm</w:t>
      </w:r>
      <w:r w:rsidRPr="00F9522B">
        <w:rPr>
          <w:rFonts w:eastAsiaTheme="minorEastAsia"/>
          <w:bCs/>
          <w:kern w:val="0"/>
          <w:sz w:val="24"/>
        </w:rPr>
        <w:t>厚细砂。</w:t>
      </w:r>
      <w:r w:rsidRPr="00F9522B">
        <w:rPr>
          <w:rFonts w:eastAsia="MS Mincho"/>
          <w:bCs/>
          <w:kern w:val="0"/>
          <w:sz w:val="24"/>
        </w:rPr>
        <w:t>​</w:t>
      </w:r>
    </w:p>
    <w:p w:rsidR="002A5A5E" w:rsidRPr="00F9522B" w:rsidRDefault="00611CBA">
      <w:pPr>
        <w:autoSpaceDE w:val="0"/>
        <w:autoSpaceDN w:val="0"/>
        <w:adjustRightInd w:val="0"/>
        <w:spacing w:line="360" w:lineRule="auto"/>
        <w:ind w:firstLineChars="225" w:firstLine="540"/>
        <w:jc w:val="left"/>
        <w:rPr>
          <w:rFonts w:eastAsiaTheme="minorEastAsia"/>
          <w:bCs/>
          <w:kern w:val="0"/>
          <w:sz w:val="24"/>
        </w:rPr>
      </w:pPr>
      <w:r w:rsidRPr="00F9522B">
        <w:rPr>
          <w:rFonts w:eastAsiaTheme="minorEastAsia"/>
          <w:bCs/>
          <w:kern w:val="0"/>
          <w:sz w:val="24"/>
        </w:rPr>
        <w:t>电缆敷设：低压电缆采用人工拖拽方式敷设，每</w:t>
      </w:r>
      <w:r w:rsidRPr="00F9522B">
        <w:rPr>
          <w:rFonts w:eastAsiaTheme="minorEastAsia"/>
          <w:bCs/>
          <w:kern w:val="0"/>
          <w:sz w:val="24"/>
        </w:rPr>
        <w:t>50m</w:t>
      </w:r>
      <w:r w:rsidRPr="00F9522B">
        <w:rPr>
          <w:rFonts w:eastAsiaTheme="minorEastAsia"/>
          <w:bCs/>
          <w:kern w:val="0"/>
          <w:sz w:val="24"/>
        </w:rPr>
        <w:t>设一个电缆标示桩；电缆在沟内平铺，上铺</w:t>
      </w:r>
      <w:r w:rsidRPr="00F9522B">
        <w:rPr>
          <w:rFonts w:eastAsiaTheme="minorEastAsia"/>
          <w:bCs/>
          <w:kern w:val="0"/>
          <w:sz w:val="24"/>
        </w:rPr>
        <w:t>10cm</w:t>
      </w:r>
      <w:r w:rsidRPr="00F9522B">
        <w:rPr>
          <w:rFonts w:eastAsiaTheme="minorEastAsia"/>
          <w:bCs/>
          <w:kern w:val="0"/>
          <w:sz w:val="24"/>
        </w:rPr>
        <w:t>厚细砂，再覆盖砖层，最后回填素土并夯实（压实度</w:t>
      </w:r>
      <w:r w:rsidRPr="00F9522B">
        <w:rPr>
          <w:rFonts w:eastAsiaTheme="minorEastAsia"/>
          <w:bCs/>
          <w:kern w:val="0"/>
          <w:sz w:val="24"/>
        </w:rPr>
        <w:t>≥90%</w:t>
      </w:r>
      <w:r w:rsidRPr="00F9522B">
        <w:rPr>
          <w:rFonts w:eastAsiaTheme="minorEastAsia"/>
          <w:bCs/>
          <w:kern w:val="0"/>
          <w:sz w:val="24"/>
        </w:rPr>
        <w:t>）。</w:t>
      </w:r>
      <w:r w:rsidRPr="00F9522B">
        <w:rPr>
          <w:rFonts w:eastAsia="MS Mincho"/>
          <w:bCs/>
          <w:kern w:val="0"/>
          <w:sz w:val="24"/>
        </w:rPr>
        <w:t>​</w:t>
      </w:r>
    </w:p>
    <w:p w:rsidR="002A5A5E" w:rsidRPr="00F9522B" w:rsidRDefault="00611CBA">
      <w:pPr>
        <w:autoSpaceDE w:val="0"/>
        <w:autoSpaceDN w:val="0"/>
        <w:adjustRightInd w:val="0"/>
        <w:spacing w:line="360" w:lineRule="auto"/>
        <w:ind w:firstLineChars="225" w:firstLine="540"/>
        <w:jc w:val="left"/>
        <w:rPr>
          <w:rFonts w:eastAsiaTheme="minorEastAsia"/>
          <w:bCs/>
          <w:kern w:val="0"/>
          <w:sz w:val="24"/>
        </w:rPr>
      </w:pPr>
      <w:r w:rsidRPr="00F9522B">
        <w:rPr>
          <w:rFonts w:eastAsiaTheme="minorEastAsia"/>
          <w:bCs/>
          <w:kern w:val="0"/>
          <w:sz w:val="24"/>
        </w:rPr>
        <w:t>测试与接头处理：电缆敷设后，用</w:t>
      </w:r>
      <w:r w:rsidRPr="00F9522B">
        <w:rPr>
          <w:rFonts w:eastAsiaTheme="minorEastAsia"/>
          <w:bCs/>
          <w:kern w:val="0"/>
          <w:sz w:val="24"/>
        </w:rPr>
        <w:t>2500V</w:t>
      </w:r>
      <w:r w:rsidRPr="00F9522B">
        <w:rPr>
          <w:rFonts w:eastAsiaTheme="minorEastAsia"/>
          <w:bCs/>
          <w:kern w:val="0"/>
          <w:sz w:val="24"/>
        </w:rPr>
        <w:t>兆欧表测试绝缘电阻（</w:t>
      </w:r>
      <w:r w:rsidRPr="00F9522B">
        <w:rPr>
          <w:rFonts w:eastAsiaTheme="minorEastAsia"/>
          <w:bCs/>
          <w:kern w:val="0"/>
          <w:sz w:val="24"/>
        </w:rPr>
        <w:t>≥10MΩ</w:t>
      </w:r>
      <w:r w:rsidRPr="00F9522B">
        <w:rPr>
          <w:rFonts w:eastAsiaTheme="minorEastAsia"/>
          <w:bCs/>
          <w:kern w:val="0"/>
          <w:sz w:val="24"/>
        </w:rPr>
        <w:t>），中间接头采用防水型电缆中间头（热缩式），终端头与变压器低压侧、机电井控制柜连接牢固。</w:t>
      </w:r>
    </w:p>
    <w:p w:rsidR="002A5A5E" w:rsidRPr="00F9522B" w:rsidRDefault="00611CBA">
      <w:pPr>
        <w:autoSpaceDE w:val="0"/>
        <w:autoSpaceDN w:val="0"/>
        <w:adjustRightInd w:val="0"/>
        <w:spacing w:line="360" w:lineRule="auto"/>
        <w:jc w:val="center"/>
        <w:rPr>
          <w:rFonts w:eastAsiaTheme="minorEastAsia"/>
          <w:b/>
          <w:bCs/>
          <w:sz w:val="24"/>
        </w:rPr>
      </w:pPr>
      <w:r w:rsidRPr="00F9522B">
        <w:rPr>
          <w:rFonts w:eastAsiaTheme="minorEastAsia"/>
          <w:b/>
          <w:bCs/>
          <w:noProof/>
          <w:sz w:val="24"/>
        </w:rPr>
        <w:drawing>
          <wp:inline distT="0" distB="0" distL="114300" distR="114300">
            <wp:extent cx="5271770" cy="834390"/>
            <wp:effectExtent l="0" t="0" r="5080" b="3810"/>
            <wp:docPr id="208" name="图片 208"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208" descr="图片3"/>
                    <pic:cNvPicPr>
                      <a:picLocks noChangeAspect="1"/>
                    </pic:cNvPicPr>
                  </pic:nvPicPr>
                  <pic:blipFill>
                    <a:blip r:embed="rId42"/>
                    <a:stretch>
                      <a:fillRect/>
                    </a:stretch>
                  </pic:blipFill>
                  <pic:spPr>
                    <a:xfrm>
                      <a:off x="0" y="0"/>
                      <a:ext cx="5271770" cy="834390"/>
                    </a:xfrm>
                    <a:prstGeom prst="rect">
                      <a:avLst/>
                    </a:prstGeom>
                  </pic:spPr>
                </pic:pic>
              </a:graphicData>
            </a:graphic>
          </wp:inline>
        </w:drawing>
      </w:r>
    </w:p>
    <w:p w:rsidR="002A5A5E" w:rsidRPr="00F9522B" w:rsidRDefault="00611CBA">
      <w:pPr>
        <w:contextualSpacing/>
        <w:jc w:val="center"/>
        <w:rPr>
          <w:rFonts w:eastAsiaTheme="minorEastAsia"/>
          <w:b/>
          <w:kern w:val="0"/>
          <w:szCs w:val="21"/>
        </w:rPr>
      </w:pPr>
      <w:r w:rsidRPr="00F9522B">
        <w:rPr>
          <w:rFonts w:eastAsiaTheme="minorEastAsia"/>
          <w:b/>
          <w:kern w:val="0"/>
          <w:szCs w:val="21"/>
        </w:rPr>
        <w:t>图</w:t>
      </w:r>
      <w:r w:rsidRPr="00F9522B">
        <w:rPr>
          <w:rFonts w:eastAsiaTheme="minorEastAsia"/>
          <w:b/>
          <w:kern w:val="0"/>
          <w:szCs w:val="21"/>
        </w:rPr>
        <w:t xml:space="preserve">3-2-3 </w:t>
      </w:r>
      <w:r w:rsidRPr="00F9522B">
        <w:rPr>
          <w:rFonts w:eastAsiaTheme="minorEastAsia"/>
          <w:b/>
          <w:kern w:val="0"/>
          <w:szCs w:val="21"/>
        </w:rPr>
        <w:t>农田输配电工程施工流程及排污节点图</w:t>
      </w:r>
    </w:p>
    <w:p w:rsidR="002A5A5E" w:rsidRPr="00F9522B" w:rsidRDefault="00611CBA">
      <w:pPr>
        <w:autoSpaceDE w:val="0"/>
        <w:autoSpaceDN w:val="0"/>
        <w:spacing w:before="100" w:beforeAutospacing="1" w:after="100" w:afterAutospacing="1"/>
        <w:outlineLvl w:val="3"/>
        <w:rPr>
          <w:rFonts w:eastAsiaTheme="minorEastAsia"/>
          <w:b/>
          <w:sz w:val="24"/>
        </w:rPr>
      </w:pPr>
      <w:r w:rsidRPr="00F9522B">
        <w:rPr>
          <w:rFonts w:eastAsiaTheme="minorEastAsia"/>
          <w:b/>
          <w:sz w:val="24"/>
        </w:rPr>
        <w:t>3.2.1.4</w:t>
      </w:r>
      <w:r w:rsidRPr="00F9522B">
        <w:rPr>
          <w:rFonts w:eastAsiaTheme="minorEastAsia"/>
          <w:b/>
          <w:sz w:val="24"/>
        </w:rPr>
        <w:t>涵洞、</w:t>
      </w:r>
      <w:r w:rsidRPr="00F9522B">
        <w:rPr>
          <w:rFonts w:eastAsiaTheme="minorEastAsia"/>
          <w:b/>
          <w:bCs/>
          <w:sz w:val="24"/>
        </w:rPr>
        <w:t>过水路面、</w:t>
      </w:r>
      <w:r w:rsidR="00FB5B36" w:rsidRPr="00F9522B">
        <w:rPr>
          <w:rFonts w:eastAsiaTheme="minorEastAsia"/>
          <w:b/>
          <w:bCs/>
          <w:sz w:val="24"/>
        </w:rPr>
        <w:t>渡槽</w:t>
      </w:r>
      <w:r w:rsidRPr="00F9522B">
        <w:rPr>
          <w:rFonts w:eastAsiaTheme="minorEastAsia"/>
          <w:b/>
          <w:sz w:val="24"/>
        </w:rPr>
        <w:t>施工流程及产污环节分析</w:t>
      </w:r>
    </w:p>
    <w:p w:rsidR="002A5A5E" w:rsidRPr="00F9522B" w:rsidRDefault="00611CBA">
      <w:pPr>
        <w:adjustRightInd w:val="0"/>
        <w:snapToGrid w:val="0"/>
        <w:spacing w:line="360" w:lineRule="auto"/>
        <w:ind w:firstLineChars="200" w:firstLine="480"/>
        <w:rPr>
          <w:rFonts w:eastAsiaTheme="minorEastAsia"/>
          <w:bCs/>
          <w:sz w:val="24"/>
        </w:rPr>
      </w:pPr>
      <w:r w:rsidRPr="00F9522B">
        <w:rPr>
          <w:rFonts w:eastAsiaTheme="minorEastAsia"/>
          <w:kern w:val="0"/>
          <w:sz w:val="24"/>
        </w:rPr>
        <w:t>（</w:t>
      </w:r>
      <w:r w:rsidRPr="00F9522B">
        <w:rPr>
          <w:rFonts w:eastAsiaTheme="minorEastAsia"/>
          <w:kern w:val="0"/>
          <w:sz w:val="24"/>
        </w:rPr>
        <w:t>1</w:t>
      </w:r>
      <w:r w:rsidRPr="00F9522B">
        <w:rPr>
          <w:rFonts w:eastAsiaTheme="minorEastAsia"/>
          <w:kern w:val="0"/>
          <w:sz w:val="24"/>
        </w:rPr>
        <w:t>）</w:t>
      </w:r>
      <w:r w:rsidRPr="00F9522B">
        <w:rPr>
          <w:rFonts w:eastAsiaTheme="minorEastAsia"/>
          <w:bCs/>
          <w:sz w:val="24"/>
        </w:rPr>
        <w:t>清基、平整</w:t>
      </w:r>
    </w:p>
    <w:p w:rsidR="002A5A5E" w:rsidRPr="00F9522B" w:rsidRDefault="00611CBA">
      <w:pPr>
        <w:adjustRightInd w:val="0"/>
        <w:snapToGrid w:val="0"/>
        <w:spacing w:line="360" w:lineRule="auto"/>
        <w:ind w:firstLineChars="200" w:firstLine="480"/>
        <w:rPr>
          <w:rFonts w:eastAsiaTheme="minorEastAsia"/>
          <w:bCs/>
          <w:sz w:val="24"/>
        </w:rPr>
      </w:pPr>
      <w:r w:rsidRPr="00F9522B">
        <w:rPr>
          <w:rFonts w:eastAsiaTheme="minorEastAsia"/>
          <w:bCs/>
          <w:sz w:val="24"/>
        </w:rPr>
        <w:t>拆除现有</w:t>
      </w:r>
      <w:r w:rsidR="00FB5B36" w:rsidRPr="00F9522B">
        <w:rPr>
          <w:rFonts w:eastAsiaTheme="minorEastAsia"/>
          <w:snapToGrid w:val="0"/>
          <w:kern w:val="0"/>
          <w:sz w:val="24"/>
        </w:rPr>
        <w:t>10</w:t>
      </w:r>
      <w:r w:rsidRPr="00F9522B">
        <w:rPr>
          <w:rFonts w:eastAsiaTheme="minorEastAsia"/>
          <w:snapToGrid w:val="0"/>
          <w:kern w:val="0"/>
          <w:sz w:val="24"/>
        </w:rPr>
        <w:t>座</w:t>
      </w:r>
      <w:r w:rsidRPr="00F9522B">
        <w:rPr>
          <w:rFonts w:eastAsiaTheme="minorEastAsia"/>
          <w:bCs/>
          <w:sz w:val="24"/>
        </w:rPr>
        <w:t>破旧涵洞、清基。</w:t>
      </w:r>
      <w:r w:rsidRPr="00F9522B">
        <w:rPr>
          <w:rFonts w:eastAsiaTheme="minorEastAsia"/>
          <w:sz w:val="24"/>
        </w:rPr>
        <w:t>采用挖掘机开挖，推土机推运。回填料利用工程开挖料，推土机配合集料，拖拉机压实，蛙式打夯机补夯。</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w:t>
      </w:r>
      <w:r w:rsidRPr="00F9522B">
        <w:rPr>
          <w:rFonts w:eastAsiaTheme="minorEastAsia"/>
          <w:sz w:val="24"/>
        </w:rPr>
        <w:t>2</w:t>
      </w:r>
      <w:r w:rsidRPr="00F9522B">
        <w:rPr>
          <w:rFonts w:eastAsiaTheme="minorEastAsia"/>
          <w:sz w:val="24"/>
        </w:rPr>
        <w:t>）混凝土浇筑、预制件等安装</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外购商品混凝土采用机动翻斗车水平运输，底板直接入仓，低处溜槽入仓，人工平仓，振捣棒振捣，部分表面采用平面振捣器振捣。工作桥、排架等上部结构转混凝土罐由履带式起重机倒运入仓，插入式振捣器振捣。外购成品钢筋。砂</w:t>
      </w:r>
      <w:r w:rsidRPr="00F9522B">
        <w:rPr>
          <w:rFonts w:eastAsiaTheme="minorEastAsia"/>
          <w:sz w:val="24"/>
        </w:rPr>
        <w:lastRenderedPageBreak/>
        <w:t>砾石垫层：采用人工铺筑，施工时坡面处理完成并经过验收后，按设计要求进行垫层分层填筑施工。原料用机动翻斗车运到施工段附近，按设计厚度要求人工进行铺筑。外购成品混凝土预制板护坡，人工安装。钻孔灌注桩：钻孔灌注桩施工采用原浆护壁，钻孔结束后，水下浇筑混凝土成桩。金属结构：金属结构设备外购，汽运到现场，安装采用汽车起重机吊运就位，人工配合安装。</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w:t>
      </w:r>
      <w:r w:rsidRPr="00F9522B">
        <w:rPr>
          <w:rFonts w:eastAsiaTheme="minorEastAsia"/>
          <w:sz w:val="24"/>
        </w:rPr>
        <w:t>3</w:t>
      </w:r>
      <w:r w:rsidRPr="00F9522B">
        <w:rPr>
          <w:rFonts w:eastAsiaTheme="minorEastAsia"/>
          <w:sz w:val="24"/>
        </w:rPr>
        <w:t>）土方回填</w:t>
      </w:r>
    </w:p>
    <w:p w:rsidR="002A5A5E" w:rsidRPr="00F9522B" w:rsidRDefault="00611CBA">
      <w:pPr>
        <w:widowControl/>
        <w:spacing w:line="360" w:lineRule="auto"/>
        <w:ind w:firstLineChars="200" w:firstLine="480"/>
        <w:rPr>
          <w:rFonts w:eastAsiaTheme="minorEastAsia"/>
          <w:bCs/>
          <w:sz w:val="24"/>
        </w:rPr>
      </w:pPr>
      <w:r w:rsidRPr="00F9522B">
        <w:rPr>
          <w:rFonts w:eastAsiaTheme="minorEastAsia"/>
          <w:bCs/>
          <w:sz w:val="24"/>
        </w:rPr>
        <w:t>当验收涵管等安装符合设计要求后，就可以进行建筑物两侧的土方回填，填料可采用合格的沟、渠开挖土料，淤泥、腐殖土、含水量过高的土料等不得采用。回填采用人工分层摊铺、人工夯实，每层松铺厚度不得超过</w:t>
      </w:r>
      <w:r w:rsidRPr="00F9522B">
        <w:rPr>
          <w:rFonts w:eastAsiaTheme="minorEastAsia"/>
          <w:bCs/>
          <w:sz w:val="24"/>
        </w:rPr>
        <w:t>150mm</w:t>
      </w:r>
      <w:r w:rsidRPr="00F9522B">
        <w:rPr>
          <w:rFonts w:eastAsiaTheme="minorEastAsia"/>
          <w:bCs/>
          <w:sz w:val="24"/>
        </w:rPr>
        <w:t>。拆除的建筑垃圾大部分用于田块整治工程，剩余及时送至建材公司回用。</w:t>
      </w:r>
    </w:p>
    <w:p w:rsidR="002A5A5E" w:rsidRPr="00F9522B" w:rsidRDefault="00611CBA">
      <w:pPr>
        <w:autoSpaceDE w:val="0"/>
        <w:autoSpaceDN w:val="0"/>
        <w:adjustRightInd w:val="0"/>
        <w:spacing w:line="360" w:lineRule="auto"/>
        <w:jc w:val="center"/>
        <w:rPr>
          <w:rFonts w:eastAsiaTheme="minorEastAsia"/>
          <w:b/>
          <w:bCs/>
          <w:sz w:val="24"/>
        </w:rPr>
      </w:pPr>
      <w:r w:rsidRPr="00F9522B">
        <w:rPr>
          <w:rFonts w:eastAsiaTheme="minorEastAsia"/>
          <w:b/>
          <w:bCs/>
          <w:noProof/>
          <w:sz w:val="24"/>
        </w:rPr>
        <w:drawing>
          <wp:inline distT="0" distB="0" distL="0" distR="0">
            <wp:extent cx="3870325" cy="840105"/>
            <wp:effectExtent l="19050" t="0" r="0" b="0"/>
            <wp:docPr id="38"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3"/>
                    <pic:cNvPicPr>
                      <a:picLocks noChangeAspect="1" noChangeArrowheads="1"/>
                    </pic:cNvPicPr>
                  </pic:nvPicPr>
                  <pic:blipFill>
                    <a:blip r:embed="rId43"/>
                    <a:srcRect/>
                    <a:stretch>
                      <a:fillRect/>
                    </a:stretch>
                  </pic:blipFill>
                  <pic:spPr>
                    <a:xfrm>
                      <a:off x="0" y="0"/>
                      <a:ext cx="3870325" cy="840105"/>
                    </a:xfrm>
                    <a:prstGeom prst="rect">
                      <a:avLst/>
                    </a:prstGeom>
                    <a:noFill/>
                    <a:ln w="9525">
                      <a:noFill/>
                      <a:miter lim="800000"/>
                      <a:headEnd/>
                      <a:tailEnd/>
                    </a:ln>
                  </pic:spPr>
                </pic:pic>
              </a:graphicData>
            </a:graphic>
          </wp:inline>
        </w:drawing>
      </w:r>
    </w:p>
    <w:p w:rsidR="002A5A5E" w:rsidRPr="00F9522B" w:rsidRDefault="00611CBA">
      <w:pPr>
        <w:contextualSpacing/>
        <w:jc w:val="center"/>
        <w:rPr>
          <w:rFonts w:eastAsiaTheme="minorEastAsia"/>
          <w:b/>
          <w:kern w:val="0"/>
          <w:szCs w:val="21"/>
        </w:rPr>
      </w:pPr>
      <w:r w:rsidRPr="00F9522B">
        <w:rPr>
          <w:rFonts w:eastAsiaTheme="minorEastAsia"/>
          <w:b/>
          <w:kern w:val="0"/>
          <w:szCs w:val="21"/>
        </w:rPr>
        <w:t>图</w:t>
      </w:r>
      <w:r w:rsidRPr="00F9522B">
        <w:rPr>
          <w:rFonts w:eastAsiaTheme="minorEastAsia"/>
          <w:b/>
          <w:kern w:val="0"/>
          <w:szCs w:val="21"/>
        </w:rPr>
        <w:t xml:space="preserve">3-2-4 </w:t>
      </w:r>
      <w:r w:rsidRPr="00F9522B">
        <w:rPr>
          <w:rFonts w:eastAsiaTheme="minorEastAsia"/>
          <w:b/>
          <w:kern w:val="0"/>
          <w:szCs w:val="21"/>
        </w:rPr>
        <w:t>涵洞、</w:t>
      </w:r>
      <w:r w:rsidRPr="00F9522B">
        <w:rPr>
          <w:rFonts w:eastAsiaTheme="minorEastAsia"/>
          <w:b/>
          <w:bCs/>
          <w:kern w:val="0"/>
          <w:szCs w:val="21"/>
        </w:rPr>
        <w:t>过水路面、</w:t>
      </w:r>
      <w:r w:rsidR="005C0AF5" w:rsidRPr="00F9522B">
        <w:rPr>
          <w:rFonts w:eastAsiaTheme="minorEastAsia"/>
          <w:b/>
          <w:bCs/>
          <w:kern w:val="0"/>
          <w:szCs w:val="21"/>
        </w:rPr>
        <w:t>渡槽</w:t>
      </w:r>
      <w:r w:rsidRPr="00F9522B">
        <w:rPr>
          <w:rFonts w:eastAsiaTheme="minorEastAsia"/>
          <w:b/>
          <w:kern w:val="0"/>
          <w:szCs w:val="21"/>
        </w:rPr>
        <w:t>工程施工流程及排污节点图</w:t>
      </w:r>
    </w:p>
    <w:p w:rsidR="002A5A5E" w:rsidRPr="00F9522B" w:rsidRDefault="00611CBA">
      <w:pPr>
        <w:autoSpaceDE w:val="0"/>
        <w:autoSpaceDN w:val="0"/>
        <w:spacing w:before="100" w:beforeAutospacing="1" w:after="100" w:afterAutospacing="1"/>
        <w:outlineLvl w:val="3"/>
        <w:rPr>
          <w:rFonts w:eastAsiaTheme="minorEastAsia"/>
          <w:b/>
          <w:sz w:val="24"/>
        </w:rPr>
      </w:pPr>
      <w:r w:rsidRPr="00F9522B">
        <w:rPr>
          <w:rFonts w:eastAsiaTheme="minorEastAsia"/>
          <w:b/>
          <w:sz w:val="24"/>
        </w:rPr>
        <w:t>3.2.1.</w:t>
      </w:r>
      <w:r w:rsidR="00121DFD" w:rsidRPr="00F9522B">
        <w:rPr>
          <w:rFonts w:eastAsiaTheme="minorEastAsia"/>
          <w:b/>
          <w:sz w:val="24"/>
        </w:rPr>
        <w:t>5</w:t>
      </w:r>
      <w:r w:rsidRPr="00F9522B">
        <w:rPr>
          <w:rFonts w:eastAsiaTheme="minorEastAsia"/>
          <w:b/>
          <w:sz w:val="24"/>
        </w:rPr>
        <w:t>田块整治施工流程及产污环节分析</w:t>
      </w:r>
    </w:p>
    <w:p w:rsidR="002A5A5E" w:rsidRPr="00F9522B" w:rsidRDefault="00611CBA">
      <w:pPr>
        <w:widowControl/>
        <w:spacing w:line="360" w:lineRule="auto"/>
        <w:ind w:firstLineChars="200" w:firstLine="480"/>
        <w:rPr>
          <w:rFonts w:eastAsiaTheme="minorEastAsia"/>
          <w:kern w:val="0"/>
          <w:sz w:val="24"/>
        </w:rPr>
      </w:pPr>
      <w:r w:rsidRPr="00F9522B">
        <w:rPr>
          <w:rFonts w:eastAsiaTheme="minorEastAsia"/>
          <w:kern w:val="0"/>
          <w:sz w:val="24"/>
        </w:rPr>
        <w:t>客土回填前对原有旱地、水田进行表土剥离，</w:t>
      </w:r>
      <w:r w:rsidRPr="00F9522B">
        <w:rPr>
          <w:rFonts w:eastAsiaTheme="minorEastAsia"/>
          <w:sz w:val="24"/>
        </w:rPr>
        <w:t>根据平整地块所在村的平均土壤厚度确定表土剥离厚度在</w:t>
      </w:r>
      <w:r w:rsidRPr="00F9522B">
        <w:rPr>
          <w:rFonts w:eastAsiaTheme="minorEastAsia"/>
          <w:sz w:val="24"/>
        </w:rPr>
        <w:t>25cm</w:t>
      </w:r>
      <w:r w:rsidRPr="00F9522B">
        <w:rPr>
          <w:rFonts w:eastAsiaTheme="minorEastAsia"/>
          <w:sz w:val="24"/>
        </w:rPr>
        <w:t>左右，</w:t>
      </w:r>
      <w:r w:rsidRPr="00F9522B">
        <w:rPr>
          <w:rFonts w:eastAsiaTheme="minorEastAsia"/>
          <w:kern w:val="0"/>
          <w:sz w:val="24"/>
        </w:rPr>
        <w:t>客土回填平整后，进行表土回覆，表土回覆后对以上地块进行翻耕。</w:t>
      </w:r>
      <w:r w:rsidR="00FB5B36" w:rsidRPr="00F9522B">
        <w:rPr>
          <w:rFonts w:eastAsiaTheme="minorEastAsia"/>
          <w:kern w:val="0"/>
          <w:sz w:val="24"/>
        </w:rPr>
        <w:t>翻耕</w:t>
      </w:r>
      <w:r w:rsidR="00121DFD" w:rsidRPr="00F9522B">
        <w:rPr>
          <w:rFonts w:eastAsiaTheme="minorEastAsia"/>
          <w:kern w:val="0"/>
          <w:sz w:val="24"/>
        </w:rPr>
        <w:t>过程中投加</w:t>
      </w:r>
      <w:r w:rsidR="00121DFD" w:rsidRPr="00F9522B">
        <w:rPr>
          <w:rFonts w:eastAsiaTheme="minorEastAsia"/>
          <w:sz w:val="24"/>
        </w:rPr>
        <w:t>商品有机肥</w:t>
      </w:r>
      <w:r w:rsidR="00121DFD" w:rsidRPr="00F9522B">
        <w:rPr>
          <w:rFonts w:eastAsiaTheme="minorEastAsia"/>
          <w:kern w:val="0"/>
          <w:sz w:val="24"/>
        </w:rPr>
        <w:t>，</w:t>
      </w:r>
      <w:r w:rsidRPr="00F9522B">
        <w:rPr>
          <w:rFonts w:eastAsiaTheme="minorEastAsia"/>
          <w:kern w:val="0"/>
          <w:sz w:val="24"/>
        </w:rPr>
        <w:t>工程中产污节点主要为表土剥离、平整、翻耕过程产生的噪声</w:t>
      </w:r>
      <w:r w:rsidR="00121DFD" w:rsidRPr="00F9522B">
        <w:rPr>
          <w:rFonts w:eastAsiaTheme="minorEastAsia"/>
          <w:kern w:val="0"/>
          <w:sz w:val="24"/>
        </w:rPr>
        <w:t>、</w:t>
      </w:r>
      <w:r w:rsidRPr="00F9522B">
        <w:rPr>
          <w:rFonts w:eastAsiaTheme="minorEastAsia"/>
          <w:kern w:val="0"/>
          <w:sz w:val="24"/>
        </w:rPr>
        <w:t>扬尘</w:t>
      </w:r>
      <w:r w:rsidR="00121DFD" w:rsidRPr="00F9522B">
        <w:rPr>
          <w:rFonts w:eastAsiaTheme="minorEastAsia"/>
          <w:kern w:val="0"/>
          <w:sz w:val="24"/>
        </w:rPr>
        <w:t>及固废</w:t>
      </w:r>
      <w:r w:rsidRPr="00F9522B">
        <w:rPr>
          <w:rFonts w:eastAsiaTheme="minorEastAsia"/>
          <w:kern w:val="0"/>
          <w:sz w:val="24"/>
        </w:rPr>
        <w:t>。</w:t>
      </w:r>
    </w:p>
    <w:p w:rsidR="002A5A5E" w:rsidRPr="00F9522B" w:rsidRDefault="005273A1" w:rsidP="00500971">
      <w:pPr>
        <w:widowControl/>
        <w:tabs>
          <w:tab w:val="right" w:pos="8306"/>
        </w:tabs>
        <w:spacing w:line="360" w:lineRule="auto"/>
        <w:rPr>
          <w:rFonts w:eastAsiaTheme="minorEastAsia"/>
          <w:b/>
          <w:bCs/>
          <w:sz w:val="24"/>
        </w:rPr>
      </w:pPr>
      <w:r w:rsidRPr="005273A1">
        <w:rPr>
          <w:rFonts w:eastAsiaTheme="minorEastAsia"/>
          <w:b/>
          <w:sz w:val="24"/>
        </w:rPr>
        <w:pict>
          <v:shape id="_x0000_s697020" type="#_x0000_t202" style="position:absolute;left:0;text-align:left;margin-left:341.15pt;margin-top:6.9pt;width:79.6pt;height:27.9pt;z-index:251734016" fillcolor="white [3212]" stroked="f">
            <v:textbox style="mso-next-textbox:#_x0000_s697020">
              <w:txbxContent>
                <w:p w:rsidR="000D2D13" w:rsidRPr="00500971" w:rsidRDefault="000D2D13">
                  <w:pPr>
                    <w:rPr>
                      <w:rFonts w:ascii="宋体" w:hAnsi="宋体" w:cs="宋体"/>
                      <w:sz w:val="18"/>
                      <w:szCs w:val="18"/>
                    </w:rPr>
                  </w:pPr>
                  <w:r w:rsidRPr="00500971">
                    <w:rPr>
                      <w:rFonts w:ascii="宋体" w:hAnsi="宋体" w:cs="宋体" w:hint="eastAsia"/>
                      <w:sz w:val="18"/>
                      <w:szCs w:val="18"/>
                    </w:rPr>
                    <w:t>、废肥料包装袋</w:t>
                  </w:r>
                </w:p>
              </w:txbxContent>
            </v:textbox>
          </v:shape>
        </w:pict>
      </w:r>
      <w:r w:rsidRPr="005273A1">
        <w:rPr>
          <w:rFonts w:eastAsiaTheme="minorEastAsia"/>
          <w:noProof/>
          <w:kern w:val="0"/>
          <w:sz w:val="24"/>
        </w:rPr>
        <w:pict>
          <v:shape id="_x0000_s697156" type="#_x0000_t202" style="position:absolute;left:0;text-align:left;margin-left:250.7pt;margin-top:8.75pt;width:50.65pt;height:27.9pt;z-index:251817984" filled="f" stroked="f">
            <v:textbox>
              <w:txbxContent>
                <w:p w:rsidR="000D2D13" w:rsidRPr="00121DFD" w:rsidRDefault="000D2D13" w:rsidP="00121DFD">
                  <w:pPr>
                    <w:rPr>
                      <w:rFonts w:ascii="宋体" w:hAnsi="宋体" w:cs="宋体"/>
                      <w:szCs w:val="21"/>
                    </w:rPr>
                  </w:pPr>
                  <w:r>
                    <w:rPr>
                      <w:rFonts w:ascii="宋体" w:hAnsi="宋体" w:cs="宋体" w:hint="eastAsia"/>
                      <w:szCs w:val="21"/>
                    </w:rPr>
                    <w:t>有机肥</w:t>
                  </w:r>
                </w:p>
              </w:txbxContent>
            </v:textbox>
          </v:shape>
        </w:pict>
      </w:r>
      <w:r>
        <w:rPr>
          <w:rFonts w:eastAsiaTheme="minorEastAsia"/>
          <w:b/>
          <w:bCs/>
          <w:noProof/>
          <w:sz w:val="24"/>
        </w:rPr>
        <w:pict>
          <v:shape id="_x0000_s697155" type="#_x0000_t32" style="position:absolute;left:0;text-align:left;margin-left:285.1pt;margin-top:27.4pt;width:8.35pt;height:14.25pt;z-index:251816960" o:connectortype="straight">
            <v:stroke endarrow="block"/>
          </v:shape>
        </w:pict>
      </w:r>
      <w:r w:rsidR="00611CBA" w:rsidRPr="00F9522B">
        <w:rPr>
          <w:rFonts w:eastAsiaTheme="minorEastAsia"/>
          <w:b/>
          <w:bCs/>
          <w:noProof/>
          <w:sz w:val="24"/>
        </w:rPr>
        <w:drawing>
          <wp:inline distT="0" distB="0" distL="0" distR="0">
            <wp:extent cx="4592955" cy="882650"/>
            <wp:effectExtent l="19050" t="0" r="0" b="0"/>
            <wp:docPr id="39"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8"/>
                    <pic:cNvPicPr>
                      <a:picLocks noChangeAspect="1" noChangeArrowheads="1"/>
                    </pic:cNvPicPr>
                  </pic:nvPicPr>
                  <pic:blipFill>
                    <a:blip r:embed="rId44"/>
                    <a:srcRect/>
                    <a:stretch>
                      <a:fillRect/>
                    </a:stretch>
                  </pic:blipFill>
                  <pic:spPr>
                    <a:xfrm>
                      <a:off x="0" y="0"/>
                      <a:ext cx="4592955" cy="882650"/>
                    </a:xfrm>
                    <a:prstGeom prst="rect">
                      <a:avLst/>
                    </a:prstGeom>
                    <a:noFill/>
                    <a:ln w="9525">
                      <a:noFill/>
                      <a:miter lim="800000"/>
                      <a:headEnd/>
                      <a:tailEnd/>
                    </a:ln>
                  </pic:spPr>
                </pic:pic>
              </a:graphicData>
            </a:graphic>
          </wp:inline>
        </w:drawing>
      </w:r>
      <w:r w:rsidR="00500971" w:rsidRPr="00F9522B">
        <w:rPr>
          <w:rFonts w:eastAsiaTheme="minorEastAsia"/>
          <w:b/>
          <w:bCs/>
          <w:sz w:val="24"/>
        </w:rPr>
        <w:tab/>
      </w:r>
    </w:p>
    <w:p w:rsidR="002A5A5E" w:rsidRPr="00F9522B" w:rsidRDefault="00611CBA">
      <w:pPr>
        <w:contextualSpacing/>
        <w:jc w:val="center"/>
        <w:rPr>
          <w:rFonts w:eastAsiaTheme="minorEastAsia"/>
          <w:b/>
          <w:kern w:val="0"/>
          <w:szCs w:val="21"/>
        </w:rPr>
      </w:pPr>
      <w:r w:rsidRPr="00F9522B">
        <w:rPr>
          <w:rFonts w:eastAsiaTheme="minorEastAsia"/>
          <w:b/>
          <w:kern w:val="0"/>
          <w:szCs w:val="21"/>
        </w:rPr>
        <w:t>图</w:t>
      </w:r>
      <w:r w:rsidRPr="00F9522B">
        <w:rPr>
          <w:rFonts w:eastAsiaTheme="minorEastAsia"/>
          <w:b/>
          <w:kern w:val="0"/>
          <w:szCs w:val="21"/>
        </w:rPr>
        <w:t>3-2-</w:t>
      </w:r>
      <w:r w:rsidR="00121DFD" w:rsidRPr="00F9522B">
        <w:rPr>
          <w:rFonts w:eastAsiaTheme="minorEastAsia"/>
          <w:b/>
          <w:kern w:val="0"/>
          <w:szCs w:val="21"/>
        </w:rPr>
        <w:t>5</w:t>
      </w:r>
      <w:r w:rsidRPr="00F9522B">
        <w:rPr>
          <w:rFonts w:eastAsiaTheme="minorEastAsia"/>
          <w:b/>
          <w:kern w:val="0"/>
          <w:szCs w:val="21"/>
        </w:rPr>
        <w:t>田块整治工程施工流程及排污节点图</w:t>
      </w:r>
    </w:p>
    <w:p w:rsidR="002A5A5E" w:rsidRPr="00F9522B" w:rsidRDefault="00611CBA">
      <w:pPr>
        <w:autoSpaceDE w:val="0"/>
        <w:autoSpaceDN w:val="0"/>
        <w:spacing w:before="100" w:beforeAutospacing="1" w:after="100" w:afterAutospacing="1"/>
        <w:outlineLvl w:val="3"/>
        <w:rPr>
          <w:rFonts w:eastAsiaTheme="minorEastAsia"/>
          <w:b/>
          <w:sz w:val="24"/>
        </w:rPr>
      </w:pPr>
      <w:r w:rsidRPr="00F9522B">
        <w:rPr>
          <w:rFonts w:eastAsiaTheme="minorEastAsia"/>
          <w:b/>
          <w:sz w:val="24"/>
        </w:rPr>
        <w:t>3.2.1.7</w:t>
      </w:r>
      <w:r w:rsidRPr="00F9522B">
        <w:rPr>
          <w:rFonts w:eastAsiaTheme="minorEastAsia"/>
          <w:b/>
          <w:sz w:val="24"/>
        </w:rPr>
        <w:t>排水沟清淤施工流程及产污环节分析</w:t>
      </w:r>
    </w:p>
    <w:p w:rsidR="006115D3" w:rsidRPr="00F9522B" w:rsidRDefault="00611CBA">
      <w:pPr>
        <w:widowControl/>
        <w:spacing w:line="360" w:lineRule="auto"/>
        <w:ind w:firstLineChars="200" w:firstLine="480"/>
        <w:rPr>
          <w:rFonts w:eastAsiaTheme="minorEastAsia"/>
          <w:kern w:val="0"/>
          <w:sz w:val="24"/>
        </w:rPr>
      </w:pPr>
      <w:r w:rsidRPr="00F9522B">
        <w:rPr>
          <w:rFonts w:eastAsiaTheme="minorEastAsia"/>
          <w:kern w:val="0"/>
          <w:sz w:val="24"/>
        </w:rPr>
        <w:t>工程淤清淤疏浚施工工艺主要包括机械运输、机械进场、清淤作业。施工流程主要采用水陆挖掘机进行清淤作业。首先利用运输拖车将水陆挖掘机拉运至需要清淤的沟段，然后驾驶员操控水陆挖掘机在沟道中进行清淤作业。</w:t>
      </w:r>
    </w:p>
    <w:p w:rsidR="006D377D" w:rsidRDefault="005510C6">
      <w:pPr>
        <w:widowControl/>
        <w:spacing w:line="360" w:lineRule="auto"/>
        <w:ind w:firstLineChars="200" w:firstLine="480"/>
        <w:rPr>
          <w:rFonts w:eastAsiaTheme="minorEastAsia"/>
          <w:color w:val="FF0000"/>
          <w:spacing w:val="-5"/>
          <w:sz w:val="24"/>
        </w:rPr>
      </w:pPr>
      <w:r w:rsidRPr="00F9522B">
        <w:rPr>
          <w:rFonts w:eastAsiaTheme="minorEastAsia"/>
          <w:color w:val="FF0000"/>
          <w:sz w:val="24"/>
        </w:rPr>
        <w:lastRenderedPageBreak/>
        <w:t>本项目排水沟清淤总长度为</w:t>
      </w:r>
      <w:r w:rsidRPr="00F9522B">
        <w:rPr>
          <w:rFonts w:eastAsiaTheme="minorEastAsia"/>
          <w:color w:val="FF0000"/>
          <w:sz w:val="24"/>
        </w:rPr>
        <w:t>14.073km</w:t>
      </w:r>
      <w:r w:rsidRPr="00F9522B">
        <w:rPr>
          <w:rFonts w:eastAsiaTheme="minorEastAsia"/>
          <w:color w:val="FF0000"/>
          <w:sz w:val="24"/>
        </w:rPr>
        <w:t>，排水沟分布情况见附图</w:t>
      </w:r>
      <w:r w:rsidRPr="00F9522B">
        <w:rPr>
          <w:rFonts w:eastAsiaTheme="minorEastAsia"/>
          <w:color w:val="FF0000"/>
          <w:sz w:val="24"/>
        </w:rPr>
        <w:t>9</w:t>
      </w:r>
      <w:r w:rsidRPr="00F9522B">
        <w:rPr>
          <w:rFonts w:eastAsiaTheme="minorEastAsia"/>
          <w:color w:val="FF0000"/>
          <w:sz w:val="24"/>
        </w:rPr>
        <w:t>。</w:t>
      </w:r>
      <w:r w:rsidR="00873083" w:rsidRPr="00F9522B">
        <w:rPr>
          <w:rFonts w:eastAsiaTheme="minorEastAsia"/>
          <w:color w:val="FF0000"/>
          <w:sz w:val="24"/>
        </w:rPr>
        <w:t>清淤采用挖掘机和人工结合的方式进行</w:t>
      </w:r>
      <w:r w:rsidR="00873083">
        <w:rPr>
          <w:rFonts w:eastAsiaTheme="minorEastAsia" w:hint="eastAsia"/>
          <w:color w:val="FF0000"/>
          <w:sz w:val="24"/>
        </w:rPr>
        <w:t>，</w:t>
      </w:r>
      <w:r w:rsidRPr="00F9522B">
        <w:rPr>
          <w:rFonts w:eastAsiaTheme="minorEastAsia"/>
          <w:snapToGrid w:val="0"/>
          <w:color w:val="FF0000"/>
          <w:kern w:val="0"/>
          <w:sz w:val="24"/>
        </w:rPr>
        <w:t>清淤深度约为</w:t>
      </w:r>
      <w:r w:rsidRPr="00F9522B">
        <w:rPr>
          <w:rFonts w:eastAsiaTheme="minorEastAsia"/>
          <w:snapToGrid w:val="0"/>
          <w:color w:val="FF0000"/>
          <w:kern w:val="0"/>
          <w:sz w:val="24"/>
        </w:rPr>
        <w:t>18</w:t>
      </w:r>
      <w:r w:rsidRPr="00F9522B">
        <w:rPr>
          <w:rFonts w:eastAsiaTheme="minorEastAsia"/>
          <w:color w:val="FF0000"/>
          <w:sz w:val="24"/>
        </w:rPr>
        <w:t>cm</w:t>
      </w:r>
      <w:r w:rsidRPr="00F9522B">
        <w:rPr>
          <w:rFonts w:eastAsiaTheme="minorEastAsia"/>
          <w:color w:val="FF0000"/>
          <w:sz w:val="24"/>
        </w:rPr>
        <w:t>，宽度约为</w:t>
      </w:r>
      <w:r w:rsidRPr="00F9522B">
        <w:rPr>
          <w:rFonts w:eastAsiaTheme="minorEastAsia"/>
          <w:color w:val="FF0000"/>
          <w:sz w:val="24"/>
        </w:rPr>
        <w:t>1m</w:t>
      </w:r>
      <w:r w:rsidRPr="00F9522B">
        <w:rPr>
          <w:rFonts w:eastAsiaTheme="minorEastAsia"/>
          <w:snapToGrid w:val="0"/>
          <w:color w:val="FF0000"/>
          <w:kern w:val="0"/>
          <w:sz w:val="24"/>
        </w:rPr>
        <w:t>。根据《呼兰区</w:t>
      </w:r>
      <w:r w:rsidRPr="00F9522B">
        <w:rPr>
          <w:rFonts w:eastAsiaTheme="minorEastAsia"/>
          <w:snapToGrid w:val="0"/>
          <w:color w:val="FF0000"/>
          <w:kern w:val="0"/>
          <w:sz w:val="24"/>
        </w:rPr>
        <w:t>2026</w:t>
      </w:r>
      <w:r w:rsidRPr="00F9522B">
        <w:rPr>
          <w:rFonts w:eastAsiaTheme="minorEastAsia"/>
          <w:snapToGrid w:val="0"/>
          <w:color w:val="FF0000"/>
          <w:kern w:val="0"/>
          <w:sz w:val="24"/>
        </w:rPr>
        <w:t>年高标准农田建设项目初步设计》，</w:t>
      </w:r>
      <w:r w:rsidRPr="00F9522B">
        <w:rPr>
          <w:rFonts w:eastAsiaTheme="minorEastAsia"/>
          <w:color w:val="FF0000"/>
          <w:sz w:val="24"/>
        </w:rPr>
        <w:t>总清淤土方约</w:t>
      </w:r>
      <w:r w:rsidRPr="00F9522B">
        <w:rPr>
          <w:rFonts w:eastAsiaTheme="minorEastAsia"/>
          <w:color w:val="FF0000"/>
          <w:sz w:val="24"/>
        </w:rPr>
        <w:t>2550m</w:t>
      </w:r>
      <w:r w:rsidRPr="00F9522B">
        <w:rPr>
          <w:rFonts w:eastAsiaTheme="minorEastAsia"/>
          <w:color w:val="FF0000"/>
          <w:sz w:val="24"/>
          <w:vertAlign w:val="superscript"/>
        </w:rPr>
        <w:t>3</w:t>
      </w:r>
      <w:r w:rsidRPr="00F9522B">
        <w:rPr>
          <w:rFonts w:eastAsiaTheme="minorEastAsia"/>
          <w:color w:val="FF0000"/>
          <w:sz w:val="24"/>
        </w:rPr>
        <w:t>，排水沟淤泥</w:t>
      </w:r>
      <w:r w:rsidRPr="00F9522B">
        <w:rPr>
          <w:rFonts w:eastAsiaTheme="minorEastAsia"/>
          <w:bCs/>
          <w:color w:val="FF0000"/>
          <w:sz w:val="24"/>
        </w:rPr>
        <w:t>培至</w:t>
      </w:r>
      <w:r w:rsidR="00E33140" w:rsidRPr="00F9522B">
        <w:rPr>
          <w:rFonts w:eastAsiaTheme="minorEastAsia"/>
          <w:bCs/>
          <w:color w:val="FF0000"/>
          <w:sz w:val="24"/>
        </w:rPr>
        <w:t>工程</w:t>
      </w:r>
      <w:r w:rsidRPr="00F9522B">
        <w:rPr>
          <w:rFonts w:eastAsiaTheme="minorEastAsia"/>
          <w:bCs/>
          <w:color w:val="FF0000"/>
          <w:sz w:val="24"/>
        </w:rPr>
        <w:t>附近</w:t>
      </w:r>
      <w:r w:rsidRPr="00F9522B">
        <w:rPr>
          <w:rFonts w:eastAsiaTheme="minorEastAsia"/>
          <w:bCs/>
          <w:color w:val="FF0000"/>
          <w:sz w:val="24"/>
        </w:rPr>
        <w:t>200</w:t>
      </w:r>
      <w:r w:rsidRPr="00F9522B">
        <w:rPr>
          <w:rFonts w:eastAsiaTheme="minorEastAsia"/>
          <w:bCs/>
          <w:color w:val="FF0000"/>
          <w:sz w:val="24"/>
        </w:rPr>
        <w:t>米范围内无环境保护目标的排水沟两侧</w:t>
      </w:r>
      <w:r w:rsidR="00E33140" w:rsidRPr="00F9522B">
        <w:rPr>
          <w:rFonts w:eastAsiaTheme="minorEastAsia"/>
          <w:bCs/>
          <w:color w:val="FF0000"/>
          <w:sz w:val="24"/>
        </w:rPr>
        <w:t>（避开南城李、方台镇、宋家村等</w:t>
      </w:r>
      <w:r w:rsidR="00E33140" w:rsidRPr="00F9522B">
        <w:rPr>
          <w:rFonts w:eastAsiaTheme="minorEastAsia"/>
          <w:bCs/>
          <w:color w:val="FF0000"/>
          <w:sz w:val="24"/>
        </w:rPr>
        <w:t>33</w:t>
      </w:r>
      <w:r w:rsidR="00E33140" w:rsidRPr="00F9522B">
        <w:rPr>
          <w:rFonts w:eastAsiaTheme="minorEastAsia"/>
          <w:bCs/>
          <w:color w:val="FF0000"/>
          <w:sz w:val="24"/>
        </w:rPr>
        <w:t>个村屯，具体见表</w:t>
      </w:r>
      <w:r w:rsidR="00E33140" w:rsidRPr="00F9522B">
        <w:rPr>
          <w:rFonts w:eastAsiaTheme="minorEastAsia"/>
          <w:bCs/>
          <w:color w:val="FF0000"/>
          <w:sz w:val="24"/>
        </w:rPr>
        <w:t>2-8-2</w:t>
      </w:r>
      <w:r w:rsidR="00E33140" w:rsidRPr="00F9522B">
        <w:rPr>
          <w:rFonts w:eastAsiaTheme="minorEastAsia"/>
          <w:bCs/>
          <w:color w:val="FF0000"/>
          <w:sz w:val="24"/>
        </w:rPr>
        <w:t>）</w:t>
      </w:r>
      <w:r w:rsidR="00611CBA" w:rsidRPr="00F9522B">
        <w:rPr>
          <w:rFonts w:eastAsiaTheme="minorEastAsia"/>
          <w:bCs/>
          <w:color w:val="FF0000"/>
          <w:sz w:val="24"/>
        </w:rPr>
        <w:t>，</w:t>
      </w:r>
      <w:r w:rsidRPr="00F9522B">
        <w:rPr>
          <w:rFonts w:eastAsiaTheme="minorEastAsia"/>
          <w:color w:val="FF0000"/>
          <w:sz w:val="24"/>
        </w:rPr>
        <w:t>自然晾晒干化</w:t>
      </w:r>
      <w:r w:rsidR="006115D3" w:rsidRPr="00F9522B">
        <w:rPr>
          <w:rFonts w:eastAsiaTheme="minorEastAsia"/>
          <w:color w:val="FF0000"/>
          <w:sz w:val="24"/>
        </w:rPr>
        <w:t>，</w:t>
      </w:r>
      <w:r w:rsidR="00873083" w:rsidRPr="00873083">
        <w:rPr>
          <w:rFonts w:eastAsiaTheme="minorEastAsia"/>
          <w:color w:val="FF0000"/>
          <w:sz w:val="24"/>
        </w:rPr>
        <w:t>晾晒</w:t>
      </w:r>
      <w:r w:rsidR="00873083" w:rsidRPr="00873083">
        <w:rPr>
          <w:rFonts w:eastAsiaTheme="minorEastAsia"/>
          <w:color w:val="FF0000"/>
          <w:sz w:val="24"/>
        </w:rPr>
        <w:t>7</w:t>
      </w:r>
      <w:r w:rsidR="00873083" w:rsidRPr="00873083">
        <w:rPr>
          <w:rFonts w:eastAsiaTheme="minorEastAsia"/>
          <w:color w:val="FF0000"/>
          <w:sz w:val="24"/>
        </w:rPr>
        <w:t>～</w:t>
      </w:r>
      <w:r w:rsidR="00873083">
        <w:rPr>
          <w:rFonts w:eastAsiaTheme="minorEastAsia"/>
          <w:color w:val="FF0000"/>
          <w:sz w:val="24"/>
        </w:rPr>
        <w:t>10d</w:t>
      </w:r>
      <w:r w:rsidR="00873083" w:rsidRPr="00873083">
        <w:rPr>
          <w:rFonts w:eastAsiaTheme="minorEastAsia"/>
          <w:color w:val="FF0000"/>
          <w:sz w:val="24"/>
        </w:rPr>
        <w:t>后含水率大幅下降，厌氧环境破坏，</w:t>
      </w:r>
      <w:r w:rsidR="00873083">
        <w:rPr>
          <w:rFonts w:eastAsiaTheme="minorEastAsia"/>
          <w:color w:val="FF0000"/>
          <w:sz w:val="24"/>
        </w:rPr>
        <w:t>臭气浓度</w:t>
      </w:r>
      <w:r w:rsidR="00873083" w:rsidRPr="00873083">
        <w:rPr>
          <w:rFonts w:eastAsiaTheme="minorEastAsia"/>
          <w:color w:val="FF0000"/>
          <w:sz w:val="24"/>
        </w:rPr>
        <w:t>释放量显著降低，后期臭气影响大幅减弱。</w:t>
      </w:r>
      <w:r w:rsidR="006115D3" w:rsidRPr="00F9522B">
        <w:rPr>
          <w:rFonts w:eastAsiaTheme="minorEastAsia"/>
          <w:color w:val="FF0000"/>
          <w:spacing w:val="-5"/>
          <w:sz w:val="24"/>
        </w:rPr>
        <w:t>清淤过程中喷洒微生物除臭剂。</w:t>
      </w:r>
    </w:p>
    <w:p w:rsidR="002A5A5E" w:rsidRPr="00F9522B" w:rsidRDefault="004C69F2" w:rsidP="006D377D">
      <w:pPr>
        <w:widowControl/>
        <w:spacing w:line="360" w:lineRule="auto"/>
        <w:ind w:firstLineChars="200" w:firstLine="480"/>
        <w:rPr>
          <w:rFonts w:eastAsiaTheme="minorEastAsia"/>
          <w:color w:val="FF0000"/>
          <w:kern w:val="10"/>
          <w:sz w:val="24"/>
          <w:szCs w:val="22"/>
        </w:rPr>
      </w:pPr>
      <w:r w:rsidRPr="00873083">
        <w:rPr>
          <w:color w:val="FF0000"/>
          <w:sz w:val="24"/>
        </w:rPr>
        <w:t>本工程清淤施工期选定</w:t>
      </w:r>
      <w:r w:rsidRPr="00873083">
        <w:rPr>
          <w:color w:val="FF0000"/>
          <w:sz w:val="24"/>
        </w:rPr>
        <w:t xml:space="preserve"> 2027</w:t>
      </w:r>
      <w:r w:rsidRPr="00873083">
        <w:rPr>
          <w:color w:val="FF0000"/>
          <w:sz w:val="24"/>
        </w:rPr>
        <w:t>年</w:t>
      </w:r>
      <w:r w:rsidRPr="00873083">
        <w:rPr>
          <w:color w:val="FF0000"/>
          <w:sz w:val="24"/>
        </w:rPr>
        <w:t>3</w:t>
      </w:r>
      <w:r w:rsidRPr="00873083">
        <w:rPr>
          <w:rFonts w:eastAsiaTheme="minorEastAsia"/>
          <w:color w:val="FF0000"/>
          <w:kern w:val="0"/>
          <w:sz w:val="24"/>
        </w:rPr>
        <w:t>～</w:t>
      </w:r>
      <w:r w:rsidRPr="00873083">
        <w:rPr>
          <w:color w:val="FF0000"/>
          <w:sz w:val="24"/>
        </w:rPr>
        <w:t>4</w:t>
      </w:r>
      <w:r w:rsidRPr="00873083">
        <w:rPr>
          <w:color w:val="FF0000"/>
          <w:sz w:val="24"/>
        </w:rPr>
        <w:t>月河道枯水期开展，该阶段河流水位低，河床淤泥自然疏干、含水率较低，叠加初春低温气象条件，淤泥内厌氧微生物产臭活性受到双重抑制，恶臭污染物生成及挥发速率整体偏低；同时采用干化开挖施工，避免汛期水下扰动淤泥造成恶臭气体集中瞬时释放，整体臭气平均排放浓度优于丰水期清淤工况。</w:t>
      </w:r>
      <w:r w:rsidRPr="00F9522B">
        <w:rPr>
          <w:rFonts w:eastAsiaTheme="minorEastAsia"/>
          <w:color w:val="FF0000"/>
          <w:kern w:val="10"/>
          <w:sz w:val="24"/>
          <w:szCs w:val="22"/>
        </w:rPr>
        <w:t>本项目排水沟底泥检测样品无重金属污染，底泥污染物均满足《土壤环境质量农用地土壤污染风险管控标准（试行）》（</w:t>
      </w:r>
      <w:r w:rsidRPr="00F9522B">
        <w:rPr>
          <w:rFonts w:eastAsiaTheme="minorEastAsia"/>
          <w:color w:val="FF0000"/>
          <w:kern w:val="10"/>
          <w:sz w:val="24"/>
          <w:szCs w:val="22"/>
        </w:rPr>
        <w:t>GB15618-2018</w:t>
      </w:r>
      <w:r w:rsidRPr="00F9522B">
        <w:rPr>
          <w:rFonts w:eastAsiaTheme="minorEastAsia"/>
          <w:color w:val="FF0000"/>
          <w:kern w:val="10"/>
          <w:sz w:val="24"/>
          <w:szCs w:val="22"/>
        </w:rPr>
        <w:t>）表</w:t>
      </w:r>
      <w:r w:rsidRPr="00F9522B">
        <w:rPr>
          <w:rFonts w:eastAsiaTheme="minorEastAsia"/>
          <w:color w:val="FF0000"/>
          <w:kern w:val="10"/>
          <w:sz w:val="24"/>
          <w:szCs w:val="22"/>
        </w:rPr>
        <w:t>1</w:t>
      </w:r>
      <w:r w:rsidRPr="00F9522B">
        <w:rPr>
          <w:rFonts w:eastAsiaTheme="minorEastAsia"/>
          <w:color w:val="FF0000"/>
          <w:kern w:val="10"/>
          <w:sz w:val="24"/>
          <w:szCs w:val="22"/>
        </w:rPr>
        <w:t>、表</w:t>
      </w:r>
      <w:r w:rsidRPr="00F9522B">
        <w:rPr>
          <w:rFonts w:eastAsiaTheme="minorEastAsia"/>
          <w:color w:val="FF0000"/>
          <w:kern w:val="10"/>
          <w:sz w:val="24"/>
          <w:szCs w:val="22"/>
        </w:rPr>
        <w:t>2</w:t>
      </w:r>
      <w:r w:rsidRPr="00F9522B">
        <w:rPr>
          <w:rFonts w:eastAsiaTheme="minorEastAsia"/>
          <w:color w:val="FF0000"/>
          <w:kern w:val="10"/>
          <w:sz w:val="24"/>
          <w:szCs w:val="22"/>
        </w:rPr>
        <w:t>中筛选值</w:t>
      </w:r>
      <w:r>
        <w:rPr>
          <w:rFonts w:eastAsiaTheme="minorEastAsia"/>
          <w:color w:val="FF0000"/>
          <w:kern w:val="10"/>
          <w:sz w:val="24"/>
          <w:szCs w:val="22"/>
        </w:rPr>
        <w:t>。</w:t>
      </w:r>
      <w:r w:rsidR="00611CBA" w:rsidRPr="00F9522B">
        <w:rPr>
          <w:rFonts w:eastAsiaTheme="minorEastAsia"/>
          <w:color w:val="FF0000"/>
          <w:sz w:val="24"/>
        </w:rPr>
        <w:t>污泥沥水排入排水沟内。</w:t>
      </w:r>
    </w:p>
    <w:p w:rsidR="002A5A5E" w:rsidRPr="00F9522B" w:rsidRDefault="005273A1">
      <w:pPr>
        <w:spacing w:line="360" w:lineRule="auto"/>
        <w:ind w:left="420"/>
        <w:contextualSpacing/>
        <w:jc w:val="center"/>
        <w:rPr>
          <w:rFonts w:eastAsiaTheme="minorEastAsia"/>
          <w:b/>
          <w:sz w:val="24"/>
        </w:rPr>
      </w:pPr>
      <w:r>
        <w:rPr>
          <w:rFonts w:eastAsiaTheme="minorEastAsia"/>
          <w:b/>
          <w:sz w:val="24"/>
        </w:rPr>
        <w:pict>
          <v:shape id="_x0000_s697084" type="#_x0000_t202" style="position:absolute;left:0;text-align:left;margin-left:296.35pt;margin-top:6.35pt;width:88.15pt;height:27.9pt;z-index:251772928" filled="f" stroked="f">
            <v:textbox>
              <w:txbxContent>
                <w:p w:rsidR="000D2D13" w:rsidRDefault="000D2D13">
                  <w:pPr>
                    <w:rPr>
                      <w:rFonts w:ascii="宋体" w:hAnsi="宋体" w:cs="宋体"/>
                      <w:szCs w:val="21"/>
                    </w:rPr>
                  </w:pPr>
                  <w:r>
                    <w:rPr>
                      <w:rFonts w:ascii="宋体" w:hAnsi="宋体" w:cs="宋体" w:hint="eastAsia"/>
                      <w:szCs w:val="21"/>
                    </w:rPr>
                    <w:t>恶臭异味、沥水</w:t>
                  </w:r>
                </w:p>
              </w:txbxContent>
            </v:textbox>
          </v:shape>
        </w:pict>
      </w:r>
      <w:r>
        <w:rPr>
          <w:rFonts w:eastAsiaTheme="minorEastAsia"/>
          <w:b/>
          <w:sz w:val="24"/>
        </w:rPr>
        <w:pict>
          <v:shape id="_x0000_s697083" type="#_x0000_t32" style="position:absolute;left:0;text-align:left;margin-left:341.15pt;margin-top:24.75pt;width:0;height:18.45pt;flip:y;z-index:251771904" o:connectortype="straight">
            <v:stroke dashstyle="dash" endarrow="block"/>
          </v:shape>
        </w:pict>
      </w:r>
      <w:r w:rsidR="00611CBA" w:rsidRPr="00F9522B">
        <w:rPr>
          <w:rFonts w:eastAsiaTheme="minorEastAsia"/>
          <w:b/>
          <w:noProof/>
          <w:sz w:val="24"/>
        </w:rPr>
        <w:drawing>
          <wp:inline distT="0" distB="0" distL="0" distR="0">
            <wp:extent cx="4733925" cy="942975"/>
            <wp:effectExtent l="19050" t="0" r="9525" b="0"/>
            <wp:docPr id="6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9"/>
                    <pic:cNvPicPr>
                      <a:picLocks noChangeAspect="1" noChangeArrowheads="1"/>
                    </pic:cNvPicPr>
                  </pic:nvPicPr>
                  <pic:blipFill>
                    <a:blip r:embed="rId45"/>
                    <a:srcRect/>
                    <a:stretch>
                      <a:fillRect/>
                    </a:stretch>
                  </pic:blipFill>
                  <pic:spPr>
                    <a:xfrm>
                      <a:off x="0" y="0"/>
                      <a:ext cx="4733925" cy="942975"/>
                    </a:xfrm>
                    <a:prstGeom prst="rect">
                      <a:avLst/>
                    </a:prstGeom>
                    <a:noFill/>
                    <a:ln w="9525">
                      <a:noFill/>
                      <a:miter lim="800000"/>
                      <a:headEnd/>
                      <a:tailEnd/>
                    </a:ln>
                  </pic:spPr>
                </pic:pic>
              </a:graphicData>
            </a:graphic>
          </wp:inline>
        </w:drawing>
      </w:r>
    </w:p>
    <w:p w:rsidR="002A5A5E" w:rsidRPr="00F9522B" w:rsidRDefault="00611CBA">
      <w:pPr>
        <w:contextualSpacing/>
        <w:jc w:val="center"/>
        <w:rPr>
          <w:rFonts w:eastAsiaTheme="minorEastAsia"/>
          <w:b/>
          <w:kern w:val="0"/>
          <w:szCs w:val="21"/>
        </w:rPr>
      </w:pPr>
      <w:r w:rsidRPr="00F9522B">
        <w:rPr>
          <w:rFonts w:eastAsiaTheme="minorEastAsia"/>
          <w:b/>
          <w:kern w:val="0"/>
          <w:szCs w:val="21"/>
        </w:rPr>
        <w:t>图</w:t>
      </w:r>
      <w:r w:rsidRPr="00F9522B">
        <w:rPr>
          <w:rFonts w:eastAsiaTheme="minorEastAsia"/>
          <w:b/>
          <w:kern w:val="0"/>
          <w:szCs w:val="21"/>
        </w:rPr>
        <w:t>3-2-</w:t>
      </w:r>
      <w:r w:rsidR="005C0AF5" w:rsidRPr="00F9522B">
        <w:rPr>
          <w:rFonts w:eastAsiaTheme="minorEastAsia"/>
          <w:b/>
          <w:kern w:val="0"/>
          <w:szCs w:val="21"/>
        </w:rPr>
        <w:t>6</w:t>
      </w:r>
      <w:r w:rsidRPr="00F9522B">
        <w:rPr>
          <w:rFonts w:eastAsiaTheme="minorEastAsia"/>
          <w:b/>
          <w:kern w:val="0"/>
          <w:szCs w:val="21"/>
        </w:rPr>
        <w:t>排水沟清淤工艺流程及排污节点图</w:t>
      </w:r>
    </w:p>
    <w:p w:rsidR="002A5A5E" w:rsidRPr="00F9522B" w:rsidRDefault="00611CBA">
      <w:pPr>
        <w:widowControl/>
        <w:spacing w:line="360" w:lineRule="auto"/>
        <w:ind w:firstLineChars="200" w:firstLine="480"/>
        <w:rPr>
          <w:rFonts w:eastAsiaTheme="minorEastAsia"/>
          <w:kern w:val="0"/>
          <w:sz w:val="24"/>
        </w:rPr>
      </w:pPr>
      <w:r w:rsidRPr="00F9522B">
        <w:rPr>
          <w:rFonts w:eastAsiaTheme="minorEastAsia"/>
          <w:kern w:val="0"/>
          <w:sz w:val="24"/>
        </w:rPr>
        <w:t>哈尔滨新巨环保科技有限公司于</w:t>
      </w:r>
      <w:r w:rsidRPr="00F9522B">
        <w:rPr>
          <w:rFonts w:eastAsiaTheme="minorEastAsia"/>
          <w:kern w:val="0"/>
          <w:sz w:val="24"/>
        </w:rPr>
        <w:t>202</w:t>
      </w:r>
      <w:r w:rsidR="00347ED3" w:rsidRPr="00F9522B">
        <w:rPr>
          <w:rFonts w:eastAsiaTheme="minorEastAsia"/>
          <w:kern w:val="0"/>
          <w:sz w:val="24"/>
        </w:rPr>
        <w:t>6</w:t>
      </w:r>
      <w:r w:rsidRPr="00F9522B">
        <w:rPr>
          <w:rFonts w:eastAsiaTheme="minorEastAsia"/>
          <w:kern w:val="0"/>
          <w:sz w:val="24"/>
        </w:rPr>
        <w:t>年</w:t>
      </w:r>
      <w:r w:rsidR="00347ED3" w:rsidRPr="00F9522B">
        <w:rPr>
          <w:rFonts w:eastAsiaTheme="minorEastAsia"/>
          <w:kern w:val="0"/>
          <w:sz w:val="24"/>
        </w:rPr>
        <w:t>6</w:t>
      </w:r>
      <w:r w:rsidRPr="00F9522B">
        <w:rPr>
          <w:rFonts w:eastAsiaTheme="minorEastAsia"/>
          <w:kern w:val="0"/>
          <w:sz w:val="24"/>
        </w:rPr>
        <w:t>月</w:t>
      </w:r>
      <w:r w:rsidR="0042314C" w:rsidRPr="00F9522B">
        <w:rPr>
          <w:rFonts w:eastAsiaTheme="minorEastAsia"/>
          <w:kern w:val="0"/>
          <w:sz w:val="24"/>
        </w:rPr>
        <w:t>1</w:t>
      </w:r>
      <w:r w:rsidRPr="00F9522B">
        <w:rPr>
          <w:rFonts w:eastAsiaTheme="minorEastAsia"/>
          <w:kern w:val="0"/>
          <w:sz w:val="24"/>
        </w:rPr>
        <w:t>日对本项目排水沟底泥进行检测，在本项目涉及排水沟清淤工程的</w:t>
      </w:r>
      <w:r w:rsidR="000037AB" w:rsidRPr="00F9522B">
        <w:rPr>
          <w:rFonts w:eastAsiaTheme="minorEastAsia"/>
          <w:kern w:val="0"/>
          <w:sz w:val="24"/>
        </w:rPr>
        <w:t>4</w:t>
      </w:r>
      <w:r w:rsidRPr="00F9522B">
        <w:rPr>
          <w:rFonts w:eastAsiaTheme="minorEastAsia"/>
          <w:kern w:val="0"/>
          <w:sz w:val="24"/>
        </w:rPr>
        <w:t>个乡镇各设置</w:t>
      </w:r>
      <w:r w:rsidRPr="00F9522B">
        <w:rPr>
          <w:rFonts w:eastAsiaTheme="minorEastAsia"/>
          <w:kern w:val="0"/>
          <w:sz w:val="24"/>
        </w:rPr>
        <w:t>1</w:t>
      </w:r>
      <w:r w:rsidRPr="00F9522B">
        <w:rPr>
          <w:rFonts w:eastAsiaTheme="minorEastAsia"/>
          <w:kern w:val="0"/>
          <w:sz w:val="24"/>
        </w:rPr>
        <w:t>个底泥监测点，共</w:t>
      </w:r>
      <w:r w:rsidR="000037AB" w:rsidRPr="00F9522B">
        <w:rPr>
          <w:rFonts w:eastAsiaTheme="minorEastAsia"/>
          <w:kern w:val="0"/>
          <w:sz w:val="24"/>
        </w:rPr>
        <w:t>4</w:t>
      </w:r>
      <w:r w:rsidRPr="00F9522B">
        <w:rPr>
          <w:rFonts w:eastAsiaTheme="minorEastAsia"/>
          <w:kern w:val="0"/>
          <w:sz w:val="24"/>
        </w:rPr>
        <w:t>个监测点。检测项目包括</w:t>
      </w:r>
      <w:r w:rsidRPr="00F9522B">
        <w:rPr>
          <w:rFonts w:eastAsiaTheme="minorEastAsia"/>
          <w:kern w:val="0"/>
          <w:sz w:val="24"/>
        </w:rPr>
        <w:t>pH</w:t>
      </w:r>
      <w:r w:rsidRPr="00F9522B">
        <w:rPr>
          <w:rFonts w:eastAsiaTheme="minorEastAsia"/>
          <w:kern w:val="0"/>
          <w:sz w:val="24"/>
        </w:rPr>
        <w:t>、镉、汞、铅、铬、砷、镍、锌、铜、六六六、滴滴涕、苯并</w:t>
      </w:r>
      <w:r w:rsidRPr="00F9522B">
        <w:rPr>
          <w:rFonts w:eastAsiaTheme="minorEastAsia"/>
          <w:kern w:val="0"/>
          <w:sz w:val="24"/>
        </w:rPr>
        <w:t>[a]</w:t>
      </w:r>
      <w:r w:rsidRPr="00F9522B">
        <w:rPr>
          <w:rFonts w:eastAsiaTheme="minorEastAsia"/>
          <w:kern w:val="0"/>
          <w:sz w:val="24"/>
        </w:rPr>
        <w:t>芘。详细情况见附件</w:t>
      </w:r>
      <w:r w:rsidRPr="00F9522B">
        <w:rPr>
          <w:rFonts w:eastAsiaTheme="minorEastAsia"/>
          <w:kern w:val="0"/>
          <w:sz w:val="24"/>
        </w:rPr>
        <w:t>2</w:t>
      </w:r>
      <w:r w:rsidRPr="00F9522B">
        <w:rPr>
          <w:rFonts w:eastAsiaTheme="minorEastAsia"/>
          <w:kern w:val="0"/>
          <w:sz w:val="24"/>
        </w:rPr>
        <w:t>。</w:t>
      </w:r>
    </w:p>
    <w:p w:rsidR="002A5A5E" w:rsidRPr="00F9522B" w:rsidRDefault="00611CBA">
      <w:pPr>
        <w:widowControl/>
        <w:spacing w:line="360" w:lineRule="auto"/>
        <w:ind w:firstLineChars="200" w:firstLine="480"/>
        <w:rPr>
          <w:rFonts w:eastAsiaTheme="minorEastAsia"/>
          <w:color w:val="FF0000"/>
          <w:kern w:val="0"/>
          <w:sz w:val="24"/>
        </w:rPr>
      </w:pPr>
      <w:r w:rsidRPr="00F9522B">
        <w:rPr>
          <w:rFonts w:eastAsiaTheme="minorEastAsia"/>
          <w:color w:val="FF0000"/>
          <w:kern w:val="0"/>
          <w:sz w:val="24"/>
        </w:rPr>
        <w:t>由于本项目排水沟均用于本项目区域</w:t>
      </w:r>
      <w:r w:rsidR="008F74CE" w:rsidRPr="00F9522B">
        <w:rPr>
          <w:rFonts w:eastAsiaTheme="minorEastAsia"/>
          <w:color w:val="FF0000"/>
          <w:kern w:val="0"/>
          <w:sz w:val="24"/>
        </w:rPr>
        <w:t>现有水田</w:t>
      </w:r>
      <w:r w:rsidRPr="00F9522B">
        <w:rPr>
          <w:rFonts w:eastAsiaTheme="minorEastAsia"/>
          <w:color w:val="FF0000"/>
          <w:kern w:val="0"/>
          <w:sz w:val="24"/>
        </w:rPr>
        <w:t>退水，无工业废水排入，</w:t>
      </w:r>
      <w:r w:rsidR="000037AB" w:rsidRPr="00F9522B">
        <w:rPr>
          <w:rFonts w:eastAsiaTheme="minorEastAsia"/>
          <w:color w:val="FF0000"/>
          <w:kern w:val="0"/>
          <w:sz w:val="24"/>
        </w:rPr>
        <w:t>4</w:t>
      </w:r>
      <w:r w:rsidRPr="00F9522B">
        <w:rPr>
          <w:rFonts w:eastAsiaTheme="minorEastAsia"/>
          <w:color w:val="FF0000"/>
          <w:kern w:val="0"/>
          <w:sz w:val="24"/>
        </w:rPr>
        <w:t>个片区排水沟</w:t>
      </w:r>
      <w:r w:rsidR="008F74CE" w:rsidRPr="00F9522B">
        <w:rPr>
          <w:rFonts w:eastAsiaTheme="minorEastAsia"/>
          <w:color w:val="FF0000"/>
          <w:kern w:val="0"/>
          <w:sz w:val="24"/>
        </w:rPr>
        <w:t>长度平均、</w:t>
      </w:r>
      <w:r w:rsidRPr="00F9522B">
        <w:rPr>
          <w:rFonts w:eastAsiaTheme="minorEastAsia"/>
          <w:color w:val="FF0000"/>
          <w:kern w:val="0"/>
          <w:sz w:val="24"/>
        </w:rPr>
        <w:t>底泥成分相似</w:t>
      </w:r>
      <w:r w:rsidR="008F74CE" w:rsidRPr="00F9522B">
        <w:rPr>
          <w:rFonts w:eastAsiaTheme="minorEastAsia"/>
          <w:color w:val="FF0000"/>
          <w:kern w:val="0"/>
          <w:sz w:val="24"/>
        </w:rPr>
        <w:t>，均无工业废水排入</w:t>
      </w:r>
      <w:r w:rsidRPr="00F9522B">
        <w:rPr>
          <w:rFonts w:eastAsiaTheme="minorEastAsia"/>
          <w:color w:val="FF0000"/>
          <w:kern w:val="0"/>
          <w:sz w:val="24"/>
        </w:rPr>
        <w:t>，故在项目所在</w:t>
      </w:r>
      <w:r w:rsidR="000037AB" w:rsidRPr="00F9522B">
        <w:rPr>
          <w:rFonts w:eastAsiaTheme="minorEastAsia"/>
          <w:color w:val="FF0000"/>
          <w:kern w:val="0"/>
          <w:sz w:val="24"/>
        </w:rPr>
        <w:t>4</w:t>
      </w:r>
      <w:r w:rsidRPr="00F9522B">
        <w:rPr>
          <w:rFonts w:eastAsiaTheme="minorEastAsia"/>
          <w:color w:val="FF0000"/>
          <w:kern w:val="0"/>
          <w:sz w:val="24"/>
        </w:rPr>
        <w:t>个乡镇</w:t>
      </w:r>
      <w:r w:rsidR="008F74CE" w:rsidRPr="00F9522B">
        <w:rPr>
          <w:rFonts w:eastAsiaTheme="minorEastAsia"/>
          <w:color w:val="FF0000"/>
          <w:kern w:val="0"/>
          <w:sz w:val="24"/>
        </w:rPr>
        <w:t>分别选取一条排水沟</w:t>
      </w:r>
      <w:r w:rsidRPr="00F9522B">
        <w:rPr>
          <w:rFonts w:eastAsiaTheme="minorEastAsia"/>
          <w:color w:val="FF0000"/>
          <w:kern w:val="0"/>
          <w:sz w:val="24"/>
        </w:rPr>
        <w:t>各设置</w:t>
      </w:r>
      <w:r w:rsidRPr="00F9522B">
        <w:rPr>
          <w:rFonts w:eastAsiaTheme="minorEastAsia"/>
          <w:color w:val="FF0000"/>
          <w:kern w:val="0"/>
          <w:sz w:val="24"/>
        </w:rPr>
        <w:t>1</w:t>
      </w:r>
      <w:r w:rsidRPr="00F9522B">
        <w:rPr>
          <w:rFonts w:eastAsiaTheme="minorEastAsia"/>
          <w:color w:val="FF0000"/>
          <w:kern w:val="0"/>
          <w:sz w:val="24"/>
        </w:rPr>
        <w:t>个底泥监测点，共</w:t>
      </w:r>
      <w:r w:rsidR="000037AB" w:rsidRPr="00F9522B">
        <w:rPr>
          <w:rFonts w:eastAsiaTheme="minorEastAsia"/>
          <w:color w:val="FF0000"/>
          <w:kern w:val="0"/>
          <w:sz w:val="24"/>
        </w:rPr>
        <w:t>4</w:t>
      </w:r>
      <w:r w:rsidRPr="00F9522B">
        <w:rPr>
          <w:rFonts w:eastAsiaTheme="minorEastAsia"/>
          <w:color w:val="FF0000"/>
          <w:kern w:val="0"/>
          <w:sz w:val="24"/>
        </w:rPr>
        <w:t>个监测点，具有代表性。</w:t>
      </w:r>
    </w:p>
    <w:p w:rsidR="002A5A5E" w:rsidRPr="00F9522B" w:rsidRDefault="003E2690">
      <w:pPr>
        <w:widowControl/>
        <w:adjustRightInd w:val="0"/>
        <w:snapToGrid w:val="0"/>
        <w:spacing w:line="360" w:lineRule="auto"/>
        <w:jc w:val="center"/>
        <w:rPr>
          <w:rFonts w:eastAsiaTheme="minorEastAsia"/>
          <w:kern w:val="10"/>
          <w:sz w:val="24"/>
          <w:szCs w:val="22"/>
        </w:rPr>
      </w:pPr>
      <w:r w:rsidRPr="00F9522B">
        <w:rPr>
          <w:rFonts w:eastAsiaTheme="minorEastAsia"/>
          <w:noProof/>
          <w:kern w:val="10"/>
          <w:sz w:val="24"/>
          <w:szCs w:val="22"/>
        </w:rPr>
        <w:lastRenderedPageBreak/>
        <w:drawing>
          <wp:inline distT="0" distB="0" distL="0" distR="0">
            <wp:extent cx="4856480" cy="3409950"/>
            <wp:effectExtent l="19050" t="19050" r="20320" b="19050"/>
            <wp:docPr id="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6"/>
                    <a:srcRect/>
                    <a:stretch>
                      <a:fillRect/>
                    </a:stretch>
                  </pic:blipFill>
                  <pic:spPr bwMode="auto">
                    <a:xfrm>
                      <a:off x="0" y="0"/>
                      <a:ext cx="4858926" cy="3411667"/>
                    </a:xfrm>
                    <a:prstGeom prst="rect">
                      <a:avLst/>
                    </a:prstGeom>
                    <a:noFill/>
                    <a:ln w="9525">
                      <a:solidFill>
                        <a:schemeClr val="tx1"/>
                      </a:solidFill>
                      <a:miter lim="800000"/>
                      <a:headEnd/>
                      <a:tailEnd/>
                    </a:ln>
                  </pic:spPr>
                </pic:pic>
              </a:graphicData>
            </a:graphic>
          </wp:inline>
        </w:drawing>
      </w:r>
    </w:p>
    <w:p w:rsidR="002A5A5E" w:rsidRPr="00F9522B" w:rsidRDefault="00611CBA">
      <w:pPr>
        <w:contextualSpacing/>
        <w:jc w:val="center"/>
        <w:rPr>
          <w:rFonts w:eastAsiaTheme="minorEastAsia"/>
          <w:b/>
          <w:kern w:val="0"/>
          <w:szCs w:val="21"/>
        </w:rPr>
      </w:pPr>
      <w:r w:rsidRPr="00F9522B">
        <w:rPr>
          <w:rFonts w:eastAsiaTheme="minorEastAsia"/>
          <w:b/>
          <w:kern w:val="0"/>
          <w:szCs w:val="21"/>
        </w:rPr>
        <w:t>图</w:t>
      </w:r>
      <w:r w:rsidRPr="00F9522B">
        <w:rPr>
          <w:rFonts w:eastAsiaTheme="minorEastAsia"/>
          <w:b/>
          <w:kern w:val="0"/>
          <w:szCs w:val="21"/>
        </w:rPr>
        <w:t>3-2-</w:t>
      </w:r>
      <w:r w:rsidR="005C0AF5" w:rsidRPr="00F9522B">
        <w:rPr>
          <w:rFonts w:eastAsiaTheme="minorEastAsia"/>
          <w:b/>
          <w:kern w:val="0"/>
          <w:szCs w:val="21"/>
        </w:rPr>
        <w:t>7</w:t>
      </w:r>
      <w:r w:rsidRPr="00F9522B">
        <w:rPr>
          <w:rFonts w:eastAsiaTheme="minorEastAsia"/>
          <w:b/>
          <w:kern w:val="0"/>
          <w:szCs w:val="21"/>
        </w:rPr>
        <w:t>底泥质量检测点位布设示意图（</w:t>
      </w:r>
      <w:r w:rsidRPr="00F9522B">
        <w:rPr>
          <w:rFonts w:eastAsiaTheme="minorEastAsia"/>
          <w:b/>
          <w:kern w:val="0"/>
          <w:szCs w:val="21"/>
        </w:rPr>
        <w:t>1</w:t>
      </w:r>
      <w:r w:rsidRPr="00F9522B">
        <w:rPr>
          <w:rFonts w:eastAsiaTheme="minorEastAsia"/>
          <w:b/>
          <w:kern w:val="0"/>
          <w:szCs w:val="21"/>
        </w:rPr>
        <w:t>）</w:t>
      </w:r>
    </w:p>
    <w:p w:rsidR="002A5A5E" w:rsidRPr="00F9522B" w:rsidRDefault="003E2690">
      <w:pPr>
        <w:contextualSpacing/>
        <w:jc w:val="center"/>
        <w:rPr>
          <w:rFonts w:eastAsiaTheme="minorEastAsia"/>
          <w:b/>
          <w:kern w:val="0"/>
          <w:szCs w:val="21"/>
        </w:rPr>
      </w:pPr>
      <w:r w:rsidRPr="00F9522B">
        <w:rPr>
          <w:rFonts w:eastAsiaTheme="minorEastAsia"/>
          <w:b/>
          <w:noProof/>
          <w:kern w:val="0"/>
          <w:szCs w:val="21"/>
        </w:rPr>
        <w:drawing>
          <wp:inline distT="0" distB="0" distL="0" distR="0">
            <wp:extent cx="4821555" cy="3657600"/>
            <wp:effectExtent l="19050" t="19050" r="17145" b="19050"/>
            <wp:docPr id="2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7"/>
                    <a:srcRect/>
                    <a:stretch>
                      <a:fillRect/>
                    </a:stretch>
                  </pic:blipFill>
                  <pic:spPr bwMode="auto">
                    <a:xfrm>
                      <a:off x="0" y="0"/>
                      <a:ext cx="4822855" cy="3658586"/>
                    </a:xfrm>
                    <a:prstGeom prst="rect">
                      <a:avLst/>
                    </a:prstGeom>
                    <a:noFill/>
                    <a:ln w="9525">
                      <a:solidFill>
                        <a:schemeClr val="tx1"/>
                      </a:solidFill>
                      <a:miter lim="800000"/>
                      <a:headEnd/>
                      <a:tailEnd/>
                    </a:ln>
                  </pic:spPr>
                </pic:pic>
              </a:graphicData>
            </a:graphic>
          </wp:inline>
        </w:drawing>
      </w:r>
    </w:p>
    <w:p w:rsidR="002A5A5E" w:rsidRPr="00F9522B" w:rsidRDefault="00611CBA">
      <w:pPr>
        <w:contextualSpacing/>
        <w:jc w:val="center"/>
        <w:rPr>
          <w:rFonts w:eastAsiaTheme="minorEastAsia"/>
          <w:b/>
          <w:kern w:val="0"/>
          <w:szCs w:val="21"/>
        </w:rPr>
      </w:pPr>
      <w:r w:rsidRPr="00F9522B">
        <w:rPr>
          <w:rFonts w:eastAsiaTheme="minorEastAsia"/>
          <w:b/>
          <w:kern w:val="0"/>
          <w:szCs w:val="21"/>
        </w:rPr>
        <w:t>图</w:t>
      </w:r>
      <w:r w:rsidRPr="00F9522B">
        <w:rPr>
          <w:rFonts w:eastAsiaTheme="minorEastAsia"/>
          <w:b/>
          <w:kern w:val="0"/>
          <w:szCs w:val="21"/>
        </w:rPr>
        <w:t>3-2-</w:t>
      </w:r>
      <w:r w:rsidR="005C0AF5" w:rsidRPr="00F9522B">
        <w:rPr>
          <w:rFonts w:eastAsiaTheme="minorEastAsia"/>
          <w:b/>
          <w:kern w:val="0"/>
          <w:szCs w:val="21"/>
        </w:rPr>
        <w:t>8</w:t>
      </w:r>
      <w:r w:rsidRPr="00F9522B">
        <w:rPr>
          <w:rFonts w:eastAsiaTheme="minorEastAsia"/>
          <w:b/>
          <w:kern w:val="0"/>
          <w:szCs w:val="21"/>
        </w:rPr>
        <w:t>底泥质量检测点位布设示意图（</w:t>
      </w:r>
      <w:r w:rsidRPr="00F9522B">
        <w:rPr>
          <w:rFonts w:eastAsiaTheme="minorEastAsia"/>
          <w:b/>
          <w:kern w:val="0"/>
          <w:szCs w:val="21"/>
        </w:rPr>
        <w:t>2</w:t>
      </w:r>
      <w:r w:rsidRPr="00F9522B">
        <w:rPr>
          <w:rFonts w:eastAsiaTheme="minorEastAsia"/>
          <w:b/>
          <w:kern w:val="0"/>
          <w:szCs w:val="21"/>
        </w:rPr>
        <w:t>）</w:t>
      </w:r>
    </w:p>
    <w:p w:rsidR="002A5A5E" w:rsidRPr="00F9522B" w:rsidRDefault="002A5A5E">
      <w:pPr>
        <w:contextualSpacing/>
        <w:jc w:val="center"/>
        <w:rPr>
          <w:rFonts w:eastAsiaTheme="minorEastAsia"/>
          <w:b/>
          <w:kern w:val="0"/>
          <w:szCs w:val="21"/>
        </w:rPr>
      </w:pPr>
    </w:p>
    <w:p w:rsidR="002A5A5E" w:rsidRPr="00F9522B" w:rsidRDefault="003E2690">
      <w:pPr>
        <w:contextualSpacing/>
        <w:jc w:val="center"/>
        <w:rPr>
          <w:rFonts w:eastAsiaTheme="minorEastAsia"/>
          <w:b/>
          <w:kern w:val="0"/>
          <w:szCs w:val="21"/>
        </w:rPr>
      </w:pPr>
      <w:r w:rsidRPr="00F9522B">
        <w:rPr>
          <w:rFonts w:eastAsiaTheme="minorEastAsia"/>
          <w:b/>
          <w:noProof/>
          <w:kern w:val="0"/>
          <w:szCs w:val="21"/>
        </w:rPr>
        <w:lastRenderedPageBreak/>
        <w:drawing>
          <wp:inline distT="0" distB="0" distL="0" distR="0">
            <wp:extent cx="4802254" cy="3541431"/>
            <wp:effectExtent l="19050" t="19050" r="17396" b="20919"/>
            <wp:docPr id="3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8"/>
                    <a:srcRect/>
                    <a:stretch>
                      <a:fillRect/>
                    </a:stretch>
                  </pic:blipFill>
                  <pic:spPr bwMode="auto">
                    <a:xfrm>
                      <a:off x="0" y="0"/>
                      <a:ext cx="4803360" cy="3542247"/>
                    </a:xfrm>
                    <a:prstGeom prst="rect">
                      <a:avLst/>
                    </a:prstGeom>
                    <a:noFill/>
                    <a:ln w="9525">
                      <a:solidFill>
                        <a:schemeClr val="tx1"/>
                      </a:solidFill>
                      <a:miter lim="800000"/>
                      <a:headEnd/>
                      <a:tailEnd/>
                    </a:ln>
                  </pic:spPr>
                </pic:pic>
              </a:graphicData>
            </a:graphic>
          </wp:inline>
        </w:drawing>
      </w:r>
    </w:p>
    <w:p w:rsidR="002A5A5E" w:rsidRPr="00F9522B" w:rsidRDefault="00611CBA">
      <w:pPr>
        <w:contextualSpacing/>
        <w:jc w:val="center"/>
        <w:rPr>
          <w:rFonts w:eastAsiaTheme="minorEastAsia"/>
          <w:b/>
          <w:kern w:val="0"/>
          <w:szCs w:val="21"/>
        </w:rPr>
      </w:pPr>
      <w:r w:rsidRPr="00F9522B">
        <w:rPr>
          <w:rFonts w:eastAsiaTheme="minorEastAsia"/>
          <w:b/>
          <w:kern w:val="0"/>
          <w:szCs w:val="21"/>
        </w:rPr>
        <w:t>图</w:t>
      </w:r>
      <w:r w:rsidRPr="00F9522B">
        <w:rPr>
          <w:rFonts w:eastAsiaTheme="minorEastAsia"/>
          <w:b/>
          <w:kern w:val="0"/>
          <w:szCs w:val="21"/>
        </w:rPr>
        <w:t>3-2-</w:t>
      </w:r>
      <w:r w:rsidR="005C0AF5" w:rsidRPr="00F9522B">
        <w:rPr>
          <w:rFonts w:eastAsiaTheme="minorEastAsia"/>
          <w:b/>
          <w:kern w:val="0"/>
          <w:szCs w:val="21"/>
        </w:rPr>
        <w:t>9</w:t>
      </w:r>
      <w:r w:rsidRPr="00F9522B">
        <w:rPr>
          <w:rFonts w:eastAsiaTheme="minorEastAsia"/>
          <w:b/>
          <w:kern w:val="0"/>
          <w:szCs w:val="21"/>
        </w:rPr>
        <w:t>底泥质量检测点位布设示意图（</w:t>
      </w:r>
      <w:r w:rsidRPr="00F9522B">
        <w:rPr>
          <w:rFonts w:eastAsiaTheme="minorEastAsia"/>
          <w:b/>
          <w:kern w:val="0"/>
          <w:szCs w:val="21"/>
        </w:rPr>
        <w:t>3</w:t>
      </w:r>
      <w:r w:rsidRPr="00F9522B">
        <w:rPr>
          <w:rFonts w:eastAsiaTheme="minorEastAsia"/>
          <w:b/>
          <w:kern w:val="0"/>
          <w:szCs w:val="21"/>
        </w:rPr>
        <w:t>）</w:t>
      </w:r>
    </w:p>
    <w:p w:rsidR="002A5A5E" w:rsidRPr="00F9522B" w:rsidRDefault="003E2690">
      <w:pPr>
        <w:contextualSpacing/>
        <w:jc w:val="center"/>
        <w:rPr>
          <w:rFonts w:eastAsiaTheme="minorEastAsia"/>
          <w:b/>
          <w:kern w:val="0"/>
          <w:szCs w:val="21"/>
        </w:rPr>
      </w:pPr>
      <w:r w:rsidRPr="00F9522B">
        <w:rPr>
          <w:rFonts w:eastAsiaTheme="minorEastAsia"/>
          <w:b/>
          <w:noProof/>
          <w:kern w:val="0"/>
          <w:szCs w:val="21"/>
        </w:rPr>
        <w:drawing>
          <wp:inline distT="0" distB="0" distL="0" distR="0">
            <wp:extent cx="4769721" cy="3125485"/>
            <wp:effectExtent l="19050" t="19050" r="11829" b="17765"/>
            <wp:docPr id="4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9"/>
                    <a:srcRect/>
                    <a:stretch>
                      <a:fillRect/>
                    </a:stretch>
                  </pic:blipFill>
                  <pic:spPr bwMode="auto">
                    <a:xfrm>
                      <a:off x="0" y="0"/>
                      <a:ext cx="4784878" cy="3135417"/>
                    </a:xfrm>
                    <a:prstGeom prst="rect">
                      <a:avLst/>
                    </a:prstGeom>
                    <a:noFill/>
                    <a:ln w="9525">
                      <a:solidFill>
                        <a:schemeClr val="tx1"/>
                      </a:solidFill>
                      <a:miter lim="800000"/>
                      <a:headEnd/>
                      <a:tailEnd/>
                    </a:ln>
                  </pic:spPr>
                </pic:pic>
              </a:graphicData>
            </a:graphic>
          </wp:inline>
        </w:drawing>
      </w:r>
    </w:p>
    <w:p w:rsidR="002A5A5E" w:rsidRPr="00F9522B" w:rsidRDefault="00611CBA">
      <w:pPr>
        <w:contextualSpacing/>
        <w:jc w:val="center"/>
        <w:rPr>
          <w:rFonts w:eastAsiaTheme="minorEastAsia"/>
          <w:b/>
          <w:kern w:val="0"/>
          <w:szCs w:val="21"/>
        </w:rPr>
      </w:pPr>
      <w:r w:rsidRPr="00F9522B">
        <w:rPr>
          <w:rFonts w:eastAsiaTheme="minorEastAsia"/>
          <w:b/>
          <w:kern w:val="0"/>
          <w:szCs w:val="21"/>
        </w:rPr>
        <w:t>图</w:t>
      </w:r>
      <w:r w:rsidRPr="00F9522B">
        <w:rPr>
          <w:rFonts w:eastAsiaTheme="minorEastAsia"/>
          <w:b/>
          <w:kern w:val="0"/>
          <w:szCs w:val="21"/>
        </w:rPr>
        <w:t>3-2-</w:t>
      </w:r>
      <w:r w:rsidR="005C0AF5" w:rsidRPr="00F9522B">
        <w:rPr>
          <w:rFonts w:eastAsiaTheme="minorEastAsia"/>
          <w:b/>
          <w:kern w:val="0"/>
          <w:szCs w:val="21"/>
        </w:rPr>
        <w:t>10</w:t>
      </w:r>
      <w:r w:rsidRPr="00F9522B">
        <w:rPr>
          <w:rFonts w:eastAsiaTheme="minorEastAsia"/>
          <w:b/>
          <w:kern w:val="0"/>
          <w:szCs w:val="21"/>
        </w:rPr>
        <w:t>底泥质量检测点位布设示意图（</w:t>
      </w:r>
      <w:r w:rsidRPr="00F9522B">
        <w:rPr>
          <w:rFonts w:eastAsiaTheme="minorEastAsia"/>
          <w:b/>
          <w:kern w:val="0"/>
          <w:szCs w:val="21"/>
        </w:rPr>
        <w:t>4</w:t>
      </w:r>
      <w:r w:rsidRPr="00F9522B">
        <w:rPr>
          <w:rFonts w:eastAsiaTheme="minorEastAsia"/>
          <w:b/>
          <w:kern w:val="0"/>
          <w:szCs w:val="21"/>
        </w:rPr>
        <w:t>）</w:t>
      </w:r>
    </w:p>
    <w:p w:rsidR="003E2690" w:rsidRPr="00F9522B" w:rsidRDefault="003E2690">
      <w:pPr>
        <w:contextualSpacing/>
        <w:jc w:val="center"/>
        <w:rPr>
          <w:rFonts w:eastAsiaTheme="minorEastAsia"/>
          <w:b/>
          <w:kern w:val="0"/>
          <w:szCs w:val="21"/>
        </w:rPr>
      </w:pPr>
    </w:p>
    <w:p w:rsidR="003E2690" w:rsidRPr="00F9522B" w:rsidRDefault="003E2690">
      <w:pPr>
        <w:contextualSpacing/>
        <w:jc w:val="center"/>
        <w:rPr>
          <w:rFonts w:eastAsiaTheme="minorEastAsia"/>
          <w:b/>
          <w:kern w:val="0"/>
          <w:szCs w:val="21"/>
        </w:rPr>
      </w:pPr>
    </w:p>
    <w:p w:rsidR="003E2690" w:rsidRPr="00F9522B" w:rsidRDefault="003E2690">
      <w:pPr>
        <w:contextualSpacing/>
        <w:jc w:val="center"/>
        <w:rPr>
          <w:rFonts w:eastAsiaTheme="minorEastAsia"/>
          <w:b/>
          <w:kern w:val="0"/>
          <w:szCs w:val="21"/>
        </w:rPr>
      </w:pPr>
    </w:p>
    <w:p w:rsidR="003E2690" w:rsidRPr="00F9522B" w:rsidRDefault="003E2690">
      <w:pPr>
        <w:contextualSpacing/>
        <w:jc w:val="center"/>
        <w:rPr>
          <w:rFonts w:eastAsiaTheme="minorEastAsia"/>
          <w:b/>
          <w:kern w:val="0"/>
          <w:szCs w:val="21"/>
        </w:rPr>
      </w:pPr>
    </w:p>
    <w:p w:rsidR="003E2690" w:rsidRPr="00F9522B" w:rsidRDefault="003E2690">
      <w:pPr>
        <w:contextualSpacing/>
        <w:jc w:val="center"/>
        <w:rPr>
          <w:rFonts w:eastAsiaTheme="minorEastAsia"/>
          <w:b/>
          <w:kern w:val="0"/>
          <w:szCs w:val="21"/>
        </w:rPr>
      </w:pPr>
    </w:p>
    <w:p w:rsidR="003E2690" w:rsidRPr="00F9522B" w:rsidRDefault="003E2690">
      <w:pPr>
        <w:contextualSpacing/>
        <w:jc w:val="center"/>
        <w:rPr>
          <w:rFonts w:eastAsiaTheme="minorEastAsia"/>
          <w:b/>
          <w:kern w:val="0"/>
          <w:szCs w:val="21"/>
        </w:rPr>
      </w:pPr>
    </w:p>
    <w:p w:rsidR="003E2690" w:rsidRPr="00F9522B" w:rsidRDefault="003E2690">
      <w:pPr>
        <w:contextualSpacing/>
        <w:jc w:val="center"/>
        <w:rPr>
          <w:rFonts w:eastAsiaTheme="minorEastAsia"/>
          <w:b/>
          <w:kern w:val="0"/>
          <w:szCs w:val="21"/>
        </w:rPr>
      </w:pPr>
    </w:p>
    <w:p w:rsidR="002A5A5E" w:rsidRPr="00F9522B" w:rsidRDefault="00611CBA">
      <w:pPr>
        <w:contextualSpacing/>
        <w:jc w:val="center"/>
        <w:rPr>
          <w:rFonts w:eastAsiaTheme="minorEastAsia"/>
          <w:b/>
          <w:kern w:val="0"/>
          <w:szCs w:val="21"/>
        </w:rPr>
      </w:pPr>
      <w:r w:rsidRPr="00F9522B">
        <w:rPr>
          <w:rFonts w:eastAsiaTheme="minorEastAsia"/>
          <w:b/>
          <w:kern w:val="0"/>
          <w:szCs w:val="21"/>
        </w:rPr>
        <w:lastRenderedPageBreak/>
        <w:t>表</w:t>
      </w:r>
      <w:r w:rsidRPr="00F9522B">
        <w:rPr>
          <w:rFonts w:eastAsiaTheme="minorEastAsia"/>
          <w:b/>
          <w:kern w:val="0"/>
          <w:szCs w:val="21"/>
        </w:rPr>
        <w:t>3-2-1</w:t>
      </w:r>
      <w:r w:rsidRPr="00F9522B">
        <w:rPr>
          <w:rFonts w:eastAsiaTheme="minorEastAsia"/>
          <w:b/>
          <w:kern w:val="0"/>
          <w:szCs w:val="21"/>
        </w:rPr>
        <w:t>底泥检测结果单位：无量纲</w:t>
      </w:r>
    </w:p>
    <w:tbl>
      <w:tblPr>
        <w:tblW w:w="8692" w:type="dxa"/>
        <w:jc w:val="center"/>
        <w:tblBorders>
          <w:top w:val="single" w:sz="12" w:space="0" w:color="000000"/>
          <w:bottom w:val="single" w:sz="12" w:space="0" w:color="000000"/>
          <w:insideH w:val="single" w:sz="4" w:space="0" w:color="000000"/>
          <w:insideV w:val="single" w:sz="4" w:space="0" w:color="000000"/>
        </w:tblBorders>
        <w:tblLayout w:type="fixed"/>
        <w:tblLook w:val="04A0"/>
      </w:tblPr>
      <w:tblGrid>
        <w:gridCol w:w="1553"/>
        <w:gridCol w:w="1560"/>
        <w:gridCol w:w="1397"/>
        <w:gridCol w:w="1397"/>
        <w:gridCol w:w="1397"/>
        <w:gridCol w:w="1388"/>
      </w:tblGrid>
      <w:tr w:rsidR="006E216F" w:rsidRPr="00F9522B" w:rsidTr="006E216F">
        <w:trPr>
          <w:trHeight w:val="397"/>
          <w:jc w:val="center"/>
        </w:trPr>
        <w:tc>
          <w:tcPr>
            <w:tcW w:w="1553" w:type="dxa"/>
            <w:vMerge w:val="restart"/>
            <w:vAlign w:val="center"/>
          </w:tcPr>
          <w:p w:rsidR="006E216F" w:rsidRPr="00F9522B" w:rsidRDefault="006E216F">
            <w:pPr>
              <w:adjustRightInd w:val="0"/>
              <w:snapToGrid w:val="0"/>
              <w:jc w:val="center"/>
              <w:rPr>
                <w:rFonts w:eastAsiaTheme="minorEastAsia"/>
                <w:bCs/>
                <w:szCs w:val="21"/>
              </w:rPr>
            </w:pPr>
            <w:r w:rsidRPr="00F9522B">
              <w:rPr>
                <w:rFonts w:eastAsiaTheme="minorEastAsia"/>
                <w:bCs/>
                <w:szCs w:val="21"/>
              </w:rPr>
              <w:t>检测</w:t>
            </w:r>
          </w:p>
          <w:p w:rsidR="006E216F" w:rsidRPr="00F9522B" w:rsidRDefault="006E216F">
            <w:pPr>
              <w:adjustRightInd w:val="0"/>
              <w:snapToGrid w:val="0"/>
              <w:jc w:val="center"/>
              <w:rPr>
                <w:rFonts w:eastAsiaTheme="minorEastAsia"/>
                <w:bCs/>
                <w:szCs w:val="21"/>
              </w:rPr>
            </w:pPr>
            <w:r w:rsidRPr="00F9522B">
              <w:rPr>
                <w:rFonts w:eastAsiaTheme="minorEastAsia"/>
                <w:bCs/>
                <w:szCs w:val="21"/>
              </w:rPr>
              <w:t>项目</w:t>
            </w:r>
          </w:p>
        </w:tc>
        <w:tc>
          <w:tcPr>
            <w:tcW w:w="1560" w:type="dxa"/>
            <w:tcBorders>
              <w:bottom w:val="single" w:sz="4" w:space="0" w:color="auto"/>
            </w:tcBorders>
            <w:vAlign w:val="center"/>
          </w:tcPr>
          <w:p w:rsidR="006E216F" w:rsidRPr="00F9522B" w:rsidRDefault="006E216F">
            <w:pPr>
              <w:widowControl/>
              <w:jc w:val="center"/>
              <w:rPr>
                <w:rFonts w:eastAsiaTheme="minorEastAsia"/>
                <w:bCs/>
                <w:szCs w:val="21"/>
              </w:rPr>
            </w:pPr>
            <w:r w:rsidRPr="00F9522B">
              <w:rPr>
                <w:rFonts w:eastAsiaTheme="minorEastAsia"/>
                <w:bCs/>
                <w:szCs w:val="21"/>
              </w:rPr>
              <w:t>采样点位</w:t>
            </w:r>
          </w:p>
        </w:tc>
        <w:tc>
          <w:tcPr>
            <w:tcW w:w="1397" w:type="dxa"/>
            <w:tcBorders>
              <w:bottom w:val="single" w:sz="4" w:space="0" w:color="auto"/>
            </w:tcBorders>
            <w:vAlign w:val="center"/>
          </w:tcPr>
          <w:p w:rsidR="006E216F" w:rsidRPr="00F9522B" w:rsidRDefault="006E216F">
            <w:pPr>
              <w:adjustRightInd w:val="0"/>
              <w:snapToGrid w:val="0"/>
              <w:jc w:val="center"/>
              <w:rPr>
                <w:rFonts w:eastAsiaTheme="minorEastAsia"/>
                <w:bCs/>
                <w:szCs w:val="21"/>
              </w:rPr>
            </w:pPr>
            <w:r w:rsidRPr="00F9522B">
              <w:rPr>
                <w:rFonts w:eastAsiaTheme="minorEastAsia"/>
                <w:szCs w:val="21"/>
              </w:rPr>
              <w:t>排水沟</w:t>
            </w:r>
            <w:r w:rsidRPr="00F9522B">
              <w:rPr>
                <w:rFonts w:eastAsiaTheme="minorEastAsia"/>
                <w:szCs w:val="21"/>
              </w:rPr>
              <w:t>■1#</w:t>
            </w:r>
          </w:p>
        </w:tc>
        <w:tc>
          <w:tcPr>
            <w:tcW w:w="1397" w:type="dxa"/>
            <w:vAlign w:val="center"/>
          </w:tcPr>
          <w:p w:rsidR="006E216F" w:rsidRPr="00F9522B" w:rsidRDefault="006E216F">
            <w:pPr>
              <w:adjustRightInd w:val="0"/>
              <w:snapToGrid w:val="0"/>
              <w:jc w:val="center"/>
              <w:rPr>
                <w:rFonts w:eastAsiaTheme="minorEastAsia"/>
                <w:bCs/>
                <w:szCs w:val="21"/>
              </w:rPr>
            </w:pPr>
            <w:r w:rsidRPr="00F9522B">
              <w:rPr>
                <w:rFonts w:eastAsiaTheme="minorEastAsia"/>
                <w:szCs w:val="21"/>
              </w:rPr>
              <w:t>排水沟</w:t>
            </w:r>
            <w:r w:rsidRPr="00F9522B">
              <w:rPr>
                <w:rFonts w:eastAsiaTheme="minorEastAsia"/>
                <w:szCs w:val="21"/>
              </w:rPr>
              <w:t>■2#</w:t>
            </w:r>
          </w:p>
        </w:tc>
        <w:tc>
          <w:tcPr>
            <w:tcW w:w="1397" w:type="dxa"/>
            <w:vAlign w:val="center"/>
          </w:tcPr>
          <w:p w:rsidR="006E216F" w:rsidRPr="00F9522B" w:rsidRDefault="006E216F">
            <w:pPr>
              <w:adjustRightInd w:val="0"/>
              <w:snapToGrid w:val="0"/>
              <w:jc w:val="center"/>
              <w:rPr>
                <w:rFonts w:eastAsiaTheme="minorEastAsia"/>
                <w:bCs/>
                <w:szCs w:val="21"/>
              </w:rPr>
            </w:pPr>
            <w:r w:rsidRPr="00F9522B">
              <w:rPr>
                <w:rFonts w:eastAsiaTheme="minorEastAsia"/>
                <w:szCs w:val="21"/>
              </w:rPr>
              <w:t>排水沟</w:t>
            </w:r>
            <w:r w:rsidRPr="00F9522B">
              <w:rPr>
                <w:rFonts w:eastAsiaTheme="minorEastAsia"/>
                <w:szCs w:val="21"/>
              </w:rPr>
              <w:t>■3#</w:t>
            </w:r>
          </w:p>
        </w:tc>
        <w:tc>
          <w:tcPr>
            <w:tcW w:w="1388" w:type="dxa"/>
            <w:vAlign w:val="center"/>
          </w:tcPr>
          <w:p w:rsidR="006E216F" w:rsidRPr="00F9522B" w:rsidRDefault="006E216F">
            <w:pPr>
              <w:adjustRightInd w:val="0"/>
              <w:snapToGrid w:val="0"/>
              <w:jc w:val="center"/>
              <w:rPr>
                <w:rFonts w:eastAsiaTheme="minorEastAsia"/>
                <w:bCs/>
                <w:szCs w:val="21"/>
              </w:rPr>
            </w:pPr>
            <w:r w:rsidRPr="00F9522B">
              <w:rPr>
                <w:rFonts w:eastAsiaTheme="minorEastAsia"/>
                <w:szCs w:val="21"/>
              </w:rPr>
              <w:t>排水沟</w:t>
            </w:r>
            <w:r w:rsidRPr="00F9522B">
              <w:rPr>
                <w:rFonts w:eastAsiaTheme="minorEastAsia"/>
                <w:szCs w:val="21"/>
              </w:rPr>
              <w:t>■4#</w:t>
            </w:r>
          </w:p>
        </w:tc>
      </w:tr>
      <w:tr w:rsidR="006E216F" w:rsidRPr="00F9522B" w:rsidTr="006E216F">
        <w:trPr>
          <w:trHeight w:val="397"/>
          <w:jc w:val="center"/>
        </w:trPr>
        <w:tc>
          <w:tcPr>
            <w:tcW w:w="1553" w:type="dxa"/>
            <w:vMerge/>
            <w:vAlign w:val="center"/>
          </w:tcPr>
          <w:p w:rsidR="006E216F" w:rsidRPr="00F9522B" w:rsidRDefault="006E216F">
            <w:pPr>
              <w:adjustRightInd w:val="0"/>
              <w:snapToGrid w:val="0"/>
              <w:jc w:val="center"/>
              <w:rPr>
                <w:rFonts w:eastAsiaTheme="minorEastAsia"/>
                <w:bCs/>
                <w:szCs w:val="21"/>
              </w:rPr>
            </w:pPr>
          </w:p>
        </w:tc>
        <w:tc>
          <w:tcPr>
            <w:tcW w:w="1560" w:type="dxa"/>
            <w:tcBorders>
              <w:top w:val="single" w:sz="4" w:space="0" w:color="auto"/>
            </w:tcBorders>
            <w:vAlign w:val="center"/>
          </w:tcPr>
          <w:p w:rsidR="006E216F" w:rsidRPr="00F9522B" w:rsidRDefault="006E216F">
            <w:pPr>
              <w:widowControl/>
              <w:jc w:val="center"/>
              <w:rPr>
                <w:rFonts w:eastAsiaTheme="minorEastAsia"/>
                <w:bCs/>
                <w:szCs w:val="21"/>
              </w:rPr>
            </w:pPr>
            <w:r w:rsidRPr="00F9522B">
              <w:rPr>
                <w:rFonts w:eastAsiaTheme="minorEastAsia"/>
                <w:bCs/>
                <w:szCs w:val="21"/>
              </w:rPr>
              <w:t>样品性状</w:t>
            </w:r>
          </w:p>
        </w:tc>
        <w:tc>
          <w:tcPr>
            <w:tcW w:w="1397" w:type="dxa"/>
            <w:tcBorders>
              <w:top w:val="single" w:sz="4" w:space="0" w:color="auto"/>
            </w:tcBorders>
            <w:vAlign w:val="center"/>
          </w:tcPr>
          <w:p w:rsidR="006E216F" w:rsidRPr="00F9522B" w:rsidRDefault="006E216F">
            <w:pPr>
              <w:adjustRightInd w:val="0"/>
              <w:snapToGrid w:val="0"/>
              <w:jc w:val="center"/>
              <w:rPr>
                <w:rFonts w:eastAsiaTheme="minorEastAsia"/>
                <w:bCs/>
                <w:szCs w:val="21"/>
              </w:rPr>
            </w:pPr>
            <w:r w:rsidRPr="00F9522B">
              <w:rPr>
                <w:rFonts w:eastAsiaTheme="minorEastAsia"/>
                <w:bCs/>
                <w:szCs w:val="21"/>
              </w:rPr>
              <w:t>黄棕</w:t>
            </w:r>
            <w:r w:rsidRPr="00F9522B">
              <w:rPr>
                <w:rFonts w:eastAsiaTheme="minorEastAsia"/>
                <w:bCs/>
                <w:szCs w:val="21"/>
              </w:rPr>
              <w:t xml:space="preserve"> </w:t>
            </w:r>
            <w:r w:rsidRPr="00F9522B">
              <w:rPr>
                <w:rFonts w:eastAsiaTheme="minorEastAsia"/>
                <w:bCs/>
                <w:szCs w:val="21"/>
              </w:rPr>
              <w:t>重潮</w:t>
            </w:r>
            <w:r w:rsidRPr="00F9522B">
              <w:rPr>
                <w:rFonts w:eastAsiaTheme="minorEastAsia"/>
                <w:bCs/>
                <w:szCs w:val="21"/>
              </w:rPr>
              <w:t xml:space="preserve"> </w:t>
            </w:r>
            <w:r w:rsidRPr="00F9522B">
              <w:rPr>
                <w:rFonts w:eastAsiaTheme="minorEastAsia"/>
                <w:bCs/>
                <w:szCs w:val="21"/>
              </w:rPr>
              <w:t>黏土</w:t>
            </w:r>
          </w:p>
        </w:tc>
        <w:tc>
          <w:tcPr>
            <w:tcW w:w="1397" w:type="dxa"/>
            <w:vAlign w:val="center"/>
          </w:tcPr>
          <w:p w:rsidR="006E216F" w:rsidRPr="00F9522B" w:rsidRDefault="006E216F">
            <w:pPr>
              <w:adjustRightInd w:val="0"/>
              <w:snapToGrid w:val="0"/>
              <w:jc w:val="center"/>
              <w:rPr>
                <w:rFonts w:eastAsiaTheme="minorEastAsia"/>
                <w:bCs/>
                <w:szCs w:val="21"/>
              </w:rPr>
            </w:pPr>
            <w:r w:rsidRPr="00F9522B">
              <w:rPr>
                <w:rFonts w:eastAsiaTheme="minorEastAsia"/>
                <w:bCs/>
                <w:szCs w:val="21"/>
              </w:rPr>
              <w:t>黄棕</w:t>
            </w:r>
            <w:r w:rsidRPr="00F9522B">
              <w:rPr>
                <w:rFonts w:eastAsiaTheme="minorEastAsia"/>
                <w:bCs/>
                <w:szCs w:val="21"/>
              </w:rPr>
              <w:t xml:space="preserve"> </w:t>
            </w:r>
            <w:r w:rsidRPr="00F9522B">
              <w:rPr>
                <w:rFonts w:eastAsiaTheme="minorEastAsia"/>
                <w:bCs/>
                <w:szCs w:val="21"/>
              </w:rPr>
              <w:t>重潮</w:t>
            </w:r>
            <w:r w:rsidRPr="00F9522B">
              <w:rPr>
                <w:rFonts w:eastAsiaTheme="minorEastAsia"/>
                <w:bCs/>
                <w:szCs w:val="21"/>
              </w:rPr>
              <w:t xml:space="preserve"> </w:t>
            </w:r>
            <w:r w:rsidRPr="00F9522B">
              <w:rPr>
                <w:rFonts w:eastAsiaTheme="minorEastAsia"/>
                <w:bCs/>
                <w:szCs w:val="21"/>
              </w:rPr>
              <w:t>黏土</w:t>
            </w:r>
          </w:p>
        </w:tc>
        <w:tc>
          <w:tcPr>
            <w:tcW w:w="1397" w:type="dxa"/>
            <w:vAlign w:val="center"/>
          </w:tcPr>
          <w:p w:rsidR="006E216F" w:rsidRPr="00F9522B" w:rsidRDefault="006E216F">
            <w:pPr>
              <w:adjustRightInd w:val="0"/>
              <w:snapToGrid w:val="0"/>
              <w:jc w:val="center"/>
              <w:rPr>
                <w:rFonts w:eastAsiaTheme="minorEastAsia"/>
                <w:bCs/>
                <w:szCs w:val="21"/>
              </w:rPr>
            </w:pPr>
            <w:r w:rsidRPr="00F9522B">
              <w:rPr>
                <w:rFonts w:eastAsiaTheme="minorEastAsia"/>
                <w:bCs/>
                <w:szCs w:val="21"/>
              </w:rPr>
              <w:t>黄棕</w:t>
            </w:r>
            <w:r w:rsidRPr="00F9522B">
              <w:rPr>
                <w:rFonts w:eastAsiaTheme="minorEastAsia"/>
                <w:bCs/>
                <w:szCs w:val="21"/>
              </w:rPr>
              <w:t xml:space="preserve"> </w:t>
            </w:r>
            <w:r w:rsidRPr="00F9522B">
              <w:rPr>
                <w:rFonts w:eastAsiaTheme="minorEastAsia"/>
                <w:bCs/>
                <w:szCs w:val="21"/>
              </w:rPr>
              <w:t>重潮</w:t>
            </w:r>
            <w:r w:rsidRPr="00F9522B">
              <w:rPr>
                <w:rFonts w:eastAsiaTheme="minorEastAsia"/>
                <w:bCs/>
                <w:szCs w:val="21"/>
              </w:rPr>
              <w:t xml:space="preserve"> </w:t>
            </w:r>
            <w:r w:rsidRPr="00F9522B">
              <w:rPr>
                <w:rFonts w:eastAsiaTheme="minorEastAsia"/>
                <w:bCs/>
                <w:szCs w:val="21"/>
              </w:rPr>
              <w:t>黏土</w:t>
            </w:r>
          </w:p>
        </w:tc>
        <w:tc>
          <w:tcPr>
            <w:tcW w:w="1388" w:type="dxa"/>
            <w:vAlign w:val="center"/>
          </w:tcPr>
          <w:p w:rsidR="006E216F" w:rsidRPr="00F9522B" w:rsidRDefault="006E216F">
            <w:pPr>
              <w:adjustRightInd w:val="0"/>
              <w:snapToGrid w:val="0"/>
              <w:jc w:val="center"/>
              <w:rPr>
                <w:rFonts w:eastAsiaTheme="minorEastAsia"/>
                <w:bCs/>
                <w:szCs w:val="21"/>
              </w:rPr>
            </w:pPr>
            <w:r w:rsidRPr="00F9522B">
              <w:rPr>
                <w:rFonts w:eastAsiaTheme="minorEastAsia"/>
                <w:bCs/>
                <w:szCs w:val="21"/>
              </w:rPr>
              <w:t>黑</w:t>
            </w:r>
            <w:r w:rsidRPr="00F9522B">
              <w:rPr>
                <w:rFonts w:eastAsiaTheme="minorEastAsia"/>
                <w:bCs/>
                <w:szCs w:val="21"/>
              </w:rPr>
              <w:t xml:space="preserve"> </w:t>
            </w:r>
            <w:r w:rsidRPr="00F9522B">
              <w:rPr>
                <w:rFonts w:eastAsiaTheme="minorEastAsia"/>
                <w:bCs/>
                <w:szCs w:val="21"/>
              </w:rPr>
              <w:t>重潮</w:t>
            </w:r>
            <w:r w:rsidRPr="00F9522B">
              <w:rPr>
                <w:rFonts w:eastAsiaTheme="minorEastAsia"/>
                <w:bCs/>
                <w:szCs w:val="21"/>
              </w:rPr>
              <w:t xml:space="preserve"> </w:t>
            </w:r>
            <w:r w:rsidRPr="00F9522B">
              <w:rPr>
                <w:rFonts w:eastAsiaTheme="minorEastAsia"/>
                <w:bCs/>
                <w:szCs w:val="21"/>
              </w:rPr>
              <w:t>黏土</w:t>
            </w:r>
          </w:p>
        </w:tc>
      </w:tr>
      <w:tr w:rsidR="006E216F" w:rsidRPr="00F9522B" w:rsidTr="006E216F">
        <w:trPr>
          <w:trHeight w:val="397"/>
          <w:jc w:val="center"/>
        </w:trPr>
        <w:tc>
          <w:tcPr>
            <w:tcW w:w="1553" w:type="dxa"/>
            <w:vMerge/>
            <w:vAlign w:val="center"/>
          </w:tcPr>
          <w:p w:rsidR="006E216F" w:rsidRPr="00F9522B" w:rsidRDefault="006E216F">
            <w:pPr>
              <w:adjustRightInd w:val="0"/>
              <w:snapToGrid w:val="0"/>
              <w:jc w:val="center"/>
              <w:rPr>
                <w:rFonts w:eastAsiaTheme="minorEastAsia"/>
                <w:bCs/>
                <w:szCs w:val="21"/>
              </w:rPr>
            </w:pPr>
          </w:p>
        </w:tc>
        <w:tc>
          <w:tcPr>
            <w:tcW w:w="1560" w:type="dxa"/>
            <w:tcBorders>
              <w:top w:val="single" w:sz="4" w:space="0" w:color="auto"/>
            </w:tcBorders>
            <w:vAlign w:val="center"/>
          </w:tcPr>
          <w:p w:rsidR="006E216F" w:rsidRPr="00F9522B" w:rsidRDefault="006E216F">
            <w:pPr>
              <w:widowControl/>
              <w:jc w:val="center"/>
              <w:rPr>
                <w:rFonts w:eastAsiaTheme="minorEastAsia"/>
                <w:bCs/>
                <w:szCs w:val="21"/>
              </w:rPr>
            </w:pPr>
            <w:r w:rsidRPr="00F9522B">
              <w:rPr>
                <w:rFonts w:eastAsiaTheme="minorEastAsia"/>
                <w:bCs/>
                <w:szCs w:val="21"/>
              </w:rPr>
              <w:t>样品编号</w:t>
            </w:r>
          </w:p>
        </w:tc>
        <w:tc>
          <w:tcPr>
            <w:tcW w:w="1397" w:type="dxa"/>
            <w:tcBorders>
              <w:top w:val="single" w:sz="4" w:space="0" w:color="auto"/>
            </w:tcBorders>
            <w:vAlign w:val="center"/>
          </w:tcPr>
          <w:p w:rsidR="006E216F" w:rsidRPr="00F9522B" w:rsidRDefault="006E216F">
            <w:pPr>
              <w:adjustRightInd w:val="0"/>
              <w:snapToGrid w:val="0"/>
              <w:jc w:val="center"/>
              <w:rPr>
                <w:rFonts w:eastAsiaTheme="minorEastAsia"/>
                <w:bCs/>
                <w:szCs w:val="21"/>
              </w:rPr>
            </w:pPr>
            <w:r w:rsidRPr="00F9522B">
              <w:rPr>
                <w:rFonts w:eastAsiaTheme="minorEastAsia"/>
                <w:bCs/>
                <w:szCs w:val="21"/>
              </w:rPr>
              <w:t>G241225030101</w:t>
            </w:r>
          </w:p>
        </w:tc>
        <w:tc>
          <w:tcPr>
            <w:tcW w:w="1397" w:type="dxa"/>
            <w:vAlign w:val="center"/>
          </w:tcPr>
          <w:p w:rsidR="006E216F" w:rsidRPr="00F9522B" w:rsidRDefault="006E216F">
            <w:pPr>
              <w:adjustRightInd w:val="0"/>
              <w:snapToGrid w:val="0"/>
              <w:jc w:val="center"/>
              <w:rPr>
                <w:rFonts w:eastAsiaTheme="minorEastAsia"/>
                <w:bCs/>
                <w:szCs w:val="21"/>
              </w:rPr>
            </w:pPr>
            <w:r w:rsidRPr="00F9522B">
              <w:rPr>
                <w:rFonts w:eastAsiaTheme="minorEastAsia"/>
                <w:bCs/>
                <w:szCs w:val="21"/>
              </w:rPr>
              <w:t>G241225030201</w:t>
            </w:r>
          </w:p>
        </w:tc>
        <w:tc>
          <w:tcPr>
            <w:tcW w:w="1397" w:type="dxa"/>
            <w:vAlign w:val="center"/>
          </w:tcPr>
          <w:p w:rsidR="006E216F" w:rsidRPr="00F9522B" w:rsidRDefault="006E216F">
            <w:pPr>
              <w:adjustRightInd w:val="0"/>
              <w:snapToGrid w:val="0"/>
              <w:jc w:val="center"/>
              <w:rPr>
                <w:rFonts w:eastAsiaTheme="minorEastAsia"/>
                <w:bCs/>
                <w:szCs w:val="21"/>
              </w:rPr>
            </w:pPr>
            <w:r w:rsidRPr="00F9522B">
              <w:rPr>
                <w:rFonts w:eastAsiaTheme="minorEastAsia"/>
                <w:bCs/>
                <w:szCs w:val="21"/>
              </w:rPr>
              <w:t>G241225030301</w:t>
            </w:r>
          </w:p>
        </w:tc>
        <w:tc>
          <w:tcPr>
            <w:tcW w:w="1388" w:type="dxa"/>
            <w:vAlign w:val="center"/>
          </w:tcPr>
          <w:p w:rsidR="006E216F" w:rsidRPr="00F9522B" w:rsidRDefault="006E216F">
            <w:pPr>
              <w:adjustRightInd w:val="0"/>
              <w:snapToGrid w:val="0"/>
              <w:jc w:val="center"/>
              <w:rPr>
                <w:rFonts w:eastAsiaTheme="minorEastAsia"/>
                <w:bCs/>
                <w:szCs w:val="21"/>
              </w:rPr>
            </w:pPr>
            <w:r w:rsidRPr="00F9522B">
              <w:rPr>
                <w:rFonts w:eastAsiaTheme="minorEastAsia"/>
                <w:bCs/>
                <w:szCs w:val="21"/>
              </w:rPr>
              <w:t>G241225030401</w:t>
            </w:r>
          </w:p>
        </w:tc>
      </w:tr>
      <w:tr w:rsidR="0042314C" w:rsidRPr="00F9522B" w:rsidTr="006E216F">
        <w:trPr>
          <w:trHeight w:val="397"/>
          <w:jc w:val="center"/>
        </w:trPr>
        <w:tc>
          <w:tcPr>
            <w:tcW w:w="1553" w:type="dxa"/>
            <w:vAlign w:val="center"/>
          </w:tcPr>
          <w:p w:rsidR="0042314C" w:rsidRPr="00F9522B" w:rsidRDefault="0042314C">
            <w:pPr>
              <w:adjustRightInd w:val="0"/>
              <w:snapToGrid w:val="0"/>
              <w:jc w:val="center"/>
              <w:rPr>
                <w:rFonts w:eastAsiaTheme="minorEastAsia"/>
                <w:bCs/>
                <w:szCs w:val="21"/>
              </w:rPr>
            </w:pPr>
            <w:r w:rsidRPr="00F9522B">
              <w:rPr>
                <w:rFonts w:eastAsiaTheme="minorEastAsia"/>
                <w:bCs/>
                <w:szCs w:val="21"/>
              </w:rPr>
              <w:t>砷</w:t>
            </w:r>
          </w:p>
        </w:tc>
        <w:tc>
          <w:tcPr>
            <w:tcW w:w="1560" w:type="dxa"/>
            <w:vAlign w:val="center"/>
          </w:tcPr>
          <w:p w:rsidR="0042314C" w:rsidRPr="00F9522B" w:rsidRDefault="0042314C">
            <w:pPr>
              <w:snapToGrid w:val="0"/>
              <w:jc w:val="center"/>
              <w:rPr>
                <w:rFonts w:eastAsiaTheme="minorEastAsia"/>
                <w:bCs/>
                <w:szCs w:val="21"/>
              </w:rPr>
            </w:pPr>
            <w:r w:rsidRPr="00F9522B">
              <w:rPr>
                <w:rFonts w:eastAsiaTheme="minorEastAsia"/>
                <w:szCs w:val="21"/>
              </w:rPr>
              <w:t>mg/kg</w:t>
            </w:r>
          </w:p>
        </w:tc>
        <w:tc>
          <w:tcPr>
            <w:tcW w:w="1397" w:type="dxa"/>
            <w:vAlign w:val="center"/>
          </w:tcPr>
          <w:p w:rsidR="0042314C" w:rsidRPr="00F9522B" w:rsidRDefault="0042314C" w:rsidP="00D302ED">
            <w:pPr>
              <w:adjustRightInd w:val="0"/>
              <w:snapToGrid w:val="0"/>
              <w:jc w:val="center"/>
              <w:rPr>
                <w:bCs/>
              </w:rPr>
            </w:pPr>
            <w:r w:rsidRPr="00F9522B">
              <w:rPr>
                <w:bCs/>
              </w:rPr>
              <w:t>5.26</w:t>
            </w:r>
          </w:p>
        </w:tc>
        <w:tc>
          <w:tcPr>
            <w:tcW w:w="1397" w:type="dxa"/>
            <w:vAlign w:val="center"/>
          </w:tcPr>
          <w:p w:rsidR="0042314C" w:rsidRPr="00F9522B" w:rsidRDefault="0042314C" w:rsidP="00D302ED">
            <w:pPr>
              <w:adjustRightInd w:val="0"/>
              <w:snapToGrid w:val="0"/>
              <w:jc w:val="center"/>
              <w:rPr>
                <w:bCs/>
              </w:rPr>
            </w:pPr>
            <w:r w:rsidRPr="00F9522B">
              <w:rPr>
                <w:bCs/>
              </w:rPr>
              <w:t>4.88</w:t>
            </w:r>
          </w:p>
        </w:tc>
        <w:tc>
          <w:tcPr>
            <w:tcW w:w="1397" w:type="dxa"/>
            <w:vAlign w:val="center"/>
          </w:tcPr>
          <w:p w:rsidR="0042314C" w:rsidRPr="00F9522B" w:rsidRDefault="0042314C" w:rsidP="00D302ED">
            <w:pPr>
              <w:adjustRightInd w:val="0"/>
              <w:snapToGrid w:val="0"/>
              <w:jc w:val="center"/>
              <w:rPr>
                <w:bCs/>
              </w:rPr>
            </w:pPr>
            <w:r w:rsidRPr="00F9522B">
              <w:rPr>
                <w:bCs/>
              </w:rPr>
              <w:t>4.96</w:t>
            </w:r>
          </w:p>
        </w:tc>
        <w:tc>
          <w:tcPr>
            <w:tcW w:w="1388" w:type="dxa"/>
            <w:vAlign w:val="center"/>
          </w:tcPr>
          <w:p w:rsidR="0042314C" w:rsidRPr="00F9522B" w:rsidRDefault="0042314C" w:rsidP="00D302ED">
            <w:pPr>
              <w:adjustRightInd w:val="0"/>
              <w:snapToGrid w:val="0"/>
              <w:jc w:val="center"/>
              <w:rPr>
                <w:bCs/>
              </w:rPr>
            </w:pPr>
            <w:r w:rsidRPr="00F9522B">
              <w:rPr>
                <w:bCs/>
              </w:rPr>
              <w:t>4.65</w:t>
            </w:r>
          </w:p>
        </w:tc>
      </w:tr>
      <w:tr w:rsidR="0042314C" w:rsidRPr="00F9522B" w:rsidTr="006E216F">
        <w:trPr>
          <w:trHeight w:val="397"/>
          <w:jc w:val="center"/>
        </w:trPr>
        <w:tc>
          <w:tcPr>
            <w:tcW w:w="1553" w:type="dxa"/>
            <w:vAlign w:val="center"/>
          </w:tcPr>
          <w:p w:rsidR="0042314C" w:rsidRPr="00F9522B" w:rsidRDefault="0042314C">
            <w:pPr>
              <w:adjustRightInd w:val="0"/>
              <w:snapToGrid w:val="0"/>
              <w:jc w:val="center"/>
              <w:rPr>
                <w:rFonts w:eastAsiaTheme="minorEastAsia"/>
                <w:bCs/>
                <w:szCs w:val="21"/>
              </w:rPr>
            </w:pPr>
            <w:r w:rsidRPr="00F9522B">
              <w:rPr>
                <w:rFonts w:eastAsiaTheme="minorEastAsia"/>
                <w:bCs/>
                <w:szCs w:val="21"/>
              </w:rPr>
              <w:t>镉</w:t>
            </w:r>
          </w:p>
        </w:tc>
        <w:tc>
          <w:tcPr>
            <w:tcW w:w="1560" w:type="dxa"/>
            <w:vAlign w:val="center"/>
          </w:tcPr>
          <w:p w:rsidR="0042314C" w:rsidRPr="00F9522B" w:rsidRDefault="0042314C">
            <w:pPr>
              <w:snapToGrid w:val="0"/>
              <w:jc w:val="center"/>
              <w:rPr>
                <w:rFonts w:eastAsiaTheme="minorEastAsia"/>
                <w:bCs/>
                <w:szCs w:val="21"/>
              </w:rPr>
            </w:pPr>
            <w:r w:rsidRPr="00F9522B">
              <w:rPr>
                <w:rFonts w:eastAsiaTheme="minorEastAsia"/>
                <w:szCs w:val="21"/>
              </w:rPr>
              <w:t>mg/kg</w:t>
            </w:r>
          </w:p>
        </w:tc>
        <w:tc>
          <w:tcPr>
            <w:tcW w:w="1397" w:type="dxa"/>
            <w:vAlign w:val="center"/>
          </w:tcPr>
          <w:p w:rsidR="0042314C" w:rsidRPr="00F9522B" w:rsidRDefault="0042314C" w:rsidP="00D302ED">
            <w:pPr>
              <w:adjustRightInd w:val="0"/>
              <w:snapToGrid w:val="0"/>
              <w:jc w:val="center"/>
              <w:rPr>
                <w:bCs/>
              </w:rPr>
            </w:pPr>
            <w:r w:rsidRPr="00F9522B">
              <w:rPr>
                <w:bCs/>
              </w:rPr>
              <w:t>0.21</w:t>
            </w:r>
          </w:p>
        </w:tc>
        <w:tc>
          <w:tcPr>
            <w:tcW w:w="1397" w:type="dxa"/>
            <w:vAlign w:val="center"/>
          </w:tcPr>
          <w:p w:rsidR="0042314C" w:rsidRPr="00F9522B" w:rsidRDefault="0042314C" w:rsidP="00D302ED">
            <w:pPr>
              <w:adjustRightInd w:val="0"/>
              <w:snapToGrid w:val="0"/>
              <w:jc w:val="center"/>
              <w:rPr>
                <w:bCs/>
              </w:rPr>
            </w:pPr>
            <w:r w:rsidRPr="00F9522B">
              <w:rPr>
                <w:bCs/>
              </w:rPr>
              <w:t>0.18</w:t>
            </w:r>
          </w:p>
        </w:tc>
        <w:tc>
          <w:tcPr>
            <w:tcW w:w="1397" w:type="dxa"/>
            <w:vAlign w:val="center"/>
          </w:tcPr>
          <w:p w:rsidR="0042314C" w:rsidRPr="00F9522B" w:rsidRDefault="0042314C" w:rsidP="00D302ED">
            <w:pPr>
              <w:adjustRightInd w:val="0"/>
              <w:snapToGrid w:val="0"/>
              <w:jc w:val="center"/>
              <w:rPr>
                <w:bCs/>
              </w:rPr>
            </w:pPr>
            <w:r w:rsidRPr="00F9522B">
              <w:rPr>
                <w:bCs/>
              </w:rPr>
              <w:t>0.24</w:t>
            </w:r>
          </w:p>
        </w:tc>
        <w:tc>
          <w:tcPr>
            <w:tcW w:w="1388" w:type="dxa"/>
            <w:vAlign w:val="center"/>
          </w:tcPr>
          <w:p w:rsidR="0042314C" w:rsidRPr="00F9522B" w:rsidRDefault="0042314C" w:rsidP="00D302ED">
            <w:pPr>
              <w:adjustRightInd w:val="0"/>
              <w:snapToGrid w:val="0"/>
              <w:jc w:val="center"/>
              <w:rPr>
                <w:bCs/>
              </w:rPr>
            </w:pPr>
            <w:r w:rsidRPr="00F9522B">
              <w:rPr>
                <w:bCs/>
              </w:rPr>
              <w:t>0.14</w:t>
            </w:r>
          </w:p>
        </w:tc>
      </w:tr>
      <w:tr w:rsidR="0042314C" w:rsidRPr="00F9522B" w:rsidTr="006E216F">
        <w:trPr>
          <w:trHeight w:val="397"/>
          <w:jc w:val="center"/>
        </w:trPr>
        <w:tc>
          <w:tcPr>
            <w:tcW w:w="1553" w:type="dxa"/>
            <w:vAlign w:val="center"/>
          </w:tcPr>
          <w:p w:rsidR="0042314C" w:rsidRPr="00F9522B" w:rsidRDefault="0042314C">
            <w:pPr>
              <w:adjustRightInd w:val="0"/>
              <w:snapToGrid w:val="0"/>
              <w:jc w:val="center"/>
              <w:rPr>
                <w:rFonts w:eastAsiaTheme="minorEastAsia"/>
                <w:bCs/>
                <w:szCs w:val="21"/>
              </w:rPr>
            </w:pPr>
            <w:r w:rsidRPr="00F9522B">
              <w:rPr>
                <w:rFonts w:eastAsiaTheme="minorEastAsia"/>
                <w:bCs/>
                <w:szCs w:val="21"/>
              </w:rPr>
              <w:t>铜</w:t>
            </w:r>
          </w:p>
        </w:tc>
        <w:tc>
          <w:tcPr>
            <w:tcW w:w="1560" w:type="dxa"/>
            <w:vAlign w:val="center"/>
          </w:tcPr>
          <w:p w:rsidR="0042314C" w:rsidRPr="00F9522B" w:rsidRDefault="0042314C">
            <w:pPr>
              <w:snapToGrid w:val="0"/>
              <w:jc w:val="center"/>
              <w:rPr>
                <w:rFonts w:eastAsiaTheme="minorEastAsia"/>
                <w:bCs/>
                <w:szCs w:val="21"/>
              </w:rPr>
            </w:pPr>
            <w:r w:rsidRPr="00F9522B">
              <w:rPr>
                <w:rFonts w:eastAsiaTheme="minorEastAsia"/>
                <w:szCs w:val="21"/>
              </w:rPr>
              <w:t>mg/kg</w:t>
            </w:r>
          </w:p>
        </w:tc>
        <w:tc>
          <w:tcPr>
            <w:tcW w:w="1397" w:type="dxa"/>
            <w:vAlign w:val="center"/>
          </w:tcPr>
          <w:p w:rsidR="0042314C" w:rsidRPr="00F9522B" w:rsidRDefault="0042314C" w:rsidP="00D302ED">
            <w:pPr>
              <w:adjustRightInd w:val="0"/>
              <w:snapToGrid w:val="0"/>
              <w:jc w:val="center"/>
              <w:rPr>
                <w:bCs/>
              </w:rPr>
            </w:pPr>
            <w:r w:rsidRPr="00F9522B">
              <w:rPr>
                <w:bCs/>
              </w:rPr>
              <w:t>24</w:t>
            </w:r>
          </w:p>
        </w:tc>
        <w:tc>
          <w:tcPr>
            <w:tcW w:w="1397" w:type="dxa"/>
            <w:vAlign w:val="center"/>
          </w:tcPr>
          <w:p w:rsidR="0042314C" w:rsidRPr="00F9522B" w:rsidRDefault="0042314C" w:rsidP="00D302ED">
            <w:pPr>
              <w:adjustRightInd w:val="0"/>
              <w:snapToGrid w:val="0"/>
              <w:jc w:val="center"/>
              <w:rPr>
                <w:bCs/>
              </w:rPr>
            </w:pPr>
            <w:r w:rsidRPr="00F9522B">
              <w:rPr>
                <w:bCs/>
              </w:rPr>
              <w:t>27</w:t>
            </w:r>
          </w:p>
        </w:tc>
        <w:tc>
          <w:tcPr>
            <w:tcW w:w="1397" w:type="dxa"/>
            <w:vAlign w:val="center"/>
          </w:tcPr>
          <w:p w:rsidR="0042314C" w:rsidRPr="00F9522B" w:rsidRDefault="0042314C" w:rsidP="00D302ED">
            <w:pPr>
              <w:adjustRightInd w:val="0"/>
              <w:snapToGrid w:val="0"/>
              <w:jc w:val="center"/>
              <w:rPr>
                <w:bCs/>
              </w:rPr>
            </w:pPr>
            <w:r w:rsidRPr="00F9522B">
              <w:rPr>
                <w:bCs/>
              </w:rPr>
              <w:t>21</w:t>
            </w:r>
          </w:p>
        </w:tc>
        <w:tc>
          <w:tcPr>
            <w:tcW w:w="1388" w:type="dxa"/>
            <w:vAlign w:val="center"/>
          </w:tcPr>
          <w:p w:rsidR="0042314C" w:rsidRPr="00F9522B" w:rsidRDefault="0042314C" w:rsidP="00D302ED">
            <w:pPr>
              <w:adjustRightInd w:val="0"/>
              <w:snapToGrid w:val="0"/>
              <w:jc w:val="center"/>
              <w:rPr>
                <w:bCs/>
              </w:rPr>
            </w:pPr>
            <w:r w:rsidRPr="00F9522B">
              <w:rPr>
                <w:bCs/>
              </w:rPr>
              <w:t>29</w:t>
            </w:r>
          </w:p>
        </w:tc>
      </w:tr>
      <w:tr w:rsidR="0042314C" w:rsidRPr="00F9522B" w:rsidTr="006E216F">
        <w:trPr>
          <w:trHeight w:val="397"/>
          <w:jc w:val="center"/>
        </w:trPr>
        <w:tc>
          <w:tcPr>
            <w:tcW w:w="1553" w:type="dxa"/>
            <w:vAlign w:val="center"/>
          </w:tcPr>
          <w:p w:rsidR="0042314C" w:rsidRPr="00F9522B" w:rsidRDefault="0042314C">
            <w:pPr>
              <w:adjustRightInd w:val="0"/>
              <w:snapToGrid w:val="0"/>
              <w:jc w:val="center"/>
              <w:rPr>
                <w:rFonts w:eastAsiaTheme="minorEastAsia"/>
                <w:bCs/>
                <w:szCs w:val="21"/>
              </w:rPr>
            </w:pPr>
            <w:r w:rsidRPr="00F9522B">
              <w:rPr>
                <w:rFonts w:eastAsiaTheme="minorEastAsia"/>
                <w:bCs/>
                <w:szCs w:val="21"/>
              </w:rPr>
              <w:t>铅</w:t>
            </w:r>
          </w:p>
        </w:tc>
        <w:tc>
          <w:tcPr>
            <w:tcW w:w="1560" w:type="dxa"/>
            <w:vAlign w:val="center"/>
          </w:tcPr>
          <w:p w:rsidR="0042314C" w:rsidRPr="00F9522B" w:rsidRDefault="0042314C">
            <w:pPr>
              <w:snapToGrid w:val="0"/>
              <w:jc w:val="center"/>
              <w:rPr>
                <w:rFonts w:eastAsiaTheme="minorEastAsia"/>
                <w:bCs/>
                <w:szCs w:val="21"/>
              </w:rPr>
            </w:pPr>
            <w:r w:rsidRPr="00F9522B">
              <w:rPr>
                <w:rFonts w:eastAsiaTheme="minorEastAsia"/>
                <w:szCs w:val="21"/>
              </w:rPr>
              <w:t>mg/kg</w:t>
            </w:r>
          </w:p>
        </w:tc>
        <w:tc>
          <w:tcPr>
            <w:tcW w:w="1397" w:type="dxa"/>
            <w:vAlign w:val="center"/>
          </w:tcPr>
          <w:p w:rsidR="0042314C" w:rsidRPr="00F9522B" w:rsidRDefault="0042314C" w:rsidP="00D302ED">
            <w:pPr>
              <w:adjustRightInd w:val="0"/>
              <w:snapToGrid w:val="0"/>
              <w:jc w:val="center"/>
              <w:rPr>
                <w:bCs/>
              </w:rPr>
            </w:pPr>
            <w:r w:rsidRPr="00F9522B">
              <w:rPr>
                <w:bCs/>
              </w:rPr>
              <w:t>37</w:t>
            </w:r>
          </w:p>
        </w:tc>
        <w:tc>
          <w:tcPr>
            <w:tcW w:w="1397" w:type="dxa"/>
            <w:vAlign w:val="center"/>
          </w:tcPr>
          <w:p w:rsidR="0042314C" w:rsidRPr="00F9522B" w:rsidRDefault="0042314C" w:rsidP="00D302ED">
            <w:pPr>
              <w:adjustRightInd w:val="0"/>
              <w:snapToGrid w:val="0"/>
              <w:jc w:val="center"/>
              <w:rPr>
                <w:bCs/>
              </w:rPr>
            </w:pPr>
            <w:r w:rsidRPr="00F9522B">
              <w:rPr>
                <w:bCs/>
              </w:rPr>
              <w:t>34</w:t>
            </w:r>
          </w:p>
        </w:tc>
        <w:tc>
          <w:tcPr>
            <w:tcW w:w="1397" w:type="dxa"/>
            <w:vAlign w:val="center"/>
          </w:tcPr>
          <w:p w:rsidR="0042314C" w:rsidRPr="00F9522B" w:rsidRDefault="0042314C" w:rsidP="00D302ED">
            <w:pPr>
              <w:adjustRightInd w:val="0"/>
              <w:snapToGrid w:val="0"/>
              <w:jc w:val="center"/>
              <w:rPr>
                <w:bCs/>
              </w:rPr>
            </w:pPr>
            <w:r w:rsidRPr="00F9522B">
              <w:rPr>
                <w:bCs/>
              </w:rPr>
              <w:t>20</w:t>
            </w:r>
          </w:p>
        </w:tc>
        <w:tc>
          <w:tcPr>
            <w:tcW w:w="1388" w:type="dxa"/>
            <w:vAlign w:val="center"/>
          </w:tcPr>
          <w:p w:rsidR="0042314C" w:rsidRPr="00F9522B" w:rsidRDefault="0042314C" w:rsidP="00D302ED">
            <w:pPr>
              <w:adjustRightInd w:val="0"/>
              <w:snapToGrid w:val="0"/>
              <w:jc w:val="center"/>
              <w:rPr>
                <w:bCs/>
              </w:rPr>
            </w:pPr>
            <w:r w:rsidRPr="00F9522B">
              <w:rPr>
                <w:bCs/>
              </w:rPr>
              <w:t>26</w:t>
            </w:r>
          </w:p>
        </w:tc>
      </w:tr>
      <w:tr w:rsidR="0042314C" w:rsidRPr="00F9522B" w:rsidTr="006E216F">
        <w:trPr>
          <w:trHeight w:val="397"/>
          <w:jc w:val="center"/>
        </w:trPr>
        <w:tc>
          <w:tcPr>
            <w:tcW w:w="1553" w:type="dxa"/>
            <w:vAlign w:val="center"/>
          </w:tcPr>
          <w:p w:rsidR="0042314C" w:rsidRPr="00F9522B" w:rsidRDefault="0042314C">
            <w:pPr>
              <w:adjustRightInd w:val="0"/>
              <w:snapToGrid w:val="0"/>
              <w:jc w:val="center"/>
              <w:rPr>
                <w:rFonts w:eastAsiaTheme="minorEastAsia"/>
                <w:bCs/>
                <w:szCs w:val="21"/>
              </w:rPr>
            </w:pPr>
            <w:r w:rsidRPr="00F9522B">
              <w:rPr>
                <w:rFonts w:eastAsiaTheme="minorEastAsia"/>
                <w:bCs/>
                <w:szCs w:val="21"/>
              </w:rPr>
              <w:t>汞</w:t>
            </w:r>
          </w:p>
        </w:tc>
        <w:tc>
          <w:tcPr>
            <w:tcW w:w="1560" w:type="dxa"/>
            <w:vAlign w:val="center"/>
          </w:tcPr>
          <w:p w:rsidR="0042314C" w:rsidRPr="00F9522B" w:rsidRDefault="0042314C">
            <w:pPr>
              <w:snapToGrid w:val="0"/>
              <w:jc w:val="center"/>
              <w:rPr>
                <w:rFonts w:eastAsiaTheme="minorEastAsia"/>
                <w:bCs/>
                <w:szCs w:val="21"/>
              </w:rPr>
            </w:pPr>
            <w:r w:rsidRPr="00F9522B">
              <w:rPr>
                <w:rFonts w:eastAsiaTheme="minorEastAsia"/>
                <w:szCs w:val="21"/>
              </w:rPr>
              <w:t>mg/kg</w:t>
            </w:r>
          </w:p>
        </w:tc>
        <w:tc>
          <w:tcPr>
            <w:tcW w:w="1397" w:type="dxa"/>
            <w:vAlign w:val="center"/>
          </w:tcPr>
          <w:p w:rsidR="0042314C" w:rsidRPr="00F9522B" w:rsidRDefault="0042314C" w:rsidP="00D302ED">
            <w:pPr>
              <w:adjustRightInd w:val="0"/>
              <w:snapToGrid w:val="0"/>
              <w:jc w:val="center"/>
              <w:rPr>
                <w:bCs/>
              </w:rPr>
            </w:pPr>
            <w:r w:rsidRPr="00F9522B">
              <w:rPr>
                <w:bCs/>
              </w:rPr>
              <w:t>0.0422</w:t>
            </w:r>
          </w:p>
        </w:tc>
        <w:tc>
          <w:tcPr>
            <w:tcW w:w="1397" w:type="dxa"/>
            <w:vAlign w:val="center"/>
          </w:tcPr>
          <w:p w:rsidR="0042314C" w:rsidRPr="00F9522B" w:rsidRDefault="0042314C" w:rsidP="00D302ED">
            <w:pPr>
              <w:adjustRightInd w:val="0"/>
              <w:snapToGrid w:val="0"/>
              <w:jc w:val="center"/>
              <w:rPr>
                <w:bCs/>
              </w:rPr>
            </w:pPr>
            <w:r w:rsidRPr="00F9522B">
              <w:rPr>
                <w:bCs/>
              </w:rPr>
              <w:t>0.0406</w:t>
            </w:r>
          </w:p>
        </w:tc>
        <w:tc>
          <w:tcPr>
            <w:tcW w:w="1397" w:type="dxa"/>
            <w:vAlign w:val="center"/>
          </w:tcPr>
          <w:p w:rsidR="0042314C" w:rsidRPr="00F9522B" w:rsidRDefault="0042314C" w:rsidP="00D302ED">
            <w:pPr>
              <w:adjustRightInd w:val="0"/>
              <w:snapToGrid w:val="0"/>
              <w:jc w:val="center"/>
              <w:rPr>
                <w:bCs/>
              </w:rPr>
            </w:pPr>
            <w:r w:rsidRPr="00F9522B">
              <w:rPr>
                <w:bCs/>
              </w:rPr>
              <w:t>0.0389</w:t>
            </w:r>
          </w:p>
        </w:tc>
        <w:tc>
          <w:tcPr>
            <w:tcW w:w="1388" w:type="dxa"/>
            <w:vAlign w:val="center"/>
          </w:tcPr>
          <w:p w:rsidR="0042314C" w:rsidRPr="00F9522B" w:rsidRDefault="0042314C" w:rsidP="00D302ED">
            <w:pPr>
              <w:adjustRightInd w:val="0"/>
              <w:snapToGrid w:val="0"/>
              <w:jc w:val="center"/>
              <w:rPr>
                <w:bCs/>
              </w:rPr>
            </w:pPr>
            <w:r w:rsidRPr="00F9522B">
              <w:rPr>
                <w:bCs/>
              </w:rPr>
              <w:t>0.0342</w:t>
            </w:r>
          </w:p>
        </w:tc>
      </w:tr>
      <w:tr w:rsidR="0042314C" w:rsidRPr="00F9522B" w:rsidTr="006E216F">
        <w:trPr>
          <w:trHeight w:val="397"/>
          <w:jc w:val="center"/>
        </w:trPr>
        <w:tc>
          <w:tcPr>
            <w:tcW w:w="1553" w:type="dxa"/>
            <w:vAlign w:val="center"/>
          </w:tcPr>
          <w:p w:rsidR="0042314C" w:rsidRPr="00F9522B" w:rsidRDefault="0042314C">
            <w:pPr>
              <w:adjustRightInd w:val="0"/>
              <w:snapToGrid w:val="0"/>
              <w:jc w:val="center"/>
              <w:rPr>
                <w:rFonts w:eastAsiaTheme="minorEastAsia"/>
                <w:bCs/>
                <w:szCs w:val="21"/>
              </w:rPr>
            </w:pPr>
            <w:r w:rsidRPr="00F9522B">
              <w:rPr>
                <w:rFonts w:eastAsiaTheme="minorEastAsia"/>
                <w:bCs/>
                <w:szCs w:val="21"/>
              </w:rPr>
              <w:t>镍</w:t>
            </w:r>
          </w:p>
        </w:tc>
        <w:tc>
          <w:tcPr>
            <w:tcW w:w="1560" w:type="dxa"/>
            <w:vAlign w:val="center"/>
          </w:tcPr>
          <w:p w:rsidR="0042314C" w:rsidRPr="00F9522B" w:rsidRDefault="0042314C">
            <w:pPr>
              <w:snapToGrid w:val="0"/>
              <w:jc w:val="center"/>
              <w:rPr>
                <w:rFonts w:eastAsiaTheme="minorEastAsia"/>
                <w:bCs/>
                <w:szCs w:val="21"/>
              </w:rPr>
            </w:pPr>
            <w:r w:rsidRPr="00F9522B">
              <w:rPr>
                <w:rFonts w:eastAsiaTheme="minorEastAsia"/>
                <w:szCs w:val="21"/>
              </w:rPr>
              <w:t>mg/kg</w:t>
            </w:r>
          </w:p>
        </w:tc>
        <w:tc>
          <w:tcPr>
            <w:tcW w:w="1397" w:type="dxa"/>
            <w:vAlign w:val="center"/>
          </w:tcPr>
          <w:p w:rsidR="0042314C" w:rsidRPr="00F9522B" w:rsidRDefault="0042314C" w:rsidP="00D302ED">
            <w:pPr>
              <w:adjustRightInd w:val="0"/>
              <w:snapToGrid w:val="0"/>
              <w:jc w:val="center"/>
              <w:rPr>
                <w:bCs/>
              </w:rPr>
            </w:pPr>
            <w:r w:rsidRPr="00F9522B">
              <w:rPr>
                <w:bCs/>
              </w:rPr>
              <w:t>40</w:t>
            </w:r>
          </w:p>
        </w:tc>
        <w:tc>
          <w:tcPr>
            <w:tcW w:w="1397" w:type="dxa"/>
            <w:vAlign w:val="center"/>
          </w:tcPr>
          <w:p w:rsidR="0042314C" w:rsidRPr="00F9522B" w:rsidRDefault="0042314C" w:rsidP="00D302ED">
            <w:pPr>
              <w:adjustRightInd w:val="0"/>
              <w:snapToGrid w:val="0"/>
              <w:jc w:val="center"/>
              <w:rPr>
                <w:bCs/>
              </w:rPr>
            </w:pPr>
            <w:r w:rsidRPr="00F9522B">
              <w:rPr>
                <w:bCs/>
              </w:rPr>
              <w:t>44</w:t>
            </w:r>
          </w:p>
        </w:tc>
        <w:tc>
          <w:tcPr>
            <w:tcW w:w="1397" w:type="dxa"/>
            <w:vAlign w:val="center"/>
          </w:tcPr>
          <w:p w:rsidR="0042314C" w:rsidRPr="00F9522B" w:rsidRDefault="0042314C" w:rsidP="00D302ED">
            <w:pPr>
              <w:adjustRightInd w:val="0"/>
              <w:snapToGrid w:val="0"/>
              <w:jc w:val="center"/>
              <w:rPr>
                <w:bCs/>
              </w:rPr>
            </w:pPr>
            <w:r w:rsidRPr="00F9522B">
              <w:rPr>
                <w:bCs/>
              </w:rPr>
              <w:t>38</w:t>
            </w:r>
          </w:p>
        </w:tc>
        <w:tc>
          <w:tcPr>
            <w:tcW w:w="1388" w:type="dxa"/>
            <w:vAlign w:val="center"/>
          </w:tcPr>
          <w:p w:rsidR="0042314C" w:rsidRPr="00F9522B" w:rsidRDefault="0042314C" w:rsidP="00D302ED">
            <w:pPr>
              <w:adjustRightInd w:val="0"/>
              <w:snapToGrid w:val="0"/>
              <w:jc w:val="center"/>
              <w:rPr>
                <w:bCs/>
              </w:rPr>
            </w:pPr>
            <w:r w:rsidRPr="00F9522B">
              <w:rPr>
                <w:bCs/>
              </w:rPr>
              <w:t>42</w:t>
            </w:r>
          </w:p>
        </w:tc>
      </w:tr>
      <w:tr w:rsidR="0042314C" w:rsidRPr="00F9522B" w:rsidTr="006E216F">
        <w:trPr>
          <w:trHeight w:val="397"/>
          <w:jc w:val="center"/>
        </w:trPr>
        <w:tc>
          <w:tcPr>
            <w:tcW w:w="1553" w:type="dxa"/>
            <w:vAlign w:val="center"/>
          </w:tcPr>
          <w:p w:rsidR="0042314C" w:rsidRPr="00F9522B" w:rsidRDefault="0042314C">
            <w:pPr>
              <w:adjustRightInd w:val="0"/>
              <w:snapToGrid w:val="0"/>
              <w:jc w:val="center"/>
              <w:rPr>
                <w:rFonts w:eastAsiaTheme="minorEastAsia"/>
                <w:bCs/>
                <w:szCs w:val="21"/>
              </w:rPr>
            </w:pPr>
            <w:r w:rsidRPr="00F9522B">
              <w:rPr>
                <w:rFonts w:eastAsiaTheme="minorEastAsia"/>
                <w:bCs/>
                <w:szCs w:val="21"/>
              </w:rPr>
              <w:t>锌</w:t>
            </w:r>
          </w:p>
        </w:tc>
        <w:tc>
          <w:tcPr>
            <w:tcW w:w="1560" w:type="dxa"/>
            <w:vAlign w:val="center"/>
          </w:tcPr>
          <w:p w:rsidR="0042314C" w:rsidRPr="00F9522B" w:rsidRDefault="0042314C">
            <w:pPr>
              <w:snapToGrid w:val="0"/>
              <w:jc w:val="center"/>
              <w:rPr>
                <w:rFonts w:eastAsiaTheme="minorEastAsia"/>
                <w:bCs/>
                <w:szCs w:val="21"/>
              </w:rPr>
            </w:pPr>
            <w:r w:rsidRPr="00F9522B">
              <w:rPr>
                <w:rFonts w:eastAsiaTheme="minorEastAsia"/>
                <w:szCs w:val="21"/>
              </w:rPr>
              <w:t>mg/kg</w:t>
            </w:r>
          </w:p>
        </w:tc>
        <w:tc>
          <w:tcPr>
            <w:tcW w:w="1397" w:type="dxa"/>
            <w:vAlign w:val="center"/>
          </w:tcPr>
          <w:p w:rsidR="0042314C" w:rsidRPr="00F9522B" w:rsidRDefault="0042314C" w:rsidP="00D302ED">
            <w:pPr>
              <w:adjustRightInd w:val="0"/>
              <w:snapToGrid w:val="0"/>
              <w:jc w:val="center"/>
              <w:rPr>
                <w:bCs/>
              </w:rPr>
            </w:pPr>
            <w:r w:rsidRPr="00F9522B">
              <w:rPr>
                <w:bCs/>
              </w:rPr>
              <w:t>69</w:t>
            </w:r>
          </w:p>
        </w:tc>
        <w:tc>
          <w:tcPr>
            <w:tcW w:w="1397" w:type="dxa"/>
            <w:vAlign w:val="center"/>
          </w:tcPr>
          <w:p w:rsidR="0042314C" w:rsidRPr="00F9522B" w:rsidRDefault="0042314C" w:rsidP="00D302ED">
            <w:pPr>
              <w:adjustRightInd w:val="0"/>
              <w:snapToGrid w:val="0"/>
              <w:jc w:val="center"/>
              <w:rPr>
                <w:bCs/>
              </w:rPr>
            </w:pPr>
            <w:r w:rsidRPr="00F9522B">
              <w:rPr>
                <w:bCs/>
              </w:rPr>
              <w:t>63</w:t>
            </w:r>
          </w:p>
        </w:tc>
        <w:tc>
          <w:tcPr>
            <w:tcW w:w="1397" w:type="dxa"/>
            <w:vAlign w:val="center"/>
          </w:tcPr>
          <w:p w:rsidR="0042314C" w:rsidRPr="00F9522B" w:rsidRDefault="0042314C" w:rsidP="00D302ED">
            <w:pPr>
              <w:adjustRightInd w:val="0"/>
              <w:snapToGrid w:val="0"/>
              <w:jc w:val="center"/>
              <w:rPr>
                <w:bCs/>
              </w:rPr>
            </w:pPr>
            <w:r w:rsidRPr="00F9522B">
              <w:rPr>
                <w:bCs/>
              </w:rPr>
              <w:t>61</w:t>
            </w:r>
          </w:p>
        </w:tc>
        <w:tc>
          <w:tcPr>
            <w:tcW w:w="1388" w:type="dxa"/>
            <w:vAlign w:val="center"/>
          </w:tcPr>
          <w:p w:rsidR="0042314C" w:rsidRPr="00F9522B" w:rsidRDefault="0042314C" w:rsidP="00D302ED">
            <w:pPr>
              <w:adjustRightInd w:val="0"/>
              <w:snapToGrid w:val="0"/>
              <w:jc w:val="center"/>
              <w:rPr>
                <w:bCs/>
              </w:rPr>
            </w:pPr>
            <w:r w:rsidRPr="00F9522B">
              <w:rPr>
                <w:bCs/>
              </w:rPr>
              <w:t>72</w:t>
            </w:r>
          </w:p>
        </w:tc>
      </w:tr>
      <w:tr w:rsidR="0042314C" w:rsidRPr="00F9522B" w:rsidTr="006E216F">
        <w:trPr>
          <w:trHeight w:val="397"/>
          <w:jc w:val="center"/>
        </w:trPr>
        <w:tc>
          <w:tcPr>
            <w:tcW w:w="1553" w:type="dxa"/>
            <w:vAlign w:val="center"/>
          </w:tcPr>
          <w:p w:rsidR="0042314C" w:rsidRPr="00F9522B" w:rsidRDefault="0042314C">
            <w:pPr>
              <w:adjustRightInd w:val="0"/>
              <w:snapToGrid w:val="0"/>
              <w:jc w:val="center"/>
              <w:rPr>
                <w:rFonts w:eastAsiaTheme="minorEastAsia"/>
                <w:bCs/>
                <w:szCs w:val="21"/>
              </w:rPr>
            </w:pPr>
            <w:r w:rsidRPr="00F9522B">
              <w:rPr>
                <w:rFonts w:eastAsiaTheme="minorEastAsia"/>
                <w:bCs/>
                <w:szCs w:val="21"/>
              </w:rPr>
              <w:t>六六六</w:t>
            </w:r>
          </w:p>
        </w:tc>
        <w:tc>
          <w:tcPr>
            <w:tcW w:w="1560" w:type="dxa"/>
            <w:vAlign w:val="center"/>
          </w:tcPr>
          <w:p w:rsidR="0042314C" w:rsidRPr="00F9522B" w:rsidRDefault="0042314C">
            <w:pPr>
              <w:snapToGrid w:val="0"/>
              <w:jc w:val="center"/>
              <w:rPr>
                <w:rFonts w:eastAsiaTheme="minorEastAsia"/>
                <w:bCs/>
                <w:szCs w:val="21"/>
              </w:rPr>
            </w:pPr>
            <w:r w:rsidRPr="00F9522B">
              <w:rPr>
                <w:rFonts w:eastAsiaTheme="minorEastAsia"/>
                <w:szCs w:val="21"/>
              </w:rPr>
              <w:t>mg/kg</w:t>
            </w:r>
          </w:p>
        </w:tc>
        <w:tc>
          <w:tcPr>
            <w:tcW w:w="1397" w:type="dxa"/>
            <w:vAlign w:val="center"/>
          </w:tcPr>
          <w:p w:rsidR="0042314C" w:rsidRPr="00F9522B" w:rsidRDefault="0042314C" w:rsidP="00D302ED">
            <w:pPr>
              <w:adjustRightInd w:val="0"/>
              <w:snapToGrid w:val="0"/>
              <w:jc w:val="center"/>
              <w:rPr>
                <w:bCs/>
              </w:rPr>
            </w:pPr>
            <w:r w:rsidRPr="00F9522B">
              <w:rPr>
                <w:bCs/>
              </w:rPr>
              <w:t>0.06L</w:t>
            </w:r>
          </w:p>
        </w:tc>
        <w:tc>
          <w:tcPr>
            <w:tcW w:w="1397" w:type="dxa"/>
            <w:vAlign w:val="center"/>
          </w:tcPr>
          <w:p w:rsidR="0042314C" w:rsidRPr="00F9522B" w:rsidRDefault="0042314C" w:rsidP="00D302ED">
            <w:pPr>
              <w:adjustRightInd w:val="0"/>
              <w:snapToGrid w:val="0"/>
              <w:jc w:val="center"/>
              <w:rPr>
                <w:bCs/>
              </w:rPr>
            </w:pPr>
            <w:r w:rsidRPr="00F9522B">
              <w:rPr>
                <w:bCs/>
              </w:rPr>
              <w:t>0.06L</w:t>
            </w:r>
          </w:p>
        </w:tc>
        <w:tc>
          <w:tcPr>
            <w:tcW w:w="1397" w:type="dxa"/>
            <w:vAlign w:val="center"/>
          </w:tcPr>
          <w:p w:rsidR="0042314C" w:rsidRPr="00F9522B" w:rsidRDefault="0042314C" w:rsidP="00D302ED">
            <w:pPr>
              <w:adjustRightInd w:val="0"/>
              <w:snapToGrid w:val="0"/>
              <w:jc w:val="center"/>
              <w:rPr>
                <w:bCs/>
              </w:rPr>
            </w:pPr>
            <w:r w:rsidRPr="00F9522B">
              <w:rPr>
                <w:bCs/>
              </w:rPr>
              <w:t>0.06L</w:t>
            </w:r>
          </w:p>
        </w:tc>
        <w:tc>
          <w:tcPr>
            <w:tcW w:w="1388" w:type="dxa"/>
            <w:vAlign w:val="center"/>
          </w:tcPr>
          <w:p w:rsidR="0042314C" w:rsidRPr="00F9522B" w:rsidRDefault="0042314C" w:rsidP="00D302ED">
            <w:pPr>
              <w:adjustRightInd w:val="0"/>
              <w:snapToGrid w:val="0"/>
              <w:jc w:val="center"/>
              <w:rPr>
                <w:bCs/>
              </w:rPr>
            </w:pPr>
            <w:r w:rsidRPr="00F9522B">
              <w:rPr>
                <w:bCs/>
              </w:rPr>
              <w:t>0.06L</w:t>
            </w:r>
          </w:p>
        </w:tc>
      </w:tr>
      <w:tr w:rsidR="0042314C" w:rsidRPr="00F9522B" w:rsidTr="006E216F">
        <w:trPr>
          <w:trHeight w:val="397"/>
          <w:jc w:val="center"/>
        </w:trPr>
        <w:tc>
          <w:tcPr>
            <w:tcW w:w="1553" w:type="dxa"/>
            <w:vAlign w:val="center"/>
          </w:tcPr>
          <w:p w:rsidR="0042314C" w:rsidRPr="00F9522B" w:rsidRDefault="0042314C">
            <w:pPr>
              <w:adjustRightInd w:val="0"/>
              <w:snapToGrid w:val="0"/>
              <w:jc w:val="center"/>
              <w:rPr>
                <w:rFonts w:eastAsiaTheme="minorEastAsia"/>
                <w:bCs/>
                <w:szCs w:val="21"/>
              </w:rPr>
            </w:pPr>
            <w:r w:rsidRPr="00F9522B">
              <w:rPr>
                <w:rFonts w:eastAsiaTheme="minorEastAsia"/>
                <w:bCs/>
                <w:szCs w:val="21"/>
              </w:rPr>
              <w:t>滴滴涕</w:t>
            </w:r>
          </w:p>
        </w:tc>
        <w:tc>
          <w:tcPr>
            <w:tcW w:w="1560" w:type="dxa"/>
            <w:vAlign w:val="center"/>
          </w:tcPr>
          <w:p w:rsidR="0042314C" w:rsidRPr="00F9522B" w:rsidRDefault="0042314C">
            <w:pPr>
              <w:snapToGrid w:val="0"/>
              <w:jc w:val="center"/>
              <w:rPr>
                <w:rFonts w:eastAsiaTheme="minorEastAsia"/>
                <w:bCs/>
                <w:szCs w:val="21"/>
              </w:rPr>
            </w:pPr>
            <w:r w:rsidRPr="00F9522B">
              <w:rPr>
                <w:rFonts w:eastAsiaTheme="minorEastAsia"/>
                <w:szCs w:val="21"/>
              </w:rPr>
              <w:t>mg/kg</w:t>
            </w:r>
          </w:p>
        </w:tc>
        <w:tc>
          <w:tcPr>
            <w:tcW w:w="1397" w:type="dxa"/>
            <w:vAlign w:val="center"/>
          </w:tcPr>
          <w:p w:rsidR="0042314C" w:rsidRPr="00F9522B" w:rsidRDefault="0042314C" w:rsidP="00D302ED">
            <w:pPr>
              <w:adjustRightInd w:val="0"/>
              <w:snapToGrid w:val="0"/>
              <w:jc w:val="center"/>
              <w:rPr>
                <w:bCs/>
              </w:rPr>
            </w:pPr>
            <w:r w:rsidRPr="00F9522B">
              <w:rPr>
                <w:bCs/>
              </w:rPr>
              <w:t>0.04L</w:t>
            </w:r>
          </w:p>
        </w:tc>
        <w:tc>
          <w:tcPr>
            <w:tcW w:w="1397" w:type="dxa"/>
            <w:vAlign w:val="center"/>
          </w:tcPr>
          <w:p w:rsidR="0042314C" w:rsidRPr="00F9522B" w:rsidRDefault="0042314C" w:rsidP="00D302ED">
            <w:pPr>
              <w:adjustRightInd w:val="0"/>
              <w:snapToGrid w:val="0"/>
              <w:jc w:val="center"/>
              <w:rPr>
                <w:bCs/>
              </w:rPr>
            </w:pPr>
            <w:r w:rsidRPr="00F9522B">
              <w:rPr>
                <w:bCs/>
              </w:rPr>
              <w:t>0.04L</w:t>
            </w:r>
          </w:p>
        </w:tc>
        <w:tc>
          <w:tcPr>
            <w:tcW w:w="1397" w:type="dxa"/>
            <w:vAlign w:val="center"/>
          </w:tcPr>
          <w:p w:rsidR="0042314C" w:rsidRPr="00F9522B" w:rsidRDefault="0042314C" w:rsidP="00D302ED">
            <w:pPr>
              <w:adjustRightInd w:val="0"/>
              <w:snapToGrid w:val="0"/>
              <w:jc w:val="center"/>
              <w:rPr>
                <w:bCs/>
              </w:rPr>
            </w:pPr>
            <w:r w:rsidRPr="00F9522B">
              <w:rPr>
                <w:bCs/>
              </w:rPr>
              <w:t>0.04L</w:t>
            </w:r>
          </w:p>
        </w:tc>
        <w:tc>
          <w:tcPr>
            <w:tcW w:w="1388" w:type="dxa"/>
            <w:vAlign w:val="center"/>
          </w:tcPr>
          <w:p w:rsidR="0042314C" w:rsidRPr="00F9522B" w:rsidRDefault="0042314C" w:rsidP="00D302ED">
            <w:pPr>
              <w:adjustRightInd w:val="0"/>
              <w:snapToGrid w:val="0"/>
              <w:jc w:val="center"/>
              <w:rPr>
                <w:bCs/>
              </w:rPr>
            </w:pPr>
            <w:r w:rsidRPr="00F9522B">
              <w:rPr>
                <w:bCs/>
              </w:rPr>
              <w:t>0.04L</w:t>
            </w:r>
          </w:p>
        </w:tc>
      </w:tr>
      <w:tr w:rsidR="0042314C" w:rsidRPr="00F9522B" w:rsidTr="006E216F">
        <w:trPr>
          <w:trHeight w:val="397"/>
          <w:jc w:val="center"/>
        </w:trPr>
        <w:tc>
          <w:tcPr>
            <w:tcW w:w="1553" w:type="dxa"/>
            <w:vAlign w:val="center"/>
          </w:tcPr>
          <w:p w:rsidR="0042314C" w:rsidRPr="00F9522B" w:rsidRDefault="0042314C">
            <w:pPr>
              <w:jc w:val="center"/>
              <w:rPr>
                <w:rFonts w:eastAsiaTheme="minorEastAsia"/>
                <w:szCs w:val="21"/>
              </w:rPr>
            </w:pPr>
            <w:r w:rsidRPr="00F9522B">
              <w:rPr>
                <w:rFonts w:eastAsiaTheme="minorEastAsia"/>
                <w:szCs w:val="21"/>
              </w:rPr>
              <w:t>苯并</w:t>
            </w:r>
            <w:r w:rsidRPr="00F9522B">
              <w:rPr>
                <w:rFonts w:eastAsiaTheme="minorEastAsia"/>
                <w:szCs w:val="21"/>
              </w:rPr>
              <w:t>[a]</w:t>
            </w:r>
            <w:r w:rsidRPr="00F9522B">
              <w:rPr>
                <w:rFonts w:eastAsiaTheme="minorEastAsia"/>
                <w:szCs w:val="21"/>
              </w:rPr>
              <w:t>芘</w:t>
            </w:r>
          </w:p>
        </w:tc>
        <w:tc>
          <w:tcPr>
            <w:tcW w:w="1560" w:type="dxa"/>
            <w:vAlign w:val="center"/>
          </w:tcPr>
          <w:p w:rsidR="0042314C" w:rsidRPr="00F9522B" w:rsidRDefault="0042314C">
            <w:pPr>
              <w:snapToGrid w:val="0"/>
              <w:jc w:val="center"/>
              <w:rPr>
                <w:rFonts w:eastAsiaTheme="minorEastAsia"/>
                <w:bCs/>
                <w:szCs w:val="21"/>
              </w:rPr>
            </w:pPr>
            <w:r w:rsidRPr="00F9522B">
              <w:rPr>
                <w:rFonts w:eastAsiaTheme="minorEastAsia"/>
                <w:szCs w:val="21"/>
              </w:rPr>
              <w:t>mg/kg</w:t>
            </w:r>
          </w:p>
        </w:tc>
        <w:tc>
          <w:tcPr>
            <w:tcW w:w="1397" w:type="dxa"/>
            <w:vAlign w:val="center"/>
          </w:tcPr>
          <w:p w:rsidR="0042314C" w:rsidRPr="00F9522B" w:rsidRDefault="0042314C" w:rsidP="00D302ED">
            <w:pPr>
              <w:adjustRightInd w:val="0"/>
              <w:snapToGrid w:val="0"/>
              <w:jc w:val="center"/>
              <w:rPr>
                <w:bCs/>
              </w:rPr>
            </w:pPr>
            <w:r w:rsidRPr="00F9522B">
              <w:rPr>
                <w:bCs/>
              </w:rPr>
              <w:t>0.1L</w:t>
            </w:r>
          </w:p>
        </w:tc>
        <w:tc>
          <w:tcPr>
            <w:tcW w:w="1397" w:type="dxa"/>
            <w:vAlign w:val="center"/>
          </w:tcPr>
          <w:p w:rsidR="0042314C" w:rsidRPr="00F9522B" w:rsidRDefault="0042314C" w:rsidP="00D302ED">
            <w:pPr>
              <w:adjustRightInd w:val="0"/>
              <w:snapToGrid w:val="0"/>
              <w:jc w:val="center"/>
              <w:rPr>
                <w:bCs/>
              </w:rPr>
            </w:pPr>
            <w:r w:rsidRPr="00F9522B">
              <w:rPr>
                <w:bCs/>
              </w:rPr>
              <w:t>0.1L</w:t>
            </w:r>
          </w:p>
        </w:tc>
        <w:tc>
          <w:tcPr>
            <w:tcW w:w="1397" w:type="dxa"/>
            <w:vAlign w:val="center"/>
          </w:tcPr>
          <w:p w:rsidR="0042314C" w:rsidRPr="00F9522B" w:rsidRDefault="0042314C" w:rsidP="00D302ED">
            <w:pPr>
              <w:adjustRightInd w:val="0"/>
              <w:snapToGrid w:val="0"/>
              <w:jc w:val="center"/>
              <w:rPr>
                <w:bCs/>
              </w:rPr>
            </w:pPr>
            <w:r w:rsidRPr="00F9522B">
              <w:rPr>
                <w:bCs/>
              </w:rPr>
              <w:t>0.1L</w:t>
            </w:r>
          </w:p>
        </w:tc>
        <w:tc>
          <w:tcPr>
            <w:tcW w:w="1388" w:type="dxa"/>
            <w:vAlign w:val="center"/>
          </w:tcPr>
          <w:p w:rsidR="0042314C" w:rsidRPr="00F9522B" w:rsidRDefault="0042314C" w:rsidP="00D302ED">
            <w:pPr>
              <w:adjustRightInd w:val="0"/>
              <w:snapToGrid w:val="0"/>
              <w:jc w:val="center"/>
              <w:rPr>
                <w:bCs/>
              </w:rPr>
            </w:pPr>
            <w:r w:rsidRPr="00F9522B">
              <w:rPr>
                <w:bCs/>
              </w:rPr>
              <w:t>0.1L</w:t>
            </w:r>
          </w:p>
        </w:tc>
      </w:tr>
      <w:tr w:rsidR="0042314C" w:rsidRPr="00F9522B" w:rsidTr="006E216F">
        <w:trPr>
          <w:trHeight w:val="397"/>
          <w:jc w:val="center"/>
        </w:trPr>
        <w:tc>
          <w:tcPr>
            <w:tcW w:w="1553" w:type="dxa"/>
            <w:vAlign w:val="center"/>
          </w:tcPr>
          <w:p w:rsidR="0042314C" w:rsidRPr="00F9522B" w:rsidRDefault="0042314C">
            <w:pPr>
              <w:adjustRightInd w:val="0"/>
              <w:snapToGrid w:val="0"/>
              <w:jc w:val="center"/>
              <w:rPr>
                <w:rFonts w:eastAsiaTheme="minorEastAsia"/>
                <w:bCs/>
                <w:szCs w:val="21"/>
              </w:rPr>
            </w:pPr>
            <w:r w:rsidRPr="00F9522B">
              <w:rPr>
                <w:rFonts w:eastAsiaTheme="minorEastAsia"/>
                <w:bCs/>
                <w:szCs w:val="21"/>
              </w:rPr>
              <w:t>总铬</w:t>
            </w:r>
          </w:p>
        </w:tc>
        <w:tc>
          <w:tcPr>
            <w:tcW w:w="1560" w:type="dxa"/>
            <w:vAlign w:val="center"/>
          </w:tcPr>
          <w:p w:rsidR="0042314C" w:rsidRPr="00F9522B" w:rsidRDefault="0042314C">
            <w:pPr>
              <w:snapToGrid w:val="0"/>
              <w:jc w:val="center"/>
              <w:rPr>
                <w:rFonts w:eastAsiaTheme="minorEastAsia"/>
                <w:bCs/>
                <w:szCs w:val="21"/>
              </w:rPr>
            </w:pPr>
            <w:r w:rsidRPr="00F9522B">
              <w:rPr>
                <w:rFonts w:eastAsiaTheme="minorEastAsia"/>
                <w:szCs w:val="21"/>
              </w:rPr>
              <w:t>mg/kg</w:t>
            </w:r>
          </w:p>
        </w:tc>
        <w:tc>
          <w:tcPr>
            <w:tcW w:w="1397" w:type="dxa"/>
            <w:vAlign w:val="center"/>
          </w:tcPr>
          <w:p w:rsidR="0042314C" w:rsidRPr="00F9522B" w:rsidRDefault="0042314C" w:rsidP="00D302ED">
            <w:pPr>
              <w:adjustRightInd w:val="0"/>
              <w:snapToGrid w:val="0"/>
              <w:jc w:val="center"/>
              <w:rPr>
                <w:bCs/>
              </w:rPr>
            </w:pPr>
            <w:r w:rsidRPr="00F9522B">
              <w:rPr>
                <w:bCs/>
              </w:rPr>
              <w:t>4L</w:t>
            </w:r>
          </w:p>
        </w:tc>
        <w:tc>
          <w:tcPr>
            <w:tcW w:w="1397" w:type="dxa"/>
            <w:vAlign w:val="center"/>
          </w:tcPr>
          <w:p w:rsidR="0042314C" w:rsidRPr="00F9522B" w:rsidRDefault="0042314C" w:rsidP="00D302ED">
            <w:pPr>
              <w:adjustRightInd w:val="0"/>
              <w:snapToGrid w:val="0"/>
              <w:jc w:val="center"/>
              <w:rPr>
                <w:bCs/>
              </w:rPr>
            </w:pPr>
            <w:r w:rsidRPr="00F9522B">
              <w:rPr>
                <w:bCs/>
              </w:rPr>
              <w:t>4L</w:t>
            </w:r>
          </w:p>
        </w:tc>
        <w:tc>
          <w:tcPr>
            <w:tcW w:w="1397" w:type="dxa"/>
            <w:vAlign w:val="center"/>
          </w:tcPr>
          <w:p w:rsidR="0042314C" w:rsidRPr="00F9522B" w:rsidRDefault="0042314C" w:rsidP="00D302ED">
            <w:pPr>
              <w:adjustRightInd w:val="0"/>
              <w:snapToGrid w:val="0"/>
              <w:jc w:val="center"/>
              <w:rPr>
                <w:bCs/>
              </w:rPr>
            </w:pPr>
            <w:r w:rsidRPr="00F9522B">
              <w:rPr>
                <w:bCs/>
              </w:rPr>
              <w:t>4L</w:t>
            </w:r>
          </w:p>
        </w:tc>
        <w:tc>
          <w:tcPr>
            <w:tcW w:w="1388" w:type="dxa"/>
            <w:vAlign w:val="center"/>
          </w:tcPr>
          <w:p w:rsidR="0042314C" w:rsidRPr="00F9522B" w:rsidRDefault="0042314C" w:rsidP="00D302ED">
            <w:pPr>
              <w:adjustRightInd w:val="0"/>
              <w:snapToGrid w:val="0"/>
              <w:jc w:val="center"/>
              <w:rPr>
                <w:bCs/>
              </w:rPr>
            </w:pPr>
            <w:r w:rsidRPr="00F9522B">
              <w:rPr>
                <w:bCs/>
              </w:rPr>
              <w:t>4L</w:t>
            </w:r>
          </w:p>
        </w:tc>
      </w:tr>
      <w:tr w:rsidR="0042314C" w:rsidRPr="00F9522B" w:rsidTr="006E216F">
        <w:trPr>
          <w:trHeight w:val="397"/>
          <w:jc w:val="center"/>
        </w:trPr>
        <w:tc>
          <w:tcPr>
            <w:tcW w:w="1553" w:type="dxa"/>
            <w:vAlign w:val="center"/>
          </w:tcPr>
          <w:p w:rsidR="0042314C" w:rsidRPr="00F9522B" w:rsidRDefault="0042314C">
            <w:pPr>
              <w:adjustRightInd w:val="0"/>
              <w:snapToGrid w:val="0"/>
              <w:jc w:val="center"/>
              <w:rPr>
                <w:rFonts w:eastAsiaTheme="minorEastAsia"/>
                <w:bCs/>
                <w:szCs w:val="21"/>
              </w:rPr>
            </w:pPr>
            <w:r w:rsidRPr="00F9522B">
              <w:rPr>
                <w:rFonts w:eastAsiaTheme="minorEastAsia"/>
                <w:bCs/>
                <w:szCs w:val="21"/>
              </w:rPr>
              <w:t>pH</w:t>
            </w:r>
          </w:p>
        </w:tc>
        <w:tc>
          <w:tcPr>
            <w:tcW w:w="1560" w:type="dxa"/>
            <w:vAlign w:val="center"/>
          </w:tcPr>
          <w:p w:rsidR="0042314C" w:rsidRPr="00F9522B" w:rsidRDefault="0042314C">
            <w:pPr>
              <w:snapToGrid w:val="0"/>
              <w:jc w:val="center"/>
              <w:rPr>
                <w:rFonts w:eastAsiaTheme="minorEastAsia"/>
                <w:bCs/>
                <w:szCs w:val="21"/>
              </w:rPr>
            </w:pPr>
            <w:r w:rsidRPr="00F9522B">
              <w:rPr>
                <w:rFonts w:eastAsiaTheme="minorEastAsia"/>
                <w:szCs w:val="21"/>
              </w:rPr>
              <w:t>无量纲</w:t>
            </w:r>
          </w:p>
        </w:tc>
        <w:tc>
          <w:tcPr>
            <w:tcW w:w="1397" w:type="dxa"/>
            <w:vAlign w:val="center"/>
          </w:tcPr>
          <w:p w:rsidR="0042314C" w:rsidRPr="00F9522B" w:rsidRDefault="0042314C" w:rsidP="00D302ED">
            <w:pPr>
              <w:adjustRightInd w:val="0"/>
              <w:snapToGrid w:val="0"/>
              <w:jc w:val="center"/>
              <w:rPr>
                <w:bCs/>
              </w:rPr>
            </w:pPr>
            <w:r w:rsidRPr="00F9522B">
              <w:rPr>
                <w:bCs/>
              </w:rPr>
              <w:t>7.23</w:t>
            </w:r>
          </w:p>
        </w:tc>
        <w:tc>
          <w:tcPr>
            <w:tcW w:w="1397" w:type="dxa"/>
            <w:vAlign w:val="center"/>
          </w:tcPr>
          <w:p w:rsidR="0042314C" w:rsidRPr="00F9522B" w:rsidRDefault="0042314C" w:rsidP="00D302ED">
            <w:pPr>
              <w:adjustRightInd w:val="0"/>
              <w:snapToGrid w:val="0"/>
              <w:jc w:val="center"/>
              <w:rPr>
                <w:bCs/>
              </w:rPr>
            </w:pPr>
            <w:r w:rsidRPr="00F9522B">
              <w:rPr>
                <w:bCs/>
              </w:rPr>
              <w:t>7.12</w:t>
            </w:r>
          </w:p>
        </w:tc>
        <w:tc>
          <w:tcPr>
            <w:tcW w:w="1397" w:type="dxa"/>
            <w:vAlign w:val="center"/>
          </w:tcPr>
          <w:p w:rsidR="0042314C" w:rsidRPr="00F9522B" w:rsidRDefault="0042314C" w:rsidP="00D302ED">
            <w:pPr>
              <w:adjustRightInd w:val="0"/>
              <w:snapToGrid w:val="0"/>
              <w:jc w:val="center"/>
              <w:rPr>
                <w:bCs/>
              </w:rPr>
            </w:pPr>
            <w:r w:rsidRPr="00F9522B">
              <w:rPr>
                <w:bCs/>
              </w:rPr>
              <w:t>6.90</w:t>
            </w:r>
          </w:p>
        </w:tc>
        <w:tc>
          <w:tcPr>
            <w:tcW w:w="1388" w:type="dxa"/>
            <w:vAlign w:val="center"/>
          </w:tcPr>
          <w:p w:rsidR="0042314C" w:rsidRPr="00F9522B" w:rsidRDefault="0042314C" w:rsidP="00D302ED">
            <w:pPr>
              <w:adjustRightInd w:val="0"/>
              <w:snapToGrid w:val="0"/>
              <w:jc w:val="center"/>
              <w:rPr>
                <w:bCs/>
              </w:rPr>
            </w:pPr>
            <w:r w:rsidRPr="00F9522B">
              <w:rPr>
                <w:bCs/>
              </w:rPr>
              <w:t>6.89</w:t>
            </w:r>
          </w:p>
        </w:tc>
      </w:tr>
    </w:tbl>
    <w:p w:rsidR="002A5A5E" w:rsidRPr="00F9522B" w:rsidRDefault="00611CBA">
      <w:pPr>
        <w:widowControl/>
        <w:adjustRightInd w:val="0"/>
        <w:snapToGrid w:val="0"/>
        <w:spacing w:line="360" w:lineRule="auto"/>
        <w:jc w:val="left"/>
        <w:rPr>
          <w:rFonts w:eastAsiaTheme="minorEastAsia"/>
          <w:kern w:val="10"/>
          <w:szCs w:val="21"/>
        </w:rPr>
      </w:pPr>
      <w:r w:rsidRPr="00F9522B">
        <w:rPr>
          <w:rFonts w:eastAsiaTheme="minorEastAsia"/>
          <w:kern w:val="10"/>
          <w:szCs w:val="21"/>
        </w:rPr>
        <w:t>注：评价标准源自《土壤环境质量农用地土壤污染风险管控标准（试行）》（</w:t>
      </w:r>
      <w:r w:rsidRPr="00F9522B">
        <w:rPr>
          <w:rFonts w:eastAsiaTheme="minorEastAsia"/>
          <w:kern w:val="10"/>
          <w:szCs w:val="21"/>
        </w:rPr>
        <w:t>GB15618-2018</w:t>
      </w:r>
      <w:r w:rsidRPr="00F9522B">
        <w:rPr>
          <w:rFonts w:eastAsiaTheme="minorEastAsia"/>
          <w:kern w:val="10"/>
          <w:szCs w:val="21"/>
        </w:rPr>
        <w:t>）表</w:t>
      </w:r>
      <w:r w:rsidRPr="00F9522B">
        <w:rPr>
          <w:rFonts w:eastAsiaTheme="minorEastAsia"/>
          <w:kern w:val="10"/>
          <w:szCs w:val="21"/>
        </w:rPr>
        <w:t>1</w:t>
      </w:r>
      <w:r w:rsidR="00EE6E53" w:rsidRPr="00F9522B">
        <w:rPr>
          <w:rFonts w:eastAsiaTheme="minorEastAsia"/>
          <w:kern w:val="10"/>
          <w:szCs w:val="21"/>
        </w:rPr>
        <w:t>、表</w:t>
      </w:r>
      <w:r w:rsidR="00EE6E53" w:rsidRPr="00F9522B">
        <w:rPr>
          <w:rFonts w:eastAsiaTheme="minorEastAsia"/>
          <w:kern w:val="10"/>
          <w:szCs w:val="21"/>
        </w:rPr>
        <w:t>2</w:t>
      </w:r>
      <w:r w:rsidRPr="00F9522B">
        <w:rPr>
          <w:rFonts w:eastAsiaTheme="minorEastAsia"/>
          <w:kern w:val="10"/>
          <w:szCs w:val="21"/>
        </w:rPr>
        <w:t>中</w:t>
      </w:r>
      <w:r w:rsidR="00EE6E53" w:rsidRPr="00F9522B">
        <w:rPr>
          <w:rFonts w:eastAsiaTheme="minorEastAsia"/>
          <w:kern w:val="10"/>
          <w:szCs w:val="21"/>
        </w:rPr>
        <w:t>筛选值</w:t>
      </w:r>
      <w:r w:rsidRPr="00F9522B">
        <w:rPr>
          <w:rFonts w:eastAsiaTheme="minorEastAsia"/>
          <w:kern w:val="10"/>
          <w:szCs w:val="21"/>
        </w:rPr>
        <w:t>。</w:t>
      </w:r>
      <w:r w:rsidR="0042314C" w:rsidRPr="00F9522B">
        <w:rPr>
          <w:kern w:val="10"/>
          <w:szCs w:val="21"/>
        </w:rPr>
        <w:t>L</w:t>
      </w:r>
      <w:r w:rsidR="0042314C" w:rsidRPr="00F9522B">
        <w:rPr>
          <w:kern w:val="10"/>
          <w:szCs w:val="21"/>
        </w:rPr>
        <w:t>为低于检出限</w:t>
      </w:r>
      <w:r w:rsidR="0042314C" w:rsidRPr="00F9522B">
        <w:rPr>
          <w:rFonts w:eastAsiaTheme="minorEastAsia"/>
          <w:kern w:val="10"/>
          <w:szCs w:val="21"/>
        </w:rPr>
        <w:t>。</w:t>
      </w:r>
    </w:p>
    <w:p w:rsidR="002A5A5E" w:rsidRPr="00F9522B" w:rsidRDefault="00611CBA">
      <w:pPr>
        <w:widowControl/>
        <w:adjustRightInd w:val="0"/>
        <w:snapToGrid w:val="0"/>
        <w:spacing w:line="360" w:lineRule="auto"/>
        <w:ind w:firstLineChars="200" w:firstLine="480"/>
        <w:jc w:val="left"/>
        <w:rPr>
          <w:rFonts w:eastAsiaTheme="minorEastAsia"/>
          <w:kern w:val="10"/>
          <w:sz w:val="24"/>
          <w:szCs w:val="22"/>
        </w:rPr>
      </w:pPr>
      <w:r w:rsidRPr="00F9522B">
        <w:rPr>
          <w:rFonts w:eastAsiaTheme="minorEastAsia"/>
          <w:kern w:val="10"/>
          <w:sz w:val="24"/>
          <w:szCs w:val="22"/>
        </w:rPr>
        <w:t>根据表</w:t>
      </w:r>
      <w:r w:rsidRPr="00F9522B">
        <w:rPr>
          <w:rFonts w:eastAsiaTheme="minorEastAsia"/>
          <w:sz w:val="24"/>
        </w:rPr>
        <w:t>3-2-1</w:t>
      </w:r>
      <w:r w:rsidRPr="00F9522B">
        <w:rPr>
          <w:rFonts w:eastAsiaTheme="minorEastAsia"/>
          <w:kern w:val="10"/>
          <w:sz w:val="24"/>
          <w:szCs w:val="22"/>
        </w:rPr>
        <w:t>可知，本项目排水沟底泥检测样品无重金属污染，底泥污染物均满足</w:t>
      </w:r>
      <w:r w:rsidR="00EE6E53" w:rsidRPr="00F9522B">
        <w:rPr>
          <w:rFonts w:eastAsiaTheme="minorEastAsia"/>
          <w:kern w:val="10"/>
          <w:sz w:val="24"/>
          <w:szCs w:val="22"/>
        </w:rPr>
        <w:t>《土壤环境质量农用地土壤污染风险管控标准（试行）》（</w:t>
      </w:r>
      <w:r w:rsidR="00EE6E53" w:rsidRPr="00F9522B">
        <w:rPr>
          <w:rFonts w:eastAsiaTheme="minorEastAsia"/>
          <w:kern w:val="10"/>
          <w:sz w:val="24"/>
          <w:szCs w:val="22"/>
        </w:rPr>
        <w:t>GB15618-2018</w:t>
      </w:r>
      <w:r w:rsidR="00EE6E53" w:rsidRPr="00F9522B">
        <w:rPr>
          <w:rFonts w:eastAsiaTheme="minorEastAsia"/>
          <w:kern w:val="10"/>
          <w:sz w:val="24"/>
          <w:szCs w:val="22"/>
        </w:rPr>
        <w:t>）表</w:t>
      </w:r>
      <w:r w:rsidR="00EE6E53" w:rsidRPr="00F9522B">
        <w:rPr>
          <w:rFonts w:eastAsiaTheme="minorEastAsia"/>
          <w:kern w:val="10"/>
          <w:sz w:val="24"/>
          <w:szCs w:val="22"/>
        </w:rPr>
        <w:t>1</w:t>
      </w:r>
      <w:r w:rsidR="00EE6E53" w:rsidRPr="00F9522B">
        <w:rPr>
          <w:rFonts w:eastAsiaTheme="minorEastAsia"/>
          <w:kern w:val="10"/>
          <w:sz w:val="24"/>
          <w:szCs w:val="22"/>
        </w:rPr>
        <w:t>、表</w:t>
      </w:r>
      <w:r w:rsidR="00EE6E53" w:rsidRPr="00F9522B">
        <w:rPr>
          <w:rFonts w:eastAsiaTheme="minorEastAsia"/>
          <w:kern w:val="10"/>
          <w:sz w:val="24"/>
          <w:szCs w:val="22"/>
        </w:rPr>
        <w:t>2</w:t>
      </w:r>
      <w:r w:rsidR="00EE6E53" w:rsidRPr="00F9522B">
        <w:rPr>
          <w:rFonts w:eastAsiaTheme="minorEastAsia"/>
          <w:kern w:val="10"/>
          <w:sz w:val="24"/>
          <w:szCs w:val="22"/>
        </w:rPr>
        <w:t>中筛选值</w:t>
      </w:r>
      <w:r w:rsidRPr="00F9522B">
        <w:rPr>
          <w:rFonts w:eastAsiaTheme="minorEastAsia"/>
          <w:kern w:val="10"/>
          <w:sz w:val="24"/>
          <w:szCs w:val="22"/>
        </w:rPr>
        <w:t>。</w:t>
      </w:r>
    </w:p>
    <w:p w:rsidR="002A5A5E" w:rsidRPr="00F9522B" w:rsidRDefault="00611CBA">
      <w:pPr>
        <w:keepNext/>
        <w:keepLines/>
        <w:spacing w:before="100" w:beforeAutospacing="1" w:after="100" w:afterAutospacing="1"/>
        <w:outlineLvl w:val="2"/>
        <w:rPr>
          <w:rFonts w:eastAsiaTheme="minorEastAsia"/>
          <w:b/>
          <w:sz w:val="28"/>
          <w:szCs w:val="28"/>
        </w:rPr>
      </w:pPr>
      <w:r w:rsidRPr="00F9522B">
        <w:rPr>
          <w:rFonts w:eastAsiaTheme="minorEastAsia"/>
          <w:b/>
          <w:sz w:val="28"/>
          <w:szCs w:val="28"/>
        </w:rPr>
        <w:t>3.2.2</w:t>
      </w:r>
      <w:r w:rsidRPr="00F9522B">
        <w:rPr>
          <w:rFonts w:eastAsiaTheme="minorEastAsia"/>
          <w:b/>
          <w:sz w:val="28"/>
          <w:szCs w:val="28"/>
        </w:rPr>
        <w:t>运营期影响因素分析</w:t>
      </w:r>
    </w:p>
    <w:p w:rsidR="002A5A5E" w:rsidRPr="00F9522B" w:rsidRDefault="00611CBA">
      <w:pPr>
        <w:autoSpaceDE w:val="0"/>
        <w:autoSpaceDN w:val="0"/>
        <w:spacing w:before="100" w:beforeAutospacing="1" w:after="100" w:afterAutospacing="1"/>
        <w:outlineLvl w:val="3"/>
        <w:rPr>
          <w:rFonts w:eastAsiaTheme="minorEastAsia"/>
          <w:b/>
          <w:sz w:val="24"/>
        </w:rPr>
      </w:pPr>
      <w:r w:rsidRPr="00F9522B">
        <w:rPr>
          <w:rFonts w:eastAsiaTheme="minorEastAsia"/>
          <w:b/>
          <w:sz w:val="24"/>
        </w:rPr>
        <w:t>3.2.1.1</w:t>
      </w:r>
      <w:r w:rsidRPr="00F9522B">
        <w:rPr>
          <w:rFonts w:eastAsiaTheme="minorEastAsia"/>
          <w:b/>
          <w:sz w:val="24"/>
        </w:rPr>
        <w:t>灌溉井工艺流程及产污环节分析</w:t>
      </w:r>
    </w:p>
    <w:p w:rsidR="002A5A5E" w:rsidRPr="00F9522B" w:rsidRDefault="005273A1" w:rsidP="003E2690">
      <w:pPr>
        <w:spacing w:line="360" w:lineRule="auto"/>
        <w:ind w:firstLineChars="200" w:firstLine="420"/>
        <w:rPr>
          <w:rFonts w:eastAsiaTheme="minorEastAsia"/>
          <w:b/>
          <w:sz w:val="24"/>
          <w:szCs w:val="20"/>
        </w:rPr>
      </w:pPr>
      <w:r w:rsidRPr="005273A1">
        <w:rPr>
          <w:rFonts w:eastAsiaTheme="minorEastAsia"/>
        </w:rPr>
        <w:pict>
          <v:line id="_x0000_s696705" style="position:absolute;left:0;text-align:left;rotation:180;z-index:251699200" from="149pt,21.55pt" to="149.05pt,44.95pt">
            <v:stroke dashstyle="dash" endarrow="block"/>
          </v:line>
        </w:pict>
      </w:r>
      <w:r w:rsidRPr="005273A1">
        <w:rPr>
          <w:rFonts w:eastAsiaTheme="minorEastAsia"/>
        </w:rPr>
        <w:pict>
          <v:shape id="_x0000_s696708" type="#_x0000_t202" style="position:absolute;left:0;text-align:left;margin-left:122.5pt;margin-top:4.75pt;width:54.6pt;height:23.4pt;z-index:251702272" filled="f" stroked="f">
            <v:textbox>
              <w:txbxContent>
                <w:p w:rsidR="000D2D13" w:rsidRDefault="000D2D13">
                  <w:pPr>
                    <w:jc w:val="center"/>
                    <w:rPr>
                      <w:rFonts w:ascii="宋体" w:hAnsi="宋体" w:cs="宋体"/>
                    </w:rPr>
                  </w:pPr>
                  <w:r>
                    <w:rPr>
                      <w:rFonts w:ascii="宋体" w:hAnsi="宋体" w:cs="宋体" w:hint="eastAsia"/>
                      <w:szCs w:val="20"/>
                    </w:rPr>
                    <w:t>噪声</w:t>
                  </w:r>
                </w:p>
              </w:txbxContent>
            </v:textbox>
          </v:shape>
        </w:pict>
      </w:r>
      <w:r w:rsidRPr="005273A1">
        <w:rPr>
          <w:rFonts w:eastAsiaTheme="minorEastAsia"/>
        </w:rPr>
        <w:pict>
          <v:shape id="_x0000_s696706" type="#_x0000_t202" style="position:absolute;left:0;text-align:left;margin-left:218.95pt;margin-top:6.45pt;width:54.6pt;height:23.4pt;z-index:251700224" filled="f" stroked="f">
            <v:textbox>
              <w:txbxContent>
                <w:p w:rsidR="000D2D13" w:rsidRDefault="000D2D13">
                  <w:pPr>
                    <w:jc w:val="center"/>
                    <w:rPr>
                      <w:rFonts w:ascii="宋体" w:hAnsi="宋体" w:cs="宋体"/>
                    </w:rPr>
                  </w:pPr>
                  <w:r>
                    <w:rPr>
                      <w:rFonts w:ascii="宋体" w:hAnsi="宋体" w:cs="宋体" w:hint="eastAsia"/>
                      <w:szCs w:val="20"/>
                    </w:rPr>
                    <w:t>噪声</w:t>
                  </w:r>
                </w:p>
              </w:txbxContent>
            </v:textbox>
          </v:shape>
        </w:pict>
      </w:r>
    </w:p>
    <w:p w:rsidR="002A5A5E" w:rsidRPr="00F9522B" w:rsidRDefault="005273A1">
      <w:pPr>
        <w:spacing w:line="500" w:lineRule="exact"/>
        <w:rPr>
          <w:rFonts w:eastAsiaTheme="minorEastAsia"/>
          <w:b/>
          <w:sz w:val="24"/>
          <w:szCs w:val="20"/>
        </w:rPr>
      </w:pPr>
      <w:r w:rsidRPr="005273A1">
        <w:rPr>
          <w:rFonts w:eastAsiaTheme="minorEastAsia"/>
          <w:b/>
          <w:sz w:val="24"/>
        </w:rPr>
        <w:pict>
          <v:shape id="_x0000_s696714" type="#_x0000_t202" style="position:absolute;left:0;text-align:left;margin-left:108.4pt;margin-top:22.2pt;width:82.7pt;height:23.4pt;z-index:251703296" filled="f">
            <v:textbox>
              <w:txbxContent>
                <w:p w:rsidR="000D2D13" w:rsidRDefault="000D2D13">
                  <w:pPr>
                    <w:jc w:val="center"/>
                    <w:rPr>
                      <w:rFonts w:ascii="宋体" w:hAnsi="宋体" w:cs="宋体"/>
                    </w:rPr>
                  </w:pPr>
                  <w:r>
                    <w:rPr>
                      <w:rFonts w:ascii="宋体" w:hAnsi="宋体" w:cs="宋体" w:hint="eastAsia"/>
                      <w:szCs w:val="20"/>
                    </w:rPr>
                    <w:t>水井（水泵）</w:t>
                  </w:r>
                </w:p>
              </w:txbxContent>
            </v:textbox>
          </v:shape>
        </w:pict>
      </w:r>
      <w:r w:rsidRPr="005273A1">
        <w:rPr>
          <w:rFonts w:eastAsiaTheme="minorEastAsia"/>
        </w:rPr>
        <w:pict>
          <v:shape id="_x0000_s696694" type="#_x0000_t202" style="position:absolute;left:0;text-align:left;margin-left:304.65pt;margin-top:23.35pt;width:49.15pt;height:23.4pt;z-index:251696128" filled="f">
            <v:textbox>
              <w:txbxContent>
                <w:p w:rsidR="000D2D13" w:rsidRDefault="000D2D13">
                  <w:pPr>
                    <w:jc w:val="center"/>
                    <w:rPr>
                      <w:rFonts w:ascii="宋体" w:hAnsi="宋体" w:cs="宋体"/>
                    </w:rPr>
                  </w:pPr>
                  <w:r>
                    <w:rPr>
                      <w:rFonts w:ascii="宋体" w:hAnsi="宋体" w:cs="宋体" w:hint="eastAsia"/>
                      <w:szCs w:val="20"/>
                    </w:rPr>
                    <w:t>农田</w:t>
                  </w:r>
                </w:p>
              </w:txbxContent>
            </v:textbox>
          </v:shape>
        </w:pict>
      </w:r>
      <w:r w:rsidRPr="005273A1">
        <w:rPr>
          <w:rFonts w:eastAsiaTheme="minorEastAsia"/>
        </w:rPr>
        <w:pict>
          <v:line id="_x0000_s696707" style="position:absolute;left:0;text-align:left;rotation:180;z-index:251701248" from="245.85pt,-.35pt" to="245.9pt,23.05pt">
            <v:stroke dashstyle="dash" endarrow="block"/>
          </v:line>
        </w:pict>
      </w:r>
      <w:r w:rsidRPr="005273A1">
        <w:rPr>
          <w:rFonts w:eastAsiaTheme="minorEastAsia"/>
        </w:rPr>
        <w:pict>
          <v:shape id="_x0000_s696693" type="#_x0000_t202" style="position:absolute;left:0;text-align:left;margin-left:218.4pt;margin-top:23.35pt;width:60.25pt;height:23.4pt;z-index:251695104" filled="f">
            <v:textbox>
              <w:txbxContent>
                <w:p w:rsidR="000D2D13" w:rsidRDefault="000D2D13">
                  <w:pPr>
                    <w:jc w:val="center"/>
                    <w:rPr>
                      <w:rFonts w:ascii="宋体" w:hAnsi="宋体" w:cs="宋体"/>
                    </w:rPr>
                  </w:pPr>
                  <w:r>
                    <w:rPr>
                      <w:rFonts w:ascii="宋体" w:hAnsi="宋体" w:cs="宋体"/>
                      <w:szCs w:val="20"/>
                    </w:rPr>
                    <w:t>滴灌带</w:t>
                  </w:r>
                  <w:r>
                    <w:rPr>
                      <w:rFonts w:ascii="宋体" w:hAnsi="宋体" w:cs="宋体" w:hint="eastAsia"/>
                      <w:szCs w:val="20"/>
                    </w:rPr>
                    <w:t>等</w:t>
                  </w:r>
                </w:p>
              </w:txbxContent>
            </v:textbox>
          </v:shape>
        </w:pict>
      </w:r>
    </w:p>
    <w:p w:rsidR="002A5A5E" w:rsidRPr="00F9522B" w:rsidRDefault="005273A1">
      <w:pPr>
        <w:contextualSpacing/>
        <w:jc w:val="center"/>
        <w:rPr>
          <w:rFonts w:eastAsiaTheme="minorEastAsia"/>
          <w:b/>
          <w:kern w:val="0"/>
          <w:szCs w:val="21"/>
        </w:rPr>
      </w:pPr>
      <w:r>
        <w:rPr>
          <w:rFonts w:eastAsiaTheme="minorEastAsia"/>
          <w:b/>
          <w:kern w:val="0"/>
          <w:szCs w:val="21"/>
        </w:rPr>
        <w:pict>
          <v:line id="_x0000_s696698" style="position:absolute;left:0;text-align:left;z-index:251698176" from="279.45pt,9.95pt" to="304.95pt,9.95pt">
            <v:stroke endarrow="block"/>
          </v:line>
        </w:pict>
      </w:r>
      <w:r>
        <w:rPr>
          <w:rFonts w:eastAsiaTheme="minorEastAsia"/>
          <w:b/>
          <w:kern w:val="0"/>
          <w:szCs w:val="21"/>
        </w:rPr>
        <w:pict>
          <v:line id="_x0000_s696697" style="position:absolute;left:0;text-align:left;z-index:251697152" from="192.9pt,9.95pt" to="218.4pt,9.95pt">
            <v:stroke endarrow="block"/>
          </v:line>
        </w:pict>
      </w:r>
    </w:p>
    <w:p w:rsidR="002A5A5E" w:rsidRPr="00F9522B" w:rsidRDefault="002A5A5E">
      <w:pPr>
        <w:contextualSpacing/>
        <w:jc w:val="center"/>
        <w:rPr>
          <w:rFonts w:eastAsiaTheme="minorEastAsia"/>
          <w:b/>
          <w:kern w:val="0"/>
          <w:szCs w:val="21"/>
        </w:rPr>
      </w:pPr>
    </w:p>
    <w:p w:rsidR="002A5A5E" w:rsidRPr="00F9522B" w:rsidRDefault="00611CBA">
      <w:pPr>
        <w:contextualSpacing/>
        <w:jc w:val="center"/>
        <w:rPr>
          <w:rFonts w:eastAsiaTheme="minorEastAsia"/>
          <w:b/>
          <w:kern w:val="0"/>
          <w:szCs w:val="21"/>
        </w:rPr>
      </w:pPr>
      <w:r w:rsidRPr="00F9522B">
        <w:rPr>
          <w:rFonts w:eastAsiaTheme="minorEastAsia"/>
          <w:b/>
          <w:kern w:val="0"/>
          <w:szCs w:val="21"/>
        </w:rPr>
        <w:t>图</w:t>
      </w:r>
      <w:r w:rsidRPr="00F9522B">
        <w:rPr>
          <w:rFonts w:eastAsiaTheme="minorEastAsia"/>
          <w:b/>
          <w:kern w:val="0"/>
          <w:szCs w:val="21"/>
        </w:rPr>
        <w:t>3-2-1</w:t>
      </w:r>
      <w:r w:rsidR="005C0AF5" w:rsidRPr="00F9522B">
        <w:rPr>
          <w:rFonts w:eastAsiaTheme="minorEastAsia"/>
          <w:b/>
          <w:kern w:val="0"/>
          <w:szCs w:val="21"/>
        </w:rPr>
        <w:t>1</w:t>
      </w:r>
      <w:r w:rsidRPr="00F9522B">
        <w:rPr>
          <w:rFonts w:eastAsiaTheme="minorEastAsia"/>
          <w:b/>
          <w:kern w:val="0"/>
          <w:szCs w:val="21"/>
        </w:rPr>
        <w:t>灌溉井工艺流程及排污节点图</w:t>
      </w:r>
    </w:p>
    <w:p w:rsidR="002A5A5E" w:rsidRPr="00F9522B" w:rsidRDefault="00611CBA">
      <w:pPr>
        <w:widowControl/>
        <w:spacing w:line="360" w:lineRule="auto"/>
        <w:ind w:firstLineChars="200" w:firstLine="480"/>
        <w:rPr>
          <w:rFonts w:eastAsiaTheme="minorEastAsia"/>
          <w:kern w:val="0"/>
          <w:sz w:val="24"/>
        </w:rPr>
      </w:pPr>
      <w:r w:rsidRPr="00F9522B">
        <w:rPr>
          <w:rFonts w:eastAsiaTheme="minorEastAsia"/>
          <w:kern w:val="0"/>
          <w:sz w:val="24"/>
        </w:rPr>
        <w:t>运营期主要环境影响为田间道路上行驶车辆产生的少量无组织汽车尾气、扬尘及噪声，灌溉与排水工程泵类等产生的噪声。</w:t>
      </w:r>
    </w:p>
    <w:p w:rsidR="002A5A5E" w:rsidRPr="00F9522B" w:rsidRDefault="00611CBA">
      <w:pPr>
        <w:widowControl/>
        <w:spacing w:line="360" w:lineRule="auto"/>
        <w:ind w:firstLineChars="200" w:firstLine="480"/>
        <w:rPr>
          <w:rFonts w:eastAsiaTheme="minorEastAsia"/>
          <w:kern w:val="0"/>
          <w:sz w:val="24"/>
        </w:rPr>
      </w:pPr>
      <w:r w:rsidRPr="00F9522B">
        <w:rPr>
          <w:rFonts w:eastAsiaTheme="minorEastAsia"/>
          <w:kern w:val="0"/>
          <w:sz w:val="24"/>
        </w:rPr>
        <w:lastRenderedPageBreak/>
        <w:t>柴油机移动泵车产生的废气，对周围环境影响不大，仅做简单分析。地下水开采对项目区地下水资源的影响及现有水田退水对地表水的影响做重点分析。</w:t>
      </w:r>
    </w:p>
    <w:p w:rsidR="002A5A5E" w:rsidRPr="00F9522B" w:rsidRDefault="00611CBA">
      <w:pPr>
        <w:contextualSpacing/>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3-2-2</w:t>
      </w:r>
      <w:r w:rsidRPr="00F9522B">
        <w:rPr>
          <w:rFonts w:eastAsiaTheme="minorEastAsia"/>
          <w:b/>
          <w:kern w:val="0"/>
          <w:szCs w:val="21"/>
        </w:rPr>
        <w:t>主要产污环节情况一览表</w:t>
      </w:r>
    </w:p>
    <w:tbl>
      <w:tblPr>
        <w:tblW w:w="4998" w:type="pct"/>
        <w:tblBorders>
          <w:top w:val="single" w:sz="12" w:space="0" w:color="auto"/>
          <w:bottom w:val="single" w:sz="12" w:space="0" w:color="auto"/>
          <w:insideH w:val="single" w:sz="2" w:space="0" w:color="auto"/>
          <w:insideV w:val="single" w:sz="2" w:space="0" w:color="auto"/>
        </w:tblBorders>
        <w:tblCellMar>
          <w:left w:w="57" w:type="dxa"/>
          <w:right w:w="57" w:type="dxa"/>
        </w:tblCellMar>
        <w:tblLook w:val="04A0"/>
      </w:tblPr>
      <w:tblGrid>
        <w:gridCol w:w="721"/>
        <w:gridCol w:w="2597"/>
        <w:gridCol w:w="1843"/>
        <w:gridCol w:w="3256"/>
      </w:tblGrid>
      <w:tr w:rsidR="002A5A5E" w:rsidRPr="00F9522B">
        <w:trPr>
          <w:trHeight w:val="59"/>
        </w:trPr>
        <w:tc>
          <w:tcPr>
            <w:tcW w:w="428" w:type="pct"/>
            <w:vAlign w:val="center"/>
          </w:tcPr>
          <w:p w:rsidR="002A5A5E" w:rsidRPr="00F9522B" w:rsidRDefault="00611CBA">
            <w:pPr>
              <w:jc w:val="center"/>
              <w:rPr>
                <w:rFonts w:eastAsiaTheme="minorEastAsia"/>
                <w:szCs w:val="21"/>
              </w:rPr>
            </w:pPr>
            <w:r w:rsidRPr="00F9522B">
              <w:rPr>
                <w:rFonts w:eastAsiaTheme="minorEastAsia"/>
                <w:szCs w:val="21"/>
              </w:rPr>
              <w:t>时段</w:t>
            </w:r>
          </w:p>
        </w:tc>
        <w:tc>
          <w:tcPr>
            <w:tcW w:w="1543" w:type="pct"/>
            <w:vAlign w:val="center"/>
          </w:tcPr>
          <w:p w:rsidR="002A5A5E" w:rsidRPr="00F9522B" w:rsidRDefault="00611CBA">
            <w:pPr>
              <w:jc w:val="center"/>
              <w:rPr>
                <w:rFonts w:eastAsiaTheme="minorEastAsia"/>
                <w:szCs w:val="21"/>
              </w:rPr>
            </w:pPr>
            <w:r w:rsidRPr="00F9522B">
              <w:rPr>
                <w:rFonts w:eastAsiaTheme="minorEastAsia"/>
                <w:szCs w:val="21"/>
              </w:rPr>
              <w:t>工程内容</w:t>
            </w:r>
          </w:p>
        </w:tc>
        <w:tc>
          <w:tcPr>
            <w:tcW w:w="1095" w:type="pct"/>
            <w:vAlign w:val="center"/>
          </w:tcPr>
          <w:p w:rsidR="002A5A5E" w:rsidRPr="00F9522B" w:rsidRDefault="00611CBA">
            <w:pPr>
              <w:jc w:val="center"/>
              <w:rPr>
                <w:rFonts w:eastAsiaTheme="minorEastAsia"/>
                <w:szCs w:val="21"/>
              </w:rPr>
            </w:pPr>
            <w:r w:rsidRPr="00F9522B">
              <w:rPr>
                <w:rFonts w:eastAsiaTheme="minorEastAsia"/>
                <w:szCs w:val="21"/>
              </w:rPr>
              <w:t>污染因素</w:t>
            </w:r>
          </w:p>
        </w:tc>
        <w:tc>
          <w:tcPr>
            <w:tcW w:w="1934" w:type="pct"/>
            <w:vAlign w:val="center"/>
          </w:tcPr>
          <w:p w:rsidR="002A5A5E" w:rsidRPr="00F9522B" w:rsidRDefault="00611CBA">
            <w:pPr>
              <w:jc w:val="center"/>
              <w:rPr>
                <w:rFonts w:eastAsiaTheme="minorEastAsia"/>
                <w:szCs w:val="21"/>
              </w:rPr>
            </w:pPr>
            <w:bookmarkStart w:id="94" w:name="_Toc143082826"/>
            <w:r w:rsidRPr="00F9522B">
              <w:rPr>
                <w:rFonts w:eastAsiaTheme="minorEastAsia"/>
                <w:szCs w:val="21"/>
              </w:rPr>
              <w:t>主要污染物</w:t>
            </w:r>
            <w:bookmarkEnd w:id="94"/>
          </w:p>
        </w:tc>
      </w:tr>
      <w:tr w:rsidR="00D61453" w:rsidRPr="00F9522B">
        <w:trPr>
          <w:trHeight w:val="59"/>
        </w:trPr>
        <w:tc>
          <w:tcPr>
            <w:tcW w:w="428" w:type="pct"/>
            <w:vMerge w:val="restart"/>
            <w:vAlign w:val="center"/>
          </w:tcPr>
          <w:p w:rsidR="00D61453" w:rsidRPr="00F9522B" w:rsidRDefault="00D61453">
            <w:pPr>
              <w:jc w:val="center"/>
              <w:rPr>
                <w:rFonts w:eastAsiaTheme="minorEastAsia"/>
                <w:szCs w:val="21"/>
              </w:rPr>
            </w:pPr>
            <w:r w:rsidRPr="00F9522B">
              <w:rPr>
                <w:rFonts w:eastAsiaTheme="minorEastAsia"/>
                <w:szCs w:val="21"/>
              </w:rPr>
              <w:t>施工期</w:t>
            </w:r>
          </w:p>
        </w:tc>
        <w:tc>
          <w:tcPr>
            <w:tcW w:w="1543" w:type="pct"/>
            <w:vMerge w:val="restart"/>
            <w:vAlign w:val="center"/>
          </w:tcPr>
          <w:p w:rsidR="00D61453" w:rsidRPr="00F9522B" w:rsidRDefault="00D61453">
            <w:pPr>
              <w:jc w:val="center"/>
              <w:rPr>
                <w:rFonts w:eastAsiaTheme="minorEastAsia"/>
                <w:szCs w:val="21"/>
              </w:rPr>
            </w:pPr>
            <w:r w:rsidRPr="00F9522B">
              <w:rPr>
                <w:rFonts w:eastAsiaTheme="minorEastAsia"/>
                <w:szCs w:val="21"/>
              </w:rPr>
              <w:t>田块整治工程</w:t>
            </w:r>
          </w:p>
        </w:tc>
        <w:tc>
          <w:tcPr>
            <w:tcW w:w="1095" w:type="pct"/>
            <w:vAlign w:val="center"/>
          </w:tcPr>
          <w:p w:rsidR="00D61453" w:rsidRPr="00F9522B" w:rsidRDefault="00D61453">
            <w:pPr>
              <w:jc w:val="center"/>
              <w:rPr>
                <w:rFonts w:eastAsiaTheme="minorEastAsia"/>
                <w:szCs w:val="21"/>
              </w:rPr>
            </w:pPr>
            <w:r w:rsidRPr="00F9522B">
              <w:rPr>
                <w:rFonts w:eastAsiaTheme="minorEastAsia"/>
                <w:szCs w:val="21"/>
              </w:rPr>
              <w:t>废气、噪声</w:t>
            </w:r>
          </w:p>
        </w:tc>
        <w:tc>
          <w:tcPr>
            <w:tcW w:w="1934" w:type="pct"/>
            <w:vAlign w:val="center"/>
          </w:tcPr>
          <w:p w:rsidR="00D61453" w:rsidRPr="00F9522B" w:rsidRDefault="00D61453">
            <w:pPr>
              <w:jc w:val="center"/>
              <w:rPr>
                <w:rFonts w:eastAsiaTheme="minorEastAsia"/>
                <w:szCs w:val="21"/>
              </w:rPr>
            </w:pPr>
            <w:r w:rsidRPr="00F9522B">
              <w:rPr>
                <w:rFonts w:eastAsiaTheme="minorEastAsia"/>
                <w:szCs w:val="21"/>
              </w:rPr>
              <w:t>颗粒物、噪声</w:t>
            </w:r>
          </w:p>
        </w:tc>
      </w:tr>
      <w:tr w:rsidR="00D61453" w:rsidRPr="00F9522B">
        <w:trPr>
          <w:trHeight w:val="59"/>
        </w:trPr>
        <w:tc>
          <w:tcPr>
            <w:tcW w:w="428" w:type="pct"/>
            <w:vMerge/>
            <w:vAlign w:val="center"/>
          </w:tcPr>
          <w:p w:rsidR="00D61453" w:rsidRPr="00F9522B" w:rsidRDefault="00D61453">
            <w:pPr>
              <w:jc w:val="center"/>
              <w:rPr>
                <w:rFonts w:eastAsiaTheme="minorEastAsia"/>
                <w:szCs w:val="21"/>
              </w:rPr>
            </w:pPr>
          </w:p>
        </w:tc>
        <w:tc>
          <w:tcPr>
            <w:tcW w:w="1543" w:type="pct"/>
            <w:vMerge/>
            <w:vAlign w:val="center"/>
          </w:tcPr>
          <w:p w:rsidR="00D61453" w:rsidRPr="00F9522B" w:rsidRDefault="00D61453">
            <w:pPr>
              <w:jc w:val="center"/>
              <w:rPr>
                <w:rFonts w:eastAsiaTheme="minorEastAsia"/>
                <w:szCs w:val="21"/>
              </w:rPr>
            </w:pPr>
          </w:p>
        </w:tc>
        <w:tc>
          <w:tcPr>
            <w:tcW w:w="1095" w:type="pct"/>
            <w:vAlign w:val="center"/>
          </w:tcPr>
          <w:p w:rsidR="00D61453" w:rsidRPr="00F9522B" w:rsidRDefault="00D61453" w:rsidP="00FF4273">
            <w:pPr>
              <w:jc w:val="center"/>
              <w:rPr>
                <w:rFonts w:eastAsiaTheme="minorEastAsia"/>
                <w:szCs w:val="21"/>
              </w:rPr>
            </w:pPr>
            <w:r w:rsidRPr="00F9522B">
              <w:rPr>
                <w:rFonts w:eastAsiaTheme="minorEastAsia"/>
                <w:szCs w:val="21"/>
              </w:rPr>
              <w:t>固体废物</w:t>
            </w:r>
          </w:p>
        </w:tc>
        <w:tc>
          <w:tcPr>
            <w:tcW w:w="1934" w:type="pct"/>
            <w:vAlign w:val="center"/>
          </w:tcPr>
          <w:p w:rsidR="00D61453" w:rsidRPr="00F9522B" w:rsidRDefault="00D61453" w:rsidP="00FF4273">
            <w:pPr>
              <w:jc w:val="center"/>
              <w:rPr>
                <w:rFonts w:eastAsiaTheme="minorEastAsia"/>
                <w:szCs w:val="21"/>
              </w:rPr>
            </w:pPr>
            <w:r w:rsidRPr="00F9522B">
              <w:rPr>
                <w:rFonts w:eastAsiaTheme="minorEastAsia"/>
                <w:szCs w:val="21"/>
              </w:rPr>
              <w:t>废肥料包装物</w:t>
            </w:r>
          </w:p>
        </w:tc>
      </w:tr>
      <w:tr w:rsidR="00D61453" w:rsidRPr="00F9522B">
        <w:trPr>
          <w:trHeight w:val="59"/>
        </w:trPr>
        <w:tc>
          <w:tcPr>
            <w:tcW w:w="428" w:type="pct"/>
            <w:vMerge/>
            <w:vAlign w:val="center"/>
          </w:tcPr>
          <w:p w:rsidR="00D61453" w:rsidRPr="00F9522B" w:rsidRDefault="00D61453">
            <w:pPr>
              <w:jc w:val="center"/>
              <w:rPr>
                <w:rFonts w:eastAsiaTheme="minorEastAsia"/>
                <w:szCs w:val="21"/>
              </w:rPr>
            </w:pPr>
          </w:p>
        </w:tc>
        <w:tc>
          <w:tcPr>
            <w:tcW w:w="1543" w:type="pct"/>
            <w:vMerge w:val="restart"/>
            <w:vAlign w:val="center"/>
          </w:tcPr>
          <w:p w:rsidR="00D61453" w:rsidRPr="00F9522B" w:rsidRDefault="00D61453">
            <w:pPr>
              <w:jc w:val="center"/>
              <w:rPr>
                <w:rFonts w:eastAsiaTheme="minorEastAsia"/>
                <w:szCs w:val="21"/>
              </w:rPr>
            </w:pPr>
            <w:r w:rsidRPr="00F9522B">
              <w:rPr>
                <w:rFonts w:eastAsiaTheme="minorEastAsia"/>
                <w:szCs w:val="21"/>
              </w:rPr>
              <w:t>灌溉井工程</w:t>
            </w:r>
          </w:p>
        </w:tc>
        <w:tc>
          <w:tcPr>
            <w:tcW w:w="1095" w:type="pct"/>
            <w:vAlign w:val="center"/>
          </w:tcPr>
          <w:p w:rsidR="00D61453" w:rsidRPr="00F9522B" w:rsidRDefault="00D61453">
            <w:pPr>
              <w:jc w:val="center"/>
              <w:rPr>
                <w:rFonts w:eastAsiaTheme="minorEastAsia"/>
                <w:szCs w:val="21"/>
              </w:rPr>
            </w:pPr>
            <w:r w:rsidRPr="00F9522B">
              <w:rPr>
                <w:rFonts w:eastAsiaTheme="minorEastAsia"/>
                <w:szCs w:val="21"/>
              </w:rPr>
              <w:t>废气、噪声</w:t>
            </w:r>
          </w:p>
        </w:tc>
        <w:tc>
          <w:tcPr>
            <w:tcW w:w="1934" w:type="pct"/>
            <w:vAlign w:val="center"/>
          </w:tcPr>
          <w:p w:rsidR="00D61453" w:rsidRPr="00F9522B" w:rsidRDefault="00D61453">
            <w:pPr>
              <w:jc w:val="center"/>
              <w:rPr>
                <w:rFonts w:eastAsiaTheme="minorEastAsia"/>
                <w:szCs w:val="21"/>
              </w:rPr>
            </w:pPr>
            <w:r w:rsidRPr="00F9522B">
              <w:rPr>
                <w:rFonts w:eastAsiaTheme="minorEastAsia"/>
                <w:szCs w:val="21"/>
              </w:rPr>
              <w:t>颗粒物、噪声</w:t>
            </w:r>
          </w:p>
        </w:tc>
      </w:tr>
      <w:tr w:rsidR="00D61453" w:rsidRPr="00F9522B">
        <w:trPr>
          <w:trHeight w:val="59"/>
        </w:trPr>
        <w:tc>
          <w:tcPr>
            <w:tcW w:w="428" w:type="pct"/>
            <w:vMerge/>
            <w:vAlign w:val="center"/>
          </w:tcPr>
          <w:p w:rsidR="00D61453" w:rsidRPr="00F9522B" w:rsidRDefault="00D61453">
            <w:pPr>
              <w:jc w:val="center"/>
              <w:rPr>
                <w:rFonts w:eastAsiaTheme="minorEastAsia"/>
                <w:szCs w:val="21"/>
              </w:rPr>
            </w:pPr>
          </w:p>
        </w:tc>
        <w:tc>
          <w:tcPr>
            <w:tcW w:w="1543" w:type="pct"/>
            <w:vMerge/>
            <w:vAlign w:val="center"/>
          </w:tcPr>
          <w:p w:rsidR="00D61453" w:rsidRPr="00F9522B" w:rsidRDefault="00D61453">
            <w:pPr>
              <w:jc w:val="center"/>
              <w:rPr>
                <w:rFonts w:eastAsiaTheme="minorEastAsia"/>
                <w:szCs w:val="21"/>
              </w:rPr>
            </w:pPr>
          </w:p>
        </w:tc>
        <w:tc>
          <w:tcPr>
            <w:tcW w:w="1095" w:type="pct"/>
            <w:vAlign w:val="center"/>
          </w:tcPr>
          <w:p w:rsidR="00D61453" w:rsidRPr="00F9522B" w:rsidRDefault="00D61453">
            <w:pPr>
              <w:jc w:val="center"/>
              <w:rPr>
                <w:rFonts w:eastAsiaTheme="minorEastAsia"/>
                <w:szCs w:val="21"/>
              </w:rPr>
            </w:pPr>
            <w:r w:rsidRPr="00F9522B">
              <w:rPr>
                <w:rFonts w:eastAsiaTheme="minorEastAsia"/>
                <w:szCs w:val="21"/>
              </w:rPr>
              <w:t>废水</w:t>
            </w:r>
          </w:p>
        </w:tc>
        <w:tc>
          <w:tcPr>
            <w:tcW w:w="1934" w:type="pct"/>
            <w:vAlign w:val="center"/>
          </w:tcPr>
          <w:p w:rsidR="00D61453" w:rsidRPr="00F9522B" w:rsidRDefault="00D61453">
            <w:pPr>
              <w:jc w:val="center"/>
              <w:rPr>
                <w:rFonts w:eastAsiaTheme="minorEastAsia"/>
                <w:szCs w:val="21"/>
              </w:rPr>
            </w:pPr>
            <w:r w:rsidRPr="00F9522B">
              <w:rPr>
                <w:rFonts w:eastAsiaTheme="minorEastAsia"/>
                <w:szCs w:val="21"/>
              </w:rPr>
              <w:t>洗井废水</w:t>
            </w:r>
          </w:p>
        </w:tc>
      </w:tr>
      <w:tr w:rsidR="00D61453" w:rsidRPr="00F9522B">
        <w:trPr>
          <w:trHeight w:val="59"/>
        </w:trPr>
        <w:tc>
          <w:tcPr>
            <w:tcW w:w="428" w:type="pct"/>
            <w:vMerge/>
            <w:vAlign w:val="center"/>
          </w:tcPr>
          <w:p w:rsidR="00D61453" w:rsidRPr="00F9522B" w:rsidRDefault="00D61453">
            <w:pPr>
              <w:jc w:val="center"/>
              <w:rPr>
                <w:rFonts w:eastAsiaTheme="minorEastAsia"/>
                <w:szCs w:val="21"/>
              </w:rPr>
            </w:pPr>
          </w:p>
        </w:tc>
        <w:tc>
          <w:tcPr>
            <w:tcW w:w="1543" w:type="pct"/>
            <w:vMerge/>
            <w:vAlign w:val="center"/>
          </w:tcPr>
          <w:p w:rsidR="00D61453" w:rsidRPr="00F9522B" w:rsidRDefault="00D61453">
            <w:pPr>
              <w:jc w:val="center"/>
              <w:rPr>
                <w:rFonts w:eastAsiaTheme="minorEastAsia"/>
                <w:szCs w:val="21"/>
              </w:rPr>
            </w:pPr>
          </w:p>
        </w:tc>
        <w:tc>
          <w:tcPr>
            <w:tcW w:w="1095" w:type="pct"/>
            <w:vAlign w:val="center"/>
          </w:tcPr>
          <w:p w:rsidR="00D61453" w:rsidRPr="00F9522B" w:rsidRDefault="00D61453">
            <w:pPr>
              <w:jc w:val="center"/>
              <w:rPr>
                <w:rFonts w:eastAsiaTheme="minorEastAsia"/>
                <w:szCs w:val="21"/>
              </w:rPr>
            </w:pPr>
            <w:r w:rsidRPr="00F9522B">
              <w:rPr>
                <w:rFonts w:eastAsiaTheme="minorEastAsia"/>
                <w:szCs w:val="21"/>
              </w:rPr>
              <w:t>固体废物</w:t>
            </w:r>
          </w:p>
        </w:tc>
        <w:tc>
          <w:tcPr>
            <w:tcW w:w="1934" w:type="pct"/>
            <w:vAlign w:val="center"/>
          </w:tcPr>
          <w:p w:rsidR="00D61453" w:rsidRPr="00F9522B" w:rsidRDefault="00D61453">
            <w:pPr>
              <w:jc w:val="center"/>
              <w:rPr>
                <w:rFonts w:eastAsiaTheme="minorEastAsia"/>
                <w:szCs w:val="21"/>
              </w:rPr>
            </w:pPr>
            <w:r w:rsidRPr="00F9522B">
              <w:rPr>
                <w:rFonts w:eastAsiaTheme="minorEastAsia"/>
                <w:szCs w:val="21"/>
              </w:rPr>
              <w:t>废泥浆</w:t>
            </w:r>
          </w:p>
        </w:tc>
      </w:tr>
      <w:tr w:rsidR="00D61453" w:rsidRPr="00F9522B">
        <w:trPr>
          <w:trHeight w:val="59"/>
        </w:trPr>
        <w:tc>
          <w:tcPr>
            <w:tcW w:w="428" w:type="pct"/>
            <w:vMerge/>
            <w:vAlign w:val="center"/>
          </w:tcPr>
          <w:p w:rsidR="00D61453" w:rsidRPr="00F9522B" w:rsidRDefault="00D61453">
            <w:pPr>
              <w:jc w:val="center"/>
              <w:rPr>
                <w:rFonts w:eastAsiaTheme="minorEastAsia"/>
                <w:szCs w:val="21"/>
              </w:rPr>
            </w:pPr>
          </w:p>
        </w:tc>
        <w:tc>
          <w:tcPr>
            <w:tcW w:w="1543" w:type="pct"/>
            <w:vMerge w:val="restart"/>
            <w:vAlign w:val="center"/>
          </w:tcPr>
          <w:p w:rsidR="00D61453" w:rsidRPr="00F9522B" w:rsidRDefault="00D61453">
            <w:pPr>
              <w:jc w:val="center"/>
              <w:rPr>
                <w:rFonts w:eastAsiaTheme="minorEastAsia"/>
                <w:szCs w:val="21"/>
              </w:rPr>
            </w:pPr>
            <w:r w:rsidRPr="00F9522B">
              <w:rPr>
                <w:rFonts w:eastAsiaTheme="minorEastAsia"/>
                <w:szCs w:val="21"/>
              </w:rPr>
              <w:t>排水沟清淤工程</w:t>
            </w:r>
          </w:p>
        </w:tc>
        <w:tc>
          <w:tcPr>
            <w:tcW w:w="1095" w:type="pct"/>
            <w:vAlign w:val="center"/>
          </w:tcPr>
          <w:p w:rsidR="00D61453" w:rsidRPr="00F9522B" w:rsidRDefault="00D61453">
            <w:pPr>
              <w:jc w:val="center"/>
              <w:rPr>
                <w:rFonts w:eastAsiaTheme="minorEastAsia"/>
                <w:szCs w:val="21"/>
              </w:rPr>
            </w:pPr>
            <w:r w:rsidRPr="00F9522B">
              <w:rPr>
                <w:rFonts w:eastAsiaTheme="minorEastAsia"/>
                <w:szCs w:val="21"/>
              </w:rPr>
              <w:t>废气、噪声</w:t>
            </w:r>
          </w:p>
        </w:tc>
        <w:tc>
          <w:tcPr>
            <w:tcW w:w="1934" w:type="pct"/>
            <w:vAlign w:val="center"/>
          </w:tcPr>
          <w:p w:rsidR="00D61453" w:rsidRPr="00F9522B" w:rsidRDefault="00D61453">
            <w:pPr>
              <w:jc w:val="center"/>
              <w:rPr>
                <w:rFonts w:eastAsiaTheme="minorEastAsia"/>
                <w:szCs w:val="21"/>
              </w:rPr>
            </w:pPr>
            <w:r w:rsidRPr="00F9522B">
              <w:rPr>
                <w:rFonts w:eastAsiaTheme="minorEastAsia"/>
                <w:szCs w:val="21"/>
              </w:rPr>
              <w:t>恶臭异味、噪声</w:t>
            </w:r>
          </w:p>
        </w:tc>
      </w:tr>
      <w:tr w:rsidR="00D61453" w:rsidRPr="00F9522B">
        <w:trPr>
          <w:trHeight w:val="59"/>
        </w:trPr>
        <w:tc>
          <w:tcPr>
            <w:tcW w:w="428" w:type="pct"/>
            <w:vMerge/>
            <w:vAlign w:val="center"/>
          </w:tcPr>
          <w:p w:rsidR="00D61453" w:rsidRPr="00F9522B" w:rsidRDefault="00D61453">
            <w:pPr>
              <w:jc w:val="center"/>
              <w:rPr>
                <w:rFonts w:eastAsiaTheme="minorEastAsia"/>
                <w:szCs w:val="21"/>
              </w:rPr>
            </w:pPr>
          </w:p>
        </w:tc>
        <w:tc>
          <w:tcPr>
            <w:tcW w:w="1543" w:type="pct"/>
            <w:vMerge/>
            <w:vAlign w:val="center"/>
          </w:tcPr>
          <w:p w:rsidR="00D61453" w:rsidRPr="00F9522B" w:rsidRDefault="00D61453">
            <w:pPr>
              <w:jc w:val="center"/>
              <w:rPr>
                <w:rFonts w:eastAsiaTheme="minorEastAsia"/>
                <w:szCs w:val="21"/>
              </w:rPr>
            </w:pPr>
          </w:p>
        </w:tc>
        <w:tc>
          <w:tcPr>
            <w:tcW w:w="1095" w:type="pct"/>
            <w:vAlign w:val="center"/>
          </w:tcPr>
          <w:p w:rsidR="00D61453" w:rsidRPr="00F9522B" w:rsidRDefault="00D61453">
            <w:pPr>
              <w:jc w:val="center"/>
              <w:rPr>
                <w:rFonts w:eastAsiaTheme="minorEastAsia"/>
                <w:szCs w:val="21"/>
              </w:rPr>
            </w:pPr>
            <w:r w:rsidRPr="00F9522B">
              <w:rPr>
                <w:rFonts w:eastAsiaTheme="minorEastAsia"/>
                <w:szCs w:val="21"/>
              </w:rPr>
              <w:t>废水</w:t>
            </w:r>
          </w:p>
        </w:tc>
        <w:tc>
          <w:tcPr>
            <w:tcW w:w="1934" w:type="pct"/>
            <w:vAlign w:val="center"/>
          </w:tcPr>
          <w:p w:rsidR="00D61453" w:rsidRPr="00F9522B" w:rsidRDefault="00D61453">
            <w:pPr>
              <w:jc w:val="center"/>
              <w:rPr>
                <w:rFonts w:eastAsiaTheme="minorEastAsia"/>
                <w:szCs w:val="21"/>
              </w:rPr>
            </w:pPr>
            <w:r w:rsidRPr="00F9522B">
              <w:rPr>
                <w:rFonts w:eastAsiaTheme="minorEastAsia"/>
                <w:szCs w:val="21"/>
              </w:rPr>
              <w:t>清淤沥水</w:t>
            </w:r>
          </w:p>
        </w:tc>
      </w:tr>
      <w:tr w:rsidR="00D61453" w:rsidRPr="00F9522B">
        <w:trPr>
          <w:trHeight w:val="59"/>
        </w:trPr>
        <w:tc>
          <w:tcPr>
            <w:tcW w:w="428" w:type="pct"/>
            <w:vMerge/>
            <w:vAlign w:val="center"/>
          </w:tcPr>
          <w:p w:rsidR="00D61453" w:rsidRPr="00F9522B" w:rsidRDefault="00D61453">
            <w:pPr>
              <w:jc w:val="center"/>
              <w:rPr>
                <w:rFonts w:eastAsiaTheme="minorEastAsia"/>
                <w:szCs w:val="21"/>
              </w:rPr>
            </w:pPr>
          </w:p>
        </w:tc>
        <w:tc>
          <w:tcPr>
            <w:tcW w:w="1543" w:type="pct"/>
            <w:vMerge/>
            <w:vAlign w:val="center"/>
          </w:tcPr>
          <w:p w:rsidR="00D61453" w:rsidRPr="00F9522B" w:rsidRDefault="00D61453">
            <w:pPr>
              <w:jc w:val="center"/>
              <w:rPr>
                <w:rFonts w:eastAsiaTheme="minorEastAsia"/>
                <w:szCs w:val="21"/>
              </w:rPr>
            </w:pPr>
          </w:p>
        </w:tc>
        <w:tc>
          <w:tcPr>
            <w:tcW w:w="1095" w:type="pct"/>
            <w:vAlign w:val="center"/>
          </w:tcPr>
          <w:p w:rsidR="00D61453" w:rsidRPr="00F9522B" w:rsidRDefault="00D61453">
            <w:pPr>
              <w:jc w:val="center"/>
              <w:rPr>
                <w:rFonts w:eastAsiaTheme="minorEastAsia"/>
                <w:szCs w:val="21"/>
              </w:rPr>
            </w:pPr>
            <w:r w:rsidRPr="00F9522B">
              <w:rPr>
                <w:rFonts w:eastAsiaTheme="minorEastAsia"/>
                <w:szCs w:val="21"/>
              </w:rPr>
              <w:t>固体废物</w:t>
            </w:r>
          </w:p>
        </w:tc>
        <w:tc>
          <w:tcPr>
            <w:tcW w:w="1934" w:type="pct"/>
            <w:vAlign w:val="center"/>
          </w:tcPr>
          <w:p w:rsidR="00D61453" w:rsidRPr="00F9522B" w:rsidRDefault="00D61453">
            <w:pPr>
              <w:jc w:val="center"/>
              <w:rPr>
                <w:rFonts w:eastAsiaTheme="minorEastAsia"/>
                <w:szCs w:val="21"/>
              </w:rPr>
            </w:pPr>
            <w:r w:rsidRPr="00F9522B">
              <w:rPr>
                <w:rFonts w:eastAsiaTheme="minorEastAsia"/>
                <w:szCs w:val="21"/>
              </w:rPr>
              <w:t>淤泥</w:t>
            </w:r>
          </w:p>
        </w:tc>
      </w:tr>
      <w:tr w:rsidR="00D61453" w:rsidRPr="00F9522B">
        <w:trPr>
          <w:trHeight w:val="59"/>
        </w:trPr>
        <w:tc>
          <w:tcPr>
            <w:tcW w:w="428" w:type="pct"/>
            <w:vMerge/>
            <w:vAlign w:val="center"/>
          </w:tcPr>
          <w:p w:rsidR="00D61453" w:rsidRPr="00F9522B" w:rsidRDefault="00D61453">
            <w:pPr>
              <w:jc w:val="center"/>
              <w:rPr>
                <w:rFonts w:eastAsiaTheme="minorEastAsia"/>
                <w:szCs w:val="21"/>
              </w:rPr>
            </w:pPr>
          </w:p>
        </w:tc>
        <w:tc>
          <w:tcPr>
            <w:tcW w:w="1543" w:type="pct"/>
            <w:vMerge w:val="restart"/>
            <w:vAlign w:val="center"/>
          </w:tcPr>
          <w:p w:rsidR="00D61453" w:rsidRPr="00F9522B" w:rsidRDefault="00D61453">
            <w:pPr>
              <w:jc w:val="center"/>
              <w:rPr>
                <w:rFonts w:eastAsiaTheme="minorEastAsia"/>
                <w:szCs w:val="21"/>
              </w:rPr>
            </w:pPr>
            <w:r w:rsidRPr="00F9522B">
              <w:rPr>
                <w:rFonts w:eastAsiaTheme="minorEastAsia"/>
                <w:szCs w:val="21"/>
              </w:rPr>
              <w:t>涵洞等建筑物工程</w:t>
            </w:r>
          </w:p>
        </w:tc>
        <w:tc>
          <w:tcPr>
            <w:tcW w:w="1095" w:type="pct"/>
            <w:vAlign w:val="center"/>
          </w:tcPr>
          <w:p w:rsidR="00D61453" w:rsidRPr="00F9522B" w:rsidRDefault="00D61453">
            <w:pPr>
              <w:jc w:val="center"/>
              <w:rPr>
                <w:rFonts w:eastAsiaTheme="minorEastAsia"/>
                <w:szCs w:val="21"/>
              </w:rPr>
            </w:pPr>
            <w:r w:rsidRPr="00F9522B">
              <w:rPr>
                <w:rFonts w:eastAsiaTheme="minorEastAsia"/>
                <w:szCs w:val="21"/>
              </w:rPr>
              <w:t>废气、噪声</w:t>
            </w:r>
          </w:p>
        </w:tc>
        <w:tc>
          <w:tcPr>
            <w:tcW w:w="1934" w:type="pct"/>
            <w:vAlign w:val="center"/>
          </w:tcPr>
          <w:p w:rsidR="00D61453" w:rsidRPr="00F9522B" w:rsidRDefault="00D61453">
            <w:pPr>
              <w:jc w:val="center"/>
              <w:rPr>
                <w:rFonts w:eastAsiaTheme="minorEastAsia"/>
                <w:szCs w:val="21"/>
              </w:rPr>
            </w:pPr>
            <w:r w:rsidRPr="00F9522B">
              <w:rPr>
                <w:rFonts w:eastAsiaTheme="minorEastAsia"/>
                <w:szCs w:val="21"/>
              </w:rPr>
              <w:t>颗粒物、噪声</w:t>
            </w:r>
          </w:p>
        </w:tc>
      </w:tr>
      <w:tr w:rsidR="00D61453" w:rsidRPr="00F9522B">
        <w:trPr>
          <w:trHeight w:val="59"/>
        </w:trPr>
        <w:tc>
          <w:tcPr>
            <w:tcW w:w="428" w:type="pct"/>
            <w:vMerge/>
            <w:vAlign w:val="center"/>
          </w:tcPr>
          <w:p w:rsidR="00D61453" w:rsidRPr="00F9522B" w:rsidRDefault="00D61453">
            <w:pPr>
              <w:jc w:val="center"/>
              <w:rPr>
                <w:rFonts w:eastAsiaTheme="minorEastAsia"/>
                <w:szCs w:val="21"/>
              </w:rPr>
            </w:pPr>
          </w:p>
        </w:tc>
        <w:tc>
          <w:tcPr>
            <w:tcW w:w="1543" w:type="pct"/>
            <w:vMerge/>
            <w:vAlign w:val="center"/>
          </w:tcPr>
          <w:p w:rsidR="00D61453" w:rsidRPr="00F9522B" w:rsidRDefault="00D61453">
            <w:pPr>
              <w:jc w:val="center"/>
              <w:rPr>
                <w:rFonts w:eastAsiaTheme="minorEastAsia"/>
                <w:szCs w:val="21"/>
              </w:rPr>
            </w:pPr>
          </w:p>
        </w:tc>
        <w:tc>
          <w:tcPr>
            <w:tcW w:w="1095" w:type="pct"/>
            <w:vAlign w:val="center"/>
          </w:tcPr>
          <w:p w:rsidR="00D61453" w:rsidRPr="00F9522B" w:rsidRDefault="00D61453">
            <w:pPr>
              <w:jc w:val="center"/>
              <w:rPr>
                <w:rFonts w:eastAsiaTheme="minorEastAsia"/>
                <w:szCs w:val="21"/>
              </w:rPr>
            </w:pPr>
            <w:r w:rsidRPr="00F9522B">
              <w:rPr>
                <w:rFonts w:eastAsiaTheme="minorEastAsia"/>
                <w:szCs w:val="21"/>
              </w:rPr>
              <w:t>固体废物</w:t>
            </w:r>
          </w:p>
        </w:tc>
        <w:tc>
          <w:tcPr>
            <w:tcW w:w="1934" w:type="pct"/>
            <w:vAlign w:val="center"/>
          </w:tcPr>
          <w:p w:rsidR="00D61453" w:rsidRPr="00F9522B" w:rsidRDefault="00D61453">
            <w:pPr>
              <w:jc w:val="center"/>
              <w:rPr>
                <w:rFonts w:eastAsiaTheme="minorEastAsia"/>
                <w:szCs w:val="21"/>
              </w:rPr>
            </w:pPr>
            <w:r w:rsidRPr="00F9522B">
              <w:rPr>
                <w:rFonts w:eastAsiaTheme="minorEastAsia"/>
                <w:szCs w:val="21"/>
              </w:rPr>
              <w:t>建筑垃圾</w:t>
            </w:r>
          </w:p>
        </w:tc>
      </w:tr>
      <w:tr w:rsidR="00D61453" w:rsidRPr="00F9522B">
        <w:trPr>
          <w:trHeight w:val="59"/>
        </w:trPr>
        <w:tc>
          <w:tcPr>
            <w:tcW w:w="428" w:type="pct"/>
            <w:vMerge/>
            <w:vAlign w:val="center"/>
          </w:tcPr>
          <w:p w:rsidR="00D61453" w:rsidRPr="00F9522B" w:rsidRDefault="00D61453">
            <w:pPr>
              <w:jc w:val="center"/>
              <w:rPr>
                <w:rFonts w:eastAsiaTheme="minorEastAsia"/>
                <w:szCs w:val="21"/>
              </w:rPr>
            </w:pPr>
          </w:p>
        </w:tc>
        <w:tc>
          <w:tcPr>
            <w:tcW w:w="1543" w:type="pct"/>
            <w:vMerge w:val="restart"/>
            <w:vAlign w:val="center"/>
          </w:tcPr>
          <w:p w:rsidR="00D61453" w:rsidRPr="00F9522B" w:rsidRDefault="00D61453">
            <w:pPr>
              <w:jc w:val="center"/>
              <w:rPr>
                <w:rFonts w:eastAsiaTheme="minorEastAsia"/>
                <w:szCs w:val="21"/>
              </w:rPr>
            </w:pPr>
            <w:r w:rsidRPr="00F9522B">
              <w:rPr>
                <w:rFonts w:eastAsiaTheme="minorEastAsia"/>
                <w:szCs w:val="21"/>
              </w:rPr>
              <w:t>田间道路工程</w:t>
            </w:r>
          </w:p>
        </w:tc>
        <w:tc>
          <w:tcPr>
            <w:tcW w:w="1095" w:type="pct"/>
            <w:vAlign w:val="center"/>
          </w:tcPr>
          <w:p w:rsidR="00D61453" w:rsidRPr="00F9522B" w:rsidRDefault="00D61453">
            <w:pPr>
              <w:jc w:val="center"/>
              <w:rPr>
                <w:rFonts w:eastAsiaTheme="minorEastAsia"/>
                <w:szCs w:val="21"/>
              </w:rPr>
            </w:pPr>
            <w:r w:rsidRPr="00F9522B">
              <w:rPr>
                <w:rFonts w:eastAsiaTheme="minorEastAsia"/>
                <w:szCs w:val="21"/>
              </w:rPr>
              <w:t>废气、噪声</w:t>
            </w:r>
          </w:p>
        </w:tc>
        <w:tc>
          <w:tcPr>
            <w:tcW w:w="1934" w:type="pct"/>
            <w:vAlign w:val="center"/>
          </w:tcPr>
          <w:p w:rsidR="00D61453" w:rsidRPr="00F9522B" w:rsidRDefault="00D61453">
            <w:pPr>
              <w:jc w:val="center"/>
              <w:rPr>
                <w:rFonts w:eastAsiaTheme="minorEastAsia"/>
                <w:szCs w:val="21"/>
              </w:rPr>
            </w:pPr>
            <w:r w:rsidRPr="00F9522B">
              <w:rPr>
                <w:rFonts w:eastAsiaTheme="minorEastAsia"/>
                <w:szCs w:val="21"/>
              </w:rPr>
              <w:t>颗粒物、噪声</w:t>
            </w:r>
          </w:p>
        </w:tc>
      </w:tr>
      <w:tr w:rsidR="00D61453" w:rsidRPr="00F9522B">
        <w:trPr>
          <w:trHeight w:val="59"/>
        </w:trPr>
        <w:tc>
          <w:tcPr>
            <w:tcW w:w="428" w:type="pct"/>
            <w:vMerge/>
            <w:vAlign w:val="center"/>
          </w:tcPr>
          <w:p w:rsidR="00D61453" w:rsidRPr="00F9522B" w:rsidRDefault="00D61453">
            <w:pPr>
              <w:jc w:val="center"/>
              <w:rPr>
                <w:rFonts w:eastAsiaTheme="minorEastAsia"/>
                <w:szCs w:val="21"/>
              </w:rPr>
            </w:pPr>
          </w:p>
        </w:tc>
        <w:tc>
          <w:tcPr>
            <w:tcW w:w="1543" w:type="pct"/>
            <w:vMerge/>
            <w:vAlign w:val="center"/>
          </w:tcPr>
          <w:p w:rsidR="00D61453" w:rsidRPr="00F9522B" w:rsidRDefault="00D61453">
            <w:pPr>
              <w:jc w:val="center"/>
              <w:rPr>
                <w:rFonts w:eastAsiaTheme="minorEastAsia"/>
                <w:szCs w:val="21"/>
              </w:rPr>
            </w:pPr>
          </w:p>
        </w:tc>
        <w:tc>
          <w:tcPr>
            <w:tcW w:w="1095" w:type="pct"/>
            <w:vAlign w:val="center"/>
          </w:tcPr>
          <w:p w:rsidR="00D61453" w:rsidRPr="00F9522B" w:rsidRDefault="00D61453">
            <w:pPr>
              <w:jc w:val="center"/>
              <w:rPr>
                <w:rFonts w:eastAsiaTheme="minorEastAsia"/>
                <w:szCs w:val="21"/>
              </w:rPr>
            </w:pPr>
            <w:r w:rsidRPr="00F9522B">
              <w:rPr>
                <w:rFonts w:eastAsiaTheme="minorEastAsia"/>
                <w:szCs w:val="21"/>
              </w:rPr>
              <w:t>固体废物</w:t>
            </w:r>
          </w:p>
        </w:tc>
        <w:tc>
          <w:tcPr>
            <w:tcW w:w="1934" w:type="pct"/>
            <w:vAlign w:val="center"/>
          </w:tcPr>
          <w:p w:rsidR="00D61453" w:rsidRPr="00F9522B" w:rsidRDefault="00D61453">
            <w:pPr>
              <w:jc w:val="center"/>
              <w:rPr>
                <w:rFonts w:eastAsiaTheme="minorEastAsia"/>
                <w:szCs w:val="21"/>
              </w:rPr>
            </w:pPr>
            <w:r w:rsidRPr="00F9522B">
              <w:rPr>
                <w:rFonts w:eastAsiaTheme="minorEastAsia"/>
                <w:szCs w:val="21"/>
              </w:rPr>
              <w:t>建筑垃圾</w:t>
            </w:r>
          </w:p>
        </w:tc>
      </w:tr>
      <w:tr w:rsidR="00D61453" w:rsidRPr="00F9522B">
        <w:trPr>
          <w:trHeight w:val="59"/>
        </w:trPr>
        <w:tc>
          <w:tcPr>
            <w:tcW w:w="428" w:type="pct"/>
            <w:vMerge/>
            <w:vAlign w:val="center"/>
          </w:tcPr>
          <w:p w:rsidR="00D61453" w:rsidRPr="00F9522B" w:rsidRDefault="00D61453">
            <w:pPr>
              <w:jc w:val="center"/>
              <w:rPr>
                <w:rFonts w:eastAsiaTheme="minorEastAsia"/>
                <w:szCs w:val="21"/>
              </w:rPr>
            </w:pPr>
          </w:p>
        </w:tc>
        <w:tc>
          <w:tcPr>
            <w:tcW w:w="1543" w:type="pct"/>
            <w:vAlign w:val="center"/>
          </w:tcPr>
          <w:p w:rsidR="00D61453" w:rsidRPr="00F9522B" w:rsidRDefault="00D61453">
            <w:pPr>
              <w:jc w:val="center"/>
              <w:rPr>
                <w:rFonts w:eastAsiaTheme="minorEastAsia"/>
                <w:szCs w:val="21"/>
              </w:rPr>
            </w:pPr>
            <w:r w:rsidRPr="00F9522B">
              <w:rPr>
                <w:rFonts w:eastAsiaTheme="minorEastAsia"/>
                <w:szCs w:val="21"/>
              </w:rPr>
              <w:t>农田输配电工程</w:t>
            </w:r>
          </w:p>
        </w:tc>
        <w:tc>
          <w:tcPr>
            <w:tcW w:w="1095" w:type="pct"/>
            <w:vAlign w:val="center"/>
          </w:tcPr>
          <w:p w:rsidR="00D61453" w:rsidRPr="00F9522B" w:rsidRDefault="00D61453">
            <w:pPr>
              <w:jc w:val="center"/>
              <w:rPr>
                <w:rFonts w:eastAsiaTheme="minorEastAsia"/>
                <w:szCs w:val="21"/>
              </w:rPr>
            </w:pPr>
            <w:r w:rsidRPr="00F9522B">
              <w:rPr>
                <w:rFonts w:eastAsiaTheme="minorEastAsia"/>
                <w:szCs w:val="21"/>
              </w:rPr>
              <w:t>废气、噪声</w:t>
            </w:r>
          </w:p>
        </w:tc>
        <w:tc>
          <w:tcPr>
            <w:tcW w:w="1934" w:type="pct"/>
            <w:vAlign w:val="center"/>
          </w:tcPr>
          <w:p w:rsidR="00D61453" w:rsidRPr="00F9522B" w:rsidRDefault="00D61453">
            <w:pPr>
              <w:jc w:val="center"/>
              <w:rPr>
                <w:rFonts w:eastAsiaTheme="minorEastAsia"/>
                <w:szCs w:val="21"/>
              </w:rPr>
            </w:pPr>
            <w:r w:rsidRPr="00F9522B">
              <w:rPr>
                <w:rFonts w:eastAsiaTheme="minorEastAsia"/>
                <w:szCs w:val="21"/>
              </w:rPr>
              <w:t>颗粒物、噪声</w:t>
            </w:r>
          </w:p>
        </w:tc>
      </w:tr>
      <w:tr w:rsidR="00D61453" w:rsidRPr="00F9522B">
        <w:trPr>
          <w:trHeight w:val="59"/>
        </w:trPr>
        <w:tc>
          <w:tcPr>
            <w:tcW w:w="428" w:type="pct"/>
            <w:vMerge w:val="restart"/>
            <w:vAlign w:val="center"/>
          </w:tcPr>
          <w:p w:rsidR="00D61453" w:rsidRPr="00F9522B" w:rsidRDefault="00D61453">
            <w:pPr>
              <w:jc w:val="center"/>
              <w:rPr>
                <w:rFonts w:eastAsiaTheme="minorEastAsia"/>
                <w:szCs w:val="21"/>
              </w:rPr>
            </w:pPr>
            <w:r w:rsidRPr="00F9522B">
              <w:rPr>
                <w:rFonts w:eastAsiaTheme="minorEastAsia"/>
                <w:szCs w:val="21"/>
              </w:rPr>
              <w:t>运营期</w:t>
            </w:r>
          </w:p>
        </w:tc>
        <w:tc>
          <w:tcPr>
            <w:tcW w:w="1543" w:type="pct"/>
            <w:vAlign w:val="center"/>
          </w:tcPr>
          <w:p w:rsidR="00D61453" w:rsidRPr="00F9522B" w:rsidRDefault="00D61453">
            <w:pPr>
              <w:jc w:val="center"/>
              <w:rPr>
                <w:rFonts w:eastAsiaTheme="minorEastAsia"/>
                <w:szCs w:val="21"/>
              </w:rPr>
            </w:pPr>
            <w:r w:rsidRPr="00F9522B">
              <w:rPr>
                <w:rFonts w:eastAsiaTheme="minorEastAsia"/>
                <w:szCs w:val="21"/>
              </w:rPr>
              <w:t>灌溉井</w:t>
            </w:r>
          </w:p>
        </w:tc>
        <w:tc>
          <w:tcPr>
            <w:tcW w:w="1095" w:type="pct"/>
            <w:vAlign w:val="center"/>
          </w:tcPr>
          <w:p w:rsidR="00D61453" w:rsidRPr="00F9522B" w:rsidRDefault="00D61453">
            <w:pPr>
              <w:jc w:val="center"/>
              <w:rPr>
                <w:rFonts w:eastAsiaTheme="minorEastAsia"/>
                <w:szCs w:val="21"/>
              </w:rPr>
            </w:pPr>
            <w:r w:rsidRPr="00F9522B">
              <w:rPr>
                <w:rFonts w:eastAsiaTheme="minorEastAsia"/>
                <w:szCs w:val="21"/>
              </w:rPr>
              <w:t>噪声</w:t>
            </w:r>
          </w:p>
        </w:tc>
        <w:tc>
          <w:tcPr>
            <w:tcW w:w="1934" w:type="pct"/>
            <w:vAlign w:val="center"/>
          </w:tcPr>
          <w:p w:rsidR="00D61453" w:rsidRPr="00F9522B" w:rsidRDefault="00D61453">
            <w:pPr>
              <w:jc w:val="center"/>
              <w:rPr>
                <w:rFonts w:eastAsiaTheme="minorEastAsia"/>
                <w:szCs w:val="21"/>
              </w:rPr>
            </w:pPr>
            <w:r w:rsidRPr="00F9522B">
              <w:rPr>
                <w:rFonts w:eastAsiaTheme="minorEastAsia"/>
                <w:szCs w:val="21"/>
              </w:rPr>
              <w:t>噪声</w:t>
            </w:r>
          </w:p>
        </w:tc>
      </w:tr>
      <w:tr w:rsidR="00D61453" w:rsidRPr="00F9522B">
        <w:trPr>
          <w:trHeight w:val="59"/>
        </w:trPr>
        <w:tc>
          <w:tcPr>
            <w:tcW w:w="428" w:type="pct"/>
            <w:vMerge/>
            <w:vAlign w:val="center"/>
          </w:tcPr>
          <w:p w:rsidR="00D61453" w:rsidRPr="00F9522B" w:rsidRDefault="00D61453">
            <w:pPr>
              <w:jc w:val="center"/>
              <w:rPr>
                <w:rFonts w:eastAsiaTheme="minorEastAsia"/>
                <w:szCs w:val="21"/>
              </w:rPr>
            </w:pPr>
          </w:p>
        </w:tc>
        <w:tc>
          <w:tcPr>
            <w:tcW w:w="1543" w:type="pct"/>
            <w:vAlign w:val="center"/>
          </w:tcPr>
          <w:p w:rsidR="00D61453" w:rsidRPr="00F9522B" w:rsidRDefault="00D61453">
            <w:pPr>
              <w:jc w:val="center"/>
              <w:rPr>
                <w:rFonts w:eastAsiaTheme="minorEastAsia"/>
                <w:szCs w:val="21"/>
              </w:rPr>
            </w:pPr>
            <w:r w:rsidRPr="00F9522B">
              <w:rPr>
                <w:rFonts w:eastAsiaTheme="minorEastAsia"/>
                <w:szCs w:val="21"/>
              </w:rPr>
              <w:t>田间道路工程</w:t>
            </w:r>
          </w:p>
        </w:tc>
        <w:tc>
          <w:tcPr>
            <w:tcW w:w="1095" w:type="pct"/>
            <w:vAlign w:val="center"/>
          </w:tcPr>
          <w:p w:rsidR="00D61453" w:rsidRPr="00F9522B" w:rsidRDefault="00D61453">
            <w:pPr>
              <w:jc w:val="center"/>
              <w:rPr>
                <w:rFonts w:eastAsiaTheme="minorEastAsia"/>
                <w:szCs w:val="21"/>
              </w:rPr>
            </w:pPr>
            <w:r w:rsidRPr="00F9522B">
              <w:rPr>
                <w:rFonts w:eastAsiaTheme="minorEastAsia"/>
                <w:szCs w:val="21"/>
              </w:rPr>
              <w:t>废气、噪声</w:t>
            </w:r>
          </w:p>
        </w:tc>
        <w:tc>
          <w:tcPr>
            <w:tcW w:w="1934" w:type="pct"/>
            <w:vAlign w:val="center"/>
          </w:tcPr>
          <w:p w:rsidR="00D61453" w:rsidRPr="00F9522B" w:rsidRDefault="00D61453">
            <w:pPr>
              <w:jc w:val="center"/>
              <w:rPr>
                <w:rFonts w:eastAsiaTheme="minorEastAsia"/>
                <w:szCs w:val="21"/>
              </w:rPr>
            </w:pPr>
            <w:r w:rsidRPr="00F9522B">
              <w:rPr>
                <w:rFonts w:eastAsiaTheme="minorEastAsia"/>
                <w:szCs w:val="21"/>
              </w:rPr>
              <w:t>汽车尾气、噪声</w:t>
            </w:r>
          </w:p>
        </w:tc>
      </w:tr>
      <w:tr w:rsidR="00D61453" w:rsidRPr="00F9522B">
        <w:trPr>
          <w:trHeight w:val="59"/>
        </w:trPr>
        <w:tc>
          <w:tcPr>
            <w:tcW w:w="428" w:type="pct"/>
            <w:vMerge/>
            <w:vAlign w:val="center"/>
          </w:tcPr>
          <w:p w:rsidR="00D61453" w:rsidRPr="00F9522B" w:rsidRDefault="00D61453">
            <w:pPr>
              <w:jc w:val="center"/>
              <w:rPr>
                <w:rFonts w:eastAsiaTheme="minorEastAsia"/>
                <w:szCs w:val="21"/>
              </w:rPr>
            </w:pPr>
          </w:p>
        </w:tc>
        <w:tc>
          <w:tcPr>
            <w:tcW w:w="1543" w:type="pct"/>
            <w:vAlign w:val="center"/>
          </w:tcPr>
          <w:p w:rsidR="00D61453" w:rsidRPr="00F9522B" w:rsidRDefault="00D61453">
            <w:pPr>
              <w:jc w:val="center"/>
              <w:rPr>
                <w:rFonts w:eastAsiaTheme="minorEastAsia"/>
                <w:szCs w:val="21"/>
              </w:rPr>
            </w:pPr>
            <w:r w:rsidRPr="00F9522B">
              <w:rPr>
                <w:rFonts w:eastAsiaTheme="minorEastAsia"/>
                <w:szCs w:val="21"/>
              </w:rPr>
              <w:t>高标准农田</w:t>
            </w:r>
          </w:p>
        </w:tc>
        <w:tc>
          <w:tcPr>
            <w:tcW w:w="1095" w:type="pct"/>
            <w:vAlign w:val="center"/>
          </w:tcPr>
          <w:p w:rsidR="00D61453" w:rsidRPr="00F9522B" w:rsidRDefault="00D61453">
            <w:pPr>
              <w:jc w:val="center"/>
              <w:rPr>
                <w:rFonts w:eastAsiaTheme="minorEastAsia"/>
                <w:szCs w:val="21"/>
              </w:rPr>
            </w:pPr>
            <w:r w:rsidRPr="00F9522B">
              <w:rPr>
                <w:rFonts w:eastAsiaTheme="minorEastAsia"/>
                <w:szCs w:val="21"/>
              </w:rPr>
              <w:t>废水</w:t>
            </w:r>
          </w:p>
        </w:tc>
        <w:tc>
          <w:tcPr>
            <w:tcW w:w="1934" w:type="pct"/>
            <w:vAlign w:val="center"/>
          </w:tcPr>
          <w:p w:rsidR="00D61453" w:rsidRPr="00F9522B" w:rsidRDefault="00D61453">
            <w:pPr>
              <w:jc w:val="center"/>
              <w:rPr>
                <w:rFonts w:eastAsiaTheme="minorEastAsia"/>
                <w:szCs w:val="21"/>
              </w:rPr>
            </w:pPr>
            <w:r w:rsidRPr="00F9522B">
              <w:rPr>
                <w:rFonts w:eastAsiaTheme="minorEastAsia"/>
                <w:szCs w:val="21"/>
              </w:rPr>
              <w:t>水田退水</w:t>
            </w:r>
          </w:p>
        </w:tc>
      </w:tr>
      <w:tr w:rsidR="00D61453" w:rsidRPr="00F9522B">
        <w:trPr>
          <w:trHeight w:val="59"/>
        </w:trPr>
        <w:tc>
          <w:tcPr>
            <w:tcW w:w="428" w:type="pct"/>
            <w:vMerge/>
            <w:vAlign w:val="center"/>
          </w:tcPr>
          <w:p w:rsidR="00D61453" w:rsidRPr="00F9522B" w:rsidRDefault="00D61453">
            <w:pPr>
              <w:jc w:val="center"/>
              <w:rPr>
                <w:rFonts w:eastAsiaTheme="minorEastAsia"/>
                <w:szCs w:val="21"/>
              </w:rPr>
            </w:pPr>
          </w:p>
        </w:tc>
        <w:tc>
          <w:tcPr>
            <w:tcW w:w="1543" w:type="pct"/>
            <w:vAlign w:val="center"/>
          </w:tcPr>
          <w:p w:rsidR="00D61453" w:rsidRPr="00F9522B" w:rsidRDefault="00D61453">
            <w:pPr>
              <w:jc w:val="center"/>
              <w:rPr>
                <w:rFonts w:eastAsiaTheme="minorEastAsia"/>
                <w:szCs w:val="21"/>
              </w:rPr>
            </w:pPr>
            <w:r w:rsidRPr="00F9522B">
              <w:rPr>
                <w:rFonts w:eastAsiaTheme="minorEastAsia"/>
                <w:szCs w:val="21"/>
              </w:rPr>
              <w:t>高标准农田</w:t>
            </w:r>
          </w:p>
        </w:tc>
        <w:tc>
          <w:tcPr>
            <w:tcW w:w="1095" w:type="pct"/>
            <w:vAlign w:val="center"/>
          </w:tcPr>
          <w:p w:rsidR="00D61453" w:rsidRPr="00F9522B" w:rsidRDefault="00D61453">
            <w:pPr>
              <w:jc w:val="center"/>
              <w:rPr>
                <w:rFonts w:eastAsiaTheme="minorEastAsia"/>
                <w:szCs w:val="21"/>
              </w:rPr>
            </w:pPr>
            <w:r w:rsidRPr="00F9522B">
              <w:rPr>
                <w:rFonts w:eastAsiaTheme="minorEastAsia"/>
                <w:szCs w:val="21"/>
              </w:rPr>
              <w:t>固体废物</w:t>
            </w:r>
          </w:p>
        </w:tc>
        <w:tc>
          <w:tcPr>
            <w:tcW w:w="1934" w:type="pct"/>
            <w:vAlign w:val="center"/>
          </w:tcPr>
          <w:p w:rsidR="00D61453" w:rsidRPr="00F9522B" w:rsidRDefault="00D61453">
            <w:pPr>
              <w:jc w:val="center"/>
              <w:rPr>
                <w:rFonts w:eastAsiaTheme="minorEastAsia"/>
                <w:szCs w:val="21"/>
              </w:rPr>
            </w:pPr>
            <w:r w:rsidRPr="00F9522B">
              <w:rPr>
                <w:rFonts w:eastAsiaTheme="minorEastAsia"/>
                <w:szCs w:val="21"/>
              </w:rPr>
              <w:t>秸秆、</w:t>
            </w:r>
            <w:r w:rsidRPr="00F9522B">
              <w:rPr>
                <w:rFonts w:eastAsiaTheme="minorEastAsia"/>
                <w:bCs/>
                <w:szCs w:val="21"/>
              </w:rPr>
              <w:t>农药包装物及废肥料包装袋</w:t>
            </w:r>
          </w:p>
        </w:tc>
      </w:tr>
    </w:tbl>
    <w:p w:rsidR="002A5A5E" w:rsidRPr="00F9522B" w:rsidRDefault="00611CBA">
      <w:pPr>
        <w:spacing w:before="100" w:beforeAutospacing="1" w:after="100" w:afterAutospacing="1"/>
        <w:contextualSpacing/>
        <w:jc w:val="left"/>
        <w:outlineLvl w:val="1"/>
        <w:rPr>
          <w:rFonts w:eastAsiaTheme="minorEastAsia"/>
          <w:b/>
          <w:bCs/>
          <w:kern w:val="44"/>
          <w:sz w:val="30"/>
          <w:szCs w:val="30"/>
        </w:rPr>
      </w:pPr>
      <w:bookmarkStart w:id="95" w:name="_Toc208906235"/>
      <w:bookmarkStart w:id="96" w:name="_Toc15991649"/>
      <w:r w:rsidRPr="00F9522B">
        <w:rPr>
          <w:rFonts w:eastAsiaTheme="minorEastAsia"/>
          <w:b/>
          <w:bCs/>
          <w:kern w:val="44"/>
          <w:sz w:val="30"/>
          <w:szCs w:val="30"/>
        </w:rPr>
        <w:t>3.3</w:t>
      </w:r>
      <w:r w:rsidRPr="00F9522B">
        <w:rPr>
          <w:rFonts w:eastAsiaTheme="minorEastAsia"/>
          <w:b/>
          <w:bCs/>
          <w:kern w:val="44"/>
          <w:sz w:val="30"/>
          <w:szCs w:val="30"/>
        </w:rPr>
        <w:t>污染源源强核算</w:t>
      </w:r>
      <w:bookmarkEnd w:id="95"/>
      <w:bookmarkEnd w:id="96"/>
    </w:p>
    <w:p w:rsidR="002A5A5E" w:rsidRPr="00F9522B" w:rsidRDefault="00611CBA">
      <w:pPr>
        <w:keepNext/>
        <w:keepLines/>
        <w:spacing w:before="100" w:beforeAutospacing="1" w:after="100" w:afterAutospacing="1"/>
        <w:outlineLvl w:val="2"/>
        <w:rPr>
          <w:rFonts w:eastAsiaTheme="minorEastAsia"/>
          <w:b/>
          <w:sz w:val="28"/>
          <w:szCs w:val="28"/>
        </w:rPr>
      </w:pPr>
      <w:r w:rsidRPr="00F9522B">
        <w:rPr>
          <w:rFonts w:eastAsiaTheme="minorEastAsia"/>
          <w:b/>
          <w:sz w:val="28"/>
          <w:szCs w:val="28"/>
        </w:rPr>
        <w:t>3.3.1</w:t>
      </w:r>
      <w:r w:rsidRPr="00F9522B">
        <w:rPr>
          <w:rFonts w:eastAsiaTheme="minorEastAsia"/>
          <w:b/>
          <w:sz w:val="28"/>
          <w:szCs w:val="28"/>
        </w:rPr>
        <w:t>施工期污染源强核算</w:t>
      </w:r>
    </w:p>
    <w:p w:rsidR="002A5A5E" w:rsidRPr="00F9522B" w:rsidRDefault="00611CBA">
      <w:pPr>
        <w:widowControl/>
        <w:spacing w:line="360" w:lineRule="auto"/>
        <w:ind w:firstLineChars="200" w:firstLine="480"/>
        <w:rPr>
          <w:rFonts w:eastAsiaTheme="minorEastAsia"/>
          <w:kern w:val="0"/>
          <w:sz w:val="24"/>
        </w:rPr>
      </w:pPr>
      <w:r w:rsidRPr="00F9522B">
        <w:rPr>
          <w:rFonts w:eastAsiaTheme="minorEastAsia"/>
          <w:kern w:val="0"/>
          <w:sz w:val="24"/>
        </w:rPr>
        <w:t>施工活动的工程内容主要为：平整土地、建筑施工、管线铺设、设备安装等，主要影响范围为项目场区区域，施工过程将产生施工扬尘、施工废水、施工噪声、施工固废及生活垃圾等污染物，主要环境影响因子包括环境空气、水环境、声环境、人群健康、生态环境等。</w:t>
      </w:r>
    </w:p>
    <w:p w:rsidR="002A5A5E" w:rsidRPr="00F9522B" w:rsidRDefault="00611CBA">
      <w:pPr>
        <w:autoSpaceDE w:val="0"/>
        <w:autoSpaceDN w:val="0"/>
        <w:spacing w:before="100" w:beforeAutospacing="1" w:after="100" w:afterAutospacing="1"/>
        <w:outlineLvl w:val="3"/>
        <w:rPr>
          <w:rFonts w:eastAsiaTheme="minorEastAsia"/>
          <w:b/>
          <w:sz w:val="24"/>
        </w:rPr>
      </w:pPr>
      <w:r w:rsidRPr="00F9522B">
        <w:rPr>
          <w:rFonts w:eastAsiaTheme="minorEastAsia"/>
          <w:b/>
          <w:sz w:val="24"/>
        </w:rPr>
        <w:t>3.3.1.1</w:t>
      </w:r>
      <w:r w:rsidRPr="00F9522B">
        <w:rPr>
          <w:rFonts w:eastAsiaTheme="minorEastAsia"/>
          <w:b/>
          <w:sz w:val="24"/>
        </w:rPr>
        <w:t>废水污染分析</w:t>
      </w:r>
    </w:p>
    <w:p w:rsidR="002A5A5E" w:rsidRPr="00F9522B" w:rsidRDefault="00611CBA">
      <w:pPr>
        <w:autoSpaceDE w:val="0"/>
        <w:autoSpaceDN w:val="0"/>
        <w:adjustRightInd w:val="0"/>
        <w:spacing w:line="360" w:lineRule="auto"/>
        <w:ind w:firstLineChars="225" w:firstLine="540"/>
        <w:jc w:val="left"/>
        <w:rPr>
          <w:rFonts w:eastAsiaTheme="minorEastAsia"/>
          <w:bCs/>
          <w:kern w:val="0"/>
          <w:sz w:val="24"/>
        </w:rPr>
      </w:pPr>
      <w:r w:rsidRPr="00F9522B">
        <w:rPr>
          <w:rFonts w:eastAsiaTheme="minorEastAsia"/>
          <w:bCs/>
          <w:kern w:val="0"/>
          <w:sz w:val="24"/>
        </w:rPr>
        <w:t>项目施工人员均雇佣附近居民，生活区依托附近民房，因此，不设置施工生活区。</w:t>
      </w:r>
      <w:r w:rsidRPr="00F9522B">
        <w:rPr>
          <w:rFonts w:eastAsiaTheme="minorEastAsia"/>
          <w:kern w:val="0"/>
          <w:sz w:val="24"/>
        </w:rPr>
        <w:t>本项目施工期使用商品混凝土，不现场搅拌，无混凝土搅拌废水。混凝土预制件均外购，故不产生养护废水，施工机械、车辆不在现场维修和冲洗。</w:t>
      </w:r>
      <w:r w:rsidRPr="00F9522B">
        <w:rPr>
          <w:rFonts w:eastAsiaTheme="minorEastAsia"/>
          <w:bCs/>
          <w:kern w:val="0"/>
          <w:sz w:val="24"/>
        </w:rPr>
        <w:t>施工期产生的废水主要为施工废水、施工人员产生的生活污水及</w:t>
      </w:r>
      <w:r w:rsidRPr="00F9522B">
        <w:rPr>
          <w:rFonts w:eastAsiaTheme="minorEastAsia"/>
          <w:spacing w:val="-5"/>
          <w:sz w:val="24"/>
        </w:rPr>
        <w:t>清淤沥水</w:t>
      </w:r>
      <w:r w:rsidRPr="00F9522B">
        <w:rPr>
          <w:rFonts w:eastAsiaTheme="minorEastAsia"/>
          <w:bCs/>
          <w:kern w:val="0"/>
          <w:sz w:val="24"/>
        </w:rPr>
        <w:t>。</w:t>
      </w:r>
    </w:p>
    <w:p w:rsidR="002A5A5E" w:rsidRPr="00F9522B" w:rsidRDefault="005273A1">
      <w:pPr>
        <w:autoSpaceDE w:val="0"/>
        <w:autoSpaceDN w:val="0"/>
        <w:adjustRightInd w:val="0"/>
        <w:spacing w:line="360" w:lineRule="auto"/>
        <w:ind w:firstLineChars="225" w:firstLine="540"/>
        <w:jc w:val="left"/>
        <w:rPr>
          <w:rFonts w:eastAsiaTheme="minorEastAsia"/>
          <w:bCs/>
          <w:kern w:val="0"/>
          <w:sz w:val="24"/>
        </w:rPr>
      </w:pPr>
      <w:r w:rsidRPr="00F9522B">
        <w:rPr>
          <w:rFonts w:eastAsiaTheme="minorEastAsia"/>
          <w:bCs/>
          <w:kern w:val="0"/>
          <w:sz w:val="24"/>
        </w:rPr>
        <w:fldChar w:fldCharType="begin"/>
      </w:r>
      <w:r w:rsidR="00611CBA" w:rsidRPr="00F9522B">
        <w:rPr>
          <w:rFonts w:eastAsiaTheme="minorEastAsia"/>
          <w:bCs/>
          <w:kern w:val="0"/>
          <w:sz w:val="24"/>
        </w:rPr>
        <w:instrText xml:space="preserve"> = 1 \* GB3 </w:instrText>
      </w:r>
      <w:r w:rsidRPr="00F9522B">
        <w:rPr>
          <w:rFonts w:eastAsiaTheme="minorEastAsia"/>
          <w:bCs/>
          <w:kern w:val="0"/>
          <w:sz w:val="24"/>
        </w:rPr>
        <w:fldChar w:fldCharType="separate"/>
      </w:r>
      <w:r w:rsidR="00611CBA" w:rsidRPr="00F9522B">
        <w:rPr>
          <w:rFonts w:ascii="宋体" w:hAnsi="宋体" w:cs="宋体" w:hint="eastAsia"/>
          <w:bCs/>
          <w:kern w:val="0"/>
          <w:sz w:val="24"/>
        </w:rPr>
        <w:t>①</w:t>
      </w:r>
      <w:r w:rsidRPr="00F9522B">
        <w:rPr>
          <w:rFonts w:eastAsiaTheme="minorEastAsia"/>
          <w:bCs/>
          <w:kern w:val="0"/>
          <w:sz w:val="24"/>
        </w:rPr>
        <w:fldChar w:fldCharType="end"/>
      </w:r>
      <w:r w:rsidR="00611CBA" w:rsidRPr="00F9522B">
        <w:rPr>
          <w:rFonts w:eastAsiaTheme="minorEastAsia"/>
          <w:bCs/>
          <w:kern w:val="0"/>
          <w:sz w:val="24"/>
        </w:rPr>
        <w:t>生活污水</w:t>
      </w:r>
    </w:p>
    <w:p w:rsidR="002A5A5E" w:rsidRPr="00F9522B" w:rsidRDefault="00611CBA">
      <w:pPr>
        <w:autoSpaceDE w:val="0"/>
        <w:autoSpaceDN w:val="0"/>
        <w:adjustRightInd w:val="0"/>
        <w:spacing w:line="360" w:lineRule="auto"/>
        <w:ind w:firstLineChars="225" w:firstLine="540"/>
        <w:jc w:val="left"/>
        <w:rPr>
          <w:rFonts w:eastAsiaTheme="minorEastAsia"/>
          <w:bCs/>
          <w:sz w:val="24"/>
        </w:rPr>
      </w:pPr>
      <w:r w:rsidRPr="00F9522B">
        <w:rPr>
          <w:rFonts w:eastAsiaTheme="minorEastAsia"/>
          <w:sz w:val="24"/>
        </w:rPr>
        <w:lastRenderedPageBreak/>
        <w:t>本工程涉及</w:t>
      </w:r>
      <w:r w:rsidRPr="00F9522B">
        <w:rPr>
          <w:rFonts w:eastAsiaTheme="minorEastAsia"/>
          <w:sz w:val="24"/>
        </w:rPr>
        <w:t>3</w:t>
      </w:r>
      <w:r w:rsidR="007843D4" w:rsidRPr="00F9522B">
        <w:rPr>
          <w:rFonts w:eastAsiaTheme="minorEastAsia"/>
          <w:sz w:val="24"/>
        </w:rPr>
        <w:t>5</w:t>
      </w:r>
      <w:r w:rsidRPr="00F9522B">
        <w:rPr>
          <w:rFonts w:eastAsiaTheme="minorEastAsia"/>
          <w:sz w:val="24"/>
        </w:rPr>
        <w:t>个自然村，每个村施工人员约</w:t>
      </w:r>
      <w:r w:rsidRPr="00F9522B">
        <w:rPr>
          <w:rFonts w:eastAsiaTheme="minorEastAsia"/>
          <w:sz w:val="24"/>
        </w:rPr>
        <w:t>12</w:t>
      </w:r>
      <w:r w:rsidRPr="00F9522B">
        <w:rPr>
          <w:rFonts w:eastAsiaTheme="minorEastAsia"/>
          <w:sz w:val="24"/>
        </w:rPr>
        <w:t>人，</w:t>
      </w:r>
      <w:r w:rsidRPr="00F9522B">
        <w:rPr>
          <w:rFonts w:eastAsiaTheme="minorEastAsia"/>
          <w:bCs/>
          <w:kern w:val="0"/>
          <w:sz w:val="24"/>
        </w:rPr>
        <w:t>本项目</w:t>
      </w:r>
      <w:r w:rsidRPr="00F9522B">
        <w:rPr>
          <w:rFonts w:eastAsiaTheme="minorEastAsia"/>
          <w:bCs/>
          <w:snapToGrid w:val="0"/>
          <w:kern w:val="0"/>
          <w:sz w:val="24"/>
        </w:rPr>
        <w:t>施工</w:t>
      </w:r>
      <w:r w:rsidRPr="00F9522B">
        <w:rPr>
          <w:rFonts w:eastAsiaTheme="minorEastAsia"/>
          <w:bCs/>
          <w:kern w:val="0"/>
          <w:sz w:val="24"/>
        </w:rPr>
        <w:t>期</w:t>
      </w:r>
      <w:r w:rsidRPr="00F9522B">
        <w:rPr>
          <w:rFonts w:eastAsiaTheme="minorEastAsia"/>
          <w:sz w:val="24"/>
        </w:rPr>
        <w:t>生活污水</w:t>
      </w:r>
      <w:r w:rsidRPr="00F9522B">
        <w:rPr>
          <w:rFonts w:eastAsiaTheme="minorEastAsia"/>
          <w:bCs/>
          <w:kern w:val="0"/>
          <w:sz w:val="24"/>
          <w:szCs w:val="20"/>
        </w:rPr>
        <w:t>产生量为</w:t>
      </w:r>
      <w:r w:rsidR="00E86661" w:rsidRPr="00F9522B">
        <w:rPr>
          <w:rFonts w:eastAsiaTheme="minorEastAsia"/>
          <w:bCs/>
          <w:kern w:val="0"/>
          <w:sz w:val="24"/>
          <w:szCs w:val="20"/>
        </w:rPr>
        <w:t>26.9</w:t>
      </w:r>
      <w:r w:rsidRPr="00F9522B">
        <w:rPr>
          <w:rFonts w:eastAsiaTheme="minorEastAsia"/>
          <w:bCs/>
          <w:kern w:val="0"/>
          <w:sz w:val="24"/>
          <w:szCs w:val="20"/>
        </w:rPr>
        <w:t>t/d</w:t>
      </w:r>
      <w:r w:rsidRPr="00F9522B">
        <w:rPr>
          <w:rFonts w:eastAsiaTheme="minorEastAsia"/>
          <w:bCs/>
          <w:kern w:val="0"/>
          <w:sz w:val="24"/>
          <w:szCs w:val="20"/>
        </w:rPr>
        <w:t>，平均每个村</w:t>
      </w:r>
      <w:r w:rsidRPr="00F9522B">
        <w:rPr>
          <w:rFonts w:eastAsiaTheme="minorEastAsia"/>
          <w:sz w:val="24"/>
        </w:rPr>
        <w:t>生活污水</w:t>
      </w:r>
      <w:r w:rsidRPr="00F9522B">
        <w:rPr>
          <w:rFonts w:eastAsiaTheme="minorEastAsia"/>
          <w:bCs/>
          <w:kern w:val="0"/>
          <w:sz w:val="24"/>
          <w:szCs w:val="20"/>
        </w:rPr>
        <w:t>产生量为</w:t>
      </w:r>
      <w:r w:rsidRPr="00F9522B">
        <w:rPr>
          <w:rFonts w:eastAsiaTheme="minorEastAsia"/>
          <w:bCs/>
          <w:kern w:val="0"/>
          <w:sz w:val="24"/>
          <w:szCs w:val="20"/>
        </w:rPr>
        <w:t>0.</w:t>
      </w:r>
      <w:r w:rsidR="00E86661" w:rsidRPr="00F9522B">
        <w:rPr>
          <w:rFonts w:eastAsiaTheme="minorEastAsia"/>
          <w:bCs/>
          <w:kern w:val="0"/>
          <w:sz w:val="24"/>
          <w:szCs w:val="20"/>
        </w:rPr>
        <w:t>77</w:t>
      </w:r>
      <w:r w:rsidRPr="00F9522B">
        <w:rPr>
          <w:rFonts w:eastAsiaTheme="minorEastAsia"/>
          <w:bCs/>
          <w:kern w:val="0"/>
          <w:sz w:val="24"/>
          <w:szCs w:val="20"/>
        </w:rPr>
        <w:t>t/d</w:t>
      </w:r>
      <w:r w:rsidRPr="00F9522B">
        <w:rPr>
          <w:rFonts w:eastAsiaTheme="minorEastAsia"/>
          <w:bCs/>
          <w:kern w:val="0"/>
          <w:sz w:val="24"/>
          <w:szCs w:val="20"/>
        </w:rPr>
        <w:t>，主要污染物为</w:t>
      </w:r>
      <w:r w:rsidRPr="00F9522B">
        <w:rPr>
          <w:rFonts w:eastAsiaTheme="minorEastAsia"/>
          <w:bCs/>
          <w:kern w:val="0"/>
          <w:sz w:val="24"/>
          <w:szCs w:val="20"/>
        </w:rPr>
        <w:t>COD</w:t>
      </w:r>
      <w:r w:rsidRPr="00F9522B">
        <w:rPr>
          <w:rFonts w:eastAsiaTheme="minorEastAsia"/>
          <w:bCs/>
          <w:kern w:val="0"/>
          <w:sz w:val="24"/>
          <w:szCs w:val="20"/>
        </w:rPr>
        <w:t>、</w:t>
      </w:r>
      <w:r w:rsidRPr="00F9522B">
        <w:rPr>
          <w:rFonts w:eastAsiaTheme="minorEastAsia"/>
          <w:bCs/>
          <w:kern w:val="0"/>
          <w:sz w:val="24"/>
          <w:szCs w:val="20"/>
        </w:rPr>
        <w:t>BOD</w:t>
      </w:r>
      <w:r w:rsidRPr="00F9522B">
        <w:rPr>
          <w:rFonts w:eastAsiaTheme="minorEastAsia"/>
          <w:bCs/>
          <w:kern w:val="0"/>
          <w:sz w:val="24"/>
          <w:szCs w:val="20"/>
          <w:vertAlign w:val="subscript"/>
        </w:rPr>
        <w:t>5</w:t>
      </w:r>
      <w:r w:rsidRPr="00F9522B">
        <w:rPr>
          <w:rFonts w:eastAsiaTheme="minorEastAsia"/>
          <w:bCs/>
          <w:kern w:val="0"/>
          <w:sz w:val="24"/>
          <w:szCs w:val="20"/>
        </w:rPr>
        <w:t>、</w:t>
      </w:r>
      <w:r w:rsidRPr="00F9522B">
        <w:rPr>
          <w:rFonts w:eastAsiaTheme="minorEastAsia"/>
          <w:bCs/>
          <w:kern w:val="0"/>
          <w:sz w:val="24"/>
          <w:szCs w:val="20"/>
        </w:rPr>
        <w:t>SS</w:t>
      </w:r>
      <w:r w:rsidRPr="00F9522B">
        <w:rPr>
          <w:rFonts w:eastAsiaTheme="minorEastAsia"/>
          <w:bCs/>
          <w:kern w:val="0"/>
          <w:sz w:val="24"/>
          <w:szCs w:val="20"/>
        </w:rPr>
        <w:t>、氨氮等，其浓度分别为</w:t>
      </w:r>
      <w:r w:rsidRPr="00F9522B">
        <w:rPr>
          <w:rFonts w:eastAsiaTheme="minorEastAsia"/>
          <w:bCs/>
          <w:kern w:val="0"/>
          <w:sz w:val="24"/>
          <w:szCs w:val="20"/>
        </w:rPr>
        <w:t>COD</w:t>
      </w:r>
      <w:r w:rsidRPr="00F9522B">
        <w:rPr>
          <w:rFonts w:eastAsiaTheme="minorEastAsia"/>
          <w:bCs/>
          <w:kern w:val="0"/>
          <w:sz w:val="24"/>
          <w:szCs w:val="20"/>
        </w:rPr>
        <w:t>：</w:t>
      </w:r>
      <w:r w:rsidRPr="00F9522B">
        <w:rPr>
          <w:rFonts w:eastAsiaTheme="minorEastAsia"/>
          <w:bCs/>
          <w:kern w:val="0"/>
          <w:sz w:val="24"/>
          <w:szCs w:val="20"/>
        </w:rPr>
        <w:t>450mg/L</w:t>
      </w:r>
      <w:r w:rsidRPr="00F9522B">
        <w:rPr>
          <w:rFonts w:eastAsiaTheme="minorEastAsia"/>
          <w:bCs/>
          <w:kern w:val="0"/>
          <w:sz w:val="24"/>
          <w:szCs w:val="20"/>
        </w:rPr>
        <w:t>、</w:t>
      </w:r>
      <w:r w:rsidRPr="00F9522B">
        <w:rPr>
          <w:rFonts w:eastAsiaTheme="minorEastAsia"/>
          <w:bCs/>
          <w:kern w:val="0"/>
          <w:sz w:val="24"/>
          <w:szCs w:val="20"/>
        </w:rPr>
        <w:t>BOD</w:t>
      </w:r>
      <w:r w:rsidRPr="00F9522B">
        <w:rPr>
          <w:rFonts w:eastAsiaTheme="minorEastAsia"/>
          <w:bCs/>
          <w:kern w:val="0"/>
          <w:sz w:val="24"/>
          <w:szCs w:val="20"/>
          <w:vertAlign w:val="subscript"/>
        </w:rPr>
        <w:t>5</w:t>
      </w:r>
      <w:r w:rsidRPr="00F9522B">
        <w:rPr>
          <w:rFonts w:eastAsiaTheme="minorEastAsia"/>
          <w:bCs/>
          <w:kern w:val="0"/>
          <w:sz w:val="24"/>
          <w:szCs w:val="20"/>
        </w:rPr>
        <w:t>：</w:t>
      </w:r>
      <w:r w:rsidRPr="00F9522B">
        <w:rPr>
          <w:rFonts w:eastAsiaTheme="minorEastAsia"/>
          <w:bCs/>
          <w:kern w:val="0"/>
          <w:sz w:val="24"/>
          <w:szCs w:val="20"/>
        </w:rPr>
        <w:t>250mg/L</w:t>
      </w:r>
      <w:r w:rsidRPr="00F9522B">
        <w:rPr>
          <w:rFonts w:eastAsiaTheme="minorEastAsia"/>
          <w:bCs/>
          <w:kern w:val="0"/>
          <w:sz w:val="24"/>
          <w:szCs w:val="20"/>
        </w:rPr>
        <w:t>、</w:t>
      </w:r>
      <w:r w:rsidRPr="00F9522B">
        <w:rPr>
          <w:rFonts w:eastAsiaTheme="minorEastAsia"/>
          <w:bCs/>
          <w:kern w:val="0"/>
          <w:sz w:val="24"/>
          <w:szCs w:val="20"/>
        </w:rPr>
        <w:t>SS</w:t>
      </w:r>
      <w:r w:rsidRPr="00F9522B">
        <w:rPr>
          <w:rFonts w:eastAsiaTheme="minorEastAsia"/>
          <w:bCs/>
          <w:kern w:val="0"/>
          <w:sz w:val="24"/>
          <w:szCs w:val="20"/>
        </w:rPr>
        <w:t>：</w:t>
      </w:r>
      <w:r w:rsidRPr="00F9522B">
        <w:rPr>
          <w:rFonts w:eastAsiaTheme="minorEastAsia"/>
          <w:bCs/>
          <w:kern w:val="0"/>
          <w:sz w:val="24"/>
          <w:szCs w:val="20"/>
        </w:rPr>
        <w:t>300mg/L</w:t>
      </w:r>
      <w:r w:rsidRPr="00F9522B">
        <w:rPr>
          <w:rFonts w:eastAsiaTheme="minorEastAsia"/>
          <w:bCs/>
          <w:kern w:val="0"/>
          <w:sz w:val="24"/>
          <w:szCs w:val="20"/>
        </w:rPr>
        <w:t>、氨氮：</w:t>
      </w:r>
      <w:r w:rsidRPr="00F9522B">
        <w:rPr>
          <w:rFonts w:eastAsiaTheme="minorEastAsia"/>
          <w:bCs/>
          <w:kern w:val="0"/>
          <w:sz w:val="24"/>
          <w:szCs w:val="20"/>
        </w:rPr>
        <w:t>40mg/L</w:t>
      </w:r>
      <w:r w:rsidRPr="00F9522B">
        <w:rPr>
          <w:rFonts w:eastAsiaTheme="minorEastAsia"/>
          <w:bCs/>
          <w:kern w:val="0"/>
          <w:sz w:val="24"/>
          <w:szCs w:val="20"/>
        </w:rPr>
        <w:t>、</w:t>
      </w:r>
      <w:r w:rsidRPr="00F9522B">
        <w:rPr>
          <w:rFonts w:eastAsiaTheme="minorEastAsia"/>
          <w:snapToGrid w:val="0"/>
          <w:sz w:val="24"/>
        </w:rPr>
        <w:t>pH</w:t>
      </w:r>
      <w:r w:rsidRPr="00F9522B">
        <w:rPr>
          <w:rFonts w:eastAsiaTheme="minorEastAsia"/>
          <w:snapToGrid w:val="0"/>
          <w:sz w:val="24"/>
        </w:rPr>
        <w:t>：</w:t>
      </w:r>
      <w:r w:rsidRPr="00F9522B">
        <w:rPr>
          <w:rFonts w:eastAsiaTheme="minorEastAsia"/>
          <w:bCs/>
          <w:sz w:val="24"/>
        </w:rPr>
        <w:t>6-9</w:t>
      </w:r>
      <w:r w:rsidRPr="00F9522B">
        <w:rPr>
          <w:rFonts w:eastAsiaTheme="minorEastAsia"/>
          <w:bCs/>
          <w:sz w:val="24"/>
        </w:rPr>
        <w:t>（无量纲）</w:t>
      </w:r>
      <w:r w:rsidRPr="00F9522B">
        <w:rPr>
          <w:rFonts w:eastAsiaTheme="minorEastAsia"/>
          <w:bCs/>
          <w:kern w:val="0"/>
          <w:sz w:val="24"/>
          <w:szCs w:val="20"/>
        </w:rPr>
        <w:t>，</w:t>
      </w:r>
      <w:r w:rsidRPr="00F9522B">
        <w:rPr>
          <w:rFonts w:eastAsiaTheme="minorEastAsia"/>
          <w:bCs/>
          <w:sz w:val="24"/>
        </w:rPr>
        <w:t>生活污水依托附近民房防渗旱厕，定期清掏，外运堆肥，不外排。</w:t>
      </w:r>
    </w:p>
    <w:p w:rsidR="002A5A5E" w:rsidRPr="00F9522B" w:rsidRDefault="00611CBA">
      <w:pPr>
        <w:contextualSpacing/>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3-3-1</w:t>
      </w:r>
      <w:r w:rsidRPr="00F9522B">
        <w:rPr>
          <w:rFonts w:eastAsiaTheme="minorEastAsia"/>
          <w:b/>
          <w:kern w:val="0"/>
          <w:szCs w:val="21"/>
        </w:rPr>
        <w:t>施工期生活污水排放情况表</w:t>
      </w:r>
    </w:p>
    <w:tbl>
      <w:tblPr>
        <w:tblW w:w="5000" w:type="pct"/>
        <w:tblBorders>
          <w:top w:val="single" w:sz="12" w:space="0" w:color="auto"/>
          <w:bottom w:val="single" w:sz="12" w:space="0" w:color="auto"/>
          <w:insideH w:val="single" w:sz="4" w:space="0" w:color="auto"/>
          <w:insideV w:val="single" w:sz="4" w:space="0" w:color="auto"/>
        </w:tblBorders>
        <w:tblLook w:val="04A0"/>
      </w:tblPr>
      <w:tblGrid>
        <w:gridCol w:w="1291"/>
        <w:gridCol w:w="1844"/>
        <w:gridCol w:w="1174"/>
        <w:gridCol w:w="983"/>
        <w:gridCol w:w="914"/>
        <w:gridCol w:w="707"/>
        <w:gridCol w:w="1609"/>
      </w:tblGrid>
      <w:tr w:rsidR="002A5A5E" w:rsidRPr="00F9522B" w:rsidTr="00E86661">
        <w:trPr>
          <w:trHeight w:val="35"/>
        </w:trPr>
        <w:tc>
          <w:tcPr>
            <w:tcW w:w="757"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废水量（</w:t>
            </w:r>
            <w:r w:rsidRPr="00F9522B">
              <w:rPr>
                <w:rFonts w:eastAsiaTheme="minorEastAsia" w:hAnsi="Times New Roman"/>
                <w:snapToGrid w:val="0"/>
                <w:szCs w:val="22"/>
              </w:rPr>
              <w:t>t/d</w:t>
            </w:r>
            <w:r w:rsidRPr="00F9522B">
              <w:rPr>
                <w:rFonts w:eastAsiaTheme="minorEastAsia" w:hAnsi="Times New Roman"/>
                <w:snapToGrid w:val="0"/>
                <w:szCs w:val="22"/>
              </w:rPr>
              <w:t>）</w:t>
            </w:r>
          </w:p>
        </w:tc>
        <w:tc>
          <w:tcPr>
            <w:tcW w:w="1082"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水质</w:t>
            </w:r>
          </w:p>
        </w:tc>
        <w:tc>
          <w:tcPr>
            <w:tcW w:w="689"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CODcr</w:t>
            </w:r>
          </w:p>
        </w:tc>
        <w:tc>
          <w:tcPr>
            <w:tcW w:w="577"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BOD</w:t>
            </w:r>
            <w:r w:rsidRPr="00F9522B">
              <w:rPr>
                <w:rFonts w:eastAsiaTheme="minorEastAsia" w:hAnsi="Times New Roman"/>
                <w:snapToGrid w:val="0"/>
                <w:szCs w:val="22"/>
                <w:vertAlign w:val="subscript"/>
              </w:rPr>
              <w:t>5</w:t>
            </w:r>
          </w:p>
        </w:tc>
        <w:tc>
          <w:tcPr>
            <w:tcW w:w="536"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SS</w:t>
            </w:r>
          </w:p>
        </w:tc>
        <w:tc>
          <w:tcPr>
            <w:tcW w:w="415"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氨氮</w:t>
            </w:r>
          </w:p>
        </w:tc>
        <w:tc>
          <w:tcPr>
            <w:tcW w:w="945" w:type="pct"/>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pH</w:t>
            </w:r>
          </w:p>
        </w:tc>
      </w:tr>
      <w:tr w:rsidR="002A5A5E" w:rsidRPr="00F9522B" w:rsidTr="00E86661">
        <w:trPr>
          <w:trHeight w:val="54"/>
        </w:trPr>
        <w:tc>
          <w:tcPr>
            <w:tcW w:w="757" w:type="pct"/>
            <w:vMerge w:val="restart"/>
            <w:shd w:val="clear" w:color="auto" w:fill="auto"/>
            <w:vAlign w:val="center"/>
          </w:tcPr>
          <w:p w:rsidR="002A5A5E" w:rsidRPr="00F9522B" w:rsidRDefault="00E86661">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26.9</w:t>
            </w:r>
          </w:p>
        </w:tc>
        <w:tc>
          <w:tcPr>
            <w:tcW w:w="1082"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产生浓度（</w:t>
            </w:r>
            <w:r w:rsidRPr="00F9522B">
              <w:rPr>
                <w:rFonts w:eastAsiaTheme="minorEastAsia" w:hAnsi="Times New Roman"/>
                <w:snapToGrid w:val="0"/>
                <w:szCs w:val="22"/>
              </w:rPr>
              <w:t>mg/L</w:t>
            </w:r>
            <w:r w:rsidRPr="00F9522B">
              <w:rPr>
                <w:rFonts w:eastAsiaTheme="minorEastAsia" w:hAnsi="Times New Roman"/>
                <w:snapToGrid w:val="0"/>
                <w:szCs w:val="22"/>
              </w:rPr>
              <w:t>）</w:t>
            </w:r>
          </w:p>
        </w:tc>
        <w:tc>
          <w:tcPr>
            <w:tcW w:w="689" w:type="pct"/>
            <w:shd w:val="clear" w:color="auto" w:fill="auto"/>
            <w:vAlign w:val="center"/>
          </w:tcPr>
          <w:p w:rsidR="002A5A5E" w:rsidRPr="00F9522B" w:rsidRDefault="00611CBA">
            <w:pPr>
              <w:contextualSpacing/>
              <w:jc w:val="center"/>
              <w:rPr>
                <w:rFonts w:eastAsiaTheme="minorEastAsia"/>
                <w:bCs/>
                <w:szCs w:val="21"/>
              </w:rPr>
            </w:pPr>
            <w:r w:rsidRPr="00F9522B">
              <w:rPr>
                <w:rFonts w:eastAsiaTheme="minorEastAsia"/>
                <w:bCs/>
                <w:szCs w:val="21"/>
              </w:rPr>
              <w:t>450</w:t>
            </w:r>
          </w:p>
        </w:tc>
        <w:tc>
          <w:tcPr>
            <w:tcW w:w="577" w:type="pct"/>
            <w:shd w:val="clear" w:color="auto" w:fill="auto"/>
            <w:vAlign w:val="center"/>
          </w:tcPr>
          <w:p w:rsidR="002A5A5E" w:rsidRPr="00F9522B" w:rsidRDefault="00611CBA">
            <w:pPr>
              <w:contextualSpacing/>
              <w:jc w:val="center"/>
              <w:rPr>
                <w:rFonts w:eastAsiaTheme="minorEastAsia"/>
                <w:bCs/>
                <w:szCs w:val="21"/>
              </w:rPr>
            </w:pPr>
            <w:r w:rsidRPr="00F9522B">
              <w:rPr>
                <w:rFonts w:eastAsiaTheme="minorEastAsia"/>
                <w:bCs/>
                <w:szCs w:val="21"/>
              </w:rPr>
              <w:t>250</w:t>
            </w:r>
          </w:p>
        </w:tc>
        <w:tc>
          <w:tcPr>
            <w:tcW w:w="536" w:type="pct"/>
            <w:shd w:val="clear" w:color="auto" w:fill="auto"/>
            <w:vAlign w:val="center"/>
          </w:tcPr>
          <w:p w:rsidR="002A5A5E" w:rsidRPr="00F9522B" w:rsidRDefault="00611CBA">
            <w:pPr>
              <w:contextualSpacing/>
              <w:jc w:val="center"/>
              <w:rPr>
                <w:rFonts w:eastAsiaTheme="minorEastAsia"/>
                <w:bCs/>
                <w:szCs w:val="21"/>
              </w:rPr>
            </w:pPr>
            <w:r w:rsidRPr="00F9522B">
              <w:rPr>
                <w:rFonts w:eastAsiaTheme="minorEastAsia"/>
                <w:bCs/>
                <w:szCs w:val="21"/>
              </w:rPr>
              <w:t>300</w:t>
            </w:r>
          </w:p>
        </w:tc>
        <w:tc>
          <w:tcPr>
            <w:tcW w:w="415" w:type="pct"/>
            <w:shd w:val="clear" w:color="auto" w:fill="auto"/>
            <w:vAlign w:val="center"/>
          </w:tcPr>
          <w:p w:rsidR="002A5A5E" w:rsidRPr="00F9522B" w:rsidRDefault="00611CBA">
            <w:pPr>
              <w:contextualSpacing/>
              <w:jc w:val="center"/>
              <w:rPr>
                <w:rFonts w:eastAsiaTheme="minorEastAsia"/>
                <w:bCs/>
                <w:szCs w:val="21"/>
              </w:rPr>
            </w:pPr>
            <w:r w:rsidRPr="00F9522B">
              <w:rPr>
                <w:rFonts w:eastAsiaTheme="minorEastAsia"/>
                <w:bCs/>
                <w:szCs w:val="21"/>
              </w:rPr>
              <w:t>40</w:t>
            </w:r>
          </w:p>
        </w:tc>
        <w:tc>
          <w:tcPr>
            <w:tcW w:w="945" w:type="pct"/>
          </w:tcPr>
          <w:p w:rsidR="002A5A5E" w:rsidRPr="00F9522B" w:rsidRDefault="00611CBA">
            <w:pPr>
              <w:contextualSpacing/>
              <w:jc w:val="center"/>
              <w:rPr>
                <w:rFonts w:eastAsiaTheme="minorEastAsia"/>
                <w:bCs/>
                <w:szCs w:val="21"/>
              </w:rPr>
            </w:pPr>
            <w:r w:rsidRPr="00F9522B">
              <w:rPr>
                <w:rFonts w:eastAsiaTheme="minorEastAsia"/>
                <w:bCs/>
                <w:szCs w:val="21"/>
              </w:rPr>
              <w:t>6-9</w:t>
            </w:r>
            <w:r w:rsidRPr="00F9522B">
              <w:rPr>
                <w:rFonts w:eastAsiaTheme="minorEastAsia"/>
                <w:bCs/>
                <w:szCs w:val="21"/>
              </w:rPr>
              <w:t>（无量纲）</w:t>
            </w:r>
          </w:p>
        </w:tc>
      </w:tr>
      <w:tr w:rsidR="002A5A5E" w:rsidRPr="00F9522B" w:rsidTr="00E86661">
        <w:trPr>
          <w:trHeight w:val="54"/>
        </w:trPr>
        <w:tc>
          <w:tcPr>
            <w:tcW w:w="757" w:type="pct"/>
            <w:vMerge/>
            <w:shd w:val="clear" w:color="auto" w:fill="auto"/>
            <w:vAlign w:val="center"/>
          </w:tcPr>
          <w:p w:rsidR="002A5A5E" w:rsidRPr="00F9522B" w:rsidRDefault="002A5A5E">
            <w:pPr>
              <w:pStyle w:val="aff7"/>
              <w:spacing w:line="0" w:lineRule="atLeast"/>
              <w:rPr>
                <w:rFonts w:eastAsiaTheme="minorEastAsia" w:hAnsi="Times New Roman"/>
                <w:snapToGrid w:val="0"/>
              </w:rPr>
            </w:pPr>
          </w:p>
        </w:tc>
        <w:tc>
          <w:tcPr>
            <w:tcW w:w="1082" w:type="pct"/>
            <w:shd w:val="clear" w:color="auto" w:fill="auto"/>
            <w:vAlign w:val="center"/>
          </w:tcPr>
          <w:p w:rsidR="002A5A5E" w:rsidRPr="00F9522B" w:rsidRDefault="00611CBA">
            <w:pPr>
              <w:pStyle w:val="aff7"/>
              <w:spacing w:line="0" w:lineRule="atLeast"/>
              <w:rPr>
                <w:rFonts w:eastAsiaTheme="minorEastAsia" w:hAnsi="Times New Roman"/>
                <w:b/>
                <w:snapToGrid w:val="0"/>
                <w:szCs w:val="22"/>
              </w:rPr>
            </w:pPr>
            <w:r w:rsidRPr="00F9522B">
              <w:rPr>
                <w:rFonts w:eastAsiaTheme="minorEastAsia" w:hAnsi="Times New Roman"/>
                <w:snapToGrid w:val="0"/>
                <w:szCs w:val="22"/>
              </w:rPr>
              <w:t>产生量（</w:t>
            </w:r>
            <w:r w:rsidRPr="00F9522B">
              <w:rPr>
                <w:rFonts w:eastAsiaTheme="minorEastAsia" w:hAnsi="Times New Roman"/>
                <w:snapToGrid w:val="0"/>
                <w:szCs w:val="22"/>
              </w:rPr>
              <w:t>kg/d</w:t>
            </w:r>
            <w:r w:rsidRPr="00F9522B">
              <w:rPr>
                <w:rFonts w:eastAsiaTheme="minorEastAsia" w:hAnsi="Times New Roman"/>
                <w:snapToGrid w:val="0"/>
                <w:szCs w:val="22"/>
              </w:rPr>
              <w:t>）</w:t>
            </w:r>
          </w:p>
        </w:tc>
        <w:tc>
          <w:tcPr>
            <w:tcW w:w="689" w:type="pct"/>
            <w:shd w:val="clear" w:color="auto" w:fill="auto"/>
            <w:vAlign w:val="center"/>
          </w:tcPr>
          <w:p w:rsidR="002A5A5E" w:rsidRPr="00F9522B" w:rsidRDefault="00E86661" w:rsidP="0042166B">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12.1</w:t>
            </w:r>
          </w:p>
        </w:tc>
        <w:tc>
          <w:tcPr>
            <w:tcW w:w="577" w:type="pct"/>
            <w:shd w:val="clear" w:color="auto" w:fill="auto"/>
            <w:vAlign w:val="center"/>
          </w:tcPr>
          <w:p w:rsidR="002A5A5E" w:rsidRPr="00F9522B" w:rsidRDefault="00E86661">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6.7</w:t>
            </w:r>
          </w:p>
        </w:tc>
        <w:tc>
          <w:tcPr>
            <w:tcW w:w="536" w:type="pct"/>
            <w:shd w:val="clear" w:color="auto" w:fill="auto"/>
            <w:vAlign w:val="center"/>
          </w:tcPr>
          <w:p w:rsidR="002A5A5E" w:rsidRPr="00F9522B" w:rsidRDefault="00E86661">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8.1</w:t>
            </w:r>
          </w:p>
        </w:tc>
        <w:tc>
          <w:tcPr>
            <w:tcW w:w="415" w:type="pct"/>
            <w:shd w:val="clear" w:color="auto" w:fill="auto"/>
            <w:vAlign w:val="center"/>
          </w:tcPr>
          <w:p w:rsidR="002A5A5E" w:rsidRPr="00F9522B" w:rsidRDefault="0042166B" w:rsidP="00E86661">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1.</w:t>
            </w:r>
            <w:r w:rsidR="00E86661" w:rsidRPr="00F9522B">
              <w:rPr>
                <w:rFonts w:eastAsiaTheme="minorEastAsia" w:hAnsi="Times New Roman"/>
                <w:snapToGrid w:val="0"/>
                <w:szCs w:val="22"/>
              </w:rPr>
              <w:t>1</w:t>
            </w:r>
          </w:p>
        </w:tc>
        <w:tc>
          <w:tcPr>
            <w:tcW w:w="945" w:type="pct"/>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w:t>
            </w:r>
          </w:p>
        </w:tc>
      </w:tr>
    </w:tbl>
    <w:p w:rsidR="002A5A5E" w:rsidRPr="00F9522B" w:rsidRDefault="005273A1">
      <w:pPr>
        <w:autoSpaceDE w:val="0"/>
        <w:autoSpaceDN w:val="0"/>
        <w:adjustRightInd w:val="0"/>
        <w:spacing w:line="360" w:lineRule="auto"/>
        <w:ind w:firstLineChars="200" w:firstLine="480"/>
        <w:jc w:val="left"/>
        <w:rPr>
          <w:rFonts w:eastAsiaTheme="minorEastAsia"/>
          <w:bCs/>
          <w:kern w:val="0"/>
          <w:sz w:val="24"/>
        </w:rPr>
      </w:pPr>
      <w:r w:rsidRPr="00F9522B">
        <w:rPr>
          <w:rFonts w:eastAsiaTheme="minorEastAsia"/>
          <w:bCs/>
          <w:kern w:val="0"/>
          <w:sz w:val="24"/>
        </w:rPr>
        <w:fldChar w:fldCharType="begin"/>
      </w:r>
      <w:r w:rsidR="00611CBA" w:rsidRPr="00F9522B">
        <w:rPr>
          <w:rFonts w:eastAsiaTheme="minorEastAsia"/>
          <w:bCs/>
          <w:kern w:val="0"/>
          <w:sz w:val="24"/>
        </w:rPr>
        <w:instrText xml:space="preserve"> = 2 \* GB3 </w:instrText>
      </w:r>
      <w:r w:rsidRPr="00F9522B">
        <w:rPr>
          <w:rFonts w:eastAsiaTheme="minorEastAsia"/>
          <w:bCs/>
          <w:kern w:val="0"/>
          <w:sz w:val="24"/>
        </w:rPr>
        <w:fldChar w:fldCharType="separate"/>
      </w:r>
      <w:r w:rsidR="00611CBA" w:rsidRPr="00F9522B">
        <w:rPr>
          <w:rFonts w:ascii="宋体" w:hAnsi="宋体" w:cs="宋体" w:hint="eastAsia"/>
          <w:bCs/>
          <w:kern w:val="0"/>
          <w:sz w:val="24"/>
        </w:rPr>
        <w:t>②</w:t>
      </w:r>
      <w:r w:rsidRPr="00F9522B">
        <w:rPr>
          <w:rFonts w:eastAsiaTheme="minorEastAsia"/>
          <w:bCs/>
          <w:kern w:val="0"/>
          <w:sz w:val="24"/>
        </w:rPr>
        <w:fldChar w:fldCharType="end"/>
      </w:r>
      <w:r w:rsidR="00611CBA" w:rsidRPr="00F9522B">
        <w:rPr>
          <w:rFonts w:eastAsiaTheme="minorEastAsia"/>
          <w:bCs/>
          <w:kern w:val="0"/>
          <w:sz w:val="24"/>
        </w:rPr>
        <w:t>洗井废水</w:t>
      </w:r>
    </w:p>
    <w:p w:rsidR="002A5A5E" w:rsidRPr="00F9522B" w:rsidRDefault="00611CBA">
      <w:pPr>
        <w:widowControl/>
        <w:spacing w:line="360" w:lineRule="auto"/>
        <w:ind w:firstLineChars="200" w:firstLine="480"/>
        <w:rPr>
          <w:rFonts w:eastAsiaTheme="minorEastAsia"/>
          <w:sz w:val="24"/>
        </w:rPr>
      </w:pPr>
      <w:r w:rsidRPr="00F9522B">
        <w:rPr>
          <w:rFonts w:eastAsiaTheme="minorEastAsia"/>
          <w:bCs/>
          <w:kern w:val="0"/>
          <w:sz w:val="24"/>
          <w:szCs w:val="20"/>
        </w:rPr>
        <w:t>完井后，需进行洗井作业，本项目洗井液采用清水对管套内进行清洗，其成分主要为</w:t>
      </w:r>
      <w:r w:rsidRPr="00F9522B">
        <w:rPr>
          <w:rFonts w:eastAsiaTheme="minorEastAsia"/>
          <w:bCs/>
          <w:kern w:val="0"/>
          <w:sz w:val="24"/>
          <w:szCs w:val="20"/>
        </w:rPr>
        <w:t>SS</w:t>
      </w:r>
      <w:r w:rsidRPr="00F9522B">
        <w:rPr>
          <w:rFonts w:eastAsiaTheme="minorEastAsia"/>
          <w:bCs/>
          <w:kern w:val="0"/>
          <w:sz w:val="24"/>
          <w:szCs w:val="20"/>
        </w:rPr>
        <w:t>，无其他化学药剂，</w:t>
      </w:r>
      <w:r w:rsidRPr="00F9522B">
        <w:rPr>
          <w:rFonts w:eastAsiaTheme="minorEastAsia"/>
          <w:sz w:val="24"/>
        </w:rPr>
        <w:t>洗井废水产生</w:t>
      </w:r>
      <w:r w:rsidRPr="00F9522B">
        <w:rPr>
          <w:rFonts w:eastAsiaTheme="minorEastAsia"/>
          <w:sz w:val="24"/>
          <w:szCs w:val="22"/>
        </w:rPr>
        <w:t>量为</w:t>
      </w:r>
      <w:r w:rsidR="0081510C" w:rsidRPr="00F9522B">
        <w:rPr>
          <w:rFonts w:eastAsiaTheme="minorEastAsia"/>
          <w:sz w:val="24"/>
          <w:szCs w:val="22"/>
        </w:rPr>
        <w:t>4006</w:t>
      </w:r>
      <w:r w:rsidRPr="00F9522B">
        <w:rPr>
          <w:rFonts w:eastAsiaTheme="minorEastAsia"/>
          <w:sz w:val="24"/>
          <w:szCs w:val="22"/>
        </w:rPr>
        <w:t>m</w:t>
      </w:r>
      <w:r w:rsidRPr="00F9522B">
        <w:rPr>
          <w:rFonts w:eastAsiaTheme="minorEastAsia"/>
          <w:sz w:val="24"/>
          <w:szCs w:val="22"/>
          <w:vertAlign w:val="superscript"/>
        </w:rPr>
        <w:t>3</w:t>
      </w:r>
      <w:r w:rsidRPr="00F9522B">
        <w:rPr>
          <w:rFonts w:eastAsiaTheme="minorEastAsia"/>
          <w:sz w:val="24"/>
          <w:szCs w:val="22"/>
        </w:rPr>
        <w:t>，</w:t>
      </w:r>
      <w:r w:rsidRPr="00F9522B">
        <w:rPr>
          <w:rFonts w:eastAsiaTheme="minorEastAsia"/>
          <w:sz w:val="24"/>
        </w:rPr>
        <w:t>用于洒水降尘。</w:t>
      </w:r>
    </w:p>
    <w:p w:rsidR="002A5A5E" w:rsidRPr="00F9522B" w:rsidRDefault="005273A1" w:rsidP="00611CBA">
      <w:pPr>
        <w:widowControl/>
        <w:spacing w:line="360" w:lineRule="auto"/>
        <w:ind w:firstLineChars="200" w:firstLine="480"/>
        <w:rPr>
          <w:rFonts w:eastAsiaTheme="minorEastAsia"/>
          <w:spacing w:val="-5"/>
          <w:sz w:val="24"/>
        </w:rPr>
      </w:pPr>
      <w:r w:rsidRPr="00F9522B">
        <w:rPr>
          <w:rFonts w:eastAsiaTheme="minorEastAsia"/>
          <w:spacing w:val="-5"/>
          <w:sz w:val="24"/>
        </w:rPr>
        <w:fldChar w:fldCharType="begin"/>
      </w:r>
      <w:r w:rsidR="00611CBA" w:rsidRPr="00F9522B">
        <w:rPr>
          <w:rFonts w:eastAsiaTheme="minorEastAsia"/>
          <w:spacing w:val="-5"/>
          <w:sz w:val="24"/>
        </w:rPr>
        <w:instrText xml:space="preserve"> = 3 \* GB3 </w:instrText>
      </w:r>
      <w:r w:rsidRPr="00F9522B">
        <w:rPr>
          <w:rFonts w:eastAsiaTheme="minorEastAsia"/>
          <w:spacing w:val="-5"/>
          <w:sz w:val="24"/>
        </w:rPr>
        <w:fldChar w:fldCharType="separate"/>
      </w:r>
      <w:r w:rsidR="00611CBA" w:rsidRPr="00F9522B">
        <w:rPr>
          <w:rFonts w:ascii="宋体" w:hAnsi="宋体" w:cs="宋体" w:hint="eastAsia"/>
          <w:spacing w:val="-5"/>
          <w:sz w:val="24"/>
        </w:rPr>
        <w:t>③</w:t>
      </w:r>
      <w:r w:rsidRPr="00F9522B">
        <w:rPr>
          <w:rFonts w:eastAsiaTheme="minorEastAsia"/>
          <w:spacing w:val="-5"/>
          <w:sz w:val="24"/>
        </w:rPr>
        <w:fldChar w:fldCharType="end"/>
      </w:r>
      <w:r w:rsidR="00611CBA" w:rsidRPr="00F9522B">
        <w:rPr>
          <w:rFonts w:eastAsiaTheme="minorEastAsia"/>
          <w:sz w:val="24"/>
        </w:rPr>
        <w:t>钻井</w:t>
      </w:r>
      <w:r w:rsidR="00611CBA" w:rsidRPr="00F9522B">
        <w:rPr>
          <w:rFonts w:eastAsiaTheme="minorEastAsia"/>
          <w:bCs/>
          <w:sz w:val="24"/>
          <w:szCs w:val="22"/>
        </w:rPr>
        <w:t>泥浆</w:t>
      </w:r>
    </w:p>
    <w:p w:rsidR="002A5A5E" w:rsidRPr="00F9522B" w:rsidRDefault="00611CBA">
      <w:pPr>
        <w:widowControl/>
        <w:spacing w:line="360" w:lineRule="auto"/>
        <w:ind w:firstLineChars="200" w:firstLine="480"/>
        <w:rPr>
          <w:rFonts w:eastAsiaTheme="minorEastAsia"/>
          <w:sz w:val="24"/>
        </w:rPr>
      </w:pPr>
      <w:r w:rsidRPr="00F9522B">
        <w:rPr>
          <w:rFonts w:eastAsiaTheme="minorEastAsia"/>
          <w:sz w:val="24"/>
          <w:szCs w:val="22"/>
        </w:rPr>
        <w:t>本项目</w:t>
      </w:r>
      <w:r w:rsidR="00DE2B0A" w:rsidRPr="00F9522B">
        <w:rPr>
          <w:rFonts w:eastAsiaTheme="minorEastAsia"/>
          <w:bCs/>
          <w:sz w:val="24"/>
          <w:szCs w:val="22"/>
        </w:rPr>
        <w:t>单井泥浆最大产生量</w:t>
      </w:r>
      <w:r w:rsidR="00DE2B0A" w:rsidRPr="00F9522B">
        <w:rPr>
          <w:rFonts w:eastAsiaTheme="minorEastAsia"/>
          <w:bCs/>
          <w:sz w:val="24"/>
          <w:szCs w:val="22"/>
        </w:rPr>
        <w:t>16m</w:t>
      </w:r>
      <w:r w:rsidR="00DE2B0A" w:rsidRPr="00F9522B">
        <w:rPr>
          <w:rFonts w:eastAsiaTheme="minorEastAsia"/>
          <w:bCs/>
          <w:sz w:val="24"/>
          <w:szCs w:val="22"/>
          <w:vertAlign w:val="superscript"/>
        </w:rPr>
        <w:t>3</w:t>
      </w:r>
      <w:r w:rsidRPr="00F9522B">
        <w:rPr>
          <w:rFonts w:eastAsiaTheme="minorEastAsia"/>
          <w:bCs/>
          <w:sz w:val="24"/>
          <w:szCs w:val="22"/>
        </w:rPr>
        <w:t>，</w:t>
      </w:r>
      <w:r w:rsidRPr="00F9522B">
        <w:rPr>
          <w:rFonts w:eastAsiaTheme="minorEastAsia"/>
          <w:sz w:val="24"/>
          <w:szCs w:val="22"/>
        </w:rPr>
        <w:t>钻井泥浆可循环利用，废泥浆</w:t>
      </w:r>
      <w:r w:rsidRPr="00F9522B">
        <w:rPr>
          <w:rFonts w:eastAsiaTheme="minorEastAsia"/>
          <w:sz w:val="24"/>
        </w:rPr>
        <w:t>暂存于施工场地</w:t>
      </w:r>
      <w:r w:rsidR="0009673A" w:rsidRPr="00F9522B">
        <w:rPr>
          <w:rFonts w:eastAsiaTheme="minorEastAsia"/>
          <w:sz w:val="24"/>
        </w:rPr>
        <w:t>5</w:t>
      </w:r>
      <w:r w:rsidR="0009673A" w:rsidRPr="00F9522B">
        <w:rPr>
          <w:rFonts w:eastAsiaTheme="minorEastAsia"/>
          <w:sz w:val="24"/>
        </w:rPr>
        <w:t>个</w:t>
      </w:r>
      <w:r w:rsidR="0009673A" w:rsidRPr="00F9522B">
        <w:rPr>
          <w:rFonts w:eastAsiaTheme="minorEastAsia"/>
          <w:sz w:val="24"/>
        </w:rPr>
        <w:t>2</w:t>
      </w:r>
      <w:r w:rsidRPr="00F9522B">
        <w:rPr>
          <w:rFonts w:eastAsiaTheme="minorEastAsia"/>
          <w:sz w:val="24"/>
        </w:rPr>
        <w:t>0</w:t>
      </w:r>
      <w:r w:rsidRPr="00F9522B">
        <w:rPr>
          <w:rFonts w:eastAsiaTheme="minorEastAsia"/>
          <w:sz w:val="24"/>
          <w:szCs w:val="22"/>
        </w:rPr>
        <w:t>m</w:t>
      </w:r>
      <w:r w:rsidRPr="00F9522B">
        <w:rPr>
          <w:rFonts w:eastAsiaTheme="minorEastAsia"/>
          <w:sz w:val="24"/>
          <w:szCs w:val="22"/>
          <w:vertAlign w:val="superscript"/>
        </w:rPr>
        <w:t>3</w:t>
      </w:r>
      <w:r w:rsidRPr="00F9522B">
        <w:rPr>
          <w:rFonts w:eastAsiaTheme="minorEastAsia"/>
          <w:sz w:val="24"/>
        </w:rPr>
        <w:t>移动式不锈钢沉淀池内，沉淀后上层清水用于洒水降尘，下层钻井</w:t>
      </w:r>
      <w:r w:rsidRPr="00F9522B">
        <w:rPr>
          <w:rFonts w:eastAsiaTheme="minorEastAsia"/>
          <w:bCs/>
          <w:sz w:val="24"/>
          <w:szCs w:val="22"/>
        </w:rPr>
        <w:t>泥浆自然干化后用于周围道路平整。</w:t>
      </w:r>
    </w:p>
    <w:p w:rsidR="002A5A5E" w:rsidRPr="00F9522B" w:rsidRDefault="005273A1" w:rsidP="00611CBA">
      <w:pPr>
        <w:widowControl/>
        <w:spacing w:line="360" w:lineRule="auto"/>
        <w:ind w:firstLineChars="200" w:firstLine="480"/>
        <w:rPr>
          <w:rFonts w:eastAsiaTheme="minorEastAsia"/>
          <w:spacing w:val="-5"/>
          <w:sz w:val="24"/>
        </w:rPr>
      </w:pPr>
      <w:r w:rsidRPr="00F9522B">
        <w:rPr>
          <w:rFonts w:eastAsiaTheme="minorEastAsia"/>
          <w:spacing w:val="-5"/>
          <w:sz w:val="24"/>
        </w:rPr>
        <w:fldChar w:fldCharType="begin"/>
      </w:r>
      <w:r w:rsidR="00611CBA" w:rsidRPr="00F9522B">
        <w:rPr>
          <w:rFonts w:eastAsiaTheme="minorEastAsia"/>
          <w:spacing w:val="-5"/>
          <w:sz w:val="24"/>
        </w:rPr>
        <w:instrText xml:space="preserve"> = 4 \* GB3 </w:instrText>
      </w:r>
      <w:r w:rsidRPr="00F9522B">
        <w:rPr>
          <w:rFonts w:eastAsiaTheme="minorEastAsia"/>
          <w:spacing w:val="-5"/>
          <w:sz w:val="24"/>
        </w:rPr>
        <w:fldChar w:fldCharType="separate"/>
      </w:r>
      <w:r w:rsidR="00611CBA" w:rsidRPr="00F9522B">
        <w:rPr>
          <w:rFonts w:ascii="宋体" w:hAnsi="宋体" w:cs="宋体" w:hint="eastAsia"/>
          <w:spacing w:val="-5"/>
          <w:sz w:val="24"/>
        </w:rPr>
        <w:t>④</w:t>
      </w:r>
      <w:r w:rsidRPr="00F9522B">
        <w:rPr>
          <w:rFonts w:eastAsiaTheme="minorEastAsia"/>
          <w:spacing w:val="-5"/>
          <w:sz w:val="24"/>
        </w:rPr>
        <w:fldChar w:fldCharType="end"/>
      </w:r>
      <w:r w:rsidR="00611CBA" w:rsidRPr="00F9522B">
        <w:rPr>
          <w:rFonts w:eastAsiaTheme="minorEastAsia"/>
          <w:spacing w:val="-5"/>
          <w:sz w:val="24"/>
        </w:rPr>
        <w:t>清淤沥水</w:t>
      </w:r>
    </w:p>
    <w:p w:rsidR="002A5A5E" w:rsidRPr="00F9522B" w:rsidRDefault="00611CBA">
      <w:pPr>
        <w:widowControl/>
        <w:spacing w:line="360" w:lineRule="auto"/>
        <w:ind w:firstLineChars="200" w:firstLine="480"/>
        <w:rPr>
          <w:rFonts w:eastAsiaTheme="minorEastAsia"/>
          <w:bCs/>
          <w:kern w:val="0"/>
          <w:sz w:val="24"/>
          <w:szCs w:val="20"/>
        </w:rPr>
      </w:pPr>
      <w:r w:rsidRPr="00F9522B">
        <w:rPr>
          <w:rFonts w:eastAsiaTheme="minorEastAsia"/>
          <w:bCs/>
          <w:kern w:val="0"/>
          <w:sz w:val="24"/>
          <w:szCs w:val="20"/>
        </w:rPr>
        <w:t>清淤污泥铺摊晾晒过程中可能会产生少量沥水，但由于</w:t>
      </w:r>
      <w:r w:rsidR="005510C6" w:rsidRPr="00F9522B">
        <w:rPr>
          <w:rFonts w:eastAsiaTheme="minorEastAsia"/>
          <w:bCs/>
          <w:kern w:val="0"/>
          <w:sz w:val="24"/>
          <w:szCs w:val="20"/>
        </w:rPr>
        <w:t>在</w:t>
      </w:r>
      <w:r w:rsidRPr="00F9522B">
        <w:rPr>
          <w:rFonts w:eastAsiaTheme="minorEastAsia"/>
          <w:bCs/>
          <w:kern w:val="0"/>
          <w:sz w:val="24"/>
          <w:szCs w:val="20"/>
        </w:rPr>
        <w:t>干槽时段进行清淤，污泥含水率较低。</w:t>
      </w:r>
      <w:r w:rsidR="004C69F2" w:rsidRPr="00F9522B">
        <w:rPr>
          <w:rFonts w:eastAsiaTheme="minorEastAsia"/>
          <w:color w:val="FF0000"/>
          <w:kern w:val="10"/>
          <w:sz w:val="24"/>
          <w:szCs w:val="22"/>
        </w:rPr>
        <w:t>本项目排水沟底泥检测样品无重金属污染，底泥污染物均满足《土壤环境质量农用地土壤污染风险管控标准（试行）》（</w:t>
      </w:r>
      <w:r w:rsidR="004C69F2" w:rsidRPr="00F9522B">
        <w:rPr>
          <w:rFonts w:eastAsiaTheme="minorEastAsia"/>
          <w:color w:val="FF0000"/>
          <w:kern w:val="10"/>
          <w:sz w:val="24"/>
          <w:szCs w:val="22"/>
        </w:rPr>
        <w:t>GB15618-2018</w:t>
      </w:r>
      <w:r w:rsidR="004C69F2" w:rsidRPr="00F9522B">
        <w:rPr>
          <w:rFonts w:eastAsiaTheme="minorEastAsia"/>
          <w:color w:val="FF0000"/>
          <w:kern w:val="10"/>
          <w:sz w:val="24"/>
          <w:szCs w:val="22"/>
        </w:rPr>
        <w:t>）表</w:t>
      </w:r>
      <w:r w:rsidR="004C69F2" w:rsidRPr="00F9522B">
        <w:rPr>
          <w:rFonts w:eastAsiaTheme="minorEastAsia"/>
          <w:color w:val="FF0000"/>
          <w:kern w:val="10"/>
          <w:sz w:val="24"/>
          <w:szCs w:val="22"/>
        </w:rPr>
        <w:t>1</w:t>
      </w:r>
      <w:r w:rsidR="004C69F2" w:rsidRPr="00F9522B">
        <w:rPr>
          <w:rFonts w:eastAsiaTheme="minorEastAsia"/>
          <w:color w:val="FF0000"/>
          <w:kern w:val="10"/>
          <w:sz w:val="24"/>
          <w:szCs w:val="22"/>
        </w:rPr>
        <w:t>、表</w:t>
      </w:r>
      <w:r w:rsidR="004C69F2" w:rsidRPr="00F9522B">
        <w:rPr>
          <w:rFonts w:eastAsiaTheme="minorEastAsia"/>
          <w:color w:val="FF0000"/>
          <w:kern w:val="10"/>
          <w:sz w:val="24"/>
          <w:szCs w:val="22"/>
        </w:rPr>
        <w:t>2</w:t>
      </w:r>
      <w:r w:rsidR="004C69F2" w:rsidRPr="00F9522B">
        <w:rPr>
          <w:rFonts w:eastAsiaTheme="minorEastAsia"/>
          <w:color w:val="FF0000"/>
          <w:kern w:val="10"/>
          <w:sz w:val="24"/>
          <w:szCs w:val="22"/>
        </w:rPr>
        <w:t>中筛选值</w:t>
      </w:r>
      <w:r w:rsidR="004C69F2">
        <w:rPr>
          <w:rFonts w:eastAsiaTheme="minorEastAsia"/>
          <w:color w:val="FF0000"/>
          <w:kern w:val="10"/>
          <w:sz w:val="24"/>
          <w:szCs w:val="22"/>
        </w:rPr>
        <w:t>。</w:t>
      </w:r>
      <w:r w:rsidRPr="00F9522B">
        <w:rPr>
          <w:rFonts w:eastAsiaTheme="minorEastAsia"/>
          <w:bCs/>
          <w:kern w:val="0"/>
          <w:sz w:val="24"/>
          <w:szCs w:val="20"/>
        </w:rPr>
        <w:t>污泥沥水与渠道内水质基本一致，故排至渠道内不会对灌区水质产生不良影响。</w:t>
      </w:r>
    </w:p>
    <w:p w:rsidR="002A5A5E" w:rsidRPr="00F9522B" w:rsidRDefault="00611CBA">
      <w:pPr>
        <w:autoSpaceDE w:val="0"/>
        <w:autoSpaceDN w:val="0"/>
        <w:spacing w:before="100" w:beforeAutospacing="1" w:after="100" w:afterAutospacing="1"/>
        <w:outlineLvl w:val="3"/>
        <w:rPr>
          <w:rFonts w:eastAsiaTheme="minorEastAsia"/>
          <w:b/>
          <w:sz w:val="24"/>
        </w:rPr>
      </w:pPr>
      <w:r w:rsidRPr="00F9522B">
        <w:rPr>
          <w:rFonts w:eastAsiaTheme="minorEastAsia"/>
          <w:b/>
          <w:sz w:val="24"/>
        </w:rPr>
        <w:t>3.3.1.2</w:t>
      </w:r>
      <w:r w:rsidRPr="00F9522B">
        <w:rPr>
          <w:rFonts w:eastAsiaTheme="minorEastAsia"/>
          <w:b/>
          <w:sz w:val="24"/>
        </w:rPr>
        <w:t>废气污染分析</w:t>
      </w:r>
    </w:p>
    <w:p w:rsidR="002A5A5E" w:rsidRPr="00F9522B" w:rsidRDefault="00611CBA">
      <w:pPr>
        <w:pStyle w:val="aff4"/>
        <w:adjustRightInd/>
        <w:snapToGrid/>
        <w:jc w:val="both"/>
        <w:rPr>
          <w:rFonts w:ascii="Times New Roman" w:hAnsi="Times New Roman" w:cs="Times New Roman"/>
          <w:snapToGrid w:val="0"/>
        </w:rPr>
      </w:pPr>
      <w:r w:rsidRPr="00F9522B">
        <w:rPr>
          <w:rFonts w:ascii="Times New Roman" w:hAnsi="Times New Roman" w:cs="Times New Roman"/>
          <w:snapToGrid w:val="0"/>
        </w:rPr>
        <w:t>施工期大气污染物主要为取料场及</w:t>
      </w:r>
      <w:r w:rsidRPr="00F9522B">
        <w:rPr>
          <w:rFonts w:ascii="Times New Roman" w:hAnsi="Times New Roman" w:cs="Times New Roman"/>
          <w:szCs w:val="21"/>
        </w:rPr>
        <w:t>堆料场</w:t>
      </w:r>
      <w:r w:rsidRPr="00F9522B">
        <w:rPr>
          <w:rFonts w:ascii="Times New Roman" w:hAnsi="Times New Roman" w:cs="Times New Roman"/>
          <w:snapToGrid w:val="0"/>
        </w:rPr>
        <w:t>物料存取及运输扬尘、施工机械、泥浆配置、运输车辆尾气，施工环节产生的扬尘，</w:t>
      </w:r>
      <w:r w:rsidRPr="00F9522B">
        <w:rPr>
          <w:rFonts w:ascii="Times New Roman" w:hAnsi="Times New Roman" w:cs="Times New Roman"/>
          <w:smallCaps/>
        </w:rPr>
        <w:t>根据施工组织设计，大气污染源具有流动性和间歇性特点，且源强不大，施工结束后随即消失</w:t>
      </w:r>
      <w:r w:rsidRPr="00F9522B">
        <w:rPr>
          <w:rFonts w:ascii="Times New Roman" w:hAnsi="Times New Roman" w:cs="Times New Roman"/>
          <w:snapToGrid w:val="0"/>
        </w:rPr>
        <w:t>。</w:t>
      </w:r>
      <w:r w:rsidRPr="00F9522B">
        <w:rPr>
          <w:rFonts w:ascii="Times New Roman" w:hAnsi="Times New Roman" w:cs="Times New Roman"/>
        </w:rPr>
        <w:t>清淤工程产生恶臭异味。</w:t>
      </w:r>
    </w:p>
    <w:p w:rsidR="002A5A5E" w:rsidRPr="00F9522B" w:rsidRDefault="00611CBA">
      <w:pPr>
        <w:autoSpaceDE w:val="0"/>
        <w:autoSpaceDN w:val="0"/>
        <w:adjustRightInd w:val="0"/>
        <w:spacing w:line="360" w:lineRule="auto"/>
        <w:ind w:firstLineChars="225" w:firstLine="540"/>
        <w:jc w:val="left"/>
        <w:rPr>
          <w:rFonts w:eastAsiaTheme="minorEastAsia"/>
          <w:bCs/>
          <w:kern w:val="0"/>
          <w:sz w:val="24"/>
        </w:rPr>
      </w:pPr>
      <w:r w:rsidRPr="00F9522B">
        <w:rPr>
          <w:rFonts w:ascii="宋体" w:hAnsi="宋体" w:cs="宋体" w:hint="eastAsia"/>
          <w:bCs/>
          <w:kern w:val="0"/>
          <w:sz w:val="24"/>
        </w:rPr>
        <w:t>①</w:t>
      </w:r>
      <w:r w:rsidRPr="00F9522B">
        <w:rPr>
          <w:rFonts w:eastAsiaTheme="minorEastAsia"/>
          <w:bCs/>
          <w:kern w:val="0"/>
          <w:sz w:val="24"/>
        </w:rPr>
        <w:t>扬尘</w:t>
      </w:r>
    </w:p>
    <w:p w:rsidR="002A5A5E" w:rsidRPr="00F9522B" w:rsidRDefault="00611CBA">
      <w:pPr>
        <w:pStyle w:val="aff4"/>
        <w:adjustRightInd/>
        <w:snapToGrid/>
        <w:jc w:val="both"/>
        <w:rPr>
          <w:rFonts w:ascii="Times New Roman" w:hAnsi="Times New Roman" w:cs="Times New Roman"/>
          <w:snapToGrid w:val="0"/>
        </w:rPr>
      </w:pPr>
      <w:r w:rsidRPr="00F9522B">
        <w:rPr>
          <w:rFonts w:ascii="Times New Roman" w:hAnsi="Times New Roman" w:cs="Times New Roman"/>
          <w:snapToGrid w:val="0"/>
        </w:rPr>
        <w:t>施工期扬尘主要产生于土方挖掘、平整土地、取料场及</w:t>
      </w:r>
      <w:r w:rsidRPr="00F9522B">
        <w:rPr>
          <w:rFonts w:ascii="Times New Roman" w:hAnsi="Times New Roman" w:cs="Times New Roman"/>
          <w:szCs w:val="21"/>
        </w:rPr>
        <w:t>堆料场</w:t>
      </w:r>
      <w:r w:rsidRPr="00F9522B">
        <w:rPr>
          <w:rFonts w:ascii="Times New Roman" w:hAnsi="Times New Roman" w:cs="Times New Roman"/>
          <w:snapToGrid w:val="0"/>
        </w:rPr>
        <w:t>物料存取及运输、泥浆配置以及车辆行驶等作业环节（主要是</w:t>
      </w:r>
      <w:r w:rsidRPr="00F9522B">
        <w:rPr>
          <w:rFonts w:ascii="Times New Roman" w:hAnsi="Times New Roman" w:cs="Times New Roman"/>
          <w:snapToGrid w:val="0"/>
        </w:rPr>
        <w:t>TSP</w:t>
      </w:r>
      <w:r w:rsidRPr="00F9522B">
        <w:rPr>
          <w:rFonts w:ascii="Times New Roman" w:hAnsi="Times New Roman" w:cs="Times New Roman"/>
          <w:snapToGrid w:val="0"/>
        </w:rPr>
        <w:t>）。根据类比调查，施工作</w:t>
      </w:r>
      <w:r w:rsidRPr="00F9522B">
        <w:rPr>
          <w:rFonts w:ascii="Times New Roman" w:hAnsi="Times New Roman" w:cs="Times New Roman"/>
          <w:snapToGrid w:val="0"/>
        </w:rPr>
        <w:lastRenderedPageBreak/>
        <w:t>业场地近地面扬尘浓度可达</w:t>
      </w:r>
      <w:r w:rsidRPr="00F9522B">
        <w:rPr>
          <w:rFonts w:ascii="Times New Roman" w:hAnsi="Times New Roman" w:cs="Times New Roman"/>
          <w:snapToGrid w:val="0"/>
        </w:rPr>
        <w:t>1.5mg/m</w:t>
      </w:r>
      <w:r w:rsidRPr="00F9522B">
        <w:rPr>
          <w:rFonts w:ascii="Times New Roman" w:hAnsi="Times New Roman" w:cs="Times New Roman"/>
          <w:snapToGrid w:val="0"/>
          <w:vertAlign w:val="superscript"/>
        </w:rPr>
        <w:t>3</w:t>
      </w:r>
      <w:r w:rsidRPr="00F9522B">
        <w:rPr>
          <w:rFonts w:ascii="Times New Roman" w:hAnsi="Times New Roman" w:cs="Times New Roman"/>
          <w:snapToGrid w:val="0"/>
        </w:rPr>
        <w:t>～</w:t>
      </w:r>
      <w:r w:rsidRPr="00F9522B">
        <w:rPr>
          <w:rFonts w:ascii="Times New Roman" w:hAnsi="Times New Roman" w:cs="Times New Roman"/>
          <w:snapToGrid w:val="0"/>
        </w:rPr>
        <w:t>30mg/m</w:t>
      </w:r>
      <w:r w:rsidRPr="00F9522B">
        <w:rPr>
          <w:rFonts w:ascii="Times New Roman" w:hAnsi="Times New Roman" w:cs="Times New Roman"/>
          <w:snapToGrid w:val="0"/>
          <w:vertAlign w:val="superscript"/>
        </w:rPr>
        <w:t>3</w:t>
      </w:r>
      <w:r w:rsidRPr="00F9522B">
        <w:rPr>
          <w:rFonts w:ascii="Times New Roman" w:hAnsi="Times New Roman" w:cs="Times New Roman"/>
          <w:snapToGrid w:val="0"/>
        </w:rPr>
        <w:t>，将对项目周边产生一定的不利影响。考虑到施工期产生扬尘颗粒粒径较大，受自然沉降作用明显。由于施工机械数量少且较分散，施工期不长，其污染程度相对较轻。</w:t>
      </w:r>
    </w:p>
    <w:p w:rsidR="002A5A5E" w:rsidRPr="00F9522B" w:rsidRDefault="00611CBA">
      <w:pPr>
        <w:pStyle w:val="aff4"/>
        <w:adjustRightInd/>
        <w:snapToGrid/>
        <w:jc w:val="both"/>
        <w:rPr>
          <w:rFonts w:ascii="Times New Roman" w:hAnsi="Times New Roman" w:cs="Times New Roman"/>
          <w:snapToGrid w:val="0"/>
        </w:rPr>
      </w:pPr>
      <w:r w:rsidRPr="00F9522B">
        <w:rPr>
          <w:rFonts w:ascii="Times New Roman" w:hAnsi="Times New Roman" w:cs="Times New Roman"/>
        </w:rPr>
        <w:t>施工过程中，各种施工材料的运输，尤其是混凝土及松散物料的运输将给运输道路的沿线带来扬尘污染。根据同类工程类比可知，在自然风力作用下，施工现场的道路扬尘一般在下风向</w:t>
      </w:r>
      <w:r w:rsidRPr="00F9522B">
        <w:rPr>
          <w:rFonts w:ascii="Times New Roman" w:hAnsi="Times New Roman" w:cs="Times New Roman"/>
        </w:rPr>
        <w:t>50m~110m</w:t>
      </w:r>
      <w:r w:rsidRPr="00F9522B">
        <w:rPr>
          <w:rFonts w:ascii="Times New Roman" w:hAnsi="Times New Roman" w:cs="Times New Roman"/>
        </w:rPr>
        <w:t>范围内超过《环境空气质量标准》（</w:t>
      </w:r>
      <w:r w:rsidRPr="00F9522B">
        <w:rPr>
          <w:rFonts w:ascii="Times New Roman" w:hAnsi="Times New Roman" w:cs="Times New Roman"/>
          <w:color w:val="FF0000"/>
        </w:rPr>
        <w:t>GB3095-20</w:t>
      </w:r>
      <w:r w:rsidR="00C07A9E" w:rsidRPr="00F9522B">
        <w:rPr>
          <w:rFonts w:ascii="Times New Roman" w:hAnsi="Times New Roman" w:cs="Times New Roman"/>
          <w:color w:val="FF0000"/>
        </w:rPr>
        <w:t>26</w:t>
      </w:r>
      <w:r w:rsidRPr="00F9522B">
        <w:rPr>
          <w:rFonts w:ascii="Times New Roman" w:hAnsi="Times New Roman" w:cs="Times New Roman"/>
        </w:rPr>
        <w:t>）中二级标准；在土路路况较差，施工现场的道路扬尘一般在下风向</w:t>
      </w:r>
      <w:r w:rsidRPr="00F9522B">
        <w:rPr>
          <w:rFonts w:ascii="Times New Roman" w:hAnsi="Times New Roman" w:cs="Times New Roman"/>
        </w:rPr>
        <w:t>80m</w:t>
      </w:r>
      <w:r w:rsidRPr="00F9522B">
        <w:rPr>
          <w:rFonts w:ascii="Times New Roman" w:hAnsi="Times New Roman" w:cs="Times New Roman"/>
        </w:rPr>
        <w:t>～</w:t>
      </w:r>
      <w:r w:rsidRPr="00F9522B">
        <w:rPr>
          <w:rFonts w:ascii="Times New Roman" w:hAnsi="Times New Roman" w:cs="Times New Roman"/>
        </w:rPr>
        <w:t>130m</w:t>
      </w:r>
      <w:r w:rsidRPr="00F9522B">
        <w:rPr>
          <w:rFonts w:ascii="Times New Roman" w:hAnsi="Times New Roman" w:cs="Times New Roman"/>
        </w:rPr>
        <w:t>范围内超过环境空气质量标准中二级标准。施工期间运输道路扬尘将对本工程沿线范围内居民敏感点产生一定影响，应采取必要措施以减少扬尘对沿线道路两侧及施工区附近居民区环境空气质量的影响。</w:t>
      </w:r>
    </w:p>
    <w:p w:rsidR="002A5A5E" w:rsidRPr="00F9522B" w:rsidRDefault="00611CBA">
      <w:pPr>
        <w:adjustRightInd w:val="0"/>
        <w:spacing w:line="360" w:lineRule="auto"/>
        <w:ind w:firstLineChars="200" w:firstLine="480"/>
        <w:rPr>
          <w:rFonts w:eastAsiaTheme="minorEastAsia"/>
          <w:sz w:val="24"/>
        </w:rPr>
      </w:pPr>
      <w:r w:rsidRPr="00F9522B">
        <w:rPr>
          <w:rFonts w:ascii="宋体" w:hAnsi="宋体" w:cs="宋体" w:hint="eastAsia"/>
          <w:sz w:val="24"/>
        </w:rPr>
        <w:t>②</w:t>
      </w:r>
      <w:r w:rsidRPr="00F9522B">
        <w:rPr>
          <w:rFonts w:eastAsiaTheme="minorEastAsia"/>
          <w:sz w:val="24"/>
        </w:rPr>
        <w:t>汽车尾气</w:t>
      </w:r>
    </w:p>
    <w:p w:rsidR="002A5A5E" w:rsidRPr="00F9522B" w:rsidRDefault="00611CBA">
      <w:pPr>
        <w:pStyle w:val="aff4"/>
        <w:adjustRightInd/>
        <w:snapToGrid/>
        <w:jc w:val="both"/>
        <w:rPr>
          <w:rFonts w:ascii="Times New Roman" w:hAnsi="Times New Roman" w:cs="Times New Roman"/>
          <w:snapToGrid w:val="0"/>
        </w:rPr>
      </w:pPr>
      <w:r w:rsidRPr="00F9522B">
        <w:rPr>
          <w:rFonts w:ascii="Times New Roman" w:hAnsi="Times New Roman" w:cs="Times New Roman"/>
          <w:szCs w:val="20"/>
        </w:rPr>
        <w:t>施工过程中将会有各种工程及运输车辆来往于施工现场，主要有运输卡车、推土机、平地机等，会产生汽车尾气，由于尾气产生量较少，产生浓度较低，且施工地点附近均为农田，周围环境较空旷，扩散条件较好，不会对周围空气环境产生较大不利影响</w:t>
      </w:r>
      <w:r w:rsidRPr="00F9522B">
        <w:rPr>
          <w:rFonts w:ascii="Times New Roman" w:hAnsi="Times New Roman" w:cs="Times New Roman"/>
          <w:snapToGrid w:val="0"/>
        </w:rPr>
        <w:t>。</w:t>
      </w:r>
    </w:p>
    <w:p w:rsidR="002A5A5E" w:rsidRPr="00F9522B" w:rsidRDefault="005273A1">
      <w:pPr>
        <w:pStyle w:val="aff4"/>
        <w:adjustRightInd/>
        <w:snapToGrid/>
        <w:jc w:val="both"/>
        <w:rPr>
          <w:rFonts w:ascii="Times New Roman" w:hAnsi="Times New Roman" w:cs="Times New Roman"/>
          <w:bCs/>
        </w:rPr>
      </w:pPr>
      <w:r w:rsidRPr="00F9522B">
        <w:rPr>
          <w:rFonts w:ascii="Times New Roman" w:hAnsi="Times New Roman" w:cs="Times New Roman"/>
          <w:bCs/>
        </w:rPr>
        <w:fldChar w:fldCharType="begin"/>
      </w:r>
      <w:r w:rsidR="00611CBA" w:rsidRPr="00F9522B">
        <w:rPr>
          <w:rFonts w:ascii="Times New Roman" w:hAnsi="Times New Roman" w:cs="Times New Roman"/>
          <w:bCs/>
        </w:rPr>
        <w:instrText xml:space="preserve"> = 3 \* GB3 </w:instrText>
      </w:r>
      <w:r w:rsidRPr="00F9522B">
        <w:rPr>
          <w:rFonts w:ascii="Times New Roman" w:hAnsi="Times New Roman" w:cs="Times New Roman"/>
          <w:bCs/>
        </w:rPr>
        <w:fldChar w:fldCharType="separate"/>
      </w:r>
      <w:r w:rsidR="00611CBA" w:rsidRPr="00F9522B">
        <w:rPr>
          <w:rFonts w:ascii="宋体" w:eastAsia="宋体" w:hAnsi="宋体" w:cs="宋体" w:hint="eastAsia"/>
          <w:bCs/>
        </w:rPr>
        <w:t>③</w:t>
      </w:r>
      <w:r w:rsidRPr="00F9522B">
        <w:rPr>
          <w:rFonts w:ascii="Times New Roman" w:hAnsi="Times New Roman" w:cs="Times New Roman"/>
          <w:bCs/>
        </w:rPr>
        <w:fldChar w:fldCharType="end"/>
      </w:r>
      <w:r w:rsidR="00611CBA" w:rsidRPr="00F9522B">
        <w:rPr>
          <w:rFonts w:ascii="Times New Roman" w:hAnsi="Times New Roman" w:cs="Times New Roman"/>
        </w:rPr>
        <w:t>发电机废气</w:t>
      </w:r>
    </w:p>
    <w:p w:rsidR="002A5A5E" w:rsidRPr="00F9522B" w:rsidRDefault="00611CBA">
      <w:pPr>
        <w:pStyle w:val="aff4"/>
        <w:adjustRightInd/>
        <w:snapToGrid/>
        <w:jc w:val="both"/>
        <w:rPr>
          <w:rFonts w:ascii="Times New Roman" w:hAnsi="Times New Roman" w:cs="Times New Roman"/>
        </w:rPr>
      </w:pPr>
      <w:r w:rsidRPr="00F9522B">
        <w:rPr>
          <w:rFonts w:ascii="Times New Roman" w:hAnsi="Times New Roman" w:cs="Times New Roman"/>
        </w:rPr>
        <w:t>移动式柴油发电机运行时也将产生废气。类比同类移动式柴油发电机，柴油消耗量约为</w:t>
      </w:r>
      <w:r w:rsidRPr="00F9522B">
        <w:rPr>
          <w:rFonts w:ascii="Times New Roman" w:hAnsi="Times New Roman" w:cs="Times New Roman"/>
        </w:rPr>
        <w:t>200g/kWh</w:t>
      </w:r>
      <w:r w:rsidRPr="00F9522B">
        <w:rPr>
          <w:rFonts w:ascii="Times New Roman" w:hAnsi="Times New Roman" w:cs="Times New Roman"/>
        </w:rPr>
        <w:t>，柴油密度为</w:t>
      </w:r>
      <w:r w:rsidRPr="00F9522B">
        <w:rPr>
          <w:rFonts w:ascii="Times New Roman" w:hAnsi="Times New Roman" w:cs="Times New Roman"/>
        </w:rPr>
        <w:t>1.192kL/t</w:t>
      </w:r>
      <w:r w:rsidRPr="00F9522B">
        <w:rPr>
          <w:rFonts w:ascii="Times New Roman" w:hAnsi="Times New Roman" w:cs="Times New Roman"/>
        </w:rPr>
        <w:t>，则柴油用量为</w:t>
      </w:r>
      <w:r w:rsidRPr="00F9522B">
        <w:rPr>
          <w:rFonts w:ascii="Times New Roman" w:hAnsi="Times New Roman" w:cs="Times New Roman"/>
        </w:rPr>
        <w:t>2.384×10</w:t>
      </w:r>
      <w:r w:rsidRPr="00F9522B">
        <w:rPr>
          <w:rFonts w:ascii="Times New Roman" w:hAnsi="Times New Roman" w:cs="Times New Roman"/>
          <w:vertAlign w:val="superscript"/>
        </w:rPr>
        <w:t>-4</w:t>
      </w:r>
      <w:r w:rsidRPr="00F9522B">
        <w:rPr>
          <w:rFonts w:ascii="Times New Roman" w:hAnsi="Times New Roman" w:cs="Times New Roman"/>
        </w:rPr>
        <w:t>kL/kWh</w:t>
      </w:r>
      <w:r w:rsidRPr="00F9522B">
        <w:rPr>
          <w:rFonts w:ascii="Times New Roman" w:hAnsi="Times New Roman" w:cs="Times New Roman"/>
        </w:rPr>
        <w:t>，柴油机移动泵车废气主要污染物为</w:t>
      </w:r>
      <w:r w:rsidRPr="00F9522B">
        <w:rPr>
          <w:rFonts w:ascii="Times New Roman" w:hAnsi="Times New Roman" w:cs="Times New Roman"/>
        </w:rPr>
        <w:t>CO</w:t>
      </w:r>
      <w:r w:rsidRPr="00F9522B">
        <w:rPr>
          <w:rFonts w:ascii="Times New Roman" w:hAnsi="Times New Roman" w:cs="Times New Roman"/>
        </w:rPr>
        <w:t>、</w:t>
      </w:r>
      <w:r w:rsidRPr="00F9522B">
        <w:rPr>
          <w:rFonts w:ascii="Times New Roman" w:hAnsi="Times New Roman" w:cs="Times New Roman"/>
        </w:rPr>
        <w:t>HC+NO</w:t>
      </w:r>
      <w:r w:rsidRPr="00F9522B">
        <w:rPr>
          <w:rFonts w:ascii="Times New Roman" w:hAnsi="Times New Roman" w:cs="Times New Roman"/>
          <w:vertAlign w:val="subscript"/>
        </w:rPr>
        <w:t>x</w:t>
      </w:r>
      <w:r w:rsidRPr="00F9522B">
        <w:rPr>
          <w:rFonts w:ascii="Times New Roman" w:hAnsi="Times New Roman" w:cs="Times New Roman"/>
        </w:rPr>
        <w:t>、</w:t>
      </w:r>
      <w:r w:rsidRPr="00F9522B">
        <w:rPr>
          <w:rFonts w:ascii="Times New Roman" w:hAnsi="Times New Roman" w:cs="Times New Roman"/>
        </w:rPr>
        <w:t>PM</w:t>
      </w:r>
      <w:r w:rsidRPr="00F9522B">
        <w:rPr>
          <w:rFonts w:ascii="Times New Roman" w:hAnsi="Times New Roman" w:cs="Times New Roman"/>
        </w:rPr>
        <w:t>（颗粒物）。</w:t>
      </w:r>
    </w:p>
    <w:p w:rsidR="002A5A5E" w:rsidRPr="00F9522B" w:rsidRDefault="00611CBA">
      <w:pPr>
        <w:contextualSpacing/>
        <w:jc w:val="center"/>
        <w:rPr>
          <w:rFonts w:eastAsiaTheme="minorEastAsia"/>
          <w:sz w:val="24"/>
        </w:rPr>
      </w:pPr>
      <w:r w:rsidRPr="00F9522B">
        <w:rPr>
          <w:rFonts w:eastAsiaTheme="minorEastAsia"/>
          <w:b/>
          <w:kern w:val="0"/>
          <w:szCs w:val="21"/>
        </w:rPr>
        <w:t>表</w:t>
      </w:r>
      <w:r w:rsidRPr="00F9522B">
        <w:rPr>
          <w:rFonts w:eastAsiaTheme="minorEastAsia"/>
          <w:b/>
          <w:kern w:val="0"/>
          <w:szCs w:val="21"/>
        </w:rPr>
        <w:t>3-3-2</w:t>
      </w:r>
      <w:r w:rsidRPr="00F9522B">
        <w:rPr>
          <w:rFonts w:eastAsiaTheme="minorEastAsia"/>
          <w:b/>
          <w:kern w:val="0"/>
          <w:szCs w:val="21"/>
        </w:rPr>
        <w:t>柴油机移动泵车中各污染物产生情况一览表</w:t>
      </w:r>
    </w:p>
    <w:tbl>
      <w:tblPr>
        <w:tblW w:w="0" w:type="auto"/>
        <w:jc w:val="center"/>
        <w:tblBorders>
          <w:top w:val="single" w:sz="12" w:space="0" w:color="auto"/>
          <w:bottom w:val="single" w:sz="12" w:space="0" w:color="auto"/>
          <w:insideH w:val="single" w:sz="4" w:space="0" w:color="auto"/>
          <w:insideV w:val="single" w:sz="4" w:space="0" w:color="auto"/>
        </w:tblBorders>
        <w:tblLayout w:type="fixed"/>
        <w:tblLook w:val="04A0"/>
      </w:tblPr>
      <w:tblGrid>
        <w:gridCol w:w="2236"/>
        <w:gridCol w:w="2048"/>
        <w:gridCol w:w="2048"/>
        <w:gridCol w:w="2049"/>
      </w:tblGrid>
      <w:tr w:rsidR="002A5A5E" w:rsidRPr="00F9522B">
        <w:trPr>
          <w:trHeight w:val="294"/>
          <w:jc w:val="center"/>
        </w:trPr>
        <w:tc>
          <w:tcPr>
            <w:tcW w:w="2236"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污染物</w:t>
            </w:r>
          </w:p>
        </w:tc>
        <w:tc>
          <w:tcPr>
            <w:tcW w:w="2048"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CO</w:t>
            </w:r>
          </w:p>
        </w:tc>
        <w:tc>
          <w:tcPr>
            <w:tcW w:w="2048"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HC+NO</w:t>
            </w:r>
            <w:r w:rsidRPr="00F9522B">
              <w:rPr>
                <w:rFonts w:eastAsiaTheme="minorEastAsia"/>
                <w:szCs w:val="21"/>
                <w:vertAlign w:val="subscript"/>
              </w:rPr>
              <w:t>x</w:t>
            </w:r>
          </w:p>
        </w:tc>
        <w:tc>
          <w:tcPr>
            <w:tcW w:w="2049"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PM</w:t>
            </w:r>
            <w:r w:rsidRPr="00F9522B">
              <w:rPr>
                <w:rFonts w:eastAsiaTheme="minorEastAsia"/>
                <w:szCs w:val="21"/>
              </w:rPr>
              <w:t>（颗粒物）</w:t>
            </w:r>
          </w:p>
        </w:tc>
      </w:tr>
      <w:tr w:rsidR="002A5A5E" w:rsidRPr="00F9522B">
        <w:trPr>
          <w:trHeight w:val="315"/>
          <w:jc w:val="center"/>
        </w:trPr>
        <w:tc>
          <w:tcPr>
            <w:tcW w:w="2236"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排污系数（</w:t>
            </w:r>
            <w:r w:rsidRPr="00F9522B">
              <w:rPr>
                <w:rFonts w:eastAsiaTheme="minorEastAsia"/>
                <w:szCs w:val="21"/>
              </w:rPr>
              <w:t>kg/kL</w:t>
            </w:r>
            <w:r w:rsidRPr="00F9522B">
              <w:rPr>
                <w:rFonts w:eastAsiaTheme="minorEastAsia"/>
                <w:szCs w:val="21"/>
              </w:rPr>
              <w:t>柴油）</w:t>
            </w:r>
          </w:p>
        </w:tc>
        <w:tc>
          <w:tcPr>
            <w:tcW w:w="2048"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0.63</w:t>
            </w:r>
          </w:p>
        </w:tc>
        <w:tc>
          <w:tcPr>
            <w:tcW w:w="2048"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2.92</w:t>
            </w:r>
          </w:p>
        </w:tc>
        <w:tc>
          <w:tcPr>
            <w:tcW w:w="2049"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0.25</w:t>
            </w:r>
          </w:p>
        </w:tc>
      </w:tr>
      <w:tr w:rsidR="002A5A5E" w:rsidRPr="00F9522B">
        <w:trPr>
          <w:trHeight w:val="294"/>
          <w:jc w:val="center"/>
        </w:trPr>
        <w:tc>
          <w:tcPr>
            <w:tcW w:w="2236"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排放速率（</w:t>
            </w:r>
            <w:r w:rsidRPr="00F9522B">
              <w:rPr>
                <w:rFonts w:eastAsiaTheme="minorEastAsia"/>
                <w:szCs w:val="21"/>
              </w:rPr>
              <w:t>g/kW·h</w:t>
            </w:r>
            <w:r w:rsidRPr="00F9522B">
              <w:rPr>
                <w:rFonts w:eastAsiaTheme="minorEastAsia"/>
                <w:szCs w:val="21"/>
              </w:rPr>
              <w:t>）</w:t>
            </w:r>
          </w:p>
        </w:tc>
        <w:tc>
          <w:tcPr>
            <w:tcW w:w="2048"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0.15</w:t>
            </w:r>
          </w:p>
        </w:tc>
        <w:tc>
          <w:tcPr>
            <w:tcW w:w="2048"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0.696</w:t>
            </w:r>
          </w:p>
        </w:tc>
        <w:tc>
          <w:tcPr>
            <w:tcW w:w="2049"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0.06</w:t>
            </w:r>
          </w:p>
        </w:tc>
      </w:tr>
      <w:tr w:rsidR="002A5A5E" w:rsidRPr="00F9522B">
        <w:trPr>
          <w:trHeight w:val="294"/>
          <w:jc w:val="center"/>
        </w:trPr>
        <w:tc>
          <w:tcPr>
            <w:tcW w:w="2236"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排放标准（</w:t>
            </w:r>
            <w:r w:rsidRPr="00F9522B">
              <w:rPr>
                <w:rFonts w:eastAsiaTheme="minorEastAsia"/>
                <w:szCs w:val="21"/>
              </w:rPr>
              <w:t>g/kW·h</w:t>
            </w:r>
            <w:r w:rsidRPr="00F9522B">
              <w:rPr>
                <w:rFonts w:eastAsiaTheme="minorEastAsia"/>
                <w:szCs w:val="21"/>
              </w:rPr>
              <w:t>）</w:t>
            </w:r>
          </w:p>
        </w:tc>
        <w:tc>
          <w:tcPr>
            <w:tcW w:w="2048"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3.5</w:t>
            </w:r>
          </w:p>
        </w:tc>
        <w:tc>
          <w:tcPr>
            <w:tcW w:w="2048"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4.0</w:t>
            </w:r>
          </w:p>
        </w:tc>
        <w:tc>
          <w:tcPr>
            <w:tcW w:w="2049"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0.2</w:t>
            </w:r>
          </w:p>
        </w:tc>
      </w:tr>
      <w:tr w:rsidR="002A5A5E" w:rsidRPr="00F9522B">
        <w:trPr>
          <w:trHeight w:val="294"/>
          <w:jc w:val="center"/>
        </w:trPr>
        <w:tc>
          <w:tcPr>
            <w:tcW w:w="2236"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达标情况</w:t>
            </w:r>
          </w:p>
        </w:tc>
        <w:tc>
          <w:tcPr>
            <w:tcW w:w="2048"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达标</w:t>
            </w:r>
          </w:p>
        </w:tc>
        <w:tc>
          <w:tcPr>
            <w:tcW w:w="2048"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达标</w:t>
            </w:r>
          </w:p>
        </w:tc>
        <w:tc>
          <w:tcPr>
            <w:tcW w:w="2049"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达标</w:t>
            </w:r>
          </w:p>
        </w:tc>
      </w:tr>
    </w:tbl>
    <w:p w:rsidR="002A5A5E" w:rsidRPr="00F9522B" w:rsidRDefault="00611CBA">
      <w:pPr>
        <w:pStyle w:val="aff4"/>
        <w:adjustRightInd/>
        <w:snapToGrid/>
        <w:jc w:val="both"/>
        <w:rPr>
          <w:rFonts w:ascii="Times New Roman" w:hAnsi="Times New Roman" w:cs="Times New Roman"/>
        </w:rPr>
      </w:pPr>
      <w:r w:rsidRPr="00F9522B">
        <w:rPr>
          <w:rFonts w:ascii="Times New Roman" w:hAnsi="Times New Roman" w:cs="Times New Roman"/>
        </w:rPr>
        <w:t>由上表可知，本项目各污染物排放速率能够满足</w:t>
      </w:r>
      <w:r w:rsidRPr="00F9522B">
        <w:rPr>
          <w:rFonts w:ascii="Times New Roman" w:hAnsi="Times New Roman" w:cs="Times New Roman"/>
        </w:rPr>
        <w:t>GB20891-2014</w:t>
      </w:r>
      <w:r w:rsidRPr="00F9522B">
        <w:rPr>
          <w:rFonts w:ascii="Times New Roman" w:hAnsi="Times New Roman" w:cs="Times New Roman"/>
        </w:rPr>
        <w:t>《非道路移动机械用柴油机移动泵车污染物排放限值及测量方法（中国三、四阶段）》中第四阶段（</w:t>
      </w:r>
      <w:r w:rsidRPr="00F9522B">
        <w:rPr>
          <w:rFonts w:ascii="Times New Roman" w:hAnsi="Times New Roman" w:cs="Times New Roman"/>
        </w:rPr>
        <w:t>130</w:t>
      </w:r>
      <w:r w:rsidRPr="00F9522B">
        <w:rPr>
          <w:rFonts w:ascii="Times New Roman" w:hAnsi="Times New Roman" w:cs="Times New Roman"/>
        </w:rPr>
        <w:t>＜额定功率＜</w:t>
      </w:r>
      <w:r w:rsidRPr="00F9522B">
        <w:rPr>
          <w:rFonts w:ascii="Times New Roman" w:hAnsi="Times New Roman" w:cs="Times New Roman"/>
        </w:rPr>
        <w:t>560kW</w:t>
      </w:r>
      <w:r w:rsidRPr="00F9522B">
        <w:rPr>
          <w:rFonts w:ascii="Times New Roman" w:hAnsi="Times New Roman" w:cs="Times New Roman"/>
        </w:rPr>
        <w:t>）中要求。</w:t>
      </w:r>
    </w:p>
    <w:p w:rsidR="002A5A5E" w:rsidRPr="00F9522B" w:rsidRDefault="005273A1">
      <w:pPr>
        <w:pStyle w:val="aff4"/>
        <w:adjustRightInd/>
        <w:snapToGrid/>
        <w:jc w:val="both"/>
        <w:rPr>
          <w:rFonts w:ascii="Times New Roman" w:hAnsi="Times New Roman" w:cs="Times New Roman"/>
        </w:rPr>
      </w:pPr>
      <w:r w:rsidRPr="00F9522B">
        <w:rPr>
          <w:rFonts w:ascii="Times New Roman" w:hAnsi="Times New Roman" w:cs="Times New Roman"/>
        </w:rPr>
        <w:fldChar w:fldCharType="begin"/>
      </w:r>
      <w:r w:rsidR="00611CBA" w:rsidRPr="00F9522B">
        <w:rPr>
          <w:rFonts w:ascii="Times New Roman" w:hAnsi="Times New Roman" w:cs="Times New Roman"/>
        </w:rPr>
        <w:instrText xml:space="preserve"> = 4 \* GB3 </w:instrText>
      </w:r>
      <w:r w:rsidRPr="00F9522B">
        <w:rPr>
          <w:rFonts w:ascii="Times New Roman" w:hAnsi="Times New Roman" w:cs="Times New Roman"/>
        </w:rPr>
        <w:fldChar w:fldCharType="separate"/>
      </w:r>
      <w:r w:rsidR="00611CBA" w:rsidRPr="00F9522B">
        <w:rPr>
          <w:rFonts w:ascii="宋体" w:eastAsia="宋体" w:hAnsi="宋体" w:cs="宋体" w:hint="eastAsia"/>
        </w:rPr>
        <w:t>④</w:t>
      </w:r>
      <w:r w:rsidRPr="00F9522B">
        <w:rPr>
          <w:rFonts w:ascii="Times New Roman" w:hAnsi="Times New Roman" w:cs="Times New Roman"/>
        </w:rPr>
        <w:fldChar w:fldCharType="end"/>
      </w:r>
      <w:r w:rsidR="00611CBA" w:rsidRPr="00F9522B">
        <w:rPr>
          <w:rFonts w:ascii="Times New Roman" w:hAnsi="Times New Roman" w:cs="Times New Roman"/>
        </w:rPr>
        <w:t>淤泥恶臭异味</w:t>
      </w:r>
    </w:p>
    <w:p w:rsidR="00873083" w:rsidRPr="00873083" w:rsidRDefault="00873083" w:rsidP="00873083">
      <w:pPr>
        <w:pStyle w:val="aff4"/>
        <w:adjustRightInd/>
        <w:snapToGrid/>
        <w:rPr>
          <w:rFonts w:ascii="Times New Roman" w:hAnsi="Times New Roman" w:cs="Times New Roman"/>
          <w:spacing w:val="-5"/>
        </w:rPr>
      </w:pPr>
      <w:r w:rsidRPr="00873083">
        <w:rPr>
          <w:rFonts w:ascii="Times New Roman" w:cs="Times New Roman"/>
          <w:color w:val="FF0000"/>
          <w:kern w:val="10"/>
          <w:szCs w:val="22"/>
        </w:rPr>
        <w:t>本项目排水沟底泥检测样品无重金属污染，底泥污染物均满足《土壤环境质量农用地土壤污染风险管控标准（试行）》（</w:t>
      </w:r>
      <w:r w:rsidRPr="00873083">
        <w:rPr>
          <w:rFonts w:ascii="Times New Roman" w:hAnsi="Times New Roman" w:cs="Times New Roman"/>
          <w:color w:val="FF0000"/>
          <w:kern w:val="10"/>
          <w:szCs w:val="22"/>
        </w:rPr>
        <w:t>GB15618-2018</w:t>
      </w:r>
      <w:r w:rsidRPr="00873083">
        <w:rPr>
          <w:rFonts w:ascii="Times New Roman" w:cs="Times New Roman"/>
          <w:color w:val="FF0000"/>
          <w:kern w:val="10"/>
          <w:szCs w:val="22"/>
        </w:rPr>
        <w:t>）表</w:t>
      </w:r>
      <w:r w:rsidRPr="00873083">
        <w:rPr>
          <w:rFonts w:ascii="Times New Roman" w:hAnsi="Times New Roman" w:cs="Times New Roman"/>
          <w:color w:val="FF0000"/>
          <w:kern w:val="10"/>
          <w:szCs w:val="22"/>
        </w:rPr>
        <w:t>1</w:t>
      </w:r>
      <w:r w:rsidRPr="00873083">
        <w:rPr>
          <w:rFonts w:ascii="Times New Roman" w:cs="Times New Roman"/>
          <w:color w:val="FF0000"/>
          <w:kern w:val="10"/>
          <w:szCs w:val="22"/>
        </w:rPr>
        <w:t>、表</w:t>
      </w:r>
      <w:r w:rsidRPr="00873083">
        <w:rPr>
          <w:rFonts w:ascii="Times New Roman" w:hAnsi="Times New Roman" w:cs="Times New Roman"/>
          <w:color w:val="FF0000"/>
          <w:kern w:val="10"/>
          <w:szCs w:val="22"/>
        </w:rPr>
        <w:t>2</w:t>
      </w:r>
      <w:r w:rsidRPr="00873083">
        <w:rPr>
          <w:rFonts w:ascii="Times New Roman" w:cs="Times New Roman"/>
          <w:color w:val="FF0000"/>
          <w:kern w:val="10"/>
          <w:szCs w:val="22"/>
        </w:rPr>
        <w:t>中筛选值。</w:t>
      </w:r>
    </w:p>
    <w:p w:rsidR="00873083" w:rsidRDefault="00873083" w:rsidP="00873083">
      <w:pPr>
        <w:widowControl/>
        <w:spacing w:line="360" w:lineRule="auto"/>
        <w:ind w:firstLineChars="200" w:firstLine="480"/>
        <w:rPr>
          <w:rFonts w:eastAsiaTheme="minorEastAsia"/>
          <w:color w:val="FF0000"/>
          <w:sz w:val="24"/>
        </w:rPr>
      </w:pPr>
      <w:r>
        <w:rPr>
          <w:rFonts w:eastAsiaTheme="minorEastAsia"/>
          <w:color w:val="FF0000"/>
          <w:sz w:val="24"/>
        </w:rPr>
        <w:lastRenderedPageBreak/>
        <w:t>本项目排水沟</w:t>
      </w:r>
      <w:r w:rsidRPr="00873083">
        <w:rPr>
          <w:rFonts w:eastAsiaTheme="minorEastAsia"/>
          <w:color w:val="FF0000"/>
          <w:sz w:val="24"/>
        </w:rPr>
        <w:t>清淤方式为机械及人工相结合，排水沟淤泥</w:t>
      </w:r>
      <w:r w:rsidRPr="00873083">
        <w:rPr>
          <w:rFonts w:eastAsiaTheme="minorEastAsia"/>
          <w:bCs/>
          <w:color w:val="FF0000"/>
          <w:sz w:val="24"/>
        </w:rPr>
        <w:t>培至工程附近</w:t>
      </w:r>
      <w:r w:rsidRPr="00873083">
        <w:rPr>
          <w:rFonts w:eastAsiaTheme="minorEastAsia"/>
          <w:bCs/>
          <w:color w:val="FF0000"/>
          <w:sz w:val="24"/>
        </w:rPr>
        <w:t>200</w:t>
      </w:r>
      <w:r w:rsidRPr="00873083">
        <w:rPr>
          <w:rFonts w:eastAsiaTheme="minorEastAsia"/>
          <w:bCs/>
          <w:color w:val="FF0000"/>
          <w:sz w:val="24"/>
        </w:rPr>
        <w:t>米范围内无环境保护目标的排水沟两侧（避开南城李、方台镇、宋家村等</w:t>
      </w:r>
      <w:r w:rsidRPr="00873083">
        <w:rPr>
          <w:rFonts w:eastAsiaTheme="minorEastAsia"/>
          <w:bCs/>
          <w:color w:val="FF0000"/>
          <w:sz w:val="24"/>
        </w:rPr>
        <w:t>33</w:t>
      </w:r>
      <w:r w:rsidRPr="00873083">
        <w:rPr>
          <w:rFonts w:eastAsiaTheme="minorEastAsia"/>
          <w:bCs/>
          <w:color w:val="FF0000"/>
          <w:sz w:val="24"/>
        </w:rPr>
        <w:t>个村屯，具体见表</w:t>
      </w:r>
      <w:r w:rsidRPr="00873083">
        <w:rPr>
          <w:rFonts w:eastAsiaTheme="minorEastAsia"/>
          <w:bCs/>
          <w:color w:val="FF0000"/>
          <w:sz w:val="24"/>
        </w:rPr>
        <w:t>2-8-2</w:t>
      </w:r>
      <w:r w:rsidRPr="00873083">
        <w:rPr>
          <w:rFonts w:eastAsiaTheme="minorEastAsia"/>
          <w:bCs/>
          <w:color w:val="FF0000"/>
          <w:sz w:val="24"/>
        </w:rPr>
        <w:t>），</w:t>
      </w:r>
      <w:r w:rsidRPr="00873083">
        <w:rPr>
          <w:rFonts w:eastAsiaTheme="minorEastAsia"/>
          <w:color w:val="FF0000"/>
          <w:sz w:val="24"/>
        </w:rPr>
        <w:t>自然晾晒干化，晾晒</w:t>
      </w:r>
      <w:r w:rsidRPr="00873083">
        <w:rPr>
          <w:rFonts w:eastAsiaTheme="minorEastAsia"/>
          <w:color w:val="FF0000"/>
          <w:sz w:val="24"/>
        </w:rPr>
        <w:t>7</w:t>
      </w:r>
      <w:r w:rsidRPr="00873083">
        <w:rPr>
          <w:rFonts w:eastAsiaTheme="minorEastAsia"/>
          <w:color w:val="FF0000"/>
          <w:sz w:val="24"/>
        </w:rPr>
        <w:t>～</w:t>
      </w:r>
      <w:r w:rsidRPr="00873083">
        <w:rPr>
          <w:rFonts w:eastAsiaTheme="minorEastAsia"/>
          <w:color w:val="FF0000"/>
          <w:sz w:val="24"/>
        </w:rPr>
        <w:t>10d</w:t>
      </w:r>
      <w:r w:rsidRPr="00873083">
        <w:rPr>
          <w:rFonts w:eastAsiaTheme="minorEastAsia"/>
          <w:color w:val="FF0000"/>
          <w:sz w:val="24"/>
        </w:rPr>
        <w:t>后含水率大幅下降，厌氧环境破坏，臭气浓度释放量显著降低，后期臭气影响大幅减弱。</w:t>
      </w:r>
    </w:p>
    <w:p w:rsidR="00873083" w:rsidRPr="00873083" w:rsidRDefault="00873083" w:rsidP="00873083">
      <w:pPr>
        <w:widowControl/>
        <w:spacing w:line="360" w:lineRule="auto"/>
        <w:ind w:firstLineChars="200" w:firstLine="480"/>
        <w:rPr>
          <w:rFonts w:eastAsiaTheme="minorEastAsia"/>
          <w:color w:val="FF0000"/>
          <w:spacing w:val="-5"/>
          <w:sz w:val="24"/>
        </w:rPr>
      </w:pPr>
      <w:r w:rsidRPr="00873083">
        <w:rPr>
          <w:color w:val="FF0000"/>
          <w:sz w:val="24"/>
        </w:rPr>
        <w:t>本工程清淤施工期选定</w:t>
      </w:r>
      <w:r w:rsidRPr="00873083">
        <w:rPr>
          <w:color w:val="FF0000"/>
          <w:sz w:val="24"/>
        </w:rPr>
        <w:t xml:space="preserve"> 2027</w:t>
      </w:r>
      <w:r w:rsidRPr="00873083">
        <w:rPr>
          <w:color w:val="FF0000"/>
          <w:sz w:val="24"/>
        </w:rPr>
        <w:t>年</w:t>
      </w:r>
      <w:r w:rsidRPr="00873083">
        <w:rPr>
          <w:color w:val="FF0000"/>
          <w:sz w:val="24"/>
        </w:rPr>
        <w:t>3</w:t>
      </w:r>
      <w:r w:rsidRPr="00873083">
        <w:rPr>
          <w:rFonts w:eastAsiaTheme="minorEastAsia"/>
          <w:color w:val="FF0000"/>
          <w:kern w:val="0"/>
          <w:sz w:val="24"/>
        </w:rPr>
        <w:t>～</w:t>
      </w:r>
      <w:r w:rsidRPr="00873083">
        <w:rPr>
          <w:color w:val="FF0000"/>
          <w:sz w:val="24"/>
        </w:rPr>
        <w:t>4</w:t>
      </w:r>
      <w:r w:rsidRPr="00873083">
        <w:rPr>
          <w:color w:val="FF0000"/>
          <w:sz w:val="24"/>
        </w:rPr>
        <w:t>月河道枯水期开展，该阶段河流水位低，河床淤泥自然疏干、含水率较低，叠加初春低温气象条件，淤泥内厌氧微生物产臭活性受到双重抑制，恶臭污染物生成及挥发速率整体偏低；同时采用干化开挖施工，避免汛期水下扰动淤泥造成恶臭气体集中瞬时释放，整体臭气平均排放浓度优于丰水期清淤工况。</w:t>
      </w:r>
    </w:p>
    <w:p w:rsidR="002A5A5E" w:rsidRPr="00F9522B" w:rsidRDefault="00611CBA">
      <w:pPr>
        <w:pStyle w:val="aff4"/>
        <w:adjustRightInd/>
        <w:snapToGrid/>
        <w:ind w:firstLine="460"/>
        <w:rPr>
          <w:rFonts w:ascii="Times New Roman" w:hAnsi="Times New Roman" w:cs="Times New Roman"/>
          <w:spacing w:val="-5"/>
        </w:rPr>
      </w:pPr>
      <w:r w:rsidRPr="00F9522B">
        <w:rPr>
          <w:rFonts w:ascii="Times New Roman" w:hAnsi="Times New Roman" w:cs="Times New Roman"/>
          <w:spacing w:val="-5"/>
        </w:rPr>
        <w:t>淤泥恶臭主要来自渠道清淤，本项目整治在干槽时段进行，但局部排水沟段或低洼处会有少量水体，清淤时水体受到搅动会产生恶臭，另外淤泥脱水过程中会产生恶臭。恶臭强度是以嗅觉阈值为基准划分等级的，目前国内将恶臭强度划分为</w:t>
      </w:r>
      <w:r w:rsidRPr="00F9522B">
        <w:rPr>
          <w:rFonts w:ascii="Times New Roman" w:hAnsi="Times New Roman" w:cs="Times New Roman"/>
          <w:spacing w:val="-5"/>
        </w:rPr>
        <w:t>6</w:t>
      </w:r>
      <w:r w:rsidRPr="00F9522B">
        <w:rPr>
          <w:rFonts w:ascii="Times New Roman" w:hAnsi="Times New Roman" w:cs="Times New Roman"/>
          <w:spacing w:val="-5"/>
        </w:rPr>
        <w:t>级，限值标准相当于恶臭强度</w:t>
      </w:r>
      <w:r w:rsidRPr="00F9522B">
        <w:rPr>
          <w:rFonts w:ascii="Times New Roman" w:hAnsi="Times New Roman" w:cs="Times New Roman"/>
          <w:spacing w:val="-5"/>
        </w:rPr>
        <w:t>2.5~3.5</w:t>
      </w:r>
      <w:r w:rsidRPr="00F9522B">
        <w:rPr>
          <w:rFonts w:ascii="Times New Roman" w:hAnsi="Times New Roman" w:cs="Times New Roman"/>
          <w:spacing w:val="-5"/>
        </w:rPr>
        <w:t>级，超出该强度范围，即发生恶臭污染，需要采取防护措施。</w:t>
      </w:r>
    </w:p>
    <w:p w:rsidR="002A5A5E" w:rsidRPr="006D377D" w:rsidRDefault="00611CBA">
      <w:pPr>
        <w:pStyle w:val="aff4"/>
        <w:adjustRightInd/>
        <w:snapToGrid/>
        <w:ind w:firstLine="460"/>
        <w:jc w:val="both"/>
        <w:rPr>
          <w:rFonts w:ascii="Times New Roman" w:hAnsi="Times New Roman" w:cs="Times New Roman"/>
          <w:color w:val="FF0000"/>
          <w:spacing w:val="-5"/>
        </w:rPr>
      </w:pPr>
      <w:r w:rsidRPr="00F9522B">
        <w:rPr>
          <w:rFonts w:ascii="Times New Roman" w:hAnsi="Times New Roman" w:cs="Times New Roman"/>
          <w:spacing w:val="-5"/>
        </w:rPr>
        <w:t>根据同类项目及有关调查分析，清淤过程及堆放中在该段排水沟道边将会有明显的臭味，恶臭强度约为</w:t>
      </w:r>
      <w:r w:rsidRPr="00F9522B">
        <w:rPr>
          <w:rFonts w:ascii="Times New Roman" w:hAnsi="Times New Roman" w:cs="Times New Roman"/>
          <w:spacing w:val="-5"/>
        </w:rPr>
        <w:t>2-3</w:t>
      </w:r>
      <w:r w:rsidRPr="00F9522B">
        <w:rPr>
          <w:rFonts w:ascii="Times New Roman" w:hAnsi="Times New Roman" w:cs="Times New Roman"/>
          <w:spacing w:val="-5"/>
        </w:rPr>
        <w:t>级左右，影响范围在</w:t>
      </w:r>
      <w:r w:rsidRPr="00F9522B">
        <w:rPr>
          <w:rFonts w:ascii="Times New Roman" w:hAnsi="Times New Roman" w:cs="Times New Roman"/>
          <w:spacing w:val="-5"/>
        </w:rPr>
        <w:t>30m</w:t>
      </w:r>
      <w:r w:rsidRPr="00F9522B">
        <w:rPr>
          <w:rFonts w:ascii="Times New Roman" w:hAnsi="Times New Roman" w:cs="Times New Roman"/>
          <w:spacing w:val="-5"/>
        </w:rPr>
        <w:t>左右，</w:t>
      </w:r>
      <w:r w:rsidRPr="00F9522B">
        <w:rPr>
          <w:rFonts w:ascii="Times New Roman" w:hAnsi="Times New Roman" w:cs="Times New Roman"/>
          <w:spacing w:val="-5"/>
        </w:rPr>
        <w:t>30m</w:t>
      </w:r>
      <w:r w:rsidRPr="00F9522B">
        <w:rPr>
          <w:rFonts w:ascii="Times New Roman" w:hAnsi="Times New Roman" w:cs="Times New Roman"/>
          <w:spacing w:val="-5"/>
        </w:rPr>
        <w:t>之外达</w:t>
      </w:r>
      <w:r w:rsidRPr="00F9522B">
        <w:rPr>
          <w:rFonts w:ascii="Times New Roman" w:hAnsi="Times New Roman" w:cs="Times New Roman"/>
          <w:spacing w:val="-5"/>
        </w:rPr>
        <w:t>2</w:t>
      </w:r>
      <w:r w:rsidRPr="00F9522B">
        <w:rPr>
          <w:rFonts w:ascii="Times New Roman" w:hAnsi="Times New Roman" w:cs="Times New Roman"/>
          <w:spacing w:val="-5"/>
        </w:rPr>
        <w:t>级强度，有轻微的臭味，</w:t>
      </w:r>
      <w:r w:rsidRPr="00F9522B">
        <w:rPr>
          <w:rFonts w:ascii="Times New Roman" w:hAnsi="Times New Roman" w:cs="Times New Roman"/>
          <w:spacing w:val="-5"/>
        </w:rPr>
        <w:t>80m</w:t>
      </w:r>
      <w:r w:rsidRPr="00F9522B">
        <w:rPr>
          <w:rFonts w:ascii="Times New Roman" w:hAnsi="Times New Roman" w:cs="Times New Roman"/>
          <w:spacing w:val="-5"/>
        </w:rPr>
        <w:t>之外基本无气味。本项目不设淤泥排泥场，其影响主要为排水沟两侧的农户。清淤过程中可喷洒微生物除臭剂，有效抑制腐败细菌的生长，改善有机物的分解途径，减少恶臭气体的产生，起到源头控制臭气产生作用。</w:t>
      </w:r>
    </w:p>
    <w:p w:rsidR="002A5A5E" w:rsidRPr="00F9522B" w:rsidRDefault="00611CBA">
      <w:pPr>
        <w:autoSpaceDE w:val="0"/>
        <w:autoSpaceDN w:val="0"/>
        <w:spacing w:before="100" w:beforeAutospacing="1" w:after="100" w:afterAutospacing="1"/>
        <w:outlineLvl w:val="3"/>
        <w:rPr>
          <w:rFonts w:eastAsiaTheme="minorEastAsia"/>
          <w:b/>
          <w:sz w:val="24"/>
        </w:rPr>
      </w:pPr>
      <w:r w:rsidRPr="00F9522B">
        <w:rPr>
          <w:rFonts w:eastAsiaTheme="minorEastAsia"/>
          <w:b/>
          <w:sz w:val="24"/>
        </w:rPr>
        <w:t>3.3.1.3</w:t>
      </w:r>
      <w:r w:rsidRPr="00F9522B">
        <w:rPr>
          <w:rFonts w:eastAsiaTheme="minorEastAsia"/>
          <w:b/>
          <w:sz w:val="24"/>
        </w:rPr>
        <w:t>噪声污染分析</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项目施工期噪声主要来源于施工机械噪声和运输车辆噪声。在施工过程中，由于各种施工机械设备的运转和各类车辆的运行，不可避免地将产生噪声污染。这些施工噪声与运输车辆噪声对施工区周边及车辆经过的村镇声环境将产生不利影响，因此在施工过程中需采取降噪措施减少对声环境的影响。</w:t>
      </w:r>
      <w:r w:rsidRPr="00F9522B">
        <w:rPr>
          <w:spacing w:val="-5"/>
          <w:sz w:val="24"/>
        </w:rPr>
        <w:t>通过查阅《环境保护实用数据手册》及《环境影响评价技术手册水利水电工程》，结合施工现场实测，确定各施工机械设备、运输车辆等设备噪声值范围见</w:t>
      </w:r>
      <w:r w:rsidRPr="00F9522B">
        <w:rPr>
          <w:rFonts w:eastAsiaTheme="minorEastAsia"/>
          <w:sz w:val="24"/>
        </w:rPr>
        <w:t>表</w:t>
      </w:r>
      <w:r w:rsidRPr="00F9522B">
        <w:rPr>
          <w:rFonts w:eastAsiaTheme="minorEastAsia"/>
          <w:sz w:val="24"/>
        </w:rPr>
        <w:t>3-3-3</w:t>
      </w:r>
      <w:r w:rsidRPr="00F9522B">
        <w:rPr>
          <w:rFonts w:eastAsiaTheme="minorEastAsia"/>
          <w:sz w:val="24"/>
        </w:rPr>
        <w:t>。</w:t>
      </w:r>
    </w:p>
    <w:p w:rsidR="00873083" w:rsidRDefault="00873083">
      <w:pPr>
        <w:contextualSpacing/>
        <w:jc w:val="center"/>
        <w:rPr>
          <w:rFonts w:eastAsiaTheme="minorEastAsia"/>
          <w:b/>
          <w:kern w:val="0"/>
          <w:szCs w:val="21"/>
        </w:rPr>
      </w:pPr>
    </w:p>
    <w:p w:rsidR="00873083" w:rsidRDefault="00873083">
      <w:pPr>
        <w:contextualSpacing/>
        <w:jc w:val="center"/>
        <w:rPr>
          <w:rFonts w:eastAsiaTheme="minorEastAsia"/>
          <w:b/>
          <w:kern w:val="0"/>
          <w:szCs w:val="21"/>
        </w:rPr>
      </w:pPr>
    </w:p>
    <w:p w:rsidR="004C69F2" w:rsidRDefault="004C69F2">
      <w:pPr>
        <w:contextualSpacing/>
        <w:jc w:val="center"/>
        <w:rPr>
          <w:rFonts w:eastAsiaTheme="minorEastAsia"/>
          <w:b/>
          <w:kern w:val="0"/>
          <w:szCs w:val="21"/>
        </w:rPr>
      </w:pPr>
    </w:p>
    <w:p w:rsidR="00873083" w:rsidRDefault="00873083">
      <w:pPr>
        <w:contextualSpacing/>
        <w:jc w:val="center"/>
        <w:rPr>
          <w:rFonts w:eastAsiaTheme="minorEastAsia"/>
          <w:b/>
          <w:kern w:val="0"/>
          <w:szCs w:val="21"/>
        </w:rPr>
      </w:pPr>
    </w:p>
    <w:p w:rsidR="002A5A5E" w:rsidRPr="00F9522B" w:rsidRDefault="00611CBA">
      <w:pPr>
        <w:contextualSpacing/>
        <w:jc w:val="center"/>
        <w:rPr>
          <w:rFonts w:eastAsiaTheme="minorEastAsia"/>
          <w:b/>
          <w:kern w:val="0"/>
          <w:szCs w:val="21"/>
        </w:rPr>
      </w:pPr>
      <w:r w:rsidRPr="00F9522B">
        <w:rPr>
          <w:rFonts w:eastAsiaTheme="minorEastAsia"/>
          <w:b/>
          <w:kern w:val="0"/>
          <w:szCs w:val="21"/>
        </w:rPr>
        <w:lastRenderedPageBreak/>
        <w:t>表</w:t>
      </w:r>
      <w:r w:rsidRPr="00F9522B">
        <w:rPr>
          <w:rFonts w:eastAsiaTheme="minorEastAsia"/>
          <w:b/>
          <w:kern w:val="0"/>
          <w:szCs w:val="21"/>
        </w:rPr>
        <w:t>3-3-3</w:t>
      </w:r>
      <w:r w:rsidRPr="00F9522B">
        <w:rPr>
          <w:rFonts w:eastAsiaTheme="minorEastAsia"/>
          <w:b/>
          <w:kern w:val="0"/>
          <w:szCs w:val="21"/>
        </w:rPr>
        <w:t>各施工阶段主要噪声源强及周围环境噪声情况</w:t>
      </w:r>
    </w:p>
    <w:tbl>
      <w:tblPr>
        <w:tblW w:w="7959" w:type="dxa"/>
        <w:jc w:val="center"/>
        <w:tblBorders>
          <w:top w:val="single" w:sz="12" w:space="0" w:color="auto"/>
          <w:bottom w:val="single" w:sz="12" w:space="0" w:color="auto"/>
          <w:insideH w:val="single" w:sz="6" w:space="0" w:color="auto"/>
          <w:insideV w:val="single" w:sz="6" w:space="0" w:color="auto"/>
        </w:tblBorders>
        <w:tblLayout w:type="fixed"/>
        <w:tblLook w:val="04A0"/>
      </w:tblPr>
      <w:tblGrid>
        <w:gridCol w:w="2237"/>
        <w:gridCol w:w="3402"/>
        <w:gridCol w:w="2320"/>
      </w:tblGrid>
      <w:tr w:rsidR="002A5A5E" w:rsidRPr="00F9522B">
        <w:trPr>
          <w:trHeight w:val="4"/>
          <w:tblHeader/>
          <w:jc w:val="center"/>
        </w:trPr>
        <w:tc>
          <w:tcPr>
            <w:tcW w:w="2237" w:type="dxa"/>
            <w:vAlign w:val="center"/>
          </w:tcPr>
          <w:p w:rsidR="002A5A5E" w:rsidRPr="00F9522B" w:rsidRDefault="00611CBA">
            <w:pPr>
              <w:widowControl/>
              <w:spacing w:line="240" w:lineRule="atLeast"/>
              <w:jc w:val="center"/>
              <w:rPr>
                <w:rFonts w:eastAsiaTheme="minorEastAsia"/>
                <w:kern w:val="0"/>
                <w:szCs w:val="21"/>
              </w:rPr>
            </w:pPr>
            <w:r w:rsidRPr="00F9522B">
              <w:rPr>
                <w:rFonts w:eastAsiaTheme="minorEastAsia"/>
                <w:kern w:val="0"/>
                <w:szCs w:val="21"/>
              </w:rPr>
              <w:t>声源</w:t>
            </w:r>
          </w:p>
        </w:tc>
        <w:tc>
          <w:tcPr>
            <w:tcW w:w="3402" w:type="dxa"/>
            <w:vAlign w:val="center"/>
          </w:tcPr>
          <w:p w:rsidR="002A5A5E" w:rsidRPr="00F9522B" w:rsidRDefault="00611CBA">
            <w:pPr>
              <w:widowControl/>
              <w:spacing w:line="240" w:lineRule="atLeast"/>
              <w:jc w:val="center"/>
              <w:rPr>
                <w:rFonts w:eastAsiaTheme="minorEastAsia"/>
                <w:kern w:val="0"/>
                <w:szCs w:val="21"/>
              </w:rPr>
            </w:pPr>
            <w:r w:rsidRPr="00F9522B">
              <w:rPr>
                <w:rFonts w:eastAsiaTheme="minorEastAsia"/>
                <w:kern w:val="0"/>
                <w:szCs w:val="21"/>
              </w:rPr>
              <w:t>噪声源强</w:t>
            </w:r>
            <w:r w:rsidRPr="00F9522B">
              <w:rPr>
                <w:rFonts w:eastAsiaTheme="minorEastAsia"/>
                <w:kern w:val="0"/>
                <w:szCs w:val="21"/>
              </w:rPr>
              <w:t>dB(A)</w:t>
            </w:r>
          </w:p>
        </w:tc>
        <w:tc>
          <w:tcPr>
            <w:tcW w:w="2320" w:type="dxa"/>
            <w:vAlign w:val="center"/>
          </w:tcPr>
          <w:p w:rsidR="002A5A5E" w:rsidRPr="00F9522B" w:rsidRDefault="00611CBA">
            <w:pPr>
              <w:widowControl/>
              <w:spacing w:line="240" w:lineRule="atLeast"/>
              <w:jc w:val="center"/>
              <w:rPr>
                <w:rFonts w:eastAsiaTheme="minorEastAsia"/>
                <w:kern w:val="0"/>
                <w:szCs w:val="21"/>
              </w:rPr>
            </w:pPr>
            <w:r w:rsidRPr="00F9522B">
              <w:rPr>
                <w:rFonts w:eastAsiaTheme="minorEastAsia"/>
                <w:kern w:val="0"/>
                <w:szCs w:val="21"/>
              </w:rPr>
              <w:t>备注</w:t>
            </w:r>
          </w:p>
        </w:tc>
      </w:tr>
      <w:tr w:rsidR="002A5A5E" w:rsidRPr="00F9522B">
        <w:trPr>
          <w:trHeight w:val="13"/>
          <w:tblHeader/>
          <w:jc w:val="center"/>
        </w:trPr>
        <w:tc>
          <w:tcPr>
            <w:tcW w:w="2237" w:type="dxa"/>
            <w:vAlign w:val="center"/>
          </w:tcPr>
          <w:p w:rsidR="002A5A5E" w:rsidRPr="00F9522B" w:rsidRDefault="00611CBA">
            <w:pPr>
              <w:adjustRightInd w:val="0"/>
              <w:snapToGrid w:val="0"/>
              <w:spacing w:before="40" w:after="40" w:line="240" w:lineRule="exact"/>
              <w:jc w:val="center"/>
              <w:rPr>
                <w:rFonts w:eastAsiaTheme="minorEastAsia"/>
                <w:kern w:val="0"/>
                <w:szCs w:val="21"/>
              </w:rPr>
            </w:pPr>
            <w:r w:rsidRPr="00F9522B">
              <w:rPr>
                <w:rFonts w:eastAsiaTheme="minorEastAsia"/>
                <w:kern w:val="0"/>
                <w:szCs w:val="21"/>
              </w:rPr>
              <w:t>轮式装载机</w:t>
            </w:r>
          </w:p>
        </w:tc>
        <w:tc>
          <w:tcPr>
            <w:tcW w:w="3402" w:type="dxa"/>
            <w:vAlign w:val="center"/>
          </w:tcPr>
          <w:p w:rsidR="002A5A5E" w:rsidRPr="00F9522B" w:rsidRDefault="00611CBA">
            <w:pPr>
              <w:widowControl/>
              <w:spacing w:line="240" w:lineRule="atLeast"/>
              <w:jc w:val="center"/>
              <w:rPr>
                <w:rFonts w:eastAsiaTheme="minorEastAsia"/>
                <w:kern w:val="0"/>
                <w:szCs w:val="21"/>
              </w:rPr>
            </w:pPr>
            <w:r w:rsidRPr="00F9522B">
              <w:rPr>
                <w:rFonts w:eastAsiaTheme="minorEastAsia"/>
                <w:kern w:val="0"/>
                <w:szCs w:val="21"/>
              </w:rPr>
              <w:t>88</w:t>
            </w:r>
          </w:p>
        </w:tc>
        <w:tc>
          <w:tcPr>
            <w:tcW w:w="2320" w:type="dxa"/>
            <w:vMerge w:val="restart"/>
            <w:vAlign w:val="center"/>
          </w:tcPr>
          <w:p w:rsidR="002A5A5E" w:rsidRPr="00F9522B" w:rsidRDefault="00611CBA">
            <w:pPr>
              <w:widowControl/>
              <w:spacing w:line="240" w:lineRule="atLeast"/>
              <w:jc w:val="center"/>
              <w:rPr>
                <w:rFonts w:eastAsiaTheme="minorEastAsia"/>
                <w:kern w:val="0"/>
                <w:szCs w:val="21"/>
              </w:rPr>
            </w:pPr>
            <w:r w:rsidRPr="00F9522B">
              <w:rPr>
                <w:rFonts w:eastAsiaTheme="minorEastAsia"/>
                <w:kern w:val="0"/>
                <w:szCs w:val="21"/>
              </w:rPr>
              <w:t>距离声源</w:t>
            </w:r>
            <w:r w:rsidRPr="00F9522B">
              <w:rPr>
                <w:rFonts w:eastAsiaTheme="minorEastAsia"/>
                <w:kern w:val="0"/>
                <w:szCs w:val="21"/>
              </w:rPr>
              <w:t>1m</w:t>
            </w:r>
            <w:r w:rsidRPr="00F9522B">
              <w:rPr>
                <w:rFonts w:eastAsiaTheme="minorEastAsia"/>
                <w:kern w:val="0"/>
                <w:szCs w:val="21"/>
              </w:rPr>
              <w:t>处</w:t>
            </w:r>
          </w:p>
        </w:tc>
      </w:tr>
      <w:tr w:rsidR="002A5A5E" w:rsidRPr="00F9522B">
        <w:trPr>
          <w:trHeight w:val="13"/>
          <w:tblHeader/>
          <w:jc w:val="center"/>
        </w:trPr>
        <w:tc>
          <w:tcPr>
            <w:tcW w:w="2237" w:type="dxa"/>
            <w:vAlign w:val="center"/>
          </w:tcPr>
          <w:p w:rsidR="002A5A5E" w:rsidRPr="00F9522B" w:rsidRDefault="00611CBA">
            <w:pPr>
              <w:adjustRightInd w:val="0"/>
              <w:snapToGrid w:val="0"/>
              <w:spacing w:before="40" w:after="40" w:line="240" w:lineRule="exact"/>
              <w:jc w:val="center"/>
              <w:rPr>
                <w:rFonts w:eastAsiaTheme="minorEastAsia"/>
                <w:kern w:val="0"/>
                <w:szCs w:val="21"/>
              </w:rPr>
            </w:pPr>
            <w:r w:rsidRPr="00F9522B">
              <w:rPr>
                <w:rFonts w:eastAsiaTheme="minorEastAsia"/>
                <w:kern w:val="0"/>
                <w:szCs w:val="21"/>
              </w:rPr>
              <w:t>平地机</w:t>
            </w:r>
          </w:p>
        </w:tc>
        <w:tc>
          <w:tcPr>
            <w:tcW w:w="3402" w:type="dxa"/>
            <w:vAlign w:val="center"/>
          </w:tcPr>
          <w:p w:rsidR="002A5A5E" w:rsidRPr="00F9522B" w:rsidRDefault="00611CBA">
            <w:pPr>
              <w:widowControl/>
              <w:spacing w:line="240" w:lineRule="atLeast"/>
              <w:jc w:val="center"/>
              <w:rPr>
                <w:rFonts w:eastAsiaTheme="minorEastAsia"/>
                <w:kern w:val="0"/>
                <w:szCs w:val="21"/>
              </w:rPr>
            </w:pPr>
            <w:r w:rsidRPr="00F9522B">
              <w:rPr>
                <w:rFonts w:eastAsiaTheme="minorEastAsia"/>
                <w:kern w:val="0"/>
                <w:szCs w:val="21"/>
              </w:rPr>
              <w:t>86</w:t>
            </w:r>
          </w:p>
        </w:tc>
        <w:tc>
          <w:tcPr>
            <w:tcW w:w="2320" w:type="dxa"/>
            <w:vMerge/>
            <w:vAlign w:val="center"/>
          </w:tcPr>
          <w:p w:rsidR="002A5A5E" w:rsidRPr="00F9522B" w:rsidRDefault="002A5A5E">
            <w:pPr>
              <w:widowControl/>
              <w:spacing w:line="240" w:lineRule="atLeast"/>
              <w:jc w:val="center"/>
              <w:rPr>
                <w:rFonts w:eastAsiaTheme="minorEastAsia"/>
                <w:kern w:val="0"/>
                <w:szCs w:val="21"/>
              </w:rPr>
            </w:pPr>
          </w:p>
        </w:tc>
      </w:tr>
      <w:tr w:rsidR="002A5A5E" w:rsidRPr="00F9522B">
        <w:trPr>
          <w:trHeight w:val="13"/>
          <w:tblHeader/>
          <w:jc w:val="center"/>
        </w:trPr>
        <w:tc>
          <w:tcPr>
            <w:tcW w:w="2237" w:type="dxa"/>
            <w:vAlign w:val="center"/>
          </w:tcPr>
          <w:p w:rsidR="002A5A5E" w:rsidRPr="00F9522B" w:rsidRDefault="00611CBA">
            <w:pPr>
              <w:adjustRightInd w:val="0"/>
              <w:snapToGrid w:val="0"/>
              <w:spacing w:before="40" w:after="40" w:line="240" w:lineRule="exact"/>
              <w:jc w:val="center"/>
              <w:rPr>
                <w:rFonts w:eastAsiaTheme="minorEastAsia"/>
                <w:kern w:val="0"/>
                <w:szCs w:val="21"/>
              </w:rPr>
            </w:pPr>
            <w:r w:rsidRPr="00F9522B">
              <w:rPr>
                <w:rFonts w:eastAsiaTheme="minorEastAsia"/>
                <w:kern w:val="0"/>
                <w:szCs w:val="21"/>
              </w:rPr>
              <w:t>压路机</w:t>
            </w:r>
          </w:p>
        </w:tc>
        <w:tc>
          <w:tcPr>
            <w:tcW w:w="3402" w:type="dxa"/>
            <w:vAlign w:val="center"/>
          </w:tcPr>
          <w:p w:rsidR="002A5A5E" w:rsidRPr="00F9522B" w:rsidRDefault="00611CBA">
            <w:pPr>
              <w:widowControl/>
              <w:spacing w:line="240" w:lineRule="atLeast"/>
              <w:jc w:val="center"/>
              <w:rPr>
                <w:rFonts w:eastAsiaTheme="minorEastAsia"/>
                <w:kern w:val="0"/>
                <w:szCs w:val="21"/>
              </w:rPr>
            </w:pPr>
            <w:r w:rsidRPr="00F9522B">
              <w:rPr>
                <w:rFonts w:eastAsiaTheme="minorEastAsia"/>
                <w:kern w:val="0"/>
                <w:szCs w:val="21"/>
              </w:rPr>
              <w:t>86</w:t>
            </w:r>
          </w:p>
        </w:tc>
        <w:tc>
          <w:tcPr>
            <w:tcW w:w="2320" w:type="dxa"/>
            <w:vMerge/>
            <w:vAlign w:val="center"/>
          </w:tcPr>
          <w:p w:rsidR="002A5A5E" w:rsidRPr="00F9522B" w:rsidRDefault="002A5A5E">
            <w:pPr>
              <w:widowControl/>
              <w:spacing w:line="240" w:lineRule="atLeast"/>
              <w:jc w:val="center"/>
              <w:rPr>
                <w:rFonts w:eastAsiaTheme="minorEastAsia"/>
                <w:kern w:val="0"/>
                <w:szCs w:val="21"/>
              </w:rPr>
            </w:pPr>
          </w:p>
        </w:tc>
      </w:tr>
      <w:tr w:rsidR="002A5A5E" w:rsidRPr="00F9522B">
        <w:trPr>
          <w:trHeight w:val="13"/>
          <w:tblHeader/>
          <w:jc w:val="center"/>
        </w:trPr>
        <w:tc>
          <w:tcPr>
            <w:tcW w:w="2237" w:type="dxa"/>
            <w:vAlign w:val="center"/>
          </w:tcPr>
          <w:p w:rsidR="002A5A5E" w:rsidRPr="00F9522B" w:rsidRDefault="00611CBA">
            <w:pPr>
              <w:adjustRightInd w:val="0"/>
              <w:snapToGrid w:val="0"/>
              <w:spacing w:before="40" w:after="40" w:line="240" w:lineRule="exact"/>
              <w:jc w:val="center"/>
              <w:rPr>
                <w:rFonts w:eastAsiaTheme="minorEastAsia"/>
                <w:kern w:val="0"/>
                <w:szCs w:val="21"/>
              </w:rPr>
            </w:pPr>
            <w:r w:rsidRPr="00F9522B">
              <w:rPr>
                <w:rFonts w:eastAsiaTheme="minorEastAsia"/>
                <w:kern w:val="0"/>
                <w:szCs w:val="21"/>
              </w:rPr>
              <w:t>推土机</w:t>
            </w:r>
          </w:p>
        </w:tc>
        <w:tc>
          <w:tcPr>
            <w:tcW w:w="3402" w:type="dxa"/>
            <w:vAlign w:val="center"/>
          </w:tcPr>
          <w:p w:rsidR="002A5A5E" w:rsidRPr="00F9522B" w:rsidRDefault="00611CBA">
            <w:pPr>
              <w:widowControl/>
              <w:spacing w:line="240" w:lineRule="atLeast"/>
              <w:jc w:val="center"/>
              <w:rPr>
                <w:rFonts w:eastAsiaTheme="minorEastAsia"/>
                <w:kern w:val="0"/>
                <w:szCs w:val="21"/>
              </w:rPr>
            </w:pPr>
            <w:r w:rsidRPr="00F9522B">
              <w:rPr>
                <w:rFonts w:eastAsiaTheme="minorEastAsia"/>
                <w:spacing w:val="20"/>
                <w:szCs w:val="21"/>
              </w:rPr>
              <w:t>86</w:t>
            </w:r>
          </w:p>
        </w:tc>
        <w:tc>
          <w:tcPr>
            <w:tcW w:w="2320" w:type="dxa"/>
            <w:vMerge/>
            <w:vAlign w:val="center"/>
          </w:tcPr>
          <w:p w:rsidR="002A5A5E" w:rsidRPr="00F9522B" w:rsidRDefault="002A5A5E">
            <w:pPr>
              <w:widowControl/>
              <w:spacing w:line="240" w:lineRule="atLeast"/>
              <w:jc w:val="center"/>
              <w:rPr>
                <w:rFonts w:eastAsiaTheme="minorEastAsia"/>
                <w:kern w:val="0"/>
                <w:szCs w:val="21"/>
              </w:rPr>
            </w:pPr>
          </w:p>
        </w:tc>
      </w:tr>
      <w:tr w:rsidR="002A5A5E" w:rsidRPr="00F9522B">
        <w:trPr>
          <w:trHeight w:val="13"/>
          <w:tblHeader/>
          <w:jc w:val="center"/>
        </w:trPr>
        <w:tc>
          <w:tcPr>
            <w:tcW w:w="2237" w:type="dxa"/>
            <w:vAlign w:val="center"/>
          </w:tcPr>
          <w:p w:rsidR="002A5A5E" w:rsidRPr="00F9522B" w:rsidRDefault="00611CBA">
            <w:pPr>
              <w:adjustRightInd w:val="0"/>
              <w:snapToGrid w:val="0"/>
              <w:spacing w:before="40" w:after="40" w:line="240" w:lineRule="exact"/>
              <w:jc w:val="center"/>
              <w:rPr>
                <w:rFonts w:eastAsiaTheme="minorEastAsia"/>
                <w:kern w:val="0"/>
                <w:szCs w:val="21"/>
              </w:rPr>
            </w:pPr>
            <w:r w:rsidRPr="00F9522B">
              <w:rPr>
                <w:rFonts w:eastAsiaTheme="minorEastAsia"/>
                <w:kern w:val="0"/>
                <w:szCs w:val="21"/>
              </w:rPr>
              <w:t>挖掘机</w:t>
            </w:r>
          </w:p>
        </w:tc>
        <w:tc>
          <w:tcPr>
            <w:tcW w:w="3402" w:type="dxa"/>
            <w:vAlign w:val="center"/>
          </w:tcPr>
          <w:p w:rsidR="002A5A5E" w:rsidRPr="00F9522B" w:rsidRDefault="00611CBA">
            <w:pPr>
              <w:widowControl/>
              <w:spacing w:line="240" w:lineRule="atLeast"/>
              <w:jc w:val="center"/>
              <w:rPr>
                <w:rFonts w:eastAsiaTheme="minorEastAsia"/>
                <w:kern w:val="0"/>
                <w:szCs w:val="21"/>
              </w:rPr>
            </w:pPr>
            <w:r w:rsidRPr="00F9522B">
              <w:rPr>
                <w:rFonts w:eastAsiaTheme="minorEastAsia"/>
                <w:spacing w:val="20"/>
                <w:szCs w:val="21"/>
              </w:rPr>
              <w:t>88</w:t>
            </w:r>
          </w:p>
        </w:tc>
        <w:tc>
          <w:tcPr>
            <w:tcW w:w="2320" w:type="dxa"/>
            <w:vMerge/>
            <w:vAlign w:val="center"/>
          </w:tcPr>
          <w:p w:rsidR="002A5A5E" w:rsidRPr="00F9522B" w:rsidRDefault="002A5A5E">
            <w:pPr>
              <w:widowControl/>
              <w:spacing w:line="240" w:lineRule="atLeast"/>
              <w:jc w:val="center"/>
              <w:rPr>
                <w:rFonts w:eastAsiaTheme="minorEastAsia"/>
                <w:kern w:val="0"/>
                <w:szCs w:val="21"/>
              </w:rPr>
            </w:pPr>
          </w:p>
        </w:tc>
      </w:tr>
      <w:tr w:rsidR="002A5A5E" w:rsidRPr="00F9522B">
        <w:trPr>
          <w:trHeight w:val="13"/>
          <w:tblHeader/>
          <w:jc w:val="center"/>
        </w:trPr>
        <w:tc>
          <w:tcPr>
            <w:tcW w:w="2237" w:type="dxa"/>
            <w:vAlign w:val="center"/>
          </w:tcPr>
          <w:p w:rsidR="002A5A5E" w:rsidRPr="00F9522B" w:rsidRDefault="00611CBA">
            <w:pPr>
              <w:adjustRightInd w:val="0"/>
              <w:snapToGrid w:val="0"/>
              <w:spacing w:before="40" w:after="40" w:line="240" w:lineRule="exact"/>
              <w:jc w:val="center"/>
              <w:rPr>
                <w:rFonts w:eastAsiaTheme="minorEastAsia"/>
                <w:kern w:val="0"/>
                <w:szCs w:val="21"/>
              </w:rPr>
            </w:pPr>
            <w:r w:rsidRPr="00F9522B">
              <w:rPr>
                <w:rFonts w:eastAsiaTheme="minorEastAsia"/>
                <w:kern w:val="0"/>
                <w:szCs w:val="21"/>
              </w:rPr>
              <w:t>摊铺机</w:t>
            </w:r>
          </w:p>
        </w:tc>
        <w:tc>
          <w:tcPr>
            <w:tcW w:w="3402" w:type="dxa"/>
            <w:vAlign w:val="center"/>
          </w:tcPr>
          <w:p w:rsidR="002A5A5E" w:rsidRPr="00F9522B" w:rsidRDefault="00611CBA">
            <w:pPr>
              <w:widowControl/>
              <w:spacing w:line="240" w:lineRule="atLeast"/>
              <w:jc w:val="center"/>
              <w:rPr>
                <w:rFonts w:eastAsiaTheme="minorEastAsia"/>
                <w:kern w:val="0"/>
                <w:szCs w:val="21"/>
              </w:rPr>
            </w:pPr>
            <w:r w:rsidRPr="00F9522B">
              <w:rPr>
                <w:rFonts w:eastAsiaTheme="minorEastAsia"/>
                <w:kern w:val="0"/>
                <w:szCs w:val="21"/>
              </w:rPr>
              <w:t>86</w:t>
            </w:r>
          </w:p>
        </w:tc>
        <w:tc>
          <w:tcPr>
            <w:tcW w:w="2320" w:type="dxa"/>
            <w:vMerge/>
            <w:vAlign w:val="center"/>
          </w:tcPr>
          <w:p w:rsidR="002A5A5E" w:rsidRPr="00F9522B" w:rsidRDefault="002A5A5E">
            <w:pPr>
              <w:widowControl/>
              <w:spacing w:line="240" w:lineRule="atLeast"/>
              <w:jc w:val="center"/>
              <w:rPr>
                <w:rFonts w:eastAsiaTheme="minorEastAsia"/>
                <w:kern w:val="0"/>
                <w:szCs w:val="21"/>
              </w:rPr>
            </w:pPr>
          </w:p>
        </w:tc>
      </w:tr>
      <w:tr w:rsidR="002A5A5E" w:rsidRPr="00F9522B">
        <w:trPr>
          <w:trHeight w:val="13"/>
          <w:tblHeader/>
          <w:jc w:val="center"/>
        </w:trPr>
        <w:tc>
          <w:tcPr>
            <w:tcW w:w="2237" w:type="dxa"/>
            <w:vAlign w:val="center"/>
          </w:tcPr>
          <w:p w:rsidR="002A5A5E" w:rsidRPr="00F9522B" w:rsidRDefault="00611CBA">
            <w:pPr>
              <w:adjustRightInd w:val="0"/>
              <w:snapToGrid w:val="0"/>
              <w:spacing w:before="40" w:after="40" w:line="240" w:lineRule="exact"/>
              <w:jc w:val="center"/>
              <w:rPr>
                <w:rFonts w:eastAsiaTheme="minorEastAsia"/>
                <w:kern w:val="0"/>
                <w:szCs w:val="21"/>
              </w:rPr>
            </w:pPr>
            <w:r w:rsidRPr="00F9522B">
              <w:rPr>
                <w:rFonts w:eastAsiaTheme="minorEastAsia"/>
                <w:kern w:val="0"/>
                <w:szCs w:val="21"/>
              </w:rPr>
              <w:t>冲击式钻井机</w:t>
            </w:r>
          </w:p>
        </w:tc>
        <w:tc>
          <w:tcPr>
            <w:tcW w:w="3402" w:type="dxa"/>
            <w:vAlign w:val="center"/>
          </w:tcPr>
          <w:p w:rsidR="002A5A5E" w:rsidRPr="00F9522B" w:rsidRDefault="00611CBA">
            <w:pPr>
              <w:widowControl/>
              <w:spacing w:line="240" w:lineRule="atLeast"/>
              <w:jc w:val="center"/>
              <w:rPr>
                <w:rFonts w:eastAsiaTheme="minorEastAsia"/>
                <w:kern w:val="0"/>
                <w:szCs w:val="21"/>
              </w:rPr>
            </w:pPr>
            <w:r w:rsidRPr="00F9522B">
              <w:rPr>
                <w:rFonts w:eastAsiaTheme="minorEastAsia"/>
                <w:kern w:val="0"/>
                <w:szCs w:val="21"/>
              </w:rPr>
              <w:t>87</w:t>
            </w:r>
          </w:p>
        </w:tc>
        <w:tc>
          <w:tcPr>
            <w:tcW w:w="2320" w:type="dxa"/>
            <w:vMerge/>
            <w:vAlign w:val="center"/>
          </w:tcPr>
          <w:p w:rsidR="002A5A5E" w:rsidRPr="00F9522B" w:rsidRDefault="002A5A5E">
            <w:pPr>
              <w:widowControl/>
              <w:spacing w:line="240" w:lineRule="atLeast"/>
              <w:jc w:val="center"/>
              <w:rPr>
                <w:rFonts w:eastAsiaTheme="minorEastAsia"/>
                <w:kern w:val="0"/>
                <w:szCs w:val="21"/>
              </w:rPr>
            </w:pPr>
          </w:p>
        </w:tc>
      </w:tr>
      <w:tr w:rsidR="002A5A5E" w:rsidRPr="00F9522B">
        <w:trPr>
          <w:trHeight w:val="13"/>
          <w:tblHeader/>
          <w:jc w:val="center"/>
        </w:trPr>
        <w:tc>
          <w:tcPr>
            <w:tcW w:w="2237" w:type="dxa"/>
            <w:vAlign w:val="center"/>
          </w:tcPr>
          <w:p w:rsidR="002A5A5E" w:rsidRPr="00F9522B" w:rsidRDefault="00611CBA">
            <w:pPr>
              <w:adjustRightInd w:val="0"/>
              <w:snapToGrid w:val="0"/>
              <w:spacing w:before="40" w:after="40" w:line="240" w:lineRule="exact"/>
              <w:jc w:val="center"/>
              <w:rPr>
                <w:rFonts w:eastAsiaTheme="minorEastAsia"/>
                <w:kern w:val="0"/>
                <w:szCs w:val="21"/>
              </w:rPr>
            </w:pPr>
            <w:r w:rsidRPr="00F9522B">
              <w:rPr>
                <w:rFonts w:eastAsiaTheme="minorEastAsia"/>
                <w:kern w:val="0"/>
                <w:szCs w:val="21"/>
              </w:rPr>
              <w:t>卡车</w:t>
            </w:r>
          </w:p>
        </w:tc>
        <w:tc>
          <w:tcPr>
            <w:tcW w:w="3402" w:type="dxa"/>
            <w:vAlign w:val="center"/>
          </w:tcPr>
          <w:p w:rsidR="002A5A5E" w:rsidRPr="00F9522B" w:rsidRDefault="00611CBA">
            <w:pPr>
              <w:widowControl/>
              <w:spacing w:line="240" w:lineRule="atLeast"/>
              <w:jc w:val="center"/>
              <w:rPr>
                <w:rFonts w:eastAsiaTheme="minorEastAsia"/>
                <w:kern w:val="0"/>
                <w:szCs w:val="21"/>
              </w:rPr>
            </w:pPr>
            <w:r w:rsidRPr="00F9522B">
              <w:rPr>
                <w:rFonts w:eastAsiaTheme="minorEastAsia"/>
                <w:spacing w:val="20"/>
                <w:szCs w:val="21"/>
              </w:rPr>
              <w:t>80</w:t>
            </w:r>
          </w:p>
        </w:tc>
        <w:tc>
          <w:tcPr>
            <w:tcW w:w="2320" w:type="dxa"/>
            <w:vMerge/>
            <w:vAlign w:val="center"/>
          </w:tcPr>
          <w:p w:rsidR="002A5A5E" w:rsidRPr="00F9522B" w:rsidRDefault="002A5A5E">
            <w:pPr>
              <w:widowControl/>
              <w:spacing w:line="240" w:lineRule="atLeast"/>
              <w:jc w:val="center"/>
              <w:rPr>
                <w:rFonts w:eastAsiaTheme="minorEastAsia"/>
                <w:kern w:val="0"/>
                <w:szCs w:val="21"/>
              </w:rPr>
            </w:pPr>
          </w:p>
        </w:tc>
      </w:tr>
      <w:tr w:rsidR="002A5A5E" w:rsidRPr="00F9522B">
        <w:trPr>
          <w:trHeight w:val="13"/>
          <w:tblHeader/>
          <w:jc w:val="center"/>
        </w:trPr>
        <w:tc>
          <w:tcPr>
            <w:tcW w:w="2237" w:type="dxa"/>
            <w:vAlign w:val="center"/>
          </w:tcPr>
          <w:p w:rsidR="002A5A5E" w:rsidRPr="00F9522B" w:rsidRDefault="00611CBA">
            <w:pPr>
              <w:adjustRightInd w:val="0"/>
              <w:snapToGrid w:val="0"/>
              <w:spacing w:before="40" w:after="40" w:line="240" w:lineRule="exact"/>
              <w:jc w:val="center"/>
              <w:rPr>
                <w:rFonts w:eastAsiaTheme="minorEastAsia"/>
                <w:kern w:val="0"/>
                <w:szCs w:val="21"/>
              </w:rPr>
            </w:pPr>
            <w:r w:rsidRPr="00F9522B">
              <w:rPr>
                <w:rFonts w:eastAsiaTheme="minorEastAsia"/>
                <w:kern w:val="0"/>
                <w:szCs w:val="21"/>
              </w:rPr>
              <w:t>移动式吊车</w:t>
            </w:r>
          </w:p>
        </w:tc>
        <w:tc>
          <w:tcPr>
            <w:tcW w:w="3402" w:type="dxa"/>
            <w:vAlign w:val="center"/>
          </w:tcPr>
          <w:p w:rsidR="002A5A5E" w:rsidRPr="00F9522B" w:rsidRDefault="00611CBA">
            <w:pPr>
              <w:widowControl/>
              <w:spacing w:line="240" w:lineRule="atLeast"/>
              <w:jc w:val="center"/>
              <w:rPr>
                <w:rFonts w:eastAsiaTheme="minorEastAsia"/>
                <w:kern w:val="0"/>
                <w:szCs w:val="21"/>
              </w:rPr>
            </w:pPr>
            <w:r w:rsidRPr="00F9522B">
              <w:rPr>
                <w:rFonts w:eastAsiaTheme="minorEastAsia"/>
                <w:spacing w:val="20"/>
                <w:szCs w:val="21"/>
              </w:rPr>
              <w:t>80</w:t>
            </w:r>
          </w:p>
        </w:tc>
        <w:tc>
          <w:tcPr>
            <w:tcW w:w="2320" w:type="dxa"/>
            <w:vMerge/>
            <w:vAlign w:val="center"/>
          </w:tcPr>
          <w:p w:rsidR="002A5A5E" w:rsidRPr="00F9522B" w:rsidRDefault="002A5A5E">
            <w:pPr>
              <w:widowControl/>
              <w:spacing w:line="240" w:lineRule="atLeast"/>
              <w:jc w:val="center"/>
              <w:rPr>
                <w:rFonts w:eastAsiaTheme="minorEastAsia"/>
                <w:kern w:val="0"/>
                <w:szCs w:val="21"/>
              </w:rPr>
            </w:pPr>
          </w:p>
        </w:tc>
      </w:tr>
      <w:tr w:rsidR="002A5A5E" w:rsidRPr="00F9522B">
        <w:trPr>
          <w:trHeight w:val="13"/>
          <w:tblHeader/>
          <w:jc w:val="center"/>
        </w:trPr>
        <w:tc>
          <w:tcPr>
            <w:tcW w:w="2237" w:type="dxa"/>
            <w:vAlign w:val="center"/>
          </w:tcPr>
          <w:p w:rsidR="002A5A5E" w:rsidRPr="00F9522B" w:rsidRDefault="00611CBA">
            <w:pPr>
              <w:adjustRightInd w:val="0"/>
              <w:snapToGrid w:val="0"/>
              <w:spacing w:before="40" w:after="40" w:line="240" w:lineRule="exact"/>
              <w:jc w:val="center"/>
              <w:rPr>
                <w:rFonts w:eastAsiaTheme="minorEastAsia"/>
                <w:kern w:val="0"/>
                <w:szCs w:val="21"/>
              </w:rPr>
            </w:pPr>
            <w:r w:rsidRPr="00F9522B">
              <w:rPr>
                <w:rFonts w:eastAsiaTheme="minorEastAsia"/>
                <w:kern w:val="0"/>
                <w:szCs w:val="21"/>
              </w:rPr>
              <w:t>发电机组</w:t>
            </w:r>
          </w:p>
        </w:tc>
        <w:tc>
          <w:tcPr>
            <w:tcW w:w="3402" w:type="dxa"/>
            <w:vAlign w:val="center"/>
          </w:tcPr>
          <w:p w:rsidR="002A5A5E" w:rsidRPr="00F9522B" w:rsidRDefault="00611CBA">
            <w:pPr>
              <w:widowControl/>
              <w:spacing w:line="240" w:lineRule="atLeast"/>
              <w:jc w:val="center"/>
              <w:rPr>
                <w:rFonts w:eastAsiaTheme="minorEastAsia"/>
                <w:kern w:val="0"/>
                <w:szCs w:val="21"/>
              </w:rPr>
            </w:pPr>
            <w:r w:rsidRPr="00F9522B">
              <w:rPr>
                <w:rFonts w:eastAsiaTheme="minorEastAsia"/>
                <w:kern w:val="0"/>
                <w:szCs w:val="21"/>
              </w:rPr>
              <w:t>80</w:t>
            </w:r>
          </w:p>
        </w:tc>
        <w:tc>
          <w:tcPr>
            <w:tcW w:w="2320" w:type="dxa"/>
            <w:vMerge/>
            <w:vAlign w:val="center"/>
          </w:tcPr>
          <w:p w:rsidR="002A5A5E" w:rsidRPr="00F9522B" w:rsidRDefault="002A5A5E">
            <w:pPr>
              <w:widowControl/>
              <w:spacing w:line="240" w:lineRule="atLeast"/>
              <w:jc w:val="center"/>
              <w:rPr>
                <w:rFonts w:eastAsiaTheme="minorEastAsia"/>
                <w:kern w:val="0"/>
                <w:szCs w:val="21"/>
              </w:rPr>
            </w:pPr>
          </w:p>
        </w:tc>
      </w:tr>
    </w:tbl>
    <w:p w:rsidR="002A5A5E" w:rsidRPr="00F9522B" w:rsidRDefault="00611CBA">
      <w:pPr>
        <w:autoSpaceDE w:val="0"/>
        <w:autoSpaceDN w:val="0"/>
        <w:spacing w:before="100" w:beforeAutospacing="1" w:after="100" w:afterAutospacing="1"/>
        <w:outlineLvl w:val="3"/>
        <w:rPr>
          <w:rFonts w:eastAsiaTheme="minorEastAsia"/>
          <w:b/>
          <w:sz w:val="24"/>
        </w:rPr>
      </w:pPr>
      <w:bookmarkStart w:id="97" w:name="_Toc15991650"/>
      <w:r w:rsidRPr="00F9522B">
        <w:rPr>
          <w:rFonts w:eastAsiaTheme="minorEastAsia"/>
          <w:b/>
          <w:sz w:val="24"/>
        </w:rPr>
        <w:t>3.3.1.4</w:t>
      </w:r>
      <w:r w:rsidRPr="00F9522B">
        <w:rPr>
          <w:rFonts w:eastAsiaTheme="minorEastAsia"/>
          <w:b/>
          <w:sz w:val="24"/>
        </w:rPr>
        <w:t>固废污染分析</w:t>
      </w:r>
    </w:p>
    <w:p w:rsidR="002A5A5E" w:rsidRPr="00F9522B" w:rsidRDefault="00611CBA">
      <w:pPr>
        <w:pStyle w:val="aff4"/>
        <w:adjustRightInd/>
        <w:snapToGrid/>
        <w:contextualSpacing/>
        <w:jc w:val="both"/>
        <w:rPr>
          <w:rFonts w:ascii="Times New Roman" w:hAnsi="Times New Roman" w:cs="Times New Roman"/>
          <w:snapToGrid w:val="0"/>
        </w:rPr>
      </w:pPr>
      <w:r w:rsidRPr="00F9522B">
        <w:rPr>
          <w:rFonts w:ascii="Times New Roman" w:hAnsi="Times New Roman" w:cs="Times New Roman"/>
          <w:snapToGrid w:val="0"/>
        </w:rPr>
        <w:t>施工期固体废物主要包括建筑垃圾、施工弃土、生活垃圾、排水沟淤泥、</w:t>
      </w:r>
      <w:r w:rsidRPr="00F9522B">
        <w:rPr>
          <w:rFonts w:ascii="Times New Roman" w:hAnsi="Times New Roman" w:cs="Times New Roman"/>
        </w:rPr>
        <w:t>废肥料包装袋</w:t>
      </w:r>
      <w:r w:rsidRPr="00F9522B">
        <w:rPr>
          <w:rFonts w:ascii="Times New Roman" w:hAnsi="Times New Roman" w:cs="Times New Roman"/>
          <w:snapToGrid w:val="0"/>
        </w:rPr>
        <w:t>。</w:t>
      </w:r>
    </w:p>
    <w:p w:rsidR="002A5A5E" w:rsidRPr="00F9522B" w:rsidRDefault="00611CBA">
      <w:pPr>
        <w:pStyle w:val="aff4"/>
        <w:adjustRightInd/>
        <w:snapToGrid/>
        <w:contextualSpacing/>
        <w:jc w:val="both"/>
        <w:rPr>
          <w:rFonts w:ascii="Times New Roman" w:hAnsi="Times New Roman" w:cs="Times New Roman"/>
          <w:snapToGrid w:val="0"/>
        </w:rPr>
      </w:pPr>
      <w:r w:rsidRPr="00F9522B">
        <w:rPr>
          <w:rFonts w:ascii="Times New Roman" w:hAnsi="Times New Roman" w:cs="Times New Roman"/>
          <w:snapToGrid w:val="0"/>
        </w:rPr>
        <w:t>施工机械如发生故障，维修将会</w:t>
      </w:r>
      <w:r w:rsidRPr="00F9522B">
        <w:rPr>
          <w:rFonts w:ascii="Times New Roman" w:hAnsi="Times New Roman" w:cs="Times New Roman"/>
          <w:spacing w:val="-5"/>
        </w:rPr>
        <w:t>产生的废机油，</w:t>
      </w:r>
      <w:r w:rsidR="0003457C" w:rsidRPr="00F9522B">
        <w:rPr>
          <w:rFonts w:ascii="Times New Roman" w:hAnsi="Times New Roman" w:cs="Times New Roman"/>
        </w:rPr>
        <w:t>及其包装容器，属于危险废物，本项目不设置</w:t>
      </w:r>
      <w:r w:rsidRPr="00F9522B">
        <w:rPr>
          <w:rFonts w:ascii="Times New Roman" w:hAnsi="Times New Roman" w:cs="Times New Roman"/>
        </w:rPr>
        <w:t>维修站，发生故障后送至附近专业维修站，故本项目施工期不产生危险废物。</w:t>
      </w:r>
    </w:p>
    <w:p w:rsidR="002A5A5E" w:rsidRPr="00F9522B" w:rsidRDefault="005273A1">
      <w:pPr>
        <w:pStyle w:val="aff4"/>
        <w:adjustRightInd/>
        <w:snapToGrid/>
        <w:contextualSpacing/>
        <w:jc w:val="both"/>
        <w:rPr>
          <w:rFonts w:ascii="Times New Roman" w:hAnsi="Times New Roman" w:cs="Times New Roman"/>
          <w:snapToGrid w:val="0"/>
        </w:rPr>
      </w:pPr>
      <w:r w:rsidRPr="00F9522B">
        <w:rPr>
          <w:rFonts w:ascii="Times New Roman" w:hAnsi="Times New Roman" w:cs="Times New Roman"/>
          <w:snapToGrid w:val="0"/>
        </w:rPr>
        <w:fldChar w:fldCharType="begin"/>
      </w:r>
      <w:r w:rsidR="00611CBA" w:rsidRPr="00F9522B">
        <w:rPr>
          <w:rFonts w:ascii="Times New Roman" w:hAnsi="Times New Roman" w:cs="Times New Roman"/>
          <w:snapToGrid w:val="0"/>
        </w:rPr>
        <w:instrText>= 1 \* GB3</w:instrText>
      </w:r>
      <w:r w:rsidRPr="00F9522B">
        <w:rPr>
          <w:rFonts w:ascii="Times New Roman" w:hAnsi="Times New Roman" w:cs="Times New Roman"/>
          <w:snapToGrid w:val="0"/>
        </w:rPr>
        <w:fldChar w:fldCharType="separate"/>
      </w:r>
      <w:r w:rsidR="00611CBA" w:rsidRPr="00F9522B">
        <w:rPr>
          <w:rFonts w:ascii="宋体" w:eastAsia="宋体" w:hAnsi="宋体" w:cs="宋体" w:hint="eastAsia"/>
          <w:snapToGrid w:val="0"/>
        </w:rPr>
        <w:t>①</w:t>
      </w:r>
      <w:r w:rsidRPr="00F9522B">
        <w:rPr>
          <w:rFonts w:ascii="Times New Roman" w:hAnsi="Times New Roman" w:cs="Times New Roman"/>
          <w:snapToGrid w:val="0"/>
        </w:rPr>
        <w:fldChar w:fldCharType="end"/>
      </w:r>
      <w:r w:rsidR="00611CBA" w:rsidRPr="00F9522B">
        <w:rPr>
          <w:rFonts w:ascii="Times New Roman" w:hAnsi="Times New Roman" w:cs="Times New Roman"/>
          <w:snapToGrid w:val="0"/>
        </w:rPr>
        <w:t>建筑垃圾有废建材、包装袋等，对可再利用的建筑废料，进行回收利用，以节省资源。最大程度减小对环境的影响。拆除的建筑垃圾产生量共</w:t>
      </w:r>
      <w:r w:rsidR="00B75CB4" w:rsidRPr="00F9522B">
        <w:rPr>
          <w:rFonts w:ascii="Times New Roman" w:hAnsi="Times New Roman" w:cs="Times New Roman"/>
          <w:snapToGrid w:val="0"/>
        </w:rPr>
        <w:t>340416</w:t>
      </w:r>
      <w:r w:rsidR="00611CBA" w:rsidRPr="00F9522B">
        <w:rPr>
          <w:rFonts w:ascii="Times New Roman" w:hAnsi="Times New Roman" w:cs="Times New Roman"/>
          <w:bCs/>
          <w:snapToGrid w:val="0"/>
        </w:rPr>
        <w:t>m</w:t>
      </w:r>
      <w:r w:rsidR="00611CBA" w:rsidRPr="00F9522B">
        <w:rPr>
          <w:rFonts w:ascii="Times New Roman" w:hAnsi="Times New Roman" w:cs="Times New Roman"/>
          <w:bCs/>
          <w:snapToGrid w:val="0"/>
          <w:vertAlign w:val="superscript"/>
        </w:rPr>
        <w:t>3</w:t>
      </w:r>
      <w:r w:rsidR="00611CBA" w:rsidRPr="00F9522B">
        <w:rPr>
          <w:rFonts w:ascii="Times New Roman" w:hAnsi="Times New Roman" w:cs="Times New Roman"/>
          <w:snapToGrid w:val="0"/>
        </w:rPr>
        <w:t>，其中</w:t>
      </w:r>
      <w:r w:rsidR="00B75CB4" w:rsidRPr="00F9522B">
        <w:rPr>
          <w:rFonts w:ascii="Times New Roman" w:hAnsi="Times New Roman" w:cs="Times New Roman"/>
          <w:snapToGrid w:val="0"/>
        </w:rPr>
        <w:t>126049.3</w:t>
      </w:r>
      <w:r w:rsidR="00611CBA" w:rsidRPr="00F9522B">
        <w:rPr>
          <w:rFonts w:ascii="Times New Roman" w:hAnsi="Times New Roman" w:cs="Times New Roman"/>
          <w:bCs/>
          <w:snapToGrid w:val="0"/>
        </w:rPr>
        <w:t>m</w:t>
      </w:r>
      <w:r w:rsidR="00611CBA" w:rsidRPr="00F9522B">
        <w:rPr>
          <w:rFonts w:ascii="Times New Roman" w:hAnsi="Times New Roman" w:cs="Times New Roman"/>
          <w:bCs/>
          <w:snapToGrid w:val="0"/>
          <w:vertAlign w:val="superscript"/>
        </w:rPr>
        <w:t>3</w:t>
      </w:r>
      <w:r w:rsidR="00611CBA" w:rsidRPr="00F9522B">
        <w:rPr>
          <w:rFonts w:ascii="Times New Roman" w:hAnsi="Times New Roman" w:cs="Times New Roman"/>
          <w:bCs/>
          <w:snapToGrid w:val="0"/>
        </w:rPr>
        <w:t>作为</w:t>
      </w:r>
      <w:r w:rsidR="00611CBA" w:rsidRPr="00F9522B">
        <w:rPr>
          <w:rFonts w:ascii="Times New Roman" w:hAnsi="Times New Roman" w:cs="Times New Roman"/>
          <w:snapToGrid w:val="0"/>
          <w:kern w:val="0"/>
        </w:rPr>
        <w:t>田块整治工程回填</w:t>
      </w:r>
      <w:r w:rsidR="00611CBA" w:rsidRPr="00F9522B">
        <w:rPr>
          <w:rFonts w:ascii="Times New Roman" w:hAnsi="Times New Roman" w:cs="Times New Roman"/>
          <w:snapToGrid w:val="0"/>
        </w:rPr>
        <w:t>。剩余</w:t>
      </w:r>
      <w:r w:rsidR="00D302ED" w:rsidRPr="00F9522B">
        <w:rPr>
          <w:rFonts w:ascii="Times New Roman" w:hAnsi="Times New Roman" w:cs="Times New Roman"/>
          <w:snapToGrid w:val="0"/>
        </w:rPr>
        <w:t>214366.7</w:t>
      </w:r>
      <w:r w:rsidR="00611CBA" w:rsidRPr="00F9522B">
        <w:rPr>
          <w:rFonts w:ascii="Times New Roman" w:hAnsi="Times New Roman" w:cs="Times New Roman"/>
          <w:bCs/>
          <w:snapToGrid w:val="0"/>
        </w:rPr>
        <w:t>m</w:t>
      </w:r>
      <w:r w:rsidR="00611CBA" w:rsidRPr="00F9522B">
        <w:rPr>
          <w:rFonts w:ascii="Times New Roman" w:hAnsi="Times New Roman" w:cs="Times New Roman"/>
          <w:bCs/>
          <w:snapToGrid w:val="0"/>
          <w:vertAlign w:val="superscript"/>
        </w:rPr>
        <w:t>3</w:t>
      </w:r>
      <w:r w:rsidR="00611CBA" w:rsidRPr="00F9522B">
        <w:rPr>
          <w:rFonts w:ascii="Times New Roman" w:hAnsi="Times New Roman" w:cs="Times New Roman"/>
          <w:snapToGrid w:val="0"/>
        </w:rPr>
        <w:t>及时送至建材公司回用。</w:t>
      </w:r>
    </w:p>
    <w:p w:rsidR="002A5A5E" w:rsidRPr="00F9522B" w:rsidRDefault="00611CBA">
      <w:pPr>
        <w:pStyle w:val="aff4"/>
        <w:adjustRightInd/>
        <w:snapToGrid/>
        <w:contextualSpacing/>
        <w:jc w:val="both"/>
        <w:rPr>
          <w:rFonts w:ascii="Times New Roman" w:hAnsi="Times New Roman" w:cs="Times New Roman"/>
          <w:snapToGrid w:val="0"/>
        </w:rPr>
      </w:pPr>
      <w:r w:rsidRPr="00F9522B">
        <w:rPr>
          <w:rFonts w:ascii="宋体" w:eastAsia="宋体" w:hAnsi="宋体" w:cs="宋体" w:hint="eastAsia"/>
          <w:snapToGrid w:val="0"/>
        </w:rPr>
        <w:t>②</w:t>
      </w:r>
      <w:r w:rsidRPr="00F9522B">
        <w:rPr>
          <w:rFonts w:ascii="Times New Roman" w:hAnsi="Times New Roman" w:cs="Times New Roman"/>
          <w:szCs w:val="22"/>
        </w:rPr>
        <w:t>本项目</w:t>
      </w:r>
      <w:r w:rsidR="00DE2B0A" w:rsidRPr="00F9522B">
        <w:rPr>
          <w:rFonts w:ascii="Times New Roman" w:hAnsi="Times New Roman" w:cs="Times New Roman"/>
          <w:bCs/>
          <w:szCs w:val="22"/>
        </w:rPr>
        <w:t>单井泥浆最大产生量</w:t>
      </w:r>
      <w:r w:rsidR="00DE2B0A" w:rsidRPr="00F9522B">
        <w:rPr>
          <w:rFonts w:ascii="Times New Roman" w:hAnsi="Times New Roman" w:cs="Times New Roman"/>
          <w:bCs/>
          <w:szCs w:val="22"/>
        </w:rPr>
        <w:t>16m</w:t>
      </w:r>
      <w:r w:rsidR="00DE2B0A" w:rsidRPr="00F9522B">
        <w:rPr>
          <w:rFonts w:ascii="Times New Roman" w:hAnsi="Times New Roman" w:cs="Times New Roman"/>
          <w:bCs/>
          <w:szCs w:val="22"/>
          <w:vertAlign w:val="superscript"/>
        </w:rPr>
        <w:t>3</w:t>
      </w:r>
      <w:r w:rsidRPr="00F9522B">
        <w:rPr>
          <w:rFonts w:ascii="Times New Roman" w:hAnsi="Times New Roman" w:cs="Times New Roman"/>
          <w:bCs/>
          <w:szCs w:val="22"/>
        </w:rPr>
        <w:t>，</w:t>
      </w:r>
      <w:r w:rsidRPr="00F9522B">
        <w:rPr>
          <w:rFonts w:ascii="Times New Roman" w:hAnsi="Times New Roman" w:cs="Times New Roman"/>
          <w:szCs w:val="22"/>
        </w:rPr>
        <w:t>钻井泥浆可循环利用，</w:t>
      </w:r>
      <w:r w:rsidRPr="00F9522B">
        <w:rPr>
          <w:rFonts w:ascii="Times New Roman" w:hAnsi="Times New Roman" w:cs="Times New Roman"/>
          <w:color w:val="FF0000"/>
          <w:szCs w:val="22"/>
        </w:rPr>
        <w:t>废泥浆</w:t>
      </w:r>
      <w:r w:rsidRPr="00F9522B">
        <w:rPr>
          <w:rFonts w:ascii="Times New Roman" w:hAnsi="Times New Roman" w:cs="Times New Roman"/>
          <w:color w:val="FF0000"/>
        </w:rPr>
        <w:t>暂存于施工场地</w:t>
      </w:r>
      <w:r w:rsidR="0009673A" w:rsidRPr="00F9522B">
        <w:rPr>
          <w:rFonts w:ascii="Times New Roman" w:hAnsi="Times New Roman" w:cs="Times New Roman"/>
          <w:color w:val="FF0000"/>
        </w:rPr>
        <w:t>5</w:t>
      </w:r>
      <w:r w:rsidR="0009673A" w:rsidRPr="00F9522B">
        <w:rPr>
          <w:rFonts w:ascii="Times New Roman" w:hAnsi="Times New Roman" w:cs="Times New Roman"/>
          <w:color w:val="FF0000"/>
        </w:rPr>
        <w:t>个</w:t>
      </w:r>
      <w:r w:rsidR="0009673A" w:rsidRPr="00F9522B">
        <w:rPr>
          <w:rFonts w:ascii="Times New Roman" w:hAnsi="Times New Roman" w:cs="Times New Roman"/>
          <w:color w:val="FF0000"/>
        </w:rPr>
        <w:t>2</w:t>
      </w:r>
      <w:r w:rsidRPr="00F9522B">
        <w:rPr>
          <w:rFonts w:ascii="Times New Roman" w:hAnsi="Times New Roman" w:cs="Times New Roman"/>
          <w:color w:val="FF0000"/>
        </w:rPr>
        <w:t>0</w:t>
      </w:r>
      <w:r w:rsidRPr="00F9522B">
        <w:rPr>
          <w:rFonts w:ascii="Times New Roman" w:hAnsi="Times New Roman" w:cs="Times New Roman"/>
          <w:color w:val="FF0000"/>
          <w:szCs w:val="22"/>
        </w:rPr>
        <w:t>m</w:t>
      </w:r>
      <w:r w:rsidRPr="00F9522B">
        <w:rPr>
          <w:rFonts w:ascii="Times New Roman" w:hAnsi="Times New Roman" w:cs="Times New Roman"/>
          <w:color w:val="FF0000"/>
          <w:szCs w:val="22"/>
          <w:vertAlign w:val="superscript"/>
        </w:rPr>
        <w:t>3</w:t>
      </w:r>
      <w:r w:rsidRPr="00F9522B">
        <w:rPr>
          <w:rFonts w:ascii="Times New Roman" w:hAnsi="Times New Roman" w:cs="Times New Roman"/>
          <w:color w:val="FF0000"/>
        </w:rPr>
        <w:t>移动式不锈钢沉淀池内，</w:t>
      </w:r>
      <w:r w:rsidRPr="00F9522B">
        <w:rPr>
          <w:rFonts w:ascii="Times New Roman" w:hAnsi="Times New Roman" w:cs="Times New Roman"/>
        </w:rPr>
        <w:t>沉淀后上层清水用于洒水降尘，下层钻井</w:t>
      </w:r>
      <w:r w:rsidRPr="00F9522B">
        <w:rPr>
          <w:rFonts w:ascii="Times New Roman" w:hAnsi="Times New Roman" w:cs="Times New Roman"/>
          <w:bCs/>
          <w:szCs w:val="22"/>
        </w:rPr>
        <w:t>泥浆自然干化后用于周围路面平整</w:t>
      </w:r>
      <w:r w:rsidRPr="00F9522B">
        <w:rPr>
          <w:rFonts w:ascii="Times New Roman" w:hAnsi="Times New Roman" w:cs="Times New Roman"/>
          <w:szCs w:val="21"/>
        </w:rPr>
        <w:t>。</w:t>
      </w:r>
      <w:r w:rsidRPr="00F9522B">
        <w:rPr>
          <w:rFonts w:ascii="Times New Roman" w:hAnsi="Times New Roman" w:cs="Times New Roman"/>
          <w:snapToGrid w:val="0"/>
          <w:kern w:val="0"/>
        </w:rPr>
        <w:t>表土用于临时工程土地恢复及田块整治工程</w:t>
      </w:r>
      <w:r w:rsidRPr="00F9522B">
        <w:rPr>
          <w:rFonts w:ascii="Times New Roman" w:hAnsi="Times New Roman" w:cs="Times New Roman"/>
          <w:snapToGrid w:val="0"/>
        </w:rPr>
        <w:t>，土方能回填的及时回填。</w:t>
      </w:r>
    </w:p>
    <w:p w:rsidR="002A5A5E" w:rsidRPr="00F9522B" w:rsidRDefault="00611CBA">
      <w:pPr>
        <w:pStyle w:val="aff4"/>
        <w:adjustRightInd/>
        <w:snapToGrid/>
        <w:contextualSpacing/>
        <w:jc w:val="both"/>
        <w:rPr>
          <w:rFonts w:ascii="Times New Roman" w:hAnsi="Times New Roman" w:cs="Times New Roman"/>
          <w:snapToGrid w:val="0"/>
        </w:rPr>
      </w:pPr>
      <w:r w:rsidRPr="00F9522B">
        <w:rPr>
          <w:rFonts w:ascii="宋体" w:eastAsia="宋体" w:hAnsi="宋体" w:cs="宋体" w:hint="eastAsia"/>
          <w:snapToGrid w:val="0"/>
        </w:rPr>
        <w:t>③</w:t>
      </w:r>
      <w:r w:rsidRPr="00F9522B">
        <w:rPr>
          <w:rFonts w:ascii="Times New Roman" w:hAnsi="Times New Roman" w:cs="Times New Roman"/>
          <w:snapToGrid w:val="0"/>
        </w:rPr>
        <w:t>施工期总人数约为</w:t>
      </w:r>
      <w:r w:rsidR="0042166B" w:rsidRPr="00F9522B">
        <w:rPr>
          <w:rFonts w:ascii="Times New Roman" w:hAnsi="Times New Roman" w:cs="Times New Roman"/>
          <w:snapToGrid w:val="0"/>
        </w:rPr>
        <w:t>420</w:t>
      </w:r>
      <w:r w:rsidRPr="00F9522B">
        <w:rPr>
          <w:rFonts w:ascii="Times New Roman" w:hAnsi="Times New Roman" w:cs="Times New Roman"/>
          <w:snapToGrid w:val="0"/>
        </w:rPr>
        <w:t>人</w:t>
      </w:r>
      <w:r w:rsidRPr="00F9522B">
        <w:rPr>
          <w:rFonts w:ascii="Times New Roman" w:hAnsi="Times New Roman" w:cs="Times New Roman"/>
          <w:snapToGrid w:val="0"/>
        </w:rPr>
        <w:t>/d</w:t>
      </w:r>
      <w:r w:rsidRPr="00F9522B">
        <w:rPr>
          <w:rFonts w:ascii="Times New Roman" w:hAnsi="Times New Roman" w:cs="Times New Roman"/>
          <w:snapToGrid w:val="0"/>
        </w:rPr>
        <w:t>，按每人每天</w:t>
      </w:r>
      <w:r w:rsidRPr="00F9522B">
        <w:rPr>
          <w:rFonts w:ascii="Times New Roman" w:hAnsi="Times New Roman" w:cs="Times New Roman"/>
          <w:snapToGrid w:val="0"/>
        </w:rPr>
        <w:t>0.4kg</w:t>
      </w:r>
      <w:r w:rsidRPr="00F9522B">
        <w:rPr>
          <w:rFonts w:ascii="Times New Roman" w:hAnsi="Times New Roman" w:cs="Times New Roman"/>
          <w:snapToGrid w:val="0"/>
        </w:rPr>
        <w:t>计，预计一天产生</w:t>
      </w:r>
      <w:r w:rsidRPr="00F9522B">
        <w:rPr>
          <w:rFonts w:ascii="Times New Roman" w:hAnsi="Times New Roman" w:cs="Times New Roman"/>
          <w:snapToGrid w:val="0"/>
        </w:rPr>
        <w:t>1</w:t>
      </w:r>
      <w:r w:rsidR="0042166B" w:rsidRPr="00F9522B">
        <w:rPr>
          <w:rFonts w:ascii="Times New Roman" w:hAnsi="Times New Roman" w:cs="Times New Roman"/>
          <w:snapToGrid w:val="0"/>
        </w:rPr>
        <w:t>6</w:t>
      </w:r>
      <w:r w:rsidRPr="00F9522B">
        <w:rPr>
          <w:rFonts w:ascii="Times New Roman" w:hAnsi="Times New Roman" w:cs="Times New Roman"/>
          <w:snapToGrid w:val="0"/>
        </w:rPr>
        <w:t>8kg</w:t>
      </w:r>
      <w:r w:rsidRPr="00F9522B">
        <w:rPr>
          <w:rFonts w:ascii="Times New Roman" w:hAnsi="Times New Roman" w:cs="Times New Roman"/>
          <w:snapToGrid w:val="0"/>
        </w:rPr>
        <w:t>固体废物。施工人员产生的生活垃圾若随意堆放，不仅影响施工区环境景观，而且影响施工区环境卫生。在施工现场设置垃圾收集箱，集中收集后由市政环卫部门统一清运处置。</w:t>
      </w:r>
    </w:p>
    <w:p w:rsidR="002A5A5E" w:rsidRPr="00F9522B" w:rsidRDefault="005273A1">
      <w:pPr>
        <w:pStyle w:val="aff4"/>
        <w:adjustRightInd/>
        <w:snapToGrid/>
        <w:contextualSpacing/>
        <w:jc w:val="both"/>
        <w:rPr>
          <w:rFonts w:ascii="Times New Roman" w:hAnsi="Times New Roman" w:cs="Times New Roman"/>
          <w:snapToGrid w:val="0"/>
        </w:rPr>
      </w:pPr>
      <w:r w:rsidRPr="00F9522B">
        <w:rPr>
          <w:rFonts w:ascii="Times New Roman" w:hAnsi="Times New Roman" w:cs="Times New Roman"/>
          <w:snapToGrid w:val="0"/>
        </w:rPr>
        <w:fldChar w:fldCharType="begin"/>
      </w:r>
      <w:r w:rsidR="00611CBA" w:rsidRPr="00F9522B">
        <w:rPr>
          <w:rFonts w:ascii="Times New Roman" w:hAnsi="Times New Roman" w:cs="Times New Roman"/>
          <w:snapToGrid w:val="0"/>
        </w:rPr>
        <w:instrText xml:space="preserve"> = 4 \* GB3 </w:instrText>
      </w:r>
      <w:r w:rsidRPr="00F9522B">
        <w:rPr>
          <w:rFonts w:ascii="Times New Roman" w:hAnsi="Times New Roman" w:cs="Times New Roman"/>
          <w:snapToGrid w:val="0"/>
        </w:rPr>
        <w:fldChar w:fldCharType="separate"/>
      </w:r>
      <w:r w:rsidR="00611CBA" w:rsidRPr="00F9522B">
        <w:rPr>
          <w:rFonts w:ascii="宋体" w:eastAsia="宋体" w:hAnsi="宋体" w:cs="宋体" w:hint="eastAsia"/>
          <w:snapToGrid w:val="0"/>
        </w:rPr>
        <w:t>④</w:t>
      </w:r>
      <w:r w:rsidRPr="00F9522B">
        <w:rPr>
          <w:rFonts w:ascii="Times New Roman" w:hAnsi="Times New Roman" w:cs="Times New Roman"/>
          <w:snapToGrid w:val="0"/>
        </w:rPr>
        <w:fldChar w:fldCharType="end"/>
      </w:r>
      <w:r w:rsidR="00611CBA" w:rsidRPr="00F9522B">
        <w:rPr>
          <w:rFonts w:ascii="Times New Roman" w:hAnsi="Times New Roman" w:cs="Times New Roman"/>
          <w:snapToGrid w:val="0"/>
        </w:rPr>
        <w:t>排水沟淤泥</w:t>
      </w:r>
    </w:p>
    <w:p w:rsidR="002A5A5E" w:rsidRPr="00F9522B" w:rsidRDefault="00611CBA">
      <w:pPr>
        <w:pStyle w:val="aff4"/>
        <w:adjustRightInd/>
        <w:snapToGrid/>
        <w:contextualSpacing/>
        <w:rPr>
          <w:rFonts w:ascii="Times New Roman" w:hAnsi="Times New Roman" w:cs="Times New Roman"/>
          <w:bCs/>
        </w:rPr>
      </w:pPr>
      <w:r w:rsidRPr="00730492">
        <w:rPr>
          <w:rFonts w:ascii="Times New Roman" w:hAnsi="Times New Roman" w:cs="Times New Roman"/>
        </w:rPr>
        <w:lastRenderedPageBreak/>
        <w:t>依据哈尔滨新巨环保科技有限公司</w:t>
      </w:r>
      <w:r w:rsidRPr="00730492">
        <w:rPr>
          <w:rFonts w:ascii="Times New Roman" w:hAnsi="Times New Roman" w:cs="Times New Roman"/>
        </w:rPr>
        <w:t>202</w:t>
      </w:r>
      <w:r w:rsidR="00565A50" w:rsidRPr="00730492">
        <w:rPr>
          <w:rFonts w:ascii="Times New Roman" w:hAnsi="Times New Roman" w:cs="Times New Roman"/>
        </w:rPr>
        <w:t>6</w:t>
      </w:r>
      <w:r w:rsidRPr="00730492">
        <w:rPr>
          <w:rFonts w:ascii="Times New Roman" w:hAnsi="Times New Roman" w:cs="Times New Roman"/>
        </w:rPr>
        <w:t>年</w:t>
      </w:r>
      <w:r w:rsidR="00565A50" w:rsidRPr="00730492">
        <w:rPr>
          <w:rFonts w:ascii="Times New Roman" w:hAnsi="Times New Roman" w:cs="Times New Roman"/>
        </w:rPr>
        <w:t>6</w:t>
      </w:r>
      <w:r w:rsidRPr="00730492">
        <w:rPr>
          <w:rFonts w:ascii="Times New Roman" w:hAnsi="Times New Roman" w:cs="Times New Roman"/>
        </w:rPr>
        <w:t>月</w:t>
      </w:r>
      <w:r w:rsidR="0042314C" w:rsidRPr="00730492">
        <w:rPr>
          <w:rFonts w:ascii="Times New Roman" w:hAnsi="Times New Roman" w:cs="Times New Roman"/>
        </w:rPr>
        <w:t>1</w:t>
      </w:r>
      <w:r w:rsidRPr="00730492">
        <w:rPr>
          <w:rFonts w:ascii="Times New Roman" w:hAnsi="Times New Roman" w:cs="Times New Roman"/>
        </w:rPr>
        <w:t>日对本项目排水沟底泥现状检测报告可知，本项目排水沟底泥检测样品无重金属污染，满足</w:t>
      </w:r>
      <w:r w:rsidR="00EE6E53" w:rsidRPr="00730492">
        <w:rPr>
          <w:rFonts w:ascii="Times New Roman" w:hAnsi="Times New Roman" w:cs="Times New Roman"/>
        </w:rPr>
        <w:t>《土壤环境质量农用地土壤污染风险管控标准（试行）》（</w:t>
      </w:r>
      <w:r w:rsidR="00EE6E53" w:rsidRPr="00730492">
        <w:rPr>
          <w:rFonts w:ascii="Times New Roman" w:hAnsi="Times New Roman" w:cs="Times New Roman"/>
        </w:rPr>
        <w:t>GB15618-2018</w:t>
      </w:r>
      <w:r w:rsidR="00EE6E53" w:rsidRPr="00730492">
        <w:rPr>
          <w:rFonts w:ascii="Times New Roman" w:hAnsi="Times New Roman" w:cs="Times New Roman"/>
        </w:rPr>
        <w:t>）表</w:t>
      </w:r>
      <w:r w:rsidR="00EE6E53" w:rsidRPr="00730492">
        <w:rPr>
          <w:rFonts w:ascii="Times New Roman" w:hAnsi="Times New Roman" w:cs="Times New Roman"/>
        </w:rPr>
        <w:t>1</w:t>
      </w:r>
      <w:r w:rsidR="00EE6E53" w:rsidRPr="00730492">
        <w:rPr>
          <w:rFonts w:ascii="Times New Roman" w:hAnsi="Times New Roman" w:cs="Times New Roman"/>
        </w:rPr>
        <w:t>、表</w:t>
      </w:r>
      <w:r w:rsidR="00EE6E53" w:rsidRPr="00730492">
        <w:rPr>
          <w:rFonts w:ascii="Times New Roman" w:hAnsi="Times New Roman" w:cs="Times New Roman"/>
        </w:rPr>
        <w:t>2</w:t>
      </w:r>
      <w:r w:rsidR="00EE6E53" w:rsidRPr="00730492">
        <w:rPr>
          <w:rFonts w:ascii="Times New Roman" w:hAnsi="Times New Roman" w:cs="Times New Roman"/>
        </w:rPr>
        <w:t>中筛选值要求</w:t>
      </w:r>
      <w:r w:rsidRPr="00730492">
        <w:rPr>
          <w:rFonts w:ascii="Times New Roman" w:hAnsi="Times New Roman" w:cs="Times New Roman"/>
        </w:rPr>
        <w:t>。</w:t>
      </w:r>
      <w:r w:rsidRPr="00730492">
        <w:rPr>
          <w:rFonts w:ascii="Times New Roman" w:hAnsi="Times New Roman" w:cs="Times New Roman"/>
          <w:bCs/>
        </w:rPr>
        <w:t>在枯水期施工，本工程产生弃方淤泥</w:t>
      </w:r>
      <w:r w:rsidR="000037AB" w:rsidRPr="00730492">
        <w:rPr>
          <w:rFonts w:ascii="Times New Roman" w:hAnsi="Times New Roman" w:cs="Times New Roman"/>
          <w:bCs/>
        </w:rPr>
        <w:t>0.255</w:t>
      </w:r>
      <w:r w:rsidR="000037AB" w:rsidRPr="00730492">
        <w:rPr>
          <w:rFonts w:ascii="Times New Roman" w:hAnsi="Times New Roman" w:cs="Times New Roman"/>
          <w:bCs/>
        </w:rPr>
        <w:t>万</w:t>
      </w:r>
      <w:r w:rsidR="000037AB" w:rsidRPr="00730492">
        <w:rPr>
          <w:rFonts w:ascii="Times New Roman" w:hAnsi="Times New Roman" w:cs="Times New Roman"/>
          <w:bCs/>
        </w:rPr>
        <w:t>m</w:t>
      </w:r>
      <w:r w:rsidRPr="00730492">
        <w:rPr>
          <w:rFonts w:ascii="Times New Roman" w:hAnsi="Times New Roman" w:cs="Times New Roman"/>
          <w:bCs/>
          <w:vertAlign w:val="superscript"/>
        </w:rPr>
        <w:t>3</w:t>
      </w:r>
      <w:r w:rsidRPr="00730492">
        <w:rPr>
          <w:rFonts w:ascii="Times New Roman" w:hAnsi="Times New Roman" w:cs="Times New Roman"/>
          <w:bCs/>
        </w:rPr>
        <w:t>，</w:t>
      </w:r>
      <w:r w:rsidRPr="00730492">
        <w:rPr>
          <w:rFonts w:ascii="Times New Roman" w:hAnsi="Times New Roman" w:cs="Times New Roman"/>
          <w:spacing w:val="-5"/>
        </w:rPr>
        <w:t>清淤采用挖掘机和人工结合的方式进行。</w:t>
      </w:r>
      <w:r w:rsidR="00730492" w:rsidRPr="00730492">
        <w:rPr>
          <w:rFonts w:ascii="Times New Roman" w:hAnsi="Times New Roman" w:cs="Times New Roman" w:hint="eastAsia"/>
          <w:bCs/>
          <w:color w:val="FF0000"/>
        </w:rPr>
        <w:t>排水沟淤泥培至工程附近</w:t>
      </w:r>
      <w:r w:rsidR="00730492" w:rsidRPr="00730492">
        <w:rPr>
          <w:rFonts w:ascii="Times New Roman" w:hAnsi="Times New Roman" w:cs="Times New Roman" w:hint="eastAsia"/>
          <w:bCs/>
          <w:color w:val="FF0000"/>
        </w:rPr>
        <w:t>200</w:t>
      </w:r>
      <w:r w:rsidR="00730492" w:rsidRPr="00730492">
        <w:rPr>
          <w:rFonts w:ascii="Times New Roman" w:hAnsi="Times New Roman" w:cs="Times New Roman" w:hint="eastAsia"/>
          <w:bCs/>
          <w:color w:val="FF0000"/>
        </w:rPr>
        <w:t>米范围内无环境保护目标的排水沟两侧（避开南城李、方台镇、宋家村等</w:t>
      </w:r>
      <w:r w:rsidR="00730492" w:rsidRPr="00730492">
        <w:rPr>
          <w:rFonts w:ascii="Times New Roman" w:hAnsi="Times New Roman" w:cs="Times New Roman" w:hint="eastAsia"/>
          <w:bCs/>
          <w:color w:val="FF0000"/>
        </w:rPr>
        <w:t>33</w:t>
      </w:r>
      <w:r w:rsidR="00730492" w:rsidRPr="00730492">
        <w:rPr>
          <w:rFonts w:ascii="Times New Roman" w:hAnsi="Times New Roman" w:cs="Times New Roman" w:hint="eastAsia"/>
          <w:bCs/>
          <w:color w:val="FF0000"/>
        </w:rPr>
        <w:t>个村屯，具体见表</w:t>
      </w:r>
      <w:r w:rsidR="00730492" w:rsidRPr="00730492">
        <w:rPr>
          <w:rFonts w:ascii="Times New Roman" w:hAnsi="Times New Roman" w:cs="Times New Roman" w:hint="eastAsia"/>
          <w:bCs/>
          <w:color w:val="FF0000"/>
        </w:rPr>
        <w:t>2-8-2</w:t>
      </w:r>
      <w:r w:rsidR="00730492" w:rsidRPr="00730492">
        <w:rPr>
          <w:rFonts w:ascii="Times New Roman" w:hAnsi="Times New Roman" w:cs="Times New Roman" w:hint="eastAsia"/>
          <w:bCs/>
          <w:color w:val="FF0000"/>
        </w:rPr>
        <w:t>）</w:t>
      </w:r>
      <w:r w:rsidRPr="00730492">
        <w:rPr>
          <w:rFonts w:ascii="Times New Roman" w:hAnsi="Times New Roman" w:cs="Times New Roman"/>
          <w:bCs/>
          <w:color w:val="FF0000"/>
        </w:rPr>
        <w:t>。</w:t>
      </w:r>
    </w:p>
    <w:p w:rsidR="002A5A5E" w:rsidRPr="00F9522B" w:rsidRDefault="005273A1">
      <w:pPr>
        <w:pStyle w:val="aff4"/>
        <w:adjustRightInd/>
        <w:snapToGrid/>
        <w:contextualSpacing/>
        <w:rPr>
          <w:rFonts w:ascii="Times New Roman" w:hAnsi="Times New Roman" w:cs="Times New Roman"/>
          <w:bCs/>
        </w:rPr>
      </w:pPr>
      <w:r w:rsidRPr="00F9522B">
        <w:rPr>
          <w:rFonts w:ascii="Times New Roman" w:hAnsi="Times New Roman" w:cs="Times New Roman"/>
          <w:bCs/>
        </w:rPr>
        <w:fldChar w:fldCharType="begin"/>
      </w:r>
      <w:r w:rsidR="00611CBA" w:rsidRPr="00F9522B">
        <w:rPr>
          <w:rFonts w:ascii="Times New Roman" w:hAnsi="Times New Roman" w:cs="Times New Roman"/>
          <w:bCs/>
        </w:rPr>
        <w:instrText xml:space="preserve"> = 5 \* GB3 </w:instrText>
      </w:r>
      <w:r w:rsidRPr="00F9522B">
        <w:rPr>
          <w:rFonts w:ascii="Times New Roman" w:hAnsi="Times New Roman" w:cs="Times New Roman"/>
          <w:bCs/>
        </w:rPr>
        <w:fldChar w:fldCharType="separate"/>
      </w:r>
      <w:r w:rsidR="00611CBA" w:rsidRPr="00F9522B">
        <w:rPr>
          <w:rFonts w:ascii="宋体" w:eastAsia="宋体" w:hAnsi="宋体" w:cs="宋体" w:hint="eastAsia"/>
          <w:bCs/>
        </w:rPr>
        <w:t>⑤</w:t>
      </w:r>
      <w:r w:rsidRPr="00F9522B">
        <w:rPr>
          <w:rFonts w:ascii="Times New Roman" w:hAnsi="Times New Roman" w:cs="Times New Roman"/>
          <w:bCs/>
        </w:rPr>
        <w:fldChar w:fldCharType="end"/>
      </w:r>
      <w:r w:rsidR="00611CBA" w:rsidRPr="00F9522B">
        <w:rPr>
          <w:rFonts w:ascii="Times New Roman" w:hAnsi="Times New Roman" w:cs="Times New Roman"/>
        </w:rPr>
        <w:t>废肥料包装袋</w:t>
      </w:r>
    </w:p>
    <w:p w:rsidR="002A5A5E" w:rsidRPr="00F9522B" w:rsidRDefault="00611CBA">
      <w:pPr>
        <w:pStyle w:val="aff4"/>
        <w:adjustRightInd/>
        <w:snapToGrid/>
        <w:contextualSpacing/>
        <w:rPr>
          <w:rFonts w:ascii="Times New Roman" w:hAnsi="Times New Roman" w:cs="Times New Roman"/>
          <w:bCs/>
        </w:rPr>
      </w:pPr>
      <w:r w:rsidRPr="00F9522B">
        <w:rPr>
          <w:rFonts w:ascii="Times New Roman" w:hAnsi="Times New Roman" w:cs="Times New Roman"/>
        </w:rPr>
        <w:t>施工期</w:t>
      </w:r>
      <w:r w:rsidR="00D61453" w:rsidRPr="00F9522B">
        <w:rPr>
          <w:rFonts w:ascii="Times New Roman" w:hAnsi="Times New Roman" w:cs="Times New Roman"/>
        </w:rPr>
        <w:t>田块整治</w:t>
      </w:r>
      <w:r w:rsidRPr="00F9522B">
        <w:rPr>
          <w:rFonts w:ascii="Times New Roman" w:hAnsi="Times New Roman" w:cs="Times New Roman"/>
          <w:bCs/>
          <w:snapToGrid w:val="0"/>
          <w:kern w:val="0"/>
        </w:rPr>
        <w:t>工程</w:t>
      </w:r>
      <w:r w:rsidRPr="00F9522B">
        <w:rPr>
          <w:rFonts w:ascii="Times New Roman" w:hAnsi="Times New Roman" w:cs="Times New Roman"/>
        </w:rPr>
        <w:t>将会产生少量的废肥料包装袋，产生量约为</w:t>
      </w:r>
      <w:r w:rsidRPr="00F9522B">
        <w:rPr>
          <w:rFonts w:ascii="Times New Roman" w:hAnsi="Times New Roman" w:cs="Times New Roman"/>
        </w:rPr>
        <w:t>0.01t/a</w:t>
      </w:r>
      <w:r w:rsidRPr="00F9522B">
        <w:rPr>
          <w:rFonts w:ascii="Times New Roman" w:hAnsi="Times New Roman" w:cs="Times New Roman"/>
        </w:rPr>
        <w:t>。</w:t>
      </w:r>
    </w:p>
    <w:p w:rsidR="002A5A5E" w:rsidRPr="00F9522B" w:rsidRDefault="00611CBA">
      <w:pPr>
        <w:autoSpaceDE w:val="0"/>
        <w:autoSpaceDN w:val="0"/>
        <w:spacing w:before="100" w:beforeAutospacing="1" w:after="100" w:afterAutospacing="1"/>
        <w:outlineLvl w:val="3"/>
        <w:rPr>
          <w:rFonts w:eastAsiaTheme="minorEastAsia"/>
          <w:b/>
          <w:sz w:val="24"/>
        </w:rPr>
      </w:pPr>
      <w:r w:rsidRPr="00F9522B">
        <w:rPr>
          <w:rFonts w:eastAsiaTheme="minorEastAsia"/>
          <w:b/>
          <w:sz w:val="24"/>
        </w:rPr>
        <w:t>3.3.1.5</w:t>
      </w:r>
      <w:r w:rsidRPr="00F9522B">
        <w:rPr>
          <w:rFonts w:eastAsiaTheme="minorEastAsia"/>
          <w:b/>
          <w:sz w:val="24"/>
        </w:rPr>
        <w:t>生态污染分析</w:t>
      </w:r>
    </w:p>
    <w:p w:rsidR="002A5A5E" w:rsidRPr="00F9522B" w:rsidRDefault="00611CBA">
      <w:pPr>
        <w:pStyle w:val="aff4"/>
        <w:adjustRightInd/>
        <w:snapToGrid/>
        <w:jc w:val="both"/>
        <w:rPr>
          <w:rFonts w:ascii="Times New Roman" w:hAnsi="Times New Roman" w:cs="Times New Roman"/>
          <w:snapToGrid w:val="0"/>
        </w:rPr>
      </w:pPr>
      <w:r w:rsidRPr="00F9522B">
        <w:rPr>
          <w:rFonts w:ascii="Times New Roman" w:hAnsi="Times New Roman" w:cs="Times New Roman"/>
          <w:kern w:val="24"/>
        </w:rPr>
        <w:t>项目施工期对生态环境的影响主要体现为占用土地、扰动土层、生物量减少、土地利用类型、生态系统功能、</w:t>
      </w:r>
      <w:r w:rsidRPr="00F9522B">
        <w:rPr>
          <w:rFonts w:ascii="Times New Roman" w:hAnsi="Times New Roman" w:cs="Times New Roman"/>
          <w:szCs w:val="21"/>
        </w:rPr>
        <w:t>景观完整性</w:t>
      </w:r>
      <w:r w:rsidRPr="00F9522B">
        <w:rPr>
          <w:rFonts w:ascii="Times New Roman" w:hAnsi="Times New Roman" w:cs="Times New Roman"/>
          <w:kern w:val="24"/>
        </w:rPr>
        <w:t>、加剧水土流失</w:t>
      </w:r>
      <w:r w:rsidRPr="00F9522B">
        <w:rPr>
          <w:rFonts w:ascii="Times New Roman" w:hAnsi="Times New Roman" w:cs="Times New Roman"/>
          <w:lang w:val="zh-CN"/>
        </w:rPr>
        <w:t>。</w:t>
      </w:r>
      <w:r w:rsidRPr="00F9522B">
        <w:rPr>
          <w:rFonts w:ascii="Times New Roman" w:hAnsi="Times New Roman" w:cs="Times New Roman"/>
          <w:spacing w:val="-3"/>
        </w:rPr>
        <w:t>产生的扬尘和噪声也将对动植物产生影响，同时土方开挖、平整场地、原料堆放等行为，在雨季或大风天气情况下，会产生一定的水土流失</w:t>
      </w:r>
      <w:r w:rsidRPr="00F9522B">
        <w:rPr>
          <w:rFonts w:ascii="Times New Roman" w:hAnsi="Times New Roman" w:cs="Times New Roman"/>
          <w:snapToGrid w:val="0"/>
        </w:rPr>
        <w:t>。</w:t>
      </w:r>
    </w:p>
    <w:p w:rsidR="002A5A5E" w:rsidRPr="00F9522B" w:rsidRDefault="00611CBA">
      <w:pPr>
        <w:pStyle w:val="aff4"/>
        <w:adjustRightInd/>
        <w:snapToGrid/>
        <w:jc w:val="both"/>
        <w:rPr>
          <w:rFonts w:ascii="Times New Roman" w:hAnsi="Times New Roman" w:cs="Times New Roman"/>
          <w:smallCaps/>
        </w:rPr>
      </w:pPr>
      <w:r w:rsidRPr="00F9522B">
        <w:rPr>
          <w:rFonts w:ascii="Times New Roman" w:hAnsi="Times New Roman" w:cs="Times New Roman"/>
          <w:snapToGrid w:val="0"/>
        </w:rPr>
        <w:t>（</w:t>
      </w:r>
      <w:r w:rsidRPr="00F9522B">
        <w:rPr>
          <w:rFonts w:ascii="Times New Roman" w:hAnsi="Times New Roman" w:cs="Times New Roman"/>
          <w:snapToGrid w:val="0"/>
        </w:rPr>
        <w:t>1</w:t>
      </w:r>
      <w:r w:rsidRPr="00F9522B">
        <w:rPr>
          <w:rFonts w:ascii="Times New Roman" w:hAnsi="Times New Roman" w:cs="Times New Roman"/>
          <w:snapToGrid w:val="0"/>
        </w:rPr>
        <w:t>）</w:t>
      </w:r>
      <w:r w:rsidRPr="00F9522B">
        <w:rPr>
          <w:rFonts w:ascii="Times New Roman" w:hAnsi="Times New Roman" w:cs="Times New Roman"/>
          <w:smallCaps/>
        </w:rPr>
        <w:t>陆生生态</w:t>
      </w:r>
    </w:p>
    <w:p w:rsidR="002A5A5E" w:rsidRPr="00F9522B" w:rsidRDefault="00611CBA">
      <w:pPr>
        <w:spacing w:line="360" w:lineRule="auto"/>
        <w:ind w:firstLineChars="200" w:firstLine="480"/>
        <w:rPr>
          <w:rFonts w:eastAsiaTheme="minorEastAsia"/>
          <w:sz w:val="24"/>
          <w:szCs w:val="21"/>
        </w:rPr>
      </w:pPr>
      <w:r w:rsidRPr="00F9522B">
        <w:rPr>
          <w:rFonts w:eastAsiaTheme="minorEastAsia"/>
          <w:sz w:val="24"/>
          <w:szCs w:val="21"/>
        </w:rPr>
        <w:t>本工程永久占地和工程施工期料场、临时工程建设将占用土地，破坏地表植被，这些破坏在施工结束后大多可采取措施进行恢复。</w:t>
      </w:r>
    </w:p>
    <w:p w:rsidR="002A5A5E" w:rsidRPr="00F9522B" w:rsidRDefault="00611CBA">
      <w:pPr>
        <w:spacing w:line="360" w:lineRule="auto"/>
        <w:ind w:firstLineChars="200" w:firstLine="480"/>
        <w:rPr>
          <w:rFonts w:eastAsiaTheme="minorEastAsia"/>
          <w:sz w:val="24"/>
          <w:szCs w:val="21"/>
        </w:rPr>
      </w:pPr>
      <w:r w:rsidRPr="00F9522B">
        <w:rPr>
          <w:rFonts w:eastAsiaTheme="minorEastAsia"/>
          <w:sz w:val="24"/>
          <w:szCs w:val="21"/>
        </w:rPr>
        <w:t>在工程建设中，土料场的开挖等需要对其原有地表植被进行清理，这些都将破坏地表植被，造成水土流失、生物量减少、破坏景观完整性、土地利用类型改变，影响生态系统功能；土方开挖、平整场地、原料堆放等行为，在雨季或大风天气情况下，会产生一定的水土流失。</w:t>
      </w:r>
    </w:p>
    <w:p w:rsidR="002A5A5E" w:rsidRPr="00F9522B" w:rsidRDefault="00611CBA">
      <w:pPr>
        <w:spacing w:line="360" w:lineRule="auto"/>
        <w:ind w:firstLineChars="200" w:firstLine="480"/>
        <w:rPr>
          <w:rFonts w:eastAsiaTheme="minorEastAsia"/>
          <w:sz w:val="24"/>
          <w:szCs w:val="21"/>
        </w:rPr>
      </w:pPr>
      <w:r w:rsidRPr="00F9522B">
        <w:rPr>
          <w:rFonts w:eastAsiaTheme="minorEastAsia"/>
          <w:sz w:val="24"/>
          <w:szCs w:val="21"/>
        </w:rPr>
        <w:t>工程施工过程中，由于嘈杂的噪声，惊扰周围部分动物的正常生活，使它们被迫迁移，故在工程施工期间，施工场区周围动物密度有所下降，但施工结束后将得到恢复。</w:t>
      </w:r>
    </w:p>
    <w:p w:rsidR="002A5A5E" w:rsidRPr="00F9522B" w:rsidRDefault="00611CBA">
      <w:pPr>
        <w:pStyle w:val="aff4"/>
        <w:adjustRightInd/>
        <w:snapToGrid/>
        <w:jc w:val="both"/>
        <w:rPr>
          <w:rFonts w:ascii="Times New Roman" w:hAnsi="Times New Roman" w:cs="Times New Roman"/>
          <w:snapToGrid w:val="0"/>
        </w:rPr>
      </w:pPr>
      <w:r w:rsidRPr="00F9522B">
        <w:rPr>
          <w:rFonts w:ascii="Times New Roman" w:hAnsi="Times New Roman" w:cs="Times New Roman"/>
          <w:snapToGrid w:val="0"/>
        </w:rPr>
        <w:t>（</w:t>
      </w:r>
      <w:r w:rsidRPr="00F9522B">
        <w:rPr>
          <w:rFonts w:ascii="Times New Roman" w:hAnsi="Times New Roman" w:cs="Times New Roman"/>
          <w:snapToGrid w:val="0"/>
        </w:rPr>
        <w:t>2</w:t>
      </w:r>
      <w:r w:rsidRPr="00F9522B">
        <w:rPr>
          <w:rFonts w:ascii="Times New Roman" w:hAnsi="Times New Roman" w:cs="Times New Roman"/>
          <w:snapToGrid w:val="0"/>
        </w:rPr>
        <w:t>）</w:t>
      </w:r>
      <w:r w:rsidRPr="00F9522B">
        <w:rPr>
          <w:rFonts w:ascii="Times New Roman" w:hAnsi="Times New Roman" w:cs="Times New Roman"/>
          <w:smallCaps/>
        </w:rPr>
        <w:t>水生生态</w:t>
      </w:r>
    </w:p>
    <w:p w:rsidR="002A5A5E" w:rsidRPr="00F9522B" w:rsidRDefault="00611CBA">
      <w:pPr>
        <w:spacing w:line="360" w:lineRule="auto"/>
        <w:ind w:firstLineChars="200" w:firstLine="480"/>
        <w:rPr>
          <w:rFonts w:eastAsiaTheme="minorEastAsia"/>
          <w:sz w:val="24"/>
          <w:szCs w:val="21"/>
        </w:rPr>
      </w:pPr>
      <w:r w:rsidRPr="00F9522B">
        <w:rPr>
          <w:rFonts w:eastAsiaTheme="minorEastAsia"/>
          <w:snapToGrid w:val="0"/>
          <w:kern w:val="0"/>
          <w:sz w:val="24"/>
        </w:rPr>
        <w:t>本项目施工仅在现有工程基础上进行改造，主要是进行渠道衬砌及清淤整形等。</w:t>
      </w:r>
      <w:r w:rsidRPr="00F9522B">
        <w:rPr>
          <w:rFonts w:eastAsiaTheme="minorEastAsia"/>
          <w:sz w:val="24"/>
          <w:szCs w:val="21"/>
        </w:rPr>
        <w:t>合理安排施工时序，选择</w:t>
      </w:r>
      <w:r w:rsidRPr="00F9522B">
        <w:rPr>
          <w:rFonts w:eastAsiaTheme="minorEastAsia"/>
          <w:sz w:val="24"/>
          <w:szCs w:val="21"/>
        </w:rPr>
        <w:t>3</w:t>
      </w:r>
      <w:r w:rsidRPr="00F9522B">
        <w:rPr>
          <w:rFonts w:eastAsiaTheme="minorEastAsia"/>
          <w:sz w:val="24"/>
          <w:szCs w:val="21"/>
        </w:rPr>
        <w:t>月至</w:t>
      </w:r>
      <w:r w:rsidRPr="00F9522B">
        <w:rPr>
          <w:rFonts w:eastAsiaTheme="minorEastAsia"/>
          <w:sz w:val="24"/>
          <w:szCs w:val="21"/>
        </w:rPr>
        <w:t>4</w:t>
      </w:r>
      <w:r w:rsidRPr="00F9522B">
        <w:rPr>
          <w:rFonts w:eastAsiaTheme="minorEastAsia"/>
          <w:sz w:val="24"/>
          <w:szCs w:val="21"/>
        </w:rPr>
        <w:t>月进行清淤及护砌等，</w:t>
      </w:r>
      <w:r w:rsidRPr="00F9522B">
        <w:rPr>
          <w:rFonts w:eastAsiaTheme="minorEastAsia"/>
          <w:snapToGrid w:val="0"/>
          <w:kern w:val="0"/>
          <w:sz w:val="24"/>
        </w:rPr>
        <w:t>在枯水期进行，</w:t>
      </w:r>
      <w:r w:rsidRPr="00F9522B">
        <w:rPr>
          <w:rFonts w:eastAsiaTheme="minorEastAsia"/>
          <w:sz w:val="24"/>
          <w:szCs w:val="21"/>
        </w:rPr>
        <w:t>沟</w:t>
      </w:r>
      <w:r w:rsidRPr="00F9522B">
        <w:rPr>
          <w:rFonts w:eastAsiaTheme="minorEastAsia"/>
          <w:snapToGrid w:val="0"/>
          <w:kern w:val="0"/>
          <w:sz w:val="24"/>
        </w:rPr>
        <w:t>渠</w:t>
      </w:r>
      <w:r w:rsidRPr="00F9522B">
        <w:rPr>
          <w:rFonts w:eastAsiaTheme="minorEastAsia"/>
          <w:sz w:val="24"/>
          <w:szCs w:val="21"/>
        </w:rPr>
        <w:t>干涸，不涉水，避免对地表水体的影响</w:t>
      </w:r>
      <w:r w:rsidRPr="00F9522B">
        <w:rPr>
          <w:rFonts w:eastAsiaTheme="minorEastAsia"/>
          <w:bCs/>
          <w:smallCaps/>
          <w:sz w:val="24"/>
        </w:rPr>
        <w:t>。</w:t>
      </w:r>
    </w:p>
    <w:p w:rsidR="002A5A5E" w:rsidRPr="00F9522B" w:rsidRDefault="00611CBA">
      <w:pPr>
        <w:autoSpaceDE w:val="0"/>
        <w:autoSpaceDN w:val="0"/>
        <w:spacing w:before="100" w:beforeAutospacing="1" w:after="100" w:afterAutospacing="1"/>
        <w:outlineLvl w:val="3"/>
        <w:rPr>
          <w:rFonts w:eastAsiaTheme="minorEastAsia"/>
          <w:b/>
          <w:sz w:val="24"/>
        </w:rPr>
      </w:pPr>
      <w:r w:rsidRPr="00F9522B">
        <w:rPr>
          <w:rFonts w:eastAsiaTheme="minorEastAsia"/>
          <w:b/>
          <w:sz w:val="24"/>
        </w:rPr>
        <w:t>3.3.1.6</w:t>
      </w:r>
      <w:r w:rsidRPr="00F9522B">
        <w:rPr>
          <w:rFonts w:eastAsiaTheme="minorEastAsia"/>
          <w:b/>
          <w:sz w:val="24"/>
        </w:rPr>
        <w:t>地下水污染分析</w:t>
      </w:r>
    </w:p>
    <w:p w:rsidR="002A5A5E" w:rsidRPr="00F9522B" w:rsidRDefault="00611CBA">
      <w:pPr>
        <w:pStyle w:val="aff4"/>
        <w:adjustRightInd/>
        <w:snapToGrid/>
        <w:jc w:val="both"/>
        <w:rPr>
          <w:rFonts w:ascii="Times New Roman" w:hAnsi="Times New Roman" w:cs="Times New Roman"/>
          <w:snapToGrid w:val="0"/>
        </w:rPr>
      </w:pPr>
      <w:r w:rsidRPr="00F9522B">
        <w:rPr>
          <w:rFonts w:ascii="Times New Roman" w:hAnsi="Times New Roman" w:cs="Times New Roman"/>
          <w:snapToGrid w:val="0"/>
        </w:rPr>
        <w:lastRenderedPageBreak/>
        <w:t>项目施工期灌溉井工程打井过程中，</w:t>
      </w:r>
      <w:r w:rsidRPr="00F9522B">
        <w:rPr>
          <w:rFonts w:ascii="Times New Roman" w:hAnsi="Times New Roman" w:cs="Times New Roman"/>
        </w:rPr>
        <w:t>不使用有毒有害物质，泥浆循环使用，妥善收集，施工过程中产生的废水经静置后用于场地洒水降尘，施工过程加强环境管理，杜绝油品跑冒滴漏事故，施工期不会对地下水产生明显污染影响。</w:t>
      </w:r>
    </w:p>
    <w:p w:rsidR="002A5A5E" w:rsidRPr="00F9522B" w:rsidRDefault="00611CBA">
      <w:pPr>
        <w:keepNext/>
        <w:keepLines/>
        <w:spacing w:before="100" w:beforeAutospacing="1" w:after="100" w:afterAutospacing="1"/>
        <w:outlineLvl w:val="2"/>
        <w:rPr>
          <w:rFonts w:eastAsiaTheme="minorEastAsia"/>
          <w:b/>
          <w:sz w:val="28"/>
          <w:szCs w:val="28"/>
        </w:rPr>
      </w:pPr>
      <w:bookmarkStart w:id="98" w:name="_Toc15991651"/>
      <w:bookmarkEnd w:id="97"/>
      <w:r w:rsidRPr="00F9522B">
        <w:rPr>
          <w:rFonts w:eastAsiaTheme="minorEastAsia"/>
          <w:b/>
          <w:sz w:val="28"/>
          <w:szCs w:val="28"/>
        </w:rPr>
        <w:t>3.3.2</w:t>
      </w:r>
      <w:r w:rsidRPr="00F9522B">
        <w:rPr>
          <w:rFonts w:eastAsiaTheme="minorEastAsia"/>
          <w:b/>
          <w:sz w:val="28"/>
          <w:szCs w:val="28"/>
        </w:rPr>
        <w:t>运营期污染源强</w:t>
      </w:r>
      <w:bookmarkEnd w:id="98"/>
    </w:p>
    <w:p w:rsidR="002A5A5E" w:rsidRPr="00F9522B" w:rsidRDefault="00611CBA">
      <w:pPr>
        <w:autoSpaceDE w:val="0"/>
        <w:autoSpaceDN w:val="0"/>
        <w:spacing w:before="100" w:beforeAutospacing="1" w:after="100" w:afterAutospacing="1"/>
        <w:outlineLvl w:val="3"/>
        <w:rPr>
          <w:rFonts w:eastAsiaTheme="minorEastAsia"/>
          <w:b/>
          <w:sz w:val="24"/>
        </w:rPr>
      </w:pPr>
      <w:r w:rsidRPr="00F9522B">
        <w:rPr>
          <w:rFonts w:eastAsiaTheme="minorEastAsia"/>
          <w:b/>
          <w:sz w:val="24"/>
        </w:rPr>
        <w:t>3.3.2.1</w:t>
      </w:r>
      <w:r w:rsidRPr="00F9522B">
        <w:rPr>
          <w:rFonts w:eastAsiaTheme="minorEastAsia"/>
          <w:b/>
          <w:sz w:val="24"/>
        </w:rPr>
        <w:t>废水污染分析</w:t>
      </w:r>
    </w:p>
    <w:p w:rsidR="00FD5924" w:rsidRPr="00F9522B" w:rsidRDefault="00FD5924" w:rsidP="00FD5924">
      <w:pPr>
        <w:spacing w:line="360" w:lineRule="auto"/>
        <w:ind w:firstLineChars="200" w:firstLine="480"/>
        <w:jc w:val="left"/>
        <w:rPr>
          <w:rFonts w:eastAsiaTheme="minorEastAsia"/>
          <w:kern w:val="0"/>
          <w:sz w:val="24"/>
        </w:rPr>
      </w:pPr>
      <w:r w:rsidRPr="00F9522B">
        <w:rPr>
          <w:rFonts w:eastAsiaTheme="minorEastAsia"/>
          <w:kern w:val="0"/>
          <w:sz w:val="24"/>
        </w:rPr>
        <w:t>项目区现有水田退水系统及组成：</w:t>
      </w:r>
      <w:r w:rsidRPr="00F9522B">
        <w:rPr>
          <w:rFonts w:eastAsiaTheme="minorEastAsia"/>
          <w:sz w:val="24"/>
        </w:rPr>
        <w:t>项目区排水工程已基本形成规模，项目区西部排水通过原有沟汇入公家沟，最终汇入松花江，承泄区为松花江。项目区东部排水汇入原有沟，最终承泄区为漂河。片区内排水承泄区为松花江及漂河</w:t>
      </w:r>
      <w:r w:rsidRPr="00F9522B">
        <w:rPr>
          <w:rFonts w:eastAsiaTheme="minorEastAsia"/>
          <w:kern w:val="0"/>
          <w:sz w:val="24"/>
        </w:rPr>
        <w:t>。</w:t>
      </w:r>
      <w:r w:rsidRPr="00F9522B">
        <w:rPr>
          <w:rFonts w:eastAsiaTheme="minorEastAsia"/>
          <w:color w:val="FF0000"/>
          <w:sz w:val="24"/>
        </w:rPr>
        <w:t>本项目退水路线及水系图见附图</w:t>
      </w:r>
      <w:r w:rsidRPr="00F9522B">
        <w:rPr>
          <w:rFonts w:eastAsiaTheme="minorEastAsia"/>
          <w:color w:val="FF0000"/>
          <w:sz w:val="24"/>
        </w:rPr>
        <w:t>9</w:t>
      </w:r>
      <w:r w:rsidRPr="00F9522B">
        <w:rPr>
          <w:rFonts w:eastAsiaTheme="minorEastAsia"/>
          <w:color w:val="FF0000"/>
          <w:sz w:val="24"/>
        </w:rPr>
        <w:t>。</w:t>
      </w:r>
      <w:r w:rsidRPr="00F9522B">
        <w:rPr>
          <w:rFonts w:eastAsiaTheme="minorEastAsia"/>
          <w:sz w:val="24"/>
        </w:rPr>
        <w:t>退水口位置见图</w:t>
      </w:r>
      <w:r w:rsidRPr="00F9522B">
        <w:rPr>
          <w:rFonts w:eastAsiaTheme="minorEastAsia"/>
          <w:sz w:val="24"/>
        </w:rPr>
        <w:t>4-3-1</w:t>
      </w:r>
      <w:r w:rsidRPr="00F9522B">
        <w:rPr>
          <w:rFonts w:eastAsiaTheme="minorEastAsia"/>
          <w:sz w:val="24"/>
        </w:rPr>
        <w:t>。</w:t>
      </w:r>
    </w:p>
    <w:p w:rsidR="002A5A5E" w:rsidRPr="00F9522B" w:rsidRDefault="00A717E1">
      <w:pPr>
        <w:pStyle w:val="aff4"/>
        <w:adjustRightInd/>
        <w:snapToGrid/>
        <w:rPr>
          <w:rFonts w:ascii="Times New Roman" w:hAnsi="Times New Roman" w:cs="Times New Roman"/>
          <w:smallCaps/>
          <w:color w:val="FF0000"/>
          <w:szCs w:val="22"/>
          <w:shd w:val="clear" w:color="auto" w:fill="FFFFFF"/>
        </w:rPr>
      </w:pPr>
      <w:r w:rsidRPr="00F9522B">
        <w:rPr>
          <w:rFonts w:ascii="Times New Roman" w:hAnsi="Times New Roman" w:cs="Times New Roman"/>
          <w:color w:val="FF0000"/>
        </w:rPr>
        <w:t>现有水田退水排放规律：灌区泡田期</w:t>
      </w:r>
      <w:r w:rsidRPr="00F9522B">
        <w:rPr>
          <w:rFonts w:ascii="Times New Roman" w:hAnsi="Times New Roman" w:cs="Times New Roman"/>
          <w:color w:val="FF0000"/>
        </w:rPr>
        <w:t>(5</w:t>
      </w:r>
      <w:r w:rsidRPr="00F9522B">
        <w:rPr>
          <w:rFonts w:ascii="Times New Roman" w:hAnsi="Times New Roman" w:cs="Times New Roman"/>
          <w:color w:val="FF0000"/>
        </w:rPr>
        <w:t>月中旬</w:t>
      </w:r>
      <w:r w:rsidRPr="00F9522B">
        <w:rPr>
          <w:rFonts w:ascii="Times New Roman" w:hAnsi="Times New Roman" w:cs="Times New Roman"/>
          <w:color w:val="FF0000"/>
        </w:rPr>
        <w:t>)</w:t>
      </w:r>
      <w:r w:rsidRPr="00F9522B">
        <w:rPr>
          <w:rFonts w:ascii="Times New Roman" w:hAnsi="Times New Roman" w:cs="Times New Roman"/>
          <w:color w:val="FF0000"/>
        </w:rPr>
        <w:t>后插秧前退水量占水田退水量的</w:t>
      </w:r>
      <w:r w:rsidRPr="00F9522B">
        <w:rPr>
          <w:rFonts w:ascii="Times New Roman" w:hAnsi="Times New Roman" w:cs="Times New Roman"/>
          <w:color w:val="FF0000"/>
        </w:rPr>
        <w:t>55%</w:t>
      </w:r>
      <w:r w:rsidRPr="00F9522B">
        <w:rPr>
          <w:rFonts w:ascii="Times New Roman" w:hAnsi="Times New Roman" w:cs="Times New Roman"/>
          <w:color w:val="FF0000"/>
        </w:rPr>
        <w:t>。由于泡田期水田不施用农药化肥，所以农田退水污染主要考虑有效分蘖临界期</w:t>
      </w:r>
      <w:r w:rsidRPr="00F9522B">
        <w:rPr>
          <w:rFonts w:ascii="Times New Roman" w:hAnsi="Times New Roman" w:cs="Times New Roman"/>
          <w:color w:val="FF0000"/>
        </w:rPr>
        <w:t>(6</w:t>
      </w:r>
      <w:r w:rsidRPr="00F9522B">
        <w:rPr>
          <w:rFonts w:ascii="Times New Roman" w:hAnsi="Times New Roman" w:cs="Times New Roman"/>
          <w:color w:val="FF0000"/>
        </w:rPr>
        <w:t>月末</w:t>
      </w:r>
      <w:r w:rsidRPr="00F9522B">
        <w:rPr>
          <w:rFonts w:ascii="Times New Roman" w:hAnsi="Times New Roman" w:cs="Times New Roman"/>
          <w:color w:val="FF0000"/>
        </w:rPr>
        <w:t>)</w:t>
      </w:r>
      <w:r w:rsidRPr="00F9522B">
        <w:rPr>
          <w:rFonts w:ascii="Times New Roman" w:hAnsi="Times New Roman" w:cs="Times New Roman"/>
          <w:color w:val="FF0000"/>
        </w:rPr>
        <w:t>，此阶段退水量占水田总退水量的</w:t>
      </w:r>
      <w:r w:rsidRPr="00F9522B">
        <w:rPr>
          <w:rFonts w:ascii="Times New Roman" w:hAnsi="Times New Roman" w:cs="Times New Roman"/>
          <w:color w:val="FF0000"/>
        </w:rPr>
        <w:t>25%</w:t>
      </w:r>
      <w:r w:rsidRPr="00F9522B">
        <w:rPr>
          <w:rFonts w:ascii="Times New Roman" w:hAnsi="Times New Roman" w:cs="Times New Roman"/>
          <w:color w:val="FF0000"/>
        </w:rPr>
        <w:t>，拔节孕穗期</w:t>
      </w:r>
      <w:r w:rsidRPr="00F9522B">
        <w:rPr>
          <w:rFonts w:ascii="Times New Roman" w:hAnsi="Times New Roman" w:cs="Times New Roman"/>
          <w:color w:val="FF0000"/>
        </w:rPr>
        <w:t>(7</w:t>
      </w:r>
      <w:r w:rsidRPr="00F9522B">
        <w:rPr>
          <w:rFonts w:ascii="Times New Roman" w:hAnsi="Times New Roman" w:cs="Times New Roman"/>
          <w:color w:val="FF0000"/>
        </w:rPr>
        <w:t>月下旬</w:t>
      </w:r>
      <w:r w:rsidRPr="00F9522B">
        <w:rPr>
          <w:rFonts w:ascii="Times New Roman" w:hAnsi="Times New Roman" w:cs="Times New Roman"/>
          <w:color w:val="FF0000"/>
        </w:rPr>
        <w:t>)</w:t>
      </w:r>
      <w:r w:rsidRPr="00F9522B">
        <w:rPr>
          <w:rFonts w:ascii="Times New Roman" w:hAnsi="Times New Roman" w:cs="Times New Roman"/>
          <w:color w:val="FF0000"/>
        </w:rPr>
        <w:t>，此阶段退水量占水田总退水量的</w:t>
      </w:r>
      <w:r w:rsidRPr="00F9522B">
        <w:rPr>
          <w:rFonts w:ascii="Times New Roman" w:hAnsi="Times New Roman" w:cs="Times New Roman"/>
          <w:color w:val="FF0000"/>
        </w:rPr>
        <w:t>5%</w:t>
      </w:r>
      <w:r w:rsidRPr="00F9522B">
        <w:rPr>
          <w:rFonts w:ascii="Times New Roman" w:hAnsi="Times New Roman" w:cs="Times New Roman"/>
          <w:color w:val="FF0000"/>
        </w:rPr>
        <w:t>，黄熟期</w:t>
      </w:r>
      <w:r w:rsidRPr="00F9522B">
        <w:rPr>
          <w:rFonts w:ascii="Times New Roman" w:hAnsi="Times New Roman" w:cs="Times New Roman"/>
          <w:color w:val="FF0000"/>
        </w:rPr>
        <w:t>(9</w:t>
      </w:r>
      <w:r w:rsidRPr="00F9522B">
        <w:rPr>
          <w:rFonts w:ascii="Times New Roman" w:hAnsi="Times New Roman" w:cs="Times New Roman"/>
          <w:color w:val="FF0000"/>
        </w:rPr>
        <w:t>月后</w:t>
      </w:r>
      <w:r w:rsidRPr="00F9522B">
        <w:rPr>
          <w:rFonts w:ascii="Times New Roman" w:hAnsi="Times New Roman" w:cs="Times New Roman"/>
          <w:color w:val="FF0000"/>
        </w:rPr>
        <w:t>)</w:t>
      </w:r>
      <w:r w:rsidRPr="00F9522B">
        <w:rPr>
          <w:rFonts w:ascii="Times New Roman" w:hAnsi="Times New Roman" w:cs="Times New Roman"/>
          <w:color w:val="FF0000"/>
        </w:rPr>
        <w:t>，此阶段退水量占水田总退水量的</w:t>
      </w:r>
      <w:r w:rsidRPr="00F9522B">
        <w:rPr>
          <w:rFonts w:ascii="Times New Roman" w:hAnsi="Times New Roman" w:cs="Times New Roman"/>
          <w:color w:val="FF0000"/>
        </w:rPr>
        <w:t>15%</w:t>
      </w:r>
      <w:r w:rsidRPr="00F9522B">
        <w:rPr>
          <w:rFonts w:ascii="Times New Roman" w:hAnsi="Times New Roman" w:cs="Times New Roman"/>
          <w:color w:val="FF0000"/>
        </w:rPr>
        <w:t>。每次退水持续时间约为</w:t>
      </w:r>
      <w:r w:rsidRPr="00F9522B">
        <w:rPr>
          <w:rFonts w:ascii="Times New Roman" w:hAnsi="Times New Roman" w:cs="Times New Roman"/>
          <w:color w:val="FF0000"/>
        </w:rPr>
        <w:t>20</w:t>
      </w:r>
      <w:r w:rsidRPr="00F9522B">
        <w:rPr>
          <w:rFonts w:ascii="Times New Roman" w:hAnsi="Times New Roman" w:cs="Times New Roman"/>
          <w:color w:val="FF0000"/>
        </w:rPr>
        <w:t>天。</w:t>
      </w:r>
      <w:r w:rsidR="00611CBA" w:rsidRPr="00F9522B">
        <w:rPr>
          <w:rFonts w:ascii="Times New Roman" w:hAnsi="Times New Roman" w:cs="Times New Roman"/>
          <w:smallCaps/>
          <w:color w:val="FF0000"/>
          <w:szCs w:val="22"/>
          <w:shd w:val="clear" w:color="auto" w:fill="FFFFFF"/>
        </w:rPr>
        <w:t>主要集中在</w:t>
      </w:r>
      <w:r w:rsidR="00611CBA" w:rsidRPr="00F9522B">
        <w:rPr>
          <w:rFonts w:ascii="Times New Roman" w:hAnsi="Times New Roman" w:cs="Times New Roman"/>
          <w:smallCaps/>
          <w:color w:val="FF0000"/>
          <w:szCs w:val="22"/>
          <w:shd w:val="clear" w:color="auto" w:fill="FFFFFF"/>
        </w:rPr>
        <w:t>5</w:t>
      </w:r>
      <w:r w:rsidR="00611CBA" w:rsidRPr="00F9522B">
        <w:rPr>
          <w:rFonts w:ascii="Times New Roman" w:hAnsi="Times New Roman" w:cs="Times New Roman"/>
          <w:smallCaps/>
          <w:color w:val="FF0000"/>
          <w:szCs w:val="22"/>
          <w:shd w:val="clear" w:color="auto" w:fill="FFFFFF"/>
        </w:rPr>
        <w:t>月中旬至</w:t>
      </w:r>
      <w:r w:rsidR="00611CBA" w:rsidRPr="00F9522B">
        <w:rPr>
          <w:rFonts w:ascii="Times New Roman" w:hAnsi="Times New Roman" w:cs="Times New Roman"/>
          <w:smallCaps/>
          <w:color w:val="FF0000"/>
          <w:szCs w:val="22"/>
          <w:shd w:val="clear" w:color="auto" w:fill="FFFFFF"/>
        </w:rPr>
        <w:t>9</w:t>
      </w:r>
      <w:r w:rsidR="00611CBA" w:rsidRPr="00F9522B">
        <w:rPr>
          <w:rFonts w:ascii="Times New Roman" w:hAnsi="Times New Roman" w:cs="Times New Roman"/>
          <w:smallCaps/>
          <w:color w:val="FF0000"/>
          <w:szCs w:val="22"/>
          <w:shd w:val="clear" w:color="auto" w:fill="FFFFFF"/>
        </w:rPr>
        <w:t>月下旬。</w:t>
      </w:r>
    </w:p>
    <w:p w:rsidR="00347ED3" w:rsidRPr="00F9522B" w:rsidRDefault="00611CBA" w:rsidP="00347ED3">
      <w:pPr>
        <w:pStyle w:val="aff4"/>
        <w:adjustRightInd/>
        <w:snapToGrid/>
        <w:rPr>
          <w:rFonts w:ascii="Times New Roman" w:hAnsi="Times New Roman" w:cs="Times New Roman"/>
          <w:color w:val="FF0000"/>
        </w:rPr>
      </w:pPr>
      <w:r w:rsidRPr="00F9522B">
        <w:rPr>
          <w:rFonts w:ascii="Times New Roman" w:hAnsi="Times New Roman" w:cs="Times New Roman"/>
          <w:smallCaps/>
          <w:color w:val="FF0000"/>
          <w:szCs w:val="22"/>
          <w:shd w:val="clear" w:color="auto" w:fill="FFFFFF"/>
        </w:rPr>
        <w:t>本项目现有水田取水为</w:t>
      </w:r>
      <w:r w:rsidRPr="00F9522B">
        <w:rPr>
          <w:rFonts w:ascii="Times New Roman" w:hAnsi="Times New Roman" w:cs="Times New Roman"/>
          <w:color w:val="FF0000"/>
        </w:rPr>
        <w:t>现有农民自打井</w:t>
      </w:r>
      <w:r w:rsidRPr="00F9522B">
        <w:rPr>
          <w:rFonts w:ascii="Times New Roman" w:hAnsi="Times New Roman" w:cs="Times New Roman"/>
          <w:smallCaps/>
          <w:color w:val="FF0000"/>
          <w:szCs w:val="22"/>
          <w:shd w:val="clear" w:color="auto" w:fill="FFFFFF"/>
        </w:rPr>
        <w:t>，退水总量及主要污染物：</w:t>
      </w:r>
      <w:r w:rsidR="00347ED3" w:rsidRPr="00F9522B">
        <w:rPr>
          <w:rFonts w:ascii="Times New Roman" w:hAnsi="Times New Roman" w:cs="Times New Roman"/>
          <w:color w:val="FF0000"/>
        </w:rPr>
        <w:t>项目现状水田地下水灌溉面积</w:t>
      </w:r>
      <w:r w:rsidR="00347ED3" w:rsidRPr="00F9522B">
        <w:rPr>
          <w:rFonts w:ascii="Times New Roman" w:hAnsi="Times New Roman" w:cs="Times New Roman"/>
          <w:color w:val="FF0000"/>
        </w:rPr>
        <w:t>0.47</w:t>
      </w:r>
      <w:r w:rsidR="00347ED3" w:rsidRPr="00F9522B">
        <w:rPr>
          <w:rFonts w:ascii="Times New Roman" w:hAnsi="Times New Roman" w:cs="Times New Roman"/>
          <w:color w:val="FF0000"/>
        </w:rPr>
        <w:t>万亩，其中康金、石人、方台片区</w:t>
      </w:r>
      <w:r w:rsidR="00347ED3" w:rsidRPr="00F9522B">
        <w:rPr>
          <w:rFonts w:ascii="Times New Roman" w:hAnsi="Times New Roman" w:cs="Times New Roman"/>
          <w:color w:val="FF0000"/>
        </w:rPr>
        <w:t>0.325</w:t>
      </w:r>
      <w:r w:rsidR="00347ED3" w:rsidRPr="00F9522B">
        <w:rPr>
          <w:rFonts w:ascii="Times New Roman" w:hAnsi="Times New Roman" w:cs="Times New Roman"/>
          <w:color w:val="FF0000"/>
        </w:rPr>
        <w:t>万亩（松花江退水口），二八、康金、石人片区</w:t>
      </w:r>
      <w:r w:rsidR="00347ED3" w:rsidRPr="00F9522B">
        <w:rPr>
          <w:rFonts w:ascii="Times New Roman" w:hAnsi="Times New Roman" w:cs="Times New Roman"/>
          <w:color w:val="FF0000"/>
        </w:rPr>
        <w:t>0.145</w:t>
      </w:r>
      <w:r w:rsidR="00347ED3" w:rsidRPr="00F9522B">
        <w:rPr>
          <w:rFonts w:ascii="Times New Roman" w:hAnsi="Times New Roman" w:cs="Times New Roman"/>
          <w:color w:val="FF0000"/>
        </w:rPr>
        <w:t>万亩（漂河退水口）。现状年灌溉水利用系数</w:t>
      </w:r>
      <w:r w:rsidR="00347ED3" w:rsidRPr="00F9522B">
        <w:rPr>
          <w:rFonts w:ascii="Times New Roman" w:hAnsi="Times New Roman" w:cs="Times New Roman"/>
          <w:color w:val="FF0000"/>
        </w:rPr>
        <w:t>0.67</w:t>
      </w:r>
      <w:r w:rsidR="00347ED3" w:rsidRPr="00F9522B">
        <w:rPr>
          <w:rFonts w:ascii="Times New Roman" w:hAnsi="Times New Roman" w:cs="Times New Roman"/>
          <w:color w:val="FF0000"/>
        </w:rPr>
        <w:t>，水田灌溉用水定额为</w:t>
      </w:r>
      <w:r w:rsidR="00347ED3" w:rsidRPr="00F9522B">
        <w:rPr>
          <w:rFonts w:ascii="Times New Roman" w:hAnsi="Times New Roman" w:cs="Times New Roman"/>
          <w:color w:val="FF0000"/>
        </w:rPr>
        <w:t>576.1m</w:t>
      </w:r>
      <w:r w:rsidR="00347ED3" w:rsidRPr="00F9522B">
        <w:rPr>
          <w:rFonts w:ascii="Times New Roman" w:hAnsi="Times New Roman" w:cs="Times New Roman"/>
          <w:color w:val="FF0000"/>
          <w:vertAlign w:val="superscript"/>
        </w:rPr>
        <w:t>3</w:t>
      </w:r>
      <w:r w:rsidR="00347ED3" w:rsidRPr="00F9522B">
        <w:rPr>
          <w:rFonts w:ascii="Times New Roman" w:hAnsi="Times New Roman" w:cs="Times New Roman"/>
          <w:color w:val="FF0000"/>
        </w:rPr>
        <w:t>/</w:t>
      </w:r>
      <w:r w:rsidR="00347ED3" w:rsidRPr="00F9522B">
        <w:rPr>
          <w:rFonts w:ascii="Times New Roman" w:hAnsi="Times New Roman" w:cs="Times New Roman"/>
          <w:color w:val="FF0000"/>
        </w:rPr>
        <w:t>亩，现状引水总量</w:t>
      </w:r>
      <w:r w:rsidR="00347ED3" w:rsidRPr="00F9522B">
        <w:rPr>
          <w:rFonts w:ascii="Times New Roman" w:hAnsi="Times New Roman" w:cs="Times New Roman"/>
          <w:color w:val="FF0000"/>
        </w:rPr>
        <w:t>271</w:t>
      </w:r>
      <w:r w:rsidR="00347ED3" w:rsidRPr="00F9522B">
        <w:rPr>
          <w:rFonts w:ascii="Times New Roman" w:hAnsi="Times New Roman" w:cs="Times New Roman"/>
          <w:color w:val="FF0000"/>
        </w:rPr>
        <w:t>万</w:t>
      </w:r>
      <w:r w:rsidR="00347ED3" w:rsidRPr="00F9522B">
        <w:rPr>
          <w:rFonts w:ascii="Times New Roman" w:hAnsi="Times New Roman" w:cs="Times New Roman"/>
          <w:color w:val="FF0000"/>
        </w:rPr>
        <w:t>m</w:t>
      </w:r>
      <w:r w:rsidR="00347ED3" w:rsidRPr="00F9522B">
        <w:rPr>
          <w:rFonts w:ascii="Times New Roman" w:hAnsi="Times New Roman" w:cs="Times New Roman"/>
          <w:color w:val="FF0000"/>
          <w:vertAlign w:val="superscript"/>
        </w:rPr>
        <w:t>3</w:t>
      </w:r>
      <w:r w:rsidR="00347ED3" w:rsidRPr="00F9522B">
        <w:rPr>
          <w:rFonts w:ascii="Times New Roman" w:hAnsi="Times New Roman" w:cs="Times New Roman"/>
          <w:color w:val="FF0000"/>
        </w:rPr>
        <w:t>，现状退水系数按</w:t>
      </w:r>
      <w:r w:rsidR="00347ED3" w:rsidRPr="00F9522B">
        <w:rPr>
          <w:rFonts w:ascii="Times New Roman" w:hAnsi="Times New Roman" w:cs="Times New Roman"/>
          <w:color w:val="FF0000"/>
        </w:rPr>
        <w:t>0.2</w:t>
      </w:r>
      <w:r w:rsidR="00347ED3" w:rsidRPr="00F9522B">
        <w:rPr>
          <w:rFonts w:ascii="Times New Roman" w:hAnsi="Times New Roman" w:cs="Times New Roman"/>
          <w:color w:val="FF0000"/>
        </w:rPr>
        <w:t>计，则现状年灌区退水总量</w:t>
      </w:r>
      <w:r w:rsidR="00347ED3" w:rsidRPr="00F9522B">
        <w:rPr>
          <w:rFonts w:ascii="Times New Roman" w:hAnsi="Times New Roman" w:cs="Times New Roman"/>
          <w:color w:val="FF0000"/>
        </w:rPr>
        <w:t>54</w:t>
      </w:r>
      <w:r w:rsidR="00347ED3" w:rsidRPr="00F9522B">
        <w:rPr>
          <w:rFonts w:ascii="Times New Roman" w:hAnsi="Times New Roman" w:cs="Times New Roman"/>
          <w:color w:val="FF0000"/>
        </w:rPr>
        <w:t>万</w:t>
      </w:r>
      <w:r w:rsidR="00347ED3" w:rsidRPr="00F9522B">
        <w:rPr>
          <w:rFonts w:ascii="Times New Roman" w:hAnsi="Times New Roman" w:cs="Times New Roman"/>
          <w:color w:val="FF0000"/>
        </w:rPr>
        <w:t>m</w:t>
      </w:r>
      <w:r w:rsidR="00347ED3" w:rsidRPr="00F9522B">
        <w:rPr>
          <w:rFonts w:ascii="Times New Roman" w:hAnsi="Times New Roman" w:cs="Times New Roman"/>
          <w:color w:val="FF0000"/>
          <w:vertAlign w:val="superscript"/>
        </w:rPr>
        <w:t>3</w:t>
      </w:r>
      <w:r w:rsidR="00347ED3" w:rsidRPr="00F9522B">
        <w:rPr>
          <w:rFonts w:ascii="Times New Roman" w:hAnsi="Times New Roman" w:cs="Times New Roman"/>
          <w:color w:val="FF0000"/>
        </w:rPr>
        <w:t>。</w:t>
      </w:r>
    </w:p>
    <w:p w:rsidR="002A5A5E" w:rsidRPr="00F9522B" w:rsidRDefault="00347ED3" w:rsidP="00347ED3">
      <w:pPr>
        <w:pStyle w:val="aff4"/>
        <w:adjustRightInd/>
        <w:snapToGrid/>
        <w:rPr>
          <w:rFonts w:ascii="Times New Roman" w:hAnsi="Times New Roman" w:cs="Times New Roman"/>
          <w:smallCaps/>
          <w:color w:val="FF0000"/>
          <w:szCs w:val="22"/>
          <w:shd w:val="clear" w:color="auto" w:fill="FFFFFF"/>
        </w:rPr>
      </w:pPr>
      <w:r w:rsidRPr="00F9522B">
        <w:rPr>
          <w:rFonts w:ascii="Times New Roman" w:hAnsi="Times New Roman" w:cs="Times New Roman"/>
          <w:color w:val="FF0000"/>
        </w:rPr>
        <w:t>本项目建设后通过格田改造、土地平整等工程，可以减少池埂占地面积，提高农田保水能力，并且由于渠系配套完善，减少引水的跑冒滴漏，水利用系数提升至</w:t>
      </w:r>
      <w:r w:rsidRPr="00F9522B">
        <w:rPr>
          <w:rFonts w:ascii="Times New Roman" w:hAnsi="Times New Roman" w:cs="Times New Roman"/>
          <w:color w:val="FF0000"/>
        </w:rPr>
        <w:t>0.69</w:t>
      </w:r>
      <w:r w:rsidRPr="00F9522B">
        <w:rPr>
          <w:rFonts w:ascii="Times New Roman" w:hAnsi="Times New Roman" w:cs="Times New Roman"/>
          <w:color w:val="FF0000"/>
        </w:rPr>
        <w:t>，水田灌溉用水定额为</w:t>
      </w:r>
      <w:r w:rsidRPr="00F9522B">
        <w:rPr>
          <w:rFonts w:ascii="Times New Roman" w:hAnsi="Times New Roman" w:cs="Times New Roman"/>
          <w:color w:val="FF0000"/>
        </w:rPr>
        <w:t>559.42m</w:t>
      </w:r>
      <w:r w:rsidRPr="00F9522B">
        <w:rPr>
          <w:rFonts w:ascii="Times New Roman" w:hAnsi="Times New Roman" w:cs="Times New Roman"/>
          <w:color w:val="FF0000"/>
          <w:vertAlign w:val="superscript"/>
        </w:rPr>
        <w:t>3</w:t>
      </w:r>
      <w:r w:rsidRPr="00F9522B">
        <w:rPr>
          <w:rFonts w:ascii="Times New Roman" w:hAnsi="Times New Roman" w:cs="Times New Roman"/>
          <w:color w:val="FF0000"/>
        </w:rPr>
        <w:t>/</w:t>
      </w:r>
      <w:r w:rsidRPr="00F9522B">
        <w:rPr>
          <w:rFonts w:ascii="Times New Roman" w:hAnsi="Times New Roman" w:cs="Times New Roman"/>
          <w:color w:val="FF0000"/>
        </w:rPr>
        <w:t>亩，引水总量</w:t>
      </w:r>
      <w:r w:rsidRPr="00F9522B">
        <w:rPr>
          <w:rFonts w:ascii="Times New Roman" w:hAnsi="Times New Roman" w:cs="Times New Roman"/>
          <w:color w:val="FF0000"/>
        </w:rPr>
        <w:t>263</w:t>
      </w:r>
      <w:r w:rsidRPr="00F9522B">
        <w:rPr>
          <w:rFonts w:ascii="Times New Roman" w:hAnsi="Times New Roman" w:cs="Times New Roman"/>
          <w:color w:val="FF0000"/>
        </w:rPr>
        <w:t>万</w:t>
      </w:r>
      <w:r w:rsidRPr="00F9522B">
        <w:rPr>
          <w:rFonts w:ascii="Times New Roman" w:hAnsi="Times New Roman" w:cs="Times New Roman"/>
          <w:color w:val="FF0000"/>
        </w:rPr>
        <w:t>m</w:t>
      </w:r>
      <w:r w:rsidRPr="00F9522B">
        <w:rPr>
          <w:rFonts w:ascii="Times New Roman" w:hAnsi="Times New Roman" w:cs="Times New Roman"/>
          <w:color w:val="FF0000"/>
          <w:vertAlign w:val="superscript"/>
        </w:rPr>
        <w:t>3</w:t>
      </w:r>
      <w:r w:rsidRPr="00F9522B">
        <w:rPr>
          <w:rFonts w:ascii="Times New Roman" w:hAnsi="Times New Roman" w:cs="Times New Roman"/>
          <w:color w:val="FF0000"/>
        </w:rPr>
        <w:t>，退水系数降至</w:t>
      </w:r>
      <w:r w:rsidRPr="00F9522B">
        <w:rPr>
          <w:rFonts w:ascii="Times New Roman" w:hAnsi="Times New Roman" w:cs="Times New Roman"/>
          <w:color w:val="FF0000"/>
        </w:rPr>
        <w:t>0.15</w:t>
      </w:r>
      <w:r w:rsidRPr="00F9522B">
        <w:rPr>
          <w:rFonts w:ascii="Times New Roman" w:hAnsi="Times New Roman" w:cs="Times New Roman"/>
          <w:color w:val="FF0000"/>
        </w:rPr>
        <w:t>，则项目建成后年灌区退水总量为</w:t>
      </w:r>
      <w:r w:rsidRPr="00F9522B">
        <w:rPr>
          <w:rFonts w:ascii="Times New Roman" w:hAnsi="Times New Roman" w:cs="Times New Roman"/>
          <w:color w:val="FF0000"/>
        </w:rPr>
        <w:t>39</w:t>
      </w:r>
      <w:r w:rsidRPr="00F9522B">
        <w:rPr>
          <w:rFonts w:ascii="Times New Roman" w:hAnsi="Times New Roman" w:cs="Times New Roman"/>
          <w:color w:val="FF0000"/>
        </w:rPr>
        <w:t>万</w:t>
      </w:r>
      <w:r w:rsidRPr="00F9522B">
        <w:rPr>
          <w:rFonts w:ascii="Times New Roman" w:hAnsi="Times New Roman" w:cs="Times New Roman"/>
          <w:color w:val="FF0000"/>
        </w:rPr>
        <w:t>m</w:t>
      </w:r>
      <w:r w:rsidRPr="00F9522B">
        <w:rPr>
          <w:rFonts w:ascii="Times New Roman" w:hAnsi="Times New Roman" w:cs="Times New Roman"/>
          <w:color w:val="FF0000"/>
          <w:vertAlign w:val="superscript"/>
        </w:rPr>
        <w:t>3</w:t>
      </w:r>
      <w:r w:rsidRPr="00F9522B">
        <w:rPr>
          <w:rFonts w:ascii="Times New Roman" w:hAnsi="Times New Roman" w:cs="Times New Roman"/>
          <w:color w:val="FF0000"/>
        </w:rPr>
        <w:t>。项目建成后灌区年退水量与现状相比减少</w:t>
      </w:r>
      <w:r w:rsidRPr="00F9522B">
        <w:rPr>
          <w:rFonts w:ascii="Times New Roman" w:hAnsi="Times New Roman" w:cs="Times New Roman"/>
          <w:color w:val="FF0000"/>
        </w:rPr>
        <w:t>15</w:t>
      </w:r>
      <w:r w:rsidRPr="00F9522B">
        <w:rPr>
          <w:rFonts w:ascii="Times New Roman" w:hAnsi="Times New Roman" w:cs="Times New Roman"/>
          <w:color w:val="FF0000"/>
        </w:rPr>
        <w:t>万</w:t>
      </w:r>
      <w:r w:rsidRPr="00F9522B">
        <w:rPr>
          <w:rFonts w:ascii="Times New Roman" w:hAnsi="Times New Roman" w:cs="Times New Roman"/>
          <w:color w:val="FF0000"/>
        </w:rPr>
        <w:t>m</w:t>
      </w:r>
      <w:r w:rsidRPr="00F9522B">
        <w:rPr>
          <w:rFonts w:ascii="Times New Roman" w:hAnsi="Times New Roman" w:cs="Times New Roman"/>
          <w:color w:val="FF0000"/>
          <w:vertAlign w:val="superscript"/>
        </w:rPr>
        <w:t>3</w:t>
      </w:r>
      <w:r w:rsidR="00611CBA" w:rsidRPr="00F9522B">
        <w:rPr>
          <w:rFonts w:ascii="Times New Roman" w:hAnsi="Times New Roman" w:cs="Times New Roman"/>
          <w:color w:val="FF0000"/>
        </w:rPr>
        <w:t>。</w:t>
      </w:r>
    </w:p>
    <w:p w:rsidR="00943455" w:rsidRDefault="00943455">
      <w:pPr>
        <w:contextualSpacing/>
        <w:jc w:val="center"/>
        <w:rPr>
          <w:rFonts w:eastAsiaTheme="minorEastAsia"/>
          <w:b/>
          <w:color w:val="FF0000"/>
          <w:szCs w:val="21"/>
        </w:rPr>
      </w:pPr>
    </w:p>
    <w:p w:rsidR="00943455" w:rsidRDefault="00943455">
      <w:pPr>
        <w:contextualSpacing/>
        <w:jc w:val="center"/>
        <w:rPr>
          <w:rFonts w:eastAsiaTheme="minorEastAsia"/>
          <w:b/>
          <w:color w:val="FF0000"/>
          <w:szCs w:val="21"/>
        </w:rPr>
      </w:pPr>
    </w:p>
    <w:p w:rsidR="00943455" w:rsidRDefault="00943455">
      <w:pPr>
        <w:contextualSpacing/>
        <w:jc w:val="center"/>
        <w:rPr>
          <w:rFonts w:eastAsiaTheme="minorEastAsia" w:hint="eastAsia"/>
          <w:b/>
          <w:color w:val="FF0000"/>
          <w:szCs w:val="21"/>
        </w:rPr>
      </w:pPr>
    </w:p>
    <w:p w:rsidR="007917BB" w:rsidRDefault="007917BB">
      <w:pPr>
        <w:contextualSpacing/>
        <w:jc w:val="center"/>
        <w:rPr>
          <w:rFonts w:eastAsiaTheme="minorEastAsia" w:hint="eastAsia"/>
          <w:b/>
          <w:color w:val="FF0000"/>
          <w:szCs w:val="21"/>
        </w:rPr>
      </w:pPr>
    </w:p>
    <w:p w:rsidR="007917BB" w:rsidRDefault="007917BB">
      <w:pPr>
        <w:contextualSpacing/>
        <w:jc w:val="center"/>
        <w:rPr>
          <w:rFonts w:eastAsiaTheme="minorEastAsia"/>
          <w:b/>
          <w:color w:val="FF0000"/>
          <w:szCs w:val="21"/>
        </w:rPr>
      </w:pPr>
    </w:p>
    <w:p w:rsidR="00943455" w:rsidRDefault="00617138">
      <w:pPr>
        <w:contextualSpacing/>
        <w:jc w:val="center"/>
        <w:rPr>
          <w:rFonts w:eastAsiaTheme="minorEastAsia"/>
          <w:b/>
          <w:color w:val="FF0000"/>
          <w:szCs w:val="21"/>
        </w:rPr>
      </w:pPr>
      <w:r>
        <w:rPr>
          <w:rFonts w:eastAsiaTheme="minorEastAsia" w:hint="eastAsia"/>
          <w:b/>
          <w:color w:val="FF0000"/>
          <w:szCs w:val="21"/>
        </w:rPr>
        <w:t xml:space="preserve">         </w:t>
      </w:r>
      <w:r w:rsidR="00A717E1" w:rsidRPr="00F9522B">
        <w:rPr>
          <w:rFonts w:eastAsiaTheme="minorEastAsia"/>
          <w:b/>
          <w:color w:val="FF0000"/>
          <w:szCs w:val="21"/>
        </w:rPr>
        <w:t xml:space="preserve">  </w:t>
      </w:r>
    </w:p>
    <w:p w:rsidR="002A5A5E" w:rsidRPr="00F9522B" w:rsidRDefault="00611CBA">
      <w:pPr>
        <w:contextualSpacing/>
        <w:jc w:val="center"/>
        <w:rPr>
          <w:rFonts w:eastAsiaTheme="minorEastAsia"/>
          <w:b/>
          <w:color w:val="FF0000"/>
          <w:szCs w:val="21"/>
        </w:rPr>
      </w:pPr>
      <w:r w:rsidRPr="00F9522B">
        <w:rPr>
          <w:rFonts w:eastAsiaTheme="minorEastAsia"/>
          <w:b/>
          <w:color w:val="FF0000"/>
          <w:szCs w:val="21"/>
        </w:rPr>
        <w:lastRenderedPageBreak/>
        <w:t>表</w:t>
      </w:r>
      <w:r w:rsidRPr="00F9522B">
        <w:rPr>
          <w:rFonts w:eastAsiaTheme="minorEastAsia"/>
          <w:b/>
          <w:color w:val="FF0000"/>
          <w:szCs w:val="21"/>
        </w:rPr>
        <w:t>3-3-4</w:t>
      </w:r>
      <w:r w:rsidRPr="00F9522B">
        <w:rPr>
          <w:rFonts w:eastAsiaTheme="minorEastAsia"/>
          <w:b/>
          <w:color w:val="FF0000"/>
          <w:szCs w:val="21"/>
        </w:rPr>
        <w:t>排水分区退水量</w:t>
      </w:r>
      <w:r w:rsidR="00A717E1" w:rsidRPr="00F9522B">
        <w:rPr>
          <w:rFonts w:eastAsiaTheme="minorEastAsia"/>
          <w:b/>
          <w:color w:val="FF0000"/>
          <w:szCs w:val="21"/>
        </w:rPr>
        <w:t>变化</w:t>
      </w:r>
      <w:r w:rsidRPr="00F9522B">
        <w:rPr>
          <w:rFonts w:eastAsiaTheme="minorEastAsia"/>
          <w:b/>
          <w:color w:val="FF0000"/>
          <w:szCs w:val="21"/>
        </w:rPr>
        <w:t>情况</w:t>
      </w:r>
      <w:r w:rsidR="00A717E1" w:rsidRPr="00F9522B">
        <w:rPr>
          <w:rFonts w:eastAsiaTheme="minorEastAsia"/>
          <w:b/>
          <w:color w:val="FF0000"/>
          <w:szCs w:val="21"/>
        </w:rPr>
        <w:t xml:space="preserve">         </w:t>
      </w:r>
      <w:r w:rsidRPr="00F9522B">
        <w:rPr>
          <w:rFonts w:eastAsiaTheme="minorEastAsia"/>
          <w:b/>
          <w:color w:val="FF0000"/>
          <w:szCs w:val="21"/>
        </w:rPr>
        <w:t>单位：万</w:t>
      </w:r>
      <w:r w:rsidRPr="00F9522B">
        <w:rPr>
          <w:rFonts w:eastAsiaTheme="minorEastAsia"/>
          <w:b/>
          <w:color w:val="FF0000"/>
          <w:szCs w:val="21"/>
        </w:rPr>
        <w:t>m</w:t>
      </w:r>
      <w:r w:rsidRPr="00F9522B">
        <w:rPr>
          <w:rFonts w:eastAsiaTheme="minorEastAsia"/>
          <w:b/>
          <w:color w:val="FF0000"/>
          <w:szCs w:val="21"/>
          <w:vertAlign w:val="superscript"/>
        </w:rPr>
        <w:t>3</w:t>
      </w:r>
      <w:r w:rsidRPr="00F9522B">
        <w:rPr>
          <w:rFonts w:eastAsiaTheme="minorEastAsia"/>
          <w:b/>
          <w:bCs/>
          <w:color w:val="FF0000"/>
          <w:szCs w:val="21"/>
        </w:rPr>
        <w:t>/a</w:t>
      </w:r>
    </w:p>
    <w:tbl>
      <w:tblPr>
        <w:tblStyle w:val="afc"/>
        <w:tblW w:w="4992" w:type="pct"/>
        <w:tblLook w:val="04A0"/>
      </w:tblPr>
      <w:tblGrid>
        <w:gridCol w:w="1629"/>
        <w:gridCol w:w="1230"/>
        <w:gridCol w:w="1099"/>
        <w:gridCol w:w="2540"/>
        <w:gridCol w:w="2010"/>
      </w:tblGrid>
      <w:tr w:rsidR="00347ED3" w:rsidRPr="00F9522B" w:rsidTr="00772BB1">
        <w:trPr>
          <w:trHeight w:val="485"/>
        </w:trPr>
        <w:tc>
          <w:tcPr>
            <w:tcW w:w="957" w:type="pct"/>
            <w:tcBorders>
              <w:top w:val="single" w:sz="12" w:space="0" w:color="auto"/>
              <w:left w:val="nil"/>
            </w:tcBorders>
            <w:vAlign w:val="center"/>
          </w:tcPr>
          <w:p w:rsidR="00347ED3" w:rsidRPr="00F9522B" w:rsidRDefault="00347ED3" w:rsidP="00772BB1">
            <w:pPr>
              <w:jc w:val="center"/>
              <w:rPr>
                <w:rFonts w:eastAsiaTheme="minorEastAsia"/>
                <w:color w:val="FF0000"/>
                <w:kern w:val="0"/>
                <w:szCs w:val="21"/>
              </w:rPr>
            </w:pPr>
            <w:r w:rsidRPr="00F9522B">
              <w:rPr>
                <w:rFonts w:eastAsiaTheme="minorEastAsia"/>
                <w:color w:val="FF0000"/>
                <w:kern w:val="0"/>
                <w:szCs w:val="21"/>
              </w:rPr>
              <w:t>灌区</w:t>
            </w:r>
          </w:p>
        </w:tc>
        <w:tc>
          <w:tcPr>
            <w:tcW w:w="723" w:type="pct"/>
            <w:tcBorders>
              <w:top w:val="single" w:sz="12" w:space="0" w:color="auto"/>
            </w:tcBorders>
            <w:vAlign w:val="center"/>
          </w:tcPr>
          <w:p w:rsidR="00347ED3" w:rsidRPr="00F9522B" w:rsidRDefault="00D6722A" w:rsidP="00772BB1">
            <w:pPr>
              <w:jc w:val="center"/>
              <w:rPr>
                <w:rFonts w:eastAsiaTheme="minorEastAsia"/>
                <w:color w:val="FF0000"/>
                <w:kern w:val="0"/>
                <w:szCs w:val="21"/>
              </w:rPr>
            </w:pPr>
            <w:r w:rsidRPr="00F9522B">
              <w:rPr>
                <w:rFonts w:eastAsiaTheme="minorEastAsia"/>
                <w:color w:val="FF0000"/>
                <w:kern w:val="0"/>
                <w:szCs w:val="21"/>
              </w:rPr>
              <w:t>总</w:t>
            </w:r>
            <w:r w:rsidR="00347ED3" w:rsidRPr="00F9522B">
              <w:rPr>
                <w:rFonts w:eastAsiaTheme="minorEastAsia"/>
                <w:color w:val="FF0000"/>
                <w:kern w:val="0"/>
                <w:szCs w:val="21"/>
              </w:rPr>
              <w:t>用水量</w:t>
            </w:r>
          </w:p>
        </w:tc>
        <w:tc>
          <w:tcPr>
            <w:tcW w:w="646" w:type="pct"/>
            <w:tcBorders>
              <w:top w:val="single" w:sz="12" w:space="0" w:color="auto"/>
            </w:tcBorders>
            <w:vAlign w:val="center"/>
          </w:tcPr>
          <w:p w:rsidR="00347ED3" w:rsidRPr="00F9522B" w:rsidRDefault="00D6722A" w:rsidP="00772BB1">
            <w:pPr>
              <w:jc w:val="center"/>
              <w:rPr>
                <w:rFonts w:eastAsiaTheme="minorEastAsia"/>
                <w:color w:val="FF0000"/>
                <w:kern w:val="0"/>
                <w:szCs w:val="21"/>
              </w:rPr>
            </w:pPr>
            <w:r w:rsidRPr="00F9522B">
              <w:rPr>
                <w:rFonts w:eastAsiaTheme="minorEastAsia"/>
                <w:color w:val="FF0000"/>
                <w:kern w:val="0"/>
                <w:szCs w:val="21"/>
              </w:rPr>
              <w:t>总</w:t>
            </w:r>
            <w:r w:rsidR="00347ED3" w:rsidRPr="00F9522B">
              <w:rPr>
                <w:rFonts w:eastAsiaTheme="minorEastAsia"/>
                <w:color w:val="FF0000"/>
                <w:kern w:val="0"/>
                <w:szCs w:val="21"/>
              </w:rPr>
              <w:t>退水量</w:t>
            </w:r>
          </w:p>
        </w:tc>
        <w:tc>
          <w:tcPr>
            <w:tcW w:w="1493" w:type="pct"/>
            <w:tcBorders>
              <w:top w:val="single" w:sz="12" w:space="0" w:color="auto"/>
            </w:tcBorders>
            <w:vAlign w:val="center"/>
          </w:tcPr>
          <w:p w:rsidR="00347ED3" w:rsidRPr="00F9522B" w:rsidRDefault="00347ED3" w:rsidP="00772BB1">
            <w:pPr>
              <w:jc w:val="center"/>
              <w:rPr>
                <w:rFonts w:eastAsiaTheme="minorEastAsia"/>
                <w:color w:val="FF0000"/>
                <w:kern w:val="0"/>
                <w:szCs w:val="21"/>
              </w:rPr>
            </w:pPr>
            <w:r w:rsidRPr="00F9522B">
              <w:rPr>
                <w:rFonts w:eastAsiaTheme="minorEastAsia"/>
                <w:color w:val="FF0000"/>
                <w:szCs w:val="21"/>
              </w:rPr>
              <w:t>松花江</w:t>
            </w:r>
            <w:r w:rsidRPr="00F9522B">
              <w:rPr>
                <w:rFonts w:eastAsiaTheme="minorEastAsia"/>
                <w:color w:val="FF0000"/>
                <w:kern w:val="0"/>
                <w:szCs w:val="21"/>
              </w:rPr>
              <w:t>退水口退水量</w:t>
            </w:r>
          </w:p>
        </w:tc>
        <w:tc>
          <w:tcPr>
            <w:tcW w:w="1182" w:type="pct"/>
            <w:tcBorders>
              <w:top w:val="single" w:sz="12" w:space="0" w:color="auto"/>
              <w:right w:val="nil"/>
            </w:tcBorders>
            <w:vAlign w:val="center"/>
          </w:tcPr>
          <w:p w:rsidR="00347ED3" w:rsidRPr="00F9522B" w:rsidRDefault="00347ED3" w:rsidP="00772BB1">
            <w:pPr>
              <w:jc w:val="center"/>
              <w:rPr>
                <w:rFonts w:eastAsiaTheme="minorEastAsia"/>
                <w:color w:val="FF0000"/>
                <w:kern w:val="0"/>
                <w:szCs w:val="21"/>
              </w:rPr>
            </w:pPr>
            <w:r w:rsidRPr="00F9522B">
              <w:rPr>
                <w:rFonts w:eastAsiaTheme="minorEastAsia"/>
                <w:color w:val="FF0000"/>
                <w:kern w:val="0"/>
                <w:sz w:val="20"/>
                <w:szCs w:val="21"/>
              </w:rPr>
              <w:t>漂河</w:t>
            </w:r>
            <w:r w:rsidRPr="00F9522B">
              <w:rPr>
                <w:rFonts w:eastAsiaTheme="minorEastAsia"/>
                <w:color w:val="FF0000"/>
                <w:kern w:val="0"/>
                <w:szCs w:val="21"/>
              </w:rPr>
              <w:t>退水口退水量</w:t>
            </w:r>
          </w:p>
        </w:tc>
      </w:tr>
      <w:tr w:rsidR="00347ED3" w:rsidRPr="00F9522B" w:rsidTr="00772BB1">
        <w:trPr>
          <w:trHeight w:val="453"/>
        </w:trPr>
        <w:tc>
          <w:tcPr>
            <w:tcW w:w="957" w:type="pct"/>
            <w:tcBorders>
              <w:left w:val="nil"/>
            </w:tcBorders>
            <w:vAlign w:val="center"/>
          </w:tcPr>
          <w:p w:rsidR="00347ED3" w:rsidRPr="00F9522B" w:rsidRDefault="00347ED3" w:rsidP="00772BB1">
            <w:pPr>
              <w:jc w:val="center"/>
              <w:rPr>
                <w:rFonts w:eastAsiaTheme="minorEastAsia"/>
                <w:color w:val="FF0000"/>
                <w:kern w:val="0"/>
                <w:szCs w:val="21"/>
              </w:rPr>
            </w:pPr>
            <w:r w:rsidRPr="00F9522B">
              <w:rPr>
                <w:rFonts w:eastAsiaTheme="minorEastAsia"/>
                <w:color w:val="FF0000"/>
                <w:kern w:val="0"/>
                <w:szCs w:val="21"/>
              </w:rPr>
              <w:t>建成前</w:t>
            </w:r>
          </w:p>
        </w:tc>
        <w:tc>
          <w:tcPr>
            <w:tcW w:w="723" w:type="pct"/>
            <w:vAlign w:val="center"/>
          </w:tcPr>
          <w:p w:rsidR="00347ED3" w:rsidRPr="00F9522B" w:rsidRDefault="00347ED3" w:rsidP="00772BB1">
            <w:pPr>
              <w:jc w:val="center"/>
              <w:rPr>
                <w:rFonts w:eastAsiaTheme="minorEastAsia"/>
                <w:color w:val="FF0000"/>
                <w:kern w:val="0"/>
                <w:szCs w:val="21"/>
              </w:rPr>
            </w:pPr>
            <w:r w:rsidRPr="00F9522B">
              <w:rPr>
                <w:rFonts w:eastAsiaTheme="minorEastAsia"/>
                <w:color w:val="FF0000"/>
                <w:kern w:val="0"/>
                <w:szCs w:val="21"/>
              </w:rPr>
              <w:t>271</w:t>
            </w:r>
          </w:p>
        </w:tc>
        <w:tc>
          <w:tcPr>
            <w:tcW w:w="646" w:type="pct"/>
            <w:vAlign w:val="center"/>
          </w:tcPr>
          <w:p w:rsidR="00347ED3" w:rsidRPr="00F9522B" w:rsidRDefault="00347ED3" w:rsidP="00772BB1">
            <w:pPr>
              <w:jc w:val="center"/>
              <w:rPr>
                <w:rFonts w:eastAsiaTheme="minorEastAsia"/>
                <w:color w:val="FF0000"/>
                <w:kern w:val="0"/>
                <w:szCs w:val="21"/>
              </w:rPr>
            </w:pPr>
            <w:r w:rsidRPr="00F9522B">
              <w:rPr>
                <w:rFonts w:eastAsiaTheme="minorEastAsia"/>
                <w:color w:val="FF0000"/>
                <w:kern w:val="0"/>
                <w:szCs w:val="21"/>
              </w:rPr>
              <w:t>54</w:t>
            </w:r>
          </w:p>
        </w:tc>
        <w:tc>
          <w:tcPr>
            <w:tcW w:w="1493" w:type="pct"/>
            <w:vAlign w:val="center"/>
          </w:tcPr>
          <w:p w:rsidR="00347ED3" w:rsidRPr="00F9522B" w:rsidRDefault="00347ED3" w:rsidP="00772BB1">
            <w:pPr>
              <w:jc w:val="center"/>
              <w:rPr>
                <w:rFonts w:eastAsiaTheme="minorEastAsia"/>
                <w:color w:val="FF0000"/>
                <w:kern w:val="0"/>
                <w:szCs w:val="21"/>
              </w:rPr>
            </w:pPr>
            <w:r w:rsidRPr="00F9522B">
              <w:rPr>
                <w:rFonts w:eastAsiaTheme="minorEastAsia"/>
                <w:color w:val="FF0000"/>
                <w:kern w:val="0"/>
                <w:szCs w:val="21"/>
              </w:rPr>
              <w:t xml:space="preserve">37.3 </w:t>
            </w:r>
          </w:p>
        </w:tc>
        <w:tc>
          <w:tcPr>
            <w:tcW w:w="1182" w:type="pct"/>
            <w:tcBorders>
              <w:right w:val="nil"/>
            </w:tcBorders>
            <w:vAlign w:val="center"/>
          </w:tcPr>
          <w:p w:rsidR="00347ED3" w:rsidRPr="00F9522B" w:rsidRDefault="00347ED3" w:rsidP="00772BB1">
            <w:pPr>
              <w:jc w:val="center"/>
              <w:rPr>
                <w:rFonts w:eastAsiaTheme="minorEastAsia"/>
                <w:color w:val="FF0000"/>
                <w:kern w:val="0"/>
                <w:szCs w:val="21"/>
              </w:rPr>
            </w:pPr>
            <w:r w:rsidRPr="00F9522B">
              <w:rPr>
                <w:rFonts w:eastAsiaTheme="minorEastAsia"/>
                <w:color w:val="FF0000"/>
                <w:kern w:val="0"/>
                <w:szCs w:val="21"/>
              </w:rPr>
              <w:t xml:space="preserve">16.7 </w:t>
            </w:r>
          </w:p>
        </w:tc>
      </w:tr>
      <w:tr w:rsidR="00347ED3" w:rsidRPr="00F9522B" w:rsidTr="00772BB1">
        <w:trPr>
          <w:trHeight w:val="497"/>
        </w:trPr>
        <w:tc>
          <w:tcPr>
            <w:tcW w:w="957" w:type="pct"/>
            <w:tcBorders>
              <w:left w:val="nil"/>
            </w:tcBorders>
            <w:vAlign w:val="center"/>
          </w:tcPr>
          <w:p w:rsidR="00347ED3" w:rsidRPr="00F9522B" w:rsidRDefault="00347ED3" w:rsidP="00772BB1">
            <w:pPr>
              <w:jc w:val="center"/>
              <w:rPr>
                <w:rFonts w:eastAsiaTheme="minorEastAsia"/>
                <w:color w:val="FF0000"/>
                <w:kern w:val="0"/>
                <w:szCs w:val="21"/>
              </w:rPr>
            </w:pPr>
            <w:r w:rsidRPr="00F9522B">
              <w:rPr>
                <w:rFonts w:eastAsiaTheme="minorEastAsia"/>
                <w:color w:val="FF0000"/>
                <w:kern w:val="0"/>
                <w:szCs w:val="21"/>
              </w:rPr>
              <w:t>建成后</w:t>
            </w:r>
          </w:p>
        </w:tc>
        <w:tc>
          <w:tcPr>
            <w:tcW w:w="723" w:type="pct"/>
            <w:vAlign w:val="center"/>
          </w:tcPr>
          <w:p w:rsidR="00347ED3" w:rsidRPr="00F9522B" w:rsidRDefault="00347ED3" w:rsidP="00772BB1">
            <w:pPr>
              <w:jc w:val="center"/>
              <w:rPr>
                <w:rFonts w:eastAsiaTheme="minorEastAsia"/>
                <w:color w:val="FF0000"/>
                <w:kern w:val="0"/>
                <w:szCs w:val="21"/>
              </w:rPr>
            </w:pPr>
            <w:r w:rsidRPr="00F9522B">
              <w:rPr>
                <w:rFonts w:eastAsiaTheme="minorEastAsia"/>
                <w:color w:val="FF0000"/>
                <w:kern w:val="0"/>
                <w:szCs w:val="21"/>
              </w:rPr>
              <w:t>263</w:t>
            </w:r>
          </w:p>
        </w:tc>
        <w:tc>
          <w:tcPr>
            <w:tcW w:w="646" w:type="pct"/>
            <w:vAlign w:val="center"/>
          </w:tcPr>
          <w:p w:rsidR="00347ED3" w:rsidRPr="00F9522B" w:rsidRDefault="00347ED3" w:rsidP="00772BB1">
            <w:pPr>
              <w:jc w:val="center"/>
              <w:rPr>
                <w:rFonts w:eastAsiaTheme="minorEastAsia"/>
                <w:color w:val="FF0000"/>
                <w:kern w:val="0"/>
                <w:szCs w:val="21"/>
              </w:rPr>
            </w:pPr>
            <w:r w:rsidRPr="00F9522B">
              <w:rPr>
                <w:rFonts w:eastAsiaTheme="minorEastAsia"/>
                <w:color w:val="FF0000"/>
                <w:kern w:val="0"/>
                <w:szCs w:val="21"/>
              </w:rPr>
              <w:t>39</w:t>
            </w:r>
          </w:p>
        </w:tc>
        <w:tc>
          <w:tcPr>
            <w:tcW w:w="1493" w:type="pct"/>
            <w:vAlign w:val="center"/>
          </w:tcPr>
          <w:p w:rsidR="00347ED3" w:rsidRPr="00F9522B" w:rsidRDefault="00347ED3" w:rsidP="00772BB1">
            <w:pPr>
              <w:jc w:val="center"/>
              <w:rPr>
                <w:rFonts w:eastAsiaTheme="minorEastAsia"/>
                <w:color w:val="FF0000"/>
                <w:kern w:val="0"/>
                <w:szCs w:val="21"/>
              </w:rPr>
            </w:pPr>
            <w:r w:rsidRPr="00F9522B">
              <w:rPr>
                <w:rFonts w:eastAsiaTheme="minorEastAsia"/>
                <w:color w:val="FF0000"/>
                <w:kern w:val="0"/>
                <w:szCs w:val="21"/>
              </w:rPr>
              <w:t xml:space="preserve">26.9 </w:t>
            </w:r>
          </w:p>
        </w:tc>
        <w:tc>
          <w:tcPr>
            <w:tcW w:w="1182" w:type="pct"/>
            <w:tcBorders>
              <w:right w:val="nil"/>
            </w:tcBorders>
            <w:vAlign w:val="center"/>
          </w:tcPr>
          <w:p w:rsidR="00347ED3" w:rsidRPr="00F9522B" w:rsidRDefault="00347ED3" w:rsidP="00772BB1">
            <w:pPr>
              <w:jc w:val="center"/>
              <w:rPr>
                <w:rFonts w:eastAsiaTheme="minorEastAsia"/>
                <w:color w:val="FF0000"/>
                <w:kern w:val="0"/>
                <w:szCs w:val="21"/>
              </w:rPr>
            </w:pPr>
            <w:r w:rsidRPr="00F9522B">
              <w:rPr>
                <w:rFonts w:eastAsiaTheme="minorEastAsia"/>
                <w:color w:val="FF0000"/>
                <w:kern w:val="0"/>
                <w:szCs w:val="21"/>
              </w:rPr>
              <w:t xml:space="preserve">12.1 </w:t>
            </w:r>
          </w:p>
        </w:tc>
      </w:tr>
      <w:tr w:rsidR="00347ED3" w:rsidRPr="00F9522B" w:rsidTr="00772BB1">
        <w:trPr>
          <w:trHeight w:val="511"/>
        </w:trPr>
        <w:tc>
          <w:tcPr>
            <w:tcW w:w="957" w:type="pct"/>
            <w:tcBorders>
              <w:left w:val="nil"/>
              <w:bottom w:val="single" w:sz="12" w:space="0" w:color="auto"/>
            </w:tcBorders>
            <w:vAlign w:val="center"/>
          </w:tcPr>
          <w:p w:rsidR="00347ED3" w:rsidRPr="00F9522B" w:rsidRDefault="00347ED3" w:rsidP="00772BB1">
            <w:pPr>
              <w:jc w:val="center"/>
              <w:rPr>
                <w:rFonts w:eastAsiaTheme="minorEastAsia"/>
                <w:color w:val="FF0000"/>
                <w:kern w:val="0"/>
                <w:szCs w:val="21"/>
              </w:rPr>
            </w:pPr>
            <w:r w:rsidRPr="00F9522B">
              <w:rPr>
                <w:rFonts w:eastAsiaTheme="minorEastAsia"/>
                <w:color w:val="FF0000"/>
                <w:kern w:val="0"/>
                <w:szCs w:val="21"/>
              </w:rPr>
              <w:t>变化量</w:t>
            </w:r>
          </w:p>
        </w:tc>
        <w:tc>
          <w:tcPr>
            <w:tcW w:w="723" w:type="pct"/>
            <w:tcBorders>
              <w:bottom w:val="single" w:sz="12" w:space="0" w:color="auto"/>
            </w:tcBorders>
            <w:vAlign w:val="center"/>
          </w:tcPr>
          <w:p w:rsidR="00347ED3" w:rsidRPr="00F9522B" w:rsidRDefault="00347ED3" w:rsidP="00772BB1">
            <w:pPr>
              <w:jc w:val="center"/>
              <w:rPr>
                <w:rFonts w:eastAsiaTheme="minorEastAsia"/>
                <w:color w:val="FF0000"/>
                <w:kern w:val="0"/>
                <w:szCs w:val="21"/>
              </w:rPr>
            </w:pPr>
            <w:r w:rsidRPr="00F9522B">
              <w:rPr>
                <w:rFonts w:eastAsiaTheme="minorEastAsia"/>
                <w:color w:val="FF0000"/>
                <w:kern w:val="0"/>
                <w:szCs w:val="21"/>
              </w:rPr>
              <w:t>-8</w:t>
            </w:r>
          </w:p>
        </w:tc>
        <w:tc>
          <w:tcPr>
            <w:tcW w:w="646" w:type="pct"/>
            <w:tcBorders>
              <w:bottom w:val="single" w:sz="12" w:space="0" w:color="auto"/>
            </w:tcBorders>
            <w:vAlign w:val="center"/>
          </w:tcPr>
          <w:p w:rsidR="00347ED3" w:rsidRPr="00F9522B" w:rsidRDefault="00347ED3" w:rsidP="00772BB1">
            <w:pPr>
              <w:jc w:val="center"/>
              <w:rPr>
                <w:rFonts w:eastAsiaTheme="minorEastAsia"/>
                <w:color w:val="FF0000"/>
                <w:kern w:val="0"/>
                <w:szCs w:val="21"/>
              </w:rPr>
            </w:pPr>
            <w:r w:rsidRPr="00F9522B">
              <w:rPr>
                <w:rFonts w:eastAsiaTheme="minorEastAsia"/>
                <w:color w:val="FF0000"/>
                <w:kern w:val="0"/>
                <w:szCs w:val="21"/>
              </w:rPr>
              <w:t>-15</w:t>
            </w:r>
          </w:p>
        </w:tc>
        <w:tc>
          <w:tcPr>
            <w:tcW w:w="1493" w:type="pct"/>
            <w:tcBorders>
              <w:bottom w:val="single" w:sz="12" w:space="0" w:color="auto"/>
            </w:tcBorders>
            <w:vAlign w:val="center"/>
          </w:tcPr>
          <w:p w:rsidR="00347ED3" w:rsidRPr="00F9522B" w:rsidRDefault="00347ED3" w:rsidP="00772BB1">
            <w:pPr>
              <w:jc w:val="center"/>
              <w:rPr>
                <w:rFonts w:eastAsiaTheme="minorEastAsia"/>
                <w:color w:val="FF0000"/>
                <w:kern w:val="0"/>
                <w:szCs w:val="21"/>
              </w:rPr>
            </w:pPr>
            <w:r w:rsidRPr="00F9522B">
              <w:rPr>
                <w:rFonts w:eastAsiaTheme="minorEastAsia"/>
                <w:color w:val="FF0000"/>
                <w:kern w:val="0"/>
                <w:szCs w:val="21"/>
              </w:rPr>
              <w:t xml:space="preserve">-10.4 </w:t>
            </w:r>
          </w:p>
        </w:tc>
        <w:tc>
          <w:tcPr>
            <w:tcW w:w="1182" w:type="pct"/>
            <w:tcBorders>
              <w:bottom w:val="single" w:sz="12" w:space="0" w:color="auto"/>
              <w:right w:val="nil"/>
            </w:tcBorders>
            <w:vAlign w:val="center"/>
          </w:tcPr>
          <w:p w:rsidR="00347ED3" w:rsidRPr="00F9522B" w:rsidRDefault="00347ED3" w:rsidP="00772BB1">
            <w:pPr>
              <w:jc w:val="center"/>
              <w:rPr>
                <w:rFonts w:eastAsiaTheme="minorEastAsia"/>
                <w:color w:val="FF0000"/>
                <w:kern w:val="0"/>
                <w:szCs w:val="21"/>
              </w:rPr>
            </w:pPr>
            <w:r w:rsidRPr="00F9522B">
              <w:rPr>
                <w:rFonts w:eastAsiaTheme="minorEastAsia"/>
                <w:color w:val="FF0000"/>
                <w:kern w:val="0"/>
                <w:szCs w:val="21"/>
              </w:rPr>
              <w:t xml:space="preserve">-4.6 </w:t>
            </w:r>
          </w:p>
        </w:tc>
      </w:tr>
    </w:tbl>
    <w:p w:rsidR="002A5A5E" w:rsidRPr="00F9522B" w:rsidRDefault="00611CBA">
      <w:pPr>
        <w:pStyle w:val="aff4"/>
        <w:rPr>
          <w:rFonts w:ascii="Times New Roman" w:hAnsi="Times New Roman" w:cs="Times New Roman"/>
          <w:bCs/>
          <w:snapToGrid w:val="0"/>
        </w:rPr>
      </w:pPr>
      <w:r w:rsidRPr="00F9522B">
        <w:rPr>
          <w:rFonts w:ascii="Times New Roman" w:hAnsi="Times New Roman" w:cs="Times New Roman"/>
          <w:bCs/>
          <w:snapToGrid w:val="0"/>
        </w:rPr>
        <w:t>参考《黑龙江省五常市龙凤山灌区</w:t>
      </w:r>
      <w:r w:rsidRPr="00F9522B">
        <w:rPr>
          <w:rFonts w:ascii="Times New Roman" w:hAnsi="Times New Roman" w:cs="Times New Roman"/>
          <w:bCs/>
          <w:snapToGrid w:val="0"/>
        </w:rPr>
        <w:t>“</w:t>
      </w:r>
      <w:r w:rsidRPr="00F9522B">
        <w:rPr>
          <w:rFonts w:ascii="Times New Roman" w:hAnsi="Times New Roman" w:cs="Times New Roman"/>
          <w:bCs/>
          <w:snapToGrid w:val="0"/>
        </w:rPr>
        <w:t>十四五</w:t>
      </w:r>
      <w:r w:rsidRPr="00F9522B">
        <w:rPr>
          <w:rFonts w:ascii="Times New Roman" w:hAnsi="Times New Roman" w:cs="Times New Roman"/>
          <w:bCs/>
          <w:snapToGrid w:val="0"/>
        </w:rPr>
        <w:t>”</w:t>
      </w:r>
      <w:r w:rsidRPr="00F9522B">
        <w:rPr>
          <w:rFonts w:ascii="Times New Roman" w:hAnsi="Times New Roman" w:cs="Times New Roman"/>
          <w:bCs/>
          <w:snapToGrid w:val="0"/>
        </w:rPr>
        <w:t>续建配套与现代化改造项目（</w:t>
      </w:r>
      <w:r w:rsidRPr="00F9522B">
        <w:rPr>
          <w:rFonts w:ascii="Times New Roman" w:hAnsi="Times New Roman" w:cs="Times New Roman"/>
          <w:bCs/>
          <w:snapToGrid w:val="0"/>
        </w:rPr>
        <w:t>2022-2025</w:t>
      </w:r>
      <w:r w:rsidRPr="00F9522B">
        <w:rPr>
          <w:rFonts w:ascii="Times New Roman" w:hAnsi="Times New Roman" w:cs="Times New Roman"/>
          <w:bCs/>
          <w:snapToGrid w:val="0"/>
        </w:rPr>
        <w:t>年度）环境影响报告书》中于</w:t>
      </w:r>
      <w:r w:rsidRPr="00F9522B">
        <w:rPr>
          <w:rFonts w:ascii="Times New Roman" w:hAnsi="Times New Roman" w:cs="Times New Roman"/>
          <w:bCs/>
          <w:snapToGrid w:val="0"/>
        </w:rPr>
        <w:t>2024</w:t>
      </w:r>
      <w:r w:rsidRPr="00F9522B">
        <w:rPr>
          <w:rFonts w:ascii="Times New Roman" w:hAnsi="Times New Roman" w:cs="Times New Roman"/>
          <w:bCs/>
          <w:snapToGrid w:val="0"/>
        </w:rPr>
        <w:t>年对</w:t>
      </w:r>
      <w:r w:rsidR="00D6722A" w:rsidRPr="00F9522B">
        <w:rPr>
          <w:rFonts w:ascii="Times New Roman" w:hAnsi="Times New Roman" w:cs="Times New Roman"/>
          <w:bCs/>
          <w:snapToGrid w:val="0"/>
        </w:rPr>
        <w:t>该</w:t>
      </w:r>
      <w:r w:rsidRPr="00F9522B">
        <w:rPr>
          <w:rFonts w:ascii="Times New Roman" w:hAnsi="Times New Roman" w:cs="Times New Roman"/>
          <w:bCs/>
          <w:snapToGrid w:val="0"/>
        </w:rPr>
        <w:t>项目退水期间的水质监测资料，</w:t>
      </w:r>
      <w:r w:rsidRPr="00F9522B">
        <w:rPr>
          <w:rFonts w:ascii="Times New Roman" w:hAnsi="Times New Roman" w:cs="Times New Roman"/>
          <w:bCs/>
          <w:snapToGrid w:val="0"/>
        </w:rPr>
        <w:t>COD</w:t>
      </w:r>
      <w:r w:rsidRPr="00F9522B">
        <w:rPr>
          <w:rFonts w:ascii="Times New Roman" w:hAnsi="Times New Roman" w:cs="Times New Roman"/>
          <w:bCs/>
          <w:snapToGrid w:val="0"/>
        </w:rPr>
        <w:t>和氨氮排水浓度分别为</w:t>
      </w:r>
      <w:r w:rsidRPr="00F9522B">
        <w:rPr>
          <w:rFonts w:ascii="Times New Roman" w:hAnsi="Times New Roman" w:cs="Times New Roman"/>
          <w:bCs/>
          <w:snapToGrid w:val="0"/>
        </w:rPr>
        <w:t>52.7mg/L</w:t>
      </w:r>
      <w:r w:rsidRPr="00F9522B">
        <w:rPr>
          <w:rFonts w:ascii="Times New Roman" w:hAnsi="Times New Roman" w:cs="Times New Roman"/>
          <w:bCs/>
          <w:snapToGrid w:val="0"/>
        </w:rPr>
        <w:t>和</w:t>
      </w:r>
      <w:r w:rsidRPr="00F9522B">
        <w:rPr>
          <w:rFonts w:ascii="Times New Roman" w:hAnsi="Times New Roman" w:cs="Times New Roman"/>
          <w:bCs/>
          <w:snapToGrid w:val="0"/>
        </w:rPr>
        <w:t>1.26mg/L</w:t>
      </w:r>
      <w:r w:rsidRPr="00F9522B">
        <w:rPr>
          <w:rFonts w:ascii="Times New Roman" w:hAnsi="Times New Roman" w:cs="Times New Roman"/>
          <w:bCs/>
          <w:snapToGrid w:val="0"/>
        </w:rPr>
        <w:t>。参考哈尔滨市呼兰生态环境局于</w:t>
      </w:r>
      <w:r w:rsidRPr="00F9522B">
        <w:rPr>
          <w:rFonts w:ascii="Times New Roman" w:hAnsi="Times New Roman" w:cs="Times New Roman"/>
          <w:bCs/>
          <w:snapToGrid w:val="0"/>
        </w:rPr>
        <w:t>2025</w:t>
      </w:r>
      <w:r w:rsidRPr="00F9522B">
        <w:rPr>
          <w:rFonts w:ascii="Times New Roman" w:hAnsi="Times New Roman" w:cs="Times New Roman"/>
          <w:bCs/>
          <w:snapToGrid w:val="0"/>
        </w:rPr>
        <w:t>年</w:t>
      </w:r>
      <w:r w:rsidRPr="00F9522B">
        <w:rPr>
          <w:rFonts w:ascii="Times New Roman" w:hAnsi="Times New Roman" w:cs="Times New Roman"/>
          <w:bCs/>
          <w:snapToGrid w:val="0"/>
        </w:rPr>
        <w:t>7</w:t>
      </w:r>
      <w:r w:rsidRPr="00F9522B">
        <w:rPr>
          <w:rFonts w:ascii="Times New Roman" w:hAnsi="Times New Roman" w:cs="Times New Roman"/>
          <w:bCs/>
          <w:snapToGrid w:val="0"/>
        </w:rPr>
        <w:t>月对项目区域孟家乡六排干河口内退水期间的水质监测资料，总磷排水浓度为</w:t>
      </w:r>
      <w:r w:rsidRPr="00F9522B">
        <w:rPr>
          <w:rFonts w:ascii="Times New Roman" w:hAnsi="Times New Roman" w:cs="Times New Roman"/>
          <w:bCs/>
          <w:snapToGrid w:val="0"/>
        </w:rPr>
        <w:t>1.84mg/L</w:t>
      </w:r>
      <w:r w:rsidR="00CA6EC1" w:rsidRPr="00F9522B">
        <w:rPr>
          <w:rFonts w:ascii="Times New Roman" w:hAnsi="Times New Roman" w:cs="Times New Roman"/>
          <w:bCs/>
          <w:snapToGrid w:val="0"/>
        </w:rPr>
        <w:t>，</w:t>
      </w:r>
      <w:r w:rsidR="00CA6EC1" w:rsidRPr="00F9522B">
        <w:rPr>
          <w:rFonts w:ascii="Times New Roman" w:hAnsi="Times New Roman" w:cs="Times New Roman"/>
          <w:bCs/>
          <w:snapToGrid w:val="0"/>
          <w:color w:val="FF0000"/>
        </w:rPr>
        <w:t>总氮排水浓度为</w:t>
      </w:r>
      <w:r w:rsidR="001617CC" w:rsidRPr="00F9522B">
        <w:rPr>
          <w:rFonts w:ascii="Times New Roman" w:hAnsi="Times New Roman" w:cs="Times New Roman"/>
          <w:bCs/>
          <w:snapToGrid w:val="0"/>
          <w:color w:val="FF0000"/>
        </w:rPr>
        <w:t>4.2</w:t>
      </w:r>
      <w:r w:rsidR="00CA6EC1" w:rsidRPr="00F9522B">
        <w:rPr>
          <w:rFonts w:ascii="Times New Roman" w:hAnsi="Times New Roman" w:cs="Times New Roman"/>
          <w:bCs/>
          <w:snapToGrid w:val="0"/>
          <w:color w:val="FF0000"/>
        </w:rPr>
        <w:t>mg/L</w:t>
      </w:r>
      <w:r w:rsidRPr="00F9522B">
        <w:rPr>
          <w:rFonts w:ascii="Times New Roman" w:hAnsi="Times New Roman" w:cs="Times New Roman"/>
          <w:bCs/>
          <w:snapToGrid w:val="0"/>
        </w:rPr>
        <w:t>。计算本项目</w:t>
      </w:r>
      <w:r w:rsidRPr="00F9522B">
        <w:rPr>
          <w:rFonts w:ascii="Times New Roman" w:hAnsi="Times New Roman" w:cs="Times New Roman"/>
          <w:szCs w:val="21"/>
        </w:rPr>
        <w:t>主要污染物入河量变化情况。</w:t>
      </w:r>
    </w:p>
    <w:p w:rsidR="002A5A5E" w:rsidRPr="00F9522B" w:rsidRDefault="00611CBA">
      <w:pPr>
        <w:contextualSpacing/>
        <w:jc w:val="center"/>
        <w:rPr>
          <w:rFonts w:eastAsiaTheme="minorEastAsia"/>
          <w:b/>
          <w:szCs w:val="21"/>
        </w:rPr>
      </w:pPr>
      <w:r w:rsidRPr="00F9522B">
        <w:rPr>
          <w:rFonts w:eastAsiaTheme="minorEastAsia"/>
          <w:b/>
          <w:szCs w:val="21"/>
        </w:rPr>
        <w:t>表</w:t>
      </w:r>
      <w:r w:rsidRPr="00F9522B">
        <w:rPr>
          <w:rFonts w:eastAsiaTheme="minorEastAsia"/>
          <w:b/>
          <w:szCs w:val="21"/>
        </w:rPr>
        <w:t>3-3-5</w:t>
      </w:r>
      <w:r w:rsidRPr="00F9522B">
        <w:rPr>
          <w:rFonts w:eastAsiaTheme="minorEastAsia"/>
          <w:b/>
          <w:szCs w:val="21"/>
        </w:rPr>
        <w:t>不同河流主要污染物入河量变化情况</w:t>
      </w:r>
      <w:r w:rsidRPr="00F9522B">
        <w:rPr>
          <w:rFonts w:eastAsiaTheme="minorEastAsia"/>
          <w:b/>
          <w:szCs w:val="21"/>
        </w:rPr>
        <w:t xml:space="preserve">    </w:t>
      </w:r>
      <w:r w:rsidRPr="00F9522B">
        <w:rPr>
          <w:rFonts w:eastAsiaTheme="minorEastAsia"/>
          <w:b/>
          <w:szCs w:val="21"/>
        </w:rPr>
        <w:t>单位：</w:t>
      </w:r>
      <w:r w:rsidRPr="00F9522B">
        <w:rPr>
          <w:rFonts w:eastAsiaTheme="minorEastAsia"/>
          <w:b/>
          <w:szCs w:val="21"/>
        </w:rPr>
        <w:t>t/a</w:t>
      </w:r>
    </w:p>
    <w:tbl>
      <w:tblPr>
        <w:tblW w:w="5000" w:type="pct"/>
        <w:jc w:val="center"/>
        <w:tblLook w:val="04A0"/>
      </w:tblPr>
      <w:tblGrid>
        <w:gridCol w:w="906"/>
        <w:gridCol w:w="691"/>
        <w:gridCol w:w="561"/>
        <w:gridCol w:w="605"/>
        <w:gridCol w:w="605"/>
        <w:gridCol w:w="691"/>
        <w:gridCol w:w="605"/>
        <w:gridCol w:w="605"/>
        <w:gridCol w:w="605"/>
        <w:gridCol w:w="662"/>
        <w:gridCol w:w="662"/>
        <w:gridCol w:w="662"/>
        <w:gridCol w:w="662"/>
      </w:tblGrid>
      <w:tr w:rsidR="004C526E" w:rsidRPr="00F9522B" w:rsidTr="001617CC">
        <w:trPr>
          <w:trHeight w:val="280"/>
          <w:tblHeader/>
          <w:jc w:val="center"/>
        </w:trPr>
        <w:tc>
          <w:tcPr>
            <w:tcW w:w="552" w:type="pct"/>
            <w:vMerge w:val="restart"/>
            <w:tcBorders>
              <w:top w:val="single" w:sz="12" w:space="0" w:color="auto"/>
              <w:left w:val="nil"/>
              <w:bottom w:val="single" w:sz="4" w:space="0" w:color="auto"/>
              <w:right w:val="single" w:sz="4" w:space="0" w:color="auto"/>
            </w:tcBorders>
            <w:noWrap/>
            <w:vAlign w:val="center"/>
          </w:tcPr>
          <w:p w:rsidR="004C526E" w:rsidRPr="00F9522B" w:rsidRDefault="004C526E" w:rsidP="004C526E">
            <w:pPr>
              <w:jc w:val="center"/>
              <w:rPr>
                <w:rFonts w:eastAsiaTheme="minorEastAsia"/>
                <w:kern w:val="0"/>
                <w:szCs w:val="21"/>
              </w:rPr>
            </w:pPr>
            <w:r w:rsidRPr="00F9522B">
              <w:rPr>
                <w:rFonts w:eastAsiaTheme="minorEastAsia"/>
                <w:kern w:val="0"/>
                <w:szCs w:val="21"/>
              </w:rPr>
              <w:t>排入河流</w:t>
            </w:r>
          </w:p>
        </w:tc>
        <w:tc>
          <w:tcPr>
            <w:tcW w:w="1491" w:type="pct"/>
            <w:gridSpan w:val="4"/>
            <w:tcBorders>
              <w:top w:val="single" w:sz="12" w:space="0" w:color="auto"/>
              <w:left w:val="single" w:sz="4" w:space="0" w:color="auto"/>
              <w:bottom w:val="single" w:sz="4" w:space="0" w:color="auto"/>
              <w:right w:val="single" w:sz="4" w:space="0" w:color="auto"/>
            </w:tcBorders>
            <w:noWrap/>
            <w:vAlign w:val="center"/>
          </w:tcPr>
          <w:p w:rsidR="004C526E" w:rsidRPr="00F9522B" w:rsidRDefault="004C526E" w:rsidP="004C526E">
            <w:pPr>
              <w:jc w:val="center"/>
              <w:rPr>
                <w:rFonts w:eastAsiaTheme="minorEastAsia"/>
                <w:kern w:val="0"/>
                <w:szCs w:val="21"/>
              </w:rPr>
            </w:pPr>
            <w:r w:rsidRPr="00F9522B">
              <w:rPr>
                <w:rFonts w:eastAsiaTheme="minorEastAsia"/>
                <w:kern w:val="0"/>
                <w:szCs w:val="21"/>
              </w:rPr>
              <w:t>建成前</w:t>
            </w:r>
          </w:p>
        </w:tc>
        <w:tc>
          <w:tcPr>
            <w:tcW w:w="1518" w:type="pct"/>
            <w:gridSpan w:val="4"/>
            <w:tcBorders>
              <w:top w:val="single" w:sz="12" w:space="0" w:color="auto"/>
              <w:left w:val="single" w:sz="4" w:space="0" w:color="auto"/>
              <w:bottom w:val="single" w:sz="4" w:space="0" w:color="auto"/>
              <w:right w:val="single" w:sz="4" w:space="0" w:color="auto"/>
            </w:tcBorders>
            <w:noWrap/>
            <w:vAlign w:val="center"/>
          </w:tcPr>
          <w:p w:rsidR="004C526E" w:rsidRPr="00F9522B" w:rsidRDefault="004C526E" w:rsidP="004C526E">
            <w:pPr>
              <w:jc w:val="center"/>
              <w:rPr>
                <w:rFonts w:eastAsiaTheme="minorEastAsia"/>
                <w:kern w:val="0"/>
                <w:szCs w:val="21"/>
              </w:rPr>
            </w:pPr>
            <w:r w:rsidRPr="00F9522B">
              <w:rPr>
                <w:rFonts w:eastAsiaTheme="minorEastAsia"/>
                <w:kern w:val="0"/>
                <w:szCs w:val="21"/>
              </w:rPr>
              <w:t>建成后</w:t>
            </w:r>
          </w:p>
        </w:tc>
        <w:tc>
          <w:tcPr>
            <w:tcW w:w="1439" w:type="pct"/>
            <w:gridSpan w:val="4"/>
            <w:tcBorders>
              <w:top w:val="single" w:sz="12" w:space="0" w:color="auto"/>
              <w:left w:val="single" w:sz="4" w:space="0" w:color="auto"/>
              <w:bottom w:val="single" w:sz="4" w:space="0" w:color="auto"/>
              <w:right w:val="nil"/>
            </w:tcBorders>
            <w:noWrap/>
            <w:vAlign w:val="center"/>
          </w:tcPr>
          <w:p w:rsidR="004C526E" w:rsidRPr="00F9522B" w:rsidRDefault="004C526E" w:rsidP="004C526E">
            <w:pPr>
              <w:jc w:val="center"/>
              <w:rPr>
                <w:rFonts w:eastAsiaTheme="minorEastAsia"/>
                <w:kern w:val="0"/>
                <w:szCs w:val="21"/>
              </w:rPr>
            </w:pPr>
            <w:r w:rsidRPr="00F9522B">
              <w:rPr>
                <w:rFonts w:eastAsiaTheme="minorEastAsia"/>
                <w:kern w:val="0"/>
                <w:szCs w:val="21"/>
              </w:rPr>
              <w:t>变化情况</w:t>
            </w:r>
          </w:p>
        </w:tc>
      </w:tr>
      <w:tr w:rsidR="004C526E" w:rsidRPr="00F9522B" w:rsidTr="001617CC">
        <w:trPr>
          <w:trHeight w:val="280"/>
          <w:tblHeader/>
          <w:jc w:val="center"/>
        </w:trPr>
        <w:tc>
          <w:tcPr>
            <w:tcW w:w="552" w:type="pct"/>
            <w:vMerge/>
            <w:tcBorders>
              <w:top w:val="single" w:sz="4" w:space="0" w:color="auto"/>
              <w:left w:val="nil"/>
              <w:bottom w:val="single" w:sz="4" w:space="0" w:color="auto"/>
              <w:right w:val="single" w:sz="4" w:space="0" w:color="auto"/>
            </w:tcBorders>
            <w:vAlign w:val="center"/>
          </w:tcPr>
          <w:p w:rsidR="004C526E" w:rsidRPr="00F9522B" w:rsidRDefault="004C526E" w:rsidP="004C526E">
            <w:pPr>
              <w:jc w:val="center"/>
              <w:rPr>
                <w:rFonts w:eastAsiaTheme="minorEastAsia"/>
                <w:kern w:val="0"/>
                <w:szCs w:val="21"/>
              </w:rPr>
            </w:pPr>
          </w:p>
        </w:tc>
        <w:tc>
          <w:tcPr>
            <w:tcW w:w="420" w:type="pct"/>
            <w:tcBorders>
              <w:top w:val="single" w:sz="4" w:space="0" w:color="auto"/>
              <w:left w:val="single" w:sz="4" w:space="0" w:color="auto"/>
              <w:bottom w:val="single" w:sz="4" w:space="0" w:color="auto"/>
              <w:right w:val="single" w:sz="4" w:space="0" w:color="auto"/>
            </w:tcBorders>
            <w:noWrap/>
            <w:vAlign w:val="center"/>
          </w:tcPr>
          <w:p w:rsidR="004C526E" w:rsidRPr="00F9522B" w:rsidRDefault="004C526E" w:rsidP="004C526E">
            <w:pPr>
              <w:jc w:val="center"/>
              <w:rPr>
                <w:rFonts w:eastAsiaTheme="minorEastAsia"/>
                <w:kern w:val="0"/>
                <w:szCs w:val="21"/>
              </w:rPr>
            </w:pPr>
            <w:r w:rsidRPr="00F9522B">
              <w:rPr>
                <w:rFonts w:eastAsiaTheme="minorEastAsia"/>
                <w:kern w:val="0"/>
                <w:szCs w:val="21"/>
              </w:rPr>
              <w:t>COD</w:t>
            </w:r>
          </w:p>
        </w:tc>
        <w:tc>
          <w:tcPr>
            <w:tcW w:w="340" w:type="pct"/>
            <w:tcBorders>
              <w:top w:val="single" w:sz="4" w:space="0" w:color="auto"/>
              <w:left w:val="single" w:sz="4" w:space="0" w:color="auto"/>
              <w:bottom w:val="single" w:sz="4" w:space="0" w:color="auto"/>
              <w:right w:val="single" w:sz="4" w:space="0" w:color="auto"/>
            </w:tcBorders>
            <w:noWrap/>
            <w:vAlign w:val="center"/>
          </w:tcPr>
          <w:p w:rsidR="004C526E" w:rsidRPr="00F9522B" w:rsidRDefault="004C526E" w:rsidP="004C526E">
            <w:pPr>
              <w:jc w:val="center"/>
              <w:rPr>
                <w:rFonts w:eastAsiaTheme="minorEastAsia"/>
                <w:kern w:val="0"/>
                <w:szCs w:val="21"/>
              </w:rPr>
            </w:pPr>
            <w:r w:rsidRPr="00F9522B">
              <w:rPr>
                <w:rFonts w:eastAsiaTheme="minorEastAsia"/>
                <w:kern w:val="0"/>
                <w:szCs w:val="21"/>
              </w:rPr>
              <w:t>氨氮</w:t>
            </w:r>
          </w:p>
        </w:tc>
        <w:tc>
          <w:tcPr>
            <w:tcW w:w="366" w:type="pct"/>
            <w:tcBorders>
              <w:top w:val="single" w:sz="4" w:space="0" w:color="auto"/>
              <w:left w:val="single" w:sz="4" w:space="0" w:color="auto"/>
              <w:bottom w:val="single" w:sz="4" w:space="0" w:color="auto"/>
              <w:right w:val="single" w:sz="4" w:space="0" w:color="auto"/>
            </w:tcBorders>
            <w:vAlign w:val="center"/>
          </w:tcPr>
          <w:p w:rsidR="004C526E" w:rsidRPr="00F9522B" w:rsidRDefault="004C526E" w:rsidP="004C526E">
            <w:pPr>
              <w:jc w:val="center"/>
              <w:rPr>
                <w:rFonts w:eastAsiaTheme="minorEastAsia"/>
                <w:kern w:val="0"/>
                <w:szCs w:val="21"/>
              </w:rPr>
            </w:pPr>
            <w:r w:rsidRPr="00F9522B">
              <w:rPr>
                <w:rFonts w:eastAsiaTheme="minorEastAsia"/>
                <w:kern w:val="0"/>
                <w:szCs w:val="21"/>
              </w:rPr>
              <w:t>总磷</w:t>
            </w:r>
          </w:p>
        </w:tc>
        <w:tc>
          <w:tcPr>
            <w:tcW w:w="366" w:type="pct"/>
            <w:tcBorders>
              <w:top w:val="single" w:sz="4" w:space="0" w:color="auto"/>
              <w:left w:val="single" w:sz="4" w:space="0" w:color="auto"/>
              <w:bottom w:val="single" w:sz="4" w:space="0" w:color="auto"/>
              <w:right w:val="single" w:sz="4" w:space="0" w:color="auto"/>
            </w:tcBorders>
            <w:vAlign w:val="center"/>
          </w:tcPr>
          <w:p w:rsidR="004C526E" w:rsidRPr="00F9522B" w:rsidRDefault="004C526E" w:rsidP="004C526E">
            <w:pPr>
              <w:jc w:val="center"/>
              <w:rPr>
                <w:rFonts w:eastAsiaTheme="minorEastAsia"/>
                <w:color w:val="FF0000"/>
                <w:kern w:val="0"/>
                <w:szCs w:val="21"/>
              </w:rPr>
            </w:pPr>
            <w:r w:rsidRPr="00F9522B">
              <w:rPr>
                <w:rFonts w:eastAsiaTheme="minorEastAsia"/>
                <w:color w:val="FF0000"/>
                <w:kern w:val="0"/>
                <w:szCs w:val="21"/>
              </w:rPr>
              <w:t>总氮</w:t>
            </w:r>
          </w:p>
        </w:tc>
        <w:tc>
          <w:tcPr>
            <w:tcW w:w="420" w:type="pct"/>
            <w:tcBorders>
              <w:top w:val="single" w:sz="4" w:space="0" w:color="auto"/>
              <w:left w:val="single" w:sz="4" w:space="0" w:color="auto"/>
              <w:bottom w:val="single" w:sz="4" w:space="0" w:color="auto"/>
              <w:right w:val="single" w:sz="4" w:space="0" w:color="auto"/>
            </w:tcBorders>
            <w:noWrap/>
            <w:vAlign w:val="center"/>
          </w:tcPr>
          <w:p w:rsidR="004C526E" w:rsidRPr="00F9522B" w:rsidRDefault="004C526E" w:rsidP="004C526E">
            <w:pPr>
              <w:jc w:val="center"/>
              <w:rPr>
                <w:rFonts w:eastAsiaTheme="minorEastAsia"/>
                <w:kern w:val="0"/>
                <w:szCs w:val="21"/>
              </w:rPr>
            </w:pPr>
            <w:r w:rsidRPr="00F9522B">
              <w:rPr>
                <w:rFonts w:eastAsiaTheme="minorEastAsia"/>
                <w:kern w:val="0"/>
                <w:szCs w:val="21"/>
              </w:rPr>
              <w:t>COD</w:t>
            </w:r>
          </w:p>
        </w:tc>
        <w:tc>
          <w:tcPr>
            <w:tcW w:w="366" w:type="pct"/>
            <w:tcBorders>
              <w:top w:val="single" w:sz="4" w:space="0" w:color="auto"/>
              <w:left w:val="single" w:sz="4" w:space="0" w:color="auto"/>
              <w:bottom w:val="single" w:sz="4" w:space="0" w:color="auto"/>
              <w:right w:val="single" w:sz="4" w:space="0" w:color="auto"/>
            </w:tcBorders>
            <w:noWrap/>
            <w:vAlign w:val="center"/>
          </w:tcPr>
          <w:p w:rsidR="004C526E" w:rsidRPr="00F9522B" w:rsidRDefault="004C526E" w:rsidP="004C526E">
            <w:pPr>
              <w:jc w:val="center"/>
              <w:rPr>
                <w:rFonts w:eastAsiaTheme="minorEastAsia"/>
                <w:kern w:val="0"/>
                <w:szCs w:val="21"/>
              </w:rPr>
            </w:pPr>
            <w:r w:rsidRPr="00F9522B">
              <w:rPr>
                <w:rFonts w:eastAsiaTheme="minorEastAsia"/>
                <w:kern w:val="0"/>
                <w:szCs w:val="21"/>
              </w:rPr>
              <w:t>氨氮</w:t>
            </w:r>
          </w:p>
        </w:tc>
        <w:tc>
          <w:tcPr>
            <w:tcW w:w="366" w:type="pct"/>
            <w:tcBorders>
              <w:top w:val="single" w:sz="4" w:space="0" w:color="auto"/>
              <w:left w:val="single" w:sz="4" w:space="0" w:color="auto"/>
              <w:bottom w:val="single" w:sz="4" w:space="0" w:color="auto"/>
              <w:right w:val="single" w:sz="4" w:space="0" w:color="auto"/>
            </w:tcBorders>
            <w:vAlign w:val="center"/>
          </w:tcPr>
          <w:p w:rsidR="004C526E" w:rsidRPr="00F9522B" w:rsidRDefault="004C526E" w:rsidP="004C526E">
            <w:pPr>
              <w:jc w:val="center"/>
              <w:rPr>
                <w:rFonts w:eastAsiaTheme="minorEastAsia"/>
                <w:kern w:val="0"/>
                <w:szCs w:val="21"/>
              </w:rPr>
            </w:pPr>
            <w:r w:rsidRPr="00F9522B">
              <w:rPr>
                <w:rFonts w:eastAsiaTheme="minorEastAsia"/>
                <w:kern w:val="0"/>
                <w:szCs w:val="21"/>
              </w:rPr>
              <w:t>总磷</w:t>
            </w:r>
          </w:p>
        </w:tc>
        <w:tc>
          <w:tcPr>
            <w:tcW w:w="366" w:type="pct"/>
            <w:tcBorders>
              <w:top w:val="single" w:sz="4" w:space="0" w:color="auto"/>
              <w:left w:val="single" w:sz="4" w:space="0" w:color="auto"/>
              <w:bottom w:val="single" w:sz="4" w:space="0" w:color="auto"/>
              <w:right w:val="single" w:sz="4" w:space="0" w:color="auto"/>
            </w:tcBorders>
            <w:vAlign w:val="center"/>
          </w:tcPr>
          <w:p w:rsidR="004C526E" w:rsidRPr="00F9522B" w:rsidRDefault="004C526E" w:rsidP="004C526E">
            <w:pPr>
              <w:jc w:val="center"/>
              <w:rPr>
                <w:rFonts w:eastAsiaTheme="minorEastAsia"/>
                <w:color w:val="FF0000"/>
                <w:kern w:val="0"/>
                <w:szCs w:val="21"/>
              </w:rPr>
            </w:pPr>
            <w:r w:rsidRPr="00F9522B">
              <w:rPr>
                <w:rFonts w:eastAsiaTheme="minorEastAsia"/>
                <w:color w:val="FF0000"/>
                <w:kern w:val="0"/>
                <w:szCs w:val="21"/>
              </w:rPr>
              <w:t>总氮</w:t>
            </w:r>
          </w:p>
        </w:tc>
        <w:tc>
          <w:tcPr>
            <w:tcW w:w="402" w:type="pct"/>
            <w:tcBorders>
              <w:top w:val="single" w:sz="4" w:space="0" w:color="auto"/>
              <w:left w:val="single" w:sz="4" w:space="0" w:color="auto"/>
              <w:bottom w:val="single" w:sz="4" w:space="0" w:color="auto"/>
              <w:right w:val="single" w:sz="4" w:space="0" w:color="auto"/>
            </w:tcBorders>
            <w:noWrap/>
            <w:vAlign w:val="center"/>
          </w:tcPr>
          <w:p w:rsidR="004C526E" w:rsidRPr="00F9522B" w:rsidRDefault="004C526E" w:rsidP="004C526E">
            <w:pPr>
              <w:jc w:val="center"/>
              <w:rPr>
                <w:rFonts w:eastAsiaTheme="minorEastAsia"/>
                <w:kern w:val="0"/>
                <w:szCs w:val="21"/>
              </w:rPr>
            </w:pPr>
            <w:r w:rsidRPr="00F9522B">
              <w:rPr>
                <w:rFonts w:eastAsiaTheme="minorEastAsia"/>
                <w:kern w:val="0"/>
                <w:szCs w:val="21"/>
              </w:rPr>
              <w:t>COD</w:t>
            </w:r>
          </w:p>
        </w:tc>
        <w:tc>
          <w:tcPr>
            <w:tcW w:w="402" w:type="pct"/>
            <w:tcBorders>
              <w:top w:val="single" w:sz="4" w:space="0" w:color="auto"/>
              <w:left w:val="single" w:sz="4" w:space="0" w:color="auto"/>
              <w:bottom w:val="single" w:sz="4" w:space="0" w:color="auto"/>
              <w:right w:val="nil"/>
            </w:tcBorders>
            <w:noWrap/>
            <w:vAlign w:val="center"/>
          </w:tcPr>
          <w:p w:rsidR="004C526E" w:rsidRPr="00F9522B" w:rsidRDefault="004C526E" w:rsidP="004C526E">
            <w:pPr>
              <w:jc w:val="center"/>
              <w:rPr>
                <w:rFonts w:eastAsiaTheme="minorEastAsia"/>
                <w:kern w:val="0"/>
                <w:szCs w:val="21"/>
              </w:rPr>
            </w:pPr>
            <w:r w:rsidRPr="00F9522B">
              <w:rPr>
                <w:rFonts w:eastAsiaTheme="minorEastAsia"/>
                <w:kern w:val="0"/>
                <w:szCs w:val="21"/>
              </w:rPr>
              <w:t>氨氮</w:t>
            </w:r>
          </w:p>
        </w:tc>
        <w:tc>
          <w:tcPr>
            <w:tcW w:w="402" w:type="pct"/>
            <w:tcBorders>
              <w:top w:val="single" w:sz="4" w:space="0" w:color="auto"/>
              <w:left w:val="single" w:sz="4" w:space="0" w:color="auto"/>
              <w:bottom w:val="single" w:sz="4" w:space="0" w:color="auto"/>
              <w:right w:val="nil"/>
            </w:tcBorders>
            <w:vAlign w:val="center"/>
          </w:tcPr>
          <w:p w:rsidR="004C526E" w:rsidRPr="00F9522B" w:rsidRDefault="004C526E" w:rsidP="004C526E">
            <w:pPr>
              <w:jc w:val="center"/>
              <w:rPr>
                <w:rFonts w:eastAsiaTheme="minorEastAsia"/>
                <w:kern w:val="0"/>
                <w:szCs w:val="21"/>
              </w:rPr>
            </w:pPr>
            <w:r w:rsidRPr="00F9522B">
              <w:rPr>
                <w:rFonts w:eastAsiaTheme="minorEastAsia"/>
                <w:kern w:val="0"/>
                <w:szCs w:val="21"/>
              </w:rPr>
              <w:t>总磷</w:t>
            </w:r>
          </w:p>
        </w:tc>
        <w:tc>
          <w:tcPr>
            <w:tcW w:w="233" w:type="pct"/>
            <w:tcBorders>
              <w:top w:val="single" w:sz="4" w:space="0" w:color="auto"/>
              <w:left w:val="single" w:sz="4" w:space="0" w:color="auto"/>
              <w:bottom w:val="single" w:sz="4" w:space="0" w:color="auto"/>
              <w:right w:val="nil"/>
            </w:tcBorders>
            <w:vAlign w:val="center"/>
          </w:tcPr>
          <w:p w:rsidR="004C526E" w:rsidRPr="00F9522B" w:rsidRDefault="004C526E" w:rsidP="004C526E">
            <w:pPr>
              <w:jc w:val="center"/>
              <w:rPr>
                <w:rFonts w:eastAsiaTheme="minorEastAsia"/>
                <w:color w:val="FF0000"/>
                <w:kern w:val="0"/>
                <w:szCs w:val="21"/>
              </w:rPr>
            </w:pPr>
            <w:r w:rsidRPr="00F9522B">
              <w:rPr>
                <w:rFonts w:eastAsiaTheme="minorEastAsia"/>
                <w:color w:val="FF0000"/>
                <w:kern w:val="0"/>
                <w:szCs w:val="21"/>
              </w:rPr>
              <w:t>总氮</w:t>
            </w:r>
          </w:p>
        </w:tc>
      </w:tr>
      <w:tr w:rsidR="001617CC" w:rsidRPr="00F9522B" w:rsidTr="001617CC">
        <w:trPr>
          <w:trHeight w:val="280"/>
          <w:jc w:val="center"/>
        </w:trPr>
        <w:tc>
          <w:tcPr>
            <w:tcW w:w="552" w:type="pct"/>
            <w:tcBorders>
              <w:top w:val="single" w:sz="4" w:space="0" w:color="auto"/>
              <w:left w:val="nil"/>
              <w:bottom w:val="single" w:sz="4" w:space="0" w:color="auto"/>
              <w:right w:val="single" w:sz="4" w:space="0" w:color="auto"/>
            </w:tcBorders>
            <w:noWrap/>
            <w:vAlign w:val="center"/>
          </w:tcPr>
          <w:p w:rsidR="001617CC" w:rsidRPr="00F9522B" w:rsidRDefault="001617CC" w:rsidP="004C526E">
            <w:pPr>
              <w:jc w:val="center"/>
              <w:rPr>
                <w:rFonts w:eastAsiaTheme="minorEastAsia"/>
                <w:kern w:val="0"/>
                <w:szCs w:val="21"/>
              </w:rPr>
            </w:pPr>
            <w:r w:rsidRPr="00F9522B">
              <w:rPr>
                <w:rFonts w:eastAsiaTheme="minorEastAsia"/>
                <w:szCs w:val="21"/>
              </w:rPr>
              <w:t>松花江</w:t>
            </w:r>
          </w:p>
        </w:tc>
        <w:tc>
          <w:tcPr>
            <w:tcW w:w="420" w:type="pct"/>
            <w:tcBorders>
              <w:top w:val="single" w:sz="4" w:space="0" w:color="auto"/>
              <w:left w:val="single" w:sz="4" w:space="0" w:color="auto"/>
              <w:bottom w:val="single" w:sz="4" w:space="0" w:color="auto"/>
              <w:right w:val="single" w:sz="4" w:space="0" w:color="auto"/>
            </w:tcBorders>
            <w:noWrap/>
            <w:vAlign w:val="center"/>
          </w:tcPr>
          <w:p w:rsidR="001617CC" w:rsidRPr="00F9522B" w:rsidRDefault="001617CC" w:rsidP="004C526E">
            <w:pPr>
              <w:jc w:val="center"/>
              <w:rPr>
                <w:szCs w:val="21"/>
              </w:rPr>
            </w:pPr>
            <w:r w:rsidRPr="00F9522B">
              <w:rPr>
                <w:szCs w:val="21"/>
              </w:rPr>
              <w:t>19.664</w:t>
            </w:r>
          </w:p>
        </w:tc>
        <w:tc>
          <w:tcPr>
            <w:tcW w:w="340" w:type="pct"/>
            <w:tcBorders>
              <w:top w:val="single" w:sz="4" w:space="0" w:color="auto"/>
              <w:left w:val="single" w:sz="4" w:space="0" w:color="auto"/>
              <w:bottom w:val="single" w:sz="4" w:space="0" w:color="auto"/>
              <w:right w:val="single" w:sz="4" w:space="0" w:color="auto"/>
            </w:tcBorders>
            <w:noWrap/>
            <w:vAlign w:val="center"/>
          </w:tcPr>
          <w:p w:rsidR="001617CC" w:rsidRPr="00F9522B" w:rsidRDefault="001617CC" w:rsidP="004C526E">
            <w:pPr>
              <w:jc w:val="center"/>
              <w:rPr>
                <w:szCs w:val="21"/>
              </w:rPr>
            </w:pPr>
            <w:r w:rsidRPr="00F9522B">
              <w:rPr>
                <w:szCs w:val="21"/>
              </w:rPr>
              <w:t>0.47</w:t>
            </w:r>
          </w:p>
        </w:tc>
        <w:tc>
          <w:tcPr>
            <w:tcW w:w="366" w:type="pct"/>
            <w:tcBorders>
              <w:top w:val="single" w:sz="4" w:space="0" w:color="auto"/>
              <w:left w:val="single" w:sz="4" w:space="0" w:color="auto"/>
              <w:bottom w:val="single" w:sz="4" w:space="0" w:color="auto"/>
              <w:right w:val="single" w:sz="4" w:space="0" w:color="auto"/>
            </w:tcBorders>
            <w:vAlign w:val="center"/>
          </w:tcPr>
          <w:p w:rsidR="001617CC" w:rsidRPr="00F9522B" w:rsidRDefault="001617CC" w:rsidP="004C526E">
            <w:pPr>
              <w:jc w:val="center"/>
              <w:rPr>
                <w:szCs w:val="21"/>
              </w:rPr>
            </w:pPr>
            <w:r w:rsidRPr="00F9522B">
              <w:rPr>
                <w:szCs w:val="21"/>
              </w:rPr>
              <w:t>0.687</w:t>
            </w:r>
          </w:p>
        </w:tc>
        <w:tc>
          <w:tcPr>
            <w:tcW w:w="366" w:type="pct"/>
            <w:tcBorders>
              <w:top w:val="single" w:sz="4" w:space="0" w:color="auto"/>
              <w:left w:val="single" w:sz="4" w:space="0" w:color="auto"/>
              <w:bottom w:val="single" w:sz="4" w:space="0" w:color="auto"/>
              <w:right w:val="single" w:sz="4" w:space="0" w:color="auto"/>
            </w:tcBorders>
            <w:vAlign w:val="center"/>
          </w:tcPr>
          <w:p w:rsidR="001617CC" w:rsidRPr="00F9522B" w:rsidRDefault="001617CC">
            <w:pPr>
              <w:jc w:val="center"/>
              <w:rPr>
                <w:color w:val="FF0000"/>
                <w:szCs w:val="21"/>
              </w:rPr>
            </w:pPr>
            <w:r w:rsidRPr="00F9522B">
              <w:rPr>
                <w:color w:val="FF0000"/>
                <w:szCs w:val="21"/>
              </w:rPr>
              <w:t xml:space="preserve">1.567 </w:t>
            </w:r>
          </w:p>
        </w:tc>
        <w:tc>
          <w:tcPr>
            <w:tcW w:w="420" w:type="pct"/>
            <w:tcBorders>
              <w:top w:val="single" w:sz="4" w:space="0" w:color="auto"/>
              <w:left w:val="single" w:sz="4" w:space="0" w:color="auto"/>
              <w:bottom w:val="single" w:sz="4" w:space="0" w:color="auto"/>
              <w:right w:val="single" w:sz="4" w:space="0" w:color="auto"/>
            </w:tcBorders>
            <w:noWrap/>
            <w:vAlign w:val="center"/>
          </w:tcPr>
          <w:p w:rsidR="001617CC" w:rsidRPr="00F9522B" w:rsidRDefault="001617CC" w:rsidP="004C526E">
            <w:pPr>
              <w:jc w:val="center"/>
              <w:rPr>
                <w:szCs w:val="21"/>
              </w:rPr>
            </w:pPr>
            <w:r w:rsidRPr="00F9522B">
              <w:rPr>
                <w:szCs w:val="21"/>
              </w:rPr>
              <w:t>14.202</w:t>
            </w:r>
          </w:p>
        </w:tc>
        <w:tc>
          <w:tcPr>
            <w:tcW w:w="366" w:type="pct"/>
            <w:tcBorders>
              <w:top w:val="single" w:sz="4" w:space="0" w:color="auto"/>
              <w:left w:val="single" w:sz="4" w:space="0" w:color="auto"/>
              <w:bottom w:val="single" w:sz="4" w:space="0" w:color="auto"/>
              <w:right w:val="single" w:sz="4" w:space="0" w:color="auto"/>
            </w:tcBorders>
            <w:noWrap/>
            <w:vAlign w:val="center"/>
          </w:tcPr>
          <w:p w:rsidR="001617CC" w:rsidRPr="00F9522B" w:rsidRDefault="001617CC" w:rsidP="004C526E">
            <w:pPr>
              <w:jc w:val="center"/>
              <w:rPr>
                <w:szCs w:val="21"/>
              </w:rPr>
            </w:pPr>
            <w:r w:rsidRPr="00F9522B">
              <w:rPr>
                <w:szCs w:val="21"/>
              </w:rPr>
              <w:t>0.34</w:t>
            </w:r>
          </w:p>
        </w:tc>
        <w:tc>
          <w:tcPr>
            <w:tcW w:w="366" w:type="pct"/>
            <w:tcBorders>
              <w:top w:val="single" w:sz="4" w:space="0" w:color="auto"/>
              <w:left w:val="single" w:sz="4" w:space="0" w:color="auto"/>
              <w:bottom w:val="single" w:sz="4" w:space="0" w:color="auto"/>
              <w:right w:val="single" w:sz="4" w:space="0" w:color="auto"/>
            </w:tcBorders>
            <w:vAlign w:val="center"/>
          </w:tcPr>
          <w:p w:rsidR="001617CC" w:rsidRPr="00F9522B" w:rsidRDefault="001617CC" w:rsidP="004C526E">
            <w:pPr>
              <w:jc w:val="center"/>
              <w:rPr>
                <w:szCs w:val="21"/>
              </w:rPr>
            </w:pPr>
            <w:r w:rsidRPr="00F9522B">
              <w:rPr>
                <w:szCs w:val="21"/>
              </w:rPr>
              <w:t>0.496</w:t>
            </w:r>
          </w:p>
        </w:tc>
        <w:tc>
          <w:tcPr>
            <w:tcW w:w="366" w:type="pct"/>
            <w:tcBorders>
              <w:top w:val="single" w:sz="4" w:space="0" w:color="auto"/>
              <w:left w:val="single" w:sz="4" w:space="0" w:color="auto"/>
              <w:bottom w:val="single" w:sz="4" w:space="0" w:color="auto"/>
              <w:right w:val="single" w:sz="4" w:space="0" w:color="auto"/>
            </w:tcBorders>
            <w:vAlign w:val="center"/>
          </w:tcPr>
          <w:p w:rsidR="001617CC" w:rsidRPr="00F9522B" w:rsidRDefault="001617CC">
            <w:pPr>
              <w:jc w:val="center"/>
              <w:rPr>
                <w:color w:val="FF0000"/>
                <w:szCs w:val="21"/>
              </w:rPr>
            </w:pPr>
            <w:r w:rsidRPr="00F9522B">
              <w:rPr>
                <w:color w:val="FF0000"/>
                <w:szCs w:val="21"/>
              </w:rPr>
              <w:t xml:space="preserve">1.132 </w:t>
            </w:r>
          </w:p>
        </w:tc>
        <w:tc>
          <w:tcPr>
            <w:tcW w:w="402" w:type="pct"/>
            <w:tcBorders>
              <w:top w:val="single" w:sz="4" w:space="0" w:color="auto"/>
              <w:left w:val="single" w:sz="4" w:space="0" w:color="auto"/>
              <w:bottom w:val="single" w:sz="4" w:space="0" w:color="auto"/>
              <w:right w:val="single" w:sz="4" w:space="0" w:color="auto"/>
            </w:tcBorders>
            <w:noWrap/>
            <w:vAlign w:val="center"/>
          </w:tcPr>
          <w:p w:rsidR="001617CC" w:rsidRPr="00F9522B" w:rsidRDefault="001617CC" w:rsidP="004C526E">
            <w:pPr>
              <w:jc w:val="center"/>
              <w:rPr>
                <w:szCs w:val="21"/>
              </w:rPr>
            </w:pPr>
            <w:r w:rsidRPr="00F9522B">
              <w:rPr>
                <w:szCs w:val="21"/>
              </w:rPr>
              <w:t>-5.462</w:t>
            </w:r>
          </w:p>
        </w:tc>
        <w:tc>
          <w:tcPr>
            <w:tcW w:w="402" w:type="pct"/>
            <w:tcBorders>
              <w:top w:val="single" w:sz="4" w:space="0" w:color="auto"/>
              <w:left w:val="single" w:sz="4" w:space="0" w:color="auto"/>
              <w:bottom w:val="single" w:sz="4" w:space="0" w:color="auto"/>
              <w:right w:val="nil"/>
            </w:tcBorders>
            <w:noWrap/>
            <w:vAlign w:val="center"/>
          </w:tcPr>
          <w:p w:rsidR="001617CC" w:rsidRPr="00F9522B" w:rsidRDefault="001617CC" w:rsidP="004C526E">
            <w:pPr>
              <w:jc w:val="center"/>
              <w:rPr>
                <w:szCs w:val="21"/>
              </w:rPr>
            </w:pPr>
            <w:r w:rsidRPr="00F9522B">
              <w:rPr>
                <w:szCs w:val="21"/>
              </w:rPr>
              <w:t>-0.131</w:t>
            </w:r>
          </w:p>
        </w:tc>
        <w:tc>
          <w:tcPr>
            <w:tcW w:w="402" w:type="pct"/>
            <w:tcBorders>
              <w:top w:val="single" w:sz="4" w:space="0" w:color="auto"/>
              <w:left w:val="single" w:sz="4" w:space="0" w:color="auto"/>
              <w:bottom w:val="single" w:sz="4" w:space="0" w:color="auto"/>
              <w:right w:val="nil"/>
            </w:tcBorders>
            <w:vAlign w:val="center"/>
          </w:tcPr>
          <w:p w:rsidR="001617CC" w:rsidRPr="00F9522B" w:rsidRDefault="001617CC" w:rsidP="004C526E">
            <w:pPr>
              <w:jc w:val="center"/>
              <w:rPr>
                <w:szCs w:val="21"/>
              </w:rPr>
            </w:pPr>
            <w:r w:rsidRPr="00F9522B">
              <w:rPr>
                <w:szCs w:val="21"/>
              </w:rPr>
              <w:t>-0.191</w:t>
            </w:r>
          </w:p>
        </w:tc>
        <w:tc>
          <w:tcPr>
            <w:tcW w:w="233" w:type="pct"/>
            <w:tcBorders>
              <w:top w:val="single" w:sz="4" w:space="0" w:color="auto"/>
              <w:left w:val="single" w:sz="4" w:space="0" w:color="auto"/>
              <w:bottom w:val="single" w:sz="4" w:space="0" w:color="auto"/>
              <w:right w:val="nil"/>
            </w:tcBorders>
            <w:vAlign w:val="center"/>
          </w:tcPr>
          <w:p w:rsidR="001617CC" w:rsidRPr="00F9522B" w:rsidRDefault="00E03AD9">
            <w:pPr>
              <w:jc w:val="center"/>
              <w:rPr>
                <w:color w:val="FF0000"/>
                <w:szCs w:val="21"/>
              </w:rPr>
            </w:pPr>
            <w:r w:rsidRPr="00F9522B">
              <w:rPr>
                <w:color w:val="FF0000"/>
                <w:szCs w:val="21"/>
              </w:rPr>
              <w:t>-</w:t>
            </w:r>
            <w:r w:rsidR="001617CC" w:rsidRPr="00F9522B">
              <w:rPr>
                <w:color w:val="FF0000"/>
                <w:szCs w:val="21"/>
              </w:rPr>
              <w:t xml:space="preserve">0.435 </w:t>
            </w:r>
          </w:p>
        </w:tc>
      </w:tr>
      <w:tr w:rsidR="001617CC" w:rsidRPr="00F9522B" w:rsidTr="001617CC">
        <w:trPr>
          <w:trHeight w:val="280"/>
          <w:jc w:val="center"/>
        </w:trPr>
        <w:tc>
          <w:tcPr>
            <w:tcW w:w="552" w:type="pct"/>
            <w:tcBorders>
              <w:top w:val="single" w:sz="4" w:space="0" w:color="auto"/>
              <w:left w:val="nil"/>
              <w:bottom w:val="single" w:sz="4" w:space="0" w:color="auto"/>
              <w:right w:val="single" w:sz="4" w:space="0" w:color="auto"/>
            </w:tcBorders>
            <w:noWrap/>
            <w:vAlign w:val="center"/>
          </w:tcPr>
          <w:p w:rsidR="001617CC" w:rsidRPr="00F9522B" w:rsidRDefault="001617CC" w:rsidP="004C526E">
            <w:pPr>
              <w:jc w:val="center"/>
              <w:rPr>
                <w:rFonts w:eastAsiaTheme="minorEastAsia"/>
                <w:kern w:val="0"/>
                <w:szCs w:val="21"/>
              </w:rPr>
            </w:pPr>
            <w:r w:rsidRPr="00F9522B">
              <w:rPr>
                <w:rFonts w:eastAsiaTheme="minorEastAsia"/>
                <w:szCs w:val="21"/>
              </w:rPr>
              <w:t>漂河</w:t>
            </w:r>
          </w:p>
        </w:tc>
        <w:tc>
          <w:tcPr>
            <w:tcW w:w="420" w:type="pct"/>
            <w:tcBorders>
              <w:top w:val="single" w:sz="4" w:space="0" w:color="auto"/>
              <w:left w:val="single" w:sz="4" w:space="0" w:color="auto"/>
              <w:bottom w:val="single" w:sz="4" w:space="0" w:color="auto"/>
              <w:right w:val="single" w:sz="4" w:space="0" w:color="auto"/>
            </w:tcBorders>
            <w:noWrap/>
            <w:vAlign w:val="center"/>
          </w:tcPr>
          <w:p w:rsidR="001617CC" w:rsidRPr="00F9522B" w:rsidRDefault="001617CC" w:rsidP="004C526E">
            <w:pPr>
              <w:jc w:val="center"/>
              <w:rPr>
                <w:szCs w:val="21"/>
              </w:rPr>
            </w:pPr>
            <w:r w:rsidRPr="00F9522B">
              <w:rPr>
                <w:szCs w:val="21"/>
              </w:rPr>
              <w:t>8.794</w:t>
            </w:r>
          </w:p>
        </w:tc>
        <w:tc>
          <w:tcPr>
            <w:tcW w:w="340" w:type="pct"/>
            <w:tcBorders>
              <w:top w:val="single" w:sz="4" w:space="0" w:color="auto"/>
              <w:left w:val="single" w:sz="4" w:space="0" w:color="auto"/>
              <w:bottom w:val="single" w:sz="4" w:space="0" w:color="auto"/>
              <w:right w:val="single" w:sz="4" w:space="0" w:color="auto"/>
            </w:tcBorders>
            <w:noWrap/>
            <w:vAlign w:val="center"/>
          </w:tcPr>
          <w:p w:rsidR="001617CC" w:rsidRPr="00F9522B" w:rsidRDefault="001617CC" w:rsidP="004C526E">
            <w:pPr>
              <w:jc w:val="center"/>
              <w:rPr>
                <w:szCs w:val="21"/>
              </w:rPr>
            </w:pPr>
            <w:r w:rsidRPr="00F9522B">
              <w:rPr>
                <w:szCs w:val="21"/>
              </w:rPr>
              <w:t>0.21</w:t>
            </w:r>
          </w:p>
        </w:tc>
        <w:tc>
          <w:tcPr>
            <w:tcW w:w="366" w:type="pct"/>
            <w:tcBorders>
              <w:top w:val="single" w:sz="4" w:space="0" w:color="auto"/>
              <w:left w:val="single" w:sz="4" w:space="0" w:color="auto"/>
              <w:bottom w:val="single" w:sz="4" w:space="0" w:color="auto"/>
              <w:right w:val="single" w:sz="4" w:space="0" w:color="auto"/>
            </w:tcBorders>
            <w:vAlign w:val="center"/>
          </w:tcPr>
          <w:p w:rsidR="001617CC" w:rsidRPr="00F9522B" w:rsidRDefault="001617CC" w:rsidP="004C526E">
            <w:pPr>
              <w:jc w:val="center"/>
              <w:rPr>
                <w:szCs w:val="21"/>
              </w:rPr>
            </w:pPr>
            <w:r w:rsidRPr="00F9522B">
              <w:rPr>
                <w:szCs w:val="21"/>
              </w:rPr>
              <w:t>0.307</w:t>
            </w:r>
          </w:p>
        </w:tc>
        <w:tc>
          <w:tcPr>
            <w:tcW w:w="366" w:type="pct"/>
            <w:tcBorders>
              <w:top w:val="single" w:sz="4" w:space="0" w:color="auto"/>
              <w:left w:val="single" w:sz="4" w:space="0" w:color="auto"/>
              <w:bottom w:val="single" w:sz="4" w:space="0" w:color="auto"/>
              <w:right w:val="single" w:sz="4" w:space="0" w:color="auto"/>
            </w:tcBorders>
            <w:vAlign w:val="center"/>
          </w:tcPr>
          <w:p w:rsidR="001617CC" w:rsidRPr="00F9522B" w:rsidRDefault="001617CC">
            <w:pPr>
              <w:jc w:val="center"/>
              <w:rPr>
                <w:color w:val="FF0000"/>
                <w:szCs w:val="21"/>
              </w:rPr>
            </w:pPr>
            <w:r w:rsidRPr="00F9522B">
              <w:rPr>
                <w:color w:val="FF0000"/>
                <w:szCs w:val="21"/>
              </w:rPr>
              <w:t xml:space="preserve">0.701 </w:t>
            </w:r>
          </w:p>
        </w:tc>
        <w:tc>
          <w:tcPr>
            <w:tcW w:w="420" w:type="pct"/>
            <w:tcBorders>
              <w:top w:val="single" w:sz="4" w:space="0" w:color="auto"/>
              <w:left w:val="single" w:sz="4" w:space="0" w:color="auto"/>
              <w:bottom w:val="single" w:sz="4" w:space="0" w:color="auto"/>
              <w:right w:val="single" w:sz="4" w:space="0" w:color="auto"/>
            </w:tcBorders>
            <w:noWrap/>
            <w:vAlign w:val="center"/>
          </w:tcPr>
          <w:p w:rsidR="001617CC" w:rsidRPr="00F9522B" w:rsidRDefault="001617CC" w:rsidP="004C526E">
            <w:pPr>
              <w:jc w:val="center"/>
              <w:rPr>
                <w:szCs w:val="21"/>
              </w:rPr>
            </w:pPr>
            <w:r w:rsidRPr="00F9522B">
              <w:rPr>
                <w:szCs w:val="21"/>
              </w:rPr>
              <w:t>6.351</w:t>
            </w:r>
          </w:p>
        </w:tc>
        <w:tc>
          <w:tcPr>
            <w:tcW w:w="366" w:type="pct"/>
            <w:tcBorders>
              <w:top w:val="single" w:sz="4" w:space="0" w:color="auto"/>
              <w:left w:val="single" w:sz="4" w:space="0" w:color="auto"/>
              <w:bottom w:val="single" w:sz="4" w:space="0" w:color="auto"/>
              <w:right w:val="single" w:sz="4" w:space="0" w:color="auto"/>
            </w:tcBorders>
            <w:noWrap/>
            <w:vAlign w:val="center"/>
          </w:tcPr>
          <w:p w:rsidR="001617CC" w:rsidRPr="00F9522B" w:rsidRDefault="001617CC" w:rsidP="004C526E">
            <w:pPr>
              <w:jc w:val="center"/>
              <w:rPr>
                <w:szCs w:val="21"/>
              </w:rPr>
            </w:pPr>
            <w:r w:rsidRPr="00F9522B">
              <w:rPr>
                <w:szCs w:val="21"/>
              </w:rPr>
              <w:t>0.152</w:t>
            </w:r>
          </w:p>
        </w:tc>
        <w:tc>
          <w:tcPr>
            <w:tcW w:w="366" w:type="pct"/>
            <w:tcBorders>
              <w:top w:val="single" w:sz="4" w:space="0" w:color="auto"/>
              <w:left w:val="single" w:sz="4" w:space="0" w:color="auto"/>
              <w:bottom w:val="single" w:sz="4" w:space="0" w:color="auto"/>
              <w:right w:val="single" w:sz="4" w:space="0" w:color="auto"/>
            </w:tcBorders>
            <w:vAlign w:val="center"/>
          </w:tcPr>
          <w:p w:rsidR="001617CC" w:rsidRPr="00F9522B" w:rsidRDefault="001617CC" w:rsidP="004C526E">
            <w:pPr>
              <w:jc w:val="center"/>
              <w:rPr>
                <w:szCs w:val="21"/>
              </w:rPr>
            </w:pPr>
            <w:r w:rsidRPr="00F9522B">
              <w:rPr>
                <w:szCs w:val="21"/>
              </w:rPr>
              <w:t>0.222</w:t>
            </w:r>
          </w:p>
        </w:tc>
        <w:tc>
          <w:tcPr>
            <w:tcW w:w="366" w:type="pct"/>
            <w:tcBorders>
              <w:top w:val="single" w:sz="4" w:space="0" w:color="auto"/>
              <w:left w:val="single" w:sz="4" w:space="0" w:color="auto"/>
              <w:bottom w:val="single" w:sz="4" w:space="0" w:color="auto"/>
              <w:right w:val="single" w:sz="4" w:space="0" w:color="auto"/>
            </w:tcBorders>
            <w:vAlign w:val="center"/>
          </w:tcPr>
          <w:p w:rsidR="001617CC" w:rsidRPr="00F9522B" w:rsidRDefault="001617CC">
            <w:pPr>
              <w:jc w:val="center"/>
              <w:rPr>
                <w:color w:val="FF0000"/>
                <w:szCs w:val="21"/>
              </w:rPr>
            </w:pPr>
            <w:r w:rsidRPr="00F9522B">
              <w:rPr>
                <w:color w:val="FF0000"/>
                <w:szCs w:val="21"/>
              </w:rPr>
              <w:t xml:space="preserve">0.506 </w:t>
            </w:r>
          </w:p>
        </w:tc>
        <w:tc>
          <w:tcPr>
            <w:tcW w:w="402" w:type="pct"/>
            <w:tcBorders>
              <w:top w:val="single" w:sz="4" w:space="0" w:color="auto"/>
              <w:left w:val="single" w:sz="4" w:space="0" w:color="auto"/>
              <w:bottom w:val="single" w:sz="4" w:space="0" w:color="auto"/>
              <w:right w:val="single" w:sz="4" w:space="0" w:color="auto"/>
            </w:tcBorders>
            <w:noWrap/>
            <w:vAlign w:val="center"/>
          </w:tcPr>
          <w:p w:rsidR="001617CC" w:rsidRPr="00F9522B" w:rsidRDefault="001617CC" w:rsidP="004C526E">
            <w:pPr>
              <w:jc w:val="center"/>
              <w:rPr>
                <w:szCs w:val="21"/>
              </w:rPr>
            </w:pPr>
            <w:r w:rsidRPr="00F9522B">
              <w:rPr>
                <w:szCs w:val="21"/>
              </w:rPr>
              <w:t>-2.443</w:t>
            </w:r>
          </w:p>
        </w:tc>
        <w:tc>
          <w:tcPr>
            <w:tcW w:w="402" w:type="pct"/>
            <w:tcBorders>
              <w:top w:val="single" w:sz="4" w:space="0" w:color="auto"/>
              <w:left w:val="single" w:sz="4" w:space="0" w:color="auto"/>
              <w:bottom w:val="single" w:sz="4" w:space="0" w:color="auto"/>
              <w:right w:val="nil"/>
            </w:tcBorders>
            <w:noWrap/>
            <w:vAlign w:val="center"/>
          </w:tcPr>
          <w:p w:rsidR="001617CC" w:rsidRPr="00F9522B" w:rsidRDefault="001617CC" w:rsidP="004C526E">
            <w:pPr>
              <w:jc w:val="center"/>
              <w:rPr>
                <w:szCs w:val="21"/>
              </w:rPr>
            </w:pPr>
            <w:r w:rsidRPr="00F9522B">
              <w:rPr>
                <w:szCs w:val="21"/>
              </w:rPr>
              <w:t>-0.058</w:t>
            </w:r>
          </w:p>
        </w:tc>
        <w:tc>
          <w:tcPr>
            <w:tcW w:w="402" w:type="pct"/>
            <w:tcBorders>
              <w:top w:val="single" w:sz="4" w:space="0" w:color="auto"/>
              <w:left w:val="single" w:sz="4" w:space="0" w:color="auto"/>
              <w:bottom w:val="single" w:sz="4" w:space="0" w:color="auto"/>
              <w:right w:val="nil"/>
            </w:tcBorders>
            <w:vAlign w:val="center"/>
          </w:tcPr>
          <w:p w:rsidR="001617CC" w:rsidRPr="00F9522B" w:rsidRDefault="001617CC" w:rsidP="004C526E">
            <w:pPr>
              <w:jc w:val="center"/>
              <w:rPr>
                <w:szCs w:val="21"/>
              </w:rPr>
            </w:pPr>
            <w:r w:rsidRPr="00F9522B">
              <w:rPr>
                <w:szCs w:val="21"/>
              </w:rPr>
              <w:t>-0.085</w:t>
            </w:r>
          </w:p>
        </w:tc>
        <w:tc>
          <w:tcPr>
            <w:tcW w:w="233" w:type="pct"/>
            <w:tcBorders>
              <w:top w:val="single" w:sz="4" w:space="0" w:color="auto"/>
              <w:left w:val="single" w:sz="4" w:space="0" w:color="auto"/>
              <w:bottom w:val="single" w:sz="4" w:space="0" w:color="auto"/>
              <w:right w:val="nil"/>
            </w:tcBorders>
            <w:vAlign w:val="center"/>
          </w:tcPr>
          <w:p w:rsidR="001617CC" w:rsidRPr="00F9522B" w:rsidRDefault="00E03AD9">
            <w:pPr>
              <w:jc w:val="center"/>
              <w:rPr>
                <w:color w:val="FF0000"/>
                <w:szCs w:val="21"/>
              </w:rPr>
            </w:pPr>
            <w:r w:rsidRPr="00F9522B">
              <w:rPr>
                <w:color w:val="FF0000"/>
                <w:szCs w:val="21"/>
              </w:rPr>
              <w:t>-</w:t>
            </w:r>
            <w:r w:rsidR="001617CC" w:rsidRPr="00F9522B">
              <w:rPr>
                <w:color w:val="FF0000"/>
                <w:szCs w:val="21"/>
              </w:rPr>
              <w:t xml:space="preserve">0.195 </w:t>
            </w:r>
          </w:p>
        </w:tc>
      </w:tr>
      <w:tr w:rsidR="001617CC" w:rsidRPr="00F9522B" w:rsidTr="001617CC">
        <w:trPr>
          <w:trHeight w:val="280"/>
          <w:jc w:val="center"/>
        </w:trPr>
        <w:tc>
          <w:tcPr>
            <w:tcW w:w="552" w:type="pct"/>
            <w:tcBorders>
              <w:top w:val="single" w:sz="4" w:space="0" w:color="auto"/>
              <w:left w:val="nil"/>
              <w:bottom w:val="single" w:sz="12" w:space="0" w:color="auto"/>
              <w:right w:val="single" w:sz="4" w:space="0" w:color="auto"/>
            </w:tcBorders>
            <w:noWrap/>
            <w:vAlign w:val="center"/>
          </w:tcPr>
          <w:p w:rsidR="001617CC" w:rsidRPr="00F9522B" w:rsidRDefault="001617CC" w:rsidP="004C526E">
            <w:pPr>
              <w:jc w:val="center"/>
              <w:rPr>
                <w:rFonts w:eastAsiaTheme="minorEastAsia"/>
                <w:kern w:val="0"/>
                <w:szCs w:val="21"/>
              </w:rPr>
            </w:pPr>
            <w:r w:rsidRPr="00F9522B">
              <w:rPr>
                <w:rFonts w:eastAsiaTheme="minorEastAsia"/>
                <w:kern w:val="0"/>
                <w:szCs w:val="21"/>
              </w:rPr>
              <w:t>合计</w:t>
            </w:r>
          </w:p>
        </w:tc>
        <w:tc>
          <w:tcPr>
            <w:tcW w:w="420" w:type="pct"/>
            <w:tcBorders>
              <w:top w:val="single" w:sz="4" w:space="0" w:color="auto"/>
              <w:left w:val="single" w:sz="4" w:space="0" w:color="auto"/>
              <w:bottom w:val="single" w:sz="12" w:space="0" w:color="auto"/>
              <w:right w:val="single" w:sz="4" w:space="0" w:color="auto"/>
            </w:tcBorders>
            <w:noWrap/>
            <w:vAlign w:val="center"/>
          </w:tcPr>
          <w:p w:rsidR="001617CC" w:rsidRPr="00F9522B" w:rsidRDefault="001617CC" w:rsidP="004C526E">
            <w:pPr>
              <w:jc w:val="center"/>
              <w:rPr>
                <w:szCs w:val="21"/>
              </w:rPr>
            </w:pPr>
            <w:r w:rsidRPr="00F9522B">
              <w:rPr>
                <w:szCs w:val="21"/>
              </w:rPr>
              <w:t>28.458</w:t>
            </w:r>
          </w:p>
        </w:tc>
        <w:tc>
          <w:tcPr>
            <w:tcW w:w="340" w:type="pct"/>
            <w:tcBorders>
              <w:top w:val="single" w:sz="4" w:space="0" w:color="auto"/>
              <w:left w:val="single" w:sz="4" w:space="0" w:color="auto"/>
              <w:bottom w:val="single" w:sz="12" w:space="0" w:color="auto"/>
              <w:right w:val="single" w:sz="4" w:space="0" w:color="auto"/>
            </w:tcBorders>
            <w:noWrap/>
            <w:vAlign w:val="center"/>
          </w:tcPr>
          <w:p w:rsidR="001617CC" w:rsidRPr="00F9522B" w:rsidRDefault="001617CC" w:rsidP="004C526E">
            <w:pPr>
              <w:jc w:val="center"/>
              <w:rPr>
                <w:szCs w:val="21"/>
              </w:rPr>
            </w:pPr>
            <w:r w:rsidRPr="00F9522B">
              <w:rPr>
                <w:szCs w:val="21"/>
              </w:rPr>
              <w:t>0.68</w:t>
            </w:r>
          </w:p>
        </w:tc>
        <w:tc>
          <w:tcPr>
            <w:tcW w:w="366" w:type="pct"/>
            <w:tcBorders>
              <w:top w:val="single" w:sz="4" w:space="0" w:color="auto"/>
              <w:left w:val="single" w:sz="4" w:space="0" w:color="auto"/>
              <w:bottom w:val="single" w:sz="12" w:space="0" w:color="auto"/>
              <w:right w:val="single" w:sz="4" w:space="0" w:color="auto"/>
            </w:tcBorders>
            <w:vAlign w:val="center"/>
          </w:tcPr>
          <w:p w:rsidR="001617CC" w:rsidRPr="00F9522B" w:rsidRDefault="001617CC" w:rsidP="004C526E">
            <w:pPr>
              <w:jc w:val="center"/>
              <w:rPr>
                <w:szCs w:val="21"/>
              </w:rPr>
            </w:pPr>
            <w:r w:rsidRPr="00F9522B">
              <w:rPr>
                <w:szCs w:val="21"/>
              </w:rPr>
              <w:t>0.994</w:t>
            </w:r>
          </w:p>
        </w:tc>
        <w:tc>
          <w:tcPr>
            <w:tcW w:w="366" w:type="pct"/>
            <w:tcBorders>
              <w:top w:val="single" w:sz="4" w:space="0" w:color="auto"/>
              <w:left w:val="single" w:sz="4" w:space="0" w:color="auto"/>
              <w:bottom w:val="single" w:sz="12" w:space="0" w:color="auto"/>
              <w:right w:val="single" w:sz="4" w:space="0" w:color="auto"/>
            </w:tcBorders>
            <w:vAlign w:val="center"/>
          </w:tcPr>
          <w:p w:rsidR="001617CC" w:rsidRPr="00F9522B" w:rsidRDefault="001617CC">
            <w:pPr>
              <w:jc w:val="center"/>
              <w:rPr>
                <w:color w:val="FF0000"/>
                <w:szCs w:val="21"/>
              </w:rPr>
            </w:pPr>
            <w:r w:rsidRPr="00F9522B">
              <w:rPr>
                <w:color w:val="FF0000"/>
                <w:szCs w:val="21"/>
              </w:rPr>
              <w:t xml:space="preserve">2.268 </w:t>
            </w:r>
          </w:p>
        </w:tc>
        <w:tc>
          <w:tcPr>
            <w:tcW w:w="420" w:type="pct"/>
            <w:tcBorders>
              <w:top w:val="single" w:sz="4" w:space="0" w:color="auto"/>
              <w:left w:val="single" w:sz="4" w:space="0" w:color="auto"/>
              <w:bottom w:val="single" w:sz="12" w:space="0" w:color="auto"/>
              <w:right w:val="single" w:sz="4" w:space="0" w:color="auto"/>
            </w:tcBorders>
            <w:noWrap/>
            <w:vAlign w:val="center"/>
          </w:tcPr>
          <w:p w:rsidR="001617CC" w:rsidRPr="00F9522B" w:rsidRDefault="001617CC" w:rsidP="004C526E">
            <w:pPr>
              <w:jc w:val="center"/>
              <w:rPr>
                <w:szCs w:val="21"/>
              </w:rPr>
            </w:pPr>
            <w:r w:rsidRPr="00F9522B">
              <w:rPr>
                <w:szCs w:val="21"/>
              </w:rPr>
              <w:t>20.553</w:t>
            </w:r>
          </w:p>
        </w:tc>
        <w:tc>
          <w:tcPr>
            <w:tcW w:w="366" w:type="pct"/>
            <w:tcBorders>
              <w:top w:val="single" w:sz="4" w:space="0" w:color="auto"/>
              <w:left w:val="single" w:sz="4" w:space="0" w:color="auto"/>
              <w:bottom w:val="single" w:sz="12" w:space="0" w:color="auto"/>
              <w:right w:val="single" w:sz="4" w:space="0" w:color="auto"/>
            </w:tcBorders>
            <w:noWrap/>
            <w:vAlign w:val="center"/>
          </w:tcPr>
          <w:p w:rsidR="001617CC" w:rsidRPr="00F9522B" w:rsidRDefault="001617CC" w:rsidP="004C526E">
            <w:pPr>
              <w:jc w:val="center"/>
              <w:rPr>
                <w:szCs w:val="21"/>
              </w:rPr>
            </w:pPr>
            <w:r w:rsidRPr="00F9522B">
              <w:rPr>
                <w:szCs w:val="21"/>
              </w:rPr>
              <w:t>0.491</w:t>
            </w:r>
          </w:p>
        </w:tc>
        <w:tc>
          <w:tcPr>
            <w:tcW w:w="366" w:type="pct"/>
            <w:tcBorders>
              <w:top w:val="single" w:sz="4" w:space="0" w:color="auto"/>
              <w:left w:val="single" w:sz="4" w:space="0" w:color="auto"/>
              <w:bottom w:val="single" w:sz="12" w:space="0" w:color="auto"/>
              <w:right w:val="single" w:sz="4" w:space="0" w:color="auto"/>
            </w:tcBorders>
            <w:vAlign w:val="center"/>
          </w:tcPr>
          <w:p w:rsidR="001617CC" w:rsidRPr="00F9522B" w:rsidRDefault="001617CC" w:rsidP="004C526E">
            <w:pPr>
              <w:jc w:val="center"/>
              <w:rPr>
                <w:szCs w:val="21"/>
              </w:rPr>
            </w:pPr>
            <w:r w:rsidRPr="00F9522B">
              <w:rPr>
                <w:szCs w:val="21"/>
              </w:rPr>
              <w:t>0.718</w:t>
            </w:r>
          </w:p>
        </w:tc>
        <w:tc>
          <w:tcPr>
            <w:tcW w:w="366" w:type="pct"/>
            <w:tcBorders>
              <w:top w:val="single" w:sz="4" w:space="0" w:color="auto"/>
              <w:left w:val="single" w:sz="4" w:space="0" w:color="auto"/>
              <w:bottom w:val="single" w:sz="12" w:space="0" w:color="auto"/>
              <w:right w:val="single" w:sz="4" w:space="0" w:color="auto"/>
            </w:tcBorders>
            <w:vAlign w:val="center"/>
          </w:tcPr>
          <w:p w:rsidR="001617CC" w:rsidRPr="00F9522B" w:rsidRDefault="001617CC">
            <w:pPr>
              <w:jc w:val="center"/>
              <w:rPr>
                <w:color w:val="FF0000"/>
                <w:szCs w:val="21"/>
              </w:rPr>
            </w:pPr>
            <w:r w:rsidRPr="00F9522B">
              <w:rPr>
                <w:color w:val="FF0000"/>
                <w:szCs w:val="21"/>
              </w:rPr>
              <w:t xml:space="preserve">1.638 </w:t>
            </w:r>
          </w:p>
        </w:tc>
        <w:tc>
          <w:tcPr>
            <w:tcW w:w="402" w:type="pct"/>
            <w:tcBorders>
              <w:top w:val="single" w:sz="4" w:space="0" w:color="auto"/>
              <w:left w:val="single" w:sz="4" w:space="0" w:color="auto"/>
              <w:bottom w:val="single" w:sz="12" w:space="0" w:color="auto"/>
              <w:right w:val="single" w:sz="4" w:space="0" w:color="auto"/>
            </w:tcBorders>
            <w:noWrap/>
            <w:vAlign w:val="center"/>
          </w:tcPr>
          <w:p w:rsidR="001617CC" w:rsidRPr="00F9522B" w:rsidRDefault="001617CC" w:rsidP="004C526E">
            <w:pPr>
              <w:jc w:val="center"/>
              <w:rPr>
                <w:szCs w:val="21"/>
              </w:rPr>
            </w:pPr>
            <w:r w:rsidRPr="00F9522B">
              <w:rPr>
                <w:szCs w:val="21"/>
              </w:rPr>
              <w:t>-7.905</w:t>
            </w:r>
          </w:p>
        </w:tc>
        <w:tc>
          <w:tcPr>
            <w:tcW w:w="402" w:type="pct"/>
            <w:tcBorders>
              <w:top w:val="single" w:sz="4" w:space="0" w:color="auto"/>
              <w:left w:val="single" w:sz="4" w:space="0" w:color="auto"/>
              <w:bottom w:val="single" w:sz="12" w:space="0" w:color="auto"/>
              <w:right w:val="nil"/>
            </w:tcBorders>
            <w:noWrap/>
            <w:vAlign w:val="center"/>
          </w:tcPr>
          <w:p w:rsidR="001617CC" w:rsidRPr="00F9522B" w:rsidRDefault="001617CC" w:rsidP="004C526E">
            <w:pPr>
              <w:jc w:val="center"/>
              <w:rPr>
                <w:szCs w:val="21"/>
              </w:rPr>
            </w:pPr>
            <w:r w:rsidRPr="00F9522B">
              <w:rPr>
                <w:szCs w:val="21"/>
              </w:rPr>
              <w:t>-0.189</w:t>
            </w:r>
          </w:p>
        </w:tc>
        <w:tc>
          <w:tcPr>
            <w:tcW w:w="402" w:type="pct"/>
            <w:tcBorders>
              <w:top w:val="single" w:sz="4" w:space="0" w:color="auto"/>
              <w:left w:val="single" w:sz="4" w:space="0" w:color="auto"/>
              <w:bottom w:val="single" w:sz="12" w:space="0" w:color="auto"/>
              <w:right w:val="nil"/>
            </w:tcBorders>
            <w:vAlign w:val="center"/>
          </w:tcPr>
          <w:p w:rsidR="001617CC" w:rsidRPr="00F9522B" w:rsidRDefault="001617CC" w:rsidP="004C526E">
            <w:pPr>
              <w:jc w:val="center"/>
              <w:rPr>
                <w:szCs w:val="21"/>
              </w:rPr>
            </w:pPr>
            <w:r w:rsidRPr="00F9522B">
              <w:rPr>
                <w:szCs w:val="21"/>
              </w:rPr>
              <w:t>-0.276</w:t>
            </w:r>
          </w:p>
        </w:tc>
        <w:tc>
          <w:tcPr>
            <w:tcW w:w="233" w:type="pct"/>
            <w:tcBorders>
              <w:top w:val="single" w:sz="4" w:space="0" w:color="auto"/>
              <w:left w:val="single" w:sz="4" w:space="0" w:color="auto"/>
              <w:bottom w:val="single" w:sz="12" w:space="0" w:color="auto"/>
              <w:right w:val="nil"/>
            </w:tcBorders>
            <w:vAlign w:val="center"/>
          </w:tcPr>
          <w:p w:rsidR="001617CC" w:rsidRPr="00F9522B" w:rsidRDefault="00E03AD9">
            <w:pPr>
              <w:jc w:val="center"/>
              <w:rPr>
                <w:color w:val="FF0000"/>
                <w:szCs w:val="21"/>
              </w:rPr>
            </w:pPr>
            <w:r w:rsidRPr="00F9522B">
              <w:rPr>
                <w:color w:val="FF0000"/>
                <w:szCs w:val="21"/>
              </w:rPr>
              <w:t>-</w:t>
            </w:r>
            <w:r w:rsidR="001617CC" w:rsidRPr="00F9522B">
              <w:rPr>
                <w:color w:val="FF0000"/>
                <w:szCs w:val="21"/>
              </w:rPr>
              <w:t xml:space="preserve">0.630 </w:t>
            </w:r>
          </w:p>
        </w:tc>
      </w:tr>
    </w:tbl>
    <w:p w:rsidR="002A5A5E" w:rsidRPr="00F9522B" w:rsidRDefault="00611CBA">
      <w:pPr>
        <w:adjustRightInd w:val="0"/>
        <w:snapToGrid w:val="0"/>
        <w:spacing w:line="360" w:lineRule="auto"/>
        <w:ind w:firstLineChars="200" w:firstLine="480"/>
        <w:rPr>
          <w:rFonts w:eastAsiaTheme="minorEastAsia"/>
          <w:sz w:val="24"/>
        </w:rPr>
      </w:pPr>
      <w:r w:rsidRPr="00F9522B">
        <w:rPr>
          <w:rFonts w:eastAsiaTheme="minorEastAsia"/>
          <w:sz w:val="24"/>
        </w:rPr>
        <w:t>项目的地表水退水口利用现有。</w:t>
      </w:r>
      <w:r w:rsidRPr="00F9522B">
        <w:rPr>
          <w:rFonts w:eastAsiaTheme="minorEastAsia"/>
          <w:sz w:val="24"/>
          <w:szCs w:val="21"/>
        </w:rPr>
        <w:t>本项目实施后，不新增水田总面积，由于灌溉水利用系数的提升、农田保水能力增强以及渠系配套系统的完善，地表水退水量减少，相应污染物入河量与现状相比也有一定程度的削减，</w:t>
      </w:r>
      <w:r w:rsidRPr="00F9522B">
        <w:rPr>
          <w:rFonts w:eastAsiaTheme="minorEastAsia"/>
          <w:sz w:val="24"/>
        </w:rPr>
        <w:t>项目建成后灌区年退水量与现状相比</w:t>
      </w:r>
      <w:r w:rsidR="004A0FF6" w:rsidRPr="00F9522B">
        <w:rPr>
          <w:rFonts w:eastAsiaTheme="minorEastAsia"/>
          <w:sz w:val="24"/>
        </w:rPr>
        <w:t>减少</w:t>
      </w:r>
      <w:r w:rsidR="004A0FF6" w:rsidRPr="00F9522B">
        <w:rPr>
          <w:rFonts w:eastAsiaTheme="minorEastAsia"/>
          <w:sz w:val="24"/>
        </w:rPr>
        <w:t>15</w:t>
      </w:r>
      <w:r w:rsidR="004A0FF6" w:rsidRPr="00F9522B">
        <w:rPr>
          <w:rFonts w:eastAsiaTheme="minorEastAsia"/>
          <w:sz w:val="24"/>
        </w:rPr>
        <w:t>万</w:t>
      </w:r>
      <w:r w:rsidRPr="00F9522B">
        <w:rPr>
          <w:rFonts w:eastAsiaTheme="minorEastAsia"/>
          <w:sz w:val="24"/>
        </w:rPr>
        <w:t>m</w:t>
      </w:r>
      <w:r w:rsidRPr="00F9522B">
        <w:rPr>
          <w:rFonts w:eastAsiaTheme="minorEastAsia"/>
          <w:sz w:val="24"/>
          <w:vertAlign w:val="superscript"/>
        </w:rPr>
        <w:t>3</w:t>
      </w:r>
      <w:r w:rsidRPr="00F9522B">
        <w:rPr>
          <w:rFonts w:eastAsiaTheme="minorEastAsia"/>
          <w:sz w:val="24"/>
        </w:rPr>
        <w:t>。</w:t>
      </w:r>
      <w:r w:rsidR="00E03AD9" w:rsidRPr="00F9522B">
        <w:rPr>
          <w:rFonts w:eastAsiaTheme="minorEastAsia"/>
          <w:bCs/>
          <w:sz w:val="24"/>
        </w:rPr>
        <w:t>COD</w:t>
      </w:r>
      <w:r w:rsidR="00E03AD9" w:rsidRPr="00F9522B">
        <w:rPr>
          <w:rFonts w:eastAsiaTheme="minorEastAsia"/>
          <w:bCs/>
          <w:sz w:val="24"/>
        </w:rPr>
        <w:t>、氨氮、总磷及总氮排放量分别减少</w:t>
      </w:r>
      <w:r w:rsidR="00E03AD9" w:rsidRPr="00F9522B">
        <w:rPr>
          <w:rFonts w:eastAsiaTheme="minorEastAsia"/>
          <w:bCs/>
          <w:sz w:val="24"/>
        </w:rPr>
        <w:t>7.905t/a</w:t>
      </w:r>
      <w:r w:rsidR="00E03AD9" w:rsidRPr="00F9522B">
        <w:rPr>
          <w:rFonts w:eastAsiaTheme="minorEastAsia"/>
          <w:bCs/>
          <w:sz w:val="24"/>
        </w:rPr>
        <w:t>、</w:t>
      </w:r>
      <w:r w:rsidR="00E03AD9" w:rsidRPr="00F9522B">
        <w:rPr>
          <w:rFonts w:eastAsiaTheme="minorEastAsia"/>
          <w:bCs/>
          <w:sz w:val="24"/>
        </w:rPr>
        <w:t>0.189t/a</w:t>
      </w:r>
      <w:r w:rsidR="00E03AD9" w:rsidRPr="00F9522B">
        <w:rPr>
          <w:rFonts w:eastAsiaTheme="minorEastAsia"/>
          <w:bCs/>
          <w:sz w:val="24"/>
        </w:rPr>
        <w:t>、</w:t>
      </w:r>
      <w:r w:rsidR="00E03AD9" w:rsidRPr="00F9522B">
        <w:rPr>
          <w:rFonts w:eastAsiaTheme="minorEastAsia"/>
          <w:bCs/>
          <w:sz w:val="24"/>
        </w:rPr>
        <w:t>0.276t/a</w:t>
      </w:r>
      <w:r w:rsidR="00E03AD9" w:rsidRPr="00F9522B">
        <w:rPr>
          <w:rFonts w:eastAsiaTheme="minorEastAsia"/>
          <w:bCs/>
          <w:sz w:val="24"/>
        </w:rPr>
        <w:t>、</w:t>
      </w:r>
      <w:r w:rsidR="00E03AD9" w:rsidRPr="00F9522B">
        <w:rPr>
          <w:rFonts w:eastAsiaTheme="minorEastAsia"/>
          <w:bCs/>
          <w:sz w:val="24"/>
        </w:rPr>
        <w:t>0.63t/a</w:t>
      </w:r>
      <w:r w:rsidRPr="00F9522B">
        <w:rPr>
          <w:rFonts w:eastAsiaTheme="minorEastAsia"/>
          <w:bCs/>
          <w:sz w:val="24"/>
        </w:rPr>
        <w:t>。本次改造后，通过加强管理，削减化肥和化学农药用量，增加有机肥、复合肥以及生物农药和高效低毒低残留农药的施用量，</w:t>
      </w:r>
      <w:r w:rsidRPr="00F9522B">
        <w:rPr>
          <w:rFonts w:eastAsiaTheme="minorEastAsia"/>
          <w:smallCaps/>
          <w:sz w:val="24"/>
        </w:rPr>
        <w:t>采取测土配方施肥、水肥一体化措施</w:t>
      </w:r>
      <w:r w:rsidRPr="00F9522B">
        <w:rPr>
          <w:rFonts w:eastAsiaTheme="minorEastAsia"/>
          <w:bCs/>
          <w:sz w:val="24"/>
        </w:rPr>
        <w:t>，减少农田退水中的农药、化肥含量，防止农药、化肥污染承泄区水体。合理安排施肥、施药时间，</w:t>
      </w:r>
      <w:r w:rsidRPr="00F9522B">
        <w:rPr>
          <w:rFonts w:eastAsiaTheme="minorEastAsia"/>
          <w:kern w:val="0"/>
          <w:sz w:val="24"/>
        </w:rPr>
        <w:t>故工程实施后对</w:t>
      </w:r>
      <w:r w:rsidR="00E93DD8" w:rsidRPr="00F9522B">
        <w:rPr>
          <w:rFonts w:eastAsiaTheme="minorEastAsia"/>
          <w:sz w:val="24"/>
        </w:rPr>
        <w:t>松花江及漂河、呼兰河口湿地自然保护区</w:t>
      </w:r>
      <w:r w:rsidRPr="00F9522B">
        <w:rPr>
          <w:rFonts w:eastAsiaTheme="minorEastAsia"/>
          <w:sz w:val="24"/>
        </w:rPr>
        <w:t>水生生态</w:t>
      </w:r>
      <w:r w:rsidRPr="00F9522B">
        <w:rPr>
          <w:rFonts w:eastAsiaTheme="minorEastAsia"/>
          <w:kern w:val="0"/>
          <w:sz w:val="24"/>
        </w:rPr>
        <w:t>环境起到一定改善作用</w:t>
      </w:r>
      <w:r w:rsidRPr="00F9522B">
        <w:rPr>
          <w:rFonts w:eastAsiaTheme="minorEastAsia"/>
          <w:bCs/>
          <w:sz w:val="24"/>
        </w:rPr>
        <w:t>。</w:t>
      </w:r>
    </w:p>
    <w:p w:rsidR="002A5A5E" w:rsidRPr="00F9522B" w:rsidRDefault="00611CBA">
      <w:pPr>
        <w:autoSpaceDE w:val="0"/>
        <w:autoSpaceDN w:val="0"/>
        <w:spacing w:before="100" w:beforeAutospacing="1" w:after="100" w:afterAutospacing="1"/>
        <w:outlineLvl w:val="3"/>
        <w:rPr>
          <w:rFonts w:eastAsiaTheme="minorEastAsia"/>
          <w:b/>
          <w:sz w:val="24"/>
        </w:rPr>
      </w:pPr>
      <w:r w:rsidRPr="00F9522B">
        <w:rPr>
          <w:rFonts w:eastAsiaTheme="minorEastAsia"/>
          <w:b/>
          <w:sz w:val="24"/>
        </w:rPr>
        <w:t>3.3.2.2</w:t>
      </w:r>
      <w:r w:rsidRPr="00F9522B">
        <w:rPr>
          <w:rFonts w:eastAsiaTheme="minorEastAsia"/>
          <w:b/>
          <w:sz w:val="24"/>
        </w:rPr>
        <w:t>废气污染分析</w:t>
      </w:r>
    </w:p>
    <w:p w:rsidR="002A5A5E" w:rsidRPr="00F9522B" w:rsidRDefault="00611CBA">
      <w:pPr>
        <w:spacing w:line="360" w:lineRule="auto"/>
        <w:ind w:firstLineChars="200" w:firstLine="480"/>
        <w:rPr>
          <w:rFonts w:eastAsiaTheme="minorEastAsia"/>
          <w:sz w:val="24"/>
        </w:rPr>
      </w:pPr>
      <w:r w:rsidRPr="00F9522B">
        <w:rPr>
          <w:rFonts w:eastAsiaTheme="minorEastAsia"/>
          <w:bCs/>
          <w:sz w:val="24"/>
        </w:rPr>
        <w:t>本项目无冬季供暖，机耕路主要在春、秋农忙季节有少量农机车辆行驶，其</w:t>
      </w:r>
      <w:r w:rsidRPr="00F9522B">
        <w:rPr>
          <w:rFonts w:eastAsiaTheme="minorEastAsia"/>
          <w:bCs/>
          <w:sz w:val="24"/>
        </w:rPr>
        <w:lastRenderedPageBreak/>
        <w:t>他时段基本无车辆通过，车辆通过会产生少量汽车尾气，汽车尾气中主要污染物为</w:t>
      </w:r>
      <w:r w:rsidRPr="00F9522B">
        <w:rPr>
          <w:rFonts w:eastAsiaTheme="minorEastAsia"/>
          <w:bCs/>
          <w:sz w:val="24"/>
        </w:rPr>
        <w:t>CO</w:t>
      </w:r>
      <w:r w:rsidRPr="00F9522B">
        <w:rPr>
          <w:rFonts w:eastAsiaTheme="minorEastAsia"/>
          <w:bCs/>
          <w:sz w:val="24"/>
        </w:rPr>
        <w:t>、</w:t>
      </w:r>
      <w:r w:rsidRPr="00F9522B">
        <w:rPr>
          <w:rFonts w:eastAsiaTheme="minorEastAsia"/>
          <w:bCs/>
          <w:sz w:val="24"/>
        </w:rPr>
        <w:t>NO</w:t>
      </w:r>
      <w:r w:rsidRPr="00F9522B">
        <w:rPr>
          <w:rFonts w:eastAsiaTheme="minorEastAsia"/>
          <w:bCs/>
          <w:sz w:val="24"/>
          <w:vertAlign w:val="subscript"/>
        </w:rPr>
        <w:t>X</w:t>
      </w:r>
      <w:r w:rsidRPr="00F9522B">
        <w:rPr>
          <w:rFonts w:eastAsiaTheme="minorEastAsia"/>
          <w:bCs/>
          <w:sz w:val="24"/>
        </w:rPr>
        <w:t>、</w:t>
      </w:r>
      <w:r w:rsidRPr="00F9522B">
        <w:rPr>
          <w:rFonts w:eastAsiaTheme="minorEastAsia"/>
          <w:bCs/>
          <w:sz w:val="24"/>
        </w:rPr>
        <w:t>THC</w:t>
      </w:r>
      <w:r w:rsidRPr="00F9522B">
        <w:rPr>
          <w:rFonts w:eastAsiaTheme="minorEastAsia"/>
          <w:bCs/>
          <w:sz w:val="24"/>
        </w:rPr>
        <w:t>等</w:t>
      </w:r>
      <w:r w:rsidRPr="00F9522B">
        <w:rPr>
          <w:rFonts w:eastAsiaTheme="minorEastAsia"/>
          <w:sz w:val="24"/>
        </w:rPr>
        <w:t>。</w:t>
      </w:r>
    </w:p>
    <w:p w:rsidR="002A5A5E" w:rsidRPr="00F9522B" w:rsidRDefault="00611CBA">
      <w:pPr>
        <w:spacing w:line="360" w:lineRule="auto"/>
        <w:ind w:firstLineChars="200" w:firstLine="480"/>
        <w:rPr>
          <w:rFonts w:eastAsiaTheme="minorEastAsia"/>
          <w:sz w:val="24"/>
        </w:rPr>
      </w:pPr>
      <w:r w:rsidRPr="00F9522B">
        <w:rPr>
          <w:rFonts w:eastAsiaTheme="minorEastAsia"/>
          <w:kern w:val="0"/>
          <w:sz w:val="24"/>
          <w:szCs w:val="20"/>
        </w:rPr>
        <w:t>项目区</w:t>
      </w:r>
      <w:r w:rsidRPr="00F9522B">
        <w:rPr>
          <w:rFonts w:eastAsiaTheme="minorEastAsia"/>
          <w:sz w:val="24"/>
        </w:rPr>
        <w:t>设置</w:t>
      </w:r>
      <w:r w:rsidR="005E3027" w:rsidRPr="00F9522B">
        <w:rPr>
          <w:rFonts w:eastAsiaTheme="minorEastAsia"/>
          <w:sz w:val="24"/>
        </w:rPr>
        <w:t>78</w:t>
      </w:r>
      <w:r w:rsidR="005E3027" w:rsidRPr="00F9522B">
        <w:rPr>
          <w:rFonts w:eastAsiaTheme="minorEastAsia"/>
          <w:sz w:val="24"/>
        </w:rPr>
        <w:t>台</w:t>
      </w:r>
      <w:r w:rsidRPr="00F9522B">
        <w:rPr>
          <w:rFonts w:eastAsiaTheme="minorEastAsia"/>
          <w:sz w:val="24"/>
        </w:rPr>
        <w:t>柴油机移动泵车</w:t>
      </w:r>
      <w:r w:rsidRPr="00F9522B">
        <w:rPr>
          <w:rFonts w:eastAsiaTheme="minorEastAsia"/>
          <w:kern w:val="0"/>
          <w:sz w:val="24"/>
          <w:szCs w:val="20"/>
        </w:rPr>
        <w:t>。</w:t>
      </w:r>
      <w:r w:rsidRPr="00F9522B">
        <w:rPr>
          <w:rFonts w:eastAsiaTheme="minorEastAsia"/>
          <w:sz w:val="24"/>
        </w:rPr>
        <w:t>根据建设单位提供，柴油机移动泵车功率为</w:t>
      </w:r>
      <w:r w:rsidRPr="00F9522B">
        <w:rPr>
          <w:rFonts w:eastAsiaTheme="minorEastAsia"/>
          <w:sz w:val="24"/>
        </w:rPr>
        <w:t>22kW</w:t>
      </w:r>
      <w:r w:rsidRPr="00F9522B">
        <w:rPr>
          <w:rFonts w:eastAsiaTheme="minorEastAsia"/>
          <w:sz w:val="24"/>
        </w:rPr>
        <w:t>，由于泵车分布较分散，单个泵车视为一个施工厂区，类比同类柴油机移动泵车，柴油消耗量约为</w:t>
      </w:r>
      <w:r w:rsidRPr="00F9522B">
        <w:rPr>
          <w:rFonts w:eastAsiaTheme="minorEastAsia"/>
          <w:sz w:val="24"/>
        </w:rPr>
        <w:t>200g/kWh</w:t>
      </w:r>
      <w:r w:rsidRPr="00F9522B">
        <w:rPr>
          <w:rFonts w:eastAsiaTheme="minorEastAsia"/>
          <w:sz w:val="24"/>
        </w:rPr>
        <w:t>，柴油密度为</w:t>
      </w:r>
      <w:r w:rsidRPr="00F9522B">
        <w:rPr>
          <w:rFonts w:eastAsiaTheme="minorEastAsia"/>
          <w:sz w:val="24"/>
        </w:rPr>
        <w:t>1.192kL/t</w:t>
      </w:r>
      <w:r w:rsidRPr="00F9522B">
        <w:rPr>
          <w:rFonts w:eastAsiaTheme="minorEastAsia"/>
          <w:sz w:val="24"/>
        </w:rPr>
        <w:t>，则柴油用量为</w:t>
      </w:r>
      <w:r w:rsidRPr="00F9522B">
        <w:rPr>
          <w:rFonts w:eastAsiaTheme="minorEastAsia"/>
          <w:sz w:val="24"/>
        </w:rPr>
        <w:t>2.384×10</w:t>
      </w:r>
      <w:r w:rsidRPr="00F9522B">
        <w:rPr>
          <w:rFonts w:eastAsiaTheme="minorEastAsia"/>
          <w:sz w:val="24"/>
          <w:vertAlign w:val="superscript"/>
        </w:rPr>
        <w:t>-4</w:t>
      </w:r>
      <w:r w:rsidRPr="00F9522B">
        <w:rPr>
          <w:rFonts w:eastAsiaTheme="minorEastAsia"/>
          <w:sz w:val="24"/>
        </w:rPr>
        <w:t>kL/kWh</w:t>
      </w:r>
      <w:r w:rsidRPr="00F9522B">
        <w:rPr>
          <w:rFonts w:eastAsiaTheme="minorEastAsia"/>
          <w:sz w:val="24"/>
        </w:rPr>
        <w:t>，</w:t>
      </w:r>
      <w:r w:rsidR="00051111" w:rsidRPr="00F9522B">
        <w:rPr>
          <w:rFonts w:eastAsiaTheme="minorEastAsia"/>
          <w:sz w:val="24"/>
        </w:rPr>
        <w:t>参考《非道路移动源大气污染物排放清单编制技术指南（试行）》，</w:t>
      </w:r>
      <w:r w:rsidRPr="00F9522B">
        <w:rPr>
          <w:rFonts w:eastAsiaTheme="minorEastAsia"/>
          <w:sz w:val="24"/>
        </w:rPr>
        <w:t>柴油机移动泵车废气主要污染物为</w:t>
      </w:r>
      <w:r w:rsidRPr="00F9522B">
        <w:rPr>
          <w:rFonts w:eastAsiaTheme="minorEastAsia"/>
          <w:sz w:val="24"/>
        </w:rPr>
        <w:t>CO</w:t>
      </w:r>
      <w:r w:rsidRPr="00F9522B">
        <w:rPr>
          <w:rFonts w:eastAsiaTheme="minorEastAsia"/>
          <w:sz w:val="24"/>
        </w:rPr>
        <w:t>、</w:t>
      </w:r>
      <w:r w:rsidRPr="00F9522B">
        <w:rPr>
          <w:rFonts w:eastAsiaTheme="minorEastAsia"/>
          <w:sz w:val="24"/>
        </w:rPr>
        <w:t>HC+NO</w:t>
      </w:r>
      <w:r w:rsidRPr="00F9522B">
        <w:rPr>
          <w:rFonts w:eastAsiaTheme="minorEastAsia"/>
          <w:sz w:val="24"/>
          <w:vertAlign w:val="subscript"/>
        </w:rPr>
        <w:t>x</w:t>
      </w:r>
      <w:r w:rsidRPr="00F9522B">
        <w:rPr>
          <w:rFonts w:eastAsiaTheme="minorEastAsia"/>
          <w:sz w:val="24"/>
        </w:rPr>
        <w:t>、</w:t>
      </w:r>
      <w:r w:rsidRPr="00F9522B">
        <w:rPr>
          <w:rFonts w:eastAsiaTheme="minorEastAsia"/>
          <w:sz w:val="24"/>
        </w:rPr>
        <w:t>PM</w:t>
      </w:r>
      <w:r w:rsidRPr="00F9522B">
        <w:rPr>
          <w:rFonts w:eastAsiaTheme="minorEastAsia"/>
          <w:sz w:val="24"/>
        </w:rPr>
        <w:t>（颗粒物），本项目各污染物排放速率等详见下表。</w:t>
      </w:r>
    </w:p>
    <w:p w:rsidR="002A5A5E" w:rsidRPr="00F9522B" w:rsidRDefault="00611CBA">
      <w:pPr>
        <w:contextualSpacing/>
        <w:jc w:val="center"/>
        <w:rPr>
          <w:rFonts w:eastAsiaTheme="minorEastAsia"/>
          <w:sz w:val="24"/>
        </w:rPr>
      </w:pPr>
      <w:r w:rsidRPr="00F9522B">
        <w:rPr>
          <w:rFonts w:eastAsiaTheme="minorEastAsia"/>
          <w:b/>
          <w:kern w:val="0"/>
          <w:szCs w:val="21"/>
        </w:rPr>
        <w:t>表</w:t>
      </w:r>
      <w:r w:rsidRPr="00F9522B">
        <w:rPr>
          <w:rFonts w:eastAsiaTheme="minorEastAsia"/>
          <w:b/>
          <w:kern w:val="0"/>
          <w:szCs w:val="21"/>
        </w:rPr>
        <w:t>3-3-6</w:t>
      </w:r>
      <w:r w:rsidRPr="00F9522B">
        <w:rPr>
          <w:rFonts w:eastAsiaTheme="minorEastAsia"/>
          <w:b/>
          <w:kern w:val="0"/>
          <w:szCs w:val="21"/>
        </w:rPr>
        <w:t>柴油机移动泵车中各污染物产生情况一览表</w:t>
      </w:r>
    </w:p>
    <w:tbl>
      <w:tblPr>
        <w:tblW w:w="0" w:type="auto"/>
        <w:jc w:val="center"/>
        <w:tblBorders>
          <w:top w:val="single" w:sz="12" w:space="0" w:color="auto"/>
          <w:bottom w:val="single" w:sz="12" w:space="0" w:color="auto"/>
          <w:insideH w:val="single" w:sz="4" w:space="0" w:color="auto"/>
          <w:insideV w:val="single" w:sz="4" w:space="0" w:color="auto"/>
        </w:tblBorders>
        <w:tblLayout w:type="fixed"/>
        <w:tblLook w:val="04A0"/>
      </w:tblPr>
      <w:tblGrid>
        <w:gridCol w:w="2236"/>
        <w:gridCol w:w="2048"/>
        <w:gridCol w:w="2048"/>
        <w:gridCol w:w="2049"/>
      </w:tblGrid>
      <w:tr w:rsidR="002A5A5E" w:rsidRPr="00F9522B">
        <w:trPr>
          <w:trHeight w:val="294"/>
          <w:jc w:val="center"/>
        </w:trPr>
        <w:tc>
          <w:tcPr>
            <w:tcW w:w="2236"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污染物</w:t>
            </w:r>
          </w:p>
        </w:tc>
        <w:tc>
          <w:tcPr>
            <w:tcW w:w="2048"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CO</w:t>
            </w:r>
          </w:p>
        </w:tc>
        <w:tc>
          <w:tcPr>
            <w:tcW w:w="2048"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HC+NO</w:t>
            </w:r>
            <w:r w:rsidRPr="00F9522B">
              <w:rPr>
                <w:rFonts w:eastAsiaTheme="minorEastAsia"/>
                <w:szCs w:val="21"/>
                <w:vertAlign w:val="subscript"/>
              </w:rPr>
              <w:t>x</w:t>
            </w:r>
          </w:p>
        </w:tc>
        <w:tc>
          <w:tcPr>
            <w:tcW w:w="2049"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PM</w:t>
            </w:r>
            <w:r w:rsidRPr="00F9522B">
              <w:rPr>
                <w:rFonts w:eastAsiaTheme="minorEastAsia"/>
                <w:szCs w:val="21"/>
              </w:rPr>
              <w:t>（颗粒物）</w:t>
            </w:r>
          </w:p>
        </w:tc>
      </w:tr>
      <w:tr w:rsidR="002A5A5E" w:rsidRPr="00F9522B">
        <w:trPr>
          <w:trHeight w:val="315"/>
          <w:jc w:val="center"/>
        </w:trPr>
        <w:tc>
          <w:tcPr>
            <w:tcW w:w="2236"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排污系数（</w:t>
            </w:r>
            <w:r w:rsidRPr="00F9522B">
              <w:rPr>
                <w:rFonts w:eastAsiaTheme="minorEastAsia"/>
                <w:szCs w:val="21"/>
              </w:rPr>
              <w:t>kg/kL</w:t>
            </w:r>
            <w:r w:rsidRPr="00F9522B">
              <w:rPr>
                <w:rFonts w:eastAsiaTheme="minorEastAsia"/>
                <w:szCs w:val="21"/>
              </w:rPr>
              <w:t>柴油）</w:t>
            </w:r>
          </w:p>
        </w:tc>
        <w:tc>
          <w:tcPr>
            <w:tcW w:w="2048"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0.63</w:t>
            </w:r>
          </w:p>
        </w:tc>
        <w:tc>
          <w:tcPr>
            <w:tcW w:w="2048"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2.92</w:t>
            </w:r>
          </w:p>
        </w:tc>
        <w:tc>
          <w:tcPr>
            <w:tcW w:w="2049"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0.25</w:t>
            </w:r>
          </w:p>
        </w:tc>
      </w:tr>
      <w:tr w:rsidR="002A5A5E" w:rsidRPr="00F9522B">
        <w:trPr>
          <w:trHeight w:val="294"/>
          <w:jc w:val="center"/>
        </w:trPr>
        <w:tc>
          <w:tcPr>
            <w:tcW w:w="2236"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排放速率（</w:t>
            </w:r>
            <w:r w:rsidRPr="00F9522B">
              <w:rPr>
                <w:rFonts w:eastAsiaTheme="minorEastAsia"/>
                <w:szCs w:val="21"/>
              </w:rPr>
              <w:t>g/kW·h</w:t>
            </w:r>
            <w:r w:rsidRPr="00F9522B">
              <w:rPr>
                <w:rFonts w:eastAsiaTheme="minorEastAsia"/>
                <w:szCs w:val="21"/>
              </w:rPr>
              <w:t>）</w:t>
            </w:r>
          </w:p>
        </w:tc>
        <w:tc>
          <w:tcPr>
            <w:tcW w:w="2048"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0.15</w:t>
            </w:r>
          </w:p>
        </w:tc>
        <w:tc>
          <w:tcPr>
            <w:tcW w:w="2048"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0.696</w:t>
            </w:r>
          </w:p>
        </w:tc>
        <w:tc>
          <w:tcPr>
            <w:tcW w:w="2049"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0.06</w:t>
            </w:r>
          </w:p>
        </w:tc>
      </w:tr>
      <w:tr w:rsidR="002A5A5E" w:rsidRPr="00F9522B">
        <w:trPr>
          <w:trHeight w:val="294"/>
          <w:jc w:val="center"/>
        </w:trPr>
        <w:tc>
          <w:tcPr>
            <w:tcW w:w="2236"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排放标准（</w:t>
            </w:r>
            <w:r w:rsidRPr="00F9522B">
              <w:rPr>
                <w:rFonts w:eastAsiaTheme="minorEastAsia"/>
                <w:szCs w:val="21"/>
              </w:rPr>
              <w:t>g/kW·h</w:t>
            </w:r>
            <w:r w:rsidRPr="00F9522B">
              <w:rPr>
                <w:rFonts w:eastAsiaTheme="minorEastAsia"/>
                <w:szCs w:val="21"/>
              </w:rPr>
              <w:t>）</w:t>
            </w:r>
          </w:p>
        </w:tc>
        <w:tc>
          <w:tcPr>
            <w:tcW w:w="2048"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3.5</w:t>
            </w:r>
          </w:p>
        </w:tc>
        <w:tc>
          <w:tcPr>
            <w:tcW w:w="2048"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4.0</w:t>
            </w:r>
          </w:p>
        </w:tc>
        <w:tc>
          <w:tcPr>
            <w:tcW w:w="2049"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0.2</w:t>
            </w:r>
          </w:p>
        </w:tc>
      </w:tr>
      <w:tr w:rsidR="002A5A5E" w:rsidRPr="00F9522B">
        <w:trPr>
          <w:trHeight w:val="294"/>
          <w:jc w:val="center"/>
        </w:trPr>
        <w:tc>
          <w:tcPr>
            <w:tcW w:w="2236"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达标情况</w:t>
            </w:r>
          </w:p>
        </w:tc>
        <w:tc>
          <w:tcPr>
            <w:tcW w:w="2048"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达标</w:t>
            </w:r>
          </w:p>
        </w:tc>
        <w:tc>
          <w:tcPr>
            <w:tcW w:w="2048"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达标</w:t>
            </w:r>
          </w:p>
        </w:tc>
        <w:tc>
          <w:tcPr>
            <w:tcW w:w="2049" w:type="dxa"/>
            <w:tcBorders>
              <w:tl2br w:val="nil"/>
              <w:tr2bl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达标</w:t>
            </w:r>
          </w:p>
        </w:tc>
      </w:tr>
    </w:tbl>
    <w:p w:rsidR="002A5A5E" w:rsidRPr="00F9522B" w:rsidRDefault="00611CBA">
      <w:pPr>
        <w:pStyle w:val="aff4"/>
        <w:adjustRightInd/>
        <w:rPr>
          <w:rFonts w:ascii="Times New Roman" w:hAnsi="Times New Roman" w:cs="Times New Roman"/>
          <w:snapToGrid w:val="0"/>
        </w:rPr>
      </w:pPr>
      <w:r w:rsidRPr="00F9522B">
        <w:rPr>
          <w:rFonts w:ascii="Times New Roman" w:hAnsi="Times New Roman" w:cs="Times New Roman"/>
        </w:rPr>
        <w:t>由上表可知，本项目各污染物排放速率能够满足</w:t>
      </w:r>
      <w:r w:rsidRPr="00F9522B">
        <w:rPr>
          <w:rFonts w:ascii="Times New Roman" w:hAnsi="Times New Roman" w:cs="Times New Roman"/>
        </w:rPr>
        <w:t>GB20891-2014</w:t>
      </w:r>
      <w:r w:rsidRPr="00F9522B">
        <w:rPr>
          <w:rFonts w:ascii="Times New Roman" w:hAnsi="Times New Roman" w:cs="Times New Roman"/>
        </w:rPr>
        <w:t>《非道路移动机械用柴油机移动泵车污染物排放限值及测量方法（中国三、四阶段）》中第四阶段（</w:t>
      </w:r>
      <w:r w:rsidRPr="00F9522B">
        <w:rPr>
          <w:rFonts w:ascii="Times New Roman" w:hAnsi="Times New Roman" w:cs="Times New Roman"/>
        </w:rPr>
        <w:t>130</w:t>
      </w:r>
      <w:r w:rsidRPr="00F9522B">
        <w:rPr>
          <w:rFonts w:ascii="Times New Roman" w:hAnsi="Times New Roman" w:cs="Times New Roman"/>
        </w:rPr>
        <w:t>＜额定功率＜</w:t>
      </w:r>
      <w:r w:rsidRPr="00F9522B">
        <w:rPr>
          <w:rFonts w:ascii="Times New Roman" w:hAnsi="Times New Roman" w:cs="Times New Roman"/>
        </w:rPr>
        <w:t>560kW</w:t>
      </w:r>
      <w:r w:rsidRPr="00F9522B">
        <w:rPr>
          <w:rFonts w:ascii="Times New Roman" w:hAnsi="Times New Roman" w:cs="Times New Roman"/>
        </w:rPr>
        <w:t>）中要求。</w:t>
      </w:r>
    </w:p>
    <w:p w:rsidR="002A5A5E" w:rsidRPr="00F9522B" w:rsidRDefault="00611CBA">
      <w:pPr>
        <w:autoSpaceDE w:val="0"/>
        <w:autoSpaceDN w:val="0"/>
        <w:spacing w:before="100" w:beforeAutospacing="1" w:after="100" w:afterAutospacing="1"/>
        <w:outlineLvl w:val="3"/>
        <w:rPr>
          <w:rFonts w:eastAsiaTheme="minorEastAsia"/>
          <w:b/>
          <w:sz w:val="24"/>
        </w:rPr>
      </w:pPr>
      <w:r w:rsidRPr="00F9522B">
        <w:rPr>
          <w:rFonts w:eastAsiaTheme="minorEastAsia"/>
          <w:b/>
          <w:sz w:val="24"/>
        </w:rPr>
        <w:t>3.3.2.3</w:t>
      </w:r>
      <w:r w:rsidRPr="00F9522B">
        <w:rPr>
          <w:rFonts w:eastAsiaTheme="minorEastAsia"/>
          <w:b/>
          <w:sz w:val="24"/>
        </w:rPr>
        <w:t>噪声污染分析</w:t>
      </w:r>
    </w:p>
    <w:p w:rsidR="002A5A5E" w:rsidRPr="00F9522B" w:rsidRDefault="00611CBA">
      <w:pPr>
        <w:spacing w:line="360" w:lineRule="auto"/>
        <w:ind w:firstLineChars="200" w:firstLine="480"/>
        <w:contextualSpacing/>
        <w:rPr>
          <w:rFonts w:eastAsiaTheme="minorEastAsia"/>
          <w:sz w:val="24"/>
        </w:rPr>
      </w:pPr>
      <w:r w:rsidRPr="00F9522B">
        <w:rPr>
          <w:rFonts w:eastAsiaTheme="minorEastAsia"/>
          <w:sz w:val="24"/>
        </w:rPr>
        <w:t>本项目固定噪声源主要为水泵、</w:t>
      </w:r>
      <w:r w:rsidR="00A4540D" w:rsidRPr="00F9522B">
        <w:rPr>
          <w:rFonts w:eastAsiaTheme="minorEastAsia"/>
          <w:sz w:val="24"/>
        </w:rPr>
        <w:t>水肥一体化设备</w:t>
      </w:r>
      <w:r w:rsidRPr="00F9522B">
        <w:rPr>
          <w:rFonts w:eastAsiaTheme="minorEastAsia"/>
          <w:sz w:val="24"/>
        </w:rPr>
        <w:t>等，</w:t>
      </w:r>
      <w:r w:rsidRPr="00F9522B">
        <w:rPr>
          <w:rFonts w:eastAsiaTheme="minorEastAsia"/>
          <w:bCs/>
          <w:sz w:val="24"/>
        </w:rPr>
        <w:t>由于灌溉井潜水泵在灌溉井管内（位于地下）能够有效地阻隔声传播，经地下土体阻挡后，产生的噪声微弱</w:t>
      </w:r>
      <w:r w:rsidRPr="00F9522B">
        <w:rPr>
          <w:rFonts w:eastAsiaTheme="minorEastAsia"/>
          <w:sz w:val="24"/>
        </w:rPr>
        <w:t>，噪声源强见下表。</w:t>
      </w:r>
    </w:p>
    <w:p w:rsidR="00943455" w:rsidRDefault="00943455">
      <w:pPr>
        <w:contextualSpacing/>
        <w:jc w:val="center"/>
        <w:rPr>
          <w:rFonts w:eastAsiaTheme="minorEastAsia"/>
          <w:b/>
          <w:szCs w:val="21"/>
        </w:rPr>
      </w:pPr>
    </w:p>
    <w:p w:rsidR="00943455" w:rsidRDefault="00943455">
      <w:pPr>
        <w:contextualSpacing/>
        <w:jc w:val="center"/>
        <w:rPr>
          <w:rFonts w:eastAsiaTheme="minorEastAsia"/>
          <w:b/>
          <w:szCs w:val="21"/>
        </w:rPr>
      </w:pPr>
    </w:p>
    <w:p w:rsidR="00943455" w:rsidRDefault="00943455">
      <w:pPr>
        <w:contextualSpacing/>
        <w:jc w:val="center"/>
        <w:rPr>
          <w:rFonts w:eastAsiaTheme="minorEastAsia"/>
          <w:b/>
          <w:szCs w:val="21"/>
        </w:rPr>
      </w:pPr>
    </w:p>
    <w:p w:rsidR="00943455" w:rsidRDefault="00943455">
      <w:pPr>
        <w:contextualSpacing/>
        <w:jc w:val="center"/>
        <w:rPr>
          <w:rFonts w:eastAsiaTheme="minorEastAsia"/>
          <w:b/>
          <w:szCs w:val="21"/>
        </w:rPr>
      </w:pPr>
    </w:p>
    <w:p w:rsidR="00943455" w:rsidRDefault="00943455">
      <w:pPr>
        <w:contextualSpacing/>
        <w:jc w:val="center"/>
        <w:rPr>
          <w:rFonts w:eastAsiaTheme="minorEastAsia"/>
          <w:b/>
          <w:szCs w:val="21"/>
        </w:rPr>
      </w:pPr>
    </w:p>
    <w:p w:rsidR="00943455" w:rsidRDefault="00943455">
      <w:pPr>
        <w:contextualSpacing/>
        <w:jc w:val="center"/>
        <w:rPr>
          <w:rFonts w:eastAsiaTheme="minorEastAsia"/>
          <w:b/>
          <w:szCs w:val="21"/>
        </w:rPr>
      </w:pPr>
    </w:p>
    <w:p w:rsidR="00943455" w:rsidRDefault="00943455">
      <w:pPr>
        <w:contextualSpacing/>
        <w:jc w:val="center"/>
        <w:rPr>
          <w:rFonts w:eastAsiaTheme="minorEastAsia"/>
          <w:b/>
          <w:szCs w:val="21"/>
        </w:rPr>
      </w:pPr>
    </w:p>
    <w:p w:rsidR="00943455" w:rsidRDefault="00943455">
      <w:pPr>
        <w:contextualSpacing/>
        <w:jc w:val="center"/>
        <w:rPr>
          <w:rFonts w:eastAsiaTheme="minorEastAsia"/>
          <w:b/>
          <w:szCs w:val="21"/>
        </w:rPr>
      </w:pPr>
    </w:p>
    <w:p w:rsidR="00943455" w:rsidRDefault="00943455">
      <w:pPr>
        <w:contextualSpacing/>
        <w:jc w:val="center"/>
        <w:rPr>
          <w:rFonts w:eastAsiaTheme="minorEastAsia"/>
          <w:b/>
          <w:szCs w:val="21"/>
        </w:rPr>
      </w:pPr>
    </w:p>
    <w:p w:rsidR="00943455" w:rsidRDefault="00943455">
      <w:pPr>
        <w:contextualSpacing/>
        <w:jc w:val="center"/>
        <w:rPr>
          <w:rFonts w:eastAsiaTheme="minorEastAsia"/>
          <w:b/>
          <w:szCs w:val="21"/>
        </w:rPr>
      </w:pPr>
    </w:p>
    <w:p w:rsidR="00943455" w:rsidRDefault="00943455">
      <w:pPr>
        <w:contextualSpacing/>
        <w:jc w:val="center"/>
        <w:rPr>
          <w:rFonts w:eastAsiaTheme="minorEastAsia"/>
          <w:b/>
          <w:szCs w:val="21"/>
        </w:rPr>
      </w:pPr>
    </w:p>
    <w:p w:rsidR="00943455" w:rsidRDefault="00943455">
      <w:pPr>
        <w:contextualSpacing/>
        <w:jc w:val="center"/>
        <w:rPr>
          <w:rFonts w:eastAsiaTheme="minorEastAsia"/>
          <w:b/>
          <w:szCs w:val="21"/>
        </w:rPr>
      </w:pPr>
    </w:p>
    <w:p w:rsidR="00943455" w:rsidRDefault="00943455">
      <w:pPr>
        <w:contextualSpacing/>
        <w:jc w:val="center"/>
        <w:rPr>
          <w:rFonts w:eastAsiaTheme="minorEastAsia"/>
          <w:b/>
          <w:szCs w:val="21"/>
        </w:rPr>
      </w:pPr>
    </w:p>
    <w:p w:rsidR="00943455" w:rsidRDefault="00943455">
      <w:pPr>
        <w:contextualSpacing/>
        <w:jc w:val="center"/>
        <w:rPr>
          <w:rFonts w:eastAsiaTheme="minorEastAsia"/>
          <w:b/>
          <w:szCs w:val="21"/>
        </w:rPr>
      </w:pPr>
    </w:p>
    <w:p w:rsidR="002A5A5E" w:rsidRPr="00F9522B" w:rsidRDefault="00611CBA">
      <w:pPr>
        <w:contextualSpacing/>
        <w:jc w:val="center"/>
        <w:rPr>
          <w:rFonts w:eastAsiaTheme="minorEastAsia"/>
          <w:b/>
          <w:szCs w:val="21"/>
        </w:rPr>
      </w:pPr>
      <w:r w:rsidRPr="00F9522B">
        <w:rPr>
          <w:rFonts w:eastAsiaTheme="minorEastAsia"/>
          <w:b/>
          <w:szCs w:val="21"/>
        </w:rPr>
        <w:lastRenderedPageBreak/>
        <w:t>表</w:t>
      </w:r>
      <w:r w:rsidRPr="00F9522B">
        <w:rPr>
          <w:rFonts w:eastAsiaTheme="minorEastAsia"/>
          <w:b/>
          <w:szCs w:val="21"/>
        </w:rPr>
        <w:t xml:space="preserve">3-3-7 </w:t>
      </w:r>
      <w:r w:rsidRPr="00F9522B">
        <w:rPr>
          <w:rFonts w:eastAsiaTheme="minorEastAsia"/>
          <w:b/>
          <w:szCs w:val="21"/>
        </w:rPr>
        <w:t>噪声源强一览表（室内）</w:t>
      </w:r>
    </w:p>
    <w:tbl>
      <w:tblPr>
        <w:tblW w:w="5000" w:type="pct"/>
        <w:jc w:val="center"/>
        <w:tblBorders>
          <w:top w:val="single" w:sz="12" w:space="0" w:color="auto"/>
          <w:bottom w:val="single" w:sz="12" w:space="0" w:color="auto"/>
          <w:insideH w:val="single" w:sz="4" w:space="0" w:color="auto"/>
          <w:insideV w:val="single" w:sz="4" w:space="0" w:color="auto"/>
        </w:tblBorders>
        <w:tblLayout w:type="fixed"/>
        <w:tblLook w:val="04A0"/>
      </w:tblPr>
      <w:tblGrid>
        <w:gridCol w:w="394"/>
        <w:gridCol w:w="389"/>
        <w:gridCol w:w="392"/>
        <w:gridCol w:w="527"/>
        <w:gridCol w:w="533"/>
        <w:gridCol w:w="850"/>
        <w:gridCol w:w="515"/>
        <w:gridCol w:w="337"/>
        <w:gridCol w:w="424"/>
        <w:gridCol w:w="738"/>
        <w:gridCol w:w="716"/>
        <w:gridCol w:w="569"/>
        <w:gridCol w:w="716"/>
        <w:gridCol w:w="716"/>
        <w:gridCol w:w="706"/>
      </w:tblGrid>
      <w:tr w:rsidR="002A5A5E" w:rsidRPr="00F9522B" w:rsidTr="001815BB">
        <w:trPr>
          <w:trHeight w:val="20"/>
          <w:jc w:val="center"/>
        </w:trPr>
        <w:tc>
          <w:tcPr>
            <w:tcW w:w="231" w:type="pct"/>
            <w:vMerge w:val="restart"/>
            <w:vAlign w:val="center"/>
          </w:tcPr>
          <w:p w:rsidR="002A5A5E" w:rsidRPr="00F9522B" w:rsidRDefault="00611CBA">
            <w:pPr>
              <w:jc w:val="center"/>
              <w:rPr>
                <w:rFonts w:eastAsiaTheme="minorEastAsia"/>
                <w:szCs w:val="21"/>
              </w:rPr>
            </w:pPr>
            <w:r w:rsidRPr="00F9522B">
              <w:rPr>
                <w:rFonts w:eastAsiaTheme="minorEastAsia"/>
                <w:szCs w:val="21"/>
              </w:rPr>
              <w:t>工序</w:t>
            </w:r>
            <w:r w:rsidRPr="00F9522B">
              <w:rPr>
                <w:rFonts w:eastAsiaTheme="minorEastAsia"/>
                <w:szCs w:val="21"/>
              </w:rPr>
              <w:t>/</w:t>
            </w:r>
            <w:r w:rsidRPr="00F9522B">
              <w:rPr>
                <w:rFonts w:eastAsiaTheme="minorEastAsia"/>
                <w:szCs w:val="21"/>
              </w:rPr>
              <w:t>生产线</w:t>
            </w:r>
          </w:p>
        </w:tc>
        <w:tc>
          <w:tcPr>
            <w:tcW w:w="228" w:type="pct"/>
            <w:vMerge w:val="restart"/>
            <w:vAlign w:val="center"/>
          </w:tcPr>
          <w:p w:rsidR="002A5A5E" w:rsidRPr="00F9522B" w:rsidRDefault="00611CBA">
            <w:pPr>
              <w:jc w:val="center"/>
              <w:rPr>
                <w:rFonts w:eastAsiaTheme="minorEastAsia"/>
                <w:szCs w:val="21"/>
              </w:rPr>
            </w:pPr>
            <w:r w:rsidRPr="00F9522B">
              <w:rPr>
                <w:rFonts w:eastAsiaTheme="minorEastAsia"/>
                <w:szCs w:val="21"/>
              </w:rPr>
              <w:t>建筑物名称</w:t>
            </w:r>
          </w:p>
        </w:tc>
        <w:tc>
          <w:tcPr>
            <w:tcW w:w="230" w:type="pct"/>
            <w:vMerge w:val="restart"/>
            <w:vAlign w:val="center"/>
          </w:tcPr>
          <w:p w:rsidR="002A5A5E" w:rsidRPr="00F9522B" w:rsidRDefault="00611CBA">
            <w:pPr>
              <w:jc w:val="center"/>
              <w:rPr>
                <w:rFonts w:eastAsiaTheme="minorEastAsia"/>
                <w:szCs w:val="21"/>
              </w:rPr>
            </w:pPr>
            <w:r w:rsidRPr="00F9522B">
              <w:rPr>
                <w:rFonts w:eastAsiaTheme="minorEastAsia"/>
                <w:szCs w:val="21"/>
              </w:rPr>
              <w:t>声源名称</w:t>
            </w:r>
          </w:p>
        </w:tc>
        <w:tc>
          <w:tcPr>
            <w:tcW w:w="622" w:type="pct"/>
            <w:gridSpan w:val="2"/>
            <w:vAlign w:val="center"/>
          </w:tcPr>
          <w:p w:rsidR="002A5A5E" w:rsidRPr="00F9522B" w:rsidRDefault="00611CBA">
            <w:pPr>
              <w:jc w:val="center"/>
              <w:rPr>
                <w:rFonts w:eastAsiaTheme="minorEastAsia"/>
                <w:szCs w:val="21"/>
              </w:rPr>
            </w:pPr>
            <w:r w:rsidRPr="00F9522B">
              <w:rPr>
                <w:rFonts w:eastAsiaTheme="minorEastAsia"/>
                <w:szCs w:val="21"/>
              </w:rPr>
              <w:t>声源源强</w:t>
            </w:r>
          </w:p>
        </w:tc>
        <w:tc>
          <w:tcPr>
            <w:tcW w:w="499" w:type="pct"/>
            <w:vAlign w:val="center"/>
          </w:tcPr>
          <w:p w:rsidR="002A5A5E" w:rsidRPr="00F9522B" w:rsidRDefault="00611CBA">
            <w:pPr>
              <w:jc w:val="center"/>
              <w:rPr>
                <w:rFonts w:eastAsiaTheme="minorEastAsia"/>
                <w:szCs w:val="21"/>
              </w:rPr>
            </w:pPr>
            <w:r w:rsidRPr="00F9522B">
              <w:rPr>
                <w:rFonts w:eastAsiaTheme="minorEastAsia"/>
                <w:szCs w:val="21"/>
              </w:rPr>
              <w:t>声源控制措施</w:t>
            </w:r>
          </w:p>
        </w:tc>
        <w:tc>
          <w:tcPr>
            <w:tcW w:w="749" w:type="pct"/>
            <w:gridSpan w:val="3"/>
            <w:vAlign w:val="center"/>
          </w:tcPr>
          <w:p w:rsidR="002A5A5E" w:rsidRPr="00F9522B" w:rsidRDefault="00611CBA">
            <w:pPr>
              <w:jc w:val="center"/>
              <w:rPr>
                <w:rFonts w:eastAsiaTheme="minorEastAsia"/>
                <w:szCs w:val="21"/>
              </w:rPr>
            </w:pPr>
            <w:r w:rsidRPr="00F9522B">
              <w:rPr>
                <w:rFonts w:eastAsiaTheme="minorEastAsia"/>
                <w:szCs w:val="21"/>
              </w:rPr>
              <w:t>空间相对位置</w:t>
            </w:r>
            <w:r w:rsidRPr="00F9522B">
              <w:rPr>
                <w:rFonts w:eastAsiaTheme="minorEastAsia"/>
                <w:szCs w:val="21"/>
              </w:rPr>
              <w:t>/m</w:t>
            </w:r>
          </w:p>
        </w:tc>
        <w:tc>
          <w:tcPr>
            <w:tcW w:w="433" w:type="pct"/>
            <w:vMerge w:val="restart"/>
            <w:vAlign w:val="center"/>
          </w:tcPr>
          <w:p w:rsidR="002A5A5E" w:rsidRPr="00F9522B" w:rsidRDefault="00611CBA">
            <w:pPr>
              <w:jc w:val="center"/>
              <w:rPr>
                <w:rFonts w:eastAsiaTheme="minorEastAsia"/>
                <w:szCs w:val="21"/>
              </w:rPr>
            </w:pPr>
            <w:r w:rsidRPr="00F9522B">
              <w:rPr>
                <w:rFonts w:eastAsiaTheme="minorEastAsia"/>
                <w:szCs w:val="21"/>
              </w:rPr>
              <w:t>距室内边界距离</w:t>
            </w:r>
            <w:r w:rsidRPr="00F9522B">
              <w:rPr>
                <w:rFonts w:eastAsiaTheme="minorEastAsia"/>
                <w:szCs w:val="21"/>
              </w:rPr>
              <w:t>/m</w:t>
            </w:r>
          </w:p>
        </w:tc>
        <w:tc>
          <w:tcPr>
            <w:tcW w:w="420" w:type="pct"/>
            <w:vMerge w:val="restart"/>
            <w:vAlign w:val="center"/>
          </w:tcPr>
          <w:p w:rsidR="002A5A5E" w:rsidRPr="00F9522B" w:rsidRDefault="00611CBA">
            <w:pPr>
              <w:jc w:val="center"/>
              <w:rPr>
                <w:rFonts w:eastAsiaTheme="minorEastAsia"/>
                <w:szCs w:val="21"/>
              </w:rPr>
            </w:pPr>
            <w:r w:rsidRPr="00F9522B">
              <w:rPr>
                <w:rFonts w:eastAsiaTheme="minorEastAsia"/>
                <w:szCs w:val="21"/>
              </w:rPr>
              <w:t>室内边界声级</w:t>
            </w:r>
            <w:r w:rsidRPr="00F9522B">
              <w:rPr>
                <w:rFonts w:eastAsiaTheme="minorEastAsia"/>
                <w:szCs w:val="21"/>
              </w:rPr>
              <w:t>/dB(A)</w:t>
            </w:r>
          </w:p>
        </w:tc>
        <w:tc>
          <w:tcPr>
            <w:tcW w:w="334" w:type="pct"/>
            <w:vMerge w:val="restart"/>
            <w:vAlign w:val="center"/>
          </w:tcPr>
          <w:p w:rsidR="002A5A5E" w:rsidRPr="00F9522B" w:rsidRDefault="00611CBA">
            <w:pPr>
              <w:jc w:val="center"/>
              <w:rPr>
                <w:rFonts w:eastAsiaTheme="minorEastAsia"/>
                <w:szCs w:val="21"/>
              </w:rPr>
            </w:pPr>
            <w:r w:rsidRPr="00F9522B">
              <w:rPr>
                <w:rFonts w:eastAsiaTheme="minorEastAsia"/>
                <w:szCs w:val="21"/>
              </w:rPr>
              <w:t>运行时段</w:t>
            </w:r>
          </w:p>
        </w:tc>
        <w:tc>
          <w:tcPr>
            <w:tcW w:w="420" w:type="pct"/>
            <w:vMerge w:val="restart"/>
            <w:vAlign w:val="center"/>
          </w:tcPr>
          <w:p w:rsidR="002A5A5E" w:rsidRPr="00F9522B" w:rsidRDefault="00611CBA">
            <w:pPr>
              <w:jc w:val="center"/>
              <w:rPr>
                <w:rFonts w:eastAsiaTheme="minorEastAsia"/>
                <w:szCs w:val="21"/>
              </w:rPr>
            </w:pPr>
            <w:r w:rsidRPr="00F9522B">
              <w:rPr>
                <w:rFonts w:eastAsiaTheme="minorEastAsia"/>
                <w:szCs w:val="21"/>
              </w:rPr>
              <w:t>建筑物插入损失</w:t>
            </w:r>
            <w:r w:rsidRPr="00F9522B">
              <w:rPr>
                <w:rFonts w:eastAsiaTheme="minorEastAsia"/>
                <w:szCs w:val="21"/>
              </w:rPr>
              <w:t>/dB(A)</w:t>
            </w:r>
          </w:p>
        </w:tc>
        <w:tc>
          <w:tcPr>
            <w:tcW w:w="834" w:type="pct"/>
            <w:gridSpan w:val="2"/>
            <w:vAlign w:val="center"/>
          </w:tcPr>
          <w:p w:rsidR="002A5A5E" w:rsidRPr="00F9522B" w:rsidRDefault="00611CBA">
            <w:pPr>
              <w:jc w:val="center"/>
              <w:rPr>
                <w:rFonts w:eastAsiaTheme="minorEastAsia"/>
                <w:szCs w:val="21"/>
              </w:rPr>
            </w:pPr>
            <w:r w:rsidRPr="00F9522B">
              <w:rPr>
                <w:rFonts w:eastAsiaTheme="minorEastAsia"/>
                <w:szCs w:val="21"/>
              </w:rPr>
              <w:t>建筑物外噪声</w:t>
            </w:r>
          </w:p>
        </w:tc>
      </w:tr>
      <w:tr w:rsidR="002A5A5E" w:rsidRPr="00F9522B" w:rsidTr="001815BB">
        <w:trPr>
          <w:trHeight w:val="858"/>
          <w:tblHeader/>
          <w:jc w:val="center"/>
        </w:trPr>
        <w:tc>
          <w:tcPr>
            <w:tcW w:w="231" w:type="pct"/>
            <w:vMerge/>
            <w:vAlign w:val="center"/>
          </w:tcPr>
          <w:p w:rsidR="002A5A5E" w:rsidRPr="00F9522B" w:rsidRDefault="002A5A5E">
            <w:pPr>
              <w:jc w:val="center"/>
              <w:rPr>
                <w:rFonts w:eastAsiaTheme="minorEastAsia"/>
                <w:szCs w:val="21"/>
              </w:rPr>
            </w:pPr>
          </w:p>
        </w:tc>
        <w:tc>
          <w:tcPr>
            <w:tcW w:w="228" w:type="pct"/>
            <w:vMerge/>
            <w:vAlign w:val="center"/>
          </w:tcPr>
          <w:p w:rsidR="002A5A5E" w:rsidRPr="00F9522B" w:rsidRDefault="002A5A5E">
            <w:pPr>
              <w:jc w:val="center"/>
              <w:rPr>
                <w:rFonts w:eastAsiaTheme="minorEastAsia"/>
                <w:szCs w:val="21"/>
              </w:rPr>
            </w:pPr>
          </w:p>
        </w:tc>
        <w:tc>
          <w:tcPr>
            <w:tcW w:w="230" w:type="pct"/>
            <w:vMerge/>
            <w:vAlign w:val="center"/>
          </w:tcPr>
          <w:p w:rsidR="002A5A5E" w:rsidRPr="00F9522B" w:rsidRDefault="002A5A5E">
            <w:pPr>
              <w:jc w:val="center"/>
              <w:rPr>
                <w:rFonts w:eastAsiaTheme="minorEastAsia"/>
                <w:szCs w:val="21"/>
              </w:rPr>
            </w:pPr>
          </w:p>
        </w:tc>
        <w:tc>
          <w:tcPr>
            <w:tcW w:w="622" w:type="pct"/>
            <w:gridSpan w:val="2"/>
            <w:vAlign w:val="center"/>
          </w:tcPr>
          <w:p w:rsidR="002A5A5E" w:rsidRPr="00F9522B" w:rsidRDefault="00611CBA">
            <w:pPr>
              <w:jc w:val="center"/>
              <w:rPr>
                <w:rFonts w:eastAsiaTheme="minorEastAsia"/>
                <w:szCs w:val="21"/>
              </w:rPr>
            </w:pPr>
            <w:r w:rsidRPr="00F9522B">
              <w:rPr>
                <w:rFonts w:eastAsiaTheme="minorEastAsia"/>
                <w:szCs w:val="21"/>
              </w:rPr>
              <w:t>（声压级</w:t>
            </w:r>
            <w:r w:rsidRPr="00F9522B">
              <w:rPr>
                <w:rFonts w:eastAsiaTheme="minorEastAsia"/>
                <w:szCs w:val="21"/>
              </w:rPr>
              <w:t>/</w:t>
            </w:r>
            <w:r w:rsidRPr="00F9522B">
              <w:rPr>
                <w:rFonts w:eastAsiaTheme="minorEastAsia"/>
                <w:szCs w:val="21"/>
              </w:rPr>
              <w:t>距声源距离）</w:t>
            </w:r>
            <w:r w:rsidRPr="00F9522B">
              <w:rPr>
                <w:rFonts w:eastAsiaTheme="minorEastAsia"/>
                <w:szCs w:val="21"/>
              </w:rPr>
              <w:t>/</w:t>
            </w:r>
            <w:r w:rsidRPr="00F9522B">
              <w:rPr>
                <w:rFonts w:eastAsiaTheme="minorEastAsia"/>
                <w:szCs w:val="21"/>
              </w:rPr>
              <w:t>（</w:t>
            </w:r>
            <w:r w:rsidRPr="00F9522B">
              <w:rPr>
                <w:rFonts w:eastAsiaTheme="minorEastAsia"/>
                <w:szCs w:val="21"/>
              </w:rPr>
              <w:t>dB(A)/m</w:t>
            </w:r>
            <w:r w:rsidRPr="00F9522B">
              <w:rPr>
                <w:rFonts w:eastAsiaTheme="minorEastAsia"/>
                <w:szCs w:val="21"/>
              </w:rPr>
              <w:t>）</w:t>
            </w:r>
          </w:p>
        </w:tc>
        <w:tc>
          <w:tcPr>
            <w:tcW w:w="499" w:type="pct"/>
            <w:vAlign w:val="center"/>
          </w:tcPr>
          <w:p w:rsidR="002A5A5E" w:rsidRPr="00F9522B" w:rsidRDefault="00611CBA">
            <w:pPr>
              <w:jc w:val="center"/>
              <w:rPr>
                <w:rFonts w:eastAsiaTheme="minorEastAsia"/>
                <w:szCs w:val="21"/>
              </w:rPr>
            </w:pPr>
            <w:r w:rsidRPr="00F9522B">
              <w:rPr>
                <w:rFonts w:eastAsiaTheme="minorEastAsia"/>
                <w:szCs w:val="21"/>
              </w:rPr>
              <w:t>工艺</w:t>
            </w:r>
          </w:p>
        </w:tc>
        <w:tc>
          <w:tcPr>
            <w:tcW w:w="302" w:type="pct"/>
            <w:vAlign w:val="center"/>
          </w:tcPr>
          <w:p w:rsidR="002A5A5E" w:rsidRPr="00F9522B" w:rsidRDefault="00611CBA">
            <w:pPr>
              <w:jc w:val="center"/>
              <w:rPr>
                <w:rFonts w:eastAsiaTheme="minorEastAsia"/>
                <w:szCs w:val="21"/>
              </w:rPr>
            </w:pPr>
            <w:r w:rsidRPr="00F9522B">
              <w:rPr>
                <w:rFonts w:eastAsiaTheme="minorEastAsia"/>
                <w:szCs w:val="21"/>
              </w:rPr>
              <w:t>X</w:t>
            </w:r>
          </w:p>
        </w:tc>
        <w:tc>
          <w:tcPr>
            <w:tcW w:w="198" w:type="pct"/>
            <w:vAlign w:val="center"/>
          </w:tcPr>
          <w:p w:rsidR="002A5A5E" w:rsidRPr="00F9522B" w:rsidRDefault="00611CBA">
            <w:pPr>
              <w:jc w:val="center"/>
              <w:rPr>
                <w:rFonts w:eastAsiaTheme="minorEastAsia"/>
                <w:szCs w:val="21"/>
              </w:rPr>
            </w:pPr>
            <w:r w:rsidRPr="00F9522B">
              <w:rPr>
                <w:rFonts w:eastAsiaTheme="minorEastAsia"/>
                <w:szCs w:val="21"/>
              </w:rPr>
              <w:t>Y</w:t>
            </w:r>
          </w:p>
        </w:tc>
        <w:tc>
          <w:tcPr>
            <w:tcW w:w="249" w:type="pct"/>
            <w:vAlign w:val="center"/>
          </w:tcPr>
          <w:p w:rsidR="002A5A5E" w:rsidRPr="00F9522B" w:rsidRDefault="00611CBA">
            <w:pPr>
              <w:jc w:val="center"/>
              <w:rPr>
                <w:rFonts w:eastAsiaTheme="minorEastAsia"/>
                <w:szCs w:val="21"/>
              </w:rPr>
            </w:pPr>
            <w:r w:rsidRPr="00F9522B">
              <w:rPr>
                <w:rFonts w:eastAsiaTheme="minorEastAsia"/>
                <w:szCs w:val="21"/>
              </w:rPr>
              <w:t>Z</w:t>
            </w:r>
          </w:p>
        </w:tc>
        <w:tc>
          <w:tcPr>
            <w:tcW w:w="433" w:type="pct"/>
            <w:vMerge/>
            <w:vAlign w:val="center"/>
          </w:tcPr>
          <w:p w:rsidR="002A5A5E" w:rsidRPr="00F9522B" w:rsidRDefault="002A5A5E">
            <w:pPr>
              <w:jc w:val="center"/>
              <w:rPr>
                <w:rFonts w:eastAsiaTheme="minorEastAsia"/>
                <w:szCs w:val="21"/>
              </w:rPr>
            </w:pPr>
          </w:p>
        </w:tc>
        <w:tc>
          <w:tcPr>
            <w:tcW w:w="420" w:type="pct"/>
            <w:vMerge/>
            <w:vAlign w:val="center"/>
          </w:tcPr>
          <w:p w:rsidR="002A5A5E" w:rsidRPr="00F9522B" w:rsidRDefault="002A5A5E">
            <w:pPr>
              <w:jc w:val="center"/>
              <w:rPr>
                <w:rFonts w:eastAsiaTheme="minorEastAsia"/>
                <w:szCs w:val="21"/>
              </w:rPr>
            </w:pPr>
          </w:p>
        </w:tc>
        <w:tc>
          <w:tcPr>
            <w:tcW w:w="334" w:type="pct"/>
            <w:vMerge/>
            <w:vAlign w:val="center"/>
          </w:tcPr>
          <w:p w:rsidR="002A5A5E" w:rsidRPr="00F9522B" w:rsidRDefault="002A5A5E">
            <w:pPr>
              <w:jc w:val="center"/>
              <w:rPr>
                <w:rFonts w:eastAsiaTheme="minorEastAsia"/>
                <w:szCs w:val="21"/>
              </w:rPr>
            </w:pPr>
          </w:p>
        </w:tc>
        <w:tc>
          <w:tcPr>
            <w:tcW w:w="420" w:type="pct"/>
            <w:vMerge/>
            <w:vAlign w:val="center"/>
          </w:tcPr>
          <w:p w:rsidR="002A5A5E" w:rsidRPr="00F9522B" w:rsidRDefault="002A5A5E">
            <w:pPr>
              <w:jc w:val="center"/>
              <w:rPr>
                <w:rFonts w:eastAsiaTheme="minorEastAsia"/>
                <w:szCs w:val="21"/>
              </w:rPr>
            </w:pPr>
          </w:p>
        </w:tc>
        <w:tc>
          <w:tcPr>
            <w:tcW w:w="420" w:type="pct"/>
            <w:vAlign w:val="center"/>
          </w:tcPr>
          <w:p w:rsidR="002A5A5E" w:rsidRPr="00F9522B" w:rsidRDefault="00611CBA">
            <w:pPr>
              <w:jc w:val="center"/>
              <w:rPr>
                <w:rFonts w:eastAsiaTheme="minorEastAsia"/>
                <w:szCs w:val="21"/>
              </w:rPr>
            </w:pPr>
            <w:r w:rsidRPr="00F9522B">
              <w:rPr>
                <w:rFonts w:eastAsiaTheme="minorEastAsia"/>
                <w:szCs w:val="21"/>
              </w:rPr>
              <w:t>声压级</w:t>
            </w:r>
          </w:p>
          <w:p w:rsidR="002A5A5E" w:rsidRPr="00F9522B" w:rsidRDefault="00611CBA">
            <w:pPr>
              <w:jc w:val="center"/>
              <w:rPr>
                <w:rFonts w:eastAsiaTheme="minorEastAsia"/>
                <w:szCs w:val="21"/>
              </w:rPr>
            </w:pPr>
            <w:r w:rsidRPr="00F9522B">
              <w:rPr>
                <w:rFonts w:eastAsiaTheme="minorEastAsia"/>
                <w:szCs w:val="21"/>
              </w:rPr>
              <w:t>/dB(A)</w:t>
            </w:r>
          </w:p>
        </w:tc>
        <w:tc>
          <w:tcPr>
            <w:tcW w:w="414" w:type="pct"/>
            <w:vAlign w:val="center"/>
          </w:tcPr>
          <w:p w:rsidR="002A5A5E" w:rsidRPr="00F9522B" w:rsidRDefault="00611CBA">
            <w:pPr>
              <w:jc w:val="center"/>
              <w:rPr>
                <w:rFonts w:eastAsiaTheme="minorEastAsia"/>
                <w:szCs w:val="21"/>
              </w:rPr>
            </w:pPr>
            <w:r w:rsidRPr="00F9522B">
              <w:rPr>
                <w:rFonts w:eastAsiaTheme="minorEastAsia"/>
                <w:szCs w:val="21"/>
              </w:rPr>
              <w:t>建筑物外距离（</w:t>
            </w:r>
            <w:r w:rsidRPr="00F9522B">
              <w:rPr>
                <w:rFonts w:eastAsiaTheme="minorEastAsia"/>
                <w:szCs w:val="21"/>
              </w:rPr>
              <w:t>m</w:t>
            </w:r>
            <w:r w:rsidRPr="00F9522B">
              <w:rPr>
                <w:rFonts w:eastAsiaTheme="minorEastAsia"/>
                <w:szCs w:val="21"/>
              </w:rPr>
              <w:t>）</w:t>
            </w:r>
          </w:p>
        </w:tc>
      </w:tr>
      <w:tr w:rsidR="002A5A5E" w:rsidRPr="00F9522B" w:rsidTr="001815BB">
        <w:trPr>
          <w:trHeight w:val="20"/>
          <w:tblHeader/>
          <w:jc w:val="center"/>
        </w:trPr>
        <w:tc>
          <w:tcPr>
            <w:tcW w:w="231" w:type="pct"/>
            <w:vMerge w:val="restart"/>
            <w:vAlign w:val="center"/>
          </w:tcPr>
          <w:p w:rsidR="002A5A5E" w:rsidRPr="00F9522B" w:rsidRDefault="00611CBA">
            <w:pPr>
              <w:contextualSpacing/>
              <w:jc w:val="center"/>
              <w:rPr>
                <w:rFonts w:eastAsiaTheme="minorEastAsia"/>
                <w:szCs w:val="21"/>
              </w:rPr>
            </w:pPr>
            <w:r w:rsidRPr="00F9522B">
              <w:rPr>
                <w:rFonts w:eastAsiaTheme="minorEastAsia"/>
                <w:szCs w:val="21"/>
              </w:rPr>
              <w:t>灌溉</w:t>
            </w:r>
          </w:p>
        </w:tc>
        <w:tc>
          <w:tcPr>
            <w:tcW w:w="228" w:type="pct"/>
            <w:vMerge w:val="restart"/>
            <w:vAlign w:val="center"/>
          </w:tcPr>
          <w:p w:rsidR="002A5A5E" w:rsidRPr="00F9522B" w:rsidRDefault="00611CBA">
            <w:pPr>
              <w:contextualSpacing/>
              <w:jc w:val="center"/>
              <w:rPr>
                <w:rFonts w:eastAsiaTheme="minorEastAsia"/>
                <w:szCs w:val="21"/>
              </w:rPr>
            </w:pPr>
            <w:r w:rsidRPr="00F9522B">
              <w:rPr>
                <w:rFonts w:eastAsiaTheme="minorEastAsia"/>
                <w:szCs w:val="21"/>
              </w:rPr>
              <w:t>井房</w:t>
            </w:r>
          </w:p>
        </w:tc>
        <w:tc>
          <w:tcPr>
            <w:tcW w:w="230" w:type="pct"/>
            <w:vAlign w:val="center"/>
          </w:tcPr>
          <w:p w:rsidR="002A5A5E" w:rsidRPr="00F9522B" w:rsidRDefault="00611CBA">
            <w:pPr>
              <w:adjustRightInd w:val="0"/>
              <w:snapToGrid w:val="0"/>
              <w:spacing w:before="40" w:after="40" w:line="240" w:lineRule="exact"/>
              <w:jc w:val="center"/>
              <w:rPr>
                <w:rFonts w:eastAsiaTheme="minorEastAsia"/>
                <w:kern w:val="0"/>
                <w:szCs w:val="21"/>
              </w:rPr>
            </w:pPr>
            <w:r w:rsidRPr="00F9522B">
              <w:rPr>
                <w:rFonts w:eastAsiaTheme="minorEastAsia"/>
                <w:snapToGrid w:val="0"/>
                <w:kern w:val="0"/>
              </w:rPr>
              <w:t>水肥一体</w:t>
            </w:r>
            <w:r w:rsidR="0003457C" w:rsidRPr="00F9522B">
              <w:rPr>
                <w:rFonts w:eastAsiaTheme="minorEastAsia"/>
                <w:snapToGrid w:val="0"/>
                <w:kern w:val="0"/>
              </w:rPr>
              <w:t>化</w:t>
            </w:r>
            <w:r w:rsidRPr="00F9522B">
              <w:rPr>
                <w:rFonts w:eastAsiaTheme="minorEastAsia"/>
                <w:snapToGrid w:val="0"/>
                <w:kern w:val="0"/>
              </w:rPr>
              <w:t>设备</w:t>
            </w:r>
          </w:p>
        </w:tc>
        <w:tc>
          <w:tcPr>
            <w:tcW w:w="309" w:type="pct"/>
            <w:vAlign w:val="center"/>
          </w:tcPr>
          <w:p w:rsidR="002A5A5E" w:rsidRPr="00F9522B" w:rsidRDefault="00611CBA">
            <w:pPr>
              <w:jc w:val="center"/>
              <w:rPr>
                <w:rFonts w:eastAsiaTheme="minorEastAsia"/>
                <w:szCs w:val="21"/>
              </w:rPr>
            </w:pPr>
            <w:r w:rsidRPr="00F9522B">
              <w:rPr>
                <w:rFonts w:eastAsiaTheme="minorEastAsia"/>
                <w:szCs w:val="21"/>
              </w:rPr>
              <w:t>70</w:t>
            </w:r>
          </w:p>
        </w:tc>
        <w:tc>
          <w:tcPr>
            <w:tcW w:w="313" w:type="pct"/>
            <w:vAlign w:val="center"/>
          </w:tcPr>
          <w:p w:rsidR="002A5A5E" w:rsidRPr="00F9522B" w:rsidRDefault="00611CBA">
            <w:pPr>
              <w:contextualSpacing/>
              <w:jc w:val="center"/>
              <w:rPr>
                <w:rFonts w:eastAsiaTheme="minorEastAsia"/>
                <w:szCs w:val="21"/>
              </w:rPr>
            </w:pPr>
            <w:r w:rsidRPr="00F9522B">
              <w:rPr>
                <w:rFonts w:eastAsiaTheme="minorEastAsia"/>
                <w:szCs w:val="21"/>
              </w:rPr>
              <w:t>设备外</w:t>
            </w:r>
            <w:r w:rsidRPr="00F9522B">
              <w:rPr>
                <w:rFonts w:eastAsiaTheme="minorEastAsia"/>
                <w:szCs w:val="21"/>
              </w:rPr>
              <w:t>1m</w:t>
            </w:r>
          </w:p>
        </w:tc>
        <w:tc>
          <w:tcPr>
            <w:tcW w:w="499" w:type="pct"/>
            <w:vAlign w:val="center"/>
          </w:tcPr>
          <w:p w:rsidR="002A5A5E" w:rsidRPr="00F9522B" w:rsidRDefault="00611CBA">
            <w:pPr>
              <w:adjustRightInd w:val="0"/>
              <w:snapToGrid w:val="0"/>
              <w:spacing w:line="0" w:lineRule="atLeast"/>
              <w:jc w:val="center"/>
              <w:rPr>
                <w:rFonts w:eastAsiaTheme="minorEastAsia"/>
                <w:snapToGrid w:val="0"/>
                <w:szCs w:val="21"/>
              </w:rPr>
            </w:pPr>
            <w:r w:rsidRPr="00F9522B">
              <w:rPr>
                <w:rFonts w:eastAsiaTheme="minorEastAsia"/>
                <w:snapToGrid w:val="0"/>
                <w:szCs w:val="21"/>
              </w:rPr>
              <w:t>井房隔声</w:t>
            </w:r>
          </w:p>
        </w:tc>
        <w:tc>
          <w:tcPr>
            <w:tcW w:w="302" w:type="pct"/>
            <w:vAlign w:val="center"/>
          </w:tcPr>
          <w:p w:rsidR="002A5A5E" w:rsidRPr="00F9522B" w:rsidRDefault="00611CBA">
            <w:pPr>
              <w:jc w:val="center"/>
              <w:rPr>
                <w:rFonts w:eastAsiaTheme="minorEastAsia"/>
                <w:szCs w:val="21"/>
              </w:rPr>
            </w:pPr>
            <w:r w:rsidRPr="00F9522B">
              <w:rPr>
                <w:rFonts w:eastAsiaTheme="minorEastAsia"/>
                <w:szCs w:val="21"/>
              </w:rPr>
              <w:t>2</w:t>
            </w:r>
          </w:p>
        </w:tc>
        <w:tc>
          <w:tcPr>
            <w:tcW w:w="198" w:type="pct"/>
            <w:vAlign w:val="center"/>
          </w:tcPr>
          <w:p w:rsidR="002A5A5E" w:rsidRPr="00F9522B" w:rsidRDefault="00611CBA">
            <w:pPr>
              <w:jc w:val="center"/>
              <w:rPr>
                <w:rFonts w:eastAsiaTheme="minorEastAsia"/>
                <w:szCs w:val="21"/>
              </w:rPr>
            </w:pPr>
            <w:r w:rsidRPr="00F9522B">
              <w:rPr>
                <w:rFonts w:eastAsiaTheme="minorEastAsia"/>
                <w:szCs w:val="21"/>
              </w:rPr>
              <w:t>2</w:t>
            </w:r>
          </w:p>
        </w:tc>
        <w:tc>
          <w:tcPr>
            <w:tcW w:w="249" w:type="pct"/>
            <w:vAlign w:val="center"/>
          </w:tcPr>
          <w:p w:rsidR="002A5A5E" w:rsidRPr="00F9522B" w:rsidRDefault="00611CBA">
            <w:pPr>
              <w:jc w:val="center"/>
              <w:rPr>
                <w:rFonts w:eastAsiaTheme="minorEastAsia"/>
                <w:szCs w:val="21"/>
              </w:rPr>
            </w:pPr>
            <w:r w:rsidRPr="00F9522B">
              <w:rPr>
                <w:rFonts w:eastAsiaTheme="minorEastAsia"/>
                <w:szCs w:val="21"/>
              </w:rPr>
              <w:t>1</w:t>
            </w:r>
          </w:p>
        </w:tc>
        <w:tc>
          <w:tcPr>
            <w:tcW w:w="433" w:type="pct"/>
            <w:vAlign w:val="center"/>
          </w:tcPr>
          <w:p w:rsidR="002A5A5E" w:rsidRPr="00F9522B" w:rsidRDefault="00611CBA">
            <w:pPr>
              <w:jc w:val="center"/>
              <w:rPr>
                <w:rFonts w:eastAsiaTheme="minorEastAsia"/>
                <w:szCs w:val="21"/>
              </w:rPr>
            </w:pPr>
            <w:r w:rsidRPr="00F9522B">
              <w:rPr>
                <w:rFonts w:eastAsiaTheme="minorEastAsia"/>
                <w:szCs w:val="21"/>
              </w:rPr>
              <w:t>2</w:t>
            </w:r>
          </w:p>
        </w:tc>
        <w:tc>
          <w:tcPr>
            <w:tcW w:w="420" w:type="pct"/>
            <w:vAlign w:val="center"/>
          </w:tcPr>
          <w:p w:rsidR="002A5A5E" w:rsidRPr="00F9522B" w:rsidRDefault="00611CBA">
            <w:pPr>
              <w:jc w:val="center"/>
              <w:rPr>
                <w:rFonts w:eastAsiaTheme="minorEastAsia"/>
                <w:szCs w:val="21"/>
              </w:rPr>
            </w:pPr>
            <w:r w:rsidRPr="00F9522B">
              <w:rPr>
                <w:rFonts w:eastAsiaTheme="minorEastAsia"/>
                <w:szCs w:val="21"/>
              </w:rPr>
              <w:t>64</w:t>
            </w:r>
          </w:p>
        </w:tc>
        <w:tc>
          <w:tcPr>
            <w:tcW w:w="334" w:type="pct"/>
            <w:vMerge w:val="restart"/>
            <w:vAlign w:val="center"/>
          </w:tcPr>
          <w:p w:rsidR="002A5A5E" w:rsidRPr="00F9522B" w:rsidRDefault="00611CBA">
            <w:pPr>
              <w:jc w:val="center"/>
              <w:rPr>
                <w:rFonts w:eastAsiaTheme="minorEastAsia"/>
                <w:szCs w:val="21"/>
              </w:rPr>
            </w:pPr>
            <w:r w:rsidRPr="00F9522B">
              <w:rPr>
                <w:rFonts w:eastAsiaTheme="minorEastAsia"/>
                <w:szCs w:val="21"/>
              </w:rPr>
              <w:t>昼间、夜间</w:t>
            </w:r>
          </w:p>
        </w:tc>
        <w:tc>
          <w:tcPr>
            <w:tcW w:w="420" w:type="pct"/>
            <w:vAlign w:val="center"/>
          </w:tcPr>
          <w:p w:rsidR="002A5A5E" w:rsidRPr="00F9522B" w:rsidRDefault="00611CBA">
            <w:pPr>
              <w:jc w:val="center"/>
              <w:rPr>
                <w:rFonts w:eastAsiaTheme="minorEastAsia"/>
                <w:szCs w:val="21"/>
              </w:rPr>
            </w:pPr>
            <w:r w:rsidRPr="00F9522B">
              <w:rPr>
                <w:rFonts w:eastAsiaTheme="minorEastAsia"/>
                <w:szCs w:val="21"/>
              </w:rPr>
              <w:t>10</w:t>
            </w:r>
          </w:p>
        </w:tc>
        <w:tc>
          <w:tcPr>
            <w:tcW w:w="420" w:type="pct"/>
            <w:vAlign w:val="center"/>
          </w:tcPr>
          <w:p w:rsidR="002A5A5E" w:rsidRPr="00F9522B" w:rsidRDefault="00611CBA">
            <w:pPr>
              <w:jc w:val="center"/>
              <w:rPr>
                <w:rFonts w:eastAsiaTheme="minorEastAsia"/>
                <w:szCs w:val="21"/>
              </w:rPr>
            </w:pPr>
            <w:r w:rsidRPr="00F9522B">
              <w:rPr>
                <w:rFonts w:eastAsiaTheme="minorEastAsia"/>
                <w:szCs w:val="21"/>
              </w:rPr>
              <w:t>54</w:t>
            </w:r>
          </w:p>
        </w:tc>
        <w:tc>
          <w:tcPr>
            <w:tcW w:w="414" w:type="pct"/>
            <w:vAlign w:val="center"/>
          </w:tcPr>
          <w:p w:rsidR="002A5A5E" w:rsidRPr="00F9522B" w:rsidRDefault="00611CBA">
            <w:pPr>
              <w:jc w:val="center"/>
              <w:rPr>
                <w:rFonts w:eastAsiaTheme="minorEastAsia"/>
                <w:szCs w:val="21"/>
              </w:rPr>
            </w:pPr>
            <w:r w:rsidRPr="00F9522B">
              <w:rPr>
                <w:rFonts w:eastAsiaTheme="minorEastAsia"/>
                <w:szCs w:val="21"/>
              </w:rPr>
              <w:t>1</w:t>
            </w:r>
          </w:p>
        </w:tc>
      </w:tr>
      <w:tr w:rsidR="002A5A5E" w:rsidRPr="00F9522B" w:rsidTr="001815BB">
        <w:trPr>
          <w:trHeight w:val="20"/>
          <w:tblHeader/>
          <w:jc w:val="center"/>
        </w:trPr>
        <w:tc>
          <w:tcPr>
            <w:tcW w:w="231" w:type="pct"/>
            <w:vMerge/>
            <w:vAlign w:val="center"/>
          </w:tcPr>
          <w:p w:rsidR="002A5A5E" w:rsidRPr="00F9522B" w:rsidRDefault="002A5A5E">
            <w:pPr>
              <w:jc w:val="center"/>
              <w:rPr>
                <w:rFonts w:eastAsiaTheme="minorEastAsia"/>
                <w:szCs w:val="21"/>
              </w:rPr>
            </w:pPr>
          </w:p>
        </w:tc>
        <w:tc>
          <w:tcPr>
            <w:tcW w:w="228" w:type="pct"/>
            <w:vMerge/>
            <w:vAlign w:val="center"/>
          </w:tcPr>
          <w:p w:rsidR="002A5A5E" w:rsidRPr="00F9522B" w:rsidRDefault="002A5A5E">
            <w:pPr>
              <w:jc w:val="center"/>
              <w:rPr>
                <w:rFonts w:eastAsiaTheme="minorEastAsia"/>
                <w:szCs w:val="21"/>
              </w:rPr>
            </w:pPr>
          </w:p>
        </w:tc>
        <w:tc>
          <w:tcPr>
            <w:tcW w:w="230" w:type="pct"/>
            <w:vAlign w:val="center"/>
          </w:tcPr>
          <w:p w:rsidR="002A5A5E" w:rsidRPr="00F9522B" w:rsidRDefault="00611CBA">
            <w:pPr>
              <w:adjustRightInd w:val="0"/>
              <w:snapToGrid w:val="0"/>
              <w:spacing w:before="40" w:after="40" w:line="240" w:lineRule="exact"/>
              <w:jc w:val="center"/>
              <w:rPr>
                <w:rFonts w:eastAsiaTheme="minorEastAsia"/>
                <w:kern w:val="0"/>
                <w:szCs w:val="21"/>
              </w:rPr>
            </w:pPr>
            <w:r w:rsidRPr="00F9522B">
              <w:rPr>
                <w:rFonts w:eastAsiaTheme="minorEastAsia"/>
                <w:kern w:val="0"/>
                <w:szCs w:val="21"/>
              </w:rPr>
              <w:t>潜水泵</w:t>
            </w:r>
          </w:p>
        </w:tc>
        <w:tc>
          <w:tcPr>
            <w:tcW w:w="309" w:type="pct"/>
            <w:vAlign w:val="center"/>
          </w:tcPr>
          <w:p w:rsidR="002A5A5E" w:rsidRPr="00F9522B" w:rsidRDefault="009524A2">
            <w:pPr>
              <w:jc w:val="center"/>
              <w:rPr>
                <w:rFonts w:eastAsiaTheme="minorEastAsia"/>
                <w:szCs w:val="21"/>
              </w:rPr>
            </w:pPr>
            <w:r w:rsidRPr="00F9522B">
              <w:rPr>
                <w:rFonts w:eastAsiaTheme="minorEastAsia"/>
                <w:szCs w:val="21"/>
              </w:rPr>
              <w:t>70</w:t>
            </w:r>
          </w:p>
        </w:tc>
        <w:tc>
          <w:tcPr>
            <w:tcW w:w="313" w:type="pct"/>
            <w:vAlign w:val="center"/>
          </w:tcPr>
          <w:p w:rsidR="002A5A5E" w:rsidRPr="00F9522B" w:rsidRDefault="00611CBA">
            <w:pPr>
              <w:jc w:val="center"/>
              <w:rPr>
                <w:rFonts w:eastAsiaTheme="minorEastAsia"/>
                <w:szCs w:val="21"/>
              </w:rPr>
            </w:pPr>
            <w:r w:rsidRPr="00F9522B">
              <w:rPr>
                <w:rFonts w:eastAsiaTheme="minorEastAsia"/>
                <w:szCs w:val="21"/>
              </w:rPr>
              <w:t>设备外</w:t>
            </w:r>
            <w:r w:rsidRPr="00F9522B">
              <w:rPr>
                <w:rFonts w:eastAsiaTheme="minorEastAsia"/>
                <w:szCs w:val="21"/>
              </w:rPr>
              <w:t>1m</w:t>
            </w:r>
          </w:p>
        </w:tc>
        <w:tc>
          <w:tcPr>
            <w:tcW w:w="499" w:type="pct"/>
            <w:vAlign w:val="center"/>
          </w:tcPr>
          <w:p w:rsidR="002A5A5E" w:rsidRPr="00F9522B" w:rsidRDefault="00611CBA">
            <w:pPr>
              <w:spacing w:line="0" w:lineRule="atLeast"/>
              <w:jc w:val="center"/>
              <w:rPr>
                <w:rFonts w:eastAsiaTheme="minorEastAsia"/>
                <w:snapToGrid w:val="0"/>
                <w:szCs w:val="22"/>
              </w:rPr>
            </w:pPr>
            <w:r w:rsidRPr="00F9522B">
              <w:rPr>
                <w:rFonts w:eastAsiaTheme="minorEastAsia"/>
                <w:snapToGrid w:val="0"/>
                <w:szCs w:val="21"/>
              </w:rPr>
              <w:t>井房隔声、</w:t>
            </w:r>
            <w:r w:rsidRPr="00F9522B">
              <w:rPr>
                <w:rFonts w:eastAsiaTheme="minorEastAsia"/>
              </w:rPr>
              <w:t>基础减振、位于地下</w:t>
            </w:r>
          </w:p>
        </w:tc>
        <w:tc>
          <w:tcPr>
            <w:tcW w:w="302" w:type="pct"/>
            <w:vAlign w:val="center"/>
          </w:tcPr>
          <w:p w:rsidR="002A5A5E" w:rsidRPr="00F9522B" w:rsidRDefault="00611CBA">
            <w:pPr>
              <w:jc w:val="center"/>
              <w:rPr>
                <w:rFonts w:eastAsiaTheme="minorEastAsia"/>
                <w:szCs w:val="21"/>
              </w:rPr>
            </w:pPr>
            <w:r w:rsidRPr="00F9522B">
              <w:rPr>
                <w:rFonts w:eastAsiaTheme="minorEastAsia"/>
                <w:szCs w:val="21"/>
              </w:rPr>
              <w:t>0</w:t>
            </w:r>
          </w:p>
        </w:tc>
        <w:tc>
          <w:tcPr>
            <w:tcW w:w="198" w:type="pct"/>
            <w:vAlign w:val="center"/>
          </w:tcPr>
          <w:p w:rsidR="002A5A5E" w:rsidRPr="00F9522B" w:rsidRDefault="00611CBA">
            <w:pPr>
              <w:jc w:val="center"/>
              <w:rPr>
                <w:rFonts w:eastAsiaTheme="minorEastAsia"/>
                <w:szCs w:val="21"/>
              </w:rPr>
            </w:pPr>
            <w:r w:rsidRPr="00F9522B">
              <w:rPr>
                <w:rFonts w:eastAsiaTheme="minorEastAsia"/>
                <w:szCs w:val="21"/>
              </w:rPr>
              <w:t>0</w:t>
            </w:r>
          </w:p>
        </w:tc>
        <w:tc>
          <w:tcPr>
            <w:tcW w:w="249" w:type="pct"/>
            <w:vAlign w:val="center"/>
          </w:tcPr>
          <w:p w:rsidR="002A5A5E" w:rsidRPr="00F9522B" w:rsidRDefault="00611CBA">
            <w:pPr>
              <w:jc w:val="center"/>
              <w:rPr>
                <w:rFonts w:eastAsiaTheme="minorEastAsia"/>
                <w:szCs w:val="21"/>
              </w:rPr>
            </w:pPr>
            <w:r w:rsidRPr="00F9522B">
              <w:rPr>
                <w:rFonts w:eastAsiaTheme="minorEastAsia"/>
                <w:szCs w:val="21"/>
              </w:rPr>
              <w:t>1</w:t>
            </w:r>
          </w:p>
        </w:tc>
        <w:tc>
          <w:tcPr>
            <w:tcW w:w="433" w:type="pct"/>
            <w:vAlign w:val="center"/>
          </w:tcPr>
          <w:p w:rsidR="002A5A5E" w:rsidRPr="00F9522B" w:rsidRDefault="00611CBA">
            <w:pPr>
              <w:jc w:val="center"/>
              <w:rPr>
                <w:rFonts w:eastAsiaTheme="minorEastAsia"/>
                <w:szCs w:val="21"/>
              </w:rPr>
            </w:pPr>
            <w:r w:rsidRPr="00F9522B">
              <w:rPr>
                <w:rFonts w:eastAsiaTheme="minorEastAsia"/>
                <w:szCs w:val="21"/>
              </w:rPr>
              <w:t xml:space="preserve">2 </w:t>
            </w:r>
          </w:p>
        </w:tc>
        <w:tc>
          <w:tcPr>
            <w:tcW w:w="420" w:type="pct"/>
            <w:vAlign w:val="center"/>
          </w:tcPr>
          <w:p w:rsidR="002A5A5E" w:rsidRPr="00F9522B" w:rsidRDefault="00611CBA">
            <w:pPr>
              <w:jc w:val="center"/>
              <w:rPr>
                <w:rFonts w:eastAsiaTheme="minorEastAsia"/>
                <w:szCs w:val="21"/>
              </w:rPr>
            </w:pPr>
            <w:r w:rsidRPr="00F9522B">
              <w:rPr>
                <w:rFonts w:eastAsiaTheme="minorEastAsia"/>
                <w:szCs w:val="21"/>
              </w:rPr>
              <w:t>64</w:t>
            </w:r>
          </w:p>
        </w:tc>
        <w:tc>
          <w:tcPr>
            <w:tcW w:w="334" w:type="pct"/>
            <w:vMerge/>
            <w:vAlign w:val="center"/>
          </w:tcPr>
          <w:p w:rsidR="002A5A5E" w:rsidRPr="00F9522B" w:rsidRDefault="002A5A5E">
            <w:pPr>
              <w:jc w:val="center"/>
              <w:rPr>
                <w:rFonts w:eastAsiaTheme="minorEastAsia"/>
                <w:szCs w:val="21"/>
              </w:rPr>
            </w:pPr>
          </w:p>
        </w:tc>
        <w:tc>
          <w:tcPr>
            <w:tcW w:w="420" w:type="pct"/>
            <w:vAlign w:val="center"/>
          </w:tcPr>
          <w:p w:rsidR="002A5A5E" w:rsidRPr="00F9522B" w:rsidRDefault="00611CBA">
            <w:pPr>
              <w:jc w:val="center"/>
              <w:rPr>
                <w:rFonts w:eastAsiaTheme="minorEastAsia"/>
                <w:szCs w:val="21"/>
              </w:rPr>
            </w:pPr>
            <w:r w:rsidRPr="00F9522B">
              <w:rPr>
                <w:rFonts w:eastAsiaTheme="minorEastAsia"/>
                <w:szCs w:val="21"/>
              </w:rPr>
              <w:t>20</w:t>
            </w:r>
          </w:p>
        </w:tc>
        <w:tc>
          <w:tcPr>
            <w:tcW w:w="420" w:type="pct"/>
            <w:vAlign w:val="center"/>
          </w:tcPr>
          <w:p w:rsidR="002A5A5E" w:rsidRPr="00F9522B" w:rsidRDefault="00611CBA">
            <w:pPr>
              <w:jc w:val="center"/>
              <w:rPr>
                <w:rFonts w:eastAsiaTheme="minorEastAsia"/>
                <w:szCs w:val="21"/>
              </w:rPr>
            </w:pPr>
            <w:r w:rsidRPr="00F9522B">
              <w:rPr>
                <w:rFonts w:eastAsiaTheme="minorEastAsia"/>
                <w:szCs w:val="21"/>
              </w:rPr>
              <w:t>44</w:t>
            </w:r>
          </w:p>
        </w:tc>
        <w:tc>
          <w:tcPr>
            <w:tcW w:w="414" w:type="pct"/>
            <w:vAlign w:val="center"/>
          </w:tcPr>
          <w:p w:rsidR="002A5A5E" w:rsidRPr="00F9522B" w:rsidRDefault="00611CBA">
            <w:pPr>
              <w:jc w:val="center"/>
              <w:rPr>
                <w:rFonts w:eastAsiaTheme="minorEastAsia"/>
                <w:szCs w:val="21"/>
              </w:rPr>
            </w:pPr>
            <w:r w:rsidRPr="00F9522B">
              <w:rPr>
                <w:rFonts w:eastAsiaTheme="minorEastAsia"/>
                <w:szCs w:val="21"/>
              </w:rPr>
              <w:t>1</w:t>
            </w:r>
          </w:p>
        </w:tc>
      </w:tr>
    </w:tbl>
    <w:p w:rsidR="002A5A5E" w:rsidRPr="00F9522B" w:rsidRDefault="00611CBA">
      <w:pPr>
        <w:contextualSpacing/>
        <w:jc w:val="center"/>
        <w:rPr>
          <w:rFonts w:eastAsiaTheme="minorEastAsia"/>
          <w:b/>
          <w:szCs w:val="21"/>
        </w:rPr>
      </w:pPr>
      <w:r w:rsidRPr="00F9522B">
        <w:rPr>
          <w:rFonts w:eastAsiaTheme="minorEastAsia"/>
          <w:b/>
          <w:szCs w:val="21"/>
        </w:rPr>
        <w:t>表</w:t>
      </w:r>
      <w:r w:rsidRPr="00F9522B">
        <w:rPr>
          <w:rFonts w:eastAsiaTheme="minorEastAsia"/>
          <w:b/>
          <w:szCs w:val="21"/>
        </w:rPr>
        <w:t xml:space="preserve">3-3-8 </w:t>
      </w:r>
      <w:r w:rsidRPr="00F9522B">
        <w:rPr>
          <w:rFonts w:eastAsiaTheme="minorEastAsia"/>
          <w:b/>
          <w:szCs w:val="21"/>
        </w:rPr>
        <w:t>噪声源强一览表（室外）</w:t>
      </w:r>
    </w:p>
    <w:tbl>
      <w:tblPr>
        <w:tblW w:w="0" w:type="auto"/>
        <w:jc w:val="center"/>
        <w:tblBorders>
          <w:top w:val="single" w:sz="12" w:space="0" w:color="auto"/>
          <w:bottom w:val="single" w:sz="12" w:space="0" w:color="auto"/>
          <w:insideH w:val="single" w:sz="4" w:space="0" w:color="auto"/>
          <w:insideV w:val="single" w:sz="4" w:space="0" w:color="auto"/>
        </w:tblBorders>
        <w:tblLook w:val="04A0"/>
      </w:tblPr>
      <w:tblGrid>
        <w:gridCol w:w="608"/>
        <w:gridCol w:w="1315"/>
        <w:gridCol w:w="935"/>
        <w:gridCol w:w="862"/>
        <w:gridCol w:w="862"/>
        <w:gridCol w:w="667"/>
        <w:gridCol w:w="1380"/>
        <w:gridCol w:w="1216"/>
        <w:gridCol w:w="677"/>
      </w:tblGrid>
      <w:tr w:rsidR="002A5A5E" w:rsidRPr="00F9522B">
        <w:trPr>
          <w:trHeight w:val="41"/>
          <w:jc w:val="center"/>
        </w:trPr>
        <w:tc>
          <w:tcPr>
            <w:tcW w:w="608" w:type="dxa"/>
            <w:vMerge w:val="restart"/>
            <w:vAlign w:val="center"/>
          </w:tcPr>
          <w:p w:rsidR="002A5A5E" w:rsidRPr="00F9522B" w:rsidRDefault="00611CBA">
            <w:pPr>
              <w:jc w:val="center"/>
              <w:rPr>
                <w:rFonts w:eastAsiaTheme="minorEastAsia"/>
                <w:szCs w:val="21"/>
              </w:rPr>
            </w:pPr>
            <w:r w:rsidRPr="00F9522B">
              <w:rPr>
                <w:rFonts w:eastAsiaTheme="minorEastAsia"/>
                <w:szCs w:val="21"/>
              </w:rPr>
              <w:t>序号</w:t>
            </w:r>
          </w:p>
        </w:tc>
        <w:tc>
          <w:tcPr>
            <w:tcW w:w="1315" w:type="dxa"/>
            <w:vMerge w:val="restart"/>
            <w:vAlign w:val="center"/>
          </w:tcPr>
          <w:p w:rsidR="002A5A5E" w:rsidRPr="00F9522B" w:rsidRDefault="00611CBA">
            <w:pPr>
              <w:jc w:val="center"/>
              <w:rPr>
                <w:rFonts w:eastAsiaTheme="minorEastAsia"/>
                <w:szCs w:val="21"/>
              </w:rPr>
            </w:pPr>
            <w:r w:rsidRPr="00F9522B">
              <w:rPr>
                <w:rFonts w:eastAsiaTheme="minorEastAsia"/>
                <w:szCs w:val="21"/>
              </w:rPr>
              <w:t>声源名称</w:t>
            </w:r>
          </w:p>
        </w:tc>
        <w:tc>
          <w:tcPr>
            <w:tcW w:w="935" w:type="dxa"/>
            <w:vMerge w:val="restart"/>
            <w:vAlign w:val="center"/>
          </w:tcPr>
          <w:p w:rsidR="002A5A5E" w:rsidRPr="00F9522B" w:rsidRDefault="00611CBA">
            <w:pPr>
              <w:jc w:val="center"/>
              <w:rPr>
                <w:rFonts w:eastAsiaTheme="minorEastAsia"/>
                <w:szCs w:val="21"/>
              </w:rPr>
            </w:pPr>
            <w:r w:rsidRPr="00F9522B">
              <w:rPr>
                <w:rFonts w:eastAsiaTheme="minorEastAsia"/>
                <w:szCs w:val="21"/>
              </w:rPr>
              <w:t>型号</w:t>
            </w:r>
          </w:p>
        </w:tc>
        <w:tc>
          <w:tcPr>
            <w:tcW w:w="2391" w:type="dxa"/>
            <w:gridSpan w:val="3"/>
            <w:vAlign w:val="center"/>
          </w:tcPr>
          <w:p w:rsidR="002A5A5E" w:rsidRPr="00F9522B" w:rsidRDefault="00611CBA">
            <w:pPr>
              <w:jc w:val="center"/>
              <w:rPr>
                <w:rFonts w:eastAsiaTheme="minorEastAsia"/>
                <w:szCs w:val="21"/>
              </w:rPr>
            </w:pPr>
            <w:r w:rsidRPr="00F9522B">
              <w:rPr>
                <w:rFonts w:eastAsiaTheme="minorEastAsia"/>
                <w:szCs w:val="21"/>
              </w:rPr>
              <w:t>空间相对位置</w:t>
            </w:r>
            <w:r w:rsidRPr="00F9522B">
              <w:rPr>
                <w:rFonts w:eastAsiaTheme="minorEastAsia"/>
                <w:szCs w:val="21"/>
              </w:rPr>
              <w:t>/m</w:t>
            </w:r>
          </w:p>
        </w:tc>
        <w:tc>
          <w:tcPr>
            <w:tcW w:w="1380" w:type="dxa"/>
            <w:vAlign w:val="center"/>
          </w:tcPr>
          <w:p w:rsidR="002A5A5E" w:rsidRPr="00F9522B" w:rsidRDefault="00611CBA">
            <w:pPr>
              <w:jc w:val="center"/>
              <w:rPr>
                <w:rFonts w:eastAsiaTheme="minorEastAsia"/>
                <w:szCs w:val="21"/>
              </w:rPr>
            </w:pPr>
            <w:r w:rsidRPr="00F9522B">
              <w:rPr>
                <w:rFonts w:eastAsiaTheme="minorEastAsia"/>
                <w:szCs w:val="21"/>
              </w:rPr>
              <w:t>声源源强</w:t>
            </w:r>
          </w:p>
        </w:tc>
        <w:tc>
          <w:tcPr>
            <w:tcW w:w="1216" w:type="dxa"/>
            <w:vMerge w:val="restart"/>
            <w:vAlign w:val="center"/>
          </w:tcPr>
          <w:p w:rsidR="002A5A5E" w:rsidRPr="00F9522B" w:rsidRDefault="00611CBA">
            <w:pPr>
              <w:jc w:val="center"/>
              <w:rPr>
                <w:rFonts w:eastAsiaTheme="minorEastAsia"/>
                <w:szCs w:val="21"/>
              </w:rPr>
            </w:pPr>
            <w:r w:rsidRPr="00F9522B">
              <w:rPr>
                <w:rFonts w:eastAsiaTheme="minorEastAsia"/>
                <w:szCs w:val="21"/>
              </w:rPr>
              <w:t>声源控制措施</w:t>
            </w:r>
          </w:p>
        </w:tc>
        <w:tc>
          <w:tcPr>
            <w:tcW w:w="677" w:type="dxa"/>
            <w:vMerge w:val="restart"/>
            <w:vAlign w:val="center"/>
          </w:tcPr>
          <w:p w:rsidR="002A5A5E" w:rsidRPr="00F9522B" w:rsidRDefault="00611CBA">
            <w:pPr>
              <w:jc w:val="center"/>
              <w:rPr>
                <w:rFonts w:eastAsiaTheme="minorEastAsia"/>
                <w:szCs w:val="21"/>
              </w:rPr>
            </w:pPr>
            <w:r w:rsidRPr="00F9522B">
              <w:rPr>
                <w:rFonts w:eastAsiaTheme="minorEastAsia"/>
                <w:szCs w:val="21"/>
              </w:rPr>
              <w:t>运行时段</w:t>
            </w:r>
          </w:p>
        </w:tc>
      </w:tr>
      <w:tr w:rsidR="002A5A5E" w:rsidRPr="00F9522B">
        <w:trPr>
          <w:trHeight w:val="52"/>
          <w:jc w:val="center"/>
        </w:trPr>
        <w:tc>
          <w:tcPr>
            <w:tcW w:w="608" w:type="dxa"/>
            <w:vMerge/>
            <w:vAlign w:val="center"/>
          </w:tcPr>
          <w:p w:rsidR="002A5A5E" w:rsidRPr="00F9522B" w:rsidRDefault="002A5A5E">
            <w:pPr>
              <w:jc w:val="center"/>
              <w:rPr>
                <w:rFonts w:eastAsiaTheme="minorEastAsia"/>
                <w:szCs w:val="21"/>
              </w:rPr>
            </w:pPr>
          </w:p>
        </w:tc>
        <w:tc>
          <w:tcPr>
            <w:tcW w:w="1315" w:type="dxa"/>
            <w:vMerge/>
            <w:vAlign w:val="center"/>
          </w:tcPr>
          <w:p w:rsidR="002A5A5E" w:rsidRPr="00F9522B" w:rsidRDefault="002A5A5E">
            <w:pPr>
              <w:jc w:val="center"/>
              <w:rPr>
                <w:rFonts w:eastAsiaTheme="minorEastAsia"/>
                <w:szCs w:val="21"/>
              </w:rPr>
            </w:pPr>
          </w:p>
        </w:tc>
        <w:tc>
          <w:tcPr>
            <w:tcW w:w="935" w:type="dxa"/>
            <w:vMerge/>
            <w:vAlign w:val="center"/>
          </w:tcPr>
          <w:p w:rsidR="002A5A5E" w:rsidRPr="00F9522B" w:rsidRDefault="002A5A5E">
            <w:pPr>
              <w:jc w:val="center"/>
              <w:rPr>
                <w:rFonts w:eastAsiaTheme="minorEastAsia"/>
                <w:szCs w:val="21"/>
              </w:rPr>
            </w:pPr>
          </w:p>
        </w:tc>
        <w:tc>
          <w:tcPr>
            <w:tcW w:w="862" w:type="dxa"/>
            <w:vAlign w:val="center"/>
          </w:tcPr>
          <w:p w:rsidR="002A5A5E" w:rsidRPr="00F9522B" w:rsidRDefault="00611CBA">
            <w:pPr>
              <w:jc w:val="center"/>
              <w:rPr>
                <w:rFonts w:eastAsiaTheme="minorEastAsia"/>
                <w:szCs w:val="21"/>
              </w:rPr>
            </w:pPr>
            <w:r w:rsidRPr="00F9522B">
              <w:rPr>
                <w:rFonts w:eastAsiaTheme="minorEastAsia"/>
                <w:szCs w:val="21"/>
              </w:rPr>
              <w:t>X</w:t>
            </w:r>
          </w:p>
        </w:tc>
        <w:tc>
          <w:tcPr>
            <w:tcW w:w="862" w:type="dxa"/>
            <w:vAlign w:val="center"/>
          </w:tcPr>
          <w:p w:rsidR="002A5A5E" w:rsidRPr="00F9522B" w:rsidRDefault="00611CBA">
            <w:pPr>
              <w:jc w:val="center"/>
              <w:rPr>
                <w:rFonts w:eastAsiaTheme="minorEastAsia"/>
                <w:szCs w:val="21"/>
              </w:rPr>
            </w:pPr>
            <w:r w:rsidRPr="00F9522B">
              <w:rPr>
                <w:rFonts w:eastAsiaTheme="minorEastAsia"/>
                <w:szCs w:val="21"/>
              </w:rPr>
              <w:t>Y</w:t>
            </w:r>
          </w:p>
        </w:tc>
        <w:tc>
          <w:tcPr>
            <w:tcW w:w="667" w:type="dxa"/>
            <w:vAlign w:val="center"/>
          </w:tcPr>
          <w:p w:rsidR="002A5A5E" w:rsidRPr="00F9522B" w:rsidRDefault="00611CBA">
            <w:pPr>
              <w:jc w:val="center"/>
              <w:rPr>
                <w:rFonts w:eastAsiaTheme="minorEastAsia"/>
                <w:szCs w:val="21"/>
              </w:rPr>
            </w:pPr>
            <w:r w:rsidRPr="00F9522B">
              <w:rPr>
                <w:rFonts w:eastAsiaTheme="minorEastAsia"/>
                <w:szCs w:val="21"/>
              </w:rPr>
              <w:t>Z</w:t>
            </w:r>
          </w:p>
        </w:tc>
        <w:tc>
          <w:tcPr>
            <w:tcW w:w="1380" w:type="dxa"/>
            <w:vAlign w:val="center"/>
          </w:tcPr>
          <w:p w:rsidR="002A5A5E" w:rsidRPr="00F9522B" w:rsidRDefault="00611CBA">
            <w:pPr>
              <w:jc w:val="center"/>
              <w:rPr>
                <w:rFonts w:eastAsiaTheme="minorEastAsia"/>
                <w:szCs w:val="21"/>
              </w:rPr>
            </w:pPr>
            <w:r w:rsidRPr="00F9522B">
              <w:rPr>
                <w:rFonts w:eastAsiaTheme="minorEastAsia"/>
                <w:szCs w:val="21"/>
              </w:rPr>
              <w:t>声功率级</w:t>
            </w:r>
            <w:r w:rsidRPr="00F9522B">
              <w:rPr>
                <w:rFonts w:eastAsiaTheme="minorEastAsia"/>
                <w:szCs w:val="21"/>
              </w:rPr>
              <w:t>/dB</w:t>
            </w:r>
            <w:r w:rsidRPr="00F9522B">
              <w:rPr>
                <w:rFonts w:eastAsiaTheme="minorEastAsia"/>
                <w:szCs w:val="21"/>
              </w:rPr>
              <w:t>（</w:t>
            </w:r>
            <w:r w:rsidRPr="00F9522B">
              <w:rPr>
                <w:rFonts w:eastAsiaTheme="minorEastAsia"/>
                <w:szCs w:val="21"/>
              </w:rPr>
              <w:t>A</w:t>
            </w:r>
            <w:r w:rsidRPr="00F9522B">
              <w:rPr>
                <w:rFonts w:eastAsiaTheme="minorEastAsia"/>
                <w:szCs w:val="21"/>
              </w:rPr>
              <w:t>）</w:t>
            </w:r>
          </w:p>
        </w:tc>
        <w:tc>
          <w:tcPr>
            <w:tcW w:w="1216" w:type="dxa"/>
            <w:vMerge/>
            <w:vAlign w:val="center"/>
          </w:tcPr>
          <w:p w:rsidR="002A5A5E" w:rsidRPr="00F9522B" w:rsidRDefault="002A5A5E">
            <w:pPr>
              <w:jc w:val="center"/>
              <w:rPr>
                <w:rFonts w:eastAsiaTheme="minorEastAsia"/>
                <w:szCs w:val="21"/>
              </w:rPr>
            </w:pPr>
          </w:p>
        </w:tc>
        <w:tc>
          <w:tcPr>
            <w:tcW w:w="677" w:type="dxa"/>
            <w:vMerge/>
            <w:vAlign w:val="center"/>
          </w:tcPr>
          <w:p w:rsidR="002A5A5E" w:rsidRPr="00F9522B" w:rsidRDefault="002A5A5E">
            <w:pPr>
              <w:jc w:val="center"/>
              <w:rPr>
                <w:rFonts w:eastAsiaTheme="minorEastAsia"/>
                <w:szCs w:val="21"/>
              </w:rPr>
            </w:pPr>
          </w:p>
        </w:tc>
      </w:tr>
      <w:tr w:rsidR="002A5A5E" w:rsidRPr="00F9522B">
        <w:trPr>
          <w:trHeight w:val="52"/>
          <w:jc w:val="center"/>
        </w:trPr>
        <w:tc>
          <w:tcPr>
            <w:tcW w:w="608" w:type="dxa"/>
            <w:vAlign w:val="center"/>
          </w:tcPr>
          <w:p w:rsidR="002A5A5E" w:rsidRPr="00F9522B" w:rsidRDefault="00611CBA">
            <w:pPr>
              <w:jc w:val="center"/>
              <w:rPr>
                <w:rFonts w:eastAsiaTheme="minorEastAsia"/>
                <w:szCs w:val="21"/>
              </w:rPr>
            </w:pPr>
            <w:r w:rsidRPr="00F9522B">
              <w:rPr>
                <w:rFonts w:eastAsiaTheme="minorEastAsia"/>
                <w:szCs w:val="21"/>
              </w:rPr>
              <w:t>1</w:t>
            </w:r>
          </w:p>
        </w:tc>
        <w:tc>
          <w:tcPr>
            <w:tcW w:w="1315" w:type="dxa"/>
            <w:vAlign w:val="center"/>
          </w:tcPr>
          <w:p w:rsidR="002A5A5E" w:rsidRPr="00F9522B" w:rsidRDefault="00611CBA">
            <w:pPr>
              <w:adjustRightInd w:val="0"/>
              <w:snapToGrid w:val="0"/>
              <w:spacing w:before="40" w:after="40" w:line="240" w:lineRule="exact"/>
              <w:jc w:val="center"/>
              <w:rPr>
                <w:rFonts w:eastAsiaTheme="minorEastAsia"/>
                <w:kern w:val="0"/>
                <w:szCs w:val="21"/>
              </w:rPr>
            </w:pPr>
            <w:r w:rsidRPr="00F9522B">
              <w:rPr>
                <w:rFonts w:eastAsiaTheme="minorEastAsia"/>
                <w:kern w:val="0"/>
                <w:szCs w:val="21"/>
              </w:rPr>
              <w:t>变压器</w:t>
            </w:r>
          </w:p>
        </w:tc>
        <w:tc>
          <w:tcPr>
            <w:tcW w:w="935" w:type="dxa"/>
            <w:vAlign w:val="center"/>
          </w:tcPr>
          <w:p w:rsidR="002A5A5E" w:rsidRPr="00F9522B" w:rsidRDefault="00611CBA">
            <w:pPr>
              <w:jc w:val="center"/>
              <w:rPr>
                <w:rFonts w:eastAsiaTheme="minorEastAsia"/>
                <w:szCs w:val="21"/>
              </w:rPr>
            </w:pPr>
            <w:r w:rsidRPr="00F9522B">
              <w:rPr>
                <w:rFonts w:eastAsiaTheme="minorEastAsia"/>
                <w:szCs w:val="21"/>
              </w:rPr>
              <w:t>/</w:t>
            </w:r>
          </w:p>
        </w:tc>
        <w:tc>
          <w:tcPr>
            <w:tcW w:w="862" w:type="dxa"/>
            <w:vAlign w:val="center"/>
          </w:tcPr>
          <w:p w:rsidR="002A5A5E" w:rsidRPr="00F9522B" w:rsidRDefault="00611CBA">
            <w:pPr>
              <w:jc w:val="center"/>
              <w:rPr>
                <w:rFonts w:eastAsiaTheme="minorEastAsia"/>
                <w:szCs w:val="21"/>
              </w:rPr>
            </w:pPr>
            <w:r w:rsidRPr="00F9522B">
              <w:rPr>
                <w:rFonts w:eastAsiaTheme="minorEastAsia"/>
                <w:szCs w:val="21"/>
              </w:rPr>
              <w:t>1500</w:t>
            </w:r>
          </w:p>
        </w:tc>
        <w:tc>
          <w:tcPr>
            <w:tcW w:w="862" w:type="dxa"/>
            <w:vAlign w:val="center"/>
          </w:tcPr>
          <w:p w:rsidR="002A5A5E" w:rsidRPr="00F9522B" w:rsidRDefault="00611CBA">
            <w:pPr>
              <w:jc w:val="center"/>
              <w:rPr>
                <w:rFonts w:eastAsiaTheme="minorEastAsia"/>
                <w:szCs w:val="21"/>
              </w:rPr>
            </w:pPr>
            <w:r w:rsidRPr="00F9522B">
              <w:rPr>
                <w:rFonts w:eastAsiaTheme="minorEastAsia"/>
                <w:szCs w:val="21"/>
              </w:rPr>
              <w:t>3500</w:t>
            </w:r>
          </w:p>
        </w:tc>
        <w:tc>
          <w:tcPr>
            <w:tcW w:w="667" w:type="dxa"/>
            <w:vAlign w:val="center"/>
          </w:tcPr>
          <w:p w:rsidR="002A5A5E" w:rsidRPr="00F9522B" w:rsidRDefault="00611CBA">
            <w:pPr>
              <w:jc w:val="center"/>
              <w:rPr>
                <w:rFonts w:eastAsiaTheme="minorEastAsia"/>
                <w:szCs w:val="21"/>
              </w:rPr>
            </w:pPr>
            <w:r w:rsidRPr="00F9522B">
              <w:rPr>
                <w:rFonts w:eastAsiaTheme="minorEastAsia"/>
                <w:szCs w:val="21"/>
              </w:rPr>
              <w:t>1</w:t>
            </w:r>
          </w:p>
        </w:tc>
        <w:tc>
          <w:tcPr>
            <w:tcW w:w="1380" w:type="dxa"/>
            <w:vAlign w:val="center"/>
          </w:tcPr>
          <w:p w:rsidR="002A5A5E" w:rsidRPr="00F9522B" w:rsidRDefault="00611CBA">
            <w:pPr>
              <w:spacing w:line="0" w:lineRule="atLeast"/>
              <w:jc w:val="center"/>
              <w:rPr>
                <w:rFonts w:eastAsiaTheme="minorEastAsia"/>
                <w:snapToGrid w:val="0"/>
                <w:szCs w:val="22"/>
              </w:rPr>
            </w:pPr>
            <w:r w:rsidRPr="00F9522B">
              <w:rPr>
                <w:rFonts w:eastAsiaTheme="minorEastAsia"/>
                <w:snapToGrid w:val="0"/>
                <w:szCs w:val="22"/>
              </w:rPr>
              <w:t>70</w:t>
            </w:r>
          </w:p>
        </w:tc>
        <w:tc>
          <w:tcPr>
            <w:tcW w:w="1216" w:type="dxa"/>
            <w:vAlign w:val="center"/>
          </w:tcPr>
          <w:p w:rsidR="002A5A5E" w:rsidRPr="00F9522B" w:rsidRDefault="00611CBA">
            <w:pPr>
              <w:jc w:val="center"/>
              <w:rPr>
                <w:rFonts w:eastAsiaTheme="minorEastAsia"/>
                <w:szCs w:val="21"/>
              </w:rPr>
            </w:pPr>
            <w:r w:rsidRPr="00F9522B">
              <w:rPr>
                <w:rFonts w:eastAsiaTheme="minorEastAsia"/>
              </w:rPr>
              <w:t>基础减振</w:t>
            </w:r>
          </w:p>
        </w:tc>
        <w:tc>
          <w:tcPr>
            <w:tcW w:w="677" w:type="dxa"/>
            <w:vAlign w:val="center"/>
          </w:tcPr>
          <w:p w:rsidR="002A5A5E" w:rsidRPr="00F9522B" w:rsidRDefault="00611CBA">
            <w:pPr>
              <w:jc w:val="center"/>
              <w:rPr>
                <w:rFonts w:eastAsiaTheme="minorEastAsia"/>
                <w:szCs w:val="21"/>
              </w:rPr>
            </w:pPr>
            <w:r w:rsidRPr="00F9522B">
              <w:rPr>
                <w:rFonts w:eastAsiaTheme="minorEastAsia"/>
                <w:szCs w:val="21"/>
              </w:rPr>
              <w:t>连续</w:t>
            </w:r>
          </w:p>
        </w:tc>
      </w:tr>
      <w:tr w:rsidR="002A5A5E" w:rsidRPr="00F9522B">
        <w:trPr>
          <w:trHeight w:val="52"/>
          <w:jc w:val="center"/>
        </w:trPr>
        <w:tc>
          <w:tcPr>
            <w:tcW w:w="608" w:type="dxa"/>
            <w:vAlign w:val="center"/>
          </w:tcPr>
          <w:p w:rsidR="002A5A5E" w:rsidRPr="00F9522B" w:rsidRDefault="00611CBA">
            <w:pPr>
              <w:jc w:val="center"/>
              <w:rPr>
                <w:rFonts w:eastAsiaTheme="minorEastAsia"/>
                <w:szCs w:val="21"/>
              </w:rPr>
            </w:pPr>
            <w:r w:rsidRPr="00F9522B">
              <w:rPr>
                <w:rFonts w:eastAsiaTheme="minorEastAsia"/>
                <w:szCs w:val="21"/>
              </w:rPr>
              <w:t>2</w:t>
            </w:r>
          </w:p>
        </w:tc>
        <w:tc>
          <w:tcPr>
            <w:tcW w:w="1315" w:type="dxa"/>
            <w:vAlign w:val="center"/>
          </w:tcPr>
          <w:p w:rsidR="002A5A5E" w:rsidRPr="00F9522B" w:rsidRDefault="00611CBA">
            <w:pPr>
              <w:adjustRightInd w:val="0"/>
              <w:snapToGrid w:val="0"/>
              <w:spacing w:before="40" w:after="40" w:line="240" w:lineRule="exact"/>
              <w:jc w:val="center"/>
              <w:rPr>
                <w:rFonts w:eastAsiaTheme="minorEastAsia"/>
                <w:snapToGrid w:val="0"/>
                <w:kern w:val="0"/>
              </w:rPr>
            </w:pPr>
            <w:r w:rsidRPr="00F9522B">
              <w:rPr>
                <w:rFonts w:eastAsiaTheme="minorEastAsia"/>
                <w:snapToGrid w:val="0"/>
                <w:kern w:val="0"/>
              </w:rPr>
              <w:t>柴油机移动泵车</w:t>
            </w:r>
          </w:p>
        </w:tc>
        <w:tc>
          <w:tcPr>
            <w:tcW w:w="935" w:type="dxa"/>
            <w:vAlign w:val="center"/>
          </w:tcPr>
          <w:p w:rsidR="002A5A5E" w:rsidRPr="00F9522B" w:rsidRDefault="00611CBA">
            <w:pPr>
              <w:jc w:val="center"/>
              <w:rPr>
                <w:rFonts w:eastAsiaTheme="minorEastAsia"/>
                <w:szCs w:val="21"/>
              </w:rPr>
            </w:pPr>
            <w:r w:rsidRPr="00F9522B">
              <w:rPr>
                <w:rFonts w:eastAsiaTheme="minorEastAsia"/>
                <w:szCs w:val="21"/>
              </w:rPr>
              <w:t>/</w:t>
            </w:r>
          </w:p>
        </w:tc>
        <w:tc>
          <w:tcPr>
            <w:tcW w:w="862" w:type="dxa"/>
            <w:vAlign w:val="center"/>
          </w:tcPr>
          <w:p w:rsidR="002A5A5E" w:rsidRPr="00F9522B" w:rsidRDefault="00611CBA">
            <w:pPr>
              <w:jc w:val="center"/>
              <w:rPr>
                <w:rFonts w:eastAsiaTheme="minorEastAsia"/>
                <w:szCs w:val="21"/>
              </w:rPr>
            </w:pPr>
            <w:r w:rsidRPr="00F9522B">
              <w:rPr>
                <w:rFonts w:eastAsiaTheme="minorEastAsia"/>
                <w:szCs w:val="21"/>
              </w:rPr>
              <w:t>4200</w:t>
            </w:r>
          </w:p>
        </w:tc>
        <w:tc>
          <w:tcPr>
            <w:tcW w:w="862" w:type="dxa"/>
            <w:vAlign w:val="center"/>
          </w:tcPr>
          <w:p w:rsidR="002A5A5E" w:rsidRPr="00F9522B" w:rsidRDefault="00611CBA">
            <w:pPr>
              <w:jc w:val="center"/>
              <w:rPr>
                <w:rFonts w:eastAsiaTheme="minorEastAsia"/>
                <w:szCs w:val="21"/>
              </w:rPr>
            </w:pPr>
            <w:r w:rsidRPr="00F9522B">
              <w:rPr>
                <w:rFonts w:eastAsiaTheme="minorEastAsia"/>
                <w:szCs w:val="21"/>
              </w:rPr>
              <w:t>1500</w:t>
            </w:r>
          </w:p>
        </w:tc>
        <w:tc>
          <w:tcPr>
            <w:tcW w:w="667" w:type="dxa"/>
            <w:vAlign w:val="center"/>
          </w:tcPr>
          <w:p w:rsidR="002A5A5E" w:rsidRPr="00F9522B" w:rsidRDefault="00611CBA">
            <w:pPr>
              <w:jc w:val="center"/>
              <w:rPr>
                <w:rFonts w:eastAsiaTheme="minorEastAsia"/>
                <w:szCs w:val="21"/>
              </w:rPr>
            </w:pPr>
            <w:r w:rsidRPr="00F9522B">
              <w:rPr>
                <w:rFonts w:eastAsiaTheme="minorEastAsia"/>
                <w:szCs w:val="21"/>
              </w:rPr>
              <w:t>1</w:t>
            </w:r>
          </w:p>
        </w:tc>
        <w:tc>
          <w:tcPr>
            <w:tcW w:w="1380" w:type="dxa"/>
            <w:vAlign w:val="center"/>
          </w:tcPr>
          <w:p w:rsidR="002A5A5E" w:rsidRPr="00F9522B" w:rsidRDefault="00611CBA">
            <w:pPr>
              <w:spacing w:line="0" w:lineRule="atLeast"/>
              <w:jc w:val="center"/>
              <w:rPr>
                <w:rFonts w:eastAsiaTheme="minorEastAsia"/>
                <w:snapToGrid w:val="0"/>
                <w:szCs w:val="22"/>
              </w:rPr>
            </w:pPr>
            <w:r w:rsidRPr="00F9522B">
              <w:rPr>
                <w:rFonts w:eastAsiaTheme="minorEastAsia"/>
                <w:snapToGrid w:val="0"/>
                <w:szCs w:val="22"/>
              </w:rPr>
              <w:t>70</w:t>
            </w:r>
          </w:p>
        </w:tc>
        <w:tc>
          <w:tcPr>
            <w:tcW w:w="1216" w:type="dxa"/>
            <w:vAlign w:val="center"/>
          </w:tcPr>
          <w:p w:rsidR="002A5A5E" w:rsidRPr="00F9522B" w:rsidRDefault="00611CBA">
            <w:pPr>
              <w:jc w:val="center"/>
              <w:rPr>
                <w:rFonts w:eastAsiaTheme="minorEastAsia"/>
                <w:szCs w:val="21"/>
              </w:rPr>
            </w:pPr>
            <w:r w:rsidRPr="00F9522B">
              <w:rPr>
                <w:rFonts w:eastAsiaTheme="minorEastAsia"/>
                <w:szCs w:val="21"/>
              </w:rPr>
              <w:t>/</w:t>
            </w:r>
          </w:p>
        </w:tc>
        <w:tc>
          <w:tcPr>
            <w:tcW w:w="677" w:type="dxa"/>
            <w:vAlign w:val="center"/>
          </w:tcPr>
          <w:p w:rsidR="002A5A5E" w:rsidRPr="00F9522B" w:rsidRDefault="00611CBA">
            <w:pPr>
              <w:jc w:val="center"/>
              <w:rPr>
                <w:rFonts w:eastAsiaTheme="minorEastAsia"/>
                <w:szCs w:val="21"/>
              </w:rPr>
            </w:pPr>
            <w:r w:rsidRPr="00F9522B">
              <w:rPr>
                <w:rFonts w:eastAsiaTheme="minorEastAsia"/>
                <w:szCs w:val="21"/>
              </w:rPr>
              <w:t>非连续</w:t>
            </w:r>
          </w:p>
        </w:tc>
      </w:tr>
      <w:tr w:rsidR="002A5A5E" w:rsidRPr="00F9522B">
        <w:trPr>
          <w:trHeight w:val="52"/>
          <w:jc w:val="center"/>
        </w:trPr>
        <w:tc>
          <w:tcPr>
            <w:tcW w:w="608" w:type="dxa"/>
            <w:vAlign w:val="center"/>
          </w:tcPr>
          <w:p w:rsidR="002A5A5E" w:rsidRPr="00F9522B" w:rsidRDefault="00611CBA">
            <w:pPr>
              <w:jc w:val="center"/>
              <w:rPr>
                <w:rFonts w:eastAsiaTheme="minorEastAsia"/>
                <w:szCs w:val="21"/>
              </w:rPr>
            </w:pPr>
            <w:r w:rsidRPr="00F9522B">
              <w:rPr>
                <w:rFonts w:eastAsiaTheme="minorEastAsia"/>
                <w:szCs w:val="21"/>
              </w:rPr>
              <w:t>3</w:t>
            </w:r>
          </w:p>
        </w:tc>
        <w:tc>
          <w:tcPr>
            <w:tcW w:w="1315" w:type="dxa"/>
            <w:vAlign w:val="center"/>
          </w:tcPr>
          <w:p w:rsidR="002A5A5E" w:rsidRPr="00F9522B" w:rsidRDefault="00611CBA">
            <w:pPr>
              <w:adjustRightInd w:val="0"/>
              <w:snapToGrid w:val="0"/>
              <w:spacing w:before="40" w:after="40" w:line="240" w:lineRule="exact"/>
              <w:jc w:val="center"/>
              <w:rPr>
                <w:rFonts w:eastAsiaTheme="minorEastAsia"/>
                <w:kern w:val="0"/>
                <w:szCs w:val="21"/>
              </w:rPr>
            </w:pPr>
            <w:r w:rsidRPr="00F9522B">
              <w:rPr>
                <w:rFonts w:eastAsiaTheme="minorEastAsia"/>
                <w:kern w:val="0"/>
                <w:szCs w:val="21"/>
              </w:rPr>
              <w:t>文丘里施肥机</w:t>
            </w:r>
          </w:p>
        </w:tc>
        <w:tc>
          <w:tcPr>
            <w:tcW w:w="935" w:type="dxa"/>
            <w:vAlign w:val="center"/>
          </w:tcPr>
          <w:p w:rsidR="002A5A5E" w:rsidRPr="00F9522B" w:rsidRDefault="00611CBA">
            <w:pPr>
              <w:jc w:val="center"/>
              <w:rPr>
                <w:rFonts w:eastAsiaTheme="minorEastAsia"/>
                <w:szCs w:val="21"/>
              </w:rPr>
            </w:pPr>
            <w:r w:rsidRPr="00F9522B">
              <w:rPr>
                <w:rFonts w:eastAsiaTheme="minorEastAsia"/>
                <w:szCs w:val="21"/>
              </w:rPr>
              <w:t>/</w:t>
            </w:r>
          </w:p>
        </w:tc>
        <w:tc>
          <w:tcPr>
            <w:tcW w:w="862" w:type="dxa"/>
            <w:vAlign w:val="center"/>
          </w:tcPr>
          <w:p w:rsidR="002A5A5E" w:rsidRPr="00F9522B" w:rsidRDefault="00611CBA">
            <w:pPr>
              <w:jc w:val="center"/>
              <w:rPr>
                <w:rFonts w:eastAsiaTheme="minorEastAsia"/>
                <w:szCs w:val="21"/>
              </w:rPr>
            </w:pPr>
            <w:r w:rsidRPr="00F9522B">
              <w:rPr>
                <w:rFonts w:eastAsiaTheme="minorEastAsia"/>
                <w:szCs w:val="21"/>
              </w:rPr>
              <w:t>120</w:t>
            </w:r>
          </w:p>
        </w:tc>
        <w:tc>
          <w:tcPr>
            <w:tcW w:w="862" w:type="dxa"/>
            <w:vAlign w:val="center"/>
          </w:tcPr>
          <w:p w:rsidR="002A5A5E" w:rsidRPr="00F9522B" w:rsidRDefault="00611CBA">
            <w:pPr>
              <w:jc w:val="center"/>
              <w:rPr>
                <w:rFonts w:eastAsiaTheme="minorEastAsia"/>
                <w:szCs w:val="21"/>
              </w:rPr>
            </w:pPr>
            <w:r w:rsidRPr="00F9522B">
              <w:rPr>
                <w:rFonts w:eastAsiaTheme="minorEastAsia"/>
                <w:szCs w:val="21"/>
              </w:rPr>
              <w:t>100</w:t>
            </w:r>
          </w:p>
        </w:tc>
        <w:tc>
          <w:tcPr>
            <w:tcW w:w="667" w:type="dxa"/>
            <w:vAlign w:val="center"/>
          </w:tcPr>
          <w:p w:rsidR="002A5A5E" w:rsidRPr="00F9522B" w:rsidRDefault="00611CBA">
            <w:pPr>
              <w:jc w:val="center"/>
              <w:rPr>
                <w:rFonts w:eastAsiaTheme="minorEastAsia"/>
                <w:szCs w:val="21"/>
              </w:rPr>
            </w:pPr>
            <w:r w:rsidRPr="00F9522B">
              <w:rPr>
                <w:rFonts w:eastAsiaTheme="minorEastAsia"/>
                <w:szCs w:val="21"/>
              </w:rPr>
              <w:t>1</w:t>
            </w:r>
          </w:p>
        </w:tc>
        <w:tc>
          <w:tcPr>
            <w:tcW w:w="1380" w:type="dxa"/>
            <w:vAlign w:val="center"/>
          </w:tcPr>
          <w:p w:rsidR="002A5A5E" w:rsidRPr="00F9522B" w:rsidRDefault="00611CBA">
            <w:pPr>
              <w:spacing w:line="0" w:lineRule="atLeast"/>
              <w:jc w:val="center"/>
              <w:rPr>
                <w:rFonts w:eastAsiaTheme="minorEastAsia"/>
                <w:snapToGrid w:val="0"/>
                <w:szCs w:val="22"/>
              </w:rPr>
            </w:pPr>
            <w:r w:rsidRPr="00F9522B">
              <w:rPr>
                <w:rFonts w:eastAsiaTheme="minorEastAsia"/>
                <w:snapToGrid w:val="0"/>
                <w:szCs w:val="22"/>
              </w:rPr>
              <w:t>70</w:t>
            </w:r>
          </w:p>
        </w:tc>
        <w:tc>
          <w:tcPr>
            <w:tcW w:w="1216" w:type="dxa"/>
            <w:vAlign w:val="center"/>
          </w:tcPr>
          <w:p w:rsidR="002A5A5E" w:rsidRPr="00F9522B" w:rsidRDefault="00611CBA">
            <w:pPr>
              <w:jc w:val="center"/>
              <w:rPr>
                <w:rFonts w:eastAsiaTheme="minorEastAsia"/>
                <w:szCs w:val="21"/>
              </w:rPr>
            </w:pPr>
            <w:r w:rsidRPr="00F9522B">
              <w:rPr>
                <w:rFonts w:eastAsiaTheme="minorEastAsia"/>
                <w:szCs w:val="21"/>
              </w:rPr>
              <w:t>/</w:t>
            </w:r>
          </w:p>
        </w:tc>
        <w:tc>
          <w:tcPr>
            <w:tcW w:w="677" w:type="dxa"/>
            <w:vAlign w:val="center"/>
          </w:tcPr>
          <w:p w:rsidR="002A5A5E" w:rsidRPr="00F9522B" w:rsidRDefault="00611CBA">
            <w:pPr>
              <w:jc w:val="center"/>
              <w:rPr>
                <w:rFonts w:eastAsiaTheme="minorEastAsia"/>
                <w:szCs w:val="21"/>
              </w:rPr>
            </w:pPr>
            <w:r w:rsidRPr="00F9522B">
              <w:rPr>
                <w:rFonts w:eastAsiaTheme="minorEastAsia"/>
                <w:szCs w:val="21"/>
              </w:rPr>
              <w:t>连续</w:t>
            </w:r>
          </w:p>
        </w:tc>
      </w:tr>
      <w:tr w:rsidR="002A5A5E" w:rsidRPr="00F9522B">
        <w:trPr>
          <w:trHeight w:val="52"/>
          <w:jc w:val="center"/>
        </w:trPr>
        <w:tc>
          <w:tcPr>
            <w:tcW w:w="608" w:type="dxa"/>
            <w:vAlign w:val="center"/>
          </w:tcPr>
          <w:p w:rsidR="002A5A5E" w:rsidRPr="00F9522B" w:rsidRDefault="00611CBA">
            <w:pPr>
              <w:jc w:val="center"/>
              <w:rPr>
                <w:rFonts w:eastAsiaTheme="minorEastAsia"/>
                <w:szCs w:val="21"/>
              </w:rPr>
            </w:pPr>
            <w:r w:rsidRPr="00F9522B">
              <w:rPr>
                <w:rFonts w:eastAsiaTheme="minorEastAsia"/>
                <w:szCs w:val="21"/>
              </w:rPr>
              <w:t>4</w:t>
            </w:r>
          </w:p>
        </w:tc>
        <w:tc>
          <w:tcPr>
            <w:tcW w:w="1315" w:type="dxa"/>
            <w:vAlign w:val="center"/>
          </w:tcPr>
          <w:p w:rsidR="002A5A5E" w:rsidRPr="00F9522B" w:rsidRDefault="00611CBA">
            <w:pPr>
              <w:adjustRightInd w:val="0"/>
              <w:snapToGrid w:val="0"/>
              <w:spacing w:before="40" w:after="40" w:line="240" w:lineRule="exact"/>
              <w:jc w:val="center"/>
              <w:rPr>
                <w:rFonts w:eastAsiaTheme="minorEastAsia"/>
                <w:snapToGrid w:val="0"/>
                <w:kern w:val="0"/>
              </w:rPr>
            </w:pPr>
            <w:r w:rsidRPr="00F9522B">
              <w:rPr>
                <w:rFonts w:eastAsiaTheme="minorEastAsia"/>
                <w:snapToGrid w:val="0"/>
                <w:kern w:val="0"/>
              </w:rPr>
              <w:t>机动车</w:t>
            </w:r>
          </w:p>
        </w:tc>
        <w:tc>
          <w:tcPr>
            <w:tcW w:w="935" w:type="dxa"/>
            <w:vAlign w:val="center"/>
          </w:tcPr>
          <w:p w:rsidR="002A5A5E" w:rsidRPr="00F9522B" w:rsidRDefault="00611CBA">
            <w:pPr>
              <w:jc w:val="center"/>
              <w:rPr>
                <w:rFonts w:eastAsiaTheme="minorEastAsia"/>
                <w:szCs w:val="21"/>
              </w:rPr>
            </w:pPr>
            <w:r w:rsidRPr="00F9522B">
              <w:rPr>
                <w:rFonts w:eastAsiaTheme="minorEastAsia"/>
                <w:szCs w:val="21"/>
              </w:rPr>
              <w:t>/</w:t>
            </w:r>
          </w:p>
        </w:tc>
        <w:tc>
          <w:tcPr>
            <w:tcW w:w="862" w:type="dxa"/>
            <w:vAlign w:val="center"/>
          </w:tcPr>
          <w:p w:rsidR="002A5A5E" w:rsidRPr="00F9522B" w:rsidRDefault="00611CBA">
            <w:pPr>
              <w:jc w:val="center"/>
              <w:rPr>
                <w:rFonts w:eastAsiaTheme="minorEastAsia"/>
                <w:szCs w:val="21"/>
              </w:rPr>
            </w:pPr>
            <w:r w:rsidRPr="00F9522B">
              <w:rPr>
                <w:rFonts w:eastAsiaTheme="minorEastAsia"/>
                <w:szCs w:val="21"/>
              </w:rPr>
              <w:t>/</w:t>
            </w:r>
          </w:p>
        </w:tc>
        <w:tc>
          <w:tcPr>
            <w:tcW w:w="862" w:type="dxa"/>
            <w:vAlign w:val="center"/>
          </w:tcPr>
          <w:p w:rsidR="002A5A5E" w:rsidRPr="00F9522B" w:rsidRDefault="00611CBA">
            <w:pPr>
              <w:jc w:val="center"/>
              <w:rPr>
                <w:rFonts w:eastAsiaTheme="minorEastAsia"/>
                <w:szCs w:val="21"/>
              </w:rPr>
            </w:pPr>
            <w:r w:rsidRPr="00F9522B">
              <w:rPr>
                <w:rFonts w:eastAsiaTheme="minorEastAsia"/>
                <w:szCs w:val="21"/>
              </w:rPr>
              <w:t>/</w:t>
            </w:r>
          </w:p>
        </w:tc>
        <w:tc>
          <w:tcPr>
            <w:tcW w:w="667" w:type="dxa"/>
            <w:vAlign w:val="center"/>
          </w:tcPr>
          <w:p w:rsidR="002A5A5E" w:rsidRPr="00F9522B" w:rsidRDefault="00611CBA">
            <w:pPr>
              <w:jc w:val="center"/>
              <w:rPr>
                <w:rFonts w:eastAsiaTheme="minorEastAsia"/>
                <w:szCs w:val="21"/>
              </w:rPr>
            </w:pPr>
            <w:r w:rsidRPr="00F9522B">
              <w:rPr>
                <w:rFonts w:eastAsiaTheme="minorEastAsia"/>
                <w:szCs w:val="21"/>
              </w:rPr>
              <w:t>/</w:t>
            </w:r>
          </w:p>
        </w:tc>
        <w:tc>
          <w:tcPr>
            <w:tcW w:w="1380" w:type="dxa"/>
            <w:vAlign w:val="center"/>
          </w:tcPr>
          <w:p w:rsidR="002A5A5E" w:rsidRPr="00F9522B" w:rsidRDefault="00611CBA">
            <w:pPr>
              <w:spacing w:line="0" w:lineRule="atLeast"/>
              <w:jc w:val="center"/>
              <w:rPr>
                <w:rFonts w:eastAsiaTheme="minorEastAsia"/>
                <w:snapToGrid w:val="0"/>
                <w:szCs w:val="22"/>
              </w:rPr>
            </w:pPr>
            <w:r w:rsidRPr="00F9522B">
              <w:rPr>
                <w:rFonts w:eastAsiaTheme="minorEastAsia"/>
                <w:snapToGrid w:val="0"/>
                <w:szCs w:val="22"/>
              </w:rPr>
              <w:t>70</w:t>
            </w:r>
          </w:p>
        </w:tc>
        <w:tc>
          <w:tcPr>
            <w:tcW w:w="1216" w:type="dxa"/>
            <w:vAlign w:val="center"/>
          </w:tcPr>
          <w:p w:rsidR="002A5A5E" w:rsidRPr="00F9522B" w:rsidRDefault="00611CBA">
            <w:pPr>
              <w:jc w:val="center"/>
              <w:rPr>
                <w:rFonts w:eastAsiaTheme="minorEastAsia"/>
                <w:szCs w:val="21"/>
              </w:rPr>
            </w:pPr>
            <w:r w:rsidRPr="00F9522B">
              <w:rPr>
                <w:rFonts w:eastAsiaTheme="minorEastAsia"/>
                <w:szCs w:val="21"/>
              </w:rPr>
              <w:t>/</w:t>
            </w:r>
          </w:p>
        </w:tc>
        <w:tc>
          <w:tcPr>
            <w:tcW w:w="677" w:type="dxa"/>
            <w:vAlign w:val="center"/>
          </w:tcPr>
          <w:p w:rsidR="002A5A5E" w:rsidRPr="00F9522B" w:rsidRDefault="00611CBA">
            <w:pPr>
              <w:jc w:val="center"/>
              <w:rPr>
                <w:rFonts w:eastAsiaTheme="minorEastAsia"/>
                <w:szCs w:val="21"/>
              </w:rPr>
            </w:pPr>
            <w:r w:rsidRPr="00F9522B">
              <w:rPr>
                <w:rFonts w:eastAsiaTheme="minorEastAsia"/>
                <w:szCs w:val="21"/>
              </w:rPr>
              <w:t>连续</w:t>
            </w:r>
          </w:p>
        </w:tc>
      </w:tr>
    </w:tbl>
    <w:p w:rsidR="002A5A5E" w:rsidRPr="00F9522B" w:rsidRDefault="00611CBA">
      <w:pPr>
        <w:autoSpaceDE w:val="0"/>
        <w:autoSpaceDN w:val="0"/>
        <w:spacing w:before="100" w:beforeAutospacing="1" w:after="100" w:afterAutospacing="1"/>
        <w:outlineLvl w:val="3"/>
        <w:rPr>
          <w:rFonts w:eastAsiaTheme="minorEastAsia"/>
          <w:b/>
          <w:sz w:val="24"/>
        </w:rPr>
      </w:pPr>
      <w:r w:rsidRPr="00F9522B">
        <w:rPr>
          <w:rFonts w:eastAsiaTheme="minorEastAsia"/>
          <w:b/>
          <w:sz w:val="24"/>
        </w:rPr>
        <w:t>3.3.2.4</w:t>
      </w:r>
      <w:r w:rsidRPr="00F9522B">
        <w:rPr>
          <w:rFonts w:eastAsiaTheme="minorEastAsia"/>
          <w:b/>
          <w:sz w:val="24"/>
        </w:rPr>
        <w:t>固体废物污染分析</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本项目运营期产生固体废物主要为秸秆、</w:t>
      </w:r>
      <w:r w:rsidRPr="00F9522B">
        <w:rPr>
          <w:rFonts w:eastAsiaTheme="minorEastAsia"/>
          <w:bCs/>
          <w:sz w:val="24"/>
        </w:rPr>
        <w:t>农药包装物及废肥料包装袋</w:t>
      </w:r>
      <w:r w:rsidRPr="00F9522B">
        <w:rPr>
          <w:rFonts w:eastAsiaTheme="minorEastAsia"/>
          <w:sz w:val="24"/>
        </w:rPr>
        <w:t>。</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本项目运营期使用的喷灌设备、潜水泵等设备如进行维修或保养，直接拆卸至厂家维修或更换，不在现场处置，故不会产生废润滑油等废弃物。</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本项目灌溉井工程采用填滤料过滤器，滤料位于井管底部，深入地下水层，与井管在出厂前焊接在一起，不定期更换。填料层位于地下水透水层，属于井管最下层，起过滤作用，运营期间不更换</w:t>
      </w:r>
      <w:r w:rsidRPr="00F9522B">
        <w:rPr>
          <w:rFonts w:eastAsiaTheme="minorEastAsia"/>
          <w:sz w:val="24"/>
          <w:szCs w:val="20"/>
        </w:rPr>
        <w:t>。</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本项目变压器均为小型变压器，运行方式为独立运行，该类油箱采取全密封结构，采用真空注油工艺，防止进水、进气，延缓变压器老化，提高运行可靠性。变压器使用期间不换油、不补油，使用寿命结束后或出现设备故障时直接整体更</w:t>
      </w:r>
      <w:r w:rsidRPr="00F9522B">
        <w:rPr>
          <w:rFonts w:ascii="Times New Roman" w:hAnsi="Times New Roman" w:cs="Times New Roman"/>
        </w:rPr>
        <w:lastRenderedPageBreak/>
        <w:t>换变压器，由设备厂家带走，不产生危险废物。</w:t>
      </w:r>
      <w:r w:rsidRPr="00F9522B">
        <w:rPr>
          <w:rFonts w:ascii="Times New Roman" w:hAnsi="Times New Roman" w:cs="Times New Roman"/>
          <w:bCs/>
          <w:snapToGrid w:val="0"/>
        </w:rPr>
        <w:t>运营期由所在村屯日常维护和管理。</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bCs/>
        </w:rPr>
        <w:t>高标准农田耕种过程中将会产生农药包装物及废肥料包装袋，依据《农药包装废弃物回收处理管理办法》（中华人民共和国农业农村部</w:t>
      </w:r>
      <w:r w:rsidRPr="00F9522B">
        <w:rPr>
          <w:rFonts w:ascii="Times New Roman" w:hAnsi="Times New Roman" w:cs="Times New Roman"/>
          <w:bCs/>
        </w:rPr>
        <w:t xml:space="preserve"> </w:t>
      </w:r>
      <w:r w:rsidRPr="00F9522B">
        <w:rPr>
          <w:rFonts w:ascii="Times New Roman" w:hAnsi="Times New Roman" w:cs="Times New Roman"/>
          <w:bCs/>
        </w:rPr>
        <w:t>生态环境部令</w:t>
      </w:r>
      <w:r w:rsidRPr="00F9522B">
        <w:rPr>
          <w:rFonts w:ascii="Times New Roman" w:hAnsi="Times New Roman" w:cs="Times New Roman"/>
          <w:bCs/>
        </w:rPr>
        <w:t>2020</w:t>
      </w:r>
      <w:r w:rsidRPr="00F9522B">
        <w:rPr>
          <w:rFonts w:ascii="Times New Roman" w:hAnsi="Times New Roman" w:cs="Times New Roman"/>
          <w:bCs/>
        </w:rPr>
        <w:t>年</w:t>
      </w:r>
      <w:r w:rsidRPr="00F9522B">
        <w:rPr>
          <w:rFonts w:ascii="Times New Roman" w:hAnsi="Times New Roman" w:cs="Times New Roman"/>
          <w:bCs/>
        </w:rPr>
        <w:t xml:space="preserve"> </w:t>
      </w:r>
      <w:r w:rsidRPr="00F9522B">
        <w:rPr>
          <w:rFonts w:ascii="Times New Roman" w:hAnsi="Times New Roman" w:cs="Times New Roman"/>
          <w:bCs/>
        </w:rPr>
        <w:t>第</w:t>
      </w:r>
      <w:r w:rsidRPr="00F9522B">
        <w:rPr>
          <w:rFonts w:ascii="Times New Roman" w:hAnsi="Times New Roman" w:cs="Times New Roman"/>
          <w:bCs/>
        </w:rPr>
        <w:t>6</w:t>
      </w:r>
      <w:r w:rsidRPr="00F9522B">
        <w:rPr>
          <w:rFonts w:ascii="Times New Roman" w:hAnsi="Times New Roman" w:cs="Times New Roman"/>
          <w:bCs/>
        </w:rPr>
        <w:t>号）以及《国家危险废物名录（</w:t>
      </w:r>
      <w:r w:rsidRPr="00F9522B">
        <w:rPr>
          <w:rFonts w:ascii="Times New Roman" w:hAnsi="Times New Roman" w:cs="Times New Roman"/>
          <w:bCs/>
        </w:rPr>
        <w:t>2025</w:t>
      </w:r>
      <w:r w:rsidRPr="00F9522B">
        <w:rPr>
          <w:rFonts w:ascii="Times New Roman" w:hAnsi="Times New Roman" w:cs="Times New Roman"/>
          <w:bCs/>
        </w:rPr>
        <w:t>年版）》危险废物豁免管理清单，农药包装物不按照危险废物管理。</w:t>
      </w:r>
      <w:r w:rsidRPr="00F9522B">
        <w:rPr>
          <w:rFonts w:ascii="Times New Roman" w:hAnsi="Times New Roman" w:cs="Times New Roman"/>
        </w:rPr>
        <w:t>秸秆产生量约为</w:t>
      </w:r>
      <w:r w:rsidRPr="00F9522B">
        <w:rPr>
          <w:rFonts w:ascii="Times New Roman" w:hAnsi="Times New Roman" w:cs="Times New Roman"/>
        </w:rPr>
        <w:t>0.01t/a</w:t>
      </w:r>
      <w:r w:rsidRPr="00F9522B">
        <w:rPr>
          <w:rFonts w:ascii="Times New Roman" w:hAnsi="Times New Roman" w:cs="Times New Roman"/>
        </w:rPr>
        <w:t>、</w:t>
      </w:r>
      <w:r w:rsidRPr="00F9522B">
        <w:rPr>
          <w:rFonts w:ascii="Times New Roman" w:hAnsi="Times New Roman" w:cs="Times New Roman"/>
          <w:bCs/>
        </w:rPr>
        <w:t>废肥料包装袋</w:t>
      </w:r>
      <w:r w:rsidRPr="00F9522B">
        <w:rPr>
          <w:rFonts w:ascii="Times New Roman" w:hAnsi="Times New Roman" w:cs="Times New Roman"/>
        </w:rPr>
        <w:t>产生量约为</w:t>
      </w:r>
      <w:r w:rsidRPr="00F9522B">
        <w:rPr>
          <w:rFonts w:ascii="Times New Roman" w:hAnsi="Times New Roman" w:cs="Times New Roman"/>
        </w:rPr>
        <w:t>0.01t/a</w:t>
      </w:r>
      <w:r w:rsidRPr="00F9522B">
        <w:rPr>
          <w:rFonts w:ascii="Times New Roman" w:hAnsi="Times New Roman" w:cs="Times New Roman"/>
        </w:rPr>
        <w:t>，</w:t>
      </w:r>
      <w:r w:rsidRPr="00F9522B">
        <w:rPr>
          <w:rFonts w:ascii="Times New Roman" w:hAnsi="Times New Roman" w:cs="Times New Roman"/>
          <w:bCs/>
        </w:rPr>
        <w:t>由当地农民负责外售综合利用。建设单位负责监管。</w:t>
      </w:r>
      <w:r w:rsidR="009E4DCE" w:rsidRPr="00F9522B">
        <w:rPr>
          <w:rFonts w:ascii="Times New Roman" w:hAnsi="Times New Roman" w:cs="Times New Roman"/>
          <w:bCs/>
        </w:rPr>
        <w:t>农药包装物</w:t>
      </w:r>
      <w:r w:rsidR="009E4DCE" w:rsidRPr="00F9522B">
        <w:rPr>
          <w:rFonts w:ascii="Times New Roman" w:hAnsi="Times New Roman" w:cs="Times New Roman"/>
        </w:rPr>
        <w:t>产生量约为</w:t>
      </w:r>
      <w:r w:rsidR="009E4DCE" w:rsidRPr="00F9522B">
        <w:rPr>
          <w:rFonts w:ascii="Times New Roman" w:hAnsi="Times New Roman" w:cs="Times New Roman"/>
        </w:rPr>
        <w:t>0.01t/a</w:t>
      </w:r>
      <w:r w:rsidR="009E4DCE" w:rsidRPr="00F9522B">
        <w:rPr>
          <w:rFonts w:ascii="Times New Roman" w:hAnsi="Times New Roman" w:cs="Times New Roman"/>
        </w:rPr>
        <w:t>，</w:t>
      </w:r>
      <w:r w:rsidR="009E4DCE" w:rsidRPr="00F9522B">
        <w:rPr>
          <w:rFonts w:ascii="Times New Roman" w:hAnsi="Times New Roman" w:cs="Times New Roman"/>
          <w:bCs/>
          <w:color w:val="FF0000"/>
        </w:rPr>
        <w:t>农业使用者及时收集农药包装物，由并交回农药经营者或回收站。</w:t>
      </w:r>
    </w:p>
    <w:p w:rsidR="002A5A5E" w:rsidRPr="00F9522B" w:rsidRDefault="00611CBA">
      <w:pPr>
        <w:autoSpaceDE w:val="0"/>
        <w:autoSpaceDN w:val="0"/>
        <w:spacing w:before="100" w:beforeAutospacing="1" w:after="100" w:afterAutospacing="1"/>
        <w:outlineLvl w:val="3"/>
        <w:rPr>
          <w:rFonts w:eastAsiaTheme="minorEastAsia"/>
          <w:b/>
          <w:sz w:val="24"/>
        </w:rPr>
      </w:pPr>
      <w:r w:rsidRPr="00F9522B">
        <w:rPr>
          <w:rFonts w:eastAsiaTheme="minorEastAsia"/>
          <w:b/>
          <w:sz w:val="24"/>
        </w:rPr>
        <w:t>3.3.2.5</w:t>
      </w:r>
      <w:r w:rsidRPr="00F9522B">
        <w:rPr>
          <w:rFonts w:eastAsiaTheme="minorEastAsia"/>
          <w:b/>
          <w:sz w:val="24"/>
        </w:rPr>
        <w:t>生态污染分析</w:t>
      </w:r>
    </w:p>
    <w:p w:rsidR="002A5A5E" w:rsidRPr="00F9522B" w:rsidRDefault="00611CBA">
      <w:pPr>
        <w:spacing w:line="360" w:lineRule="auto"/>
        <w:ind w:firstLineChars="200" w:firstLine="480"/>
        <w:contextualSpacing/>
        <w:rPr>
          <w:rFonts w:eastAsiaTheme="minorEastAsia"/>
          <w:bCs/>
          <w:kern w:val="0"/>
          <w:sz w:val="24"/>
        </w:rPr>
      </w:pPr>
      <w:r w:rsidRPr="00F9522B">
        <w:rPr>
          <w:rFonts w:eastAsiaTheme="minorEastAsia"/>
          <w:bCs/>
          <w:kern w:val="0"/>
          <w:sz w:val="24"/>
        </w:rPr>
        <w:t>本项目灌溉井工程开采地下水使地下水资源减少可能导致地表植被受到影响，产生的扬尘和噪声也将对动植物产生影响。现有水田取水、退水对水生生态环境产生影响。</w:t>
      </w:r>
    </w:p>
    <w:p w:rsidR="002A5A5E" w:rsidRPr="00F9522B" w:rsidRDefault="00611CBA">
      <w:pPr>
        <w:pStyle w:val="aff4"/>
        <w:adjustRightInd/>
        <w:snapToGrid/>
        <w:jc w:val="both"/>
        <w:rPr>
          <w:rFonts w:ascii="Times New Roman" w:hAnsi="Times New Roman" w:cs="Times New Roman"/>
          <w:smallCaps/>
        </w:rPr>
      </w:pPr>
      <w:r w:rsidRPr="00F9522B">
        <w:rPr>
          <w:rFonts w:ascii="Times New Roman" w:hAnsi="Times New Roman" w:cs="Times New Roman"/>
          <w:snapToGrid w:val="0"/>
        </w:rPr>
        <w:t>（</w:t>
      </w:r>
      <w:r w:rsidRPr="00F9522B">
        <w:rPr>
          <w:rFonts w:ascii="Times New Roman" w:hAnsi="Times New Roman" w:cs="Times New Roman"/>
          <w:snapToGrid w:val="0"/>
        </w:rPr>
        <w:t>1</w:t>
      </w:r>
      <w:r w:rsidRPr="00F9522B">
        <w:rPr>
          <w:rFonts w:ascii="Times New Roman" w:hAnsi="Times New Roman" w:cs="Times New Roman"/>
          <w:snapToGrid w:val="0"/>
        </w:rPr>
        <w:t>）</w:t>
      </w:r>
      <w:r w:rsidRPr="00F9522B">
        <w:rPr>
          <w:rFonts w:ascii="Times New Roman" w:hAnsi="Times New Roman" w:cs="Times New Roman"/>
          <w:smallCaps/>
        </w:rPr>
        <w:t>陆生生态</w:t>
      </w:r>
    </w:p>
    <w:p w:rsidR="002A5A5E" w:rsidRPr="00F9522B" w:rsidRDefault="00611CBA">
      <w:pPr>
        <w:spacing w:line="360" w:lineRule="auto"/>
        <w:ind w:firstLineChars="200" w:firstLine="480"/>
        <w:contextualSpacing/>
        <w:rPr>
          <w:rFonts w:eastAsiaTheme="minorEastAsia"/>
          <w:bCs/>
          <w:kern w:val="0"/>
          <w:sz w:val="24"/>
        </w:rPr>
      </w:pPr>
      <w:r w:rsidRPr="00F9522B">
        <w:rPr>
          <w:rFonts w:eastAsiaTheme="minorEastAsia"/>
          <w:smallCaps/>
          <w:sz w:val="24"/>
        </w:rPr>
        <w:t>项目区以农田生态系统为主，已形成多年，项目建成后区域仍以农田生态系统为主，项目区无重要物种、重要生境，工程运行期间，有效利用水肥资源，有利于农田生态系统健康发展，不会造成物种、生物量损失及生境变化，不会对区域</w:t>
      </w:r>
      <w:r w:rsidRPr="00F9522B">
        <w:rPr>
          <w:rFonts w:eastAsiaTheme="minorEastAsia"/>
          <w:bCs/>
          <w:kern w:val="0"/>
          <w:sz w:val="24"/>
        </w:rPr>
        <w:t>生物多样性产生较大影响。本区域通过车辆一般为当地农用车，车速较慢、产生的尾气及扬尘较少，同时采取限速、禁鸣措施。灌溉井泵类位于地下，能够有效的阻隔声传播，柴油机移动泵车及文丘里施肥机使用时间较短，减少扬尘和噪声对陆生动植物产生的影响。</w:t>
      </w:r>
      <w:r w:rsidRPr="00F9522B">
        <w:rPr>
          <w:rFonts w:eastAsiaTheme="minorEastAsia"/>
          <w:kern w:val="0"/>
          <w:sz w:val="24"/>
        </w:rPr>
        <w:t>根据</w:t>
      </w:r>
      <w:r w:rsidRPr="00F9522B">
        <w:rPr>
          <w:rFonts w:eastAsiaTheme="minorEastAsia"/>
          <w:sz w:val="24"/>
        </w:rPr>
        <w:t>已批复《</w:t>
      </w:r>
      <w:r w:rsidR="003A7922" w:rsidRPr="00F9522B">
        <w:rPr>
          <w:rFonts w:eastAsiaTheme="minorEastAsia"/>
          <w:sz w:val="24"/>
        </w:rPr>
        <w:t>呼兰区</w:t>
      </w:r>
      <w:r w:rsidR="003A7922" w:rsidRPr="00F9522B">
        <w:rPr>
          <w:rFonts w:eastAsiaTheme="minorEastAsia"/>
          <w:sz w:val="24"/>
        </w:rPr>
        <w:t>2026</w:t>
      </w:r>
      <w:r w:rsidR="003A7922" w:rsidRPr="00F9522B">
        <w:rPr>
          <w:rFonts w:eastAsiaTheme="minorEastAsia"/>
          <w:sz w:val="24"/>
        </w:rPr>
        <w:t>年高标准农田建设项目</w:t>
      </w:r>
      <w:r w:rsidRPr="00F9522B">
        <w:rPr>
          <w:rFonts w:eastAsiaTheme="minorEastAsia"/>
          <w:sz w:val="24"/>
        </w:rPr>
        <w:t>水资源论证报告书》，</w:t>
      </w:r>
      <w:r w:rsidRPr="00F9522B">
        <w:rPr>
          <w:rFonts w:eastAsiaTheme="minorEastAsia"/>
          <w:kern w:val="0"/>
          <w:sz w:val="24"/>
        </w:rPr>
        <w:t>本工程开采后地下水</w:t>
      </w:r>
      <w:r w:rsidRPr="00F9522B">
        <w:rPr>
          <w:rFonts w:eastAsiaTheme="minorEastAsia"/>
          <w:bCs/>
          <w:kern w:val="0"/>
          <w:sz w:val="24"/>
        </w:rPr>
        <w:t>持续开采取水中心最大水位降深小于</w:t>
      </w:r>
      <w:r w:rsidRPr="00F9522B">
        <w:rPr>
          <w:rFonts w:eastAsiaTheme="minorEastAsia"/>
          <w:bCs/>
          <w:kern w:val="0"/>
          <w:sz w:val="24"/>
        </w:rPr>
        <w:t>2.0m</w:t>
      </w:r>
      <w:r w:rsidRPr="00F9522B">
        <w:rPr>
          <w:rFonts w:eastAsiaTheme="minorEastAsia"/>
          <w:kern w:val="0"/>
          <w:sz w:val="24"/>
        </w:rPr>
        <w:t>，小于合理降深</w:t>
      </w:r>
      <w:r w:rsidRPr="00F9522B">
        <w:rPr>
          <w:rFonts w:eastAsiaTheme="minorEastAsia"/>
          <w:kern w:val="0"/>
          <w:sz w:val="24"/>
        </w:rPr>
        <w:t>5m</w:t>
      </w:r>
      <w:r w:rsidRPr="00F9522B">
        <w:rPr>
          <w:rFonts w:eastAsiaTheme="minorEastAsia"/>
          <w:kern w:val="0"/>
          <w:sz w:val="24"/>
        </w:rPr>
        <w:t>的动水位要求</w:t>
      </w:r>
      <w:r w:rsidRPr="00F9522B">
        <w:rPr>
          <w:rFonts w:eastAsiaTheme="minorEastAsia"/>
          <w:bCs/>
          <w:kern w:val="0"/>
          <w:sz w:val="24"/>
        </w:rPr>
        <w:t>，</w:t>
      </w:r>
      <w:r w:rsidRPr="00F9522B">
        <w:rPr>
          <w:rFonts w:eastAsiaTheme="minorEastAsia"/>
          <w:kern w:val="0"/>
          <w:sz w:val="24"/>
        </w:rPr>
        <w:t>同时本工程为非持续性取水，基本分布于春季耕种和夏季防旱，本项目灌溉水除植物吸收外，基本以蒸发和下渗的方式回归自然，能够对地下水位的恢复起到正效益，同时在丰水期地下水得到充分的补给，地下水位可以得到充分恢复。故</w:t>
      </w:r>
      <w:r w:rsidRPr="00F9522B">
        <w:rPr>
          <w:rFonts w:eastAsiaTheme="minorEastAsia"/>
          <w:bCs/>
          <w:kern w:val="0"/>
          <w:sz w:val="24"/>
        </w:rPr>
        <w:t>对陆生动植物产生影响较小。</w:t>
      </w:r>
    </w:p>
    <w:p w:rsidR="002A5A5E" w:rsidRPr="00F9522B" w:rsidRDefault="00611CBA">
      <w:pPr>
        <w:spacing w:line="360" w:lineRule="auto"/>
        <w:ind w:firstLineChars="200" w:firstLine="480"/>
        <w:contextualSpacing/>
        <w:rPr>
          <w:rFonts w:eastAsiaTheme="minorEastAsia"/>
          <w:bCs/>
          <w:kern w:val="0"/>
          <w:sz w:val="24"/>
        </w:rPr>
      </w:pPr>
      <w:r w:rsidRPr="00F9522B">
        <w:rPr>
          <w:rFonts w:eastAsiaTheme="minorEastAsia"/>
          <w:bCs/>
          <w:kern w:val="0"/>
          <w:sz w:val="24"/>
        </w:rPr>
        <w:t>（</w:t>
      </w:r>
      <w:r w:rsidRPr="00F9522B">
        <w:rPr>
          <w:rFonts w:eastAsiaTheme="minorEastAsia"/>
          <w:bCs/>
          <w:kern w:val="0"/>
          <w:sz w:val="24"/>
        </w:rPr>
        <w:t>2</w:t>
      </w:r>
      <w:r w:rsidRPr="00F9522B">
        <w:rPr>
          <w:rFonts w:eastAsiaTheme="minorEastAsia"/>
          <w:bCs/>
          <w:kern w:val="0"/>
          <w:sz w:val="24"/>
        </w:rPr>
        <w:t>）水生生态</w:t>
      </w:r>
    </w:p>
    <w:p w:rsidR="002A5A5E" w:rsidRPr="00F9522B" w:rsidRDefault="00611CBA">
      <w:pPr>
        <w:spacing w:line="360" w:lineRule="auto"/>
        <w:ind w:firstLineChars="200" w:firstLine="480"/>
        <w:rPr>
          <w:rFonts w:eastAsiaTheme="minorEastAsia"/>
          <w:smallCaps/>
          <w:sz w:val="24"/>
        </w:rPr>
      </w:pPr>
      <w:r w:rsidRPr="00F9522B">
        <w:rPr>
          <w:rFonts w:eastAsiaTheme="minorEastAsia"/>
          <w:smallCaps/>
          <w:sz w:val="24"/>
        </w:rPr>
        <w:t>灌区建设多年，区域水生生态系统经过长时间的演替，已形成稳定的适合现有鱼类及水生生物生长繁殖的生境和生态系统。由于工程的实施，减少渠道上的</w:t>
      </w:r>
      <w:r w:rsidRPr="00F9522B">
        <w:rPr>
          <w:rFonts w:eastAsiaTheme="minorEastAsia"/>
          <w:smallCaps/>
          <w:sz w:val="24"/>
        </w:rPr>
        <w:lastRenderedPageBreak/>
        <w:t>“</w:t>
      </w:r>
      <w:r w:rsidRPr="00F9522B">
        <w:rPr>
          <w:rFonts w:eastAsiaTheme="minorEastAsia"/>
          <w:smallCaps/>
          <w:sz w:val="24"/>
        </w:rPr>
        <w:t>跑、漏、冒</w:t>
      </w:r>
      <w:r w:rsidRPr="00F9522B">
        <w:rPr>
          <w:rFonts w:eastAsiaTheme="minorEastAsia"/>
          <w:smallCaps/>
          <w:sz w:val="24"/>
        </w:rPr>
        <w:t>”</w:t>
      </w:r>
      <w:r w:rsidRPr="00F9522B">
        <w:rPr>
          <w:rFonts w:eastAsiaTheme="minorEastAsia"/>
          <w:smallCaps/>
          <w:sz w:val="24"/>
        </w:rPr>
        <w:t>水现象，节约了水资源，提升水资源利用效率。工程实施前后退水量、污染物入河量均减少，对区域水文情势、鱼类栖息及繁殖、浮游生物、底栖动物、水生维管束植物产生有利影响。</w:t>
      </w:r>
    </w:p>
    <w:p w:rsidR="002A5A5E" w:rsidRPr="00F9522B" w:rsidRDefault="00611CBA">
      <w:pPr>
        <w:spacing w:line="360" w:lineRule="auto"/>
        <w:ind w:firstLineChars="200" w:firstLine="480"/>
        <w:rPr>
          <w:rFonts w:eastAsiaTheme="minorEastAsia"/>
          <w:smallCaps/>
          <w:sz w:val="24"/>
        </w:rPr>
      </w:pPr>
      <w:r w:rsidRPr="00F9522B">
        <w:rPr>
          <w:rFonts w:eastAsiaTheme="minorEastAsia"/>
          <w:sz w:val="24"/>
        </w:rPr>
        <w:t>本项目农田退水集中在</w:t>
      </w:r>
      <w:r w:rsidRPr="00F9522B">
        <w:rPr>
          <w:rFonts w:eastAsiaTheme="minorEastAsia"/>
          <w:sz w:val="24"/>
        </w:rPr>
        <w:t>5</w:t>
      </w:r>
      <w:r w:rsidRPr="00F9522B">
        <w:rPr>
          <w:rFonts w:eastAsiaTheme="minorEastAsia"/>
          <w:sz w:val="24"/>
        </w:rPr>
        <w:t>～</w:t>
      </w:r>
      <w:r w:rsidRPr="00F9522B">
        <w:rPr>
          <w:rFonts w:eastAsiaTheme="minorEastAsia"/>
          <w:sz w:val="24"/>
        </w:rPr>
        <w:t>9</w:t>
      </w:r>
      <w:r w:rsidRPr="00F9522B">
        <w:rPr>
          <w:rFonts w:eastAsiaTheme="minorEastAsia"/>
          <w:sz w:val="24"/>
        </w:rPr>
        <w:t>月份，</w:t>
      </w:r>
      <w:r w:rsidR="00212BE0" w:rsidRPr="00F9522B">
        <w:rPr>
          <w:rFonts w:eastAsiaTheme="minorEastAsia"/>
          <w:sz w:val="24"/>
        </w:rPr>
        <w:t>入松花江</w:t>
      </w:r>
      <w:r w:rsidRPr="00F9522B">
        <w:rPr>
          <w:rFonts w:eastAsiaTheme="minorEastAsia"/>
          <w:sz w:val="24"/>
        </w:rPr>
        <w:t>退水口年退水量与现状相比</w:t>
      </w:r>
      <w:r w:rsidR="00F25A84" w:rsidRPr="00F9522B">
        <w:rPr>
          <w:rFonts w:eastAsiaTheme="minorEastAsia"/>
          <w:sz w:val="24"/>
        </w:rPr>
        <w:t>减少</w:t>
      </w:r>
      <w:r w:rsidR="00F25A84" w:rsidRPr="00F9522B">
        <w:rPr>
          <w:rFonts w:eastAsiaTheme="minorEastAsia"/>
          <w:sz w:val="24"/>
        </w:rPr>
        <w:t>10.4</w:t>
      </w:r>
      <w:r w:rsidR="00F25A84" w:rsidRPr="00F9522B">
        <w:rPr>
          <w:rFonts w:eastAsiaTheme="minorEastAsia"/>
          <w:sz w:val="24"/>
        </w:rPr>
        <w:t>万</w:t>
      </w:r>
      <w:r w:rsidRPr="00F9522B">
        <w:rPr>
          <w:rFonts w:eastAsiaTheme="minorEastAsia"/>
          <w:sz w:val="24"/>
        </w:rPr>
        <w:t>m</w:t>
      </w:r>
      <w:r w:rsidRPr="00F9522B">
        <w:rPr>
          <w:rFonts w:eastAsiaTheme="minorEastAsia"/>
          <w:sz w:val="24"/>
          <w:vertAlign w:val="superscript"/>
        </w:rPr>
        <w:t>3</w:t>
      </w:r>
      <w:r w:rsidRPr="00F9522B">
        <w:rPr>
          <w:rFonts w:eastAsiaTheme="minorEastAsia"/>
          <w:sz w:val="24"/>
        </w:rPr>
        <w:t>，</w:t>
      </w:r>
      <w:r w:rsidR="00507669" w:rsidRPr="00F9522B">
        <w:rPr>
          <w:rFonts w:eastAsiaTheme="minorEastAsia"/>
          <w:sz w:val="24"/>
        </w:rPr>
        <w:t>松花江</w:t>
      </w:r>
      <w:r w:rsidRPr="00F9522B">
        <w:rPr>
          <w:rFonts w:eastAsiaTheme="minorEastAsia"/>
          <w:sz w:val="24"/>
        </w:rPr>
        <w:t>流域多年平均年径流量约为</w:t>
      </w:r>
      <w:r w:rsidRPr="00F9522B">
        <w:rPr>
          <w:rFonts w:eastAsiaTheme="minorEastAsia"/>
          <w:sz w:val="24"/>
        </w:rPr>
        <w:t> </w:t>
      </w:r>
      <w:r w:rsidR="00D1386A" w:rsidRPr="00F9522B">
        <w:rPr>
          <w:rFonts w:eastAsiaTheme="minorEastAsia"/>
          <w:bCs/>
          <w:sz w:val="24"/>
        </w:rPr>
        <w:t>762</w:t>
      </w:r>
      <w:r w:rsidRPr="00F9522B">
        <w:rPr>
          <w:rFonts w:eastAsiaTheme="minorEastAsia"/>
          <w:bCs/>
          <w:sz w:val="24"/>
        </w:rPr>
        <w:t>亿</w:t>
      </w:r>
      <w:r w:rsidRPr="00F9522B">
        <w:rPr>
          <w:rFonts w:eastAsiaTheme="minorEastAsia"/>
          <w:sz w:val="24"/>
        </w:rPr>
        <w:t>m</w:t>
      </w:r>
      <w:r w:rsidRPr="00F9522B">
        <w:rPr>
          <w:rFonts w:eastAsiaTheme="minorEastAsia"/>
          <w:sz w:val="24"/>
          <w:vertAlign w:val="superscript"/>
        </w:rPr>
        <w:t>3</w:t>
      </w:r>
      <w:r w:rsidRPr="00F9522B">
        <w:rPr>
          <w:rFonts w:eastAsiaTheme="minorEastAsia"/>
          <w:sz w:val="24"/>
        </w:rPr>
        <w:t>，退水减少量占比约为</w:t>
      </w:r>
      <w:r w:rsidRPr="00F9522B">
        <w:rPr>
          <w:rFonts w:eastAsiaTheme="minorEastAsia"/>
          <w:sz w:val="24"/>
        </w:rPr>
        <w:t>0.00</w:t>
      </w:r>
      <w:r w:rsidR="00D1386A" w:rsidRPr="00F9522B">
        <w:rPr>
          <w:rFonts w:eastAsiaTheme="minorEastAsia"/>
          <w:sz w:val="24"/>
        </w:rPr>
        <w:t>014</w:t>
      </w:r>
      <w:r w:rsidRPr="00F9522B">
        <w:rPr>
          <w:rFonts w:eastAsiaTheme="minorEastAsia"/>
          <w:sz w:val="24"/>
        </w:rPr>
        <w:t>%</w:t>
      </w:r>
      <w:r w:rsidRPr="00F9522B">
        <w:rPr>
          <w:rFonts w:eastAsiaTheme="minorEastAsia"/>
          <w:sz w:val="24"/>
        </w:rPr>
        <w:t>。漂河退水量与现状相比</w:t>
      </w:r>
      <w:r w:rsidR="00212BE0" w:rsidRPr="00F9522B">
        <w:rPr>
          <w:rFonts w:eastAsiaTheme="minorEastAsia"/>
          <w:sz w:val="24"/>
        </w:rPr>
        <w:t>减少</w:t>
      </w:r>
      <w:r w:rsidR="00212BE0" w:rsidRPr="00F9522B">
        <w:rPr>
          <w:rFonts w:eastAsiaTheme="minorEastAsia"/>
          <w:sz w:val="24"/>
        </w:rPr>
        <w:t>4.6</w:t>
      </w:r>
      <w:r w:rsidR="00212BE0" w:rsidRPr="00F9522B">
        <w:rPr>
          <w:rFonts w:eastAsiaTheme="minorEastAsia"/>
          <w:sz w:val="24"/>
        </w:rPr>
        <w:t>万</w:t>
      </w:r>
      <w:r w:rsidRPr="00F9522B">
        <w:rPr>
          <w:rFonts w:eastAsiaTheme="minorEastAsia"/>
          <w:sz w:val="24"/>
        </w:rPr>
        <w:t>m</w:t>
      </w:r>
      <w:r w:rsidRPr="00F9522B">
        <w:rPr>
          <w:rFonts w:eastAsiaTheme="minorEastAsia"/>
          <w:sz w:val="24"/>
          <w:vertAlign w:val="superscript"/>
        </w:rPr>
        <w:t>3</w:t>
      </w:r>
      <w:r w:rsidRPr="00F9522B">
        <w:rPr>
          <w:rFonts w:eastAsiaTheme="minorEastAsia"/>
          <w:sz w:val="24"/>
        </w:rPr>
        <w:t>，漂河流域多年平均年径流量约为</w:t>
      </w:r>
      <w:r w:rsidRPr="00F9522B">
        <w:rPr>
          <w:rFonts w:eastAsiaTheme="minorEastAsia"/>
          <w:sz w:val="24"/>
        </w:rPr>
        <w:t> </w:t>
      </w:r>
      <w:r w:rsidRPr="00F9522B">
        <w:rPr>
          <w:rFonts w:eastAsiaTheme="minorEastAsia"/>
          <w:bCs/>
          <w:sz w:val="24"/>
        </w:rPr>
        <w:t>0.4</w:t>
      </w:r>
      <w:r w:rsidRPr="00F9522B">
        <w:rPr>
          <w:rFonts w:eastAsiaTheme="minorEastAsia"/>
          <w:bCs/>
          <w:sz w:val="24"/>
        </w:rPr>
        <w:t>亿</w:t>
      </w:r>
      <w:r w:rsidRPr="00F9522B">
        <w:rPr>
          <w:rFonts w:eastAsiaTheme="minorEastAsia"/>
          <w:sz w:val="24"/>
        </w:rPr>
        <w:t>m</w:t>
      </w:r>
      <w:r w:rsidRPr="00F9522B">
        <w:rPr>
          <w:rFonts w:eastAsiaTheme="minorEastAsia"/>
          <w:sz w:val="24"/>
          <w:vertAlign w:val="superscript"/>
        </w:rPr>
        <w:t>3</w:t>
      </w:r>
      <w:r w:rsidRPr="00F9522B">
        <w:rPr>
          <w:rFonts w:eastAsiaTheme="minorEastAsia"/>
          <w:sz w:val="24"/>
        </w:rPr>
        <w:t>，退水减少量占比约为</w:t>
      </w:r>
      <w:r w:rsidR="00D1386A" w:rsidRPr="00F9522B">
        <w:rPr>
          <w:rFonts w:eastAsiaTheme="minorEastAsia"/>
          <w:sz w:val="24"/>
        </w:rPr>
        <w:t>0.1</w:t>
      </w:r>
      <w:r w:rsidRPr="00F9522B">
        <w:rPr>
          <w:rFonts w:eastAsiaTheme="minorEastAsia"/>
          <w:sz w:val="24"/>
        </w:rPr>
        <w:t>%</w:t>
      </w:r>
      <w:r w:rsidRPr="00F9522B">
        <w:rPr>
          <w:rFonts w:eastAsiaTheme="minorEastAsia"/>
          <w:sz w:val="24"/>
        </w:rPr>
        <w:t>。占比极小，故不会对已形成的现有的水域形态、径流条件、水力条件以及冲於条件等造成显著影响。</w:t>
      </w:r>
    </w:p>
    <w:p w:rsidR="002A5A5E" w:rsidRPr="00F9522B" w:rsidRDefault="00611CBA">
      <w:pPr>
        <w:spacing w:line="360" w:lineRule="auto"/>
        <w:ind w:firstLineChars="200" w:firstLine="480"/>
        <w:rPr>
          <w:rFonts w:eastAsiaTheme="minorEastAsia"/>
          <w:sz w:val="24"/>
          <w:szCs w:val="21"/>
        </w:rPr>
      </w:pPr>
      <w:r w:rsidRPr="00F9522B">
        <w:rPr>
          <w:rFonts w:eastAsiaTheme="minorEastAsia"/>
          <w:smallCaps/>
          <w:sz w:val="24"/>
        </w:rPr>
        <w:t>项目施行</w:t>
      </w:r>
      <w:r w:rsidRPr="00F9522B">
        <w:rPr>
          <w:rFonts w:eastAsiaTheme="minorEastAsia"/>
          <w:smallCaps/>
          <w:sz w:val="24"/>
        </w:rPr>
        <w:t>“</w:t>
      </w:r>
      <w:r w:rsidRPr="00F9522B">
        <w:rPr>
          <w:rFonts w:eastAsiaTheme="minorEastAsia"/>
          <w:smallCaps/>
          <w:sz w:val="24"/>
        </w:rPr>
        <w:t>三减</w:t>
      </w:r>
      <w:r w:rsidRPr="00F9522B">
        <w:rPr>
          <w:rFonts w:eastAsiaTheme="minorEastAsia"/>
          <w:smallCaps/>
          <w:sz w:val="24"/>
        </w:rPr>
        <w:t>”</w:t>
      </w:r>
      <w:r w:rsidRPr="00F9522B">
        <w:rPr>
          <w:rFonts w:eastAsiaTheme="minorEastAsia"/>
          <w:smallCaps/>
          <w:sz w:val="24"/>
        </w:rPr>
        <w:t>行动，即减化肥、减农药、减除草剂，提出测土配方施肥、水肥一体化、控制农药与化肥施用种类及数量措施，</w:t>
      </w:r>
      <w:r w:rsidRPr="00F9522B">
        <w:rPr>
          <w:rFonts w:eastAsiaTheme="minorEastAsia"/>
          <w:kern w:val="0"/>
          <w:sz w:val="24"/>
        </w:rPr>
        <w:t>故工程实施后对</w:t>
      </w:r>
      <w:r w:rsidR="00E93DD8" w:rsidRPr="00F9522B">
        <w:rPr>
          <w:rFonts w:eastAsiaTheme="minorEastAsia"/>
          <w:sz w:val="24"/>
        </w:rPr>
        <w:t>松花江及漂河、呼兰河口湿地自然保护区</w:t>
      </w:r>
      <w:r w:rsidRPr="00F9522B">
        <w:rPr>
          <w:rFonts w:eastAsiaTheme="minorEastAsia"/>
          <w:sz w:val="24"/>
        </w:rPr>
        <w:t>水生生态</w:t>
      </w:r>
      <w:r w:rsidRPr="00F9522B">
        <w:rPr>
          <w:rFonts w:eastAsiaTheme="minorEastAsia"/>
          <w:kern w:val="0"/>
          <w:sz w:val="24"/>
        </w:rPr>
        <w:t>环境起到一定改善作用</w:t>
      </w:r>
      <w:r w:rsidRPr="00F9522B">
        <w:rPr>
          <w:rFonts w:eastAsiaTheme="minorEastAsia"/>
          <w:smallCaps/>
          <w:sz w:val="24"/>
        </w:rPr>
        <w:t>。</w:t>
      </w:r>
    </w:p>
    <w:p w:rsidR="002A5A5E" w:rsidRPr="00F9522B" w:rsidRDefault="00611CBA">
      <w:pPr>
        <w:autoSpaceDE w:val="0"/>
        <w:autoSpaceDN w:val="0"/>
        <w:spacing w:before="100" w:beforeAutospacing="1" w:after="100" w:afterAutospacing="1"/>
        <w:outlineLvl w:val="3"/>
        <w:rPr>
          <w:rFonts w:eastAsiaTheme="minorEastAsia"/>
          <w:b/>
          <w:sz w:val="24"/>
        </w:rPr>
      </w:pPr>
      <w:r w:rsidRPr="00F9522B">
        <w:rPr>
          <w:rFonts w:eastAsiaTheme="minorEastAsia"/>
          <w:b/>
          <w:sz w:val="24"/>
        </w:rPr>
        <w:t>3.3.2.6</w:t>
      </w:r>
      <w:r w:rsidRPr="00F9522B">
        <w:rPr>
          <w:rFonts w:eastAsiaTheme="minorEastAsia"/>
          <w:b/>
          <w:sz w:val="24"/>
        </w:rPr>
        <w:t>环境风险污染分析</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建设项目涉及的物料为具有易燃易爆、有毒有害特性的危险化学品，一旦发生事故，会对环境和人体健康造成危害，为落实《关于进一步加强环境影响评价管理防范环境风险的通知》（环发</w:t>
      </w:r>
      <w:r w:rsidRPr="00F9522B">
        <w:rPr>
          <w:rFonts w:eastAsiaTheme="minorEastAsia"/>
          <w:sz w:val="24"/>
        </w:rPr>
        <w:t>[2012]77</w:t>
      </w:r>
      <w:r w:rsidRPr="00F9522B">
        <w:rPr>
          <w:rFonts w:eastAsiaTheme="minorEastAsia"/>
          <w:sz w:val="24"/>
        </w:rPr>
        <w:t>号）、《关于开展涉及易燃易爆危险品建设项目环境风险排查和整改的通知》（环办</w:t>
      </w:r>
      <w:r w:rsidRPr="00F9522B">
        <w:rPr>
          <w:rFonts w:eastAsiaTheme="minorEastAsia"/>
          <w:sz w:val="24"/>
        </w:rPr>
        <w:t>[2010]111</w:t>
      </w:r>
      <w:r w:rsidRPr="00F9522B">
        <w:rPr>
          <w:rFonts w:eastAsiaTheme="minorEastAsia"/>
          <w:sz w:val="24"/>
        </w:rPr>
        <w:t>号）和《关于开展全国重点行业企业环境风险及化学品检查工作的通知》（环办</w:t>
      </w:r>
      <w:r w:rsidRPr="00F9522B">
        <w:rPr>
          <w:rFonts w:eastAsiaTheme="minorEastAsia"/>
          <w:sz w:val="24"/>
        </w:rPr>
        <w:t>[2010]13</w:t>
      </w:r>
      <w:r w:rsidRPr="00F9522B">
        <w:rPr>
          <w:rFonts w:eastAsiaTheme="minorEastAsia"/>
          <w:sz w:val="24"/>
        </w:rPr>
        <w:t>号）的要求，采用风险识别、风险分析和后果计算等方法进行环境风险评价提出减少风险事故应急措施及应急预案，为工程设计和环境管理提供资料和依据，以达到降低环境风险的目的。</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1</w:t>
      </w:r>
      <w:r w:rsidRPr="00F9522B">
        <w:rPr>
          <w:rFonts w:eastAsiaTheme="minorEastAsia"/>
          <w:sz w:val="24"/>
        </w:rPr>
        <w:t>、</w:t>
      </w:r>
      <w:r w:rsidRPr="00F9522B">
        <w:rPr>
          <w:rFonts w:eastAsiaTheme="minorEastAsia"/>
          <w:bCs/>
          <w:sz w:val="24"/>
        </w:rPr>
        <w:t>风险调查</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根据《建设项目环境风险评价技术导则》（</w:t>
      </w:r>
      <w:r w:rsidRPr="00F9522B">
        <w:rPr>
          <w:rFonts w:eastAsiaTheme="minorEastAsia"/>
          <w:sz w:val="24"/>
        </w:rPr>
        <w:t>HJ169-2018</w:t>
      </w:r>
      <w:r w:rsidRPr="00F9522B">
        <w:rPr>
          <w:rFonts w:eastAsiaTheme="minorEastAsia"/>
          <w:sz w:val="24"/>
        </w:rPr>
        <w:t>）</w:t>
      </w:r>
      <w:r w:rsidRPr="00F9522B">
        <w:rPr>
          <w:rFonts w:eastAsiaTheme="minorEastAsia"/>
          <w:sz w:val="24"/>
        </w:rPr>
        <w:t>“</w:t>
      </w:r>
      <w:r w:rsidRPr="00F9522B">
        <w:rPr>
          <w:rFonts w:eastAsiaTheme="minorEastAsia"/>
          <w:sz w:val="24"/>
        </w:rPr>
        <w:t>附录</w:t>
      </w:r>
      <w:r w:rsidRPr="00F9522B">
        <w:rPr>
          <w:rFonts w:eastAsiaTheme="minorEastAsia"/>
          <w:sz w:val="24"/>
        </w:rPr>
        <w:t>B</w:t>
      </w:r>
      <w:r w:rsidRPr="00F9522B">
        <w:rPr>
          <w:rFonts w:eastAsiaTheme="minorEastAsia"/>
          <w:sz w:val="24"/>
        </w:rPr>
        <w:t>重点关注的危险物质及临界量</w:t>
      </w:r>
      <w:r w:rsidRPr="00F9522B">
        <w:rPr>
          <w:rFonts w:eastAsiaTheme="minorEastAsia"/>
          <w:sz w:val="24"/>
        </w:rPr>
        <w:t>”</w:t>
      </w:r>
      <w:r w:rsidRPr="00F9522B">
        <w:rPr>
          <w:rFonts w:eastAsiaTheme="minorEastAsia"/>
          <w:sz w:val="24"/>
        </w:rPr>
        <w:t>可知，本项目所涉及的危险物质为：柴油、变压器油。</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2</w:t>
      </w:r>
      <w:r w:rsidRPr="00F9522B">
        <w:rPr>
          <w:rFonts w:eastAsiaTheme="minorEastAsia"/>
          <w:sz w:val="24"/>
        </w:rPr>
        <w:t>、风险识别</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w:t>
      </w:r>
      <w:r w:rsidRPr="00F9522B">
        <w:rPr>
          <w:rFonts w:eastAsiaTheme="minorEastAsia"/>
          <w:sz w:val="24"/>
        </w:rPr>
        <w:t>1</w:t>
      </w:r>
      <w:r w:rsidRPr="00F9522B">
        <w:rPr>
          <w:rFonts w:eastAsiaTheme="minorEastAsia"/>
          <w:sz w:val="24"/>
        </w:rPr>
        <w:t>）物质危险性识别</w:t>
      </w:r>
    </w:p>
    <w:p w:rsidR="002A5A5E" w:rsidRPr="00F9522B" w:rsidRDefault="005273A1">
      <w:pPr>
        <w:spacing w:line="360" w:lineRule="auto"/>
        <w:ind w:firstLineChars="200" w:firstLine="480"/>
        <w:rPr>
          <w:rFonts w:eastAsiaTheme="minorEastAsia"/>
          <w:sz w:val="24"/>
        </w:rPr>
      </w:pPr>
      <w:r w:rsidRPr="00F9522B">
        <w:rPr>
          <w:rFonts w:eastAsiaTheme="minorEastAsia"/>
          <w:sz w:val="24"/>
        </w:rPr>
        <w:fldChar w:fldCharType="begin"/>
      </w:r>
      <w:r w:rsidR="00611CBA" w:rsidRPr="00F9522B">
        <w:rPr>
          <w:rFonts w:eastAsiaTheme="minorEastAsia"/>
          <w:sz w:val="24"/>
        </w:rPr>
        <w:instrText xml:space="preserve"> = 1 \* GB3 </w:instrText>
      </w:r>
      <w:r w:rsidRPr="00F9522B">
        <w:rPr>
          <w:rFonts w:eastAsiaTheme="minorEastAsia"/>
          <w:sz w:val="24"/>
        </w:rPr>
        <w:fldChar w:fldCharType="separate"/>
      </w:r>
      <w:r w:rsidR="00611CBA" w:rsidRPr="00F9522B">
        <w:rPr>
          <w:rFonts w:ascii="宋体" w:hAnsi="宋体" w:cs="宋体" w:hint="eastAsia"/>
          <w:sz w:val="24"/>
        </w:rPr>
        <w:t>①</w:t>
      </w:r>
      <w:r w:rsidRPr="00F9522B">
        <w:rPr>
          <w:rFonts w:eastAsiaTheme="minorEastAsia"/>
          <w:sz w:val="24"/>
        </w:rPr>
        <w:fldChar w:fldCharType="end"/>
      </w:r>
      <w:r w:rsidR="00611CBA" w:rsidRPr="00F9522B">
        <w:rPr>
          <w:rFonts w:eastAsiaTheme="minorEastAsia"/>
          <w:sz w:val="24"/>
        </w:rPr>
        <w:t>物质识别</w:t>
      </w:r>
    </w:p>
    <w:p w:rsidR="002A5A5E" w:rsidRPr="00F9522B" w:rsidRDefault="00611CBA">
      <w:pPr>
        <w:spacing w:line="360" w:lineRule="auto"/>
        <w:ind w:firstLineChars="200" w:firstLine="480"/>
        <w:rPr>
          <w:rFonts w:eastAsiaTheme="minorEastAsia"/>
          <w:b/>
        </w:rPr>
      </w:pPr>
      <w:r w:rsidRPr="00F9522B">
        <w:rPr>
          <w:rFonts w:eastAsiaTheme="minorEastAsia"/>
          <w:sz w:val="24"/>
        </w:rPr>
        <w:t>本次评价通过对原辅材料、产品、生产过程排放的</w:t>
      </w:r>
      <w:r w:rsidRPr="00F9522B">
        <w:rPr>
          <w:rFonts w:eastAsiaTheme="minorEastAsia"/>
          <w:sz w:val="24"/>
        </w:rPr>
        <w:t>“</w:t>
      </w:r>
      <w:r w:rsidRPr="00F9522B">
        <w:rPr>
          <w:rFonts w:eastAsiaTheme="minorEastAsia"/>
          <w:sz w:val="24"/>
        </w:rPr>
        <w:t>三废</w:t>
      </w:r>
      <w:r w:rsidRPr="00F9522B">
        <w:rPr>
          <w:rFonts w:eastAsiaTheme="minorEastAsia"/>
          <w:sz w:val="24"/>
        </w:rPr>
        <w:t>”</w:t>
      </w:r>
      <w:r w:rsidRPr="00F9522B">
        <w:rPr>
          <w:rFonts w:eastAsiaTheme="minorEastAsia"/>
          <w:sz w:val="24"/>
        </w:rPr>
        <w:t>污染物及火灾、爆炸伴生</w:t>
      </w:r>
      <w:r w:rsidRPr="00F9522B">
        <w:rPr>
          <w:rFonts w:eastAsiaTheme="minorEastAsia"/>
          <w:sz w:val="24"/>
        </w:rPr>
        <w:t>/</w:t>
      </w:r>
      <w:r w:rsidRPr="00F9522B">
        <w:rPr>
          <w:rFonts w:eastAsiaTheme="minorEastAsia"/>
          <w:sz w:val="24"/>
        </w:rPr>
        <w:t>次生危险物质分析，工程涉及的危险物质理化特性及毒理指标见下表</w:t>
      </w:r>
      <w:r w:rsidRPr="00F9522B">
        <w:rPr>
          <w:rFonts w:eastAsiaTheme="minorEastAsia"/>
        </w:rPr>
        <w:t>。</w:t>
      </w:r>
    </w:p>
    <w:p w:rsidR="009555CD" w:rsidRDefault="009555CD">
      <w:pPr>
        <w:contextualSpacing/>
        <w:jc w:val="center"/>
        <w:rPr>
          <w:rFonts w:eastAsiaTheme="minorEastAsia"/>
          <w:b/>
          <w:kern w:val="0"/>
          <w:szCs w:val="21"/>
        </w:rPr>
      </w:pPr>
    </w:p>
    <w:p w:rsidR="002A5A5E" w:rsidRPr="00F9522B" w:rsidRDefault="00611CBA">
      <w:pPr>
        <w:contextualSpacing/>
        <w:jc w:val="center"/>
        <w:rPr>
          <w:rFonts w:eastAsiaTheme="minorEastAsia"/>
          <w:b/>
          <w:kern w:val="0"/>
          <w:szCs w:val="21"/>
        </w:rPr>
      </w:pPr>
      <w:r w:rsidRPr="00F9522B">
        <w:rPr>
          <w:rFonts w:eastAsiaTheme="minorEastAsia"/>
          <w:b/>
          <w:kern w:val="0"/>
          <w:szCs w:val="21"/>
        </w:rPr>
        <w:lastRenderedPageBreak/>
        <w:t>表</w:t>
      </w:r>
      <w:r w:rsidRPr="00F9522B">
        <w:rPr>
          <w:rFonts w:eastAsiaTheme="minorEastAsia"/>
          <w:b/>
          <w:kern w:val="0"/>
          <w:szCs w:val="21"/>
        </w:rPr>
        <w:t xml:space="preserve">3-3-9 </w:t>
      </w:r>
      <w:r w:rsidRPr="00F9522B">
        <w:rPr>
          <w:rFonts w:eastAsiaTheme="minorEastAsia"/>
          <w:b/>
          <w:kern w:val="0"/>
          <w:szCs w:val="21"/>
        </w:rPr>
        <w:t>油类物质理化性质</w:t>
      </w:r>
    </w:p>
    <w:tbl>
      <w:tblPr>
        <w:tblW w:w="5000" w:type="pct"/>
        <w:jc w:val="center"/>
        <w:tblBorders>
          <w:top w:val="single" w:sz="12" w:space="0" w:color="auto"/>
          <w:bottom w:val="single" w:sz="12" w:space="0" w:color="auto"/>
          <w:insideH w:val="single" w:sz="6" w:space="0" w:color="auto"/>
          <w:insideV w:val="single" w:sz="6" w:space="0" w:color="auto"/>
        </w:tblBorders>
        <w:tblLook w:val="04A0"/>
      </w:tblPr>
      <w:tblGrid>
        <w:gridCol w:w="1998"/>
        <w:gridCol w:w="2168"/>
        <w:gridCol w:w="193"/>
        <w:gridCol w:w="1958"/>
        <w:gridCol w:w="2205"/>
      </w:tblGrid>
      <w:tr w:rsidR="002A5A5E" w:rsidRPr="00F9522B">
        <w:trPr>
          <w:trHeight w:val="397"/>
          <w:jc w:val="center"/>
        </w:trPr>
        <w:tc>
          <w:tcPr>
            <w:tcW w:w="5000" w:type="pct"/>
            <w:gridSpan w:val="5"/>
            <w:vAlign w:val="center"/>
          </w:tcPr>
          <w:p w:rsidR="002A5A5E" w:rsidRPr="00F9522B" w:rsidRDefault="00611CBA">
            <w:pPr>
              <w:widowControl/>
              <w:spacing w:line="300" w:lineRule="exact"/>
              <w:jc w:val="left"/>
              <w:rPr>
                <w:rFonts w:eastAsiaTheme="minorEastAsia"/>
                <w:kern w:val="0"/>
                <w:szCs w:val="21"/>
                <w:lang w:eastAsia="en-US" w:bidi="en-US"/>
              </w:rPr>
            </w:pPr>
            <w:r w:rsidRPr="00F9522B">
              <w:rPr>
                <w:rFonts w:ascii="宋体" w:hAnsi="宋体" w:cs="宋体" w:hint="eastAsia"/>
                <w:kern w:val="0"/>
                <w:szCs w:val="21"/>
                <w:lang w:eastAsia="en-US" w:bidi="en-US"/>
              </w:rPr>
              <w:t>①</w:t>
            </w:r>
            <w:r w:rsidRPr="00F9522B">
              <w:rPr>
                <w:rFonts w:eastAsiaTheme="minorEastAsia"/>
                <w:kern w:val="0"/>
                <w:szCs w:val="21"/>
                <w:lang w:eastAsia="en-US" w:bidi="en-US"/>
              </w:rPr>
              <w:t>危险性概述</w:t>
            </w:r>
          </w:p>
        </w:tc>
      </w:tr>
      <w:tr w:rsidR="002A5A5E" w:rsidRPr="00F9522B">
        <w:trPr>
          <w:trHeight w:val="397"/>
          <w:jc w:val="center"/>
        </w:trPr>
        <w:tc>
          <w:tcPr>
            <w:tcW w:w="1172" w:type="pct"/>
            <w:vAlign w:val="center"/>
          </w:tcPr>
          <w:p w:rsidR="002A5A5E" w:rsidRPr="00F9522B" w:rsidRDefault="00611CBA">
            <w:pPr>
              <w:widowControl/>
              <w:spacing w:line="300" w:lineRule="exact"/>
              <w:jc w:val="left"/>
              <w:rPr>
                <w:rFonts w:eastAsiaTheme="minorEastAsia"/>
                <w:kern w:val="0"/>
                <w:szCs w:val="21"/>
                <w:lang w:eastAsia="en-US" w:bidi="en-US"/>
              </w:rPr>
            </w:pPr>
            <w:r w:rsidRPr="00F9522B">
              <w:rPr>
                <w:rFonts w:eastAsiaTheme="minorEastAsia"/>
                <w:kern w:val="0"/>
                <w:szCs w:val="21"/>
                <w:lang w:eastAsia="en-US" w:bidi="en-US"/>
              </w:rPr>
              <w:t>危险性类别</w:t>
            </w:r>
          </w:p>
        </w:tc>
        <w:tc>
          <w:tcPr>
            <w:tcW w:w="1385" w:type="pct"/>
            <w:gridSpan w:val="2"/>
            <w:vAlign w:val="center"/>
          </w:tcPr>
          <w:p w:rsidR="002A5A5E" w:rsidRPr="00F9522B" w:rsidRDefault="00611CBA">
            <w:pPr>
              <w:widowControl/>
              <w:spacing w:line="300" w:lineRule="exact"/>
              <w:jc w:val="left"/>
              <w:rPr>
                <w:rFonts w:eastAsiaTheme="minorEastAsia"/>
                <w:kern w:val="0"/>
                <w:szCs w:val="21"/>
                <w:lang w:bidi="en-US"/>
              </w:rPr>
            </w:pPr>
            <w:r w:rsidRPr="00F9522B">
              <w:rPr>
                <w:rFonts w:eastAsiaTheme="minorEastAsia"/>
                <w:kern w:val="0"/>
                <w:szCs w:val="21"/>
                <w:lang w:bidi="en-US"/>
              </w:rPr>
              <w:t>第</w:t>
            </w:r>
            <w:r w:rsidRPr="00F9522B">
              <w:rPr>
                <w:rFonts w:eastAsiaTheme="minorEastAsia"/>
                <w:kern w:val="0"/>
                <w:szCs w:val="21"/>
                <w:lang w:bidi="en-US"/>
              </w:rPr>
              <w:t>3.3</w:t>
            </w:r>
            <w:r w:rsidRPr="00F9522B">
              <w:rPr>
                <w:rFonts w:eastAsiaTheme="minorEastAsia"/>
                <w:kern w:val="0"/>
                <w:szCs w:val="21"/>
                <w:lang w:bidi="en-US"/>
              </w:rPr>
              <w:t>类高闪点，易燃液体</w:t>
            </w:r>
          </w:p>
        </w:tc>
        <w:tc>
          <w:tcPr>
            <w:tcW w:w="1149" w:type="pct"/>
            <w:vAlign w:val="center"/>
          </w:tcPr>
          <w:p w:rsidR="002A5A5E" w:rsidRPr="00F9522B" w:rsidRDefault="00611CBA">
            <w:pPr>
              <w:widowControl/>
              <w:spacing w:line="300" w:lineRule="exact"/>
              <w:jc w:val="left"/>
              <w:rPr>
                <w:rFonts w:eastAsiaTheme="minorEastAsia"/>
                <w:kern w:val="0"/>
                <w:szCs w:val="21"/>
                <w:lang w:eastAsia="en-US" w:bidi="en-US"/>
              </w:rPr>
            </w:pPr>
            <w:r w:rsidRPr="00F9522B">
              <w:rPr>
                <w:rFonts w:eastAsiaTheme="minorEastAsia"/>
                <w:kern w:val="0"/>
                <w:szCs w:val="21"/>
                <w:lang w:eastAsia="en-US" w:bidi="en-US"/>
              </w:rPr>
              <w:t>燃爆危险</w:t>
            </w:r>
          </w:p>
        </w:tc>
        <w:tc>
          <w:tcPr>
            <w:tcW w:w="1294" w:type="pct"/>
            <w:vAlign w:val="center"/>
          </w:tcPr>
          <w:p w:rsidR="002A5A5E" w:rsidRPr="00F9522B" w:rsidRDefault="00611CBA">
            <w:pPr>
              <w:widowControl/>
              <w:spacing w:line="300" w:lineRule="exact"/>
              <w:jc w:val="left"/>
              <w:rPr>
                <w:rFonts w:eastAsiaTheme="minorEastAsia"/>
                <w:kern w:val="0"/>
                <w:szCs w:val="21"/>
                <w:lang w:eastAsia="en-US" w:bidi="en-US"/>
              </w:rPr>
            </w:pPr>
            <w:r w:rsidRPr="00F9522B">
              <w:rPr>
                <w:rFonts w:eastAsiaTheme="minorEastAsia"/>
                <w:kern w:val="0"/>
                <w:szCs w:val="21"/>
                <w:lang w:eastAsia="en-US" w:bidi="en-US"/>
              </w:rPr>
              <w:t>易燃</w:t>
            </w:r>
          </w:p>
        </w:tc>
      </w:tr>
      <w:tr w:rsidR="002A5A5E" w:rsidRPr="00F9522B">
        <w:trPr>
          <w:trHeight w:val="397"/>
          <w:jc w:val="center"/>
        </w:trPr>
        <w:tc>
          <w:tcPr>
            <w:tcW w:w="1172" w:type="pct"/>
            <w:vAlign w:val="center"/>
          </w:tcPr>
          <w:p w:rsidR="002A5A5E" w:rsidRPr="00F9522B" w:rsidRDefault="00611CBA">
            <w:pPr>
              <w:widowControl/>
              <w:spacing w:line="300" w:lineRule="exact"/>
              <w:jc w:val="left"/>
              <w:rPr>
                <w:rFonts w:eastAsiaTheme="minorEastAsia"/>
                <w:kern w:val="0"/>
                <w:szCs w:val="21"/>
                <w:lang w:eastAsia="en-US" w:bidi="en-US"/>
              </w:rPr>
            </w:pPr>
            <w:r w:rsidRPr="00F9522B">
              <w:rPr>
                <w:rFonts w:eastAsiaTheme="minorEastAsia"/>
                <w:kern w:val="0"/>
                <w:szCs w:val="21"/>
                <w:lang w:eastAsia="en-US" w:bidi="en-US"/>
              </w:rPr>
              <w:t>侵入途径</w:t>
            </w:r>
          </w:p>
        </w:tc>
        <w:tc>
          <w:tcPr>
            <w:tcW w:w="1385" w:type="pct"/>
            <w:gridSpan w:val="2"/>
            <w:vAlign w:val="center"/>
          </w:tcPr>
          <w:p w:rsidR="002A5A5E" w:rsidRPr="00F9522B" w:rsidRDefault="00611CBA">
            <w:pPr>
              <w:widowControl/>
              <w:spacing w:line="300" w:lineRule="exact"/>
              <w:jc w:val="left"/>
              <w:rPr>
                <w:rFonts w:eastAsiaTheme="minorEastAsia"/>
                <w:kern w:val="0"/>
                <w:szCs w:val="21"/>
                <w:lang w:bidi="en-US"/>
              </w:rPr>
            </w:pPr>
            <w:r w:rsidRPr="00F9522B">
              <w:rPr>
                <w:rFonts w:eastAsiaTheme="minorEastAsia"/>
                <w:kern w:val="0"/>
                <w:szCs w:val="21"/>
                <w:lang w:bidi="en-US"/>
              </w:rPr>
              <w:t>吸入、食入、经皮吸收</w:t>
            </w:r>
          </w:p>
        </w:tc>
        <w:tc>
          <w:tcPr>
            <w:tcW w:w="1149" w:type="pct"/>
            <w:vAlign w:val="center"/>
          </w:tcPr>
          <w:p w:rsidR="002A5A5E" w:rsidRPr="00F9522B" w:rsidRDefault="00611CBA">
            <w:pPr>
              <w:widowControl/>
              <w:spacing w:line="300" w:lineRule="exact"/>
              <w:jc w:val="left"/>
              <w:rPr>
                <w:rFonts w:eastAsiaTheme="minorEastAsia"/>
                <w:kern w:val="0"/>
                <w:szCs w:val="21"/>
                <w:lang w:eastAsia="en-US" w:bidi="en-US"/>
              </w:rPr>
            </w:pPr>
            <w:r w:rsidRPr="00F9522B">
              <w:rPr>
                <w:rFonts w:eastAsiaTheme="minorEastAsia"/>
                <w:kern w:val="0"/>
                <w:szCs w:val="21"/>
                <w:lang w:eastAsia="en-US" w:bidi="en-US"/>
              </w:rPr>
              <w:t>有害燃烧产物</w:t>
            </w:r>
          </w:p>
        </w:tc>
        <w:tc>
          <w:tcPr>
            <w:tcW w:w="1294" w:type="pct"/>
            <w:vAlign w:val="center"/>
          </w:tcPr>
          <w:p w:rsidR="002A5A5E" w:rsidRPr="00F9522B" w:rsidRDefault="00611CBA">
            <w:pPr>
              <w:widowControl/>
              <w:spacing w:line="300" w:lineRule="exact"/>
              <w:jc w:val="left"/>
              <w:rPr>
                <w:rFonts w:eastAsiaTheme="minorEastAsia"/>
                <w:kern w:val="0"/>
                <w:szCs w:val="21"/>
                <w:lang w:eastAsia="en-US" w:bidi="en-US"/>
              </w:rPr>
            </w:pPr>
            <w:r w:rsidRPr="00F9522B">
              <w:rPr>
                <w:rFonts w:eastAsiaTheme="minorEastAsia"/>
                <w:kern w:val="0"/>
                <w:szCs w:val="21"/>
                <w:lang w:eastAsia="en-US" w:bidi="en-US"/>
              </w:rPr>
              <w:t>一氧化碳、二氧化碳</w:t>
            </w:r>
          </w:p>
        </w:tc>
      </w:tr>
      <w:tr w:rsidR="002A5A5E" w:rsidRPr="00F9522B">
        <w:trPr>
          <w:trHeight w:val="397"/>
          <w:jc w:val="center"/>
        </w:trPr>
        <w:tc>
          <w:tcPr>
            <w:tcW w:w="1172" w:type="pct"/>
            <w:vAlign w:val="center"/>
          </w:tcPr>
          <w:p w:rsidR="002A5A5E" w:rsidRPr="00F9522B" w:rsidRDefault="00611CBA">
            <w:pPr>
              <w:widowControl/>
              <w:spacing w:line="300" w:lineRule="exact"/>
              <w:jc w:val="left"/>
              <w:rPr>
                <w:rFonts w:eastAsiaTheme="minorEastAsia"/>
                <w:kern w:val="0"/>
                <w:szCs w:val="21"/>
                <w:lang w:eastAsia="en-US" w:bidi="en-US"/>
              </w:rPr>
            </w:pPr>
            <w:r w:rsidRPr="00F9522B">
              <w:rPr>
                <w:rFonts w:eastAsiaTheme="minorEastAsia"/>
                <w:kern w:val="0"/>
                <w:szCs w:val="21"/>
                <w:lang w:eastAsia="en-US" w:bidi="en-US"/>
              </w:rPr>
              <w:t>环境危害</w:t>
            </w:r>
          </w:p>
        </w:tc>
        <w:tc>
          <w:tcPr>
            <w:tcW w:w="3828" w:type="pct"/>
            <w:gridSpan w:val="4"/>
            <w:vAlign w:val="center"/>
          </w:tcPr>
          <w:p w:rsidR="002A5A5E" w:rsidRPr="00F9522B" w:rsidRDefault="00611CBA">
            <w:pPr>
              <w:widowControl/>
              <w:spacing w:line="300" w:lineRule="exact"/>
              <w:jc w:val="left"/>
              <w:rPr>
                <w:rFonts w:eastAsiaTheme="minorEastAsia"/>
                <w:kern w:val="0"/>
                <w:szCs w:val="21"/>
                <w:lang w:bidi="en-US"/>
              </w:rPr>
            </w:pPr>
            <w:r w:rsidRPr="00F9522B">
              <w:rPr>
                <w:rFonts w:eastAsiaTheme="minorEastAsia"/>
                <w:kern w:val="0"/>
                <w:szCs w:val="21"/>
                <w:lang w:bidi="en-US"/>
              </w:rPr>
              <w:t>该物质对环境有危害，应特别注意对地表水、土壤、大气和饮用水的污染。</w:t>
            </w:r>
          </w:p>
        </w:tc>
      </w:tr>
      <w:tr w:rsidR="002A5A5E" w:rsidRPr="00F9522B">
        <w:trPr>
          <w:trHeight w:val="397"/>
          <w:jc w:val="center"/>
        </w:trPr>
        <w:tc>
          <w:tcPr>
            <w:tcW w:w="5000" w:type="pct"/>
            <w:gridSpan w:val="5"/>
            <w:vAlign w:val="center"/>
          </w:tcPr>
          <w:p w:rsidR="002A5A5E" w:rsidRPr="00F9522B" w:rsidRDefault="00611CBA">
            <w:pPr>
              <w:widowControl/>
              <w:spacing w:line="300" w:lineRule="exact"/>
              <w:jc w:val="left"/>
              <w:rPr>
                <w:rFonts w:eastAsiaTheme="minorEastAsia"/>
                <w:kern w:val="0"/>
                <w:szCs w:val="21"/>
                <w:lang w:eastAsia="en-US" w:bidi="en-US"/>
              </w:rPr>
            </w:pPr>
            <w:r w:rsidRPr="00F9522B">
              <w:rPr>
                <w:rFonts w:ascii="宋体" w:hAnsi="宋体" w:cs="宋体" w:hint="eastAsia"/>
                <w:kern w:val="0"/>
                <w:szCs w:val="21"/>
                <w:lang w:eastAsia="en-US" w:bidi="en-US"/>
              </w:rPr>
              <w:t>②</w:t>
            </w:r>
            <w:r w:rsidRPr="00F9522B">
              <w:rPr>
                <w:rFonts w:eastAsiaTheme="minorEastAsia"/>
                <w:kern w:val="0"/>
                <w:szCs w:val="21"/>
                <w:lang w:eastAsia="en-US" w:bidi="en-US"/>
              </w:rPr>
              <w:t>理化性质</w:t>
            </w:r>
          </w:p>
        </w:tc>
      </w:tr>
      <w:tr w:rsidR="002A5A5E" w:rsidRPr="00F9522B">
        <w:trPr>
          <w:trHeight w:val="397"/>
          <w:jc w:val="center"/>
        </w:trPr>
        <w:tc>
          <w:tcPr>
            <w:tcW w:w="1172" w:type="pct"/>
            <w:vAlign w:val="center"/>
          </w:tcPr>
          <w:p w:rsidR="002A5A5E" w:rsidRPr="00F9522B" w:rsidRDefault="00611CBA">
            <w:pPr>
              <w:widowControl/>
              <w:spacing w:line="300" w:lineRule="exact"/>
              <w:jc w:val="left"/>
              <w:rPr>
                <w:rFonts w:eastAsiaTheme="minorEastAsia"/>
                <w:kern w:val="0"/>
                <w:szCs w:val="21"/>
                <w:lang w:eastAsia="en-US" w:bidi="en-US"/>
              </w:rPr>
            </w:pPr>
            <w:r w:rsidRPr="00F9522B">
              <w:rPr>
                <w:rFonts w:eastAsiaTheme="minorEastAsia"/>
                <w:kern w:val="0"/>
                <w:szCs w:val="21"/>
                <w:lang w:eastAsia="en-US" w:bidi="en-US"/>
              </w:rPr>
              <w:t>外观及性状</w:t>
            </w:r>
          </w:p>
        </w:tc>
        <w:tc>
          <w:tcPr>
            <w:tcW w:w="1272" w:type="pct"/>
            <w:vAlign w:val="center"/>
          </w:tcPr>
          <w:p w:rsidR="002A5A5E" w:rsidRPr="00F9522B" w:rsidRDefault="00611CBA">
            <w:pPr>
              <w:widowControl/>
              <w:spacing w:line="300" w:lineRule="exact"/>
              <w:jc w:val="left"/>
              <w:rPr>
                <w:rFonts w:eastAsiaTheme="minorEastAsia"/>
                <w:kern w:val="0"/>
                <w:szCs w:val="21"/>
                <w:lang w:eastAsia="en-US" w:bidi="en-US"/>
              </w:rPr>
            </w:pPr>
            <w:r w:rsidRPr="00F9522B">
              <w:rPr>
                <w:rFonts w:eastAsiaTheme="minorEastAsia"/>
                <w:kern w:val="0"/>
                <w:szCs w:val="21"/>
                <w:lang w:eastAsia="en-US" w:bidi="en-US"/>
              </w:rPr>
              <w:t>稍有粘性的棕色液体</w:t>
            </w:r>
          </w:p>
        </w:tc>
        <w:tc>
          <w:tcPr>
            <w:tcW w:w="1262" w:type="pct"/>
            <w:gridSpan w:val="2"/>
            <w:vAlign w:val="center"/>
          </w:tcPr>
          <w:p w:rsidR="002A5A5E" w:rsidRPr="00F9522B" w:rsidRDefault="00611CBA">
            <w:pPr>
              <w:widowControl/>
              <w:spacing w:line="300" w:lineRule="exact"/>
              <w:jc w:val="left"/>
              <w:rPr>
                <w:rFonts w:eastAsiaTheme="minorEastAsia"/>
                <w:kern w:val="0"/>
                <w:szCs w:val="21"/>
                <w:lang w:eastAsia="en-US" w:bidi="en-US"/>
              </w:rPr>
            </w:pPr>
            <w:r w:rsidRPr="00F9522B">
              <w:rPr>
                <w:rFonts w:eastAsiaTheme="minorEastAsia"/>
                <w:kern w:val="0"/>
                <w:szCs w:val="21"/>
                <w:lang w:eastAsia="en-US" w:bidi="en-US"/>
              </w:rPr>
              <w:t>主要途径</w:t>
            </w:r>
          </w:p>
        </w:tc>
        <w:tc>
          <w:tcPr>
            <w:tcW w:w="1294" w:type="pct"/>
            <w:vAlign w:val="center"/>
          </w:tcPr>
          <w:p w:rsidR="002A5A5E" w:rsidRPr="00F9522B" w:rsidRDefault="00611CBA">
            <w:pPr>
              <w:widowControl/>
              <w:spacing w:line="300" w:lineRule="exact"/>
              <w:jc w:val="left"/>
              <w:rPr>
                <w:rFonts w:eastAsiaTheme="minorEastAsia"/>
                <w:kern w:val="0"/>
                <w:szCs w:val="21"/>
                <w:lang w:eastAsia="en-US" w:bidi="en-US"/>
              </w:rPr>
            </w:pPr>
            <w:r w:rsidRPr="00F9522B">
              <w:rPr>
                <w:rFonts w:eastAsiaTheme="minorEastAsia"/>
                <w:kern w:val="0"/>
                <w:szCs w:val="21"/>
                <w:lang w:eastAsia="en-US" w:bidi="en-US"/>
              </w:rPr>
              <w:t>用作柴油机的燃料等</w:t>
            </w:r>
          </w:p>
        </w:tc>
      </w:tr>
      <w:tr w:rsidR="002A5A5E" w:rsidRPr="00F9522B">
        <w:trPr>
          <w:trHeight w:val="397"/>
          <w:jc w:val="center"/>
        </w:trPr>
        <w:tc>
          <w:tcPr>
            <w:tcW w:w="1172" w:type="pct"/>
            <w:vAlign w:val="center"/>
          </w:tcPr>
          <w:p w:rsidR="002A5A5E" w:rsidRPr="00F9522B" w:rsidRDefault="00611CBA">
            <w:pPr>
              <w:widowControl/>
              <w:spacing w:line="300" w:lineRule="exact"/>
              <w:jc w:val="left"/>
              <w:rPr>
                <w:rFonts w:eastAsiaTheme="minorEastAsia"/>
                <w:kern w:val="0"/>
                <w:szCs w:val="21"/>
                <w:lang w:eastAsia="en-US" w:bidi="en-US"/>
              </w:rPr>
            </w:pPr>
            <w:r w:rsidRPr="00F9522B">
              <w:rPr>
                <w:rFonts w:eastAsiaTheme="minorEastAsia"/>
                <w:kern w:val="0"/>
                <w:szCs w:val="21"/>
                <w:lang w:eastAsia="en-US" w:bidi="en-US"/>
              </w:rPr>
              <w:t>闪点</w:t>
            </w:r>
            <w:r w:rsidRPr="00F9522B">
              <w:rPr>
                <w:rFonts w:eastAsiaTheme="minorEastAsia"/>
                <w:kern w:val="0"/>
                <w:szCs w:val="21"/>
                <w:lang w:eastAsia="en-US" w:bidi="en-US"/>
              </w:rPr>
              <w:t>℃</w:t>
            </w:r>
          </w:p>
        </w:tc>
        <w:tc>
          <w:tcPr>
            <w:tcW w:w="1272" w:type="pct"/>
            <w:vAlign w:val="center"/>
          </w:tcPr>
          <w:p w:rsidR="002A5A5E" w:rsidRPr="00F9522B" w:rsidRDefault="00611CBA">
            <w:pPr>
              <w:widowControl/>
              <w:spacing w:line="300" w:lineRule="exact"/>
              <w:jc w:val="left"/>
              <w:rPr>
                <w:rFonts w:eastAsiaTheme="minorEastAsia"/>
                <w:kern w:val="0"/>
                <w:szCs w:val="21"/>
                <w:lang w:eastAsia="en-US" w:bidi="en-US"/>
              </w:rPr>
            </w:pPr>
            <w:r w:rsidRPr="00F9522B">
              <w:rPr>
                <w:rFonts w:eastAsiaTheme="minorEastAsia"/>
                <w:kern w:val="0"/>
                <w:szCs w:val="21"/>
                <w:lang w:eastAsia="en-US" w:bidi="en-US"/>
              </w:rPr>
              <w:t>45</w:t>
            </w:r>
            <w:r w:rsidRPr="00F9522B">
              <w:rPr>
                <w:rFonts w:eastAsiaTheme="minorEastAsia"/>
                <w:kern w:val="0"/>
                <w:szCs w:val="21"/>
                <w:lang w:eastAsia="en-US" w:bidi="en-US"/>
              </w:rPr>
              <w:t>～</w:t>
            </w:r>
            <w:r w:rsidRPr="00F9522B">
              <w:rPr>
                <w:rFonts w:eastAsiaTheme="minorEastAsia"/>
                <w:kern w:val="0"/>
                <w:szCs w:val="21"/>
                <w:lang w:eastAsia="en-US" w:bidi="en-US"/>
              </w:rPr>
              <w:t>55</w:t>
            </w:r>
          </w:p>
        </w:tc>
        <w:tc>
          <w:tcPr>
            <w:tcW w:w="1262" w:type="pct"/>
            <w:gridSpan w:val="2"/>
            <w:vAlign w:val="center"/>
          </w:tcPr>
          <w:p w:rsidR="002A5A5E" w:rsidRPr="00F9522B" w:rsidRDefault="00611CBA">
            <w:pPr>
              <w:widowControl/>
              <w:spacing w:line="300" w:lineRule="exact"/>
              <w:jc w:val="left"/>
              <w:rPr>
                <w:rFonts w:eastAsiaTheme="minorEastAsia"/>
                <w:kern w:val="0"/>
                <w:szCs w:val="21"/>
                <w:lang w:eastAsia="en-US" w:bidi="en-US"/>
              </w:rPr>
            </w:pPr>
            <w:r w:rsidRPr="00F9522B">
              <w:rPr>
                <w:rFonts w:eastAsiaTheme="minorEastAsia"/>
                <w:kern w:val="0"/>
                <w:szCs w:val="21"/>
                <w:lang w:eastAsia="en-US" w:bidi="en-US"/>
              </w:rPr>
              <w:t>相对密度</w:t>
            </w:r>
          </w:p>
        </w:tc>
        <w:tc>
          <w:tcPr>
            <w:tcW w:w="1294" w:type="pct"/>
            <w:vAlign w:val="center"/>
          </w:tcPr>
          <w:p w:rsidR="002A5A5E" w:rsidRPr="00F9522B" w:rsidRDefault="00611CBA">
            <w:pPr>
              <w:widowControl/>
              <w:spacing w:line="300" w:lineRule="exact"/>
              <w:jc w:val="left"/>
              <w:rPr>
                <w:rFonts w:eastAsiaTheme="minorEastAsia"/>
                <w:kern w:val="0"/>
                <w:szCs w:val="21"/>
                <w:lang w:eastAsia="en-US" w:bidi="en-US"/>
              </w:rPr>
            </w:pPr>
            <w:r w:rsidRPr="00F9522B">
              <w:rPr>
                <w:rFonts w:eastAsiaTheme="minorEastAsia"/>
                <w:kern w:val="0"/>
                <w:szCs w:val="21"/>
                <w:lang w:eastAsia="en-US" w:bidi="en-US"/>
              </w:rPr>
              <w:t>0.87</w:t>
            </w:r>
            <w:r w:rsidRPr="00F9522B">
              <w:rPr>
                <w:rFonts w:eastAsiaTheme="minorEastAsia"/>
                <w:kern w:val="0"/>
                <w:szCs w:val="21"/>
                <w:lang w:eastAsia="en-US" w:bidi="en-US"/>
              </w:rPr>
              <w:t>～</w:t>
            </w:r>
            <w:r w:rsidRPr="00F9522B">
              <w:rPr>
                <w:rFonts w:eastAsiaTheme="minorEastAsia"/>
                <w:kern w:val="0"/>
                <w:szCs w:val="21"/>
                <w:lang w:eastAsia="en-US" w:bidi="en-US"/>
              </w:rPr>
              <w:t>0.9</w:t>
            </w:r>
          </w:p>
        </w:tc>
      </w:tr>
      <w:tr w:rsidR="002A5A5E" w:rsidRPr="00F9522B">
        <w:trPr>
          <w:trHeight w:val="397"/>
          <w:jc w:val="center"/>
        </w:trPr>
        <w:tc>
          <w:tcPr>
            <w:tcW w:w="1172" w:type="pct"/>
            <w:vAlign w:val="center"/>
          </w:tcPr>
          <w:p w:rsidR="002A5A5E" w:rsidRPr="00F9522B" w:rsidRDefault="00611CBA">
            <w:pPr>
              <w:widowControl/>
              <w:spacing w:line="300" w:lineRule="exact"/>
              <w:jc w:val="left"/>
              <w:rPr>
                <w:rFonts w:eastAsiaTheme="minorEastAsia"/>
                <w:kern w:val="0"/>
                <w:szCs w:val="21"/>
                <w:lang w:eastAsia="en-US" w:bidi="en-US"/>
              </w:rPr>
            </w:pPr>
            <w:r w:rsidRPr="00F9522B">
              <w:rPr>
                <w:rFonts w:eastAsiaTheme="minorEastAsia"/>
                <w:kern w:val="0"/>
                <w:szCs w:val="21"/>
                <w:lang w:eastAsia="en-US" w:bidi="en-US"/>
              </w:rPr>
              <w:t>沸点</w:t>
            </w:r>
            <w:r w:rsidRPr="00F9522B">
              <w:rPr>
                <w:rFonts w:eastAsiaTheme="minorEastAsia"/>
                <w:kern w:val="0"/>
                <w:szCs w:val="21"/>
                <w:lang w:eastAsia="en-US" w:bidi="en-US"/>
              </w:rPr>
              <w:t>℃</w:t>
            </w:r>
          </w:p>
        </w:tc>
        <w:tc>
          <w:tcPr>
            <w:tcW w:w="1272" w:type="pct"/>
            <w:vAlign w:val="center"/>
          </w:tcPr>
          <w:p w:rsidR="002A5A5E" w:rsidRPr="00F9522B" w:rsidRDefault="00611CBA">
            <w:pPr>
              <w:widowControl/>
              <w:spacing w:line="300" w:lineRule="exact"/>
              <w:jc w:val="left"/>
              <w:rPr>
                <w:rFonts w:eastAsiaTheme="minorEastAsia"/>
                <w:kern w:val="0"/>
                <w:szCs w:val="21"/>
                <w:lang w:eastAsia="en-US" w:bidi="en-US"/>
              </w:rPr>
            </w:pPr>
            <w:r w:rsidRPr="00F9522B">
              <w:rPr>
                <w:rFonts w:eastAsiaTheme="minorEastAsia"/>
                <w:kern w:val="0"/>
                <w:szCs w:val="21"/>
                <w:lang w:eastAsia="en-US" w:bidi="en-US"/>
              </w:rPr>
              <w:t>200</w:t>
            </w:r>
            <w:r w:rsidRPr="00F9522B">
              <w:rPr>
                <w:rFonts w:eastAsiaTheme="minorEastAsia"/>
                <w:kern w:val="0"/>
                <w:szCs w:val="21"/>
                <w:lang w:eastAsia="en-US" w:bidi="en-US"/>
              </w:rPr>
              <w:t>～</w:t>
            </w:r>
            <w:r w:rsidRPr="00F9522B">
              <w:rPr>
                <w:rFonts w:eastAsiaTheme="minorEastAsia"/>
                <w:kern w:val="0"/>
                <w:szCs w:val="21"/>
                <w:lang w:eastAsia="en-US" w:bidi="en-US"/>
              </w:rPr>
              <w:t>350</w:t>
            </w:r>
          </w:p>
        </w:tc>
        <w:tc>
          <w:tcPr>
            <w:tcW w:w="1262" w:type="pct"/>
            <w:gridSpan w:val="2"/>
            <w:vAlign w:val="center"/>
          </w:tcPr>
          <w:p w:rsidR="002A5A5E" w:rsidRPr="00F9522B" w:rsidRDefault="00611CBA">
            <w:pPr>
              <w:widowControl/>
              <w:spacing w:line="300" w:lineRule="exact"/>
              <w:jc w:val="left"/>
              <w:rPr>
                <w:rFonts w:eastAsiaTheme="minorEastAsia"/>
                <w:kern w:val="0"/>
                <w:szCs w:val="21"/>
                <w:lang w:eastAsia="en-US" w:bidi="en-US"/>
              </w:rPr>
            </w:pPr>
            <w:r w:rsidRPr="00F9522B">
              <w:rPr>
                <w:rFonts w:eastAsiaTheme="minorEastAsia"/>
                <w:kern w:val="0"/>
                <w:szCs w:val="21"/>
                <w:lang w:eastAsia="en-US" w:bidi="en-US"/>
              </w:rPr>
              <w:t>爆炸上限</w:t>
            </w:r>
            <w:r w:rsidRPr="00F9522B">
              <w:rPr>
                <w:rFonts w:eastAsiaTheme="minorEastAsia"/>
                <w:kern w:val="0"/>
                <w:szCs w:val="21"/>
                <w:lang w:eastAsia="en-US" w:bidi="en-US"/>
              </w:rPr>
              <w:t>%</w:t>
            </w:r>
            <w:r w:rsidRPr="00F9522B">
              <w:rPr>
                <w:rFonts w:eastAsiaTheme="minorEastAsia"/>
                <w:kern w:val="0"/>
                <w:szCs w:val="21"/>
                <w:lang w:eastAsia="en-US" w:bidi="en-US"/>
              </w:rPr>
              <w:t>（</w:t>
            </w:r>
            <w:r w:rsidRPr="00F9522B">
              <w:rPr>
                <w:rFonts w:eastAsiaTheme="minorEastAsia"/>
                <w:kern w:val="0"/>
                <w:szCs w:val="21"/>
                <w:lang w:eastAsia="en-US" w:bidi="en-US"/>
              </w:rPr>
              <w:t>V/V</w:t>
            </w:r>
            <w:r w:rsidRPr="00F9522B">
              <w:rPr>
                <w:rFonts w:eastAsiaTheme="minorEastAsia"/>
                <w:kern w:val="0"/>
                <w:szCs w:val="21"/>
                <w:lang w:eastAsia="en-US" w:bidi="en-US"/>
              </w:rPr>
              <w:t>）</w:t>
            </w:r>
          </w:p>
        </w:tc>
        <w:tc>
          <w:tcPr>
            <w:tcW w:w="1294" w:type="pct"/>
            <w:vAlign w:val="center"/>
          </w:tcPr>
          <w:p w:rsidR="002A5A5E" w:rsidRPr="00F9522B" w:rsidRDefault="00611CBA">
            <w:pPr>
              <w:widowControl/>
              <w:spacing w:line="300" w:lineRule="exact"/>
              <w:jc w:val="left"/>
              <w:rPr>
                <w:rFonts w:eastAsiaTheme="minorEastAsia"/>
                <w:kern w:val="0"/>
                <w:szCs w:val="21"/>
                <w:lang w:eastAsia="en-US" w:bidi="en-US"/>
              </w:rPr>
            </w:pPr>
            <w:r w:rsidRPr="00F9522B">
              <w:rPr>
                <w:rFonts w:eastAsiaTheme="minorEastAsia"/>
                <w:kern w:val="0"/>
                <w:szCs w:val="21"/>
                <w:lang w:eastAsia="en-US" w:bidi="en-US"/>
              </w:rPr>
              <w:t>4.5</w:t>
            </w:r>
          </w:p>
        </w:tc>
      </w:tr>
      <w:tr w:rsidR="002A5A5E" w:rsidRPr="00F9522B">
        <w:trPr>
          <w:trHeight w:val="397"/>
          <w:jc w:val="center"/>
        </w:trPr>
        <w:tc>
          <w:tcPr>
            <w:tcW w:w="1172" w:type="pct"/>
            <w:vAlign w:val="center"/>
          </w:tcPr>
          <w:p w:rsidR="002A5A5E" w:rsidRPr="00F9522B" w:rsidRDefault="00611CBA">
            <w:pPr>
              <w:widowControl/>
              <w:spacing w:line="300" w:lineRule="exact"/>
              <w:jc w:val="left"/>
              <w:rPr>
                <w:rFonts w:eastAsiaTheme="minorEastAsia"/>
                <w:kern w:val="0"/>
                <w:szCs w:val="21"/>
                <w:lang w:eastAsia="en-US" w:bidi="en-US"/>
              </w:rPr>
            </w:pPr>
            <w:r w:rsidRPr="00F9522B">
              <w:rPr>
                <w:rFonts w:eastAsiaTheme="minorEastAsia"/>
                <w:kern w:val="0"/>
                <w:szCs w:val="21"/>
                <w:lang w:eastAsia="en-US" w:bidi="en-US"/>
              </w:rPr>
              <w:t>自然点</w:t>
            </w:r>
            <w:r w:rsidRPr="00F9522B">
              <w:rPr>
                <w:rFonts w:eastAsiaTheme="minorEastAsia"/>
                <w:kern w:val="0"/>
                <w:szCs w:val="21"/>
                <w:lang w:eastAsia="en-US" w:bidi="en-US"/>
              </w:rPr>
              <w:t>℃</w:t>
            </w:r>
          </w:p>
        </w:tc>
        <w:tc>
          <w:tcPr>
            <w:tcW w:w="1272" w:type="pct"/>
            <w:vAlign w:val="center"/>
          </w:tcPr>
          <w:p w:rsidR="002A5A5E" w:rsidRPr="00F9522B" w:rsidRDefault="00611CBA">
            <w:pPr>
              <w:widowControl/>
              <w:spacing w:line="300" w:lineRule="exact"/>
              <w:jc w:val="left"/>
              <w:rPr>
                <w:rFonts w:eastAsiaTheme="minorEastAsia"/>
                <w:kern w:val="0"/>
                <w:szCs w:val="21"/>
                <w:lang w:eastAsia="en-US" w:bidi="en-US"/>
              </w:rPr>
            </w:pPr>
            <w:r w:rsidRPr="00F9522B">
              <w:rPr>
                <w:rFonts w:eastAsiaTheme="minorEastAsia"/>
                <w:kern w:val="0"/>
                <w:szCs w:val="21"/>
                <w:lang w:eastAsia="en-US" w:bidi="en-US"/>
              </w:rPr>
              <w:t>257</w:t>
            </w:r>
          </w:p>
        </w:tc>
        <w:tc>
          <w:tcPr>
            <w:tcW w:w="1262" w:type="pct"/>
            <w:gridSpan w:val="2"/>
            <w:vAlign w:val="center"/>
          </w:tcPr>
          <w:p w:rsidR="002A5A5E" w:rsidRPr="00F9522B" w:rsidRDefault="00611CBA">
            <w:pPr>
              <w:widowControl/>
              <w:spacing w:line="300" w:lineRule="exact"/>
              <w:jc w:val="left"/>
              <w:rPr>
                <w:rFonts w:eastAsiaTheme="minorEastAsia"/>
                <w:kern w:val="0"/>
                <w:szCs w:val="21"/>
                <w:lang w:eastAsia="en-US" w:bidi="en-US"/>
              </w:rPr>
            </w:pPr>
            <w:r w:rsidRPr="00F9522B">
              <w:rPr>
                <w:rFonts w:eastAsiaTheme="minorEastAsia"/>
                <w:kern w:val="0"/>
                <w:szCs w:val="21"/>
                <w:lang w:eastAsia="en-US" w:bidi="en-US"/>
              </w:rPr>
              <w:t>爆炸下限</w:t>
            </w:r>
            <w:r w:rsidRPr="00F9522B">
              <w:rPr>
                <w:rFonts w:eastAsiaTheme="minorEastAsia"/>
                <w:kern w:val="0"/>
                <w:szCs w:val="21"/>
                <w:lang w:eastAsia="en-US" w:bidi="en-US"/>
              </w:rPr>
              <w:t>%</w:t>
            </w:r>
            <w:r w:rsidRPr="00F9522B">
              <w:rPr>
                <w:rFonts w:eastAsiaTheme="minorEastAsia"/>
                <w:kern w:val="0"/>
                <w:szCs w:val="21"/>
                <w:lang w:eastAsia="en-US" w:bidi="en-US"/>
              </w:rPr>
              <w:t>（</w:t>
            </w:r>
            <w:r w:rsidRPr="00F9522B">
              <w:rPr>
                <w:rFonts w:eastAsiaTheme="minorEastAsia"/>
                <w:kern w:val="0"/>
                <w:szCs w:val="21"/>
                <w:lang w:eastAsia="en-US" w:bidi="en-US"/>
              </w:rPr>
              <w:t>V/V</w:t>
            </w:r>
            <w:r w:rsidRPr="00F9522B">
              <w:rPr>
                <w:rFonts w:eastAsiaTheme="minorEastAsia"/>
                <w:kern w:val="0"/>
                <w:szCs w:val="21"/>
                <w:lang w:eastAsia="en-US" w:bidi="en-US"/>
              </w:rPr>
              <w:t>）</w:t>
            </w:r>
          </w:p>
        </w:tc>
        <w:tc>
          <w:tcPr>
            <w:tcW w:w="1294" w:type="pct"/>
            <w:vAlign w:val="center"/>
          </w:tcPr>
          <w:p w:rsidR="002A5A5E" w:rsidRPr="00F9522B" w:rsidRDefault="00611CBA">
            <w:pPr>
              <w:widowControl/>
              <w:spacing w:line="300" w:lineRule="exact"/>
              <w:jc w:val="left"/>
              <w:rPr>
                <w:rFonts w:eastAsiaTheme="minorEastAsia"/>
                <w:kern w:val="0"/>
                <w:szCs w:val="21"/>
                <w:lang w:eastAsia="en-US" w:bidi="en-US"/>
              </w:rPr>
            </w:pPr>
            <w:r w:rsidRPr="00F9522B">
              <w:rPr>
                <w:rFonts w:eastAsiaTheme="minorEastAsia"/>
                <w:kern w:val="0"/>
                <w:szCs w:val="21"/>
                <w:lang w:eastAsia="en-US" w:bidi="en-US"/>
              </w:rPr>
              <w:t>1.5</w:t>
            </w:r>
          </w:p>
        </w:tc>
      </w:tr>
      <w:tr w:rsidR="002A5A5E" w:rsidRPr="00F9522B">
        <w:trPr>
          <w:trHeight w:val="397"/>
          <w:jc w:val="center"/>
        </w:trPr>
        <w:tc>
          <w:tcPr>
            <w:tcW w:w="1172" w:type="pct"/>
            <w:vAlign w:val="center"/>
          </w:tcPr>
          <w:p w:rsidR="002A5A5E" w:rsidRPr="00F9522B" w:rsidRDefault="00611CBA">
            <w:pPr>
              <w:widowControl/>
              <w:spacing w:line="300" w:lineRule="exact"/>
              <w:jc w:val="left"/>
              <w:rPr>
                <w:rFonts w:eastAsiaTheme="minorEastAsia"/>
                <w:kern w:val="0"/>
                <w:szCs w:val="21"/>
                <w:lang w:eastAsia="en-US" w:bidi="en-US"/>
              </w:rPr>
            </w:pPr>
            <w:r w:rsidRPr="00F9522B">
              <w:rPr>
                <w:rFonts w:eastAsiaTheme="minorEastAsia"/>
                <w:kern w:val="0"/>
                <w:szCs w:val="21"/>
                <w:lang w:eastAsia="en-US" w:bidi="en-US"/>
              </w:rPr>
              <w:t>溶解性</w:t>
            </w:r>
          </w:p>
        </w:tc>
        <w:tc>
          <w:tcPr>
            <w:tcW w:w="3828" w:type="pct"/>
            <w:gridSpan w:val="4"/>
            <w:vAlign w:val="center"/>
          </w:tcPr>
          <w:p w:rsidR="002A5A5E" w:rsidRPr="00F9522B" w:rsidRDefault="00611CBA">
            <w:pPr>
              <w:widowControl/>
              <w:spacing w:line="300" w:lineRule="exact"/>
              <w:jc w:val="left"/>
              <w:rPr>
                <w:rFonts w:eastAsiaTheme="minorEastAsia"/>
                <w:kern w:val="0"/>
                <w:szCs w:val="21"/>
                <w:lang w:eastAsia="en-US" w:bidi="en-US"/>
              </w:rPr>
            </w:pPr>
            <w:r w:rsidRPr="00F9522B">
              <w:rPr>
                <w:rFonts w:eastAsiaTheme="minorEastAsia"/>
                <w:kern w:val="0"/>
                <w:szCs w:val="21"/>
                <w:lang w:eastAsia="en-US" w:bidi="en-US"/>
              </w:rPr>
              <w:t>不溶于水，易溶于苯、二氧化碳、醇，易溶于脂肪</w:t>
            </w:r>
          </w:p>
        </w:tc>
      </w:tr>
      <w:tr w:rsidR="002A5A5E" w:rsidRPr="00F9522B">
        <w:trPr>
          <w:trHeight w:val="397"/>
          <w:jc w:val="center"/>
        </w:trPr>
        <w:tc>
          <w:tcPr>
            <w:tcW w:w="5000" w:type="pct"/>
            <w:gridSpan w:val="5"/>
            <w:vAlign w:val="center"/>
          </w:tcPr>
          <w:p w:rsidR="002A5A5E" w:rsidRPr="00F9522B" w:rsidRDefault="00611CBA">
            <w:pPr>
              <w:widowControl/>
              <w:spacing w:line="300" w:lineRule="exact"/>
              <w:jc w:val="left"/>
              <w:rPr>
                <w:rFonts w:eastAsiaTheme="minorEastAsia"/>
                <w:kern w:val="0"/>
                <w:szCs w:val="21"/>
                <w:lang w:eastAsia="en-US" w:bidi="en-US"/>
              </w:rPr>
            </w:pPr>
            <w:r w:rsidRPr="00F9522B">
              <w:rPr>
                <w:rFonts w:ascii="宋体" w:hAnsi="宋体" w:cs="宋体" w:hint="eastAsia"/>
                <w:kern w:val="0"/>
                <w:szCs w:val="21"/>
                <w:lang w:eastAsia="en-US" w:bidi="en-US"/>
              </w:rPr>
              <w:t>③</w:t>
            </w:r>
            <w:r w:rsidRPr="00F9522B">
              <w:rPr>
                <w:rFonts w:eastAsiaTheme="minorEastAsia"/>
                <w:kern w:val="0"/>
                <w:szCs w:val="21"/>
                <w:lang w:eastAsia="en-US" w:bidi="en-US"/>
              </w:rPr>
              <w:t>稳定性及化学活性</w:t>
            </w:r>
          </w:p>
        </w:tc>
      </w:tr>
      <w:tr w:rsidR="002A5A5E" w:rsidRPr="00F9522B">
        <w:trPr>
          <w:trHeight w:val="397"/>
          <w:jc w:val="center"/>
        </w:trPr>
        <w:tc>
          <w:tcPr>
            <w:tcW w:w="1172" w:type="pct"/>
            <w:vAlign w:val="center"/>
          </w:tcPr>
          <w:p w:rsidR="002A5A5E" w:rsidRPr="00F9522B" w:rsidRDefault="00611CBA">
            <w:pPr>
              <w:widowControl/>
              <w:spacing w:line="300" w:lineRule="exact"/>
              <w:jc w:val="left"/>
              <w:rPr>
                <w:rFonts w:eastAsiaTheme="minorEastAsia"/>
                <w:kern w:val="0"/>
                <w:szCs w:val="21"/>
                <w:lang w:eastAsia="en-US" w:bidi="en-US"/>
              </w:rPr>
            </w:pPr>
            <w:r w:rsidRPr="00F9522B">
              <w:rPr>
                <w:rFonts w:eastAsiaTheme="minorEastAsia"/>
                <w:kern w:val="0"/>
                <w:szCs w:val="21"/>
                <w:lang w:eastAsia="en-US" w:bidi="en-US"/>
              </w:rPr>
              <w:t>稳定性：</w:t>
            </w:r>
          </w:p>
        </w:tc>
        <w:tc>
          <w:tcPr>
            <w:tcW w:w="1272" w:type="pct"/>
            <w:vAlign w:val="center"/>
          </w:tcPr>
          <w:p w:rsidR="002A5A5E" w:rsidRPr="00F9522B" w:rsidRDefault="00611CBA">
            <w:pPr>
              <w:widowControl/>
              <w:spacing w:line="300" w:lineRule="exact"/>
              <w:jc w:val="left"/>
              <w:rPr>
                <w:rFonts w:eastAsiaTheme="minorEastAsia"/>
                <w:kern w:val="0"/>
                <w:szCs w:val="21"/>
                <w:lang w:eastAsia="en-US" w:bidi="en-US"/>
              </w:rPr>
            </w:pPr>
            <w:r w:rsidRPr="00F9522B">
              <w:rPr>
                <w:rFonts w:eastAsiaTheme="minorEastAsia"/>
                <w:kern w:val="0"/>
                <w:szCs w:val="21"/>
                <w:lang w:eastAsia="en-US" w:bidi="en-US"/>
              </w:rPr>
              <w:t>稳定</w:t>
            </w:r>
          </w:p>
        </w:tc>
        <w:tc>
          <w:tcPr>
            <w:tcW w:w="1262" w:type="pct"/>
            <w:gridSpan w:val="2"/>
            <w:vAlign w:val="center"/>
          </w:tcPr>
          <w:p w:rsidR="002A5A5E" w:rsidRPr="00F9522B" w:rsidRDefault="00611CBA">
            <w:pPr>
              <w:widowControl/>
              <w:spacing w:line="300" w:lineRule="exact"/>
              <w:jc w:val="left"/>
              <w:rPr>
                <w:rFonts w:eastAsiaTheme="minorEastAsia"/>
                <w:kern w:val="0"/>
                <w:szCs w:val="21"/>
                <w:lang w:eastAsia="en-US" w:bidi="en-US"/>
              </w:rPr>
            </w:pPr>
            <w:r w:rsidRPr="00F9522B">
              <w:rPr>
                <w:rFonts w:eastAsiaTheme="minorEastAsia"/>
                <w:kern w:val="0"/>
                <w:szCs w:val="21"/>
                <w:lang w:eastAsia="en-US" w:bidi="en-US"/>
              </w:rPr>
              <w:t>避免接触的条件：</w:t>
            </w:r>
          </w:p>
        </w:tc>
        <w:tc>
          <w:tcPr>
            <w:tcW w:w="1294" w:type="pct"/>
            <w:vAlign w:val="center"/>
          </w:tcPr>
          <w:p w:rsidR="002A5A5E" w:rsidRPr="00F9522B" w:rsidRDefault="00611CBA">
            <w:pPr>
              <w:widowControl/>
              <w:spacing w:line="300" w:lineRule="exact"/>
              <w:jc w:val="left"/>
              <w:rPr>
                <w:rFonts w:eastAsiaTheme="minorEastAsia"/>
                <w:kern w:val="0"/>
                <w:szCs w:val="21"/>
                <w:lang w:eastAsia="en-US" w:bidi="en-US"/>
              </w:rPr>
            </w:pPr>
            <w:r w:rsidRPr="00F9522B">
              <w:rPr>
                <w:rFonts w:eastAsiaTheme="minorEastAsia"/>
                <w:kern w:val="0"/>
                <w:szCs w:val="21"/>
                <w:lang w:eastAsia="en-US" w:bidi="en-US"/>
              </w:rPr>
              <w:t>明火、高热</w:t>
            </w:r>
          </w:p>
        </w:tc>
      </w:tr>
      <w:tr w:rsidR="002A5A5E" w:rsidRPr="00F9522B">
        <w:trPr>
          <w:trHeight w:val="397"/>
          <w:jc w:val="center"/>
        </w:trPr>
        <w:tc>
          <w:tcPr>
            <w:tcW w:w="1172" w:type="pct"/>
            <w:vAlign w:val="center"/>
          </w:tcPr>
          <w:p w:rsidR="002A5A5E" w:rsidRPr="00F9522B" w:rsidRDefault="00611CBA">
            <w:pPr>
              <w:widowControl/>
              <w:spacing w:line="300" w:lineRule="exact"/>
              <w:jc w:val="left"/>
              <w:rPr>
                <w:rFonts w:eastAsiaTheme="minorEastAsia"/>
                <w:kern w:val="0"/>
                <w:szCs w:val="21"/>
                <w:lang w:eastAsia="en-US" w:bidi="en-US"/>
              </w:rPr>
            </w:pPr>
            <w:r w:rsidRPr="00F9522B">
              <w:rPr>
                <w:rFonts w:eastAsiaTheme="minorEastAsia"/>
                <w:kern w:val="0"/>
                <w:szCs w:val="21"/>
                <w:lang w:eastAsia="en-US" w:bidi="en-US"/>
              </w:rPr>
              <w:t>禁配物：</w:t>
            </w:r>
          </w:p>
        </w:tc>
        <w:tc>
          <w:tcPr>
            <w:tcW w:w="1272" w:type="pct"/>
            <w:vAlign w:val="center"/>
          </w:tcPr>
          <w:p w:rsidR="002A5A5E" w:rsidRPr="00F9522B" w:rsidRDefault="00611CBA">
            <w:pPr>
              <w:widowControl/>
              <w:spacing w:line="300" w:lineRule="exact"/>
              <w:jc w:val="left"/>
              <w:rPr>
                <w:rFonts w:eastAsiaTheme="minorEastAsia"/>
                <w:kern w:val="0"/>
                <w:szCs w:val="21"/>
                <w:lang w:eastAsia="en-US" w:bidi="en-US"/>
              </w:rPr>
            </w:pPr>
            <w:r w:rsidRPr="00F9522B">
              <w:rPr>
                <w:rFonts w:eastAsiaTheme="minorEastAsia"/>
                <w:kern w:val="0"/>
                <w:szCs w:val="21"/>
                <w:lang w:eastAsia="en-US" w:bidi="en-US"/>
              </w:rPr>
              <w:t>强氧化剂、卤素</w:t>
            </w:r>
          </w:p>
        </w:tc>
        <w:tc>
          <w:tcPr>
            <w:tcW w:w="1262" w:type="pct"/>
            <w:gridSpan w:val="2"/>
            <w:vAlign w:val="center"/>
          </w:tcPr>
          <w:p w:rsidR="002A5A5E" w:rsidRPr="00F9522B" w:rsidRDefault="00611CBA">
            <w:pPr>
              <w:widowControl/>
              <w:spacing w:line="300" w:lineRule="exact"/>
              <w:jc w:val="left"/>
              <w:rPr>
                <w:rFonts w:eastAsiaTheme="minorEastAsia"/>
                <w:kern w:val="0"/>
                <w:szCs w:val="21"/>
                <w:lang w:eastAsia="en-US" w:bidi="en-US"/>
              </w:rPr>
            </w:pPr>
            <w:r w:rsidRPr="00F9522B">
              <w:rPr>
                <w:rFonts w:eastAsiaTheme="minorEastAsia"/>
                <w:kern w:val="0"/>
                <w:szCs w:val="21"/>
                <w:lang w:eastAsia="en-US" w:bidi="en-US"/>
              </w:rPr>
              <w:t>聚合危害：</w:t>
            </w:r>
          </w:p>
        </w:tc>
        <w:tc>
          <w:tcPr>
            <w:tcW w:w="1294" w:type="pct"/>
            <w:vAlign w:val="center"/>
          </w:tcPr>
          <w:p w:rsidR="002A5A5E" w:rsidRPr="00F9522B" w:rsidRDefault="00611CBA">
            <w:pPr>
              <w:widowControl/>
              <w:spacing w:line="300" w:lineRule="exact"/>
              <w:jc w:val="left"/>
              <w:rPr>
                <w:rFonts w:eastAsiaTheme="minorEastAsia"/>
                <w:kern w:val="0"/>
                <w:szCs w:val="21"/>
                <w:lang w:eastAsia="en-US" w:bidi="en-US"/>
              </w:rPr>
            </w:pPr>
            <w:r w:rsidRPr="00F9522B">
              <w:rPr>
                <w:rFonts w:eastAsiaTheme="minorEastAsia"/>
                <w:kern w:val="0"/>
                <w:szCs w:val="21"/>
                <w:lang w:eastAsia="en-US" w:bidi="en-US"/>
              </w:rPr>
              <w:t>不聚合</w:t>
            </w:r>
          </w:p>
        </w:tc>
      </w:tr>
      <w:tr w:rsidR="002A5A5E" w:rsidRPr="00F9522B">
        <w:trPr>
          <w:trHeight w:val="397"/>
          <w:jc w:val="center"/>
        </w:trPr>
        <w:tc>
          <w:tcPr>
            <w:tcW w:w="1172" w:type="pct"/>
            <w:vAlign w:val="center"/>
          </w:tcPr>
          <w:p w:rsidR="002A5A5E" w:rsidRPr="00F9522B" w:rsidRDefault="00611CBA">
            <w:pPr>
              <w:widowControl/>
              <w:spacing w:line="300" w:lineRule="exact"/>
              <w:jc w:val="left"/>
              <w:rPr>
                <w:rFonts w:eastAsiaTheme="minorEastAsia"/>
                <w:kern w:val="0"/>
                <w:szCs w:val="21"/>
                <w:lang w:eastAsia="en-US" w:bidi="en-US"/>
              </w:rPr>
            </w:pPr>
            <w:r w:rsidRPr="00F9522B">
              <w:rPr>
                <w:rFonts w:eastAsiaTheme="minorEastAsia"/>
                <w:kern w:val="0"/>
                <w:szCs w:val="21"/>
                <w:lang w:eastAsia="en-US" w:bidi="en-US"/>
              </w:rPr>
              <w:t>分解产物：</w:t>
            </w:r>
          </w:p>
        </w:tc>
        <w:tc>
          <w:tcPr>
            <w:tcW w:w="3828" w:type="pct"/>
            <w:gridSpan w:val="4"/>
            <w:vAlign w:val="center"/>
          </w:tcPr>
          <w:p w:rsidR="002A5A5E" w:rsidRPr="00F9522B" w:rsidRDefault="00611CBA">
            <w:pPr>
              <w:widowControl/>
              <w:spacing w:line="300" w:lineRule="exact"/>
              <w:jc w:val="left"/>
              <w:rPr>
                <w:rFonts w:eastAsiaTheme="minorEastAsia"/>
                <w:kern w:val="0"/>
                <w:szCs w:val="21"/>
                <w:lang w:eastAsia="en-US" w:bidi="en-US"/>
              </w:rPr>
            </w:pPr>
            <w:r w:rsidRPr="00F9522B">
              <w:rPr>
                <w:rFonts w:eastAsiaTheme="minorEastAsia"/>
                <w:kern w:val="0"/>
                <w:szCs w:val="21"/>
                <w:lang w:eastAsia="en-US" w:bidi="en-US"/>
              </w:rPr>
              <w:t>一氧化碳、二氧化碳</w:t>
            </w:r>
          </w:p>
        </w:tc>
      </w:tr>
      <w:tr w:rsidR="002A5A5E" w:rsidRPr="00F9522B">
        <w:trPr>
          <w:trHeight w:val="397"/>
          <w:jc w:val="center"/>
        </w:trPr>
        <w:tc>
          <w:tcPr>
            <w:tcW w:w="5000" w:type="pct"/>
            <w:gridSpan w:val="5"/>
            <w:vAlign w:val="center"/>
          </w:tcPr>
          <w:p w:rsidR="002A5A5E" w:rsidRPr="00F9522B" w:rsidRDefault="00611CBA">
            <w:pPr>
              <w:widowControl/>
              <w:spacing w:line="300" w:lineRule="exact"/>
              <w:jc w:val="left"/>
              <w:rPr>
                <w:rFonts w:eastAsiaTheme="minorEastAsia"/>
                <w:kern w:val="0"/>
                <w:szCs w:val="21"/>
                <w:lang w:eastAsia="en-US" w:bidi="en-US"/>
              </w:rPr>
            </w:pPr>
            <w:r w:rsidRPr="00F9522B">
              <w:rPr>
                <w:rFonts w:ascii="宋体" w:hAnsi="宋体" w:cs="宋体" w:hint="eastAsia"/>
                <w:kern w:val="0"/>
                <w:szCs w:val="21"/>
                <w:lang w:eastAsia="en-US" w:bidi="en-US"/>
              </w:rPr>
              <w:t>④</w:t>
            </w:r>
            <w:r w:rsidRPr="00F9522B">
              <w:rPr>
                <w:rFonts w:eastAsiaTheme="minorEastAsia"/>
                <w:kern w:val="0"/>
                <w:szCs w:val="21"/>
                <w:lang w:eastAsia="en-US" w:bidi="en-US"/>
              </w:rPr>
              <w:t>毒理学资料</w:t>
            </w:r>
          </w:p>
        </w:tc>
      </w:tr>
      <w:tr w:rsidR="002A5A5E" w:rsidRPr="00F9522B">
        <w:trPr>
          <w:trHeight w:val="397"/>
          <w:jc w:val="center"/>
        </w:trPr>
        <w:tc>
          <w:tcPr>
            <w:tcW w:w="1172" w:type="pct"/>
            <w:vAlign w:val="center"/>
          </w:tcPr>
          <w:p w:rsidR="002A5A5E" w:rsidRPr="00F9522B" w:rsidRDefault="00611CBA">
            <w:pPr>
              <w:widowControl/>
              <w:spacing w:line="300" w:lineRule="exact"/>
              <w:jc w:val="left"/>
              <w:rPr>
                <w:rFonts w:eastAsiaTheme="minorEastAsia"/>
                <w:kern w:val="0"/>
                <w:szCs w:val="21"/>
                <w:lang w:eastAsia="en-US" w:bidi="en-US"/>
              </w:rPr>
            </w:pPr>
            <w:r w:rsidRPr="00F9522B">
              <w:rPr>
                <w:rFonts w:eastAsiaTheme="minorEastAsia"/>
                <w:kern w:val="0"/>
                <w:szCs w:val="21"/>
                <w:lang w:eastAsia="en-US" w:bidi="en-US"/>
              </w:rPr>
              <w:t>急性毒性：</w:t>
            </w:r>
          </w:p>
        </w:tc>
        <w:tc>
          <w:tcPr>
            <w:tcW w:w="3828" w:type="pct"/>
            <w:gridSpan w:val="4"/>
            <w:vAlign w:val="center"/>
          </w:tcPr>
          <w:p w:rsidR="002A5A5E" w:rsidRPr="00F9522B" w:rsidRDefault="00611CBA">
            <w:pPr>
              <w:widowControl/>
              <w:spacing w:line="300" w:lineRule="exact"/>
              <w:jc w:val="left"/>
              <w:rPr>
                <w:rFonts w:eastAsiaTheme="minorEastAsia"/>
                <w:kern w:val="0"/>
                <w:szCs w:val="21"/>
                <w:lang w:eastAsia="en-US" w:bidi="en-US"/>
              </w:rPr>
            </w:pPr>
            <w:r w:rsidRPr="00F9522B">
              <w:rPr>
                <w:rFonts w:eastAsiaTheme="minorEastAsia"/>
                <w:kern w:val="0"/>
                <w:szCs w:val="21"/>
                <w:lang w:eastAsia="en-US" w:bidi="en-US"/>
              </w:rPr>
              <w:t xml:space="preserve">LD50       LC50   </w:t>
            </w:r>
            <w:r w:rsidRPr="00F9522B">
              <w:rPr>
                <w:rFonts w:eastAsiaTheme="minorEastAsia"/>
                <w:kern w:val="0"/>
                <w:szCs w:val="21"/>
                <w:lang w:eastAsia="en-US" w:bidi="en-US"/>
              </w:rPr>
              <w:t>（目前尚无数据）</w:t>
            </w:r>
          </w:p>
        </w:tc>
      </w:tr>
      <w:tr w:rsidR="002A5A5E" w:rsidRPr="00F9522B">
        <w:trPr>
          <w:trHeight w:val="397"/>
          <w:jc w:val="center"/>
        </w:trPr>
        <w:tc>
          <w:tcPr>
            <w:tcW w:w="1172" w:type="pct"/>
            <w:vAlign w:val="center"/>
          </w:tcPr>
          <w:p w:rsidR="002A5A5E" w:rsidRPr="00F9522B" w:rsidRDefault="00611CBA">
            <w:pPr>
              <w:widowControl/>
              <w:spacing w:line="300" w:lineRule="exact"/>
              <w:jc w:val="left"/>
              <w:rPr>
                <w:rFonts w:eastAsiaTheme="minorEastAsia"/>
                <w:kern w:val="0"/>
                <w:szCs w:val="21"/>
                <w:lang w:eastAsia="en-US" w:bidi="en-US"/>
              </w:rPr>
            </w:pPr>
            <w:r w:rsidRPr="00F9522B">
              <w:rPr>
                <w:rFonts w:eastAsiaTheme="minorEastAsia"/>
                <w:kern w:val="0"/>
                <w:szCs w:val="21"/>
                <w:lang w:eastAsia="en-US" w:bidi="en-US"/>
              </w:rPr>
              <w:t>灭火剂</w:t>
            </w:r>
          </w:p>
        </w:tc>
        <w:tc>
          <w:tcPr>
            <w:tcW w:w="3828" w:type="pct"/>
            <w:gridSpan w:val="4"/>
            <w:vAlign w:val="center"/>
          </w:tcPr>
          <w:p w:rsidR="002A5A5E" w:rsidRPr="00F9522B" w:rsidRDefault="00611CBA">
            <w:pPr>
              <w:widowControl/>
              <w:spacing w:line="300" w:lineRule="exact"/>
              <w:jc w:val="left"/>
              <w:rPr>
                <w:rFonts w:eastAsiaTheme="minorEastAsia"/>
                <w:kern w:val="0"/>
                <w:szCs w:val="21"/>
                <w:lang w:bidi="en-US"/>
              </w:rPr>
            </w:pPr>
            <w:r w:rsidRPr="00F9522B">
              <w:rPr>
                <w:rFonts w:eastAsiaTheme="minorEastAsia"/>
                <w:kern w:val="0"/>
                <w:szCs w:val="21"/>
                <w:lang w:bidi="en-US"/>
              </w:rPr>
              <w:t>泡沫、干粉、</w:t>
            </w:r>
            <w:r w:rsidRPr="00F9522B">
              <w:rPr>
                <w:rFonts w:eastAsiaTheme="minorEastAsia"/>
                <w:kern w:val="0"/>
                <w:szCs w:val="21"/>
                <w:lang w:bidi="en-US"/>
              </w:rPr>
              <w:t>CO</w:t>
            </w:r>
            <w:r w:rsidRPr="00F9522B">
              <w:rPr>
                <w:rFonts w:eastAsiaTheme="minorEastAsia"/>
                <w:kern w:val="0"/>
                <w:szCs w:val="21"/>
                <w:vertAlign w:val="subscript"/>
                <w:lang w:bidi="en-US"/>
              </w:rPr>
              <w:t>2</w:t>
            </w:r>
            <w:r w:rsidRPr="00F9522B">
              <w:rPr>
                <w:rFonts w:eastAsiaTheme="minorEastAsia"/>
                <w:kern w:val="0"/>
                <w:szCs w:val="21"/>
                <w:lang w:bidi="en-US"/>
              </w:rPr>
              <w:t>、砂土，用水冷却容器（用水灭火无效）</w:t>
            </w:r>
          </w:p>
        </w:tc>
      </w:tr>
    </w:tbl>
    <w:p w:rsidR="002A5A5E" w:rsidRPr="00F9522B" w:rsidRDefault="00611CBA">
      <w:pPr>
        <w:spacing w:line="360" w:lineRule="auto"/>
        <w:ind w:firstLineChars="200" w:firstLine="480"/>
        <w:contextualSpacing/>
        <w:rPr>
          <w:rFonts w:eastAsiaTheme="minorEastAsia"/>
          <w:sz w:val="24"/>
        </w:rPr>
      </w:pPr>
      <w:r w:rsidRPr="00F9522B">
        <w:rPr>
          <w:rFonts w:eastAsiaTheme="minorEastAsia"/>
          <w:sz w:val="24"/>
        </w:rPr>
        <w:t>（</w:t>
      </w:r>
      <w:r w:rsidRPr="00F9522B">
        <w:rPr>
          <w:rFonts w:eastAsiaTheme="minorEastAsia"/>
          <w:sz w:val="24"/>
        </w:rPr>
        <w:t>2</w:t>
      </w:r>
      <w:r w:rsidRPr="00F9522B">
        <w:rPr>
          <w:rFonts w:eastAsiaTheme="minorEastAsia"/>
          <w:sz w:val="24"/>
        </w:rPr>
        <w:t>）识别结果</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根据以上物质危险特性，参照《建设项目环境风险评价技术导则》（</w:t>
      </w:r>
      <w:r w:rsidRPr="00F9522B">
        <w:rPr>
          <w:rFonts w:eastAsiaTheme="minorEastAsia"/>
          <w:sz w:val="24"/>
        </w:rPr>
        <w:t>HJ169-2018</w:t>
      </w:r>
      <w:r w:rsidRPr="00F9522B">
        <w:rPr>
          <w:rFonts w:eastAsiaTheme="minorEastAsia"/>
          <w:sz w:val="24"/>
        </w:rPr>
        <w:t>）中物质危险性标准分类原则，本项目所涉及的物质属于可燃和易燃物质（柴油），本项目排水工程设置</w:t>
      </w:r>
      <w:r w:rsidR="005E3027" w:rsidRPr="00F9522B">
        <w:rPr>
          <w:rFonts w:eastAsiaTheme="minorEastAsia"/>
          <w:sz w:val="24"/>
        </w:rPr>
        <w:t>78</w:t>
      </w:r>
      <w:r w:rsidR="005E3027" w:rsidRPr="00F9522B">
        <w:rPr>
          <w:rFonts w:eastAsiaTheme="minorEastAsia"/>
          <w:sz w:val="24"/>
        </w:rPr>
        <w:t>台</w:t>
      </w:r>
      <w:r w:rsidRPr="00F9522B">
        <w:rPr>
          <w:rFonts w:eastAsiaTheme="minorEastAsia"/>
          <w:sz w:val="24"/>
        </w:rPr>
        <w:t>柴油机移动泵车，</w:t>
      </w:r>
      <w:r w:rsidRPr="00F9522B">
        <w:rPr>
          <w:rFonts w:eastAsiaTheme="minorEastAsia"/>
          <w:kern w:val="0"/>
          <w:sz w:val="24"/>
          <w:szCs w:val="20"/>
        </w:rPr>
        <w:t>分布于康金街道、方台镇、孟家乡、莲花镇、石人镇</w:t>
      </w:r>
      <w:r w:rsidRPr="00F9522B">
        <w:rPr>
          <w:rFonts w:eastAsiaTheme="minorEastAsia"/>
          <w:sz w:val="24"/>
        </w:rPr>
        <w:t>，由于泵车分布较分散，各柴油机移动泵车可视为一个单独厂区，最大存储量为</w:t>
      </w:r>
      <w:r w:rsidRPr="00F9522B">
        <w:rPr>
          <w:rFonts w:eastAsiaTheme="minorEastAsia"/>
          <w:sz w:val="24"/>
        </w:rPr>
        <w:t>150L</w:t>
      </w:r>
      <w:r w:rsidRPr="00F9522B">
        <w:rPr>
          <w:rFonts w:eastAsiaTheme="minorEastAsia"/>
          <w:sz w:val="24"/>
        </w:rPr>
        <w:t>（</w:t>
      </w:r>
      <w:r w:rsidRPr="00F9522B">
        <w:rPr>
          <w:rFonts w:eastAsiaTheme="minorEastAsia"/>
          <w:sz w:val="24"/>
        </w:rPr>
        <w:t>0.125t</w:t>
      </w:r>
      <w:r w:rsidRPr="00F9522B">
        <w:rPr>
          <w:rFonts w:eastAsiaTheme="minorEastAsia"/>
          <w:sz w:val="24"/>
        </w:rPr>
        <w:t>）。本项目采用油浸式变压器较传统变压器的变压器油相对小，各变压器箱内变压器油存储量最大为</w:t>
      </w:r>
      <w:r w:rsidRPr="00F9522B">
        <w:rPr>
          <w:rFonts w:eastAsiaTheme="minorEastAsia"/>
          <w:sz w:val="24"/>
        </w:rPr>
        <w:t>115kg</w:t>
      </w:r>
      <w:r w:rsidRPr="00F9522B">
        <w:rPr>
          <w:rFonts w:eastAsiaTheme="minorEastAsia"/>
          <w:sz w:val="24"/>
        </w:rPr>
        <w:t>。运营期由于项目分散，各变压器可视为一个单独厂区。</w:t>
      </w:r>
    </w:p>
    <w:p w:rsidR="002A5A5E" w:rsidRDefault="00611CBA">
      <w:pPr>
        <w:spacing w:line="360" w:lineRule="auto"/>
        <w:ind w:firstLineChars="200" w:firstLine="480"/>
        <w:rPr>
          <w:rFonts w:eastAsiaTheme="minorEastAsia" w:hint="eastAsia"/>
          <w:sz w:val="24"/>
        </w:rPr>
      </w:pPr>
      <w:r w:rsidRPr="00F9522B">
        <w:rPr>
          <w:rFonts w:eastAsiaTheme="minorEastAsia"/>
          <w:bCs/>
          <w:sz w:val="24"/>
        </w:rPr>
        <w:t>柴油、变压器油</w:t>
      </w:r>
      <w:r w:rsidRPr="00F9522B">
        <w:rPr>
          <w:rFonts w:eastAsiaTheme="minorEastAsia"/>
          <w:sz w:val="24"/>
        </w:rPr>
        <w:t>泄漏后，引发的火灾，火灾事故排放烟尘、二氧化硫、氮氧化物等有毒有害物质主要通过大气扩散，在不利气象条件下可能对周围居民区等敏感目标造成不利影响。泄漏液体进入地下水，将对区域地下水造成影响。</w:t>
      </w:r>
    </w:p>
    <w:p w:rsidR="007917BB" w:rsidRPr="007917BB" w:rsidRDefault="007917BB" w:rsidP="007917BB">
      <w:pPr>
        <w:spacing w:before="100" w:beforeAutospacing="1" w:after="100" w:afterAutospacing="1"/>
        <w:contextualSpacing/>
        <w:jc w:val="left"/>
        <w:outlineLvl w:val="1"/>
        <w:rPr>
          <w:rFonts w:eastAsiaTheme="minorEastAsia"/>
          <w:b/>
          <w:bCs/>
          <w:color w:val="FF0000"/>
          <w:kern w:val="44"/>
          <w:sz w:val="30"/>
          <w:szCs w:val="30"/>
        </w:rPr>
      </w:pPr>
      <w:r w:rsidRPr="007917BB">
        <w:rPr>
          <w:rFonts w:eastAsiaTheme="minorEastAsia"/>
          <w:b/>
          <w:bCs/>
          <w:color w:val="FF0000"/>
          <w:kern w:val="44"/>
          <w:sz w:val="30"/>
          <w:szCs w:val="30"/>
        </w:rPr>
        <w:t>3.</w:t>
      </w:r>
      <w:r w:rsidRPr="007917BB">
        <w:rPr>
          <w:rFonts w:eastAsiaTheme="minorEastAsia" w:hint="eastAsia"/>
          <w:b/>
          <w:bCs/>
          <w:color w:val="FF0000"/>
          <w:kern w:val="44"/>
          <w:sz w:val="30"/>
          <w:szCs w:val="30"/>
        </w:rPr>
        <w:t>4</w:t>
      </w:r>
      <w:r w:rsidRPr="007917BB">
        <w:rPr>
          <w:rFonts w:eastAsiaTheme="minorEastAsia" w:hint="eastAsia"/>
          <w:b/>
          <w:bCs/>
          <w:color w:val="FF0000"/>
          <w:kern w:val="44"/>
          <w:sz w:val="30"/>
          <w:szCs w:val="30"/>
        </w:rPr>
        <w:t>清洁生产</w:t>
      </w:r>
    </w:p>
    <w:p w:rsidR="007917BB" w:rsidRDefault="007917BB">
      <w:pPr>
        <w:spacing w:line="360" w:lineRule="auto"/>
        <w:ind w:firstLineChars="200" w:firstLine="480"/>
        <w:rPr>
          <w:rFonts w:eastAsiaTheme="minorEastAsia" w:hint="eastAsia"/>
          <w:sz w:val="24"/>
        </w:rPr>
      </w:pPr>
    </w:p>
    <w:p w:rsidR="007917BB" w:rsidRPr="007917BB" w:rsidRDefault="007917BB" w:rsidP="007917BB">
      <w:pPr>
        <w:spacing w:line="360" w:lineRule="auto"/>
        <w:ind w:firstLineChars="200" w:firstLine="480"/>
        <w:rPr>
          <w:rFonts w:eastAsiaTheme="minorEastAsia"/>
          <w:color w:val="FF0000"/>
          <w:sz w:val="24"/>
        </w:rPr>
      </w:pPr>
      <w:r w:rsidRPr="007917BB">
        <w:rPr>
          <w:rFonts w:eastAsiaTheme="minorEastAsia"/>
          <w:color w:val="FF0000"/>
          <w:sz w:val="24"/>
        </w:rPr>
        <w:lastRenderedPageBreak/>
        <w:t>推行清洁生产是实施生产全过程控制、进行整体污染预防，可实现节能、降耗、减污、增效，是实现达标排放和污染物总量控制的重要手段，是我国环境保护的重大策略。国务院于</w:t>
      </w:r>
      <w:r w:rsidRPr="007917BB">
        <w:rPr>
          <w:rFonts w:eastAsiaTheme="minorEastAsia"/>
          <w:color w:val="FF0000"/>
          <w:sz w:val="24"/>
        </w:rPr>
        <w:t>2002</w:t>
      </w:r>
      <w:r w:rsidRPr="007917BB">
        <w:rPr>
          <w:rFonts w:eastAsiaTheme="minorEastAsia"/>
          <w:color w:val="FF0000"/>
          <w:sz w:val="24"/>
        </w:rPr>
        <w:t>年</w:t>
      </w:r>
      <w:r w:rsidRPr="007917BB">
        <w:rPr>
          <w:rFonts w:eastAsiaTheme="minorEastAsia"/>
          <w:color w:val="FF0000"/>
          <w:sz w:val="24"/>
        </w:rPr>
        <w:t>6</w:t>
      </w:r>
      <w:r w:rsidRPr="007917BB">
        <w:rPr>
          <w:rFonts w:eastAsiaTheme="minorEastAsia"/>
          <w:color w:val="FF0000"/>
          <w:sz w:val="24"/>
        </w:rPr>
        <w:t>月</w:t>
      </w:r>
      <w:r w:rsidRPr="007917BB">
        <w:rPr>
          <w:rFonts w:eastAsiaTheme="minorEastAsia"/>
          <w:color w:val="FF0000"/>
          <w:sz w:val="24"/>
        </w:rPr>
        <w:t>1</w:t>
      </w:r>
      <w:r w:rsidRPr="007917BB">
        <w:rPr>
          <w:rFonts w:eastAsiaTheme="minorEastAsia"/>
          <w:color w:val="FF0000"/>
          <w:sz w:val="24"/>
        </w:rPr>
        <w:t>日颁布了《中华人民共和国清洁生产促进法》，并于</w:t>
      </w:r>
      <w:r w:rsidRPr="007917BB">
        <w:rPr>
          <w:rFonts w:eastAsiaTheme="minorEastAsia"/>
          <w:color w:val="FF0000"/>
          <w:sz w:val="24"/>
        </w:rPr>
        <w:t>2003</w:t>
      </w:r>
      <w:r w:rsidRPr="007917BB">
        <w:rPr>
          <w:rFonts w:eastAsiaTheme="minorEastAsia"/>
          <w:color w:val="FF0000"/>
          <w:sz w:val="24"/>
        </w:rPr>
        <w:t>年</w:t>
      </w:r>
      <w:r w:rsidRPr="007917BB">
        <w:rPr>
          <w:rFonts w:eastAsiaTheme="minorEastAsia"/>
          <w:color w:val="FF0000"/>
          <w:sz w:val="24"/>
        </w:rPr>
        <w:t>1</w:t>
      </w:r>
      <w:r w:rsidRPr="007917BB">
        <w:rPr>
          <w:rFonts w:eastAsiaTheme="minorEastAsia"/>
          <w:color w:val="FF0000"/>
          <w:sz w:val="24"/>
        </w:rPr>
        <w:t>月</w:t>
      </w:r>
      <w:r w:rsidRPr="007917BB">
        <w:rPr>
          <w:rFonts w:eastAsiaTheme="minorEastAsia"/>
          <w:color w:val="FF0000"/>
          <w:sz w:val="24"/>
        </w:rPr>
        <w:t>1</w:t>
      </w:r>
      <w:r w:rsidRPr="007917BB">
        <w:rPr>
          <w:rFonts w:eastAsiaTheme="minorEastAsia"/>
          <w:color w:val="FF0000"/>
          <w:sz w:val="24"/>
        </w:rPr>
        <w:t>日起正式实施。</w:t>
      </w:r>
    </w:p>
    <w:p w:rsidR="007917BB" w:rsidRPr="007917BB" w:rsidRDefault="007917BB" w:rsidP="007917BB">
      <w:pPr>
        <w:spacing w:line="360" w:lineRule="auto"/>
        <w:ind w:firstLineChars="200" w:firstLine="480"/>
        <w:rPr>
          <w:rFonts w:eastAsiaTheme="minorEastAsia"/>
          <w:color w:val="FF0000"/>
          <w:sz w:val="24"/>
        </w:rPr>
      </w:pPr>
      <w:r w:rsidRPr="007917BB">
        <w:rPr>
          <w:rFonts w:eastAsiaTheme="minorEastAsia"/>
          <w:color w:val="FF0000"/>
          <w:sz w:val="24"/>
        </w:rPr>
        <w:t>（</w:t>
      </w:r>
      <w:r w:rsidRPr="007917BB">
        <w:rPr>
          <w:rFonts w:eastAsiaTheme="minorEastAsia"/>
          <w:color w:val="FF0000"/>
          <w:sz w:val="24"/>
        </w:rPr>
        <w:t>1</w:t>
      </w:r>
      <w:r w:rsidRPr="007917BB">
        <w:rPr>
          <w:rFonts w:eastAsiaTheme="minorEastAsia"/>
          <w:color w:val="FF0000"/>
          <w:sz w:val="24"/>
        </w:rPr>
        <w:t>）</w:t>
      </w:r>
      <w:r w:rsidR="00223625">
        <w:rPr>
          <w:rFonts w:eastAsiaTheme="minorEastAsia" w:hint="eastAsia"/>
          <w:color w:val="FF0000"/>
          <w:sz w:val="24"/>
        </w:rPr>
        <w:t>资</w:t>
      </w:r>
      <w:r w:rsidRPr="007917BB">
        <w:rPr>
          <w:rFonts w:eastAsiaTheme="minorEastAsia"/>
          <w:color w:val="FF0000"/>
          <w:sz w:val="24"/>
        </w:rPr>
        <w:t>源的清洁性分析</w:t>
      </w:r>
    </w:p>
    <w:p w:rsidR="007917BB" w:rsidRPr="007917BB" w:rsidRDefault="00223625" w:rsidP="00223625">
      <w:pPr>
        <w:spacing w:line="360" w:lineRule="auto"/>
        <w:ind w:firstLineChars="200" w:firstLine="480"/>
        <w:rPr>
          <w:rFonts w:eastAsiaTheme="minorEastAsia"/>
          <w:color w:val="FF0000"/>
          <w:sz w:val="24"/>
        </w:rPr>
      </w:pPr>
      <w:r w:rsidRPr="00223625">
        <w:rPr>
          <w:rFonts w:eastAsiaTheme="minorEastAsia"/>
          <w:color w:val="FF0000"/>
          <w:sz w:val="24"/>
        </w:rPr>
        <w:t>本项目合理开采和利用地下水资源，严格执行灌溉制度，制定合理的用水计划，采取有效的地下水保护措施</w:t>
      </w:r>
      <w:r w:rsidR="007917BB" w:rsidRPr="00223625">
        <w:rPr>
          <w:rFonts w:eastAsiaTheme="minorEastAsia" w:hint="eastAsia"/>
          <w:color w:val="FF0000"/>
          <w:sz w:val="24"/>
        </w:rPr>
        <w:t>。</w:t>
      </w:r>
      <w:r>
        <w:rPr>
          <w:rFonts w:eastAsiaTheme="minorEastAsia" w:hint="eastAsia"/>
          <w:color w:val="FF0000"/>
          <w:sz w:val="24"/>
        </w:rPr>
        <w:t>采取节水灌溉措施，建设</w:t>
      </w:r>
      <w:r w:rsidRPr="00223625">
        <w:rPr>
          <w:rFonts w:eastAsiaTheme="minorEastAsia"/>
          <w:color w:val="FF0000"/>
          <w:sz w:val="24"/>
        </w:rPr>
        <w:t>水肥一体化系统，灌溉水利用系数大幅提升</w:t>
      </w:r>
      <w:r>
        <w:rPr>
          <w:rFonts w:eastAsiaTheme="minorEastAsia"/>
          <w:color w:val="FF0000"/>
          <w:sz w:val="24"/>
        </w:rPr>
        <w:t>。</w:t>
      </w:r>
    </w:p>
    <w:p w:rsidR="007917BB" w:rsidRPr="007917BB" w:rsidRDefault="007917BB" w:rsidP="007917BB">
      <w:pPr>
        <w:spacing w:line="360" w:lineRule="auto"/>
        <w:ind w:firstLineChars="200" w:firstLine="480"/>
        <w:rPr>
          <w:rFonts w:eastAsiaTheme="minorEastAsia"/>
          <w:color w:val="FF0000"/>
          <w:sz w:val="24"/>
        </w:rPr>
      </w:pPr>
      <w:r w:rsidRPr="007917BB">
        <w:rPr>
          <w:rFonts w:eastAsiaTheme="minorEastAsia"/>
          <w:color w:val="FF0000"/>
          <w:sz w:val="24"/>
        </w:rPr>
        <w:t>（</w:t>
      </w:r>
      <w:r w:rsidRPr="007917BB">
        <w:rPr>
          <w:rFonts w:eastAsiaTheme="minorEastAsia"/>
          <w:color w:val="FF0000"/>
          <w:sz w:val="24"/>
        </w:rPr>
        <w:t>2</w:t>
      </w:r>
      <w:r w:rsidRPr="007917BB">
        <w:rPr>
          <w:rFonts w:eastAsiaTheme="minorEastAsia"/>
          <w:color w:val="FF0000"/>
          <w:sz w:val="24"/>
        </w:rPr>
        <w:t>）</w:t>
      </w:r>
      <w:r w:rsidR="00223625" w:rsidRPr="00223625">
        <w:rPr>
          <w:rFonts w:eastAsiaTheme="minorEastAsia"/>
          <w:color w:val="FF0000"/>
          <w:sz w:val="24"/>
        </w:rPr>
        <w:t>节能降碳清洁</w:t>
      </w:r>
      <w:r w:rsidR="00223625">
        <w:rPr>
          <w:rFonts w:eastAsiaTheme="minorEastAsia" w:hint="eastAsia"/>
          <w:color w:val="FF0000"/>
          <w:sz w:val="24"/>
        </w:rPr>
        <w:t>性</w:t>
      </w:r>
      <w:r w:rsidRPr="007917BB">
        <w:rPr>
          <w:rFonts w:eastAsiaTheme="minorEastAsia"/>
          <w:color w:val="FF0000"/>
          <w:sz w:val="24"/>
        </w:rPr>
        <w:t>分析</w:t>
      </w:r>
    </w:p>
    <w:p w:rsidR="007917BB" w:rsidRPr="007917BB" w:rsidRDefault="00223625" w:rsidP="00223625">
      <w:pPr>
        <w:spacing w:line="360" w:lineRule="auto"/>
        <w:ind w:firstLineChars="200" w:firstLine="480"/>
        <w:rPr>
          <w:rFonts w:eastAsiaTheme="minorEastAsia"/>
          <w:color w:val="FF0000"/>
          <w:sz w:val="24"/>
        </w:rPr>
      </w:pPr>
      <w:r w:rsidRPr="00223625">
        <w:rPr>
          <w:rFonts w:eastAsiaTheme="minorEastAsia"/>
          <w:color w:val="FF0000"/>
          <w:sz w:val="24"/>
        </w:rPr>
        <w:t>本项目为高标准农田建设项目，项目施行</w:t>
      </w:r>
      <w:r w:rsidRPr="00223625">
        <w:rPr>
          <w:rFonts w:eastAsiaTheme="minorEastAsia"/>
          <w:color w:val="FF0000"/>
          <w:sz w:val="24"/>
        </w:rPr>
        <w:t>“</w:t>
      </w:r>
      <w:r w:rsidRPr="00223625">
        <w:rPr>
          <w:rFonts w:eastAsiaTheme="minorEastAsia"/>
          <w:color w:val="FF0000"/>
          <w:sz w:val="24"/>
        </w:rPr>
        <w:t>三减</w:t>
      </w:r>
      <w:r w:rsidRPr="00223625">
        <w:rPr>
          <w:rFonts w:eastAsiaTheme="minorEastAsia"/>
          <w:color w:val="FF0000"/>
          <w:sz w:val="24"/>
        </w:rPr>
        <w:t>”</w:t>
      </w:r>
      <w:r w:rsidRPr="00223625">
        <w:rPr>
          <w:rFonts w:eastAsiaTheme="minorEastAsia"/>
          <w:color w:val="FF0000"/>
          <w:sz w:val="24"/>
        </w:rPr>
        <w:t>行动，即减化肥、减农药、减除草剂，积极推广科学施肥，使化肥、农药实现减量化施用，增加有机肥的施用，优化调整农药施用结构，控制农药施用量，采取测土配方施肥、水肥一体化措施。</w:t>
      </w:r>
    </w:p>
    <w:p w:rsidR="007917BB" w:rsidRPr="007917BB" w:rsidRDefault="007917BB" w:rsidP="007917BB">
      <w:pPr>
        <w:spacing w:line="360" w:lineRule="auto"/>
        <w:ind w:firstLineChars="200" w:firstLine="480"/>
        <w:rPr>
          <w:rFonts w:eastAsiaTheme="minorEastAsia"/>
          <w:color w:val="FF0000"/>
          <w:sz w:val="24"/>
        </w:rPr>
      </w:pPr>
      <w:r w:rsidRPr="007917BB">
        <w:rPr>
          <w:rFonts w:eastAsiaTheme="minorEastAsia"/>
          <w:color w:val="FF0000"/>
          <w:sz w:val="24"/>
        </w:rPr>
        <w:t>（</w:t>
      </w:r>
      <w:r w:rsidR="00223625">
        <w:rPr>
          <w:rFonts w:eastAsiaTheme="minorEastAsia" w:hint="eastAsia"/>
          <w:color w:val="FF0000"/>
          <w:sz w:val="24"/>
        </w:rPr>
        <w:t>3</w:t>
      </w:r>
      <w:r w:rsidRPr="007917BB">
        <w:rPr>
          <w:rFonts w:eastAsiaTheme="minorEastAsia"/>
          <w:color w:val="FF0000"/>
          <w:sz w:val="24"/>
        </w:rPr>
        <w:t>）环境管理要求</w:t>
      </w:r>
    </w:p>
    <w:p w:rsidR="007917BB" w:rsidRPr="007917BB" w:rsidRDefault="007917BB" w:rsidP="007917BB">
      <w:pPr>
        <w:spacing w:line="360" w:lineRule="auto"/>
        <w:ind w:firstLineChars="200" w:firstLine="480"/>
        <w:rPr>
          <w:rFonts w:eastAsiaTheme="minorEastAsia"/>
          <w:color w:val="FF0000"/>
          <w:sz w:val="24"/>
        </w:rPr>
      </w:pPr>
      <w:r w:rsidRPr="007917BB">
        <w:rPr>
          <w:rFonts w:eastAsiaTheme="minorEastAsia"/>
          <w:color w:val="FF0000"/>
          <w:sz w:val="24"/>
        </w:rPr>
        <w:t>①</w:t>
      </w:r>
      <w:r w:rsidR="00E242C3" w:rsidRPr="007917BB">
        <w:rPr>
          <w:rFonts w:eastAsiaTheme="minorEastAsia"/>
          <w:color w:val="FF0000"/>
          <w:sz w:val="24"/>
        </w:rPr>
        <w:t>建设单位应加强生产过程中环境管理，定期对设备进行检修和维护环保设施正常运行。</w:t>
      </w:r>
    </w:p>
    <w:p w:rsidR="007917BB" w:rsidRPr="007917BB" w:rsidRDefault="007917BB" w:rsidP="007917BB">
      <w:pPr>
        <w:spacing w:line="360" w:lineRule="auto"/>
        <w:ind w:firstLineChars="200" w:firstLine="480"/>
        <w:rPr>
          <w:rFonts w:eastAsiaTheme="minorEastAsia"/>
          <w:color w:val="FF0000"/>
          <w:sz w:val="24"/>
        </w:rPr>
      </w:pPr>
      <w:r w:rsidRPr="007917BB">
        <w:rPr>
          <w:rFonts w:eastAsiaTheme="minorEastAsia"/>
          <w:color w:val="FF0000"/>
          <w:sz w:val="24"/>
        </w:rPr>
        <w:t>②</w:t>
      </w:r>
      <w:r w:rsidR="00E242C3" w:rsidRPr="007917BB">
        <w:rPr>
          <w:rFonts w:eastAsiaTheme="minorEastAsia"/>
          <w:color w:val="FF0000"/>
          <w:sz w:val="24"/>
        </w:rPr>
        <w:t>建立健全环境管理机构和制度，对能源消耗实行定额管理，原始记录及统计数据齐全。</w:t>
      </w:r>
    </w:p>
    <w:p w:rsidR="007917BB" w:rsidRPr="007917BB" w:rsidRDefault="007917BB" w:rsidP="007917BB">
      <w:pPr>
        <w:spacing w:line="360" w:lineRule="auto"/>
        <w:ind w:firstLineChars="200" w:firstLine="480"/>
        <w:rPr>
          <w:rFonts w:eastAsiaTheme="minorEastAsia"/>
          <w:color w:val="FF0000"/>
          <w:sz w:val="24"/>
        </w:rPr>
      </w:pPr>
      <w:r w:rsidRPr="007917BB">
        <w:rPr>
          <w:rFonts w:eastAsiaTheme="minorEastAsia" w:hint="eastAsia"/>
          <w:color w:val="FF0000"/>
          <w:sz w:val="24"/>
        </w:rPr>
        <w:t>（</w:t>
      </w:r>
      <w:r w:rsidRPr="007917BB">
        <w:rPr>
          <w:rFonts w:eastAsiaTheme="minorEastAsia" w:hint="eastAsia"/>
          <w:color w:val="FF0000"/>
          <w:sz w:val="24"/>
        </w:rPr>
        <w:t>5</w:t>
      </w:r>
      <w:r w:rsidRPr="007917BB">
        <w:rPr>
          <w:rFonts w:eastAsiaTheme="minorEastAsia" w:hint="eastAsia"/>
          <w:color w:val="FF0000"/>
          <w:sz w:val="24"/>
        </w:rPr>
        <w:t>）</w:t>
      </w:r>
      <w:r w:rsidRPr="007917BB">
        <w:rPr>
          <w:rFonts w:eastAsiaTheme="minorEastAsia"/>
          <w:color w:val="FF0000"/>
          <w:sz w:val="24"/>
        </w:rPr>
        <w:t>清洁生产分析结论</w:t>
      </w:r>
    </w:p>
    <w:p w:rsidR="007917BB" w:rsidRPr="007917BB" w:rsidRDefault="007917BB" w:rsidP="007917BB">
      <w:pPr>
        <w:spacing w:line="360" w:lineRule="auto"/>
        <w:ind w:firstLineChars="200" w:firstLine="480"/>
        <w:rPr>
          <w:rFonts w:eastAsiaTheme="minorEastAsia"/>
          <w:color w:val="FF0000"/>
          <w:sz w:val="24"/>
        </w:rPr>
        <w:sectPr w:rsidR="007917BB" w:rsidRPr="007917BB">
          <w:pgSz w:w="11906" w:h="16838"/>
          <w:pgMar w:top="1440" w:right="1800" w:bottom="1440" w:left="1800" w:header="851" w:footer="992" w:gutter="0"/>
          <w:cols w:space="425"/>
          <w:docGrid w:type="lines" w:linePitch="312"/>
        </w:sectPr>
      </w:pPr>
      <w:r w:rsidRPr="00223625">
        <w:rPr>
          <w:rFonts w:eastAsiaTheme="minorEastAsia"/>
          <w:color w:val="FF0000"/>
          <w:sz w:val="24"/>
        </w:rPr>
        <w:t>综上，</w:t>
      </w:r>
      <w:r w:rsidR="00223625" w:rsidRPr="00223625">
        <w:rPr>
          <w:rFonts w:eastAsiaTheme="minorEastAsia"/>
          <w:color w:val="FF0000"/>
          <w:sz w:val="24"/>
        </w:rPr>
        <w:t>本高标准农田项目农业运营全周期落实清洁生产理念，通过高效节水灌溉、测土配方施肥等成套清洁生产技术，实现水资源、化肥、农药源头减量，大幅降低农业面源污染物产生与入河量，相比传统分散农田清洁生产水平显著提升，符合农业绿色发展、黑土地保护、地表水水质管控相关政策要求</w:t>
      </w:r>
      <w:r w:rsidRPr="00223625">
        <w:rPr>
          <w:rFonts w:eastAsiaTheme="minorEastAsia"/>
          <w:color w:val="FF0000"/>
          <w:sz w:val="24"/>
        </w:rPr>
        <w:t>。因此，本项目符合清洁生产要求。</w:t>
      </w:r>
    </w:p>
    <w:p w:rsidR="002A5A5E" w:rsidRPr="00F9522B" w:rsidRDefault="00611CBA">
      <w:pPr>
        <w:widowControl/>
        <w:tabs>
          <w:tab w:val="left" w:leader="middleDot" w:pos="7371"/>
        </w:tabs>
        <w:spacing w:before="100" w:beforeAutospacing="1" w:after="100" w:afterAutospacing="1"/>
        <w:contextualSpacing/>
        <w:jc w:val="left"/>
        <w:outlineLvl w:val="0"/>
        <w:rPr>
          <w:rFonts w:eastAsiaTheme="minorEastAsia"/>
          <w:b/>
          <w:kern w:val="0"/>
          <w:sz w:val="32"/>
          <w:szCs w:val="32"/>
        </w:rPr>
      </w:pPr>
      <w:bookmarkStart w:id="99" w:name="_Toc208906236"/>
      <w:bookmarkStart w:id="100" w:name="_Toc477954563"/>
      <w:r w:rsidRPr="00F9522B">
        <w:rPr>
          <w:rFonts w:eastAsiaTheme="minorEastAsia"/>
          <w:b/>
          <w:kern w:val="0"/>
          <w:sz w:val="32"/>
          <w:szCs w:val="32"/>
        </w:rPr>
        <w:lastRenderedPageBreak/>
        <w:t>4</w:t>
      </w:r>
      <w:r w:rsidRPr="00F9522B">
        <w:rPr>
          <w:rFonts w:eastAsiaTheme="minorEastAsia"/>
          <w:b/>
          <w:kern w:val="0"/>
          <w:sz w:val="32"/>
          <w:szCs w:val="32"/>
        </w:rPr>
        <w:t>环境现状调查与评价</w:t>
      </w:r>
      <w:bookmarkEnd w:id="99"/>
      <w:bookmarkEnd w:id="100"/>
    </w:p>
    <w:p w:rsidR="002A5A5E" w:rsidRPr="00F9522B" w:rsidRDefault="00611CBA">
      <w:pPr>
        <w:spacing w:before="100" w:beforeAutospacing="1" w:after="100" w:afterAutospacing="1"/>
        <w:contextualSpacing/>
        <w:jc w:val="left"/>
        <w:outlineLvl w:val="1"/>
        <w:rPr>
          <w:rFonts w:eastAsiaTheme="minorEastAsia"/>
          <w:b/>
          <w:bCs/>
          <w:kern w:val="44"/>
          <w:sz w:val="30"/>
          <w:szCs w:val="30"/>
        </w:rPr>
      </w:pPr>
      <w:bookmarkStart w:id="101" w:name="_Toc208906237"/>
      <w:r w:rsidRPr="00F9522B">
        <w:rPr>
          <w:rFonts w:eastAsiaTheme="minorEastAsia"/>
          <w:b/>
          <w:bCs/>
          <w:kern w:val="44"/>
          <w:sz w:val="30"/>
          <w:szCs w:val="30"/>
        </w:rPr>
        <w:t>4.1</w:t>
      </w:r>
      <w:r w:rsidRPr="00F9522B">
        <w:rPr>
          <w:rFonts w:eastAsiaTheme="minorEastAsia"/>
          <w:b/>
          <w:bCs/>
          <w:kern w:val="44"/>
          <w:sz w:val="30"/>
          <w:szCs w:val="30"/>
        </w:rPr>
        <w:t>自然环境概况</w:t>
      </w:r>
      <w:bookmarkEnd w:id="101"/>
    </w:p>
    <w:p w:rsidR="002A5A5E" w:rsidRPr="00F9522B" w:rsidRDefault="00611CBA">
      <w:pPr>
        <w:keepNext/>
        <w:keepLines/>
        <w:spacing w:before="100" w:beforeAutospacing="1" w:after="100" w:afterAutospacing="1"/>
        <w:outlineLvl w:val="2"/>
        <w:rPr>
          <w:rFonts w:eastAsiaTheme="minorEastAsia"/>
          <w:b/>
          <w:sz w:val="28"/>
          <w:szCs w:val="28"/>
        </w:rPr>
      </w:pPr>
      <w:bookmarkStart w:id="102" w:name="_Toc218825485"/>
      <w:r w:rsidRPr="00F9522B">
        <w:rPr>
          <w:rFonts w:eastAsiaTheme="minorEastAsia"/>
          <w:b/>
          <w:sz w:val="28"/>
          <w:szCs w:val="28"/>
        </w:rPr>
        <w:t>4.1.1</w:t>
      </w:r>
      <w:r w:rsidRPr="00F9522B">
        <w:rPr>
          <w:rFonts w:eastAsiaTheme="minorEastAsia"/>
          <w:b/>
          <w:sz w:val="28"/>
          <w:szCs w:val="28"/>
        </w:rPr>
        <w:t>地理位置</w:t>
      </w:r>
      <w:bookmarkEnd w:id="102"/>
    </w:p>
    <w:p w:rsidR="002A5A5E" w:rsidRPr="00F9522B" w:rsidRDefault="00611CBA">
      <w:pPr>
        <w:pStyle w:val="2fa"/>
        <w:ind w:firstLine="480"/>
        <w:rPr>
          <w:rFonts w:ascii="Times New Roman" w:hAnsi="Times New Roman" w:cs="Times New Roman"/>
        </w:rPr>
      </w:pPr>
      <w:r w:rsidRPr="00F9522B">
        <w:rPr>
          <w:rFonts w:ascii="Times New Roman" w:hAnsi="Times New Roman" w:cs="Times New Roman"/>
        </w:rPr>
        <w:t>哈尔滨市地处我国东北部地区，黑龙江省西南部，松嫩平原东端。是黑龙江省省会，中国东北部的政治、文化、科技和交通中心。地理位置北纬</w:t>
      </w:r>
      <w:r w:rsidRPr="00F9522B">
        <w:rPr>
          <w:rFonts w:ascii="Times New Roman" w:hAnsi="Times New Roman" w:cs="Times New Roman"/>
        </w:rPr>
        <w:t>45°09′-46°45′</w:t>
      </w:r>
      <w:r w:rsidRPr="00F9522B">
        <w:rPr>
          <w:rFonts w:ascii="Times New Roman" w:hAnsi="Times New Roman" w:cs="Times New Roman"/>
        </w:rPr>
        <w:t>，东经</w:t>
      </w:r>
      <w:r w:rsidRPr="00F9522B">
        <w:rPr>
          <w:rFonts w:ascii="Times New Roman" w:hAnsi="Times New Roman" w:cs="Times New Roman"/>
        </w:rPr>
        <w:t>125°42′-130°10′</w:t>
      </w:r>
      <w:r w:rsidRPr="00F9522B">
        <w:rPr>
          <w:rFonts w:ascii="Times New Roman" w:hAnsi="Times New Roman" w:cs="Times New Roman"/>
        </w:rPr>
        <w:t>之间，西北与肇东、兰西、绥化接壤，东南与巴彦、宾县、尚志市相连，西南与五常毗邻。辖区总面积</w:t>
      </w:r>
      <w:r w:rsidRPr="00F9522B">
        <w:rPr>
          <w:rFonts w:ascii="Times New Roman" w:hAnsi="Times New Roman" w:cs="Times New Roman"/>
        </w:rPr>
        <w:t>5.3×10</w:t>
      </w:r>
      <w:r w:rsidRPr="00F9522B">
        <w:rPr>
          <w:rFonts w:ascii="Times New Roman" w:hAnsi="Times New Roman" w:cs="Times New Roman"/>
          <w:vertAlign w:val="superscript"/>
        </w:rPr>
        <w:t>4</w:t>
      </w:r>
      <w:r w:rsidRPr="00F9522B">
        <w:rPr>
          <w:rFonts w:ascii="Times New Roman" w:hAnsi="Times New Roman" w:cs="Times New Roman"/>
        </w:rPr>
        <w:t>km</w:t>
      </w:r>
      <w:r w:rsidRPr="00F9522B">
        <w:rPr>
          <w:rFonts w:ascii="Times New Roman" w:hAnsi="Times New Roman" w:cs="Times New Roman"/>
          <w:vertAlign w:val="superscript"/>
        </w:rPr>
        <w:t>2</w:t>
      </w:r>
      <w:r w:rsidRPr="00F9522B">
        <w:rPr>
          <w:rFonts w:ascii="Times New Roman" w:hAnsi="Times New Roman" w:cs="Times New Roman"/>
        </w:rPr>
        <w:t>。</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呼兰区属哈尔滨市辖区。位于黑龙江省南部，哈尔滨市区松花江北岸，呼兰河下游，南濒江与松北区、阿城区、宾县相望，东邻巴彦县，西毗肇东市，北接绥化市、兰西县。总面积</w:t>
      </w:r>
      <w:r w:rsidRPr="00F9522B">
        <w:rPr>
          <w:rFonts w:eastAsiaTheme="minorEastAsia"/>
          <w:sz w:val="24"/>
        </w:rPr>
        <w:t>2197</w:t>
      </w:r>
      <w:r w:rsidRPr="00F9522B">
        <w:rPr>
          <w:rFonts w:eastAsiaTheme="minorEastAsia"/>
          <w:sz w:val="24"/>
        </w:rPr>
        <w:t>平方公里。</w:t>
      </w:r>
    </w:p>
    <w:p w:rsidR="002A5A5E" w:rsidRPr="00F9522B" w:rsidRDefault="00611CBA">
      <w:pPr>
        <w:spacing w:line="360" w:lineRule="auto"/>
        <w:ind w:firstLineChars="200" w:firstLine="480"/>
        <w:rPr>
          <w:rFonts w:eastAsiaTheme="minorEastAsia"/>
          <w:b/>
          <w:sz w:val="24"/>
        </w:rPr>
      </w:pPr>
      <w:r w:rsidRPr="00F9522B">
        <w:rPr>
          <w:rFonts w:eastAsiaTheme="minorEastAsia"/>
          <w:sz w:val="24"/>
        </w:rPr>
        <w:t>本项目位于</w:t>
      </w:r>
      <w:r w:rsidR="00140308" w:rsidRPr="00F9522B">
        <w:rPr>
          <w:rFonts w:eastAsiaTheme="minorEastAsia"/>
          <w:bCs/>
          <w:sz w:val="24"/>
        </w:rPr>
        <w:t>黑龙江省哈尔滨市呼兰区二八镇</w:t>
      </w:r>
      <w:r w:rsidR="00F1093F" w:rsidRPr="00F9522B">
        <w:rPr>
          <w:rFonts w:eastAsiaTheme="minorEastAsia"/>
          <w:bCs/>
          <w:sz w:val="24"/>
        </w:rPr>
        <w:t>阿堡村、鲍堡村、二八村、傅井村、头屯村、王柱村、元宝村、长山村；方台镇的方台村、高家村、宋家村、榆林村；康金街道的金城村、永胜村、历井村、孟井村、双合村、苏德村、王牛村、王佩村、东井村、西井村、杨木村、东腰村、历井农场、新农村；石人镇的城子村、古城村、金星村、石人村、永发村、永平村、于家村、双宝村、站前村</w:t>
      </w:r>
      <w:r w:rsidRPr="00F9522B">
        <w:rPr>
          <w:rFonts w:eastAsiaTheme="minorEastAsia"/>
          <w:sz w:val="24"/>
        </w:rPr>
        <w:t>。</w:t>
      </w:r>
    </w:p>
    <w:p w:rsidR="002A5A5E" w:rsidRPr="00F9522B" w:rsidRDefault="00611CBA">
      <w:pPr>
        <w:keepNext/>
        <w:keepLines/>
        <w:spacing w:before="100" w:beforeAutospacing="1" w:after="100" w:afterAutospacing="1"/>
        <w:outlineLvl w:val="2"/>
        <w:rPr>
          <w:rFonts w:eastAsiaTheme="minorEastAsia"/>
          <w:b/>
          <w:sz w:val="28"/>
          <w:szCs w:val="28"/>
        </w:rPr>
      </w:pPr>
      <w:r w:rsidRPr="00F9522B">
        <w:rPr>
          <w:rFonts w:eastAsiaTheme="minorEastAsia"/>
          <w:b/>
          <w:sz w:val="28"/>
          <w:szCs w:val="28"/>
        </w:rPr>
        <w:t>4.1.2</w:t>
      </w:r>
      <w:r w:rsidRPr="00F9522B">
        <w:rPr>
          <w:rFonts w:eastAsiaTheme="minorEastAsia"/>
          <w:b/>
          <w:sz w:val="28"/>
          <w:szCs w:val="28"/>
        </w:rPr>
        <w:t>地形地貌</w:t>
      </w:r>
    </w:p>
    <w:p w:rsidR="002A5A5E" w:rsidRPr="00F9522B" w:rsidRDefault="00611CBA">
      <w:pPr>
        <w:pStyle w:val="2fa"/>
        <w:ind w:firstLine="480"/>
        <w:rPr>
          <w:rFonts w:ascii="Times New Roman" w:hAnsi="Times New Roman" w:cs="Times New Roman"/>
        </w:rPr>
      </w:pPr>
      <w:bookmarkStart w:id="103" w:name="_Toc241292978"/>
      <w:r w:rsidRPr="00F9522B">
        <w:rPr>
          <w:rFonts w:ascii="Times New Roman" w:hAnsi="Times New Roman" w:cs="Times New Roman"/>
        </w:rPr>
        <w:t>呼兰区地处松嫩平原中部，地势平坦开阔，中西部低洼，东部略高，地面标高</w:t>
      </w:r>
      <w:r w:rsidRPr="00F9522B">
        <w:rPr>
          <w:rFonts w:ascii="Times New Roman" w:hAnsi="Times New Roman" w:cs="Times New Roman"/>
        </w:rPr>
        <w:t>103</w:t>
      </w:r>
      <w:r w:rsidRPr="00F9522B">
        <w:rPr>
          <w:rFonts w:ascii="Times New Roman" w:hAnsi="Times New Roman" w:cs="Times New Roman"/>
        </w:rPr>
        <w:t>～</w:t>
      </w:r>
      <w:r w:rsidRPr="00F9522B">
        <w:rPr>
          <w:rFonts w:ascii="Times New Roman" w:hAnsi="Times New Roman" w:cs="Times New Roman"/>
        </w:rPr>
        <w:t>210m</w:t>
      </w:r>
      <w:r w:rsidRPr="00F9522B">
        <w:rPr>
          <w:rFonts w:ascii="Times New Roman" w:hAnsi="Times New Roman" w:cs="Times New Roman"/>
        </w:rPr>
        <w:t>，高差</w:t>
      </w:r>
      <w:r w:rsidRPr="00F9522B">
        <w:rPr>
          <w:rFonts w:ascii="Times New Roman" w:hAnsi="Times New Roman" w:cs="Times New Roman"/>
        </w:rPr>
        <w:t>20</w:t>
      </w:r>
      <w:r w:rsidRPr="00F9522B">
        <w:rPr>
          <w:rFonts w:ascii="Times New Roman" w:hAnsi="Times New Roman" w:cs="Times New Roman"/>
        </w:rPr>
        <w:t>～</w:t>
      </w:r>
      <w:r w:rsidRPr="00F9522B">
        <w:rPr>
          <w:rFonts w:ascii="Times New Roman" w:hAnsi="Times New Roman" w:cs="Times New Roman"/>
        </w:rPr>
        <w:t>30m</w:t>
      </w:r>
      <w:r w:rsidRPr="00F9522B">
        <w:rPr>
          <w:rFonts w:ascii="Times New Roman" w:hAnsi="Times New Roman" w:cs="Times New Roman"/>
        </w:rPr>
        <w:t>。呼兰河横贯西南，东有漂河、少陵河，西有泥河，</w:t>
      </w:r>
      <w:r w:rsidRPr="00F9522B">
        <w:rPr>
          <w:rFonts w:ascii="Times New Roman" w:hAnsi="Times New Roman" w:cs="Times New Roman"/>
        </w:rPr>
        <w:t>“</w:t>
      </w:r>
      <w:r w:rsidRPr="00F9522B">
        <w:rPr>
          <w:rFonts w:ascii="Times New Roman" w:hAnsi="Times New Roman" w:cs="Times New Roman"/>
        </w:rPr>
        <w:t>一江四河</w:t>
      </w:r>
      <w:r w:rsidRPr="00F9522B">
        <w:rPr>
          <w:rFonts w:ascii="Times New Roman" w:hAnsi="Times New Roman" w:cs="Times New Roman"/>
        </w:rPr>
        <w:t>”</w:t>
      </w:r>
      <w:r w:rsidRPr="00F9522B">
        <w:rPr>
          <w:rFonts w:ascii="Times New Roman" w:hAnsi="Times New Roman" w:cs="Times New Roman"/>
        </w:rPr>
        <w:t>形成呼兰肥沃的堆积和冲积平原。地形分为坡岗平原和河原两大类，大致呈</w:t>
      </w:r>
      <w:r w:rsidRPr="00F9522B">
        <w:rPr>
          <w:rFonts w:ascii="Times New Roman" w:hAnsi="Times New Roman" w:cs="Times New Roman"/>
        </w:rPr>
        <w:t>“</w:t>
      </w:r>
      <w:r w:rsidRPr="00F9522B">
        <w:rPr>
          <w:rFonts w:ascii="Times New Roman" w:hAnsi="Times New Roman" w:cs="Times New Roman"/>
        </w:rPr>
        <w:t>一丘二水七分田</w:t>
      </w:r>
      <w:r w:rsidRPr="00F9522B">
        <w:rPr>
          <w:rFonts w:ascii="Times New Roman" w:hAnsi="Times New Roman" w:cs="Times New Roman"/>
        </w:rPr>
        <w:t>”</w:t>
      </w:r>
      <w:r w:rsidRPr="00F9522B">
        <w:rPr>
          <w:rFonts w:ascii="Times New Roman" w:hAnsi="Times New Roman" w:cs="Times New Roman"/>
        </w:rPr>
        <w:t>的地貌。</w:t>
      </w:r>
    </w:p>
    <w:p w:rsidR="002A5A5E" w:rsidRPr="00F9522B" w:rsidRDefault="0058132D">
      <w:pPr>
        <w:pStyle w:val="2fa"/>
        <w:ind w:firstLine="480"/>
        <w:rPr>
          <w:rFonts w:ascii="Times New Roman" w:hAnsi="Times New Roman" w:cs="Times New Roman"/>
        </w:rPr>
      </w:pPr>
      <w:r w:rsidRPr="00F9522B">
        <w:rPr>
          <w:rFonts w:ascii="Times New Roman" w:hAnsi="Times New Roman" w:cs="Times New Roman"/>
        </w:rPr>
        <w:t>二八</w:t>
      </w:r>
      <w:r w:rsidR="00611CBA" w:rsidRPr="00F9522B">
        <w:rPr>
          <w:rFonts w:ascii="Times New Roman" w:hAnsi="Times New Roman" w:cs="Times New Roman"/>
        </w:rPr>
        <w:t>片区</w:t>
      </w:r>
      <w:r w:rsidRPr="00F9522B">
        <w:rPr>
          <w:rFonts w:ascii="Times New Roman" w:hAnsi="Times New Roman" w:cs="Times New Roman"/>
        </w:rPr>
        <w:t>地势东高西低，南部土地较平坦，北部波状起伏，东侧为漂河，地面坡度为</w:t>
      </w:r>
      <w:r w:rsidRPr="00F9522B">
        <w:rPr>
          <w:rFonts w:ascii="Times New Roman" w:hAnsi="Times New Roman" w:cs="Times New Roman"/>
        </w:rPr>
        <w:t>1/500</w:t>
      </w:r>
      <w:r w:rsidRPr="00F9522B">
        <w:rPr>
          <w:rFonts w:ascii="Times New Roman" w:hAnsi="Times New Roman" w:cs="Times New Roman"/>
        </w:rPr>
        <w:t>～</w:t>
      </w:r>
      <w:r w:rsidRPr="00F9522B">
        <w:rPr>
          <w:rFonts w:ascii="Times New Roman" w:hAnsi="Times New Roman" w:cs="Times New Roman"/>
        </w:rPr>
        <w:t>1/1000</w:t>
      </w:r>
      <w:r w:rsidRPr="00F9522B">
        <w:rPr>
          <w:rFonts w:ascii="Times New Roman" w:hAnsi="Times New Roman" w:cs="Times New Roman"/>
        </w:rPr>
        <w:t>，地面高程在</w:t>
      </w:r>
      <w:r w:rsidRPr="00F9522B">
        <w:rPr>
          <w:rFonts w:ascii="Times New Roman" w:hAnsi="Times New Roman" w:cs="Times New Roman"/>
        </w:rPr>
        <w:t>128</w:t>
      </w:r>
      <w:r w:rsidRPr="00F9522B">
        <w:rPr>
          <w:rFonts w:ascii="Times New Roman" w:hAnsi="Times New Roman" w:cs="Times New Roman"/>
        </w:rPr>
        <w:t>～</w:t>
      </w:r>
      <w:r w:rsidRPr="00F9522B">
        <w:rPr>
          <w:rFonts w:ascii="Times New Roman" w:hAnsi="Times New Roman" w:cs="Times New Roman"/>
        </w:rPr>
        <w:t>182m</w:t>
      </w:r>
      <w:r w:rsidRPr="00F9522B">
        <w:rPr>
          <w:rFonts w:ascii="Times New Roman" w:hAnsi="Times New Roman" w:cs="Times New Roman"/>
        </w:rPr>
        <w:t>之间</w:t>
      </w:r>
      <w:r w:rsidR="00611CBA" w:rsidRPr="00F9522B">
        <w:rPr>
          <w:rFonts w:ascii="Times New Roman" w:hAnsi="Times New Roman" w:cs="Times New Roman"/>
        </w:rPr>
        <w:t>。</w:t>
      </w:r>
    </w:p>
    <w:p w:rsidR="002A5A5E" w:rsidRPr="00F9522B" w:rsidRDefault="00611CBA">
      <w:pPr>
        <w:pStyle w:val="2fa"/>
        <w:ind w:firstLine="480"/>
        <w:rPr>
          <w:rFonts w:ascii="Times New Roman" w:hAnsi="Times New Roman" w:cs="Times New Roman"/>
        </w:rPr>
      </w:pPr>
      <w:r w:rsidRPr="00F9522B">
        <w:rPr>
          <w:rFonts w:ascii="Times New Roman" w:hAnsi="Times New Roman" w:cs="Times New Roman"/>
        </w:rPr>
        <w:t>方台片区，公家沟从中间贯穿项目区，地势中间低两侧高，东部与北部地势较高，地面坡度为</w:t>
      </w:r>
      <w:r w:rsidRPr="00F9522B">
        <w:rPr>
          <w:rFonts w:ascii="Times New Roman" w:hAnsi="Times New Roman" w:cs="Times New Roman"/>
        </w:rPr>
        <w:t>1/500</w:t>
      </w:r>
      <w:r w:rsidRPr="00F9522B">
        <w:rPr>
          <w:rFonts w:ascii="Times New Roman" w:hAnsi="Times New Roman" w:cs="Times New Roman"/>
        </w:rPr>
        <w:t>～</w:t>
      </w:r>
      <w:r w:rsidRPr="00F9522B">
        <w:rPr>
          <w:rFonts w:ascii="Times New Roman" w:hAnsi="Times New Roman" w:cs="Times New Roman"/>
        </w:rPr>
        <w:t>1/1000</w:t>
      </w:r>
      <w:r w:rsidRPr="00F9522B">
        <w:rPr>
          <w:rFonts w:ascii="Times New Roman" w:hAnsi="Times New Roman" w:cs="Times New Roman"/>
        </w:rPr>
        <w:t>，地面高程在</w:t>
      </w:r>
      <w:r w:rsidRPr="00F9522B">
        <w:rPr>
          <w:rFonts w:ascii="Times New Roman" w:hAnsi="Times New Roman" w:cs="Times New Roman"/>
        </w:rPr>
        <w:t>137</w:t>
      </w:r>
      <w:r w:rsidRPr="00F9522B">
        <w:rPr>
          <w:rFonts w:ascii="Times New Roman" w:hAnsi="Times New Roman" w:cs="Times New Roman"/>
        </w:rPr>
        <w:t>～</w:t>
      </w:r>
      <w:r w:rsidRPr="00F9522B">
        <w:rPr>
          <w:rFonts w:ascii="Times New Roman" w:hAnsi="Times New Roman" w:cs="Times New Roman"/>
        </w:rPr>
        <w:t>188m</w:t>
      </w:r>
      <w:r w:rsidRPr="00F9522B">
        <w:rPr>
          <w:rFonts w:ascii="Times New Roman" w:hAnsi="Times New Roman" w:cs="Times New Roman"/>
        </w:rPr>
        <w:t>之间。</w:t>
      </w:r>
    </w:p>
    <w:p w:rsidR="002A5A5E" w:rsidRPr="00F9522B" w:rsidRDefault="00611CBA">
      <w:pPr>
        <w:pStyle w:val="2fa"/>
        <w:ind w:firstLine="480"/>
        <w:rPr>
          <w:rFonts w:ascii="Times New Roman" w:hAnsi="Times New Roman" w:cs="Times New Roman"/>
        </w:rPr>
      </w:pPr>
      <w:r w:rsidRPr="00F9522B">
        <w:rPr>
          <w:rFonts w:ascii="Times New Roman" w:hAnsi="Times New Roman" w:cs="Times New Roman"/>
        </w:rPr>
        <w:t>康金片区地势北高南低，地面坡度为</w:t>
      </w:r>
      <w:r w:rsidRPr="00F9522B">
        <w:rPr>
          <w:rFonts w:ascii="Times New Roman" w:hAnsi="Times New Roman" w:cs="Times New Roman"/>
        </w:rPr>
        <w:t>1/500</w:t>
      </w:r>
      <w:r w:rsidRPr="00F9522B">
        <w:rPr>
          <w:rFonts w:ascii="Times New Roman" w:hAnsi="Times New Roman" w:cs="Times New Roman"/>
        </w:rPr>
        <w:t>～</w:t>
      </w:r>
      <w:r w:rsidRPr="00F9522B">
        <w:rPr>
          <w:rFonts w:ascii="Times New Roman" w:hAnsi="Times New Roman" w:cs="Times New Roman"/>
        </w:rPr>
        <w:t>1/1000</w:t>
      </w:r>
      <w:r w:rsidRPr="00F9522B">
        <w:rPr>
          <w:rFonts w:ascii="Times New Roman" w:hAnsi="Times New Roman" w:cs="Times New Roman"/>
        </w:rPr>
        <w:t>，地面高程在</w:t>
      </w:r>
      <w:r w:rsidRPr="00F9522B">
        <w:rPr>
          <w:rFonts w:ascii="Times New Roman" w:hAnsi="Times New Roman" w:cs="Times New Roman"/>
        </w:rPr>
        <w:t>148</w:t>
      </w:r>
      <w:r w:rsidRPr="00F9522B">
        <w:rPr>
          <w:rFonts w:ascii="Times New Roman" w:hAnsi="Times New Roman" w:cs="Times New Roman"/>
        </w:rPr>
        <w:t>～</w:t>
      </w:r>
      <w:r w:rsidRPr="00F9522B">
        <w:rPr>
          <w:rFonts w:ascii="Times New Roman" w:hAnsi="Times New Roman" w:cs="Times New Roman"/>
        </w:rPr>
        <w:t>191m</w:t>
      </w:r>
      <w:r w:rsidRPr="00F9522B">
        <w:rPr>
          <w:rFonts w:ascii="Times New Roman" w:hAnsi="Times New Roman" w:cs="Times New Roman"/>
        </w:rPr>
        <w:t>之间。</w:t>
      </w:r>
    </w:p>
    <w:p w:rsidR="002A5A5E" w:rsidRPr="00F9522B" w:rsidRDefault="0058132D">
      <w:pPr>
        <w:pStyle w:val="2fa"/>
        <w:ind w:firstLine="480"/>
        <w:rPr>
          <w:rFonts w:ascii="Times New Roman" w:hAnsi="Times New Roman" w:cs="Times New Roman"/>
        </w:rPr>
      </w:pPr>
      <w:r w:rsidRPr="00F9522B">
        <w:rPr>
          <w:rFonts w:ascii="Times New Roman" w:hAnsi="Times New Roman" w:cs="Times New Roman"/>
        </w:rPr>
        <w:lastRenderedPageBreak/>
        <w:t>石人</w:t>
      </w:r>
      <w:r w:rsidR="00611CBA" w:rsidRPr="00F9522B">
        <w:rPr>
          <w:rFonts w:ascii="Times New Roman" w:hAnsi="Times New Roman" w:cs="Times New Roman"/>
        </w:rPr>
        <w:t>片区</w:t>
      </w:r>
      <w:r w:rsidRPr="00F9522B">
        <w:rPr>
          <w:rFonts w:ascii="Times New Roman" w:hAnsi="Times New Roman" w:cs="Times New Roman"/>
        </w:rPr>
        <w:t>地势西高东低，东侧为漂河，地面坡度为</w:t>
      </w:r>
      <w:r w:rsidRPr="00F9522B">
        <w:rPr>
          <w:rFonts w:ascii="Times New Roman" w:hAnsi="Times New Roman" w:cs="Times New Roman"/>
        </w:rPr>
        <w:t>1/500</w:t>
      </w:r>
      <w:r w:rsidRPr="00F9522B">
        <w:rPr>
          <w:rFonts w:ascii="Times New Roman" w:hAnsi="Times New Roman" w:cs="Times New Roman"/>
        </w:rPr>
        <w:t>～</w:t>
      </w:r>
      <w:r w:rsidRPr="00F9522B">
        <w:rPr>
          <w:rFonts w:ascii="Times New Roman" w:hAnsi="Times New Roman" w:cs="Times New Roman"/>
        </w:rPr>
        <w:t>1/1000</w:t>
      </w:r>
      <w:r w:rsidRPr="00F9522B">
        <w:rPr>
          <w:rFonts w:ascii="Times New Roman" w:hAnsi="Times New Roman" w:cs="Times New Roman"/>
        </w:rPr>
        <w:t>，地面高程在</w:t>
      </w:r>
      <w:r w:rsidRPr="00F9522B">
        <w:rPr>
          <w:rFonts w:ascii="Times New Roman" w:hAnsi="Times New Roman" w:cs="Times New Roman"/>
        </w:rPr>
        <w:t>140</w:t>
      </w:r>
      <w:r w:rsidRPr="00F9522B">
        <w:rPr>
          <w:rFonts w:ascii="Times New Roman" w:hAnsi="Times New Roman" w:cs="Times New Roman"/>
        </w:rPr>
        <w:t>～</w:t>
      </w:r>
      <w:r w:rsidRPr="00F9522B">
        <w:rPr>
          <w:rFonts w:ascii="Times New Roman" w:hAnsi="Times New Roman" w:cs="Times New Roman"/>
        </w:rPr>
        <w:t>174m</w:t>
      </w:r>
      <w:r w:rsidRPr="00F9522B">
        <w:rPr>
          <w:rFonts w:ascii="Times New Roman" w:hAnsi="Times New Roman" w:cs="Times New Roman"/>
        </w:rPr>
        <w:t>之间</w:t>
      </w:r>
      <w:r w:rsidR="00611CBA" w:rsidRPr="00F9522B">
        <w:rPr>
          <w:rFonts w:ascii="Times New Roman" w:hAnsi="Times New Roman" w:cs="Times New Roman"/>
        </w:rPr>
        <w:t>。</w:t>
      </w:r>
    </w:p>
    <w:p w:rsidR="002A5A5E" w:rsidRPr="00F9522B" w:rsidRDefault="00611CBA">
      <w:pPr>
        <w:keepNext/>
        <w:keepLines/>
        <w:spacing w:before="100" w:beforeAutospacing="1" w:after="100" w:afterAutospacing="1"/>
        <w:outlineLvl w:val="2"/>
        <w:rPr>
          <w:rFonts w:eastAsiaTheme="minorEastAsia"/>
          <w:b/>
          <w:sz w:val="28"/>
          <w:szCs w:val="28"/>
        </w:rPr>
      </w:pPr>
      <w:r w:rsidRPr="00F9522B">
        <w:rPr>
          <w:rFonts w:eastAsiaTheme="minorEastAsia"/>
          <w:b/>
          <w:sz w:val="28"/>
          <w:szCs w:val="28"/>
        </w:rPr>
        <w:t>4.1.3</w:t>
      </w:r>
      <w:r w:rsidRPr="00F9522B">
        <w:rPr>
          <w:rFonts w:eastAsiaTheme="minorEastAsia"/>
          <w:b/>
          <w:sz w:val="28"/>
          <w:szCs w:val="28"/>
        </w:rPr>
        <w:t>气候</w:t>
      </w:r>
      <w:bookmarkEnd w:id="103"/>
      <w:r w:rsidRPr="00F9522B">
        <w:rPr>
          <w:rFonts w:eastAsiaTheme="minorEastAsia"/>
          <w:b/>
          <w:sz w:val="28"/>
          <w:szCs w:val="28"/>
        </w:rPr>
        <w:t>、气象</w:t>
      </w:r>
    </w:p>
    <w:p w:rsidR="002A5A5E" w:rsidRPr="00F9522B" w:rsidRDefault="00611CBA">
      <w:pPr>
        <w:spacing w:line="360" w:lineRule="auto"/>
        <w:ind w:firstLineChars="200" w:firstLine="480"/>
        <w:contextualSpacing/>
        <w:rPr>
          <w:rFonts w:eastAsiaTheme="minorEastAsia"/>
          <w:snapToGrid w:val="0"/>
          <w:sz w:val="24"/>
          <w:szCs w:val="21"/>
        </w:rPr>
      </w:pPr>
      <w:r w:rsidRPr="00F9522B">
        <w:rPr>
          <w:rFonts w:eastAsiaTheme="minorEastAsia"/>
          <w:snapToGrid w:val="0"/>
          <w:sz w:val="24"/>
          <w:szCs w:val="21"/>
        </w:rPr>
        <w:t>呼兰区属中纬度地带，属于北温带大陆性季风气候，四季分明，春季</w:t>
      </w:r>
      <w:r w:rsidRPr="00F9522B">
        <w:rPr>
          <w:rFonts w:eastAsiaTheme="minorEastAsia"/>
          <w:snapToGrid w:val="0"/>
          <w:sz w:val="24"/>
          <w:szCs w:val="21"/>
        </w:rPr>
        <w:t>4</w:t>
      </w:r>
      <w:r w:rsidRPr="00F9522B">
        <w:rPr>
          <w:rFonts w:eastAsiaTheme="minorEastAsia"/>
          <w:snapToGrid w:val="0"/>
          <w:sz w:val="24"/>
          <w:szCs w:val="21"/>
        </w:rPr>
        <w:t>～</w:t>
      </w:r>
      <w:r w:rsidRPr="00F9522B">
        <w:rPr>
          <w:rFonts w:eastAsiaTheme="minorEastAsia"/>
          <w:snapToGrid w:val="0"/>
          <w:sz w:val="24"/>
          <w:szCs w:val="21"/>
        </w:rPr>
        <w:t>5</w:t>
      </w:r>
      <w:r w:rsidRPr="00F9522B">
        <w:rPr>
          <w:rFonts w:eastAsiaTheme="minorEastAsia"/>
          <w:snapToGrid w:val="0"/>
          <w:sz w:val="24"/>
          <w:szCs w:val="21"/>
        </w:rPr>
        <w:t>月风大干旱少雨，多西南大风；夏季</w:t>
      </w:r>
      <w:r w:rsidRPr="00F9522B">
        <w:rPr>
          <w:rFonts w:eastAsiaTheme="minorEastAsia"/>
          <w:snapToGrid w:val="0"/>
          <w:sz w:val="24"/>
          <w:szCs w:val="21"/>
        </w:rPr>
        <w:t>6</w:t>
      </w:r>
      <w:r w:rsidRPr="00F9522B">
        <w:rPr>
          <w:rFonts w:eastAsiaTheme="minorEastAsia"/>
          <w:snapToGrid w:val="0"/>
          <w:sz w:val="24"/>
          <w:szCs w:val="21"/>
        </w:rPr>
        <w:t>～</w:t>
      </w:r>
      <w:r w:rsidRPr="00F9522B">
        <w:rPr>
          <w:rFonts w:eastAsiaTheme="minorEastAsia"/>
          <w:snapToGrid w:val="0"/>
          <w:sz w:val="24"/>
          <w:szCs w:val="21"/>
        </w:rPr>
        <w:t>8</w:t>
      </w:r>
      <w:r w:rsidRPr="00F9522B">
        <w:rPr>
          <w:rFonts w:eastAsiaTheme="minorEastAsia"/>
          <w:snapToGrid w:val="0"/>
          <w:sz w:val="24"/>
          <w:szCs w:val="21"/>
        </w:rPr>
        <w:t>月多雨温热，气候湿润，多偏南风；秋季</w:t>
      </w:r>
      <w:r w:rsidRPr="00F9522B">
        <w:rPr>
          <w:rFonts w:eastAsiaTheme="minorEastAsia"/>
          <w:snapToGrid w:val="0"/>
          <w:sz w:val="24"/>
          <w:szCs w:val="21"/>
        </w:rPr>
        <w:t>9</w:t>
      </w:r>
      <w:r w:rsidRPr="00F9522B">
        <w:rPr>
          <w:rFonts w:eastAsiaTheme="minorEastAsia"/>
          <w:snapToGrid w:val="0"/>
          <w:sz w:val="24"/>
          <w:szCs w:val="21"/>
        </w:rPr>
        <w:t>～</w:t>
      </w:r>
      <w:r w:rsidRPr="00F9522B">
        <w:rPr>
          <w:rFonts w:eastAsiaTheme="minorEastAsia"/>
          <w:snapToGrid w:val="0"/>
          <w:sz w:val="24"/>
          <w:szCs w:val="21"/>
        </w:rPr>
        <w:t>10</w:t>
      </w:r>
      <w:r w:rsidRPr="00F9522B">
        <w:rPr>
          <w:rFonts w:eastAsiaTheme="minorEastAsia"/>
          <w:snapToGrid w:val="0"/>
          <w:sz w:val="24"/>
          <w:szCs w:val="21"/>
        </w:rPr>
        <w:t>月早霜冷凉，多偏西风，气温逐渐下降；冬季</w:t>
      </w:r>
      <w:r w:rsidRPr="00F9522B">
        <w:rPr>
          <w:rFonts w:eastAsiaTheme="minorEastAsia"/>
          <w:snapToGrid w:val="0"/>
          <w:sz w:val="24"/>
          <w:szCs w:val="21"/>
        </w:rPr>
        <w:t>11</w:t>
      </w:r>
      <w:r w:rsidRPr="00F9522B">
        <w:rPr>
          <w:rFonts w:eastAsiaTheme="minorEastAsia"/>
          <w:snapToGrid w:val="0"/>
          <w:sz w:val="24"/>
          <w:szCs w:val="21"/>
        </w:rPr>
        <w:t>月～翌年</w:t>
      </w:r>
      <w:r w:rsidRPr="00F9522B">
        <w:rPr>
          <w:rFonts w:eastAsiaTheme="minorEastAsia"/>
          <w:snapToGrid w:val="0"/>
          <w:sz w:val="24"/>
          <w:szCs w:val="21"/>
        </w:rPr>
        <w:t>3</w:t>
      </w:r>
      <w:r w:rsidRPr="00F9522B">
        <w:rPr>
          <w:rFonts w:eastAsiaTheme="minorEastAsia"/>
          <w:snapToGrid w:val="0"/>
          <w:sz w:val="24"/>
          <w:szCs w:val="21"/>
        </w:rPr>
        <w:t>月寒冷漫长，干冷少雪，多西北风。年平均气温</w:t>
      </w:r>
      <w:r w:rsidRPr="00F9522B">
        <w:rPr>
          <w:rFonts w:eastAsiaTheme="minorEastAsia"/>
          <w:snapToGrid w:val="0"/>
          <w:sz w:val="24"/>
          <w:szCs w:val="21"/>
        </w:rPr>
        <w:t>3.3℃</w:t>
      </w:r>
      <w:r w:rsidRPr="00F9522B">
        <w:rPr>
          <w:rFonts w:eastAsiaTheme="minorEastAsia"/>
          <w:snapToGrid w:val="0"/>
          <w:sz w:val="24"/>
          <w:szCs w:val="21"/>
        </w:rPr>
        <w:t>，一月平均气温最低为</w:t>
      </w:r>
      <w:r w:rsidRPr="00F9522B">
        <w:rPr>
          <w:rFonts w:eastAsiaTheme="minorEastAsia"/>
          <w:snapToGrid w:val="0"/>
          <w:sz w:val="24"/>
          <w:szCs w:val="21"/>
        </w:rPr>
        <w:t>-20.4℃</w:t>
      </w:r>
      <w:r w:rsidRPr="00F9522B">
        <w:rPr>
          <w:rFonts w:eastAsiaTheme="minorEastAsia"/>
          <w:snapToGrid w:val="0"/>
          <w:sz w:val="24"/>
          <w:szCs w:val="21"/>
        </w:rPr>
        <w:t>，极端最低气温为</w:t>
      </w:r>
      <w:r w:rsidRPr="00F9522B">
        <w:rPr>
          <w:rFonts w:eastAsiaTheme="minorEastAsia"/>
          <w:snapToGrid w:val="0"/>
          <w:sz w:val="24"/>
          <w:szCs w:val="21"/>
        </w:rPr>
        <w:t>-41.1℃</w:t>
      </w:r>
      <w:r w:rsidRPr="00F9522B">
        <w:rPr>
          <w:rFonts w:eastAsiaTheme="minorEastAsia"/>
          <w:snapToGrid w:val="0"/>
          <w:sz w:val="24"/>
          <w:szCs w:val="21"/>
        </w:rPr>
        <w:t>，无霜期平均</w:t>
      </w:r>
      <w:r w:rsidRPr="00F9522B">
        <w:rPr>
          <w:rFonts w:eastAsiaTheme="minorEastAsia"/>
          <w:snapToGrid w:val="0"/>
          <w:sz w:val="24"/>
          <w:szCs w:val="21"/>
        </w:rPr>
        <w:t>144</w:t>
      </w:r>
      <w:r w:rsidRPr="00F9522B">
        <w:rPr>
          <w:rFonts w:eastAsiaTheme="minorEastAsia"/>
          <w:snapToGrid w:val="0"/>
          <w:sz w:val="24"/>
          <w:szCs w:val="21"/>
        </w:rPr>
        <w:t>天，初霜日期平均为</w:t>
      </w:r>
      <w:r w:rsidRPr="00F9522B">
        <w:rPr>
          <w:rFonts w:eastAsiaTheme="minorEastAsia"/>
          <w:snapToGrid w:val="0"/>
          <w:sz w:val="24"/>
          <w:szCs w:val="21"/>
        </w:rPr>
        <w:t>9</w:t>
      </w:r>
      <w:r w:rsidRPr="00F9522B">
        <w:rPr>
          <w:rFonts w:eastAsiaTheme="minorEastAsia"/>
          <w:snapToGrid w:val="0"/>
          <w:sz w:val="24"/>
          <w:szCs w:val="21"/>
        </w:rPr>
        <w:t>月</w:t>
      </w:r>
      <w:r w:rsidRPr="00F9522B">
        <w:rPr>
          <w:rFonts w:eastAsiaTheme="minorEastAsia"/>
          <w:snapToGrid w:val="0"/>
          <w:sz w:val="24"/>
          <w:szCs w:val="21"/>
        </w:rPr>
        <w:t>26</w:t>
      </w:r>
      <w:r w:rsidRPr="00F9522B">
        <w:rPr>
          <w:rFonts w:eastAsiaTheme="minorEastAsia"/>
          <w:snapToGrid w:val="0"/>
          <w:sz w:val="24"/>
          <w:szCs w:val="21"/>
        </w:rPr>
        <w:t>日，终霜日期平均在</w:t>
      </w:r>
      <w:r w:rsidRPr="00F9522B">
        <w:rPr>
          <w:rFonts w:eastAsiaTheme="minorEastAsia"/>
          <w:snapToGrid w:val="0"/>
          <w:sz w:val="24"/>
          <w:szCs w:val="21"/>
        </w:rPr>
        <w:t>5</w:t>
      </w:r>
      <w:r w:rsidRPr="00F9522B">
        <w:rPr>
          <w:rFonts w:eastAsiaTheme="minorEastAsia"/>
          <w:snapToGrid w:val="0"/>
          <w:sz w:val="24"/>
          <w:szCs w:val="21"/>
        </w:rPr>
        <w:t>月</w:t>
      </w:r>
      <w:r w:rsidRPr="00F9522B">
        <w:rPr>
          <w:rFonts w:eastAsiaTheme="minorEastAsia"/>
          <w:snapToGrid w:val="0"/>
          <w:sz w:val="24"/>
          <w:szCs w:val="21"/>
        </w:rPr>
        <w:t>4</w:t>
      </w:r>
      <w:r w:rsidRPr="00F9522B">
        <w:rPr>
          <w:rFonts w:eastAsiaTheme="minorEastAsia"/>
          <w:snapToGrid w:val="0"/>
          <w:sz w:val="24"/>
          <w:szCs w:val="21"/>
        </w:rPr>
        <w:t>日。冻结期</w:t>
      </w:r>
      <w:r w:rsidRPr="00F9522B">
        <w:rPr>
          <w:rFonts w:eastAsiaTheme="minorEastAsia"/>
          <w:snapToGrid w:val="0"/>
          <w:sz w:val="24"/>
          <w:szCs w:val="21"/>
        </w:rPr>
        <w:t>11</w:t>
      </w:r>
      <w:r w:rsidRPr="00F9522B">
        <w:rPr>
          <w:rFonts w:eastAsiaTheme="minorEastAsia"/>
          <w:snapToGrid w:val="0"/>
          <w:sz w:val="24"/>
          <w:szCs w:val="21"/>
        </w:rPr>
        <w:t>月至翌年</w:t>
      </w:r>
      <w:r w:rsidRPr="00F9522B">
        <w:rPr>
          <w:rFonts w:eastAsiaTheme="minorEastAsia"/>
          <w:snapToGrid w:val="0"/>
          <w:sz w:val="24"/>
          <w:szCs w:val="21"/>
        </w:rPr>
        <w:t>3</w:t>
      </w:r>
      <w:r w:rsidRPr="00F9522B">
        <w:rPr>
          <w:rFonts w:eastAsiaTheme="minorEastAsia"/>
          <w:snapToGrid w:val="0"/>
          <w:sz w:val="24"/>
          <w:szCs w:val="21"/>
        </w:rPr>
        <w:t>月，冻土深度为</w:t>
      </w:r>
      <w:r w:rsidRPr="00F9522B">
        <w:rPr>
          <w:rFonts w:eastAsiaTheme="minorEastAsia"/>
          <w:snapToGrid w:val="0"/>
          <w:sz w:val="24"/>
          <w:szCs w:val="21"/>
        </w:rPr>
        <w:t>1.97 m</w:t>
      </w:r>
      <w:r w:rsidRPr="00F9522B">
        <w:rPr>
          <w:rFonts w:eastAsiaTheme="minorEastAsia"/>
          <w:snapToGrid w:val="0"/>
          <w:sz w:val="24"/>
          <w:szCs w:val="21"/>
        </w:rPr>
        <w:t>，冬季不利于作物生长。正常年份自然降雨即可满足农作物生长需要。全年日照充足，年平均日照</w:t>
      </w:r>
      <w:r w:rsidRPr="00F9522B">
        <w:rPr>
          <w:rFonts w:eastAsiaTheme="minorEastAsia"/>
          <w:snapToGrid w:val="0"/>
          <w:sz w:val="24"/>
          <w:szCs w:val="21"/>
        </w:rPr>
        <w:t>2661.4</w:t>
      </w:r>
      <w:r w:rsidRPr="00F9522B">
        <w:rPr>
          <w:rFonts w:eastAsiaTheme="minorEastAsia"/>
          <w:snapToGrid w:val="0"/>
          <w:sz w:val="24"/>
          <w:szCs w:val="21"/>
        </w:rPr>
        <w:t>小时，年平均日照百分率</w:t>
      </w:r>
      <w:r w:rsidRPr="00F9522B">
        <w:rPr>
          <w:rFonts w:eastAsiaTheme="minorEastAsia"/>
          <w:snapToGrid w:val="0"/>
          <w:sz w:val="24"/>
          <w:szCs w:val="21"/>
        </w:rPr>
        <w:t>61%</w:t>
      </w:r>
      <w:r w:rsidRPr="00F9522B">
        <w:rPr>
          <w:rFonts w:eastAsiaTheme="minorEastAsia"/>
          <w:snapToGrid w:val="0"/>
          <w:sz w:val="24"/>
          <w:szCs w:val="21"/>
        </w:rPr>
        <w:t>。春季风速较大，全年最多风向为西南风。全年气温以</w:t>
      </w:r>
      <w:r w:rsidRPr="00F9522B">
        <w:rPr>
          <w:rFonts w:eastAsiaTheme="minorEastAsia"/>
          <w:snapToGrid w:val="0"/>
          <w:sz w:val="24"/>
          <w:szCs w:val="21"/>
        </w:rPr>
        <w:t>7</w:t>
      </w:r>
      <w:r w:rsidRPr="00F9522B">
        <w:rPr>
          <w:rFonts w:eastAsiaTheme="minorEastAsia"/>
          <w:snapToGrid w:val="0"/>
          <w:sz w:val="24"/>
          <w:szCs w:val="21"/>
        </w:rPr>
        <w:t>月份最热，月平均</w:t>
      </w:r>
      <w:r w:rsidRPr="00F9522B">
        <w:rPr>
          <w:rFonts w:eastAsiaTheme="minorEastAsia"/>
          <w:snapToGrid w:val="0"/>
          <w:sz w:val="24"/>
          <w:szCs w:val="21"/>
        </w:rPr>
        <w:t>23.1℃</w:t>
      </w:r>
      <w:r w:rsidRPr="00F9522B">
        <w:rPr>
          <w:rFonts w:eastAsiaTheme="minorEastAsia"/>
          <w:snapToGrid w:val="0"/>
          <w:sz w:val="24"/>
          <w:szCs w:val="21"/>
        </w:rPr>
        <w:t>；全年</w:t>
      </w:r>
      <w:r w:rsidRPr="00F9522B">
        <w:rPr>
          <w:rFonts w:eastAsiaTheme="minorEastAsia"/>
          <w:snapToGrid w:val="0"/>
          <w:sz w:val="24"/>
          <w:szCs w:val="21"/>
        </w:rPr>
        <w:t>1</w:t>
      </w:r>
      <w:r w:rsidRPr="00F9522B">
        <w:rPr>
          <w:rFonts w:eastAsiaTheme="minorEastAsia"/>
          <w:snapToGrid w:val="0"/>
          <w:sz w:val="24"/>
          <w:szCs w:val="21"/>
        </w:rPr>
        <w:t>月份最冷，月平均气温</w:t>
      </w:r>
      <w:r w:rsidRPr="00F9522B">
        <w:rPr>
          <w:rFonts w:eastAsiaTheme="minorEastAsia"/>
          <w:snapToGrid w:val="0"/>
          <w:sz w:val="24"/>
          <w:szCs w:val="21"/>
        </w:rPr>
        <w:t>-19.4℃</w:t>
      </w:r>
      <w:r w:rsidRPr="00F9522B">
        <w:rPr>
          <w:rFonts w:eastAsiaTheme="minorEastAsia"/>
          <w:snapToGrid w:val="0"/>
          <w:sz w:val="24"/>
          <w:szCs w:val="21"/>
        </w:rPr>
        <w:t>。</w:t>
      </w:r>
    </w:p>
    <w:p w:rsidR="002A5A5E" w:rsidRPr="00F9522B" w:rsidRDefault="00611CBA">
      <w:pPr>
        <w:spacing w:line="0" w:lineRule="atLeast"/>
        <w:jc w:val="center"/>
        <w:rPr>
          <w:rFonts w:eastAsiaTheme="minorEastAsia"/>
          <w:b/>
          <w:sz w:val="24"/>
        </w:rPr>
      </w:pPr>
      <w:r w:rsidRPr="00F9522B">
        <w:rPr>
          <w:rFonts w:eastAsiaTheme="minorEastAsia"/>
          <w:b/>
          <w:noProof/>
          <w:sz w:val="24"/>
        </w:rPr>
        <w:drawing>
          <wp:inline distT="0" distB="0" distL="114300" distR="114300">
            <wp:extent cx="3124200" cy="4137660"/>
            <wp:effectExtent l="38100" t="19050" r="18457" b="14620"/>
            <wp:docPr id="30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图片 8"/>
                    <pic:cNvPicPr>
                      <a:picLocks noChangeAspect="1"/>
                    </pic:cNvPicPr>
                  </pic:nvPicPr>
                  <pic:blipFill>
                    <a:blip r:embed="rId50"/>
                    <a:stretch>
                      <a:fillRect/>
                    </a:stretch>
                  </pic:blipFill>
                  <pic:spPr>
                    <a:xfrm>
                      <a:off x="0" y="0"/>
                      <a:ext cx="3130435" cy="4145751"/>
                    </a:xfrm>
                    <a:prstGeom prst="rect">
                      <a:avLst/>
                    </a:prstGeom>
                    <a:noFill/>
                    <a:ln w="6350">
                      <a:solidFill>
                        <a:schemeClr val="tx1"/>
                      </a:solidFill>
                    </a:ln>
                  </pic:spPr>
                </pic:pic>
              </a:graphicData>
            </a:graphic>
          </wp:inline>
        </w:drawing>
      </w:r>
    </w:p>
    <w:p w:rsidR="002A5A5E" w:rsidRPr="00F9522B" w:rsidRDefault="00611CBA">
      <w:pPr>
        <w:contextualSpacing/>
        <w:jc w:val="center"/>
        <w:rPr>
          <w:rFonts w:eastAsiaTheme="minorEastAsia"/>
          <w:b/>
          <w:kern w:val="0"/>
          <w:szCs w:val="21"/>
        </w:rPr>
      </w:pPr>
      <w:r w:rsidRPr="00F9522B">
        <w:rPr>
          <w:rFonts w:eastAsiaTheme="minorEastAsia"/>
          <w:b/>
          <w:kern w:val="0"/>
          <w:szCs w:val="21"/>
        </w:rPr>
        <w:t>图</w:t>
      </w:r>
      <w:r w:rsidRPr="00F9522B">
        <w:rPr>
          <w:rFonts w:eastAsiaTheme="minorEastAsia"/>
          <w:b/>
          <w:kern w:val="0"/>
          <w:szCs w:val="21"/>
        </w:rPr>
        <w:t xml:space="preserve">4-1-1 </w:t>
      </w:r>
      <w:r w:rsidRPr="00F9522B">
        <w:rPr>
          <w:rFonts w:eastAsiaTheme="minorEastAsia"/>
          <w:b/>
          <w:kern w:val="0"/>
          <w:szCs w:val="21"/>
        </w:rPr>
        <w:t>哈尔滨市近</w:t>
      </w:r>
      <w:r w:rsidRPr="00F9522B">
        <w:rPr>
          <w:rFonts w:eastAsiaTheme="minorEastAsia"/>
          <w:b/>
          <w:kern w:val="0"/>
          <w:szCs w:val="21"/>
        </w:rPr>
        <w:t>20</w:t>
      </w:r>
      <w:r w:rsidRPr="00F9522B">
        <w:rPr>
          <w:rFonts w:eastAsiaTheme="minorEastAsia"/>
          <w:b/>
          <w:kern w:val="0"/>
          <w:szCs w:val="21"/>
        </w:rPr>
        <w:t>年风频玫瑰图</w:t>
      </w:r>
    </w:p>
    <w:p w:rsidR="002A5A5E" w:rsidRPr="00F9522B" w:rsidRDefault="00611CBA">
      <w:pPr>
        <w:keepNext/>
        <w:keepLines/>
        <w:spacing w:before="100" w:beforeAutospacing="1" w:after="100" w:afterAutospacing="1"/>
        <w:outlineLvl w:val="2"/>
        <w:rPr>
          <w:rFonts w:eastAsiaTheme="minorEastAsia"/>
          <w:b/>
          <w:sz w:val="28"/>
          <w:szCs w:val="28"/>
        </w:rPr>
      </w:pPr>
      <w:bookmarkStart w:id="104" w:name="_Toc241292979"/>
      <w:r w:rsidRPr="00F9522B">
        <w:rPr>
          <w:rFonts w:eastAsiaTheme="minorEastAsia"/>
          <w:b/>
          <w:sz w:val="28"/>
          <w:szCs w:val="28"/>
        </w:rPr>
        <w:lastRenderedPageBreak/>
        <w:t>4.1.4</w:t>
      </w:r>
      <w:r w:rsidRPr="00F9522B">
        <w:rPr>
          <w:rFonts w:eastAsiaTheme="minorEastAsia"/>
          <w:b/>
          <w:sz w:val="28"/>
          <w:szCs w:val="28"/>
        </w:rPr>
        <w:t>水文</w:t>
      </w:r>
      <w:bookmarkEnd w:id="104"/>
      <w:r w:rsidRPr="00F9522B">
        <w:rPr>
          <w:rFonts w:eastAsiaTheme="minorEastAsia"/>
          <w:b/>
          <w:sz w:val="28"/>
          <w:szCs w:val="28"/>
        </w:rPr>
        <w:t>地质情况</w:t>
      </w:r>
    </w:p>
    <w:p w:rsidR="002A5A5E" w:rsidRPr="00F9522B" w:rsidRDefault="00611CBA">
      <w:pPr>
        <w:autoSpaceDE w:val="0"/>
        <w:autoSpaceDN w:val="0"/>
        <w:spacing w:before="100" w:beforeAutospacing="1" w:after="100" w:afterAutospacing="1"/>
        <w:outlineLvl w:val="3"/>
        <w:rPr>
          <w:rFonts w:eastAsiaTheme="minorEastAsia"/>
          <w:b/>
          <w:bCs/>
          <w:sz w:val="24"/>
        </w:rPr>
      </w:pPr>
      <w:bookmarkStart w:id="105" w:name="_Toc241292980"/>
      <w:r w:rsidRPr="00F9522B">
        <w:rPr>
          <w:rFonts w:eastAsiaTheme="minorEastAsia"/>
          <w:b/>
          <w:bCs/>
          <w:sz w:val="24"/>
        </w:rPr>
        <w:t>4.1.4.1</w:t>
      </w:r>
      <w:r w:rsidRPr="00F9522B">
        <w:rPr>
          <w:rFonts w:eastAsiaTheme="minorEastAsia"/>
          <w:b/>
          <w:bCs/>
          <w:sz w:val="24"/>
        </w:rPr>
        <w:t>流域概况</w:t>
      </w:r>
    </w:p>
    <w:p w:rsidR="002A5A5E" w:rsidRPr="00F9522B" w:rsidRDefault="00611CBA">
      <w:pPr>
        <w:spacing w:line="360" w:lineRule="auto"/>
        <w:ind w:firstLineChars="200" w:firstLine="480"/>
        <w:contextualSpacing/>
        <w:rPr>
          <w:rFonts w:eastAsiaTheme="minorEastAsia"/>
          <w:snapToGrid w:val="0"/>
          <w:sz w:val="24"/>
          <w:szCs w:val="21"/>
        </w:rPr>
      </w:pPr>
      <w:r w:rsidRPr="00F9522B">
        <w:rPr>
          <w:rFonts w:eastAsiaTheme="minorEastAsia"/>
          <w:snapToGrid w:val="0"/>
          <w:sz w:val="24"/>
          <w:szCs w:val="21"/>
        </w:rPr>
        <w:t>呼兰区境内江河纵横、湖泡沟渠密布。地表水有</w:t>
      </w:r>
      <w:r w:rsidRPr="00F9522B">
        <w:rPr>
          <w:rFonts w:eastAsiaTheme="minorEastAsia"/>
          <w:snapToGrid w:val="0"/>
          <w:sz w:val="24"/>
          <w:szCs w:val="21"/>
        </w:rPr>
        <w:t>“</w:t>
      </w:r>
      <w:r w:rsidRPr="00F9522B">
        <w:rPr>
          <w:rFonts w:eastAsiaTheme="minorEastAsia"/>
          <w:snapToGrid w:val="0"/>
          <w:sz w:val="24"/>
          <w:szCs w:val="21"/>
        </w:rPr>
        <w:t>一江四河</w:t>
      </w:r>
      <w:r w:rsidRPr="00F9522B">
        <w:rPr>
          <w:rFonts w:eastAsiaTheme="minorEastAsia"/>
          <w:snapToGrid w:val="0"/>
          <w:sz w:val="24"/>
          <w:szCs w:val="21"/>
        </w:rPr>
        <w:t>”</w:t>
      </w:r>
      <w:r w:rsidRPr="00F9522B">
        <w:rPr>
          <w:rFonts w:eastAsiaTheme="minorEastAsia"/>
          <w:snapToGrid w:val="0"/>
          <w:sz w:val="24"/>
          <w:szCs w:val="21"/>
        </w:rPr>
        <w:t>、沟泡湖泊</w:t>
      </w:r>
      <w:r w:rsidRPr="00F9522B">
        <w:rPr>
          <w:rFonts w:eastAsiaTheme="minorEastAsia"/>
          <w:snapToGrid w:val="0"/>
          <w:sz w:val="24"/>
          <w:szCs w:val="21"/>
        </w:rPr>
        <w:t xml:space="preserve"> 412 </w:t>
      </w:r>
      <w:r w:rsidRPr="00F9522B">
        <w:rPr>
          <w:rFonts w:eastAsiaTheme="minorEastAsia"/>
          <w:snapToGrid w:val="0"/>
          <w:sz w:val="24"/>
          <w:szCs w:val="21"/>
        </w:rPr>
        <w:t>个。境内流经的江河有松花江、呼兰河、泥河、漂河、少陵河等，</w:t>
      </w:r>
      <w:r w:rsidRPr="00F9522B">
        <w:rPr>
          <w:rFonts w:eastAsiaTheme="minorEastAsia"/>
          <w:snapToGrid w:val="0"/>
          <w:sz w:val="24"/>
          <w:szCs w:val="21"/>
        </w:rPr>
        <w:t>5</w:t>
      </w:r>
      <w:r w:rsidRPr="00F9522B">
        <w:rPr>
          <w:rFonts w:eastAsiaTheme="minorEastAsia"/>
          <w:snapToGrid w:val="0"/>
          <w:sz w:val="24"/>
          <w:szCs w:val="21"/>
        </w:rPr>
        <w:t>条江河的发源地均在境外，其中呼兰河、漂河、少陵河、泥河的河口在境内。除呼兰河外，均属界河。水系图见</w:t>
      </w:r>
      <w:r w:rsidRPr="00F9522B">
        <w:rPr>
          <w:rFonts w:eastAsiaTheme="minorEastAsia"/>
          <w:snapToGrid w:val="0"/>
          <w:sz w:val="24"/>
          <w:szCs w:val="21"/>
        </w:rPr>
        <w:t>4-1-</w:t>
      </w:r>
      <w:r w:rsidR="004C4D65" w:rsidRPr="00F9522B">
        <w:rPr>
          <w:rFonts w:eastAsiaTheme="minorEastAsia"/>
          <w:snapToGrid w:val="0"/>
          <w:sz w:val="24"/>
          <w:szCs w:val="21"/>
        </w:rPr>
        <w:t>2</w:t>
      </w:r>
      <w:r w:rsidRPr="00F9522B">
        <w:rPr>
          <w:rFonts w:eastAsiaTheme="minorEastAsia"/>
          <w:snapToGrid w:val="0"/>
          <w:sz w:val="24"/>
          <w:szCs w:val="21"/>
        </w:rPr>
        <w:t>。</w:t>
      </w:r>
    </w:p>
    <w:p w:rsidR="002A5A5E" w:rsidRPr="00F9522B" w:rsidRDefault="0003457C">
      <w:pPr>
        <w:spacing w:line="360" w:lineRule="auto"/>
        <w:ind w:firstLineChars="200" w:firstLine="480"/>
        <w:contextualSpacing/>
        <w:rPr>
          <w:rFonts w:eastAsiaTheme="minorEastAsia"/>
          <w:snapToGrid w:val="0"/>
          <w:sz w:val="24"/>
          <w:szCs w:val="21"/>
        </w:rPr>
      </w:pPr>
      <w:r w:rsidRPr="00F9522B">
        <w:rPr>
          <w:rFonts w:eastAsiaTheme="minorEastAsia"/>
          <w:snapToGrid w:val="0"/>
          <w:sz w:val="24"/>
          <w:szCs w:val="21"/>
        </w:rPr>
        <w:t>（</w:t>
      </w:r>
      <w:r w:rsidRPr="00F9522B">
        <w:rPr>
          <w:rFonts w:eastAsiaTheme="minorEastAsia"/>
          <w:snapToGrid w:val="0"/>
          <w:sz w:val="24"/>
          <w:szCs w:val="21"/>
        </w:rPr>
        <w:t>1</w:t>
      </w:r>
      <w:r w:rsidRPr="00F9522B">
        <w:rPr>
          <w:rFonts w:eastAsiaTheme="minorEastAsia"/>
          <w:snapToGrid w:val="0"/>
          <w:sz w:val="24"/>
          <w:szCs w:val="21"/>
        </w:rPr>
        <w:t>）</w:t>
      </w:r>
      <w:r w:rsidR="00611CBA" w:rsidRPr="00F9522B">
        <w:rPr>
          <w:rFonts w:eastAsiaTheme="minorEastAsia"/>
          <w:snapToGrid w:val="0"/>
          <w:sz w:val="24"/>
          <w:szCs w:val="21"/>
        </w:rPr>
        <w:t>松花江</w:t>
      </w:r>
    </w:p>
    <w:p w:rsidR="002A5A5E" w:rsidRPr="00F9522B" w:rsidRDefault="00611CBA" w:rsidP="0058132D">
      <w:pPr>
        <w:spacing w:line="360" w:lineRule="auto"/>
        <w:ind w:firstLineChars="200" w:firstLine="480"/>
        <w:contextualSpacing/>
        <w:rPr>
          <w:rFonts w:eastAsiaTheme="minorEastAsia"/>
          <w:snapToGrid w:val="0"/>
          <w:sz w:val="24"/>
          <w:szCs w:val="21"/>
        </w:rPr>
      </w:pPr>
      <w:r w:rsidRPr="00F9522B">
        <w:rPr>
          <w:rFonts w:eastAsiaTheme="minorEastAsia"/>
          <w:snapToGrid w:val="0"/>
          <w:sz w:val="24"/>
          <w:szCs w:val="21"/>
        </w:rPr>
        <w:t>松花江流域地处我国东北地区的北部，位于东经</w:t>
      </w:r>
      <w:r w:rsidRPr="00F9522B">
        <w:rPr>
          <w:rFonts w:eastAsiaTheme="minorEastAsia"/>
          <w:snapToGrid w:val="0"/>
          <w:sz w:val="24"/>
          <w:szCs w:val="21"/>
        </w:rPr>
        <w:t>119°52′</w:t>
      </w:r>
      <w:r w:rsidRPr="00F9522B">
        <w:rPr>
          <w:rFonts w:eastAsiaTheme="minorEastAsia"/>
          <w:snapToGrid w:val="0"/>
          <w:sz w:val="24"/>
          <w:szCs w:val="21"/>
        </w:rPr>
        <w:t>～</w:t>
      </w:r>
      <w:r w:rsidRPr="00F9522B">
        <w:rPr>
          <w:rFonts w:eastAsiaTheme="minorEastAsia"/>
          <w:snapToGrid w:val="0"/>
          <w:sz w:val="24"/>
          <w:szCs w:val="21"/>
        </w:rPr>
        <w:t>132°31′</w:t>
      </w:r>
      <w:r w:rsidRPr="00F9522B">
        <w:rPr>
          <w:rFonts w:eastAsiaTheme="minorEastAsia"/>
          <w:snapToGrid w:val="0"/>
          <w:sz w:val="24"/>
          <w:szCs w:val="21"/>
        </w:rPr>
        <w:t>、北纬</w:t>
      </w:r>
      <w:r w:rsidRPr="00F9522B">
        <w:rPr>
          <w:rFonts w:eastAsiaTheme="minorEastAsia"/>
          <w:snapToGrid w:val="0"/>
          <w:sz w:val="24"/>
          <w:szCs w:val="21"/>
        </w:rPr>
        <w:t>41°42′</w:t>
      </w:r>
      <w:r w:rsidRPr="00F9522B">
        <w:rPr>
          <w:rFonts w:eastAsiaTheme="minorEastAsia"/>
          <w:snapToGrid w:val="0"/>
          <w:sz w:val="24"/>
          <w:szCs w:val="21"/>
        </w:rPr>
        <w:t>～</w:t>
      </w:r>
      <w:r w:rsidRPr="00F9522B">
        <w:rPr>
          <w:rFonts w:eastAsiaTheme="minorEastAsia"/>
          <w:snapToGrid w:val="0"/>
          <w:sz w:val="24"/>
          <w:szCs w:val="21"/>
        </w:rPr>
        <w:t>51°38′</w:t>
      </w:r>
      <w:r w:rsidRPr="00F9522B">
        <w:rPr>
          <w:rFonts w:eastAsiaTheme="minorEastAsia"/>
          <w:snapToGrid w:val="0"/>
          <w:sz w:val="24"/>
          <w:szCs w:val="21"/>
        </w:rPr>
        <w:t>之间，东西宽</w:t>
      </w:r>
      <w:r w:rsidRPr="00F9522B">
        <w:rPr>
          <w:rFonts w:eastAsiaTheme="minorEastAsia"/>
          <w:snapToGrid w:val="0"/>
          <w:sz w:val="24"/>
          <w:szCs w:val="21"/>
        </w:rPr>
        <w:t>920km</w:t>
      </w:r>
      <w:r w:rsidRPr="00F9522B">
        <w:rPr>
          <w:rFonts w:eastAsiaTheme="minorEastAsia"/>
          <w:snapToGrid w:val="0"/>
          <w:sz w:val="24"/>
          <w:szCs w:val="21"/>
        </w:rPr>
        <w:t>，南北长</w:t>
      </w:r>
      <w:r w:rsidRPr="00F9522B">
        <w:rPr>
          <w:rFonts w:eastAsiaTheme="minorEastAsia"/>
          <w:snapToGrid w:val="0"/>
          <w:sz w:val="24"/>
          <w:szCs w:val="21"/>
        </w:rPr>
        <w:t>1070km</w:t>
      </w:r>
      <w:r w:rsidRPr="00F9522B">
        <w:rPr>
          <w:rFonts w:eastAsiaTheme="minorEastAsia"/>
          <w:snapToGrid w:val="0"/>
          <w:sz w:val="24"/>
          <w:szCs w:val="21"/>
        </w:rPr>
        <w:t>，流域总面积</w:t>
      </w:r>
      <w:r w:rsidRPr="00F9522B">
        <w:rPr>
          <w:rFonts w:eastAsiaTheme="minorEastAsia"/>
          <w:snapToGrid w:val="0"/>
          <w:sz w:val="24"/>
          <w:szCs w:val="21"/>
        </w:rPr>
        <w:t>56.12</w:t>
      </w:r>
      <w:r w:rsidRPr="00F9522B">
        <w:rPr>
          <w:rFonts w:eastAsiaTheme="minorEastAsia"/>
          <w:snapToGrid w:val="0"/>
          <w:sz w:val="24"/>
          <w:szCs w:val="21"/>
        </w:rPr>
        <w:t>万</w:t>
      </w:r>
      <w:r w:rsidRPr="00F9522B">
        <w:rPr>
          <w:rFonts w:eastAsiaTheme="minorEastAsia"/>
          <w:snapToGrid w:val="0"/>
          <w:sz w:val="24"/>
          <w:szCs w:val="21"/>
        </w:rPr>
        <w:t>km²</w:t>
      </w:r>
      <w:r w:rsidRPr="00F9522B">
        <w:rPr>
          <w:rFonts w:eastAsiaTheme="minorEastAsia"/>
          <w:snapToGrid w:val="0"/>
          <w:sz w:val="24"/>
          <w:szCs w:val="21"/>
        </w:rPr>
        <w:t>。松花江干流横跨松嫩平原和三江平原，是我国重要的工业基地和粮食生产基地，是水旱灾害频繁发生的地区。松花江流经县域南部，流经长度</w:t>
      </w:r>
      <w:r w:rsidRPr="00F9522B">
        <w:rPr>
          <w:rFonts w:eastAsiaTheme="minorEastAsia"/>
          <w:snapToGrid w:val="0"/>
          <w:sz w:val="24"/>
          <w:szCs w:val="21"/>
        </w:rPr>
        <w:t>42.0km</w:t>
      </w:r>
      <w:r w:rsidRPr="00F9522B">
        <w:rPr>
          <w:rFonts w:eastAsiaTheme="minorEastAsia"/>
          <w:snapToGrid w:val="0"/>
          <w:sz w:val="24"/>
          <w:szCs w:val="21"/>
        </w:rPr>
        <w:t>。</w:t>
      </w:r>
    </w:p>
    <w:p w:rsidR="002A5A5E" w:rsidRPr="00F9522B" w:rsidRDefault="0003457C">
      <w:pPr>
        <w:spacing w:line="360" w:lineRule="auto"/>
        <w:ind w:firstLineChars="200" w:firstLine="480"/>
        <w:contextualSpacing/>
        <w:rPr>
          <w:rFonts w:eastAsiaTheme="minorEastAsia"/>
          <w:snapToGrid w:val="0"/>
          <w:sz w:val="24"/>
          <w:szCs w:val="21"/>
        </w:rPr>
      </w:pPr>
      <w:r w:rsidRPr="00F9522B">
        <w:rPr>
          <w:rFonts w:eastAsiaTheme="minorEastAsia"/>
          <w:snapToGrid w:val="0"/>
          <w:sz w:val="24"/>
          <w:szCs w:val="21"/>
        </w:rPr>
        <w:t>（</w:t>
      </w:r>
      <w:r w:rsidRPr="00F9522B">
        <w:rPr>
          <w:rFonts w:eastAsiaTheme="minorEastAsia"/>
          <w:snapToGrid w:val="0"/>
          <w:sz w:val="24"/>
          <w:szCs w:val="21"/>
        </w:rPr>
        <w:t>2</w:t>
      </w:r>
      <w:r w:rsidRPr="00F9522B">
        <w:rPr>
          <w:rFonts w:eastAsiaTheme="minorEastAsia"/>
          <w:snapToGrid w:val="0"/>
          <w:sz w:val="24"/>
          <w:szCs w:val="21"/>
        </w:rPr>
        <w:t>）</w:t>
      </w:r>
      <w:r w:rsidR="00611CBA" w:rsidRPr="00F9522B">
        <w:rPr>
          <w:rFonts w:eastAsiaTheme="minorEastAsia"/>
          <w:snapToGrid w:val="0"/>
          <w:sz w:val="24"/>
          <w:szCs w:val="21"/>
        </w:rPr>
        <w:t>漂河</w:t>
      </w:r>
    </w:p>
    <w:p w:rsidR="002A5A5E" w:rsidRPr="00F9522B" w:rsidRDefault="00611CBA">
      <w:pPr>
        <w:spacing w:line="360" w:lineRule="auto"/>
        <w:ind w:firstLineChars="200" w:firstLine="480"/>
        <w:contextualSpacing/>
        <w:rPr>
          <w:rFonts w:eastAsiaTheme="minorEastAsia"/>
          <w:snapToGrid w:val="0"/>
          <w:sz w:val="24"/>
          <w:szCs w:val="21"/>
        </w:rPr>
      </w:pPr>
      <w:r w:rsidRPr="00F9522B">
        <w:rPr>
          <w:rFonts w:eastAsiaTheme="minorEastAsia"/>
          <w:snapToGrid w:val="0"/>
          <w:sz w:val="24"/>
          <w:szCs w:val="21"/>
        </w:rPr>
        <w:t>漂河干流最后汇入少陵河，上一级河流为少陵河，其下一级主要支流有三条，为孙学禹河、马家沟子河、拉拉河。</w:t>
      </w:r>
    </w:p>
    <w:p w:rsidR="002A5A5E" w:rsidRPr="00F9522B" w:rsidRDefault="00611CBA" w:rsidP="00C92D94">
      <w:pPr>
        <w:jc w:val="center"/>
        <w:rPr>
          <w:rFonts w:eastAsiaTheme="minorEastAsia"/>
        </w:rPr>
      </w:pPr>
      <w:r w:rsidRPr="00F9522B">
        <w:rPr>
          <w:rFonts w:eastAsiaTheme="minorEastAsia"/>
          <w:noProof/>
        </w:rPr>
        <w:drawing>
          <wp:anchor distT="0" distB="0" distL="114300" distR="114300" simplePos="0" relativeHeight="251758592" behindDoc="0" locked="0" layoutInCell="1" allowOverlap="1">
            <wp:simplePos x="0" y="0"/>
            <wp:positionH relativeFrom="column">
              <wp:posOffset>3733800</wp:posOffset>
            </wp:positionH>
            <wp:positionV relativeFrom="paragraph">
              <wp:posOffset>141605</wp:posOffset>
            </wp:positionV>
            <wp:extent cx="638175" cy="628650"/>
            <wp:effectExtent l="19050" t="0" r="9525" b="0"/>
            <wp:wrapNone/>
            <wp:docPr id="55"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37"/>
                    <pic:cNvPicPr>
                      <a:picLocks noChangeAspect="1" noChangeArrowheads="1"/>
                    </pic:cNvPicPr>
                  </pic:nvPicPr>
                  <pic:blipFill>
                    <a:blip r:embed="rId25"/>
                    <a:srcRect/>
                    <a:stretch>
                      <a:fillRect/>
                    </a:stretch>
                  </pic:blipFill>
                  <pic:spPr>
                    <a:xfrm>
                      <a:off x="0" y="0"/>
                      <a:ext cx="638175" cy="628650"/>
                    </a:xfrm>
                    <a:prstGeom prst="rect">
                      <a:avLst/>
                    </a:prstGeom>
                    <a:noFill/>
                    <a:ln w="9525">
                      <a:noFill/>
                      <a:miter lim="800000"/>
                      <a:headEnd/>
                      <a:tailEnd/>
                    </a:ln>
                  </pic:spPr>
                </pic:pic>
              </a:graphicData>
            </a:graphic>
          </wp:anchor>
        </w:drawing>
      </w:r>
      <w:r w:rsidRPr="00F9522B">
        <w:rPr>
          <w:rFonts w:eastAsiaTheme="minorEastAsia"/>
          <w:noProof/>
        </w:rPr>
        <w:drawing>
          <wp:inline distT="0" distB="0" distL="0" distR="0">
            <wp:extent cx="3622154" cy="4000500"/>
            <wp:effectExtent l="19050" t="0" r="0" b="0"/>
            <wp:docPr id="1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0"/>
                    <pic:cNvPicPr>
                      <a:picLocks noChangeAspect="1" noChangeArrowheads="1"/>
                    </pic:cNvPicPr>
                  </pic:nvPicPr>
                  <pic:blipFill>
                    <a:blip r:embed="rId51" cstate="print"/>
                    <a:srcRect/>
                    <a:stretch>
                      <a:fillRect/>
                    </a:stretch>
                  </pic:blipFill>
                  <pic:spPr>
                    <a:xfrm>
                      <a:off x="0" y="0"/>
                      <a:ext cx="3622154" cy="4000500"/>
                    </a:xfrm>
                    <a:prstGeom prst="rect">
                      <a:avLst/>
                    </a:prstGeom>
                    <a:noFill/>
                    <a:ln w="9525">
                      <a:noFill/>
                      <a:miter lim="800000"/>
                      <a:headEnd/>
                      <a:tailEnd/>
                    </a:ln>
                  </pic:spPr>
                </pic:pic>
              </a:graphicData>
            </a:graphic>
          </wp:inline>
        </w:drawing>
      </w:r>
    </w:p>
    <w:p w:rsidR="002A5A5E" w:rsidRPr="00F9522B" w:rsidRDefault="00611CBA">
      <w:pPr>
        <w:contextualSpacing/>
        <w:jc w:val="center"/>
        <w:rPr>
          <w:rFonts w:eastAsiaTheme="minorEastAsia"/>
          <w:b/>
          <w:kern w:val="0"/>
          <w:szCs w:val="21"/>
        </w:rPr>
      </w:pPr>
      <w:r w:rsidRPr="00F9522B">
        <w:rPr>
          <w:rFonts w:eastAsiaTheme="minorEastAsia"/>
          <w:b/>
          <w:kern w:val="0"/>
          <w:szCs w:val="21"/>
          <w:highlight w:val="yellow"/>
        </w:rPr>
        <w:t>图</w:t>
      </w:r>
      <w:r w:rsidRPr="00F9522B">
        <w:rPr>
          <w:rFonts w:eastAsiaTheme="minorEastAsia"/>
          <w:b/>
          <w:kern w:val="0"/>
          <w:szCs w:val="21"/>
          <w:highlight w:val="yellow"/>
        </w:rPr>
        <w:t xml:space="preserve">4-1-2 </w:t>
      </w:r>
      <w:r w:rsidRPr="00F9522B">
        <w:rPr>
          <w:rFonts w:eastAsiaTheme="minorEastAsia"/>
          <w:b/>
          <w:kern w:val="0"/>
          <w:szCs w:val="21"/>
          <w:highlight w:val="yellow"/>
        </w:rPr>
        <w:t>水系图</w:t>
      </w:r>
    </w:p>
    <w:p w:rsidR="002A5A5E" w:rsidRPr="00F9522B" w:rsidRDefault="00611CBA">
      <w:pPr>
        <w:autoSpaceDE w:val="0"/>
        <w:autoSpaceDN w:val="0"/>
        <w:spacing w:before="100" w:beforeAutospacing="1" w:after="100" w:afterAutospacing="1"/>
        <w:outlineLvl w:val="3"/>
        <w:rPr>
          <w:rFonts w:eastAsiaTheme="minorEastAsia"/>
          <w:b/>
          <w:bCs/>
          <w:sz w:val="24"/>
        </w:rPr>
      </w:pPr>
      <w:r w:rsidRPr="00F9522B">
        <w:rPr>
          <w:rFonts w:eastAsiaTheme="minorEastAsia"/>
          <w:b/>
          <w:bCs/>
          <w:sz w:val="24"/>
        </w:rPr>
        <w:lastRenderedPageBreak/>
        <w:t>4.1.4.2</w:t>
      </w:r>
      <w:r w:rsidRPr="00F9522B">
        <w:rPr>
          <w:rFonts w:eastAsiaTheme="minorEastAsia"/>
          <w:b/>
          <w:bCs/>
          <w:sz w:val="24"/>
        </w:rPr>
        <w:t>地下水资源</w:t>
      </w:r>
    </w:p>
    <w:p w:rsidR="002A5A5E" w:rsidRPr="00F9522B" w:rsidRDefault="00611CBA">
      <w:pPr>
        <w:spacing w:line="360" w:lineRule="auto"/>
        <w:ind w:firstLineChars="200" w:firstLine="480"/>
        <w:contextualSpacing/>
        <w:rPr>
          <w:rFonts w:eastAsiaTheme="minorEastAsia"/>
          <w:snapToGrid w:val="0"/>
          <w:sz w:val="24"/>
          <w:szCs w:val="21"/>
        </w:rPr>
      </w:pPr>
      <w:r w:rsidRPr="00F9522B">
        <w:rPr>
          <w:sz w:val="24"/>
        </w:rPr>
        <w:t>《</w:t>
      </w:r>
      <w:r w:rsidR="003A7922" w:rsidRPr="00F9522B">
        <w:rPr>
          <w:sz w:val="24"/>
        </w:rPr>
        <w:t>呼兰区</w:t>
      </w:r>
      <w:r w:rsidR="003A7922" w:rsidRPr="00F9522B">
        <w:rPr>
          <w:sz w:val="24"/>
        </w:rPr>
        <w:t>2026</w:t>
      </w:r>
      <w:r w:rsidR="003A7922" w:rsidRPr="00F9522B">
        <w:rPr>
          <w:sz w:val="24"/>
        </w:rPr>
        <w:t>年高标准农田建设项目</w:t>
      </w:r>
      <w:r w:rsidRPr="00F9522B">
        <w:rPr>
          <w:sz w:val="24"/>
        </w:rPr>
        <w:t>水资源论证报告书》已通过专家审查。项目范围呼兰区地下水可开采量为</w:t>
      </w:r>
      <w:r w:rsidRPr="00F9522B">
        <w:rPr>
          <w:sz w:val="24"/>
        </w:rPr>
        <w:t>22433×10</w:t>
      </w:r>
      <w:r w:rsidRPr="00F9522B">
        <w:rPr>
          <w:sz w:val="24"/>
          <w:vertAlign w:val="superscript"/>
        </w:rPr>
        <w:t>4</w:t>
      </w:r>
      <w:r w:rsidRPr="00F9522B">
        <w:rPr>
          <w:sz w:val="24"/>
        </w:rPr>
        <w:t>m</w:t>
      </w:r>
      <w:r w:rsidRPr="00F9522B">
        <w:rPr>
          <w:sz w:val="24"/>
          <w:vertAlign w:val="superscript"/>
        </w:rPr>
        <w:t>3</w:t>
      </w:r>
      <w:r w:rsidRPr="00F9522B">
        <w:rPr>
          <w:sz w:val="24"/>
        </w:rPr>
        <w:t>，现状年地下水用水量</w:t>
      </w:r>
      <w:r w:rsidRPr="00F9522B">
        <w:rPr>
          <w:rFonts w:eastAsiaTheme="minorEastAsia"/>
          <w:sz w:val="24"/>
        </w:rPr>
        <w:t>（含现状农民自打井取水）</w:t>
      </w:r>
      <w:r w:rsidRPr="00F9522B">
        <w:rPr>
          <w:sz w:val="24"/>
        </w:rPr>
        <w:t>8320×10</w:t>
      </w:r>
      <w:r w:rsidRPr="00F9522B">
        <w:rPr>
          <w:sz w:val="24"/>
          <w:vertAlign w:val="superscript"/>
        </w:rPr>
        <w:t>4</w:t>
      </w:r>
      <w:r w:rsidRPr="00F9522B">
        <w:rPr>
          <w:sz w:val="24"/>
        </w:rPr>
        <w:t>m</w:t>
      </w:r>
      <w:r w:rsidRPr="00F9522B">
        <w:rPr>
          <w:sz w:val="24"/>
          <w:vertAlign w:val="superscript"/>
        </w:rPr>
        <w:t>3</w:t>
      </w:r>
      <w:r w:rsidRPr="00F9522B">
        <w:rPr>
          <w:sz w:val="24"/>
        </w:rPr>
        <w:t>，开发利用程度为</w:t>
      </w:r>
      <w:r w:rsidRPr="00F9522B">
        <w:rPr>
          <w:sz w:val="24"/>
        </w:rPr>
        <w:t>37%</w:t>
      </w:r>
      <w:r w:rsidRPr="00F9522B">
        <w:rPr>
          <w:sz w:val="24"/>
        </w:rPr>
        <w:t>，地下水资源具备开发潜力</w:t>
      </w:r>
      <w:r w:rsidRPr="00F9522B">
        <w:rPr>
          <w:rFonts w:eastAsiaTheme="minorEastAsia"/>
          <w:snapToGrid w:val="0"/>
          <w:sz w:val="24"/>
          <w:szCs w:val="21"/>
        </w:rPr>
        <w:t>。</w:t>
      </w:r>
    </w:p>
    <w:p w:rsidR="002A5A5E" w:rsidRPr="00F9522B" w:rsidRDefault="00611CBA">
      <w:pPr>
        <w:pStyle w:val="2fa"/>
        <w:ind w:firstLine="480"/>
        <w:rPr>
          <w:rFonts w:ascii="Times New Roman" w:hAnsi="Times New Roman" w:cs="Times New Roman"/>
          <w:snapToGrid w:val="0"/>
        </w:rPr>
      </w:pPr>
      <w:r w:rsidRPr="00F9522B">
        <w:rPr>
          <w:rFonts w:ascii="Times New Roman" w:hAnsi="Times New Roman" w:cs="Times New Roman"/>
          <w:snapToGrid w:val="0"/>
        </w:rPr>
        <w:t>（</w:t>
      </w:r>
      <w:r w:rsidRPr="00F9522B">
        <w:rPr>
          <w:rFonts w:ascii="Times New Roman" w:hAnsi="Times New Roman" w:cs="Times New Roman"/>
          <w:snapToGrid w:val="0"/>
        </w:rPr>
        <w:t>1</w:t>
      </w:r>
      <w:r w:rsidRPr="00F9522B">
        <w:rPr>
          <w:rFonts w:ascii="Times New Roman" w:hAnsi="Times New Roman" w:cs="Times New Roman"/>
          <w:snapToGrid w:val="0"/>
        </w:rPr>
        <w:t>）地层岩性</w:t>
      </w:r>
    </w:p>
    <w:p w:rsidR="002A5A5E" w:rsidRPr="00F9522B" w:rsidRDefault="00611CBA">
      <w:pPr>
        <w:pStyle w:val="2fa"/>
        <w:ind w:firstLine="480"/>
        <w:rPr>
          <w:rFonts w:ascii="Times New Roman" w:hAnsi="Times New Roman" w:cs="Times New Roman"/>
          <w:snapToGrid w:val="0"/>
        </w:rPr>
      </w:pPr>
      <w:r w:rsidRPr="00F9522B">
        <w:rPr>
          <w:rFonts w:ascii="Times New Roman" w:hAnsi="Times New Roman" w:cs="Times New Roman"/>
          <w:snapToGrid w:val="0"/>
        </w:rPr>
        <w:t>呼兰区位于小兴安岭～松嫩地块的松嫩中断</w:t>
      </w:r>
      <w:r w:rsidRPr="00F9522B">
        <w:rPr>
          <w:rFonts w:ascii="Times New Roman" w:hAnsi="Times New Roman" w:cs="Times New Roman"/>
          <w:snapToGrid w:val="0"/>
        </w:rPr>
        <w:t>(</w:t>
      </w:r>
      <w:r w:rsidRPr="00F9522B">
        <w:rPr>
          <w:rFonts w:ascii="Times New Roman" w:hAnsi="Times New Roman" w:cs="Times New Roman"/>
          <w:snapToGrid w:val="0"/>
        </w:rPr>
        <w:t>拗</w:t>
      </w:r>
      <w:r w:rsidRPr="00F9522B">
        <w:rPr>
          <w:rFonts w:ascii="Times New Roman" w:hAnsi="Times New Roman" w:cs="Times New Roman"/>
          <w:snapToGrid w:val="0"/>
        </w:rPr>
        <w:t>)</w:t>
      </w:r>
      <w:r w:rsidRPr="00F9522B">
        <w:rPr>
          <w:rFonts w:ascii="Times New Roman" w:hAnsi="Times New Roman" w:cs="Times New Roman"/>
          <w:snapToGrid w:val="0"/>
        </w:rPr>
        <w:t>陷上，其次级构造单元属松嫩中断</w:t>
      </w:r>
      <w:r w:rsidRPr="00F9522B">
        <w:rPr>
          <w:rFonts w:ascii="Times New Roman" w:hAnsi="Times New Roman" w:cs="Times New Roman"/>
          <w:snapToGrid w:val="0"/>
        </w:rPr>
        <w:t>(</w:t>
      </w:r>
      <w:r w:rsidRPr="00F9522B">
        <w:rPr>
          <w:rFonts w:ascii="Times New Roman" w:hAnsi="Times New Roman" w:cs="Times New Roman"/>
          <w:snapToGrid w:val="0"/>
        </w:rPr>
        <w:t>拗</w:t>
      </w:r>
      <w:r w:rsidRPr="00F9522B">
        <w:rPr>
          <w:rFonts w:ascii="Times New Roman" w:hAnsi="Times New Roman" w:cs="Times New Roman"/>
          <w:snapToGrid w:val="0"/>
        </w:rPr>
        <w:t>)</w:t>
      </w:r>
      <w:r w:rsidRPr="00F9522B">
        <w:rPr>
          <w:rFonts w:ascii="Times New Roman" w:hAnsi="Times New Roman" w:cs="Times New Roman"/>
          <w:snapToGrid w:val="0"/>
        </w:rPr>
        <w:t>陷之东北隆起区。</w:t>
      </w:r>
    </w:p>
    <w:p w:rsidR="002A5A5E" w:rsidRPr="00F9522B" w:rsidRDefault="00611CBA">
      <w:pPr>
        <w:pStyle w:val="2fa"/>
        <w:ind w:firstLine="480"/>
        <w:rPr>
          <w:rFonts w:ascii="Times New Roman" w:hAnsi="Times New Roman" w:cs="Times New Roman"/>
          <w:snapToGrid w:val="0"/>
        </w:rPr>
      </w:pPr>
      <w:r w:rsidRPr="00F9522B">
        <w:rPr>
          <w:rFonts w:ascii="Times New Roman" w:hAnsi="Times New Roman" w:cs="Times New Roman"/>
          <w:snapToGrid w:val="0"/>
        </w:rPr>
        <w:t>呼兰区地质结构由基底和盖层两大部分组成，元古界一面坡群及同期花岗岩构成结晶基底，在区内未见出露，其上覆盖层自中生代开始沉降，沉积了巨厚的白垩纪陆相碎屑岩，新生代早期境内缓慢抬升，缺失第三系，进入第四纪后，沉积了第四纪地层。</w:t>
      </w:r>
    </w:p>
    <w:p w:rsidR="002A5A5E" w:rsidRPr="00F9522B" w:rsidRDefault="00611CBA">
      <w:pPr>
        <w:pStyle w:val="2fa"/>
        <w:ind w:firstLine="480"/>
        <w:rPr>
          <w:rFonts w:ascii="Times New Roman" w:hAnsi="Times New Roman" w:cs="Times New Roman"/>
          <w:snapToGrid w:val="0"/>
        </w:rPr>
      </w:pPr>
      <w:bookmarkStart w:id="106" w:name="_Toc497861170"/>
      <w:r w:rsidRPr="00F9522B">
        <w:rPr>
          <w:rFonts w:ascii="Times New Roman" w:hAnsi="Times New Roman" w:cs="Times New Roman"/>
          <w:snapToGrid w:val="0"/>
        </w:rPr>
        <w:t>（</w:t>
      </w:r>
      <w:r w:rsidRPr="00F9522B">
        <w:rPr>
          <w:rFonts w:ascii="Times New Roman" w:hAnsi="Times New Roman" w:cs="Times New Roman"/>
          <w:snapToGrid w:val="0"/>
        </w:rPr>
        <w:t>2</w:t>
      </w:r>
      <w:r w:rsidRPr="00F9522B">
        <w:rPr>
          <w:rFonts w:ascii="Times New Roman" w:hAnsi="Times New Roman" w:cs="Times New Roman"/>
          <w:snapToGrid w:val="0"/>
        </w:rPr>
        <w:t>）区域水文地质条件</w:t>
      </w:r>
    </w:p>
    <w:p w:rsidR="002A5A5E" w:rsidRPr="00F9522B" w:rsidRDefault="00611CBA">
      <w:pPr>
        <w:pStyle w:val="2fa"/>
        <w:ind w:firstLine="480"/>
        <w:rPr>
          <w:rFonts w:ascii="Times New Roman" w:hAnsi="Times New Roman" w:cs="Times New Roman"/>
          <w:snapToGrid w:val="0"/>
        </w:rPr>
      </w:pPr>
      <w:r w:rsidRPr="00F9522B">
        <w:rPr>
          <w:rFonts w:ascii="Times New Roman" w:hAnsi="Times New Roman" w:cs="Times New Roman"/>
          <w:snapToGrid w:val="0"/>
        </w:rPr>
        <w:t>地形地貌及地质条件控制了呼兰区的地下水赋存及运移规律。市区的北部及西部大面积的高平原普遍堆积了第四系更新统松散堆积物，下更新统和中更新统下荒山组砂、砂砾石层赋存有较丰富的松散岩类孔隙承压水。其下伏的晚白垩系以泥岩为主的碎屑岩为不含水或弱含水岩组，构成了稳定的隔水底板。北部堆积</w:t>
      </w:r>
      <w:r w:rsidRPr="00F9522B">
        <w:rPr>
          <w:rFonts w:ascii="Times New Roman" w:hAnsi="Times New Roman" w:cs="Times New Roman"/>
          <w:snapToGrid w:val="0"/>
        </w:rPr>
        <w:t xml:space="preserve"> 10-40m</w:t>
      </w:r>
      <w:r w:rsidRPr="00F9522B">
        <w:rPr>
          <w:rFonts w:ascii="Times New Roman" w:hAnsi="Times New Roman" w:cs="Times New Roman"/>
          <w:snapToGrid w:val="0"/>
        </w:rPr>
        <w:t>厚的第四系全新统及下更新统砂、砂砾石层蕴藏着较丰富的松散岩类孔隙潜水。其中第四系上更新统顾乡屯组砂砾石孔隙弱承压水富水性较丰富，为主要开采目的层，见图</w:t>
      </w:r>
      <w:r w:rsidRPr="00F9522B">
        <w:rPr>
          <w:rFonts w:ascii="Times New Roman" w:hAnsi="Times New Roman" w:cs="Times New Roman"/>
          <w:snapToGrid w:val="0"/>
        </w:rPr>
        <w:t>4-1-3</w:t>
      </w:r>
      <w:r w:rsidRPr="00F9522B">
        <w:rPr>
          <w:rFonts w:ascii="Times New Roman" w:hAnsi="Times New Roman" w:cs="Times New Roman"/>
          <w:snapToGrid w:val="0"/>
        </w:rPr>
        <w:t>。</w:t>
      </w:r>
    </w:p>
    <w:p w:rsidR="002A5A5E" w:rsidRPr="00F9522B" w:rsidRDefault="005273A1">
      <w:pPr>
        <w:pStyle w:val="2fa"/>
        <w:ind w:firstLine="480"/>
        <w:rPr>
          <w:rFonts w:ascii="Times New Roman" w:hAnsi="Times New Roman" w:cs="Times New Roman"/>
          <w:snapToGrid w:val="0"/>
        </w:rPr>
      </w:pPr>
      <w:r w:rsidRPr="00F9522B">
        <w:rPr>
          <w:rFonts w:ascii="Times New Roman" w:hAnsi="Times New Roman" w:cs="Times New Roman"/>
          <w:snapToGrid w:val="0"/>
        </w:rPr>
        <w:fldChar w:fldCharType="begin"/>
      </w:r>
      <w:r w:rsidR="00250C31" w:rsidRPr="00F9522B">
        <w:rPr>
          <w:rFonts w:ascii="Times New Roman" w:hAnsi="Times New Roman" w:cs="Times New Roman"/>
          <w:snapToGrid w:val="0"/>
        </w:rPr>
        <w:instrText xml:space="preserve"> = 1 \* GB3 </w:instrText>
      </w:r>
      <w:r w:rsidRPr="00F9522B">
        <w:rPr>
          <w:rFonts w:ascii="Times New Roman" w:hAnsi="Times New Roman" w:cs="Times New Roman"/>
          <w:snapToGrid w:val="0"/>
        </w:rPr>
        <w:fldChar w:fldCharType="separate"/>
      </w:r>
      <w:r w:rsidR="00250C31" w:rsidRPr="00F9522B">
        <w:rPr>
          <w:rFonts w:eastAsia="宋体" w:cs="宋体" w:hint="eastAsia"/>
          <w:noProof/>
          <w:snapToGrid w:val="0"/>
        </w:rPr>
        <w:t>①</w:t>
      </w:r>
      <w:r w:rsidRPr="00F9522B">
        <w:rPr>
          <w:rFonts w:ascii="Times New Roman" w:hAnsi="Times New Roman" w:cs="Times New Roman"/>
          <w:snapToGrid w:val="0"/>
        </w:rPr>
        <w:fldChar w:fldCharType="end"/>
      </w:r>
      <w:r w:rsidR="00611CBA" w:rsidRPr="00F9522B">
        <w:rPr>
          <w:rFonts w:ascii="Times New Roman" w:hAnsi="Times New Roman" w:cs="Times New Roman"/>
          <w:snapToGrid w:val="0"/>
        </w:rPr>
        <w:t>第四系全新统砂砾石孔隙水潜水</w:t>
      </w:r>
    </w:p>
    <w:p w:rsidR="002A5A5E" w:rsidRPr="00F9522B" w:rsidRDefault="00611CBA">
      <w:pPr>
        <w:pStyle w:val="2fa"/>
        <w:ind w:firstLine="480"/>
        <w:rPr>
          <w:rFonts w:ascii="Times New Roman" w:hAnsi="Times New Roman" w:cs="Times New Roman"/>
          <w:snapToGrid w:val="0"/>
        </w:rPr>
      </w:pPr>
      <w:r w:rsidRPr="00F9522B">
        <w:rPr>
          <w:rFonts w:ascii="Times New Roman" w:hAnsi="Times New Roman" w:cs="Times New Roman"/>
          <w:snapToGrid w:val="0"/>
        </w:rPr>
        <w:t>分布于松花江、呼兰河、泥河、漂河等河谷漫滩，含水层为中粗砂和砂砾石，含水层埋藏浅，上覆薄层粉质粘土或直接裸露地表，含水层厚度</w:t>
      </w:r>
      <w:r w:rsidRPr="00F9522B">
        <w:rPr>
          <w:rFonts w:ascii="Times New Roman" w:hAnsi="Times New Roman" w:cs="Times New Roman"/>
          <w:snapToGrid w:val="0"/>
        </w:rPr>
        <w:t>15</w:t>
      </w:r>
      <w:r w:rsidRPr="00F9522B">
        <w:rPr>
          <w:rFonts w:ascii="Times New Roman" w:hAnsi="Times New Roman" w:cs="Times New Roman"/>
          <w:snapToGrid w:val="0"/>
        </w:rPr>
        <w:t>～</w:t>
      </w:r>
      <w:r w:rsidRPr="00F9522B">
        <w:rPr>
          <w:rFonts w:ascii="Times New Roman" w:hAnsi="Times New Roman" w:cs="Times New Roman"/>
          <w:snapToGrid w:val="0"/>
        </w:rPr>
        <w:t>30m</w:t>
      </w:r>
      <w:r w:rsidRPr="00F9522B">
        <w:rPr>
          <w:rFonts w:ascii="Times New Roman" w:hAnsi="Times New Roman" w:cs="Times New Roman"/>
          <w:snapToGrid w:val="0"/>
        </w:rPr>
        <w:t>，局部可达</w:t>
      </w:r>
      <w:r w:rsidRPr="00F9522B">
        <w:rPr>
          <w:rFonts w:ascii="Times New Roman" w:hAnsi="Times New Roman" w:cs="Times New Roman"/>
          <w:snapToGrid w:val="0"/>
        </w:rPr>
        <w:t>40m</w:t>
      </w:r>
      <w:r w:rsidRPr="00F9522B">
        <w:rPr>
          <w:rFonts w:ascii="Times New Roman" w:hAnsi="Times New Roman" w:cs="Times New Roman"/>
          <w:snapToGrid w:val="0"/>
        </w:rPr>
        <w:t>，地下水位深度一般为</w:t>
      </w:r>
      <w:r w:rsidRPr="00F9522B">
        <w:rPr>
          <w:rFonts w:ascii="Times New Roman" w:hAnsi="Times New Roman" w:cs="Times New Roman"/>
          <w:snapToGrid w:val="0"/>
        </w:rPr>
        <w:t>1</w:t>
      </w:r>
      <w:r w:rsidRPr="00F9522B">
        <w:rPr>
          <w:rFonts w:ascii="Times New Roman" w:hAnsi="Times New Roman" w:cs="Times New Roman"/>
          <w:snapToGrid w:val="0"/>
        </w:rPr>
        <w:t>～</w:t>
      </w:r>
      <w:r w:rsidRPr="00F9522B">
        <w:rPr>
          <w:rFonts w:ascii="Times New Roman" w:hAnsi="Times New Roman" w:cs="Times New Roman"/>
          <w:snapToGrid w:val="0"/>
        </w:rPr>
        <w:t>5m</w:t>
      </w:r>
      <w:r w:rsidRPr="00F9522B">
        <w:rPr>
          <w:rFonts w:ascii="Times New Roman" w:hAnsi="Times New Roman" w:cs="Times New Roman"/>
          <w:snapToGrid w:val="0"/>
        </w:rPr>
        <w:t>，主要为大气降水补给、侧向径流补给及洪水入渗补给，排入松花江，含水层渗透性及富水性中等，渗透系数</w:t>
      </w:r>
      <w:r w:rsidRPr="00F9522B">
        <w:rPr>
          <w:rFonts w:ascii="Times New Roman" w:hAnsi="Times New Roman" w:cs="Times New Roman"/>
          <w:snapToGrid w:val="0"/>
        </w:rPr>
        <w:t>30</w:t>
      </w:r>
      <w:r w:rsidRPr="00F9522B">
        <w:rPr>
          <w:rFonts w:ascii="Times New Roman" w:hAnsi="Times New Roman" w:cs="Times New Roman"/>
          <w:snapToGrid w:val="0"/>
        </w:rPr>
        <w:t>～</w:t>
      </w:r>
      <w:r w:rsidRPr="00F9522B">
        <w:rPr>
          <w:rFonts w:ascii="Times New Roman" w:hAnsi="Times New Roman" w:cs="Times New Roman"/>
          <w:snapToGrid w:val="0"/>
        </w:rPr>
        <w:t>60m/d</w:t>
      </w:r>
      <w:r w:rsidRPr="00F9522B">
        <w:rPr>
          <w:rFonts w:ascii="Times New Roman" w:hAnsi="Times New Roman" w:cs="Times New Roman"/>
          <w:snapToGrid w:val="0"/>
        </w:rPr>
        <w:t>，单井出水量</w:t>
      </w:r>
      <w:r w:rsidRPr="00F9522B">
        <w:rPr>
          <w:rFonts w:ascii="Times New Roman" w:hAnsi="Times New Roman" w:cs="Times New Roman"/>
          <w:snapToGrid w:val="0"/>
        </w:rPr>
        <w:t>720</w:t>
      </w:r>
      <w:r w:rsidRPr="00F9522B">
        <w:rPr>
          <w:rFonts w:ascii="Times New Roman" w:hAnsi="Times New Roman" w:cs="Times New Roman"/>
          <w:snapToGrid w:val="0"/>
        </w:rPr>
        <w:t>～</w:t>
      </w:r>
      <w:r w:rsidRPr="00F9522B">
        <w:rPr>
          <w:rFonts w:ascii="Times New Roman" w:hAnsi="Times New Roman" w:cs="Times New Roman"/>
          <w:snapToGrid w:val="0"/>
        </w:rPr>
        <w:t>2000m</w:t>
      </w:r>
      <w:r w:rsidRPr="00F9522B">
        <w:rPr>
          <w:rFonts w:ascii="Times New Roman" w:hAnsi="Times New Roman" w:cs="Times New Roman"/>
          <w:snapToGrid w:val="0"/>
          <w:vertAlign w:val="superscript"/>
        </w:rPr>
        <w:t>3</w:t>
      </w:r>
      <w:r w:rsidRPr="00F9522B">
        <w:rPr>
          <w:rFonts w:ascii="Times New Roman" w:hAnsi="Times New Roman" w:cs="Times New Roman"/>
          <w:snapToGrid w:val="0"/>
        </w:rPr>
        <w:t>/d</w:t>
      </w:r>
      <w:r w:rsidRPr="00F9522B">
        <w:rPr>
          <w:rFonts w:ascii="Times New Roman" w:hAnsi="Times New Roman" w:cs="Times New Roman"/>
          <w:snapToGrid w:val="0"/>
        </w:rPr>
        <w:t>，支谷漫滩单井出水量</w:t>
      </w:r>
      <w:r w:rsidRPr="00F9522B">
        <w:rPr>
          <w:rFonts w:ascii="Times New Roman" w:hAnsi="Times New Roman" w:cs="Times New Roman"/>
          <w:snapToGrid w:val="0"/>
        </w:rPr>
        <w:t>100</w:t>
      </w:r>
      <w:r w:rsidRPr="00F9522B">
        <w:rPr>
          <w:rFonts w:ascii="Times New Roman" w:hAnsi="Times New Roman" w:cs="Times New Roman"/>
          <w:snapToGrid w:val="0"/>
        </w:rPr>
        <w:t>～</w:t>
      </w:r>
      <w:r w:rsidRPr="00F9522B">
        <w:rPr>
          <w:rFonts w:ascii="Times New Roman" w:hAnsi="Times New Roman" w:cs="Times New Roman"/>
          <w:snapToGrid w:val="0"/>
        </w:rPr>
        <w:t>500m</w:t>
      </w:r>
      <w:r w:rsidRPr="00F9522B">
        <w:rPr>
          <w:rFonts w:ascii="Times New Roman" w:hAnsi="Times New Roman" w:cs="Times New Roman"/>
          <w:snapToGrid w:val="0"/>
          <w:vertAlign w:val="superscript"/>
        </w:rPr>
        <w:t>3</w:t>
      </w:r>
      <w:r w:rsidRPr="00F9522B">
        <w:rPr>
          <w:rFonts w:ascii="Times New Roman" w:hAnsi="Times New Roman" w:cs="Times New Roman"/>
          <w:snapToGrid w:val="0"/>
        </w:rPr>
        <w:t>/d</w:t>
      </w:r>
      <w:r w:rsidRPr="00F9522B">
        <w:rPr>
          <w:rFonts w:ascii="Times New Roman" w:hAnsi="Times New Roman" w:cs="Times New Roman"/>
          <w:snapToGrid w:val="0"/>
        </w:rPr>
        <w:t>，地下水水化学类型为</w:t>
      </w:r>
      <w:r w:rsidRPr="00F9522B">
        <w:rPr>
          <w:rFonts w:ascii="Times New Roman" w:hAnsi="Times New Roman" w:cs="Times New Roman"/>
          <w:snapToGrid w:val="0"/>
        </w:rPr>
        <w:t>HCO</w:t>
      </w:r>
      <w:r w:rsidRPr="00F9522B">
        <w:rPr>
          <w:rFonts w:ascii="Times New Roman" w:hAnsi="Times New Roman" w:cs="Times New Roman"/>
          <w:snapToGrid w:val="0"/>
          <w:vertAlign w:val="subscript"/>
        </w:rPr>
        <w:t>3</w:t>
      </w:r>
      <w:r w:rsidRPr="00F9522B">
        <w:rPr>
          <w:rFonts w:ascii="Times New Roman" w:hAnsi="Times New Roman" w:cs="Times New Roman"/>
          <w:snapToGrid w:val="0"/>
          <w:vertAlign w:val="superscript"/>
        </w:rPr>
        <w:t>-</w:t>
      </w:r>
      <w:r w:rsidRPr="00F9522B">
        <w:rPr>
          <w:rFonts w:ascii="Times New Roman" w:hAnsi="Times New Roman" w:cs="Times New Roman"/>
          <w:snapToGrid w:val="0"/>
        </w:rPr>
        <w:t>-Ca</w:t>
      </w:r>
      <w:r w:rsidRPr="00F9522B">
        <w:rPr>
          <w:rFonts w:ascii="Times New Roman" w:hAnsi="Times New Roman" w:cs="Times New Roman"/>
          <w:snapToGrid w:val="0"/>
          <w:vertAlign w:val="superscript"/>
        </w:rPr>
        <w:t>2+</w:t>
      </w:r>
      <w:r w:rsidRPr="00F9522B">
        <w:rPr>
          <w:rFonts w:ascii="Times New Roman" w:hAnsi="Times New Roman" w:cs="Times New Roman"/>
          <w:snapToGrid w:val="0"/>
        </w:rPr>
        <w:t>型或</w:t>
      </w:r>
      <w:r w:rsidRPr="00F9522B">
        <w:rPr>
          <w:rFonts w:ascii="Times New Roman" w:hAnsi="Times New Roman" w:cs="Times New Roman"/>
          <w:snapToGrid w:val="0"/>
        </w:rPr>
        <w:t>HCO</w:t>
      </w:r>
      <w:r w:rsidRPr="00F9522B">
        <w:rPr>
          <w:rFonts w:ascii="Times New Roman" w:hAnsi="Times New Roman" w:cs="Times New Roman"/>
          <w:snapToGrid w:val="0"/>
          <w:vertAlign w:val="subscript"/>
        </w:rPr>
        <w:t>3</w:t>
      </w:r>
      <w:r w:rsidRPr="00F9522B">
        <w:rPr>
          <w:rFonts w:ascii="Times New Roman" w:hAnsi="Times New Roman" w:cs="Times New Roman"/>
          <w:snapToGrid w:val="0"/>
          <w:vertAlign w:val="superscript"/>
        </w:rPr>
        <w:t>-</w:t>
      </w:r>
      <w:r w:rsidRPr="00F9522B">
        <w:rPr>
          <w:rFonts w:ascii="Times New Roman" w:hAnsi="Times New Roman" w:cs="Times New Roman"/>
          <w:snapToGrid w:val="0"/>
        </w:rPr>
        <w:t>-Ca</w:t>
      </w:r>
      <w:r w:rsidRPr="00F9522B">
        <w:rPr>
          <w:rFonts w:ascii="Times New Roman" w:hAnsi="Times New Roman" w:cs="Times New Roman"/>
          <w:snapToGrid w:val="0"/>
          <w:vertAlign w:val="superscript"/>
        </w:rPr>
        <w:t>2+</w:t>
      </w:r>
      <w:r w:rsidRPr="00F9522B">
        <w:rPr>
          <w:rFonts w:ascii="Times New Roman" w:hAnsi="Times New Roman" w:cs="Times New Roman"/>
          <w:snapToGrid w:val="0"/>
        </w:rPr>
        <w:t>-Na</w:t>
      </w:r>
      <w:r w:rsidRPr="00F9522B">
        <w:rPr>
          <w:rFonts w:ascii="Times New Roman" w:hAnsi="Times New Roman" w:cs="Times New Roman"/>
          <w:snapToGrid w:val="0"/>
          <w:vertAlign w:val="superscript"/>
        </w:rPr>
        <w:t>+</w:t>
      </w:r>
      <w:r w:rsidRPr="00F9522B">
        <w:rPr>
          <w:rFonts w:ascii="Times New Roman" w:hAnsi="Times New Roman" w:cs="Times New Roman"/>
          <w:snapToGrid w:val="0"/>
        </w:rPr>
        <w:t>型，矿化度小于</w:t>
      </w:r>
      <w:r w:rsidRPr="00F9522B">
        <w:rPr>
          <w:rFonts w:ascii="Times New Roman" w:hAnsi="Times New Roman" w:cs="Times New Roman"/>
          <w:snapToGrid w:val="0"/>
        </w:rPr>
        <w:t>1g/L</w:t>
      </w:r>
      <w:r w:rsidRPr="00F9522B">
        <w:rPr>
          <w:rFonts w:ascii="Times New Roman" w:hAnsi="Times New Roman" w:cs="Times New Roman"/>
          <w:snapToGrid w:val="0"/>
        </w:rPr>
        <w:t>，水位年变化幅度</w:t>
      </w:r>
      <w:r w:rsidRPr="00F9522B">
        <w:rPr>
          <w:rFonts w:ascii="Times New Roman" w:hAnsi="Times New Roman" w:cs="Times New Roman"/>
          <w:snapToGrid w:val="0"/>
        </w:rPr>
        <w:t>0.6</w:t>
      </w:r>
      <w:r w:rsidRPr="00F9522B">
        <w:rPr>
          <w:rFonts w:ascii="Times New Roman" w:hAnsi="Times New Roman" w:cs="Times New Roman"/>
          <w:snapToGrid w:val="0"/>
        </w:rPr>
        <w:t>～</w:t>
      </w:r>
      <w:r w:rsidRPr="00F9522B">
        <w:rPr>
          <w:rFonts w:ascii="Times New Roman" w:hAnsi="Times New Roman" w:cs="Times New Roman"/>
          <w:snapToGrid w:val="0"/>
        </w:rPr>
        <w:t>2.5m</w:t>
      </w:r>
      <w:r w:rsidRPr="00F9522B">
        <w:rPr>
          <w:rFonts w:ascii="Times New Roman" w:hAnsi="Times New Roman" w:cs="Times New Roman"/>
          <w:snapToGrid w:val="0"/>
        </w:rPr>
        <w:t>。</w:t>
      </w:r>
    </w:p>
    <w:p w:rsidR="002A5A5E" w:rsidRPr="00F9522B" w:rsidRDefault="005273A1" w:rsidP="00611CBA">
      <w:pPr>
        <w:pStyle w:val="2fa"/>
        <w:ind w:firstLineChars="232" w:firstLine="557"/>
        <w:rPr>
          <w:rFonts w:ascii="Times New Roman" w:hAnsi="Times New Roman" w:cs="Times New Roman"/>
          <w:snapToGrid w:val="0"/>
        </w:rPr>
      </w:pPr>
      <w:r w:rsidRPr="00F9522B">
        <w:rPr>
          <w:rFonts w:ascii="Times New Roman" w:hAnsi="Times New Roman" w:cs="Times New Roman"/>
          <w:snapToGrid w:val="0"/>
        </w:rPr>
        <w:fldChar w:fldCharType="begin"/>
      </w:r>
      <w:r w:rsidR="00250C31" w:rsidRPr="00F9522B">
        <w:rPr>
          <w:rFonts w:ascii="Times New Roman" w:hAnsi="Times New Roman" w:cs="Times New Roman"/>
          <w:snapToGrid w:val="0"/>
        </w:rPr>
        <w:instrText xml:space="preserve"> = 2 \* GB3 </w:instrText>
      </w:r>
      <w:r w:rsidRPr="00F9522B">
        <w:rPr>
          <w:rFonts w:ascii="Times New Roman" w:hAnsi="Times New Roman" w:cs="Times New Roman"/>
          <w:snapToGrid w:val="0"/>
        </w:rPr>
        <w:fldChar w:fldCharType="separate"/>
      </w:r>
      <w:r w:rsidR="00250C31" w:rsidRPr="00F9522B">
        <w:rPr>
          <w:rFonts w:eastAsia="宋体" w:cs="宋体" w:hint="eastAsia"/>
          <w:noProof/>
          <w:snapToGrid w:val="0"/>
        </w:rPr>
        <w:t>②</w:t>
      </w:r>
      <w:r w:rsidRPr="00F9522B">
        <w:rPr>
          <w:rFonts w:ascii="Times New Roman" w:hAnsi="Times New Roman" w:cs="Times New Roman"/>
          <w:snapToGrid w:val="0"/>
        </w:rPr>
        <w:fldChar w:fldCharType="end"/>
      </w:r>
      <w:r w:rsidR="00611CBA" w:rsidRPr="00F9522B">
        <w:rPr>
          <w:rFonts w:ascii="Times New Roman" w:hAnsi="Times New Roman" w:cs="Times New Roman"/>
          <w:snapToGrid w:val="0"/>
        </w:rPr>
        <w:t>第四系上更新统顾乡屯组砂砾石孔隙弱承压水</w:t>
      </w:r>
    </w:p>
    <w:p w:rsidR="002A5A5E" w:rsidRPr="00F9522B" w:rsidRDefault="00611CBA" w:rsidP="00611CBA">
      <w:pPr>
        <w:pStyle w:val="2fa"/>
        <w:ind w:firstLineChars="232" w:firstLine="557"/>
        <w:rPr>
          <w:rFonts w:ascii="Times New Roman" w:hAnsi="Times New Roman" w:cs="Times New Roman"/>
          <w:snapToGrid w:val="0"/>
        </w:rPr>
      </w:pPr>
      <w:r w:rsidRPr="00F9522B">
        <w:rPr>
          <w:rFonts w:ascii="Times New Roman" w:hAnsi="Times New Roman" w:cs="Times New Roman"/>
          <w:snapToGrid w:val="0"/>
        </w:rPr>
        <w:t>项目区位于松花江呼兰河阶地，含水层为上更新统顾乡屯组砂砾石，其上</w:t>
      </w:r>
      <w:r w:rsidRPr="00F9522B">
        <w:rPr>
          <w:rFonts w:ascii="Times New Roman" w:hAnsi="Times New Roman" w:cs="Times New Roman"/>
          <w:snapToGrid w:val="0"/>
        </w:rPr>
        <w:lastRenderedPageBreak/>
        <w:t>覆</w:t>
      </w:r>
      <w:r w:rsidRPr="00F9522B">
        <w:rPr>
          <w:rFonts w:ascii="Times New Roman" w:hAnsi="Times New Roman" w:cs="Times New Roman"/>
          <w:snapToGrid w:val="0"/>
        </w:rPr>
        <w:t>5</w:t>
      </w:r>
      <w:r w:rsidRPr="00F9522B">
        <w:rPr>
          <w:rFonts w:ascii="Times New Roman" w:hAnsi="Times New Roman" w:cs="Times New Roman"/>
          <w:snapToGrid w:val="0"/>
        </w:rPr>
        <w:t>～</w:t>
      </w:r>
      <w:r w:rsidRPr="00F9522B">
        <w:rPr>
          <w:rFonts w:ascii="Times New Roman" w:hAnsi="Times New Roman" w:cs="Times New Roman"/>
          <w:snapToGrid w:val="0"/>
        </w:rPr>
        <w:t>20m</w:t>
      </w:r>
      <w:r w:rsidRPr="00F9522B">
        <w:rPr>
          <w:rFonts w:ascii="Times New Roman" w:hAnsi="Times New Roman" w:cs="Times New Roman"/>
          <w:snapToGrid w:val="0"/>
        </w:rPr>
        <w:t>的黄土状亚粘土，顶板埋深</w:t>
      </w:r>
      <w:r w:rsidRPr="00F9522B">
        <w:rPr>
          <w:rFonts w:ascii="Times New Roman" w:hAnsi="Times New Roman" w:cs="Times New Roman"/>
          <w:snapToGrid w:val="0"/>
        </w:rPr>
        <w:t>7</w:t>
      </w:r>
      <w:r w:rsidRPr="00F9522B">
        <w:rPr>
          <w:rFonts w:ascii="Times New Roman" w:hAnsi="Times New Roman" w:cs="Times New Roman"/>
          <w:snapToGrid w:val="0"/>
        </w:rPr>
        <w:t>～</w:t>
      </w:r>
      <w:r w:rsidRPr="00F9522B">
        <w:rPr>
          <w:rFonts w:ascii="Times New Roman" w:hAnsi="Times New Roman" w:cs="Times New Roman"/>
          <w:snapToGrid w:val="0"/>
        </w:rPr>
        <w:t>20m</w:t>
      </w:r>
      <w:r w:rsidRPr="00F9522B">
        <w:rPr>
          <w:rFonts w:ascii="Times New Roman" w:hAnsi="Times New Roman" w:cs="Times New Roman"/>
          <w:snapToGrid w:val="0"/>
        </w:rPr>
        <w:t>，局部达</w:t>
      </w:r>
      <w:r w:rsidRPr="00F9522B">
        <w:rPr>
          <w:rFonts w:ascii="Times New Roman" w:hAnsi="Times New Roman" w:cs="Times New Roman"/>
          <w:snapToGrid w:val="0"/>
        </w:rPr>
        <w:t>30m</w:t>
      </w:r>
      <w:r w:rsidRPr="00F9522B">
        <w:rPr>
          <w:rFonts w:ascii="Times New Roman" w:hAnsi="Times New Roman" w:cs="Times New Roman"/>
          <w:snapToGrid w:val="0"/>
        </w:rPr>
        <w:t>，含水层厚度</w:t>
      </w:r>
      <w:r w:rsidRPr="00F9522B">
        <w:rPr>
          <w:rFonts w:ascii="Times New Roman" w:hAnsi="Times New Roman" w:cs="Times New Roman"/>
          <w:snapToGrid w:val="0"/>
        </w:rPr>
        <w:t>20</w:t>
      </w:r>
      <w:r w:rsidRPr="00F9522B">
        <w:rPr>
          <w:rFonts w:ascii="Times New Roman" w:hAnsi="Times New Roman" w:cs="Times New Roman"/>
          <w:snapToGrid w:val="0"/>
        </w:rPr>
        <w:t>～</w:t>
      </w:r>
      <w:r w:rsidRPr="00F9522B">
        <w:rPr>
          <w:rFonts w:ascii="Times New Roman" w:hAnsi="Times New Roman" w:cs="Times New Roman"/>
          <w:snapToGrid w:val="0"/>
        </w:rPr>
        <w:t>35m</w:t>
      </w:r>
      <w:r w:rsidRPr="00F9522B">
        <w:rPr>
          <w:rFonts w:ascii="Times New Roman" w:hAnsi="Times New Roman" w:cs="Times New Roman"/>
          <w:snapToGrid w:val="0"/>
        </w:rPr>
        <w:t>，水位埋深</w:t>
      </w:r>
      <w:r w:rsidRPr="00F9522B">
        <w:rPr>
          <w:rFonts w:ascii="Times New Roman" w:hAnsi="Times New Roman" w:cs="Times New Roman"/>
          <w:snapToGrid w:val="0"/>
        </w:rPr>
        <w:t>5</w:t>
      </w:r>
      <w:r w:rsidRPr="00F9522B">
        <w:rPr>
          <w:rFonts w:ascii="Times New Roman" w:hAnsi="Times New Roman" w:cs="Times New Roman"/>
          <w:snapToGrid w:val="0"/>
        </w:rPr>
        <w:t>～</w:t>
      </w:r>
      <w:r w:rsidRPr="00F9522B">
        <w:rPr>
          <w:rFonts w:ascii="Times New Roman" w:hAnsi="Times New Roman" w:cs="Times New Roman"/>
          <w:snapToGrid w:val="0"/>
        </w:rPr>
        <w:t>15m</w:t>
      </w:r>
      <w:r w:rsidRPr="00F9522B">
        <w:rPr>
          <w:rFonts w:ascii="Times New Roman" w:hAnsi="Times New Roman" w:cs="Times New Roman"/>
          <w:snapToGrid w:val="0"/>
        </w:rPr>
        <w:t>，富水性中等，导水性强，渗透系数</w:t>
      </w:r>
      <w:r w:rsidRPr="00F9522B">
        <w:rPr>
          <w:rFonts w:ascii="Times New Roman" w:hAnsi="Times New Roman" w:cs="Times New Roman"/>
          <w:snapToGrid w:val="0"/>
        </w:rPr>
        <w:t>25m/d</w:t>
      </w:r>
      <w:r w:rsidRPr="00F9522B">
        <w:rPr>
          <w:rFonts w:ascii="Times New Roman" w:hAnsi="Times New Roman" w:cs="Times New Roman"/>
          <w:snapToGrid w:val="0"/>
        </w:rPr>
        <w:t>，水位年变化幅度</w:t>
      </w:r>
      <w:r w:rsidRPr="00F9522B">
        <w:rPr>
          <w:rFonts w:ascii="Times New Roman" w:hAnsi="Times New Roman" w:cs="Times New Roman"/>
          <w:snapToGrid w:val="0"/>
        </w:rPr>
        <w:t>3.0</w:t>
      </w:r>
      <w:r w:rsidRPr="00F9522B">
        <w:rPr>
          <w:rFonts w:ascii="Times New Roman" w:hAnsi="Times New Roman" w:cs="Times New Roman"/>
          <w:snapToGrid w:val="0"/>
        </w:rPr>
        <w:t>～</w:t>
      </w:r>
      <w:r w:rsidRPr="00F9522B">
        <w:rPr>
          <w:rFonts w:ascii="Times New Roman" w:hAnsi="Times New Roman" w:cs="Times New Roman"/>
          <w:snapToGrid w:val="0"/>
        </w:rPr>
        <w:t>4.0m</w:t>
      </w:r>
      <w:r w:rsidRPr="00F9522B">
        <w:rPr>
          <w:rFonts w:ascii="Times New Roman" w:hAnsi="Times New Roman" w:cs="Times New Roman"/>
          <w:snapToGrid w:val="0"/>
        </w:rPr>
        <w:t>，根据地下水检测结果，区域地下水总矿化度小于</w:t>
      </w:r>
      <w:r w:rsidRPr="00F9522B">
        <w:rPr>
          <w:rFonts w:ascii="Times New Roman" w:hAnsi="Times New Roman" w:cs="Times New Roman"/>
          <w:snapToGrid w:val="0"/>
        </w:rPr>
        <w:t>1.5g/L</w:t>
      </w:r>
      <w:r w:rsidRPr="00F9522B">
        <w:rPr>
          <w:rFonts w:ascii="Times New Roman" w:hAnsi="Times New Roman" w:cs="Times New Roman"/>
          <w:snapToGrid w:val="0"/>
        </w:rPr>
        <w:t>，</w:t>
      </w:r>
      <w:r w:rsidRPr="00F9522B">
        <w:rPr>
          <w:rFonts w:ascii="Times New Roman" w:hAnsi="Times New Roman" w:cs="Times New Roman"/>
          <w:snapToGrid w:val="0"/>
        </w:rPr>
        <w:t>pH</w:t>
      </w:r>
      <w:r w:rsidRPr="00F9522B">
        <w:rPr>
          <w:rFonts w:ascii="Times New Roman" w:hAnsi="Times New Roman" w:cs="Times New Roman"/>
          <w:snapToGrid w:val="0"/>
        </w:rPr>
        <w:t>值</w:t>
      </w:r>
      <w:r w:rsidRPr="00F9522B">
        <w:rPr>
          <w:rFonts w:ascii="Times New Roman" w:hAnsi="Times New Roman" w:cs="Times New Roman"/>
          <w:snapToGrid w:val="0"/>
        </w:rPr>
        <w:t>6.8</w:t>
      </w:r>
      <w:r w:rsidRPr="00F9522B">
        <w:rPr>
          <w:rFonts w:ascii="Times New Roman" w:hAnsi="Times New Roman" w:cs="Times New Roman"/>
          <w:snapToGrid w:val="0"/>
        </w:rPr>
        <w:t>～</w:t>
      </w:r>
      <w:r w:rsidRPr="00F9522B">
        <w:rPr>
          <w:rFonts w:ascii="Times New Roman" w:hAnsi="Times New Roman" w:cs="Times New Roman"/>
          <w:snapToGrid w:val="0"/>
        </w:rPr>
        <w:t>7.2</w:t>
      </w:r>
      <w:r w:rsidRPr="00F9522B">
        <w:rPr>
          <w:rFonts w:ascii="Times New Roman" w:hAnsi="Times New Roman" w:cs="Times New Roman"/>
          <w:snapToGrid w:val="0"/>
        </w:rPr>
        <w:t>，为</w:t>
      </w:r>
      <w:r w:rsidRPr="00F9522B">
        <w:rPr>
          <w:rFonts w:ascii="Times New Roman" w:hAnsi="Times New Roman" w:cs="Times New Roman"/>
          <w:snapToGrid w:val="0"/>
        </w:rPr>
        <w:t>HCO</w:t>
      </w:r>
      <w:r w:rsidRPr="00F9522B">
        <w:rPr>
          <w:rFonts w:ascii="Times New Roman" w:hAnsi="Times New Roman" w:cs="Times New Roman"/>
          <w:snapToGrid w:val="0"/>
          <w:vertAlign w:val="subscript"/>
        </w:rPr>
        <w:t>3</w:t>
      </w:r>
      <w:r w:rsidRPr="00F9522B">
        <w:rPr>
          <w:rFonts w:ascii="Times New Roman" w:hAnsi="Times New Roman" w:cs="Times New Roman"/>
          <w:snapToGrid w:val="0"/>
          <w:vertAlign w:val="superscript"/>
        </w:rPr>
        <w:t>-</w:t>
      </w:r>
      <w:r w:rsidRPr="00F9522B">
        <w:rPr>
          <w:rFonts w:ascii="Times New Roman" w:hAnsi="Times New Roman" w:cs="Times New Roman"/>
          <w:snapToGrid w:val="0"/>
        </w:rPr>
        <w:t>-Ca</w:t>
      </w:r>
      <w:r w:rsidRPr="00F9522B">
        <w:rPr>
          <w:rFonts w:ascii="Times New Roman" w:hAnsi="Times New Roman" w:cs="Times New Roman"/>
          <w:snapToGrid w:val="0"/>
          <w:vertAlign w:val="superscript"/>
        </w:rPr>
        <w:t>2+</w:t>
      </w:r>
      <w:r w:rsidRPr="00F9522B">
        <w:rPr>
          <w:rFonts w:ascii="Times New Roman" w:hAnsi="Times New Roman" w:cs="Times New Roman"/>
          <w:snapToGrid w:val="0"/>
        </w:rPr>
        <w:t>-Mg</w:t>
      </w:r>
      <w:r w:rsidRPr="00F9522B">
        <w:rPr>
          <w:rFonts w:ascii="Times New Roman" w:hAnsi="Times New Roman" w:cs="Times New Roman"/>
          <w:snapToGrid w:val="0"/>
          <w:vertAlign w:val="superscript"/>
        </w:rPr>
        <w:t>2+</w:t>
      </w:r>
      <w:r w:rsidRPr="00F9522B">
        <w:rPr>
          <w:rFonts w:ascii="Times New Roman" w:hAnsi="Times New Roman" w:cs="Times New Roman"/>
          <w:snapToGrid w:val="0"/>
        </w:rPr>
        <w:t>型水。地下水主要接受大气降水补给，同时接受侧向径流补给，通过漫滩泄入江河。</w:t>
      </w:r>
      <w:bookmarkEnd w:id="106"/>
    </w:p>
    <w:p w:rsidR="002A5A5E" w:rsidRPr="00F9522B" w:rsidRDefault="005273A1" w:rsidP="00611CBA">
      <w:pPr>
        <w:pStyle w:val="2fa"/>
        <w:ind w:firstLineChars="232" w:firstLine="557"/>
        <w:rPr>
          <w:rFonts w:ascii="Times New Roman" w:hAnsi="Times New Roman" w:cs="Times New Roman"/>
          <w:snapToGrid w:val="0"/>
        </w:rPr>
      </w:pPr>
      <w:r w:rsidRPr="00F9522B">
        <w:rPr>
          <w:rFonts w:ascii="Times New Roman" w:hAnsi="Times New Roman" w:cs="Times New Roman"/>
          <w:snapToGrid w:val="0"/>
        </w:rPr>
        <w:fldChar w:fldCharType="begin"/>
      </w:r>
      <w:r w:rsidR="00250C31" w:rsidRPr="00F9522B">
        <w:rPr>
          <w:rFonts w:ascii="Times New Roman" w:hAnsi="Times New Roman" w:cs="Times New Roman"/>
          <w:snapToGrid w:val="0"/>
        </w:rPr>
        <w:instrText xml:space="preserve"> = 3 \* GB3 </w:instrText>
      </w:r>
      <w:r w:rsidRPr="00F9522B">
        <w:rPr>
          <w:rFonts w:ascii="Times New Roman" w:hAnsi="Times New Roman" w:cs="Times New Roman"/>
          <w:snapToGrid w:val="0"/>
        </w:rPr>
        <w:fldChar w:fldCharType="separate"/>
      </w:r>
      <w:r w:rsidR="00250C31" w:rsidRPr="00F9522B">
        <w:rPr>
          <w:rFonts w:eastAsia="宋体" w:cs="宋体" w:hint="eastAsia"/>
          <w:noProof/>
          <w:snapToGrid w:val="0"/>
        </w:rPr>
        <w:t>③</w:t>
      </w:r>
      <w:r w:rsidRPr="00F9522B">
        <w:rPr>
          <w:rFonts w:ascii="Times New Roman" w:hAnsi="Times New Roman" w:cs="Times New Roman"/>
          <w:snapToGrid w:val="0"/>
        </w:rPr>
        <w:fldChar w:fldCharType="end"/>
      </w:r>
      <w:r w:rsidR="00611CBA" w:rsidRPr="00F9522B">
        <w:rPr>
          <w:rFonts w:ascii="Times New Roman" w:hAnsi="Times New Roman" w:cs="Times New Roman"/>
          <w:snapToGrid w:val="0"/>
        </w:rPr>
        <w:t>第四系中更新统荒山组砂砾石孔隙承压水</w:t>
      </w:r>
    </w:p>
    <w:p w:rsidR="002A5A5E" w:rsidRPr="00F9522B" w:rsidRDefault="00611CBA" w:rsidP="00611CBA">
      <w:pPr>
        <w:pStyle w:val="2fa"/>
        <w:ind w:firstLineChars="232" w:firstLine="557"/>
        <w:rPr>
          <w:rFonts w:ascii="Times New Roman" w:hAnsi="Times New Roman" w:cs="Times New Roman"/>
          <w:snapToGrid w:val="0"/>
        </w:rPr>
      </w:pPr>
      <w:r w:rsidRPr="00F9522B">
        <w:rPr>
          <w:rFonts w:ascii="Times New Roman" w:hAnsi="Times New Roman" w:cs="Times New Roman"/>
          <w:snapToGrid w:val="0"/>
        </w:rPr>
        <w:t>分布于高平原区，含水层为中更新统荒山组中粗砂、砂砾石层，上覆</w:t>
      </w:r>
      <w:r w:rsidRPr="00F9522B">
        <w:rPr>
          <w:rFonts w:ascii="Times New Roman" w:hAnsi="Times New Roman" w:cs="Times New Roman"/>
          <w:snapToGrid w:val="0"/>
        </w:rPr>
        <w:t>5</w:t>
      </w:r>
      <w:r w:rsidRPr="00F9522B">
        <w:rPr>
          <w:rFonts w:ascii="Times New Roman" w:hAnsi="Times New Roman" w:cs="Times New Roman"/>
          <w:snapToGrid w:val="0"/>
        </w:rPr>
        <w:t>～</w:t>
      </w:r>
      <w:r w:rsidRPr="00F9522B">
        <w:rPr>
          <w:rFonts w:ascii="Times New Roman" w:hAnsi="Times New Roman" w:cs="Times New Roman"/>
          <w:snapToGrid w:val="0"/>
        </w:rPr>
        <w:t>25m</w:t>
      </w:r>
      <w:r w:rsidRPr="00F9522B">
        <w:rPr>
          <w:rFonts w:ascii="Times New Roman" w:hAnsi="Times New Roman" w:cs="Times New Roman"/>
          <w:snapToGrid w:val="0"/>
        </w:rPr>
        <w:t>的黄土状粉质粘土和</w:t>
      </w:r>
      <w:r w:rsidRPr="00F9522B">
        <w:rPr>
          <w:rFonts w:ascii="Times New Roman" w:hAnsi="Times New Roman" w:cs="Times New Roman"/>
          <w:snapToGrid w:val="0"/>
        </w:rPr>
        <w:t>20</w:t>
      </w:r>
      <w:r w:rsidRPr="00F9522B">
        <w:rPr>
          <w:rFonts w:ascii="Times New Roman" w:hAnsi="Times New Roman" w:cs="Times New Roman"/>
          <w:snapToGrid w:val="0"/>
        </w:rPr>
        <w:t>～</w:t>
      </w:r>
      <w:r w:rsidRPr="00F9522B">
        <w:rPr>
          <w:rFonts w:ascii="Times New Roman" w:hAnsi="Times New Roman" w:cs="Times New Roman"/>
          <w:snapToGrid w:val="0"/>
        </w:rPr>
        <w:t>30m</w:t>
      </w:r>
      <w:r w:rsidRPr="00F9522B">
        <w:rPr>
          <w:rFonts w:ascii="Times New Roman" w:hAnsi="Times New Roman" w:cs="Times New Roman"/>
          <w:snapToGrid w:val="0"/>
        </w:rPr>
        <w:t>的粉质粘土，含水层顶板埋深</w:t>
      </w:r>
      <w:r w:rsidRPr="00F9522B">
        <w:rPr>
          <w:rFonts w:ascii="Times New Roman" w:hAnsi="Times New Roman" w:cs="Times New Roman"/>
          <w:snapToGrid w:val="0"/>
        </w:rPr>
        <w:t>20</w:t>
      </w:r>
      <w:r w:rsidRPr="00F9522B">
        <w:rPr>
          <w:rFonts w:ascii="Times New Roman" w:hAnsi="Times New Roman" w:cs="Times New Roman"/>
          <w:snapToGrid w:val="0"/>
        </w:rPr>
        <w:t>～</w:t>
      </w:r>
      <w:r w:rsidRPr="00F9522B">
        <w:rPr>
          <w:rFonts w:ascii="Times New Roman" w:hAnsi="Times New Roman" w:cs="Times New Roman"/>
          <w:snapToGrid w:val="0"/>
        </w:rPr>
        <w:t>50m</w:t>
      </w:r>
      <w:r w:rsidRPr="00F9522B">
        <w:rPr>
          <w:rFonts w:ascii="Times New Roman" w:hAnsi="Times New Roman" w:cs="Times New Roman"/>
          <w:snapToGrid w:val="0"/>
        </w:rPr>
        <w:t>，含水层厚度</w:t>
      </w:r>
      <w:r w:rsidRPr="00F9522B">
        <w:rPr>
          <w:rFonts w:ascii="Times New Roman" w:hAnsi="Times New Roman" w:cs="Times New Roman"/>
          <w:snapToGrid w:val="0"/>
        </w:rPr>
        <w:t>10</w:t>
      </w:r>
      <w:r w:rsidRPr="00F9522B">
        <w:rPr>
          <w:rFonts w:ascii="Times New Roman" w:hAnsi="Times New Roman" w:cs="Times New Roman"/>
          <w:snapToGrid w:val="0"/>
        </w:rPr>
        <w:t>～</w:t>
      </w:r>
      <w:r w:rsidRPr="00F9522B">
        <w:rPr>
          <w:rFonts w:ascii="Times New Roman" w:hAnsi="Times New Roman" w:cs="Times New Roman"/>
          <w:snapToGrid w:val="0"/>
        </w:rPr>
        <w:t>40m</w:t>
      </w:r>
      <w:r w:rsidRPr="00F9522B">
        <w:rPr>
          <w:rFonts w:ascii="Times New Roman" w:hAnsi="Times New Roman" w:cs="Times New Roman"/>
          <w:snapToGrid w:val="0"/>
        </w:rPr>
        <w:t>，水位深度</w:t>
      </w:r>
      <w:r w:rsidRPr="00F9522B">
        <w:rPr>
          <w:rFonts w:ascii="Times New Roman" w:hAnsi="Times New Roman" w:cs="Times New Roman"/>
          <w:snapToGrid w:val="0"/>
        </w:rPr>
        <w:t>15</w:t>
      </w:r>
      <w:r w:rsidRPr="00F9522B">
        <w:rPr>
          <w:rFonts w:ascii="Times New Roman" w:hAnsi="Times New Roman" w:cs="Times New Roman"/>
          <w:snapToGrid w:val="0"/>
        </w:rPr>
        <w:t>～</w:t>
      </w:r>
      <w:r w:rsidRPr="00F9522B">
        <w:rPr>
          <w:rFonts w:ascii="Times New Roman" w:hAnsi="Times New Roman" w:cs="Times New Roman"/>
          <w:snapToGrid w:val="0"/>
        </w:rPr>
        <w:t>40m</w:t>
      </w:r>
      <w:r w:rsidRPr="00F9522B">
        <w:rPr>
          <w:rFonts w:ascii="Times New Roman" w:hAnsi="Times New Roman" w:cs="Times New Roman"/>
          <w:snapToGrid w:val="0"/>
        </w:rPr>
        <w:t>，渗透系数为</w:t>
      </w:r>
      <w:r w:rsidRPr="00F9522B">
        <w:rPr>
          <w:rFonts w:ascii="Times New Roman" w:hAnsi="Times New Roman" w:cs="Times New Roman"/>
          <w:snapToGrid w:val="0"/>
        </w:rPr>
        <w:t>10</w:t>
      </w:r>
      <w:r w:rsidRPr="00F9522B">
        <w:rPr>
          <w:rFonts w:ascii="Times New Roman" w:hAnsi="Times New Roman" w:cs="Times New Roman"/>
          <w:snapToGrid w:val="0"/>
        </w:rPr>
        <w:t>～</w:t>
      </w:r>
      <w:r w:rsidRPr="00F9522B">
        <w:rPr>
          <w:rFonts w:ascii="Times New Roman" w:hAnsi="Times New Roman" w:cs="Times New Roman"/>
          <w:snapToGrid w:val="0"/>
        </w:rPr>
        <w:t>50 m/d</w:t>
      </w:r>
      <w:r w:rsidRPr="00F9522B">
        <w:rPr>
          <w:rFonts w:ascii="Times New Roman" w:hAnsi="Times New Roman" w:cs="Times New Roman"/>
          <w:snapToGrid w:val="0"/>
        </w:rPr>
        <w:t>，单井出水量</w:t>
      </w:r>
      <w:r w:rsidRPr="00F9522B">
        <w:rPr>
          <w:rFonts w:ascii="Times New Roman" w:hAnsi="Times New Roman" w:cs="Times New Roman"/>
          <w:snapToGrid w:val="0"/>
        </w:rPr>
        <w:t>100</w:t>
      </w:r>
      <w:r w:rsidRPr="00F9522B">
        <w:rPr>
          <w:rFonts w:ascii="Times New Roman" w:hAnsi="Times New Roman" w:cs="Times New Roman"/>
          <w:snapToGrid w:val="0"/>
        </w:rPr>
        <w:t>～</w:t>
      </w:r>
      <w:r w:rsidRPr="00F9522B">
        <w:rPr>
          <w:rFonts w:ascii="Times New Roman" w:hAnsi="Times New Roman" w:cs="Times New Roman"/>
          <w:snapToGrid w:val="0"/>
        </w:rPr>
        <w:t>500m</w:t>
      </w:r>
      <w:r w:rsidRPr="00F9522B">
        <w:rPr>
          <w:rFonts w:ascii="Times New Roman" w:hAnsi="Times New Roman" w:cs="Times New Roman"/>
          <w:snapToGrid w:val="0"/>
          <w:vertAlign w:val="superscript"/>
        </w:rPr>
        <w:t>3</w:t>
      </w:r>
      <w:r w:rsidRPr="00F9522B">
        <w:rPr>
          <w:rFonts w:ascii="Times New Roman" w:hAnsi="Times New Roman" w:cs="Times New Roman"/>
          <w:snapToGrid w:val="0"/>
        </w:rPr>
        <w:t>/d</w:t>
      </w:r>
      <w:r w:rsidRPr="00F9522B">
        <w:rPr>
          <w:rFonts w:ascii="Times New Roman" w:hAnsi="Times New Roman" w:cs="Times New Roman"/>
          <w:snapToGrid w:val="0"/>
        </w:rPr>
        <w:t>，水化学类型为</w:t>
      </w:r>
      <w:r w:rsidRPr="00F9522B">
        <w:rPr>
          <w:rFonts w:ascii="Times New Roman" w:hAnsi="Times New Roman" w:cs="Times New Roman"/>
          <w:snapToGrid w:val="0"/>
        </w:rPr>
        <w:t>HCO</w:t>
      </w:r>
      <w:r w:rsidRPr="00F9522B">
        <w:rPr>
          <w:rFonts w:ascii="Times New Roman" w:hAnsi="Times New Roman" w:cs="Times New Roman"/>
          <w:snapToGrid w:val="0"/>
          <w:vertAlign w:val="subscript"/>
        </w:rPr>
        <w:t>3</w:t>
      </w:r>
      <w:r w:rsidRPr="00F9522B">
        <w:rPr>
          <w:rFonts w:ascii="Times New Roman" w:hAnsi="Times New Roman" w:cs="Times New Roman"/>
          <w:snapToGrid w:val="0"/>
          <w:vertAlign w:val="superscript"/>
        </w:rPr>
        <w:t>-</w:t>
      </w:r>
      <w:r w:rsidRPr="00F9522B">
        <w:rPr>
          <w:rFonts w:ascii="Times New Roman" w:hAnsi="Times New Roman" w:cs="Times New Roman"/>
          <w:snapToGrid w:val="0"/>
        </w:rPr>
        <w:t>-Ca</w:t>
      </w:r>
      <w:r w:rsidRPr="00F9522B">
        <w:rPr>
          <w:rFonts w:ascii="Times New Roman" w:hAnsi="Times New Roman" w:cs="Times New Roman"/>
          <w:snapToGrid w:val="0"/>
          <w:vertAlign w:val="superscript"/>
        </w:rPr>
        <w:t>2+</w:t>
      </w:r>
      <w:r w:rsidRPr="00F9522B">
        <w:rPr>
          <w:rFonts w:ascii="Times New Roman" w:hAnsi="Times New Roman" w:cs="Times New Roman"/>
          <w:snapToGrid w:val="0"/>
        </w:rPr>
        <w:t>型，矿化度小于</w:t>
      </w:r>
      <w:r w:rsidRPr="00F9522B">
        <w:rPr>
          <w:rFonts w:ascii="Times New Roman" w:hAnsi="Times New Roman" w:cs="Times New Roman"/>
          <w:snapToGrid w:val="0"/>
        </w:rPr>
        <w:t>1g/L</w:t>
      </w:r>
      <w:r w:rsidRPr="00F9522B">
        <w:rPr>
          <w:rFonts w:ascii="Times New Roman" w:hAnsi="Times New Roman" w:cs="Times New Roman"/>
          <w:snapToGrid w:val="0"/>
        </w:rPr>
        <w:t>，补给来源主要为大气降水，排泄于阶地、漫滩入松花江。</w:t>
      </w:r>
    </w:p>
    <w:p w:rsidR="002A5A5E" w:rsidRPr="00F9522B" w:rsidRDefault="00611CBA">
      <w:pPr>
        <w:pStyle w:val="2fa"/>
        <w:ind w:firstLineChars="0" w:firstLine="0"/>
        <w:rPr>
          <w:rFonts w:ascii="Times New Roman" w:hAnsi="Times New Roman" w:cs="Times New Roman"/>
          <w:snapToGrid w:val="0"/>
        </w:rPr>
      </w:pPr>
      <w:r w:rsidRPr="00F9522B">
        <w:rPr>
          <w:rFonts w:ascii="Times New Roman" w:hAnsi="Times New Roman" w:cs="Times New Roman"/>
          <w:noProof/>
        </w:rPr>
        <w:drawing>
          <wp:anchor distT="0" distB="0" distL="114300" distR="114300" simplePos="0" relativeHeight="251759616" behindDoc="0" locked="0" layoutInCell="1" allowOverlap="1">
            <wp:simplePos x="0" y="0"/>
            <wp:positionH relativeFrom="column">
              <wp:posOffset>4552315</wp:posOffset>
            </wp:positionH>
            <wp:positionV relativeFrom="paragraph">
              <wp:posOffset>165100</wp:posOffset>
            </wp:positionV>
            <wp:extent cx="634365" cy="629285"/>
            <wp:effectExtent l="19050" t="0" r="0" b="0"/>
            <wp:wrapNone/>
            <wp:docPr id="56"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37"/>
                    <pic:cNvPicPr>
                      <a:picLocks noChangeAspect="1" noChangeArrowheads="1"/>
                    </pic:cNvPicPr>
                  </pic:nvPicPr>
                  <pic:blipFill>
                    <a:blip r:embed="rId25"/>
                    <a:srcRect/>
                    <a:stretch>
                      <a:fillRect/>
                    </a:stretch>
                  </pic:blipFill>
                  <pic:spPr>
                    <a:xfrm>
                      <a:off x="0" y="0"/>
                      <a:ext cx="634093" cy="629392"/>
                    </a:xfrm>
                    <a:prstGeom prst="rect">
                      <a:avLst/>
                    </a:prstGeom>
                    <a:noFill/>
                    <a:ln w="9525">
                      <a:noFill/>
                      <a:miter lim="800000"/>
                      <a:headEnd/>
                      <a:tailEnd/>
                    </a:ln>
                  </pic:spPr>
                </pic:pic>
              </a:graphicData>
            </a:graphic>
          </wp:anchor>
        </w:drawing>
      </w:r>
      <w:r w:rsidRPr="00F9522B">
        <w:rPr>
          <w:rFonts w:ascii="Times New Roman" w:hAnsi="Times New Roman" w:cs="Times New Roman"/>
          <w:noProof/>
        </w:rPr>
        <w:drawing>
          <wp:inline distT="0" distB="0" distL="0" distR="0">
            <wp:extent cx="5274310" cy="3769995"/>
            <wp:effectExtent l="19050" t="0" r="2540" b="0"/>
            <wp:docPr id="65"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31"/>
                    <pic:cNvPicPr>
                      <a:picLocks noChangeAspect="1" noChangeArrowheads="1"/>
                    </pic:cNvPicPr>
                  </pic:nvPicPr>
                  <pic:blipFill>
                    <a:blip r:embed="rId52"/>
                    <a:srcRect/>
                    <a:stretch>
                      <a:fillRect/>
                    </a:stretch>
                  </pic:blipFill>
                  <pic:spPr>
                    <a:xfrm>
                      <a:off x="0" y="0"/>
                      <a:ext cx="5274310" cy="3770413"/>
                    </a:xfrm>
                    <a:prstGeom prst="rect">
                      <a:avLst/>
                    </a:prstGeom>
                    <a:noFill/>
                    <a:ln w="9525">
                      <a:noFill/>
                      <a:miter lim="800000"/>
                      <a:headEnd/>
                      <a:tailEnd/>
                    </a:ln>
                  </pic:spPr>
                </pic:pic>
              </a:graphicData>
            </a:graphic>
          </wp:inline>
        </w:drawing>
      </w:r>
    </w:p>
    <w:p w:rsidR="002A5A5E" w:rsidRPr="00F9522B" w:rsidRDefault="00611CBA">
      <w:pPr>
        <w:contextualSpacing/>
        <w:jc w:val="center"/>
        <w:rPr>
          <w:rFonts w:eastAsiaTheme="minorEastAsia"/>
          <w:b/>
          <w:kern w:val="0"/>
          <w:szCs w:val="21"/>
        </w:rPr>
      </w:pPr>
      <w:r w:rsidRPr="00F9522B">
        <w:rPr>
          <w:rFonts w:eastAsiaTheme="minorEastAsia"/>
          <w:b/>
          <w:kern w:val="0"/>
          <w:szCs w:val="21"/>
        </w:rPr>
        <w:t>图</w:t>
      </w:r>
      <w:r w:rsidRPr="00F9522B">
        <w:rPr>
          <w:rFonts w:eastAsiaTheme="minorEastAsia"/>
          <w:b/>
          <w:kern w:val="0"/>
          <w:szCs w:val="21"/>
        </w:rPr>
        <w:t>4-1-3</w:t>
      </w:r>
      <w:r w:rsidRPr="00F9522B">
        <w:rPr>
          <w:rFonts w:eastAsiaTheme="minorEastAsia"/>
          <w:b/>
          <w:kern w:val="0"/>
          <w:szCs w:val="21"/>
        </w:rPr>
        <w:t>区域水文地质图</w:t>
      </w:r>
      <w:bookmarkStart w:id="107" w:name="_Toc497861171"/>
    </w:p>
    <w:bookmarkEnd w:id="107"/>
    <w:p w:rsidR="002A5A5E" w:rsidRPr="00F9522B" w:rsidRDefault="00611CBA">
      <w:pPr>
        <w:pStyle w:val="2fa"/>
        <w:ind w:firstLine="480"/>
        <w:rPr>
          <w:rFonts w:ascii="Times New Roman" w:hAnsi="Times New Roman" w:cs="Times New Roman"/>
          <w:snapToGrid w:val="0"/>
        </w:rPr>
      </w:pPr>
      <w:r w:rsidRPr="00F9522B">
        <w:rPr>
          <w:rFonts w:ascii="Times New Roman" w:hAnsi="Times New Roman" w:cs="Times New Roman"/>
          <w:snapToGrid w:val="0"/>
        </w:rPr>
        <w:t>（</w:t>
      </w:r>
      <w:r w:rsidRPr="00F9522B">
        <w:rPr>
          <w:rFonts w:ascii="Times New Roman" w:hAnsi="Times New Roman" w:cs="Times New Roman"/>
          <w:snapToGrid w:val="0"/>
        </w:rPr>
        <w:t>4</w:t>
      </w:r>
      <w:r w:rsidRPr="00F9522B">
        <w:rPr>
          <w:rFonts w:ascii="Times New Roman" w:hAnsi="Times New Roman" w:cs="Times New Roman"/>
          <w:snapToGrid w:val="0"/>
        </w:rPr>
        <w:t>）地下水的补给、径流与排泄条件</w:t>
      </w:r>
    </w:p>
    <w:p w:rsidR="002A5A5E" w:rsidRPr="00F9522B" w:rsidRDefault="00611CBA">
      <w:pPr>
        <w:pStyle w:val="2fa"/>
        <w:ind w:firstLine="480"/>
        <w:rPr>
          <w:rFonts w:ascii="Times New Roman" w:hAnsi="Times New Roman" w:cs="Times New Roman"/>
          <w:snapToGrid w:val="0"/>
        </w:rPr>
      </w:pPr>
      <w:r w:rsidRPr="00F9522B">
        <w:rPr>
          <w:rFonts w:ascii="Times New Roman" w:hAnsi="Times New Roman" w:cs="Times New Roman"/>
          <w:snapToGrid w:val="0"/>
        </w:rPr>
        <w:t>河谷漫滩区的砂</w:t>
      </w:r>
      <w:r w:rsidRPr="00F9522B">
        <w:rPr>
          <w:rFonts w:ascii="Times New Roman" w:hAnsi="Times New Roman" w:cs="Times New Roman"/>
          <w:snapToGrid w:val="0"/>
        </w:rPr>
        <w:t>-</w:t>
      </w:r>
      <w:r w:rsidRPr="00F9522B">
        <w:rPr>
          <w:rFonts w:ascii="Times New Roman" w:hAnsi="Times New Roman" w:cs="Times New Roman"/>
          <w:snapToGrid w:val="0"/>
        </w:rPr>
        <w:t>砂砾石、砾卵石含水层埋藏浅，粘性土覆盖层薄，局部砂或砂砾石裸露地表，易于接受降水和洪水期入渗补给；也可接受来自邻区的侧向径流补给；另外水田、鱼池和渠道等人工水体的入渗都是其补给来源。其排泄主</w:t>
      </w:r>
      <w:r w:rsidRPr="00F9522B">
        <w:rPr>
          <w:rFonts w:ascii="Times New Roman" w:hAnsi="Times New Roman" w:cs="Times New Roman"/>
          <w:snapToGrid w:val="0"/>
        </w:rPr>
        <w:lastRenderedPageBreak/>
        <w:t>要是人工开采、向江河的侧向径流排泄以及蒸发。</w:t>
      </w:r>
    </w:p>
    <w:p w:rsidR="002A5A5E" w:rsidRPr="00F9522B" w:rsidRDefault="00611CBA">
      <w:pPr>
        <w:pStyle w:val="2fa"/>
        <w:ind w:firstLine="480"/>
        <w:rPr>
          <w:rFonts w:ascii="Times New Roman" w:hAnsi="Times New Roman" w:cs="Times New Roman"/>
          <w:snapToGrid w:val="0"/>
        </w:rPr>
      </w:pPr>
      <w:r w:rsidRPr="00F9522B">
        <w:rPr>
          <w:rFonts w:ascii="Times New Roman" w:hAnsi="Times New Roman" w:cs="Times New Roman"/>
          <w:snapToGrid w:val="0"/>
        </w:rPr>
        <w:t>松花江呼兰河阶地区含砾中粗砂含水层，主要接受经过上覆黄土状粉质粘土的降水入渗和高平原的侧向径流补给，并向河谷漫滩区地下水渗透径流。天然条件下主要为侧向径流排泄，人工开采也是主要排泄通道。</w:t>
      </w:r>
    </w:p>
    <w:p w:rsidR="002A5A5E" w:rsidRPr="00F9522B" w:rsidRDefault="00611CBA">
      <w:pPr>
        <w:pStyle w:val="2fa"/>
        <w:ind w:firstLine="480"/>
        <w:rPr>
          <w:rFonts w:ascii="Times New Roman" w:hAnsi="Times New Roman" w:cs="Times New Roman"/>
          <w:snapToGrid w:val="0"/>
        </w:rPr>
      </w:pPr>
      <w:r w:rsidRPr="00F9522B">
        <w:rPr>
          <w:rFonts w:ascii="Times New Roman" w:hAnsi="Times New Roman" w:cs="Times New Roman"/>
          <w:snapToGrid w:val="0"/>
        </w:rPr>
        <w:t>高平原区含水层的侧向径流补给为地下水主要补给来源，另外黄土状土中存在有大孔隙垂直节理，赋存上层滞水或潜水，并可能在静水压力作用下补给下部砂砾石层孔隙弱承压水。该区地下水渗透径流条件较好，径流方向一般都是由南向北，多以人工开采的形式排泄或经一级阶地向漫滩区排泄。</w:t>
      </w:r>
    </w:p>
    <w:p w:rsidR="002A5A5E" w:rsidRPr="00F9522B" w:rsidRDefault="00611CBA">
      <w:pPr>
        <w:pStyle w:val="2fa"/>
        <w:ind w:firstLine="480"/>
        <w:rPr>
          <w:rFonts w:ascii="Times New Roman" w:hAnsi="Times New Roman" w:cs="Times New Roman"/>
          <w:snapToGrid w:val="0"/>
        </w:rPr>
      </w:pPr>
      <w:r w:rsidRPr="00F9522B">
        <w:rPr>
          <w:rFonts w:ascii="Times New Roman" w:hAnsi="Times New Roman" w:cs="Times New Roman"/>
          <w:snapToGrid w:val="0"/>
        </w:rPr>
        <w:t>本区地下水动态类型包括降水渗入</w:t>
      </w:r>
      <w:r w:rsidRPr="00F9522B">
        <w:rPr>
          <w:rFonts w:ascii="Times New Roman" w:hAnsi="Times New Roman" w:cs="Times New Roman"/>
          <w:snapToGrid w:val="0"/>
        </w:rPr>
        <w:t>-</w:t>
      </w:r>
      <w:r w:rsidRPr="00F9522B">
        <w:rPr>
          <w:rFonts w:ascii="Times New Roman" w:hAnsi="Times New Roman" w:cs="Times New Roman"/>
          <w:snapToGrid w:val="0"/>
        </w:rPr>
        <w:t>径流型和降水渗入</w:t>
      </w:r>
      <w:r w:rsidRPr="00F9522B">
        <w:rPr>
          <w:rFonts w:ascii="Times New Roman" w:hAnsi="Times New Roman" w:cs="Times New Roman"/>
          <w:snapToGrid w:val="0"/>
        </w:rPr>
        <w:t>-</w:t>
      </w:r>
      <w:r w:rsidRPr="00F9522B">
        <w:rPr>
          <w:rFonts w:ascii="Times New Roman" w:hAnsi="Times New Roman" w:cs="Times New Roman"/>
          <w:snapToGrid w:val="0"/>
        </w:rPr>
        <w:t>开采型。地下水源论证区含水层上部普遍有一层粉质粘土覆盖，地下水主要接受大气降水补给，同时接受侧向径流补给，通过漫滩泄入江河。大部分区域小于极限蒸发深度，加之包气带地层颗粒较细，毛细上升高度较大，故地下水排泄方式以蒸发为主，其次为地下水侧向径流排泄以及人工开采。</w:t>
      </w:r>
    </w:p>
    <w:p w:rsidR="002A5A5E" w:rsidRPr="00F9522B" w:rsidRDefault="00611CBA">
      <w:pPr>
        <w:pStyle w:val="2fa"/>
        <w:ind w:firstLine="480"/>
        <w:rPr>
          <w:rFonts w:ascii="Times New Roman" w:hAnsi="Times New Roman" w:cs="Times New Roman"/>
          <w:snapToGrid w:val="0"/>
        </w:rPr>
      </w:pPr>
      <w:r w:rsidRPr="00F9522B">
        <w:rPr>
          <w:rFonts w:ascii="Times New Roman" w:hAnsi="Times New Roman" w:cs="Times New Roman"/>
          <w:snapToGrid w:val="0"/>
        </w:rPr>
        <w:t>项目区位于松花江呼兰河阶地，含水层为上更新统顾乡屯组砂砾石，其上覆</w:t>
      </w:r>
      <w:r w:rsidRPr="00F9522B">
        <w:rPr>
          <w:rFonts w:ascii="Times New Roman" w:hAnsi="Times New Roman" w:cs="Times New Roman"/>
          <w:snapToGrid w:val="0"/>
        </w:rPr>
        <w:t>5</w:t>
      </w:r>
      <w:r w:rsidRPr="00F9522B">
        <w:rPr>
          <w:rFonts w:ascii="Times New Roman" w:hAnsi="Times New Roman" w:cs="Times New Roman"/>
          <w:snapToGrid w:val="0"/>
        </w:rPr>
        <w:t>～</w:t>
      </w:r>
      <w:r w:rsidRPr="00F9522B">
        <w:rPr>
          <w:rFonts w:ascii="Times New Roman" w:hAnsi="Times New Roman" w:cs="Times New Roman"/>
          <w:snapToGrid w:val="0"/>
        </w:rPr>
        <w:t>20m</w:t>
      </w:r>
      <w:r w:rsidRPr="00F9522B">
        <w:rPr>
          <w:rFonts w:ascii="Times New Roman" w:hAnsi="Times New Roman" w:cs="Times New Roman"/>
          <w:snapToGrid w:val="0"/>
        </w:rPr>
        <w:t>的黄土状亚粘土，顶板埋深</w:t>
      </w:r>
      <w:r w:rsidRPr="00F9522B">
        <w:rPr>
          <w:rFonts w:ascii="Times New Roman" w:hAnsi="Times New Roman" w:cs="Times New Roman"/>
          <w:snapToGrid w:val="0"/>
        </w:rPr>
        <w:t>7</w:t>
      </w:r>
      <w:r w:rsidRPr="00F9522B">
        <w:rPr>
          <w:rFonts w:ascii="Times New Roman" w:hAnsi="Times New Roman" w:cs="Times New Roman"/>
          <w:snapToGrid w:val="0"/>
        </w:rPr>
        <w:t>～</w:t>
      </w:r>
      <w:r w:rsidRPr="00F9522B">
        <w:rPr>
          <w:rFonts w:ascii="Times New Roman" w:hAnsi="Times New Roman" w:cs="Times New Roman"/>
          <w:snapToGrid w:val="0"/>
        </w:rPr>
        <w:t>20m</w:t>
      </w:r>
      <w:r w:rsidRPr="00F9522B">
        <w:rPr>
          <w:rFonts w:ascii="Times New Roman" w:hAnsi="Times New Roman" w:cs="Times New Roman"/>
          <w:snapToGrid w:val="0"/>
        </w:rPr>
        <w:t>，局部达</w:t>
      </w:r>
      <w:r w:rsidRPr="00F9522B">
        <w:rPr>
          <w:rFonts w:ascii="Times New Roman" w:hAnsi="Times New Roman" w:cs="Times New Roman"/>
          <w:snapToGrid w:val="0"/>
        </w:rPr>
        <w:t>30m</w:t>
      </w:r>
      <w:r w:rsidRPr="00F9522B">
        <w:rPr>
          <w:rFonts w:ascii="Times New Roman" w:hAnsi="Times New Roman" w:cs="Times New Roman"/>
          <w:snapToGrid w:val="0"/>
        </w:rPr>
        <w:t>，含水层厚度</w:t>
      </w:r>
      <w:r w:rsidRPr="00F9522B">
        <w:rPr>
          <w:rFonts w:ascii="Times New Roman" w:hAnsi="Times New Roman" w:cs="Times New Roman"/>
          <w:snapToGrid w:val="0"/>
        </w:rPr>
        <w:t>20</w:t>
      </w:r>
      <w:r w:rsidRPr="00F9522B">
        <w:rPr>
          <w:rFonts w:ascii="Times New Roman" w:hAnsi="Times New Roman" w:cs="Times New Roman"/>
          <w:snapToGrid w:val="0"/>
        </w:rPr>
        <w:t>～</w:t>
      </w:r>
      <w:r w:rsidRPr="00F9522B">
        <w:rPr>
          <w:rFonts w:ascii="Times New Roman" w:hAnsi="Times New Roman" w:cs="Times New Roman"/>
          <w:snapToGrid w:val="0"/>
        </w:rPr>
        <w:t>35m</w:t>
      </w:r>
      <w:r w:rsidRPr="00F9522B">
        <w:rPr>
          <w:rFonts w:ascii="Times New Roman" w:hAnsi="Times New Roman" w:cs="Times New Roman"/>
          <w:snapToGrid w:val="0"/>
        </w:rPr>
        <w:t>，水位埋深</w:t>
      </w:r>
      <w:r w:rsidRPr="00F9522B">
        <w:rPr>
          <w:rFonts w:ascii="Times New Roman" w:hAnsi="Times New Roman" w:cs="Times New Roman"/>
          <w:snapToGrid w:val="0"/>
        </w:rPr>
        <w:t>5</w:t>
      </w:r>
      <w:r w:rsidRPr="00F9522B">
        <w:rPr>
          <w:rFonts w:ascii="Times New Roman" w:hAnsi="Times New Roman" w:cs="Times New Roman"/>
          <w:snapToGrid w:val="0"/>
        </w:rPr>
        <w:t>～</w:t>
      </w:r>
      <w:r w:rsidRPr="00F9522B">
        <w:rPr>
          <w:rFonts w:ascii="Times New Roman" w:hAnsi="Times New Roman" w:cs="Times New Roman"/>
          <w:snapToGrid w:val="0"/>
        </w:rPr>
        <w:t>15m</w:t>
      </w:r>
      <w:r w:rsidRPr="00F9522B">
        <w:rPr>
          <w:rFonts w:ascii="Times New Roman" w:hAnsi="Times New Roman" w:cs="Times New Roman"/>
          <w:snapToGrid w:val="0"/>
        </w:rPr>
        <w:t>，富水性中等，导水性强，渗透系数</w:t>
      </w:r>
      <w:r w:rsidRPr="00F9522B">
        <w:rPr>
          <w:rFonts w:ascii="Times New Roman" w:hAnsi="Times New Roman" w:cs="Times New Roman"/>
          <w:snapToGrid w:val="0"/>
        </w:rPr>
        <w:t>25m/d</w:t>
      </w:r>
      <w:r w:rsidRPr="00F9522B">
        <w:rPr>
          <w:rFonts w:ascii="Times New Roman" w:hAnsi="Times New Roman" w:cs="Times New Roman"/>
          <w:snapToGrid w:val="0"/>
        </w:rPr>
        <w:t>，水位年变化幅度</w:t>
      </w:r>
      <w:r w:rsidRPr="00F9522B">
        <w:rPr>
          <w:rFonts w:ascii="Times New Roman" w:hAnsi="Times New Roman" w:cs="Times New Roman"/>
          <w:snapToGrid w:val="0"/>
        </w:rPr>
        <w:t>3.0</w:t>
      </w:r>
      <w:r w:rsidRPr="00F9522B">
        <w:rPr>
          <w:rFonts w:ascii="Times New Roman" w:hAnsi="Times New Roman" w:cs="Times New Roman"/>
          <w:snapToGrid w:val="0"/>
        </w:rPr>
        <w:t>～</w:t>
      </w:r>
      <w:r w:rsidRPr="00F9522B">
        <w:rPr>
          <w:rFonts w:ascii="Times New Roman" w:hAnsi="Times New Roman" w:cs="Times New Roman"/>
          <w:snapToGrid w:val="0"/>
        </w:rPr>
        <w:t>4.0m</w:t>
      </w:r>
      <w:r w:rsidRPr="00F9522B">
        <w:rPr>
          <w:rFonts w:ascii="Times New Roman" w:hAnsi="Times New Roman" w:cs="Times New Roman"/>
          <w:snapToGrid w:val="0"/>
        </w:rPr>
        <w:t>，根据地下水检测结果，区域地下水总矿化度小于</w:t>
      </w:r>
      <w:r w:rsidRPr="00F9522B">
        <w:rPr>
          <w:rFonts w:ascii="Times New Roman" w:hAnsi="Times New Roman" w:cs="Times New Roman"/>
          <w:snapToGrid w:val="0"/>
        </w:rPr>
        <w:t>1.5g/L</w:t>
      </w:r>
      <w:r w:rsidRPr="00F9522B">
        <w:rPr>
          <w:rFonts w:ascii="Times New Roman" w:hAnsi="Times New Roman" w:cs="Times New Roman"/>
          <w:snapToGrid w:val="0"/>
        </w:rPr>
        <w:t>，</w:t>
      </w:r>
      <w:r w:rsidRPr="00F9522B">
        <w:rPr>
          <w:rFonts w:ascii="Times New Roman" w:hAnsi="Times New Roman" w:cs="Times New Roman"/>
          <w:snapToGrid w:val="0"/>
        </w:rPr>
        <w:t>pH</w:t>
      </w:r>
      <w:r w:rsidRPr="00F9522B">
        <w:rPr>
          <w:rFonts w:ascii="Times New Roman" w:hAnsi="Times New Roman" w:cs="Times New Roman"/>
          <w:snapToGrid w:val="0"/>
        </w:rPr>
        <w:t>值</w:t>
      </w:r>
      <w:r w:rsidR="005D4635" w:rsidRPr="00F9522B">
        <w:rPr>
          <w:rFonts w:ascii="Times New Roman" w:hAnsi="Times New Roman" w:cs="Times New Roman"/>
          <w:snapToGrid w:val="0"/>
        </w:rPr>
        <w:t>7.1</w:t>
      </w:r>
      <w:r w:rsidRPr="00F9522B">
        <w:rPr>
          <w:rFonts w:ascii="Times New Roman" w:hAnsi="Times New Roman" w:cs="Times New Roman"/>
          <w:snapToGrid w:val="0"/>
        </w:rPr>
        <w:t>～</w:t>
      </w:r>
      <w:r w:rsidR="005D4635" w:rsidRPr="00F9522B">
        <w:rPr>
          <w:rFonts w:ascii="Times New Roman" w:hAnsi="Times New Roman" w:cs="Times New Roman"/>
          <w:snapToGrid w:val="0"/>
        </w:rPr>
        <w:t>7.6</w:t>
      </w:r>
      <w:r w:rsidRPr="00F9522B">
        <w:rPr>
          <w:rFonts w:ascii="Times New Roman" w:hAnsi="Times New Roman" w:cs="Times New Roman"/>
          <w:snapToGrid w:val="0"/>
        </w:rPr>
        <w:t>，为</w:t>
      </w:r>
      <w:r w:rsidRPr="00F9522B">
        <w:rPr>
          <w:rFonts w:ascii="Times New Roman" w:hAnsi="Times New Roman" w:cs="Times New Roman"/>
          <w:snapToGrid w:val="0"/>
        </w:rPr>
        <w:t>HCO</w:t>
      </w:r>
      <w:r w:rsidRPr="00F9522B">
        <w:rPr>
          <w:rFonts w:ascii="Times New Roman" w:hAnsi="Times New Roman" w:cs="Times New Roman"/>
          <w:snapToGrid w:val="0"/>
          <w:vertAlign w:val="subscript"/>
        </w:rPr>
        <w:t>3</w:t>
      </w:r>
      <w:r w:rsidRPr="00F9522B">
        <w:rPr>
          <w:rFonts w:ascii="Times New Roman" w:hAnsi="Times New Roman" w:cs="Times New Roman"/>
          <w:snapToGrid w:val="0"/>
          <w:vertAlign w:val="superscript"/>
        </w:rPr>
        <w:t>-</w:t>
      </w:r>
      <w:r w:rsidRPr="00F9522B">
        <w:rPr>
          <w:rFonts w:ascii="Times New Roman" w:hAnsi="Times New Roman" w:cs="Times New Roman"/>
          <w:snapToGrid w:val="0"/>
        </w:rPr>
        <w:t>-Ca</w:t>
      </w:r>
      <w:r w:rsidRPr="00F9522B">
        <w:rPr>
          <w:rFonts w:ascii="Times New Roman" w:hAnsi="Times New Roman" w:cs="Times New Roman"/>
          <w:snapToGrid w:val="0"/>
          <w:vertAlign w:val="superscript"/>
        </w:rPr>
        <w:t>2+</w:t>
      </w:r>
      <w:r w:rsidRPr="00F9522B">
        <w:rPr>
          <w:rFonts w:ascii="Times New Roman" w:hAnsi="Times New Roman" w:cs="Times New Roman"/>
          <w:snapToGrid w:val="0"/>
        </w:rPr>
        <w:t>-Mg</w:t>
      </w:r>
      <w:r w:rsidRPr="00F9522B">
        <w:rPr>
          <w:rFonts w:ascii="Times New Roman" w:hAnsi="Times New Roman" w:cs="Times New Roman"/>
          <w:snapToGrid w:val="0"/>
          <w:vertAlign w:val="superscript"/>
        </w:rPr>
        <w:t>2+</w:t>
      </w:r>
      <w:r w:rsidRPr="00F9522B">
        <w:rPr>
          <w:rFonts w:ascii="Times New Roman" w:hAnsi="Times New Roman" w:cs="Times New Roman"/>
          <w:snapToGrid w:val="0"/>
        </w:rPr>
        <w:t>型水</w:t>
      </w:r>
      <w:r w:rsidR="005D4635" w:rsidRPr="00F9522B">
        <w:rPr>
          <w:rFonts w:ascii="Times New Roman" w:hAnsi="Times New Roman" w:cs="Times New Roman"/>
          <w:snapToGrid w:val="0"/>
        </w:rPr>
        <w:t>、</w:t>
      </w:r>
      <w:r w:rsidR="005D4635" w:rsidRPr="00F9522B">
        <w:rPr>
          <w:rFonts w:ascii="Times New Roman" w:hAnsi="Times New Roman" w:cs="Times New Roman"/>
          <w:snapToGrid w:val="0"/>
        </w:rPr>
        <w:t>HCO</w:t>
      </w:r>
      <w:r w:rsidR="005D4635" w:rsidRPr="00F9522B">
        <w:rPr>
          <w:rFonts w:ascii="Times New Roman" w:hAnsi="Times New Roman" w:cs="Times New Roman"/>
          <w:snapToGrid w:val="0"/>
          <w:vertAlign w:val="subscript"/>
        </w:rPr>
        <w:t>3</w:t>
      </w:r>
      <w:r w:rsidR="005D4635" w:rsidRPr="00F9522B">
        <w:rPr>
          <w:rFonts w:ascii="Times New Roman" w:hAnsi="Times New Roman" w:cs="Times New Roman"/>
          <w:snapToGrid w:val="0"/>
          <w:vertAlign w:val="superscript"/>
        </w:rPr>
        <w:t>-</w:t>
      </w:r>
      <w:r w:rsidR="005D4635" w:rsidRPr="00F9522B">
        <w:rPr>
          <w:rFonts w:ascii="Times New Roman" w:hAnsi="Times New Roman" w:cs="Times New Roman"/>
          <w:snapToGrid w:val="0"/>
        </w:rPr>
        <w:t>-SO</w:t>
      </w:r>
      <w:r w:rsidR="005D4635" w:rsidRPr="00F9522B">
        <w:rPr>
          <w:rFonts w:ascii="Times New Roman" w:hAnsi="Times New Roman" w:cs="Times New Roman"/>
          <w:snapToGrid w:val="0"/>
          <w:vertAlign w:val="subscript"/>
        </w:rPr>
        <w:t>4</w:t>
      </w:r>
      <w:r w:rsidR="005D4635" w:rsidRPr="00F9522B">
        <w:rPr>
          <w:rFonts w:ascii="Times New Roman" w:hAnsi="Times New Roman" w:cs="Times New Roman"/>
          <w:snapToGrid w:val="0"/>
          <w:vertAlign w:val="superscript"/>
        </w:rPr>
        <w:t>2-</w:t>
      </w:r>
      <w:r w:rsidR="005D4635" w:rsidRPr="00F9522B">
        <w:rPr>
          <w:rFonts w:ascii="Times New Roman" w:hAnsi="Times New Roman" w:cs="Times New Roman"/>
          <w:snapToGrid w:val="0"/>
        </w:rPr>
        <w:t>-Cl</w:t>
      </w:r>
      <w:r w:rsidR="005D4635" w:rsidRPr="00F9522B">
        <w:rPr>
          <w:rFonts w:ascii="Times New Roman" w:hAnsi="Times New Roman" w:cs="Times New Roman"/>
          <w:snapToGrid w:val="0"/>
          <w:vertAlign w:val="superscript"/>
        </w:rPr>
        <w:t>-</w:t>
      </w:r>
      <w:r w:rsidR="005D4635" w:rsidRPr="00F9522B">
        <w:rPr>
          <w:rFonts w:ascii="Times New Roman" w:hAnsi="Times New Roman" w:cs="Times New Roman"/>
          <w:snapToGrid w:val="0"/>
        </w:rPr>
        <w:t>Ca</w:t>
      </w:r>
      <w:r w:rsidR="005D4635" w:rsidRPr="00F9522B">
        <w:rPr>
          <w:rFonts w:ascii="Times New Roman" w:hAnsi="Times New Roman" w:cs="Times New Roman"/>
          <w:snapToGrid w:val="0"/>
          <w:vertAlign w:val="superscript"/>
        </w:rPr>
        <w:t>2+</w:t>
      </w:r>
      <w:r w:rsidR="005D4635" w:rsidRPr="00F9522B">
        <w:rPr>
          <w:rFonts w:ascii="Times New Roman" w:hAnsi="Times New Roman" w:cs="Times New Roman"/>
          <w:snapToGrid w:val="0"/>
        </w:rPr>
        <w:t>-Mg</w:t>
      </w:r>
      <w:r w:rsidR="005D4635" w:rsidRPr="00F9522B">
        <w:rPr>
          <w:rFonts w:ascii="Times New Roman" w:hAnsi="Times New Roman" w:cs="Times New Roman"/>
          <w:snapToGrid w:val="0"/>
          <w:vertAlign w:val="superscript"/>
        </w:rPr>
        <w:t>2+</w:t>
      </w:r>
      <w:r w:rsidR="005D4635" w:rsidRPr="00F9522B">
        <w:rPr>
          <w:rFonts w:ascii="Times New Roman" w:hAnsi="Times New Roman" w:cs="Times New Roman"/>
          <w:snapToGrid w:val="0"/>
        </w:rPr>
        <w:t>型水</w:t>
      </w:r>
      <w:r w:rsidRPr="00F9522B">
        <w:rPr>
          <w:rFonts w:ascii="Times New Roman" w:hAnsi="Times New Roman" w:cs="Times New Roman"/>
          <w:snapToGrid w:val="0"/>
        </w:rPr>
        <w:t>。</w:t>
      </w:r>
    </w:p>
    <w:p w:rsidR="002A5A5E" w:rsidRPr="00F9522B" w:rsidRDefault="00611CBA">
      <w:pPr>
        <w:autoSpaceDE w:val="0"/>
        <w:autoSpaceDN w:val="0"/>
        <w:spacing w:before="100" w:beforeAutospacing="1" w:after="100" w:afterAutospacing="1"/>
        <w:outlineLvl w:val="3"/>
        <w:rPr>
          <w:rFonts w:eastAsiaTheme="minorEastAsia"/>
          <w:b/>
          <w:bCs/>
          <w:sz w:val="24"/>
        </w:rPr>
      </w:pPr>
      <w:r w:rsidRPr="00F9522B">
        <w:rPr>
          <w:rFonts w:eastAsiaTheme="minorEastAsia"/>
          <w:b/>
          <w:bCs/>
          <w:sz w:val="24"/>
        </w:rPr>
        <w:t>4.1.4.3</w:t>
      </w:r>
      <w:r w:rsidRPr="00F9522B">
        <w:rPr>
          <w:rFonts w:eastAsiaTheme="minorEastAsia"/>
          <w:b/>
          <w:bCs/>
          <w:sz w:val="24"/>
        </w:rPr>
        <w:t>地下水形成条件与赋存规律</w:t>
      </w:r>
    </w:p>
    <w:p w:rsidR="002A5A5E" w:rsidRPr="00F9522B" w:rsidRDefault="00611CBA">
      <w:pPr>
        <w:pStyle w:val="2fa"/>
        <w:ind w:firstLine="480"/>
        <w:rPr>
          <w:rFonts w:ascii="Times New Roman" w:hAnsi="Times New Roman" w:cs="Times New Roman"/>
          <w:snapToGrid w:val="0"/>
        </w:rPr>
      </w:pPr>
      <w:r w:rsidRPr="00F9522B">
        <w:rPr>
          <w:rFonts w:ascii="Times New Roman" w:hAnsi="Times New Roman" w:cs="Times New Roman"/>
          <w:snapToGrid w:val="0"/>
        </w:rPr>
        <w:t>项目砂砾石含水层连续分布，透水性强，补给较充沛，径流通畅，循环交替较强烈，水质总体较好，水化学类型以</w:t>
      </w:r>
      <w:r w:rsidRPr="00F9522B">
        <w:rPr>
          <w:rFonts w:ascii="Times New Roman" w:hAnsi="Times New Roman" w:cs="Times New Roman"/>
          <w:snapToGrid w:val="0"/>
        </w:rPr>
        <w:t>HCO</w:t>
      </w:r>
      <w:r w:rsidRPr="00F9522B">
        <w:rPr>
          <w:rFonts w:ascii="Times New Roman" w:hAnsi="Times New Roman" w:cs="Times New Roman"/>
          <w:snapToGrid w:val="0"/>
          <w:vertAlign w:val="subscript"/>
        </w:rPr>
        <w:t>3</w:t>
      </w:r>
      <w:r w:rsidRPr="00F9522B">
        <w:rPr>
          <w:rFonts w:ascii="Times New Roman" w:hAnsi="Times New Roman" w:cs="Times New Roman"/>
          <w:snapToGrid w:val="0"/>
          <w:vertAlign w:val="superscript"/>
        </w:rPr>
        <w:t>-</w:t>
      </w:r>
      <w:r w:rsidRPr="00F9522B">
        <w:rPr>
          <w:rFonts w:ascii="Times New Roman" w:hAnsi="Times New Roman" w:cs="Times New Roman"/>
          <w:snapToGrid w:val="0"/>
        </w:rPr>
        <w:t>-Ca</w:t>
      </w:r>
      <w:r w:rsidRPr="00F9522B">
        <w:rPr>
          <w:rFonts w:ascii="Times New Roman" w:hAnsi="Times New Roman" w:cs="Times New Roman"/>
          <w:snapToGrid w:val="0"/>
          <w:vertAlign w:val="superscript"/>
        </w:rPr>
        <w:t>2+</w:t>
      </w:r>
      <w:r w:rsidRPr="00F9522B">
        <w:rPr>
          <w:rFonts w:ascii="Times New Roman" w:hAnsi="Times New Roman" w:cs="Times New Roman"/>
          <w:snapToGrid w:val="0"/>
        </w:rPr>
        <w:t>-Mg</w:t>
      </w:r>
      <w:r w:rsidRPr="00F9522B">
        <w:rPr>
          <w:rFonts w:ascii="Times New Roman" w:hAnsi="Times New Roman" w:cs="Times New Roman"/>
          <w:snapToGrid w:val="0"/>
          <w:vertAlign w:val="superscript"/>
        </w:rPr>
        <w:t>2+</w:t>
      </w:r>
      <w:r w:rsidRPr="00F9522B">
        <w:rPr>
          <w:rFonts w:ascii="Times New Roman" w:hAnsi="Times New Roman" w:cs="Times New Roman"/>
          <w:snapToGrid w:val="0"/>
        </w:rPr>
        <w:t>型水</w:t>
      </w:r>
      <w:r w:rsidR="005D4635" w:rsidRPr="00F9522B">
        <w:rPr>
          <w:rFonts w:ascii="Times New Roman" w:hAnsi="Times New Roman" w:cs="Times New Roman"/>
          <w:snapToGrid w:val="0"/>
        </w:rPr>
        <w:t>、</w:t>
      </w:r>
      <w:r w:rsidR="005D4635" w:rsidRPr="00F9522B">
        <w:rPr>
          <w:rFonts w:ascii="Times New Roman" w:hAnsi="Times New Roman" w:cs="Times New Roman"/>
          <w:snapToGrid w:val="0"/>
        </w:rPr>
        <w:t>HCO</w:t>
      </w:r>
      <w:r w:rsidR="005D4635" w:rsidRPr="00F9522B">
        <w:rPr>
          <w:rFonts w:ascii="Times New Roman" w:hAnsi="Times New Roman" w:cs="Times New Roman"/>
          <w:snapToGrid w:val="0"/>
          <w:vertAlign w:val="subscript"/>
        </w:rPr>
        <w:t>3</w:t>
      </w:r>
      <w:r w:rsidR="005D4635" w:rsidRPr="00F9522B">
        <w:rPr>
          <w:rFonts w:ascii="Times New Roman" w:hAnsi="Times New Roman" w:cs="Times New Roman"/>
          <w:snapToGrid w:val="0"/>
          <w:vertAlign w:val="superscript"/>
        </w:rPr>
        <w:t>-</w:t>
      </w:r>
      <w:r w:rsidR="005D4635" w:rsidRPr="00F9522B">
        <w:rPr>
          <w:rFonts w:ascii="Times New Roman" w:hAnsi="Times New Roman" w:cs="Times New Roman"/>
          <w:snapToGrid w:val="0"/>
        </w:rPr>
        <w:t>-SO</w:t>
      </w:r>
      <w:r w:rsidR="005D4635" w:rsidRPr="00F9522B">
        <w:rPr>
          <w:rFonts w:ascii="Times New Roman" w:hAnsi="Times New Roman" w:cs="Times New Roman"/>
          <w:snapToGrid w:val="0"/>
          <w:vertAlign w:val="subscript"/>
        </w:rPr>
        <w:t>4</w:t>
      </w:r>
      <w:r w:rsidR="005D4635" w:rsidRPr="00F9522B">
        <w:rPr>
          <w:rFonts w:ascii="Times New Roman" w:hAnsi="Times New Roman" w:cs="Times New Roman"/>
          <w:snapToGrid w:val="0"/>
          <w:vertAlign w:val="superscript"/>
        </w:rPr>
        <w:t>2-</w:t>
      </w:r>
      <w:r w:rsidR="005D4635" w:rsidRPr="00F9522B">
        <w:rPr>
          <w:rFonts w:ascii="Times New Roman" w:hAnsi="Times New Roman" w:cs="Times New Roman"/>
          <w:snapToGrid w:val="0"/>
        </w:rPr>
        <w:t>-Cl</w:t>
      </w:r>
      <w:r w:rsidR="005D4635" w:rsidRPr="00F9522B">
        <w:rPr>
          <w:rFonts w:ascii="Times New Roman" w:hAnsi="Times New Roman" w:cs="Times New Roman"/>
          <w:snapToGrid w:val="0"/>
          <w:vertAlign w:val="superscript"/>
        </w:rPr>
        <w:t>-</w:t>
      </w:r>
      <w:r w:rsidR="005D4635" w:rsidRPr="00F9522B">
        <w:rPr>
          <w:rFonts w:ascii="Times New Roman" w:hAnsi="Times New Roman" w:cs="Times New Roman"/>
          <w:snapToGrid w:val="0"/>
        </w:rPr>
        <w:t>Ca</w:t>
      </w:r>
      <w:r w:rsidR="005D4635" w:rsidRPr="00F9522B">
        <w:rPr>
          <w:rFonts w:ascii="Times New Roman" w:hAnsi="Times New Roman" w:cs="Times New Roman"/>
          <w:snapToGrid w:val="0"/>
          <w:vertAlign w:val="superscript"/>
        </w:rPr>
        <w:t>2+</w:t>
      </w:r>
      <w:r w:rsidR="005D4635" w:rsidRPr="00F9522B">
        <w:rPr>
          <w:rFonts w:ascii="Times New Roman" w:hAnsi="Times New Roman" w:cs="Times New Roman"/>
          <w:snapToGrid w:val="0"/>
        </w:rPr>
        <w:t>-Mg</w:t>
      </w:r>
      <w:r w:rsidR="005D4635" w:rsidRPr="00F9522B">
        <w:rPr>
          <w:rFonts w:ascii="Times New Roman" w:hAnsi="Times New Roman" w:cs="Times New Roman"/>
          <w:snapToGrid w:val="0"/>
          <w:vertAlign w:val="superscript"/>
        </w:rPr>
        <w:t>2+</w:t>
      </w:r>
      <w:r w:rsidR="005D4635" w:rsidRPr="00F9522B">
        <w:rPr>
          <w:rFonts w:ascii="Times New Roman" w:hAnsi="Times New Roman" w:cs="Times New Roman"/>
          <w:snapToGrid w:val="0"/>
        </w:rPr>
        <w:t>型水</w:t>
      </w:r>
      <w:r w:rsidRPr="00F9522B">
        <w:rPr>
          <w:rFonts w:ascii="Times New Roman" w:hAnsi="Times New Roman" w:cs="Times New Roman"/>
          <w:snapToGrid w:val="0"/>
        </w:rPr>
        <w:t>为主，矿化度低，属中性、偏弱碱性水，矿化度</w:t>
      </w:r>
      <w:r w:rsidRPr="00F9522B">
        <w:rPr>
          <w:rFonts w:ascii="Times New Roman" w:hAnsi="Times New Roman" w:cs="Times New Roman"/>
          <w:snapToGrid w:val="0"/>
        </w:rPr>
        <w:t>0.</w:t>
      </w:r>
      <w:r w:rsidR="005D4635" w:rsidRPr="00F9522B">
        <w:rPr>
          <w:rFonts w:ascii="Times New Roman" w:hAnsi="Times New Roman" w:cs="Times New Roman"/>
          <w:snapToGrid w:val="0"/>
        </w:rPr>
        <w:t>6</w:t>
      </w:r>
      <w:r w:rsidRPr="00F9522B">
        <w:rPr>
          <w:rFonts w:ascii="Times New Roman" w:hAnsi="Times New Roman" w:cs="Times New Roman"/>
          <w:snapToGrid w:val="0"/>
        </w:rPr>
        <w:t>-</w:t>
      </w:r>
      <w:r w:rsidR="005D4635" w:rsidRPr="00F9522B">
        <w:rPr>
          <w:rFonts w:ascii="Times New Roman" w:hAnsi="Times New Roman" w:cs="Times New Roman"/>
          <w:snapToGrid w:val="0"/>
        </w:rPr>
        <w:t>0.92</w:t>
      </w:r>
      <w:r w:rsidRPr="00F9522B">
        <w:rPr>
          <w:rFonts w:ascii="Times New Roman" w:hAnsi="Times New Roman" w:cs="Times New Roman"/>
          <w:snapToGrid w:val="0"/>
        </w:rPr>
        <w:t>g/L</w:t>
      </w:r>
      <w:r w:rsidRPr="00F9522B">
        <w:rPr>
          <w:rFonts w:ascii="Times New Roman" w:hAnsi="Times New Roman" w:cs="Times New Roman"/>
          <w:snapToGrid w:val="0"/>
        </w:rPr>
        <w:t>，属低矿化度淡水。</w:t>
      </w:r>
    </w:p>
    <w:p w:rsidR="002A5A5E" w:rsidRPr="00F9522B" w:rsidRDefault="00611CBA">
      <w:pPr>
        <w:keepNext/>
        <w:keepLines/>
        <w:spacing w:before="100" w:beforeAutospacing="1" w:after="100" w:afterAutospacing="1"/>
        <w:outlineLvl w:val="2"/>
        <w:rPr>
          <w:rFonts w:eastAsiaTheme="minorEastAsia"/>
          <w:b/>
          <w:sz w:val="28"/>
          <w:szCs w:val="28"/>
        </w:rPr>
      </w:pPr>
      <w:r w:rsidRPr="00F9522B">
        <w:rPr>
          <w:rFonts w:eastAsiaTheme="minorEastAsia"/>
          <w:b/>
          <w:sz w:val="28"/>
          <w:szCs w:val="28"/>
        </w:rPr>
        <w:t>4.1.5</w:t>
      </w:r>
      <w:r w:rsidRPr="00F9522B">
        <w:rPr>
          <w:rFonts w:eastAsiaTheme="minorEastAsia"/>
          <w:b/>
          <w:sz w:val="28"/>
          <w:szCs w:val="28"/>
        </w:rPr>
        <w:t>土壤</w:t>
      </w:r>
      <w:bookmarkEnd w:id="105"/>
    </w:p>
    <w:p w:rsidR="002A5A5E" w:rsidRPr="00F9522B" w:rsidRDefault="00611CBA">
      <w:pPr>
        <w:pStyle w:val="2fa"/>
        <w:ind w:firstLine="480"/>
        <w:rPr>
          <w:rFonts w:ascii="Times New Roman" w:hAnsi="Times New Roman" w:cs="Times New Roman"/>
        </w:rPr>
      </w:pPr>
      <w:r w:rsidRPr="00F9522B">
        <w:rPr>
          <w:rFonts w:ascii="Times New Roman" w:hAnsi="Times New Roman" w:cs="Times New Roman"/>
        </w:rPr>
        <w:t>由于受地形、气候、植物等自然因素及人为活动的影响，全市土壤类型较多，共有</w:t>
      </w:r>
      <w:r w:rsidRPr="00F9522B">
        <w:rPr>
          <w:rFonts w:ascii="Times New Roman" w:hAnsi="Times New Roman" w:cs="Times New Roman"/>
        </w:rPr>
        <w:t>9</w:t>
      </w:r>
      <w:r w:rsidRPr="00F9522B">
        <w:rPr>
          <w:rFonts w:ascii="Times New Roman" w:hAnsi="Times New Roman" w:cs="Times New Roman"/>
        </w:rPr>
        <w:t>个土类、</w:t>
      </w:r>
      <w:r w:rsidRPr="00F9522B">
        <w:rPr>
          <w:rFonts w:ascii="Times New Roman" w:hAnsi="Times New Roman" w:cs="Times New Roman"/>
        </w:rPr>
        <w:t>21</w:t>
      </w:r>
      <w:r w:rsidRPr="00F9522B">
        <w:rPr>
          <w:rFonts w:ascii="Times New Roman" w:hAnsi="Times New Roman" w:cs="Times New Roman"/>
        </w:rPr>
        <w:t>个亚类、</w:t>
      </w:r>
      <w:r w:rsidRPr="00F9522B">
        <w:rPr>
          <w:rFonts w:ascii="Times New Roman" w:hAnsi="Times New Roman" w:cs="Times New Roman"/>
        </w:rPr>
        <w:t>25</w:t>
      </w:r>
      <w:r w:rsidRPr="00F9522B">
        <w:rPr>
          <w:rFonts w:ascii="Times New Roman" w:hAnsi="Times New Roman" w:cs="Times New Roman"/>
        </w:rPr>
        <w:t>个土种。黑土，是郊区及县（市）的主要土壤，也是分布最广、数量最多的土壤类型。黑土在全市分为</w:t>
      </w:r>
      <w:r w:rsidRPr="00F9522B">
        <w:rPr>
          <w:rFonts w:ascii="Times New Roman" w:hAnsi="Times New Roman" w:cs="Times New Roman"/>
        </w:rPr>
        <w:t>2</w:t>
      </w:r>
      <w:r w:rsidRPr="00F9522B">
        <w:rPr>
          <w:rFonts w:ascii="Times New Roman" w:hAnsi="Times New Roman" w:cs="Times New Roman"/>
        </w:rPr>
        <w:t>个亚类（黑土和草甸黑</w:t>
      </w:r>
      <w:r w:rsidRPr="00F9522B">
        <w:rPr>
          <w:rFonts w:ascii="Times New Roman" w:hAnsi="Times New Roman" w:cs="Times New Roman"/>
        </w:rPr>
        <w:lastRenderedPageBreak/>
        <w:t>土）、</w:t>
      </w:r>
      <w:r w:rsidRPr="00F9522B">
        <w:rPr>
          <w:rFonts w:ascii="Times New Roman" w:hAnsi="Times New Roman" w:cs="Times New Roman"/>
        </w:rPr>
        <w:t>3</w:t>
      </w:r>
      <w:r w:rsidRPr="00F9522B">
        <w:rPr>
          <w:rFonts w:ascii="Times New Roman" w:hAnsi="Times New Roman" w:cs="Times New Roman"/>
        </w:rPr>
        <w:t>个土属（粘质黑土、砂质黑土、草甸黑土），共</w:t>
      </w:r>
      <w:r w:rsidRPr="00F9522B">
        <w:rPr>
          <w:rFonts w:ascii="Times New Roman" w:hAnsi="Times New Roman" w:cs="Times New Roman"/>
        </w:rPr>
        <w:t>7</w:t>
      </w:r>
      <w:r w:rsidRPr="00F9522B">
        <w:rPr>
          <w:rFonts w:ascii="Times New Roman" w:hAnsi="Times New Roman" w:cs="Times New Roman"/>
        </w:rPr>
        <w:t>个土种。黑土土壤养分含量比较丰富，适于各种农作物生长。黑钙土，是全市主要耕作土壤，主要分布在中部平川地和岗平地上，在全市分为</w:t>
      </w:r>
      <w:r w:rsidRPr="00F9522B">
        <w:rPr>
          <w:rFonts w:ascii="Times New Roman" w:hAnsi="Times New Roman" w:cs="Times New Roman"/>
        </w:rPr>
        <w:t>3</w:t>
      </w:r>
      <w:r w:rsidRPr="00F9522B">
        <w:rPr>
          <w:rFonts w:ascii="Times New Roman" w:hAnsi="Times New Roman" w:cs="Times New Roman"/>
        </w:rPr>
        <w:t>个亚类：黑钙土、淋溶黑钙土、草甸黑钙土，共</w:t>
      </w:r>
      <w:r w:rsidRPr="00F9522B">
        <w:rPr>
          <w:rFonts w:ascii="Times New Roman" w:hAnsi="Times New Roman" w:cs="Times New Roman"/>
        </w:rPr>
        <w:t>8</w:t>
      </w:r>
      <w:r w:rsidRPr="00F9522B">
        <w:rPr>
          <w:rFonts w:ascii="Times New Roman" w:hAnsi="Times New Roman" w:cs="Times New Roman"/>
        </w:rPr>
        <w:t>个土种。黑钙土养分含量仅次于黑土，适于作物栽培。草甸土也是全市主要耕作土壤，多数分布在沿江河低洼淋溶地带和松花江台地漫滩地带。草甸土在全市分为</w:t>
      </w:r>
      <w:r w:rsidRPr="00F9522B">
        <w:rPr>
          <w:rFonts w:ascii="Times New Roman" w:hAnsi="Times New Roman" w:cs="Times New Roman"/>
        </w:rPr>
        <w:t>6</w:t>
      </w:r>
      <w:r w:rsidRPr="00F9522B">
        <w:rPr>
          <w:rFonts w:ascii="Times New Roman" w:hAnsi="Times New Roman" w:cs="Times New Roman"/>
        </w:rPr>
        <w:t>个亚类：草甸土、碱化草甸土、泛滥地草甸土、盐化草甸土、潜育草甸土、</w:t>
      </w:r>
      <w:hyperlink r:id="rId53" w:tgtFrame="_blank" w:history="1">
        <w:r w:rsidRPr="00F9522B">
          <w:rPr>
            <w:rFonts w:ascii="Times New Roman" w:hAnsi="Times New Roman" w:cs="Times New Roman"/>
          </w:rPr>
          <w:t>硫酸盐</w:t>
        </w:r>
      </w:hyperlink>
      <w:r w:rsidRPr="00F9522B">
        <w:rPr>
          <w:rFonts w:ascii="Times New Roman" w:hAnsi="Times New Roman" w:cs="Times New Roman"/>
        </w:rPr>
        <w:t>草甸土，共</w:t>
      </w:r>
      <w:r w:rsidRPr="00F9522B">
        <w:rPr>
          <w:rFonts w:ascii="Times New Roman" w:hAnsi="Times New Roman" w:cs="Times New Roman"/>
        </w:rPr>
        <w:t>10</w:t>
      </w:r>
      <w:r w:rsidRPr="00F9522B">
        <w:rPr>
          <w:rFonts w:ascii="Times New Roman" w:hAnsi="Times New Roman" w:cs="Times New Roman"/>
        </w:rPr>
        <w:t>个土种。草甸土大部分宜耕性较差，宜发展草场和栽植</w:t>
      </w:r>
      <w:hyperlink r:id="rId54" w:tgtFrame="_blank" w:history="1">
        <w:r w:rsidRPr="00F9522B">
          <w:rPr>
            <w:rFonts w:ascii="Times New Roman" w:hAnsi="Times New Roman" w:cs="Times New Roman"/>
          </w:rPr>
          <w:t>薪炭林</w:t>
        </w:r>
      </w:hyperlink>
      <w:r w:rsidRPr="00F9522B">
        <w:rPr>
          <w:rFonts w:ascii="Times New Roman" w:hAnsi="Times New Roman" w:cs="Times New Roman"/>
        </w:rPr>
        <w:t>。砂土及</w:t>
      </w:r>
      <w:hyperlink r:id="rId55" w:tgtFrame="_blank" w:history="1">
        <w:r w:rsidRPr="00F9522B">
          <w:rPr>
            <w:rFonts w:ascii="Times New Roman" w:hAnsi="Times New Roman" w:cs="Times New Roman"/>
          </w:rPr>
          <w:t>沼泽土</w:t>
        </w:r>
      </w:hyperlink>
      <w:r w:rsidRPr="00F9522B">
        <w:rPr>
          <w:rFonts w:ascii="Times New Roman" w:hAnsi="Times New Roman" w:cs="Times New Roman"/>
        </w:rPr>
        <w:t>，主要分布于江河两岸河滩和低洼地块，适于发展渔业、牧业。</w:t>
      </w:r>
    </w:p>
    <w:p w:rsidR="002A5A5E" w:rsidRPr="00F9522B" w:rsidRDefault="00611CBA">
      <w:pPr>
        <w:keepNext/>
        <w:keepLines/>
        <w:spacing w:before="100" w:beforeAutospacing="1" w:after="100" w:afterAutospacing="1"/>
        <w:outlineLvl w:val="2"/>
        <w:rPr>
          <w:rFonts w:eastAsiaTheme="minorEastAsia"/>
          <w:b/>
          <w:sz w:val="28"/>
          <w:szCs w:val="28"/>
        </w:rPr>
      </w:pPr>
      <w:r w:rsidRPr="00F9522B">
        <w:rPr>
          <w:rFonts w:eastAsiaTheme="minorEastAsia"/>
          <w:b/>
          <w:sz w:val="28"/>
          <w:szCs w:val="28"/>
        </w:rPr>
        <w:t>4.1.6</w:t>
      </w:r>
      <w:r w:rsidRPr="00F9522B">
        <w:rPr>
          <w:rFonts w:eastAsiaTheme="minorEastAsia"/>
          <w:b/>
          <w:sz w:val="28"/>
          <w:szCs w:val="28"/>
        </w:rPr>
        <w:t>森林、植被</w:t>
      </w:r>
    </w:p>
    <w:p w:rsidR="002A5A5E" w:rsidRPr="00F9522B" w:rsidRDefault="00611CBA">
      <w:pPr>
        <w:pStyle w:val="2fa"/>
        <w:ind w:firstLine="480"/>
        <w:rPr>
          <w:rFonts w:ascii="Times New Roman" w:hAnsi="Times New Roman" w:cs="Times New Roman"/>
        </w:rPr>
      </w:pPr>
      <w:r w:rsidRPr="00F9522B">
        <w:rPr>
          <w:rFonts w:ascii="Times New Roman" w:hAnsi="Times New Roman" w:cs="Times New Roman"/>
        </w:rPr>
        <w:t>哈尔滨全市植被以地带性植被红松林、针阔叶混交林、天然次生林、人工林、草原和农田植被为主。其中面积最大的是森林植被，森林覆盖率达</w:t>
      </w:r>
      <w:r w:rsidRPr="00F9522B">
        <w:rPr>
          <w:rFonts w:ascii="Times New Roman" w:hAnsi="Times New Roman" w:cs="Times New Roman"/>
        </w:rPr>
        <w:t xml:space="preserve">42.39% </w:t>
      </w:r>
      <w:r w:rsidRPr="00F9522B">
        <w:rPr>
          <w:rFonts w:ascii="Times New Roman" w:hAnsi="Times New Roman" w:cs="Times New Roman"/>
        </w:rPr>
        <w:t>，辖区内野生植物种类丰富，据不完全统计，有植物</w:t>
      </w:r>
      <w:r w:rsidRPr="00F9522B">
        <w:rPr>
          <w:rFonts w:ascii="Times New Roman" w:hAnsi="Times New Roman" w:cs="Times New Roman"/>
        </w:rPr>
        <w:t>950</w:t>
      </w:r>
      <w:r w:rsidRPr="00F9522B">
        <w:rPr>
          <w:rFonts w:ascii="Times New Roman" w:hAnsi="Times New Roman" w:cs="Times New Roman"/>
        </w:rPr>
        <w:t>余种。以松花江为界，江北植被属小兴安岭植被。江南植被属长白山系张广才岭植被亚区。</w:t>
      </w:r>
    </w:p>
    <w:p w:rsidR="002A5A5E" w:rsidRPr="00F9522B" w:rsidRDefault="00611CBA">
      <w:pPr>
        <w:keepNext/>
        <w:keepLines/>
        <w:spacing w:before="100" w:beforeAutospacing="1" w:after="100" w:afterAutospacing="1"/>
        <w:outlineLvl w:val="2"/>
        <w:rPr>
          <w:rFonts w:eastAsiaTheme="minorEastAsia"/>
          <w:b/>
          <w:sz w:val="28"/>
          <w:szCs w:val="28"/>
        </w:rPr>
      </w:pPr>
      <w:r w:rsidRPr="00F9522B">
        <w:rPr>
          <w:rFonts w:eastAsiaTheme="minorEastAsia"/>
          <w:b/>
          <w:sz w:val="28"/>
          <w:szCs w:val="28"/>
        </w:rPr>
        <w:t>4.1.7</w:t>
      </w:r>
      <w:r w:rsidRPr="00F9522B">
        <w:rPr>
          <w:rFonts w:eastAsiaTheme="minorEastAsia"/>
          <w:b/>
          <w:sz w:val="28"/>
          <w:szCs w:val="28"/>
        </w:rPr>
        <w:t>生态环境</w:t>
      </w:r>
    </w:p>
    <w:p w:rsidR="002A5A5E" w:rsidRPr="00F9522B" w:rsidRDefault="00611CBA">
      <w:pPr>
        <w:pStyle w:val="2fa"/>
        <w:ind w:firstLine="480"/>
        <w:rPr>
          <w:rFonts w:ascii="Times New Roman" w:hAnsi="Times New Roman" w:cs="Times New Roman"/>
          <w:bCs/>
          <w:szCs w:val="24"/>
        </w:rPr>
      </w:pPr>
      <w:r w:rsidRPr="00F9522B">
        <w:rPr>
          <w:rFonts w:ascii="Times New Roman" w:hAnsi="Times New Roman" w:cs="Times New Roman"/>
        </w:rPr>
        <w:t>由于多年的开发活动，本区自然生态环境已为人工生态环境所取代。长期的精耕细作，形成了本区良好的农业生态环境，区内土地肥沃，植被主要以水稻、玉米、大豆等粮食作物为主，其他农作物主要为蔬菜。此外，道路、河道两旁及房前屋后栽种的各种绿化或经济林木也有效地改善了生态环境质量。本区陆生动物除了人工饲养的牛、猪、鸡、兔、羊之外，还有少量的野生动物，包括鸟、鼠、蛙、昆虫等，但已无大型野生哺乳动物。</w:t>
      </w:r>
    </w:p>
    <w:p w:rsidR="002A5A5E" w:rsidRPr="00F9522B" w:rsidRDefault="00611CBA">
      <w:pPr>
        <w:spacing w:before="100" w:beforeAutospacing="1" w:after="100" w:afterAutospacing="1"/>
        <w:contextualSpacing/>
        <w:jc w:val="left"/>
        <w:outlineLvl w:val="1"/>
        <w:rPr>
          <w:rFonts w:eastAsiaTheme="minorEastAsia"/>
          <w:b/>
          <w:bCs/>
          <w:kern w:val="44"/>
          <w:sz w:val="30"/>
          <w:szCs w:val="30"/>
        </w:rPr>
      </w:pPr>
      <w:bookmarkStart w:id="108" w:name="_Toc208906238"/>
      <w:r w:rsidRPr="00F9522B">
        <w:rPr>
          <w:rFonts w:eastAsiaTheme="minorEastAsia"/>
          <w:b/>
          <w:bCs/>
          <w:kern w:val="44"/>
          <w:sz w:val="30"/>
          <w:szCs w:val="30"/>
        </w:rPr>
        <w:t>4.2</w:t>
      </w:r>
      <w:r w:rsidRPr="00F9522B">
        <w:rPr>
          <w:rFonts w:eastAsiaTheme="minorEastAsia"/>
          <w:b/>
          <w:bCs/>
          <w:kern w:val="44"/>
          <w:sz w:val="30"/>
          <w:szCs w:val="30"/>
        </w:rPr>
        <w:t>环境质量现状调查</w:t>
      </w:r>
      <w:bookmarkEnd w:id="108"/>
    </w:p>
    <w:p w:rsidR="002A5A5E" w:rsidRPr="00F9522B" w:rsidRDefault="00611CBA">
      <w:pPr>
        <w:keepNext/>
        <w:keepLines/>
        <w:spacing w:before="100" w:beforeAutospacing="1" w:after="100" w:afterAutospacing="1"/>
        <w:outlineLvl w:val="2"/>
        <w:rPr>
          <w:rFonts w:eastAsiaTheme="minorEastAsia"/>
          <w:b/>
          <w:sz w:val="28"/>
          <w:szCs w:val="28"/>
        </w:rPr>
      </w:pPr>
      <w:r w:rsidRPr="00F9522B">
        <w:rPr>
          <w:rFonts w:eastAsiaTheme="minorEastAsia"/>
          <w:b/>
          <w:sz w:val="28"/>
          <w:szCs w:val="28"/>
        </w:rPr>
        <w:t>4.2.1</w:t>
      </w:r>
      <w:r w:rsidRPr="00F9522B">
        <w:rPr>
          <w:rFonts w:eastAsiaTheme="minorEastAsia"/>
          <w:b/>
          <w:sz w:val="28"/>
          <w:szCs w:val="28"/>
        </w:rPr>
        <w:t>环境空气质量现状评价</w:t>
      </w:r>
    </w:p>
    <w:p w:rsidR="002A5A5E" w:rsidRPr="00F9522B" w:rsidRDefault="00611CBA">
      <w:pPr>
        <w:autoSpaceDE w:val="0"/>
        <w:autoSpaceDN w:val="0"/>
        <w:spacing w:before="100" w:beforeAutospacing="1" w:after="100" w:afterAutospacing="1"/>
        <w:outlineLvl w:val="3"/>
        <w:rPr>
          <w:rFonts w:eastAsiaTheme="minorEastAsia"/>
          <w:b/>
          <w:bCs/>
          <w:sz w:val="24"/>
        </w:rPr>
      </w:pPr>
      <w:r w:rsidRPr="00F9522B">
        <w:rPr>
          <w:rFonts w:eastAsiaTheme="minorEastAsia"/>
          <w:b/>
          <w:bCs/>
          <w:sz w:val="24"/>
        </w:rPr>
        <w:t>4.2.1.1</w:t>
      </w:r>
      <w:r w:rsidRPr="00F9522B">
        <w:rPr>
          <w:rFonts w:eastAsiaTheme="minorEastAsia"/>
          <w:b/>
          <w:bCs/>
          <w:sz w:val="24"/>
        </w:rPr>
        <w:t>区域基本污染物环境质量达标情况</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lastRenderedPageBreak/>
        <w:t>根据</w:t>
      </w:r>
      <w:r w:rsidRPr="00F9522B">
        <w:rPr>
          <w:rFonts w:eastAsiaTheme="minorEastAsia"/>
          <w:sz w:val="24"/>
          <w:lang w:val="zh-CN"/>
        </w:rPr>
        <w:t>《</w:t>
      </w:r>
      <w:r w:rsidRPr="00F9522B">
        <w:rPr>
          <w:rFonts w:eastAsiaTheme="minorEastAsia"/>
          <w:sz w:val="24"/>
        </w:rPr>
        <w:t>2024</w:t>
      </w:r>
      <w:r w:rsidRPr="00F9522B">
        <w:rPr>
          <w:rFonts w:eastAsiaTheme="minorEastAsia"/>
          <w:sz w:val="24"/>
        </w:rPr>
        <w:t>年哈尔滨生态环境质量状况年报</w:t>
      </w:r>
      <w:r w:rsidRPr="00F9522B">
        <w:rPr>
          <w:rFonts w:eastAsiaTheme="minorEastAsia"/>
          <w:sz w:val="24"/>
          <w:lang w:val="zh-CN"/>
        </w:rPr>
        <w:t>》</w:t>
      </w:r>
      <w:r w:rsidRPr="00F9522B">
        <w:rPr>
          <w:rFonts w:eastAsiaTheme="minorEastAsia"/>
          <w:sz w:val="24"/>
        </w:rPr>
        <w:t>，</w:t>
      </w:r>
      <w:r w:rsidRPr="00F9522B">
        <w:rPr>
          <w:rFonts w:eastAsiaTheme="minorEastAsia"/>
          <w:sz w:val="24"/>
        </w:rPr>
        <w:t>2024</w:t>
      </w:r>
      <w:r w:rsidRPr="00F9522B">
        <w:rPr>
          <w:rFonts w:eastAsiaTheme="minorEastAsia"/>
          <w:sz w:val="24"/>
        </w:rPr>
        <w:t>年哈尔滨市细颗粒物浓度</w:t>
      </w:r>
      <w:r w:rsidRPr="00F9522B">
        <w:rPr>
          <w:rFonts w:eastAsiaTheme="minorEastAsia"/>
          <w:sz w:val="24"/>
        </w:rPr>
        <w:t>40</w:t>
      </w:r>
      <w:r w:rsidRPr="00F9522B">
        <w:rPr>
          <w:rFonts w:eastAsiaTheme="minorEastAsia"/>
          <w:sz w:val="24"/>
        </w:rPr>
        <w:t>微克</w:t>
      </w:r>
      <w:r w:rsidRPr="00F9522B">
        <w:rPr>
          <w:rFonts w:eastAsiaTheme="minorEastAsia"/>
          <w:sz w:val="24"/>
        </w:rPr>
        <w:t>/</w:t>
      </w:r>
      <w:r w:rsidRPr="00F9522B">
        <w:rPr>
          <w:rFonts w:eastAsiaTheme="minorEastAsia"/>
          <w:sz w:val="24"/>
        </w:rPr>
        <w:t>立方米；可吸入颗粒物浓度</w:t>
      </w:r>
      <w:r w:rsidRPr="00F9522B">
        <w:rPr>
          <w:rFonts w:eastAsiaTheme="minorEastAsia"/>
          <w:sz w:val="24"/>
        </w:rPr>
        <w:t>62</w:t>
      </w:r>
      <w:r w:rsidRPr="00F9522B">
        <w:rPr>
          <w:rFonts w:eastAsiaTheme="minorEastAsia"/>
          <w:sz w:val="24"/>
        </w:rPr>
        <w:t>微克</w:t>
      </w:r>
      <w:r w:rsidRPr="00F9522B">
        <w:rPr>
          <w:rFonts w:eastAsiaTheme="minorEastAsia"/>
          <w:sz w:val="24"/>
        </w:rPr>
        <w:t>/</w:t>
      </w:r>
      <w:r w:rsidRPr="00F9522B">
        <w:rPr>
          <w:rFonts w:eastAsiaTheme="minorEastAsia"/>
          <w:sz w:val="24"/>
        </w:rPr>
        <w:t>立方米；二氧化氮浓度</w:t>
      </w:r>
      <w:r w:rsidRPr="00F9522B">
        <w:rPr>
          <w:rFonts w:eastAsiaTheme="minorEastAsia"/>
          <w:sz w:val="24"/>
        </w:rPr>
        <w:t>29</w:t>
      </w:r>
      <w:r w:rsidRPr="00F9522B">
        <w:rPr>
          <w:rFonts w:eastAsiaTheme="minorEastAsia"/>
          <w:sz w:val="24"/>
        </w:rPr>
        <w:t>微克</w:t>
      </w:r>
      <w:r w:rsidRPr="00F9522B">
        <w:rPr>
          <w:rFonts w:eastAsiaTheme="minorEastAsia"/>
          <w:sz w:val="24"/>
        </w:rPr>
        <w:t>/</w:t>
      </w:r>
      <w:r w:rsidRPr="00F9522B">
        <w:rPr>
          <w:rFonts w:eastAsiaTheme="minorEastAsia"/>
          <w:sz w:val="24"/>
        </w:rPr>
        <w:t>立方米，二氧化硫</w:t>
      </w:r>
      <w:r w:rsidRPr="00F9522B">
        <w:rPr>
          <w:rFonts w:eastAsiaTheme="minorEastAsia"/>
          <w:sz w:val="24"/>
        </w:rPr>
        <w:t>10</w:t>
      </w:r>
      <w:r w:rsidRPr="00F9522B">
        <w:rPr>
          <w:rFonts w:eastAsiaTheme="minorEastAsia"/>
          <w:sz w:val="24"/>
        </w:rPr>
        <w:t>微克</w:t>
      </w:r>
      <w:r w:rsidRPr="00F9522B">
        <w:rPr>
          <w:rFonts w:eastAsiaTheme="minorEastAsia"/>
          <w:sz w:val="24"/>
        </w:rPr>
        <w:t>/</w:t>
      </w:r>
      <w:r w:rsidRPr="00F9522B">
        <w:rPr>
          <w:rFonts w:eastAsiaTheme="minorEastAsia"/>
          <w:sz w:val="24"/>
        </w:rPr>
        <w:t>立方米；一氧化碳第</w:t>
      </w:r>
      <w:r w:rsidRPr="00F9522B">
        <w:rPr>
          <w:rFonts w:eastAsiaTheme="minorEastAsia"/>
          <w:sz w:val="24"/>
        </w:rPr>
        <w:t>95</w:t>
      </w:r>
      <w:r w:rsidRPr="00F9522B">
        <w:rPr>
          <w:rFonts w:eastAsiaTheme="minorEastAsia"/>
          <w:sz w:val="24"/>
        </w:rPr>
        <w:t>百分位浓度</w:t>
      </w:r>
      <w:r w:rsidRPr="00F9522B">
        <w:rPr>
          <w:rFonts w:eastAsiaTheme="minorEastAsia"/>
          <w:sz w:val="24"/>
        </w:rPr>
        <w:t>1.1</w:t>
      </w:r>
      <w:r w:rsidRPr="00F9522B">
        <w:rPr>
          <w:rFonts w:eastAsiaTheme="minorEastAsia"/>
          <w:sz w:val="24"/>
        </w:rPr>
        <w:t>毫克</w:t>
      </w:r>
      <w:r w:rsidRPr="00F9522B">
        <w:rPr>
          <w:rFonts w:eastAsiaTheme="minorEastAsia"/>
          <w:sz w:val="24"/>
        </w:rPr>
        <w:t>/</w:t>
      </w:r>
      <w:r w:rsidRPr="00F9522B">
        <w:rPr>
          <w:rFonts w:eastAsiaTheme="minorEastAsia"/>
          <w:sz w:val="24"/>
        </w:rPr>
        <w:t>立方米；臭氧第</w:t>
      </w:r>
      <w:r w:rsidRPr="00F9522B">
        <w:rPr>
          <w:rFonts w:eastAsiaTheme="minorEastAsia"/>
          <w:sz w:val="24"/>
        </w:rPr>
        <w:t>90</w:t>
      </w:r>
      <w:r w:rsidRPr="00F9522B">
        <w:rPr>
          <w:rFonts w:eastAsiaTheme="minorEastAsia"/>
          <w:sz w:val="24"/>
        </w:rPr>
        <w:t>百分位数浓度</w:t>
      </w:r>
      <w:r w:rsidRPr="00F9522B">
        <w:rPr>
          <w:rFonts w:eastAsiaTheme="minorEastAsia"/>
          <w:sz w:val="24"/>
        </w:rPr>
        <w:t>118</w:t>
      </w:r>
      <w:r w:rsidRPr="00F9522B">
        <w:rPr>
          <w:rFonts w:eastAsiaTheme="minorEastAsia"/>
          <w:sz w:val="24"/>
        </w:rPr>
        <w:t>微克</w:t>
      </w:r>
      <w:r w:rsidRPr="00F9522B">
        <w:rPr>
          <w:rFonts w:eastAsiaTheme="minorEastAsia"/>
          <w:sz w:val="24"/>
        </w:rPr>
        <w:t>/</w:t>
      </w:r>
      <w:r w:rsidRPr="00F9522B">
        <w:rPr>
          <w:rFonts w:eastAsiaTheme="minorEastAsia"/>
          <w:sz w:val="24"/>
        </w:rPr>
        <w:t>立方米。</w:t>
      </w:r>
      <w:r w:rsidRPr="00F9522B">
        <w:rPr>
          <w:rFonts w:eastAsiaTheme="minorEastAsia"/>
          <w:sz w:val="24"/>
        </w:rPr>
        <w:t>2024</w:t>
      </w:r>
      <w:r w:rsidRPr="00F9522B">
        <w:rPr>
          <w:rFonts w:eastAsiaTheme="minorEastAsia"/>
          <w:sz w:val="24"/>
        </w:rPr>
        <w:t>年有效监测天数</w:t>
      </w:r>
      <w:r w:rsidRPr="00F9522B">
        <w:rPr>
          <w:rFonts w:eastAsiaTheme="minorEastAsia"/>
          <w:sz w:val="24"/>
        </w:rPr>
        <w:t>366</w:t>
      </w:r>
      <w:r w:rsidRPr="00F9522B">
        <w:rPr>
          <w:rFonts w:eastAsiaTheme="minorEastAsia"/>
          <w:sz w:val="24"/>
        </w:rPr>
        <w:t>天，优良天数</w:t>
      </w:r>
      <w:r w:rsidRPr="00F9522B">
        <w:rPr>
          <w:rFonts w:eastAsiaTheme="minorEastAsia"/>
          <w:sz w:val="24"/>
        </w:rPr>
        <w:t>312</w:t>
      </w:r>
      <w:r w:rsidRPr="00F9522B">
        <w:rPr>
          <w:rFonts w:eastAsiaTheme="minorEastAsia"/>
          <w:sz w:val="24"/>
        </w:rPr>
        <w:t>天，达标率</w:t>
      </w:r>
      <w:r w:rsidRPr="00F9522B">
        <w:rPr>
          <w:rFonts w:eastAsiaTheme="minorEastAsia"/>
          <w:sz w:val="24"/>
        </w:rPr>
        <w:t>85.2%</w:t>
      </w:r>
      <w:r w:rsidRPr="00F9522B">
        <w:rPr>
          <w:rFonts w:eastAsiaTheme="minorEastAsia"/>
          <w:sz w:val="24"/>
        </w:rPr>
        <w:t>，其中优</w:t>
      </w:r>
      <w:r w:rsidRPr="00F9522B">
        <w:rPr>
          <w:rFonts w:eastAsiaTheme="minorEastAsia"/>
          <w:sz w:val="24"/>
        </w:rPr>
        <w:t>158</w:t>
      </w:r>
      <w:r w:rsidRPr="00F9522B">
        <w:rPr>
          <w:rFonts w:eastAsiaTheme="minorEastAsia"/>
          <w:sz w:val="24"/>
        </w:rPr>
        <w:t>天，良</w:t>
      </w:r>
      <w:r w:rsidRPr="00F9522B">
        <w:rPr>
          <w:rFonts w:eastAsiaTheme="minorEastAsia"/>
          <w:sz w:val="24"/>
        </w:rPr>
        <w:t>154</w:t>
      </w:r>
      <w:r w:rsidRPr="00F9522B">
        <w:rPr>
          <w:rFonts w:eastAsiaTheme="minorEastAsia"/>
          <w:sz w:val="24"/>
        </w:rPr>
        <w:t>天。超标天数</w:t>
      </w:r>
      <w:r w:rsidRPr="00F9522B">
        <w:rPr>
          <w:rFonts w:eastAsiaTheme="minorEastAsia"/>
          <w:sz w:val="24"/>
        </w:rPr>
        <w:t>54</w:t>
      </w:r>
      <w:r w:rsidRPr="00F9522B">
        <w:rPr>
          <w:rFonts w:eastAsiaTheme="minorEastAsia"/>
          <w:sz w:val="24"/>
        </w:rPr>
        <w:t>天，其中轻度污染</w:t>
      </w:r>
      <w:r w:rsidRPr="00F9522B">
        <w:rPr>
          <w:rFonts w:eastAsiaTheme="minorEastAsia"/>
          <w:sz w:val="24"/>
        </w:rPr>
        <w:t>32</w:t>
      </w:r>
      <w:r w:rsidRPr="00F9522B">
        <w:rPr>
          <w:rFonts w:eastAsiaTheme="minorEastAsia"/>
          <w:sz w:val="24"/>
        </w:rPr>
        <w:t>天，中度污染</w:t>
      </w:r>
      <w:r w:rsidRPr="00F9522B">
        <w:rPr>
          <w:rFonts w:eastAsiaTheme="minorEastAsia"/>
          <w:sz w:val="24"/>
        </w:rPr>
        <w:t>12</w:t>
      </w:r>
      <w:r w:rsidRPr="00F9522B">
        <w:rPr>
          <w:rFonts w:eastAsiaTheme="minorEastAsia"/>
          <w:sz w:val="24"/>
        </w:rPr>
        <w:t>天，重度污染</w:t>
      </w:r>
      <w:r w:rsidRPr="00F9522B">
        <w:rPr>
          <w:rFonts w:eastAsiaTheme="minorEastAsia"/>
          <w:sz w:val="24"/>
        </w:rPr>
        <w:t>8</w:t>
      </w:r>
      <w:r w:rsidRPr="00F9522B">
        <w:rPr>
          <w:rFonts w:eastAsiaTheme="minorEastAsia"/>
          <w:sz w:val="24"/>
        </w:rPr>
        <w:t>天，严重污染</w:t>
      </w:r>
      <w:r w:rsidRPr="00F9522B">
        <w:rPr>
          <w:rFonts w:eastAsiaTheme="minorEastAsia"/>
          <w:sz w:val="24"/>
        </w:rPr>
        <w:t>2</w:t>
      </w:r>
      <w:r w:rsidRPr="00F9522B">
        <w:rPr>
          <w:rFonts w:eastAsiaTheme="minorEastAsia"/>
          <w:sz w:val="24"/>
        </w:rPr>
        <w:t>天。本项目所在区域为不达标区。</w:t>
      </w:r>
    </w:p>
    <w:p w:rsidR="002A5A5E" w:rsidRPr="00F9522B" w:rsidRDefault="00611CBA">
      <w:pPr>
        <w:contextualSpacing/>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 xml:space="preserve">4-2-1 </w:t>
      </w:r>
      <w:r w:rsidRPr="00F9522B">
        <w:rPr>
          <w:rFonts w:eastAsiaTheme="minorEastAsia"/>
          <w:b/>
          <w:kern w:val="0"/>
          <w:szCs w:val="21"/>
        </w:rPr>
        <w:t>区域空气质量现状评价表</w:t>
      </w:r>
    </w:p>
    <w:tbl>
      <w:tblPr>
        <w:tblW w:w="4998" w:type="pct"/>
        <w:jc w:val="center"/>
        <w:tblBorders>
          <w:top w:val="single" w:sz="12" w:space="0" w:color="auto"/>
          <w:bottom w:val="single" w:sz="12" w:space="0" w:color="auto"/>
          <w:insideH w:val="single" w:sz="2" w:space="0" w:color="auto"/>
          <w:insideV w:val="single" w:sz="2" w:space="0" w:color="auto"/>
        </w:tblBorders>
        <w:tblLook w:val="04A0"/>
      </w:tblPr>
      <w:tblGrid>
        <w:gridCol w:w="1533"/>
        <w:gridCol w:w="1978"/>
        <w:gridCol w:w="1274"/>
        <w:gridCol w:w="1273"/>
        <w:gridCol w:w="1096"/>
        <w:gridCol w:w="1365"/>
      </w:tblGrid>
      <w:tr w:rsidR="002A5A5E" w:rsidRPr="00F9522B">
        <w:trPr>
          <w:trHeight w:val="558"/>
          <w:jc w:val="center"/>
        </w:trPr>
        <w:tc>
          <w:tcPr>
            <w:tcW w:w="900" w:type="pct"/>
            <w:vAlign w:val="center"/>
          </w:tcPr>
          <w:p w:rsidR="002A5A5E" w:rsidRPr="00F9522B" w:rsidRDefault="00611CBA">
            <w:pPr>
              <w:contextualSpacing/>
              <w:jc w:val="center"/>
              <w:rPr>
                <w:rFonts w:eastAsiaTheme="minorEastAsia"/>
                <w:kern w:val="0"/>
              </w:rPr>
            </w:pPr>
            <w:r w:rsidRPr="00F9522B">
              <w:rPr>
                <w:rFonts w:eastAsiaTheme="minorEastAsia"/>
                <w:kern w:val="0"/>
              </w:rPr>
              <w:t>污染物</w:t>
            </w:r>
          </w:p>
        </w:tc>
        <w:tc>
          <w:tcPr>
            <w:tcW w:w="1161" w:type="pct"/>
            <w:vAlign w:val="center"/>
          </w:tcPr>
          <w:p w:rsidR="002A5A5E" w:rsidRPr="00F9522B" w:rsidRDefault="00611CBA">
            <w:pPr>
              <w:contextualSpacing/>
              <w:jc w:val="center"/>
              <w:rPr>
                <w:rFonts w:eastAsiaTheme="minorEastAsia"/>
                <w:kern w:val="0"/>
              </w:rPr>
            </w:pPr>
            <w:r w:rsidRPr="00F9522B">
              <w:rPr>
                <w:rFonts w:eastAsiaTheme="minorEastAsia"/>
                <w:kern w:val="0"/>
              </w:rPr>
              <w:t>年评价指标</w:t>
            </w:r>
          </w:p>
        </w:tc>
        <w:tc>
          <w:tcPr>
            <w:tcW w:w="748" w:type="pct"/>
            <w:vAlign w:val="center"/>
          </w:tcPr>
          <w:p w:rsidR="002A5A5E" w:rsidRPr="00F9522B" w:rsidRDefault="00611CBA">
            <w:pPr>
              <w:contextualSpacing/>
              <w:jc w:val="center"/>
              <w:rPr>
                <w:rFonts w:eastAsiaTheme="minorEastAsia"/>
                <w:kern w:val="0"/>
              </w:rPr>
            </w:pPr>
            <w:r w:rsidRPr="00F9522B">
              <w:rPr>
                <w:rFonts w:eastAsiaTheme="minorEastAsia"/>
                <w:kern w:val="0"/>
              </w:rPr>
              <w:t>现状浓度</w:t>
            </w:r>
            <w:r w:rsidRPr="00F9522B">
              <w:rPr>
                <w:rFonts w:eastAsiaTheme="minorEastAsia"/>
                <w:kern w:val="0"/>
              </w:rPr>
              <w:t>/</w:t>
            </w:r>
          </w:p>
          <w:p w:rsidR="002A5A5E" w:rsidRPr="00F9522B" w:rsidRDefault="00611CBA">
            <w:pPr>
              <w:contextualSpacing/>
              <w:jc w:val="center"/>
              <w:rPr>
                <w:rFonts w:eastAsiaTheme="minorEastAsia"/>
                <w:kern w:val="0"/>
              </w:rPr>
            </w:pPr>
            <w:r w:rsidRPr="00F9522B">
              <w:rPr>
                <w:rFonts w:eastAsiaTheme="minorEastAsia"/>
                <w:kern w:val="0"/>
              </w:rPr>
              <w:t>（</w:t>
            </w:r>
            <w:r w:rsidRPr="00F9522B">
              <w:rPr>
                <w:rFonts w:eastAsiaTheme="minorEastAsia"/>
                <w:kern w:val="0"/>
              </w:rPr>
              <w:t>μg/m</w:t>
            </w:r>
            <w:r w:rsidRPr="00F9522B">
              <w:rPr>
                <w:rFonts w:eastAsiaTheme="minorEastAsia"/>
                <w:kern w:val="0"/>
                <w:vertAlign w:val="superscript"/>
              </w:rPr>
              <w:t>3</w:t>
            </w:r>
            <w:r w:rsidRPr="00F9522B">
              <w:rPr>
                <w:rFonts w:eastAsiaTheme="minorEastAsia"/>
                <w:kern w:val="0"/>
              </w:rPr>
              <w:t>）</w:t>
            </w:r>
          </w:p>
        </w:tc>
        <w:tc>
          <w:tcPr>
            <w:tcW w:w="747" w:type="pct"/>
            <w:vAlign w:val="center"/>
          </w:tcPr>
          <w:p w:rsidR="002A5A5E" w:rsidRPr="00F9522B" w:rsidRDefault="00611CBA">
            <w:pPr>
              <w:contextualSpacing/>
              <w:jc w:val="center"/>
              <w:rPr>
                <w:rFonts w:eastAsiaTheme="minorEastAsia"/>
                <w:kern w:val="0"/>
              </w:rPr>
            </w:pPr>
            <w:r w:rsidRPr="00F9522B">
              <w:rPr>
                <w:rFonts w:eastAsiaTheme="minorEastAsia"/>
                <w:kern w:val="0"/>
              </w:rPr>
              <w:t>标准值</w:t>
            </w:r>
            <w:r w:rsidRPr="00F9522B">
              <w:rPr>
                <w:rFonts w:eastAsiaTheme="minorEastAsia"/>
                <w:kern w:val="0"/>
              </w:rPr>
              <w:t>/</w:t>
            </w:r>
          </w:p>
          <w:p w:rsidR="002A5A5E" w:rsidRPr="00F9522B" w:rsidRDefault="00611CBA">
            <w:pPr>
              <w:contextualSpacing/>
              <w:jc w:val="center"/>
              <w:rPr>
                <w:rFonts w:eastAsiaTheme="minorEastAsia"/>
                <w:kern w:val="0"/>
              </w:rPr>
            </w:pPr>
            <w:r w:rsidRPr="00F9522B">
              <w:rPr>
                <w:rFonts w:eastAsiaTheme="minorEastAsia"/>
                <w:kern w:val="0"/>
              </w:rPr>
              <w:t>（</w:t>
            </w:r>
            <w:r w:rsidRPr="00F9522B">
              <w:rPr>
                <w:rFonts w:eastAsiaTheme="minorEastAsia"/>
                <w:kern w:val="0"/>
              </w:rPr>
              <w:t>μg/m</w:t>
            </w:r>
            <w:r w:rsidRPr="00F9522B">
              <w:rPr>
                <w:rFonts w:eastAsiaTheme="minorEastAsia"/>
                <w:kern w:val="0"/>
                <w:vertAlign w:val="superscript"/>
              </w:rPr>
              <w:t>3</w:t>
            </w:r>
            <w:r w:rsidRPr="00F9522B">
              <w:rPr>
                <w:rFonts w:eastAsiaTheme="minorEastAsia"/>
                <w:kern w:val="0"/>
              </w:rPr>
              <w:t>）</w:t>
            </w:r>
          </w:p>
        </w:tc>
        <w:tc>
          <w:tcPr>
            <w:tcW w:w="643" w:type="pct"/>
            <w:vAlign w:val="center"/>
          </w:tcPr>
          <w:p w:rsidR="002A5A5E" w:rsidRPr="00F9522B" w:rsidRDefault="00611CBA">
            <w:pPr>
              <w:contextualSpacing/>
              <w:jc w:val="center"/>
              <w:rPr>
                <w:rFonts w:eastAsiaTheme="minorEastAsia"/>
                <w:kern w:val="0"/>
              </w:rPr>
            </w:pPr>
            <w:r w:rsidRPr="00F9522B">
              <w:rPr>
                <w:rFonts w:eastAsiaTheme="minorEastAsia"/>
                <w:kern w:val="0"/>
              </w:rPr>
              <w:t>占标率</w:t>
            </w:r>
            <w:r w:rsidRPr="00F9522B">
              <w:rPr>
                <w:rFonts w:eastAsiaTheme="minorEastAsia"/>
                <w:kern w:val="0"/>
              </w:rPr>
              <w:t>/</w:t>
            </w:r>
          </w:p>
          <w:p w:rsidR="002A5A5E" w:rsidRPr="00F9522B" w:rsidRDefault="00611CBA">
            <w:pPr>
              <w:contextualSpacing/>
              <w:jc w:val="center"/>
              <w:rPr>
                <w:rFonts w:eastAsiaTheme="minorEastAsia"/>
                <w:kern w:val="0"/>
              </w:rPr>
            </w:pPr>
            <w:r w:rsidRPr="00F9522B">
              <w:rPr>
                <w:rFonts w:eastAsiaTheme="minorEastAsia"/>
                <w:kern w:val="0"/>
              </w:rPr>
              <w:t>（</w:t>
            </w:r>
            <w:r w:rsidRPr="00F9522B">
              <w:rPr>
                <w:rFonts w:eastAsiaTheme="minorEastAsia"/>
                <w:kern w:val="0"/>
              </w:rPr>
              <w:t>%</w:t>
            </w:r>
            <w:r w:rsidRPr="00F9522B">
              <w:rPr>
                <w:rFonts w:eastAsiaTheme="minorEastAsia"/>
                <w:kern w:val="0"/>
              </w:rPr>
              <w:t>）</w:t>
            </w:r>
          </w:p>
        </w:tc>
        <w:tc>
          <w:tcPr>
            <w:tcW w:w="801" w:type="pct"/>
            <w:vAlign w:val="center"/>
          </w:tcPr>
          <w:p w:rsidR="002A5A5E" w:rsidRPr="00F9522B" w:rsidRDefault="00611CBA">
            <w:pPr>
              <w:contextualSpacing/>
              <w:jc w:val="center"/>
              <w:rPr>
                <w:rFonts w:eastAsiaTheme="minorEastAsia"/>
                <w:kern w:val="0"/>
              </w:rPr>
            </w:pPr>
            <w:r w:rsidRPr="00F9522B">
              <w:rPr>
                <w:rFonts w:eastAsiaTheme="minorEastAsia"/>
                <w:kern w:val="0"/>
              </w:rPr>
              <w:t>达标情况</w:t>
            </w:r>
          </w:p>
        </w:tc>
      </w:tr>
      <w:tr w:rsidR="002A5A5E" w:rsidRPr="00F9522B">
        <w:trPr>
          <w:trHeight w:val="275"/>
          <w:jc w:val="center"/>
        </w:trPr>
        <w:tc>
          <w:tcPr>
            <w:tcW w:w="900" w:type="pct"/>
            <w:vMerge w:val="restart"/>
            <w:vAlign w:val="center"/>
          </w:tcPr>
          <w:p w:rsidR="002A5A5E" w:rsidRPr="00F9522B" w:rsidRDefault="00611CBA">
            <w:pPr>
              <w:contextualSpacing/>
              <w:jc w:val="center"/>
              <w:rPr>
                <w:rFonts w:eastAsiaTheme="minorEastAsia"/>
                <w:kern w:val="0"/>
              </w:rPr>
            </w:pPr>
            <w:r w:rsidRPr="00F9522B">
              <w:rPr>
                <w:rFonts w:eastAsiaTheme="minorEastAsia"/>
                <w:kern w:val="0"/>
              </w:rPr>
              <w:t>细颗粒物（</w:t>
            </w:r>
            <w:r w:rsidRPr="00F9522B">
              <w:rPr>
                <w:rFonts w:eastAsiaTheme="minorEastAsia"/>
                <w:kern w:val="0"/>
              </w:rPr>
              <w:t>PM</w:t>
            </w:r>
            <w:r w:rsidRPr="00F9522B">
              <w:rPr>
                <w:rFonts w:eastAsiaTheme="minorEastAsia"/>
                <w:kern w:val="0"/>
                <w:vertAlign w:val="subscript"/>
              </w:rPr>
              <w:t>2.5</w:t>
            </w:r>
            <w:r w:rsidRPr="00F9522B">
              <w:rPr>
                <w:rFonts w:eastAsiaTheme="minorEastAsia"/>
                <w:kern w:val="0"/>
              </w:rPr>
              <w:t>）</w:t>
            </w:r>
          </w:p>
        </w:tc>
        <w:tc>
          <w:tcPr>
            <w:tcW w:w="1161" w:type="pct"/>
            <w:vAlign w:val="center"/>
          </w:tcPr>
          <w:p w:rsidR="002A5A5E" w:rsidRPr="00F9522B" w:rsidRDefault="00611CBA">
            <w:pPr>
              <w:contextualSpacing/>
              <w:jc w:val="center"/>
              <w:rPr>
                <w:rFonts w:eastAsiaTheme="minorEastAsia"/>
                <w:kern w:val="0"/>
              </w:rPr>
            </w:pPr>
            <w:r w:rsidRPr="00F9522B">
              <w:rPr>
                <w:rFonts w:eastAsiaTheme="minorEastAsia"/>
                <w:kern w:val="0"/>
              </w:rPr>
              <w:t>年平均质量浓度</w:t>
            </w:r>
          </w:p>
        </w:tc>
        <w:tc>
          <w:tcPr>
            <w:tcW w:w="748" w:type="pct"/>
            <w:vAlign w:val="center"/>
          </w:tcPr>
          <w:p w:rsidR="002A5A5E" w:rsidRPr="00F9522B" w:rsidRDefault="00611CBA">
            <w:pPr>
              <w:contextualSpacing/>
              <w:jc w:val="center"/>
              <w:rPr>
                <w:rFonts w:eastAsiaTheme="minorEastAsia"/>
                <w:kern w:val="0"/>
              </w:rPr>
            </w:pPr>
            <w:r w:rsidRPr="00F9522B">
              <w:rPr>
                <w:rFonts w:eastAsiaTheme="minorEastAsia"/>
                <w:kern w:val="0"/>
              </w:rPr>
              <w:t>40</w:t>
            </w:r>
          </w:p>
        </w:tc>
        <w:tc>
          <w:tcPr>
            <w:tcW w:w="747" w:type="pct"/>
            <w:vAlign w:val="center"/>
          </w:tcPr>
          <w:p w:rsidR="002A5A5E" w:rsidRPr="00F9522B" w:rsidRDefault="00611CBA" w:rsidP="00941E0A">
            <w:pPr>
              <w:contextualSpacing/>
              <w:jc w:val="center"/>
              <w:rPr>
                <w:rFonts w:eastAsiaTheme="minorEastAsia"/>
                <w:kern w:val="0"/>
              </w:rPr>
            </w:pPr>
            <w:r w:rsidRPr="00F9522B">
              <w:rPr>
                <w:rFonts w:eastAsiaTheme="minorEastAsia"/>
                <w:kern w:val="0"/>
              </w:rPr>
              <w:t>3</w:t>
            </w:r>
            <w:r w:rsidR="00941E0A" w:rsidRPr="00F9522B">
              <w:rPr>
                <w:rFonts w:eastAsiaTheme="minorEastAsia"/>
                <w:kern w:val="0"/>
              </w:rPr>
              <w:t>0</w:t>
            </w:r>
          </w:p>
        </w:tc>
        <w:tc>
          <w:tcPr>
            <w:tcW w:w="643" w:type="pct"/>
            <w:vAlign w:val="center"/>
          </w:tcPr>
          <w:p w:rsidR="002A5A5E" w:rsidRPr="00F9522B" w:rsidRDefault="002134CD">
            <w:pPr>
              <w:contextualSpacing/>
              <w:jc w:val="center"/>
              <w:rPr>
                <w:rFonts w:eastAsiaTheme="minorEastAsia"/>
                <w:kern w:val="0"/>
              </w:rPr>
            </w:pPr>
            <w:r w:rsidRPr="00F9522B">
              <w:rPr>
                <w:rFonts w:eastAsiaTheme="minorEastAsia"/>
                <w:kern w:val="0"/>
              </w:rPr>
              <w:t>133.3</w:t>
            </w:r>
          </w:p>
        </w:tc>
        <w:tc>
          <w:tcPr>
            <w:tcW w:w="801" w:type="pct"/>
            <w:vMerge w:val="restart"/>
            <w:vAlign w:val="center"/>
          </w:tcPr>
          <w:p w:rsidR="002A5A5E" w:rsidRPr="00F9522B" w:rsidRDefault="00611CBA">
            <w:pPr>
              <w:contextualSpacing/>
              <w:jc w:val="center"/>
              <w:rPr>
                <w:rFonts w:eastAsiaTheme="minorEastAsia"/>
                <w:kern w:val="0"/>
              </w:rPr>
            </w:pPr>
            <w:r w:rsidRPr="00F9522B">
              <w:rPr>
                <w:rFonts w:eastAsiaTheme="minorEastAsia"/>
                <w:kern w:val="0"/>
              </w:rPr>
              <w:t>超标</w:t>
            </w:r>
          </w:p>
        </w:tc>
      </w:tr>
      <w:tr w:rsidR="002A5A5E" w:rsidRPr="00F9522B">
        <w:trPr>
          <w:trHeight w:val="275"/>
          <w:jc w:val="center"/>
        </w:trPr>
        <w:tc>
          <w:tcPr>
            <w:tcW w:w="900" w:type="pct"/>
            <w:vMerge/>
            <w:vAlign w:val="center"/>
          </w:tcPr>
          <w:p w:rsidR="002A5A5E" w:rsidRPr="00F9522B" w:rsidRDefault="002A5A5E">
            <w:pPr>
              <w:contextualSpacing/>
              <w:jc w:val="center"/>
              <w:rPr>
                <w:rFonts w:eastAsiaTheme="minorEastAsia"/>
                <w:kern w:val="0"/>
              </w:rPr>
            </w:pPr>
          </w:p>
        </w:tc>
        <w:tc>
          <w:tcPr>
            <w:tcW w:w="1161" w:type="pct"/>
            <w:vAlign w:val="center"/>
          </w:tcPr>
          <w:p w:rsidR="002A5A5E" w:rsidRPr="00F9522B" w:rsidRDefault="00611CBA">
            <w:pPr>
              <w:contextualSpacing/>
              <w:jc w:val="center"/>
              <w:rPr>
                <w:rFonts w:eastAsiaTheme="minorEastAsia"/>
                <w:kern w:val="0"/>
              </w:rPr>
            </w:pPr>
            <w:r w:rsidRPr="00F9522B">
              <w:rPr>
                <w:rFonts w:eastAsiaTheme="minorEastAsia"/>
                <w:kern w:val="0"/>
              </w:rPr>
              <w:t>百分位数日平均</w:t>
            </w:r>
          </w:p>
        </w:tc>
        <w:tc>
          <w:tcPr>
            <w:tcW w:w="748" w:type="pct"/>
            <w:vAlign w:val="center"/>
          </w:tcPr>
          <w:p w:rsidR="002A5A5E" w:rsidRPr="00F9522B" w:rsidRDefault="00611CBA">
            <w:pPr>
              <w:contextualSpacing/>
              <w:jc w:val="center"/>
              <w:rPr>
                <w:rFonts w:eastAsiaTheme="minorEastAsia"/>
                <w:kern w:val="0"/>
              </w:rPr>
            </w:pPr>
            <w:r w:rsidRPr="00F9522B">
              <w:rPr>
                <w:rFonts w:eastAsiaTheme="minorEastAsia"/>
                <w:kern w:val="0"/>
              </w:rPr>
              <w:t>124</w:t>
            </w:r>
          </w:p>
        </w:tc>
        <w:tc>
          <w:tcPr>
            <w:tcW w:w="747" w:type="pct"/>
            <w:vAlign w:val="center"/>
          </w:tcPr>
          <w:p w:rsidR="002A5A5E" w:rsidRPr="00F9522B" w:rsidRDefault="00941E0A">
            <w:pPr>
              <w:contextualSpacing/>
              <w:jc w:val="center"/>
              <w:rPr>
                <w:rFonts w:eastAsiaTheme="minorEastAsia"/>
                <w:kern w:val="0"/>
              </w:rPr>
            </w:pPr>
            <w:r w:rsidRPr="00F9522B">
              <w:rPr>
                <w:rFonts w:eastAsiaTheme="minorEastAsia"/>
                <w:kern w:val="0"/>
              </w:rPr>
              <w:t>60</w:t>
            </w:r>
          </w:p>
        </w:tc>
        <w:tc>
          <w:tcPr>
            <w:tcW w:w="643" w:type="pct"/>
            <w:vAlign w:val="center"/>
          </w:tcPr>
          <w:p w:rsidR="002A5A5E" w:rsidRPr="00F9522B" w:rsidRDefault="002134CD">
            <w:pPr>
              <w:contextualSpacing/>
              <w:jc w:val="center"/>
              <w:rPr>
                <w:rFonts w:eastAsiaTheme="minorEastAsia"/>
                <w:kern w:val="0"/>
              </w:rPr>
            </w:pPr>
            <w:r w:rsidRPr="00F9522B">
              <w:rPr>
                <w:rFonts w:eastAsiaTheme="minorEastAsia"/>
                <w:kern w:val="0"/>
              </w:rPr>
              <w:t>206.7</w:t>
            </w:r>
          </w:p>
        </w:tc>
        <w:tc>
          <w:tcPr>
            <w:tcW w:w="801" w:type="pct"/>
            <w:vMerge/>
            <w:vAlign w:val="center"/>
          </w:tcPr>
          <w:p w:rsidR="002A5A5E" w:rsidRPr="00F9522B" w:rsidRDefault="002A5A5E">
            <w:pPr>
              <w:contextualSpacing/>
              <w:jc w:val="center"/>
              <w:rPr>
                <w:rFonts w:eastAsiaTheme="minorEastAsia"/>
                <w:kern w:val="0"/>
              </w:rPr>
            </w:pPr>
          </w:p>
        </w:tc>
      </w:tr>
      <w:tr w:rsidR="002A5A5E" w:rsidRPr="00F9522B">
        <w:trPr>
          <w:trHeight w:val="288"/>
          <w:jc w:val="center"/>
        </w:trPr>
        <w:tc>
          <w:tcPr>
            <w:tcW w:w="900" w:type="pct"/>
            <w:vMerge w:val="restart"/>
            <w:vAlign w:val="center"/>
          </w:tcPr>
          <w:p w:rsidR="002A5A5E" w:rsidRPr="00F9522B" w:rsidRDefault="00611CBA">
            <w:pPr>
              <w:contextualSpacing/>
              <w:jc w:val="center"/>
              <w:rPr>
                <w:rFonts w:eastAsiaTheme="minorEastAsia"/>
                <w:kern w:val="0"/>
              </w:rPr>
            </w:pPr>
            <w:r w:rsidRPr="00F9522B">
              <w:rPr>
                <w:rFonts w:eastAsiaTheme="minorEastAsia"/>
                <w:kern w:val="0"/>
              </w:rPr>
              <w:t>可吸入颗粒物（</w:t>
            </w:r>
            <w:r w:rsidRPr="00F9522B">
              <w:rPr>
                <w:rFonts w:eastAsiaTheme="minorEastAsia"/>
                <w:kern w:val="0"/>
              </w:rPr>
              <w:t>PM</w:t>
            </w:r>
            <w:r w:rsidRPr="00F9522B">
              <w:rPr>
                <w:rFonts w:eastAsiaTheme="minorEastAsia"/>
                <w:kern w:val="0"/>
                <w:vertAlign w:val="subscript"/>
              </w:rPr>
              <w:t>10</w:t>
            </w:r>
            <w:r w:rsidRPr="00F9522B">
              <w:rPr>
                <w:rFonts w:eastAsiaTheme="minorEastAsia"/>
                <w:kern w:val="0"/>
              </w:rPr>
              <w:t>）</w:t>
            </w:r>
          </w:p>
        </w:tc>
        <w:tc>
          <w:tcPr>
            <w:tcW w:w="1161" w:type="pct"/>
            <w:vAlign w:val="center"/>
          </w:tcPr>
          <w:p w:rsidR="002A5A5E" w:rsidRPr="00F9522B" w:rsidRDefault="00611CBA">
            <w:pPr>
              <w:contextualSpacing/>
              <w:jc w:val="center"/>
              <w:rPr>
                <w:rFonts w:eastAsiaTheme="minorEastAsia"/>
                <w:kern w:val="0"/>
              </w:rPr>
            </w:pPr>
            <w:r w:rsidRPr="00F9522B">
              <w:rPr>
                <w:rFonts w:eastAsiaTheme="minorEastAsia"/>
                <w:kern w:val="0"/>
              </w:rPr>
              <w:t>年平均质量浓度</w:t>
            </w:r>
          </w:p>
        </w:tc>
        <w:tc>
          <w:tcPr>
            <w:tcW w:w="748" w:type="pct"/>
            <w:vAlign w:val="center"/>
          </w:tcPr>
          <w:p w:rsidR="002A5A5E" w:rsidRPr="00F9522B" w:rsidRDefault="00611CBA">
            <w:pPr>
              <w:contextualSpacing/>
              <w:jc w:val="center"/>
              <w:rPr>
                <w:rFonts w:eastAsiaTheme="minorEastAsia"/>
                <w:kern w:val="0"/>
              </w:rPr>
            </w:pPr>
            <w:r w:rsidRPr="00F9522B">
              <w:rPr>
                <w:rFonts w:eastAsiaTheme="minorEastAsia"/>
                <w:kern w:val="0"/>
              </w:rPr>
              <w:t>62</w:t>
            </w:r>
          </w:p>
        </w:tc>
        <w:tc>
          <w:tcPr>
            <w:tcW w:w="747" w:type="pct"/>
            <w:vAlign w:val="center"/>
          </w:tcPr>
          <w:p w:rsidR="002A5A5E" w:rsidRPr="00F9522B" w:rsidRDefault="00941E0A">
            <w:pPr>
              <w:contextualSpacing/>
              <w:jc w:val="center"/>
              <w:rPr>
                <w:rFonts w:eastAsiaTheme="minorEastAsia"/>
                <w:kern w:val="0"/>
              </w:rPr>
            </w:pPr>
            <w:r w:rsidRPr="00F9522B">
              <w:rPr>
                <w:rFonts w:eastAsiaTheme="minorEastAsia"/>
                <w:kern w:val="0"/>
              </w:rPr>
              <w:t>6</w:t>
            </w:r>
            <w:r w:rsidR="00611CBA" w:rsidRPr="00F9522B">
              <w:rPr>
                <w:rFonts w:eastAsiaTheme="minorEastAsia"/>
                <w:kern w:val="0"/>
              </w:rPr>
              <w:t>0</w:t>
            </w:r>
          </w:p>
        </w:tc>
        <w:tc>
          <w:tcPr>
            <w:tcW w:w="643" w:type="pct"/>
            <w:vAlign w:val="center"/>
          </w:tcPr>
          <w:p w:rsidR="002A5A5E" w:rsidRPr="00F9522B" w:rsidRDefault="002134CD">
            <w:pPr>
              <w:contextualSpacing/>
              <w:jc w:val="center"/>
              <w:rPr>
                <w:rFonts w:eastAsiaTheme="minorEastAsia"/>
                <w:kern w:val="0"/>
              </w:rPr>
            </w:pPr>
            <w:r w:rsidRPr="00F9522B">
              <w:rPr>
                <w:rFonts w:eastAsiaTheme="minorEastAsia"/>
                <w:kern w:val="0"/>
              </w:rPr>
              <w:t>103.3</w:t>
            </w:r>
          </w:p>
        </w:tc>
        <w:tc>
          <w:tcPr>
            <w:tcW w:w="801" w:type="pct"/>
            <w:vMerge w:val="restart"/>
            <w:vAlign w:val="center"/>
          </w:tcPr>
          <w:p w:rsidR="002A5A5E" w:rsidRPr="00F9522B" w:rsidRDefault="00611CBA">
            <w:pPr>
              <w:contextualSpacing/>
              <w:jc w:val="center"/>
              <w:rPr>
                <w:rFonts w:eastAsiaTheme="minorEastAsia"/>
                <w:kern w:val="0"/>
              </w:rPr>
            </w:pPr>
            <w:r w:rsidRPr="00F9522B">
              <w:rPr>
                <w:rFonts w:eastAsiaTheme="minorEastAsia"/>
                <w:kern w:val="0"/>
              </w:rPr>
              <w:t>超标</w:t>
            </w:r>
          </w:p>
        </w:tc>
      </w:tr>
      <w:tr w:rsidR="002A5A5E" w:rsidRPr="00F9522B">
        <w:trPr>
          <w:trHeight w:val="288"/>
          <w:jc w:val="center"/>
        </w:trPr>
        <w:tc>
          <w:tcPr>
            <w:tcW w:w="900" w:type="pct"/>
            <w:vMerge/>
            <w:vAlign w:val="center"/>
          </w:tcPr>
          <w:p w:rsidR="002A5A5E" w:rsidRPr="00F9522B" w:rsidRDefault="002A5A5E">
            <w:pPr>
              <w:contextualSpacing/>
              <w:jc w:val="center"/>
              <w:rPr>
                <w:rFonts w:eastAsiaTheme="minorEastAsia"/>
                <w:kern w:val="0"/>
              </w:rPr>
            </w:pPr>
          </w:p>
        </w:tc>
        <w:tc>
          <w:tcPr>
            <w:tcW w:w="1161" w:type="pct"/>
            <w:vAlign w:val="center"/>
          </w:tcPr>
          <w:p w:rsidR="002A5A5E" w:rsidRPr="00F9522B" w:rsidRDefault="00611CBA">
            <w:pPr>
              <w:contextualSpacing/>
              <w:jc w:val="center"/>
              <w:rPr>
                <w:rFonts w:eastAsiaTheme="minorEastAsia"/>
                <w:kern w:val="0"/>
              </w:rPr>
            </w:pPr>
            <w:r w:rsidRPr="00F9522B">
              <w:rPr>
                <w:rFonts w:eastAsiaTheme="minorEastAsia"/>
                <w:kern w:val="0"/>
              </w:rPr>
              <w:t>百分位数日平均</w:t>
            </w:r>
          </w:p>
        </w:tc>
        <w:tc>
          <w:tcPr>
            <w:tcW w:w="748" w:type="pct"/>
            <w:vAlign w:val="center"/>
          </w:tcPr>
          <w:p w:rsidR="002A5A5E" w:rsidRPr="00F9522B" w:rsidRDefault="00611CBA">
            <w:pPr>
              <w:contextualSpacing/>
              <w:jc w:val="center"/>
              <w:rPr>
                <w:rFonts w:eastAsiaTheme="minorEastAsia"/>
                <w:kern w:val="0"/>
              </w:rPr>
            </w:pPr>
            <w:r w:rsidRPr="00F9522B">
              <w:rPr>
                <w:rFonts w:eastAsiaTheme="minorEastAsia"/>
                <w:kern w:val="0"/>
              </w:rPr>
              <w:t>151</w:t>
            </w:r>
          </w:p>
        </w:tc>
        <w:tc>
          <w:tcPr>
            <w:tcW w:w="747" w:type="pct"/>
            <w:vAlign w:val="center"/>
          </w:tcPr>
          <w:p w:rsidR="002A5A5E" w:rsidRPr="00F9522B" w:rsidRDefault="00611CBA" w:rsidP="00941E0A">
            <w:pPr>
              <w:contextualSpacing/>
              <w:jc w:val="center"/>
              <w:rPr>
                <w:rFonts w:eastAsiaTheme="minorEastAsia"/>
                <w:kern w:val="0"/>
              </w:rPr>
            </w:pPr>
            <w:r w:rsidRPr="00F9522B">
              <w:rPr>
                <w:rFonts w:eastAsiaTheme="minorEastAsia"/>
                <w:kern w:val="0"/>
              </w:rPr>
              <w:t>1</w:t>
            </w:r>
            <w:r w:rsidR="00941E0A" w:rsidRPr="00F9522B">
              <w:rPr>
                <w:rFonts w:eastAsiaTheme="minorEastAsia"/>
                <w:kern w:val="0"/>
              </w:rPr>
              <w:t>2</w:t>
            </w:r>
            <w:r w:rsidRPr="00F9522B">
              <w:rPr>
                <w:rFonts w:eastAsiaTheme="minorEastAsia"/>
                <w:kern w:val="0"/>
              </w:rPr>
              <w:t>0</w:t>
            </w:r>
          </w:p>
        </w:tc>
        <w:tc>
          <w:tcPr>
            <w:tcW w:w="643" w:type="pct"/>
            <w:vAlign w:val="center"/>
          </w:tcPr>
          <w:p w:rsidR="002A5A5E" w:rsidRPr="00F9522B" w:rsidRDefault="002134CD">
            <w:pPr>
              <w:contextualSpacing/>
              <w:jc w:val="center"/>
              <w:rPr>
                <w:rFonts w:eastAsiaTheme="minorEastAsia"/>
                <w:kern w:val="0"/>
              </w:rPr>
            </w:pPr>
            <w:r w:rsidRPr="00F9522B">
              <w:rPr>
                <w:rFonts w:eastAsiaTheme="minorEastAsia"/>
                <w:kern w:val="0"/>
              </w:rPr>
              <w:t>125.8</w:t>
            </w:r>
          </w:p>
        </w:tc>
        <w:tc>
          <w:tcPr>
            <w:tcW w:w="801" w:type="pct"/>
            <w:vMerge/>
            <w:vAlign w:val="center"/>
          </w:tcPr>
          <w:p w:rsidR="002A5A5E" w:rsidRPr="00F9522B" w:rsidRDefault="002A5A5E">
            <w:pPr>
              <w:contextualSpacing/>
              <w:jc w:val="center"/>
              <w:rPr>
                <w:rFonts w:eastAsiaTheme="minorEastAsia"/>
                <w:kern w:val="0"/>
              </w:rPr>
            </w:pPr>
          </w:p>
        </w:tc>
      </w:tr>
      <w:tr w:rsidR="002A5A5E" w:rsidRPr="00F9522B">
        <w:trPr>
          <w:trHeight w:val="275"/>
          <w:jc w:val="center"/>
        </w:trPr>
        <w:tc>
          <w:tcPr>
            <w:tcW w:w="900" w:type="pct"/>
            <w:vMerge w:val="restart"/>
            <w:vAlign w:val="center"/>
          </w:tcPr>
          <w:p w:rsidR="002A5A5E" w:rsidRPr="00F9522B" w:rsidRDefault="00611CBA">
            <w:pPr>
              <w:contextualSpacing/>
              <w:jc w:val="center"/>
              <w:rPr>
                <w:rFonts w:eastAsiaTheme="minorEastAsia"/>
                <w:kern w:val="0"/>
              </w:rPr>
            </w:pPr>
            <w:r w:rsidRPr="00F9522B">
              <w:rPr>
                <w:rFonts w:eastAsiaTheme="minorEastAsia"/>
                <w:kern w:val="0"/>
              </w:rPr>
              <w:t>二氧化氮</w:t>
            </w:r>
          </w:p>
        </w:tc>
        <w:tc>
          <w:tcPr>
            <w:tcW w:w="1161" w:type="pct"/>
            <w:vAlign w:val="center"/>
          </w:tcPr>
          <w:p w:rsidR="002A5A5E" w:rsidRPr="00F9522B" w:rsidRDefault="00611CBA">
            <w:pPr>
              <w:contextualSpacing/>
              <w:jc w:val="center"/>
              <w:rPr>
                <w:rFonts w:eastAsiaTheme="minorEastAsia"/>
                <w:kern w:val="0"/>
              </w:rPr>
            </w:pPr>
            <w:r w:rsidRPr="00F9522B">
              <w:rPr>
                <w:rFonts w:eastAsiaTheme="minorEastAsia"/>
                <w:kern w:val="0"/>
              </w:rPr>
              <w:t>年平均质量浓度</w:t>
            </w:r>
          </w:p>
        </w:tc>
        <w:tc>
          <w:tcPr>
            <w:tcW w:w="748" w:type="pct"/>
            <w:vAlign w:val="center"/>
          </w:tcPr>
          <w:p w:rsidR="002A5A5E" w:rsidRPr="00F9522B" w:rsidRDefault="00611CBA">
            <w:pPr>
              <w:contextualSpacing/>
              <w:jc w:val="center"/>
              <w:rPr>
                <w:rFonts w:eastAsiaTheme="minorEastAsia"/>
                <w:kern w:val="0"/>
              </w:rPr>
            </w:pPr>
            <w:r w:rsidRPr="00F9522B">
              <w:rPr>
                <w:rFonts w:eastAsiaTheme="minorEastAsia"/>
                <w:kern w:val="0"/>
              </w:rPr>
              <w:t>29</w:t>
            </w:r>
          </w:p>
        </w:tc>
        <w:tc>
          <w:tcPr>
            <w:tcW w:w="747" w:type="pct"/>
            <w:vAlign w:val="center"/>
          </w:tcPr>
          <w:p w:rsidR="002A5A5E" w:rsidRPr="00F9522B" w:rsidRDefault="00611CBA">
            <w:pPr>
              <w:contextualSpacing/>
              <w:jc w:val="center"/>
              <w:rPr>
                <w:rFonts w:eastAsiaTheme="minorEastAsia"/>
                <w:kern w:val="0"/>
              </w:rPr>
            </w:pPr>
            <w:r w:rsidRPr="00F9522B">
              <w:rPr>
                <w:rFonts w:eastAsiaTheme="minorEastAsia"/>
                <w:kern w:val="0"/>
              </w:rPr>
              <w:t>40</w:t>
            </w:r>
          </w:p>
        </w:tc>
        <w:tc>
          <w:tcPr>
            <w:tcW w:w="643" w:type="pct"/>
            <w:vAlign w:val="center"/>
          </w:tcPr>
          <w:p w:rsidR="002A5A5E" w:rsidRPr="00F9522B" w:rsidRDefault="00611CBA">
            <w:pPr>
              <w:contextualSpacing/>
              <w:jc w:val="center"/>
              <w:rPr>
                <w:rFonts w:eastAsiaTheme="minorEastAsia"/>
                <w:kern w:val="0"/>
              </w:rPr>
            </w:pPr>
            <w:r w:rsidRPr="00F9522B">
              <w:rPr>
                <w:rFonts w:eastAsiaTheme="minorEastAsia"/>
                <w:kern w:val="0"/>
              </w:rPr>
              <w:t>72.5</w:t>
            </w:r>
          </w:p>
        </w:tc>
        <w:tc>
          <w:tcPr>
            <w:tcW w:w="801" w:type="pct"/>
            <w:vMerge w:val="restart"/>
            <w:vAlign w:val="center"/>
          </w:tcPr>
          <w:p w:rsidR="002A5A5E" w:rsidRPr="00F9522B" w:rsidRDefault="00611CBA">
            <w:pPr>
              <w:contextualSpacing/>
              <w:jc w:val="center"/>
              <w:rPr>
                <w:rFonts w:eastAsiaTheme="minorEastAsia"/>
                <w:kern w:val="0"/>
              </w:rPr>
            </w:pPr>
            <w:r w:rsidRPr="00F9522B">
              <w:rPr>
                <w:rFonts w:eastAsiaTheme="minorEastAsia"/>
                <w:kern w:val="0"/>
              </w:rPr>
              <w:t>达标</w:t>
            </w:r>
          </w:p>
        </w:tc>
      </w:tr>
      <w:tr w:rsidR="002A5A5E" w:rsidRPr="00F9522B">
        <w:trPr>
          <w:trHeight w:val="275"/>
          <w:jc w:val="center"/>
        </w:trPr>
        <w:tc>
          <w:tcPr>
            <w:tcW w:w="900" w:type="pct"/>
            <w:vMerge/>
            <w:vAlign w:val="center"/>
          </w:tcPr>
          <w:p w:rsidR="002A5A5E" w:rsidRPr="00F9522B" w:rsidRDefault="002A5A5E">
            <w:pPr>
              <w:contextualSpacing/>
              <w:jc w:val="center"/>
              <w:rPr>
                <w:rFonts w:eastAsiaTheme="minorEastAsia"/>
                <w:kern w:val="0"/>
              </w:rPr>
            </w:pPr>
          </w:p>
        </w:tc>
        <w:tc>
          <w:tcPr>
            <w:tcW w:w="1161" w:type="pct"/>
            <w:vAlign w:val="center"/>
          </w:tcPr>
          <w:p w:rsidR="002A5A5E" w:rsidRPr="00F9522B" w:rsidRDefault="00611CBA">
            <w:pPr>
              <w:contextualSpacing/>
              <w:jc w:val="center"/>
              <w:rPr>
                <w:rFonts w:eastAsiaTheme="minorEastAsia"/>
                <w:kern w:val="0"/>
              </w:rPr>
            </w:pPr>
            <w:r w:rsidRPr="00F9522B">
              <w:rPr>
                <w:rFonts w:eastAsiaTheme="minorEastAsia"/>
                <w:kern w:val="0"/>
              </w:rPr>
              <w:t>百分位数日平均</w:t>
            </w:r>
          </w:p>
        </w:tc>
        <w:tc>
          <w:tcPr>
            <w:tcW w:w="748" w:type="pct"/>
            <w:vAlign w:val="center"/>
          </w:tcPr>
          <w:p w:rsidR="002A5A5E" w:rsidRPr="00F9522B" w:rsidRDefault="00611CBA">
            <w:pPr>
              <w:contextualSpacing/>
              <w:jc w:val="center"/>
              <w:rPr>
                <w:rFonts w:eastAsiaTheme="minorEastAsia"/>
                <w:kern w:val="0"/>
              </w:rPr>
            </w:pPr>
            <w:r w:rsidRPr="00F9522B">
              <w:rPr>
                <w:rFonts w:eastAsiaTheme="minorEastAsia"/>
                <w:kern w:val="0"/>
              </w:rPr>
              <w:t>57</w:t>
            </w:r>
          </w:p>
        </w:tc>
        <w:tc>
          <w:tcPr>
            <w:tcW w:w="747" w:type="pct"/>
            <w:vAlign w:val="center"/>
          </w:tcPr>
          <w:p w:rsidR="002A5A5E" w:rsidRPr="00F9522B" w:rsidRDefault="00611CBA">
            <w:pPr>
              <w:contextualSpacing/>
              <w:jc w:val="center"/>
              <w:rPr>
                <w:rFonts w:eastAsiaTheme="minorEastAsia"/>
                <w:kern w:val="0"/>
              </w:rPr>
            </w:pPr>
            <w:r w:rsidRPr="00F9522B">
              <w:rPr>
                <w:rFonts w:eastAsiaTheme="minorEastAsia"/>
                <w:kern w:val="0"/>
              </w:rPr>
              <w:t>80</w:t>
            </w:r>
          </w:p>
        </w:tc>
        <w:tc>
          <w:tcPr>
            <w:tcW w:w="643" w:type="pct"/>
            <w:vAlign w:val="center"/>
          </w:tcPr>
          <w:p w:rsidR="002A5A5E" w:rsidRPr="00F9522B" w:rsidRDefault="00611CBA">
            <w:pPr>
              <w:contextualSpacing/>
              <w:jc w:val="center"/>
              <w:rPr>
                <w:rFonts w:eastAsiaTheme="minorEastAsia"/>
                <w:kern w:val="0"/>
              </w:rPr>
            </w:pPr>
            <w:r w:rsidRPr="00F9522B">
              <w:rPr>
                <w:rFonts w:eastAsiaTheme="minorEastAsia"/>
                <w:kern w:val="0"/>
              </w:rPr>
              <w:t>71.3</w:t>
            </w:r>
          </w:p>
        </w:tc>
        <w:tc>
          <w:tcPr>
            <w:tcW w:w="801" w:type="pct"/>
            <w:vMerge/>
            <w:vAlign w:val="center"/>
          </w:tcPr>
          <w:p w:rsidR="002A5A5E" w:rsidRPr="00F9522B" w:rsidRDefault="002A5A5E">
            <w:pPr>
              <w:contextualSpacing/>
              <w:jc w:val="center"/>
              <w:rPr>
                <w:rFonts w:eastAsiaTheme="minorEastAsia"/>
                <w:kern w:val="0"/>
              </w:rPr>
            </w:pPr>
          </w:p>
        </w:tc>
      </w:tr>
      <w:tr w:rsidR="002A5A5E" w:rsidRPr="00F9522B">
        <w:trPr>
          <w:trHeight w:val="275"/>
          <w:jc w:val="center"/>
        </w:trPr>
        <w:tc>
          <w:tcPr>
            <w:tcW w:w="900" w:type="pct"/>
            <w:vMerge w:val="restart"/>
            <w:vAlign w:val="center"/>
          </w:tcPr>
          <w:p w:rsidR="002A5A5E" w:rsidRPr="00F9522B" w:rsidRDefault="00611CBA">
            <w:pPr>
              <w:contextualSpacing/>
              <w:jc w:val="center"/>
              <w:rPr>
                <w:rFonts w:eastAsiaTheme="minorEastAsia"/>
                <w:kern w:val="0"/>
              </w:rPr>
            </w:pPr>
            <w:r w:rsidRPr="00F9522B">
              <w:rPr>
                <w:rFonts w:eastAsiaTheme="minorEastAsia"/>
                <w:kern w:val="0"/>
              </w:rPr>
              <w:t>二氧化硫</w:t>
            </w:r>
          </w:p>
        </w:tc>
        <w:tc>
          <w:tcPr>
            <w:tcW w:w="1161" w:type="pct"/>
            <w:vAlign w:val="center"/>
          </w:tcPr>
          <w:p w:rsidR="002A5A5E" w:rsidRPr="00F9522B" w:rsidRDefault="00611CBA">
            <w:pPr>
              <w:contextualSpacing/>
              <w:jc w:val="center"/>
              <w:rPr>
                <w:rFonts w:eastAsiaTheme="minorEastAsia"/>
                <w:kern w:val="0"/>
              </w:rPr>
            </w:pPr>
            <w:r w:rsidRPr="00F9522B">
              <w:rPr>
                <w:rFonts w:eastAsiaTheme="minorEastAsia"/>
                <w:kern w:val="0"/>
              </w:rPr>
              <w:t>年平均质量浓度</w:t>
            </w:r>
          </w:p>
        </w:tc>
        <w:tc>
          <w:tcPr>
            <w:tcW w:w="748" w:type="pct"/>
            <w:vAlign w:val="center"/>
          </w:tcPr>
          <w:p w:rsidR="002A5A5E" w:rsidRPr="00F9522B" w:rsidRDefault="00611CBA">
            <w:pPr>
              <w:contextualSpacing/>
              <w:jc w:val="center"/>
              <w:rPr>
                <w:rFonts w:eastAsiaTheme="minorEastAsia"/>
                <w:kern w:val="0"/>
              </w:rPr>
            </w:pPr>
            <w:r w:rsidRPr="00F9522B">
              <w:rPr>
                <w:rFonts w:eastAsiaTheme="minorEastAsia"/>
                <w:kern w:val="0"/>
              </w:rPr>
              <w:t>10</w:t>
            </w:r>
          </w:p>
        </w:tc>
        <w:tc>
          <w:tcPr>
            <w:tcW w:w="747" w:type="pct"/>
            <w:vAlign w:val="center"/>
          </w:tcPr>
          <w:p w:rsidR="002A5A5E" w:rsidRPr="00F9522B" w:rsidRDefault="00611CBA">
            <w:pPr>
              <w:contextualSpacing/>
              <w:jc w:val="center"/>
              <w:rPr>
                <w:rFonts w:eastAsiaTheme="minorEastAsia"/>
                <w:kern w:val="0"/>
              </w:rPr>
            </w:pPr>
            <w:r w:rsidRPr="00F9522B">
              <w:rPr>
                <w:rFonts w:eastAsiaTheme="minorEastAsia"/>
                <w:kern w:val="0"/>
              </w:rPr>
              <w:t>60</w:t>
            </w:r>
          </w:p>
        </w:tc>
        <w:tc>
          <w:tcPr>
            <w:tcW w:w="643" w:type="pct"/>
            <w:vAlign w:val="center"/>
          </w:tcPr>
          <w:p w:rsidR="002A5A5E" w:rsidRPr="00F9522B" w:rsidRDefault="00611CBA">
            <w:pPr>
              <w:contextualSpacing/>
              <w:jc w:val="center"/>
              <w:rPr>
                <w:rFonts w:eastAsiaTheme="minorEastAsia"/>
                <w:kern w:val="0"/>
              </w:rPr>
            </w:pPr>
            <w:r w:rsidRPr="00F9522B">
              <w:rPr>
                <w:rFonts w:eastAsiaTheme="minorEastAsia"/>
                <w:kern w:val="0"/>
              </w:rPr>
              <w:t>16.7</w:t>
            </w:r>
          </w:p>
        </w:tc>
        <w:tc>
          <w:tcPr>
            <w:tcW w:w="801" w:type="pct"/>
            <w:vMerge w:val="restart"/>
            <w:vAlign w:val="center"/>
          </w:tcPr>
          <w:p w:rsidR="002A5A5E" w:rsidRPr="00F9522B" w:rsidRDefault="00611CBA">
            <w:pPr>
              <w:contextualSpacing/>
              <w:jc w:val="center"/>
              <w:rPr>
                <w:rFonts w:eastAsiaTheme="minorEastAsia"/>
                <w:kern w:val="0"/>
              </w:rPr>
            </w:pPr>
            <w:r w:rsidRPr="00F9522B">
              <w:rPr>
                <w:rFonts w:eastAsiaTheme="minorEastAsia"/>
                <w:kern w:val="0"/>
              </w:rPr>
              <w:t>达标</w:t>
            </w:r>
          </w:p>
        </w:tc>
      </w:tr>
      <w:tr w:rsidR="002A5A5E" w:rsidRPr="00F9522B">
        <w:trPr>
          <w:trHeight w:val="275"/>
          <w:jc w:val="center"/>
        </w:trPr>
        <w:tc>
          <w:tcPr>
            <w:tcW w:w="900" w:type="pct"/>
            <w:vMerge/>
            <w:vAlign w:val="center"/>
          </w:tcPr>
          <w:p w:rsidR="002A5A5E" w:rsidRPr="00F9522B" w:rsidRDefault="002A5A5E">
            <w:pPr>
              <w:contextualSpacing/>
              <w:jc w:val="center"/>
              <w:rPr>
                <w:rFonts w:eastAsiaTheme="minorEastAsia"/>
                <w:kern w:val="0"/>
              </w:rPr>
            </w:pPr>
          </w:p>
        </w:tc>
        <w:tc>
          <w:tcPr>
            <w:tcW w:w="1161" w:type="pct"/>
            <w:vAlign w:val="center"/>
          </w:tcPr>
          <w:p w:rsidR="002A5A5E" w:rsidRPr="00F9522B" w:rsidRDefault="00611CBA">
            <w:pPr>
              <w:contextualSpacing/>
              <w:jc w:val="center"/>
              <w:rPr>
                <w:rFonts w:eastAsiaTheme="minorEastAsia"/>
                <w:kern w:val="0"/>
              </w:rPr>
            </w:pPr>
            <w:r w:rsidRPr="00F9522B">
              <w:rPr>
                <w:rFonts w:eastAsiaTheme="minorEastAsia"/>
                <w:kern w:val="0"/>
              </w:rPr>
              <w:t>百分位数日平均</w:t>
            </w:r>
          </w:p>
        </w:tc>
        <w:tc>
          <w:tcPr>
            <w:tcW w:w="748" w:type="pct"/>
            <w:vAlign w:val="center"/>
          </w:tcPr>
          <w:p w:rsidR="002A5A5E" w:rsidRPr="00F9522B" w:rsidRDefault="00611CBA">
            <w:pPr>
              <w:contextualSpacing/>
              <w:jc w:val="center"/>
              <w:rPr>
                <w:rFonts w:eastAsiaTheme="minorEastAsia"/>
                <w:kern w:val="0"/>
              </w:rPr>
            </w:pPr>
            <w:r w:rsidRPr="00F9522B">
              <w:rPr>
                <w:rFonts w:eastAsiaTheme="minorEastAsia"/>
                <w:kern w:val="0"/>
              </w:rPr>
              <w:t>21</w:t>
            </w:r>
          </w:p>
        </w:tc>
        <w:tc>
          <w:tcPr>
            <w:tcW w:w="747" w:type="pct"/>
            <w:vAlign w:val="center"/>
          </w:tcPr>
          <w:p w:rsidR="002A5A5E" w:rsidRPr="00F9522B" w:rsidRDefault="00611CBA">
            <w:pPr>
              <w:contextualSpacing/>
              <w:jc w:val="center"/>
              <w:rPr>
                <w:rFonts w:eastAsiaTheme="minorEastAsia"/>
                <w:kern w:val="0"/>
              </w:rPr>
            </w:pPr>
            <w:r w:rsidRPr="00F9522B">
              <w:rPr>
                <w:rFonts w:eastAsiaTheme="minorEastAsia"/>
                <w:kern w:val="0"/>
              </w:rPr>
              <w:t>150</w:t>
            </w:r>
          </w:p>
        </w:tc>
        <w:tc>
          <w:tcPr>
            <w:tcW w:w="643" w:type="pct"/>
            <w:vAlign w:val="center"/>
          </w:tcPr>
          <w:p w:rsidR="002A5A5E" w:rsidRPr="00F9522B" w:rsidRDefault="00611CBA">
            <w:pPr>
              <w:contextualSpacing/>
              <w:jc w:val="center"/>
              <w:rPr>
                <w:rFonts w:eastAsiaTheme="minorEastAsia"/>
                <w:kern w:val="0"/>
              </w:rPr>
            </w:pPr>
            <w:r w:rsidRPr="00F9522B">
              <w:rPr>
                <w:rFonts w:eastAsiaTheme="minorEastAsia"/>
                <w:kern w:val="0"/>
              </w:rPr>
              <w:t>14</w:t>
            </w:r>
          </w:p>
        </w:tc>
        <w:tc>
          <w:tcPr>
            <w:tcW w:w="801" w:type="pct"/>
            <w:vMerge/>
            <w:vAlign w:val="center"/>
          </w:tcPr>
          <w:p w:rsidR="002A5A5E" w:rsidRPr="00F9522B" w:rsidRDefault="002A5A5E">
            <w:pPr>
              <w:contextualSpacing/>
              <w:jc w:val="center"/>
              <w:rPr>
                <w:rFonts w:eastAsiaTheme="minorEastAsia"/>
                <w:kern w:val="0"/>
              </w:rPr>
            </w:pPr>
          </w:p>
        </w:tc>
      </w:tr>
      <w:tr w:rsidR="002A5A5E" w:rsidRPr="00F9522B">
        <w:trPr>
          <w:trHeight w:val="275"/>
          <w:jc w:val="center"/>
        </w:trPr>
        <w:tc>
          <w:tcPr>
            <w:tcW w:w="900" w:type="pct"/>
            <w:vAlign w:val="center"/>
          </w:tcPr>
          <w:p w:rsidR="002A5A5E" w:rsidRPr="00F9522B" w:rsidRDefault="00611CBA">
            <w:pPr>
              <w:contextualSpacing/>
              <w:jc w:val="center"/>
              <w:rPr>
                <w:rFonts w:eastAsiaTheme="minorEastAsia"/>
                <w:kern w:val="0"/>
              </w:rPr>
            </w:pPr>
            <w:r w:rsidRPr="00F9522B">
              <w:rPr>
                <w:rFonts w:eastAsiaTheme="minorEastAsia"/>
                <w:kern w:val="0"/>
              </w:rPr>
              <w:t>一氧化碳</w:t>
            </w:r>
          </w:p>
        </w:tc>
        <w:tc>
          <w:tcPr>
            <w:tcW w:w="1161" w:type="pct"/>
            <w:vAlign w:val="center"/>
          </w:tcPr>
          <w:p w:rsidR="002A5A5E" w:rsidRPr="00F9522B" w:rsidRDefault="00611CBA">
            <w:pPr>
              <w:contextualSpacing/>
              <w:jc w:val="center"/>
              <w:rPr>
                <w:rFonts w:eastAsiaTheme="minorEastAsia"/>
                <w:kern w:val="0"/>
              </w:rPr>
            </w:pPr>
            <w:r w:rsidRPr="00F9522B">
              <w:rPr>
                <w:rFonts w:eastAsiaTheme="minorEastAsia"/>
                <w:kern w:val="0"/>
              </w:rPr>
              <w:t>百分位数日平均</w:t>
            </w:r>
          </w:p>
        </w:tc>
        <w:tc>
          <w:tcPr>
            <w:tcW w:w="748" w:type="pct"/>
            <w:vAlign w:val="center"/>
          </w:tcPr>
          <w:p w:rsidR="002A5A5E" w:rsidRPr="00F9522B" w:rsidRDefault="00611CBA">
            <w:pPr>
              <w:contextualSpacing/>
              <w:jc w:val="center"/>
              <w:rPr>
                <w:rFonts w:eastAsiaTheme="minorEastAsia"/>
                <w:kern w:val="0"/>
              </w:rPr>
            </w:pPr>
            <w:r w:rsidRPr="00F9522B">
              <w:rPr>
                <w:rFonts w:eastAsiaTheme="minorEastAsia"/>
                <w:kern w:val="0"/>
              </w:rPr>
              <w:t>1100</w:t>
            </w:r>
          </w:p>
        </w:tc>
        <w:tc>
          <w:tcPr>
            <w:tcW w:w="747" w:type="pct"/>
            <w:vAlign w:val="center"/>
          </w:tcPr>
          <w:p w:rsidR="002A5A5E" w:rsidRPr="00F9522B" w:rsidRDefault="00611CBA">
            <w:pPr>
              <w:contextualSpacing/>
              <w:jc w:val="center"/>
              <w:rPr>
                <w:rFonts w:eastAsiaTheme="minorEastAsia"/>
                <w:kern w:val="0"/>
              </w:rPr>
            </w:pPr>
            <w:r w:rsidRPr="00F9522B">
              <w:rPr>
                <w:rFonts w:eastAsiaTheme="minorEastAsia"/>
                <w:kern w:val="0"/>
              </w:rPr>
              <w:t>4000</w:t>
            </w:r>
          </w:p>
        </w:tc>
        <w:tc>
          <w:tcPr>
            <w:tcW w:w="643" w:type="pct"/>
            <w:vAlign w:val="center"/>
          </w:tcPr>
          <w:p w:rsidR="002A5A5E" w:rsidRPr="00F9522B" w:rsidRDefault="00611CBA">
            <w:pPr>
              <w:contextualSpacing/>
              <w:jc w:val="center"/>
              <w:rPr>
                <w:rFonts w:eastAsiaTheme="minorEastAsia"/>
                <w:kern w:val="0"/>
              </w:rPr>
            </w:pPr>
            <w:r w:rsidRPr="00F9522B">
              <w:rPr>
                <w:rFonts w:eastAsiaTheme="minorEastAsia"/>
                <w:kern w:val="0"/>
              </w:rPr>
              <w:t>78.6</w:t>
            </w:r>
          </w:p>
        </w:tc>
        <w:tc>
          <w:tcPr>
            <w:tcW w:w="801" w:type="pct"/>
            <w:vAlign w:val="center"/>
          </w:tcPr>
          <w:p w:rsidR="002A5A5E" w:rsidRPr="00F9522B" w:rsidRDefault="00611CBA">
            <w:pPr>
              <w:contextualSpacing/>
              <w:jc w:val="center"/>
              <w:rPr>
                <w:rFonts w:eastAsiaTheme="minorEastAsia"/>
                <w:kern w:val="0"/>
              </w:rPr>
            </w:pPr>
            <w:r w:rsidRPr="00F9522B">
              <w:rPr>
                <w:rFonts w:eastAsiaTheme="minorEastAsia"/>
                <w:kern w:val="0"/>
              </w:rPr>
              <w:t>达标</w:t>
            </w:r>
          </w:p>
        </w:tc>
      </w:tr>
      <w:tr w:rsidR="002A5A5E" w:rsidRPr="00F9522B">
        <w:trPr>
          <w:trHeight w:val="275"/>
          <w:jc w:val="center"/>
        </w:trPr>
        <w:tc>
          <w:tcPr>
            <w:tcW w:w="900" w:type="pct"/>
            <w:vAlign w:val="center"/>
          </w:tcPr>
          <w:p w:rsidR="002A5A5E" w:rsidRPr="00F9522B" w:rsidRDefault="00611CBA">
            <w:pPr>
              <w:contextualSpacing/>
              <w:jc w:val="center"/>
              <w:rPr>
                <w:rFonts w:eastAsiaTheme="minorEastAsia"/>
                <w:kern w:val="0"/>
              </w:rPr>
            </w:pPr>
            <w:r w:rsidRPr="00F9522B">
              <w:rPr>
                <w:rFonts w:eastAsiaTheme="minorEastAsia"/>
                <w:kern w:val="0"/>
              </w:rPr>
              <w:t>臭氧</w:t>
            </w:r>
          </w:p>
        </w:tc>
        <w:tc>
          <w:tcPr>
            <w:tcW w:w="1161" w:type="pct"/>
            <w:vAlign w:val="center"/>
          </w:tcPr>
          <w:p w:rsidR="002A5A5E" w:rsidRPr="00F9522B" w:rsidRDefault="00611CBA">
            <w:pPr>
              <w:contextualSpacing/>
              <w:jc w:val="center"/>
              <w:rPr>
                <w:rFonts w:eastAsiaTheme="minorEastAsia"/>
                <w:kern w:val="0"/>
              </w:rPr>
            </w:pPr>
            <w:r w:rsidRPr="00F9522B">
              <w:rPr>
                <w:rFonts w:eastAsiaTheme="minorEastAsia"/>
                <w:kern w:val="0"/>
              </w:rPr>
              <w:t>8h</w:t>
            </w:r>
            <w:r w:rsidRPr="00F9522B">
              <w:rPr>
                <w:rFonts w:eastAsiaTheme="minorEastAsia"/>
                <w:kern w:val="0"/>
              </w:rPr>
              <w:t>平均质量浓度</w:t>
            </w:r>
          </w:p>
        </w:tc>
        <w:tc>
          <w:tcPr>
            <w:tcW w:w="748" w:type="pct"/>
            <w:vAlign w:val="center"/>
          </w:tcPr>
          <w:p w:rsidR="002A5A5E" w:rsidRPr="00F9522B" w:rsidRDefault="00611CBA">
            <w:pPr>
              <w:contextualSpacing/>
              <w:jc w:val="center"/>
              <w:rPr>
                <w:rFonts w:eastAsiaTheme="minorEastAsia"/>
                <w:kern w:val="0"/>
              </w:rPr>
            </w:pPr>
            <w:r w:rsidRPr="00F9522B">
              <w:rPr>
                <w:rFonts w:eastAsiaTheme="minorEastAsia"/>
                <w:kern w:val="0"/>
              </w:rPr>
              <w:t>118</w:t>
            </w:r>
          </w:p>
        </w:tc>
        <w:tc>
          <w:tcPr>
            <w:tcW w:w="747" w:type="pct"/>
            <w:vAlign w:val="center"/>
          </w:tcPr>
          <w:p w:rsidR="002A5A5E" w:rsidRPr="00F9522B" w:rsidRDefault="00611CBA">
            <w:pPr>
              <w:contextualSpacing/>
              <w:jc w:val="center"/>
              <w:rPr>
                <w:rFonts w:eastAsiaTheme="minorEastAsia"/>
                <w:kern w:val="0"/>
              </w:rPr>
            </w:pPr>
            <w:r w:rsidRPr="00F9522B">
              <w:rPr>
                <w:rFonts w:eastAsiaTheme="minorEastAsia"/>
                <w:kern w:val="0"/>
              </w:rPr>
              <w:t>160</w:t>
            </w:r>
          </w:p>
        </w:tc>
        <w:tc>
          <w:tcPr>
            <w:tcW w:w="643" w:type="pct"/>
            <w:vAlign w:val="center"/>
          </w:tcPr>
          <w:p w:rsidR="002A5A5E" w:rsidRPr="00F9522B" w:rsidRDefault="00611CBA">
            <w:pPr>
              <w:contextualSpacing/>
              <w:jc w:val="center"/>
              <w:rPr>
                <w:rFonts w:eastAsiaTheme="minorEastAsia"/>
                <w:kern w:val="0"/>
              </w:rPr>
            </w:pPr>
            <w:r w:rsidRPr="00F9522B">
              <w:rPr>
                <w:rFonts w:eastAsiaTheme="minorEastAsia"/>
                <w:kern w:val="0"/>
              </w:rPr>
              <w:t>73.8</w:t>
            </w:r>
          </w:p>
        </w:tc>
        <w:tc>
          <w:tcPr>
            <w:tcW w:w="801" w:type="pct"/>
            <w:vAlign w:val="center"/>
          </w:tcPr>
          <w:p w:rsidR="002A5A5E" w:rsidRPr="00F9522B" w:rsidRDefault="00611CBA">
            <w:pPr>
              <w:contextualSpacing/>
              <w:jc w:val="center"/>
              <w:rPr>
                <w:rFonts w:eastAsiaTheme="minorEastAsia"/>
                <w:kern w:val="0"/>
              </w:rPr>
            </w:pPr>
            <w:r w:rsidRPr="00F9522B">
              <w:rPr>
                <w:rFonts w:eastAsiaTheme="minorEastAsia"/>
                <w:kern w:val="0"/>
              </w:rPr>
              <w:t>达标</w:t>
            </w:r>
          </w:p>
        </w:tc>
      </w:tr>
    </w:tbl>
    <w:p w:rsidR="002A5A5E" w:rsidRPr="00F9522B" w:rsidRDefault="00611CBA">
      <w:pPr>
        <w:autoSpaceDE w:val="0"/>
        <w:autoSpaceDN w:val="0"/>
        <w:spacing w:before="100" w:beforeAutospacing="1" w:after="100" w:afterAutospacing="1"/>
        <w:outlineLvl w:val="3"/>
        <w:rPr>
          <w:rFonts w:eastAsiaTheme="minorEastAsia"/>
          <w:b/>
          <w:bCs/>
          <w:sz w:val="24"/>
        </w:rPr>
      </w:pPr>
      <w:r w:rsidRPr="00F9522B">
        <w:rPr>
          <w:rFonts w:eastAsiaTheme="minorEastAsia"/>
          <w:b/>
          <w:bCs/>
          <w:sz w:val="24"/>
        </w:rPr>
        <w:t>4.2.1.2</w:t>
      </w:r>
      <w:r w:rsidRPr="00F9522B">
        <w:rPr>
          <w:rFonts w:eastAsiaTheme="minorEastAsia"/>
          <w:b/>
          <w:bCs/>
          <w:sz w:val="24"/>
        </w:rPr>
        <w:t>其他污染物环境质量达标情况</w:t>
      </w:r>
    </w:p>
    <w:p w:rsidR="002A5A5E" w:rsidRPr="00F9522B" w:rsidRDefault="00611CBA">
      <w:pPr>
        <w:widowControl/>
        <w:spacing w:line="360" w:lineRule="auto"/>
        <w:ind w:firstLineChars="200" w:firstLine="480"/>
        <w:contextualSpacing/>
        <w:rPr>
          <w:rFonts w:eastAsiaTheme="minorEastAsia"/>
          <w:sz w:val="24"/>
        </w:rPr>
      </w:pPr>
      <w:r w:rsidRPr="00F9522B">
        <w:rPr>
          <w:rFonts w:eastAsiaTheme="minorEastAsia"/>
          <w:kern w:val="0"/>
          <w:sz w:val="24"/>
        </w:rPr>
        <w:t>哈尔滨市呼兰区农业技术推广中心</w:t>
      </w:r>
      <w:r w:rsidRPr="00F9522B">
        <w:rPr>
          <w:rFonts w:eastAsiaTheme="minorEastAsia"/>
          <w:sz w:val="24"/>
          <w:szCs w:val="22"/>
        </w:rPr>
        <w:t>委托哈尔滨新巨环保科技有限公司于</w:t>
      </w:r>
      <w:r w:rsidRPr="00F9522B">
        <w:rPr>
          <w:rFonts w:eastAsiaTheme="minorEastAsia"/>
          <w:sz w:val="24"/>
          <w:szCs w:val="22"/>
        </w:rPr>
        <w:t>202</w:t>
      </w:r>
      <w:r w:rsidR="00EF2502" w:rsidRPr="00F9522B">
        <w:rPr>
          <w:rFonts w:eastAsiaTheme="minorEastAsia"/>
          <w:sz w:val="24"/>
          <w:szCs w:val="22"/>
        </w:rPr>
        <w:t>6</w:t>
      </w:r>
      <w:r w:rsidRPr="00F9522B">
        <w:rPr>
          <w:rFonts w:eastAsiaTheme="minorEastAsia"/>
          <w:sz w:val="24"/>
          <w:szCs w:val="22"/>
        </w:rPr>
        <w:t>年</w:t>
      </w:r>
      <w:r w:rsidR="00EF2502" w:rsidRPr="00F9522B">
        <w:rPr>
          <w:rFonts w:eastAsiaTheme="minorEastAsia"/>
          <w:sz w:val="24"/>
          <w:szCs w:val="22"/>
        </w:rPr>
        <w:t>6</w:t>
      </w:r>
      <w:r w:rsidRPr="00F9522B">
        <w:rPr>
          <w:rFonts w:eastAsiaTheme="minorEastAsia"/>
          <w:sz w:val="24"/>
          <w:szCs w:val="22"/>
        </w:rPr>
        <w:t>月</w:t>
      </w:r>
      <w:r w:rsidR="002134CD" w:rsidRPr="00F9522B">
        <w:rPr>
          <w:rFonts w:eastAsiaTheme="minorEastAsia"/>
          <w:sz w:val="24"/>
          <w:szCs w:val="22"/>
        </w:rPr>
        <w:t>1</w:t>
      </w:r>
      <w:r w:rsidRPr="00F9522B">
        <w:rPr>
          <w:rFonts w:eastAsiaTheme="minorEastAsia"/>
          <w:sz w:val="24"/>
          <w:szCs w:val="22"/>
        </w:rPr>
        <w:t>日</w:t>
      </w:r>
      <w:r w:rsidRPr="00F9522B">
        <w:rPr>
          <w:rFonts w:eastAsiaTheme="minorEastAsia"/>
          <w:sz w:val="24"/>
          <w:szCs w:val="22"/>
        </w:rPr>
        <w:t>~</w:t>
      </w:r>
      <w:r w:rsidR="00EF2502" w:rsidRPr="00F9522B">
        <w:rPr>
          <w:rFonts w:eastAsiaTheme="minorEastAsia"/>
          <w:sz w:val="24"/>
          <w:szCs w:val="22"/>
        </w:rPr>
        <w:t>6</w:t>
      </w:r>
      <w:r w:rsidRPr="00F9522B">
        <w:rPr>
          <w:rFonts w:eastAsiaTheme="minorEastAsia"/>
          <w:sz w:val="24"/>
          <w:szCs w:val="22"/>
        </w:rPr>
        <w:t>月</w:t>
      </w:r>
      <w:r w:rsidR="00EF2502" w:rsidRPr="00F9522B">
        <w:rPr>
          <w:rFonts w:eastAsiaTheme="minorEastAsia"/>
          <w:sz w:val="24"/>
          <w:szCs w:val="22"/>
        </w:rPr>
        <w:t>7</w:t>
      </w:r>
      <w:r w:rsidRPr="00F9522B">
        <w:rPr>
          <w:rFonts w:eastAsiaTheme="minorEastAsia"/>
          <w:sz w:val="24"/>
          <w:szCs w:val="22"/>
        </w:rPr>
        <w:t>日对本项目下风向处的</w:t>
      </w:r>
      <w:r w:rsidRPr="00F9522B">
        <w:rPr>
          <w:rFonts w:eastAsiaTheme="minorEastAsia"/>
          <w:sz w:val="24"/>
          <w:szCs w:val="22"/>
        </w:rPr>
        <w:t>TSP</w:t>
      </w:r>
      <w:r w:rsidRPr="00F9522B">
        <w:rPr>
          <w:rFonts w:eastAsiaTheme="minorEastAsia"/>
          <w:sz w:val="24"/>
          <w:szCs w:val="22"/>
        </w:rPr>
        <w:t>、</w:t>
      </w:r>
      <w:r w:rsidRPr="00F9522B">
        <w:rPr>
          <w:rFonts w:eastAsiaTheme="minorEastAsia"/>
          <w:sz w:val="24"/>
          <w:szCs w:val="22"/>
        </w:rPr>
        <w:t>NO</w:t>
      </w:r>
      <w:r w:rsidRPr="00F9522B">
        <w:rPr>
          <w:rFonts w:eastAsiaTheme="minorEastAsia"/>
          <w:sz w:val="24"/>
          <w:szCs w:val="22"/>
          <w:vertAlign w:val="subscript"/>
        </w:rPr>
        <w:t>X</w:t>
      </w:r>
      <w:r w:rsidRPr="00F9522B">
        <w:rPr>
          <w:rFonts w:eastAsiaTheme="minorEastAsia"/>
          <w:sz w:val="24"/>
          <w:szCs w:val="22"/>
        </w:rPr>
        <w:t>2</w:t>
      </w:r>
      <w:r w:rsidRPr="00F9522B">
        <w:rPr>
          <w:rFonts w:eastAsiaTheme="minorEastAsia"/>
          <w:sz w:val="24"/>
          <w:szCs w:val="22"/>
        </w:rPr>
        <w:t>项其他污染物进行现状监测。</w:t>
      </w:r>
      <w:r w:rsidRPr="00F9522B">
        <w:rPr>
          <w:rFonts w:eastAsiaTheme="minorEastAsia"/>
          <w:sz w:val="24"/>
        </w:rPr>
        <w:t>监测点位信息见表</w:t>
      </w:r>
      <w:r w:rsidRPr="00F9522B">
        <w:rPr>
          <w:rFonts w:eastAsiaTheme="minorEastAsia"/>
          <w:sz w:val="24"/>
        </w:rPr>
        <w:t>4-2-2</w:t>
      </w:r>
      <w:r w:rsidRPr="00F9522B">
        <w:rPr>
          <w:rFonts w:eastAsiaTheme="minorEastAsia"/>
          <w:sz w:val="24"/>
        </w:rPr>
        <w:t>及图</w:t>
      </w:r>
      <w:r w:rsidRPr="00F9522B">
        <w:rPr>
          <w:rFonts w:eastAsiaTheme="minorEastAsia"/>
          <w:sz w:val="24"/>
        </w:rPr>
        <w:t>4-2-1~4-2-</w:t>
      </w:r>
      <w:r w:rsidR="00565A50" w:rsidRPr="00F9522B">
        <w:rPr>
          <w:rFonts w:eastAsiaTheme="minorEastAsia"/>
          <w:sz w:val="24"/>
        </w:rPr>
        <w:t>2</w:t>
      </w:r>
      <w:r w:rsidRPr="00F9522B">
        <w:rPr>
          <w:rFonts w:eastAsiaTheme="minorEastAsia"/>
          <w:sz w:val="24"/>
        </w:rPr>
        <w:t>，监测结果见表</w:t>
      </w:r>
      <w:r w:rsidRPr="00F9522B">
        <w:rPr>
          <w:rFonts w:eastAsiaTheme="minorEastAsia"/>
          <w:sz w:val="24"/>
        </w:rPr>
        <w:t>4-2-3</w:t>
      </w:r>
      <w:r w:rsidRPr="00F9522B">
        <w:rPr>
          <w:rFonts w:eastAsiaTheme="minorEastAsia"/>
          <w:sz w:val="24"/>
        </w:rPr>
        <w:t>。</w:t>
      </w:r>
    </w:p>
    <w:p w:rsidR="002A5A5E" w:rsidRPr="00F9522B" w:rsidRDefault="00611CBA">
      <w:pPr>
        <w:contextualSpacing/>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 xml:space="preserve">4-2-2 </w:t>
      </w:r>
      <w:r w:rsidRPr="00F9522B">
        <w:rPr>
          <w:rFonts w:eastAsiaTheme="minorEastAsia"/>
          <w:b/>
          <w:kern w:val="0"/>
          <w:szCs w:val="21"/>
        </w:rPr>
        <w:t>其他污染物补充监测点基本信息</w:t>
      </w:r>
    </w:p>
    <w:tbl>
      <w:tblPr>
        <w:tblW w:w="5000" w:type="pct"/>
        <w:tblBorders>
          <w:top w:val="single" w:sz="12" w:space="0" w:color="000000"/>
          <w:bottom w:val="single" w:sz="12" w:space="0" w:color="000000"/>
          <w:insideH w:val="single" w:sz="4" w:space="0" w:color="000000"/>
          <w:insideV w:val="single" w:sz="4" w:space="0" w:color="000000"/>
        </w:tblBorders>
        <w:tblLayout w:type="fixed"/>
        <w:tblLook w:val="04A0"/>
      </w:tblPr>
      <w:tblGrid>
        <w:gridCol w:w="1387"/>
        <w:gridCol w:w="1558"/>
        <w:gridCol w:w="1416"/>
        <w:gridCol w:w="849"/>
        <w:gridCol w:w="1403"/>
        <w:gridCol w:w="811"/>
        <w:gridCol w:w="1098"/>
      </w:tblGrid>
      <w:tr w:rsidR="002A5A5E" w:rsidRPr="00F9522B" w:rsidTr="0058132D">
        <w:trPr>
          <w:trHeight w:val="285"/>
        </w:trPr>
        <w:tc>
          <w:tcPr>
            <w:tcW w:w="814" w:type="pct"/>
            <w:vMerge w:val="restart"/>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监测点名称</w:t>
            </w:r>
          </w:p>
        </w:tc>
        <w:tc>
          <w:tcPr>
            <w:tcW w:w="1745" w:type="pct"/>
            <w:gridSpan w:val="2"/>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kern w:val="0"/>
                <w:szCs w:val="21"/>
              </w:rPr>
              <w:t>监测点坐标</w:t>
            </w:r>
            <w:r w:rsidRPr="00F9522B">
              <w:rPr>
                <w:rFonts w:eastAsiaTheme="minorEastAsia"/>
                <w:kern w:val="0"/>
                <w:szCs w:val="21"/>
              </w:rPr>
              <w:t>/°</w:t>
            </w:r>
          </w:p>
        </w:tc>
        <w:tc>
          <w:tcPr>
            <w:tcW w:w="498" w:type="pct"/>
            <w:vMerge w:val="restart"/>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kern w:val="0"/>
                <w:szCs w:val="21"/>
              </w:rPr>
              <w:t>监测因子</w:t>
            </w:r>
          </w:p>
        </w:tc>
        <w:tc>
          <w:tcPr>
            <w:tcW w:w="823" w:type="pct"/>
            <w:vMerge w:val="restart"/>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监测时段</w:t>
            </w:r>
          </w:p>
        </w:tc>
        <w:tc>
          <w:tcPr>
            <w:tcW w:w="476" w:type="pct"/>
            <w:vMerge w:val="restart"/>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相对</w:t>
            </w:r>
            <w:r w:rsidR="00F0656F" w:rsidRPr="00F9522B">
              <w:rPr>
                <w:rFonts w:eastAsiaTheme="minorEastAsia"/>
                <w:szCs w:val="21"/>
              </w:rPr>
              <w:t>项目</w:t>
            </w:r>
            <w:r w:rsidRPr="00F9522B">
              <w:rPr>
                <w:rFonts w:eastAsiaTheme="minorEastAsia"/>
                <w:szCs w:val="21"/>
              </w:rPr>
              <w:t>方位</w:t>
            </w:r>
          </w:p>
        </w:tc>
        <w:tc>
          <w:tcPr>
            <w:tcW w:w="644" w:type="pct"/>
            <w:vMerge w:val="restart"/>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相对厂界距离</w:t>
            </w:r>
            <w:r w:rsidRPr="00F9522B">
              <w:rPr>
                <w:rFonts w:eastAsiaTheme="minorEastAsia"/>
                <w:szCs w:val="21"/>
              </w:rPr>
              <w:t>/m</w:t>
            </w:r>
          </w:p>
        </w:tc>
      </w:tr>
      <w:tr w:rsidR="002A5A5E" w:rsidRPr="00F9522B" w:rsidTr="0058132D">
        <w:trPr>
          <w:trHeight w:val="190"/>
        </w:trPr>
        <w:tc>
          <w:tcPr>
            <w:tcW w:w="814" w:type="pct"/>
            <w:vMerge/>
            <w:vAlign w:val="center"/>
          </w:tcPr>
          <w:p w:rsidR="002A5A5E" w:rsidRPr="00F9522B" w:rsidRDefault="002A5A5E">
            <w:pPr>
              <w:widowControl/>
              <w:spacing w:line="0" w:lineRule="atLeast"/>
              <w:contextualSpacing/>
              <w:jc w:val="left"/>
              <w:rPr>
                <w:rFonts w:eastAsiaTheme="minorEastAsia"/>
                <w:szCs w:val="21"/>
              </w:rPr>
            </w:pPr>
          </w:p>
        </w:tc>
        <w:tc>
          <w:tcPr>
            <w:tcW w:w="914" w:type="pct"/>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kern w:val="0"/>
                <w:szCs w:val="21"/>
              </w:rPr>
              <w:t>经度</w:t>
            </w:r>
          </w:p>
        </w:tc>
        <w:tc>
          <w:tcPr>
            <w:tcW w:w="831" w:type="pct"/>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kern w:val="0"/>
                <w:szCs w:val="21"/>
              </w:rPr>
              <w:t>纬度</w:t>
            </w:r>
          </w:p>
        </w:tc>
        <w:tc>
          <w:tcPr>
            <w:tcW w:w="498" w:type="pct"/>
            <w:vMerge/>
            <w:vAlign w:val="center"/>
          </w:tcPr>
          <w:p w:rsidR="002A5A5E" w:rsidRPr="00F9522B" w:rsidRDefault="002A5A5E">
            <w:pPr>
              <w:widowControl/>
              <w:spacing w:line="0" w:lineRule="atLeast"/>
              <w:contextualSpacing/>
              <w:jc w:val="left"/>
              <w:rPr>
                <w:rFonts w:eastAsiaTheme="minorEastAsia"/>
                <w:kern w:val="0"/>
                <w:szCs w:val="21"/>
              </w:rPr>
            </w:pPr>
          </w:p>
        </w:tc>
        <w:tc>
          <w:tcPr>
            <w:tcW w:w="823" w:type="pct"/>
            <w:vMerge/>
            <w:vAlign w:val="center"/>
          </w:tcPr>
          <w:p w:rsidR="002A5A5E" w:rsidRPr="00F9522B" w:rsidRDefault="002A5A5E">
            <w:pPr>
              <w:widowControl/>
              <w:spacing w:line="0" w:lineRule="atLeast"/>
              <w:contextualSpacing/>
              <w:jc w:val="left"/>
              <w:rPr>
                <w:rFonts w:eastAsiaTheme="minorEastAsia"/>
                <w:szCs w:val="21"/>
              </w:rPr>
            </w:pPr>
          </w:p>
        </w:tc>
        <w:tc>
          <w:tcPr>
            <w:tcW w:w="476" w:type="pct"/>
            <w:vMerge/>
            <w:vAlign w:val="center"/>
          </w:tcPr>
          <w:p w:rsidR="002A5A5E" w:rsidRPr="00F9522B" w:rsidRDefault="002A5A5E">
            <w:pPr>
              <w:widowControl/>
              <w:spacing w:line="0" w:lineRule="atLeast"/>
              <w:contextualSpacing/>
              <w:jc w:val="left"/>
              <w:rPr>
                <w:rFonts w:eastAsiaTheme="minorEastAsia"/>
                <w:szCs w:val="21"/>
              </w:rPr>
            </w:pPr>
          </w:p>
        </w:tc>
        <w:tc>
          <w:tcPr>
            <w:tcW w:w="644" w:type="pct"/>
            <w:vMerge/>
            <w:vAlign w:val="center"/>
          </w:tcPr>
          <w:p w:rsidR="002A5A5E" w:rsidRPr="00F9522B" w:rsidRDefault="002A5A5E">
            <w:pPr>
              <w:widowControl/>
              <w:spacing w:line="0" w:lineRule="atLeast"/>
              <w:contextualSpacing/>
              <w:jc w:val="left"/>
              <w:rPr>
                <w:rFonts w:eastAsiaTheme="minorEastAsia"/>
                <w:szCs w:val="21"/>
              </w:rPr>
            </w:pPr>
          </w:p>
        </w:tc>
      </w:tr>
      <w:tr w:rsidR="00F0656F" w:rsidRPr="00F9522B" w:rsidTr="0058132D">
        <w:trPr>
          <w:trHeight w:val="525"/>
        </w:trPr>
        <w:tc>
          <w:tcPr>
            <w:tcW w:w="814" w:type="pct"/>
            <w:vAlign w:val="center"/>
          </w:tcPr>
          <w:p w:rsidR="00F0656F" w:rsidRPr="00F9522B" w:rsidRDefault="00F0656F" w:rsidP="004C7650">
            <w:pPr>
              <w:spacing w:line="0" w:lineRule="atLeast"/>
              <w:contextualSpacing/>
              <w:jc w:val="center"/>
              <w:rPr>
                <w:rFonts w:eastAsiaTheme="minorEastAsia"/>
                <w:szCs w:val="21"/>
              </w:rPr>
            </w:pPr>
            <w:r w:rsidRPr="00F9522B">
              <w:rPr>
                <w:rFonts w:eastAsiaTheme="minorEastAsia"/>
                <w:szCs w:val="21"/>
              </w:rPr>
              <w:t>方台片区、二八片区下风向</w:t>
            </w:r>
            <w:r w:rsidRPr="00F9522B">
              <w:rPr>
                <w:rFonts w:eastAsiaTheme="minorEastAsia"/>
                <w:szCs w:val="21"/>
              </w:rPr>
              <w:t>○1</w:t>
            </w:r>
          </w:p>
        </w:tc>
        <w:tc>
          <w:tcPr>
            <w:tcW w:w="914" w:type="pct"/>
            <w:vAlign w:val="center"/>
          </w:tcPr>
          <w:p w:rsidR="00F0656F" w:rsidRPr="00F9522B" w:rsidRDefault="009E212E">
            <w:pPr>
              <w:spacing w:line="0" w:lineRule="atLeast"/>
              <w:contextualSpacing/>
              <w:jc w:val="center"/>
              <w:rPr>
                <w:rFonts w:eastAsiaTheme="minorEastAsia"/>
                <w:kern w:val="0"/>
                <w:szCs w:val="21"/>
              </w:rPr>
            </w:pPr>
            <w:r w:rsidRPr="00F9522B">
              <w:rPr>
                <w:rFonts w:eastAsiaTheme="minorEastAsia"/>
                <w:kern w:val="0"/>
                <w:szCs w:val="21"/>
              </w:rPr>
              <w:t>126.9782432</w:t>
            </w:r>
          </w:p>
        </w:tc>
        <w:tc>
          <w:tcPr>
            <w:tcW w:w="831" w:type="pct"/>
            <w:vAlign w:val="center"/>
          </w:tcPr>
          <w:p w:rsidR="00F0656F" w:rsidRPr="00F9522B" w:rsidRDefault="009E212E">
            <w:pPr>
              <w:spacing w:line="0" w:lineRule="atLeast"/>
              <w:contextualSpacing/>
              <w:jc w:val="center"/>
              <w:rPr>
                <w:rFonts w:eastAsiaTheme="minorEastAsia"/>
                <w:kern w:val="0"/>
                <w:szCs w:val="21"/>
              </w:rPr>
            </w:pPr>
            <w:r w:rsidRPr="00F9522B">
              <w:rPr>
                <w:rFonts w:eastAsiaTheme="minorEastAsia"/>
                <w:kern w:val="0"/>
                <w:szCs w:val="21"/>
              </w:rPr>
              <w:t>46.184557</w:t>
            </w:r>
          </w:p>
        </w:tc>
        <w:tc>
          <w:tcPr>
            <w:tcW w:w="498" w:type="pct"/>
            <w:vMerge w:val="restart"/>
            <w:vAlign w:val="center"/>
          </w:tcPr>
          <w:p w:rsidR="00F0656F" w:rsidRPr="00F9522B" w:rsidRDefault="00F0656F">
            <w:pPr>
              <w:spacing w:line="0" w:lineRule="atLeast"/>
              <w:contextualSpacing/>
              <w:jc w:val="center"/>
              <w:rPr>
                <w:rFonts w:eastAsiaTheme="minorEastAsia"/>
                <w:szCs w:val="21"/>
              </w:rPr>
            </w:pPr>
            <w:r w:rsidRPr="00F9522B">
              <w:rPr>
                <w:rFonts w:eastAsiaTheme="minorEastAsia"/>
                <w:kern w:val="0"/>
                <w:szCs w:val="21"/>
              </w:rPr>
              <w:t>NO</w:t>
            </w:r>
            <w:r w:rsidRPr="00F9522B">
              <w:rPr>
                <w:rFonts w:eastAsiaTheme="minorEastAsia"/>
                <w:kern w:val="0"/>
                <w:szCs w:val="21"/>
                <w:vertAlign w:val="subscript"/>
              </w:rPr>
              <w:t>X</w:t>
            </w:r>
            <w:r w:rsidRPr="00F9522B">
              <w:rPr>
                <w:rFonts w:eastAsiaTheme="minorEastAsia"/>
                <w:kern w:val="0"/>
                <w:szCs w:val="21"/>
              </w:rPr>
              <w:t>、</w:t>
            </w:r>
            <w:r w:rsidRPr="00F9522B">
              <w:rPr>
                <w:rFonts w:eastAsiaTheme="minorEastAsia"/>
                <w:kern w:val="0"/>
                <w:szCs w:val="21"/>
              </w:rPr>
              <w:t>TSP</w:t>
            </w:r>
          </w:p>
        </w:tc>
        <w:tc>
          <w:tcPr>
            <w:tcW w:w="823" w:type="pct"/>
            <w:vMerge w:val="restart"/>
            <w:vAlign w:val="center"/>
          </w:tcPr>
          <w:p w:rsidR="00F0656F" w:rsidRPr="00F9522B" w:rsidRDefault="00F0656F" w:rsidP="00EF2502">
            <w:pPr>
              <w:spacing w:line="0" w:lineRule="atLeast"/>
              <w:contextualSpacing/>
              <w:jc w:val="center"/>
              <w:rPr>
                <w:rFonts w:eastAsiaTheme="minorEastAsia"/>
                <w:szCs w:val="21"/>
              </w:rPr>
            </w:pPr>
            <w:r w:rsidRPr="00F9522B">
              <w:rPr>
                <w:rFonts w:eastAsiaTheme="minorEastAsia"/>
                <w:szCs w:val="21"/>
              </w:rPr>
              <w:t>202</w:t>
            </w:r>
            <w:r w:rsidR="00EF2502" w:rsidRPr="00F9522B">
              <w:rPr>
                <w:rFonts w:eastAsiaTheme="minorEastAsia"/>
                <w:szCs w:val="21"/>
              </w:rPr>
              <w:t>6</w:t>
            </w:r>
            <w:r w:rsidRPr="00F9522B">
              <w:rPr>
                <w:rFonts w:eastAsiaTheme="minorEastAsia"/>
                <w:szCs w:val="21"/>
              </w:rPr>
              <w:t>年</w:t>
            </w:r>
            <w:r w:rsidR="00EF2502" w:rsidRPr="00F9522B">
              <w:rPr>
                <w:rFonts w:eastAsiaTheme="minorEastAsia"/>
                <w:szCs w:val="21"/>
              </w:rPr>
              <w:t>6</w:t>
            </w:r>
            <w:r w:rsidRPr="00F9522B">
              <w:rPr>
                <w:rFonts w:eastAsiaTheme="minorEastAsia"/>
                <w:szCs w:val="21"/>
              </w:rPr>
              <w:t>月</w:t>
            </w:r>
            <w:r w:rsidR="00EF2502" w:rsidRPr="00F9522B">
              <w:rPr>
                <w:rFonts w:eastAsiaTheme="minorEastAsia"/>
                <w:szCs w:val="21"/>
              </w:rPr>
              <w:t>1</w:t>
            </w:r>
            <w:r w:rsidRPr="00F9522B">
              <w:rPr>
                <w:rFonts w:eastAsiaTheme="minorEastAsia"/>
                <w:szCs w:val="21"/>
              </w:rPr>
              <w:t>日</w:t>
            </w:r>
            <w:r w:rsidRPr="00F9522B">
              <w:rPr>
                <w:rFonts w:eastAsiaTheme="minorEastAsia"/>
                <w:szCs w:val="21"/>
              </w:rPr>
              <w:t>~</w:t>
            </w:r>
            <w:r w:rsidR="00EF2502" w:rsidRPr="00F9522B">
              <w:rPr>
                <w:rFonts w:eastAsiaTheme="minorEastAsia"/>
                <w:szCs w:val="21"/>
              </w:rPr>
              <w:t>6</w:t>
            </w:r>
            <w:r w:rsidRPr="00F9522B">
              <w:rPr>
                <w:rFonts w:eastAsiaTheme="minorEastAsia"/>
                <w:szCs w:val="21"/>
              </w:rPr>
              <w:t>月</w:t>
            </w:r>
            <w:r w:rsidR="00EF2502" w:rsidRPr="00F9522B">
              <w:rPr>
                <w:rFonts w:eastAsiaTheme="minorEastAsia"/>
                <w:szCs w:val="21"/>
              </w:rPr>
              <w:t>7</w:t>
            </w:r>
            <w:r w:rsidRPr="00F9522B">
              <w:rPr>
                <w:rFonts w:eastAsiaTheme="minorEastAsia"/>
                <w:szCs w:val="21"/>
              </w:rPr>
              <w:t>日</w:t>
            </w:r>
          </w:p>
        </w:tc>
        <w:tc>
          <w:tcPr>
            <w:tcW w:w="476" w:type="pct"/>
            <w:vAlign w:val="center"/>
          </w:tcPr>
          <w:p w:rsidR="00F0656F" w:rsidRPr="00F9522B" w:rsidRDefault="00F0656F">
            <w:pPr>
              <w:spacing w:line="0" w:lineRule="atLeast"/>
              <w:contextualSpacing/>
              <w:jc w:val="center"/>
              <w:rPr>
                <w:rFonts w:eastAsiaTheme="minorEastAsia"/>
                <w:szCs w:val="21"/>
              </w:rPr>
            </w:pPr>
            <w:r w:rsidRPr="00F9522B">
              <w:rPr>
                <w:rFonts w:eastAsiaTheme="minorEastAsia"/>
                <w:szCs w:val="21"/>
              </w:rPr>
              <w:t>NE</w:t>
            </w:r>
          </w:p>
        </w:tc>
        <w:tc>
          <w:tcPr>
            <w:tcW w:w="644" w:type="pct"/>
            <w:vAlign w:val="center"/>
          </w:tcPr>
          <w:p w:rsidR="00F0656F" w:rsidRPr="00F9522B" w:rsidRDefault="009E212E">
            <w:pPr>
              <w:spacing w:line="0" w:lineRule="atLeast"/>
              <w:contextualSpacing/>
              <w:jc w:val="center"/>
              <w:rPr>
                <w:rFonts w:eastAsiaTheme="minorEastAsia"/>
                <w:szCs w:val="21"/>
              </w:rPr>
            </w:pPr>
            <w:r w:rsidRPr="00F9522B">
              <w:rPr>
                <w:rFonts w:eastAsiaTheme="minorEastAsia"/>
                <w:szCs w:val="21"/>
              </w:rPr>
              <w:t>175</w:t>
            </w:r>
          </w:p>
        </w:tc>
      </w:tr>
      <w:tr w:rsidR="00F0656F" w:rsidRPr="00F9522B" w:rsidTr="0058132D">
        <w:trPr>
          <w:trHeight w:val="525"/>
        </w:trPr>
        <w:tc>
          <w:tcPr>
            <w:tcW w:w="814" w:type="pct"/>
            <w:vAlign w:val="center"/>
          </w:tcPr>
          <w:p w:rsidR="00F0656F" w:rsidRPr="00F9522B" w:rsidRDefault="00F0656F" w:rsidP="004C7650">
            <w:pPr>
              <w:spacing w:line="0" w:lineRule="atLeast"/>
              <w:contextualSpacing/>
              <w:jc w:val="center"/>
              <w:rPr>
                <w:rFonts w:eastAsiaTheme="minorEastAsia"/>
                <w:szCs w:val="21"/>
              </w:rPr>
            </w:pPr>
            <w:r w:rsidRPr="00F9522B">
              <w:rPr>
                <w:rFonts w:eastAsiaTheme="minorEastAsia"/>
                <w:szCs w:val="21"/>
              </w:rPr>
              <w:t>石人片区、康金片区下风向</w:t>
            </w:r>
            <w:r w:rsidRPr="00F9522B">
              <w:rPr>
                <w:rFonts w:eastAsiaTheme="minorEastAsia"/>
                <w:szCs w:val="21"/>
              </w:rPr>
              <w:t>○2</w:t>
            </w:r>
          </w:p>
        </w:tc>
        <w:tc>
          <w:tcPr>
            <w:tcW w:w="914" w:type="pct"/>
            <w:vAlign w:val="center"/>
          </w:tcPr>
          <w:p w:rsidR="00F0656F" w:rsidRPr="00F9522B" w:rsidRDefault="009E212E">
            <w:pPr>
              <w:spacing w:line="0" w:lineRule="atLeast"/>
              <w:contextualSpacing/>
              <w:jc w:val="center"/>
              <w:rPr>
                <w:rFonts w:eastAsiaTheme="minorEastAsia"/>
                <w:kern w:val="0"/>
                <w:szCs w:val="21"/>
              </w:rPr>
            </w:pPr>
            <w:r w:rsidRPr="00F9522B">
              <w:rPr>
                <w:rFonts w:eastAsiaTheme="minorEastAsia"/>
                <w:kern w:val="0"/>
                <w:szCs w:val="21"/>
              </w:rPr>
              <w:t>126.8976482</w:t>
            </w:r>
          </w:p>
        </w:tc>
        <w:tc>
          <w:tcPr>
            <w:tcW w:w="831" w:type="pct"/>
            <w:vAlign w:val="center"/>
          </w:tcPr>
          <w:p w:rsidR="00F0656F" w:rsidRPr="00F9522B" w:rsidRDefault="009E212E">
            <w:pPr>
              <w:spacing w:line="0" w:lineRule="atLeast"/>
              <w:contextualSpacing/>
              <w:jc w:val="center"/>
              <w:rPr>
                <w:rFonts w:eastAsiaTheme="minorEastAsia"/>
                <w:kern w:val="0"/>
                <w:szCs w:val="21"/>
              </w:rPr>
            </w:pPr>
            <w:r w:rsidRPr="00F9522B">
              <w:rPr>
                <w:rFonts w:eastAsiaTheme="minorEastAsia"/>
                <w:kern w:val="0"/>
                <w:szCs w:val="21"/>
              </w:rPr>
              <w:t>46.326397</w:t>
            </w:r>
          </w:p>
        </w:tc>
        <w:tc>
          <w:tcPr>
            <w:tcW w:w="498" w:type="pct"/>
            <w:vMerge/>
            <w:vAlign w:val="center"/>
          </w:tcPr>
          <w:p w:rsidR="00F0656F" w:rsidRPr="00F9522B" w:rsidRDefault="00F0656F">
            <w:pPr>
              <w:spacing w:line="0" w:lineRule="atLeast"/>
              <w:contextualSpacing/>
              <w:jc w:val="center"/>
              <w:rPr>
                <w:rFonts w:eastAsiaTheme="minorEastAsia"/>
                <w:kern w:val="0"/>
                <w:szCs w:val="21"/>
              </w:rPr>
            </w:pPr>
          </w:p>
        </w:tc>
        <w:tc>
          <w:tcPr>
            <w:tcW w:w="823" w:type="pct"/>
            <w:vMerge/>
            <w:vAlign w:val="center"/>
          </w:tcPr>
          <w:p w:rsidR="00F0656F" w:rsidRPr="00F9522B" w:rsidRDefault="00F0656F">
            <w:pPr>
              <w:spacing w:line="0" w:lineRule="atLeast"/>
              <w:contextualSpacing/>
              <w:jc w:val="center"/>
              <w:rPr>
                <w:rFonts w:eastAsiaTheme="minorEastAsia"/>
                <w:szCs w:val="21"/>
              </w:rPr>
            </w:pPr>
          </w:p>
        </w:tc>
        <w:tc>
          <w:tcPr>
            <w:tcW w:w="476" w:type="pct"/>
            <w:vAlign w:val="center"/>
          </w:tcPr>
          <w:p w:rsidR="00F0656F" w:rsidRPr="00F9522B" w:rsidRDefault="00F0656F">
            <w:pPr>
              <w:spacing w:line="0" w:lineRule="atLeast"/>
              <w:contextualSpacing/>
              <w:jc w:val="center"/>
              <w:rPr>
                <w:rFonts w:eastAsiaTheme="minorEastAsia"/>
                <w:szCs w:val="21"/>
              </w:rPr>
            </w:pPr>
            <w:r w:rsidRPr="00F9522B">
              <w:rPr>
                <w:rFonts w:eastAsiaTheme="minorEastAsia"/>
                <w:szCs w:val="21"/>
              </w:rPr>
              <w:t>NE</w:t>
            </w:r>
          </w:p>
        </w:tc>
        <w:tc>
          <w:tcPr>
            <w:tcW w:w="644" w:type="pct"/>
            <w:vAlign w:val="center"/>
          </w:tcPr>
          <w:p w:rsidR="00F0656F" w:rsidRPr="00F9522B" w:rsidRDefault="009E212E">
            <w:pPr>
              <w:spacing w:line="0" w:lineRule="atLeast"/>
              <w:contextualSpacing/>
              <w:jc w:val="center"/>
              <w:rPr>
                <w:rFonts w:eastAsiaTheme="minorEastAsia"/>
                <w:szCs w:val="21"/>
              </w:rPr>
            </w:pPr>
            <w:r w:rsidRPr="00F9522B">
              <w:rPr>
                <w:rFonts w:eastAsiaTheme="minorEastAsia"/>
                <w:szCs w:val="21"/>
              </w:rPr>
              <w:t>150</w:t>
            </w:r>
          </w:p>
        </w:tc>
      </w:tr>
    </w:tbl>
    <w:p w:rsidR="002A5A5E" w:rsidRPr="00F9522B" w:rsidRDefault="004C7650">
      <w:pPr>
        <w:adjustRightInd w:val="0"/>
        <w:snapToGrid w:val="0"/>
        <w:jc w:val="center"/>
        <w:rPr>
          <w:rFonts w:eastAsiaTheme="minorEastAsia"/>
          <w:b/>
          <w:sz w:val="24"/>
        </w:rPr>
      </w:pPr>
      <w:r w:rsidRPr="00F9522B">
        <w:rPr>
          <w:rFonts w:eastAsiaTheme="minorEastAsia"/>
          <w:b/>
          <w:noProof/>
          <w:sz w:val="24"/>
        </w:rPr>
        <w:lastRenderedPageBreak/>
        <w:drawing>
          <wp:inline distT="0" distB="0" distL="0" distR="0">
            <wp:extent cx="4965700" cy="3487420"/>
            <wp:effectExtent l="19050" t="19050" r="25400" b="17780"/>
            <wp:docPr id="82"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6"/>
                    <a:srcRect/>
                    <a:stretch>
                      <a:fillRect/>
                    </a:stretch>
                  </pic:blipFill>
                  <pic:spPr bwMode="auto">
                    <a:xfrm>
                      <a:off x="0" y="0"/>
                      <a:ext cx="4965700" cy="3487420"/>
                    </a:xfrm>
                    <a:prstGeom prst="rect">
                      <a:avLst/>
                    </a:prstGeom>
                    <a:noFill/>
                    <a:ln w="9525">
                      <a:solidFill>
                        <a:schemeClr val="tx1"/>
                      </a:solidFill>
                      <a:miter lim="800000"/>
                      <a:headEnd/>
                      <a:tailEnd/>
                    </a:ln>
                  </pic:spPr>
                </pic:pic>
              </a:graphicData>
            </a:graphic>
          </wp:inline>
        </w:drawing>
      </w:r>
    </w:p>
    <w:p w:rsidR="002A5A5E" w:rsidRPr="00F9522B" w:rsidRDefault="00611CBA">
      <w:pPr>
        <w:contextualSpacing/>
        <w:jc w:val="center"/>
        <w:rPr>
          <w:rFonts w:eastAsiaTheme="minorEastAsia"/>
          <w:b/>
          <w:kern w:val="0"/>
          <w:szCs w:val="21"/>
        </w:rPr>
      </w:pPr>
      <w:r w:rsidRPr="00F9522B">
        <w:rPr>
          <w:rFonts w:eastAsiaTheme="minorEastAsia"/>
          <w:b/>
          <w:kern w:val="0"/>
          <w:szCs w:val="21"/>
        </w:rPr>
        <w:t>图</w:t>
      </w:r>
      <w:r w:rsidRPr="00F9522B">
        <w:rPr>
          <w:rFonts w:eastAsiaTheme="minorEastAsia"/>
          <w:b/>
          <w:kern w:val="0"/>
          <w:szCs w:val="21"/>
        </w:rPr>
        <w:t xml:space="preserve">4-2-1 </w:t>
      </w:r>
      <w:r w:rsidRPr="00F9522B">
        <w:rPr>
          <w:rFonts w:eastAsiaTheme="minorEastAsia"/>
          <w:b/>
          <w:kern w:val="0"/>
          <w:szCs w:val="21"/>
        </w:rPr>
        <w:t>环境空气补充监测点位（</w:t>
      </w:r>
      <w:r w:rsidRPr="00F9522B">
        <w:rPr>
          <w:rFonts w:eastAsiaTheme="minorEastAsia"/>
          <w:b/>
          <w:kern w:val="0"/>
          <w:szCs w:val="21"/>
        </w:rPr>
        <w:t>1</w:t>
      </w:r>
      <w:r w:rsidRPr="00F9522B">
        <w:rPr>
          <w:rFonts w:eastAsiaTheme="minorEastAsia"/>
          <w:b/>
          <w:kern w:val="0"/>
          <w:szCs w:val="21"/>
        </w:rPr>
        <w:t>）</w:t>
      </w:r>
    </w:p>
    <w:p w:rsidR="002A5A5E" w:rsidRPr="00F9522B" w:rsidRDefault="004C7650">
      <w:pPr>
        <w:adjustRightInd w:val="0"/>
        <w:snapToGrid w:val="0"/>
        <w:jc w:val="center"/>
        <w:rPr>
          <w:rFonts w:eastAsiaTheme="minorEastAsia"/>
          <w:b/>
          <w:sz w:val="24"/>
        </w:rPr>
      </w:pPr>
      <w:r w:rsidRPr="00F9522B">
        <w:rPr>
          <w:rFonts w:eastAsiaTheme="minorEastAsia"/>
          <w:b/>
          <w:noProof/>
          <w:sz w:val="24"/>
        </w:rPr>
        <w:drawing>
          <wp:inline distT="0" distB="0" distL="0" distR="0">
            <wp:extent cx="4934277" cy="4054028"/>
            <wp:effectExtent l="19050" t="19050" r="18723" b="22672"/>
            <wp:docPr id="88"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7"/>
                    <a:srcRect/>
                    <a:stretch>
                      <a:fillRect/>
                    </a:stretch>
                  </pic:blipFill>
                  <pic:spPr bwMode="auto">
                    <a:xfrm>
                      <a:off x="0" y="0"/>
                      <a:ext cx="4937124" cy="4056367"/>
                    </a:xfrm>
                    <a:prstGeom prst="rect">
                      <a:avLst/>
                    </a:prstGeom>
                    <a:noFill/>
                    <a:ln w="9525">
                      <a:solidFill>
                        <a:schemeClr val="tx1"/>
                      </a:solidFill>
                      <a:miter lim="800000"/>
                      <a:headEnd/>
                      <a:tailEnd/>
                    </a:ln>
                  </pic:spPr>
                </pic:pic>
              </a:graphicData>
            </a:graphic>
          </wp:inline>
        </w:drawing>
      </w:r>
    </w:p>
    <w:p w:rsidR="002A5A5E" w:rsidRPr="00F9522B" w:rsidRDefault="00611CBA">
      <w:pPr>
        <w:contextualSpacing/>
        <w:jc w:val="center"/>
        <w:rPr>
          <w:rFonts w:eastAsiaTheme="minorEastAsia"/>
          <w:b/>
          <w:kern w:val="0"/>
          <w:szCs w:val="21"/>
        </w:rPr>
      </w:pPr>
      <w:r w:rsidRPr="00F9522B">
        <w:rPr>
          <w:rFonts w:eastAsiaTheme="minorEastAsia"/>
          <w:b/>
          <w:kern w:val="0"/>
          <w:szCs w:val="21"/>
        </w:rPr>
        <w:t>图</w:t>
      </w:r>
      <w:r w:rsidRPr="00F9522B">
        <w:rPr>
          <w:rFonts w:eastAsiaTheme="minorEastAsia"/>
          <w:b/>
          <w:kern w:val="0"/>
          <w:szCs w:val="21"/>
        </w:rPr>
        <w:t xml:space="preserve">4-2-2 </w:t>
      </w:r>
      <w:r w:rsidRPr="00F9522B">
        <w:rPr>
          <w:rFonts w:eastAsiaTheme="minorEastAsia"/>
          <w:b/>
          <w:kern w:val="0"/>
          <w:szCs w:val="21"/>
        </w:rPr>
        <w:t>环境空气补充监测点位（</w:t>
      </w:r>
      <w:r w:rsidRPr="00F9522B">
        <w:rPr>
          <w:rFonts w:eastAsiaTheme="minorEastAsia"/>
          <w:b/>
          <w:kern w:val="0"/>
          <w:szCs w:val="21"/>
        </w:rPr>
        <w:t>2</w:t>
      </w:r>
      <w:r w:rsidRPr="00F9522B">
        <w:rPr>
          <w:rFonts w:eastAsiaTheme="minorEastAsia"/>
          <w:b/>
          <w:kern w:val="0"/>
          <w:szCs w:val="21"/>
        </w:rPr>
        <w:t>）</w:t>
      </w:r>
    </w:p>
    <w:p w:rsidR="002A5A5E" w:rsidRPr="00F9522B" w:rsidRDefault="002A5A5E" w:rsidP="006364CE">
      <w:pPr>
        <w:adjustRightInd w:val="0"/>
        <w:snapToGrid w:val="0"/>
        <w:jc w:val="center"/>
        <w:rPr>
          <w:rFonts w:eastAsiaTheme="minorEastAsia"/>
          <w:b/>
          <w:kern w:val="0"/>
          <w:szCs w:val="21"/>
        </w:rPr>
      </w:pPr>
    </w:p>
    <w:p w:rsidR="004C7650" w:rsidRPr="00F9522B" w:rsidRDefault="004C7650" w:rsidP="006364CE">
      <w:pPr>
        <w:adjustRightInd w:val="0"/>
        <w:snapToGrid w:val="0"/>
        <w:jc w:val="center"/>
        <w:rPr>
          <w:rFonts w:eastAsiaTheme="minorEastAsia"/>
          <w:b/>
          <w:kern w:val="0"/>
          <w:szCs w:val="21"/>
        </w:rPr>
      </w:pPr>
    </w:p>
    <w:p w:rsidR="004C7650" w:rsidRPr="00F9522B" w:rsidRDefault="004C7650" w:rsidP="006364CE">
      <w:pPr>
        <w:adjustRightInd w:val="0"/>
        <w:snapToGrid w:val="0"/>
        <w:jc w:val="center"/>
        <w:rPr>
          <w:rFonts w:eastAsiaTheme="minorEastAsia"/>
          <w:b/>
          <w:kern w:val="0"/>
          <w:szCs w:val="21"/>
        </w:rPr>
      </w:pPr>
    </w:p>
    <w:p w:rsidR="004C7650" w:rsidRPr="00F9522B" w:rsidRDefault="004C7650" w:rsidP="006364CE">
      <w:pPr>
        <w:adjustRightInd w:val="0"/>
        <w:snapToGrid w:val="0"/>
        <w:jc w:val="center"/>
        <w:rPr>
          <w:rFonts w:eastAsiaTheme="minorEastAsia"/>
          <w:b/>
          <w:kern w:val="0"/>
          <w:szCs w:val="21"/>
        </w:rPr>
      </w:pPr>
    </w:p>
    <w:p w:rsidR="002A5A5E" w:rsidRPr="00F9522B" w:rsidRDefault="002A5A5E" w:rsidP="0058132D">
      <w:pPr>
        <w:contextualSpacing/>
        <w:jc w:val="center"/>
        <w:rPr>
          <w:rFonts w:eastAsiaTheme="minorEastAsia"/>
          <w:b/>
          <w:kern w:val="0"/>
          <w:szCs w:val="21"/>
        </w:rPr>
      </w:pPr>
    </w:p>
    <w:p w:rsidR="002A5A5E" w:rsidRPr="00F9522B" w:rsidRDefault="00611CBA">
      <w:pPr>
        <w:contextualSpacing/>
        <w:jc w:val="center"/>
        <w:rPr>
          <w:rFonts w:eastAsiaTheme="minorEastAsia"/>
          <w:b/>
          <w:kern w:val="0"/>
          <w:szCs w:val="21"/>
        </w:rPr>
      </w:pPr>
      <w:r w:rsidRPr="00F9522B">
        <w:rPr>
          <w:rFonts w:eastAsiaTheme="minorEastAsia"/>
          <w:b/>
          <w:kern w:val="0"/>
          <w:szCs w:val="21"/>
        </w:rPr>
        <w:lastRenderedPageBreak/>
        <w:t>表</w:t>
      </w:r>
      <w:r w:rsidRPr="00F9522B">
        <w:rPr>
          <w:rFonts w:eastAsiaTheme="minorEastAsia"/>
          <w:b/>
          <w:kern w:val="0"/>
          <w:szCs w:val="21"/>
        </w:rPr>
        <w:t xml:space="preserve">4-2-3 </w:t>
      </w:r>
      <w:r w:rsidRPr="00F9522B">
        <w:rPr>
          <w:rFonts w:eastAsiaTheme="minorEastAsia"/>
          <w:b/>
          <w:kern w:val="0"/>
          <w:szCs w:val="21"/>
        </w:rPr>
        <w:t>其他污染物环境质量现状（监测结果）表</w:t>
      </w:r>
    </w:p>
    <w:tbl>
      <w:tblPr>
        <w:tblW w:w="5103" w:type="pct"/>
        <w:jc w:val="center"/>
        <w:tblBorders>
          <w:top w:val="single" w:sz="12" w:space="0" w:color="000000"/>
          <w:bottom w:val="single" w:sz="12" w:space="0" w:color="000000"/>
          <w:insideH w:val="single" w:sz="4" w:space="0" w:color="000000"/>
          <w:insideV w:val="single" w:sz="4" w:space="0" w:color="000000"/>
        </w:tblBorders>
        <w:tblLook w:val="04A0"/>
      </w:tblPr>
      <w:tblGrid>
        <w:gridCol w:w="847"/>
        <w:gridCol w:w="1425"/>
        <w:gridCol w:w="1214"/>
        <w:gridCol w:w="680"/>
        <w:gridCol w:w="854"/>
        <w:gridCol w:w="924"/>
        <w:gridCol w:w="1174"/>
        <w:gridCol w:w="703"/>
        <w:gridCol w:w="451"/>
        <w:gridCol w:w="426"/>
      </w:tblGrid>
      <w:tr w:rsidR="002A5A5E" w:rsidRPr="00F9522B">
        <w:trPr>
          <w:trHeight w:val="634"/>
          <w:jc w:val="center"/>
        </w:trPr>
        <w:tc>
          <w:tcPr>
            <w:tcW w:w="487" w:type="pct"/>
            <w:vMerge w:val="restart"/>
            <w:vAlign w:val="center"/>
          </w:tcPr>
          <w:p w:rsidR="002A5A5E" w:rsidRPr="00F9522B" w:rsidRDefault="00611CBA">
            <w:pPr>
              <w:spacing w:line="0" w:lineRule="atLeast"/>
              <w:jc w:val="center"/>
              <w:rPr>
                <w:rFonts w:eastAsiaTheme="minorEastAsia"/>
                <w:kern w:val="0"/>
                <w:szCs w:val="21"/>
              </w:rPr>
            </w:pPr>
            <w:r w:rsidRPr="00F9522B">
              <w:rPr>
                <w:rFonts w:eastAsiaTheme="minorEastAsia"/>
                <w:kern w:val="0"/>
                <w:szCs w:val="21"/>
              </w:rPr>
              <w:t>监测点位</w:t>
            </w:r>
          </w:p>
        </w:tc>
        <w:tc>
          <w:tcPr>
            <w:tcW w:w="1517" w:type="pct"/>
            <w:gridSpan w:val="2"/>
            <w:vAlign w:val="center"/>
          </w:tcPr>
          <w:p w:rsidR="002A5A5E" w:rsidRPr="00F9522B" w:rsidRDefault="00611CBA">
            <w:pPr>
              <w:spacing w:line="0" w:lineRule="atLeast"/>
              <w:jc w:val="center"/>
              <w:rPr>
                <w:rFonts w:eastAsiaTheme="minorEastAsia"/>
                <w:kern w:val="0"/>
                <w:szCs w:val="21"/>
              </w:rPr>
            </w:pPr>
            <w:r w:rsidRPr="00F9522B">
              <w:rPr>
                <w:rFonts w:eastAsiaTheme="minorEastAsia"/>
                <w:kern w:val="0"/>
                <w:szCs w:val="21"/>
              </w:rPr>
              <w:t>监测点坐标</w:t>
            </w:r>
            <w:r w:rsidRPr="00F9522B">
              <w:rPr>
                <w:rFonts w:eastAsiaTheme="minorEastAsia"/>
                <w:kern w:val="0"/>
                <w:szCs w:val="21"/>
              </w:rPr>
              <w:t>/°</w:t>
            </w:r>
          </w:p>
        </w:tc>
        <w:tc>
          <w:tcPr>
            <w:tcW w:w="391" w:type="pct"/>
            <w:vMerge w:val="restart"/>
            <w:vAlign w:val="center"/>
          </w:tcPr>
          <w:p w:rsidR="002A5A5E" w:rsidRPr="00F9522B" w:rsidRDefault="00611CBA">
            <w:pPr>
              <w:spacing w:line="0" w:lineRule="atLeast"/>
              <w:jc w:val="center"/>
              <w:rPr>
                <w:rFonts w:eastAsiaTheme="minorEastAsia"/>
                <w:kern w:val="0"/>
                <w:szCs w:val="21"/>
              </w:rPr>
            </w:pPr>
            <w:r w:rsidRPr="00F9522B">
              <w:rPr>
                <w:rFonts w:eastAsiaTheme="minorEastAsia"/>
                <w:kern w:val="0"/>
                <w:szCs w:val="21"/>
              </w:rPr>
              <w:t>污染物</w:t>
            </w:r>
          </w:p>
        </w:tc>
        <w:tc>
          <w:tcPr>
            <w:tcW w:w="491" w:type="pct"/>
            <w:vMerge w:val="restart"/>
            <w:vAlign w:val="center"/>
          </w:tcPr>
          <w:p w:rsidR="002A5A5E" w:rsidRPr="00F9522B" w:rsidRDefault="00611CBA">
            <w:pPr>
              <w:spacing w:line="0" w:lineRule="atLeast"/>
              <w:jc w:val="center"/>
              <w:rPr>
                <w:rFonts w:eastAsiaTheme="minorEastAsia"/>
                <w:kern w:val="0"/>
                <w:szCs w:val="21"/>
              </w:rPr>
            </w:pPr>
            <w:r w:rsidRPr="00F9522B">
              <w:rPr>
                <w:rFonts w:eastAsiaTheme="minorEastAsia"/>
                <w:kern w:val="0"/>
                <w:szCs w:val="21"/>
              </w:rPr>
              <w:t>平均时间</w:t>
            </w:r>
          </w:p>
        </w:tc>
        <w:tc>
          <w:tcPr>
            <w:tcW w:w="531" w:type="pct"/>
            <w:vMerge w:val="restart"/>
            <w:vAlign w:val="center"/>
          </w:tcPr>
          <w:p w:rsidR="002A5A5E" w:rsidRPr="00F9522B" w:rsidRDefault="00611CBA">
            <w:pPr>
              <w:spacing w:line="0" w:lineRule="atLeast"/>
              <w:jc w:val="center"/>
              <w:rPr>
                <w:rFonts w:eastAsiaTheme="minorEastAsia"/>
                <w:kern w:val="0"/>
                <w:szCs w:val="21"/>
              </w:rPr>
            </w:pPr>
            <w:r w:rsidRPr="00F9522B">
              <w:rPr>
                <w:rFonts w:eastAsiaTheme="minorEastAsia"/>
                <w:kern w:val="0"/>
                <w:szCs w:val="21"/>
              </w:rPr>
              <w:t>评价标准</w:t>
            </w:r>
            <w:r w:rsidRPr="00F9522B">
              <w:rPr>
                <w:rFonts w:eastAsiaTheme="minorEastAsia"/>
                <w:kern w:val="0"/>
                <w:szCs w:val="21"/>
              </w:rPr>
              <w:t>/(μg/m</w:t>
            </w:r>
            <w:r w:rsidRPr="00F9522B">
              <w:rPr>
                <w:rFonts w:eastAsiaTheme="minorEastAsia"/>
                <w:kern w:val="0"/>
                <w:szCs w:val="21"/>
                <w:vertAlign w:val="superscript"/>
              </w:rPr>
              <w:t>3</w:t>
            </w:r>
            <w:r w:rsidRPr="00F9522B">
              <w:rPr>
                <w:rFonts w:eastAsiaTheme="minorEastAsia"/>
                <w:kern w:val="0"/>
                <w:szCs w:val="21"/>
              </w:rPr>
              <w:t>)</w:t>
            </w:r>
          </w:p>
        </w:tc>
        <w:tc>
          <w:tcPr>
            <w:tcW w:w="675" w:type="pct"/>
            <w:vMerge w:val="restart"/>
            <w:vAlign w:val="center"/>
          </w:tcPr>
          <w:p w:rsidR="002A5A5E" w:rsidRPr="00F9522B" w:rsidRDefault="00611CBA">
            <w:pPr>
              <w:spacing w:line="0" w:lineRule="atLeast"/>
              <w:jc w:val="center"/>
              <w:rPr>
                <w:rFonts w:eastAsiaTheme="minorEastAsia"/>
                <w:kern w:val="0"/>
                <w:szCs w:val="21"/>
              </w:rPr>
            </w:pPr>
            <w:r w:rsidRPr="00F9522B">
              <w:rPr>
                <w:rFonts w:eastAsiaTheme="minorEastAsia"/>
                <w:kern w:val="0"/>
                <w:szCs w:val="21"/>
              </w:rPr>
              <w:t>监测浓度范围</w:t>
            </w:r>
            <w:r w:rsidRPr="00F9522B">
              <w:rPr>
                <w:rFonts w:eastAsiaTheme="minorEastAsia"/>
                <w:kern w:val="0"/>
                <w:szCs w:val="21"/>
              </w:rPr>
              <w:t>/(μg/m</w:t>
            </w:r>
            <w:r w:rsidRPr="00F9522B">
              <w:rPr>
                <w:rFonts w:eastAsiaTheme="minorEastAsia"/>
                <w:kern w:val="0"/>
                <w:szCs w:val="21"/>
                <w:vertAlign w:val="superscript"/>
              </w:rPr>
              <w:t>3</w:t>
            </w:r>
            <w:r w:rsidRPr="00F9522B">
              <w:rPr>
                <w:rFonts w:eastAsiaTheme="minorEastAsia"/>
                <w:kern w:val="0"/>
                <w:szCs w:val="21"/>
              </w:rPr>
              <w:t>)</w:t>
            </w:r>
          </w:p>
        </w:tc>
        <w:tc>
          <w:tcPr>
            <w:tcW w:w="404" w:type="pct"/>
            <w:vMerge w:val="restart"/>
            <w:vAlign w:val="center"/>
          </w:tcPr>
          <w:p w:rsidR="002A5A5E" w:rsidRPr="00F9522B" w:rsidRDefault="00611CBA">
            <w:pPr>
              <w:spacing w:line="0" w:lineRule="atLeast"/>
              <w:jc w:val="center"/>
              <w:rPr>
                <w:rFonts w:eastAsiaTheme="minorEastAsia"/>
                <w:kern w:val="0"/>
                <w:szCs w:val="21"/>
              </w:rPr>
            </w:pPr>
            <w:r w:rsidRPr="00F9522B">
              <w:rPr>
                <w:rFonts w:eastAsiaTheme="minorEastAsia"/>
                <w:kern w:val="0"/>
                <w:szCs w:val="21"/>
              </w:rPr>
              <w:t>最大浓度占标率</w:t>
            </w:r>
            <w:r w:rsidRPr="00F9522B">
              <w:rPr>
                <w:rFonts w:eastAsiaTheme="minorEastAsia"/>
                <w:kern w:val="0"/>
                <w:szCs w:val="21"/>
              </w:rPr>
              <w:t>/%</w:t>
            </w:r>
          </w:p>
        </w:tc>
        <w:tc>
          <w:tcPr>
            <w:tcW w:w="259" w:type="pct"/>
            <w:vMerge w:val="restart"/>
            <w:vAlign w:val="center"/>
          </w:tcPr>
          <w:p w:rsidR="002A5A5E" w:rsidRPr="00F9522B" w:rsidRDefault="00611CBA">
            <w:pPr>
              <w:spacing w:line="0" w:lineRule="atLeast"/>
              <w:jc w:val="center"/>
              <w:rPr>
                <w:rFonts w:eastAsiaTheme="minorEastAsia"/>
                <w:kern w:val="0"/>
                <w:szCs w:val="21"/>
              </w:rPr>
            </w:pPr>
            <w:r w:rsidRPr="00F9522B">
              <w:rPr>
                <w:rFonts w:eastAsiaTheme="minorEastAsia"/>
                <w:kern w:val="0"/>
                <w:szCs w:val="21"/>
              </w:rPr>
              <w:t>超标率</w:t>
            </w:r>
            <w:r w:rsidRPr="00F9522B">
              <w:rPr>
                <w:rFonts w:eastAsiaTheme="minorEastAsia"/>
                <w:kern w:val="0"/>
                <w:szCs w:val="21"/>
              </w:rPr>
              <w:t>/%</w:t>
            </w:r>
          </w:p>
        </w:tc>
        <w:tc>
          <w:tcPr>
            <w:tcW w:w="245" w:type="pct"/>
            <w:vMerge w:val="restart"/>
            <w:vAlign w:val="center"/>
          </w:tcPr>
          <w:p w:rsidR="002A5A5E" w:rsidRPr="00F9522B" w:rsidRDefault="00611CBA">
            <w:pPr>
              <w:spacing w:line="0" w:lineRule="atLeast"/>
              <w:jc w:val="center"/>
              <w:rPr>
                <w:rFonts w:eastAsiaTheme="minorEastAsia"/>
                <w:kern w:val="0"/>
                <w:szCs w:val="21"/>
              </w:rPr>
            </w:pPr>
            <w:r w:rsidRPr="00F9522B">
              <w:rPr>
                <w:rFonts w:eastAsiaTheme="minorEastAsia"/>
                <w:kern w:val="0"/>
                <w:szCs w:val="21"/>
              </w:rPr>
              <w:t>达标情况</w:t>
            </w:r>
          </w:p>
        </w:tc>
      </w:tr>
      <w:tr w:rsidR="002A5A5E" w:rsidRPr="00F9522B">
        <w:trPr>
          <w:trHeight w:val="56"/>
          <w:jc w:val="center"/>
        </w:trPr>
        <w:tc>
          <w:tcPr>
            <w:tcW w:w="487" w:type="pct"/>
            <w:vMerge/>
            <w:vAlign w:val="center"/>
          </w:tcPr>
          <w:p w:rsidR="002A5A5E" w:rsidRPr="00F9522B" w:rsidRDefault="002A5A5E">
            <w:pPr>
              <w:widowControl/>
              <w:spacing w:line="0" w:lineRule="atLeast"/>
              <w:jc w:val="left"/>
              <w:rPr>
                <w:rFonts w:eastAsiaTheme="minorEastAsia"/>
                <w:kern w:val="0"/>
                <w:szCs w:val="21"/>
              </w:rPr>
            </w:pPr>
          </w:p>
        </w:tc>
        <w:tc>
          <w:tcPr>
            <w:tcW w:w="819" w:type="pct"/>
            <w:vAlign w:val="center"/>
          </w:tcPr>
          <w:p w:rsidR="002A5A5E" w:rsidRPr="00F9522B" w:rsidRDefault="00611CBA">
            <w:pPr>
              <w:adjustRightInd w:val="0"/>
              <w:snapToGrid w:val="0"/>
              <w:spacing w:line="0" w:lineRule="atLeast"/>
              <w:jc w:val="center"/>
              <w:rPr>
                <w:rFonts w:eastAsiaTheme="minorEastAsia"/>
                <w:kern w:val="0"/>
                <w:szCs w:val="21"/>
              </w:rPr>
            </w:pPr>
            <w:r w:rsidRPr="00F9522B">
              <w:rPr>
                <w:rFonts w:eastAsiaTheme="minorEastAsia"/>
                <w:kern w:val="0"/>
                <w:szCs w:val="21"/>
              </w:rPr>
              <w:t>经度</w:t>
            </w:r>
          </w:p>
        </w:tc>
        <w:tc>
          <w:tcPr>
            <w:tcW w:w="698" w:type="pct"/>
            <w:vAlign w:val="center"/>
          </w:tcPr>
          <w:p w:rsidR="002A5A5E" w:rsidRPr="00F9522B" w:rsidRDefault="00611CBA">
            <w:pPr>
              <w:adjustRightInd w:val="0"/>
              <w:snapToGrid w:val="0"/>
              <w:spacing w:line="0" w:lineRule="atLeast"/>
              <w:jc w:val="center"/>
              <w:rPr>
                <w:rFonts w:eastAsiaTheme="minorEastAsia"/>
                <w:kern w:val="0"/>
                <w:szCs w:val="21"/>
              </w:rPr>
            </w:pPr>
            <w:r w:rsidRPr="00F9522B">
              <w:rPr>
                <w:rFonts w:eastAsiaTheme="minorEastAsia"/>
                <w:kern w:val="0"/>
                <w:szCs w:val="21"/>
              </w:rPr>
              <w:t>纬度</w:t>
            </w:r>
          </w:p>
        </w:tc>
        <w:tc>
          <w:tcPr>
            <w:tcW w:w="391" w:type="pct"/>
            <w:vMerge/>
            <w:vAlign w:val="center"/>
          </w:tcPr>
          <w:p w:rsidR="002A5A5E" w:rsidRPr="00F9522B" w:rsidRDefault="002A5A5E">
            <w:pPr>
              <w:widowControl/>
              <w:spacing w:line="0" w:lineRule="atLeast"/>
              <w:jc w:val="left"/>
              <w:rPr>
                <w:rFonts w:eastAsiaTheme="minorEastAsia"/>
                <w:kern w:val="0"/>
                <w:szCs w:val="21"/>
              </w:rPr>
            </w:pPr>
          </w:p>
        </w:tc>
        <w:tc>
          <w:tcPr>
            <w:tcW w:w="491" w:type="pct"/>
            <w:vMerge/>
            <w:vAlign w:val="center"/>
          </w:tcPr>
          <w:p w:rsidR="002A5A5E" w:rsidRPr="00F9522B" w:rsidRDefault="002A5A5E">
            <w:pPr>
              <w:widowControl/>
              <w:spacing w:line="0" w:lineRule="atLeast"/>
              <w:jc w:val="left"/>
              <w:rPr>
                <w:rFonts w:eastAsiaTheme="minorEastAsia"/>
                <w:kern w:val="0"/>
                <w:szCs w:val="21"/>
              </w:rPr>
            </w:pPr>
          </w:p>
        </w:tc>
        <w:tc>
          <w:tcPr>
            <w:tcW w:w="0" w:type="auto"/>
            <w:vMerge/>
            <w:vAlign w:val="center"/>
          </w:tcPr>
          <w:p w:rsidR="002A5A5E" w:rsidRPr="00F9522B" w:rsidRDefault="002A5A5E">
            <w:pPr>
              <w:widowControl/>
              <w:spacing w:line="0" w:lineRule="atLeast"/>
              <w:jc w:val="left"/>
              <w:rPr>
                <w:rFonts w:eastAsiaTheme="minorEastAsia"/>
                <w:kern w:val="0"/>
                <w:szCs w:val="21"/>
              </w:rPr>
            </w:pPr>
          </w:p>
        </w:tc>
        <w:tc>
          <w:tcPr>
            <w:tcW w:w="675" w:type="pct"/>
            <w:vMerge/>
            <w:vAlign w:val="center"/>
          </w:tcPr>
          <w:p w:rsidR="002A5A5E" w:rsidRPr="00F9522B" w:rsidRDefault="002A5A5E">
            <w:pPr>
              <w:widowControl/>
              <w:spacing w:line="0" w:lineRule="atLeast"/>
              <w:jc w:val="left"/>
              <w:rPr>
                <w:rFonts w:eastAsiaTheme="minorEastAsia"/>
                <w:kern w:val="0"/>
                <w:szCs w:val="21"/>
              </w:rPr>
            </w:pPr>
          </w:p>
        </w:tc>
        <w:tc>
          <w:tcPr>
            <w:tcW w:w="404" w:type="pct"/>
            <w:vMerge/>
            <w:vAlign w:val="center"/>
          </w:tcPr>
          <w:p w:rsidR="002A5A5E" w:rsidRPr="00F9522B" w:rsidRDefault="002A5A5E">
            <w:pPr>
              <w:widowControl/>
              <w:spacing w:line="0" w:lineRule="atLeast"/>
              <w:jc w:val="left"/>
              <w:rPr>
                <w:rFonts w:eastAsiaTheme="minorEastAsia"/>
                <w:kern w:val="0"/>
                <w:szCs w:val="21"/>
              </w:rPr>
            </w:pPr>
          </w:p>
        </w:tc>
        <w:tc>
          <w:tcPr>
            <w:tcW w:w="0" w:type="auto"/>
            <w:vMerge/>
            <w:vAlign w:val="center"/>
          </w:tcPr>
          <w:p w:rsidR="002A5A5E" w:rsidRPr="00F9522B" w:rsidRDefault="002A5A5E">
            <w:pPr>
              <w:widowControl/>
              <w:spacing w:line="0" w:lineRule="atLeast"/>
              <w:jc w:val="left"/>
              <w:rPr>
                <w:rFonts w:eastAsiaTheme="minorEastAsia"/>
                <w:kern w:val="0"/>
                <w:szCs w:val="21"/>
              </w:rPr>
            </w:pPr>
          </w:p>
        </w:tc>
        <w:tc>
          <w:tcPr>
            <w:tcW w:w="0" w:type="auto"/>
            <w:vMerge/>
            <w:vAlign w:val="center"/>
          </w:tcPr>
          <w:p w:rsidR="002A5A5E" w:rsidRPr="00F9522B" w:rsidRDefault="002A5A5E">
            <w:pPr>
              <w:widowControl/>
              <w:spacing w:line="0" w:lineRule="atLeast"/>
              <w:jc w:val="left"/>
              <w:rPr>
                <w:rFonts w:eastAsiaTheme="minorEastAsia"/>
                <w:kern w:val="0"/>
                <w:szCs w:val="21"/>
              </w:rPr>
            </w:pPr>
          </w:p>
        </w:tc>
      </w:tr>
      <w:tr w:rsidR="00565A50" w:rsidRPr="00F9522B">
        <w:trPr>
          <w:jc w:val="center"/>
        </w:trPr>
        <w:tc>
          <w:tcPr>
            <w:tcW w:w="487" w:type="pct"/>
            <w:vMerge w:val="restart"/>
            <w:vAlign w:val="center"/>
          </w:tcPr>
          <w:p w:rsidR="00565A50" w:rsidRPr="00F9522B" w:rsidRDefault="00565A50" w:rsidP="006364CE">
            <w:pPr>
              <w:spacing w:line="0" w:lineRule="atLeast"/>
              <w:contextualSpacing/>
              <w:jc w:val="center"/>
              <w:rPr>
                <w:rFonts w:eastAsiaTheme="minorEastAsia"/>
                <w:szCs w:val="21"/>
              </w:rPr>
            </w:pPr>
            <w:r w:rsidRPr="00F9522B">
              <w:rPr>
                <w:rFonts w:eastAsiaTheme="minorEastAsia"/>
                <w:szCs w:val="21"/>
              </w:rPr>
              <w:t>方台片区、二八片区下风向</w:t>
            </w:r>
            <w:r w:rsidRPr="00F9522B">
              <w:rPr>
                <w:rFonts w:eastAsiaTheme="minorEastAsia"/>
                <w:szCs w:val="21"/>
              </w:rPr>
              <w:t>○1</w:t>
            </w:r>
          </w:p>
        </w:tc>
        <w:tc>
          <w:tcPr>
            <w:tcW w:w="819" w:type="pct"/>
            <w:vMerge w:val="restart"/>
            <w:vAlign w:val="center"/>
          </w:tcPr>
          <w:p w:rsidR="00565A50" w:rsidRPr="00F9522B" w:rsidRDefault="00565A50" w:rsidP="004031CB">
            <w:pPr>
              <w:spacing w:line="0" w:lineRule="atLeast"/>
              <w:contextualSpacing/>
              <w:jc w:val="center"/>
              <w:rPr>
                <w:rFonts w:eastAsiaTheme="minorEastAsia"/>
                <w:kern w:val="0"/>
                <w:szCs w:val="21"/>
              </w:rPr>
            </w:pPr>
            <w:r w:rsidRPr="00F9522B">
              <w:rPr>
                <w:rFonts w:eastAsiaTheme="minorEastAsia"/>
                <w:kern w:val="0"/>
                <w:szCs w:val="21"/>
              </w:rPr>
              <w:t>126.9782432</w:t>
            </w:r>
          </w:p>
        </w:tc>
        <w:tc>
          <w:tcPr>
            <w:tcW w:w="698" w:type="pct"/>
            <w:vMerge w:val="restart"/>
            <w:vAlign w:val="center"/>
          </w:tcPr>
          <w:p w:rsidR="00565A50" w:rsidRPr="00F9522B" w:rsidRDefault="00565A50" w:rsidP="004031CB">
            <w:pPr>
              <w:spacing w:line="0" w:lineRule="atLeast"/>
              <w:contextualSpacing/>
              <w:jc w:val="center"/>
              <w:rPr>
                <w:rFonts w:eastAsiaTheme="minorEastAsia"/>
                <w:kern w:val="0"/>
                <w:szCs w:val="21"/>
              </w:rPr>
            </w:pPr>
            <w:r w:rsidRPr="00F9522B">
              <w:rPr>
                <w:rFonts w:eastAsiaTheme="minorEastAsia"/>
                <w:kern w:val="0"/>
                <w:szCs w:val="21"/>
              </w:rPr>
              <w:t>46.184557</w:t>
            </w:r>
          </w:p>
        </w:tc>
        <w:tc>
          <w:tcPr>
            <w:tcW w:w="391" w:type="pct"/>
            <w:vAlign w:val="center"/>
          </w:tcPr>
          <w:p w:rsidR="00565A50" w:rsidRPr="00F9522B" w:rsidRDefault="00565A50">
            <w:pPr>
              <w:spacing w:line="0" w:lineRule="atLeast"/>
              <w:jc w:val="center"/>
              <w:rPr>
                <w:rFonts w:eastAsiaTheme="minorEastAsia"/>
                <w:kern w:val="0"/>
                <w:szCs w:val="21"/>
              </w:rPr>
            </w:pPr>
            <w:r w:rsidRPr="00F9522B">
              <w:rPr>
                <w:rFonts w:eastAsiaTheme="minorEastAsia"/>
                <w:kern w:val="0"/>
                <w:szCs w:val="21"/>
              </w:rPr>
              <w:t>TSP</w:t>
            </w:r>
          </w:p>
        </w:tc>
        <w:tc>
          <w:tcPr>
            <w:tcW w:w="491" w:type="pct"/>
            <w:vAlign w:val="center"/>
          </w:tcPr>
          <w:p w:rsidR="00565A50" w:rsidRPr="00F9522B" w:rsidRDefault="00565A50">
            <w:pPr>
              <w:spacing w:line="0" w:lineRule="atLeast"/>
              <w:jc w:val="center"/>
              <w:rPr>
                <w:rFonts w:eastAsiaTheme="minorEastAsia"/>
                <w:kern w:val="0"/>
                <w:szCs w:val="21"/>
              </w:rPr>
            </w:pPr>
            <w:r w:rsidRPr="00F9522B">
              <w:rPr>
                <w:rFonts w:eastAsiaTheme="minorEastAsia"/>
                <w:kern w:val="0"/>
                <w:szCs w:val="21"/>
              </w:rPr>
              <w:t>24</w:t>
            </w:r>
            <w:r w:rsidRPr="00F9522B">
              <w:rPr>
                <w:rFonts w:eastAsiaTheme="minorEastAsia"/>
                <w:kern w:val="0"/>
                <w:szCs w:val="21"/>
              </w:rPr>
              <w:t>小时均值</w:t>
            </w:r>
          </w:p>
        </w:tc>
        <w:tc>
          <w:tcPr>
            <w:tcW w:w="0" w:type="auto"/>
            <w:vAlign w:val="center"/>
          </w:tcPr>
          <w:p w:rsidR="00565A50" w:rsidRPr="00F9522B" w:rsidRDefault="00565A50">
            <w:pPr>
              <w:widowControl/>
              <w:spacing w:line="0" w:lineRule="atLeast"/>
              <w:jc w:val="center"/>
              <w:rPr>
                <w:rFonts w:eastAsiaTheme="minorEastAsia"/>
                <w:kern w:val="0"/>
                <w:szCs w:val="21"/>
              </w:rPr>
            </w:pPr>
            <w:r w:rsidRPr="00F9522B">
              <w:rPr>
                <w:rFonts w:eastAsiaTheme="minorEastAsia"/>
                <w:kern w:val="0"/>
                <w:szCs w:val="21"/>
              </w:rPr>
              <w:t>300</w:t>
            </w:r>
          </w:p>
        </w:tc>
        <w:tc>
          <w:tcPr>
            <w:tcW w:w="675" w:type="pct"/>
            <w:vAlign w:val="center"/>
          </w:tcPr>
          <w:p w:rsidR="00565A50" w:rsidRPr="00F9522B" w:rsidRDefault="009C5DD3" w:rsidP="009C5DD3">
            <w:pPr>
              <w:spacing w:line="0" w:lineRule="atLeast"/>
              <w:jc w:val="center"/>
              <w:rPr>
                <w:rFonts w:eastAsiaTheme="minorEastAsia"/>
                <w:kern w:val="0"/>
                <w:szCs w:val="21"/>
              </w:rPr>
            </w:pPr>
            <w:r w:rsidRPr="00F9522B">
              <w:rPr>
                <w:rFonts w:eastAsiaTheme="minorEastAsia"/>
                <w:kern w:val="0"/>
                <w:szCs w:val="21"/>
              </w:rPr>
              <w:t>92</w:t>
            </w:r>
            <w:r w:rsidR="00565A50" w:rsidRPr="00F9522B">
              <w:rPr>
                <w:rFonts w:eastAsiaTheme="minorEastAsia"/>
                <w:kern w:val="0"/>
                <w:szCs w:val="21"/>
              </w:rPr>
              <w:t>-</w:t>
            </w:r>
            <w:r w:rsidRPr="00F9522B">
              <w:rPr>
                <w:rFonts w:eastAsiaTheme="minorEastAsia"/>
                <w:kern w:val="0"/>
                <w:szCs w:val="21"/>
              </w:rPr>
              <w:t>112</w:t>
            </w:r>
          </w:p>
        </w:tc>
        <w:tc>
          <w:tcPr>
            <w:tcW w:w="404" w:type="pct"/>
            <w:vAlign w:val="center"/>
          </w:tcPr>
          <w:p w:rsidR="00565A50" w:rsidRPr="00F9522B" w:rsidRDefault="00F91FEC">
            <w:pPr>
              <w:spacing w:line="0" w:lineRule="atLeast"/>
              <w:jc w:val="center"/>
              <w:rPr>
                <w:rFonts w:eastAsiaTheme="minorEastAsia"/>
                <w:kern w:val="0"/>
                <w:szCs w:val="21"/>
              </w:rPr>
            </w:pPr>
            <w:r w:rsidRPr="00F9522B">
              <w:rPr>
                <w:rFonts w:eastAsiaTheme="minorEastAsia"/>
                <w:kern w:val="0"/>
                <w:szCs w:val="21"/>
              </w:rPr>
              <w:t>37.3</w:t>
            </w:r>
          </w:p>
        </w:tc>
        <w:tc>
          <w:tcPr>
            <w:tcW w:w="259" w:type="pct"/>
            <w:vAlign w:val="center"/>
          </w:tcPr>
          <w:p w:rsidR="00565A50" w:rsidRPr="00F9522B" w:rsidRDefault="00565A50">
            <w:pPr>
              <w:spacing w:line="0" w:lineRule="atLeast"/>
              <w:jc w:val="center"/>
              <w:rPr>
                <w:rFonts w:eastAsiaTheme="minorEastAsia"/>
                <w:kern w:val="0"/>
                <w:szCs w:val="21"/>
              </w:rPr>
            </w:pPr>
            <w:r w:rsidRPr="00F9522B">
              <w:rPr>
                <w:rFonts w:eastAsiaTheme="minorEastAsia"/>
                <w:kern w:val="0"/>
                <w:szCs w:val="21"/>
              </w:rPr>
              <w:t>0</w:t>
            </w:r>
          </w:p>
        </w:tc>
        <w:tc>
          <w:tcPr>
            <w:tcW w:w="0" w:type="auto"/>
            <w:vAlign w:val="center"/>
          </w:tcPr>
          <w:p w:rsidR="00565A50" w:rsidRPr="00F9522B" w:rsidRDefault="00565A50">
            <w:pPr>
              <w:widowControl/>
              <w:spacing w:line="0" w:lineRule="atLeast"/>
              <w:jc w:val="left"/>
              <w:rPr>
                <w:rFonts w:eastAsiaTheme="minorEastAsia"/>
                <w:kern w:val="0"/>
                <w:szCs w:val="21"/>
              </w:rPr>
            </w:pPr>
            <w:r w:rsidRPr="00F9522B">
              <w:rPr>
                <w:rFonts w:eastAsiaTheme="minorEastAsia"/>
                <w:kern w:val="0"/>
                <w:szCs w:val="21"/>
              </w:rPr>
              <w:t>达标</w:t>
            </w:r>
          </w:p>
        </w:tc>
      </w:tr>
      <w:tr w:rsidR="006364CE" w:rsidRPr="00F9522B">
        <w:trPr>
          <w:trHeight w:val="591"/>
          <w:jc w:val="center"/>
        </w:trPr>
        <w:tc>
          <w:tcPr>
            <w:tcW w:w="487" w:type="pct"/>
            <w:vMerge/>
            <w:vAlign w:val="center"/>
          </w:tcPr>
          <w:p w:rsidR="006364CE" w:rsidRPr="00F9522B" w:rsidRDefault="006364CE">
            <w:pPr>
              <w:spacing w:line="0" w:lineRule="atLeast"/>
              <w:jc w:val="center"/>
              <w:rPr>
                <w:rFonts w:eastAsiaTheme="minorEastAsia"/>
                <w:szCs w:val="21"/>
              </w:rPr>
            </w:pPr>
          </w:p>
        </w:tc>
        <w:tc>
          <w:tcPr>
            <w:tcW w:w="819" w:type="pct"/>
            <w:vMerge/>
            <w:vAlign w:val="center"/>
          </w:tcPr>
          <w:p w:rsidR="006364CE" w:rsidRPr="00F9522B" w:rsidRDefault="006364CE">
            <w:pPr>
              <w:spacing w:line="0" w:lineRule="atLeast"/>
              <w:jc w:val="center"/>
              <w:rPr>
                <w:rFonts w:eastAsiaTheme="minorEastAsia"/>
                <w:kern w:val="0"/>
                <w:szCs w:val="21"/>
              </w:rPr>
            </w:pPr>
          </w:p>
        </w:tc>
        <w:tc>
          <w:tcPr>
            <w:tcW w:w="698" w:type="pct"/>
            <w:vMerge/>
            <w:vAlign w:val="center"/>
          </w:tcPr>
          <w:p w:rsidR="006364CE" w:rsidRPr="00F9522B" w:rsidRDefault="006364CE">
            <w:pPr>
              <w:spacing w:line="0" w:lineRule="atLeast"/>
              <w:jc w:val="center"/>
              <w:rPr>
                <w:rFonts w:eastAsiaTheme="minorEastAsia"/>
                <w:kern w:val="0"/>
                <w:szCs w:val="21"/>
              </w:rPr>
            </w:pPr>
          </w:p>
        </w:tc>
        <w:tc>
          <w:tcPr>
            <w:tcW w:w="391" w:type="pct"/>
            <w:vMerge w:val="restart"/>
            <w:vAlign w:val="center"/>
          </w:tcPr>
          <w:p w:rsidR="006364CE" w:rsidRPr="00F9522B" w:rsidRDefault="006364CE">
            <w:pPr>
              <w:widowControl/>
              <w:spacing w:line="0" w:lineRule="atLeast"/>
              <w:jc w:val="center"/>
              <w:rPr>
                <w:rFonts w:eastAsiaTheme="minorEastAsia"/>
                <w:kern w:val="0"/>
                <w:szCs w:val="21"/>
              </w:rPr>
            </w:pPr>
            <w:r w:rsidRPr="00F9522B">
              <w:rPr>
                <w:rFonts w:eastAsiaTheme="minorEastAsia"/>
                <w:kern w:val="0"/>
                <w:szCs w:val="21"/>
              </w:rPr>
              <w:t>NO</w:t>
            </w:r>
            <w:r w:rsidRPr="00F9522B">
              <w:rPr>
                <w:rFonts w:eastAsiaTheme="minorEastAsia"/>
                <w:kern w:val="0"/>
                <w:szCs w:val="21"/>
                <w:vertAlign w:val="subscript"/>
              </w:rPr>
              <w:t>X</w:t>
            </w:r>
          </w:p>
        </w:tc>
        <w:tc>
          <w:tcPr>
            <w:tcW w:w="491" w:type="pct"/>
            <w:vAlign w:val="center"/>
          </w:tcPr>
          <w:p w:rsidR="006364CE" w:rsidRPr="00F9522B" w:rsidRDefault="006364CE">
            <w:pPr>
              <w:spacing w:line="0" w:lineRule="atLeast"/>
              <w:jc w:val="center"/>
              <w:rPr>
                <w:rFonts w:eastAsiaTheme="minorEastAsia"/>
                <w:kern w:val="0"/>
                <w:szCs w:val="21"/>
              </w:rPr>
            </w:pPr>
            <w:r w:rsidRPr="00F9522B">
              <w:rPr>
                <w:rFonts w:eastAsiaTheme="minorEastAsia"/>
                <w:kern w:val="0"/>
                <w:szCs w:val="21"/>
              </w:rPr>
              <w:t>1</w:t>
            </w:r>
            <w:r w:rsidRPr="00F9522B">
              <w:rPr>
                <w:rFonts w:eastAsiaTheme="minorEastAsia"/>
                <w:kern w:val="0"/>
                <w:szCs w:val="21"/>
              </w:rPr>
              <w:t>小时均值</w:t>
            </w:r>
          </w:p>
        </w:tc>
        <w:tc>
          <w:tcPr>
            <w:tcW w:w="0" w:type="auto"/>
            <w:vAlign w:val="center"/>
          </w:tcPr>
          <w:p w:rsidR="006364CE" w:rsidRPr="00F9522B" w:rsidRDefault="006364CE">
            <w:pPr>
              <w:widowControl/>
              <w:spacing w:line="0" w:lineRule="atLeast"/>
              <w:jc w:val="center"/>
              <w:rPr>
                <w:rFonts w:eastAsiaTheme="minorEastAsia"/>
                <w:kern w:val="0"/>
                <w:szCs w:val="21"/>
              </w:rPr>
            </w:pPr>
            <w:r w:rsidRPr="00F9522B">
              <w:rPr>
                <w:rFonts w:eastAsiaTheme="minorEastAsia"/>
                <w:kern w:val="0"/>
                <w:szCs w:val="21"/>
              </w:rPr>
              <w:t>250</w:t>
            </w:r>
          </w:p>
        </w:tc>
        <w:tc>
          <w:tcPr>
            <w:tcW w:w="675" w:type="pct"/>
            <w:vAlign w:val="center"/>
          </w:tcPr>
          <w:p w:rsidR="006364CE" w:rsidRPr="00F9522B" w:rsidRDefault="009C5DD3" w:rsidP="009C5DD3">
            <w:pPr>
              <w:spacing w:line="0" w:lineRule="atLeast"/>
              <w:jc w:val="center"/>
              <w:rPr>
                <w:rFonts w:eastAsiaTheme="minorEastAsia"/>
                <w:kern w:val="0"/>
                <w:szCs w:val="21"/>
              </w:rPr>
            </w:pPr>
            <w:r w:rsidRPr="00F9522B">
              <w:rPr>
                <w:rFonts w:eastAsiaTheme="minorEastAsia"/>
                <w:kern w:val="0"/>
                <w:szCs w:val="21"/>
              </w:rPr>
              <w:t>51</w:t>
            </w:r>
            <w:r w:rsidR="006364CE" w:rsidRPr="00F9522B">
              <w:rPr>
                <w:rFonts w:eastAsiaTheme="minorEastAsia"/>
                <w:kern w:val="0"/>
                <w:szCs w:val="21"/>
              </w:rPr>
              <w:t>-</w:t>
            </w:r>
            <w:r w:rsidRPr="00F9522B">
              <w:rPr>
                <w:rFonts w:eastAsiaTheme="minorEastAsia"/>
                <w:kern w:val="0"/>
                <w:szCs w:val="21"/>
              </w:rPr>
              <w:t>62</w:t>
            </w:r>
          </w:p>
        </w:tc>
        <w:tc>
          <w:tcPr>
            <w:tcW w:w="404" w:type="pct"/>
            <w:vAlign w:val="center"/>
          </w:tcPr>
          <w:p w:rsidR="006364CE" w:rsidRPr="00F9522B" w:rsidRDefault="00F91FEC">
            <w:pPr>
              <w:spacing w:line="0" w:lineRule="atLeast"/>
              <w:jc w:val="center"/>
              <w:rPr>
                <w:rFonts w:eastAsiaTheme="minorEastAsia"/>
                <w:kern w:val="0"/>
                <w:szCs w:val="21"/>
              </w:rPr>
            </w:pPr>
            <w:r w:rsidRPr="00F9522B">
              <w:rPr>
                <w:rFonts w:eastAsiaTheme="minorEastAsia"/>
                <w:kern w:val="0"/>
                <w:szCs w:val="21"/>
              </w:rPr>
              <w:t>24.8</w:t>
            </w:r>
          </w:p>
        </w:tc>
        <w:tc>
          <w:tcPr>
            <w:tcW w:w="259" w:type="pct"/>
            <w:vAlign w:val="center"/>
          </w:tcPr>
          <w:p w:rsidR="006364CE" w:rsidRPr="00F9522B" w:rsidRDefault="006364CE">
            <w:pPr>
              <w:spacing w:line="0" w:lineRule="atLeast"/>
              <w:jc w:val="center"/>
              <w:rPr>
                <w:rFonts w:eastAsiaTheme="minorEastAsia"/>
                <w:kern w:val="0"/>
                <w:szCs w:val="21"/>
              </w:rPr>
            </w:pPr>
            <w:r w:rsidRPr="00F9522B">
              <w:rPr>
                <w:rFonts w:eastAsiaTheme="minorEastAsia"/>
                <w:kern w:val="0"/>
                <w:szCs w:val="21"/>
              </w:rPr>
              <w:t>0</w:t>
            </w:r>
          </w:p>
        </w:tc>
        <w:tc>
          <w:tcPr>
            <w:tcW w:w="0" w:type="auto"/>
            <w:vMerge w:val="restart"/>
            <w:vAlign w:val="center"/>
          </w:tcPr>
          <w:p w:rsidR="006364CE" w:rsidRPr="00F9522B" w:rsidRDefault="006364CE">
            <w:pPr>
              <w:widowControl/>
              <w:spacing w:line="0" w:lineRule="atLeast"/>
              <w:jc w:val="left"/>
              <w:rPr>
                <w:rFonts w:eastAsiaTheme="minorEastAsia"/>
                <w:kern w:val="0"/>
                <w:szCs w:val="21"/>
              </w:rPr>
            </w:pPr>
            <w:r w:rsidRPr="00F9522B">
              <w:rPr>
                <w:rFonts w:eastAsiaTheme="minorEastAsia"/>
                <w:kern w:val="0"/>
                <w:szCs w:val="21"/>
              </w:rPr>
              <w:t>达标</w:t>
            </w:r>
          </w:p>
        </w:tc>
      </w:tr>
      <w:tr w:rsidR="006364CE" w:rsidRPr="00F9522B">
        <w:trPr>
          <w:jc w:val="center"/>
        </w:trPr>
        <w:tc>
          <w:tcPr>
            <w:tcW w:w="487" w:type="pct"/>
            <w:vMerge/>
            <w:vAlign w:val="center"/>
          </w:tcPr>
          <w:p w:rsidR="006364CE" w:rsidRPr="00F9522B" w:rsidRDefault="006364CE">
            <w:pPr>
              <w:spacing w:line="0" w:lineRule="atLeast"/>
              <w:jc w:val="center"/>
              <w:rPr>
                <w:rFonts w:eastAsiaTheme="minorEastAsia"/>
                <w:szCs w:val="21"/>
              </w:rPr>
            </w:pPr>
          </w:p>
        </w:tc>
        <w:tc>
          <w:tcPr>
            <w:tcW w:w="819" w:type="pct"/>
            <w:vMerge/>
            <w:vAlign w:val="center"/>
          </w:tcPr>
          <w:p w:rsidR="006364CE" w:rsidRPr="00F9522B" w:rsidRDefault="006364CE">
            <w:pPr>
              <w:spacing w:line="0" w:lineRule="atLeast"/>
              <w:jc w:val="center"/>
              <w:rPr>
                <w:rFonts w:eastAsiaTheme="minorEastAsia"/>
                <w:kern w:val="0"/>
                <w:szCs w:val="21"/>
              </w:rPr>
            </w:pPr>
          </w:p>
        </w:tc>
        <w:tc>
          <w:tcPr>
            <w:tcW w:w="698" w:type="pct"/>
            <w:vMerge/>
            <w:vAlign w:val="center"/>
          </w:tcPr>
          <w:p w:rsidR="006364CE" w:rsidRPr="00F9522B" w:rsidRDefault="006364CE">
            <w:pPr>
              <w:spacing w:line="0" w:lineRule="atLeast"/>
              <w:jc w:val="center"/>
              <w:rPr>
                <w:rFonts w:eastAsiaTheme="minorEastAsia"/>
                <w:kern w:val="0"/>
                <w:szCs w:val="21"/>
              </w:rPr>
            </w:pPr>
          </w:p>
        </w:tc>
        <w:tc>
          <w:tcPr>
            <w:tcW w:w="391" w:type="pct"/>
            <w:vMerge/>
            <w:vAlign w:val="center"/>
          </w:tcPr>
          <w:p w:rsidR="006364CE" w:rsidRPr="00F9522B" w:rsidRDefault="006364CE">
            <w:pPr>
              <w:widowControl/>
              <w:spacing w:line="0" w:lineRule="atLeast"/>
              <w:jc w:val="center"/>
              <w:rPr>
                <w:rFonts w:eastAsiaTheme="minorEastAsia"/>
                <w:kern w:val="0"/>
                <w:szCs w:val="21"/>
              </w:rPr>
            </w:pPr>
          </w:p>
        </w:tc>
        <w:tc>
          <w:tcPr>
            <w:tcW w:w="491" w:type="pct"/>
            <w:vAlign w:val="center"/>
          </w:tcPr>
          <w:p w:rsidR="006364CE" w:rsidRPr="00F9522B" w:rsidRDefault="006364CE">
            <w:pPr>
              <w:spacing w:line="0" w:lineRule="atLeast"/>
              <w:jc w:val="center"/>
              <w:rPr>
                <w:rFonts w:eastAsiaTheme="minorEastAsia"/>
                <w:kern w:val="0"/>
                <w:szCs w:val="21"/>
              </w:rPr>
            </w:pPr>
            <w:r w:rsidRPr="00F9522B">
              <w:rPr>
                <w:rFonts w:eastAsiaTheme="minorEastAsia"/>
                <w:kern w:val="0"/>
                <w:szCs w:val="21"/>
              </w:rPr>
              <w:t>24</w:t>
            </w:r>
            <w:r w:rsidRPr="00F9522B">
              <w:rPr>
                <w:rFonts w:eastAsiaTheme="minorEastAsia"/>
                <w:kern w:val="0"/>
                <w:szCs w:val="21"/>
              </w:rPr>
              <w:t>小时均值</w:t>
            </w:r>
          </w:p>
        </w:tc>
        <w:tc>
          <w:tcPr>
            <w:tcW w:w="0" w:type="auto"/>
            <w:vAlign w:val="center"/>
          </w:tcPr>
          <w:p w:rsidR="006364CE" w:rsidRPr="00F9522B" w:rsidRDefault="006364CE">
            <w:pPr>
              <w:widowControl/>
              <w:spacing w:line="0" w:lineRule="atLeast"/>
              <w:jc w:val="center"/>
              <w:rPr>
                <w:rFonts w:eastAsiaTheme="minorEastAsia"/>
                <w:kern w:val="0"/>
                <w:szCs w:val="21"/>
              </w:rPr>
            </w:pPr>
            <w:r w:rsidRPr="00F9522B">
              <w:rPr>
                <w:rFonts w:eastAsiaTheme="minorEastAsia"/>
                <w:kern w:val="0"/>
                <w:szCs w:val="21"/>
              </w:rPr>
              <w:t>100</w:t>
            </w:r>
          </w:p>
        </w:tc>
        <w:tc>
          <w:tcPr>
            <w:tcW w:w="675" w:type="pct"/>
            <w:vAlign w:val="center"/>
          </w:tcPr>
          <w:p w:rsidR="006364CE" w:rsidRPr="00F9522B" w:rsidRDefault="009C5DD3" w:rsidP="009C5DD3">
            <w:pPr>
              <w:spacing w:line="0" w:lineRule="atLeast"/>
              <w:jc w:val="center"/>
              <w:rPr>
                <w:rFonts w:eastAsiaTheme="minorEastAsia"/>
                <w:kern w:val="0"/>
                <w:szCs w:val="21"/>
              </w:rPr>
            </w:pPr>
            <w:r w:rsidRPr="00F9522B">
              <w:rPr>
                <w:rFonts w:eastAsiaTheme="minorEastAsia"/>
                <w:kern w:val="0"/>
                <w:szCs w:val="21"/>
              </w:rPr>
              <w:t>25</w:t>
            </w:r>
            <w:r w:rsidR="006364CE" w:rsidRPr="00F9522B">
              <w:rPr>
                <w:rFonts w:eastAsiaTheme="minorEastAsia"/>
                <w:kern w:val="0"/>
                <w:szCs w:val="21"/>
              </w:rPr>
              <w:t>-</w:t>
            </w:r>
            <w:r w:rsidRPr="00F9522B">
              <w:rPr>
                <w:rFonts w:eastAsiaTheme="minorEastAsia"/>
                <w:kern w:val="0"/>
                <w:szCs w:val="21"/>
              </w:rPr>
              <w:t>33</w:t>
            </w:r>
          </w:p>
        </w:tc>
        <w:tc>
          <w:tcPr>
            <w:tcW w:w="404" w:type="pct"/>
            <w:vAlign w:val="center"/>
          </w:tcPr>
          <w:p w:rsidR="006364CE" w:rsidRPr="00F9522B" w:rsidRDefault="00F91FEC">
            <w:pPr>
              <w:spacing w:line="0" w:lineRule="atLeast"/>
              <w:jc w:val="center"/>
              <w:rPr>
                <w:rFonts w:eastAsiaTheme="minorEastAsia"/>
                <w:kern w:val="0"/>
                <w:szCs w:val="21"/>
              </w:rPr>
            </w:pPr>
            <w:r w:rsidRPr="00F9522B">
              <w:rPr>
                <w:rFonts w:eastAsiaTheme="minorEastAsia"/>
                <w:kern w:val="0"/>
                <w:szCs w:val="21"/>
              </w:rPr>
              <w:t>33</w:t>
            </w:r>
          </w:p>
        </w:tc>
        <w:tc>
          <w:tcPr>
            <w:tcW w:w="259" w:type="pct"/>
            <w:vAlign w:val="center"/>
          </w:tcPr>
          <w:p w:rsidR="006364CE" w:rsidRPr="00F9522B" w:rsidRDefault="006364CE">
            <w:pPr>
              <w:spacing w:line="0" w:lineRule="atLeast"/>
              <w:jc w:val="center"/>
              <w:rPr>
                <w:rFonts w:eastAsiaTheme="minorEastAsia"/>
                <w:kern w:val="0"/>
                <w:szCs w:val="21"/>
              </w:rPr>
            </w:pPr>
            <w:r w:rsidRPr="00F9522B">
              <w:rPr>
                <w:rFonts w:eastAsiaTheme="minorEastAsia"/>
                <w:kern w:val="0"/>
                <w:szCs w:val="21"/>
              </w:rPr>
              <w:t>0</w:t>
            </w:r>
          </w:p>
        </w:tc>
        <w:tc>
          <w:tcPr>
            <w:tcW w:w="0" w:type="auto"/>
            <w:vMerge/>
            <w:vAlign w:val="center"/>
          </w:tcPr>
          <w:p w:rsidR="006364CE" w:rsidRPr="00F9522B" w:rsidRDefault="006364CE">
            <w:pPr>
              <w:widowControl/>
              <w:spacing w:line="0" w:lineRule="atLeast"/>
              <w:jc w:val="left"/>
              <w:rPr>
                <w:rFonts w:eastAsiaTheme="minorEastAsia"/>
                <w:kern w:val="0"/>
                <w:szCs w:val="21"/>
              </w:rPr>
            </w:pPr>
          </w:p>
        </w:tc>
      </w:tr>
      <w:tr w:rsidR="00565A50" w:rsidRPr="00F9522B">
        <w:trPr>
          <w:trHeight w:val="389"/>
          <w:jc w:val="center"/>
        </w:trPr>
        <w:tc>
          <w:tcPr>
            <w:tcW w:w="487" w:type="pct"/>
            <w:vMerge w:val="restart"/>
            <w:vAlign w:val="center"/>
          </w:tcPr>
          <w:p w:rsidR="00565A50" w:rsidRPr="00F9522B" w:rsidRDefault="00565A50" w:rsidP="004C7650">
            <w:pPr>
              <w:spacing w:line="0" w:lineRule="atLeast"/>
              <w:contextualSpacing/>
              <w:jc w:val="center"/>
              <w:rPr>
                <w:rFonts w:eastAsiaTheme="minorEastAsia"/>
                <w:szCs w:val="21"/>
              </w:rPr>
            </w:pPr>
            <w:r w:rsidRPr="00F9522B">
              <w:rPr>
                <w:rFonts w:eastAsiaTheme="minorEastAsia"/>
                <w:szCs w:val="21"/>
              </w:rPr>
              <w:t>石人片区、康金片区下风向</w:t>
            </w:r>
            <w:r w:rsidRPr="00F9522B">
              <w:rPr>
                <w:rFonts w:eastAsiaTheme="minorEastAsia"/>
                <w:szCs w:val="21"/>
              </w:rPr>
              <w:t>○2</w:t>
            </w:r>
          </w:p>
        </w:tc>
        <w:tc>
          <w:tcPr>
            <w:tcW w:w="819" w:type="pct"/>
            <w:vMerge w:val="restart"/>
            <w:vAlign w:val="center"/>
          </w:tcPr>
          <w:p w:rsidR="00565A50" w:rsidRPr="00F9522B" w:rsidRDefault="00565A50" w:rsidP="004031CB">
            <w:pPr>
              <w:spacing w:line="0" w:lineRule="atLeast"/>
              <w:contextualSpacing/>
              <w:jc w:val="center"/>
              <w:rPr>
                <w:rFonts w:eastAsiaTheme="minorEastAsia"/>
                <w:kern w:val="0"/>
                <w:szCs w:val="21"/>
              </w:rPr>
            </w:pPr>
            <w:r w:rsidRPr="00F9522B">
              <w:rPr>
                <w:rFonts w:eastAsiaTheme="minorEastAsia"/>
                <w:kern w:val="0"/>
                <w:szCs w:val="21"/>
              </w:rPr>
              <w:t>126.8976482</w:t>
            </w:r>
          </w:p>
        </w:tc>
        <w:tc>
          <w:tcPr>
            <w:tcW w:w="698" w:type="pct"/>
            <w:vMerge w:val="restart"/>
            <w:vAlign w:val="center"/>
          </w:tcPr>
          <w:p w:rsidR="00565A50" w:rsidRPr="00F9522B" w:rsidRDefault="00565A50" w:rsidP="004031CB">
            <w:pPr>
              <w:spacing w:line="0" w:lineRule="atLeast"/>
              <w:contextualSpacing/>
              <w:jc w:val="center"/>
              <w:rPr>
                <w:rFonts w:eastAsiaTheme="minorEastAsia"/>
                <w:kern w:val="0"/>
                <w:szCs w:val="21"/>
              </w:rPr>
            </w:pPr>
            <w:r w:rsidRPr="00F9522B">
              <w:rPr>
                <w:rFonts w:eastAsiaTheme="minorEastAsia"/>
                <w:kern w:val="0"/>
                <w:szCs w:val="21"/>
              </w:rPr>
              <w:t>46.326397</w:t>
            </w:r>
          </w:p>
        </w:tc>
        <w:tc>
          <w:tcPr>
            <w:tcW w:w="391" w:type="pct"/>
            <w:vAlign w:val="center"/>
          </w:tcPr>
          <w:p w:rsidR="00565A50" w:rsidRPr="00F9522B" w:rsidRDefault="00565A50">
            <w:pPr>
              <w:spacing w:line="0" w:lineRule="atLeast"/>
              <w:jc w:val="center"/>
              <w:rPr>
                <w:rFonts w:eastAsiaTheme="minorEastAsia"/>
                <w:kern w:val="0"/>
                <w:szCs w:val="21"/>
              </w:rPr>
            </w:pPr>
            <w:r w:rsidRPr="00F9522B">
              <w:rPr>
                <w:rFonts w:eastAsiaTheme="minorEastAsia"/>
                <w:kern w:val="0"/>
                <w:szCs w:val="21"/>
              </w:rPr>
              <w:t>TSP</w:t>
            </w:r>
          </w:p>
        </w:tc>
        <w:tc>
          <w:tcPr>
            <w:tcW w:w="491" w:type="pct"/>
            <w:vAlign w:val="center"/>
          </w:tcPr>
          <w:p w:rsidR="00565A50" w:rsidRPr="00F9522B" w:rsidRDefault="00565A50">
            <w:pPr>
              <w:spacing w:line="0" w:lineRule="atLeast"/>
              <w:jc w:val="center"/>
              <w:rPr>
                <w:rFonts w:eastAsiaTheme="minorEastAsia"/>
                <w:kern w:val="0"/>
                <w:szCs w:val="21"/>
              </w:rPr>
            </w:pPr>
            <w:r w:rsidRPr="00F9522B">
              <w:rPr>
                <w:rFonts w:eastAsiaTheme="minorEastAsia"/>
                <w:kern w:val="0"/>
                <w:szCs w:val="21"/>
              </w:rPr>
              <w:t>24</w:t>
            </w:r>
            <w:r w:rsidRPr="00F9522B">
              <w:rPr>
                <w:rFonts w:eastAsiaTheme="minorEastAsia"/>
                <w:kern w:val="0"/>
                <w:szCs w:val="21"/>
              </w:rPr>
              <w:t>小时均值</w:t>
            </w:r>
          </w:p>
        </w:tc>
        <w:tc>
          <w:tcPr>
            <w:tcW w:w="0" w:type="auto"/>
            <w:vAlign w:val="center"/>
          </w:tcPr>
          <w:p w:rsidR="00565A50" w:rsidRPr="00F9522B" w:rsidRDefault="00565A50">
            <w:pPr>
              <w:widowControl/>
              <w:spacing w:line="0" w:lineRule="atLeast"/>
              <w:jc w:val="center"/>
              <w:rPr>
                <w:rFonts w:eastAsiaTheme="minorEastAsia"/>
                <w:kern w:val="0"/>
                <w:szCs w:val="21"/>
              </w:rPr>
            </w:pPr>
            <w:r w:rsidRPr="00F9522B">
              <w:rPr>
                <w:rFonts w:eastAsiaTheme="minorEastAsia"/>
                <w:kern w:val="0"/>
                <w:szCs w:val="21"/>
              </w:rPr>
              <w:t>300</w:t>
            </w:r>
          </w:p>
        </w:tc>
        <w:tc>
          <w:tcPr>
            <w:tcW w:w="675" w:type="pct"/>
            <w:vAlign w:val="center"/>
          </w:tcPr>
          <w:p w:rsidR="00565A50" w:rsidRPr="00F9522B" w:rsidRDefault="00DA1877">
            <w:pPr>
              <w:spacing w:line="0" w:lineRule="atLeast"/>
              <w:jc w:val="center"/>
              <w:rPr>
                <w:rFonts w:eastAsiaTheme="minorEastAsia"/>
                <w:kern w:val="0"/>
                <w:szCs w:val="21"/>
              </w:rPr>
            </w:pPr>
            <w:r w:rsidRPr="00F9522B">
              <w:rPr>
                <w:rFonts w:eastAsiaTheme="minorEastAsia"/>
                <w:kern w:val="0"/>
                <w:szCs w:val="21"/>
              </w:rPr>
              <w:t>91-103</w:t>
            </w:r>
          </w:p>
        </w:tc>
        <w:tc>
          <w:tcPr>
            <w:tcW w:w="404" w:type="pct"/>
            <w:vAlign w:val="center"/>
          </w:tcPr>
          <w:p w:rsidR="00565A50" w:rsidRPr="00F9522B" w:rsidRDefault="00F91FEC">
            <w:pPr>
              <w:spacing w:line="0" w:lineRule="atLeast"/>
              <w:jc w:val="center"/>
              <w:rPr>
                <w:rFonts w:eastAsiaTheme="minorEastAsia"/>
                <w:kern w:val="0"/>
                <w:szCs w:val="21"/>
              </w:rPr>
            </w:pPr>
            <w:r w:rsidRPr="00F9522B">
              <w:rPr>
                <w:rFonts w:eastAsiaTheme="minorEastAsia"/>
                <w:kern w:val="0"/>
                <w:szCs w:val="21"/>
              </w:rPr>
              <w:t>34.3</w:t>
            </w:r>
          </w:p>
        </w:tc>
        <w:tc>
          <w:tcPr>
            <w:tcW w:w="259" w:type="pct"/>
            <w:vAlign w:val="center"/>
          </w:tcPr>
          <w:p w:rsidR="00565A50" w:rsidRPr="00F9522B" w:rsidRDefault="00565A50">
            <w:pPr>
              <w:spacing w:line="0" w:lineRule="atLeast"/>
              <w:jc w:val="center"/>
              <w:rPr>
                <w:rFonts w:eastAsiaTheme="minorEastAsia"/>
                <w:kern w:val="0"/>
                <w:szCs w:val="21"/>
              </w:rPr>
            </w:pPr>
            <w:r w:rsidRPr="00F9522B">
              <w:rPr>
                <w:rFonts w:eastAsiaTheme="minorEastAsia"/>
                <w:kern w:val="0"/>
                <w:szCs w:val="21"/>
              </w:rPr>
              <w:t>0</w:t>
            </w:r>
          </w:p>
        </w:tc>
        <w:tc>
          <w:tcPr>
            <w:tcW w:w="0" w:type="auto"/>
            <w:vAlign w:val="center"/>
          </w:tcPr>
          <w:p w:rsidR="00565A50" w:rsidRPr="00F9522B" w:rsidRDefault="00565A50">
            <w:pPr>
              <w:widowControl/>
              <w:spacing w:line="0" w:lineRule="atLeast"/>
              <w:jc w:val="left"/>
              <w:rPr>
                <w:rFonts w:eastAsiaTheme="minorEastAsia"/>
                <w:kern w:val="0"/>
                <w:szCs w:val="21"/>
              </w:rPr>
            </w:pPr>
            <w:r w:rsidRPr="00F9522B">
              <w:rPr>
                <w:rFonts w:eastAsiaTheme="minorEastAsia"/>
                <w:kern w:val="0"/>
                <w:szCs w:val="21"/>
              </w:rPr>
              <w:t>达标</w:t>
            </w:r>
          </w:p>
        </w:tc>
      </w:tr>
      <w:tr w:rsidR="002A5A5E" w:rsidRPr="00F9522B">
        <w:trPr>
          <w:trHeight w:val="409"/>
          <w:jc w:val="center"/>
        </w:trPr>
        <w:tc>
          <w:tcPr>
            <w:tcW w:w="487" w:type="pct"/>
            <w:vMerge/>
            <w:vAlign w:val="center"/>
          </w:tcPr>
          <w:p w:rsidR="002A5A5E" w:rsidRPr="00F9522B" w:rsidRDefault="002A5A5E">
            <w:pPr>
              <w:spacing w:line="0" w:lineRule="atLeast"/>
              <w:jc w:val="center"/>
              <w:rPr>
                <w:rFonts w:eastAsiaTheme="minorEastAsia"/>
                <w:szCs w:val="21"/>
              </w:rPr>
            </w:pPr>
          </w:p>
        </w:tc>
        <w:tc>
          <w:tcPr>
            <w:tcW w:w="819" w:type="pct"/>
            <w:vMerge/>
            <w:vAlign w:val="center"/>
          </w:tcPr>
          <w:p w:rsidR="002A5A5E" w:rsidRPr="00F9522B" w:rsidRDefault="002A5A5E">
            <w:pPr>
              <w:spacing w:line="0" w:lineRule="atLeast"/>
              <w:jc w:val="center"/>
              <w:rPr>
                <w:rFonts w:eastAsiaTheme="minorEastAsia"/>
                <w:kern w:val="0"/>
                <w:szCs w:val="21"/>
              </w:rPr>
            </w:pPr>
          </w:p>
        </w:tc>
        <w:tc>
          <w:tcPr>
            <w:tcW w:w="698" w:type="pct"/>
            <w:vMerge/>
            <w:vAlign w:val="center"/>
          </w:tcPr>
          <w:p w:rsidR="002A5A5E" w:rsidRPr="00F9522B" w:rsidRDefault="002A5A5E">
            <w:pPr>
              <w:spacing w:line="0" w:lineRule="atLeast"/>
              <w:jc w:val="center"/>
              <w:rPr>
                <w:rFonts w:eastAsiaTheme="minorEastAsia"/>
                <w:kern w:val="0"/>
                <w:szCs w:val="21"/>
              </w:rPr>
            </w:pPr>
          </w:p>
        </w:tc>
        <w:tc>
          <w:tcPr>
            <w:tcW w:w="391" w:type="pct"/>
            <w:vMerge w:val="restart"/>
            <w:vAlign w:val="center"/>
          </w:tcPr>
          <w:p w:rsidR="002A5A5E" w:rsidRPr="00F9522B" w:rsidRDefault="00611CBA">
            <w:pPr>
              <w:widowControl/>
              <w:spacing w:line="0" w:lineRule="atLeast"/>
              <w:jc w:val="center"/>
              <w:rPr>
                <w:rFonts w:eastAsiaTheme="minorEastAsia"/>
                <w:kern w:val="0"/>
                <w:szCs w:val="21"/>
              </w:rPr>
            </w:pPr>
            <w:r w:rsidRPr="00F9522B">
              <w:rPr>
                <w:rFonts w:eastAsiaTheme="minorEastAsia"/>
                <w:kern w:val="0"/>
                <w:szCs w:val="21"/>
              </w:rPr>
              <w:t>NO</w:t>
            </w:r>
            <w:r w:rsidRPr="00F9522B">
              <w:rPr>
                <w:rFonts w:eastAsiaTheme="minorEastAsia"/>
                <w:kern w:val="0"/>
                <w:szCs w:val="21"/>
                <w:vertAlign w:val="subscript"/>
              </w:rPr>
              <w:t>X</w:t>
            </w:r>
          </w:p>
        </w:tc>
        <w:tc>
          <w:tcPr>
            <w:tcW w:w="491" w:type="pct"/>
            <w:vAlign w:val="center"/>
          </w:tcPr>
          <w:p w:rsidR="002A5A5E" w:rsidRPr="00F9522B" w:rsidRDefault="00611CBA">
            <w:pPr>
              <w:spacing w:line="0" w:lineRule="atLeast"/>
              <w:jc w:val="center"/>
              <w:rPr>
                <w:rFonts w:eastAsiaTheme="minorEastAsia"/>
                <w:kern w:val="0"/>
                <w:szCs w:val="21"/>
              </w:rPr>
            </w:pPr>
            <w:r w:rsidRPr="00F9522B">
              <w:rPr>
                <w:rFonts w:eastAsiaTheme="minorEastAsia"/>
                <w:kern w:val="0"/>
                <w:szCs w:val="21"/>
              </w:rPr>
              <w:t>1</w:t>
            </w:r>
            <w:r w:rsidRPr="00F9522B">
              <w:rPr>
                <w:rFonts w:eastAsiaTheme="minorEastAsia"/>
                <w:kern w:val="0"/>
                <w:szCs w:val="21"/>
              </w:rPr>
              <w:t>小时均值</w:t>
            </w:r>
          </w:p>
        </w:tc>
        <w:tc>
          <w:tcPr>
            <w:tcW w:w="0" w:type="auto"/>
            <w:vAlign w:val="center"/>
          </w:tcPr>
          <w:p w:rsidR="002A5A5E" w:rsidRPr="00F9522B" w:rsidRDefault="00611CBA">
            <w:pPr>
              <w:widowControl/>
              <w:spacing w:line="0" w:lineRule="atLeast"/>
              <w:jc w:val="center"/>
              <w:rPr>
                <w:rFonts w:eastAsiaTheme="minorEastAsia"/>
                <w:kern w:val="0"/>
                <w:szCs w:val="21"/>
              </w:rPr>
            </w:pPr>
            <w:r w:rsidRPr="00F9522B">
              <w:rPr>
                <w:rFonts w:eastAsiaTheme="minorEastAsia"/>
                <w:kern w:val="0"/>
                <w:szCs w:val="21"/>
              </w:rPr>
              <w:t>250</w:t>
            </w:r>
          </w:p>
        </w:tc>
        <w:tc>
          <w:tcPr>
            <w:tcW w:w="675" w:type="pct"/>
            <w:vAlign w:val="center"/>
          </w:tcPr>
          <w:p w:rsidR="002A5A5E" w:rsidRPr="00F9522B" w:rsidRDefault="00DA1877" w:rsidP="00DA1877">
            <w:pPr>
              <w:spacing w:line="0" w:lineRule="atLeast"/>
              <w:jc w:val="center"/>
              <w:rPr>
                <w:rFonts w:eastAsiaTheme="minorEastAsia"/>
                <w:kern w:val="0"/>
                <w:szCs w:val="21"/>
              </w:rPr>
            </w:pPr>
            <w:r w:rsidRPr="00F9522B">
              <w:rPr>
                <w:rFonts w:eastAsiaTheme="minorEastAsia"/>
                <w:kern w:val="0"/>
                <w:szCs w:val="21"/>
              </w:rPr>
              <w:t>43</w:t>
            </w:r>
            <w:r w:rsidR="00611CBA" w:rsidRPr="00F9522B">
              <w:rPr>
                <w:rFonts w:eastAsiaTheme="minorEastAsia"/>
                <w:kern w:val="0"/>
                <w:szCs w:val="21"/>
              </w:rPr>
              <w:t>-</w:t>
            </w:r>
            <w:r w:rsidRPr="00F9522B">
              <w:rPr>
                <w:rFonts w:eastAsiaTheme="minorEastAsia"/>
                <w:kern w:val="0"/>
                <w:szCs w:val="21"/>
              </w:rPr>
              <w:t>57</w:t>
            </w:r>
          </w:p>
        </w:tc>
        <w:tc>
          <w:tcPr>
            <w:tcW w:w="404" w:type="pct"/>
            <w:vAlign w:val="center"/>
          </w:tcPr>
          <w:p w:rsidR="002A5A5E" w:rsidRPr="00F9522B" w:rsidRDefault="00F91FEC">
            <w:pPr>
              <w:spacing w:line="0" w:lineRule="atLeast"/>
              <w:jc w:val="center"/>
              <w:rPr>
                <w:rFonts w:eastAsiaTheme="minorEastAsia"/>
                <w:kern w:val="0"/>
                <w:szCs w:val="21"/>
              </w:rPr>
            </w:pPr>
            <w:r w:rsidRPr="00F9522B">
              <w:rPr>
                <w:rFonts w:eastAsiaTheme="minorEastAsia"/>
                <w:kern w:val="0"/>
                <w:szCs w:val="21"/>
              </w:rPr>
              <w:t>22.8</w:t>
            </w:r>
          </w:p>
        </w:tc>
        <w:tc>
          <w:tcPr>
            <w:tcW w:w="259" w:type="pct"/>
            <w:vAlign w:val="center"/>
          </w:tcPr>
          <w:p w:rsidR="002A5A5E" w:rsidRPr="00F9522B" w:rsidRDefault="00611CBA">
            <w:pPr>
              <w:spacing w:line="0" w:lineRule="atLeast"/>
              <w:jc w:val="center"/>
              <w:rPr>
                <w:rFonts w:eastAsiaTheme="minorEastAsia"/>
                <w:kern w:val="0"/>
                <w:szCs w:val="21"/>
              </w:rPr>
            </w:pPr>
            <w:r w:rsidRPr="00F9522B">
              <w:rPr>
                <w:rFonts w:eastAsiaTheme="minorEastAsia"/>
                <w:kern w:val="0"/>
                <w:szCs w:val="21"/>
              </w:rPr>
              <w:t>0</w:t>
            </w:r>
          </w:p>
        </w:tc>
        <w:tc>
          <w:tcPr>
            <w:tcW w:w="0" w:type="auto"/>
            <w:vMerge w:val="restart"/>
            <w:vAlign w:val="center"/>
          </w:tcPr>
          <w:p w:rsidR="002A5A5E" w:rsidRPr="00F9522B" w:rsidRDefault="00611CBA">
            <w:pPr>
              <w:widowControl/>
              <w:spacing w:line="0" w:lineRule="atLeast"/>
              <w:jc w:val="left"/>
              <w:rPr>
                <w:rFonts w:eastAsiaTheme="minorEastAsia"/>
                <w:kern w:val="0"/>
                <w:szCs w:val="21"/>
              </w:rPr>
            </w:pPr>
            <w:r w:rsidRPr="00F9522B">
              <w:rPr>
                <w:rFonts w:eastAsiaTheme="minorEastAsia"/>
                <w:kern w:val="0"/>
                <w:szCs w:val="21"/>
              </w:rPr>
              <w:t>达标</w:t>
            </w:r>
          </w:p>
        </w:tc>
      </w:tr>
      <w:tr w:rsidR="002A5A5E" w:rsidRPr="00F9522B">
        <w:trPr>
          <w:trHeight w:val="409"/>
          <w:jc w:val="center"/>
        </w:trPr>
        <w:tc>
          <w:tcPr>
            <w:tcW w:w="487" w:type="pct"/>
            <w:vMerge/>
            <w:vAlign w:val="center"/>
          </w:tcPr>
          <w:p w:rsidR="002A5A5E" w:rsidRPr="00F9522B" w:rsidRDefault="002A5A5E">
            <w:pPr>
              <w:spacing w:line="0" w:lineRule="atLeast"/>
              <w:jc w:val="center"/>
              <w:rPr>
                <w:rFonts w:eastAsiaTheme="minorEastAsia"/>
                <w:szCs w:val="21"/>
              </w:rPr>
            </w:pPr>
          </w:p>
        </w:tc>
        <w:tc>
          <w:tcPr>
            <w:tcW w:w="819" w:type="pct"/>
            <w:vMerge/>
            <w:vAlign w:val="center"/>
          </w:tcPr>
          <w:p w:rsidR="002A5A5E" w:rsidRPr="00F9522B" w:rsidRDefault="002A5A5E">
            <w:pPr>
              <w:spacing w:line="0" w:lineRule="atLeast"/>
              <w:jc w:val="center"/>
              <w:rPr>
                <w:rFonts w:eastAsiaTheme="minorEastAsia"/>
                <w:kern w:val="0"/>
                <w:szCs w:val="21"/>
              </w:rPr>
            </w:pPr>
          </w:p>
        </w:tc>
        <w:tc>
          <w:tcPr>
            <w:tcW w:w="698" w:type="pct"/>
            <w:vMerge/>
            <w:vAlign w:val="center"/>
          </w:tcPr>
          <w:p w:rsidR="002A5A5E" w:rsidRPr="00F9522B" w:rsidRDefault="002A5A5E">
            <w:pPr>
              <w:spacing w:line="0" w:lineRule="atLeast"/>
              <w:jc w:val="center"/>
              <w:rPr>
                <w:rFonts w:eastAsiaTheme="minorEastAsia"/>
                <w:kern w:val="0"/>
                <w:szCs w:val="21"/>
              </w:rPr>
            </w:pPr>
          </w:p>
        </w:tc>
        <w:tc>
          <w:tcPr>
            <w:tcW w:w="391" w:type="pct"/>
            <w:vMerge/>
            <w:vAlign w:val="center"/>
          </w:tcPr>
          <w:p w:rsidR="002A5A5E" w:rsidRPr="00F9522B" w:rsidRDefault="002A5A5E">
            <w:pPr>
              <w:widowControl/>
              <w:spacing w:line="0" w:lineRule="atLeast"/>
              <w:jc w:val="center"/>
              <w:rPr>
                <w:rFonts w:eastAsiaTheme="minorEastAsia"/>
                <w:kern w:val="0"/>
                <w:szCs w:val="21"/>
              </w:rPr>
            </w:pPr>
          </w:p>
        </w:tc>
        <w:tc>
          <w:tcPr>
            <w:tcW w:w="491" w:type="pct"/>
            <w:vAlign w:val="center"/>
          </w:tcPr>
          <w:p w:rsidR="002A5A5E" w:rsidRPr="00F9522B" w:rsidRDefault="00611CBA">
            <w:pPr>
              <w:spacing w:line="0" w:lineRule="atLeast"/>
              <w:jc w:val="center"/>
              <w:rPr>
                <w:rFonts w:eastAsiaTheme="minorEastAsia"/>
                <w:kern w:val="0"/>
                <w:szCs w:val="21"/>
              </w:rPr>
            </w:pPr>
            <w:r w:rsidRPr="00F9522B">
              <w:rPr>
                <w:rFonts w:eastAsiaTheme="minorEastAsia"/>
                <w:kern w:val="0"/>
                <w:szCs w:val="21"/>
              </w:rPr>
              <w:t>24</w:t>
            </w:r>
            <w:r w:rsidRPr="00F9522B">
              <w:rPr>
                <w:rFonts w:eastAsiaTheme="minorEastAsia"/>
                <w:kern w:val="0"/>
                <w:szCs w:val="21"/>
              </w:rPr>
              <w:t>小时均值</w:t>
            </w:r>
          </w:p>
        </w:tc>
        <w:tc>
          <w:tcPr>
            <w:tcW w:w="0" w:type="auto"/>
            <w:vAlign w:val="center"/>
          </w:tcPr>
          <w:p w:rsidR="002A5A5E" w:rsidRPr="00F9522B" w:rsidRDefault="00611CBA">
            <w:pPr>
              <w:widowControl/>
              <w:spacing w:line="0" w:lineRule="atLeast"/>
              <w:jc w:val="center"/>
              <w:rPr>
                <w:rFonts w:eastAsiaTheme="minorEastAsia"/>
                <w:kern w:val="0"/>
                <w:szCs w:val="21"/>
              </w:rPr>
            </w:pPr>
            <w:r w:rsidRPr="00F9522B">
              <w:rPr>
                <w:rFonts w:eastAsiaTheme="minorEastAsia"/>
                <w:kern w:val="0"/>
                <w:szCs w:val="21"/>
              </w:rPr>
              <w:t>100</w:t>
            </w:r>
          </w:p>
        </w:tc>
        <w:tc>
          <w:tcPr>
            <w:tcW w:w="675" w:type="pct"/>
            <w:vAlign w:val="center"/>
          </w:tcPr>
          <w:p w:rsidR="002A5A5E" w:rsidRPr="00F9522B" w:rsidRDefault="00DA1877" w:rsidP="00DA1877">
            <w:pPr>
              <w:spacing w:line="0" w:lineRule="atLeast"/>
              <w:jc w:val="center"/>
              <w:rPr>
                <w:rFonts w:eastAsiaTheme="minorEastAsia"/>
                <w:kern w:val="0"/>
                <w:szCs w:val="21"/>
              </w:rPr>
            </w:pPr>
            <w:r w:rsidRPr="00F9522B">
              <w:rPr>
                <w:rFonts w:eastAsiaTheme="minorEastAsia"/>
                <w:kern w:val="0"/>
                <w:szCs w:val="21"/>
              </w:rPr>
              <w:t>2</w:t>
            </w:r>
            <w:r w:rsidR="00611CBA" w:rsidRPr="00F9522B">
              <w:rPr>
                <w:rFonts w:eastAsiaTheme="minorEastAsia"/>
                <w:kern w:val="0"/>
                <w:szCs w:val="21"/>
              </w:rPr>
              <w:t>7-</w:t>
            </w:r>
            <w:r w:rsidRPr="00F9522B">
              <w:rPr>
                <w:rFonts w:eastAsiaTheme="minorEastAsia"/>
                <w:kern w:val="0"/>
                <w:szCs w:val="21"/>
              </w:rPr>
              <w:t>31</w:t>
            </w:r>
          </w:p>
        </w:tc>
        <w:tc>
          <w:tcPr>
            <w:tcW w:w="404" w:type="pct"/>
            <w:vAlign w:val="center"/>
          </w:tcPr>
          <w:p w:rsidR="002A5A5E" w:rsidRPr="00F9522B" w:rsidRDefault="00F91FEC">
            <w:pPr>
              <w:spacing w:line="0" w:lineRule="atLeast"/>
              <w:jc w:val="center"/>
              <w:rPr>
                <w:rFonts w:eastAsiaTheme="minorEastAsia"/>
                <w:kern w:val="0"/>
                <w:szCs w:val="21"/>
              </w:rPr>
            </w:pPr>
            <w:r w:rsidRPr="00F9522B">
              <w:rPr>
                <w:rFonts w:eastAsiaTheme="minorEastAsia"/>
                <w:kern w:val="0"/>
                <w:szCs w:val="21"/>
              </w:rPr>
              <w:t>31</w:t>
            </w:r>
          </w:p>
        </w:tc>
        <w:tc>
          <w:tcPr>
            <w:tcW w:w="259" w:type="pct"/>
            <w:vAlign w:val="center"/>
          </w:tcPr>
          <w:p w:rsidR="002A5A5E" w:rsidRPr="00F9522B" w:rsidRDefault="00611CBA">
            <w:pPr>
              <w:spacing w:line="0" w:lineRule="atLeast"/>
              <w:jc w:val="center"/>
              <w:rPr>
                <w:rFonts w:eastAsiaTheme="minorEastAsia"/>
                <w:kern w:val="0"/>
                <w:szCs w:val="21"/>
              </w:rPr>
            </w:pPr>
            <w:r w:rsidRPr="00F9522B">
              <w:rPr>
                <w:rFonts w:eastAsiaTheme="minorEastAsia"/>
                <w:kern w:val="0"/>
                <w:szCs w:val="21"/>
              </w:rPr>
              <w:t>0</w:t>
            </w:r>
          </w:p>
        </w:tc>
        <w:tc>
          <w:tcPr>
            <w:tcW w:w="0" w:type="auto"/>
            <w:vMerge/>
            <w:vAlign w:val="center"/>
          </w:tcPr>
          <w:p w:rsidR="002A5A5E" w:rsidRPr="00F9522B" w:rsidRDefault="002A5A5E">
            <w:pPr>
              <w:widowControl/>
              <w:spacing w:line="0" w:lineRule="atLeast"/>
              <w:jc w:val="left"/>
              <w:rPr>
                <w:rFonts w:eastAsiaTheme="minorEastAsia"/>
                <w:kern w:val="0"/>
                <w:szCs w:val="21"/>
              </w:rPr>
            </w:pPr>
          </w:p>
        </w:tc>
      </w:tr>
      <w:tr w:rsidR="002A5A5E" w:rsidRPr="00F9522B">
        <w:trPr>
          <w:trHeight w:val="409"/>
          <w:jc w:val="center"/>
        </w:trPr>
        <w:tc>
          <w:tcPr>
            <w:tcW w:w="487" w:type="pct"/>
            <w:vMerge w:val="restart"/>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各点位平均值</w:t>
            </w:r>
          </w:p>
        </w:tc>
        <w:tc>
          <w:tcPr>
            <w:tcW w:w="819" w:type="pct"/>
            <w:vMerge w:val="restart"/>
            <w:vAlign w:val="center"/>
          </w:tcPr>
          <w:p w:rsidR="002A5A5E" w:rsidRPr="00F9522B" w:rsidRDefault="00611CBA">
            <w:pPr>
              <w:spacing w:line="0" w:lineRule="atLeast"/>
              <w:jc w:val="center"/>
              <w:rPr>
                <w:rFonts w:eastAsiaTheme="minorEastAsia"/>
                <w:kern w:val="0"/>
                <w:szCs w:val="21"/>
              </w:rPr>
            </w:pPr>
            <w:r w:rsidRPr="00F9522B">
              <w:rPr>
                <w:rFonts w:eastAsiaTheme="minorEastAsia"/>
                <w:kern w:val="0"/>
                <w:szCs w:val="21"/>
              </w:rPr>
              <w:t>/</w:t>
            </w:r>
          </w:p>
        </w:tc>
        <w:tc>
          <w:tcPr>
            <w:tcW w:w="698" w:type="pct"/>
            <w:vMerge w:val="restart"/>
            <w:vAlign w:val="center"/>
          </w:tcPr>
          <w:p w:rsidR="002A5A5E" w:rsidRPr="00F9522B" w:rsidRDefault="00611CBA">
            <w:pPr>
              <w:spacing w:line="0" w:lineRule="atLeast"/>
              <w:jc w:val="center"/>
              <w:rPr>
                <w:rFonts w:eastAsiaTheme="minorEastAsia"/>
                <w:kern w:val="0"/>
                <w:szCs w:val="21"/>
              </w:rPr>
            </w:pPr>
            <w:r w:rsidRPr="00F9522B">
              <w:rPr>
                <w:rFonts w:eastAsiaTheme="minorEastAsia"/>
                <w:kern w:val="0"/>
                <w:szCs w:val="21"/>
              </w:rPr>
              <w:t>/</w:t>
            </w:r>
          </w:p>
        </w:tc>
        <w:tc>
          <w:tcPr>
            <w:tcW w:w="391" w:type="pct"/>
            <w:vAlign w:val="center"/>
          </w:tcPr>
          <w:p w:rsidR="002A5A5E" w:rsidRPr="00F9522B" w:rsidRDefault="00611CBA">
            <w:pPr>
              <w:spacing w:line="0" w:lineRule="atLeast"/>
              <w:jc w:val="center"/>
              <w:rPr>
                <w:rFonts w:eastAsiaTheme="minorEastAsia"/>
                <w:kern w:val="0"/>
                <w:szCs w:val="21"/>
              </w:rPr>
            </w:pPr>
            <w:r w:rsidRPr="00F9522B">
              <w:rPr>
                <w:rFonts w:eastAsiaTheme="minorEastAsia"/>
                <w:kern w:val="0"/>
                <w:szCs w:val="21"/>
              </w:rPr>
              <w:t>TSP</w:t>
            </w:r>
          </w:p>
        </w:tc>
        <w:tc>
          <w:tcPr>
            <w:tcW w:w="491" w:type="pct"/>
            <w:vAlign w:val="center"/>
          </w:tcPr>
          <w:p w:rsidR="002A5A5E" w:rsidRPr="00F9522B" w:rsidRDefault="00611CBA">
            <w:pPr>
              <w:spacing w:line="0" w:lineRule="atLeast"/>
              <w:jc w:val="center"/>
              <w:rPr>
                <w:rFonts w:eastAsiaTheme="minorEastAsia"/>
                <w:kern w:val="0"/>
                <w:szCs w:val="21"/>
              </w:rPr>
            </w:pPr>
            <w:r w:rsidRPr="00F9522B">
              <w:rPr>
                <w:rFonts w:eastAsiaTheme="minorEastAsia"/>
                <w:kern w:val="0"/>
                <w:szCs w:val="21"/>
              </w:rPr>
              <w:t>24</w:t>
            </w:r>
            <w:r w:rsidRPr="00F9522B">
              <w:rPr>
                <w:rFonts w:eastAsiaTheme="minorEastAsia"/>
                <w:kern w:val="0"/>
                <w:szCs w:val="21"/>
              </w:rPr>
              <w:t>小时均值</w:t>
            </w:r>
          </w:p>
        </w:tc>
        <w:tc>
          <w:tcPr>
            <w:tcW w:w="0" w:type="auto"/>
            <w:vAlign w:val="center"/>
          </w:tcPr>
          <w:p w:rsidR="002A5A5E" w:rsidRPr="00F9522B" w:rsidRDefault="00611CBA">
            <w:pPr>
              <w:widowControl/>
              <w:spacing w:line="0" w:lineRule="atLeast"/>
              <w:jc w:val="center"/>
              <w:rPr>
                <w:rFonts w:eastAsiaTheme="minorEastAsia"/>
                <w:kern w:val="0"/>
                <w:szCs w:val="21"/>
              </w:rPr>
            </w:pPr>
            <w:r w:rsidRPr="00F9522B">
              <w:rPr>
                <w:rFonts w:eastAsiaTheme="minorEastAsia"/>
                <w:kern w:val="0"/>
                <w:szCs w:val="21"/>
              </w:rPr>
              <w:t>300</w:t>
            </w:r>
          </w:p>
        </w:tc>
        <w:tc>
          <w:tcPr>
            <w:tcW w:w="675" w:type="pct"/>
            <w:vAlign w:val="center"/>
          </w:tcPr>
          <w:p w:rsidR="002A5A5E" w:rsidRPr="00F9522B" w:rsidRDefault="00656C02">
            <w:pPr>
              <w:spacing w:line="0" w:lineRule="atLeast"/>
              <w:jc w:val="center"/>
              <w:rPr>
                <w:rFonts w:eastAsiaTheme="minorEastAsia"/>
                <w:kern w:val="0"/>
                <w:szCs w:val="21"/>
              </w:rPr>
            </w:pPr>
            <w:r w:rsidRPr="00F9522B">
              <w:rPr>
                <w:rFonts w:eastAsiaTheme="minorEastAsia"/>
                <w:kern w:val="0"/>
                <w:szCs w:val="21"/>
              </w:rPr>
              <w:t>94</w:t>
            </w:r>
            <w:r w:rsidR="00611CBA" w:rsidRPr="00F9522B">
              <w:rPr>
                <w:rFonts w:eastAsiaTheme="minorEastAsia"/>
                <w:kern w:val="0"/>
                <w:szCs w:val="21"/>
              </w:rPr>
              <w:t>-</w:t>
            </w:r>
            <w:r w:rsidRPr="00F9522B">
              <w:rPr>
                <w:rFonts w:eastAsiaTheme="minorEastAsia"/>
                <w:kern w:val="0"/>
                <w:szCs w:val="21"/>
              </w:rPr>
              <w:t>106</w:t>
            </w:r>
          </w:p>
        </w:tc>
        <w:tc>
          <w:tcPr>
            <w:tcW w:w="404" w:type="pct"/>
            <w:vAlign w:val="center"/>
          </w:tcPr>
          <w:p w:rsidR="002A5A5E" w:rsidRPr="00F9522B" w:rsidRDefault="00F91FEC">
            <w:pPr>
              <w:spacing w:line="0" w:lineRule="atLeast"/>
              <w:jc w:val="center"/>
              <w:rPr>
                <w:rFonts w:eastAsiaTheme="minorEastAsia"/>
                <w:kern w:val="0"/>
                <w:szCs w:val="21"/>
              </w:rPr>
            </w:pPr>
            <w:r w:rsidRPr="00F9522B">
              <w:rPr>
                <w:rFonts w:eastAsiaTheme="minorEastAsia"/>
                <w:kern w:val="0"/>
                <w:szCs w:val="21"/>
              </w:rPr>
              <w:t>35.3</w:t>
            </w:r>
          </w:p>
        </w:tc>
        <w:tc>
          <w:tcPr>
            <w:tcW w:w="259" w:type="pct"/>
            <w:vAlign w:val="center"/>
          </w:tcPr>
          <w:p w:rsidR="002A5A5E" w:rsidRPr="00F9522B" w:rsidRDefault="00611CBA">
            <w:pPr>
              <w:spacing w:line="0" w:lineRule="atLeast"/>
              <w:jc w:val="center"/>
              <w:rPr>
                <w:rFonts w:eastAsiaTheme="minorEastAsia"/>
                <w:kern w:val="0"/>
                <w:szCs w:val="21"/>
              </w:rPr>
            </w:pPr>
            <w:r w:rsidRPr="00F9522B">
              <w:rPr>
                <w:rFonts w:eastAsiaTheme="minorEastAsia"/>
                <w:kern w:val="0"/>
                <w:szCs w:val="21"/>
              </w:rPr>
              <w:t>0</w:t>
            </w:r>
          </w:p>
        </w:tc>
        <w:tc>
          <w:tcPr>
            <w:tcW w:w="0" w:type="auto"/>
            <w:vMerge w:val="restart"/>
            <w:vAlign w:val="center"/>
          </w:tcPr>
          <w:p w:rsidR="002A5A5E" w:rsidRPr="00F9522B" w:rsidRDefault="00611CBA">
            <w:pPr>
              <w:widowControl/>
              <w:spacing w:line="0" w:lineRule="atLeast"/>
              <w:jc w:val="left"/>
              <w:rPr>
                <w:rFonts w:eastAsiaTheme="minorEastAsia"/>
                <w:kern w:val="0"/>
                <w:szCs w:val="21"/>
              </w:rPr>
            </w:pPr>
            <w:r w:rsidRPr="00F9522B">
              <w:rPr>
                <w:rFonts w:eastAsiaTheme="minorEastAsia"/>
                <w:kern w:val="0"/>
                <w:szCs w:val="21"/>
              </w:rPr>
              <w:t>达标</w:t>
            </w:r>
          </w:p>
        </w:tc>
      </w:tr>
      <w:tr w:rsidR="002A5A5E" w:rsidRPr="00F9522B">
        <w:trPr>
          <w:trHeight w:val="409"/>
          <w:jc w:val="center"/>
        </w:trPr>
        <w:tc>
          <w:tcPr>
            <w:tcW w:w="487" w:type="pct"/>
            <w:vMerge/>
            <w:vAlign w:val="center"/>
          </w:tcPr>
          <w:p w:rsidR="002A5A5E" w:rsidRPr="00F9522B" w:rsidRDefault="002A5A5E">
            <w:pPr>
              <w:spacing w:line="0" w:lineRule="atLeast"/>
              <w:jc w:val="center"/>
              <w:rPr>
                <w:rFonts w:eastAsiaTheme="minorEastAsia"/>
                <w:szCs w:val="21"/>
              </w:rPr>
            </w:pPr>
          </w:p>
        </w:tc>
        <w:tc>
          <w:tcPr>
            <w:tcW w:w="819" w:type="pct"/>
            <w:vMerge/>
            <w:vAlign w:val="center"/>
          </w:tcPr>
          <w:p w:rsidR="002A5A5E" w:rsidRPr="00F9522B" w:rsidRDefault="002A5A5E">
            <w:pPr>
              <w:spacing w:line="0" w:lineRule="atLeast"/>
              <w:jc w:val="center"/>
              <w:rPr>
                <w:rFonts w:eastAsiaTheme="minorEastAsia"/>
                <w:kern w:val="0"/>
                <w:szCs w:val="21"/>
              </w:rPr>
            </w:pPr>
          </w:p>
        </w:tc>
        <w:tc>
          <w:tcPr>
            <w:tcW w:w="698" w:type="pct"/>
            <w:vMerge/>
            <w:vAlign w:val="center"/>
          </w:tcPr>
          <w:p w:rsidR="002A5A5E" w:rsidRPr="00F9522B" w:rsidRDefault="002A5A5E">
            <w:pPr>
              <w:spacing w:line="0" w:lineRule="atLeast"/>
              <w:jc w:val="center"/>
              <w:rPr>
                <w:rFonts w:eastAsiaTheme="minorEastAsia"/>
                <w:kern w:val="0"/>
                <w:szCs w:val="21"/>
              </w:rPr>
            </w:pPr>
          </w:p>
        </w:tc>
        <w:tc>
          <w:tcPr>
            <w:tcW w:w="391" w:type="pct"/>
            <w:vMerge w:val="restart"/>
            <w:vAlign w:val="center"/>
          </w:tcPr>
          <w:p w:rsidR="002A5A5E" w:rsidRPr="00F9522B" w:rsidRDefault="00611CBA">
            <w:pPr>
              <w:widowControl/>
              <w:spacing w:line="0" w:lineRule="atLeast"/>
              <w:jc w:val="center"/>
              <w:rPr>
                <w:rFonts w:eastAsiaTheme="minorEastAsia"/>
                <w:kern w:val="0"/>
                <w:szCs w:val="21"/>
              </w:rPr>
            </w:pPr>
            <w:r w:rsidRPr="00F9522B">
              <w:rPr>
                <w:rFonts w:eastAsiaTheme="minorEastAsia"/>
                <w:kern w:val="0"/>
                <w:szCs w:val="21"/>
              </w:rPr>
              <w:t>NO</w:t>
            </w:r>
            <w:r w:rsidRPr="00F9522B">
              <w:rPr>
                <w:rFonts w:eastAsiaTheme="minorEastAsia"/>
                <w:kern w:val="0"/>
                <w:szCs w:val="21"/>
                <w:vertAlign w:val="subscript"/>
              </w:rPr>
              <w:t>X</w:t>
            </w:r>
          </w:p>
        </w:tc>
        <w:tc>
          <w:tcPr>
            <w:tcW w:w="491" w:type="pct"/>
            <w:vAlign w:val="center"/>
          </w:tcPr>
          <w:p w:rsidR="002A5A5E" w:rsidRPr="00F9522B" w:rsidRDefault="00611CBA">
            <w:pPr>
              <w:spacing w:line="0" w:lineRule="atLeast"/>
              <w:jc w:val="center"/>
              <w:rPr>
                <w:rFonts w:eastAsiaTheme="minorEastAsia"/>
                <w:kern w:val="0"/>
                <w:szCs w:val="21"/>
              </w:rPr>
            </w:pPr>
            <w:r w:rsidRPr="00F9522B">
              <w:rPr>
                <w:rFonts w:eastAsiaTheme="minorEastAsia"/>
                <w:kern w:val="0"/>
                <w:szCs w:val="21"/>
              </w:rPr>
              <w:t>1</w:t>
            </w:r>
            <w:r w:rsidRPr="00F9522B">
              <w:rPr>
                <w:rFonts w:eastAsiaTheme="minorEastAsia"/>
                <w:kern w:val="0"/>
                <w:szCs w:val="21"/>
              </w:rPr>
              <w:t>小时均值</w:t>
            </w:r>
          </w:p>
        </w:tc>
        <w:tc>
          <w:tcPr>
            <w:tcW w:w="0" w:type="auto"/>
            <w:vAlign w:val="center"/>
          </w:tcPr>
          <w:p w:rsidR="002A5A5E" w:rsidRPr="00F9522B" w:rsidRDefault="00611CBA">
            <w:pPr>
              <w:widowControl/>
              <w:spacing w:line="0" w:lineRule="atLeast"/>
              <w:jc w:val="center"/>
              <w:rPr>
                <w:rFonts w:eastAsiaTheme="minorEastAsia"/>
                <w:kern w:val="0"/>
                <w:szCs w:val="21"/>
              </w:rPr>
            </w:pPr>
            <w:r w:rsidRPr="00F9522B">
              <w:rPr>
                <w:rFonts w:eastAsiaTheme="minorEastAsia"/>
                <w:kern w:val="0"/>
                <w:szCs w:val="21"/>
              </w:rPr>
              <w:t>250</w:t>
            </w:r>
          </w:p>
        </w:tc>
        <w:tc>
          <w:tcPr>
            <w:tcW w:w="675" w:type="pct"/>
            <w:vAlign w:val="center"/>
          </w:tcPr>
          <w:p w:rsidR="002A5A5E" w:rsidRPr="00F9522B" w:rsidRDefault="00656C02" w:rsidP="00656C02">
            <w:pPr>
              <w:spacing w:line="0" w:lineRule="atLeast"/>
              <w:jc w:val="center"/>
              <w:rPr>
                <w:rFonts w:eastAsiaTheme="minorEastAsia"/>
                <w:kern w:val="0"/>
                <w:szCs w:val="21"/>
              </w:rPr>
            </w:pPr>
            <w:r w:rsidRPr="00F9522B">
              <w:rPr>
                <w:rFonts w:eastAsiaTheme="minorEastAsia"/>
                <w:kern w:val="0"/>
                <w:szCs w:val="21"/>
              </w:rPr>
              <w:t>48</w:t>
            </w:r>
            <w:r w:rsidR="00611CBA" w:rsidRPr="00F9522B">
              <w:rPr>
                <w:rFonts w:eastAsiaTheme="minorEastAsia"/>
                <w:kern w:val="0"/>
                <w:szCs w:val="21"/>
              </w:rPr>
              <w:t>-</w:t>
            </w:r>
            <w:r w:rsidRPr="00F9522B">
              <w:rPr>
                <w:rFonts w:eastAsiaTheme="minorEastAsia"/>
                <w:kern w:val="0"/>
                <w:szCs w:val="21"/>
              </w:rPr>
              <w:t>60</w:t>
            </w:r>
          </w:p>
        </w:tc>
        <w:tc>
          <w:tcPr>
            <w:tcW w:w="404" w:type="pct"/>
            <w:vAlign w:val="center"/>
          </w:tcPr>
          <w:p w:rsidR="002A5A5E" w:rsidRPr="00F9522B" w:rsidRDefault="00F91FEC">
            <w:pPr>
              <w:spacing w:line="0" w:lineRule="atLeast"/>
              <w:jc w:val="center"/>
              <w:rPr>
                <w:rFonts w:eastAsiaTheme="minorEastAsia"/>
                <w:kern w:val="0"/>
                <w:szCs w:val="21"/>
              </w:rPr>
            </w:pPr>
            <w:r w:rsidRPr="00F9522B">
              <w:rPr>
                <w:rFonts w:eastAsiaTheme="minorEastAsia"/>
                <w:kern w:val="0"/>
                <w:szCs w:val="21"/>
              </w:rPr>
              <w:t>24</w:t>
            </w:r>
          </w:p>
        </w:tc>
        <w:tc>
          <w:tcPr>
            <w:tcW w:w="259" w:type="pct"/>
            <w:vAlign w:val="center"/>
          </w:tcPr>
          <w:p w:rsidR="002A5A5E" w:rsidRPr="00F9522B" w:rsidRDefault="00611CBA">
            <w:pPr>
              <w:spacing w:line="0" w:lineRule="atLeast"/>
              <w:jc w:val="center"/>
              <w:rPr>
                <w:rFonts w:eastAsiaTheme="minorEastAsia"/>
                <w:kern w:val="0"/>
                <w:szCs w:val="21"/>
              </w:rPr>
            </w:pPr>
            <w:r w:rsidRPr="00F9522B">
              <w:rPr>
                <w:rFonts w:eastAsiaTheme="minorEastAsia"/>
                <w:kern w:val="0"/>
                <w:szCs w:val="21"/>
              </w:rPr>
              <w:t>0</w:t>
            </w:r>
          </w:p>
        </w:tc>
        <w:tc>
          <w:tcPr>
            <w:tcW w:w="0" w:type="auto"/>
            <w:vMerge/>
            <w:vAlign w:val="center"/>
          </w:tcPr>
          <w:p w:rsidR="002A5A5E" w:rsidRPr="00F9522B" w:rsidRDefault="002A5A5E">
            <w:pPr>
              <w:widowControl/>
              <w:spacing w:line="0" w:lineRule="atLeast"/>
              <w:jc w:val="left"/>
              <w:rPr>
                <w:rFonts w:eastAsiaTheme="minorEastAsia"/>
                <w:kern w:val="0"/>
                <w:szCs w:val="21"/>
              </w:rPr>
            </w:pPr>
          </w:p>
        </w:tc>
      </w:tr>
      <w:tr w:rsidR="002A5A5E" w:rsidRPr="00F9522B">
        <w:trPr>
          <w:trHeight w:val="409"/>
          <w:jc w:val="center"/>
        </w:trPr>
        <w:tc>
          <w:tcPr>
            <w:tcW w:w="487" w:type="pct"/>
            <w:vMerge/>
            <w:vAlign w:val="center"/>
          </w:tcPr>
          <w:p w:rsidR="002A5A5E" w:rsidRPr="00F9522B" w:rsidRDefault="002A5A5E">
            <w:pPr>
              <w:spacing w:line="0" w:lineRule="atLeast"/>
              <w:jc w:val="center"/>
              <w:rPr>
                <w:rFonts w:eastAsiaTheme="minorEastAsia"/>
                <w:szCs w:val="21"/>
              </w:rPr>
            </w:pPr>
          </w:p>
        </w:tc>
        <w:tc>
          <w:tcPr>
            <w:tcW w:w="819" w:type="pct"/>
            <w:vMerge/>
            <w:vAlign w:val="center"/>
          </w:tcPr>
          <w:p w:rsidR="002A5A5E" w:rsidRPr="00F9522B" w:rsidRDefault="002A5A5E">
            <w:pPr>
              <w:spacing w:line="0" w:lineRule="atLeast"/>
              <w:jc w:val="center"/>
              <w:rPr>
                <w:rFonts w:eastAsiaTheme="minorEastAsia"/>
                <w:kern w:val="0"/>
                <w:szCs w:val="21"/>
              </w:rPr>
            </w:pPr>
          </w:p>
        </w:tc>
        <w:tc>
          <w:tcPr>
            <w:tcW w:w="698" w:type="pct"/>
            <w:vMerge/>
            <w:vAlign w:val="center"/>
          </w:tcPr>
          <w:p w:rsidR="002A5A5E" w:rsidRPr="00F9522B" w:rsidRDefault="002A5A5E">
            <w:pPr>
              <w:spacing w:line="0" w:lineRule="atLeast"/>
              <w:jc w:val="center"/>
              <w:rPr>
                <w:rFonts w:eastAsiaTheme="minorEastAsia"/>
                <w:kern w:val="0"/>
                <w:szCs w:val="21"/>
              </w:rPr>
            </w:pPr>
          </w:p>
        </w:tc>
        <w:tc>
          <w:tcPr>
            <w:tcW w:w="391" w:type="pct"/>
            <w:vMerge/>
            <w:vAlign w:val="center"/>
          </w:tcPr>
          <w:p w:rsidR="002A5A5E" w:rsidRPr="00F9522B" w:rsidRDefault="002A5A5E">
            <w:pPr>
              <w:widowControl/>
              <w:spacing w:line="0" w:lineRule="atLeast"/>
              <w:jc w:val="center"/>
              <w:rPr>
                <w:rFonts w:eastAsiaTheme="minorEastAsia"/>
                <w:kern w:val="0"/>
                <w:szCs w:val="21"/>
              </w:rPr>
            </w:pPr>
          </w:p>
        </w:tc>
        <w:tc>
          <w:tcPr>
            <w:tcW w:w="491" w:type="pct"/>
            <w:vAlign w:val="center"/>
          </w:tcPr>
          <w:p w:rsidR="002A5A5E" w:rsidRPr="00F9522B" w:rsidRDefault="00611CBA">
            <w:pPr>
              <w:spacing w:line="0" w:lineRule="atLeast"/>
              <w:jc w:val="center"/>
              <w:rPr>
                <w:rFonts w:eastAsiaTheme="minorEastAsia"/>
                <w:kern w:val="0"/>
                <w:szCs w:val="21"/>
              </w:rPr>
            </w:pPr>
            <w:r w:rsidRPr="00F9522B">
              <w:rPr>
                <w:rFonts w:eastAsiaTheme="minorEastAsia"/>
                <w:kern w:val="0"/>
                <w:szCs w:val="21"/>
              </w:rPr>
              <w:t>24</w:t>
            </w:r>
            <w:r w:rsidRPr="00F9522B">
              <w:rPr>
                <w:rFonts w:eastAsiaTheme="minorEastAsia"/>
                <w:kern w:val="0"/>
                <w:szCs w:val="21"/>
              </w:rPr>
              <w:t>小时均值</w:t>
            </w:r>
          </w:p>
        </w:tc>
        <w:tc>
          <w:tcPr>
            <w:tcW w:w="0" w:type="auto"/>
            <w:vAlign w:val="center"/>
          </w:tcPr>
          <w:p w:rsidR="002A5A5E" w:rsidRPr="00F9522B" w:rsidRDefault="00611CBA">
            <w:pPr>
              <w:widowControl/>
              <w:spacing w:line="0" w:lineRule="atLeast"/>
              <w:jc w:val="center"/>
              <w:rPr>
                <w:rFonts w:eastAsiaTheme="minorEastAsia"/>
                <w:kern w:val="0"/>
                <w:szCs w:val="21"/>
              </w:rPr>
            </w:pPr>
            <w:r w:rsidRPr="00F9522B">
              <w:rPr>
                <w:rFonts w:eastAsiaTheme="minorEastAsia"/>
                <w:kern w:val="0"/>
                <w:szCs w:val="21"/>
              </w:rPr>
              <w:t>100</w:t>
            </w:r>
          </w:p>
        </w:tc>
        <w:tc>
          <w:tcPr>
            <w:tcW w:w="675" w:type="pct"/>
            <w:vAlign w:val="center"/>
          </w:tcPr>
          <w:p w:rsidR="002A5A5E" w:rsidRPr="00F9522B" w:rsidRDefault="00656C02" w:rsidP="00656C02">
            <w:pPr>
              <w:spacing w:line="0" w:lineRule="atLeast"/>
              <w:jc w:val="center"/>
              <w:rPr>
                <w:rFonts w:eastAsiaTheme="minorEastAsia"/>
                <w:kern w:val="0"/>
                <w:szCs w:val="21"/>
              </w:rPr>
            </w:pPr>
            <w:r w:rsidRPr="00F9522B">
              <w:rPr>
                <w:rFonts w:eastAsiaTheme="minorEastAsia"/>
                <w:kern w:val="0"/>
                <w:szCs w:val="21"/>
              </w:rPr>
              <w:t>27</w:t>
            </w:r>
            <w:r w:rsidR="00611CBA" w:rsidRPr="00F9522B">
              <w:rPr>
                <w:rFonts w:eastAsiaTheme="minorEastAsia"/>
                <w:kern w:val="0"/>
                <w:szCs w:val="21"/>
              </w:rPr>
              <w:t>-</w:t>
            </w:r>
            <w:r w:rsidRPr="00F9522B">
              <w:rPr>
                <w:rFonts w:eastAsiaTheme="minorEastAsia"/>
                <w:kern w:val="0"/>
                <w:szCs w:val="21"/>
              </w:rPr>
              <w:t>32</w:t>
            </w:r>
          </w:p>
        </w:tc>
        <w:tc>
          <w:tcPr>
            <w:tcW w:w="404" w:type="pct"/>
            <w:vAlign w:val="center"/>
          </w:tcPr>
          <w:p w:rsidR="002A5A5E" w:rsidRPr="00F9522B" w:rsidRDefault="00F91FEC">
            <w:pPr>
              <w:spacing w:line="0" w:lineRule="atLeast"/>
              <w:jc w:val="center"/>
              <w:rPr>
                <w:rFonts w:eastAsiaTheme="minorEastAsia"/>
                <w:kern w:val="0"/>
                <w:szCs w:val="21"/>
              </w:rPr>
            </w:pPr>
            <w:r w:rsidRPr="00F9522B">
              <w:rPr>
                <w:rFonts w:eastAsiaTheme="minorEastAsia"/>
                <w:kern w:val="0"/>
                <w:szCs w:val="21"/>
              </w:rPr>
              <w:t>32</w:t>
            </w:r>
          </w:p>
        </w:tc>
        <w:tc>
          <w:tcPr>
            <w:tcW w:w="259" w:type="pct"/>
            <w:vAlign w:val="center"/>
          </w:tcPr>
          <w:p w:rsidR="002A5A5E" w:rsidRPr="00F9522B" w:rsidRDefault="00611CBA">
            <w:pPr>
              <w:spacing w:line="0" w:lineRule="atLeast"/>
              <w:jc w:val="center"/>
              <w:rPr>
                <w:rFonts w:eastAsiaTheme="minorEastAsia"/>
                <w:kern w:val="0"/>
                <w:szCs w:val="21"/>
              </w:rPr>
            </w:pPr>
            <w:r w:rsidRPr="00F9522B">
              <w:rPr>
                <w:rFonts w:eastAsiaTheme="minorEastAsia"/>
                <w:kern w:val="0"/>
                <w:szCs w:val="21"/>
              </w:rPr>
              <w:t>0</w:t>
            </w:r>
          </w:p>
        </w:tc>
        <w:tc>
          <w:tcPr>
            <w:tcW w:w="0" w:type="auto"/>
            <w:vMerge/>
            <w:vAlign w:val="center"/>
          </w:tcPr>
          <w:p w:rsidR="002A5A5E" w:rsidRPr="00F9522B" w:rsidRDefault="002A5A5E">
            <w:pPr>
              <w:widowControl/>
              <w:spacing w:line="0" w:lineRule="atLeast"/>
              <w:jc w:val="left"/>
              <w:rPr>
                <w:rFonts w:eastAsiaTheme="minorEastAsia"/>
                <w:kern w:val="0"/>
                <w:szCs w:val="21"/>
              </w:rPr>
            </w:pPr>
          </w:p>
        </w:tc>
      </w:tr>
    </w:tbl>
    <w:p w:rsidR="002A5A5E" w:rsidRPr="00F9522B" w:rsidRDefault="00611CBA">
      <w:pPr>
        <w:pStyle w:val="aff4"/>
        <w:adjustRightInd/>
        <w:snapToGrid/>
        <w:jc w:val="both"/>
        <w:rPr>
          <w:rFonts w:ascii="Times New Roman" w:hAnsi="Times New Roman" w:cs="Times New Roman"/>
        </w:rPr>
      </w:pPr>
      <w:r w:rsidRPr="00F9522B">
        <w:rPr>
          <w:rFonts w:ascii="Times New Roman" w:hAnsi="Times New Roman" w:cs="Times New Roman"/>
        </w:rPr>
        <w:t>通过监测结果表明，</w:t>
      </w:r>
      <w:r w:rsidRPr="00F9522B">
        <w:rPr>
          <w:rFonts w:ascii="Times New Roman" w:hAnsi="Times New Roman" w:cs="Times New Roman"/>
          <w:snapToGrid w:val="0"/>
          <w:lang w:val="en-GB"/>
        </w:rPr>
        <w:t>本项目补充监测的</w:t>
      </w:r>
      <w:r w:rsidR="00C72EBF" w:rsidRPr="00F9522B">
        <w:rPr>
          <w:rFonts w:ascii="Times New Roman" w:eastAsia="宋体" w:hAnsi="Times New Roman" w:cs="Times New Roman"/>
          <w:bCs/>
        </w:rPr>
        <w:t>NOx</w:t>
      </w:r>
      <w:r w:rsidR="00C72EBF" w:rsidRPr="00F9522B">
        <w:rPr>
          <w:rFonts w:ascii="Times New Roman" w:eastAsia="宋体" w:hAnsi="Times New Roman" w:cs="Times New Roman"/>
          <w:bCs/>
        </w:rPr>
        <w:t>满足《环境空气质量标准》（</w:t>
      </w:r>
      <w:r w:rsidR="00C72EBF" w:rsidRPr="00F9522B">
        <w:rPr>
          <w:rFonts w:ascii="Times New Roman" w:eastAsia="宋体" w:hAnsi="Times New Roman" w:cs="Times New Roman"/>
          <w:bCs/>
        </w:rPr>
        <w:t>GB3095</w:t>
      </w:r>
      <w:r w:rsidR="00C72EBF" w:rsidRPr="00F9522B">
        <w:rPr>
          <w:rFonts w:ascii="Times New Roman" w:eastAsia="宋体" w:hAnsi="Times New Roman" w:cs="Times New Roman"/>
          <w:bCs/>
        </w:rPr>
        <w:sym w:font="Symbol" w:char="F02D"/>
      </w:r>
      <w:r w:rsidR="00C72EBF" w:rsidRPr="00F9522B">
        <w:rPr>
          <w:rFonts w:ascii="Times New Roman" w:eastAsia="宋体" w:hAnsi="Times New Roman" w:cs="Times New Roman"/>
          <w:bCs/>
        </w:rPr>
        <w:t>2026</w:t>
      </w:r>
      <w:r w:rsidR="00C72EBF" w:rsidRPr="00F9522B">
        <w:rPr>
          <w:rFonts w:ascii="Times New Roman" w:eastAsia="宋体" w:hAnsi="Times New Roman" w:cs="Times New Roman"/>
          <w:bCs/>
        </w:rPr>
        <w:t>）表</w:t>
      </w:r>
      <w:r w:rsidR="00C72EBF" w:rsidRPr="00F9522B">
        <w:rPr>
          <w:rFonts w:ascii="Times New Roman" w:eastAsia="宋体" w:hAnsi="Times New Roman" w:cs="Times New Roman"/>
          <w:bCs/>
        </w:rPr>
        <w:t>2</w:t>
      </w:r>
      <w:r w:rsidR="00C72EBF" w:rsidRPr="00F9522B">
        <w:rPr>
          <w:rFonts w:ascii="Times New Roman" w:eastAsia="宋体" w:hAnsi="Times New Roman" w:cs="Times New Roman"/>
          <w:bCs/>
        </w:rPr>
        <w:t>过渡阶段二级标准浓度限值，</w:t>
      </w:r>
      <w:r w:rsidR="00C72EBF" w:rsidRPr="00F9522B">
        <w:rPr>
          <w:rFonts w:ascii="Times New Roman" w:eastAsia="宋体" w:hAnsi="Times New Roman" w:cs="Times New Roman"/>
          <w:bCs/>
        </w:rPr>
        <w:t>TSP</w:t>
      </w:r>
      <w:r w:rsidR="00C72EBF" w:rsidRPr="00F9522B">
        <w:rPr>
          <w:rFonts w:ascii="Times New Roman" w:eastAsia="宋体" w:hAnsi="Times New Roman" w:cs="Times New Roman"/>
          <w:bCs/>
        </w:rPr>
        <w:t>满足表</w:t>
      </w:r>
      <w:r w:rsidR="00C72EBF" w:rsidRPr="00F9522B">
        <w:rPr>
          <w:rFonts w:ascii="Times New Roman" w:eastAsia="宋体" w:hAnsi="Times New Roman" w:cs="Times New Roman"/>
          <w:bCs/>
        </w:rPr>
        <w:t>2</w:t>
      </w:r>
      <w:r w:rsidR="00C72EBF" w:rsidRPr="00F9522B">
        <w:rPr>
          <w:rFonts w:ascii="Times New Roman" w:eastAsia="宋体" w:hAnsi="Times New Roman" w:cs="Times New Roman"/>
          <w:bCs/>
        </w:rPr>
        <w:t>二级标准浓度限值要求</w:t>
      </w:r>
      <w:r w:rsidRPr="00F9522B">
        <w:rPr>
          <w:rFonts w:ascii="Times New Roman" w:hAnsi="Times New Roman" w:cs="Times New Roman"/>
        </w:rPr>
        <w:t>。</w:t>
      </w:r>
    </w:p>
    <w:p w:rsidR="002A5A5E" w:rsidRPr="00F9522B" w:rsidRDefault="00611CBA">
      <w:pPr>
        <w:keepNext/>
        <w:keepLines/>
        <w:spacing w:before="100" w:beforeAutospacing="1" w:after="100" w:afterAutospacing="1"/>
        <w:ind w:firstLineChars="49" w:firstLine="138"/>
        <w:outlineLvl w:val="2"/>
        <w:rPr>
          <w:rFonts w:eastAsiaTheme="minorEastAsia"/>
          <w:b/>
          <w:sz w:val="28"/>
          <w:szCs w:val="28"/>
        </w:rPr>
      </w:pPr>
      <w:r w:rsidRPr="00F9522B">
        <w:rPr>
          <w:rFonts w:eastAsiaTheme="minorEastAsia"/>
          <w:b/>
          <w:sz w:val="28"/>
          <w:szCs w:val="28"/>
        </w:rPr>
        <w:t>4.2.2</w:t>
      </w:r>
      <w:r w:rsidRPr="00F9522B">
        <w:rPr>
          <w:rFonts w:eastAsiaTheme="minorEastAsia"/>
          <w:b/>
          <w:sz w:val="28"/>
          <w:szCs w:val="28"/>
        </w:rPr>
        <w:t>地表水现状评价</w:t>
      </w:r>
    </w:p>
    <w:p w:rsidR="002A5A5E" w:rsidRPr="00F9522B" w:rsidRDefault="00611CBA">
      <w:pPr>
        <w:spacing w:line="360" w:lineRule="auto"/>
        <w:ind w:firstLineChars="200" w:firstLine="480"/>
        <w:rPr>
          <w:rFonts w:eastAsiaTheme="minorEastAsia"/>
          <w:bCs/>
          <w:kern w:val="0"/>
          <w:sz w:val="24"/>
          <w:szCs w:val="21"/>
        </w:rPr>
      </w:pPr>
      <w:r w:rsidRPr="00F9522B">
        <w:rPr>
          <w:rFonts w:eastAsiaTheme="minorEastAsia"/>
          <w:bCs/>
          <w:kern w:val="0"/>
          <w:sz w:val="24"/>
          <w:szCs w:val="21"/>
        </w:rPr>
        <w:t>（</w:t>
      </w:r>
      <w:r w:rsidRPr="00F9522B">
        <w:rPr>
          <w:rFonts w:eastAsiaTheme="minorEastAsia"/>
          <w:bCs/>
          <w:kern w:val="0"/>
          <w:sz w:val="24"/>
          <w:szCs w:val="21"/>
        </w:rPr>
        <w:t>1</w:t>
      </w:r>
      <w:r w:rsidRPr="00F9522B">
        <w:rPr>
          <w:rFonts w:eastAsiaTheme="minorEastAsia"/>
          <w:bCs/>
          <w:kern w:val="0"/>
          <w:sz w:val="24"/>
          <w:szCs w:val="21"/>
        </w:rPr>
        <w:t>）</w:t>
      </w:r>
      <w:r w:rsidR="00F018EC" w:rsidRPr="00F9522B">
        <w:rPr>
          <w:rFonts w:eastAsiaTheme="minorEastAsia"/>
          <w:bCs/>
          <w:sz w:val="24"/>
          <w:szCs w:val="20"/>
        </w:rPr>
        <w:t>松花江</w:t>
      </w:r>
      <w:r w:rsidRPr="00F9522B">
        <w:rPr>
          <w:rFonts w:eastAsiaTheme="minorEastAsia"/>
          <w:bCs/>
          <w:sz w:val="24"/>
          <w:szCs w:val="20"/>
        </w:rPr>
        <w:t>、少陵河</w:t>
      </w:r>
    </w:p>
    <w:p w:rsidR="002A5A5E" w:rsidRPr="00F9522B" w:rsidRDefault="0079103B">
      <w:pPr>
        <w:spacing w:line="360" w:lineRule="auto"/>
        <w:ind w:firstLineChars="200" w:firstLine="480"/>
        <w:rPr>
          <w:rFonts w:eastAsiaTheme="minorEastAsia"/>
          <w:sz w:val="24"/>
        </w:rPr>
      </w:pPr>
      <w:r w:rsidRPr="00F9522B">
        <w:rPr>
          <w:rFonts w:eastAsiaTheme="minorEastAsia"/>
          <w:bCs/>
          <w:kern w:val="0"/>
          <w:sz w:val="24"/>
          <w:szCs w:val="21"/>
        </w:rPr>
        <w:t>本项目涉及松花江河段二级水功能区为松花江宾县、巴彦县农业用水区，</w:t>
      </w:r>
      <w:r w:rsidRPr="00F9522B">
        <w:rPr>
          <w:rFonts w:eastAsiaTheme="minorEastAsia"/>
          <w:kern w:val="24"/>
          <w:sz w:val="24"/>
        </w:rPr>
        <w:t>松花江</w:t>
      </w:r>
      <w:r w:rsidRPr="00F9522B">
        <w:rPr>
          <w:rFonts w:eastAsiaTheme="minorEastAsia"/>
          <w:bCs/>
          <w:kern w:val="0"/>
          <w:sz w:val="24"/>
          <w:szCs w:val="21"/>
        </w:rPr>
        <w:t>水质目标为</w:t>
      </w:r>
      <w:r w:rsidRPr="00F9522B">
        <w:rPr>
          <w:rFonts w:eastAsiaTheme="minorEastAsia"/>
          <w:bCs/>
          <w:kern w:val="0"/>
          <w:sz w:val="24"/>
          <w:szCs w:val="21"/>
        </w:rPr>
        <w:t>Ⅲ</w:t>
      </w:r>
      <w:r w:rsidRPr="00F9522B">
        <w:rPr>
          <w:rFonts w:eastAsiaTheme="minorEastAsia"/>
          <w:bCs/>
          <w:kern w:val="0"/>
          <w:sz w:val="24"/>
          <w:szCs w:val="21"/>
        </w:rPr>
        <w:t>类。</w:t>
      </w:r>
      <w:r w:rsidR="00611CBA" w:rsidRPr="00F9522B">
        <w:rPr>
          <w:rFonts w:eastAsiaTheme="minorEastAsia"/>
          <w:bCs/>
          <w:kern w:val="0"/>
          <w:sz w:val="24"/>
          <w:szCs w:val="21"/>
        </w:rPr>
        <w:t>本项目涉及漂河</w:t>
      </w:r>
      <w:r w:rsidR="00611CBA" w:rsidRPr="00F9522B">
        <w:rPr>
          <w:rFonts w:eastAsiaTheme="minorEastAsia"/>
          <w:bCs/>
          <w:kern w:val="0"/>
          <w:sz w:val="24"/>
        </w:rPr>
        <w:t>未划分水功能区，漂河汇入少陵河，</w:t>
      </w:r>
      <w:r w:rsidR="00611CBA" w:rsidRPr="00F9522B">
        <w:rPr>
          <w:rFonts w:eastAsiaTheme="minorEastAsia"/>
          <w:kern w:val="24"/>
          <w:sz w:val="24"/>
        </w:rPr>
        <w:t>根据</w:t>
      </w:r>
      <w:r w:rsidR="00611CBA" w:rsidRPr="00F9522B">
        <w:rPr>
          <w:rFonts w:eastAsiaTheme="minorEastAsia"/>
          <w:kern w:val="0"/>
          <w:sz w:val="24"/>
        </w:rPr>
        <w:t>《</w:t>
      </w:r>
      <w:r w:rsidR="00611CBA" w:rsidRPr="00F9522B">
        <w:rPr>
          <w:rFonts w:eastAsiaTheme="minorEastAsia"/>
          <w:kern w:val="0"/>
          <w:sz w:val="24"/>
        </w:rPr>
        <w:t>2024</w:t>
      </w:r>
      <w:r w:rsidR="00611CBA" w:rsidRPr="00F9522B">
        <w:rPr>
          <w:rFonts w:eastAsiaTheme="minorEastAsia"/>
          <w:kern w:val="0"/>
          <w:sz w:val="24"/>
        </w:rPr>
        <w:t>年哈尔滨生态环境质量状况年报》，</w:t>
      </w:r>
      <w:r w:rsidR="00611CBA" w:rsidRPr="00F9522B">
        <w:rPr>
          <w:rFonts w:eastAsiaTheme="minorEastAsia"/>
          <w:bCs/>
          <w:kern w:val="0"/>
          <w:sz w:val="24"/>
        </w:rPr>
        <w:t>少陵河水质目标为</w:t>
      </w:r>
      <w:r w:rsidR="005273A1" w:rsidRPr="00F9522B">
        <w:rPr>
          <w:rFonts w:eastAsiaTheme="minorEastAsia"/>
          <w:bCs/>
          <w:kern w:val="0"/>
          <w:sz w:val="24"/>
        </w:rPr>
        <w:fldChar w:fldCharType="begin"/>
      </w:r>
      <w:r w:rsidR="00611CBA" w:rsidRPr="00F9522B">
        <w:rPr>
          <w:rFonts w:eastAsiaTheme="minorEastAsia"/>
          <w:bCs/>
          <w:kern w:val="0"/>
          <w:sz w:val="24"/>
        </w:rPr>
        <w:instrText xml:space="preserve"> = 5 \* ROMAN </w:instrText>
      </w:r>
      <w:r w:rsidR="005273A1" w:rsidRPr="00F9522B">
        <w:rPr>
          <w:rFonts w:eastAsiaTheme="minorEastAsia"/>
          <w:bCs/>
          <w:kern w:val="0"/>
          <w:sz w:val="24"/>
        </w:rPr>
        <w:fldChar w:fldCharType="separate"/>
      </w:r>
      <w:r w:rsidR="00611CBA" w:rsidRPr="00F9522B">
        <w:rPr>
          <w:rFonts w:eastAsiaTheme="minorEastAsia"/>
          <w:bCs/>
          <w:kern w:val="0"/>
          <w:sz w:val="24"/>
        </w:rPr>
        <w:t>V</w:t>
      </w:r>
      <w:r w:rsidR="005273A1" w:rsidRPr="00F9522B">
        <w:rPr>
          <w:rFonts w:eastAsiaTheme="minorEastAsia"/>
          <w:bCs/>
          <w:kern w:val="0"/>
          <w:sz w:val="24"/>
        </w:rPr>
        <w:fldChar w:fldCharType="end"/>
      </w:r>
      <w:r w:rsidR="00611CBA" w:rsidRPr="00F9522B">
        <w:rPr>
          <w:rFonts w:eastAsiaTheme="minorEastAsia"/>
          <w:bCs/>
          <w:kern w:val="0"/>
          <w:sz w:val="24"/>
        </w:rPr>
        <w:t>类，漂河参照少陵河执行</w:t>
      </w:r>
      <w:r w:rsidR="00611CBA" w:rsidRPr="00F9522B">
        <w:rPr>
          <w:rFonts w:eastAsiaTheme="minorEastAsia"/>
          <w:kern w:val="24"/>
          <w:sz w:val="24"/>
        </w:rPr>
        <w:t>。</w:t>
      </w:r>
    </w:p>
    <w:p w:rsidR="002A5A5E" w:rsidRPr="00F9522B" w:rsidRDefault="005273A1">
      <w:pPr>
        <w:spacing w:line="360" w:lineRule="auto"/>
        <w:rPr>
          <w:rFonts w:eastAsiaTheme="minorEastAsia"/>
          <w:sz w:val="24"/>
        </w:rPr>
      </w:pPr>
      <w:r w:rsidRPr="005273A1">
        <w:rPr>
          <w:rFonts w:eastAsiaTheme="minorEastAsia"/>
          <w:b/>
          <w:szCs w:val="21"/>
        </w:rPr>
        <w:lastRenderedPageBreak/>
        <w:pict>
          <v:shape id="_x0000_s696945" type="#_x0000_t61" style="position:absolute;left:0;text-align:left;margin-left:38.7pt;margin-top:58pt;width:58.45pt;height:23.25pt;z-index:251720704;v-text-anchor:middle" adj="35624,31401" filled="f">
            <v:textbox>
              <w:txbxContent>
                <w:p w:rsidR="000D2D13" w:rsidRDefault="000D2D13">
                  <w:pPr>
                    <w:jc w:val="center"/>
                  </w:pPr>
                  <w:r>
                    <w:t>本项目</w:t>
                  </w:r>
                </w:p>
              </w:txbxContent>
            </v:textbox>
          </v:shape>
        </w:pict>
      </w:r>
      <w:r w:rsidR="00611CBA" w:rsidRPr="00F9522B">
        <w:rPr>
          <w:rFonts w:eastAsiaTheme="minorEastAsia"/>
          <w:noProof/>
          <w:sz w:val="24"/>
        </w:rPr>
        <w:drawing>
          <wp:inline distT="0" distB="0" distL="114300" distR="114300">
            <wp:extent cx="5190904" cy="3670212"/>
            <wp:effectExtent l="19050" t="19050" r="9746" b="25488"/>
            <wp:docPr id="17" name="图片 2" descr="fbbc0eefe2c859b59d8f927d6ffd8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descr="fbbc0eefe2c859b59d8f927d6ffd8f2"/>
                    <pic:cNvPicPr>
                      <a:picLocks noChangeAspect="1"/>
                    </pic:cNvPicPr>
                  </pic:nvPicPr>
                  <pic:blipFill>
                    <a:blip r:embed="rId58"/>
                    <a:stretch>
                      <a:fillRect/>
                    </a:stretch>
                  </pic:blipFill>
                  <pic:spPr>
                    <a:xfrm>
                      <a:off x="0" y="0"/>
                      <a:ext cx="5204101" cy="3679543"/>
                    </a:xfrm>
                    <a:prstGeom prst="rect">
                      <a:avLst/>
                    </a:prstGeom>
                    <a:ln>
                      <a:solidFill>
                        <a:schemeClr val="tx1"/>
                      </a:solidFill>
                    </a:ln>
                  </pic:spPr>
                </pic:pic>
              </a:graphicData>
            </a:graphic>
          </wp:inline>
        </w:drawing>
      </w:r>
    </w:p>
    <w:p w:rsidR="002A5A5E" w:rsidRPr="00F9522B" w:rsidRDefault="00611CBA">
      <w:pPr>
        <w:spacing w:line="360" w:lineRule="auto"/>
        <w:ind w:firstLineChars="200" w:firstLine="422"/>
        <w:jc w:val="center"/>
        <w:rPr>
          <w:rFonts w:eastAsiaTheme="minorEastAsia"/>
          <w:b/>
          <w:szCs w:val="21"/>
        </w:rPr>
      </w:pPr>
      <w:r w:rsidRPr="00F9522B">
        <w:rPr>
          <w:rFonts w:eastAsiaTheme="minorEastAsia"/>
          <w:b/>
          <w:szCs w:val="21"/>
        </w:rPr>
        <w:t>图</w:t>
      </w:r>
      <w:r w:rsidRPr="00F9522B">
        <w:rPr>
          <w:rFonts w:eastAsiaTheme="minorEastAsia"/>
          <w:b/>
          <w:szCs w:val="21"/>
        </w:rPr>
        <w:t>4-2-</w:t>
      </w:r>
      <w:r w:rsidR="00565A50" w:rsidRPr="00F9522B">
        <w:rPr>
          <w:rFonts w:eastAsiaTheme="minorEastAsia"/>
          <w:b/>
          <w:szCs w:val="21"/>
        </w:rPr>
        <w:t>3</w:t>
      </w:r>
      <w:r w:rsidRPr="00F9522B">
        <w:rPr>
          <w:rFonts w:eastAsiaTheme="minorEastAsia"/>
          <w:b/>
          <w:szCs w:val="21"/>
        </w:rPr>
        <w:t xml:space="preserve"> 2024</w:t>
      </w:r>
      <w:r w:rsidRPr="00F9522B">
        <w:rPr>
          <w:rFonts w:eastAsiaTheme="minorEastAsia"/>
          <w:b/>
          <w:szCs w:val="21"/>
        </w:rPr>
        <w:t>年哈尔滨市地表水环境质量状况</w:t>
      </w:r>
    </w:p>
    <w:p w:rsidR="002A5A5E" w:rsidRPr="00F9522B" w:rsidRDefault="00C14DB3">
      <w:pPr>
        <w:spacing w:line="360" w:lineRule="auto"/>
        <w:ind w:firstLineChars="200" w:firstLine="480"/>
        <w:rPr>
          <w:rFonts w:eastAsiaTheme="minorEastAsia"/>
          <w:bCs/>
          <w:sz w:val="24"/>
        </w:rPr>
      </w:pPr>
      <w:r w:rsidRPr="00F9522B">
        <w:rPr>
          <w:rFonts w:eastAsiaTheme="minorEastAsia"/>
          <w:kern w:val="24"/>
          <w:sz w:val="24"/>
        </w:rPr>
        <w:t>大顶子山</w:t>
      </w:r>
      <w:r w:rsidR="00611CBA" w:rsidRPr="00F9522B">
        <w:rPr>
          <w:rFonts w:eastAsiaTheme="minorEastAsia"/>
          <w:sz w:val="24"/>
        </w:rPr>
        <w:t>、少陵河桥断面为国控断面，根据哈尔滨市生态环境局发布的</w:t>
      </w:r>
      <w:r w:rsidR="00611CBA" w:rsidRPr="00F9522B">
        <w:rPr>
          <w:rFonts w:eastAsiaTheme="minorEastAsia"/>
          <w:sz w:val="24"/>
        </w:rPr>
        <w:t>202</w:t>
      </w:r>
      <w:r w:rsidR="00DC3B2B" w:rsidRPr="00F9522B">
        <w:rPr>
          <w:rFonts w:eastAsiaTheme="minorEastAsia"/>
          <w:sz w:val="24"/>
        </w:rPr>
        <w:t>3</w:t>
      </w:r>
      <w:r w:rsidR="00611CBA" w:rsidRPr="00F9522B">
        <w:rPr>
          <w:rFonts w:eastAsiaTheme="minorEastAsia"/>
          <w:sz w:val="24"/>
        </w:rPr>
        <w:t>年</w:t>
      </w:r>
      <w:r w:rsidR="00611CBA" w:rsidRPr="00F9522B">
        <w:rPr>
          <w:rFonts w:eastAsiaTheme="minorEastAsia"/>
          <w:sz w:val="24"/>
        </w:rPr>
        <w:t>~2024</w:t>
      </w:r>
      <w:r w:rsidR="00611CBA" w:rsidRPr="00F9522B">
        <w:rPr>
          <w:rFonts w:eastAsiaTheme="minorEastAsia"/>
          <w:sz w:val="24"/>
        </w:rPr>
        <w:t>年哈尔滨生态环境质量状况年报，</w:t>
      </w:r>
      <w:r w:rsidR="00611CBA" w:rsidRPr="00F9522B">
        <w:rPr>
          <w:rFonts w:eastAsiaTheme="minorEastAsia"/>
          <w:bCs/>
          <w:sz w:val="24"/>
          <w:szCs w:val="20"/>
        </w:rPr>
        <w:t>例行监测数据分析</w:t>
      </w:r>
      <w:r w:rsidRPr="00F9522B">
        <w:rPr>
          <w:rFonts w:eastAsiaTheme="minorEastAsia"/>
          <w:kern w:val="24"/>
          <w:sz w:val="24"/>
        </w:rPr>
        <w:t>松花江</w:t>
      </w:r>
      <w:r w:rsidR="00611CBA" w:rsidRPr="00F9522B">
        <w:rPr>
          <w:rFonts w:eastAsiaTheme="minorEastAsia"/>
          <w:bCs/>
          <w:sz w:val="24"/>
          <w:szCs w:val="20"/>
        </w:rPr>
        <w:t>、少陵河水质变化趋势，变化趋势情</w:t>
      </w:r>
      <w:r w:rsidR="00611CBA" w:rsidRPr="00F9522B">
        <w:rPr>
          <w:rFonts w:eastAsiaTheme="minorEastAsia"/>
          <w:bCs/>
          <w:sz w:val="24"/>
        </w:rPr>
        <w:t>况详见</w:t>
      </w:r>
      <w:r w:rsidR="00611CBA" w:rsidRPr="00F9522B">
        <w:rPr>
          <w:rFonts w:eastAsiaTheme="minorEastAsia"/>
          <w:sz w:val="24"/>
        </w:rPr>
        <w:t>下表</w:t>
      </w:r>
      <w:r w:rsidR="00611CBA" w:rsidRPr="00F9522B">
        <w:rPr>
          <w:rFonts w:eastAsiaTheme="minorEastAsia"/>
          <w:bCs/>
          <w:sz w:val="24"/>
        </w:rPr>
        <w:t>。</w:t>
      </w:r>
    </w:p>
    <w:p w:rsidR="002A5A5E" w:rsidRPr="00F9522B" w:rsidRDefault="00611CBA">
      <w:pPr>
        <w:contextualSpacing/>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 xml:space="preserve">4-2-4 </w:t>
      </w:r>
      <w:r w:rsidRPr="00F9522B">
        <w:rPr>
          <w:rFonts w:eastAsiaTheme="minorEastAsia"/>
          <w:b/>
          <w:kern w:val="0"/>
          <w:szCs w:val="21"/>
        </w:rPr>
        <w:t>项目区域国控断面年度主要污染物数值统计表</w:t>
      </w:r>
      <w:r w:rsidRPr="00F9522B">
        <w:rPr>
          <w:rFonts w:eastAsiaTheme="minorEastAsia"/>
          <w:b/>
          <w:kern w:val="0"/>
          <w:szCs w:val="21"/>
        </w:rPr>
        <w:t xml:space="preserve">  </w:t>
      </w:r>
      <w:r w:rsidRPr="00F9522B">
        <w:rPr>
          <w:rFonts w:eastAsiaTheme="minorEastAsia"/>
          <w:b/>
          <w:kern w:val="0"/>
          <w:szCs w:val="21"/>
        </w:rPr>
        <w:t>单位</w:t>
      </w:r>
      <w:r w:rsidRPr="00F9522B">
        <w:rPr>
          <w:rFonts w:eastAsiaTheme="minorEastAsia"/>
          <w:b/>
          <w:kern w:val="0"/>
          <w:szCs w:val="21"/>
        </w:rPr>
        <w:t>mg/L</w:t>
      </w:r>
    </w:p>
    <w:tbl>
      <w:tblPr>
        <w:tblW w:w="4938" w:type="pct"/>
        <w:tblInd w:w="7" w:type="dxa"/>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tblPr>
      <w:tblGrid>
        <w:gridCol w:w="236"/>
        <w:gridCol w:w="820"/>
        <w:gridCol w:w="649"/>
        <w:gridCol w:w="847"/>
        <w:gridCol w:w="630"/>
        <w:gridCol w:w="630"/>
        <w:gridCol w:w="630"/>
        <w:gridCol w:w="630"/>
        <w:gridCol w:w="630"/>
        <w:gridCol w:w="630"/>
        <w:gridCol w:w="630"/>
        <w:gridCol w:w="630"/>
        <w:gridCol w:w="635"/>
      </w:tblGrid>
      <w:tr w:rsidR="002A5A5E" w:rsidRPr="00F9522B" w:rsidTr="00715E69">
        <w:trPr>
          <w:trHeight w:val="454"/>
          <w:tblHeader/>
        </w:trPr>
        <w:tc>
          <w:tcPr>
            <w:tcW w:w="143" w:type="pct"/>
            <w:shd w:val="clear" w:color="auto" w:fill="auto"/>
            <w:tcMar>
              <w:top w:w="12" w:type="dxa"/>
              <w:left w:w="12" w:type="dxa"/>
              <w:right w:w="12" w:type="dxa"/>
            </w:tcMar>
            <w:vAlign w:val="center"/>
          </w:tcPr>
          <w:p w:rsidR="002A5A5E" w:rsidRPr="00F9522B" w:rsidRDefault="00611CBA">
            <w:pPr>
              <w:widowControl/>
              <w:jc w:val="center"/>
              <w:textAlignment w:val="center"/>
              <w:rPr>
                <w:rFonts w:eastAsiaTheme="minorEastAsia"/>
                <w:bCs/>
                <w:kern w:val="0"/>
                <w:szCs w:val="21"/>
              </w:rPr>
            </w:pPr>
            <w:r w:rsidRPr="00F9522B">
              <w:rPr>
                <w:rFonts w:eastAsiaTheme="minorEastAsia"/>
                <w:bCs/>
                <w:kern w:val="0"/>
                <w:szCs w:val="21"/>
              </w:rPr>
              <w:t>序号</w:t>
            </w:r>
          </w:p>
        </w:tc>
        <w:tc>
          <w:tcPr>
            <w:tcW w:w="498" w:type="pct"/>
            <w:shd w:val="clear" w:color="auto" w:fill="auto"/>
            <w:tcMar>
              <w:top w:w="12" w:type="dxa"/>
              <w:left w:w="12" w:type="dxa"/>
              <w:right w:w="12" w:type="dxa"/>
            </w:tcMar>
            <w:vAlign w:val="center"/>
          </w:tcPr>
          <w:p w:rsidR="002A5A5E" w:rsidRPr="00F9522B" w:rsidRDefault="00611CBA">
            <w:pPr>
              <w:widowControl/>
              <w:jc w:val="center"/>
              <w:textAlignment w:val="center"/>
              <w:rPr>
                <w:rFonts w:eastAsiaTheme="minorEastAsia"/>
                <w:bCs/>
                <w:kern w:val="0"/>
                <w:szCs w:val="21"/>
              </w:rPr>
            </w:pPr>
            <w:r w:rsidRPr="00F9522B">
              <w:rPr>
                <w:rFonts w:eastAsiaTheme="minorEastAsia"/>
                <w:bCs/>
                <w:kern w:val="0"/>
                <w:szCs w:val="21"/>
              </w:rPr>
              <w:t>断面名称</w:t>
            </w:r>
          </w:p>
        </w:tc>
        <w:tc>
          <w:tcPr>
            <w:tcW w:w="394" w:type="pct"/>
            <w:shd w:val="clear" w:color="auto" w:fill="auto"/>
            <w:tcMar>
              <w:top w:w="12" w:type="dxa"/>
              <w:left w:w="12" w:type="dxa"/>
              <w:right w:w="12" w:type="dxa"/>
            </w:tcMar>
            <w:vAlign w:val="center"/>
          </w:tcPr>
          <w:p w:rsidR="002A5A5E" w:rsidRPr="00F9522B" w:rsidRDefault="00611CBA">
            <w:pPr>
              <w:widowControl/>
              <w:jc w:val="center"/>
              <w:textAlignment w:val="center"/>
              <w:rPr>
                <w:rFonts w:eastAsiaTheme="minorEastAsia"/>
                <w:bCs/>
                <w:kern w:val="0"/>
                <w:szCs w:val="21"/>
              </w:rPr>
            </w:pPr>
            <w:r w:rsidRPr="00F9522B">
              <w:rPr>
                <w:rFonts w:eastAsiaTheme="minorEastAsia"/>
                <w:bCs/>
                <w:kern w:val="0"/>
                <w:szCs w:val="21"/>
              </w:rPr>
              <w:t>断面属性</w:t>
            </w:r>
          </w:p>
        </w:tc>
        <w:tc>
          <w:tcPr>
            <w:tcW w:w="515" w:type="pct"/>
            <w:shd w:val="clear" w:color="auto" w:fill="auto"/>
            <w:tcMar>
              <w:top w:w="12" w:type="dxa"/>
              <w:left w:w="12" w:type="dxa"/>
              <w:right w:w="12" w:type="dxa"/>
            </w:tcMar>
            <w:vAlign w:val="center"/>
          </w:tcPr>
          <w:p w:rsidR="002A5A5E" w:rsidRPr="00F9522B" w:rsidRDefault="00611CBA">
            <w:pPr>
              <w:widowControl/>
              <w:jc w:val="center"/>
              <w:textAlignment w:val="center"/>
              <w:rPr>
                <w:rFonts w:eastAsiaTheme="minorEastAsia"/>
                <w:bCs/>
                <w:kern w:val="0"/>
                <w:szCs w:val="21"/>
              </w:rPr>
            </w:pPr>
            <w:r w:rsidRPr="00F9522B">
              <w:rPr>
                <w:rFonts w:eastAsiaTheme="minorEastAsia"/>
                <w:bCs/>
                <w:kern w:val="0"/>
                <w:szCs w:val="21"/>
              </w:rPr>
              <w:t>时段</w:t>
            </w:r>
          </w:p>
        </w:tc>
        <w:tc>
          <w:tcPr>
            <w:tcW w:w="383" w:type="pct"/>
            <w:shd w:val="clear" w:color="auto" w:fill="auto"/>
            <w:tcMar>
              <w:top w:w="12" w:type="dxa"/>
              <w:left w:w="12" w:type="dxa"/>
              <w:right w:w="12" w:type="dxa"/>
            </w:tcMar>
            <w:vAlign w:val="center"/>
          </w:tcPr>
          <w:p w:rsidR="002A5A5E" w:rsidRPr="00F9522B" w:rsidRDefault="00611CBA">
            <w:pPr>
              <w:widowControl/>
              <w:jc w:val="center"/>
              <w:textAlignment w:val="center"/>
              <w:rPr>
                <w:rFonts w:eastAsiaTheme="minorEastAsia"/>
                <w:bCs/>
                <w:kern w:val="0"/>
                <w:szCs w:val="21"/>
              </w:rPr>
            </w:pPr>
            <w:r w:rsidRPr="00F9522B">
              <w:rPr>
                <w:rFonts w:eastAsiaTheme="minorEastAsia"/>
                <w:bCs/>
                <w:kern w:val="0"/>
                <w:szCs w:val="21"/>
              </w:rPr>
              <w:t>pH</w:t>
            </w:r>
            <w:r w:rsidRPr="00F9522B">
              <w:rPr>
                <w:rFonts w:eastAsiaTheme="minorEastAsia"/>
                <w:bCs/>
                <w:kern w:val="0"/>
                <w:szCs w:val="21"/>
              </w:rPr>
              <w:t>（无量纲）</w:t>
            </w:r>
          </w:p>
        </w:tc>
        <w:tc>
          <w:tcPr>
            <w:tcW w:w="383" w:type="pct"/>
            <w:shd w:val="clear" w:color="auto" w:fill="auto"/>
            <w:tcMar>
              <w:top w:w="12" w:type="dxa"/>
              <w:left w:w="12" w:type="dxa"/>
              <w:right w:w="12" w:type="dxa"/>
            </w:tcMar>
            <w:vAlign w:val="center"/>
          </w:tcPr>
          <w:p w:rsidR="002A5A5E" w:rsidRPr="00F9522B" w:rsidRDefault="00611CBA">
            <w:pPr>
              <w:widowControl/>
              <w:jc w:val="center"/>
              <w:textAlignment w:val="center"/>
              <w:rPr>
                <w:rFonts w:eastAsiaTheme="minorEastAsia"/>
                <w:bCs/>
                <w:kern w:val="0"/>
                <w:szCs w:val="21"/>
              </w:rPr>
            </w:pPr>
            <w:r w:rsidRPr="00F9522B">
              <w:rPr>
                <w:rFonts w:eastAsiaTheme="minorEastAsia"/>
                <w:bCs/>
                <w:kern w:val="0"/>
                <w:szCs w:val="21"/>
              </w:rPr>
              <w:t>溶解氧</w:t>
            </w:r>
          </w:p>
        </w:tc>
        <w:tc>
          <w:tcPr>
            <w:tcW w:w="383" w:type="pct"/>
            <w:shd w:val="clear" w:color="auto" w:fill="auto"/>
            <w:tcMar>
              <w:top w:w="12" w:type="dxa"/>
              <w:left w:w="12" w:type="dxa"/>
              <w:right w:w="12" w:type="dxa"/>
            </w:tcMar>
            <w:vAlign w:val="center"/>
          </w:tcPr>
          <w:p w:rsidR="002A5A5E" w:rsidRPr="00F9522B" w:rsidRDefault="00611CBA">
            <w:pPr>
              <w:widowControl/>
              <w:jc w:val="center"/>
              <w:textAlignment w:val="center"/>
              <w:rPr>
                <w:rFonts w:eastAsiaTheme="minorEastAsia"/>
                <w:bCs/>
                <w:kern w:val="0"/>
                <w:szCs w:val="21"/>
              </w:rPr>
            </w:pPr>
            <w:r w:rsidRPr="00F9522B">
              <w:rPr>
                <w:rFonts w:eastAsiaTheme="minorEastAsia"/>
                <w:bCs/>
                <w:kern w:val="0"/>
                <w:szCs w:val="21"/>
              </w:rPr>
              <w:t>高锰酸盐</w:t>
            </w:r>
          </w:p>
          <w:p w:rsidR="002A5A5E" w:rsidRPr="00F9522B" w:rsidRDefault="00611CBA">
            <w:pPr>
              <w:widowControl/>
              <w:jc w:val="center"/>
              <w:textAlignment w:val="center"/>
              <w:rPr>
                <w:rFonts w:eastAsiaTheme="minorEastAsia"/>
                <w:bCs/>
                <w:kern w:val="0"/>
                <w:szCs w:val="21"/>
              </w:rPr>
            </w:pPr>
            <w:r w:rsidRPr="00F9522B">
              <w:rPr>
                <w:rFonts w:eastAsiaTheme="minorEastAsia"/>
                <w:bCs/>
                <w:kern w:val="0"/>
                <w:szCs w:val="21"/>
              </w:rPr>
              <w:t>指数</w:t>
            </w:r>
          </w:p>
        </w:tc>
        <w:tc>
          <w:tcPr>
            <w:tcW w:w="383" w:type="pct"/>
            <w:shd w:val="clear" w:color="auto" w:fill="auto"/>
            <w:tcMar>
              <w:top w:w="12" w:type="dxa"/>
              <w:left w:w="12" w:type="dxa"/>
              <w:right w:w="12" w:type="dxa"/>
            </w:tcMar>
            <w:vAlign w:val="center"/>
          </w:tcPr>
          <w:p w:rsidR="002A5A5E" w:rsidRPr="00F9522B" w:rsidRDefault="00611CBA">
            <w:pPr>
              <w:widowControl/>
              <w:jc w:val="center"/>
              <w:textAlignment w:val="center"/>
              <w:rPr>
                <w:rFonts w:eastAsiaTheme="minorEastAsia"/>
                <w:bCs/>
                <w:kern w:val="0"/>
                <w:szCs w:val="21"/>
              </w:rPr>
            </w:pPr>
            <w:r w:rsidRPr="00F9522B">
              <w:rPr>
                <w:rFonts w:eastAsiaTheme="minorEastAsia"/>
                <w:bCs/>
                <w:kern w:val="0"/>
                <w:szCs w:val="21"/>
              </w:rPr>
              <w:t>化学需氧量</w:t>
            </w:r>
          </w:p>
        </w:tc>
        <w:tc>
          <w:tcPr>
            <w:tcW w:w="383" w:type="pct"/>
            <w:shd w:val="clear" w:color="auto" w:fill="auto"/>
            <w:tcMar>
              <w:top w:w="12" w:type="dxa"/>
              <w:left w:w="12" w:type="dxa"/>
              <w:right w:w="12" w:type="dxa"/>
            </w:tcMar>
            <w:vAlign w:val="center"/>
          </w:tcPr>
          <w:p w:rsidR="002A5A5E" w:rsidRPr="00F9522B" w:rsidRDefault="00611CBA">
            <w:pPr>
              <w:widowControl/>
              <w:jc w:val="center"/>
              <w:textAlignment w:val="center"/>
              <w:rPr>
                <w:rFonts w:eastAsiaTheme="minorEastAsia"/>
                <w:bCs/>
                <w:kern w:val="0"/>
                <w:szCs w:val="21"/>
              </w:rPr>
            </w:pPr>
            <w:r w:rsidRPr="00F9522B">
              <w:rPr>
                <w:rFonts w:eastAsiaTheme="minorEastAsia"/>
                <w:bCs/>
                <w:kern w:val="0"/>
                <w:szCs w:val="21"/>
              </w:rPr>
              <w:t>生化需氧量</w:t>
            </w:r>
          </w:p>
        </w:tc>
        <w:tc>
          <w:tcPr>
            <w:tcW w:w="383" w:type="pct"/>
            <w:shd w:val="clear" w:color="auto" w:fill="auto"/>
            <w:tcMar>
              <w:top w:w="12" w:type="dxa"/>
              <w:left w:w="12" w:type="dxa"/>
              <w:right w:w="12" w:type="dxa"/>
            </w:tcMar>
            <w:vAlign w:val="center"/>
          </w:tcPr>
          <w:p w:rsidR="002A5A5E" w:rsidRPr="00F9522B" w:rsidRDefault="00611CBA">
            <w:pPr>
              <w:widowControl/>
              <w:jc w:val="center"/>
              <w:textAlignment w:val="center"/>
              <w:rPr>
                <w:rFonts w:eastAsiaTheme="minorEastAsia"/>
                <w:bCs/>
                <w:kern w:val="0"/>
                <w:szCs w:val="21"/>
              </w:rPr>
            </w:pPr>
            <w:r w:rsidRPr="00F9522B">
              <w:rPr>
                <w:rFonts w:eastAsiaTheme="minorEastAsia"/>
                <w:bCs/>
                <w:kern w:val="0"/>
                <w:szCs w:val="21"/>
              </w:rPr>
              <w:t>氨氮</w:t>
            </w:r>
          </w:p>
        </w:tc>
        <w:tc>
          <w:tcPr>
            <w:tcW w:w="383" w:type="pct"/>
            <w:shd w:val="clear" w:color="auto" w:fill="auto"/>
            <w:tcMar>
              <w:top w:w="12" w:type="dxa"/>
              <w:left w:w="12" w:type="dxa"/>
              <w:right w:w="12" w:type="dxa"/>
            </w:tcMar>
            <w:vAlign w:val="center"/>
          </w:tcPr>
          <w:p w:rsidR="002A5A5E" w:rsidRPr="00F9522B" w:rsidRDefault="00611CBA">
            <w:pPr>
              <w:widowControl/>
              <w:jc w:val="center"/>
              <w:textAlignment w:val="center"/>
              <w:rPr>
                <w:rFonts w:eastAsiaTheme="minorEastAsia"/>
                <w:bCs/>
                <w:kern w:val="0"/>
                <w:szCs w:val="21"/>
              </w:rPr>
            </w:pPr>
            <w:r w:rsidRPr="00F9522B">
              <w:rPr>
                <w:rFonts w:eastAsiaTheme="minorEastAsia"/>
                <w:bCs/>
                <w:kern w:val="0"/>
                <w:szCs w:val="21"/>
              </w:rPr>
              <w:t>总磷</w:t>
            </w:r>
          </w:p>
        </w:tc>
        <w:tc>
          <w:tcPr>
            <w:tcW w:w="383" w:type="pct"/>
            <w:shd w:val="clear" w:color="auto" w:fill="auto"/>
            <w:tcMar>
              <w:top w:w="12" w:type="dxa"/>
              <w:left w:w="12" w:type="dxa"/>
              <w:right w:w="12" w:type="dxa"/>
            </w:tcMar>
            <w:vAlign w:val="center"/>
          </w:tcPr>
          <w:p w:rsidR="002A5A5E" w:rsidRPr="00F9522B" w:rsidRDefault="00611CBA">
            <w:pPr>
              <w:widowControl/>
              <w:jc w:val="center"/>
              <w:textAlignment w:val="center"/>
              <w:rPr>
                <w:rFonts w:eastAsiaTheme="minorEastAsia"/>
                <w:bCs/>
                <w:kern w:val="0"/>
                <w:szCs w:val="21"/>
              </w:rPr>
            </w:pPr>
            <w:r w:rsidRPr="00F9522B">
              <w:rPr>
                <w:rFonts w:eastAsiaTheme="minorEastAsia"/>
                <w:bCs/>
                <w:kern w:val="0"/>
                <w:szCs w:val="21"/>
              </w:rPr>
              <w:t>总氮</w:t>
            </w:r>
          </w:p>
        </w:tc>
        <w:tc>
          <w:tcPr>
            <w:tcW w:w="387" w:type="pct"/>
            <w:shd w:val="clear" w:color="auto" w:fill="auto"/>
            <w:tcMar>
              <w:top w:w="12" w:type="dxa"/>
              <w:left w:w="12" w:type="dxa"/>
              <w:right w:w="12" w:type="dxa"/>
            </w:tcMar>
            <w:vAlign w:val="center"/>
          </w:tcPr>
          <w:p w:rsidR="002A5A5E" w:rsidRPr="00F9522B" w:rsidRDefault="00611CBA">
            <w:pPr>
              <w:widowControl/>
              <w:jc w:val="center"/>
              <w:textAlignment w:val="center"/>
              <w:rPr>
                <w:rFonts w:eastAsiaTheme="minorEastAsia"/>
                <w:bCs/>
                <w:kern w:val="0"/>
                <w:szCs w:val="21"/>
              </w:rPr>
            </w:pPr>
            <w:r w:rsidRPr="00F9522B">
              <w:rPr>
                <w:rFonts w:eastAsiaTheme="minorEastAsia"/>
                <w:bCs/>
                <w:kern w:val="0"/>
                <w:szCs w:val="21"/>
              </w:rPr>
              <w:t>石油类</w:t>
            </w:r>
          </w:p>
        </w:tc>
      </w:tr>
      <w:tr w:rsidR="002A5A5E" w:rsidRPr="00F9522B" w:rsidTr="00715E69">
        <w:trPr>
          <w:trHeight w:val="454"/>
        </w:trPr>
        <w:tc>
          <w:tcPr>
            <w:tcW w:w="143" w:type="pct"/>
            <w:vMerge w:val="restart"/>
            <w:shd w:val="clear" w:color="auto" w:fill="auto"/>
            <w:tcMar>
              <w:top w:w="12" w:type="dxa"/>
              <w:left w:w="12" w:type="dxa"/>
              <w:right w:w="12" w:type="dxa"/>
            </w:tcMar>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1</w:t>
            </w:r>
          </w:p>
        </w:tc>
        <w:tc>
          <w:tcPr>
            <w:tcW w:w="498" w:type="pct"/>
            <w:vMerge w:val="restart"/>
            <w:shd w:val="clear" w:color="auto" w:fill="auto"/>
            <w:tcMar>
              <w:top w:w="12" w:type="dxa"/>
              <w:left w:w="12" w:type="dxa"/>
              <w:right w:w="12" w:type="dxa"/>
            </w:tcMar>
            <w:vAlign w:val="center"/>
          </w:tcPr>
          <w:p w:rsidR="002A5A5E" w:rsidRPr="00F9522B" w:rsidRDefault="00C14DB3">
            <w:pPr>
              <w:widowControl/>
              <w:jc w:val="center"/>
              <w:textAlignment w:val="center"/>
              <w:rPr>
                <w:rFonts w:eastAsiaTheme="minorEastAsia"/>
                <w:kern w:val="0"/>
                <w:szCs w:val="21"/>
              </w:rPr>
            </w:pPr>
            <w:r w:rsidRPr="00F9522B">
              <w:rPr>
                <w:rFonts w:eastAsiaTheme="minorEastAsia"/>
                <w:kern w:val="0"/>
                <w:szCs w:val="21"/>
              </w:rPr>
              <w:t>大顶子山</w:t>
            </w:r>
          </w:p>
        </w:tc>
        <w:tc>
          <w:tcPr>
            <w:tcW w:w="394" w:type="pct"/>
            <w:vMerge w:val="restart"/>
            <w:shd w:val="clear" w:color="auto" w:fill="auto"/>
            <w:tcMar>
              <w:top w:w="12" w:type="dxa"/>
              <w:left w:w="12" w:type="dxa"/>
              <w:right w:w="12" w:type="dxa"/>
            </w:tcMar>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国考</w:t>
            </w:r>
          </w:p>
        </w:tc>
        <w:tc>
          <w:tcPr>
            <w:tcW w:w="515" w:type="pct"/>
            <w:shd w:val="clear" w:color="auto" w:fill="auto"/>
            <w:tcMar>
              <w:top w:w="12" w:type="dxa"/>
              <w:left w:w="12" w:type="dxa"/>
              <w:right w:w="12" w:type="dxa"/>
            </w:tcMar>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2023</w:t>
            </w:r>
            <w:r w:rsidRPr="00F9522B">
              <w:rPr>
                <w:rFonts w:eastAsiaTheme="minorEastAsia"/>
                <w:kern w:val="0"/>
                <w:szCs w:val="21"/>
              </w:rPr>
              <w:t>年</w:t>
            </w:r>
          </w:p>
        </w:tc>
        <w:tc>
          <w:tcPr>
            <w:tcW w:w="383" w:type="pct"/>
            <w:shd w:val="clear" w:color="auto" w:fill="auto"/>
            <w:tcMar>
              <w:top w:w="12" w:type="dxa"/>
              <w:left w:w="12" w:type="dxa"/>
              <w:right w:w="12" w:type="dxa"/>
            </w:tcMar>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7.7</w:t>
            </w:r>
          </w:p>
        </w:tc>
        <w:tc>
          <w:tcPr>
            <w:tcW w:w="383" w:type="pct"/>
            <w:shd w:val="clear" w:color="auto" w:fill="auto"/>
            <w:tcMar>
              <w:top w:w="12" w:type="dxa"/>
              <w:left w:w="12" w:type="dxa"/>
              <w:right w:w="12" w:type="dxa"/>
            </w:tcMar>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8.9</w:t>
            </w:r>
          </w:p>
        </w:tc>
        <w:tc>
          <w:tcPr>
            <w:tcW w:w="383" w:type="pct"/>
            <w:shd w:val="clear" w:color="auto" w:fill="auto"/>
            <w:tcMar>
              <w:top w:w="12" w:type="dxa"/>
              <w:left w:w="12" w:type="dxa"/>
              <w:right w:w="12" w:type="dxa"/>
            </w:tcMar>
            <w:vAlign w:val="center"/>
          </w:tcPr>
          <w:p w:rsidR="002A5A5E" w:rsidRPr="00F9522B" w:rsidRDefault="00053BC1">
            <w:pPr>
              <w:widowControl/>
              <w:jc w:val="center"/>
              <w:textAlignment w:val="center"/>
              <w:rPr>
                <w:rFonts w:eastAsiaTheme="minorEastAsia"/>
                <w:kern w:val="0"/>
                <w:szCs w:val="21"/>
              </w:rPr>
            </w:pPr>
            <w:r w:rsidRPr="00F9522B">
              <w:rPr>
                <w:rFonts w:eastAsiaTheme="minorEastAsia"/>
                <w:kern w:val="0"/>
                <w:szCs w:val="21"/>
              </w:rPr>
              <w:t>4.1</w:t>
            </w:r>
          </w:p>
        </w:tc>
        <w:tc>
          <w:tcPr>
            <w:tcW w:w="383" w:type="pct"/>
            <w:shd w:val="clear" w:color="auto" w:fill="auto"/>
            <w:tcMar>
              <w:top w:w="12" w:type="dxa"/>
              <w:left w:w="12" w:type="dxa"/>
              <w:right w:w="12" w:type="dxa"/>
            </w:tcMar>
            <w:vAlign w:val="center"/>
          </w:tcPr>
          <w:p w:rsidR="002A5A5E" w:rsidRPr="00F9522B" w:rsidRDefault="00611CBA" w:rsidP="00053BC1">
            <w:pPr>
              <w:widowControl/>
              <w:jc w:val="center"/>
              <w:textAlignment w:val="center"/>
              <w:rPr>
                <w:rFonts w:eastAsiaTheme="minorEastAsia"/>
                <w:kern w:val="0"/>
                <w:szCs w:val="21"/>
              </w:rPr>
            </w:pPr>
            <w:r w:rsidRPr="00F9522B">
              <w:rPr>
                <w:rFonts w:eastAsiaTheme="minorEastAsia"/>
                <w:kern w:val="0"/>
                <w:szCs w:val="21"/>
              </w:rPr>
              <w:t>1</w:t>
            </w:r>
            <w:r w:rsidR="00053BC1" w:rsidRPr="00F9522B">
              <w:rPr>
                <w:rFonts w:eastAsiaTheme="minorEastAsia"/>
                <w:kern w:val="0"/>
                <w:szCs w:val="21"/>
              </w:rPr>
              <w:t>7.6</w:t>
            </w:r>
          </w:p>
        </w:tc>
        <w:tc>
          <w:tcPr>
            <w:tcW w:w="383" w:type="pct"/>
            <w:shd w:val="clear" w:color="auto" w:fill="auto"/>
            <w:tcMar>
              <w:top w:w="12" w:type="dxa"/>
              <w:left w:w="12" w:type="dxa"/>
              <w:right w:w="12" w:type="dxa"/>
            </w:tcMar>
            <w:vAlign w:val="center"/>
          </w:tcPr>
          <w:p w:rsidR="002A5A5E" w:rsidRPr="00F9522B" w:rsidRDefault="00611CBA" w:rsidP="00053BC1">
            <w:pPr>
              <w:widowControl/>
              <w:jc w:val="center"/>
              <w:textAlignment w:val="center"/>
              <w:rPr>
                <w:rFonts w:eastAsiaTheme="minorEastAsia"/>
                <w:kern w:val="0"/>
                <w:szCs w:val="21"/>
              </w:rPr>
            </w:pPr>
            <w:r w:rsidRPr="00F9522B">
              <w:rPr>
                <w:rFonts w:eastAsiaTheme="minorEastAsia"/>
                <w:kern w:val="0"/>
                <w:szCs w:val="21"/>
              </w:rPr>
              <w:t>2.</w:t>
            </w:r>
            <w:r w:rsidR="00053BC1" w:rsidRPr="00F9522B">
              <w:rPr>
                <w:rFonts w:eastAsiaTheme="minorEastAsia"/>
                <w:kern w:val="0"/>
                <w:szCs w:val="21"/>
              </w:rPr>
              <w:t>6</w:t>
            </w:r>
          </w:p>
        </w:tc>
        <w:tc>
          <w:tcPr>
            <w:tcW w:w="383" w:type="pct"/>
            <w:shd w:val="clear" w:color="auto" w:fill="auto"/>
            <w:tcMar>
              <w:top w:w="12" w:type="dxa"/>
              <w:left w:w="12" w:type="dxa"/>
              <w:right w:w="12" w:type="dxa"/>
            </w:tcMar>
            <w:vAlign w:val="center"/>
          </w:tcPr>
          <w:p w:rsidR="002A5A5E" w:rsidRPr="00F9522B" w:rsidRDefault="00611CBA" w:rsidP="00053BC1">
            <w:pPr>
              <w:widowControl/>
              <w:jc w:val="center"/>
              <w:textAlignment w:val="center"/>
              <w:rPr>
                <w:rFonts w:eastAsiaTheme="minorEastAsia"/>
                <w:kern w:val="0"/>
                <w:szCs w:val="21"/>
              </w:rPr>
            </w:pPr>
            <w:r w:rsidRPr="00F9522B">
              <w:rPr>
                <w:rFonts w:eastAsiaTheme="minorEastAsia"/>
                <w:kern w:val="0"/>
                <w:szCs w:val="21"/>
              </w:rPr>
              <w:t>0.</w:t>
            </w:r>
            <w:r w:rsidR="00053BC1" w:rsidRPr="00F9522B">
              <w:rPr>
                <w:rFonts w:eastAsiaTheme="minorEastAsia"/>
                <w:kern w:val="0"/>
                <w:szCs w:val="21"/>
              </w:rPr>
              <w:t>16</w:t>
            </w:r>
          </w:p>
        </w:tc>
        <w:tc>
          <w:tcPr>
            <w:tcW w:w="383" w:type="pct"/>
            <w:shd w:val="clear" w:color="auto" w:fill="auto"/>
            <w:tcMar>
              <w:top w:w="12" w:type="dxa"/>
              <w:left w:w="12" w:type="dxa"/>
              <w:right w:w="12" w:type="dxa"/>
            </w:tcMar>
            <w:vAlign w:val="center"/>
          </w:tcPr>
          <w:p w:rsidR="002A5A5E" w:rsidRPr="00F9522B" w:rsidRDefault="00611CBA" w:rsidP="00053BC1">
            <w:pPr>
              <w:widowControl/>
              <w:jc w:val="center"/>
              <w:textAlignment w:val="center"/>
              <w:rPr>
                <w:rFonts w:eastAsiaTheme="minorEastAsia"/>
                <w:kern w:val="0"/>
                <w:szCs w:val="21"/>
              </w:rPr>
            </w:pPr>
            <w:r w:rsidRPr="00F9522B">
              <w:rPr>
                <w:rFonts w:eastAsiaTheme="minorEastAsia"/>
                <w:kern w:val="0"/>
                <w:szCs w:val="21"/>
              </w:rPr>
              <w:t>0.</w:t>
            </w:r>
            <w:r w:rsidR="00053BC1" w:rsidRPr="00F9522B">
              <w:rPr>
                <w:rFonts w:eastAsiaTheme="minorEastAsia"/>
                <w:kern w:val="0"/>
                <w:szCs w:val="21"/>
              </w:rPr>
              <w:t>089</w:t>
            </w:r>
          </w:p>
        </w:tc>
        <w:tc>
          <w:tcPr>
            <w:tcW w:w="383" w:type="pct"/>
            <w:shd w:val="clear" w:color="auto" w:fill="auto"/>
            <w:tcMar>
              <w:top w:w="12" w:type="dxa"/>
              <w:left w:w="12" w:type="dxa"/>
              <w:right w:w="12" w:type="dxa"/>
            </w:tcMar>
            <w:vAlign w:val="center"/>
          </w:tcPr>
          <w:p w:rsidR="002A5A5E" w:rsidRPr="00F9522B" w:rsidRDefault="00053BC1">
            <w:pPr>
              <w:widowControl/>
              <w:jc w:val="center"/>
              <w:textAlignment w:val="center"/>
              <w:rPr>
                <w:rFonts w:eastAsiaTheme="minorEastAsia"/>
                <w:kern w:val="0"/>
                <w:szCs w:val="21"/>
              </w:rPr>
            </w:pPr>
            <w:r w:rsidRPr="00F9522B">
              <w:rPr>
                <w:rFonts w:eastAsiaTheme="minorEastAsia"/>
                <w:kern w:val="0"/>
                <w:szCs w:val="21"/>
              </w:rPr>
              <w:t>2.44</w:t>
            </w:r>
          </w:p>
        </w:tc>
        <w:tc>
          <w:tcPr>
            <w:tcW w:w="387" w:type="pct"/>
            <w:shd w:val="clear" w:color="auto" w:fill="auto"/>
            <w:tcMar>
              <w:top w:w="12" w:type="dxa"/>
              <w:left w:w="12" w:type="dxa"/>
              <w:right w:w="12" w:type="dxa"/>
            </w:tcMar>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0.02</w:t>
            </w:r>
          </w:p>
        </w:tc>
      </w:tr>
      <w:tr w:rsidR="002A5A5E" w:rsidRPr="00F9522B" w:rsidTr="00715E69">
        <w:trPr>
          <w:trHeight w:val="454"/>
        </w:trPr>
        <w:tc>
          <w:tcPr>
            <w:tcW w:w="143" w:type="pct"/>
            <w:vMerge/>
            <w:shd w:val="clear" w:color="auto" w:fill="auto"/>
            <w:tcMar>
              <w:top w:w="12" w:type="dxa"/>
              <w:left w:w="12" w:type="dxa"/>
              <w:right w:w="12" w:type="dxa"/>
            </w:tcMar>
            <w:vAlign w:val="center"/>
          </w:tcPr>
          <w:p w:rsidR="002A5A5E" w:rsidRPr="00F9522B" w:rsidRDefault="002A5A5E">
            <w:pPr>
              <w:widowControl/>
              <w:jc w:val="center"/>
              <w:textAlignment w:val="center"/>
              <w:rPr>
                <w:rFonts w:eastAsiaTheme="minorEastAsia"/>
                <w:kern w:val="0"/>
                <w:szCs w:val="21"/>
              </w:rPr>
            </w:pPr>
          </w:p>
        </w:tc>
        <w:tc>
          <w:tcPr>
            <w:tcW w:w="498" w:type="pct"/>
            <w:vMerge/>
            <w:shd w:val="clear" w:color="auto" w:fill="auto"/>
            <w:tcMar>
              <w:top w:w="12" w:type="dxa"/>
              <w:left w:w="12" w:type="dxa"/>
              <w:right w:w="12" w:type="dxa"/>
            </w:tcMar>
            <w:vAlign w:val="center"/>
          </w:tcPr>
          <w:p w:rsidR="002A5A5E" w:rsidRPr="00F9522B" w:rsidRDefault="002A5A5E">
            <w:pPr>
              <w:widowControl/>
              <w:jc w:val="center"/>
              <w:textAlignment w:val="center"/>
              <w:rPr>
                <w:rFonts w:eastAsiaTheme="minorEastAsia"/>
                <w:kern w:val="0"/>
                <w:szCs w:val="21"/>
              </w:rPr>
            </w:pPr>
          </w:p>
        </w:tc>
        <w:tc>
          <w:tcPr>
            <w:tcW w:w="394" w:type="pct"/>
            <w:vMerge/>
            <w:shd w:val="clear" w:color="auto" w:fill="auto"/>
            <w:tcMar>
              <w:top w:w="12" w:type="dxa"/>
              <w:left w:w="12" w:type="dxa"/>
              <w:right w:w="12" w:type="dxa"/>
            </w:tcMar>
            <w:vAlign w:val="center"/>
          </w:tcPr>
          <w:p w:rsidR="002A5A5E" w:rsidRPr="00F9522B" w:rsidRDefault="002A5A5E">
            <w:pPr>
              <w:widowControl/>
              <w:jc w:val="center"/>
              <w:textAlignment w:val="center"/>
              <w:rPr>
                <w:rFonts w:eastAsiaTheme="minorEastAsia"/>
                <w:kern w:val="0"/>
                <w:szCs w:val="21"/>
              </w:rPr>
            </w:pPr>
          </w:p>
        </w:tc>
        <w:tc>
          <w:tcPr>
            <w:tcW w:w="515" w:type="pct"/>
            <w:shd w:val="clear" w:color="auto" w:fill="auto"/>
            <w:tcMar>
              <w:top w:w="12" w:type="dxa"/>
              <w:left w:w="12" w:type="dxa"/>
              <w:right w:w="12" w:type="dxa"/>
            </w:tcMar>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2024</w:t>
            </w:r>
            <w:r w:rsidRPr="00F9522B">
              <w:rPr>
                <w:rFonts w:eastAsiaTheme="minorEastAsia"/>
                <w:kern w:val="0"/>
                <w:szCs w:val="21"/>
              </w:rPr>
              <w:t>年</w:t>
            </w:r>
          </w:p>
        </w:tc>
        <w:tc>
          <w:tcPr>
            <w:tcW w:w="383" w:type="pct"/>
            <w:shd w:val="clear" w:color="auto" w:fill="auto"/>
            <w:tcMar>
              <w:top w:w="12" w:type="dxa"/>
              <w:left w:w="12" w:type="dxa"/>
              <w:right w:w="12" w:type="dxa"/>
            </w:tcMar>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8</w:t>
            </w:r>
          </w:p>
        </w:tc>
        <w:tc>
          <w:tcPr>
            <w:tcW w:w="383" w:type="pct"/>
            <w:shd w:val="clear" w:color="auto" w:fill="auto"/>
            <w:tcMar>
              <w:top w:w="12" w:type="dxa"/>
              <w:left w:w="12" w:type="dxa"/>
              <w:right w:w="12" w:type="dxa"/>
            </w:tcMar>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w:t>
            </w:r>
          </w:p>
        </w:tc>
        <w:tc>
          <w:tcPr>
            <w:tcW w:w="383" w:type="pct"/>
            <w:shd w:val="clear" w:color="auto" w:fill="auto"/>
            <w:tcMar>
              <w:top w:w="12" w:type="dxa"/>
              <w:left w:w="12" w:type="dxa"/>
              <w:right w:w="12" w:type="dxa"/>
            </w:tcMar>
            <w:vAlign w:val="center"/>
          </w:tcPr>
          <w:p w:rsidR="002A5A5E" w:rsidRPr="00F9522B" w:rsidRDefault="00DC39AF">
            <w:pPr>
              <w:widowControl/>
              <w:jc w:val="center"/>
              <w:textAlignment w:val="center"/>
              <w:rPr>
                <w:rFonts w:eastAsiaTheme="minorEastAsia"/>
                <w:kern w:val="0"/>
                <w:szCs w:val="21"/>
              </w:rPr>
            </w:pPr>
            <w:r w:rsidRPr="00F9522B">
              <w:rPr>
                <w:rFonts w:eastAsiaTheme="minorEastAsia"/>
                <w:kern w:val="0"/>
                <w:szCs w:val="21"/>
              </w:rPr>
              <w:t>4.3</w:t>
            </w:r>
          </w:p>
        </w:tc>
        <w:tc>
          <w:tcPr>
            <w:tcW w:w="383" w:type="pct"/>
            <w:shd w:val="clear" w:color="auto" w:fill="auto"/>
            <w:tcMar>
              <w:top w:w="12" w:type="dxa"/>
              <w:left w:w="12" w:type="dxa"/>
              <w:right w:w="12" w:type="dxa"/>
            </w:tcMar>
            <w:vAlign w:val="center"/>
          </w:tcPr>
          <w:p w:rsidR="002A5A5E" w:rsidRPr="00F9522B" w:rsidRDefault="00DC39AF">
            <w:pPr>
              <w:widowControl/>
              <w:jc w:val="center"/>
              <w:textAlignment w:val="center"/>
              <w:rPr>
                <w:rFonts w:eastAsiaTheme="minorEastAsia"/>
                <w:kern w:val="0"/>
                <w:szCs w:val="21"/>
              </w:rPr>
            </w:pPr>
            <w:r w:rsidRPr="00F9522B">
              <w:rPr>
                <w:rFonts w:eastAsiaTheme="minorEastAsia"/>
                <w:kern w:val="0"/>
                <w:szCs w:val="21"/>
              </w:rPr>
              <w:t>18.0</w:t>
            </w:r>
          </w:p>
        </w:tc>
        <w:tc>
          <w:tcPr>
            <w:tcW w:w="383" w:type="pct"/>
            <w:shd w:val="clear" w:color="auto" w:fill="auto"/>
            <w:tcMar>
              <w:top w:w="12" w:type="dxa"/>
              <w:left w:w="12" w:type="dxa"/>
              <w:right w:w="12" w:type="dxa"/>
            </w:tcMar>
            <w:vAlign w:val="center"/>
          </w:tcPr>
          <w:p w:rsidR="002A5A5E" w:rsidRPr="00F9522B" w:rsidRDefault="00DC39AF">
            <w:pPr>
              <w:widowControl/>
              <w:jc w:val="center"/>
              <w:textAlignment w:val="center"/>
              <w:rPr>
                <w:rFonts w:eastAsiaTheme="minorEastAsia"/>
                <w:kern w:val="0"/>
                <w:szCs w:val="21"/>
              </w:rPr>
            </w:pPr>
            <w:r w:rsidRPr="00F9522B">
              <w:rPr>
                <w:rFonts w:eastAsiaTheme="minorEastAsia"/>
                <w:kern w:val="0"/>
                <w:szCs w:val="21"/>
              </w:rPr>
              <w:t>2.8</w:t>
            </w:r>
          </w:p>
        </w:tc>
        <w:tc>
          <w:tcPr>
            <w:tcW w:w="383" w:type="pct"/>
            <w:shd w:val="clear" w:color="auto" w:fill="auto"/>
            <w:tcMar>
              <w:top w:w="12" w:type="dxa"/>
              <w:left w:w="12" w:type="dxa"/>
              <w:right w:w="12" w:type="dxa"/>
            </w:tcMar>
            <w:vAlign w:val="center"/>
          </w:tcPr>
          <w:p w:rsidR="002A5A5E" w:rsidRPr="00F9522B" w:rsidRDefault="00DC39AF">
            <w:pPr>
              <w:widowControl/>
              <w:jc w:val="center"/>
              <w:textAlignment w:val="center"/>
              <w:rPr>
                <w:rFonts w:eastAsiaTheme="minorEastAsia"/>
                <w:kern w:val="0"/>
                <w:szCs w:val="21"/>
              </w:rPr>
            </w:pPr>
            <w:r w:rsidRPr="00F9522B">
              <w:rPr>
                <w:rFonts w:eastAsiaTheme="minorEastAsia"/>
                <w:kern w:val="0"/>
                <w:szCs w:val="21"/>
              </w:rPr>
              <w:t>0.15</w:t>
            </w:r>
          </w:p>
        </w:tc>
        <w:tc>
          <w:tcPr>
            <w:tcW w:w="383" w:type="pct"/>
            <w:shd w:val="clear" w:color="auto" w:fill="auto"/>
            <w:tcMar>
              <w:top w:w="12" w:type="dxa"/>
              <w:left w:w="12" w:type="dxa"/>
              <w:right w:w="12" w:type="dxa"/>
            </w:tcMar>
            <w:vAlign w:val="center"/>
          </w:tcPr>
          <w:p w:rsidR="002A5A5E" w:rsidRPr="00F9522B" w:rsidRDefault="00DC39AF">
            <w:pPr>
              <w:widowControl/>
              <w:jc w:val="center"/>
              <w:textAlignment w:val="center"/>
              <w:rPr>
                <w:rFonts w:eastAsiaTheme="minorEastAsia"/>
                <w:kern w:val="0"/>
                <w:szCs w:val="21"/>
              </w:rPr>
            </w:pPr>
            <w:r w:rsidRPr="00F9522B">
              <w:rPr>
                <w:rFonts w:eastAsiaTheme="minorEastAsia"/>
                <w:kern w:val="0"/>
                <w:szCs w:val="21"/>
              </w:rPr>
              <w:t>0.082</w:t>
            </w:r>
          </w:p>
        </w:tc>
        <w:tc>
          <w:tcPr>
            <w:tcW w:w="383" w:type="pct"/>
            <w:shd w:val="clear" w:color="auto" w:fill="auto"/>
            <w:tcMar>
              <w:top w:w="12" w:type="dxa"/>
              <w:left w:w="12" w:type="dxa"/>
              <w:right w:w="12" w:type="dxa"/>
            </w:tcMar>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w:t>
            </w:r>
          </w:p>
        </w:tc>
        <w:tc>
          <w:tcPr>
            <w:tcW w:w="387" w:type="pct"/>
            <w:shd w:val="clear" w:color="auto" w:fill="auto"/>
            <w:tcMar>
              <w:top w:w="12" w:type="dxa"/>
              <w:left w:w="12" w:type="dxa"/>
              <w:right w:w="12" w:type="dxa"/>
            </w:tcMar>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w:t>
            </w:r>
          </w:p>
        </w:tc>
      </w:tr>
      <w:tr w:rsidR="002A5A5E" w:rsidRPr="00F9522B" w:rsidTr="00715E69">
        <w:trPr>
          <w:trHeight w:val="454"/>
        </w:trPr>
        <w:tc>
          <w:tcPr>
            <w:tcW w:w="143" w:type="pct"/>
            <w:vMerge w:val="restart"/>
            <w:shd w:val="clear" w:color="auto" w:fill="auto"/>
            <w:tcMar>
              <w:top w:w="12" w:type="dxa"/>
              <w:left w:w="12" w:type="dxa"/>
              <w:right w:w="12" w:type="dxa"/>
            </w:tcMar>
            <w:vAlign w:val="center"/>
          </w:tcPr>
          <w:p w:rsidR="002A5A5E" w:rsidRPr="00F9522B" w:rsidRDefault="00C14DB3">
            <w:pPr>
              <w:widowControl/>
              <w:jc w:val="center"/>
              <w:textAlignment w:val="center"/>
              <w:rPr>
                <w:rFonts w:eastAsiaTheme="minorEastAsia"/>
                <w:kern w:val="0"/>
                <w:szCs w:val="21"/>
              </w:rPr>
            </w:pPr>
            <w:r w:rsidRPr="00F9522B">
              <w:rPr>
                <w:rFonts w:eastAsiaTheme="minorEastAsia"/>
                <w:kern w:val="0"/>
                <w:szCs w:val="21"/>
              </w:rPr>
              <w:t>2</w:t>
            </w:r>
          </w:p>
        </w:tc>
        <w:tc>
          <w:tcPr>
            <w:tcW w:w="498" w:type="pct"/>
            <w:vMerge w:val="restart"/>
            <w:shd w:val="clear" w:color="auto" w:fill="auto"/>
            <w:tcMar>
              <w:top w:w="12" w:type="dxa"/>
              <w:left w:w="12" w:type="dxa"/>
              <w:right w:w="12" w:type="dxa"/>
            </w:tcMar>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少陵河桥</w:t>
            </w:r>
          </w:p>
        </w:tc>
        <w:tc>
          <w:tcPr>
            <w:tcW w:w="394" w:type="pct"/>
            <w:vMerge w:val="restart"/>
            <w:shd w:val="clear" w:color="auto" w:fill="auto"/>
            <w:tcMar>
              <w:top w:w="12" w:type="dxa"/>
              <w:left w:w="12" w:type="dxa"/>
              <w:right w:w="12" w:type="dxa"/>
            </w:tcMar>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国考</w:t>
            </w:r>
          </w:p>
        </w:tc>
        <w:tc>
          <w:tcPr>
            <w:tcW w:w="515" w:type="pct"/>
            <w:shd w:val="clear" w:color="auto" w:fill="auto"/>
            <w:tcMar>
              <w:top w:w="12" w:type="dxa"/>
              <w:left w:w="12" w:type="dxa"/>
              <w:right w:w="12" w:type="dxa"/>
            </w:tcMar>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2023</w:t>
            </w:r>
            <w:r w:rsidRPr="00F9522B">
              <w:rPr>
                <w:rFonts w:eastAsiaTheme="minorEastAsia"/>
                <w:kern w:val="0"/>
                <w:szCs w:val="21"/>
              </w:rPr>
              <w:t>年</w:t>
            </w:r>
          </w:p>
        </w:tc>
        <w:tc>
          <w:tcPr>
            <w:tcW w:w="383" w:type="pct"/>
            <w:shd w:val="clear" w:color="auto" w:fill="auto"/>
            <w:tcMar>
              <w:top w:w="12" w:type="dxa"/>
              <w:left w:w="12" w:type="dxa"/>
              <w:right w:w="12" w:type="dxa"/>
            </w:tcMar>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7.4</w:t>
            </w:r>
          </w:p>
        </w:tc>
        <w:tc>
          <w:tcPr>
            <w:tcW w:w="383" w:type="pct"/>
            <w:shd w:val="clear" w:color="auto" w:fill="auto"/>
            <w:tcMar>
              <w:top w:w="12" w:type="dxa"/>
              <w:left w:w="12" w:type="dxa"/>
              <w:right w:w="12" w:type="dxa"/>
            </w:tcMar>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9.2</w:t>
            </w:r>
          </w:p>
        </w:tc>
        <w:tc>
          <w:tcPr>
            <w:tcW w:w="383" w:type="pct"/>
            <w:shd w:val="clear" w:color="auto" w:fill="auto"/>
            <w:tcMar>
              <w:top w:w="12" w:type="dxa"/>
              <w:left w:w="12" w:type="dxa"/>
              <w:right w:w="12" w:type="dxa"/>
            </w:tcMar>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6.9</w:t>
            </w:r>
          </w:p>
        </w:tc>
        <w:tc>
          <w:tcPr>
            <w:tcW w:w="383" w:type="pct"/>
            <w:shd w:val="clear" w:color="auto" w:fill="auto"/>
            <w:tcMar>
              <w:top w:w="12" w:type="dxa"/>
              <w:left w:w="12" w:type="dxa"/>
              <w:right w:w="12" w:type="dxa"/>
            </w:tcMar>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25.9</w:t>
            </w:r>
          </w:p>
        </w:tc>
        <w:tc>
          <w:tcPr>
            <w:tcW w:w="383" w:type="pct"/>
            <w:shd w:val="clear" w:color="auto" w:fill="auto"/>
            <w:tcMar>
              <w:top w:w="12" w:type="dxa"/>
              <w:left w:w="12" w:type="dxa"/>
              <w:right w:w="12" w:type="dxa"/>
            </w:tcMar>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3.4</w:t>
            </w:r>
          </w:p>
        </w:tc>
        <w:tc>
          <w:tcPr>
            <w:tcW w:w="383" w:type="pct"/>
            <w:shd w:val="clear" w:color="auto" w:fill="auto"/>
            <w:tcMar>
              <w:top w:w="12" w:type="dxa"/>
              <w:left w:w="12" w:type="dxa"/>
              <w:right w:w="12" w:type="dxa"/>
            </w:tcMar>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1.55</w:t>
            </w:r>
          </w:p>
        </w:tc>
        <w:tc>
          <w:tcPr>
            <w:tcW w:w="383" w:type="pct"/>
            <w:shd w:val="clear" w:color="auto" w:fill="auto"/>
            <w:tcMar>
              <w:top w:w="12" w:type="dxa"/>
              <w:left w:w="12" w:type="dxa"/>
              <w:right w:w="12" w:type="dxa"/>
            </w:tcMar>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0.294</w:t>
            </w:r>
          </w:p>
        </w:tc>
        <w:tc>
          <w:tcPr>
            <w:tcW w:w="383" w:type="pct"/>
            <w:shd w:val="clear" w:color="auto" w:fill="auto"/>
            <w:tcMar>
              <w:top w:w="12" w:type="dxa"/>
              <w:left w:w="12" w:type="dxa"/>
              <w:right w:w="12" w:type="dxa"/>
            </w:tcMar>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4.08</w:t>
            </w:r>
          </w:p>
        </w:tc>
        <w:tc>
          <w:tcPr>
            <w:tcW w:w="387" w:type="pct"/>
            <w:shd w:val="clear" w:color="auto" w:fill="auto"/>
            <w:tcMar>
              <w:top w:w="12" w:type="dxa"/>
              <w:left w:w="12" w:type="dxa"/>
              <w:right w:w="12" w:type="dxa"/>
            </w:tcMar>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0.02</w:t>
            </w:r>
          </w:p>
        </w:tc>
      </w:tr>
      <w:tr w:rsidR="002A5A5E" w:rsidRPr="00F9522B" w:rsidTr="00715E69">
        <w:trPr>
          <w:trHeight w:val="454"/>
        </w:trPr>
        <w:tc>
          <w:tcPr>
            <w:tcW w:w="143" w:type="pct"/>
            <w:vMerge/>
            <w:shd w:val="clear" w:color="auto" w:fill="auto"/>
            <w:tcMar>
              <w:top w:w="12" w:type="dxa"/>
              <w:left w:w="12" w:type="dxa"/>
              <w:right w:w="12" w:type="dxa"/>
            </w:tcMar>
            <w:vAlign w:val="center"/>
          </w:tcPr>
          <w:p w:rsidR="002A5A5E" w:rsidRPr="00F9522B" w:rsidRDefault="002A5A5E">
            <w:pPr>
              <w:widowControl/>
              <w:jc w:val="center"/>
              <w:textAlignment w:val="center"/>
              <w:rPr>
                <w:rFonts w:eastAsiaTheme="minorEastAsia"/>
                <w:kern w:val="0"/>
                <w:szCs w:val="21"/>
              </w:rPr>
            </w:pPr>
          </w:p>
        </w:tc>
        <w:tc>
          <w:tcPr>
            <w:tcW w:w="498" w:type="pct"/>
            <w:vMerge/>
            <w:shd w:val="clear" w:color="auto" w:fill="auto"/>
            <w:tcMar>
              <w:top w:w="12" w:type="dxa"/>
              <w:left w:w="12" w:type="dxa"/>
              <w:right w:w="12" w:type="dxa"/>
            </w:tcMar>
            <w:vAlign w:val="center"/>
          </w:tcPr>
          <w:p w:rsidR="002A5A5E" w:rsidRPr="00F9522B" w:rsidRDefault="002A5A5E">
            <w:pPr>
              <w:widowControl/>
              <w:jc w:val="center"/>
              <w:textAlignment w:val="center"/>
              <w:rPr>
                <w:rFonts w:eastAsiaTheme="minorEastAsia"/>
                <w:kern w:val="0"/>
                <w:szCs w:val="21"/>
              </w:rPr>
            </w:pPr>
          </w:p>
        </w:tc>
        <w:tc>
          <w:tcPr>
            <w:tcW w:w="394" w:type="pct"/>
            <w:vMerge/>
            <w:shd w:val="clear" w:color="auto" w:fill="auto"/>
            <w:tcMar>
              <w:top w:w="12" w:type="dxa"/>
              <w:left w:w="12" w:type="dxa"/>
              <w:right w:w="12" w:type="dxa"/>
            </w:tcMar>
            <w:vAlign w:val="center"/>
          </w:tcPr>
          <w:p w:rsidR="002A5A5E" w:rsidRPr="00F9522B" w:rsidRDefault="002A5A5E">
            <w:pPr>
              <w:widowControl/>
              <w:jc w:val="center"/>
              <w:textAlignment w:val="center"/>
              <w:rPr>
                <w:rFonts w:eastAsiaTheme="minorEastAsia"/>
                <w:kern w:val="0"/>
                <w:szCs w:val="21"/>
              </w:rPr>
            </w:pPr>
          </w:p>
        </w:tc>
        <w:tc>
          <w:tcPr>
            <w:tcW w:w="515" w:type="pct"/>
            <w:shd w:val="clear" w:color="auto" w:fill="auto"/>
            <w:tcMar>
              <w:top w:w="12" w:type="dxa"/>
              <w:left w:w="12" w:type="dxa"/>
              <w:right w:w="12" w:type="dxa"/>
            </w:tcMar>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2024</w:t>
            </w:r>
            <w:r w:rsidRPr="00F9522B">
              <w:rPr>
                <w:rFonts w:eastAsiaTheme="minorEastAsia"/>
                <w:kern w:val="0"/>
                <w:szCs w:val="21"/>
              </w:rPr>
              <w:t>年</w:t>
            </w:r>
          </w:p>
        </w:tc>
        <w:tc>
          <w:tcPr>
            <w:tcW w:w="383" w:type="pct"/>
            <w:shd w:val="clear" w:color="auto" w:fill="auto"/>
            <w:tcMar>
              <w:top w:w="12" w:type="dxa"/>
              <w:left w:w="12" w:type="dxa"/>
              <w:right w:w="12" w:type="dxa"/>
            </w:tcMar>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8</w:t>
            </w:r>
          </w:p>
        </w:tc>
        <w:tc>
          <w:tcPr>
            <w:tcW w:w="383" w:type="pct"/>
            <w:shd w:val="clear" w:color="auto" w:fill="auto"/>
            <w:tcMar>
              <w:top w:w="12" w:type="dxa"/>
              <w:left w:w="12" w:type="dxa"/>
              <w:right w:w="12" w:type="dxa"/>
            </w:tcMar>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w:t>
            </w:r>
          </w:p>
        </w:tc>
        <w:tc>
          <w:tcPr>
            <w:tcW w:w="383" w:type="pct"/>
            <w:shd w:val="clear" w:color="auto" w:fill="auto"/>
            <w:tcMar>
              <w:top w:w="12" w:type="dxa"/>
              <w:left w:w="12" w:type="dxa"/>
              <w:right w:w="12" w:type="dxa"/>
            </w:tcMar>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6.4</w:t>
            </w:r>
          </w:p>
        </w:tc>
        <w:tc>
          <w:tcPr>
            <w:tcW w:w="383" w:type="pct"/>
            <w:shd w:val="clear" w:color="auto" w:fill="auto"/>
            <w:tcMar>
              <w:top w:w="12" w:type="dxa"/>
              <w:left w:w="12" w:type="dxa"/>
              <w:right w:w="12" w:type="dxa"/>
            </w:tcMar>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23</w:t>
            </w:r>
          </w:p>
        </w:tc>
        <w:tc>
          <w:tcPr>
            <w:tcW w:w="383" w:type="pct"/>
            <w:shd w:val="clear" w:color="auto" w:fill="auto"/>
            <w:tcMar>
              <w:top w:w="12" w:type="dxa"/>
              <w:left w:w="12" w:type="dxa"/>
              <w:right w:w="12" w:type="dxa"/>
            </w:tcMar>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3.2</w:t>
            </w:r>
          </w:p>
        </w:tc>
        <w:tc>
          <w:tcPr>
            <w:tcW w:w="383" w:type="pct"/>
            <w:shd w:val="clear" w:color="auto" w:fill="auto"/>
            <w:tcMar>
              <w:top w:w="12" w:type="dxa"/>
              <w:left w:w="12" w:type="dxa"/>
              <w:right w:w="12" w:type="dxa"/>
            </w:tcMar>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1.58</w:t>
            </w:r>
          </w:p>
        </w:tc>
        <w:tc>
          <w:tcPr>
            <w:tcW w:w="383" w:type="pct"/>
            <w:shd w:val="clear" w:color="auto" w:fill="auto"/>
            <w:tcMar>
              <w:top w:w="12" w:type="dxa"/>
              <w:left w:w="12" w:type="dxa"/>
              <w:right w:w="12" w:type="dxa"/>
            </w:tcMar>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0.263</w:t>
            </w:r>
          </w:p>
        </w:tc>
        <w:tc>
          <w:tcPr>
            <w:tcW w:w="383" w:type="pct"/>
            <w:shd w:val="clear" w:color="auto" w:fill="auto"/>
            <w:tcMar>
              <w:top w:w="12" w:type="dxa"/>
              <w:left w:w="12" w:type="dxa"/>
              <w:right w:w="12" w:type="dxa"/>
            </w:tcMar>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w:t>
            </w:r>
          </w:p>
        </w:tc>
        <w:tc>
          <w:tcPr>
            <w:tcW w:w="387" w:type="pct"/>
            <w:shd w:val="clear" w:color="auto" w:fill="auto"/>
            <w:tcMar>
              <w:top w:w="12" w:type="dxa"/>
              <w:left w:w="12" w:type="dxa"/>
              <w:right w:w="12" w:type="dxa"/>
            </w:tcMar>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w:t>
            </w:r>
          </w:p>
        </w:tc>
      </w:tr>
    </w:tbl>
    <w:p w:rsidR="006E0010" w:rsidRPr="00F9522B" w:rsidRDefault="00611CBA">
      <w:pPr>
        <w:spacing w:line="360" w:lineRule="auto"/>
        <w:ind w:firstLineChars="200" w:firstLine="480"/>
        <w:rPr>
          <w:rFonts w:eastAsiaTheme="minorEastAsia"/>
          <w:sz w:val="24"/>
        </w:rPr>
      </w:pPr>
      <w:r w:rsidRPr="00F9522B">
        <w:rPr>
          <w:rFonts w:eastAsiaTheme="minorEastAsia"/>
          <w:sz w:val="24"/>
        </w:rPr>
        <w:t>本项目</w:t>
      </w:r>
      <w:r w:rsidR="00413AB2" w:rsidRPr="00F9522B">
        <w:rPr>
          <w:rFonts w:eastAsiaTheme="minorEastAsia"/>
          <w:sz w:val="24"/>
        </w:rPr>
        <w:t>公家沟汇入</w:t>
      </w:r>
      <w:r w:rsidR="00C14DB3" w:rsidRPr="00F9522B">
        <w:rPr>
          <w:rFonts w:eastAsiaTheme="minorEastAsia"/>
          <w:kern w:val="24"/>
          <w:sz w:val="24"/>
        </w:rPr>
        <w:t>松花江</w:t>
      </w:r>
      <w:r w:rsidR="00C14DB3" w:rsidRPr="00F9522B">
        <w:rPr>
          <w:rFonts w:eastAsiaTheme="minorEastAsia"/>
          <w:sz w:val="24"/>
        </w:rPr>
        <w:t>农田退水口位于</w:t>
      </w:r>
      <w:r w:rsidR="00C14DB3" w:rsidRPr="00F9522B">
        <w:rPr>
          <w:rFonts w:eastAsiaTheme="minorEastAsia"/>
          <w:kern w:val="24"/>
          <w:sz w:val="24"/>
        </w:rPr>
        <w:t>大顶子山</w:t>
      </w:r>
      <w:r w:rsidR="00C14DB3" w:rsidRPr="00F9522B">
        <w:rPr>
          <w:rFonts w:eastAsiaTheme="minorEastAsia"/>
          <w:sz w:val="24"/>
        </w:rPr>
        <w:t>（国控断面）</w:t>
      </w:r>
      <w:r w:rsidR="00413AB2" w:rsidRPr="00F9522B">
        <w:rPr>
          <w:rFonts w:eastAsiaTheme="minorEastAsia"/>
          <w:sz w:val="24"/>
        </w:rPr>
        <w:t>下</w:t>
      </w:r>
      <w:r w:rsidR="00C14DB3" w:rsidRPr="00F9522B">
        <w:rPr>
          <w:rFonts w:eastAsiaTheme="minorEastAsia"/>
          <w:sz w:val="24"/>
        </w:rPr>
        <w:t>游</w:t>
      </w:r>
      <w:r w:rsidR="006E0010" w:rsidRPr="00F9522B">
        <w:rPr>
          <w:rFonts w:eastAsiaTheme="minorEastAsia"/>
          <w:sz w:val="24"/>
        </w:rPr>
        <w:t>。</w:t>
      </w:r>
      <w:r w:rsidR="006E0010" w:rsidRPr="00F9522B">
        <w:rPr>
          <w:rFonts w:eastAsiaTheme="minorEastAsia"/>
          <w:kern w:val="24"/>
          <w:sz w:val="24"/>
        </w:rPr>
        <w:t>大顶子山断面上游存在</w:t>
      </w:r>
      <w:r w:rsidR="006E0010" w:rsidRPr="00F9522B">
        <w:rPr>
          <w:rFonts w:eastAsiaTheme="minorEastAsia"/>
          <w:sz w:val="24"/>
        </w:rPr>
        <w:t>呼兰区其它农田退水口，水质、退水规律等均与本项目农田退水口一致，故选用</w:t>
      </w:r>
      <w:r w:rsidR="006E0010" w:rsidRPr="00F9522B">
        <w:rPr>
          <w:rFonts w:eastAsiaTheme="minorEastAsia"/>
          <w:kern w:val="24"/>
          <w:sz w:val="24"/>
        </w:rPr>
        <w:t>大顶子山断面数据可代表区域地表水环境质量状况</w:t>
      </w:r>
      <w:r w:rsidR="006E0010" w:rsidRPr="00F9522B">
        <w:rPr>
          <w:rFonts w:eastAsiaTheme="minorEastAsia"/>
          <w:sz w:val="24"/>
        </w:rPr>
        <w:t>。</w:t>
      </w:r>
    </w:p>
    <w:p w:rsidR="006E0010" w:rsidRPr="00F9522B" w:rsidRDefault="00611CBA">
      <w:pPr>
        <w:spacing w:line="360" w:lineRule="auto"/>
        <w:ind w:firstLineChars="200" w:firstLine="480"/>
        <w:rPr>
          <w:sz w:val="24"/>
        </w:rPr>
      </w:pPr>
      <w:r w:rsidRPr="00F9522B">
        <w:rPr>
          <w:rFonts w:eastAsiaTheme="minorEastAsia"/>
          <w:sz w:val="24"/>
        </w:rPr>
        <w:t>漂河农田退水口位于少陵河桥（国控断面）上游。</w:t>
      </w:r>
      <w:r w:rsidRPr="00F9522B">
        <w:rPr>
          <w:sz w:val="24"/>
        </w:rPr>
        <w:t>退水口与国控断面位置关系见下表</w:t>
      </w:r>
      <w:r w:rsidRPr="00F9522B">
        <w:rPr>
          <w:sz w:val="24"/>
        </w:rPr>
        <w:t>4-2-5</w:t>
      </w:r>
      <w:r w:rsidRPr="00F9522B">
        <w:rPr>
          <w:sz w:val="24"/>
        </w:rPr>
        <w:t>（其中漂河无国控断面，</w:t>
      </w:r>
      <w:r w:rsidRPr="00F9522B">
        <w:rPr>
          <w:rFonts w:eastAsiaTheme="minorEastAsia"/>
          <w:bCs/>
          <w:kern w:val="0"/>
          <w:sz w:val="24"/>
          <w:szCs w:val="21"/>
        </w:rPr>
        <w:t>漂河</w:t>
      </w:r>
      <w:r w:rsidRPr="00F9522B">
        <w:rPr>
          <w:rFonts w:eastAsiaTheme="minorEastAsia"/>
          <w:bCs/>
          <w:kern w:val="0"/>
          <w:sz w:val="24"/>
        </w:rPr>
        <w:t>未划分水功能区，漂河汇入少陵河，采用少陵河</w:t>
      </w:r>
      <w:r w:rsidRPr="00F9522B">
        <w:rPr>
          <w:sz w:val="24"/>
        </w:rPr>
        <w:t>国控断面），</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lastRenderedPageBreak/>
        <w:t>具体位置关系见下图</w:t>
      </w:r>
      <w:r w:rsidRPr="00F9522B">
        <w:rPr>
          <w:rFonts w:eastAsiaTheme="minorEastAsia"/>
          <w:sz w:val="24"/>
        </w:rPr>
        <w:t>4-2-</w:t>
      </w:r>
      <w:r w:rsidR="00565A50" w:rsidRPr="00F9522B">
        <w:rPr>
          <w:rFonts w:eastAsiaTheme="minorEastAsia"/>
          <w:sz w:val="24"/>
        </w:rPr>
        <w:t>4</w:t>
      </w:r>
      <w:r w:rsidRPr="00F9522B">
        <w:rPr>
          <w:rFonts w:eastAsiaTheme="minorEastAsia"/>
          <w:sz w:val="24"/>
        </w:rPr>
        <w:t>。</w:t>
      </w:r>
    </w:p>
    <w:p w:rsidR="002A5A5E" w:rsidRPr="00F9522B" w:rsidRDefault="00611CBA">
      <w:pPr>
        <w:spacing w:line="360" w:lineRule="auto"/>
        <w:ind w:firstLineChars="175" w:firstLine="369"/>
        <w:jc w:val="center"/>
        <w:rPr>
          <w:sz w:val="24"/>
        </w:rPr>
      </w:pPr>
      <w:r w:rsidRPr="00F9522B">
        <w:rPr>
          <w:rFonts w:eastAsiaTheme="minorEastAsia"/>
          <w:b/>
          <w:kern w:val="0"/>
          <w:szCs w:val="21"/>
        </w:rPr>
        <w:t>表</w:t>
      </w:r>
      <w:r w:rsidRPr="00F9522B">
        <w:rPr>
          <w:rFonts w:eastAsiaTheme="minorEastAsia"/>
          <w:b/>
          <w:kern w:val="0"/>
          <w:szCs w:val="21"/>
        </w:rPr>
        <w:t>4-2-5</w:t>
      </w:r>
      <w:r w:rsidRPr="00F9522B">
        <w:rPr>
          <w:rFonts w:eastAsiaTheme="minorEastAsia"/>
          <w:b/>
          <w:kern w:val="0"/>
          <w:szCs w:val="21"/>
        </w:rPr>
        <w:t>退水口与国控断面相对位置关系表</w:t>
      </w:r>
    </w:p>
    <w:tbl>
      <w:tblPr>
        <w:tblStyle w:val="afc"/>
        <w:tblW w:w="0" w:type="auto"/>
        <w:tblBorders>
          <w:top w:val="single" w:sz="12" w:space="0" w:color="auto"/>
          <w:left w:val="none" w:sz="0" w:space="0" w:color="auto"/>
          <w:bottom w:val="single" w:sz="12" w:space="0" w:color="auto"/>
          <w:right w:val="none" w:sz="0" w:space="0" w:color="auto"/>
        </w:tblBorders>
        <w:tblLook w:val="04A0"/>
      </w:tblPr>
      <w:tblGrid>
        <w:gridCol w:w="2235"/>
        <w:gridCol w:w="1559"/>
        <w:gridCol w:w="1559"/>
        <w:gridCol w:w="3169"/>
      </w:tblGrid>
      <w:tr w:rsidR="002A5A5E" w:rsidRPr="00F9522B" w:rsidTr="00FB0E16">
        <w:tc>
          <w:tcPr>
            <w:tcW w:w="2235" w:type="dxa"/>
            <w:vAlign w:val="center"/>
          </w:tcPr>
          <w:p w:rsidR="002A5A5E" w:rsidRPr="00F9522B" w:rsidRDefault="00611CBA">
            <w:pPr>
              <w:spacing w:line="360" w:lineRule="auto"/>
              <w:jc w:val="center"/>
              <w:rPr>
                <w:szCs w:val="21"/>
              </w:rPr>
            </w:pPr>
            <w:r w:rsidRPr="00F9522B">
              <w:rPr>
                <w:szCs w:val="21"/>
              </w:rPr>
              <w:t>地表水体</w:t>
            </w:r>
          </w:p>
        </w:tc>
        <w:tc>
          <w:tcPr>
            <w:tcW w:w="1559" w:type="dxa"/>
            <w:vAlign w:val="center"/>
          </w:tcPr>
          <w:p w:rsidR="002A5A5E" w:rsidRPr="00F9522B" w:rsidRDefault="00611CBA" w:rsidP="00FB0E16">
            <w:pPr>
              <w:spacing w:line="360" w:lineRule="auto"/>
              <w:jc w:val="center"/>
              <w:rPr>
                <w:szCs w:val="21"/>
              </w:rPr>
            </w:pPr>
            <w:r w:rsidRPr="00F9522B">
              <w:rPr>
                <w:szCs w:val="21"/>
              </w:rPr>
              <w:t>退水口数量</w:t>
            </w:r>
          </w:p>
        </w:tc>
        <w:tc>
          <w:tcPr>
            <w:tcW w:w="1559" w:type="dxa"/>
            <w:shd w:val="clear" w:color="auto" w:fill="auto"/>
            <w:vAlign w:val="center"/>
          </w:tcPr>
          <w:p w:rsidR="002A5A5E" w:rsidRPr="00F9522B" w:rsidRDefault="00611CBA">
            <w:pPr>
              <w:spacing w:line="360" w:lineRule="auto"/>
              <w:jc w:val="center"/>
              <w:rPr>
                <w:szCs w:val="21"/>
              </w:rPr>
            </w:pPr>
            <w:r w:rsidRPr="00F9522B">
              <w:rPr>
                <w:szCs w:val="21"/>
              </w:rPr>
              <w:t>国控断面名称</w:t>
            </w:r>
          </w:p>
        </w:tc>
        <w:tc>
          <w:tcPr>
            <w:tcW w:w="3169" w:type="dxa"/>
            <w:vAlign w:val="center"/>
          </w:tcPr>
          <w:p w:rsidR="002A5A5E" w:rsidRPr="00F9522B" w:rsidRDefault="00611CBA">
            <w:pPr>
              <w:spacing w:line="360" w:lineRule="auto"/>
              <w:jc w:val="center"/>
              <w:rPr>
                <w:szCs w:val="21"/>
              </w:rPr>
            </w:pPr>
            <w:r w:rsidRPr="00F9522B">
              <w:rPr>
                <w:szCs w:val="21"/>
              </w:rPr>
              <w:t>退水口与国控断面相对位置关系</w:t>
            </w:r>
          </w:p>
        </w:tc>
      </w:tr>
      <w:tr w:rsidR="002A5A5E" w:rsidRPr="00F9522B" w:rsidTr="00FB0E16">
        <w:tc>
          <w:tcPr>
            <w:tcW w:w="2235" w:type="dxa"/>
            <w:vAlign w:val="center"/>
          </w:tcPr>
          <w:p w:rsidR="002A5A5E" w:rsidRPr="00F9522B" w:rsidRDefault="00C14DB3">
            <w:pPr>
              <w:spacing w:line="360" w:lineRule="auto"/>
              <w:jc w:val="center"/>
              <w:rPr>
                <w:szCs w:val="21"/>
              </w:rPr>
            </w:pPr>
            <w:r w:rsidRPr="00F9522B">
              <w:rPr>
                <w:szCs w:val="21"/>
              </w:rPr>
              <w:t>松花江</w:t>
            </w:r>
            <w:r w:rsidR="00FB0E16" w:rsidRPr="00F9522B">
              <w:rPr>
                <w:szCs w:val="21"/>
              </w:rPr>
              <w:t>（公家沟汇入）</w:t>
            </w:r>
          </w:p>
        </w:tc>
        <w:tc>
          <w:tcPr>
            <w:tcW w:w="1559" w:type="dxa"/>
            <w:vAlign w:val="center"/>
          </w:tcPr>
          <w:p w:rsidR="002A5A5E" w:rsidRPr="00F9522B" w:rsidRDefault="00FB0E16">
            <w:pPr>
              <w:spacing w:line="360" w:lineRule="auto"/>
              <w:jc w:val="center"/>
              <w:rPr>
                <w:szCs w:val="21"/>
              </w:rPr>
            </w:pPr>
            <w:r w:rsidRPr="00F9522B">
              <w:rPr>
                <w:szCs w:val="21"/>
              </w:rPr>
              <w:t>3</w:t>
            </w:r>
            <w:r w:rsidRPr="00F9522B">
              <w:rPr>
                <w:szCs w:val="21"/>
              </w:rPr>
              <w:t>个</w:t>
            </w:r>
          </w:p>
        </w:tc>
        <w:tc>
          <w:tcPr>
            <w:tcW w:w="1559" w:type="dxa"/>
            <w:shd w:val="clear" w:color="auto" w:fill="auto"/>
            <w:vAlign w:val="center"/>
          </w:tcPr>
          <w:p w:rsidR="002A5A5E" w:rsidRPr="00F9522B" w:rsidRDefault="00C14DB3">
            <w:pPr>
              <w:spacing w:line="360" w:lineRule="auto"/>
              <w:jc w:val="center"/>
              <w:rPr>
                <w:szCs w:val="21"/>
              </w:rPr>
            </w:pPr>
            <w:r w:rsidRPr="00F9522B">
              <w:rPr>
                <w:szCs w:val="21"/>
              </w:rPr>
              <w:t>大顶子山</w:t>
            </w:r>
          </w:p>
        </w:tc>
        <w:tc>
          <w:tcPr>
            <w:tcW w:w="3169" w:type="dxa"/>
            <w:vAlign w:val="center"/>
          </w:tcPr>
          <w:p w:rsidR="002A5A5E" w:rsidRPr="00F9522B" w:rsidRDefault="00611CBA" w:rsidP="00754C38">
            <w:pPr>
              <w:spacing w:line="360" w:lineRule="auto"/>
              <w:jc w:val="center"/>
              <w:rPr>
                <w:szCs w:val="21"/>
              </w:rPr>
            </w:pPr>
            <w:r w:rsidRPr="00F9522B">
              <w:rPr>
                <w:szCs w:val="21"/>
              </w:rPr>
              <w:t>位于国控断面</w:t>
            </w:r>
            <w:r w:rsidR="00413AB2" w:rsidRPr="00F9522B">
              <w:rPr>
                <w:szCs w:val="21"/>
              </w:rPr>
              <w:t>下</w:t>
            </w:r>
            <w:r w:rsidRPr="00F9522B">
              <w:rPr>
                <w:szCs w:val="21"/>
              </w:rPr>
              <w:t>游</w:t>
            </w:r>
            <w:r w:rsidR="00754C38" w:rsidRPr="00F9522B">
              <w:rPr>
                <w:szCs w:val="21"/>
              </w:rPr>
              <w:t>4</w:t>
            </w:r>
            <w:r w:rsidRPr="00F9522B">
              <w:rPr>
                <w:szCs w:val="21"/>
              </w:rPr>
              <w:t>km</w:t>
            </w:r>
          </w:p>
        </w:tc>
      </w:tr>
      <w:tr w:rsidR="002A5A5E" w:rsidRPr="00F9522B" w:rsidTr="00FB0E16">
        <w:tc>
          <w:tcPr>
            <w:tcW w:w="2235" w:type="dxa"/>
            <w:vAlign w:val="center"/>
          </w:tcPr>
          <w:p w:rsidR="002A5A5E" w:rsidRPr="00F9522B" w:rsidRDefault="00611CBA">
            <w:pPr>
              <w:spacing w:line="360" w:lineRule="auto"/>
              <w:jc w:val="center"/>
              <w:rPr>
                <w:szCs w:val="21"/>
              </w:rPr>
            </w:pPr>
            <w:r w:rsidRPr="00F9522B">
              <w:rPr>
                <w:szCs w:val="21"/>
              </w:rPr>
              <w:t>漂河</w:t>
            </w:r>
          </w:p>
        </w:tc>
        <w:tc>
          <w:tcPr>
            <w:tcW w:w="1559" w:type="dxa"/>
            <w:vAlign w:val="center"/>
          </w:tcPr>
          <w:p w:rsidR="002A5A5E" w:rsidRPr="00F9522B" w:rsidRDefault="00FB0E16">
            <w:pPr>
              <w:spacing w:line="360" w:lineRule="auto"/>
              <w:jc w:val="center"/>
              <w:rPr>
                <w:szCs w:val="21"/>
              </w:rPr>
            </w:pPr>
            <w:r w:rsidRPr="00F9522B">
              <w:rPr>
                <w:szCs w:val="21"/>
              </w:rPr>
              <w:t>2</w:t>
            </w:r>
            <w:r w:rsidRPr="00F9522B">
              <w:rPr>
                <w:szCs w:val="21"/>
              </w:rPr>
              <w:t>个</w:t>
            </w:r>
          </w:p>
        </w:tc>
        <w:tc>
          <w:tcPr>
            <w:tcW w:w="1559" w:type="dxa"/>
            <w:vAlign w:val="center"/>
          </w:tcPr>
          <w:p w:rsidR="002A5A5E" w:rsidRPr="00F9522B" w:rsidRDefault="00611CBA">
            <w:pPr>
              <w:spacing w:line="360" w:lineRule="auto"/>
              <w:jc w:val="center"/>
              <w:rPr>
                <w:szCs w:val="21"/>
              </w:rPr>
            </w:pPr>
            <w:r w:rsidRPr="00F9522B">
              <w:rPr>
                <w:szCs w:val="21"/>
              </w:rPr>
              <w:t>少陵河桥</w:t>
            </w:r>
          </w:p>
        </w:tc>
        <w:tc>
          <w:tcPr>
            <w:tcW w:w="3169" w:type="dxa"/>
            <w:vAlign w:val="center"/>
          </w:tcPr>
          <w:p w:rsidR="002A5A5E" w:rsidRPr="00F9522B" w:rsidRDefault="00611CBA" w:rsidP="00FB0E16">
            <w:pPr>
              <w:spacing w:line="360" w:lineRule="auto"/>
              <w:jc w:val="center"/>
              <w:rPr>
                <w:szCs w:val="21"/>
              </w:rPr>
            </w:pPr>
            <w:r w:rsidRPr="00F9522B">
              <w:rPr>
                <w:szCs w:val="21"/>
              </w:rPr>
              <w:t>位于国控断面上游</w:t>
            </w:r>
            <w:r w:rsidRPr="00F9522B">
              <w:rPr>
                <w:szCs w:val="21"/>
              </w:rPr>
              <w:t>2</w:t>
            </w:r>
            <w:r w:rsidR="00FB0E16" w:rsidRPr="00F9522B">
              <w:rPr>
                <w:szCs w:val="21"/>
              </w:rPr>
              <w:t>5</w:t>
            </w:r>
            <w:r w:rsidRPr="00F9522B">
              <w:rPr>
                <w:szCs w:val="21"/>
              </w:rPr>
              <w:t>km</w:t>
            </w:r>
          </w:p>
        </w:tc>
      </w:tr>
    </w:tbl>
    <w:p w:rsidR="002A5A5E" w:rsidRPr="00F9522B" w:rsidRDefault="00611CBA" w:rsidP="00FB0E16">
      <w:pPr>
        <w:rPr>
          <w:rFonts w:eastAsiaTheme="minorEastAsia"/>
          <w:bCs/>
          <w:kern w:val="0"/>
          <w:sz w:val="24"/>
          <w:szCs w:val="21"/>
        </w:rPr>
      </w:pPr>
      <w:r w:rsidRPr="00F9522B">
        <w:rPr>
          <w:rFonts w:eastAsiaTheme="minorEastAsia"/>
          <w:bCs/>
          <w:noProof/>
          <w:kern w:val="0"/>
          <w:sz w:val="24"/>
          <w:szCs w:val="21"/>
        </w:rPr>
        <w:drawing>
          <wp:anchor distT="0" distB="0" distL="114300" distR="114300" simplePos="0" relativeHeight="251791360" behindDoc="0" locked="0" layoutInCell="1" allowOverlap="1">
            <wp:simplePos x="0" y="0"/>
            <wp:positionH relativeFrom="column">
              <wp:posOffset>4778086</wp:posOffset>
            </wp:positionH>
            <wp:positionV relativeFrom="paragraph">
              <wp:posOffset>108395</wp:posOffset>
            </wp:positionV>
            <wp:extent cx="515340" cy="510639"/>
            <wp:effectExtent l="19050" t="0" r="0" b="0"/>
            <wp:wrapNone/>
            <wp:docPr id="4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37"/>
                    <pic:cNvPicPr>
                      <a:picLocks noChangeAspect="1" noChangeArrowheads="1"/>
                    </pic:cNvPicPr>
                  </pic:nvPicPr>
                  <pic:blipFill>
                    <a:blip r:embed="rId59" cstate="print"/>
                    <a:srcRect/>
                    <a:stretch>
                      <a:fillRect/>
                    </a:stretch>
                  </pic:blipFill>
                  <pic:spPr>
                    <a:xfrm>
                      <a:off x="0" y="0"/>
                      <a:ext cx="515340" cy="510639"/>
                    </a:xfrm>
                    <a:prstGeom prst="rect">
                      <a:avLst/>
                    </a:prstGeom>
                    <a:noFill/>
                    <a:ln w="9525">
                      <a:noFill/>
                      <a:miter lim="800000"/>
                      <a:headEnd/>
                      <a:tailEnd/>
                    </a:ln>
                  </pic:spPr>
                </pic:pic>
              </a:graphicData>
            </a:graphic>
          </wp:anchor>
        </w:drawing>
      </w:r>
      <w:r w:rsidRPr="00F9522B">
        <w:rPr>
          <w:rFonts w:eastAsiaTheme="minorEastAsia"/>
          <w:bCs/>
          <w:noProof/>
          <w:kern w:val="0"/>
          <w:sz w:val="24"/>
          <w:szCs w:val="21"/>
        </w:rPr>
        <w:drawing>
          <wp:anchor distT="0" distB="0" distL="114300" distR="114300" simplePos="0" relativeHeight="251790336" behindDoc="0" locked="0" layoutInCell="1" allowOverlap="1">
            <wp:simplePos x="0" y="0"/>
            <wp:positionH relativeFrom="column">
              <wp:posOffset>704850</wp:posOffset>
            </wp:positionH>
            <wp:positionV relativeFrom="paragraph">
              <wp:posOffset>3443605</wp:posOffset>
            </wp:positionV>
            <wp:extent cx="161925" cy="163830"/>
            <wp:effectExtent l="19050" t="0" r="9345" b="0"/>
            <wp:wrapNone/>
            <wp:docPr id="1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3"/>
                    <pic:cNvPicPr>
                      <a:picLocks noChangeAspect="1" noChangeArrowheads="1"/>
                    </pic:cNvPicPr>
                  </pic:nvPicPr>
                  <pic:blipFill>
                    <a:blip r:embed="rId60"/>
                    <a:srcRect/>
                    <a:stretch>
                      <a:fillRect/>
                    </a:stretch>
                  </pic:blipFill>
                  <pic:spPr>
                    <a:xfrm>
                      <a:off x="0" y="0"/>
                      <a:ext cx="162105" cy="163902"/>
                    </a:xfrm>
                    <a:prstGeom prst="rect">
                      <a:avLst/>
                    </a:prstGeom>
                    <a:noFill/>
                    <a:ln w="9525">
                      <a:noFill/>
                      <a:miter lim="800000"/>
                      <a:headEnd/>
                      <a:tailEnd/>
                    </a:ln>
                  </pic:spPr>
                </pic:pic>
              </a:graphicData>
            </a:graphic>
          </wp:anchor>
        </w:drawing>
      </w:r>
      <w:r w:rsidR="005273A1">
        <w:rPr>
          <w:rFonts w:eastAsiaTheme="minorEastAsia"/>
          <w:bCs/>
          <w:kern w:val="0"/>
          <w:sz w:val="24"/>
          <w:szCs w:val="21"/>
        </w:rPr>
        <w:pict>
          <v:shape id="_x0000_s697104" type="#_x0000_t202" style="position:absolute;left:0;text-align:left;margin-left:2.9pt;margin-top:241.85pt;width:76.05pt;height:45.7pt;z-index:251776000;mso-position-horizontal-relative:text;mso-position-vertical-relative:text">
            <v:textbox>
              <w:txbxContent>
                <w:p w:rsidR="000D2D13" w:rsidRDefault="000D2D13">
                  <w:pPr>
                    <w:spacing w:line="0" w:lineRule="atLeast"/>
                    <w:jc w:val="center"/>
                    <w:rPr>
                      <w:sz w:val="15"/>
                      <w:szCs w:val="15"/>
                    </w:rPr>
                  </w:pPr>
                  <w:r>
                    <w:rPr>
                      <w:rFonts w:hint="eastAsia"/>
                      <w:sz w:val="15"/>
                      <w:szCs w:val="15"/>
                    </w:rPr>
                    <w:t>图例</w:t>
                  </w:r>
                </w:p>
                <w:p w:rsidR="000D2D13" w:rsidRDefault="000D2D13">
                  <w:pPr>
                    <w:spacing w:line="0" w:lineRule="atLeast"/>
                    <w:jc w:val="left"/>
                    <w:rPr>
                      <w:sz w:val="15"/>
                      <w:szCs w:val="15"/>
                    </w:rPr>
                  </w:pPr>
                  <w:r>
                    <w:rPr>
                      <w:sz w:val="15"/>
                      <w:szCs w:val="15"/>
                    </w:rPr>
                    <w:t>入河排污口</w:t>
                  </w:r>
                  <w:r>
                    <w:rPr>
                      <w:rFonts w:hint="eastAsia"/>
                      <w:sz w:val="15"/>
                      <w:szCs w:val="15"/>
                    </w:rPr>
                    <w:t>：</w:t>
                  </w:r>
                  <w:r>
                    <w:rPr>
                      <w:noProof/>
                      <w:sz w:val="15"/>
                      <w:szCs w:val="15"/>
                    </w:rPr>
                    <w:drawing>
                      <wp:inline distT="0" distB="0" distL="0" distR="0">
                        <wp:extent cx="135890" cy="149860"/>
                        <wp:effectExtent l="19050" t="0" r="0" b="0"/>
                        <wp:docPr id="86"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37"/>
                                <pic:cNvPicPr>
                                  <a:picLocks noChangeAspect="1" noChangeArrowheads="1"/>
                                </pic:cNvPicPr>
                              </pic:nvPicPr>
                              <pic:blipFill>
                                <a:blip r:embed="rId61"/>
                                <a:srcRect/>
                                <a:stretch>
                                  <a:fillRect/>
                                </a:stretch>
                              </pic:blipFill>
                              <pic:spPr>
                                <a:xfrm>
                                  <a:off x="0" y="0"/>
                                  <a:ext cx="140213" cy="154289"/>
                                </a:xfrm>
                                <a:prstGeom prst="rect">
                                  <a:avLst/>
                                </a:prstGeom>
                                <a:noFill/>
                                <a:ln w="9525">
                                  <a:noFill/>
                                  <a:miter lim="800000"/>
                                  <a:headEnd/>
                                  <a:tailEnd/>
                                </a:ln>
                              </pic:spPr>
                            </pic:pic>
                          </a:graphicData>
                        </a:graphic>
                      </wp:inline>
                    </w:drawing>
                  </w:r>
                </w:p>
                <w:p w:rsidR="000D2D13" w:rsidRDefault="000D2D13">
                  <w:pPr>
                    <w:rPr>
                      <w:sz w:val="15"/>
                      <w:szCs w:val="15"/>
                    </w:rPr>
                  </w:pPr>
                  <w:r>
                    <w:rPr>
                      <w:sz w:val="15"/>
                      <w:szCs w:val="15"/>
                    </w:rPr>
                    <w:t>国控断面：</w:t>
                  </w:r>
                </w:p>
              </w:txbxContent>
            </v:textbox>
          </v:shape>
        </w:pict>
      </w:r>
      <w:r w:rsidR="00FB0E16" w:rsidRPr="00F9522B">
        <w:rPr>
          <w:rFonts w:eastAsiaTheme="minorEastAsia"/>
          <w:bCs/>
          <w:noProof/>
          <w:kern w:val="0"/>
          <w:sz w:val="24"/>
          <w:szCs w:val="21"/>
        </w:rPr>
        <w:drawing>
          <wp:inline distT="0" distB="0" distL="0" distR="0">
            <wp:extent cx="5274310" cy="3576623"/>
            <wp:effectExtent l="19050" t="19050" r="21590" b="23827"/>
            <wp:docPr id="2407"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2"/>
                    <a:srcRect/>
                    <a:stretch>
                      <a:fillRect/>
                    </a:stretch>
                  </pic:blipFill>
                  <pic:spPr bwMode="auto">
                    <a:xfrm>
                      <a:off x="0" y="0"/>
                      <a:ext cx="5274310" cy="3576623"/>
                    </a:xfrm>
                    <a:prstGeom prst="rect">
                      <a:avLst/>
                    </a:prstGeom>
                    <a:noFill/>
                    <a:ln w="9525">
                      <a:solidFill>
                        <a:schemeClr val="tx1"/>
                      </a:solidFill>
                      <a:miter lim="800000"/>
                      <a:headEnd/>
                      <a:tailEnd/>
                    </a:ln>
                  </pic:spPr>
                </pic:pic>
              </a:graphicData>
            </a:graphic>
          </wp:inline>
        </w:drawing>
      </w:r>
    </w:p>
    <w:p w:rsidR="002A5A5E" w:rsidRPr="00F9522B" w:rsidRDefault="00611CBA" w:rsidP="00FB0E16">
      <w:pPr>
        <w:ind w:firstLineChars="200" w:firstLine="422"/>
        <w:jc w:val="center"/>
        <w:rPr>
          <w:rFonts w:eastAsiaTheme="minorEastAsia"/>
          <w:b/>
          <w:szCs w:val="21"/>
        </w:rPr>
      </w:pPr>
      <w:r w:rsidRPr="00F9522B">
        <w:rPr>
          <w:rFonts w:eastAsiaTheme="minorEastAsia"/>
          <w:b/>
          <w:szCs w:val="21"/>
        </w:rPr>
        <w:t>图</w:t>
      </w:r>
      <w:r w:rsidRPr="00F9522B">
        <w:rPr>
          <w:rFonts w:eastAsiaTheme="minorEastAsia"/>
          <w:b/>
          <w:szCs w:val="21"/>
        </w:rPr>
        <w:t>4-2-</w:t>
      </w:r>
      <w:r w:rsidR="00565A50" w:rsidRPr="00F9522B">
        <w:rPr>
          <w:rFonts w:eastAsiaTheme="minorEastAsia"/>
          <w:b/>
          <w:szCs w:val="21"/>
        </w:rPr>
        <w:t>4</w:t>
      </w:r>
      <w:r w:rsidRPr="00F9522B">
        <w:rPr>
          <w:rFonts w:eastAsiaTheme="minorEastAsia"/>
          <w:b/>
          <w:szCs w:val="21"/>
        </w:rPr>
        <w:t xml:space="preserve"> </w:t>
      </w:r>
      <w:r w:rsidRPr="00F9522B">
        <w:rPr>
          <w:rFonts w:eastAsiaTheme="minorEastAsia"/>
          <w:b/>
          <w:szCs w:val="21"/>
        </w:rPr>
        <w:t>本项目退水口与国控断面位置关系图</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根据黑龙江省哈尔滨生态环境监测中心出具的《</w:t>
      </w:r>
      <w:r w:rsidRPr="00F9522B">
        <w:rPr>
          <w:rFonts w:eastAsiaTheme="minorEastAsia"/>
          <w:bCs/>
          <w:sz w:val="24"/>
        </w:rPr>
        <w:t>哈尔滨市水环境质量月报</w:t>
      </w:r>
      <w:r w:rsidRPr="00F9522B">
        <w:rPr>
          <w:rFonts w:eastAsiaTheme="minorEastAsia"/>
          <w:sz w:val="24"/>
        </w:rPr>
        <w:t>》对国控断面水质的例行监测情况，列表如下：</w:t>
      </w:r>
    </w:p>
    <w:p w:rsidR="0079103B" w:rsidRPr="00F9522B" w:rsidRDefault="0079103B">
      <w:pPr>
        <w:contextualSpacing/>
        <w:jc w:val="center"/>
        <w:rPr>
          <w:rFonts w:eastAsiaTheme="minorEastAsia"/>
          <w:b/>
          <w:kern w:val="0"/>
          <w:szCs w:val="21"/>
        </w:rPr>
      </w:pPr>
    </w:p>
    <w:p w:rsidR="0079103B" w:rsidRPr="00F9522B" w:rsidRDefault="0079103B">
      <w:pPr>
        <w:contextualSpacing/>
        <w:jc w:val="center"/>
        <w:rPr>
          <w:rFonts w:eastAsiaTheme="minorEastAsia"/>
          <w:b/>
          <w:kern w:val="0"/>
          <w:szCs w:val="21"/>
        </w:rPr>
      </w:pPr>
    </w:p>
    <w:p w:rsidR="0079103B" w:rsidRPr="00F9522B" w:rsidRDefault="0079103B">
      <w:pPr>
        <w:contextualSpacing/>
        <w:jc w:val="center"/>
        <w:rPr>
          <w:rFonts w:eastAsiaTheme="minorEastAsia"/>
          <w:b/>
          <w:kern w:val="0"/>
          <w:szCs w:val="21"/>
        </w:rPr>
      </w:pPr>
    </w:p>
    <w:p w:rsidR="0079103B" w:rsidRPr="00F9522B" w:rsidRDefault="0079103B">
      <w:pPr>
        <w:contextualSpacing/>
        <w:jc w:val="center"/>
        <w:rPr>
          <w:rFonts w:eastAsiaTheme="minorEastAsia"/>
          <w:b/>
          <w:kern w:val="0"/>
          <w:szCs w:val="21"/>
        </w:rPr>
      </w:pPr>
    </w:p>
    <w:p w:rsidR="0079103B" w:rsidRPr="00F9522B" w:rsidRDefault="0079103B">
      <w:pPr>
        <w:contextualSpacing/>
        <w:jc w:val="center"/>
        <w:rPr>
          <w:rFonts w:eastAsiaTheme="minorEastAsia"/>
          <w:b/>
          <w:kern w:val="0"/>
          <w:szCs w:val="21"/>
        </w:rPr>
      </w:pPr>
    </w:p>
    <w:p w:rsidR="0079103B" w:rsidRPr="00F9522B" w:rsidRDefault="0079103B">
      <w:pPr>
        <w:contextualSpacing/>
        <w:jc w:val="center"/>
        <w:rPr>
          <w:rFonts w:eastAsiaTheme="minorEastAsia"/>
          <w:b/>
          <w:kern w:val="0"/>
          <w:szCs w:val="21"/>
        </w:rPr>
      </w:pPr>
    </w:p>
    <w:p w:rsidR="0079103B" w:rsidRPr="00F9522B" w:rsidRDefault="0079103B">
      <w:pPr>
        <w:contextualSpacing/>
        <w:jc w:val="center"/>
        <w:rPr>
          <w:rFonts w:eastAsiaTheme="minorEastAsia"/>
          <w:b/>
          <w:kern w:val="0"/>
          <w:szCs w:val="21"/>
        </w:rPr>
      </w:pPr>
    </w:p>
    <w:p w:rsidR="0088710B" w:rsidRPr="00F9522B" w:rsidRDefault="0088710B">
      <w:pPr>
        <w:contextualSpacing/>
        <w:jc w:val="center"/>
        <w:rPr>
          <w:rFonts w:eastAsiaTheme="minorEastAsia"/>
          <w:b/>
          <w:kern w:val="0"/>
          <w:szCs w:val="21"/>
        </w:rPr>
      </w:pPr>
    </w:p>
    <w:p w:rsidR="0088710B" w:rsidRPr="00F9522B" w:rsidRDefault="0088710B">
      <w:pPr>
        <w:contextualSpacing/>
        <w:jc w:val="center"/>
        <w:rPr>
          <w:rFonts w:eastAsiaTheme="minorEastAsia"/>
          <w:b/>
          <w:kern w:val="0"/>
          <w:szCs w:val="21"/>
        </w:rPr>
      </w:pPr>
    </w:p>
    <w:p w:rsidR="0088710B" w:rsidRPr="00F9522B" w:rsidRDefault="0088710B">
      <w:pPr>
        <w:contextualSpacing/>
        <w:jc w:val="center"/>
        <w:rPr>
          <w:rFonts w:eastAsiaTheme="minorEastAsia"/>
          <w:b/>
          <w:kern w:val="0"/>
          <w:szCs w:val="21"/>
        </w:rPr>
      </w:pPr>
    </w:p>
    <w:p w:rsidR="0079103B" w:rsidRPr="00F9522B" w:rsidRDefault="0079103B">
      <w:pPr>
        <w:contextualSpacing/>
        <w:jc w:val="center"/>
        <w:rPr>
          <w:rFonts w:eastAsiaTheme="minorEastAsia"/>
          <w:b/>
          <w:kern w:val="0"/>
          <w:szCs w:val="21"/>
        </w:rPr>
      </w:pPr>
    </w:p>
    <w:p w:rsidR="0079103B" w:rsidRPr="00F9522B" w:rsidRDefault="0079103B">
      <w:pPr>
        <w:contextualSpacing/>
        <w:jc w:val="center"/>
        <w:rPr>
          <w:rFonts w:eastAsiaTheme="minorEastAsia"/>
          <w:b/>
          <w:kern w:val="0"/>
          <w:szCs w:val="21"/>
        </w:rPr>
      </w:pPr>
    </w:p>
    <w:p w:rsidR="0079103B" w:rsidRPr="00F9522B" w:rsidRDefault="0079103B">
      <w:pPr>
        <w:contextualSpacing/>
        <w:jc w:val="center"/>
        <w:rPr>
          <w:rFonts w:eastAsiaTheme="minorEastAsia"/>
          <w:b/>
          <w:kern w:val="0"/>
          <w:szCs w:val="21"/>
        </w:rPr>
      </w:pPr>
    </w:p>
    <w:p w:rsidR="0079103B" w:rsidRPr="00F9522B" w:rsidRDefault="0079103B">
      <w:pPr>
        <w:contextualSpacing/>
        <w:jc w:val="center"/>
        <w:rPr>
          <w:rFonts w:eastAsiaTheme="minorEastAsia"/>
          <w:b/>
          <w:kern w:val="0"/>
          <w:szCs w:val="21"/>
        </w:rPr>
      </w:pPr>
    </w:p>
    <w:p w:rsidR="002A5A5E" w:rsidRPr="00F9522B" w:rsidRDefault="00611CBA">
      <w:pPr>
        <w:contextualSpacing/>
        <w:jc w:val="center"/>
        <w:rPr>
          <w:rFonts w:eastAsiaTheme="minorEastAsia"/>
          <w:b/>
          <w:kern w:val="0"/>
          <w:szCs w:val="21"/>
        </w:rPr>
      </w:pPr>
      <w:r w:rsidRPr="00F9522B">
        <w:rPr>
          <w:rFonts w:eastAsiaTheme="minorEastAsia"/>
          <w:b/>
          <w:kern w:val="0"/>
          <w:szCs w:val="21"/>
        </w:rPr>
        <w:lastRenderedPageBreak/>
        <w:t>表</w:t>
      </w:r>
      <w:r w:rsidRPr="00F9522B">
        <w:rPr>
          <w:rFonts w:eastAsiaTheme="minorEastAsia"/>
          <w:b/>
          <w:kern w:val="0"/>
          <w:szCs w:val="21"/>
        </w:rPr>
        <w:t>4-2-6</w:t>
      </w:r>
      <w:r w:rsidR="00C14DB3" w:rsidRPr="00F9522B">
        <w:rPr>
          <w:rFonts w:eastAsiaTheme="minorEastAsia"/>
          <w:b/>
          <w:kern w:val="0"/>
          <w:szCs w:val="21"/>
        </w:rPr>
        <w:t>大顶子山</w:t>
      </w:r>
      <w:r w:rsidRPr="00F9522B">
        <w:rPr>
          <w:rFonts w:eastAsiaTheme="minorEastAsia"/>
          <w:b/>
          <w:kern w:val="0"/>
          <w:szCs w:val="21"/>
        </w:rPr>
        <w:t>（国控断面）水质状况一览表</w:t>
      </w:r>
    </w:p>
    <w:tbl>
      <w:tblPr>
        <w:tblW w:w="5007" w:type="pct"/>
        <w:jc w:val="center"/>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tblPr>
      <w:tblGrid>
        <w:gridCol w:w="1065"/>
        <w:gridCol w:w="1043"/>
        <w:gridCol w:w="3264"/>
        <w:gridCol w:w="1479"/>
        <w:gridCol w:w="1479"/>
      </w:tblGrid>
      <w:tr w:rsidR="002A5A5E" w:rsidRPr="00F9522B" w:rsidTr="00C92D94">
        <w:trPr>
          <w:trHeight w:val="158"/>
          <w:tblHeader/>
          <w:jc w:val="center"/>
        </w:trPr>
        <w:tc>
          <w:tcPr>
            <w:tcW w:w="639" w:type="pct"/>
            <w:shd w:val="clear" w:color="auto" w:fill="auto"/>
            <w:tcMar>
              <w:top w:w="12" w:type="dxa"/>
              <w:left w:w="12" w:type="dxa"/>
              <w:right w:w="12" w:type="dxa"/>
            </w:tcMar>
            <w:vAlign w:val="center"/>
          </w:tcPr>
          <w:p w:rsidR="002A5A5E" w:rsidRPr="00F9522B" w:rsidRDefault="00611CBA">
            <w:pPr>
              <w:widowControl/>
              <w:spacing w:line="0" w:lineRule="atLeast"/>
              <w:jc w:val="center"/>
              <w:textAlignment w:val="center"/>
              <w:rPr>
                <w:rFonts w:eastAsiaTheme="minorEastAsia"/>
                <w:kern w:val="0"/>
                <w:szCs w:val="21"/>
              </w:rPr>
            </w:pPr>
            <w:r w:rsidRPr="00F9522B">
              <w:rPr>
                <w:rFonts w:eastAsiaTheme="minorEastAsia"/>
                <w:kern w:val="0"/>
                <w:szCs w:val="21"/>
              </w:rPr>
              <w:t>断面名称</w:t>
            </w:r>
          </w:p>
        </w:tc>
        <w:tc>
          <w:tcPr>
            <w:tcW w:w="626" w:type="pct"/>
            <w:shd w:val="clear" w:color="auto" w:fill="auto"/>
            <w:tcMar>
              <w:top w:w="12" w:type="dxa"/>
              <w:left w:w="12" w:type="dxa"/>
              <w:right w:w="12" w:type="dxa"/>
            </w:tcMar>
            <w:vAlign w:val="center"/>
          </w:tcPr>
          <w:p w:rsidR="002A5A5E" w:rsidRPr="00F9522B" w:rsidRDefault="00611CBA">
            <w:pPr>
              <w:widowControl/>
              <w:spacing w:line="0" w:lineRule="atLeast"/>
              <w:jc w:val="center"/>
              <w:textAlignment w:val="center"/>
              <w:rPr>
                <w:rFonts w:eastAsiaTheme="minorEastAsia"/>
                <w:kern w:val="0"/>
                <w:szCs w:val="21"/>
              </w:rPr>
            </w:pPr>
            <w:r w:rsidRPr="00F9522B">
              <w:rPr>
                <w:rFonts w:eastAsiaTheme="minorEastAsia"/>
                <w:kern w:val="0"/>
                <w:szCs w:val="21"/>
              </w:rPr>
              <w:t>考核目标</w:t>
            </w:r>
          </w:p>
        </w:tc>
        <w:tc>
          <w:tcPr>
            <w:tcW w:w="1959" w:type="pct"/>
            <w:tcMar>
              <w:top w:w="12" w:type="dxa"/>
              <w:left w:w="12" w:type="dxa"/>
              <w:right w:w="12" w:type="dxa"/>
            </w:tcMar>
            <w:vAlign w:val="center"/>
          </w:tcPr>
          <w:p w:rsidR="002A5A5E" w:rsidRPr="00F9522B" w:rsidRDefault="00611CBA">
            <w:pPr>
              <w:widowControl/>
              <w:spacing w:line="0" w:lineRule="atLeast"/>
              <w:jc w:val="center"/>
              <w:textAlignment w:val="center"/>
              <w:rPr>
                <w:rFonts w:eastAsiaTheme="minorEastAsia"/>
                <w:kern w:val="0"/>
                <w:szCs w:val="21"/>
              </w:rPr>
            </w:pPr>
            <w:r w:rsidRPr="00F9522B">
              <w:rPr>
                <w:rFonts w:eastAsiaTheme="minorEastAsia"/>
                <w:kern w:val="0"/>
                <w:szCs w:val="21"/>
              </w:rPr>
              <w:t>时段</w:t>
            </w:r>
          </w:p>
        </w:tc>
        <w:tc>
          <w:tcPr>
            <w:tcW w:w="888" w:type="pct"/>
            <w:shd w:val="clear" w:color="auto" w:fill="auto"/>
            <w:tcMar>
              <w:top w:w="12" w:type="dxa"/>
              <w:left w:w="12" w:type="dxa"/>
              <w:right w:w="12" w:type="dxa"/>
            </w:tcMar>
            <w:vAlign w:val="center"/>
          </w:tcPr>
          <w:p w:rsidR="002A5A5E" w:rsidRPr="00F9522B" w:rsidRDefault="00611CBA">
            <w:pPr>
              <w:widowControl/>
              <w:spacing w:line="0" w:lineRule="atLeast"/>
              <w:jc w:val="center"/>
              <w:textAlignment w:val="center"/>
              <w:rPr>
                <w:rFonts w:eastAsiaTheme="minorEastAsia"/>
                <w:kern w:val="0"/>
                <w:szCs w:val="21"/>
              </w:rPr>
            </w:pPr>
            <w:r w:rsidRPr="00F9522B">
              <w:rPr>
                <w:rFonts w:eastAsiaTheme="minorEastAsia"/>
                <w:kern w:val="0"/>
                <w:szCs w:val="21"/>
              </w:rPr>
              <w:t>水质类别</w:t>
            </w:r>
          </w:p>
        </w:tc>
        <w:tc>
          <w:tcPr>
            <w:tcW w:w="888" w:type="pct"/>
            <w:vAlign w:val="center"/>
          </w:tcPr>
          <w:p w:rsidR="002A5A5E" w:rsidRPr="00F9522B" w:rsidRDefault="00611CBA">
            <w:pPr>
              <w:widowControl/>
              <w:spacing w:line="0" w:lineRule="atLeast"/>
              <w:jc w:val="center"/>
              <w:textAlignment w:val="center"/>
              <w:rPr>
                <w:rFonts w:eastAsiaTheme="minorEastAsia"/>
                <w:kern w:val="0"/>
                <w:szCs w:val="21"/>
              </w:rPr>
            </w:pPr>
            <w:r w:rsidRPr="00F9522B">
              <w:rPr>
                <w:rFonts w:eastAsiaTheme="minorEastAsia"/>
                <w:kern w:val="0"/>
                <w:szCs w:val="21"/>
              </w:rPr>
              <w:t>达标情况</w:t>
            </w:r>
          </w:p>
        </w:tc>
      </w:tr>
      <w:tr w:rsidR="008510CF" w:rsidRPr="00F9522B" w:rsidTr="00C92D94">
        <w:trPr>
          <w:trHeight w:val="272"/>
          <w:jc w:val="center"/>
        </w:trPr>
        <w:tc>
          <w:tcPr>
            <w:tcW w:w="639" w:type="pct"/>
            <w:vMerge w:val="restart"/>
            <w:shd w:val="clear" w:color="auto" w:fill="auto"/>
            <w:tcMar>
              <w:top w:w="12" w:type="dxa"/>
              <w:left w:w="12" w:type="dxa"/>
              <w:right w:w="12" w:type="dxa"/>
            </w:tcMar>
            <w:vAlign w:val="center"/>
          </w:tcPr>
          <w:p w:rsidR="008510CF" w:rsidRPr="00F9522B" w:rsidRDefault="008510CF" w:rsidP="00773236">
            <w:pPr>
              <w:spacing w:line="0" w:lineRule="atLeast"/>
              <w:jc w:val="center"/>
              <w:textAlignment w:val="center"/>
              <w:rPr>
                <w:rFonts w:eastAsiaTheme="minorEastAsia"/>
                <w:kern w:val="0"/>
                <w:szCs w:val="21"/>
              </w:rPr>
            </w:pPr>
            <w:r w:rsidRPr="00F9522B">
              <w:rPr>
                <w:rFonts w:eastAsiaTheme="minorEastAsia"/>
                <w:kern w:val="0"/>
                <w:szCs w:val="21"/>
              </w:rPr>
              <w:t>大顶子山</w:t>
            </w:r>
          </w:p>
        </w:tc>
        <w:tc>
          <w:tcPr>
            <w:tcW w:w="626" w:type="pct"/>
            <w:vMerge w:val="restart"/>
            <w:shd w:val="clear" w:color="auto" w:fill="auto"/>
            <w:tcMar>
              <w:top w:w="12" w:type="dxa"/>
              <w:left w:w="12" w:type="dxa"/>
              <w:right w:w="12" w:type="dxa"/>
            </w:tcMar>
            <w:vAlign w:val="center"/>
          </w:tcPr>
          <w:p w:rsidR="008510CF" w:rsidRPr="00F9522B" w:rsidRDefault="008510CF" w:rsidP="00773236">
            <w:pPr>
              <w:spacing w:line="0" w:lineRule="atLeast"/>
              <w:jc w:val="center"/>
              <w:textAlignment w:val="center"/>
              <w:rPr>
                <w:rFonts w:eastAsiaTheme="minorEastAsia"/>
                <w:kern w:val="0"/>
                <w:szCs w:val="21"/>
              </w:rPr>
            </w:pPr>
            <w:r w:rsidRPr="00F9522B">
              <w:rPr>
                <w:rFonts w:eastAsiaTheme="minorEastAsia"/>
                <w:kern w:val="0"/>
                <w:szCs w:val="21"/>
              </w:rPr>
              <w:t>Ⅲ</w:t>
            </w:r>
            <w:r w:rsidRPr="00F9522B">
              <w:rPr>
                <w:rFonts w:eastAsiaTheme="minorEastAsia"/>
                <w:kern w:val="0"/>
                <w:szCs w:val="21"/>
              </w:rPr>
              <w:t>类</w:t>
            </w:r>
          </w:p>
        </w:tc>
        <w:tc>
          <w:tcPr>
            <w:tcW w:w="1959" w:type="pct"/>
            <w:tcMar>
              <w:top w:w="12" w:type="dxa"/>
              <w:left w:w="12" w:type="dxa"/>
              <w:right w:w="12" w:type="dxa"/>
            </w:tcMar>
            <w:vAlign w:val="center"/>
          </w:tcPr>
          <w:p w:rsidR="008510CF" w:rsidRPr="00F9522B" w:rsidRDefault="008510CF" w:rsidP="00773236">
            <w:pPr>
              <w:spacing w:line="0" w:lineRule="atLeast"/>
              <w:jc w:val="center"/>
              <w:rPr>
                <w:rFonts w:eastAsiaTheme="minorEastAsia"/>
                <w:kern w:val="0"/>
                <w:szCs w:val="21"/>
              </w:rPr>
            </w:pPr>
            <w:r w:rsidRPr="00F9522B">
              <w:rPr>
                <w:rFonts w:eastAsiaTheme="minorEastAsia"/>
                <w:kern w:val="0"/>
                <w:szCs w:val="21"/>
              </w:rPr>
              <w:t>2025</w:t>
            </w:r>
            <w:r w:rsidRPr="00F9522B">
              <w:rPr>
                <w:rFonts w:eastAsiaTheme="minorEastAsia"/>
                <w:kern w:val="0"/>
                <w:szCs w:val="21"/>
              </w:rPr>
              <w:t>年</w:t>
            </w:r>
            <w:r w:rsidRPr="00F9522B">
              <w:rPr>
                <w:rFonts w:eastAsiaTheme="minorEastAsia"/>
                <w:kern w:val="0"/>
                <w:szCs w:val="21"/>
              </w:rPr>
              <w:t>1</w:t>
            </w:r>
            <w:r w:rsidRPr="00F9522B">
              <w:rPr>
                <w:rFonts w:eastAsiaTheme="minorEastAsia"/>
                <w:kern w:val="0"/>
                <w:szCs w:val="21"/>
              </w:rPr>
              <w:t>月</w:t>
            </w:r>
          </w:p>
        </w:tc>
        <w:tc>
          <w:tcPr>
            <w:tcW w:w="888" w:type="pct"/>
            <w:shd w:val="clear" w:color="auto" w:fill="auto"/>
            <w:tcMar>
              <w:top w:w="12" w:type="dxa"/>
              <w:left w:w="12" w:type="dxa"/>
              <w:right w:w="12" w:type="dxa"/>
            </w:tcMar>
            <w:vAlign w:val="center"/>
          </w:tcPr>
          <w:p w:rsidR="008510CF" w:rsidRPr="00F9522B" w:rsidRDefault="005273A1" w:rsidP="00773236">
            <w:pPr>
              <w:widowControl/>
              <w:spacing w:line="0" w:lineRule="atLeast"/>
              <w:jc w:val="center"/>
              <w:textAlignment w:val="center"/>
              <w:rPr>
                <w:rFonts w:eastAsiaTheme="minorEastAsia"/>
                <w:kern w:val="0"/>
                <w:szCs w:val="21"/>
              </w:rPr>
            </w:pPr>
            <w:r w:rsidRPr="00F9522B">
              <w:rPr>
                <w:rFonts w:eastAsiaTheme="minorEastAsia"/>
                <w:kern w:val="0"/>
                <w:szCs w:val="21"/>
              </w:rPr>
              <w:fldChar w:fldCharType="begin"/>
            </w:r>
            <w:r w:rsidR="00DA1F1B" w:rsidRPr="00F9522B">
              <w:rPr>
                <w:rFonts w:eastAsiaTheme="minorEastAsia"/>
                <w:kern w:val="0"/>
                <w:szCs w:val="21"/>
              </w:rPr>
              <w:instrText xml:space="preserve"> = 2 \* ROMAN </w:instrText>
            </w:r>
            <w:r w:rsidRPr="00F9522B">
              <w:rPr>
                <w:rFonts w:eastAsiaTheme="minorEastAsia"/>
                <w:kern w:val="0"/>
                <w:szCs w:val="21"/>
              </w:rPr>
              <w:fldChar w:fldCharType="separate"/>
            </w:r>
            <w:r w:rsidR="00DA1F1B" w:rsidRPr="00F9522B">
              <w:rPr>
                <w:rFonts w:eastAsiaTheme="minorEastAsia"/>
                <w:noProof/>
                <w:kern w:val="0"/>
                <w:szCs w:val="21"/>
              </w:rPr>
              <w:t>II</w:t>
            </w:r>
            <w:r w:rsidRPr="00F9522B">
              <w:rPr>
                <w:rFonts w:eastAsiaTheme="minorEastAsia"/>
                <w:kern w:val="0"/>
                <w:szCs w:val="21"/>
              </w:rPr>
              <w:fldChar w:fldCharType="end"/>
            </w:r>
            <w:r w:rsidR="008510CF" w:rsidRPr="00F9522B">
              <w:rPr>
                <w:rFonts w:eastAsiaTheme="minorEastAsia"/>
                <w:kern w:val="0"/>
                <w:szCs w:val="21"/>
              </w:rPr>
              <w:t>类</w:t>
            </w:r>
          </w:p>
        </w:tc>
        <w:tc>
          <w:tcPr>
            <w:tcW w:w="888" w:type="pct"/>
            <w:vAlign w:val="center"/>
          </w:tcPr>
          <w:p w:rsidR="008510CF" w:rsidRPr="00F9522B" w:rsidRDefault="008510CF" w:rsidP="00773236">
            <w:pPr>
              <w:spacing w:line="0" w:lineRule="atLeast"/>
              <w:jc w:val="center"/>
              <w:rPr>
                <w:szCs w:val="21"/>
              </w:rPr>
            </w:pPr>
            <w:r w:rsidRPr="00F9522B">
              <w:rPr>
                <w:rFonts w:eastAsiaTheme="minorEastAsia"/>
                <w:kern w:val="0"/>
                <w:szCs w:val="21"/>
              </w:rPr>
              <w:t>达标</w:t>
            </w:r>
          </w:p>
        </w:tc>
      </w:tr>
      <w:tr w:rsidR="008510CF" w:rsidRPr="00F9522B" w:rsidTr="00C92D94">
        <w:trPr>
          <w:trHeight w:val="272"/>
          <w:jc w:val="center"/>
        </w:trPr>
        <w:tc>
          <w:tcPr>
            <w:tcW w:w="639" w:type="pct"/>
            <w:vMerge/>
            <w:shd w:val="clear" w:color="auto" w:fill="auto"/>
            <w:tcMar>
              <w:top w:w="12" w:type="dxa"/>
              <w:left w:w="12" w:type="dxa"/>
              <w:right w:w="12" w:type="dxa"/>
            </w:tcMar>
            <w:vAlign w:val="center"/>
          </w:tcPr>
          <w:p w:rsidR="008510CF" w:rsidRPr="00F9522B" w:rsidRDefault="008510CF" w:rsidP="00773236">
            <w:pPr>
              <w:spacing w:line="0" w:lineRule="atLeast"/>
              <w:jc w:val="center"/>
              <w:textAlignment w:val="center"/>
              <w:rPr>
                <w:rFonts w:eastAsiaTheme="minorEastAsia"/>
                <w:kern w:val="0"/>
                <w:szCs w:val="21"/>
              </w:rPr>
            </w:pPr>
          </w:p>
        </w:tc>
        <w:tc>
          <w:tcPr>
            <w:tcW w:w="626" w:type="pct"/>
            <w:vMerge/>
            <w:shd w:val="clear" w:color="auto" w:fill="auto"/>
            <w:tcMar>
              <w:top w:w="12" w:type="dxa"/>
              <w:left w:w="12" w:type="dxa"/>
              <w:right w:w="12" w:type="dxa"/>
            </w:tcMar>
            <w:vAlign w:val="center"/>
          </w:tcPr>
          <w:p w:rsidR="008510CF" w:rsidRPr="00F9522B" w:rsidRDefault="008510CF" w:rsidP="00773236">
            <w:pPr>
              <w:spacing w:line="0" w:lineRule="atLeast"/>
              <w:jc w:val="center"/>
              <w:textAlignment w:val="center"/>
              <w:rPr>
                <w:rFonts w:eastAsiaTheme="minorEastAsia"/>
                <w:kern w:val="0"/>
                <w:szCs w:val="21"/>
              </w:rPr>
            </w:pPr>
          </w:p>
        </w:tc>
        <w:tc>
          <w:tcPr>
            <w:tcW w:w="1959" w:type="pct"/>
            <w:tcMar>
              <w:top w:w="12" w:type="dxa"/>
              <w:left w:w="12" w:type="dxa"/>
              <w:right w:w="12" w:type="dxa"/>
            </w:tcMar>
            <w:vAlign w:val="center"/>
          </w:tcPr>
          <w:p w:rsidR="008510CF" w:rsidRPr="00F9522B" w:rsidRDefault="008510CF" w:rsidP="00773236">
            <w:pPr>
              <w:spacing w:line="0" w:lineRule="atLeast"/>
              <w:jc w:val="center"/>
              <w:rPr>
                <w:rFonts w:eastAsiaTheme="minorEastAsia"/>
                <w:kern w:val="0"/>
                <w:szCs w:val="21"/>
              </w:rPr>
            </w:pPr>
            <w:r w:rsidRPr="00F9522B">
              <w:rPr>
                <w:rFonts w:eastAsiaTheme="minorEastAsia"/>
                <w:kern w:val="0"/>
                <w:szCs w:val="21"/>
              </w:rPr>
              <w:t>2025</w:t>
            </w:r>
            <w:r w:rsidRPr="00F9522B">
              <w:rPr>
                <w:rFonts w:eastAsiaTheme="minorEastAsia"/>
                <w:kern w:val="0"/>
                <w:szCs w:val="21"/>
              </w:rPr>
              <w:t>年</w:t>
            </w:r>
            <w:r w:rsidRPr="00F9522B">
              <w:rPr>
                <w:rFonts w:eastAsiaTheme="minorEastAsia"/>
                <w:kern w:val="0"/>
                <w:szCs w:val="21"/>
              </w:rPr>
              <w:t>2</w:t>
            </w:r>
            <w:r w:rsidRPr="00F9522B">
              <w:rPr>
                <w:rFonts w:eastAsiaTheme="minorEastAsia"/>
                <w:kern w:val="0"/>
                <w:szCs w:val="21"/>
              </w:rPr>
              <w:t>月</w:t>
            </w:r>
          </w:p>
        </w:tc>
        <w:tc>
          <w:tcPr>
            <w:tcW w:w="888" w:type="pct"/>
            <w:shd w:val="clear" w:color="auto" w:fill="auto"/>
            <w:tcMar>
              <w:top w:w="12" w:type="dxa"/>
              <w:left w:w="12" w:type="dxa"/>
              <w:right w:w="12" w:type="dxa"/>
            </w:tcMar>
            <w:vAlign w:val="center"/>
          </w:tcPr>
          <w:p w:rsidR="008510CF" w:rsidRPr="00F9522B" w:rsidRDefault="008510CF" w:rsidP="00773236">
            <w:pPr>
              <w:widowControl/>
              <w:spacing w:line="0" w:lineRule="atLeast"/>
              <w:jc w:val="center"/>
              <w:textAlignment w:val="center"/>
              <w:rPr>
                <w:rFonts w:eastAsiaTheme="minorEastAsia"/>
                <w:kern w:val="0"/>
                <w:szCs w:val="21"/>
              </w:rPr>
            </w:pPr>
            <w:r w:rsidRPr="00F9522B">
              <w:rPr>
                <w:rFonts w:eastAsiaTheme="minorEastAsia"/>
                <w:kern w:val="0"/>
                <w:szCs w:val="21"/>
              </w:rPr>
              <w:t>Ⅲ</w:t>
            </w:r>
            <w:r w:rsidRPr="00F9522B">
              <w:rPr>
                <w:rFonts w:eastAsiaTheme="minorEastAsia"/>
                <w:kern w:val="0"/>
                <w:szCs w:val="21"/>
              </w:rPr>
              <w:t>类</w:t>
            </w:r>
          </w:p>
        </w:tc>
        <w:tc>
          <w:tcPr>
            <w:tcW w:w="888" w:type="pct"/>
            <w:vAlign w:val="center"/>
          </w:tcPr>
          <w:p w:rsidR="008510CF" w:rsidRPr="00F9522B" w:rsidRDefault="008510CF" w:rsidP="00773236">
            <w:pPr>
              <w:spacing w:line="0" w:lineRule="atLeast"/>
              <w:jc w:val="center"/>
              <w:rPr>
                <w:szCs w:val="21"/>
              </w:rPr>
            </w:pPr>
            <w:r w:rsidRPr="00F9522B">
              <w:rPr>
                <w:rFonts w:eastAsiaTheme="minorEastAsia"/>
                <w:kern w:val="0"/>
                <w:szCs w:val="21"/>
              </w:rPr>
              <w:t>达标</w:t>
            </w:r>
          </w:p>
        </w:tc>
      </w:tr>
      <w:tr w:rsidR="008510CF" w:rsidRPr="00F9522B" w:rsidTr="00C92D94">
        <w:trPr>
          <w:trHeight w:val="272"/>
          <w:jc w:val="center"/>
        </w:trPr>
        <w:tc>
          <w:tcPr>
            <w:tcW w:w="639" w:type="pct"/>
            <w:vMerge/>
            <w:shd w:val="clear" w:color="auto" w:fill="auto"/>
            <w:tcMar>
              <w:top w:w="12" w:type="dxa"/>
              <w:left w:w="12" w:type="dxa"/>
              <w:right w:w="12" w:type="dxa"/>
            </w:tcMar>
            <w:vAlign w:val="center"/>
          </w:tcPr>
          <w:p w:rsidR="008510CF" w:rsidRPr="00F9522B" w:rsidRDefault="008510CF" w:rsidP="00773236">
            <w:pPr>
              <w:spacing w:line="0" w:lineRule="atLeast"/>
              <w:jc w:val="center"/>
              <w:textAlignment w:val="center"/>
              <w:rPr>
                <w:rFonts w:eastAsiaTheme="minorEastAsia"/>
                <w:kern w:val="0"/>
                <w:szCs w:val="21"/>
              </w:rPr>
            </w:pPr>
          </w:p>
        </w:tc>
        <w:tc>
          <w:tcPr>
            <w:tcW w:w="626" w:type="pct"/>
            <w:vMerge/>
            <w:shd w:val="clear" w:color="auto" w:fill="auto"/>
            <w:tcMar>
              <w:top w:w="12" w:type="dxa"/>
              <w:left w:w="12" w:type="dxa"/>
              <w:right w:w="12" w:type="dxa"/>
            </w:tcMar>
            <w:vAlign w:val="center"/>
          </w:tcPr>
          <w:p w:rsidR="008510CF" w:rsidRPr="00F9522B" w:rsidRDefault="008510CF" w:rsidP="00773236">
            <w:pPr>
              <w:spacing w:line="0" w:lineRule="atLeast"/>
              <w:jc w:val="center"/>
              <w:textAlignment w:val="center"/>
              <w:rPr>
                <w:rFonts w:eastAsiaTheme="minorEastAsia"/>
                <w:kern w:val="0"/>
                <w:szCs w:val="21"/>
              </w:rPr>
            </w:pPr>
          </w:p>
        </w:tc>
        <w:tc>
          <w:tcPr>
            <w:tcW w:w="1959" w:type="pct"/>
            <w:tcMar>
              <w:top w:w="12" w:type="dxa"/>
              <w:left w:w="12" w:type="dxa"/>
              <w:right w:w="12" w:type="dxa"/>
            </w:tcMar>
            <w:vAlign w:val="center"/>
          </w:tcPr>
          <w:p w:rsidR="008510CF" w:rsidRPr="00F9522B" w:rsidRDefault="008510CF" w:rsidP="00773236">
            <w:pPr>
              <w:spacing w:line="0" w:lineRule="atLeast"/>
              <w:jc w:val="center"/>
              <w:rPr>
                <w:rFonts w:eastAsiaTheme="minorEastAsia"/>
                <w:kern w:val="0"/>
                <w:szCs w:val="21"/>
              </w:rPr>
            </w:pPr>
            <w:r w:rsidRPr="00F9522B">
              <w:rPr>
                <w:rFonts w:eastAsiaTheme="minorEastAsia"/>
                <w:kern w:val="0"/>
                <w:szCs w:val="21"/>
              </w:rPr>
              <w:t>2025</w:t>
            </w:r>
            <w:r w:rsidRPr="00F9522B">
              <w:rPr>
                <w:rFonts w:eastAsiaTheme="minorEastAsia"/>
                <w:kern w:val="0"/>
                <w:szCs w:val="21"/>
              </w:rPr>
              <w:t>年</w:t>
            </w:r>
            <w:r w:rsidRPr="00F9522B">
              <w:rPr>
                <w:rFonts w:eastAsiaTheme="minorEastAsia"/>
                <w:kern w:val="0"/>
                <w:szCs w:val="21"/>
              </w:rPr>
              <w:t>3</w:t>
            </w:r>
            <w:r w:rsidRPr="00F9522B">
              <w:rPr>
                <w:rFonts w:eastAsiaTheme="minorEastAsia"/>
                <w:kern w:val="0"/>
                <w:szCs w:val="21"/>
              </w:rPr>
              <w:t>月</w:t>
            </w:r>
          </w:p>
        </w:tc>
        <w:tc>
          <w:tcPr>
            <w:tcW w:w="888" w:type="pct"/>
            <w:shd w:val="clear" w:color="auto" w:fill="auto"/>
            <w:tcMar>
              <w:top w:w="12" w:type="dxa"/>
              <w:left w:w="12" w:type="dxa"/>
              <w:right w:w="12" w:type="dxa"/>
            </w:tcMar>
            <w:vAlign w:val="center"/>
          </w:tcPr>
          <w:p w:rsidR="008510CF" w:rsidRPr="00F9522B" w:rsidRDefault="008510CF" w:rsidP="00773236">
            <w:pPr>
              <w:widowControl/>
              <w:spacing w:line="0" w:lineRule="atLeast"/>
              <w:jc w:val="center"/>
              <w:textAlignment w:val="center"/>
              <w:rPr>
                <w:rFonts w:eastAsiaTheme="minorEastAsia"/>
                <w:kern w:val="0"/>
                <w:szCs w:val="21"/>
              </w:rPr>
            </w:pPr>
            <w:r w:rsidRPr="00F9522B">
              <w:rPr>
                <w:rFonts w:eastAsiaTheme="minorEastAsia"/>
                <w:kern w:val="0"/>
                <w:szCs w:val="21"/>
              </w:rPr>
              <w:t>Ⅲ</w:t>
            </w:r>
            <w:r w:rsidRPr="00F9522B">
              <w:rPr>
                <w:rFonts w:eastAsiaTheme="minorEastAsia"/>
                <w:kern w:val="0"/>
                <w:szCs w:val="21"/>
              </w:rPr>
              <w:t>类</w:t>
            </w:r>
          </w:p>
        </w:tc>
        <w:tc>
          <w:tcPr>
            <w:tcW w:w="888" w:type="pct"/>
            <w:vAlign w:val="center"/>
          </w:tcPr>
          <w:p w:rsidR="008510CF" w:rsidRPr="00F9522B" w:rsidRDefault="008510CF" w:rsidP="00773236">
            <w:pPr>
              <w:spacing w:line="0" w:lineRule="atLeast"/>
              <w:jc w:val="center"/>
              <w:rPr>
                <w:szCs w:val="21"/>
              </w:rPr>
            </w:pPr>
            <w:r w:rsidRPr="00F9522B">
              <w:rPr>
                <w:rFonts w:eastAsiaTheme="minorEastAsia"/>
                <w:kern w:val="0"/>
                <w:szCs w:val="21"/>
              </w:rPr>
              <w:t>达标</w:t>
            </w:r>
          </w:p>
        </w:tc>
      </w:tr>
      <w:tr w:rsidR="008510CF" w:rsidRPr="00F9522B" w:rsidTr="00C92D94">
        <w:trPr>
          <w:trHeight w:val="272"/>
          <w:jc w:val="center"/>
        </w:trPr>
        <w:tc>
          <w:tcPr>
            <w:tcW w:w="639" w:type="pct"/>
            <w:vMerge/>
            <w:shd w:val="clear" w:color="auto" w:fill="auto"/>
            <w:tcMar>
              <w:top w:w="12" w:type="dxa"/>
              <w:left w:w="12" w:type="dxa"/>
              <w:right w:w="12" w:type="dxa"/>
            </w:tcMar>
            <w:vAlign w:val="center"/>
          </w:tcPr>
          <w:p w:rsidR="008510CF" w:rsidRPr="00F9522B" w:rsidRDefault="008510CF">
            <w:pPr>
              <w:widowControl/>
              <w:spacing w:line="0" w:lineRule="atLeast"/>
              <w:jc w:val="center"/>
              <w:textAlignment w:val="center"/>
              <w:rPr>
                <w:rFonts w:eastAsiaTheme="minorEastAsia"/>
                <w:kern w:val="0"/>
                <w:szCs w:val="21"/>
              </w:rPr>
            </w:pPr>
          </w:p>
        </w:tc>
        <w:tc>
          <w:tcPr>
            <w:tcW w:w="626" w:type="pct"/>
            <w:vMerge/>
            <w:shd w:val="clear" w:color="auto" w:fill="auto"/>
            <w:tcMar>
              <w:top w:w="12" w:type="dxa"/>
              <w:left w:w="12" w:type="dxa"/>
              <w:right w:w="12" w:type="dxa"/>
            </w:tcMar>
            <w:vAlign w:val="center"/>
          </w:tcPr>
          <w:p w:rsidR="008510CF" w:rsidRPr="00F9522B" w:rsidRDefault="008510CF">
            <w:pPr>
              <w:widowControl/>
              <w:spacing w:line="0" w:lineRule="atLeast"/>
              <w:jc w:val="center"/>
              <w:textAlignment w:val="center"/>
              <w:rPr>
                <w:rFonts w:eastAsiaTheme="minorEastAsia"/>
                <w:kern w:val="0"/>
                <w:szCs w:val="21"/>
              </w:rPr>
            </w:pPr>
          </w:p>
        </w:tc>
        <w:tc>
          <w:tcPr>
            <w:tcW w:w="1959" w:type="pct"/>
            <w:tcMar>
              <w:top w:w="12" w:type="dxa"/>
              <w:left w:w="12" w:type="dxa"/>
              <w:right w:w="12" w:type="dxa"/>
            </w:tcMar>
            <w:vAlign w:val="center"/>
          </w:tcPr>
          <w:p w:rsidR="008510CF" w:rsidRPr="00F9522B" w:rsidRDefault="008510CF" w:rsidP="00773236">
            <w:pPr>
              <w:spacing w:line="0" w:lineRule="atLeast"/>
              <w:jc w:val="center"/>
              <w:rPr>
                <w:rFonts w:eastAsiaTheme="minorEastAsia"/>
                <w:kern w:val="0"/>
                <w:szCs w:val="21"/>
              </w:rPr>
            </w:pPr>
            <w:r w:rsidRPr="00F9522B">
              <w:rPr>
                <w:rFonts w:eastAsiaTheme="minorEastAsia"/>
                <w:kern w:val="0"/>
                <w:szCs w:val="21"/>
              </w:rPr>
              <w:t>2025</w:t>
            </w:r>
            <w:r w:rsidRPr="00F9522B">
              <w:rPr>
                <w:rFonts w:eastAsiaTheme="minorEastAsia"/>
                <w:kern w:val="0"/>
                <w:szCs w:val="21"/>
              </w:rPr>
              <w:t>年</w:t>
            </w:r>
            <w:r w:rsidRPr="00F9522B">
              <w:rPr>
                <w:rFonts w:eastAsiaTheme="minorEastAsia"/>
                <w:kern w:val="0"/>
                <w:szCs w:val="21"/>
              </w:rPr>
              <w:t>4</w:t>
            </w:r>
            <w:r w:rsidRPr="00F9522B">
              <w:rPr>
                <w:rFonts w:eastAsiaTheme="minorEastAsia"/>
                <w:kern w:val="0"/>
                <w:szCs w:val="21"/>
              </w:rPr>
              <w:t>月</w:t>
            </w:r>
          </w:p>
        </w:tc>
        <w:tc>
          <w:tcPr>
            <w:tcW w:w="888" w:type="pct"/>
            <w:shd w:val="clear" w:color="auto" w:fill="auto"/>
            <w:tcMar>
              <w:top w:w="12" w:type="dxa"/>
              <w:left w:w="12" w:type="dxa"/>
              <w:right w:w="12" w:type="dxa"/>
            </w:tcMar>
            <w:vAlign w:val="center"/>
          </w:tcPr>
          <w:p w:rsidR="008510CF" w:rsidRPr="00F9522B" w:rsidRDefault="008510CF" w:rsidP="00773236">
            <w:pPr>
              <w:widowControl/>
              <w:spacing w:line="0" w:lineRule="atLeast"/>
              <w:jc w:val="center"/>
              <w:textAlignment w:val="center"/>
              <w:rPr>
                <w:rFonts w:eastAsiaTheme="minorEastAsia"/>
                <w:kern w:val="0"/>
                <w:szCs w:val="21"/>
              </w:rPr>
            </w:pPr>
            <w:r w:rsidRPr="00F9522B">
              <w:rPr>
                <w:rFonts w:eastAsiaTheme="minorEastAsia"/>
                <w:kern w:val="0"/>
                <w:szCs w:val="21"/>
              </w:rPr>
              <w:t>Ⅲ</w:t>
            </w:r>
            <w:r w:rsidRPr="00F9522B">
              <w:rPr>
                <w:rFonts w:eastAsiaTheme="minorEastAsia"/>
                <w:kern w:val="0"/>
                <w:szCs w:val="21"/>
              </w:rPr>
              <w:t>类</w:t>
            </w:r>
          </w:p>
        </w:tc>
        <w:tc>
          <w:tcPr>
            <w:tcW w:w="888" w:type="pct"/>
            <w:vAlign w:val="center"/>
          </w:tcPr>
          <w:p w:rsidR="008510CF" w:rsidRPr="00F9522B" w:rsidRDefault="008510CF" w:rsidP="00773236">
            <w:pPr>
              <w:spacing w:line="0" w:lineRule="atLeast"/>
              <w:jc w:val="center"/>
              <w:rPr>
                <w:szCs w:val="21"/>
              </w:rPr>
            </w:pPr>
            <w:r w:rsidRPr="00F9522B">
              <w:rPr>
                <w:rFonts w:eastAsiaTheme="minorEastAsia"/>
                <w:kern w:val="0"/>
                <w:szCs w:val="21"/>
              </w:rPr>
              <w:t>达标</w:t>
            </w:r>
          </w:p>
        </w:tc>
      </w:tr>
      <w:tr w:rsidR="008510CF" w:rsidRPr="00F9522B" w:rsidTr="00C92D94">
        <w:trPr>
          <w:trHeight w:val="272"/>
          <w:jc w:val="center"/>
        </w:trPr>
        <w:tc>
          <w:tcPr>
            <w:tcW w:w="639" w:type="pct"/>
            <w:vMerge/>
            <w:shd w:val="clear" w:color="auto" w:fill="auto"/>
            <w:tcMar>
              <w:top w:w="12" w:type="dxa"/>
              <w:left w:w="12" w:type="dxa"/>
              <w:right w:w="12" w:type="dxa"/>
            </w:tcMar>
            <w:vAlign w:val="center"/>
          </w:tcPr>
          <w:p w:rsidR="008510CF" w:rsidRPr="00F9522B" w:rsidRDefault="008510CF">
            <w:pPr>
              <w:widowControl/>
              <w:spacing w:line="0" w:lineRule="atLeast"/>
              <w:jc w:val="center"/>
              <w:textAlignment w:val="center"/>
              <w:rPr>
                <w:rFonts w:eastAsiaTheme="minorEastAsia"/>
                <w:kern w:val="0"/>
                <w:szCs w:val="21"/>
              </w:rPr>
            </w:pPr>
          </w:p>
        </w:tc>
        <w:tc>
          <w:tcPr>
            <w:tcW w:w="626" w:type="pct"/>
            <w:vMerge/>
            <w:shd w:val="clear" w:color="auto" w:fill="auto"/>
            <w:tcMar>
              <w:top w:w="12" w:type="dxa"/>
              <w:left w:w="12" w:type="dxa"/>
              <w:right w:w="12" w:type="dxa"/>
            </w:tcMar>
            <w:vAlign w:val="center"/>
          </w:tcPr>
          <w:p w:rsidR="008510CF" w:rsidRPr="00F9522B" w:rsidRDefault="008510CF">
            <w:pPr>
              <w:widowControl/>
              <w:spacing w:line="0" w:lineRule="atLeast"/>
              <w:jc w:val="center"/>
              <w:textAlignment w:val="center"/>
              <w:rPr>
                <w:rFonts w:eastAsiaTheme="minorEastAsia"/>
                <w:kern w:val="0"/>
                <w:szCs w:val="21"/>
              </w:rPr>
            </w:pPr>
          </w:p>
        </w:tc>
        <w:tc>
          <w:tcPr>
            <w:tcW w:w="1959" w:type="pct"/>
            <w:tcMar>
              <w:top w:w="12" w:type="dxa"/>
              <w:left w:w="12" w:type="dxa"/>
              <w:right w:w="12" w:type="dxa"/>
            </w:tcMar>
            <w:vAlign w:val="center"/>
          </w:tcPr>
          <w:p w:rsidR="008510CF" w:rsidRPr="00F9522B" w:rsidRDefault="008510CF" w:rsidP="00773236">
            <w:pPr>
              <w:spacing w:line="0" w:lineRule="atLeast"/>
              <w:jc w:val="center"/>
              <w:rPr>
                <w:rFonts w:eastAsiaTheme="minorEastAsia"/>
                <w:kern w:val="0"/>
                <w:szCs w:val="21"/>
              </w:rPr>
            </w:pPr>
            <w:r w:rsidRPr="00F9522B">
              <w:rPr>
                <w:rFonts w:eastAsiaTheme="minorEastAsia"/>
                <w:kern w:val="0"/>
                <w:szCs w:val="21"/>
              </w:rPr>
              <w:t>2025</w:t>
            </w:r>
            <w:r w:rsidRPr="00F9522B">
              <w:rPr>
                <w:rFonts w:eastAsiaTheme="minorEastAsia"/>
                <w:kern w:val="0"/>
                <w:szCs w:val="21"/>
              </w:rPr>
              <w:t>年</w:t>
            </w:r>
            <w:r w:rsidRPr="00F9522B">
              <w:rPr>
                <w:rFonts w:eastAsiaTheme="minorEastAsia"/>
                <w:kern w:val="0"/>
                <w:szCs w:val="21"/>
              </w:rPr>
              <w:t>5</w:t>
            </w:r>
            <w:r w:rsidRPr="00F9522B">
              <w:rPr>
                <w:rFonts w:eastAsiaTheme="minorEastAsia"/>
                <w:kern w:val="0"/>
                <w:szCs w:val="21"/>
              </w:rPr>
              <w:t>月</w:t>
            </w:r>
          </w:p>
        </w:tc>
        <w:tc>
          <w:tcPr>
            <w:tcW w:w="888" w:type="pct"/>
            <w:shd w:val="clear" w:color="auto" w:fill="auto"/>
            <w:tcMar>
              <w:top w:w="12" w:type="dxa"/>
              <w:left w:w="12" w:type="dxa"/>
              <w:right w:w="12" w:type="dxa"/>
            </w:tcMar>
            <w:vAlign w:val="center"/>
          </w:tcPr>
          <w:p w:rsidR="008510CF" w:rsidRPr="00F9522B" w:rsidRDefault="008510CF" w:rsidP="00773236">
            <w:pPr>
              <w:widowControl/>
              <w:spacing w:line="0" w:lineRule="atLeast"/>
              <w:jc w:val="center"/>
              <w:textAlignment w:val="center"/>
              <w:rPr>
                <w:rFonts w:eastAsiaTheme="minorEastAsia"/>
                <w:kern w:val="0"/>
                <w:szCs w:val="21"/>
              </w:rPr>
            </w:pPr>
            <w:r w:rsidRPr="00F9522B">
              <w:rPr>
                <w:rFonts w:eastAsiaTheme="minorEastAsia"/>
                <w:kern w:val="0"/>
                <w:szCs w:val="21"/>
              </w:rPr>
              <w:t>Ⅲ</w:t>
            </w:r>
            <w:r w:rsidRPr="00F9522B">
              <w:rPr>
                <w:rFonts w:eastAsiaTheme="minorEastAsia"/>
                <w:kern w:val="0"/>
                <w:szCs w:val="21"/>
              </w:rPr>
              <w:t>类</w:t>
            </w:r>
          </w:p>
        </w:tc>
        <w:tc>
          <w:tcPr>
            <w:tcW w:w="888" w:type="pct"/>
            <w:vAlign w:val="center"/>
          </w:tcPr>
          <w:p w:rsidR="008510CF" w:rsidRPr="00F9522B" w:rsidRDefault="008510CF" w:rsidP="00773236">
            <w:pPr>
              <w:spacing w:line="0" w:lineRule="atLeast"/>
              <w:jc w:val="center"/>
              <w:rPr>
                <w:szCs w:val="21"/>
              </w:rPr>
            </w:pPr>
            <w:r w:rsidRPr="00F9522B">
              <w:rPr>
                <w:rFonts w:eastAsiaTheme="minorEastAsia"/>
                <w:kern w:val="0"/>
                <w:szCs w:val="21"/>
              </w:rPr>
              <w:t>达标</w:t>
            </w:r>
          </w:p>
        </w:tc>
      </w:tr>
      <w:tr w:rsidR="008510CF" w:rsidRPr="00F9522B" w:rsidTr="00C92D94">
        <w:trPr>
          <w:trHeight w:val="272"/>
          <w:jc w:val="center"/>
        </w:trPr>
        <w:tc>
          <w:tcPr>
            <w:tcW w:w="639" w:type="pct"/>
            <w:vMerge/>
            <w:shd w:val="clear" w:color="auto" w:fill="auto"/>
            <w:tcMar>
              <w:top w:w="12" w:type="dxa"/>
              <w:left w:w="12" w:type="dxa"/>
              <w:right w:w="12" w:type="dxa"/>
            </w:tcMar>
            <w:vAlign w:val="center"/>
          </w:tcPr>
          <w:p w:rsidR="008510CF" w:rsidRPr="00F9522B" w:rsidRDefault="008510CF">
            <w:pPr>
              <w:widowControl/>
              <w:spacing w:line="0" w:lineRule="atLeast"/>
              <w:jc w:val="center"/>
              <w:textAlignment w:val="center"/>
              <w:rPr>
                <w:rFonts w:eastAsiaTheme="minorEastAsia"/>
                <w:kern w:val="0"/>
                <w:szCs w:val="21"/>
              </w:rPr>
            </w:pPr>
          </w:p>
        </w:tc>
        <w:tc>
          <w:tcPr>
            <w:tcW w:w="626" w:type="pct"/>
            <w:vMerge/>
            <w:shd w:val="clear" w:color="auto" w:fill="auto"/>
            <w:tcMar>
              <w:top w:w="12" w:type="dxa"/>
              <w:left w:w="12" w:type="dxa"/>
              <w:right w:w="12" w:type="dxa"/>
            </w:tcMar>
            <w:vAlign w:val="center"/>
          </w:tcPr>
          <w:p w:rsidR="008510CF" w:rsidRPr="00F9522B" w:rsidRDefault="008510CF">
            <w:pPr>
              <w:widowControl/>
              <w:spacing w:line="0" w:lineRule="atLeast"/>
              <w:jc w:val="center"/>
              <w:textAlignment w:val="center"/>
              <w:rPr>
                <w:rFonts w:eastAsiaTheme="minorEastAsia"/>
                <w:kern w:val="0"/>
                <w:szCs w:val="21"/>
              </w:rPr>
            </w:pPr>
          </w:p>
        </w:tc>
        <w:tc>
          <w:tcPr>
            <w:tcW w:w="1959" w:type="pct"/>
            <w:tcMar>
              <w:top w:w="12" w:type="dxa"/>
              <w:left w:w="12" w:type="dxa"/>
              <w:right w:w="12" w:type="dxa"/>
            </w:tcMar>
            <w:vAlign w:val="center"/>
          </w:tcPr>
          <w:p w:rsidR="008510CF" w:rsidRPr="00F9522B" w:rsidRDefault="008510CF" w:rsidP="00773236">
            <w:pPr>
              <w:spacing w:line="0" w:lineRule="atLeast"/>
              <w:jc w:val="center"/>
              <w:rPr>
                <w:rFonts w:eastAsiaTheme="minorEastAsia"/>
                <w:kern w:val="0"/>
                <w:szCs w:val="21"/>
              </w:rPr>
            </w:pPr>
            <w:r w:rsidRPr="00F9522B">
              <w:rPr>
                <w:rFonts w:eastAsiaTheme="minorEastAsia"/>
                <w:kern w:val="0"/>
                <w:szCs w:val="21"/>
              </w:rPr>
              <w:t>2025</w:t>
            </w:r>
            <w:r w:rsidRPr="00F9522B">
              <w:rPr>
                <w:rFonts w:eastAsiaTheme="minorEastAsia"/>
                <w:kern w:val="0"/>
                <w:szCs w:val="21"/>
              </w:rPr>
              <w:t>年</w:t>
            </w:r>
            <w:r w:rsidRPr="00F9522B">
              <w:rPr>
                <w:rFonts w:eastAsiaTheme="minorEastAsia"/>
                <w:kern w:val="0"/>
                <w:szCs w:val="21"/>
              </w:rPr>
              <w:t>6</w:t>
            </w:r>
            <w:r w:rsidRPr="00F9522B">
              <w:rPr>
                <w:rFonts w:eastAsiaTheme="minorEastAsia"/>
                <w:kern w:val="0"/>
                <w:szCs w:val="21"/>
              </w:rPr>
              <w:t>月</w:t>
            </w:r>
          </w:p>
        </w:tc>
        <w:tc>
          <w:tcPr>
            <w:tcW w:w="888" w:type="pct"/>
            <w:shd w:val="clear" w:color="auto" w:fill="auto"/>
            <w:tcMar>
              <w:top w:w="12" w:type="dxa"/>
              <w:left w:w="12" w:type="dxa"/>
              <w:right w:w="12" w:type="dxa"/>
            </w:tcMar>
            <w:vAlign w:val="center"/>
          </w:tcPr>
          <w:p w:rsidR="008510CF" w:rsidRPr="00F9522B" w:rsidRDefault="008510CF" w:rsidP="00773236">
            <w:pPr>
              <w:widowControl/>
              <w:spacing w:line="0" w:lineRule="atLeast"/>
              <w:jc w:val="center"/>
              <w:textAlignment w:val="center"/>
              <w:rPr>
                <w:rFonts w:eastAsiaTheme="minorEastAsia"/>
                <w:kern w:val="0"/>
                <w:szCs w:val="21"/>
              </w:rPr>
            </w:pPr>
            <w:r w:rsidRPr="00F9522B">
              <w:rPr>
                <w:rFonts w:eastAsiaTheme="minorEastAsia"/>
                <w:kern w:val="0"/>
                <w:szCs w:val="21"/>
              </w:rPr>
              <w:t>Ⅲ</w:t>
            </w:r>
            <w:r w:rsidRPr="00F9522B">
              <w:rPr>
                <w:rFonts w:eastAsiaTheme="minorEastAsia"/>
                <w:kern w:val="0"/>
                <w:szCs w:val="21"/>
              </w:rPr>
              <w:t>类</w:t>
            </w:r>
          </w:p>
        </w:tc>
        <w:tc>
          <w:tcPr>
            <w:tcW w:w="888" w:type="pct"/>
            <w:vAlign w:val="center"/>
          </w:tcPr>
          <w:p w:rsidR="008510CF" w:rsidRPr="00F9522B" w:rsidRDefault="008510CF" w:rsidP="00773236">
            <w:pPr>
              <w:spacing w:line="0" w:lineRule="atLeast"/>
              <w:jc w:val="center"/>
              <w:rPr>
                <w:szCs w:val="21"/>
              </w:rPr>
            </w:pPr>
            <w:r w:rsidRPr="00F9522B">
              <w:rPr>
                <w:rFonts w:eastAsiaTheme="minorEastAsia"/>
                <w:kern w:val="0"/>
                <w:szCs w:val="21"/>
              </w:rPr>
              <w:t>达标</w:t>
            </w:r>
          </w:p>
        </w:tc>
      </w:tr>
      <w:tr w:rsidR="008510CF" w:rsidRPr="00F9522B" w:rsidTr="00C92D94">
        <w:trPr>
          <w:trHeight w:val="272"/>
          <w:jc w:val="center"/>
        </w:trPr>
        <w:tc>
          <w:tcPr>
            <w:tcW w:w="639" w:type="pct"/>
            <w:vMerge/>
            <w:shd w:val="clear" w:color="auto" w:fill="auto"/>
            <w:tcMar>
              <w:top w:w="12" w:type="dxa"/>
              <w:left w:w="12" w:type="dxa"/>
              <w:right w:w="12" w:type="dxa"/>
            </w:tcMar>
            <w:vAlign w:val="center"/>
          </w:tcPr>
          <w:p w:rsidR="008510CF" w:rsidRPr="00F9522B" w:rsidRDefault="008510CF">
            <w:pPr>
              <w:widowControl/>
              <w:spacing w:line="0" w:lineRule="atLeast"/>
              <w:jc w:val="center"/>
              <w:textAlignment w:val="center"/>
              <w:rPr>
                <w:rFonts w:eastAsiaTheme="minorEastAsia"/>
                <w:kern w:val="0"/>
                <w:szCs w:val="21"/>
              </w:rPr>
            </w:pPr>
          </w:p>
        </w:tc>
        <w:tc>
          <w:tcPr>
            <w:tcW w:w="626" w:type="pct"/>
            <w:vMerge/>
            <w:shd w:val="clear" w:color="auto" w:fill="auto"/>
            <w:tcMar>
              <w:top w:w="12" w:type="dxa"/>
              <w:left w:w="12" w:type="dxa"/>
              <w:right w:w="12" w:type="dxa"/>
            </w:tcMar>
            <w:vAlign w:val="center"/>
          </w:tcPr>
          <w:p w:rsidR="008510CF" w:rsidRPr="00F9522B" w:rsidRDefault="008510CF">
            <w:pPr>
              <w:widowControl/>
              <w:spacing w:line="0" w:lineRule="atLeast"/>
              <w:jc w:val="center"/>
              <w:textAlignment w:val="center"/>
              <w:rPr>
                <w:rFonts w:eastAsiaTheme="minorEastAsia"/>
                <w:kern w:val="0"/>
                <w:szCs w:val="21"/>
              </w:rPr>
            </w:pPr>
          </w:p>
        </w:tc>
        <w:tc>
          <w:tcPr>
            <w:tcW w:w="1959" w:type="pct"/>
            <w:tcMar>
              <w:top w:w="12" w:type="dxa"/>
              <w:left w:w="12" w:type="dxa"/>
              <w:right w:w="12" w:type="dxa"/>
            </w:tcMar>
            <w:vAlign w:val="center"/>
          </w:tcPr>
          <w:p w:rsidR="008510CF" w:rsidRPr="00F9522B" w:rsidRDefault="008510CF" w:rsidP="00773236">
            <w:pPr>
              <w:spacing w:line="0" w:lineRule="atLeast"/>
              <w:jc w:val="center"/>
              <w:rPr>
                <w:rFonts w:eastAsiaTheme="minorEastAsia"/>
                <w:kern w:val="0"/>
                <w:szCs w:val="21"/>
              </w:rPr>
            </w:pPr>
            <w:r w:rsidRPr="00F9522B">
              <w:rPr>
                <w:rFonts w:eastAsiaTheme="minorEastAsia"/>
                <w:kern w:val="0"/>
                <w:szCs w:val="21"/>
              </w:rPr>
              <w:t>2025</w:t>
            </w:r>
            <w:r w:rsidRPr="00F9522B">
              <w:rPr>
                <w:rFonts w:eastAsiaTheme="minorEastAsia"/>
                <w:kern w:val="0"/>
                <w:szCs w:val="21"/>
              </w:rPr>
              <w:t>年</w:t>
            </w:r>
            <w:r w:rsidRPr="00F9522B">
              <w:rPr>
                <w:rFonts w:eastAsiaTheme="minorEastAsia"/>
                <w:kern w:val="0"/>
                <w:szCs w:val="21"/>
              </w:rPr>
              <w:t>7</w:t>
            </w:r>
            <w:r w:rsidRPr="00F9522B">
              <w:rPr>
                <w:rFonts w:eastAsiaTheme="minorEastAsia"/>
                <w:kern w:val="0"/>
                <w:szCs w:val="21"/>
              </w:rPr>
              <w:t>月</w:t>
            </w:r>
          </w:p>
        </w:tc>
        <w:tc>
          <w:tcPr>
            <w:tcW w:w="888" w:type="pct"/>
            <w:shd w:val="clear" w:color="auto" w:fill="auto"/>
            <w:tcMar>
              <w:top w:w="12" w:type="dxa"/>
              <w:left w:w="12" w:type="dxa"/>
              <w:right w:w="12" w:type="dxa"/>
            </w:tcMar>
            <w:vAlign w:val="center"/>
          </w:tcPr>
          <w:p w:rsidR="008510CF" w:rsidRPr="00F9522B" w:rsidRDefault="008510CF" w:rsidP="00773236">
            <w:pPr>
              <w:widowControl/>
              <w:spacing w:line="0" w:lineRule="atLeast"/>
              <w:jc w:val="center"/>
              <w:textAlignment w:val="center"/>
              <w:rPr>
                <w:rFonts w:eastAsiaTheme="minorEastAsia"/>
                <w:kern w:val="0"/>
                <w:szCs w:val="21"/>
              </w:rPr>
            </w:pPr>
            <w:r w:rsidRPr="00F9522B">
              <w:rPr>
                <w:rFonts w:eastAsiaTheme="minorEastAsia"/>
                <w:kern w:val="0"/>
                <w:szCs w:val="21"/>
              </w:rPr>
              <w:t>Ⅲ</w:t>
            </w:r>
            <w:r w:rsidRPr="00F9522B">
              <w:rPr>
                <w:rFonts w:eastAsiaTheme="minorEastAsia"/>
                <w:kern w:val="0"/>
                <w:szCs w:val="21"/>
              </w:rPr>
              <w:t>类</w:t>
            </w:r>
          </w:p>
        </w:tc>
        <w:tc>
          <w:tcPr>
            <w:tcW w:w="888" w:type="pct"/>
            <w:vAlign w:val="center"/>
          </w:tcPr>
          <w:p w:rsidR="008510CF" w:rsidRPr="00F9522B" w:rsidRDefault="008510CF" w:rsidP="00773236">
            <w:pPr>
              <w:spacing w:line="0" w:lineRule="atLeast"/>
              <w:jc w:val="center"/>
              <w:rPr>
                <w:szCs w:val="21"/>
              </w:rPr>
            </w:pPr>
            <w:r w:rsidRPr="00F9522B">
              <w:rPr>
                <w:rFonts w:eastAsiaTheme="minorEastAsia"/>
                <w:kern w:val="0"/>
                <w:szCs w:val="21"/>
              </w:rPr>
              <w:t>达标</w:t>
            </w:r>
          </w:p>
        </w:tc>
      </w:tr>
      <w:tr w:rsidR="008510CF" w:rsidRPr="00F9522B" w:rsidTr="00C92D94">
        <w:trPr>
          <w:trHeight w:val="272"/>
          <w:jc w:val="center"/>
        </w:trPr>
        <w:tc>
          <w:tcPr>
            <w:tcW w:w="639" w:type="pct"/>
            <w:vMerge/>
            <w:shd w:val="clear" w:color="auto" w:fill="auto"/>
            <w:tcMar>
              <w:top w:w="12" w:type="dxa"/>
              <w:left w:w="12" w:type="dxa"/>
              <w:right w:w="12" w:type="dxa"/>
            </w:tcMar>
            <w:vAlign w:val="center"/>
          </w:tcPr>
          <w:p w:rsidR="008510CF" w:rsidRPr="00F9522B" w:rsidRDefault="008510CF">
            <w:pPr>
              <w:widowControl/>
              <w:spacing w:line="0" w:lineRule="atLeast"/>
              <w:jc w:val="center"/>
              <w:textAlignment w:val="center"/>
              <w:rPr>
                <w:rFonts w:eastAsiaTheme="minorEastAsia"/>
                <w:kern w:val="0"/>
                <w:szCs w:val="21"/>
              </w:rPr>
            </w:pPr>
          </w:p>
        </w:tc>
        <w:tc>
          <w:tcPr>
            <w:tcW w:w="626" w:type="pct"/>
            <w:vMerge/>
            <w:shd w:val="clear" w:color="auto" w:fill="auto"/>
            <w:tcMar>
              <w:top w:w="12" w:type="dxa"/>
              <w:left w:w="12" w:type="dxa"/>
              <w:right w:w="12" w:type="dxa"/>
            </w:tcMar>
            <w:vAlign w:val="center"/>
          </w:tcPr>
          <w:p w:rsidR="008510CF" w:rsidRPr="00F9522B" w:rsidRDefault="008510CF">
            <w:pPr>
              <w:widowControl/>
              <w:spacing w:line="0" w:lineRule="atLeast"/>
              <w:jc w:val="center"/>
              <w:textAlignment w:val="bottom"/>
              <w:rPr>
                <w:rFonts w:eastAsiaTheme="minorEastAsia"/>
                <w:kern w:val="0"/>
                <w:szCs w:val="21"/>
              </w:rPr>
            </w:pPr>
          </w:p>
        </w:tc>
        <w:tc>
          <w:tcPr>
            <w:tcW w:w="1959" w:type="pct"/>
            <w:tcMar>
              <w:top w:w="12" w:type="dxa"/>
              <w:left w:w="12" w:type="dxa"/>
              <w:right w:w="12" w:type="dxa"/>
            </w:tcMar>
            <w:vAlign w:val="center"/>
          </w:tcPr>
          <w:p w:rsidR="008510CF" w:rsidRPr="00F9522B" w:rsidRDefault="008510CF" w:rsidP="00773236">
            <w:pPr>
              <w:spacing w:line="0" w:lineRule="atLeast"/>
              <w:jc w:val="center"/>
              <w:rPr>
                <w:rFonts w:eastAsiaTheme="minorEastAsia"/>
                <w:kern w:val="0"/>
                <w:szCs w:val="21"/>
              </w:rPr>
            </w:pPr>
            <w:r w:rsidRPr="00F9522B">
              <w:rPr>
                <w:rFonts w:eastAsiaTheme="minorEastAsia"/>
                <w:kern w:val="0"/>
                <w:szCs w:val="21"/>
              </w:rPr>
              <w:t>2025</w:t>
            </w:r>
            <w:r w:rsidRPr="00F9522B">
              <w:rPr>
                <w:rFonts w:eastAsiaTheme="minorEastAsia"/>
                <w:kern w:val="0"/>
                <w:szCs w:val="21"/>
              </w:rPr>
              <w:t>年</w:t>
            </w:r>
            <w:r w:rsidRPr="00F9522B">
              <w:rPr>
                <w:rFonts w:eastAsiaTheme="minorEastAsia"/>
                <w:kern w:val="0"/>
                <w:szCs w:val="21"/>
              </w:rPr>
              <w:t>8</w:t>
            </w:r>
            <w:r w:rsidRPr="00F9522B">
              <w:rPr>
                <w:rFonts w:eastAsiaTheme="minorEastAsia"/>
                <w:kern w:val="0"/>
                <w:szCs w:val="21"/>
              </w:rPr>
              <w:t>月</w:t>
            </w:r>
          </w:p>
        </w:tc>
        <w:tc>
          <w:tcPr>
            <w:tcW w:w="888" w:type="pct"/>
            <w:shd w:val="clear" w:color="auto" w:fill="auto"/>
            <w:tcMar>
              <w:top w:w="12" w:type="dxa"/>
              <w:left w:w="12" w:type="dxa"/>
              <w:right w:w="12" w:type="dxa"/>
            </w:tcMar>
            <w:vAlign w:val="center"/>
          </w:tcPr>
          <w:p w:rsidR="008510CF" w:rsidRPr="00F9522B" w:rsidRDefault="008510CF" w:rsidP="00773236">
            <w:pPr>
              <w:widowControl/>
              <w:spacing w:line="0" w:lineRule="atLeast"/>
              <w:jc w:val="center"/>
              <w:textAlignment w:val="center"/>
              <w:rPr>
                <w:rFonts w:eastAsiaTheme="minorEastAsia"/>
                <w:kern w:val="0"/>
                <w:szCs w:val="21"/>
              </w:rPr>
            </w:pPr>
            <w:r w:rsidRPr="00F9522B">
              <w:rPr>
                <w:rFonts w:eastAsiaTheme="minorEastAsia"/>
                <w:kern w:val="0"/>
                <w:szCs w:val="21"/>
              </w:rPr>
              <w:t>Ⅲ</w:t>
            </w:r>
            <w:r w:rsidRPr="00F9522B">
              <w:rPr>
                <w:rFonts w:eastAsiaTheme="minorEastAsia"/>
                <w:kern w:val="0"/>
                <w:szCs w:val="21"/>
              </w:rPr>
              <w:t>类</w:t>
            </w:r>
          </w:p>
        </w:tc>
        <w:tc>
          <w:tcPr>
            <w:tcW w:w="888" w:type="pct"/>
            <w:vAlign w:val="center"/>
          </w:tcPr>
          <w:p w:rsidR="008510CF" w:rsidRPr="00F9522B" w:rsidRDefault="008510CF" w:rsidP="00773236">
            <w:pPr>
              <w:spacing w:line="0" w:lineRule="atLeast"/>
              <w:jc w:val="center"/>
              <w:rPr>
                <w:szCs w:val="21"/>
              </w:rPr>
            </w:pPr>
            <w:r w:rsidRPr="00F9522B">
              <w:rPr>
                <w:rFonts w:eastAsiaTheme="minorEastAsia"/>
                <w:kern w:val="0"/>
                <w:szCs w:val="21"/>
              </w:rPr>
              <w:t>达标</w:t>
            </w:r>
          </w:p>
        </w:tc>
      </w:tr>
      <w:tr w:rsidR="008510CF" w:rsidRPr="00F9522B" w:rsidTr="00C92D94">
        <w:trPr>
          <w:trHeight w:val="272"/>
          <w:jc w:val="center"/>
        </w:trPr>
        <w:tc>
          <w:tcPr>
            <w:tcW w:w="639" w:type="pct"/>
            <w:vMerge/>
            <w:shd w:val="clear" w:color="auto" w:fill="auto"/>
            <w:tcMar>
              <w:top w:w="12" w:type="dxa"/>
              <w:left w:w="12" w:type="dxa"/>
              <w:right w:w="12" w:type="dxa"/>
            </w:tcMar>
            <w:vAlign w:val="center"/>
          </w:tcPr>
          <w:p w:rsidR="008510CF" w:rsidRPr="00F9522B" w:rsidRDefault="008510CF">
            <w:pPr>
              <w:widowControl/>
              <w:spacing w:line="0" w:lineRule="atLeast"/>
              <w:jc w:val="center"/>
              <w:textAlignment w:val="center"/>
              <w:rPr>
                <w:rFonts w:eastAsiaTheme="minorEastAsia"/>
                <w:kern w:val="0"/>
                <w:szCs w:val="21"/>
              </w:rPr>
            </w:pPr>
          </w:p>
        </w:tc>
        <w:tc>
          <w:tcPr>
            <w:tcW w:w="626" w:type="pct"/>
            <w:vMerge/>
            <w:shd w:val="clear" w:color="auto" w:fill="auto"/>
            <w:tcMar>
              <w:top w:w="12" w:type="dxa"/>
              <w:left w:w="12" w:type="dxa"/>
              <w:right w:w="12" w:type="dxa"/>
            </w:tcMar>
            <w:vAlign w:val="center"/>
          </w:tcPr>
          <w:p w:rsidR="008510CF" w:rsidRPr="00F9522B" w:rsidRDefault="008510CF">
            <w:pPr>
              <w:widowControl/>
              <w:spacing w:line="0" w:lineRule="atLeast"/>
              <w:jc w:val="center"/>
              <w:textAlignment w:val="center"/>
              <w:rPr>
                <w:rFonts w:eastAsiaTheme="minorEastAsia"/>
                <w:kern w:val="0"/>
                <w:szCs w:val="21"/>
              </w:rPr>
            </w:pPr>
          </w:p>
        </w:tc>
        <w:tc>
          <w:tcPr>
            <w:tcW w:w="1959" w:type="pct"/>
            <w:tcMar>
              <w:top w:w="12" w:type="dxa"/>
              <w:left w:w="12" w:type="dxa"/>
              <w:right w:w="12" w:type="dxa"/>
            </w:tcMar>
            <w:vAlign w:val="center"/>
          </w:tcPr>
          <w:p w:rsidR="008510CF" w:rsidRPr="00F9522B" w:rsidRDefault="008510CF" w:rsidP="004C7345">
            <w:pPr>
              <w:spacing w:line="0" w:lineRule="atLeast"/>
              <w:jc w:val="center"/>
              <w:rPr>
                <w:rFonts w:eastAsiaTheme="minorEastAsia"/>
                <w:szCs w:val="21"/>
              </w:rPr>
            </w:pPr>
            <w:r w:rsidRPr="00F9522B">
              <w:rPr>
                <w:rFonts w:eastAsiaTheme="minorEastAsia"/>
                <w:kern w:val="0"/>
                <w:szCs w:val="21"/>
              </w:rPr>
              <w:t>2025</w:t>
            </w:r>
            <w:r w:rsidRPr="00F9522B">
              <w:rPr>
                <w:rFonts w:eastAsiaTheme="minorEastAsia"/>
                <w:kern w:val="0"/>
                <w:szCs w:val="21"/>
              </w:rPr>
              <w:t>年</w:t>
            </w:r>
            <w:r w:rsidRPr="00F9522B">
              <w:rPr>
                <w:rFonts w:eastAsiaTheme="minorEastAsia"/>
                <w:kern w:val="0"/>
                <w:szCs w:val="21"/>
              </w:rPr>
              <w:t>9</w:t>
            </w:r>
            <w:r w:rsidRPr="00F9522B">
              <w:rPr>
                <w:rFonts w:eastAsiaTheme="minorEastAsia"/>
                <w:kern w:val="0"/>
                <w:szCs w:val="21"/>
              </w:rPr>
              <w:t>月</w:t>
            </w:r>
          </w:p>
        </w:tc>
        <w:tc>
          <w:tcPr>
            <w:tcW w:w="888" w:type="pct"/>
            <w:shd w:val="clear" w:color="auto" w:fill="auto"/>
            <w:tcMar>
              <w:top w:w="12" w:type="dxa"/>
              <w:left w:w="12" w:type="dxa"/>
              <w:right w:w="12" w:type="dxa"/>
            </w:tcMar>
            <w:vAlign w:val="center"/>
          </w:tcPr>
          <w:p w:rsidR="008510CF" w:rsidRPr="00F9522B" w:rsidRDefault="008510CF" w:rsidP="00773236">
            <w:pPr>
              <w:widowControl/>
              <w:spacing w:line="0" w:lineRule="atLeast"/>
              <w:jc w:val="center"/>
              <w:textAlignment w:val="center"/>
              <w:rPr>
                <w:rFonts w:eastAsiaTheme="minorEastAsia"/>
                <w:kern w:val="0"/>
                <w:szCs w:val="21"/>
              </w:rPr>
            </w:pPr>
            <w:r w:rsidRPr="00F9522B">
              <w:rPr>
                <w:rFonts w:eastAsiaTheme="minorEastAsia"/>
                <w:kern w:val="0"/>
                <w:szCs w:val="21"/>
              </w:rPr>
              <w:t>Ⅲ</w:t>
            </w:r>
            <w:r w:rsidRPr="00F9522B">
              <w:rPr>
                <w:rFonts w:eastAsiaTheme="minorEastAsia"/>
                <w:kern w:val="0"/>
                <w:szCs w:val="21"/>
              </w:rPr>
              <w:t>类</w:t>
            </w:r>
          </w:p>
        </w:tc>
        <w:tc>
          <w:tcPr>
            <w:tcW w:w="888" w:type="pct"/>
            <w:vAlign w:val="center"/>
          </w:tcPr>
          <w:p w:rsidR="008510CF" w:rsidRPr="00F9522B" w:rsidRDefault="008510CF" w:rsidP="00773236">
            <w:pPr>
              <w:spacing w:line="0" w:lineRule="atLeast"/>
              <w:jc w:val="center"/>
              <w:rPr>
                <w:szCs w:val="21"/>
              </w:rPr>
            </w:pPr>
            <w:r w:rsidRPr="00F9522B">
              <w:rPr>
                <w:rFonts w:eastAsiaTheme="minorEastAsia"/>
                <w:kern w:val="0"/>
                <w:szCs w:val="21"/>
              </w:rPr>
              <w:t>达标</w:t>
            </w:r>
          </w:p>
        </w:tc>
      </w:tr>
      <w:tr w:rsidR="008510CF" w:rsidRPr="00F9522B" w:rsidTr="00C92D94">
        <w:trPr>
          <w:trHeight w:val="272"/>
          <w:jc w:val="center"/>
        </w:trPr>
        <w:tc>
          <w:tcPr>
            <w:tcW w:w="639" w:type="pct"/>
            <w:vMerge/>
            <w:shd w:val="clear" w:color="auto" w:fill="auto"/>
            <w:tcMar>
              <w:top w:w="12" w:type="dxa"/>
              <w:left w:w="12" w:type="dxa"/>
              <w:right w:w="12" w:type="dxa"/>
            </w:tcMar>
            <w:vAlign w:val="center"/>
          </w:tcPr>
          <w:p w:rsidR="008510CF" w:rsidRPr="00F9522B" w:rsidRDefault="008510CF">
            <w:pPr>
              <w:widowControl/>
              <w:spacing w:line="0" w:lineRule="atLeast"/>
              <w:jc w:val="center"/>
              <w:textAlignment w:val="center"/>
              <w:rPr>
                <w:rFonts w:eastAsiaTheme="minorEastAsia"/>
                <w:kern w:val="0"/>
                <w:szCs w:val="21"/>
              </w:rPr>
            </w:pPr>
          </w:p>
        </w:tc>
        <w:tc>
          <w:tcPr>
            <w:tcW w:w="626" w:type="pct"/>
            <w:vMerge/>
            <w:shd w:val="clear" w:color="auto" w:fill="auto"/>
            <w:tcMar>
              <w:top w:w="12" w:type="dxa"/>
              <w:left w:w="12" w:type="dxa"/>
              <w:right w:w="12" w:type="dxa"/>
            </w:tcMar>
            <w:vAlign w:val="center"/>
          </w:tcPr>
          <w:p w:rsidR="008510CF" w:rsidRPr="00F9522B" w:rsidRDefault="008510CF">
            <w:pPr>
              <w:widowControl/>
              <w:spacing w:line="0" w:lineRule="atLeast"/>
              <w:jc w:val="center"/>
              <w:textAlignment w:val="center"/>
              <w:rPr>
                <w:rFonts w:eastAsiaTheme="minorEastAsia"/>
                <w:kern w:val="0"/>
                <w:szCs w:val="21"/>
              </w:rPr>
            </w:pPr>
          </w:p>
        </w:tc>
        <w:tc>
          <w:tcPr>
            <w:tcW w:w="1959" w:type="pct"/>
            <w:tcMar>
              <w:top w:w="12" w:type="dxa"/>
              <w:left w:w="12" w:type="dxa"/>
              <w:right w:w="12" w:type="dxa"/>
            </w:tcMar>
            <w:vAlign w:val="center"/>
          </w:tcPr>
          <w:p w:rsidR="008510CF" w:rsidRPr="00F9522B" w:rsidRDefault="008510CF" w:rsidP="004C7345">
            <w:pPr>
              <w:widowControl/>
              <w:spacing w:line="0" w:lineRule="atLeast"/>
              <w:jc w:val="center"/>
              <w:textAlignment w:val="center"/>
              <w:rPr>
                <w:rFonts w:eastAsiaTheme="minorEastAsia"/>
                <w:kern w:val="0"/>
                <w:szCs w:val="21"/>
              </w:rPr>
            </w:pPr>
            <w:r w:rsidRPr="00F9522B">
              <w:rPr>
                <w:rFonts w:eastAsiaTheme="minorEastAsia"/>
                <w:kern w:val="0"/>
                <w:szCs w:val="21"/>
              </w:rPr>
              <w:t>2025</w:t>
            </w:r>
            <w:r w:rsidRPr="00F9522B">
              <w:rPr>
                <w:rFonts w:eastAsiaTheme="minorEastAsia"/>
                <w:kern w:val="0"/>
                <w:szCs w:val="21"/>
              </w:rPr>
              <w:t>年</w:t>
            </w:r>
            <w:r w:rsidRPr="00F9522B">
              <w:rPr>
                <w:rFonts w:eastAsiaTheme="minorEastAsia"/>
                <w:kern w:val="0"/>
                <w:szCs w:val="21"/>
              </w:rPr>
              <w:t>10</w:t>
            </w:r>
            <w:r w:rsidRPr="00F9522B">
              <w:rPr>
                <w:rFonts w:eastAsiaTheme="minorEastAsia"/>
                <w:kern w:val="0"/>
                <w:szCs w:val="21"/>
              </w:rPr>
              <w:t>月</w:t>
            </w:r>
          </w:p>
        </w:tc>
        <w:tc>
          <w:tcPr>
            <w:tcW w:w="888" w:type="pct"/>
            <w:shd w:val="clear" w:color="auto" w:fill="auto"/>
            <w:tcMar>
              <w:top w:w="12" w:type="dxa"/>
              <w:left w:w="12" w:type="dxa"/>
              <w:right w:w="12" w:type="dxa"/>
            </w:tcMar>
            <w:vAlign w:val="center"/>
          </w:tcPr>
          <w:p w:rsidR="008510CF" w:rsidRPr="00F9522B" w:rsidRDefault="008510CF" w:rsidP="00773236">
            <w:pPr>
              <w:widowControl/>
              <w:spacing w:line="0" w:lineRule="atLeast"/>
              <w:jc w:val="center"/>
              <w:textAlignment w:val="center"/>
              <w:rPr>
                <w:rFonts w:eastAsiaTheme="minorEastAsia"/>
                <w:kern w:val="0"/>
                <w:szCs w:val="21"/>
              </w:rPr>
            </w:pPr>
            <w:r w:rsidRPr="00F9522B">
              <w:rPr>
                <w:rFonts w:eastAsiaTheme="minorEastAsia"/>
                <w:kern w:val="0"/>
                <w:szCs w:val="21"/>
              </w:rPr>
              <w:t>Ⅲ</w:t>
            </w:r>
            <w:r w:rsidRPr="00F9522B">
              <w:rPr>
                <w:rFonts w:eastAsiaTheme="minorEastAsia"/>
                <w:kern w:val="0"/>
                <w:szCs w:val="21"/>
              </w:rPr>
              <w:t>类</w:t>
            </w:r>
          </w:p>
        </w:tc>
        <w:tc>
          <w:tcPr>
            <w:tcW w:w="888" w:type="pct"/>
            <w:vAlign w:val="center"/>
          </w:tcPr>
          <w:p w:rsidR="008510CF" w:rsidRPr="00F9522B" w:rsidRDefault="008510CF" w:rsidP="00773236">
            <w:pPr>
              <w:spacing w:line="0" w:lineRule="atLeast"/>
              <w:jc w:val="center"/>
              <w:rPr>
                <w:szCs w:val="21"/>
              </w:rPr>
            </w:pPr>
            <w:r w:rsidRPr="00F9522B">
              <w:rPr>
                <w:rFonts w:eastAsiaTheme="minorEastAsia"/>
                <w:kern w:val="0"/>
                <w:szCs w:val="21"/>
              </w:rPr>
              <w:t>达标</w:t>
            </w:r>
          </w:p>
        </w:tc>
      </w:tr>
      <w:tr w:rsidR="008510CF" w:rsidRPr="00F9522B" w:rsidTr="00C92D94">
        <w:trPr>
          <w:trHeight w:val="272"/>
          <w:jc w:val="center"/>
        </w:trPr>
        <w:tc>
          <w:tcPr>
            <w:tcW w:w="639" w:type="pct"/>
            <w:vMerge/>
            <w:shd w:val="clear" w:color="auto" w:fill="auto"/>
            <w:tcMar>
              <w:top w:w="12" w:type="dxa"/>
              <w:left w:w="12" w:type="dxa"/>
              <w:right w:w="12" w:type="dxa"/>
            </w:tcMar>
            <w:vAlign w:val="center"/>
          </w:tcPr>
          <w:p w:rsidR="008510CF" w:rsidRPr="00F9522B" w:rsidRDefault="008510CF">
            <w:pPr>
              <w:widowControl/>
              <w:spacing w:line="0" w:lineRule="atLeast"/>
              <w:jc w:val="center"/>
              <w:textAlignment w:val="center"/>
              <w:rPr>
                <w:rFonts w:eastAsiaTheme="minorEastAsia"/>
                <w:kern w:val="0"/>
                <w:szCs w:val="21"/>
              </w:rPr>
            </w:pPr>
          </w:p>
        </w:tc>
        <w:tc>
          <w:tcPr>
            <w:tcW w:w="626" w:type="pct"/>
            <w:vMerge/>
            <w:shd w:val="clear" w:color="auto" w:fill="auto"/>
            <w:tcMar>
              <w:top w:w="12" w:type="dxa"/>
              <w:left w:w="12" w:type="dxa"/>
              <w:right w:w="12" w:type="dxa"/>
            </w:tcMar>
            <w:vAlign w:val="center"/>
          </w:tcPr>
          <w:p w:rsidR="008510CF" w:rsidRPr="00F9522B" w:rsidRDefault="008510CF">
            <w:pPr>
              <w:widowControl/>
              <w:spacing w:line="0" w:lineRule="atLeast"/>
              <w:jc w:val="center"/>
              <w:textAlignment w:val="center"/>
              <w:rPr>
                <w:rFonts w:eastAsiaTheme="minorEastAsia"/>
                <w:kern w:val="0"/>
                <w:szCs w:val="21"/>
              </w:rPr>
            </w:pPr>
          </w:p>
        </w:tc>
        <w:tc>
          <w:tcPr>
            <w:tcW w:w="1959" w:type="pct"/>
            <w:tcMar>
              <w:top w:w="12" w:type="dxa"/>
              <w:left w:w="12" w:type="dxa"/>
              <w:right w:w="12" w:type="dxa"/>
            </w:tcMar>
            <w:vAlign w:val="center"/>
          </w:tcPr>
          <w:p w:rsidR="008510CF" w:rsidRPr="00F9522B" w:rsidRDefault="008510CF" w:rsidP="004C7345">
            <w:pPr>
              <w:spacing w:line="0" w:lineRule="atLeast"/>
              <w:jc w:val="center"/>
              <w:rPr>
                <w:rFonts w:eastAsiaTheme="minorEastAsia"/>
                <w:szCs w:val="21"/>
              </w:rPr>
            </w:pPr>
            <w:r w:rsidRPr="00F9522B">
              <w:rPr>
                <w:rFonts w:eastAsiaTheme="minorEastAsia"/>
                <w:kern w:val="0"/>
                <w:szCs w:val="21"/>
              </w:rPr>
              <w:t>2025</w:t>
            </w:r>
            <w:r w:rsidRPr="00F9522B">
              <w:rPr>
                <w:rFonts w:eastAsiaTheme="minorEastAsia"/>
                <w:kern w:val="0"/>
                <w:szCs w:val="21"/>
              </w:rPr>
              <w:t>年</w:t>
            </w:r>
            <w:r w:rsidRPr="00F9522B">
              <w:rPr>
                <w:rFonts w:eastAsiaTheme="minorEastAsia"/>
                <w:kern w:val="0"/>
                <w:szCs w:val="21"/>
              </w:rPr>
              <w:t>11</w:t>
            </w:r>
            <w:r w:rsidRPr="00F9522B">
              <w:rPr>
                <w:rFonts w:eastAsiaTheme="minorEastAsia"/>
                <w:kern w:val="0"/>
                <w:szCs w:val="21"/>
              </w:rPr>
              <w:t>月</w:t>
            </w:r>
          </w:p>
        </w:tc>
        <w:tc>
          <w:tcPr>
            <w:tcW w:w="888" w:type="pct"/>
            <w:shd w:val="clear" w:color="auto" w:fill="auto"/>
            <w:tcMar>
              <w:top w:w="12" w:type="dxa"/>
              <w:left w:w="12" w:type="dxa"/>
              <w:right w:w="12" w:type="dxa"/>
            </w:tcMar>
            <w:vAlign w:val="center"/>
          </w:tcPr>
          <w:p w:rsidR="008510CF" w:rsidRPr="00F9522B" w:rsidRDefault="008510CF" w:rsidP="00773236">
            <w:pPr>
              <w:widowControl/>
              <w:spacing w:line="0" w:lineRule="atLeast"/>
              <w:jc w:val="center"/>
              <w:textAlignment w:val="center"/>
              <w:rPr>
                <w:rFonts w:eastAsiaTheme="minorEastAsia"/>
                <w:kern w:val="0"/>
                <w:szCs w:val="21"/>
              </w:rPr>
            </w:pPr>
            <w:r w:rsidRPr="00F9522B">
              <w:rPr>
                <w:rFonts w:eastAsiaTheme="minorEastAsia"/>
                <w:kern w:val="0"/>
                <w:szCs w:val="21"/>
              </w:rPr>
              <w:t>Ⅲ</w:t>
            </w:r>
            <w:r w:rsidRPr="00F9522B">
              <w:rPr>
                <w:rFonts w:eastAsiaTheme="minorEastAsia"/>
                <w:kern w:val="0"/>
                <w:szCs w:val="21"/>
              </w:rPr>
              <w:t>类</w:t>
            </w:r>
          </w:p>
        </w:tc>
        <w:tc>
          <w:tcPr>
            <w:tcW w:w="888" w:type="pct"/>
            <w:vAlign w:val="center"/>
          </w:tcPr>
          <w:p w:rsidR="008510CF" w:rsidRPr="00F9522B" w:rsidRDefault="008510CF" w:rsidP="00773236">
            <w:pPr>
              <w:spacing w:line="0" w:lineRule="atLeast"/>
              <w:jc w:val="center"/>
              <w:rPr>
                <w:szCs w:val="21"/>
              </w:rPr>
            </w:pPr>
            <w:r w:rsidRPr="00F9522B">
              <w:rPr>
                <w:rFonts w:eastAsiaTheme="minorEastAsia"/>
                <w:kern w:val="0"/>
                <w:szCs w:val="21"/>
              </w:rPr>
              <w:t>达标</w:t>
            </w:r>
          </w:p>
        </w:tc>
      </w:tr>
      <w:tr w:rsidR="008510CF" w:rsidRPr="00F9522B" w:rsidTr="00C92D94">
        <w:trPr>
          <w:trHeight w:val="272"/>
          <w:jc w:val="center"/>
        </w:trPr>
        <w:tc>
          <w:tcPr>
            <w:tcW w:w="639" w:type="pct"/>
            <w:vMerge/>
            <w:shd w:val="clear" w:color="auto" w:fill="auto"/>
            <w:tcMar>
              <w:top w:w="12" w:type="dxa"/>
              <w:left w:w="12" w:type="dxa"/>
              <w:right w:w="12" w:type="dxa"/>
            </w:tcMar>
            <w:vAlign w:val="center"/>
          </w:tcPr>
          <w:p w:rsidR="008510CF" w:rsidRPr="00F9522B" w:rsidRDefault="008510CF">
            <w:pPr>
              <w:widowControl/>
              <w:spacing w:line="0" w:lineRule="atLeast"/>
              <w:jc w:val="center"/>
              <w:textAlignment w:val="center"/>
              <w:rPr>
                <w:rFonts w:eastAsiaTheme="minorEastAsia"/>
                <w:kern w:val="0"/>
                <w:szCs w:val="21"/>
              </w:rPr>
            </w:pPr>
          </w:p>
        </w:tc>
        <w:tc>
          <w:tcPr>
            <w:tcW w:w="626" w:type="pct"/>
            <w:vMerge/>
            <w:shd w:val="clear" w:color="auto" w:fill="auto"/>
            <w:tcMar>
              <w:top w:w="12" w:type="dxa"/>
              <w:left w:w="12" w:type="dxa"/>
              <w:right w:w="12" w:type="dxa"/>
            </w:tcMar>
            <w:vAlign w:val="center"/>
          </w:tcPr>
          <w:p w:rsidR="008510CF" w:rsidRPr="00F9522B" w:rsidRDefault="008510CF">
            <w:pPr>
              <w:widowControl/>
              <w:spacing w:line="0" w:lineRule="atLeast"/>
              <w:jc w:val="center"/>
              <w:textAlignment w:val="bottom"/>
              <w:rPr>
                <w:rFonts w:eastAsiaTheme="minorEastAsia"/>
                <w:kern w:val="0"/>
                <w:szCs w:val="21"/>
              </w:rPr>
            </w:pPr>
          </w:p>
        </w:tc>
        <w:tc>
          <w:tcPr>
            <w:tcW w:w="1959" w:type="pct"/>
            <w:tcMar>
              <w:top w:w="12" w:type="dxa"/>
              <w:left w:w="12" w:type="dxa"/>
              <w:right w:w="12" w:type="dxa"/>
            </w:tcMar>
            <w:vAlign w:val="center"/>
          </w:tcPr>
          <w:p w:rsidR="008510CF" w:rsidRPr="00F9522B" w:rsidRDefault="008510CF" w:rsidP="004C7345">
            <w:pPr>
              <w:spacing w:line="0" w:lineRule="atLeast"/>
              <w:jc w:val="center"/>
              <w:rPr>
                <w:rFonts w:eastAsiaTheme="minorEastAsia"/>
                <w:szCs w:val="21"/>
              </w:rPr>
            </w:pPr>
            <w:r w:rsidRPr="00F9522B">
              <w:rPr>
                <w:rFonts w:eastAsiaTheme="minorEastAsia"/>
                <w:kern w:val="0"/>
                <w:szCs w:val="21"/>
              </w:rPr>
              <w:t>2025</w:t>
            </w:r>
            <w:r w:rsidRPr="00F9522B">
              <w:rPr>
                <w:rFonts w:eastAsiaTheme="minorEastAsia"/>
                <w:kern w:val="0"/>
                <w:szCs w:val="21"/>
              </w:rPr>
              <w:t>年</w:t>
            </w:r>
            <w:r w:rsidRPr="00F9522B">
              <w:rPr>
                <w:rFonts w:eastAsiaTheme="minorEastAsia"/>
                <w:kern w:val="0"/>
                <w:szCs w:val="21"/>
              </w:rPr>
              <w:t>12</w:t>
            </w:r>
            <w:r w:rsidRPr="00F9522B">
              <w:rPr>
                <w:rFonts w:eastAsiaTheme="minorEastAsia"/>
                <w:kern w:val="0"/>
                <w:szCs w:val="21"/>
              </w:rPr>
              <w:t>月</w:t>
            </w:r>
          </w:p>
        </w:tc>
        <w:tc>
          <w:tcPr>
            <w:tcW w:w="888" w:type="pct"/>
            <w:shd w:val="clear" w:color="auto" w:fill="auto"/>
            <w:tcMar>
              <w:top w:w="12" w:type="dxa"/>
              <w:left w:w="12" w:type="dxa"/>
              <w:right w:w="12" w:type="dxa"/>
            </w:tcMar>
            <w:vAlign w:val="center"/>
          </w:tcPr>
          <w:p w:rsidR="008510CF" w:rsidRPr="00F9522B" w:rsidRDefault="008510CF" w:rsidP="00773236">
            <w:pPr>
              <w:widowControl/>
              <w:spacing w:line="0" w:lineRule="atLeast"/>
              <w:jc w:val="center"/>
              <w:textAlignment w:val="center"/>
              <w:rPr>
                <w:rFonts w:eastAsiaTheme="minorEastAsia"/>
                <w:kern w:val="0"/>
                <w:szCs w:val="21"/>
              </w:rPr>
            </w:pPr>
            <w:r w:rsidRPr="00F9522B">
              <w:rPr>
                <w:rFonts w:eastAsiaTheme="minorEastAsia"/>
                <w:kern w:val="0"/>
                <w:szCs w:val="21"/>
              </w:rPr>
              <w:t>Ⅲ</w:t>
            </w:r>
            <w:r w:rsidRPr="00F9522B">
              <w:rPr>
                <w:rFonts w:eastAsiaTheme="minorEastAsia"/>
                <w:kern w:val="0"/>
                <w:szCs w:val="21"/>
              </w:rPr>
              <w:t>类</w:t>
            </w:r>
          </w:p>
        </w:tc>
        <w:tc>
          <w:tcPr>
            <w:tcW w:w="888" w:type="pct"/>
            <w:vAlign w:val="center"/>
          </w:tcPr>
          <w:p w:rsidR="008510CF" w:rsidRPr="00F9522B" w:rsidRDefault="008510CF" w:rsidP="00773236">
            <w:pPr>
              <w:spacing w:line="0" w:lineRule="atLeast"/>
              <w:jc w:val="center"/>
              <w:rPr>
                <w:szCs w:val="21"/>
              </w:rPr>
            </w:pPr>
            <w:r w:rsidRPr="00F9522B">
              <w:rPr>
                <w:rFonts w:eastAsiaTheme="minorEastAsia"/>
                <w:kern w:val="0"/>
                <w:szCs w:val="21"/>
              </w:rPr>
              <w:t>达标</w:t>
            </w:r>
          </w:p>
        </w:tc>
      </w:tr>
      <w:tr w:rsidR="008510CF" w:rsidRPr="00F9522B" w:rsidTr="00C92D94">
        <w:trPr>
          <w:trHeight w:val="272"/>
          <w:jc w:val="center"/>
        </w:trPr>
        <w:tc>
          <w:tcPr>
            <w:tcW w:w="639" w:type="pct"/>
            <w:vMerge/>
            <w:shd w:val="clear" w:color="auto" w:fill="auto"/>
            <w:tcMar>
              <w:top w:w="12" w:type="dxa"/>
              <w:left w:w="12" w:type="dxa"/>
              <w:right w:w="12" w:type="dxa"/>
            </w:tcMar>
            <w:vAlign w:val="center"/>
          </w:tcPr>
          <w:p w:rsidR="008510CF" w:rsidRPr="00F9522B" w:rsidRDefault="008510CF">
            <w:pPr>
              <w:widowControl/>
              <w:spacing w:line="0" w:lineRule="atLeast"/>
              <w:jc w:val="center"/>
              <w:textAlignment w:val="center"/>
              <w:rPr>
                <w:rFonts w:eastAsiaTheme="minorEastAsia"/>
                <w:kern w:val="0"/>
                <w:szCs w:val="21"/>
              </w:rPr>
            </w:pPr>
          </w:p>
        </w:tc>
        <w:tc>
          <w:tcPr>
            <w:tcW w:w="626" w:type="pct"/>
            <w:vMerge/>
            <w:shd w:val="clear" w:color="auto" w:fill="auto"/>
            <w:tcMar>
              <w:top w:w="12" w:type="dxa"/>
              <w:left w:w="12" w:type="dxa"/>
              <w:right w:w="12" w:type="dxa"/>
            </w:tcMar>
            <w:vAlign w:val="center"/>
          </w:tcPr>
          <w:p w:rsidR="008510CF" w:rsidRPr="00F9522B" w:rsidRDefault="008510CF">
            <w:pPr>
              <w:widowControl/>
              <w:spacing w:line="0" w:lineRule="atLeast"/>
              <w:jc w:val="center"/>
              <w:textAlignment w:val="center"/>
              <w:rPr>
                <w:rFonts w:eastAsiaTheme="minorEastAsia"/>
                <w:kern w:val="0"/>
                <w:szCs w:val="21"/>
              </w:rPr>
            </w:pPr>
          </w:p>
        </w:tc>
        <w:tc>
          <w:tcPr>
            <w:tcW w:w="1959" w:type="pct"/>
            <w:tcMar>
              <w:top w:w="12" w:type="dxa"/>
              <w:left w:w="12" w:type="dxa"/>
              <w:right w:w="12" w:type="dxa"/>
            </w:tcMar>
            <w:vAlign w:val="center"/>
          </w:tcPr>
          <w:p w:rsidR="008510CF" w:rsidRPr="00F9522B" w:rsidRDefault="008510CF" w:rsidP="004C7345">
            <w:pPr>
              <w:spacing w:line="0" w:lineRule="atLeast"/>
              <w:jc w:val="center"/>
              <w:rPr>
                <w:rFonts w:eastAsiaTheme="minorEastAsia"/>
                <w:kern w:val="0"/>
                <w:szCs w:val="21"/>
              </w:rPr>
            </w:pPr>
            <w:r w:rsidRPr="00F9522B">
              <w:rPr>
                <w:rFonts w:eastAsiaTheme="minorEastAsia"/>
                <w:kern w:val="0"/>
                <w:szCs w:val="21"/>
              </w:rPr>
              <w:t>2026</w:t>
            </w:r>
            <w:r w:rsidRPr="00F9522B">
              <w:rPr>
                <w:rFonts w:eastAsiaTheme="minorEastAsia"/>
                <w:kern w:val="0"/>
                <w:szCs w:val="21"/>
              </w:rPr>
              <w:t>年</w:t>
            </w:r>
            <w:r w:rsidRPr="00F9522B">
              <w:rPr>
                <w:rFonts w:eastAsiaTheme="minorEastAsia"/>
                <w:kern w:val="0"/>
                <w:szCs w:val="21"/>
              </w:rPr>
              <w:t>1</w:t>
            </w:r>
            <w:r w:rsidRPr="00F9522B">
              <w:rPr>
                <w:rFonts w:eastAsiaTheme="minorEastAsia"/>
                <w:kern w:val="0"/>
                <w:szCs w:val="21"/>
              </w:rPr>
              <w:t>月</w:t>
            </w:r>
          </w:p>
        </w:tc>
        <w:tc>
          <w:tcPr>
            <w:tcW w:w="888" w:type="pct"/>
            <w:shd w:val="clear" w:color="auto" w:fill="auto"/>
            <w:tcMar>
              <w:top w:w="12" w:type="dxa"/>
              <w:left w:w="12" w:type="dxa"/>
              <w:right w:w="12" w:type="dxa"/>
            </w:tcMar>
            <w:vAlign w:val="center"/>
          </w:tcPr>
          <w:p w:rsidR="008510CF" w:rsidRPr="00F9522B" w:rsidRDefault="008510CF" w:rsidP="00773236">
            <w:pPr>
              <w:widowControl/>
              <w:spacing w:line="0" w:lineRule="atLeast"/>
              <w:jc w:val="center"/>
              <w:textAlignment w:val="center"/>
              <w:rPr>
                <w:rFonts w:eastAsiaTheme="minorEastAsia"/>
                <w:kern w:val="0"/>
                <w:szCs w:val="21"/>
              </w:rPr>
            </w:pPr>
            <w:r w:rsidRPr="00F9522B">
              <w:rPr>
                <w:rFonts w:eastAsiaTheme="minorEastAsia"/>
                <w:kern w:val="0"/>
                <w:szCs w:val="21"/>
              </w:rPr>
              <w:t>Ⅲ</w:t>
            </w:r>
            <w:r w:rsidRPr="00F9522B">
              <w:rPr>
                <w:rFonts w:eastAsiaTheme="minorEastAsia"/>
                <w:kern w:val="0"/>
                <w:szCs w:val="21"/>
              </w:rPr>
              <w:t>类</w:t>
            </w:r>
          </w:p>
        </w:tc>
        <w:tc>
          <w:tcPr>
            <w:tcW w:w="888" w:type="pct"/>
            <w:vAlign w:val="center"/>
          </w:tcPr>
          <w:p w:rsidR="008510CF" w:rsidRPr="00F9522B" w:rsidRDefault="008510CF" w:rsidP="00773236">
            <w:pPr>
              <w:spacing w:line="0" w:lineRule="atLeast"/>
              <w:jc w:val="center"/>
              <w:rPr>
                <w:szCs w:val="21"/>
              </w:rPr>
            </w:pPr>
            <w:r w:rsidRPr="00F9522B">
              <w:rPr>
                <w:rFonts w:eastAsiaTheme="minorEastAsia"/>
                <w:kern w:val="0"/>
                <w:szCs w:val="21"/>
              </w:rPr>
              <w:t>达标</w:t>
            </w:r>
          </w:p>
        </w:tc>
      </w:tr>
      <w:tr w:rsidR="008510CF" w:rsidRPr="00F9522B" w:rsidTr="00C92D94">
        <w:trPr>
          <w:trHeight w:val="272"/>
          <w:jc w:val="center"/>
        </w:trPr>
        <w:tc>
          <w:tcPr>
            <w:tcW w:w="639" w:type="pct"/>
            <w:vMerge/>
            <w:shd w:val="clear" w:color="auto" w:fill="auto"/>
            <w:tcMar>
              <w:top w:w="12" w:type="dxa"/>
              <w:left w:w="12" w:type="dxa"/>
              <w:right w:w="12" w:type="dxa"/>
            </w:tcMar>
            <w:vAlign w:val="center"/>
          </w:tcPr>
          <w:p w:rsidR="008510CF" w:rsidRPr="00F9522B" w:rsidRDefault="008510CF">
            <w:pPr>
              <w:widowControl/>
              <w:spacing w:line="0" w:lineRule="atLeast"/>
              <w:jc w:val="center"/>
              <w:textAlignment w:val="center"/>
              <w:rPr>
                <w:rFonts w:eastAsiaTheme="minorEastAsia"/>
                <w:kern w:val="0"/>
                <w:szCs w:val="21"/>
              </w:rPr>
            </w:pPr>
          </w:p>
        </w:tc>
        <w:tc>
          <w:tcPr>
            <w:tcW w:w="626" w:type="pct"/>
            <w:vMerge/>
            <w:shd w:val="clear" w:color="auto" w:fill="auto"/>
            <w:tcMar>
              <w:top w:w="12" w:type="dxa"/>
              <w:left w:w="12" w:type="dxa"/>
              <w:right w:w="12" w:type="dxa"/>
            </w:tcMar>
            <w:vAlign w:val="center"/>
          </w:tcPr>
          <w:p w:rsidR="008510CF" w:rsidRPr="00F9522B" w:rsidRDefault="008510CF">
            <w:pPr>
              <w:widowControl/>
              <w:spacing w:line="0" w:lineRule="atLeast"/>
              <w:jc w:val="center"/>
              <w:textAlignment w:val="center"/>
              <w:rPr>
                <w:rFonts w:eastAsiaTheme="minorEastAsia"/>
                <w:kern w:val="0"/>
                <w:szCs w:val="21"/>
              </w:rPr>
            </w:pPr>
          </w:p>
        </w:tc>
        <w:tc>
          <w:tcPr>
            <w:tcW w:w="1959" w:type="pct"/>
            <w:tcMar>
              <w:top w:w="12" w:type="dxa"/>
              <w:left w:w="12" w:type="dxa"/>
              <w:right w:w="12" w:type="dxa"/>
            </w:tcMar>
            <w:vAlign w:val="center"/>
          </w:tcPr>
          <w:p w:rsidR="008510CF" w:rsidRPr="00F9522B" w:rsidRDefault="008510CF" w:rsidP="004C7345">
            <w:pPr>
              <w:spacing w:line="0" w:lineRule="atLeast"/>
              <w:jc w:val="center"/>
              <w:rPr>
                <w:rFonts w:eastAsiaTheme="minorEastAsia"/>
                <w:kern w:val="0"/>
                <w:szCs w:val="21"/>
              </w:rPr>
            </w:pPr>
            <w:r w:rsidRPr="00F9522B">
              <w:rPr>
                <w:rFonts w:eastAsiaTheme="minorEastAsia"/>
                <w:kern w:val="0"/>
                <w:szCs w:val="21"/>
              </w:rPr>
              <w:t>2026</w:t>
            </w:r>
            <w:r w:rsidRPr="00F9522B">
              <w:rPr>
                <w:rFonts w:eastAsiaTheme="minorEastAsia"/>
                <w:kern w:val="0"/>
                <w:szCs w:val="21"/>
              </w:rPr>
              <w:t>年</w:t>
            </w:r>
            <w:r w:rsidRPr="00F9522B">
              <w:rPr>
                <w:rFonts w:eastAsiaTheme="minorEastAsia"/>
                <w:kern w:val="0"/>
                <w:szCs w:val="21"/>
              </w:rPr>
              <w:t>2</w:t>
            </w:r>
            <w:r w:rsidRPr="00F9522B">
              <w:rPr>
                <w:rFonts w:eastAsiaTheme="minorEastAsia"/>
                <w:kern w:val="0"/>
                <w:szCs w:val="21"/>
              </w:rPr>
              <w:t>月</w:t>
            </w:r>
          </w:p>
        </w:tc>
        <w:tc>
          <w:tcPr>
            <w:tcW w:w="888" w:type="pct"/>
            <w:shd w:val="clear" w:color="auto" w:fill="auto"/>
            <w:tcMar>
              <w:top w:w="12" w:type="dxa"/>
              <w:left w:w="12" w:type="dxa"/>
              <w:right w:w="12" w:type="dxa"/>
            </w:tcMar>
            <w:vAlign w:val="center"/>
          </w:tcPr>
          <w:p w:rsidR="008510CF" w:rsidRPr="00F9522B" w:rsidRDefault="008510CF" w:rsidP="00773236">
            <w:pPr>
              <w:widowControl/>
              <w:spacing w:line="0" w:lineRule="atLeast"/>
              <w:jc w:val="center"/>
              <w:textAlignment w:val="center"/>
              <w:rPr>
                <w:rFonts w:eastAsiaTheme="minorEastAsia"/>
                <w:kern w:val="0"/>
                <w:szCs w:val="21"/>
              </w:rPr>
            </w:pPr>
            <w:r w:rsidRPr="00F9522B">
              <w:rPr>
                <w:rFonts w:eastAsiaTheme="minorEastAsia"/>
                <w:kern w:val="0"/>
                <w:szCs w:val="21"/>
              </w:rPr>
              <w:t>Ⅲ</w:t>
            </w:r>
            <w:r w:rsidRPr="00F9522B">
              <w:rPr>
                <w:rFonts w:eastAsiaTheme="minorEastAsia"/>
                <w:kern w:val="0"/>
                <w:szCs w:val="21"/>
              </w:rPr>
              <w:t>类</w:t>
            </w:r>
          </w:p>
        </w:tc>
        <w:tc>
          <w:tcPr>
            <w:tcW w:w="888" w:type="pct"/>
            <w:vAlign w:val="center"/>
          </w:tcPr>
          <w:p w:rsidR="008510CF" w:rsidRPr="00F9522B" w:rsidRDefault="008510CF" w:rsidP="00773236">
            <w:pPr>
              <w:spacing w:line="0" w:lineRule="atLeast"/>
              <w:jc w:val="center"/>
              <w:rPr>
                <w:szCs w:val="21"/>
              </w:rPr>
            </w:pPr>
            <w:r w:rsidRPr="00F9522B">
              <w:rPr>
                <w:rFonts w:eastAsiaTheme="minorEastAsia"/>
                <w:kern w:val="0"/>
                <w:szCs w:val="21"/>
              </w:rPr>
              <w:t>达标</w:t>
            </w:r>
          </w:p>
        </w:tc>
      </w:tr>
      <w:tr w:rsidR="008510CF" w:rsidRPr="00F9522B" w:rsidTr="00C92D94">
        <w:trPr>
          <w:trHeight w:val="272"/>
          <w:jc w:val="center"/>
        </w:trPr>
        <w:tc>
          <w:tcPr>
            <w:tcW w:w="639" w:type="pct"/>
            <w:vMerge/>
            <w:shd w:val="clear" w:color="auto" w:fill="auto"/>
            <w:tcMar>
              <w:top w:w="12" w:type="dxa"/>
              <w:left w:w="12" w:type="dxa"/>
              <w:right w:w="12" w:type="dxa"/>
            </w:tcMar>
            <w:vAlign w:val="center"/>
          </w:tcPr>
          <w:p w:rsidR="008510CF" w:rsidRPr="00F9522B" w:rsidRDefault="008510CF">
            <w:pPr>
              <w:widowControl/>
              <w:spacing w:line="0" w:lineRule="atLeast"/>
              <w:jc w:val="center"/>
              <w:textAlignment w:val="center"/>
              <w:rPr>
                <w:rFonts w:eastAsiaTheme="minorEastAsia"/>
                <w:kern w:val="0"/>
                <w:szCs w:val="21"/>
              </w:rPr>
            </w:pPr>
          </w:p>
        </w:tc>
        <w:tc>
          <w:tcPr>
            <w:tcW w:w="626" w:type="pct"/>
            <w:vMerge/>
            <w:shd w:val="clear" w:color="auto" w:fill="auto"/>
            <w:tcMar>
              <w:top w:w="12" w:type="dxa"/>
              <w:left w:w="12" w:type="dxa"/>
              <w:right w:w="12" w:type="dxa"/>
            </w:tcMar>
            <w:vAlign w:val="center"/>
          </w:tcPr>
          <w:p w:rsidR="008510CF" w:rsidRPr="00F9522B" w:rsidRDefault="008510CF">
            <w:pPr>
              <w:widowControl/>
              <w:spacing w:line="0" w:lineRule="atLeast"/>
              <w:jc w:val="center"/>
              <w:textAlignment w:val="center"/>
              <w:rPr>
                <w:rFonts w:eastAsiaTheme="minorEastAsia"/>
                <w:kern w:val="0"/>
                <w:szCs w:val="21"/>
              </w:rPr>
            </w:pPr>
          </w:p>
        </w:tc>
        <w:tc>
          <w:tcPr>
            <w:tcW w:w="1959" w:type="pct"/>
            <w:tcMar>
              <w:top w:w="12" w:type="dxa"/>
              <w:left w:w="12" w:type="dxa"/>
              <w:right w:w="12" w:type="dxa"/>
            </w:tcMar>
            <w:vAlign w:val="center"/>
          </w:tcPr>
          <w:p w:rsidR="008510CF" w:rsidRPr="00F9522B" w:rsidRDefault="008510CF" w:rsidP="004C7345">
            <w:pPr>
              <w:spacing w:line="0" w:lineRule="atLeast"/>
              <w:jc w:val="center"/>
              <w:rPr>
                <w:rFonts w:eastAsiaTheme="minorEastAsia"/>
                <w:kern w:val="0"/>
                <w:szCs w:val="21"/>
              </w:rPr>
            </w:pPr>
            <w:r w:rsidRPr="00F9522B">
              <w:rPr>
                <w:rFonts w:eastAsiaTheme="minorEastAsia"/>
                <w:kern w:val="0"/>
                <w:szCs w:val="21"/>
              </w:rPr>
              <w:t>2026</w:t>
            </w:r>
            <w:r w:rsidRPr="00F9522B">
              <w:rPr>
                <w:rFonts w:eastAsiaTheme="minorEastAsia"/>
                <w:kern w:val="0"/>
                <w:szCs w:val="21"/>
              </w:rPr>
              <w:t>年</w:t>
            </w:r>
            <w:r w:rsidRPr="00F9522B">
              <w:rPr>
                <w:rFonts w:eastAsiaTheme="minorEastAsia"/>
                <w:kern w:val="0"/>
                <w:szCs w:val="21"/>
              </w:rPr>
              <w:t>3</w:t>
            </w:r>
            <w:r w:rsidRPr="00F9522B">
              <w:rPr>
                <w:rFonts w:eastAsiaTheme="minorEastAsia"/>
                <w:kern w:val="0"/>
                <w:szCs w:val="21"/>
              </w:rPr>
              <w:t>月</w:t>
            </w:r>
          </w:p>
        </w:tc>
        <w:tc>
          <w:tcPr>
            <w:tcW w:w="888" w:type="pct"/>
            <w:shd w:val="clear" w:color="auto" w:fill="auto"/>
            <w:tcMar>
              <w:top w:w="12" w:type="dxa"/>
              <w:left w:w="12" w:type="dxa"/>
              <w:right w:w="12" w:type="dxa"/>
            </w:tcMar>
            <w:vAlign w:val="center"/>
          </w:tcPr>
          <w:p w:rsidR="008510CF" w:rsidRPr="00F9522B" w:rsidRDefault="005273A1" w:rsidP="00773236">
            <w:pPr>
              <w:widowControl/>
              <w:spacing w:line="0" w:lineRule="atLeast"/>
              <w:jc w:val="center"/>
              <w:textAlignment w:val="center"/>
              <w:rPr>
                <w:rFonts w:eastAsiaTheme="minorEastAsia"/>
                <w:kern w:val="0"/>
                <w:szCs w:val="21"/>
              </w:rPr>
            </w:pPr>
            <w:r w:rsidRPr="00F9522B">
              <w:rPr>
                <w:rFonts w:eastAsiaTheme="minorEastAsia"/>
                <w:kern w:val="0"/>
                <w:szCs w:val="21"/>
              </w:rPr>
              <w:fldChar w:fldCharType="begin"/>
            </w:r>
            <w:r w:rsidR="008510CF" w:rsidRPr="00F9522B">
              <w:rPr>
                <w:rFonts w:eastAsiaTheme="minorEastAsia"/>
                <w:kern w:val="0"/>
                <w:szCs w:val="21"/>
              </w:rPr>
              <w:instrText xml:space="preserve"> = 2 \* ROMAN </w:instrText>
            </w:r>
            <w:r w:rsidRPr="00F9522B">
              <w:rPr>
                <w:rFonts w:eastAsiaTheme="minorEastAsia"/>
                <w:kern w:val="0"/>
                <w:szCs w:val="21"/>
              </w:rPr>
              <w:fldChar w:fldCharType="separate"/>
            </w:r>
            <w:r w:rsidR="008510CF" w:rsidRPr="00F9522B">
              <w:rPr>
                <w:rFonts w:eastAsiaTheme="minorEastAsia"/>
                <w:noProof/>
                <w:kern w:val="0"/>
                <w:szCs w:val="21"/>
              </w:rPr>
              <w:t>II</w:t>
            </w:r>
            <w:r w:rsidRPr="00F9522B">
              <w:rPr>
                <w:rFonts w:eastAsiaTheme="minorEastAsia"/>
                <w:kern w:val="0"/>
                <w:szCs w:val="21"/>
              </w:rPr>
              <w:fldChar w:fldCharType="end"/>
            </w:r>
            <w:r w:rsidR="008510CF" w:rsidRPr="00F9522B">
              <w:rPr>
                <w:rFonts w:eastAsiaTheme="minorEastAsia"/>
                <w:kern w:val="0"/>
                <w:szCs w:val="21"/>
              </w:rPr>
              <w:t>类</w:t>
            </w:r>
          </w:p>
        </w:tc>
        <w:tc>
          <w:tcPr>
            <w:tcW w:w="888" w:type="pct"/>
            <w:vAlign w:val="center"/>
          </w:tcPr>
          <w:p w:rsidR="008510CF" w:rsidRPr="00F9522B" w:rsidRDefault="008510CF" w:rsidP="00773236">
            <w:pPr>
              <w:spacing w:line="0" w:lineRule="atLeast"/>
              <w:jc w:val="center"/>
              <w:rPr>
                <w:szCs w:val="21"/>
              </w:rPr>
            </w:pPr>
            <w:r w:rsidRPr="00F9522B">
              <w:rPr>
                <w:rFonts w:eastAsiaTheme="minorEastAsia"/>
                <w:kern w:val="0"/>
                <w:szCs w:val="21"/>
              </w:rPr>
              <w:t>达标</w:t>
            </w:r>
          </w:p>
        </w:tc>
      </w:tr>
    </w:tbl>
    <w:p w:rsidR="002A5A5E" w:rsidRPr="00F9522B" w:rsidRDefault="00611CBA">
      <w:pPr>
        <w:contextualSpacing/>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4-2-7</w:t>
      </w:r>
      <w:r w:rsidRPr="00F9522B">
        <w:rPr>
          <w:rFonts w:eastAsiaTheme="minorEastAsia"/>
          <w:b/>
          <w:kern w:val="0"/>
          <w:szCs w:val="21"/>
        </w:rPr>
        <w:t>少陵河桥（国控断面）水质状况一览表</w:t>
      </w:r>
    </w:p>
    <w:tbl>
      <w:tblPr>
        <w:tblW w:w="5007" w:type="pct"/>
        <w:jc w:val="center"/>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tblPr>
      <w:tblGrid>
        <w:gridCol w:w="1065"/>
        <w:gridCol w:w="1043"/>
        <w:gridCol w:w="3264"/>
        <w:gridCol w:w="1479"/>
        <w:gridCol w:w="1479"/>
      </w:tblGrid>
      <w:tr w:rsidR="002A5A5E" w:rsidRPr="00F9522B" w:rsidTr="00C92D94">
        <w:trPr>
          <w:trHeight w:val="158"/>
          <w:tblHeader/>
          <w:jc w:val="center"/>
        </w:trPr>
        <w:tc>
          <w:tcPr>
            <w:tcW w:w="639" w:type="pct"/>
            <w:shd w:val="clear" w:color="auto" w:fill="auto"/>
            <w:tcMar>
              <w:top w:w="12" w:type="dxa"/>
              <w:left w:w="12" w:type="dxa"/>
              <w:right w:w="12" w:type="dxa"/>
            </w:tcMar>
            <w:vAlign w:val="center"/>
          </w:tcPr>
          <w:p w:rsidR="002A5A5E" w:rsidRPr="00F9522B" w:rsidRDefault="00611CBA">
            <w:pPr>
              <w:widowControl/>
              <w:spacing w:line="0" w:lineRule="atLeast"/>
              <w:jc w:val="center"/>
              <w:textAlignment w:val="center"/>
              <w:rPr>
                <w:rFonts w:eastAsiaTheme="minorEastAsia"/>
                <w:kern w:val="0"/>
                <w:szCs w:val="21"/>
              </w:rPr>
            </w:pPr>
            <w:r w:rsidRPr="00F9522B">
              <w:rPr>
                <w:rFonts w:eastAsiaTheme="minorEastAsia"/>
                <w:kern w:val="0"/>
                <w:szCs w:val="21"/>
              </w:rPr>
              <w:t>断面名称</w:t>
            </w:r>
          </w:p>
        </w:tc>
        <w:tc>
          <w:tcPr>
            <w:tcW w:w="626" w:type="pct"/>
            <w:shd w:val="clear" w:color="auto" w:fill="auto"/>
            <w:tcMar>
              <w:top w:w="12" w:type="dxa"/>
              <w:left w:w="12" w:type="dxa"/>
              <w:right w:w="12" w:type="dxa"/>
            </w:tcMar>
            <w:vAlign w:val="center"/>
          </w:tcPr>
          <w:p w:rsidR="002A5A5E" w:rsidRPr="00F9522B" w:rsidRDefault="00611CBA">
            <w:pPr>
              <w:widowControl/>
              <w:spacing w:line="0" w:lineRule="atLeast"/>
              <w:jc w:val="center"/>
              <w:textAlignment w:val="center"/>
              <w:rPr>
                <w:rFonts w:eastAsiaTheme="minorEastAsia"/>
                <w:kern w:val="0"/>
                <w:szCs w:val="21"/>
              </w:rPr>
            </w:pPr>
            <w:r w:rsidRPr="00F9522B">
              <w:rPr>
                <w:rFonts w:eastAsiaTheme="minorEastAsia"/>
                <w:kern w:val="0"/>
                <w:szCs w:val="21"/>
              </w:rPr>
              <w:t>考核目标</w:t>
            </w:r>
          </w:p>
        </w:tc>
        <w:tc>
          <w:tcPr>
            <w:tcW w:w="1959" w:type="pct"/>
            <w:tcMar>
              <w:top w:w="12" w:type="dxa"/>
              <w:left w:w="12" w:type="dxa"/>
              <w:right w:w="12" w:type="dxa"/>
            </w:tcMar>
            <w:vAlign w:val="center"/>
          </w:tcPr>
          <w:p w:rsidR="002A5A5E" w:rsidRPr="00F9522B" w:rsidRDefault="00611CBA">
            <w:pPr>
              <w:widowControl/>
              <w:spacing w:line="0" w:lineRule="atLeast"/>
              <w:jc w:val="center"/>
              <w:textAlignment w:val="center"/>
              <w:rPr>
                <w:rFonts w:eastAsiaTheme="minorEastAsia"/>
                <w:kern w:val="0"/>
                <w:szCs w:val="21"/>
              </w:rPr>
            </w:pPr>
            <w:r w:rsidRPr="00F9522B">
              <w:rPr>
                <w:rFonts w:eastAsiaTheme="minorEastAsia"/>
                <w:kern w:val="0"/>
                <w:szCs w:val="21"/>
              </w:rPr>
              <w:t>时段</w:t>
            </w:r>
          </w:p>
        </w:tc>
        <w:tc>
          <w:tcPr>
            <w:tcW w:w="888" w:type="pct"/>
            <w:shd w:val="clear" w:color="auto" w:fill="auto"/>
            <w:tcMar>
              <w:top w:w="12" w:type="dxa"/>
              <w:left w:w="12" w:type="dxa"/>
              <w:right w:w="12" w:type="dxa"/>
            </w:tcMar>
            <w:vAlign w:val="center"/>
          </w:tcPr>
          <w:p w:rsidR="002A5A5E" w:rsidRPr="00F9522B" w:rsidRDefault="00611CBA">
            <w:pPr>
              <w:widowControl/>
              <w:spacing w:line="0" w:lineRule="atLeast"/>
              <w:jc w:val="center"/>
              <w:textAlignment w:val="center"/>
              <w:rPr>
                <w:rFonts w:eastAsiaTheme="minorEastAsia"/>
                <w:kern w:val="0"/>
                <w:szCs w:val="21"/>
              </w:rPr>
            </w:pPr>
            <w:r w:rsidRPr="00F9522B">
              <w:rPr>
                <w:rFonts w:eastAsiaTheme="minorEastAsia"/>
                <w:kern w:val="0"/>
                <w:szCs w:val="21"/>
              </w:rPr>
              <w:t>水质类别</w:t>
            </w:r>
          </w:p>
        </w:tc>
        <w:tc>
          <w:tcPr>
            <w:tcW w:w="888" w:type="pct"/>
            <w:vAlign w:val="center"/>
          </w:tcPr>
          <w:p w:rsidR="002A5A5E" w:rsidRPr="00F9522B" w:rsidRDefault="00611CBA">
            <w:pPr>
              <w:widowControl/>
              <w:spacing w:line="0" w:lineRule="atLeast"/>
              <w:jc w:val="center"/>
              <w:textAlignment w:val="center"/>
              <w:rPr>
                <w:rFonts w:eastAsiaTheme="minorEastAsia"/>
                <w:kern w:val="0"/>
                <w:szCs w:val="21"/>
              </w:rPr>
            </w:pPr>
            <w:r w:rsidRPr="00F9522B">
              <w:rPr>
                <w:rFonts w:eastAsiaTheme="minorEastAsia"/>
                <w:kern w:val="0"/>
                <w:szCs w:val="21"/>
              </w:rPr>
              <w:t>达标情况</w:t>
            </w:r>
          </w:p>
        </w:tc>
      </w:tr>
      <w:tr w:rsidR="00DA1F1B" w:rsidRPr="00F9522B" w:rsidTr="00C92D94">
        <w:trPr>
          <w:trHeight w:val="158"/>
          <w:tblHeader/>
          <w:jc w:val="center"/>
        </w:trPr>
        <w:tc>
          <w:tcPr>
            <w:tcW w:w="639" w:type="pct"/>
            <w:vMerge w:val="restart"/>
            <w:shd w:val="clear" w:color="auto" w:fill="auto"/>
            <w:tcMar>
              <w:top w:w="12" w:type="dxa"/>
              <w:left w:w="12" w:type="dxa"/>
              <w:right w:w="12" w:type="dxa"/>
            </w:tcMar>
            <w:vAlign w:val="center"/>
          </w:tcPr>
          <w:p w:rsidR="00DA1F1B" w:rsidRPr="00F9522B" w:rsidRDefault="00DA1F1B" w:rsidP="00773236">
            <w:pPr>
              <w:spacing w:line="0" w:lineRule="atLeast"/>
              <w:jc w:val="center"/>
              <w:textAlignment w:val="center"/>
              <w:rPr>
                <w:rFonts w:eastAsiaTheme="minorEastAsia"/>
                <w:kern w:val="0"/>
                <w:szCs w:val="21"/>
              </w:rPr>
            </w:pPr>
            <w:r w:rsidRPr="00F9522B">
              <w:rPr>
                <w:rFonts w:eastAsiaTheme="minorEastAsia"/>
                <w:kern w:val="0"/>
                <w:szCs w:val="21"/>
              </w:rPr>
              <w:t>少陵河桥</w:t>
            </w:r>
          </w:p>
        </w:tc>
        <w:tc>
          <w:tcPr>
            <w:tcW w:w="626" w:type="pct"/>
            <w:vMerge w:val="restart"/>
            <w:shd w:val="clear" w:color="auto" w:fill="auto"/>
            <w:tcMar>
              <w:top w:w="12" w:type="dxa"/>
              <w:left w:w="12" w:type="dxa"/>
              <w:right w:w="12" w:type="dxa"/>
            </w:tcMar>
            <w:vAlign w:val="center"/>
          </w:tcPr>
          <w:p w:rsidR="00DA1F1B" w:rsidRPr="00F9522B" w:rsidRDefault="00DA1F1B" w:rsidP="00773236">
            <w:pPr>
              <w:spacing w:line="0" w:lineRule="atLeast"/>
              <w:jc w:val="center"/>
              <w:textAlignment w:val="center"/>
              <w:rPr>
                <w:rFonts w:eastAsiaTheme="minorEastAsia"/>
                <w:kern w:val="0"/>
                <w:szCs w:val="21"/>
              </w:rPr>
            </w:pPr>
            <w:r w:rsidRPr="00F9522B">
              <w:rPr>
                <w:rFonts w:eastAsiaTheme="minorEastAsia"/>
                <w:kern w:val="0"/>
                <w:szCs w:val="21"/>
              </w:rPr>
              <w:t>Ⅴ</w:t>
            </w:r>
            <w:r w:rsidRPr="00F9522B">
              <w:rPr>
                <w:rFonts w:eastAsiaTheme="minorEastAsia"/>
                <w:kern w:val="0"/>
                <w:szCs w:val="21"/>
              </w:rPr>
              <w:t>类</w:t>
            </w:r>
          </w:p>
        </w:tc>
        <w:tc>
          <w:tcPr>
            <w:tcW w:w="1959" w:type="pct"/>
            <w:tcMar>
              <w:top w:w="12" w:type="dxa"/>
              <w:left w:w="12" w:type="dxa"/>
              <w:right w:w="12" w:type="dxa"/>
            </w:tcMar>
            <w:vAlign w:val="center"/>
          </w:tcPr>
          <w:p w:rsidR="00DA1F1B" w:rsidRPr="00F9522B" w:rsidRDefault="00DA1F1B" w:rsidP="00773236">
            <w:pPr>
              <w:spacing w:line="0" w:lineRule="atLeast"/>
              <w:jc w:val="center"/>
              <w:rPr>
                <w:rFonts w:eastAsiaTheme="minorEastAsia"/>
                <w:kern w:val="0"/>
                <w:szCs w:val="21"/>
              </w:rPr>
            </w:pPr>
            <w:r w:rsidRPr="00F9522B">
              <w:rPr>
                <w:rFonts w:eastAsiaTheme="minorEastAsia"/>
                <w:kern w:val="0"/>
                <w:szCs w:val="21"/>
              </w:rPr>
              <w:t>2025</w:t>
            </w:r>
            <w:r w:rsidRPr="00F9522B">
              <w:rPr>
                <w:rFonts w:eastAsiaTheme="minorEastAsia"/>
                <w:kern w:val="0"/>
                <w:szCs w:val="21"/>
              </w:rPr>
              <w:t>年</w:t>
            </w:r>
            <w:r w:rsidRPr="00F9522B">
              <w:rPr>
                <w:rFonts w:eastAsiaTheme="minorEastAsia"/>
                <w:kern w:val="0"/>
                <w:szCs w:val="21"/>
              </w:rPr>
              <w:t>1</w:t>
            </w:r>
            <w:r w:rsidRPr="00F9522B">
              <w:rPr>
                <w:rFonts w:eastAsiaTheme="minorEastAsia"/>
                <w:kern w:val="0"/>
                <w:szCs w:val="21"/>
              </w:rPr>
              <w:t>月</w:t>
            </w:r>
          </w:p>
        </w:tc>
        <w:tc>
          <w:tcPr>
            <w:tcW w:w="888" w:type="pct"/>
            <w:shd w:val="clear" w:color="auto" w:fill="auto"/>
            <w:tcMar>
              <w:top w:w="12" w:type="dxa"/>
              <w:left w:w="12" w:type="dxa"/>
              <w:right w:w="12" w:type="dxa"/>
            </w:tcMar>
            <w:vAlign w:val="center"/>
          </w:tcPr>
          <w:p w:rsidR="00DA1F1B" w:rsidRPr="00F9522B" w:rsidRDefault="00DA1F1B" w:rsidP="00773236">
            <w:pPr>
              <w:widowControl/>
              <w:spacing w:line="0" w:lineRule="atLeast"/>
              <w:jc w:val="center"/>
              <w:textAlignment w:val="center"/>
              <w:rPr>
                <w:rFonts w:eastAsiaTheme="minorEastAsia"/>
                <w:kern w:val="0"/>
                <w:szCs w:val="21"/>
              </w:rPr>
            </w:pPr>
            <w:r w:rsidRPr="00F9522B">
              <w:rPr>
                <w:rFonts w:eastAsiaTheme="minorEastAsia"/>
                <w:kern w:val="0"/>
                <w:szCs w:val="21"/>
              </w:rPr>
              <w:t>Ⅴ</w:t>
            </w:r>
            <w:r w:rsidRPr="00F9522B">
              <w:rPr>
                <w:rFonts w:eastAsiaTheme="minorEastAsia"/>
                <w:kern w:val="0"/>
                <w:szCs w:val="21"/>
              </w:rPr>
              <w:t>类</w:t>
            </w:r>
          </w:p>
        </w:tc>
        <w:tc>
          <w:tcPr>
            <w:tcW w:w="888" w:type="pct"/>
            <w:vAlign w:val="center"/>
          </w:tcPr>
          <w:p w:rsidR="00DA1F1B" w:rsidRPr="00F9522B" w:rsidRDefault="00DA1F1B" w:rsidP="00773236">
            <w:pPr>
              <w:spacing w:line="0" w:lineRule="atLeast"/>
              <w:jc w:val="center"/>
              <w:rPr>
                <w:szCs w:val="21"/>
              </w:rPr>
            </w:pPr>
            <w:r w:rsidRPr="00F9522B">
              <w:rPr>
                <w:rFonts w:eastAsiaTheme="minorEastAsia"/>
                <w:kern w:val="0"/>
                <w:szCs w:val="21"/>
              </w:rPr>
              <w:t>达标</w:t>
            </w:r>
          </w:p>
        </w:tc>
      </w:tr>
      <w:tr w:rsidR="00DA1F1B" w:rsidRPr="00F9522B" w:rsidTr="00C92D94">
        <w:trPr>
          <w:trHeight w:val="158"/>
          <w:tblHeader/>
          <w:jc w:val="center"/>
        </w:trPr>
        <w:tc>
          <w:tcPr>
            <w:tcW w:w="639" w:type="pct"/>
            <w:vMerge/>
            <w:shd w:val="clear" w:color="auto" w:fill="auto"/>
            <w:tcMar>
              <w:top w:w="12" w:type="dxa"/>
              <w:left w:w="12" w:type="dxa"/>
              <w:right w:w="12" w:type="dxa"/>
            </w:tcMar>
            <w:vAlign w:val="center"/>
          </w:tcPr>
          <w:p w:rsidR="00DA1F1B" w:rsidRPr="00F9522B" w:rsidRDefault="00DA1F1B" w:rsidP="00773236">
            <w:pPr>
              <w:spacing w:line="0" w:lineRule="atLeast"/>
              <w:jc w:val="center"/>
              <w:textAlignment w:val="center"/>
              <w:rPr>
                <w:rFonts w:eastAsiaTheme="minorEastAsia"/>
                <w:kern w:val="0"/>
                <w:szCs w:val="21"/>
              </w:rPr>
            </w:pPr>
          </w:p>
        </w:tc>
        <w:tc>
          <w:tcPr>
            <w:tcW w:w="626" w:type="pct"/>
            <w:vMerge/>
            <w:shd w:val="clear" w:color="auto" w:fill="auto"/>
            <w:tcMar>
              <w:top w:w="12" w:type="dxa"/>
              <w:left w:w="12" w:type="dxa"/>
              <w:right w:w="12" w:type="dxa"/>
            </w:tcMar>
            <w:vAlign w:val="center"/>
          </w:tcPr>
          <w:p w:rsidR="00DA1F1B" w:rsidRPr="00F9522B" w:rsidRDefault="00DA1F1B" w:rsidP="00773236">
            <w:pPr>
              <w:spacing w:line="0" w:lineRule="atLeast"/>
              <w:jc w:val="center"/>
              <w:textAlignment w:val="center"/>
              <w:rPr>
                <w:rFonts w:eastAsiaTheme="minorEastAsia"/>
                <w:kern w:val="0"/>
                <w:szCs w:val="21"/>
              </w:rPr>
            </w:pPr>
          </w:p>
        </w:tc>
        <w:tc>
          <w:tcPr>
            <w:tcW w:w="1959" w:type="pct"/>
            <w:tcMar>
              <w:top w:w="12" w:type="dxa"/>
              <w:left w:w="12" w:type="dxa"/>
              <w:right w:w="12" w:type="dxa"/>
            </w:tcMar>
            <w:vAlign w:val="center"/>
          </w:tcPr>
          <w:p w:rsidR="00DA1F1B" w:rsidRPr="00F9522B" w:rsidRDefault="00DA1F1B" w:rsidP="00773236">
            <w:pPr>
              <w:spacing w:line="0" w:lineRule="atLeast"/>
              <w:jc w:val="center"/>
              <w:rPr>
                <w:rFonts w:eastAsiaTheme="minorEastAsia"/>
                <w:kern w:val="0"/>
                <w:szCs w:val="21"/>
              </w:rPr>
            </w:pPr>
            <w:r w:rsidRPr="00F9522B">
              <w:rPr>
                <w:rFonts w:eastAsiaTheme="minorEastAsia"/>
                <w:kern w:val="0"/>
                <w:szCs w:val="21"/>
              </w:rPr>
              <w:t>2025</w:t>
            </w:r>
            <w:r w:rsidRPr="00F9522B">
              <w:rPr>
                <w:rFonts w:eastAsiaTheme="minorEastAsia"/>
                <w:kern w:val="0"/>
                <w:szCs w:val="21"/>
              </w:rPr>
              <w:t>年</w:t>
            </w:r>
            <w:r w:rsidRPr="00F9522B">
              <w:rPr>
                <w:rFonts w:eastAsiaTheme="minorEastAsia"/>
                <w:kern w:val="0"/>
                <w:szCs w:val="21"/>
              </w:rPr>
              <w:t>2</w:t>
            </w:r>
            <w:r w:rsidRPr="00F9522B">
              <w:rPr>
                <w:rFonts w:eastAsiaTheme="minorEastAsia"/>
                <w:kern w:val="0"/>
                <w:szCs w:val="21"/>
              </w:rPr>
              <w:t>月</w:t>
            </w:r>
          </w:p>
        </w:tc>
        <w:tc>
          <w:tcPr>
            <w:tcW w:w="888" w:type="pct"/>
            <w:shd w:val="clear" w:color="auto" w:fill="auto"/>
            <w:tcMar>
              <w:top w:w="12" w:type="dxa"/>
              <w:left w:w="12" w:type="dxa"/>
              <w:right w:w="12" w:type="dxa"/>
            </w:tcMar>
            <w:vAlign w:val="center"/>
          </w:tcPr>
          <w:p w:rsidR="00DA1F1B" w:rsidRPr="00F9522B" w:rsidRDefault="00DA1F1B" w:rsidP="00773236">
            <w:pPr>
              <w:widowControl/>
              <w:spacing w:line="0" w:lineRule="atLeast"/>
              <w:jc w:val="center"/>
              <w:textAlignment w:val="center"/>
              <w:rPr>
                <w:rFonts w:eastAsiaTheme="minorEastAsia"/>
                <w:kern w:val="0"/>
                <w:szCs w:val="21"/>
              </w:rPr>
            </w:pPr>
            <w:r w:rsidRPr="00F9522B">
              <w:rPr>
                <w:rFonts w:eastAsiaTheme="minorEastAsia"/>
                <w:kern w:val="0"/>
                <w:szCs w:val="21"/>
              </w:rPr>
              <w:t>Ⅴ</w:t>
            </w:r>
            <w:r w:rsidRPr="00F9522B">
              <w:rPr>
                <w:rFonts w:eastAsiaTheme="minorEastAsia"/>
                <w:kern w:val="0"/>
                <w:szCs w:val="21"/>
              </w:rPr>
              <w:t>类</w:t>
            </w:r>
          </w:p>
        </w:tc>
        <w:tc>
          <w:tcPr>
            <w:tcW w:w="888" w:type="pct"/>
            <w:vAlign w:val="center"/>
          </w:tcPr>
          <w:p w:rsidR="00DA1F1B" w:rsidRPr="00F9522B" w:rsidRDefault="00DA1F1B" w:rsidP="00773236">
            <w:pPr>
              <w:spacing w:line="0" w:lineRule="atLeast"/>
              <w:jc w:val="center"/>
              <w:rPr>
                <w:szCs w:val="21"/>
              </w:rPr>
            </w:pPr>
            <w:r w:rsidRPr="00F9522B">
              <w:rPr>
                <w:rFonts w:eastAsiaTheme="minorEastAsia"/>
                <w:kern w:val="0"/>
                <w:szCs w:val="21"/>
              </w:rPr>
              <w:t>达标</w:t>
            </w:r>
          </w:p>
        </w:tc>
      </w:tr>
      <w:tr w:rsidR="00DA1F1B" w:rsidRPr="00F9522B" w:rsidTr="00C92D94">
        <w:trPr>
          <w:trHeight w:val="158"/>
          <w:tblHeader/>
          <w:jc w:val="center"/>
        </w:trPr>
        <w:tc>
          <w:tcPr>
            <w:tcW w:w="639" w:type="pct"/>
            <w:vMerge/>
            <w:shd w:val="clear" w:color="auto" w:fill="auto"/>
            <w:tcMar>
              <w:top w:w="12" w:type="dxa"/>
              <w:left w:w="12" w:type="dxa"/>
              <w:right w:w="12" w:type="dxa"/>
            </w:tcMar>
            <w:vAlign w:val="center"/>
          </w:tcPr>
          <w:p w:rsidR="00DA1F1B" w:rsidRPr="00F9522B" w:rsidRDefault="00DA1F1B" w:rsidP="00773236">
            <w:pPr>
              <w:spacing w:line="0" w:lineRule="atLeast"/>
              <w:jc w:val="center"/>
              <w:textAlignment w:val="center"/>
              <w:rPr>
                <w:rFonts w:eastAsiaTheme="minorEastAsia"/>
                <w:kern w:val="0"/>
                <w:szCs w:val="21"/>
              </w:rPr>
            </w:pPr>
          </w:p>
        </w:tc>
        <w:tc>
          <w:tcPr>
            <w:tcW w:w="626" w:type="pct"/>
            <w:vMerge/>
            <w:shd w:val="clear" w:color="auto" w:fill="auto"/>
            <w:tcMar>
              <w:top w:w="12" w:type="dxa"/>
              <w:left w:w="12" w:type="dxa"/>
              <w:right w:w="12" w:type="dxa"/>
            </w:tcMar>
            <w:vAlign w:val="center"/>
          </w:tcPr>
          <w:p w:rsidR="00DA1F1B" w:rsidRPr="00F9522B" w:rsidRDefault="00DA1F1B" w:rsidP="00773236">
            <w:pPr>
              <w:spacing w:line="0" w:lineRule="atLeast"/>
              <w:jc w:val="center"/>
              <w:textAlignment w:val="center"/>
              <w:rPr>
                <w:rFonts w:eastAsiaTheme="minorEastAsia"/>
                <w:kern w:val="0"/>
                <w:szCs w:val="21"/>
              </w:rPr>
            </w:pPr>
          </w:p>
        </w:tc>
        <w:tc>
          <w:tcPr>
            <w:tcW w:w="1959" w:type="pct"/>
            <w:tcMar>
              <w:top w:w="12" w:type="dxa"/>
              <w:left w:w="12" w:type="dxa"/>
              <w:right w:w="12" w:type="dxa"/>
            </w:tcMar>
            <w:vAlign w:val="center"/>
          </w:tcPr>
          <w:p w:rsidR="00DA1F1B" w:rsidRPr="00F9522B" w:rsidRDefault="00DA1F1B" w:rsidP="00773236">
            <w:pPr>
              <w:spacing w:line="0" w:lineRule="atLeast"/>
              <w:jc w:val="center"/>
              <w:rPr>
                <w:rFonts w:eastAsiaTheme="minorEastAsia"/>
                <w:kern w:val="0"/>
                <w:szCs w:val="21"/>
              </w:rPr>
            </w:pPr>
            <w:r w:rsidRPr="00F9522B">
              <w:rPr>
                <w:rFonts w:eastAsiaTheme="minorEastAsia"/>
                <w:kern w:val="0"/>
                <w:szCs w:val="21"/>
              </w:rPr>
              <w:t>2025</w:t>
            </w:r>
            <w:r w:rsidRPr="00F9522B">
              <w:rPr>
                <w:rFonts w:eastAsiaTheme="minorEastAsia"/>
                <w:kern w:val="0"/>
                <w:szCs w:val="21"/>
              </w:rPr>
              <w:t>年</w:t>
            </w:r>
            <w:r w:rsidRPr="00F9522B">
              <w:rPr>
                <w:rFonts w:eastAsiaTheme="minorEastAsia"/>
                <w:kern w:val="0"/>
                <w:szCs w:val="21"/>
              </w:rPr>
              <w:t>3</w:t>
            </w:r>
            <w:r w:rsidRPr="00F9522B">
              <w:rPr>
                <w:rFonts w:eastAsiaTheme="minorEastAsia"/>
                <w:kern w:val="0"/>
                <w:szCs w:val="21"/>
              </w:rPr>
              <w:t>月</w:t>
            </w:r>
          </w:p>
        </w:tc>
        <w:tc>
          <w:tcPr>
            <w:tcW w:w="888" w:type="pct"/>
            <w:shd w:val="clear" w:color="auto" w:fill="auto"/>
            <w:tcMar>
              <w:top w:w="12" w:type="dxa"/>
              <w:left w:w="12" w:type="dxa"/>
              <w:right w:w="12" w:type="dxa"/>
            </w:tcMar>
            <w:vAlign w:val="center"/>
          </w:tcPr>
          <w:p w:rsidR="00DA1F1B" w:rsidRPr="00F9522B" w:rsidRDefault="00DA1F1B" w:rsidP="00773236">
            <w:pPr>
              <w:widowControl/>
              <w:spacing w:line="0" w:lineRule="atLeast"/>
              <w:jc w:val="center"/>
              <w:textAlignment w:val="center"/>
              <w:rPr>
                <w:rFonts w:eastAsiaTheme="minorEastAsia"/>
                <w:kern w:val="0"/>
                <w:szCs w:val="21"/>
              </w:rPr>
            </w:pPr>
            <w:r w:rsidRPr="00F9522B">
              <w:rPr>
                <w:rFonts w:eastAsiaTheme="minorEastAsia"/>
                <w:kern w:val="0"/>
                <w:szCs w:val="21"/>
              </w:rPr>
              <w:t>Ⅴ</w:t>
            </w:r>
            <w:r w:rsidRPr="00F9522B">
              <w:rPr>
                <w:rFonts w:eastAsiaTheme="minorEastAsia"/>
                <w:kern w:val="0"/>
                <w:szCs w:val="21"/>
              </w:rPr>
              <w:t>类</w:t>
            </w:r>
          </w:p>
        </w:tc>
        <w:tc>
          <w:tcPr>
            <w:tcW w:w="888" w:type="pct"/>
            <w:vAlign w:val="center"/>
          </w:tcPr>
          <w:p w:rsidR="00DA1F1B" w:rsidRPr="00F9522B" w:rsidRDefault="00DA1F1B" w:rsidP="00773236">
            <w:pPr>
              <w:spacing w:line="0" w:lineRule="atLeast"/>
              <w:jc w:val="center"/>
              <w:rPr>
                <w:szCs w:val="21"/>
              </w:rPr>
            </w:pPr>
            <w:r w:rsidRPr="00F9522B">
              <w:rPr>
                <w:rFonts w:eastAsiaTheme="minorEastAsia"/>
                <w:kern w:val="0"/>
                <w:szCs w:val="21"/>
              </w:rPr>
              <w:t>达标</w:t>
            </w:r>
          </w:p>
        </w:tc>
      </w:tr>
      <w:tr w:rsidR="008032E3" w:rsidRPr="00F9522B" w:rsidTr="00C92D94">
        <w:trPr>
          <w:trHeight w:val="272"/>
          <w:jc w:val="center"/>
        </w:trPr>
        <w:tc>
          <w:tcPr>
            <w:tcW w:w="639" w:type="pct"/>
            <w:vMerge/>
            <w:shd w:val="clear" w:color="auto" w:fill="auto"/>
            <w:tcMar>
              <w:top w:w="12" w:type="dxa"/>
              <w:left w:w="12" w:type="dxa"/>
              <w:right w:w="12" w:type="dxa"/>
            </w:tcMar>
            <w:vAlign w:val="center"/>
          </w:tcPr>
          <w:p w:rsidR="008032E3" w:rsidRPr="00F9522B" w:rsidRDefault="008032E3">
            <w:pPr>
              <w:widowControl/>
              <w:spacing w:line="0" w:lineRule="atLeast"/>
              <w:jc w:val="center"/>
              <w:textAlignment w:val="center"/>
              <w:rPr>
                <w:rFonts w:eastAsiaTheme="minorEastAsia"/>
                <w:kern w:val="0"/>
                <w:szCs w:val="21"/>
              </w:rPr>
            </w:pPr>
          </w:p>
        </w:tc>
        <w:tc>
          <w:tcPr>
            <w:tcW w:w="626" w:type="pct"/>
            <w:vMerge/>
            <w:shd w:val="clear" w:color="auto" w:fill="auto"/>
            <w:tcMar>
              <w:top w:w="12" w:type="dxa"/>
              <w:left w:w="12" w:type="dxa"/>
              <w:right w:w="12" w:type="dxa"/>
            </w:tcMar>
            <w:vAlign w:val="center"/>
          </w:tcPr>
          <w:p w:rsidR="008032E3" w:rsidRPr="00F9522B" w:rsidRDefault="008032E3">
            <w:pPr>
              <w:widowControl/>
              <w:spacing w:line="0" w:lineRule="atLeast"/>
              <w:jc w:val="center"/>
              <w:textAlignment w:val="center"/>
              <w:rPr>
                <w:rFonts w:eastAsiaTheme="minorEastAsia"/>
                <w:kern w:val="0"/>
                <w:szCs w:val="21"/>
              </w:rPr>
            </w:pPr>
          </w:p>
        </w:tc>
        <w:tc>
          <w:tcPr>
            <w:tcW w:w="1959" w:type="pct"/>
            <w:tcMar>
              <w:top w:w="12" w:type="dxa"/>
              <w:left w:w="12" w:type="dxa"/>
              <w:right w:w="12" w:type="dxa"/>
            </w:tcMar>
            <w:vAlign w:val="center"/>
          </w:tcPr>
          <w:p w:rsidR="008032E3" w:rsidRPr="00F9522B" w:rsidRDefault="008032E3" w:rsidP="00773236">
            <w:pPr>
              <w:spacing w:line="0" w:lineRule="atLeast"/>
              <w:jc w:val="center"/>
              <w:rPr>
                <w:rFonts w:eastAsiaTheme="minorEastAsia"/>
                <w:kern w:val="0"/>
                <w:szCs w:val="21"/>
              </w:rPr>
            </w:pPr>
            <w:r w:rsidRPr="00F9522B">
              <w:rPr>
                <w:rFonts w:eastAsiaTheme="minorEastAsia"/>
                <w:kern w:val="0"/>
                <w:szCs w:val="21"/>
              </w:rPr>
              <w:t>2025</w:t>
            </w:r>
            <w:r w:rsidRPr="00F9522B">
              <w:rPr>
                <w:rFonts w:eastAsiaTheme="minorEastAsia"/>
                <w:kern w:val="0"/>
                <w:szCs w:val="21"/>
              </w:rPr>
              <w:t>年</w:t>
            </w:r>
            <w:r w:rsidRPr="00F9522B">
              <w:rPr>
                <w:rFonts w:eastAsiaTheme="minorEastAsia"/>
                <w:kern w:val="0"/>
                <w:szCs w:val="21"/>
              </w:rPr>
              <w:t>4</w:t>
            </w:r>
            <w:r w:rsidRPr="00F9522B">
              <w:rPr>
                <w:rFonts w:eastAsiaTheme="minorEastAsia"/>
                <w:kern w:val="0"/>
                <w:szCs w:val="21"/>
              </w:rPr>
              <w:t>月</w:t>
            </w:r>
          </w:p>
        </w:tc>
        <w:tc>
          <w:tcPr>
            <w:tcW w:w="888" w:type="pct"/>
            <w:shd w:val="clear" w:color="auto" w:fill="auto"/>
            <w:tcMar>
              <w:top w:w="12" w:type="dxa"/>
              <w:left w:w="12" w:type="dxa"/>
              <w:right w:w="12" w:type="dxa"/>
            </w:tcMar>
            <w:vAlign w:val="center"/>
          </w:tcPr>
          <w:p w:rsidR="008032E3" w:rsidRPr="00F9522B" w:rsidRDefault="008032E3" w:rsidP="00773236">
            <w:pPr>
              <w:widowControl/>
              <w:spacing w:line="0" w:lineRule="atLeast"/>
              <w:jc w:val="center"/>
              <w:textAlignment w:val="center"/>
              <w:rPr>
                <w:rFonts w:eastAsiaTheme="minorEastAsia"/>
                <w:kern w:val="0"/>
                <w:szCs w:val="21"/>
              </w:rPr>
            </w:pPr>
            <w:r w:rsidRPr="00F9522B">
              <w:rPr>
                <w:rFonts w:eastAsiaTheme="minorEastAsia"/>
                <w:kern w:val="0"/>
                <w:szCs w:val="21"/>
              </w:rPr>
              <w:t>Ⅴ</w:t>
            </w:r>
            <w:r w:rsidRPr="00F9522B">
              <w:rPr>
                <w:rFonts w:eastAsiaTheme="minorEastAsia"/>
                <w:kern w:val="0"/>
                <w:szCs w:val="21"/>
              </w:rPr>
              <w:t>类</w:t>
            </w:r>
          </w:p>
        </w:tc>
        <w:tc>
          <w:tcPr>
            <w:tcW w:w="888" w:type="pct"/>
            <w:vAlign w:val="center"/>
          </w:tcPr>
          <w:p w:rsidR="008032E3" w:rsidRPr="00F9522B" w:rsidRDefault="008032E3" w:rsidP="00773236">
            <w:pPr>
              <w:spacing w:line="0" w:lineRule="atLeast"/>
              <w:jc w:val="center"/>
              <w:rPr>
                <w:szCs w:val="21"/>
              </w:rPr>
            </w:pPr>
            <w:r w:rsidRPr="00F9522B">
              <w:rPr>
                <w:rFonts w:eastAsiaTheme="minorEastAsia"/>
                <w:kern w:val="0"/>
                <w:szCs w:val="21"/>
              </w:rPr>
              <w:t>达标</w:t>
            </w:r>
          </w:p>
        </w:tc>
      </w:tr>
      <w:tr w:rsidR="008032E3" w:rsidRPr="00F9522B" w:rsidTr="00C92D94">
        <w:trPr>
          <w:trHeight w:val="272"/>
          <w:jc w:val="center"/>
        </w:trPr>
        <w:tc>
          <w:tcPr>
            <w:tcW w:w="639" w:type="pct"/>
            <w:vMerge/>
            <w:shd w:val="clear" w:color="auto" w:fill="auto"/>
            <w:tcMar>
              <w:top w:w="12" w:type="dxa"/>
              <w:left w:w="12" w:type="dxa"/>
              <w:right w:w="12" w:type="dxa"/>
            </w:tcMar>
            <w:vAlign w:val="center"/>
          </w:tcPr>
          <w:p w:rsidR="008032E3" w:rsidRPr="00F9522B" w:rsidRDefault="008032E3">
            <w:pPr>
              <w:widowControl/>
              <w:spacing w:line="0" w:lineRule="atLeast"/>
              <w:jc w:val="center"/>
              <w:textAlignment w:val="center"/>
              <w:rPr>
                <w:rFonts w:eastAsiaTheme="minorEastAsia"/>
                <w:kern w:val="0"/>
                <w:szCs w:val="21"/>
              </w:rPr>
            </w:pPr>
          </w:p>
        </w:tc>
        <w:tc>
          <w:tcPr>
            <w:tcW w:w="626" w:type="pct"/>
            <w:vMerge/>
            <w:shd w:val="clear" w:color="auto" w:fill="auto"/>
            <w:tcMar>
              <w:top w:w="12" w:type="dxa"/>
              <w:left w:w="12" w:type="dxa"/>
              <w:right w:w="12" w:type="dxa"/>
            </w:tcMar>
            <w:vAlign w:val="center"/>
          </w:tcPr>
          <w:p w:rsidR="008032E3" w:rsidRPr="00F9522B" w:rsidRDefault="008032E3">
            <w:pPr>
              <w:widowControl/>
              <w:spacing w:line="0" w:lineRule="atLeast"/>
              <w:jc w:val="center"/>
              <w:textAlignment w:val="center"/>
              <w:rPr>
                <w:rFonts w:eastAsiaTheme="minorEastAsia"/>
                <w:kern w:val="0"/>
                <w:szCs w:val="21"/>
              </w:rPr>
            </w:pPr>
          </w:p>
        </w:tc>
        <w:tc>
          <w:tcPr>
            <w:tcW w:w="1959" w:type="pct"/>
            <w:tcMar>
              <w:top w:w="12" w:type="dxa"/>
              <w:left w:w="12" w:type="dxa"/>
              <w:right w:w="12" w:type="dxa"/>
            </w:tcMar>
            <w:vAlign w:val="center"/>
          </w:tcPr>
          <w:p w:rsidR="008032E3" w:rsidRPr="00F9522B" w:rsidRDefault="008032E3" w:rsidP="00773236">
            <w:pPr>
              <w:spacing w:line="0" w:lineRule="atLeast"/>
              <w:jc w:val="center"/>
              <w:rPr>
                <w:rFonts w:eastAsiaTheme="minorEastAsia"/>
                <w:kern w:val="0"/>
                <w:szCs w:val="21"/>
              </w:rPr>
            </w:pPr>
            <w:r w:rsidRPr="00F9522B">
              <w:rPr>
                <w:rFonts w:eastAsiaTheme="minorEastAsia"/>
                <w:kern w:val="0"/>
                <w:szCs w:val="21"/>
              </w:rPr>
              <w:t>2025</w:t>
            </w:r>
            <w:r w:rsidRPr="00F9522B">
              <w:rPr>
                <w:rFonts w:eastAsiaTheme="minorEastAsia"/>
                <w:kern w:val="0"/>
                <w:szCs w:val="21"/>
              </w:rPr>
              <w:t>年</w:t>
            </w:r>
            <w:r w:rsidRPr="00F9522B">
              <w:rPr>
                <w:rFonts w:eastAsiaTheme="minorEastAsia"/>
                <w:kern w:val="0"/>
                <w:szCs w:val="21"/>
              </w:rPr>
              <w:t>5</w:t>
            </w:r>
            <w:r w:rsidRPr="00F9522B">
              <w:rPr>
                <w:rFonts w:eastAsiaTheme="minorEastAsia"/>
                <w:kern w:val="0"/>
                <w:szCs w:val="21"/>
              </w:rPr>
              <w:t>月</w:t>
            </w:r>
          </w:p>
        </w:tc>
        <w:tc>
          <w:tcPr>
            <w:tcW w:w="888" w:type="pct"/>
            <w:shd w:val="clear" w:color="auto" w:fill="auto"/>
            <w:tcMar>
              <w:top w:w="12" w:type="dxa"/>
              <w:left w:w="12" w:type="dxa"/>
              <w:right w:w="12" w:type="dxa"/>
            </w:tcMar>
            <w:vAlign w:val="center"/>
          </w:tcPr>
          <w:p w:rsidR="008032E3" w:rsidRPr="00F9522B" w:rsidRDefault="008032E3">
            <w:pPr>
              <w:widowControl/>
              <w:spacing w:line="0" w:lineRule="atLeast"/>
              <w:jc w:val="center"/>
              <w:textAlignment w:val="center"/>
              <w:rPr>
                <w:rFonts w:eastAsiaTheme="minorEastAsia"/>
                <w:kern w:val="0"/>
                <w:szCs w:val="21"/>
              </w:rPr>
            </w:pPr>
            <w:r w:rsidRPr="00F9522B">
              <w:rPr>
                <w:rFonts w:eastAsiaTheme="minorEastAsia"/>
                <w:kern w:val="0"/>
                <w:szCs w:val="21"/>
              </w:rPr>
              <w:t>劣</w:t>
            </w:r>
            <w:r w:rsidRPr="00F9522B">
              <w:rPr>
                <w:rFonts w:eastAsiaTheme="minorEastAsia"/>
                <w:kern w:val="0"/>
                <w:szCs w:val="21"/>
              </w:rPr>
              <w:t>Ⅴ</w:t>
            </w:r>
            <w:r w:rsidRPr="00F9522B">
              <w:rPr>
                <w:rFonts w:eastAsiaTheme="minorEastAsia"/>
                <w:kern w:val="0"/>
                <w:szCs w:val="21"/>
              </w:rPr>
              <w:t>类</w:t>
            </w:r>
          </w:p>
        </w:tc>
        <w:tc>
          <w:tcPr>
            <w:tcW w:w="888" w:type="pct"/>
            <w:vAlign w:val="center"/>
          </w:tcPr>
          <w:p w:rsidR="008032E3" w:rsidRPr="00F9522B" w:rsidRDefault="008032E3">
            <w:pPr>
              <w:spacing w:line="0" w:lineRule="atLeast"/>
              <w:jc w:val="center"/>
              <w:rPr>
                <w:szCs w:val="21"/>
              </w:rPr>
            </w:pPr>
            <w:r w:rsidRPr="00F9522B">
              <w:rPr>
                <w:rFonts w:eastAsiaTheme="minorEastAsia"/>
                <w:kern w:val="0"/>
                <w:szCs w:val="21"/>
              </w:rPr>
              <w:t>超标</w:t>
            </w:r>
          </w:p>
        </w:tc>
      </w:tr>
      <w:tr w:rsidR="008032E3" w:rsidRPr="00F9522B" w:rsidTr="00C92D94">
        <w:trPr>
          <w:trHeight w:val="272"/>
          <w:jc w:val="center"/>
        </w:trPr>
        <w:tc>
          <w:tcPr>
            <w:tcW w:w="639" w:type="pct"/>
            <w:vMerge/>
            <w:shd w:val="clear" w:color="auto" w:fill="auto"/>
            <w:tcMar>
              <w:top w:w="12" w:type="dxa"/>
              <w:left w:w="12" w:type="dxa"/>
              <w:right w:w="12" w:type="dxa"/>
            </w:tcMar>
            <w:vAlign w:val="center"/>
          </w:tcPr>
          <w:p w:rsidR="008032E3" w:rsidRPr="00F9522B" w:rsidRDefault="008032E3">
            <w:pPr>
              <w:widowControl/>
              <w:spacing w:line="0" w:lineRule="atLeast"/>
              <w:jc w:val="center"/>
              <w:textAlignment w:val="center"/>
              <w:rPr>
                <w:rFonts w:eastAsiaTheme="minorEastAsia"/>
                <w:kern w:val="0"/>
                <w:szCs w:val="21"/>
              </w:rPr>
            </w:pPr>
          </w:p>
        </w:tc>
        <w:tc>
          <w:tcPr>
            <w:tcW w:w="626" w:type="pct"/>
            <w:vMerge/>
            <w:shd w:val="clear" w:color="auto" w:fill="auto"/>
            <w:tcMar>
              <w:top w:w="12" w:type="dxa"/>
              <w:left w:w="12" w:type="dxa"/>
              <w:right w:w="12" w:type="dxa"/>
            </w:tcMar>
            <w:vAlign w:val="center"/>
          </w:tcPr>
          <w:p w:rsidR="008032E3" w:rsidRPr="00F9522B" w:rsidRDefault="008032E3">
            <w:pPr>
              <w:widowControl/>
              <w:spacing w:line="0" w:lineRule="atLeast"/>
              <w:jc w:val="center"/>
              <w:textAlignment w:val="center"/>
              <w:rPr>
                <w:rFonts w:eastAsiaTheme="minorEastAsia"/>
                <w:kern w:val="0"/>
                <w:szCs w:val="21"/>
              </w:rPr>
            </w:pPr>
          </w:p>
        </w:tc>
        <w:tc>
          <w:tcPr>
            <w:tcW w:w="1959" w:type="pct"/>
            <w:tcMar>
              <w:top w:w="12" w:type="dxa"/>
              <w:left w:w="12" w:type="dxa"/>
              <w:right w:w="12" w:type="dxa"/>
            </w:tcMar>
            <w:vAlign w:val="center"/>
          </w:tcPr>
          <w:p w:rsidR="008032E3" w:rsidRPr="00F9522B" w:rsidRDefault="008032E3" w:rsidP="00773236">
            <w:pPr>
              <w:spacing w:line="0" w:lineRule="atLeast"/>
              <w:jc w:val="center"/>
              <w:rPr>
                <w:rFonts w:eastAsiaTheme="minorEastAsia"/>
                <w:kern w:val="0"/>
                <w:szCs w:val="21"/>
              </w:rPr>
            </w:pPr>
            <w:r w:rsidRPr="00F9522B">
              <w:rPr>
                <w:rFonts w:eastAsiaTheme="minorEastAsia"/>
                <w:kern w:val="0"/>
                <w:szCs w:val="21"/>
              </w:rPr>
              <w:t>2025</w:t>
            </w:r>
            <w:r w:rsidRPr="00F9522B">
              <w:rPr>
                <w:rFonts w:eastAsiaTheme="minorEastAsia"/>
                <w:kern w:val="0"/>
                <w:szCs w:val="21"/>
              </w:rPr>
              <w:t>年</w:t>
            </w:r>
            <w:r w:rsidRPr="00F9522B">
              <w:rPr>
                <w:rFonts w:eastAsiaTheme="minorEastAsia"/>
                <w:kern w:val="0"/>
                <w:szCs w:val="21"/>
              </w:rPr>
              <w:t>6</w:t>
            </w:r>
            <w:r w:rsidRPr="00F9522B">
              <w:rPr>
                <w:rFonts w:eastAsiaTheme="minorEastAsia"/>
                <w:kern w:val="0"/>
                <w:szCs w:val="21"/>
              </w:rPr>
              <w:t>月</w:t>
            </w:r>
          </w:p>
        </w:tc>
        <w:tc>
          <w:tcPr>
            <w:tcW w:w="888" w:type="pct"/>
            <w:shd w:val="clear" w:color="auto" w:fill="auto"/>
            <w:tcMar>
              <w:top w:w="12" w:type="dxa"/>
              <w:left w:w="12" w:type="dxa"/>
              <w:right w:w="12" w:type="dxa"/>
            </w:tcMar>
            <w:vAlign w:val="center"/>
          </w:tcPr>
          <w:p w:rsidR="008032E3" w:rsidRPr="00F9522B" w:rsidRDefault="008032E3" w:rsidP="00773236">
            <w:pPr>
              <w:widowControl/>
              <w:spacing w:line="0" w:lineRule="atLeast"/>
              <w:jc w:val="center"/>
              <w:textAlignment w:val="center"/>
              <w:rPr>
                <w:rFonts w:eastAsiaTheme="minorEastAsia"/>
                <w:kern w:val="0"/>
                <w:szCs w:val="21"/>
              </w:rPr>
            </w:pPr>
            <w:r w:rsidRPr="00F9522B">
              <w:rPr>
                <w:rFonts w:eastAsiaTheme="minorEastAsia"/>
                <w:kern w:val="0"/>
                <w:szCs w:val="21"/>
              </w:rPr>
              <w:t>Ⅴ</w:t>
            </w:r>
            <w:r w:rsidRPr="00F9522B">
              <w:rPr>
                <w:rFonts w:eastAsiaTheme="minorEastAsia"/>
                <w:kern w:val="0"/>
                <w:szCs w:val="21"/>
              </w:rPr>
              <w:t>类</w:t>
            </w:r>
          </w:p>
        </w:tc>
        <w:tc>
          <w:tcPr>
            <w:tcW w:w="888" w:type="pct"/>
            <w:vAlign w:val="center"/>
          </w:tcPr>
          <w:p w:rsidR="008032E3" w:rsidRPr="00F9522B" w:rsidRDefault="008032E3" w:rsidP="00773236">
            <w:pPr>
              <w:spacing w:line="0" w:lineRule="atLeast"/>
              <w:jc w:val="center"/>
              <w:rPr>
                <w:szCs w:val="21"/>
              </w:rPr>
            </w:pPr>
            <w:r w:rsidRPr="00F9522B">
              <w:rPr>
                <w:rFonts w:eastAsiaTheme="minorEastAsia"/>
                <w:kern w:val="0"/>
                <w:szCs w:val="21"/>
              </w:rPr>
              <w:t>达标</w:t>
            </w:r>
          </w:p>
        </w:tc>
      </w:tr>
      <w:tr w:rsidR="008032E3" w:rsidRPr="00F9522B" w:rsidTr="00C92D94">
        <w:trPr>
          <w:trHeight w:val="272"/>
          <w:jc w:val="center"/>
        </w:trPr>
        <w:tc>
          <w:tcPr>
            <w:tcW w:w="639" w:type="pct"/>
            <w:vMerge/>
            <w:shd w:val="clear" w:color="auto" w:fill="auto"/>
            <w:tcMar>
              <w:top w:w="12" w:type="dxa"/>
              <w:left w:w="12" w:type="dxa"/>
              <w:right w:w="12" w:type="dxa"/>
            </w:tcMar>
            <w:vAlign w:val="center"/>
          </w:tcPr>
          <w:p w:rsidR="008032E3" w:rsidRPr="00F9522B" w:rsidRDefault="008032E3">
            <w:pPr>
              <w:widowControl/>
              <w:spacing w:line="0" w:lineRule="atLeast"/>
              <w:jc w:val="center"/>
              <w:textAlignment w:val="center"/>
              <w:rPr>
                <w:rFonts w:eastAsiaTheme="minorEastAsia"/>
                <w:kern w:val="0"/>
                <w:szCs w:val="21"/>
              </w:rPr>
            </w:pPr>
          </w:p>
        </w:tc>
        <w:tc>
          <w:tcPr>
            <w:tcW w:w="626" w:type="pct"/>
            <w:vMerge/>
            <w:shd w:val="clear" w:color="auto" w:fill="auto"/>
            <w:tcMar>
              <w:top w:w="12" w:type="dxa"/>
              <w:left w:w="12" w:type="dxa"/>
              <w:right w:w="12" w:type="dxa"/>
            </w:tcMar>
            <w:vAlign w:val="center"/>
          </w:tcPr>
          <w:p w:rsidR="008032E3" w:rsidRPr="00F9522B" w:rsidRDefault="008032E3">
            <w:pPr>
              <w:widowControl/>
              <w:spacing w:line="0" w:lineRule="atLeast"/>
              <w:jc w:val="center"/>
              <w:textAlignment w:val="center"/>
              <w:rPr>
                <w:rFonts w:eastAsiaTheme="minorEastAsia"/>
                <w:kern w:val="0"/>
                <w:szCs w:val="21"/>
              </w:rPr>
            </w:pPr>
          </w:p>
        </w:tc>
        <w:tc>
          <w:tcPr>
            <w:tcW w:w="1959" w:type="pct"/>
            <w:tcMar>
              <w:top w:w="12" w:type="dxa"/>
              <w:left w:w="12" w:type="dxa"/>
              <w:right w:w="12" w:type="dxa"/>
            </w:tcMar>
            <w:vAlign w:val="center"/>
          </w:tcPr>
          <w:p w:rsidR="008032E3" w:rsidRPr="00F9522B" w:rsidRDefault="008032E3" w:rsidP="00773236">
            <w:pPr>
              <w:spacing w:line="0" w:lineRule="atLeast"/>
              <w:jc w:val="center"/>
              <w:rPr>
                <w:rFonts w:eastAsiaTheme="minorEastAsia"/>
                <w:kern w:val="0"/>
                <w:szCs w:val="21"/>
              </w:rPr>
            </w:pPr>
            <w:r w:rsidRPr="00F9522B">
              <w:rPr>
                <w:rFonts w:eastAsiaTheme="minorEastAsia"/>
                <w:kern w:val="0"/>
                <w:szCs w:val="21"/>
              </w:rPr>
              <w:t>2025</w:t>
            </w:r>
            <w:r w:rsidRPr="00F9522B">
              <w:rPr>
                <w:rFonts w:eastAsiaTheme="minorEastAsia"/>
                <w:kern w:val="0"/>
                <w:szCs w:val="21"/>
              </w:rPr>
              <w:t>年</w:t>
            </w:r>
            <w:r w:rsidRPr="00F9522B">
              <w:rPr>
                <w:rFonts w:eastAsiaTheme="minorEastAsia"/>
                <w:kern w:val="0"/>
                <w:szCs w:val="21"/>
              </w:rPr>
              <w:t>7</w:t>
            </w:r>
            <w:r w:rsidRPr="00F9522B">
              <w:rPr>
                <w:rFonts w:eastAsiaTheme="minorEastAsia"/>
                <w:kern w:val="0"/>
                <w:szCs w:val="21"/>
              </w:rPr>
              <w:t>月</w:t>
            </w:r>
          </w:p>
        </w:tc>
        <w:tc>
          <w:tcPr>
            <w:tcW w:w="888" w:type="pct"/>
            <w:shd w:val="clear" w:color="auto" w:fill="auto"/>
            <w:tcMar>
              <w:top w:w="12" w:type="dxa"/>
              <w:left w:w="12" w:type="dxa"/>
              <w:right w:w="12" w:type="dxa"/>
            </w:tcMar>
            <w:vAlign w:val="center"/>
          </w:tcPr>
          <w:p w:rsidR="008032E3" w:rsidRPr="00F9522B" w:rsidRDefault="008032E3" w:rsidP="00773236">
            <w:pPr>
              <w:widowControl/>
              <w:spacing w:line="0" w:lineRule="atLeast"/>
              <w:jc w:val="center"/>
              <w:textAlignment w:val="center"/>
              <w:rPr>
                <w:rFonts w:eastAsiaTheme="minorEastAsia"/>
                <w:kern w:val="0"/>
                <w:szCs w:val="21"/>
              </w:rPr>
            </w:pPr>
            <w:r w:rsidRPr="00F9522B">
              <w:rPr>
                <w:rFonts w:eastAsiaTheme="minorEastAsia"/>
                <w:kern w:val="0"/>
                <w:szCs w:val="21"/>
              </w:rPr>
              <w:t>Ⅴ</w:t>
            </w:r>
            <w:r w:rsidRPr="00F9522B">
              <w:rPr>
                <w:rFonts w:eastAsiaTheme="minorEastAsia"/>
                <w:kern w:val="0"/>
                <w:szCs w:val="21"/>
              </w:rPr>
              <w:t>类</w:t>
            </w:r>
          </w:p>
        </w:tc>
        <w:tc>
          <w:tcPr>
            <w:tcW w:w="888" w:type="pct"/>
            <w:vAlign w:val="center"/>
          </w:tcPr>
          <w:p w:rsidR="008032E3" w:rsidRPr="00F9522B" w:rsidRDefault="008032E3" w:rsidP="00773236">
            <w:pPr>
              <w:spacing w:line="0" w:lineRule="atLeast"/>
              <w:jc w:val="center"/>
              <w:rPr>
                <w:szCs w:val="21"/>
              </w:rPr>
            </w:pPr>
            <w:r w:rsidRPr="00F9522B">
              <w:rPr>
                <w:rFonts w:eastAsiaTheme="minorEastAsia"/>
                <w:kern w:val="0"/>
                <w:szCs w:val="21"/>
              </w:rPr>
              <w:t>达标</w:t>
            </w:r>
          </w:p>
        </w:tc>
      </w:tr>
      <w:tr w:rsidR="008032E3" w:rsidRPr="00F9522B" w:rsidTr="00C92D94">
        <w:trPr>
          <w:trHeight w:val="272"/>
          <w:jc w:val="center"/>
        </w:trPr>
        <w:tc>
          <w:tcPr>
            <w:tcW w:w="639" w:type="pct"/>
            <w:vMerge/>
            <w:shd w:val="clear" w:color="auto" w:fill="auto"/>
            <w:tcMar>
              <w:top w:w="12" w:type="dxa"/>
              <w:left w:w="12" w:type="dxa"/>
              <w:right w:w="12" w:type="dxa"/>
            </w:tcMar>
            <w:vAlign w:val="center"/>
          </w:tcPr>
          <w:p w:rsidR="008032E3" w:rsidRPr="00F9522B" w:rsidRDefault="008032E3">
            <w:pPr>
              <w:widowControl/>
              <w:spacing w:line="0" w:lineRule="atLeast"/>
              <w:jc w:val="center"/>
              <w:textAlignment w:val="center"/>
              <w:rPr>
                <w:rFonts w:eastAsiaTheme="minorEastAsia"/>
                <w:kern w:val="0"/>
                <w:szCs w:val="21"/>
              </w:rPr>
            </w:pPr>
          </w:p>
        </w:tc>
        <w:tc>
          <w:tcPr>
            <w:tcW w:w="626" w:type="pct"/>
            <w:vMerge/>
            <w:shd w:val="clear" w:color="auto" w:fill="auto"/>
            <w:tcMar>
              <w:top w:w="12" w:type="dxa"/>
              <w:left w:w="12" w:type="dxa"/>
              <w:right w:w="12" w:type="dxa"/>
            </w:tcMar>
            <w:vAlign w:val="center"/>
          </w:tcPr>
          <w:p w:rsidR="008032E3" w:rsidRPr="00F9522B" w:rsidRDefault="008032E3">
            <w:pPr>
              <w:widowControl/>
              <w:spacing w:line="0" w:lineRule="atLeast"/>
              <w:jc w:val="center"/>
              <w:textAlignment w:val="bottom"/>
              <w:rPr>
                <w:rFonts w:eastAsiaTheme="minorEastAsia"/>
                <w:kern w:val="0"/>
                <w:szCs w:val="21"/>
              </w:rPr>
            </w:pPr>
          </w:p>
        </w:tc>
        <w:tc>
          <w:tcPr>
            <w:tcW w:w="1959" w:type="pct"/>
            <w:tcMar>
              <w:top w:w="12" w:type="dxa"/>
              <w:left w:w="12" w:type="dxa"/>
              <w:right w:w="12" w:type="dxa"/>
            </w:tcMar>
            <w:vAlign w:val="center"/>
          </w:tcPr>
          <w:p w:rsidR="008032E3" w:rsidRPr="00F9522B" w:rsidRDefault="008032E3" w:rsidP="00773236">
            <w:pPr>
              <w:spacing w:line="0" w:lineRule="atLeast"/>
              <w:jc w:val="center"/>
              <w:rPr>
                <w:rFonts w:eastAsiaTheme="minorEastAsia"/>
                <w:kern w:val="0"/>
                <w:szCs w:val="21"/>
              </w:rPr>
            </w:pPr>
            <w:r w:rsidRPr="00F9522B">
              <w:rPr>
                <w:rFonts w:eastAsiaTheme="minorEastAsia"/>
                <w:kern w:val="0"/>
                <w:szCs w:val="21"/>
              </w:rPr>
              <w:t>2025</w:t>
            </w:r>
            <w:r w:rsidRPr="00F9522B">
              <w:rPr>
                <w:rFonts w:eastAsiaTheme="minorEastAsia"/>
                <w:kern w:val="0"/>
                <w:szCs w:val="21"/>
              </w:rPr>
              <w:t>年</w:t>
            </w:r>
            <w:r w:rsidRPr="00F9522B">
              <w:rPr>
                <w:rFonts w:eastAsiaTheme="minorEastAsia"/>
                <w:kern w:val="0"/>
                <w:szCs w:val="21"/>
              </w:rPr>
              <w:t>8</w:t>
            </w:r>
            <w:r w:rsidRPr="00F9522B">
              <w:rPr>
                <w:rFonts w:eastAsiaTheme="minorEastAsia"/>
                <w:kern w:val="0"/>
                <w:szCs w:val="21"/>
              </w:rPr>
              <w:t>月</w:t>
            </w:r>
          </w:p>
        </w:tc>
        <w:tc>
          <w:tcPr>
            <w:tcW w:w="888" w:type="pct"/>
            <w:shd w:val="clear" w:color="auto" w:fill="auto"/>
            <w:tcMar>
              <w:top w:w="12" w:type="dxa"/>
              <w:left w:w="12" w:type="dxa"/>
              <w:right w:w="12" w:type="dxa"/>
            </w:tcMar>
            <w:vAlign w:val="center"/>
          </w:tcPr>
          <w:p w:rsidR="008032E3" w:rsidRPr="00F9522B" w:rsidRDefault="008032E3" w:rsidP="00773236">
            <w:pPr>
              <w:widowControl/>
              <w:spacing w:line="0" w:lineRule="atLeast"/>
              <w:jc w:val="center"/>
              <w:textAlignment w:val="center"/>
              <w:rPr>
                <w:rFonts w:eastAsiaTheme="minorEastAsia"/>
                <w:kern w:val="0"/>
                <w:szCs w:val="21"/>
              </w:rPr>
            </w:pPr>
            <w:r w:rsidRPr="00F9522B">
              <w:rPr>
                <w:rFonts w:eastAsiaTheme="minorEastAsia"/>
                <w:kern w:val="0"/>
                <w:szCs w:val="21"/>
              </w:rPr>
              <w:t>Ⅴ</w:t>
            </w:r>
            <w:r w:rsidRPr="00F9522B">
              <w:rPr>
                <w:rFonts w:eastAsiaTheme="minorEastAsia"/>
                <w:kern w:val="0"/>
                <w:szCs w:val="21"/>
              </w:rPr>
              <w:t>类</w:t>
            </w:r>
          </w:p>
        </w:tc>
        <w:tc>
          <w:tcPr>
            <w:tcW w:w="888" w:type="pct"/>
            <w:vAlign w:val="center"/>
          </w:tcPr>
          <w:p w:rsidR="008032E3" w:rsidRPr="00F9522B" w:rsidRDefault="008032E3" w:rsidP="00773236">
            <w:pPr>
              <w:spacing w:line="0" w:lineRule="atLeast"/>
              <w:jc w:val="center"/>
              <w:rPr>
                <w:szCs w:val="21"/>
              </w:rPr>
            </w:pPr>
            <w:r w:rsidRPr="00F9522B">
              <w:rPr>
                <w:rFonts w:eastAsiaTheme="minorEastAsia"/>
                <w:kern w:val="0"/>
                <w:szCs w:val="21"/>
              </w:rPr>
              <w:t>达标</w:t>
            </w:r>
          </w:p>
        </w:tc>
      </w:tr>
      <w:tr w:rsidR="008032E3" w:rsidRPr="00F9522B" w:rsidTr="00C92D94">
        <w:trPr>
          <w:trHeight w:val="272"/>
          <w:jc w:val="center"/>
        </w:trPr>
        <w:tc>
          <w:tcPr>
            <w:tcW w:w="639" w:type="pct"/>
            <w:vMerge/>
            <w:shd w:val="clear" w:color="auto" w:fill="auto"/>
            <w:tcMar>
              <w:top w:w="12" w:type="dxa"/>
              <w:left w:w="12" w:type="dxa"/>
              <w:right w:w="12" w:type="dxa"/>
            </w:tcMar>
            <w:vAlign w:val="center"/>
          </w:tcPr>
          <w:p w:rsidR="008032E3" w:rsidRPr="00F9522B" w:rsidRDefault="008032E3">
            <w:pPr>
              <w:widowControl/>
              <w:spacing w:line="0" w:lineRule="atLeast"/>
              <w:jc w:val="center"/>
              <w:textAlignment w:val="center"/>
              <w:rPr>
                <w:rFonts w:eastAsiaTheme="minorEastAsia"/>
                <w:kern w:val="0"/>
                <w:szCs w:val="21"/>
              </w:rPr>
            </w:pPr>
          </w:p>
        </w:tc>
        <w:tc>
          <w:tcPr>
            <w:tcW w:w="626" w:type="pct"/>
            <w:vMerge/>
            <w:shd w:val="clear" w:color="auto" w:fill="auto"/>
            <w:tcMar>
              <w:top w:w="12" w:type="dxa"/>
              <w:left w:w="12" w:type="dxa"/>
              <w:right w:w="12" w:type="dxa"/>
            </w:tcMar>
            <w:vAlign w:val="center"/>
          </w:tcPr>
          <w:p w:rsidR="008032E3" w:rsidRPr="00F9522B" w:rsidRDefault="008032E3">
            <w:pPr>
              <w:widowControl/>
              <w:spacing w:line="0" w:lineRule="atLeast"/>
              <w:jc w:val="center"/>
              <w:textAlignment w:val="center"/>
              <w:rPr>
                <w:rFonts w:eastAsiaTheme="minorEastAsia"/>
                <w:kern w:val="0"/>
                <w:szCs w:val="21"/>
              </w:rPr>
            </w:pPr>
          </w:p>
        </w:tc>
        <w:tc>
          <w:tcPr>
            <w:tcW w:w="1959" w:type="pct"/>
            <w:tcMar>
              <w:top w:w="12" w:type="dxa"/>
              <w:left w:w="12" w:type="dxa"/>
              <w:right w:w="12" w:type="dxa"/>
            </w:tcMar>
            <w:vAlign w:val="center"/>
          </w:tcPr>
          <w:p w:rsidR="008032E3" w:rsidRPr="00F9522B" w:rsidRDefault="008032E3" w:rsidP="00773236">
            <w:pPr>
              <w:spacing w:line="0" w:lineRule="atLeast"/>
              <w:jc w:val="center"/>
              <w:rPr>
                <w:rFonts w:eastAsiaTheme="minorEastAsia"/>
                <w:szCs w:val="21"/>
              </w:rPr>
            </w:pPr>
            <w:r w:rsidRPr="00F9522B">
              <w:rPr>
                <w:rFonts w:eastAsiaTheme="minorEastAsia"/>
                <w:kern w:val="0"/>
                <w:szCs w:val="21"/>
              </w:rPr>
              <w:t>2025</w:t>
            </w:r>
            <w:r w:rsidRPr="00F9522B">
              <w:rPr>
                <w:rFonts w:eastAsiaTheme="minorEastAsia"/>
                <w:kern w:val="0"/>
                <w:szCs w:val="21"/>
              </w:rPr>
              <w:t>年</w:t>
            </w:r>
            <w:r w:rsidRPr="00F9522B">
              <w:rPr>
                <w:rFonts w:eastAsiaTheme="minorEastAsia"/>
                <w:kern w:val="0"/>
                <w:szCs w:val="21"/>
              </w:rPr>
              <w:t>9</w:t>
            </w:r>
            <w:r w:rsidRPr="00F9522B">
              <w:rPr>
                <w:rFonts w:eastAsiaTheme="minorEastAsia"/>
                <w:kern w:val="0"/>
                <w:szCs w:val="21"/>
              </w:rPr>
              <w:t>月</w:t>
            </w:r>
          </w:p>
        </w:tc>
        <w:tc>
          <w:tcPr>
            <w:tcW w:w="888" w:type="pct"/>
            <w:shd w:val="clear" w:color="auto" w:fill="auto"/>
            <w:tcMar>
              <w:top w:w="12" w:type="dxa"/>
              <w:left w:w="12" w:type="dxa"/>
              <w:right w:w="12" w:type="dxa"/>
            </w:tcMar>
            <w:vAlign w:val="center"/>
          </w:tcPr>
          <w:p w:rsidR="008032E3" w:rsidRPr="00F9522B" w:rsidRDefault="008032E3">
            <w:pPr>
              <w:widowControl/>
              <w:spacing w:line="0" w:lineRule="atLeast"/>
              <w:jc w:val="center"/>
              <w:textAlignment w:val="center"/>
              <w:rPr>
                <w:rFonts w:eastAsiaTheme="minorEastAsia"/>
                <w:kern w:val="0"/>
                <w:szCs w:val="21"/>
              </w:rPr>
            </w:pPr>
            <w:r w:rsidRPr="00F9522B">
              <w:rPr>
                <w:rFonts w:eastAsiaTheme="minorEastAsia"/>
                <w:kern w:val="0"/>
                <w:szCs w:val="21"/>
              </w:rPr>
              <w:t>Ⅳ</w:t>
            </w:r>
            <w:r w:rsidRPr="00F9522B">
              <w:rPr>
                <w:rFonts w:eastAsiaTheme="minorEastAsia"/>
                <w:kern w:val="0"/>
                <w:szCs w:val="21"/>
              </w:rPr>
              <w:t>类</w:t>
            </w:r>
          </w:p>
        </w:tc>
        <w:tc>
          <w:tcPr>
            <w:tcW w:w="888" w:type="pct"/>
            <w:vAlign w:val="center"/>
          </w:tcPr>
          <w:p w:rsidR="008032E3" w:rsidRPr="00F9522B" w:rsidRDefault="008032E3">
            <w:pPr>
              <w:spacing w:line="0" w:lineRule="atLeast"/>
              <w:jc w:val="center"/>
              <w:rPr>
                <w:szCs w:val="21"/>
              </w:rPr>
            </w:pPr>
            <w:r w:rsidRPr="00F9522B">
              <w:rPr>
                <w:rFonts w:eastAsiaTheme="minorEastAsia"/>
                <w:kern w:val="0"/>
                <w:szCs w:val="21"/>
              </w:rPr>
              <w:t>达标</w:t>
            </w:r>
          </w:p>
        </w:tc>
      </w:tr>
      <w:tr w:rsidR="008032E3" w:rsidRPr="00F9522B" w:rsidTr="00C92D94">
        <w:trPr>
          <w:trHeight w:val="272"/>
          <w:jc w:val="center"/>
        </w:trPr>
        <w:tc>
          <w:tcPr>
            <w:tcW w:w="639" w:type="pct"/>
            <w:vMerge/>
            <w:shd w:val="clear" w:color="auto" w:fill="auto"/>
            <w:tcMar>
              <w:top w:w="12" w:type="dxa"/>
              <w:left w:w="12" w:type="dxa"/>
              <w:right w:w="12" w:type="dxa"/>
            </w:tcMar>
            <w:vAlign w:val="center"/>
          </w:tcPr>
          <w:p w:rsidR="008032E3" w:rsidRPr="00F9522B" w:rsidRDefault="008032E3">
            <w:pPr>
              <w:widowControl/>
              <w:spacing w:line="0" w:lineRule="atLeast"/>
              <w:jc w:val="center"/>
              <w:textAlignment w:val="center"/>
              <w:rPr>
                <w:rFonts w:eastAsiaTheme="minorEastAsia"/>
                <w:kern w:val="0"/>
                <w:szCs w:val="21"/>
              </w:rPr>
            </w:pPr>
          </w:p>
        </w:tc>
        <w:tc>
          <w:tcPr>
            <w:tcW w:w="626" w:type="pct"/>
            <w:vMerge/>
            <w:shd w:val="clear" w:color="auto" w:fill="auto"/>
            <w:tcMar>
              <w:top w:w="12" w:type="dxa"/>
              <w:left w:w="12" w:type="dxa"/>
              <w:right w:w="12" w:type="dxa"/>
            </w:tcMar>
            <w:vAlign w:val="center"/>
          </w:tcPr>
          <w:p w:rsidR="008032E3" w:rsidRPr="00F9522B" w:rsidRDefault="008032E3">
            <w:pPr>
              <w:widowControl/>
              <w:spacing w:line="0" w:lineRule="atLeast"/>
              <w:jc w:val="center"/>
              <w:textAlignment w:val="center"/>
              <w:rPr>
                <w:rFonts w:eastAsiaTheme="minorEastAsia"/>
                <w:kern w:val="0"/>
                <w:szCs w:val="21"/>
              </w:rPr>
            </w:pPr>
          </w:p>
        </w:tc>
        <w:tc>
          <w:tcPr>
            <w:tcW w:w="1959" w:type="pct"/>
            <w:tcMar>
              <w:top w:w="12" w:type="dxa"/>
              <w:left w:w="12" w:type="dxa"/>
              <w:right w:w="12" w:type="dxa"/>
            </w:tcMar>
            <w:vAlign w:val="center"/>
          </w:tcPr>
          <w:p w:rsidR="008032E3" w:rsidRPr="00F9522B" w:rsidRDefault="008032E3" w:rsidP="00773236">
            <w:pPr>
              <w:widowControl/>
              <w:spacing w:line="0" w:lineRule="atLeast"/>
              <w:jc w:val="center"/>
              <w:textAlignment w:val="center"/>
              <w:rPr>
                <w:rFonts w:eastAsiaTheme="minorEastAsia"/>
                <w:kern w:val="0"/>
                <w:szCs w:val="21"/>
              </w:rPr>
            </w:pPr>
            <w:r w:rsidRPr="00F9522B">
              <w:rPr>
                <w:rFonts w:eastAsiaTheme="minorEastAsia"/>
                <w:kern w:val="0"/>
                <w:szCs w:val="21"/>
              </w:rPr>
              <w:t>2025</w:t>
            </w:r>
            <w:r w:rsidRPr="00F9522B">
              <w:rPr>
                <w:rFonts w:eastAsiaTheme="minorEastAsia"/>
                <w:kern w:val="0"/>
                <w:szCs w:val="21"/>
              </w:rPr>
              <w:t>年</w:t>
            </w:r>
            <w:r w:rsidRPr="00F9522B">
              <w:rPr>
                <w:rFonts w:eastAsiaTheme="minorEastAsia"/>
                <w:kern w:val="0"/>
                <w:szCs w:val="21"/>
              </w:rPr>
              <w:t>10</w:t>
            </w:r>
            <w:r w:rsidRPr="00F9522B">
              <w:rPr>
                <w:rFonts w:eastAsiaTheme="minorEastAsia"/>
                <w:kern w:val="0"/>
                <w:szCs w:val="21"/>
              </w:rPr>
              <w:t>月</w:t>
            </w:r>
          </w:p>
        </w:tc>
        <w:tc>
          <w:tcPr>
            <w:tcW w:w="888" w:type="pct"/>
            <w:shd w:val="clear" w:color="auto" w:fill="auto"/>
            <w:tcMar>
              <w:top w:w="12" w:type="dxa"/>
              <w:left w:w="12" w:type="dxa"/>
              <w:right w:w="12" w:type="dxa"/>
            </w:tcMar>
            <w:vAlign w:val="center"/>
          </w:tcPr>
          <w:p w:rsidR="008032E3" w:rsidRPr="00F9522B" w:rsidRDefault="008032E3">
            <w:pPr>
              <w:widowControl/>
              <w:spacing w:line="0" w:lineRule="atLeast"/>
              <w:jc w:val="center"/>
              <w:textAlignment w:val="center"/>
              <w:rPr>
                <w:rFonts w:eastAsiaTheme="minorEastAsia"/>
                <w:kern w:val="0"/>
                <w:szCs w:val="21"/>
              </w:rPr>
            </w:pPr>
            <w:r w:rsidRPr="00F9522B">
              <w:rPr>
                <w:rFonts w:eastAsiaTheme="minorEastAsia"/>
                <w:kern w:val="0"/>
                <w:szCs w:val="21"/>
              </w:rPr>
              <w:t>Ⅳ</w:t>
            </w:r>
            <w:r w:rsidRPr="00F9522B">
              <w:rPr>
                <w:rFonts w:eastAsiaTheme="minorEastAsia"/>
                <w:kern w:val="0"/>
                <w:szCs w:val="21"/>
              </w:rPr>
              <w:t>类</w:t>
            </w:r>
          </w:p>
        </w:tc>
        <w:tc>
          <w:tcPr>
            <w:tcW w:w="888" w:type="pct"/>
            <w:vAlign w:val="center"/>
          </w:tcPr>
          <w:p w:rsidR="008032E3" w:rsidRPr="00F9522B" w:rsidRDefault="008032E3">
            <w:pPr>
              <w:spacing w:line="0" w:lineRule="atLeast"/>
              <w:jc w:val="center"/>
              <w:rPr>
                <w:szCs w:val="21"/>
              </w:rPr>
            </w:pPr>
            <w:r w:rsidRPr="00F9522B">
              <w:rPr>
                <w:rFonts w:eastAsiaTheme="minorEastAsia"/>
                <w:kern w:val="0"/>
                <w:szCs w:val="21"/>
              </w:rPr>
              <w:t>达标</w:t>
            </w:r>
          </w:p>
        </w:tc>
      </w:tr>
      <w:tr w:rsidR="008032E3" w:rsidRPr="00F9522B" w:rsidTr="00C92D94">
        <w:trPr>
          <w:trHeight w:val="272"/>
          <w:jc w:val="center"/>
        </w:trPr>
        <w:tc>
          <w:tcPr>
            <w:tcW w:w="639" w:type="pct"/>
            <w:vMerge/>
            <w:shd w:val="clear" w:color="auto" w:fill="auto"/>
            <w:tcMar>
              <w:top w:w="12" w:type="dxa"/>
              <w:left w:w="12" w:type="dxa"/>
              <w:right w:w="12" w:type="dxa"/>
            </w:tcMar>
            <w:vAlign w:val="center"/>
          </w:tcPr>
          <w:p w:rsidR="008032E3" w:rsidRPr="00F9522B" w:rsidRDefault="008032E3">
            <w:pPr>
              <w:widowControl/>
              <w:spacing w:line="0" w:lineRule="atLeast"/>
              <w:jc w:val="center"/>
              <w:textAlignment w:val="center"/>
              <w:rPr>
                <w:rFonts w:eastAsiaTheme="minorEastAsia"/>
                <w:kern w:val="0"/>
                <w:szCs w:val="21"/>
              </w:rPr>
            </w:pPr>
          </w:p>
        </w:tc>
        <w:tc>
          <w:tcPr>
            <w:tcW w:w="626" w:type="pct"/>
            <w:vMerge/>
            <w:shd w:val="clear" w:color="auto" w:fill="auto"/>
            <w:tcMar>
              <w:top w:w="12" w:type="dxa"/>
              <w:left w:w="12" w:type="dxa"/>
              <w:right w:w="12" w:type="dxa"/>
            </w:tcMar>
            <w:vAlign w:val="center"/>
          </w:tcPr>
          <w:p w:rsidR="008032E3" w:rsidRPr="00F9522B" w:rsidRDefault="008032E3">
            <w:pPr>
              <w:widowControl/>
              <w:spacing w:line="0" w:lineRule="atLeast"/>
              <w:jc w:val="center"/>
              <w:textAlignment w:val="center"/>
              <w:rPr>
                <w:rFonts w:eastAsiaTheme="minorEastAsia"/>
                <w:kern w:val="0"/>
                <w:szCs w:val="21"/>
              </w:rPr>
            </w:pPr>
          </w:p>
        </w:tc>
        <w:tc>
          <w:tcPr>
            <w:tcW w:w="1959" w:type="pct"/>
            <w:tcMar>
              <w:top w:w="12" w:type="dxa"/>
              <w:left w:w="12" w:type="dxa"/>
              <w:right w:w="12" w:type="dxa"/>
            </w:tcMar>
            <w:vAlign w:val="center"/>
          </w:tcPr>
          <w:p w:rsidR="008032E3" w:rsidRPr="00F9522B" w:rsidRDefault="008032E3" w:rsidP="00773236">
            <w:pPr>
              <w:spacing w:line="0" w:lineRule="atLeast"/>
              <w:jc w:val="center"/>
              <w:rPr>
                <w:rFonts w:eastAsiaTheme="minorEastAsia"/>
                <w:szCs w:val="21"/>
              </w:rPr>
            </w:pPr>
            <w:r w:rsidRPr="00F9522B">
              <w:rPr>
                <w:rFonts w:eastAsiaTheme="minorEastAsia"/>
                <w:kern w:val="0"/>
                <w:szCs w:val="21"/>
              </w:rPr>
              <w:t>2025</w:t>
            </w:r>
            <w:r w:rsidRPr="00F9522B">
              <w:rPr>
                <w:rFonts w:eastAsiaTheme="minorEastAsia"/>
                <w:kern w:val="0"/>
                <w:szCs w:val="21"/>
              </w:rPr>
              <w:t>年</w:t>
            </w:r>
            <w:r w:rsidRPr="00F9522B">
              <w:rPr>
                <w:rFonts w:eastAsiaTheme="minorEastAsia"/>
                <w:kern w:val="0"/>
                <w:szCs w:val="21"/>
              </w:rPr>
              <w:t>11</w:t>
            </w:r>
            <w:r w:rsidRPr="00F9522B">
              <w:rPr>
                <w:rFonts w:eastAsiaTheme="minorEastAsia"/>
                <w:kern w:val="0"/>
                <w:szCs w:val="21"/>
              </w:rPr>
              <w:t>月</w:t>
            </w:r>
          </w:p>
        </w:tc>
        <w:tc>
          <w:tcPr>
            <w:tcW w:w="888" w:type="pct"/>
            <w:shd w:val="clear" w:color="auto" w:fill="auto"/>
            <w:tcMar>
              <w:top w:w="12" w:type="dxa"/>
              <w:left w:w="12" w:type="dxa"/>
              <w:right w:w="12" w:type="dxa"/>
            </w:tcMar>
            <w:vAlign w:val="center"/>
          </w:tcPr>
          <w:p w:rsidR="008032E3" w:rsidRPr="00F9522B" w:rsidRDefault="008032E3">
            <w:pPr>
              <w:widowControl/>
              <w:spacing w:line="0" w:lineRule="atLeast"/>
              <w:jc w:val="center"/>
              <w:textAlignment w:val="center"/>
              <w:rPr>
                <w:rFonts w:eastAsiaTheme="minorEastAsia"/>
                <w:kern w:val="0"/>
                <w:szCs w:val="21"/>
              </w:rPr>
            </w:pPr>
            <w:r w:rsidRPr="00F9522B">
              <w:rPr>
                <w:rFonts w:eastAsiaTheme="minorEastAsia"/>
                <w:kern w:val="0"/>
                <w:szCs w:val="21"/>
              </w:rPr>
              <w:t>Ⅴ</w:t>
            </w:r>
            <w:r w:rsidRPr="00F9522B">
              <w:rPr>
                <w:rFonts w:eastAsiaTheme="minorEastAsia"/>
                <w:kern w:val="0"/>
                <w:szCs w:val="21"/>
              </w:rPr>
              <w:t>类</w:t>
            </w:r>
          </w:p>
        </w:tc>
        <w:tc>
          <w:tcPr>
            <w:tcW w:w="888" w:type="pct"/>
            <w:vAlign w:val="center"/>
          </w:tcPr>
          <w:p w:rsidR="008032E3" w:rsidRPr="00F9522B" w:rsidRDefault="008032E3">
            <w:pPr>
              <w:spacing w:line="0" w:lineRule="atLeast"/>
              <w:jc w:val="center"/>
              <w:rPr>
                <w:szCs w:val="21"/>
              </w:rPr>
            </w:pPr>
            <w:r w:rsidRPr="00F9522B">
              <w:rPr>
                <w:rFonts w:eastAsiaTheme="minorEastAsia"/>
                <w:kern w:val="0"/>
                <w:szCs w:val="21"/>
              </w:rPr>
              <w:t>达标</w:t>
            </w:r>
          </w:p>
        </w:tc>
      </w:tr>
      <w:tr w:rsidR="008032E3" w:rsidRPr="00F9522B" w:rsidTr="00C92D94">
        <w:trPr>
          <w:trHeight w:val="272"/>
          <w:jc w:val="center"/>
        </w:trPr>
        <w:tc>
          <w:tcPr>
            <w:tcW w:w="639" w:type="pct"/>
            <w:vMerge/>
            <w:shd w:val="clear" w:color="auto" w:fill="auto"/>
            <w:tcMar>
              <w:top w:w="12" w:type="dxa"/>
              <w:left w:w="12" w:type="dxa"/>
              <w:right w:w="12" w:type="dxa"/>
            </w:tcMar>
            <w:vAlign w:val="center"/>
          </w:tcPr>
          <w:p w:rsidR="008032E3" w:rsidRPr="00F9522B" w:rsidRDefault="008032E3">
            <w:pPr>
              <w:widowControl/>
              <w:spacing w:line="0" w:lineRule="atLeast"/>
              <w:jc w:val="center"/>
              <w:textAlignment w:val="center"/>
              <w:rPr>
                <w:rFonts w:eastAsiaTheme="minorEastAsia"/>
                <w:kern w:val="0"/>
                <w:szCs w:val="21"/>
              </w:rPr>
            </w:pPr>
          </w:p>
        </w:tc>
        <w:tc>
          <w:tcPr>
            <w:tcW w:w="626" w:type="pct"/>
            <w:vMerge/>
            <w:shd w:val="clear" w:color="auto" w:fill="auto"/>
            <w:tcMar>
              <w:top w:w="12" w:type="dxa"/>
              <w:left w:w="12" w:type="dxa"/>
              <w:right w:w="12" w:type="dxa"/>
            </w:tcMar>
            <w:vAlign w:val="center"/>
          </w:tcPr>
          <w:p w:rsidR="008032E3" w:rsidRPr="00F9522B" w:rsidRDefault="008032E3">
            <w:pPr>
              <w:widowControl/>
              <w:spacing w:line="0" w:lineRule="atLeast"/>
              <w:jc w:val="center"/>
              <w:textAlignment w:val="bottom"/>
              <w:rPr>
                <w:rFonts w:eastAsiaTheme="minorEastAsia"/>
                <w:kern w:val="0"/>
                <w:szCs w:val="21"/>
              </w:rPr>
            </w:pPr>
          </w:p>
        </w:tc>
        <w:tc>
          <w:tcPr>
            <w:tcW w:w="1959" w:type="pct"/>
            <w:tcMar>
              <w:top w:w="12" w:type="dxa"/>
              <w:left w:w="12" w:type="dxa"/>
              <w:right w:w="12" w:type="dxa"/>
            </w:tcMar>
            <w:vAlign w:val="center"/>
          </w:tcPr>
          <w:p w:rsidR="008032E3" w:rsidRPr="00F9522B" w:rsidRDefault="008032E3" w:rsidP="00773236">
            <w:pPr>
              <w:spacing w:line="0" w:lineRule="atLeast"/>
              <w:jc w:val="center"/>
              <w:rPr>
                <w:rFonts w:eastAsiaTheme="minorEastAsia"/>
                <w:szCs w:val="21"/>
              </w:rPr>
            </w:pPr>
            <w:r w:rsidRPr="00F9522B">
              <w:rPr>
                <w:rFonts w:eastAsiaTheme="minorEastAsia"/>
                <w:kern w:val="0"/>
                <w:szCs w:val="21"/>
              </w:rPr>
              <w:t>2025</w:t>
            </w:r>
            <w:r w:rsidRPr="00F9522B">
              <w:rPr>
                <w:rFonts w:eastAsiaTheme="minorEastAsia"/>
                <w:kern w:val="0"/>
                <w:szCs w:val="21"/>
              </w:rPr>
              <w:t>年</w:t>
            </w:r>
            <w:r w:rsidRPr="00F9522B">
              <w:rPr>
                <w:rFonts w:eastAsiaTheme="minorEastAsia"/>
                <w:kern w:val="0"/>
                <w:szCs w:val="21"/>
              </w:rPr>
              <w:t>12</w:t>
            </w:r>
            <w:r w:rsidRPr="00F9522B">
              <w:rPr>
                <w:rFonts w:eastAsiaTheme="minorEastAsia"/>
                <w:kern w:val="0"/>
                <w:szCs w:val="21"/>
              </w:rPr>
              <w:t>月</w:t>
            </w:r>
          </w:p>
        </w:tc>
        <w:tc>
          <w:tcPr>
            <w:tcW w:w="888" w:type="pct"/>
            <w:shd w:val="clear" w:color="auto" w:fill="auto"/>
            <w:tcMar>
              <w:top w:w="12" w:type="dxa"/>
              <w:left w:w="12" w:type="dxa"/>
              <w:right w:w="12" w:type="dxa"/>
            </w:tcMar>
            <w:vAlign w:val="center"/>
          </w:tcPr>
          <w:p w:rsidR="008032E3" w:rsidRPr="00F9522B" w:rsidRDefault="008032E3">
            <w:pPr>
              <w:widowControl/>
              <w:spacing w:line="0" w:lineRule="atLeast"/>
              <w:jc w:val="center"/>
              <w:textAlignment w:val="bottom"/>
              <w:rPr>
                <w:rFonts w:eastAsiaTheme="minorEastAsia"/>
                <w:kern w:val="0"/>
                <w:szCs w:val="21"/>
              </w:rPr>
            </w:pPr>
            <w:r w:rsidRPr="00F9522B">
              <w:rPr>
                <w:rFonts w:eastAsiaTheme="minorEastAsia"/>
                <w:kern w:val="0"/>
                <w:szCs w:val="21"/>
              </w:rPr>
              <w:t>Ⅴ</w:t>
            </w:r>
            <w:r w:rsidRPr="00F9522B">
              <w:rPr>
                <w:rFonts w:eastAsiaTheme="minorEastAsia"/>
                <w:kern w:val="0"/>
                <w:szCs w:val="21"/>
              </w:rPr>
              <w:t>类</w:t>
            </w:r>
          </w:p>
        </w:tc>
        <w:tc>
          <w:tcPr>
            <w:tcW w:w="888" w:type="pct"/>
            <w:vAlign w:val="center"/>
          </w:tcPr>
          <w:p w:rsidR="008032E3" w:rsidRPr="00F9522B" w:rsidRDefault="008032E3">
            <w:pPr>
              <w:spacing w:line="0" w:lineRule="atLeast"/>
              <w:jc w:val="center"/>
              <w:rPr>
                <w:szCs w:val="21"/>
              </w:rPr>
            </w:pPr>
            <w:r w:rsidRPr="00F9522B">
              <w:rPr>
                <w:rFonts w:eastAsiaTheme="minorEastAsia"/>
                <w:kern w:val="0"/>
                <w:szCs w:val="21"/>
              </w:rPr>
              <w:t>达标</w:t>
            </w:r>
          </w:p>
        </w:tc>
      </w:tr>
      <w:tr w:rsidR="008032E3" w:rsidRPr="00F9522B" w:rsidTr="00C92D94">
        <w:trPr>
          <w:trHeight w:val="272"/>
          <w:jc w:val="center"/>
        </w:trPr>
        <w:tc>
          <w:tcPr>
            <w:tcW w:w="639" w:type="pct"/>
            <w:vMerge/>
            <w:shd w:val="clear" w:color="auto" w:fill="auto"/>
            <w:tcMar>
              <w:top w:w="12" w:type="dxa"/>
              <w:left w:w="12" w:type="dxa"/>
              <w:right w:w="12" w:type="dxa"/>
            </w:tcMar>
            <w:vAlign w:val="center"/>
          </w:tcPr>
          <w:p w:rsidR="008032E3" w:rsidRPr="00F9522B" w:rsidRDefault="008032E3">
            <w:pPr>
              <w:widowControl/>
              <w:spacing w:line="0" w:lineRule="atLeast"/>
              <w:jc w:val="center"/>
              <w:textAlignment w:val="center"/>
              <w:rPr>
                <w:rFonts w:eastAsiaTheme="minorEastAsia"/>
                <w:kern w:val="0"/>
                <w:szCs w:val="21"/>
              </w:rPr>
            </w:pPr>
          </w:p>
        </w:tc>
        <w:tc>
          <w:tcPr>
            <w:tcW w:w="626" w:type="pct"/>
            <w:vMerge/>
            <w:shd w:val="clear" w:color="auto" w:fill="auto"/>
            <w:tcMar>
              <w:top w:w="12" w:type="dxa"/>
              <w:left w:w="12" w:type="dxa"/>
              <w:right w:w="12" w:type="dxa"/>
            </w:tcMar>
            <w:vAlign w:val="center"/>
          </w:tcPr>
          <w:p w:rsidR="008032E3" w:rsidRPr="00F9522B" w:rsidRDefault="008032E3">
            <w:pPr>
              <w:widowControl/>
              <w:spacing w:line="0" w:lineRule="atLeast"/>
              <w:jc w:val="center"/>
              <w:textAlignment w:val="bottom"/>
              <w:rPr>
                <w:rFonts w:eastAsiaTheme="minorEastAsia"/>
                <w:kern w:val="0"/>
                <w:szCs w:val="21"/>
              </w:rPr>
            </w:pPr>
          </w:p>
        </w:tc>
        <w:tc>
          <w:tcPr>
            <w:tcW w:w="1959" w:type="pct"/>
            <w:tcMar>
              <w:top w:w="12" w:type="dxa"/>
              <w:left w:w="12" w:type="dxa"/>
              <w:right w:w="12" w:type="dxa"/>
            </w:tcMar>
            <w:vAlign w:val="center"/>
          </w:tcPr>
          <w:p w:rsidR="008032E3" w:rsidRPr="00F9522B" w:rsidRDefault="008032E3" w:rsidP="00773236">
            <w:pPr>
              <w:spacing w:line="0" w:lineRule="atLeast"/>
              <w:jc w:val="center"/>
              <w:rPr>
                <w:rFonts w:eastAsiaTheme="minorEastAsia"/>
                <w:kern w:val="0"/>
                <w:szCs w:val="21"/>
              </w:rPr>
            </w:pPr>
            <w:r w:rsidRPr="00F9522B">
              <w:rPr>
                <w:rFonts w:eastAsiaTheme="minorEastAsia"/>
                <w:kern w:val="0"/>
                <w:szCs w:val="21"/>
              </w:rPr>
              <w:t>2026</w:t>
            </w:r>
            <w:r w:rsidRPr="00F9522B">
              <w:rPr>
                <w:rFonts w:eastAsiaTheme="minorEastAsia"/>
                <w:kern w:val="0"/>
                <w:szCs w:val="21"/>
              </w:rPr>
              <w:t>年</w:t>
            </w:r>
            <w:r w:rsidRPr="00F9522B">
              <w:rPr>
                <w:rFonts w:eastAsiaTheme="minorEastAsia"/>
                <w:kern w:val="0"/>
                <w:szCs w:val="21"/>
              </w:rPr>
              <w:t>1</w:t>
            </w:r>
            <w:r w:rsidRPr="00F9522B">
              <w:rPr>
                <w:rFonts w:eastAsiaTheme="minorEastAsia"/>
                <w:kern w:val="0"/>
                <w:szCs w:val="21"/>
              </w:rPr>
              <w:t>月</w:t>
            </w:r>
          </w:p>
        </w:tc>
        <w:tc>
          <w:tcPr>
            <w:tcW w:w="888" w:type="pct"/>
            <w:shd w:val="clear" w:color="auto" w:fill="auto"/>
            <w:tcMar>
              <w:top w:w="12" w:type="dxa"/>
              <w:left w:w="12" w:type="dxa"/>
              <w:right w:w="12" w:type="dxa"/>
            </w:tcMar>
            <w:vAlign w:val="center"/>
          </w:tcPr>
          <w:p w:rsidR="008032E3" w:rsidRPr="00F9522B" w:rsidRDefault="008032E3">
            <w:pPr>
              <w:widowControl/>
              <w:spacing w:line="0" w:lineRule="atLeast"/>
              <w:jc w:val="center"/>
              <w:textAlignment w:val="bottom"/>
              <w:rPr>
                <w:rFonts w:eastAsiaTheme="minorEastAsia"/>
                <w:kern w:val="0"/>
                <w:szCs w:val="21"/>
              </w:rPr>
            </w:pPr>
            <w:r w:rsidRPr="00F9522B">
              <w:rPr>
                <w:rFonts w:eastAsiaTheme="minorEastAsia"/>
                <w:kern w:val="0"/>
                <w:szCs w:val="21"/>
              </w:rPr>
              <w:t>Ⅴ</w:t>
            </w:r>
            <w:r w:rsidRPr="00F9522B">
              <w:rPr>
                <w:rFonts w:eastAsiaTheme="minorEastAsia"/>
                <w:kern w:val="0"/>
                <w:szCs w:val="21"/>
              </w:rPr>
              <w:t>类</w:t>
            </w:r>
          </w:p>
        </w:tc>
        <w:tc>
          <w:tcPr>
            <w:tcW w:w="888" w:type="pct"/>
            <w:vAlign w:val="center"/>
          </w:tcPr>
          <w:p w:rsidR="008032E3" w:rsidRPr="00F9522B" w:rsidRDefault="008032E3">
            <w:pPr>
              <w:spacing w:line="0" w:lineRule="atLeast"/>
              <w:jc w:val="center"/>
              <w:rPr>
                <w:szCs w:val="21"/>
              </w:rPr>
            </w:pPr>
            <w:r w:rsidRPr="00F9522B">
              <w:rPr>
                <w:rFonts w:eastAsiaTheme="minorEastAsia"/>
                <w:kern w:val="0"/>
                <w:szCs w:val="21"/>
              </w:rPr>
              <w:t>达标</w:t>
            </w:r>
          </w:p>
        </w:tc>
      </w:tr>
      <w:tr w:rsidR="008032E3" w:rsidRPr="00F9522B" w:rsidTr="00C92D94">
        <w:trPr>
          <w:trHeight w:val="272"/>
          <w:jc w:val="center"/>
        </w:trPr>
        <w:tc>
          <w:tcPr>
            <w:tcW w:w="639" w:type="pct"/>
            <w:vMerge/>
            <w:shd w:val="clear" w:color="auto" w:fill="auto"/>
            <w:tcMar>
              <w:top w:w="12" w:type="dxa"/>
              <w:left w:w="12" w:type="dxa"/>
              <w:right w:w="12" w:type="dxa"/>
            </w:tcMar>
            <w:vAlign w:val="center"/>
          </w:tcPr>
          <w:p w:rsidR="008032E3" w:rsidRPr="00F9522B" w:rsidRDefault="008032E3">
            <w:pPr>
              <w:widowControl/>
              <w:spacing w:line="0" w:lineRule="atLeast"/>
              <w:jc w:val="center"/>
              <w:textAlignment w:val="center"/>
              <w:rPr>
                <w:rFonts w:eastAsiaTheme="minorEastAsia"/>
                <w:kern w:val="0"/>
                <w:szCs w:val="21"/>
              </w:rPr>
            </w:pPr>
          </w:p>
        </w:tc>
        <w:tc>
          <w:tcPr>
            <w:tcW w:w="626" w:type="pct"/>
            <w:vMerge/>
            <w:shd w:val="clear" w:color="auto" w:fill="auto"/>
            <w:tcMar>
              <w:top w:w="12" w:type="dxa"/>
              <w:left w:w="12" w:type="dxa"/>
              <w:right w:w="12" w:type="dxa"/>
            </w:tcMar>
            <w:vAlign w:val="center"/>
          </w:tcPr>
          <w:p w:rsidR="008032E3" w:rsidRPr="00F9522B" w:rsidRDefault="008032E3">
            <w:pPr>
              <w:widowControl/>
              <w:spacing w:line="0" w:lineRule="atLeast"/>
              <w:jc w:val="center"/>
              <w:textAlignment w:val="center"/>
              <w:rPr>
                <w:rFonts w:eastAsiaTheme="minorEastAsia"/>
                <w:kern w:val="0"/>
                <w:szCs w:val="21"/>
              </w:rPr>
            </w:pPr>
          </w:p>
        </w:tc>
        <w:tc>
          <w:tcPr>
            <w:tcW w:w="1959" w:type="pct"/>
            <w:tcMar>
              <w:top w:w="12" w:type="dxa"/>
              <w:left w:w="12" w:type="dxa"/>
              <w:right w:w="12" w:type="dxa"/>
            </w:tcMar>
            <w:vAlign w:val="center"/>
          </w:tcPr>
          <w:p w:rsidR="008032E3" w:rsidRPr="00F9522B" w:rsidRDefault="008032E3" w:rsidP="00773236">
            <w:pPr>
              <w:spacing w:line="0" w:lineRule="atLeast"/>
              <w:jc w:val="center"/>
              <w:rPr>
                <w:rFonts w:eastAsiaTheme="minorEastAsia"/>
                <w:kern w:val="0"/>
                <w:szCs w:val="21"/>
              </w:rPr>
            </w:pPr>
            <w:r w:rsidRPr="00F9522B">
              <w:rPr>
                <w:rFonts w:eastAsiaTheme="minorEastAsia"/>
                <w:kern w:val="0"/>
                <w:szCs w:val="21"/>
              </w:rPr>
              <w:t>2026</w:t>
            </w:r>
            <w:r w:rsidRPr="00F9522B">
              <w:rPr>
                <w:rFonts w:eastAsiaTheme="minorEastAsia"/>
                <w:kern w:val="0"/>
                <w:szCs w:val="21"/>
              </w:rPr>
              <w:t>年</w:t>
            </w:r>
            <w:r w:rsidRPr="00F9522B">
              <w:rPr>
                <w:rFonts w:eastAsiaTheme="minorEastAsia"/>
                <w:kern w:val="0"/>
                <w:szCs w:val="21"/>
              </w:rPr>
              <w:t>2</w:t>
            </w:r>
            <w:r w:rsidRPr="00F9522B">
              <w:rPr>
                <w:rFonts w:eastAsiaTheme="minorEastAsia"/>
                <w:kern w:val="0"/>
                <w:szCs w:val="21"/>
              </w:rPr>
              <w:t>月</w:t>
            </w:r>
          </w:p>
        </w:tc>
        <w:tc>
          <w:tcPr>
            <w:tcW w:w="888" w:type="pct"/>
            <w:shd w:val="clear" w:color="auto" w:fill="auto"/>
            <w:tcMar>
              <w:top w:w="12" w:type="dxa"/>
              <w:left w:w="12" w:type="dxa"/>
              <w:right w:w="12" w:type="dxa"/>
            </w:tcMar>
            <w:vAlign w:val="center"/>
          </w:tcPr>
          <w:p w:rsidR="008032E3" w:rsidRPr="00F9522B" w:rsidRDefault="008032E3">
            <w:pPr>
              <w:widowControl/>
              <w:spacing w:line="0" w:lineRule="atLeast"/>
              <w:jc w:val="center"/>
              <w:textAlignment w:val="center"/>
              <w:rPr>
                <w:rFonts w:eastAsiaTheme="minorEastAsia"/>
                <w:kern w:val="0"/>
                <w:szCs w:val="21"/>
              </w:rPr>
            </w:pPr>
            <w:r w:rsidRPr="00F9522B">
              <w:rPr>
                <w:rFonts w:eastAsiaTheme="minorEastAsia"/>
                <w:kern w:val="0"/>
                <w:szCs w:val="21"/>
              </w:rPr>
              <w:t>Ⅴ</w:t>
            </w:r>
            <w:r w:rsidRPr="00F9522B">
              <w:rPr>
                <w:rFonts w:eastAsiaTheme="minorEastAsia"/>
                <w:kern w:val="0"/>
                <w:szCs w:val="21"/>
              </w:rPr>
              <w:t>类</w:t>
            </w:r>
          </w:p>
        </w:tc>
        <w:tc>
          <w:tcPr>
            <w:tcW w:w="888" w:type="pct"/>
            <w:vAlign w:val="center"/>
          </w:tcPr>
          <w:p w:rsidR="008032E3" w:rsidRPr="00F9522B" w:rsidRDefault="008032E3">
            <w:pPr>
              <w:spacing w:line="0" w:lineRule="atLeast"/>
              <w:jc w:val="center"/>
              <w:rPr>
                <w:szCs w:val="21"/>
              </w:rPr>
            </w:pPr>
            <w:r w:rsidRPr="00F9522B">
              <w:rPr>
                <w:rFonts w:eastAsiaTheme="minorEastAsia"/>
                <w:kern w:val="0"/>
                <w:szCs w:val="21"/>
              </w:rPr>
              <w:t>达标</w:t>
            </w:r>
          </w:p>
        </w:tc>
      </w:tr>
      <w:tr w:rsidR="008032E3" w:rsidRPr="00F9522B" w:rsidTr="00C92D94">
        <w:trPr>
          <w:trHeight w:val="272"/>
          <w:jc w:val="center"/>
        </w:trPr>
        <w:tc>
          <w:tcPr>
            <w:tcW w:w="639" w:type="pct"/>
            <w:vMerge/>
            <w:shd w:val="clear" w:color="auto" w:fill="auto"/>
            <w:tcMar>
              <w:top w:w="12" w:type="dxa"/>
              <w:left w:w="12" w:type="dxa"/>
              <w:right w:w="12" w:type="dxa"/>
            </w:tcMar>
            <w:vAlign w:val="center"/>
          </w:tcPr>
          <w:p w:rsidR="008032E3" w:rsidRPr="00F9522B" w:rsidRDefault="008032E3">
            <w:pPr>
              <w:widowControl/>
              <w:spacing w:line="0" w:lineRule="atLeast"/>
              <w:jc w:val="center"/>
              <w:textAlignment w:val="center"/>
              <w:rPr>
                <w:rFonts w:eastAsiaTheme="minorEastAsia"/>
                <w:kern w:val="0"/>
                <w:szCs w:val="21"/>
              </w:rPr>
            </w:pPr>
          </w:p>
        </w:tc>
        <w:tc>
          <w:tcPr>
            <w:tcW w:w="626" w:type="pct"/>
            <w:vMerge/>
            <w:shd w:val="clear" w:color="auto" w:fill="auto"/>
            <w:tcMar>
              <w:top w:w="12" w:type="dxa"/>
              <w:left w:w="12" w:type="dxa"/>
              <w:right w:w="12" w:type="dxa"/>
            </w:tcMar>
            <w:vAlign w:val="center"/>
          </w:tcPr>
          <w:p w:rsidR="008032E3" w:rsidRPr="00F9522B" w:rsidRDefault="008032E3">
            <w:pPr>
              <w:widowControl/>
              <w:spacing w:line="0" w:lineRule="atLeast"/>
              <w:jc w:val="center"/>
              <w:textAlignment w:val="center"/>
              <w:rPr>
                <w:rFonts w:eastAsiaTheme="minorEastAsia"/>
                <w:kern w:val="0"/>
                <w:szCs w:val="21"/>
              </w:rPr>
            </w:pPr>
          </w:p>
        </w:tc>
        <w:tc>
          <w:tcPr>
            <w:tcW w:w="1959" w:type="pct"/>
            <w:tcMar>
              <w:top w:w="12" w:type="dxa"/>
              <w:left w:w="12" w:type="dxa"/>
              <w:right w:w="12" w:type="dxa"/>
            </w:tcMar>
            <w:vAlign w:val="center"/>
          </w:tcPr>
          <w:p w:rsidR="008032E3" w:rsidRPr="00F9522B" w:rsidRDefault="008032E3" w:rsidP="00773236">
            <w:pPr>
              <w:spacing w:line="0" w:lineRule="atLeast"/>
              <w:jc w:val="center"/>
              <w:rPr>
                <w:rFonts w:eastAsiaTheme="minorEastAsia"/>
                <w:kern w:val="0"/>
                <w:szCs w:val="21"/>
              </w:rPr>
            </w:pPr>
            <w:r w:rsidRPr="00F9522B">
              <w:rPr>
                <w:rFonts w:eastAsiaTheme="minorEastAsia"/>
                <w:kern w:val="0"/>
                <w:szCs w:val="21"/>
              </w:rPr>
              <w:t>2026</w:t>
            </w:r>
            <w:r w:rsidRPr="00F9522B">
              <w:rPr>
                <w:rFonts w:eastAsiaTheme="minorEastAsia"/>
                <w:kern w:val="0"/>
                <w:szCs w:val="21"/>
              </w:rPr>
              <w:t>年</w:t>
            </w:r>
            <w:r w:rsidRPr="00F9522B">
              <w:rPr>
                <w:rFonts w:eastAsiaTheme="minorEastAsia"/>
                <w:kern w:val="0"/>
                <w:szCs w:val="21"/>
              </w:rPr>
              <w:t>3</w:t>
            </w:r>
            <w:r w:rsidRPr="00F9522B">
              <w:rPr>
                <w:rFonts w:eastAsiaTheme="minorEastAsia"/>
                <w:kern w:val="0"/>
                <w:szCs w:val="21"/>
              </w:rPr>
              <w:t>月</w:t>
            </w:r>
          </w:p>
        </w:tc>
        <w:tc>
          <w:tcPr>
            <w:tcW w:w="888" w:type="pct"/>
            <w:shd w:val="clear" w:color="auto" w:fill="auto"/>
            <w:tcMar>
              <w:top w:w="12" w:type="dxa"/>
              <w:left w:w="12" w:type="dxa"/>
              <w:right w:w="12" w:type="dxa"/>
            </w:tcMar>
            <w:vAlign w:val="center"/>
          </w:tcPr>
          <w:p w:rsidR="008032E3" w:rsidRPr="00F9522B" w:rsidRDefault="008032E3" w:rsidP="00773236">
            <w:pPr>
              <w:widowControl/>
              <w:spacing w:line="0" w:lineRule="atLeast"/>
              <w:jc w:val="center"/>
              <w:textAlignment w:val="center"/>
              <w:rPr>
                <w:rFonts w:eastAsiaTheme="minorEastAsia"/>
                <w:kern w:val="0"/>
                <w:szCs w:val="21"/>
              </w:rPr>
            </w:pPr>
            <w:r w:rsidRPr="00F9522B">
              <w:rPr>
                <w:rFonts w:eastAsiaTheme="minorEastAsia"/>
                <w:kern w:val="0"/>
                <w:szCs w:val="21"/>
              </w:rPr>
              <w:t>Ⅴ</w:t>
            </w:r>
            <w:r w:rsidRPr="00F9522B">
              <w:rPr>
                <w:rFonts w:eastAsiaTheme="minorEastAsia"/>
                <w:kern w:val="0"/>
                <w:szCs w:val="21"/>
              </w:rPr>
              <w:t>类</w:t>
            </w:r>
          </w:p>
        </w:tc>
        <w:tc>
          <w:tcPr>
            <w:tcW w:w="888" w:type="pct"/>
            <w:vAlign w:val="center"/>
          </w:tcPr>
          <w:p w:rsidR="008032E3" w:rsidRPr="00F9522B" w:rsidRDefault="008032E3" w:rsidP="00773236">
            <w:pPr>
              <w:spacing w:line="0" w:lineRule="atLeast"/>
              <w:jc w:val="center"/>
              <w:rPr>
                <w:szCs w:val="21"/>
              </w:rPr>
            </w:pPr>
            <w:r w:rsidRPr="00F9522B">
              <w:rPr>
                <w:rFonts w:eastAsiaTheme="minorEastAsia"/>
                <w:kern w:val="0"/>
                <w:szCs w:val="21"/>
              </w:rPr>
              <w:t>达标</w:t>
            </w:r>
          </w:p>
        </w:tc>
      </w:tr>
    </w:tbl>
    <w:p w:rsidR="00890D83" w:rsidRPr="00890D83" w:rsidRDefault="00611CBA">
      <w:pPr>
        <w:spacing w:line="360" w:lineRule="auto"/>
        <w:ind w:firstLineChars="200" w:firstLine="480"/>
        <w:rPr>
          <w:rFonts w:eastAsiaTheme="minorEastAsia"/>
          <w:color w:val="FF0000"/>
          <w:sz w:val="24"/>
        </w:rPr>
      </w:pPr>
      <w:r w:rsidRPr="00F9522B">
        <w:rPr>
          <w:rFonts w:eastAsiaTheme="minorEastAsia"/>
          <w:sz w:val="24"/>
        </w:rPr>
        <w:t>根据《</w:t>
      </w:r>
      <w:r w:rsidRPr="00F9522B">
        <w:rPr>
          <w:rFonts w:eastAsiaTheme="minorEastAsia"/>
          <w:sz w:val="24"/>
        </w:rPr>
        <w:t>2024</w:t>
      </w:r>
      <w:r w:rsidRPr="00F9522B">
        <w:rPr>
          <w:rFonts w:eastAsiaTheme="minorEastAsia"/>
          <w:sz w:val="24"/>
        </w:rPr>
        <w:t>年哈尔滨生态环境质量状况年报》及《</w:t>
      </w:r>
      <w:r w:rsidRPr="00F9522B">
        <w:rPr>
          <w:rFonts w:eastAsiaTheme="minorEastAsia"/>
          <w:bCs/>
          <w:sz w:val="24"/>
        </w:rPr>
        <w:t>哈尔滨市水环境质量月报</w:t>
      </w:r>
      <w:r w:rsidR="00C27FC4" w:rsidRPr="00F9522B">
        <w:rPr>
          <w:rFonts w:eastAsiaTheme="minorEastAsia"/>
          <w:sz w:val="24"/>
        </w:rPr>
        <w:t>》</w:t>
      </w:r>
      <w:r w:rsidRPr="00F9522B">
        <w:rPr>
          <w:rFonts w:eastAsiaTheme="minorEastAsia"/>
          <w:sz w:val="24"/>
        </w:rPr>
        <w:t>可知，</w:t>
      </w:r>
      <w:r w:rsidR="001F1FD1" w:rsidRPr="00F9522B">
        <w:rPr>
          <w:rFonts w:eastAsiaTheme="minorEastAsia"/>
          <w:sz w:val="24"/>
        </w:rPr>
        <w:t>大顶子山</w:t>
      </w:r>
      <w:r w:rsidR="001F1FD1" w:rsidRPr="00F9522B">
        <w:rPr>
          <w:rFonts w:eastAsiaTheme="minorEastAsia"/>
          <w:bCs/>
          <w:kern w:val="0"/>
          <w:sz w:val="24"/>
          <w:szCs w:val="21"/>
        </w:rPr>
        <w:t>水质目标为</w:t>
      </w:r>
      <w:r w:rsidR="001F1FD1" w:rsidRPr="00F9522B">
        <w:rPr>
          <w:rFonts w:eastAsiaTheme="minorEastAsia"/>
          <w:bCs/>
          <w:kern w:val="0"/>
          <w:sz w:val="24"/>
          <w:szCs w:val="21"/>
        </w:rPr>
        <w:t>Ⅲ</w:t>
      </w:r>
      <w:r w:rsidR="001F1FD1" w:rsidRPr="00F9522B">
        <w:rPr>
          <w:rFonts w:eastAsiaTheme="minorEastAsia"/>
          <w:bCs/>
          <w:kern w:val="0"/>
          <w:sz w:val="24"/>
          <w:szCs w:val="21"/>
        </w:rPr>
        <w:t>类，</w:t>
      </w:r>
      <w:r w:rsidR="001F1FD1" w:rsidRPr="00F9522B">
        <w:rPr>
          <w:rFonts w:eastAsiaTheme="minorEastAsia"/>
          <w:bCs/>
          <w:kern w:val="0"/>
          <w:sz w:val="24"/>
          <w:szCs w:val="21"/>
        </w:rPr>
        <w:t>2025</w:t>
      </w:r>
      <w:r w:rsidR="001F1FD1" w:rsidRPr="00F9522B">
        <w:rPr>
          <w:rFonts w:eastAsiaTheme="minorEastAsia"/>
          <w:bCs/>
          <w:kern w:val="0"/>
          <w:sz w:val="24"/>
          <w:szCs w:val="21"/>
        </w:rPr>
        <w:t>年</w:t>
      </w:r>
      <w:r w:rsidR="001F1FD1" w:rsidRPr="00F9522B">
        <w:rPr>
          <w:rFonts w:eastAsiaTheme="minorEastAsia"/>
          <w:bCs/>
          <w:kern w:val="0"/>
          <w:sz w:val="24"/>
          <w:szCs w:val="21"/>
        </w:rPr>
        <w:t>1</w:t>
      </w:r>
      <w:r w:rsidR="001F1FD1" w:rsidRPr="00F9522B">
        <w:rPr>
          <w:rFonts w:eastAsiaTheme="minorEastAsia"/>
          <w:bCs/>
          <w:kern w:val="0"/>
          <w:sz w:val="24"/>
          <w:szCs w:val="21"/>
        </w:rPr>
        <w:t>月</w:t>
      </w:r>
      <w:r w:rsidR="00A21C92">
        <w:rPr>
          <w:rFonts w:eastAsiaTheme="minorEastAsia" w:hint="eastAsia"/>
          <w:bCs/>
          <w:kern w:val="0"/>
          <w:sz w:val="24"/>
          <w:szCs w:val="21"/>
        </w:rPr>
        <w:t>~</w:t>
      </w:r>
      <w:r w:rsidR="001F1FD1" w:rsidRPr="00F9522B">
        <w:rPr>
          <w:rFonts w:eastAsiaTheme="minorEastAsia"/>
          <w:bCs/>
          <w:kern w:val="0"/>
          <w:sz w:val="24"/>
          <w:szCs w:val="21"/>
        </w:rPr>
        <w:t>2026</w:t>
      </w:r>
      <w:r w:rsidR="001F1FD1" w:rsidRPr="00F9522B">
        <w:rPr>
          <w:rFonts w:eastAsiaTheme="minorEastAsia"/>
          <w:bCs/>
          <w:kern w:val="0"/>
          <w:sz w:val="24"/>
          <w:szCs w:val="21"/>
        </w:rPr>
        <w:t>年</w:t>
      </w:r>
      <w:r w:rsidR="001F1FD1" w:rsidRPr="00F9522B">
        <w:rPr>
          <w:rFonts w:eastAsiaTheme="minorEastAsia"/>
          <w:bCs/>
          <w:kern w:val="0"/>
          <w:sz w:val="24"/>
          <w:szCs w:val="21"/>
        </w:rPr>
        <w:t>3</w:t>
      </w:r>
      <w:r w:rsidR="001F1FD1" w:rsidRPr="00F9522B">
        <w:rPr>
          <w:rFonts w:eastAsiaTheme="minorEastAsia"/>
          <w:bCs/>
          <w:kern w:val="0"/>
          <w:sz w:val="24"/>
          <w:szCs w:val="21"/>
        </w:rPr>
        <w:t>月</w:t>
      </w:r>
      <w:r w:rsidR="0076291D" w:rsidRPr="00F9522B">
        <w:rPr>
          <w:rFonts w:eastAsiaTheme="minorEastAsia"/>
          <w:bCs/>
          <w:kern w:val="0"/>
          <w:sz w:val="24"/>
          <w:szCs w:val="21"/>
        </w:rPr>
        <w:t>水质</w:t>
      </w:r>
      <w:r w:rsidR="001F1FD1" w:rsidRPr="00F9522B">
        <w:rPr>
          <w:rFonts w:eastAsiaTheme="minorEastAsia"/>
          <w:bCs/>
          <w:kern w:val="0"/>
          <w:sz w:val="24"/>
          <w:szCs w:val="21"/>
        </w:rPr>
        <w:t>均达标，满足</w:t>
      </w:r>
      <w:r w:rsidR="001F1FD1" w:rsidRPr="00F9522B">
        <w:rPr>
          <w:rFonts w:eastAsiaTheme="minorEastAsia"/>
          <w:bCs/>
          <w:kern w:val="0"/>
          <w:sz w:val="24"/>
          <w:szCs w:val="21"/>
        </w:rPr>
        <w:t>Ⅲ</w:t>
      </w:r>
      <w:r w:rsidR="001F1FD1" w:rsidRPr="00F9522B">
        <w:rPr>
          <w:rFonts w:eastAsiaTheme="minorEastAsia"/>
          <w:bCs/>
          <w:kern w:val="0"/>
          <w:sz w:val="24"/>
          <w:szCs w:val="21"/>
        </w:rPr>
        <w:t>类</w:t>
      </w:r>
      <w:r w:rsidR="001F1FD1" w:rsidRPr="00F9522B">
        <w:rPr>
          <w:rFonts w:eastAsiaTheme="minorEastAsia"/>
          <w:sz w:val="24"/>
        </w:rPr>
        <w:t>水体类别要求</w:t>
      </w:r>
      <w:r w:rsidR="00A21C92">
        <w:rPr>
          <w:rFonts w:eastAsiaTheme="minorEastAsia"/>
          <w:sz w:val="24"/>
        </w:rPr>
        <w:t>，</w:t>
      </w:r>
      <w:r w:rsidR="00A21C92" w:rsidRPr="00A21C92">
        <w:rPr>
          <w:rFonts w:eastAsiaTheme="minorEastAsia"/>
          <w:color w:val="FF0000"/>
          <w:sz w:val="24"/>
        </w:rPr>
        <w:t>冰封期（</w:t>
      </w:r>
      <w:r w:rsidR="00A21C92" w:rsidRPr="00A21C92">
        <w:rPr>
          <w:rFonts w:eastAsiaTheme="minorEastAsia"/>
          <w:color w:val="FF0000"/>
          <w:sz w:val="24"/>
        </w:rPr>
        <w:t>1</w:t>
      </w:r>
      <w:r w:rsidR="00A21C92" w:rsidRPr="00A21C92">
        <w:rPr>
          <w:rFonts w:eastAsiaTheme="minorEastAsia" w:hint="eastAsia"/>
          <w:color w:val="FF0000"/>
          <w:sz w:val="24"/>
        </w:rPr>
        <w:t>~</w:t>
      </w:r>
      <w:r w:rsidR="00A21C92" w:rsidRPr="00A21C92">
        <w:rPr>
          <w:rFonts w:eastAsiaTheme="minorEastAsia"/>
          <w:color w:val="FF0000"/>
          <w:sz w:val="24"/>
        </w:rPr>
        <w:t>3</w:t>
      </w:r>
      <w:r w:rsidR="00A21C92" w:rsidRPr="00A21C92">
        <w:rPr>
          <w:rFonts w:eastAsiaTheme="minorEastAsia"/>
          <w:color w:val="FF0000"/>
          <w:sz w:val="24"/>
        </w:rPr>
        <w:t>月）水质优，易出现</w:t>
      </w:r>
      <w:r w:rsidR="00A21C92">
        <w:rPr>
          <w:rFonts w:eastAsiaTheme="minorEastAsia"/>
          <w:color w:val="FF0000"/>
          <w:sz w:val="24"/>
        </w:rPr>
        <w:t>Ⅱ</w:t>
      </w:r>
      <w:r w:rsidR="00A21C92" w:rsidRPr="00A21C92">
        <w:rPr>
          <w:rFonts w:eastAsiaTheme="minorEastAsia"/>
          <w:color w:val="FF0000"/>
          <w:sz w:val="24"/>
        </w:rPr>
        <w:t>类优质水体</w:t>
      </w:r>
      <w:r w:rsidR="00A21C92">
        <w:rPr>
          <w:rFonts w:eastAsiaTheme="minorEastAsia"/>
          <w:color w:val="FF0000"/>
          <w:sz w:val="24"/>
        </w:rPr>
        <w:t>，</w:t>
      </w:r>
      <w:r w:rsidR="00A21C92" w:rsidRPr="00A21C92">
        <w:rPr>
          <w:rFonts w:eastAsiaTheme="minorEastAsia"/>
          <w:color w:val="FF0000"/>
          <w:sz w:val="24"/>
        </w:rPr>
        <w:t>融冻、汛期至秋冬平水期（</w:t>
      </w:r>
      <w:r w:rsidR="00A21C92">
        <w:rPr>
          <w:rFonts w:eastAsiaTheme="minorEastAsia"/>
          <w:color w:val="FF0000"/>
          <w:sz w:val="24"/>
        </w:rPr>
        <w:t>4</w:t>
      </w:r>
      <w:r w:rsidR="00A21C92">
        <w:rPr>
          <w:rFonts w:eastAsiaTheme="minorEastAsia" w:hint="eastAsia"/>
          <w:color w:val="FF0000"/>
          <w:sz w:val="24"/>
        </w:rPr>
        <w:t>~</w:t>
      </w:r>
      <w:r w:rsidR="00A21C92">
        <w:rPr>
          <w:rFonts w:eastAsiaTheme="minorEastAsia"/>
          <w:color w:val="FF0000"/>
          <w:sz w:val="24"/>
        </w:rPr>
        <w:t>12</w:t>
      </w:r>
      <w:r w:rsidR="00A21C92" w:rsidRPr="00A21C92">
        <w:rPr>
          <w:rFonts w:eastAsiaTheme="minorEastAsia"/>
          <w:color w:val="FF0000"/>
          <w:sz w:val="24"/>
        </w:rPr>
        <w:t>月）受农田退水、地表径流冲刷等面源污染影响，水质稳定维持</w:t>
      </w:r>
      <w:r w:rsidR="00A21C92">
        <w:rPr>
          <w:rFonts w:eastAsiaTheme="minorEastAsia"/>
          <w:color w:val="FF0000"/>
          <w:sz w:val="24"/>
        </w:rPr>
        <w:t>Ⅲ</w:t>
      </w:r>
      <w:r w:rsidR="00A21C92" w:rsidRPr="00A21C92">
        <w:rPr>
          <w:rFonts w:eastAsiaTheme="minorEastAsia"/>
          <w:color w:val="FF0000"/>
          <w:sz w:val="24"/>
        </w:rPr>
        <w:t>类</w:t>
      </w:r>
      <w:r w:rsidR="001F1FD1" w:rsidRPr="00A21C92">
        <w:rPr>
          <w:rFonts w:eastAsiaTheme="minorEastAsia"/>
          <w:color w:val="FF0000"/>
          <w:sz w:val="24"/>
        </w:rPr>
        <w:t>。</w:t>
      </w:r>
      <w:r w:rsidRPr="00890D83">
        <w:rPr>
          <w:rFonts w:eastAsiaTheme="minorEastAsia"/>
          <w:color w:val="FF0000"/>
          <w:sz w:val="24"/>
        </w:rPr>
        <w:t>少陵河桥</w:t>
      </w:r>
      <w:r w:rsidRPr="00890D83">
        <w:rPr>
          <w:rFonts w:eastAsiaTheme="minorEastAsia"/>
          <w:bCs/>
          <w:color w:val="FF0000"/>
          <w:kern w:val="0"/>
          <w:sz w:val="24"/>
        </w:rPr>
        <w:t>断面水质</w:t>
      </w:r>
      <w:r w:rsidR="00773236" w:rsidRPr="00890D83">
        <w:rPr>
          <w:rFonts w:eastAsiaTheme="minorEastAsia"/>
          <w:bCs/>
          <w:color w:val="FF0000"/>
          <w:kern w:val="0"/>
          <w:sz w:val="24"/>
        </w:rPr>
        <w:t>目标</w:t>
      </w:r>
      <w:r w:rsidRPr="00890D83">
        <w:rPr>
          <w:rFonts w:eastAsiaTheme="minorEastAsia"/>
          <w:bCs/>
          <w:color w:val="FF0000"/>
          <w:kern w:val="0"/>
          <w:sz w:val="24"/>
        </w:rPr>
        <w:t>为</w:t>
      </w:r>
      <w:r w:rsidR="005273A1" w:rsidRPr="00890D83">
        <w:rPr>
          <w:rFonts w:eastAsiaTheme="minorEastAsia"/>
          <w:bCs/>
          <w:color w:val="FF0000"/>
          <w:kern w:val="0"/>
          <w:sz w:val="24"/>
        </w:rPr>
        <w:fldChar w:fldCharType="begin"/>
      </w:r>
      <w:r w:rsidRPr="00890D83">
        <w:rPr>
          <w:rFonts w:eastAsiaTheme="minorEastAsia"/>
          <w:bCs/>
          <w:color w:val="FF0000"/>
          <w:kern w:val="0"/>
          <w:sz w:val="24"/>
        </w:rPr>
        <w:instrText xml:space="preserve"> = 5 \* ROMAN </w:instrText>
      </w:r>
      <w:r w:rsidR="005273A1" w:rsidRPr="00890D83">
        <w:rPr>
          <w:rFonts w:eastAsiaTheme="minorEastAsia"/>
          <w:bCs/>
          <w:color w:val="FF0000"/>
          <w:kern w:val="0"/>
          <w:sz w:val="24"/>
        </w:rPr>
        <w:fldChar w:fldCharType="separate"/>
      </w:r>
      <w:r w:rsidRPr="00890D83">
        <w:rPr>
          <w:rFonts w:eastAsiaTheme="minorEastAsia"/>
          <w:bCs/>
          <w:color w:val="FF0000"/>
          <w:kern w:val="0"/>
          <w:sz w:val="24"/>
        </w:rPr>
        <w:t>V</w:t>
      </w:r>
      <w:r w:rsidR="005273A1" w:rsidRPr="00890D83">
        <w:rPr>
          <w:rFonts w:eastAsiaTheme="minorEastAsia"/>
          <w:bCs/>
          <w:color w:val="FF0000"/>
          <w:kern w:val="0"/>
          <w:sz w:val="24"/>
        </w:rPr>
        <w:fldChar w:fldCharType="end"/>
      </w:r>
      <w:r w:rsidRPr="00890D83">
        <w:rPr>
          <w:rFonts w:eastAsiaTheme="minorEastAsia"/>
          <w:bCs/>
          <w:color w:val="FF0000"/>
          <w:kern w:val="0"/>
          <w:sz w:val="24"/>
        </w:rPr>
        <w:t>类，</w:t>
      </w:r>
      <w:r w:rsidRPr="00890D83">
        <w:rPr>
          <w:rFonts w:eastAsiaTheme="minorEastAsia"/>
          <w:bCs/>
          <w:color w:val="FF0000"/>
          <w:kern w:val="0"/>
          <w:sz w:val="24"/>
        </w:rPr>
        <w:t>202</w:t>
      </w:r>
      <w:r w:rsidR="001F1FD1" w:rsidRPr="00890D83">
        <w:rPr>
          <w:rFonts w:eastAsiaTheme="minorEastAsia"/>
          <w:bCs/>
          <w:color w:val="FF0000"/>
          <w:kern w:val="0"/>
          <w:sz w:val="24"/>
        </w:rPr>
        <w:t>5</w:t>
      </w:r>
      <w:r w:rsidRPr="00890D83">
        <w:rPr>
          <w:rFonts w:eastAsiaTheme="minorEastAsia"/>
          <w:bCs/>
          <w:color w:val="FF0000"/>
          <w:kern w:val="0"/>
          <w:sz w:val="24"/>
        </w:rPr>
        <w:t>年</w:t>
      </w:r>
      <w:r w:rsidRPr="00890D83">
        <w:rPr>
          <w:rFonts w:eastAsiaTheme="minorEastAsia"/>
          <w:bCs/>
          <w:color w:val="FF0000"/>
          <w:kern w:val="0"/>
          <w:sz w:val="24"/>
        </w:rPr>
        <w:t>5</w:t>
      </w:r>
      <w:r w:rsidRPr="00890D83">
        <w:rPr>
          <w:rFonts w:eastAsiaTheme="minorEastAsia"/>
          <w:bCs/>
          <w:color w:val="FF0000"/>
          <w:kern w:val="0"/>
          <w:sz w:val="24"/>
        </w:rPr>
        <w:t>月水质超标，其他月份均达标，满足</w:t>
      </w:r>
      <w:r w:rsidR="005273A1" w:rsidRPr="00890D83">
        <w:rPr>
          <w:rFonts w:eastAsiaTheme="minorEastAsia"/>
          <w:bCs/>
          <w:color w:val="FF0000"/>
          <w:kern w:val="0"/>
          <w:sz w:val="24"/>
        </w:rPr>
        <w:fldChar w:fldCharType="begin"/>
      </w:r>
      <w:r w:rsidRPr="00890D83">
        <w:rPr>
          <w:rFonts w:eastAsiaTheme="minorEastAsia"/>
          <w:bCs/>
          <w:color w:val="FF0000"/>
          <w:kern w:val="0"/>
          <w:sz w:val="24"/>
        </w:rPr>
        <w:instrText xml:space="preserve"> = 5 \* ROMAN </w:instrText>
      </w:r>
      <w:r w:rsidR="005273A1" w:rsidRPr="00890D83">
        <w:rPr>
          <w:rFonts w:eastAsiaTheme="minorEastAsia"/>
          <w:bCs/>
          <w:color w:val="FF0000"/>
          <w:kern w:val="0"/>
          <w:sz w:val="24"/>
        </w:rPr>
        <w:fldChar w:fldCharType="separate"/>
      </w:r>
      <w:r w:rsidRPr="00890D83">
        <w:rPr>
          <w:rFonts w:eastAsiaTheme="minorEastAsia"/>
          <w:bCs/>
          <w:color w:val="FF0000"/>
          <w:kern w:val="0"/>
          <w:sz w:val="24"/>
        </w:rPr>
        <w:t>V</w:t>
      </w:r>
      <w:r w:rsidR="005273A1" w:rsidRPr="00890D83">
        <w:rPr>
          <w:rFonts w:eastAsiaTheme="minorEastAsia"/>
          <w:bCs/>
          <w:color w:val="FF0000"/>
          <w:kern w:val="0"/>
          <w:sz w:val="24"/>
        </w:rPr>
        <w:fldChar w:fldCharType="end"/>
      </w:r>
      <w:r w:rsidRPr="00890D83">
        <w:rPr>
          <w:rFonts w:eastAsiaTheme="minorEastAsia"/>
          <w:color w:val="FF0000"/>
          <w:sz w:val="24"/>
        </w:rPr>
        <w:t>类水体类别要求。</w:t>
      </w:r>
      <w:r w:rsidR="00890D83" w:rsidRPr="00890D83">
        <w:rPr>
          <w:color w:val="FF0000"/>
          <w:sz w:val="24"/>
        </w:rPr>
        <w:t>冬季</w:t>
      </w:r>
      <w:r w:rsidR="00890D83" w:rsidRPr="00890D83">
        <w:rPr>
          <w:color w:val="FF0000"/>
          <w:sz w:val="24"/>
        </w:rPr>
        <w:t xml:space="preserve"> 1</w:t>
      </w:r>
      <w:r w:rsidR="00890D83" w:rsidRPr="00890D83">
        <w:rPr>
          <w:rFonts w:eastAsiaTheme="minorEastAsia"/>
          <w:color w:val="FF0000"/>
          <w:sz w:val="24"/>
        </w:rPr>
        <w:t>~</w:t>
      </w:r>
      <w:r w:rsidR="00890D83" w:rsidRPr="00890D83">
        <w:rPr>
          <w:color w:val="FF0000"/>
          <w:sz w:val="24"/>
        </w:rPr>
        <w:t>3</w:t>
      </w:r>
      <w:r w:rsidR="00890D83" w:rsidRPr="00890D83">
        <w:rPr>
          <w:color w:val="FF0000"/>
          <w:sz w:val="24"/>
        </w:rPr>
        <w:t>月、</w:t>
      </w:r>
      <w:r w:rsidR="00890D83" w:rsidRPr="00890D83">
        <w:rPr>
          <w:color w:val="FF0000"/>
          <w:sz w:val="24"/>
        </w:rPr>
        <w:t>11</w:t>
      </w:r>
      <w:r w:rsidR="00890D83" w:rsidRPr="00890D83">
        <w:rPr>
          <w:rFonts w:eastAsiaTheme="minorEastAsia"/>
          <w:color w:val="FF0000"/>
          <w:sz w:val="24"/>
        </w:rPr>
        <w:t>~</w:t>
      </w:r>
      <w:r w:rsidR="00890D83" w:rsidRPr="00890D83">
        <w:rPr>
          <w:color w:val="FF0000"/>
          <w:sz w:val="24"/>
        </w:rPr>
        <w:t>12</w:t>
      </w:r>
      <w:r w:rsidR="00890D83" w:rsidRPr="00890D83">
        <w:rPr>
          <w:color w:val="FF0000"/>
          <w:sz w:val="24"/>
        </w:rPr>
        <w:t>月冰封期外源污染输入极少，水质稳定维持</w:t>
      </w:r>
      <w:r w:rsidR="00890D83" w:rsidRPr="00890D83">
        <w:rPr>
          <w:color w:val="FF0000"/>
          <w:sz w:val="24"/>
        </w:rPr>
        <w:t>Ⅴ</w:t>
      </w:r>
      <w:r w:rsidR="00890D83" w:rsidRPr="00890D83">
        <w:rPr>
          <w:color w:val="FF0000"/>
          <w:sz w:val="24"/>
        </w:rPr>
        <w:t>类；</w:t>
      </w:r>
      <w:r w:rsidR="00890D83" w:rsidRPr="00890D83">
        <w:rPr>
          <w:color w:val="FF0000"/>
          <w:sz w:val="24"/>
        </w:rPr>
        <w:t>4</w:t>
      </w:r>
      <w:r w:rsidR="00890D83" w:rsidRPr="00890D83">
        <w:rPr>
          <w:color w:val="FF0000"/>
          <w:sz w:val="24"/>
        </w:rPr>
        <w:t>月融雪初期水质保持</w:t>
      </w:r>
      <w:r w:rsidR="00890D83" w:rsidRPr="00890D83">
        <w:rPr>
          <w:color w:val="FF0000"/>
          <w:sz w:val="24"/>
        </w:rPr>
        <w:t>Ⅴ</w:t>
      </w:r>
      <w:r w:rsidR="00890D83" w:rsidRPr="00890D83">
        <w:rPr>
          <w:color w:val="FF0000"/>
          <w:sz w:val="24"/>
        </w:rPr>
        <w:t>类，</w:t>
      </w:r>
      <w:r w:rsidR="00890D83" w:rsidRPr="00890D83">
        <w:rPr>
          <w:color w:val="FF0000"/>
          <w:sz w:val="24"/>
        </w:rPr>
        <w:t>5</w:t>
      </w:r>
      <w:r w:rsidR="00890D83" w:rsidRPr="00890D83">
        <w:rPr>
          <w:color w:val="FF0000"/>
          <w:sz w:val="24"/>
        </w:rPr>
        <w:t>月融雪与春耕降雨叠加，径流冲刷携带大量农业面源污染物入河，水体污染物负荷骤增，水质恶化</w:t>
      </w:r>
      <w:r w:rsidR="00890D83" w:rsidRPr="00890D83">
        <w:rPr>
          <w:color w:val="FF0000"/>
          <w:sz w:val="24"/>
        </w:rPr>
        <w:lastRenderedPageBreak/>
        <w:t>至劣</w:t>
      </w:r>
      <w:r w:rsidR="00890D83" w:rsidRPr="00890D83">
        <w:rPr>
          <w:color w:val="FF0000"/>
          <w:sz w:val="24"/>
        </w:rPr>
        <w:t>Ⅴ</w:t>
      </w:r>
      <w:r w:rsidR="00890D83" w:rsidRPr="00890D83">
        <w:rPr>
          <w:color w:val="FF0000"/>
          <w:sz w:val="24"/>
        </w:rPr>
        <w:t>类超标；</w:t>
      </w:r>
      <w:r w:rsidR="00890D83" w:rsidRPr="00890D83">
        <w:rPr>
          <w:color w:val="FF0000"/>
          <w:sz w:val="24"/>
        </w:rPr>
        <w:t>6</w:t>
      </w:r>
      <w:r w:rsidR="00890D83" w:rsidRPr="00890D83">
        <w:rPr>
          <w:rFonts w:eastAsiaTheme="minorEastAsia"/>
          <w:color w:val="FF0000"/>
          <w:sz w:val="24"/>
        </w:rPr>
        <w:t>~</w:t>
      </w:r>
      <w:r w:rsidR="00890D83" w:rsidRPr="00890D83">
        <w:rPr>
          <w:color w:val="FF0000"/>
          <w:sz w:val="24"/>
        </w:rPr>
        <w:t>8</w:t>
      </w:r>
      <w:r w:rsidR="00890D83" w:rsidRPr="00890D83">
        <w:rPr>
          <w:color w:val="FF0000"/>
          <w:sz w:val="24"/>
        </w:rPr>
        <w:t>月汛期径流趋于平稳，水质恢复至</w:t>
      </w:r>
      <w:r w:rsidR="00890D83" w:rsidRPr="00890D83">
        <w:rPr>
          <w:color w:val="FF0000"/>
          <w:sz w:val="24"/>
        </w:rPr>
        <w:t>Ⅴ</w:t>
      </w:r>
      <w:r w:rsidR="00890D83" w:rsidRPr="00890D83">
        <w:rPr>
          <w:color w:val="FF0000"/>
          <w:sz w:val="24"/>
        </w:rPr>
        <w:t>类稳定达标；</w:t>
      </w:r>
      <w:r w:rsidR="00890D83" w:rsidRPr="00890D83">
        <w:rPr>
          <w:color w:val="FF0000"/>
          <w:sz w:val="24"/>
        </w:rPr>
        <w:t>9</w:t>
      </w:r>
      <w:r w:rsidR="00890D83" w:rsidRPr="00890D83">
        <w:rPr>
          <w:rFonts w:eastAsiaTheme="minorEastAsia"/>
          <w:color w:val="FF0000"/>
          <w:sz w:val="24"/>
        </w:rPr>
        <w:t>~</w:t>
      </w:r>
      <w:r w:rsidR="00890D83" w:rsidRPr="00890D83">
        <w:rPr>
          <w:color w:val="FF0000"/>
          <w:sz w:val="24"/>
        </w:rPr>
        <w:t>10</w:t>
      </w:r>
      <w:r w:rsidR="00890D83" w:rsidRPr="00890D83">
        <w:rPr>
          <w:color w:val="FF0000"/>
          <w:sz w:val="24"/>
        </w:rPr>
        <w:t>月农田生产活动结束，面源污染大幅减少，水质提升至</w:t>
      </w:r>
      <w:r w:rsidR="00890D83" w:rsidRPr="00890D83">
        <w:rPr>
          <w:color w:val="FF0000"/>
          <w:sz w:val="24"/>
        </w:rPr>
        <w:t xml:space="preserve"> Ⅳ</w:t>
      </w:r>
      <w:r w:rsidR="00890D83" w:rsidRPr="00890D83">
        <w:rPr>
          <w:color w:val="FF0000"/>
          <w:sz w:val="24"/>
        </w:rPr>
        <w:t>类，为全年水质最优时段。</w:t>
      </w:r>
    </w:p>
    <w:p w:rsidR="002A5A5E" w:rsidRPr="00F9522B" w:rsidRDefault="00890D83" w:rsidP="00890D83">
      <w:pPr>
        <w:spacing w:line="360" w:lineRule="auto"/>
        <w:rPr>
          <w:rFonts w:eastAsiaTheme="minorEastAsia"/>
          <w:bCs/>
          <w:kern w:val="0"/>
          <w:sz w:val="24"/>
          <w:szCs w:val="21"/>
        </w:rPr>
      </w:pPr>
      <w:r>
        <w:rPr>
          <w:rFonts w:eastAsiaTheme="minorEastAsia" w:hint="eastAsia"/>
          <w:bCs/>
          <w:color w:val="FF0000"/>
          <w:kern w:val="0"/>
          <w:sz w:val="24"/>
          <w:szCs w:val="21"/>
        </w:rPr>
        <w:t>5</w:t>
      </w:r>
      <w:r>
        <w:rPr>
          <w:rFonts w:eastAsiaTheme="minorEastAsia" w:hint="eastAsia"/>
          <w:bCs/>
          <w:color w:val="FF0000"/>
          <w:kern w:val="0"/>
          <w:sz w:val="24"/>
          <w:szCs w:val="21"/>
        </w:rPr>
        <w:t>月</w:t>
      </w:r>
      <w:r w:rsidR="00611CBA" w:rsidRPr="00435CAA">
        <w:rPr>
          <w:rFonts w:eastAsiaTheme="minorEastAsia"/>
          <w:bCs/>
          <w:color w:val="FF0000"/>
          <w:kern w:val="0"/>
          <w:sz w:val="24"/>
          <w:szCs w:val="21"/>
        </w:rPr>
        <w:t>超标因子为</w:t>
      </w:r>
      <w:r w:rsidR="00FD1A57" w:rsidRPr="00435CAA">
        <w:rPr>
          <w:rFonts w:eastAsiaTheme="minorEastAsia"/>
          <w:bCs/>
          <w:color w:val="FF0000"/>
          <w:kern w:val="0"/>
          <w:sz w:val="24"/>
          <w:szCs w:val="21"/>
        </w:rPr>
        <w:t>化学需氧量</w:t>
      </w:r>
      <w:r w:rsidR="00611CBA" w:rsidRPr="00435CAA">
        <w:rPr>
          <w:rFonts w:eastAsiaTheme="minorEastAsia"/>
          <w:bCs/>
          <w:color w:val="FF0000"/>
          <w:kern w:val="0"/>
          <w:sz w:val="24"/>
          <w:szCs w:val="21"/>
        </w:rPr>
        <w:t>、</w:t>
      </w:r>
      <w:r w:rsidR="00FD1A57" w:rsidRPr="00435CAA">
        <w:rPr>
          <w:rFonts w:eastAsiaTheme="minorEastAsia"/>
          <w:bCs/>
          <w:color w:val="FF0000"/>
          <w:kern w:val="0"/>
          <w:sz w:val="24"/>
          <w:szCs w:val="21"/>
        </w:rPr>
        <w:t>氨氮</w:t>
      </w:r>
      <w:r w:rsidR="00611CBA" w:rsidRPr="00435CAA">
        <w:rPr>
          <w:rFonts w:eastAsiaTheme="minorEastAsia"/>
          <w:bCs/>
          <w:color w:val="FF0000"/>
          <w:kern w:val="0"/>
          <w:sz w:val="24"/>
          <w:szCs w:val="21"/>
        </w:rPr>
        <w:t>。</w:t>
      </w:r>
      <w:r w:rsidR="00611CBA" w:rsidRPr="00435CAA">
        <w:rPr>
          <w:color w:val="FF0000"/>
          <w:sz w:val="24"/>
        </w:rPr>
        <w:t>超标可能由于河流沿线</w:t>
      </w:r>
      <w:r>
        <w:rPr>
          <w:color w:val="FF0000"/>
          <w:sz w:val="24"/>
        </w:rPr>
        <w:t>农村生活、农业、</w:t>
      </w:r>
      <w:r w:rsidRPr="00890D83">
        <w:rPr>
          <w:color w:val="FF0000"/>
          <w:sz w:val="24"/>
        </w:rPr>
        <w:t>畜禽</w:t>
      </w:r>
      <w:r>
        <w:rPr>
          <w:color w:val="FF0000"/>
          <w:sz w:val="24"/>
        </w:rPr>
        <w:t>养殖</w:t>
      </w:r>
      <w:r w:rsidR="00611CBA" w:rsidRPr="00435CAA">
        <w:rPr>
          <w:color w:val="FF0000"/>
          <w:sz w:val="24"/>
        </w:rPr>
        <w:t>面源</w:t>
      </w:r>
      <w:r>
        <w:rPr>
          <w:color w:val="FF0000"/>
          <w:sz w:val="24"/>
        </w:rPr>
        <w:t>等</w:t>
      </w:r>
      <w:r w:rsidR="00611CBA" w:rsidRPr="00435CAA">
        <w:rPr>
          <w:color w:val="FF0000"/>
          <w:sz w:val="24"/>
        </w:rPr>
        <w:t>污染导致。</w:t>
      </w:r>
    </w:p>
    <w:p w:rsidR="002A5A5E" w:rsidRPr="00F9522B" w:rsidRDefault="00611CBA">
      <w:pPr>
        <w:spacing w:line="360" w:lineRule="auto"/>
        <w:ind w:firstLineChars="200" w:firstLine="480"/>
        <w:rPr>
          <w:rFonts w:eastAsiaTheme="minorEastAsia"/>
          <w:sz w:val="24"/>
        </w:rPr>
      </w:pPr>
      <w:r w:rsidRPr="00F9522B">
        <w:rPr>
          <w:rFonts w:eastAsiaTheme="minorEastAsia"/>
          <w:bCs/>
          <w:kern w:val="0"/>
          <w:sz w:val="24"/>
          <w:szCs w:val="21"/>
        </w:rPr>
        <w:t>（</w:t>
      </w:r>
      <w:r w:rsidRPr="00F9522B">
        <w:rPr>
          <w:rFonts w:eastAsiaTheme="minorEastAsia"/>
          <w:bCs/>
          <w:kern w:val="0"/>
          <w:sz w:val="24"/>
          <w:szCs w:val="21"/>
        </w:rPr>
        <w:t>2</w:t>
      </w:r>
      <w:r w:rsidRPr="00F9522B">
        <w:rPr>
          <w:rFonts w:eastAsiaTheme="minorEastAsia"/>
          <w:bCs/>
          <w:kern w:val="0"/>
          <w:sz w:val="24"/>
          <w:szCs w:val="21"/>
        </w:rPr>
        <w:t>）地表水环境敏感目标</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黑龙江呼兰河口湿地省级自然保护区为本项目地表水环境敏感目标，</w:t>
      </w:r>
      <w:r w:rsidR="00C14DB3" w:rsidRPr="00F9522B">
        <w:rPr>
          <w:rFonts w:eastAsiaTheme="minorEastAsia"/>
          <w:kern w:val="24"/>
          <w:sz w:val="24"/>
        </w:rPr>
        <w:t>大顶子山</w:t>
      </w:r>
      <w:r w:rsidRPr="00F9522B">
        <w:rPr>
          <w:rFonts w:eastAsiaTheme="minorEastAsia"/>
          <w:sz w:val="24"/>
        </w:rPr>
        <w:t>断面</w:t>
      </w:r>
      <w:r w:rsidR="00F90D6A" w:rsidRPr="00F9522B">
        <w:rPr>
          <w:rFonts w:eastAsiaTheme="minorEastAsia"/>
          <w:sz w:val="24"/>
        </w:rPr>
        <w:t>距离</w:t>
      </w:r>
      <w:r w:rsidRPr="00F9522B">
        <w:rPr>
          <w:rFonts w:eastAsiaTheme="minorEastAsia"/>
          <w:sz w:val="24"/>
        </w:rPr>
        <w:t>黑龙江呼兰河口湿地省级自然保护区</w:t>
      </w:r>
      <w:r w:rsidR="00F90D6A" w:rsidRPr="00F9522B">
        <w:rPr>
          <w:rFonts w:eastAsiaTheme="minorEastAsia"/>
          <w:sz w:val="24"/>
        </w:rPr>
        <w:t>约</w:t>
      </w:r>
      <w:r w:rsidR="00F90D6A" w:rsidRPr="00F9522B">
        <w:rPr>
          <w:rFonts w:eastAsiaTheme="minorEastAsia"/>
          <w:sz w:val="24"/>
        </w:rPr>
        <w:t>690m</w:t>
      </w:r>
      <w:r w:rsidRPr="00F9522B">
        <w:rPr>
          <w:rFonts w:eastAsiaTheme="minorEastAsia"/>
          <w:sz w:val="24"/>
        </w:rPr>
        <w:t>，参考该断面数据。具体位置关系见下图</w:t>
      </w:r>
      <w:r w:rsidRPr="00F9522B">
        <w:rPr>
          <w:rFonts w:eastAsiaTheme="minorEastAsia"/>
          <w:sz w:val="24"/>
        </w:rPr>
        <w:t>4-2-</w:t>
      </w:r>
      <w:r w:rsidR="00C92D94" w:rsidRPr="00F9522B">
        <w:rPr>
          <w:rFonts w:eastAsiaTheme="minorEastAsia"/>
          <w:sz w:val="24"/>
        </w:rPr>
        <w:t>6</w:t>
      </w:r>
      <w:r w:rsidRPr="00F9522B">
        <w:rPr>
          <w:rFonts w:eastAsiaTheme="minorEastAsia"/>
          <w:sz w:val="24"/>
        </w:rPr>
        <w:t>。</w:t>
      </w:r>
    </w:p>
    <w:p w:rsidR="002A5A5E" w:rsidRPr="00F9522B" w:rsidRDefault="002778D3" w:rsidP="0076291D">
      <w:pPr>
        <w:rPr>
          <w:rFonts w:eastAsiaTheme="minorEastAsia"/>
          <w:sz w:val="24"/>
        </w:rPr>
      </w:pPr>
      <w:r w:rsidRPr="00F9522B">
        <w:rPr>
          <w:rFonts w:eastAsiaTheme="minorEastAsia"/>
          <w:noProof/>
          <w:sz w:val="24"/>
        </w:rPr>
        <w:drawing>
          <wp:inline distT="0" distB="0" distL="0" distR="0">
            <wp:extent cx="5274310" cy="3481163"/>
            <wp:effectExtent l="19050" t="19050" r="21590" b="24037"/>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3"/>
                    <a:srcRect/>
                    <a:stretch>
                      <a:fillRect/>
                    </a:stretch>
                  </pic:blipFill>
                  <pic:spPr bwMode="auto">
                    <a:xfrm>
                      <a:off x="0" y="0"/>
                      <a:ext cx="5274310" cy="3481163"/>
                    </a:xfrm>
                    <a:prstGeom prst="rect">
                      <a:avLst/>
                    </a:prstGeom>
                    <a:noFill/>
                    <a:ln w="9525">
                      <a:solidFill>
                        <a:schemeClr val="tx1"/>
                      </a:solidFill>
                      <a:miter lim="800000"/>
                      <a:headEnd/>
                      <a:tailEnd/>
                    </a:ln>
                  </pic:spPr>
                </pic:pic>
              </a:graphicData>
            </a:graphic>
          </wp:inline>
        </w:drawing>
      </w:r>
    </w:p>
    <w:p w:rsidR="002A5A5E" w:rsidRPr="00F9522B" w:rsidRDefault="002778D3" w:rsidP="00413AB2">
      <w:pPr>
        <w:ind w:firstLineChars="200" w:firstLine="422"/>
        <w:jc w:val="center"/>
        <w:rPr>
          <w:rFonts w:eastAsiaTheme="minorEastAsia"/>
          <w:b/>
          <w:szCs w:val="21"/>
        </w:rPr>
      </w:pPr>
      <w:r w:rsidRPr="00F9522B">
        <w:rPr>
          <w:rFonts w:eastAsiaTheme="minorEastAsia"/>
          <w:b/>
          <w:noProof/>
          <w:szCs w:val="21"/>
        </w:rPr>
        <w:drawing>
          <wp:anchor distT="0" distB="0" distL="114300" distR="114300" simplePos="0" relativeHeight="251799552" behindDoc="0" locked="0" layoutInCell="1" allowOverlap="1">
            <wp:simplePos x="0" y="0"/>
            <wp:positionH relativeFrom="column">
              <wp:posOffset>4596367</wp:posOffset>
            </wp:positionH>
            <wp:positionV relativeFrom="paragraph">
              <wp:posOffset>-3512997</wp:posOffset>
            </wp:positionV>
            <wp:extent cx="693331" cy="691116"/>
            <wp:effectExtent l="19050" t="0" r="0" b="0"/>
            <wp:wrapNone/>
            <wp:docPr id="84"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37"/>
                    <pic:cNvPicPr>
                      <a:picLocks noChangeAspect="1" noChangeArrowheads="1"/>
                    </pic:cNvPicPr>
                  </pic:nvPicPr>
                  <pic:blipFill>
                    <a:blip r:embed="rId25"/>
                    <a:srcRect/>
                    <a:stretch>
                      <a:fillRect/>
                    </a:stretch>
                  </pic:blipFill>
                  <pic:spPr>
                    <a:xfrm>
                      <a:off x="0" y="0"/>
                      <a:ext cx="693331" cy="691116"/>
                    </a:xfrm>
                    <a:prstGeom prst="rect">
                      <a:avLst/>
                    </a:prstGeom>
                    <a:noFill/>
                    <a:ln w="9525">
                      <a:noFill/>
                      <a:miter lim="800000"/>
                      <a:headEnd/>
                      <a:tailEnd/>
                    </a:ln>
                  </pic:spPr>
                </pic:pic>
              </a:graphicData>
            </a:graphic>
          </wp:anchor>
        </w:drawing>
      </w:r>
      <w:r w:rsidR="00611CBA" w:rsidRPr="00F9522B">
        <w:rPr>
          <w:rFonts w:eastAsiaTheme="minorEastAsia"/>
          <w:b/>
          <w:szCs w:val="21"/>
        </w:rPr>
        <w:t>图</w:t>
      </w:r>
      <w:r w:rsidR="00611CBA" w:rsidRPr="00F9522B">
        <w:rPr>
          <w:rFonts w:eastAsiaTheme="minorEastAsia"/>
          <w:b/>
          <w:szCs w:val="21"/>
        </w:rPr>
        <w:t>4-2-</w:t>
      </w:r>
      <w:r w:rsidR="00C92D94" w:rsidRPr="00F9522B">
        <w:rPr>
          <w:rFonts w:eastAsiaTheme="minorEastAsia"/>
          <w:b/>
          <w:szCs w:val="21"/>
        </w:rPr>
        <w:t>6</w:t>
      </w:r>
      <w:r w:rsidR="00B25625" w:rsidRPr="00F9522B">
        <w:rPr>
          <w:rFonts w:eastAsiaTheme="minorEastAsia"/>
          <w:b/>
          <w:szCs w:val="21"/>
        </w:rPr>
        <w:t>大顶子山</w:t>
      </w:r>
      <w:r w:rsidR="00611CBA" w:rsidRPr="00F9522B">
        <w:rPr>
          <w:rFonts w:eastAsiaTheme="minorEastAsia"/>
          <w:b/>
          <w:szCs w:val="21"/>
        </w:rPr>
        <w:t>断面与黑龙江呼兰河口湿地省级自然保护区位置关系图</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黑龙江呼兰河口湿地省级自然保护区：</w:t>
      </w:r>
      <w:r w:rsidR="0076291D" w:rsidRPr="00F9522B">
        <w:rPr>
          <w:rFonts w:eastAsiaTheme="minorEastAsia"/>
          <w:sz w:val="24"/>
        </w:rPr>
        <w:t>大顶子山</w:t>
      </w:r>
      <w:r w:rsidRPr="00F9522B">
        <w:rPr>
          <w:rFonts w:eastAsiaTheme="minorEastAsia"/>
          <w:sz w:val="24"/>
        </w:rPr>
        <w:t>断面</w:t>
      </w:r>
      <w:r w:rsidR="0076291D" w:rsidRPr="00F9522B">
        <w:rPr>
          <w:rFonts w:eastAsiaTheme="minorEastAsia"/>
          <w:sz w:val="24"/>
        </w:rPr>
        <w:t>水质均达标</w:t>
      </w:r>
      <w:r w:rsidRPr="00F9522B">
        <w:rPr>
          <w:rFonts w:eastAsiaTheme="minorEastAsia"/>
          <w:bCs/>
          <w:kern w:val="0"/>
          <w:sz w:val="24"/>
          <w:szCs w:val="21"/>
        </w:rPr>
        <w:t>，</w:t>
      </w:r>
      <w:r w:rsidRPr="00F9522B">
        <w:rPr>
          <w:rFonts w:eastAsiaTheme="minorEastAsia"/>
          <w:sz w:val="24"/>
        </w:rPr>
        <w:t>退水期间与非退水期间水质变化不大</w:t>
      </w:r>
      <w:r w:rsidRPr="00F9522B">
        <w:rPr>
          <w:rFonts w:eastAsiaTheme="minorEastAsia"/>
          <w:bCs/>
          <w:kern w:val="0"/>
          <w:sz w:val="24"/>
          <w:szCs w:val="21"/>
        </w:rPr>
        <w:t>，满足</w:t>
      </w:r>
      <w:r w:rsidR="0076291D" w:rsidRPr="00F9522B">
        <w:rPr>
          <w:rFonts w:eastAsiaTheme="minorEastAsia"/>
          <w:bCs/>
          <w:kern w:val="0"/>
          <w:sz w:val="24"/>
          <w:szCs w:val="21"/>
        </w:rPr>
        <w:t>Ⅲ</w:t>
      </w:r>
      <w:r w:rsidRPr="00F9522B">
        <w:rPr>
          <w:rFonts w:eastAsiaTheme="minorEastAsia"/>
          <w:bCs/>
          <w:kern w:val="0"/>
          <w:sz w:val="24"/>
          <w:szCs w:val="21"/>
        </w:rPr>
        <w:t>类</w:t>
      </w:r>
      <w:r w:rsidRPr="00F9522B">
        <w:rPr>
          <w:rFonts w:eastAsiaTheme="minorEastAsia"/>
          <w:sz w:val="24"/>
        </w:rPr>
        <w:t>水体类别要求。黑龙江呼兰河口湿地省级自然保护区近五年来生态保护成效通过了生态及林草部门的评估验收。</w:t>
      </w:r>
    </w:p>
    <w:p w:rsidR="002A5A5E" w:rsidRPr="00F9522B" w:rsidRDefault="00611CBA">
      <w:pPr>
        <w:spacing w:line="360" w:lineRule="auto"/>
        <w:outlineLvl w:val="2"/>
        <w:rPr>
          <w:rFonts w:eastAsiaTheme="minorEastAsia"/>
          <w:b/>
          <w:sz w:val="28"/>
          <w:szCs w:val="28"/>
        </w:rPr>
      </w:pPr>
      <w:r w:rsidRPr="00F9522B">
        <w:rPr>
          <w:rFonts w:eastAsiaTheme="minorEastAsia"/>
          <w:b/>
          <w:sz w:val="28"/>
          <w:szCs w:val="28"/>
        </w:rPr>
        <w:t>4.2.3</w:t>
      </w:r>
      <w:r w:rsidRPr="00F9522B">
        <w:rPr>
          <w:rFonts w:eastAsiaTheme="minorEastAsia"/>
          <w:b/>
          <w:sz w:val="28"/>
          <w:szCs w:val="28"/>
        </w:rPr>
        <w:t>地下水质量现状评价</w:t>
      </w:r>
    </w:p>
    <w:p w:rsidR="002A5A5E" w:rsidRPr="00F9522B" w:rsidRDefault="00611CBA">
      <w:pPr>
        <w:autoSpaceDE w:val="0"/>
        <w:autoSpaceDN w:val="0"/>
        <w:spacing w:before="100" w:beforeAutospacing="1" w:after="100" w:afterAutospacing="1"/>
        <w:outlineLvl w:val="3"/>
        <w:rPr>
          <w:rFonts w:eastAsiaTheme="minorEastAsia"/>
          <w:b/>
          <w:bCs/>
          <w:sz w:val="24"/>
        </w:rPr>
      </w:pPr>
      <w:r w:rsidRPr="00F9522B">
        <w:rPr>
          <w:rFonts w:eastAsiaTheme="minorEastAsia"/>
          <w:b/>
          <w:bCs/>
          <w:sz w:val="24"/>
        </w:rPr>
        <w:t>4.2.3.1</w:t>
      </w:r>
      <w:r w:rsidRPr="00F9522B">
        <w:rPr>
          <w:rFonts w:eastAsiaTheme="minorEastAsia"/>
          <w:b/>
          <w:bCs/>
          <w:sz w:val="24"/>
        </w:rPr>
        <w:t>地下水环境现状监测</w:t>
      </w:r>
    </w:p>
    <w:p w:rsidR="002A5A5E" w:rsidRPr="00F9522B" w:rsidRDefault="00611CBA">
      <w:pPr>
        <w:autoSpaceDE w:val="0"/>
        <w:autoSpaceDN w:val="0"/>
        <w:spacing w:line="360" w:lineRule="auto"/>
        <w:ind w:firstLineChars="200" w:firstLine="480"/>
        <w:rPr>
          <w:rFonts w:eastAsiaTheme="minorEastAsia"/>
          <w:sz w:val="24"/>
        </w:rPr>
      </w:pPr>
      <w:r w:rsidRPr="00F9522B">
        <w:rPr>
          <w:rFonts w:eastAsiaTheme="minorEastAsia"/>
          <w:sz w:val="24"/>
        </w:rPr>
        <w:t>（</w:t>
      </w:r>
      <w:r w:rsidRPr="00F9522B">
        <w:rPr>
          <w:rFonts w:eastAsiaTheme="minorEastAsia"/>
          <w:sz w:val="24"/>
        </w:rPr>
        <w:t>1</w:t>
      </w:r>
      <w:r w:rsidRPr="00F9522B">
        <w:rPr>
          <w:rFonts w:eastAsiaTheme="minorEastAsia"/>
          <w:sz w:val="24"/>
        </w:rPr>
        <w:t>）数据来源</w:t>
      </w:r>
    </w:p>
    <w:p w:rsidR="002A5A5E" w:rsidRPr="00F9522B" w:rsidRDefault="00611CBA">
      <w:pPr>
        <w:autoSpaceDE w:val="0"/>
        <w:autoSpaceDN w:val="0"/>
        <w:spacing w:line="360" w:lineRule="auto"/>
        <w:ind w:firstLineChars="200" w:firstLine="480"/>
        <w:rPr>
          <w:rFonts w:eastAsiaTheme="minorEastAsia"/>
          <w:sz w:val="24"/>
        </w:rPr>
      </w:pPr>
      <w:r w:rsidRPr="00F9522B">
        <w:rPr>
          <w:rFonts w:eastAsiaTheme="minorEastAsia"/>
          <w:sz w:val="24"/>
        </w:rPr>
        <w:t>监测数据源于哈尔滨新巨环保科技有限公司，详细情况见附件</w:t>
      </w:r>
      <w:r w:rsidRPr="00F9522B">
        <w:rPr>
          <w:rFonts w:eastAsiaTheme="minorEastAsia"/>
          <w:sz w:val="24"/>
        </w:rPr>
        <w:t>2</w:t>
      </w:r>
      <w:r w:rsidRPr="00F9522B">
        <w:rPr>
          <w:rFonts w:eastAsiaTheme="minorEastAsia"/>
          <w:sz w:val="24"/>
        </w:rPr>
        <w:t>。</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w:t>
      </w:r>
      <w:r w:rsidRPr="00F9522B">
        <w:rPr>
          <w:rFonts w:eastAsiaTheme="minorEastAsia"/>
          <w:sz w:val="24"/>
        </w:rPr>
        <w:t>2</w:t>
      </w:r>
      <w:r w:rsidRPr="00F9522B">
        <w:rPr>
          <w:rFonts w:eastAsiaTheme="minorEastAsia"/>
          <w:sz w:val="24"/>
        </w:rPr>
        <w:t>）监测点位</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lastRenderedPageBreak/>
        <w:t>项目区分布于松花江呼兰河阶地，含水层为更新统顾乡屯组砂砾石，其上覆</w:t>
      </w:r>
      <w:r w:rsidRPr="00F9522B">
        <w:rPr>
          <w:rFonts w:eastAsiaTheme="minorEastAsia"/>
          <w:sz w:val="24"/>
        </w:rPr>
        <w:t>5</w:t>
      </w:r>
      <w:r w:rsidRPr="00F9522B">
        <w:rPr>
          <w:rFonts w:eastAsiaTheme="minorEastAsia"/>
          <w:sz w:val="24"/>
        </w:rPr>
        <w:t>～</w:t>
      </w:r>
      <w:r w:rsidRPr="00F9522B">
        <w:rPr>
          <w:rFonts w:eastAsiaTheme="minorEastAsia"/>
          <w:sz w:val="24"/>
        </w:rPr>
        <w:t>20m</w:t>
      </w:r>
      <w:r w:rsidRPr="00F9522B">
        <w:rPr>
          <w:rFonts w:eastAsiaTheme="minorEastAsia"/>
          <w:sz w:val="24"/>
        </w:rPr>
        <w:t>的黄土状亚粘土，含水层厚度</w:t>
      </w:r>
      <w:r w:rsidRPr="00F9522B">
        <w:rPr>
          <w:rFonts w:eastAsiaTheme="minorEastAsia"/>
          <w:sz w:val="24"/>
        </w:rPr>
        <w:t>20</w:t>
      </w:r>
      <w:r w:rsidRPr="00F9522B">
        <w:rPr>
          <w:rFonts w:eastAsiaTheme="minorEastAsia"/>
          <w:sz w:val="24"/>
        </w:rPr>
        <w:t>～</w:t>
      </w:r>
      <w:r w:rsidRPr="00F9522B">
        <w:rPr>
          <w:rFonts w:eastAsiaTheme="minorEastAsia"/>
          <w:sz w:val="24"/>
        </w:rPr>
        <w:t>35m</w:t>
      </w:r>
      <w:r w:rsidRPr="00F9522B">
        <w:rPr>
          <w:rFonts w:eastAsiaTheme="minorEastAsia"/>
          <w:sz w:val="24"/>
        </w:rPr>
        <w:t>，水位埋深</w:t>
      </w:r>
      <w:r w:rsidRPr="00F9522B">
        <w:rPr>
          <w:rFonts w:eastAsiaTheme="minorEastAsia"/>
          <w:sz w:val="24"/>
        </w:rPr>
        <w:t>5</w:t>
      </w:r>
      <w:r w:rsidRPr="00F9522B">
        <w:rPr>
          <w:rFonts w:eastAsiaTheme="minorEastAsia"/>
          <w:sz w:val="24"/>
        </w:rPr>
        <w:t>～</w:t>
      </w:r>
      <w:r w:rsidRPr="00F9522B">
        <w:rPr>
          <w:rFonts w:eastAsiaTheme="minorEastAsia"/>
          <w:sz w:val="24"/>
        </w:rPr>
        <w:t>15m</w:t>
      </w:r>
      <w:r w:rsidRPr="00F9522B">
        <w:rPr>
          <w:rFonts w:eastAsiaTheme="minorEastAsia"/>
          <w:sz w:val="24"/>
        </w:rPr>
        <w:t>，富水性中等，导水性强，本次地下水监测取水目的层含承压水，为评价区内具有供水意义的含水层。根据地下水流向在本项目上游、下游、侧向共设置</w:t>
      </w:r>
      <w:r w:rsidRPr="00F9522B">
        <w:rPr>
          <w:rFonts w:eastAsiaTheme="minorEastAsia"/>
          <w:sz w:val="24"/>
        </w:rPr>
        <w:t>4</w:t>
      </w:r>
      <w:r w:rsidRPr="00F9522B">
        <w:rPr>
          <w:rFonts w:eastAsiaTheme="minorEastAsia"/>
          <w:sz w:val="24"/>
        </w:rPr>
        <w:t>个地下水水质监测点，</w:t>
      </w:r>
      <w:r w:rsidRPr="00F9522B">
        <w:rPr>
          <w:rFonts w:eastAsiaTheme="minorEastAsia"/>
          <w:sz w:val="24"/>
        </w:rPr>
        <w:t xml:space="preserve"> 8</w:t>
      </w:r>
      <w:r w:rsidRPr="00F9522B">
        <w:rPr>
          <w:rFonts w:eastAsiaTheme="minorEastAsia"/>
          <w:sz w:val="24"/>
        </w:rPr>
        <w:t>个地下水水位监测点</w:t>
      </w:r>
      <w:r w:rsidR="008A22F8" w:rsidRPr="00F9522B">
        <w:rPr>
          <w:rFonts w:eastAsiaTheme="minorEastAsia"/>
          <w:sz w:val="24"/>
        </w:rPr>
        <w:t>。监测目的层为潜层及承压层，地下水监测点位及监测目的层设置合理</w:t>
      </w:r>
      <w:r w:rsidRPr="00F9522B">
        <w:rPr>
          <w:rFonts w:eastAsiaTheme="minorEastAsia"/>
          <w:sz w:val="24"/>
        </w:rPr>
        <w:t>。本项目地下水现状监测点位布置具体见表</w:t>
      </w:r>
      <w:r w:rsidRPr="00F9522B">
        <w:rPr>
          <w:rFonts w:eastAsiaTheme="minorEastAsia"/>
          <w:sz w:val="24"/>
        </w:rPr>
        <w:t>4-2-8</w:t>
      </w:r>
      <w:r w:rsidRPr="00F9522B">
        <w:rPr>
          <w:rFonts w:eastAsiaTheme="minorEastAsia"/>
          <w:sz w:val="24"/>
        </w:rPr>
        <w:t>和图</w:t>
      </w:r>
      <w:r w:rsidRPr="00F9522B">
        <w:rPr>
          <w:rFonts w:eastAsiaTheme="minorEastAsia"/>
          <w:sz w:val="24"/>
        </w:rPr>
        <w:t>4-2-</w:t>
      </w:r>
      <w:r w:rsidR="00C92D94" w:rsidRPr="00F9522B">
        <w:rPr>
          <w:rFonts w:eastAsiaTheme="minorEastAsia"/>
          <w:sz w:val="24"/>
        </w:rPr>
        <w:t>7</w:t>
      </w:r>
      <w:r w:rsidRPr="00F9522B">
        <w:rPr>
          <w:rFonts w:eastAsiaTheme="minorEastAsia"/>
          <w:sz w:val="24"/>
        </w:rPr>
        <w:t>。</w:t>
      </w:r>
    </w:p>
    <w:p w:rsidR="002A5A5E" w:rsidRPr="00F9522B" w:rsidRDefault="00611CBA">
      <w:pPr>
        <w:contextualSpacing/>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 xml:space="preserve">4-2-8 </w:t>
      </w:r>
      <w:r w:rsidRPr="00F9522B">
        <w:rPr>
          <w:rFonts w:eastAsiaTheme="minorEastAsia"/>
          <w:b/>
          <w:kern w:val="0"/>
          <w:szCs w:val="21"/>
        </w:rPr>
        <w:t>地下水现状监测点位表</w:t>
      </w:r>
    </w:p>
    <w:tbl>
      <w:tblPr>
        <w:tblW w:w="5000" w:type="pct"/>
        <w:jc w:val="center"/>
        <w:tblBorders>
          <w:top w:val="single" w:sz="12" w:space="0" w:color="auto"/>
          <w:bottom w:val="single" w:sz="12" w:space="0" w:color="auto"/>
          <w:insideH w:val="single" w:sz="2" w:space="0" w:color="auto"/>
          <w:insideV w:val="single" w:sz="2" w:space="0" w:color="auto"/>
        </w:tblBorders>
        <w:tblLook w:val="04A0"/>
      </w:tblPr>
      <w:tblGrid>
        <w:gridCol w:w="755"/>
        <w:gridCol w:w="2828"/>
        <w:gridCol w:w="1731"/>
        <w:gridCol w:w="787"/>
        <w:gridCol w:w="1261"/>
        <w:gridCol w:w="1160"/>
      </w:tblGrid>
      <w:tr w:rsidR="002A5A5E" w:rsidRPr="00F9522B" w:rsidTr="004C7650">
        <w:trPr>
          <w:trHeight w:val="371"/>
          <w:jc w:val="center"/>
        </w:trPr>
        <w:tc>
          <w:tcPr>
            <w:tcW w:w="755" w:type="dxa"/>
            <w:vAlign w:val="center"/>
          </w:tcPr>
          <w:p w:rsidR="002A5A5E" w:rsidRPr="00F9522B" w:rsidRDefault="00611CBA">
            <w:pPr>
              <w:jc w:val="center"/>
              <w:rPr>
                <w:rFonts w:eastAsiaTheme="minorEastAsia"/>
                <w:szCs w:val="21"/>
              </w:rPr>
            </w:pPr>
            <w:r w:rsidRPr="00F9522B">
              <w:rPr>
                <w:rFonts w:eastAsiaTheme="minorEastAsia"/>
                <w:szCs w:val="21"/>
              </w:rPr>
              <w:t>序号</w:t>
            </w:r>
          </w:p>
        </w:tc>
        <w:tc>
          <w:tcPr>
            <w:tcW w:w="2828" w:type="dxa"/>
            <w:vAlign w:val="center"/>
          </w:tcPr>
          <w:p w:rsidR="002A5A5E" w:rsidRPr="00F9522B" w:rsidRDefault="00611CBA">
            <w:pPr>
              <w:jc w:val="center"/>
              <w:rPr>
                <w:rFonts w:eastAsiaTheme="minorEastAsia"/>
                <w:szCs w:val="21"/>
              </w:rPr>
            </w:pPr>
            <w:r w:rsidRPr="00F9522B">
              <w:rPr>
                <w:rFonts w:eastAsiaTheme="minorEastAsia"/>
                <w:szCs w:val="21"/>
              </w:rPr>
              <w:t>监测点位</w:t>
            </w:r>
          </w:p>
        </w:tc>
        <w:tc>
          <w:tcPr>
            <w:tcW w:w="1731" w:type="dxa"/>
            <w:vAlign w:val="center"/>
          </w:tcPr>
          <w:p w:rsidR="002A5A5E" w:rsidRPr="00F9522B" w:rsidRDefault="00611CBA">
            <w:pPr>
              <w:jc w:val="center"/>
              <w:rPr>
                <w:rFonts w:eastAsiaTheme="minorEastAsia"/>
                <w:szCs w:val="21"/>
              </w:rPr>
            </w:pPr>
            <w:r w:rsidRPr="00F9522B">
              <w:rPr>
                <w:rFonts w:eastAsiaTheme="minorEastAsia"/>
                <w:szCs w:val="21"/>
              </w:rPr>
              <w:t>监测项目</w:t>
            </w:r>
          </w:p>
        </w:tc>
        <w:tc>
          <w:tcPr>
            <w:tcW w:w="787" w:type="dxa"/>
            <w:vAlign w:val="center"/>
          </w:tcPr>
          <w:p w:rsidR="002A5A5E" w:rsidRPr="00F9522B" w:rsidRDefault="00611CBA">
            <w:pPr>
              <w:jc w:val="center"/>
              <w:rPr>
                <w:rFonts w:eastAsiaTheme="minorEastAsia"/>
                <w:szCs w:val="21"/>
              </w:rPr>
            </w:pPr>
            <w:r w:rsidRPr="00F9522B">
              <w:rPr>
                <w:rFonts w:eastAsiaTheme="minorEastAsia"/>
                <w:szCs w:val="21"/>
              </w:rPr>
              <w:t>用途</w:t>
            </w:r>
          </w:p>
        </w:tc>
        <w:tc>
          <w:tcPr>
            <w:tcW w:w="1261" w:type="dxa"/>
            <w:tcBorders>
              <w:right w:val="single" w:sz="2" w:space="0" w:color="auto"/>
            </w:tcBorders>
            <w:vAlign w:val="center"/>
          </w:tcPr>
          <w:p w:rsidR="002A5A5E" w:rsidRPr="00F9522B" w:rsidRDefault="00611CBA">
            <w:pPr>
              <w:jc w:val="center"/>
              <w:rPr>
                <w:rFonts w:eastAsiaTheme="minorEastAsia"/>
                <w:szCs w:val="21"/>
              </w:rPr>
            </w:pPr>
            <w:r w:rsidRPr="00F9522B">
              <w:rPr>
                <w:rFonts w:eastAsiaTheme="minorEastAsia"/>
                <w:szCs w:val="21"/>
              </w:rPr>
              <w:t>水位（</w:t>
            </w:r>
            <w:r w:rsidRPr="00F9522B">
              <w:rPr>
                <w:rFonts w:eastAsiaTheme="minorEastAsia"/>
                <w:szCs w:val="21"/>
              </w:rPr>
              <w:t>m</w:t>
            </w:r>
            <w:r w:rsidRPr="00F9522B">
              <w:rPr>
                <w:rFonts w:eastAsiaTheme="minorEastAsia"/>
                <w:szCs w:val="21"/>
              </w:rPr>
              <w:t>）</w:t>
            </w:r>
          </w:p>
        </w:tc>
        <w:tc>
          <w:tcPr>
            <w:tcW w:w="1160" w:type="dxa"/>
            <w:tcBorders>
              <w:left w:val="single" w:sz="2" w:space="0" w:color="auto"/>
            </w:tcBorders>
            <w:vAlign w:val="center"/>
          </w:tcPr>
          <w:p w:rsidR="002A5A5E" w:rsidRPr="00F9522B" w:rsidRDefault="00611CBA">
            <w:pPr>
              <w:jc w:val="center"/>
              <w:rPr>
                <w:rFonts w:eastAsiaTheme="minorEastAsia"/>
                <w:szCs w:val="21"/>
              </w:rPr>
            </w:pPr>
            <w:r w:rsidRPr="00F9522B">
              <w:rPr>
                <w:rFonts w:eastAsiaTheme="minorEastAsia"/>
                <w:szCs w:val="21"/>
              </w:rPr>
              <w:t>井深（</w:t>
            </w:r>
            <w:r w:rsidRPr="00F9522B">
              <w:rPr>
                <w:rFonts w:eastAsiaTheme="minorEastAsia"/>
                <w:szCs w:val="21"/>
              </w:rPr>
              <w:t>m</w:t>
            </w:r>
            <w:r w:rsidRPr="00F9522B">
              <w:rPr>
                <w:rFonts w:eastAsiaTheme="minorEastAsia"/>
                <w:szCs w:val="21"/>
              </w:rPr>
              <w:t>）</w:t>
            </w:r>
          </w:p>
        </w:tc>
      </w:tr>
      <w:tr w:rsidR="002A5A5E" w:rsidRPr="00F9522B" w:rsidTr="004C7650">
        <w:trPr>
          <w:trHeight w:val="71"/>
          <w:jc w:val="center"/>
        </w:trPr>
        <w:tc>
          <w:tcPr>
            <w:tcW w:w="755" w:type="dxa"/>
            <w:vAlign w:val="center"/>
          </w:tcPr>
          <w:p w:rsidR="002A5A5E" w:rsidRPr="00F9522B" w:rsidRDefault="00611CBA">
            <w:pPr>
              <w:jc w:val="center"/>
              <w:rPr>
                <w:rFonts w:eastAsiaTheme="minorEastAsia"/>
                <w:szCs w:val="21"/>
              </w:rPr>
            </w:pPr>
            <w:r w:rsidRPr="00F9522B">
              <w:rPr>
                <w:rFonts w:eastAsiaTheme="minorEastAsia"/>
                <w:szCs w:val="21"/>
              </w:rPr>
              <w:t>1</w:t>
            </w:r>
          </w:p>
        </w:tc>
        <w:tc>
          <w:tcPr>
            <w:tcW w:w="2828" w:type="dxa"/>
            <w:vAlign w:val="center"/>
          </w:tcPr>
          <w:p w:rsidR="002A5A5E" w:rsidRPr="00F9522B" w:rsidRDefault="00611CBA">
            <w:pPr>
              <w:jc w:val="center"/>
              <w:rPr>
                <w:rFonts w:eastAsiaTheme="minorEastAsia"/>
                <w:szCs w:val="21"/>
              </w:rPr>
            </w:pPr>
            <w:r w:rsidRPr="00F9522B">
              <w:rPr>
                <w:rFonts w:eastAsiaTheme="minorEastAsia"/>
                <w:szCs w:val="21"/>
              </w:rPr>
              <w:t>上游监测孔</w:t>
            </w:r>
            <w:r w:rsidRPr="00F9522B">
              <w:rPr>
                <w:rFonts w:ascii="宋体" w:hAnsi="宋体" w:cs="宋体" w:hint="eastAsia"/>
              </w:rPr>
              <w:t>☆</w:t>
            </w:r>
            <w:r w:rsidRPr="00F9522B">
              <w:rPr>
                <w:rFonts w:eastAsiaTheme="minorEastAsia"/>
                <w:szCs w:val="21"/>
              </w:rPr>
              <w:t>01</w:t>
            </w:r>
          </w:p>
        </w:tc>
        <w:tc>
          <w:tcPr>
            <w:tcW w:w="1731" w:type="dxa"/>
            <w:vAlign w:val="center"/>
          </w:tcPr>
          <w:p w:rsidR="002A5A5E" w:rsidRPr="00F9522B" w:rsidRDefault="00611CBA">
            <w:pPr>
              <w:jc w:val="center"/>
              <w:rPr>
                <w:rFonts w:eastAsiaTheme="minorEastAsia"/>
                <w:szCs w:val="21"/>
              </w:rPr>
            </w:pPr>
            <w:r w:rsidRPr="00F9522B">
              <w:rPr>
                <w:rFonts w:eastAsiaTheme="minorEastAsia"/>
                <w:szCs w:val="21"/>
              </w:rPr>
              <w:t>水质、水位</w:t>
            </w:r>
          </w:p>
        </w:tc>
        <w:tc>
          <w:tcPr>
            <w:tcW w:w="787" w:type="dxa"/>
            <w:vAlign w:val="center"/>
          </w:tcPr>
          <w:p w:rsidR="002A5A5E" w:rsidRPr="00F9522B" w:rsidRDefault="00611CBA">
            <w:pPr>
              <w:jc w:val="center"/>
              <w:rPr>
                <w:rFonts w:eastAsiaTheme="minorEastAsia"/>
                <w:szCs w:val="21"/>
              </w:rPr>
            </w:pPr>
            <w:r w:rsidRPr="00F9522B">
              <w:rPr>
                <w:rFonts w:eastAsiaTheme="minorEastAsia"/>
                <w:szCs w:val="21"/>
              </w:rPr>
              <w:t>灌溉</w:t>
            </w:r>
          </w:p>
        </w:tc>
        <w:tc>
          <w:tcPr>
            <w:tcW w:w="1261" w:type="dxa"/>
            <w:tcBorders>
              <w:right w:val="single" w:sz="2" w:space="0" w:color="auto"/>
            </w:tcBorders>
            <w:vAlign w:val="center"/>
          </w:tcPr>
          <w:p w:rsidR="002A5A5E" w:rsidRPr="00F9522B" w:rsidRDefault="00611CBA" w:rsidP="005C5E21">
            <w:pPr>
              <w:spacing w:line="360" w:lineRule="auto"/>
              <w:jc w:val="center"/>
              <w:rPr>
                <w:rFonts w:eastAsiaTheme="minorEastAsia"/>
                <w:kern w:val="0"/>
              </w:rPr>
            </w:pPr>
            <w:r w:rsidRPr="00F9522B">
              <w:rPr>
                <w:rFonts w:eastAsiaTheme="minorEastAsia"/>
                <w:kern w:val="0"/>
              </w:rPr>
              <w:t>12</w:t>
            </w:r>
            <w:r w:rsidR="005C5E21" w:rsidRPr="00F9522B">
              <w:rPr>
                <w:rFonts w:eastAsiaTheme="minorEastAsia"/>
                <w:kern w:val="0"/>
              </w:rPr>
              <w:t>1</w:t>
            </w:r>
            <w:r w:rsidRPr="00F9522B">
              <w:rPr>
                <w:rFonts w:eastAsiaTheme="minorEastAsia"/>
                <w:kern w:val="0"/>
              </w:rPr>
              <w:t>.4</w:t>
            </w:r>
          </w:p>
        </w:tc>
        <w:tc>
          <w:tcPr>
            <w:tcW w:w="1160" w:type="dxa"/>
            <w:tcBorders>
              <w:left w:val="single" w:sz="2" w:space="0" w:color="auto"/>
            </w:tcBorders>
            <w:vAlign w:val="center"/>
          </w:tcPr>
          <w:p w:rsidR="002A5A5E" w:rsidRPr="00F9522B" w:rsidRDefault="00611CBA" w:rsidP="008A22F8">
            <w:pPr>
              <w:jc w:val="center"/>
              <w:rPr>
                <w:rFonts w:eastAsiaTheme="minorEastAsia"/>
                <w:szCs w:val="21"/>
              </w:rPr>
            </w:pPr>
            <w:r w:rsidRPr="00F9522B">
              <w:rPr>
                <w:rFonts w:eastAsiaTheme="minorEastAsia"/>
                <w:szCs w:val="21"/>
              </w:rPr>
              <w:t>3</w:t>
            </w:r>
            <w:r w:rsidR="008A22F8" w:rsidRPr="00F9522B">
              <w:rPr>
                <w:rFonts w:eastAsiaTheme="minorEastAsia"/>
                <w:szCs w:val="21"/>
              </w:rPr>
              <w:t>0</w:t>
            </w:r>
          </w:p>
        </w:tc>
      </w:tr>
      <w:tr w:rsidR="002A5A5E" w:rsidRPr="00F9522B" w:rsidTr="004C7650">
        <w:trPr>
          <w:trHeight w:val="71"/>
          <w:jc w:val="center"/>
        </w:trPr>
        <w:tc>
          <w:tcPr>
            <w:tcW w:w="755" w:type="dxa"/>
            <w:vAlign w:val="center"/>
          </w:tcPr>
          <w:p w:rsidR="002A5A5E" w:rsidRPr="00F9522B" w:rsidRDefault="00611CBA">
            <w:pPr>
              <w:jc w:val="center"/>
              <w:rPr>
                <w:rFonts w:eastAsiaTheme="minorEastAsia"/>
                <w:szCs w:val="21"/>
              </w:rPr>
            </w:pPr>
            <w:r w:rsidRPr="00F9522B">
              <w:rPr>
                <w:rFonts w:eastAsiaTheme="minorEastAsia"/>
                <w:szCs w:val="21"/>
              </w:rPr>
              <w:t>2</w:t>
            </w:r>
          </w:p>
        </w:tc>
        <w:tc>
          <w:tcPr>
            <w:tcW w:w="2828" w:type="dxa"/>
            <w:vAlign w:val="center"/>
          </w:tcPr>
          <w:p w:rsidR="002A5A5E" w:rsidRPr="00F9522B" w:rsidRDefault="00611CBA">
            <w:pPr>
              <w:jc w:val="center"/>
              <w:rPr>
                <w:rFonts w:eastAsiaTheme="minorEastAsia"/>
                <w:szCs w:val="21"/>
              </w:rPr>
            </w:pPr>
            <w:r w:rsidRPr="00F9522B">
              <w:rPr>
                <w:rFonts w:eastAsiaTheme="minorEastAsia"/>
              </w:rPr>
              <w:t>下游监测</w:t>
            </w:r>
            <w:r w:rsidRPr="00F9522B">
              <w:rPr>
                <w:rFonts w:eastAsiaTheme="minorEastAsia"/>
                <w:szCs w:val="21"/>
              </w:rPr>
              <w:t>孔</w:t>
            </w:r>
            <w:r w:rsidRPr="00F9522B">
              <w:rPr>
                <w:rFonts w:ascii="宋体" w:hAnsi="宋体" w:cs="宋体" w:hint="eastAsia"/>
              </w:rPr>
              <w:t>☆</w:t>
            </w:r>
            <w:r w:rsidRPr="00F9522B">
              <w:rPr>
                <w:rFonts w:eastAsiaTheme="minorEastAsia"/>
              </w:rPr>
              <w:t>02</w:t>
            </w:r>
          </w:p>
        </w:tc>
        <w:tc>
          <w:tcPr>
            <w:tcW w:w="1731" w:type="dxa"/>
            <w:vAlign w:val="center"/>
          </w:tcPr>
          <w:p w:rsidR="002A5A5E" w:rsidRPr="00F9522B" w:rsidRDefault="00611CBA">
            <w:pPr>
              <w:jc w:val="center"/>
              <w:rPr>
                <w:rFonts w:eastAsiaTheme="minorEastAsia"/>
                <w:szCs w:val="21"/>
              </w:rPr>
            </w:pPr>
            <w:r w:rsidRPr="00F9522B">
              <w:rPr>
                <w:rFonts w:eastAsiaTheme="minorEastAsia"/>
                <w:szCs w:val="21"/>
              </w:rPr>
              <w:t>水质、水位</w:t>
            </w:r>
          </w:p>
        </w:tc>
        <w:tc>
          <w:tcPr>
            <w:tcW w:w="787" w:type="dxa"/>
            <w:vAlign w:val="center"/>
          </w:tcPr>
          <w:p w:rsidR="002A5A5E" w:rsidRPr="00F9522B" w:rsidRDefault="00611CBA">
            <w:pPr>
              <w:jc w:val="center"/>
              <w:rPr>
                <w:rFonts w:eastAsiaTheme="minorEastAsia"/>
                <w:szCs w:val="21"/>
              </w:rPr>
            </w:pPr>
            <w:r w:rsidRPr="00F9522B">
              <w:rPr>
                <w:rFonts w:eastAsiaTheme="minorEastAsia"/>
                <w:szCs w:val="21"/>
              </w:rPr>
              <w:t>灌溉</w:t>
            </w:r>
          </w:p>
        </w:tc>
        <w:tc>
          <w:tcPr>
            <w:tcW w:w="1261" w:type="dxa"/>
            <w:tcBorders>
              <w:right w:val="single" w:sz="2" w:space="0" w:color="auto"/>
            </w:tcBorders>
            <w:vAlign w:val="center"/>
          </w:tcPr>
          <w:p w:rsidR="002A5A5E" w:rsidRPr="00F9522B" w:rsidRDefault="00611CBA" w:rsidP="00E21DF5">
            <w:pPr>
              <w:spacing w:line="360" w:lineRule="auto"/>
              <w:jc w:val="center"/>
              <w:rPr>
                <w:rFonts w:eastAsiaTheme="minorEastAsia"/>
                <w:kern w:val="0"/>
              </w:rPr>
            </w:pPr>
            <w:r w:rsidRPr="00F9522B">
              <w:rPr>
                <w:rFonts w:eastAsiaTheme="minorEastAsia"/>
                <w:kern w:val="0"/>
                <w:highlight w:val="yellow"/>
              </w:rPr>
              <w:t>1</w:t>
            </w:r>
            <w:r w:rsidR="00E21DF5" w:rsidRPr="00F9522B">
              <w:rPr>
                <w:rFonts w:eastAsiaTheme="minorEastAsia"/>
                <w:kern w:val="0"/>
                <w:highlight w:val="yellow"/>
              </w:rPr>
              <w:t>0</w:t>
            </w:r>
            <w:r w:rsidR="005C5E21" w:rsidRPr="00F9522B">
              <w:rPr>
                <w:rFonts w:eastAsiaTheme="minorEastAsia"/>
                <w:kern w:val="0"/>
                <w:highlight w:val="yellow"/>
              </w:rPr>
              <w:t>8</w:t>
            </w:r>
            <w:r w:rsidRPr="00F9522B">
              <w:rPr>
                <w:rFonts w:eastAsiaTheme="minorEastAsia"/>
                <w:kern w:val="0"/>
                <w:highlight w:val="yellow"/>
              </w:rPr>
              <w:t>.5</w:t>
            </w:r>
          </w:p>
        </w:tc>
        <w:tc>
          <w:tcPr>
            <w:tcW w:w="1160" w:type="dxa"/>
            <w:tcBorders>
              <w:left w:val="single" w:sz="2" w:space="0" w:color="auto"/>
            </w:tcBorders>
            <w:vAlign w:val="center"/>
          </w:tcPr>
          <w:p w:rsidR="002A5A5E" w:rsidRPr="00F9522B" w:rsidRDefault="008A22F8">
            <w:pPr>
              <w:jc w:val="center"/>
              <w:rPr>
                <w:rFonts w:eastAsiaTheme="minorEastAsia"/>
                <w:szCs w:val="21"/>
              </w:rPr>
            </w:pPr>
            <w:r w:rsidRPr="00F9522B">
              <w:rPr>
                <w:rFonts w:eastAsiaTheme="minorEastAsia"/>
                <w:szCs w:val="21"/>
              </w:rPr>
              <w:t>32</w:t>
            </w:r>
          </w:p>
        </w:tc>
      </w:tr>
      <w:tr w:rsidR="002A5A5E" w:rsidRPr="00F9522B" w:rsidTr="004C7650">
        <w:trPr>
          <w:trHeight w:val="71"/>
          <w:jc w:val="center"/>
        </w:trPr>
        <w:tc>
          <w:tcPr>
            <w:tcW w:w="755" w:type="dxa"/>
            <w:vAlign w:val="center"/>
          </w:tcPr>
          <w:p w:rsidR="002A5A5E" w:rsidRPr="00F9522B" w:rsidRDefault="00611CBA">
            <w:pPr>
              <w:jc w:val="center"/>
              <w:rPr>
                <w:rFonts w:eastAsiaTheme="minorEastAsia"/>
                <w:szCs w:val="21"/>
              </w:rPr>
            </w:pPr>
            <w:r w:rsidRPr="00F9522B">
              <w:rPr>
                <w:rFonts w:eastAsiaTheme="minorEastAsia"/>
                <w:szCs w:val="21"/>
              </w:rPr>
              <w:t>3</w:t>
            </w:r>
          </w:p>
        </w:tc>
        <w:tc>
          <w:tcPr>
            <w:tcW w:w="2828" w:type="dxa"/>
            <w:vAlign w:val="center"/>
          </w:tcPr>
          <w:p w:rsidR="002A5A5E" w:rsidRPr="00F9522B" w:rsidRDefault="00611CBA">
            <w:pPr>
              <w:jc w:val="center"/>
              <w:rPr>
                <w:rFonts w:eastAsiaTheme="minorEastAsia"/>
              </w:rPr>
            </w:pPr>
            <w:r w:rsidRPr="00F9522B">
              <w:rPr>
                <w:rFonts w:eastAsiaTheme="minorEastAsia"/>
              </w:rPr>
              <w:t>下游监测</w:t>
            </w:r>
            <w:r w:rsidRPr="00F9522B">
              <w:rPr>
                <w:rFonts w:eastAsiaTheme="minorEastAsia"/>
                <w:szCs w:val="21"/>
              </w:rPr>
              <w:t>孔</w:t>
            </w:r>
            <w:r w:rsidRPr="00F9522B">
              <w:rPr>
                <w:rFonts w:ascii="宋体" w:hAnsi="宋体" w:cs="宋体" w:hint="eastAsia"/>
              </w:rPr>
              <w:t>☆</w:t>
            </w:r>
            <w:r w:rsidRPr="00F9522B">
              <w:rPr>
                <w:rFonts w:eastAsiaTheme="minorEastAsia"/>
              </w:rPr>
              <w:t>03</w:t>
            </w:r>
          </w:p>
        </w:tc>
        <w:tc>
          <w:tcPr>
            <w:tcW w:w="1731" w:type="dxa"/>
            <w:vAlign w:val="center"/>
          </w:tcPr>
          <w:p w:rsidR="002A5A5E" w:rsidRPr="00F9522B" w:rsidRDefault="00611CBA">
            <w:pPr>
              <w:jc w:val="center"/>
              <w:rPr>
                <w:rFonts w:eastAsiaTheme="minorEastAsia"/>
                <w:szCs w:val="21"/>
              </w:rPr>
            </w:pPr>
            <w:r w:rsidRPr="00F9522B">
              <w:rPr>
                <w:rFonts w:eastAsiaTheme="minorEastAsia"/>
                <w:szCs w:val="21"/>
              </w:rPr>
              <w:t>水质、水位</w:t>
            </w:r>
          </w:p>
        </w:tc>
        <w:tc>
          <w:tcPr>
            <w:tcW w:w="787" w:type="dxa"/>
            <w:vAlign w:val="center"/>
          </w:tcPr>
          <w:p w:rsidR="002A5A5E" w:rsidRPr="00F9522B" w:rsidRDefault="00611CBA">
            <w:pPr>
              <w:jc w:val="center"/>
              <w:rPr>
                <w:rFonts w:eastAsiaTheme="minorEastAsia"/>
                <w:szCs w:val="21"/>
              </w:rPr>
            </w:pPr>
            <w:r w:rsidRPr="00F9522B">
              <w:rPr>
                <w:rFonts w:eastAsiaTheme="minorEastAsia"/>
                <w:szCs w:val="21"/>
              </w:rPr>
              <w:t>饮用</w:t>
            </w:r>
          </w:p>
        </w:tc>
        <w:tc>
          <w:tcPr>
            <w:tcW w:w="1261" w:type="dxa"/>
            <w:tcBorders>
              <w:right w:val="single" w:sz="2" w:space="0" w:color="auto"/>
            </w:tcBorders>
            <w:vAlign w:val="center"/>
          </w:tcPr>
          <w:p w:rsidR="002A5A5E" w:rsidRPr="00F9522B" w:rsidRDefault="00611CBA" w:rsidP="005C5E21">
            <w:pPr>
              <w:spacing w:line="360" w:lineRule="auto"/>
              <w:jc w:val="center"/>
              <w:rPr>
                <w:rFonts w:eastAsiaTheme="minorEastAsia"/>
                <w:kern w:val="0"/>
              </w:rPr>
            </w:pPr>
            <w:r w:rsidRPr="00F9522B">
              <w:rPr>
                <w:rFonts w:eastAsiaTheme="minorEastAsia"/>
                <w:kern w:val="0"/>
              </w:rPr>
              <w:t>1</w:t>
            </w:r>
            <w:r w:rsidR="005C5E21" w:rsidRPr="00F9522B">
              <w:rPr>
                <w:rFonts w:eastAsiaTheme="minorEastAsia"/>
                <w:kern w:val="0"/>
              </w:rPr>
              <w:t>06</w:t>
            </w:r>
            <w:r w:rsidRPr="00F9522B">
              <w:rPr>
                <w:rFonts w:eastAsiaTheme="minorEastAsia"/>
                <w:kern w:val="0"/>
              </w:rPr>
              <w:t>.4</w:t>
            </w:r>
          </w:p>
        </w:tc>
        <w:tc>
          <w:tcPr>
            <w:tcW w:w="1160" w:type="dxa"/>
            <w:tcBorders>
              <w:left w:val="single" w:sz="2" w:space="0" w:color="auto"/>
            </w:tcBorders>
            <w:vAlign w:val="center"/>
          </w:tcPr>
          <w:p w:rsidR="002A5A5E" w:rsidRPr="00F9522B" w:rsidRDefault="00611CBA">
            <w:pPr>
              <w:jc w:val="center"/>
              <w:rPr>
                <w:rFonts w:eastAsiaTheme="minorEastAsia"/>
                <w:szCs w:val="21"/>
              </w:rPr>
            </w:pPr>
            <w:r w:rsidRPr="00F9522B">
              <w:rPr>
                <w:rFonts w:eastAsiaTheme="minorEastAsia"/>
                <w:szCs w:val="21"/>
              </w:rPr>
              <w:t>70</w:t>
            </w:r>
          </w:p>
        </w:tc>
      </w:tr>
      <w:tr w:rsidR="002A5A5E" w:rsidRPr="00F9522B" w:rsidTr="004C7650">
        <w:trPr>
          <w:trHeight w:val="71"/>
          <w:jc w:val="center"/>
        </w:trPr>
        <w:tc>
          <w:tcPr>
            <w:tcW w:w="755" w:type="dxa"/>
            <w:vAlign w:val="center"/>
          </w:tcPr>
          <w:p w:rsidR="002A5A5E" w:rsidRPr="00F9522B" w:rsidRDefault="00611CBA">
            <w:pPr>
              <w:jc w:val="center"/>
              <w:rPr>
                <w:rFonts w:eastAsiaTheme="minorEastAsia"/>
                <w:szCs w:val="21"/>
              </w:rPr>
            </w:pPr>
            <w:r w:rsidRPr="00F9522B">
              <w:rPr>
                <w:rFonts w:eastAsiaTheme="minorEastAsia"/>
                <w:szCs w:val="21"/>
              </w:rPr>
              <w:t>4</w:t>
            </w:r>
          </w:p>
        </w:tc>
        <w:tc>
          <w:tcPr>
            <w:tcW w:w="2828" w:type="dxa"/>
            <w:vAlign w:val="center"/>
          </w:tcPr>
          <w:p w:rsidR="002A5A5E" w:rsidRPr="00F9522B" w:rsidRDefault="00611CBA">
            <w:pPr>
              <w:jc w:val="center"/>
              <w:rPr>
                <w:rFonts w:eastAsiaTheme="minorEastAsia"/>
              </w:rPr>
            </w:pPr>
            <w:r w:rsidRPr="00F9522B">
              <w:rPr>
                <w:rFonts w:eastAsiaTheme="minorEastAsia"/>
              </w:rPr>
              <w:t>右侧监测</w:t>
            </w:r>
            <w:r w:rsidRPr="00F9522B">
              <w:rPr>
                <w:rFonts w:eastAsiaTheme="minorEastAsia"/>
                <w:szCs w:val="21"/>
              </w:rPr>
              <w:t>孔</w:t>
            </w:r>
            <w:r w:rsidRPr="00F9522B">
              <w:rPr>
                <w:rFonts w:ascii="宋体" w:hAnsi="宋体" w:cs="宋体" w:hint="eastAsia"/>
              </w:rPr>
              <w:t>☆</w:t>
            </w:r>
            <w:r w:rsidRPr="00F9522B">
              <w:rPr>
                <w:rFonts w:eastAsiaTheme="minorEastAsia"/>
              </w:rPr>
              <w:t>04</w:t>
            </w:r>
          </w:p>
        </w:tc>
        <w:tc>
          <w:tcPr>
            <w:tcW w:w="1731" w:type="dxa"/>
            <w:vAlign w:val="center"/>
          </w:tcPr>
          <w:p w:rsidR="002A5A5E" w:rsidRPr="00F9522B" w:rsidRDefault="00611CBA">
            <w:pPr>
              <w:jc w:val="center"/>
              <w:rPr>
                <w:rFonts w:eastAsiaTheme="minorEastAsia"/>
                <w:szCs w:val="21"/>
              </w:rPr>
            </w:pPr>
            <w:r w:rsidRPr="00F9522B">
              <w:rPr>
                <w:rFonts w:eastAsiaTheme="minorEastAsia"/>
                <w:szCs w:val="21"/>
              </w:rPr>
              <w:t>水质、水位</w:t>
            </w:r>
          </w:p>
        </w:tc>
        <w:tc>
          <w:tcPr>
            <w:tcW w:w="787" w:type="dxa"/>
            <w:vAlign w:val="center"/>
          </w:tcPr>
          <w:p w:rsidR="002A5A5E" w:rsidRPr="00F9522B" w:rsidRDefault="00611CBA">
            <w:pPr>
              <w:jc w:val="center"/>
              <w:rPr>
                <w:rFonts w:eastAsiaTheme="minorEastAsia"/>
                <w:szCs w:val="21"/>
              </w:rPr>
            </w:pPr>
            <w:r w:rsidRPr="00F9522B">
              <w:rPr>
                <w:rFonts w:eastAsiaTheme="minorEastAsia"/>
                <w:szCs w:val="21"/>
              </w:rPr>
              <w:t>灌溉</w:t>
            </w:r>
          </w:p>
        </w:tc>
        <w:tc>
          <w:tcPr>
            <w:tcW w:w="1261" w:type="dxa"/>
            <w:tcBorders>
              <w:right w:val="single" w:sz="2" w:space="0" w:color="auto"/>
            </w:tcBorders>
            <w:vAlign w:val="center"/>
          </w:tcPr>
          <w:p w:rsidR="002A5A5E" w:rsidRPr="00F9522B" w:rsidRDefault="00611CBA" w:rsidP="005C5E21">
            <w:pPr>
              <w:spacing w:line="360" w:lineRule="auto"/>
              <w:jc w:val="center"/>
              <w:rPr>
                <w:rFonts w:eastAsiaTheme="minorEastAsia"/>
                <w:kern w:val="0"/>
              </w:rPr>
            </w:pPr>
            <w:r w:rsidRPr="00F9522B">
              <w:rPr>
                <w:rFonts w:eastAsiaTheme="minorEastAsia"/>
                <w:kern w:val="0"/>
              </w:rPr>
              <w:t>119.</w:t>
            </w:r>
            <w:r w:rsidR="005C5E21" w:rsidRPr="00F9522B">
              <w:rPr>
                <w:rFonts w:eastAsiaTheme="minorEastAsia"/>
                <w:kern w:val="0"/>
              </w:rPr>
              <w:t>5</w:t>
            </w:r>
          </w:p>
        </w:tc>
        <w:tc>
          <w:tcPr>
            <w:tcW w:w="1160" w:type="dxa"/>
            <w:tcBorders>
              <w:left w:val="single" w:sz="2" w:space="0" w:color="auto"/>
            </w:tcBorders>
            <w:vAlign w:val="center"/>
          </w:tcPr>
          <w:p w:rsidR="002A5A5E" w:rsidRPr="00F9522B" w:rsidRDefault="00611CBA" w:rsidP="008A22F8">
            <w:pPr>
              <w:jc w:val="center"/>
              <w:rPr>
                <w:rFonts w:eastAsiaTheme="minorEastAsia"/>
                <w:szCs w:val="21"/>
              </w:rPr>
            </w:pPr>
            <w:r w:rsidRPr="00F9522B">
              <w:rPr>
                <w:rFonts w:eastAsiaTheme="minorEastAsia"/>
                <w:szCs w:val="21"/>
              </w:rPr>
              <w:t>1</w:t>
            </w:r>
            <w:r w:rsidR="008A22F8" w:rsidRPr="00F9522B">
              <w:rPr>
                <w:rFonts w:eastAsiaTheme="minorEastAsia"/>
                <w:szCs w:val="21"/>
              </w:rPr>
              <w:t>5</w:t>
            </w:r>
          </w:p>
        </w:tc>
      </w:tr>
      <w:tr w:rsidR="002A5A5E" w:rsidRPr="00F9522B" w:rsidTr="004C7650">
        <w:trPr>
          <w:trHeight w:val="71"/>
          <w:jc w:val="center"/>
        </w:trPr>
        <w:tc>
          <w:tcPr>
            <w:tcW w:w="755" w:type="dxa"/>
            <w:vAlign w:val="center"/>
          </w:tcPr>
          <w:p w:rsidR="002A5A5E" w:rsidRPr="00F9522B" w:rsidRDefault="00611CBA">
            <w:pPr>
              <w:jc w:val="center"/>
              <w:rPr>
                <w:rFonts w:eastAsiaTheme="minorEastAsia"/>
                <w:szCs w:val="21"/>
              </w:rPr>
            </w:pPr>
            <w:r w:rsidRPr="00F9522B">
              <w:rPr>
                <w:rFonts w:eastAsiaTheme="minorEastAsia"/>
                <w:szCs w:val="21"/>
              </w:rPr>
              <w:t>5</w:t>
            </w:r>
          </w:p>
        </w:tc>
        <w:tc>
          <w:tcPr>
            <w:tcW w:w="2828" w:type="dxa"/>
            <w:vAlign w:val="center"/>
          </w:tcPr>
          <w:p w:rsidR="002A5A5E" w:rsidRPr="00F9522B" w:rsidRDefault="00611CBA">
            <w:pPr>
              <w:jc w:val="center"/>
              <w:rPr>
                <w:rFonts w:eastAsiaTheme="minorEastAsia"/>
              </w:rPr>
            </w:pPr>
            <w:r w:rsidRPr="00F9522B">
              <w:rPr>
                <w:rFonts w:eastAsiaTheme="minorEastAsia"/>
              </w:rPr>
              <w:t>左侧监测</w:t>
            </w:r>
            <w:r w:rsidRPr="00F9522B">
              <w:rPr>
                <w:rFonts w:eastAsiaTheme="minorEastAsia"/>
                <w:szCs w:val="21"/>
              </w:rPr>
              <w:t>孔</w:t>
            </w:r>
            <w:r w:rsidRPr="00F9522B">
              <w:rPr>
                <w:rFonts w:ascii="宋体" w:hAnsi="宋体" w:cs="宋体" w:hint="eastAsia"/>
              </w:rPr>
              <w:t>☆</w:t>
            </w:r>
            <w:r w:rsidRPr="00F9522B">
              <w:rPr>
                <w:rFonts w:eastAsiaTheme="minorEastAsia"/>
                <w:szCs w:val="21"/>
              </w:rPr>
              <w:t>05</w:t>
            </w:r>
          </w:p>
        </w:tc>
        <w:tc>
          <w:tcPr>
            <w:tcW w:w="1731" w:type="dxa"/>
            <w:vAlign w:val="center"/>
          </w:tcPr>
          <w:p w:rsidR="002A5A5E" w:rsidRPr="00F9522B" w:rsidRDefault="00611CBA">
            <w:pPr>
              <w:jc w:val="center"/>
              <w:rPr>
                <w:rFonts w:eastAsiaTheme="minorEastAsia"/>
                <w:szCs w:val="21"/>
              </w:rPr>
            </w:pPr>
            <w:r w:rsidRPr="00F9522B">
              <w:rPr>
                <w:rFonts w:eastAsiaTheme="minorEastAsia"/>
                <w:szCs w:val="21"/>
              </w:rPr>
              <w:t>水位</w:t>
            </w:r>
          </w:p>
        </w:tc>
        <w:tc>
          <w:tcPr>
            <w:tcW w:w="787" w:type="dxa"/>
            <w:vAlign w:val="center"/>
          </w:tcPr>
          <w:p w:rsidR="002A5A5E" w:rsidRPr="00F9522B" w:rsidRDefault="00611CBA">
            <w:pPr>
              <w:jc w:val="center"/>
              <w:rPr>
                <w:rFonts w:eastAsiaTheme="minorEastAsia"/>
                <w:szCs w:val="21"/>
              </w:rPr>
            </w:pPr>
            <w:r w:rsidRPr="00F9522B">
              <w:rPr>
                <w:rFonts w:eastAsiaTheme="minorEastAsia"/>
                <w:szCs w:val="21"/>
              </w:rPr>
              <w:t>灌溉</w:t>
            </w:r>
          </w:p>
        </w:tc>
        <w:tc>
          <w:tcPr>
            <w:tcW w:w="1261" w:type="dxa"/>
            <w:tcBorders>
              <w:right w:val="single" w:sz="2" w:space="0" w:color="auto"/>
            </w:tcBorders>
            <w:vAlign w:val="center"/>
          </w:tcPr>
          <w:p w:rsidR="002A5A5E" w:rsidRPr="00F9522B" w:rsidRDefault="00611CBA" w:rsidP="005C5E21">
            <w:pPr>
              <w:spacing w:line="360" w:lineRule="auto"/>
              <w:jc w:val="center"/>
              <w:rPr>
                <w:rFonts w:eastAsiaTheme="minorEastAsia"/>
                <w:kern w:val="0"/>
              </w:rPr>
            </w:pPr>
            <w:r w:rsidRPr="00F9522B">
              <w:rPr>
                <w:rFonts w:eastAsiaTheme="minorEastAsia"/>
                <w:kern w:val="0"/>
              </w:rPr>
              <w:t>1</w:t>
            </w:r>
            <w:r w:rsidR="005C5E21" w:rsidRPr="00F9522B">
              <w:rPr>
                <w:rFonts w:eastAsiaTheme="minorEastAsia"/>
                <w:kern w:val="0"/>
              </w:rPr>
              <w:t>15</w:t>
            </w:r>
            <w:r w:rsidRPr="00F9522B">
              <w:rPr>
                <w:rFonts w:eastAsiaTheme="minorEastAsia"/>
                <w:kern w:val="0"/>
              </w:rPr>
              <w:t>.5</w:t>
            </w:r>
          </w:p>
        </w:tc>
        <w:tc>
          <w:tcPr>
            <w:tcW w:w="1160" w:type="dxa"/>
            <w:tcBorders>
              <w:left w:val="single" w:sz="2" w:space="0" w:color="auto"/>
            </w:tcBorders>
            <w:vAlign w:val="center"/>
          </w:tcPr>
          <w:p w:rsidR="002A5A5E" w:rsidRPr="00F9522B" w:rsidRDefault="00611CBA" w:rsidP="008A22F8">
            <w:pPr>
              <w:jc w:val="center"/>
              <w:rPr>
                <w:rFonts w:eastAsiaTheme="minorEastAsia"/>
                <w:szCs w:val="21"/>
              </w:rPr>
            </w:pPr>
            <w:r w:rsidRPr="00F9522B">
              <w:rPr>
                <w:rFonts w:eastAsiaTheme="minorEastAsia"/>
                <w:szCs w:val="21"/>
              </w:rPr>
              <w:t>1</w:t>
            </w:r>
            <w:r w:rsidR="008A22F8" w:rsidRPr="00F9522B">
              <w:rPr>
                <w:rFonts w:eastAsiaTheme="minorEastAsia"/>
                <w:szCs w:val="21"/>
              </w:rPr>
              <w:t>8</w:t>
            </w:r>
          </w:p>
        </w:tc>
      </w:tr>
      <w:tr w:rsidR="002A5A5E" w:rsidRPr="00F9522B" w:rsidTr="004C7650">
        <w:trPr>
          <w:trHeight w:val="71"/>
          <w:jc w:val="center"/>
        </w:trPr>
        <w:tc>
          <w:tcPr>
            <w:tcW w:w="755" w:type="dxa"/>
            <w:vAlign w:val="center"/>
          </w:tcPr>
          <w:p w:rsidR="002A5A5E" w:rsidRPr="00F9522B" w:rsidRDefault="00611CBA">
            <w:pPr>
              <w:jc w:val="center"/>
              <w:rPr>
                <w:rFonts w:eastAsiaTheme="minorEastAsia"/>
                <w:szCs w:val="21"/>
              </w:rPr>
            </w:pPr>
            <w:r w:rsidRPr="00F9522B">
              <w:rPr>
                <w:rFonts w:eastAsiaTheme="minorEastAsia"/>
                <w:szCs w:val="21"/>
              </w:rPr>
              <w:t>6</w:t>
            </w:r>
          </w:p>
        </w:tc>
        <w:tc>
          <w:tcPr>
            <w:tcW w:w="2828" w:type="dxa"/>
            <w:vAlign w:val="center"/>
          </w:tcPr>
          <w:p w:rsidR="002A5A5E" w:rsidRPr="00F9522B" w:rsidRDefault="00611CBA">
            <w:pPr>
              <w:jc w:val="center"/>
              <w:rPr>
                <w:rFonts w:eastAsiaTheme="minorEastAsia"/>
              </w:rPr>
            </w:pPr>
            <w:r w:rsidRPr="00F9522B">
              <w:rPr>
                <w:rFonts w:eastAsiaTheme="minorEastAsia"/>
              </w:rPr>
              <w:t>下游监测</w:t>
            </w:r>
            <w:r w:rsidRPr="00F9522B">
              <w:rPr>
                <w:rFonts w:eastAsiaTheme="minorEastAsia"/>
                <w:szCs w:val="21"/>
              </w:rPr>
              <w:t>孔</w:t>
            </w:r>
            <w:r w:rsidRPr="00F9522B">
              <w:rPr>
                <w:rFonts w:ascii="宋体" w:hAnsi="宋体" w:cs="宋体" w:hint="eastAsia"/>
              </w:rPr>
              <w:t>☆</w:t>
            </w:r>
            <w:r w:rsidRPr="00F9522B">
              <w:rPr>
                <w:rFonts w:eastAsiaTheme="minorEastAsia"/>
                <w:szCs w:val="21"/>
              </w:rPr>
              <w:t>06</w:t>
            </w:r>
          </w:p>
        </w:tc>
        <w:tc>
          <w:tcPr>
            <w:tcW w:w="1731" w:type="dxa"/>
            <w:vAlign w:val="center"/>
          </w:tcPr>
          <w:p w:rsidR="002A5A5E" w:rsidRPr="00F9522B" w:rsidRDefault="00611CBA">
            <w:pPr>
              <w:jc w:val="center"/>
              <w:rPr>
                <w:rFonts w:eastAsiaTheme="minorEastAsia"/>
                <w:szCs w:val="21"/>
              </w:rPr>
            </w:pPr>
            <w:r w:rsidRPr="00F9522B">
              <w:rPr>
                <w:rFonts w:eastAsiaTheme="minorEastAsia"/>
                <w:szCs w:val="21"/>
              </w:rPr>
              <w:t>水位</w:t>
            </w:r>
          </w:p>
        </w:tc>
        <w:tc>
          <w:tcPr>
            <w:tcW w:w="787" w:type="dxa"/>
            <w:vAlign w:val="center"/>
          </w:tcPr>
          <w:p w:rsidR="002A5A5E" w:rsidRPr="00F9522B" w:rsidRDefault="00611CBA">
            <w:pPr>
              <w:jc w:val="center"/>
              <w:rPr>
                <w:rFonts w:eastAsiaTheme="minorEastAsia"/>
                <w:szCs w:val="21"/>
              </w:rPr>
            </w:pPr>
            <w:r w:rsidRPr="00F9522B">
              <w:rPr>
                <w:rFonts w:eastAsiaTheme="minorEastAsia"/>
                <w:szCs w:val="21"/>
              </w:rPr>
              <w:t>灌溉</w:t>
            </w:r>
          </w:p>
        </w:tc>
        <w:tc>
          <w:tcPr>
            <w:tcW w:w="1261" w:type="dxa"/>
            <w:tcBorders>
              <w:right w:val="single" w:sz="2" w:space="0" w:color="auto"/>
            </w:tcBorders>
            <w:vAlign w:val="center"/>
          </w:tcPr>
          <w:p w:rsidR="002A5A5E" w:rsidRPr="00F9522B" w:rsidRDefault="00611CBA" w:rsidP="005C5E21">
            <w:pPr>
              <w:spacing w:line="360" w:lineRule="auto"/>
              <w:jc w:val="center"/>
              <w:rPr>
                <w:rFonts w:eastAsiaTheme="minorEastAsia"/>
                <w:kern w:val="0"/>
              </w:rPr>
            </w:pPr>
            <w:r w:rsidRPr="00F9522B">
              <w:rPr>
                <w:rFonts w:eastAsiaTheme="minorEastAsia"/>
                <w:kern w:val="0"/>
              </w:rPr>
              <w:t>1</w:t>
            </w:r>
            <w:r w:rsidR="005C5E21" w:rsidRPr="00F9522B">
              <w:rPr>
                <w:rFonts w:eastAsiaTheme="minorEastAsia"/>
                <w:kern w:val="0"/>
              </w:rPr>
              <w:t>0</w:t>
            </w:r>
            <w:r w:rsidRPr="00F9522B">
              <w:rPr>
                <w:rFonts w:eastAsiaTheme="minorEastAsia"/>
                <w:kern w:val="0"/>
              </w:rPr>
              <w:t>8.</w:t>
            </w:r>
            <w:r w:rsidR="005C5E21" w:rsidRPr="00F9522B">
              <w:rPr>
                <w:rFonts w:eastAsiaTheme="minorEastAsia"/>
                <w:kern w:val="0"/>
              </w:rPr>
              <w:t>2</w:t>
            </w:r>
          </w:p>
        </w:tc>
        <w:tc>
          <w:tcPr>
            <w:tcW w:w="1160" w:type="dxa"/>
            <w:tcBorders>
              <w:left w:val="single" w:sz="2" w:space="0" w:color="auto"/>
            </w:tcBorders>
            <w:vAlign w:val="center"/>
          </w:tcPr>
          <w:p w:rsidR="002A5A5E" w:rsidRPr="00F9522B" w:rsidRDefault="00611CBA">
            <w:pPr>
              <w:jc w:val="center"/>
              <w:rPr>
                <w:rFonts w:eastAsiaTheme="minorEastAsia"/>
                <w:szCs w:val="21"/>
              </w:rPr>
            </w:pPr>
            <w:r w:rsidRPr="00F9522B">
              <w:rPr>
                <w:rFonts w:eastAsiaTheme="minorEastAsia"/>
                <w:szCs w:val="21"/>
              </w:rPr>
              <w:t>30</w:t>
            </w:r>
          </w:p>
        </w:tc>
      </w:tr>
      <w:tr w:rsidR="002A5A5E" w:rsidRPr="00F9522B" w:rsidTr="004C7650">
        <w:trPr>
          <w:trHeight w:val="71"/>
          <w:jc w:val="center"/>
        </w:trPr>
        <w:tc>
          <w:tcPr>
            <w:tcW w:w="755" w:type="dxa"/>
            <w:vAlign w:val="center"/>
          </w:tcPr>
          <w:p w:rsidR="002A5A5E" w:rsidRPr="00F9522B" w:rsidRDefault="00611CBA">
            <w:pPr>
              <w:jc w:val="center"/>
              <w:rPr>
                <w:rFonts w:eastAsiaTheme="minorEastAsia"/>
                <w:szCs w:val="21"/>
              </w:rPr>
            </w:pPr>
            <w:r w:rsidRPr="00F9522B">
              <w:rPr>
                <w:rFonts w:eastAsiaTheme="minorEastAsia"/>
                <w:szCs w:val="21"/>
              </w:rPr>
              <w:t>7</w:t>
            </w:r>
          </w:p>
        </w:tc>
        <w:tc>
          <w:tcPr>
            <w:tcW w:w="2828" w:type="dxa"/>
            <w:vAlign w:val="center"/>
          </w:tcPr>
          <w:p w:rsidR="002A5A5E" w:rsidRPr="00F9522B" w:rsidRDefault="00611CBA">
            <w:pPr>
              <w:jc w:val="center"/>
              <w:rPr>
                <w:rFonts w:eastAsiaTheme="minorEastAsia"/>
              </w:rPr>
            </w:pPr>
            <w:r w:rsidRPr="00F9522B">
              <w:rPr>
                <w:rFonts w:eastAsiaTheme="minorEastAsia"/>
              </w:rPr>
              <w:t>左侧监测</w:t>
            </w:r>
            <w:r w:rsidRPr="00F9522B">
              <w:rPr>
                <w:rFonts w:eastAsiaTheme="minorEastAsia"/>
                <w:szCs w:val="21"/>
              </w:rPr>
              <w:t>孔</w:t>
            </w:r>
            <w:r w:rsidRPr="00F9522B">
              <w:rPr>
                <w:rFonts w:ascii="宋体" w:hAnsi="宋体" w:cs="宋体" w:hint="eastAsia"/>
              </w:rPr>
              <w:t>☆</w:t>
            </w:r>
            <w:r w:rsidRPr="00F9522B">
              <w:rPr>
                <w:rFonts w:eastAsiaTheme="minorEastAsia"/>
                <w:szCs w:val="21"/>
              </w:rPr>
              <w:t>07</w:t>
            </w:r>
          </w:p>
        </w:tc>
        <w:tc>
          <w:tcPr>
            <w:tcW w:w="1731" w:type="dxa"/>
            <w:vAlign w:val="center"/>
          </w:tcPr>
          <w:p w:rsidR="002A5A5E" w:rsidRPr="00F9522B" w:rsidRDefault="00611CBA">
            <w:pPr>
              <w:jc w:val="center"/>
              <w:rPr>
                <w:rFonts w:eastAsiaTheme="minorEastAsia"/>
                <w:szCs w:val="21"/>
              </w:rPr>
            </w:pPr>
            <w:r w:rsidRPr="00F9522B">
              <w:rPr>
                <w:rFonts w:eastAsiaTheme="minorEastAsia"/>
                <w:szCs w:val="21"/>
              </w:rPr>
              <w:t>水位</w:t>
            </w:r>
          </w:p>
        </w:tc>
        <w:tc>
          <w:tcPr>
            <w:tcW w:w="787" w:type="dxa"/>
            <w:vAlign w:val="center"/>
          </w:tcPr>
          <w:p w:rsidR="002A5A5E" w:rsidRPr="00F9522B" w:rsidRDefault="00611CBA">
            <w:pPr>
              <w:jc w:val="center"/>
              <w:rPr>
                <w:rFonts w:eastAsiaTheme="minorEastAsia"/>
                <w:szCs w:val="21"/>
              </w:rPr>
            </w:pPr>
            <w:r w:rsidRPr="00F9522B">
              <w:rPr>
                <w:rFonts w:eastAsiaTheme="minorEastAsia"/>
                <w:szCs w:val="21"/>
              </w:rPr>
              <w:t>灌溉</w:t>
            </w:r>
          </w:p>
        </w:tc>
        <w:tc>
          <w:tcPr>
            <w:tcW w:w="1261" w:type="dxa"/>
            <w:tcBorders>
              <w:right w:val="single" w:sz="2" w:space="0" w:color="auto"/>
            </w:tcBorders>
            <w:vAlign w:val="center"/>
          </w:tcPr>
          <w:p w:rsidR="002A5A5E" w:rsidRPr="00F9522B" w:rsidRDefault="00611CBA" w:rsidP="005C5E21">
            <w:pPr>
              <w:spacing w:line="360" w:lineRule="auto"/>
              <w:jc w:val="center"/>
              <w:rPr>
                <w:rFonts w:eastAsiaTheme="minorEastAsia"/>
                <w:kern w:val="0"/>
              </w:rPr>
            </w:pPr>
            <w:r w:rsidRPr="00F9522B">
              <w:rPr>
                <w:rFonts w:eastAsiaTheme="minorEastAsia"/>
                <w:kern w:val="0"/>
              </w:rPr>
              <w:t>1</w:t>
            </w:r>
            <w:r w:rsidR="005C5E21" w:rsidRPr="00F9522B">
              <w:rPr>
                <w:rFonts w:eastAsiaTheme="minorEastAsia"/>
                <w:kern w:val="0"/>
              </w:rPr>
              <w:t>19</w:t>
            </w:r>
            <w:r w:rsidRPr="00F9522B">
              <w:rPr>
                <w:rFonts w:eastAsiaTheme="minorEastAsia"/>
                <w:kern w:val="0"/>
              </w:rPr>
              <w:t>.8</w:t>
            </w:r>
          </w:p>
        </w:tc>
        <w:tc>
          <w:tcPr>
            <w:tcW w:w="1160" w:type="dxa"/>
            <w:tcBorders>
              <w:left w:val="single" w:sz="2" w:space="0" w:color="auto"/>
            </w:tcBorders>
            <w:vAlign w:val="center"/>
          </w:tcPr>
          <w:p w:rsidR="002A5A5E" w:rsidRPr="00F9522B" w:rsidRDefault="00611CBA" w:rsidP="008A22F8">
            <w:pPr>
              <w:jc w:val="center"/>
              <w:rPr>
                <w:rFonts w:eastAsiaTheme="minorEastAsia"/>
                <w:szCs w:val="21"/>
              </w:rPr>
            </w:pPr>
            <w:r w:rsidRPr="00F9522B">
              <w:rPr>
                <w:rFonts w:eastAsiaTheme="minorEastAsia"/>
                <w:szCs w:val="21"/>
              </w:rPr>
              <w:t>2</w:t>
            </w:r>
            <w:r w:rsidR="008A22F8" w:rsidRPr="00F9522B">
              <w:rPr>
                <w:rFonts w:eastAsiaTheme="minorEastAsia"/>
                <w:szCs w:val="21"/>
              </w:rPr>
              <w:t>0</w:t>
            </w:r>
          </w:p>
        </w:tc>
      </w:tr>
      <w:tr w:rsidR="002A5A5E" w:rsidRPr="00F9522B" w:rsidTr="004C7650">
        <w:trPr>
          <w:trHeight w:val="71"/>
          <w:jc w:val="center"/>
        </w:trPr>
        <w:tc>
          <w:tcPr>
            <w:tcW w:w="755" w:type="dxa"/>
            <w:vAlign w:val="center"/>
          </w:tcPr>
          <w:p w:rsidR="002A5A5E" w:rsidRPr="00F9522B" w:rsidRDefault="00611CBA">
            <w:pPr>
              <w:jc w:val="center"/>
              <w:rPr>
                <w:rFonts w:eastAsiaTheme="minorEastAsia"/>
                <w:szCs w:val="21"/>
              </w:rPr>
            </w:pPr>
            <w:r w:rsidRPr="00F9522B">
              <w:rPr>
                <w:rFonts w:eastAsiaTheme="minorEastAsia"/>
                <w:szCs w:val="21"/>
              </w:rPr>
              <w:t>8</w:t>
            </w:r>
          </w:p>
        </w:tc>
        <w:tc>
          <w:tcPr>
            <w:tcW w:w="2828" w:type="dxa"/>
            <w:vAlign w:val="center"/>
          </w:tcPr>
          <w:p w:rsidR="002A5A5E" w:rsidRPr="00F9522B" w:rsidRDefault="00611CBA">
            <w:pPr>
              <w:jc w:val="center"/>
              <w:rPr>
                <w:rFonts w:eastAsiaTheme="minorEastAsia"/>
              </w:rPr>
            </w:pPr>
            <w:r w:rsidRPr="00F9522B">
              <w:rPr>
                <w:rFonts w:eastAsiaTheme="minorEastAsia"/>
                <w:szCs w:val="21"/>
              </w:rPr>
              <w:t>上游</w:t>
            </w:r>
            <w:r w:rsidRPr="00F9522B">
              <w:rPr>
                <w:rFonts w:eastAsiaTheme="minorEastAsia"/>
              </w:rPr>
              <w:t>监测</w:t>
            </w:r>
            <w:r w:rsidRPr="00F9522B">
              <w:rPr>
                <w:rFonts w:eastAsiaTheme="minorEastAsia"/>
                <w:szCs w:val="21"/>
              </w:rPr>
              <w:t>孔</w:t>
            </w:r>
            <w:r w:rsidRPr="00F9522B">
              <w:rPr>
                <w:rFonts w:ascii="宋体" w:hAnsi="宋体" w:cs="宋体" w:hint="eastAsia"/>
              </w:rPr>
              <w:t>☆</w:t>
            </w:r>
            <w:r w:rsidRPr="00F9522B">
              <w:rPr>
                <w:rFonts w:eastAsiaTheme="minorEastAsia"/>
                <w:szCs w:val="21"/>
              </w:rPr>
              <w:t>08</w:t>
            </w:r>
          </w:p>
        </w:tc>
        <w:tc>
          <w:tcPr>
            <w:tcW w:w="1731" w:type="dxa"/>
            <w:vAlign w:val="center"/>
          </w:tcPr>
          <w:p w:rsidR="002A5A5E" w:rsidRPr="00F9522B" w:rsidRDefault="00611CBA">
            <w:pPr>
              <w:jc w:val="center"/>
              <w:rPr>
                <w:rFonts w:eastAsiaTheme="minorEastAsia"/>
                <w:szCs w:val="21"/>
              </w:rPr>
            </w:pPr>
            <w:r w:rsidRPr="00F9522B">
              <w:rPr>
                <w:rFonts w:eastAsiaTheme="minorEastAsia"/>
                <w:szCs w:val="21"/>
              </w:rPr>
              <w:t>水位</w:t>
            </w:r>
          </w:p>
        </w:tc>
        <w:tc>
          <w:tcPr>
            <w:tcW w:w="787" w:type="dxa"/>
            <w:vAlign w:val="center"/>
          </w:tcPr>
          <w:p w:rsidR="002A5A5E" w:rsidRPr="00F9522B" w:rsidRDefault="00611CBA">
            <w:pPr>
              <w:jc w:val="center"/>
              <w:rPr>
                <w:rFonts w:eastAsiaTheme="minorEastAsia"/>
                <w:szCs w:val="21"/>
              </w:rPr>
            </w:pPr>
            <w:r w:rsidRPr="00F9522B">
              <w:rPr>
                <w:rFonts w:eastAsiaTheme="minorEastAsia"/>
                <w:szCs w:val="21"/>
              </w:rPr>
              <w:t>灌溉</w:t>
            </w:r>
          </w:p>
        </w:tc>
        <w:tc>
          <w:tcPr>
            <w:tcW w:w="1261" w:type="dxa"/>
            <w:tcBorders>
              <w:right w:val="single" w:sz="2" w:space="0" w:color="auto"/>
            </w:tcBorders>
            <w:vAlign w:val="center"/>
          </w:tcPr>
          <w:p w:rsidR="002A5A5E" w:rsidRPr="00F9522B" w:rsidRDefault="00611CBA" w:rsidP="005C5E21">
            <w:pPr>
              <w:spacing w:line="360" w:lineRule="auto"/>
              <w:jc w:val="center"/>
              <w:rPr>
                <w:rFonts w:eastAsiaTheme="minorEastAsia"/>
                <w:kern w:val="0"/>
              </w:rPr>
            </w:pPr>
            <w:r w:rsidRPr="00F9522B">
              <w:rPr>
                <w:rFonts w:eastAsiaTheme="minorEastAsia"/>
                <w:kern w:val="0"/>
              </w:rPr>
              <w:t>1</w:t>
            </w:r>
            <w:r w:rsidR="005C5E21" w:rsidRPr="00F9522B">
              <w:rPr>
                <w:rFonts w:eastAsiaTheme="minorEastAsia"/>
                <w:kern w:val="0"/>
              </w:rPr>
              <w:t>20</w:t>
            </w:r>
            <w:r w:rsidRPr="00F9522B">
              <w:rPr>
                <w:rFonts w:eastAsiaTheme="minorEastAsia"/>
                <w:kern w:val="0"/>
              </w:rPr>
              <w:t>.1</w:t>
            </w:r>
          </w:p>
        </w:tc>
        <w:tc>
          <w:tcPr>
            <w:tcW w:w="1160" w:type="dxa"/>
            <w:tcBorders>
              <w:left w:val="single" w:sz="2" w:space="0" w:color="auto"/>
            </w:tcBorders>
            <w:vAlign w:val="center"/>
          </w:tcPr>
          <w:p w:rsidR="002A5A5E" w:rsidRPr="00F9522B" w:rsidRDefault="00611CBA" w:rsidP="008A22F8">
            <w:pPr>
              <w:jc w:val="center"/>
              <w:rPr>
                <w:rFonts w:eastAsiaTheme="minorEastAsia"/>
                <w:szCs w:val="21"/>
              </w:rPr>
            </w:pPr>
            <w:r w:rsidRPr="00F9522B">
              <w:rPr>
                <w:rFonts w:eastAsiaTheme="minorEastAsia"/>
                <w:szCs w:val="21"/>
              </w:rPr>
              <w:t>1</w:t>
            </w:r>
            <w:r w:rsidR="008A22F8" w:rsidRPr="00F9522B">
              <w:rPr>
                <w:rFonts w:eastAsiaTheme="minorEastAsia"/>
                <w:szCs w:val="21"/>
              </w:rPr>
              <w:t>8</w:t>
            </w:r>
          </w:p>
        </w:tc>
      </w:tr>
    </w:tbl>
    <w:p w:rsidR="002A5A5E" w:rsidRPr="00F9522B" w:rsidRDefault="00E21DF5" w:rsidP="006364CE">
      <w:pPr>
        <w:spacing w:line="0" w:lineRule="atLeast"/>
        <w:jc w:val="center"/>
        <w:rPr>
          <w:rFonts w:eastAsiaTheme="minorEastAsia"/>
        </w:rPr>
      </w:pPr>
      <w:r w:rsidRPr="00F9522B">
        <w:rPr>
          <w:rFonts w:eastAsiaTheme="minorEastAsia"/>
          <w:noProof/>
        </w:rPr>
        <w:lastRenderedPageBreak/>
        <w:drawing>
          <wp:inline distT="0" distB="0" distL="0" distR="0">
            <wp:extent cx="4655185" cy="4951730"/>
            <wp:effectExtent l="19050" t="19050" r="12065" b="20320"/>
            <wp:docPr id="64"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4"/>
                    <a:srcRect/>
                    <a:stretch>
                      <a:fillRect/>
                    </a:stretch>
                  </pic:blipFill>
                  <pic:spPr bwMode="auto">
                    <a:xfrm>
                      <a:off x="0" y="0"/>
                      <a:ext cx="4655185" cy="4951730"/>
                    </a:xfrm>
                    <a:prstGeom prst="rect">
                      <a:avLst/>
                    </a:prstGeom>
                    <a:noFill/>
                    <a:ln w="9525">
                      <a:solidFill>
                        <a:schemeClr val="tx1"/>
                      </a:solidFill>
                      <a:miter lim="800000"/>
                      <a:headEnd/>
                      <a:tailEnd/>
                    </a:ln>
                  </pic:spPr>
                </pic:pic>
              </a:graphicData>
            </a:graphic>
          </wp:inline>
        </w:drawing>
      </w:r>
    </w:p>
    <w:p w:rsidR="002A5A5E" w:rsidRPr="00F9522B" w:rsidRDefault="00611CBA" w:rsidP="006364CE">
      <w:pPr>
        <w:spacing w:line="0" w:lineRule="atLeast"/>
        <w:contextualSpacing/>
        <w:jc w:val="center"/>
        <w:rPr>
          <w:rFonts w:eastAsiaTheme="minorEastAsia"/>
          <w:b/>
          <w:color w:val="FF0000"/>
          <w:kern w:val="0"/>
          <w:szCs w:val="21"/>
        </w:rPr>
      </w:pPr>
      <w:r w:rsidRPr="00F9522B">
        <w:rPr>
          <w:rFonts w:eastAsiaTheme="minorEastAsia"/>
          <w:b/>
          <w:color w:val="FF0000"/>
          <w:kern w:val="0"/>
          <w:szCs w:val="21"/>
        </w:rPr>
        <w:t>图</w:t>
      </w:r>
      <w:r w:rsidRPr="00F9522B">
        <w:rPr>
          <w:rFonts w:eastAsiaTheme="minorEastAsia"/>
          <w:b/>
          <w:color w:val="FF0000"/>
          <w:kern w:val="0"/>
          <w:szCs w:val="21"/>
        </w:rPr>
        <w:t>4-2-</w:t>
      </w:r>
      <w:r w:rsidR="00C92D94" w:rsidRPr="00F9522B">
        <w:rPr>
          <w:rFonts w:eastAsiaTheme="minorEastAsia"/>
          <w:b/>
          <w:color w:val="FF0000"/>
          <w:kern w:val="0"/>
          <w:szCs w:val="21"/>
        </w:rPr>
        <w:t>7</w:t>
      </w:r>
      <w:r w:rsidRPr="00F9522B">
        <w:rPr>
          <w:rFonts w:eastAsiaTheme="minorEastAsia"/>
          <w:b/>
          <w:color w:val="FF0000"/>
          <w:kern w:val="0"/>
          <w:szCs w:val="21"/>
        </w:rPr>
        <w:t xml:space="preserve"> </w:t>
      </w:r>
      <w:r w:rsidRPr="00F9522B">
        <w:rPr>
          <w:rFonts w:eastAsiaTheme="minorEastAsia"/>
          <w:b/>
          <w:color w:val="FF0000"/>
          <w:kern w:val="0"/>
          <w:szCs w:val="21"/>
        </w:rPr>
        <w:t>地下水监测点位</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w:t>
      </w:r>
      <w:r w:rsidRPr="00F9522B">
        <w:rPr>
          <w:rFonts w:eastAsiaTheme="minorEastAsia"/>
          <w:sz w:val="24"/>
        </w:rPr>
        <w:t>3</w:t>
      </w:r>
      <w:r w:rsidRPr="00F9522B">
        <w:rPr>
          <w:rFonts w:eastAsiaTheme="minorEastAsia"/>
          <w:sz w:val="24"/>
        </w:rPr>
        <w:t>）监测因子</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基本因子：</w:t>
      </w:r>
      <w:r w:rsidRPr="00F9522B">
        <w:rPr>
          <w:rFonts w:eastAsiaTheme="minorEastAsia"/>
          <w:sz w:val="24"/>
        </w:rPr>
        <w:t>pH</w:t>
      </w:r>
      <w:r w:rsidRPr="00F9522B">
        <w:rPr>
          <w:rFonts w:eastAsiaTheme="minorEastAsia"/>
          <w:sz w:val="24"/>
        </w:rPr>
        <w:t>、总硬度、溶解性总固体、硫酸盐、氯化物、挥发酚、</w:t>
      </w:r>
      <w:r w:rsidR="00AE7C88" w:rsidRPr="00F9522B">
        <w:rPr>
          <w:rFonts w:eastAsiaTheme="minorEastAsia"/>
          <w:sz w:val="24"/>
        </w:rPr>
        <w:t>耗氧量</w:t>
      </w:r>
      <w:r w:rsidRPr="00F9522B">
        <w:rPr>
          <w:rFonts w:eastAsiaTheme="minorEastAsia"/>
          <w:sz w:val="24"/>
        </w:rPr>
        <w:t>、硝酸盐氮、亚硝酸盐氮、氨氮、六价铬、氟化物、氰化物、总大肠菌群、细菌总数、铁、锰、砷、汞、铅、镉共</w:t>
      </w:r>
      <w:r w:rsidRPr="00F9522B">
        <w:rPr>
          <w:rFonts w:eastAsiaTheme="minorEastAsia"/>
          <w:sz w:val="24"/>
        </w:rPr>
        <w:t>21</w:t>
      </w:r>
      <w:r w:rsidRPr="00F9522B">
        <w:rPr>
          <w:rFonts w:eastAsiaTheme="minorEastAsia"/>
          <w:sz w:val="24"/>
        </w:rPr>
        <w:t>项基本水质因子和</w:t>
      </w:r>
      <w:r w:rsidRPr="00F9522B">
        <w:rPr>
          <w:rFonts w:eastAsiaTheme="minorEastAsia"/>
          <w:sz w:val="24"/>
        </w:rPr>
        <w:t>K</w:t>
      </w:r>
      <w:r w:rsidRPr="00F9522B">
        <w:rPr>
          <w:rFonts w:eastAsiaTheme="minorEastAsia"/>
          <w:sz w:val="24"/>
          <w:vertAlign w:val="superscript"/>
        </w:rPr>
        <w:t>+</w:t>
      </w:r>
      <w:r w:rsidRPr="00F9522B">
        <w:rPr>
          <w:rFonts w:eastAsiaTheme="minorEastAsia"/>
          <w:sz w:val="24"/>
        </w:rPr>
        <w:t>、</w:t>
      </w:r>
      <w:r w:rsidRPr="00F9522B">
        <w:rPr>
          <w:rFonts w:eastAsiaTheme="minorEastAsia"/>
          <w:sz w:val="24"/>
        </w:rPr>
        <w:t>Na</w:t>
      </w:r>
      <w:r w:rsidRPr="00F9522B">
        <w:rPr>
          <w:rFonts w:eastAsiaTheme="minorEastAsia"/>
          <w:sz w:val="24"/>
          <w:vertAlign w:val="superscript"/>
        </w:rPr>
        <w:t>+</w:t>
      </w:r>
      <w:r w:rsidRPr="00F9522B">
        <w:rPr>
          <w:rFonts w:eastAsiaTheme="minorEastAsia"/>
          <w:sz w:val="24"/>
        </w:rPr>
        <w:t>、</w:t>
      </w:r>
      <w:r w:rsidRPr="00F9522B">
        <w:rPr>
          <w:rFonts w:eastAsiaTheme="minorEastAsia"/>
          <w:sz w:val="24"/>
        </w:rPr>
        <w:t>Ca</w:t>
      </w:r>
      <w:r w:rsidRPr="00F9522B">
        <w:rPr>
          <w:rFonts w:eastAsiaTheme="minorEastAsia"/>
          <w:sz w:val="24"/>
          <w:vertAlign w:val="superscript"/>
        </w:rPr>
        <w:t>+</w:t>
      </w:r>
      <w:r w:rsidRPr="00F9522B">
        <w:rPr>
          <w:rFonts w:eastAsiaTheme="minorEastAsia"/>
          <w:sz w:val="24"/>
        </w:rPr>
        <w:t>、</w:t>
      </w:r>
      <w:r w:rsidRPr="00F9522B">
        <w:rPr>
          <w:rFonts w:eastAsiaTheme="minorEastAsia"/>
          <w:sz w:val="24"/>
        </w:rPr>
        <w:t>Mg</w:t>
      </w:r>
      <w:r w:rsidRPr="00F9522B">
        <w:rPr>
          <w:rFonts w:eastAsiaTheme="minorEastAsia"/>
          <w:sz w:val="24"/>
          <w:vertAlign w:val="superscript"/>
        </w:rPr>
        <w:t>2+</w:t>
      </w:r>
      <w:r w:rsidRPr="00F9522B">
        <w:rPr>
          <w:rFonts w:eastAsiaTheme="minorEastAsia"/>
          <w:sz w:val="24"/>
        </w:rPr>
        <w:t>、</w:t>
      </w:r>
      <w:r w:rsidRPr="00F9522B">
        <w:rPr>
          <w:rFonts w:eastAsiaTheme="minorEastAsia"/>
          <w:sz w:val="24"/>
        </w:rPr>
        <w:t>CO</w:t>
      </w:r>
      <w:r w:rsidRPr="00F9522B">
        <w:rPr>
          <w:rFonts w:eastAsiaTheme="minorEastAsia"/>
          <w:sz w:val="24"/>
          <w:vertAlign w:val="subscript"/>
        </w:rPr>
        <w:t>3</w:t>
      </w:r>
      <w:r w:rsidRPr="00F9522B">
        <w:rPr>
          <w:rFonts w:eastAsiaTheme="minorEastAsia"/>
          <w:sz w:val="24"/>
          <w:vertAlign w:val="superscript"/>
        </w:rPr>
        <w:t>2-</w:t>
      </w:r>
      <w:r w:rsidRPr="00F9522B">
        <w:rPr>
          <w:rFonts w:eastAsiaTheme="minorEastAsia"/>
          <w:sz w:val="24"/>
        </w:rPr>
        <w:t>、</w:t>
      </w:r>
      <w:r w:rsidRPr="00F9522B">
        <w:rPr>
          <w:rFonts w:eastAsiaTheme="minorEastAsia"/>
          <w:sz w:val="24"/>
        </w:rPr>
        <w:t>HCO</w:t>
      </w:r>
      <w:r w:rsidRPr="00F9522B">
        <w:rPr>
          <w:rFonts w:eastAsiaTheme="minorEastAsia"/>
          <w:sz w:val="24"/>
          <w:vertAlign w:val="subscript"/>
        </w:rPr>
        <w:t>3</w:t>
      </w:r>
      <w:r w:rsidRPr="00F9522B">
        <w:rPr>
          <w:rFonts w:eastAsiaTheme="minorEastAsia"/>
          <w:sz w:val="24"/>
          <w:vertAlign w:val="superscript"/>
        </w:rPr>
        <w:t>-</w:t>
      </w:r>
      <w:r w:rsidRPr="00F9522B">
        <w:rPr>
          <w:rFonts w:eastAsiaTheme="minorEastAsia"/>
          <w:sz w:val="24"/>
        </w:rPr>
        <w:t>、</w:t>
      </w:r>
      <w:r w:rsidRPr="00F9522B">
        <w:rPr>
          <w:rFonts w:eastAsiaTheme="minorEastAsia"/>
          <w:sz w:val="24"/>
        </w:rPr>
        <w:t>Cl</w:t>
      </w:r>
      <w:r w:rsidRPr="00F9522B">
        <w:rPr>
          <w:rFonts w:eastAsiaTheme="minorEastAsia"/>
          <w:sz w:val="24"/>
          <w:vertAlign w:val="superscript"/>
        </w:rPr>
        <w:t>-</w:t>
      </w:r>
      <w:r w:rsidRPr="00F9522B">
        <w:rPr>
          <w:rFonts w:eastAsiaTheme="minorEastAsia"/>
          <w:sz w:val="24"/>
        </w:rPr>
        <w:t>、</w:t>
      </w:r>
      <w:r w:rsidRPr="00F9522B">
        <w:rPr>
          <w:rFonts w:eastAsiaTheme="minorEastAsia"/>
          <w:sz w:val="24"/>
        </w:rPr>
        <w:t>SO</w:t>
      </w:r>
      <w:r w:rsidRPr="00F9522B">
        <w:rPr>
          <w:rFonts w:eastAsiaTheme="minorEastAsia"/>
          <w:sz w:val="24"/>
          <w:vertAlign w:val="subscript"/>
        </w:rPr>
        <w:t>4</w:t>
      </w:r>
      <w:r w:rsidRPr="00F9522B">
        <w:rPr>
          <w:rFonts w:eastAsiaTheme="minorEastAsia"/>
          <w:sz w:val="24"/>
          <w:vertAlign w:val="superscript"/>
        </w:rPr>
        <w:t>2-</w:t>
      </w:r>
      <w:r w:rsidRPr="00F9522B">
        <w:rPr>
          <w:rFonts w:eastAsiaTheme="minorEastAsia"/>
          <w:sz w:val="24"/>
        </w:rPr>
        <w:t>共</w:t>
      </w:r>
      <w:r w:rsidRPr="00F9522B">
        <w:rPr>
          <w:rFonts w:eastAsiaTheme="minorEastAsia"/>
          <w:sz w:val="24"/>
        </w:rPr>
        <w:t>8</w:t>
      </w:r>
      <w:r w:rsidRPr="00F9522B">
        <w:rPr>
          <w:rFonts w:eastAsiaTheme="minorEastAsia"/>
          <w:sz w:val="24"/>
        </w:rPr>
        <w:t>项离子及特征因子石油类。</w:t>
      </w:r>
    </w:p>
    <w:p w:rsidR="002A5A5E" w:rsidRPr="00F9522B" w:rsidRDefault="00611CBA">
      <w:pPr>
        <w:pStyle w:val="ae"/>
        <w:spacing w:line="360" w:lineRule="auto"/>
        <w:ind w:firstLineChars="200" w:firstLine="480"/>
        <w:rPr>
          <w:rFonts w:ascii="Times New Roman" w:eastAsiaTheme="minorEastAsia" w:hAnsi="Times New Roman" w:cs="Times New Roman"/>
          <w:sz w:val="24"/>
          <w:szCs w:val="24"/>
        </w:rPr>
      </w:pPr>
      <w:r w:rsidRPr="00F9522B">
        <w:rPr>
          <w:rFonts w:ascii="Times New Roman" w:eastAsiaTheme="minorEastAsia" w:hAnsi="Times New Roman" w:cs="Times New Roman"/>
          <w:sz w:val="24"/>
        </w:rPr>
        <w:t>（</w:t>
      </w:r>
      <w:r w:rsidRPr="00F9522B">
        <w:rPr>
          <w:rFonts w:ascii="Times New Roman" w:eastAsiaTheme="minorEastAsia" w:hAnsi="Times New Roman" w:cs="Times New Roman"/>
          <w:sz w:val="24"/>
        </w:rPr>
        <w:t>4</w:t>
      </w:r>
      <w:r w:rsidRPr="00F9522B">
        <w:rPr>
          <w:rFonts w:ascii="Times New Roman" w:eastAsiaTheme="minorEastAsia" w:hAnsi="Times New Roman" w:cs="Times New Roman"/>
          <w:sz w:val="24"/>
        </w:rPr>
        <w:t>）</w:t>
      </w:r>
      <w:r w:rsidRPr="00F9522B">
        <w:rPr>
          <w:rFonts w:ascii="Times New Roman" w:eastAsiaTheme="minorEastAsia" w:hAnsi="Times New Roman" w:cs="Times New Roman"/>
          <w:sz w:val="24"/>
          <w:szCs w:val="24"/>
        </w:rPr>
        <w:t>采样时间及频率</w:t>
      </w:r>
    </w:p>
    <w:p w:rsidR="002A5A5E" w:rsidRPr="00F9522B" w:rsidRDefault="00611CBA">
      <w:pPr>
        <w:pStyle w:val="ae"/>
        <w:spacing w:line="360" w:lineRule="auto"/>
        <w:ind w:firstLineChars="200" w:firstLine="480"/>
        <w:rPr>
          <w:rFonts w:ascii="Times New Roman" w:eastAsiaTheme="minorEastAsia" w:hAnsi="Times New Roman" w:cs="Times New Roman"/>
          <w:sz w:val="24"/>
          <w:szCs w:val="24"/>
        </w:rPr>
      </w:pPr>
      <w:r w:rsidRPr="00F9522B">
        <w:rPr>
          <w:rFonts w:ascii="Times New Roman" w:eastAsiaTheme="minorEastAsia" w:hAnsi="Times New Roman" w:cs="Times New Roman"/>
          <w:sz w:val="24"/>
          <w:szCs w:val="24"/>
        </w:rPr>
        <w:t>监测时间为</w:t>
      </w:r>
      <w:r w:rsidRPr="00F9522B">
        <w:rPr>
          <w:rFonts w:ascii="Times New Roman" w:eastAsiaTheme="minorEastAsia" w:hAnsi="Times New Roman" w:cs="Times New Roman"/>
          <w:sz w:val="24"/>
          <w:szCs w:val="24"/>
        </w:rPr>
        <w:t>202</w:t>
      </w:r>
      <w:r w:rsidR="009875F8" w:rsidRPr="00F9522B">
        <w:rPr>
          <w:rFonts w:ascii="Times New Roman" w:eastAsiaTheme="minorEastAsia" w:hAnsi="Times New Roman" w:cs="Times New Roman"/>
          <w:sz w:val="24"/>
          <w:szCs w:val="24"/>
        </w:rPr>
        <w:t>6</w:t>
      </w:r>
      <w:r w:rsidRPr="00F9522B">
        <w:rPr>
          <w:rFonts w:ascii="Times New Roman" w:eastAsiaTheme="minorEastAsia" w:hAnsi="Times New Roman" w:cs="Times New Roman"/>
          <w:sz w:val="24"/>
          <w:szCs w:val="24"/>
        </w:rPr>
        <w:t>年</w:t>
      </w:r>
      <w:r w:rsidR="009875F8" w:rsidRPr="00F9522B">
        <w:rPr>
          <w:rFonts w:ascii="Times New Roman" w:eastAsiaTheme="minorEastAsia" w:hAnsi="Times New Roman" w:cs="Times New Roman"/>
          <w:sz w:val="24"/>
          <w:szCs w:val="24"/>
        </w:rPr>
        <w:t>6</w:t>
      </w:r>
      <w:r w:rsidRPr="00F9522B">
        <w:rPr>
          <w:rFonts w:ascii="Times New Roman" w:eastAsiaTheme="minorEastAsia" w:hAnsi="Times New Roman" w:cs="Times New Roman"/>
          <w:sz w:val="24"/>
          <w:szCs w:val="24"/>
        </w:rPr>
        <w:t>月</w:t>
      </w:r>
      <w:r w:rsidR="009875F8" w:rsidRPr="00F9522B">
        <w:rPr>
          <w:rFonts w:ascii="Times New Roman" w:eastAsiaTheme="minorEastAsia" w:hAnsi="Times New Roman" w:cs="Times New Roman"/>
          <w:sz w:val="24"/>
          <w:szCs w:val="24"/>
        </w:rPr>
        <w:t>1</w:t>
      </w:r>
      <w:r w:rsidRPr="00F9522B">
        <w:rPr>
          <w:rFonts w:ascii="Times New Roman" w:eastAsiaTheme="minorEastAsia" w:hAnsi="Times New Roman" w:cs="Times New Roman"/>
          <w:sz w:val="24"/>
          <w:szCs w:val="24"/>
        </w:rPr>
        <w:t>日，</w:t>
      </w:r>
      <w:r w:rsidRPr="00F9522B">
        <w:rPr>
          <w:rFonts w:ascii="Times New Roman" w:eastAsiaTheme="minorEastAsia" w:hAnsi="Times New Roman" w:cs="Times New Roman"/>
          <w:sz w:val="24"/>
          <w:szCs w:val="24"/>
        </w:rPr>
        <w:t>1</w:t>
      </w:r>
      <w:r w:rsidRPr="00F9522B">
        <w:rPr>
          <w:rFonts w:ascii="Times New Roman" w:eastAsiaTheme="minorEastAsia" w:hAnsi="Times New Roman" w:cs="Times New Roman"/>
          <w:sz w:val="24"/>
          <w:szCs w:val="24"/>
        </w:rPr>
        <w:t>天</w:t>
      </w:r>
      <w:r w:rsidRPr="00F9522B">
        <w:rPr>
          <w:rFonts w:ascii="Times New Roman" w:eastAsiaTheme="minorEastAsia" w:hAnsi="Times New Roman" w:cs="Times New Roman"/>
          <w:sz w:val="24"/>
          <w:szCs w:val="24"/>
        </w:rPr>
        <w:t>1</w:t>
      </w:r>
      <w:r w:rsidRPr="00F9522B">
        <w:rPr>
          <w:rFonts w:ascii="Times New Roman" w:eastAsiaTheme="minorEastAsia" w:hAnsi="Times New Roman" w:cs="Times New Roman"/>
          <w:sz w:val="24"/>
          <w:szCs w:val="24"/>
        </w:rPr>
        <w:t>次。</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w:t>
      </w:r>
      <w:r w:rsidRPr="00F9522B">
        <w:rPr>
          <w:rFonts w:eastAsiaTheme="minorEastAsia"/>
          <w:sz w:val="24"/>
        </w:rPr>
        <w:t>5</w:t>
      </w:r>
      <w:r w:rsidRPr="00F9522B">
        <w:rPr>
          <w:rFonts w:eastAsiaTheme="minorEastAsia"/>
          <w:sz w:val="24"/>
        </w:rPr>
        <w:t>）分析方法</w:t>
      </w:r>
    </w:p>
    <w:p w:rsidR="00890D83" w:rsidRDefault="00890D83">
      <w:pPr>
        <w:contextualSpacing/>
        <w:jc w:val="center"/>
        <w:rPr>
          <w:rFonts w:eastAsiaTheme="minorEastAsia"/>
          <w:b/>
          <w:kern w:val="0"/>
          <w:szCs w:val="21"/>
        </w:rPr>
      </w:pPr>
    </w:p>
    <w:p w:rsidR="00890D83" w:rsidRDefault="00890D83">
      <w:pPr>
        <w:contextualSpacing/>
        <w:jc w:val="center"/>
        <w:rPr>
          <w:rFonts w:eastAsiaTheme="minorEastAsia"/>
          <w:b/>
          <w:kern w:val="0"/>
          <w:szCs w:val="21"/>
        </w:rPr>
      </w:pPr>
    </w:p>
    <w:p w:rsidR="00890D83" w:rsidRDefault="00890D83">
      <w:pPr>
        <w:contextualSpacing/>
        <w:jc w:val="center"/>
        <w:rPr>
          <w:rFonts w:eastAsiaTheme="minorEastAsia"/>
          <w:b/>
          <w:kern w:val="0"/>
          <w:szCs w:val="21"/>
        </w:rPr>
      </w:pPr>
    </w:p>
    <w:p w:rsidR="00890D83" w:rsidRDefault="00890D83">
      <w:pPr>
        <w:contextualSpacing/>
        <w:jc w:val="center"/>
        <w:rPr>
          <w:rFonts w:eastAsiaTheme="minorEastAsia"/>
          <w:b/>
          <w:kern w:val="0"/>
          <w:szCs w:val="21"/>
        </w:rPr>
      </w:pPr>
    </w:p>
    <w:p w:rsidR="00890D83" w:rsidRDefault="00890D83">
      <w:pPr>
        <w:contextualSpacing/>
        <w:jc w:val="center"/>
        <w:rPr>
          <w:rFonts w:eastAsiaTheme="minorEastAsia"/>
          <w:b/>
          <w:kern w:val="0"/>
          <w:szCs w:val="21"/>
        </w:rPr>
      </w:pPr>
    </w:p>
    <w:p w:rsidR="00890D83" w:rsidRDefault="00890D83">
      <w:pPr>
        <w:contextualSpacing/>
        <w:jc w:val="center"/>
        <w:rPr>
          <w:rFonts w:eastAsiaTheme="minorEastAsia"/>
          <w:b/>
          <w:kern w:val="0"/>
          <w:szCs w:val="21"/>
        </w:rPr>
      </w:pPr>
    </w:p>
    <w:p w:rsidR="002A5A5E" w:rsidRPr="00F9522B" w:rsidRDefault="00611CBA">
      <w:pPr>
        <w:contextualSpacing/>
        <w:jc w:val="center"/>
        <w:rPr>
          <w:rFonts w:eastAsiaTheme="minorEastAsia"/>
          <w:b/>
          <w:kern w:val="0"/>
          <w:szCs w:val="21"/>
        </w:rPr>
      </w:pPr>
      <w:r w:rsidRPr="00F9522B">
        <w:rPr>
          <w:rFonts w:eastAsiaTheme="minorEastAsia"/>
          <w:b/>
          <w:kern w:val="0"/>
          <w:szCs w:val="21"/>
        </w:rPr>
        <w:lastRenderedPageBreak/>
        <w:t>表</w:t>
      </w:r>
      <w:r w:rsidRPr="00F9522B">
        <w:rPr>
          <w:rFonts w:eastAsiaTheme="minorEastAsia"/>
          <w:b/>
          <w:kern w:val="0"/>
          <w:szCs w:val="21"/>
        </w:rPr>
        <w:t xml:space="preserve">4-2-9 </w:t>
      </w:r>
      <w:r w:rsidRPr="00F9522B">
        <w:rPr>
          <w:rFonts w:eastAsiaTheme="minorEastAsia"/>
          <w:b/>
          <w:kern w:val="0"/>
          <w:szCs w:val="21"/>
        </w:rPr>
        <w:t>监测分析方法一览表</w:t>
      </w:r>
    </w:p>
    <w:tbl>
      <w:tblPr>
        <w:tblW w:w="8472" w:type="dxa"/>
        <w:tblBorders>
          <w:top w:val="single" w:sz="12" w:space="0" w:color="000000"/>
          <w:bottom w:val="single" w:sz="12" w:space="0" w:color="000000"/>
          <w:insideH w:val="single" w:sz="4" w:space="0" w:color="000000"/>
          <w:insideV w:val="single" w:sz="4" w:space="0" w:color="000000"/>
        </w:tblBorders>
        <w:tblLayout w:type="fixed"/>
        <w:tblLook w:val="04A0"/>
      </w:tblPr>
      <w:tblGrid>
        <w:gridCol w:w="1141"/>
        <w:gridCol w:w="3220"/>
        <w:gridCol w:w="1701"/>
        <w:gridCol w:w="2410"/>
      </w:tblGrid>
      <w:tr w:rsidR="002A5A5E" w:rsidRPr="00F9522B">
        <w:trPr>
          <w:trHeight w:val="447"/>
        </w:trPr>
        <w:tc>
          <w:tcPr>
            <w:tcW w:w="1141" w:type="dxa"/>
            <w:vAlign w:val="center"/>
          </w:tcPr>
          <w:p w:rsidR="002A5A5E" w:rsidRPr="00F9522B" w:rsidRDefault="00611CBA">
            <w:pPr>
              <w:jc w:val="center"/>
              <w:rPr>
                <w:rFonts w:eastAsiaTheme="minorEastAsia"/>
                <w:b/>
                <w:szCs w:val="21"/>
              </w:rPr>
            </w:pPr>
            <w:r w:rsidRPr="00F9522B">
              <w:rPr>
                <w:rFonts w:eastAsiaTheme="minorEastAsia"/>
                <w:b/>
                <w:szCs w:val="21"/>
              </w:rPr>
              <w:t>分析项目</w:t>
            </w:r>
          </w:p>
        </w:tc>
        <w:tc>
          <w:tcPr>
            <w:tcW w:w="3220" w:type="dxa"/>
            <w:vAlign w:val="center"/>
          </w:tcPr>
          <w:p w:rsidR="002A5A5E" w:rsidRPr="00F9522B" w:rsidRDefault="00611CBA">
            <w:pPr>
              <w:jc w:val="center"/>
              <w:rPr>
                <w:rFonts w:eastAsiaTheme="minorEastAsia"/>
                <w:b/>
                <w:szCs w:val="21"/>
              </w:rPr>
            </w:pPr>
            <w:r w:rsidRPr="00F9522B">
              <w:rPr>
                <w:rFonts w:eastAsiaTheme="minorEastAsia"/>
                <w:b/>
                <w:szCs w:val="21"/>
              </w:rPr>
              <w:t>分析方法及标准号</w:t>
            </w:r>
          </w:p>
        </w:tc>
        <w:tc>
          <w:tcPr>
            <w:tcW w:w="1701" w:type="dxa"/>
            <w:vAlign w:val="center"/>
          </w:tcPr>
          <w:p w:rsidR="002A5A5E" w:rsidRPr="00F9522B" w:rsidRDefault="00611CBA">
            <w:pPr>
              <w:jc w:val="center"/>
              <w:rPr>
                <w:rFonts w:eastAsiaTheme="minorEastAsia"/>
                <w:b/>
                <w:szCs w:val="21"/>
              </w:rPr>
            </w:pPr>
            <w:r w:rsidRPr="00F9522B">
              <w:rPr>
                <w:rFonts w:eastAsiaTheme="minorEastAsia"/>
                <w:b/>
                <w:szCs w:val="21"/>
              </w:rPr>
              <w:t>仪器名称</w:t>
            </w:r>
          </w:p>
        </w:tc>
        <w:tc>
          <w:tcPr>
            <w:tcW w:w="2410" w:type="dxa"/>
            <w:vAlign w:val="center"/>
          </w:tcPr>
          <w:p w:rsidR="002A5A5E" w:rsidRPr="00F9522B" w:rsidRDefault="00611CBA">
            <w:pPr>
              <w:jc w:val="center"/>
              <w:rPr>
                <w:rFonts w:eastAsiaTheme="minorEastAsia"/>
                <w:b/>
                <w:szCs w:val="21"/>
              </w:rPr>
            </w:pPr>
            <w:r w:rsidRPr="00F9522B">
              <w:rPr>
                <w:rFonts w:eastAsiaTheme="minorEastAsia"/>
                <w:b/>
                <w:szCs w:val="21"/>
              </w:rPr>
              <w:t>仪器型号及编号</w:t>
            </w:r>
          </w:p>
        </w:tc>
      </w:tr>
      <w:tr w:rsidR="002A5A5E" w:rsidRPr="00F9522B">
        <w:trPr>
          <w:trHeight w:val="700"/>
        </w:trPr>
        <w:tc>
          <w:tcPr>
            <w:tcW w:w="1141" w:type="dxa"/>
            <w:vAlign w:val="center"/>
          </w:tcPr>
          <w:p w:rsidR="002A5A5E" w:rsidRPr="00F9522B" w:rsidRDefault="00611CBA">
            <w:pPr>
              <w:jc w:val="center"/>
              <w:rPr>
                <w:rFonts w:eastAsiaTheme="minorEastAsia"/>
                <w:kern w:val="0"/>
                <w:szCs w:val="21"/>
              </w:rPr>
            </w:pPr>
            <w:r w:rsidRPr="00F9522B">
              <w:rPr>
                <w:rFonts w:eastAsiaTheme="minorEastAsia"/>
                <w:kern w:val="0"/>
                <w:szCs w:val="21"/>
              </w:rPr>
              <w:t>PH</w:t>
            </w:r>
          </w:p>
        </w:tc>
        <w:tc>
          <w:tcPr>
            <w:tcW w:w="3220" w:type="dxa"/>
            <w:vAlign w:val="center"/>
          </w:tcPr>
          <w:p w:rsidR="002A5A5E" w:rsidRPr="00F9522B" w:rsidRDefault="00611CBA">
            <w:pPr>
              <w:jc w:val="center"/>
              <w:rPr>
                <w:rFonts w:eastAsiaTheme="minorEastAsia"/>
                <w:szCs w:val="21"/>
              </w:rPr>
            </w:pPr>
            <w:r w:rsidRPr="00F9522B">
              <w:rPr>
                <w:rFonts w:eastAsiaTheme="minorEastAsia"/>
                <w:szCs w:val="21"/>
              </w:rPr>
              <w:t>生活饮用水标准检验方法</w:t>
            </w:r>
            <w:r w:rsidRPr="00F9522B">
              <w:rPr>
                <w:rFonts w:eastAsiaTheme="minorEastAsia"/>
                <w:szCs w:val="21"/>
              </w:rPr>
              <w:t xml:space="preserve"> </w:t>
            </w:r>
            <w:r w:rsidRPr="00F9522B">
              <w:rPr>
                <w:rFonts w:eastAsiaTheme="minorEastAsia"/>
                <w:szCs w:val="21"/>
              </w:rPr>
              <w:t>感官性状和物理指标（</w:t>
            </w:r>
            <w:r w:rsidRPr="00F9522B">
              <w:rPr>
                <w:rFonts w:eastAsiaTheme="minorEastAsia"/>
                <w:szCs w:val="21"/>
              </w:rPr>
              <w:t xml:space="preserve">5.1 </w:t>
            </w:r>
            <w:r w:rsidRPr="00F9522B">
              <w:rPr>
                <w:rFonts w:eastAsiaTheme="minorEastAsia"/>
                <w:szCs w:val="21"/>
              </w:rPr>
              <w:t>玻璃电极法）</w:t>
            </w:r>
            <w:r w:rsidRPr="00F9522B">
              <w:rPr>
                <w:rFonts w:eastAsiaTheme="minorEastAsia"/>
                <w:szCs w:val="21"/>
              </w:rPr>
              <w:t>GB/T 5750.4-2006</w:t>
            </w:r>
          </w:p>
        </w:tc>
        <w:tc>
          <w:tcPr>
            <w:tcW w:w="1701" w:type="dxa"/>
            <w:vAlign w:val="center"/>
          </w:tcPr>
          <w:p w:rsidR="002A5A5E" w:rsidRPr="00F9522B" w:rsidRDefault="00611CBA">
            <w:pPr>
              <w:pStyle w:val="aff9"/>
              <w:overflowPunct w:val="0"/>
              <w:topLinePunct/>
              <w:snapToGrid w:val="0"/>
              <w:jc w:val="center"/>
              <w:rPr>
                <w:rFonts w:ascii="Times New Roman" w:eastAsiaTheme="minorEastAsia"/>
                <w:sz w:val="21"/>
                <w:szCs w:val="21"/>
              </w:rPr>
            </w:pPr>
            <w:r w:rsidRPr="00F9522B">
              <w:rPr>
                <w:rFonts w:ascii="Times New Roman" w:eastAsiaTheme="minorEastAsia"/>
                <w:sz w:val="21"/>
                <w:szCs w:val="21"/>
              </w:rPr>
              <w:t>pH</w:t>
            </w:r>
            <w:r w:rsidRPr="00F9522B">
              <w:rPr>
                <w:rFonts w:ascii="Times New Roman" w:eastAsiaTheme="minorEastAsia"/>
                <w:sz w:val="21"/>
                <w:szCs w:val="21"/>
              </w:rPr>
              <w:t>计</w:t>
            </w:r>
          </w:p>
        </w:tc>
        <w:tc>
          <w:tcPr>
            <w:tcW w:w="2410" w:type="dxa"/>
            <w:vAlign w:val="center"/>
          </w:tcPr>
          <w:p w:rsidR="002A5A5E" w:rsidRPr="00F9522B" w:rsidRDefault="00611CBA">
            <w:pPr>
              <w:pStyle w:val="aff9"/>
              <w:overflowPunct w:val="0"/>
              <w:topLinePunct/>
              <w:snapToGrid w:val="0"/>
              <w:jc w:val="center"/>
              <w:rPr>
                <w:rFonts w:ascii="Times New Roman" w:eastAsiaTheme="minorEastAsia"/>
                <w:sz w:val="21"/>
                <w:szCs w:val="21"/>
              </w:rPr>
            </w:pPr>
            <w:r w:rsidRPr="00F9522B">
              <w:rPr>
                <w:rFonts w:ascii="Times New Roman" w:eastAsiaTheme="minorEastAsia"/>
                <w:sz w:val="21"/>
                <w:szCs w:val="21"/>
              </w:rPr>
              <w:t>PHS-3C/XJYQ-041-2017</w:t>
            </w:r>
          </w:p>
        </w:tc>
      </w:tr>
      <w:tr w:rsidR="002A5A5E" w:rsidRPr="00F9522B">
        <w:trPr>
          <w:trHeight w:val="437"/>
        </w:trPr>
        <w:tc>
          <w:tcPr>
            <w:tcW w:w="1141" w:type="dxa"/>
            <w:vAlign w:val="center"/>
          </w:tcPr>
          <w:p w:rsidR="002A5A5E" w:rsidRPr="00F9522B" w:rsidRDefault="00611CBA">
            <w:pPr>
              <w:jc w:val="center"/>
              <w:rPr>
                <w:rFonts w:eastAsiaTheme="minorEastAsia"/>
                <w:szCs w:val="21"/>
              </w:rPr>
            </w:pPr>
            <w:r w:rsidRPr="00F9522B">
              <w:rPr>
                <w:rFonts w:eastAsiaTheme="minorEastAsia"/>
                <w:szCs w:val="21"/>
              </w:rPr>
              <w:t>总硬度</w:t>
            </w:r>
          </w:p>
        </w:tc>
        <w:tc>
          <w:tcPr>
            <w:tcW w:w="3220" w:type="dxa"/>
            <w:vAlign w:val="center"/>
          </w:tcPr>
          <w:p w:rsidR="002A5A5E" w:rsidRPr="00F9522B" w:rsidRDefault="00611CBA">
            <w:pPr>
              <w:jc w:val="center"/>
              <w:rPr>
                <w:rFonts w:eastAsiaTheme="minorEastAsia"/>
                <w:szCs w:val="21"/>
              </w:rPr>
            </w:pPr>
            <w:r w:rsidRPr="00F9522B">
              <w:rPr>
                <w:rFonts w:eastAsiaTheme="minorEastAsia"/>
                <w:szCs w:val="21"/>
              </w:rPr>
              <w:t>水质</w:t>
            </w:r>
            <w:r w:rsidRPr="00F9522B">
              <w:rPr>
                <w:rFonts w:eastAsiaTheme="minorEastAsia"/>
                <w:szCs w:val="21"/>
              </w:rPr>
              <w:t xml:space="preserve"> </w:t>
            </w:r>
            <w:r w:rsidRPr="00F9522B">
              <w:rPr>
                <w:rFonts w:eastAsiaTheme="minorEastAsia"/>
                <w:szCs w:val="21"/>
              </w:rPr>
              <w:t>钙和镁总量的测定</w:t>
            </w:r>
            <w:r w:rsidRPr="00F9522B">
              <w:rPr>
                <w:rFonts w:eastAsiaTheme="minorEastAsia"/>
                <w:szCs w:val="21"/>
              </w:rPr>
              <w:t xml:space="preserve"> EDTA</w:t>
            </w:r>
            <w:r w:rsidRPr="00F9522B">
              <w:rPr>
                <w:rFonts w:eastAsiaTheme="minorEastAsia"/>
                <w:szCs w:val="21"/>
              </w:rPr>
              <w:t>滴定法</w:t>
            </w:r>
            <w:r w:rsidRPr="00F9522B">
              <w:rPr>
                <w:rFonts w:eastAsiaTheme="minorEastAsia"/>
                <w:szCs w:val="21"/>
              </w:rPr>
              <w:t>GB7477-87</w:t>
            </w:r>
          </w:p>
        </w:tc>
        <w:tc>
          <w:tcPr>
            <w:tcW w:w="1701" w:type="dxa"/>
            <w:vAlign w:val="center"/>
          </w:tcPr>
          <w:p w:rsidR="002A5A5E" w:rsidRPr="00F9522B" w:rsidRDefault="00611CBA">
            <w:pPr>
              <w:jc w:val="center"/>
              <w:rPr>
                <w:rFonts w:eastAsiaTheme="minorEastAsia"/>
                <w:szCs w:val="21"/>
              </w:rPr>
            </w:pPr>
            <w:r w:rsidRPr="00F9522B">
              <w:rPr>
                <w:rFonts w:eastAsiaTheme="minorEastAsia"/>
                <w:szCs w:val="21"/>
              </w:rPr>
              <w:t>滴定管</w:t>
            </w:r>
          </w:p>
        </w:tc>
        <w:tc>
          <w:tcPr>
            <w:tcW w:w="2410" w:type="dxa"/>
            <w:vAlign w:val="center"/>
          </w:tcPr>
          <w:p w:rsidR="002A5A5E" w:rsidRPr="00F9522B" w:rsidRDefault="00611CBA">
            <w:pPr>
              <w:jc w:val="center"/>
              <w:rPr>
                <w:rFonts w:eastAsiaTheme="minorEastAsia"/>
                <w:szCs w:val="21"/>
              </w:rPr>
            </w:pPr>
            <w:r w:rsidRPr="00F9522B">
              <w:rPr>
                <w:rFonts w:eastAsiaTheme="minorEastAsia"/>
                <w:szCs w:val="21"/>
              </w:rPr>
              <w:t>25ml /--</w:t>
            </w:r>
          </w:p>
        </w:tc>
      </w:tr>
      <w:tr w:rsidR="002A5A5E" w:rsidRPr="00F9522B">
        <w:trPr>
          <w:trHeight w:val="437"/>
        </w:trPr>
        <w:tc>
          <w:tcPr>
            <w:tcW w:w="1141" w:type="dxa"/>
            <w:vAlign w:val="center"/>
          </w:tcPr>
          <w:p w:rsidR="002A5A5E" w:rsidRPr="00F9522B" w:rsidRDefault="00611CBA">
            <w:pPr>
              <w:jc w:val="center"/>
              <w:rPr>
                <w:rFonts w:eastAsiaTheme="minorEastAsia"/>
                <w:szCs w:val="21"/>
              </w:rPr>
            </w:pPr>
            <w:r w:rsidRPr="00F9522B">
              <w:rPr>
                <w:rFonts w:eastAsiaTheme="minorEastAsia"/>
                <w:szCs w:val="21"/>
              </w:rPr>
              <w:t>溶解性</w:t>
            </w:r>
          </w:p>
          <w:p w:rsidR="002A5A5E" w:rsidRPr="00F9522B" w:rsidRDefault="00611CBA">
            <w:pPr>
              <w:jc w:val="center"/>
              <w:rPr>
                <w:rFonts w:eastAsiaTheme="minorEastAsia"/>
                <w:szCs w:val="21"/>
              </w:rPr>
            </w:pPr>
            <w:r w:rsidRPr="00F9522B">
              <w:rPr>
                <w:rFonts w:eastAsiaTheme="minorEastAsia"/>
                <w:szCs w:val="21"/>
              </w:rPr>
              <w:t>总固体</w:t>
            </w:r>
          </w:p>
        </w:tc>
        <w:tc>
          <w:tcPr>
            <w:tcW w:w="3220" w:type="dxa"/>
            <w:vAlign w:val="center"/>
          </w:tcPr>
          <w:p w:rsidR="002A5A5E" w:rsidRPr="00F9522B" w:rsidRDefault="00611CBA">
            <w:pPr>
              <w:jc w:val="center"/>
              <w:rPr>
                <w:rFonts w:eastAsiaTheme="minorEastAsia"/>
                <w:szCs w:val="21"/>
              </w:rPr>
            </w:pPr>
            <w:r w:rsidRPr="00F9522B">
              <w:rPr>
                <w:rFonts w:eastAsiaTheme="minorEastAsia"/>
                <w:szCs w:val="21"/>
              </w:rPr>
              <w:t>生活饮用水标准检验方法</w:t>
            </w:r>
            <w:r w:rsidRPr="00F9522B">
              <w:rPr>
                <w:rFonts w:eastAsiaTheme="minorEastAsia"/>
                <w:szCs w:val="21"/>
              </w:rPr>
              <w:t xml:space="preserve"> </w:t>
            </w:r>
            <w:r w:rsidRPr="00F9522B">
              <w:rPr>
                <w:rFonts w:eastAsiaTheme="minorEastAsia"/>
                <w:szCs w:val="21"/>
              </w:rPr>
              <w:t>感官性状和物理指标（</w:t>
            </w:r>
            <w:r w:rsidRPr="00F9522B">
              <w:rPr>
                <w:rFonts w:eastAsiaTheme="minorEastAsia"/>
                <w:szCs w:val="21"/>
              </w:rPr>
              <w:t>8.1</w:t>
            </w:r>
            <w:r w:rsidRPr="00F9522B">
              <w:rPr>
                <w:rFonts w:eastAsiaTheme="minorEastAsia"/>
                <w:szCs w:val="21"/>
              </w:rPr>
              <w:t>称量法）</w:t>
            </w:r>
            <w:r w:rsidRPr="00F9522B">
              <w:rPr>
                <w:rFonts w:eastAsiaTheme="minorEastAsia"/>
                <w:szCs w:val="21"/>
              </w:rPr>
              <w:t>GB/T5750.4-2006</w:t>
            </w:r>
          </w:p>
        </w:tc>
        <w:tc>
          <w:tcPr>
            <w:tcW w:w="1701" w:type="dxa"/>
            <w:vAlign w:val="center"/>
          </w:tcPr>
          <w:p w:rsidR="002A5A5E" w:rsidRPr="00F9522B" w:rsidRDefault="00611CBA">
            <w:pPr>
              <w:jc w:val="center"/>
              <w:rPr>
                <w:rFonts w:eastAsiaTheme="minorEastAsia"/>
                <w:szCs w:val="21"/>
              </w:rPr>
            </w:pPr>
            <w:r w:rsidRPr="00F9522B">
              <w:rPr>
                <w:rFonts w:eastAsiaTheme="minorEastAsia"/>
                <w:szCs w:val="21"/>
              </w:rPr>
              <w:t>分析天平</w:t>
            </w:r>
          </w:p>
          <w:p w:rsidR="002A5A5E" w:rsidRPr="00F9522B" w:rsidRDefault="00611CBA">
            <w:pPr>
              <w:jc w:val="center"/>
              <w:rPr>
                <w:rFonts w:eastAsiaTheme="minorEastAsia"/>
                <w:szCs w:val="21"/>
              </w:rPr>
            </w:pPr>
            <w:r w:rsidRPr="00F9522B">
              <w:rPr>
                <w:rFonts w:eastAsiaTheme="minorEastAsia"/>
                <w:szCs w:val="21"/>
              </w:rPr>
              <w:t>电热鼓风干燥箱</w:t>
            </w:r>
          </w:p>
        </w:tc>
        <w:tc>
          <w:tcPr>
            <w:tcW w:w="2410" w:type="dxa"/>
            <w:vAlign w:val="center"/>
          </w:tcPr>
          <w:p w:rsidR="002A5A5E" w:rsidRPr="00F9522B" w:rsidRDefault="00611CBA">
            <w:pPr>
              <w:jc w:val="center"/>
              <w:rPr>
                <w:rFonts w:eastAsiaTheme="minorEastAsia"/>
                <w:szCs w:val="21"/>
              </w:rPr>
            </w:pPr>
            <w:r w:rsidRPr="00F9522B">
              <w:rPr>
                <w:rFonts w:eastAsiaTheme="minorEastAsia"/>
                <w:szCs w:val="21"/>
              </w:rPr>
              <w:t>AUW120D/XJYQ-046-2017</w:t>
            </w:r>
          </w:p>
          <w:p w:rsidR="002A5A5E" w:rsidRPr="00F9522B" w:rsidRDefault="00611CBA">
            <w:pPr>
              <w:jc w:val="center"/>
              <w:rPr>
                <w:rFonts w:eastAsiaTheme="minorEastAsia"/>
                <w:szCs w:val="21"/>
              </w:rPr>
            </w:pPr>
            <w:r w:rsidRPr="00F9522B">
              <w:rPr>
                <w:rFonts w:eastAsiaTheme="minorEastAsia"/>
                <w:szCs w:val="21"/>
              </w:rPr>
              <w:t>BGZ-70/XJYQ-055-2017</w:t>
            </w:r>
          </w:p>
        </w:tc>
      </w:tr>
      <w:tr w:rsidR="002A5A5E" w:rsidRPr="00F9522B">
        <w:trPr>
          <w:trHeight w:val="816"/>
        </w:trPr>
        <w:tc>
          <w:tcPr>
            <w:tcW w:w="1141" w:type="dxa"/>
            <w:vAlign w:val="center"/>
          </w:tcPr>
          <w:p w:rsidR="002A5A5E" w:rsidRPr="00F9522B" w:rsidRDefault="00611CBA">
            <w:pPr>
              <w:jc w:val="center"/>
              <w:rPr>
                <w:rFonts w:eastAsiaTheme="minorEastAsia"/>
                <w:szCs w:val="21"/>
              </w:rPr>
            </w:pPr>
            <w:r w:rsidRPr="00F9522B">
              <w:rPr>
                <w:rFonts w:eastAsiaTheme="minorEastAsia"/>
                <w:szCs w:val="21"/>
              </w:rPr>
              <w:t>硫酸盐</w:t>
            </w:r>
          </w:p>
        </w:tc>
        <w:tc>
          <w:tcPr>
            <w:tcW w:w="3220" w:type="dxa"/>
            <w:vAlign w:val="center"/>
          </w:tcPr>
          <w:p w:rsidR="002A5A5E" w:rsidRPr="00F9522B" w:rsidRDefault="00611CBA">
            <w:pPr>
              <w:jc w:val="center"/>
              <w:rPr>
                <w:rFonts w:eastAsiaTheme="minorEastAsia"/>
                <w:szCs w:val="21"/>
              </w:rPr>
            </w:pPr>
            <w:r w:rsidRPr="00F9522B">
              <w:rPr>
                <w:rFonts w:eastAsiaTheme="minorEastAsia"/>
                <w:szCs w:val="21"/>
              </w:rPr>
              <w:t>生活饮用水标准检验方法无机非金属指标</w:t>
            </w:r>
            <w:r w:rsidRPr="00F9522B">
              <w:rPr>
                <w:rFonts w:eastAsiaTheme="minorEastAsia"/>
                <w:szCs w:val="21"/>
              </w:rPr>
              <w:t xml:space="preserve">1.3 </w:t>
            </w:r>
            <w:r w:rsidRPr="00F9522B">
              <w:rPr>
                <w:rFonts w:eastAsiaTheme="minorEastAsia"/>
                <w:szCs w:val="21"/>
              </w:rPr>
              <w:t>铬酸钡分光光度法（热法）</w:t>
            </w:r>
            <w:r w:rsidRPr="00F9522B">
              <w:rPr>
                <w:rFonts w:eastAsiaTheme="minorEastAsia"/>
                <w:szCs w:val="21"/>
              </w:rPr>
              <w:t xml:space="preserve"> GB/T5750.5-2006</w:t>
            </w:r>
          </w:p>
        </w:tc>
        <w:tc>
          <w:tcPr>
            <w:tcW w:w="1701" w:type="dxa"/>
            <w:vAlign w:val="center"/>
          </w:tcPr>
          <w:p w:rsidR="002A5A5E" w:rsidRPr="00F9522B" w:rsidRDefault="00611CBA">
            <w:pPr>
              <w:jc w:val="center"/>
              <w:rPr>
                <w:rFonts w:eastAsiaTheme="minorEastAsia"/>
                <w:szCs w:val="21"/>
              </w:rPr>
            </w:pPr>
            <w:r w:rsidRPr="00F9522B">
              <w:rPr>
                <w:rFonts w:eastAsiaTheme="minorEastAsia"/>
                <w:szCs w:val="21"/>
              </w:rPr>
              <w:t>紫外</w:t>
            </w:r>
            <w:r w:rsidRPr="00F9522B">
              <w:rPr>
                <w:rFonts w:eastAsiaTheme="minorEastAsia"/>
                <w:szCs w:val="21"/>
              </w:rPr>
              <w:t>/</w:t>
            </w:r>
            <w:r w:rsidRPr="00F9522B">
              <w:rPr>
                <w:rFonts w:eastAsiaTheme="minorEastAsia"/>
                <w:szCs w:val="21"/>
              </w:rPr>
              <w:t>可见分光光度计</w:t>
            </w:r>
          </w:p>
        </w:tc>
        <w:tc>
          <w:tcPr>
            <w:tcW w:w="2410" w:type="dxa"/>
            <w:vAlign w:val="center"/>
          </w:tcPr>
          <w:p w:rsidR="002A5A5E" w:rsidRPr="00F9522B" w:rsidRDefault="00611CBA">
            <w:pPr>
              <w:jc w:val="center"/>
              <w:rPr>
                <w:rFonts w:eastAsiaTheme="minorEastAsia"/>
                <w:szCs w:val="21"/>
              </w:rPr>
            </w:pPr>
            <w:r w:rsidRPr="00F9522B">
              <w:rPr>
                <w:rFonts w:eastAsiaTheme="minorEastAsia"/>
                <w:szCs w:val="21"/>
              </w:rPr>
              <w:t>T6</w:t>
            </w:r>
            <w:r w:rsidRPr="00F9522B">
              <w:rPr>
                <w:rFonts w:eastAsiaTheme="minorEastAsia"/>
                <w:szCs w:val="21"/>
              </w:rPr>
              <w:t>新世纪</w:t>
            </w:r>
            <w:r w:rsidRPr="00F9522B">
              <w:rPr>
                <w:rFonts w:eastAsiaTheme="minorEastAsia"/>
                <w:szCs w:val="21"/>
              </w:rPr>
              <w:t>/XJYQ-090-2017</w:t>
            </w:r>
          </w:p>
        </w:tc>
      </w:tr>
      <w:tr w:rsidR="002A5A5E" w:rsidRPr="00F9522B">
        <w:trPr>
          <w:trHeight w:val="907"/>
        </w:trPr>
        <w:tc>
          <w:tcPr>
            <w:tcW w:w="1141" w:type="dxa"/>
            <w:vAlign w:val="center"/>
          </w:tcPr>
          <w:p w:rsidR="002A5A5E" w:rsidRPr="00F9522B" w:rsidRDefault="00611CBA">
            <w:pPr>
              <w:jc w:val="center"/>
              <w:rPr>
                <w:rFonts w:eastAsiaTheme="minorEastAsia"/>
                <w:szCs w:val="21"/>
              </w:rPr>
            </w:pPr>
            <w:r w:rsidRPr="00F9522B">
              <w:rPr>
                <w:rFonts w:eastAsiaTheme="minorEastAsia"/>
                <w:szCs w:val="21"/>
              </w:rPr>
              <w:t>氯化物</w:t>
            </w:r>
          </w:p>
        </w:tc>
        <w:tc>
          <w:tcPr>
            <w:tcW w:w="3220" w:type="dxa"/>
            <w:vAlign w:val="center"/>
          </w:tcPr>
          <w:p w:rsidR="002A5A5E" w:rsidRPr="00F9522B" w:rsidRDefault="00611CBA">
            <w:pPr>
              <w:jc w:val="center"/>
              <w:rPr>
                <w:rFonts w:eastAsiaTheme="minorEastAsia"/>
                <w:szCs w:val="21"/>
              </w:rPr>
            </w:pPr>
            <w:r w:rsidRPr="00F9522B">
              <w:rPr>
                <w:rFonts w:eastAsiaTheme="minorEastAsia"/>
                <w:szCs w:val="21"/>
              </w:rPr>
              <w:t>生活饮用水标准检验方法</w:t>
            </w:r>
            <w:r w:rsidRPr="00F9522B">
              <w:rPr>
                <w:rFonts w:eastAsiaTheme="minorEastAsia"/>
                <w:szCs w:val="21"/>
              </w:rPr>
              <w:t xml:space="preserve"> </w:t>
            </w:r>
            <w:r w:rsidRPr="00F9522B">
              <w:rPr>
                <w:rFonts w:eastAsiaTheme="minorEastAsia"/>
                <w:szCs w:val="21"/>
              </w:rPr>
              <w:t>无机非金属指标（</w:t>
            </w:r>
            <w:r w:rsidRPr="00F9522B">
              <w:rPr>
                <w:rFonts w:eastAsiaTheme="minorEastAsia"/>
                <w:szCs w:val="21"/>
              </w:rPr>
              <w:t>2.1</w:t>
            </w:r>
            <w:r w:rsidRPr="00F9522B">
              <w:rPr>
                <w:rFonts w:eastAsiaTheme="minorEastAsia"/>
                <w:szCs w:val="21"/>
              </w:rPr>
              <w:t>硝酸银容量法）</w:t>
            </w:r>
            <w:r w:rsidRPr="00F9522B">
              <w:rPr>
                <w:rFonts w:eastAsiaTheme="minorEastAsia"/>
                <w:szCs w:val="21"/>
              </w:rPr>
              <w:t>GB/T5750.5-2006</w:t>
            </w:r>
          </w:p>
        </w:tc>
        <w:tc>
          <w:tcPr>
            <w:tcW w:w="1701" w:type="dxa"/>
            <w:vAlign w:val="center"/>
          </w:tcPr>
          <w:p w:rsidR="002A5A5E" w:rsidRPr="00F9522B" w:rsidRDefault="00611CBA">
            <w:pPr>
              <w:jc w:val="center"/>
              <w:rPr>
                <w:rFonts w:eastAsiaTheme="minorEastAsia"/>
                <w:szCs w:val="21"/>
              </w:rPr>
            </w:pPr>
            <w:r w:rsidRPr="00F9522B">
              <w:rPr>
                <w:rFonts w:eastAsiaTheme="minorEastAsia"/>
                <w:szCs w:val="21"/>
              </w:rPr>
              <w:t>滴定管</w:t>
            </w:r>
          </w:p>
        </w:tc>
        <w:tc>
          <w:tcPr>
            <w:tcW w:w="2410" w:type="dxa"/>
            <w:vAlign w:val="center"/>
          </w:tcPr>
          <w:p w:rsidR="002A5A5E" w:rsidRPr="00F9522B" w:rsidRDefault="00611CBA">
            <w:pPr>
              <w:jc w:val="center"/>
              <w:rPr>
                <w:rFonts w:eastAsiaTheme="minorEastAsia"/>
                <w:szCs w:val="21"/>
              </w:rPr>
            </w:pPr>
            <w:r w:rsidRPr="00F9522B">
              <w:rPr>
                <w:rFonts w:eastAsiaTheme="minorEastAsia"/>
                <w:szCs w:val="21"/>
              </w:rPr>
              <w:t>25ml/--</w:t>
            </w:r>
          </w:p>
        </w:tc>
      </w:tr>
      <w:tr w:rsidR="002A5A5E" w:rsidRPr="00F9522B">
        <w:trPr>
          <w:trHeight w:val="56"/>
        </w:trPr>
        <w:tc>
          <w:tcPr>
            <w:tcW w:w="1141" w:type="dxa"/>
            <w:vAlign w:val="center"/>
          </w:tcPr>
          <w:p w:rsidR="002A5A5E" w:rsidRPr="00F9522B" w:rsidRDefault="00611CBA">
            <w:pPr>
              <w:jc w:val="center"/>
              <w:rPr>
                <w:rFonts w:eastAsiaTheme="minorEastAsia"/>
                <w:szCs w:val="21"/>
              </w:rPr>
            </w:pPr>
            <w:r w:rsidRPr="00F9522B">
              <w:rPr>
                <w:rFonts w:eastAsiaTheme="minorEastAsia"/>
                <w:szCs w:val="21"/>
              </w:rPr>
              <w:t>挥发酚</w:t>
            </w:r>
          </w:p>
        </w:tc>
        <w:tc>
          <w:tcPr>
            <w:tcW w:w="3220" w:type="dxa"/>
            <w:vAlign w:val="center"/>
          </w:tcPr>
          <w:p w:rsidR="002A5A5E" w:rsidRPr="00F9522B" w:rsidRDefault="00611CBA">
            <w:pPr>
              <w:jc w:val="center"/>
              <w:rPr>
                <w:rFonts w:eastAsiaTheme="minorEastAsia"/>
                <w:szCs w:val="21"/>
              </w:rPr>
            </w:pPr>
            <w:r w:rsidRPr="00F9522B">
              <w:rPr>
                <w:rFonts w:eastAsiaTheme="minorEastAsia"/>
                <w:szCs w:val="21"/>
              </w:rPr>
              <w:t>水质</w:t>
            </w:r>
            <w:r w:rsidRPr="00F9522B">
              <w:rPr>
                <w:rFonts w:eastAsiaTheme="minorEastAsia"/>
                <w:szCs w:val="21"/>
              </w:rPr>
              <w:t xml:space="preserve"> </w:t>
            </w:r>
            <w:r w:rsidRPr="00F9522B">
              <w:rPr>
                <w:rFonts w:eastAsiaTheme="minorEastAsia"/>
                <w:szCs w:val="21"/>
              </w:rPr>
              <w:t>挥发酚的测定</w:t>
            </w:r>
            <w:r w:rsidRPr="00F9522B">
              <w:rPr>
                <w:rFonts w:eastAsiaTheme="minorEastAsia"/>
                <w:szCs w:val="21"/>
              </w:rPr>
              <w:t xml:space="preserve"> 4-</w:t>
            </w:r>
            <w:r w:rsidRPr="00F9522B">
              <w:rPr>
                <w:rFonts w:eastAsiaTheme="minorEastAsia"/>
                <w:szCs w:val="21"/>
              </w:rPr>
              <w:t>氨基安替比林分光光度法</w:t>
            </w:r>
            <w:r w:rsidRPr="00F9522B">
              <w:rPr>
                <w:rFonts w:eastAsiaTheme="minorEastAsia"/>
                <w:szCs w:val="21"/>
              </w:rPr>
              <w:t>HJ503-2009</w:t>
            </w:r>
          </w:p>
        </w:tc>
        <w:tc>
          <w:tcPr>
            <w:tcW w:w="1701" w:type="dxa"/>
            <w:vAlign w:val="center"/>
          </w:tcPr>
          <w:p w:rsidR="002A5A5E" w:rsidRPr="00F9522B" w:rsidRDefault="00611CBA">
            <w:pPr>
              <w:jc w:val="center"/>
              <w:rPr>
                <w:rFonts w:eastAsiaTheme="minorEastAsia"/>
                <w:szCs w:val="21"/>
              </w:rPr>
            </w:pPr>
            <w:r w:rsidRPr="00F9522B">
              <w:rPr>
                <w:rFonts w:eastAsiaTheme="minorEastAsia"/>
                <w:szCs w:val="21"/>
              </w:rPr>
              <w:t>紫外</w:t>
            </w:r>
            <w:r w:rsidRPr="00F9522B">
              <w:rPr>
                <w:rFonts w:eastAsiaTheme="minorEastAsia"/>
                <w:szCs w:val="21"/>
              </w:rPr>
              <w:t>/</w:t>
            </w:r>
            <w:r w:rsidRPr="00F9522B">
              <w:rPr>
                <w:rFonts w:eastAsiaTheme="minorEastAsia"/>
                <w:szCs w:val="21"/>
              </w:rPr>
              <w:t>可见分光光度计</w:t>
            </w:r>
          </w:p>
        </w:tc>
        <w:tc>
          <w:tcPr>
            <w:tcW w:w="2410" w:type="dxa"/>
            <w:vAlign w:val="center"/>
          </w:tcPr>
          <w:p w:rsidR="002A5A5E" w:rsidRPr="00F9522B" w:rsidRDefault="00611CBA">
            <w:pPr>
              <w:jc w:val="center"/>
              <w:rPr>
                <w:rFonts w:eastAsiaTheme="minorEastAsia"/>
                <w:szCs w:val="21"/>
              </w:rPr>
            </w:pPr>
            <w:r w:rsidRPr="00F9522B">
              <w:rPr>
                <w:rFonts w:eastAsiaTheme="minorEastAsia"/>
                <w:szCs w:val="21"/>
              </w:rPr>
              <w:t>T6</w:t>
            </w:r>
            <w:r w:rsidRPr="00F9522B">
              <w:rPr>
                <w:rFonts w:eastAsiaTheme="minorEastAsia"/>
                <w:szCs w:val="21"/>
              </w:rPr>
              <w:t>新世纪</w:t>
            </w:r>
            <w:r w:rsidRPr="00F9522B">
              <w:rPr>
                <w:rFonts w:eastAsiaTheme="minorEastAsia"/>
                <w:szCs w:val="21"/>
              </w:rPr>
              <w:t>/XJYQ-090-2017</w:t>
            </w:r>
          </w:p>
        </w:tc>
      </w:tr>
      <w:tr w:rsidR="002A5A5E" w:rsidRPr="00F9522B">
        <w:trPr>
          <w:trHeight w:val="907"/>
        </w:trPr>
        <w:tc>
          <w:tcPr>
            <w:tcW w:w="1141" w:type="dxa"/>
            <w:vAlign w:val="center"/>
          </w:tcPr>
          <w:p w:rsidR="002A5A5E" w:rsidRPr="00F9522B" w:rsidRDefault="00611CBA">
            <w:pPr>
              <w:jc w:val="center"/>
              <w:rPr>
                <w:rFonts w:eastAsiaTheme="minorEastAsia"/>
                <w:szCs w:val="21"/>
              </w:rPr>
            </w:pPr>
            <w:r w:rsidRPr="00F9522B">
              <w:rPr>
                <w:rFonts w:eastAsiaTheme="minorEastAsia"/>
                <w:szCs w:val="21"/>
              </w:rPr>
              <w:t>耗氧量</w:t>
            </w:r>
          </w:p>
        </w:tc>
        <w:tc>
          <w:tcPr>
            <w:tcW w:w="3220" w:type="dxa"/>
            <w:vAlign w:val="center"/>
          </w:tcPr>
          <w:p w:rsidR="002A5A5E" w:rsidRPr="00F9522B" w:rsidRDefault="00611CBA">
            <w:pPr>
              <w:jc w:val="center"/>
              <w:rPr>
                <w:rFonts w:eastAsiaTheme="minorEastAsia"/>
                <w:szCs w:val="21"/>
              </w:rPr>
            </w:pPr>
            <w:r w:rsidRPr="00F9522B">
              <w:rPr>
                <w:rFonts w:eastAsiaTheme="minorEastAsia"/>
                <w:szCs w:val="21"/>
              </w:rPr>
              <w:t>生活饮用水检验检测方法</w:t>
            </w:r>
            <w:r w:rsidRPr="00F9522B">
              <w:rPr>
                <w:rFonts w:eastAsiaTheme="minorEastAsia"/>
                <w:szCs w:val="21"/>
              </w:rPr>
              <w:t xml:space="preserve"> </w:t>
            </w:r>
            <w:r w:rsidRPr="00F9522B">
              <w:rPr>
                <w:rFonts w:eastAsiaTheme="minorEastAsia"/>
                <w:szCs w:val="21"/>
              </w:rPr>
              <w:t>有机物综合指标（</w:t>
            </w:r>
            <w:r w:rsidRPr="00F9522B">
              <w:rPr>
                <w:rFonts w:eastAsiaTheme="minorEastAsia"/>
                <w:szCs w:val="21"/>
              </w:rPr>
              <w:t>1.1</w:t>
            </w:r>
            <w:r w:rsidRPr="00F9522B">
              <w:rPr>
                <w:rFonts w:eastAsiaTheme="minorEastAsia"/>
                <w:szCs w:val="21"/>
              </w:rPr>
              <w:t>酸性高锰酸钾滴定法）</w:t>
            </w:r>
            <w:r w:rsidRPr="00F9522B">
              <w:rPr>
                <w:rFonts w:eastAsiaTheme="minorEastAsia"/>
                <w:szCs w:val="21"/>
              </w:rPr>
              <w:t>GB/T5750.7-2006</w:t>
            </w:r>
          </w:p>
        </w:tc>
        <w:tc>
          <w:tcPr>
            <w:tcW w:w="1701" w:type="dxa"/>
            <w:vAlign w:val="center"/>
          </w:tcPr>
          <w:p w:rsidR="002A5A5E" w:rsidRPr="00F9522B" w:rsidRDefault="00611CBA">
            <w:pPr>
              <w:jc w:val="center"/>
              <w:rPr>
                <w:rFonts w:eastAsiaTheme="minorEastAsia"/>
                <w:szCs w:val="21"/>
              </w:rPr>
            </w:pPr>
            <w:r w:rsidRPr="00F9522B">
              <w:rPr>
                <w:rFonts w:eastAsiaTheme="minorEastAsia"/>
                <w:szCs w:val="21"/>
              </w:rPr>
              <w:t>滴定管</w:t>
            </w:r>
          </w:p>
        </w:tc>
        <w:tc>
          <w:tcPr>
            <w:tcW w:w="2410" w:type="dxa"/>
            <w:vAlign w:val="center"/>
          </w:tcPr>
          <w:p w:rsidR="002A5A5E" w:rsidRPr="00F9522B" w:rsidRDefault="00611CBA">
            <w:pPr>
              <w:jc w:val="center"/>
              <w:rPr>
                <w:rFonts w:eastAsiaTheme="minorEastAsia"/>
                <w:szCs w:val="21"/>
              </w:rPr>
            </w:pPr>
            <w:r w:rsidRPr="00F9522B">
              <w:rPr>
                <w:rFonts w:eastAsiaTheme="minorEastAsia"/>
                <w:szCs w:val="21"/>
              </w:rPr>
              <w:t>25ml/--</w:t>
            </w:r>
          </w:p>
        </w:tc>
      </w:tr>
      <w:tr w:rsidR="002A5A5E" w:rsidRPr="00F9522B">
        <w:trPr>
          <w:trHeight w:val="907"/>
        </w:trPr>
        <w:tc>
          <w:tcPr>
            <w:tcW w:w="1141" w:type="dxa"/>
            <w:vAlign w:val="center"/>
          </w:tcPr>
          <w:p w:rsidR="002A5A5E" w:rsidRPr="00F9522B" w:rsidRDefault="00611CBA">
            <w:pPr>
              <w:jc w:val="center"/>
              <w:rPr>
                <w:rFonts w:eastAsiaTheme="minorEastAsia"/>
                <w:szCs w:val="21"/>
              </w:rPr>
            </w:pPr>
            <w:r w:rsidRPr="00F9522B">
              <w:rPr>
                <w:rFonts w:eastAsiaTheme="minorEastAsia"/>
                <w:szCs w:val="21"/>
              </w:rPr>
              <w:t>硝酸盐</w:t>
            </w:r>
          </w:p>
        </w:tc>
        <w:tc>
          <w:tcPr>
            <w:tcW w:w="3220" w:type="dxa"/>
            <w:vAlign w:val="center"/>
          </w:tcPr>
          <w:p w:rsidR="002A5A5E" w:rsidRPr="00F9522B" w:rsidRDefault="00611CBA">
            <w:pPr>
              <w:jc w:val="center"/>
              <w:rPr>
                <w:rFonts w:eastAsiaTheme="minorEastAsia"/>
                <w:szCs w:val="21"/>
              </w:rPr>
            </w:pPr>
            <w:r w:rsidRPr="00F9522B">
              <w:rPr>
                <w:rFonts w:eastAsiaTheme="minorEastAsia"/>
                <w:szCs w:val="21"/>
              </w:rPr>
              <w:t>生活饮用水标准检验方法</w:t>
            </w:r>
            <w:r w:rsidRPr="00F9522B">
              <w:rPr>
                <w:rFonts w:eastAsiaTheme="minorEastAsia"/>
                <w:szCs w:val="21"/>
              </w:rPr>
              <w:t xml:space="preserve"> </w:t>
            </w:r>
            <w:r w:rsidRPr="00F9522B">
              <w:rPr>
                <w:rFonts w:eastAsiaTheme="minorEastAsia"/>
                <w:szCs w:val="21"/>
              </w:rPr>
              <w:t>无机非金属指标（</w:t>
            </w:r>
            <w:r w:rsidRPr="00F9522B">
              <w:rPr>
                <w:rFonts w:eastAsiaTheme="minorEastAsia"/>
                <w:szCs w:val="21"/>
              </w:rPr>
              <w:t>5.1</w:t>
            </w:r>
            <w:r w:rsidRPr="00F9522B">
              <w:rPr>
                <w:rFonts w:eastAsiaTheme="minorEastAsia"/>
                <w:szCs w:val="21"/>
              </w:rPr>
              <w:t>麝香草酚分光光度法）</w:t>
            </w:r>
            <w:r w:rsidRPr="00F9522B">
              <w:rPr>
                <w:rFonts w:eastAsiaTheme="minorEastAsia"/>
                <w:szCs w:val="21"/>
              </w:rPr>
              <w:t>GB/T5750.5-2006</w:t>
            </w:r>
          </w:p>
        </w:tc>
        <w:tc>
          <w:tcPr>
            <w:tcW w:w="1701" w:type="dxa"/>
            <w:vAlign w:val="center"/>
          </w:tcPr>
          <w:p w:rsidR="002A5A5E" w:rsidRPr="00F9522B" w:rsidRDefault="00611CBA">
            <w:pPr>
              <w:jc w:val="center"/>
              <w:rPr>
                <w:rFonts w:eastAsiaTheme="minorEastAsia"/>
                <w:szCs w:val="21"/>
              </w:rPr>
            </w:pPr>
            <w:r w:rsidRPr="00F9522B">
              <w:rPr>
                <w:rFonts w:eastAsiaTheme="minorEastAsia"/>
                <w:szCs w:val="21"/>
              </w:rPr>
              <w:t>紫外</w:t>
            </w:r>
            <w:r w:rsidRPr="00F9522B">
              <w:rPr>
                <w:rFonts w:eastAsiaTheme="minorEastAsia"/>
                <w:szCs w:val="21"/>
              </w:rPr>
              <w:t>/</w:t>
            </w:r>
            <w:r w:rsidRPr="00F9522B">
              <w:rPr>
                <w:rFonts w:eastAsiaTheme="minorEastAsia"/>
                <w:szCs w:val="21"/>
              </w:rPr>
              <w:t>可见分光光度计</w:t>
            </w:r>
          </w:p>
        </w:tc>
        <w:tc>
          <w:tcPr>
            <w:tcW w:w="2410" w:type="dxa"/>
            <w:vAlign w:val="center"/>
          </w:tcPr>
          <w:p w:rsidR="002A5A5E" w:rsidRPr="00F9522B" w:rsidRDefault="00611CBA">
            <w:pPr>
              <w:jc w:val="center"/>
              <w:rPr>
                <w:rFonts w:eastAsiaTheme="minorEastAsia"/>
                <w:szCs w:val="21"/>
              </w:rPr>
            </w:pPr>
            <w:r w:rsidRPr="00F9522B">
              <w:rPr>
                <w:rFonts w:eastAsiaTheme="minorEastAsia"/>
                <w:szCs w:val="21"/>
              </w:rPr>
              <w:t>T6</w:t>
            </w:r>
            <w:r w:rsidRPr="00F9522B">
              <w:rPr>
                <w:rFonts w:eastAsiaTheme="minorEastAsia"/>
                <w:szCs w:val="21"/>
              </w:rPr>
              <w:t>新世纪</w:t>
            </w:r>
            <w:r w:rsidRPr="00F9522B">
              <w:rPr>
                <w:rFonts w:eastAsiaTheme="minorEastAsia"/>
                <w:szCs w:val="21"/>
              </w:rPr>
              <w:t>/XJYQ-090-2017</w:t>
            </w:r>
          </w:p>
        </w:tc>
      </w:tr>
      <w:tr w:rsidR="002A5A5E" w:rsidRPr="00F9522B">
        <w:trPr>
          <w:trHeight w:val="907"/>
        </w:trPr>
        <w:tc>
          <w:tcPr>
            <w:tcW w:w="1141" w:type="dxa"/>
            <w:vAlign w:val="center"/>
          </w:tcPr>
          <w:p w:rsidR="002A5A5E" w:rsidRPr="00F9522B" w:rsidRDefault="00611CBA">
            <w:pPr>
              <w:jc w:val="center"/>
              <w:rPr>
                <w:rFonts w:eastAsiaTheme="minorEastAsia"/>
                <w:szCs w:val="21"/>
              </w:rPr>
            </w:pPr>
            <w:r w:rsidRPr="00F9522B">
              <w:rPr>
                <w:rFonts w:eastAsiaTheme="minorEastAsia"/>
                <w:szCs w:val="21"/>
              </w:rPr>
              <w:t>亚硝酸盐</w:t>
            </w:r>
          </w:p>
        </w:tc>
        <w:tc>
          <w:tcPr>
            <w:tcW w:w="3220" w:type="dxa"/>
            <w:vAlign w:val="center"/>
          </w:tcPr>
          <w:p w:rsidR="002A5A5E" w:rsidRPr="00F9522B" w:rsidRDefault="00611CBA">
            <w:pPr>
              <w:jc w:val="center"/>
              <w:rPr>
                <w:rFonts w:eastAsiaTheme="minorEastAsia"/>
                <w:szCs w:val="21"/>
              </w:rPr>
            </w:pPr>
            <w:r w:rsidRPr="00F9522B">
              <w:rPr>
                <w:rFonts w:eastAsiaTheme="minorEastAsia"/>
                <w:szCs w:val="21"/>
              </w:rPr>
              <w:t>生活饮用水标准检验方法</w:t>
            </w:r>
            <w:r w:rsidRPr="00F9522B">
              <w:rPr>
                <w:rFonts w:eastAsiaTheme="minorEastAsia"/>
                <w:szCs w:val="21"/>
              </w:rPr>
              <w:t xml:space="preserve"> </w:t>
            </w:r>
            <w:r w:rsidRPr="00F9522B">
              <w:rPr>
                <w:rFonts w:eastAsiaTheme="minorEastAsia"/>
                <w:szCs w:val="21"/>
              </w:rPr>
              <w:t>无机非金属指标</w:t>
            </w:r>
            <w:r w:rsidRPr="00F9522B">
              <w:rPr>
                <w:rFonts w:eastAsiaTheme="minorEastAsia"/>
                <w:szCs w:val="21"/>
              </w:rPr>
              <w:t>(10.1</w:t>
            </w:r>
            <w:r w:rsidRPr="00F9522B">
              <w:rPr>
                <w:rFonts w:eastAsiaTheme="minorEastAsia"/>
                <w:szCs w:val="21"/>
              </w:rPr>
              <w:t>重氮耦合分光光度法</w:t>
            </w:r>
            <w:r w:rsidRPr="00F9522B">
              <w:rPr>
                <w:rFonts w:eastAsiaTheme="minorEastAsia"/>
                <w:szCs w:val="21"/>
              </w:rPr>
              <w:t>)GB/T5750.5-2006</w:t>
            </w:r>
          </w:p>
        </w:tc>
        <w:tc>
          <w:tcPr>
            <w:tcW w:w="1701" w:type="dxa"/>
            <w:vAlign w:val="center"/>
          </w:tcPr>
          <w:p w:rsidR="002A5A5E" w:rsidRPr="00F9522B" w:rsidRDefault="00611CBA">
            <w:pPr>
              <w:jc w:val="center"/>
              <w:rPr>
                <w:rFonts w:eastAsiaTheme="minorEastAsia"/>
                <w:szCs w:val="21"/>
              </w:rPr>
            </w:pPr>
            <w:r w:rsidRPr="00F9522B">
              <w:rPr>
                <w:rFonts w:eastAsiaTheme="minorEastAsia"/>
                <w:szCs w:val="21"/>
              </w:rPr>
              <w:t>紫外</w:t>
            </w:r>
            <w:r w:rsidRPr="00F9522B">
              <w:rPr>
                <w:rFonts w:eastAsiaTheme="minorEastAsia"/>
                <w:szCs w:val="21"/>
              </w:rPr>
              <w:t>/</w:t>
            </w:r>
            <w:r w:rsidRPr="00F9522B">
              <w:rPr>
                <w:rFonts w:eastAsiaTheme="minorEastAsia"/>
                <w:szCs w:val="21"/>
              </w:rPr>
              <w:t>可见分光光度计</w:t>
            </w:r>
          </w:p>
        </w:tc>
        <w:tc>
          <w:tcPr>
            <w:tcW w:w="2410" w:type="dxa"/>
            <w:vAlign w:val="center"/>
          </w:tcPr>
          <w:p w:rsidR="002A5A5E" w:rsidRPr="00F9522B" w:rsidRDefault="00611CBA">
            <w:pPr>
              <w:jc w:val="center"/>
              <w:rPr>
                <w:rFonts w:eastAsiaTheme="minorEastAsia"/>
                <w:szCs w:val="21"/>
              </w:rPr>
            </w:pPr>
            <w:r w:rsidRPr="00F9522B">
              <w:rPr>
                <w:rFonts w:eastAsiaTheme="minorEastAsia"/>
                <w:szCs w:val="21"/>
              </w:rPr>
              <w:t>T6</w:t>
            </w:r>
            <w:r w:rsidRPr="00F9522B">
              <w:rPr>
                <w:rFonts w:eastAsiaTheme="minorEastAsia"/>
                <w:szCs w:val="21"/>
              </w:rPr>
              <w:t>新世纪</w:t>
            </w:r>
            <w:r w:rsidRPr="00F9522B">
              <w:rPr>
                <w:rFonts w:eastAsiaTheme="minorEastAsia"/>
                <w:szCs w:val="21"/>
              </w:rPr>
              <w:t>/XJYQ-090-2017</w:t>
            </w:r>
          </w:p>
        </w:tc>
      </w:tr>
      <w:tr w:rsidR="002A5A5E" w:rsidRPr="00F9522B">
        <w:trPr>
          <w:trHeight w:val="337"/>
        </w:trPr>
        <w:tc>
          <w:tcPr>
            <w:tcW w:w="1141" w:type="dxa"/>
            <w:vAlign w:val="center"/>
          </w:tcPr>
          <w:p w:rsidR="002A5A5E" w:rsidRPr="00F9522B" w:rsidRDefault="00611CBA">
            <w:pPr>
              <w:jc w:val="center"/>
              <w:rPr>
                <w:rFonts w:eastAsiaTheme="minorEastAsia"/>
              </w:rPr>
            </w:pPr>
            <w:r w:rsidRPr="00F9522B">
              <w:rPr>
                <w:rFonts w:eastAsiaTheme="minorEastAsia"/>
              </w:rPr>
              <w:t>氨氮</w:t>
            </w:r>
          </w:p>
        </w:tc>
        <w:tc>
          <w:tcPr>
            <w:tcW w:w="3220" w:type="dxa"/>
            <w:vAlign w:val="center"/>
          </w:tcPr>
          <w:p w:rsidR="002A5A5E" w:rsidRPr="00F9522B" w:rsidRDefault="00611CBA">
            <w:pPr>
              <w:jc w:val="center"/>
              <w:rPr>
                <w:rFonts w:eastAsiaTheme="minorEastAsia"/>
                <w:szCs w:val="18"/>
              </w:rPr>
            </w:pPr>
            <w:r w:rsidRPr="00F9522B">
              <w:rPr>
                <w:rFonts w:eastAsiaTheme="minorEastAsia"/>
                <w:szCs w:val="18"/>
              </w:rPr>
              <w:t>生活饮用水标准检验方法</w:t>
            </w:r>
            <w:r w:rsidRPr="00F9522B">
              <w:rPr>
                <w:rFonts w:eastAsiaTheme="minorEastAsia"/>
                <w:szCs w:val="18"/>
              </w:rPr>
              <w:t xml:space="preserve"> </w:t>
            </w:r>
            <w:r w:rsidRPr="00F9522B">
              <w:rPr>
                <w:rFonts w:eastAsiaTheme="minorEastAsia"/>
                <w:szCs w:val="18"/>
              </w:rPr>
              <w:t>无机非金属指标</w:t>
            </w:r>
            <w:r w:rsidRPr="00F9522B">
              <w:rPr>
                <w:rFonts w:eastAsiaTheme="minorEastAsia"/>
                <w:szCs w:val="18"/>
              </w:rPr>
              <w:t xml:space="preserve"> (9.1</w:t>
            </w:r>
            <w:r w:rsidRPr="00F9522B">
              <w:rPr>
                <w:rFonts w:eastAsiaTheme="minorEastAsia"/>
                <w:szCs w:val="18"/>
              </w:rPr>
              <w:t>纳氏试剂分光光度法</w:t>
            </w:r>
            <w:r w:rsidRPr="00F9522B">
              <w:rPr>
                <w:rFonts w:eastAsiaTheme="minorEastAsia"/>
                <w:szCs w:val="18"/>
              </w:rPr>
              <w:t>)GB/T5750.5-2006</w:t>
            </w:r>
          </w:p>
        </w:tc>
        <w:tc>
          <w:tcPr>
            <w:tcW w:w="1701" w:type="dxa"/>
            <w:vAlign w:val="center"/>
          </w:tcPr>
          <w:p w:rsidR="002A5A5E" w:rsidRPr="00F9522B" w:rsidRDefault="00611CBA">
            <w:pPr>
              <w:jc w:val="center"/>
              <w:rPr>
                <w:rFonts w:eastAsiaTheme="minorEastAsia"/>
                <w:szCs w:val="18"/>
              </w:rPr>
            </w:pPr>
            <w:r w:rsidRPr="00F9522B">
              <w:rPr>
                <w:rFonts w:eastAsiaTheme="minorEastAsia"/>
                <w:szCs w:val="18"/>
              </w:rPr>
              <w:t>紫外</w:t>
            </w:r>
            <w:r w:rsidRPr="00F9522B">
              <w:rPr>
                <w:rFonts w:eastAsiaTheme="minorEastAsia"/>
                <w:szCs w:val="18"/>
              </w:rPr>
              <w:t>/</w:t>
            </w:r>
            <w:r w:rsidRPr="00F9522B">
              <w:rPr>
                <w:rFonts w:eastAsiaTheme="minorEastAsia"/>
                <w:szCs w:val="18"/>
              </w:rPr>
              <w:t>可见分光光度计</w:t>
            </w:r>
          </w:p>
        </w:tc>
        <w:tc>
          <w:tcPr>
            <w:tcW w:w="2410" w:type="dxa"/>
            <w:vAlign w:val="center"/>
          </w:tcPr>
          <w:p w:rsidR="002A5A5E" w:rsidRPr="00F9522B" w:rsidRDefault="00611CBA">
            <w:pPr>
              <w:jc w:val="center"/>
              <w:rPr>
                <w:rFonts w:eastAsiaTheme="minorEastAsia"/>
                <w:szCs w:val="18"/>
              </w:rPr>
            </w:pPr>
            <w:r w:rsidRPr="00F9522B">
              <w:rPr>
                <w:rFonts w:eastAsiaTheme="minorEastAsia"/>
                <w:szCs w:val="18"/>
              </w:rPr>
              <w:t>T6</w:t>
            </w:r>
            <w:r w:rsidRPr="00F9522B">
              <w:rPr>
                <w:rFonts w:eastAsiaTheme="minorEastAsia"/>
                <w:szCs w:val="18"/>
              </w:rPr>
              <w:t>新世纪</w:t>
            </w:r>
            <w:r w:rsidRPr="00F9522B">
              <w:rPr>
                <w:rFonts w:eastAsiaTheme="minorEastAsia"/>
                <w:szCs w:val="18"/>
              </w:rPr>
              <w:t>/XJYQ-090-2017</w:t>
            </w:r>
          </w:p>
        </w:tc>
      </w:tr>
      <w:tr w:rsidR="002A5A5E" w:rsidRPr="00F9522B">
        <w:trPr>
          <w:trHeight w:val="907"/>
        </w:trPr>
        <w:tc>
          <w:tcPr>
            <w:tcW w:w="1141" w:type="dxa"/>
            <w:vAlign w:val="center"/>
          </w:tcPr>
          <w:p w:rsidR="002A5A5E" w:rsidRPr="00F9522B" w:rsidRDefault="00611CBA">
            <w:pPr>
              <w:jc w:val="center"/>
              <w:rPr>
                <w:rFonts w:eastAsiaTheme="minorEastAsia"/>
              </w:rPr>
            </w:pPr>
            <w:r w:rsidRPr="00F9522B">
              <w:rPr>
                <w:rFonts w:eastAsiaTheme="minorEastAsia"/>
              </w:rPr>
              <w:t>六价铬</w:t>
            </w:r>
          </w:p>
        </w:tc>
        <w:tc>
          <w:tcPr>
            <w:tcW w:w="3220" w:type="dxa"/>
            <w:vAlign w:val="center"/>
          </w:tcPr>
          <w:p w:rsidR="002A5A5E" w:rsidRPr="00F9522B" w:rsidRDefault="00611CBA">
            <w:pPr>
              <w:jc w:val="center"/>
              <w:rPr>
                <w:rFonts w:eastAsiaTheme="minorEastAsia"/>
                <w:szCs w:val="18"/>
              </w:rPr>
            </w:pPr>
            <w:r w:rsidRPr="00F9522B">
              <w:rPr>
                <w:rFonts w:eastAsiaTheme="minorEastAsia"/>
                <w:szCs w:val="18"/>
              </w:rPr>
              <w:t>生活饮用水标准检验方法</w:t>
            </w:r>
            <w:r w:rsidRPr="00F9522B">
              <w:rPr>
                <w:rFonts w:eastAsiaTheme="minorEastAsia"/>
                <w:szCs w:val="18"/>
              </w:rPr>
              <w:t xml:space="preserve"> </w:t>
            </w:r>
            <w:r w:rsidRPr="00F9522B">
              <w:rPr>
                <w:rFonts w:eastAsiaTheme="minorEastAsia"/>
                <w:szCs w:val="18"/>
              </w:rPr>
              <w:t>金属指标</w:t>
            </w:r>
            <w:r w:rsidRPr="00F9522B">
              <w:rPr>
                <w:rFonts w:eastAsiaTheme="minorEastAsia"/>
                <w:szCs w:val="18"/>
              </w:rPr>
              <w:t xml:space="preserve"> </w:t>
            </w:r>
            <w:r w:rsidRPr="00F9522B">
              <w:rPr>
                <w:rFonts w:eastAsiaTheme="minorEastAsia"/>
                <w:szCs w:val="18"/>
              </w:rPr>
              <w:t>六价铬（</w:t>
            </w:r>
            <w:r w:rsidRPr="00F9522B">
              <w:rPr>
                <w:rFonts w:eastAsiaTheme="minorEastAsia"/>
                <w:szCs w:val="18"/>
              </w:rPr>
              <w:t>10.1</w:t>
            </w:r>
            <w:r w:rsidRPr="00F9522B">
              <w:rPr>
                <w:rFonts w:eastAsiaTheme="minorEastAsia"/>
                <w:szCs w:val="18"/>
              </w:rPr>
              <w:t>二苯碳酰二肼分光光度法）</w:t>
            </w:r>
            <w:r w:rsidRPr="00F9522B">
              <w:rPr>
                <w:rFonts w:eastAsiaTheme="minorEastAsia"/>
                <w:szCs w:val="18"/>
              </w:rPr>
              <w:t>GB/T5750.6-2006</w:t>
            </w:r>
          </w:p>
        </w:tc>
        <w:tc>
          <w:tcPr>
            <w:tcW w:w="1701" w:type="dxa"/>
            <w:vAlign w:val="center"/>
          </w:tcPr>
          <w:p w:rsidR="002A5A5E" w:rsidRPr="00F9522B" w:rsidRDefault="00611CBA">
            <w:pPr>
              <w:jc w:val="center"/>
              <w:rPr>
                <w:rFonts w:eastAsiaTheme="minorEastAsia"/>
                <w:szCs w:val="18"/>
              </w:rPr>
            </w:pPr>
            <w:r w:rsidRPr="00F9522B">
              <w:rPr>
                <w:rFonts w:eastAsiaTheme="minorEastAsia"/>
                <w:szCs w:val="18"/>
              </w:rPr>
              <w:t>紫外</w:t>
            </w:r>
            <w:r w:rsidRPr="00F9522B">
              <w:rPr>
                <w:rFonts w:eastAsiaTheme="minorEastAsia"/>
                <w:szCs w:val="18"/>
              </w:rPr>
              <w:t>/</w:t>
            </w:r>
            <w:r w:rsidRPr="00F9522B">
              <w:rPr>
                <w:rFonts w:eastAsiaTheme="minorEastAsia"/>
                <w:szCs w:val="18"/>
              </w:rPr>
              <w:t>可见分光光度计</w:t>
            </w:r>
          </w:p>
        </w:tc>
        <w:tc>
          <w:tcPr>
            <w:tcW w:w="2410" w:type="dxa"/>
            <w:vAlign w:val="center"/>
          </w:tcPr>
          <w:p w:rsidR="002A5A5E" w:rsidRPr="00F9522B" w:rsidRDefault="00611CBA">
            <w:pPr>
              <w:jc w:val="center"/>
              <w:rPr>
                <w:rFonts w:eastAsiaTheme="minorEastAsia"/>
                <w:szCs w:val="18"/>
              </w:rPr>
            </w:pPr>
            <w:r w:rsidRPr="00F9522B">
              <w:rPr>
                <w:rFonts w:eastAsiaTheme="minorEastAsia"/>
                <w:szCs w:val="18"/>
              </w:rPr>
              <w:t>T6</w:t>
            </w:r>
            <w:r w:rsidRPr="00F9522B">
              <w:rPr>
                <w:rFonts w:eastAsiaTheme="minorEastAsia"/>
                <w:szCs w:val="18"/>
              </w:rPr>
              <w:t>新世纪</w:t>
            </w:r>
            <w:r w:rsidRPr="00F9522B">
              <w:rPr>
                <w:rFonts w:eastAsiaTheme="minorEastAsia"/>
                <w:szCs w:val="18"/>
              </w:rPr>
              <w:t>/XJYQ-090-2017</w:t>
            </w:r>
          </w:p>
        </w:tc>
      </w:tr>
      <w:tr w:rsidR="002A5A5E" w:rsidRPr="00F9522B">
        <w:trPr>
          <w:trHeight w:val="45"/>
        </w:trPr>
        <w:tc>
          <w:tcPr>
            <w:tcW w:w="1141" w:type="dxa"/>
            <w:vAlign w:val="center"/>
          </w:tcPr>
          <w:p w:rsidR="002A5A5E" w:rsidRPr="00F9522B" w:rsidRDefault="00611CBA">
            <w:pPr>
              <w:jc w:val="center"/>
              <w:rPr>
                <w:rFonts w:eastAsiaTheme="minorEastAsia"/>
              </w:rPr>
            </w:pPr>
            <w:r w:rsidRPr="00F9522B">
              <w:rPr>
                <w:rFonts w:eastAsiaTheme="minorEastAsia"/>
              </w:rPr>
              <w:t>氟化物</w:t>
            </w:r>
          </w:p>
        </w:tc>
        <w:tc>
          <w:tcPr>
            <w:tcW w:w="3220" w:type="dxa"/>
            <w:vAlign w:val="center"/>
          </w:tcPr>
          <w:p w:rsidR="002A5A5E" w:rsidRPr="00F9522B" w:rsidRDefault="00611CBA">
            <w:pPr>
              <w:jc w:val="center"/>
              <w:rPr>
                <w:rFonts w:eastAsiaTheme="minorEastAsia"/>
                <w:szCs w:val="18"/>
              </w:rPr>
            </w:pPr>
            <w:r w:rsidRPr="00F9522B">
              <w:rPr>
                <w:rFonts w:eastAsiaTheme="minorEastAsia"/>
                <w:szCs w:val="18"/>
              </w:rPr>
              <w:t>水质</w:t>
            </w:r>
            <w:r w:rsidRPr="00F9522B">
              <w:rPr>
                <w:rFonts w:eastAsiaTheme="minorEastAsia"/>
                <w:szCs w:val="18"/>
              </w:rPr>
              <w:t xml:space="preserve"> </w:t>
            </w:r>
            <w:r w:rsidRPr="00F9522B">
              <w:rPr>
                <w:rFonts w:eastAsiaTheme="minorEastAsia"/>
                <w:szCs w:val="18"/>
              </w:rPr>
              <w:t>氟化物的测定</w:t>
            </w:r>
            <w:r w:rsidRPr="00F9522B">
              <w:rPr>
                <w:rFonts w:eastAsiaTheme="minorEastAsia"/>
                <w:szCs w:val="18"/>
              </w:rPr>
              <w:t xml:space="preserve"> </w:t>
            </w:r>
            <w:r w:rsidRPr="00F9522B">
              <w:rPr>
                <w:rFonts w:eastAsiaTheme="minorEastAsia"/>
                <w:szCs w:val="18"/>
              </w:rPr>
              <w:t>氟试剂分光光度法</w:t>
            </w:r>
            <w:r w:rsidRPr="00F9522B">
              <w:rPr>
                <w:rFonts w:eastAsiaTheme="minorEastAsia"/>
                <w:szCs w:val="18"/>
              </w:rPr>
              <w:t>HJ488-2009</w:t>
            </w:r>
          </w:p>
        </w:tc>
        <w:tc>
          <w:tcPr>
            <w:tcW w:w="1701" w:type="dxa"/>
            <w:vAlign w:val="center"/>
          </w:tcPr>
          <w:p w:rsidR="002A5A5E" w:rsidRPr="00F9522B" w:rsidRDefault="00611CBA">
            <w:pPr>
              <w:jc w:val="center"/>
              <w:rPr>
                <w:rFonts w:eastAsiaTheme="minorEastAsia"/>
                <w:szCs w:val="18"/>
              </w:rPr>
            </w:pPr>
            <w:r w:rsidRPr="00F9522B">
              <w:rPr>
                <w:rFonts w:eastAsiaTheme="minorEastAsia"/>
                <w:szCs w:val="18"/>
              </w:rPr>
              <w:t>紫外</w:t>
            </w:r>
            <w:r w:rsidRPr="00F9522B">
              <w:rPr>
                <w:rFonts w:eastAsiaTheme="minorEastAsia"/>
                <w:szCs w:val="18"/>
              </w:rPr>
              <w:t>/</w:t>
            </w:r>
            <w:r w:rsidRPr="00F9522B">
              <w:rPr>
                <w:rFonts w:eastAsiaTheme="minorEastAsia"/>
                <w:szCs w:val="18"/>
              </w:rPr>
              <w:t>可见分光光度计</w:t>
            </w:r>
          </w:p>
        </w:tc>
        <w:tc>
          <w:tcPr>
            <w:tcW w:w="2410" w:type="dxa"/>
            <w:vAlign w:val="center"/>
          </w:tcPr>
          <w:p w:rsidR="002A5A5E" w:rsidRPr="00F9522B" w:rsidRDefault="00611CBA">
            <w:pPr>
              <w:jc w:val="center"/>
              <w:rPr>
                <w:rFonts w:eastAsiaTheme="minorEastAsia"/>
                <w:szCs w:val="18"/>
              </w:rPr>
            </w:pPr>
            <w:r w:rsidRPr="00F9522B">
              <w:rPr>
                <w:rFonts w:eastAsiaTheme="minorEastAsia"/>
                <w:szCs w:val="18"/>
              </w:rPr>
              <w:t>T6</w:t>
            </w:r>
            <w:r w:rsidRPr="00F9522B">
              <w:rPr>
                <w:rFonts w:eastAsiaTheme="minorEastAsia"/>
                <w:szCs w:val="18"/>
              </w:rPr>
              <w:t>新世纪</w:t>
            </w:r>
            <w:r w:rsidRPr="00F9522B">
              <w:rPr>
                <w:rFonts w:eastAsiaTheme="minorEastAsia"/>
                <w:szCs w:val="18"/>
              </w:rPr>
              <w:t>/XJYQ-090-2017</w:t>
            </w:r>
          </w:p>
        </w:tc>
      </w:tr>
    </w:tbl>
    <w:p w:rsidR="006364CE" w:rsidRDefault="006364CE">
      <w:pPr>
        <w:contextualSpacing/>
        <w:jc w:val="center"/>
        <w:rPr>
          <w:rFonts w:eastAsiaTheme="minorEastAsia"/>
          <w:b/>
          <w:kern w:val="0"/>
          <w:szCs w:val="21"/>
        </w:rPr>
      </w:pPr>
    </w:p>
    <w:p w:rsidR="00890D83" w:rsidRDefault="00890D83">
      <w:pPr>
        <w:contextualSpacing/>
        <w:jc w:val="center"/>
        <w:rPr>
          <w:rFonts w:eastAsiaTheme="minorEastAsia"/>
          <w:b/>
          <w:kern w:val="0"/>
          <w:szCs w:val="21"/>
        </w:rPr>
      </w:pPr>
    </w:p>
    <w:p w:rsidR="00890D83" w:rsidRDefault="00890D83">
      <w:pPr>
        <w:contextualSpacing/>
        <w:jc w:val="center"/>
        <w:rPr>
          <w:rFonts w:eastAsiaTheme="minorEastAsia"/>
          <w:b/>
          <w:kern w:val="0"/>
          <w:szCs w:val="21"/>
        </w:rPr>
      </w:pPr>
    </w:p>
    <w:p w:rsidR="00890D83" w:rsidRDefault="00890D83">
      <w:pPr>
        <w:contextualSpacing/>
        <w:jc w:val="center"/>
        <w:rPr>
          <w:rFonts w:eastAsiaTheme="minorEastAsia"/>
          <w:b/>
          <w:kern w:val="0"/>
          <w:szCs w:val="21"/>
        </w:rPr>
      </w:pPr>
    </w:p>
    <w:p w:rsidR="00890D83" w:rsidRDefault="00890D83">
      <w:pPr>
        <w:contextualSpacing/>
        <w:jc w:val="center"/>
        <w:rPr>
          <w:rFonts w:eastAsiaTheme="minorEastAsia"/>
          <w:b/>
          <w:kern w:val="0"/>
          <w:szCs w:val="21"/>
        </w:rPr>
      </w:pPr>
    </w:p>
    <w:p w:rsidR="00890D83" w:rsidRDefault="00890D83">
      <w:pPr>
        <w:contextualSpacing/>
        <w:jc w:val="center"/>
        <w:rPr>
          <w:rFonts w:eastAsiaTheme="minorEastAsia"/>
          <w:b/>
          <w:kern w:val="0"/>
          <w:szCs w:val="21"/>
        </w:rPr>
      </w:pPr>
    </w:p>
    <w:p w:rsidR="00890D83" w:rsidRDefault="00890D83">
      <w:pPr>
        <w:contextualSpacing/>
        <w:jc w:val="center"/>
        <w:rPr>
          <w:rFonts w:eastAsiaTheme="minorEastAsia"/>
          <w:b/>
          <w:kern w:val="0"/>
          <w:szCs w:val="21"/>
        </w:rPr>
      </w:pPr>
    </w:p>
    <w:p w:rsidR="00890D83" w:rsidRPr="00F9522B" w:rsidRDefault="00890D83">
      <w:pPr>
        <w:contextualSpacing/>
        <w:jc w:val="center"/>
        <w:rPr>
          <w:rFonts w:eastAsiaTheme="minorEastAsia"/>
          <w:b/>
          <w:kern w:val="0"/>
          <w:szCs w:val="21"/>
        </w:rPr>
      </w:pPr>
    </w:p>
    <w:p w:rsidR="002A5A5E" w:rsidRPr="00F9522B" w:rsidRDefault="00611CBA">
      <w:pPr>
        <w:contextualSpacing/>
        <w:jc w:val="center"/>
        <w:rPr>
          <w:rFonts w:eastAsiaTheme="minorEastAsia"/>
          <w:b/>
          <w:kern w:val="0"/>
          <w:szCs w:val="21"/>
        </w:rPr>
      </w:pPr>
      <w:r w:rsidRPr="00F9522B">
        <w:rPr>
          <w:rFonts w:eastAsiaTheme="minorEastAsia"/>
          <w:b/>
          <w:kern w:val="0"/>
          <w:szCs w:val="21"/>
        </w:rPr>
        <w:lastRenderedPageBreak/>
        <w:t>续表</w:t>
      </w:r>
      <w:r w:rsidRPr="00F9522B">
        <w:rPr>
          <w:rFonts w:eastAsiaTheme="minorEastAsia"/>
          <w:b/>
          <w:kern w:val="0"/>
          <w:szCs w:val="21"/>
        </w:rPr>
        <w:t xml:space="preserve">4-2-9 </w:t>
      </w:r>
      <w:r w:rsidRPr="00F9522B">
        <w:rPr>
          <w:rFonts w:eastAsiaTheme="minorEastAsia"/>
          <w:b/>
          <w:kern w:val="0"/>
          <w:szCs w:val="21"/>
        </w:rPr>
        <w:t>监测分析方法一览表</w:t>
      </w:r>
    </w:p>
    <w:tbl>
      <w:tblPr>
        <w:tblW w:w="8472" w:type="dxa"/>
        <w:tblBorders>
          <w:top w:val="single" w:sz="12" w:space="0" w:color="000000"/>
          <w:bottom w:val="single" w:sz="12" w:space="0" w:color="000000"/>
          <w:insideH w:val="single" w:sz="4" w:space="0" w:color="000000"/>
          <w:insideV w:val="single" w:sz="4" w:space="0" w:color="000000"/>
        </w:tblBorders>
        <w:tblLayout w:type="fixed"/>
        <w:tblLook w:val="04A0"/>
      </w:tblPr>
      <w:tblGrid>
        <w:gridCol w:w="1141"/>
        <w:gridCol w:w="3220"/>
        <w:gridCol w:w="1701"/>
        <w:gridCol w:w="2410"/>
      </w:tblGrid>
      <w:tr w:rsidR="002A5A5E" w:rsidRPr="00F9522B">
        <w:trPr>
          <w:trHeight w:val="907"/>
        </w:trPr>
        <w:tc>
          <w:tcPr>
            <w:tcW w:w="1141" w:type="dxa"/>
            <w:vAlign w:val="center"/>
          </w:tcPr>
          <w:p w:rsidR="002A5A5E" w:rsidRPr="00F9522B" w:rsidRDefault="00611CBA">
            <w:pPr>
              <w:jc w:val="center"/>
              <w:rPr>
                <w:rFonts w:eastAsiaTheme="minorEastAsia"/>
              </w:rPr>
            </w:pPr>
            <w:r w:rsidRPr="00F9522B">
              <w:rPr>
                <w:rFonts w:eastAsiaTheme="minorEastAsia"/>
              </w:rPr>
              <w:t>氰化物</w:t>
            </w:r>
          </w:p>
        </w:tc>
        <w:tc>
          <w:tcPr>
            <w:tcW w:w="3220" w:type="dxa"/>
            <w:vAlign w:val="center"/>
          </w:tcPr>
          <w:p w:rsidR="002A5A5E" w:rsidRPr="00F9522B" w:rsidRDefault="00611CBA">
            <w:pPr>
              <w:jc w:val="center"/>
              <w:rPr>
                <w:rFonts w:eastAsiaTheme="minorEastAsia"/>
                <w:szCs w:val="18"/>
              </w:rPr>
            </w:pPr>
            <w:r w:rsidRPr="00F9522B">
              <w:rPr>
                <w:rFonts w:eastAsiaTheme="minorEastAsia"/>
                <w:szCs w:val="18"/>
              </w:rPr>
              <w:t>生活饮用水标准检验方法</w:t>
            </w:r>
            <w:r w:rsidRPr="00F9522B">
              <w:rPr>
                <w:rFonts w:eastAsiaTheme="minorEastAsia"/>
                <w:szCs w:val="18"/>
              </w:rPr>
              <w:t xml:space="preserve"> </w:t>
            </w:r>
            <w:r w:rsidRPr="00F9522B">
              <w:rPr>
                <w:rFonts w:eastAsiaTheme="minorEastAsia"/>
                <w:szCs w:val="18"/>
              </w:rPr>
              <w:t>无机非金属指标（</w:t>
            </w:r>
            <w:r w:rsidRPr="00F9522B">
              <w:rPr>
                <w:rFonts w:eastAsiaTheme="minorEastAsia"/>
                <w:szCs w:val="18"/>
              </w:rPr>
              <w:t>4.1</w:t>
            </w:r>
            <w:r w:rsidRPr="00F9522B">
              <w:rPr>
                <w:rFonts w:eastAsiaTheme="minorEastAsia"/>
                <w:szCs w:val="18"/>
              </w:rPr>
              <w:t>异烟酸</w:t>
            </w:r>
            <w:r w:rsidRPr="00F9522B">
              <w:rPr>
                <w:rFonts w:eastAsiaTheme="minorEastAsia"/>
                <w:szCs w:val="18"/>
              </w:rPr>
              <w:t>-</w:t>
            </w:r>
            <w:r w:rsidRPr="00F9522B">
              <w:rPr>
                <w:rFonts w:eastAsiaTheme="minorEastAsia"/>
                <w:szCs w:val="18"/>
              </w:rPr>
              <w:t>吡唑酮分光光度法）</w:t>
            </w:r>
            <w:r w:rsidRPr="00F9522B">
              <w:rPr>
                <w:rFonts w:eastAsiaTheme="minorEastAsia"/>
                <w:szCs w:val="18"/>
              </w:rPr>
              <w:t>GB/T5750.5-2006</w:t>
            </w:r>
          </w:p>
        </w:tc>
        <w:tc>
          <w:tcPr>
            <w:tcW w:w="1701" w:type="dxa"/>
            <w:vAlign w:val="center"/>
          </w:tcPr>
          <w:p w:rsidR="002A5A5E" w:rsidRPr="00F9522B" w:rsidRDefault="00611CBA">
            <w:pPr>
              <w:jc w:val="center"/>
              <w:rPr>
                <w:rFonts w:eastAsiaTheme="minorEastAsia"/>
                <w:szCs w:val="18"/>
              </w:rPr>
            </w:pPr>
            <w:r w:rsidRPr="00F9522B">
              <w:rPr>
                <w:rFonts w:eastAsiaTheme="minorEastAsia"/>
                <w:szCs w:val="18"/>
              </w:rPr>
              <w:t>紫外</w:t>
            </w:r>
            <w:r w:rsidRPr="00F9522B">
              <w:rPr>
                <w:rFonts w:eastAsiaTheme="minorEastAsia"/>
                <w:szCs w:val="18"/>
              </w:rPr>
              <w:t>/</w:t>
            </w:r>
            <w:r w:rsidRPr="00F9522B">
              <w:rPr>
                <w:rFonts w:eastAsiaTheme="minorEastAsia"/>
                <w:szCs w:val="18"/>
              </w:rPr>
              <w:t>可见分光光度计</w:t>
            </w:r>
          </w:p>
        </w:tc>
        <w:tc>
          <w:tcPr>
            <w:tcW w:w="2410" w:type="dxa"/>
            <w:vAlign w:val="center"/>
          </w:tcPr>
          <w:p w:rsidR="002A5A5E" w:rsidRPr="00F9522B" w:rsidRDefault="00611CBA">
            <w:pPr>
              <w:jc w:val="center"/>
              <w:rPr>
                <w:rFonts w:eastAsiaTheme="minorEastAsia"/>
                <w:szCs w:val="18"/>
              </w:rPr>
            </w:pPr>
            <w:r w:rsidRPr="00F9522B">
              <w:rPr>
                <w:rFonts w:eastAsiaTheme="minorEastAsia"/>
                <w:szCs w:val="18"/>
              </w:rPr>
              <w:t>T6</w:t>
            </w:r>
            <w:r w:rsidRPr="00F9522B">
              <w:rPr>
                <w:rFonts w:eastAsiaTheme="minorEastAsia"/>
                <w:szCs w:val="18"/>
              </w:rPr>
              <w:t>新世纪</w:t>
            </w:r>
            <w:r w:rsidRPr="00F9522B">
              <w:rPr>
                <w:rFonts w:eastAsiaTheme="minorEastAsia"/>
                <w:szCs w:val="18"/>
              </w:rPr>
              <w:t>/XJYQ-090-2017</w:t>
            </w:r>
          </w:p>
        </w:tc>
      </w:tr>
      <w:tr w:rsidR="002A5A5E" w:rsidRPr="00F9522B">
        <w:trPr>
          <w:trHeight w:val="907"/>
        </w:trPr>
        <w:tc>
          <w:tcPr>
            <w:tcW w:w="1141" w:type="dxa"/>
            <w:vAlign w:val="center"/>
          </w:tcPr>
          <w:p w:rsidR="002A5A5E" w:rsidRPr="00F9522B" w:rsidRDefault="00611CBA">
            <w:pPr>
              <w:jc w:val="center"/>
              <w:rPr>
                <w:rFonts w:eastAsiaTheme="minorEastAsia"/>
                <w:b/>
              </w:rPr>
            </w:pPr>
            <w:r w:rsidRPr="00F9522B">
              <w:rPr>
                <w:rFonts w:eastAsiaTheme="minorEastAsia"/>
              </w:rPr>
              <w:t>总大肠菌群</w:t>
            </w:r>
          </w:p>
        </w:tc>
        <w:tc>
          <w:tcPr>
            <w:tcW w:w="3220" w:type="dxa"/>
            <w:vAlign w:val="center"/>
          </w:tcPr>
          <w:p w:rsidR="002A5A5E" w:rsidRPr="00F9522B" w:rsidRDefault="00611CBA">
            <w:pPr>
              <w:jc w:val="center"/>
              <w:rPr>
                <w:rFonts w:eastAsiaTheme="minorEastAsia"/>
                <w:szCs w:val="18"/>
              </w:rPr>
            </w:pPr>
            <w:r w:rsidRPr="00F9522B">
              <w:rPr>
                <w:rFonts w:eastAsiaTheme="minorEastAsia"/>
                <w:szCs w:val="18"/>
              </w:rPr>
              <w:t>生活饮用水标准检验方法</w:t>
            </w:r>
            <w:r w:rsidRPr="00F9522B">
              <w:rPr>
                <w:rFonts w:eastAsiaTheme="minorEastAsia"/>
                <w:szCs w:val="18"/>
              </w:rPr>
              <w:t xml:space="preserve"> </w:t>
            </w:r>
            <w:r w:rsidRPr="00F9522B">
              <w:rPr>
                <w:rFonts w:eastAsiaTheme="minorEastAsia"/>
                <w:szCs w:val="18"/>
              </w:rPr>
              <w:t>微生物指标</w:t>
            </w:r>
            <w:r w:rsidRPr="00F9522B">
              <w:rPr>
                <w:rFonts w:eastAsiaTheme="minorEastAsia"/>
                <w:szCs w:val="18"/>
              </w:rPr>
              <w:t xml:space="preserve"> (2.1</w:t>
            </w:r>
            <w:r w:rsidRPr="00F9522B">
              <w:rPr>
                <w:rFonts w:eastAsiaTheme="minorEastAsia"/>
                <w:szCs w:val="18"/>
              </w:rPr>
              <w:t>多管发酵法</w:t>
            </w:r>
            <w:r w:rsidRPr="00F9522B">
              <w:rPr>
                <w:rFonts w:eastAsiaTheme="minorEastAsia"/>
                <w:szCs w:val="18"/>
              </w:rPr>
              <w:t>)GB/T5750.12-2006</w:t>
            </w:r>
          </w:p>
        </w:tc>
        <w:tc>
          <w:tcPr>
            <w:tcW w:w="1701" w:type="dxa"/>
            <w:vAlign w:val="center"/>
          </w:tcPr>
          <w:p w:rsidR="002A5A5E" w:rsidRPr="00F9522B" w:rsidRDefault="00611CBA">
            <w:pPr>
              <w:jc w:val="center"/>
              <w:rPr>
                <w:rFonts w:eastAsiaTheme="minorEastAsia"/>
                <w:szCs w:val="18"/>
              </w:rPr>
            </w:pPr>
            <w:r w:rsidRPr="00F9522B">
              <w:rPr>
                <w:rFonts w:eastAsiaTheme="minorEastAsia"/>
              </w:rPr>
              <w:t>电热恒温培养箱</w:t>
            </w:r>
          </w:p>
        </w:tc>
        <w:tc>
          <w:tcPr>
            <w:tcW w:w="2410" w:type="dxa"/>
            <w:vAlign w:val="center"/>
          </w:tcPr>
          <w:p w:rsidR="002A5A5E" w:rsidRPr="00F9522B" w:rsidRDefault="00611CBA">
            <w:pPr>
              <w:jc w:val="center"/>
              <w:rPr>
                <w:rFonts w:eastAsiaTheme="minorEastAsia"/>
                <w:szCs w:val="18"/>
              </w:rPr>
            </w:pPr>
            <w:r w:rsidRPr="00F9522B">
              <w:rPr>
                <w:rFonts w:eastAsiaTheme="minorEastAsia"/>
                <w:szCs w:val="18"/>
              </w:rPr>
              <w:t>BPX-82/XJYQ-087-2017</w:t>
            </w:r>
          </w:p>
        </w:tc>
      </w:tr>
      <w:tr w:rsidR="002A5A5E" w:rsidRPr="00F9522B">
        <w:trPr>
          <w:trHeight w:val="907"/>
        </w:trPr>
        <w:tc>
          <w:tcPr>
            <w:tcW w:w="1141" w:type="dxa"/>
            <w:vAlign w:val="center"/>
          </w:tcPr>
          <w:p w:rsidR="002A5A5E" w:rsidRPr="00F9522B" w:rsidRDefault="00611CBA">
            <w:pPr>
              <w:jc w:val="center"/>
              <w:rPr>
                <w:rFonts w:eastAsiaTheme="minorEastAsia"/>
              </w:rPr>
            </w:pPr>
            <w:r w:rsidRPr="00F9522B">
              <w:rPr>
                <w:rFonts w:eastAsiaTheme="minorEastAsia"/>
              </w:rPr>
              <w:t>菌落总数</w:t>
            </w:r>
          </w:p>
        </w:tc>
        <w:tc>
          <w:tcPr>
            <w:tcW w:w="3220" w:type="dxa"/>
            <w:vAlign w:val="center"/>
          </w:tcPr>
          <w:p w:rsidR="002A5A5E" w:rsidRPr="00F9522B" w:rsidRDefault="00611CBA">
            <w:pPr>
              <w:jc w:val="center"/>
              <w:rPr>
                <w:rFonts w:eastAsiaTheme="minorEastAsia"/>
                <w:szCs w:val="18"/>
              </w:rPr>
            </w:pPr>
            <w:r w:rsidRPr="00F9522B">
              <w:rPr>
                <w:rFonts w:eastAsiaTheme="minorEastAsia"/>
                <w:szCs w:val="18"/>
              </w:rPr>
              <w:t>生活饮用水标准检验方法</w:t>
            </w:r>
            <w:r w:rsidRPr="00F9522B">
              <w:rPr>
                <w:rFonts w:eastAsiaTheme="minorEastAsia"/>
                <w:szCs w:val="18"/>
              </w:rPr>
              <w:t xml:space="preserve"> </w:t>
            </w:r>
            <w:r w:rsidRPr="00F9522B">
              <w:rPr>
                <w:rFonts w:eastAsiaTheme="minorEastAsia"/>
                <w:szCs w:val="18"/>
              </w:rPr>
              <w:t>微生物指标（</w:t>
            </w:r>
            <w:r w:rsidRPr="00F9522B">
              <w:rPr>
                <w:rFonts w:eastAsiaTheme="minorEastAsia"/>
                <w:szCs w:val="18"/>
              </w:rPr>
              <w:t xml:space="preserve">1.1 </w:t>
            </w:r>
            <w:r w:rsidRPr="00F9522B">
              <w:rPr>
                <w:rFonts w:eastAsiaTheme="minorEastAsia"/>
                <w:szCs w:val="18"/>
              </w:rPr>
              <w:t>平皿计数法）</w:t>
            </w:r>
            <w:r w:rsidRPr="00F9522B">
              <w:rPr>
                <w:rFonts w:eastAsiaTheme="minorEastAsia"/>
                <w:szCs w:val="18"/>
              </w:rPr>
              <w:t>GB/T5750.12-2006</w:t>
            </w:r>
          </w:p>
        </w:tc>
        <w:tc>
          <w:tcPr>
            <w:tcW w:w="1701" w:type="dxa"/>
            <w:vAlign w:val="center"/>
          </w:tcPr>
          <w:p w:rsidR="002A5A5E" w:rsidRPr="00F9522B" w:rsidRDefault="00611CBA">
            <w:pPr>
              <w:jc w:val="center"/>
              <w:rPr>
                <w:rFonts w:eastAsiaTheme="minorEastAsia"/>
                <w:szCs w:val="18"/>
              </w:rPr>
            </w:pPr>
            <w:r w:rsidRPr="00F9522B">
              <w:rPr>
                <w:rFonts w:eastAsiaTheme="minorEastAsia"/>
              </w:rPr>
              <w:t>电热恒温培养箱</w:t>
            </w:r>
          </w:p>
        </w:tc>
        <w:tc>
          <w:tcPr>
            <w:tcW w:w="2410" w:type="dxa"/>
            <w:vAlign w:val="center"/>
          </w:tcPr>
          <w:p w:rsidR="002A5A5E" w:rsidRPr="00F9522B" w:rsidRDefault="00611CBA">
            <w:pPr>
              <w:jc w:val="center"/>
              <w:rPr>
                <w:rFonts w:eastAsiaTheme="minorEastAsia"/>
                <w:szCs w:val="18"/>
              </w:rPr>
            </w:pPr>
            <w:r w:rsidRPr="00F9522B">
              <w:rPr>
                <w:rFonts w:eastAsiaTheme="minorEastAsia"/>
                <w:szCs w:val="18"/>
              </w:rPr>
              <w:t>BPX-82/XJYQ-087-2017</w:t>
            </w:r>
          </w:p>
        </w:tc>
      </w:tr>
      <w:tr w:rsidR="002A5A5E" w:rsidRPr="00F9522B">
        <w:trPr>
          <w:trHeight w:val="381"/>
        </w:trPr>
        <w:tc>
          <w:tcPr>
            <w:tcW w:w="1141" w:type="dxa"/>
            <w:vAlign w:val="center"/>
          </w:tcPr>
          <w:p w:rsidR="002A5A5E" w:rsidRPr="00F9522B" w:rsidRDefault="00611CBA">
            <w:pPr>
              <w:jc w:val="center"/>
              <w:rPr>
                <w:rFonts w:eastAsiaTheme="minorEastAsia"/>
              </w:rPr>
            </w:pPr>
            <w:r w:rsidRPr="00F9522B">
              <w:rPr>
                <w:rFonts w:eastAsiaTheme="minorEastAsia"/>
              </w:rPr>
              <w:t>铁</w:t>
            </w:r>
          </w:p>
        </w:tc>
        <w:tc>
          <w:tcPr>
            <w:tcW w:w="3220" w:type="dxa"/>
            <w:vAlign w:val="center"/>
          </w:tcPr>
          <w:p w:rsidR="002A5A5E" w:rsidRPr="00F9522B" w:rsidRDefault="00611CBA">
            <w:pPr>
              <w:jc w:val="center"/>
              <w:rPr>
                <w:rFonts w:eastAsiaTheme="minorEastAsia"/>
                <w:szCs w:val="18"/>
              </w:rPr>
            </w:pPr>
            <w:r w:rsidRPr="00F9522B">
              <w:rPr>
                <w:rFonts w:eastAsiaTheme="minorEastAsia"/>
                <w:szCs w:val="18"/>
              </w:rPr>
              <w:t>水质</w:t>
            </w:r>
            <w:r w:rsidRPr="00F9522B">
              <w:rPr>
                <w:rFonts w:eastAsiaTheme="minorEastAsia"/>
                <w:szCs w:val="18"/>
              </w:rPr>
              <w:t xml:space="preserve"> </w:t>
            </w:r>
            <w:r w:rsidRPr="00F9522B">
              <w:rPr>
                <w:rFonts w:eastAsiaTheme="minorEastAsia"/>
                <w:szCs w:val="18"/>
              </w:rPr>
              <w:t>铁、锰的测定</w:t>
            </w:r>
            <w:r w:rsidRPr="00F9522B">
              <w:rPr>
                <w:rFonts w:eastAsiaTheme="minorEastAsia"/>
                <w:szCs w:val="18"/>
              </w:rPr>
              <w:t xml:space="preserve"> </w:t>
            </w:r>
            <w:r w:rsidRPr="00F9522B">
              <w:rPr>
                <w:rFonts w:eastAsiaTheme="minorEastAsia"/>
                <w:szCs w:val="18"/>
              </w:rPr>
              <w:t>火焰原子吸收分光光度法</w:t>
            </w:r>
            <w:r w:rsidRPr="00F9522B">
              <w:rPr>
                <w:rFonts w:eastAsiaTheme="minorEastAsia"/>
                <w:szCs w:val="18"/>
              </w:rPr>
              <w:t>GB11911-89</w:t>
            </w:r>
          </w:p>
        </w:tc>
        <w:tc>
          <w:tcPr>
            <w:tcW w:w="1701" w:type="dxa"/>
            <w:vAlign w:val="center"/>
          </w:tcPr>
          <w:p w:rsidR="002A5A5E" w:rsidRPr="00F9522B" w:rsidRDefault="00611CBA">
            <w:pPr>
              <w:jc w:val="center"/>
              <w:rPr>
                <w:rFonts w:eastAsiaTheme="minorEastAsia"/>
                <w:szCs w:val="18"/>
              </w:rPr>
            </w:pPr>
            <w:r w:rsidRPr="00F9522B">
              <w:rPr>
                <w:rFonts w:eastAsiaTheme="minorEastAsia"/>
                <w:szCs w:val="18"/>
              </w:rPr>
              <w:t>原子吸收分光光度计</w:t>
            </w:r>
          </w:p>
        </w:tc>
        <w:tc>
          <w:tcPr>
            <w:tcW w:w="2410" w:type="dxa"/>
            <w:vAlign w:val="center"/>
          </w:tcPr>
          <w:p w:rsidR="002A5A5E" w:rsidRPr="00F9522B" w:rsidRDefault="00611CBA">
            <w:pPr>
              <w:jc w:val="center"/>
              <w:rPr>
                <w:rFonts w:eastAsiaTheme="minorEastAsia"/>
                <w:szCs w:val="18"/>
              </w:rPr>
            </w:pPr>
            <w:r w:rsidRPr="00F9522B">
              <w:rPr>
                <w:rFonts w:eastAsiaTheme="minorEastAsia"/>
                <w:szCs w:val="18"/>
              </w:rPr>
              <w:t>TAS-990F/XJYQ-039-2017</w:t>
            </w:r>
          </w:p>
        </w:tc>
      </w:tr>
      <w:tr w:rsidR="002A5A5E" w:rsidRPr="00F9522B">
        <w:trPr>
          <w:trHeight w:val="187"/>
        </w:trPr>
        <w:tc>
          <w:tcPr>
            <w:tcW w:w="1141" w:type="dxa"/>
            <w:vAlign w:val="center"/>
          </w:tcPr>
          <w:p w:rsidR="002A5A5E" w:rsidRPr="00F9522B" w:rsidRDefault="00611CBA">
            <w:pPr>
              <w:jc w:val="center"/>
              <w:rPr>
                <w:rFonts w:eastAsiaTheme="minorEastAsia"/>
              </w:rPr>
            </w:pPr>
            <w:r w:rsidRPr="00F9522B">
              <w:rPr>
                <w:rFonts w:eastAsiaTheme="minorEastAsia"/>
              </w:rPr>
              <w:t>锰</w:t>
            </w:r>
          </w:p>
        </w:tc>
        <w:tc>
          <w:tcPr>
            <w:tcW w:w="3220" w:type="dxa"/>
            <w:vAlign w:val="center"/>
          </w:tcPr>
          <w:p w:rsidR="002A5A5E" w:rsidRPr="00F9522B" w:rsidRDefault="00611CBA">
            <w:pPr>
              <w:jc w:val="center"/>
              <w:rPr>
                <w:rFonts w:eastAsiaTheme="minorEastAsia"/>
                <w:szCs w:val="18"/>
              </w:rPr>
            </w:pPr>
            <w:r w:rsidRPr="00F9522B">
              <w:rPr>
                <w:rFonts w:eastAsiaTheme="minorEastAsia"/>
                <w:szCs w:val="18"/>
              </w:rPr>
              <w:t>水质</w:t>
            </w:r>
            <w:r w:rsidRPr="00F9522B">
              <w:rPr>
                <w:rFonts w:eastAsiaTheme="minorEastAsia"/>
                <w:szCs w:val="18"/>
              </w:rPr>
              <w:t xml:space="preserve"> </w:t>
            </w:r>
            <w:r w:rsidRPr="00F9522B">
              <w:rPr>
                <w:rFonts w:eastAsiaTheme="minorEastAsia"/>
                <w:szCs w:val="18"/>
              </w:rPr>
              <w:t>铁、锰的测定</w:t>
            </w:r>
            <w:r w:rsidRPr="00F9522B">
              <w:rPr>
                <w:rFonts w:eastAsiaTheme="minorEastAsia"/>
                <w:szCs w:val="18"/>
              </w:rPr>
              <w:t xml:space="preserve"> </w:t>
            </w:r>
            <w:r w:rsidRPr="00F9522B">
              <w:rPr>
                <w:rFonts w:eastAsiaTheme="minorEastAsia"/>
                <w:szCs w:val="18"/>
              </w:rPr>
              <w:t>火焰原子吸收分光光度法</w:t>
            </w:r>
            <w:r w:rsidRPr="00F9522B">
              <w:rPr>
                <w:rFonts w:eastAsiaTheme="minorEastAsia"/>
                <w:szCs w:val="18"/>
              </w:rPr>
              <w:t>GB11911-89</w:t>
            </w:r>
          </w:p>
        </w:tc>
        <w:tc>
          <w:tcPr>
            <w:tcW w:w="1701" w:type="dxa"/>
            <w:vAlign w:val="center"/>
          </w:tcPr>
          <w:p w:rsidR="002A5A5E" w:rsidRPr="00F9522B" w:rsidRDefault="00611CBA">
            <w:pPr>
              <w:jc w:val="center"/>
              <w:rPr>
                <w:rFonts w:eastAsiaTheme="minorEastAsia"/>
                <w:szCs w:val="18"/>
              </w:rPr>
            </w:pPr>
            <w:r w:rsidRPr="00F9522B">
              <w:rPr>
                <w:rFonts w:eastAsiaTheme="minorEastAsia"/>
                <w:szCs w:val="18"/>
              </w:rPr>
              <w:t>原子吸收分光光度计</w:t>
            </w:r>
          </w:p>
        </w:tc>
        <w:tc>
          <w:tcPr>
            <w:tcW w:w="2410" w:type="dxa"/>
            <w:vAlign w:val="center"/>
          </w:tcPr>
          <w:p w:rsidR="002A5A5E" w:rsidRPr="00F9522B" w:rsidRDefault="00611CBA">
            <w:pPr>
              <w:jc w:val="center"/>
              <w:rPr>
                <w:rFonts w:eastAsiaTheme="minorEastAsia"/>
                <w:szCs w:val="18"/>
              </w:rPr>
            </w:pPr>
            <w:r w:rsidRPr="00F9522B">
              <w:rPr>
                <w:rFonts w:eastAsiaTheme="minorEastAsia"/>
                <w:szCs w:val="18"/>
              </w:rPr>
              <w:t>TAS-990F/XJYQ-039-2017</w:t>
            </w:r>
          </w:p>
        </w:tc>
      </w:tr>
      <w:tr w:rsidR="002A5A5E" w:rsidRPr="00F9522B">
        <w:trPr>
          <w:trHeight w:val="187"/>
        </w:trPr>
        <w:tc>
          <w:tcPr>
            <w:tcW w:w="1141" w:type="dxa"/>
            <w:vAlign w:val="center"/>
          </w:tcPr>
          <w:p w:rsidR="002A5A5E" w:rsidRPr="00F9522B" w:rsidRDefault="00611CBA">
            <w:pPr>
              <w:jc w:val="center"/>
              <w:rPr>
                <w:rFonts w:eastAsiaTheme="minorEastAsia"/>
              </w:rPr>
            </w:pPr>
            <w:r w:rsidRPr="00F9522B">
              <w:rPr>
                <w:rFonts w:eastAsiaTheme="minorEastAsia"/>
              </w:rPr>
              <w:t>砷</w:t>
            </w:r>
          </w:p>
        </w:tc>
        <w:tc>
          <w:tcPr>
            <w:tcW w:w="3220" w:type="dxa"/>
            <w:vAlign w:val="center"/>
          </w:tcPr>
          <w:p w:rsidR="002A5A5E" w:rsidRPr="00F9522B" w:rsidRDefault="00611CBA">
            <w:pPr>
              <w:jc w:val="center"/>
              <w:rPr>
                <w:rFonts w:eastAsiaTheme="minorEastAsia"/>
                <w:szCs w:val="18"/>
              </w:rPr>
            </w:pPr>
            <w:r w:rsidRPr="00F9522B">
              <w:rPr>
                <w:rFonts w:eastAsiaTheme="minorEastAsia"/>
                <w:szCs w:val="18"/>
              </w:rPr>
              <w:t>水质</w:t>
            </w:r>
            <w:r w:rsidRPr="00F9522B">
              <w:rPr>
                <w:rFonts w:eastAsiaTheme="minorEastAsia"/>
                <w:szCs w:val="18"/>
              </w:rPr>
              <w:t xml:space="preserve"> </w:t>
            </w:r>
            <w:r w:rsidRPr="00F9522B">
              <w:rPr>
                <w:rFonts w:eastAsiaTheme="minorEastAsia"/>
                <w:szCs w:val="18"/>
              </w:rPr>
              <w:t>汞、砷、硒、铋和锑的测定</w:t>
            </w:r>
            <w:r w:rsidRPr="00F9522B">
              <w:rPr>
                <w:rFonts w:eastAsiaTheme="minorEastAsia"/>
                <w:szCs w:val="18"/>
              </w:rPr>
              <w:t xml:space="preserve"> </w:t>
            </w:r>
            <w:r w:rsidRPr="00F9522B">
              <w:rPr>
                <w:rFonts w:eastAsiaTheme="minorEastAsia"/>
                <w:szCs w:val="18"/>
              </w:rPr>
              <w:t>原子荧光法</w:t>
            </w:r>
            <w:r w:rsidRPr="00F9522B">
              <w:rPr>
                <w:rFonts w:eastAsiaTheme="minorEastAsia"/>
                <w:szCs w:val="18"/>
              </w:rPr>
              <w:t xml:space="preserve"> HJ694-2014</w:t>
            </w:r>
          </w:p>
        </w:tc>
        <w:tc>
          <w:tcPr>
            <w:tcW w:w="1701" w:type="dxa"/>
            <w:vAlign w:val="center"/>
          </w:tcPr>
          <w:p w:rsidR="002A5A5E" w:rsidRPr="00F9522B" w:rsidRDefault="00611CBA">
            <w:pPr>
              <w:jc w:val="center"/>
              <w:rPr>
                <w:rFonts w:eastAsiaTheme="minorEastAsia"/>
                <w:szCs w:val="18"/>
              </w:rPr>
            </w:pPr>
            <w:r w:rsidRPr="00F9522B">
              <w:rPr>
                <w:rFonts w:eastAsiaTheme="minorEastAsia"/>
                <w:szCs w:val="18"/>
              </w:rPr>
              <w:t>原子荧光光谱仪</w:t>
            </w:r>
          </w:p>
        </w:tc>
        <w:tc>
          <w:tcPr>
            <w:tcW w:w="2410" w:type="dxa"/>
            <w:vAlign w:val="center"/>
          </w:tcPr>
          <w:p w:rsidR="002A5A5E" w:rsidRPr="00F9522B" w:rsidRDefault="00611CBA">
            <w:pPr>
              <w:jc w:val="center"/>
              <w:rPr>
                <w:rFonts w:eastAsiaTheme="minorEastAsia"/>
                <w:szCs w:val="18"/>
              </w:rPr>
            </w:pPr>
            <w:r w:rsidRPr="00F9522B">
              <w:rPr>
                <w:rFonts w:eastAsiaTheme="minorEastAsia"/>
                <w:szCs w:val="18"/>
              </w:rPr>
              <w:t>AF-610E/XJYQ-080-2017</w:t>
            </w:r>
          </w:p>
        </w:tc>
      </w:tr>
      <w:tr w:rsidR="002A5A5E" w:rsidRPr="00F9522B">
        <w:trPr>
          <w:trHeight w:val="36"/>
        </w:trPr>
        <w:tc>
          <w:tcPr>
            <w:tcW w:w="1141" w:type="dxa"/>
            <w:vAlign w:val="center"/>
          </w:tcPr>
          <w:p w:rsidR="002A5A5E" w:rsidRPr="00F9522B" w:rsidRDefault="00611CBA">
            <w:pPr>
              <w:jc w:val="center"/>
              <w:rPr>
                <w:rFonts w:eastAsiaTheme="minorEastAsia"/>
              </w:rPr>
            </w:pPr>
            <w:r w:rsidRPr="00F9522B">
              <w:rPr>
                <w:rFonts w:eastAsiaTheme="minorEastAsia"/>
              </w:rPr>
              <w:t>汞</w:t>
            </w:r>
          </w:p>
        </w:tc>
        <w:tc>
          <w:tcPr>
            <w:tcW w:w="3220" w:type="dxa"/>
            <w:vAlign w:val="center"/>
          </w:tcPr>
          <w:p w:rsidR="002A5A5E" w:rsidRPr="00F9522B" w:rsidRDefault="00611CBA">
            <w:pPr>
              <w:jc w:val="center"/>
              <w:rPr>
                <w:rFonts w:eastAsiaTheme="minorEastAsia"/>
                <w:szCs w:val="18"/>
              </w:rPr>
            </w:pPr>
            <w:r w:rsidRPr="00F9522B">
              <w:rPr>
                <w:rFonts w:eastAsiaTheme="minorEastAsia"/>
                <w:szCs w:val="18"/>
              </w:rPr>
              <w:t>水质</w:t>
            </w:r>
            <w:r w:rsidRPr="00F9522B">
              <w:rPr>
                <w:rFonts w:eastAsiaTheme="minorEastAsia"/>
                <w:szCs w:val="18"/>
              </w:rPr>
              <w:t xml:space="preserve"> </w:t>
            </w:r>
            <w:r w:rsidRPr="00F9522B">
              <w:rPr>
                <w:rFonts w:eastAsiaTheme="minorEastAsia"/>
                <w:szCs w:val="18"/>
              </w:rPr>
              <w:t>汞、砷、硒、铋和锑的测定</w:t>
            </w:r>
            <w:r w:rsidRPr="00F9522B">
              <w:rPr>
                <w:rFonts w:eastAsiaTheme="minorEastAsia"/>
                <w:szCs w:val="18"/>
              </w:rPr>
              <w:t xml:space="preserve"> </w:t>
            </w:r>
            <w:r w:rsidRPr="00F9522B">
              <w:rPr>
                <w:rFonts w:eastAsiaTheme="minorEastAsia"/>
                <w:szCs w:val="18"/>
              </w:rPr>
              <w:t>原子荧光法</w:t>
            </w:r>
            <w:r w:rsidRPr="00F9522B">
              <w:rPr>
                <w:rFonts w:eastAsiaTheme="minorEastAsia"/>
                <w:szCs w:val="18"/>
              </w:rPr>
              <w:t xml:space="preserve"> HJ694-2014</w:t>
            </w:r>
          </w:p>
        </w:tc>
        <w:tc>
          <w:tcPr>
            <w:tcW w:w="1701" w:type="dxa"/>
            <w:vAlign w:val="center"/>
          </w:tcPr>
          <w:p w:rsidR="002A5A5E" w:rsidRPr="00F9522B" w:rsidRDefault="00611CBA">
            <w:pPr>
              <w:jc w:val="center"/>
              <w:rPr>
                <w:rFonts w:eastAsiaTheme="minorEastAsia"/>
                <w:szCs w:val="18"/>
              </w:rPr>
            </w:pPr>
            <w:r w:rsidRPr="00F9522B">
              <w:rPr>
                <w:rFonts w:eastAsiaTheme="minorEastAsia"/>
                <w:szCs w:val="18"/>
              </w:rPr>
              <w:t>原子荧光光谱仪</w:t>
            </w:r>
          </w:p>
        </w:tc>
        <w:tc>
          <w:tcPr>
            <w:tcW w:w="2410" w:type="dxa"/>
            <w:vAlign w:val="center"/>
          </w:tcPr>
          <w:p w:rsidR="002A5A5E" w:rsidRPr="00F9522B" w:rsidRDefault="00611CBA">
            <w:pPr>
              <w:jc w:val="center"/>
              <w:rPr>
                <w:rFonts w:eastAsiaTheme="minorEastAsia"/>
                <w:szCs w:val="18"/>
              </w:rPr>
            </w:pPr>
            <w:r w:rsidRPr="00F9522B">
              <w:rPr>
                <w:rFonts w:eastAsiaTheme="minorEastAsia"/>
                <w:szCs w:val="18"/>
              </w:rPr>
              <w:t>AF-610E/XJYQ-080-2017</w:t>
            </w:r>
          </w:p>
        </w:tc>
      </w:tr>
      <w:tr w:rsidR="002A5A5E" w:rsidRPr="00F9522B">
        <w:trPr>
          <w:trHeight w:val="907"/>
        </w:trPr>
        <w:tc>
          <w:tcPr>
            <w:tcW w:w="1141" w:type="dxa"/>
            <w:vAlign w:val="center"/>
          </w:tcPr>
          <w:p w:rsidR="002A5A5E" w:rsidRPr="00F9522B" w:rsidRDefault="00611CBA">
            <w:pPr>
              <w:jc w:val="center"/>
              <w:rPr>
                <w:rFonts w:eastAsiaTheme="minorEastAsia"/>
              </w:rPr>
            </w:pPr>
            <w:r w:rsidRPr="00F9522B">
              <w:rPr>
                <w:rFonts w:eastAsiaTheme="minorEastAsia"/>
              </w:rPr>
              <w:t>铅</w:t>
            </w:r>
          </w:p>
        </w:tc>
        <w:tc>
          <w:tcPr>
            <w:tcW w:w="3220" w:type="dxa"/>
            <w:vAlign w:val="center"/>
          </w:tcPr>
          <w:p w:rsidR="002A5A5E" w:rsidRPr="00F9522B" w:rsidRDefault="00611CBA">
            <w:pPr>
              <w:jc w:val="center"/>
              <w:rPr>
                <w:rFonts w:eastAsiaTheme="minorEastAsia"/>
                <w:szCs w:val="18"/>
              </w:rPr>
            </w:pPr>
            <w:r w:rsidRPr="00F9522B">
              <w:rPr>
                <w:rFonts w:eastAsiaTheme="minorEastAsia"/>
                <w:szCs w:val="18"/>
              </w:rPr>
              <w:t>生活饮用水标准检验方法</w:t>
            </w:r>
            <w:r w:rsidRPr="00F9522B">
              <w:rPr>
                <w:rFonts w:eastAsiaTheme="minorEastAsia"/>
                <w:szCs w:val="18"/>
              </w:rPr>
              <w:t xml:space="preserve"> </w:t>
            </w:r>
            <w:r w:rsidRPr="00F9522B">
              <w:rPr>
                <w:rFonts w:eastAsiaTheme="minorEastAsia"/>
                <w:szCs w:val="18"/>
              </w:rPr>
              <w:t>金属指标（</w:t>
            </w:r>
            <w:r w:rsidRPr="00F9522B">
              <w:rPr>
                <w:rFonts w:eastAsiaTheme="minorEastAsia"/>
                <w:szCs w:val="18"/>
              </w:rPr>
              <w:t>11.1</w:t>
            </w:r>
            <w:r w:rsidRPr="00F9522B">
              <w:rPr>
                <w:rFonts w:eastAsiaTheme="minorEastAsia"/>
                <w:szCs w:val="18"/>
              </w:rPr>
              <w:t>无火焰原子吸收分光光度法）</w:t>
            </w:r>
            <w:r w:rsidRPr="00F9522B">
              <w:rPr>
                <w:rFonts w:eastAsiaTheme="minorEastAsia"/>
                <w:szCs w:val="18"/>
              </w:rPr>
              <w:t>GB/T5750.6-2006</w:t>
            </w:r>
          </w:p>
        </w:tc>
        <w:tc>
          <w:tcPr>
            <w:tcW w:w="1701" w:type="dxa"/>
            <w:vAlign w:val="center"/>
          </w:tcPr>
          <w:p w:rsidR="002A5A5E" w:rsidRPr="00F9522B" w:rsidRDefault="00611CBA">
            <w:pPr>
              <w:jc w:val="center"/>
              <w:rPr>
                <w:rFonts w:eastAsiaTheme="minorEastAsia"/>
                <w:szCs w:val="18"/>
              </w:rPr>
            </w:pPr>
            <w:r w:rsidRPr="00F9522B">
              <w:rPr>
                <w:rFonts w:eastAsiaTheme="minorEastAsia"/>
                <w:szCs w:val="18"/>
              </w:rPr>
              <w:t>原子吸收分光光度计</w:t>
            </w:r>
          </w:p>
        </w:tc>
        <w:tc>
          <w:tcPr>
            <w:tcW w:w="2410" w:type="dxa"/>
            <w:vAlign w:val="center"/>
          </w:tcPr>
          <w:p w:rsidR="002A5A5E" w:rsidRPr="00F9522B" w:rsidRDefault="00611CBA">
            <w:pPr>
              <w:jc w:val="center"/>
              <w:rPr>
                <w:rFonts w:eastAsiaTheme="minorEastAsia"/>
                <w:szCs w:val="18"/>
              </w:rPr>
            </w:pPr>
            <w:r w:rsidRPr="00F9522B">
              <w:rPr>
                <w:rFonts w:eastAsiaTheme="minorEastAsia"/>
                <w:szCs w:val="18"/>
              </w:rPr>
              <w:t>SP-3590AA/XJYQ-081-2017</w:t>
            </w:r>
          </w:p>
        </w:tc>
      </w:tr>
      <w:tr w:rsidR="002A5A5E" w:rsidRPr="00F9522B">
        <w:trPr>
          <w:trHeight w:val="907"/>
        </w:trPr>
        <w:tc>
          <w:tcPr>
            <w:tcW w:w="1141" w:type="dxa"/>
            <w:vAlign w:val="center"/>
          </w:tcPr>
          <w:p w:rsidR="002A5A5E" w:rsidRPr="00F9522B" w:rsidRDefault="00611CBA">
            <w:pPr>
              <w:jc w:val="center"/>
              <w:rPr>
                <w:rFonts w:eastAsiaTheme="minorEastAsia"/>
              </w:rPr>
            </w:pPr>
            <w:r w:rsidRPr="00F9522B">
              <w:rPr>
                <w:rFonts w:eastAsiaTheme="minorEastAsia"/>
              </w:rPr>
              <w:t>镉</w:t>
            </w:r>
          </w:p>
        </w:tc>
        <w:tc>
          <w:tcPr>
            <w:tcW w:w="3220" w:type="dxa"/>
            <w:vAlign w:val="center"/>
          </w:tcPr>
          <w:p w:rsidR="002A5A5E" w:rsidRPr="00F9522B" w:rsidRDefault="00611CBA">
            <w:pPr>
              <w:jc w:val="center"/>
              <w:rPr>
                <w:rFonts w:eastAsiaTheme="minorEastAsia"/>
                <w:szCs w:val="18"/>
              </w:rPr>
            </w:pPr>
            <w:r w:rsidRPr="00F9522B">
              <w:rPr>
                <w:rFonts w:eastAsiaTheme="minorEastAsia"/>
                <w:szCs w:val="18"/>
              </w:rPr>
              <w:t>生活饮用水标准检验方法</w:t>
            </w:r>
            <w:r w:rsidRPr="00F9522B">
              <w:rPr>
                <w:rFonts w:eastAsiaTheme="minorEastAsia"/>
                <w:szCs w:val="18"/>
              </w:rPr>
              <w:t xml:space="preserve"> </w:t>
            </w:r>
            <w:r w:rsidRPr="00F9522B">
              <w:rPr>
                <w:rFonts w:eastAsiaTheme="minorEastAsia"/>
                <w:szCs w:val="18"/>
              </w:rPr>
              <w:t>金属指标（</w:t>
            </w:r>
            <w:r w:rsidRPr="00F9522B">
              <w:rPr>
                <w:rFonts w:eastAsiaTheme="minorEastAsia"/>
                <w:szCs w:val="18"/>
              </w:rPr>
              <w:t>9.1</w:t>
            </w:r>
            <w:r w:rsidRPr="00F9522B">
              <w:rPr>
                <w:rFonts w:eastAsiaTheme="minorEastAsia"/>
                <w:szCs w:val="18"/>
              </w:rPr>
              <w:t>无火焰原子吸收分光光度法）</w:t>
            </w:r>
            <w:r w:rsidRPr="00F9522B">
              <w:rPr>
                <w:rFonts w:eastAsiaTheme="minorEastAsia"/>
                <w:szCs w:val="18"/>
              </w:rPr>
              <w:t>GB/T5750.6-2006</w:t>
            </w:r>
          </w:p>
        </w:tc>
        <w:tc>
          <w:tcPr>
            <w:tcW w:w="1701" w:type="dxa"/>
            <w:vAlign w:val="center"/>
          </w:tcPr>
          <w:p w:rsidR="002A5A5E" w:rsidRPr="00F9522B" w:rsidRDefault="00611CBA">
            <w:pPr>
              <w:jc w:val="center"/>
              <w:rPr>
                <w:rFonts w:eastAsiaTheme="minorEastAsia"/>
                <w:szCs w:val="18"/>
              </w:rPr>
            </w:pPr>
            <w:r w:rsidRPr="00F9522B">
              <w:rPr>
                <w:rFonts w:eastAsiaTheme="minorEastAsia"/>
                <w:szCs w:val="18"/>
              </w:rPr>
              <w:t>原子吸收分光光度计</w:t>
            </w:r>
          </w:p>
        </w:tc>
        <w:tc>
          <w:tcPr>
            <w:tcW w:w="2410" w:type="dxa"/>
            <w:vAlign w:val="center"/>
          </w:tcPr>
          <w:p w:rsidR="002A5A5E" w:rsidRPr="00F9522B" w:rsidRDefault="00611CBA">
            <w:pPr>
              <w:jc w:val="center"/>
              <w:rPr>
                <w:rFonts w:eastAsiaTheme="minorEastAsia"/>
                <w:szCs w:val="18"/>
              </w:rPr>
            </w:pPr>
            <w:r w:rsidRPr="00F9522B">
              <w:rPr>
                <w:rFonts w:eastAsiaTheme="minorEastAsia"/>
                <w:szCs w:val="18"/>
              </w:rPr>
              <w:t>SP-3590AA/XJYQ-081-2017</w:t>
            </w:r>
          </w:p>
        </w:tc>
      </w:tr>
      <w:tr w:rsidR="002A5A5E" w:rsidRPr="00F9522B">
        <w:trPr>
          <w:trHeight w:val="56"/>
        </w:trPr>
        <w:tc>
          <w:tcPr>
            <w:tcW w:w="1141" w:type="dxa"/>
            <w:vAlign w:val="center"/>
          </w:tcPr>
          <w:p w:rsidR="002A5A5E" w:rsidRPr="00F9522B" w:rsidRDefault="00611CBA">
            <w:pPr>
              <w:jc w:val="center"/>
              <w:rPr>
                <w:rFonts w:eastAsiaTheme="minorEastAsia"/>
              </w:rPr>
            </w:pPr>
            <w:r w:rsidRPr="00F9522B">
              <w:rPr>
                <w:rFonts w:eastAsiaTheme="minorEastAsia"/>
              </w:rPr>
              <w:t>钾</w:t>
            </w:r>
          </w:p>
        </w:tc>
        <w:tc>
          <w:tcPr>
            <w:tcW w:w="3220" w:type="dxa"/>
            <w:vAlign w:val="center"/>
          </w:tcPr>
          <w:p w:rsidR="002A5A5E" w:rsidRPr="00F9522B" w:rsidRDefault="00611CBA">
            <w:pPr>
              <w:jc w:val="center"/>
              <w:rPr>
                <w:rFonts w:eastAsiaTheme="minorEastAsia"/>
                <w:szCs w:val="18"/>
              </w:rPr>
            </w:pPr>
            <w:r w:rsidRPr="00F9522B">
              <w:rPr>
                <w:rFonts w:eastAsiaTheme="minorEastAsia"/>
                <w:szCs w:val="18"/>
              </w:rPr>
              <w:t>水质</w:t>
            </w:r>
            <w:r w:rsidRPr="00F9522B">
              <w:rPr>
                <w:rFonts w:eastAsiaTheme="minorEastAsia"/>
                <w:szCs w:val="18"/>
              </w:rPr>
              <w:t xml:space="preserve"> </w:t>
            </w:r>
            <w:r w:rsidRPr="00F9522B">
              <w:rPr>
                <w:rFonts w:eastAsiaTheme="minorEastAsia"/>
                <w:szCs w:val="18"/>
              </w:rPr>
              <w:t>钾和钠的测定</w:t>
            </w:r>
            <w:r w:rsidRPr="00F9522B">
              <w:rPr>
                <w:rFonts w:eastAsiaTheme="minorEastAsia"/>
                <w:szCs w:val="18"/>
              </w:rPr>
              <w:t xml:space="preserve"> </w:t>
            </w:r>
            <w:r w:rsidRPr="00F9522B">
              <w:rPr>
                <w:rFonts w:eastAsiaTheme="minorEastAsia"/>
                <w:szCs w:val="18"/>
              </w:rPr>
              <w:t>火焰原子吸收分光光度法</w:t>
            </w:r>
            <w:r w:rsidRPr="00F9522B">
              <w:rPr>
                <w:rFonts w:eastAsiaTheme="minorEastAsia"/>
                <w:szCs w:val="18"/>
              </w:rPr>
              <w:t>GB11904-89</w:t>
            </w:r>
          </w:p>
        </w:tc>
        <w:tc>
          <w:tcPr>
            <w:tcW w:w="1701" w:type="dxa"/>
            <w:vAlign w:val="center"/>
          </w:tcPr>
          <w:p w:rsidR="002A5A5E" w:rsidRPr="00F9522B" w:rsidRDefault="00611CBA">
            <w:pPr>
              <w:jc w:val="center"/>
              <w:rPr>
                <w:rFonts w:eastAsiaTheme="minorEastAsia"/>
                <w:szCs w:val="18"/>
              </w:rPr>
            </w:pPr>
            <w:r w:rsidRPr="00F9522B">
              <w:rPr>
                <w:rFonts w:eastAsiaTheme="minorEastAsia"/>
                <w:szCs w:val="18"/>
              </w:rPr>
              <w:t>原子吸收分光光度计</w:t>
            </w:r>
          </w:p>
        </w:tc>
        <w:tc>
          <w:tcPr>
            <w:tcW w:w="2410" w:type="dxa"/>
            <w:vAlign w:val="center"/>
          </w:tcPr>
          <w:p w:rsidR="002A5A5E" w:rsidRPr="00F9522B" w:rsidRDefault="00611CBA">
            <w:pPr>
              <w:jc w:val="center"/>
              <w:rPr>
                <w:rFonts w:eastAsiaTheme="minorEastAsia"/>
                <w:szCs w:val="18"/>
              </w:rPr>
            </w:pPr>
            <w:r w:rsidRPr="00F9522B">
              <w:rPr>
                <w:rFonts w:eastAsiaTheme="minorEastAsia"/>
                <w:szCs w:val="18"/>
              </w:rPr>
              <w:t>TAS-990F/XJYQ-039-2017</w:t>
            </w:r>
          </w:p>
        </w:tc>
      </w:tr>
      <w:tr w:rsidR="002A5A5E" w:rsidRPr="00F9522B">
        <w:trPr>
          <w:trHeight w:val="56"/>
        </w:trPr>
        <w:tc>
          <w:tcPr>
            <w:tcW w:w="1141" w:type="dxa"/>
            <w:vAlign w:val="center"/>
          </w:tcPr>
          <w:p w:rsidR="002A5A5E" w:rsidRPr="00F9522B" w:rsidRDefault="00611CBA">
            <w:pPr>
              <w:jc w:val="center"/>
              <w:rPr>
                <w:rFonts w:eastAsiaTheme="minorEastAsia"/>
              </w:rPr>
            </w:pPr>
            <w:r w:rsidRPr="00F9522B">
              <w:rPr>
                <w:rFonts w:eastAsiaTheme="minorEastAsia"/>
              </w:rPr>
              <w:t>钠</w:t>
            </w:r>
          </w:p>
        </w:tc>
        <w:tc>
          <w:tcPr>
            <w:tcW w:w="3220" w:type="dxa"/>
            <w:vAlign w:val="center"/>
          </w:tcPr>
          <w:p w:rsidR="002A5A5E" w:rsidRPr="00F9522B" w:rsidRDefault="00611CBA">
            <w:pPr>
              <w:jc w:val="center"/>
              <w:rPr>
                <w:rFonts w:eastAsiaTheme="minorEastAsia"/>
                <w:szCs w:val="18"/>
              </w:rPr>
            </w:pPr>
            <w:r w:rsidRPr="00F9522B">
              <w:rPr>
                <w:rFonts w:eastAsiaTheme="minorEastAsia"/>
                <w:szCs w:val="18"/>
              </w:rPr>
              <w:t>水质</w:t>
            </w:r>
            <w:r w:rsidRPr="00F9522B">
              <w:rPr>
                <w:rFonts w:eastAsiaTheme="minorEastAsia"/>
                <w:szCs w:val="18"/>
              </w:rPr>
              <w:t xml:space="preserve"> </w:t>
            </w:r>
            <w:r w:rsidRPr="00F9522B">
              <w:rPr>
                <w:rFonts w:eastAsiaTheme="minorEastAsia"/>
                <w:szCs w:val="18"/>
              </w:rPr>
              <w:t>钾和钠的测定</w:t>
            </w:r>
            <w:r w:rsidRPr="00F9522B">
              <w:rPr>
                <w:rFonts w:eastAsiaTheme="minorEastAsia"/>
                <w:szCs w:val="18"/>
              </w:rPr>
              <w:t xml:space="preserve"> </w:t>
            </w:r>
            <w:r w:rsidRPr="00F9522B">
              <w:rPr>
                <w:rFonts w:eastAsiaTheme="minorEastAsia"/>
                <w:szCs w:val="18"/>
              </w:rPr>
              <w:t>火焰原子吸收分光光度法</w:t>
            </w:r>
            <w:r w:rsidRPr="00F9522B">
              <w:rPr>
                <w:rFonts w:eastAsiaTheme="minorEastAsia"/>
                <w:szCs w:val="18"/>
              </w:rPr>
              <w:t>GB11904-89</w:t>
            </w:r>
          </w:p>
        </w:tc>
        <w:tc>
          <w:tcPr>
            <w:tcW w:w="1701" w:type="dxa"/>
            <w:vAlign w:val="center"/>
          </w:tcPr>
          <w:p w:rsidR="002A5A5E" w:rsidRPr="00F9522B" w:rsidRDefault="00611CBA">
            <w:pPr>
              <w:jc w:val="center"/>
              <w:rPr>
                <w:rFonts w:eastAsiaTheme="minorEastAsia"/>
                <w:szCs w:val="18"/>
              </w:rPr>
            </w:pPr>
            <w:r w:rsidRPr="00F9522B">
              <w:rPr>
                <w:rFonts w:eastAsiaTheme="minorEastAsia"/>
                <w:szCs w:val="18"/>
              </w:rPr>
              <w:t>原子吸收分光光度计</w:t>
            </w:r>
          </w:p>
        </w:tc>
        <w:tc>
          <w:tcPr>
            <w:tcW w:w="2410" w:type="dxa"/>
            <w:vAlign w:val="center"/>
          </w:tcPr>
          <w:p w:rsidR="002A5A5E" w:rsidRPr="00F9522B" w:rsidRDefault="00611CBA">
            <w:pPr>
              <w:jc w:val="center"/>
              <w:rPr>
                <w:rFonts w:eastAsiaTheme="minorEastAsia"/>
                <w:szCs w:val="18"/>
              </w:rPr>
            </w:pPr>
            <w:r w:rsidRPr="00F9522B">
              <w:rPr>
                <w:rFonts w:eastAsiaTheme="minorEastAsia"/>
                <w:szCs w:val="18"/>
              </w:rPr>
              <w:t>TAS-990F/XJYQ-039-2017</w:t>
            </w:r>
          </w:p>
        </w:tc>
      </w:tr>
      <w:tr w:rsidR="002A5A5E" w:rsidRPr="00F9522B">
        <w:trPr>
          <w:trHeight w:val="195"/>
        </w:trPr>
        <w:tc>
          <w:tcPr>
            <w:tcW w:w="1141" w:type="dxa"/>
            <w:vAlign w:val="center"/>
          </w:tcPr>
          <w:p w:rsidR="002A5A5E" w:rsidRPr="00F9522B" w:rsidRDefault="00611CBA">
            <w:pPr>
              <w:jc w:val="center"/>
              <w:rPr>
                <w:rFonts w:eastAsiaTheme="minorEastAsia"/>
              </w:rPr>
            </w:pPr>
            <w:r w:rsidRPr="00F9522B">
              <w:rPr>
                <w:rFonts w:eastAsiaTheme="minorEastAsia"/>
              </w:rPr>
              <w:t>钙</w:t>
            </w:r>
          </w:p>
        </w:tc>
        <w:tc>
          <w:tcPr>
            <w:tcW w:w="3220" w:type="dxa"/>
            <w:vAlign w:val="center"/>
          </w:tcPr>
          <w:p w:rsidR="002A5A5E" w:rsidRPr="00F9522B" w:rsidRDefault="00611CBA">
            <w:pPr>
              <w:jc w:val="center"/>
              <w:rPr>
                <w:rFonts w:eastAsiaTheme="minorEastAsia"/>
                <w:szCs w:val="18"/>
              </w:rPr>
            </w:pPr>
            <w:r w:rsidRPr="00F9522B">
              <w:rPr>
                <w:rFonts w:eastAsiaTheme="minorEastAsia"/>
                <w:szCs w:val="18"/>
              </w:rPr>
              <w:t>水质</w:t>
            </w:r>
            <w:r w:rsidRPr="00F9522B">
              <w:rPr>
                <w:rFonts w:eastAsiaTheme="minorEastAsia"/>
                <w:szCs w:val="18"/>
              </w:rPr>
              <w:t xml:space="preserve"> </w:t>
            </w:r>
            <w:r w:rsidRPr="00F9522B">
              <w:rPr>
                <w:rFonts w:eastAsiaTheme="minorEastAsia"/>
                <w:szCs w:val="18"/>
              </w:rPr>
              <w:t>钙的测定</w:t>
            </w:r>
            <w:r w:rsidRPr="00F9522B">
              <w:rPr>
                <w:rFonts w:eastAsiaTheme="minorEastAsia"/>
                <w:szCs w:val="18"/>
              </w:rPr>
              <w:t xml:space="preserve"> </w:t>
            </w:r>
            <w:r w:rsidRPr="00F9522B">
              <w:rPr>
                <w:rFonts w:eastAsiaTheme="minorEastAsia"/>
                <w:szCs w:val="18"/>
              </w:rPr>
              <w:t>火焰原子吸收分光光度法</w:t>
            </w:r>
            <w:r w:rsidRPr="00F9522B">
              <w:rPr>
                <w:rFonts w:eastAsiaTheme="minorEastAsia"/>
                <w:szCs w:val="18"/>
              </w:rPr>
              <w:t>GB11905-89</w:t>
            </w:r>
          </w:p>
        </w:tc>
        <w:tc>
          <w:tcPr>
            <w:tcW w:w="1701" w:type="dxa"/>
            <w:vAlign w:val="center"/>
          </w:tcPr>
          <w:p w:rsidR="002A5A5E" w:rsidRPr="00F9522B" w:rsidRDefault="00611CBA">
            <w:pPr>
              <w:jc w:val="center"/>
              <w:rPr>
                <w:rFonts w:eastAsiaTheme="minorEastAsia"/>
                <w:szCs w:val="18"/>
              </w:rPr>
            </w:pPr>
            <w:r w:rsidRPr="00F9522B">
              <w:rPr>
                <w:rFonts w:eastAsiaTheme="minorEastAsia"/>
                <w:szCs w:val="18"/>
              </w:rPr>
              <w:t>原子吸收分光光度计</w:t>
            </w:r>
          </w:p>
        </w:tc>
        <w:tc>
          <w:tcPr>
            <w:tcW w:w="2410" w:type="dxa"/>
            <w:vAlign w:val="center"/>
          </w:tcPr>
          <w:p w:rsidR="002A5A5E" w:rsidRPr="00F9522B" w:rsidRDefault="00611CBA">
            <w:pPr>
              <w:jc w:val="center"/>
              <w:rPr>
                <w:rFonts w:eastAsiaTheme="minorEastAsia"/>
                <w:szCs w:val="18"/>
              </w:rPr>
            </w:pPr>
            <w:r w:rsidRPr="00F9522B">
              <w:rPr>
                <w:rFonts w:eastAsiaTheme="minorEastAsia"/>
                <w:szCs w:val="18"/>
              </w:rPr>
              <w:t>TAS-990F/XJYQ-039-2017</w:t>
            </w:r>
          </w:p>
        </w:tc>
      </w:tr>
      <w:tr w:rsidR="002A5A5E" w:rsidRPr="00F9522B">
        <w:trPr>
          <w:trHeight w:val="119"/>
        </w:trPr>
        <w:tc>
          <w:tcPr>
            <w:tcW w:w="1141" w:type="dxa"/>
            <w:vAlign w:val="center"/>
          </w:tcPr>
          <w:p w:rsidR="002A5A5E" w:rsidRPr="00F9522B" w:rsidRDefault="00611CBA">
            <w:pPr>
              <w:jc w:val="center"/>
              <w:rPr>
                <w:rFonts w:eastAsiaTheme="minorEastAsia"/>
              </w:rPr>
            </w:pPr>
            <w:r w:rsidRPr="00F9522B">
              <w:rPr>
                <w:rFonts w:eastAsiaTheme="minorEastAsia"/>
              </w:rPr>
              <w:t>镁</w:t>
            </w:r>
          </w:p>
        </w:tc>
        <w:tc>
          <w:tcPr>
            <w:tcW w:w="3220" w:type="dxa"/>
            <w:vAlign w:val="center"/>
          </w:tcPr>
          <w:p w:rsidR="002A5A5E" w:rsidRPr="00F9522B" w:rsidRDefault="00611CBA">
            <w:pPr>
              <w:jc w:val="center"/>
              <w:rPr>
                <w:rFonts w:eastAsiaTheme="minorEastAsia"/>
                <w:szCs w:val="18"/>
              </w:rPr>
            </w:pPr>
            <w:r w:rsidRPr="00F9522B">
              <w:rPr>
                <w:rFonts w:eastAsiaTheme="minorEastAsia"/>
                <w:szCs w:val="18"/>
              </w:rPr>
              <w:t>水质</w:t>
            </w:r>
            <w:r w:rsidRPr="00F9522B">
              <w:rPr>
                <w:rFonts w:eastAsiaTheme="minorEastAsia"/>
                <w:szCs w:val="18"/>
              </w:rPr>
              <w:t xml:space="preserve"> </w:t>
            </w:r>
            <w:r w:rsidRPr="00F9522B">
              <w:rPr>
                <w:rFonts w:eastAsiaTheme="minorEastAsia"/>
                <w:szCs w:val="18"/>
              </w:rPr>
              <w:t>镁的测定</w:t>
            </w:r>
            <w:r w:rsidRPr="00F9522B">
              <w:rPr>
                <w:rFonts w:eastAsiaTheme="minorEastAsia"/>
                <w:szCs w:val="18"/>
              </w:rPr>
              <w:t xml:space="preserve"> </w:t>
            </w:r>
            <w:r w:rsidRPr="00F9522B">
              <w:rPr>
                <w:rFonts w:eastAsiaTheme="minorEastAsia"/>
                <w:szCs w:val="18"/>
              </w:rPr>
              <w:t>火焰原子吸收分光光度法</w:t>
            </w:r>
            <w:r w:rsidRPr="00F9522B">
              <w:rPr>
                <w:rFonts w:eastAsiaTheme="minorEastAsia"/>
                <w:szCs w:val="18"/>
              </w:rPr>
              <w:t>GB11905-89</w:t>
            </w:r>
          </w:p>
        </w:tc>
        <w:tc>
          <w:tcPr>
            <w:tcW w:w="1701" w:type="dxa"/>
            <w:vAlign w:val="center"/>
          </w:tcPr>
          <w:p w:rsidR="002A5A5E" w:rsidRPr="00F9522B" w:rsidRDefault="00611CBA">
            <w:pPr>
              <w:jc w:val="center"/>
              <w:rPr>
                <w:rFonts w:eastAsiaTheme="minorEastAsia"/>
                <w:szCs w:val="18"/>
              </w:rPr>
            </w:pPr>
            <w:r w:rsidRPr="00F9522B">
              <w:rPr>
                <w:rFonts w:eastAsiaTheme="minorEastAsia"/>
                <w:szCs w:val="18"/>
              </w:rPr>
              <w:t>原子吸收分光光度计</w:t>
            </w:r>
          </w:p>
        </w:tc>
        <w:tc>
          <w:tcPr>
            <w:tcW w:w="2410" w:type="dxa"/>
            <w:vAlign w:val="center"/>
          </w:tcPr>
          <w:p w:rsidR="002A5A5E" w:rsidRPr="00F9522B" w:rsidRDefault="00611CBA">
            <w:pPr>
              <w:jc w:val="center"/>
              <w:rPr>
                <w:rFonts w:eastAsiaTheme="minorEastAsia"/>
                <w:szCs w:val="18"/>
              </w:rPr>
            </w:pPr>
            <w:r w:rsidRPr="00F9522B">
              <w:rPr>
                <w:rFonts w:eastAsiaTheme="minorEastAsia"/>
                <w:szCs w:val="18"/>
              </w:rPr>
              <w:t>TAS-990F/XJYQ-039-2017</w:t>
            </w:r>
          </w:p>
        </w:tc>
      </w:tr>
      <w:tr w:rsidR="002A5A5E" w:rsidRPr="00F9522B">
        <w:trPr>
          <w:trHeight w:val="907"/>
        </w:trPr>
        <w:tc>
          <w:tcPr>
            <w:tcW w:w="1141" w:type="dxa"/>
            <w:vAlign w:val="center"/>
          </w:tcPr>
          <w:p w:rsidR="002A5A5E" w:rsidRPr="00F9522B" w:rsidRDefault="00611CBA">
            <w:pPr>
              <w:jc w:val="center"/>
              <w:rPr>
                <w:rFonts w:eastAsiaTheme="minorEastAsia"/>
              </w:rPr>
            </w:pPr>
            <w:r w:rsidRPr="00F9522B">
              <w:rPr>
                <w:rFonts w:eastAsiaTheme="minorEastAsia"/>
              </w:rPr>
              <w:t>碳酸根</w:t>
            </w:r>
          </w:p>
          <w:p w:rsidR="002A5A5E" w:rsidRPr="00F9522B" w:rsidRDefault="00611CBA">
            <w:pPr>
              <w:jc w:val="center"/>
              <w:rPr>
                <w:rFonts w:eastAsiaTheme="minorEastAsia"/>
              </w:rPr>
            </w:pPr>
            <w:r w:rsidRPr="00F9522B">
              <w:rPr>
                <w:rFonts w:eastAsiaTheme="minorEastAsia"/>
              </w:rPr>
              <w:t>离子</w:t>
            </w:r>
          </w:p>
        </w:tc>
        <w:tc>
          <w:tcPr>
            <w:tcW w:w="3220" w:type="dxa"/>
            <w:vAlign w:val="center"/>
          </w:tcPr>
          <w:p w:rsidR="002A5A5E" w:rsidRPr="00F9522B" w:rsidRDefault="00611CBA">
            <w:pPr>
              <w:jc w:val="center"/>
              <w:rPr>
                <w:rFonts w:eastAsiaTheme="minorEastAsia"/>
                <w:szCs w:val="18"/>
              </w:rPr>
            </w:pPr>
            <w:r w:rsidRPr="00F9522B">
              <w:rPr>
                <w:rFonts w:eastAsiaTheme="minorEastAsia"/>
                <w:szCs w:val="18"/>
              </w:rPr>
              <w:t>酸碱指示剂滴定法《水和废水监测分析方法》</w:t>
            </w:r>
            <w:r w:rsidRPr="00F9522B">
              <w:rPr>
                <w:rFonts w:eastAsiaTheme="minorEastAsia"/>
                <w:szCs w:val="18"/>
              </w:rPr>
              <w:t>(</w:t>
            </w:r>
            <w:r w:rsidRPr="00F9522B">
              <w:rPr>
                <w:rFonts w:eastAsiaTheme="minorEastAsia"/>
                <w:szCs w:val="18"/>
              </w:rPr>
              <w:t>第四版增补版</w:t>
            </w:r>
            <w:r w:rsidRPr="00F9522B">
              <w:rPr>
                <w:rFonts w:eastAsiaTheme="minorEastAsia"/>
                <w:szCs w:val="18"/>
              </w:rPr>
              <w:t>)</w:t>
            </w:r>
            <w:r w:rsidRPr="00F9522B">
              <w:rPr>
                <w:rFonts w:eastAsiaTheme="minorEastAsia"/>
                <w:szCs w:val="18"/>
              </w:rPr>
              <w:t>国家环保总局</w:t>
            </w:r>
            <w:r w:rsidRPr="00F9522B">
              <w:rPr>
                <w:rFonts w:eastAsiaTheme="minorEastAsia"/>
                <w:szCs w:val="18"/>
              </w:rPr>
              <w:t>(2002) P121</w:t>
            </w:r>
          </w:p>
        </w:tc>
        <w:tc>
          <w:tcPr>
            <w:tcW w:w="1701" w:type="dxa"/>
            <w:vAlign w:val="center"/>
          </w:tcPr>
          <w:p w:rsidR="002A5A5E" w:rsidRPr="00F9522B" w:rsidRDefault="00611CBA">
            <w:pPr>
              <w:jc w:val="center"/>
              <w:rPr>
                <w:rFonts w:eastAsiaTheme="minorEastAsia"/>
                <w:szCs w:val="18"/>
              </w:rPr>
            </w:pPr>
            <w:r w:rsidRPr="00F9522B">
              <w:rPr>
                <w:rFonts w:eastAsiaTheme="minorEastAsia"/>
                <w:szCs w:val="18"/>
              </w:rPr>
              <w:t>滴定管</w:t>
            </w:r>
          </w:p>
        </w:tc>
        <w:tc>
          <w:tcPr>
            <w:tcW w:w="2410" w:type="dxa"/>
            <w:vAlign w:val="center"/>
          </w:tcPr>
          <w:p w:rsidR="002A5A5E" w:rsidRPr="00F9522B" w:rsidRDefault="00611CBA">
            <w:pPr>
              <w:jc w:val="center"/>
              <w:rPr>
                <w:rFonts w:eastAsiaTheme="minorEastAsia"/>
                <w:szCs w:val="18"/>
              </w:rPr>
            </w:pPr>
            <w:r w:rsidRPr="00F9522B">
              <w:rPr>
                <w:rFonts w:eastAsiaTheme="minorEastAsia"/>
                <w:szCs w:val="18"/>
              </w:rPr>
              <w:t>25ml /--</w:t>
            </w:r>
          </w:p>
        </w:tc>
      </w:tr>
      <w:tr w:rsidR="002A5A5E" w:rsidRPr="00F9522B">
        <w:trPr>
          <w:trHeight w:val="907"/>
        </w:trPr>
        <w:tc>
          <w:tcPr>
            <w:tcW w:w="1141" w:type="dxa"/>
            <w:vAlign w:val="center"/>
          </w:tcPr>
          <w:p w:rsidR="002A5A5E" w:rsidRPr="00F9522B" w:rsidRDefault="00611CBA">
            <w:pPr>
              <w:jc w:val="center"/>
              <w:rPr>
                <w:rFonts w:eastAsiaTheme="minorEastAsia"/>
              </w:rPr>
            </w:pPr>
            <w:r w:rsidRPr="00F9522B">
              <w:rPr>
                <w:rFonts w:eastAsiaTheme="minorEastAsia"/>
              </w:rPr>
              <w:t>碳酸氢根离子</w:t>
            </w:r>
          </w:p>
        </w:tc>
        <w:tc>
          <w:tcPr>
            <w:tcW w:w="3220" w:type="dxa"/>
            <w:vAlign w:val="center"/>
          </w:tcPr>
          <w:p w:rsidR="002A5A5E" w:rsidRPr="00F9522B" w:rsidRDefault="00611CBA">
            <w:pPr>
              <w:jc w:val="center"/>
              <w:rPr>
                <w:rFonts w:eastAsiaTheme="minorEastAsia"/>
                <w:szCs w:val="18"/>
              </w:rPr>
            </w:pPr>
            <w:r w:rsidRPr="00F9522B">
              <w:rPr>
                <w:rFonts w:eastAsiaTheme="minorEastAsia"/>
                <w:szCs w:val="18"/>
              </w:rPr>
              <w:t>酸碱指示剂滴定法《水和废水监测分析方法》</w:t>
            </w:r>
            <w:r w:rsidRPr="00F9522B">
              <w:rPr>
                <w:rFonts w:eastAsiaTheme="minorEastAsia"/>
                <w:szCs w:val="18"/>
              </w:rPr>
              <w:t>(</w:t>
            </w:r>
            <w:r w:rsidRPr="00F9522B">
              <w:rPr>
                <w:rFonts w:eastAsiaTheme="minorEastAsia"/>
                <w:szCs w:val="18"/>
              </w:rPr>
              <w:t>第四版增补版</w:t>
            </w:r>
            <w:r w:rsidRPr="00F9522B">
              <w:rPr>
                <w:rFonts w:eastAsiaTheme="minorEastAsia"/>
                <w:szCs w:val="18"/>
              </w:rPr>
              <w:t>)</w:t>
            </w:r>
            <w:r w:rsidRPr="00F9522B">
              <w:rPr>
                <w:rFonts w:eastAsiaTheme="minorEastAsia"/>
                <w:szCs w:val="18"/>
              </w:rPr>
              <w:t>国家环保总局</w:t>
            </w:r>
            <w:r w:rsidRPr="00F9522B">
              <w:rPr>
                <w:rFonts w:eastAsiaTheme="minorEastAsia"/>
                <w:szCs w:val="18"/>
              </w:rPr>
              <w:t>(2002) P121</w:t>
            </w:r>
          </w:p>
        </w:tc>
        <w:tc>
          <w:tcPr>
            <w:tcW w:w="1701" w:type="dxa"/>
            <w:vAlign w:val="center"/>
          </w:tcPr>
          <w:p w:rsidR="002A5A5E" w:rsidRPr="00F9522B" w:rsidRDefault="00611CBA">
            <w:pPr>
              <w:jc w:val="center"/>
              <w:rPr>
                <w:rFonts w:eastAsiaTheme="minorEastAsia"/>
                <w:szCs w:val="18"/>
              </w:rPr>
            </w:pPr>
            <w:r w:rsidRPr="00F9522B">
              <w:rPr>
                <w:rFonts w:eastAsiaTheme="minorEastAsia"/>
                <w:szCs w:val="18"/>
              </w:rPr>
              <w:t>滴定管</w:t>
            </w:r>
          </w:p>
        </w:tc>
        <w:tc>
          <w:tcPr>
            <w:tcW w:w="2410" w:type="dxa"/>
            <w:vAlign w:val="center"/>
          </w:tcPr>
          <w:p w:rsidR="002A5A5E" w:rsidRPr="00F9522B" w:rsidRDefault="00611CBA">
            <w:pPr>
              <w:jc w:val="center"/>
              <w:rPr>
                <w:rFonts w:eastAsiaTheme="minorEastAsia"/>
                <w:szCs w:val="18"/>
              </w:rPr>
            </w:pPr>
            <w:r w:rsidRPr="00F9522B">
              <w:rPr>
                <w:rFonts w:eastAsiaTheme="minorEastAsia"/>
                <w:szCs w:val="18"/>
              </w:rPr>
              <w:t>25ml /--</w:t>
            </w:r>
          </w:p>
        </w:tc>
      </w:tr>
      <w:tr w:rsidR="002A5A5E" w:rsidRPr="00F9522B">
        <w:trPr>
          <w:trHeight w:val="907"/>
        </w:trPr>
        <w:tc>
          <w:tcPr>
            <w:tcW w:w="1141" w:type="dxa"/>
            <w:vAlign w:val="center"/>
          </w:tcPr>
          <w:p w:rsidR="002A5A5E" w:rsidRPr="00F9522B" w:rsidRDefault="00611CBA">
            <w:pPr>
              <w:jc w:val="center"/>
              <w:rPr>
                <w:rFonts w:eastAsiaTheme="minorEastAsia"/>
              </w:rPr>
            </w:pPr>
            <w:r w:rsidRPr="00F9522B">
              <w:rPr>
                <w:rFonts w:eastAsiaTheme="minorEastAsia"/>
              </w:rPr>
              <w:t>氯离子</w:t>
            </w:r>
          </w:p>
        </w:tc>
        <w:tc>
          <w:tcPr>
            <w:tcW w:w="3220" w:type="dxa"/>
            <w:vAlign w:val="center"/>
          </w:tcPr>
          <w:p w:rsidR="002A5A5E" w:rsidRPr="00F9522B" w:rsidRDefault="00611CBA">
            <w:pPr>
              <w:jc w:val="center"/>
              <w:rPr>
                <w:rFonts w:eastAsiaTheme="minorEastAsia"/>
                <w:szCs w:val="18"/>
              </w:rPr>
            </w:pPr>
            <w:r w:rsidRPr="00F9522B">
              <w:rPr>
                <w:rFonts w:eastAsiaTheme="minorEastAsia"/>
              </w:rPr>
              <w:t>水质</w:t>
            </w:r>
            <w:r w:rsidRPr="00F9522B">
              <w:rPr>
                <w:rFonts w:eastAsiaTheme="minorEastAsia"/>
              </w:rPr>
              <w:t xml:space="preserve"> </w:t>
            </w:r>
            <w:r w:rsidRPr="00F9522B">
              <w:rPr>
                <w:rFonts w:eastAsiaTheme="minorEastAsia"/>
              </w:rPr>
              <w:t>无机阴离子（</w:t>
            </w:r>
            <w:r w:rsidRPr="00F9522B">
              <w:rPr>
                <w:rFonts w:eastAsiaTheme="minorEastAsia"/>
              </w:rPr>
              <w:t>F</w:t>
            </w:r>
            <w:r w:rsidRPr="00F9522B">
              <w:rPr>
                <w:rFonts w:eastAsiaTheme="minorEastAsia"/>
                <w:vertAlign w:val="superscript"/>
              </w:rPr>
              <w:t>-</w:t>
            </w:r>
            <w:r w:rsidRPr="00F9522B">
              <w:rPr>
                <w:rFonts w:eastAsiaTheme="minorEastAsia"/>
              </w:rPr>
              <w:t>、</w:t>
            </w:r>
            <w:r w:rsidRPr="00F9522B">
              <w:rPr>
                <w:rFonts w:eastAsiaTheme="minorEastAsia"/>
              </w:rPr>
              <w:t>Cl</w:t>
            </w:r>
            <w:r w:rsidRPr="00F9522B">
              <w:rPr>
                <w:rFonts w:eastAsiaTheme="minorEastAsia"/>
                <w:vertAlign w:val="superscript"/>
              </w:rPr>
              <w:t>-</w:t>
            </w:r>
            <w:r w:rsidRPr="00F9522B">
              <w:rPr>
                <w:rFonts w:eastAsiaTheme="minorEastAsia"/>
              </w:rPr>
              <w:t>、</w:t>
            </w:r>
            <w:r w:rsidRPr="00F9522B">
              <w:rPr>
                <w:rFonts w:eastAsiaTheme="minorEastAsia"/>
              </w:rPr>
              <w:t>NO</w:t>
            </w:r>
            <w:r w:rsidRPr="00F9522B">
              <w:rPr>
                <w:rFonts w:eastAsiaTheme="minorEastAsia"/>
                <w:vertAlign w:val="subscript"/>
              </w:rPr>
              <w:t>2</w:t>
            </w:r>
            <w:r w:rsidRPr="00F9522B">
              <w:rPr>
                <w:rFonts w:eastAsiaTheme="minorEastAsia"/>
                <w:vertAlign w:val="superscript"/>
              </w:rPr>
              <w:t>-</w:t>
            </w:r>
            <w:r w:rsidRPr="00F9522B">
              <w:rPr>
                <w:rFonts w:eastAsiaTheme="minorEastAsia"/>
              </w:rPr>
              <w:t>、</w:t>
            </w:r>
            <w:r w:rsidRPr="00F9522B">
              <w:rPr>
                <w:rFonts w:eastAsiaTheme="minorEastAsia"/>
              </w:rPr>
              <w:t>Br</w:t>
            </w:r>
            <w:r w:rsidRPr="00F9522B">
              <w:rPr>
                <w:rFonts w:eastAsiaTheme="minorEastAsia"/>
                <w:vertAlign w:val="superscript"/>
              </w:rPr>
              <w:t>-</w:t>
            </w:r>
            <w:r w:rsidRPr="00F9522B">
              <w:rPr>
                <w:rFonts w:eastAsiaTheme="minorEastAsia"/>
              </w:rPr>
              <w:t>、</w:t>
            </w:r>
            <w:r w:rsidRPr="00F9522B">
              <w:rPr>
                <w:rFonts w:eastAsiaTheme="minorEastAsia"/>
              </w:rPr>
              <w:t>NO</w:t>
            </w:r>
            <w:r w:rsidRPr="00F9522B">
              <w:rPr>
                <w:rFonts w:eastAsiaTheme="minorEastAsia"/>
                <w:vertAlign w:val="subscript"/>
              </w:rPr>
              <w:t>3</w:t>
            </w:r>
            <w:r w:rsidRPr="00F9522B">
              <w:rPr>
                <w:rFonts w:eastAsiaTheme="minorEastAsia"/>
                <w:vertAlign w:val="superscript"/>
              </w:rPr>
              <w:t>-</w:t>
            </w:r>
            <w:r w:rsidRPr="00F9522B">
              <w:rPr>
                <w:rFonts w:eastAsiaTheme="minorEastAsia"/>
              </w:rPr>
              <w:t>、</w:t>
            </w:r>
            <w:r w:rsidRPr="00F9522B">
              <w:rPr>
                <w:rFonts w:eastAsiaTheme="minorEastAsia"/>
              </w:rPr>
              <w:t>PO</w:t>
            </w:r>
            <w:r w:rsidRPr="00F9522B">
              <w:rPr>
                <w:rFonts w:eastAsiaTheme="minorEastAsia"/>
                <w:vertAlign w:val="subscript"/>
              </w:rPr>
              <w:t>4</w:t>
            </w:r>
            <w:r w:rsidRPr="00F9522B">
              <w:rPr>
                <w:rFonts w:eastAsiaTheme="minorEastAsia"/>
                <w:vertAlign w:val="superscript"/>
              </w:rPr>
              <w:t>3-</w:t>
            </w:r>
            <w:r w:rsidRPr="00F9522B">
              <w:rPr>
                <w:rFonts w:eastAsiaTheme="minorEastAsia"/>
              </w:rPr>
              <w:t>、</w:t>
            </w:r>
            <w:r w:rsidRPr="00F9522B">
              <w:rPr>
                <w:rFonts w:eastAsiaTheme="minorEastAsia"/>
              </w:rPr>
              <w:t>SO</w:t>
            </w:r>
            <w:r w:rsidRPr="00F9522B">
              <w:rPr>
                <w:rFonts w:eastAsiaTheme="minorEastAsia"/>
                <w:vertAlign w:val="subscript"/>
              </w:rPr>
              <w:t>3</w:t>
            </w:r>
            <w:r w:rsidRPr="00F9522B">
              <w:rPr>
                <w:rFonts w:eastAsiaTheme="minorEastAsia"/>
                <w:vertAlign w:val="superscript"/>
              </w:rPr>
              <w:t>2-</w:t>
            </w:r>
            <w:r w:rsidRPr="00F9522B">
              <w:rPr>
                <w:rFonts w:eastAsiaTheme="minorEastAsia"/>
              </w:rPr>
              <w:t>、</w:t>
            </w:r>
            <w:r w:rsidRPr="00F9522B">
              <w:rPr>
                <w:rFonts w:eastAsiaTheme="minorEastAsia"/>
              </w:rPr>
              <w:t>SO</w:t>
            </w:r>
            <w:r w:rsidRPr="00F9522B">
              <w:rPr>
                <w:rFonts w:eastAsiaTheme="minorEastAsia"/>
                <w:vertAlign w:val="subscript"/>
              </w:rPr>
              <w:t>4</w:t>
            </w:r>
            <w:r w:rsidRPr="00F9522B">
              <w:rPr>
                <w:rFonts w:eastAsiaTheme="minorEastAsia"/>
                <w:vertAlign w:val="superscript"/>
              </w:rPr>
              <w:t>2-</w:t>
            </w:r>
            <w:r w:rsidRPr="00F9522B">
              <w:rPr>
                <w:rFonts w:eastAsiaTheme="minorEastAsia"/>
              </w:rPr>
              <w:t>）的测定</w:t>
            </w:r>
            <w:r w:rsidRPr="00F9522B">
              <w:rPr>
                <w:rFonts w:eastAsiaTheme="minorEastAsia"/>
              </w:rPr>
              <w:t xml:space="preserve"> </w:t>
            </w:r>
            <w:r w:rsidRPr="00F9522B">
              <w:rPr>
                <w:rFonts w:eastAsiaTheme="minorEastAsia"/>
              </w:rPr>
              <w:t>离子色谱法</w:t>
            </w:r>
            <w:r w:rsidRPr="00F9522B">
              <w:rPr>
                <w:rFonts w:eastAsiaTheme="minorEastAsia"/>
              </w:rPr>
              <w:t>HJ84-2016</w:t>
            </w:r>
          </w:p>
        </w:tc>
        <w:tc>
          <w:tcPr>
            <w:tcW w:w="1701" w:type="dxa"/>
            <w:vAlign w:val="center"/>
          </w:tcPr>
          <w:p w:rsidR="002A5A5E" w:rsidRPr="00F9522B" w:rsidRDefault="00611CBA">
            <w:pPr>
              <w:jc w:val="center"/>
              <w:rPr>
                <w:rFonts w:eastAsiaTheme="minorEastAsia"/>
                <w:szCs w:val="18"/>
              </w:rPr>
            </w:pPr>
            <w:r w:rsidRPr="00F9522B">
              <w:rPr>
                <w:rFonts w:eastAsiaTheme="minorEastAsia"/>
                <w:szCs w:val="18"/>
              </w:rPr>
              <w:t>离子色谱仪</w:t>
            </w:r>
          </w:p>
        </w:tc>
        <w:tc>
          <w:tcPr>
            <w:tcW w:w="2410" w:type="dxa"/>
            <w:vAlign w:val="center"/>
          </w:tcPr>
          <w:p w:rsidR="002A5A5E" w:rsidRPr="00F9522B" w:rsidRDefault="00611CBA">
            <w:pPr>
              <w:jc w:val="center"/>
              <w:rPr>
                <w:rFonts w:eastAsiaTheme="minorEastAsia"/>
                <w:szCs w:val="18"/>
              </w:rPr>
            </w:pPr>
            <w:r w:rsidRPr="00F9522B">
              <w:rPr>
                <w:rFonts w:eastAsiaTheme="minorEastAsia"/>
                <w:szCs w:val="18"/>
              </w:rPr>
              <w:t>CIC-D100/XJYQ-084-2017</w:t>
            </w:r>
          </w:p>
        </w:tc>
      </w:tr>
      <w:tr w:rsidR="002A5A5E" w:rsidRPr="00F9522B">
        <w:trPr>
          <w:trHeight w:val="907"/>
        </w:trPr>
        <w:tc>
          <w:tcPr>
            <w:tcW w:w="1141" w:type="dxa"/>
            <w:vAlign w:val="center"/>
          </w:tcPr>
          <w:p w:rsidR="002A5A5E" w:rsidRPr="00F9522B" w:rsidRDefault="00611CBA">
            <w:pPr>
              <w:jc w:val="center"/>
              <w:rPr>
                <w:rFonts w:eastAsiaTheme="minorEastAsia"/>
              </w:rPr>
            </w:pPr>
            <w:r w:rsidRPr="00F9522B">
              <w:rPr>
                <w:rFonts w:eastAsiaTheme="minorEastAsia"/>
              </w:rPr>
              <w:t>硫酸根</w:t>
            </w:r>
          </w:p>
          <w:p w:rsidR="002A5A5E" w:rsidRPr="00F9522B" w:rsidRDefault="00611CBA">
            <w:pPr>
              <w:jc w:val="center"/>
              <w:rPr>
                <w:rFonts w:eastAsiaTheme="minorEastAsia"/>
                <w:b/>
              </w:rPr>
            </w:pPr>
            <w:r w:rsidRPr="00F9522B">
              <w:rPr>
                <w:rFonts w:eastAsiaTheme="minorEastAsia"/>
              </w:rPr>
              <w:t>离子</w:t>
            </w:r>
          </w:p>
        </w:tc>
        <w:tc>
          <w:tcPr>
            <w:tcW w:w="3220" w:type="dxa"/>
            <w:vAlign w:val="center"/>
          </w:tcPr>
          <w:p w:rsidR="002A5A5E" w:rsidRPr="00F9522B" w:rsidRDefault="00611CBA">
            <w:pPr>
              <w:jc w:val="center"/>
              <w:rPr>
                <w:rFonts w:eastAsiaTheme="minorEastAsia"/>
                <w:szCs w:val="18"/>
              </w:rPr>
            </w:pPr>
            <w:r w:rsidRPr="00F9522B">
              <w:rPr>
                <w:rFonts w:eastAsiaTheme="minorEastAsia"/>
              </w:rPr>
              <w:t>水质</w:t>
            </w:r>
            <w:r w:rsidRPr="00F9522B">
              <w:rPr>
                <w:rFonts w:eastAsiaTheme="minorEastAsia"/>
              </w:rPr>
              <w:t xml:space="preserve"> </w:t>
            </w:r>
            <w:r w:rsidRPr="00F9522B">
              <w:rPr>
                <w:rFonts w:eastAsiaTheme="minorEastAsia"/>
              </w:rPr>
              <w:t>无机阴离子（</w:t>
            </w:r>
            <w:r w:rsidRPr="00F9522B">
              <w:rPr>
                <w:rFonts w:eastAsiaTheme="minorEastAsia"/>
              </w:rPr>
              <w:t>F</w:t>
            </w:r>
            <w:r w:rsidRPr="00F9522B">
              <w:rPr>
                <w:rFonts w:eastAsiaTheme="minorEastAsia"/>
                <w:vertAlign w:val="superscript"/>
              </w:rPr>
              <w:t>-</w:t>
            </w:r>
            <w:r w:rsidRPr="00F9522B">
              <w:rPr>
                <w:rFonts w:eastAsiaTheme="minorEastAsia"/>
              </w:rPr>
              <w:t>、</w:t>
            </w:r>
            <w:r w:rsidRPr="00F9522B">
              <w:rPr>
                <w:rFonts w:eastAsiaTheme="minorEastAsia"/>
              </w:rPr>
              <w:t>Cl</w:t>
            </w:r>
            <w:r w:rsidRPr="00F9522B">
              <w:rPr>
                <w:rFonts w:eastAsiaTheme="minorEastAsia"/>
                <w:vertAlign w:val="superscript"/>
              </w:rPr>
              <w:t>-</w:t>
            </w:r>
            <w:r w:rsidRPr="00F9522B">
              <w:rPr>
                <w:rFonts w:eastAsiaTheme="minorEastAsia"/>
              </w:rPr>
              <w:t>、</w:t>
            </w:r>
            <w:r w:rsidRPr="00F9522B">
              <w:rPr>
                <w:rFonts w:eastAsiaTheme="minorEastAsia"/>
              </w:rPr>
              <w:t>NO</w:t>
            </w:r>
            <w:r w:rsidRPr="00F9522B">
              <w:rPr>
                <w:rFonts w:eastAsiaTheme="minorEastAsia"/>
                <w:vertAlign w:val="subscript"/>
              </w:rPr>
              <w:t>2</w:t>
            </w:r>
            <w:r w:rsidRPr="00F9522B">
              <w:rPr>
                <w:rFonts w:eastAsiaTheme="minorEastAsia"/>
                <w:vertAlign w:val="superscript"/>
              </w:rPr>
              <w:t>-</w:t>
            </w:r>
            <w:r w:rsidRPr="00F9522B">
              <w:rPr>
                <w:rFonts w:eastAsiaTheme="minorEastAsia"/>
              </w:rPr>
              <w:t>、</w:t>
            </w:r>
            <w:r w:rsidRPr="00F9522B">
              <w:rPr>
                <w:rFonts w:eastAsiaTheme="minorEastAsia"/>
              </w:rPr>
              <w:t>Br</w:t>
            </w:r>
            <w:r w:rsidRPr="00F9522B">
              <w:rPr>
                <w:rFonts w:eastAsiaTheme="minorEastAsia"/>
                <w:vertAlign w:val="superscript"/>
              </w:rPr>
              <w:t>-</w:t>
            </w:r>
            <w:r w:rsidRPr="00F9522B">
              <w:rPr>
                <w:rFonts w:eastAsiaTheme="minorEastAsia"/>
              </w:rPr>
              <w:t>、</w:t>
            </w:r>
            <w:r w:rsidRPr="00F9522B">
              <w:rPr>
                <w:rFonts w:eastAsiaTheme="minorEastAsia"/>
              </w:rPr>
              <w:t>NO</w:t>
            </w:r>
            <w:r w:rsidRPr="00F9522B">
              <w:rPr>
                <w:rFonts w:eastAsiaTheme="minorEastAsia"/>
                <w:vertAlign w:val="subscript"/>
              </w:rPr>
              <w:t>3</w:t>
            </w:r>
            <w:r w:rsidRPr="00F9522B">
              <w:rPr>
                <w:rFonts w:eastAsiaTheme="minorEastAsia"/>
                <w:vertAlign w:val="superscript"/>
              </w:rPr>
              <w:t>-</w:t>
            </w:r>
            <w:r w:rsidRPr="00F9522B">
              <w:rPr>
                <w:rFonts w:eastAsiaTheme="minorEastAsia"/>
              </w:rPr>
              <w:t>、</w:t>
            </w:r>
            <w:r w:rsidRPr="00F9522B">
              <w:rPr>
                <w:rFonts w:eastAsiaTheme="minorEastAsia"/>
              </w:rPr>
              <w:t>PO</w:t>
            </w:r>
            <w:r w:rsidRPr="00F9522B">
              <w:rPr>
                <w:rFonts w:eastAsiaTheme="minorEastAsia"/>
                <w:vertAlign w:val="subscript"/>
              </w:rPr>
              <w:t>4</w:t>
            </w:r>
            <w:r w:rsidRPr="00F9522B">
              <w:rPr>
                <w:rFonts w:eastAsiaTheme="minorEastAsia"/>
                <w:vertAlign w:val="superscript"/>
              </w:rPr>
              <w:t>3-</w:t>
            </w:r>
            <w:r w:rsidRPr="00F9522B">
              <w:rPr>
                <w:rFonts w:eastAsiaTheme="minorEastAsia"/>
              </w:rPr>
              <w:t>、</w:t>
            </w:r>
            <w:r w:rsidRPr="00F9522B">
              <w:rPr>
                <w:rFonts w:eastAsiaTheme="minorEastAsia"/>
              </w:rPr>
              <w:t>SO</w:t>
            </w:r>
            <w:r w:rsidRPr="00F9522B">
              <w:rPr>
                <w:rFonts w:eastAsiaTheme="minorEastAsia"/>
                <w:vertAlign w:val="subscript"/>
              </w:rPr>
              <w:t>3</w:t>
            </w:r>
            <w:r w:rsidRPr="00F9522B">
              <w:rPr>
                <w:rFonts w:eastAsiaTheme="minorEastAsia"/>
                <w:vertAlign w:val="superscript"/>
              </w:rPr>
              <w:t>2-</w:t>
            </w:r>
            <w:r w:rsidRPr="00F9522B">
              <w:rPr>
                <w:rFonts w:eastAsiaTheme="minorEastAsia"/>
              </w:rPr>
              <w:t>、</w:t>
            </w:r>
            <w:r w:rsidRPr="00F9522B">
              <w:rPr>
                <w:rFonts w:eastAsiaTheme="minorEastAsia"/>
              </w:rPr>
              <w:t>SO</w:t>
            </w:r>
            <w:r w:rsidRPr="00F9522B">
              <w:rPr>
                <w:rFonts w:eastAsiaTheme="minorEastAsia"/>
                <w:vertAlign w:val="subscript"/>
              </w:rPr>
              <w:t>4</w:t>
            </w:r>
            <w:r w:rsidRPr="00F9522B">
              <w:rPr>
                <w:rFonts w:eastAsiaTheme="minorEastAsia"/>
                <w:vertAlign w:val="superscript"/>
              </w:rPr>
              <w:t>2-</w:t>
            </w:r>
            <w:r w:rsidRPr="00F9522B">
              <w:rPr>
                <w:rFonts w:eastAsiaTheme="minorEastAsia"/>
              </w:rPr>
              <w:t>）的测定</w:t>
            </w:r>
            <w:r w:rsidRPr="00F9522B">
              <w:rPr>
                <w:rFonts w:eastAsiaTheme="minorEastAsia"/>
              </w:rPr>
              <w:t xml:space="preserve"> </w:t>
            </w:r>
            <w:r w:rsidRPr="00F9522B">
              <w:rPr>
                <w:rFonts w:eastAsiaTheme="minorEastAsia"/>
              </w:rPr>
              <w:t>离子色谱法</w:t>
            </w:r>
            <w:r w:rsidRPr="00F9522B">
              <w:rPr>
                <w:rFonts w:eastAsiaTheme="minorEastAsia"/>
              </w:rPr>
              <w:t>HJ84-2016</w:t>
            </w:r>
          </w:p>
        </w:tc>
        <w:tc>
          <w:tcPr>
            <w:tcW w:w="1701" w:type="dxa"/>
            <w:vAlign w:val="center"/>
          </w:tcPr>
          <w:p w:rsidR="002A5A5E" w:rsidRPr="00F9522B" w:rsidRDefault="00611CBA">
            <w:pPr>
              <w:jc w:val="center"/>
              <w:rPr>
                <w:rFonts w:eastAsiaTheme="minorEastAsia"/>
                <w:szCs w:val="18"/>
              </w:rPr>
            </w:pPr>
            <w:r w:rsidRPr="00F9522B">
              <w:rPr>
                <w:rFonts w:eastAsiaTheme="minorEastAsia"/>
                <w:szCs w:val="18"/>
              </w:rPr>
              <w:t>离子色谱仪</w:t>
            </w:r>
          </w:p>
        </w:tc>
        <w:tc>
          <w:tcPr>
            <w:tcW w:w="2410" w:type="dxa"/>
            <w:vAlign w:val="center"/>
          </w:tcPr>
          <w:p w:rsidR="002A5A5E" w:rsidRPr="00F9522B" w:rsidRDefault="00611CBA">
            <w:pPr>
              <w:jc w:val="center"/>
              <w:rPr>
                <w:rFonts w:eastAsiaTheme="minorEastAsia"/>
                <w:szCs w:val="18"/>
              </w:rPr>
            </w:pPr>
            <w:r w:rsidRPr="00F9522B">
              <w:rPr>
                <w:rFonts w:eastAsiaTheme="minorEastAsia"/>
                <w:szCs w:val="18"/>
              </w:rPr>
              <w:t>CIC-D100/XJYQ-084-2017</w:t>
            </w:r>
          </w:p>
        </w:tc>
      </w:tr>
    </w:tbl>
    <w:p w:rsidR="002A5A5E" w:rsidRPr="00F9522B" w:rsidRDefault="00611CBA">
      <w:pPr>
        <w:contextualSpacing/>
        <w:jc w:val="center"/>
        <w:rPr>
          <w:rFonts w:eastAsiaTheme="minorEastAsia"/>
          <w:b/>
          <w:kern w:val="0"/>
          <w:szCs w:val="21"/>
        </w:rPr>
      </w:pPr>
      <w:r w:rsidRPr="00F9522B">
        <w:rPr>
          <w:rFonts w:eastAsiaTheme="minorEastAsia"/>
          <w:b/>
          <w:kern w:val="0"/>
          <w:szCs w:val="21"/>
        </w:rPr>
        <w:lastRenderedPageBreak/>
        <w:t>续表</w:t>
      </w:r>
      <w:r w:rsidRPr="00F9522B">
        <w:rPr>
          <w:rFonts w:eastAsiaTheme="minorEastAsia"/>
          <w:b/>
          <w:kern w:val="0"/>
          <w:szCs w:val="21"/>
        </w:rPr>
        <w:t xml:space="preserve">4-2-9 </w:t>
      </w:r>
      <w:r w:rsidRPr="00F9522B">
        <w:rPr>
          <w:rFonts w:eastAsiaTheme="minorEastAsia"/>
          <w:b/>
          <w:kern w:val="0"/>
          <w:szCs w:val="21"/>
        </w:rPr>
        <w:t>监测分析方法一览表</w:t>
      </w:r>
    </w:p>
    <w:tbl>
      <w:tblPr>
        <w:tblW w:w="8472" w:type="dxa"/>
        <w:tblBorders>
          <w:top w:val="single" w:sz="12" w:space="0" w:color="000000"/>
          <w:bottom w:val="single" w:sz="12" w:space="0" w:color="000000"/>
          <w:insideH w:val="single" w:sz="4" w:space="0" w:color="000000"/>
          <w:insideV w:val="single" w:sz="4" w:space="0" w:color="000000"/>
        </w:tblBorders>
        <w:tblLayout w:type="fixed"/>
        <w:tblLook w:val="04A0"/>
      </w:tblPr>
      <w:tblGrid>
        <w:gridCol w:w="1141"/>
        <w:gridCol w:w="3220"/>
        <w:gridCol w:w="1701"/>
        <w:gridCol w:w="2410"/>
      </w:tblGrid>
      <w:tr w:rsidR="002A5A5E" w:rsidRPr="00F9522B">
        <w:trPr>
          <w:trHeight w:val="907"/>
        </w:trPr>
        <w:tc>
          <w:tcPr>
            <w:tcW w:w="1141" w:type="dxa"/>
            <w:vAlign w:val="center"/>
          </w:tcPr>
          <w:p w:rsidR="002A5A5E" w:rsidRPr="00F9522B" w:rsidRDefault="00611CBA">
            <w:pPr>
              <w:jc w:val="center"/>
              <w:rPr>
                <w:rFonts w:eastAsiaTheme="minorEastAsia"/>
              </w:rPr>
            </w:pPr>
            <w:r w:rsidRPr="00F9522B">
              <w:rPr>
                <w:rFonts w:eastAsiaTheme="minorEastAsia"/>
              </w:rPr>
              <w:t>石油类</w:t>
            </w:r>
          </w:p>
        </w:tc>
        <w:tc>
          <w:tcPr>
            <w:tcW w:w="3220" w:type="dxa"/>
            <w:vAlign w:val="center"/>
          </w:tcPr>
          <w:p w:rsidR="002A5A5E" w:rsidRPr="00F9522B" w:rsidRDefault="00611CBA">
            <w:pPr>
              <w:jc w:val="center"/>
              <w:rPr>
                <w:rFonts w:eastAsiaTheme="minorEastAsia"/>
              </w:rPr>
            </w:pPr>
            <w:r w:rsidRPr="00F9522B">
              <w:rPr>
                <w:rFonts w:eastAsiaTheme="minorEastAsia"/>
              </w:rPr>
              <w:t>水质</w:t>
            </w:r>
            <w:r w:rsidRPr="00F9522B">
              <w:rPr>
                <w:rFonts w:eastAsiaTheme="minorEastAsia"/>
              </w:rPr>
              <w:t xml:space="preserve"> </w:t>
            </w:r>
            <w:r w:rsidRPr="00F9522B">
              <w:rPr>
                <w:rFonts w:eastAsiaTheme="minorEastAsia"/>
              </w:rPr>
              <w:t>石油类和动植物油类的测定</w:t>
            </w:r>
            <w:r w:rsidRPr="00F9522B">
              <w:rPr>
                <w:rFonts w:eastAsiaTheme="minorEastAsia"/>
              </w:rPr>
              <w:t xml:space="preserve"> </w:t>
            </w:r>
            <w:r w:rsidRPr="00F9522B">
              <w:rPr>
                <w:rFonts w:eastAsiaTheme="minorEastAsia"/>
              </w:rPr>
              <w:t>红外分光光度法</w:t>
            </w:r>
            <w:r w:rsidRPr="00F9522B">
              <w:rPr>
                <w:rFonts w:eastAsiaTheme="minorEastAsia"/>
              </w:rPr>
              <w:t xml:space="preserve"> HJ637-2018</w:t>
            </w:r>
          </w:p>
        </w:tc>
        <w:tc>
          <w:tcPr>
            <w:tcW w:w="1701" w:type="dxa"/>
            <w:vAlign w:val="center"/>
          </w:tcPr>
          <w:p w:rsidR="002A5A5E" w:rsidRPr="00F9522B" w:rsidRDefault="00611CBA">
            <w:pPr>
              <w:jc w:val="center"/>
              <w:rPr>
                <w:rFonts w:eastAsiaTheme="minorEastAsia"/>
                <w:szCs w:val="18"/>
              </w:rPr>
            </w:pPr>
            <w:r w:rsidRPr="00F9522B">
              <w:rPr>
                <w:rFonts w:eastAsiaTheme="minorEastAsia"/>
                <w:szCs w:val="18"/>
              </w:rPr>
              <w:t>紫外</w:t>
            </w:r>
            <w:r w:rsidRPr="00F9522B">
              <w:rPr>
                <w:rFonts w:eastAsiaTheme="minorEastAsia"/>
                <w:szCs w:val="18"/>
              </w:rPr>
              <w:t>/</w:t>
            </w:r>
            <w:r w:rsidRPr="00F9522B">
              <w:rPr>
                <w:rFonts w:eastAsiaTheme="minorEastAsia"/>
                <w:szCs w:val="18"/>
              </w:rPr>
              <w:t>可见分光光度计</w:t>
            </w:r>
          </w:p>
        </w:tc>
        <w:tc>
          <w:tcPr>
            <w:tcW w:w="2410" w:type="dxa"/>
            <w:vAlign w:val="center"/>
          </w:tcPr>
          <w:p w:rsidR="002A5A5E" w:rsidRPr="00F9522B" w:rsidRDefault="00611CBA">
            <w:pPr>
              <w:jc w:val="center"/>
              <w:rPr>
                <w:rFonts w:eastAsiaTheme="minorEastAsia"/>
                <w:szCs w:val="18"/>
              </w:rPr>
            </w:pPr>
            <w:r w:rsidRPr="00F9522B">
              <w:rPr>
                <w:rFonts w:eastAsiaTheme="minorEastAsia"/>
                <w:szCs w:val="18"/>
              </w:rPr>
              <w:t>T6</w:t>
            </w:r>
            <w:r w:rsidRPr="00F9522B">
              <w:rPr>
                <w:rFonts w:eastAsiaTheme="minorEastAsia"/>
                <w:szCs w:val="18"/>
              </w:rPr>
              <w:t>新世纪</w:t>
            </w:r>
            <w:r w:rsidRPr="00F9522B">
              <w:rPr>
                <w:rFonts w:eastAsiaTheme="minorEastAsia"/>
                <w:szCs w:val="18"/>
              </w:rPr>
              <w:t>/XJYQ-090-2017</w:t>
            </w:r>
          </w:p>
        </w:tc>
      </w:tr>
    </w:tbl>
    <w:p w:rsidR="002A5A5E" w:rsidRPr="00F9522B" w:rsidRDefault="00611CBA">
      <w:pPr>
        <w:spacing w:line="360" w:lineRule="auto"/>
        <w:ind w:firstLineChars="200" w:firstLine="480"/>
        <w:rPr>
          <w:rFonts w:eastAsiaTheme="minorEastAsia"/>
          <w:sz w:val="24"/>
        </w:rPr>
      </w:pPr>
      <w:r w:rsidRPr="00F9522B">
        <w:rPr>
          <w:rFonts w:eastAsiaTheme="minorEastAsia"/>
          <w:sz w:val="24"/>
        </w:rPr>
        <w:t>（</w:t>
      </w:r>
      <w:r w:rsidRPr="00F9522B">
        <w:rPr>
          <w:rFonts w:eastAsiaTheme="minorEastAsia"/>
          <w:sz w:val="24"/>
        </w:rPr>
        <w:t>4</w:t>
      </w:r>
      <w:r w:rsidRPr="00F9522B">
        <w:rPr>
          <w:rFonts w:eastAsiaTheme="minorEastAsia"/>
          <w:sz w:val="24"/>
        </w:rPr>
        <w:t>）监测结果</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监测时间：</w:t>
      </w:r>
      <w:r w:rsidRPr="00F9522B">
        <w:rPr>
          <w:rFonts w:eastAsiaTheme="minorEastAsia"/>
          <w:sz w:val="24"/>
        </w:rPr>
        <w:t>202</w:t>
      </w:r>
      <w:r w:rsidR="009875F8" w:rsidRPr="00F9522B">
        <w:rPr>
          <w:rFonts w:eastAsiaTheme="minorEastAsia"/>
          <w:sz w:val="24"/>
        </w:rPr>
        <w:t>6</w:t>
      </w:r>
      <w:r w:rsidRPr="00F9522B">
        <w:rPr>
          <w:rFonts w:eastAsiaTheme="minorEastAsia"/>
          <w:sz w:val="24"/>
        </w:rPr>
        <w:t>年</w:t>
      </w:r>
      <w:r w:rsidR="009875F8" w:rsidRPr="00F9522B">
        <w:rPr>
          <w:rFonts w:eastAsiaTheme="minorEastAsia"/>
          <w:sz w:val="24"/>
        </w:rPr>
        <w:t>6</w:t>
      </w:r>
      <w:r w:rsidRPr="00F9522B">
        <w:rPr>
          <w:rFonts w:eastAsiaTheme="minorEastAsia"/>
          <w:sz w:val="24"/>
        </w:rPr>
        <w:t>月</w:t>
      </w:r>
      <w:r w:rsidR="009875F8" w:rsidRPr="00F9522B">
        <w:rPr>
          <w:rFonts w:eastAsiaTheme="minorEastAsia"/>
          <w:sz w:val="24"/>
        </w:rPr>
        <w:t>1</w:t>
      </w:r>
      <w:r w:rsidRPr="00F9522B">
        <w:rPr>
          <w:rFonts w:eastAsiaTheme="minorEastAsia"/>
          <w:sz w:val="24"/>
        </w:rPr>
        <w:t>日，取水层为潜水及承压水，监测结果见表</w:t>
      </w:r>
      <w:r w:rsidRPr="00F9522B">
        <w:rPr>
          <w:rFonts w:eastAsiaTheme="minorEastAsia"/>
          <w:sz w:val="24"/>
        </w:rPr>
        <w:t>4-2-10</w:t>
      </w:r>
      <w:r w:rsidRPr="00F9522B">
        <w:rPr>
          <w:rFonts w:eastAsiaTheme="minorEastAsia"/>
          <w:sz w:val="24"/>
        </w:rPr>
        <w:t>。</w:t>
      </w:r>
    </w:p>
    <w:p w:rsidR="002A5A5E" w:rsidRPr="00F9522B" w:rsidRDefault="00611CBA">
      <w:pPr>
        <w:contextualSpacing/>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4-2-10</w:t>
      </w:r>
      <w:r w:rsidRPr="00F9522B">
        <w:rPr>
          <w:rFonts w:eastAsiaTheme="minorEastAsia"/>
          <w:b/>
          <w:kern w:val="0"/>
          <w:szCs w:val="21"/>
        </w:rPr>
        <w:t>地下水质量监测结果</w:t>
      </w:r>
    </w:p>
    <w:tbl>
      <w:tblPr>
        <w:tblW w:w="9017" w:type="dxa"/>
        <w:tblBorders>
          <w:top w:val="single" w:sz="12" w:space="0" w:color="000000"/>
          <w:bottom w:val="single" w:sz="12" w:space="0" w:color="000000"/>
          <w:insideH w:val="single" w:sz="4" w:space="0" w:color="000000"/>
          <w:insideV w:val="single" w:sz="4" w:space="0" w:color="000000"/>
        </w:tblBorders>
        <w:tblLayout w:type="fixed"/>
        <w:tblLook w:val="04A0"/>
      </w:tblPr>
      <w:tblGrid>
        <w:gridCol w:w="1961"/>
        <w:gridCol w:w="911"/>
        <w:gridCol w:w="1315"/>
        <w:gridCol w:w="1235"/>
        <w:gridCol w:w="1458"/>
        <w:gridCol w:w="1308"/>
        <w:gridCol w:w="749"/>
        <w:gridCol w:w="80"/>
      </w:tblGrid>
      <w:tr w:rsidR="002A5A5E" w:rsidRPr="00F9522B">
        <w:trPr>
          <w:trHeight w:val="263"/>
        </w:trPr>
        <w:tc>
          <w:tcPr>
            <w:tcW w:w="1961" w:type="dxa"/>
            <w:vMerge w:val="restart"/>
            <w:vAlign w:val="center"/>
          </w:tcPr>
          <w:p w:rsidR="002A5A5E" w:rsidRPr="00F9522B" w:rsidRDefault="00611CBA">
            <w:pPr>
              <w:spacing w:line="0" w:lineRule="atLeast"/>
              <w:contextualSpacing/>
              <w:jc w:val="center"/>
              <w:rPr>
                <w:rFonts w:eastAsiaTheme="minorEastAsia"/>
                <w:bCs/>
                <w:szCs w:val="21"/>
              </w:rPr>
            </w:pPr>
            <w:r w:rsidRPr="00F9522B">
              <w:rPr>
                <w:rFonts w:eastAsiaTheme="minorEastAsia"/>
                <w:bCs/>
                <w:szCs w:val="21"/>
              </w:rPr>
              <w:t>检测</w:t>
            </w:r>
          </w:p>
          <w:p w:rsidR="002A5A5E" w:rsidRPr="00F9522B" w:rsidRDefault="00611CBA">
            <w:pPr>
              <w:spacing w:line="0" w:lineRule="atLeast"/>
              <w:contextualSpacing/>
              <w:jc w:val="center"/>
              <w:rPr>
                <w:rFonts w:eastAsiaTheme="minorEastAsia"/>
                <w:bCs/>
                <w:szCs w:val="21"/>
              </w:rPr>
            </w:pPr>
            <w:r w:rsidRPr="00F9522B">
              <w:rPr>
                <w:rFonts w:eastAsiaTheme="minorEastAsia"/>
                <w:bCs/>
                <w:szCs w:val="21"/>
              </w:rPr>
              <w:t>项目</w:t>
            </w:r>
          </w:p>
        </w:tc>
        <w:tc>
          <w:tcPr>
            <w:tcW w:w="911" w:type="dxa"/>
            <w:vMerge w:val="restart"/>
            <w:vAlign w:val="center"/>
          </w:tcPr>
          <w:p w:rsidR="002A5A5E" w:rsidRPr="00F9522B" w:rsidRDefault="00611CBA">
            <w:pPr>
              <w:widowControl/>
              <w:spacing w:line="0" w:lineRule="atLeast"/>
              <w:contextualSpacing/>
              <w:jc w:val="center"/>
              <w:rPr>
                <w:rFonts w:eastAsiaTheme="minorEastAsia"/>
                <w:bCs/>
                <w:szCs w:val="21"/>
              </w:rPr>
            </w:pPr>
            <w:r w:rsidRPr="00F9522B">
              <w:rPr>
                <w:rFonts w:eastAsiaTheme="minorEastAsia"/>
                <w:bCs/>
                <w:szCs w:val="21"/>
              </w:rPr>
              <w:t>单位</w:t>
            </w:r>
          </w:p>
        </w:tc>
        <w:tc>
          <w:tcPr>
            <w:tcW w:w="5316" w:type="dxa"/>
            <w:gridSpan w:val="4"/>
            <w:vAlign w:val="center"/>
          </w:tcPr>
          <w:p w:rsidR="002A5A5E" w:rsidRPr="00F9522B" w:rsidRDefault="00611CBA">
            <w:pPr>
              <w:spacing w:line="0" w:lineRule="atLeast"/>
              <w:contextualSpacing/>
              <w:jc w:val="center"/>
              <w:rPr>
                <w:rFonts w:eastAsiaTheme="minorEastAsia"/>
                <w:bCs/>
                <w:szCs w:val="21"/>
              </w:rPr>
            </w:pPr>
            <w:r w:rsidRPr="00F9522B">
              <w:rPr>
                <w:rFonts w:eastAsiaTheme="minorEastAsia"/>
                <w:szCs w:val="21"/>
              </w:rPr>
              <w:t>检测结果</w:t>
            </w:r>
          </w:p>
        </w:tc>
        <w:tc>
          <w:tcPr>
            <w:tcW w:w="829" w:type="dxa"/>
            <w:gridSpan w:val="2"/>
            <w:vMerge w:val="restart"/>
            <w:vAlign w:val="center"/>
          </w:tcPr>
          <w:p w:rsidR="002A5A5E" w:rsidRPr="00F9522B" w:rsidRDefault="00611CBA">
            <w:pPr>
              <w:spacing w:line="0" w:lineRule="atLeast"/>
              <w:contextualSpacing/>
              <w:jc w:val="center"/>
              <w:rPr>
                <w:rFonts w:eastAsiaTheme="minorEastAsia"/>
                <w:bCs/>
                <w:szCs w:val="21"/>
              </w:rPr>
            </w:pPr>
            <w:r w:rsidRPr="00F9522B">
              <w:rPr>
                <w:rFonts w:eastAsiaTheme="minorEastAsia"/>
                <w:bCs/>
                <w:szCs w:val="21"/>
              </w:rPr>
              <w:t>标准</w:t>
            </w:r>
          </w:p>
          <w:p w:rsidR="002A5A5E" w:rsidRPr="00F9522B" w:rsidRDefault="00611CBA">
            <w:pPr>
              <w:spacing w:line="0" w:lineRule="atLeast"/>
              <w:contextualSpacing/>
              <w:jc w:val="center"/>
              <w:rPr>
                <w:rFonts w:eastAsiaTheme="minorEastAsia"/>
                <w:szCs w:val="21"/>
              </w:rPr>
            </w:pPr>
            <w:r w:rsidRPr="00F9522B">
              <w:rPr>
                <w:rFonts w:eastAsiaTheme="minorEastAsia"/>
                <w:bCs/>
                <w:szCs w:val="21"/>
              </w:rPr>
              <w:t>限值</w:t>
            </w:r>
          </w:p>
        </w:tc>
      </w:tr>
      <w:tr w:rsidR="002A5A5E" w:rsidRPr="00F9522B">
        <w:trPr>
          <w:trHeight w:val="263"/>
        </w:trPr>
        <w:tc>
          <w:tcPr>
            <w:tcW w:w="1961" w:type="dxa"/>
            <w:vMerge/>
            <w:vAlign w:val="center"/>
          </w:tcPr>
          <w:p w:rsidR="002A5A5E" w:rsidRPr="00F9522B" w:rsidRDefault="002A5A5E">
            <w:pPr>
              <w:spacing w:line="0" w:lineRule="atLeast"/>
              <w:contextualSpacing/>
              <w:jc w:val="center"/>
              <w:rPr>
                <w:rFonts w:eastAsiaTheme="minorEastAsia"/>
                <w:bCs/>
                <w:szCs w:val="21"/>
              </w:rPr>
            </w:pPr>
          </w:p>
        </w:tc>
        <w:tc>
          <w:tcPr>
            <w:tcW w:w="911" w:type="dxa"/>
            <w:vMerge/>
            <w:vAlign w:val="center"/>
          </w:tcPr>
          <w:p w:rsidR="002A5A5E" w:rsidRPr="00F9522B" w:rsidRDefault="002A5A5E">
            <w:pPr>
              <w:widowControl/>
              <w:spacing w:line="0" w:lineRule="atLeast"/>
              <w:contextualSpacing/>
              <w:jc w:val="center"/>
              <w:rPr>
                <w:rFonts w:eastAsiaTheme="minorEastAsia"/>
                <w:bCs/>
                <w:szCs w:val="21"/>
              </w:rPr>
            </w:pPr>
          </w:p>
        </w:tc>
        <w:tc>
          <w:tcPr>
            <w:tcW w:w="5316" w:type="dxa"/>
            <w:gridSpan w:val="4"/>
            <w:vAlign w:val="center"/>
          </w:tcPr>
          <w:p w:rsidR="002A5A5E" w:rsidRPr="00F9522B" w:rsidRDefault="00611CBA">
            <w:pPr>
              <w:spacing w:line="0" w:lineRule="atLeast"/>
              <w:contextualSpacing/>
              <w:jc w:val="center"/>
              <w:rPr>
                <w:rFonts w:eastAsiaTheme="minorEastAsia"/>
                <w:bCs/>
                <w:szCs w:val="21"/>
              </w:rPr>
            </w:pPr>
            <w:r w:rsidRPr="00F9522B">
              <w:rPr>
                <w:rFonts w:eastAsiaTheme="minorEastAsia"/>
                <w:bCs/>
              </w:rPr>
              <w:t>2025.08.22</w:t>
            </w:r>
          </w:p>
        </w:tc>
        <w:tc>
          <w:tcPr>
            <w:tcW w:w="829" w:type="dxa"/>
            <w:gridSpan w:val="2"/>
            <w:vMerge/>
            <w:vAlign w:val="center"/>
          </w:tcPr>
          <w:p w:rsidR="002A5A5E" w:rsidRPr="00F9522B" w:rsidRDefault="002A5A5E">
            <w:pPr>
              <w:spacing w:line="0" w:lineRule="atLeast"/>
              <w:contextualSpacing/>
              <w:jc w:val="center"/>
              <w:rPr>
                <w:rFonts w:eastAsiaTheme="minorEastAsia"/>
                <w:bCs/>
                <w:szCs w:val="21"/>
              </w:rPr>
            </w:pPr>
          </w:p>
        </w:tc>
      </w:tr>
      <w:tr w:rsidR="002A5A5E" w:rsidRPr="00F9522B">
        <w:trPr>
          <w:gridAfter w:val="1"/>
          <w:wAfter w:w="80" w:type="dxa"/>
          <w:trHeight w:val="402"/>
        </w:trPr>
        <w:tc>
          <w:tcPr>
            <w:tcW w:w="1961" w:type="dxa"/>
            <w:vMerge/>
            <w:vAlign w:val="center"/>
          </w:tcPr>
          <w:p w:rsidR="002A5A5E" w:rsidRPr="00F9522B" w:rsidRDefault="002A5A5E">
            <w:pPr>
              <w:spacing w:line="0" w:lineRule="atLeast"/>
              <w:contextualSpacing/>
              <w:jc w:val="center"/>
              <w:rPr>
                <w:rFonts w:eastAsiaTheme="minorEastAsia"/>
                <w:bCs/>
                <w:szCs w:val="21"/>
              </w:rPr>
            </w:pPr>
          </w:p>
        </w:tc>
        <w:tc>
          <w:tcPr>
            <w:tcW w:w="911" w:type="dxa"/>
            <w:vMerge/>
            <w:vAlign w:val="center"/>
          </w:tcPr>
          <w:p w:rsidR="002A5A5E" w:rsidRPr="00F9522B" w:rsidRDefault="002A5A5E">
            <w:pPr>
              <w:widowControl/>
              <w:spacing w:line="0" w:lineRule="atLeast"/>
              <w:contextualSpacing/>
              <w:jc w:val="center"/>
              <w:rPr>
                <w:rFonts w:eastAsiaTheme="minorEastAsia"/>
                <w:bCs/>
                <w:szCs w:val="21"/>
              </w:rPr>
            </w:pPr>
          </w:p>
        </w:tc>
        <w:tc>
          <w:tcPr>
            <w:tcW w:w="1315" w:type="dxa"/>
            <w:vAlign w:val="center"/>
          </w:tcPr>
          <w:p w:rsidR="002A5A5E" w:rsidRPr="00F9522B" w:rsidRDefault="00611CBA">
            <w:pPr>
              <w:adjustRightInd w:val="0"/>
              <w:snapToGrid w:val="0"/>
              <w:jc w:val="center"/>
              <w:rPr>
                <w:rFonts w:eastAsiaTheme="minorEastAsia"/>
                <w:b/>
                <w:bCs/>
              </w:rPr>
            </w:pPr>
            <w:r w:rsidRPr="00F9522B">
              <w:rPr>
                <w:rFonts w:eastAsiaTheme="minorEastAsia"/>
              </w:rPr>
              <w:t>上游监测点</w:t>
            </w:r>
            <w:r w:rsidRPr="00F9522B">
              <w:rPr>
                <w:rFonts w:ascii="宋体" w:hAnsi="宋体" w:cs="宋体" w:hint="eastAsia"/>
              </w:rPr>
              <w:t>☆</w:t>
            </w:r>
            <w:r w:rsidRPr="00F9522B">
              <w:rPr>
                <w:rFonts w:eastAsiaTheme="minorEastAsia"/>
              </w:rPr>
              <w:t>1</w:t>
            </w:r>
          </w:p>
        </w:tc>
        <w:tc>
          <w:tcPr>
            <w:tcW w:w="1235" w:type="dxa"/>
            <w:vAlign w:val="center"/>
          </w:tcPr>
          <w:p w:rsidR="002A5A5E" w:rsidRPr="00F9522B" w:rsidRDefault="00611CBA">
            <w:pPr>
              <w:adjustRightInd w:val="0"/>
              <w:snapToGrid w:val="0"/>
              <w:jc w:val="center"/>
              <w:rPr>
                <w:rFonts w:eastAsiaTheme="minorEastAsia"/>
              </w:rPr>
            </w:pPr>
            <w:r w:rsidRPr="00F9522B">
              <w:rPr>
                <w:rFonts w:eastAsiaTheme="minorEastAsia"/>
              </w:rPr>
              <w:t>下游监测点</w:t>
            </w:r>
            <w:r w:rsidRPr="00F9522B">
              <w:rPr>
                <w:rFonts w:ascii="宋体" w:hAnsi="宋体" w:cs="宋体" w:hint="eastAsia"/>
              </w:rPr>
              <w:t>☆</w:t>
            </w:r>
            <w:r w:rsidRPr="00F9522B">
              <w:rPr>
                <w:rFonts w:eastAsiaTheme="minorEastAsia"/>
              </w:rPr>
              <w:t>2</w:t>
            </w:r>
          </w:p>
        </w:tc>
        <w:tc>
          <w:tcPr>
            <w:tcW w:w="1458" w:type="dxa"/>
            <w:vAlign w:val="center"/>
          </w:tcPr>
          <w:p w:rsidR="002A5A5E" w:rsidRPr="00F9522B" w:rsidRDefault="00611CBA">
            <w:pPr>
              <w:adjustRightInd w:val="0"/>
              <w:snapToGrid w:val="0"/>
              <w:jc w:val="center"/>
              <w:rPr>
                <w:rFonts w:eastAsiaTheme="minorEastAsia"/>
              </w:rPr>
            </w:pPr>
            <w:r w:rsidRPr="00F9522B">
              <w:rPr>
                <w:rFonts w:eastAsiaTheme="minorEastAsia"/>
              </w:rPr>
              <w:t>下游监测点</w:t>
            </w:r>
            <w:r w:rsidRPr="00F9522B">
              <w:rPr>
                <w:rFonts w:ascii="宋体" w:hAnsi="宋体" w:cs="宋体" w:hint="eastAsia"/>
              </w:rPr>
              <w:t>☆</w:t>
            </w:r>
            <w:r w:rsidRPr="00F9522B">
              <w:rPr>
                <w:rFonts w:eastAsiaTheme="minorEastAsia"/>
              </w:rPr>
              <w:t>3</w:t>
            </w:r>
          </w:p>
        </w:tc>
        <w:tc>
          <w:tcPr>
            <w:tcW w:w="1308" w:type="dxa"/>
            <w:vAlign w:val="center"/>
          </w:tcPr>
          <w:p w:rsidR="002A5A5E" w:rsidRPr="00F9522B" w:rsidRDefault="00611CBA">
            <w:pPr>
              <w:adjustRightInd w:val="0"/>
              <w:snapToGrid w:val="0"/>
              <w:jc w:val="center"/>
              <w:rPr>
                <w:rFonts w:eastAsiaTheme="minorEastAsia"/>
              </w:rPr>
            </w:pPr>
            <w:r w:rsidRPr="00F9522B">
              <w:rPr>
                <w:rFonts w:eastAsiaTheme="minorEastAsia"/>
              </w:rPr>
              <w:t>右侧监测点</w:t>
            </w:r>
            <w:r w:rsidRPr="00F9522B">
              <w:rPr>
                <w:rFonts w:ascii="宋体" w:hAnsi="宋体" w:cs="宋体" w:hint="eastAsia"/>
              </w:rPr>
              <w:t>☆</w:t>
            </w:r>
            <w:r w:rsidRPr="00F9522B">
              <w:rPr>
                <w:rFonts w:eastAsiaTheme="minorEastAsia"/>
              </w:rPr>
              <w:t>4</w:t>
            </w:r>
          </w:p>
        </w:tc>
        <w:tc>
          <w:tcPr>
            <w:tcW w:w="749" w:type="dxa"/>
            <w:vAlign w:val="center"/>
          </w:tcPr>
          <w:p w:rsidR="002A5A5E" w:rsidRPr="00F9522B" w:rsidRDefault="00611CBA">
            <w:pPr>
              <w:spacing w:line="0" w:lineRule="atLeast"/>
              <w:contextualSpacing/>
              <w:jc w:val="center"/>
              <w:rPr>
                <w:rFonts w:eastAsiaTheme="minorEastAsia"/>
                <w:bCs/>
                <w:szCs w:val="21"/>
              </w:rPr>
            </w:pPr>
            <w:r w:rsidRPr="00F9522B">
              <w:rPr>
                <w:rFonts w:eastAsiaTheme="minorEastAsia"/>
                <w:bCs/>
                <w:szCs w:val="21"/>
              </w:rPr>
              <w:t>/</w:t>
            </w:r>
          </w:p>
        </w:tc>
      </w:tr>
      <w:tr w:rsidR="00AE7C88" w:rsidRPr="00F9522B">
        <w:trPr>
          <w:gridAfter w:val="1"/>
          <w:wAfter w:w="80" w:type="dxa"/>
          <w:trHeight w:val="193"/>
        </w:trPr>
        <w:tc>
          <w:tcPr>
            <w:tcW w:w="1961" w:type="dxa"/>
            <w:tcBorders>
              <w:top w:val="single" w:sz="4" w:space="0" w:color="000000"/>
            </w:tcBorders>
            <w:vAlign w:val="center"/>
          </w:tcPr>
          <w:p w:rsidR="00AE7C88" w:rsidRPr="00F9522B" w:rsidRDefault="00AE7C88">
            <w:pPr>
              <w:spacing w:line="0" w:lineRule="atLeast"/>
              <w:contextualSpacing/>
              <w:jc w:val="center"/>
              <w:rPr>
                <w:rFonts w:eastAsiaTheme="minorEastAsia"/>
                <w:szCs w:val="21"/>
              </w:rPr>
            </w:pPr>
            <w:r w:rsidRPr="00F9522B">
              <w:rPr>
                <w:rFonts w:eastAsiaTheme="minorEastAsia"/>
                <w:szCs w:val="21"/>
              </w:rPr>
              <w:t>钾</w:t>
            </w:r>
          </w:p>
        </w:tc>
        <w:tc>
          <w:tcPr>
            <w:tcW w:w="911" w:type="dxa"/>
            <w:tcBorders>
              <w:top w:val="single" w:sz="4" w:space="0" w:color="000000"/>
            </w:tcBorders>
            <w:vAlign w:val="center"/>
          </w:tcPr>
          <w:p w:rsidR="00AE7C88" w:rsidRPr="00F9522B" w:rsidRDefault="00AE7C88">
            <w:pPr>
              <w:spacing w:line="0" w:lineRule="atLeast"/>
              <w:contextualSpacing/>
              <w:jc w:val="center"/>
              <w:rPr>
                <w:rFonts w:eastAsiaTheme="minorEastAsia"/>
                <w:szCs w:val="21"/>
              </w:rPr>
            </w:pPr>
            <w:r w:rsidRPr="00F9522B">
              <w:rPr>
                <w:rFonts w:eastAsiaTheme="minorEastAsia"/>
                <w:szCs w:val="21"/>
              </w:rPr>
              <w:t>mg/L</w:t>
            </w:r>
          </w:p>
        </w:tc>
        <w:tc>
          <w:tcPr>
            <w:tcW w:w="1315" w:type="dxa"/>
            <w:vAlign w:val="center"/>
          </w:tcPr>
          <w:p w:rsidR="00AE7C88" w:rsidRPr="00F9522B" w:rsidRDefault="00AE7C88">
            <w:pPr>
              <w:adjustRightInd w:val="0"/>
              <w:snapToGrid w:val="0"/>
              <w:jc w:val="center"/>
              <w:rPr>
                <w:bCs/>
                <w:szCs w:val="21"/>
              </w:rPr>
            </w:pPr>
            <w:r w:rsidRPr="00F9522B">
              <w:rPr>
                <w:bCs/>
              </w:rPr>
              <w:t>1.66</w:t>
            </w:r>
          </w:p>
        </w:tc>
        <w:tc>
          <w:tcPr>
            <w:tcW w:w="1235" w:type="dxa"/>
            <w:vAlign w:val="center"/>
          </w:tcPr>
          <w:p w:rsidR="00AE7C88" w:rsidRPr="00F9522B" w:rsidRDefault="00AE7C88">
            <w:pPr>
              <w:adjustRightInd w:val="0"/>
              <w:snapToGrid w:val="0"/>
              <w:jc w:val="center"/>
              <w:rPr>
                <w:bCs/>
                <w:szCs w:val="21"/>
              </w:rPr>
            </w:pPr>
            <w:r w:rsidRPr="00F9522B">
              <w:rPr>
                <w:bCs/>
              </w:rPr>
              <w:t>1.05</w:t>
            </w:r>
          </w:p>
        </w:tc>
        <w:tc>
          <w:tcPr>
            <w:tcW w:w="1458" w:type="dxa"/>
            <w:vAlign w:val="center"/>
          </w:tcPr>
          <w:p w:rsidR="00AE7C88" w:rsidRPr="00F9522B" w:rsidRDefault="00AE7C88">
            <w:pPr>
              <w:adjustRightInd w:val="0"/>
              <w:snapToGrid w:val="0"/>
              <w:jc w:val="center"/>
              <w:rPr>
                <w:bCs/>
                <w:szCs w:val="21"/>
              </w:rPr>
            </w:pPr>
            <w:r w:rsidRPr="00F9522B">
              <w:rPr>
                <w:bCs/>
              </w:rPr>
              <w:t>1.01</w:t>
            </w:r>
          </w:p>
        </w:tc>
        <w:tc>
          <w:tcPr>
            <w:tcW w:w="1308" w:type="dxa"/>
            <w:vAlign w:val="center"/>
          </w:tcPr>
          <w:p w:rsidR="00AE7C88" w:rsidRPr="00F9522B" w:rsidRDefault="00AE7C88">
            <w:pPr>
              <w:adjustRightInd w:val="0"/>
              <w:snapToGrid w:val="0"/>
              <w:jc w:val="center"/>
              <w:rPr>
                <w:bCs/>
                <w:szCs w:val="21"/>
              </w:rPr>
            </w:pPr>
            <w:r w:rsidRPr="00F9522B">
              <w:rPr>
                <w:bCs/>
              </w:rPr>
              <w:t>0.98</w:t>
            </w:r>
          </w:p>
        </w:tc>
        <w:tc>
          <w:tcPr>
            <w:tcW w:w="749" w:type="dxa"/>
            <w:vAlign w:val="center"/>
          </w:tcPr>
          <w:p w:rsidR="00AE7C88" w:rsidRPr="00F9522B" w:rsidRDefault="00AE7C88">
            <w:pPr>
              <w:spacing w:line="0" w:lineRule="atLeast"/>
              <w:contextualSpacing/>
              <w:jc w:val="center"/>
              <w:rPr>
                <w:rFonts w:eastAsiaTheme="minorEastAsia"/>
                <w:szCs w:val="21"/>
              </w:rPr>
            </w:pPr>
            <w:r w:rsidRPr="00F9522B">
              <w:rPr>
                <w:rFonts w:eastAsiaTheme="minorEastAsia"/>
                <w:szCs w:val="21"/>
              </w:rPr>
              <w:t>/</w:t>
            </w:r>
          </w:p>
        </w:tc>
      </w:tr>
      <w:tr w:rsidR="00AE7C88" w:rsidRPr="00F9522B">
        <w:trPr>
          <w:gridAfter w:val="1"/>
          <w:wAfter w:w="80" w:type="dxa"/>
          <w:trHeight w:val="196"/>
        </w:trPr>
        <w:tc>
          <w:tcPr>
            <w:tcW w:w="1961" w:type="dxa"/>
            <w:tcBorders>
              <w:bottom w:val="single" w:sz="4" w:space="0" w:color="000000"/>
            </w:tcBorders>
            <w:vAlign w:val="center"/>
          </w:tcPr>
          <w:p w:rsidR="00AE7C88" w:rsidRPr="00F9522B" w:rsidRDefault="00AE7C88">
            <w:pPr>
              <w:spacing w:line="0" w:lineRule="atLeast"/>
              <w:contextualSpacing/>
              <w:jc w:val="center"/>
              <w:rPr>
                <w:rFonts w:eastAsiaTheme="minorEastAsia"/>
                <w:szCs w:val="21"/>
              </w:rPr>
            </w:pPr>
            <w:r w:rsidRPr="00F9522B">
              <w:rPr>
                <w:rFonts w:eastAsiaTheme="minorEastAsia"/>
                <w:szCs w:val="21"/>
              </w:rPr>
              <w:t>钠</w:t>
            </w:r>
          </w:p>
        </w:tc>
        <w:tc>
          <w:tcPr>
            <w:tcW w:w="911" w:type="dxa"/>
            <w:tcBorders>
              <w:bottom w:val="single" w:sz="4" w:space="0" w:color="000000"/>
            </w:tcBorders>
            <w:vAlign w:val="center"/>
          </w:tcPr>
          <w:p w:rsidR="00AE7C88" w:rsidRPr="00F9522B" w:rsidRDefault="00AE7C88">
            <w:pPr>
              <w:spacing w:line="0" w:lineRule="atLeast"/>
              <w:contextualSpacing/>
              <w:jc w:val="center"/>
              <w:rPr>
                <w:rFonts w:eastAsiaTheme="minorEastAsia"/>
                <w:szCs w:val="21"/>
              </w:rPr>
            </w:pPr>
            <w:r w:rsidRPr="00F9522B">
              <w:rPr>
                <w:rFonts w:eastAsiaTheme="minorEastAsia"/>
                <w:szCs w:val="21"/>
              </w:rPr>
              <w:t>mg/L</w:t>
            </w:r>
          </w:p>
        </w:tc>
        <w:tc>
          <w:tcPr>
            <w:tcW w:w="1315" w:type="dxa"/>
            <w:vAlign w:val="center"/>
          </w:tcPr>
          <w:p w:rsidR="00AE7C88" w:rsidRPr="00F9522B" w:rsidRDefault="00AE7C88">
            <w:pPr>
              <w:adjustRightInd w:val="0"/>
              <w:snapToGrid w:val="0"/>
              <w:jc w:val="center"/>
              <w:rPr>
                <w:bCs/>
              </w:rPr>
            </w:pPr>
            <w:r w:rsidRPr="00F9522B">
              <w:rPr>
                <w:bCs/>
              </w:rPr>
              <w:t>10.8</w:t>
            </w:r>
          </w:p>
        </w:tc>
        <w:tc>
          <w:tcPr>
            <w:tcW w:w="1235" w:type="dxa"/>
            <w:vAlign w:val="center"/>
          </w:tcPr>
          <w:p w:rsidR="00AE7C88" w:rsidRPr="00F9522B" w:rsidRDefault="00AE7C88">
            <w:pPr>
              <w:adjustRightInd w:val="0"/>
              <w:snapToGrid w:val="0"/>
              <w:jc w:val="center"/>
              <w:rPr>
                <w:bCs/>
              </w:rPr>
            </w:pPr>
            <w:r w:rsidRPr="00F9522B">
              <w:rPr>
                <w:bCs/>
              </w:rPr>
              <w:t>9.87</w:t>
            </w:r>
          </w:p>
        </w:tc>
        <w:tc>
          <w:tcPr>
            <w:tcW w:w="1458" w:type="dxa"/>
            <w:vAlign w:val="center"/>
          </w:tcPr>
          <w:p w:rsidR="00AE7C88" w:rsidRPr="00F9522B" w:rsidRDefault="00AE7C88">
            <w:pPr>
              <w:adjustRightInd w:val="0"/>
              <w:snapToGrid w:val="0"/>
              <w:jc w:val="center"/>
              <w:rPr>
                <w:bCs/>
              </w:rPr>
            </w:pPr>
            <w:r w:rsidRPr="00F9522B">
              <w:rPr>
                <w:bCs/>
              </w:rPr>
              <w:t>17.6</w:t>
            </w:r>
          </w:p>
        </w:tc>
        <w:tc>
          <w:tcPr>
            <w:tcW w:w="1308" w:type="dxa"/>
            <w:vAlign w:val="center"/>
          </w:tcPr>
          <w:p w:rsidR="00AE7C88" w:rsidRPr="00F9522B" w:rsidRDefault="00AE7C88">
            <w:pPr>
              <w:adjustRightInd w:val="0"/>
              <w:snapToGrid w:val="0"/>
              <w:jc w:val="center"/>
              <w:rPr>
                <w:bCs/>
              </w:rPr>
            </w:pPr>
            <w:r w:rsidRPr="00F9522B">
              <w:rPr>
                <w:bCs/>
              </w:rPr>
              <w:t>14.2</w:t>
            </w:r>
          </w:p>
        </w:tc>
        <w:tc>
          <w:tcPr>
            <w:tcW w:w="749" w:type="dxa"/>
            <w:vAlign w:val="center"/>
          </w:tcPr>
          <w:p w:rsidR="00AE7C88" w:rsidRPr="00F9522B" w:rsidRDefault="00AE7C88">
            <w:pPr>
              <w:spacing w:line="0" w:lineRule="atLeast"/>
              <w:contextualSpacing/>
              <w:jc w:val="center"/>
              <w:rPr>
                <w:rFonts w:eastAsiaTheme="minorEastAsia"/>
                <w:szCs w:val="21"/>
              </w:rPr>
            </w:pPr>
            <w:r w:rsidRPr="00F9522B">
              <w:rPr>
                <w:rFonts w:eastAsiaTheme="minorEastAsia"/>
                <w:szCs w:val="21"/>
              </w:rPr>
              <w:t>200</w:t>
            </w:r>
          </w:p>
        </w:tc>
      </w:tr>
      <w:tr w:rsidR="00AE7C88" w:rsidRPr="00F9522B">
        <w:trPr>
          <w:gridAfter w:val="1"/>
          <w:wAfter w:w="80" w:type="dxa"/>
          <w:trHeight w:val="93"/>
        </w:trPr>
        <w:tc>
          <w:tcPr>
            <w:tcW w:w="1961" w:type="dxa"/>
            <w:tcBorders>
              <w:top w:val="single" w:sz="4" w:space="0" w:color="000000"/>
            </w:tcBorders>
            <w:vAlign w:val="center"/>
          </w:tcPr>
          <w:p w:rsidR="00AE7C88" w:rsidRPr="00F9522B" w:rsidRDefault="00AE7C88">
            <w:pPr>
              <w:spacing w:line="0" w:lineRule="atLeast"/>
              <w:contextualSpacing/>
              <w:jc w:val="center"/>
              <w:rPr>
                <w:rFonts w:eastAsiaTheme="minorEastAsia"/>
                <w:bCs/>
                <w:szCs w:val="21"/>
              </w:rPr>
            </w:pPr>
            <w:r w:rsidRPr="00F9522B">
              <w:rPr>
                <w:rFonts w:eastAsiaTheme="minorEastAsia"/>
                <w:bCs/>
                <w:szCs w:val="21"/>
              </w:rPr>
              <w:t>钙</w:t>
            </w:r>
          </w:p>
        </w:tc>
        <w:tc>
          <w:tcPr>
            <w:tcW w:w="911" w:type="dxa"/>
            <w:tcBorders>
              <w:top w:val="single" w:sz="4" w:space="0" w:color="000000"/>
            </w:tcBorders>
            <w:vAlign w:val="center"/>
          </w:tcPr>
          <w:p w:rsidR="00AE7C88" w:rsidRPr="00F9522B" w:rsidRDefault="00AE7C88">
            <w:pPr>
              <w:spacing w:line="0" w:lineRule="atLeast"/>
              <w:contextualSpacing/>
              <w:jc w:val="center"/>
              <w:rPr>
                <w:rFonts w:eastAsiaTheme="minorEastAsia"/>
                <w:szCs w:val="21"/>
              </w:rPr>
            </w:pPr>
            <w:r w:rsidRPr="00F9522B">
              <w:rPr>
                <w:rFonts w:eastAsiaTheme="minorEastAsia"/>
                <w:szCs w:val="21"/>
              </w:rPr>
              <w:t>mg/L</w:t>
            </w:r>
          </w:p>
        </w:tc>
        <w:tc>
          <w:tcPr>
            <w:tcW w:w="1315" w:type="dxa"/>
            <w:vAlign w:val="center"/>
          </w:tcPr>
          <w:p w:rsidR="00AE7C88" w:rsidRPr="00F9522B" w:rsidRDefault="00AE7C88">
            <w:pPr>
              <w:adjustRightInd w:val="0"/>
              <w:snapToGrid w:val="0"/>
              <w:jc w:val="center"/>
              <w:rPr>
                <w:bCs/>
              </w:rPr>
            </w:pPr>
            <w:r w:rsidRPr="00F9522B">
              <w:rPr>
                <w:bCs/>
              </w:rPr>
              <w:t>132.8</w:t>
            </w:r>
          </w:p>
        </w:tc>
        <w:tc>
          <w:tcPr>
            <w:tcW w:w="1235" w:type="dxa"/>
            <w:vAlign w:val="center"/>
          </w:tcPr>
          <w:p w:rsidR="00AE7C88" w:rsidRPr="00F9522B" w:rsidRDefault="00AE7C88">
            <w:pPr>
              <w:adjustRightInd w:val="0"/>
              <w:snapToGrid w:val="0"/>
              <w:jc w:val="center"/>
              <w:rPr>
                <w:bCs/>
              </w:rPr>
            </w:pPr>
            <w:r w:rsidRPr="00F9522B">
              <w:rPr>
                <w:bCs/>
              </w:rPr>
              <w:t>102.7</w:t>
            </w:r>
          </w:p>
        </w:tc>
        <w:tc>
          <w:tcPr>
            <w:tcW w:w="1458" w:type="dxa"/>
            <w:vAlign w:val="center"/>
          </w:tcPr>
          <w:p w:rsidR="00AE7C88" w:rsidRPr="00F9522B" w:rsidRDefault="00AE7C88">
            <w:pPr>
              <w:adjustRightInd w:val="0"/>
              <w:snapToGrid w:val="0"/>
              <w:jc w:val="center"/>
              <w:rPr>
                <w:bCs/>
              </w:rPr>
            </w:pPr>
            <w:r w:rsidRPr="00F9522B">
              <w:rPr>
                <w:bCs/>
              </w:rPr>
              <w:t>67.3</w:t>
            </w:r>
          </w:p>
        </w:tc>
        <w:tc>
          <w:tcPr>
            <w:tcW w:w="1308" w:type="dxa"/>
            <w:vAlign w:val="center"/>
          </w:tcPr>
          <w:p w:rsidR="00AE7C88" w:rsidRPr="00F9522B" w:rsidRDefault="00AE7C88">
            <w:pPr>
              <w:adjustRightInd w:val="0"/>
              <w:snapToGrid w:val="0"/>
              <w:jc w:val="center"/>
              <w:rPr>
                <w:bCs/>
              </w:rPr>
            </w:pPr>
            <w:r w:rsidRPr="00F9522B">
              <w:rPr>
                <w:bCs/>
              </w:rPr>
              <w:t>178.4</w:t>
            </w:r>
          </w:p>
        </w:tc>
        <w:tc>
          <w:tcPr>
            <w:tcW w:w="749" w:type="dxa"/>
            <w:vAlign w:val="center"/>
          </w:tcPr>
          <w:p w:rsidR="00AE7C88" w:rsidRPr="00F9522B" w:rsidRDefault="00AE7C88">
            <w:pPr>
              <w:spacing w:line="0" w:lineRule="atLeast"/>
              <w:contextualSpacing/>
              <w:jc w:val="center"/>
              <w:rPr>
                <w:rFonts w:eastAsiaTheme="minorEastAsia"/>
                <w:szCs w:val="21"/>
              </w:rPr>
            </w:pPr>
            <w:r w:rsidRPr="00F9522B">
              <w:rPr>
                <w:rFonts w:eastAsiaTheme="minorEastAsia"/>
                <w:szCs w:val="21"/>
              </w:rPr>
              <w:t>/</w:t>
            </w:r>
          </w:p>
        </w:tc>
      </w:tr>
      <w:tr w:rsidR="00AE7C88" w:rsidRPr="00F9522B">
        <w:trPr>
          <w:gridAfter w:val="1"/>
          <w:wAfter w:w="80" w:type="dxa"/>
          <w:trHeight w:val="202"/>
        </w:trPr>
        <w:tc>
          <w:tcPr>
            <w:tcW w:w="1961" w:type="dxa"/>
            <w:vAlign w:val="center"/>
          </w:tcPr>
          <w:p w:rsidR="00AE7C88" w:rsidRPr="00F9522B" w:rsidRDefault="00AE7C88">
            <w:pPr>
              <w:spacing w:line="0" w:lineRule="atLeast"/>
              <w:contextualSpacing/>
              <w:jc w:val="center"/>
              <w:rPr>
                <w:rFonts w:eastAsiaTheme="minorEastAsia"/>
                <w:bCs/>
                <w:szCs w:val="21"/>
              </w:rPr>
            </w:pPr>
            <w:r w:rsidRPr="00F9522B">
              <w:rPr>
                <w:rFonts w:eastAsiaTheme="minorEastAsia"/>
                <w:bCs/>
                <w:szCs w:val="21"/>
              </w:rPr>
              <w:t>镁</w:t>
            </w:r>
          </w:p>
        </w:tc>
        <w:tc>
          <w:tcPr>
            <w:tcW w:w="911" w:type="dxa"/>
            <w:vAlign w:val="center"/>
          </w:tcPr>
          <w:p w:rsidR="00AE7C88" w:rsidRPr="00F9522B" w:rsidRDefault="00AE7C88">
            <w:pPr>
              <w:spacing w:line="0" w:lineRule="atLeast"/>
              <w:contextualSpacing/>
              <w:jc w:val="center"/>
              <w:rPr>
                <w:rFonts w:eastAsiaTheme="minorEastAsia"/>
                <w:szCs w:val="21"/>
              </w:rPr>
            </w:pPr>
            <w:r w:rsidRPr="00F9522B">
              <w:rPr>
                <w:rFonts w:eastAsiaTheme="minorEastAsia"/>
                <w:szCs w:val="21"/>
              </w:rPr>
              <w:t>mg/L</w:t>
            </w:r>
          </w:p>
        </w:tc>
        <w:tc>
          <w:tcPr>
            <w:tcW w:w="1315" w:type="dxa"/>
            <w:vAlign w:val="center"/>
          </w:tcPr>
          <w:p w:rsidR="00AE7C88" w:rsidRPr="00F9522B" w:rsidRDefault="00AE7C88">
            <w:pPr>
              <w:adjustRightInd w:val="0"/>
              <w:snapToGrid w:val="0"/>
              <w:jc w:val="center"/>
              <w:rPr>
                <w:bCs/>
              </w:rPr>
            </w:pPr>
            <w:r w:rsidRPr="00F9522B">
              <w:rPr>
                <w:bCs/>
              </w:rPr>
              <w:t>44.8</w:t>
            </w:r>
          </w:p>
        </w:tc>
        <w:tc>
          <w:tcPr>
            <w:tcW w:w="1235" w:type="dxa"/>
            <w:vAlign w:val="center"/>
          </w:tcPr>
          <w:p w:rsidR="00AE7C88" w:rsidRPr="00F9522B" w:rsidRDefault="00AE7C88">
            <w:pPr>
              <w:adjustRightInd w:val="0"/>
              <w:snapToGrid w:val="0"/>
              <w:jc w:val="center"/>
              <w:rPr>
                <w:bCs/>
              </w:rPr>
            </w:pPr>
            <w:r w:rsidRPr="00F9522B">
              <w:rPr>
                <w:bCs/>
              </w:rPr>
              <w:t>37.6</w:t>
            </w:r>
          </w:p>
        </w:tc>
        <w:tc>
          <w:tcPr>
            <w:tcW w:w="1458" w:type="dxa"/>
            <w:vAlign w:val="center"/>
          </w:tcPr>
          <w:p w:rsidR="00AE7C88" w:rsidRPr="00F9522B" w:rsidRDefault="00AE7C88">
            <w:pPr>
              <w:adjustRightInd w:val="0"/>
              <w:snapToGrid w:val="0"/>
              <w:jc w:val="center"/>
              <w:rPr>
                <w:bCs/>
              </w:rPr>
            </w:pPr>
            <w:r w:rsidRPr="00F9522B">
              <w:rPr>
                <w:bCs/>
              </w:rPr>
              <w:t>50.6</w:t>
            </w:r>
          </w:p>
        </w:tc>
        <w:tc>
          <w:tcPr>
            <w:tcW w:w="1308" w:type="dxa"/>
            <w:vAlign w:val="center"/>
          </w:tcPr>
          <w:p w:rsidR="00AE7C88" w:rsidRPr="00F9522B" w:rsidRDefault="00AE7C88">
            <w:pPr>
              <w:adjustRightInd w:val="0"/>
              <w:snapToGrid w:val="0"/>
              <w:jc w:val="center"/>
              <w:rPr>
                <w:bCs/>
              </w:rPr>
            </w:pPr>
            <w:r w:rsidRPr="00F9522B">
              <w:rPr>
                <w:bCs/>
              </w:rPr>
              <w:t>52.7</w:t>
            </w:r>
          </w:p>
        </w:tc>
        <w:tc>
          <w:tcPr>
            <w:tcW w:w="749" w:type="dxa"/>
            <w:vAlign w:val="center"/>
          </w:tcPr>
          <w:p w:rsidR="00AE7C88" w:rsidRPr="00F9522B" w:rsidRDefault="00AE7C88">
            <w:pPr>
              <w:spacing w:line="0" w:lineRule="atLeast"/>
              <w:contextualSpacing/>
              <w:jc w:val="center"/>
              <w:rPr>
                <w:rFonts w:eastAsiaTheme="minorEastAsia"/>
                <w:szCs w:val="21"/>
              </w:rPr>
            </w:pPr>
            <w:r w:rsidRPr="00F9522B">
              <w:rPr>
                <w:rFonts w:eastAsiaTheme="minorEastAsia"/>
                <w:szCs w:val="21"/>
              </w:rPr>
              <w:t>/</w:t>
            </w:r>
          </w:p>
        </w:tc>
      </w:tr>
      <w:tr w:rsidR="00AE7C88" w:rsidRPr="00F9522B">
        <w:trPr>
          <w:gridAfter w:val="1"/>
          <w:wAfter w:w="80" w:type="dxa"/>
          <w:trHeight w:val="100"/>
        </w:trPr>
        <w:tc>
          <w:tcPr>
            <w:tcW w:w="1961" w:type="dxa"/>
            <w:vAlign w:val="center"/>
          </w:tcPr>
          <w:p w:rsidR="00AE7C88" w:rsidRPr="00F9522B" w:rsidRDefault="00AE7C88">
            <w:pPr>
              <w:spacing w:line="0" w:lineRule="atLeast"/>
              <w:contextualSpacing/>
              <w:jc w:val="center"/>
              <w:rPr>
                <w:rFonts w:eastAsiaTheme="minorEastAsia"/>
                <w:bCs/>
                <w:szCs w:val="21"/>
              </w:rPr>
            </w:pPr>
            <w:r w:rsidRPr="00F9522B">
              <w:rPr>
                <w:rFonts w:eastAsiaTheme="minorEastAsia"/>
                <w:bCs/>
                <w:szCs w:val="21"/>
              </w:rPr>
              <w:t>碳酸根离子</w:t>
            </w:r>
          </w:p>
        </w:tc>
        <w:tc>
          <w:tcPr>
            <w:tcW w:w="911" w:type="dxa"/>
            <w:vAlign w:val="center"/>
          </w:tcPr>
          <w:p w:rsidR="00AE7C88" w:rsidRPr="00F9522B" w:rsidRDefault="00AE7C88">
            <w:pPr>
              <w:spacing w:line="0" w:lineRule="atLeast"/>
              <w:contextualSpacing/>
              <w:jc w:val="center"/>
              <w:rPr>
                <w:rFonts w:eastAsiaTheme="minorEastAsia"/>
                <w:szCs w:val="21"/>
              </w:rPr>
            </w:pPr>
            <w:r w:rsidRPr="00F9522B">
              <w:rPr>
                <w:rFonts w:eastAsiaTheme="minorEastAsia"/>
                <w:szCs w:val="21"/>
              </w:rPr>
              <w:t>mg/L</w:t>
            </w:r>
          </w:p>
        </w:tc>
        <w:tc>
          <w:tcPr>
            <w:tcW w:w="1315" w:type="dxa"/>
            <w:vAlign w:val="center"/>
          </w:tcPr>
          <w:p w:rsidR="00AE7C88" w:rsidRPr="00F9522B" w:rsidRDefault="00AE7C88">
            <w:pPr>
              <w:adjustRightInd w:val="0"/>
              <w:snapToGrid w:val="0"/>
              <w:jc w:val="center"/>
              <w:rPr>
                <w:bCs/>
              </w:rPr>
            </w:pPr>
            <w:r w:rsidRPr="00F9522B">
              <w:rPr>
                <w:bCs/>
              </w:rPr>
              <w:t>5L</w:t>
            </w:r>
          </w:p>
        </w:tc>
        <w:tc>
          <w:tcPr>
            <w:tcW w:w="1235" w:type="dxa"/>
            <w:vAlign w:val="center"/>
          </w:tcPr>
          <w:p w:rsidR="00AE7C88" w:rsidRPr="00F9522B" w:rsidRDefault="00AE7C88">
            <w:pPr>
              <w:adjustRightInd w:val="0"/>
              <w:snapToGrid w:val="0"/>
              <w:jc w:val="center"/>
              <w:rPr>
                <w:bCs/>
              </w:rPr>
            </w:pPr>
            <w:r w:rsidRPr="00F9522B">
              <w:rPr>
                <w:bCs/>
              </w:rPr>
              <w:t>5L</w:t>
            </w:r>
          </w:p>
        </w:tc>
        <w:tc>
          <w:tcPr>
            <w:tcW w:w="1458" w:type="dxa"/>
            <w:vAlign w:val="center"/>
          </w:tcPr>
          <w:p w:rsidR="00AE7C88" w:rsidRPr="00F9522B" w:rsidRDefault="00AE7C88">
            <w:pPr>
              <w:adjustRightInd w:val="0"/>
              <w:snapToGrid w:val="0"/>
              <w:jc w:val="center"/>
              <w:rPr>
                <w:bCs/>
              </w:rPr>
            </w:pPr>
            <w:r w:rsidRPr="00F9522B">
              <w:rPr>
                <w:bCs/>
              </w:rPr>
              <w:t>5L</w:t>
            </w:r>
          </w:p>
        </w:tc>
        <w:tc>
          <w:tcPr>
            <w:tcW w:w="1308" w:type="dxa"/>
            <w:vAlign w:val="center"/>
          </w:tcPr>
          <w:p w:rsidR="00AE7C88" w:rsidRPr="00F9522B" w:rsidRDefault="00AE7C88">
            <w:pPr>
              <w:adjustRightInd w:val="0"/>
              <w:snapToGrid w:val="0"/>
              <w:jc w:val="center"/>
              <w:rPr>
                <w:bCs/>
              </w:rPr>
            </w:pPr>
            <w:r w:rsidRPr="00F9522B">
              <w:rPr>
                <w:bCs/>
              </w:rPr>
              <w:t>5L</w:t>
            </w:r>
          </w:p>
        </w:tc>
        <w:tc>
          <w:tcPr>
            <w:tcW w:w="749" w:type="dxa"/>
            <w:vAlign w:val="center"/>
          </w:tcPr>
          <w:p w:rsidR="00AE7C88" w:rsidRPr="00F9522B" w:rsidRDefault="00AE7C88">
            <w:pPr>
              <w:spacing w:line="0" w:lineRule="atLeast"/>
              <w:contextualSpacing/>
              <w:jc w:val="center"/>
              <w:rPr>
                <w:rFonts w:eastAsiaTheme="minorEastAsia"/>
                <w:szCs w:val="21"/>
              </w:rPr>
            </w:pPr>
            <w:r w:rsidRPr="00F9522B">
              <w:rPr>
                <w:rFonts w:eastAsiaTheme="minorEastAsia"/>
                <w:szCs w:val="21"/>
              </w:rPr>
              <w:t>/</w:t>
            </w:r>
          </w:p>
        </w:tc>
      </w:tr>
      <w:tr w:rsidR="00AE7C88" w:rsidRPr="00F9522B">
        <w:trPr>
          <w:gridAfter w:val="1"/>
          <w:wAfter w:w="80" w:type="dxa"/>
          <w:trHeight w:val="42"/>
        </w:trPr>
        <w:tc>
          <w:tcPr>
            <w:tcW w:w="1961" w:type="dxa"/>
            <w:vAlign w:val="center"/>
          </w:tcPr>
          <w:p w:rsidR="00AE7C88" w:rsidRPr="00F9522B" w:rsidRDefault="00AE7C88">
            <w:pPr>
              <w:spacing w:line="0" w:lineRule="atLeast"/>
              <w:contextualSpacing/>
              <w:jc w:val="center"/>
              <w:rPr>
                <w:rFonts w:eastAsiaTheme="minorEastAsia"/>
                <w:szCs w:val="21"/>
              </w:rPr>
            </w:pPr>
            <w:r w:rsidRPr="00F9522B">
              <w:rPr>
                <w:rFonts w:eastAsiaTheme="minorEastAsia"/>
                <w:bCs/>
                <w:szCs w:val="21"/>
              </w:rPr>
              <w:t>碳酸氢根离子</w:t>
            </w:r>
          </w:p>
        </w:tc>
        <w:tc>
          <w:tcPr>
            <w:tcW w:w="911" w:type="dxa"/>
            <w:vAlign w:val="center"/>
          </w:tcPr>
          <w:p w:rsidR="00AE7C88" w:rsidRPr="00F9522B" w:rsidRDefault="00AE7C88">
            <w:pPr>
              <w:spacing w:line="0" w:lineRule="atLeast"/>
              <w:contextualSpacing/>
              <w:jc w:val="center"/>
              <w:rPr>
                <w:rFonts w:eastAsiaTheme="minorEastAsia"/>
                <w:szCs w:val="21"/>
              </w:rPr>
            </w:pPr>
            <w:r w:rsidRPr="00F9522B">
              <w:rPr>
                <w:rFonts w:eastAsiaTheme="minorEastAsia"/>
                <w:szCs w:val="21"/>
              </w:rPr>
              <w:t>mg/L</w:t>
            </w:r>
          </w:p>
        </w:tc>
        <w:tc>
          <w:tcPr>
            <w:tcW w:w="1315" w:type="dxa"/>
            <w:vAlign w:val="center"/>
          </w:tcPr>
          <w:p w:rsidR="00AE7C88" w:rsidRPr="00F9522B" w:rsidRDefault="00AE7C88">
            <w:pPr>
              <w:adjustRightInd w:val="0"/>
              <w:snapToGrid w:val="0"/>
              <w:jc w:val="center"/>
              <w:rPr>
                <w:bCs/>
              </w:rPr>
            </w:pPr>
            <w:r w:rsidRPr="00F9522B">
              <w:rPr>
                <w:bCs/>
              </w:rPr>
              <w:t>475</w:t>
            </w:r>
          </w:p>
        </w:tc>
        <w:tc>
          <w:tcPr>
            <w:tcW w:w="1235" w:type="dxa"/>
            <w:vAlign w:val="center"/>
          </w:tcPr>
          <w:p w:rsidR="00AE7C88" w:rsidRPr="00F9522B" w:rsidRDefault="00AE7C88">
            <w:pPr>
              <w:adjustRightInd w:val="0"/>
              <w:snapToGrid w:val="0"/>
              <w:jc w:val="center"/>
              <w:rPr>
                <w:bCs/>
              </w:rPr>
            </w:pPr>
            <w:r w:rsidRPr="00F9522B">
              <w:rPr>
                <w:bCs/>
              </w:rPr>
              <w:t>493</w:t>
            </w:r>
          </w:p>
        </w:tc>
        <w:tc>
          <w:tcPr>
            <w:tcW w:w="1458" w:type="dxa"/>
            <w:vAlign w:val="center"/>
          </w:tcPr>
          <w:p w:rsidR="00AE7C88" w:rsidRPr="00F9522B" w:rsidRDefault="00AE7C88">
            <w:pPr>
              <w:adjustRightInd w:val="0"/>
              <w:snapToGrid w:val="0"/>
              <w:jc w:val="center"/>
              <w:rPr>
                <w:bCs/>
              </w:rPr>
            </w:pPr>
            <w:r w:rsidRPr="00F9522B">
              <w:rPr>
                <w:bCs/>
              </w:rPr>
              <w:t>310</w:t>
            </w:r>
          </w:p>
        </w:tc>
        <w:tc>
          <w:tcPr>
            <w:tcW w:w="1308" w:type="dxa"/>
            <w:vAlign w:val="center"/>
          </w:tcPr>
          <w:p w:rsidR="00AE7C88" w:rsidRPr="00F9522B" w:rsidRDefault="00AE7C88">
            <w:pPr>
              <w:adjustRightInd w:val="0"/>
              <w:snapToGrid w:val="0"/>
              <w:jc w:val="center"/>
              <w:rPr>
                <w:bCs/>
              </w:rPr>
            </w:pPr>
            <w:r w:rsidRPr="00F9522B">
              <w:rPr>
                <w:bCs/>
              </w:rPr>
              <w:t>300</w:t>
            </w:r>
          </w:p>
        </w:tc>
        <w:tc>
          <w:tcPr>
            <w:tcW w:w="749" w:type="dxa"/>
            <w:vAlign w:val="center"/>
          </w:tcPr>
          <w:p w:rsidR="00AE7C88" w:rsidRPr="00F9522B" w:rsidRDefault="00AE7C88">
            <w:pPr>
              <w:spacing w:line="0" w:lineRule="atLeast"/>
              <w:contextualSpacing/>
              <w:jc w:val="center"/>
              <w:rPr>
                <w:rFonts w:eastAsiaTheme="minorEastAsia"/>
                <w:szCs w:val="21"/>
              </w:rPr>
            </w:pPr>
            <w:r w:rsidRPr="00F9522B">
              <w:rPr>
                <w:rFonts w:eastAsiaTheme="minorEastAsia"/>
                <w:szCs w:val="21"/>
              </w:rPr>
              <w:t>/</w:t>
            </w:r>
          </w:p>
        </w:tc>
      </w:tr>
      <w:tr w:rsidR="00AE7C88" w:rsidRPr="00F9522B">
        <w:trPr>
          <w:gridAfter w:val="1"/>
          <w:wAfter w:w="80" w:type="dxa"/>
          <w:trHeight w:val="42"/>
        </w:trPr>
        <w:tc>
          <w:tcPr>
            <w:tcW w:w="1961" w:type="dxa"/>
            <w:vAlign w:val="center"/>
          </w:tcPr>
          <w:p w:rsidR="00AE7C88" w:rsidRPr="00F9522B" w:rsidRDefault="00AE7C88">
            <w:pPr>
              <w:spacing w:line="0" w:lineRule="atLeast"/>
              <w:contextualSpacing/>
              <w:jc w:val="center"/>
              <w:rPr>
                <w:rFonts w:eastAsiaTheme="minorEastAsia"/>
                <w:bCs/>
                <w:szCs w:val="21"/>
              </w:rPr>
            </w:pPr>
            <w:r w:rsidRPr="00F9522B">
              <w:rPr>
                <w:rFonts w:eastAsiaTheme="minorEastAsia"/>
                <w:szCs w:val="21"/>
              </w:rPr>
              <w:t>氯离子</w:t>
            </w:r>
          </w:p>
        </w:tc>
        <w:tc>
          <w:tcPr>
            <w:tcW w:w="911" w:type="dxa"/>
            <w:vAlign w:val="center"/>
          </w:tcPr>
          <w:p w:rsidR="00AE7C88" w:rsidRPr="00F9522B" w:rsidRDefault="00AE7C88">
            <w:pPr>
              <w:spacing w:line="0" w:lineRule="atLeast"/>
              <w:contextualSpacing/>
              <w:jc w:val="center"/>
              <w:rPr>
                <w:rFonts w:eastAsiaTheme="minorEastAsia"/>
                <w:szCs w:val="21"/>
              </w:rPr>
            </w:pPr>
            <w:r w:rsidRPr="00F9522B">
              <w:rPr>
                <w:rFonts w:eastAsiaTheme="minorEastAsia"/>
                <w:szCs w:val="21"/>
              </w:rPr>
              <w:t>mg/L</w:t>
            </w:r>
          </w:p>
        </w:tc>
        <w:tc>
          <w:tcPr>
            <w:tcW w:w="1315" w:type="dxa"/>
            <w:vAlign w:val="center"/>
          </w:tcPr>
          <w:p w:rsidR="00AE7C88" w:rsidRPr="00F9522B" w:rsidRDefault="00AE7C88">
            <w:pPr>
              <w:adjustRightInd w:val="0"/>
              <w:snapToGrid w:val="0"/>
              <w:jc w:val="center"/>
              <w:rPr>
                <w:bCs/>
              </w:rPr>
            </w:pPr>
            <w:r w:rsidRPr="00F9522B">
              <w:rPr>
                <w:bCs/>
              </w:rPr>
              <w:t>66.1</w:t>
            </w:r>
          </w:p>
        </w:tc>
        <w:tc>
          <w:tcPr>
            <w:tcW w:w="1235" w:type="dxa"/>
            <w:vAlign w:val="center"/>
          </w:tcPr>
          <w:p w:rsidR="00AE7C88" w:rsidRPr="00F9522B" w:rsidRDefault="00AE7C88">
            <w:pPr>
              <w:adjustRightInd w:val="0"/>
              <w:snapToGrid w:val="0"/>
              <w:jc w:val="center"/>
              <w:rPr>
                <w:bCs/>
              </w:rPr>
            </w:pPr>
            <w:r w:rsidRPr="00F9522B">
              <w:rPr>
                <w:bCs/>
              </w:rPr>
              <w:t>18.7</w:t>
            </w:r>
          </w:p>
        </w:tc>
        <w:tc>
          <w:tcPr>
            <w:tcW w:w="1458" w:type="dxa"/>
            <w:vAlign w:val="center"/>
          </w:tcPr>
          <w:p w:rsidR="00AE7C88" w:rsidRPr="00F9522B" w:rsidRDefault="00AE7C88">
            <w:pPr>
              <w:adjustRightInd w:val="0"/>
              <w:snapToGrid w:val="0"/>
              <w:jc w:val="center"/>
              <w:rPr>
                <w:bCs/>
              </w:rPr>
            </w:pPr>
            <w:r w:rsidRPr="00F9522B">
              <w:rPr>
                <w:bCs/>
              </w:rPr>
              <w:t>73.5</w:t>
            </w:r>
          </w:p>
        </w:tc>
        <w:tc>
          <w:tcPr>
            <w:tcW w:w="1308" w:type="dxa"/>
            <w:vAlign w:val="center"/>
          </w:tcPr>
          <w:p w:rsidR="00AE7C88" w:rsidRPr="00F9522B" w:rsidRDefault="00AE7C88">
            <w:pPr>
              <w:adjustRightInd w:val="0"/>
              <w:snapToGrid w:val="0"/>
              <w:jc w:val="center"/>
              <w:rPr>
                <w:bCs/>
              </w:rPr>
            </w:pPr>
            <w:r w:rsidRPr="00F9522B">
              <w:rPr>
                <w:bCs/>
              </w:rPr>
              <w:t>173</w:t>
            </w:r>
          </w:p>
        </w:tc>
        <w:tc>
          <w:tcPr>
            <w:tcW w:w="749" w:type="dxa"/>
            <w:vAlign w:val="center"/>
          </w:tcPr>
          <w:p w:rsidR="00AE7C88" w:rsidRPr="00F9522B" w:rsidRDefault="00AE7C88">
            <w:pPr>
              <w:spacing w:line="0" w:lineRule="atLeast"/>
              <w:contextualSpacing/>
              <w:jc w:val="center"/>
              <w:rPr>
                <w:rFonts w:eastAsiaTheme="minorEastAsia"/>
                <w:szCs w:val="21"/>
              </w:rPr>
            </w:pPr>
            <w:r w:rsidRPr="00F9522B">
              <w:rPr>
                <w:rFonts w:eastAsiaTheme="minorEastAsia"/>
                <w:szCs w:val="21"/>
              </w:rPr>
              <w:t>/</w:t>
            </w:r>
          </w:p>
        </w:tc>
      </w:tr>
      <w:tr w:rsidR="00AE7C88" w:rsidRPr="00F9522B">
        <w:trPr>
          <w:gridAfter w:val="1"/>
          <w:wAfter w:w="80" w:type="dxa"/>
          <w:trHeight w:val="42"/>
        </w:trPr>
        <w:tc>
          <w:tcPr>
            <w:tcW w:w="1961" w:type="dxa"/>
            <w:vAlign w:val="center"/>
          </w:tcPr>
          <w:p w:rsidR="00AE7C88" w:rsidRPr="00F9522B" w:rsidRDefault="00AE7C88">
            <w:pPr>
              <w:spacing w:line="0" w:lineRule="atLeast"/>
              <w:contextualSpacing/>
              <w:jc w:val="center"/>
              <w:rPr>
                <w:rFonts w:eastAsiaTheme="minorEastAsia"/>
                <w:bCs/>
                <w:szCs w:val="21"/>
              </w:rPr>
            </w:pPr>
            <w:r w:rsidRPr="00F9522B">
              <w:rPr>
                <w:rFonts w:eastAsiaTheme="minorEastAsia"/>
                <w:bCs/>
                <w:szCs w:val="21"/>
              </w:rPr>
              <w:t>硫酸根离子</w:t>
            </w:r>
          </w:p>
        </w:tc>
        <w:tc>
          <w:tcPr>
            <w:tcW w:w="911" w:type="dxa"/>
            <w:vAlign w:val="center"/>
          </w:tcPr>
          <w:p w:rsidR="00AE7C88" w:rsidRPr="00F9522B" w:rsidRDefault="00AE7C88">
            <w:pPr>
              <w:spacing w:line="0" w:lineRule="atLeast"/>
              <w:contextualSpacing/>
              <w:jc w:val="center"/>
              <w:rPr>
                <w:rFonts w:eastAsiaTheme="minorEastAsia"/>
                <w:szCs w:val="21"/>
              </w:rPr>
            </w:pPr>
            <w:r w:rsidRPr="00F9522B">
              <w:rPr>
                <w:rFonts w:eastAsiaTheme="minorEastAsia"/>
                <w:szCs w:val="21"/>
              </w:rPr>
              <w:t>mg/L</w:t>
            </w:r>
          </w:p>
        </w:tc>
        <w:tc>
          <w:tcPr>
            <w:tcW w:w="1315" w:type="dxa"/>
            <w:vAlign w:val="center"/>
          </w:tcPr>
          <w:p w:rsidR="00AE7C88" w:rsidRPr="00F9522B" w:rsidRDefault="00AE7C88">
            <w:pPr>
              <w:adjustRightInd w:val="0"/>
              <w:snapToGrid w:val="0"/>
              <w:jc w:val="center"/>
              <w:rPr>
                <w:bCs/>
              </w:rPr>
            </w:pPr>
            <w:r w:rsidRPr="00F9522B">
              <w:rPr>
                <w:bCs/>
              </w:rPr>
              <w:t>54.9</w:t>
            </w:r>
          </w:p>
        </w:tc>
        <w:tc>
          <w:tcPr>
            <w:tcW w:w="1235" w:type="dxa"/>
            <w:vAlign w:val="center"/>
          </w:tcPr>
          <w:p w:rsidR="00AE7C88" w:rsidRPr="00F9522B" w:rsidRDefault="00AE7C88">
            <w:pPr>
              <w:adjustRightInd w:val="0"/>
              <w:snapToGrid w:val="0"/>
              <w:jc w:val="center"/>
              <w:rPr>
                <w:bCs/>
              </w:rPr>
            </w:pPr>
            <w:r w:rsidRPr="00F9522B">
              <w:rPr>
                <w:bCs/>
              </w:rPr>
              <w:t>11.5</w:t>
            </w:r>
          </w:p>
        </w:tc>
        <w:tc>
          <w:tcPr>
            <w:tcW w:w="1458" w:type="dxa"/>
            <w:vAlign w:val="center"/>
          </w:tcPr>
          <w:p w:rsidR="00AE7C88" w:rsidRPr="00F9522B" w:rsidRDefault="00AE7C88">
            <w:pPr>
              <w:adjustRightInd w:val="0"/>
              <w:snapToGrid w:val="0"/>
              <w:jc w:val="center"/>
              <w:rPr>
                <w:bCs/>
              </w:rPr>
            </w:pPr>
            <w:r w:rsidRPr="00F9522B">
              <w:rPr>
                <w:bCs/>
              </w:rPr>
              <w:t>62.0</w:t>
            </w:r>
          </w:p>
        </w:tc>
        <w:tc>
          <w:tcPr>
            <w:tcW w:w="1308" w:type="dxa"/>
            <w:vAlign w:val="center"/>
          </w:tcPr>
          <w:p w:rsidR="00AE7C88" w:rsidRPr="00F9522B" w:rsidRDefault="00AE7C88">
            <w:pPr>
              <w:adjustRightInd w:val="0"/>
              <w:snapToGrid w:val="0"/>
              <w:jc w:val="center"/>
              <w:rPr>
                <w:bCs/>
              </w:rPr>
            </w:pPr>
            <w:r w:rsidRPr="00F9522B">
              <w:rPr>
                <w:bCs/>
              </w:rPr>
              <w:t>192</w:t>
            </w:r>
          </w:p>
        </w:tc>
        <w:tc>
          <w:tcPr>
            <w:tcW w:w="749" w:type="dxa"/>
            <w:vAlign w:val="center"/>
          </w:tcPr>
          <w:p w:rsidR="00AE7C88" w:rsidRPr="00F9522B" w:rsidRDefault="00AE7C88">
            <w:pPr>
              <w:spacing w:line="0" w:lineRule="atLeast"/>
              <w:contextualSpacing/>
              <w:jc w:val="center"/>
              <w:rPr>
                <w:rFonts w:eastAsiaTheme="minorEastAsia"/>
                <w:szCs w:val="21"/>
              </w:rPr>
            </w:pPr>
            <w:r w:rsidRPr="00F9522B">
              <w:rPr>
                <w:rFonts w:eastAsiaTheme="minorEastAsia"/>
                <w:szCs w:val="21"/>
              </w:rPr>
              <w:t>/</w:t>
            </w:r>
          </w:p>
        </w:tc>
      </w:tr>
      <w:tr w:rsidR="00AE7C88" w:rsidRPr="00F9522B">
        <w:trPr>
          <w:gridAfter w:val="1"/>
          <w:wAfter w:w="80" w:type="dxa"/>
          <w:trHeight w:val="42"/>
        </w:trPr>
        <w:tc>
          <w:tcPr>
            <w:tcW w:w="1961" w:type="dxa"/>
            <w:vAlign w:val="center"/>
          </w:tcPr>
          <w:p w:rsidR="00AE7C88" w:rsidRPr="00F9522B" w:rsidRDefault="00AE7C88">
            <w:pPr>
              <w:spacing w:line="0" w:lineRule="atLeast"/>
              <w:contextualSpacing/>
              <w:jc w:val="center"/>
              <w:rPr>
                <w:rFonts w:eastAsiaTheme="minorEastAsia"/>
                <w:bCs/>
                <w:szCs w:val="21"/>
              </w:rPr>
            </w:pPr>
            <w:r w:rsidRPr="00F9522B">
              <w:rPr>
                <w:rFonts w:eastAsiaTheme="minorEastAsia"/>
                <w:bCs/>
                <w:szCs w:val="21"/>
              </w:rPr>
              <w:t>pH</w:t>
            </w:r>
          </w:p>
        </w:tc>
        <w:tc>
          <w:tcPr>
            <w:tcW w:w="911" w:type="dxa"/>
            <w:vAlign w:val="center"/>
          </w:tcPr>
          <w:p w:rsidR="00AE7C88" w:rsidRPr="00F9522B" w:rsidRDefault="00AE7C88">
            <w:pPr>
              <w:spacing w:line="0" w:lineRule="atLeast"/>
              <w:contextualSpacing/>
              <w:jc w:val="center"/>
              <w:rPr>
                <w:rFonts w:eastAsiaTheme="minorEastAsia"/>
                <w:szCs w:val="21"/>
              </w:rPr>
            </w:pPr>
            <w:r w:rsidRPr="00F9522B">
              <w:rPr>
                <w:rFonts w:eastAsiaTheme="minorEastAsia"/>
                <w:szCs w:val="21"/>
              </w:rPr>
              <w:t>无量纲</w:t>
            </w:r>
          </w:p>
        </w:tc>
        <w:tc>
          <w:tcPr>
            <w:tcW w:w="1315" w:type="dxa"/>
            <w:vAlign w:val="center"/>
          </w:tcPr>
          <w:p w:rsidR="00AE7C88" w:rsidRPr="00F9522B" w:rsidRDefault="00AE7C88">
            <w:pPr>
              <w:adjustRightInd w:val="0"/>
              <w:snapToGrid w:val="0"/>
              <w:jc w:val="center"/>
              <w:rPr>
                <w:bCs/>
              </w:rPr>
            </w:pPr>
            <w:r w:rsidRPr="00F9522B">
              <w:rPr>
                <w:bCs/>
              </w:rPr>
              <w:t>7.6</w:t>
            </w:r>
          </w:p>
        </w:tc>
        <w:tc>
          <w:tcPr>
            <w:tcW w:w="1235" w:type="dxa"/>
            <w:vAlign w:val="center"/>
          </w:tcPr>
          <w:p w:rsidR="00AE7C88" w:rsidRPr="00F9522B" w:rsidRDefault="00AE7C88">
            <w:pPr>
              <w:adjustRightInd w:val="0"/>
              <w:snapToGrid w:val="0"/>
              <w:jc w:val="center"/>
              <w:rPr>
                <w:bCs/>
              </w:rPr>
            </w:pPr>
            <w:r w:rsidRPr="00F9522B">
              <w:rPr>
                <w:bCs/>
              </w:rPr>
              <w:t>7.2</w:t>
            </w:r>
          </w:p>
        </w:tc>
        <w:tc>
          <w:tcPr>
            <w:tcW w:w="1458" w:type="dxa"/>
            <w:vAlign w:val="center"/>
          </w:tcPr>
          <w:p w:rsidR="00AE7C88" w:rsidRPr="00F9522B" w:rsidRDefault="00AE7C88">
            <w:pPr>
              <w:adjustRightInd w:val="0"/>
              <w:snapToGrid w:val="0"/>
              <w:jc w:val="center"/>
              <w:rPr>
                <w:bCs/>
              </w:rPr>
            </w:pPr>
            <w:r w:rsidRPr="00F9522B">
              <w:rPr>
                <w:bCs/>
              </w:rPr>
              <w:t>7.5</w:t>
            </w:r>
          </w:p>
        </w:tc>
        <w:tc>
          <w:tcPr>
            <w:tcW w:w="1308" w:type="dxa"/>
            <w:vAlign w:val="center"/>
          </w:tcPr>
          <w:p w:rsidR="00AE7C88" w:rsidRPr="00F9522B" w:rsidRDefault="00AE7C88">
            <w:pPr>
              <w:adjustRightInd w:val="0"/>
              <w:snapToGrid w:val="0"/>
              <w:jc w:val="center"/>
              <w:rPr>
                <w:bCs/>
              </w:rPr>
            </w:pPr>
            <w:r w:rsidRPr="00F9522B">
              <w:rPr>
                <w:bCs/>
              </w:rPr>
              <w:t>7.1</w:t>
            </w:r>
          </w:p>
        </w:tc>
        <w:tc>
          <w:tcPr>
            <w:tcW w:w="749" w:type="dxa"/>
            <w:vAlign w:val="center"/>
          </w:tcPr>
          <w:p w:rsidR="00AE7C88" w:rsidRPr="00F9522B" w:rsidRDefault="00AE7C88">
            <w:pPr>
              <w:spacing w:line="0" w:lineRule="atLeast"/>
              <w:contextualSpacing/>
              <w:jc w:val="center"/>
              <w:rPr>
                <w:rFonts w:eastAsiaTheme="minorEastAsia"/>
                <w:szCs w:val="21"/>
              </w:rPr>
            </w:pPr>
            <w:r w:rsidRPr="00F9522B">
              <w:rPr>
                <w:rFonts w:eastAsiaTheme="minorEastAsia"/>
                <w:szCs w:val="21"/>
              </w:rPr>
              <w:t>6.5</w:t>
            </w:r>
            <w:r w:rsidRPr="00F9522B">
              <w:rPr>
                <w:rFonts w:eastAsiaTheme="minorEastAsia"/>
                <w:szCs w:val="21"/>
              </w:rPr>
              <w:t>～</w:t>
            </w:r>
            <w:r w:rsidRPr="00F9522B">
              <w:rPr>
                <w:rFonts w:eastAsiaTheme="minorEastAsia"/>
                <w:szCs w:val="21"/>
              </w:rPr>
              <w:t>8.5</w:t>
            </w:r>
          </w:p>
        </w:tc>
      </w:tr>
      <w:tr w:rsidR="00AE7C88" w:rsidRPr="00F9522B">
        <w:trPr>
          <w:gridAfter w:val="1"/>
          <w:wAfter w:w="80" w:type="dxa"/>
          <w:trHeight w:val="42"/>
        </w:trPr>
        <w:tc>
          <w:tcPr>
            <w:tcW w:w="1961" w:type="dxa"/>
            <w:vAlign w:val="center"/>
          </w:tcPr>
          <w:p w:rsidR="00AE7C88" w:rsidRPr="00F9522B" w:rsidRDefault="00AE7C88">
            <w:pPr>
              <w:spacing w:line="0" w:lineRule="atLeast"/>
              <w:contextualSpacing/>
              <w:jc w:val="center"/>
              <w:rPr>
                <w:rFonts w:eastAsiaTheme="minorEastAsia"/>
                <w:bCs/>
                <w:szCs w:val="21"/>
              </w:rPr>
            </w:pPr>
            <w:r w:rsidRPr="00F9522B">
              <w:rPr>
                <w:rFonts w:eastAsiaTheme="minorEastAsia"/>
                <w:szCs w:val="21"/>
              </w:rPr>
              <w:t>总硬度</w:t>
            </w:r>
          </w:p>
        </w:tc>
        <w:tc>
          <w:tcPr>
            <w:tcW w:w="911" w:type="dxa"/>
            <w:vAlign w:val="center"/>
          </w:tcPr>
          <w:p w:rsidR="00AE7C88" w:rsidRPr="00F9522B" w:rsidRDefault="00AE7C88">
            <w:pPr>
              <w:spacing w:line="0" w:lineRule="atLeast"/>
              <w:contextualSpacing/>
              <w:jc w:val="center"/>
              <w:rPr>
                <w:rFonts w:eastAsiaTheme="minorEastAsia"/>
                <w:szCs w:val="21"/>
              </w:rPr>
            </w:pPr>
            <w:r w:rsidRPr="00F9522B">
              <w:rPr>
                <w:rFonts w:eastAsiaTheme="minorEastAsia"/>
                <w:szCs w:val="21"/>
              </w:rPr>
              <w:t>mg/L</w:t>
            </w:r>
          </w:p>
        </w:tc>
        <w:tc>
          <w:tcPr>
            <w:tcW w:w="1315" w:type="dxa"/>
            <w:vAlign w:val="center"/>
          </w:tcPr>
          <w:p w:rsidR="00AE7C88" w:rsidRPr="00F9522B" w:rsidRDefault="00AE7C88">
            <w:pPr>
              <w:adjustRightInd w:val="0"/>
              <w:snapToGrid w:val="0"/>
              <w:jc w:val="center"/>
              <w:rPr>
                <w:bCs/>
              </w:rPr>
            </w:pPr>
            <w:r w:rsidRPr="00F9522B">
              <w:rPr>
                <w:bCs/>
              </w:rPr>
              <w:t>140</w:t>
            </w:r>
          </w:p>
        </w:tc>
        <w:tc>
          <w:tcPr>
            <w:tcW w:w="1235" w:type="dxa"/>
            <w:vAlign w:val="center"/>
          </w:tcPr>
          <w:p w:rsidR="00AE7C88" w:rsidRPr="00F9522B" w:rsidRDefault="00AE7C88">
            <w:pPr>
              <w:adjustRightInd w:val="0"/>
              <w:snapToGrid w:val="0"/>
              <w:jc w:val="center"/>
              <w:rPr>
                <w:bCs/>
              </w:rPr>
            </w:pPr>
            <w:r w:rsidRPr="00F9522B">
              <w:rPr>
                <w:bCs/>
              </w:rPr>
              <w:t>160</w:t>
            </w:r>
          </w:p>
        </w:tc>
        <w:tc>
          <w:tcPr>
            <w:tcW w:w="1458" w:type="dxa"/>
            <w:vAlign w:val="center"/>
          </w:tcPr>
          <w:p w:rsidR="00AE7C88" w:rsidRPr="00F9522B" w:rsidRDefault="00AE7C88">
            <w:pPr>
              <w:adjustRightInd w:val="0"/>
              <w:snapToGrid w:val="0"/>
              <w:jc w:val="center"/>
              <w:rPr>
                <w:bCs/>
              </w:rPr>
            </w:pPr>
            <w:r w:rsidRPr="00F9522B">
              <w:rPr>
                <w:bCs/>
              </w:rPr>
              <w:t>185</w:t>
            </w:r>
          </w:p>
        </w:tc>
        <w:tc>
          <w:tcPr>
            <w:tcW w:w="1308" w:type="dxa"/>
            <w:vAlign w:val="center"/>
          </w:tcPr>
          <w:p w:rsidR="00AE7C88" w:rsidRPr="00F9522B" w:rsidRDefault="00AE7C88">
            <w:pPr>
              <w:adjustRightInd w:val="0"/>
              <w:snapToGrid w:val="0"/>
              <w:jc w:val="center"/>
              <w:rPr>
                <w:bCs/>
              </w:rPr>
            </w:pPr>
            <w:r w:rsidRPr="00F9522B">
              <w:rPr>
                <w:bCs/>
              </w:rPr>
              <w:t>201</w:t>
            </w:r>
          </w:p>
        </w:tc>
        <w:tc>
          <w:tcPr>
            <w:tcW w:w="749" w:type="dxa"/>
            <w:vAlign w:val="center"/>
          </w:tcPr>
          <w:p w:rsidR="00AE7C88" w:rsidRPr="00F9522B" w:rsidRDefault="00AE7C88">
            <w:pPr>
              <w:spacing w:line="0" w:lineRule="atLeast"/>
              <w:contextualSpacing/>
              <w:jc w:val="center"/>
              <w:rPr>
                <w:rFonts w:eastAsiaTheme="minorEastAsia"/>
                <w:szCs w:val="21"/>
              </w:rPr>
            </w:pPr>
            <w:r w:rsidRPr="00F9522B">
              <w:rPr>
                <w:rFonts w:eastAsiaTheme="minorEastAsia"/>
                <w:szCs w:val="21"/>
              </w:rPr>
              <w:t>450</w:t>
            </w:r>
          </w:p>
        </w:tc>
      </w:tr>
      <w:tr w:rsidR="00AE7C88" w:rsidRPr="00F9522B">
        <w:trPr>
          <w:gridAfter w:val="1"/>
          <w:wAfter w:w="80" w:type="dxa"/>
          <w:trHeight w:val="42"/>
        </w:trPr>
        <w:tc>
          <w:tcPr>
            <w:tcW w:w="1961" w:type="dxa"/>
            <w:vAlign w:val="center"/>
          </w:tcPr>
          <w:p w:rsidR="00AE7C88" w:rsidRPr="00F9522B" w:rsidRDefault="00AE7C88">
            <w:pPr>
              <w:spacing w:line="0" w:lineRule="atLeast"/>
              <w:contextualSpacing/>
              <w:jc w:val="center"/>
              <w:rPr>
                <w:rFonts w:eastAsiaTheme="minorEastAsia"/>
                <w:bCs/>
                <w:szCs w:val="21"/>
              </w:rPr>
            </w:pPr>
            <w:r w:rsidRPr="00F9522B">
              <w:rPr>
                <w:rFonts w:eastAsiaTheme="minorEastAsia"/>
                <w:bCs/>
                <w:szCs w:val="21"/>
              </w:rPr>
              <w:t>溶解性总固体</w:t>
            </w:r>
          </w:p>
        </w:tc>
        <w:tc>
          <w:tcPr>
            <w:tcW w:w="911" w:type="dxa"/>
            <w:vAlign w:val="center"/>
          </w:tcPr>
          <w:p w:rsidR="00AE7C88" w:rsidRPr="00F9522B" w:rsidRDefault="00AE7C88">
            <w:pPr>
              <w:spacing w:line="0" w:lineRule="atLeast"/>
              <w:contextualSpacing/>
              <w:jc w:val="center"/>
              <w:rPr>
                <w:rFonts w:eastAsiaTheme="minorEastAsia"/>
                <w:szCs w:val="21"/>
              </w:rPr>
            </w:pPr>
            <w:r w:rsidRPr="00F9522B">
              <w:rPr>
                <w:rFonts w:eastAsiaTheme="minorEastAsia"/>
                <w:szCs w:val="21"/>
              </w:rPr>
              <w:t>mg/L</w:t>
            </w:r>
          </w:p>
        </w:tc>
        <w:tc>
          <w:tcPr>
            <w:tcW w:w="1315" w:type="dxa"/>
            <w:vAlign w:val="center"/>
          </w:tcPr>
          <w:p w:rsidR="00AE7C88" w:rsidRPr="00F9522B" w:rsidRDefault="00AE7C88">
            <w:pPr>
              <w:adjustRightInd w:val="0"/>
              <w:snapToGrid w:val="0"/>
              <w:jc w:val="center"/>
              <w:rPr>
                <w:bCs/>
              </w:rPr>
            </w:pPr>
            <w:r w:rsidRPr="00F9522B">
              <w:rPr>
                <w:bCs/>
              </w:rPr>
              <w:t>228</w:t>
            </w:r>
          </w:p>
        </w:tc>
        <w:tc>
          <w:tcPr>
            <w:tcW w:w="1235" w:type="dxa"/>
            <w:vAlign w:val="center"/>
          </w:tcPr>
          <w:p w:rsidR="00AE7C88" w:rsidRPr="00F9522B" w:rsidRDefault="00AE7C88">
            <w:pPr>
              <w:adjustRightInd w:val="0"/>
              <w:snapToGrid w:val="0"/>
              <w:jc w:val="center"/>
              <w:rPr>
                <w:bCs/>
              </w:rPr>
            </w:pPr>
            <w:r w:rsidRPr="00F9522B">
              <w:rPr>
                <w:bCs/>
              </w:rPr>
              <w:t>242</w:t>
            </w:r>
          </w:p>
        </w:tc>
        <w:tc>
          <w:tcPr>
            <w:tcW w:w="1458" w:type="dxa"/>
            <w:vAlign w:val="center"/>
          </w:tcPr>
          <w:p w:rsidR="00AE7C88" w:rsidRPr="00F9522B" w:rsidRDefault="00AE7C88">
            <w:pPr>
              <w:adjustRightInd w:val="0"/>
              <w:snapToGrid w:val="0"/>
              <w:jc w:val="center"/>
              <w:rPr>
                <w:bCs/>
              </w:rPr>
            </w:pPr>
            <w:r w:rsidRPr="00F9522B">
              <w:rPr>
                <w:bCs/>
              </w:rPr>
              <w:t>235</w:t>
            </w:r>
          </w:p>
        </w:tc>
        <w:tc>
          <w:tcPr>
            <w:tcW w:w="1308" w:type="dxa"/>
            <w:vAlign w:val="center"/>
          </w:tcPr>
          <w:p w:rsidR="00AE7C88" w:rsidRPr="00F9522B" w:rsidRDefault="00AE7C88">
            <w:pPr>
              <w:adjustRightInd w:val="0"/>
              <w:snapToGrid w:val="0"/>
              <w:jc w:val="center"/>
              <w:rPr>
                <w:bCs/>
              </w:rPr>
            </w:pPr>
            <w:r w:rsidRPr="00F9522B">
              <w:rPr>
                <w:bCs/>
              </w:rPr>
              <w:t>264</w:t>
            </w:r>
          </w:p>
        </w:tc>
        <w:tc>
          <w:tcPr>
            <w:tcW w:w="749" w:type="dxa"/>
            <w:vAlign w:val="center"/>
          </w:tcPr>
          <w:p w:rsidR="00AE7C88" w:rsidRPr="00F9522B" w:rsidRDefault="00AE7C88">
            <w:pPr>
              <w:spacing w:line="0" w:lineRule="atLeast"/>
              <w:contextualSpacing/>
              <w:jc w:val="center"/>
              <w:rPr>
                <w:rFonts w:eastAsiaTheme="minorEastAsia"/>
                <w:szCs w:val="21"/>
              </w:rPr>
            </w:pPr>
            <w:r w:rsidRPr="00F9522B">
              <w:rPr>
                <w:rFonts w:eastAsiaTheme="minorEastAsia"/>
                <w:szCs w:val="21"/>
              </w:rPr>
              <w:t>1000</w:t>
            </w:r>
          </w:p>
        </w:tc>
      </w:tr>
      <w:tr w:rsidR="00AE7C88" w:rsidRPr="00F9522B">
        <w:trPr>
          <w:gridAfter w:val="1"/>
          <w:wAfter w:w="80" w:type="dxa"/>
          <w:trHeight w:val="42"/>
        </w:trPr>
        <w:tc>
          <w:tcPr>
            <w:tcW w:w="1961" w:type="dxa"/>
            <w:vAlign w:val="center"/>
          </w:tcPr>
          <w:p w:rsidR="00AE7C88" w:rsidRPr="00F9522B" w:rsidRDefault="00AE7C88">
            <w:pPr>
              <w:spacing w:line="0" w:lineRule="atLeast"/>
              <w:contextualSpacing/>
              <w:jc w:val="center"/>
              <w:rPr>
                <w:rFonts w:eastAsiaTheme="minorEastAsia"/>
                <w:bCs/>
                <w:szCs w:val="21"/>
              </w:rPr>
            </w:pPr>
            <w:r w:rsidRPr="00F9522B">
              <w:rPr>
                <w:rFonts w:eastAsiaTheme="minorEastAsia"/>
                <w:szCs w:val="21"/>
              </w:rPr>
              <w:t>硫酸盐</w:t>
            </w:r>
          </w:p>
        </w:tc>
        <w:tc>
          <w:tcPr>
            <w:tcW w:w="911" w:type="dxa"/>
            <w:vAlign w:val="center"/>
          </w:tcPr>
          <w:p w:rsidR="00AE7C88" w:rsidRPr="00F9522B" w:rsidRDefault="00AE7C88">
            <w:pPr>
              <w:spacing w:line="0" w:lineRule="atLeast"/>
              <w:contextualSpacing/>
              <w:jc w:val="center"/>
              <w:rPr>
                <w:rFonts w:eastAsiaTheme="minorEastAsia"/>
                <w:szCs w:val="21"/>
              </w:rPr>
            </w:pPr>
            <w:r w:rsidRPr="00F9522B">
              <w:rPr>
                <w:rFonts w:eastAsiaTheme="minorEastAsia"/>
                <w:szCs w:val="21"/>
              </w:rPr>
              <w:t>mg/L</w:t>
            </w:r>
          </w:p>
        </w:tc>
        <w:tc>
          <w:tcPr>
            <w:tcW w:w="1315" w:type="dxa"/>
            <w:vAlign w:val="center"/>
          </w:tcPr>
          <w:p w:rsidR="00AE7C88" w:rsidRPr="00F9522B" w:rsidRDefault="00AE7C88">
            <w:pPr>
              <w:adjustRightInd w:val="0"/>
              <w:snapToGrid w:val="0"/>
              <w:jc w:val="center"/>
              <w:rPr>
                <w:bCs/>
              </w:rPr>
            </w:pPr>
            <w:r w:rsidRPr="00F9522B">
              <w:rPr>
                <w:bCs/>
              </w:rPr>
              <w:t>56</w:t>
            </w:r>
          </w:p>
        </w:tc>
        <w:tc>
          <w:tcPr>
            <w:tcW w:w="1235" w:type="dxa"/>
            <w:vAlign w:val="center"/>
          </w:tcPr>
          <w:p w:rsidR="00AE7C88" w:rsidRPr="00F9522B" w:rsidRDefault="00AE7C88">
            <w:pPr>
              <w:adjustRightInd w:val="0"/>
              <w:snapToGrid w:val="0"/>
              <w:jc w:val="center"/>
              <w:rPr>
                <w:bCs/>
              </w:rPr>
            </w:pPr>
            <w:r w:rsidRPr="00F9522B">
              <w:rPr>
                <w:bCs/>
              </w:rPr>
              <w:t>12</w:t>
            </w:r>
          </w:p>
        </w:tc>
        <w:tc>
          <w:tcPr>
            <w:tcW w:w="1458" w:type="dxa"/>
            <w:vAlign w:val="center"/>
          </w:tcPr>
          <w:p w:rsidR="00AE7C88" w:rsidRPr="00F9522B" w:rsidRDefault="00AE7C88">
            <w:pPr>
              <w:adjustRightInd w:val="0"/>
              <w:snapToGrid w:val="0"/>
              <w:jc w:val="center"/>
              <w:rPr>
                <w:bCs/>
              </w:rPr>
            </w:pPr>
            <w:r w:rsidRPr="00F9522B">
              <w:rPr>
                <w:bCs/>
              </w:rPr>
              <w:t>66</w:t>
            </w:r>
          </w:p>
        </w:tc>
        <w:tc>
          <w:tcPr>
            <w:tcW w:w="1308" w:type="dxa"/>
            <w:vAlign w:val="center"/>
          </w:tcPr>
          <w:p w:rsidR="00AE7C88" w:rsidRPr="00F9522B" w:rsidRDefault="00AE7C88">
            <w:pPr>
              <w:adjustRightInd w:val="0"/>
              <w:snapToGrid w:val="0"/>
              <w:jc w:val="center"/>
              <w:rPr>
                <w:bCs/>
              </w:rPr>
            </w:pPr>
            <w:r w:rsidRPr="00F9522B">
              <w:rPr>
                <w:bCs/>
              </w:rPr>
              <w:t>189</w:t>
            </w:r>
          </w:p>
        </w:tc>
        <w:tc>
          <w:tcPr>
            <w:tcW w:w="749" w:type="dxa"/>
            <w:vAlign w:val="center"/>
          </w:tcPr>
          <w:p w:rsidR="00AE7C88" w:rsidRPr="00F9522B" w:rsidRDefault="00AE7C88">
            <w:pPr>
              <w:spacing w:line="0" w:lineRule="atLeast"/>
              <w:contextualSpacing/>
              <w:jc w:val="center"/>
              <w:rPr>
                <w:rFonts w:eastAsiaTheme="minorEastAsia"/>
                <w:szCs w:val="21"/>
              </w:rPr>
            </w:pPr>
            <w:r w:rsidRPr="00F9522B">
              <w:rPr>
                <w:rFonts w:eastAsiaTheme="minorEastAsia"/>
                <w:szCs w:val="21"/>
              </w:rPr>
              <w:t>250</w:t>
            </w:r>
          </w:p>
        </w:tc>
      </w:tr>
      <w:tr w:rsidR="00AE7C88" w:rsidRPr="00F9522B">
        <w:trPr>
          <w:gridAfter w:val="1"/>
          <w:wAfter w:w="80" w:type="dxa"/>
          <w:trHeight w:val="42"/>
        </w:trPr>
        <w:tc>
          <w:tcPr>
            <w:tcW w:w="1961" w:type="dxa"/>
            <w:vAlign w:val="center"/>
          </w:tcPr>
          <w:p w:rsidR="00AE7C88" w:rsidRPr="00F9522B" w:rsidRDefault="00AE7C88">
            <w:pPr>
              <w:spacing w:line="0" w:lineRule="atLeast"/>
              <w:contextualSpacing/>
              <w:jc w:val="center"/>
              <w:rPr>
                <w:rFonts w:eastAsiaTheme="minorEastAsia"/>
                <w:bCs/>
                <w:szCs w:val="21"/>
              </w:rPr>
            </w:pPr>
            <w:r w:rsidRPr="00F9522B">
              <w:rPr>
                <w:rFonts w:eastAsiaTheme="minorEastAsia"/>
                <w:bCs/>
                <w:szCs w:val="21"/>
              </w:rPr>
              <w:t>氯化物</w:t>
            </w:r>
          </w:p>
        </w:tc>
        <w:tc>
          <w:tcPr>
            <w:tcW w:w="911" w:type="dxa"/>
            <w:vAlign w:val="center"/>
          </w:tcPr>
          <w:p w:rsidR="00AE7C88" w:rsidRPr="00F9522B" w:rsidRDefault="00AE7C88">
            <w:pPr>
              <w:spacing w:line="0" w:lineRule="atLeast"/>
              <w:contextualSpacing/>
              <w:jc w:val="center"/>
              <w:rPr>
                <w:rFonts w:eastAsiaTheme="minorEastAsia"/>
                <w:szCs w:val="21"/>
              </w:rPr>
            </w:pPr>
            <w:r w:rsidRPr="00F9522B">
              <w:rPr>
                <w:rFonts w:eastAsiaTheme="minorEastAsia"/>
                <w:szCs w:val="21"/>
              </w:rPr>
              <w:t>mg/L</w:t>
            </w:r>
          </w:p>
        </w:tc>
        <w:tc>
          <w:tcPr>
            <w:tcW w:w="1315" w:type="dxa"/>
            <w:vAlign w:val="center"/>
          </w:tcPr>
          <w:p w:rsidR="00AE7C88" w:rsidRPr="00F9522B" w:rsidRDefault="00AE7C88">
            <w:pPr>
              <w:adjustRightInd w:val="0"/>
              <w:snapToGrid w:val="0"/>
              <w:jc w:val="center"/>
              <w:rPr>
                <w:bCs/>
              </w:rPr>
            </w:pPr>
            <w:r w:rsidRPr="00F9522B">
              <w:rPr>
                <w:bCs/>
              </w:rPr>
              <w:t>66</w:t>
            </w:r>
          </w:p>
        </w:tc>
        <w:tc>
          <w:tcPr>
            <w:tcW w:w="1235" w:type="dxa"/>
            <w:vAlign w:val="center"/>
          </w:tcPr>
          <w:p w:rsidR="00AE7C88" w:rsidRPr="00F9522B" w:rsidRDefault="00AE7C88">
            <w:pPr>
              <w:adjustRightInd w:val="0"/>
              <w:snapToGrid w:val="0"/>
              <w:jc w:val="center"/>
              <w:rPr>
                <w:bCs/>
              </w:rPr>
            </w:pPr>
            <w:r w:rsidRPr="00F9522B">
              <w:rPr>
                <w:bCs/>
              </w:rPr>
              <w:t>20</w:t>
            </w:r>
          </w:p>
        </w:tc>
        <w:tc>
          <w:tcPr>
            <w:tcW w:w="1458" w:type="dxa"/>
            <w:vAlign w:val="center"/>
          </w:tcPr>
          <w:p w:rsidR="00AE7C88" w:rsidRPr="00F9522B" w:rsidRDefault="00AE7C88">
            <w:pPr>
              <w:adjustRightInd w:val="0"/>
              <w:snapToGrid w:val="0"/>
              <w:jc w:val="center"/>
              <w:rPr>
                <w:bCs/>
              </w:rPr>
            </w:pPr>
            <w:r w:rsidRPr="00F9522B">
              <w:rPr>
                <w:bCs/>
              </w:rPr>
              <w:t>75</w:t>
            </w:r>
          </w:p>
        </w:tc>
        <w:tc>
          <w:tcPr>
            <w:tcW w:w="1308" w:type="dxa"/>
            <w:vAlign w:val="center"/>
          </w:tcPr>
          <w:p w:rsidR="00AE7C88" w:rsidRPr="00F9522B" w:rsidRDefault="00AE7C88">
            <w:pPr>
              <w:adjustRightInd w:val="0"/>
              <w:snapToGrid w:val="0"/>
              <w:jc w:val="center"/>
              <w:rPr>
                <w:bCs/>
              </w:rPr>
            </w:pPr>
            <w:r w:rsidRPr="00F9522B">
              <w:rPr>
                <w:bCs/>
              </w:rPr>
              <w:t>176</w:t>
            </w:r>
          </w:p>
        </w:tc>
        <w:tc>
          <w:tcPr>
            <w:tcW w:w="749" w:type="dxa"/>
            <w:vAlign w:val="center"/>
          </w:tcPr>
          <w:p w:rsidR="00AE7C88" w:rsidRPr="00F9522B" w:rsidRDefault="00AE7C88">
            <w:pPr>
              <w:spacing w:line="0" w:lineRule="atLeast"/>
              <w:contextualSpacing/>
              <w:jc w:val="center"/>
              <w:rPr>
                <w:rFonts w:eastAsiaTheme="minorEastAsia"/>
                <w:szCs w:val="21"/>
              </w:rPr>
            </w:pPr>
            <w:r w:rsidRPr="00F9522B">
              <w:rPr>
                <w:rFonts w:eastAsiaTheme="minorEastAsia"/>
                <w:szCs w:val="21"/>
              </w:rPr>
              <w:t>250</w:t>
            </w:r>
          </w:p>
        </w:tc>
      </w:tr>
      <w:tr w:rsidR="002A5A5E" w:rsidRPr="00F9522B">
        <w:trPr>
          <w:gridAfter w:val="1"/>
          <w:wAfter w:w="80" w:type="dxa"/>
          <w:trHeight w:val="42"/>
        </w:trPr>
        <w:tc>
          <w:tcPr>
            <w:tcW w:w="1961" w:type="dxa"/>
            <w:vAlign w:val="center"/>
          </w:tcPr>
          <w:p w:rsidR="002A5A5E" w:rsidRPr="00F9522B" w:rsidRDefault="00611CBA">
            <w:pPr>
              <w:spacing w:line="0" w:lineRule="atLeast"/>
              <w:contextualSpacing/>
              <w:jc w:val="center"/>
              <w:rPr>
                <w:rFonts w:eastAsiaTheme="minorEastAsia"/>
                <w:bCs/>
                <w:szCs w:val="21"/>
              </w:rPr>
            </w:pPr>
            <w:r w:rsidRPr="00F9522B">
              <w:rPr>
                <w:rFonts w:eastAsiaTheme="minorEastAsia"/>
                <w:bCs/>
                <w:szCs w:val="21"/>
              </w:rPr>
              <w:t>挥发酚</w:t>
            </w:r>
          </w:p>
        </w:tc>
        <w:tc>
          <w:tcPr>
            <w:tcW w:w="911" w:type="dxa"/>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mg/L</w:t>
            </w:r>
          </w:p>
        </w:tc>
        <w:tc>
          <w:tcPr>
            <w:tcW w:w="1315" w:type="dxa"/>
            <w:vAlign w:val="center"/>
          </w:tcPr>
          <w:p w:rsidR="002A5A5E" w:rsidRPr="00F9522B" w:rsidRDefault="00611CBA">
            <w:pPr>
              <w:adjustRightInd w:val="0"/>
              <w:snapToGrid w:val="0"/>
              <w:jc w:val="center"/>
              <w:rPr>
                <w:bCs/>
              </w:rPr>
            </w:pPr>
            <w:r w:rsidRPr="00F9522B">
              <w:rPr>
                <w:bCs/>
              </w:rPr>
              <w:t>0.0003L</w:t>
            </w:r>
          </w:p>
        </w:tc>
        <w:tc>
          <w:tcPr>
            <w:tcW w:w="1235" w:type="dxa"/>
            <w:vAlign w:val="center"/>
          </w:tcPr>
          <w:p w:rsidR="002A5A5E" w:rsidRPr="00F9522B" w:rsidRDefault="00611CBA">
            <w:pPr>
              <w:adjustRightInd w:val="0"/>
              <w:snapToGrid w:val="0"/>
              <w:jc w:val="center"/>
              <w:rPr>
                <w:bCs/>
              </w:rPr>
            </w:pPr>
            <w:r w:rsidRPr="00F9522B">
              <w:rPr>
                <w:bCs/>
              </w:rPr>
              <w:t>0.0003L</w:t>
            </w:r>
          </w:p>
        </w:tc>
        <w:tc>
          <w:tcPr>
            <w:tcW w:w="1458" w:type="dxa"/>
            <w:vAlign w:val="center"/>
          </w:tcPr>
          <w:p w:rsidR="002A5A5E" w:rsidRPr="00F9522B" w:rsidRDefault="00611CBA">
            <w:pPr>
              <w:adjustRightInd w:val="0"/>
              <w:snapToGrid w:val="0"/>
              <w:jc w:val="center"/>
              <w:rPr>
                <w:bCs/>
              </w:rPr>
            </w:pPr>
            <w:r w:rsidRPr="00F9522B">
              <w:rPr>
                <w:bCs/>
              </w:rPr>
              <w:t>0.0003L</w:t>
            </w:r>
          </w:p>
        </w:tc>
        <w:tc>
          <w:tcPr>
            <w:tcW w:w="1308" w:type="dxa"/>
            <w:vAlign w:val="center"/>
          </w:tcPr>
          <w:p w:rsidR="002A5A5E" w:rsidRPr="00F9522B" w:rsidRDefault="00611CBA">
            <w:pPr>
              <w:adjustRightInd w:val="0"/>
              <w:snapToGrid w:val="0"/>
              <w:jc w:val="center"/>
              <w:rPr>
                <w:bCs/>
              </w:rPr>
            </w:pPr>
            <w:r w:rsidRPr="00F9522B">
              <w:rPr>
                <w:bCs/>
              </w:rPr>
              <w:t>0.0003L</w:t>
            </w:r>
          </w:p>
        </w:tc>
        <w:tc>
          <w:tcPr>
            <w:tcW w:w="749" w:type="dxa"/>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0.002</w:t>
            </w:r>
          </w:p>
        </w:tc>
      </w:tr>
      <w:tr w:rsidR="00AE7C88" w:rsidRPr="00F9522B">
        <w:trPr>
          <w:gridAfter w:val="1"/>
          <w:wAfter w:w="80" w:type="dxa"/>
          <w:trHeight w:val="42"/>
        </w:trPr>
        <w:tc>
          <w:tcPr>
            <w:tcW w:w="1961" w:type="dxa"/>
            <w:vAlign w:val="center"/>
          </w:tcPr>
          <w:p w:rsidR="00AE7C88" w:rsidRPr="00F9522B" w:rsidRDefault="00AE7C88">
            <w:pPr>
              <w:spacing w:line="0" w:lineRule="atLeast"/>
              <w:contextualSpacing/>
              <w:jc w:val="center"/>
              <w:rPr>
                <w:rFonts w:eastAsiaTheme="minorEastAsia"/>
                <w:szCs w:val="21"/>
              </w:rPr>
            </w:pPr>
            <w:r w:rsidRPr="00F9522B">
              <w:rPr>
                <w:rFonts w:eastAsiaTheme="minorEastAsia"/>
                <w:bCs/>
                <w:szCs w:val="21"/>
              </w:rPr>
              <w:t>耗氧量</w:t>
            </w:r>
          </w:p>
        </w:tc>
        <w:tc>
          <w:tcPr>
            <w:tcW w:w="911" w:type="dxa"/>
            <w:vAlign w:val="center"/>
          </w:tcPr>
          <w:p w:rsidR="00AE7C88" w:rsidRPr="00F9522B" w:rsidRDefault="00AE7C88">
            <w:pPr>
              <w:spacing w:line="0" w:lineRule="atLeast"/>
              <w:contextualSpacing/>
              <w:jc w:val="center"/>
              <w:rPr>
                <w:rFonts w:eastAsiaTheme="minorEastAsia"/>
                <w:szCs w:val="21"/>
              </w:rPr>
            </w:pPr>
            <w:r w:rsidRPr="00F9522B">
              <w:rPr>
                <w:rFonts w:eastAsiaTheme="minorEastAsia"/>
                <w:szCs w:val="21"/>
              </w:rPr>
              <w:t>mg/L</w:t>
            </w:r>
          </w:p>
        </w:tc>
        <w:tc>
          <w:tcPr>
            <w:tcW w:w="1315" w:type="dxa"/>
            <w:vAlign w:val="center"/>
          </w:tcPr>
          <w:p w:rsidR="00AE7C88" w:rsidRPr="00F9522B" w:rsidRDefault="00AE7C88">
            <w:pPr>
              <w:adjustRightInd w:val="0"/>
              <w:snapToGrid w:val="0"/>
              <w:jc w:val="center"/>
              <w:rPr>
                <w:bCs/>
              </w:rPr>
            </w:pPr>
            <w:r w:rsidRPr="00F9522B">
              <w:rPr>
                <w:bCs/>
              </w:rPr>
              <w:t>2.0</w:t>
            </w:r>
          </w:p>
        </w:tc>
        <w:tc>
          <w:tcPr>
            <w:tcW w:w="1235" w:type="dxa"/>
            <w:vAlign w:val="center"/>
          </w:tcPr>
          <w:p w:rsidR="00AE7C88" w:rsidRPr="00F9522B" w:rsidRDefault="00AE7C88">
            <w:pPr>
              <w:adjustRightInd w:val="0"/>
              <w:snapToGrid w:val="0"/>
              <w:jc w:val="center"/>
              <w:rPr>
                <w:bCs/>
              </w:rPr>
            </w:pPr>
            <w:r w:rsidRPr="00F9522B">
              <w:rPr>
                <w:bCs/>
              </w:rPr>
              <w:t>1.7</w:t>
            </w:r>
          </w:p>
        </w:tc>
        <w:tc>
          <w:tcPr>
            <w:tcW w:w="1458" w:type="dxa"/>
            <w:vAlign w:val="center"/>
          </w:tcPr>
          <w:p w:rsidR="00AE7C88" w:rsidRPr="00F9522B" w:rsidRDefault="00AE7C88">
            <w:pPr>
              <w:adjustRightInd w:val="0"/>
              <w:snapToGrid w:val="0"/>
              <w:jc w:val="center"/>
              <w:rPr>
                <w:bCs/>
              </w:rPr>
            </w:pPr>
            <w:r w:rsidRPr="00F9522B">
              <w:rPr>
                <w:bCs/>
              </w:rPr>
              <w:t>1.6</w:t>
            </w:r>
          </w:p>
        </w:tc>
        <w:tc>
          <w:tcPr>
            <w:tcW w:w="1308" w:type="dxa"/>
            <w:vAlign w:val="center"/>
          </w:tcPr>
          <w:p w:rsidR="00AE7C88" w:rsidRPr="00F9522B" w:rsidRDefault="00AE7C88">
            <w:pPr>
              <w:adjustRightInd w:val="0"/>
              <w:snapToGrid w:val="0"/>
              <w:jc w:val="center"/>
              <w:rPr>
                <w:bCs/>
              </w:rPr>
            </w:pPr>
            <w:r w:rsidRPr="00F9522B">
              <w:rPr>
                <w:bCs/>
              </w:rPr>
              <w:t>1.5</w:t>
            </w:r>
          </w:p>
        </w:tc>
        <w:tc>
          <w:tcPr>
            <w:tcW w:w="749" w:type="dxa"/>
            <w:vAlign w:val="center"/>
          </w:tcPr>
          <w:p w:rsidR="00AE7C88" w:rsidRPr="00F9522B" w:rsidRDefault="00AE7C88">
            <w:pPr>
              <w:spacing w:line="0" w:lineRule="atLeast"/>
              <w:contextualSpacing/>
              <w:jc w:val="center"/>
              <w:rPr>
                <w:rFonts w:eastAsiaTheme="minorEastAsia"/>
                <w:szCs w:val="21"/>
              </w:rPr>
            </w:pPr>
            <w:r w:rsidRPr="00F9522B">
              <w:rPr>
                <w:rFonts w:eastAsiaTheme="minorEastAsia"/>
                <w:szCs w:val="21"/>
              </w:rPr>
              <w:t>3.0</w:t>
            </w:r>
          </w:p>
        </w:tc>
      </w:tr>
      <w:tr w:rsidR="00AE7C88" w:rsidRPr="00F9522B">
        <w:trPr>
          <w:gridAfter w:val="1"/>
          <w:wAfter w:w="80" w:type="dxa"/>
          <w:trHeight w:val="42"/>
        </w:trPr>
        <w:tc>
          <w:tcPr>
            <w:tcW w:w="1961" w:type="dxa"/>
            <w:vAlign w:val="center"/>
          </w:tcPr>
          <w:p w:rsidR="00AE7C88" w:rsidRPr="00F9522B" w:rsidRDefault="00AE7C88">
            <w:pPr>
              <w:spacing w:line="0" w:lineRule="atLeast"/>
              <w:contextualSpacing/>
              <w:jc w:val="center"/>
              <w:rPr>
                <w:rFonts w:eastAsiaTheme="minorEastAsia"/>
                <w:bCs/>
                <w:szCs w:val="21"/>
              </w:rPr>
            </w:pPr>
            <w:r w:rsidRPr="00F9522B">
              <w:rPr>
                <w:rFonts w:eastAsiaTheme="minorEastAsia"/>
                <w:szCs w:val="21"/>
              </w:rPr>
              <w:t>硝酸盐</w:t>
            </w:r>
          </w:p>
        </w:tc>
        <w:tc>
          <w:tcPr>
            <w:tcW w:w="911" w:type="dxa"/>
            <w:vAlign w:val="center"/>
          </w:tcPr>
          <w:p w:rsidR="00AE7C88" w:rsidRPr="00F9522B" w:rsidRDefault="00AE7C88">
            <w:pPr>
              <w:spacing w:line="0" w:lineRule="atLeast"/>
              <w:contextualSpacing/>
              <w:jc w:val="center"/>
              <w:rPr>
                <w:rFonts w:eastAsiaTheme="minorEastAsia"/>
                <w:szCs w:val="21"/>
              </w:rPr>
            </w:pPr>
            <w:r w:rsidRPr="00F9522B">
              <w:rPr>
                <w:rFonts w:eastAsiaTheme="minorEastAsia"/>
                <w:szCs w:val="21"/>
              </w:rPr>
              <w:t>mg/L</w:t>
            </w:r>
          </w:p>
        </w:tc>
        <w:tc>
          <w:tcPr>
            <w:tcW w:w="1315" w:type="dxa"/>
            <w:vAlign w:val="center"/>
          </w:tcPr>
          <w:p w:rsidR="00AE7C88" w:rsidRPr="00F9522B" w:rsidRDefault="00AE7C88">
            <w:pPr>
              <w:adjustRightInd w:val="0"/>
              <w:snapToGrid w:val="0"/>
              <w:jc w:val="center"/>
              <w:rPr>
                <w:bCs/>
              </w:rPr>
            </w:pPr>
            <w:r w:rsidRPr="00F9522B">
              <w:rPr>
                <w:bCs/>
              </w:rPr>
              <w:t>1.83</w:t>
            </w:r>
          </w:p>
        </w:tc>
        <w:tc>
          <w:tcPr>
            <w:tcW w:w="1235" w:type="dxa"/>
            <w:vAlign w:val="center"/>
          </w:tcPr>
          <w:p w:rsidR="00AE7C88" w:rsidRPr="00F9522B" w:rsidRDefault="00AE7C88">
            <w:pPr>
              <w:adjustRightInd w:val="0"/>
              <w:snapToGrid w:val="0"/>
              <w:jc w:val="center"/>
              <w:rPr>
                <w:bCs/>
              </w:rPr>
            </w:pPr>
            <w:r w:rsidRPr="00F9522B">
              <w:rPr>
                <w:bCs/>
              </w:rPr>
              <w:t>2.73</w:t>
            </w:r>
          </w:p>
        </w:tc>
        <w:tc>
          <w:tcPr>
            <w:tcW w:w="1458" w:type="dxa"/>
            <w:vAlign w:val="center"/>
          </w:tcPr>
          <w:p w:rsidR="00AE7C88" w:rsidRPr="00F9522B" w:rsidRDefault="00AE7C88">
            <w:pPr>
              <w:adjustRightInd w:val="0"/>
              <w:snapToGrid w:val="0"/>
              <w:jc w:val="center"/>
              <w:rPr>
                <w:bCs/>
              </w:rPr>
            </w:pPr>
            <w:r w:rsidRPr="00F9522B">
              <w:rPr>
                <w:bCs/>
              </w:rPr>
              <w:t>0.77</w:t>
            </w:r>
          </w:p>
        </w:tc>
        <w:tc>
          <w:tcPr>
            <w:tcW w:w="1308" w:type="dxa"/>
            <w:vAlign w:val="center"/>
          </w:tcPr>
          <w:p w:rsidR="00AE7C88" w:rsidRPr="00F9522B" w:rsidRDefault="00AE7C88">
            <w:pPr>
              <w:adjustRightInd w:val="0"/>
              <w:snapToGrid w:val="0"/>
              <w:jc w:val="center"/>
              <w:rPr>
                <w:bCs/>
              </w:rPr>
            </w:pPr>
            <w:r w:rsidRPr="00F9522B">
              <w:rPr>
                <w:bCs/>
              </w:rPr>
              <w:t>1.62</w:t>
            </w:r>
          </w:p>
        </w:tc>
        <w:tc>
          <w:tcPr>
            <w:tcW w:w="749" w:type="dxa"/>
            <w:vAlign w:val="center"/>
          </w:tcPr>
          <w:p w:rsidR="00AE7C88" w:rsidRPr="00F9522B" w:rsidRDefault="00AE7C88">
            <w:pPr>
              <w:spacing w:line="0" w:lineRule="atLeast"/>
              <w:contextualSpacing/>
              <w:jc w:val="center"/>
              <w:rPr>
                <w:rFonts w:eastAsiaTheme="minorEastAsia"/>
                <w:szCs w:val="21"/>
              </w:rPr>
            </w:pPr>
            <w:r w:rsidRPr="00F9522B">
              <w:rPr>
                <w:rFonts w:eastAsiaTheme="minorEastAsia"/>
                <w:szCs w:val="21"/>
              </w:rPr>
              <w:t>20.0</w:t>
            </w:r>
          </w:p>
        </w:tc>
      </w:tr>
      <w:tr w:rsidR="002A5A5E" w:rsidRPr="00F9522B">
        <w:trPr>
          <w:gridAfter w:val="1"/>
          <w:wAfter w:w="80" w:type="dxa"/>
          <w:trHeight w:val="42"/>
        </w:trPr>
        <w:tc>
          <w:tcPr>
            <w:tcW w:w="1961" w:type="dxa"/>
            <w:vAlign w:val="center"/>
          </w:tcPr>
          <w:p w:rsidR="002A5A5E" w:rsidRPr="00F9522B" w:rsidRDefault="00611CBA">
            <w:pPr>
              <w:spacing w:line="0" w:lineRule="atLeast"/>
              <w:contextualSpacing/>
              <w:jc w:val="center"/>
              <w:rPr>
                <w:rFonts w:eastAsiaTheme="minorEastAsia"/>
                <w:bCs/>
                <w:szCs w:val="21"/>
              </w:rPr>
            </w:pPr>
            <w:r w:rsidRPr="00F9522B">
              <w:rPr>
                <w:rFonts w:eastAsiaTheme="minorEastAsia"/>
                <w:bCs/>
                <w:szCs w:val="21"/>
              </w:rPr>
              <w:t>亚硝酸盐</w:t>
            </w:r>
          </w:p>
        </w:tc>
        <w:tc>
          <w:tcPr>
            <w:tcW w:w="911" w:type="dxa"/>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mg/L</w:t>
            </w:r>
          </w:p>
        </w:tc>
        <w:tc>
          <w:tcPr>
            <w:tcW w:w="1315" w:type="dxa"/>
            <w:vAlign w:val="center"/>
          </w:tcPr>
          <w:p w:rsidR="002A5A5E" w:rsidRPr="00F9522B" w:rsidRDefault="00611CBA">
            <w:pPr>
              <w:adjustRightInd w:val="0"/>
              <w:snapToGrid w:val="0"/>
              <w:jc w:val="center"/>
              <w:rPr>
                <w:bCs/>
              </w:rPr>
            </w:pPr>
            <w:r w:rsidRPr="00F9522B">
              <w:rPr>
                <w:bCs/>
              </w:rPr>
              <w:t>0.003L</w:t>
            </w:r>
          </w:p>
        </w:tc>
        <w:tc>
          <w:tcPr>
            <w:tcW w:w="1235" w:type="dxa"/>
            <w:vAlign w:val="center"/>
          </w:tcPr>
          <w:p w:rsidR="002A5A5E" w:rsidRPr="00F9522B" w:rsidRDefault="00611CBA">
            <w:pPr>
              <w:adjustRightInd w:val="0"/>
              <w:snapToGrid w:val="0"/>
              <w:jc w:val="center"/>
              <w:rPr>
                <w:bCs/>
              </w:rPr>
            </w:pPr>
            <w:r w:rsidRPr="00F9522B">
              <w:rPr>
                <w:bCs/>
              </w:rPr>
              <w:t>0.003L</w:t>
            </w:r>
          </w:p>
        </w:tc>
        <w:tc>
          <w:tcPr>
            <w:tcW w:w="1458" w:type="dxa"/>
            <w:vAlign w:val="center"/>
          </w:tcPr>
          <w:p w:rsidR="002A5A5E" w:rsidRPr="00F9522B" w:rsidRDefault="00611CBA">
            <w:pPr>
              <w:adjustRightInd w:val="0"/>
              <w:snapToGrid w:val="0"/>
              <w:jc w:val="center"/>
              <w:rPr>
                <w:bCs/>
              </w:rPr>
            </w:pPr>
            <w:r w:rsidRPr="00F9522B">
              <w:rPr>
                <w:bCs/>
              </w:rPr>
              <w:t>0.003L</w:t>
            </w:r>
          </w:p>
        </w:tc>
        <w:tc>
          <w:tcPr>
            <w:tcW w:w="1308" w:type="dxa"/>
            <w:vAlign w:val="center"/>
          </w:tcPr>
          <w:p w:rsidR="002A5A5E" w:rsidRPr="00F9522B" w:rsidRDefault="00611CBA">
            <w:pPr>
              <w:adjustRightInd w:val="0"/>
              <w:snapToGrid w:val="0"/>
              <w:jc w:val="center"/>
              <w:rPr>
                <w:bCs/>
              </w:rPr>
            </w:pPr>
            <w:r w:rsidRPr="00F9522B">
              <w:rPr>
                <w:bCs/>
              </w:rPr>
              <w:t>0.003L</w:t>
            </w:r>
          </w:p>
        </w:tc>
        <w:tc>
          <w:tcPr>
            <w:tcW w:w="749" w:type="dxa"/>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1.00</w:t>
            </w:r>
          </w:p>
        </w:tc>
      </w:tr>
      <w:tr w:rsidR="00AE7C88" w:rsidRPr="00F9522B">
        <w:trPr>
          <w:gridAfter w:val="1"/>
          <w:wAfter w:w="80" w:type="dxa"/>
          <w:trHeight w:val="42"/>
        </w:trPr>
        <w:tc>
          <w:tcPr>
            <w:tcW w:w="1961" w:type="dxa"/>
            <w:vAlign w:val="center"/>
          </w:tcPr>
          <w:p w:rsidR="00AE7C88" w:rsidRPr="00F9522B" w:rsidRDefault="00AE7C88">
            <w:pPr>
              <w:spacing w:line="0" w:lineRule="atLeast"/>
              <w:contextualSpacing/>
              <w:jc w:val="center"/>
              <w:rPr>
                <w:rFonts w:eastAsiaTheme="minorEastAsia"/>
                <w:bCs/>
                <w:szCs w:val="21"/>
              </w:rPr>
            </w:pPr>
            <w:r w:rsidRPr="00F9522B">
              <w:rPr>
                <w:rFonts w:eastAsiaTheme="minorEastAsia"/>
                <w:szCs w:val="21"/>
              </w:rPr>
              <w:t>氨氮</w:t>
            </w:r>
          </w:p>
        </w:tc>
        <w:tc>
          <w:tcPr>
            <w:tcW w:w="911" w:type="dxa"/>
            <w:vAlign w:val="center"/>
          </w:tcPr>
          <w:p w:rsidR="00AE7C88" w:rsidRPr="00F9522B" w:rsidRDefault="00AE7C88">
            <w:pPr>
              <w:spacing w:line="0" w:lineRule="atLeast"/>
              <w:contextualSpacing/>
              <w:jc w:val="center"/>
              <w:rPr>
                <w:rFonts w:eastAsiaTheme="minorEastAsia"/>
                <w:szCs w:val="21"/>
              </w:rPr>
            </w:pPr>
            <w:r w:rsidRPr="00F9522B">
              <w:rPr>
                <w:rFonts w:eastAsiaTheme="minorEastAsia"/>
                <w:szCs w:val="21"/>
              </w:rPr>
              <w:t>mg/L</w:t>
            </w:r>
          </w:p>
        </w:tc>
        <w:tc>
          <w:tcPr>
            <w:tcW w:w="1315" w:type="dxa"/>
            <w:vAlign w:val="center"/>
          </w:tcPr>
          <w:p w:rsidR="00AE7C88" w:rsidRPr="00F9522B" w:rsidRDefault="00AE7C88">
            <w:pPr>
              <w:adjustRightInd w:val="0"/>
              <w:snapToGrid w:val="0"/>
              <w:jc w:val="center"/>
              <w:rPr>
                <w:bCs/>
              </w:rPr>
            </w:pPr>
            <w:r w:rsidRPr="00F9522B">
              <w:rPr>
                <w:bCs/>
              </w:rPr>
              <w:t>0.408</w:t>
            </w:r>
          </w:p>
        </w:tc>
        <w:tc>
          <w:tcPr>
            <w:tcW w:w="1235" w:type="dxa"/>
            <w:vAlign w:val="center"/>
          </w:tcPr>
          <w:p w:rsidR="00AE7C88" w:rsidRPr="00F9522B" w:rsidRDefault="00AE7C88">
            <w:pPr>
              <w:adjustRightInd w:val="0"/>
              <w:snapToGrid w:val="0"/>
              <w:jc w:val="center"/>
              <w:rPr>
                <w:bCs/>
              </w:rPr>
            </w:pPr>
            <w:r w:rsidRPr="00F9522B">
              <w:rPr>
                <w:bCs/>
              </w:rPr>
              <w:t>0.313</w:t>
            </w:r>
          </w:p>
        </w:tc>
        <w:tc>
          <w:tcPr>
            <w:tcW w:w="1458" w:type="dxa"/>
            <w:vAlign w:val="center"/>
          </w:tcPr>
          <w:p w:rsidR="00AE7C88" w:rsidRPr="00F9522B" w:rsidRDefault="00AE7C88">
            <w:pPr>
              <w:adjustRightInd w:val="0"/>
              <w:snapToGrid w:val="0"/>
              <w:jc w:val="center"/>
              <w:rPr>
                <w:bCs/>
              </w:rPr>
            </w:pPr>
            <w:r w:rsidRPr="00F9522B">
              <w:rPr>
                <w:bCs/>
              </w:rPr>
              <w:t>0.056</w:t>
            </w:r>
          </w:p>
        </w:tc>
        <w:tc>
          <w:tcPr>
            <w:tcW w:w="1308" w:type="dxa"/>
            <w:vAlign w:val="center"/>
          </w:tcPr>
          <w:p w:rsidR="00AE7C88" w:rsidRPr="00F9522B" w:rsidRDefault="00AE7C88">
            <w:pPr>
              <w:adjustRightInd w:val="0"/>
              <w:snapToGrid w:val="0"/>
              <w:jc w:val="center"/>
              <w:rPr>
                <w:bCs/>
              </w:rPr>
            </w:pPr>
            <w:r w:rsidRPr="00F9522B">
              <w:rPr>
                <w:bCs/>
              </w:rPr>
              <w:t>0.201</w:t>
            </w:r>
          </w:p>
        </w:tc>
        <w:tc>
          <w:tcPr>
            <w:tcW w:w="749" w:type="dxa"/>
            <w:vAlign w:val="center"/>
          </w:tcPr>
          <w:p w:rsidR="00AE7C88" w:rsidRPr="00F9522B" w:rsidRDefault="00AE7C88">
            <w:pPr>
              <w:spacing w:line="0" w:lineRule="atLeast"/>
              <w:contextualSpacing/>
              <w:jc w:val="center"/>
              <w:rPr>
                <w:rFonts w:eastAsiaTheme="minorEastAsia"/>
                <w:szCs w:val="21"/>
              </w:rPr>
            </w:pPr>
            <w:r w:rsidRPr="00F9522B">
              <w:rPr>
                <w:rFonts w:eastAsiaTheme="minorEastAsia"/>
                <w:szCs w:val="21"/>
              </w:rPr>
              <w:t>0.50</w:t>
            </w:r>
          </w:p>
        </w:tc>
      </w:tr>
      <w:tr w:rsidR="00AE7C88" w:rsidRPr="00F9522B">
        <w:trPr>
          <w:gridAfter w:val="1"/>
          <w:wAfter w:w="80" w:type="dxa"/>
          <w:trHeight w:val="42"/>
        </w:trPr>
        <w:tc>
          <w:tcPr>
            <w:tcW w:w="1961" w:type="dxa"/>
            <w:vAlign w:val="center"/>
          </w:tcPr>
          <w:p w:rsidR="00AE7C88" w:rsidRPr="00F9522B" w:rsidRDefault="00AE7C88">
            <w:pPr>
              <w:spacing w:line="0" w:lineRule="atLeast"/>
              <w:contextualSpacing/>
              <w:jc w:val="center"/>
              <w:rPr>
                <w:rFonts w:eastAsiaTheme="minorEastAsia"/>
                <w:bCs/>
                <w:szCs w:val="21"/>
              </w:rPr>
            </w:pPr>
            <w:r w:rsidRPr="00F9522B">
              <w:rPr>
                <w:rFonts w:eastAsiaTheme="minorEastAsia"/>
                <w:bCs/>
                <w:szCs w:val="21"/>
              </w:rPr>
              <w:t>六价铬</w:t>
            </w:r>
          </w:p>
        </w:tc>
        <w:tc>
          <w:tcPr>
            <w:tcW w:w="911" w:type="dxa"/>
            <w:vAlign w:val="center"/>
          </w:tcPr>
          <w:p w:rsidR="00AE7C88" w:rsidRPr="00F9522B" w:rsidRDefault="00AE7C88">
            <w:pPr>
              <w:spacing w:line="0" w:lineRule="atLeast"/>
              <w:contextualSpacing/>
              <w:jc w:val="center"/>
              <w:rPr>
                <w:rFonts w:eastAsiaTheme="minorEastAsia"/>
                <w:szCs w:val="21"/>
              </w:rPr>
            </w:pPr>
            <w:r w:rsidRPr="00F9522B">
              <w:rPr>
                <w:rFonts w:eastAsiaTheme="minorEastAsia"/>
                <w:szCs w:val="21"/>
              </w:rPr>
              <w:t>mg/L</w:t>
            </w:r>
          </w:p>
        </w:tc>
        <w:tc>
          <w:tcPr>
            <w:tcW w:w="1315" w:type="dxa"/>
            <w:vAlign w:val="center"/>
          </w:tcPr>
          <w:p w:rsidR="00AE7C88" w:rsidRPr="00F9522B" w:rsidRDefault="00AE7C88">
            <w:pPr>
              <w:adjustRightInd w:val="0"/>
              <w:snapToGrid w:val="0"/>
              <w:jc w:val="center"/>
              <w:rPr>
                <w:bCs/>
              </w:rPr>
            </w:pPr>
            <w:r w:rsidRPr="00F9522B">
              <w:rPr>
                <w:bCs/>
              </w:rPr>
              <w:t>0.004L</w:t>
            </w:r>
          </w:p>
        </w:tc>
        <w:tc>
          <w:tcPr>
            <w:tcW w:w="1235" w:type="dxa"/>
            <w:vAlign w:val="center"/>
          </w:tcPr>
          <w:p w:rsidR="00AE7C88" w:rsidRPr="00F9522B" w:rsidRDefault="00AE7C88">
            <w:pPr>
              <w:adjustRightInd w:val="0"/>
              <w:snapToGrid w:val="0"/>
              <w:jc w:val="center"/>
              <w:rPr>
                <w:bCs/>
              </w:rPr>
            </w:pPr>
            <w:r w:rsidRPr="00F9522B">
              <w:rPr>
                <w:bCs/>
              </w:rPr>
              <w:t>0.004L</w:t>
            </w:r>
          </w:p>
        </w:tc>
        <w:tc>
          <w:tcPr>
            <w:tcW w:w="1458" w:type="dxa"/>
            <w:vAlign w:val="center"/>
          </w:tcPr>
          <w:p w:rsidR="00AE7C88" w:rsidRPr="00F9522B" w:rsidRDefault="00AE7C88">
            <w:pPr>
              <w:adjustRightInd w:val="0"/>
              <w:snapToGrid w:val="0"/>
              <w:jc w:val="center"/>
              <w:rPr>
                <w:bCs/>
              </w:rPr>
            </w:pPr>
            <w:r w:rsidRPr="00F9522B">
              <w:rPr>
                <w:bCs/>
              </w:rPr>
              <w:t>0.004L</w:t>
            </w:r>
          </w:p>
        </w:tc>
        <w:tc>
          <w:tcPr>
            <w:tcW w:w="1308" w:type="dxa"/>
            <w:vAlign w:val="center"/>
          </w:tcPr>
          <w:p w:rsidR="00AE7C88" w:rsidRPr="00F9522B" w:rsidRDefault="00AE7C88">
            <w:pPr>
              <w:adjustRightInd w:val="0"/>
              <w:snapToGrid w:val="0"/>
              <w:jc w:val="center"/>
              <w:rPr>
                <w:bCs/>
              </w:rPr>
            </w:pPr>
            <w:r w:rsidRPr="00F9522B">
              <w:rPr>
                <w:bCs/>
              </w:rPr>
              <w:t>0.004L</w:t>
            </w:r>
          </w:p>
        </w:tc>
        <w:tc>
          <w:tcPr>
            <w:tcW w:w="749" w:type="dxa"/>
            <w:vAlign w:val="center"/>
          </w:tcPr>
          <w:p w:rsidR="00AE7C88" w:rsidRPr="00F9522B" w:rsidRDefault="00AE7C88">
            <w:pPr>
              <w:spacing w:line="0" w:lineRule="atLeast"/>
              <w:contextualSpacing/>
              <w:jc w:val="center"/>
              <w:rPr>
                <w:rFonts w:eastAsiaTheme="minorEastAsia"/>
                <w:szCs w:val="21"/>
              </w:rPr>
            </w:pPr>
            <w:r w:rsidRPr="00F9522B">
              <w:rPr>
                <w:rFonts w:eastAsiaTheme="minorEastAsia"/>
                <w:szCs w:val="21"/>
              </w:rPr>
              <w:t>0.05</w:t>
            </w:r>
          </w:p>
        </w:tc>
      </w:tr>
      <w:tr w:rsidR="002A5A5E" w:rsidRPr="00F9522B">
        <w:trPr>
          <w:gridAfter w:val="1"/>
          <w:wAfter w:w="80" w:type="dxa"/>
          <w:trHeight w:val="42"/>
        </w:trPr>
        <w:tc>
          <w:tcPr>
            <w:tcW w:w="1961" w:type="dxa"/>
            <w:vAlign w:val="center"/>
          </w:tcPr>
          <w:p w:rsidR="002A5A5E" w:rsidRPr="00F9522B" w:rsidRDefault="00611CBA">
            <w:pPr>
              <w:spacing w:line="0" w:lineRule="atLeast"/>
              <w:contextualSpacing/>
              <w:jc w:val="center"/>
              <w:rPr>
                <w:rFonts w:eastAsiaTheme="minorEastAsia"/>
                <w:bCs/>
                <w:szCs w:val="21"/>
              </w:rPr>
            </w:pPr>
            <w:r w:rsidRPr="00F9522B">
              <w:rPr>
                <w:rFonts w:eastAsiaTheme="minorEastAsia"/>
                <w:bCs/>
                <w:szCs w:val="21"/>
              </w:rPr>
              <w:t>氟化物</w:t>
            </w:r>
          </w:p>
        </w:tc>
        <w:tc>
          <w:tcPr>
            <w:tcW w:w="911" w:type="dxa"/>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mg/L</w:t>
            </w:r>
          </w:p>
        </w:tc>
        <w:tc>
          <w:tcPr>
            <w:tcW w:w="1315" w:type="dxa"/>
            <w:vAlign w:val="center"/>
          </w:tcPr>
          <w:p w:rsidR="002A5A5E" w:rsidRPr="00F9522B" w:rsidRDefault="00611CBA">
            <w:pPr>
              <w:adjustRightInd w:val="0"/>
              <w:snapToGrid w:val="0"/>
              <w:jc w:val="center"/>
              <w:rPr>
                <w:bCs/>
              </w:rPr>
            </w:pPr>
            <w:r w:rsidRPr="00F9522B">
              <w:rPr>
                <w:bCs/>
              </w:rPr>
              <w:t>0.02L</w:t>
            </w:r>
          </w:p>
        </w:tc>
        <w:tc>
          <w:tcPr>
            <w:tcW w:w="1235" w:type="dxa"/>
            <w:vAlign w:val="center"/>
          </w:tcPr>
          <w:p w:rsidR="002A5A5E" w:rsidRPr="00F9522B" w:rsidRDefault="00611CBA">
            <w:pPr>
              <w:adjustRightInd w:val="0"/>
              <w:snapToGrid w:val="0"/>
              <w:jc w:val="center"/>
              <w:rPr>
                <w:bCs/>
              </w:rPr>
            </w:pPr>
            <w:r w:rsidRPr="00F9522B">
              <w:rPr>
                <w:bCs/>
              </w:rPr>
              <w:t>0.02L</w:t>
            </w:r>
          </w:p>
        </w:tc>
        <w:tc>
          <w:tcPr>
            <w:tcW w:w="1458" w:type="dxa"/>
            <w:vAlign w:val="center"/>
          </w:tcPr>
          <w:p w:rsidR="002A5A5E" w:rsidRPr="00F9522B" w:rsidRDefault="00611CBA">
            <w:pPr>
              <w:adjustRightInd w:val="0"/>
              <w:snapToGrid w:val="0"/>
              <w:jc w:val="center"/>
              <w:rPr>
                <w:bCs/>
              </w:rPr>
            </w:pPr>
            <w:r w:rsidRPr="00F9522B">
              <w:rPr>
                <w:bCs/>
              </w:rPr>
              <w:t>0.02L</w:t>
            </w:r>
          </w:p>
        </w:tc>
        <w:tc>
          <w:tcPr>
            <w:tcW w:w="1308" w:type="dxa"/>
            <w:vAlign w:val="center"/>
          </w:tcPr>
          <w:p w:rsidR="002A5A5E" w:rsidRPr="00F9522B" w:rsidRDefault="00611CBA">
            <w:pPr>
              <w:adjustRightInd w:val="0"/>
              <w:snapToGrid w:val="0"/>
              <w:jc w:val="center"/>
              <w:rPr>
                <w:bCs/>
              </w:rPr>
            </w:pPr>
            <w:r w:rsidRPr="00F9522B">
              <w:rPr>
                <w:bCs/>
              </w:rPr>
              <w:t>0.02L</w:t>
            </w:r>
          </w:p>
        </w:tc>
        <w:tc>
          <w:tcPr>
            <w:tcW w:w="749" w:type="dxa"/>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1.0</w:t>
            </w:r>
          </w:p>
        </w:tc>
      </w:tr>
      <w:tr w:rsidR="002A5A5E" w:rsidRPr="00F9522B">
        <w:trPr>
          <w:gridAfter w:val="1"/>
          <w:wAfter w:w="80" w:type="dxa"/>
          <w:trHeight w:val="42"/>
        </w:trPr>
        <w:tc>
          <w:tcPr>
            <w:tcW w:w="1961" w:type="dxa"/>
            <w:vAlign w:val="center"/>
          </w:tcPr>
          <w:p w:rsidR="002A5A5E" w:rsidRPr="00F9522B" w:rsidRDefault="00611CBA">
            <w:pPr>
              <w:spacing w:line="0" w:lineRule="atLeast"/>
              <w:contextualSpacing/>
              <w:jc w:val="center"/>
              <w:rPr>
                <w:rFonts w:eastAsiaTheme="minorEastAsia"/>
                <w:bCs/>
                <w:szCs w:val="21"/>
              </w:rPr>
            </w:pPr>
            <w:r w:rsidRPr="00F9522B">
              <w:rPr>
                <w:rFonts w:eastAsiaTheme="minorEastAsia"/>
                <w:szCs w:val="21"/>
              </w:rPr>
              <w:t>氰化物</w:t>
            </w:r>
          </w:p>
        </w:tc>
        <w:tc>
          <w:tcPr>
            <w:tcW w:w="911" w:type="dxa"/>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mg/L</w:t>
            </w:r>
          </w:p>
        </w:tc>
        <w:tc>
          <w:tcPr>
            <w:tcW w:w="1315" w:type="dxa"/>
            <w:vAlign w:val="center"/>
          </w:tcPr>
          <w:p w:rsidR="002A5A5E" w:rsidRPr="00F9522B" w:rsidRDefault="00611CBA">
            <w:pPr>
              <w:adjustRightInd w:val="0"/>
              <w:snapToGrid w:val="0"/>
              <w:jc w:val="center"/>
              <w:rPr>
                <w:bCs/>
              </w:rPr>
            </w:pPr>
            <w:r w:rsidRPr="00F9522B">
              <w:rPr>
                <w:bCs/>
              </w:rPr>
              <w:t>0.002L</w:t>
            </w:r>
          </w:p>
        </w:tc>
        <w:tc>
          <w:tcPr>
            <w:tcW w:w="1235" w:type="dxa"/>
            <w:vAlign w:val="center"/>
          </w:tcPr>
          <w:p w:rsidR="002A5A5E" w:rsidRPr="00F9522B" w:rsidRDefault="00611CBA">
            <w:pPr>
              <w:adjustRightInd w:val="0"/>
              <w:snapToGrid w:val="0"/>
              <w:jc w:val="center"/>
              <w:rPr>
                <w:bCs/>
              </w:rPr>
            </w:pPr>
            <w:r w:rsidRPr="00F9522B">
              <w:rPr>
                <w:bCs/>
              </w:rPr>
              <w:t>0.002L</w:t>
            </w:r>
          </w:p>
        </w:tc>
        <w:tc>
          <w:tcPr>
            <w:tcW w:w="1458" w:type="dxa"/>
            <w:vAlign w:val="center"/>
          </w:tcPr>
          <w:p w:rsidR="002A5A5E" w:rsidRPr="00F9522B" w:rsidRDefault="00611CBA">
            <w:pPr>
              <w:adjustRightInd w:val="0"/>
              <w:snapToGrid w:val="0"/>
              <w:jc w:val="center"/>
              <w:rPr>
                <w:bCs/>
              </w:rPr>
            </w:pPr>
            <w:r w:rsidRPr="00F9522B">
              <w:rPr>
                <w:bCs/>
              </w:rPr>
              <w:t>0.002L</w:t>
            </w:r>
          </w:p>
        </w:tc>
        <w:tc>
          <w:tcPr>
            <w:tcW w:w="1308" w:type="dxa"/>
            <w:vAlign w:val="center"/>
          </w:tcPr>
          <w:p w:rsidR="002A5A5E" w:rsidRPr="00F9522B" w:rsidRDefault="00611CBA">
            <w:pPr>
              <w:adjustRightInd w:val="0"/>
              <w:snapToGrid w:val="0"/>
              <w:jc w:val="center"/>
              <w:rPr>
                <w:bCs/>
              </w:rPr>
            </w:pPr>
            <w:r w:rsidRPr="00F9522B">
              <w:rPr>
                <w:bCs/>
              </w:rPr>
              <w:t>0.002L</w:t>
            </w:r>
          </w:p>
        </w:tc>
        <w:tc>
          <w:tcPr>
            <w:tcW w:w="749" w:type="dxa"/>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0.05</w:t>
            </w:r>
          </w:p>
        </w:tc>
      </w:tr>
      <w:tr w:rsidR="002A5A5E" w:rsidRPr="00F9522B">
        <w:trPr>
          <w:gridAfter w:val="1"/>
          <w:wAfter w:w="80" w:type="dxa"/>
          <w:trHeight w:val="42"/>
        </w:trPr>
        <w:tc>
          <w:tcPr>
            <w:tcW w:w="1961" w:type="dxa"/>
            <w:vAlign w:val="center"/>
          </w:tcPr>
          <w:p w:rsidR="002A5A5E" w:rsidRPr="00F9522B" w:rsidRDefault="00611CBA">
            <w:pPr>
              <w:spacing w:line="0" w:lineRule="atLeast"/>
              <w:contextualSpacing/>
              <w:jc w:val="center"/>
              <w:rPr>
                <w:rFonts w:eastAsiaTheme="minorEastAsia"/>
                <w:bCs/>
                <w:szCs w:val="21"/>
              </w:rPr>
            </w:pPr>
            <w:r w:rsidRPr="00F9522B">
              <w:rPr>
                <w:rFonts w:eastAsiaTheme="minorEastAsia"/>
                <w:bCs/>
                <w:szCs w:val="21"/>
              </w:rPr>
              <w:t>总大肠菌群数</w:t>
            </w:r>
          </w:p>
        </w:tc>
        <w:tc>
          <w:tcPr>
            <w:tcW w:w="911" w:type="dxa"/>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MPN/100mL</w:t>
            </w:r>
          </w:p>
        </w:tc>
        <w:tc>
          <w:tcPr>
            <w:tcW w:w="1315" w:type="dxa"/>
            <w:vAlign w:val="center"/>
          </w:tcPr>
          <w:p w:rsidR="002A5A5E" w:rsidRPr="00F9522B" w:rsidRDefault="00611CBA" w:rsidP="00AE7C88">
            <w:pPr>
              <w:adjustRightInd w:val="0"/>
              <w:snapToGrid w:val="0"/>
              <w:jc w:val="center"/>
              <w:rPr>
                <w:bCs/>
              </w:rPr>
            </w:pPr>
            <w:r w:rsidRPr="00F9522B">
              <w:rPr>
                <w:bCs/>
              </w:rPr>
              <w:t>﹤</w:t>
            </w:r>
            <w:r w:rsidRPr="00F9522B">
              <w:rPr>
                <w:bCs/>
              </w:rPr>
              <w:t>2</w:t>
            </w:r>
          </w:p>
        </w:tc>
        <w:tc>
          <w:tcPr>
            <w:tcW w:w="1235" w:type="dxa"/>
            <w:vAlign w:val="center"/>
          </w:tcPr>
          <w:p w:rsidR="002A5A5E" w:rsidRPr="00F9522B" w:rsidRDefault="00611CBA" w:rsidP="00AE7C88">
            <w:pPr>
              <w:adjustRightInd w:val="0"/>
              <w:snapToGrid w:val="0"/>
              <w:jc w:val="center"/>
              <w:rPr>
                <w:bCs/>
              </w:rPr>
            </w:pPr>
            <w:r w:rsidRPr="00F9522B">
              <w:rPr>
                <w:bCs/>
              </w:rPr>
              <w:t>﹤</w:t>
            </w:r>
            <w:r w:rsidRPr="00F9522B">
              <w:rPr>
                <w:bCs/>
              </w:rPr>
              <w:t>2</w:t>
            </w:r>
          </w:p>
        </w:tc>
        <w:tc>
          <w:tcPr>
            <w:tcW w:w="1458" w:type="dxa"/>
            <w:vAlign w:val="center"/>
          </w:tcPr>
          <w:p w:rsidR="002A5A5E" w:rsidRPr="00F9522B" w:rsidRDefault="00611CBA" w:rsidP="00AE7C88">
            <w:pPr>
              <w:adjustRightInd w:val="0"/>
              <w:snapToGrid w:val="0"/>
              <w:jc w:val="center"/>
              <w:rPr>
                <w:bCs/>
              </w:rPr>
            </w:pPr>
            <w:r w:rsidRPr="00F9522B">
              <w:rPr>
                <w:bCs/>
              </w:rPr>
              <w:t>﹤</w:t>
            </w:r>
            <w:r w:rsidRPr="00F9522B">
              <w:rPr>
                <w:bCs/>
              </w:rPr>
              <w:t>2</w:t>
            </w:r>
          </w:p>
        </w:tc>
        <w:tc>
          <w:tcPr>
            <w:tcW w:w="1308" w:type="dxa"/>
            <w:vAlign w:val="center"/>
          </w:tcPr>
          <w:p w:rsidR="002A5A5E" w:rsidRPr="00F9522B" w:rsidRDefault="00611CBA" w:rsidP="00AE7C88">
            <w:pPr>
              <w:adjustRightInd w:val="0"/>
              <w:snapToGrid w:val="0"/>
              <w:jc w:val="center"/>
              <w:rPr>
                <w:bCs/>
              </w:rPr>
            </w:pPr>
            <w:r w:rsidRPr="00F9522B">
              <w:rPr>
                <w:bCs/>
              </w:rPr>
              <w:t>﹤</w:t>
            </w:r>
            <w:r w:rsidRPr="00F9522B">
              <w:rPr>
                <w:bCs/>
              </w:rPr>
              <w:t>2</w:t>
            </w:r>
          </w:p>
        </w:tc>
        <w:tc>
          <w:tcPr>
            <w:tcW w:w="749" w:type="dxa"/>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3.0</w:t>
            </w:r>
          </w:p>
        </w:tc>
      </w:tr>
      <w:tr w:rsidR="00AE7C88" w:rsidRPr="00F9522B">
        <w:trPr>
          <w:gridAfter w:val="1"/>
          <w:wAfter w:w="80" w:type="dxa"/>
          <w:trHeight w:val="42"/>
        </w:trPr>
        <w:tc>
          <w:tcPr>
            <w:tcW w:w="1961" w:type="dxa"/>
            <w:vAlign w:val="center"/>
          </w:tcPr>
          <w:p w:rsidR="00AE7C88" w:rsidRPr="00F9522B" w:rsidRDefault="00AE7C88">
            <w:pPr>
              <w:spacing w:line="0" w:lineRule="atLeast"/>
              <w:contextualSpacing/>
              <w:jc w:val="center"/>
              <w:rPr>
                <w:rFonts w:eastAsiaTheme="minorEastAsia"/>
                <w:bCs/>
                <w:szCs w:val="21"/>
              </w:rPr>
            </w:pPr>
            <w:r w:rsidRPr="00F9522B">
              <w:rPr>
                <w:rFonts w:eastAsiaTheme="minorEastAsia"/>
                <w:bCs/>
                <w:szCs w:val="21"/>
              </w:rPr>
              <w:t>菌落总数</w:t>
            </w:r>
          </w:p>
        </w:tc>
        <w:tc>
          <w:tcPr>
            <w:tcW w:w="911" w:type="dxa"/>
            <w:vAlign w:val="center"/>
          </w:tcPr>
          <w:p w:rsidR="00AE7C88" w:rsidRPr="00F9522B" w:rsidRDefault="00AE7C88">
            <w:pPr>
              <w:spacing w:line="0" w:lineRule="atLeast"/>
              <w:contextualSpacing/>
              <w:jc w:val="center"/>
              <w:rPr>
                <w:rFonts w:eastAsiaTheme="minorEastAsia"/>
                <w:szCs w:val="21"/>
              </w:rPr>
            </w:pPr>
            <w:r w:rsidRPr="00F9522B">
              <w:rPr>
                <w:rFonts w:eastAsiaTheme="minorEastAsia"/>
                <w:szCs w:val="21"/>
              </w:rPr>
              <w:t>CFU/mL</w:t>
            </w:r>
          </w:p>
        </w:tc>
        <w:tc>
          <w:tcPr>
            <w:tcW w:w="1315" w:type="dxa"/>
            <w:vAlign w:val="center"/>
          </w:tcPr>
          <w:p w:rsidR="00AE7C88" w:rsidRPr="00F9522B" w:rsidRDefault="00AE7C88">
            <w:pPr>
              <w:adjustRightInd w:val="0"/>
              <w:snapToGrid w:val="0"/>
              <w:jc w:val="center"/>
              <w:rPr>
                <w:bCs/>
              </w:rPr>
            </w:pPr>
            <w:r w:rsidRPr="00F9522B">
              <w:rPr>
                <w:bCs/>
              </w:rPr>
              <w:t>未检出</w:t>
            </w:r>
          </w:p>
        </w:tc>
        <w:tc>
          <w:tcPr>
            <w:tcW w:w="1235" w:type="dxa"/>
            <w:vAlign w:val="center"/>
          </w:tcPr>
          <w:p w:rsidR="00AE7C88" w:rsidRPr="00F9522B" w:rsidRDefault="00AE7C88">
            <w:pPr>
              <w:adjustRightInd w:val="0"/>
              <w:snapToGrid w:val="0"/>
              <w:jc w:val="center"/>
              <w:rPr>
                <w:bCs/>
              </w:rPr>
            </w:pPr>
            <w:r w:rsidRPr="00F9522B">
              <w:rPr>
                <w:bCs/>
              </w:rPr>
              <w:t>未检出</w:t>
            </w:r>
          </w:p>
        </w:tc>
        <w:tc>
          <w:tcPr>
            <w:tcW w:w="1458" w:type="dxa"/>
            <w:vAlign w:val="center"/>
          </w:tcPr>
          <w:p w:rsidR="00AE7C88" w:rsidRPr="00F9522B" w:rsidRDefault="00AE7C88">
            <w:pPr>
              <w:adjustRightInd w:val="0"/>
              <w:snapToGrid w:val="0"/>
              <w:jc w:val="center"/>
              <w:rPr>
                <w:bCs/>
              </w:rPr>
            </w:pPr>
            <w:r w:rsidRPr="00F9522B">
              <w:rPr>
                <w:bCs/>
              </w:rPr>
              <w:t>未检出</w:t>
            </w:r>
          </w:p>
        </w:tc>
        <w:tc>
          <w:tcPr>
            <w:tcW w:w="1308" w:type="dxa"/>
            <w:vAlign w:val="center"/>
          </w:tcPr>
          <w:p w:rsidR="00AE7C88" w:rsidRPr="00F9522B" w:rsidRDefault="00AE7C88">
            <w:pPr>
              <w:adjustRightInd w:val="0"/>
              <w:snapToGrid w:val="0"/>
              <w:jc w:val="center"/>
              <w:rPr>
                <w:bCs/>
              </w:rPr>
            </w:pPr>
            <w:r w:rsidRPr="00F9522B">
              <w:rPr>
                <w:bCs/>
              </w:rPr>
              <w:t>未检出</w:t>
            </w:r>
          </w:p>
        </w:tc>
        <w:tc>
          <w:tcPr>
            <w:tcW w:w="749" w:type="dxa"/>
            <w:vAlign w:val="center"/>
          </w:tcPr>
          <w:p w:rsidR="00AE7C88" w:rsidRPr="00F9522B" w:rsidRDefault="00AE7C88">
            <w:pPr>
              <w:spacing w:line="0" w:lineRule="atLeast"/>
              <w:contextualSpacing/>
              <w:jc w:val="center"/>
              <w:rPr>
                <w:rFonts w:eastAsiaTheme="minorEastAsia"/>
                <w:szCs w:val="21"/>
              </w:rPr>
            </w:pPr>
            <w:r w:rsidRPr="00F9522B">
              <w:rPr>
                <w:rFonts w:eastAsiaTheme="minorEastAsia"/>
                <w:szCs w:val="21"/>
              </w:rPr>
              <w:t>100</w:t>
            </w:r>
          </w:p>
        </w:tc>
      </w:tr>
      <w:tr w:rsidR="00AE7C88" w:rsidRPr="00F9522B">
        <w:trPr>
          <w:gridAfter w:val="1"/>
          <w:wAfter w:w="80" w:type="dxa"/>
          <w:trHeight w:val="42"/>
        </w:trPr>
        <w:tc>
          <w:tcPr>
            <w:tcW w:w="1961" w:type="dxa"/>
            <w:vAlign w:val="center"/>
          </w:tcPr>
          <w:p w:rsidR="00AE7C88" w:rsidRPr="00F9522B" w:rsidRDefault="00AE7C88">
            <w:pPr>
              <w:spacing w:line="0" w:lineRule="atLeast"/>
              <w:contextualSpacing/>
              <w:jc w:val="center"/>
              <w:rPr>
                <w:rFonts w:eastAsiaTheme="minorEastAsia"/>
                <w:bCs/>
                <w:szCs w:val="21"/>
              </w:rPr>
            </w:pPr>
            <w:r w:rsidRPr="00F9522B">
              <w:rPr>
                <w:rFonts w:eastAsiaTheme="minorEastAsia"/>
                <w:szCs w:val="21"/>
              </w:rPr>
              <w:t>铁</w:t>
            </w:r>
          </w:p>
        </w:tc>
        <w:tc>
          <w:tcPr>
            <w:tcW w:w="911" w:type="dxa"/>
            <w:vAlign w:val="center"/>
          </w:tcPr>
          <w:p w:rsidR="00AE7C88" w:rsidRPr="00F9522B" w:rsidRDefault="00AE7C88">
            <w:pPr>
              <w:spacing w:line="0" w:lineRule="atLeast"/>
              <w:contextualSpacing/>
              <w:jc w:val="center"/>
              <w:rPr>
                <w:rFonts w:eastAsiaTheme="minorEastAsia"/>
                <w:szCs w:val="21"/>
              </w:rPr>
            </w:pPr>
            <w:r w:rsidRPr="00F9522B">
              <w:rPr>
                <w:rFonts w:eastAsiaTheme="minorEastAsia"/>
                <w:szCs w:val="21"/>
              </w:rPr>
              <w:t>mg/L</w:t>
            </w:r>
          </w:p>
        </w:tc>
        <w:tc>
          <w:tcPr>
            <w:tcW w:w="1315" w:type="dxa"/>
            <w:vAlign w:val="center"/>
          </w:tcPr>
          <w:p w:rsidR="00AE7C88" w:rsidRPr="00F9522B" w:rsidRDefault="00AE7C88">
            <w:pPr>
              <w:adjustRightInd w:val="0"/>
              <w:snapToGrid w:val="0"/>
              <w:jc w:val="center"/>
              <w:rPr>
                <w:bCs/>
              </w:rPr>
            </w:pPr>
            <w:r w:rsidRPr="00F9522B">
              <w:rPr>
                <w:bCs/>
              </w:rPr>
              <w:t>0.18</w:t>
            </w:r>
          </w:p>
        </w:tc>
        <w:tc>
          <w:tcPr>
            <w:tcW w:w="1235" w:type="dxa"/>
            <w:vAlign w:val="center"/>
          </w:tcPr>
          <w:p w:rsidR="00AE7C88" w:rsidRPr="00F9522B" w:rsidRDefault="00AE7C88">
            <w:pPr>
              <w:adjustRightInd w:val="0"/>
              <w:snapToGrid w:val="0"/>
              <w:jc w:val="center"/>
              <w:rPr>
                <w:bCs/>
              </w:rPr>
            </w:pPr>
            <w:r w:rsidRPr="00F9522B">
              <w:rPr>
                <w:bCs/>
              </w:rPr>
              <w:t>0.22</w:t>
            </w:r>
          </w:p>
        </w:tc>
        <w:tc>
          <w:tcPr>
            <w:tcW w:w="1458" w:type="dxa"/>
            <w:vAlign w:val="center"/>
          </w:tcPr>
          <w:p w:rsidR="00AE7C88" w:rsidRPr="00F9522B" w:rsidRDefault="00AE7C88">
            <w:pPr>
              <w:adjustRightInd w:val="0"/>
              <w:snapToGrid w:val="0"/>
              <w:jc w:val="center"/>
              <w:rPr>
                <w:bCs/>
              </w:rPr>
            </w:pPr>
            <w:r w:rsidRPr="00F9522B">
              <w:rPr>
                <w:bCs/>
              </w:rPr>
              <w:t>0.16</w:t>
            </w:r>
          </w:p>
        </w:tc>
        <w:tc>
          <w:tcPr>
            <w:tcW w:w="1308" w:type="dxa"/>
            <w:vAlign w:val="center"/>
          </w:tcPr>
          <w:p w:rsidR="00AE7C88" w:rsidRPr="00F9522B" w:rsidRDefault="00AE7C88">
            <w:pPr>
              <w:adjustRightInd w:val="0"/>
              <w:snapToGrid w:val="0"/>
              <w:jc w:val="center"/>
              <w:rPr>
                <w:bCs/>
              </w:rPr>
            </w:pPr>
            <w:r w:rsidRPr="00F9522B">
              <w:rPr>
                <w:bCs/>
              </w:rPr>
              <w:t>0.25</w:t>
            </w:r>
          </w:p>
        </w:tc>
        <w:tc>
          <w:tcPr>
            <w:tcW w:w="749" w:type="dxa"/>
            <w:vAlign w:val="center"/>
          </w:tcPr>
          <w:p w:rsidR="00AE7C88" w:rsidRPr="00F9522B" w:rsidRDefault="00AE7C88">
            <w:pPr>
              <w:spacing w:line="0" w:lineRule="atLeast"/>
              <w:contextualSpacing/>
              <w:jc w:val="center"/>
              <w:rPr>
                <w:rFonts w:eastAsiaTheme="minorEastAsia"/>
                <w:szCs w:val="21"/>
              </w:rPr>
            </w:pPr>
            <w:r w:rsidRPr="00F9522B">
              <w:rPr>
                <w:rFonts w:eastAsiaTheme="minorEastAsia"/>
                <w:szCs w:val="21"/>
              </w:rPr>
              <w:t>0.3</w:t>
            </w:r>
          </w:p>
        </w:tc>
      </w:tr>
      <w:tr w:rsidR="007E0713" w:rsidRPr="00F9522B">
        <w:trPr>
          <w:gridAfter w:val="1"/>
          <w:wAfter w:w="80" w:type="dxa"/>
          <w:trHeight w:val="42"/>
        </w:trPr>
        <w:tc>
          <w:tcPr>
            <w:tcW w:w="1961" w:type="dxa"/>
            <w:vAlign w:val="center"/>
          </w:tcPr>
          <w:p w:rsidR="007E0713" w:rsidRPr="00F9522B" w:rsidRDefault="007E0713">
            <w:pPr>
              <w:spacing w:line="0" w:lineRule="atLeast"/>
              <w:contextualSpacing/>
              <w:jc w:val="center"/>
              <w:rPr>
                <w:rFonts w:eastAsiaTheme="minorEastAsia"/>
                <w:bCs/>
                <w:szCs w:val="21"/>
              </w:rPr>
            </w:pPr>
            <w:r w:rsidRPr="00F9522B">
              <w:rPr>
                <w:rFonts w:eastAsiaTheme="minorEastAsia"/>
                <w:bCs/>
                <w:szCs w:val="21"/>
              </w:rPr>
              <w:t>锰</w:t>
            </w:r>
          </w:p>
        </w:tc>
        <w:tc>
          <w:tcPr>
            <w:tcW w:w="911" w:type="dxa"/>
            <w:vAlign w:val="center"/>
          </w:tcPr>
          <w:p w:rsidR="007E0713" w:rsidRPr="00F9522B" w:rsidRDefault="007E0713">
            <w:pPr>
              <w:spacing w:line="0" w:lineRule="atLeast"/>
              <w:contextualSpacing/>
              <w:jc w:val="center"/>
              <w:rPr>
                <w:rFonts w:eastAsiaTheme="minorEastAsia"/>
                <w:szCs w:val="21"/>
              </w:rPr>
            </w:pPr>
            <w:r w:rsidRPr="00F9522B">
              <w:rPr>
                <w:rFonts w:eastAsiaTheme="minorEastAsia"/>
                <w:szCs w:val="21"/>
              </w:rPr>
              <w:t>mg/L</w:t>
            </w:r>
          </w:p>
        </w:tc>
        <w:tc>
          <w:tcPr>
            <w:tcW w:w="1315" w:type="dxa"/>
            <w:vAlign w:val="center"/>
          </w:tcPr>
          <w:p w:rsidR="007E0713" w:rsidRPr="00F9522B" w:rsidRDefault="007E0713" w:rsidP="0093401E">
            <w:pPr>
              <w:adjustRightInd w:val="0"/>
              <w:snapToGrid w:val="0"/>
              <w:jc w:val="center"/>
              <w:rPr>
                <w:bCs/>
              </w:rPr>
            </w:pPr>
            <w:r w:rsidRPr="00F9522B">
              <w:rPr>
                <w:bCs/>
              </w:rPr>
              <w:t>0.31</w:t>
            </w:r>
          </w:p>
        </w:tc>
        <w:tc>
          <w:tcPr>
            <w:tcW w:w="1235" w:type="dxa"/>
            <w:vAlign w:val="center"/>
          </w:tcPr>
          <w:p w:rsidR="007E0713" w:rsidRPr="00F9522B" w:rsidRDefault="007E0713" w:rsidP="0093401E">
            <w:pPr>
              <w:adjustRightInd w:val="0"/>
              <w:snapToGrid w:val="0"/>
              <w:jc w:val="center"/>
              <w:rPr>
                <w:bCs/>
              </w:rPr>
            </w:pPr>
            <w:r w:rsidRPr="00F9522B">
              <w:rPr>
                <w:bCs/>
              </w:rPr>
              <w:t>0.25</w:t>
            </w:r>
          </w:p>
        </w:tc>
        <w:tc>
          <w:tcPr>
            <w:tcW w:w="1458" w:type="dxa"/>
            <w:vAlign w:val="center"/>
          </w:tcPr>
          <w:p w:rsidR="007E0713" w:rsidRPr="00F9522B" w:rsidRDefault="007E0713" w:rsidP="0093401E">
            <w:pPr>
              <w:adjustRightInd w:val="0"/>
              <w:snapToGrid w:val="0"/>
              <w:jc w:val="center"/>
              <w:rPr>
                <w:bCs/>
              </w:rPr>
            </w:pPr>
            <w:r w:rsidRPr="00F9522B">
              <w:rPr>
                <w:bCs/>
              </w:rPr>
              <w:t>0.16</w:t>
            </w:r>
          </w:p>
        </w:tc>
        <w:tc>
          <w:tcPr>
            <w:tcW w:w="1308" w:type="dxa"/>
            <w:vAlign w:val="center"/>
          </w:tcPr>
          <w:p w:rsidR="007E0713" w:rsidRPr="00F9522B" w:rsidRDefault="007E0713" w:rsidP="0093401E">
            <w:pPr>
              <w:adjustRightInd w:val="0"/>
              <w:snapToGrid w:val="0"/>
              <w:jc w:val="center"/>
              <w:rPr>
                <w:bCs/>
              </w:rPr>
            </w:pPr>
            <w:r w:rsidRPr="00F9522B">
              <w:rPr>
                <w:bCs/>
              </w:rPr>
              <w:t>0.13</w:t>
            </w:r>
          </w:p>
        </w:tc>
        <w:tc>
          <w:tcPr>
            <w:tcW w:w="749" w:type="dxa"/>
            <w:vAlign w:val="center"/>
          </w:tcPr>
          <w:p w:rsidR="007E0713" w:rsidRPr="00F9522B" w:rsidRDefault="007E0713">
            <w:pPr>
              <w:spacing w:line="0" w:lineRule="atLeast"/>
              <w:contextualSpacing/>
              <w:jc w:val="center"/>
              <w:rPr>
                <w:rFonts w:eastAsiaTheme="minorEastAsia"/>
                <w:szCs w:val="21"/>
              </w:rPr>
            </w:pPr>
            <w:r w:rsidRPr="00F9522B">
              <w:rPr>
                <w:rFonts w:eastAsiaTheme="minorEastAsia"/>
                <w:szCs w:val="21"/>
              </w:rPr>
              <w:t>0.10</w:t>
            </w:r>
          </w:p>
        </w:tc>
      </w:tr>
      <w:tr w:rsidR="002A5A5E" w:rsidRPr="00F9522B">
        <w:trPr>
          <w:gridAfter w:val="1"/>
          <w:wAfter w:w="80" w:type="dxa"/>
          <w:trHeight w:val="42"/>
        </w:trPr>
        <w:tc>
          <w:tcPr>
            <w:tcW w:w="1961" w:type="dxa"/>
            <w:vAlign w:val="center"/>
          </w:tcPr>
          <w:p w:rsidR="002A5A5E" w:rsidRPr="00F9522B" w:rsidRDefault="00611CBA">
            <w:pPr>
              <w:spacing w:line="0" w:lineRule="atLeast"/>
              <w:contextualSpacing/>
              <w:jc w:val="center"/>
              <w:rPr>
                <w:rFonts w:eastAsiaTheme="minorEastAsia"/>
                <w:bCs/>
                <w:szCs w:val="21"/>
              </w:rPr>
            </w:pPr>
            <w:r w:rsidRPr="00F9522B">
              <w:rPr>
                <w:rFonts w:eastAsiaTheme="minorEastAsia"/>
                <w:szCs w:val="21"/>
              </w:rPr>
              <w:t>砷</w:t>
            </w:r>
          </w:p>
        </w:tc>
        <w:tc>
          <w:tcPr>
            <w:tcW w:w="911" w:type="dxa"/>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mg/L</w:t>
            </w:r>
          </w:p>
        </w:tc>
        <w:tc>
          <w:tcPr>
            <w:tcW w:w="1315" w:type="dxa"/>
            <w:vAlign w:val="center"/>
          </w:tcPr>
          <w:p w:rsidR="002A5A5E" w:rsidRPr="00F9522B" w:rsidRDefault="00611CBA" w:rsidP="00AE7C88">
            <w:pPr>
              <w:adjustRightInd w:val="0"/>
              <w:snapToGrid w:val="0"/>
              <w:jc w:val="center"/>
              <w:rPr>
                <w:bCs/>
              </w:rPr>
            </w:pPr>
            <w:r w:rsidRPr="00F9522B">
              <w:rPr>
                <w:bCs/>
              </w:rPr>
              <w:t>0.0003L</w:t>
            </w:r>
          </w:p>
        </w:tc>
        <w:tc>
          <w:tcPr>
            <w:tcW w:w="1235" w:type="dxa"/>
            <w:vAlign w:val="center"/>
          </w:tcPr>
          <w:p w:rsidR="002A5A5E" w:rsidRPr="00F9522B" w:rsidRDefault="00611CBA" w:rsidP="00AE7C88">
            <w:pPr>
              <w:adjustRightInd w:val="0"/>
              <w:snapToGrid w:val="0"/>
              <w:jc w:val="center"/>
              <w:rPr>
                <w:bCs/>
              </w:rPr>
            </w:pPr>
            <w:r w:rsidRPr="00F9522B">
              <w:rPr>
                <w:bCs/>
              </w:rPr>
              <w:t>0.0003L</w:t>
            </w:r>
          </w:p>
        </w:tc>
        <w:tc>
          <w:tcPr>
            <w:tcW w:w="1458" w:type="dxa"/>
            <w:vAlign w:val="center"/>
          </w:tcPr>
          <w:p w:rsidR="002A5A5E" w:rsidRPr="00F9522B" w:rsidRDefault="00611CBA" w:rsidP="00AE7C88">
            <w:pPr>
              <w:adjustRightInd w:val="0"/>
              <w:snapToGrid w:val="0"/>
              <w:jc w:val="center"/>
              <w:rPr>
                <w:bCs/>
              </w:rPr>
            </w:pPr>
            <w:r w:rsidRPr="00F9522B">
              <w:rPr>
                <w:bCs/>
              </w:rPr>
              <w:t>0.0003L</w:t>
            </w:r>
          </w:p>
        </w:tc>
        <w:tc>
          <w:tcPr>
            <w:tcW w:w="1308" w:type="dxa"/>
            <w:vAlign w:val="center"/>
          </w:tcPr>
          <w:p w:rsidR="002A5A5E" w:rsidRPr="00F9522B" w:rsidRDefault="00611CBA" w:rsidP="00AE7C88">
            <w:pPr>
              <w:adjustRightInd w:val="0"/>
              <w:snapToGrid w:val="0"/>
              <w:jc w:val="center"/>
              <w:rPr>
                <w:bCs/>
              </w:rPr>
            </w:pPr>
            <w:r w:rsidRPr="00F9522B">
              <w:rPr>
                <w:bCs/>
              </w:rPr>
              <w:t>0.0003L</w:t>
            </w:r>
          </w:p>
        </w:tc>
        <w:tc>
          <w:tcPr>
            <w:tcW w:w="749" w:type="dxa"/>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0.01</w:t>
            </w:r>
          </w:p>
        </w:tc>
      </w:tr>
      <w:tr w:rsidR="002A5A5E" w:rsidRPr="00F9522B">
        <w:trPr>
          <w:gridAfter w:val="1"/>
          <w:wAfter w:w="80" w:type="dxa"/>
          <w:trHeight w:val="42"/>
        </w:trPr>
        <w:tc>
          <w:tcPr>
            <w:tcW w:w="1961" w:type="dxa"/>
            <w:vAlign w:val="center"/>
          </w:tcPr>
          <w:p w:rsidR="002A5A5E" w:rsidRPr="00F9522B" w:rsidRDefault="00611CBA">
            <w:pPr>
              <w:spacing w:line="0" w:lineRule="atLeast"/>
              <w:contextualSpacing/>
              <w:jc w:val="center"/>
              <w:rPr>
                <w:rFonts w:eastAsiaTheme="minorEastAsia"/>
                <w:bCs/>
                <w:szCs w:val="21"/>
              </w:rPr>
            </w:pPr>
            <w:r w:rsidRPr="00F9522B">
              <w:rPr>
                <w:rFonts w:eastAsiaTheme="minorEastAsia"/>
                <w:bCs/>
                <w:szCs w:val="21"/>
              </w:rPr>
              <w:t>汞</w:t>
            </w:r>
          </w:p>
        </w:tc>
        <w:tc>
          <w:tcPr>
            <w:tcW w:w="911" w:type="dxa"/>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mg/L</w:t>
            </w:r>
          </w:p>
        </w:tc>
        <w:tc>
          <w:tcPr>
            <w:tcW w:w="1315" w:type="dxa"/>
            <w:vAlign w:val="center"/>
          </w:tcPr>
          <w:p w:rsidR="002A5A5E" w:rsidRPr="00F9522B" w:rsidRDefault="00611CBA" w:rsidP="00AE7C88">
            <w:pPr>
              <w:adjustRightInd w:val="0"/>
              <w:snapToGrid w:val="0"/>
              <w:jc w:val="center"/>
              <w:rPr>
                <w:bCs/>
              </w:rPr>
            </w:pPr>
            <w:r w:rsidRPr="00F9522B">
              <w:rPr>
                <w:bCs/>
              </w:rPr>
              <w:t>0.00004L</w:t>
            </w:r>
          </w:p>
        </w:tc>
        <w:tc>
          <w:tcPr>
            <w:tcW w:w="1235" w:type="dxa"/>
            <w:vAlign w:val="center"/>
          </w:tcPr>
          <w:p w:rsidR="002A5A5E" w:rsidRPr="00F9522B" w:rsidRDefault="00611CBA" w:rsidP="00AE7C88">
            <w:pPr>
              <w:adjustRightInd w:val="0"/>
              <w:snapToGrid w:val="0"/>
              <w:jc w:val="center"/>
              <w:rPr>
                <w:bCs/>
              </w:rPr>
            </w:pPr>
            <w:r w:rsidRPr="00F9522B">
              <w:rPr>
                <w:bCs/>
              </w:rPr>
              <w:t>0.00004L</w:t>
            </w:r>
          </w:p>
        </w:tc>
        <w:tc>
          <w:tcPr>
            <w:tcW w:w="1458" w:type="dxa"/>
            <w:vAlign w:val="center"/>
          </w:tcPr>
          <w:p w:rsidR="002A5A5E" w:rsidRPr="00F9522B" w:rsidRDefault="00611CBA" w:rsidP="00AE7C88">
            <w:pPr>
              <w:adjustRightInd w:val="0"/>
              <w:snapToGrid w:val="0"/>
              <w:jc w:val="center"/>
              <w:rPr>
                <w:bCs/>
              </w:rPr>
            </w:pPr>
            <w:r w:rsidRPr="00F9522B">
              <w:rPr>
                <w:bCs/>
              </w:rPr>
              <w:t>0.00004L</w:t>
            </w:r>
          </w:p>
        </w:tc>
        <w:tc>
          <w:tcPr>
            <w:tcW w:w="1308" w:type="dxa"/>
            <w:vAlign w:val="center"/>
          </w:tcPr>
          <w:p w:rsidR="002A5A5E" w:rsidRPr="00F9522B" w:rsidRDefault="00611CBA" w:rsidP="00AE7C88">
            <w:pPr>
              <w:adjustRightInd w:val="0"/>
              <w:snapToGrid w:val="0"/>
              <w:jc w:val="center"/>
              <w:rPr>
                <w:bCs/>
              </w:rPr>
            </w:pPr>
            <w:r w:rsidRPr="00F9522B">
              <w:rPr>
                <w:bCs/>
              </w:rPr>
              <w:t>0.00004L</w:t>
            </w:r>
          </w:p>
        </w:tc>
        <w:tc>
          <w:tcPr>
            <w:tcW w:w="749" w:type="dxa"/>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0.001</w:t>
            </w:r>
          </w:p>
        </w:tc>
      </w:tr>
      <w:tr w:rsidR="002A5A5E" w:rsidRPr="00F9522B">
        <w:trPr>
          <w:gridAfter w:val="1"/>
          <w:wAfter w:w="80" w:type="dxa"/>
          <w:trHeight w:val="42"/>
        </w:trPr>
        <w:tc>
          <w:tcPr>
            <w:tcW w:w="1961" w:type="dxa"/>
            <w:vAlign w:val="center"/>
          </w:tcPr>
          <w:p w:rsidR="002A5A5E" w:rsidRPr="00F9522B" w:rsidRDefault="00611CBA">
            <w:pPr>
              <w:spacing w:line="0" w:lineRule="atLeast"/>
              <w:contextualSpacing/>
              <w:jc w:val="center"/>
              <w:rPr>
                <w:rFonts w:eastAsiaTheme="minorEastAsia"/>
                <w:bCs/>
                <w:szCs w:val="21"/>
              </w:rPr>
            </w:pPr>
            <w:r w:rsidRPr="00F9522B">
              <w:rPr>
                <w:rFonts w:eastAsiaTheme="minorEastAsia"/>
                <w:szCs w:val="21"/>
              </w:rPr>
              <w:t>铅</w:t>
            </w:r>
          </w:p>
        </w:tc>
        <w:tc>
          <w:tcPr>
            <w:tcW w:w="911" w:type="dxa"/>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mg/L</w:t>
            </w:r>
          </w:p>
        </w:tc>
        <w:tc>
          <w:tcPr>
            <w:tcW w:w="1315" w:type="dxa"/>
            <w:vAlign w:val="center"/>
          </w:tcPr>
          <w:p w:rsidR="002A5A5E" w:rsidRPr="00F9522B" w:rsidRDefault="00611CBA" w:rsidP="00AE7C88">
            <w:pPr>
              <w:adjustRightInd w:val="0"/>
              <w:snapToGrid w:val="0"/>
              <w:jc w:val="center"/>
              <w:rPr>
                <w:bCs/>
              </w:rPr>
            </w:pPr>
            <w:r w:rsidRPr="00F9522B">
              <w:rPr>
                <w:bCs/>
              </w:rPr>
              <w:t>0.0025L</w:t>
            </w:r>
          </w:p>
        </w:tc>
        <w:tc>
          <w:tcPr>
            <w:tcW w:w="1235" w:type="dxa"/>
            <w:vAlign w:val="center"/>
          </w:tcPr>
          <w:p w:rsidR="002A5A5E" w:rsidRPr="00F9522B" w:rsidRDefault="00611CBA" w:rsidP="00AE7C88">
            <w:pPr>
              <w:adjustRightInd w:val="0"/>
              <w:snapToGrid w:val="0"/>
              <w:jc w:val="center"/>
              <w:rPr>
                <w:bCs/>
              </w:rPr>
            </w:pPr>
            <w:r w:rsidRPr="00F9522B">
              <w:rPr>
                <w:bCs/>
              </w:rPr>
              <w:t>0.0025L</w:t>
            </w:r>
          </w:p>
        </w:tc>
        <w:tc>
          <w:tcPr>
            <w:tcW w:w="1458" w:type="dxa"/>
            <w:vAlign w:val="center"/>
          </w:tcPr>
          <w:p w:rsidR="002A5A5E" w:rsidRPr="00F9522B" w:rsidRDefault="00611CBA" w:rsidP="00AE7C88">
            <w:pPr>
              <w:adjustRightInd w:val="0"/>
              <w:snapToGrid w:val="0"/>
              <w:jc w:val="center"/>
              <w:rPr>
                <w:bCs/>
              </w:rPr>
            </w:pPr>
            <w:r w:rsidRPr="00F9522B">
              <w:rPr>
                <w:bCs/>
              </w:rPr>
              <w:t>0.0025L</w:t>
            </w:r>
          </w:p>
        </w:tc>
        <w:tc>
          <w:tcPr>
            <w:tcW w:w="1308" w:type="dxa"/>
            <w:vAlign w:val="center"/>
          </w:tcPr>
          <w:p w:rsidR="002A5A5E" w:rsidRPr="00F9522B" w:rsidRDefault="00611CBA" w:rsidP="00AE7C88">
            <w:pPr>
              <w:adjustRightInd w:val="0"/>
              <w:snapToGrid w:val="0"/>
              <w:jc w:val="center"/>
              <w:rPr>
                <w:bCs/>
              </w:rPr>
            </w:pPr>
            <w:r w:rsidRPr="00F9522B">
              <w:rPr>
                <w:bCs/>
              </w:rPr>
              <w:t>0.0025L</w:t>
            </w:r>
          </w:p>
        </w:tc>
        <w:tc>
          <w:tcPr>
            <w:tcW w:w="749" w:type="dxa"/>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0.01</w:t>
            </w:r>
          </w:p>
        </w:tc>
      </w:tr>
      <w:tr w:rsidR="002A5A5E" w:rsidRPr="00F9522B">
        <w:trPr>
          <w:gridAfter w:val="1"/>
          <w:wAfter w:w="80" w:type="dxa"/>
          <w:trHeight w:val="42"/>
        </w:trPr>
        <w:tc>
          <w:tcPr>
            <w:tcW w:w="1961" w:type="dxa"/>
            <w:vAlign w:val="center"/>
          </w:tcPr>
          <w:p w:rsidR="002A5A5E" w:rsidRPr="00F9522B" w:rsidRDefault="00611CBA">
            <w:pPr>
              <w:spacing w:line="0" w:lineRule="atLeast"/>
              <w:contextualSpacing/>
              <w:jc w:val="center"/>
              <w:rPr>
                <w:rFonts w:eastAsiaTheme="minorEastAsia"/>
                <w:bCs/>
                <w:szCs w:val="21"/>
              </w:rPr>
            </w:pPr>
            <w:r w:rsidRPr="00F9522B">
              <w:rPr>
                <w:rFonts w:eastAsiaTheme="minorEastAsia"/>
                <w:bCs/>
                <w:szCs w:val="21"/>
              </w:rPr>
              <w:t>镉</w:t>
            </w:r>
          </w:p>
        </w:tc>
        <w:tc>
          <w:tcPr>
            <w:tcW w:w="911" w:type="dxa"/>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mg/L</w:t>
            </w:r>
          </w:p>
        </w:tc>
        <w:tc>
          <w:tcPr>
            <w:tcW w:w="1315" w:type="dxa"/>
            <w:vAlign w:val="center"/>
          </w:tcPr>
          <w:p w:rsidR="002A5A5E" w:rsidRPr="00F9522B" w:rsidRDefault="00611CBA" w:rsidP="00AE7C88">
            <w:pPr>
              <w:adjustRightInd w:val="0"/>
              <w:snapToGrid w:val="0"/>
              <w:jc w:val="center"/>
              <w:rPr>
                <w:bCs/>
              </w:rPr>
            </w:pPr>
            <w:r w:rsidRPr="00F9522B">
              <w:rPr>
                <w:bCs/>
              </w:rPr>
              <w:t>0.0005L</w:t>
            </w:r>
          </w:p>
        </w:tc>
        <w:tc>
          <w:tcPr>
            <w:tcW w:w="1235" w:type="dxa"/>
            <w:vAlign w:val="center"/>
          </w:tcPr>
          <w:p w:rsidR="002A5A5E" w:rsidRPr="00F9522B" w:rsidRDefault="00611CBA" w:rsidP="00AE7C88">
            <w:pPr>
              <w:adjustRightInd w:val="0"/>
              <w:snapToGrid w:val="0"/>
              <w:jc w:val="center"/>
              <w:rPr>
                <w:bCs/>
              </w:rPr>
            </w:pPr>
            <w:r w:rsidRPr="00F9522B">
              <w:rPr>
                <w:bCs/>
              </w:rPr>
              <w:t>0.0005L</w:t>
            </w:r>
          </w:p>
        </w:tc>
        <w:tc>
          <w:tcPr>
            <w:tcW w:w="1458" w:type="dxa"/>
            <w:vAlign w:val="center"/>
          </w:tcPr>
          <w:p w:rsidR="002A5A5E" w:rsidRPr="00F9522B" w:rsidRDefault="00611CBA" w:rsidP="00AE7C88">
            <w:pPr>
              <w:adjustRightInd w:val="0"/>
              <w:snapToGrid w:val="0"/>
              <w:jc w:val="center"/>
              <w:rPr>
                <w:bCs/>
              </w:rPr>
            </w:pPr>
            <w:r w:rsidRPr="00F9522B">
              <w:rPr>
                <w:bCs/>
              </w:rPr>
              <w:t>0.0005L</w:t>
            </w:r>
          </w:p>
        </w:tc>
        <w:tc>
          <w:tcPr>
            <w:tcW w:w="1308" w:type="dxa"/>
            <w:vAlign w:val="center"/>
          </w:tcPr>
          <w:p w:rsidR="002A5A5E" w:rsidRPr="00F9522B" w:rsidRDefault="00611CBA" w:rsidP="00AE7C88">
            <w:pPr>
              <w:adjustRightInd w:val="0"/>
              <w:snapToGrid w:val="0"/>
              <w:jc w:val="center"/>
              <w:rPr>
                <w:bCs/>
              </w:rPr>
            </w:pPr>
            <w:r w:rsidRPr="00F9522B">
              <w:rPr>
                <w:bCs/>
              </w:rPr>
              <w:t>0.0005L</w:t>
            </w:r>
          </w:p>
        </w:tc>
        <w:tc>
          <w:tcPr>
            <w:tcW w:w="749" w:type="dxa"/>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0.005</w:t>
            </w:r>
          </w:p>
        </w:tc>
      </w:tr>
      <w:tr w:rsidR="002A5A5E" w:rsidRPr="00F9522B">
        <w:trPr>
          <w:gridAfter w:val="1"/>
          <w:wAfter w:w="80" w:type="dxa"/>
          <w:trHeight w:val="42"/>
        </w:trPr>
        <w:tc>
          <w:tcPr>
            <w:tcW w:w="1961" w:type="dxa"/>
            <w:vAlign w:val="center"/>
          </w:tcPr>
          <w:p w:rsidR="002A5A5E" w:rsidRPr="00F9522B" w:rsidRDefault="00611CBA">
            <w:pPr>
              <w:spacing w:line="0" w:lineRule="atLeast"/>
              <w:contextualSpacing/>
              <w:jc w:val="center"/>
              <w:rPr>
                <w:rFonts w:eastAsiaTheme="minorEastAsia"/>
                <w:bCs/>
                <w:szCs w:val="21"/>
              </w:rPr>
            </w:pPr>
            <w:r w:rsidRPr="00F9522B">
              <w:rPr>
                <w:rFonts w:eastAsiaTheme="minorEastAsia"/>
                <w:bCs/>
                <w:szCs w:val="21"/>
              </w:rPr>
              <w:t>石油类</w:t>
            </w:r>
          </w:p>
        </w:tc>
        <w:tc>
          <w:tcPr>
            <w:tcW w:w="911" w:type="dxa"/>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mg/L</w:t>
            </w:r>
          </w:p>
        </w:tc>
        <w:tc>
          <w:tcPr>
            <w:tcW w:w="1315" w:type="dxa"/>
            <w:vAlign w:val="center"/>
          </w:tcPr>
          <w:p w:rsidR="002A5A5E" w:rsidRPr="00F9522B" w:rsidRDefault="00611CBA" w:rsidP="00AE7C88">
            <w:pPr>
              <w:adjustRightInd w:val="0"/>
              <w:snapToGrid w:val="0"/>
              <w:jc w:val="center"/>
              <w:rPr>
                <w:bCs/>
              </w:rPr>
            </w:pPr>
            <w:r w:rsidRPr="00F9522B">
              <w:rPr>
                <w:bCs/>
              </w:rPr>
              <w:t>0.01L</w:t>
            </w:r>
          </w:p>
        </w:tc>
        <w:tc>
          <w:tcPr>
            <w:tcW w:w="1235" w:type="dxa"/>
            <w:vAlign w:val="center"/>
          </w:tcPr>
          <w:p w:rsidR="002A5A5E" w:rsidRPr="00F9522B" w:rsidRDefault="00611CBA" w:rsidP="00AE7C88">
            <w:pPr>
              <w:adjustRightInd w:val="0"/>
              <w:snapToGrid w:val="0"/>
              <w:jc w:val="center"/>
              <w:rPr>
                <w:bCs/>
              </w:rPr>
            </w:pPr>
            <w:r w:rsidRPr="00F9522B">
              <w:rPr>
                <w:bCs/>
              </w:rPr>
              <w:t>0.01L</w:t>
            </w:r>
          </w:p>
        </w:tc>
        <w:tc>
          <w:tcPr>
            <w:tcW w:w="1458" w:type="dxa"/>
            <w:vAlign w:val="center"/>
          </w:tcPr>
          <w:p w:rsidR="002A5A5E" w:rsidRPr="00F9522B" w:rsidRDefault="00611CBA" w:rsidP="00AE7C88">
            <w:pPr>
              <w:adjustRightInd w:val="0"/>
              <w:snapToGrid w:val="0"/>
              <w:jc w:val="center"/>
              <w:rPr>
                <w:bCs/>
              </w:rPr>
            </w:pPr>
            <w:r w:rsidRPr="00F9522B">
              <w:rPr>
                <w:bCs/>
              </w:rPr>
              <w:t>0.01L</w:t>
            </w:r>
          </w:p>
        </w:tc>
        <w:tc>
          <w:tcPr>
            <w:tcW w:w="1308" w:type="dxa"/>
            <w:vAlign w:val="center"/>
          </w:tcPr>
          <w:p w:rsidR="002A5A5E" w:rsidRPr="00F9522B" w:rsidRDefault="00611CBA" w:rsidP="00AE7C88">
            <w:pPr>
              <w:adjustRightInd w:val="0"/>
              <w:snapToGrid w:val="0"/>
              <w:jc w:val="center"/>
              <w:rPr>
                <w:bCs/>
              </w:rPr>
            </w:pPr>
            <w:r w:rsidRPr="00F9522B">
              <w:rPr>
                <w:bCs/>
              </w:rPr>
              <w:t>0.01L</w:t>
            </w:r>
          </w:p>
        </w:tc>
        <w:tc>
          <w:tcPr>
            <w:tcW w:w="749" w:type="dxa"/>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0.05</w:t>
            </w:r>
          </w:p>
        </w:tc>
      </w:tr>
    </w:tbl>
    <w:p w:rsidR="002A5A5E" w:rsidRPr="00F9522B" w:rsidRDefault="00611CBA">
      <w:pPr>
        <w:autoSpaceDE w:val="0"/>
        <w:autoSpaceDN w:val="0"/>
        <w:spacing w:before="100" w:beforeAutospacing="1" w:after="100" w:afterAutospacing="1"/>
        <w:outlineLvl w:val="3"/>
        <w:rPr>
          <w:rFonts w:eastAsiaTheme="minorEastAsia"/>
          <w:b/>
          <w:sz w:val="24"/>
        </w:rPr>
      </w:pPr>
      <w:r w:rsidRPr="00F9522B">
        <w:rPr>
          <w:rFonts w:eastAsiaTheme="minorEastAsia"/>
          <w:b/>
          <w:sz w:val="24"/>
        </w:rPr>
        <w:t>4.2.3.2</w:t>
      </w:r>
      <w:r w:rsidRPr="00F9522B">
        <w:rPr>
          <w:rFonts w:eastAsiaTheme="minorEastAsia"/>
          <w:b/>
          <w:sz w:val="24"/>
        </w:rPr>
        <w:t>地下水环境现状评价</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lastRenderedPageBreak/>
        <w:t>（</w:t>
      </w:r>
      <w:r w:rsidRPr="00F9522B">
        <w:rPr>
          <w:rFonts w:eastAsiaTheme="minorEastAsia"/>
          <w:sz w:val="24"/>
        </w:rPr>
        <w:t>1</w:t>
      </w:r>
      <w:r w:rsidRPr="00F9522B">
        <w:rPr>
          <w:rFonts w:eastAsiaTheme="minorEastAsia"/>
          <w:sz w:val="24"/>
        </w:rPr>
        <w:t>）评价标准</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采用《地下水质量标准》（</w:t>
      </w:r>
      <w:r w:rsidRPr="00F9522B">
        <w:rPr>
          <w:rFonts w:eastAsiaTheme="minorEastAsia"/>
          <w:sz w:val="24"/>
        </w:rPr>
        <w:t>GB/T14848-2017</w:t>
      </w:r>
      <w:r w:rsidRPr="00F9522B">
        <w:rPr>
          <w:rFonts w:eastAsiaTheme="minorEastAsia"/>
          <w:sz w:val="24"/>
        </w:rPr>
        <w:t>）中</w:t>
      </w:r>
      <w:r w:rsidRPr="00F9522B">
        <w:rPr>
          <w:rFonts w:eastAsiaTheme="minorEastAsia"/>
          <w:sz w:val="24"/>
        </w:rPr>
        <w:t>Ⅲ</w:t>
      </w:r>
      <w:r w:rsidRPr="00F9522B">
        <w:rPr>
          <w:rFonts w:eastAsiaTheme="minorEastAsia"/>
          <w:sz w:val="24"/>
        </w:rPr>
        <w:t>类标准、《地表水环境质量标准》（</w:t>
      </w:r>
      <w:r w:rsidRPr="00F9522B">
        <w:rPr>
          <w:rFonts w:eastAsiaTheme="minorEastAsia"/>
          <w:sz w:val="24"/>
        </w:rPr>
        <w:t>GB3838-2002</w:t>
      </w:r>
      <w:r w:rsidRPr="00F9522B">
        <w:rPr>
          <w:rFonts w:eastAsiaTheme="minorEastAsia"/>
          <w:sz w:val="24"/>
        </w:rPr>
        <w:t>）</w:t>
      </w:r>
      <w:r w:rsidR="005273A1">
        <w:rPr>
          <w:rFonts w:eastAsiaTheme="minorEastAsia"/>
          <w:bCs/>
          <w:sz w:val="24"/>
        </w:rPr>
        <w:fldChar w:fldCharType="begin"/>
      </w:r>
      <w:r w:rsidR="004B63C1">
        <w:rPr>
          <w:rFonts w:eastAsiaTheme="minorEastAsia"/>
          <w:bCs/>
          <w:sz w:val="24"/>
        </w:rPr>
        <w:instrText xml:space="preserve"> </w:instrText>
      </w:r>
      <w:r w:rsidR="004B63C1">
        <w:rPr>
          <w:rFonts w:eastAsiaTheme="minorEastAsia" w:hint="eastAsia"/>
          <w:bCs/>
          <w:sz w:val="24"/>
        </w:rPr>
        <w:instrText>= 2 \* ROMAN</w:instrText>
      </w:r>
      <w:r w:rsidR="004B63C1">
        <w:rPr>
          <w:rFonts w:eastAsiaTheme="minorEastAsia"/>
          <w:bCs/>
          <w:sz w:val="24"/>
        </w:rPr>
        <w:instrText xml:space="preserve"> </w:instrText>
      </w:r>
      <w:r w:rsidR="005273A1">
        <w:rPr>
          <w:rFonts w:eastAsiaTheme="minorEastAsia"/>
          <w:bCs/>
          <w:sz w:val="24"/>
        </w:rPr>
        <w:fldChar w:fldCharType="separate"/>
      </w:r>
      <w:r w:rsidR="004B63C1">
        <w:rPr>
          <w:rFonts w:eastAsiaTheme="minorEastAsia"/>
          <w:bCs/>
          <w:noProof/>
          <w:sz w:val="24"/>
        </w:rPr>
        <w:t>II</w:t>
      </w:r>
      <w:r w:rsidR="005273A1">
        <w:rPr>
          <w:rFonts w:eastAsiaTheme="minorEastAsia"/>
          <w:bCs/>
          <w:sz w:val="24"/>
        </w:rPr>
        <w:fldChar w:fldCharType="end"/>
      </w:r>
      <w:r w:rsidRPr="00F9522B">
        <w:rPr>
          <w:rFonts w:eastAsiaTheme="minorEastAsia"/>
          <w:sz w:val="24"/>
        </w:rPr>
        <w:t>类标准。</w:t>
      </w:r>
    </w:p>
    <w:p w:rsidR="002A5A5E" w:rsidRPr="00F9522B" w:rsidRDefault="00611CBA">
      <w:pPr>
        <w:contextualSpacing/>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 xml:space="preserve">4-2-11 </w:t>
      </w:r>
      <w:r w:rsidRPr="00F9522B">
        <w:rPr>
          <w:rFonts w:eastAsiaTheme="minorEastAsia"/>
          <w:b/>
          <w:kern w:val="0"/>
          <w:szCs w:val="21"/>
        </w:rPr>
        <w:t>地下水评价因子及执行标准</w:t>
      </w:r>
    </w:p>
    <w:tbl>
      <w:tblPr>
        <w:tblW w:w="4842" w:type="pct"/>
        <w:jc w:val="center"/>
        <w:tblBorders>
          <w:top w:val="single" w:sz="12" w:space="0" w:color="auto"/>
          <w:bottom w:val="single" w:sz="12" w:space="0" w:color="auto"/>
          <w:insideH w:val="single" w:sz="4" w:space="0" w:color="auto"/>
          <w:insideV w:val="single" w:sz="4" w:space="0" w:color="auto"/>
        </w:tblBorders>
        <w:tblLook w:val="04A0"/>
      </w:tblPr>
      <w:tblGrid>
        <w:gridCol w:w="683"/>
        <w:gridCol w:w="2204"/>
        <w:gridCol w:w="1873"/>
        <w:gridCol w:w="1337"/>
        <w:gridCol w:w="2156"/>
      </w:tblGrid>
      <w:tr w:rsidR="002A5A5E" w:rsidRPr="00F9522B">
        <w:trPr>
          <w:trHeight w:val="196"/>
          <w:jc w:val="center"/>
        </w:trPr>
        <w:tc>
          <w:tcPr>
            <w:tcW w:w="414" w:type="pct"/>
            <w:shd w:val="clear" w:color="auto" w:fill="auto"/>
            <w:vAlign w:val="center"/>
          </w:tcPr>
          <w:p w:rsidR="002A5A5E" w:rsidRPr="00F9522B" w:rsidRDefault="00611CBA">
            <w:pPr>
              <w:snapToGrid w:val="0"/>
              <w:spacing w:line="0" w:lineRule="atLeast"/>
              <w:jc w:val="center"/>
              <w:rPr>
                <w:rFonts w:eastAsiaTheme="minorEastAsia"/>
                <w:kern w:val="0"/>
                <w:szCs w:val="21"/>
              </w:rPr>
            </w:pPr>
            <w:r w:rsidRPr="00F9522B">
              <w:rPr>
                <w:rFonts w:eastAsiaTheme="minorEastAsia"/>
                <w:kern w:val="0"/>
                <w:szCs w:val="21"/>
              </w:rPr>
              <w:t>环境要素</w:t>
            </w:r>
          </w:p>
        </w:tc>
        <w:tc>
          <w:tcPr>
            <w:tcW w:w="1335" w:type="pct"/>
            <w:shd w:val="clear" w:color="auto" w:fill="auto"/>
            <w:vAlign w:val="center"/>
          </w:tcPr>
          <w:p w:rsidR="002A5A5E" w:rsidRPr="00F9522B" w:rsidRDefault="00611CBA">
            <w:pPr>
              <w:snapToGrid w:val="0"/>
              <w:spacing w:line="0" w:lineRule="atLeast"/>
              <w:jc w:val="center"/>
              <w:rPr>
                <w:rFonts w:eastAsiaTheme="minorEastAsia"/>
                <w:kern w:val="0"/>
                <w:szCs w:val="21"/>
              </w:rPr>
            </w:pPr>
            <w:r w:rsidRPr="00F9522B">
              <w:rPr>
                <w:rFonts w:eastAsiaTheme="minorEastAsia"/>
                <w:kern w:val="0"/>
                <w:szCs w:val="21"/>
              </w:rPr>
              <w:t>标准名称及级（类）别</w:t>
            </w:r>
          </w:p>
        </w:tc>
        <w:tc>
          <w:tcPr>
            <w:tcW w:w="1135"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项目</w:t>
            </w:r>
          </w:p>
        </w:tc>
        <w:tc>
          <w:tcPr>
            <w:tcW w:w="810"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单位</w:t>
            </w:r>
          </w:p>
        </w:tc>
        <w:tc>
          <w:tcPr>
            <w:tcW w:w="1306"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标准限值</w:t>
            </w:r>
          </w:p>
        </w:tc>
      </w:tr>
      <w:tr w:rsidR="002A5A5E" w:rsidRPr="00F9522B">
        <w:trPr>
          <w:trHeight w:val="196"/>
          <w:jc w:val="center"/>
        </w:trPr>
        <w:tc>
          <w:tcPr>
            <w:tcW w:w="414" w:type="pct"/>
            <w:vMerge w:val="restart"/>
            <w:shd w:val="clear" w:color="auto" w:fill="auto"/>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kern w:val="0"/>
                <w:szCs w:val="21"/>
              </w:rPr>
              <w:t>地下水环境</w:t>
            </w:r>
          </w:p>
        </w:tc>
        <w:tc>
          <w:tcPr>
            <w:tcW w:w="1335" w:type="pct"/>
            <w:vMerge w:val="restart"/>
            <w:shd w:val="clear" w:color="auto" w:fill="auto"/>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kern w:val="0"/>
                <w:szCs w:val="21"/>
              </w:rPr>
              <w:t>《地下水质量标准》（</w:t>
            </w:r>
            <w:r w:rsidRPr="00F9522B">
              <w:rPr>
                <w:rFonts w:eastAsiaTheme="minorEastAsia"/>
                <w:kern w:val="0"/>
                <w:szCs w:val="21"/>
              </w:rPr>
              <w:t>GB/T14848-2017</w:t>
            </w:r>
            <w:r w:rsidRPr="00F9522B">
              <w:rPr>
                <w:rFonts w:eastAsiaTheme="minorEastAsia"/>
                <w:kern w:val="0"/>
                <w:szCs w:val="21"/>
              </w:rPr>
              <w:t>）</w:t>
            </w:r>
            <w:r w:rsidRPr="00F9522B">
              <w:rPr>
                <w:rFonts w:eastAsiaTheme="minorEastAsia"/>
                <w:kern w:val="0"/>
                <w:szCs w:val="21"/>
              </w:rPr>
              <w:t>Ⅲ</w:t>
            </w:r>
            <w:r w:rsidRPr="00F9522B">
              <w:rPr>
                <w:rFonts w:eastAsiaTheme="minorEastAsia"/>
                <w:kern w:val="0"/>
                <w:szCs w:val="21"/>
              </w:rPr>
              <w:t>类</w:t>
            </w:r>
          </w:p>
        </w:tc>
        <w:tc>
          <w:tcPr>
            <w:tcW w:w="1135"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pH</w:t>
            </w:r>
            <w:r w:rsidRPr="00F9522B">
              <w:rPr>
                <w:rFonts w:eastAsiaTheme="minorEastAsia"/>
                <w:snapToGrid w:val="0"/>
                <w:szCs w:val="21"/>
              </w:rPr>
              <w:t>值</w:t>
            </w:r>
          </w:p>
        </w:tc>
        <w:tc>
          <w:tcPr>
            <w:tcW w:w="810"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无量纲</w:t>
            </w:r>
          </w:p>
        </w:tc>
        <w:tc>
          <w:tcPr>
            <w:tcW w:w="1306"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6.5</w:t>
            </w:r>
            <w:r w:rsidRPr="00F9522B">
              <w:rPr>
                <w:rFonts w:eastAsiaTheme="minorEastAsia"/>
                <w:snapToGrid w:val="0"/>
                <w:szCs w:val="21"/>
              </w:rPr>
              <w:t>～</w:t>
            </w:r>
            <w:r w:rsidRPr="00F9522B">
              <w:rPr>
                <w:rFonts w:eastAsiaTheme="minorEastAsia"/>
                <w:snapToGrid w:val="0"/>
                <w:szCs w:val="21"/>
              </w:rPr>
              <w:t>8.5</w:t>
            </w:r>
          </w:p>
        </w:tc>
      </w:tr>
      <w:tr w:rsidR="002A5A5E" w:rsidRPr="00F9522B">
        <w:trPr>
          <w:trHeight w:val="195"/>
          <w:jc w:val="center"/>
        </w:trPr>
        <w:tc>
          <w:tcPr>
            <w:tcW w:w="414" w:type="pct"/>
            <w:vMerge/>
            <w:shd w:val="clear" w:color="auto" w:fill="auto"/>
            <w:vAlign w:val="center"/>
          </w:tcPr>
          <w:p w:rsidR="002A5A5E" w:rsidRPr="00F9522B" w:rsidRDefault="002A5A5E">
            <w:pPr>
              <w:jc w:val="center"/>
              <w:rPr>
                <w:rFonts w:eastAsiaTheme="minorEastAsia"/>
                <w:snapToGrid w:val="0"/>
              </w:rPr>
            </w:pPr>
          </w:p>
        </w:tc>
        <w:tc>
          <w:tcPr>
            <w:tcW w:w="1335" w:type="pct"/>
            <w:vMerge/>
            <w:shd w:val="clear" w:color="auto" w:fill="auto"/>
            <w:vAlign w:val="center"/>
          </w:tcPr>
          <w:p w:rsidR="002A5A5E" w:rsidRPr="00F9522B" w:rsidRDefault="002A5A5E">
            <w:pPr>
              <w:ind w:firstLine="420"/>
              <w:jc w:val="center"/>
              <w:rPr>
                <w:rFonts w:eastAsiaTheme="minorEastAsia"/>
                <w:snapToGrid w:val="0"/>
              </w:rPr>
            </w:pPr>
          </w:p>
        </w:tc>
        <w:tc>
          <w:tcPr>
            <w:tcW w:w="1135"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总硬度</w:t>
            </w:r>
          </w:p>
        </w:tc>
        <w:tc>
          <w:tcPr>
            <w:tcW w:w="810" w:type="pct"/>
            <w:vMerge w:val="restar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mg/L</w:t>
            </w:r>
          </w:p>
        </w:tc>
        <w:tc>
          <w:tcPr>
            <w:tcW w:w="1306"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≤450</w:t>
            </w:r>
          </w:p>
        </w:tc>
      </w:tr>
      <w:tr w:rsidR="002A5A5E" w:rsidRPr="00F9522B">
        <w:trPr>
          <w:trHeight w:val="195"/>
          <w:jc w:val="center"/>
        </w:trPr>
        <w:tc>
          <w:tcPr>
            <w:tcW w:w="414" w:type="pct"/>
            <w:vMerge/>
            <w:shd w:val="clear" w:color="auto" w:fill="auto"/>
            <w:vAlign w:val="center"/>
          </w:tcPr>
          <w:p w:rsidR="002A5A5E" w:rsidRPr="00F9522B" w:rsidRDefault="002A5A5E">
            <w:pPr>
              <w:jc w:val="center"/>
              <w:rPr>
                <w:rFonts w:eastAsiaTheme="minorEastAsia"/>
                <w:snapToGrid w:val="0"/>
              </w:rPr>
            </w:pPr>
          </w:p>
        </w:tc>
        <w:tc>
          <w:tcPr>
            <w:tcW w:w="1335" w:type="pct"/>
            <w:vMerge/>
            <w:shd w:val="clear" w:color="auto" w:fill="auto"/>
            <w:vAlign w:val="center"/>
          </w:tcPr>
          <w:p w:rsidR="002A5A5E" w:rsidRPr="00F9522B" w:rsidRDefault="002A5A5E">
            <w:pPr>
              <w:ind w:firstLine="420"/>
              <w:jc w:val="center"/>
              <w:rPr>
                <w:rFonts w:eastAsiaTheme="minorEastAsia"/>
                <w:snapToGrid w:val="0"/>
              </w:rPr>
            </w:pPr>
          </w:p>
        </w:tc>
        <w:tc>
          <w:tcPr>
            <w:tcW w:w="1135"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铁</w:t>
            </w:r>
          </w:p>
        </w:tc>
        <w:tc>
          <w:tcPr>
            <w:tcW w:w="810" w:type="pct"/>
            <w:vMerge/>
            <w:shd w:val="clear" w:color="auto" w:fill="auto"/>
            <w:vAlign w:val="center"/>
          </w:tcPr>
          <w:p w:rsidR="002A5A5E" w:rsidRPr="00F9522B" w:rsidRDefault="002A5A5E">
            <w:pPr>
              <w:jc w:val="center"/>
              <w:rPr>
                <w:rFonts w:eastAsiaTheme="minorEastAsia"/>
                <w:snapToGrid w:val="0"/>
                <w:szCs w:val="21"/>
              </w:rPr>
            </w:pPr>
          </w:p>
        </w:tc>
        <w:tc>
          <w:tcPr>
            <w:tcW w:w="1306"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≤0.3</w:t>
            </w:r>
          </w:p>
        </w:tc>
      </w:tr>
      <w:tr w:rsidR="002A5A5E" w:rsidRPr="00F9522B">
        <w:trPr>
          <w:trHeight w:val="195"/>
          <w:jc w:val="center"/>
        </w:trPr>
        <w:tc>
          <w:tcPr>
            <w:tcW w:w="414" w:type="pct"/>
            <w:vMerge/>
            <w:shd w:val="clear" w:color="auto" w:fill="auto"/>
            <w:vAlign w:val="center"/>
          </w:tcPr>
          <w:p w:rsidR="002A5A5E" w:rsidRPr="00F9522B" w:rsidRDefault="002A5A5E">
            <w:pPr>
              <w:jc w:val="center"/>
              <w:rPr>
                <w:rFonts w:eastAsiaTheme="minorEastAsia"/>
                <w:snapToGrid w:val="0"/>
              </w:rPr>
            </w:pPr>
          </w:p>
        </w:tc>
        <w:tc>
          <w:tcPr>
            <w:tcW w:w="1335" w:type="pct"/>
            <w:vMerge/>
            <w:shd w:val="clear" w:color="auto" w:fill="auto"/>
            <w:vAlign w:val="center"/>
          </w:tcPr>
          <w:p w:rsidR="002A5A5E" w:rsidRPr="00F9522B" w:rsidRDefault="002A5A5E">
            <w:pPr>
              <w:ind w:firstLine="420"/>
              <w:jc w:val="center"/>
              <w:rPr>
                <w:rFonts w:eastAsiaTheme="minorEastAsia"/>
                <w:snapToGrid w:val="0"/>
              </w:rPr>
            </w:pPr>
          </w:p>
        </w:tc>
        <w:tc>
          <w:tcPr>
            <w:tcW w:w="1135"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锰</w:t>
            </w:r>
          </w:p>
        </w:tc>
        <w:tc>
          <w:tcPr>
            <w:tcW w:w="810" w:type="pct"/>
            <w:vMerge/>
            <w:shd w:val="clear" w:color="auto" w:fill="auto"/>
            <w:vAlign w:val="center"/>
          </w:tcPr>
          <w:p w:rsidR="002A5A5E" w:rsidRPr="00F9522B" w:rsidRDefault="002A5A5E">
            <w:pPr>
              <w:jc w:val="center"/>
              <w:rPr>
                <w:rFonts w:eastAsiaTheme="minorEastAsia"/>
                <w:snapToGrid w:val="0"/>
                <w:szCs w:val="21"/>
              </w:rPr>
            </w:pPr>
          </w:p>
        </w:tc>
        <w:tc>
          <w:tcPr>
            <w:tcW w:w="1306"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≤0.1</w:t>
            </w:r>
          </w:p>
        </w:tc>
      </w:tr>
      <w:tr w:rsidR="002A5A5E" w:rsidRPr="00F9522B">
        <w:trPr>
          <w:trHeight w:val="195"/>
          <w:jc w:val="center"/>
        </w:trPr>
        <w:tc>
          <w:tcPr>
            <w:tcW w:w="414" w:type="pct"/>
            <w:vMerge/>
            <w:shd w:val="clear" w:color="auto" w:fill="auto"/>
            <w:vAlign w:val="center"/>
          </w:tcPr>
          <w:p w:rsidR="002A5A5E" w:rsidRPr="00F9522B" w:rsidRDefault="002A5A5E">
            <w:pPr>
              <w:jc w:val="center"/>
              <w:rPr>
                <w:rFonts w:eastAsiaTheme="minorEastAsia"/>
                <w:snapToGrid w:val="0"/>
              </w:rPr>
            </w:pPr>
          </w:p>
        </w:tc>
        <w:tc>
          <w:tcPr>
            <w:tcW w:w="1335" w:type="pct"/>
            <w:vMerge/>
            <w:shd w:val="clear" w:color="auto" w:fill="auto"/>
            <w:vAlign w:val="center"/>
          </w:tcPr>
          <w:p w:rsidR="002A5A5E" w:rsidRPr="00F9522B" w:rsidRDefault="002A5A5E">
            <w:pPr>
              <w:ind w:firstLine="420"/>
              <w:jc w:val="center"/>
              <w:rPr>
                <w:rFonts w:eastAsiaTheme="minorEastAsia"/>
                <w:snapToGrid w:val="0"/>
              </w:rPr>
            </w:pPr>
          </w:p>
        </w:tc>
        <w:tc>
          <w:tcPr>
            <w:tcW w:w="1135"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溶解性总固体</w:t>
            </w:r>
          </w:p>
        </w:tc>
        <w:tc>
          <w:tcPr>
            <w:tcW w:w="810" w:type="pct"/>
            <w:vMerge/>
            <w:shd w:val="clear" w:color="auto" w:fill="auto"/>
            <w:vAlign w:val="center"/>
          </w:tcPr>
          <w:p w:rsidR="002A5A5E" w:rsidRPr="00F9522B" w:rsidRDefault="002A5A5E">
            <w:pPr>
              <w:jc w:val="center"/>
              <w:rPr>
                <w:rFonts w:eastAsiaTheme="minorEastAsia"/>
                <w:snapToGrid w:val="0"/>
                <w:szCs w:val="21"/>
              </w:rPr>
            </w:pPr>
          </w:p>
        </w:tc>
        <w:tc>
          <w:tcPr>
            <w:tcW w:w="1306"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≤1000</w:t>
            </w:r>
          </w:p>
        </w:tc>
      </w:tr>
      <w:tr w:rsidR="002A5A5E" w:rsidRPr="00F9522B">
        <w:trPr>
          <w:trHeight w:val="195"/>
          <w:jc w:val="center"/>
        </w:trPr>
        <w:tc>
          <w:tcPr>
            <w:tcW w:w="414" w:type="pct"/>
            <w:vMerge/>
            <w:shd w:val="clear" w:color="auto" w:fill="auto"/>
            <w:vAlign w:val="center"/>
          </w:tcPr>
          <w:p w:rsidR="002A5A5E" w:rsidRPr="00F9522B" w:rsidRDefault="002A5A5E">
            <w:pPr>
              <w:jc w:val="center"/>
              <w:rPr>
                <w:rFonts w:eastAsiaTheme="minorEastAsia"/>
                <w:snapToGrid w:val="0"/>
              </w:rPr>
            </w:pPr>
          </w:p>
        </w:tc>
        <w:tc>
          <w:tcPr>
            <w:tcW w:w="1335" w:type="pct"/>
            <w:vMerge/>
            <w:shd w:val="clear" w:color="auto" w:fill="auto"/>
            <w:vAlign w:val="center"/>
          </w:tcPr>
          <w:p w:rsidR="002A5A5E" w:rsidRPr="00F9522B" w:rsidRDefault="002A5A5E">
            <w:pPr>
              <w:ind w:firstLine="420"/>
              <w:jc w:val="center"/>
              <w:rPr>
                <w:rFonts w:eastAsiaTheme="minorEastAsia"/>
                <w:snapToGrid w:val="0"/>
              </w:rPr>
            </w:pPr>
          </w:p>
        </w:tc>
        <w:tc>
          <w:tcPr>
            <w:tcW w:w="1135"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挥发酚类</w:t>
            </w:r>
          </w:p>
        </w:tc>
        <w:tc>
          <w:tcPr>
            <w:tcW w:w="810" w:type="pct"/>
            <w:vMerge/>
            <w:shd w:val="clear" w:color="auto" w:fill="auto"/>
            <w:vAlign w:val="center"/>
          </w:tcPr>
          <w:p w:rsidR="002A5A5E" w:rsidRPr="00F9522B" w:rsidRDefault="002A5A5E">
            <w:pPr>
              <w:jc w:val="center"/>
              <w:rPr>
                <w:rFonts w:eastAsiaTheme="minorEastAsia"/>
                <w:snapToGrid w:val="0"/>
                <w:szCs w:val="21"/>
              </w:rPr>
            </w:pPr>
          </w:p>
        </w:tc>
        <w:tc>
          <w:tcPr>
            <w:tcW w:w="1306"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≤0.002</w:t>
            </w:r>
          </w:p>
        </w:tc>
      </w:tr>
      <w:tr w:rsidR="002A5A5E" w:rsidRPr="00F9522B">
        <w:trPr>
          <w:trHeight w:val="195"/>
          <w:jc w:val="center"/>
        </w:trPr>
        <w:tc>
          <w:tcPr>
            <w:tcW w:w="414" w:type="pct"/>
            <w:vMerge/>
            <w:shd w:val="clear" w:color="auto" w:fill="auto"/>
            <w:vAlign w:val="center"/>
          </w:tcPr>
          <w:p w:rsidR="002A5A5E" w:rsidRPr="00F9522B" w:rsidRDefault="002A5A5E">
            <w:pPr>
              <w:jc w:val="center"/>
              <w:rPr>
                <w:rFonts w:eastAsiaTheme="minorEastAsia"/>
                <w:snapToGrid w:val="0"/>
              </w:rPr>
            </w:pPr>
          </w:p>
        </w:tc>
        <w:tc>
          <w:tcPr>
            <w:tcW w:w="1335" w:type="pct"/>
            <w:vMerge/>
            <w:shd w:val="clear" w:color="auto" w:fill="auto"/>
            <w:vAlign w:val="center"/>
          </w:tcPr>
          <w:p w:rsidR="002A5A5E" w:rsidRPr="00F9522B" w:rsidRDefault="002A5A5E">
            <w:pPr>
              <w:ind w:firstLine="420"/>
              <w:jc w:val="center"/>
              <w:rPr>
                <w:rFonts w:eastAsiaTheme="minorEastAsia"/>
                <w:snapToGrid w:val="0"/>
              </w:rPr>
            </w:pPr>
          </w:p>
        </w:tc>
        <w:tc>
          <w:tcPr>
            <w:tcW w:w="1135"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耗氧量（</w:t>
            </w:r>
            <w:r w:rsidRPr="00F9522B">
              <w:rPr>
                <w:rFonts w:eastAsiaTheme="minorEastAsia"/>
                <w:snapToGrid w:val="0"/>
                <w:szCs w:val="21"/>
              </w:rPr>
              <w:t>COD</w:t>
            </w:r>
            <w:r w:rsidRPr="00F9522B">
              <w:rPr>
                <w:rFonts w:eastAsiaTheme="minorEastAsia"/>
                <w:snapToGrid w:val="0"/>
                <w:szCs w:val="21"/>
                <w:vertAlign w:val="subscript"/>
              </w:rPr>
              <w:t>Mn</w:t>
            </w:r>
            <w:r w:rsidRPr="00F9522B">
              <w:rPr>
                <w:rFonts w:eastAsiaTheme="minorEastAsia"/>
                <w:snapToGrid w:val="0"/>
                <w:szCs w:val="21"/>
              </w:rPr>
              <w:t>法，以</w:t>
            </w:r>
            <w:r w:rsidRPr="00F9522B">
              <w:rPr>
                <w:rFonts w:eastAsiaTheme="minorEastAsia"/>
                <w:snapToGrid w:val="0"/>
                <w:szCs w:val="21"/>
              </w:rPr>
              <w:t>O</w:t>
            </w:r>
            <w:r w:rsidRPr="00F9522B">
              <w:rPr>
                <w:rFonts w:eastAsiaTheme="minorEastAsia"/>
                <w:snapToGrid w:val="0"/>
                <w:szCs w:val="21"/>
                <w:vertAlign w:val="subscript"/>
              </w:rPr>
              <w:t>2</w:t>
            </w:r>
            <w:r w:rsidRPr="00F9522B">
              <w:rPr>
                <w:rFonts w:eastAsiaTheme="minorEastAsia"/>
                <w:snapToGrid w:val="0"/>
                <w:szCs w:val="21"/>
              </w:rPr>
              <w:t>计）</w:t>
            </w:r>
          </w:p>
        </w:tc>
        <w:tc>
          <w:tcPr>
            <w:tcW w:w="810" w:type="pct"/>
            <w:vMerge/>
            <w:shd w:val="clear" w:color="auto" w:fill="auto"/>
            <w:vAlign w:val="center"/>
          </w:tcPr>
          <w:p w:rsidR="002A5A5E" w:rsidRPr="00F9522B" w:rsidRDefault="002A5A5E">
            <w:pPr>
              <w:jc w:val="center"/>
              <w:rPr>
                <w:rFonts w:eastAsiaTheme="minorEastAsia"/>
                <w:snapToGrid w:val="0"/>
                <w:szCs w:val="21"/>
              </w:rPr>
            </w:pPr>
          </w:p>
        </w:tc>
        <w:tc>
          <w:tcPr>
            <w:tcW w:w="1306"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≤3.0</w:t>
            </w:r>
          </w:p>
        </w:tc>
      </w:tr>
      <w:tr w:rsidR="002A5A5E" w:rsidRPr="00F9522B">
        <w:trPr>
          <w:trHeight w:val="195"/>
          <w:jc w:val="center"/>
        </w:trPr>
        <w:tc>
          <w:tcPr>
            <w:tcW w:w="414" w:type="pct"/>
            <w:vMerge/>
            <w:shd w:val="clear" w:color="auto" w:fill="auto"/>
            <w:vAlign w:val="center"/>
          </w:tcPr>
          <w:p w:rsidR="002A5A5E" w:rsidRPr="00F9522B" w:rsidRDefault="002A5A5E">
            <w:pPr>
              <w:jc w:val="center"/>
              <w:rPr>
                <w:rFonts w:eastAsiaTheme="minorEastAsia"/>
                <w:snapToGrid w:val="0"/>
              </w:rPr>
            </w:pPr>
          </w:p>
        </w:tc>
        <w:tc>
          <w:tcPr>
            <w:tcW w:w="1335" w:type="pct"/>
            <w:vMerge/>
            <w:shd w:val="clear" w:color="auto" w:fill="auto"/>
            <w:vAlign w:val="center"/>
          </w:tcPr>
          <w:p w:rsidR="002A5A5E" w:rsidRPr="00F9522B" w:rsidRDefault="002A5A5E">
            <w:pPr>
              <w:ind w:firstLine="420"/>
              <w:jc w:val="center"/>
              <w:rPr>
                <w:rFonts w:eastAsiaTheme="minorEastAsia"/>
                <w:snapToGrid w:val="0"/>
              </w:rPr>
            </w:pPr>
          </w:p>
        </w:tc>
        <w:tc>
          <w:tcPr>
            <w:tcW w:w="1135"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铅</w:t>
            </w:r>
          </w:p>
        </w:tc>
        <w:tc>
          <w:tcPr>
            <w:tcW w:w="810" w:type="pct"/>
            <w:vMerge/>
            <w:shd w:val="clear" w:color="auto" w:fill="auto"/>
            <w:vAlign w:val="center"/>
          </w:tcPr>
          <w:p w:rsidR="002A5A5E" w:rsidRPr="00F9522B" w:rsidRDefault="002A5A5E">
            <w:pPr>
              <w:jc w:val="center"/>
              <w:rPr>
                <w:rFonts w:eastAsiaTheme="minorEastAsia"/>
                <w:snapToGrid w:val="0"/>
                <w:szCs w:val="21"/>
              </w:rPr>
            </w:pPr>
          </w:p>
        </w:tc>
        <w:tc>
          <w:tcPr>
            <w:tcW w:w="1306"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≤0.01</w:t>
            </w:r>
          </w:p>
        </w:tc>
      </w:tr>
      <w:tr w:rsidR="002A5A5E" w:rsidRPr="00F9522B">
        <w:trPr>
          <w:trHeight w:val="195"/>
          <w:jc w:val="center"/>
        </w:trPr>
        <w:tc>
          <w:tcPr>
            <w:tcW w:w="414" w:type="pct"/>
            <w:vMerge/>
            <w:shd w:val="clear" w:color="auto" w:fill="auto"/>
            <w:vAlign w:val="center"/>
          </w:tcPr>
          <w:p w:rsidR="002A5A5E" w:rsidRPr="00F9522B" w:rsidRDefault="002A5A5E">
            <w:pPr>
              <w:jc w:val="center"/>
              <w:rPr>
                <w:rFonts w:eastAsiaTheme="minorEastAsia"/>
                <w:snapToGrid w:val="0"/>
              </w:rPr>
            </w:pPr>
          </w:p>
        </w:tc>
        <w:tc>
          <w:tcPr>
            <w:tcW w:w="1335" w:type="pct"/>
            <w:vMerge/>
            <w:shd w:val="clear" w:color="auto" w:fill="auto"/>
            <w:vAlign w:val="center"/>
          </w:tcPr>
          <w:p w:rsidR="002A5A5E" w:rsidRPr="00F9522B" w:rsidRDefault="002A5A5E">
            <w:pPr>
              <w:ind w:firstLine="420"/>
              <w:jc w:val="center"/>
              <w:rPr>
                <w:rFonts w:eastAsiaTheme="minorEastAsia"/>
                <w:snapToGrid w:val="0"/>
              </w:rPr>
            </w:pPr>
          </w:p>
        </w:tc>
        <w:tc>
          <w:tcPr>
            <w:tcW w:w="1135"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六价铬</w:t>
            </w:r>
          </w:p>
        </w:tc>
        <w:tc>
          <w:tcPr>
            <w:tcW w:w="810" w:type="pct"/>
            <w:vMerge/>
            <w:shd w:val="clear" w:color="auto" w:fill="auto"/>
            <w:vAlign w:val="center"/>
          </w:tcPr>
          <w:p w:rsidR="002A5A5E" w:rsidRPr="00F9522B" w:rsidRDefault="002A5A5E">
            <w:pPr>
              <w:jc w:val="center"/>
              <w:rPr>
                <w:rFonts w:eastAsiaTheme="minorEastAsia"/>
                <w:snapToGrid w:val="0"/>
                <w:szCs w:val="21"/>
              </w:rPr>
            </w:pPr>
          </w:p>
        </w:tc>
        <w:tc>
          <w:tcPr>
            <w:tcW w:w="1306"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≤0.05</w:t>
            </w:r>
          </w:p>
        </w:tc>
      </w:tr>
      <w:tr w:rsidR="002A5A5E" w:rsidRPr="00F9522B">
        <w:trPr>
          <w:trHeight w:val="195"/>
          <w:jc w:val="center"/>
        </w:trPr>
        <w:tc>
          <w:tcPr>
            <w:tcW w:w="414" w:type="pct"/>
            <w:vMerge/>
            <w:shd w:val="clear" w:color="auto" w:fill="auto"/>
            <w:vAlign w:val="center"/>
          </w:tcPr>
          <w:p w:rsidR="002A5A5E" w:rsidRPr="00F9522B" w:rsidRDefault="002A5A5E">
            <w:pPr>
              <w:jc w:val="center"/>
              <w:rPr>
                <w:rFonts w:eastAsiaTheme="minorEastAsia"/>
                <w:snapToGrid w:val="0"/>
              </w:rPr>
            </w:pPr>
          </w:p>
        </w:tc>
        <w:tc>
          <w:tcPr>
            <w:tcW w:w="1335" w:type="pct"/>
            <w:vMerge/>
            <w:shd w:val="clear" w:color="auto" w:fill="auto"/>
            <w:vAlign w:val="center"/>
          </w:tcPr>
          <w:p w:rsidR="002A5A5E" w:rsidRPr="00F9522B" w:rsidRDefault="002A5A5E">
            <w:pPr>
              <w:ind w:firstLine="420"/>
              <w:jc w:val="center"/>
              <w:rPr>
                <w:rFonts w:eastAsiaTheme="minorEastAsia"/>
                <w:snapToGrid w:val="0"/>
              </w:rPr>
            </w:pPr>
          </w:p>
        </w:tc>
        <w:tc>
          <w:tcPr>
            <w:tcW w:w="1135"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镉</w:t>
            </w:r>
          </w:p>
        </w:tc>
        <w:tc>
          <w:tcPr>
            <w:tcW w:w="810" w:type="pct"/>
            <w:vMerge/>
            <w:shd w:val="clear" w:color="auto" w:fill="auto"/>
            <w:vAlign w:val="center"/>
          </w:tcPr>
          <w:p w:rsidR="002A5A5E" w:rsidRPr="00F9522B" w:rsidRDefault="002A5A5E">
            <w:pPr>
              <w:jc w:val="center"/>
              <w:rPr>
                <w:rFonts w:eastAsiaTheme="minorEastAsia"/>
                <w:snapToGrid w:val="0"/>
                <w:szCs w:val="21"/>
              </w:rPr>
            </w:pPr>
          </w:p>
        </w:tc>
        <w:tc>
          <w:tcPr>
            <w:tcW w:w="1306"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≤0.005</w:t>
            </w:r>
          </w:p>
        </w:tc>
      </w:tr>
      <w:tr w:rsidR="002A5A5E" w:rsidRPr="00F9522B">
        <w:trPr>
          <w:trHeight w:val="195"/>
          <w:jc w:val="center"/>
        </w:trPr>
        <w:tc>
          <w:tcPr>
            <w:tcW w:w="414" w:type="pct"/>
            <w:vMerge/>
            <w:shd w:val="clear" w:color="auto" w:fill="auto"/>
            <w:vAlign w:val="center"/>
          </w:tcPr>
          <w:p w:rsidR="002A5A5E" w:rsidRPr="00F9522B" w:rsidRDefault="002A5A5E">
            <w:pPr>
              <w:jc w:val="center"/>
              <w:rPr>
                <w:rFonts w:eastAsiaTheme="minorEastAsia"/>
                <w:snapToGrid w:val="0"/>
              </w:rPr>
            </w:pPr>
          </w:p>
        </w:tc>
        <w:tc>
          <w:tcPr>
            <w:tcW w:w="1335" w:type="pct"/>
            <w:vMerge/>
            <w:shd w:val="clear" w:color="auto" w:fill="auto"/>
            <w:vAlign w:val="center"/>
          </w:tcPr>
          <w:p w:rsidR="002A5A5E" w:rsidRPr="00F9522B" w:rsidRDefault="002A5A5E">
            <w:pPr>
              <w:ind w:firstLine="420"/>
              <w:jc w:val="center"/>
              <w:rPr>
                <w:rFonts w:eastAsiaTheme="minorEastAsia"/>
                <w:snapToGrid w:val="0"/>
              </w:rPr>
            </w:pPr>
          </w:p>
        </w:tc>
        <w:tc>
          <w:tcPr>
            <w:tcW w:w="1135"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砷</w:t>
            </w:r>
          </w:p>
        </w:tc>
        <w:tc>
          <w:tcPr>
            <w:tcW w:w="810" w:type="pct"/>
            <w:vMerge/>
            <w:shd w:val="clear" w:color="auto" w:fill="auto"/>
            <w:vAlign w:val="center"/>
          </w:tcPr>
          <w:p w:rsidR="002A5A5E" w:rsidRPr="00F9522B" w:rsidRDefault="002A5A5E">
            <w:pPr>
              <w:jc w:val="center"/>
              <w:rPr>
                <w:rFonts w:eastAsiaTheme="minorEastAsia"/>
                <w:snapToGrid w:val="0"/>
                <w:szCs w:val="21"/>
              </w:rPr>
            </w:pPr>
          </w:p>
        </w:tc>
        <w:tc>
          <w:tcPr>
            <w:tcW w:w="1306"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≤0.01</w:t>
            </w:r>
          </w:p>
        </w:tc>
      </w:tr>
      <w:tr w:rsidR="002A5A5E" w:rsidRPr="00F9522B">
        <w:trPr>
          <w:trHeight w:val="195"/>
          <w:jc w:val="center"/>
        </w:trPr>
        <w:tc>
          <w:tcPr>
            <w:tcW w:w="414" w:type="pct"/>
            <w:vMerge/>
            <w:shd w:val="clear" w:color="auto" w:fill="auto"/>
            <w:vAlign w:val="center"/>
          </w:tcPr>
          <w:p w:rsidR="002A5A5E" w:rsidRPr="00F9522B" w:rsidRDefault="002A5A5E">
            <w:pPr>
              <w:jc w:val="center"/>
              <w:rPr>
                <w:rFonts w:eastAsiaTheme="minorEastAsia"/>
                <w:snapToGrid w:val="0"/>
              </w:rPr>
            </w:pPr>
          </w:p>
        </w:tc>
        <w:tc>
          <w:tcPr>
            <w:tcW w:w="1335" w:type="pct"/>
            <w:vMerge/>
            <w:shd w:val="clear" w:color="auto" w:fill="auto"/>
            <w:vAlign w:val="center"/>
          </w:tcPr>
          <w:p w:rsidR="002A5A5E" w:rsidRPr="00F9522B" w:rsidRDefault="002A5A5E">
            <w:pPr>
              <w:ind w:firstLine="420"/>
              <w:jc w:val="center"/>
              <w:rPr>
                <w:rFonts w:eastAsiaTheme="minorEastAsia"/>
                <w:snapToGrid w:val="0"/>
              </w:rPr>
            </w:pPr>
          </w:p>
        </w:tc>
        <w:tc>
          <w:tcPr>
            <w:tcW w:w="1135"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汞</w:t>
            </w:r>
          </w:p>
        </w:tc>
        <w:tc>
          <w:tcPr>
            <w:tcW w:w="810" w:type="pct"/>
            <w:vMerge/>
            <w:shd w:val="clear" w:color="auto" w:fill="auto"/>
            <w:vAlign w:val="center"/>
          </w:tcPr>
          <w:p w:rsidR="002A5A5E" w:rsidRPr="00F9522B" w:rsidRDefault="002A5A5E">
            <w:pPr>
              <w:jc w:val="center"/>
              <w:rPr>
                <w:rFonts w:eastAsiaTheme="minorEastAsia"/>
                <w:snapToGrid w:val="0"/>
                <w:szCs w:val="21"/>
              </w:rPr>
            </w:pPr>
          </w:p>
        </w:tc>
        <w:tc>
          <w:tcPr>
            <w:tcW w:w="1306"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≤0.001</w:t>
            </w:r>
          </w:p>
        </w:tc>
      </w:tr>
      <w:tr w:rsidR="002A5A5E" w:rsidRPr="00F9522B">
        <w:trPr>
          <w:trHeight w:val="195"/>
          <w:jc w:val="center"/>
        </w:trPr>
        <w:tc>
          <w:tcPr>
            <w:tcW w:w="414" w:type="pct"/>
            <w:vMerge/>
            <w:shd w:val="clear" w:color="auto" w:fill="auto"/>
            <w:vAlign w:val="center"/>
          </w:tcPr>
          <w:p w:rsidR="002A5A5E" w:rsidRPr="00F9522B" w:rsidRDefault="002A5A5E">
            <w:pPr>
              <w:jc w:val="center"/>
              <w:rPr>
                <w:rFonts w:eastAsiaTheme="minorEastAsia"/>
                <w:snapToGrid w:val="0"/>
              </w:rPr>
            </w:pPr>
          </w:p>
        </w:tc>
        <w:tc>
          <w:tcPr>
            <w:tcW w:w="1335" w:type="pct"/>
            <w:vMerge/>
            <w:shd w:val="clear" w:color="auto" w:fill="auto"/>
            <w:vAlign w:val="center"/>
          </w:tcPr>
          <w:p w:rsidR="002A5A5E" w:rsidRPr="00F9522B" w:rsidRDefault="002A5A5E">
            <w:pPr>
              <w:ind w:firstLine="420"/>
              <w:jc w:val="center"/>
              <w:rPr>
                <w:rFonts w:eastAsiaTheme="minorEastAsia"/>
                <w:snapToGrid w:val="0"/>
              </w:rPr>
            </w:pPr>
          </w:p>
        </w:tc>
        <w:tc>
          <w:tcPr>
            <w:tcW w:w="1135"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硝酸盐</w:t>
            </w:r>
          </w:p>
        </w:tc>
        <w:tc>
          <w:tcPr>
            <w:tcW w:w="810" w:type="pct"/>
            <w:vMerge/>
            <w:shd w:val="clear" w:color="auto" w:fill="auto"/>
            <w:vAlign w:val="center"/>
          </w:tcPr>
          <w:p w:rsidR="002A5A5E" w:rsidRPr="00F9522B" w:rsidRDefault="002A5A5E">
            <w:pPr>
              <w:jc w:val="center"/>
              <w:rPr>
                <w:rFonts w:eastAsiaTheme="minorEastAsia"/>
                <w:snapToGrid w:val="0"/>
                <w:szCs w:val="21"/>
              </w:rPr>
            </w:pPr>
          </w:p>
        </w:tc>
        <w:tc>
          <w:tcPr>
            <w:tcW w:w="1306"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≤20</w:t>
            </w:r>
          </w:p>
        </w:tc>
      </w:tr>
      <w:tr w:rsidR="002A5A5E" w:rsidRPr="00F9522B">
        <w:trPr>
          <w:trHeight w:val="195"/>
          <w:jc w:val="center"/>
        </w:trPr>
        <w:tc>
          <w:tcPr>
            <w:tcW w:w="414" w:type="pct"/>
            <w:vMerge/>
            <w:shd w:val="clear" w:color="auto" w:fill="auto"/>
            <w:vAlign w:val="center"/>
          </w:tcPr>
          <w:p w:rsidR="002A5A5E" w:rsidRPr="00F9522B" w:rsidRDefault="002A5A5E">
            <w:pPr>
              <w:jc w:val="center"/>
              <w:rPr>
                <w:rFonts w:eastAsiaTheme="minorEastAsia"/>
                <w:snapToGrid w:val="0"/>
              </w:rPr>
            </w:pPr>
          </w:p>
        </w:tc>
        <w:tc>
          <w:tcPr>
            <w:tcW w:w="1335" w:type="pct"/>
            <w:vMerge/>
            <w:shd w:val="clear" w:color="auto" w:fill="auto"/>
            <w:vAlign w:val="center"/>
          </w:tcPr>
          <w:p w:rsidR="002A5A5E" w:rsidRPr="00F9522B" w:rsidRDefault="002A5A5E">
            <w:pPr>
              <w:jc w:val="center"/>
              <w:rPr>
                <w:rFonts w:eastAsiaTheme="minorEastAsia"/>
                <w:snapToGrid w:val="0"/>
              </w:rPr>
            </w:pPr>
          </w:p>
        </w:tc>
        <w:tc>
          <w:tcPr>
            <w:tcW w:w="1135"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亚硝酸盐</w:t>
            </w:r>
          </w:p>
        </w:tc>
        <w:tc>
          <w:tcPr>
            <w:tcW w:w="810" w:type="pct"/>
            <w:vMerge/>
            <w:shd w:val="clear" w:color="auto" w:fill="auto"/>
            <w:vAlign w:val="center"/>
          </w:tcPr>
          <w:p w:rsidR="002A5A5E" w:rsidRPr="00F9522B" w:rsidRDefault="002A5A5E">
            <w:pPr>
              <w:jc w:val="center"/>
              <w:rPr>
                <w:rFonts w:eastAsiaTheme="minorEastAsia"/>
                <w:snapToGrid w:val="0"/>
                <w:szCs w:val="21"/>
              </w:rPr>
            </w:pPr>
          </w:p>
        </w:tc>
        <w:tc>
          <w:tcPr>
            <w:tcW w:w="1306"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≤1.0</w:t>
            </w:r>
          </w:p>
        </w:tc>
      </w:tr>
      <w:tr w:rsidR="002A5A5E" w:rsidRPr="00F9522B">
        <w:trPr>
          <w:trHeight w:val="195"/>
          <w:jc w:val="center"/>
        </w:trPr>
        <w:tc>
          <w:tcPr>
            <w:tcW w:w="414" w:type="pct"/>
            <w:vMerge/>
            <w:shd w:val="clear" w:color="auto" w:fill="auto"/>
            <w:vAlign w:val="center"/>
          </w:tcPr>
          <w:p w:rsidR="002A5A5E" w:rsidRPr="00F9522B" w:rsidRDefault="002A5A5E">
            <w:pPr>
              <w:jc w:val="center"/>
              <w:rPr>
                <w:rFonts w:eastAsiaTheme="minorEastAsia"/>
                <w:snapToGrid w:val="0"/>
              </w:rPr>
            </w:pPr>
          </w:p>
        </w:tc>
        <w:tc>
          <w:tcPr>
            <w:tcW w:w="1335" w:type="pct"/>
            <w:vMerge/>
            <w:shd w:val="clear" w:color="auto" w:fill="auto"/>
            <w:vAlign w:val="center"/>
          </w:tcPr>
          <w:p w:rsidR="002A5A5E" w:rsidRPr="00F9522B" w:rsidRDefault="002A5A5E">
            <w:pPr>
              <w:ind w:firstLine="420"/>
              <w:jc w:val="center"/>
              <w:rPr>
                <w:rFonts w:eastAsiaTheme="minorEastAsia"/>
                <w:snapToGrid w:val="0"/>
              </w:rPr>
            </w:pPr>
          </w:p>
        </w:tc>
        <w:tc>
          <w:tcPr>
            <w:tcW w:w="1135"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氨氮</w:t>
            </w:r>
          </w:p>
        </w:tc>
        <w:tc>
          <w:tcPr>
            <w:tcW w:w="810" w:type="pct"/>
            <w:vMerge/>
            <w:shd w:val="clear" w:color="auto" w:fill="auto"/>
            <w:vAlign w:val="center"/>
          </w:tcPr>
          <w:p w:rsidR="002A5A5E" w:rsidRPr="00F9522B" w:rsidRDefault="002A5A5E">
            <w:pPr>
              <w:jc w:val="center"/>
              <w:rPr>
                <w:rFonts w:eastAsiaTheme="minorEastAsia"/>
                <w:snapToGrid w:val="0"/>
                <w:szCs w:val="21"/>
              </w:rPr>
            </w:pPr>
          </w:p>
        </w:tc>
        <w:tc>
          <w:tcPr>
            <w:tcW w:w="1306"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≤0.5</w:t>
            </w:r>
          </w:p>
        </w:tc>
      </w:tr>
      <w:tr w:rsidR="002A5A5E" w:rsidRPr="00F9522B">
        <w:trPr>
          <w:trHeight w:val="195"/>
          <w:jc w:val="center"/>
        </w:trPr>
        <w:tc>
          <w:tcPr>
            <w:tcW w:w="414" w:type="pct"/>
            <w:vMerge/>
            <w:shd w:val="clear" w:color="auto" w:fill="auto"/>
            <w:vAlign w:val="center"/>
          </w:tcPr>
          <w:p w:rsidR="002A5A5E" w:rsidRPr="00F9522B" w:rsidRDefault="002A5A5E">
            <w:pPr>
              <w:jc w:val="center"/>
              <w:rPr>
                <w:rFonts w:eastAsiaTheme="minorEastAsia"/>
                <w:snapToGrid w:val="0"/>
              </w:rPr>
            </w:pPr>
          </w:p>
        </w:tc>
        <w:tc>
          <w:tcPr>
            <w:tcW w:w="1335" w:type="pct"/>
            <w:vMerge/>
            <w:shd w:val="clear" w:color="auto" w:fill="auto"/>
            <w:vAlign w:val="center"/>
          </w:tcPr>
          <w:p w:rsidR="002A5A5E" w:rsidRPr="00F9522B" w:rsidRDefault="002A5A5E">
            <w:pPr>
              <w:ind w:firstLine="420"/>
              <w:jc w:val="center"/>
              <w:rPr>
                <w:rFonts w:eastAsiaTheme="minorEastAsia"/>
                <w:snapToGrid w:val="0"/>
              </w:rPr>
            </w:pPr>
          </w:p>
        </w:tc>
        <w:tc>
          <w:tcPr>
            <w:tcW w:w="1135"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氟化物</w:t>
            </w:r>
          </w:p>
        </w:tc>
        <w:tc>
          <w:tcPr>
            <w:tcW w:w="810" w:type="pct"/>
            <w:vMerge/>
            <w:shd w:val="clear" w:color="auto" w:fill="auto"/>
            <w:vAlign w:val="center"/>
          </w:tcPr>
          <w:p w:rsidR="002A5A5E" w:rsidRPr="00F9522B" w:rsidRDefault="002A5A5E">
            <w:pPr>
              <w:jc w:val="center"/>
              <w:rPr>
                <w:rFonts w:eastAsiaTheme="minorEastAsia"/>
                <w:snapToGrid w:val="0"/>
                <w:szCs w:val="21"/>
              </w:rPr>
            </w:pPr>
          </w:p>
        </w:tc>
        <w:tc>
          <w:tcPr>
            <w:tcW w:w="1306"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≤1.0</w:t>
            </w:r>
          </w:p>
        </w:tc>
      </w:tr>
      <w:tr w:rsidR="002A5A5E" w:rsidRPr="00F9522B">
        <w:trPr>
          <w:trHeight w:val="195"/>
          <w:jc w:val="center"/>
        </w:trPr>
        <w:tc>
          <w:tcPr>
            <w:tcW w:w="414" w:type="pct"/>
            <w:vMerge/>
            <w:shd w:val="clear" w:color="auto" w:fill="auto"/>
            <w:vAlign w:val="center"/>
          </w:tcPr>
          <w:p w:rsidR="002A5A5E" w:rsidRPr="00F9522B" w:rsidRDefault="002A5A5E">
            <w:pPr>
              <w:jc w:val="center"/>
              <w:rPr>
                <w:rFonts w:eastAsiaTheme="minorEastAsia"/>
                <w:snapToGrid w:val="0"/>
              </w:rPr>
            </w:pPr>
          </w:p>
        </w:tc>
        <w:tc>
          <w:tcPr>
            <w:tcW w:w="1335" w:type="pct"/>
            <w:vMerge/>
            <w:shd w:val="clear" w:color="auto" w:fill="auto"/>
            <w:vAlign w:val="center"/>
          </w:tcPr>
          <w:p w:rsidR="002A5A5E" w:rsidRPr="00F9522B" w:rsidRDefault="002A5A5E">
            <w:pPr>
              <w:ind w:firstLine="420"/>
              <w:jc w:val="center"/>
              <w:rPr>
                <w:rFonts w:eastAsiaTheme="minorEastAsia"/>
                <w:snapToGrid w:val="0"/>
              </w:rPr>
            </w:pPr>
          </w:p>
        </w:tc>
        <w:tc>
          <w:tcPr>
            <w:tcW w:w="1135"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氰化物</w:t>
            </w:r>
          </w:p>
        </w:tc>
        <w:tc>
          <w:tcPr>
            <w:tcW w:w="810" w:type="pct"/>
            <w:vMerge/>
            <w:shd w:val="clear" w:color="auto" w:fill="auto"/>
            <w:vAlign w:val="center"/>
          </w:tcPr>
          <w:p w:rsidR="002A5A5E" w:rsidRPr="00F9522B" w:rsidRDefault="002A5A5E">
            <w:pPr>
              <w:jc w:val="center"/>
              <w:rPr>
                <w:rFonts w:eastAsiaTheme="minorEastAsia"/>
                <w:snapToGrid w:val="0"/>
                <w:szCs w:val="21"/>
              </w:rPr>
            </w:pPr>
          </w:p>
        </w:tc>
        <w:tc>
          <w:tcPr>
            <w:tcW w:w="1306"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≤0.05</w:t>
            </w:r>
          </w:p>
        </w:tc>
      </w:tr>
      <w:tr w:rsidR="002A5A5E" w:rsidRPr="00F9522B">
        <w:trPr>
          <w:trHeight w:val="195"/>
          <w:jc w:val="center"/>
        </w:trPr>
        <w:tc>
          <w:tcPr>
            <w:tcW w:w="414" w:type="pct"/>
            <w:vMerge/>
            <w:shd w:val="clear" w:color="auto" w:fill="auto"/>
            <w:vAlign w:val="center"/>
          </w:tcPr>
          <w:p w:rsidR="002A5A5E" w:rsidRPr="00F9522B" w:rsidRDefault="002A5A5E">
            <w:pPr>
              <w:jc w:val="center"/>
              <w:rPr>
                <w:rFonts w:eastAsiaTheme="minorEastAsia"/>
                <w:snapToGrid w:val="0"/>
              </w:rPr>
            </w:pPr>
          </w:p>
        </w:tc>
        <w:tc>
          <w:tcPr>
            <w:tcW w:w="1335" w:type="pct"/>
            <w:vMerge/>
            <w:shd w:val="clear" w:color="auto" w:fill="auto"/>
            <w:vAlign w:val="center"/>
          </w:tcPr>
          <w:p w:rsidR="002A5A5E" w:rsidRPr="00F9522B" w:rsidRDefault="002A5A5E">
            <w:pPr>
              <w:ind w:firstLine="420"/>
              <w:jc w:val="center"/>
              <w:rPr>
                <w:rFonts w:eastAsiaTheme="minorEastAsia"/>
                <w:snapToGrid w:val="0"/>
              </w:rPr>
            </w:pPr>
          </w:p>
        </w:tc>
        <w:tc>
          <w:tcPr>
            <w:tcW w:w="1135"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氯化物</w:t>
            </w:r>
          </w:p>
        </w:tc>
        <w:tc>
          <w:tcPr>
            <w:tcW w:w="810" w:type="pct"/>
            <w:vMerge/>
            <w:shd w:val="clear" w:color="auto" w:fill="auto"/>
            <w:vAlign w:val="center"/>
          </w:tcPr>
          <w:p w:rsidR="002A5A5E" w:rsidRPr="00F9522B" w:rsidRDefault="002A5A5E">
            <w:pPr>
              <w:jc w:val="center"/>
              <w:rPr>
                <w:rFonts w:eastAsiaTheme="minorEastAsia"/>
                <w:snapToGrid w:val="0"/>
                <w:szCs w:val="21"/>
              </w:rPr>
            </w:pPr>
          </w:p>
        </w:tc>
        <w:tc>
          <w:tcPr>
            <w:tcW w:w="1306"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≤250</w:t>
            </w:r>
          </w:p>
        </w:tc>
      </w:tr>
      <w:tr w:rsidR="002A5A5E" w:rsidRPr="00F9522B">
        <w:trPr>
          <w:trHeight w:val="195"/>
          <w:jc w:val="center"/>
        </w:trPr>
        <w:tc>
          <w:tcPr>
            <w:tcW w:w="414" w:type="pct"/>
            <w:vMerge/>
            <w:shd w:val="clear" w:color="auto" w:fill="auto"/>
            <w:vAlign w:val="center"/>
          </w:tcPr>
          <w:p w:rsidR="002A5A5E" w:rsidRPr="00F9522B" w:rsidRDefault="002A5A5E">
            <w:pPr>
              <w:jc w:val="center"/>
              <w:rPr>
                <w:rFonts w:eastAsiaTheme="minorEastAsia"/>
                <w:snapToGrid w:val="0"/>
              </w:rPr>
            </w:pPr>
          </w:p>
        </w:tc>
        <w:tc>
          <w:tcPr>
            <w:tcW w:w="1335" w:type="pct"/>
            <w:vMerge/>
            <w:shd w:val="clear" w:color="auto" w:fill="auto"/>
            <w:vAlign w:val="center"/>
          </w:tcPr>
          <w:p w:rsidR="002A5A5E" w:rsidRPr="00F9522B" w:rsidRDefault="002A5A5E">
            <w:pPr>
              <w:ind w:firstLine="420"/>
              <w:jc w:val="center"/>
              <w:rPr>
                <w:rFonts w:eastAsiaTheme="minorEastAsia"/>
                <w:snapToGrid w:val="0"/>
              </w:rPr>
            </w:pPr>
          </w:p>
        </w:tc>
        <w:tc>
          <w:tcPr>
            <w:tcW w:w="1135"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硫酸盐</w:t>
            </w:r>
          </w:p>
        </w:tc>
        <w:tc>
          <w:tcPr>
            <w:tcW w:w="810" w:type="pct"/>
            <w:vMerge/>
            <w:shd w:val="clear" w:color="auto" w:fill="auto"/>
            <w:vAlign w:val="center"/>
          </w:tcPr>
          <w:p w:rsidR="002A5A5E" w:rsidRPr="00F9522B" w:rsidRDefault="002A5A5E">
            <w:pPr>
              <w:jc w:val="center"/>
              <w:rPr>
                <w:rFonts w:eastAsiaTheme="minorEastAsia"/>
                <w:snapToGrid w:val="0"/>
                <w:szCs w:val="21"/>
              </w:rPr>
            </w:pPr>
          </w:p>
        </w:tc>
        <w:tc>
          <w:tcPr>
            <w:tcW w:w="1306"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≤250</w:t>
            </w:r>
          </w:p>
        </w:tc>
      </w:tr>
      <w:tr w:rsidR="002A5A5E" w:rsidRPr="00F9522B">
        <w:trPr>
          <w:trHeight w:val="195"/>
          <w:jc w:val="center"/>
        </w:trPr>
        <w:tc>
          <w:tcPr>
            <w:tcW w:w="414" w:type="pct"/>
            <w:vMerge/>
            <w:shd w:val="clear" w:color="auto" w:fill="auto"/>
            <w:vAlign w:val="center"/>
          </w:tcPr>
          <w:p w:rsidR="002A5A5E" w:rsidRPr="00F9522B" w:rsidRDefault="002A5A5E">
            <w:pPr>
              <w:jc w:val="center"/>
              <w:rPr>
                <w:rFonts w:eastAsiaTheme="minorEastAsia"/>
                <w:snapToGrid w:val="0"/>
              </w:rPr>
            </w:pPr>
          </w:p>
        </w:tc>
        <w:tc>
          <w:tcPr>
            <w:tcW w:w="1335" w:type="pct"/>
            <w:vMerge/>
            <w:shd w:val="clear" w:color="auto" w:fill="auto"/>
            <w:vAlign w:val="center"/>
          </w:tcPr>
          <w:p w:rsidR="002A5A5E" w:rsidRPr="00F9522B" w:rsidRDefault="002A5A5E">
            <w:pPr>
              <w:ind w:firstLine="420"/>
              <w:jc w:val="center"/>
              <w:rPr>
                <w:rFonts w:eastAsiaTheme="minorEastAsia"/>
                <w:snapToGrid w:val="0"/>
              </w:rPr>
            </w:pPr>
          </w:p>
        </w:tc>
        <w:tc>
          <w:tcPr>
            <w:tcW w:w="1135"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钠</w:t>
            </w:r>
          </w:p>
        </w:tc>
        <w:tc>
          <w:tcPr>
            <w:tcW w:w="810" w:type="pct"/>
            <w:vMerge/>
            <w:shd w:val="clear" w:color="auto" w:fill="auto"/>
            <w:vAlign w:val="center"/>
          </w:tcPr>
          <w:p w:rsidR="002A5A5E" w:rsidRPr="00F9522B" w:rsidRDefault="002A5A5E">
            <w:pPr>
              <w:jc w:val="center"/>
              <w:rPr>
                <w:rFonts w:eastAsiaTheme="minorEastAsia"/>
                <w:snapToGrid w:val="0"/>
                <w:szCs w:val="21"/>
              </w:rPr>
            </w:pPr>
          </w:p>
        </w:tc>
        <w:tc>
          <w:tcPr>
            <w:tcW w:w="1306"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≤200</w:t>
            </w:r>
          </w:p>
        </w:tc>
      </w:tr>
      <w:tr w:rsidR="002A5A5E" w:rsidRPr="00F9522B">
        <w:trPr>
          <w:trHeight w:val="195"/>
          <w:jc w:val="center"/>
        </w:trPr>
        <w:tc>
          <w:tcPr>
            <w:tcW w:w="414" w:type="pct"/>
            <w:vMerge/>
            <w:shd w:val="clear" w:color="auto" w:fill="auto"/>
            <w:vAlign w:val="center"/>
          </w:tcPr>
          <w:p w:rsidR="002A5A5E" w:rsidRPr="00F9522B" w:rsidRDefault="002A5A5E">
            <w:pPr>
              <w:jc w:val="center"/>
              <w:rPr>
                <w:rFonts w:eastAsiaTheme="minorEastAsia"/>
                <w:snapToGrid w:val="0"/>
              </w:rPr>
            </w:pPr>
          </w:p>
        </w:tc>
        <w:tc>
          <w:tcPr>
            <w:tcW w:w="1335" w:type="pct"/>
            <w:vMerge/>
            <w:shd w:val="clear" w:color="auto" w:fill="auto"/>
            <w:vAlign w:val="center"/>
          </w:tcPr>
          <w:p w:rsidR="002A5A5E" w:rsidRPr="00F9522B" w:rsidRDefault="002A5A5E">
            <w:pPr>
              <w:ind w:firstLine="420"/>
              <w:jc w:val="center"/>
              <w:rPr>
                <w:rFonts w:eastAsiaTheme="minorEastAsia"/>
                <w:snapToGrid w:val="0"/>
              </w:rPr>
            </w:pPr>
          </w:p>
        </w:tc>
        <w:tc>
          <w:tcPr>
            <w:tcW w:w="1135"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菌落总数</w:t>
            </w:r>
          </w:p>
        </w:tc>
        <w:tc>
          <w:tcPr>
            <w:tcW w:w="810"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CFU/mL</w:t>
            </w:r>
          </w:p>
        </w:tc>
        <w:tc>
          <w:tcPr>
            <w:tcW w:w="1306"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≤100</w:t>
            </w:r>
          </w:p>
        </w:tc>
      </w:tr>
      <w:tr w:rsidR="002A5A5E" w:rsidRPr="00F9522B">
        <w:trPr>
          <w:trHeight w:val="195"/>
          <w:jc w:val="center"/>
        </w:trPr>
        <w:tc>
          <w:tcPr>
            <w:tcW w:w="414" w:type="pct"/>
            <w:vMerge/>
            <w:shd w:val="clear" w:color="auto" w:fill="auto"/>
            <w:vAlign w:val="center"/>
          </w:tcPr>
          <w:p w:rsidR="002A5A5E" w:rsidRPr="00F9522B" w:rsidRDefault="002A5A5E">
            <w:pPr>
              <w:jc w:val="center"/>
              <w:rPr>
                <w:rFonts w:eastAsiaTheme="minorEastAsia"/>
                <w:snapToGrid w:val="0"/>
              </w:rPr>
            </w:pPr>
          </w:p>
        </w:tc>
        <w:tc>
          <w:tcPr>
            <w:tcW w:w="1335" w:type="pct"/>
            <w:vMerge/>
            <w:shd w:val="clear" w:color="auto" w:fill="auto"/>
            <w:vAlign w:val="center"/>
          </w:tcPr>
          <w:p w:rsidR="002A5A5E" w:rsidRPr="00F9522B" w:rsidRDefault="002A5A5E">
            <w:pPr>
              <w:ind w:firstLine="420"/>
              <w:jc w:val="center"/>
              <w:rPr>
                <w:rFonts w:eastAsiaTheme="minorEastAsia"/>
                <w:snapToGrid w:val="0"/>
              </w:rPr>
            </w:pPr>
          </w:p>
        </w:tc>
        <w:tc>
          <w:tcPr>
            <w:tcW w:w="1135"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总大肠菌群</w:t>
            </w:r>
          </w:p>
        </w:tc>
        <w:tc>
          <w:tcPr>
            <w:tcW w:w="810"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MPN/100mL</w:t>
            </w:r>
          </w:p>
        </w:tc>
        <w:tc>
          <w:tcPr>
            <w:tcW w:w="1306"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≤3.0</w:t>
            </w:r>
          </w:p>
        </w:tc>
      </w:tr>
      <w:tr w:rsidR="002A5A5E" w:rsidRPr="00F9522B">
        <w:trPr>
          <w:trHeight w:val="195"/>
          <w:jc w:val="center"/>
        </w:trPr>
        <w:tc>
          <w:tcPr>
            <w:tcW w:w="414" w:type="pct"/>
            <w:vMerge/>
            <w:shd w:val="clear" w:color="auto" w:fill="auto"/>
            <w:vAlign w:val="center"/>
          </w:tcPr>
          <w:p w:rsidR="002A5A5E" w:rsidRPr="00F9522B" w:rsidRDefault="002A5A5E">
            <w:pPr>
              <w:jc w:val="center"/>
              <w:rPr>
                <w:rFonts w:eastAsiaTheme="minorEastAsia"/>
                <w:snapToGrid w:val="0"/>
              </w:rPr>
            </w:pPr>
          </w:p>
        </w:tc>
        <w:tc>
          <w:tcPr>
            <w:tcW w:w="1335" w:type="pct"/>
            <w:shd w:val="clear" w:color="auto" w:fill="auto"/>
            <w:vAlign w:val="center"/>
          </w:tcPr>
          <w:p w:rsidR="002A5A5E" w:rsidRPr="00F9522B" w:rsidRDefault="00611CBA">
            <w:pPr>
              <w:jc w:val="center"/>
              <w:rPr>
                <w:rFonts w:eastAsiaTheme="minorEastAsia"/>
                <w:snapToGrid w:val="0"/>
              </w:rPr>
            </w:pPr>
            <w:r w:rsidRPr="00F9522B">
              <w:rPr>
                <w:rFonts w:eastAsiaTheme="minorEastAsia"/>
                <w:snapToGrid w:val="0"/>
              </w:rPr>
              <w:t>参照《地表水环境质量标准》（</w:t>
            </w:r>
            <w:r w:rsidRPr="00F9522B">
              <w:rPr>
                <w:rFonts w:eastAsiaTheme="minorEastAsia"/>
                <w:snapToGrid w:val="0"/>
              </w:rPr>
              <w:t>GB3838-2002</w:t>
            </w:r>
            <w:r w:rsidRPr="00F9522B">
              <w:rPr>
                <w:rFonts w:eastAsiaTheme="minorEastAsia"/>
                <w:snapToGrid w:val="0"/>
              </w:rPr>
              <w:t>）</w:t>
            </w:r>
            <w:r w:rsidR="005273A1" w:rsidRPr="004B63C1">
              <w:rPr>
                <w:rFonts w:eastAsiaTheme="minorEastAsia"/>
                <w:bCs/>
                <w:snapToGrid w:val="0"/>
              </w:rPr>
              <w:fldChar w:fldCharType="begin"/>
            </w:r>
            <w:r w:rsidR="004B63C1" w:rsidRPr="004B63C1">
              <w:rPr>
                <w:rFonts w:eastAsiaTheme="minorEastAsia"/>
                <w:bCs/>
                <w:snapToGrid w:val="0"/>
              </w:rPr>
              <w:instrText xml:space="preserve"> </w:instrText>
            </w:r>
            <w:r w:rsidR="004B63C1" w:rsidRPr="004B63C1">
              <w:rPr>
                <w:rFonts w:eastAsiaTheme="minorEastAsia" w:hint="eastAsia"/>
                <w:bCs/>
                <w:snapToGrid w:val="0"/>
              </w:rPr>
              <w:instrText>= 2 \* ROMAN</w:instrText>
            </w:r>
            <w:r w:rsidR="004B63C1" w:rsidRPr="004B63C1">
              <w:rPr>
                <w:rFonts w:eastAsiaTheme="minorEastAsia"/>
                <w:bCs/>
                <w:snapToGrid w:val="0"/>
              </w:rPr>
              <w:instrText xml:space="preserve"> </w:instrText>
            </w:r>
            <w:r w:rsidR="005273A1" w:rsidRPr="004B63C1">
              <w:rPr>
                <w:rFonts w:eastAsiaTheme="minorEastAsia"/>
                <w:bCs/>
                <w:snapToGrid w:val="0"/>
              </w:rPr>
              <w:fldChar w:fldCharType="separate"/>
            </w:r>
            <w:r w:rsidR="004B63C1" w:rsidRPr="004B63C1">
              <w:rPr>
                <w:rFonts w:eastAsiaTheme="minorEastAsia"/>
                <w:bCs/>
                <w:snapToGrid w:val="0"/>
              </w:rPr>
              <w:t>II</w:t>
            </w:r>
            <w:r w:rsidR="005273A1" w:rsidRPr="004B63C1">
              <w:rPr>
                <w:rFonts w:eastAsiaTheme="minorEastAsia"/>
                <w:bCs/>
                <w:snapToGrid w:val="0"/>
              </w:rPr>
              <w:fldChar w:fldCharType="end"/>
            </w:r>
            <w:r w:rsidRPr="00F9522B">
              <w:rPr>
                <w:rFonts w:eastAsiaTheme="minorEastAsia"/>
                <w:snapToGrid w:val="0"/>
              </w:rPr>
              <w:t>类</w:t>
            </w:r>
          </w:p>
        </w:tc>
        <w:tc>
          <w:tcPr>
            <w:tcW w:w="1135"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石油类</w:t>
            </w:r>
          </w:p>
        </w:tc>
        <w:tc>
          <w:tcPr>
            <w:tcW w:w="810"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mg/L</w:t>
            </w:r>
          </w:p>
        </w:tc>
        <w:tc>
          <w:tcPr>
            <w:tcW w:w="1306" w:type="pct"/>
            <w:shd w:val="clear" w:color="auto" w:fill="auto"/>
            <w:vAlign w:val="center"/>
          </w:tcPr>
          <w:p w:rsidR="002A5A5E" w:rsidRPr="00F9522B" w:rsidRDefault="00611CBA">
            <w:pPr>
              <w:jc w:val="center"/>
              <w:rPr>
                <w:rFonts w:eastAsiaTheme="minorEastAsia"/>
                <w:snapToGrid w:val="0"/>
                <w:szCs w:val="21"/>
              </w:rPr>
            </w:pPr>
            <w:r w:rsidRPr="00F9522B">
              <w:rPr>
                <w:rFonts w:eastAsiaTheme="minorEastAsia"/>
                <w:snapToGrid w:val="0"/>
                <w:szCs w:val="21"/>
              </w:rPr>
              <w:t>≤0.05</w:t>
            </w:r>
          </w:p>
        </w:tc>
      </w:tr>
    </w:tbl>
    <w:p w:rsidR="002A5A5E" w:rsidRPr="00F9522B" w:rsidRDefault="00611CBA">
      <w:pPr>
        <w:spacing w:line="360" w:lineRule="auto"/>
        <w:ind w:firstLineChars="200" w:firstLine="480"/>
        <w:rPr>
          <w:rFonts w:eastAsiaTheme="minorEastAsia"/>
          <w:sz w:val="24"/>
        </w:rPr>
      </w:pPr>
      <w:r w:rsidRPr="00F9522B">
        <w:rPr>
          <w:rFonts w:eastAsiaTheme="minorEastAsia"/>
          <w:sz w:val="24"/>
        </w:rPr>
        <w:t>（</w:t>
      </w:r>
      <w:r w:rsidRPr="00F9522B">
        <w:rPr>
          <w:rFonts w:eastAsiaTheme="minorEastAsia"/>
          <w:sz w:val="24"/>
        </w:rPr>
        <w:t>2</w:t>
      </w:r>
      <w:r w:rsidRPr="00F9522B">
        <w:rPr>
          <w:rFonts w:eastAsiaTheme="minorEastAsia"/>
          <w:sz w:val="24"/>
        </w:rPr>
        <w:t>）评价方法</w:t>
      </w:r>
    </w:p>
    <w:p w:rsidR="002A5A5E" w:rsidRPr="00F9522B" w:rsidRDefault="00611CBA">
      <w:pPr>
        <w:spacing w:line="360" w:lineRule="auto"/>
        <w:ind w:firstLineChars="200" w:firstLine="480"/>
        <w:rPr>
          <w:rFonts w:eastAsiaTheme="minorEastAsia"/>
          <w:sz w:val="24"/>
        </w:rPr>
      </w:pPr>
      <w:r w:rsidRPr="00F9522B">
        <w:rPr>
          <w:rFonts w:ascii="宋体" w:hAnsi="宋体" w:cs="宋体" w:hint="eastAsia"/>
          <w:sz w:val="24"/>
        </w:rPr>
        <w:t>①</w:t>
      </w:r>
      <w:r w:rsidRPr="00F9522B">
        <w:rPr>
          <w:rFonts w:eastAsiaTheme="minorEastAsia"/>
          <w:sz w:val="24"/>
        </w:rPr>
        <w:t>水质现状评价</w:t>
      </w:r>
    </w:p>
    <w:p w:rsidR="002A5A5E" w:rsidRPr="00F9522B" w:rsidRDefault="00611CBA">
      <w:pPr>
        <w:spacing w:line="360" w:lineRule="auto"/>
        <w:rPr>
          <w:rFonts w:eastAsiaTheme="minorEastAsia"/>
          <w:kern w:val="0"/>
          <w:sz w:val="24"/>
          <w:lang w:val="zh-CN"/>
        </w:rPr>
      </w:pPr>
      <w:r w:rsidRPr="00F9522B">
        <w:rPr>
          <w:rFonts w:eastAsiaTheme="minorEastAsia"/>
          <w:kern w:val="0"/>
          <w:sz w:val="24"/>
          <w:lang w:val="zh-CN"/>
        </w:rPr>
        <w:t>采用单项标准指数法对地下水现状监测结果进行评价，评价模式如下：</w:t>
      </w:r>
    </w:p>
    <w:p w:rsidR="002A5A5E" w:rsidRPr="00F9522B" w:rsidRDefault="00611CBA">
      <w:pPr>
        <w:spacing w:line="360" w:lineRule="auto"/>
        <w:jc w:val="center"/>
        <w:rPr>
          <w:rFonts w:eastAsiaTheme="minorEastAsia"/>
          <w:snapToGrid w:val="0"/>
          <w:kern w:val="0"/>
          <w:sz w:val="24"/>
        </w:rPr>
      </w:pPr>
      <w:r w:rsidRPr="00F9522B">
        <w:rPr>
          <w:rFonts w:eastAsiaTheme="minorEastAsia"/>
          <w:snapToGrid w:val="0"/>
          <w:kern w:val="0"/>
          <w:sz w:val="24"/>
        </w:rPr>
        <w:t>P</w:t>
      </w:r>
      <w:r w:rsidRPr="00F9522B">
        <w:rPr>
          <w:rFonts w:eastAsiaTheme="minorEastAsia"/>
          <w:snapToGrid w:val="0"/>
          <w:kern w:val="0"/>
          <w:sz w:val="24"/>
          <w:vertAlign w:val="subscript"/>
        </w:rPr>
        <w:t>i</w:t>
      </w:r>
      <w:r w:rsidRPr="00F9522B">
        <w:rPr>
          <w:rFonts w:eastAsiaTheme="minorEastAsia"/>
          <w:snapToGrid w:val="0"/>
          <w:kern w:val="0"/>
          <w:sz w:val="24"/>
        </w:rPr>
        <w:t>=C</w:t>
      </w:r>
      <w:r w:rsidRPr="00F9522B">
        <w:rPr>
          <w:rFonts w:eastAsiaTheme="minorEastAsia"/>
          <w:snapToGrid w:val="0"/>
          <w:kern w:val="0"/>
          <w:sz w:val="24"/>
          <w:vertAlign w:val="subscript"/>
        </w:rPr>
        <w:t>i</w:t>
      </w:r>
      <w:r w:rsidRPr="00F9522B">
        <w:rPr>
          <w:rFonts w:eastAsiaTheme="minorEastAsia"/>
          <w:snapToGrid w:val="0"/>
          <w:kern w:val="0"/>
          <w:sz w:val="24"/>
        </w:rPr>
        <w:t>/C</w:t>
      </w:r>
      <w:r w:rsidRPr="00F9522B">
        <w:rPr>
          <w:rFonts w:eastAsiaTheme="minorEastAsia"/>
          <w:snapToGrid w:val="0"/>
          <w:kern w:val="0"/>
          <w:sz w:val="24"/>
          <w:vertAlign w:val="subscript"/>
        </w:rPr>
        <w:t>si</w:t>
      </w:r>
    </w:p>
    <w:p w:rsidR="002A5A5E" w:rsidRPr="00F9522B" w:rsidRDefault="00611CBA">
      <w:pPr>
        <w:spacing w:line="360" w:lineRule="auto"/>
        <w:rPr>
          <w:rFonts w:eastAsiaTheme="minorEastAsia"/>
          <w:snapToGrid w:val="0"/>
          <w:kern w:val="0"/>
          <w:sz w:val="24"/>
        </w:rPr>
      </w:pPr>
      <w:r w:rsidRPr="00F9522B">
        <w:rPr>
          <w:rFonts w:eastAsiaTheme="minorEastAsia"/>
          <w:snapToGrid w:val="0"/>
          <w:kern w:val="0"/>
          <w:sz w:val="24"/>
        </w:rPr>
        <w:t xml:space="preserve">     </w:t>
      </w:r>
      <w:r w:rsidRPr="00F9522B">
        <w:rPr>
          <w:rFonts w:eastAsiaTheme="minorEastAsia"/>
          <w:snapToGrid w:val="0"/>
          <w:kern w:val="0"/>
          <w:sz w:val="24"/>
        </w:rPr>
        <w:t>式中：</w:t>
      </w:r>
      <w:r w:rsidRPr="00F9522B">
        <w:rPr>
          <w:rFonts w:eastAsiaTheme="minorEastAsia"/>
          <w:snapToGrid w:val="0"/>
          <w:kern w:val="0"/>
          <w:sz w:val="24"/>
        </w:rPr>
        <w:t>P</w:t>
      </w:r>
      <w:r w:rsidRPr="00F9522B">
        <w:rPr>
          <w:rFonts w:eastAsiaTheme="minorEastAsia"/>
          <w:snapToGrid w:val="0"/>
          <w:kern w:val="0"/>
          <w:sz w:val="24"/>
          <w:vertAlign w:val="subscript"/>
        </w:rPr>
        <w:t>i</w:t>
      </w:r>
      <w:r w:rsidRPr="00F9522B">
        <w:rPr>
          <w:rFonts w:eastAsiaTheme="minorEastAsia"/>
          <w:snapToGrid w:val="0"/>
          <w:kern w:val="0"/>
          <w:sz w:val="24"/>
        </w:rPr>
        <w:t>—</w:t>
      </w:r>
      <w:r w:rsidRPr="00F9522B">
        <w:rPr>
          <w:rFonts w:eastAsiaTheme="minorEastAsia"/>
          <w:snapToGrid w:val="0"/>
          <w:kern w:val="0"/>
          <w:sz w:val="24"/>
        </w:rPr>
        <w:t>第</w:t>
      </w:r>
      <w:r w:rsidRPr="00F9522B">
        <w:rPr>
          <w:rFonts w:eastAsiaTheme="minorEastAsia"/>
          <w:snapToGrid w:val="0"/>
          <w:kern w:val="0"/>
          <w:sz w:val="24"/>
        </w:rPr>
        <w:t>i</w:t>
      </w:r>
      <w:r w:rsidRPr="00F9522B">
        <w:rPr>
          <w:rFonts w:eastAsiaTheme="minorEastAsia"/>
          <w:snapToGrid w:val="0"/>
          <w:kern w:val="0"/>
          <w:sz w:val="24"/>
        </w:rPr>
        <w:t>个水质因子的标准指数，无量纲；</w:t>
      </w:r>
    </w:p>
    <w:p w:rsidR="002A5A5E" w:rsidRPr="00F9522B" w:rsidRDefault="00611CBA">
      <w:pPr>
        <w:spacing w:line="360" w:lineRule="auto"/>
        <w:ind w:firstLineChars="300" w:firstLine="720"/>
        <w:rPr>
          <w:rFonts w:eastAsiaTheme="minorEastAsia"/>
          <w:snapToGrid w:val="0"/>
          <w:kern w:val="0"/>
          <w:sz w:val="24"/>
        </w:rPr>
      </w:pPr>
      <w:r w:rsidRPr="00F9522B">
        <w:rPr>
          <w:rFonts w:eastAsiaTheme="minorEastAsia"/>
          <w:snapToGrid w:val="0"/>
          <w:kern w:val="0"/>
          <w:sz w:val="24"/>
        </w:rPr>
        <w:t xml:space="preserve">     C</w:t>
      </w:r>
      <w:r w:rsidRPr="00F9522B">
        <w:rPr>
          <w:rFonts w:eastAsiaTheme="minorEastAsia"/>
          <w:snapToGrid w:val="0"/>
          <w:kern w:val="0"/>
          <w:sz w:val="24"/>
          <w:vertAlign w:val="subscript"/>
        </w:rPr>
        <w:t>i</w:t>
      </w:r>
      <w:r w:rsidRPr="00F9522B">
        <w:rPr>
          <w:rFonts w:eastAsiaTheme="minorEastAsia"/>
          <w:snapToGrid w:val="0"/>
          <w:kern w:val="0"/>
          <w:sz w:val="24"/>
        </w:rPr>
        <w:t>—</w:t>
      </w:r>
      <w:r w:rsidRPr="00F9522B">
        <w:rPr>
          <w:rFonts w:eastAsiaTheme="minorEastAsia"/>
          <w:snapToGrid w:val="0"/>
          <w:kern w:val="0"/>
          <w:sz w:val="24"/>
        </w:rPr>
        <w:t>第</w:t>
      </w:r>
      <w:r w:rsidRPr="00F9522B">
        <w:rPr>
          <w:rFonts w:eastAsiaTheme="minorEastAsia"/>
          <w:snapToGrid w:val="0"/>
          <w:kern w:val="0"/>
          <w:sz w:val="24"/>
        </w:rPr>
        <w:t>i</w:t>
      </w:r>
      <w:r w:rsidRPr="00F9522B">
        <w:rPr>
          <w:rFonts w:eastAsiaTheme="minorEastAsia"/>
          <w:snapToGrid w:val="0"/>
          <w:kern w:val="0"/>
          <w:sz w:val="24"/>
        </w:rPr>
        <w:t>个水质因子的监测质量浓度值，</w:t>
      </w:r>
      <w:r w:rsidRPr="00F9522B">
        <w:rPr>
          <w:rFonts w:eastAsiaTheme="minorEastAsia"/>
          <w:snapToGrid w:val="0"/>
          <w:kern w:val="0"/>
          <w:sz w:val="24"/>
        </w:rPr>
        <w:t>mg/L</w:t>
      </w:r>
      <w:r w:rsidRPr="00F9522B">
        <w:rPr>
          <w:rFonts w:eastAsiaTheme="minorEastAsia"/>
          <w:snapToGrid w:val="0"/>
          <w:kern w:val="0"/>
          <w:sz w:val="24"/>
        </w:rPr>
        <w:t>；</w:t>
      </w:r>
    </w:p>
    <w:p w:rsidR="002A5A5E" w:rsidRPr="00F9522B" w:rsidRDefault="00611CBA">
      <w:pPr>
        <w:spacing w:line="360" w:lineRule="auto"/>
        <w:ind w:firstLineChars="300" w:firstLine="720"/>
        <w:rPr>
          <w:rFonts w:eastAsiaTheme="minorEastAsia"/>
          <w:snapToGrid w:val="0"/>
          <w:kern w:val="0"/>
          <w:sz w:val="24"/>
        </w:rPr>
      </w:pPr>
      <w:r w:rsidRPr="00F9522B">
        <w:rPr>
          <w:rFonts w:eastAsiaTheme="minorEastAsia"/>
          <w:snapToGrid w:val="0"/>
          <w:kern w:val="0"/>
          <w:sz w:val="24"/>
        </w:rPr>
        <w:t xml:space="preserve">     C</w:t>
      </w:r>
      <w:r w:rsidRPr="00F9522B">
        <w:rPr>
          <w:rFonts w:eastAsiaTheme="minorEastAsia"/>
          <w:snapToGrid w:val="0"/>
          <w:kern w:val="0"/>
          <w:sz w:val="24"/>
          <w:vertAlign w:val="subscript"/>
        </w:rPr>
        <w:t>si</w:t>
      </w:r>
      <w:r w:rsidRPr="00F9522B">
        <w:rPr>
          <w:rFonts w:eastAsiaTheme="minorEastAsia"/>
          <w:snapToGrid w:val="0"/>
          <w:kern w:val="0"/>
          <w:sz w:val="24"/>
        </w:rPr>
        <w:t>—</w:t>
      </w:r>
      <w:r w:rsidRPr="00F9522B">
        <w:rPr>
          <w:rFonts w:eastAsiaTheme="minorEastAsia"/>
          <w:snapToGrid w:val="0"/>
          <w:kern w:val="0"/>
          <w:sz w:val="24"/>
        </w:rPr>
        <w:t>第</w:t>
      </w:r>
      <w:r w:rsidRPr="00F9522B">
        <w:rPr>
          <w:rFonts w:eastAsiaTheme="minorEastAsia"/>
          <w:snapToGrid w:val="0"/>
          <w:kern w:val="0"/>
          <w:sz w:val="24"/>
        </w:rPr>
        <w:t>i</w:t>
      </w:r>
      <w:r w:rsidRPr="00F9522B">
        <w:rPr>
          <w:rFonts w:eastAsiaTheme="minorEastAsia"/>
          <w:snapToGrid w:val="0"/>
          <w:kern w:val="0"/>
          <w:sz w:val="24"/>
        </w:rPr>
        <w:t>个水质因子的标准质量浓度值，</w:t>
      </w:r>
      <w:r w:rsidRPr="00F9522B">
        <w:rPr>
          <w:rFonts w:eastAsiaTheme="minorEastAsia"/>
          <w:snapToGrid w:val="0"/>
          <w:kern w:val="0"/>
          <w:sz w:val="24"/>
        </w:rPr>
        <w:t>mg/L</w:t>
      </w:r>
      <w:r w:rsidRPr="00F9522B">
        <w:rPr>
          <w:rFonts w:eastAsiaTheme="minorEastAsia"/>
          <w:snapToGrid w:val="0"/>
          <w:kern w:val="0"/>
          <w:sz w:val="24"/>
        </w:rPr>
        <w:t>。</w:t>
      </w:r>
    </w:p>
    <w:p w:rsidR="002A5A5E" w:rsidRPr="00F9522B" w:rsidRDefault="002A5A5E">
      <w:pPr>
        <w:autoSpaceDE w:val="0"/>
        <w:autoSpaceDN w:val="0"/>
        <w:spacing w:line="360" w:lineRule="auto"/>
        <w:jc w:val="center"/>
        <w:rPr>
          <w:rFonts w:eastAsiaTheme="minorEastAsia"/>
          <w:sz w:val="24"/>
          <w:lang w:val="zh-CN"/>
        </w:rPr>
      </w:pPr>
      <w:r w:rsidRPr="00F9522B">
        <w:rPr>
          <w:rFonts w:eastAsiaTheme="minorEastAsia"/>
          <w:position w:val="-28"/>
          <w:sz w:val="24"/>
        </w:rPr>
        <w:object w:dxaOrig="1579"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36.85pt" o:ole="">
            <v:imagedata r:id="rId65" o:title=""/>
          </v:shape>
          <o:OLEObject Type="Embed" ProgID="Equation.DSMT4" ShapeID="_x0000_i1025" DrawAspect="Content" ObjectID="_1844521188" r:id="rId66"/>
        </w:object>
      </w:r>
      <w:r w:rsidR="00611CBA" w:rsidRPr="00F9522B">
        <w:rPr>
          <w:rFonts w:eastAsiaTheme="minorEastAsia"/>
          <w:sz w:val="24"/>
          <w:lang w:val="zh-CN"/>
        </w:rPr>
        <w:t xml:space="preserve">          pH≤7.0</w:t>
      </w:r>
      <w:r w:rsidR="00611CBA" w:rsidRPr="00F9522B">
        <w:rPr>
          <w:rFonts w:eastAsiaTheme="minorEastAsia"/>
          <w:sz w:val="24"/>
          <w:lang w:val="zh-CN"/>
        </w:rPr>
        <w:t>时</w:t>
      </w:r>
    </w:p>
    <w:p w:rsidR="002A5A5E" w:rsidRPr="00F9522B" w:rsidRDefault="002A5A5E">
      <w:pPr>
        <w:autoSpaceDE w:val="0"/>
        <w:autoSpaceDN w:val="0"/>
        <w:spacing w:line="360" w:lineRule="auto"/>
        <w:jc w:val="center"/>
        <w:rPr>
          <w:rFonts w:eastAsiaTheme="minorEastAsia"/>
          <w:sz w:val="24"/>
          <w:lang w:val="zh-CN"/>
        </w:rPr>
      </w:pPr>
      <w:r w:rsidRPr="00F9522B">
        <w:rPr>
          <w:rFonts w:eastAsiaTheme="minorEastAsia"/>
          <w:position w:val="-28"/>
          <w:sz w:val="24"/>
        </w:rPr>
        <w:object w:dxaOrig="1579" w:dyaOrig="660">
          <v:shape id="_x0000_i1026" type="#_x0000_t75" style="width:1in;height:36.85pt" o:ole="">
            <v:imagedata r:id="rId67" o:title=""/>
          </v:shape>
          <o:OLEObject Type="Embed" ProgID="Equation.DSMT4" ShapeID="_x0000_i1026" DrawAspect="Content" ObjectID="_1844521189" r:id="rId68"/>
        </w:object>
      </w:r>
      <w:r w:rsidR="00611CBA" w:rsidRPr="00F9522B">
        <w:rPr>
          <w:rFonts w:eastAsiaTheme="minorEastAsia"/>
          <w:sz w:val="24"/>
          <w:lang w:val="zh-CN"/>
        </w:rPr>
        <w:t xml:space="preserve">          pH</w:t>
      </w:r>
      <w:r w:rsidR="00611CBA" w:rsidRPr="00F9522B">
        <w:rPr>
          <w:rFonts w:eastAsiaTheme="minorEastAsia"/>
          <w:sz w:val="24"/>
          <w:lang w:val="zh-CN"/>
        </w:rPr>
        <w:t>＞</w:t>
      </w:r>
      <w:r w:rsidR="00611CBA" w:rsidRPr="00F9522B">
        <w:rPr>
          <w:rFonts w:eastAsiaTheme="minorEastAsia"/>
          <w:sz w:val="24"/>
          <w:lang w:val="zh-CN"/>
        </w:rPr>
        <w:t>7.0</w:t>
      </w:r>
      <w:r w:rsidR="00611CBA" w:rsidRPr="00F9522B">
        <w:rPr>
          <w:rFonts w:eastAsiaTheme="minorEastAsia"/>
          <w:sz w:val="24"/>
          <w:lang w:val="zh-CN"/>
        </w:rPr>
        <w:t>时</w:t>
      </w:r>
    </w:p>
    <w:p w:rsidR="002A5A5E" w:rsidRPr="00F9522B" w:rsidRDefault="00611CBA">
      <w:pPr>
        <w:autoSpaceDE w:val="0"/>
        <w:autoSpaceDN w:val="0"/>
        <w:spacing w:line="360" w:lineRule="auto"/>
        <w:rPr>
          <w:rFonts w:eastAsiaTheme="minorEastAsia"/>
          <w:sz w:val="24"/>
          <w:lang w:val="zh-CN"/>
        </w:rPr>
      </w:pPr>
      <w:r w:rsidRPr="00F9522B">
        <w:rPr>
          <w:rFonts w:eastAsiaTheme="minorEastAsia"/>
          <w:sz w:val="24"/>
          <w:lang w:val="zh-CN"/>
        </w:rPr>
        <w:t>式中：</w:t>
      </w:r>
      <w:r w:rsidRPr="00F9522B">
        <w:rPr>
          <w:rFonts w:eastAsiaTheme="minorEastAsia"/>
          <w:sz w:val="24"/>
          <w:lang w:val="zh-CN"/>
        </w:rPr>
        <w:t>P</w:t>
      </w:r>
      <w:r w:rsidRPr="00F9522B">
        <w:rPr>
          <w:rFonts w:eastAsiaTheme="minorEastAsia"/>
          <w:sz w:val="24"/>
          <w:vertAlign w:val="subscript"/>
          <w:lang w:val="zh-CN"/>
        </w:rPr>
        <w:t>pH</w:t>
      </w:r>
      <w:r w:rsidRPr="00F9522B">
        <w:rPr>
          <w:rFonts w:eastAsiaTheme="minorEastAsia"/>
          <w:sz w:val="24"/>
          <w:lang w:val="zh-CN"/>
        </w:rPr>
        <w:t>——pH</w:t>
      </w:r>
      <w:r w:rsidRPr="00F9522B">
        <w:rPr>
          <w:rFonts w:eastAsiaTheme="minorEastAsia"/>
          <w:sz w:val="24"/>
          <w:lang w:val="zh-CN"/>
        </w:rPr>
        <w:t>的标准指数，量纲为一；</w:t>
      </w:r>
    </w:p>
    <w:p w:rsidR="002A5A5E" w:rsidRPr="00F9522B" w:rsidRDefault="00611CBA">
      <w:pPr>
        <w:autoSpaceDE w:val="0"/>
        <w:autoSpaceDN w:val="0"/>
        <w:spacing w:line="360" w:lineRule="auto"/>
        <w:rPr>
          <w:rFonts w:eastAsiaTheme="minorEastAsia"/>
          <w:sz w:val="24"/>
          <w:lang w:val="zh-CN"/>
        </w:rPr>
      </w:pPr>
      <w:r w:rsidRPr="00F9522B">
        <w:rPr>
          <w:rFonts w:eastAsiaTheme="minorEastAsia"/>
          <w:sz w:val="24"/>
          <w:lang w:val="zh-CN"/>
        </w:rPr>
        <w:t xml:space="preserve">      pH——pH</w:t>
      </w:r>
      <w:r w:rsidRPr="00F9522B">
        <w:rPr>
          <w:rFonts w:eastAsiaTheme="minorEastAsia"/>
          <w:sz w:val="24"/>
          <w:lang w:val="zh-CN"/>
        </w:rPr>
        <w:t>监测值；</w:t>
      </w:r>
    </w:p>
    <w:p w:rsidR="002A5A5E" w:rsidRPr="00F9522B" w:rsidRDefault="00611CBA">
      <w:pPr>
        <w:autoSpaceDE w:val="0"/>
        <w:autoSpaceDN w:val="0"/>
        <w:spacing w:line="360" w:lineRule="auto"/>
        <w:rPr>
          <w:rFonts w:eastAsiaTheme="minorEastAsia"/>
          <w:sz w:val="24"/>
          <w:lang w:val="zh-CN"/>
        </w:rPr>
      </w:pPr>
      <w:r w:rsidRPr="00F9522B">
        <w:rPr>
          <w:rFonts w:eastAsiaTheme="minorEastAsia"/>
          <w:sz w:val="24"/>
          <w:lang w:val="zh-CN"/>
        </w:rPr>
        <w:t xml:space="preserve">      pH</w:t>
      </w:r>
      <w:r w:rsidRPr="00F9522B">
        <w:rPr>
          <w:rFonts w:eastAsiaTheme="minorEastAsia"/>
          <w:sz w:val="24"/>
          <w:vertAlign w:val="subscript"/>
          <w:lang w:val="zh-CN"/>
        </w:rPr>
        <w:t>su</w:t>
      </w:r>
      <w:r w:rsidRPr="00F9522B">
        <w:rPr>
          <w:rFonts w:eastAsiaTheme="minorEastAsia"/>
          <w:sz w:val="24"/>
          <w:lang w:val="zh-CN"/>
        </w:rPr>
        <w:t>——</w:t>
      </w:r>
      <w:r w:rsidRPr="00F9522B">
        <w:rPr>
          <w:rFonts w:eastAsiaTheme="minorEastAsia"/>
          <w:sz w:val="24"/>
          <w:lang w:val="zh-CN"/>
        </w:rPr>
        <w:t>标准中</w:t>
      </w:r>
      <w:r w:rsidRPr="00F9522B">
        <w:rPr>
          <w:rFonts w:eastAsiaTheme="minorEastAsia"/>
          <w:sz w:val="24"/>
          <w:lang w:val="zh-CN"/>
        </w:rPr>
        <w:t>pH</w:t>
      </w:r>
      <w:r w:rsidRPr="00F9522B">
        <w:rPr>
          <w:rFonts w:eastAsiaTheme="minorEastAsia"/>
          <w:sz w:val="24"/>
          <w:lang w:val="zh-CN"/>
        </w:rPr>
        <w:t>的上限值；</w:t>
      </w:r>
    </w:p>
    <w:p w:rsidR="002A5A5E" w:rsidRPr="00F9522B" w:rsidRDefault="00611CBA">
      <w:pPr>
        <w:autoSpaceDE w:val="0"/>
        <w:autoSpaceDN w:val="0"/>
        <w:spacing w:line="360" w:lineRule="auto"/>
        <w:rPr>
          <w:rFonts w:eastAsiaTheme="minorEastAsia"/>
          <w:sz w:val="24"/>
          <w:lang w:val="zh-CN"/>
        </w:rPr>
      </w:pPr>
      <w:r w:rsidRPr="00F9522B">
        <w:rPr>
          <w:rFonts w:eastAsiaTheme="minorEastAsia"/>
          <w:sz w:val="24"/>
          <w:lang w:val="zh-CN"/>
        </w:rPr>
        <w:t xml:space="preserve">      pH</w:t>
      </w:r>
      <w:r w:rsidRPr="00F9522B">
        <w:rPr>
          <w:rFonts w:eastAsiaTheme="minorEastAsia"/>
          <w:sz w:val="24"/>
          <w:vertAlign w:val="subscript"/>
          <w:lang w:val="zh-CN"/>
        </w:rPr>
        <w:t>sd</w:t>
      </w:r>
      <w:r w:rsidRPr="00F9522B">
        <w:rPr>
          <w:rFonts w:eastAsiaTheme="minorEastAsia"/>
          <w:sz w:val="24"/>
          <w:lang w:val="zh-CN"/>
        </w:rPr>
        <w:t>——</w:t>
      </w:r>
      <w:r w:rsidRPr="00F9522B">
        <w:rPr>
          <w:rFonts w:eastAsiaTheme="minorEastAsia"/>
          <w:sz w:val="24"/>
          <w:lang w:val="zh-CN"/>
        </w:rPr>
        <w:t>标准中</w:t>
      </w:r>
      <w:r w:rsidRPr="00F9522B">
        <w:rPr>
          <w:rFonts w:eastAsiaTheme="minorEastAsia"/>
          <w:sz w:val="24"/>
          <w:lang w:val="zh-CN"/>
        </w:rPr>
        <w:t>pH</w:t>
      </w:r>
      <w:r w:rsidRPr="00F9522B">
        <w:rPr>
          <w:rFonts w:eastAsiaTheme="minorEastAsia"/>
          <w:sz w:val="24"/>
          <w:lang w:val="zh-CN"/>
        </w:rPr>
        <w:t>的下限值。</w:t>
      </w:r>
    </w:p>
    <w:p w:rsidR="002A5A5E" w:rsidRPr="00F9522B" w:rsidRDefault="00611CBA">
      <w:pPr>
        <w:autoSpaceDE w:val="0"/>
        <w:autoSpaceDN w:val="0"/>
        <w:spacing w:line="360" w:lineRule="auto"/>
        <w:ind w:firstLine="480"/>
        <w:rPr>
          <w:rFonts w:eastAsiaTheme="minorEastAsia"/>
          <w:sz w:val="24"/>
          <w:lang w:val="zh-CN"/>
        </w:rPr>
      </w:pPr>
      <w:r w:rsidRPr="00F9522B">
        <w:rPr>
          <w:rFonts w:eastAsiaTheme="minorEastAsia"/>
          <w:sz w:val="24"/>
          <w:lang w:val="zh-CN"/>
        </w:rPr>
        <w:t>当标准指数＞</w:t>
      </w:r>
      <w:r w:rsidRPr="00F9522B">
        <w:rPr>
          <w:rFonts w:eastAsiaTheme="minorEastAsia"/>
          <w:sz w:val="24"/>
          <w:lang w:val="zh-CN"/>
        </w:rPr>
        <w:t>1</w:t>
      </w:r>
      <w:r w:rsidRPr="00F9522B">
        <w:rPr>
          <w:rFonts w:eastAsiaTheme="minorEastAsia"/>
          <w:sz w:val="24"/>
          <w:lang w:val="zh-CN"/>
        </w:rPr>
        <w:t>时，表示该水质参数所表征的污染物已满足不了标准要求，水体已受到污染；反之，则满足标准要求。</w:t>
      </w:r>
    </w:p>
    <w:p w:rsidR="002A5A5E" w:rsidRPr="00F9522B" w:rsidRDefault="00611CBA">
      <w:pPr>
        <w:contextualSpacing/>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 xml:space="preserve">4-2-12 </w:t>
      </w:r>
      <w:r w:rsidRPr="00F9522B">
        <w:rPr>
          <w:rFonts w:eastAsiaTheme="minorEastAsia"/>
          <w:b/>
          <w:kern w:val="0"/>
          <w:szCs w:val="21"/>
        </w:rPr>
        <w:t>地下水水质现状评价因子统计结果</w:t>
      </w:r>
    </w:p>
    <w:tbl>
      <w:tblPr>
        <w:tblW w:w="8809" w:type="dxa"/>
        <w:jc w:val="center"/>
        <w:tblBorders>
          <w:top w:val="single" w:sz="12" w:space="0" w:color="auto"/>
          <w:bottom w:val="single" w:sz="12" w:space="0" w:color="auto"/>
          <w:insideH w:val="single" w:sz="4" w:space="0" w:color="auto"/>
          <w:insideV w:val="single" w:sz="4" w:space="0" w:color="auto"/>
        </w:tblBorders>
        <w:tblLook w:val="04A0"/>
      </w:tblPr>
      <w:tblGrid>
        <w:gridCol w:w="1710"/>
        <w:gridCol w:w="1289"/>
        <w:gridCol w:w="1173"/>
        <w:gridCol w:w="1081"/>
        <w:gridCol w:w="1121"/>
        <w:gridCol w:w="1028"/>
        <w:gridCol w:w="1399"/>
        <w:gridCol w:w="8"/>
      </w:tblGrid>
      <w:tr w:rsidR="002A5A5E" w:rsidRPr="00F9522B">
        <w:trPr>
          <w:gridAfter w:val="1"/>
          <w:wAfter w:w="8" w:type="dxa"/>
          <w:trHeight w:val="57"/>
          <w:jc w:val="center"/>
        </w:trPr>
        <w:tc>
          <w:tcPr>
            <w:tcW w:w="1710" w:type="dxa"/>
            <w:vAlign w:val="center"/>
          </w:tcPr>
          <w:p w:rsidR="002A5A5E" w:rsidRPr="00F9522B" w:rsidRDefault="00611CBA" w:rsidP="00431EAD">
            <w:pPr>
              <w:jc w:val="center"/>
              <w:rPr>
                <w:rFonts w:eastAsiaTheme="minorEastAsia"/>
                <w:b/>
                <w:szCs w:val="21"/>
              </w:rPr>
            </w:pPr>
            <w:r w:rsidRPr="00F9522B">
              <w:rPr>
                <w:rFonts w:eastAsiaTheme="minorEastAsia"/>
                <w:b/>
                <w:szCs w:val="21"/>
              </w:rPr>
              <w:t>检测项目</w:t>
            </w:r>
          </w:p>
        </w:tc>
        <w:tc>
          <w:tcPr>
            <w:tcW w:w="1289" w:type="dxa"/>
            <w:vAlign w:val="center"/>
          </w:tcPr>
          <w:p w:rsidR="002A5A5E" w:rsidRPr="00F9522B" w:rsidRDefault="00611CBA" w:rsidP="00431EAD">
            <w:pPr>
              <w:jc w:val="center"/>
              <w:rPr>
                <w:rFonts w:eastAsiaTheme="minorEastAsia"/>
                <w:b/>
                <w:szCs w:val="21"/>
              </w:rPr>
            </w:pPr>
            <w:r w:rsidRPr="00F9522B">
              <w:rPr>
                <w:rFonts w:eastAsiaTheme="minorEastAsia"/>
                <w:b/>
                <w:szCs w:val="21"/>
              </w:rPr>
              <w:t>最大值</w:t>
            </w:r>
          </w:p>
        </w:tc>
        <w:tc>
          <w:tcPr>
            <w:tcW w:w="1173" w:type="dxa"/>
            <w:vAlign w:val="center"/>
          </w:tcPr>
          <w:p w:rsidR="002A5A5E" w:rsidRPr="00F9522B" w:rsidRDefault="00611CBA" w:rsidP="00431EAD">
            <w:pPr>
              <w:jc w:val="center"/>
              <w:rPr>
                <w:rFonts w:eastAsiaTheme="minorEastAsia"/>
                <w:b/>
                <w:szCs w:val="21"/>
              </w:rPr>
            </w:pPr>
            <w:r w:rsidRPr="00F9522B">
              <w:rPr>
                <w:rFonts w:eastAsiaTheme="minorEastAsia"/>
                <w:b/>
                <w:szCs w:val="21"/>
              </w:rPr>
              <w:t>最小值</w:t>
            </w:r>
          </w:p>
        </w:tc>
        <w:tc>
          <w:tcPr>
            <w:tcW w:w="1081" w:type="dxa"/>
            <w:vAlign w:val="center"/>
          </w:tcPr>
          <w:p w:rsidR="002A5A5E" w:rsidRPr="00F9522B" w:rsidRDefault="00611CBA" w:rsidP="00431EAD">
            <w:pPr>
              <w:jc w:val="center"/>
              <w:rPr>
                <w:rFonts w:eastAsiaTheme="minorEastAsia"/>
                <w:b/>
                <w:szCs w:val="21"/>
              </w:rPr>
            </w:pPr>
            <w:r w:rsidRPr="00F9522B">
              <w:rPr>
                <w:rFonts w:eastAsiaTheme="minorEastAsia"/>
                <w:b/>
                <w:szCs w:val="21"/>
              </w:rPr>
              <w:t>均值</w:t>
            </w:r>
          </w:p>
        </w:tc>
        <w:tc>
          <w:tcPr>
            <w:tcW w:w="1121" w:type="dxa"/>
            <w:vAlign w:val="center"/>
          </w:tcPr>
          <w:p w:rsidR="002A5A5E" w:rsidRPr="00F9522B" w:rsidRDefault="00611CBA" w:rsidP="00431EAD">
            <w:pPr>
              <w:jc w:val="center"/>
              <w:rPr>
                <w:rFonts w:eastAsiaTheme="minorEastAsia"/>
                <w:b/>
                <w:szCs w:val="21"/>
              </w:rPr>
            </w:pPr>
            <w:r w:rsidRPr="00F9522B">
              <w:rPr>
                <w:rFonts w:eastAsiaTheme="minorEastAsia"/>
                <w:b/>
                <w:szCs w:val="21"/>
              </w:rPr>
              <w:t>标准差</w:t>
            </w:r>
          </w:p>
        </w:tc>
        <w:tc>
          <w:tcPr>
            <w:tcW w:w="1028" w:type="dxa"/>
            <w:vAlign w:val="center"/>
          </w:tcPr>
          <w:p w:rsidR="002A5A5E" w:rsidRPr="00F9522B" w:rsidRDefault="00611CBA" w:rsidP="00431EAD">
            <w:pPr>
              <w:jc w:val="center"/>
              <w:rPr>
                <w:rFonts w:eastAsiaTheme="minorEastAsia"/>
                <w:b/>
                <w:szCs w:val="21"/>
              </w:rPr>
            </w:pPr>
            <w:r w:rsidRPr="00F9522B">
              <w:rPr>
                <w:rFonts w:eastAsiaTheme="minorEastAsia"/>
                <w:b/>
                <w:szCs w:val="21"/>
              </w:rPr>
              <w:t>检出率</w:t>
            </w:r>
          </w:p>
        </w:tc>
        <w:tc>
          <w:tcPr>
            <w:tcW w:w="1399" w:type="dxa"/>
            <w:vAlign w:val="center"/>
          </w:tcPr>
          <w:p w:rsidR="002A5A5E" w:rsidRPr="00F9522B" w:rsidRDefault="00611CBA" w:rsidP="00431EAD">
            <w:pPr>
              <w:jc w:val="center"/>
              <w:rPr>
                <w:rFonts w:eastAsiaTheme="minorEastAsia"/>
                <w:b/>
                <w:szCs w:val="21"/>
              </w:rPr>
            </w:pPr>
            <w:r w:rsidRPr="00F9522B">
              <w:rPr>
                <w:rFonts w:eastAsiaTheme="minorEastAsia"/>
                <w:b/>
                <w:szCs w:val="21"/>
              </w:rPr>
              <w:t>超标率</w:t>
            </w:r>
          </w:p>
        </w:tc>
      </w:tr>
      <w:tr w:rsidR="00431EAD" w:rsidRPr="00F9522B" w:rsidTr="004E26F5">
        <w:trPr>
          <w:gridAfter w:val="1"/>
          <w:wAfter w:w="8" w:type="dxa"/>
          <w:trHeight w:val="229"/>
          <w:jc w:val="center"/>
        </w:trPr>
        <w:tc>
          <w:tcPr>
            <w:tcW w:w="1710" w:type="dxa"/>
            <w:vAlign w:val="center"/>
          </w:tcPr>
          <w:p w:rsidR="00431EAD" w:rsidRPr="00F9522B" w:rsidRDefault="00431EAD" w:rsidP="00431EAD">
            <w:pPr>
              <w:jc w:val="center"/>
              <w:rPr>
                <w:rFonts w:eastAsiaTheme="minorEastAsia"/>
                <w:szCs w:val="21"/>
              </w:rPr>
            </w:pPr>
            <w:r w:rsidRPr="00F9522B">
              <w:rPr>
                <w:rFonts w:eastAsiaTheme="minorEastAsia"/>
                <w:szCs w:val="21"/>
              </w:rPr>
              <w:t>K</w:t>
            </w:r>
            <w:r w:rsidRPr="00F9522B">
              <w:rPr>
                <w:rFonts w:eastAsiaTheme="minorEastAsia"/>
                <w:szCs w:val="21"/>
                <w:vertAlign w:val="superscript"/>
              </w:rPr>
              <w:t>+</w:t>
            </w:r>
          </w:p>
        </w:tc>
        <w:tc>
          <w:tcPr>
            <w:tcW w:w="1289"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1.66</w:t>
            </w:r>
          </w:p>
        </w:tc>
        <w:tc>
          <w:tcPr>
            <w:tcW w:w="1173"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0.98</w:t>
            </w:r>
          </w:p>
        </w:tc>
        <w:tc>
          <w:tcPr>
            <w:tcW w:w="1081"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 xml:space="preserve">1.18 </w:t>
            </w:r>
          </w:p>
        </w:tc>
        <w:tc>
          <w:tcPr>
            <w:tcW w:w="1121"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 xml:space="preserve">0.28 </w:t>
            </w:r>
          </w:p>
        </w:tc>
        <w:tc>
          <w:tcPr>
            <w:tcW w:w="1028" w:type="dxa"/>
            <w:vAlign w:val="center"/>
          </w:tcPr>
          <w:p w:rsidR="00431EAD" w:rsidRPr="00F9522B" w:rsidRDefault="00431EAD" w:rsidP="00431EAD">
            <w:pPr>
              <w:contextualSpacing/>
              <w:jc w:val="center"/>
              <w:rPr>
                <w:rFonts w:eastAsiaTheme="minorEastAsia"/>
                <w:bCs/>
                <w:szCs w:val="21"/>
              </w:rPr>
            </w:pPr>
            <w:r w:rsidRPr="00F9522B">
              <w:rPr>
                <w:rFonts w:eastAsiaTheme="minorEastAsia"/>
                <w:bCs/>
                <w:szCs w:val="21"/>
              </w:rPr>
              <w:t>100%</w:t>
            </w:r>
          </w:p>
        </w:tc>
        <w:tc>
          <w:tcPr>
            <w:tcW w:w="1399" w:type="dxa"/>
            <w:vAlign w:val="center"/>
          </w:tcPr>
          <w:p w:rsidR="00431EAD" w:rsidRPr="00F9522B" w:rsidRDefault="00431EAD" w:rsidP="00431EAD">
            <w:pPr>
              <w:jc w:val="center"/>
              <w:rPr>
                <w:rFonts w:eastAsiaTheme="minorEastAsia"/>
                <w:szCs w:val="21"/>
              </w:rPr>
            </w:pPr>
            <w:r w:rsidRPr="00F9522B">
              <w:rPr>
                <w:rFonts w:eastAsiaTheme="minorEastAsia"/>
                <w:szCs w:val="21"/>
              </w:rPr>
              <w:t>0%</w:t>
            </w:r>
          </w:p>
        </w:tc>
      </w:tr>
      <w:tr w:rsidR="00431EAD" w:rsidRPr="00F9522B" w:rsidTr="004E26F5">
        <w:trPr>
          <w:trHeight w:val="212"/>
          <w:jc w:val="center"/>
        </w:trPr>
        <w:tc>
          <w:tcPr>
            <w:tcW w:w="1710" w:type="dxa"/>
            <w:vAlign w:val="center"/>
          </w:tcPr>
          <w:p w:rsidR="00431EAD" w:rsidRPr="00F9522B" w:rsidRDefault="00431EAD" w:rsidP="00431EAD">
            <w:pPr>
              <w:jc w:val="center"/>
              <w:rPr>
                <w:rFonts w:eastAsiaTheme="minorEastAsia"/>
                <w:szCs w:val="21"/>
              </w:rPr>
            </w:pPr>
            <w:r w:rsidRPr="00F9522B">
              <w:rPr>
                <w:rFonts w:eastAsiaTheme="minorEastAsia"/>
                <w:szCs w:val="21"/>
              </w:rPr>
              <w:t>Na</w:t>
            </w:r>
            <w:r w:rsidRPr="00F9522B">
              <w:rPr>
                <w:rFonts w:eastAsiaTheme="minorEastAsia"/>
                <w:szCs w:val="21"/>
                <w:vertAlign w:val="superscript"/>
              </w:rPr>
              <w:t>+</w:t>
            </w:r>
          </w:p>
        </w:tc>
        <w:tc>
          <w:tcPr>
            <w:tcW w:w="1289"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17.6</w:t>
            </w:r>
          </w:p>
        </w:tc>
        <w:tc>
          <w:tcPr>
            <w:tcW w:w="1173"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9.87</w:t>
            </w:r>
          </w:p>
        </w:tc>
        <w:tc>
          <w:tcPr>
            <w:tcW w:w="1081"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 xml:space="preserve">13.12 </w:t>
            </w:r>
          </w:p>
        </w:tc>
        <w:tc>
          <w:tcPr>
            <w:tcW w:w="1121"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 xml:space="preserve">3.05 </w:t>
            </w:r>
          </w:p>
        </w:tc>
        <w:tc>
          <w:tcPr>
            <w:tcW w:w="1028" w:type="dxa"/>
            <w:vAlign w:val="center"/>
          </w:tcPr>
          <w:p w:rsidR="00431EAD" w:rsidRPr="00F9522B" w:rsidRDefault="00431EAD" w:rsidP="00431EAD">
            <w:pPr>
              <w:contextualSpacing/>
              <w:jc w:val="center"/>
              <w:rPr>
                <w:rFonts w:eastAsiaTheme="minorEastAsia"/>
                <w:bCs/>
                <w:szCs w:val="21"/>
              </w:rPr>
            </w:pPr>
            <w:r w:rsidRPr="00F9522B">
              <w:rPr>
                <w:rFonts w:eastAsiaTheme="minorEastAsia"/>
                <w:bCs/>
                <w:szCs w:val="21"/>
              </w:rPr>
              <w:t>100%</w:t>
            </w:r>
          </w:p>
        </w:tc>
        <w:tc>
          <w:tcPr>
            <w:tcW w:w="1407" w:type="dxa"/>
            <w:gridSpan w:val="2"/>
            <w:vAlign w:val="center"/>
          </w:tcPr>
          <w:p w:rsidR="00431EAD" w:rsidRPr="00F9522B" w:rsidRDefault="00431EAD" w:rsidP="00431EAD">
            <w:pPr>
              <w:jc w:val="center"/>
              <w:rPr>
                <w:rFonts w:eastAsiaTheme="minorEastAsia"/>
                <w:szCs w:val="21"/>
              </w:rPr>
            </w:pPr>
            <w:r w:rsidRPr="00F9522B">
              <w:rPr>
                <w:rFonts w:eastAsiaTheme="minorEastAsia"/>
                <w:szCs w:val="21"/>
              </w:rPr>
              <w:t>0%</w:t>
            </w:r>
          </w:p>
        </w:tc>
      </w:tr>
      <w:tr w:rsidR="00431EAD" w:rsidRPr="00F9522B" w:rsidTr="004E26F5">
        <w:trPr>
          <w:trHeight w:val="267"/>
          <w:jc w:val="center"/>
        </w:trPr>
        <w:tc>
          <w:tcPr>
            <w:tcW w:w="1710" w:type="dxa"/>
            <w:vAlign w:val="center"/>
          </w:tcPr>
          <w:p w:rsidR="00431EAD" w:rsidRPr="00F9522B" w:rsidRDefault="00431EAD" w:rsidP="00431EAD">
            <w:pPr>
              <w:jc w:val="center"/>
              <w:rPr>
                <w:rFonts w:eastAsiaTheme="minorEastAsia"/>
                <w:szCs w:val="21"/>
              </w:rPr>
            </w:pPr>
            <w:r w:rsidRPr="00F9522B">
              <w:rPr>
                <w:rFonts w:eastAsiaTheme="minorEastAsia"/>
                <w:szCs w:val="21"/>
              </w:rPr>
              <w:t>Ca</w:t>
            </w:r>
            <w:r w:rsidRPr="00F9522B">
              <w:rPr>
                <w:rFonts w:eastAsiaTheme="minorEastAsia"/>
                <w:szCs w:val="21"/>
                <w:vertAlign w:val="superscript"/>
              </w:rPr>
              <w:t>2+</w:t>
            </w:r>
          </w:p>
        </w:tc>
        <w:tc>
          <w:tcPr>
            <w:tcW w:w="1289"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178.4</w:t>
            </w:r>
          </w:p>
        </w:tc>
        <w:tc>
          <w:tcPr>
            <w:tcW w:w="1173"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67.3</w:t>
            </w:r>
          </w:p>
        </w:tc>
        <w:tc>
          <w:tcPr>
            <w:tcW w:w="1081"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 xml:space="preserve">120.30 </w:t>
            </w:r>
          </w:p>
        </w:tc>
        <w:tc>
          <w:tcPr>
            <w:tcW w:w="1121"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 xml:space="preserve">40.78 </w:t>
            </w:r>
          </w:p>
        </w:tc>
        <w:tc>
          <w:tcPr>
            <w:tcW w:w="1028" w:type="dxa"/>
            <w:vAlign w:val="center"/>
          </w:tcPr>
          <w:p w:rsidR="00431EAD" w:rsidRPr="00F9522B" w:rsidRDefault="00431EAD" w:rsidP="00431EAD">
            <w:pPr>
              <w:contextualSpacing/>
              <w:jc w:val="center"/>
              <w:rPr>
                <w:rFonts w:eastAsiaTheme="minorEastAsia"/>
                <w:bCs/>
                <w:szCs w:val="21"/>
              </w:rPr>
            </w:pPr>
            <w:r w:rsidRPr="00F9522B">
              <w:rPr>
                <w:rFonts w:eastAsiaTheme="minorEastAsia"/>
                <w:bCs/>
                <w:szCs w:val="21"/>
              </w:rPr>
              <w:t>100%</w:t>
            </w:r>
          </w:p>
        </w:tc>
        <w:tc>
          <w:tcPr>
            <w:tcW w:w="1407" w:type="dxa"/>
            <w:gridSpan w:val="2"/>
            <w:vAlign w:val="center"/>
          </w:tcPr>
          <w:p w:rsidR="00431EAD" w:rsidRPr="00F9522B" w:rsidRDefault="00431EAD" w:rsidP="00431EAD">
            <w:pPr>
              <w:jc w:val="center"/>
              <w:rPr>
                <w:rFonts w:eastAsiaTheme="minorEastAsia"/>
                <w:szCs w:val="21"/>
              </w:rPr>
            </w:pPr>
            <w:r w:rsidRPr="00F9522B">
              <w:rPr>
                <w:rFonts w:eastAsiaTheme="minorEastAsia"/>
                <w:szCs w:val="21"/>
              </w:rPr>
              <w:t>0%</w:t>
            </w:r>
          </w:p>
        </w:tc>
      </w:tr>
      <w:tr w:rsidR="00431EAD" w:rsidRPr="00F9522B" w:rsidTr="004E26F5">
        <w:trPr>
          <w:trHeight w:val="165"/>
          <w:jc w:val="center"/>
        </w:trPr>
        <w:tc>
          <w:tcPr>
            <w:tcW w:w="1710" w:type="dxa"/>
            <w:vAlign w:val="center"/>
          </w:tcPr>
          <w:p w:rsidR="00431EAD" w:rsidRPr="00F9522B" w:rsidRDefault="00431EAD" w:rsidP="00431EAD">
            <w:pPr>
              <w:jc w:val="center"/>
              <w:rPr>
                <w:rFonts w:eastAsiaTheme="minorEastAsia"/>
                <w:szCs w:val="21"/>
              </w:rPr>
            </w:pPr>
            <w:r w:rsidRPr="00F9522B">
              <w:rPr>
                <w:rFonts w:eastAsiaTheme="minorEastAsia"/>
                <w:szCs w:val="21"/>
              </w:rPr>
              <w:t>Mg</w:t>
            </w:r>
            <w:r w:rsidRPr="00F9522B">
              <w:rPr>
                <w:rFonts w:eastAsiaTheme="minorEastAsia"/>
                <w:szCs w:val="21"/>
                <w:vertAlign w:val="superscript"/>
              </w:rPr>
              <w:t>2+</w:t>
            </w:r>
          </w:p>
        </w:tc>
        <w:tc>
          <w:tcPr>
            <w:tcW w:w="1289"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52.7</w:t>
            </w:r>
          </w:p>
        </w:tc>
        <w:tc>
          <w:tcPr>
            <w:tcW w:w="1173"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37.6</w:t>
            </w:r>
          </w:p>
        </w:tc>
        <w:tc>
          <w:tcPr>
            <w:tcW w:w="1081"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 xml:space="preserve">46.43 </w:t>
            </w:r>
          </w:p>
        </w:tc>
        <w:tc>
          <w:tcPr>
            <w:tcW w:w="1121"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 xml:space="preserve">5.86 </w:t>
            </w:r>
          </w:p>
        </w:tc>
        <w:tc>
          <w:tcPr>
            <w:tcW w:w="1028" w:type="dxa"/>
            <w:vAlign w:val="center"/>
          </w:tcPr>
          <w:p w:rsidR="00431EAD" w:rsidRPr="00F9522B" w:rsidRDefault="00431EAD" w:rsidP="00431EAD">
            <w:pPr>
              <w:contextualSpacing/>
              <w:jc w:val="center"/>
              <w:rPr>
                <w:rFonts w:eastAsiaTheme="minorEastAsia"/>
                <w:bCs/>
                <w:szCs w:val="21"/>
              </w:rPr>
            </w:pPr>
            <w:r w:rsidRPr="00F9522B">
              <w:rPr>
                <w:rFonts w:eastAsiaTheme="minorEastAsia"/>
                <w:bCs/>
                <w:szCs w:val="21"/>
              </w:rPr>
              <w:t>100%</w:t>
            </w:r>
          </w:p>
        </w:tc>
        <w:tc>
          <w:tcPr>
            <w:tcW w:w="1407" w:type="dxa"/>
            <w:gridSpan w:val="2"/>
            <w:vAlign w:val="center"/>
          </w:tcPr>
          <w:p w:rsidR="00431EAD" w:rsidRPr="00F9522B" w:rsidRDefault="00431EAD" w:rsidP="00431EAD">
            <w:pPr>
              <w:jc w:val="center"/>
              <w:rPr>
                <w:rFonts w:eastAsiaTheme="minorEastAsia"/>
                <w:szCs w:val="21"/>
              </w:rPr>
            </w:pPr>
            <w:r w:rsidRPr="00F9522B">
              <w:rPr>
                <w:rFonts w:eastAsiaTheme="minorEastAsia"/>
                <w:szCs w:val="21"/>
              </w:rPr>
              <w:t>0%</w:t>
            </w:r>
          </w:p>
        </w:tc>
      </w:tr>
      <w:tr w:rsidR="002A5A5E" w:rsidRPr="00F9522B">
        <w:trPr>
          <w:trHeight w:val="72"/>
          <w:jc w:val="center"/>
        </w:trPr>
        <w:tc>
          <w:tcPr>
            <w:tcW w:w="1710" w:type="dxa"/>
            <w:vAlign w:val="center"/>
          </w:tcPr>
          <w:p w:rsidR="002A5A5E" w:rsidRPr="00F9522B" w:rsidRDefault="00611CBA" w:rsidP="00431EAD">
            <w:pPr>
              <w:jc w:val="center"/>
              <w:rPr>
                <w:rFonts w:eastAsiaTheme="minorEastAsia"/>
                <w:szCs w:val="21"/>
              </w:rPr>
            </w:pPr>
            <w:r w:rsidRPr="00F9522B">
              <w:rPr>
                <w:rFonts w:eastAsiaTheme="minorEastAsia"/>
                <w:szCs w:val="21"/>
              </w:rPr>
              <w:t>CO</w:t>
            </w:r>
            <w:r w:rsidRPr="00F9522B">
              <w:rPr>
                <w:rFonts w:eastAsiaTheme="minorEastAsia"/>
                <w:szCs w:val="21"/>
                <w:vertAlign w:val="subscript"/>
              </w:rPr>
              <w:t>3</w:t>
            </w:r>
            <w:r w:rsidRPr="00F9522B">
              <w:rPr>
                <w:rFonts w:eastAsiaTheme="minorEastAsia"/>
                <w:szCs w:val="21"/>
                <w:vertAlign w:val="superscript"/>
              </w:rPr>
              <w:t>2-</w:t>
            </w:r>
          </w:p>
        </w:tc>
        <w:tc>
          <w:tcPr>
            <w:tcW w:w="1289" w:type="dxa"/>
            <w:vAlign w:val="center"/>
          </w:tcPr>
          <w:p w:rsidR="002A5A5E" w:rsidRPr="00F9522B" w:rsidRDefault="00611CBA" w:rsidP="00431EAD">
            <w:pPr>
              <w:contextualSpacing/>
              <w:jc w:val="center"/>
              <w:rPr>
                <w:rFonts w:eastAsiaTheme="minorEastAsia"/>
                <w:bCs/>
                <w:szCs w:val="21"/>
              </w:rPr>
            </w:pPr>
            <w:r w:rsidRPr="00F9522B">
              <w:rPr>
                <w:rFonts w:eastAsiaTheme="minorEastAsia"/>
                <w:bCs/>
                <w:szCs w:val="21"/>
              </w:rPr>
              <w:t>2.5</w:t>
            </w:r>
          </w:p>
        </w:tc>
        <w:tc>
          <w:tcPr>
            <w:tcW w:w="1173" w:type="dxa"/>
            <w:vAlign w:val="center"/>
          </w:tcPr>
          <w:p w:rsidR="002A5A5E" w:rsidRPr="00F9522B" w:rsidRDefault="00611CBA" w:rsidP="00431EAD">
            <w:pPr>
              <w:contextualSpacing/>
              <w:jc w:val="center"/>
              <w:rPr>
                <w:rFonts w:eastAsiaTheme="minorEastAsia"/>
                <w:bCs/>
                <w:szCs w:val="21"/>
              </w:rPr>
            </w:pPr>
            <w:r w:rsidRPr="00F9522B">
              <w:rPr>
                <w:rFonts w:eastAsiaTheme="minorEastAsia"/>
                <w:bCs/>
                <w:szCs w:val="21"/>
              </w:rPr>
              <w:t>2.5</w:t>
            </w:r>
          </w:p>
        </w:tc>
        <w:tc>
          <w:tcPr>
            <w:tcW w:w="1081" w:type="dxa"/>
            <w:vAlign w:val="center"/>
          </w:tcPr>
          <w:p w:rsidR="002A5A5E" w:rsidRPr="00F9522B" w:rsidRDefault="00611CBA" w:rsidP="00431EAD">
            <w:pPr>
              <w:contextualSpacing/>
              <w:jc w:val="center"/>
              <w:rPr>
                <w:rFonts w:eastAsiaTheme="minorEastAsia"/>
                <w:bCs/>
                <w:szCs w:val="21"/>
              </w:rPr>
            </w:pPr>
            <w:r w:rsidRPr="00F9522B">
              <w:rPr>
                <w:rFonts w:eastAsiaTheme="minorEastAsia"/>
                <w:bCs/>
                <w:szCs w:val="21"/>
              </w:rPr>
              <w:t>2.5</w:t>
            </w:r>
          </w:p>
        </w:tc>
        <w:tc>
          <w:tcPr>
            <w:tcW w:w="1121" w:type="dxa"/>
            <w:vAlign w:val="center"/>
          </w:tcPr>
          <w:p w:rsidR="002A5A5E" w:rsidRPr="00F9522B" w:rsidRDefault="00611CBA" w:rsidP="00431EAD">
            <w:pPr>
              <w:contextualSpacing/>
              <w:jc w:val="center"/>
              <w:rPr>
                <w:rFonts w:eastAsiaTheme="minorEastAsia"/>
                <w:bCs/>
                <w:szCs w:val="21"/>
              </w:rPr>
            </w:pPr>
            <w:r w:rsidRPr="00F9522B">
              <w:rPr>
                <w:rFonts w:eastAsiaTheme="minorEastAsia"/>
                <w:bCs/>
                <w:szCs w:val="21"/>
              </w:rPr>
              <w:t>0</w:t>
            </w:r>
          </w:p>
        </w:tc>
        <w:tc>
          <w:tcPr>
            <w:tcW w:w="1028" w:type="dxa"/>
            <w:vAlign w:val="center"/>
          </w:tcPr>
          <w:p w:rsidR="002A5A5E" w:rsidRPr="00F9522B" w:rsidRDefault="00611CBA" w:rsidP="00431EAD">
            <w:pPr>
              <w:jc w:val="center"/>
              <w:rPr>
                <w:rFonts w:eastAsiaTheme="minorEastAsia"/>
                <w:bCs/>
                <w:szCs w:val="21"/>
              </w:rPr>
            </w:pPr>
            <w:r w:rsidRPr="00F9522B">
              <w:rPr>
                <w:rFonts w:eastAsiaTheme="minorEastAsia"/>
                <w:bCs/>
                <w:szCs w:val="21"/>
              </w:rPr>
              <w:t>0%</w:t>
            </w:r>
          </w:p>
        </w:tc>
        <w:tc>
          <w:tcPr>
            <w:tcW w:w="1407" w:type="dxa"/>
            <w:gridSpan w:val="2"/>
            <w:vAlign w:val="center"/>
          </w:tcPr>
          <w:p w:rsidR="002A5A5E" w:rsidRPr="00F9522B" w:rsidRDefault="00611CBA" w:rsidP="00431EAD">
            <w:pPr>
              <w:jc w:val="center"/>
              <w:rPr>
                <w:rFonts w:eastAsiaTheme="minorEastAsia"/>
                <w:szCs w:val="21"/>
              </w:rPr>
            </w:pPr>
            <w:r w:rsidRPr="00F9522B">
              <w:rPr>
                <w:rFonts w:eastAsiaTheme="minorEastAsia"/>
                <w:szCs w:val="21"/>
              </w:rPr>
              <w:t>0%</w:t>
            </w:r>
          </w:p>
        </w:tc>
      </w:tr>
      <w:tr w:rsidR="00431EAD" w:rsidRPr="00F9522B" w:rsidTr="004E26F5">
        <w:trPr>
          <w:trHeight w:val="72"/>
          <w:jc w:val="center"/>
        </w:trPr>
        <w:tc>
          <w:tcPr>
            <w:tcW w:w="1710" w:type="dxa"/>
            <w:vAlign w:val="center"/>
          </w:tcPr>
          <w:p w:rsidR="00431EAD" w:rsidRPr="00F9522B" w:rsidRDefault="00431EAD" w:rsidP="00431EAD">
            <w:pPr>
              <w:jc w:val="center"/>
              <w:rPr>
                <w:rFonts w:eastAsiaTheme="minorEastAsia"/>
                <w:szCs w:val="21"/>
              </w:rPr>
            </w:pPr>
            <w:r w:rsidRPr="00F9522B">
              <w:rPr>
                <w:rFonts w:eastAsiaTheme="minorEastAsia"/>
                <w:szCs w:val="21"/>
              </w:rPr>
              <w:t>HCO</w:t>
            </w:r>
            <w:r w:rsidRPr="00F9522B">
              <w:rPr>
                <w:rFonts w:eastAsiaTheme="minorEastAsia"/>
                <w:szCs w:val="21"/>
                <w:vertAlign w:val="subscript"/>
              </w:rPr>
              <w:t>3</w:t>
            </w:r>
            <w:r w:rsidRPr="00F9522B">
              <w:rPr>
                <w:rFonts w:eastAsiaTheme="minorEastAsia"/>
                <w:szCs w:val="21"/>
                <w:vertAlign w:val="superscript"/>
              </w:rPr>
              <w:t>-</w:t>
            </w:r>
          </w:p>
        </w:tc>
        <w:tc>
          <w:tcPr>
            <w:tcW w:w="1289"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493</w:t>
            </w:r>
          </w:p>
        </w:tc>
        <w:tc>
          <w:tcPr>
            <w:tcW w:w="1173"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300</w:t>
            </w:r>
          </w:p>
        </w:tc>
        <w:tc>
          <w:tcPr>
            <w:tcW w:w="1081"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 xml:space="preserve">394.50 </w:t>
            </w:r>
          </w:p>
        </w:tc>
        <w:tc>
          <w:tcPr>
            <w:tcW w:w="1121"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 xml:space="preserve">89.80 </w:t>
            </w:r>
          </w:p>
        </w:tc>
        <w:tc>
          <w:tcPr>
            <w:tcW w:w="1028" w:type="dxa"/>
            <w:vAlign w:val="center"/>
          </w:tcPr>
          <w:p w:rsidR="00431EAD" w:rsidRPr="00F9522B" w:rsidRDefault="00431EAD" w:rsidP="00431EAD">
            <w:pPr>
              <w:contextualSpacing/>
              <w:jc w:val="center"/>
              <w:rPr>
                <w:rFonts w:eastAsiaTheme="minorEastAsia"/>
                <w:bCs/>
                <w:szCs w:val="21"/>
              </w:rPr>
            </w:pPr>
            <w:r w:rsidRPr="00F9522B">
              <w:rPr>
                <w:rFonts w:eastAsiaTheme="minorEastAsia"/>
                <w:bCs/>
                <w:szCs w:val="21"/>
              </w:rPr>
              <w:t>100%</w:t>
            </w:r>
          </w:p>
        </w:tc>
        <w:tc>
          <w:tcPr>
            <w:tcW w:w="1407" w:type="dxa"/>
            <w:gridSpan w:val="2"/>
            <w:vAlign w:val="center"/>
          </w:tcPr>
          <w:p w:rsidR="00431EAD" w:rsidRPr="00F9522B" w:rsidRDefault="00431EAD" w:rsidP="00431EAD">
            <w:pPr>
              <w:jc w:val="center"/>
              <w:rPr>
                <w:rFonts w:eastAsiaTheme="minorEastAsia"/>
                <w:szCs w:val="21"/>
              </w:rPr>
            </w:pPr>
            <w:r w:rsidRPr="00F9522B">
              <w:rPr>
                <w:rFonts w:eastAsiaTheme="minorEastAsia"/>
                <w:szCs w:val="21"/>
              </w:rPr>
              <w:t>0%</w:t>
            </w:r>
          </w:p>
        </w:tc>
      </w:tr>
      <w:tr w:rsidR="00431EAD" w:rsidRPr="00F9522B" w:rsidTr="004E26F5">
        <w:trPr>
          <w:trHeight w:val="72"/>
          <w:jc w:val="center"/>
        </w:trPr>
        <w:tc>
          <w:tcPr>
            <w:tcW w:w="1710" w:type="dxa"/>
            <w:vAlign w:val="center"/>
          </w:tcPr>
          <w:p w:rsidR="00431EAD" w:rsidRPr="00F9522B" w:rsidRDefault="00431EAD" w:rsidP="00431EAD">
            <w:pPr>
              <w:jc w:val="center"/>
              <w:rPr>
                <w:rFonts w:eastAsiaTheme="minorEastAsia"/>
                <w:szCs w:val="21"/>
              </w:rPr>
            </w:pPr>
            <w:r w:rsidRPr="00F9522B">
              <w:rPr>
                <w:rFonts w:eastAsiaTheme="minorEastAsia"/>
                <w:szCs w:val="21"/>
              </w:rPr>
              <w:t>Cl</w:t>
            </w:r>
            <w:r w:rsidRPr="00F9522B">
              <w:rPr>
                <w:rFonts w:eastAsiaTheme="minorEastAsia"/>
                <w:szCs w:val="21"/>
                <w:vertAlign w:val="superscript"/>
              </w:rPr>
              <w:t>-</w:t>
            </w:r>
          </w:p>
        </w:tc>
        <w:tc>
          <w:tcPr>
            <w:tcW w:w="1289"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173</w:t>
            </w:r>
          </w:p>
        </w:tc>
        <w:tc>
          <w:tcPr>
            <w:tcW w:w="1173"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18.7</w:t>
            </w:r>
          </w:p>
        </w:tc>
        <w:tc>
          <w:tcPr>
            <w:tcW w:w="1081"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 xml:space="preserve">82.83 </w:t>
            </w:r>
          </w:p>
        </w:tc>
        <w:tc>
          <w:tcPr>
            <w:tcW w:w="1121"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 xml:space="preserve">56.15 </w:t>
            </w:r>
          </w:p>
        </w:tc>
        <w:tc>
          <w:tcPr>
            <w:tcW w:w="1028" w:type="dxa"/>
            <w:vAlign w:val="center"/>
          </w:tcPr>
          <w:p w:rsidR="00431EAD" w:rsidRPr="00F9522B" w:rsidRDefault="00431EAD" w:rsidP="00431EAD">
            <w:pPr>
              <w:contextualSpacing/>
              <w:jc w:val="center"/>
              <w:rPr>
                <w:rFonts w:eastAsiaTheme="minorEastAsia"/>
                <w:bCs/>
                <w:szCs w:val="21"/>
              </w:rPr>
            </w:pPr>
            <w:r w:rsidRPr="00F9522B">
              <w:rPr>
                <w:rFonts w:eastAsiaTheme="minorEastAsia"/>
                <w:bCs/>
                <w:szCs w:val="21"/>
              </w:rPr>
              <w:t>100%</w:t>
            </w:r>
          </w:p>
        </w:tc>
        <w:tc>
          <w:tcPr>
            <w:tcW w:w="1407" w:type="dxa"/>
            <w:gridSpan w:val="2"/>
            <w:vAlign w:val="center"/>
          </w:tcPr>
          <w:p w:rsidR="00431EAD" w:rsidRPr="00F9522B" w:rsidRDefault="00431EAD" w:rsidP="00431EAD">
            <w:pPr>
              <w:jc w:val="center"/>
              <w:rPr>
                <w:rFonts w:eastAsiaTheme="minorEastAsia"/>
                <w:szCs w:val="21"/>
              </w:rPr>
            </w:pPr>
            <w:r w:rsidRPr="00F9522B">
              <w:rPr>
                <w:rFonts w:eastAsiaTheme="minorEastAsia"/>
                <w:szCs w:val="21"/>
              </w:rPr>
              <w:t>0%</w:t>
            </w:r>
          </w:p>
        </w:tc>
      </w:tr>
      <w:tr w:rsidR="00431EAD" w:rsidRPr="00F9522B" w:rsidTr="004E26F5">
        <w:trPr>
          <w:trHeight w:val="72"/>
          <w:jc w:val="center"/>
        </w:trPr>
        <w:tc>
          <w:tcPr>
            <w:tcW w:w="1710" w:type="dxa"/>
            <w:vAlign w:val="center"/>
          </w:tcPr>
          <w:p w:rsidR="00431EAD" w:rsidRPr="00F9522B" w:rsidRDefault="00431EAD" w:rsidP="00431EAD">
            <w:pPr>
              <w:jc w:val="center"/>
              <w:rPr>
                <w:rFonts w:eastAsiaTheme="minorEastAsia"/>
                <w:szCs w:val="21"/>
              </w:rPr>
            </w:pPr>
            <w:r w:rsidRPr="00F9522B">
              <w:rPr>
                <w:rFonts w:eastAsiaTheme="minorEastAsia"/>
                <w:szCs w:val="21"/>
              </w:rPr>
              <w:t>SO</w:t>
            </w:r>
            <w:r w:rsidRPr="00F9522B">
              <w:rPr>
                <w:rFonts w:eastAsiaTheme="minorEastAsia"/>
                <w:szCs w:val="21"/>
                <w:vertAlign w:val="subscript"/>
              </w:rPr>
              <w:t>4</w:t>
            </w:r>
            <w:r w:rsidRPr="00F9522B">
              <w:rPr>
                <w:rFonts w:eastAsiaTheme="minorEastAsia"/>
                <w:szCs w:val="21"/>
                <w:vertAlign w:val="superscript"/>
              </w:rPr>
              <w:t>2-</w:t>
            </w:r>
          </w:p>
        </w:tc>
        <w:tc>
          <w:tcPr>
            <w:tcW w:w="1289"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192</w:t>
            </w:r>
          </w:p>
        </w:tc>
        <w:tc>
          <w:tcPr>
            <w:tcW w:w="1173"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11.5</w:t>
            </w:r>
          </w:p>
        </w:tc>
        <w:tc>
          <w:tcPr>
            <w:tcW w:w="1081"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 xml:space="preserve">80.10 </w:t>
            </w:r>
          </w:p>
        </w:tc>
        <w:tc>
          <w:tcPr>
            <w:tcW w:w="1121"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 xml:space="preserve">67.44 </w:t>
            </w:r>
          </w:p>
        </w:tc>
        <w:tc>
          <w:tcPr>
            <w:tcW w:w="1028" w:type="dxa"/>
            <w:vAlign w:val="center"/>
          </w:tcPr>
          <w:p w:rsidR="00431EAD" w:rsidRPr="00F9522B" w:rsidRDefault="00431EAD" w:rsidP="00431EAD">
            <w:pPr>
              <w:contextualSpacing/>
              <w:jc w:val="center"/>
              <w:rPr>
                <w:rFonts w:eastAsiaTheme="minorEastAsia"/>
                <w:bCs/>
                <w:szCs w:val="21"/>
              </w:rPr>
            </w:pPr>
            <w:r w:rsidRPr="00F9522B">
              <w:rPr>
                <w:rFonts w:eastAsiaTheme="minorEastAsia"/>
                <w:bCs/>
                <w:szCs w:val="21"/>
              </w:rPr>
              <w:t>100%</w:t>
            </w:r>
          </w:p>
        </w:tc>
        <w:tc>
          <w:tcPr>
            <w:tcW w:w="1407" w:type="dxa"/>
            <w:gridSpan w:val="2"/>
            <w:vAlign w:val="center"/>
          </w:tcPr>
          <w:p w:rsidR="00431EAD" w:rsidRPr="00F9522B" w:rsidRDefault="00431EAD" w:rsidP="00431EAD">
            <w:pPr>
              <w:jc w:val="center"/>
              <w:rPr>
                <w:rFonts w:eastAsiaTheme="minorEastAsia"/>
                <w:szCs w:val="21"/>
              </w:rPr>
            </w:pPr>
            <w:r w:rsidRPr="00F9522B">
              <w:rPr>
                <w:rFonts w:eastAsiaTheme="minorEastAsia"/>
                <w:szCs w:val="21"/>
              </w:rPr>
              <w:t>0%</w:t>
            </w:r>
          </w:p>
        </w:tc>
      </w:tr>
      <w:tr w:rsidR="00431EAD" w:rsidRPr="00F9522B" w:rsidTr="004E26F5">
        <w:trPr>
          <w:trHeight w:val="72"/>
          <w:jc w:val="center"/>
        </w:trPr>
        <w:tc>
          <w:tcPr>
            <w:tcW w:w="1710" w:type="dxa"/>
            <w:vAlign w:val="center"/>
          </w:tcPr>
          <w:p w:rsidR="00431EAD" w:rsidRPr="00F9522B" w:rsidRDefault="00431EAD" w:rsidP="00431EAD">
            <w:pPr>
              <w:jc w:val="center"/>
              <w:rPr>
                <w:rFonts w:eastAsiaTheme="minorEastAsia"/>
                <w:szCs w:val="21"/>
              </w:rPr>
            </w:pPr>
            <w:r w:rsidRPr="00F9522B">
              <w:rPr>
                <w:rFonts w:eastAsiaTheme="minorEastAsia"/>
                <w:szCs w:val="21"/>
              </w:rPr>
              <w:t>pH</w:t>
            </w:r>
            <w:r w:rsidRPr="00F9522B">
              <w:rPr>
                <w:rFonts w:eastAsiaTheme="minorEastAsia"/>
                <w:szCs w:val="21"/>
              </w:rPr>
              <w:t>（无量纲）</w:t>
            </w:r>
          </w:p>
        </w:tc>
        <w:tc>
          <w:tcPr>
            <w:tcW w:w="1289"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7.6</w:t>
            </w:r>
          </w:p>
        </w:tc>
        <w:tc>
          <w:tcPr>
            <w:tcW w:w="1173"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7.1</w:t>
            </w:r>
          </w:p>
        </w:tc>
        <w:tc>
          <w:tcPr>
            <w:tcW w:w="1081"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 xml:space="preserve">7.35 </w:t>
            </w:r>
          </w:p>
        </w:tc>
        <w:tc>
          <w:tcPr>
            <w:tcW w:w="1121"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 xml:space="preserve">0.21 </w:t>
            </w:r>
          </w:p>
        </w:tc>
        <w:tc>
          <w:tcPr>
            <w:tcW w:w="1028" w:type="dxa"/>
            <w:vAlign w:val="center"/>
          </w:tcPr>
          <w:p w:rsidR="00431EAD" w:rsidRPr="00F9522B" w:rsidRDefault="00431EAD" w:rsidP="00431EAD">
            <w:pPr>
              <w:contextualSpacing/>
              <w:jc w:val="center"/>
              <w:rPr>
                <w:rFonts w:eastAsiaTheme="minorEastAsia"/>
                <w:bCs/>
                <w:szCs w:val="21"/>
              </w:rPr>
            </w:pPr>
            <w:r w:rsidRPr="00F9522B">
              <w:rPr>
                <w:rFonts w:eastAsiaTheme="minorEastAsia"/>
                <w:bCs/>
                <w:szCs w:val="21"/>
              </w:rPr>
              <w:t>100%</w:t>
            </w:r>
          </w:p>
        </w:tc>
        <w:tc>
          <w:tcPr>
            <w:tcW w:w="1407" w:type="dxa"/>
            <w:gridSpan w:val="2"/>
            <w:vAlign w:val="center"/>
          </w:tcPr>
          <w:p w:rsidR="00431EAD" w:rsidRPr="00F9522B" w:rsidRDefault="00431EAD" w:rsidP="00431EAD">
            <w:pPr>
              <w:jc w:val="center"/>
              <w:rPr>
                <w:rFonts w:eastAsiaTheme="minorEastAsia"/>
                <w:szCs w:val="21"/>
              </w:rPr>
            </w:pPr>
            <w:r w:rsidRPr="00F9522B">
              <w:rPr>
                <w:rFonts w:eastAsiaTheme="minorEastAsia"/>
                <w:szCs w:val="21"/>
              </w:rPr>
              <w:t>0%</w:t>
            </w:r>
          </w:p>
        </w:tc>
      </w:tr>
      <w:tr w:rsidR="00431EAD" w:rsidRPr="00F9522B" w:rsidTr="004E26F5">
        <w:trPr>
          <w:trHeight w:val="72"/>
          <w:jc w:val="center"/>
        </w:trPr>
        <w:tc>
          <w:tcPr>
            <w:tcW w:w="1710" w:type="dxa"/>
            <w:vAlign w:val="center"/>
          </w:tcPr>
          <w:p w:rsidR="00431EAD" w:rsidRPr="00F9522B" w:rsidRDefault="00431EAD" w:rsidP="00431EAD">
            <w:pPr>
              <w:jc w:val="center"/>
              <w:rPr>
                <w:rFonts w:eastAsiaTheme="minorEastAsia"/>
                <w:szCs w:val="21"/>
              </w:rPr>
            </w:pPr>
            <w:r w:rsidRPr="00F9522B">
              <w:rPr>
                <w:rFonts w:eastAsiaTheme="minorEastAsia"/>
                <w:szCs w:val="21"/>
              </w:rPr>
              <w:t>氨氮</w:t>
            </w:r>
          </w:p>
        </w:tc>
        <w:tc>
          <w:tcPr>
            <w:tcW w:w="1289"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0.408</w:t>
            </w:r>
          </w:p>
        </w:tc>
        <w:tc>
          <w:tcPr>
            <w:tcW w:w="1173"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0.056</w:t>
            </w:r>
          </w:p>
        </w:tc>
        <w:tc>
          <w:tcPr>
            <w:tcW w:w="1081"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 xml:space="preserve">0.24 </w:t>
            </w:r>
          </w:p>
        </w:tc>
        <w:tc>
          <w:tcPr>
            <w:tcW w:w="1121"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 xml:space="preserve">0.13 </w:t>
            </w:r>
          </w:p>
        </w:tc>
        <w:tc>
          <w:tcPr>
            <w:tcW w:w="1028" w:type="dxa"/>
            <w:vAlign w:val="center"/>
          </w:tcPr>
          <w:p w:rsidR="00431EAD" w:rsidRPr="00F9522B" w:rsidRDefault="00431EAD" w:rsidP="00431EAD">
            <w:pPr>
              <w:contextualSpacing/>
              <w:jc w:val="center"/>
              <w:rPr>
                <w:rFonts w:eastAsiaTheme="minorEastAsia"/>
                <w:bCs/>
                <w:szCs w:val="21"/>
              </w:rPr>
            </w:pPr>
            <w:r w:rsidRPr="00F9522B">
              <w:rPr>
                <w:rFonts w:eastAsiaTheme="minorEastAsia"/>
                <w:bCs/>
                <w:szCs w:val="21"/>
              </w:rPr>
              <w:t>100%</w:t>
            </w:r>
          </w:p>
        </w:tc>
        <w:tc>
          <w:tcPr>
            <w:tcW w:w="1407" w:type="dxa"/>
            <w:gridSpan w:val="2"/>
            <w:vAlign w:val="center"/>
          </w:tcPr>
          <w:p w:rsidR="00431EAD" w:rsidRPr="00F9522B" w:rsidRDefault="00431EAD" w:rsidP="00431EAD">
            <w:pPr>
              <w:jc w:val="center"/>
              <w:rPr>
                <w:rFonts w:eastAsiaTheme="minorEastAsia"/>
                <w:szCs w:val="21"/>
              </w:rPr>
            </w:pPr>
            <w:r w:rsidRPr="00F9522B">
              <w:rPr>
                <w:rFonts w:eastAsiaTheme="minorEastAsia"/>
                <w:szCs w:val="21"/>
              </w:rPr>
              <w:t>0%</w:t>
            </w:r>
          </w:p>
        </w:tc>
      </w:tr>
      <w:tr w:rsidR="002A5A5E" w:rsidRPr="00F9522B">
        <w:trPr>
          <w:trHeight w:val="72"/>
          <w:jc w:val="center"/>
        </w:trPr>
        <w:tc>
          <w:tcPr>
            <w:tcW w:w="1710" w:type="dxa"/>
            <w:vAlign w:val="center"/>
          </w:tcPr>
          <w:p w:rsidR="002A5A5E" w:rsidRPr="00F9522B" w:rsidRDefault="00611CBA" w:rsidP="00431EAD">
            <w:pPr>
              <w:jc w:val="center"/>
              <w:rPr>
                <w:rFonts w:eastAsiaTheme="minorEastAsia"/>
                <w:szCs w:val="21"/>
              </w:rPr>
            </w:pPr>
            <w:r w:rsidRPr="00F9522B">
              <w:rPr>
                <w:rFonts w:eastAsiaTheme="minorEastAsia"/>
                <w:szCs w:val="21"/>
              </w:rPr>
              <w:t>挥发酚</w:t>
            </w:r>
          </w:p>
        </w:tc>
        <w:tc>
          <w:tcPr>
            <w:tcW w:w="1289" w:type="dxa"/>
            <w:vAlign w:val="center"/>
          </w:tcPr>
          <w:p w:rsidR="002A5A5E" w:rsidRPr="00F9522B" w:rsidRDefault="00611CBA" w:rsidP="00431EAD">
            <w:pPr>
              <w:contextualSpacing/>
              <w:jc w:val="center"/>
              <w:rPr>
                <w:rFonts w:eastAsiaTheme="minorEastAsia"/>
                <w:bCs/>
                <w:szCs w:val="21"/>
              </w:rPr>
            </w:pPr>
            <w:r w:rsidRPr="00F9522B">
              <w:rPr>
                <w:rFonts w:eastAsiaTheme="minorEastAsia"/>
                <w:bCs/>
                <w:szCs w:val="21"/>
              </w:rPr>
              <w:t>0.00015</w:t>
            </w:r>
          </w:p>
        </w:tc>
        <w:tc>
          <w:tcPr>
            <w:tcW w:w="1173" w:type="dxa"/>
            <w:vAlign w:val="center"/>
          </w:tcPr>
          <w:p w:rsidR="002A5A5E" w:rsidRPr="00F9522B" w:rsidRDefault="00611CBA" w:rsidP="00431EAD">
            <w:pPr>
              <w:contextualSpacing/>
              <w:jc w:val="center"/>
              <w:rPr>
                <w:rFonts w:eastAsiaTheme="minorEastAsia"/>
                <w:bCs/>
                <w:szCs w:val="21"/>
              </w:rPr>
            </w:pPr>
            <w:r w:rsidRPr="00F9522B">
              <w:rPr>
                <w:rFonts w:eastAsiaTheme="minorEastAsia"/>
                <w:bCs/>
                <w:szCs w:val="21"/>
              </w:rPr>
              <w:t>0.00015</w:t>
            </w:r>
          </w:p>
        </w:tc>
        <w:tc>
          <w:tcPr>
            <w:tcW w:w="1081" w:type="dxa"/>
            <w:vAlign w:val="center"/>
          </w:tcPr>
          <w:p w:rsidR="002A5A5E" w:rsidRPr="00F9522B" w:rsidRDefault="00611CBA" w:rsidP="00431EAD">
            <w:pPr>
              <w:contextualSpacing/>
              <w:jc w:val="center"/>
              <w:rPr>
                <w:rFonts w:eastAsiaTheme="minorEastAsia"/>
                <w:bCs/>
                <w:szCs w:val="21"/>
              </w:rPr>
            </w:pPr>
            <w:r w:rsidRPr="00F9522B">
              <w:rPr>
                <w:rFonts w:eastAsiaTheme="minorEastAsia"/>
                <w:bCs/>
                <w:szCs w:val="21"/>
              </w:rPr>
              <w:t>0.00015</w:t>
            </w:r>
          </w:p>
        </w:tc>
        <w:tc>
          <w:tcPr>
            <w:tcW w:w="1121" w:type="dxa"/>
            <w:vAlign w:val="center"/>
          </w:tcPr>
          <w:p w:rsidR="002A5A5E" w:rsidRPr="00F9522B" w:rsidRDefault="00431EAD" w:rsidP="00431EAD">
            <w:pPr>
              <w:contextualSpacing/>
              <w:jc w:val="center"/>
              <w:rPr>
                <w:rFonts w:eastAsiaTheme="minorEastAsia"/>
                <w:bCs/>
                <w:szCs w:val="21"/>
              </w:rPr>
            </w:pPr>
            <w:r w:rsidRPr="00F9522B">
              <w:rPr>
                <w:rFonts w:eastAsiaTheme="minorEastAsia"/>
                <w:bCs/>
                <w:szCs w:val="21"/>
              </w:rPr>
              <w:t>0</w:t>
            </w:r>
          </w:p>
        </w:tc>
        <w:tc>
          <w:tcPr>
            <w:tcW w:w="1028" w:type="dxa"/>
            <w:vAlign w:val="center"/>
          </w:tcPr>
          <w:p w:rsidR="002A5A5E" w:rsidRPr="00F9522B" w:rsidRDefault="00611CBA" w:rsidP="00431EAD">
            <w:pPr>
              <w:jc w:val="center"/>
              <w:rPr>
                <w:rFonts w:eastAsiaTheme="minorEastAsia"/>
                <w:bCs/>
                <w:szCs w:val="21"/>
              </w:rPr>
            </w:pPr>
            <w:r w:rsidRPr="00F9522B">
              <w:rPr>
                <w:rFonts w:eastAsiaTheme="minorEastAsia"/>
                <w:bCs/>
                <w:szCs w:val="21"/>
              </w:rPr>
              <w:t>0%</w:t>
            </w:r>
          </w:p>
        </w:tc>
        <w:tc>
          <w:tcPr>
            <w:tcW w:w="1407" w:type="dxa"/>
            <w:gridSpan w:val="2"/>
            <w:vAlign w:val="center"/>
          </w:tcPr>
          <w:p w:rsidR="002A5A5E" w:rsidRPr="00F9522B" w:rsidRDefault="00611CBA" w:rsidP="00431EAD">
            <w:pPr>
              <w:jc w:val="center"/>
              <w:rPr>
                <w:rFonts w:eastAsiaTheme="minorEastAsia"/>
                <w:szCs w:val="21"/>
              </w:rPr>
            </w:pPr>
            <w:r w:rsidRPr="00F9522B">
              <w:rPr>
                <w:rFonts w:eastAsiaTheme="minorEastAsia"/>
                <w:szCs w:val="21"/>
              </w:rPr>
              <w:t>0%</w:t>
            </w:r>
          </w:p>
        </w:tc>
      </w:tr>
      <w:tr w:rsidR="00431EAD" w:rsidRPr="00F9522B" w:rsidTr="004E26F5">
        <w:trPr>
          <w:trHeight w:val="72"/>
          <w:jc w:val="center"/>
        </w:trPr>
        <w:tc>
          <w:tcPr>
            <w:tcW w:w="1710" w:type="dxa"/>
            <w:vAlign w:val="center"/>
          </w:tcPr>
          <w:p w:rsidR="00431EAD" w:rsidRPr="00F9522B" w:rsidRDefault="00431EAD" w:rsidP="00431EAD">
            <w:pPr>
              <w:jc w:val="center"/>
              <w:rPr>
                <w:rFonts w:eastAsiaTheme="minorEastAsia"/>
                <w:szCs w:val="21"/>
              </w:rPr>
            </w:pPr>
            <w:r w:rsidRPr="00F9522B">
              <w:rPr>
                <w:rFonts w:eastAsiaTheme="minorEastAsia"/>
                <w:szCs w:val="21"/>
              </w:rPr>
              <w:t>硝酸盐</w:t>
            </w:r>
          </w:p>
        </w:tc>
        <w:tc>
          <w:tcPr>
            <w:tcW w:w="1289"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2.73</w:t>
            </w:r>
          </w:p>
        </w:tc>
        <w:tc>
          <w:tcPr>
            <w:tcW w:w="1173"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0.77</w:t>
            </w:r>
          </w:p>
        </w:tc>
        <w:tc>
          <w:tcPr>
            <w:tcW w:w="1081"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 xml:space="preserve">1.74 </w:t>
            </w:r>
          </w:p>
        </w:tc>
        <w:tc>
          <w:tcPr>
            <w:tcW w:w="1121"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 xml:space="preserve">0.70 </w:t>
            </w:r>
          </w:p>
        </w:tc>
        <w:tc>
          <w:tcPr>
            <w:tcW w:w="1028" w:type="dxa"/>
            <w:vAlign w:val="center"/>
          </w:tcPr>
          <w:p w:rsidR="00431EAD" w:rsidRPr="00F9522B" w:rsidRDefault="00431EAD" w:rsidP="00431EAD">
            <w:pPr>
              <w:contextualSpacing/>
              <w:jc w:val="center"/>
              <w:rPr>
                <w:rFonts w:eastAsiaTheme="minorEastAsia"/>
                <w:bCs/>
                <w:szCs w:val="21"/>
              </w:rPr>
            </w:pPr>
            <w:r w:rsidRPr="00F9522B">
              <w:rPr>
                <w:rFonts w:eastAsiaTheme="minorEastAsia"/>
                <w:bCs/>
                <w:szCs w:val="21"/>
              </w:rPr>
              <w:t>100%</w:t>
            </w:r>
          </w:p>
        </w:tc>
        <w:tc>
          <w:tcPr>
            <w:tcW w:w="1407" w:type="dxa"/>
            <w:gridSpan w:val="2"/>
            <w:vAlign w:val="center"/>
          </w:tcPr>
          <w:p w:rsidR="00431EAD" w:rsidRPr="00F9522B" w:rsidRDefault="00431EAD" w:rsidP="00431EAD">
            <w:pPr>
              <w:jc w:val="center"/>
              <w:rPr>
                <w:rFonts w:eastAsiaTheme="minorEastAsia"/>
                <w:szCs w:val="21"/>
              </w:rPr>
            </w:pPr>
            <w:r w:rsidRPr="00F9522B">
              <w:rPr>
                <w:rFonts w:eastAsiaTheme="minorEastAsia"/>
                <w:szCs w:val="21"/>
              </w:rPr>
              <w:t>0%</w:t>
            </w:r>
          </w:p>
        </w:tc>
      </w:tr>
      <w:tr w:rsidR="002A5A5E" w:rsidRPr="00F9522B">
        <w:trPr>
          <w:trHeight w:val="107"/>
          <w:jc w:val="center"/>
        </w:trPr>
        <w:tc>
          <w:tcPr>
            <w:tcW w:w="1710" w:type="dxa"/>
            <w:vAlign w:val="center"/>
          </w:tcPr>
          <w:p w:rsidR="002A5A5E" w:rsidRPr="00F9522B" w:rsidRDefault="00611CBA" w:rsidP="00431EAD">
            <w:pPr>
              <w:jc w:val="center"/>
              <w:rPr>
                <w:rFonts w:eastAsiaTheme="minorEastAsia"/>
                <w:szCs w:val="21"/>
              </w:rPr>
            </w:pPr>
            <w:r w:rsidRPr="00F9522B">
              <w:rPr>
                <w:rFonts w:eastAsiaTheme="minorEastAsia"/>
                <w:szCs w:val="21"/>
              </w:rPr>
              <w:t>亚硝酸盐</w:t>
            </w:r>
          </w:p>
        </w:tc>
        <w:tc>
          <w:tcPr>
            <w:tcW w:w="1289" w:type="dxa"/>
            <w:vAlign w:val="center"/>
          </w:tcPr>
          <w:p w:rsidR="002A5A5E" w:rsidRPr="00F9522B" w:rsidRDefault="00611CBA" w:rsidP="00431EAD">
            <w:pPr>
              <w:contextualSpacing/>
              <w:jc w:val="center"/>
              <w:rPr>
                <w:rFonts w:eastAsiaTheme="minorEastAsia"/>
                <w:bCs/>
                <w:szCs w:val="21"/>
              </w:rPr>
            </w:pPr>
            <w:r w:rsidRPr="00F9522B">
              <w:rPr>
                <w:rFonts w:eastAsiaTheme="minorEastAsia"/>
                <w:bCs/>
                <w:szCs w:val="21"/>
              </w:rPr>
              <w:t>0.0015</w:t>
            </w:r>
          </w:p>
        </w:tc>
        <w:tc>
          <w:tcPr>
            <w:tcW w:w="1173" w:type="dxa"/>
            <w:vAlign w:val="center"/>
          </w:tcPr>
          <w:p w:rsidR="002A5A5E" w:rsidRPr="00F9522B" w:rsidRDefault="00611CBA" w:rsidP="00431EAD">
            <w:pPr>
              <w:contextualSpacing/>
              <w:jc w:val="center"/>
              <w:rPr>
                <w:rFonts w:eastAsiaTheme="minorEastAsia"/>
                <w:bCs/>
                <w:szCs w:val="21"/>
              </w:rPr>
            </w:pPr>
            <w:r w:rsidRPr="00F9522B">
              <w:rPr>
                <w:rFonts w:eastAsiaTheme="minorEastAsia"/>
                <w:bCs/>
                <w:szCs w:val="21"/>
              </w:rPr>
              <w:t>0.0015</w:t>
            </w:r>
          </w:p>
        </w:tc>
        <w:tc>
          <w:tcPr>
            <w:tcW w:w="1081" w:type="dxa"/>
            <w:vAlign w:val="center"/>
          </w:tcPr>
          <w:p w:rsidR="002A5A5E" w:rsidRPr="00F9522B" w:rsidRDefault="00611CBA" w:rsidP="00431EAD">
            <w:pPr>
              <w:contextualSpacing/>
              <w:jc w:val="center"/>
              <w:rPr>
                <w:rFonts w:eastAsiaTheme="minorEastAsia"/>
                <w:bCs/>
                <w:szCs w:val="21"/>
              </w:rPr>
            </w:pPr>
            <w:r w:rsidRPr="00F9522B">
              <w:rPr>
                <w:rFonts w:eastAsiaTheme="minorEastAsia"/>
                <w:bCs/>
                <w:szCs w:val="21"/>
              </w:rPr>
              <w:t>0.0015</w:t>
            </w:r>
          </w:p>
        </w:tc>
        <w:tc>
          <w:tcPr>
            <w:tcW w:w="1121" w:type="dxa"/>
            <w:vAlign w:val="center"/>
          </w:tcPr>
          <w:p w:rsidR="002A5A5E" w:rsidRPr="00F9522B" w:rsidRDefault="00611CBA" w:rsidP="00431EAD">
            <w:pPr>
              <w:contextualSpacing/>
              <w:jc w:val="center"/>
              <w:rPr>
                <w:rFonts w:eastAsiaTheme="minorEastAsia"/>
                <w:bCs/>
                <w:szCs w:val="21"/>
              </w:rPr>
            </w:pPr>
            <w:r w:rsidRPr="00F9522B">
              <w:rPr>
                <w:rFonts w:eastAsiaTheme="minorEastAsia"/>
                <w:bCs/>
                <w:szCs w:val="21"/>
              </w:rPr>
              <w:t>0</w:t>
            </w:r>
          </w:p>
        </w:tc>
        <w:tc>
          <w:tcPr>
            <w:tcW w:w="1028" w:type="dxa"/>
            <w:vAlign w:val="center"/>
          </w:tcPr>
          <w:p w:rsidR="002A5A5E" w:rsidRPr="00F9522B" w:rsidRDefault="00611CBA" w:rsidP="00431EAD">
            <w:pPr>
              <w:jc w:val="center"/>
              <w:rPr>
                <w:rFonts w:eastAsiaTheme="minorEastAsia"/>
                <w:bCs/>
                <w:szCs w:val="21"/>
              </w:rPr>
            </w:pPr>
            <w:r w:rsidRPr="00F9522B">
              <w:rPr>
                <w:rFonts w:eastAsiaTheme="minorEastAsia"/>
                <w:bCs/>
                <w:szCs w:val="21"/>
              </w:rPr>
              <w:t>0%</w:t>
            </w:r>
          </w:p>
        </w:tc>
        <w:tc>
          <w:tcPr>
            <w:tcW w:w="1407" w:type="dxa"/>
            <w:gridSpan w:val="2"/>
            <w:vAlign w:val="center"/>
          </w:tcPr>
          <w:p w:rsidR="002A5A5E" w:rsidRPr="00F9522B" w:rsidRDefault="00611CBA" w:rsidP="00431EAD">
            <w:pPr>
              <w:jc w:val="center"/>
              <w:rPr>
                <w:rFonts w:eastAsiaTheme="minorEastAsia"/>
                <w:szCs w:val="21"/>
              </w:rPr>
            </w:pPr>
            <w:r w:rsidRPr="00F9522B">
              <w:rPr>
                <w:rFonts w:eastAsiaTheme="minorEastAsia"/>
                <w:szCs w:val="21"/>
              </w:rPr>
              <w:t>0%</w:t>
            </w:r>
          </w:p>
        </w:tc>
      </w:tr>
      <w:tr w:rsidR="002A5A5E" w:rsidRPr="00F9522B">
        <w:trPr>
          <w:trHeight w:val="72"/>
          <w:jc w:val="center"/>
        </w:trPr>
        <w:tc>
          <w:tcPr>
            <w:tcW w:w="1710" w:type="dxa"/>
            <w:vAlign w:val="center"/>
          </w:tcPr>
          <w:p w:rsidR="002A5A5E" w:rsidRPr="00F9522B" w:rsidRDefault="00611CBA" w:rsidP="00431EAD">
            <w:pPr>
              <w:jc w:val="center"/>
              <w:rPr>
                <w:rFonts w:eastAsiaTheme="minorEastAsia"/>
                <w:szCs w:val="21"/>
              </w:rPr>
            </w:pPr>
            <w:r w:rsidRPr="00F9522B">
              <w:rPr>
                <w:rFonts w:eastAsiaTheme="minorEastAsia"/>
                <w:szCs w:val="21"/>
              </w:rPr>
              <w:t>氰化物</w:t>
            </w:r>
          </w:p>
        </w:tc>
        <w:tc>
          <w:tcPr>
            <w:tcW w:w="1289" w:type="dxa"/>
            <w:vAlign w:val="center"/>
          </w:tcPr>
          <w:p w:rsidR="002A5A5E" w:rsidRPr="00F9522B" w:rsidRDefault="00611CBA" w:rsidP="00431EAD">
            <w:pPr>
              <w:contextualSpacing/>
              <w:jc w:val="center"/>
              <w:rPr>
                <w:rFonts w:eastAsiaTheme="minorEastAsia"/>
                <w:bCs/>
                <w:szCs w:val="21"/>
              </w:rPr>
            </w:pPr>
            <w:r w:rsidRPr="00F9522B">
              <w:rPr>
                <w:rFonts w:eastAsiaTheme="minorEastAsia"/>
                <w:bCs/>
                <w:szCs w:val="21"/>
              </w:rPr>
              <w:t>0.001</w:t>
            </w:r>
          </w:p>
        </w:tc>
        <w:tc>
          <w:tcPr>
            <w:tcW w:w="1173" w:type="dxa"/>
            <w:vAlign w:val="center"/>
          </w:tcPr>
          <w:p w:rsidR="002A5A5E" w:rsidRPr="00F9522B" w:rsidRDefault="00611CBA" w:rsidP="00431EAD">
            <w:pPr>
              <w:contextualSpacing/>
              <w:jc w:val="center"/>
              <w:rPr>
                <w:rFonts w:eastAsiaTheme="minorEastAsia"/>
                <w:bCs/>
                <w:szCs w:val="21"/>
              </w:rPr>
            </w:pPr>
            <w:r w:rsidRPr="00F9522B">
              <w:rPr>
                <w:rFonts w:eastAsiaTheme="minorEastAsia"/>
                <w:bCs/>
                <w:szCs w:val="21"/>
              </w:rPr>
              <w:t>0.001</w:t>
            </w:r>
          </w:p>
        </w:tc>
        <w:tc>
          <w:tcPr>
            <w:tcW w:w="1081" w:type="dxa"/>
            <w:vAlign w:val="center"/>
          </w:tcPr>
          <w:p w:rsidR="002A5A5E" w:rsidRPr="00F9522B" w:rsidRDefault="00611CBA" w:rsidP="00431EAD">
            <w:pPr>
              <w:contextualSpacing/>
              <w:jc w:val="center"/>
              <w:rPr>
                <w:rFonts w:eastAsiaTheme="minorEastAsia"/>
                <w:bCs/>
                <w:szCs w:val="21"/>
              </w:rPr>
            </w:pPr>
            <w:r w:rsidRPr="00F9522B">
              <w:rPr>
                <w:rFonts w:eastAsiaTheme="minorEastAsia"/>
                <w:bCs/>
                <w:szCs w:val="21"/>
              </w:rPr>
              <w:t>0.001</w:t>
            </w:r>
          </w:p>
        </w:tc>
        <w:tc>
          <w:tcPr>
            <w:tcW w:w="1121" w:type="dxa"/>
            <w:vAlign w:val="center"/>
          </w:tcPr>
          <w:p w:rsidR="002A5A5E" w:rsidRPr="00F9522B" w:rsidRDefault="00611CBA" w:rsidP="00431EAD">
            <w:pPr>
              <w:contextualSpacing/>
              <w:jc w:val="center"/>
              <w:rPr>
                <w:rFonts w:eastAsiaTheme="minorEastAsia"/>
                <w:bCs/>
                <w:szCs w:val="21"/>
              </w:rPr>
            </w:pPr>
            <w:r w:rsidRPr="00F9522B">
              <w:rPr>
                <w:rFonts w:eastAsiaTheme="minorEastAsia"/>
                <w:bCs/>
                <w:szCs w:val="21"/>
              </w:rPr>
              <w:t>0</w:t>
            </w:r>
          </w:p>
        </w:tc>
        <w:tc>
          <w:tcPr>
            <w:tcW w:w="1028" w:type="dxa"/>
            <w:vAlign w:val="center"/>
          </w:tcPr>
          <w:p w:rsidR="002A5A5E" w:rsidRPr="00F9522B" w:rsidRDefault="00611CBA" w:rsidP="00431EAD">
            <w:pPr>
              <w:jc w:val="center"/>
              <w:rPr>
                <w:rFonts w:eastAsiaTheme="minorEastAsia"/>
                <w:bCs/>
                <w:szCs w:val="21"/>
              </w:rPr>
            </w:pPr>
            <w:r w:rsidRPr="00F9522B">
              <w:rPr>
                <w:rFonts w:eastAsiaTheme="minorEastAsia"/>
                <w:bCs/>
                <w:szCs w:val="21"/>
              </w:rPr>
              <w:t>0%</w:t>
            </w:r>
          </w:p>
        </w:tc>
        <w:tc>
          <w:tcPr>
            <w:tcW w:w="1407" w:type="dxa"/>
            <w:gridSpan w:val="2"/>
            <w:vAlign w:val="center"/>
          </w:tcPr>
          <w:p w:rsidR="002A5A5E" w:rsidRPr="00F9522B" w:rsidRDefault="00611CBA" w:rsidP="00431EAD">
            <w:pPr>
              <w:jc w:val="center"/>
              <w:rPr>
                <w:rFonts w:eastAsiaTheme="minorEastAsia"/>
                <w:szCs w:val="21"/>
              </w:rPr>
            </w:pPr>
            <w:r w:rsidRPr="00F9522B">
              <w:rPr>
                <w:rFonts w:eastAsiaTheme="minorEastAsia"/>
                <w:szCs w:val="21"/>
              </w:rPr>
              <w:t>0%</w:t>
            </w:r>
          </w:p>
        </w:tc>
      </w:tr>
      <w:tr w:rsidR="002A5A5E" w:rsidRPr="00F9522B">
        <w:trPr>
          <w:trHeight w:val="72"/>
          <w:jc w:val="center"/>
        </w:trPr>
        <w:tc>
          <w:tcPr>
            <w:tcW w:w="1710" w:type="dxa"/>
            <w:vAlign w:val="center"/>
          </w:tcPr>
          <w:p w:rsidR="002A5A5E" w:rsidRPr="00F9522B" w:rsidRDefault="00611CBA" w:rsidP="00431EAD">
            <w:pPr>
              <w:jc w:val="center"/>
              <w:rPr>
                <w:rFonts w:eastAsiaTheme="minorEastAsia"/>
                <w:szCs w:val="21"/>
              </w:rPr>
            </w:pPr>
            <w:r w:rsidRPr="00F9522B">
              <w:rPr>
                <w:rFonts w:eastAsiaTheme="minorEastAsia"/>
                <w:szCs w:val="21"/>
              </w:rPr>
              <w:t>砷</w:t>
            </w:r>
          </w:p>
        </w:tc>
        <w:tc>
          <w:tcPr>
            <w:tcW w:w="1289" w:type="dxa"/>
            <w:vAlign w:val="center"/>
          </w:tcPr>
          <w:p w:rsidR="002A5A5E" w:rsidRPr="00F9522B" w:rsidRDefault="00611CBA" w:rsidP="00431EAD">
            <w:pPr>
              <w:contextualSpacing/>
              <w:jc w:val="center"/>
              <w:rPr>
                <w:rFonts w:eastAsiaTheme="minorEastAsia"/>
                <w:bCs/>
                <w:szCs w:val="21"/>
              </w:rPr>
            </w:pPr>
            <w:r w:rsidRPr="00F9522B">
              <w:rPr>
                <w:rFonts w:eastAsiaTheme="minorEastAsia"/>
                <w:bCs/>
                <w:szCs w:val="21"/>
              </w:rPr>
              <w:t>0.00015</w:t>
            </w:r>
          </w:p>
        </w:tc>
        <w:tc>
          <w:tcPr>
            <w:tcW w:w="1173" w:type="dxa"/>
            <w:vAlign w:val="center"/>
          </w:tcPr>
          <w:p w:rsidR="002A5A5E" w:rsidRPr="00F9522B" w:rsidRDefault="00611CBA" w:rsidP="00431EAD">
            <w:pPr>
              <w:contextualSpacing/>
              <w:jc w:val="center"/>
              <w:rPr>
                <w:rFonts w:eastAsiaTheme="minorEastAsia"/>
                <w:bCs/>
                <w:szCs w:val="21"/>
              </w:rPr>
            </w:pPr>
            <w:r w:rsidRPr="00F9522B">
              <w:rPr>
                <w:rFonts w:eastAsiaTheme="minorEastAsia"/>
                <w:bCs/>
                <w:szCs w:val="21"/>
              </w:rPr>
              <w:t>0.00015</w:t>
            </w:r>
          </w:p>
        </w:tc>
        <w:tc>
          <w:tcPr>
            <w:tcW w:w="1081" w:type="dxa"/>
            <w:vAlign w:val="center"/>
          </w:tcPr>
          <w:p w:rsidR="002A5A5E" w:rsidRPr="00F9522B" w:rsidRDefault="00611CBA" w:rsidP="00431EAD">
            <w:pPr>
              <w:contextualSpacing/>
              <w:jc w:val="center"/>
              <w:rPr>
                <w:rFonts w:eastAsiaTheme="minorEastAsia"/>
                <w:bCs/>
                <w:szCs w:val="21"/>
              </w:rPr>
            </w:pPr>
            <w:r w:rsidRPr="00F9522B">
              <w:rPr>
                <w:rFonts w:eastAsiaTheme="minorEastAsia"/>
                <w:bCs/>
                <w:szCs w:val="21"/>
              </w:rPr>
              <w:t>0.00015</w:t>
            </w:r>
          </w:p>
        </w:tc>
        <w:tc>
          <w:tcPr>
            <w:tcW w:w="1121" w:type="dxa"/>
            <w:vAlign w:val="center"/>
          </w:tcPr>
          <w:p w:rsidR="002A5A5E" w:rsidRPr="00F9522B" w:rsidRDefault="00611CBA" w:rsidP="00431EAD">
            <w:pPr>
              <w:contextualSpacing/>
              <w:jc w:val="center"/>
              <w:rPr>
                <w:rFonts w:eastAsiaTheme="minorEastAsia"/>
                <w:bCs/>
                <w:szCs w:val="21"/>
              </w:rPr>
            </w:pPr>
            <w:r w:rsidRPr="00F9522B">
              <w:rPr>
                <w:rFonts w:eastAsiaTheme="minorEastAsia"/>
                <w:bCs/>
                <w:szCs w:val="21"/>
              </w:rPr>
              <w:t>0</w:t>
            </w:r>
          </w:p>
        </w:tc>
        <w:tc>
          <w:tcPr>
            <w:tcW w:w="1028" w:type="dxa"/>
            <w:vAlign w:val="center"/>
          </w:tcPr>
          <w:p w:rsidR="002A5A5E" w:rsidRPr="00F9522B" w:rsidRDefault="00611CBA" w:rsidP="00431EAD">
            <w:pPr>
              <w:jc w:val="center"/>
              <w:rPr>
                <w:rFonts w:eastAsiaTheme="minorEastAsia"/>
                <w:bCs/>
                <w:szCs w:val="21"/>
              </w:rPr>
            </w:pPr>
            <w:r w:rsidRPr="00F9522B">
              <w:rPr>
                <w:rFonts w:eastAsiaTheme="minorEastAsia"/>
                <w:bCs/>
                <w:szCs w:val="21"/>
              </w:rPr>
              <w:t>0%</w:t>
            </w:r>
          </w:p>
        </w:tc>
        <w:tc>
          <w:tcPr>
            <w:tcW w:w="1407" w:type="dxa"/>
            <w:gridSpan w:val="2"/>
            <w:vAlign w:val="center"/>
          </w:tcPr>
          <w:p w:rsidR="002A5A5E" w:rsidRPr="00F9522B" w:rsidRDefault="00611CBA" w:rsidP="00431EAD">
            <w:pPr>
              <w:jc w:val="center"/>
              <w:rPr>
                <w:rFonts w:eastAsiaTheme="minorEastAsia"/>
                <w:szCs w:val="21"/>
              </w:rPr>
            </w:pPr>
            <w:r w:rsidRPr="00F9522B">
              <w:rPr>
                <w:rFonts w:eastAsiaTheme="minorEastAsia"/>
                <w:szCs w:val="21"/>
              </w:rPr>
              <w:t>0%</w:t>
            </w:r>
          </w:p>
        </w:tc>
      </w:tr>
      <w:tr w:rsidR="002A5A5E" w:rsidRPr="00F9522B">
        <w:trPr>
          <w:trHeight w:val="72"/>
          <w:jc w:val="center"/>
        </w:trPr>
        <w:tc>
          <w:tcPr>
            <w:tcW w:w="1710" w:type="dxa"/>
            <w:tcBorders>
              <w:bottom w:val="single" w:sz="4" w:space="0" w:color="auto"/>
            </w:tcBorders>
            <w:vAlign w:val="center"/>
          </w:tcPr>
          <w:p w:rsidR="002A5A5E" w:rsidRPr="00F9522B" w:rsidRDefault="00611CBA" w:rsidP="00431EAD">
            <w:pPr>
              <w:jc w:val="center"/>
              <w:rPr>
                <w:rFonts w:eastAsiaTheme="minorEastAsia"/>
                <w:szCs w:val="21"/>
              </w:rPr>
            </w:pPr>
            <w:r w:rsidRPr="00F9522B">
              <w:rPr>
                <w:rFonts w:eastAsiaTheme="minorEastAsia"/>
                <w:szCs w:val="21"/>
              </w:rPr>
              <w:t>汞</w:t>
            </w:r>
          </w:p>
        </w:tc>
        <w:tc>
          <w:tcPr>
            <w:tcW w:w="1289" w:type="dxa"/>
            <w:tcBorders>
              <w:bottom w:val="single" w:sz="4" w:space="0" w:color="auto"/>
            </w:tcBorders>
            <w:vAlign w:val="center"/>
          </w:tcPr>
          <w:p w:rsidR="002A5A5E" w:rsidRPr="00F9522B" w:rsidRDefault="00611CBA" w:rsidP="00431EAD">
            <w:pPr>
              <w:contextualSpacing/>
              <w:jc w:val="center"/>
              <w:rPr>
                <w:rFonts w:eastAsiaTheme="minorEastAsia"/>
                <w:bCs/>
                <w:szCs w:val="21"/>
              </w:rPr>
            </w:pPr>
            <w:r w:rsidRPr="00F9522B">
              <w:rPr>
                <w:rFonts w:eastAsiaTheme="minorEastAsia"/>
                <w:bCs/>
                <w:szCs w:val="21"/>
              </w:rPr>
              <w:t>0.00002</w:t>
            </w:r>
          </w:p>
        </w:tc>
        <w:tc>
          <w:tcPr>
            <w:tcW w:w="1173" w:type="dxa"/>
            <w:tcBorders>
              <w:bottom w:val="single" w:sz="4" w:space="0" w:color="auto"/>
            </w:tcBorders>
            <w:vAlign w:val="center"/>
          </w:tcPr>
          <w:p w:rsidR="002A5A5E" w:rsidRPr="00F9522B" w:rsidRDefault="00611CBA" w:rsidP="00431EAD">
            <w:pPr>
              <w:contextualSpacing/>
              <w:jc w:val="center"/>
              <w:rPr>
                <w:rFonts w:eastAsiaTheme="minorEastAsia"/>
                <w:bCs/>
                <w:szCs w:val="21"/>
              </w:rPr>
            </w:pPr>
            <w:r w:rsidRPr="00F9522B">
              <w:rPr>
                <w:rFonts w:eastAsiaTheme="minorEastAsia"/>
                <w:bCs/>
                <w:szCs w:val="21"/>
              </w:rPr>
              <w:t>0.00002</w:t>
            </w:r>
          </w:p>
        </w:tc>
        <w:tc>
          <w:tcPr>
            <w:tcW w:w="1081" w:type="dxa"/>
            <w:tcBorders>
              <w:bottom w:val="single" w:sz="4" w:space="0" w:color="auto"/>
            </w:tcBorders>
            <w:vAlign w:val="center"/>
          </w:tcPr>
          <w:p w:rsidR="002A5A5E" w:rsidRPr="00F9522B" w:rsidRDefault="00611CBA" w:rsidP="00431EAD">
            <w:pPr>
              <w:contextualSpacing/>
              <w:jc w:val="center"/>
              <w:rPr>
                <w:rFonts w:eastAsiaTheme="minorEastAsia"/>
                <w:bCs/>
                <w:szCs w:val="21"/>
              </w:rPr>
            </w:pPr>
            <w:r w:rsidRPr="00F9522B">
              <w:rPr>
                <w:rFonts w:eastAsiaTheme="minorEastAsia"/>
                <w:bCs/>
                <w:szCs w:val="21"/>
              </w:rPr>
              <w:t>0.00002</w:t>
            </w:r>
          </w:p>
        </w:tc>
        <w:tc>
          <w:tcPr>
            <w:tcW w:w="1121" w:type="dxa"/>
            <w:tcBorders>
              <w:bottom w:val="single" w:sz="4" w:space="0" w:color="auto"/>
            </w:tcBorders>
            <w:vAlign w:val="center"/>
          </w:tcPr>
          <w:p w:rsidR="002A5A5E" w:rsidRPr="00F9522B" w:rsidRDefault="00611CBA" w:rsidP="00431EAD">
            <w:pPr>
              <w:contextualSpacing/>
              <w:jc w:val="center"/>
              <w:rPr>
                <w:rFonts w:eastAsiaTheme="minorEastAsia"/>
                <w:bCs/>
                <w:szCs w:val="21"/>
              </w:rPr>
            </w:pPr>
            <w:r w:rsidRPr="00F9522B">
              <w:rPr>
                <w:rFonts w:eastAsiaTheme="minorEastAsia"/>
                <w:bCs/>
                <w:szCs w:val="21"/>
              </w:rPr>
              <w:t>0</w:t>
            </w:r>
          </w:p>
        </w:tc>
        <w:tc>
          <w:tcPr>
            <w:tcW w:w="1028" w:type="dxa"/>
            <w:tcBorders>
              <w:bottom w:val="single" w:sz="4" w:space="0" w:color="auto"/>
            </w:tcBorders>
            <w:vAlign w:val="center"/>
          </w:tcPr>
          <w:p w:rsidR="002A5A5E" w:rsidRPr="00F9522B" w:rsidRDefault="00611CBA" w:rsidP="00431EAD">
            <w:pPr>
              <w:jc w:val="center"/>
              <w:rPr>
                <w:rFonts w:eastAsiaTheme="minorEastAsia"/>
                <w:bCs/>
                <w:szCs w:val="21"/>
              </w:rPr>
            </w:pPr>
            <w:r w:rsidRPr="00F9522B">
              <w:rPr>
                <w:rFonts w:eastAsiaTheme="minorEastAsia"/>
                <w:bCs/>
                <w:szCs w:val="21"/>
              </w:rPr>
              <w:t>0%</w:t>
            </w:r>
          </w:p>
        </w:tc>
        <w:tc>
          <w:tcPr>
            <w:tcW w:w="1407" w:type="dxa"/>
            <w:gridSpan w:val="2"/>
            <w:tcBorders>
              <w:bottom w:val="single" w:sz="4" w:space="0" w:color="auto"/>
            </w:tcBorders>
            <w:vAlign w:val="center"/>
          </w:tcPr>
          <w:p w:rsidR="002A5A5E" w:rsidRPr="00F9522B" w:rsidRDefault="00611CBA" w:rsidP="00431EAD">
            <w:pPr>
              <w:jc w:val="center"/>
              <w:rPr>
                <w:rFonts w:eastAsiaTheme="minorEastAsia"/>
                <w:szCs w:val="21"/>
              </w:rPr>
            </w:pPr>
            <w:r w:rsidRPr="00F9522B">
              <w:rPr>
                <w:rFonts w:eastAsiaTheme="minorEastAsia"/>
                <w:szCs w:val="21"/>
              </w:rPr>
              <w:t>0%</w:t>
            </w:r>
          </w:p>
        </w:tc>
      </w:tr>
      <w:tr w:rsidR="002A5A5E" w:rsidRPr="00F9522B">
        <w:trPr>
          <w:trHeight w:val="72"/>
          <w:jc w:val="center"/>
        </w:trPr>
        <w:tc>
          <w:tcPr>
            <w:tcW w:w="1710" w:type="dxa"/>
            <w:tcBorders>
              <w:top w:val="single" w:sz="4" w:space="0" w:color="auto"/>
              <w:bottom w:val="single" w:sz="4" w:space="0" w:color="auto"/>
            </w:tcBorders>
            <w:vAlign w:val="center"/>
          </w:tcPr>
          <w:p w:rsidR="002A5A5E" w:rsidRPr="00F9522B" w:rsidRDefault="00611CBA" w:rsidP="00431EAD">
            <w:pPr>
              <w:jc w:val="center"/>
              <w:rPr>
                <w:rFonts w:eastAsiaTheme="minorEastAsia"/>
                <w:szCs w:val="21"/>
              </w:rPr>
            </w:pPr>
            <w:r w:rsidRPr="00F9522B">
              <w:rPr>
                <w:rFonts w:eastAsiaTheme="minorEastAsia"/>
                <w:szCs w:val="21"/>
              </w:rPr>
              <w:t>六价铬</w:t>
            </w:r>
          </w:p>
        </w:tc>
        <w:tc>
          <w:tcPr>
            <w:tcW w:w="1289" w:type="dxa"/>
            <w:tcBorders>
              <w:top w:val="single" w:sz="4" w:space="0" w:color="auto"/>
              <w:bottom w:val="single" w:sz="4" w:space="0" w:color="auto"/>
            </w:tcBorders>
            <w:vAlign w:val="center"/>
          </w:tcPr>
          <w:p w:rsidR="002A5A5E" w:rsidRPr="00F9522B" w:rsidRDefault="00431EAD" w:rsidP="00431EAD">
            <w:pPr>
              <w:contextualSpacing/>
              <w:jc w:val="center"/>
              <w:rPr>
                <w:rFonts w:eastAsiaTheme="minorEastAsia"/>
                <w:bCs/>
                <w:szCs w:val="21"/>
              </w:rPr>
            </w:pPr>
            <w:r w:rsidRPr="00F9522B">
              <w:rPr>
                <w:rFonts w:eastAsiaTheme="minorEastAsia"/>
                <w:bCs/>
                <w:szCs w:val="21"/>
              </w:rPr>
              <w:t>0.002</w:t>
            </w:r>
          </w:p>
        </w:tc>
        <w:tc>
          <w:tcPr>
            <w:tcW w:w="1173" w:type="dxa"/>
            <w:tcBorders>
              <w:top w:val="single" w:sz="4" w:space="0" w:color="auto"/>
              <w:bottom w:val="single" w:sz="4" w:space="0" w:color="auto"/>
            </w:tcBorders>
            <w:vAlign w:val="center"/>
          </w:tcPr>
          <w:p w:rsidR="002A5A5E" w:rsidRPr="00F9522B" w:rsidRDefault="00611CBA" w:rsidP="00431EAD">
            <w:pPr>
              <w:contextualSpacing/>
              <w:jc w:val="center"/>
              <w:rPr>
                <w:rFonts w:eastAsiaTheme="minorEastAsia"/>
                <w:bCs/>
                <w:szCs w:val="21"/>
              </w:rPr>
            </w:pPr>
            <w:r w:rsidRPr="00F9522B">
              <w:rPr>
                <w:rFonts w:eastAsiaTheme="minorEastAsia"/>
                <w:bCs/>
                <w:szCs w:val="21"/>
              </w:rPr>
              <w:t>0.002</w:t>
            </w:r>
          </w:p>
        </w:tc>
        <w:tc>
          <w:tcPr>
            <w:tcW w:w="1081" w:type="dxa"/>
            <w:tcBorders>
              <w:top w:val="single" w:sz="4" w:space="0" w:color="auto"/>
              <w:bottom w:val="single" w:sz="4" w:space="0" w:color="auto"/>
            </w:tcBorders>
            <w:vAlign w:val="center"/>
          </w:tcPr>
          <w:p w:rsidR="002A5A5E" w:rsidRPr="00F9522B" w:rsidRDefault="00431EAD" w:rsidP="00431EAD">
            <w:pPr>
              <w:contextualSpacing/>
              <w:jc w:val="center"/>
              <w:rPr>
                <w:rFonts w:eastAsiaTheme="minorEastAsia"/>
                <w:bCs/>
                <w:szCs w:val="21"/>
              </w:rPr>
            </w:pPr>
            <w:r w:rsidRPr="00F9522B">
              <w:rPr>
                <w:rFonts w:eastAsiaTheme="minorEastAsia"/>
                <w:bCs/>
                <w:szCs w:val="21"/>
              </w:rPr>
              <w:t>0.002</w:t>
            </w:r>
          </w:p>
        </w:tc>
        <w:tc>
          <w:tcPr>
            <w:tcW w:w="1121" w:type="dxa"/>
            <w:tcBorders>
              <w:top w:val="single" w:sz="4" w:space="0" w:color="auto"/>
              <w:bottom w:val="single" w:sz="4" w:space="0" w:color="auto"/>
            </w:tcBorders>
            <w:vAlign w:val="center"/>
          </w:tcPr>
          <w:p w:rsidR="002A5A5E" w:rsidRPr="00F9522B" w:rsidRDefault="00611CBA" w:rsidP="00431EAD">
            <w:pPr>
              <w:contextualSpacing/>
              <w:jc w:val="center"/>
              <w:rPr>
                <w:rFonts w:eastAsiaTheme="minorEastAsia"/>
                <w:bCs/>
                <w:szCs w:val="21"/>
              </w:rPr>
            </w:pPr>
            <w:r w:rsidRPr="00F9522B">
              <w:rPr>
                <w:rFonts w:eastAsiaTheme="minorEastAsia"/>
                <w:bCs/>
                <w:szCs w:val="21"/>
              </w:rPr>
              <w:t>0</w:t>
            </w:r>
          </w:p>
        </w:tc>
        <w:tc>
          <w:tcPr>
            <w:tcW w:w="1028" w:type="dxa"/>
            <w:tcBorders>
              <w:top w:val="single" w:sz="4" w:space="0" w:color="auto"/>
              <w:bottom w:val="single" w:sz="4" w:space="0" w:color="auto"/>
            </w:tcBorders>
            <w:vAlign w:val="center"/>
          </w:tcPr>
          <w:p w:rsidR="002A5A5E" w:rsidRPr="00F9522B" w:rsidRDefault="00431EAD" w:rsidP="00431EAD">
            <w:pPr>
              <w:contextualSpacing/>
              <w:jc w:val="center"/>
              <w:rPr>
                <w:rFonts w:eastAsiaTheme="minorEastAsia"/>
                <w:bCs/>
                <w:szCs w:val="21"/>
              </w:rPr>
            </w:pPr>
            <w:r w:rsidRPr="00F9522B">
              <w:rPr>
                <w:rFonts w:eastAsiaTheme="minorEastAsia"/>
                <w:bCs/>
                <w:szCs w:val="21"/>
              </w:rPr>
              <w:t>0</w:t>
            </w:r>
            <w:r w:rsidR="00611CBA" w:rsidRPr="00F9522B">
              <w:rPr>
                <w:rFonts w:eastAsiaTheme="minorEastAsia"/>
                <w:bCs/>
                <w:szCs w:val="21"/>
              </w:rPr>
              <w:t>%</w:t>
            </w:r>
          </w:p>
        </w:tc>
        <w:tc>
          <w:tcPr>
            <w:tcW w:w="1407" w:type="dxa"/>
            <w:gridSpan w:val="2"/>
            <w:tcBorders>
              <w:top w:val="single" w:sz="4" w:space="0" w:color="auto"/>
              <w:bottom w:val="single" w:sz="4" w:space="0" w:color="auto"/>
            </w:tcBorders>
            <w:vAlign w:val="center"/>
          </w:tcPr>
          <w:p w:rsidR="002A5A5E" w:rsidRPr="00F9522B" w:rsidRDefault="00611CBA" w:rsidP="00431EAD">
            <w:pPr>
              <w:jc w:val="center"/>
              <w:rPr>
                <w:rFonts w:eastAsiaTheme="minorEastAsia"/>
                <w:szCs w:val="21"/>
              </w:rPr>
            </w:pPr>
            <w:r w:rsidRPr="00F9522B">
              <w:rPr>
                <w:rFonts w:eastAsiaTheme="minorEastAsia"/>
                <w:szCs w:val="21"/>
              </w:rPr>
              <w:t>0%</w:t>
            </w:r>
          </w:p>
        </w:tc>
      </w:tr>
      <w:tr w:rsidR="00431EAD" w:rsidRPr="00F9522B" w:rsidTr="004E26F5">
        <w:trPr>
          <w:trHeight w:val="72"/>
          <w:jc w:val="center"/>
        </w:trPr>
        <w:tc>
          <w:tcPr>
            <w:tcW w:w="1710" w:type="dxa"/>
            <w:tcBorders>
              <w:top w:val="single" w:sz="4" w:space="0" w:color="auto"/>
              <w:bottom w:val="single" w:sz="4" w:space="0" w:color="auto"/>
              <w:right w:val="single" w:sz="4" w:space="0" w:color="auto"/>
            </w:tcBorders>
            <w:vAlign w:val="center"/>
          </w:tcPr>
          <w:p w:rsidR="00431EAD" w:rsidRPr="00F9522B" w:rsidRDefault="00431EAD" w:rsidP="00431EAD">
            <w:pPr>
              <w:jc w:val="center"/>
              <w:rPr>
                <w:rFonts w:eastAsiaTheme="minorEastAsia"/>
                <w:szCs w:val="21"/>
              </w:rPr>
            </w:pPr>
            <w:r w:rsidRPr="00F9522B">
              <w:rPr>
                <w:rFonts w:eastAsiaTheme="minorEastAsia"/>
                <w:szCs w:val="21"/>
              </w:rPr>
              <w:t>总硬度</w:t>
            </w:r>
          </w:p>
        </w:tc>
        <w:tc>
          <w:tcPr>
            <w:tcW w:w="1289" w:type="dxa"/>
            <w:tcBorders>
              <w:top w:val="single" w:sz="4" w:space="0" w:color="auto"/>
              <w:left w:val="single" w:sz="4" w:space="0" w:color="auto"/>
              <w:bottom w:val="single" w:sz="4" w:space="0" w:color="auto"/>
              <w:right w:val="single" w:sz="4" w:space="0" w:color="auto"/>
            </w:tcBorders>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201</w:t>
            </w:r>
          </w:p>
        </w:tc>
        <w:tc>
          <w:tcPr>
            <w:tcW w:w="1173" w:type="dxa"/>
            <w:tcBorders>
              <w:top w:val="single" w:sz="4" w:space="0" w:color="auto"/>
              <w:left w:val="single" w:sz="4" w:space="0" w:color="auto"/>
              <w:bottom w:val="single" w:sz="4" w:space="0" w:color="auto"/>
              <w:right w:val="single" w:sz="4" w:space="0" w:color="auto"/>
            </w:tcBorders>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140</w:t>
            </w:r>
          </w:p>
        </w:tc>
        <w:tc>
          <w:tcPr>
            <w:tcW w:w="1081" w:type="dxa"/>
            <w:tcBorders>
              <w:top w:val="single" w:sz="4" w:space="0" w:color="auto"/>
              <w:left w:val="single" w:sz="4" w:space="0" w:color="auto"/>
              <w:bottom w:val="single" w:sz="4" w:space="0" w:color="auto"/>
              <w:right w:val="single" w:sz="4" w:space="0" w:color="auto"/>
            </w:tcBorders>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 xml:space="preserve">171.50 </w:t>
            </w:r>
          </w:p>
        </w:tc>
        <w:tc>
          <w:tcPr>
            <w:tcW w:w="1121" w:type="dxa"/>
            <w:tcBorders>
              <w:top w:val="single" w:sz="4" w:space="0" w:color="auto"/>
              <w:left w:val="single" w:sz="4" w:space="0" w:color="auto"/>
              <w:bottom w:val="single" w:sz="4" w:space="0" w:color="auto"/>
              <w:right w:val="single" w:sz="4" w:space="0" w:color="auto"/>
            </w:tcBorders>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 xml:space="preserve">23.33 </w:t>
            </w:r>
          </w:p>
        </w:tc>
        <w:tc>
          <w:tcPr>
            <w:tcW w:w="1028" w:type="dxa"/>
            <w:tcBorders>
              <w:top w:val="single" w:sz="4" w:space="0" w:color="auto"/>
              <w:left w:val="single" w:sz="4" w:space="0" w:color="auto"/>
              <w:bottom w:val="single" w:sz="4" w:space="0" w:color="auto"/>
              <w:right w:val="single" w:sz="4" w:space="0" w:color="auto"/>
            </w:tcBorders>
            <w:vAlign w:val="center"/>
          </w:tcPr>
          <w:p w:rsidR="00431EAD" w:rsidRPr="00F9522B" w:rsidRDefault="00431EAD" w:rsidP="00431EAD">
            <w:pPr>
              <w:contextualSpacing/>
              <w:jc w:val="center"/>
              <w:rPr>
                <w:rFonts w:eastAsiaTheme="minorEastAsia"/>
                <w:bCs/>
                <w:szCs w:val="21"/>
              </w:rPr>
            </w:pPr>
            <w:r w:rsidRPr="00F9522B">
              <w:rPr>
                <w:rFonts w:eastAsiaTheme="minorEastAsia"/>
                <w:bCs/>
                <w:szCs w:val="21"/>
              </w:rPr>
              <w:t>100%</w:t>
            </w:r>
          </w:p>
        </w:tc>
        <w:tc>
          <w:tcPr>
            <w:tcW w:w="1407" w:type="dxa"/>
            <w:gridSpan w:val="2"/>
            <w:tcBorders>
              <w:top w:val="single" w:sz="4" w:space="0" w:color="auto"/>
              <w:left w:val="single" w:sz="4" w:space="0" w:color="auto"/>
              <w:bottom w:val="single" w:sz="4" w:space="0" w:color="auto"/>
            </w:tcBorders>
            <w:vAlign w:val="center"/>
          </w:tcPr>
          <w:p w:rsidR="00431EAD" w:rsidRPr="00F9522B" w:rsidRDefault="00431EAD" w:rsidP="00431EAD">
            <w:pPr>
              <w:jc w:val="center"/>
              <w:rPr>
                <w:rFonts w:eastAsiaTheme="minorEastAsia"/>
                <w:szCs w:val="21"/>
              </w:rPr>
            </w:pPr>
            <w:r w:rsidRPr="00F9522B">
              <w:rPr>
                <w:rFonts w:eastAsiaTheme="minorEastAsia"/>
                <w:szCs w:val="21"/>
              </w:rPr>
              <w:t>0%</w:t>
            </w:r>
          </w:p>
        </w:tc>
      </w:tr>
      <w:tr w:rsidR="002A5A5E" w:rsidRPr="00F9522B">
        <w:trPr>
          <w:trHeight w:val="72"/>
          <w:jc w:val="center"/>
        </w:trPr>
        <w:tc>
          <w:tcPr>
            <w:tcW w:w="1710" w:type="dxa"/>
            <w:tcBorders>
              <w:top w:val="single" w:sz="4" w:space="0" w:color="auto"/>
            </w:tcBorders>
            <w:vAlign w:val="center"/>
          </w:tcPr>
          <w:p w:rsidR="002A5A5E" w:rsidRPr="00F9522B" w:rsidRDefault="00611CBA" w:rsidP="00431EAD">
            <w:pPr>
              <w:jc w:val="center"/>
              <w:rPr>
                <w:rFonts w:eastAsiaTheme="minorEastAsia"/>
                <w:szCs w:val="21"/>
              </w:rPr>
            </w:pPr>
            <w:r w:rsidRPr="00F9522B">
              <w:rPr>
                <w:rFonts w:eastAsiaTheme="minorEastAsia"/>
                <w:szCs w:val="21"/>
              </w:rPr>
              <w:t>铅</w:t>
            </w:r>
          </w:p>
        </w:tc>
        <w:tc>
          <w:tcPr>
            <w:tcW w:w="1289" w:type="dxa"/>
            <w:tcBorders>
              <w:top w:val="single" w:sz="4" w:space="0" w:color="auto"/>
            </w:tcBorders>
            <w:vAlign w:val="center"/>
          </w:tcPr>
          <w:p w:rsidR="002A5A5E" w:rsidRPr="00F9522B" w:rsidRDefault="00611CBA" w:rsidP="00431EAD">
            <w:pPr>
              <w:contextualSpacing/>
              <w:jc w:val="center"/>
              <w:rPr>
                <w:rFonts w:eastAsiaTheme="minorEastAsia"/>
                <w:bCs/>
                <w:szCs w:val="21"/>
              </w:rPr>
            </w:pPr>
            <w:r w:rsidRPr="00F9522B">
              <w:rPr>
                <w:rFonts w:eastAsiaTheme="minorEastAsia"/>
                <w:bCs/>
                <w:szCs w:val="21"/>
              </w:rPr>
              <w:t>0.00125</w:t>
            </w:r>
          </w:p>
        </w:tc>
        <w:tc>
          <w:tcPr>
            <w:tcW w:w="1173" w:type="dxa"/>
            <w:tcBorders>
              <w:top w:val="single" w:sz="4" w:space="0" w:color="auto"/>
            </w:tcBorders>
            <w:vAlign w:val="center"/>
          </w:tcPr>
          <w:p w:rsidR="002A5A5E" w:rsidRPr="00F9522B" w:rsidRDefault="00611CBA" w:rsidP="00431EAD">
            <w:pPr>
              <w:contextualSpacing/>
              <w:jc w:val="center"/>
              <w:rPr>
                <w:rFonts w:eastAsiaTheme="minorEastAsia"/>
                <w:bCs/>
                <w:szCs w:val="21"/>
              </w:rPr>
            </w:pPr>
            <w:r w:rsidRPr="00F9522B">
              <w:rPr>
                <w:rFonts w:eastAsiaTheme="minorEastAsia"/>
                <w:bCs/>
                <w:szCs w:val="21"/>
              </w:rPr>
              <w:t>0.00125</w:t>
            </w:r>
          </w:p>
        </w:tc>
        <w:tc>
          <w:tcPr>
            <w:tcW w:w="1081" w:type="dxa"/>
            <w:tcBorders>
              <w:top w:val="single" w:sz="4" w:space="0" w:color="auto"/>
            </w:tcBorders>
            <w:vAlign w:val="center"/>
          </w:tcPr>
          <w:p w:rsidR="002A5A5E" w:rsidRPr="00F9522B" w:rsidRDefault="00611CBA" w:rsidP="00431EAD">
            <w:pPr>
              <w:contextualSpacing/>
              <w:jc w:val="center"/>
              <w:rPr>
                <w:rFonts w:eastAsiaTheme="minorEastAsia"/>
                <w:bCs/>
                <w:szCs w:val="21"/>
              </w:rPr>
            </w:pPr>
            <w:r w:rsidRPr="00F9522B">
              <w:rPr>
                <w:rFonts w:eastAsiaTheme="minorEastAsia"/>
                <w:bCs/>
                <w:szCs w:val="21"/>
              </w:rPr>
              <w:t>0.00125</w:t>
            </w:r>
          </w:p>
        </w:tc>
        <w:tc>
          <w:tcPr>
            <w:tcW w:w="1121" w:type="dxa"/>
            <w:tcBorders>
              <w:top w:val="single" w:sz="4" w:space="0" w:color="auto"/>
            </w:tcBorders>
            <w:vAlign w:val="center"/>
          </w:tcPr>
          <w:p w:rsidR="002A5A5E" w:rsidRPr="00F9522B" w:rsidRDefault="00611CBA" w:rsidP="00431EAD">
            <w:pPr>
              <w:contextualSpacing/>
              <w:jc w:val="center"/>
              <w:rPr>
                <w:rFonts w:eastAsiaTheme="minorEastAsia"/>
                <w:bCs/>
                <w:szCs w:val="21"/>
              </w:rPr>
            </w:pPr>
            <w:r w:rsidRPr="00F9522B">
              <w:rPr>
                <w:rFonts w:eastAsiaTheme="minorEastAsia"/>
                <w:bCs/>
                <w:szCs w:val="21"/>
              </w:rPr>
              <w:t>0</w:t>
            </w:r>
          </w:p>
        </w:tc>
        <w:tc>
          <w:tcPr>
            <w:tcW w:w="1028" w:type="dxa"/>
            <w:tcBorders>
              <w:top w:val="single" w:sz="4" w:space="0" w:color="auto"/>
            </w:tcBorders>
            <w:vAlign w:val="center"/>
          </w:tcPr>
          <w:p w:rsidR="002A5A5E" w:rsidRPr="00F9522B" w:rsidRDefault="00611CBA" w:rsidP="00431EAD">
            <w:pPr>
              <w:jc w:val="center"/>
              <w:rPr>
                <w:rFonts w:eastAsiaTheme="minorEastAsia"/>
                <w:bCs/>
                <w:szCs w:val="21"/>
              </w:rPr>
            </w:pPr>
            <w:r w:rsidRPr="00F9522B">
              <w:rPr>
                <w:rFonts w:eastAsiaTheme="minorEastAsia"/>
                <w:bCs/>
                <w:szCs w:val="21"/>
              </w:rPr>
              <w:t>0%</w:t>
            </w:r>
          </w:p>
        </w:tc>
        <w:tc>
          <w:tcPr>
            <w:tcW w:w="1407" w:type="dxa"/>
            <w:gridSpan w:val="2"/>
            <w:tcBorders>
              <w:top w:val="single" w:sz="4" w:space="0" w:color="auto"/>
            </w:tcBorders>
            <w:vAlign w:val="center"/>
          </w:tcPr>
          <w:p w:rsidR="002A5A5E" w:rsidRPr="00F9522B" w:rsidRDefault="00611CBA" w:rsidP="00431EAD">
            <w:pPr>
              <w:jc w:val="center"/>
              <w:rPr>
                <w:rFonts w:eastAsiaTheme="minorEastAsia"/>
                <w:szCs w:val="21"/>
              </w:rPr>
            </w:pPr>
            <w:r w:rsidRPr="00F9522B">
              <w:rPr>
                <w:rFonts w:eastAsiaTheme="minorEastAsia"/>
                <w:szCs w:val="21"/>
              </w:rPr>
              <w:t>0%</w:t>
            </w:r>
          </w:p>
        </w:tc>
      </w:tr>
      <w:tr w:rsidR="002A5A5E" w:rsidRPr="00F9522B">
        <w:trPr>
          <w:trHeight w:val="72"/>
          <w:jc w:val="center"/>
        </w:trPr>
        <w:tc>
          <w:tcPr>
            <w:tcW w:w="1710" w:type="dxa"/>
            <w:vAlign w:val="center"/>
          </w:tcPr>
          <w:p w:rsidR="002A5A5E" w:rsidRPr="00F9522B" w:rsidRDefault="00611CBA" w:rsidP="00431EAD">
            <w:pPr>
              <w:jc w:val="center"/>
              <w:rPr>
                <w:rFonts w:eastAsiaTheme="minorEastAsia"/>
                <w:szCs w:val="21"/>
              </w:rPr>
            </w:pPr>
            <w:r w:rsidRPr="00F9522B">
              <w:rPr>
                <w:rFonts w:eastAsiaTheme="minorEastAsia"/>
                <w:szCs w:val="21"/>
              </w:rPr>
              <w:t>氟化物</w:t>
            </w:r>
          </w:p>
        </w:tc>
        <w:tc>
          <w:tcPr>
            <w:tcW w:w="1289" w:type="dxa"/>
            <w:vAlign w:val="center"/>
          </w:tcPr>
          <w:p w:rsidR="002A5A5E" w:rsidRPr="00F9522B" w:rsidRDefault="00611CBA" w:rsidP="00431EAD">
            <w:pPr>
              <w:contextualSpacing/>
              <w:jc w:val="center"/>
              <w:rPr>
                <w:rFonts w:eastAsiaTheme="minorEastAsia"/>
                <w:bCs/>
                <w:szCs w:val="21"/>
              </w:rPr>
            </w:pPr>
            <w:r w:rsidRPr="00F9522B">
              <w:rPr>
                <w:rFonts w:eastAsiaTheme="minorEastAsia"/>
                <w:bCs/>
                <w:szCs w:val="21"/>
              </w:rPr>
              <w:t>0.01</w:t>
            </w:r>
          </w:p>
        </w:tc>
        <w:tc>
          <w:tcPr>
            <w:tcW w:w="1173" w:type="dxa"/>
            <w:vAlign w:val="center"/>
          </w:tcPr>
          <w:p w:rsidR="002A5A5E" w:rsidRPr="00F9522B" w:rsidRDefault="00611CBA" w:rsidP="00431EAD">
            <w:pPr>
              <w:contextualSpacing/>
              <w:jc w:val="center"/>
              <w:rPr>
                <w:rFonts w:eastAsiaTheme="minorEastAsia"/>
                <w:bCs/>
                <w:szCs w:val="21"/>
              </w:rPr>
            </w:pPr>
            <w:r w:rsidRPr="00F9522B">
              <w:rPr>
                <w:rFonts w:eastAsiaTheme="minorEastAsia"/>
                <w:bCs/>
                <w:szCs w:val="21"/>
              </w:rPr>
              <w:t>0.01</w:t>
            </w:r>
          </w:p>
        </w:tc>
        <w:tc>
          <w:tcPr>
            <w:tcW w:w="1081" w:type="dxa"/>
            <w:vAlign w:val="center"/>
          </w:tcPr>
          <w:p w:rsidR="002A5A5E" w:rsidRPr="00F9522B" w:rsidRDefault="00611CBA" w:rsidP="00431EAD">
            <w:pPr>
              <w:contextualSpacing/>
              <w:jc w:val="center"/>
              <w:rPr>
                <w:rFonts w:eastAsiaTheme="minorEastAsia"/>
                <w:bCs/>
                <w:szCs w:val="21"/>
              </w:rPr>
            </w:pPr>
            <w:r w:rsidRPr="00F9522B">
              <w:rPr>
                <w:rFonts w:eastAsiaTheme="minorEastAsia"/>
                <w:bCs/>
                <w:szCs w:val="21"/>
              </w:rPr>
              <w:t>0.01</w:t>
            </w:r>
          </w:p>
        </w:tc>
        <w:tc>
          <w:tcPr>
            <w:tcW w:w="1121" w:type="dxa"/>
            <w:vAlign w:val="center"/>
          </w:tcPr>
          <w:p w:rsidR="002A5A5E" w:rsidRPr="00F9522B" w:rsidRDefault="00611CBA" w:rsidP="00431EAD">
            <w:pPr>
              <w:contextualSpacing/>
              <w:jc w:val="center"/>
              <w:rPr>
                <w:rFonts w:eastAsiaTheme="minorEastAsia"/>
                <w:bCs/>
                <w:szCs w:val="21"/>
              </w:rPr>
            </w:pPr>
            <w:r w:rsidRPr="00F9522B">
              <w:rPr>
                <w:rFonts w:eastAsiaTheme="minorEastAsia"/>
                <w:bCs/>
                <w:szCs w:val="21"/>
              </w:rPr>
              <w:t>0</w:t>
            </w:r>
          </w:p>
        </w:tc>
        <w:tc>
          <w:tcPr>
            <w:tcW w:w="1028" w:type="dxa"/>
            <w:vAlign w:val="center"/>
          </w:tcPr>
          <w:p w:rsidR="002A5A5E" w:rsidRPr="00F9522B" w:rsidRDefault="00431EAD" w:rsidP="00431EAD">
            <w:pPr>
              <w:jc w:val="center"/>
              <w:rPr>
                <w:rFonts w:eastAsiaTheme="minorEastAsia"/>
                <w:bCs/>
                <w:szCs w:val="21"/>
              </w:rPr>
            </w:pPr>
            <w:r w:rsidRPr="00F9522B">
              <w:rPr>
                <w:rFonts w:eastAsiaTheme="minorEastAsia"/>
                <w:bCs/>
                <w:szCs w:val="21"/>
              </w:rPr>
              <w:t>0</w:t>
            </w:r>
            <w:r w:rsidR="00611CBA" w:rsidRPr="00F9522B">
              <w:rPr>
                <w:rFonts w:eastAsiaTheme="minorEastAsia"/>
                <w:bCs/>
                <w:szCs w:val="21"/>
              </w:rPr>
              <w:t>%</w:t>
            </w:r>
          </w:p>
        </w:tc>
        <w:tc>
          <w:tcPr>
            <w:tcW w:w="1407" w:type="dxa"/>
            <w:gridSpan w:val="2"/>
            <w:vAlign w:val="center"/>
          </w:tcPr>
          <w:p w:rsidR="002A5A5E" w:rsidRPr="00F9522B" w:rsidRDefault="00611CBA" w:rsidP="00431EAD">
            <w:pPr>
              <w:jc w:val="center"/>
              <w:rPr>
                <w:rFonts w:eastAsiaTheme="minorEastAsia"/>
                <w:szCs w:val="21"/>
              </w:rPr>
            </w:pPr>
            <w:r w:rsidRPr="00F9522B">
              <w:rPr>
                <w:rFonts w:eastAsiaTheme="minorEastAsia"/>
                <w:szCs w:val="21"/>
              </w:rPr>
              <w:t>0%</w:t>
            </w:r>
          </w:p>
        </w:tc>
      </w:tr>
      <w:tr w:rsidR="002A5A5E" w:rsidRPr="00F9522B">
        <w:trPr>
          <w:trHeight w:val="72"/>
          <w:jc w:val="center"/>
        </w:trPr>
        <w:tc>
          <w:tcPr>
            <w:tcW w:w="1710" w:type="dxa"/>
            <w:vAlign w:val="center"/>
          </w:tcPr>
          <w:p w:rsidR="002A5A5E" w:rsidRPr="00F9522B" w:rsidRDefault="00611CBA" w:rsidP="00431EAD">
            <w:pPr>
              <w:jc w:val="center"/>
              <w:rPr>
                <w:rFonts w:eastAsiaTheme="minorEastAsia"/>
                <w:szCs w:val="21"/>
              </w:rPr>
            </w:pPr>
            <w:r w:rsidRPr="00F9522B">
              <w:rPr>
                <w:rFonts w:eastAsiaTheme="minorEastAsia"/>
                <w:szCs w:val="21"/>
              </w:rPr>
              <w:t>镉</w:t>
            </w:r>
          </w:p>
        </w:tc>
        <w:tc>
          <w:tcPr>
            <w:tcW w:w="1289" w:type="dxa"/>
            <w:vAlign w:val="center"/>
          </w:tcPr>
          <w:p w:rsidR="002A5A5E" w:rsidRPr="00F9522B" w:rsidRDefault="00611CBA" w:rsidP="00431EAD">
            <w:pPr>
              <w:contextualSpacing/>
              <w:jc w:val="center"/>
              <w:rPr>
                <w:rFonts w:eastAsiaTheme="minorEastAsia"/>
                <w:bCs/>
                <w:szCs w:val="21"/>
              </w:rPr>
            </w:pPr>
            <w:r w:rsidRPr="00F9522B">
              <w:rPr>
                <w:rFonts w:eastAsiaTheme="minorEastAsia"/>
                <w:bCs/>
                <w:szCs w:val="21"/>
              </w:rPr>
              <w:t>0.00025</w:t>
            </w:r>
          </w:p>
        </w:tc>
        <w:tc>
          <w:tcPr>
            <w:tcW w:w="1173" w:type="dxa"/>
            <w:vAlign w:val="center"/>
          </w:tcPr>
          <w:p w:rsidR="002A5A5E" w:rsidRPr="00F9522B" w:rsidRDefault="00611CBA" w:rsidP="00431EAD">
            <w:pPr>
              <w:contextualSpacing/>
              <w:jc w:val="center"/>
              <w:rPr>
                <w:rFonts w:eastAsiaTheme="minorEastAsia"/>
                <w:bCs/>
                <w:szCs w:val="21"/>
              </w:rPr>
            </w:pPr>
            <w:r w:rsidRPr="00F9522B">
              <w:rPr>
                <w:rFonts w:eastAsiaTheme="minorEastAsia"/>
                <w:bCs/>
                <w:szCs w:val="21"/>
              </w:rPr>
              <w:t>0.00025</w:t>
            </w:r>
          </w:p>
        </w:tc>
        <w:tc>
          <w:tcPr>
            <w:tcW w:w="1081" w:type="dxa"/>
            <w:vAlign w:val="center"/>
          </w:tcPr>
          <w:p w:rsidR="002A5A5E" w:rsidRPr="00F9522B" w:rsidRDefault="00611CBA" w:rsidP="00431EAD">
            <w:pPr>
              <w:contextualSpacing/>
              <w:jc w:val="center"/>
              <w:rPr>
                <w:rFonts w:eastAsiaTheme="minorEastAsia"/>
                <w:bCs/>
                <w:szCs w:val="21"/>
              </w:rPr>
            </w:pPr>
            <w:r w:rsidRPr="00F9522B">
              <w:rPr>
                <w:rFonts w:eastAsiaTheme="minorEastAsia"/>
                <w:bCs/>
                <w:szCs w:val="21"/>
              </w:rPr>
              <w:t>0.00025</w:t>
            </w:r>
          </w:p>
        </w:tc>
        <w:tc>
          <w:tcPr>
            <w:tcW w:w="1121" w:type="dxa"/>
            <w:vAlign w:val="center"/>
          </w:tcPr>
          <w:p w:rsidR="002A5A5E" w:rsidRPr="00F9522B" w:rsidRDefault="00611CBA" w:rsidP="00431EAD">
            <w:pPr>
              <w:jc w:val="center"/>
              <w:rPr>
                <w:rFonts w:eastAsiaTheme="minorEastAsia"/>
                <w:bCs/>
                <w:szCs w:val="21"/>
              </w:rPr>
            </w:pPr>
            <w:r w:rsidRPr="00F9522B">
              <w:rPr>
                <w:rFonts w:eastAsiaTheme="minorEastAsia"/>
                <w:bCs/>
                <w:szCs w:val="21"/>
              </w:rPr>
              <w:t>0</w:t>
            </w:r>
          </w:p>
        </w:tc>
        <w:tc>
          <w:tcPr>
            <w:tcW w:w="1028" w:type="dxa"/>
            <w:vAlign w:val="center"/>
          </w:tcPr>
          <w:p w:rsidR="002A5A5E" w:rsidRPr="00F9522B" w:rsidRDefault="00611CBA" w:rsidP="00431EAD">
            <w:pPr>
              <w:jc w:val="center"/>
              <w:rPr>
                <w:rFonts w:eastAsiaTheme="minorEastAsia"/>
                <w:bCs/>
                <w:szCs w:val="21"/>
              </w:rPr>
            </w:pPr>
            <w:r w:rsidRPr="00F9522B">
              <w:rPr>
                <w:rFonts w:eastAsiaTheme="minorEastAsia"/>
                <w:bCs/>
                <w:szCs w:val="21"/>
              </w:rPr>
              <w:t>0%</w:t>
            </w:r>
          </w:p>
        </w:tc>
        <w:tc>
          <w:tcPr>
            <w:tcW w:w="1407" w:type="dxa"/>
            <w:gridSpan w:val="2"/>
            <w:vAlign w:val="center"/>
          </w:tcPr>
          <w:p w:rsidR="002A5A5E" w:rsidRPr="00F9522B" w:rsidRDefault="00611CBA" w:rsidP="00431EAD">
            <w:pPr>
              <w:jc w:val="center"/>
              <w:rPr>
                <w:rFonts w:eastAsiaTheme="minorEastAsia"/>
                <w:szCs w:val="21"/>
              </w:rPr>
            </w:pPr>
            <w:r w:rsidRPr="00F9522B">
              <w:rPr>
                <w:rFonts w:eastAsiaTheme="minorEastAsia"/>
                <w:szCs w:val="21"/>
              </w:rPr>
              <w:t>0%</w:t>
            </w:r>
          </w:p>
        </w:tc>
      </w:tr>
      <w:tr w:rsidR="00431EAD" w:rsidRPr="00F9522B" w:rsidTr="004E26F5">
        <w:trPr>
          <w:trHeight w:val="72"/>
          <w:jc w:val="center"/>
        </w:trPr>
        <w:tc>
          <w:tcPr>
            <w:tcW w:w="1710" w:type="dxa"/>
            <w:vAlign w:val="center"/>
          </w:tcPr>
          <w:p w:rsidR="00431EAD" w:rsidRPr="00F9522B" w:rsidRDefault="00431EAD" w:rsidP="00431EAD">
            <w:pPr>
              <w:jc w:val="center"/>
              <w:rPr>
                <w:rFonts w:eastAsiaTheme="minorEastAsia"/>
                <w:szCs w:val="21"/>
              </w:rPr>
            </w:pPr>
            <w:r w:rsidRPr="00F9522B">
              <w:rPr>
                <w:rFonts w:eastAsiaTheme="minorEastAsia"/>
                <w:szCs w:val="21"/>
              </w:rPr>
              <w:t>溶解性总固体</w:t>
            </w:r>
          </w:p>
        </w:tc>
        <w:tc>
          <w:tcPr>
            <w:tcW w:w="1289"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264</w:t>
            </w:r>
          </w:p>
        </w:tc>
        <w:tc>
          <w:tcPr>
            <w:tcW w:w="1173"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228</w:t>
            </w:r>
          </w:p>
        </w:tc>
        <w:tc>
          <w:tcPr>
            <w:tcW w:w="1081"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 xml:space="preserve">242.25 </w:t>
            </w:r>
          </w:p>
        </w:tc>
        <w:tc>
          <w:tcPr>
            <w:tcW w:w="1121"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 xml:space="preserve">13.50 </w:t>
            </w:r>
          </w:p>
        </w:tc>
        <w:tc>
          <w:tcPr>
            <w:tcW w:w="1028" w:type="dxa"/>
            <w:vAlign w:val="center"/>
          </w:tcPr>
          <w:p w:rsidR="00431EAD" w:rsidRPr="00F9522B" w:rsidRDefault="00431EAD" w:rsidP="00431EAD">
            <w:pPr>
              <w:contextualSpacing/>
              <w:jc w:val="center"/>
              <w:rPr>
                <w:rFonts w:eastAsiaTheme="minorEastAsia"/>
                <w:bCs/>
                <w:szCs w:val="21"/>
              </w:rPr>
            </w:pPr>
            <w:r w:rsidRPr="00F9522B">
              <w:rPr>
                <w:rFonts w:eastAsiaTheme="minorEastAsia"/>
                <w:bCs/>
                <w:szCs w:val="21"/>
              </w:rPr>
              <w:t>100%</w:t>
            </w:r>
          </w:p>
        </w:tc>
        <w:tc>
          <w:tcPr>
            <w:tcW w:w="1407" w:type="dxa"/>
            <w:gridSpan w:val="2"/>
            <w:vAlign w:val="center"/>
          </w:tcPr>
          <w:p w:rsidR="00431EAD" w:rsidRPr="00F9522B" w:rsidRDefault="00431EAD" w:rsidP="00431EAD">
            <w:pPr>
              <w:jc w:val="center"/>
              <w:rPr>
                <w:rFonts w:eastAsiaTheme="minorEastAsia"/>
                <w:szCs w:val="21"/>
              </w:rPr>
            </w:pPr>
            <w:r w:rsidRPr="00F9522B">
              <w:rPr>
                <w:rFonts w:eastAsiaTheme="minorEastAsia"/>
                <w:szCs w:val="21"/>
              </w:rPr>
              <w:t>0%</w:t>
            </w:r>
          </w:p>
        </w:tc>
      </w:tr>
      <w:tr w:rsidR="00431EAD" w:rsidRPr="00F9522B" w:rsidTr="004E26F5">
        <w:trPr>
          <w:trHeight w:val="72"/>
          <w:jc w:val="center"/>
        </w:trPr>
        <w:tc>
          <w:tcPr>
            <w:tcW w:w="1710" w:type="dxa"/>
            <w:vAlign w:val="center"/>
          </w:tcPr>
          <w:p w:rsidR="00431EAD" w:rsidRPr="00F9522B" w:rsidRDefault="00431EAD" w:rsidP="00431EAD">
            <w:pPr>
              <w:jc w:val="center"/>
              <w:rPr>
                <w:rFonts w:eastAsiaTheme="minorEastAsia"/>
                <w:szCs w:val="21"/>
              </w:rPr>
            </w:pPr>
            <w:r w:rsidRPr="00F9522B">
              <w:rPr>
                <w:rFonts w:eastAsiaTheme="minorEastAsia"/>
                <w:szCs w:val="21"/>
              </w:rPr>
              <w:t>硫酸盐</w:t>
            </w:r>
          </w:p>
        </w:tc>
        <w:tc>
          <w:tcPr>
            <w:tcW w:w="1289"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189</w:t>
            </w:r>
          </w:p>
        </w:tc>
        <w:tc>
          <w:tcPr>
            <w:tcW w:w="1173"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12</w:t>
            </w:r>
          </w:p>
        </w:tc>
        <w:tc>
          <w:tcPr>
            <w:tcW w:w="1081"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 xml:space="preserve">80.75 </w:t>
            </w:r>
          </w:p>
        </w:tc>
        <w:tc>
          <w:tcPr>
            <w:tcW w:w="1121"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 xml:space="preserve">65.72 </w:t>
            </w:r>
          </w:p>
        </w:tc>
        <w:tc>
          <w:tcPr>
            <w:tcW w:w="1028" w:type="dxa"/>
            <w:vAlign w:val="center"/>
          </w:tcPr>
          <w:p w:rsidR="00431EAD" w:rsidRPr="00F9522B" w:rsidRDefault="00431EAD" w:rsidP="00431EAD">
            <w:pPr>
              <w:contextualSpacing/>
              <w:jc w:val="center"/>
              <w:rPr>
                <w:rFonts w:eastAsiaTheme="minorEastAsia"/>
                <w:bCs/>
                <w:szCs w:val="21"/>
              </w:rPr>
            </w:pPr>
            <w:r w:rsidRPr="00F9522B">
              <w:rPr>
                <w:rFonts w:eastAsiaTheme="minorEastAsia"/>
                <w:bCs/>
                <w:szCs w:val="21"/>
              </w:rPr>
              <w:t>100%</w:t>
            </w:r>
          </w:p>
        </w:tc>
        <w:tc>
          <w:tcPr>
            <w:tcW w:w="1407" w:type="dxa"/>
            <w:gridSpan w:val="2"/>
            <w:vAlign w:val="center"/>
          </w:tcPr>
          <w:p w:rsidR="00431EAD" w:rsidRPr="00F9522B" w:rsidRDefault="00431EAD" w:rsidP="00431EAD">
            <w:pPr>
              <w:jc w:val="center"/>
              <w:rPr>
                <w:rFonts w:eastAsiaTheme="minorEastAsia"/>
                <w:szCs w:val="21"/>
              </w:rPr>
            </w:pPr>
            <w:r w:rsidRPr="00F9522B">
              <w:rPr>
                <w:rFonts w:eastAsiaTheme="minorEastAsia"/>
                <w:szCs w:val="21"/>
              </w:rPr>
              <w:t>0%</w:t>
            </w:r>
          </w:p>
        </w:tc>
      </w:tr>
      <w:tr w:rsidR="00431EAD" w:rsidRPr="00F9522B" w:rsidTr="004E26F5">
        <w:trPr>
          <w:trHeight w:val="72"/>
          <w:jc w:val="center"/>
        </w:trPr>
        <w:tc>
          <w:tcPr>
            <w:tcW w:w="1710" w:type="dxa"/>
            <w:vAlign w:val="center"/>
          </w:tcPr>
          <w:p w:rsidR="00431EAD" w:rsidRPr="00F9522B" w:rsidRDefault="00431EAD" w:rsidP="00431EAD">
            <w:pPr>
              <w:jc w:val="center"/>
              <w:rPr>
                <w:rFonts w:eastAsiaTheme="minorEastAsia"/>
                <w:szCs w:val="21"/>
              </w:rPr>
            </w:pPr>
            <w:r w:rsidRPr="00F9522B">
              <w:rPr>
                <w:rFonts w:eastAsiaTheme="minorEastAsia"/>
                <w:szCs w:val="21"/>
              </w:rPr>
              <w:t>氯化物</w:t>
            </w:r>
          </w:p>
        </w:tc>
        <w:tc>
          <w:tcPr>
            <w:tcW w:w="1289"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176</w:t>
            </w:r>
          </w:p>
        </w:tc>
        <w:tc>
          <w:tcPr>
            <w:tcW w:w="1173"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20</w:t>
            </w:r>
          </w:p>
        </w:tc>
        <w:tc>
          <w:tcPr>
            <w:tcW w:w="1081"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 xml:space="preserve">84.25 </w:t>
            </w:r>
          </w:p>
        </w:tc>
        <w:tc>
          <w:tcPr>
            <w:tcW w:w="1121" w:type="dxa"/>
            <w:vAlign w:val="bottom"/>
          </w:tcPr>
          <w:p w:rsidR="00431EAD" w:rsidRPr="00F9522B" w:rsidRDefault="00431EAD" w:rsidP="00431EAD">
            <w:pPr>
              <w:contextualSpacing/>
              <w:jc w:val="center"/>
              <w:rPr>
                <w:rFonts w:eastAsiaTheme="minorEastAsia"/>
                <w:bCs/>
                <w:szCs w:val="21"/>
              </w:rPr>
            </w:pPr>
            <w:r w:rsidRPr="00F9522B">
              <w:rPr>
                <w:rFonts w:eastAsiaTheme="minorEastAsia"/>
                <w:bCs/>
                <w:szCs w:val="21"/>
              </w:rPr>
              <w:t xml:space="preserve">56.93 </w:t>
            </w:r>
          </w:p>
        </w:tc>
        <w:tc>
          <w:tcPr>
            <w:tcW w:w="1028" w:type="dxa"/>
            <w:vAlign w:val="center"/>
          </w:tcPr>
          <w:p w:rsidR="00431EAD" w:rsidRPr="00F9522B" w:rsidRDefault="00431EAD" w:rsidP="00431EAD">
            <w:pPr>
              <w:contextualSpacing/>
              <w:jc w:val="center"/>
              <w:rPr>
                <w:rFonts w:eastAsiaTheme="minorEastAsia"/>
                <w:bCs/>
                <w:szCs w:val="21"/>
              </w:rPr>
            </w:pPr>
            <w:r w:rsidRPr="00F9522B">
              <w:rPr>
                <w:rFonts w:eastAsiaTheme="minorEastAsia"/>
                <w:bCs/>
                <w:szCs w:val="21"/>
              </w:rPr>
              <w:t>100%</w:t>
            </w:r>
          </w:p>
        </w:tc>
        <w:tc>
          <w:tcPr>
            <w:tcW w:w="1407" w:type="dxa"/>
            <w:gridSpan w:val="2"/>
            <w:vAlign w:val="center"/>
          </w:tcPr>
          <w:p w:rsidR="00431EAD" w:rsidRPr="00F9522B" w:rsidRDefault="00431EAD" w:rsidP="00431EAD">
            <w:pPr>
              <w:jc w:val="center"/>
              <w:rPr>
                <w:rFonts w:eastAsiaTheme="minorEastAsia"/>
                <w:szCs w:val="21"/>
              </w:rPr>
            </w:pPr>
            <w:r w:rsidRPr="00F9522B">
              <w:rPr>
                <w:rFonts w:eastAsiaTheme="minorEastAsia"/>
                <w:szCs w:val="21"/>
              </w:rPr>
              <w:t>0%</w:t>
            </w:r>
          </w:p>
        </w:tc>
      </w:tr>
      <w:tr w:rsidR="002A5A5E" w:rsidRPr="00F9522B">
        <w:trPr>
          <w:trHeight w:val="72"/>
          <w:jc w:val="center"/>
        </w:trPr>
        <w:tc>
          <w:tcPr>
            <w:tcW w:w="1710" w:type="dxa"/>
            <w:vAlign w:val="center"/>
          </w:tcPr>
          <w:p w:rsidR="002A5A5E" w:rsidRPr="00F9522B" w:rsidRDefault="00611CBA" w:rsidP="00431EAD">
            <w:pPr>
              <w:jc w:val="center"/>
              <w:rPr>
                <w:rFonts w:eastAsiaTheme="minorEastAsia"/>
                <w:szCs w:val="21"/>
              </w:rPr>
            </w:pPr>
            <w:r w:rsidRPr="00F9522B">
              <w:rPr>
                <w:rFonts w:eastAsiaTheme="minorEastAsia"/>
                <w:szCs w:val="21"/>
              </w:rPr>
              <w:t>总大肠菌群数</w:t>
            </w:r>
          </w:p>
        </w:tc>
        <w:tc>
          <w:tcPr>
            <w:tcW w:w="1289" w:type="dxa"/>
            <w:vAlign w:val="center"/>
          </w:tcPr>
          <w:p w:rsidR="002A5A5E" w:rsidRPr="00F9522B" w:rsidRDefault="00611CBA" w:rsidP="00431EAD">
            <w:pPr>
              <w:contextualSpacing/>
              <w:jc w:val="center"/>
              <w:rPr>
                <w:rFonts w:eastAsiaTheme="minorEastAsia"/>
                <w:bCs/>
                <w:szCs w:val="21"/>
              </w:rPr>
            </w:pPr>
            <w:r w:rsidRPr="00F9522B">
              <w:rPr>
                <w:rFonts w:eastAsiaTheme="minorEastAsia"/>
                <w:bCs/>
                <w:szCs w:val="21"/>
              </w:rPr>
              <w:t>﹤</w:t>
            </w:r>
            <w:r w:rsidRPr="00F9522B">
              <w:rPr>
                <w:rFonts w:eastAsiaTheme="minorEastAsia"/>
                <w:bCs/>
                <w:szCs w:val="21"/>
              </w:rPr>
              <w:t>2</w:t>
            </w:r>
          </w:p>
        </w:tc>
        <w:tc>
          <w:tcPr>
            <w:tcW w:w="1173" w:type="dxa"/>
            <w:vAlign w:val="center"/>
          </w:tcPr>
          <w:p w:rsidR="002A5A5E" w:rsidRPr="00F9522B" w:rsidRDefault="00611CBA" w:rsidP="00431EAD">
            <w:pPr>
              <w:contextualSpacing/>
              <w:jc w:val="center"/>
              <w:rPr>
                <w:rFonts w:eastAsiaTheme="minorEastAsia"/>
                <w:bCs/>
                <w:szCs w:val="21"/>
              </w:rPr>
            </w:pPr>
            <w:r w:rsidRPr="00F9522B">
              <w:rPr>
                <w:rFonts w:eastAsiaTheme="minorEastAsia"/>
                <w:bCs/>
                <w:szCs w:val="21"/>
              </w:rPr>
              <w:t>﹤</w:t>
            </w:r>
            <w:r w:rsidRPr="00F9522B">
              <w:rPr>
                <w:rFonts w:eastAsiaTheme="minorEastAsia"/>
                <w:bCs/>
                <w:szCs w:val="21"/>
              </w:rPr>
              <w:t>2</w:t>
            </w:r>
          </w:p>
        </w:tc>
        <w:tc>
          <w:tcPr>
            <w:tcW w:w="1081" w:type="dxa"/>
            <w:vAlign w:val="center"/>
          </w:tcPr>
          <w:p w:rsidR="002A5A5E" w:rsidRPr="00F9522B" w:rsidRDefault="00611CBA" w:rsidP="00431EAD">
            <w:pPr>
              <w:contextualSpacing/>
              <w:jc w:val="center"/>
              <w:rPr>
                <w:rFonts w:eastAsiaTheme="minorEastAsia"/>
                <w:bCs/>
                <w:szCs w:val="21"/>
              </w:rPr>
            </w:pPr>
            <w:r w:rsidRPr="00F9522B">
              <w:rPr>
                <w:rFonts w:eastAsiaTheme="minorEastAsia"/>
                <w:bCs/>
                <w:szCs w:val="21"/>
              </w:rPr>
              <w:t>﹤</w:t>
            </w:r>
            <w:r w:rsidRPr="00F9522B">
              <w:rPr>
                <w:rFonts w:eastAsiaTheme="minorEastAsia"/>
                <w:bCs/>
                <w:szCs w:val="21"/>
              </w:rPr>
              <w:t>2</w:t>
            </w:r>
          </w:p>
        </w:tc>
        <w:tc>
          <w:tcPr>
            <w:tcW w:w="1121" w:type="dxa"/>
            <w:vAlign w:val="center"/>
          </w:tcPr>
          <w:p w:rsidR="002A5A5E" w:rsidRPr="00F9522B" w:rsidRDefault="00611CBA" w:rsidP="00431EAD">
            <w:pPr>
              <w:contextualSpacing/>
              <w:jc w:val="center"/>
              <w:rPr>
                <w:rFonts w:eastAsiaTheme="minorEastAsia"/>
                <w:bCs/>
                <w:szCs w:val="21"/>
              </w:rPr>
            </w:pPr>
            <w:r w:rsidRPr="00F9522B">
              <w:rPr>
                <w:rFonts w:eastAsiaTheme="minorEastAsia"/>
                <w:bCs/>
                <w:szCs w:val="21"/>
              </w:rPr>
              <w:t>-</w:t>
            </w:r>
          </w:p>
        </w:tc>
        <w:tc>
          <w:tcPr>
            <w:tcW w:w="1028" w:type="dxa"/>
            <w:vAlign w:val="center"/>
          </w:tcPr>
          <w:p w:rsidR="002A5A5E" w:rsidRPr="00F9522B" w:rsidRDefault="00611CBA" w:rsidP="00431EAD">
            <w:pPr>
              <w:jc w:val="center"/>
              <w:rPr>
                <w:rFonts w:eastAsiaTheme="minorEastAsia"/>
                <w:bCs/>
                <w:szCs w:val="21"/>
              </w:rPr>
            </w:pPr>
            <w:r w:rsidRPr="00F9522B">
              <w:rPr>
                <w:rFonts w:eastAsiaTheme="minorEastAsia"/>
                <w:bCs/>
                <w:szCs w:val="21"/>
              </w:rPr>
              <w:t>0%</w:t>
            </w:r>
          </w:p>
        </w:tc>
        <w:tc>
          <w:tcPr>
            <w:tcW w:w="1407" w:type="dxa"/>
            <w:gridSpan w:val="2"/>
            <w:vAlign w:val="center"/>
          </w:tcPr>
          <w:p w:rsidR="002A5A5E" w:rsidRPr="00F9522B" w:rsidRDefault="00611CBA" w:rsidP="00431EAD">
            <w:pPr>
              <w:jc w:val="center"/>
              <w:rPr>
                <w:rFonts w:eastAsiaTheme="minorEastAsia"/>
                <w:szCs w:val="21"/>
              </w:rPr>
            </w:pPr>
            <w:r w:rsidRPr="00F9522B">
              <w:rPr>
                <w:rFonts w:eastAsiaTheme="minorEastAsia"/>
                <w:szCs w:val="21"/>
              </w:rPr>
              <w:t>0%</w:t>
            </w:r>
          </w:p>
        </w:tc>
      </w:tr>
      <w:tr w:rsidR="002A5A5E" w:rsidRPr="00F9522B">
        <w:trPr>
          <w:trHeight w:val="72"/>
          <w:jc w:val="center"/>
        </w:trPr>
        <w:tc>
          <w:tcPr>
            <w:tcW w:w="1710" w:type="dxa"/>
            <w:vAlign w:val="center"/>
          </w:tcPr>
          <w:p w:rsidR="002A5A5E" w:rsidRPr="00F9522B" w:rsidRDefault="00611CBA" w:rsidP="00431EAD">
            <w:pPr>
              <w:jc w:val="center"/>
              <w:rPr>
                <w:rFonts w:eastAsiaTheme="minorEastAsia"/>
                <w:szCs w:val="21"/>
              </w:rPr>
            </w:pPr>
            <w:r w:rsidRPr="00F9522B">
              <w:rPr>
                <w:rFonts w:eastAsiaTheme="minorEastAsia"/>
                <w:szCs w:val="21"/>
              </w:rPr>
              <w:t>菌落总数</w:t>
            </w:r>
          </w:p>
        </w:tc>
        <w:tc>
          <w:tcPr>
            <w:tcW w:w="1289" w:type="dxa"/>
            <w:vAlign w:val="center"/>
          </w:tcPr>
          <w:p w:rsidR="002A5A5E" w:rsidRPr="00F9522B" w:rsidRDefault="00431EAD" w:rsidP="00431EAD">
            <w:pPr>
              <w:contextualSpacing/>
              <w:jc w:val="center"/>
              <w:rPr>
                <w:rFonts w:eastAsiaTheme="minorEastAsia"/>
                <w:bCs/>
                <w:szCs w:val="21"/>
              </w:rPr>
            </w:pPr>
            <w:r w:rsidRPr="00F9522B">
              <w:rPr>
                <w:rFonts w:eastAsiaTheme="minorEastAsia"/>
                <w:bCs/>
                <w:szCs w:val="21"/>
              </w:rPr>
              <w:t>未检出</w:t>
            </w:r>
          </w:p>
        </w:tc>
        <w:tc>
          <w:tcPr>
            <w:tcW w:w="1173" w:type="dxa"/>
            <w:vAlign w:val="center"/>
          </w:tcPr>
          <w:p w:rsidR="002A5A5E" w:rsidRPr="00F9522B" w:rsidRDefault="00431EAD" w:rsidP="00431EAD">
            <w:pPr>
              <w:contextualSpacing/>
              <w:jc w:val="center"/>
              <w:rPr>
                <w:rFonts w:eastAsiaTheme="minorEastAsia"/>
                <w:bCs/>
                <w:szCs w:val="21"/>
              </w:rPr>
            </w:pPr>
            <w:r w:rsidRPr="00F9522B">
              <w:rPr>
                <w:rFonts w:eastAsiaTheme="minorEastAsia"/>
                <w:bCs/>
                <w:szCs w:val="21"/>
              </w:rPr>
              <w:t>未检出</w:t>
            </w:r>
          </w:p>
        </w:tc>
        <w:tc>
          <w:tcPr>
            <w:tcW w:w="1081" w:type="dxa"/>
            <w:vAlign w:val="center"/>
          </w:tcPr>
          <w:p w:rsidR="002A5A5E" w:rsidRPr="00F9522B" w:rsidRDefault="00431EAD" w:rsidP="00431EAD">
            <w:pPr>
              <w:contextualSpacing/>
              <w:jc w:val="center"/>
              <w:rPr>
                <w:rFonts w:eastAsiaTheme="minorEastAsia"/>
                <w:bCs/>
                <w:szCs w:val="21"/>
              </w:rPr>
            </w:pPr>
            <w:r w:rsidRPr="00F9522B">
              <w:rPr>
                <w:rFonts w:eastAsiaTheme="minorEastAsia"/>
                <w:bCs/>
                <w:szCs w:val="21"/>
              </w:rPr>
              <w:t>未检出</w:t>
            </w:r>
          </w:p>
        </w:tc>
        <w:tc>
          <w:tcPr>
            <w:tcW w:w="1121" w:type="dxa"/>
            <w:vAlign w:val="center"/>
          </w:tcPr>
          <w:p w:rsidR="002A5A5E" w:rsidRPr="00F9522B" w:rsidRDefault="00431EAD" w:rsidP="00431EAD">
            <w:pPr>
              <w:contextualSpacing/>
              <w:jc w:val="center"/>
              <w:rPr>
                <w:rFonts w:eastAsiaTheme="minorEastAsia"/>
                <w:bCs/>
                <w:szCs w:val="21"/>
              </w:rPr>
            </w:pPr>
            <w:r w:rsidRPr="00F9522B">
              <w:rPr>
                <w:rFonts w:eastAsiaTheme="minorEastAsia"/>
                <w:bCs/>
                <w:szCs w:val="21"/>
              </w:rPr>
              <w:t>-</w:t>
            </w:r>
          </w:p>
        </w:tc>
        <w:tc>
          <w:tcPr>
            <w:tcW w:w="1028" w:type="dxa"/>
            <w:vAlign w:val="center"/>
          </w:tcPr>
          <w:p w:rsidR="002A5A5E" w:rsidRPr="00F9522B" w:rsidRDefault="00431EAD" w:rsidP="00431EAD">
            <w:pPr>
              <w:contextualSpacing/>
              <w:jc w:val="center"/>
              <w:rPr>
                <w:rFonts w:eastAsiaTheme="minorEastAsia"/>
                <w:bCs/>
                <w:szCs w:val="21"/>
              </w:rPr>
            </w:pPr>
            <w:r w:rsidRPr="00F9522B">
              <w:rPr>
                <w:rFonts w:eastAsiaTheme="minorEastAsia"/>
                <w:bCs/>
                <w:szCs w:val="21"/>
              </w:rPr>
              <w:t>0</w:t>
            </w:r>
            <w:r w:rsidR="00611CBA" w:rsidRPr="00F9522B">
              <w:rPr>
                <w:rFonts w:eastAsiaTheme="minorEastAsia"/>
                <w:bCs/>
                <w:szCs w:val="21"/>
              </w:rPr>
              <w:t>%</w:t>
            </w:r>
          </w:p>
        </w:tc>
        <w:tc>
          <w:tcPr>
            <w:tcW w:w="1407" w:type="dxa"/>
            <w:gridSpan w:val="2"/>
            <w:vAlign w:val="center"/>
          </w:tcPr>
          <w:p w:rsidR="002A5A5E" w:rsidRPr="00F9522B" w:rsidRDefault="00611CBA" w:rsidP="00431EAD">
            <w:pPr>
              <w:jc w:val="center"/>
              <w:rPr>
                <w:rFonts w:eastAsiaTheme="minorEastAsia"/>
                <w:szCs w:val="21"/>
              </w:rPr>
            </w:pPr>
            <w:r w:rsidRPr="00F9522B">
              <w:rPr>
                <w:rFonts w:eastAsiaTheme="minorEastAsia"/>
                <w:szCs w:val="21"/>
              </w:rPr>
              <w:t>0%</w:t>
            </w:r>
          </w:p>
        </w:tc>
      </w:tr>
    </w:tbl>
    <w:p w:rsidR="002A5A5E" w:rsidRPr="00F9522B" w:rsidRDefault="00611CBA">
      <w:pPr>
        <w:contextualSpacing/>
        <w:jc w:val="center"/>
        <w:rPr>
          <w:rFonts w:eastAsiaTheme="minorEastAsia"/>
          <w:b/>
          <w:kern w:val="0"/>
          <w:szCs w:val="21"/>
        </w:rPr>
      </w:pPr>
      <w:r w:rsidRPr="00F9522B">
        <w:rPr>
          <w:rFonts w:eastAsiaTheme="minorEastAsia"/>
          <w:b/>
          <w:kern w:val="0"/>
          <w:szCs w:val="21"/>
        </w:rPr>
        <w:lastRenderedPageBreak/>
        <w:t>续表</w:t>
      </w:r>
      <w:r w:rsidRPr="00F9522B">
        <w:rPr>
          <w:rFonts w:eastAsiaTheme="minorEastAsia"/>
          <w:b/>
          <w:kern w:val="0"/>
          <w:szCs w:val="21"/>
        </w:rPr>
        <w:t xml:space="preserve">4-2-12 </w:t>
      </w:r>
      <w:r w:rsidRPr="00F9522B">
        <w:rPr>
          <w:rFonts w:eastAsiaTheme="minorEastAsia"/>
          <w:b/>
          <w:kern w:val="0"/>
          <w:szCs w:val="21"/>
        </w:rPr>
        <w:t>地下水水质现状评价因子统计结果</w:t>
      </w:r>
    </w:p>
    <w:tbl>
      <w:tblPr>
        <w:tblW w:w="8809" w:type="dxa"/>
        <w:jc w:val="center"/>
        <w:tblBorders>
          <w:top w:val="single" w:sz="12" w:space="0" w:color="auto"/>
          <w:bottom w:val="single" w:sz="12" w:space="0" w:color="auto"/>
          <w:insideH w:val="single" w:sz="4" w:space="0" w:color="auto"/>
          <w:insideV w:val="single" w:sz="4" w:space="0" w:color="auto"/>
        </w:tblBorders>
        <w:tblLook w:val="04A0"/>
      </w:tblPr>
      <w:tblGrid>
        <w:gridCol w:w="1710"/>
        <w:gridCol w:w="1289"/>
        <w:gridCol w:w="1173"/>
        <w:gridCol w:w="1081"/>
        <w:gridCol w:w="1121"/>
        <w:gridCol w:w="1028"/>
        <w:gridCol w:w="1407"/>
      </w:tblGrid>
      <w:tr w:rsidR="00E32287" w:rsidRPr="00F9522B" w:rsidTr="004E26F5">
        <w:trPr>
          <w:trHeight w:val="72"/>
          <w:jc w:val="center"/>
        </w:trPr>
        <w:tc>
          <w:tcPr>
            <w:tcW w:w="1710" w:type="dxa"/>
            <w:vAlign w:val="center"/>
          </w:tcPr>
          <w:p w:rsidR="00E32287" w:rsidRPr="00F9522B" w:rsidRDefault="00E32287" w:rsidP="00E32287">
            <w:pPr>
              <w:jc w:val="center"/>
              <w:rPr>
                <w:rFonts w:eastAsiaTheme="minorEastAsia"/>
                <w:szCs w:val="21"/>
              </w:rPr>
            </w:pPr>
            <w:r w:rsidRPr="00F9522B">
              <w:rPr>
                <w:rFonts w:eastAsiaTheme="minorEastAsia"/>
                <w:szCs w:val="21"/>
              </w:rPr>
              <w:t>铁</w:t>
            </w:r>
          </w:p>
        </w:tc>
        <w:tc>
          <w:tcPr>
            <w:tcW w:w="1289" w:type="dxa"/>
            <w:vAlign w:val="bottom"/>
          </w:tcPr>
          <w:p w:rsidR="00E32287" w:rsidRPr="00F9522B" w:rsidRDefault="00E32287" w:rsidP="00E32287">
            <w:pPr>
              <w:contextualSpacing/>
              <w:jc w:val="center"/>
              <w:rPr>
                <w:rFonts w:eastAsiaTheme="minorEastAsia"/>
                <w:bCs/>
                <w:szCs w:val="21"/>
              </w:rPr>
            </w:pPr>
            <w:r w:rsidRPr="00F9522B">
              <w:rPr>
                <w:rFonts w:eastAsiaTheme="minorEastAsia"/>
                <w:bCs/>
                <w:szCs w:val="21"/>
              </w:rPr>
              <w:t>0.25</w:t>
            </w:r>
          </w:p>
        </w:tc>
        <w:tc>
          <w:tcPr>
            <w:tcW w:w="1173" w:type="dxa"/>
            <w:vAlign w:val="bottom"/>
          </w:tcPr>
          <w:p w:rsidR="00E32287" w:rsidRPr="00F9522B" w:rsidRDefault="00E32287" w:rsidP="00E32287">
            <w:pPr>
              <w:contextualSpacing/>
              <w:jc w:val="center"/>
              <w:rPr>
                <w:rFonts w:eastAsiaTheme="minorEastAsia"/>
                <w:bCs/>
                <w:szCs w:val="21"/>
              </w:rPr>
            </w:pPr>
            <w:r w:rsidRPr="00F9522B">
              <w:rPr>
                <w:rFonts w:eastAsiaTheme="minorEastAsia"/>
                <w:bCs/>
                <w:szCs w:val="21"/>
              </w:rPr>
              <w:t>0.16</w:t>
            </w:r>
          </w:p>
        </w:tc>
        <w:tc>
          <w:tcPr>
            <w:tcW w:w="1081" w:type="dxa"/>
            <w:vAlign w:val="bottom"/>
          </w:tcPr>
          <w:p w:rsidR="00E32287" w:rsidRPr="00F9522B" w:rsidRDefault="00E32287" w:rsidP="00E32287">
            <w:pPr>
              <w:contextualSpacing/>
              <w:jc w:val="center"/>
              <w:rPr>
                <w:rFonts w:eastAsiaTheme="minorEastAsia"/>
                <w:bCs/>
                <w:szCs w:val="21"/>
              </w:rPr>
            </w:pPr>
            <w:r w:rsidRPr="00F9522B">
              <w:rPr>
                <w:rFonts w:eastAsiaTheme="minorEastAsia"/>
                <w:bCs/>
                <w:szCs w:val="21"/>
              </w:rPr>
              <w:t xml:space="preserve">0.20 </w:t>
            </w:r>
          </w:p>
        </w:tc>
        <w:tc>
          <w:tcPr>
            <w:tcW w:w="1121" w:type="dxa"/>
            <w:vAlign w:val="bottom"/>
          </w:tcPr>
          <w:p w:rsidR="00E32287" w:rsidRPr="00F9522B" w:rsidRDefault="00E32287" w:rsidP="00E32287">
            <w:pPr>
              <w:contextualSpacing/>
              <w:jc w:val="center"/>
              <w:rPr>
                <w:rFonts w:eastAsiaTheme="minorEastAsia"/>
                <w:bCs/>
                <w:szCs w:val="21"/>
              </w:rPr>
            </w:pPr>
            <w:r w:rsidRPr="00F9522B">
              <w:rPr>
                <w:rFonts w:eastAsiaTheme="minorEastAsia"/>
                <w:bCs/>
                <w:szCs w:val="21"/>
              </w:rPr>
              <w:t xml:space="preserve">0.03 </w:t>
            </w:r>
          </w:p>
        </w:tc>
        <w:tc>
          <w:tcPr>
            <w:tcW w:w="1028" w:type="dxa"/>
            <w:vAlign w:val="center"/>
          </w:tcPr>
          <w:p w:rsidR="00E32287" w:rsidRPr="00F9522B" w:rsidRDefault="00E32287" w:rsidP="00E32287">
            <w:pPr>
              <w:contextualSpacing/>
              <w:jc w:val="center"/>
              <w:rPr>
                <w:rFonts w:eastAsiaTheme="minorEastAsia"/>
                <w:bCs/>
                <w:szCs w:val="21"/>
              </w:rPr>
            </w:pPr>
            <w:r w:rsidRPr="00F9522B">
              <w:rPr>
                <w:rFonts w:eastAsiaTheme="minorEastAsia"/>
                <w:bCs/>
                <w:szCs w:val="21"/>
              </w:rPr>
              <w:t>100%</w:t>
            </w:r>
          </w:p>
        </w:tc>
        <w:tc>
          <w:tcPr>
            <w:tcW w:w="1407" w:type="dxa"/>
            <w:vAlign w:val="center"/>
          </w:tcPr>
          <w:p w:rsidR="00E32287" w:rsidRPr="00F9522B" w:rsidRDefault="00E32287" w:rsidP="00E32287">
            <w:pPr>
              <w:jc w:val="center"/>
              <w:rPr>
                <w:rFonts w:eastAsiaTheme="minorEastAsia"/>
                <w:szCs w:val="21"/>
              </w:rPr>
            </w:pPr>
            <w:r w:rsidRPr="00F9522B">
              <w:rPr>
                <w:rFonts w:eastAsiaTheme="minorEastAsia"/>
                <w:szCs w:val="21"/>
              </w:rPr>
              <w:t>0%</w:t>
            </w:r>
          </w:p>
        </w:tc>
      </w:tr>
      <w:tr w:rsidR="00E32287" w:rsidRPr="00F9522B" w:rsidTr="004E26F5">
        <w:trPr>
          <w:trHeight w:val="72"/>
          <w:jc w:val="center"/>
        </w:trPr>
        <w:tc>
          <w:tcPr>
            <w:tcW w:w="1710" w:type="dxa"/>
            <w:vAlign w:val="center"/>
          </w:tcPr>
          <w:p w:rsidR="00E32287" w:rsidRPr="00F9522B" w:rsidRDefault="00E32287" w:rsidP="00E32287">
            <w:pPr>
              <w:jc w:val="center"/>
              <w:rPr>
                <w:rFonts w:eastAsiaTheme="minorEastAsia"/>
                <w:szCs w:val="21"/>
              </w:rPr>
            </w:pPr>
            <w:r w:rsidRPr="00F9522B">
              <w:rPr>
                <w:rFonts w:eastAsiaTheme="minorEastAsia"/>
                <w:szCs w:val="21"/>
              </w:rPr>
              <w:t>锰</w:t>
            </w:r>
          </w:p>
        </w:tc>
        <w:tc>
          <w:tcPr>
            <w:tcW w:w="1289" w:type="dxa"/>
            <w:vAlign w:val="bottom"/>
          </w:tcPr>
          <w:p w:rsidR="00E32287" w:rsidRPr="00F9522B" w:rsidRDefault="007E0713" w:rsidP="00E32287">
            <w:pPr>
              <w:contextualSpacing/>
              <w:jc w:val="center"/>
              <w:rPr>
                <w:rFonts w:eastAsiaTheme="minorEastAsia"/>
                <w:bCs/>
                <w:szCs w:val="21"/>
              </w:rPr>
            </w:pPr>
            <w:r w:rsidRPr="00F9522B">
              <w:rPr>
                <w:rFonts w:eastAsiaTheme="minorEastAsia"/>
                <w:bCs/>
                <w:szCs w:val="21"/>
              </w:rPr>
              <w:t>0.31</w:t>
            </w:r>
          </w:p>
        </w:tc>
        <w:tc>
          <w:tcPr>
            <w:tcW w:w="1173" w:type="dxa"/>
            <w:vAlign w:val="bottom"/>
          </w:tcPr>
          <w:p w:rsidR="00E32287" w:rsidRPr="00F9522B" w:rsidRDefault="007E0713" w:rsidP="00E32287">
            <w:pPr>
              <w:contextualSpacing/>
              <w:jc w:val="center"/>
              <w:rPr>
                <w:rFonts w:eastAsiaTheme="minorEastAsia"/>
                <w:bCs/>
                <w:szCs w:val="21"/>
              </w:rPr>
            </w:pPr>
            <w:r w:rsidRPr="00F9522B">
              <w:rPr>
                <w:rFonts w:eastAsiaTheme="minorEastAsia"/>
                <w:bCs/>
                <w:szCs w:val="21"/>
              </w:rPr>
              <w:t>0.13</w:t>
            </w:r>
          </w:p>
        </w:tc>
        <w:tc>
          <w:tcPr>
            <w:tcW w:w="1081" w:type="dxa"/>
            <w:vAlign w:val="bottom"/>
          </w:tcPr>
          <w:p w:rsidR="00E32287" w:rsidRPr="00F9522B" w:rsidRDefault="007E0713" w:rsidP="00E32287">
            <w:pPr>
              <w:contextualSpacing/>
              <w:jc w:val="center"/>
              <w:rPr>
                <w:rFonts w:eastAsiaTheme="minorEastAsia"/>
                <w:bCs/>
                <w:szCs w:val="21"/>
              </w:rPr>
            </w:pPr>
            <w:r w:rsidRPr="00F9522B">
              <w:rPr>
                <w:rFonts w:eastAsiaTheme="minorEastAsia"/>
                <w:bCs/>
                <w:szCs w:val="21"/>
              </w:rPr>
              <w:t>0.21</w:t>
            </w:r>
          </w:p>
        </w:tc>
        <w:tc>
          <w:tcPr>
            <w:tcW w:w="1121" w:type="dxa"/>
            <w:vAlign w:val="bottom"/>
          </w:tcPr>
          <w:p w:rsidR="00E32287" w:rsidRPr="00F9522B" w:rsidRDefault="007E0713" w:rsidP="00E32287">
            <w:pPr>
              <w:contextualSpacing/>
              <w:jc w:val="center"/>
              <w:rPr>
                <w:rFonts w:eastAsiaTheme="minorEastAsia"/>
                <w:bCs/>
                <w:szCs w:val="21"/>
              </w:rPr>
            </w:pPr>
            <w:r w:rsidRPr="00F9522B">
              <w:rPr>
                <w:rFonts w:eastAsiaTheme="minorEastAsia"/>
                <w:bCs/>
                <w:szCs w:val="21"/>
              </w:rPr>
              <w:t>0.07</w:t>
            </w:r>
          </w:p>
        </w:tc>
        <w:tc>
          <w:tcPr>
            <w:tcW w:w="1028" w:type="dxa"/>
            <w:vAlign w:val="center"/>
          </w:tcPr>
          <w:p w:rsidR="00E32287" w:rsidRPr="00F9522B" w:rsidRDefault="00E32287" w:rsidP="00E32287">
            <w:pPr>
              <w:contextualSpacing/>
              <w:jc w:val="center"/>
              <w:rPr>
                <w:rFonts w:eastAsiaTheme="minorEastAsia"/>
                <w:bCs/>
                <w:szCs w:val="21"/>
              </w:rPr>
            </w:pPr>
            <w:r w:rsidRPr="00F9522B">
              <w:rPr>
                <w:rFonts w:eastAsiaTheme="minorEastAsia"/>
                <w:bCs/>
                <w:szCs w:val="21"/>
              </w:rPr>
              <w:t>100%</w:t>
            </w:r>
          </w:p>
        </w:tc>
        <w:tc>
          <w:tcPr>
            <w:tcW w:w="1407" w:type="dxa"/>
            <w:vAlign w:val="center"/>
          </w:tcPr>
          <w:p w:rsidR="00E32287" w:rsidRPr="00F9522B" w:rsidRDefault="007E0713" w:rsidP="00E32287">
            <w:pPr>
              <w:jc w:val="center"/>
              <w:rPr>
                <w:rFonts w:eastAsiaTheme="minorEastAsia"/>
                <w:szCs w:val="21"/>
              </w:rPr>
            </w:pPr>
            <w:r w:rsidRPr="00F9522B">
              <w:rPr>
                <w:rFonts w:eastAsiaTheme="minorEastAsia"/>
                <w:szCs w:val="21"/>
              </w:rPr>
              <w:t>10</w:t>
            </w:r>
            <w:r w:rsidR="00E32287" w:rsidRPr="00F9522B">
              <w:rPr>
                <w:rFonts w:eastAsiaTheme="minorEastAsia"/>
                <w:szCs w:val="21"/>
              </w:rPr>
              <w:t>0%</w:t>
            </w:r>
          </w:p>
        </w:tc>
      </w:tr>
      <w:tr w:rsidR="00E32287" w:rsidRPr="00F9522B" w:rsidTr="004E26F5">
        <w:trPr>
          <w:trHeight w:val="72"/>
          <w:jc w:val="center"/>
        </w:trPr>
        <w:tc>
          <w:tcPr>
            <w:tcW w:w="1710" w:type="dxa"/>
            <w:vAlign w:val="center"/>
          </w:tcPr>
          <w:p w:rsidR="00E32287" w:rsidRPr="00F9522B" w:rsidRDefault="00E32287" w:rsidP="00E32287">
            <w:pPr>
              <w:adjustRightInd w:val="0"/>
              <w:snapToGrid w:val="0"/>
              <w:jc w:val="center"/>
              <w:rPr>
                <w:rFonts w:eastAsiaTheme="minorEastAsia"/>
                <w:bCs/>
                <w:szCs w:val="21"/>
              </w:rPr>
            </w:pPr>
            <w:r w:rsidRPr="00F9522B">
              <w:rPr>
                <w:rFonts w:eastAsiaTheme="minorEastAsia"/>
                <w:bCs/>
                <w:szCs w:val="21"/>
              </w:rPr>
              <w:t>耗氧量</w:t>
            </w:r>
          </w:p>
        </w:tc>
        <w:tc>
          <w:tcPr>
            <w:tcW w:w="1289" w:type="dxa"/>
            <w:vAlign w:val="bottom"/>
          </w:tcPr>
          <w:p w:rsidR="00E32287" w:rsidRPr="00F9522B" w:rsidRDefault="00E32287" w:rsidP="00E32287">
            <w:pPr>
              <w:contextualSpacing/>
              <w:jc w:val="center"/>
              <w:rPr>
                <w:rFonts w:eastAsiaTheme="minorEastAsia"/>
                <w:bCs/>
                <w:szCs w:val="21"/>
              </w:rPr>
            </w:pPr>
            <w:r w:rsidRPr="00F9522B">
              <w:rPr>
                <w:rFonts w:eastAsiaTheme="minorEastAsia"/>
                <w:bCs/>
                <w:szCs w:val="21"/>
              </w:rPr>
              <w:t>2</w:t>
            </w:r>
          </w:p>
        </w:tc>
        <w:tc>
          <w:tcPr>
            <w:tcW w:w="1173" w:type="dxa"/>
            <w:vAlign w:val="bottom"/>
          </w:tcPr>
          <w:p w:rsidR="00E32287" w:rsidRPr="00F9522B" w:rsidRDefault="00E32287" w:rsidP="00E32287">
            <w:pPr>
              <w:contextualSpacing/>
              <w:jc w:val="center"/>
              <w:rPr>
                <w:rFonts w:eastAsiaTheme="minorEastAsia"/>
                <w:bCs/>
                <w:szCs w:val="21"/>
              </w:rPr>
            </w:pPr>
            <w:r w:rsidRPr="00F9522B">
              <w:rPr>
                <w:rFonts w:eastAsiaTheme="minorEastAsia"/>
                <w:bCs/>
                <w:szCs w:val="21"/>
              </w:rPr>
              <w:t>1.5</w:t>
            </w:r>
          </w:p>
        </w:tc>
        <w:tc>
          <w:tcPr>
            <w:tcW w:w="1081" w:type="dxa"/>
            <w:vAlign w:val="bottom"/>
          </w:tcPr>
          <w:p w:rsidR="00E32287" w:rsidRPr="00F9522B" w:rsidRDefault="00E32287" w:rsidP="00E32287">
            <w:pPr>
              <w:contextualSpacing/>
              <w:jc w:val="center"/>
              <w:rPr>
                <w:rFonts w:eastAsiaTheme="minorEastAsia"/>
                <w:bCs/>
                <w:szCs w:val="21"/>
              </w:rPr>
            </w:pPr>
            <w:r w:rsidRPr="00F9522B">
              <w:rPr>
                <w:rFonts w:eastAsiaTheme="minorEastAsia"/>
                <w:bCs/>
                <w:szCs w:val="21"/>
              </w:rPr>
              <w:t xml:space="preserve">1.70 </w:t>
            </w:r>
          </w:p>
        </w:tc>
        <w:tc>
          <w:tcPr>
            <w:tcW w:w="1121" w:type="dxa"/>
            <w:vAlign w:val="bottom"/>
          </w:tcPr>
          <w:p w:rsidR="00E32287" w:rsidRPr="00F9522B" w:rsidRDefault="00E32287" w:rsidP="00E32287">
            <w:pPr>
              <w:contextualSpacing/>
              <w:jc w:val="center"/>
              <w:rPr>
                <w:rFonts w:eastAsiaTheme="minorEastAsia"/>
                <w:bCs/>
                <w:szCs w:val="21"/>
              </w:rPr>
            </w:pPr>
            <w:r w:rsidRPr="00F9522B">
              <w:rPr>
                <w:rFonts w:eastAsiaTheme="minorEastAsia"/>
                <w:bCs/>
                <w:szCs w:val="21"/>
              </w:rPr>
              <w:t xml:space="preserve">0.19 </w:t>
            </w:r>
          </w:p>
        </w:tc>
        <w:tc>
          <w:tcPr>
            <w:tcW w:w="1028" w:type="dxa"/>
            <w:vAlign w:val="center"/>
          </w:tcPr>
          <w:p w:rsidR="00E32287" w:rsidRPr="00F9522B" w:rsidRDefault="00E32287" w:rsidP="00E32287">
            <w:pPr>
              <w:adjustRightInd w:val="0"/>
              <w:snapToGrid w:val="0"/>
              <w:contextualSpacing/>
              <w:jc w:val="center"/>
              <w:rPr>
                <w:rFonts w:eastAsiaTheme="minorEastAsia"/>
                <w:bCs/>
                <w:szCs w:val="21"/>
              </w:rPr>
            </w:pPr>
            <w:r w:rsidRPr="00F9522B">
              <w:rPr>
                <w:rFonts w:eastAsiaTheme="minorEastAsia"/>
                <w:bCs/>
                <w:szCs w:val="21"/>
              </w:rPr>
              <w:t>100%</w:t>
            </w:r>
          </w:p>
        </w:tc>
        <w:tc>
          <w:tcPr>
            <w:tcW w:w="1407" w:type="dxa"/>
            <w:vAlign w:val="center"/>
          </w:tcPr>
          <w:p w:rsidR="00E32287" w:rsidRPr="00F9522B" w:rsidRDefault="00E32287" w:rsidP="00E32287">
            <w:pPr>
              <w:adjustRightInd w:val="0"/>
              <w:snapToGrid w:val="0"/>
              <w:jc w:val="center"/>
              <w:rPr>
                <w:rFonts w:eastAsiaTheme="minorEastAsia"/>
                <w:bCs/>
                <w:szCs w:val="21"/>
              </w:rPr>
            </w:pPr>
            <w:r w:rsidRPr="00F9522B">
              <w:rPr>
                <w:rFonts w:eastAsiaTheme="minorEastAsia"/>
                <w:bCs/>
                <w:szCs w:val="21"/>
              </w:rPr>
              <w:t>0%</w:t>
            </w:r>
          </w:p>
        </w:tc>
      </w:tr>
      <w:tr w:rsidR="002A5A5E" w:rsidRPr="00F9522B">
        <w:trPr>
          <w:trHeight w:val="72"/>
          <w:jc w:val="center"/>
        </w:trPr>
        <w:tc>
          <w:tcPr>
            <w:tcW w:w="1710" w:type="dxa"/>
            <w:vAlign w:val="center"/>
          </w:tcPr>
          <w:p w:rsidR="002A5A5E" w:rsidRPr="00F9522B" w:rsidRDefault="00611CBA" w:rsidP="00E32287">
            <w:pPr>
              <w:adjustRightInd w:val="0"/>
              <w:snapToGrid w:val="0"/>
              <w:jc w:val="center"/>
              <w:rPr>
                <w:rFonts w:eastAsiaTheme="minorEastAsia"/>
                <w:bCs/>
                <w:szCs w:val="21"/>
              </w:rPr>
            </w:pPr>
            <w:r w:rsidRPr="00F9522B">
              <w:rPr>
                <w:rFonts w:eastAsiaTheme="minorEastAsia"/>
                <w:bCs/>
                <w:szCs w:val="21"/>
              </w:rPr>
              <w:t>石油类</w:t>
            </w:r>
          </w:p>
        </w:tc>
        <w:tc>
          <w:tcPr>
            <w:tcW w:w="1289" w:type="dxa"/>
            <w:vAlign w:val="center"/>
          </w:tcPr>
          <w:p w:rsidR="002A5A5E" w:rsidRPr="00F9522B" w:rsidRDefault="00611CBA" w:rsidP="00E32287">
            <w:pPr>
              <w:contextualSpacing/>
              <w:jc w:val="center"/>
              <w:rPr>
                <w:rFonts w:eastAsiaTheme="minorEastAsia"/>
                <w:bCs/>
                <w:szCs w:val="21"/>
              </w:rPr>
            </w:pPr>
            <w:r w:rsidRPr="00F9522B">
              <w:rPr>
                <w:rFonts w:eastAsiaTheme="minorEastAsia"/>
                <w:bCs/>
                <w:szCs w:val="21"/>
              </w:rPr>
              <w:t>0.005</w:t>
            </w:r>
          </w:p>
        </w:tc>
        <w:tc>
          <w:tcPr>
            <w:tcW w:w="1173" w:type="dxa"/>
            <w:vAlign w:val="center"/>
          </w:tcPr>
          <w:p w:rsidR="002A5A5E" w:rsidRPr="00F9522B" w:rsidRDefault="00611CBA" w:rsidP="00E32287">
            <w:pPr>
              <w:contextualSpacing/>
              <w:jc w:val="center"/>
              <w:rPr>
                <w:rFonts w:eastAsiaTheme="minorEastAsia"/>
                <w:bCs/>
                <w:szCs w:val="21"/>
              </w:rPr>
            </w:pPr>
            <w:r w:rsidRPr="00F9522B">
              <w:rPr>
                <w:rFonts w:eastAsiaTheme="minorEastAsia"/>
                <w:bCs/>
                <w:szCs w:val="21"/>
              </w:rPr>
              <w:t>0.005</w:t>
            </w:r>
          </w:p>
        </w:tc>
        <w:tc>
          <w:tcPr>
            <w:tcW w:w="1081" w:type="dxa"/>
            <w:vAlign w:val="center"/>
          </w:tcPr>
          <w:p w:rsidR="002A5A5E" w:rsidRPr="00F9522B" w:rsidRDefault="00611CBA" w:rsidP="00E32287">
            <w:pPr>
              <w:contextualSpacing/>
              <w:jc w:val="center"/>
              <w:rPr>
                <w:rFonts w:eastAsiaTheme="minorEastAsia"/>
                <w:bCs/>
                <w:szCs w:val="21"/>
              </w:rPr>
            </w:pPr>
            <w:r w:rsidRPr="00F9522B">
              <w:rPr>
                <w:rFonts w:eastAsiaTheme="minorEastAsia"/>
                <w:bCs/>
                <w:szCs w:val="21"/>
              </w:rPr>
              <w:t>0.005</w:t>
            </w:r>
          </w:p>
        </w:tc>
        <w:tc>
          <w:tcPr>
            <w:tcW w:w="1121" w:type="dxa"/>
            <w:vAlign w:val="center"/>
          </w:tcPr>
          <w:p w:rsidR="002A5A5E" w:rsidRPr="00F9522B" w:rsidRDefault="00611CBA" w:rsidP="00E32287">
            <w:pPr>
              <w:contextualSpacing/>
              <w:jc w:val="center"/>
              <w:rPr>
                <w:rFonts w:eastAsiaTheme="minorEastAsia"/>
                <w:bCs/>
                <w:szCs w:val="21"/>
              </w:rPr>
            </w:pPr>
            <w:r w:rsidRPr="00F9522B">
              <w:rPr>
                <w:rFonts w:eastAsiaTheme="minorEastAsia"/>
                <w:bCs/>
                <w:szCs w:val="21"/>
              </w:rPr>
              <w:t>0</w:t>
            </w:r>
          </w:p>
        </w:tc>
        <w:tc>
          <w:tcPr>
            <w:tcW w:w="1028" w:type="dxa"/>
            <w:vAlign w:val="center"/>
          </w:tcPr>
          <w:p w:rsidR="002A5A5E" w:rsidRPr="00F9522B" w:rsidRDefault="00611CBA" w:rsidP="00E32287">
            <w:pPr>
              <w:contextualSpacing/>
              <w:jc w:val="center"/>
              <w:rPr>
                <w:rFonts w:eastAsiaTheme="minorEastAsia"/>
                <w:bCs/>
                <w:szCs w:val="21"/>
              </w:rPr>
            </w:pPr>
            <w:r w:rsidRPr="00F9522B">
              <w:rPr>
                <w:rFonts w:eastAsiaTheme="minorEastAsia"/>
                <w:bCs/>
                <w:szCs w:val="21"/>
              </w:rPr>
              <w:t>0%</w:t>
            </w:r>
          </w:p>
        </w:tc>
        <w:tc>
          <w:tcPr>
            <w:tcW w:w="1407" w:type="dxa"/>
            <w:vAlign w:val="center"/>
          </w:tcPr>
          <w:p w:rsidR="002A5A5E" w:rsidRPr="00F9522B" w:rsidRDefault="00611CBA" w:rsidP="00E32287">
            <w:pPr>
              <w:jc w:val="center"/>
              <w:rPr>
                <w:rFonts w:eastAsiaTheme="minorEastAsia"/>
                <w:szCs w:val="21"/>
              </w:rPr>
            </w:pPr>
            <w:r w:rsidRPr="00F9522B">
              <w:rPr>
                <w:rFonts w:eastAsiaTheme="minorEastAsia"/>
                <w:szCs w:val="21"/>
              </w:rPr>
              <w:t>0%</w:t>
            </w:r>
          </w:p>
        </w:tc>
      </w:tr>
    </w:tbl>
    <w:p w:rsidR="002A5A5E" w:rsidRPr="00F9522B" w:rsidRDefault="00611CBA">
      <w:pPr>
        <w:contextualSpacing/>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 xml:space="preserve">4-2-13 </w:t>
      </w:r>
      <w:r w:rsidRPr="00F9522B">
        <w:rPr>
          <w:rFonts w:eastAsiaTheme="minorEastAsia"/>
          <w:b/>
          <w:kern w:val="0"/>
          <w:szCs w:val="21"/>
        </w:rPr>
        <w:t>地下水水质现状评价结果</w:t>
      </w:r>
    </w:p>
    <w:tbl>
      <w:tblPr>
        <w:tblW w:w="5000" w:type="pct"/>
        <w:jc w:val="center"/>
        <w:tblBorders>
          <w:top w:val="single" w:sz="12" w:space="0" w:color="auto"/>
          <w:bottom w:val="single" w:sz="12" w:space="0" w:color="auto"/>
          <w:insideH w:val="single" w:sz="6" w:space="0" w:color="auto"/>
          <w:insideV w:val="single" w:sz="6" w:space="0" w:color="auto"/>
        </w:tblBorders>
        <w:tblLook w:val="04A0"/>
      </w:tblPr>
      <w:tblGrid>
        <w:gridCol w:w="948"/>
        <w:gridCol w:w="1955"/>
        <w:gridCol w:w="1403"/>
        <w:gridCol w:w="1670"/>
        <w:gridCol w:w="1275"/>
        <w:gridCol w:w="1271"/>
      </w:tblGrid>
      <w:tr w:rsidR="002A5A5E" w:rsidRPr="00F9522B" w:rsidTr="007E0713">
        <w:trPr>
          <w:trHeight w:val="312"/>
          <w:jc w:val="center"/>
        </w:trPr>
        <w:tc>
          <w:tcPr>
            <w:tcW w:w="556" w:type="pct"/>
            <w:vMerge w:val="restart"/>
            <w:vAlign w:val="center"/>
          </w:tcPr>
          <w:p w:rsidR="002A5A5E" w:rsidRPr="00F9522B" w:rsidRDefault="00611CBA" w:rsidP="007E0713">
            <w:pPr>
              <w:widowControl/>
              <w:spacing w:line="0" w:lineRule="atLeast"/>
              <w:contextualSpacing/>
              <w:jc w:val="center"/>
              <w:rPr>
                <w:rFonts w:eastAsiaTheme="minorEastAsia"/>
                <w:szCs w:val="21"/>
              </w:rPr>
            </w:pPr>
            <w:bookmarkStart w:id="109" w:name="OLE_LINK3"/>
            <w:r w:rsidRPr="00F9522B">
              <w:rPr>
                <w:rFonts w:eastAsiaTheme="minorEastAsia"/>
                <w:szCs w:val="21"/>
              </w:rPr>
              <w:t>序号</w:t>
            </w:r>
          </w:p>
        </w:tc>
        <w:tc>
          <w:tcPr>
            <w:tcW w:w="1147" w:type="pct"/>
            <w:vMerge w:val="restart"/>
            <w:vAlign w:val="center"/>
          </w:tcPr>
          <w:p w:rsidR="002A5A5E" w:rsidRPr="00F9522B" w:rsidRDefault="00611CBA" w:rsidP="007E0713">
            <w:pPr>
              <w:widowControl/>
              <w:spacing w:line="0" w:lineRule="atLeast"/>
              <w:contextualSpacing/>
              <w:jc w:val="center"/>
              <w:rPr>
                <w:rFonts w:eastAsiaTheme="minorEastAsia"/>
                <w:szCs w:val="21"/>
              </w:rPr>
            </w:pPr>
            <w:r w:rsidRPr="00F9522B">
              <w:rPr>
                <w:rFonts w:eastAsiaTheme="minorEastAsia"/>
                <w:szCs w:val="21"/>
              </w:rPr>
              <w:t>监测项目</w:t>
            </w:r>
          </w:p>
        </w:tc>
        <w:tc>
          <w:tcPr>
            <w:tcW w:w="823" w:type="pct"/>
            <w:vAlign w:val="center"/>
          </w:tcPr>
          <w:p w:rsidR="002A5A5E" w:rsidRPr="00F9522B" w:rsidRDefault="00611CBA" w:rsidP="007E0713">
            <w:pPr>
              <w:widowControl/>
              <w:spacing w:line="0" w:lineRule="atLeast"/>
              <w:contextualSpacing/>
              <w:jc w:val="center"/>
              <w:rPr>
                <w:rFonts w:eastAsiaTheme="minorEastAsia"/>
                <w:szCs w:val="21"/>
              </w:rPr>
            </w:pPr>
            <w:r w:rsidRPr="00F9522B">
              <w:rPr>
                <w:rFonts w:ascii="宋体" w:hAnsi="宋体" w:cs="宋体" w:hint="eastAsia"/>
                <w:szCs w:val="21"/>
              </w:rPr>
              <w:t>☆</w:t>
            </w:r>
            <w:r w:rsidRPr="00F9522B">
              <w:rPr>
                <w:rFonts w:eastAsiaTheme="minorEastAsia"/>
                <w:szCs w:val="21"/>
              </w:rPr>
              <w:t>01</w:t>
            </w:r>
          </w:p>
        </w:tc>
        <w:tc>
          <w:tcPr>
            <w:tcW w:w="980" w:type="pct"/>
            <w:vAlign w:val="center"/>
          </w:tcPr>
          <w:p w:rsidR="002A5A5E" w:rsidRPr="00F9522B" w:rsidRDefault="00611CBA" w:rsidP="007E0713">
            <w:pPr>
              <w:widowControl/>
              <w:spacing w:line="0" w:lineRule="atLeast"/>
              <w:contextualSpacing/>
              <w:jc w:val="center"/>
              <w:rPr>
                <w:rFonts w:eastAsiaTheme="minorEastAsia"/>
                <w:szCs w:val="21"/>
              </w:rPr>
            </w:pPr>
            <w:r w:rsidRPr="00F9522B">
              <w:rPr>
                <w:rFonts w:ascii="宋体" w:hAnsi="宋体" w:cs="宋体" w:hint="eastAsia"/>
                <w:szCs w:val="21"/>
              </w:rPr>
              <w:t>☆</w:t>
            </w:r>
            <w:r w:rsidRPr="00F9522B">
              <w:rPr>
                <w:rFonts w:eastAsiaTheme="minorEastAsia"/>
                <w:szCs w:val="21"/>
              </w:rPr>
              <w:t>02</w:t>
            </w:r>
          </w:p>
        </w:tc>
        <w:tc>
          <w:tcPr>
            <w:tcW w:w="748" w:type="pct"/>
            <w:vAlign w:val="center"/>
          </w:tcPr>
          <w:p w:rsidR="002A5A5E" w:rsidRPr="00F9522B" w:rsidRDefault="00611CBA" w:rsidP="007E0713">
            <w:pPr>
              <w:widowControl/>
              <w:spacing w:line="0" w:lineRule="atLeast"/>
              <w:contextualSpacing/>
              <w:jc w:val="center"/>
              <w:rPr>
                <w:rFonts w:eastAsiaTheme="minorEastAsia"/>
                <w:szCs w:val="21"/>
              </w:rPr>
            </w:pPr>
            <w:r w:rsidRPr="00F9522B">
              <w:rPr>
                <w:rFonts w:ascii="宋体" w:hAnsi="宋体" w:cs="宋体" w:hint="eastAsia"/>
                <w:szCs w:val="21"/>
              </w:rPr>
              <w:t>☆</w:t>
            </w:r>
            <w:r w:rsidRPr="00F9522B">
              <w:rPr>
                <w:rFonts w:eastAsiaTheme="minorEastAsia"/>
                <w:szCs w:val="21"/>
              </w:rPr>
              <w:t>03</w:t>
            </w:r>
          </w:p>
        </w:tc>
        <w:tc>
          <w:tcPr>
            <w:tcW w:w="746" w:type="pct"/>
            <w:vAlign w:val="center"/>
          </w:tcPr>
          <w:p w:rsidR="002A5A5E" w:rsidRPr="00F9522B" w:rsidRDefault="00611CBA" w:rsidP="007E0713">
            <w:pPr>
              <w:widowControl/>
              <w:spacing w:line="0" w:lineRule="atLeast"/>
              <w:contextualSpacing/>
              <w:jc w:val="center"/>
              <w:rPr>
                <w:rFonts w:eastAsiaTheme="minorEastAsia"/>
                <w:szCs w:val="21"/>
              </w:rPr>
            </w:pPr>
            <w:r w:rsidRPr="00F9522B">
              <w:rPr>
                <w:rFonts w:ascii="宋体" w:hAnsi="宋体" w:cs="宋体" w:hint="eastAsia"/>
                <w:szCs w:val="21"/>
              </w:rPr>
              <w:t>☆</w:t>
            </w:r>
            <w:r w:rsidRPr="00F9522B">
              <w:rPr>
                <w:rFonts w:eastAsiaTheme="minorEastAsia"/>
                <w:szCs w:val="21"/>
              </w:rPr>
              <w:t>04</w:t>
            </w:r>
          </w:p>
        </w:tc>
      </w:tr>
      <w:tr w:rsidR="002A5A5E" w:rsidRPr="00F9522B" w:rsidTr="007E0713">
        <w:trPr>
          <w:trHeight w:val="297"/>
          <w:jc w:val="center"/>
        </w:trPr>
        <w:tc>
          <w:tcPr>
            <w:tcW w:w="556" w:type="pct"/>
            <w:vMerge/>
            <w:vAlign w:val="center"/>
          </w:tcPr>
          <w:p w:rsidR="002A5A5E" w:rsidRPr="00F9522B" w:rsidRDefault="002A5A5E" w:rsidP="007E0713">
            <w:pPr>
              <w:widowControl/>
              <w:spacing w:line="0" w:lineRule="atLeast"/>
              <w:contextualSpacing/>
              <w:jc w:val="center"/>
              <w:rPr>
                <w:rFonts w:eastAsiaTheme="minorEastAsia"/>
                <w:szCs w:val="21"/>
              </w:rPr>
            </w:pPr>
          </w:p>
        </w:tc>
        <w:tc>
          <w:tcPr>
            <w:tcW w:w="1147" w:type="pct"/>
            <w:vMerge/>
            <w:vAlign w:val="center"/>
          </w:tcPr>
          <w:p w:rsidR="002A5A5E" w:rsidRPr="00F9522B" w:rsidRDefault="002A5A5E" w:rsidP="007E0713">
            <w:pPr>
              <w:widowControl/>
              <w:spacing w:line="0" w:lineRule="atLeast"/>
              <w:contextualSpacing/>
              <w:jc w:val="center"/>
              <w:rPr>
                <w:rFonts w:eastAsiaTheme="minorEastAsia"/>
                <w:szCs w:val="21"/>
              </w:rPr>
            </w:pPr>
          </w:p>
        </w:tc>
        <w:tc>
          <w:tcPr>
            <w:tcW w:w="823" w:type="pct"/>
            <w:vAlign w:val="center"/>
          </w:tcPr>
          <w:p w:rsidR="002A5A5E" w:rsidRPr="00F9522B" w:rsidRDefault="00611CBA" w:rsidP="007E0713">
            <w:pPr>
              <w:widowControl/>
              <w:spacing w:line="0" w:lineRule="atLeast"/>
              <w:contextualSpacing/>
              <w:jc w:val="center"/>
              <w:rPr>
                <w:rFonts w:eastAsiaTheme="minorEastAsia"/>
                <w:szCs w:val="21"/>
              </w:rPr>
            </w:pPr>
            <w:r w:rsidRPr="00F9522B">
              <w:rPr>
                <w:rFonts w:eastAsiaTheme="minorEastAsia"/>
                <w:szCs w:val="21"/>
              </w:rPr>
              <w:t>Pi</w:t>
            </w:r>
          </w:p>
        </w:tc>
        <w:tc>
          <w:tcPr>
            <w:tcW w:w="980" w:type="pct"/>
            <w:vAlign w:val="center"/>
          </w:tcPr>
          <w:p w:rsidR="002A5A5E" w:rsidRPr="00F9522B" w:rsidRDefault="00611CBA" w:rsidP="007E0713">
            <w:pPr>
              <w:widowControl/>
              <w:spacing w:line="0" w:lineRule="atLeast"/>
              <w:contextualSpacing/>
              <w:jc w:val="center"/>
              <w:rPr>
                <w:rFonts w:eastAsiaTheme="minorEastAsia"/>
                <w:szCs w:val="21"/>
              </w:rPr>
            </w:pPr>
            <w:r w:rsidRPr="00F9522B">
              <w:rPr>
                <w:rFonts w:eastAsiaTheme="minorEastAsia"/>
                <w:szCs w:val="21"/>
              </w:rPr>
              <w:t>Pi</w:t>
            </w:r>
          </w:p>
        </w:tc>
        <w:tc>
          <w:tcPr>
            <w:tcW w:w="748" w:type="pct"/>
            <w:vAlign w:val="center"/>
          </w:tcPr>
          <w:p w:rsidR="002A5A5E" w:rsidRPr="00F9522B" w:rsidRDefault="00611CBA" w:rsidP="007E0713">
            <w:pPr>
              <w:widowControl/>
              <w:spacing w:line="0" w:lineRule="atLeast"/>
              <w:contextualSpacing/>
              <w:jc w:val="center"/>
              <w:rPr>
                <w:rFonts w:eastAsiaTheme="minorEastAsia"/>
                <w:szCs w:val="21"/>
              </w:rPr>
            </w:pPr>
            <w:r w:rsidRPr="00F9522B">
              <w:rPr>
                <w:rFonts w:eastAsiaTheme="minorEastAsia"/>
                <w:szCs w:val="21"/>
              </w:rPr>
              <w:t>Pi</w:t>
            </w:r>
          </w:p>
        </w:tc>
        <w:tc>
          <w:tcPr>
            <w:tcW w:w="746" w:type="pct"/>
            <w:vAlign w:val="center"/>
          </w:tcPr>
          <w:p w:rsidR="002A5A5E" w:rsidRPr="00F9522B" w:rsidRDefault="00611CBA" w:rsidP="007E0713">
            <w:pPr>
              <w:widowControl/>
              <w:spacing w:line="0" w:lineRule="atLeast"/>
              <w:contextualSpacing/>
              <w:jc w:val="center"/>
              <w:rPr>
                <w:rFonts w:eastAsiaTheme="minorEastAsia"/>
                <w:szCs w:val="21"/>
              </w:rPr>
            </w:pPr>
            <w:r w:rsidRPr="00F9522B">
              <w:rPr>
                <w:rFonts w:eastAsiaTheme="minorEastAsia"/>
                <w:szCs w:val="21"/>
              </w:rPr>
              <w:t>Pi</w:t>
            </w:r>
          </w:p>
        </w:tc>
      </w:tr>
      <w:tr w:rsidR="002A5A5E" w:rsidRPr="00F9522B" w:rsidTr="007E0713">
        <w:trPr>
          <w:trHeight w:val="297"/>
          <w:jc w:val="center"/>
        </w:trPr>
        <w:tc>
          <w:tcPr>
            <w:tcW w:w="556" w:type="pct"/>
            <w:vAlign w:val="center"/>
          </w:tcPr>
          <w:p w:rsidR="002A5A5E" w:rsidRPr="00F9522B" w:rsidRDefault="00611CBA" w:rsidP="007E0713">
            <w:pPr>
              <w:widowControl/>
              <w:spacing w:line="0" w:lineRule="atLeast"/>
              <w:contextualSpacing/>
              <w:jc w:val="center"/>
              <w:rPr>
                <w:rFonts w:eastAsiaTheme="minorEastAsia"/>
                <w:szCs w:val="21"/>
              </w:rPr>
            </w:pPr>
            <w:r w:rsidRPr="00F9522B">
              <w:rPr>
                <w:rFonts w:eastAsiaTheme="minorEastAsia"/>
                <w:szCs w:val="21"/>
              </w:rPr>
              <w:t>1</w:t>
            </w:r>
          </w:p>
        </w:tc>
        <w:tc>
          <w:tcPr>
            <w:tcW w:w="1147" w:type="pct"/>
            <w:vAlign w:val="center"/>
          </w:tcPr>
          <w:p w:rsidR="002A5A5E" w:rsidRPr="00F9522B" w:rsidRDefault="00611CBA" w:rsidP="007E0713">
            <w:pPr>
              <w:widowControl/>
              <w:spacing w:line="0" w:lineRule="atLeast"/>
              <w:contextualSpacing/>
              <w:jc w:val="center"/>
              <w:rPr>
                <w:rFonts w:eastAsiaTheme="minorEastAsia"/>
                <w:kern w:val="0"/>
                <w:szCs w:val="21"/>
              </w:rPr>
            </w:pPr>
            <w:r w:rsidRPr="00F9522B">
              <w:rPr>
                <w:rFonts w:eastAsiaTheme="minorEastAsia"/>
                <w:szCs w:val="21"/>
              </w:rPr>
              <w:t>pH</w:t>
            </w:r>
            <w:r w:rsidRPr="00F9522B">
              <w:rPr>
                <w:rFonts w:eastAsiaTheme="minorEastAsia"/>
                <w:szCs w:val="21"/>
              </w:rPr>
              <w:t>值</w:t>
            </w:r>
          </w:p>
        </w:tc>
        <w:tc>
          <w:tcPr>
            <w:tcW w:w="823" w:type="pct"/>
            <w:vAlign w:val="center"/>
          </w:tcPr>
          <w:p w:rsidR="002A5A5E" w:rsidRPr="00F9522B" w:rsidRDefault="00DC39A8" w:rsidP="007E0713">
            <w:pPr>
              <w:widowControl/>
              <w:spacing w:line="0" w:lineRule="atLeast"/>
              <w:contextualSpacing/>
              <w:jc w:val="center"/>
              <w:rPr>
                <w:rFonts w:eastAsiaTheme="minorEastAsia"/>
                <w:szCs w:val="21"/>
              </w:rPr>
            </w:pPr>
            <w:r w:rsidRPr="00F9522B">
              <w:rPr>
                <w:rFonts w:eastAsiaTheme="minorEastAsia"/>
                <w:szCs w:val="21"/>
              </w:rPr>
              <w:t>0.4</w:t>
            </w:r>
          </w:p>
        </w:tc>
        <w:tc>
          <w:tcPr>
            <w:tcW w:w="980" w:type="pct"/>
            <w:vAlign w:val="center"/>
          </w:tcPr>
          <w:p w:rsidR="002A5A5E" w:rsidRPr="00F9522B" w:rsidRDefault="00DC39A8" w:rsidP="007E0713">
            <w:pPr>
              <w:widowControl/>
              <w:spacing w:line="0" w:lineRule="atLeast"/>
              <w:contextualSpacing/>
              <w:jc w:val="center"/>
              <w:rPr>
                <w:rFonts w:eastAsiaTheme="minorEastAsia"/>
                <w:szCs w:val="21"/>
              </w:rPr>
            </w:pPr>
            <w:r w:rsidRPr="00F9522B">
              <w:rPr>
                <w:rFonts w:eastAsiaTheme="minorEastAsia"/>
                <w:szCs w:val="21"/>
              </w:rPr>
              <w:t>0.13</w:t>
            </w:r>
          </w:p>
        </w:tc>
        <w:tc>
          <w:tcPr>
            <w:tcW w:w="748" w:type="pct"/>
            <w:vAlign w:val="center"/>
          </w:tcPr>
          <w:p w:rsidR="002A5A5E" w:rsidRPr="00F9522B" w:rsidRDefault="00DC39A8" w:rsidP="007E0713">
            <w:pPr>
              <w:widowControl/>
              <w:spacing w:line="0" w:lineRule="atLeast"/>
              <w:contextualSpacing/>
              <w:jc w:val="center"/>
              <w:rPr>
                <w:rFonts w:eastAsiaTheme="minorEastAsia"/>
                <w:szCs w:val="21"/>
              </w:rPr>
            </w:pPr>
            <w:r w:rsidRPr="00F9522B">
              <w:rPr>
                <w:rFonts w:eastAsiaTheme="minorEastAsia"/>
                <w:szCs w:val="21"/>
              </w:rPr>
              <w:t>0.33</w:t>
            </w:r>
          </w:p>
        </w:tc>
        <w:tc>
          <w:tcPr>
            <w:tcW w:w="746" w:type="pct"/>
            <w:vAlign w:val="center"/>
          </w:tcPr>
          <w:p w:rsidR="002A5A5E" w:rsidRPr="00F9522B" w:rsidRDefault="00DC39A8" w:rsidP="007E0713">
            <w:pPr>
              <w:widowControl/>
              <w:spacing w:line="0" w:lineRule="atLeast"/>
              <w:contextualSpacing/>
              <w:jc w:val="center"/>
              <w:rPr>
                <w:rFonts w:eastAsiaTheme="minorEastAsia"/>
                <w:szCs w:val="21"/>
              </w:rPr>
            </w:pPr>
            <w:r w:rsidRPr="00F9522B">
              <w:rPr>
                <w:rFonts w:eastAsiaTheme="minorEastAsia"/>
                <w:szCs w:val="21"/>
              </w:rPr>
              <w:t>0.07</w:t>
            </w:r>
          </w:p>
        </w:tc>
      </w:tr>
      <w:tr w:rsidR="00DC39A8" w:rsidRPr="00F9522B" w:rsidTr="007E0713">
        <w:trPr>
          <w:trHeight w:val="297"/>
          <w:jc w:val="center"/>
        </w:trPr>
        <w:tc>
          <w:tcPr>
            <w:tcW w:w="556" w:type="pct"/>
            <w:vAlign w:val="center"/>
          </w:tcPr>
          <w:p w:rsidR="00DC39A8" w:rsidRPr="00F9522B" w:rsidRDefault="00DC39A8" w:rsidP="007E0713">
            <w:pPr>
              <w:widowControl/>
              <w:spacing w:line="0" w:lineRule="atLeast"/>
              <w:contextualSpacing/>
              <w:jc w:val="center"/>
              <w:rPr>
                <w:rFonts w:eastAsiaTheme="minorEastAsia"/>
                <w:szCs w:val="21"/>
              </w:rPr>
            </w:pPr>
            <w:r w:rsidRPr="00F9522B">
              <w:rPr>
                <w:rFonts w:eastAsiaTheme="minorEastAsia"/>
                <w:szCs w:val="21"/>
              </w:rPr>
              <w:t>2</w:t>
            </w:r>
          </w:p>
        </w:tc>
        <w:tc>
          <w:tcPr>
            <w:tcW w:w="1147" w:type="pct"/>
            <w:vAlign w:val="center"/>
          </w:tcPr>
          <w:p w:rsidR="00DC39A8" w:rsidRPr="00F9522B" w:rsidRDefault="00DC39A8" w:rsidP="007E0713">
            <w:pPr>
              <w:widowControl/>
              <w:spacing w:line="0" w:lineRule="atLeast"/>
              <w:contextualSpacing/>
              <w:jc w:val="center"/>
              <w:rPr>
                <w:rFonts w:eastAsiaTheme="minorEastAsia"/>
                <w:szCs w:val="21"/>
              </w:rPr>
            </w:pPr>
            <w:r w:rsidRPr="00F9522B">
              <w:rPr>
                <w:rFonts w:eastAsiaTheme="minorEastAsia"/>
                <w:szCs w:val="21"/>
              </w:rPr>
              <w:t>总硬度</w:t>
            </w:r>
          </w:p>
        </w:tc>
        <w:tc>
          <w:tcPr>
            <w:tcW w:w="823" w:type="pct"/>
            <w:vAlign w:val="center"/>
          </w:tcPr>
          <w:p w:rsidR="00DC39A8" w:rsidRPr="00F9522B" w:rsidRDefault="00DC39A8" w:rsidP="007E0713">
            <w:pPr>
              <w:widowControl/>
              <w:spacing w:line="0" w:lineRule="atLeast"/>
              <w:contextualSpacing/>
              <w:jc w:val="center"/>
              <w:rPr>
                <w:rFonts w:eastAsiaTheme="minorEastAsia"/>
                <w:szCs w:val="21"/>
              </w:rPr>
            </w:pPr>
            <w:r w:rsidRPr="00F9522B">
              <w:rPr>
                <w:rFonts w:eastAsiaTheme="minorEastAsia"/>
                <w:szCs w:val="21"/>
              </w:rPr>
              <w:t>0.31</w:t>
            </w:r>
          </w:p>
        </w:tc>
        <w:tc>
          <w:tcPr>
            <w:tcW w:w="980" w:type="pct"/>
            <w:vAlign w:val="center"/>
          </w:tcPr>
          <w:p w:rsidR="00DC39A8" w:rsidRPr="00F9522B" w:rsidRDefault="00DC39A8" w:rsidP="007E0713">
            <w:pPr>
              <w:widowControl/>
              <w:spacing w:line="0" w:lineRule="atLeast"/>
              <w:contextualSpacing/>
              <w:jc w:val="center"/>
              <w:rPr>
                <w:rFonts w:eastAsiaTheme="minorEastAsia"/>
                <w:szCs w:val="21"/>
              </w:rPr>
            </w:pPr>
            <w:r w:rsidRPr="00F9522B">
              <w:rPr>
                <w:rFonts w:eastAsiaTheme="minorEastAsia"/>
                <w:szCs w:val="21"/>
              </w:rPr>
              <w:t>0.36</w:t>
            </w:r>
          </w:p>
        </w:tc>
        <w:tc>
          <w:tcPr>
            <w:tcW w:w="748" w:type="pct"/>
            <w:vAlign w:val="center"/>
          </w:tcPr>
          <w:p w:rsidR="00DC39A8" w:rsidRPr="00F9522B" w:rsidRDefault="00DC39A8" w:rsidP="007E0713">
            <w:pPr>
              <w:widowControl/>
              <w:spacing w:line="0" w:lineRule="atLeast"/>
              <w:contextualSpacing/>
              <w:jc w:val="center"/>
              <w:rPr>
                <w:rFonts w:eastAsiaTheme="minorEastAsia"/>
                <w:szCs w:val="21"/>
              </w:rPr>
            </w:pPr>
            <w:r w:rsidRPr="00F9522B">
              <w:rPr>
                <w:rFonts w:eastAsiaTheme="minorEastAsia"/>
                <w:szCs w:val="21"/>
              </w:rPr>
              <w:t>0.41</w:t>
            </w:r>
          </w:p>
        </w:tc>
        <w:tc>
          <w:tcPr>
            <w:tcW w:w="746" w:type="pct"/>
            <w:vAlign w:val="center"/>
          </w:tcPr>
          <w:p w:rsidR="00DC39A8" w:rsidRPr="00F9522B" w:rsidRDefault="00DC39A8" w:rsidP="007E0713">
            <w:pPr>
              <w:widowControl/>
              <w:spacing w:line="0" w:lineRule="atLeast"/>
              <w:contextualSpacing/>
              <w:jc w:val="center"/>
              <w:rPr>
                <w:rFonts w:eastAsiaTheme="minorEastAsia"/>
                <w:szCs w:val="21"/>
              </w:rPr>
            </w:pPr>
            <w:r w:rsidRPr="00F9522B">
              <w:rPr>
                <w:rFonts w:eastAsiaTheme="minorEastAsia"/>
                <w:szCs w:val="21"/>
              </w:rPr>
              <w:t>0.45</w:t>
            </w:r>
          </w:p>
        </w:tc>
      </w:tr>
      <w:tr w:rsidR="00DC39A8" w:rsidRPr="00F9522B" w:rsidTr="007E0713">
        <w:trPr>
          <w:trHeight w:val="297"/>
          <w:jc w:val="center"/>
        </w:trPr>
        <w:tc>
          <w:tcPr>
            <w:tcW w:w="556" w:type="pct"/>
            <w:vAlign w:val="center"/>
          </w:tcPr>
          <w:p w:rsidR="00DC39A8" w:rsidRPr="00F9522B" w:rsidRDefault="00DC39A8" w:rsidP="007E0713">
            <w:pPr>
              <w:widowControl/>
              <w:spacing w:line="0" w:lineRule="atLeast"/>
              <w:contextualSpacing/>
              <w:jc w:val="center"/>
              <w:rPr>
                <w:rFonts w:eastAsiaTheme="minorEastAsia"/>
                <w:szCs w:val="21"/>
              </w:rPr>
            </w:pPr>
            <w:r w:rsidRPr="00F9522B">
              <w:rPr>
                <w:rFonts w:eastAsiaTheme="minorEastAsia"/>
                <w:szCs w:val="21"/>
              </w:rPr>
              <w:t>3</w:t>
            </w:r>
          </w:p>
        </w:tc>
        <w:tc>
          <w:tcPr>
            <w:tcW w:w="1147" w:type="pct"/>
            <w:vAlign w:val="center"/>
          </w:tcPr>
          <w:p w:rsidR="00DC39A8" w:rsidRPr="00F9522B" w:rsidRDefault="00DC39A8" w:rsidP="007E0713">
            <w:pPr>
              <w:widowControl/>
              <w:spacing w:line="0" w:lineRule="atLeast"/>
              <w:contextualSpacing/>
              <w:jc w:val="center"/>
              <w:rPr>
                <w:rFonts w:eastAsiaTheme="minorEastAsia"/>
                <w:kern w:val="0"/>
                <w:szCs w:val="21"/>
              </w:rPr>
            </w:pPr>
            <w:r w:rsidRPr="00F9522B">
              <w:rPr>
                <w:rFonts w:eastAsiaTheme="minorEastAsia"/>
                <w:szCs w:val="21"/>
              </w:rPr>
              <w:t>溶解性总固体</w:t>
            </w:r>
          </w:p>
        </w:tc>
        <w:tc>
          <w:tcPr>
            <w:tcW w:w="823" w:type="pct"/>
            <w:vAlign w:val="center"/>
          </w:tcPr>
          <w:p w:rsidR="00DC39A8" w:rsidRPr="00F9522B" w:rsidRDefault="00DC39A8" w:rsidP="007E0713">
            <w:pPr>
              <w:widowControl/>
              <w:spacing w:line="0" w:lineRule="atLeast"/>
              <w:contextualSpacing/>
              <w:jc w:val="center"/>
              <w:rPr>
                <w:rFonts w:eastAsiaTheme="minorEastAsia"/>
                <w:szCs w:val="21"/>
              </w:rPr>
            </w:pPr>
            <w:r w:rsidRPr="00F9522B">
              <w:rPr>
                <w:rFonts w:eastAsiaTheme="minorEastAsia"/>
                <w:szCs w:val="21"/>
              </w:rPr>
              <w:t>0.23</w:t>
            </w:r>
          </w:p>
        </w:tc>
        <w:tc>
          <w:tcPr>
            <w:tcW w:w="980" w:type="pct"/>
            <w:vAlign w:val="center"/>
          </w:tcPr>
          <w:p w:rsidR="00DC39A8" w:rsidRPr="00F9522B" w:rsidRDefault="00DC39A8" w:rsidP="007E0713">
            <w:pPr>
              <w:widowControl/>
              <w:spacing w:line="0" w:lineRule="atLeast"/>
              <w:contextualSpacing/>
              <w:jc w:val="center"/>
              <w:rPr>
                <w:rFonts w:eastAsiaTheme="minorEastAsia"/>
                <w:szCs w:val="21"/>
              </w:rPr>
            </w:pPr>
            <w:r w:rsidRPr="00F9522B">
              <w:rPr>
                <w:rFonts w:eastAsiaTheme="minorEastAsia"/>
                <w:szCs w:val="21"/>
              </w:rPr>
              <w:t>0.24</w:t>
            </w:r>
          </w:p>
        </w:tc>
        <w:tc>
          <w:tcPr>
            <w:tcW w:w="748" w:type="pct"/>
            <w:vAlign w:val="center"/>
          </w:tcPr>
          <w:p w:rsidR="00DC39A8" w:rsidRPr="00F9522B" w:rsidRDefault="00DC39A8" w:rsidP="007E0713">
            <w:pPr>
              <w:widowControl/>
              <w:spacing w:line="0" w:lineRule="atLeast"/>
              <w:contextualSpacing/>
              <w:jc w:val="center"/>
              <w:rPr>
                <w:rFonts w:eastAsiaTheme="minorEastAsia"/>
                <w:szCs w:val="21"/>
              </w:rPr>
            </w:pPr>
            <w:r w:rsidRPr="00F9522B">
              <w:rPr>
                <w:rFonts w:eastAsiaTheme="minorEastAsia"/>
                <w:szCs w:val="21"/>
              </w:rPr>
              <w:t>0.24</w:t>
            </w:r>
          </w:p>
        </w:tc>
        <w:tc>
          <w:tcPr>
            <w:tcW w:w="746" w:type="pct"/>
            <w:vAlign w:val="center"/>
          </w:tcPr>
          <w:p w:rsidR="00DC39A8" w:rsidRPr="00F9522B" w:rsidRDefault="00DC39A8" w:rsidP="007E0713">
            <w:pPr>
              <w:widowControl/>
              <w:spacing w:line="0" w:lineRule="atLeast"/>
              <w:contextualSpacing/>
              <w:jc w:val="center"/>
              <w:rPr>
                <w:rFonts w:eastAsiaTheme="minorEastAsia"/>
                <w:szCs w:val="21"/>
              </w:rPr>
            </w:pPr>
            <w:r w:rsidRPr="00F9522B">
              <w:rPr>
                <w:rFonts w:eastAsiaTheme="minorEastAsia"/>
                <w:szCs w:val="21"/>
              </w:rPr>
              <w:t>0.26</w:t>
            </w:r>
          </w:p>
        </w:tc>
      </w:tr>
      <w:tr w:rsidR="00DC39A8" w:rsidRPr="00F9522B" w:rsidTr="007E0713">
        <w:trPr>
          <w:trHeight w:val="297"/>
          <w:jc w:val="center"/>
        </w:trPr>
        <w:tc>
          <w:tcPr>
            <w:tcW w:w="556" w:type="pct"/>
            <w:vAlign w:val="center"/>
          </w:tcPr>
          <w:p w:rsidR="00DC39A8" w:rsidRPr="00F9522B" w:rsidRDefault="00DC39A8" w:rsidP="007E0713">
            <w:pPr>
              <w:widowControl/>
              <w:spacing w:line="0" w:lineRule="atLeast"/>
              <w:contextualSpacing/>
              <w:jc w:val="center"/>
              <w:rPr>
                <w:rFonts w:eastAsiaTheme="minorEastAsia"/>
                <w:szCs w:val="21"/>
              </w:rPr>
            </w:pPr>
            <w:r w:rsidRPr="00F9522B">
              <w:rPr>
                <w:rFonts w:eastAsiaTheme="minorEastAsia"/>
                <w:szCs w:val="21"/>
              </w:rPr>
              <w:t>4</w:t>
            </w:r>
          </w:p>
        </w:tc>
        <w:tc>
          <w:tcPr>
            <w:tcW w:w="1147" w:type="pct"/>
            <w:vAlign w:val="center"/>
          </w:tcPr>
          <w:p w:rsidR="00DC39A8" w:rsidRPr="00F9522B" w:rsidRDefault="00DC39A8" w:rsidP="007E0713">
            <w:pPr>
              <w:widowControl/>
              <w:spacing w:line="0" w:lineRule="atLeast"/>
              <w:contextualSpacing/>
              <w:jc w:val="center"/>
              <w:rPr>
                <w:rFonts w:eastAsiaTheme="minorEastAsia"/>
                <w:szCs w:val="21"/>
              </w:rPr>
            </w:pPr>
            <w:r w:rsidRPr="00F9522B">
              <w:rPr>
                <w:rFonts w:eastAsiaTheme="minorEastAsia"/>
                <w:szCs w:val="21"/>
              </w:rPr>
              <w:t>硫酸盐</w:t>
            </w:r>
          </w:p>
        </w:tc>
        <w:tc>
          <w:tcPr>
            <w:tcW w:w="823" w:type="pct"/>
            <w:vAlign w:val="center"/>
          </w:tcPr>
          <w:p w:rsidR="00DC39A8" w:rsidRPr="00F9522B" w:rsidRDefault="00DC39A8" w:rsidP="007E0713">
            <w:pPr>
              <w:widowControl/>
              <w:spacing w:line="0" w:lineRule="atLeast"/>
              <w:contextualSpacing/>
              <w:jc w:val="center"/>
              <w:rPr>
                <w:rFonts w:eastAsiaTheme="minorEastAsia"/>
                <w:szCs w:val="21"/>
              </w:rPr>
            </w:pPr>
            <w:r w:rsidRPr="00F9522B">
              <w:rPr>
                <w:rFonts w:eastAsiaTheme="minorEastAsia"/>
                <w:szCs w:val="21"/>
              </w:rPr>
              <w:t>0.22</w:t>
            </w:r>
          </w:p>
        </w:tc>
        <w:tc>
          <w:tcPr>
            <w:tcW w:w="980" w:type="pct"/>
            <w:vAlign w:val="center"/>
          </w:tcPr>
          <w:p w:rsidR="00DC39A8" w:rsidRPr="00F9522B" w:rsidRDefault="00DC39A8" w:rsidP="007E0713">
            <w:pPr>
              <w:widowControl/>
              <w:spacing w:line="0" w:lineRule="atLeast"/>
              <w:contextualSpacing/>
              <w:jc w:val="center"/>
              <w:rPr>
                <w:rFonts w:eastAsiaTheme="minorEastAsia"/>
                <w:szCs w:val="21"/>
              </w:rPr>
            </w:pPr>
            <w:r w:rsidRPr="00F9522B">
              <w:rPr>
                <w:rFonts w:eastAsiaTheme="minorEastAsia"/>
                <w:szCs w:val="21"/>
              </w:rPr>
              <w:t>0.05</w:t>
            </w:r>
          </w:p>
        </w:tc>
        <w:tc>
          <w:tcPr>
            <w:tcW w:w="748" w:type="pct"/>
            <w:vAlign w:val="center"/>
          </w:tcPr>
          <w:p w:rsidR="00DC39A8" w:rsidRPr="00F9522B" w:rsidRDefault="00DC39A8" w:rsidP="007E0713">
            <w:pPr>
              <w:widowControl/>
              <w:spacing w:line="0" w:lineRule="atLeast"/>
              <w:contextualSpacing/>
              <w:jc w:val="center"/>
              <w:rPr>
                <w:rFonts w:eastAsiaTheme="minorEastAsia"/>
                <w:szCs w:val="21"/>
              </w:rPr>
            </w:pPr>
            <w:r w:rsidRPr="00F9522B">
              <w:rPr>
                <w:rFonts w:eastAsiaTheme="minorEastAsia"/>
                <w:szCs w:val="21"/>
              </w:rPr>
              <w:t>0.26</w:t>
            </w:r>
          </w:p>
        </w:tc>
        <w:tc>
          <w:tcPr>
            <w:tcW w:w="746" w:type="pct"/>
            <w:vAlign w:val="center"/>
          </w:tcPr>
          <w:p w:rsidR="00DC39A8" w:rsidRPr="00F9522B" w:rsidRDefault="00DC39A8" w:rsidP="007E0713">
            <w:pPr>
              <w:widowControl/>
              <w:spacing w:line="0" w:lineRule="atLeast"/>
              <w:contextualSpacing/>
              <w:jc w:val="center"/>
              <w:rPr>
                <w:rFonts w:eastAsiaTheme="minorEastAsia"/>
                <w:szCs w:val="21"/>
              </w:rPr>
            </w:pPr>
            <w:r w:rsidRPr="00F9522B">
              <w:rPr>
                <w:rFonts w:eastAsiaTheme="minorEastAsia"/>
                <w:szCs w:val="21"/>
              </w:rPr>
              <w:t>0.76</w:t>
            </w:r>
          </w:p>
        </w:tc>
      </w:tr>
      <w:tr w:rsidR="00DC39A8" w:rsidRPr="00F9522B" w:rsidTr="007E0713">
        <w:trPr>
          <w:trHeight w:val="297"/>
          <w:jc w:val="center"/>
        </w:trPr>
        <w:tc>
          <w:tcPr>
            <w:tcW w:w="556" w:type="pct"/>
            <w:vAlign w:val="center"/>
          </w:tcPr>
          <w:p w:rsidR="00DC39A8" w:rsidRPr="00F9522B" w:rsidRDefault="00DC39A8" w:rsidP="007E0713">
            <w:pPr>
              <w:widowControl/>
              <w:spacing w:line="0" w:lineRule="atLeast"/>
              <w:contextualSpacing/>
              <w:jc w:val="center"/>
              <w:rPr>
                <w:rFonts w:eastAsiaTheme="minorEastAsia"/>
                <w:szCs w:val="21"/>
              </w:rPr>
            </w:pPr>
            <w:r w:rsidRPr="00F9522B">
              <w:rPr>
                <w:rFonts w:eastAsiaTheme="minorEastAsia"/>
                <w:szCs w:val="21"/>
              </w:rPr>
              <w:t>5</w:t>
            </w:r>
          </w:p>
        </w:tc>
        <w:tc>
          <w:tcPr>
            <w:tcW w:w="1147" w:type="pct"/>
            <w:vAlign w:val="center"/>
          </w:tcPr>
          <w:p w:rsidR="00DC39A8" w:rsidRPr="00F9522B" w:rsidRDefault="00DC39A8" w:rsidP="007E0713">
            <w:pPr>
              <w:widowControl/>
              <w:spacing w:line="0" w:lineRule="atLeast"/>
              <w:contextualSpacing/>
              <w:jc w:val="center"/>
              <w:rPr>
                <w:rFonts w:eastAsiaTheme="minorEastAsia"/>
                <w:szCs w:val="21"/>
              </w:rPr>
            </w:pPr>
            <w:r w:rsidRPr="00F9522B">
              <w:rPr>
                <w:rFonts w:eastAsiaTheme="minorEastAsia"/>
                <w:szCs w:val="21"/>
              </w:rPr>
              <w:t>氯化物</w:t>
            </w:r>
          </w:p>
        </w:tc>
        <w:tc>
          <w:tcPr>
            <w:tcW w:w="823" w:type="pct"/>
            <w:vAlign w:val="center"/>
          </w:tcPr>
          <w:p w:rsidR="00DC39A8" w:rsidRPr="00F9522B" w:rsidRDefault="00DC39A8" w:rsidP="007E0713">
            <w:pPr>
              <w:widowControl/>
              <w:spacing w:line="0" w:lineRule="atLeast"/>
              <w:contextualSpacing/>
              <w:jc w:val="center"/>
              <w:rPr>
                <w:rFonts w:eastAsiaTheme="minorEastAsia"/>
                <w:szCs w:val="21"/>
              </w:rPr>
            </w:pPr>
            <w:r w:rsidRPr="00F9522B">
              <w:rPr>
                <w:rFonts w:eastAsiaTheme="minorEastAsia"/>
                <w:szCs w:val="21"/>
              </w:rPr>
              <w:t>0.26</w:t>
            </w:r>
          </w:p>
        </w:tc>
        <w:tc>
          <w:tcPr>
            <w:tcW w:w="980" w:type="pct"/>
            <w:vAlign w:val="center"/>
          </w:tcPr>
          <w:p w:rsidR="00DC39A8" w:rsidRPr="00F9522B" w:rsidRDefault="00DC39A8" w:rsidP="007E0713">
            <w:pPr>
              <w:widowControl/>
              <w:spacing w:line="0" w:lineRule="atLeast"/>
              <w:contextualSpacing/>
              <w:jc w:val="center"/>
              <w:rPr>
                <w:rFonts w:eastAsiaTheme="minorEastAsia"/>
                <w:szCs w:val="21"/>
              </w:rPr>
            </w:pPr>
            <w:r w:rsidRPr="00F9522B">
              <w:rPr>
                <w:rFonts w:eastAsiaTheme="minorEastAsia"/>
                <w:szCs w:val="21"/>
              </w:rPr>
              <w:t>0.08</w:t>
            </w:r>
          </w:p>
        </w:tc>
        <w:tc>
          <w:tcPr>
            <w:tcW w:w="748" w:type="pct"/>
            <w:vAlign w:val="center"/>
          </w:tcPr>
          <w:p w:rsidR="00DC39A8" w:rsidRPr="00F9522B" w:rsidRDefault="00DC39A8" w:rsidP="007E0713">
            <w:pPr>
              <w:widowControl/>
              <w:spacing w:line="0" w:lineRule="atLeast"/>
              <w:contextualSpacing/>
              <w:jc w:val="center"/>
              <w:rPr>
                <w:rFonts w:eastAsiaTheme="minorEastAsia"/>
                <w:szCs w:val="21"/>
              </w:rPr>
            </w:pPr>
            <w:r w:rsidRPr="00F9522B">
              <w:rPr>
                <w:rFonts w:eastAsiaTheme="minorEastAsia"/>
                <w:szCs w:val="21"/>
              </w:rPr>
              <w:t>0.30</w:t>
            </w:r>
          </w:p>
        </w:tc>
        <w:tc>
          <w:tcPr>
            <w:tcW w:w="746" w:type="pct"/>
            <w:vAlign w:val="center"/>
          </w:tcPr>
          <w:p w:rsidR="00DC39A8" w:rsidRPr="00F9522B" w:rsidRDefault="00DC39A8" w:rsidP="007E0713">
            <w:pPr>
              <w:widowControl/>
              <w:spacing w:line="0" w:lineRule="atLeast"/>
              <w:contextualSpacing/>
              <w:jc w:val="center"/>
              <w:rPr>
                <w:rFonts w:eastAsiaTheme="minorEastAsia"/>
                <w:szCs w:val="21"/>
              </w:rPr>
            </w:pPr>
            <w:r w:rsidRPr="00F9522B">
              <w:rPr>
                <w:rFonts w:eastAsiaTheme="minorEastAsia"/>
                <w:szCs w:val="21"/>
              </w:rPr>
              <w:t>0.70</w:t>
            </w:r>
          </w:p>
        </w:tc>
      </w:tr>
      <w:tr w:rsidR="002A5A5E" w:rsidRPr="00F9522B" w:rsidTr="007E0713">
        <w:trPr>
          <w:trHeight w:val="297"/>
          <w:jc w:val="center"/>
        </w:trPr>
        <w:tc>
          <w:tcPr>
            <w:tcW w:w="556" w:type="pct"/>
            <w:vAlign w:val="center"/>
          </w:tcPr>
          <w:p w:rsidR="002A5A5E" w:rsidRPr="00F9522B" w:rsidRDefault="00611CBA" w:rsidP="007E0713">
            <w:pPr>
              <w:widowControl/>
              <w:spacing w:line="0" w:lineRule="atLeast"/>
              <w:contextualSpacing/>
              <w:jc w:val="center"/>
              <w:rPr>
                <w:rFonts w:eastAsiaTheme="minorEastAsia"/>
                <w:szCs w:val="21"/>
              </w:rPr>
            </w:pPr>
            <w:r w:rsidRPr="00F9522B">
              <w:rPr>
                <w:rFonts w:eastAsiaTheme="minorEastAsia"/>
                <w:szCs w:val="21"/>
              </w:rPr>
              <w:t>6</w:t>
            </w:r>
          </w:p>
        </w:tc>
        <w:tc>
          <w:tcPr>
            <w:tcW w:w="1147" w:type="pct"/>
            <w:vAlign w:val="center"/>
          </w:tcPr>
          <w:p w:rsidR="002A5A5E" w:rsidRPr="00F9522B" w:rsidRDefault="00611CBA" w:rsidP="007E0713">
            <w:pPr>
              <w:widowControl/>
              <w:spacing w:line="0" w:lineRule="atLeast"/>
              <w:contextualSpacing/>
              <w:jc w:val="center"/>
              <w:rPr>
                <w:rFonts w:eastAsiaTheme="minorEastAsia"/>
                <w:kern w:val="0"/>
                <w:szCs w:val="21"/>
              </w:rPr>
            </w:pPr>
            <w:r w:rsidRPr="00F9522B">
              <w:rPr>
                <w:rFonts w:eastAsiaTheme="minorEastAsia"/>
                <w:szCs w:val="21"/>
              </w:rPr>
              <w:t>挥发酚</w:t>
            </w:r>
          </w:p>
        </w:tc>
        <w:tc>
          <w:tcPr>
            <w:tcW w:w="823" w:type="pct"/>
            <w:vAlign w:val="center"/>
          </w:tcPr>
          <w:p w:rsidR="002A5A5E" w:rsidRPr="00F9522B" w:rsidRDefault="00611CBA" w:rsidP="007E0713">
            <w:pPr>
              <w:widowControl/>
              <w:spacing w:line="0" w:lineRule="atLeast"/>
              <w:contextualSpacing/>
              <w:jc w:val="center"/>
              <w:rPr>
                <w:rFonts w:eastAsiaTheme="minorEastAsia"/>
                <w:szCs w:val="21"/>
              </w:rPr>
            </w:pPr>
            <w:r w:rsidRPr="00F9522B">
              <w:rPr>
                <w:rFonts w:eastAsiaTheme="minorEastAsia"/>
                <w:szCs w:val="21"/>
              </w:rPr>
              <w:t>未检出</w:t>
            </w:r>
          </w:p>
        </w:tc>
        <w:tc>
          <w:tcPr>
            <w:tcW w:w="980" w:type="pct"/>
            <w:vAlign w:val="center"/>
          </w:tcPr>
          <w:p w:rsidR="002A5A5E" w:rsidRPr="00F9522B" w:rsidRDefault="00611CBA" w:rsidP="007E0713">
            <w:pPr>
              <w:widowControl/>
              <w:spacing w:line="0" w:lineRule="atLeast"/>
              <w:contextualSpacing/>
              <w:jc w:val="center"/>
              <w:rPr>
                <w:rFonts w:eastAsiaTheme="minorEastAsia"/>
                <w:szCs w:val="21"/>
              </w:rPr>
            </w:pPr>
            <w:r w:rsidRPr="00F9522B">
              <w:rPr>
                <w:rFonts w:eastAsiaTheme="minorEastAsia"/>
                <w:szCs w:val="21"/>
              </w:rPr>
              <w:t>未检出</w:t>
            </w:r>
          </w:p>
        </w:tc>
        <w:tc>
          <w:tcPr>
            <w:tcW w:w="748" w:type="pct"/>
            <w:vAlign w:val="center"/>
          </w:tcPr>
          <w:p w:rsidR="002A5A5E" w:rsidRPr="00F9522B" w:rsidRDefault="00611CBA" w:rsidP="007E0713">
            <w:pPr>
              <w:widowControl/>
              <w:spacing w:line="0" w:lineRule="atLeast"/>
              <w:contextualSpacing/>
              <w:jc w:val="center"/>
              <w:rPr>
                <w:rFonts w:eastAsiaTheme="minorEastAsia"/>
                <w:szCs w:val="21"/>
              </w:rPr>
            </w:pPr>
            <w:r w:rsidRPr="00F9522B">
              <w:rPr>
                <w:rFonts w:eastAsiaTheme="minorEastAsia"/>
                <w:szCs w:val="21"/>
              </w:rPr>
              <w:t>未检出</w:t>
            </w:r>
          </w:p>
        </w:tc>
        <w:tc>
          <w:tcPr>
            <w:tcW w:w="746" w:type="pct"/>
            <w:vAlign w:val="center"/>
          </w:tcPr>
          <w:p w:rsidR="002A5A5E" w:rsidRPr="00F9522B" w:rsidRDefault="00611CBA" w:rsidP="007E0713">
            <w:pPr>
              <w:widowControl/>
              <w:spacing w:line="0" w:lineRule="atLeast"/>
              <w:contextualSpacing/>
              <w:jc w:val="center"/>
              <w:rPr>
                <w:rFonts w:eastAsiaTheme="minorEastAsia"/>
                <w:szCs w:val="21"/>
              </w:rPr>
            </w:pPr>
            <w:r w:rsidRPr="00F9522B">
              <w:rPr>
                <w:rFonts w:eastAsiaTheme="minorEastAsia"/>
                <w:szCs w:val="21"/>
              </w:rPr>
              <w:t>未检出</w:t>
            </w:r>
          </w:p>
        </w:tc>
      </w:tr>
      <w:tr w:rsidR="00DC39A8" w:rsidRPr="00F9522B" w:rsidTr="007E0713">
        <w:trPr>
          <w:trHeight w:val="297"/>
          <w:jc w:val="center"/>
        </w:trPr>
        <w:tc>
          <w:tcPr>
            <w:tcW w:w="556" w:type="pct"/>
            <w:vAlign w:val="center"/>
          </w:tcPr>
          <w:p w:rsidR="00DC39A8" w:rsidRPr="00F9522B" w:rsidRDefault="00DC39A8" w:rsidP="007E0713">
            <w:pPr>
              <w:widowControl/>
              <w:spacing w:line="0" w:lineRule="atLeast"/>
              <w:contextualSpacing/>
              <w:jc w:val="center"/>
              <w:rPr>
                <w:rFonts w:eastAsiaTheme="minorEastAsia"/>
                <w:szCs w:val="21"/>
              </w:rPr>
            </w:pPr>
            <w:r w:rsidRPr="00F9522B">
              <w:rPr>
                <w:rFonts w:eastAsiaTheme="minorEastAsia"/>
                <w:szCs w:val="21"/>
              </w:rPr>
              <w:t>7</w:t>
            </w:r>
          </w:p>
        </w:tc>
        <w:tc>
          <w:tcPr>
            <w:tcW w:w="1147" w:type="pct"/>
            <w:vAlign w:val="center"/>
          </w:tcPr>
          <w:p w:rsidR="00DC39A8" w:rsidRPr="00F9522B" w:rsidRDefault="00DC39A8" w:rsidP="007E0713">
            <w:pPr>
              <w:widowControl/>
              <w:spacing w:line="0" w:lineRule="atLeast"/>
              <w:contextualSpacing/>
              <w:jc w:val="center"/>
              <w:rPr>
                <w:rFonts w:eastAsiaTheme="minorEastAsia"/>
                <w:kern w:val="0"/>
                <w:szCs w:val="21"/>
              </w:rPr>
            </w:pPr>
            <w:r w:rsidRPr="00F9522B">
              <w:rPr>
                <w:rFonts w:eastAsiaTheme="minorEastAsia"/>
                <w:bCs/>
                <w:szCs w:val="21"/>
              </w:rPr>
              <w:t>耗氧量</w:t>
            </w:r>
          </w:p>
        </w:tc>
        <w:tc>
          <w:tcPr>
            <w:tcW w:w="823" w:type="pct"/>
            <w:vAlign w:val="center"/>
          </w:tcPr>
          <w:p w:rsidR="00DC39A8" w:rsidRPr="00F9522B" w:rsidRDefault="00DC39A8" w:rsidP="007E0713">
            <w:pPr>
              <w:widowControl/>
              <w:spacing w:line="0" w:lineRule="atLeast"/>
              <w:contextualSpacing/>
              <w:jc w:val="center"/>
              <w:rPr>
                <w:rFonts w:eastAsiaTheme="minorEastAsia"/>
                <w:szCs w:val="21"/>
              </w:rPr>
            </w:pPr>
            <w:r w:rsidRPr="00F9522B">
              <w:rPr>
                <w:rFonts w:eastAsiaTheme="minorEastAsia"/>
                <w:szCs w:val="21"/>
              </w:rPr>
              <w:t>0.67</w:t>
            </w:r>
          </w:p>
        </w:tc>
        <w:tc>
          <w:tcPr>
            <w:tcW w:w="980" w:type="pct"/>
            <w:vAlign w:val="center"/>
          </w:tcPr>
          <w:p w:rsidR="00DC39A8" w:rsidRPr="00F9522B" w:rsidRDefault="00DC39A8" w:rsidP="007E0713">
            <w:pPr>
              <w:widowControl/>
              <w:spacing w:line="0" w:lineRule="atLeast"/>
              <w:contextualSpacing/>
              <w:jc w:val="center"/>
              <w:rPr>
                <w:rFonts w:eastAsiaTheme="minorEastAsia"/>
                <w:szCs w:val="21"/>
              </w:rPr>
            </w:pPr>
            <w:r w:rsidRPr="00F9522B">
              <w:rPr>
                <w:rFonts w:eastAsiaTheme="minorEastAsia"/>
                <w:szCs w:val="21"/>
              </w:rPr>
              <w:t>0.57</w:t>
            </w:r>
          </w:p>
        </w:tc>
        <w:tc>
          <w:tcPr>
            <w:tcW w:w="748" w:type="pct"/>
            <w:vAlign w:val="center"/>
          </w:tcPr>
          <w:p w:rsidR="00DC39A8" w:rsidRPr="00F9522B" w:rsidRDefault="00DC39A8" w:rsidP="007E0713">
            <w:pPr>
              <w:widowControl/>
              <w:spacing w:line="0" w:lineRule="atLeast"/>
              <w:contextualSpacing/>
              <w:jc w:val="center"/>
              <w:rPr>
                <w:rFonts w:eastAsiaTheme="minorEastAsia"/>
                <w:szCs w:val="21"/>
              </w:rPr>
            </w:pPr>
            <w:r w:rsidRPr="00F9522B">
              <w:rPr>
                <w:rFonts w:eastAsiaTheme="minorEastAsia"/>
                <w:szCs w:val="21"/>
              </w:rPr>
              <w:t>0.53</w:t>
            </w:r>
          </w:p>
        </w:tc>
        <w:tc>
          <w:tcPr>
            <w:tcW w:w="746" w:type="pct"/>
            <w:vAlign w:val="center"/>
          </w:tcPr>
          <w:p w:rsidR="00DC39A8" w:rsidRPr="00F9522B" w:rsidRDefault="00DC39A8" w:rsidP="007E0713">
            <w:pPr>
              <w:widowControl/>
              <w:spacing w:line="0" w:lineRule="atLeast"/>
              <w:contextualSpacing/>
              <w:jc w:val="center"/>
              <w:rPr>
                <w:rFonts w:eastAsiaTheme="minorEastAsia"/>
                <w:szCs w:val="21"/>
              </w:rPr>
            </w:pPr>
            <w:r w:rsidRPr="00F9522B">
              <w:rPr>
                <w:rFonts w:eastAsiaTheme="minorEastAsia"/>
                <w:szCs w:val="21"/>
              </w:rPr>
              <w:t>0.50</w:t>
            </w:r>
          </w:p>
        </w:tc>
      </w:tr>
      <w:tr w:rsidR="00DC39A8" w:rsidRPr="00F9522B" w:rsidTr="007E0713">
        <w:trPr>
          <w:trHeight w:val="313"/>
          <w:jc w:val="center"/>
        </w:trPr>
        <w:tc>
          <w:tcPr>
            <w:tcW w:w="556" w:type="pct"/>
            <w:vAlign w:val="center"/>
          </w:tcPr>
          <w:p w:rsidR="00DC39A8" w:rsidRPr="00F9522B" w:rsidRDefault="00DC39A8" w:rsidP="007E0713">
            <w:pPr>
              <w:widowControl/>
              <w:spacing w:line="0" w:lineRule="atLeast"/>
              <w:contextualSpacing/>
              <w:jc w:val="center"/>
              <w:rPr>
                <w:rFonts w:eastAsiaTheme="minorEastAsia"/>
                <w:szCs w:val="21"/>
              </w:rPr>
            </w:pPr>
            <w:r w:rsidRPr="00F9522B">
              <w:rPr>
                <w:rFonts w:eastAsiaTheme="minorEastAsia"/>
                <w:szCs w:val="21"/>
              </w:rPr>
              <w:t>8</w:t>
            </w:r>
          </w:p>
        </w:tc>
        <w:tc>
          <w:tcPr>
            <w:tcW w:w="1147" w:type="pct"/>
            <w:vAlign w:val="center"/>
          </w:tcPr>
          <w:p w:rsidR="00DC39A8" w:rsidRPr="00F9522B" w:rsidRDefault="00DC39A8" w:rsidP="007E0713">
            <w:pPr>
              <w:widowControl/>
              <w:spacing w:line="0" w:lineRule="atLeast"/>
              <w:contextualSpacing/>
              <w:jc w:val="center"/>
              <w:rPr>
                <w:rFonts w:eastAsiaTheme="minorEastAsia"/>
                <w:kern w:val="0"/>
                <w:szCs w:val="21"/>
              </w:rPr>
            </w:pPr>
            <w:r w:rsidRPr="00F9522B">
              <w:rPr>
                <w:rFonts w:eastAsiaTheme="minorEastAsia"/>
                <w:szCs w:val="21"/>
              </w:rPr>
              <w:t>硝酸盐</w:t>
            </w:r>
          </w:p>
        </w:tc>
        <w:tc>
          <w:tcPr>
            <w:tcW w:w="823" w:type="pct"/>
            <w:vAlign w:val="center"/>
          </w:tcPr>
          <w:p w:rsidR="00DC39A8" w:rsidRPr="00F9522B" w:rsidRDefault="00DC39A8" w:rsidP="007E0713">
            <w:pPr>
              <w:widowControl/>
              <w:spacing w:line="0" w:lineRule="atLeast"/>
              <w:contextualSpacing/>
              <w:jc w:val="center"/>
              <w:rPr>
                <w:rFonts w:eastAsiaTheme="minorEastAsia"/>
                <w:szCs w:val="21"/>
              </w:rPr>
            </w:pPr>
            <w:r w:rsidRPr="00F9522B">
              <w:rPr>
                <w:rFonts w:eastAsiaTheme="minorEastAsia"/>
                <w:szCs w:val="21"/>
              </w:rPr>
              <w:t>0.09</w:t>
            </w:r>
          </w:p>
        </w:tc>
        <w:tc>
          <w:tcPr>
            <w:tcW w:w="980" w:type="pct"/>
            <w:vAlign w:val="center"/>
          </w:tcPr>
          <w:p w:rsidR="00DC39A8" w:rsidRPr="00F9522B" w:rsidRDefault="00DC39A8" w:rsidP="007E0713">
            <w:pPr>
              <w:widowControl/>
              <w:spacing w:line="0" w:lineRule="atLeast"/>
              <w:contextualSpacing/>
              <w:jc w:val="center"/>
              <w:rPr>
                <w:rFonts w:eastAsiaTheme="minorEastAsia"/>
                <w:szCs w:val="21"/>
              </w:rPr>
            </w:pPr>
            <w:r w:rsidRPr="00F9522B">
              <w:rPr>
                <w:rFonts w:eastAsiaTheme="minorEastAsia"/>
                <w:szCs w:val="21"/>
              </w:rPr>
              <w:t>0.14</w:t>
            </w:r>
          </w:p>
        </w:tc>
        <w:tc>
          <w:tcPr>
            <w:tcW w:w="748" w:type="pct"/>
            <w:vAlign w:val="center"/>
          </w:tcPr>
          <w:p w:rsidR="00DC39A8" w:rsidRPr="00F9522B" w:rsidRDefault="00DC39A8" w:rsidP="007E0713">
            <w:pPr>
              <w:widowControl/>
              <w:spacing w:line="0" w:lineRule="atLeast"/>
              <w:contextualSpacing/>
              <w:jc w:val="center"/>
              <w:rPr>
                <w:rFonts w:eastAsiaTheme="minorEastAsia"/>
                <w:szCs w:val="21"/>
              </w:rPr>
            </w:pPr>
            <w:r w:rsidRPr="00F9522B">
              <w:rPr>
                <w:rFonts w:eastAsiaTheme="minorEastAsia"/>
                <w:szCs w:val="21"/>
              </w:rPr>
              <w:t>0.04</w:t>
            </w:r>
          </w:p>
        </w:tc>
        <w:tc>
          <w:tcPr>
            <w:tcW w:w="746" w:type="pct"/>
            <w:vAlign w:val="center"/>
          </w:tcPr>
          <w:p w:rsidR="00DC39A8" w:rsidRPr="00F9522B" w:rsidRDefault="00DC39A8" w:rsidP="007E0713">
            <w:pPr>
              <w:widowControl/>
              <w:spacing w:line="0" w:lineRule="atLeast"/>
              <w:contextualSpacing/>
              <w:jc w:val="center"/>
              <w:rPr>
                <w:rFonts w:eastAsiaTheme="minorEastAsia"/>
                <w:szCs w:val="21"/>
              </w:rPr>
            </w:pPr>
            <w:r w:rsidRPr="00F9522B">
              <w:rPr>
                <w:rFonts w:eastAsiaTheme="minorEastAsia"/>
                <w:szCs w:val="21"/>
              </w:rPr>
              <w:t>0.08</w:t>
            </w:r>
          </w:p>
        </w:tc>
      </w:tr>
      <w:tr w:rsidR="002A5A5E" w:rsidRPr="00F9522B" w:rsidTr="007E0713">
        <w:trPr>
          <w:trHeight w:val="297"/>
          <w:jc w:val="center"/>
        </w:trPr>
        <w:tc>
          <w:tcPr>
            <w:tcW w:w="556" w:type="pct"/>
            <w:vAlign w:val="center"/>
          </w:tcPr>
          <w:p w:rsidR="002A5A5E" w:rsidRPr="00F9522B" w:rsidRDefault="00611CBA" w:rsidP="007E0713">
            <w:pPr>
              <w:widowControl/>
              <w:spacing w:line="0" w:lineRule="atLeast"/>
              <w:contextualSpacing/>
              <w:jc w:val="center"/>
              <w:rPr>
                <w:rFonts w:eastAsiaTheme="minorEastAsia"/>
                <w:szCs w:val="21"/>
              </w:rPr>
            </w:pPr>
            <w:r w:rsidRPr="00F9522B">
              <w:rPr>
                <w:rFonts w:eastAsiaTheme="minorEastAsia"/>
                <w:szCs w:val="21"/>
              </w:rPr>
              <w:t>9</w:t>
            </w:r>
          </w:p>
        </w:tc>
        <w:tc>
          <w:tcPr>
            <w:tcW w:w="1147" w:type="pct"/>
            <w:vAlign w:val="center"/>
          </w:tcPr>
          <w:p w:rsidR="002A5A5E" w:rsidRPr="00F9522B" w:rsidRDefault="00611CBA" w:rsidP="007E0713">
            <w:pPr>
              <w:widowControl/>
              <w:spacing w:line="0" w:lineRule="atLeast"/>
              <w:contextualSpacing/>
              <w:jc w:val="center"/>
              <w:rPr>
                <w:rFonts w:eastAsiaTheme="minorEastAsia"/>
                <w:kern w:val="0"/>
                <w:szCs w:val="21"/>
              </w:rPr>
            </w:pPr>
            <w:r w:rsidRPr="00F9522B">
              <w:rPr>
                <w:rFonts w:eastAsiaTheme="minorEastAsia"/>
                <w:szCs w:val="21"/>
              </w:rPr>
              <w:t>亚硝酸盐</w:t>
            </w:r>
          </w:p>
        </w:tc>
        <w:tc>
          <w:tcPr>
            <w:tcW w:w="823" w:type="pct"/>
            <w:vAlign w:val="center"/>
          </w:tcPr>
          <w:p w:rsidR="002A5A5E" w:rsidRPr="00F9522B" w:rsidRDefault="00611CBA" w:rsidP="007E0713">
            <w:pPr>
              <w:widowControl/>
              <w:spacing w:line="0" w:lineRule="atLeast"/>
              <w:contextualSpacing/>
              <w:jc w:val="center"/>
              <w:rPr>
                <w:rFonts w:eastAsiaTheme="minorEastAsia"/>
                <w:szCs w:val="21"/>
              </w:rPr>
            </w:pPr>
            <w:r w:rsidRPr="00F9522B">
              <w:rPr>
                <w:rFonts w:eastAsiaTheme="minorEastAsia"/>
                <w:szCs w:val="21"/>
              </w:rPr>
              <w:t>未检出</w:t>
            </w:r>
          </w:p>
        </w:tc>
        <w:tc>
          <w:tcPr>
            <w:tcW w:w="980" w:type="pct"/>
            <w:vAlign w:val="center"/>
          </w:tcPr>
          <w:p w:rsidR="002A5A5E" w:rsidRPr="00F9522B" w:rsidRDefault="00611CBA" w:rsidP="007E0713">
            <w:pPr>
              <w:widowControl/>
              <w:spacing w:line="0" w:lineRule="atLeast"/>
              <w:contextualSpacing/>
              <w:jc w:val="center"/>
              <w:rPr>
                <w:rFonts w:eastAsiaTheme="minorEastAsia"/>
                <w:szCs w:val="21"/>
              </w:rPr>
            </w:pPr>
            <w:r w:rsidRPr="00F9522B">
              <w:rPr>
                <w:rFonts w:eastAsiaTheme="minorEastAsia"/>
                <w:szCs w:val="21"/>
              </w:rPr>
              <w:t>未检出</w:t>
            </w:r>
          </w:p>
        </w:tc>
        <w:tc>
          <w:tcPr>
            <w:tcW w:w="748" w:type="pct"/>
            <w:vAlign w:val="center"/>
          </w:tcPr>
          <w:p w:rsidR="002A5A5E" w:rsidRPr="00F9522B" w:rsidRDefault="00611CBA" w:rsidP="007E0713">
            <w:pPr>
              <w:widowControl/>
              <w:spacing w:line="0" w:lineRule="atLeast"/>
              <w:contextualSpacing/>
              <w:jc w:val="center"/>
              <w:rPr>
                <w:rFonts w:eastAsiaTheme="minorEastAsia"/>
                <w:szCs w:val="21"/>
              </w:rPr>
            </w:pPr>
            <w:r w:rsidRPr="00F9522B">
              <w:rPr>
                <w:rFonts w:eastAsiaTheme="minorEastAsia"/>
                <w:szCs w:val="21"/>
              </w:rPr>
              <w:t>未检出</w:t>
            </w:r>
          </w:p>
        </w:tc>
        <w:tc>
          <w:tcPr>
            <w:tcW w:w="746" w:type="pct"/>
            <w:vAlign w:val="center"/>
          </w:tcPr>
          <w:p w:rsidR="002A5A5E" w:rsidRPr="00F9522B" w:rsidRDefault="00611CBA" w:rsidP="007E0713">
            <w:pPr>
              <w:widowControl/>
              <w:spacing w:line="0" w:lineRule="atLeast"/>
              <w:contextualSpacing/>
              <w:jc w:val="center"/>
              <w:rPr>
                <w:rFonts w:eastAsiaTheme="minorEastAsia"/>
                <w:szCs w:val="21"/>
              </w:rPr>
            </w:pPr>
            <w:r w:rsidRPr="00F9522B">
              <w:rPr>
                <w:rFonts w:eastAsiaTheme="minorEastAsia"/>
                <w:szCs w:val="21"/>
              </w:rPr>
              <w:t>未检出</w:t>
            </w:r>
          </w:p>
        </w:tc>
      </w:tr>
      <w:tr w:rsidR="00DC39A8" w:rsidRPr="00F9522B" w:rsidTr="007E0713">
        <w:trPr>
          <w:trHeight w:val="166"/>
          <w:jc w:val="center"/>
        </w:trPr>
        <w:tc>
          <w:tcPr>
            <w:tcW w:w="556" w:type="pct"/>
            <w:vAlign w:val="center"/>
          </w:tcPr>
          <w:p w:rsidR="00DC39A8" w:rsidRPr="00F9522B" w:rsidRDefault="00DC39A8" w:rsidP="007E0713">
            <w:pPr>
              <w:widowControl/>
              <w:spacing w:line="0" w:lineRule="atLeast"/>
              <w:contextualSpacing/>
              <w:jc w:val="center"/>
              <w:rPr>
                <w:rFonts w:eastAsiaTheme="minorEastAsia"/>
                <w:szCs w:val="21"/>
              </w:rPr>
            </w:pPr>
            <w:r w:rsidRPr="00F9522B">
              <w:rPr>
                <w:rFonts w:eastAsiaTheme="minorEastAsia"/>
                <w:szCs w:val="21"/>
              </w:rPr>
              <w:t>10</w:t>
            </w:r>
          </w:p>
        </w:tc>
        <w:tc>
          <w:tcPr>
            <w:tcW w:w="1147" w:type="pct"/>
            <w:vAlign w:val="center"/>
          </w:tcPr>
          <w:p w:rsidR="00DC39A8" w:rsidRPr="00F9522B" w:rsidRDefault="00DC39A8" w:rsidP="007E0713">
            <w:pPr>
              <w:widowControl/>
              <w:spacing w:line="0" w:lineRule="atLeast"/>
              <w:contextualSpacing/>
              <w:jc w:val="center"/>
              <w:rPr>
                <w:rFonts w:eastAsiaTheme="minorEastAsia"/>
                <w:kern w:val="0"/>
                <w:szCs w:val="21"/>
              </w:rPr>
            </w:pPr>
            <w:r w:rsidRPr="00F9522B">
              <w:rPr>
                <w:rFonts w:eastAsiaTheme="minorEastAsia"/>
                <w:szCs w:val="21"/>
              </w:rPr>
              <w:t>氨氮</w:t>
            </w:r>
          </w:p>
        </w:tc>
        <w:tc>
          <w:tcPr>
            <w:tcW w:w="823" w:type="pct"/>
            <w:vAlign w:val="center"/>
          </w:tcPr>
          <w:p w:rsidR="00DC39A8" w:rsidRPr="00F9522B" w:rsidRDefault="00DC39A8" w:rsidP="007E0713">
            <w:pPr>
              <w:widowControl/>
              <w:spacing w:line="0" w:lineRule="atLeast"/>
              <w:contextualSpacing/>
              <w:jc w:val="center"/>
              <w:rPr>
                <w:rFonts w:eastAsiaTheme="minorEastAsia"/>
                <w:szCs w:val="21"/>
              </w:rPr>
            </w:pPr>
            <w:r w:rsidRPr="00F9522B">
              <w:rPr>
                <w:rFonts w:eastAsiaTheme="minorEastAsia"/>
                <w:szCs w:val="21"/>
              </w:rPr>
              <w:t>0.82</w:t>
            </w:r>
          </w:p>
        </w:tc>
        <w:tc>
          <w:tcPr>
            <w:tcW w:w="980" w:type="pct"/>
            <w:vAlign w:val="center"/>
          </w:tcPr>
          <w:p w:rsidR="00DC39A8" w:rsidRPr="00F9522B" w:rsidRDefault="00DC39A8" w:rsidP="007E0713">
            <w:pPr>
              <w:widowControl/>
              <w:spacing w:line="0" w:lineRule="atLeast"/>
              <w:contextualSpacing/>
              <w:jc w:val="center"/>
              <w:rPr>
                <w:rFonts w:eastAsiaTheme="minorEastAsia"/>
                <w:szCs w:val="21"/>
              </w:rPr>
            </w:pPr>
            <w:r w:rsidRPr="00F9522B">
              <w:rPr>
                <w:rFonts w:eastAsiaTheme="minorEastAsia"/>
                <w:szCs w:val="21"/>
              </w:rPr>
              <w:t>0.63</w:t>
            </w:r>
          </w:p>
        </w:tc>
        <w:tc>
          <w:tcPr>
            <w:tcW w:w="748" w:type="pct"/>
            <w:vAlign w:val="center"/>
          </w:tcPr>
          <w:p w:rsidR="00DC39A8" w:rsidRPr="00F9522B" w:rsidRDefault="00DC39A8" w:rsidP="007E0713">
            <w:pPr>
              <w:widowControl/>
              <w:spacing w:line="0" w:lineRule="atLeast"/>
              <w:contextualSpacing/>
              <w:jc w:val="center"/>
              <w:rPr>
                <w:rFonts w:eastAsiaTheme="minorEastAsia"/>
                <w:szCs w:val="21"/>
              </w:rPr>
            </w:pPr>
            <w:r w:rsidRPr="00F9522B">
              <w:rPr>
                <w:rFonts w:eastAsiaTheme="minorEastAsia"/>
                <w:szCs w:val="21"/>
              </w:rPr>
              <w:t>0.11</w:t>
            </w:r>
          </w:p>
        </w:tc>
        <w:tc>
          <w:tcPr>
            <w:tcW w:w="746" w:type="pct"/>
            <w:vAlign w:val="center"/>
          </w:tcPr>
          <w:p w:rsidR="00DC39A8" w:rsidRPr="00F9522B" w:rsidRDefault="00DC39A8" w:rsidP="007E0713">
            <w:pPr>
              <w:widowControl/>
              <w:spacing w:line="0" w:lineRule="atLeast"/>
              <w:contextualSpacing/>
              <w:jc w:val="center"/>
              <w:rPr>
                <w:rFonts w:eastAsiaTheme="minorEastAsia"/>
                <w:szCs w:val="21"/>
              </w:rPr>
            </w:pPr>
            <w:r w:rsidRPr="00F9522B">
              <w:rPr>
                <w:rFonts w:eastAsiaTheme="minorEastAsia"/>
                <w:szCs w:val="21"/>
              </w:rPr>
              <w:t>0.40</w:t>
            </w:r>
          </w:p>
        </w:tc>
      </w:tr>
      <w:tr w:rsidR="002A5A5E" w:rsidRPr="00F9522B" w:rsidTr="007E0713">
        <w:trPr>
          <w:trHeight w:val="297"/>
          <w:jc w:val="center"/>
        </w:trPr>
        <w:tc>
          <w:tcPr>
            <w:tcW w:w="556" w:type="pct"/>
            <w:vAlign w:val="center"/>
          </w:tcPr>
          <w:p w:rsidR="002A5A5E" w:rsidRPr="00F9522B" w:rsidRDefault="00611CBA" w:rsidP="007E0713">
            <w:pPr>
              <w:widowControl/>
              <w:spacing w:line="0" w:lineRule="atLeast"/>
              <w:contextualSpacing/>
              <w:jc w:val="center"/>
              <w:rPr>
                <w:rFonts w:eastAsiaTheme="minorEastAsia"/>
                <w:szCs w:val="21"/>
              </w:rPr>
            </w:pPr>
            <w:r w:rsidRPr="00F9522B">
              <w:rPr>
                <w:rFonts w:eastAsiaTheme="minorEastAsia"/>
                <w:szCs w:val="21"/>
              </w:rPr>
              <w:t>11</w:t>
            </w:r>
          </w:p>
        </w:tc>
        <w:tc>
          <w:tcPr>
            <w:tcW w:w="1147" w:type="pct"/>
            <w:vAlign w:val="center"/>
          </w:tcPr>
          <w:p w:rsidR="002A5A5E" w:rsidRPr="00F9522B" w:rsidRDefault="00611CBA" w:rsidP="007E0713">
            <w:pPr>
              <w:widowControl/>
              <w:spacing w:line="0" w:lineRule="atLeast"/>
              <w:contextualSpacing/>
              <w:jc w:val="center"/>
              <w:rPr>
                <w:rFonts w:eastAsiaTheme="minorEastAsia"/>
                <w:kern w:val="0"/>
                <w:szCs w:val="21"/>
              </w:rPr>
            </w:pPr>
            <w:r w:rsidRPr="00F9522B">
              <w:rPr>
                <w:rFonts w:eastAsiaTheme="minorEastAsia"/>
                <w:szCs w:val="21"/>
              </w:rPr>
              <w:t>六价铬</w:t>
            </w:r>
          </w:p>
        </w:tc>
        <w:tc>
          <w:tcPr>
            <w:tcW w:w="823" w:type="pct"/>
            <w:vAlign w:val="center"/>
          </w:tcPr>
          <w:p w:rsidR="002A5A5E" w:rsidRPr="00F9522B" w:rsidRDefault="00611CBA" w:rsidP="007E0713">
            <w:pPr>
              <w:widowControl/>
              <w:spacing w:line="0" w:lineRule="atLeast"/>
              <w:contextualSpacing/>
              <w:jc w:val="center"/>
              <w:rPr>
                <w:rFonts w:eastAsiaTheme="minorEastAsia"/>
                <w:szCs w:val="21"/>
              </w:rPr>
            </w:pPr>
            <w:r w:rsidRPr="00F9522B">
              <w:rPr>
                <w:rFonts w:eastAsiaTheme="minorEastAsia"/>
                <w:szCs w:val="21"/>
              </w:rPr>
              <w:t>未检出</w:t>
            </w:r>
          </w:p>
        </w:tc>
        <w:tc>
          <w:tcPr>
            <w:tcW w:w="980" w:type="pct"/>
            <w:vAlign w:val="center"/>
          </w:tcPr>
          <w:p w:rsidR="002A5A5E" w:rsidRPr="00F9522B" w:rsidRDefault="00611CBA" w:rsidP="007E0713">
            <w:pPr>
              <w:widowControl/>
              <w:spacing w:line="0" w:lineRule="atLeast"/>
              <w:contextualSpacing/>
              <w:jc w:val="center"/>
              <w:rPr>
                <w:rFonts w:eastAsiaTheme="minorEastAsia"/>
                <w:szCs w:val="21"/>
              </w:rPr>
            </w:pPr>
            <w:r w:rsidRPr="00F9522B">
              <w:rPr>
                <w:rFonts w:eastAsiaTheme="minorEastAsia"/>
                <w:szCs w:val="21"/>
              </w:rPr>
              <w:t>未检出</w:t>
            </w:r>
          </w:p>
        </w:tc>
        <w:tc>
          <w:tcPr>
            <w:tcW w:w="748" w:type="pct"/>
            <w:vAlign w:val="center"/>
          </w:tcPr>
          <w:p w:rsidR="002A5A5E" w:rsidRPr="00F9522B" w:rsidRDefault="00611CBA" w:rsidP="007E0713">
            <w:pPr>
              <w:widowControl/>
              <w:spacing w:line="0" w:lineRule="atLeast"/>
              <w:contextualSpacing/>
              <w:jc w:val="center"/>
              <w:rPr>
                <w:rFonts w:eastAsiaTheme="minorEastAsia"/>
                <w:szCs w:val="21"/>
              </w:rPr>
            </w:pPr>
            <w:r w:rsidRPr="00F9522B">
              <w:rPr>
                <w:rFonts w:eastAsiaTheme="minorEastAsia"/>
                <w:szCs w:val="21"/>
              </w:rPr>
              <w:t>未检出</w:t>
            </w:r>
          </w:p>
        </w:tc>
        <w:tc>
          <w:tcPr>
            <w:tcW w:w="746" w:type="pct"/>
            <w:vAlign w:val="center"/>
          </w:tcPr>
          <w:p w:rsidR="002A5A5E" w:rsidRPr="00F9522B" w:rsidRDefault="00611CBA" w:rsidP="007E0713">
            <w:pPr>
              <w:widowControl/>
              <w:spacing w:line="0" w:lineRule="atLeast"/>
              <w:contextualSpacing/>
              <w:jc w:val="center"/>
              <w:rPr>
                <w:rFonts w:eastAsiaTheme="minorEastAsia"/>
                <w:szCs w:val="21"/>
              </w:rPr>
            </w:pPr>
            <w:r w:rsidRPr="00F9522B">
              <w:rPr>
                <w:rFonts w:eastAsiaTheme="minorEastAsia"/>
                <w:szCs w:val="21"/>
              </w:rPr>
              <w:t>未检出</w:t>
            </w:r>
          </w:p>
        </w:tc>
      </w:tr>
      <w:tr w:rsidR="002A5A5E" w:rsidRPr="00F9522B" w:rsidTr="007E0713">
        <w:trPr>
          <w:trHeight w:val="297"/>
          <w:jc w:val="center"/>
        </w:trPr>
        <w:tc>
          <w:tcPr>
            <w:tcW w:w="556" w:type="pct"/>
            <w:vAlign w:val="center"/>
          </w:tcPr>
          <w:p w:rsidR="002A5A5E" w:rsidRPr="00F9522B" w:rsidRDefault="00611CBA" w:rsidP="007E0713">
            <w:pPr>
              <w:widowControl/>
              <w:spacing w:line="0" w:lineRule="atLeast"/>
              <w:contextualSpacing/>
              <w:jc w:val="center"/>
              <w:rPr>
                <w:rFonts w:eastAsiaTheme="minorEastAsia"/>
                <w:szCs w:val="21"/>
              </w:rPr>
            </w:pPr>
            <w:r w:rsidRPr="00F9522B">
              <w:rPr>
                <w:rFonts w:eastAsiaTheme="minorEastAsia"/>
                <w:szCs w:val="21"/>
              </w:rPr>
              <w:t>12</w:t>
            </w:r>
          </w:p>
        </w:tc>
        <w:tc>
          <w:tcPr>
            <w:tcW w:w="1147" w:type="pct"/>
            <w:vAlign w:val="center"/>
          </w:tcPr>
          <w:p w:rsidR="002A5A5E" w:rsidRPr="00F9522B" w:rsidRDefault="00611CBA" w:rsidP="007E0713">
            <w:pPr>
              <w:widowControl/>
              <w:spacing w:line="0" w:lineRule="atLeast"/>
              <w:contextualSpacing/>
              <w:jc w:val="center"/>
              <w:rPr>
                <w:rFonts w:eastAsiaTheme="minorEastAsia"/>
                <w:kern w:val="0"/>
                <w:szCs w:val="21"/>
              </w:rPr>
            </w:pPr>
            <w:r w:rsidRPr="00F9522B">
              <w:rPr>
                <w:rFonts w:eastAsiaTheme="minorEastAsia"/>
                <w:szCs w:val="21"/>
              </w:rPr>
              <w:t>氟化物</w:t>
            </w:r>
          </w:p>
        </w:tc>
        <w:tc>
          <w:tcPr>
            <w:tcW w:w="823" w:type="pct"/>
            <w:vAlign w:val="center"/>
          </w:tcPr>
          <w:p w:rsidR="002A5A5E" w:rsidRPr="00F9522B" w:rsidRDefault="00611CBA" w:rsidP="007E0713">
            <w:pPr>
              <w:widowControl/>
              <w:spacing w:line="0" w:lineRule="atLeast"/>
              <w:contextualSpacing/>
              <w:jc w:val="center"/>
              <w:rPr>
                <w:rFonts w:eastAsiaTheme="minorEastAsia"/>
                <w:szCs w:val="21"/>
              </w:rPr>
            </w:pPr>
            <w:r w:rsidRPr="00F9522B">
              <w:rPr>
                <w:rFonts w:eastAsiaTheme="minorEastAsia"/>
                <w:szCs w:val="21"/>
              </w:rPr>
              <w:t>未检出</w:t>
            </w:r>
          </w:p>
        </w:tc>
        <w:tc>
          <w:tcPr>
            <w:tcW w:w="980" w:type="pct"/>
            <w:vAlign w:val="center"/>
          </w:tcPr>
          <w:p w:rsidR="002A5A5E" w:rsidRPr="00F9522B" w:rsidRDefault="00611CBA" w:rsidP="007E0713">
            <w:pPr>
              <w:widowControl/>
              <w:spacing w:line="0" w:lineRule="atLeast"/>
              <w:contextualSpacing/>
              <w:jc w:val="center"/>
              <w:rPr>
                <w:rFonts w:eastAsiaTheme="minorEastAsia"/>
                <w:szCs w:val="21"/>
              </w:rPr>
            </w:pPr>
            <w:r w:rsidRPr="00F9522B">
              <w:rPr>
                <w:rFonts w:eastAsiaTheme="minorEastAsia"/>
                <w:szCs w:val="21"/>
              </w:rPr>
              <w:t>未检出</w:t>
            </w:r>
          </w:p>
        </w:tc>
        <w:tc>
          <w:tcPr>
            <w:tcW w:w="748" w:type="pct"/>
            <w:vAlign w:val="center"/>
          </w:tcPr>
          <w:p w:rsidR="002A5A5E" w:rsidRPr="00F9522B" w:rsidRDefault="00611CBA" w:rsidP="007E0713">
            <w:pPr>
              <w:widowControl/>
              <w:spacing w:line="0" w:lineRule="atLeast"/>
              <w:contextualSpacing/>
              <w:jc w:val="center"/>
              <w:rPr>
                <w:rFonts w:eastAsiaTheme="minorEastAsia"/>
                <w:szCs w:val="21"/>
              </w:rPr>
            </w:pPr>
            <w:r w:rsidRPr="00F9522B">
              <w:rPr>
                <w:rFonts w:eastAsiaTheme="minorEastAsia"/>
                <w:szCs w:val="21"/>
              </w:rPr>
              <w:t>未检出</w:t>
            </w:r>
          </w:p>
        </w:tc>
        <w:tc>
          <w:tcPr>
            <w:tcW w:w="746" w:type="pct"/>
            <w:vAlign w:val="center"/>
          </w:tcPr>
          <w:p w:rsidR="002A5A5E" w:rsidRPr="00F9522B" w:rsidRDefault="00611CBA" w:rsidP="007E0713">
            <w:pPr>
              <w:widowControl/>
              <w:spacing w:line="0" w:lineRule="atLeast"/>
              <w:contextualSpacing/>
              <w:jc w:val="center"/>
              <w:rPr>
                <w:rFonts w:eastAsiaTheme="minorEastAsia"/>
                <w:szCs w:val="21"/>
              </w:rPr>
            </w:pPr>
            <w:r w:rsidRPr="00F9522B">
              <w:rPr>
                <w:rFonts w:eastAsiaTheme="minorEastAsia"/>
                <w:szCs w:val="21"/>
              </w:rPr>
              <w:t>未检出</w:t>
            </w:r>
          </w:p>
        </w:tc>
      </w:tr>
      <w:tr w:rsidR="002A5A5E" w:rsidRPr="00F9522B" w:rsidTr="007E0713">
        <w:trPr>
          <w:trHeight w:val="297"/>
          <w:jc w:val="center"/>
        </w:trPr>
        <w:tc>
          <w:tcPr>
            <w:tcW w:w="556" w:type="pct"/>
            <w:vAlign w:val="center"/>
          </w:tcPr>
          <w:p w:rsidR="002A5A5E" w:rsidRPr="00F9522B" w:rsidRDefault="00611CBA" w:rsidP="007E0713">
            <w:pPr>
              <w:widowControl/>
              <w:spacing w:line="0" w:lineRule="atLeast"/>
              <w:contextualSpacing/>
              <w:jc w:val="center"/>
              <w:rPr>
                <w:rFonts w:eastAsiaTheme="minorEastAsia"/>
                <w:szCs w:val="21"/>
                <w:lang w:val="zh-CN"/>
              </w:rPr>
            </w:pPr>
            <w:r w:rsidRPr="00F9522B">
              <w:rPr>
                <w:rFonts w:eastAsiaTheme="minorEastAsia"/>
                <w:szCs w:val="21"/>
                <w:lang w:val="zh-CN"/>
              </w:rPr>
              <w:t>13</w:t>
            </w:r>
          </w:p>
        </w:tc>
        <w:tc>
          <w:tcPr>
            <w:tcW w:w="1147" w:type="pct"/>
            <w:vAlign w:val="center"/>
          </w:tcPr>
          <w:p w:rsidR="002A5A5E" w:rsidRPr="00F9522B" w:rsidRDefault="00611CBA" w:rsidP="007E0713">
            <w:pPr>
              <w:widowControl/>
              <w:spacing w:line="0" w:lineRule="atLeast"/>
              <w:contextualSpacing/>
              <w:jc w:val="center"/>
              <w:rPr>
                <w:rFonts w:eastAsiaTheme="minorEastAsia"/>
                <w:kern w:val="0"/>
                <w:szCs w:val="21"/>
              </w:rPr>
            </w:pPr>
            <w:r w:rsidRPr="00F9522B">
              <w:rPr>
                <w:rFonts w:eastAsiaTheme="minorEastAsia"/>
                <w:szCs w:val="21"/>
              </w:rPr>
              <w:t>氰化物</w:t>
            </w:r>
          </w:p>
        </w:tc>
        <w:tc>
          <w:tcPr>
            <w:tcW w:w="823" w:type="pct"/>
            <w:vAlign w:val="center"/>
          </w:tcPr>
          <w:p w:rsidR="002A5A5E" w:rsidRPr="00F9522B" w:rsidRDefault="00611CBA" w:rsidP="007E0713">
            <w:pPr>
              <w:widowControl/>
              <w:spacing w:line="0" w:lineRule="atLeast"/>
              <w:contextualSpacing/>
              <w:jc w:val="center"/>
              <w:rPr>
                <w:rFonts w:eastAsiaTheme="minorEastAsia"/>
                <w:szCs w:val="21"/>
              </w:rPr>
            </w:pPr>
            <w:r w:rsidRPr="00F9522B">
              <w:rPr>
                <w:rFonts w:eastAsiaTheme="minorEastAsia"/>
                <w:szCs w:val="21"/>
              </w:rPr>
              <w:t>未检出</w:t>
            </w:r>
          </w:p>
        </w:tc>
        <w:tc>
          <w:tcPr>
            <w:tcW w:w="980" w:type="pct"/>
            <w:vAlign w:val="center"/>
          </w:tcPr>
          <w:p w:rsidR="002A5A5E" w:rsidRPr="00F9522B" w:rsidRDefault="00611CBA" w:rsidP="007E0713">
            <w:pPr>
              <w:widowControl/>
              <w:spacing w:line="0" w:lineRule="atLeast"/>
              <w:contextualSpacing/>
              <w:jc w:val="center"/>
              <w:rPr>
                <w:rFonts w:eastAsiaTheme="minorEastAsia"/>
                <w:szCs w:val="21"/>
              </w:rPr>
            </w:pPr>
            <w:r w:rsidRPr="00F9522B">
              <w:rPr>
                <w:rFonts w:eastAsiaTheme="minorEastAsia"/>
                <w:szCs w:val="21"/>
              </w:rPr>
              <w:t>未检出</w:t>
            </w:r>
          </w:p>
        </w:tc>
        <w:tc>
          <w:tcPr>
            <w:tcW w:w="748" w:type="pct"/>
            <w:vAlign w:val="center"/>
          </w:tcPr>
          <w:p w:rsidR="002A5A5E" w:rsidRPr="00F9522B" w:rsidRDefault="00611CBA" w:rsidP="007E0713">
            <w:pPr>
              <w:widowControl/>
              <w:spacing w:line="0" w:lineRule="atLeast"/>
              <w:contextualSpacing/>
              <w:jc w:val="center"/>
              <w:rPr>
                <w:rFonts w:eastAsiaTheme="minorEastAsia"/>
                <w:szCs w:val="21"/>
              </w:rPr>
            </w:pPr>
            <w:r w:rsidRPr="00F9522B">
              <w:rPr>
                <w:rFonts w:eastAsiaTheme="minorEastAsia"/>
                <w:szCs w:val="21"/>
              </w:rPr>
              <w:t>未检出</w:t>
            </w:r>
          </w:p>
        </w:tc>
        <w:tc>
          <w:tcPr>
            <w:tcW w:w="746" w:type="pct"/>
            <w:vAlign w:val="center"/>
          </w:tcPr>
          <w:p w:rsidR="002A5A5E" w:rsidRPr="00F9522B" w:rsidRDefault="00611CBA" w:rsidP="007E0713">
            <w:pPr>
              <w:widowControl/>
              <w:spacing w:line="0" w:lineRule="atLeast"/>
              <w:contextualSpacing/>
              <w:jc w:val="center"/>
              <w:rPr>
                <w:rFonts w:eastAsiaTheme="minorEastAsia"/>
                <w:szCs w:val="21"/>
              </w:rPr>
            </w:pPr>
            <w:r w:rsidRPr="00F9522B">
              <w:rPr>
                <w:rFonts w:eastAsiaTheme="minorEastAsia"/>
                <w:szCs w:val="21"/>
              </w:rPr>
              <w:t>未检出</w:t>
            </w:r>
          </w:p>
        </w:tc>
      </w:tr>
      <w:tr w:rsidR="002A5A5E" w:rsidRPr="00F9522B" w:rsidTr="007E0713">
        <w:trPr>
          <w:trHeight w:val="297"/>
          <w:jc w:val="center"/>
        </w:trPr>
        <w:tc>
          <w:tcPr>
            <w:tcW w:w="556" w:type="pct"/>
            <w:vAlign w:val="center"/>
          </w:tcPr>
          <w:p w:rsidR="002A5A5E" w:rsidRPr="00F9522B" w:rsidRDefault="00611CBA" w:rsidP="007E0713">
            <w:pPr>
              <w:widowControl/>
              <w:spacing w:line="0" w:lineRule="atLeast"/>
              <w:contextualSpacing/>
              <w:jc w:val="center"/>
              <w:rPr>
                <w:rFonts w:eastAsiaTheme="minorEastAsia"/>
                <w:szCs w:val="21"/>
                <w:lang w:val="zh-CN"/>
              </w:rPr>
            </w:pPr>
            <w:r w:rsidRPr="00F9522B">
              <w:rPr>
                <w:rFonts w:eastAsiaTheme="minorEastAsia"/>
                <w:szCs w:val="21"/>
                <w:lang w:val="zh-CN"/>
              </w:rPr>
              <w:t>14</w:t>
            </w:r>
          </w:p>
        </w:tc>
        <w:tc>
          <w:tcPr>
            <w:tcW w:w="1147" w:type="pct"/>
            <w:vAlign w:val="center"/>
          </w:tcPr>
          <w:p w:rsidR="002A5A5E" w:rsidRPr="00F9522B" w:rsidRDefault="00611CBA" w:rsidP="007E0713">
            <w:pPr>
              <w:widowControl/>
              <w:spacing w:line="0" w:lineRule="atLeast"/>
              <w:contextualSpacing/>
              <w:jc w:val="center"/>
              <w:rPr>
                <w:rFonts w:eastAsiaTheme="minorEastAsia"/>
                <w:kern w:val="0"/>
                <w:szCs w:val="21"/>
              </w:rPr>
            </w:pPr>
            <w:r w:rsidRPr="00F9522B">
              <w:rPr>
                <w:rFonts w:eastAsiaTheme="minorEastAsia"/>
                <w:szCs w:val="21"/>
              </w:rPr>
              <w:t>总大肠菌群</w:t>
            </w:r>
          </w:p>
        </w:tc>
        <w:tc>
          <w:tcPr>
            <w:tcW w:w="823" w:type="pct"/>
            <w:vAlign w:val="center"/>
          </w:tcPr>
          <w:p w:rsidR="002A5A5E" w:rsidRPr="00F9522B" w:rsidRDefault="00611CBA" w:rsidP="007E0713">
            <w:pPr>
              <w:widowControl/>
              <w:spacing w:line="0" w:lineRule="atLeast"/>
              <w:contextualSpacing/>
              <w:jc w:val="center"/>
              <w:rPr>
                <w:rFonts w:eastAsiaTheme="minorEastAsia"/>
                <w:szCs w:val="21"/>
              </w:rPr>
            </w:pPr>
            <w:r w:rsidRPr="00F9522B">
              <w:rPr>
                <w:rFonts w:eastAsiaTheme="minorEastAsia"/>
                <w:szCs w:val="21"/>
              </w:rPr>
              <w:t>未检出</w:t>
            </w:r>
          </w:p>
        </w:tc>
        <w:tc>
          <w:tcPr>
            <w:tcW w:w="980" w:type="pct"/>
            <w:vAlign w:val="center"/>
          </w:tcPr>
          <w:p w:rsidR="002A5A5E" w:rsidRPr="00F9522B" w:rsidRDefault="00611CBA" w:rsidP="007E0713">
            <w:pPr>
              <w:widowControl/>
              <w:spacing w:line="0" w:lineRule="atLeast"/>
              <w:contextualSpacing/>
              <w:jc w:val="center"/>
              <w:rPr>
                <w:rFonts w:eastAsiaTheme="minorEastAsia"/>
                <w:szCs w:val="21"/>
              </w:rPr>
            </w:pPr>
            <w:r w:rsidRPr="00F9522B">
              <w:rPr>
                <w:rFonts w:eastAsiaTheme="minorEastAsia"/>
                <w:szCs w:val="21"/>
              </w:rPr>
              <w:t>未检出</w:t>
            </w:r>
          </w:p>
        </w:tc>
        <w:tc>
          <w:tcPr>
            <w:tcW w:w="748" w:type="pct"/>
            <w:vAlign w:val="center"/>
          </w:tcPr>
          <w:p w:rsidR="002A5A5E" w:rsidRPr="00F9522B" w:rsidRDefault="00611CBA" w:rsidP="007E0713">
            <w:pPr>
              <w:widowControl/>
              <w:spacing w:line="0" w:lineRule="atLeast"/>
              <w:contextualSpacing/>
              <w:jc w:val="center"/>
              <w:rPr>
                <w:rFonts w:eastAsiaTheme="minorEastAsia"/>
                <w:szCs w:val="21"/>
              </w:rPr>
            </w:pPr>
            <w:r w:rsidRPr="00F9522B">
              <w:rPr>
                <w:rFonts w:eastAsiaTheme="minorEastAsia"/>
                <w:szCs w:val="21"/>
              </w:rPr>
              <w:t>未检出</w:t>
            </w:r>
          </w:p>
        </w:tc>
        <w:tc>
          <w:tcPr>
            <w:tcW w:w="746" w:type="pct"/>
            <w:vAlign w:val="center"/>
          </w:tcPr>
          <w:p w:rsidR="002A5A5E" w:rsidRPr="00F9522B" w:rsidRDefault="00611CBA" w:rsidP="007E0713">
            <w:pPr>
              <w:widowControl/>
              <w:spacing w:line="0" w:lineRule="atLeast"/>
              <w:contextualSpacing/>
              <w:jc w:val="center"/>
              <w:rPr>
                <w:rFonts w:eastAsiaTheme="minorEastAsia"/>
                <w:szCs w:val="21"/>
              </w:rPr>
            </w:pPr>
            <w:r w:rsidRPr="00F9522B">
              <w:rPr>
                <w:rFonts w:eastAsiaTheme="minorEastAsia"/>
                <w:szCs w:val="21"/>
              </w:rPr>
              <w:t>未检出</w:t>
            </w:r>
          </w:p>
        </w:tc>
      </w:tr>
      <w:tr w:rsidR="00D02FC8" w:rsidRPr="00F9522B" w:rsidTr="007E0713">
        <w:trPr>
          <w:trHeight w:val="297"/>
          <w:jc w:val="center"/>
        </w:trPr>
        <w:tc>
          <w:tcPr>
            <w:tcW w:w="556" w:type="pct"/>
            <w:vAlign w:val="center"/>
          </w:tcPr>
          <w:p w:rsidR="00D02FC8" w:rsidRPr="00F9522B" w:rsidRDefault="00D02FC8" w:rsidP="007E0713">
            <w:pPr>
              <w:widowControl/>
              <w:spacing w:line="0" w:lineRule="atLeast"/>
              <w:contextualSpacing/>
              <w:jc w:val="center"/>
              <w:rPr>
                <w:rFonts w:eastAsiaTheme="minorEastAsia"/>
                <w:szCs w:val="21"/>
                <w:lang w:val="zh-CN"/>
              </w:rPr>
            </w:pPr>
            <w:r w:rsidRPr="00F9522B">
              <w:rPr>
                <w:rFonts w:eastAsiaTheme="minorEastAsia"/>
                <w:szCs w:val="21"/>
                <w:lang w:val="zh-CN"/>
              </w:rPr>
              <w:t>15</w:t>
            </w:r>
          </w:p>
        </w:tc>
        <w:tc>
          <w:tcPr>
            <w:tcW w:w="1147" w:type="pct"/>
            <w:vAlign w:val="center"/>
          </w:tcPr>
          <w:p w:rsidR="00D02FC8" w:rsidRPr="00F9522B" w:rsidRDefault="00D02FC8" w:rsidP="007E0713">
            <w:pPr>
              <w:widowControl/>
              <w:spacing w:line="0" w:lineRule="atLeast"/>
              <w:contextualSpacing/>
              <w:jc w:val="center"/>
              <w:rPr>
                <w:rFonts w:eastAsiaTheme="minorEastAsia"/>
                <w:kern w:val="0"/>
                <w:szCs w:val="21"/>
              </w:rPr>
            </w:pPr>
            <w:r w:rsidRPr="00F9522B">
              <w:rPr>
                <w:rFonts w:eastAsiaTheme="minorEastAsia"/>
                <w:szCs w:val="21"/>
              </w:rPr>
              <w:t>菌落总数</w:t>
            </w:r>
          </w:p>
        </w:tc>
        <w:tc>
          <w:tcPr>
            <w:tcW w:w="823" w:type="pct"/>
            <w:vAlign w:val="center"/>
          </w:tcPr>
          <w:p w:rsidR="00D02FC8" w:rsidRPr="00F9522B" w:rsidRDefault="00D02FC8" w:rsidP="007E0713">
            <w:pPr>
              <w:widowControl/>
              <w:spacing w:line="0" w:lineRule="atLeast"/>
              <w:contextualSpacing/>
              <w:jc w:val="center"/>
              <w:rPr>
                <w:rFonts w:eastAsiaTheme="minorEastAsia"/>
                <w:szCs w:val="21"/>
              </w:rPr>
            </w:pPr>
            <w:r w:rsidRPr="00F9522B">
              <w:rPr>
                <w:rFonts w:eastAsiaTheme="minorEastAsia"/>
                <w:szCs w:val="21"/>
              </w:rPr>
              <w:t>未检出</w:t>
            </w:r>
          </w:p>
        </w:tc>
        <w:tc>
          <w:tcPr>
            <w:tcW w:w="980" w:type="pct"/>
            <w:vAlign w:val="center"/>
          </w:tcPr>
          <w:p w:rsidR="00D02FC8" w:rsidRPr="00F9522B" w:rsidRDefault="00D02FC8" w:rsidP="007E0713">
            <w:pPr>
              <w:widowControl/>
              <w:spacing w:line="0" w:lineRule="atLeast"/>
              <w:contextualSpacing/>
              <w:jc w:val="center"/>
              <w:rPr>
                <w:rFonts w:eastAsiaTheme="minorEastAsia"/>
                <w:szCs w:val="21"/>
              </w:rPr>
            </w:pPr>
            <w:r w:rsidRPr="00F9522B">
              <w:rPr>
                <w:rFonts w:eastAsiaTheme="minorEastAsia"/>
                <w:szCs w:val="21"/>
              </w:rPr>
              <w:t>未检出</w:t>
            </w:r>
          </w:p>
        </w:tc>
        <w:tc>
          <w:tcPr>
            <w:tcW w:w="748" w:type="pct"/>
            <w:vAlign w:val="center"/>
          </w:tcPr>
          <w:p w:rsidR="00D02FC8" w:rsidRPr="00F9522B" w:rsidRDefault="00D02FC8" w:rsidP="007E0713">
            <w:pPr>
              <w:widowControl/>
              <w:spacing w:line="0" w:lineRule="atLeast"/>
              <w:contextualSpacing/>
              <w:jc w:val="center"/>
              <w:rPr>
                <w:rFonts w:eastAsiaTheme="minorEastAsia"/>
                <w:szCs w:val="21"/>
              </w:rPr>
            </w:pPr>
            <w:r w:rsidRPr="00F9522B">
              <w:rPr>
                <w:rFonts w:eastAsiaTheme="minorEastAsia"/>
                <w:szCs w:val="21"/>
              </w:rPr>
              <w:t>未检出</w:t>
            </w:r>
          </w:p>
        </w:tc>
        <w:tc>
          <w:tcPr>
            <w:tcW w:w="746" w:type="pct"/>
            <w:vAlign w:val="center"/>
          </w:tcPr>
          <w:p w:rsidR="00D02FC8" w:rsidRPr="00F9522B" w:rsidRDefault="00D02FC8" w:rsidP="007E0713">
            <w:pPr>
              <w:widowControl/>
              <w:spacing w:line="0" w:lineRule="atLeast"/>
              <w:contextualSpacing/>
              <w:jc w:val="center"/>
              <w:rPr>
                <w:rFonts w:eastAsiaTheme="minorEastAsia"/>
                <w:szCs w:val="21"/>
              </w:rPr>
            </w:pPr>
            <w:r w:rsidRPr="00F9522B">
              <w:rPr>
                <w:rFonts w:eastAsiaTheme="minorEastAsia"/>
                <w:szCs w:val="21"/>
              </w:rPr>
              <w:t>未检出</w:t>
            </w:r>
          </w:p>
        </w:tc>
      </w:tr>
      <w:tr w:rsidR="00DC39A8" w:rsidRPr="00F9522B" w:rsidTr="007E0713">
        <w:trPr>
          <w:trHeight w:val="297"/>
          <w:jc w:val="center"/>
        </w:trPr>
        <w:tc>
          <w:tcPr>
            <w:tcW w:w="556" w:type="pct"/>
            <w:vAlign w:val="center"/>
          </w:tcPr>
          <w:p w:rsidR="00DC39A8" w:rsidRPr="00F9522B" w:rsidRDefault="00DC39A8" w:rsidP="007E0713">
            <w:pPr>
              <w:widowControl/>
              <w:spacing w:line="0" w:lineRule="atLeast"/>
              <w:contextualSpacing/>
              <w:jc w:val="center"/>
              <w:rPr>
                <w:rFonts w:eastAsiaTheme="minorEastAsia"/>
                <w:szCs w:val="21"/>
                <w:lang w:val="zh-CN"/>
              </w:rPr>
            </w:pPr>
            <w:r w:rsidRPr="00F9522B">
              <w:rPr>
                <w:rFonts w:eastAsiaTheme="minorEastAsia"/>
                <w:szCs w:val="21"/>
                <w:lang w:val="zh-CN"/>
              </w:rPr>
              <w:t>16</w:t>
            </w:r>
          </w:p>
        </w:tc>
        <w:tc>
          <w:tcPr>
            <w:tcW w:w="1147" w:type="pct"/>
            <w:vAlign w:val="center"/>
          </w:tcPr>
          <w:p w:rsidR="00DC39A8" w:rsidRPr="00F9522B" w:rsidRDefault="00DC39A8" w:rsidP="007E0713">
            <w:pPr>
              <w:widowControl/>
              <w:spacing w:line="0" w:lineRule="atLeast"/>
              <w:contextualSpacing/>
              <w:jc w:val="center"/>
              <w:rPr>
                <w:rFonts w:eastAsiaTheme="minorEastAsia"/>
                <w:kern w:val="0"/>
                <w:szCs w:val="21"/>
              </w:rPr>
            </w:pPr>
            <w:r w:rsidRPr="00F9522B">
              <w:rPr>
                <w:rFonts w:eastAsiaTheme="minorEastAsia"/>
                <w:szCs w:val="21"/>
              </w:rPr>
              <w:t>铁</w:t>
            </w:r>
          </w:p>
        </w:tc>
        <w:tc>
          <w:tcPr>
            <w:tcW w:w="823" w:type="pct"/>
            <w:vAlign w:val="center"/>
          </w:tcPr>
          <w:p w:rsidR="00DC39A8" w:rsidRPr="00F9522B" w:rsidRDefault="00DC39A8" w:rsidP="007E0713">
            <w:pPr>
              <w:widowControl/>
              <w:spacing w:line="0" w:lineRule="atLeast"/>
              <w:contextualSpacing/>
              <w:jc w:val="center"/>
              <w:rPr>
                <w:rFonts w:eastAsiaTheme="minorEastAsia"/>
                <w:szCs w:val="21"/>
              </w:rPr>
            </w:pPr>
            <w:r w:rsidRPr="00F9522B">
              <w:rPr>
                <w:rFonts w:eastAsiaTheme="minorEastAsia"/>
                <w:szCs w:val="21"/>
              </w:rPr>
              <w:t>0.60</w:t>
            </w:r>
          </w:p>
        </w:tc>
        <w:tc>
          <w:tcPr>
            <w:tcW w:w="980" w:type="pct"/>
            <w:vAlign w:val="center"/>
          </w:tcPr>
          <w:p w:rsidR="00DC39A8" w:rsidRPr="00F9522B" w:rsidRDefault="00DC39A8" w:rsidP="007E0713">
            <w:pPr>
              <w:widowControl/>
              <w:spacing w:line="0" w:lineRule="atLeast"/>
              <w:contextualSpacing/>
              <w:jc w:val="center"/>
              <w:rPr>
                <w:rFonts w:eastAsiaTheme="minorEastAsia"/>
                <w:szCs w:val="21"/>
              </w:rPr>
            </w:pPr>
            <w:r w:rsidRPr="00F9522B">
              <w:rPr>
                <w:rFonts w:eastAsiaTheme="minorEastAsia"/>
                <w:szCs w:val="21"/>
              </w:rPr>
              <w:t>0.73</w:t>
            </w:r>
          </w:p>
        </w:tc>
        <w:tc>
          <w:tcPr>
            <w:tcW w:w="748" w:type="pct"/>
            <w:vAlign w:val="center"/>
          </w:tcPr>
          <w:p w:rsidR="00DC39A8" w:rsidRPr="00F9522B" w:rsidRDefault="00DC39A8" w:rsidP="007E0713">
            <w:pPr>
              <w:widowControl/>
              <w:spacing w:line="0" w:lineRule="atLeast"/>
              <w:contextualSpacing/>
              <w:jc w:val="center"/>
              <w:rPr>
                <w:rFonts w:eastAsiaTheme="minorEastAsia"/>
                <w:szCs w:val="21"/>
              </w:rPr>
            </w:pPr>
            <w:r w:rsidRPr="00F9522B">
              <w:rPr>
                <w:rFonts w:eastAsiaTheme="minorEastAsia"/>
                <w:szCs w:val="21"/>
              </w:rPr>
              <w:t>0.53</w:t>
            </w:r>
          </w:p>
        </w:tc>
        <w:tc>
          <w:tcPr>
            <w:tcW w:w="746" w:type="pct"/>
            <w:vAlign w:val="center"/>
          </w:tcPr>
          <w:p w:rsidR="00DC39A8" w:rsidRPr="00F9522B" w:rsidRDefault="00DC39A8" w:rsidP="007E0713">
            <w:pPr>
              <w:widowControl/>
              <w:spacing w:line="0" w:lineRule="atLeast"/>
              <w:contextualSpacing/>
              <w:jc w:val="center"/>
              <w:rPr>
                <w:rFonts w:eastAsiaTheme="minorEastAsia"/>
                <w:szCs w:val="21"/>
              </w:rPr>
            </w:pPr>
            <w:r w:rsidRPr="00F9522B">
              <w:rPr>
                <w:rFonts w:eastAsiaTheme="minorEastAsia"/>
                <w:szCs w:val="21"/>
              </w:rPr>
              <w:t>0.83</w:t>
            </w:r>
          </w:p>
        </w:tc>
      </w:tr>
      <w:tr w:rsidR="00DC39A8" w:rsidRPr="00F9522B" w:rsidTr="007E0713">
        <w:trPr>
          <w:trHeight w:val="65"/>
          <w:jc w:val="center"/>
        </w:trPr>
        <w:tc>
          <w:tcPr>
            <w:tcW w:w="556" w:type="pct"/>
            <w:vAlign w:val="center"/>
          </w:tcPr>
          <w:p w:rsidR="00DC39A8" w:rsidRPr="00F9522B" w:rsidRDefault="00DC39A8" w:rsidP="007E0713">
            <w:pPr>
              <w:widowControl/>
              <w:spacing w:line="0" w:lineRule="atLeast"/>
              <w:contextualSpacing/>
              <w:jc w:val="center"/>
              <w:rPr>
                <w:rFonts w:eastAsiaTheme="minorEastAsia"/>
                <w:szCs w:val="21"/>
                <w:lang w:val="zh-CN"/>
              </w:rPr>
            </w:pPr>
            <w:r w:rsidRPr="00F9522B">
              <w:rPr>
                <w:rFonts w:eastAsiaTheme="minorEastAsia"/>
                <w:szCs w:val="21"/>
                <w:lang w:val="zh-CN"/>
              </w:rPr>
              <w:t>17</w:t>
            </w:r>
          </w:p>
        </w:tc>
        <w:tc>
          <w:tcPr>
            <w:tcW w:w="1147" w:type="pct"/>
            <w:vAlign w:val="center"/>
          </w:tcPr>
          <w:p w:rsidR="00DC39A8" w:rsidRPr="00F9522B" w:rsidRDefault="00DC39A8" w:rsidP="007E0713">
            <w:pPr>
              <w:widowControl/>
              <w:spacing w:line="0" w:lineRule="atLeast"/>
              <w:contextualSpacing/>
              <w:jc w:val="center"/>
              <w:rPr>
                <w:rFonts w:eastAsiaTheme="minorEastAsia"/>
                <w:kern w:val="0"/>
                <w:szCs w:val="21"/>
              </w:rPr>
            </w:pPr>
            <w:r w:rsidRPr="00F9522B">
              <w:rPr>
                <w:rFonts w:eastAsiaTheme="minorEastAsia"/>
                <w:kern w:val="0"/>
                <w:szCs w:val="21"/>
              </w:rPr>
              <w:t>锰</w:t>
            </w:r>
          </w:p>
        </w:tc>
        <w:tc>
          <w:tcPr>
            <w:tcW w:w="823" w:type="pct"/>
            <w:vAlign w:val="center"/>
          </w:tcPr>
          <w:p w:rsidR="00DC39A8" w:rsidRPr="00F9522B" w:rsidRDefault="007E0713" w:rsidP="007E0713">
            <w:pPr>
              <w:widowControl/>
              <w:spacing w:line="0" w:lineRule="atLeast"/>
              <w:contextualSpacing/>
              <w:jc w:val="center"/>
              <w:rPr>
                <w:rFonts w:eastAsiaTheme="minorEastAsia"/>
                <w:szCs w:val="21"/>
              </w:rPr>
            </w:pPr>
            <w:r w:rsidRPr="00F9522B">
              <w:rPr>
                <w:rFonts w:eastAsiaTheme="minorEastAsia"/>
                <w:szCs w:val="21"/>
              </w:rPr>
              <w:t>3.1</w:t>
            </w:r>
          </w:p>
        </w:tc>
        <w:tc>
          <w:tcPr>
            <w:tcW w:w="980" w:type="pct"/>
            <w:vAlign w:val="center"/>
          </w:tcPr>
          <w:p w:rsidR="00DC39A8" w:rsidRPr="00F9522B" w:rsidRDefault="007E0713" w:rsidP="007E0713">
            <w:pPr>
              <w:widowControl/>
              <w:spacing w:line="0" w:lineRule="atLeast"/>
              <w:contextualSpacing/>
              <w:jc w:val="center"/>
              <w:rPr>
                <w:rFonts w:eastAsiaTheme="minorEastAsia"/>
                <w:szCs w:val="21"/>
              </w:rPr>
            </w:pPr>
            <w:r w:rsidRPr="00F9522B">
              <w:rPr>
                <w:rFonts w:eastAsiaTheme="minorEastAsia"/>
                <w:szCs w:val="21"/>
              </w:rPr>
              <w:t>2.5</w:t>
            </w:r>
          </w:p>
        </w:tc>
        <w:tc>
          <w:tcPr>
            <w:tcW w:w="748" w:type="pct"/>
            <w:vAlign w:val="center"/>
          </w:tcPr>
          <w:p w:rsidR="00DC39A8" w:rsidRPr="00F9522B" w:rsidRDefault="007E0713" w:rsidP="007E0713">
            <w:pPr>
              <w:widowControl/>
              <w:spacing w:line="0" w:lineRule="atLeast"/>
              <w:contextualSpacing/>
              <w:jc w:val="center"/>
              <w:rPr>
                <w:rFonts w:eastAsiaTheme="minorEastAsia"/>
                <w:szCs w:val="21"/>
              </w:rPr>
            </w:pPr>
            <w:r w:rsidRPr="00F9522B">
              <w:rPr>
                <w:rFonts w:eastAsiaTheme="minorEastAsia"/>
                <w:szCs w:val="21"/>
              </w:rPr>
              <w:t>1.6</w:t>
            </w:r>
          </w:p>
        </w:tc>
        <w:tc>
          <w:tcPr>
            <w:tcW w:w="746" w:type="pct"/>
            <w:vAlign w:val="center"/>
          </w:tcPr>
          <w:p w:rsidR="00DC39A8" w:rsidRPr="00F9522B" w:rsidRDefault="007E0713" w:rsidP="007E0713">
            <w:pPr>
              <w:widowControl/>
              <w:spacing w:line="0" w:lineRule="atLeast"/>
              <w:contextualSpacing/>
              <w:jc w:val="center"/>
              <w:rPr>
                <w:rFonts w:eastAsiaTheme="minorEastAsia"/>
                <w:szCs w:val="21"/>
              </w:rPr>
            </w:pPr>
            <w:r w:rsidRPr="00F9522B">
              <w:rPr>
                <w:rFonts w:eastAsiaTheme="minorEastAsia"/>
                <w:szCs w:val="21"/>
              </w:rPr>
              <w:t>1.3</w:t>
            </w:r>
          </w:p>
        </w:tc>
      </w:tr>
      <w:tr w:rsidR="00D02FC8" w:rsidRPr="00F9522B" w:rsidTr="007E0713">
        <w:trPr>
          <w:trHeight w:val="297"/>
          <w:jc w:val="center"/>
        </w:trPr>
        <w:tc>
          <w:tcPr>
            <w:tcW w:w="556" w:type="pct"/>
            <w:vAlign w:val="center"/>
          </w:tcPr>
          <w:p w:rsidR="00D02FC8" w:rsidRPr="00F9522B" w:rsidRDefault="00D02FC8" w:rsidP="007E0713">
            <w:pPr>
              <w:widowControl/>
              <w:spacing w:line="0" w:lineRule="atLeast"/>
              <w:contextualSpacing/>
              <w:jc w:val="center"/>
              <w:rPr>
                <w:rFonts w:eastAsiaTheme="minorEastAsia"/>
                <w:szCs w:val="21"/>
                <w:lang w:val="zh-CN"/>
              </w:rPr>
            </w:pPr>
            <w:r w:rsidRPr="00F9522B">
              <w:rPr>
                <w:rFonts w:eastAsiaTheme="minorEastAsia"/>
                <w:szCs w:val="21"/>
                <w:lang w:val="zh-CN"/>
              </w:rPr>
              <w:t>18</w:t>
            </w:r>
          </w:p>
        </w:tc>
        <w:tc>
          <w:tcPr>
            <w:tcW w:w="1147" w:type="pct"/>
            <w:vAlign w:val="center"/>
          </w:tcPr>
          <w:p w:rsidR="00D02FC8" w:rsidRPr="00F9522B" w:rsidRDefault="00D02FC8" w:rsidP="007E0713">
            <w:pPr>
              <w:widowControl/>
              <w:spacing w:line="0" w:lineRule="atLeast"/>
              <w:contextualSpacing/>
              <w:jc w:val="center"/>
              <w:rPr>
                <w:rFonts w:eastAsiaTheme="minorEastAsia"/>
                <w:kern w:val="0"/>
                <w:szCs w:val="21"/>
              </w:rPr>
            </w:pPr>
            <w:r w:rsidRPr="00F9522B">
              <w:rPr>
                <w:rFonts w:eastAsiaTheme="minorEastAsia"/>
                <w:szCs w:val="21"/>
              </w:rPr>
              <w:t>砷</w:t>
            </w:r>
          </w:p>
        </w:tc>
        <w:tc>
          <w:tcPr>
            <w:tcW w:w="823" w:type="pct"/>
            <w:vAlign w:val="center"/>
          </w:tcPr>
          <w:p w:rsidR="00D02FC8" w:rsidRPr="00F9522B" w:rsidRDefault="00D02FC8" w:rsidP="007E0713">
            <w:pPr>
              <w:widowControl/>
              <w:spacing w:line="0" w:lineRule="atLeast"/>
              <w:contextualSpacing/>
              <w:jc w:val="center"/>
              <w:rPr>
                <w:rFonts w:eastAsiaTheme="minorEastAsia"/>
                <w:szCs w:val="21"/>
              </w:rPr>
            </w:pPr>
            <w:r w:rsidRPr="00F9522B">
              <w:rPr>
                <w:rFonts w:eastAsiaTheme="minorEastAsia"/>
                <w:szCs w:val="21"/>
              </w:rPr>
              <w:t>未检出</w:t>
            </w:r>
          </w:p>
        </w:tc>
        <w:tc>
          <w:tcPr>
            <w:tcW w:w="980" w:type="pct"/>
            <w:vAlign w:val="center"/>
          </w:tcPr>
          <w:p w:rsidR="00D02FC8" w:rsidRPr="00F9522B" w:rsidRDefault="00D02FC8" w:rsidP="007E0713">
            <w:pPr>
              <w:widowControl/>
              <w:spacing w:line="0" w:lineRule="atLeast"/>
              <w:contextualSpacing/>
              <w:jc w:val="center"/>
              <w:rPr>
                <w:rFonts w:eastAsiaTheme="minorEastAsia"/>
                <w:szCs w:val="21"/>
              </w:rPr>
            </w:pPr>
            <w:r w:rsidRPr="00F9522B">
              <w:rPr>
                <w:rFonts w:eastAsiaTheme="minorEastAsia"/>
                <w:szCs w:val="21"/>
              </w:rPr>
              <w:t>未检出</w:t>
            </w:r>
          </w:p>
        </w:tc>
        <w:tc>
          <w:tcPr>
            <w:tcW w:w="748" w:type="pct"/>
            <w:vAlign w:val="center"/>
          </w:tcPr>
          <w:p w:rsidR="00D02FC8" w:rsidRPr="00F9522B" w:rsidRDefault="00D02FC8" w:rsidP="007E0713">
            <w:pPr>
              <w:widowControl/>
              <w:spacing w:line="0" w:lineRule="atLeast"/>
              <w:contextualSpacing/>
              <w:jc w:val="center"/>
              <w:rPr>
                <w:rFonts w:eastAsiaTheme="minorEastAsia"/>
                <w:szCs w:val="21"/>
              </w:rPr>
            </w:pPr>
            <w:r w:rsidRPr="00F9522B">
              <w:rPr>
                <w:rFonts w:eastAsiaTheme="minorEastAsia"/>
                <w:szCs w:val="21"/>
              </w:rPr>
              <w:t>未检出</w:t>
            </w:r>
          </w:p>
        </w:tc>
        <w:tc>
          <w:tcPr>
            <w:tcW w:w="746" w:type="pct"/>
            <w:vAlign w:val="center"/>
          </w:tcPr>
          <w:p w:rsidR="00D02FC8" w:rsidRPr="00F9522B" w:rsidRDefault="00D02FC8" w:rsidP="007E0713">
            <w:pPr>
              <w:widowControl/>
              <w:spacing w:line="0" w:lineRule="atLeast"/>
              <w:contextualSpacing/>
              <w:jc w:val="center"/>
              <w:rPr>
                <w:rFonts w:eastAsiaTheme="minorEastAsia"/>
                <w:szCs w:val="21"/>
              </w:rPr>
            </w:pPr>
            <w:r w:rsidRPr="00F9522B">
              <w:rPr>
                <w:rFonts w:eastAsiaTheme="minorEastAsia"/>
                <w:szCs w:val="21"/>
              </w:rPr>
              <w:t>未检出</w:t>
            </w:r>
          </w:p>
        </w:tc>
      </w:tr>
      <w:tr w:rsidR="00D02FC8" w:rsidRPr="00F9522B" w:rsidTr="007E0713">
        <w:trPr>
          <w:trHeight w:val="297"/>
          <w:jc w:val="center"/>
        </w:trPr>
        <w:tc>
          <w:tcPr>
            <w:tcW w:w="556" w:type="pct"/>
            <w:vAlign w:val="center"/>
          </w:tcPr>
          <w:p w:rsidR="00D02FC8" w:rsidRPr="00F9522B" w:rsidRDefault="00D02FC8" w:rsidP="007E0713">
            <w:pPr>
              <w:widowControl/>
              <w:spacing w:line="0" w:lineRule="atLeast"/>
              <w:contextualSpacing/>
              <w:jc w:val="center"/>
              <w:rPr>
                <w:rFonts w:eastAsiaTheme="minorEastAsia"/>
                <w:szCs w:val="21"/>
                <w:lang w:val="zh-CN"/>
              </w:rPr>
            </w:pPr>
            <w:r w:rsidRPr="00F9522B">
              <w:rPr>
                <w:rFonts w:eastAsiaTheme="minorEastAsia"/>
                <w:szCs w:val="21"/>
                <w:lang w:val="zh-CN"/>
              </w:rPr>
              <w:t>19</w:t>
            </w:r>
          </w:p>
        </w:tc>
        <w:tc>
          <w:tcPr>
            <w:tcW w:w="1147" w:type="pct"/>
            <w:vAlign w:val="center"/>
          </w:tcPr>
          <w:p w:rsidR="00D02FC8" w:rsidRPr="00F9522B" w:rsidRDefault="00D02FC8" w:rsidP="007E0713">
            <w:pPr>
              <w:widowControl/>
              <w:spacing w:line="0" w:lineRule="atLeast"/>
              <w:contextualSpacing/>
              <w:jc w:val="center"/>
              <w:rPr>
                <w:rFonts w:eastAsiaTheme="minorEastAsia"/>
                <w:kern w:val="0"/>
                <w:szCs w:val="21"/>
              </w:rPr>
            </w:pPr>
            <w:r w:rsidRPr="00F9522B">
              <w:rPr>
                <w:rFonts w:eastAsiaTheme="minorEastAsia"/>
                <w:szCs w:val="21"/>
              </w:rPr>
              <w:t>汞</w:t>
            </w:r>
          </w:p>
        </w:tc>
        <w:tc>
          <w:tcPr>
            <w:tcW w:w="823" w:type="pct"/>
            <w:vAlign w:val="center"/>
          </w:tcPr>
          <w:p w:rsidR="00D02FC8" w:rsidRPr="00F9522B" w:rsidRDefault="00D02FC8" w:rsidP="007E0713">
            <w:pPr>
              <w:widowControl/>
              <w:spacing w:line="0" w:lineRule="atLeast"/>
              <w:contextualSpacing/>
              <w:jc w:val="center"/>
              <w:rPr>
                <w:rFonts w:eastAsiaTheme="minorEastAsia"/>
                <w:szCs w:val="21"/>
              </w:rPr>
            </w:pPr>
            <w:r w:rsidRPr="00F9522B">
              <w:rPr>
                <w:rFonts w:eastAsiaTheme="minorEastAsia"/>
                <w:szCs w:val="21"/>
              </w:rPr>
              <w:t>未检出</w:t>
            </w:r>
          </w:p>
        </w:tc>
        <w:tc>
          <w:tcPr>
            <w:tcW w:w="980" w:type="pct"/>
            <w:vAlign w:val="center"/>
          </w:tcPr>
          <w:p w:rsidR="00D02FC8" w:rsidRPr="00F9522B" w:rsidRDefault="00D02FC8" w:rsidP="007E0713">
            <w:pPr>
              <w:widowControl/>
              <w:spacing w:line="0" w:lineRule="atLeast"/>
              <w:contextualSpacing/>
              <w:jc w:val="center"/>
              <w:rPr>
                <w:rFonts w:eastAsiaTheme="minorEastAsia"/>
                <w:szCs w:val="21"/>
              </w:rPr>
            </w:pPr>
            <w:r w:rsidRPr="00F9522B">
              <w:rPr>
                <w:rFonts w:eastAsiaTheme="minorEastAsia"/>
                <w:szCs w:val="21"/>
              </w:rPr>
              <w:t>未检出</w:t>
            </w:r>
          </w:p>
        </w:tc>
        <w:tc>
          <w:tcPr>
            <w:tcW w:w="748" w:type="pct"/>
            <w:vAlign w:val="center"/>
          </w:tcPr>
          <w:p w:rsidR="00D02FC8" w:rsidRPr="00F9522B" w:rsidRDefault="00D02FC8" w:rsidP="007E0713">
            <w:pPr>
              <w:widowControl/>
              <w:spacing w:line="0" w:lineRule="atLeast"/>
              <w:contextualSpacing/>
              <w:jc w:val="center"/>
              <w:rPr>
                <w:rFonts w:eastAsiaTheme="minorEastAsia"/>
                <w:szCs w:val="21"/>
              </w:rPr>
            </w:pPr>
            <w:r w:rsidRPr="00F9522B">
              <w:rPr>
                <w:rFonts w:eastAsiaTheme="minorEastAsia"/>
                <w:szCs w:val="21"/>
              </w:rPr>
              <w:t>未检出</w:t>
            </w:r>
          </w:p>
        </w:tc>
        <w:tc>
          <w:tcPr>
            <w:tcW w:w="746" w:type="pct"/>
            <w:vAlign w:val="center"/>
          </w:tcPr>
          <w:p w:rsidR="00D02FC8" w:rsidRPr="00F9522B" w:rsidRDefault="00D02FC8" w:rsidP="007E0713">
            <w:pPr>
              <w:widowControl/>
              <w:spacing w:line="0" w:lineRule="atLeast"/>
              <w:contextualSpacing/>
              <w:jc w:val="center"/>
              <w:rPr>
                <w:rFonts w:eastAsiaTheme="minorEastAsia"/>
                <w:szCs w:val="21"/>
              </w:rPr>
            </w:pPr>
            <w:r w:rsidRPr="00F9522B">
              <w:rPr>
                <w:rFonts w:eastAsiaTheme="minorEastAsia"/>
                <w:szCs w:val="21"/>
              </w:rPr>
              <w:t>未检出</w:t>
            </w:r>
          </w:p>
        </w:tc>
      </w:tr>
      <w:tr w:rsidR="00D02FC8" w:rsidRPr="00F9522B" w:rsidTr="007E0713">
        <w:trPr>
          <w:trHeight w:val="297"/>
          <w:jc w:val="center"/>
        </w:trPr>
        <w:tc>
          <w:tcPr>
            <w:tcW w:w="556" w:type="pct"/>
            <w:vAlign w:val="center"/>
          </w:tcPr>
          <w:p w:rsidR="00D02FC8" w:rsidRPr="00F9522B" w:rsidRDefault="00D02FC8" w:rsidP="007E0713">
            <w:pPr>
              <w:widowControl/>
              <w:spacing w:line="0" w:lineRule="atLeast"/>
              <w:contextualSpacing/>
              <w:jc w:val="center"/>
              <w:rPr>
                <w:rFonts w:eastAsiaTheme="minorEastAsia"/>
                <w:szCs w:val="21"/>
                <w:lang w:val="zh-CN"/>
              </w:rPr>
            </w:pPr>
            <w:r w:rsidRPr="00F9522B">
              <w:rPr>
                <w:rFonts w:eastAsiaTheme="minorEastAsia"/>
                <w:szCs w:val="21"/>
                <w:lang w:val="zh-CN"/>
              </w:rPr>
              <w:t>20</w:t>
            </w:r>
          </w:p>
        </w:tc>
        <w:tc>
          <w:tcPr>
            <w:tcW w:w="1147" w:type="pct"/>
            <w:vAlign w:val="center"/>
          </w:tcPr>
          <w:p w:rsidR="00D02FC8" w:rsidRPr="00F9522B" w:rsidRDefault="00D02FC8" w:rsidP="007E0713">
            <w:pPr>
              <w:widowControl/>
              <w:spacing w:line="0" w:lineRule="atLeast"/>
              <w:contextualSpacing/>
              <w:jc w:val="center"/>
              <w:rPr>
                <w:rFonts w:eastAsiaTheme="minorEastAsia"/>
                <w:kern w:val="0"/>
                <w:szCs w:val="21"/>
              </w:rPr>
            </w:pPr>
            <w:r w:rsidRPr="00F9522B">
              <w:rPr>
                <w:rFonts w:eastAsiaTheme="minorEastAsia"/>
                <w:szCs w:val="21"/>
              </w:rPr>
              <w:t>铅</w:t>
            </w:r>
          </w:p>
        </w:tc>
        <w:tc>
          <w:tcPr>
            <w:tcW w:w="823" w:type="pct"/>
            <w:vAlign w:val="center"/>
          </w:tcPr>
          <w:p w:rsidR="00D02FC8" w:rsidRPr="00F9522B" w:rsidRDefault="00D02FC8" w:rsidP="007E0713">
            <w:pPr>
              <w:widowControl/>
              <w:spacing w:line="0" w:lineRule="atLeast"/>
              <w:contextualSpacing/>
              <w:jc w:val="center"/>
              <w:rPr>
                <w:rFonts w:eastAsiaTheme="minorEastAsia"/>
                <w:szCs w:val="21"/>
              </w:rPr>
            </w:pPr>
            <w:r w:rsidRPr="00F9522B">
              <w:rPr>
                <w:rFonts w:eastAsiaTheme="minorEastAsia"/>
                <w:szCs w:val="21"/>
              </w:rPr>
              <w:t>未检出</w:t>
            </w:r>
          </w:p>
        </w:tc>
        <w:tc>
          <w:tcPr>
            <w:tcW w:w="980" w:type="pct"/>
            <w:vAlign w:val="center"/>
          </w:tcPr>
          <w:p w:rsidR="00D02FC8" w:rsidRPr="00F9522B" w:rsidRDefault="00D02FC8" w:rsidP="007E0713">
            <w:pPr>
              <w:widowControl/>
              <w:spacing w:line="0" w:lineRule="atLeast"/>
              <w:contextualSpacing/>
              <w:jc w:val="center"/>
              <w:rPr>
                <w:rFonts w:eastAsiaTheme="minorEastAsia"/>
                <w:szCs w:val="21"/>
              </w:rPr>
            </w:pPr>
            <w:r w:rsidRPr="00F9522B">
              <w:rPr>
                <w:rFonts w:eastAsiaTheme="minorEastAsia"/>
                <w:szCs w:val="21"/>
              </w:rPr>
              <w:t>未检出</w:t>
            </w:r>
          </w:p>
        </w:tc>
        <w:tc>
          <w:tcPr>
            <w:tcW w:w="748" w:type="pct"/>
            <w:vAlign w:val="center"/>
          </w:tcPr>
          <w:p w:rsidR="00D02FC8" w:rsidRPr="00F9522B" w:rsidRDefault="00D02FC8" w:rsidP="007E0713">
            <w:pPr>
              <w:widowControl/>
              <w:spacing w:line="0" w:lineRule="atLeast"/>
              <w:contextualSpacing/>
              <w:jc w:val="center"/>
              <w:rPr>
                <w:rFonts w:eastAsiaTheme="minorEastAsia"/>
                <w:szCs w:val="21"/>
              </w:rPr>
            </w:pPr>
            <w:r w:rsidRPr="00F9522B">
              <w:rPr>
                <w:rFonts w:eastAsiaTheme="minorEastAsia"/>
                <w:szCs w:val="21"/>
              </w:rPr>
              <w:t>未检出</w:t>
            </w:r>
          </w:p>
        </w:tc>
        <w:tc>
          <w:tcPr>
            <w:tcW w:w="746" w:type="pct"/>
            <w:vAlign w:val="center"/>
          </w:tcPr>
          <w:p w:rsidR="00D02FC8" w:rsidRPr="00F9522B" w:rsidRDefault="00D02FC8" w:rsidP="007E0713">
            <w:pPr>
              <w:widowControl/>
              <w:spacing w:line="0" w:lineRule="atLeast"/>
              <w:contextualSpacing/>
              <w:jc w:val="center"/>
              <w:rPr>
                <w:rFonts w:eastAsiaTheme="minorEastAsia"/>
                <w:szCs w:val="21"/>
              </w:rPr>
            </w:pPr>
            <w:r w:rsidRPr="00F9522B">
              <w:rPr>
                <w:rFonts w:eastAsiaTheme="minorEastAsia"/>
                <w:szCs w:val="21"/>
              </w:rPr>
              <w:t>未检出</w:t>
            </w:r>
          </w:p>
        </w:tc>
      </w:tr>
      <w:tr w:rsidR="00D02FC8" w:rsidRPr="00F9522B" w:rsidTr="007E0713">
        <w:trPr>
          <w:trHeight w:val="297"/>
          <w:jc w:val="center"/>
        </w:trPr>
        <w:tc>
          <w:tcPr>
            <w:tcW w:w="556" w:type="pct"/>
            <w:vAlign w:val="center"/>
          </w:tcPr>
          <w:p w:rsidR="00D02FC8" w:rsidRPr="00F9522B" w:rsidRDefault="00D02FC8" w:rsidP="007E0713">
            <w:pPr>
              <w:widowControl/>
              <w:spacing w:line="0" w:lineRule="atLeast"/>
              <w:contextualSpacing/>
              <w:jc w:val="center"/>
              <w:rPr>
                <w:rFonts w:eastAsiaTheme="minorEastAsia"/>
                <w:szCs w:val="21"/>
                <w:lang w:val="zh-CN"/>
              </w:rPr>
            </w:pPr>
            <w:r w:rsidRPr="00F9522B">
              <w:rPr>
                <w:rFonts w:eastAsiaTheme="minorEastAsia"/>
                <w:szCs w:val="21"/>
                <w:lang w:val="zh-CN"/>
              </w:rPr>
              <w:t>21</w:t>
            </w:r>
          </w:p>
        </w:tc>
        <w:tc>
          <w:tcPr>
            <w:tcW w:w="1147" w:type="pct"/>
            <w:vAlign w:val="center"/>
          </w:tcPr>
          <w:p w:rsidR="00D02FC8" w:rsidRPr="00F9522B" w:rsidRDefault="00D02FC8" w:rsidP="007E0713">
            <w:pPr>
              <w:widowControl/>
              <w:spacing w:line="0" w:lineRule="atLeast"/>
              <w:contextualSpacing/>
              <w:jc w:val="center"/>
              <w:rPr>
                <w:rFonts w:eastAsiaTheme="minorEastAsia"/>
                <w:kern w:val="0"/>
                <w:szCs w:val="21"/>
              </w:rPr>
            </w:pPr>
            <w:r w:rsidRPr="00F9522B">
              <w:rPr>
                <w:rFonts w:eastAsiaTheme="minorEastAsia"/>
                <w:szCs w:val="21"/>
              </w:rPr>
              <w:t>镉</w:t>
            </w:r>
          </w:p>
        </w:tc>
        <w:tc>
          <w:tcPr>
            <w:tcW w:w="823" w:type="pct"/>
            <w:vAlign w:val="center"/>
          </w:tcPr>
          <w:p w:rsidR="00D02FC8" w:rsidRPr="00F9522B" w:rsidRDefault="00D02FC8" w:rsidP="007E0713">
            <w:pPr>
              <w:widowControl/>
              <w:spacing w:line="0" w:lineRule="atLeast"/>
              <w:contextualSpacing/>
              <w:jc w:val="center"/>
              <w:rPr>
                <w:rFonts w:eastAsiaTheme="minorEastAsia"/>
                <w:szCs w:val="21"/>
              </w:rPr>
            </w:pPr>
            <w:r w:rsidRPr="00F9522B">
              <w:rPr>
                <w:rFonts w:eastAsiaTheme="minorEastAsia"/>
                <w:szCs w:val="21"/>
              </w:rPr>
              <w:t>未检出</w:t>
            </w:r>
          </w:p>
        </w:tc>
        <w:tc>
          <w:tcPr>
            <w:tcW w:w="980" w:type="pct"/>
            <w:vAlign w:val="center"/>
          </w:tcPr>
          <w:p w:rsidR="00D02FC8" w:rsidRPr="00F9522B" w:rsidRDefault="00D02FC8" w:rsidP="007E0713">
            <w:pPr>
              <w:widowControl/>
              <w:spacing w:line="0" w:lineRule="atLeast"/>
              <w:contextualSpacing/>
              <w:jc w:val="center"/>
              <w:rPr>
                <w:rFonts w:eastAsiaTheme="minorEastAsia"/>
                <w:szCs w:val="21"/>
              </w:rPr>
            </w:pPr>
            <w:r w:rsidRPr="00F9522B">
              <w:rPr>
                <w:rFonts w:eastAsiaTheme="minorEastAsia"/>
                <w:szCs w:val="21"/>
              </w:rPr>
              <w:t>未检出</w:t>
            </w:r>
          </w:p>
        </w:tc>
        <w:tc>
          <w:tcPr>
            <w:tcW w:w="748" w:type="pct"/>
            <w:vAlign w:val="center"/>
          </w:tcPr>
          <w:p w:rsidR="00D02FC8" w:rsidRPr="00F9522B" w:rsidRDefault="00D02FC8" w:rsidP="007E0713">
            <w:pPr>
              <w:widowControl/>
              <w:spacing w:line="0" w:lineRule="atLeast"/>
              <w:contextualSpacing/>
              <w:jc w:val="center"/>
              <w:rPr>
                <w:rFonts w:eastAsiaTheme="minorEastAsia"/>
                <w:szCs w:val="21"/>
              </w:rPr>
            </w:pPr>
            <w:r w:rsidRPr="00F9522B">
              <w:rPr>
                <w:rFonts w:eastAsiaTheme="minorEastAsia"/>
                <w:szCs w:val="21"/>
              </w:rPr>
              <w:t>未检出</w:t>
            </w:r>
          </w:p>
        </w:tc>
        <w:tc>
          <w:tcPr>
            <w:tcW w:w="746" w:type="pct"/>
            <w:vAlign w:val="center"/>
          </w:tcPr>
          <w:p w:rsidR="00D02FC8" w:rsidRPr="00F9522B" w:rsidRDefault="00D02FC8" w:rsidP="007E0713">
            <w:pPr>
              <w:widowControl/>
              <w:spacing w:line="0" w:lineRule="atLeast"/>
              <w:contextualSpacing/>
              <w:jc w:val="center"/>
              <w:rPr>
                <w:rFonts w:eastAsiaTheme="minorEastAsia"/>
                <w:szCs w:val="21"/>
              </w:rPr>
            </w:pPr>
            <w:r w:rsidRPr="00F9522B">
              <w:rPr>
                <w:rFonts w:eastAsiaTheme="minorEastAsia"/>
                <w:szCs w:val="21"/>
              </w:rPr>
              <w:t>未检出</w:t>
            </w:r>
          </w:p>
        </w:tc>
      </w:tr>
      <w:tr w:rsidR="00D02FC8" w:rsidRPr="00F9522B" w:rsidTr="007E0713">
        <w:trPr>
          <w:trHeight w:val="297"/>
          <w:jc w:val="center"/>
        </w:trPr>
        <w:tc>
          <w:tcPr>
            <w:tcW w:w="556" w:type="pct"/>
            <w:vAlign w:val="center"/>
          </w:tcPr>
          <w:p w:rsidR="00D02FC8" w:rsidRPr="00F9522B" w:rsidRDefault="00D02FC8" w:rsidP="007E0713">
            <w:pPr>
              <w:widowControl/>
              <w:spacing w:line="0" w:lineRule="atLeast"/>
              <w:contextualSpacing/>
              <w:jc w:val="center"/>
              <w:rPr>
                <w:rFonts w:eastAsiaTheme="minorEastAsia"/>
                <w:szCs w:val="21"/>
                <w:lang w:val="zh-CN"/>
              </w:rPr>
            </w:pPr>
            <w:r w:rsidRPr="00F9522B">
              <w:rPr>
                <w:rFonts w:eastAsiaTheme="minorEastAsia"/>
                <w:szCs w:val="21"/>
                <w:lang w:val="zh-CN"/>
              </w:rPr>
              <w:t>22</w:t>
            </w:r>
          </w:p>
        </w:tc>
        <w:tc>
          <w:tcPr>
            <w:tcW w:w="1147" w:type="pct"/>
            <w:vAlign w:val="center"/>
          </w:tcPr>
          <w:p w:rsidR="00D02FC8" w:rsidRPr="00F9522B" w:rsidRDefault="00D02FC8" w:rsidP="007E0713">
            <w:pPr>
              <w:widowControl/>
              <w:spacing w:line="0" w:lineRule="atLeast"/>
              <w:contextualSpacing/>
              <w:jc w:val="center"/>
              <w:rPr>
                <w:rFonts w:eastAsiaTheme="minorEastAsia"/>
                <w:szCs w:val="21"/>
              </w:rPr>
            </w:pPr>
            <w:r w:rsidRPr="00F9522B">
              <w:rPr>
                <w:rFonts w:eastAsiaTheme="minorEastAsia"/>
                <w:szCs w:val="21"/>
              </w:rPr>
              <w:t>钠</w:t>
            </w:r>
          </w:p>
        </w:tc>
        <w:tc>
          <w:tcPr>
            <w:tcW w:w="823" w:type="pct"/>
            <w:vAlign w:val="center"/>
          </w:tcPr>
          <w:p w:rsidR="00D02FC8" w:rsidRPr="00F9522B" w:rsidRDefault="00D02FC8" w:rsidP="007E0713">
            <w:pPr>
              <w:widowControl/>
              <w:spacing w:line="0" w:lineRule="atLeast"/>
              <w:contextualSpacing/>
              <w:jc w:val="center"/>
              <w:rPr>
                <w:rFonts w:eastAsiaTheme="minorEastAsia"/>
                <w:szCs w:val="21"/>
              </w:rPr>
            </w:pPr>
            <w:r w:rsidRPr="00F9522B">
              <w:rPr>
                <w:rFonts w:eastAsiaTheme="minorEastAsia"/>
                <w:szCs w:val="21"/>
              </w:rPr>
              <w:t>0.04</w:t>
            </w:r>
          </w:p>
        </w:tc>
        <w:tc>
          <w:tcPr>
            <w:tcW w:w="980" w:type="pct"/>
            <w:vAlign w:val="center"/>
          </w:tcPr>
          <w:p w:rsidR="00D02FC8" w:rsidRPr="00F9522B" w:rsidRDefault="00D02FC8" w:rsidP="007E0713">
            <w:pPr>
              <w:widowControl/>
              <w:spacing w:line="0" w:lineRule="atLeast"/>
              <w:contextualSpacing/>
              <w:jc w:val="center"/>
              <w:rPr>
                <w:rFonts w:eastAsiaTheme="minorEastAsia"/>
                <w:szCs w:val="21"/>
              </w:rPr>
            </w:pPr>
            <w:r w:rsidRPr="00F9522B">
              <w:rPr>
                <w:rFonts w:eastAsiaTheme="minorEastAsia"/>
                <w:szCs w:val="21"/>
              </w:rPr>
              <w:t>0.03</w:t>
            </w:r>
          </w:p>
        </w:tc>
        <w:tc>
          <w:tcPr>
            <w:tcW w:w="748" w:type="pct"/>
            <w:vAlign w:val="center"/>
          </w:tcPr>
          <w:p w:rsidR="00D02FC8" w:rsidRPr="00F9522B" w:rsidRDefault="00D02FC8" w:rsidP="007E0713">
            <w:pPr>
              <w:widowControl/>
              <w:spacing w:line="0" w:lineRule="atLeast"/>
              <w:contextualSpacing/>
              <w:jc w:val="center"/>
              <w:rPr>
                <w:rFonts w:eastAsiaTheme="minorEastAsia"/>
                <w:szCs w:val="21"/>
              </w:rPr>
            </w:pPr>
            <w:r w:rsidRPr="00F9522B">
              <w:rPr>
                <w:rFonts w:eastAsiaTheme="minorEastAsia"/>
                <w:szCs w:val="21"/>
              </w:rPr>
              <w:t>0.03</w:t>
            </w:r>
          </w:p>
        </w:tc>
        <w:tc>
          <w:tcPr>
            <w:tcW w:w="746" w:type="pct"/>
            <w:vAlign w:val="center"/>
          </w:tcPr>
          <w:p w:rsidR="00D02FC8" w:rsidRPr="00F9522B" w:rsidRDefault="00D02FC8" w:rsidP="007E0713">
            <w:pPr>
              <w:widowControl/>
              <w:spacing w:line="0" w:lineRule="atLeast"/>
              <w:contextualSpacing/>
              <w:jc w:val="center"/>
              <w:rPr>
                <w:rFonts w:eastAsiaTheme="minorEastAsia"/>
                <w:szCs w:val="21"/>
              </w:rPr>
            </w:pPr>
            <w:r w:rsidRPr="00F9522B">
              <w:rPr>
                <w:rFonts w:eastAsiaTheme="minorEastAsia"/>
                <w:szCs w:val="21"/>
              </w:rPr>
              <w:t>0.02</w:t>
            </w:r>
          </w:p>
        </w:tc>
      </w:tr>
      <w:tr w:rsidR="00D02FC8" w:rsidRPr="00F9522B" w:rsidTr="007E0713">
        <w:trPr>
          <w:trHeight w:val="297"/>
          <w:jc w:val="center"/>
        </w:trPr>
        <w:tc>
          <w:tcPr>
            <w:tcW w:w="556" w:type="pct"/>
            <w:vAlign w:val="center"/>
          </w:tcPr>
          <w:p w:rsidR="00D02FC8" w:rsidRPr="00F9522B" w:rsidRDefault="00D02FC8" w:rsidP="007E0713">
            <w:pPr>
              <w:widowControl/>
              <w:spacing w:line="0" w:lineRule="atLeast"/>
              <w:contextualSpacing/>
              <w:jc w:val="center"/>
              <w:rPr>
                <w:rFonts w:eastAsiaTheme="minorEastAsia"/>
                <w:szCs w:val="21"/>
                <w:lang w:val="zh-CN"/>
              </w:rPr>
            </w:pPr>
            <w:r w:rsidRPr="00F9522B">
              <w:rPr>
                <w:rFonts w:eastAsiaTheme="minorEastAsia"/>
                <w:szCs w:val="21"/>
                <w:lang w:val="zh-CN"/>
              </w:rPr>
              <w:t>23</w:t>
            </w:r>
          </w:p>
        </w:tc>
        <w:tc>
          <w:tcPr>
            <w:tcW w:w="1147" w:type="pct"/>
            <w:vAlign w:val="center"/>
          </w:tcPr>
          <w:p w:rsidR="00D02FC8" w:rsidRPr="00F9522B" w:rsidRDefault="00D02FC8" w:rsidP="007E0713">
            <w:pPr>
              <w:widowControl/>
              <w:spacing w:line="0" w:lineRule="atLeast"/>
              <w:contextualSpacing/>
              <w:jc w:val="center"/>
              <w:rPr>
                <w:rFonts w:eastAsiaTheme="minorEastAsia"/>
                <w:szCs w:val="21"/>
              </w:rPr>
            </w:pPr>
            <w:r w:rsidRPr="00F9522B">
              <w:rPr>
                <w:rFonts w:eastAsiaTheme="minorEastAsia"/>
                <w:szCs w:val="21"/>
              </w:rPr>
              <w:t>石油类</w:t>
            </w:r>
          </w:p>
        </w:tc>
        <w:tc>
          <w:tcPr>
            <w:tcW w:w="823" w:type="pct"/>
            <w:vAlign w:val="center"/>
          </w:tcPr>
          <w:p w:rsidR="00D02FC8" w:rsidRPr="00F9522B" w:rsidRDefault="00D02FC8" w:rsidP="007E0713">
            <w:pPr>
              <w:widowControl/>
              <w:spacing w:line="0" w:lineRule="atLeast"/>
              <w:contextualSpacing/>
              <w:jc w:val="center"/>
              <w:rPr>
                <w:rFonts w:eastAsiaTheme="minorEastAsia"/>
                <w:szCs w:val="21"/>
              </w:rPr>
            </w:pPr>
            <w:r w:rsidRPr="00F9522B">
              <w:rPr>
                <w:rFonts w:eastAsiaTheme="minorEastAsia"/>
                <w:szCs w:val="21"/>
              </w:rPr>
              <w:t>未检出</w:t>
            </w:r>
          </w:p>
        </w:tc>
        <w:tc>
          <w:tcPr>
            <w:tcW w:w="980" w:type="pct"/>
            <w:vAlign w:val="center"/>
          </w:tcPr>
          <w:p w:rsidR="00D02FC8" w:rsidRPr="00F9522B" w:rsidRDefault="00D02FC8" w:rsidP="007E0713">
            <w:pPr>
              <w:widowControl/>
              <w:spacing w:line="0" w:lineRule="atLeast"/>
              <w:contextualSpacing/>
              <w:jc w:val="center"/>
              <w:rPr>
                <w:rFonts w:eastAsiaTheme="minorEastAsia"/>
                <w:szCs w:val="21"/>
              </w:rPr>
            </w:pPr>
            <w:r w:rsidRPr="00F9522B">
              <w:rPr>
                <w:rFonts w:eastAsiaTheme="minorEastAsia"/>
                <w:szCs w:val="21"/>
              </w:rPr>
              <w:t>未检出</w:t>
            </w:r>
          </w:p>
        </w:tc>
        <w:tc>
          <w:tcPr>
            <w:tcW w:w="748" w:type="pct"/>
            <w:vAlign w:val="center"/>
          </w:tcPr>
          <w:p w:rsidR="00D02FC8" w:rsidRPr="00F9522B" w:rsidRDefault="00D02FC8" w:rsidP="007E0713">
            <w:pPr>
              <w:widowControl/>
              <w:spacing w:line="0" w:lineRule="atLeast"/>
              <w:contextualSpacing/>
              <w:jc w:val="center"/>
              <w:rPr>
                <w:rFonts w:eastAsiaTheme="minorEastAsia"/>
                <w:szCs w:val="21"/>
              </w:rPr>
            </w:pPr>
            <w:r w:rsidRPr="00F9522B">
              <w:rPr>
                <w:rFonts w:eastAsiaTheme="minorEastAsia"/>
                <w:szCs w:val="21"/>
              </w:rPr>
              <w:t>未检出</w:t>
            </w:r>
          </w:p>
        </w:tc>
        <w:tc>
          <w:tcPr>
            <w:tcW w:w="746" w:type="pct"/>
            <w:vAlign w:val="center"/>
          </w:tcPr>
          <w:p w:rsidR="00D02FC8" w:rsidRPr="00F9522B" w:rsidRDefault="00D02FC8" w:rsidP="007E0713">
            <w:pPr>
              <w:widowControl/>
              <w:spacing w:line="0" w:lineRule="atLeast"/>
              <w:contextualSpacing/>
              <w:jc w:val="center"/>
              <w:rPr>
                <w:rFonts w:eastAsiaTheme="minorEastAsia"/>
                <w:szCs w:val="21"/>
              </w:rPr>
            </w:pPr>
            <w:r w:rsidRPr="00F9522B">
              <w:rPr>
                <w:rFonts w:eastAsiaTheme="minorEastAsia"/>
                <w:szCs w:val="21"/>
              </w:rPr>
              <w:t>未检出</w:t>
            </w:r>
          </w:p>
        </w:tc>
      </w:tr>
    </w:tbl>
    <w:bookmarkEnd w:id="109"/>
    <w:p w:rsidR="002A5A5E" w:rsidRPr="00F9522B" w:rsidRDefault="00611CBA">
      <w:pPr>
        <w:spacing w:line="360" w:lineRule="auto"/>
        <w:ind w:firstLineChars="200" w:firstLine="480"/>
        <w:rPr>
          <w:rFonts w:eastAsiaTheme="minorEastAsia"/>
          <w:sz w:val="24"/>
        </w:rPr>
      </w:pPr>
      <w:r w:rsidRPr="00F9522B">
        <w:rPr>
          <w:rFonts w:ascii="宋体" w:hAnsi="宋体" w:cs="宋体" w:hint="eastAsia"/>
          <w:sz w:val="24"/>
        </w:rPr>
        <w:t>②</w:t>
      </w:r>
      <w:r w:rsidRPr="00F9522B">
        <w:rPr>
          <w:rFonts w:eastAsiaTheme="minorEastAsia"/>
          <w:sz w:val="24"/>
        </w:rPr>
        <w:t>地下水化学类型</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用舒卡列夫分类法对地下水化学类型进行评价。地下水化学类型的舒卡列夫分类是根据地下水中</w:t>
      </w:r>
      <w:r w:rsidRPr="00F9522B">
        <w:rPr>
          <w:rFonts w:eastAsiaTheme="minorEastAsia"/>
          <w:sz w:val="24"/>
        </w:rPr>
        <w:t>6</w:t>
      </w:r>
      <w:r w:rsidRPr="00F9522B">
        <w:rPr>
          <w:rFonts w:eastAsiaTheme="minorEastAsia"/>
          <w:sz w:val="24"/>
        </w:rPr>
        <w:t>种主要离子（</w:t>
      </w:r>
      <w:r w:rsidRPr="00F9522B">
        <w:rPr>
          <w:rFonts w:eastAsiaTheme="minorEastAsia"/>
          <w:sz w:val="24"/>
        </w:rPr>
        <w:t>Na</w:t>
      </w:r>
      <w:r w:rsidRPr="00F9522B">
        <w:rPr>
          <w:rFonts w:eastAsiaTheme="minorEastAsia"/>
          <w:sz w:val="24"/>
          <w:vertAlign w:val="superscript"/>
        </w:rPr>
        <w:t>+</w:t>
      </w:r>
      <w:r w:rsidRPr="00F9522B">
        <w:rPr>
          <w:rFonts w:eastAsiaTheme="minorEastAsia"/>
          <w:sz w:val="24"/>
        </w:rPr>
        <w:t>、</w:t>
      </w:r>
      <w:r w:rsidRPr="00F9522B">
        <w:rPr>
          <w:rFonts w:eastAsiaTheme="minorEastAsia"/>
          <w:sz w:val="24"/>
        </w:rPr>
        <w:t>Ca</w:t>
      </w:r>
      <w:r w:rsidRPr="00F9522B">
        <w:rPr>
          <w:rFonts w:eastAsiaTheme="minorEastAsia"/>
          <w:sz w:val="24"/>
          <w:vertAlign w:val="superscript"/>
        </w:rPr>
        <w:t>2+</w:t>
      </w:r>
      <w:r w:rsidRPr="00F9522B">
        <w:rPr>
          <w:rFonts w:eastAsiaTheme="minorEastAsia"/>
          <w:sz w:val="24"/>
        </w:rPr>
        <w:t>、</w:t>
      </w:r>
      <w:r w:rsidRPr="00F9522B">
        <w:rPr>
          <w:rFonts w:eastAsiaTheme="minorEastAsia"/>
          <w:sz w:val="24"/>
        </w:rPr>
        <w:t>Mg</w:t>
      </w:r>
      <w:r w:rsidRPr="00F9522B">
        <w:rPr>
          <w:rFonts w:eastAsiaTheme="minorEastAsia"/>
          <w:sz w:val="24"/>
          <w:vertAlign w:val="superscript"/>
        </w:rPr>
        <w:t>2+</w:t>
      </w:r>
      <w:r w:rsidRPr="00F9522B">
        <w:rPr>
          <w:rFonts w:eastAsiaTheme="minorEastAsia"/>
          <w:sz w:val="24"/>
        </w:rPr>
        <w:t>、</w:t>
      </w:r>
      <w:r w:rsidRPr="00F9522B">
        <w:rPr>
          <w:rFonts w:eastAsiaTheme="minorEastAsia"/>
          <w:sz w:val="24"/>
        </w:rPr>
        <w:t>HCO</w:t>
      </w:r>
      <w:r w:rsidRPr="00F9522B">
        <w:rPr>
          <w:rFonts w:eastAsiaTheme="minorEastAsia"/>
          <w:sz w:val="24"/>
          <w:vertAlign w:val="subscript"/>
        </w:rPr>
        <w:t>3</w:t>
      </w:r>
      <w:r w:rsidRPr="00F9522B">
        <w:rPr>
          <w:rFonts w:eastAsiaTheme="minorEastAsia"/>
          <w:sz w:val="24"/>
          <w:vertAlign w:val="superscript"/>
        </w:rPr>
        <w:t>-</w:t>
      </w:r>
      <w:r w:rsidRPr="00F9522B">
        <w:rPr>
          <w:rFonts w:eastAsiaTheme="minorEastAsia"/>
          <w:sz w:val="24"/>
        </w:rPr>
        <w:t>、</w:t>
      </w:r>
      <w:r w:rsidRPr="00F9522B">
        <w:rPr>
          <w:rFonts w:eastAsiaTheme="minorEastAsia"/>
          <w:sz w:val="24"/>
        </w:rPr>
        <w:t>SO</w:t>
      </w:r>
      <w:r w:rsidRPr="00F9522B">
        <w:rPr>
          <w:rFonts w:eastAsiaTheme="minorEastAsia"/>
          <w:sz w:val="24"/>
          <w:vertAlign w:val="subscript"/>
        </w:rPr>
        <w:t>4</w:t>
      </w:r>
      <w:r w:rsidRPr="00F9522B">
        <w:rPr>
          <w:rFonts w:eastAsiaTheme="minorEastAsia"/>
          <w:sz w:val="24"/>
          <w:vertAlign w:val="superscript"/>
        </w:rPr>
        <w:t>2-</w:t>
      </w:r>
      <w:r w:rsidRPr="00F9522B">
        <w:rPr>
          <w:rFonts w:eastAsiaTheme="minorEastAsia"/>
          <w:sz w:val="24"/>
        </w:rPr>
        <w:t>、</w:t>
      </w:r>
      <w:r w:rsidRPr="00F9522B">
        <w:rPr>
          <w:rFonts w:eastAsiaTheme="minorEastAsia"/>
          <w:sz w:val="24"/>
        </w:rPr>
        <w:t>Cl</w:t>
      </w:r>
      <w:r w:rsidRPr="00F9522B">
        <w:rPr>
          <w:rFonts w:eastAsiaTheme="minorEastAsia"/>
          <w:sz w:val="24"/>
          <w:vertAlign w:val="superscript"/>
        </w:rPr>
        <w:t>-</w:t>
      </w:r>
      <w:r w:rsidRPr="00F9522B">
        <w:rPr>
          <w:rFonts w:eastAsiaTheme="minorEastAsia"/>
          <w:sz w:val="24"/>
        </w:rPr>
        <w:t>，</w:t>
      </w:r>
      <w:r w:rsidRPr="00F9522B">
        <w:rPr>
          <w:rFonts w:eastAsiaTheme="minorEastAsia"/>
          <w:sz w:val="24"/>
        </w:rPr>
        <w:t>K</w:t>
      </w:r>
      <w:r w:rsidRPr="00F9522B">
        <w:rPr>
          <w:rFonts w:eastAsiaTheme="minorEastAsia"/>
          <w:sz w:val="24"/>
          <w:vertAlign w:val="superscript"/>
        </w:rPr>
        <w:t>+</w:t>
      </w:r>
      <w:r w:rsidRPr="00F9522B">
        <w:rPr>
          <w:rFonts w:eastAsiaTheme="minorEastAsia"/>
          <w:sz w:val="24"/>
        </w:rPr>
        <w:t>合并于</w:t>
      </w:r>
      <w:r w:rsidRPr="00F9522B">
        <w:rPr>
          <w:rFonts w:eastAsiaTheme="minorEastAsia"/>
          <w:sz w:val="24"/>
        </w:rPr>
        <w:t>Na</w:t>
      </w:r>
      <w:r w:rsidRPr="00F9522B">
        <w:rPr>
          <w:rFonts w:eastAsiaTheme="minorEastAsia"/>
          <w:sz w:val="24"/>
          <w:vertAlign w:val="superscript"/>
        </w:rPr>
        <w:t>+</w:t>
      </w:r>
      <w:r w:rsidRPr="00F9522B">
        <w:rPr>
          <w:rFonts w:eastAsiaTheme="minorEastAsia"/>
          <w:sz w:val="24"/>
        </w:rPr>
        <w:t>）。具体步骤如下：</w:t>
      </w:r>
    </w:p>
    <w:p w:rsidR="002A5A5E" w:rsidRPr="00F9522B" w:rsidRDefault="00611CBA">
      <w:pPr>
        <w:spacing w:line="360" w:lineRule="auto"/>
        <w:ind w:firstLineChars="200" w:firstLine="480"/>
        <w:rPr>
          <w:rFonts w:eastAsiaTheme="minorEastAsia"/>
        </w:rPr>
      </w:pPr>
      <w:r w:rsidRPr="00F9522B">
        <w:rPr>
          <w:rFonts w:eastAsiaTheme="minorEastAsia"/>
          <w:sz w:val="24"/>
        </w:rPr>
        <w:t>将</w:t>
      </w:r>
      <w:r w:rsidRPr="00F9522B">
        <w:rPr>
          <w:rFonts w:eastAsiaTheme="minorEastAsia"/>
          <w:sz w:val="24"/>
        </w:rPr>
        <w:t>6</w:t>
      </w:r>
      <w:r w:rsidRPr="00F9522B">
        <w:rPr>
          <w:rFonts w:eastAsiaTheme="minorEastAsia"/>
          <w:sz w:val="24"/>
        </w:rPr>
        <w:t>种主要离子中含量大于</w:t>
      </w:r>
      <w:r w:rsidRPr="00F9522B">
        <w:rPr>
          <w:rFonts w:eastAsiaTheme="minorEastAsia"/>
          <w:sz w:val="24"/>
        </w:rPr>
        <w:t>25%</w:t>
      </w:r>
      <w:r w:rsidRPr="00F9522B">
        <w:rPr>
          <w:rFonts w:eastAsiaTheme="minorEastAsia"/>
          <w:sz w:val="24"/>
        </w:rPr>
        <w:t>毫克当量的阴离子和阳离子进行组合，可组合出</w:t>
      </w:r>
      <w:r w:rsidRPr="00F9522B">
        <w:rPr>
          <w:rFonts w:eastAsiaTheme="minorEastAsia"/>
          <w:sz w:val="24"/>
        </w:rPr>
        <w:t>49</w:t>
      </w:r>
      <w:r w:rsidRPr="00F9522B">
        <w:rPr>
          <w:rFonts w:eastAsiaTheme="minorEastAsia"/>
          <w:sz w:val="24"/>
        </w:rPr>
        <w:t>型水，并将每型用一个阿拉伯数字作为代号，见表</w:t>
      </w:r>
      <w:r w:rsidRPr="00F9522B">
        <w:rPr>
          <w:rFonts w:eastAsiaTheme="minorEastAsia"/>
          <w:sz w:val="24"/>
        </w:rPr>
        <w:t>4-2-14</w:t>
      </w:r>
      <w:r w:rsidRPr="00F9522B">
        <w:rPr>
          <w:rFonts w:eastAsiaTheme="minorEastAsia"/>
        </w:rPr>
        <w:t>。</w:t>
      </w:r>
    </w:p>
    <w:p w:rsidR="002A5A5E" w:rsidRPr="00F9522B" w:rsidRDefault="002A5A5E">
      <w:pPr>
        <w:contextualSpacing/>
        <w:jc w:val="center"/>
        <w:rPr>
          <w:rFonts w:eastAsiaTheme="minorEastAsia"/>
          <w:b/>
          <w:kern w:val="0"/>
          <w:szCs w:val="21"/>
        </w:rPr>
      </w:pPr>
    </w:p>
    <w:p w:rsidR="002A5A5E" w:rsidRPr="00F9522B" w:rsidRDefault="002A5A5E">
      <w:pPr>
        <w:contextualSpacing/>
        <w:jc w:val="center"/>
        <w:rPr>
          <w:rFonts w:eastAsiaTheme="minorEastAsia"/>
          <w:b/>
          <w:kern w:val="0"/>
          <w:szCs w:val="21"/>
        </w:rPr>
      </w:pPr>
    </w:p>
    <w:p w:rsidR="002A5A5E" w:rsidRPr="00F9522B" w:rsidRDefault="002A5A5E">
      <w:pPr>
        <w:contextualSpacing/>
        <w:jc w:val="center"/>
        <w:rPr>
          <w:rFonts w:eastAsiaTheme="minorEastAsia"/>
          <w:b/>
          <w:kern w:val="0"/>
          <w:szCs w:val="21"/>
        </w:rPr>
      </w:pPr>
    </w:p>
    <w:p w:rsidR="002A5A5E" w:rsidRPr="00F9522B" w:rsidRDefault="002A5A5E">
      <w:pPr>
        <w:contextualSpacing/>
        <w:jc w:val="center"/>
        <w:rPr>
          <w:rFonts w:eastAsiaTheme="minorEastAsia"/>
          <w:b/>
          <w:kern w:val="0"/>
          <w:szCs w:val="21"/>
        </w:rPr>
      </w:pPr>
    </w:p>
    <w:p w:rsidR="002A5A5E" w:rsidRPr="00F9522B" w:rsidRDefault="00611CBA">
      <w:pPr>
        <w:contextualSpacing/>
        <w:jc w:val="center"/>
        <w:rPr>
          <w:rFonts w:eastAsiaTheme="minorEastAsia"/>
          <w:b/>
          <w:kern w:val="0"/>
          <w:szCs w:val="21"/>
        </w:rPr>
      </w:pPr>
      <w:r w:rsidRPr="00F9522B">
        <w:rPr>
          <w:rFonts w:eastAsiaTheme="minorEastAsia"/>
          <w:b/>
          <w:kern w:val="0"/>
          <w:szCs w:val="21"/>
        </w:rPr>
        <w:lastRenderedPageBreak/>
        <w:t>表</w:t>
      </w:r>
      <w:r w:rsidRPr="00F9522B">
        <w:rPr>
          <w:rFonts w:eastAsiaTheme="minorEastAsia"/>
          <w:b/>
          <w:kern w:val="0"/>
          <w:szCs w:val="21"/>
        </w:rPr>
        <w:t xml:space="preserve">4-2-14 </w:t>
      </w:r>
      <w:r w:rsidRPr="00F9522B">
        <w:rPr>
          <w:rFonts w:eastAsiaTheme="minorEastAsia"/>
          <w:b/>
          <w:kern w:val="0"/>
          <w:szCs w:val="21"/>
        </w:rPr>
        <w:t>舒卡列夫分类表</w:t>
      </w:r>
    </w:p>
    <w:tbl>
      <w:tblPr>
        <w:tblW w:w="4942" w:type="pct"/>
        <w:tblBorders>
          <w:top w:val="single" w:sz="12" w:space="0" w:color="auto"/>
          <w:bottom w:val="single" w:sz="12" w:space="0" w:color="auto"/>
          <w:insideH w:val="single" w:sz="6" w:space="0" w:color="auto"/>
          <w:insideV w:val="single" w:sz="6" w:space="0" w:color="auto"/>
        </w:tblBorders>
        <w:tblLook w:val="04A0"/>
      </w:tblPr>
      <w:tblGrid>
        <w:gridCol w:w="1504"/>
        <w:gridCol w:w="777"/>
        <w:gridCol w:w="1124"/>
        <w:gridCol w:w="1004"/>
        <w:gridCol w:w="1004"/>
        <w:gridCol w:w="1004"/>
        <w:gridCol w:w="1004"/>
        <w:gridCol w:w="1002"/>
      </w:tblGrid>
      <w:tr w:rsidR="002A5A5E" w:rsidRPr="00F9522B">
        <w:trPr>
          <w:trHeight w:val="525"/>
        </w:trPr>
        <w:tc>
          <w:tcPr>
            <w:tcW w:w="842" w:type="pct"/>
            <w:tcBorders>
              <w:top w:val="single" w:sz="12" w:space="0" w:color="auto"/>
              <w:left w:val="nil"/>
              <w:bottom w:val="single" w:sz="6" w:space="0" w:color="auto"/>
              <w:right w:val="single" w:sz="6" w:space="0" w:color="auto"/>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超过</w:t>
            </w:r>
            <w:r w:rsidRPr="00F9522B">
              <w:rPr>
                <w:rFonts w:eastAsiaTheme="minorEastAsia"/>
                <w:szCs w:val="21"/>
              </w:rPr>
              <w:t>25%</w:t>
            </w:r>
            <w:r w:rsidRPr="00F9522B">
              <w:rPr>
                <w:rFonts w:eastAsiaTheme="minorEastAsia"/>
                <w:szCs w:val="21"/>
              </w:rPr>
              <w:t>毫克当量的离子</w:t>
            </w:r>
          </w:p>
        </w:tc>
        <w:tc>
          <w:tcPr>
            <w:tcW w:w="435" w:type="pct"/>
            <w:tcBorders>
              <w:top w:val="single" w:sz="12" w:space="0" w:color="auto"/>
              <w:left w:val="single" w:sz="6" w:space="0" w:color="auto"/>
              <w:bottom w:val="single" w:sz="6" w:space="0" w:color="auto"/>
              <w:right w:val="single" w:sz="6" w:space="0" w:color="auto"/>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HCO</w:t>
            </w:r>
            <w:r w:rsidRPr="00F9522B">
              <w:rPr>
                <w:rFonts w:eastAsiaTheme="minorEastAsia"/>
                <w:szCs w:val="21"/>
                <w:vertAlign w:val="subscript"/>
              </w:rPr>
              <w:t>3</w:t>
            </w:r>
            <w:r w:rsidRPr="00F9522B">
              <w:rPr>
                <w:rFonts w:eastAsiaTheme="minorEastAsia"/>
                <w:szCs w:val="21"/>
                <w:vertAlign w:val="superscript"/>
              </w:rPr>
              <w:t>-</w:t>
            </w:r>
          </w:p>
        </w:tc>
        <w:tc>
          <w:tcPr>
            <w:tcW w:w="629" w:type="pct"/>
            <w:tcBorders>
              <w:top w:val="single" w:sz="12" w:space="0" w:color="auto"/>
              <w:left w:val="single" w:sz="6" w:space="0" w:color="auto"/>
              <w:bottom w:val="single" w:sz="6" w:space="0" w:color="auto"/>
              <w:right w:val="single" w:sz="6" w:space="0" w:color="auto"/>
            </w:tcBorders>
            <w:vAlign w:val="center"/>
          </w:tcPr>
          <w:p w:rsidR="002A5A5E" w:rsidRPr="00F9522B" w:rsidRDefault="00611CBA">
            <w:pPr>
              <w:jc w:val="center"/>
              <w:rPr>
                <w:rFonts w:eastAsiaTheme="minorEastAsia"/>
                <w:szCs w:val="21"/>
              </w:rPr>
            </w:pPr>
            <w:r w:rsidRPr="00F9522B">
              <w:rPr>
                <w:rFonts w:eastAsiaTheme="minorEastAsia"/>
                <w:szCs w:val="21"/>
              </w:rPr>
              <w:t>HCO</w:t>
            </w:r>
            <w:r w:rsidRPr="00F9522B">
              <w:rPr>
                <w:rFonts w:eastAsiaTheme="minorEastAsia"/>
                <w:szCs w:val="21"/>
                <w:vertAlign w:val="subscript"/>
              </w:rPr>
              <w:t>3</w:t>
            </w:r>
            <w:r w:rsidRPr="00F9522B">
              <w:rPr>
                <w:rFonts w:eastAsiaTheme="minorEastAsia"/>
                <w:szCs w:val="21"/>
                <w:vertAlign w:val="superscript"/>
              </w:rPr>
              <w:t>-</w:t>
            </w:r>
            <w:r w:rsidRPr="00F9522B">
              <w:rPr>
                <w:rFonts w:eastAsiaTheme="minorEastAsia"/>
                <w:szCs w:val="21"/>
              </w:rPr>
              <w:t>- SO</w:t>
            </w:r>
            <w:r w:rsidRPr="00F9522B">
              <w:rPr>
                <w:rFonts w:eastAsiaTheme="minorEastAsia"/>
                <w:szCs w:val="21"/>
                <w:vertAlign w:val="subscript"/>
              </w:rPr>
              <w:t>4</w:t>
            </w:r>
            <w:r w:rsidRPr="00F9522B">
              <w:rPr>
                <w:rFonts w:eastAsiaTheme="minorEastAsia"/>
                <w:szCs w:val="21"/>
                <w:vertAlign w:val="superscript"/>
              </w:rPr>
              <w:t>2-</w:t>
            </w:r>
          </w:p>
        </w:tc>
        <w:tc>
          <w:tcPr>
            <w:tcW w:w="562" w:type="pct"/>
            <w:tcBorders>
              <w:top w:val="single" w:sz="12" w:space="0" w:color="auto"/>
              <w:left w:val="single" w:sz="6" w:space="0" w:color="auto"/>
              <w:bottom w:val="single" w:sz="6" w:space="0" w:color="auto"/>
              <w:right w:val="single" w:sz="6" w:space="0" w:color="auto"/>
            </w:tcBorders>
            <w:vAlign w:val="center"/>
          </w:tcPr>
          <w:p w:rsidR="002A5A5E" w:rsidRPr="00F9522B" w:rsidRDefault="00611CBA">
            <w:pPr>
              <w:jc w:val="center"/>
              <w:rPr>
                <w:rFonts w:eastAsiaTheme="minorEastAsia"/>
                <w:szCs w:val="21"/>
              </w:rPr>
            </w:pPr>
            <w:r w:rsidRPr="00F9522B">
              <w:rPr>
                <w:rFonts w:eastAsiaTheme="minorEastAsia"/>
                <w:szCs w:val="21"/>
              </w:rPr>
              <w:t>HCO</w:t>
            </w:r>
            <w:r w:rsidRPr="00F9522B">
              <w:rPr>
                <w:rFonts w:eastAsiaTheme="minorEastAsia"/>
                <w:szCs w:val="21"/>
                <w:vertAlign w:val="subscript"/>
              </w:rPr>
              <w:t>3</w:t>
            </w:r>
            <w:r w:rsidRPr="00F9522B">
              <w:rPr>
                <w:rFonts w:eastAsiaTheme="minorEastAsia"/>
                <w:szCs w:val="21"/>
                <w:vertAlign w:val="superscript"/>
              </w:rPr>
              <w:t>-</w:t>
            </w:r>
            <w:r w:rsidRPr="00F9522B">
              <w:rPr>
                <w:rFonts w:eastAsiaTheme="minorEastAsia"/>
                <w:szCs w:val="21"/>
              </w:rPr>
              <w:t>- SO</w:t>
            </w:r>
            <w:r w:rsidRPr="00F9522B">
              <w:rPr>
                <w:rFonts w:eastAsiaTheme="minorEastAsia"/>
                <w:szCs w:val="21"/>
                <w:vertAlign w:val="subscript"/>
              </w:rPr>
              <w:t>4</w:t>
            </w:r>
            <w:r w:rsidRPr="00F9522B">
              <w:rPr>
                <w:rFonts w:eastAsiaTheme="minorEastAsia"/>
                <w:szCs w:val="21"/>
                <w:vertAlign w:val="superscript"/>
              </w:rPr>
              <w:t>2-</w:t>
            </w:r>
            <w:r w:rsidRPr="00F9522B">
              <w:rPr>
                <w:rFonts w:eastAsiaTheme="minorEastAsia"/>
                <w:szCs w:val="21"/>
              </w:rPr>
              <w:t>- Cl</w:t>
            </w:r>
            <w:r w:rsidRPr="00F9522B">
              <w:rPr>
                <w:rFonts w:eastAsiaTheme="minorEastAsia"/>
                <w:szCs w:val="21"/>
                <w:vertAlign w:val="superscript"/>
              </w:rPr>
              <w:t>-</w:t>
            </w:r>
          </w:p>
        </w:tc>
        <w:tc>
          <w:tcPr>
            <w:tcW w:w="562" w:type="pct"/>
            <w:tcBorders>
              <w:top w:val="single" w:sz="12" w:space="0" w:color="auto"/>
              <w:left w:val="single" w:sz="6" w:space="0" w:color="auto"/>
              <w:bottom w:val="single" w:sz="6" w:space="0" w:color="auto"/>
              <w:right w:val="single" w:sz="6" w:space="0" w:color="auto"/>
            </w:tcBorders>
            <w:vAlign w:val="center"/>
          </w:tcPr>
          <w:p w:rsidR="002A5A5E" w:rsidRPr="00F9522B" w:rsidRDefault="00611CBA">
            <w:pPr>
              <w:jc w:val="center"/>
              <w:rPr>
                <w:rFonts w:eastAsiaTheme="minorEastAsia"/>
                <w:szCs w:val="21"/>
              </w:rPr>
            </w:pPr>
            <w:r w:rsidRPr="00F9522B">
              <w:rPr>
                <w:rFonts w:eastAsiaTheme="minorEastAsia"/>
                <w:szCs w:val="21"/>
              </w:rPr>
              <w:t>HCO</w:t>
            </w:r>
            <w:r w:rsidRPr="00F9522B">
              <w:rPr>
                <w:rFonts w:eastAsiaTheme="minorEastAsia"/>
                <w:szCs w:val="21"/>
                <w:vertAlign w:val="subscript"/>
              </w:rPr>
              <w:t>3</w:t>
            </w:r>
            <w:r w:rsidRPr="00F9522B">
              <w:rPr>
                <w:rFonts w:eastAsiaTheme="minorEastAsia"/>
                <w:szCs w:val="21"/>
                <w:vertAlign w:val="superscript"/>
              </w:rPr>
              <w:t>-</w:t>
            </w:r>
            <w:r w:rsidRPr="00F9522B">
              <w:rPr>
                <w:rFonts w:eastAsiaTheme="minorEastAsia"/>
                <w:szCs w:val="21"/>
              </w:rPr>
              <w:t>- Cl</w:t>
            </w:r>
            <w:r w:rsidRPr="00F9522B">
              <w:rPr>
                <w:rFonts w:eastAsiaTheme="minorEastAsia"/>
                <w:szCs w:val="21"/>
                <w:vertAlign w:val="superscript"/>
              </w:rPr>
              <w:t>-</w:t>
            </w:r>
          </w:p>
        </w:tc>
        <w:tc>
          <w:tcPr>
            <w:tcW w:w="562" w:type="pct"/>
            <w:tcBorders>
              <w:top w:val="single" w:sz="12" w:space="0" w:color="auto"/>
              <w:left w:val="single" w:sz="6" w:space="0" w:color="auto"/>
              <w:bottom w:val="single" w:sz="6" w:space="0" w:color="auto"/>
              <w:right w:val="single" w:sz="6" w:space="0" w:color="auto"/>
            </w:tcBorders>
            <w:vAlign w:val="center"/>
          </w:tcPr>
          <w:p w:rsidR="002A5A5E" w:rsidRPr="00F9522B" w:rsidRDefault="00611CBA">
            <w:pPr>
              <w:jc w:val="center"/>
              <w:rPr>
                <w:rFonts w:eastAsiaTheme="minorEastAsia"/>
                <w:szCs w:val="21"/>
              </w:rPr>
            </w:pPr>
            <w:r w:rsidRPr="00F9522B">
              <w:rPr>
                <w:rFonts w:eastAsiaTheme="minorEastAsia"/>
                <w:szCs w:val="21"/>
              </w:rPr>
              <w:t>SO</w:t>
            </w:r>
            <w:r w:rsidRPr="00F9522B">
              <w:rPr>
                <w:rFonts w:eastAsiaTheme="minorEastAsia"/>
                <w:szCs w:val="21"/>
                <w:vertAlign w:val="subscript"/>
              </w:rPr>
              <w:t>4</w:t>
            </w:r>
            <w:r w:rsidRPr="00F9522B">
              <w:rPr>
                <w:rFonts w:eastAsiaTheme="minorEastAsia"/>
                <w:szCs w:val="21"/>
                <w:vertAlign w:val="superscript"/>
              </w:rPr>
              <w:t>2-</w:t>
            </w:r>
          </w:p>
        </w:tc>
        <w:tc>
          <w:tcPr>
            <w:tcW w:w="562" w:type="pct"/>
            <w:tcBorders>
              <w:top w:val="single" w:sz="12" w:space="0" w:color="auto"/>
              <w:left w:val="single" w:sz="6" w:space="0" w:color="auto"/>
              <w:bottom w:val="single" w:sz="6" w:space="0" w:color="auto"/>
              <w:right w:val="single" w:sz="6" w:space="0" w:color="auto"/>
            </w:tcBorders>
            <w:vAlign w:val="center"/>
          </w:tcPr>
          <w:p w:rsidR="002A5A5E" w:rsidRPr="00F9522B" w:rsidRDefault="00611CBA">
            <w:pPr>
              <w:jc w:val="center"/>
              <w:rPr>
                <w:rFonts w:eastAsiaTheme="minorEastAsia"/>
                <w:szCs w:val="21"/>
              </w:rPr>
            </w:pPr>
            <w:r w:rsidRPr="00F9522B">
              <w:rPr>
                <w:rFonts w:eastAsiaTheme="minorEastAsia"/>
                <w:szCs w:val="21"/>
              </w:rPr>
              <w:t>SO</w:t>
            </w:r>
            <w:r w:rsidRPr="00F9522B">
              <w:rPr>
                <w:rFonts w:eastAsiaTheme="minorEastAsia"/>
                <w:szCs w:val="21"/>
                <w:vertAlign w:val="subscript"/>
              </w:rPr>
              <w:t>4</w:t>
            </w:r>
            <w:r w:rsidRPr="00F9522B">
              <w:rPr>
                <w:rFonts w:eastAsiaTheme="minorEastAsia"/>
                <w:szCs w:val="21"/>
                <w:vertAlign w:val="superscript"/>
              </w:rPr>
              <w:t>2-</w:t>
            </w:r>
            <w:r w:rsidRPr="00F9522B">
              <w:rPr>
                <w:rFonts w:eastAsiaTheme="minorEastAsia"/>
                <w:szCs w:val="21"/>
              </w:rPr>
              <w:t>- Cl</w:t>
            </w:r>
            <w:r w:rsidRPr="00F9522B">
              <w:rPr>
                <w:rFonts w:eastAsiaTheme="minorEastAsia"/>
                <w:szCs w:val="21"/>
                <w:vertAlign w:val="superscript"/>
              </w:rPr>
              <w:t>-</w:t>
            </w:r>
          </w:p>
        </w:tc>
        <w:tc>
          <w:tcPr>
            <w:tcW w:w="561" w:type="pct"/>
            <w:tcBorders>
              <w:top w:val="single" w:sz="12" w:space="0" w:color="auto"/>
              <w:left w:val="single" w:sz="6" w:space="0" w:color="auto"/>
              <w:bottom w:val="single" w:sz="6" w:space="0" w:color="auto"/>
              <w:right w:val="nil"/>
            </w:tcBorders>
            <w:vAlign w:val="center"/>
          </w:tcPr>
          <w:p w:rsidR="002A5A5E" w:rsidRPr="00F9522B" w:rsidRDefault="00611CBA">
            <w:pPr>
              <w:jc w:val="center"/>
              <w:rPr>
                <w:rFonts w:eastAsiaTheme="minorEastAsia"/>
                <w:szCs w:val="21"/>
              </w:rPr>
            </w:pPr>
            <w:r w:rsidRPr="00F9522B">
              <w:rPr>
                <w:rFonts w:eastAsiaTheme="minorEastAsia"/>
                <w:szCs w:val="21"/>
              </w:rPr>
              <w:t>Cl</w:t>
            </w:r>
            <w:r w:rsidRPr="00F9522B">
              <w:rPr>
                <w:rFonts w:eastAsiaTheme="minorEastAsia"/>
                <w:szCs w:val="21"/>
                <w:vertAlign w:val="superscript"/>
              </w:rPr>
              <w:t>-</w:t>
            </w:r>
          </w:p>
        </w:tc>
      </w:tr>
      <w:tr w:rsidR="002A5A5E" w:rsidRPr="00F9522B">
        <w:trPr>
          <w:trHeight w:val="291"/>
        </w:trPr>
        <w:tc>
          <w:tcPr>
            <w:tcW w:w="842" w:type="pct"/>
            <w:tcBorders>
              <w:top w:val="single" w:sz="6" w:space="0" w:color="auto"/>
              <w:left w:val="nil"/>
              <w:bottom w:val="single" w:sz="6" w:space="0" w:color="auto"/>
              <w:right w:val="single" w:sz="6" w:space="0" w:color="auto"/>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Ca</w:t>
            </w:r>
            <w:r w:rsidRPr="00F9522B">
              <w:rPr>
                <w:rFonts w:eastAsiaTheme="minorEastAsia"/>
                <w:szCs w:val="21"/>
                <w:vertAlign w:val="superscript"/>
              </w:rPr>
              <w:t>2+</w:t>
            </w:r>
          </w:p>
        </w:tc>
        <w:tc>
          <w:tcPr>
            <w:tcW w:w="435" w:type="pct"/>
            <w:tcBorders>
              <w:top w:val="single" w:sz="6" w:space="0" w:color="auto"/>
              <w:left w:val="single" w:sz="6" w:space="0" w:color="auto"/>
              <w:bottom w:val="single" w:sz="6" w:space="0" w:color="auto"/>
              <w:right w:val="single" w:sz="6" w:space="0" w:color="auto"/>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1</w:t>
            </w:r>
          </w:p>
        </w:tc>
        <w:tc>
          <w:tcPr>
            <w:tcW w:w="629" w:type="pct"/>
            <w:tcBorders>
              <w:top w:val="single" w:sz="6" w:space="0" w:color="auto"/>
              <w:left w:val="single" w:sz="6" w:space="0" w:color="auto"/>
              <w:bottom w:val="single" w:sz="6" w:space="0" w:color="auto"/>
              <w:right w:val="single" w:sz="6" w:space="0" w:color="auto"/>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8</w:t>
            </w:r>
          </w:p>
        </w:tc>
        <w:tc>
          <w:tcPr>
            <w:tcW w:w="562" w:type="pct"/>
            <w:tcBorders>
              <w:top w:val="single" w:sz="6" w:space="0" w:color="auto"/>
              <w:left w:val="single" w:sz="6" w:space="0" w:color="auto"/>
              <w:bottom w:val="single" w:sz="6" w:space="0" w:color="auto"/>
              <w:right w:val="single" w:sz="6" w:space="0" w:color="auto"/>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15</w:t>
            </w:r>
          </w:p>
        </w:tc>
        <w:tc>
          <w:tcPr>
            <w:tcW w:w="562" w:type="pct"/>
            <w:tcBorders>
              <w:top w:val="single" w:sz="6" w:space="0" w:color="auto"/>
              <w:left w:val="single" w:sz="6" w:space="0" w:color="auto"/>
              <w:bottom w:val="single" w:sz="6" w:space="0" w:color="auto"/>
              <w:right w:val="single" w:sz="6" w:space="0" w:color="auto"/>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22</w:t>
            </w:r>
          </w:p>
        </w:tc>
        <w:tc>
          <w:tcPr>
            <w:tcW w:w="562" w:type="pct"/>
            <w:tcBorders>
              <w:top w:val="single" w:sz="6" w:space="0" w:color="auto"/>
              <w:left w:val="single" w:sz="6" w:space="0" w:color="auto"/>
              <w:bottom w:val="single" w:sz="6" w:space="0" w:color="auto"/>
              <w:right w:val="single" w:sz="6" w:space="0" w:color="auto"/>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29</w:t>
            </w:r>
          </w:p>
        </w:tc>
        <w:tc>
          <w:tcPr>
            <w:tcW w:w="562" w:type="pct"/>
            <w:tcBorders>
              <w:top w:val="single" w:sz="6" w:space="0" w:color="auto"/>
              <w:left w:val="single" w:sz="6" w:space="0" w:color="auto"/>
              <w:bottom w:val="single" w:sz="6" w:space="0" w:color="auto"/>
              <w:right w:val="single" w:sz="6" w:space="0" w:color="auto"/>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36</w:t>
            </w:r>
          </w:p>
        </w:tc>
        <w:tc>
          <w:tcPr>
            <w:tcW w:w="561" w:type="pct"/>
            <w:tcBorders>
              <w:top w:val="single" w:sz="6" w:space="0" w:color="auto"/>
              <w:left w:val="single" w:sz="6" w:space="0" w:color="auto"/>
              <w:bottom w:val="single" w:sz="6" w:space="0" w:color="auto"/>
              <w:right w:val="nil"/>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43</w:t>
            </w:r>
          </w:p>
        </w:tc>
      </w:tr>
      <w:tr w:rsidR="002A5A5E" w:rsidRPr="00F9522B">
        <w:trPr>
          <w:trHeight w:val="291"/>
        </w:trPr>
        <w:tc>
          <w:tcPr>
            <w:tcW w:w="842" w:type="pct"/>
            <w:tcBorders>
              <w:top w:val="single" w:sz="6" w:space="0" w:color="auto"/>
              <w:left w:val="nil"/>
              <w:bottom w:val="single" w:sz="6" w:space="0" w:color="auto"/>
              <w:right w:val="single" w:sz="6" w:space="0" w:color="auto"/>
            </w:tcBorders>
            <w:vAlign w:val="center"/>
          </w:tcPr>
          <w:p w:rsidR="002A5A5E" w:rsidRPr="00F9522B" w:rsidRDefault="00611CBA">
            <w:pPr>
              <w:tabs>
                <w:tab w:val="left" w:pos="454"/>
                <w:tab w:val="center" w:pos="508"/>
              </w:tabs>
              <w:adjustRightInd w:val="0"/>
              <w:snapToGrid w:val="0"/>
              <w:jc w:val="center"/>
              <w:rPr>
                <w:rFonts w:eastAsiaTheme="minorEastAsia"/>
                <w:szCs w:val="21"/>
              </w:rPr>
            </w:pPr>
            <w:r w:rsidRPr="00F9522B">
              <w:rPr>
                <w:rFonts w:eastAsiaTheme="minorEastAsia"/>
                <w:szCs w:val="21"/>
              </w:rPr>
              <w:t>Ca</w:t>
            </w:r>
            <w:r w:rsidRPr="00F9522B">
              <w:rPr>
                <w:rFonts w:eastAsiaTheme="minorEastAsia"/>
                <w:szCs w:val="21"/>
                <w:vertAlign w:val="superscript"/>
              </w:rPr>
              <w:t>2+</w:t>
            </w:r>
            <w:r w:rsidRPr="00F9522B">
              <w:rPr>
                <w:rFonts w:eastAsiaTheme="minorEastAsia"/>
                <w:szCs w:val="21"/>
              </w:rPr>
              <w:t>-Mg</w:t>
            </w:r>
            <w:r w:rsidRPr="00F9522B">
              <w:rPr>
                <w:rFonts w:eastAsiaTheme="minorEastAsia"/>
                <w:szCs w:val="21"/>
                <w:vertAlign w:val="superscript"/>
              </w:rPr>
              <w:t>2+</w:t>
            </w:r>
          </w:p>
        </w:tc>
        <w:tc>
          <w:tcPr>
            <w:tcW w:w="435" w:type="pct"/>
            <w:tcBorders>
              <w:top w:val="single" w:sz="6" w:space="0" w:color="auto"/>
              <w:left w:val="single" w:sz="6" w:space="0" w:color="auto"/>
              <w:bottom w:val="single" w:sz="6" w:space="0" w:color="auto"/>
              <w:right w:val="single" w:sz="6" w:space="0" w:color="auto"/>
            </w:tcBorders>
            <w:vAlign w:val="center"/>
          </w:tcPr>
          <w:p w:rsidR="002A5A5E" w:rsidRPr="00F9522B" w:rsidRDefault="00611CBA">
            <w:pPr>
              <w:autoSpaceDE w:val="0"/>
              <w:autoSpaceDN w:val="0"/>
              <w:adjustRightInd w:val="0"/>
              <w:jc w:val="center"/>
              <w:rPr>
                <w:rFonts w:eastAsiaTheme="minorEastAsia"/>
                <w:kern w:val="0"/>
                <w:szCs w:val="21"/>
                <w:lang w:val="zh-CN"/>
              </w:rPr>
            </w:pPr>
            <w:r w:rsidRPr="00F9522B">
              <w:rPr>
                <w:rFonts w:eastAsiaTheme="minorEastAsia"/>
                <w:kern w:val="0"/>
                <w:szCs w:val="21"/>
              </w:rPr>
              <w:t>2</w:t>
            </w:r>
          </w:p>
        </w:tc>
        <w:tc>
          <w:tcPr>
            <w:tcW w:w="629" w:type="pct"/>
            <w:tcBorders>
              <w:top w:val="single" w:sz="6" w:space="0" w:color="auto"/>
              <w:left w:val="single" w:sz="6" w:space="0" w:color="auto"/>
              <w:bottom w:val="single" w:sz="6" w:space="0" w:color="auto"/>
              <w:right w:val="single" w:sz="6" w:space="0" w:color="auto"/>
            </w:tcBorders>
            <w:vAlign w:val="center"/>
          </w:tcPr>
          <w:p w:rsidR="002A5A5E" w:rsidRPr="00F9522B" w:rsidRDefault="00611CBA">
            <w:pPr>
              <w:jc w:val="center"/>
              <w:rPr>
                <w:rFonts w:eastAsiaTheme="minorEastAsia"/>
                <w:szCs w:val="21"/>
              </w:rPr>
            </w:pPr>
            <w:r w:rsidRPr="00F9522B">
              <w:rPr>
                <w:rFonts w:eastAsiaTheme="minorEastAsia"/>
                <w:szCs w:val="21"/>
              </w:rPr>
              <w:t>9</w:t>
            </w:r>
          </w:p>
        </w:tc>
        <w:tc>
          <w:tcPr>
            <w:tcW w:w="562" w:type="pct"/>
            <w:tcBorders>
              <w:top w:val="single" w:sz="6" w:space="0" w:color="auto"/>
              <w:left w:val="single" w:sz="6" w:space="0" w:color="auto"/>
              <w:bottom w:val="single" w:sz="6" w:space="0" w:color="auto"/>
              <w:right w:val="single" w:sz="6" w:space="0" w:color="auto"/>
            </w:tcBorders>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16</w:t>
            </w:r>
          </w:p>
        </w:tc>
        <w:tc>
          <w:tcPr>
            <w:tcW w:w="562" w:type="pct"/>
            <w:tcBorders>
              <w:top w:val="single" w:sz="6" w:space="0" w:color="auto"/>
              <w:left w:val="single" w:sz="6" w:space="0" w:color="auto"/>
              <w:bottom w:val="single" w:sz="6" w:space="0" w:color="auto"/>
              <w:right w:val="single" w:sz="6" w:space="0" w:color="auto"/>
            </w:tcBorders>
            <w:vAlign w:val="center"/>
          </w:tcPr>
          <w:p w:rsidR="002A5A5E" w:rsidRPr="00F9522B" w:rsidRDefault="00611CBA">
            <w:pPr>
              <w:jc w:val="center"/>
              <w:rPr>
                <w:rFonts w:eastAsiaTheme="minorEastAsia"/>
                <w:szCs w:val="21"/>
              </w:rPr>
            </w:pPr>
            <w:r w:rsidRPr="00F9522B">
              <w:rPr>
                <w:rFonts w:eastAsiaTheme="minorEastAsia"/>
                <w:szCs w:val="21"/>
              </w:rPr>
              <w:t>23</w:t>
            </w:r>
          </w:p>
        </w:tc>
        <w:tc>
          <w:tcPr>
            <w:tcW w:w="562" w:type="pct"/>
            <w:tcBorders>
              <w:top w:val="single" w:sz="6" w:space="0" w:color="auto"/>
              <w:left w:val="single" w:sz="6" w:space="0" w:color="auto"/>
              <w:bottom w:val="single" w:sz="6" w:space="0" w:color="auto"/>
              <w:right w:val="single" w:sz="6" w:space="0" w:color="auto"/>
            </w:tcBorders>
            <w:vAlign w:val="center"/>
          </w:tcPr>
          <w:p w:rsidR="002A5A5E" w:rsidRPr="00F9522B" w:rsidRDefault="00611CBA">
            <w:pPr>
              <w:jc w:val="center"/>
              <w:rPr>
                <w:rFonts w:eastAsiaTheme="minorEastAsia"/>
                <w:szCs w:val="21"/>
              </w:rPr>
            </w:pPr>
            <w:r w:rsidRPr="00F9522B">
              <w:rPr>
                <w:rFonts w:eastAsiaTheme="minorEastAsia"/>
                <w:szCs w:val="21"/>
              </w:rPr>
              <w:t>30</w:t>
            </w:r>
          </w:p>
        </w:tc>
        <w:tc>
          <w:tcPr>
            <w:tcW w:w="562" w:type="pct"/>
            <w:tcBorders>
              <w:top w:val="single" w:sz="6" w:space="0" w:color="auto"/>
              <w:left w:val="single" w:sz="6" w:space="0" w:color="auto"/>
              <w:bottom w:val="single" w:sz="6" w:space="0" w:color="auto"/>
              <w:right w:val="single" w:sz="6" w:space="0" w:color="auto"/>
            </w:tcBorders>
            <w:vAlign w:val="center"/>
          </w:tcPr>
          <w:p w:rsidR="002A5A5E" w:rsidRPr="00F9522B" w:rsidRDefault="00611CBA">
            <w:pPr>
              <w:jc w:val="center"/>
              <w:rPr>
                <w:rFonts w:eastAsiaTheme="minorEastAsia"/>
                <w:szCs w:val="21"/>
              </w:rPr>
            </w:pPr>
            <w:r w:rsidRPr="00F9522B">
              <w:rPr>
                <w:rFonts w:eastAsiaTheme="minorEastAsia"/>
                <w:szCs w:val="21"/>
              </w:rPr>
              <w:t>37</w:t>
            </w:r>
          </w:p>
        </w:tc>
        <w:tc>
          <w:tcPr>
            <w:tcW w:w="561" w:type="pct"/>
            <w:tcBorders>
              <w:top w:val="single" w:sz="6" w:space="0" w:color="auto"/>
              <w:left w:val="single" w:sz="6" w:space="0" w:color="auto"/>
              <w:bottom w:val="single" w:sz="6" w:space="0" w:color="auto"/>
              <w:right w:val="nil"/>
            </w:tcBorders>
            <w:vAlign w:val="center"/>
          </w:tcPr>
          <w:p w:rsidR="002A5A5E" w:rsidRPr="00F9522B" w:rsidRDefault="00611CBA">
            <w:pPr>
              <w:jc w:val="center"/>
              <w:rPr>
                <w:rFonts w:eastAsiaTheme="minorEastAsia"/>
                <w:szCs w:val="21"/>
              </w:rPr>
            </w:pPr>
            <w:r w:rsidRPr="00F9522B">
              <w:rPr>
                <w:rFonts w:eastAsiaTheme="minorEastAsia"/>
                <w:szCs w:val="21"/>
              </w:rPr>
              <w:t>44</w:t>
            </w:r>
          </w:p>
        </w:tc>
      </w:tr>
      <w:tr w:rsidR="002A5A5E" w:rsidRPr="00F9522B">
        <w:trPr>
          <w:trHeight w:val="291"/>
        </w:trPr>
        <w:tc>
          <w:tcPr>
            <w:tcW w:w="842" w:type="pct"/>
            <w:tcBorders>
              <w:top w:val="single" w:sz="6" w:space="0" w:color="auto"/>
              <w:left w:val="nil"/>
              <w:bottom w:val="single" w:sz="6" w:space="0" w:color="auto"/>
              <w:right w:val="single" w:sz="6" w:space="0" w:color="auto"/>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Mg</w:t>
            </w:r>
            <w:r w:rsidRPr="00F9522B">
              <w:rPr>
                <w:rFonts w:eastAsiaTheme="minorEastAsia"/>
                <w:szCs w:val="21"/>
                <w:vertAlign w:val="superscript"/>
              </w:rPr>
              <w:t>2+</w:t>
            </w:r>
          </w:p>
        </w:tc>
        <w:tc>
          <w:tcPr>
            <w:tcW w:w="435" w:type="pct"/>
            <w:tcBorders>
              <w:top w:val="single" w:sz="6" w:space="0" w:color="auto"/>
              <w:left w:val="single" w:sz="6" w:space="0" w:color="auto"/>
              <w:bottom w:val="single" w:sz="6" w:space="0" w:color="auto"/>
              <w:right w:val="single" w:sz="6" w:space="0" w:color="auto"/>
            </w:tcBorders>
            <w:vAlign w:val="center"/>
          </w:tcPr>
          <w:p w:rsidR="002A5A5E" w:rsidRPr="00F9522B" w:rsidRDefault="00611CBA">
            <w:pPr>
              <w:autoSpaceDE w:val="0"/>
              <w:autoSpaceDN w:val="0"/>
              <w:adjustRightInd w:val="0"/>
              <w:jc w:val="center"/>
              <w:rPr>
                <w:rFonts w:eastAsiaTheme="minorEastAsia"/>
                <w:kern w:val="0"/>
                <w:szCs w:val="21"/>
                <w:lang w:val="zh-CN"/>
              </w:rPr>
            </w:pPr>
            <w:r w:rsidRPr="00F9522B">
              <w:rPr>
                <w:rFonts w:eastAsiaTheme="minorEastAsia"/>
                <w:kern w:val="0"/>
                <w:szCs w:val="21"/>
                <w:lang w:val="zh-CN"/>
              </w:rPr>
              <w:t>3</w:t>
            </w:r>
          </w:p>
        </w:tc>
        <w:tc>
          <w:tcPr>
            <w:tcW w:w="629" w:type="pct"/>
            <w:tcBorders>
              <w:top w:val="single" w:sz="6" w:space="0" w:color="auto"/>
              <w:left w:val="single" w:sz="6" w:space="0" w:color="auto"/>
              <w:bottom w:val="single" w:sz="6" w:space="0" w:color="auto"/>
              <w:right w:val="single" w:sz="6" w:space="0" w:color="auto"/>
            </w:tcBorders>
            <w:vAlign w:val="center"/>
          </w:tcPr>
          <w:p w:rsidR="002A5A5E" w:rsidRPr="00F9522B" w:rsidRDefault="00611CBA">
            <w:pPr>
              <w:jc w:val="center"/>
              <w:rPr>
                <w:rFonts w:eastAsiaTheme="minorEastAsia"/>
                <w:szCs w:val="21"/>
              </w:rPr>
            </w:pPr>
            <w:r w:rsidRPr="00F9522B">
              <w:rPr>
                <w:rFonts w:eastAsiaTheme="minorEastAsia"/>
                <w:szCs w:val="21"/>
              </w:rPr>
              <w:t>10</w:t>
            </w:r>
          </w:p>
        </w:tc>
        <w:tc>
          <w:tcPr>
            <w:tcW w:w="562" w:type="pct"/>
            <w:tcBorders>
              <w:top w:val="single" w:sz="6" w:space="0" w:color="auto"/>
              <w:left w:val="single" w:sz="6" w:space="0" w:color="auto"/>
              <w:bottom w:val="single" w:sz="6" w:space="0" w:color="auto"/>
              <w:right w:val="single" w:sz="6" w:space="0" w:color="auto"/>
            </w:tcBorders>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17</w:t>
            </w:r>
          </w:p>
        </w:tc>
        <w:tc>
          <w:tcPr>
            <w:tcW w:w="562" w:type="pct"/>
            <w:tcBorders>
              <w:top w:val="single" w:sz="6" w:space="0" w:color="auto"/>
              <w:left w:val="single" w:sz="6" w:space="0" w:color="auto"/>
              <w:bottom w:val="single" w:sz="6" w:space="0" w:color="auto"/>
              <w:right w:val="single" w:sz="6" w:space="0" w:color="auto"/>
            </w:tcBorders>
            <w:vAlign w:val="center"/>
          </w:tcPr>
          <w:p w:rsidR="002A5A5E" w:rsidRPr="00F9522B" w:rsidRDefault="00611CBA">
            <w:pPr>
              <w:jc w:val="center"/>
              <w:rPr>
                <w:rFonts w:eastAsiaTheme="minorEastAsia"/>
                <w:szCs w:val="21"/>
              </w:rPr>
            </w:pPr>
            <w:r w:rsidRPr="00F9522B">
              <w:rPr>
                <w:rFonts w:eastAsiaTheme="minorEastAsia"/>
                <w:szCs w:val="21"/>
              </w:rPr>
              <w:t>24</w:t>
            </w:r>
          </w:p>
        </w:tc>
        <w:tc>
          <w:tcPr>
            <w:tcW w:w="562" w:type="pct"/>
            <w:tcBorders>
              <w:top w:val="single" w:sz="6" w:space="0" w:color="auto"/>
              <w:left w:val="single" w:sz="6" w:space="0" w:color="auto"/>
              <w:bottom w:val="single" w:sz="6" w:space="0" w:color="auto"/>
              <w:right w:val="single" w:sz="6" w:space="0" w:color="auto"/>
            </w:tcBorders>
            <w:vAlign w:val="center"/>
          </w:tcPr>
          <w:p w:rsidR="002A5A5E" w:rsidRPr="00F9522B" w:rsidRDefault="00611CBA">
            <w:pPr>
              <w:jc w:val="center"/>
              <w:rPr>
                <w:rFonts w:eastAsiaTheme="minorEastAsia"/>
                <w:szCs w:val="21"/>
              </w:rPr>
            </w:pPr>
            <w:r w:rsidRPr="00F9522B">
              <w:rPr>
                <w:rFonts w:eastAsiaTheme="minorEastAsia"/>
                <w:szCs w:val="21"/>
              </w:rPr>
              <w:t>31</w:t>
            </w:r>
          </w:p>
        </w:tc>
        <w:tc>
          <w:tcPr>
            <w:tcW w:w="562" w:type="pct"/>
            <w:tcBorders>
              <w:top w:val="single" w:sz="6" w:space="0" w:color="auto"/>
              <w:left w:val="single" w:sz="6" w:space="0" w:color="auto"/>
              <w:bottom w:val="single" w:sz="6" w:space="0" w:color="auto"/>
              <w:right w:val="single" w:sz="6" w:space="0" w:color="auto"/>
            </w:tcBorders>
            <w:vAlign w:val="center"/>
          </w:tcPr>
          <w:p w:rsidR="002A5A5E" w:rsidRPr="00F9522B" w:rsidRDefault="00611CBA">
            <w:pPr>
              <w:jc w:val="center"/>
              <w:rPr>
                <w:rFonts w:eastAsiaTheme="minorEastAsia"/>
                <w:szCs w:val="21"/>
              </w:rPr>
            </w:pPr>
            <w:r w:rsidRPr="00F9522B">
              <w:rPr>
                <w:rFonts w:eastAsiaTheme="minorEastAsia"/>
                <w:szCs w:val="21"/>
              </w:rPr>
              <w:t>38</w:t>
            </w:r>
          </w:p>
        </w:tc>
        <w:tc>
          <w:tcPr>
            <w:tcW w:w="561" w:type="pct"/>
            <w:tcBorders>
              <w:top w:val="single" w:sz="6" w:space="0" w:color="auto"/>
              <w:left w:val="single" w:sz="6" w:space="0" w:color="auto"/>
              <w:bottom w:val="single" w:sz="6" w:space="0" w:color="auto"/>
              <w:right w:val="nil"/>
            </w:tcBorders>
            <w:vAlign w:val="center"/>
          </w:tcPr>
          <w:p w:rsidR="002A5A5E" w:rsidRPr="00F9522B" w:rsidRDefault="00611CBA">
            <w:pPr>
              <w:jc w:val="center"/>
              <w:rPr>
                <w:rFonts w:eastAsiaTheme="minorEastAsia"/>
                <w:szCs w:val="21"/>
              </w:rPr>
            </w:pPr>
            <w:r w:rsidRPr="00F9522B">
              <w:rPr>
                <w:rFonts w:eastAsiaTheme="minorEastAsia"/>
                <w:szCs w:val="21"/>
              </w:rPr>
              <w:t>45</w:t>
            </w:r>
          </w:p>
        </w:tc>
      </w:tr>
      <w:tr w:rsidR="002A5A5E" w:rsidRPr="00F9522B">
        <w:trPr>
          <w:trHeight w:val="291"/>
        </w:trPr>
        <w:tc>
          <w:tcPr>
            <w:tcW w:w="842" w:type="pct"/>
            <w:tcBorders>
              <w:top w:val="single" w:sz="6" w:space="0" w:color="auto"/>
              <w:left w:val="nil"/>
              <w:bottom w:val="single" w:sz="6" w:space="0" w:color="auto"/>
              <w:right w:val="single" w:sz="6" w:space="0" w:color="auto"/>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Na</w:t>
            </w:r>
            <w:r w:rsidRPr="00F9522B">
              <w:rPr>
                <w:rFonts w:eastAsiaTheme="minorEastAsia"/>
                <w:szCs w:val="21"/>
                <w:vertAlign w:val="superscript"/>
              </w:rPr>
              <w:t>+</w:t>
            </w:r>
            <w:r w:rsidRPr="00F9522B">
              <w:rPr>
                <w:rFonts w:eastAsiaTheme="minorEastAsia"/>
                <w:szCs w:val="21"/>
              </w:rPr>
              <w:t>-Ca</w:t>
            </w:r>
            <w:r w:rsidRPr="00F9522B">
              <w:rPr>
                <w:rFonts w:eastAsiaTheme="minorEastAsia"/>
                <w:szCs w:val="21"/>
                <w:vertAlign w:val="superscript"/>
              </w:rPr>
              <w:t>2+</w:t>
            </w:r>
          </w:p>
        </w:tc>
        <w:tc>
          <w:tcPr>
            <w:tcW w:w="435" w:type="pct"/>
            <w:tcBorders>
              <w:top w:val="single" w:sz="6" w:space="0" w:color="auto"/>
              <w:left w:val="single" w:sz="6" w:space="0" w:color="auto"/>
              <w:bottom w:val="single" w:sz="6" w:space="0" w:color="auto"/>
              <w:right w:val="single" w:sz="6" w:space="0" w:color="auto"/>
            </w:tcBorders>
            <w:vAlign w:val="center"/>
          </w:tcPr>
          <w:p w:rsidR="002A5A5E" w:rsidRPr="00F9522B" w:rsidRDefault="00611CBA">
            <w:pPr>
              <w:jc w:val="center"/>
              <w:rPr>
                <w:rFonts w:eastAsiaTheme="minorEastAsia"/>
                <w:szCs w:val="21"/>
              </w:rPr>
            </w:pPr>
            <w:r w:rsidRPr="00F9522B">
              <w:rPr>
                <w:rFonts w:eastAsiaTheme="minorEastAsia"/>
                <w:szCs w:val="21"/>
              </w:rPr>
              <w:t>4</w:t>
            </w:r>
          </w:p>
        </w:tc>
        <w:tc>
          <w:tcPr>
            <w:tcW w:w="629" w:type="pct"/>
            <w:tcBorders>
              <w:top w:val="single" w:sz="6" w:space="0" w:color="auto"/>
              <w:left w:val="single" w:sz="6" w:space="0" w:color="auto"/>
              <w:bottom w:val="single" w:sz="6" w:space="0" w:color="auto"/>
              <w:right w:val="single" w:sz="6" w:space="0" w:color="auto"/>
            </w:tcBorders>
            <w:vAlign w:val="center"/>
          </w:tcPr>
          <w:p w:rsidR="002A5A5E" w:rsidRPr="00F9522B" w:rsidRDefault="00611CBA">
            <w:pPr>
              <w:jc w:val="center"/>
              <w:rPr>
                <w:rFonts w:eastAsiaTheme="minorEastAsia"/>
                <w:szCs w:val="21"/>
              </w:rPr>
            </w:pPr>
            <w:r w:rsidRPr="00F9522B">
              <w:rPr>
                <w:rFonts w:eastAsiaTheme="minorEastAsia"/>
                <w:szCs w:val="21"/>
              </w:rPr>
              <w:t>11</w:t>
            </w:r>
          </w:p>
        </w:tc>
        <w:tc>
          <w:tcPr>
            <w:tcW w:w="562" w:type="pct"/>
            <w:tcBorders>
              <w:top w:val="single" w:sz="6" w:space="0" w:color="auto"/>
              <w:left w:val="single" w:sz="6" w:space="0" w:color="auto"/>
              <w:bottom w:val="single" w:sz="6" w:space="0" w:color="auto"/>
              <w:right w:val="single" w:sz="6" w:space="0" w:color="auto"/>
            </w:tcBorders>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18</w:t>
            </w:r>
          </w:p>
        </w:tc>
        <w:tc>
          <w:tcPr>
            <w:tcW w:w="562" w:type="pct"/>
            <w:tcBorders>
              <w:top w:val="single" w:sz="6" w:space="0" w:color="auto"/>
              <w:left w:val="single" w:sz="6" w:space="0" w:color="auto"/>
              <w:bottom w:val="single" w:sz="6" w:space="0" w:color="auto"/>
              <w:right w:val="single" w:sz="6" w:space="0" w:color="auto"/>
            </w:tcBorders>
            <w:vAlign w:val="center"/>
          </w:tcPr>
          <w:p w:rsidR="002A5A5E" w:rsidRPr="00F9522B" w:rsidRDefault="00611CBA">
            <w:pPr>
              <w:jc w:val="center"/>
              <w:rPr>
                <w:rFonts w:eastAsiaTheme="minorEastAsia"/>
                <w:szCs w:val="21"/>
              </w:rPr>
            </w:pPr>
            <w:r w:rsidRPr="00F9522B">
              <w:rPr>
                <w:rFonts w:eastAsiaTheme="minorEastAsia"/>
                <w:szCs w:val="21"/>
              </w:rPr>
              <w:t>25</w:t>
            </w:r>
          </w:p>
        </w:tc>
        <w:tc>
          <w:tcPr>
            <w:tcW w:w="562" w:type="pct"/>
            <w:tcBorders>
              <w:top w:val="single" w:sz="6" w:space="0" w:color="auto"/>
              <w:left w:val="single" w:sz="6" w:space="0" w:color="auto"/>
              <w:bottom w:val="single" w:sz="6" w:space="0" w:color="auto"/>
              <w:right w:val="single" w:sz="6" w:space="0" w:color="auto"/>
            </w:tcBorders>
            <w:vAlign w:val="center"/>
          </w:tcPr>
          <w:p w:rsidR="002A5A5E" w:rsidRPr="00F9522B" w:rsidRDefault="00611CBA">
            <w:pPr>
              <w:jc w:val="center"/>
              <w:rPr>
                <w:rFonts w:eastAsiaTheme="minorEastAsia"/>
                <w:szCs w:val="21"/>
              </w:rPr>
            </w:pPr>
            <w:r w:rsidRPr="00F9522B">
              <w:rPr>
                <w:rFonts w:eastAsiaTheme="minorEastAsia"/>
                <w:szCs w:val="21"/>
              </w:rPr>
              <w:t>32</w:t>
            </w:r>
          </w:p>
        </w:tc>
        <w:tc>
          <w:tcPr>
            <w:tcW w:w="562" w:type="pct"/>
            <w:tcBorders>
              <w:top w:val="single" w:sz="6" w:space="0" w:color="auto"/>
              <w:left w:val="single" w:sz="6" w:space="0" w:color="auto"/>
              <w:bottom w:val="single" w:sz="6" w:space="0" w:color="auto"/>
              <w:right w:val="single" w:sz="6" w:space="0" w:color="auto"/>
            </w:tcBorders>
            <w:vAlign w:val="center"/>
          </w:tcPr>
          <w:p w:rsidR="002A5A5E" w:rsidRPr="00F9522B" w:rsidRDefault="00611CBA">
            <w:pPr>
              <w:jc w:val="center"/>
              <w:rPr>
                <w:rFonts w:eastAsiaTheme="minorEastAsia"/>
                <w:szCs w:val="21"/>
              </w:rPr>
            </w:pPr>
            <w:r w:rsidRPr="00F9522B">
              <w:rPr>
                <w:rFonts w:eastAsiaTheme="minorEastAsia"/>
                <w:szCs w:val="21"/>
              </w:rPr>
              <w:t>39</w:t>
            </w:r>
          </w:p>
        </w:tc>
        <w:tc>
          <w:tcPr>
            <w:tcW w:w="561" w:type="pct"/>
            <w:tcBorders>
              <w:top w:val="single" w:sz="6" w:space="0" w:color="auto"/>
              <w:left w:val="single" w:sz="6" w:space="0" w:color="auto"/>
              <w:bottom w:val="single" w:sz="6" w:space="0" w:color="auto"/>
              <w:right w:val="nil"/>
            </w:tcBorders>
            <w:vAlign w:val="center"/>
          </w:tcPr>
          <w:p w:rsidR="002A5A5E" w:rsidRPr="00F9522B" w:rsidRDefault="00611CBA">
            <w:pPr>
              <w:jc w:val="center"/>
              <w:rPr>
                <w:rFonts w:eastAsiaTheme="minorEastAsia"/>
                <w:szCs w:val="21"/>
              </w:rPr>
            </w:pPr>
            <w:r w:rsidRPr="00F9522B">
              <w:rPr>
                <w:rFonts w:eastAsiaTheme="minorEastAsia"/>
                <w:szCs w:val="21"/>
              </w:rPr>
              <w:t>46</w:t>
            </w:r>
          </w:p>
        </w:tc>
      </w:tr>
      <w:tr w:rsidR="002A5A5E" w:rsidRPr="00F9522B">
        <w:trPr>
          <w:trHeight w:val="291"/>
        </w:trPr>
        <w:tc>
          <w:tcPr>
            <w:tcW w:w="842" w:type="pct"/>
            <w:tcBorders>
              <w:top w:val="single" w:sz="6" w:space="0" w:color="auto"/>
              <w:left w:val="nil"/>
              <w:bottom w:val="single" w:sz="6" w:space="0" w:color="auto"/>
              <w:right w:val="single" w:sz="6" w:space="0" w:color="auto"/>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Na</w:t>
            </w:r>
            <w:r w:rsidRPr="00F9522B">
              <w:rPr>
                <w:rFonts w:eastAsiaTheme="minorEastAsia"/>
                <w:szCs w:val="21"/>
                <w:vertAlign w:val="superscript"/>
              </w:rPr>
              <w:t>+</w:t>
            </w:r>
            <w:r w:rsidRPr="00F9522B">
              <w:rPr>
                <w:rFonts w:eastAsiaTheme="minorEastAsia"/>
                <w:szCs w:val="21"/>
              </w:rPr>
              <w:t>-Ca</w:t>
            </w:r>
            <w:r w:rsidRPr="00F9522B">
              <w:rPr>
                <w:rFonts w:eastAsiaTheme="minorEastAsia"/>
                <w:szCs w:val="21"/>
                <w:vertAlign w:val="superscript"/>
              </w:rPr>
              <w:t>2+</w:t>
            </w:r>
            <w:r w:rsidRPr="00F9522B">
              <w:rPr>
                <w:rFonts w:eastAsiaTheme="minorEastAsia"/>
                <w:szCs w:val="21"/>
              </w:rPr>
              <w:t>-Mg</w:t>
            </w:r>
            <w:r w:rsidRPr="00F9522B">
              <w:rPr>
                <w:rFonts w:eastAsiaTheme="minorEastAsia"/>
                <w:szCs w:val="21"/>
                <w:vertAlign w:val="superscript"/>
              </w:rPr>
              <w:t>2+</w:t>
            </w:r>
          </w:p>
        </w:tc>
        <w:tc>
          <w:tcPr>
            <w:tcW w:w="435" w:type="pct"/>
            <w:tcBorders>
              <w:top w:val="single" w:sz="6" w:space="0" w:color="auto"/>
              <w:left w:val="single" w:sz="6" w:space="0" w:color="auto"/>
              <w:bottom w:val="single" w:sz="6" w:space="0" w:color="auto"/>
              <w:right w:val="single" w:sz="6" w:space="0" w:color="auto"/>
            </w:tcBorders>
            <w:vAlign w:val="center"/>
          </w:tcPr>
          <w:p w:rsidR="002A5A5E" w:rsidRPr="00F9522B" w:rsidRDefault="00611CBA">
            <w:pPr>
              <w:autoSpaceDE w:val="0"/>
              <w:autoSpaceDN w:val="0"/>
              <w:adjustRightInd w:val="0"/>
              <w:jc w:val="center"/>
              <w:rPr>
                <w:rFonts w:eastAsiaTheme="minorEastAsia"/>
                <w:kern w:val="0"/>
                <w:szCs w:val="21"/>
                <w:lang w:val="zh-CN"/>
              </w:rPr>
            </w:pPr>
            <w:r w:rsidRPr="00F9522B">
              <w:rPr>
                <w:rFonts w:eastAsiaTheme="minorEastAsia"/>
                <w:kern w:val="0"/>
                <w:szCs w:val="21"/>
                <w:lang w:val="zh-CN"/>
              </w:rPr>
              <w:t>5</w:t>
            </w:r>
          </w:p>
        </w:tc>
        <w:tc>
          <w:tcPr>
            <w:tcW w:w="629" w:type="pct"/>
            <w:tcBorders>
              <w:top w:val="single" w:sz="6" w:space="0" w:color="auto"/>
              <w:left w:val="single" w:sz="6" w:space="0" w:color="auto"/>
              <w:bottom w:val="single" w:sz="6" w:space="0" w:color="auto"/>
              <w:right w:val="single" w:sz="6" w:space="0" w:color="auto"/>
            </w:tcBorders>
            <w:vAlign w:val="center"/>
          </w:tcPr>
          <w:p w:rsidR="002A5A5E" w:rsidRPr="00F9522B" w:rsidRDefault="00611CBA">
            <w:pPr>
              <w:jc w:val="center"/>
              <w:rPr>
                <w:rFonts w:eastAsiaTheme="minorEastAsia"/>
                <w:szCs w:val="21"/>
              </w:rPr>
            </w:pPr>
            <w:r w:rsidRPr="00F9522B">
              <w:rPr>
                <w:rFonts w:eastAsiaTheme="minorEastAsia"/>
                <w:szCs w:val="21"/>
              </w:rPr>
              <w:t>12</w:t>
            </w:r>
          </w:p>
        </w:tc>
        <w:tc>
          <w:tcPr>
            <w:tcW w:w="562" w:type="pct"/>
            <w:tcBorders>
              <w:top w:val="single" w:sz="6" w:space="0" w:color="auto"/>
              <w:left w:val="single" w:sz="6" w:space="0" w:color="auto"/>
              <w:bottom w:val="single" w:sz="6" w:space="0" w:color="auto"/>
              <w:right w:val="single" w:sz="6" w:space="0" w:color="auto"/>
            </w:tcBorders>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19</w:t>
            </w:r>
          </w:p>
        </w:tc>
        <w:tc>
          <w:tcPr>
            <w:tcW w:w="562" w:type="pct"/>
            <w:tcBorders>
              <w:top w:val="single" w:sz="6" w:space="0" w:color="auto"/>
              <w:left w:val="single" w:sz="6" w:space="0" w:color="auto"/>
              <w:bottom w:val="single" w:sz="6" w:space="0" w:color="auto"/>
              <w:right w:val="single" w:sz="6" w:space="0" w:color="auto"/>
            </w:tcBorders>
            <w:vAlign w:val="center"/>
          </w:tcPr>
          <w:p w:rsidR="002A5A5E" w:rsidRPr="00F9522B" w:rsidRDefault="00611CBA">
            <w:pPr>
              <w:jc w:val="center"/>
              <w:rPr>
                <w:rFonts w:eastAsiaTheme="minorEastAsia"/>
                <w:szCs w:val="21"/>
              </w:rPr>
            </w:pPr>
            <w:r w:rsidRPr="00F9522B">
              <w:rPr>
                <w:rFonts w:eastAsiaTheme="minorEastAsia"/>
                <w:szCs w:val="21"/>
              </w:rPr>
              <w:t>26</w:t>
            </w:r>
          </w:p>
        </w:tc>
        <w:tc>
          <w:tcPr>
            <w:tcW w:w="562" w:type="pct"/>
            <w:tcBorders>
              <w:top w:val="single" w:sz="6" w:space="0" w:color="auto"/>
              <w:left w:val="single" w:sz="6" w:space="0" w:color="auto"/>
              <w:bottom w:val="single" w:sz="6" w:space="0" w:color="auto"/>
              <w:right w:val="single" w:sz="6" w:space="0" w:color="auto"/>
            </w:tcBorders>
            <w:vAlign w:val="center"/>
          </w:tcPr>
          <w:p w:rsidR="002A5A5E" w:rsidRPr="00F9522B" w:rsidRDefault="00611CBA">
            <w:pPr>
              <w:jc w:val="center"/>
              <w:rPr>
                <w:rFonts w:eastAsiaTheme="minorEastAsia"/>
                <w:szCs w:val="21"/>
              </w:rPr>
            </w:pPr>
            <w:r w:rsidRPr="00F9522B">
              <w:rPr>
                <w:rFonts w:eastAsiaTheme="minorEastAsia"/>
                <w:szCs w:val="21"/>
              </w:rPr>
              <w:t>33</w:t>
            </w:r>
          </w:p>
        </w:tc>
        <w:tc>
          <w:tcPr>
            <w:tcW w:w="562" w:type="pct"/>
            <w:tcBorders>
              <w:top w:val="single" w:sz="6" w:space="0" w:color="auto"/>
              <w:left w:val="single" w:sz="6" w:space="0" w:color="auto"/>
              <w:bottom w:val="single" w:sz="6" w:space="0" w:color="auto"/>
              <w:right w:val="single" w:sz="6" w:space="0" w:color="auto"/>
            </w:tcBorders>
            <w:vAlign w:val="center"/>
          </w:tcPr>
          <w:p w:rsidR="002A5A5E" w:rsidRPr="00F9522B" w:rsidRDefault="00611CBA">
            <w:pPr>
              <w:jc w:val="center"/>
              <w:rPr>
                <w:rFonts w:eastAsiaTheme="minorEastAsia"/>
                <w:szCs w:val="21"/>
              </w:rPr>
            </w:pPr>
            <w:r w:rsidRPr="00F9522B">
              <w:rPr>
                <w:rFonts w:eastAsiaTheme="minorEastAsia"/>
                <w:szCs w:val="21"/>
              </w:rPr>
              <w:t>40</w:t>
            </w:r>
          </w:p>
        </w:tc>
        <w:tc>
          <w:tcPr>
            <w:tcW w:w="561" w:type="pct"/>
            <w:tcBorders>
              <w:top w:val="single" w:sz="6" w:space="0" w:color="auto"/>
              <w:left w:val="single" w:sz="6" w:space="0" w:color="auto"/>
              <w:bottom w:val="single" w:sz="6" w:space="0" w:color="auto"/>
              <w:right w:val="nil"/>
            </w:tcBorders>
            <w:vAlign w:val="center"/>
          </w:tcPr>
          <w:p w:rsidR="002A5A5E" w:rsidRPr="00F9522B" w:rsidRDefault="00611CBA">
            <w:pPr>
              <w:jc w:val="center"/>
              <w:rPr>
                <w:rFonts w:eastAsiaTheme="minorEastAsia"/>
                <w:szCs w:val="21"/>
              </w:rPr>
            </w:pPr>
            <w:r w:rsidRPr="00F9522B">
              <w:rPr>
                <w:rFonts w:eastAsiaTheme="minorEastAsia"/>
                <w:szCs w:val="21"/>
              </w:rPr>
              <w:t>47</w:t>
            </w:r>
          </w:p>
        </w:tc>
      </w:tr>
      <w:tr w:rsidR="002A5A5E" w:rsidRPr="00F9522B">
        <w:trPr>
          <w:trHeight w:val="307"/>
        </w:trPr>
        <w:tc>
          <w:tcPr>
            <w:tcW w:w="842" w:type="pct"/>
            <w:tcBorders>
              <w:top w:val="single" w:sz="6" w:space="0" w:color="auto"/>
              <w:left w:val="nil"/>
              <w:bottom w:val="single" w:sz="6" w:space="0" w:color="auto"/>
              <w:right w:val="single" w:sz="6" w:space="0" w:color="auto"/>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Na</w:t>
            </w:r>
            <w:r w:rsidRPr="00F9522B">
              <w:rPr>
                <w:rFonts w:eastAsiaTheme="minorEastAsia"/>
                <w:szCs w:val="21"/>
                <w:vertAlign w:val="superscript"/>
              </w:rPr>
              <w:t>+</w:t>
            </w:r>
            <w:r w:rsidRPr="00F9522B">
              <w:rPr>
                <w:rFonts w:eastAsiaTheme="minorEastAsia"/>
                <w:szCs w:val="21"/>
              </w:rPr>
              <w:t>-Mg</w:t>
            </w:r>
            <w:r w:rsidRPr="00F9522B">
              <w:rPr>
                <w:rFonts w:eastAsiaTheme="minorEastAsia"/>
                <w:szCs w:val="21"/>
                <w:vertAlign w:val="superscript"/>
              </w:rPr>
              <w:t>2</w:t>
            </w:r>
          </w:p>
        </w:tc>
        <w:tc>
          <w:tcPr>
            <w:tcW w:w="435" w:type="pct"/>
            <w:tcBorders>
              <w:top w:val="single" w:sz="6" w:space="0" w:color="auto"/>
              <w:left w:val="single" w:sz="6" w:space="0" w:color="auto"/>
              <w:bottom w:val="single" w:sz="6" w:space="0" w:color="auto"/>
              <w:right w:val="single" w:sz="6" w:space="0" w:color="auto"/>
            </w:tcBorders>
            <w:vAlign w:val="center"/>
          </w:tcPr>
          <w:p w:rsidR="002A5A5E" w:rsidRPr="00F9522B" w:rsidRDefault="00611CBA">
            <w:pPr>
              <w:autoSpaceDE w:val="0"/>
              <w:autoSpaceDN w:val="0"/>
              <w:adjustRightInd w:val="0"/>
              <w:jc w:val="center"/>
              <w:rPr>
                <w:rFonts w:eastAsiaTheme="minorEastAsia"/>
                <w:kern w:val="0"/>
                <w:szCs w:val="21"/>
                <w:lang w:val="zh-CN"/>
              </w:rPr>
            </w:pPr>
            <w:r w:rsidRPr="00F9522B">
              <w:rPr>
                <w:rFonts w:eastAsiaTheme="minorEastAsia"/>
                <w:kern w:val="0"/>
                <w:szCs w:val="21"/>
                <w:lang w:val="zh-CN"/>
              </w:rPr>
              <w:t>6</w:t>
            </w:r>
          </w:p>
        </w:tc>
        <w:tc>
          <w:tcPr>
            <w:tcW w:w="629" w:type="pct"/>
            <w:tcBorders>
              <w:top w:val="single" w:sz="6" w:space="0" w:color="auto"/>
              <w:left w:val="single" w:sz="6" w:space="0" w:color="auto"/>
              <w:bottom w:val="single" w:sz="6" w:space="0" w:color="auto"/>
              <w:right w:val="single" w:sz="6" w:space="0" w:color="auto"/>
            </w:tcBorders>
            <w:vAlign w:val="center"/>
          </w:tcPr>
          <w:p w:rsidR="002A5A5E" w:rsidRPr="00F9522B" w:rsidRDefault="00611CBA">
            <w:pPr>
              <w:jc w:val="center"/>
              <w:rPr>
                <w:rFonts w:eastAsiaTheme="minorEastAsia"/>
                <w:szCs w:val="21"/>
              </w:rPr>
            </w:pPr>
            <w:r w:rsidRPr="00F9522B">
              <w:rPr>
                <w:rFonts w:eastAsiaTheme="minorEastAsia"/>
                <w:szCs w:val="21"/>
              </w:rPr>
              <w:t>13</w:t>
            </w:r>
          </w:p>
        </w:tc>
        <w:tc>
          <w:tcPr>
            <w:tcW w:w="562" w:type="pct"/>
            <w:tcBorders>
              <w:top w:val="single" w:sz="6" w:space="0" w:color="auto"/>
              <w:left w:val="single" w:sz="6" w:space="0" w:color="auto"/>
              <w:bottom w:val="single" w:sz="6" w:space="0" w:color="auto"/>
              <w:right w:val="single" w:sz="6" w:space="0" w:color="auto"/>
            </w:tcBorders>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20</w:t>
            </w:r>
          </w:p>
        </w:tc>
        <w:tc>
          <w:tcPr>
            <w:tcW w:w="562" w:type="pct"/>
            <w:tcBorders>
              <w:top w:val="single" w:sz="6" w:space="0" w:color="auto"/>
              <w:left w:val="single" w:sz="6" w:space="0" w:color="auto"/>
              <w:bottom w:val="single" w:sz="6" w:space="0" w:color="auto"/>
              <w:right w:val="single" w:sz="6" w:space="0" w:color="auto"/>
            </w:tcBorders>
            <w:vAlign w:val="center"/>
          </w:tcPr>
          <w:p w:rsidR="002A5A5E" w:rsidRPr="00F9522B" w:rsidRDefault="00611CBA">
            <w:pPr>
              <w:jc w:val="center"/>
              <w:rPr>
                <w:rFonts w:eastAsiaTheme="minorEastAsia"/>
                <w:szCs w:val="21"/>
              </w:rPr>
            </w:pPr>
            <w:r w:rsidRPr="00F9522B">
              <w:rPr>
                <w:rFonts w:eastAsiaTheme="minorEastAsia"/>
                <w:szCs w:val="21"/>
              </w:rPr>
              <w:t>27</w:t>
            </w:r>
          </w:p>
        </w:tc>
        <w:tc>
          <w:tcPr>
            <w:tcW w:w="562" w:type="pct"/>
            <w:tcBorders>
              <w:top w:val="single" w:sz="6" w:space="0" w:color="auto"/>
              <w:left w:val="single" w:sz="6" w:space="0" w:color="auto"/>
              <w:bottom w:val="single" w:sz="6" w:space="0" w:color="auto"/>
              <w:right w:val="single" w:sz="6" w:space="0" w:color="auto"/>
            </w:tcBorders>
            <w:vAlign w:val="center"/>
          </w:tcPr>
          <w:p w:rsidR="002A5A5E" w:rsidRPr="00F9522B" w:rsidRDefault="00611CBA">
            <w:pPr>
              <w:jc w:val="center"/>
              <w:rPr>
                <w:rFonts w:eastAsiaTheme="minorEastAsia"/>
                <w:szCs w:val="21"/>
              </w:rPr>
            </w:pPr>
            <w:r w:rsidRPr="00F9522B">
              <w:rPr>
                <w:rFonts w:eastAsiaTheme="minorEastAsia"/>
                <w:szCs w:val="21"/>
              </w:rPr>
              <w:t>34</w:t>
            </w:r>
          </w:p>
        </w:tc>
        <w:tc>
          <w:tcPr>
            <w:tcW w:w="562" w:type="pct"/>
            <w:tcBorders>
              <w:top w:val="single" w:sz="6" w:space="0" w:color="auto"/>
              <w:left w:val="single" w:sz="6" w:space="0" w:color="auto"/>
              <w:bottom w:val="single" w:sz="6" w:space="0" w:color="auto"/>
              <w:right w:val="single" w:sz="6" w:space="0" w:color="auto"/>
            </w:tcBorders>
            <w:vAlign w:val="center"/>
          </w:tcPr>
          <w:p w:rsidR="002A5A5E" w:rsidRPr="00F9522B" w:rsidRDefault="00611CBA">
            <w:pPr>
              <w:jc w:val="center"/>
              <w:rPr>
                <w:rFonts w:eastAsiaTheme="minorEastAsia"/>
                <w:szCs w:val="21"/>
              </w:rPr>
            </w:pPr>
            <w:r w:rsidRPr="00F9522B">
              <w:rPr>
                <w:rFonts w:eastAsiaTheme="minorEastAsia"/>
                <w:szCs w:val="21"/>
              </w:rPr>
              <w:t>41</w:t>
            </w:r>
          </w:p>
        </w:tc>
        <w:tc>
          <w:tcPr>
            <w:tcW w:w="561" w:type="pct"/>
            <w:tcBorders>
              <w:top w:val="single" w:sz="6" w:space="0" w:color="auto"/>
              <w:left w:val="single" w:sz="6" w:space="0" w:color="auto"/>
              <w:bottom w:val="single" w:sz="6" w:space="0" w:color="auto"/>
              <w:right w:val="nil"/>
            </w:tcBorders>
            <w:vAlign w:val="center"/>
          </w:tcPr>
          <w:p w:rsidR="002A5A5E" w:rsidRPr="00F9522B" w:rsidRDefault="00611CBA">
            <w:pPr>
              <w:jc w:val="center"/>
              <w:rPr>
                <w:rFonts w:eastAsiaTheme="minorEastAsia"/>
                <w:szCs w:val="21"/>
              </w:rPr>
            </w:pPr>
            <w:r w:rsidRPr="00F9522B">
              <w:rPr>
                <w:rFonts w:eastAsiaTheme="minorEastAsia"/>
                <w:szCs w:val="21"/>
              </w:rPr>
              <w:t>48</w:t>
            </w:r>
          </w:p>
        </w:tc>
      </w:tr>
      <w:tr w:rsidR="002A5A5E" w:rsidRPr="00F9522B">
        <w:trPr>
          <w:trHeight w:val="291"/>
        </w:trPr>
        <w:tc>
          <w:tcPr>
            <w:tcW w:w="842" w:type="pct"/>
            <w:tcBorders>
              <w:top w:val="single" w:sz="6" w:space="0" w:color="auto"/>
              <w:left w:val="nil"/>
              <w:bottom w:val="single" w:sz="12" w:space="0" w:color="auto"/>
              <w:right w:val="single" w:sz="6" w:space="0" w:color="auto"/>
            </w:tcBorders>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Na</w:t>
            </w:r>
            <w:r w:rsidRPr="00F9522B">
              <w:rPr>
                <w:rFonts w:eastAsiaTheme="minorEastAsia"/>
                <w:szCs w:val="21"/>
                <w:vertAlign w:val="superscript"/>
              </w:rPr>
              <w:t>+</w:t>
            </w:r>
          </w:p>
        </w:tc>
        <w:tc>
          <w:tcPr>
            <w:tcW w:w="435" w:type="pct"/>
            <w:tcBorders>
              <w:top w:val="single" w:sz="6" w:space="0" w:color="auto"/>
              <w:left w:val="single" w:sz="6" w:space="0" w:color="auto"/>
              <w:bottom w:val="single" w:sz="12" w:space="0" w:color="auto"/>
              <w:right w:val="single" w:sz="6" w:space="0" w:color="auto"/>
            </w:tcBorders>
            <w:vAlign w:val="center"/>
          </w:tcPr>
          <w:p w:rsidR="002A5A5E" w:rsidRPr="00F9522B" w:rsidRDefault="00611CBA">
            <w:pPr>
              <w:autoSpaceDE w:val="0"/>
              <w:autoSpaceDN w:val="0"/>
              <w:adjustRightInd w:val="0"/>
              <w:jc w:val="center"/>
              <w:rPr>
                <w:rFonts w:eastAsiaTheme="minorEastAsia"/>
                <w:kern w:val="0"/>
                <w:szCs w:val="21"/>
                <w:lang w:val="zh-CN"/>
              </w:rPr>
            </w:pPr>
            <w:r w:rsidRPr="00F9522B">
              <w:rPr>
                <w:rFonts w:eastAsiaTheme="minorEastAsia"/>
                <w:kern w:val="0"/>
                <w:szCs w:val="21"/>
                <w:lang w:val="zh-CN"/>
              </w:rPr>
              <w:t>7</w:t>
            </w:r>
          </w:p>
        </w:tc>
        <w:tc>
          <w:tcPr>
            <w:tcW w:w="629" w:type="pct"/>
            <w:tcBorders>
              <w:top w:val="single" w:sz="6" w:space="0" w:color="auto"/>
              <w:left w:val="single" w:sz="6" w:space="0" w:color="auto"/>
              <w:bottom w:val="single" w:sz="12" w:space="0" w:color="auto"/>
              <w:right w:val="single" w:sz="6" w:space="0" w:color="auto"/>
            </w:tcBorders>
            <w:vAlign w:val="center"/>
          </w:tcPr>
          <w:p w:rsidR="002A5A5E" w:rsidRPr="00F9522B" w:rsidRDefault="00611CBA">
            <w:pPr>
              <w:jc w:val="center"/>
              <w:rPr>
                <w:rFonts w:eastAsiaTheme="minorEastAsia"/>
                <w:szCs w:val="21"/>
              </w:rPr>
            </w:pPr>
            <w:r w:rsidRPr="00F9522B">
              <w:rPr>
                <w:rFonts w:eastAsiaTheme="minorEastAsia"/>
                <w:szCs w:val="21"/>
              </w:rPr>
              <w:t>14</w:t>
            </w:r>
          </w:p>
        </w:tc>
        <w:tc>
          <w:tcPr>
            <w:tcW w:w="562" w:type="pct"/>
            <w:tcBorders>
              <w:top w:val="single" w:sz="6" w:space="0" w:color="auto"/>
              <w:left w:val="single" w:sz="6" w:space="0" w:color="auto"/>
              <w:bottom w:val="single" w:sz="12" w:space="0" w:color="auto"/>
              <w:right w:val="single" w:sz="6" w:space="0" w:color="auto"/>
            </w:tcBorders>
            <w:vAlign w:val="center"/>
          </w:tcPr>
          <w:p w:rsidR="002A5A5E" w:rsidRPr="00F9522B" w:rsidRDefault="00611CBA">
            <w:pPr>
              <w:widowControl/>
              <w:jc w:val="center"/>
              <w:rPr>
                <w:rFonts w:eastAsiaTheme="minorEastAsia"/>
                <w:kern w:val="0"/>
                <w:szCs w:val="21"/>
              </w:rPr>
            </w:pPr>
            <w:r w:rsidRPr="00F9522B">
              <w:rPr>
                <w:rFonts w:eastAsiaTheme="minorEastAsia"/>
                <w:kern w:val="0"/>
                <w:szCs w:val="21"/>
              </w:rPr>
              <w:t>21</w:t>
            </w:r>
          </w:p>
        </w:tc>
        <w:tc>
          <w:tcPr>
            <w:tcW w:w="562" w:type="pct"/>
            <w:tcBorders>
              <w:top w:val="single" w:sz="6" w:space="0" w:color="auto"/>
              <w:left w:val="single" w:sz="6" w:space="0" w:color="auto"/>
              <w:bottom w:val="single" w:sz="12" w:space="0" w:color="auto"/>
              <w:right w:val="single" w:sz="6" w:space="0" w:color="auto"/>
            </w:tcBorders>
            <w:vAlign w:val="center"/>
          </w:tcPr>
          <w:p w:rsidR="002A5A5E" w:rsidRPr="00F9522B" w:rsidRDefault="00611CBA">
            <w:pPr>
              <w:jc w:val="center"/>
              <w:rPr>
                <w:rFonts w:eastAsiaTheme="minorEastAsia"/>
                <w:szCs w:val="21"/>
              </w:rPr>
            </w:pPr>
            <w:r w:rsidRPr="00F9522B">
              <w:rPr>
                <w:rFonts w:eastAsiaTheme="minorEastAsia"/>
                <w:szCs w:val="21"/>
              </w:rPr>
              <w:t>28</w:t>
            </w:r>
          </w:p>
        </w:tc>
        <w:tc>
          <w:tcPr>
            <w:tcW w:w="562" w:type="pct"/>
            <w:tcBorders>
              <w:top w:val="single" w:sz="6" w:space="0" w:color="auto"/>
              <w:left w:val="single" w:sz="6" w:space="0" w:color="auto"/>
              <w:bottom w:val="single" w:sz="12" w:space="0" w:color="auto"/>
              <w:right w:val="single" w:sz="6" w:space="0" w:color="auto"/>
            </w:tcBorders>
            <w:vAlign w:val="center"/>
          </w:tcPr>
          <w:p w:rsidR="002A5A5E" w:rsidRPr="00F9522B" w:rsidRDefault="00611CBA">
            <w:pPr>
              <w:jc w:val="center"/>
              <w:rPr>
                <w:rFonts w:eastAsiaTheme="minorEastAsia"/>
                <w:szCs w:val="21"/>
              </w:rPr>
            </w:pPr>
            <w:r w:rsidRPr="00F9522B">
              <w:rPr>
                <w:rFonts w:eastAsiaTheme="minorEastAsia"/>
                <w:szCs w:val="21"/>
              </w:rPr>
              <w:t>35</w:t>
            </w:r>
          </w:p>
        </w:tc>
        <w:tc>
          <w:tcPr>
            <w:tcW w:w="562" w:type="pct"/>
            <w:tcBorders>
              <w:top w:val="single" w:sz="6" w:space="0" w:color="auto"/>
              <w:left w:val="single" w:sz="6" w:space="0" w:color="auto"/>
              <w:bottom w:val="single" w:sz="12" w:space="0" w:color="auto"/>
              <w:right w:val="single" w:sz="6" w:space="0" w:color="auto"/>
            </w:tcBorders>
            <w:vAlign w:val="center"/>
          </w:tcPr>
          <w:p w:rsidR="002A5A5E" w:rsidRPr="00F9522B" w:rsidRDefault="00611CBA">
            <w:pPr>
              <w:jc w:val="center"/>
              <w:rPr>
                <w:rFonts w:eastAsiaTheme="minorEastAsia"/>
                <w:szCs w:val="21"/>
              </w:rPr>
            </w:pPr>
            <w:r w:rsidRPr="00F9522B">
              <w:rPr>
                <w:rFonts w:eastAsiaTheme="minorEastAsia"/>
                <w:szCs w:val="21"/>
              </w:rPr>
              <w:t>42</w:t>
            </w:r>
          </w:p>
        </w:tc>
        <w:tc>
          <w:tcPr>
            <w:tcW w:w="561" w:type="pct"/>
            <w:tcBorders>
              <w:top w:val="single" w:sz="6" w:space="0" w:color="auto"/>
              <w:left w:val="single" w:sz="6" w:space="0" w:color="auto"/>
              <w:bottom w:val="single" w:sz="12" w:space="0" w:color="auto"/>
              <w:right w:val="nil"/>
            </w:tcBorders>
            <w:vAlign w:val="center"/>
          </w:tcPr>
          <w:p w:rsidR="002A5A5E" w:rsidRPr="00F9522B" w:rsidRDefault="00611CBA">
            <w:pPr>
              <w:jc w:val="center"/>
              <w:rPr>
                <w:rFonts w:eastAsiaTheme="minorEastAsia"/>
                <w:szCs w:val="21"/>
              </w:rPr>
            </w:pPr>
            <w:r w:rsidRPr="00F9522B">
              <w:rPr>
                <w:rFonts w:eastAsiaTheme="minorEastAsia"/>
                <w:szCs w:val="21"/>
              </w:rPr>
              <w:t>49</w:t>
            </w:r>
          </w:p>
        </w:tc>
      </w:tr>
    </w:tbl>
    <w:p w:rsidR="002A5A5E" w:rsidRPr="00F9522B" w:rsidRDefault="00611CBA">
      <w:pPr>
        <w:spacing w:line="360" w:lineRule="auto"/>
        <w:ind w:firstLineChars="200" w:firstLine="480"/>
        <w:rPr>
          <w:rFonts w:eastAsiaTheme="minorEastAsia"/>
          <w:sz w:val="24"/>
        </w:rPr>
      </w:pPr>
      <w:r w:rsidRPr="00F9522B">
        <w:rPr>
          <w:rFonts w:ascii="宋体" w:hAnsi="宋体" w:cs="宋体" w:hint="eastAsia"/>
          <w:sz w:val="24"/>
        </w:rPr>
        <w:t>③</w:t>
      </w:r>
      <w:r w:rsidRPr="00F9522B">
        <w:rPr>
          <w:rFonts w:eastAsiaTheme="minorEastAsia"/>
          <w:sz w:val="24"/>
        </w:rPr>
        <w:t>矿化度</w:t>
      </w:r>
    </w:p>
    <w:p w:rsidR="002A5A5E" w:rsidRPr="00F9522B" w:rsidRDefault="00611CBA">
      <w:pPr>
        <w:spacing w:line="360" w:lineRule="auto"/>
        <w:rPr>
          <w:rFonts w:eastAsiaTheme="minorEastAsia"/>
          <w:sz w:val="24"/>
        </w:rPr>
      </w:pPr>
      <w:r w:rsidRPr="00F9522B">
        <w:rPr>
          <w:rFonts w:eastAsiaTheme="minorEastAsia"/>
          <w:sz w:val="24"/>
        </w:rPr>
        <w:t xml:space="preserve">    </w:t>
      </w:r>
      <w:r w:rsidRPr="00F9522B">
        <w:rPr>
          <w:rFonts w:eastAsiaTheme="minorEastAsia"/>
          <w:sz w:val="24"/>
        </w:rPr>
        <w:t>按矿化度（</w:t>
      </w:r>
      <w:r w:rsidRPr="00F9522B">
        <w:rPr>
          <w:rFonts w:eastAsiaTheme="minorEastAsia"/>
          <w:sz w:val="24"/>
        </w:rPr>
        <w:t>M</w:t>
      </w:r>
      <w:r w:rsidRPr="00F9522B">
        <w:rPr>
          <w:rFonts w:eastAsiaTheme="minorEastAsia"/>
          <w:sz w:val="24"/>
        </w:rPr>
        <w:t>）的大小划分为</w:t>
      </w:r>
      <w:r w:rsidRPr="00F9522B">
        <w:rPr>
          <w:rFonts w:eastAsiaTheme="minorEastAsia"/>
          <w:sz w:val="24"/>
        </w:rPr>
        <w:t>4</w:t>
      </w:r>
      <w:r w:rsidRPr="00F9522B">
        <w:rPr>
          <w:rFonts w:eastAsiaTheme="minorEastAsia"/>
          <w:sz w:val="24"/>
        </w:rPr>
        <w:t>组。</w:t>
      </w:r>
    </w:p>
    <w:p w:rsidR="002A5A5E" w:rsidRPr="00F9522B" w:rsidRDefault="00611CBA">
      <w:pPr>
        <w:spacing w:line="360" w:lineRule="auto"/>
        <w:rPr>
          <w:rFonts w:eastAsiaTheme="minorEastAsia"/>
          <w:sz w:val="24"/>
        </w:rPr>
      </w:pPr>
      <w:r w:rsidRPr="00F9522B">
        <w:rPr>
          <w:rFonts w:eastAsiaTheme="minorEastAsia"/>
          <w:sz w:val="24"/>
        </w:rPr>
        <w:t xml:space="preserve">    A</w:t>
      </w:r>
      <w:r w:rsidRPr="00F9522B">
        <w:rPr>
          <w:rFonts w:eastAsiaTheme="minorEastAsia"/>
          <w:sz w:val="24"/>
        </w:rPr>
        <w:t>组</w:t>
      </w:r>
      <w:r w:rsidRPr="00F9522B">
        <w:rPr>
          <w:rFonts w:eastAsiaTheme="minorEastAsia"/>
          <w:sz w:val="24"/>
        </w:rPr>
        <w:t>——M≤1.5g/L</w:t>
      </w:r>
      <w:r w:rsidRPr="00F9522B">
        <w:rPr>
          <w:rFonts w:eastAsiaTheme="minorEastAsia"/>
          <w:sz w:val="24"/>
        </w:rPr>
        <w:t>；</w:t>
      </w:r>
      <w:r w:rsidRPr="00F9522B">
        <w:rPr>
          <w:rFonts w:eastAsiaTheme="minorEastAsia"/>
          <w:sz w:val="24"/>
        </w:rPr>
        <w:t>B</w:t>
      </w:r>
      <w:r w:rsidRPr="00F9522B">
        <w:rPr>
          <w:rFonts w:eastAsiaTheme="minorEastAsia"/>
          <w:sz w:val="24"/>
        </w:rPr>
        <w:t>组</w:t>
      </w:r>
      <w:r w:rsidRPr="00F9522B">
        <w:rPr>
          <w:rFonts w:eastAsiaTheme="minorEastAsia"/>
          <w:sz w:val="24"/>
        </w:rPr>
        <w:t>——1.5</w:t>
      </w:r>
      <w:r w:rsidRPr="00F9522B">
        <w:rPr>
          <w:rFonts w:eastAsiaTheme="minorEastAsia"/>
          <w:sz w:val="24"/>
        </w:rPr>
        <w:t>＜</w:t>
      </w:r>
      <w:r w:rsidRPr="00F9522B">
        <w:rPr>
          <w:rFonts w:eastAsiaTheme="minorEastAsia"/>
          <w:sz w:val="24"/>
        </w:rPr>
        <w:t>M≤10g/L</w:t>
      </w:r>
      <w:r w:rsidRPr="00F9522B">
        <w:rPr>
          <w:rFonts w:eastAsiaTheme="minorEastAsia"/>
          <w:sz w:val="24"/>
        </w:rPr>
        <w:t>；</w:t>
      </w:r>
    </w:p>
    <w:p w:rsidR="002A5A5E" w:rsidRPr="00F9522B" w:rsidRDefault="00611CBA">
      <w:pPr>
        <w:spacing w:line="360" w:lineRule="auto"/>
        <w:rPr>
          <w:rFonts w:eastAsiaTheme="minorEastAsia"/>
          <w:sz w:val="24"/>
        </w:rPr>
      </w:pPr>
      <w:r w:rsidRPr="00F9522B">
        <w:rPr>
          <w:rFonts w:eastAsiaTheme="minorEastAsia"/>
          <w:sz w:val="24"/>
        </w:rPr>
        <w:t xml:space="preserve">    C</w:t>
      </w:r>
      <w:r w:rsidRPr="00F9522B">
        <w:rPr>
          <w:rFonts w:eastAsiaTheme="minorEastAsia"/>
          <w:sz w:val="24"/>
        </w:rPr>
        <w:t>组</w:t>
      </w:r>
      <w:r w:rsidRPr="00F9522B">
        <w:rPr>
          <w:rFonts w:eastAsiaTheme="minorEastAsia"/>
          <w:sz w:val="24"/>
        </w:rPr>
        <w:t>——10</w:t>
      </w:r>
      <w:r w:rsidRPr="00F9522B">
        <w:rPr>
          <w:rFonts w:eastAsiaTheme="minorEastAsia"/>
          <w:sz w:val="24"/>
        </w:rPr>
        <w:t>＜</w:t>
      </w:r>
      <w:r w:rsidRPr="00F9522B">
        <w:rPr>
          <w:rFonts w:eastAsiaTheme="minorEastAsia"/>
          <w:sz w:val="24"/>
        </w:rPr>
        <w:t>M≤40g/L</w:t>
      </w:r>
      <w:r w:rsidRPr="00F9522B">
        <w:rPr>
          <w:rFonts w:eastAsiaTheme="minorEastAsia"/>
          <w:sz w:val="24"/>
        </w:rPr>
        <w:t>；</w:t>
      </w:r>
      <w:r w:rsidRPr="00F9522B">
        <w:rPr>
          <w:rFonts w:eastAsiaTheme="minorEastAsia"/>
          <w:sz w:val="24"/>
        </w:rPr>
        <w:t>D</w:t>
      </w:r>
      <w:r w:rsidRPr="00F9522B">
        <w:rPr>
          <w:rFonts w:eastAsiaTheme="minorEastAsia"/>
          <w:sz w:val="24"/>
        </w:rPr>
        <w:t>组</w:t>
      </w:r>
      <w:r w:rsidRPr="00F9522B">
        <w:rPr>
          <w:rFonts w:eastAsiaTheme="minorEastAsia"/>
          <w:sz w:val="24"/>
        </w:rPr>
        <w:t>——M</w:t>
      </w:r>
      <w:r w:rsidRPr="00F9522B">
        <w:rPr>
          <w:rFonts w:eastAsiaTheme="minorEastAsia"/>
          <w:sz w:val="24"/>
        </w:rPr>
        <w:t>＞</w:t>
      </w:r>
      <w:r w:rsidRPr="00F9522B">
        <w:rPr>
          <w:rFonts w:eastAsiaTheme="minorEastAsia"/>
          <w:sz w:val="24"/>
        </w:rPr>
        <w:t>40g/L</w:t>
      </w:r>
    </w:p>
    <w:p w:rsidR="002A5A5E" w:rsidRPr="00F9522B" w:rsidRDefault="00611CBA">
      <w:pPr>
        <w:spacing w:line="360" w:lineRule="auto"/>
        <w:rPr>
          <w:rFonts w:eastAsiaTheme="minorEastAsia"/>
          <w:sz w:val="24"/>
        </w:rPr>
      </w:pPr>
      <w:r w:rsidRPr="00F9522B">
        <w:rPr>
          <w:rFonts w:eastAsiaTheme="minorEastAsia"/>
          <w:sz w:val="24"/>
        </w:rPr>
        <w:t xml:space="preserve">    </w:t>
      </w:r>
      <w:r w:rsidRPr="00F9522B">
        <w:rPr>
          <w:rFonts w:eastAsiaTheme="minorEastAsia"/>
          <w:sz w:val="24"/>
        </w:rPr>
        <w:t>矿化度的计算采用《用主要阴离子含量计算水的矿化度》（高仁先</w:t>
      </w:r>
      <w:r w:rsidRPr="00F9522B">
        <w:rPr>
          <w:rFonts w:eastAsiaTheme="minorEastAsia"/>
          <w:sz w:val="24"/>
        </w:rPr>
        <w:t>.</w:t>
      </w:r>
      <w:r w:rsidRPr="00F9522B">
        <w:rPr>
          <w:rFonts w:eastAsiaTheme="minorEastAsia"/>
          <w:sz w:val="24"/>
        </w:rPr>
        <w:t>山东省水利科学研究院），计算方法如下：</w:t>
      </w:r>
    </w:p>
    <w:p w:rsidR="002A5A5E" w:rsidRPr="00F9522B" w:rsidRDefault="00611CBA">
      <w:pPr>
        <w:spacing w:line="360" w:lineRule="auto"/>
        <w:rPr>
          <w:rFonts w:eastAsiaTheme="minorEastAsia"/>
          <w:sz w:val="24"/>
          <w:vertAlign w:val="subscript"/>
        </w:rPr>
      </w:pPr>
      <w:r w:rsidRPr="00F9522B">
        <w:rPr>
          <w:rFonts w:eastAsiaTheme="minorEastAsia"/>
          <w:sz w:val="24"/>
        </w:rPr>
        <w:t xml:space="preserve">    </w:t>
      </w:r>
      <w:r w:rsidRPr="00F9522B">
        <w:rPr>
          <w:rFonts w:eastAsiaTheme="minorEastAsia"/>
          <w:sz w:val="24"/>
        </w:rPr>
        <w:t>矿化度（</w:t>
      </w:r>
      <w:r w:rsidRPr="00F9522B">
        <w:rPr>
          <w:rFonts w:eastAsiaTheme="minorEastAsia"/>
          <w:sz w:val="24"/>
        </w:rPr>
        <w:t>g/L</w:t>
      </w:r>
      <w:r w:rsidRPr="00F9522B">
        <w:rPr>
          <w:rFonts w:eastAsiaTheme="minorEastAsia"/>
          <w:sz w:val="24"/>
        </w:rPr>
        <w:t>）</w:t>
      </w:r>
      <w:r w:rsidRPr="00F9522B">
        <w:rPr>
          <w:rFonts w:eastAsiaTheme="minorEastAsia"/>
          <w:sz w:val="24"/>
        </w:rPr>
        <w:t>=C</w:t>
      </w:r>
      <w:r w:rsidRPr="00F9522B">
        <w:rPr>
          <w:rFonts w:eastAsiaTheme="minorEastAsia"/>
          <w:sz w:val="24"/>
        </w:rPr>
        <w:t>（</w:t>
      </w:r>
      <w:r w:rsidRPr="00F9522B">
        <w:rPr>
          <w:rFonts w:eastAsiaTheme="minorEastAsia"/>
          <w:sz w:val="24"/>
        </w:rPr>
        <w:t>∑A</w:t>
      </w:r>
      <w:r w:rsidRPr="00F9522B">
        <w:rPr>
          <w:rFonts w:eastAsiaTheme="minorEastAsia"/>
          <w:sz w:val="24"/>
        </w:rPr>
        <w:t>）</w:t>
      </w:r>
      <w:r w:rsidRPr="00F9522B">
        <w:rPr>
          <w:rFonts w:eastAsiaTheme="minorEastAsia"/>
          <w:sz w:val="24"/>
        </w:rPr>
        <w:t>×M</w:t>
      </w:r>
      <w:r w:rsidRPr="00F9522B">
        <w:rPr>
          <w:rFonts w:eastAsiaTheme="minorEastAsia"/>
          <w:sz w:val="24"/>
          <w:vertAlign w:val="subscript"/>
        </w:rPr>
        <w:t>S</w:t>
      </w:r>
    </w:p>
    <w:p w:rsidR="002A5A5E" w:rsidRPr="00F9522B" w:rsidRDefault="00611CBA">
      <w:pPr>
        <w:spacing w:line="360" w:lineRule="auto"/>
        <w:rPr>
          <w:rFonts w:eastAsiaTheme="minorEastAsia"/>
          <w:sz w:val="24"/>
        </w:rPr>
      </w:pPr>
      <w:r w:rsidRPr="00F9522B">
        <w:rPr>
          <w:rFonts w:eastAsiaTheme="minorEastAsia"/>
          <w:sz w:val="24"/>
        </w:rPr>
        <w:t xml:space="preserve">    SB=</w:t>
      </w:r>
      <m:oMath>
        <m:f>
          <m:fPr>
            <m:ctrlPr>
              <w:rPr>
                <w:rFonts w:ascii="Cambria Math" w:eastAsiaTheme="minorEastAsia" w:hAnsi="Cambria Math"/>
                <w:sz w:val="24"/>
              </w:rPr>
            </m:ctrlPr>
          </m:fPr>
          <m:num>
            <m:r>
              <m:rPr>
                <m:sty m:val="p"/>
              </m:rPr>
              <w:rPr>
                <w:rFonts w:ascii="Cambria Math" w:eastAsiaTheme="minorEastAsia" w:hAnsi="Cambria Math"/>
                <w:sz w:val="24"/>
              </w:rPr>
              <m:t>C</m:t>
            </m:r>
            <m:r>
              <m:rPr>
                <m:sty m:val="p"/>
              </m:rPr>
              <w:rPr>
                <w:rFonts w:ascii="Cambria Math" w:eastAsiaTheme="minorEastAsia" w:hAnsi="Cambria Math"/>
                <w:sz w:val="24"/>
              </w:rPr>
              <m:t>（</m:t>
            </m:r>
            <m:f>
              <m:fPr>
                <m:type m:val="skw"/>
                <m:ctrlPr>
                  <w:rPr>
                    <w:rFonts w:ascii="Cambria Math" w:eastAsiaTheme="minorEastAsia" w:hAnsi="Cambria Math"/>
                    <w:sz w:val="24"/>
                  </w:rPr>
                </m:ctrlPr>
              </m:fPr>
              <m:num>
                <m:r>
                  <m:rPr>
                    <m:sty m:val="p"/>
                  </m:rPr>
                  <w:rPr>
                    <w:rFonts w:ascii="Cambria Math" w:eastAsiaTheme="minorEastAsia" w:hAnsi="Cambria Math"/>
                    <w:sz w:val="24"/>
                  </w:rPr>
                  <m:t>1</m:t>
                </m:r>
              </m:num>
              <m:den>
                <m:r>
                  <m:rPr>
                    <m:sty m:val="p"/>
                  </m:rPr>
                  <w:rPr>
                    <w:rFonts w:ascii="Cambria Math" w:eastAsiaTheme="minorEastAsia" w:hAnsi="Cambria Math"/>
                    <w:sz w:val="24"/>
                  </w:rPr>
                  <m:t>2</m:t>
                </m:r>
              </m:den>
            </m:f>
            <m:sSubSup>
              <m:sSubSupPr>
                <m:ctrlPr>
                  <w:rPr>
                    <w:rFonts w:ascii="Cambria Math" w:eastAsiaTheme="minorEastAsia" w:hAnsi="Cambria Math"/>
                    <w:sz w:val="24"/>
                  </w:rPr>
                </m:ctrlPr>
              </m:sSubSupPr>
              <m:e>
                <m:r>
                  <m:rPr>
                    <m:sty m:val="p"/>
                  </m:rPr>
                  <w:rPr>
                    <w:rFonts w:ascii="Cambria Math" w:eastAsiaTheme="minorEastAsia" w:hAnsi="Cambria Math"/>
                    <w:sz w:val="24"/>
                  </w:rPr>
                  <m:t>SO</m:t>
                </m:r>
              </m:e>
              <m:sub>
                <m:r>
                  <m:rPr>
                    <m:sty m:val="p"/>
                  </m:rPr>
                  <w:rPr>
                    <w:rFonts w:ascii="Cambria Math" w:eastAsiaTheme="minorEastAsia" w:hAnsi="Cambria Math"/>
                    <w:sz w:val="24"/>
                  </w:rPr>
                  <m:t>4</m:t>
                </m:r>
              </m:sub>
              <m:sup>
                <m:r>
                  <m:rPr>
                    <m:sty m:val="p"/>
                  </m:rPr>
                  <w:rPr>
                    <w:rFonts w:ascii="Cambria Math" w:eastAsiaTheme="minorEastAsia" w:hAnsi="Cambria Math"/>
                    <w:sz w:val="24"/>
                  </w:rPr>
                  <m:t>2-</m:t>
                </m:r>
              </m:sup>
            </m:sSubSup>
            <m:r>
              <m:rPr>
                <m:sty m:val="p"/>
              </m:rPr>
              <w:rPr>
                <w:rFonts w:ascii="Cambria Math" w:eastAsiaTheme="minorEastAsia" w:hAnsi="Cambria Math"/>
                <w:sz w:val="24"/>
              </w:rPr>
              <m:t>）</m:t>
            </m:r>
          </m:num>
          <m:den>
            <m:r>
              <m:rPr>
                <m:sty m:val="p"/>
              </m:rPr>
              <w:rPr>
                <w:rFonts w:ascii="Cambria Math" w:eastAsiaTheme="minorEastAsia" w:hAnsi="Cambria Math"/>
                <w:sz w:val="24"/>
              </w:rPr>
              <m:t>C(∑A)</m:t>
            </m:r>
          </m:den>
        </m:f>
      </m:oMath>
      <w:r w:rsidRPr="00F9522B">
        <w:rPr>
          <w:rFonts w:eastAsiaTheme="minorEastAsia"/>
          <w:sz w:val="24"/>
        </w:rPr>
        <w:t>或</w:t>
      </w:r>
      <m:oMath>
        <m:f>
          <m:fPr>
            <m:ctrlPr>
              <w:rPr>
                <w:rFonts w:ascii="Cambria Math" w:eastAsiaTheme="minorEastAsia" w:hAnsi="Cambria Math"/>
                <w:sz w:val="24"/>
              </w:rPr>
            </m:ctrlPr>
          </m:fPr>
          <m:num>
            <m:r>
              <m:rPr>
                <m:sty m:val="p"/>
              </m:rPr>
              <w:rPr>
                <w:rFonts w:ascii="Cambria Math" w:eastAsiaTheme="minorEastAsia" w:hAnsi="Cambria Math"/>
                <w:sz w:val="24"/>
              </w:rPr>
              <m:t>C</m:t>
            </m:r>
            <m:d>
              <m:dPr>
                <m:ctrlPr>
                  <w:rPr>
                    <w:rFonts w:ascii="Cambria Math" w:eastAsiaTheme="minorEastAsia" w:hAnsi="Cambria Math"/>
                    <w:sz w:val="24"/>
                  </w:rPr>
                </m:ctrlPr>
              </m:dPr>
              <m:e>
                <m:r>
                  <m:rPr>
                    <m:sty m:val="p"/>
                  </m:rPr>
                  <w:rPr>
                    <w:rFonts w:ascii="Cambria Math" w:eastAsiaTheme="minorEastAsia" w:hAnsi="Cambria Math"/>
                    <w:sz w:val="24"/>
                  </w:rPr>
                  <m:t>∑H</m:t>
                </m:r>
              </m:e>
            </m:d>
            <m:r>
              <m:rPr>
                <m:sty m:val="p"/>
              </m:rPr>
              <w:rPr>
                <w:rFonts w:ascii="Cambria Math" w:eastAsiaTheme="minorEastAsia" w:hAnsi="Cambria Math"/>
                <w:sz w:val="24"/>
              </w:rPr>
              <m:t>-C(</m:t>
            </m:r>
            <m:sSup>
              <m:sSupPr>
                <m:ctrlPr>
                  <w:rPr>
                    <w:rFonts w:ascii="Cambria Math" w:eastAsiaTheme="minorEastAsia" w:hAnsi="Cambria Math"/>
                    <w:sz w:val="24"/>
                  </w:rPr>
                </m:ctrlPr>
              </m:sSupPr>
              <m:e>
                <m:r>
                  <m:rPr>
                    <m:sty m:val="p"/>
                  </m:rPr>
                  <w:rPr>
                    <w:rFonts w:ascii="Cambria Math" w:eastAsiaTheme="minorEastAsia" w:hAnsi="Cambria Math"/>
                    <w:sz w:val="24"/>
                  </w:rPr>
                  <m:t>Cl</m:t>
                </m:r>
              </m:e>
              <m:sup>
                <m:r>
                  <m:rPr>
                    <m:sty m:val="p"/>
                  </m:rPr>
                  <w:rPr>
                    <w:rFonts w:ascii="Cambria Math" w:eastAsiaTheme="minorEastAsia" w:hAnsi="Cambria Math"/>
                    <w:sz w:val="24"/>
                  </w:rPr>
                  <m:t>-</m:t>
                </m:r>
              </m:sup>
            </m:sSup>
            <m:r>
              <m:rPr>
                <m:sty m:val="p"/>
              </m:rPr>
              <w:rPr>
                <w:rFonts w:ascii="Cambria Math" w:eastAsiaTheme="minorEastAsia" w:hAnsi="Cambria Math"/>
                <w:sz w:val="24"/>
              </w:rPr>
              <m:t>)</m:t>
            </m:r>
          </m:num>
          <m:den>
            <m:r>
              <m:rPr>
                <m:sty m:val="p"/>
              </m:rPr>
              <w:rPr>
                <w:rFonts w:ascii="Cambria Math" w:eastAsiaTheme="minorEastAsia" w:hAnsi="Cambria Math"/>
                <w:sz w:val="24"/>
              </w:rPr>
              <m:t>C(∑A)</m:t>
            </m:r>
          </m:den>
        </m:f>
      </m:oMath>
    </w:p>
    <w:p w:rsidR="002A5A5E" w:rsidRPr="00F9522B" w:rsidRDefault="00611CBA">
      <w:pPr>
        <w:spacing w:line="360" w:lineRule="auto"/>
        <w:rPr>
          <w:rFonts w:eastAsiaTheme="minorEastAsia"/>
          <w:sz w:val="24"/>
        </w:rPr>
      </w:pPr>
      <w:r w:rsidRPr="00F9522B">
        <w:rPr>
          <w:rFonts w:eastAsiaTheme="minorEastAsia"/>
          <w:sz w:val="24"/>
        </w:rPr>
        <w:t xml:space="preserve">    HCB=</w:t>
      </w:r>
      <m:oMath>
        <m:f>
          <m:fPr>
            <m:ctrlPr>
              <w:rPr>
                <w:rFonts w:ascii="Cambria Math" w:eastAsiaTheme="minorEastAsia" w:hAnsi="Cambria Math"/>
                <w:sz w:val="24"/>
              </w:rPr>
            </m:ctrlPr>
          </m:fPr>
          <m:num>
            <m:r>
              <m:rPr>
                <m:sty m:val="p"/>
              </m:rPr>
              <w:rPr>
                <w:rFonts w:ascii="Cambria Math" w:eastAsiaTheme="minorEastAsia" w:hAnsi="Cambria Math"/>
                <w:sz w:val="24"/>
              </w:rPr>
              <m:t>C(</m:t>
            </m:r>
            <m:sSubSup>
              <m:sSubSupPr>
                <m:ctrlPr>
                  <w:rPr>
                    <w:rFonts w:ascii="Cambria Math" w:eastAsiaTheme="minorEastAsia" w:hAnsi="Cambria Math"/>
                    <w:sz w:val="24"/>
                  </w:rPr>
                </m:ctrlPr>
              </m:sSubSupPr>
              <m:e>
                <m:r>
                  <m:rPr>
                    <m:sty m:val="p"/>
                  </m:rPr>
                  <w:rPr>
                    <w:rFonts w:ascii="Cambria Math" w:eastAsiaTheme="minorEastAsia" w:hAnsi="Cambria Math"/>
                    <w:sz w:val="24"/>
                  </w:rPr>
                  <m:t>HCO</m:t>
                </m:r>
              </m:e>
              <m:sub>
                <m:r>
                  <m:rPr>
                    <m:sty m:val="p"/>
                  </m:rPr>
                  <w:rPr>
                    <w:rFonts w:ascii="Cambria Math" w:eastAsiaTheme="minorEastAsia" w:hAnsi="Cambria Math"/>
                    <w:sz w:val="24"/>
                  </w:rPr>
                  <m:t>3</m:t>
                </m:r>
              </m:sub>
              <m:sup>
                <m:r>
                  <m:rPr>
                    <m:sty m:val="p"/>
                  </m:rPr>
                  <w:rPr>
                    <w:rFonts w:ascii="Cambria Math" w:eastAsiaTheme="minorEastAsia" w:hAnsi="Cambria Math"/>
                    <w:sz w:val="24"/>
                  </w:rPr>
                  <m:t>-</m:t>
                </m:r>
              </m:sup>
            </m:sSubSup>
            <m:r>
              <m:rPr>
                <m:sty m:val="p"/>
              </m:rPr>
              <w:rPr>
                <w:rFonts w:ascii="Cambria Math" w:eastAsiaTheme="minorEastAsia" w:hAnsi="Cambria Math"/>
                <w:sz w:val="24"/>
              </w:rPr>
              <m:t>)</m:t>
            </m:r>
          </m:num>
          <m:den>
            <m:r>
              <m:rPr>
                <m:sty m:val="p"/>
              </m:rPr>
              <w:rPr>
                <w:rFonts w:ascii="Cambria Math" w:eastAsiaTheme="minorEastAsia" w:hAnsi="Cambria Math"/>
                <w:sz w:val="24"/>
              </w:rPr>
              <m:t>C</m:t>
            </m:r>
            <m:d>
              <m:dPr>
                <m:ctrlPr>
                  <w:rPr>
                    <w:rFonts w:ascii="Cambria Math" w:eastAsiaTheme="minorEastAsia" w:hAnsi="Cambria Math"/>
                    <w:sz w:val="24"/>
                  </w:rPr>
                </m:ctrlPr>
              </m:dPr>
              <m:e>
                <m:f>
                  <m:fPr>
                    <m:type m:val="skw"/>
                    <m:ctrlPr>
                      <w:rPr>
                        <w:rFonts w:ascii="Cambria Math" w:eastAsiaTheme="minorEastAsia" w:hAnsi="Cambria Math"/>
                        <w:sz w:val="24"/>
                      </w:rPr>
                    </m:ctrlPr>
                  </m:fPr>
                  <m:num>
                    <m:r>
                      <m:rPr>
                        <m:sty m:val="p"/>
                      </m:rPr>
                      <w:rPr>
                        <w:rFonts w:ascii="Cambria Math" w:eastAsiaTheme="minorEastAsia" w:hAnsi="Cambria Math"/>
                        <w:sz w:val="24"/>
                      </w:rPr>
                      <m:t>1</m:t>
                    </m:r>
                  </m:num>
                  <m:den>
                    <m:r>
                      <m:rPr>
                        <m:sty m:val="p"/>
                      </m:rPr>
                      <w:rPr>
                        <w:rFonts w:ascii="Cambria Math" w:eastAsiaTheme="minorEastAsia" w:hAnsi="Cambria Math"/>
                        <w:sz w:val="24"/>
                      </w:rPr>
                      <m:t>2</m:t>
                    </m:r>
                  </m:den>
                </m:f>
                <m:sSubSup>
                  <m:sSubSupPr>
                    <m:ctrlPr>
                      <w:rPr>
                        <w:rFonts w:ascii="Cambria Math" w:eastAsiaTheme="minorEastAsia" w:hAnsi="Cambria Math"/>
                        <w:sz w:val="24"/>
                      </w:rPr>
                    </m:ctrlPr>
                  </m:sSubSupPr>
                  <m:e>
                    <m:r>
                      <m:rPr>
                        <m:sty m:val="p"/>
                      </m:rPr>
                      <w:rPr>
                        <w:rFonts w:ascii="Cambria Math" w:eastAsiaTheme="minorEastAsia" w:hAnsi="Cambria Math"/>
                        <w:sz w:val="24"/>
                      </w:rPr>
                      <m:t>CO</m:t>
                    </m:r>
                  </m:e>
                  <m:sub>
                    <m:r>
                      <m:rPr>
                        <m:sty m:val="p"/>
                      </m:rPr>
                      <w:rPr>
                        <w:rFonts w:ascii="Cambria Math" w:eastAsiaTheme="minorEastAsia" w:hAnsi="Cambria Math"/>
                        <w:sz w:val="24"/>
                      </w:rPr>
                      <m:t>3</m:t>
                    </m:r>
                  </m:sub>
                  <m:sup>
                    <m:r>
                      <m:rPr>
                        <m:sty m:val="p"/>
                      </m:rPr>
                      <w:rPr>
                        <w:rFonts w:ascii="Cambria Math" w:eastAsiaTheme="minorEastAsia" w:hAnsi="Cambria Math"/>
                        <w:sz w:val="24"/>
                      </w:rPr>
                      <m:t>2-</m:t>
                    </m:r>
                  </m:sup>
                </m:sSubSup>
              </m:e>
            </m:d>
            <m:r>
              <m:rPr>
                <m:sty m:val="p"/>
              </m:rPr>
              <w:rPr>
                <w:rFonts w:ascii="Cambria Math" w:eastAsiaTheme="minorEastAsia" w:hAnsi="Cambria Math"/>
                <w:sz w:val="24"/>
              </w:rPr>
              <m:t>+C(</m:t>
            </m:r>
            <m:sSup>
              <m:sSupPr>
                <m:ctrlPr>
                  <w:rPr>
                    <w:rFonts w:ascii="Cambria Math" w:eastAsiaTheme="minorEastAsia" w:hAnsi="Cambria Math"/>
                    <w:sz w:val="24"/>
                  </w:rPr>
                </m:ctrlPr>
              </m:sSupPr>
              <m:e>
                <m:r>
                  <m:rPr>
                    <m:sty m:val="p"/>
                  </m:rPr>
                  <w:rPr>
                    <w:rFonts w:ascii="Cambria Math" w:eastAsiaTheme="minorEastAsia" w:hAnsi="Cambria Math"/>
                    <w:sz w:val="24"/>
                  </w:rPr>
                  <m:t>Cl</m:t>
                </m:r>
              </m:e>
              <m:sup>
                <m:r>
                  <m:rPr>
                    <m:sty m:val="p"/>
                  </m:rPr>
                  <w:rPr>
                    <w:rFonts w:ascii="Cambria Math" w:eastAsiaTheme="minorEastAsia" w:hAnsi="Cambria Math"/>
                    <w:sz w:val="24"/>
                  </w:rPr>
                  <m:t>-</m:t>
                </m:r>
              </m:sup>
            </m:sSup>
            <m:r>
              <m:rPr>
                <m:sty m:val="p"/>
              </m:rPr>
              <w:rPr>
                <w:rFonts w:ascii="Cambria Math" w:eastAsiaTheme="minorEastAsia" w:hAnsi="Cambria Math"/>
                <w:sz w:val="24"/>
              </w:rPr>
              <m:t>)</m:t>
            </m:r>
          </m:den>
        </m:f>
      </m:oMath>
    </w:p>
    <w:p w:rsidR="002A5A5E" w:rsidRPr="00F9522B" w:rsidRDefault="00611CBA">
      <w:pPr>
        <w:spacing w:line="360" w:lineRule="auto"/>
        <w:rPr>
          <w:rFonts w:eastAsiaTheme="minorEastAsia"/>
          <w:sz w:val="24"/>
        </w:rPr>
      </w:pPr>
      <w:r w:rsidRPr="00F9522B">
        <w:rPr>
          <w:rFonts w:eastAsiaTheme="minorEastAsia"/>
          <w:sz w:val="24"/>
        </w:rPr>
        <w:t xml:space="preserve">    </w:t>
      </w:r>
      <w:r w:rsidRPr="00F9522B">
        <w:rPr>
          <w:rFonts w:eastAsiaTheme="minorEastAsia"/>
          <w:sz w:val="24"/>
        </w:rPr>
        <w:t>注：</w:t>
      </w:r>
      <w:r w:rsidRPr="00F9522B">
        <w:rPr>
          <w:rFonts w:eastAsiaTheme="minorEastAsia"/>
          <w:sz w:val="24"/>
        </w:rPr>
        <w:t>Ms</w:t>
      </w:r>
      <w:r w:rsidRPr="00F9522B">
        <w:rPr>
          <w:rFonts w:eastAsiaTheme="minorEastAsia"/>
          <w:sz w:val="24"/>
        </w:rPr>
        <w:t>是在计算出</w:t>
      </w:r>
      <w:r w:rsidRPr="00F9522B">
        <w:rPr>
          <w:rFonts w:eastAsiaTheme="minorEastAsia"/>
          <w:sz w:val="24"/>
        </w:rPr>
        <w:t>SB</w:t>
      </w:r>
      <w:r w:rsidRPr="00F9522B">
        <w:rPr>
          <w:rFonts w:eastAsiaTheme="minorEastAsia"/>
          <w:sz w:val="24"/>
        </w:rPr>
        <w:t>值和</w:t>
      </w:r>
      <w:r w:rsidRPr="00F9522B">
        <w:rPr>
          <w:rFonts w:eastAsiaTheme="minorEastAsia"/>
          <w:sz w:val="24"/>
        </w:rPr>
        <w:t>HCB</w:t>
      </w:r>
      <w:r w:rsidRPr="00F9522B">
        <w:rPr>
          <w:rFonts w:eastAsiaTheme="minorEastAsia"/>
          <w:sz w:val="24"/>
        </w:rPr>
        <w:t>值后查表</w:t>
      </w:r>
      <w:r w:rsidRPr="00F9522B">
        <w:rPr>
          <w:rFonts w:eastAsiaTheme="minorEastAsia"/>
          <w:sz w:val="24"/>
        </w:rPr>
        <w:t>4-2-15</w:t>
      </w:r>
      <w:r w:rsidRPr="00F9522B">
        <w:rPr>
          <w:rFonts w:eastAsiaTheme="minorEastAsia"/>
          <w:sz w:val="24"/>
        </w:rPr>
        <w:t>中查得。</w:t>
      </w:r>
    </w:p>
    <w:p w:rsidR="002A5A5E" w:rsidRPr="00F9522B" w:rsidRDefault="00611CBA">
      <w:pPr>
        <w:contextualSpacing/>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4-2-15 SB</w:t>
      </w:r>
      <w:r w:rsidRPr="00F9522B">
        <w:rPr>
          <w:rFonts w:eastAsiaTheme="minorEastAsia"/>
          <w:b/>
          <w:kern w:val="0"/>
          <w:szCs w:val="21"/>
        </w:rPr>
        <w:t>、</w:t>
      </w:r>
      <w:r w:rsidRPr="00F9522B">
        <w:rPr>
          <w:rFonts w:eastAsiaTheme="minorEastAsia"/>
          <w:b/>
          <w:kern w:val="0"/>
          <w:szCs w:val="21"/>
        </w:rPr>
        <w:t>HCB</w:t>
      </w:r>
      <w:r w:rsidRPr="00F9522B">
        <w:rPr>
          <w:rFonts w:eastAsiaTheme="minorEastAsia"/>
          <w:b/>
          <w:kern w:val="0"/>
          <w:szCs w:val="21"/>
        </w:rPr>
        <w:t>、</w:t>
      </w:r>
      <w:r w:rsidRPr="00F9522B">
        <w:rPr>
          <w:rFonts w:eastAsiaTheme="minorEastAsia"/>
          <w:b/>
          <w:kern w:val="0"/>
          <w:szCs w:val="21"/>
        </w:rPr>
        <w:t>Ms</w:t>
      </w:r>
      <w:r w:rsidRPr="00F9522B">
        <w:rPr>
          <w:rFonts w:eastAsiaTheme="minorEastAsia"/>
          <w:b/>
          <w:kern w:val="0"/>
          <w:szCs w:val="21"/>
        </w:rPr>
        <w:t>关系表</w:t>
      </w:r>
    </w:p>
    <w:p w:rsidR="002A5A5E" w:rsidRPr="00F9522B" w:rsidRDefault="00611CBA">
      <w:pPr>
        <w:jc w:val="center"/>
        <w:rPr>
          <w:rFonts w:eastAsiaTheme="minorEastAsia"/>
          <w:sz w:val="24"/>
        </w:rPr>
      </w:pPr>
      <w:r w:rsidRPr="00F9522B">
        <w:rPr>
          <w:rFonts w:eastAsiaTheme="minorEastAsia"/>
          <w:noProof/>
        </w:rPr>
        <w:drawing>
          <wp:inline distT="0" distB="0" distL="0" distR="0">
            <wp:extent cx="5189220" cy="2927985"/>
            <wp:effectExtent l="19050" t="0" r="0" b="0"/>
            <wp:docPr id="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
                    <pic:cNvPicPr>
                      <a:picLocks noChangeAspect="1" noChangeArrowheads="1"/>
                    </pic:cNvPicPr>
                  </pic:nvPicPr>
                  <pic:blipFill>
                    <a:blip r:embed="rId69" cstate="print"/>
                    <a:srcRect/>
                    <a:stretch>
                      <a:fillRect/>
                    </a:stretch>
                  </pic:blipFill>
                  <pic:spPr>
                    <a:xfrm>
                      <a:off x="0" y="0"/>
                      <a:ext cx="5194045" cy="2931117"/>
                    </a:xfrm>
                    <a:prstGeom prst="rect">
                      <a:avLst/>
                    </a:prstGeom>
                    <a:noFill/>
                    <a:ln w="9525">
                      <a:noFill/>
                      <a:miter lim="800000"/>
                      <a:headEnd/>
                      <a:tailEnd/>
                    </a:ln>
                  </pic:spPr>
                </pic:pic>
              </a:graphicData>
            </a:graphic>
          </wp:inline>
        </w:drawing>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第三步，将地下水化学类型用阿拉伯数字（</w:t>
      </w:r>
      <w:r w:rsidRPr="00F9522B">
        <w:rPr>
          <w:rFonts w:eastAsiaTheme="minorEastAsia"/>
          <w:sz w:val="24"/>
        </w:rPr>
        <w:t>1</w:t>
      </w:r>
      <w:r w:rsidRPr="00F9522B">
        <w:rPr>
          <w:rFonts w:eastAsiaTheme="minorEastAsia"/>
          <w:sz w:val="24"/>
        </w:rPr>
        <w:t>～</w:t>
      </w:r>
      <w:r w:rsidRPr="00F9522B">
        <w:rPr>
          <w:rFonts w:eastAsiaTheme="minorEastAsia"/>
          <w:sz w:val="24"/>
        </w:rPr>
        <w:t>49</w:t>
      </w:r>
      <w:r w:rsidRPr="00F9522B">
        <w:rPr>
          <w:rFonts w:eastAsiaTheme="minorEastAsia"/>
          <w:sz w:val="24"/>
        </w:rPr>
        <w:t>）与字母（</w:t>
      </w:r>
      <w:r w:rsidRPr="00F9522B">
        <w:rPr>
          <w:rFonts w:eastAsiaTheme="minorEastAsia"/>
          <w:sz w:val="24"/>
        </w:rPr>
        <w:t>A</w:t>
      </w:r>
      <w:r w:rsidRPr="00F9522B">
        <w:rPr>
          <w:rFonts w:eastAsiaTheme="minorEastAsia"/>
          <w:sz w:val="24"/>
        </w:rPr>
        <w:t>、</w:t>
      </w:r>
      <w:r w:rsidRPr="00F9522B">
        <w:rPr>
          <w:rFonts w:eastAsiaTheme="minorEastAsia"/>
          <w:sz w:val="24"/>
        </w:rPr>
        <w:t>B</w:t>
      </w:r>
      <w:r w:rsidRPr="00F9522B">
        <w:rPr>
          <w:rFonts w:eastAsiaTheme="minorEastAsia"/>
          <w:sz w:val="24"/>
        </w:rPr>
        <w:t>、</w:t>
      </w:r>
      <w:r w:rsidRPr="00F9522B">
        <w:rPr>
          <w:rFonts w:eastAsiaTheme="minorEastAsia"/>
          <w:sz w:val="24"/>
        </w:rPr>
        <w:t>C</w:t>
      </w:r>
      <w:r w:rsidRPr="00F9522B">
        <w:rPr>
          <w:rFonts w:eastAsiaTheme="minorEastAsia"/>
          <w:sz w:val="24"/>
        </w:rPr>
        <w:t>或</w:t>
      </w:r>
      <w:r w:rsidRPr="00F9522B">
        <w:rPr>
          <w:rFonts w:eastAsiaTheme="minorEastAsia"/>
          <w:sz w:val="24"/>
        </w:rPr>
        <w:t>D</w:t>
      </w:r>
      <w:r w:rsidRPr="00F9522B">
        <w:rPr>
          <w:rFonts w:eastAsiaTheme="minorEastAsia"/>
          <w:sz w:val="24"/>
        </w:rPr>
        <w:t>）</w:t>
      </w:r>
      <w:r w:rsidRPr="00F9522B">
        <w:rPr>
          <w:rFonts w:eastAsiaTheme="minorEastAsia"/>
          <w:sz w:val="24"/>
        </w:rPr>
        <w:lastRenderedPageBreak/>
        <w:t>组合在一起的表达式表示。</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w:t>
      </w:r>
      <w:r w:rsidRPr="00F9522B">
        <w:rPr>
          <w:rFonts w:eastAsiaTheme="minorEastAsia"/>
          <w:sz w:val="24"/>
        </w:rPr>
        <w:t>2</w:t>
      </w:r>
      <w:r w:rsidRPr="00F9522B">
        <w:rPr>
          <w:rFonts w:eastAsiaTheme="minorEastAsia"/>
          <w:sz w:val="24"/>
        </w:rPr>
        <w:t>）地下水化学类型评价结果</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首先对水文资料进行整理，换算毫克</w:t>
      </w:r>
      <w:r w:rsidRPr="00F9522B">
        <w:rPr>
          <w:rFonts w:eastAsiaTheme="minorEastAsia"/>
          <w:sz w:val="24"/>
        </w:rPr>
        <w:t>/</w:t>
      </w:r>
      <w:r w:rsidRPr="00F9522B">
        <w:rPr>
          <w:rFonts w:eastAsiaTheme="minorEastAsia"/>
          <w:sz w:val="24"/>
        </w:rPr>
        <w:t>升为毫克当量</w:t>
      </w:r>
      <w:r w:rsidRPr="00F9522B">
        <w:rPr>
          <w:rFonts w:eastAsiaTheme="minorEastAsia"/>
          <w:sz w:val="24"/>
        </w:rPr>
        <w:t>/</w:t>
      </w:r>
      <w:r w:rsidRPr="00F9522B">
        <w:rPr>
          <w:rFonts w:eastAsiaTheme="minorEastAsia"/>
          <w:sz w:val="24"/>
        </w:rPr>
        <w:t>升及毫克当量百分数；知道了离子在水中的毫克当量数以后，根据计算公式计算其毫克当量百分数。</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本次监测换算结果见表</w:t>
      </w:r>
      <w:r w:rsidRPr="00F9522B">
        <w:rPr>
          <w:rFonts w:eastAsiaTheme="minorEastAsia"/>
          <w:sz w:val="24"/>
        </w:rPr>
        <w:t>4-2-16</w:t>
      </w:r>
      <w:r w:rsidRPr="00F9522B">
        <w:rPr>
          <w:rFonts w:eastAsiaTheme="minorEastAsia"/>
          <w:sz w:val="24"/>
        </w:rPr>
        <w:t>。</w:t>
      </w:r>
    </w:p>
    <w:p w:rsidR="002A5A5E" w:rsidRPr="00F9522B" w:rsidRDefault="00611CBA">
      <w:pPr>
        <w:contextualSpacing/>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 xml:space="preserve">4-2-16 </w:t>
      </w:r>
      <w:r w:rsidRPr="00F9522B">
        <w:rPr>
          <w:rFonts w:eastAsiaTheme="minorEastAsia"/>
          <w:b/>
          <w:kern w:val="0"/>
          <w:szCs w:val="21"/>
        </w:rPr>
        <w:t>监测换算结果表</w:t>
      </w:r>
    </w:p>
    <w:tbl>
      <w:tblPr>
        <w:tblW w:w="5000" w:type="pct"/>
        <w:tblBorders>
          <w:top w:val="single" w:sz="12" w:space="0" w:color="auto"/>
          <w:bottom w:val="single" w:sz="12" w:space="0" w:color="auto"/>
          <w:insideH w:val="single" w:sz="4" w:space="0" w:color="auto"/>
          <w:insideV w:val="single" w:sz="4" w:space="0" w:color="auto"/>
        </w:tblBorders>
        <w:tblLayout w:type="fixed"/>
        <w:tblLook w:val="04A0"/>
      </w:tblPr>
      <w:tblGrid>
        <w:gridCol w:w="1143"/>
        <w:gridCol w:w="2023"/>
        <w:gridCol w:w="1693"/>
        <w:gridCol w:w="1804"/>
        <w:gridCol w:w="1859"/>
      </w:tblGrid>
      <w:tr w:rsidR="002A5A5E" w:rsidRPr="00F9522B" w:rsidTr="00FE1542">
        <w:tc>
          <w:tcPr>
            <w:tcW w:w="3166" w:type="dxa"/>
            <w:gridSpan w:val="2"/>
            <w:vAlign w:val="center"/>
          </w:tcPr>
          <w:p w:rsidR="002A5A5E" w:rsidRPr="00F9522B" w:rsidRDefault="00611CBA" w:rsidP="00FE1542">
            <w:pPr>
              <w:snapToGrid w:val="0"/>
              <w:spacing w:line="0" w:lineRule="atLeast"/>
              <w:contextualSpacing/>
              <w:jc w:val="center"/>
              <w:rPr>
                <w:rFonts w:eastAsiaTheme="minorEastAsia"/>
                <w:snapToGrid w:val="0"/>
                <w:szCs w:val="21"/>
              </w:rPr>
            </w:pPr>
            <w:r w:rsidRPr="00F9522B">
              <w:rPr>
                <w:rFonts w:ascii="宋体" w:hAnsi="宋体" w:cs="宋体" w:hint="eastAsia"/>
                <w:szCs w:val="21"/>
              </w:rPr>
              <w:t>☆</w:t>
            </w:r>
            <w:r w:rsidRPr="00F9522B">
              <w:rPr>
                <w:rFonts w:eastAsiaTheme="minorEastAsia"/>
                <w:szCs w:val="21"/>
              </w:rPr>
              <w:t>01</w:t>
            </w:r>
            <w:r w:rsidRPr="00F9522B">
              <w:rPr>
                <w:rFonts w:eastAsiaTheme="minorEastAsia"/>
                <w:snapToGrid w:val="0"/>
                <w:szCs w:val="21"/>
              </w:rPr>
              <w:t>监测点</w:t>
            </w:r>
          </w:p>
        </w:tc>
        <w:tc>
          <w:tcPr>
            <w:tcW w:w="1693" w:type="dxa"/>
            <w:vAlign w:val="center"/>
          </w:tcPr>
          <w:p w:rsidR="002A5A5E" w:rsidRPr="00F9522B" w:rsidRDefault="00611CBA"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mg/L</w:t>
            </w:r>
          </w:p>
        </w:tc>
        <w:tc>
          <w:tcPr>
            <w:tcW w:w="1804" w:type="dxa"/>
            <w:vAlign w:val="center"/>
          </w:tcPr>
          <w:p w:rsidR="002A5A5E" w:rsidRPr="00F9522B" w:rsidRDefault="00611CBA"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meq/L</w:t>
            </w:r>
          </w:p>
        </w:tc>
        <w:tc>
          <w:tcPr>
            <w:tcW w:w="1859" w:type="dxa"/>
            <w:vAlign w:val="center"/>
          </w:tcPr>
          <w:p w:rsidR="002A5A5E" w:rsidRPr="00F9522B" w:rsidRDefault="00611CBA"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meq%</w:t>
            </w:r>
          </w:p>
        </w:tc>
      </w:tr>
      <w:tr w:rsidR="006F3D3A" w:rsidRPr="00F9522B" w:rsidTr="00FE1542">
        <w:tc>
          <w:tcPr>
            <w:tcW w:w="1143" w:type="dxa"/>
            <w:vMerge w:val="restart"/>
            <w:vAlign w:val="center"/>
          </w:tcPr>
          <w:p w:rsidR="006F3D3A" w:rsidRPr="00F9522B" w:rsidRDefault="006F3D3A"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阳</w:t>
            </w:r>
          </w:p>
          <w:p w:rsidR="006F3D3A" w:rsidRPr="00F9522B" w:rsidRDefault="006F3D3A"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离</w:t>
            </w:r>
          </w:p>
          <w:p w:rsidR="006F3D3A" w:rsidRPr="00F9522B" w:rsidRDefault="006F3D3A"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子</w:t>
            </w:r>
          </w:p>
        </w:tc>
        <w:tc>
          <w:tcPr>
            <w:tcW w:w="2023" w:type="dxa"/>
            <w:vAlign w:val="center"/>
          </w:tcPr>
          <w:p w:rsidR="006F3D3A" w:rsidRPr="00F9522B" w:rsidRDefault="006F3D3A"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K</w:t>
            </w:r>
            <w:r w:rsidRPr="00F9522B">
              <w:rPr>
                <w:rFonts w:eastAsiaTheme="minorEastAsia"/>
                <w:snapToGrid w:val="0"/>
                <w:szCs w:val="21"/>
                <w:vertAlign w:val="superscript"/>
              </w:rPr>
              <w:t>+</w:t>
            </w:r>
            <w:r w:rsidRPr="00F9522B">
              <w:rPr>
                <w:rFonts w:eastAsiaTheme="minorEastAsia"/>
                <w:snapToGrid w:val="0"/>
                <w:szCs w:val="21"/>
              </w:rPr>
              <w:t>+Na</w:t>
            </w:r>
            <w:r w:rsidRPr="00F9522B">
              <w:rPr>
                <w:rFonts w:eastAsiaTheme="minorEastAsia"/>
                <w:snapToGrid w:val="0"/>
                <w:szCs w:val="21"/>
                <w:vertAlign w:val="superscript"/>
              </w:rPr>
              <w:t>+</w:t>
            </w:r>
          </w:p>
        </w:tc>
        <w:tc>
          <w:tcPr>
            <w:tcW w:w="1693" w:type="dxa"/>
            <w:vAlign w:val="bottom"/>
          </w:tcPr>
          <w:p w:rsidR="006F3D3A" w:rsidRPr="00F9522B" w:rsidRDefault="006F3D3A" w:rsidP="00FE1542">
            <w:pPr>
              <w:spacing w:line="0" w:lineRule="atLeast"/>
              <w:jc w:val="center"/>
              <w:rPr>
                <w:rFonts w:eastAsia="等线"/>
                <w:szCs w:val="21"/>
              </w:rPr>
            </w:pPr>
            <w:r w:rsidRPr="00F9522B">
              <w:rPr>
                <w:rFonts w:eastAsia="等线"/>
                <w:szCs w:val="21"/>
              </w:rPr>
              <w:t>12.46</w:t>
            </w:r>
          </w:p>
        </w:tc>
        <w:tc>
          <w:tcPr>
            <w:tcW w:w="1804" w:type="dxa"/>
            <w:vAlign w:val="bottom"/>
          </w:tcPr>
          <w:p w:rsidR="006F3D3A" w:rsidRPr="00F9522B" w:rsidRDefault="006F3D3A" w:rsidP="00FE1542">
            <w:pPr>
              <w:spacing w:line="0" w:lineRule="atLeast"/>
              <w:jc w:val="center"/>
              <w:rPr>
                <w:rFonts w:eastAsia="等线"/>
                <w:szCs w:val="21"/>
              </w:rPr>
            </w:pPr>
            <w:r w:rsidRPr="00F9522B">
              <w:rPr>
                <w:rFonts w:eastAsia="等线"/>
                <w:szCs w:val="21"/>
              </w:rPr>
              <w:t>0.51</w:t>
            </w:r>
          </w:p>
        </w:tc>
        <w:tc>
          <w:tcPr>
            <w:tcW w:w="1859" w:type="dxa"/>
            <w:vAlign w:val="bottom"/>
          </w:tcPr>
          <w:p w:rsidR="006F3D3A" w:rsidRPr="00F9522B" w:rsidRDefault="006F3D3A" w:rsidP="00FE1542">
            <w:pPr>
              <w:spacing w:line="0" w:lineRule="atLeast"/>
              <w:jc w:val="center"/>
              <w:rPr>
                <w:rFonts w:eastAsia="等线"/>
                <w:szCs w:val="21"/>
              </w:rPr>
            </w:pPr>
            <w:r w:rsidRPr="00F9522B">
              <w:rPr>
                <w:rFonts w:eastAsia="等线"/>
                <w:szCs w:val="21"/>
              </w:rPr>
              <w:t>4.70</w:t>
            </w:r>
          </w:p>
        </w:tc>
      </w:tr>
      <w:tr w:rsidR="006F3D3A" w:rsidRPr="00F9522B" w:rsidTr="00FE1542">
        <w:tc>
          <w:tcPr>
            <w:tcW w:w="1143" w:type="dxa"/>
            <w:vMerge/>
            <w:vAlign w:val="center"/>
          </w:tcPr>
          <w:p w:rsidR="006F3D3A" w:rsidRPr="00F9522B" w:rsidRDefault="006F3D3A" w:rsidP="00FE1542">
            <w:pPr>
              <w:widowControl/>
              <w:spacing w:line="0" w:lineRule="atLeast"/>
              <w:contextualSpacing/>
              <w:jc w:val="center"/>
              <w:rPr>
                <w:rFonts w:eastAsiaTheme="minorEastAsia"/>
                <w:snapToGrid w:val="0"/>
                <w:szCs w:val="21"/>
              </w:rPr>
            </w:pPr>
          </w:p>
        </w:tc>
        <w:tc>
          <w:tcPr>
            <w:tcW w:w="2023" w:type="dxa"/>
            <w:vAlign w:val="center"/>
          </w:tcPr>
          <w:p w:rsidR="006F3D3A" w:rsidRPr="00F9522B" w:rsidRDefault="006F3D3A"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Ca</w:t>
            </w:r>
            <w:r w:rsidRPr="00F9522B">
              <w:rPr>
                <w:rFonts w:eastAsiaTheme="minorEastAsia"/>
                <w:snapToGrid w:val="0"/>
                <w:szCs w:val="21"/>
                <w:vertAlign w:val="superscript"/>
              </w:rPr>
              <w:t>2+</w:t>
            </w:r>
          </w:p>
        </w:tc>
        <w:tc>
          <w:tcPr>
            <w:tcW w:w="1693" w:type="dxa"/>
            <w:vAlign w:val="bottom"/>
          </w:tcPr>
          <w:p w:rsidR="006F3D3A" w:rsidRPr="00F9522B" w:rsidRDefault="006F3D3A" w:rsidP="00FE1542">
            <w:pPr>
              <w:spacing w:line="0" w:lineRule="atLeast"/>
              <w:jc w:val="center"/>
              <w:rPr>
                <w:rFonts w:eastAsia="等线"/>
                <w:szCs w:val="21"/>
              </w:rPr>
            </w:pPr>
            <w:r w:rsidRPr="00F9522B">
              <w:rPr>
                <w:rFonts w:eastAsia="等线"/>
                <w:szCs w:val="21"/>
              </w:rPr>
              <w:t>132.8</w:t>
            </w:r>
          </w:p>
        </w:tc>
        <w:tc>
          <w:tcPr>
            <w:tcW w:w="1804" w:type="dxa"/>
            <w:vAlign w:val="bottom"/>
          </w:tcPr>
          <w:p w:rsidR="006F3D3A" w:rsidRPr="00F9522B" w:rsidRDefault="006F3D3A" w:rsidP="00FE1542">
            <w:pPr>
              <w:spacing w:line="0" w:lineRule="atLeast"/>
              <w:jc w:val="center"/>
              <w:rPr>
                <w:rFonts w:eastAsia="等线"/>
                <w:szCs w:val="21"/>
              </w:rPr>
            </w:pPr>
            <w:r w:rsidRPr="00F9522B">
              <w:rPr>
                <w:rFonts w:eastAsia="等线"/>
                <w:szCs w:val="21"/>
              </w:rPr>
              <w:t>6.64</w:t>
            </w:r>
          </w:p>
        </w:tc>
        <w:tc>
          <w:tcPr>
            <w:tcW w:w="1859" w:type="dxa"/>
            <w:vAlign w:val="bottom"/>
          </w:tcPr>
          <w:p w:rsidR="006F3D3A" w:rsidRPr="00F9522B" w:rsidRDefault="006F3D3A" w:rsidP="00FE1542">
            <w:pPr>
              <w:spacing w:line="0" w:lineRule="atLeast"/>
              <w:jc w:val="center"/>
              <w:rPr>
                <w:rFonts w:eastAsia="等线"/>
                <w:szCs w:val="21"/>
              </w:rPr>
            </w:pPr>
            <w:r w:rsidRPr="00F9522B">
              <w:rPr>
                <w:rFonts w:eastAsia="等线"/>
                <w:szCs w:val="21"/>
              </w:rPr>
              <w:t>61.00</w:t>
            </w:r>
          </w:p>
        </w:tc>
      </w:tr>
      <w:tr w:rsidR="006F3D3A" w:rsidRPr="00F9522B" w:rsidTr="00FE1542">
        <w:tc>
          <w:tcPr>
            <w:tcW w:w="1143" w:type="dxa"/>
            <w:vMerge/>
            <w:vAlign w:val="center"/>
          </w:tcPr>
          <w:p w:rsidR="006F3D3A" w:rsidRPr="00F9522B" w:rsidRDefault="006F3D3A" w:rsidP="00FE1542">
            <w:pPr>
              <w:widowControl/>
              <w:spacing w:line="0" w:lineRule="atLeast"/>
              <w:contextualSpacing/>
              <w:jc w:val="center"/>
              <w:rPr>
                <w:rFonts w:eastAsiaTheme="minorEastAsia"/>
                <w:snapToGrid w:val="0"/>
                <w:szCs w:val="21"/>
              </w:rPr>
            </w:pPr>
          </w:p>
        </w:tc>
        <w:tc>
          <w:tcPr>
            <w:tcW w:w="2023" w:type="dxa"/>
            <w:vAlign w:val="center"/>
          </w:tcPr>
          <w:p w:rsidR="006F3D3A" w:rsidRPr="00F9522B" w:rsidRDefault="006F3D3A"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Mg</w:t>
            </w:r>
            <w:r w:rsidRPr="00F9522B">
              <w:rPr>
                <w:rFonts w:eastAsiaTheme="minorEastAsia"/>
                <w:snapToGrid w:val="0"/>
                <w:szCs w:val="21"/>
                <w:vertAlign w:val="superscript"/>
              </w:rPr>
              <w:t>2+</w:t>
            </w:r>
          </w:p>
        </w:tc>
        <w:tc>
          <w:tcPr>
            <w:tcW w:w="1693" w:type="dxa"/>
            <w:vAlign w:val="bottom"/>
          </w:tcPr>
          <w:p w:rsidR="006F3D3A" w:rsidRPr="00F9522B" w:rsidRDefault="006F3D3A" w:rsidP="00FE1542">
            <w:pPr>
              <w:spacing w:line="0" w:lineRule="atLeast"/>
              <w:jc w:val="center"/>
              <w:rPr>
                <w:rFonts w:eastAsia="等线"/>
                <w:szCs w:val="21"/>
              </w:rPr>
            </w:pPr>
            <w:r w:rsidRPr="00F9522B">
              <w:rPr>
                <w:rFonts w:eastAsia="等线"/>
                <w:szCs w:val="21"/>
              </w:rPr>
              <w:t>44.8</w:t>
            </w:r>
          </w:p>
        </w:tc>
        <w:tc>
          <w:tcPr>
            <w:tcW w:w="1804" w:type="dxa"/>
            <w:vAlign w:val="bottom"/>
          </w:tcPr>
          <w:p w:rsidR="006F3D3A" w:rsidRPr="00F9522B" w:rsidRDefault="006F3D3A" w:rsidP="00FE1542">
            <w:pPr>
              <w:spacing w:line="0" w:lineRule="atLeast"/>
              <w:jc w:val="center"/>
              <w:rPr>
                <w:rFonts w:eastAsia="等线"/>
                <w:szCs w:val="21"/>
              </w:rPr>
            </w:pPr>
            <w:r w:rsidRPr="00F9522B">
              <w:rPr>
                <w:rFonts w:eastAsia="等线"/>
                <w:szCs w:val="21"/>
              </w:rPr>
              <w:t>3.73</w:t>
            </w:r>
          </w:p>
        </w:tc>
        <w:tc>
          <w:tcPr>
            <w:tcW w:w="1859" w:type="dxa"/>
            <w:vAlign w:val="bottom"/>
          </w:tcPr>
          <w:p w:rsidR="006F3D3A" w:rsidRPr="00F9522B" w:rsidRDefault="006F3D3A" w:rsidP="00FE1542">
            <w:pPr>
              <w:spacing w:line="0" w:lineRule="atLeast"/>
              <w:jc w:val="center"/>
              <w:rPr>
                <w:rFonts w:eastAsia="等线"/>
                <w:szCs w:val="21"/>
              </w:rPr>
            </w:pPr>
            <w:r w:rsidRPr="00F9522B">
              <w:rPr>
                <w:rFonts w:eastAsia="等线"/>
                <w:szCs w:val="21"/>
              </w:rPr>
              <w:t>34.30</w:t>
            </w:r>
          </w:p>
        </w:tc>
      </w:tr>
      <w:tr w:rsidR="006F3D3A" w:rsidRPr="00F9522B" w:rsidTr="00FE1542">
        <w:tc>
          <w:tcPr>
            <w:tcW w:w="1143" w:type="dxa"/>
            <w:vMerge/>
            <w:vAlign w:val="center"/>
          </w:tcPr>
          <w:p w:rsidR="006F3D3A" w:rsidRPr="00F9522B" w:rsidRDefault="006F3D3A" w:rsidP="00FE1542">
            <w:pPr>
              <w:widowControl/>
              <w:spacing w:line="0" w:lineRule="atLeast"/>
              <w:contextualSpacing/>
              <w:jc w:val="center"/>
              <w:rPr>
                <w:rFonts w:eastAsiaTheme="minorEastAsia"/>
                <w:snapToGrid w:val="0"/>
                <w:szCs w:val="21"/>
              </w:rPr>
            </w:pPr>
          </w:p>
        </w:tc>
        <w:tc>
          <w:tcPr>
            <w:tcW w:w="2023" w:type="dxa"/>
            <w:vAlign w:val="center"/>
          </w:tcPr>
          <w:p w:rsidR="006F3D3A" w:rsidRPr="00F9522B" w:rsidRDefault="006F3D3A"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总计</w:t>
            </w:r>
          </w:p>
        </w:tc>
        <w:tc>
          <w:tcPr>
            <w:tcW w:w="1693" w:type="dxa"/>
            <w:vAlign w:val="bottom"/>
          </w:tcPr>
          <w:p w:rsidR="006F3D3A" w:rsidRPr="00F9522B" w:rsidRDefault="006F3D3A" w:rsidP="00FE1542">
            <w:pPr>
              <w:spacing w:line="0" w:lineRule="atLeast"/>
              <w:jc w:val="center"/>
              <w:rPr>
                <w:rFonts w:eastAsia="等线"/>
                <w:szCs w:val="21"/>
              </w:rPr>
            </w:pPr>
            <w:r w:rsidRPr="00F9522B">
              <w:rPr>
                <w:rFonts w:eastAsia="等线"/>
                <w:szCs w:val="21"/>
              </w:rPr>
              <w:t>190.06</w:t>
            </w:r>
          </w:p>
        </w:tc>
        <w:tc>
          <w:tcPr>
            <w:tcW w:w="1804" w:type="dxa"/>
            <w:vAlign w:val="bottom"/>
          </w:tcPr>
          <w:p w:rsidR="006F3D3A" w:rsidRPr="00F9522B" w:rsidRDefault="006F3D3A" w:rsidP="00FE1542">
            <w:pPr>
              <w:spacing w:line="0" w:lineRule="atLeast"/>
              <w:jc w:val="center"/>
              <w:rPr>
                <w:rFonts w:eastAsia="等线"/>
                <w:szCs w:val="21"/>
              </w:rPr>
            </w:pPr>
            <w:r w:rsidRPr="00F9522B">
              <w:rPr>
                <w:rFonts w:eastAsia="等线"/>
                <w:szCs w:val="21"/>
              </w:rPr>
              <w:t>10.89</w:t>
            </w:r>
          </w:p>
        </w:tc>
        <w:tc>
          <w:tcPr>
            <w:tcW w:w="1859" w:type="dxa"/>
            <w:vAlign w:val="bottom"/>
          </w:tcPr>
          <w:p w:rsidR="006F3D3A" w:rsidRPr="00F9522B" w:rsidRDefault="006F3D3A" w:rsidP="00FE1542">
            <w:pPr>
              <w:spacing w:line="0" w:lineRule="atLeast"/>
              <w:jc w:val="center"/>
              <w:rPr>
                <w:rFonts w:eastAsia="等线"/>
                <w:szCs w:val="21"/>
              </w:rPr>
            </w:pPr>
            <w:r w:rsidRPr="00F9522B">
              <w:rPr>
                <w:rFonts w:eastAsia="等线"/>
                <w:szCs w:val="21"/>
              </w:rPr>
              <w:t>100.00</w:t>
            </w:r>
          </w:p>
        </w:tc>
      </w:tr>
      <w:tr w:rsidR="006F3D3A" w:rsidRPr="00F9522B" w:rsidTr="00FE1542">
        <w:tc>
          <w:tcPr>
            <w:tcW w:w="1143" w:type="dxa"/>
            <w:vMerge w:val="restart"/>
            <w:vAlign w:val="center"/>
          </w:tcPr>
          <w:p w:rsidR="006F3D3A" w:rsidRPr="00F9522B" w:rsidRDefault="006F3D3A"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阴</w:t>
            </w:r>
          </w:p>
          <w:p w:rsidR="006F3D3A" w:rsidRPr="00F9522B" w:rsidRDefault="006F3D3A"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离</w:t>
            </w:r>
          </w:p>
          <w:p w:rsidR="006F3D3A" w:rsidRPr="00F9522B" w:rsidRDefault="006F3D3A"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子</w:t>
            </w:r>
          </w:p>
        </w:tc>
        <w:tc>
          <w:tcPr>
            <w:tcW w:w="2023" w:type="dxa"/>
            <w:vAlign w:val="center"/>
          </w:tcPr>
          <w:p w:rsidR="006F3D3A" w:rsidRPr="00F9522B" w:rsidRDefault="006F3D3A" w:rsidP="00FE1542">
            <w:pPr>
              <w:snapToGrid w:val="0"/>
              <w:spacing w:line="0" w:lineRule="atLeast"/>
              <w:contextualSpacing/>
              <w:jc w:val="center"/>
              <w:rPr>
                <w:rFonts w:eastAsiaTheme="minorEastAsia"/>
                <w:snapToGrid w:val="0"/>
                <w:szCs w:val="21"/>
                <w:vertAlign w:val="superscript"/>
              </w:rPr>
            </w:pPr>
            <w:r w:rsidRPr="00F9522B">
              <w:rPr>
                <w:rFonts w:eastAsiaTheme="minorEastAsia"/>
                <w:snapToGrid w:val="0"/>
                <w:szCs w:val="21"/>
              </w:rPr>
              <w:t>HCO</w:t>
            </w:r>
            <w:r w:rsidRPr="00F9522B">
              <w:rPr>
                <w:rFonts w:eastAsiaTheme="minorEastAsia"/>
                <w:snapToGrid w:val="0"/>
                <w:szCs w:val="21"/>
                <w:vertAlign w:val="subscript"/>
              </w:rPr>
              <w:t>3</w:t>
            </w:r>
            <w:r w:rsidRPr="00F9522B">
              <w:rPr>
                <w:rFonts w:eastAsiaTheme="minorEastAsia"/>
                <w:snapToGrid w:val="0"/>
                <w:szCs w:val="21"/>
                <w:vertAlign w:val="superscript"/>
              </w:rPr>
              <w:t>-</w:t>
            </w:r>
          </w:p>
        </w:tc>
        <w:tc>
          <w:tcPr>
            <w:tcW w:w="1693" w:type="dxa"/>
            <w:vAlign w:val="bottom"/>
          </w:tcPr>
          <w:p w:rsidR="006F3D3A" w:rsidRPr="00F9522B" w:rsidRDefault="006F3D3A" w:rsidP="00FE1542">
            <w:pPr>
              <w:spacing w:line="0" w:lineRule="atLeast"/>
              <w:jc w:val="center"/>
              <w:rPr>
                <w:rFonts w:eastAsia="等线"/>
                <w:szCs w:val="21"/>
              </w:rPr>
            </w:pPr>
            <w:r w:rsidRPr="00F9522B">
              <w:rPr>
                <w:rFonts w:eastAsia="等线"/>
                <w:szCs w:val="21"/>
              </w:rPr>
              <w:t>475</w:t>
            </w:r>
          </w:p>
        </w:tc>
        <w:tc>
          <w:tcPr>
            <w:tcW w:w="1804" w:type="dxa"/>
            <w:vAlign w:val="bottom"/>
          </w:tcPr>
          <w:p w:rsidR="006F3D3A" w:rsidRPr="00F9522B" w:rsidRDefault="006F3D3A" w:rsidP="00FE1542">
            <w:pPr>
              <w:spacing w:line="0" w:lineRule="atLeast"/>
              <w:jc w:val="center"/>
              <w:rPr>
                <w:rFonts w:eastAsia="等线"/>
                <w:szCs w:val="21"/>
              </w:rPr>
            </w:pPr>
            <w:r w:rsidRPr="00F9522B">
              <w:rPr>
                <w:rFonts w:eastAsia="等线"/>
                <w:szCs w:val="21"/>
              </w:rPr>
              <w:t>7.79</w:t>
            </w:r>
          </w:p>
        </w:tc>
        <w:tc>
          <w:tcPr>
            <w:tcW w:w="1859" w:type="dxa"/>
            <w:vAlign w:val="bottom"/>
          </w:tcPr>
          <w:p w:rsidR="006F3D3A" w:rsidRPr="00F9522B" w:rsidRDefault="006F3D3A" w:rsidP="00FE1542">
            <w:pPr>
              <w:spacing w:line="0" w:lineRule="atLeast"/>
              <w:jc w:val="center"/>
              <w:rPr>
                <w:rFonts w:eastAsia="等线"/>
                <w:szCs w:val="21"/>
              </w:rPr>
            </w:pPr>
            <w:r w:rsidRPr="00F9522B">
              <w:rPr>
                <w:rFonts w:eastAsia="等线"/>
                <w:szCs w:val="21"/>
              </w:rPr>
              <w:t>72.15</w:t>
            </w:r>
          </w:p>
        </w:tc>
      </w:tr>
      <w:tr w:rsidR="006F3D3A" w:rsidRPr="00F9522B" w:rsidTr="00FE1542">
        <w:tc>
          <w:tcPr>
            <w:tcW w:w="1143" w:type="dxa"/>
            <w:vMerge/>
            <w:vAlign w:val="center"/>
          </w:tcPr>
          <w:p w:rsidR="006F3D3A" w:rsidRPr="00F9522B" w:rsidRDefault="006F3D3A" w:rsidP="00FE1542">
            <w:pPr>
              <w:widowControl/>
              <w:spacing w:line="0" w:lineRule="atLeast"/>
              <w:contextualSpacing/>
              <w:jc w:val="center"/>
              <w:rPr>
                <w:rFonts w:eastAsiaTheme="minorEastAsia"/>
                <w:snapToGrid w:val="0"/>
                <w:szCs w:val="21"/>
              </w:rPr>
            </w:pPr>
          </w:p>
        </w:tc>
        <w:tc>
          <w:tcPr>
            <w:tcW w:w="2023" w:type="dxa"/>
            <w:vAlign w:val="center"/>
          </w:tcPr>
          <w:p w:rsidR="006F3D3A" w:rsidRPr="00F9522B" w:rsidRDefault="006F3D3A"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Cl</w:t>
            </w:r>
            <w:r w:rsidRPr="00F9522B">
              <w:rPr>
                <w:rFonts w:eastAsiaTheme="minorEastAsia"/>
                <w:snapToGrid w:val="0"/>
                <w:szCs w:val="21"/>
                <w:vertAlign w:val="superscript"/>
              </w:rPr>
              <w:t>-</w:t>
            </w:r>
          </w:p>
        </w:tc>
        <w:tc>
          <w:tcPr>
            <w:tcW w:w="1693" w:type="dxa"/>
            <w:vAlign w:val="bottom"/>
          </w:tcPr>
          <w:p w:rsidR="006F3D3A" w:rsidRPr="00F9522B" w:rsidRDefault="006F3D3A" w:rsidP="00FE1542">
            <w:pPr>
              <w:spacing w:line="0" w:lineRule="atLeast"/>
              <w:jc w:val="center"/>
              <w:rPr>
                <w:rFonts w:eastAsia="等线"/>
                <w:szCs w:val="21"/>
              </w:rPr>
            </w:pPr>
            <w:r w:rsidRPr="00F9522B">
              <w:rPr>
                <w:rFonts w:eastAsia="等线"/>
                <w:szCs w:val="21"/>
              </w:rPr>
              <w:t>66.1</w:t>
            </w:r>
          </w:p>
        </w:tc>
        <w:tc>
          <w:tcPr>
            <w:tcW w:w="1804" w:type="dxa"/>
            <w:vAlign w:val="bottom"/>
          </w:tcPr>
          <w:p w:rsidR="006F3D3A" w:rsidRPr="00F9522B" w:rsidRDefault="006F3D3A" w:rsidP="00FE1542">
            <w:pPr>
              <w:spacing w:line="0" w:lineRule="atLeast"/>
              <w:jc w:val="center"/>
              <w:rPr>
                <w:rFonts w:eastAsia="等线"/>
                <w:szCs w:val="21"/>
              </w:rPr>
            </w:pPr>
            <w:r w:rsidRPr="00F9522B">
              <w:rPr>
                <w:rFonts w:eastAsia="等线"/>
                <w:szCs w:val="21"/>
              </w:rPr>
              <w:t>1.86</w:t>
            </w:r>
          </w:p>
        </w:tc>
        <w:tc>
          <w:tcPr>
            <w:tcW w:w="1859" w:type="dxa"/>
            <w:vAlign w:val="bottom"/>
          </w:tcPr>
          <w:p w:rsidR="006F3D3A" w:rsidRPr="00F9522B" w:rsidRDefault="006F3D3A" w:rsidP="00FE1542">
            <w:pPr>
              <w:spacing w:line="0" w:lineRule="atLeast"/>
              <w:jc w:val="center"/>
              <w:rPr>
                <w:rFonts w:eastAsia="等线"/>
                <w:szCs w:val="21"/>
              </w:rPr>
            </w:pPr>
            <w:r w:rsidRPr="00F9522B">
              <w:rPr>
                <w:rFonts w:eastAsia="等线"/>
                <w:szCs w:val="21"/>
              </w:rPr>
              <w:t>17.25</w:t>
            </w:r>
          </w:p>
        </w:tc>
      </w:tr>
      <w:tr w:rsidR="006F3D3A" w:rsidRPr="00F9522B" w:rsidTr="00FE1542">
        <w:tc>
          <w:tcPr>
            <w:tcW w:w="1143" w:type="dxa"/>
            <w:vMerge/>
            <w:vAlign w:val="center"/>
          </w:tcPr>
          <w:p w:rsidR="006F3D3A" w:rsidRPr="00F9522B" w:rsidRDefault="006F3D3A" w:rsidP="00FE1542">
            <w:pPr>
              <w:widowControl/>
              <w:spacing w:line="0" w:lineRule="atLeast"/>
              <w:contextualSpacing/>
              <w:jc w:val="center"/>
              <w:rPr>
                <w:rFonts w:eastAsiaTheme="minorEastAsia"/>
                <w:snapToGrid w:val="0"/>
                <w:szCs w:val="21"/>
              </w:rPr>
            </w:pPr>
          </w:p>
        </w:tc>
        <w:tc>
          <w:tcPr>
            <w:tcW w:w="2023" w:type="dxa"/>
            <w:vAlign w:val="center"/>
          </w:tcPr>
          <w:p w:rsidR="006F3D3A" w:rsidRPr="00F9522B" w:rsidRDefault="006F3D3A"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SO</w:t>
            </w:r>
            <w:r w:rsidRPr="00F9522B">
              <w:rPr>
                <w:rFonts w:eastAsiaTheme="minorEastAsia"/>
                <w:snapToGrid w:val="0"/>
                <w:szCs w:val="21"/>
                <w:vertAlign w:val="subscript"/>
              </w:rPr>
              <w:t>4</w:t>
            </w:r>
            <w:r w:rsidRPr="00F9522B">
              <w:rPr>
                <w:rFonts w:eastAsiaTheme="minorEastAsia"/>
                <w:snapToGrid w:val="0"/>
                <w:szCs w:val="21"/>
                <w:vertAlign w:val="superscript"/>
              </w:rPr>
              <w:t>2-</w:t>
            </w:r>
          </w:p>
        </w:tc>
        <w:tc>
          <w:tcPr>
            <w:tcW w:w="1693" w:type="dxa"/>
            <w:vAlign w:val="bottom"/>
          </w:tcPr>
          <w:p w:rsidR="006F3D3A" w:rsidRPr="00F9522B" w:rsidRDefault="006F3D3A" w:rsidP="00FE1542">
            <w:pPr>
              <w:spacing w:line="0" w:lineRule="atLeast"/>
              <w:jc w:val="center"/>
              <w:rPr>
                <w:rFonts w:eastAsia="等线"/>
                <w:szCs w:val="21"/>
              </w:rPr>
            </w:pPr>
            <w:r w:rsidRPr="00F9522B">
              <w:rPr>
                <w:rFonts w:eastAsia="等线"/>
                <w:szCs w:val="21"/>
              </w:rPr>
              <w:t>54.9</w:t>
            </w:r>
          </w:p>
        </w:tc>
        <w:tc>
          <w:tcPr>
            <w:tcW w:w="1804" w:type="dxa"/>
            <w:vAlign w:val="bottom"/>
          </w:tcPr>
          <w:p w:rsidR="006F3D3A" w:rsidRPr="00F9522B" w:rsidRDefault="006F3D3A" w:rsidP="00FE1542">
            <w:pPr>
              <w:spacing w:line="0" w:lineRule="atLeast"/>
              <w:jc w:val="center"/>
              <w:rPr>
                <w:rFonts w:eastAsia="等线"/>
                <w:szCs w:val="21"/>
              </w:rPr>
            </w:pPr>
            <w:r w:rsidRPr="00F9522B">
              <w:rPr>
                <w:rFonts w:eastAsia="等线"/>
                <w:szCs w:val="21"/>
              </w:rPr>
              <w:t>1.14</w:t>
            </w:r>
          </w:p>
        </w:tc>
        <w:tc>
          <w:tcPr>
            <w:tcW w:w="1859" w:type="dxa"/>
            <w:vAlign w:val="bottom"/>
          </w:tcPr>
          <w:p w:rsidR="006F3D3A" w:rsidRPr="00F9522B" w:rsidRDefault="006F3D3A" w:rsidP="00FE1542">
            <w:pPr>
              <w:spacing w:line="0" w:lineRule="atLeast"/>
              <w:jc w:val="center"/>
              <w:rPr>
                <w:rFonts w:eastAsia="等线"/>
                <w:szCs w:val="21"/>
              </w:rPr>
            </w:pPr>
            <w:r w:rsidRPr="00F9522B">
              <w:rPr>
                <w:rFonts w:eastAsia="等线"/>
                <w:szCs w:val="21"/>
              </w:rPr>
              <w:t>10.60</w:t>
            </w:r>
          </w:p>
        </w:tc>
      </w:tr>
      <w:tr w:rsidR="006F3D3A" w:rsidRPr="00F9522B" w:rsidTr="00FE1542">
        <w:tc>
          <w:tcPr>
            <w:tcW w:w="1143" w:type="dxa"/>
            <w:vMerge/>
            <w:vAlign w:val="center"/>
          </w:tcPr>
          <w:p w:rsidR="006F3D3A" w:rsidRPr="00F9522B" w:rsidRDefault="006F3D3A" w:rsidP="00FE1542">
            <w:pPr>
              <w:widowControl/>
              <w:spacing w:line="0" w:lineRule="atLeast"/>
              <w:contextualSpacing/>
              <w:jc w:val="center"/>
              <w:rPr>
                <w:rFonts w:eastAsiaTheme="minorEastAsia"/>
                <w:snapToGrid w:val="0"/>
                <w:szCs w:val="21"/>
              </w:rPr>
            </w:pPr>
          </w:p>
        </w:tc>
        <w:tc>
          <w:tcPr>
            <w:tcW w:w="2023" w:type="dxa"/>
            <w:vAlign w:val="center"/>
          </w:tcPr>
          <w:p w:rsidR="006F3D3A" w:rsidRPr="00F9522B" w:rsidRDefault="006F3D3A"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总计</w:t>
            </w:r>
          </w:p>
        </w:tc>
        <w:tc>
          <w:tcPr>
            <w:tcW w:w="1693" w:type="dxa"/>
            <w:vAlign w:val="bottom"/>
          </w:tcPr>
          <w:p w:rsidR="006F3D3A" w:rsidRPr="00F9522B" w:rsidRDefault="006F3D3A" w:rsidP="00FE1542">
            <w:pPr>
              <w:spacing w:line="0" w:lineRule="atLeast"/>
              <w:jc w:val="center"/>
              <w:rPr>
                <w:rFonts w:eastAsia="等线"/>
                <w:szCs w:val="21"/>
              </w:rPr>
            </w:pPr>
            <w:r w:rsidRPr="00F9522B">
              <w:rPr>
                <w:rFonts w:eastAsia="等线"/>
                <w:szCs w:val="21"/>
              </w:rPr>
              <w:t>596</w:t>
            </w:r>
          </w:p>
        </w:tc>
        <w:tc>
          <w:tcPr>
            <w:tcW w:w="1804" w:type="dxa"/>
            <w:vAlign w:val="bottom"/>
          </w:tcPr>
          <w:p w:rsidR="006F3D3A" w:rsidRPr="00F9522B" w:rsidRDefault="006F3D3A" w:rsidP="00FE1542">
            <w:pPr>
              <w:spacing w:line="0" w:lineRule="atLeast"/>
              <w:jc w:val="center"/>
              <w:rPr>
                <w:rFonts w:eastAsia="等线"/>
                <w:szCs w:val="21"/>
              </w:rPr>
            </w:pPr>
            <w:r w:rsidRPr="00F9522B">
              <w:rPr>
                <w:rFonts w:eastAsia="等线"/>
                <w:szCs w:val="21"/>
              </w:rPr>
              <w:t>10.79</w:t>
            </w:r>
          </w:p>
        </w:tc>
        <w:tc>
          <w:tcPr>
            <w:tcW w:w="1859" w:type="dxa"/>
            <w:vAlign w:val="bottom"/>
          </w:tcPr>
          <w:p w:rsidR="006F3D3A" w:rsidRPr="00F9522B" w:rsidRDefault="006F3D3A" w:rsidP="00FE1542">
            <w:pPr>
              <w:spacing w:line="0" w:lineRule="atLeast"/>
              <w:jc w:val="center"/>
              <w:rPr>
                <w:rFonts w:eastAsia="等线"/>
                <w:szCs w:val="21"/>
              </w:rPr>
            </w:pPr>
            <w:r w:rsidRPr="00F9522B">
              <w:rPr>
                <w:rFonts w:eastAsia="等线"/>
                <w:szCs w:val="21"/>
              </w:rPr>
              <w:t>100.00</w:t>
            </w:r>
          </w:p>
        </w:tc>
      </w:tr>
      <w:tr w:rsidR="00FE1542" w:rsidRPr="00F9522B" w:rsidTr="00FE1542">
        <w:tc>
          <w:tcPr>
            <w:tcW w:w="3166" w:type="dxa"/>
            <w:gridSpan w:val="2"/>
            <w:vAlign w:val="center"/>
          </w:tcPr>
          <w:p w:rsidR="00FE1542" w:rsidRPr="00F9522B" w:rsidRDefault="00FE1542" w:rsidP="00FE1542">
            <w:pPr>
              <w:snapToGrid w:val="0"/>
              <w:spacing w:line="0" w:lineRule="atLeast"/>
              <w:contextualSpacing/>
              <w:jc w:val="center"/>
              <w:rPr>
                <w:rFonts w:eastAsiaTheme="minorEastAsia"/>
                <w:snapToGrid w:val="0"/>
                <w:szCs w:val="21"/>
              </w:rPr>
            </w:pPr>
            <w:r w:rsidRPr="00F9522B">
              <w:rPr>
                <w:rFonts w:ascii="宋体" w:hAnsi="宋体" w:cs="宋体" w:hint="eastAsia"/>
                <w:szCs w:val="21"/>
              </w:rPr>
              <w:t>☆</w:t>
            </w:r>
            <w:r w:rsidRPr="00F9522B">
              <w:rPr>
                <w:rFonts w:eastAsiaTheme="minorEastAsia"/>
                <w:szCs w:val="21"/>
              </w:rPr>
              <w:t>02</w:t>
            </w:r>
            <w:r w:rsidRPr="00F9522B">
              <w:rPr>
                <w:rFonts w:eastAsiaTheme="minorEastAsia"/>
                <w:szCs w:val="21"/>
              </w:rPr>
              <w:t>监测点</w:t>
            </w:r>
          </w:p>
        </w:tc>
        <w:tc>
          <w:tcPr>
            <w:tcW w:w="1693" w:type="dxa"/>
            <w:vAlign w:val="center"/>
          </w:tcPr>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mg/L</w:t>
            </w:r>
          </w:p>
        </w:tc>
        <w:tc>
          <w:tcPr>
            <w:tcW w:w="1804" w:type="dxa"/>
            <w:vAlign w:val="center"/>
          </w:tcPr>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meq/L</w:t>
            </w:r>
          </w:p>
        </w:tc>
        <w:tc>
          <w:tcPr>
            <w:tcW w:w="1859" w:type="dxa"/>
            <w:vAlign w:val="center"/>
          </w:tcPr>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meq%</w:t>
            </w:r>
          </w:p>
        </w:tc>
      </w:tr>
      <w:tr w:rsidR="00FE1542" w:rsidRPr="00F9522B" w:rsidTr="00FE1542">
        <w:tc>
          <w:tcPr>
            <w:tcW w:w="1143" w:type="dxa"/>
            <w:vMerge w:val="restart"/>
            <w:vAlign w:val="center"/>
          </w:tcPr>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阳</w:t>
            </w:r>
          </w:p>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离</w:t>
            </w:r>
          </w:p>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子</w:t>
            </w:r>
          </w:p>
        </w:tc>
        <w:tc>
          <w:tcPr>
            <w:tcW w:w="2023" w:type="dxa"/>
            <w:vAlign w:val="center"/>
          </w:tcPr>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K</w:t>
            </w:r>
            <w:r w:rsidRPr="00F9522B">
              <w:rPr>
                <w:rFonts w:eastAsiaTheme="minorEastAsia"/>
                <w:snapToGrid w:val="0"/>
                <w:szCs w:val="21"/>
                <w:vertAlign w:val="superscript"/>
              </w:rPr>
              <w:t>+</w:t>
            </w:r>
            <w:r w:rsidRPr="00F9522B">
              <w:rPr>
                <w:rFonts w:eastAsiaTheme="minorEastAsia"/>
                <w:snapToGrid w:val="0"/>
                <w:szCs w:val="21"/>
              </w:rPr>
              <w:t>+Na</w:t>
            </w:r>
            <w:r w:rsidRPr="00F9522B">
              <w:rPr>
                <w:rFonts w:eastAsiaTheme="minorEastAsia"/>
                <w:snapToGrid w:val="0"/>
                <w:szCs w:val="21"/>
                <w:vertAlign w:val="superscript"/>
              </w:rPr>
              <w:t>+</w:t>
            </w:r>
          </w:p>
        </w:tc>
        <w:tc>
          <w:tcPr>
            <w:tcW w:w="1693"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10.92</w:t>
            </w:r>
          </w:p>
        </w:tc>
        <w:tc>
          <w:tcPr>
            <w:tcW w:w="1804"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0.46</w:t>
            </w:r>
          </w:p>
        </w:tc>
        <w:tc>
          <w:tcPr>
            <w:tcW w:w="1859"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5.23</w:t>
            </w:r>
          </w:p>
        </w:tc>
      </w:tr>
      <w:tr w:rsidR="00FE1542" w:rsidRPr="00F9522B" w:rsidTr="00FE1542">
        <w:tc>
          <w:tcPr>
            <w:tcW w:w="1143" w:type="dxa"/>
            <w:vMerge/>
            <w:vAlign w:val="center"/>
          </w:tcPr>
          <w:p w:rsidR="00FE1542" w:rsidRPr="00F9522B" w:rsidRDefault="00FE1542" w:rsidP="00FE1542">
            <w:pPr>
              <w:widowControl/>
              <w:spacing w:line="0" w:lineRule="atLeast"/>
              <w:contextualSpacing/>
              <w:jc w:val="center"/>
              <w:rPr>
                <w:rFonts w:eastAsiaTheme="minorEastAsia"/>
                <w:snapToGrid w:val="0"/>
                <w:szCs w:val="21"/>
              </w:rPr>
            </w:pPr>
          </w:p>
        </w:tc>
        <w:tc>
          <w:tcPr>
            <w:tcW w:w="2023" w:type="dxa"/>
            <w:vAlign w:val="center"/>
          </w:tcPr>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Ca</w:t>
            </w:r>
            <w:r w:rsidRPr="00F9522B">
              <w:rPr>
                <w:rFonts w:eastAsiaTheme="minorEastAsia"/>
                <w:snapToGrid w:val="0"/>
                <w:szCs w:val="21"/>
                <w:vertAlign w:val="superscript"/>
              </w:rPr>
              <w:t>2+</w:t>
            </w:r>
          </w:p>
        </w:tc>
        <w:tc>
          <w:tcPr>
            <w:tcW w:w="1693"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102.7</w:t>
            </w:r>
          </w:p>
        </w:tc>
        <w:tc>
          <w:tcPr>
            <w:tcW w:w="1804"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5.14</w:t>
            </w:r>
          </w:p>
        </w:tc>
        <w:tc>
          <w:tcPr>
            <w:tcW w:w="1859"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58.86</w:t>
            </w:r>
          </w:p>
        </w:tc>
      </w:tr>
      <w:tr w:rsidR="00FE1542" w:rsidRPr="00F9522B" w:rsidTr="00FE1542">
        <w:tc>
          <w:tcPr>
            <w:tcW w:w="1143" w:type="dxa"/>
            <w:vMerge/>
            <w:vAlign w:val="center"/>
          </w:tcPr>
          <w:p w:rsidR="00FE1542" w:rsidRPr="00F9522B" w:rsidRDefault="00FE1542" w:rsidP="00FE1542">
            <w:pPr>
              <w:widowControl/>
              <w:spacing w:line="0" w:lineRule="atLeast"/>
              <w:contextualSpacing/>
              <w:jc w:val="center"/>
              <w:rPr>
                <w:rFonts w:eastAsiaTheme="minorEastAsia"/>
                <w:snapToGrid w:val="0"/>
                <w:szCs w:val="21"/>
              </w:rPr>
            </w:pPr>
          </w:p>
        </w:tc>
        <w:tc>
          <w:tcPr>
            <w:tcW w:w="2023" w:type="dxa"/>
            <w:vAlign w:val="center"/>
          </w:tcPr>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Mg</w:t>
            </w:r>
            <w:r w:rsidRPr="00F9522B">
              <w:rPr>
                <w:rFonts w:eastAsiaTheme="minorEastAsia"/>
                <w:snapToGrid w:val="0"/>
                <w:szCs w:val="21"/>
                <w:vertAlign w:val="superscript"/>
              </w:rPr>
              <w:t>2+</w:t>
            </w:r>
          </w:p>
        </w:tc>
        <w:tc>
          <w:tcPr>
            <w:tcW w:w="1693"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37.6</w:t>
            </w:r>
          </w:p>
        </w:tc>
        <w:tc>
          <w:tcPr>
            <w:tcW w:w="1804"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3.13</w:t>
            </w:r>
          </w:p>
        </w:tc>
        <w:tc>
          <w:tcPr>
            <w:tcW w:w="1859"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35.91</w:t>
            </w:r>
          </w:p>
        </w:tc>
      </w:tr>
      <w:tr w:rsidR="00FE1542" w:rsidRPr="00F9522B" w:rsidTr="00FE1542">
        <w:tc>
          <w:tcPr>
            <w:tcW w:w="1143" w:type="dxa"/>
            <w:vMerge/>
            <w:vAlign w:val="center"/>
          </w:tcPr>
          <w:p w:rsidR="00FE1542" w:rsidRPr="00F9522B" w:rsidRDefault="00FE1542" w:rsidP="00FE1542">
            <w:pPr>
              <w:widowControl/>
              <w:spacing w:line="0" w:lineRule="atLeast"/>
              <w:contextualSpacing/>
              <w:jc w:val="center"/>
              <w:rPr>
                <w:rFonts w:eastAsiaTheme="minorEastAsia"/>
                <w:snapToGrid w:val="0"/>
                <w:szCs w:val="21"/>
              </w:rPr>
            </w:pPr>
          </w:p>
        </w:tc>
        <w:tc>
          <w:tcPr>
            <w:tcW w:w="2023" w:type="dxa"/>
            <w:vAlign w:val="center"/>
          </w:tcPr>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总计</w:t>
            </w:r>
          </w:p>
        </w:tc>
        <w:tc>
          <w:tcPr>
            <w:tcW w:w="1693"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151.22</w:t>
            </w:r>
          </w:p>
        </w:tc>
        <w:tc>
          <w:tcPr>
            <w:tcW w:w="1804"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8.72</w:t>
            </w:r>
          </w:p>
        </w:tc>
        <w:tc>
          <w:tcPr>
            <w:tcW w:w="1859"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100.00</w:t>
            </w:r>
          </w:p>
        </w:tc>
      </w:tr>
      <w:tr w:rsidR="00FE1542" w:rsidRPr="00F9522B" w:rsidTr="00FE1542">
        <w:tc>
          <w:tcPr>
            <w:tcW w:w="1143" w:type="dxa"/>
            <w:vMerge w:val="restart"/>
            <w:vAlign w:val="center"/>
          </w:tcPr>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阴</w:t>
            </w:r>
          </w:p>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离</w:t>
            </w:r>
          </w:p>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子</w:t>
            </w:r>
          </w:p>
        </w:tc>
        <w:tc>
          <w:tcPr>
            <w:tcW w:w="2023" w:type="dxa"/>
            <w:vAlign w:val="center"/>
          </w:tcPr>
          <w:p w:rsidR="00FE1542" w:rsidRPr="00F9522B" w:rsidRDefault="00FE1542" w:rsidP="00FE1542">
            <w:pPr>
              <w:snapToGrid w:val="0"/>
              <w:spacing w:line="0" w:lineRule="atLeast"/>
              <w:contextualSpacing/>
              <w:jc w:val="center"/>
              <w:rPr>
                <w:rFonts w:eastAsiaTheme="minorEastAsia"/>
                <w:snapToGrid w:val="0"/>
                <w:szCs w:val="21"/>
                <w:vertAlign w:val="superscript"/>
              </w:rPr>
            </w:pPr>
            <w:r w:rsidRPr="00F9522B">
              <w:rPr>
                <w:rFonts w:eastAsiaTheme="minorEastAsia"/>
                <w:snapToGrid w:val="0"/>
                <w:szCs w:val="21"/>
              </w:rPr>
              <w:t>HCO</w:t>
            </w:r>
            <w:r w:rsidRPr="00F9522B">
              <w:rPr>
                <w:rFonts w:eastAsiaTheme="minorEastAsia"/>
                <w:snapToGrid w:val="0"/>
                <w:szCs w:val="21"/>
                <w:vertAlign w:val="subscript"/>
              </w:rPr>
              <w:t>3</w:t>
            </w:r>
            <w:r w:rsidRPr="00F9522B">
              <w:rPr>
                <w:rFonts w:eastAsiaTheme="minorEastAsia"/>
                <w:snapToGrid w:val="0"/>
                <w:szCs w:val="21"/>
                <w:vertAlign w:val="superscript"/>
              </w:rPr>
              <w:t>-</w:t>
            </w:r>
          </w:p>
        </w:tc>
        <w:tc>
          <w:tcPr>
            <w:tcW w:w="1693"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493</w:t>
            </w:r>
          </w:p>
        </w:tc>
        <w:tc>
          <w:tcPr>
            <w:tcW w:w="1804"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8.08</w:t>
            </w:r>
          </w:p>
        </w:tc>
        <w:tc>
          <w:tcPr>
            <w:tcW w:w="1859"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91.34</w:t>
            </w:r>
          </w:p>
        </w:tc>
      </w:tr>
      <w:tr w:rsidR="00FE1542" w:rsidRPr="00F9522B" w:rsidTr="00FE1542">
        <w:tc>
          <w:tcPr>
            <w:tcW w:w="1143" w:type="dxa"/>
            <w:vMerge/>
            <w:vAlign w:val="center"/>
          </w:tcPr>
          <w:p w:rsidR="00FE1542" w:rsidRPr="00F9522B" w:rsidRDefault="00FE1542" w:rsidP="00FE1542">
            <w:pPr>
              <w:widowControl/>
              <w:spacing w:line="0" w:lineRule="atLeast"/>
              <w:contextualSpacing/>
              <w:jc w:val="center"/>
              <w:rPr>
                <w:rFonts w:eastAsiaTheme="minorEastAsia"/>
                <w:snapToGrid w:val="0"/>
                <w:szCs w:val="21"/>
              </w:rPr>
            </w:pPr>
          </w:p>
        </w:tc>
        <w:tc>
          <w:tcPr>
            <w:tcW w:w="2023" w:type="dxa"/>
            <w:vAlign w:val="center"/>
          </w:tcPr>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Cl</w:t>
            </w:r>
            <w:r w:rsidRPr="00F9522B">
              <w:rPr>
                <w:rFonts w:eastAsiaTheme="minorEastAsia"/>
                <w:snapToGrid w:val="0"/>
                <w:szCs w:val="21"/>
                <w:vertAlign w:val="superscript"/>
              </w:rPr>
              <w:t>-</w:t>
            </w:r>
          </w:p>
        </w:tc>
        <w:tc>
          <w:tcPr>
            <w:tcW w:w="1693"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18.7</w:t>
            </w:r>
          </w:p>
        </w:tc>
        <w:tc>
          <w:tcPr>
            <w:tcW w:w="1804"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0.53</w:t>
            </w:r>
          </w:p>
        </w:tc>
        <w:tc>
          <w:tcPr>
            <w:tcW w:w="1859"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5.95</w:t>
            </w:r>
          </w:p>
        </w:tc>
      </w:tr>
      <w:tr w:rsidR="00FE1542" w:rsidRPr="00F9522B" w:rsidTr="00FE1542">
        <w:tc>
          <w:tcPr>
            <w:tcW w:w="1143" w:type="dxa"/>
            <w:vMerge/>
            <w:vAlign w:val="center"/>
          </w:tcPr>
          <w:p w:rsidR="00FE1542" w:rsidRPr="00F9522B" w:rsidRDefault="00FE1542" w:rsidP="00FE1542">
            <w:pPr>
              <w:widowControl/>
              <w:spacing w:line="0" w:lineRule="atLeast"/>
              <w:contextualSpacing/>
              <w:jc w:val="center"/>
              <w:rPr>
                <w:rFonts w:eastAsiaTheme="minorEastAsia"/>
                <w:snapToGrid w:val="0"/>
                <w:szCs w:val="21"/>
              </w:rPr>
            </w:pPr>
          </w:p>
        </w:tc>
        <w:tc>
          <w:tcPr>
            <w:tcW w:w="2023" w:type="dxa"/>
            <w:vAlign w:val="center"/>
          </w:tcPr>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SO</w:t>
            </w:r>
            <w:r w:rsidRPr="00F9522B">
              <w:rPr>
                <w:rFonts w:eastAsiaTheme="minorEastAsia"/>
                <w:snapToGrid w:val="0"/>
                <w:szCs w:val="21"/>
                <w:vertAlign w:val="subscript"/>
              </w:rPr>
              <w:t>4</w:t>
            </w:r>
            <w:r w:rsidRPr="00F9522B">
              <w:rPr>
                <w:rFonts w:eastAsiaTheme="minorEastAsia"/>
                <w:snapToGrid w:val="0"/>
                <w:szCs w:val="21"/>
                <w:vertAlign w:val="superscript"/>
              </w:rPr>
              <w:t>2-</w:t>
            </w:r>
          </w:p>
        </w:tc>
        <w:tc>
          <w:tcPr>
            <w:tcW w:w="1693"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11.5</w:t>
            </w:r>
          </w:p>
        </w:tc>
        <w:tc>
          <w:tcPr>
            <w:tcW w:w="1804"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0.24</w:t>
            </w:r>
          </w:p>
        </w:tc>
        <w:tc>
          <w:tcPr>
            <w:tcW w:w="1859"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2.71</w:t>
            </w:r>
          </w:p>
        </w:tc>
      </w:tr>
      <w:tr w:rsidR="00FE1542" w:rsidRPr="00F9522B" w:rsidTr="00FE1542">
        <w:tc>
          <w:tcPr>
            <w:tcW w:w="1143" w:type="dxa"/>
            <w:vMerge/>
            <w:vAlign w:val="center"/>
          </w:tcPr>
          <w:p w:rsidR="00FE1542" w:rsidRPr="00F9522B" w:rsidRDefault="00FE1542" w:rsidP="00FE1542">
            <w:pPr>
              <w:widowControl/>
              <w:spacing w:line="0" w:lineRule="atLeast"/>
              <w:contextualSpacing/>
              <w:jc w:val="center"/>
              <w:rPr>
                <w:rFonts w:eastAsiaTheme="minorEastAsia"/>
                <w:snapToGrid w:val="0"/>
                <w:szCs w:val="21"/>
              </w:rPr>
            </w:pPr>
          </w:p>
        </w:tc>
        <w:tc>
          <w:tcPr>
            <w:tcW w:w="2023" w:type="dxa"/>
            <w:vAlign w:val="center"/>
          </w:tcPr>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总计</w:t>
            </w:r>
          </w:p>
        </w:tc>
        <w:tc>
          <w:tcPr>
            <w:tcW w:w="1693"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523.2</w:t>
            </w:r>
          </w:p>
        </w:tc>
        <w:tc>
          <w:tcPr>
            <w:tcW w:w="1804"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8.85</w:t>
            </w:r>
          </w:p>
        </w:tc>
        <w:tc>
          <w:tcPr>
            <w:tcW w:w="1859"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100.00</w:t>
            </w:r>
          </w:p>
        </w:tc>
      </w:tr>
      <w:tr w:rsidR="00FE1542" w:rsidRPr="00F9522B" w:rsidTr="00FE1542">
        <w:tc>
          <w:tcPr>
            <w:tcW w:w="3166" w:type="dxa"/>
            <w:gridSpan w:val="2"/>
            <w:vAlign w:val="center"/>
          </w:tcPr>
          <w:p w:rsidR="00FE1542" w:rsidRPr="00F9522B" w:rsidRDefault="00FE1542" w:rsidP="00FE1542">
            <w:pPr>
              <w:snapToGrid w:val="0"/>
              <w:spacing w:line="0" w:lineRule="atLeast"/>
              <w:contextualSpacing/>
              <w:jc w:val="center"/>
              <w:rPr>
                <w:rFonts w:eastAsiaTheme="minorEastAsia"/>
                <w:snapToGrid w:val="0"/>
                <w:szCs w:val="21"/>
              </w:rPr>
            </w:pPr>
            <w:r w:rsidRPr="00F9522B">
              <w:rPr>
                <w:rFonts w:ascii="宋体" w:hAnsi="宋体" w:cs="宋体" w:hint="eastAsia"/>
                <w:szCs w:val="21"/>
              </w:rPr>
              <w:t>☆</w:t>
            </w:r>
            <w:r w:rsidRPr="00F9522B">
              <w:rPr>
                <w:rFonts w:eastAsiaTheme="minorEastAsia"/>
                <w:szCs w:val="21"/>
              </w:rPr>
              <w:t>03</w:t>
            </w:r>
            <w:r w:rsidRPr="00F9522B">
              <w:rPr>
                <w:rFonts w:eastAsiaTheme="minorEastAsia"/>
                <w:szCs w:val="21"/>
              </w:rPr>
              <w:t>监测点</w:t>
            </w:r>
          </w:p>
        </w:tc>
        <w:tc>
          <w:tcPr>
            <w:tcW w:w="1693" w:type="dxa"/>
            <w:vAlign w:val="center"/>
          </w:tcPr>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mg/L</w:t>
            </w:r>
          </w:p>
        </w:tc>
        <w:tc>
          <w:tcPr>
            <w:tcW w:w="1804" w:type="dxa"/>
            <w:vAlign w:val="center"/>
          </w:tcPr>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meq/L</w:t>
            </w:r>
          </w:p>
        </w:tc>
        <w:tc>
          <w:tcPr>
            <w:tcW w:w="1859" w:type="dxa"/>
            <w:vAlign w:val="center"/>
          </w:tcPr>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meq%</w:t>
            </w:r>
          </w:p>
        </w:tc>
      </w:tr>
      <w:tr w:rsidR="00FE1542" w:rsidRPr="00F9522B" w:rsidTr="00FE1542">
        <w:trPr>
          <w:trHeight w:val="77"/>
        </w:trPr>
        <w:tc>
          <w:tcPr>
            <w:tcW w:w="1143" w:type="dxa"/>
            <w:vMerge w:val="restart"/>
            <w:vAlign w:val="center"/>
          </w:tcPr>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阳</w:t>
            </w:r>
          </w:p>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离</w:t>
            </w:r>
          </w:p>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子</w:t>
            </w:r>
          </w:p>
        </w:tc>
        <w:tc>
          <w:tcPr>
            <w:tcW w:w="2023" w:type="dxa"/>
            <w:vAlign w:val="center"/>
          </w:tcPr>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K</w:t>
            </w:r>
            <w:r w:rsidRPr="00F9522B">
              <w:rPr>
                <w:rFonts w:eastAsiaTheme="minorEastAsia"/>
                <w:snapToGrid w:val="0"/>
                <w:szCs w:val="21"/>
                <w:vertAlign w:val="superscript"/>
              </w:rPr>
              <w:t>+</w:t>
            </w:r>
            <w:r w:rsidRPr="00F9522B">
              <w:rPr>
                <w:rFonts w:eastAsiaTheme="minorEastAsia"/>
                <w:snapToGrid w:val="0"/>
                <w:szCs w:val="21"/>
              </w:rPr>
              <w:t>+Na</w:t>
            </w:r>
            <w:r w:rsidRPr="00F9522B">
              <w:rPr>
                <w:rFonts w:eastAsiaTheme="minorEastAsia"/>
                <w:snapToGrid w:val="0"/>
                <w:szCs w:val="21"/>
                <w:vertAlign w:val="superscript"/>
              </w:rPr>
              <w:t>+</w:t>
            </w:r>
          </w:p>
        </w:tc>
        <w:tc>
          <w:tcPr>
            <w:tcW w:w="1693"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18.61</w:t>
            </w:r>
          </w:p>
        </w:tc>
        <w:tc>
          <w:tcPr>
            <w:tcW w:w="1804"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0.79</w:t>
            </w:r>
          </w:p>
        </w:tc>
        <w:tc>
          <w:tcPr>
            <w:tcW w:w="1859"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9.45</w:t>
            </w:r>
          </w:p>
        </w:tc>
      </w:tr>
      <w:tr w:rsidR="00FE1542" w:rsidRPr="00F9522B" w:rsidTr="00FE1542">
        <w:tc>
          <w:tcPr>
            <w:tcW w:w="1143" w:type="dxa"/>
            <w:vMerge/>
            <w:vAlign w:val="center"/>
          </w:tcPr>
          <w:p w:rsidR="00FE1542" w:rsidRPr="00F9522B" w:rsidRDefault="00FE1542" w:rsidP="00FE1542">
            <w:pPr>
              <w:widowControl/>
              <w:spacing w:line="0" w:lineRule="atLeast"/>
              <w:contextualSpacing/>
              <w:jc w:val="center"/>
              <w:rPr>
                <w:rFonts w:eastAsiaTheme="minorEastAsia"/>
                <w:snapToGrid w:val="0"/>
                <w:szCs w:val="21"/>
              </w:rPr>
            </w:pPr>
          </w:p>
        </w:tc>
        <w:tc>
          <w:tcPr>
            <w:tcW w:w="2023" w:type="dxa"/>
            <w:vAlign w:val="center"/>
          </w:tcPr>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Ca</w:t>
            </w:r>
            <w:r w:rsidRPr="00F9522B">
              <w:rPr>
                <w:rFonts w:eastAsiaTheme="minorEastAsia"/>
                <w:snapToGrid w:val="0"/>
                <w:szCs w:val="21"/>
                <w:vertAlign w:val="superscript"/>
              </w:rPr>
              <w:t>2+</w:t>
            </w:r>
          </w:p>
        </w:tc>
        <w:tc>
          <w:tcPr>
            <w:tcW w:w="1693"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67.3</w:t>
            </w:r>
          </w:p>
        </w:tc>
        <w:tc>
          <w:tcPr>
            <w:tcW w:w="1804"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3.37</w:t>
            </w:r>
          </w:p>
        </w:tc>
        <w:tc>
          <w:tcPr>
            <w:tcW w:w="1859"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40.19</w:t>
            </w:r>
          </w:p>
        </w:tc>
      </w:tr>
      <w:tr w:rsidR="00FE1542" w:rsidRPr="00F9522B" w:rsidTr="00FE1542">
        <w:tc>
          <w:tcPr>
            <w:tcW w:w="1143" w:type="dxa"/>
            <w:vMerge/>
            <w:vAlign w:val="center"/>
          </w:tcPr>
          <w:p w:rsidR="00FE1542" w:rsidRPr="00F9522B" w:rsidRDefault="00FE1542" w:rsidP="00FE1542">
            <w:pPr>
              <w:widowControl/>
              <w:spacing w:line="0" w:lineRule="atLeast"/>
              <w:contextualSpacing/>
              <w:jc w:val="center"/>
              <w:rPr>
                <w:rFonts w:eastAsiaTheme="minorEastAsia"/>
                <w:snapToGrid w:val="0"/>
                <w:szCs w:val="21"/>
              </w:rPr>
            </w:pPr>
          </w:p>
        </w:tc>
        <w:tc>
          <w:tcPr>
            <w:tcW w:w="2023" w:type="dxa"/>
            <w:vAlign w:val="center"/>
          </w:tcPr>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Mg</w:t>
            </w:r>
            <w:r w:rsidRPr="00F9522B">
              <w:rPr>
                <w:rFonts w:eastAsiaTheme="minorEastAsia"/>
                <w:snapToGrid w:val="0"/>
                <w:szCs w:val="21"/>
                <w:vertAlign w:val="superscript"/>
              </w:rPr>
              <w:t>2+</w:t>
            </w:r>
          </w:p>
        </w:tc>
        <w:tc>
          <w:tcPr>
            <w:tcW w:w="1693"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50.6</w:t>
            </w:r>
          </w:p>
        </w:tc>
        <w:tc>
          <w:tcPr>
            <w:tcW w:w="1804"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4.22</w:t>
            </w:r>
          </w:p>
        </w:tc>
        <w:tc>
          <w:tcPr>
            <w:tcW w:w="1859"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50.36</w:t>
            </w:r>
          </w:p>
        </w:tc>
      </w:tr>
      <w:tr w:rsidR="00FE1542" w:rsidRPr="00F9522B" w:rsidTr="00FE1542">
        <w:tc>
          <w:tcPr>
            <w:tcW w:w="1143" w:type="dxa"/>
            <w:vMerge/>
            <w:vAlign w:val="center"/>
          </w:tcPr>
          <w:p w:rsidR="00FE1542" w:rsidRPr="00F9522B" w:rsidRDefault="00FE1542" w:rsidP="00FE1542">
            <w:pPr>
              <w:widowControl/>
              <w:spacing w:line="0" w:lineRule="atLeast"/>
              <w:contextualSpacing/>
              <w:jc w:val="center"/>
              <w:rPr>
                <w:rFonts w:eastAsiaTheme="minorEastAsia"/>
                <w:snapToGrid w:val="0"/>
                <w:szCs w:val="21"/>
              </w:rPr>
            </w:pPr>
          </w:p>
        </w:tc>
        <w:tc>
          <w:tcPr>
            <w:tcW w:w="2023" w:type="dxa"/>
            <w:vAlign w:val="center"/>
          </w:tcPr>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总计</w:t>
            </w:r>
          </w:p>
        </w:tc>
        <w:tc>
          <w:tcPr>
            <w:tcW w:w="1693"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136.51</w:t>
            </w:r>
          </w:p>
        </w:tc>
        <w:tc>
          <w:tcPr>
            <w:tcW w:w="1804"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8.37</w:t>
            </w:r>
          </w:p>
        </w:tc>
        <w:tc>
          <w:tcPr>
            <w:tcW w:w="1859"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100.00</w:t>
            </w:r>
          </w:p>
        </w:tc>
      </w:tr>
      <w:tr w:rsidR="00FE1542" w:rsidRPr="00F9522B" w:rsidTr="00FE1542">
        <w:tc>
          <w:tcPr>
            <w:tcW w:w="1143" w:type="dxa"/>
            <w:vMerge w:val="restart"/>
            <w:vAlign w:val="center"/>
          </w:tcPr>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阴</w:t>
            </w:r>
          </w:p>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离</w:t>
            </w:r>
          </w:p>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子</w:t>
            </w:r>
          </w:p>
        </w:tc>
        <w:tc>
          <w:tcPr>
            <w:tcW w:w="2023" w:type="dxa"/>
            <w:vAlign w:val="center"/>
          </w:tcPr>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HCO</w:t>
            </w:r>
            <w:r w:rsidRPr="00F9522B">
              <w:rPr>
                <w:rFonts w:eastAsiaTheme="minorEastAsia"/>
                <w:snapToGrid w:val="0"/>
                <w:szCs w:val="21"/>
                <w:vertAlign w:val="subscript"/>
              </w:rPr>
              <w:t>3</w:t>
            </w:r>
            <w:r w:rsidRPr="00F9522B">
              <w:rPr>
                <w:rFonts w:eastAsiaTheme="minorEastAsia"/>
                <w:snapToGrid w:val="0"/>
                <w:szCs w:val="21"/>
                <w:vertAlign w:val="superscript"/>
              </w:rPr>
              <w:t>-</w:t>
            </w:r>
          </w:p>
        </w:tc>
        <w:tc>
          <w:tcPr>
            <w:tcW w:w="1693"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310</w:t>
            </w:r>
          </w:p>
        </w:tc>
        <w:tc>
          <w:tcPr>
            <w:tcW w:w="1804"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5.08</w:t>
            </w:r>
          </w:p>
        </w:tc>
        <w:tc>
          <w:tcPr>
            <w:tcW w:w="1859"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60.18</w:t>
            </w:r>
          </w:p>
        </w:tc>
      </w:tr>
      <w:tr w:rsidR="00FE1542" w:rsidRPr="00F9522B" w:rsidTr="00FE1542">
        <w:tc>
          <w:tcPr>
            <w:tcW w:w="1143" w:type="dxa"/>
            <w:vMerge/>
            <w:vAlign w:val="center"/>
          </w:tcPr>
          <w:p w:rsidR="00FE1542" w:rsidRPr="00F9522B" w:rsidRDefault="00FE1542" w:rsidP="00FE1542">
            <w:pPr>
              <w:widowControl/>
              <w:spacing w:line="0" w:lineRule="atLeast"/>
              <w:contextualSpacing/>
              <w:jc w:val="center"/>
              <w:rPr>
                <w:rFonts w:eastAsiaTheme="minorEastAsia"/>
                <w:snapToGrid w:val="0"/>
                <w:szCs w:val="21"/>
              </w:rPr>
            </w:pPr>
          </w:p>
        </w:tc>
        <w:tc>
          <w:tcPr>
            <w:tcW w:w="2023" w:type="dxa"/>
            <w:vAlign w:val="center"/>
          </w:tcPr>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Cl</w:t>
            </w:r>
            <w:r w:rsidRPr="00F9522B">
              <w:rPr>
                <w:rFonts w:eastAsiaTheme="minorEastAsia"/>
                <w:snapToGrid w:val="0"/>
                <w:szCs w:val="21"/>
                <w:vertAlign w:val="superscript"/>
              </w:rPr>
              <w:t>-</w:t>
            </w:r>
          </w:p>
        </w:tc>
        <w:tc>
          <w:tcPr>
            <w:tcW w:w="1693"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73.5</w:t>
            </w:r>
          </w:p>
        </w:tc>
        <w:tc>
          <w:tcPr>
            <w:tcW w:w="1804"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2.07</w:t>
            </w:r>
          </w:p>
        </w:tc>
        <w:tc>
          <w:tcPr>
            <w:tcW w:w="1859"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24.52</w:t>
            </w:r>
          </w:p>
        </w:tc>
      </w:tr>
      <w:tr w:rsidR="00FE1542" w:rsidRPr="00F9522B" w:rsidTr="00FE1542">
        <w:tc>
          <w:tcPr>
            <w:tcW w:w="1143" w:type="dxa"/>
            <w:vMerge/>
            <w:vAlign w:val="center"/>
          </w:tcPr>
          <w:p w:rsidR="00FE1542" w:rsidRPr="00F9522B" w:rsidRDefault="00FE1542" w:rsidP="00FE1542">
            <w:pPr>
              <w:widowControl/>
              <w:spacing w:line="0" w:lineRule="atLeast"/>
              <w:contextualSpacing/>
              <w:jc w:val="center"/>
              <w:rPr>
                <w:rFonts w:eastAsiaTheme="minorEastAsia"/>
                <w:snapToGrid w:val="0"/>
                <w:szCs w:val="21"/>
              </w:rPr>
            </w:pPr>
          </w:p>
        </w:tc>
        <w:tc>
          <w:tcPr>
            <w:tcW w:w="2023" w:type="dxa"/>
            <w:vAlign w:val="center"/>
          </w:tcPr>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SO</w:t>
            </w:r>
            <w:r w:rsidRPr="00F9522B">
              <w:rPr>
                <w:rFonts w:eastAsiaTheme="minorEastAsia"/>
                <w:snapToGrid w:val="0"/>
                <w:szCs w:val="21"/>
                <w:vertAlign w:val="subscript"/>
              </w:rPr>
              <w:t>4</w:t>
            </w:r>
            <w:r w:rsidRPr="00F9522B">
              <w:rPr>
                <w:rFonts w:eastAsiaTheme="minorEastAsia"/>
                <w:snapToGrid w:val="0"/>
                <w:szCs w:val="21"/>
                <w:vertAlign w:val="superscript"/>
              </w:rPr>
              <w:t>2-</w:t>
            </w:r>
          </w:p>
        </w:tc>
        <w:tc>
          <w:tcPr>
            <w:tcW w:w="1693"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62</w:t>
            </w:r>
          </w:p>
        </w:tc>
        <w:tc>
          <w:tcPr>
            <w:tcW w:w="1804"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1.29</w:t>
            </w:r>
          </w:p>
        </w:tc>
        <w:tc>
          <w:tcPr>
            <w:tcW w:w="1859"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15.30</w:t>
            </w:r>
          </w:p>
        </w:tc>
      </w:tr>
      <w:tr w:rsidR="00FE1542" w:rsidRPr="00F9522B" w:rsidTr="00FE1542">
        <w:trPr>
          <w:trHeight w:val="261"/>
        </w:trPr>
        <w:tc>
          <w:tcPr>
            <w:tcW w:w="1143" w:type="dxa"/>
            <w:vMerge/>
            <w:vAlign w:val="center"/>
          </w:tcPr>
          <w:p w:rsidR="00FE1542" w:rsidRPr="00F9522B" w:rsidRDefault="00FE1542" w:rsidP="00FE1542">
            <w:pPr>
              <w:widowControl/>
              <w:spacing w:line="0" w:lineRule="atLeast"/>
              <w:contextualSpacing/>
              <w:jc w:val="center"/>
              <w:rPr>
                <w:rFonts w:eastAsiaTheme="minorEastAsia"/>
                <w:snapToGrid w:val="0"/>
                <w:szCs w:val="21"/>
              </w:rPr>
            </w:pPr>
          </w:p>
        </w:tc>
        <w:tc>
          <w:tcPr>
            <w:tcW w:w="2023" w:type="dxa"/>
            <w:vAlign w:val="center"/>
          </w:tcPr>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总计</w:t>
            </w:r>
          </w:p>
        </w:tc>
        <w:tc>
          <w:tcPr>
            <w:tcW w:w="1693"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445.5</w:t>
            </w:r>
          </w:p>
        </w:tc>
        <w:tc>
          <w:tcPr>
            <w:tcW w:w="1804"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8.44</w:t>
            </w:r>
          </w:p>
        </w:tc>
        <w:tc>
          <w:tcPr>
            <w:tcW w:w="1859"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100.00</w:t>
            </w:r>
          </w:p>
        </w:tc>
      </w:tr>
      <w:tr w:rsidR="00FE1542" w:rsidRPr="00F9522B" w:rsidTr="00FE1542">
        <w:tc>
          <w:tcPr>
            <w:tcW w:w="3166" w:type="dxa"/>
            <w:gridSpan w:val="2"/>
            <w:vAlign w:val="center"/>
          </w:tcPr>
          <w:p w:rsidR="00FE1542" w:rsidRPr="00F9522B" w:rsidRDefault="00FE1542" w:rsidP="00FE1542">
            <w:pPr>
              <w:snapToGrid w:val="0"/>
              <w:spacing w:line="0" w:lineRule="atLeast"/>
              <w:contextualSpacing/>
              <w:jc w:val="center"/>
              <w:rPr>
                <w:rFonts w:eastAsiaTheme="minorEastAsia"/>
                <w:snapToGrid w:val="0"/>
                <w:szCs w:val="21"/>
              </w:rPr>
            </w:pPr>
            <w:r w:rsidRPr="00F9522B">
              <w:rPr>
                <w:rFonts w:ascii="宋体" w:hAnsi="宋体" w:cs="宋体" w:hint="eastAsia"/>
                <w:szCs w:val="21"/>
              </w:rPr>
              <w:t>☆</w:t>
            </w:r>
            <w:r w:rsidRPr="00F9522B">
              <w:rPr>
                <w:rFonts w:eastAsiaTheme="minorEastAsia"/>
                <w:szCs w:val="21"/>
              </w:rPr>
              <w:t>04</w:t>
            </w:r>
            <w:r w:rsidRPr="00F9522B">
              <w:rPr>
                <w:rFonts w:eastAsiaTheme="minorEastAsia"/>
                <w:szCs w:val="21"/>
              </w:rPr>
              <w:t>监测点</w:t>
            </w:r>
          </w:p>
        </w:tc>
        <w:tc>
          <w:tcPr>
            <w:tcW w:w="1693" w:type="dxa"/>
            <w:vAlign w:val="center"/>
          </w:tcPr>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mg/L</w:t>
            </w:r>
          </w:p>
        </w:tc>
        <w:tc>
          <w:tcPr>
            <w:tcW w:w="1804" w:type="dxa"/>
            <w:vAlign w:val="center"/>
          </w:tcPr>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meq/L</w:t>
            </w:r>
          </w:p>
        </w:tc>
        <w:tc>
          <w:tcPr>
            <w:tcW w:w="1859" w:type="dxa"/>
            <w:vAlign w:val="center"/>
          </w:tcPr>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meq%</w:t>
            </w:r>
          </w:p>
        </w:tc>
      </w:tr>
      <w:tr w:rsidR="00FE1542" w:rsidRPr="00F9522B" w:rsidTr="00FE1542">
        <w:trPr>
          <w:trHeight w:val="77"/>
        </w:trPr>
        <w:tc>
          <w:tcPr>
            <w:tcW w:w="1143" w:type="dxa"/>
            <w:vMerge w:val="restart"/>
            <w:vAlign w:val="center"/>
          </w:tcPr>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阳</w:t>
            </w:r>
          </w:p>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离</w:t>
            </w:r>
          </w:p>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子</w:t>
            </w:r>
          </w:p>
        </w:tc>
        <w:tc>
          <w:tcPr>
            <w:tcW w:w="2023" w:type="dxa"/>
            <w:vAlign w:val="center"/>
          </w:tcPr>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K</w:t>
            </w:r>
            <w:r w:rsidRPr="00F9522B">
              <w:rPr>
                <w:rFonts w:eastAsiaTheme="minorEastAsia"/>
                <w:snapToGrid w:val="0"/>
                <w:szCs w:val="21"/>
                <w:vertAlign w:val="superscript"/>
              </w:rPr>
              <w:t>+</w:t>
            </w:r>
            <w:r w:rsidRPr="00F9522B">
              <w:rPr>
                <w:rFonts w:eastAsiaTheme="minorEastAsia"/>
                <w:snapToGrid w:val="0"/>
                <w:szCs w:val="21"/>
              </w:rPr>
              <w:t>+Na</w:t>
            </w:r>
            <w:r w:rsidRPr="00F9522B">
              <w:rPr>
                <w:rFonts w:eastAsiaTheme="minorEastAsia"/>
                <w:snapToGrid w:val="0"/>
                <w:szCs w:val="21"/>
                <w:vertAlign w:val="superscript"/>
              </w:rPr>
              <w:t>+</w:t>
            </w:r>
          </w:p>
        </w:tc>
        <w:tc>
          <w:tcPr>
            <w:tcW w:w="1693"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15.18</w:t>
            </w:r>
          </w:p>
        </w:tc>
        <w:tc>
          <w:tcPr>
            <w:tcW w:w="1804"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0.64</w:t>
            </w:r>
          </w:p>
        </w:tc>
        <w:tc>
          <w:tcPr>
            <w:tcW w:w="1859"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4.60</w:t>
            </w:r>
          </w:p>
        </w:tc>
      </w:tr>
      <w:tr w:rsidR="00FE1542" w:rsidRPr="00F9522B" w:rsidTr="00FE1542">
        <w:tc>
          <w:tcPr>
            <w:tcW w:w="1143" w:type="dxa"/>
            <w:vMerge/>
            <w:vAlign w:val="center"/>
          </w:tcPr>
          <w:p w:rsidR="00FE1542" w:rsidRPr="00F9522B" w:rsidRDefault="00FE1542" w:rsidP="00FE1542">
            <w:pPr>
              <w:widowControl/>
              <w:spacing w:line="0" w:lineRule="atLeast"/>
              <w:contextualSpacing/>
              <w:jc w:val="center"/>
              <w:rPr>
                <w:rFonts w:eastAsiaTheme="minorEastAsia"/>
                <w:snapToGrid w:val="0"/>
                <w:szCs w:val="21"/>
              </w:rPr>
            </w:pPr>
          </w:p>
        </w:tc>
        <w:tc>
          <w:tcPr>
            <w:tcW w:w="2023" w:type="dxa"/>
            <w:vAlign w:val="center"/>
          </w:tcPr>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Ca</w:t>
            </w:r>
            <w:r w:rsidRPr="00F9522B">
              <w:rPr>
                <w:rFonts w:eastAsiaTheme="minorEastAsia"/>
                <w:snapToGrid w:val="0"/>
                <w:szCs w:val="21"/>
                <w:vertAlign w:val="superscript"/>
              </w:rPr>
              <w:t>2+</w:t>
            </w:r>
          </w:p>
        </w:tc>
        <w:tc>
          <w:tcPr>
            <w:tcW w:w="1693"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178.4</w:t>
            </w:r>
          </w:p>
        </w:tc>
        <w:tc>
          <w:tcPr>
            <w:tcW w:w="1804"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8.92</w:t>
            </w:r>
          </w:p>
        </w:tc>
        <w:tc>
          <w:tcPr>
            <w:tcW w:w="1859"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63.92</w:t>
            </w:r>
          </w:p>
        </w:tc>
      </w:tr>
      <w:tr w:rsidR="00FE1542" w:rsidRPr="00F9522B" w:rsidTr="00FE1542">
        <w:tc>
          <w:tcPr>
            <w:tcW w:w="1143" w:type="dxa"/>
            <w:vMerge/>
            <w:vAlign w:val="center"/>
          </w:tcPr>
          <w:p w:rsidR="00FE1542" w:rsidRPr="00F9522B" w:rsidRDefault="00FE1542" w:rsidP="00FE1542">
            <w:pPr>
              <w:widowControl/>
              <w:spacing w:line="0" w:lineRule="atLeast"/>
              <w:contextualSpacing/>
              <w:jc w:val="center"/>
              <w:rPr>
                <w:rFonts w:eastAsiaTheme="minorEastAsia"/>
                <w:snapToGrid w:val="0"/>
                <w:szCs w:val="21"/>
              </w:rPr>
            </w:pPr>
          </w:p>
        </w:tc>
        <w:tc>
          <w:tcPr>
            <w:tcW w:w="2023" w:type="dxa"/>
            <w:vAlign w:val="center"/>
          </w:tcPr>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Mg</w:t>
            </w:r>
            <w:r w:rsidRPr="00F9522B">
              <w:rPr>
                <w:rFonts w:eastAsiaTheme="minorEastAsia"/>
                <w:snapToGrid w:val="0"/>
                <w:szCs w:val="21"/>
                <w:vertAlign w:val="superscript"/>
              </w:rPr>
              <w:t>2+</w:t>
            </w:r>
          </w:p>
        </w:tc>
        <w:tc>
          <w:tcPr>
            <w:tcW w:w="1693"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52.7</w:t>
            </w:r>
          </w:p>
        </w:tc>
        <w:tc>
          <w:tcPr>
            <w:tcW w:w="1804"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4.39</w:t>
            </w:r>
          </w:p>
        </w:tc>
        <w:tc>
          <w:tcPr>
            <w:tcW w:w="1859"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31.47</w:t>
            </w:r>
          </w:p>
        </w:tc>
      </w:tr>
      <w:tr w:rsidR="00FE1542" w:rsidRPr="00F9522B" w:rsidTr="00FE1542">
        <w:tc>
          <w:tcPr>
            <w:tcW w:w="1143" w:type="dxa"/>
            <w:vMerge/>
            <w:vAlign w:val="center"/>
          </w:tcPr>
          <w:p w:rsidR="00FE1542" w:rsidRPr="00F9522B" w:rsidRDefault="00FE1542" w:rsidP="00FE1542">
            <w:pPr>
              <w:widowControl/>
              <w:spacing w:line="0" w:lineRule="atLeast"/>
              <w:contextualSpacing/>
              <w:jc w:val="center"/>
              <w:rPr>
                <w:rFonts w:eastAsiaTheme="minorEastAsia"/>
                <w:snapToGrid w:val="0"/>
                <w:szCs w:val="21"/>
              </w:rPr>
            </w:pPr>
          </w:p>
        </w:tc>
        <w:tc>
          <w:tcPr>
            <w:tcW w:w="2023" w:type="dxa"/>
            <w:vAlign w:val="center"/>
          </w:tcPr>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总计</w:t>
            </w:r>
          </w:p>
        </w:tc>
        <w:tc>
          <w:tcPr>
            <w:tcW w:w="1693"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246.28</w:t>
            </w:r>
          </w:p>
        </w:tc>
        <w:tc>
          <w:tcPr>
            <w:tcW w:w="1804"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13.95</w:t>
            </w:r>
          </w:p>
        </w:tc>
        <w:tc>
          <w:tcPr>
            <w:tcW w:w="1859"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100.00</w:t>
            </w:r>
          </w:p>
        </w:tc>
      </w:tr>
      <w:tr w:rsidR="00FE1542" w:rsidRPr="00F9522B" w:rsidTr="00FE1542">
        <w:tc>
          <w:tcPr>
            <w:tcW w:w="1143" w:type="dxa"/>
            <w:vMerge w:val="restart"/>
            <w:vAlign w:val="center"/>
          </w:tcPr>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阴</w:t>
            </w:r>
          </w:p>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离</w:t>
            </w:r>
          </w:p>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子</w:t>
            </w:r>
          </w:p>
        </w:tc>
        <w:tc>
          <w:tcPr>
            <w:tcW w:w="2023" w:type="dxa"/>
            <w:vAlign w:val="center"/>
          </w:tcPr>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HCO</w:t>
            </w:r>
            <w:r w:rsidRPr="00F9522B">
              <w:rPr>
                <w:rFonts w:eastAsiaTheme="minorEastAsia"/>
                <w:snapToGrid w:val="0"/>
                <w:szCs w:val="21"/>
                <w:vertAlign w:val="subscript"/>
              </w:rPr>
              <w:t>3</w:t>
            </w:r>
            <w:r w:rsidRPr="00F9522B">
              <w:rPr>
                <w:rFonts w:eastAsiaTheme="minorEastAsia"/>
                <w:snapToGrid w:val="0"/>
                <w:szCs w:val="21"/>
                <w:vertAlign w:val="superscript"/>
              </w:rPr>
              <w:t>-</w:t>
            </w:r>
          </w:p>
        </w:tc>
        <w:tc>
          <w:tcPr>
            <w:tcW w:w="1693"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300</w:t>
            </w:r>
          </w:p>
        </w:tc>
        <w:tc>
          <w:tcPr>
            <w:tcW w:w="1804"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4.92</w:t>
            </w:r>
          </w:p>
        </w:tc>
        <w:tc>
          <w:tcPr>
            <w:tcW w:w="1859"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35.66</w:t>
            </w:r>
          </w:p>
        </w:tc>
      </w:tr>
      <w:tr w:rsidR="00FE1542" w:rsidRPr="00F9522B" w:rsidTr="00FE1542">
        <w:tc>
          <w:tcPr>
            <w:tcW w:w="1143" w:type="dxa"/>
            <w:vMerge/>
            <w:vAlign w:val="center"/>
          </w:tcPr>
          <w:p w:rsidR="00FE1542" w:rsidRPr="00F9522B" w:rsidRDefault="00FE1542" w:rsidP="00FE1542">
            <w:pPr>
              <w:widowControl/>
              <w:spacing w:line="0" w:lineRule="atLeast"/>
              <w:contextualSpacing/>
              <w:jc w:val="center"/>
              <w:rPr>
                <w:rFonts w:eastAsiaTheme="minorEastAsia"/>
                <w:snapToGrid w:val="0"/>
                <w:szCs w:val="21"/>
              </w:rPr>
            </w:pPr>
          </w:p>
        </w:tc>
        <w:tc>
          <w:tcPr>
            <w:tcW w:w="2023" w:type="dxa"/>
            <w:vAlign w:val="center"/>
          </w:tcPr>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Cl</w:t>
            </w:r>
            <w:r w:rsidRPr="00F9522B">
              <w:rPr>
                <w:rFonts w:eastAsiaTheme="minorEastAsia"/>
                <w:snapToGrid w:val="0"/>
                <w:szCs w:val="21"/>
                <w:vertAlign w:val="superscript"/>
              </w:rPr>
              <w:t>-</w:t>
            </w:r>
          </w:p>
        </w:tc>
        <w:tc>
          <w:tcPr>
            <w:tcW w:w="1693"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173</w:t>
            </w:r>
          </w:p>
        </w:tc>
        <w:tc>
          <w:tcPr>
            <w:tcW w:w="1804"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4.87</w:t>
            </w:r>
          </w:p>
        </w:tc>
        <w:tc>
          <w:tcPr>
            <w:tcW w:w="1859"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35.34</w:t>
            </w:r>
          </w:p>
        </w:tc>
      </w:tr>
      <w:tr w:rsidR="00FE1542" w:rsidRPr="00F9522B" w:rsidTr="00FE1542">
        <w:tc>
          <w:tcPr>
            <w:tcW w:w="1143" w:type="dxa"/>
            <w:vMerge/>
            <w:vAlign w:val="center"/>
          </w:tcPr>
          <w:p w:rsidR="00FE1542" w:rsidRPr="00F9522B" w:rsidRDefault="00FE1542" w:rsidP="00FE1542">
            <w:pPr>
              <w:widowControl/>
              <w:spacing w:line="0" w:lineRule="atLeast"/>
              <w:contextualSpacing/>
              <w:jc w:val="center"/>
              <w:rPr>
                <w:rFonts w:eastAsiaTheme="minorEastAsia"/>
                <w:snapToGrid w:val="0"/>
                <w:szCs w:val="21"/>
              </w:rPr>
            </w:pPr>
          </w:p>
        </w:tc>
        <w:tc>
          <w:tcPr>
            <w:tcW w:w="2023" w:type="dxa"/>
            <w:vAlign w:val="center"/>
          </w:tcPr>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SO</w:t>
            </w:r>
            <w:r w:rsidRPr="00F9522B">
              <w:rPr>
                <w:rFonts w:eastAsiaTheme="minorEastAsia"/>
                <w:snapToGrid w:val="0"/>
                <w:szCs w:val="21"/>
                <w:vertAlign w:val="subscript"/>
              </w:rPr>
              <w:t>4</w:t>
            </w:r>
            <w:r w:rsidRPr="00F9522B">
              <w:rPr>
                <w:rFonts w:eastAsiaTheme="minorEastAsia"/>
                <w:snapToGrid w:val="0"/>
                <w:szCs w:val="21"/>
                <w:vertAlign w:val="superscript"/>
              </w:rPr>
              <w:t>2-</w:t>
            </w:r>
          </w:p>
        </w:tc>
        <w:tc>
          <w:tcPr>
            <w:tcW w:w="1693"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192</w:t>
            </w:r>
          </w:p>
        </w:tc>
        <w:tc>
          <w:tcPr>
            <w:tcW w:w="1804"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4.00</w:t>
            </w:r>
          </w:p>
        </w:tc>
        <w:tc>
          <w:tcPr>
            <w:tcW w:w="1859"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29.00</w:t>
            </w:r>
          </w:p>
        </w:tc>
      </w:tr>
      <w:tr w:rsidR="00FE1542" w:rsidRPr="00F9522B" w:rsidTr="00FE1542">
        <w:trPr>
          <w:trHeight w:val="309"/>
        </w:trPr>
        <w:tc>
          <w:tcPr>
            <w:tcW w:w="1143" w:type="dxa"/>
            <w:vMerge/>
            <w:vAlign w:val="center"/>
          </w:tcPr>
          <w:p w:rsidR="00FE1542" w:rsidRPr="00F9522B" w:rsidRDefault="00FE1542" w:rsidP="00FE1542">
            <w:pPr>
              <w:widowControl/>
              <w:spacing w:line="0" w:lineRule="atLeast"/>
              <w:contextualSpacing/>
              <w:jc w:val="center"/>
              <w:rPr>
                <w:rFonts w:eastAsiaTheme="minorEastAsia"/>
                <w:snapToGrid w:val="0"/>
                <w:szCs w:val="21"/>
              </w:rPr>
            </w:pPr>
          </w:p>
        </w:tc>
        <w:tc>
          <w:tcPr>
            <w:tcW w:w="2023" w:type="dxa"/>
            <w:vAlign w:val="center"/>
          </w:tcPr>
          <w:p w:rsidR="00FE1542" w:rsidRPr="00F9522B" w:rsidRDefault="00FE1542" w:rsidP="00FE1542">
            <w:pPr>
              <w:snapToGrid w:val="0"/>
              <w:spacing w:line="0" w:lineRule="atLeast"/>
              <w:contextualSpacing/>
              <w:jc w:val="center"/>
              <w:rPr>
                <w:rFonts w:eastAsiaTheme="minorEastAsia"/>
                <w:snapToGrid w:val="0"/>
                <w:szCs w:val="21"/>
              </w:rPr>
            </w:pPr>
            <w:r w:rsidRPr="00F9522B">
              <w:rPr>
                <w:rFonts w:eastAsiaTheme="minorEastAsia"/>
                <w:snapToGrid w:val="0"/>
                <w:szCs w:val="21"/>
              </w:rPr>
              <w:t>总计</w:t>
            </w:r>
          </w:p>
        </w:tc>
        <w:tc>
          <w:tcPr>
            <w:tcW w:w="1693"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665</w:t>
            </w:r>
          </w:p>
        </w:tc>
        <w:tc>
          <w:tcPr>
            <w:tcW w:w="1804"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13.79</w:t>
            </w:r>
          </w:p>
        </w:tc>
        <w:tc>
          <w:tcPr>
            <w:tcW w:w="1859" w:type="dxa"/>
            <w:vAlign w:val="bottom"/>
          </w:tcPr>
          <w:p w:rsidR="00FE1542" w:rsidRPr="00F9522B" w:rsidRDefault="00FE1542" w:rsidP="00FE1542">
            <w:pPr>
              <w:spacing w:line="0" w:lineRule="atLeast"/>
              <w:jc w:val="center"/>
              <w:rPr>
                <w:rFonts w:eastAsia="等线"/>
                <w:szCs w:val="21"/>
              </w:rPr>
            </w:pPr>
            <w:r w:rsidRPr="00F9522B">
              <w:rPr>
                <w:rFonts w:eastAsia="等线"/>
                <w:szCs w:val="21"/>
              </w:rPr>
              <w:t>100.00</w:t>
            </w:r>
          </w:p>
        </w:tc>
      </w:tr>
    </w:tbl>
    <w:p w:rsidR="002A5A5E" w:rsidRPr="00F9522B" w:rsidRDefault="00611CBA">
      <w:pPr>
        <w:spacing w:line="360" w:lineRule="auto"/>
        <w:ind w:firstLine="372"/>
        <w:rPr>
          <w:rFonts w:eastAsiaTheme="minorEastAsia"/>
          <w:sz w:val="24"/>
        </w:rPr>
      </w:pPr>
      <w:r w:rsidRPr="00F9522B">
        <w:rPr>
          <w:rFonts w:ascii="宋体" w:hAnsi="宋体" w:cs="宋体" w:hint="eastAsia"/>
          <w:sz w:val="24"/>
        </w:rPr>
        <w:t>☆</w:t>
      </w:r>
      <w:r w:rsidRPr="00F9522B">
        <w:rPr>
          <w:rFonts w:eastAsiaTheme="minorEastAsia"/>
          <w:sz w:val="24"/>
        </w:rPr>
        <w:t>01</w:t>
      </w:r>
      <w:r w:rsidRPr="00F9522B">
        <w:rPr>
          <w:rFonts w:eastAsiaTheme="minorEastAsia"/>
          <w:sz w:val="24"/>
        </w:rPr>
        <w:t>水质矿化度计算过程：</w:t>
      </w:r>
    </w:p>
    <w:p w:rsidR="002A5A5E" w:rsidRPr="00F9522B" w:rsidRDefault="00611CBA">
      <w:pPr>
        <w:spacing w:line="360" w:lineRule="auto"/>
        <w:ind w:firstLineChars="200" w:firstLine="480"/>
        <w:contextualSpacing/>
        <w:rPr>
          <w:rFonts w:eastAsiaTheme="minorEastAsia"/>
          <w:sz w:val="24"/>
        </w:rPr>
      </w:pPr>
      <w:r w:rsidRPr="00F9522B">
        <w:rPr>
          <w:rFonts w:eastAsiaTheme="minorEastAsia"/>
          <w:sz w:val="24"/>
        </w:rPr>
        <w:t>应先将阴离子的</w:t>
      </w:r>
      <w:r w:rsidRPr="00F9522B">
        <w:rPr>
          <w:rFonts w:eastAsiaTheme="minorEastAsia"/>
          <w:sz w:val="24"/>
        </w:rPr>
        <w:t>mg/L</w:t>
      </w:r>
      <w:r w:rsidRPr="00F9522B">
        <w:rPr>
          <w:rFonts w:eastAsiaTheme="minorEastAsia"/>
          <w:sz w:val="24"/>
        </w:rPr>
        <w:t>数换算成</w:t>
      </w:r>
      <w:r w:rsidRPr="00F9522B">
        <w:rPr>
          <w:rFonts w:eastAsiaTheme="minorEastAsia"/>
          <w:sz w:val="24"/>
        </w:rPr>
        <w:t>mmol/L</w:t>
      </w:r>
      <w:r w:rsidRPr="00F9522B">
        <w:rPr>
          <w:rFonts w:eastAsiaTheme="minorEastAsia"/>
          <w:sz w:val="24"/>
        </w:rPr>
        <w:t>数。它们的摩尔质量</w:t>
      </w:r>
      <w:r w:rsidRPr="00F9522B">
        <w:rPr>
          <w:rFonts w:eastAsiaTheme="minorEastAsia"/>
          <w:sz w:val="24"/>
        </w:rPr>
        <w:t>—mg/mmol</w:t>
      </w:r>
      <w:r w:rsidRPr="00F9522B">
        <w:rPr>
          <w:rFonts w:eastAsiaTheme="minorEastAsia"/>
          <w:sz w:val="24"/>
        </w:rPr>
        <w:t>数分别采用：</w:t>
      </w:r>
      <w:r w:rsidRPr="00F9522B">
        <w:rPr>
          <w:rFonts w:eastAsiaTheme="minorEastAsia"/>
          <w:sz w:val="24"/>
        </w:rPr>
        <w:t>M</w:t>
      </w:r>
      <w:r w:rsidRPr="00F9522B">
        <w:rPr>
          <w:rFonts w:eastAsiaTheme="minorEastAsia"/>
          <w:sz w:val="24"/>
        </w:rPr>
        <w:t>（</w:t>
      </w:r>
      <m:oMath>
        <m:f>
          <m:fPr>
            <m:type m:val="skw"/>
            <m:ctrlPr>
              <w:rPr>
                <w:rFonts w:ascii="Cambria Math" w:eastAsiaTheme="minorEastAsia" w:hAnsi="Cambria Math"/>
                <w:sz w:val="24"/>
              </w:rPr>
            </m:ctrlPr>
          </m:fPr>
          <m:num>
            <m:r>
              <m:rPr>
                <m:sty m:val="p"/>
              </m:rPr>
              <w:rPr>
                <w:rFonts w:ascii="Cambria Math" w:eastAsiaTheme="minorEastAsia" w:hAnsi="Cambria Math"/>
              </w:rPr>
              <m:t>1</m:t>
            </m:r>
          </m:num>
          <m:den>
            <m:r>
              <m:rPr>
                <m:sty m:val="p"/>
              </m:rPr>
              <w:rPr>
                <w:rFonts w:ascii="Cambria Math" w:eastAsiaTheme="minorEastAsia" w:hAnsi="Cambria Math"/>
              </w:rPr>
              <m:t>2</m:t>
            </m:r>
          </m:den>
        </m:f>
        <m:sSubSup>
          <m:sSubSupPr>
            <m:ctrlPr>
              <w:rPr>
                <w:rFonts w:ascii="Cambria Math" w:eastAsiaTheme="minorEastAsia" w:hAnsi="Cambria Math"/>
                <w:sz w:val="24"/>
              </w:rPr>
            </m:ctrlPr>
          </m:sSubSupPr>
          <m:e>
            <m:r>
              <m:rPr>
                <m:sty m:val="p"/>
              </m:rPr>
              <w:rPr>
                <w:rFonts w:ascii="Cambria Math" w:eastAsiaTheme="minorEastAsia" w:hAnsi="Cambria Math"/>
              </w:rPr>
              <m:t>CO</m:t>
            </m:r>
          </m:e>
          <m:sub>
            <m:r>
              <m:rPr>
                <m:sty m:val="p"/>
              </m:rPr>
              <w:rPr>
                <w:rFonts w:ascii="Cambria Math" w:eastAsiaTheme="minorEastAsia" w:hAnsi="Cambria Math"/>
              </w:rPr>
              <m:t>3</m:t>
            </m:r>
          </m:sub>
          <m:sup>
            <m:r>
              <m:rPr>
                <m:sty m:val="p"/>
              </m:rPr>
              <w:rPr>
                <w:rFonts w:ascii="Cambria Math" w:eastAsiaTheme="minorEastAsia" w:hAnsi="Cambria Math"/>
              </w:rPr>
              <m:t>2-</m:t>
            </m:r>
          </m:sup>
        </m:sSubSup>
      </m:oMath>
      <w:r w:rsidRPr="00F9522B">
        <w:rPr>
          <w:rFonts w:eastAsiaTheme="minorEastAsia"/>
          <w:sz w:val="24"/>
        </w:rPr>
        <w:t>）是</w:t>
      </w:r>
      <w:r w:rsidRPr="00F9522B">
        <w:rPr>
          <w:rFonts w:eastAsiaTheme="minorEastAsia"/>
          <w:sz w:val="24"/>
        </w:rPr>
        <w:t>30</w:t>
      </w:r>
      <w:r w:rsidRPr="00F9522B">
        <w:rPr>
          <w:rFonts w:eastAsiaTheme="minorEastAsia"/>
          <w:sz w:val="24"/>
        </w:rPr>
        <w:t>，</w:t>
      </w:r>
      <w:r w:rsidRPr="00F9522B">
        <w:rPr>
          <w:rFonts w:eastAsiaTheme="minorEastAsia"/>
          <w:sz w:val="24"/>
        </w:rPr>
        <w:t>M</w:t>
      </w:r>
      <w:r w:rsidRPr="00F9522B">
        <w:rPr>
          <w:rFonts w:eastAsiaTheme="minorEastAsia"/>
          <w:sz w:val="24"/>
        </w:rPr>
        <w:t>（</w:t>
      </w:r>
      <m:oMath>
        <m:r>
          <m:rPr>
            <m:sty m:val="p"/>
          </m:rPr>
          <w:rPr>
            <w:rFonts w:ascii="Cambria Math" w:eastAsiaTheme="minorEastAsia" w:hAnsi="Cambria Math"/>
          </w:rPr>
          <m:t>H</m:t>
        </m:r>
        <m:sSubSup>
          <m:sSubSupPr>
            <m:ctrlPr>
              <w:rPr>
                <w:rFonts w:ascii="Cambria Math" w:eastAsiaTheme="minorEastAsia" w:hAnsi="Cambria Math"/>
                <w:sz w:val="24"/>
              </w:rPr>
            </m:ctrlPr>
          </m:sSubSupPr>
          <m:e>
            <m:r>
              <m:rPr>
                <m:sty m:val="p"/>
              </m:rPr>
              <w:rPr>
                <w:rFonts w:ascii="Cambria Math" w:eastAsiaTheme="minorEastAsia" w:hAnsi="Cambria Math"/>
              </w:rPr>
              <m:t>CO</m:t>
            </m:r>
          </m:e>
          <m:sub>
            <m:r>
              <m:rPr>
                <m:sty m:val="p"/>
              </m:rPr>
              <w:rPr>
                <w:rFonts w:ascii="Cambria Math" w:eastAsiaTheme="minorEastAsia" w:hAnsi="Cambria Math"/>
              </w:rPr>
              <m:t>3</m:t>
            </m:r>
          </m:sub>
          <m:sup>
            <m:r>
              <m:rPr>
                <m:sty m:val="p"/>
              </m:rPr>
              <w:rPr>
                <w:rFonts w:ascii="Cambria Math" w:eastAsiaTheme="minorEastAsia" w:hAnsi="Cambria Math"/>
              </w:rPr>
              <m:t>-</m:t>
            </m:r>
          </m:sup>
        </m:sSubSup>
      </m:oMath>
      <w:r w:rsidRPr="00F9522B">
        <w:rPr>
          <w:rFonts w:eastAsiaTheme="minorEastAsia"/>
          <w:sz w:val="24"/>
        </w:rPr>
        <w:t>）是</w:t>
      </w:r>
      <w:r w:rsidRPr="00F9522B">
        <w:rPr>
          <w:rFonts w:eastAsiaTheme="minorEastAsia"/>
          <w:sz w:val="24"/>
        </w:rPr>
        <w:t>61</w:t>
      </w:r>
      <w:r w:rsidRPr="00F9522B">
        <w:rPr>
          <w:rFonts w:eastAsiaTheme="minorEastAsia"/>
          <w:sz w:val="24"/>
        </w:rPr>
        <w:t>，</w:t>
      </w:r>
      <w:r w:rsidRPr="00F9522B">
        <w:rPr>
          <w:rFonts w:eastAsiaTheme="minorEastAsia"/>
          <w:sz w:val="24"/>
        </w:rPr>
        <w:t>M</w:t>
      </w:r>
      <w:r w:rsidRPr="00F9522B">
        <w:rPr>
          <w:rFonts w:eastAsiaTheme="minorEastAsia"/>
          <w:sz w:val="24"/>
        </w:rPr>
        <w:t>（</w:t>
      </w:r>
      <w:r w:rsidRPr="00F9522B">
        <w:rPr>
          <w:rFonts w:eastAsiaTheme="minorEastAsia"/>
          <w:sz w:val="24"/>
        </w:rPr>
        <w:t>Cl</w:t>
      </w:r>
      <w:r w:rsidRPr="00F9522B">
        <w:rPr>
          <w:rFonts w:eastAsiaTheme="minorEastAsia"/>
          <w:sz w:val="24"/>
          <w:vertAlign w:val="superscript"/>
        </w:rPr>
        <w:t>-</w:t>
      </w:r>
      <w:r w:rsidRPr="00F9522B">
        <w:rPr>
          <w:rFonts w:eastAsiaTheme="minorEastAsia"/>
          <w:sz w:val="24"/>
        </w:rPr>
        <w:t>）是</w:t>
      </w:r>
      <w:r w:rsidRPr="00F9522B">
        <w:rPr>
          <w:rFonts w:eastAsiaTheme="minorEastAsia"/>
          <w:sz w:val="24"/>
        </w:rPr>
        <w:t>35.5</w:t>
      </w:r>
      <w:r w:rsidRPr="00F9522B">
        <w:rPr>
          <w:rFonts w:eastAsiaTheme="minorEastAsia"/>
          <w:sz w:val="24"/>
        </w:rPr>
        <w:t>，</w:t>
      </w:r>
      <w:r w:rsidRPr="00F9522B">
        <w:rPr>
          <w:rFonts w:eastAsiaTheme="minorEastAsia"/>
          <w:sz w:val="24"/>
        </w:rPr>
        <w:t>M</w:t>
      </w:r>
      <w:r w:rsidRPr="00F9522B">
        <w:rPr>
          <w:rFonts w:eastAsiaTheme="minorEastAsia"/>
          <w:sz w:val="24"/>
        </w:rPr>
        <w:t>（</w:t>
      </w:r>
      <m:oMath>
        <m:f>
          <m:fPr>
            <m:type m:val="skw"/>
            <m:ctrlPr>
              <w:rPr>
                <w:rFonts w:ascii="Cambria Math" w:eastAsiaTheme="minorEastAsia" w:hAnsi="Cambria Math"/>
                <w:sz w:val="24"/>
              </w:rPr>
            </m:ctrlPr>
          </m:fPr>
          <m:num>
            <m:r>
              <m:rPr>
                <m:sty m:val="p"/>
              </m:rPr>
              <w:rPr>
                <w:rFonts w:ascii="Cambria Math" w:eastAsiaTheme="minorEastAsia" w:hAnsi="Cambria Math"/>
              </w:rPr>
              <m:t>1</m:t>
            </m:r>
          </m:num>
          <m:den>
            <m:r>
              <m:rPr>
                <m:sty m:val="p"/>
              </m:rPr>
              <w:rPr>
                <w:rFonts w:ascii="Cambria Math" w:eastAsiaTheme="minorEastAsia" w:hAnsi="Cambria Math"/>
              </w:rPr>
              <m:t>2</m:t>
            </m:r>
          </m:den>
        </m:f>
        <m:r>
          <m:rPr>
            <m:sty m:val="p"/>
          </m:rPr>
          <w:rPr>
            <w:rFonts w:ascii="Cambria Math" w:eastAsiaTheme="minorEastAsia" w:hAnsi="Cambria Math"/>
          </w:rPr>
          <m:t>H</m:t>
        </m:r>
        <m:sSubSup>
          <m:sSubSupPr>
            <m:ctrlPr>
              <w:rPr>
                <w:rFonts w:ascii="Cambria Math" w:eastAsiaTheme="minorEastAsia" w:hAnsi="Cambria Math"/>
                <w:sz w:val="24"/>
              </w:rPr>
            </m:ctrlPr>
          </m:sSubSupPr>
          <m:e>
            <m:r>
              <m:rPr>
                <m:sty m:val="p"/>
              </m:rPr>
              <w:rPr>
                <w:rFonts w:ascii="Cambria Math" w:eastAsiaTheme="minorEastAsia" w:hAnsi="Cambria Math"/>
              </w:rPr>
              <m:t>SO</m:t>
            </m:r>
          </m:e>
          <m:sub>
            <m:r>
              <m:rPr>
                <m:sty m:val="p"/>
              </m:rPr>
              <w:rPr>
                <w:rFonts w:ascii="Cambria Math" w:eastAsiaTheme="minorEastAsia" w:hAnsi="Cambria Math"/>
              </w:rPr>
              <m:t>4</m:t>
            </m:r>
          </m:sub>
          <m:sup>
            <m:r>
              <m:rPr>
                <m:sty m:val="p"/>
              </m:rPr>
              <w:rPr>
                <w:rFonts w:ascii="Cambria Math" w:eastAsiaTheme="minorEastAsia" w:hAnsi="Cambria Math"/>
              </w:rPr>
              <m:t>2-</m:t>
            </m:r>
          </m:sup>
        </m:sSubSup>
      </m:oMath>
      <w:r w:rsidRPr="00F9522B">
        <w:rPr>
          <w:rFonts w:eastAsiaTheme="minorEastAsia"/>
          <w:sz w:val="24"/>
        </w:rPr>
        <w:t>）是</w:t>
      </w:r>
      <w:r w:rsidRPr="00F9522B">
        <w:rPr>
          <w:rFonts w:eastAsiaTheme="minorEastAsia"/>
          <w:sz w:val="24"/>
        </w:rPr>
        <w:t>48</w:t>
      </w:r>
      <w:r w:rsidRPr="00F9522B">
        <w:rPr>
          <w:rFonts w:eastAsiaTheme="minorEastAsia"/>
          <w:sz w:val="24"/>
        </w:rPr>
        <w:t>。</w:t>
      </w:r>
    </w:p>
    <w:p w:rsidR="002A5A5E" w:rsidRPr="00F9522B" w:rsidRDefault="00611CBA">
      <w:pPr>
        <w:spacing w:line="360" w:lineRule="auto"/>
        <w:rPr>
          <w:rFonts w:eastAsiaTheme="minorEastAsia"/>
          <w:sz w:val="24"/>
        </w:rPr>
      </w:pPr>
      <w:r w:rsidRPr="00F9522B">
        <w:rPr>
          <w:rFonts w:eastAsiaTheme="minorEastAsia"/>
          <w:sz w:val="24"/>
        </w:rPr>
        <w:lastRenderedPageBreak/>
        <w:t>所以，</w:t>
      </w:r>
      <w:r w:rsidRPr="00F9522B">
        <w:rPr>
          <w:rFonts w:eastAsiaTheme="minorEastAsia"/>
          <w:sz w:val="24"/>
        </w:rPr>
        <w:t>C</w:t>
      </w:r>
      <w:r w:rsidRPr="00F9522B">
        <w:rPr>
          <w:rFonts w:eastAsiaTheme="minorEastAsia"/>
          <w:sz w:val="24"/>
        </w:rPr>
        <w:t>（</w:t>
      </w:r>
      <m:oMath>
        <m:r>
          <m:rPr>
            <m:sty m:val="p"/>
          </m:rPr>
          <w:rPr>
            <w:rFonts w:ascii="Cambria Math" w:eastAsiaTheme="minorEastAsia" w:hAnsi="Cambria Math"/>
          </w:rPr>
          <m:t>H</m:t>
        </m:r>
        <m:sSubSup>
          <m:sSubSupPr>
            <m:ctrlPr>
              <w:rPr>
                <w:rFonts w:ascii="Cambria Math" w:eastAsiaTheme="minorEastAsia" w:hAnsi="Cambria Math"/>
                <w:sz w:val="24"/>
              </w:rPr>
            </m:ctrlPr>
          </m:sSubSupPr>
          <m:e>
            <m:r>
              <m:rPr>
                <m:sty m:val="p"/>
              </m:rPr>
              <w:rPr>
                <w:rFonts w:ascii="Cambria Math" w:eastAsiaTheme="minorEastAsia" w:hAnsi="Cambria Math"/>
              </w:rPr>
              <m:t>CO</m:t>
            </m:r>
          </m:e>
          <m:sub>
            <m:r>
              <m:rPr>
                <m:sty m:val="p"/>
              </m:rPr>
              <w:rPr>
                <w:rFonts w:ascii="Cambria Math" w:eastAsiaTheme="minorEastAsia" w:hAnsi="Cambria Math"/>
              </w:rPr>
              <m:t>3</m:t>
            </m:r>
          </m:sub>
          <m:sup>
            <m:r>
              <m:rPr>
                <m:sty m:val="p"/>
              </m:rPr>
              <w:rPr>
                <w:rFonts w:ascii="Cambria Math" w:eastAsiaTheme="minorEastAsia" w:hAnsi="Cambria Math"/>
              </w:rPr>
              <m:t>-</m:t>
            </m:r>
          </m:sup>
        </m:sSubSup>
      </m:oMath>
      <w:r w:rsidRPr="00F9522B">
        <w:rPr>
          <w:rFonts w:eastAsiaTheme="minorEastAsia"/>
          <w:sz w:val="24"/>
        </w:rPr>
        <w:t>）</w:t>
      </w:r>
      <w:r w:rsidRPr="00F9522B">
        <w:rPr>
          <w:rFonts w:eastAsiaTheme="minorEastAsia"/>
          <w:sz w:val="24"/>
        </w:rPr>
        <w:t>=</w:t>
      </w:r>
      <w:r w:rsidRPr="00F9522B">
        <w:rPr>
          <w:rFonts w:eastAsiaTheme="minorEastAsia"/>
          <w:sz w:val="24"/>
        </w:rPr>
        <w:softHyphen/>
      </w:r>
      <m:oMath>
        <m:f>
          <m:fPr>
            <m:ctrlPr>
              <w:rPr>
                <w:rFonts w:ascii="Cambria Math" w:eastAsiaTheme="minorEastAsia" w:hAnsi="Cambria Math"/>
                <w:sz w:val="24"/>
              </w:rPr>
            </m:ctrlPr>
          </m:fPr>
          <m:num>
            <m:r>
              <m:rPr>
                <m:sty m:val="p"/>
              </m:rPr>
              <w:rPr>
                <w:rFonts w:ascii="Cambria Math" w:eastAsiaTheme="minorEastAsia" w:hAnsi="Cambria Math"/>
                <w:sz w:val="24"/>
              </w:rPr>
              <m:t>475</m:t>
            </m:r>
          </m:num>
          <m:den>
            <m:r>
              <m:rPr>
                <m:sty m:val="p"/>
              </m:rPr>
              <w:rPr>
                <w:rFonts w:ascii="Cambria Math" w:eastAsiaTheme="minorEastAsia" w:hAnsi="Cambria Math"/>
                <w:sz w:val="24"/>
              </w:rPr>
              <m:t>61</m:t>
            </m:r>
          </m:den>
        </m:f>
      </m:oMath>
      <w:r w:rsidR="005273A1" w:rsidRPr="00F9522B">
        <w:rPr>
          <w:rFonts w:eastAsiaTheme="minorEastAsia"/>
          <w:sz w:val="24"/>
        </w:rPr>
        <w:fldChar w:fldCharType="begin"/>
      </w:r>
      <w:r w:rsidRPr="00F9522B">
        <w:rPr>
          <w:rFonts w:eastAsiaTheme="minorEastAsia"/>
          <w:sz w:val="24"/>
        </w:rPr>
        <w:instrText xml:space="preserve"> QUOTE </w:instrText>
      </w:r>
      <m:oMath>
        <m:f>
          <m:fPr>
            <m:ctrlPr>
              <w:rPr>
                <w:rFonts w:ascii="Cambria Math" w:eastAsiaTheme="minorEastAsia" w:hAnsi="Cambria Math"/>
                <w:sz w:val="24"/>
              </w:rPr>
            </m:ctrlPr>
          </m:fPr>
          <m:num>
            <m:r>
              <m:rPr>
                <m:sty m:val="p"/>
              </m:rPr>
              <w:rPr>
                <w:rFonts w:ascii="Cambria Math" w:eastAsiaTheme="minorEastAsia" w:hAnsi="Cambria Math"/>
              </w:rPr>
              <m:t>231</m:t>
            </m:r>
          </m:num>
          <m:den>
            <m:r>
              <m:rPr>
                <m:sty m:val="p"/>
              </m:rPr>
              <w:rPr>
                <w:rFonts w:ascii="Cambria Math" w:eastAsiaTheme="minorEastAsia" w:hAnsi="Cambria Math"/>
              </w:rPr>
              <m:t>61</m:t>
            </m:r>
          </m:den>
        </m:f>
      </m:oMath>
      <w:r w:rsidR="005273A1" w:rsidRPr="00F9522B">
        <w:rPr>
          <w:rFonts w:eastAsiaTheme="minorEastAsia"/>
          <w:sz w:val="24"/>
        </w:rPr>
        <w:fldChar w:fldCharType="end"/>
      </w:r>
      <w:r w:rsidR="006F3D3A" w:rsidRPr="00F9522B">
        <w:rPr>
          <w:rFonts w:eastAsiaTheme="minorEastAsia"/>
          <w:sz w:val="24"/>
        </w:rPr>
        <w:t>=7.79</w:t>
      </w:r>
    </w:p>
    <w:p w:rsidR="002A5A5E" w:rsidRPr="00F9522B" w:rsidRDefault="00611CBA">
      <w:pPr>
        <w:spacing w:line="360" w:lineRule="auto"/>
        <w:rPr>
          <w:rFonts w:eastAsiaTheme="minorEastAsia"/>
          <w:sz w:val="24"/>
        </w:rPr>
      </w:pPr>
      <w:r w:rsidRPr="00F9522B">
        <w:rPr>
          <w:rFonts w:eastAsiaTheme="minorEastAsia"/>
          <w:sz w:val="24"/>
        </w:rPr>
        <w:t xml:space="preserve">      C</w:t>
      </w:r>
      <w:r w:rsidRPr="00F9522B">
        <w:rPr>
          <w:rFonts w:eastAsiaTheme="minorEastAsia"/>
          <w:sz w:val="24"/>
        </w:rPr>
        <w:t>（</w:t>
      </w:r>
      <w:r w:rsidRPr="00F9522B">
        <w:rPr>
          <w:rFonts w:eastAsiaTheme="minorEastAsia"/>
          <w:sz w:val="24"/>
        </w:rPr>
        <w:t>Cl</w:t>
      </w:r>
      <w:r w:rsidRPr="00F9522B">
        <w:rPr>
          <w:rFonts w:eastAsiaTheme="minorEastAsia"/>
          <w:sz w:val="24"/>
          <w:vertAlign w:val="superscript"/>
        </w:rPr>
        <w:t>-</w:t>
      </w:r>
      <w:r w:rsidRPr="00F9522B">
        <w:rPr>
          <w:rFonts w:eastAsiaTheme="minorEastAsia"/>
          <w:sz w:val="24"/>
        </w:rPr>
        <w:t>）</w:t>
      </w:r>
      <w:r w:rsidRPr="00F9522B">
        <w:rPr>
          <w:rFonts w:eastAsiaTheme="minorEastAsia"/>
          <w:sz w:val="24"/>
        </w:rPr>
        <w:t>=</w:t>
      </w:r>
      <m:oMath>
        <m:f>
          <m:fPr>
            <m:ctrlPr>
              <w:rPr>
                <w:rFonts w:ascii="Cambria Math" w:eastAsiaTheme="minorEastAsia" w:hAnsi="Cambria Math"/>
                <w:sz w:val="24"/>
              </w:rPr>
            </m:ctrlPr>
          </m:fPr>
          <m:num>
            <m:r>
              <m:rPr>
                <m:sty m:val="p"/>
              </m:rPr>
              <w:rPr>
                <w:rFonts w:ascii="Cambria Math" w:eastAsiaTheme="minorEastAsia" w:hAnsi="Cambria Math"/>
                <w:sz w:val="24"/>
              </w:rPr>
              <m:t>66.1</m:t>
            </m:r>
          </m:num>
          <m:den>
            <m:r>
              <m:rPr>
                <m:sty m:val="p"/>
              </m:rPr>
              <w:rPr>
                <w:rFonts w:ascii="Cambria Math" w:eastAsiaTheme="minorEastAsia" w:hAnsi="Cambria Math"/>
              </w:rPr>
              <m:t>35.5</m:t>
            </m:r>
          </m:den>
        </m:f>
      </m:oMath>
      <w:r w:rsidR="006F3D3A" w:rsidRPr="00F9522B">
        <w:rPr>
          <w:rFonts w:eastAsiaTheme="minorEastAsia"/>
          <w:sz w:val="24"/>
        </w:rPr>
        <w:t>=1.86</w:t>
      </w:r>
    </w:p>
    <w:p w:rsidR="002A5A5E" w:rsidRPr="00F9522B" w:rsidRDefault="00611CBA">
      <w:pPr>
        <w:spacing w:line="360" w:lineRule="auto"/>
        <w:rPr>
          <w:rFonts w:eastAsiaTheme="minorEastAsia"/>
          <w:sz w:val="24"/>
        </w:rPr>
      </w:pPr>
      <w:r w:rsidRPr="00F9522B">
        <w:rPr>
          <w:rFonts w:eastAsiaTheme="minorEastAsia"/>
          <w:sz w:val="24"/>
        </w:rPr>
        <w:t xml:space="preserve">      C</w:t>
      </w:r>
      <w:r w:rsidRPr="00F9522B">
        <w:rPr>
          <w:rFonts w:eastAsiaTheme="minorEastAsia"/>
          <w:sz w:val="24"/>
        </w:rPr>
        <w:t>（</w:t>
      </w:r>
      <m:oMath>
        <m:f>
          <m:fPr>
            <m:type m:val="skw"/>
            <m:ctrlPr>
              <w:rPr>
                <w:rFonts w:ascii="Cambria Math" w:eastAsiaTheme="minorEastAsia" w:hAnsi="Cambria Math"/>
                <w:sz w:val="24"/>
              </w:rPr>
            </m:ctrlPr>
          </m:fPr>
          <m:num>
            <m:r>
              <m:rPr>
                <m:sty m:val="p"/>
              </m:rPr>
              <w:rPr>
                <w:rFonts w:ascii="Cambria Math" w:eastAsiaTheme="minorEastAsia" w:hAnsi="Cambria Math"/>
              </w:rPr>
              <m:t>1</m:t>
            </m:r>
          </m:num>
          <m:den>
            <m:r>
              <m:rPr>
                <m:sty m:val="p"/>
              </m:rPr>
              <w:rPr>
                <w:rFonts w:ascii="Cambria Math" w:eastAsiaTheme="minorEastAsia" w:hAnsi="Cambria Math"/>
              </w:rPr>
              <m:t>2</m:t>
            </m:r>
          </m:den>
        </m:f>
        <m:sSubSup>
          <m:sSubSupPr>
            <m:ctrlPr>
              <w:rPr>
                <w:rFonts w:ascii="Cambria Math" w:eastAsiaTheme="minorEastAsia" w:hAnsi="Cambria Math"/>
                <w:sz w:val="24"/>
              </w:rPr>
            </m:ctrlPr>
          </m:sSubSupPr>
          <m:e>
            <m:r>
              <m:rPr>
                <m:sty m:val="p"/>
              </m:rPr>
              <w:rPr>
                <w:rFonts w:ascii="Cambria Math" w:eastAsiaTheme="minorEastAsia" w:hAnsi="Cambria Math"/>
              </w:rPr>
              <m:t>SO</m:t>
            </m:r>
          </m:e>
          <m:sub>
            <m:r>
              <m:rPr>
                <m:sty m:val="p"/>
              </m:rPr>
              <w:rPr>
                <w:rFonts w:ascii="Cambria Math" w:eastAsiaTheme="minorEastAsia" w:hAnsi="Cambria Math"/>
              </w:rPr>
              <m:t>4</m:t>
            </m:r>
          </m:sub>
          <m:sup>
            <m:r>
              <m:rPr>
                <m:sty m:val="p"/>
              </m:rPr>
              <w:rPr>
                <w:rFonts w:ascii="Cambria Math" w:eastAsiaTheme="minorEastAsia" w:hAnsi="Cambria Math"/>
              </w:rPr>
              <m:t>2-</m:t>
            </m:r>
          </m:sup>
        </m:sSubSup>
      </m:oMath>
      <w:r w:rsidRPr="00F9522B">
        <w:rPr>
          <w:rFonts w:eastAsiaTheme="minorEastAsia"/>
          <w:sz w:val="24"/>
        </w:rPr>
        <w:t>）</w:t>
      </w:r>
      <w:r w:rsidRPr="00F9522B">
        <w:rPr>
          <w:rFonts w:eastAsiaTheme="minorEastAsia"/>
          <w:sz w:val="24"/>
        </w:rPr>
        <w:t>=</w:t>
      </w:r>
      <m:oMath>
        <m:f>
          <m:fPr>
            <m:ctrlPr>
              <w:rPr>
                <w:rFonts w:ascii="Cambria Math" w:eastAsiaTheme="minorEastAsia" w:hAnsi="Cambria Math"/>
                <w:sz w:val="24"/>
              </w:rPr>
            </m:ctrlPr>
          </m:fPr>
          <m:num>
            <m:r>
              <m:rPr>
                <m:sty m:val="p"/>
              </m:rPr>
              <w:rPr>
                <w:rFonts w:ascii="Cambria Math" w:eastAsiaTheme="minorEastAsia" w:hAnsi="Cambria Math"/>
                <w:sz w:val="24"/>
              </w:rPr>
              <m:t>54.9</m:t>
            </m:r>
          </m:num>
          <m:den>
            <m:r>
              <m:rPr>
                <m:sty m:val="p"/>
              </m:rPr>
              <w:rPr>
                <w:rFonts w:ascii="Cambria Math" w:eastAsiaTheme="minorEastAsia" w:hAnsi="Cambria Math"/>
              </w:rPr>
              <m:t>48</m:t>
            </m:r>
          </m:den>
        </m:f>
      </m:oMath>
      <w:r w:rsidR="006F3D3A" w:rsidRPr="00F9522B">
        <w:rPr>
          <w:rFonts w:eastAsiaTheme="minorEastAsia"/>
          <w:sz w:val="24"/>
        </w:rPr>
        <w:t>=1.14</w:t>
      </w:r>
    </w:p>
    <w:p w:rsidR="002A5A5E" w:rsidRPr="00F9522B" w:rsidRDefault="00611CBA">
      <w:pPr>
        <w:spacing w:line="360" w:lineRule="auto"/>
        <w:rPr>
          <w:rFonts w:eastAsiaTheme="minorEastAsia"/>
          <w:sz w:val="24"/>
        </w:rPr>
      </w:pPr>
      <w:r w:rsidRPr="00F9522B">
        <w:rPr>
          <w:rFonts w:eastAsiaTheme="minorEastAsia"/>
          <w:sz w:val="24"/>
        </w:rPr>
        <w:t>则：</w:t>
      </w:r>
      <w:r w:rsidRPr="00F9522B">
        <w:rPr>
          <w:rFonts w:eastAsiaTheme="minorEastAsia"/>
          <w:sz w:val="24"/>
        </w:rPr>
        <w:t>C</w:t>
      </w:r>
      <w:r w:rsidRPr="00F9522B">
        <w:rPr>
          <w:rFonts w:eastAsiaTheme="minorEastAsia"/>
          <w:sz w:val="24"/>
        </w:rPr>
        <w:t>（</w:t>
      </w:r>
      <w:r w:rsidRPr="00F9522B">
        <w:rPr>
          <w:rFonts w:eastAsiaTheme="minorEastAsia"/>
          <w:sz w:val="24"/>
        </w:rPr>
        <w:t>∑A</w:t>
      </w:r>
      <w:r w:rsidRPr="00F9522B">
        <w:rPr>
          <w:rFonts w:eastAsiaTheme="minorEastAsia"/>
          <w:sz w:val="24"/>
        </w:rPr>
        <w:t>）</w:t>
      </w:r>
      <w:r w:rsidRPr="00F9522B">
        <w:rPr>
          <w:rFonts w:eastAsiaTheme="minorEastAsia"/>
          <w:sz w:val="24"/>
        </w:rPr>
        <w:t>=</w:t>
      </w:r>
      <w:r w:rsidR="006F3D3A" w:rsidRPr="00F9522B">
        <w:rPr>
          <w:rFonts w:eastAsiaTheme="minorEastAsia"/>
          <w:sz w:val="24"/>
        </w:rPr>
        <w:t>7.79</w:t>
      </w:r>
      <w:r w:rsidRPr="00F9522B">
        <w:rPr>
          <w:rFonts w:eastAsiaTheme="minorEastAsia"/>
          <w:sz w:val="24"/>
        </w:rPr>
        <w:t>+</w:t>
      </w:r>
      <w:r w:rsidR="006F3D3A" w:rsidRPr="00F9522B">
        <w:rPr>
          <w:rFonts w:eastAsiaTheme="minorEastAsia"/>
          <w:sz w:val="24"/>
        </w:rPr>
        <w:t>1.86</w:t>
      </w:r>
      <w:r w:rsidRPr="00F9522B">
        <w:rPr>
          <w:rFonts w:eastAsiaTheme="minorEastAsia"/>
          <w:sz w:val="24"/>
        </w:rPr>
        <w:t>+</w:t>
      </w:r>
      <w:r w:rsidR="006F3D3A" w:rsidRPr="00F9522B">
        <w:rPr>
          <w:rFonts w:eastAsiaTheme="minorEastAsia"/>
          <w:sz w:val="24"/>
        </w:rPr>
        <w:t>1.14</w:t>
      </w:r>
      <w:r w:rsidRPr="00F9522B">
        <w:rPr>
          <w:rFonts w:eastAsiaTheme="minorEastAsia"/>
          <w:sz w:val="24"/>
        </w:rPr>
        <w:t>=</w:t>
      </w:r>
      <w:r w:rsidR="006F3D3A" w:rsidRPr="00F9522B">
        <w:rPr>
          <w:rFonts w:eastAsiaTheme="minorEastAsia"/>
          <w:sz w:val="24"/>
        </w:rPr>
        <w:t>10.79</w:t>
      </w:r>
    </w:p>
    <w:p w:rsidR="002A5A5E" w:rsidRPr="00F9522B" w:rsidRDefault="00611CBA">
      <w:pPr>
        <w:spacing w:line="360" w:lineRule="auto"/>
        <w:jc w:val="left"/>
        <w:rPr>
          <w:rFonts w:eastAsiaTheme="minorEastAsia"/>
          <w:sz w:val="24"/>
        </w:rPr>
      </w:pPr>
      <w:r w:rsidRPr="00F9522B">
        <w:rPr>
          <w:rFonts w:eastAsiaTheme="minorEastAsia"/>
          <w:sz w:val="24"/>
        </w:rPr>
        <w:t xml:space="preserve">        SB=</w:t>
      </w:r>
      <m:oMath>
        <m:f>
          <m:fPr>
            <m:ctrlPr>
              <w:rPr>
                <w:rFonts w:ascii="Cambria Math" w:eastAsiaTheme="minorEastAsia" w:hAnsi="Cambria Math"/>
                <w:sz w:val="24"/>
              </w:rPr>
            </m:ctrlPr>
          </m:fPr>
          <m:num>
            <m:r>
              <m:rPr>
                <m:sty m:val="p"/>
              </m:rPr>
              <w:rPr>
                <w:rFonts w:ascii="Cambria Math" w:eastAsiaTheme="minorEastAsia" w:hAnsi="Cambria Math"/>
                <w:sz w:val="24"/>
              </w:rPr>
              <m:t>1.14</m:t>
            </m:r>
          </m:num>
          <m:den>
            <m:r>
              <m:rPr>
                <m:sty m:val="p"/>
              </m:rPr>
              <w:rPr>
                <w:rFonts w:ascii="Cambria Math" w:eastAsiaTheme="minorEastAsia" w:hAnsi="Cambria Math"/>
                <w:sz w:val="24"/>
              </w:rPr>
              <m:t>10.79</m:t>
            </m:r>
          </m:den>
        </m:f>
      </m:oMath>
      <w:r w:rsidRPr="00F9522B">
        <w:rPr>
          <w:rFonts w:eastAsiaTheme="minorEastAsia"/>
          <w:sz w:val="24"/>
        </w:rPr>
        <w:t>=0.1</w:t>
      </w:r>
      <w:r w:rsidR="006F3D3A" w:rsidRPr="00F9522B">
        <w:rPr>
          <w:rFonts w:eastAsiaTheme="minorEastAsia"/>
          <w:sz w:val="24"/>
        </w:rPr>
        <w:t>06</w:t>
      </w:r>
    </w:p>
    <w:p w:rsidR="002A5A5E" w:rsidRPr="00F9522B" w:rsidRDefault="00611CBA">
      <w:pPr>
        <w:spacing w:line="360" w:lineRule="auto"/>
        <w:ind w:firstLineChars="396" w:firstLine="950"/>
        <w:rPr>
          <w:rFonts w:eastAsiaTheme="minorEastAsia"/>
          <w:sz w:val="24"/>
        </w:rPr>
      </w:pPr>
      <w:r w:rsidRPr="00F9522B">
        <w:rPr>
          <w:rFonts w:eastAsiaTheme="minorEastAsia"/>
          <w:sz w:val="24"/>
        </w:rPr>
        <w:t>HCB=</w:t>
      </w:r>
      <m:oMath>
        <m:f>
          <m:fPr>
            <m:ctrlPr>
              <w:rPr>
                <w:rFonts w:ascii="Cambria Math" w:eastAsiaTheme="minorEastAsia" w:hAnsi="Cambria Math"/>
                <w:sz w:val="24"/>
              </w:rPr>
            </m:ctrlPr>
          </m:fPr>
          <m:num>
            <m:r>
              <m:rPr>
                <m:sty m:val="p"/>
              </m:rPr>
              <w:rPr>
                <w:rFonts w:ascii="Cambria Math" w:eastAsiaTheme="minorEastAsia" w:hAnsi="Cambria Math"/>
                <w:sz w:val="24"/>
              </w:rPr>
              <m:t>7.79</m:t>
            </m:r>
          </m:num>
          <m:den>
            <m:r>
              <m:rPr>
                <m:sty m:val="p"/>
              </m:rPr>
              <w:rPr>
                <w:rFonts w:ascii="Cambria Math" w:eastAsiaTheme="minorEastAsia" w:hAnsi="Cambria Math"/>
                <w:sz w:val="24"/>
              </w:rPr>
              <m:t>1.86</m:t>
            </m:r>
          </m:den>
        </m:f>
      </m:oMath>
      <w:r w:rsidR="006F3D3A" w:rsidRPr="00F9522B">
        <w:rPr>
          <w:rFonts w:eastAsiaTheme="minorEastAsia"/>
          <w:sz w:val="24"/>
        </w:rPr>
        <w:t>=4.18</w:t>
      </w:r>
    </w:p>
    <w:p w:rsidR="002A5A5E" w:rsidRPr="00F9522B" w:rsidRDefault="00611CBA">
      <w:pPr>
        <w:spacing w:line="360" w:lineRule="auto"/>
        <w:rPr>
          <w:rFonts w:eastAsiaTheme="minorEastAsia"/>
          <w:sz w:val="24"/>
        </w:rPr>
      </w:pPr>
      <w:r w:rsidRPr="00F9522B">
        <w:rPr>
          <w:rFonts w:eastAsiaTheme="minorEastAsia"/>
          <w:sz w:val="24"/>
        </w:rPr>
        <w:t>经查表</w:t>
      </w:r>
      <w:r w:rsidRPr="00F9522B">
        <w:rPr>
          <w:rFonts w:eastAsiaTheme="minorEastAsia"/>
          <w:sz w:val="24"/>
        </w:rPr>
        <w:t>4-2-13</w:t>
      </w:r>
      <w:r w:rsidRPr="00F9522B">
        <w:rPr>
          <w:rFonts w:eastAsiaTheme="minorEastAsia"/>
          <w:sz w:val="24"/>
        </w:rPr>
        <w:t>得</w:t>
      </w:r>
      <w:r w:rsidRPr="00F9522B">
        <w:rPr>
          <w:rFonts w:eastAsiaTheme="minorEastAsia"/>
          <w:sz w:val="24"/>
        </w:rPr>
        <w:t>Ms</w:t>
      </w:r>
      <w:r w:rsidRPr="00F9522B">
        <w:rPr>
          <w:rFonts w:eastAsiaTheme="minorEastAsia"/>
          <w:sz w:val="24"/>
        </w:rPr>
        <w:t>为</w:t>
      </w:r>
      <w:r w:rsidRPr="00F9522B">
        <w:rPr>
          <w:rFonts w:eastAsiaTheme="minorEastAsia"/>
          <w:sz w:val="24"/>
        </w:rPr>
        <w:t>0.074</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矿化度（</w:t>
      </w:r>
      <w:r w:rsidRPr="00F9522B">
        <w:rPr>
          <w:rFonts w:eastAsiaTheme="minorEastAsia"/>
          <w:sz w:val="24"/>
        </w:rPr>
        <w:t>g/L</w:t>
      </w:r>
      <w:r w:rsidRPr="00F9522B">
        <w:rPr>
          <w:rFonts w:eastAsiaTheme="minorEastAsia"/>
          <w:sz w:val="24"/>
        </w:rPr>
        <w:t>）</w:t>
      </w:r>
      <w:r w:rsidRPr="00F9522B">
        <w:rPr>
          <w:rFonts w:eastAsiaTheme="minorEastAsia"/>
          <w:sz w:val="24"/>
        </w:rPr>
        <w:t>=</w:t>
      </w:r>
      <w:r w:rsidR="008531DC" w:rsidRPr="00F9522B">
        <w:rPr>
          <w:rFonts w:eastAsiaTheme="minorEastAsia"/>
          <w:sz w:val="24"/>
        </w:rPr>
        <w:t>10.79</w:t>
      </w:r>
      <w:r w:rsidRPr="00F9522B">
        <w:rPr>
          <w:rFonts w:eastAsiaTheme="minorEastAsia"/>
          <w:sz w:val="24"/>
        </w:rPr>
        <w:t>×0.074=</w:t>
      </w:r>
      <w:r w:rsidR="008531DC" w:rsidRPr="00F9522B">
        <w:rPr>
          <w:rFonts w:eastAsiaTheme="minorEastAsia"/>
          <w:sz w:val="24"/>
        </w:rPr>
        <w:t>0.8</w:t>
      </w:r>
      <w:r w:rsidRPr="00F9522B">
        <w:rPr>
          <w:rFonts w:eastAsiaTheme="minorEastAsia"/>
          <w:sz w:val="24"/>
        </w:rPr>
        <w:t>，所以</w:t>
      </w:r>
      <w:r w:rsidRPr="00F9522B">
        <w:rPr>
          <w:rFonts w:ascii="宋体" w:hAnsi="宋体" w:cs="宋体" w:hint="eastAsia"/>
          <w:sz w:val="24"/>
        </w:rPr>
        <w:t>☆</w:t>
      </w:r>
      <w:r w:rsidRPr="00F9522B">
        <w:rPr>
          <w:rFonts w:eastAsiaTheme="minorEastAsia"/>
          <w:sz w:val="24"/>
        </w:rPr>
        <w:t>1</w:t>
      </w:r>
      <w:r w:rsidRPr="00F9522B">
        <w:rPr>
          <w:rFonts w:eastAsiaTheme="minorEastAsia"/>
          <w:sz w:val="24"/>
        </w:rPr>
        <w:t>矿化度处于</w:t>
      </w:r>
      <w:r w:rsidRPr="00F9522B">
        <w:rPr>
          <w:rFonts w:eastAsiaTheme="minorEastAsia"/>
          <w:sz w:val="24"/>
        </w:rPr>
        <w:t>A</w:t>
      </w:r>
      <w:r w:rsidRPr="00F9522B">
        <w:rPr>
          <w:rFonts w:eastAsiaTheme="minorEastAsia"/>
          <w:sz w:val="24"/>
        </w:rPr>
        <w:t>组，其它监测点位参考以上方法计算，水质矿化度计算结果见表</w:t>
      </w:r>
      <w:r w:rsidRPr="00F9522B">
        <w:rPr>
          <w:rFonts w:eastAsiaTheme="minorEastAsia"/>
          <w:sz w:val="24"/>
        </w:rPr>
        <w:t>4-2-17</w:t>
      </w:r>
      <w:r w:rsidRPr="00F9522B">
        <w:rPr>
          <w:rFonts w:eastAsiaTheme="minorEastAsia"/>
          <w:sz w:val="24"/>
        </w:rPr>
        <w:t>。</w:t>
      </w:r>
    </w:p>
    <w:p w:rsidR="002A5A5E" w:rsidRPr="00F9522B" w:rsidRDefault="00611CBA">
      <w:pPr>
        <w:contextualSpacing/>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 xml:space="preserve">4-2-17 </w:t>
      </w:r>
      <w:r w:rsidRPr="00F9522B">
        <w:rPr>
          <w:rFonts w:eastAsiaTheme="minorEastAsia"/>
          <w:b/>
          <w:kern w:val="0"/>
          <w:szCs w:val="21"/>
        </w:rPr>
        <w:t>水质矿化度</w:t>
      </w:r>
    </w:p>
    <w:tbl>
      <w:tblPr>
        <w:tblW w:w="4937" w:type="pct"/>
        <w:jc w:val="center"/>
        <w:tblBorders>
          <w:top w:val="single" w:sz="12" w:space="0" w:color="auto"/>
          <w:bottom w:val="single" w:sz="12" w:space="0" w:color="auto"/>
          <w:insideH w:val="single" w:sz="4" w:space="0" w:color="auto"/>
          <w:insideV w:val="single" w:sz="4" w:space="0" w:color="auto"/>
        </w:tblBorders>
        <w:tblLook w:val="04A0"/>
      </w:tblPr>
      <w:tblGrid>
        <w:gridCol w:w="1680"/>
        <w:gridCol w:w="1685"/>
        <w:gridCol w:w="1685"/>
        <w:gridCol w:w="1685"/>
        <w:gridCol w:w="1680"/>
      </w:tblGrid>
      <w:tr w:rsidR="002A5A5E" w:rsidRPr="00F9522B">
        <w:trPr>
          <w:trHeight w:val="369"/>
          <w:jc w:val="center"/>
        </w:trPr>
        <w:tc>
          <w:tcPr>
            <w:tcW w:w="998" w:type="pct"/>
            <w:tcBorders>
              <w:top w:val="single" w:sz="12" w:space="0" w:color="auto"/>
              <w:left w:val="nil"/>
              <w:bottom w:val="single" w:sz="4" w:space="0" w:color="auto"/>
              <w:right w:val="single" w:sz="4" w:space="0" w:color="auto"/>
              <w:tl2br w:val="single" w:sz="12" w:space="0" w:color="000000"/>
            </w:tcBorders>
            <w:vAlign w:val="center"/>
          </w:tcPr>
          <w:p w:rsidR="002A5A5E" w:rsidRPr="00F9522B" w:rsidRDefault="00611CBA">
            <w:pPr>
              <w:jc w:val="center"/>
              <w:rPr>
                <w:rFonts w:eastAsiaTheme="minorEastAsia"/>
                <w:kern w:val="0"/>
              </w:rPr>
            </w:pPr>
            <w:r w:rsidRPr="00F9522B">
              <w:rPr>
                <w:rFonts w:eastAsiaTheme="minorEastAsia"/>
                <w:kern w:val="0"/>
              </w:rPr>
              <w:t>编号</w:t>
            </w:r>
          </w:p>
          <w:p w:rsidR="002A5A5E" w:rsidRPr="00F9522B" w:rsidRDefault="00611CBA">
            <w:pPr>
              <w:jc w:val="center"/>
              <w:rPr>
                <w:rFonts w:eastAsiaTheme="minorEastAsia"/>
                <w:kern w:val="0"/>
              </w:rPr>
            </w:pPr>
            <w:r w:rsidRPr="00F9522B">
              <w:rPr>
                <w:rFonts w:eastAsiaTheme="minorEastAsia"/>
                <w:kern w:val="0"/>
              </w:rPr>
              <w:t>项目</w:t>
            </w:r>
          </w:p>
        </w:tc>
        <w:tc>
          <w:tcPr>
            <w:tcW w:w="1001" w:type="pct"/>
            <w:tcBorders>
              <w:top w:val="single" w:sz="12" w:space="0" w:color="auto"/>
              <w:left w:val="single" w:sz="4" w:space="0" w:color="auto"/>
              <w:bottom w:val="single" w:sz="4" w:space="0" w:color="auto"/>
              <w:right w:val="single" w:sz="4" w:space="0" w:color="auto"/>
            </w:tcBorders>
            <w:vAlign w:val="center"/>
          </w:tcPr>
          <w:p w:rsidR="002A5A5E" w:rsidRPr="00F9522B" w:rsidRDefault="00611CBA">
            <w:pPr>
              <w:widowControl/>
              <w:adjustRightInd w:val="0"/>
              <w:snapToGrid w:val="0"/>
              <w:jc w:val="center"/>
              <w:rPr>
                <w:rFonts w:eastAsiaTheme="minorEastAsia"/>
                <w:kern w:val="0"/>
                <w:szCs w:val="21"/>
              </w:rPr>
            </w:pPr>
            <w:r w:rsidRPr="00F9522B">
              <w:rPr>
                <w:rFonts w:ascii="宋体" w:hAnsi="宋体" w:cs="宋体" w:hint="eastAsia"/>
                <w:szCs w:val="21"/>
              </w:rPr>
              <w:t>☆</w:t>
            </w:r>
            <w:r w:rsidRPr="00F9522B">
              <w:rPr>
                <w:rFonts w:eastAsiaTheme="minorEastAsia"/>
                <w:szCs w:val="21"/>
              </w:rPr>
              <w:t>01</w:t>
            </w:r>
          </w:p>
        </w:tc>
        <w:tc>
          <w:tcPr>
            <w:tcW w:w="1001" w:type="pct"/>
            <w:tcBorders>
              <w:top w:val="single" w:sz="12" w:space="0" w:color="auto"/>
              <w:left w:val="single" w:sz="4" w:space="0" w:color="auto"/>
              <w:bottom w:val="single" w:sz="4" w:space="0" w:color="auto"/>
              <w:right w:val="single" w:sz="4" w:space="0" w:color="auto"/>
            </w:tcBorders>
            <w:vAlign w:val="center"/>
          </w:tcPr>
          <w:p w:rsidR="002A5A5E" w:rsidRPr="00F9522B" w:rsidRDefault="00611CBA">
            <w:pPr>
              <w:widowControl/>
              <w:adjustRightInd w:val="0"/>
              <w:snapToGrid w:val="0"/>
              <w:jc w:val="center"/>
              <w:rPr>
                <w:rFonts w:eastAsiaTheme="minorEastAsia"/>
                <w:kern w:val="0"/>
                <w:szCs w:val="21"/>
              </w:rPr>
            </w:pPr>
            <w:r w:rsidRPr="00F9522B">
              <w:rPr>
                <w:rFonts w:ascii="宋体" w:hAnsi="宋体" w:cs="宋体" w:hint="eastAsia"/>
                <w:szCs w:val="21"/>
              </w:rPr>
              <w:t>☆</w:t>
            </w:r>
            <w:r w:rsidRPr="00F9522B">
              <w:rPr>
                <w:rFonts w:eastAsiaTheme="minorEastAsia"/>
                <w:szCs w:val="21"/>
              </w:rPr>
              <w:t>02</w:t>
            </w:r>
          </w:p>
        </w:tc>
        <w:tc>
          <w:tcPr>
            <w:tcW w:w="1001" w:type="pct"/>
            <w:tcBorders>
              <w:top w:val="single" w:sz="12" w:space="0" w:color="auto"/>
              <w:left w:val="single" w:sz="4" w:space="0" w:color="auto"/>
              <w:bottom w:val="single" w:sz="4" w:space="0" w:color="auto"/>
              <w:right w:val="nil"/>
            </w:tcBorders>
            <w:vAlign w:val="center"/>
          </w:tcPr>
          <w:p w:rsidR="002A5A5E" w:rsidRPr="00F9522B" w:rsidRDefault="00611CBA">
            <w:pPr>
              <w:widowControl/>
              <w:adjustRightInd w:val="0"/>
              <w:snapToGrid w:val="0"/>
              <w:jc w:val="center"/>
              <w:rPr>
                <w:rFonts w:eastAsiaTheme="minorEastAsia"/>
                <w:kern w:val="0"/>
                <w:szCs w:val="21"/>
              </w:rPr>
            </w:pPr>
            <w:r w:rsidRPr="00F9522B">
              <w:rPr>
                <w:rFonts w:ascii="宋体" w:hAnsi="宋体" w:cs="宋体" w:hint="eastAsia"/>
                <w:szCs w:val="21"/>
              </w:rPr>
              <w:t>☆</w:t>
            </w:r>
            <w:r w:rsidRPr="00F9522B">
              <w:rPr>
                <w:rFonts w:eastAsiaTheme="minorEastAsia"/>
                <w:szCs w:val="21"/>
              </w:rPr>
              <w:t>03</w:t>
            </w:r>
          </w:p>
        </w:tc>
        <w:tc>
          <w:tcPr>
            <w:tcW w:w="998" w:type="pct"/>
            <w:tcBorders>
              <w:top w:val="single" w:sz="12" w:space="0" w:color="auto"/>
              <w:left w:val="single" w:sz="4" w:space="0" w:color="auto"/>
              <w:bottom w:val="single" w:sz="4" w:space="0" w:color="auto"/>
              <w:right w:val="nil"/>
            </w:tcBorders>
            <w:vAlign w:val="center"/>
          </w:tcPr>
          <w:p w:rsidR="002A5A5E" w:rsidRPr="00F9522B" w:rsidRDefault="00611CBA">
            <w:pPr>
              <w:widowControl/>
              <w:adjustRightInd w:val="0"/>
              <w:snapToGrid w:val="0"/>
              <w:jc w:val="center"/>
              <w:rPr>
                <w:rFonts w:eastAsiaTheme="minorEastAsia"/>
                <w:szCs w:val="21"/>
              </w:rPr>
            </w:pPr>
            <w:r w:rsidRPr="00F9522B">
              <w:rPr>
                <w:rFonts w:ascii="宋体" w:hAnsi="宋体" w:cs="宋体" w:hint="eastAsia"/>
                <w:szCs w:val="21"/>
              </w:rPr>
              <w:t>☆</w:t>
            </w:r>
            <w:r w:rsidRPr="00F9522B">
              <w:rPr>
                <w:rFonts w:eastAsiaTheme="minorEastAsia"/>
                <w:szCs w:val="21"/>
              </w:rPr>
              <w:t>04</w:t>
            </w:r>
          </w:p>
        </w:tc>
      </w:tr>
      <w:tr w:rsidR="002A5A5E" w:rsidRPr="00F9522B">
        <w:trPr>
          <w:trHeight w:val="369"/>
          <w:jc w:val="center"/>
        </w:trPr>
        <w:tc>
          <w:tcPr>
            <w:tcW w:w="998" w:type="pct"/>
            <w:tcBorders>
              <w:top w:val="single" w:sz="4" w:space="0" w:color="auto"/>
              <w:left w:val="nil"/>
              <w:bottom w:val="single" w:sz="4" w:space="0" w:color="auto"/>
              <w:right w:val="single" w:sz="4" w:space="0" w:color="auto"/>
            </w:tcBorders>
            <w:vAlign w:val="center"/>
          </w:tcPr>
          <w:p w:rsidR="002A5A5E" w:rsidRPr="00F9522B" w:rsidRDefault="00611CBA">
            <w:pPr>
              <w:jc w:val="center"/>
              <w:rPr>
                <w:rFonts w:eastAsiaTheme="minorEastAsia"/>
                <w:kern w:val="0"/>
              </w:rPr>
            </w:pPr>
            <w:r w:rsidRPr="00F9522B">
              <w:rPr>
                <w:rFonts w:eastAsiaTheme="minorEastAsia"/>
                <w:kern w:val="0"/>
              </w:rPr>
              <w:t>矿化度（</w:t>
            </w:r>
            <w:r w:rsidRPr="00F9522B">
              <w:rPr>
                <w:rFonts w:eastAsiaTheme="minorEastAsia"/>
                <w:kern w:val="0"/>
              </w:rPr>
              <w:t>M</w:t>
            </w:r>
            <w:r w:rsidRPr="00F9522B">
              <w:rPr>
                <w:rFonts w:eastAsiaTheme="minorEastAsia"/>
                <w:kern w:val="0"/>
              </w:rPr>
              <w:t>）</w:t>
            </w:r>
          </w:p>
        </w:tc>
        <w:tc>
          <w:tcPr>
            <w:tcW w:w="1001" w:type="pct"/>
            <w:tcBorders>
              <w:top w:val="single" w:sz="4" w:space="0" w:color="auto"/>
              <w:left w:val="single" w:sz="4" w:space="0" w:color="auto"/>
              <w:bottom w:val="single" w:sz="4" w:space="0" w:color="auto"/>
              <w:right w:val="single" w:sz="4" w:space="0" w:color="auto"/>
            </w:tcBorders>
            <w:vAlign w:val="center"/>
          </w:tcPr>
          <w:p w:rsidR="002A5A5E" w:rsidRPr="00F9522B" w:rsidRDefault="008531DC">
            <w:pPr>
              <w:jc w:val="center"/>
              <w:rPr>
                <w:rFonts w:eastAsiaTheme="minorEastAsia"/>
                <w:kern w:val="0"/>
              </w:rPr>
            </w:pPr>
            <w:r w:rsidRPr="00F9522B">
              <w:rPr>
                <w:rFonts w:eastAsiaTheme="minorEastAsia"/>
                <w:kern w:val="0"/>
              </w:rPr>
              <w:t>0.8</w:t>
            </w:r>
          </w:p>
        </w:tc>
        <w:tc>
          <w:tcPr>
            <w:tcW w:w="1001" w:type="pct"/>
            <w:tcBorders>
              <w:top w:val="single" w:sz="4" w:space="0" w:color="auto"/>
              <w:left w:val="single" w:sz="4" w:space="0" w:color="auto"/>
              <w:bottom w:val="single" w:sz="4" w:space="0" w:color="auto"/>
              <w:right w:val="single" w:sz="4" w:space="0" w:color="auto"/>
            </w:tcBorders>
            <w:vAlign w:val="center"/>
          </w:tcPr>
          <w:p w:rsidR="002A5A5E" w:rsidRPr="00F9522B" w:rsidRDefault="00FE1542">
            <w:pPr>
              <w:jc w:val="center"/>
              <w:rPr>
                <w:rFonts w:eastAsiaTheme="minorEastAsia"/>
                <w:kern w:val="0"/>
              </w:rPr>
            </w:pPr>
            <w:r w:rsidRPr="00F9522B">
              <w:rPr>
                <w:rFonts w:eastAsiaTheme="minorEastAsia"/>
                <w:kern w:val="0"/>
              </w:rPr>
              <w:t>0.7</w:t>
            </w:r>
          </w:p>
        </w:tc>
        <w:tc>
          <w:tcPr>
            <w:tcW w:w="1001" w:type="pct"/>
            <w:tcBorders>
              <w:top w:val="single" w:sz="4" w:space="0" w:color="auto"/>
              <w:left w:val="single" w:sz="4" w:space="0" w:color="auto"/>
              <w:bottom w:val="single" w:sz="4" w:space="0" w:color="auto"/>
              <w:right w:val="nil"/>
            </w:tcBorders>
            <w:vAlign w:val="center"/>
          </w:tcPr>
          <w:p w:rsidR="002A5A5E" w:rsidRPr="00F9522B" w:rsidRDefault="00FE1542">
            <w:pPr>
              <w:jc w:val="center"/>
              <w:rPr>
                <w:rFonts w:eastAsiaTheme="minorEastAsia"/>
                <w:kern w:val="0"/>
              </w:rPr>
            </w:pPr>
            <w:r w:rsidRPr="00F9522B">
              <w:rPr>
                <w:rFonts w:eastAsiaTheme="minorEastAsia"/>
                <w:kern w:val="0"/>
              </w:rPr>
              <w:t>0.6</w:t>
            </w:r>
          </w:p>
        </w:tc>
        <w:tc>
          <w:tcPr>
            <w:tcW w:w="998" w:type="pct"/>
            <w:tcBorders>
              <w:top w:val="single" w:sz="4" w:space="0" w:color="auto"/>
              <w:left w:val="single" w:sz="4" w:space="0" w:color="auto"/>
              <w:bottom w:val="single" w:sz="4" w:space="0" w:color="auto"/>
              <w:right w:val="nil"/>
            </w:tcBorders>
            <w:vAlign w:val="center"/>
          </w:tcPr>
          <w:p w:rsidR="002A5A5E" w:rsidRPr="00F9522B" w:rsidRDefault="00FE1542">
            <w:pPr>
              <w:jc w:val="center"/>
              <w:rPr>
                <w:rFonts w:eastAsiaTheme="minorEastAsia"/>
                <w:kern w:val="0"/>
              </w:rPr>
            </w:pPr>
            <w:r w:rsidRPr="00F9522B">
              <w:rPr>
                <w:rFonts w:eastAsiaTheme="minorEastAsia"/>
                <w:kern w:val="0"/>
              </w:rPr>
              <w:t>0.92</w:t>
            </w:r>
          </w:p>
        </w:tc>
      </w:tr>
      <w:tr w:rsidR="002A5A5E" w:rsidRPr="00F9522B">
        <w:trPr>
          <w:trHeight w:val="378"/>
          <w:jc w:val="center"/>
        </w:trPr>
        <w:tc>
          <w:tcPr>
            <w:tcW w:w="998" w:type="pct"/>
            <w:tcBorders>
              <w:top w:val="single" w:sz="4" w:space="0" w:color="auto"/>
              <w:left w:val="nil"/>
              <w:bottom w:val="single" w:sz="12" w:space="0" w:color="auto"/>
              <w:right w:val="single" w:sz="4" w:space="0" w:color="auto"/>
            </w:tcBorders>
            <w:vAlign w:val="center"/>
          </w:tcPr>
          <w:p w:rsidR="002A5A5E" w:rsidRPr="00F9522B" w:rsidRDefault="00611CBA">
            <w:pPr>
              <w:jc w:val="center"/>
              <w:rPr>
                <w:rFonts w:eastAsiaTheme="minorEastAsia"/>
                <w:kern w:val="0"/>
              </w:rPr>
            </w:pPr>
            <w:r w:rsidRPr="00F9522B">
              <w:rPr>
                <w:rFonts w:eastAsiaTheme="minorEastAsia"/>
                <w:kern w:val="0"/>
              </w:rPr>
              <w:t>矿化度分组</w:t>
            </w:r>
          </w:p>
        </w:tc>
        <w:tc>
          <w:tcPr>
            <w:tcW w:w="1001" w:type="pct"/>
            <w:tcBorders>
              <w:top w:val="single" w:sz="4" w:space="0" w:color="auto"/>
              <w:left w:val="single" w:sz="4" w:space="0" w:color="auto"/>
              <w:bottom w:val="single" w:sz="12" w:space="0" w:color="auto"/>
              <w:right w:val="single" w:sz="4" w:space="0" w:color="auto"/>
            </w:tcBorders>
            <w:vAlign w:val="center"/>
          </w:tcPr>
          <w:p w:rsidR="002A5A5E" w:rsidRPr="00F9522B" w:rsidRDefault="00611CBA">
            <w:pPr>
              <w:jc w:val="center"/>
              <w:rPr>
                <w:rFonts w:eastAsiaTheme="minorEastAsia"/>
                <w:kern w:val="0"/>
              </w:rPr>
            </w:pPr>
            <w:r w:rsidRPr="00F9522B">
              <w:rPr>
                <w:rFonts w:eastAsiaTheme="minorEastAsia"/>
                <w:kern w:val="0"/>
              </w:rPr>
              <w:t>A</w:t>
            </w:r>
          </w:p>
        </w:tc>
        <w:tc>
          <w:tcPr>
            <w:tcW w:w="1001" w:type="pct"/>
            <w:tcBorders>
              <w:top w:val="single" w:sz="4" w:space="0" w:color="auto"/>
              <w:left w:val="single" w:sz="4" w:space="0" w:color="auto"/>
              <w:bottom w:val="single" w:sz="12" w:space="0" w:color="auto"/>
              <w:right w:val="single" w:sz="4" w:space="0" w:color="auto"/>
            </w:tcBorders>
            <w:vAlign w:val="center"/>
          </w:tcPr>
          <w:p w:rsidR="002A5A5E" w:rsidRPr="00F9522B" w:rsidRDefault="00611CBA">
            <w:pPr>
              <w:jc w:val="center"/>
              <w:rPr>
                <w:rFonts w:eastAsiaTheme="minorEastAsia"/>
                <w:kern w:val="0"/>
              </w:rPr>
            </w:pPr>
            <w:r w:rsidRPr="00F9522B">
              <w:rPr>
                <w:rFonts w:eastAsiaTheme="minorEastAsia"/>
                <w:kern w:val="0"/>
              </w:rPr>
              <w:t>A</w:t>
            </w:r>
          </w:p>
        </w:tc>
        <w:tc>
          <w:tcPr>
            <w:tcW w:w="1001" w:type="pct"/>
            <w:tcBorders>
              <w:top w:val="single" w:sz="4" w:space="0" w:color="auto"/>
              <w:left w:val="single" w:sz="4" w:space="0" w:color="auto"/>
              <w:bottom w:val="single" w:sz="12" w:space="0" w:color="auto"/>
              <w:right w:val="nil"/>
            </w:tcBorders>
            <w:vAlign w:val="center"/>
          </w:tcPr>
          <w:p w:rsidR="002A5A5E" w:rsidRPr="00F9522B" w:rsidRDefault="00611CBA">
            <w:pPr>
              <w:jc w:val="center"/>
              <w:rPr>
                <w:rFonts w:eastAsiaTheme="minorEastAsia"/>
                <w:kern w:val="0"/>
              </w:rPr>
            </w:pPr>
            <w:r w:rsidRPr="00F9522B">
              <w:rPr>
                <w:rFonts w:eastAsiaTheme="minorEastAsia"/>
                <w:kern w:val="0"/>
              </w:rPr>
              <w:t>A</w:t>
            </w:r>
          </w:p>
        </w:tc>
        <w:tc>
          <w:tcPr>
            <w:tcW w:w="998" w:type="pct"/>
            <w:tcBorders>
              <w:top w:val="single" w:sz="4" w:space="0" w:color="auto"/>
              <w:left w:val="single" w:sz="4" w:space="0" w:color="auto"/>
              <w:bottom w:val="single" w:sz="12" w:space="0" w:color="auto"/>
              <w:right w:val="nil"/>
            </w:tcBorders>
            <w:vAlign w:val="center"/>
          </w:tcPr>
          <w:p w:rsidR="002A5A5E" w:rsidRPr="00F9522B" w:rsidRDefault="00611CBA">
            <w:pPr>
              <w:jc w:val="center"/>
              <w:rPr>
                <w:rFonts w:eastAsiaTheme="minorEastAsia"/>
                <w:kern w:val="0"/>
              </w:rPr>
            </w:pPr>
            <w:r w:rsidRPr="00F9522B">
              <w:rPr>
                <w:rFonts w:eastAsiaTheme="minorEastAsia"/>
                <w:kern w:val="0"/>
              </w:rPr>
              <w:t>A</w:t>
            </w:r>
          </w:p>
        </w:tc>
      </w:tr>
    </w:tbl>
    <w:p w:rsidR="002A5A5E" w:rsidRPr="00F9522B" w:rsidRDefault="00611CBA">
      <w:pPr>
        <w:spacing w:line="360" w:lineRule="auto"/>
        <w:rPr>
          <w:rFonts w:eastAsiaTheme="minorEastAsia"/>
          <w:sz w:val="24"/>
        </w:rPr>
      </w:pPr>
      <w:r w:rsidRPr="00F9522B">
        <w:rPr>
          <w:rFonts w:eastAsiaTheme="minorEastAsia"/>
          <w:sz w:val="24"/>
        </w:rPr>
        <w:t>综上所述，项目区矿化度小于</w:t>
      </w:r>
      <w:r w:rsidRPr="00F9522B">
        <w:rPr>
          <w:rFonts w:eastAsiaTheme="minorEastAsia"/>
          <w:sz w:val="24"/>
        </w:rPr>
        <w:t>1.5g/L</w:t>
      </w:r>
      <w:r w:rsidRPr="00F9522B">
        <w:rPr>
          <w:rFonts w:eastAsiaTheme="minorEastAsia"/>
          <w:sz w:val="24"/>
        </w:rPr>
        <w:t>。</w:t>
      </w:r>
    </w:p>
    <w:p w:rsidR="002A5A5E" w:rsidRPr="00F9522B" w:rsidRDefault="00611CBA">
      <w:pPr>
        <w:spacing w:line="360" w:lineRule="auto"/>
        <w:ind w:firstLineChars="210" w:firstLine="504"/>
        <w:rPr>
          <w:rFonts w:eastAsiaTheme="minorEastAsia"/>
          <w:sz w:val="24"/>
          <w:lang w:val="zh-CN"/>
        </w:rPr>
      </w:pPr>
      <w:r w:rsidRPr="00F9522B">
        <w:rPr>
          <w:rFonts w:eastAsiaTheme="minorEastAsia"/>
          <w:sz w:val="24"/>
          <w:lang w:val="zh-CN"/>
        </w:rPr>
        <w:t>（</w:t>
      </w:r>
      <w:r w:rsidRPr="00F9522B">
        <w:rPr>
          <w:rFonts w:eastAsiaTheme="minorEastAsia"/>
          <w:sz w:val="24"/>
          <w:lang w:val="zh-CN"/>
        </w:rPr>
        <w:t>3</w:t>
      </w:r>
      <w:r w:rsidRPr="00F9522B">
        <w:rPr>
          <w:rFonts w:eastAsiaTheme="minorEastAsia"/>
          <w:sz w:val="24"/>
          <w:lang w:val="zh-CN"/>
        </w:rPr>
        <w:t>）现状评价结论</w:t>
      </w:r>
    </w:p>
    <w:p w:rsidR="002A5A5E" w:rsidRPr="00F9522B" w:rsidRDefault="00902F59" w:rsidP="00902F59">
      <w:pPr>
        <w:spacing w:line="360" w:lineRule="auto"/>
        <w:ind w:firstLineChars="200" w:firstLine="480"/>
        <w:rPr>
          <w:rFonts w:eastAsiaTheme="minorEastAsia"/>
          <w:sz w:val="24"/>
        </w:rPr>
      </w:pPr>
      <w:bookmarkStart w:id="110" w:name="_Toc477954567"/>
      <w:r w:rsidRPr="00F9522B">
        <w:rPr>
          <w:sz w:val="24"/>
        </w:rPr>
        <w:t>监测点锰超标，由于原生地质条件导致，其余监测因子均符合《地下水质量标准》（</w:t>
      </w:r>
      <w:r w:rsidRPr="00F9522B">
        <w:rPr>
          <w:sz w:val="24"/>
        </w:rPr>
        <w:t>GB/T14848-2017</w:t>
      </w:r>
      <w:r w:rsidRPr="00F9522B">
        <w:rPr>
          <w:sz w:val="24"/>
        </w:rPr>
        <w:t>）中</w:t>
      </w:r>
      <w:r w:rsidRPr="00F9522B">
        <w:rPr>
          <w:sz w:val="24"/>
        </w:rPr>
        <w:t>Ⅲ</w:t>
      </w:r>
      <w:r w:rsidRPr="00F9522B">
        <w:rPr>
          <w:sz w:val="24"/>
        </w:rPr>
        <w:t>类标准</w:t>
      </w:r>
      <w:r w:rsidRPr="00F9522B">
        <w:rPr>
          <w:rFonts w:eastAsiaTheme="minorEastAsia"/>
          <w:sz w:val="24"/>
        </w:rPr>
        <w:t>。</w:t>
      </w:r>
      <w:r w:rsidR="00611CBA" w:rsidRPr="00F9522B">
        <w:rPr>
          <w:rFonts w:eastAsiaTheme="minorEastAsia"/>
          <w:sz w:val="24"/>
        </w:rPr>
        <w:t>石油类未检出，</w:t>
      </w:r>
      <w:r w:rsidR="00426ACF" w:rsidRPr="00F9522B">
        <w:rPr>
          <w:rFonts w:eastAsiaTheme="minorEastAsia"/>
          <w:sz w:val="24"/>
        </w:rPr>
        <w:t>满足《地表水环境质量标准》（</w:t>
      </w:r>
      <w:r w:rsidR="00426ACF" w:rsidRPr="00F9522B">
        <w:rPr>
          <w:rFonts w:eastAsiaTheme="minorEastAsia"/>
          <w:sz w:val="24"/>
        </w:rPr>
        <w:t>GB3838-2002</w:t>
      </w:r>
      <w:r w:rsidR="00426ACF" w:rsidRPr="00F9522B">
        <w:rPr>
          <w:rFonts w:eastAsiaTheme="minorEastAsia"/>
          <w:sz w:val="24"/>
        </w:rPr>
        <w:t>）</w:t>
      </w:r>
      <w:r w:rsidR="005273A1" w:rsidRPr="004B63C1">
        <w:rPr>
          <w:rFonts w:eastAsiaTheme="minorEastAsia"/>
          <w:bCs/>
          <w:sz w:val="24"/>
        </w:rPr>
        <w:fldChar w:fldCharType="begin"/>
      </w:r>
      <w:r w:rsidR="004B63C1" w:rsidRPr="004B63C1">
        <w:rPr>
          <w:rFonts w:eastAsiaTheme="minorEastAsia"/>
          <w:bCs/>
          <w:sz w:val="24"/>
        </w:rPr>
        <w:instrText xml:space="preserve"> </w:instrText>
      </w:r>
      <w:r w:rsidR="004B63C1" w:rsidRPr="004B63C1">
        <w:rPr>
          <w:rFonts w:eastAsiaTheme="minorEastAsia" w:hint="eastAsia"/>
          <w:bCs/>
          <w:sz w:val="24"/>
        </w:rPr>
        <w:instrText>= 2 \* ROMAN</w:instrText>
      </w:r>
      <w:r w:rsidR="004B63C1" w:rsidRPr="004B63C1">
        <w:rPr>
          <w:rFonts w:eastAsiaTheme="minorEastAsia"/>
          <w:bCs/>
          <w:sz w:val="24"/>
        </w:rPr>
        <w:instrText xml:space="preserve"> </w:instrText>
      </w:r>
      <w:r w:rsidR="005273A1" w:rsidRPr="004B63C1">
        <w:rPr>
          <w:rFonts w:eastAsiaTheme="minorEastAsia"/>
          <w:bCs/>
          <w:sz w:val="24"/>
        </w:rPr>
        <w:fldChar w:fldCharType="separate"/>
      </w:r>
      <w:r w:rsidR="004B63C1" w:rsidRPr="004B63C1">
        <w:rPr>
          <w:rFonts w:eastAsiaTheme="minorEastAsia"/>
          <w:bCs/>
          <w:sz w:val="24"/>
        </w:rPr>
        <w:t>II</w:t>
      </w:r>
      <w:r w:rsidR="005273A1" w:rsidRPr="004B63C1">
        <w:rPr>
          <w:rFonts w:eastAsiaTheme="minorEastAsia"/>
          <w:bCs/>
          <w:sz w:val="24"/>
        </w:rPr>
        <w:fldChar w:fldCharType="end"/>
      </w:r>
      <w:r w:rsidR="00426ACF" w:rsidRPr="00F9522B">
        <w:rPr>
          <w:rFonts w:eastAsiaTheme="minorEastAsia"/>
          <w:sz w:val="24"/>
        </w:rPr>
        <w:t>类标准。</w:t>
      </w:r>
      <w:r w:rsidR="005D4635" w:rsidRPr="00F9522B">
        <w:rPr>
          <w:rFonts w:ascii="宋体" w:hAnsi="宋体" w:cs="宋体" w:hint="eastAsia"/>
          <w:sz w:val="24"/>
        </w:rPr>
        <w:t>☆</w:t>
      </w:r>
      <w:r w:rsidR="005D4635" w:rsidRPr="00F9522B">
        <w:rPr>
          <w:rFonts w:eastAsiaTheme="minorEastAsia"/>
          <w:sz w:val="24"/>
        </w:rPr>
        <w:t>01</w:t>
      </w:r>
      <w:r w:rsidR="005D4635" w:rsidRPr="00F9522B">
        <w:rPr>
          <w:rFonts w:eastAsiaTheme="minorEastAsia"/>
          <w:sz w:val="24"/>
        </w:rPr>
        <w:t>、</w:t>
      </w:r>
      <w:r w:rsidR="005D4635" w:rsidRPr="00F9522B">
        <w:rPr>
          <w:rFonts w:ascii="宋体" w:hAnsi="宋体" w:cs="宋体" w:hint="eastAsia"/>
          <w:sz w:val="24"/>
        </w:rPr>
        <w:t>☆</w:t>
      </w:r>
      <w:r w:rsidR="005D4635" w:rsidRPr="00F9522B">
        <w:rPr>
          <w:rFonts w:eastAsiaTheme="minorEastAsia"/>
          <w:sz w:val="24"/>
        </w:rPr>
        <w:t>02</w:t>
      </w:r>
      <w:r w:rsidR="005D4635" w:rsidRPr="00F9522B">
        <w:rPr>
          <w:rFonts w:eastAsiaTheme="minorEastAsia"/>
          <w:sz w:val="24"/>
        </w:rPr>
        <w:t>、</w:t>
      </w:r>
      <w:r w:rsidR="005D4635" w:rsidRPr="00F9522B">
        <w:rPr>
          <w:rFonts w:ascii="宋体" w:hAnsi="宋体" w:cs="宋体" w:hint="eastAsia"/>
          <w:sz w:val="24"/>
        </w:rPr>
        <w:t>☆</w:t>
      </w:r>
      <w:r w:rsidR="005D4635" w:rsidRPr="00F9522B">
        <w:rPr>
          <w:rFonts w:eastAsiaTheme="minorEastAsia"/>
          <w:sz w:val="24"/>
        </w:rPr>
        <w:t>03</w:t>
      </w:r>
      <w:r w:rsidR="00611CBA" w:rsidRPr="00F9522B">
        <w:rPr>
          <w:rFonts w:eastAsiaTheme="minorEastAsia"/>
          <w:sz w:val="24"/>
        </w:rPr>
        <w:t>监测点的地下水均为</w:t>
      </w:r>
      <w:r w:rsidR="005D4635" w:rsidRPr="00F9522B">
        <w:rPr>
          <w:rFonts w:eastAsiaTheme="minorEastAsia"/>
          <w:sz w:val="24"/>
        </w:rPr>
        <w:t>2</w:t>
      </w:r>
      <w:r w:rsidR="00611CBA" w:rsidRPr="00F9522B">
        <w:rPr>
          <w:rFonts w:eastAsiaTheme="minorEastAsia"/>
          <w:sz w:val="24"/>
        </w:rPr>
        <w:t>-A</w:t>
      </w:r>
      <w:r w:rsidR="00611CBA" w:rsidRPr="00F9522B">
        <w:rPr>
          <w:rFonts w:eastAsiaTheme="minorEastAsia"/>
          <w:sz w:val="24"/>
        </w:rPr>
        <w:t>型，表示矿化度小于</w:t>
      </w:r>
      <w:r w:rsidR="00611CBA" w:rsidRPr="00F9522B">
        <w:rPr>
          <w:rFonts w:eastAsiaTheme="minorEastAsia"/>
          <w:sz w:val="24"/>
        </w:rPr>
        <w:t>1.5g/L</w:t>
      </w:r>
      <w:r w:rsidR="00611CBA" w:rsidRPr="00F9522B">
        <w:rPr>
          <w:rFonts w:eastAsiaTheme="minorEastAsia"/>
          <w:sz w:val="24"/>
        </w:rPr>
        <w:t>的</w:t>
      </w:r>
      <w:r w:rsidR="00611CBA" w:rsidRPr="00F9522B">
        <w:rPr>
          <w:rFonts w:eastAsiaTheme="minorEastAsia"/>
          <w:sz w:val="24"/>
        </w:rPr>
        <w:t>HCO</w:t>
      </w:r>
      <w:r w:rsidR="00611CBA" w:rsidRPr="00F9522B">
        <w:rPr>
          <w:rFonts w:eastAsiaTheme="minorEastAsia"/>
          <w:sz w:val="24"/>
          <w:vertAlign w:val="subscript"/>
        </w:rPr>
        <w:t>3</w:t>
      </w:r>
      <w:r w:rsidR="00611CBA" w:rsidRPr="00F9522B">
        <w:rPr>
          <w:rFonts w:eastAsiaTheme="minorEastAsia"/>
          <w:sz w:val="24"/>
          <w:vertAlign w:val="superscript"/>
        </w:rPr>
        <w:t>-</w:t>
      </w:r>
      <w:r w:rsidR="00611CBA" w:rsidRPr="00F9522B">
        <w:rPr>
          <w:rFonts w:eastAsiaTheme="minorEastAsia"/>
          <w:sz w:val="24"/>
        </w:rPr>
        <w:t>-Ca</w:t>
      </w:r>
      <w:r w:rsidR="00611CBA" w:rsidRPr="00F9522B">
        <w:rPr>
          <w:rFonts w:eastAsiaTheme="minorEastAsia"/>
          <w:sz w:val="24"/>
          <w:vertAlign w:val="superscript"/>
        </w:rPr>
        <w:t>2+</w:t>
      </w:r>
      <w:r w:rsidR="00611CBA" w:rsidRPr="00F9522B">
        <w:rPr>
          <w:rFonts w:eastAsiaTheme="minorEastAsia"/>
          <w:sz w:val="24"/>
        </w:rPr>
        <w:t>-Mg</w:t>
      </w:r>
      <w:r w:rsidR="00611CBA" w:rsidRPr="00F9522B">
        <w:rPr>
          <w:rFonts w:eastAsiaTheme="minorEastAsia"/>
          <w:sz w:val="24"/>
          <w:vertAlign w:val="superscript"/>
        </w:rPr>
        <w:t>2+</w:t>
      </w:r>
      <w:r w:rsidR="00611CBA" w:rsidRPr="00F9522B">
        <w:rPr>
          <w:rFonts w:eastAsiaTheme="minorEastAsia"/>
          <w:sz w:val="24"/>
        </w:rPr>
        <w:t>型水</w:t>
      </w:r>
      <w:r w:rsidR="005D4635" w:rsidRPr="00F9522B">
        <w:rPr>
          <w:rFonts w:eastAsiaTheme="minorEastAsia"/>
          <w:sz w:val="24"/>
        </w:rPr>
        <w:t>，</w:t>
      </w:r>
      <w:r w:rsidR="005D4635" w:rsidRPr="00F9522B">
        <w:rPr>
          <w:rFonts w:ascii="宋体" w:hAnsi="宋体" w:cs="宋体" w:hint="eastAsia"/>
          <w:sz w:val="24"/>
        </w:rPr>
        <w:t>☆</w:t>
      </w:r>
      <w:r w:rsidR="005D4635" w:rsidRPr="00F9522B">
        <w:rPr>
          <w:rFonts w:eastAsiaTheme="minorEastAsia"/>
          <w:sz w:val="24"/>
        </w:rPr>
        <w:t>04</w:t>
      </w:r>
      <w:r w:rsidR="005D4635" w:rsidRPr="00F9522B">
        <w:rPr>
          <w:rFonts w:eastAsiaTheme="minorEastAsia"/>
          <w:sz w:val="24"/>
        </w:rPr>
        <w:t>监测点为</w:t>
      </w:r>
      <w:r w:rsidR="005D4635" w:rsidRPr="00F9522B">
        <w:rPr>
          <w:rFonts w:eastAsiaTheme="minorEastAsia"/>
          <w:sz w:val="24"/>
        </w:rPr>
        <w:t>16-A</w:t>
      </w:r>
      <w:r w:rsidR="005D4635" w:rsidRPr="00F9522B">
        <w:rPr>
          <w:rFonts w:eastAsiaTheme="minorEastAsia"/>
          <w:sz w:val="24"/>
        </w:rPr>
        <w:t>型，表示矿化度小于</w:t>
      </w:r>
      <w:r w:rsidR="005D4635" w:rsidRPr="00F9522B">
        <w:rPr>
          <w:rFonts w:eastAsiaTheme="minorEastAsia"/>
          <w:sz w:val="24"/>
        </w:rPr>
        <w:t>1.5g/L</w:t>
      </w:r>
      <w:r w:rsidR="005D4635" w:rsidRPr="00F9522B">
        <w:rPr>
          <w:rFonts w:eastAsiaTheme="minorEastAsia"/>
          <w:sz w:val="24"/>
        </w:rPr>
        <w:t>的</w:t>
      </w:r>
      <w:r w:rsidR="005D4635" w:rsidRPr="00F9522B">
        <w:rPr>
          <w:rFonts w:eastAsiaTheme="minorEastAsia"/>
          <w:sz w:val="24"/>
        </w:rPr>
        <w:t>HCO</w:t>
      </w:r>
      <w:r w:rsidR="005D4635" w:rsidRPr="00F9522B">
        <w:rPr>
          <w:rFonts w:eastAsiaTheme="minorEastAsia"/>
          <w:sz w:val="24"/>
          <w:vertAlign w:val="subscript"/>
        </w:rPr>
        <w:t>3</w:t>
      </w:r>
      <w:r w:rsidR="005D4635" w:rsidRPr="00F9522B">
        <w:rPr>
          <w:rFonts w:eastAsiaTheme="minorEastAsia"/>
          <w:sz w:val="24"/>
          <w:vertAlign w:val="superscript"/>
        </w:rPr>
        <w:t>-</w:t>
      </w:r>
      <w:r w:rsidR="005D4635" w:rsidRPr="00F9522B">
        <w:rPr>
          <w:rFonts w:eastAsiaTheme="minorEastAsia"/>
          <w:sz w:val="24"/>
        </w:rPr>
        <w:t>-SO</w:t>
      </w:r>
      <w:r w:rsidR="005D4635" w:rsidRPr="00F9522B">
        <w:rPr>
          <w:rFonts w:eastAsiaTheme="minorEastAsia"/>
          <w:sz w:val="24"/>
          <w:vertAlign w:val="subscript"/>
        </w:rPr>
        <w:t>4</w:t>
      </w:r>
      <w:r w:rsidR="005D4635" w:rsidRPr="00F9522B">
        <w:rPr>
          <w:rFonts w:eastAsiaTheme="minorEastAsia"/>
          <w:sz w:val="24"/>
          <w:vertAlign w:val="superscript"/>
        </w:rPr>
        <w:t>2-</w:t>
      </w:r>
      <w:r w:rsidR="005D4635" w:rsidRPr="00F9522B">
        <w:rPr>
          <w:rFonts w:eastAsiaTheme="minorEastAsia"/>
          <w:sz w:val="24"/>
        </w:rPr>
        <w:t>-Cl</w:t>
      </w:r>
      <w:r w:rsidR="005D4635" w:rsidRPr="00F9522B">
        <w:rPr>
          <w:rFonts w:eastAsiaTheme="minorEastAsia"/>
          <w:sz w:val="24"/>
          <w:vertAlign w:val="superscript"/>
        </w:rPr>
        <w:t>-</w:t>
      </w:r>
      <w:r w:rsidR="005D4635" w:rsidRPr="00F9522B">
        <w:rPr>
          <w:rFonts w:eastAsiaTheme="minorEastAsia"/>
          <w:sz w:val="24"/>
        </w:rPr>
        <w:t>Ca</w:t>
      </w:r>
      <w:r w:rsidR="005D4635" w:rsidRPr="00F9522B">
        <w:rPr>
          <w:rFonts w:eastAsiaTheme="minorEastAsia"/>
          <w:sz w:val="24"/>
          <w:vertAlign w:val="superscript"/>
        </w:rPr>
        <w:t>2+</w:t>
      </w:r>
      <w:r w:rsidR="005D4635" w:rsidRPr="00F9522B">
        <w:rPr>
          <w:rFonts w:eastAsiaTheme="minorEastAsia"/>
          <w:sz w:val="24"/>
        </w:rPr>
        <w:t>-Mg</w:t>
      </w:r>
      <w:r w:rsidR="005D4635" w:rsidRPr="00F9522B">
        <w:rPr>
          <w:rFonts w:eastAsiaTheme="minorEastAsia"/>
          <w:sz w:val="24"/>
          <w:vertAlign w:val="superscript"/>
        </w:rPr>
        <w:t>2+</w:t>
      </w:r>
      <w:r w:rsidR="005D4635" w:rsidRPr="00F9522B">
        <w:rPr>
          <w:rFonts w:eastAsiaTheme="minorEastAsia"/>
          <w:sz w:val="24"/>
        </w:rPr>
        <w:t>型水</w:t>
      </w:r>
      <w:r w:rsidR="00611CBA" w:rsidRPr="00F9522B">
        <w:rPr>
          <w:rFonts w:eastAsiaTheme="minorEastAsia"/>
          <w:sz w:val="24"/>
        </w:rPr>
        <w:t>。</w:t>
      </w:r>
    </w:p>
    <w:p w:rsidR="002A5A5E" w:rsidRPr="00F9522B" w:rsidRDefault="00611CBA">
      <w:pPr>
        <w:keepNext/>
        <w:keepLines/>
        <w:spacing w:before="100" w:beforeAutospacing="1" w:after="100" w:afterAutospacing="1"/>
        <w:outlineLvl w:val="2"/>
        <w:rPr>
          <w:rFonts w:eastAsiaTheme="minorEastAsia"/>
          <w:b/>
          <w:sz w:val="28"/>
          <w:szCs w:val="28"/>
        </w:rPr>
      </w:pPr>
      <w:r w:rsidRPr="00F9522B">
        <w:rPr>
          <w:rFonts w:eastAsiaTheme="minorEastAsia"/>
          <w:b/>
          <w:sz w:val="28"/>
          <w:szCs w:val="28"/>
        </w:rPr>
        <w:t>4.2.4</w:t>
      </w:r>
      <w:r w:rsidRPr="00F9522B">
        <w:rPr>
          <w:rFonts w:eastAsiaTheme="minorEastAsia"/>
          <w:b/>
          <w:sz w:val="28"/>
          <w:szCs w:val="28"/>
        </w:rPr>
        <w:t>声环境质量现状评价</w:t>
      </w:r>
      <w:bookmarkEnd w:id="110"/>
    </w:p>
    <w:p w:rsidR="002A5A5E" w:rsidRPr="00F9522B" w:rsidRDefault="00611CBA">
      <w:pPr>
        <w:autoSpaceDE w:val="0"/>
        <w:autoSpaceDN w:val="0"/>
        <w:spacing w:before="100" w:beforeAutospacing="1" w:after="100" w:afterAutospacing="1"/>
        <w:outlineLvl w:val="3"/>
        <w:rPr>
          <w:rFonts w:eastAsiaTheme="minorEastAsia"/>
          <w:b/>
          <w:bCs/>
          <w:sz w:val="24"/>
        </w:rPr>
      </w:pPr>
      <w:r w:rsidRPr="00F9522B">
        <w:rPr>
          <w:rFonts w:eastAsiaTheme="minorEastAsia"/>
          <w:b/>
          <w:bCs/>
          <w:sz w:val="24"/>
        </w:rPr>
        <w:t>4.2.4.1</w:t>
      </w:r>
      <w:r w:rsidRPr="00F9522B">
        <w:rPr>
          <w:rFonts w:eastAsiaTheme="minorEastAsia"/>
          <w:b/>
          <w:bCs/>
          <w:sz w:val="24"/>
        </w:rPr>
        <w:t>声环境现状监测</w:t>
      </w:r>
    </w:p>
    <w:p w:rsidR="002A5A5E" w:rsidRPr="00F9522B" w:rsidRDefault="00611CBA">
      <w:pPr>
        <w:spacing w:line="360" w:lineRule="auto"/>
        <w:ind w:firstLineChars="210" w:firstLine="504"/>
        <w:rPr>
          <w:rFonts w:eastAsiaTheme="minorEastAsia"/>
          <w:sz w:val="24"/>
          <w:lang w:val="zh-CN"/>
        </w:rPr>
      </w:pPr>
      <w:r w:rsidRPr="00F9522B">
        <w:rPr>
          <w:rFonts w:eastAsiaTheme="minorEastAsia"/>
          <w:sz w:val="24"/>
          <w:lang w:val="zh-CN"/>
        </w:rPr>
        <w:t>（</w:t>
      </w:r>
      <w:r w:rsidRPr="00F9522B">
        <w:rPr>
          <w:rFonts w:eastAsiaTheme="minorEastAsia"/>
          <w:sz w:val="24"/>
          <w:lang w:val="zh-CN"/>
        </w:rPr>
        <w:t>1</w:t>
      </w:r>
      <w:r w:rsidRPr="00F9522B">
        <w:rPr>
          <w:rFonts w:eastAsiaTheme="minorEastAsia"/>
          <w:sz w:val="24"/>
          <w:lang w:val="zh-CN"/>
        </w:rPr>
        <w:t>）数据来源</w:t>
      </w:r>
    </w:p>
    <w:p w:rsidR="002A5A5E" w:rsidRPr="00F9522B" w:rsidRDefault="00611CBA">
      <w:pPr>
        <w:autoSpaceDE w:val="0"/>
        <w:autoSpaceDN w:val="0"/>
        <w:spacing w:line="360" w:lineRule="auto"/>
        <w:ind w:firstLineChars="200" w:firstLine="480"/>
        <w:rPr>
          <w:rFonts w:eastAsiaTheme="minorEastAsia"/>
          <w:sz w:val="24"/>
        </w:rPr>
      </w:pPr>
      <w:r w:rsidRPr="00F9522B">
        <w:rPr>
          <w:rFonts w:eastAsiaTheme="minorEastAsia"/>
          <w:sz w:val="24"/>
          <w:lang w:val="zh-CN"/>
        </w:rPr>
        <w:t>本项目声环境质量现状监测数据来自</w:t>
      </w:r>
      <w:r w:rsidRPr="00F9522B">
        <w:rPr>
          <w:rFonts w:eastAsiaTheme="minorEastAsia"/>
          <w:sz w:val="24"/>
        </w:rPr>
        <w:t>哈尔滨新巨环保科技有限公司，详细情况见附件</w:t>
      </w:r>
      <w:r w:rsidRPr="00F9522B">
        <w:rPr>
          <w:rFonts w:eastAsiaTheme="minorEastAsia"/>
          <w:sz w:val="24"/>
        </w:rPr>
        <w:t>2</w:t>
      </w:r>
      <w:r w:rsidRPr="00F9522B">
        <w:rPr>
          <w:rFonts w:eastAsiaTheme="minorEastAsia"/>
          <w:sz w:val="24"/>
        </w:rPr>
        <w:t>。</w:t>
      </w:r>
    </w:p>
    <w:p w:rsidR="002A5A5E" w:rsidRPr="00F9522B" w:rsidRDefault="00611CBA">
      <w:pPr>
        <w:spacing w:line="360" w:lineRule="auto"/>
        <w:ind w:firstLineChars="210" w:firstLine="504"/>
        <w:rPr>
          <w:rFonts w:eastAsiaTheme="minorEastAsia"/>
          <w:sz w:val="24"/>
          <w:lang w:val="zh-CN"/>
        </w:rPr>
      </w:pPr>
      <w:r w:rsidRPr="00F9522B">
        <w:rPr>
          <w:rFonts w:eastAsiaTheme="minorEastAsia"/>
          <w:sz w:val="24"/>
          <w:lang w:val="zh-CN"/>
        </w:rPr>
        <w:t>（</w:t>
      </w:r>
      <w:r w:rsidRPr="00F9522B">
        <w:rPr>
          <w:rFonts w:eastAsiaTheme="minorEastAsia"/>
          <w:sz w:val="24"/>
          <w:lang w:val="zh-CN"/>
        </w:rPr>
        <w:t>2</w:t>
      </w:r>
      <w:r w:rsidRPr="00F9522B">
        <w:rPr>
          <w:rFonts w:eastAsiaTheme="minorEastAsia"/>
          <w:sz w:val="24"/>
          <w:lang w:val="zh-CN"/>
        </w:rPr>
        <w:t>）监测点位</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lastRenderedPageBreak/>
        <w:t>根据项目敏感点周边特点，项目敏感点均为村镇、学校，周围环境类似，故在项目区内分别选取附近经过国道</w:t>
      </w:r>
      <w:r w:rsidRPr="00F9522B">
        <w:rPr>
          <w:rFonts w:eastAsiaTheme="minorEastAsia"/>
          <w:sz w:val="24"/>
        </w:rPr>
        <w:t>G102</w:t>
      </w:r>
      <w:r w:rsidR="00064FFC" w:rsidRPr="00F9522B">
        <w:rPr>
          <w:rFonts w:eastAsiaTheme="minorEastAsia"/>
          <w:sz w:val="24"/>
        </w:rPr>
        <w:t>、</w:t>
      </w:r>
      <w:r w:rsidRPr="00F9522B">
        <w:rPr>
          <w:rFonts w:eastAsiaTheme="minorEastAsia"/>
          <w:sz w:val="24"/>
        </w:rPr>
        <w:t>村屯、镇、学校、围边无特殊噪声源的村屯，共</w:t>
      </w:r>
      <w:r w:rsidR="0058132D" w:rsidRPr="00F9522B">
        <w:rPr>
          <w:rFonts w:eastAsiaTheme="minorEastAsia"/>
          <w:sz w:val="24"/>
        </w:rPr>
        <w:t>7</w:t>
      </w:r>
      <w:r w:rsidRPr="00F9522B">
        <w:rPr>
          <w:rFonts w:eastAsiaTheme="minorEastAsia"/>
          <w:sz w:val="24"/>
        </w:rPr>
        <w:t>个点位，具有代表性，本项目敏感点声环境现状监测点位布置具体见表</w:t>
      </w:r>
      <w:r w:rsidRPr="00F9522B">
        <w:rPr>
          <w:rFonts w:eastAsiaTheme="minorEastAsia"/>
          <w:sz w:val="24"/>
        </w:rPr>
        <w:t>4-2-18</w:t>
      </w:r>
      <w:r w:rsidRPr="00F9522B">
        <w:rPr>
          <w:rFonts w:eastAsiaTheme="minorEastAsia"/>
          <w:sz w:val="24"/>
        </w:rPr>
        <w:t>和图</w:t>
      </w:r>
      <w:r w:rsidRPr="00F9522B">
        <w:rPr>
          <w:rFonts w:eastAsiaTheme="minorEastAsia"/>
          <w:sz w:val="24"/>
        </w:rPr>
        <w:t>4-2-</w:t>
      </w:r>
      <w:r w:rsidR="00C92D94" w:rsidRPr="00F9522B">
        <w:rPr>
          <w:rFonts w:eastAsiaTheme="minorEastAsia"/>
          <w:sz w:val="24"/>
        </w:rPr>
        <w:t>8</w:t>
      </w:r>
      <w:r w:rsidRPr="00F9522B">
        <w:rPr>
          <w:rFonts w:eastAsiaTheme="minorEastAsia"/>
          <w:sz w:val="24"/>
        </w:rPr>
        <w:t>。</w:t>
      </w:r>
    </w:p>
    <w:p w:rsidR="002A5A5E" w:rsidRPr="00F9522B" w:rsidRDefault="00611CBA">
      <w:pPr>
        <w:contextualSpacing/>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 xml:space="preserve">4-2-18 </w:t>
      </w:r>
      <w:r w:rsidRPr="00F9522B">
        <w:rPr>
          <w:rFonts w:eastAsiaTheme="minorEastAsia"/>
          <w:b/>
          <w:kern w:val="0"/>
          <w:szCs w:val="21"/>
        </w:rPr>
        <w:t>声环境现状监测点位表</w:t>
      </w:r>
    </w:p>
    <w:tbl>
      <w:tblPr>
        <w:tblW w:w="0" w:type="auto"/>
        <w:jc w:val="center"/>
        <w:tblBorders>
          <w:top w:val="single" w:sz="12" w:space="0" w:color="auto"/>
          <w:bottom w:val="single" w:sz="12" w:space="0" w:color="auto"/>
          <w:insideH w:val="single" w:sz="6" w:space="0" w:color="auto"/>
          <w:insideV w:val="single" w:sz="6" w:space="0" w:color="auto"/>
        </w:tblBorders>
        <w:tblLook w:val="04A0"/>
      </w:tblPr>
      <w:tblGrid>
        <w:gridCol w:w="2786"/>
        <w:gridCol w:w="5391"/>
      </w:tblGrid>
      <w:tr w:rsidR="002A5A5E" w:rsidRPr="00F9522B">
        <w:trPr>
          <w:trHeight w:val="93"/>
          <w:jc w:val="center"/>
        </w:trPr>
        <w:tc>
          <w:tcPr>
            <w:tcW w:w="2786" w:type="dxa"/>
            <w:vAlign w:val="center"/>
          </w:tcPr>
          <w:p w:rsidR="002A5A5E" w:rsidRPr="00F9522B" w:rsidRDefault="00611CBA">
            <w:pPr>
              <w:jc w:val="center"/>
              <w:rPr>
                <w:rFonts w:eastAsiaTheme="minorEastAsia"/>
                <w:szCs w:val="21"/>
              </w:rPr>
            </w:pPr>
            <w:r w:rsidRPr="00F9522B">
              <w:rPr>
                <w:rFonts w:eastAsiaTheme="minorEastAsia"/>
                <w:szCs w:val="21"/>
              </w:rPr>
              <w:t>序号</w:t>
            </w:r>
          </w:p>
        </w:tc>
        <w:tc>
          <w:tcPr>
            <w:tcW w:w="5391" w:type="dxa"/>
            <w:vAlign w:val="center"/>
          </w:tcPr>
          <w:p w:rsidR="002A5A5E" w:rsidRPr="00F9522B" w:rsidRDefault="00611CBA">
            <w:pPr>
              <w:jc w:val="center"/>
              <w:rPr>
                <w:rFonts w:eastAsiaTheme="minorEastAsia"/>
                <w:szCs w:val="21"/>
              </w:rPr>
            </w:pPr>
            <w:r w:rsidRPr="00F9522B">
              <w:rPr>
                <w:rFonts w:eastAsiaTheme="minorEastAsia"/>
                <w:szCs w:val="21"/>
              </w:rPr>
              <w:t>监测点名称</w:t>
            </w:r>
          </w:p>
        </w:tc>
      </w:tr>
      <w:tr w:rsidR="002A5A5E" w:rsidRPr="00F9522B">
        <w:trPr>
          <w:trHeight w:val="93"/>
          <w:jc w:val="center"/>
        </w:trPr>
        <w:tc>
          <w:tcPr>
            <w:tcW w:w="2786" w:type="dxa"/>
            <w:vAlign w:val="center"/>
          </w:tcPr>
          <w:p w:rsidR="002A5A5E" w:rsidRPr="00F9522B" w:rsidRDefault="00611CBA">
            <w:pPr>
              <w:jc w:val="center"/>
              <w:rPr>
                <w:rFonts w:eastAsiaTheme="minorEastAsia"/>
                <w:szCs w:val="21"/>
              </w:rPr>
            </w:pPr>
            <w:r w:rsidRPr="00F9522B">
              <w:rPr>
                <w:rFonts w:ascii="Cambria Math" w:eastAsiaTheme="minorEastAsia" w:hAnsi="Cambria Math" w:cs="Cambria Math"/>
                <w:szCs w:val="21"/>
              </w:rPr>
              <w:t>△</w:t>
            </w:r>
            <w:r w:rsidRPr="00F9522B">
              <w:rPr>
                <w:rFonts w:eastAsiaTheme="minorEastAsia"/>
                <w:szCs w:val="21"/>
              </w:rPr>
              <w:t>1</w:t>
            </w:r>
          </w:p>
        </w:tc>
        <w:tc>
          <w:tcPr>
            <w:tcW w:w="5391" w:type="dxa"/>
            <w:vAlign w:val="center"/>
          </w:tcPr>
          <w:p w:rsidR="002A5A5E" w:rsidRPr="00F9522B" w:rsidRDefault="001D1362">
            <w:pPr>
              <w:spacing w:line="240" w:lineRule="atLeast"/>
              <w:jc w:val="center"/>
              <w:rPr>
                <w:rFonts w:eastAsiaTheme="minorEastAsia"/>
                <w:szCs w:val="21"/>
              </w:rPr>
            </w:pPr>
            <w:r w:rsidRPr="00F9522B">
              <w:rPr>
                <w:rFonts w:eastAsiaTheme="minorEastAsia"/>
                <w:szCs w:val="21"/>
              </w:rPr>
              <w:t>方台镇</w:t>
            </w:r>
            <w:r w:rsidR="00611CBA" w:rsidRPr="00F9522B">
              <w:rPr>
                <w:rFonts w:eastAsiaTheme="minorEastAsia"/>
                <w:szCs w:val="21"/>
              </w:rPr>
              <w:t>民房</w:t>
            </w:r>
          </w:p>
        </w:tc>
      </w:tr>
      <w:tr w:rsidR="002A5A5E" w:rsidRPr="00F9522B">
        <w:trPr>
          <w:trHeight w:val="304"/>
          <w:jc w:val="center"/>
        </w:trPr>
        <w:tc>
          <w:tcPr>
            <w:tcW w:w="2786" w:type="dxa"/>
            <w:vAlign w:val="center"/>
          </w:tcPr>
          <w:p w:rsidR="002A5A5E" w:rsidRPr="00F9522B" w:rsidRDefault="00611CBA">
            <w:pPr>
              <w:jc w:val="center"/>
              <w:rPr>
                <w:rFonts w:eastAsiaTheme="minorEastAsia"/>
                <w:szCs w:val="21"/>
              </w:rPr>
            </w:pPr>
            <w:r w:rsidRPr="00F9522B">
              <w:rPr>
                <w:rFonts w:ascii="Cambria Math" w:eastAsiaTheme="minorEastAsia" w:hAnsi="Cambria Math" w:cs="Cambria Math"/>
                <w:szCs w:val="21"/>
              </w:rPr>
              <w:t>△</w:t>
            </w:r>
            <w:r w:rsidRPr="00F9522B">
              <w:rPr>
                <w:rFonts w:eastAsiaTheme="minorEastAsia"/>
                <w:szCs w:val="21"/>
              </w:rPr>
              <w:t>2</w:t>
            </w:r>
          </w:p>
        </w:tc>
        <w:tc>
          <w:tcPr>
            <w:tcW w:w="5391" w:type="dxa"/>
            <w:vAlign w:val="center"/>
          </w:tcPr>
          <w:p w:rsidR="002A5A5E" w:rsidRPr="00F9522B" w:rsidRDefault="001D1362">
            <w:pPr>
              <w:spacing w:line="240" w:lineRule="atLeast"/>
              <w:jc w:val="center"/>
              <w:rPr>
                <w:rFonts w:eastAsiaTheme="minorEastAsia"/>
                <w:szCs w:val="21"/>
              </w:rPr>
            </w:pPr>
            <w:r w:rsidRPr="00F9522B">
              <w:rPr>
                <w:rFonts w:eastAsiaTheme="minorEastAsia"/>
                <w:szCs w:val="21"/>
              </w:rPr>
              <w:t>历井村</w:t>
            </w:r>
            <w:r w:rsidR="00611CBA" w:rsidRPr="00F9522B">
              <w:rPr>
                <w:rFonts w:eastAsiaTheme="minorEastAsia"/>
                <w:szCs w:val="21"/>
              </w:rPr>
              <w:t>民房</w:t>
            </w:r>
          </w:p>
        </w:tc>
      </w:tr>
      <w:tr w:rsidR="002A5A5E" w:rsidRPr="00F9522B">
        <w:trPr>
          <w:trHeight w:val="93"/>
          <w:jc w:val="center"/>
        </w:trPr>
        <w:tc>
          <w:tcPr>
            <w:tcW w:w="2786" w:type="dxa"/>
            <w:vAlign w:val="center"/>
          </w:tcPr>
          <w:p w:rsidR="002A5A5E" w:rsidRPr="00F9522B" w:rsidRDefault="00611CBA">
            <w:pPr>
              <w:jc w:val="center"/>
              <w:rPr>
                <w:rFonts w:eastAsiaTheme="minorEastAsia"/>
                <w:szCs w:val="21"/>
              </w:rPr>
            </w:pPr>
            <w:r w:rsidRPr="00F9522B">
              <w:rPr>
                <w:rFonts w:ascii="Cambria Math" w:eastAsiaTheme="minorEastAsia" w:hAnsi="Cambria Math" w:cs="Cambria Math"/>
                <w:szCs w:val="21"/>
              </w:rPr>
              <w:t>△</w:t>
            </w:r>
            <w:r w:rsidRPr="00F9522B">
              <w:rPr>
                <w:rFonts w:eastAsiaTheme="minorEastAsia"/>
                <w:szCs w:val="21"/>
              </w:rPr>
              <w:t>3</w:t>
            </w:r>
          </w:p>
        </w:tc>
        <w:tc>
          <w:tcPr>
            <w:tcW w:w="5391" w:type="dxa"/>
            <w:vAlign w:val="center"/>
          </w:tcPr>
          <w:p w:rsidR="002A5A5E" w:rsidRPr="00F9522B" w:rsidRDefault="001D1362">
            <w:pPr>
              <w:spacing w:line="240" w:lineRule="atLeast"/>
              <w:jc w:val="center"/>
              <w:rPr>
                <w:rFonts w:eastAsiaTheme="minorEastAsia"/>
                <w:szCs w:val="21"/>
              </w:rPr>
            </w:pPr>
            <w:r w:rsidRPr="00F9522B">
              <w:rPr>
                <w:rFonts w:eastAsiaTheme="minorEastAsia"/>
                <w:szCs w:val="21"/>
              </w:rPr>
              <w:t>二八中学校</w:t>
            </w:r>
            <w:r w:rsidR="00611CBA" w:rsidRPr="00F9522B">
              <w:rPr>
                <w:rFonts w:eastAsiaTheme="minorEastAsia"/>
                <w:szCs w:val="21"/>
              </w:rPr>
              <w:t>一层（四层建筑）</w:t>
            </w:r>
          </w:p>
        </w:tc>
      </w:tr>
      <w:tr w:rsidR="002A5A5E" w:rsidRPr="00F9522B">
        <w:trPr>
          <w:trHeight w:val="93"/>
          <w:jc w:val="center"/>
        </w:trPr>
        <w:tc>
          <w:tcPr>
            <w:tcW w:w="2786" w:type="dxa"/>
            <w:vAlign w:val="center"/>
          </w:tcPr>
          <w:p w:rsidR="002A5A5E" w:rsidRPr="00F9522B" w:rsidRDefault="00611CBA">
            <w:pPr>
              <w:jc w:val="center"/>
              <w:rPr>
                <w:rFonts w:eastAsiaTheme="minorEastAsia"/>
                <w:szCs w:val="21"/>
              </w:rPr>
            </w:pPr>
            <w:r w:rsidRPr="00F9522B">
              <w:rPr>
                <w:rFonts w:ascii="Cambria Math" w:eastAsiaTheme="minorEastAsia" w:hAnsi="Cambria Math" w:cs="Cambria Math"/>
                <w:szCs w:val="21"/>
              </w:rPr>
              <w:t>△</w:t>
            </w:r>
            <w:r w:rsidRPr="00F9522B">
              <w:rPr>
                <w:rFonts w:eastAsiaTheme="minorEastAsia"/>
                <w:szCs w:val="21"/>
              </w:rPr>
              <w:t>4</w:t>
            </w:r>
          </w:p>
        </w:tc>
        <w:tc>
          <w:tcPr>
            <w:tcW w:w="5391" w:type="dxa"/>
            <w:vAlign w:val="center"/>
          </w:tcPr>
          <w:p w:rsidR="002A5A5E" w:rsidRPr="00F9522B" w:rsidRDefault="001D1362">
            <w:pPr>
              <w:spacing w:line="240" w:lineRule="atLeast"/>
              <w:jc w:val="center"/>
              <w:rPr>
                <w:rFonts w:eastAsiaTheme="minorEastAsia"/>
                <w:szCs w:val="21"/>
              </w:rPr>
            </w:pPr>
            <w:r w:rsidRPr="00F9522B">
              <w:rPr>
                <w:rFonts w:eastAsiaTheme="minorEastAsia"/>
                <w:szCs w:val="21"/>
              </w:rPr>
              <w:t>二八中学校</w:t>
            </w:r>
            <w:r w:rsidR="00611CBA" w:rsidRPr="00F9522B">
              <w:rPr>
                <w:rFonts w:eastAsiaTheme="minorEastAsia"/>
                <w:szCs w:val="21"/>
              </w:rPr>
              <w:t>三层（四层建筑）</w:t>
            </w:r>
          </w:p>
        </w:tc>
      </w:tr>
      <w:tr w:rsidR="002A5A5E" w:rsidRPr="00F9522B">
        <w:trPr>
          <w:trHeight w:val="193"/>
          <w:jc w:val="center"/>
        </w:trPr>
        <w:tc>
          <w:tcPr>
            <w:tcW w:w="2786" w:type="dxa"/>
            <w:vAlign w:val="center"/>
          </w:tcPr>
          <w:p w:rsidR="002A5A5E" w:rsidRPr="00F9522B" w:rsidRDefault="00611CBA">
            <w:pPr>
              <w:jc w:val="center"/>
              <w:rPr>
                <w:rFonts w:eastAsiaTheme="minorEastAsia"/>
                <w:szCs w:val="21"/>
              </w:rPr>
            </w:pPr>
            <w:r w:rsidRPr="00F9522B">
              <w:rPr>
                <w:rFonts w:ascii="Cambria Math" w:eastAsiaTheme="minorEastAsia" w:hAnsi="Cambria Math" w:cs="Cambria Math"/>
                <w:szCs w:val="21"/>
              </w:rPr>
              <w:t>△</w:t>
            </w:r>
            <w:r w:rsidRPr="00F9522B">
              <w:rPr>
                <w:rFonts w:eastAsiaTheme="minorEastAsia"/>
                <w:szCs w:val="21"/>
              </w:rPr>
              <w:t>5</w:t>
            </w:r>
          </w:p>
        </w:tc>
        <w:tc>
          <w:tcPr>
            <w:tcW w:w="5391" w:type="dxa"/>
            <w:vAlign w:val="center"/>
          </w:tcPr>
          <w:p w:rsidR="002A5A5E" w:rsidRPr="00F9522B" w:rsidRDefault="001D1362">
            <w:pPr>
              <w:spacing w:line="240" w:lineRule="atLeast"/>
              <w:jc w:val="center"/>
              <w:rPr>
                <w:rFonts w:eastAsiaTheme="minorEastAsia"/>
                <w:szCs w:val="21"/>
              </w:rPr>
            </w:pPr>
            <w:r w:rsidRPr="00F9522B">
              <w:rPr>
                <w:rFonts w:eastAsiaTheme="minorEastAsia"/>
                <w:szCs w:val="21"/>
              </w:rPr>
              <w:t>金城村</w:t>
            </w:r>
            <w:r w:rsidR="00611CBA" w:rsidRPr="00F9522B">
              <w:rPr>
                <w:rFonts w:eastAsiaTheme="minorEastAsia"/>
                <w:szCs w:val="21"/>
              </w:rPr>
              <w:t>民房</w:t>
            </w:r>
          </w:p>
        </w:tc>
      </w:tr>
      <w:tr w:rsidR="002A5A5E" w:rsidRPr="00F9522B">
        <w:trPr>
          <w:trHeight w:val="193"/>
          <w:jc w:val="center"/>
        </w:trPr>
        <w:tc>
          <w:tcPr>
            <w:tcW w:w="2786" w:type="dxa"/>
            <w:vAlign w:val="center"/>
          </w:tcPr>
          <w:p w:rsidR="002A5A5E" w:rsidRPr="00F9522B" w:rsidRDefault="00611CBA">
            <w:pPr>
              <w:jc w:val="center"/>
              <w:rPr>
                <w:rFonts w:eastAsiaTheme="minorEastAsia"/>
                <w:szCs w:val="21"/>
              </w:rPr>
            </w:pPr>
            <w:r w:rsidRPr="00F9522B">
              <w:rPr>
                <w:rFonts w:ascii="Cambria Math" w:eastAsiaTheme="minorEastAsia" w:hAnsi="Cambria Math" w:cs="Cambria Math"/>
                <w:szCs w:val="21"/>
              </w:rPr>
              <w:t>△</w:t>
            </w:r>
            <w:r w:rsidRPr="00F9522B">
              <w:rPr>
                <w:rFonts w:eastAsiaTheme="minorEastAsia"/>
                <w:szCs w:val="21"/>
              </w:rPr>
              <w:t>6</w:t>
            </w:r>
          </w:p>
        </w:tc>
        <w:tc>
          <w:tcPr>
            <w:tcW w:w="5391" w:type="dxa"/>
            <w:vAlign w:val="center"/>
          </w:tcPr>
          <w:p w:rsidR="002A5A5E" w:rsidRPr="00F9522B" w:rsidRDefault="001D1362">
            <w:pPr>
              <w:spacing w:line="240" w:lineRule="atLeast"/>
              <w:jc w:val="center"/>
              <w:rPr>
                <w:rFonts w:eastAsiaTheme="minorEastAsia"/>
                <w:szCs w:val="21"/>
              </w:rPr>
            </w:pPr>
            <w:r w:rsidRPr="00F9522B">
              <w:rPr>
                <w:rFonts w:eastAsiaTheme="minorEastAsia"/>
                <w:szCs w:val="21"/>
              </w:rPr>
              <w:t>碱草村</w:t>
            </w:r>
            <w:r w:rsidR="00611CBA" w:rsidRPr="00F9522B">
              <w:rPr>
                <w:rFonts w:eastAsiaTheme="minorEastAsia"/>
                <w:szCs w:val="21"/>
              </w:rPr>
              <w:t>民房</w:t>
            </w:r>
          </w:p>
        </w:tc>
      </w:tr>
      <w:tr w:rsidR="002A5A5E" w:rsidRPr="00F9522B">
        <w:trPr>
          <w:trHeight w:val="193"/>
          <w:jc w:val="center"/>
        </w:trPr>
        <w:tc>
          <w:tcPr>
            <w:tcW w:w="2786" w:type="dxa"/>
            <w:vAlign w:val="center"/>
          </w:tcPr>
          <w:p w:rsidR="002A5A5E" w:rsidRPr="00F9522B" w:rsidRDefault="00611CBA">
            <w:pPr>
              <w:jc w:val="center"/>
              <w:rPr>
                <w:rFonts w:eastAsiaTheme="minorEastAsia"/>
                <w:szCs w:val="21"/>
              </w:rPr>
            </w:pPr>
            <w:r w:rsidRPr="00F9522B">
              <w:rPr>
                <w:rFonts w:ascii="Cambria Math" w:eastAsiaTheme="minorEastAsia" w:hAnsi="Cambria Math" w:cs="Cambria Math"/>
                <w:szCs w:val="21"/>
              </w:rPr>
              <w:t>△</w:t>
            </w:r>
            <w:r w:rsidRPr="00F9522B">
              <w:rPr>
                <w:rFonts w:eastAsiaTheme="minorEastAsia"/>
                <w:szCs w:val="21"/>
              </w:rPr>
              <w:t>7</w:t>
            </w:r>
          </w:p>
        </w:tc>
        <w:tc>
          <w:tcPr>
            <w:tcW w:w="5391" w:type="dxa"/>
            <w:vAlign w:val="center"/>
          </w:tcPr>
          <w:p w:rsidR="002A5A5E" w:rsidRPr="00F9522B" w:rsidRDefault="001D1362">
            <w:pPr>
              <w:spacing w:line="240" w:lineRule="atLeast"/>
              <w:jc w:val="center"/>
              <w:rPr>
                <w:rFonts w:eastAsiaTheme="minorEastAsia"/>
                <w:szCs w:val="21"/>
              </w:rPr>
            </w:pPr>
            <w:r w:rsidRPr="00F9522B">
              <w:rPr>
                <w:rFonts w:eastAsiaTheme="minorEastAsia"/>
                <w:szCs w:val="21"/>
              </w:rPr>
              <w:t>宋家村</w:t>
            </w:r>
            <w:r w:rsidR="00611CBA" w:rsidRPr="00F9522B">
              <w:rPr>
                <w:rFonts w:eastAsiaTheme="minorEastAsia"/>
                <w:szCs w:val="21"/>
              </w:rPr>
              <w:t>民房</w:t>
            </w:r>
          </w:p>
        </w:tc>
      </w:tr>
    </w:tbl>
    <w:p w:rsidR="002A5A5E" w:rsidRPr="00F9522B" w:rsidRDefault="006364CE" w:rsidP="006364CE">
      <w:pPr>
        <w:spacing w:line="0" w:lineRule="atLeast"/>
        <w:jc w:val="center"/>
        <w:rPr>
          <w:rFonts w:eastAsiaTheme="minorEastAsia"/>
          <w:sz w:val="24"/>
          <w:lang w:val="zh-CN"/>
        </w:rPr>
      </w:pPr>
      <w:r w:rsidRPr="00F9522B">
        <w:rPr>
          <w:rFonts w:eastAsiaTheme="minorEastAsia"/>
          <w:noProof/>
          <w:sz w:val="24"/>
        </w:rPr>
        <w:drawing>
          <wp:inline distT="0" distB="0" distL="0" distR="0">
            <wp:extent cx="4789761" cy="5275964"/>
            <wp:effectExtent l="38100" t="19050" r="10839" b="19936"/>
            <wp:docPr id="75"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0"/>
                    <a:srcRect/>
                    <a:stretch>
                      <a:fillRect/>
                    </a:stretch>
                  </pic:blipFill>
                  <pic:spPr bwMode="auto">
                    <a:xfrm>
                      <a:off x="0" y="0"/>
                      <a:ext cx="4789541" cy="5275721"/>
                    </a:xfrm>
                    <a:prstGeom prst="rect">
                      <a:avLst/>
                    </a:prstGeom>
                    <a:noFill/>
                    <a:ln w="9525">
                      <a:solidFill>
                        <a:schemeClr val="tx1"/>
                      </a:solidFill>
                      <a:miter lim="800000"/>
                      <a:headEnd/>
                      <a:tailEnd/>
                    </a:ln>
                  </pic:spPr>
                </pic:pic>
              </a:graphicData>
            </a:graphic>
          </wp:inline>
        </w:drawing>
      </w:r>
    </w:p>
    <w:p w:rsidR="002A5A5E" w:rsidRPr="00F9522B" w:rsidRDefault="00611CBA" w:rsidP="006364CE">
      <w:pPr>
        <w:spacing w:line="0" w:lineRule="atLeast"/>
        <w:contextualSpacing/>
        <w:jc w:val="center"/>
        <w:rPr>
          <w:rFonts w:eastAsiaTheme="minorEastAsia"/>
          <w:b/>
          <w:kern w:val="0"/>
          <w:szCs w:val="21"/>
        </w:rPr>
      </w:pPr>
      <w:r w:rsidRPr="00F9522B">
        <w:rPr>
          <w:rFonts w:eastAsiaTheme="minorEastAsia"/>
          <w:b/>
          <w:kern w:val="0"/>
          <w:szCs w:val="21"/>
        </w:rPr>
        <w:t>图</w:t>
      </w:r>
      <w:r w:rsidRPr="00F9522B">
        <w:rPr>
          <w:rFonts w:eastAsiaTheme="minorEastAsia"/>
          <w:b/>
          <w:kern w:val="0"/>
          <w:szCs w:val="21"/>
        </w:rPr>
        <w:t>4-2-</w:t>
      </w:r>
      <w:r w:rsidR="00C92D94" w:rsidRPr="00F9522B">
        <w:rPr>
          <w:rFonts w:eastAsiaTheme="minorEastAsia"/>
          <w:b/>
          <w:kern w:val="0"/>
          <w:szCs w:val="21"/>
        </w:rPr>
        <w:t>8</w:t>
      </w:r>
      <w:r w:rsidRPr="00F9522B">
        <w:rPr>
          <w:rFonts w:eastAsiaTheme="minorEastAsia"/>
          <w:b/>
          <w:kern w:val="0"/>
          <w:szCs w:val="21"/>
        </w:rPr>
        <w:t xml:space="preserve"> </w:t>
      </w:r>
      <w:r w:rsidRPr="00F9522B">
        <w:rPr>
          <w:rFonts w:eastAsiaTheme="minorEastAsia"/>
          <w:b/>
          <w:kern w:val="0"/>
          <w:szCs w:val="21"/>
        </w:rPr>
        <w:t>声环境监测点位</w:t>
      </w:r>
    </w:p>
    <w:p w:rsidR="002A5A5E" w:rsidRPr="00F9522B" w:rsidRDefault="00611CBA">
      <w:pPr>
        <w:spacing w:line="500" w:lineRule="exact"/>
        <w:ind w:firstLineChars="210" w:firstLine="504"/>
        <w:rPr>
          <w:rFonts w:eastAsiaTheme="minorEastAsia"/>
          <w:sz w:val="24"/>
          <w:lang w:val="zh-CN"/>
        </w:rPr>
      </w:pPr>
      <w:r w:rsidRPr="00F9522B">
        <w:rPr>
          <w:rFonts w:eastAsiaTheme="minorEastAsia"/>
          <w:sz w:val="24"/>
          <w:lang w:val="zh-CN"/>
        </w:rPr>
        <w:lastRenderedPageBreak/>
        <w:t>（</w:t>
      </w:r>
      <w:r w:rsidRPr="00F9522B">
        <w:rPr>
          <w:rFonts w:eastAsiaTheme="minorEastAsia"/>
          <w:sz w:val="24"/>
          <w:lang w:val="zh-CN"/>
        </w:rPr>
        <w:t>3</w:t>
      </w:r>
      <w:r w:rsidRPr="00F9522B">
        <w:rPr>
          <w:rFonts w:eastAsiaTheme="minorEastAsia"/>
          <w:sz w:val="24"/>
          <w:lang w:val="zh-CN"/>
        </w:rPr>
        <w:t>）监测时间</w:t>
      </w:r>
    </w:p>
    <w:p w:rsidR="002A5A5E" w:rsidRPr="00F9522B" w:rsidRDefault="0097223F">
      <w:pPr>
        <w:spacing w:line="500" w:lineRule="exact"/>
        <w:ind w:firstLineChars="210" w:firstLine="504"/>
        <w:rPr>
          <w:rFonts w:eastAsiaTheme="minorEastAsia"/>
          <w:sz w:val="24"/>
          <w:lang w:val="zh-CN"/>
        </w:rPr>
      </w:pPr>
      <w:r w:rsidRPr="00F9522B">
        <w:rPr>
          <w:rFonts w:eastAsiaTheme="minorEastAsia"/>
          <w:sz w:val="24"/>
          <w:lang w:val="zh-CN"/>
        </w:rPr>
        <w:t>2026</w:t>
      </w:r>
      <w:r w:rsidR="00611CBA" w:rsidRPr="00F9522B">
        <w:rPr>
          <w:rFonts w:eastAsiaTheme="minorEastAsia"/>
          <w:sz w:val="24"/>
          <w:lang w:val="zh-CN"/>
        </w:rPr>
        <w:t>年</w:t>
      </w:r>
      <w:r w:rsidRPr="00F9522B">
        <w:rPr>
          <w:rFonts w:eastAsiaTheme="minorEastAsia"/>
          <w:sz w:val="24"/>
          <w:lang w:val="zh-CN"/>
        </w:rPr>
        <w:t>6</w:t>
      </w:r>
      <w:r w:rsidR="00611CBA" w:rsidRPr="00F9522B">
        <w:rPr>
          <w:rFonts w:eastAsiaTheme="minorEastAsia"/>
          <w:sz w:val="24"/>
          <w:lang w:val="zh-CN"/>
        </w:rPr>
        <w:t>月</w:t>
      </w:r>
      <w:r w:rsidRPr="00F9522B">
        <w:rPr>
          <w:rFonts w:eastAsiaTheme="minorEastAsia"/>
          <w:sz w:val="24"/>
          <w:lang w:val="zh-CN"/>
        </w:rPr>
        <w:t>1</w:t>
      </w:r>
      <w:r w:rsidR="00611CBA" w:rsidRPr="00F9522B">
        <w:rPr>
          <w:rFonts w:eastAsiaTheme="minorEastAsia"/>
          <w:sz w:val="24"/>
          <w:lang w:val="zh-CN"/>
        </w:rPr>
        <w:t>日。</w:t>
      </w:r>
    </w:p>
    <w:p w:rsidR="002A5A5E" w:rsidRPr="00F9522B" w:rsidRDefault="00611CBA">
      <w:pPr>
        <w:spacing w:line="500" w:lineRule="exact"/>
        <w:ind w:firstLineChars="210" w:firstLine="504"/>
        <w:rPr>
          <w:rFonts w:eastAsiaTheme="minorEastAsia"/>
          <w:sz w:val="24"/>
          <w:lang w:val="zh-CN"/>
        </w:rPr>
      </w:pPr>
      <w:r w:rsidRPr="00F9522B">
        <w:rPr>
          <w:rFonts w:eastAsiaTheme="minorEastAsia"/>
          <w:sz w:val="24"/>
          <w:lang w:val="zh-CN"/>
        </w:rPr>
        <w:t>（</w:t>
      </w:r>
      <w:r w:rsidRPr="00F9522B">
        <w:rPr>
          <w:rFonts w:eastAsiaTheme="minorEastAsia"/>
          <w:sz w:val="24"/>
          <w:lang w:val="zh-CN"/>
        </w:rPr>
        <w:t>4</w:t>
      </w:r>
      <w:r w:rsidRPr="00F9522B">
        <w:rPr>
          <w:rFonts w:eastAsiaTheme="minorEastAsia"/>
          <w:sz w:val="24"/>
          <w:lang w:val="zh-CN"/>
        </w:rPr>
        <w:t>）监测结果</w:t>
      </w:r>
    </w:p>
    <w:p w:rsidR="002A5A5E" w:rsidRPr="00F9522B" w:rsidRDefault="00611CBA">
      <w:pPr>
        <w:spacing w:line="500" w:lineRule="exact"/>
        <w:ind w:firstLineChars="210" w:firstLine="504"/>
        <w:rPr>
          <w:rFonts w:eastAsiaTheme="minorEastAsia"/>
          <w:sz w:val="24"/>
          <w:lang w:val="zh-CN"/>
        </w:rPr>
      </w:pPr>
      <w:r w:rsidRPr="00F9522B">
        <w:rPr>
          <w:rFonts w:eastAsiaTheme="minorEastAsia"/>
          <w:sz w:val="24"/>
          <w:lang w:val="zh-CN"/>
        </w:rPr>
        <w:t>监测结果见表</w:t>
      </w:r>
      <w:r w:rsidRPr="00F9522B">
        <w:rPr>
          <w:rFonts w:eastAsiaTheme="minorEastAsia"/>
          <w:sz w:val="24"/>
          <w:lang w:val="zh-CN"/>
        </w:rPr>
        <w:t>4-2-19</w:t>
      </w:r>
      <w:r w:rsidRPr="00F9522B">
        <w:rPr>
          <w:rFonts w:eastAsiaTheme="minorEastAsia"/>
          <w:sz w:val="24"/>
          <w:lang w:val="zh-CN"/>
        </w:rPr>
        <w:t>。</w:t>
      </w:r>
    </w:p>
    <w:p w:rsidR="002A5A5E" w:rsidRPr="00F9522B" w:rsidRDefault="00611CBA">
      <w:pPr>
        <w:contextualSpacing/>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4-2-19</w:t>
      </w:r>
      <w:r w:rsidRPr="00F9522B">
        <w:rPr>
          <w:rFonts w:eastAsiaTheme="minorEastAsia"/>
          <w:b/>
          <w:kern w:val="0"/>
          <w:szCs w:val="21"/>
        </w:rPr>
        <w:t>声环境现状监测结果</w:t>
      </w:r>
    </w:p>
    <w:tbl>
      <w:tblPr>
        <w:tblW w:w="5099" w:type="pct"/>
        <w:jc w:val="center"/>
        <w:tblBorders>
          <w:top w:val="single" w:sz="12" w:space="0" w:color="auto"/>
          <w:bottom w:val="single" w:sz="12" w:space="0" w:color="auto"/>
          <w:insideH w:val="single" w:sz="4" w:space="0" w:color="auto"/>
          <w:insideV w:val="single" w:sz="4" w:space="0" w:color="auto"/>
        </w:tblBorders>
        <w:tblLayout w:type="fixed"/>
        <w:tblLook w:val="04A0"/>
      </w:tblPr>
      <w:tblGrid>
        <w:gridCol w:w="1266"/>
        <w:gridCol w:w="2109"/>
        <w:gridCol w:w="848"/>
        <w:gridCol w:w="900"/>
        <w:gridCol w:w="928"/>
        <w:gridCol w:w="928"/>
        <w:gridCol w:w="859"/>
        <w:gridCol w:w="853"/>
      </w:tblGrid>
      <w:tr w:rsidR="002A5A5E" w:rsidRPr="00F9522B">
        <w:trPr>
          <w:trHeight w:val="289"/>
          <w:jc w:val="center"/>
        </w:trPr>
        <w:tc>
          <w:tcPr>
            <w:tcW w:w="728" w:type="pct"/>
            <w:vMerge w:val="restart"/>
            <w:vAlign w:val="center"/>
          </w:tcPr>
          <w:p w:rsidR="002A5A5E" w:rsidRPr="00F9522B" w:rsidRDefault="00611CBA" w:rsidP="0097223F">
            <w:pPr>
              <w:jc w:val="center"/>
              <w:rPr>
                <w:rFonts w:eastAsiaTheme="minorEastAsia"/>
                <w:b/>
                <w:szCs w:val="21"/>
              </w:rPr>
            </w:pPr>
            <w:r w:rsidRPr="00F9522B">
              <w:rPr>
                <w:rFonts w:eastAsiaTheme="minorEastAsia"/>
                <w:b/>
                <w:szCs w:val="21"/>
              </w:rPr>
              <w:t>检测日期</w:t>
            </w:r>
          </w:p>
        </w:tc>
        <w:tc>
          <w:tcPr>
            <w:tcW w:w="1213" w:type="pct"/>
            <w:vMerge w:val="restart"/>
            <w:vAlign w:val="center"/>
          </w:tcPr>
          <w:p w:rsidR="002A5A5E" w:rsidRPr="00F9522B" w:rsidRDefault="00611CBA" w:rsidP="0097223F">
            <w:pPr>
              <w:jc w:val="center"/>
              <w:rPr>
                <w:rFonts w:eastAsiaTheme="minorEastAsia"/>
                <w:b/>
                <w:szCs w:val="21"/>
              </w:rPr>
            </w:pPr>
            <w:r w:rsidRPr="00F9522B">
              <w:rPr>
                <w:rFonts w:eastAsiaTheme="minorEastAsia"/>
                <w:b/>
                <w:szCs w:val="21"/>
              </w:rPr>
              <w:t>检测地点</w:t>
            </w:r>
          </w:p>
        </w:tc>
        <w:tc>
          <w:tcPr>
            <w:tcW w:w="1540" w:type="pct"/>
            <w:gridSpan w:val="3"/>
            <w:vAlign w:val="center"/>
          </w:tcPr>
          <w:p w:rsidR="002A5A5E" w:rsidRPr="00F9522B" w:rsidRDefault="00611CBA" w:rsidP="0097223F">
            <w:pPr>
              <w:snapToGrid w:val="0"/>
              <w:jc w:val="center"/>
              <w:rPr>
                <w:rFonts w:eastAsiaTheme="minorEastAsia"/>
                <w:kern w:val="0"/>
                <w:szCs w:val="21"/>
              </w:rPr>
            </w:pPr>
            <w:r w:rsidRPr="00F9522B">
              <w:rPr>
                <w:rFonts w:eastAsiaTheme="minorEastAsia"/>
                <w:b/>
                <w:szCs w:val="21"/>
              </w:rPr>
              <w:t>昼</w:t>
            </w:r>
            <w:r w:rsidRPr="00F9522B">
              <w:rPr>
                <w:rFonts w:eastAsiaTheme="minorEastAsia"/>
                <w:b/>
                <w:szCs w:val="21"/>
              </w:rPr>
              <w:t>L</w:t>
            </w:r>
            <w:r w:rsidRPr="00F9522B">
              <w:rPr>
                <w:rFonts w:eastAsiaTheme="minorEastAsia"/>
                <w:b/>
                <w:szCs w:val="21"/>
                <w:vertAlign w:val="subscript"/>
              </w:rPr>
              <w:t>eq</w:t>
            </w:r>
          </w:p>
        </w:tc>
        <w:tc>
          <w:tcPr>
            <w:tcW w:w="1519" w:type="pct"/>
            <w:gridSpan w:val="3"/>
            <w:vAlign w:val="center"/>
          </w:tcPr>
          <w:p w:rsidR="002A5A5E" w:rsidRPr="00F9522B" w:rsidRDefault="00611CBA" w:rsidP="0097223F">
            <w:pPr>
              <w:snapToGrid w:val="0"/>
              <w:jc w:val="center"/>
              <w:rPr>
                <w:rFonts w:eastAsiaTheme="minorEastAsia"/>
                <w:kern w:val="0"/>
                <w:szCs w:val="21"/>
              </w:rPr>
            </w:pPr>
            <w:r w:rsidRPr="00F9522B">
              <w:rPr>
                <w:rFonts w:eastAsiaTheme="minorEastAsia"/>
                <w:b/>
                <w:szCs w:val="21"/>
              </w:rPr>
              <w:t>夜</w:t>
            </w:r>
            <w:r w:rsidRPr="00F9522B">
              <w:rPr>
                <w:rFonts w:eastAsiaTheme="minorEastAsia"/>
                <w:b/>
                <w:szCs w:val="21"/>
              </w:rPr>
              <w:t>L</w:t>
            </w:r>
            <w:r w:rsidRPr="00F9522B">
              <w:rPr>
                <w:rFonts w:eastAsiaTheme="minorEastAsia"/>
                <w:b/>
                <w:szCs w:val="21"/>
                <w:vertAlign w:val="subscript"/>
              </w:rPr>
              <w:t>eq</w:t>
            </w:r>
          </w:p>
        </w:tc>
      </w:tr>
      <w:tr w:rsidR="002A5A5E" w:rsidRPr="00F9522B">
        <w:trPr>
          <w:trHeight w:val="216"/>
          <w:jc w:val="center"/>
        </w:trPr>
        <w:tc>
          <w:tcPr>
            <w:tcW w:w="728" w:type="pct"/>
            <w:vMerge/>
            <w:vAlign w:val="center"/>
          </w:tcPr>
          <w:p w:rsidR="002A5A5E" w:rsidRPr="00F9522B" w:rsidRDefault="002A5A5E" w:rsidP="0097223F">
            <w:pPr>
              <w:jc w:val="center"/>
              <w:rPr>
                <w:rFonts w:eastAsiaTheme="minorEastAsia"/>
                <w:b/>
                <w:szCs w:val="21"/>
              </w:rPr>
            </w:pPr>
          </w:p>
        </w:tc>
        <w:tc>
          <w:tcPr>
            <w:tcW w:w="1213" w:type="pct"/>
            <w:vMerge/>
            <w:vAlign w:val="center"/>
          </w:tcPr>
          <w:p w:rsidR="002A5A5E" w:rsidRPr="00F9522B" w:rsidRDefault="002A5A5E" w:rsidP="0097223F">
            <w:pPr>
              <w:jc w:val="center"/>
              <w:rPr>
                <w:rFonts w:eastAsiaTheme="minorEastAsia"/>
                <w:b/>
                <w:szCs w:val="21"/>
              </w:rPr>
            </w:pPr>
          </w:p>
        </w:tc>
        <w:tc>
          <w:tcPr>
            <w:tcW w:w="488" w:type="pct"/>
            <w:vAlign w:val="center"/>
          </w:tcPr>
          <w:p w:rsidR="002A5A5E" w:rsidRPr="00F9522B" w:rsidRDefault="00611CBA" w:rsidP="0097223F">
            <w:pPr>
              <w:widowControl/>
              <w:jc w:val="center"/>
              <w:rPr>
                <w:rFonts w:eastAsiaTheme="minorEastAsia"/>
                <w:b/>
                <w:szCs w:val="21"/>
              </w:rPr>
            </w:pPr>
            <w:r w:rsidRPr="00F9522B">
              <w:rPr>
                <w:rFonts w:eastAsiaTheme="minorEastAsia"/>
                <w:b/>
                <w:szCs w:val="21"/>
              </w:rPr>
              <w:t>时间</w:t>
            </w:r>
          </w:p>
        </w:tc>
        <w:tc>
          <w:tcPr>
            <w:tcW w:w="518" w:type="pct"/>
            <w:vAlign w:val="center"/>
          </w:tcPr>
          <w:p w:rsidR="002A5A5E" w:rsidRPr="00F9522B" w:rsidRDefault="00611CBA" w:rsidP="0097223F">
            <w:pPr>
              <w:widowControl/>
              <w:jc w:val="center"/>
              <w:rPr>
                <w:rFonts w:eastAsiaTheme="minorEastAsia"/>
                <w:b/>
                <w:szCs w:val="21"/>
              </w:rPr>
            </w:pPr>
            <w:r w:rsidRPr="00F9522B">
              <w:rPr>
                <w:rFonts w:eastAsiaTheme="minorEastAsia"/>
                <w:b/>
                <w:szCs w:val="21"/>
              </w:rPr>
              <w:t>结果</w:t>
            </w:r>
          </w:p>
        </w:tc>
        <w:tc>
          <w:tcPr>
            <w:tcW w:w="534" w:type="pct"/>
            <w:vAlign w:val="center"/>
          </w:tcPr>
          <w:p w:rsidR="002A5A5E" w:rsidRPr="00F9522B" w:rsidRDefault="00611CBA" w:rsidP="0097223F">
            <w:pPr>
              <w:snapToGrid w:val="0"/>
              <w:jc w:val="center"/>
              <w:rPr>
                <w:rFonts w:eastAsiaTheme="minorEastAsia"/>
                <w:b/>
                <w:kern w:val="0"/>
                <w:szCs w:val="21"/>
              </w:rPr>
            </w:pPr>
            <w:r w:rsidRPr="00F9522B">
              <w:rPr>
                <w:rFonts w:eastAsiaTheme="minorEastAsia"/>
                <w:b/>
                <w:kern w:val="0"/>
                <w:szCs w:val="21"/>
              </w:rPr>
              <w:t>标准</w:t>
            </w:r>
          </w:p>
          <w:p w:rsidR="002A5A5E" w:rsidRPr="00F9522B" w:rsidRDefault="00611CBA" w:rsidP="0097223F">
            <w:pPr>
              <w:snapToGrid w:val="0"/>
              <w:jc w:val="center"/>
              <w:rPr>
                <w:rFonts w:eastAsiaTheme="minorEastAsia"/>
                <w:b/>
                <w:kern w:val="0"/>
                <w:szCs w:val="21"/>
              </w:rPr>
            </w:pPr>
            <w:r w:rsidRPr="00F9522B">
              <w:rPr>
                <w:rFonts w:eastAsiaTheme="minorEastAsia"/>
                <w:b/>
                <w:kern w:val="0"/>
                <w:szCs w:val="21"/>
              </w:rPr>
              <w:t>限值</w:t>
            </w:r>
          </w:p>
        </w:tc>
        <w:tc>
          <w:tcPr>
            <w:tcW w:w="534" w:type="pct"/>
            <w:vAlign w:val="center"/>
          </w:tcPr>
          <w:p w:rsidR="002A5A5E" w:rsidRPr="00F9522B" w:rsidRDefault="00611CBA" w:rsidP="0097223F">
            <w:pPr>
              <w:widowControl/>
              <w:jc w:val="center"/>
              <w:rPr>
                <w:rFonts w:eastAsiaTheme="minorEastAsia"/>
                <w:b/>
                <w:szCs w:val="21"/>
              </w:rPr>
            </w:pPr>
            <w:r w:rsidRPr="00F9522B">
              <w:rPr>
                <w:rFonts w:eastAsiaTheme="minorEastAsia"/>
                <w:b/>
                <w:szCs w:val="21"/>
              </w:rPr>
              <w:t>时间</w:t>
            </w:r>
          </w:p>
        </w:tc>
        <w:tc>
          <w:tcPr>
            <w:tcW w:w="494" w:type="pct"/>
            <w:vAlign w:val="center"/>
          </w:tcPr>
          <w:p w:rsidR="002A5A5E" w:rsidRPr="00F9522B" w:rsidRDefault="00611CBA" w:rsidP="0097223F">
            <w:pPr>
              <w:widowControl/>
              <w:jc w:val="center"/>
              <w:rPr>
                <w:rFonts w:eastAsiaTheme="minorEastAsia"/>
                <w:b/>
                <w:szCs w:val="21"/>
              </w:rPr>
            </w:pPr>
            <w:r w:rsidRPr="00F9522B">
              <w:rPr>
                <w:rFonts w:eastAsiaTheme="minorEastAsia"/>
                <w:b/>
                <w:szCs w:val="21"/>
              </w:rPr>
              <w:t>结果</w:t>
            </w:r>
          </w:p>
        </w:tc>
        <w:tc>
          <w:tcPr>
            <w:tcW w:w="491" w:type="pct"/>
            <w:vAlign w:val="center"/>
          </w:tcPr>
          <w:p w:rsidR="002A5A5E" w:rsidRPr="00F9522B" w:rsidRDefault="00611CBA" w:rsidP="0097223F">
            <w:pPr>
              <w:snapToGrid w:val="0"/>
              <w:jc w:val="center"/>
              <w:rPr>
                <w:rFonts w:eastAsiaTheme="minorEastAsia"/>
                <w:b/>
                <w:kern w:val="0"/>
                <w:szCs w:val="21"/>
              </w:rPr>
            </w:pPr>
            <w:r w:rsidRPr="00F9522B">
              <w:rPr>
                <w:rFonts w:eastAsiaTheme="minorEastAsia"/>
                <w:b/>
                <w:kern w:val="0"/>
                <w:szCs w:val="21"/>
              </w:rPr>
              <w:t>标准</w:t>
            </w:r>
          </w:p>
          <w:p w:rsidR="002A5A5E" w:rsidRPr="00F9522B" w:rsidRDefault="00611CBA" w:rsidP="0097223F">
            <w:pPr>
              <w:snapToGrid w:val="0"/>
              <w:jc w:val="center"/>
              <w:rPr>
                <w:rFonts w:eastAsiaTheme="minorEastAsia"/>
                <w:b/>
                <w:kern w:val="0"/>
                <w:szCs w:val="21"/>
              </w:rPr>
            </w:pPr>
            <w:r w:rsidRPr="00F9522B">
              <w:rPr>
                <w:rFonts w:eastAsiaTheme="minorEastAsia"/>
                <w:b/>
                <w:kern w:val="0"/>
                <w:szCs w:val="21"/>
              </w:rPr>
              <w:t>限值</w:t>
            </w:r>
          </w:p>
        </w:tc>
      </w:tr>
      <w:tr w:rsidR="0097223F" w:rsidRPr="00F9522B">
        <w:trPr>
          <w:trHeight w:val="412"/>
          <w:jc w:val="center"/>
        </w:trPr>
        <w:tc>
          <w:tcPr>
            <w:tcW w:w="728" w:type="pct"/>
            <w:vMerge w:val="restart"/>
            <w:vAlign w:val="center"/>
          </w:tcPr>
          <w:p w:rsidR="0097223F" w:rsidRPr="00F9522B" w:rsidRDefault="0097223F" w:rsidP="0097223F">
            <w:pPr>
              <w:jc w:val="center"/>
              <w:rPr>
                <w:rFonts w:eastAsiaTheme="minorEastAsia"/>
                <w:szCs w:val="21"/>
              </w:rPr>
            </w:pPr>
            <w:r w:rsidRPr="00F9522B">
              <w:rPr>
                <w:rFonts w:eastAsiaTheme="minorEastAsia"/>
                <w:szCs w:val="21"/>
              </w:rPr>
              <w:t>2026.06.1</w:t>
            </w:r>
          </w:p>
        </w:tc>
        <w:tc>
          <w:tcPr>
            <w:tcW w:w="1213" w:type="pct"/>
            <w:vAlign w:val="center"/>
          </w:tcPr>
          <w:p w:rsidR="0097223F" w:rsidRPr="00F9522B" w:rsidRDefault="0097223F" w:rsidP="0097223F">
            <w:pPr>
              <w:jc w:val="center"/>
              <w:rPr>
                <w:szCs w:val="21"/>
              </w:rPr>
            </w:pPr>
            <w:r w:rsidRPr="00F9522B">
              <w:rPr>
                <w:rFonts w:ascii="Cambria Math" w:hAnsi="Cambria Math" w:cs="Cambria Math"/>
              </w:rPr>
              <w:t>△</w:t>
            </w:r>
            <w:r w:rsidRPr="00F9522B">
              <w:t>1</w:t>
            </w:r>
            <w:r w:rsidRPr="00F9522B">
              <w:t>方台镇民房</w:t>
            </w:r>
          </w:p>
        </w:tc>
        <w:tc>
          <w:tcPr>
            <w:tcW w:w="488" w:type="pct"/>
            <w:vAlign w:val="center"/>
          </w:tcPr>
          <w:p w:rsidR="0097223F" w:rsidRPr="00F9522B" w:rsidRDefault="0097223F" w:rsidP="0097223F">
            <w:pPr>
              <w:pStyle w:val="24"/>
              <w:spacing w:after="0" w:line="240" w:lineRule="auto"/>
              <w:jc w:val="center"/>
              <w:rPr>
                <w:rFonts w:ascii="Times New Roman" w:hAnsi="Times New Roman" w:cs="Times New Roman"/>
                <w:kern w:val="0"/>
                <w:sz w:val="21"/>
                <w:szCs w:val="21"/>
              </w:rPr>
            </w:pPr>
            <w:r w:rsidRPr="00F9522B">
              <w:rPr>
                <w:rFonts w:ascii="Times New Roman" w:hAnsi="Times New Roman" w:cs="Times New Roman"/>
                <w:sz w:val="21"/>
                <w:szCs w:val="21"/>
              </w:rPr>
              <w:t>08:00</w:t>
            </w:r>
          </w:p>
        </w:tc>
        <w:tc>
          <w:tcPr>
            <w:tcW w:w="518" w:type="pct"/>
            <w:vAlign w:val="center"/>
          </w:tcPr>
          <w:p w:rsidR="0097223F" w:rsidRPr="00F9522B" w:rsidRDefault="0097223F" w:rsidP="0097223F">
            <w:pPr>
              <w:snapToGrid w:val="0"/>
              <w:jc w:val="center"/>
              <w:rPr>
                <w:kern w:val="0"/>
                <w:szCs w:val="21"/>
              </w:rPr>
            </w:pPr>
            <w:r w:rsidRPr="00F9522B">
              <w:rPr>
                <w:kern w:val="0"/>
              </w:rPr>
              <w:t>50</w:t>
            </w:r>
          </w:p>
        </w:tc>
        <w:tc>
          <w:tcPr>
            <w:tcW w:w="534" w:type="pct"/>
            <w:vAlign w:val="center"/>
          </w:tcPr>
          <w:p w:rsidR="0097223F" w:rsidRPr="00F9522B" w:rsidRDefault="0097223F" w:rsidP="0097223F">
            <w:pPr>
              <w:snapToGrid w:val="0"/>
              <w:jc w:val="center"/>
              <w:rPr>
                <w:kern w:val="0"/>
                <w:szCs w:val="21"/>
              </w:rPr>
            </w:pPr>
            <w:r w:rsidRPr="00F9522B">
              <w:rPr>
                <w:kern w:val="0"/>
              </w:rPr>
              <w:t>55</w:t>
            </w:r>
          </w:p>
        </w:tc>
        <w:tc>
          <w:tcPr>
            <w:tcW w:w="534" w:type="pct"/>
            <w:vAlign w:val="center"/>
          </w:tcPr>
          <w:p w:rsidR="0097223F" w:rsidRPr="00F9522B" w:rsidRDefault="0097223F" w:rsidP="0097223F">
            <w:pPr>
              <w:pStyle w:val="24"/>
              <w:spacing w:after="0" w:line="240" w:lineRule="auto"/>
              <w:jc w:val="center"/>
              <w:rPr>
                <w:rFonts w:ascii="Times New Roman" w:hAnsi="Times New Roman" w:cs="Times New Roman"/>
                <w:kern w:val="0"/>
                <w:sz w:val="21"/>
                <w:szCs w:val="21"/>
              </w:rPr>
            </w:pPr>
            <w:r w:rsidRPr="00F9522B">
              <w:rPr>
                <w:rFonts w:ascii="Times New Roman" w:hAnsi="Times New Roman" w:cs="Times New Roman"/>
                <w:sz w:val="21"/>
                <w:szCs w:val="21"/>
              </w:rPr>
              <w:t>22:00</w:t>
            </w:r>
          </w:p>
        </w:tc>
        <w:tc>
          <w:tcPr>
            <w:tcW w:w="494" w:type="pct"/>
            <w:vAlign w:val="center"/>
          </w:tcPr>
          <w:p w:rsidR="0097223F" w:rsidRPr="00F9522B" w:rsidRDefault="0097223F" w:rsidP="0097223F">
            <w:pPr>
              <w:snapToGrid w:val="0"/>
              <w:jc w:val="center"/>
              <w:rPr>
                <w:kern w:val="0"/>
                <w:szCs w:val="21"/>
              </w:rPr>
            </w:pPr>
            <w:r w:rsidRPr="00F9522B">
              <w:rPr>
                <w:kern w:val="0"/>
              </w:rPr>
              <w:t>40</w:t>
            </w:r>
          </w:p>
        </w:tc>
        <w:tc>
          <w:tcPr>
            <w:tcW w:w="491" w:type="pct"/>
            <w:vAlign w:val="center"/>
          </w:tcPr>
          <w:p w:rsidR="0097223F" w:rsidRPr="00F9522B" w:rsidRDefault="0097223F" w:rsidP="0097223F">
            <w:pPr>
              <w:snapToGrid w:val="0"/>
              <w:jc w:val="center"/>
              <w:rPr>
                <w:kern w:val="0"/>
                <w:szCs w:val="21"/>
              </w:rPr>
            </w:pPr>
            <w:r w:rsidRPr="00F9522B">
              <w:rPr>
                <w:kern w:val="0"/>
              </w:rPr>
              <w:t>45</w:t>
            </w:r>
          </w:p>
        </w:tc>
      </w:tr>
      <w:tr w:rsidR="0097223F" w:rsidRPr="00F9522B">
        <w:trPr>
          <w:trHeight w:val="412"/>
          <w:jc w:val="center"/>
        </w:trPr>
        <w:tc>
          <w:tcPr>
            <w:tcW w:w="728" w:type="pct"/>
            <w:vMerge/>
            <w:vAlign w:val="center"/>
          </w:tcPr>
          <w:p w:rsidR="0097223F" w:rsidRPr="00F9522B" w:rsidRDefault="0097223F" w:rsidP="0097223F">
            <w:pPr>
              <w:jc w:val="center"/>
              <w:rPr>
                <w:rFonts w:eastAsiaTheme="minorEastAsia"/>
                <w:szCs w:val="21"/>
              </w:rPr>
            </w:pPr>
          </w:p>
        </w:tc>
        <w:tc>
          <w:tcPr>
            <w:tcW w:w="1213" w:type="pct"/>
            <w:vAlign w:val="center"/>
          </w:tcPr>
          <w:p w:rsidR="0097223F" w:rsidRPr="00F9522B" w:rsidRDefault="0097223F" w:rsidP="0097223F">
            <w:pPr>
              <w:jc w:val="center"/>
              <w:rPr>
                <w:szCs w:val="21"/>
              </w:rPr>
            </w:pPr>
            <w:r w:rsidRPr="00F9522B">
              <w:rPr>
                <w:rFonts w:ascii="Cambria Math" w:hAnsi="Cambria Math" w:cs="Cambria Math"/>
              </w:rPr>
              <w:t>△</w:t>
            </w:r>
            <w:r w:rsidRPr="00F9522B">
              <w:t>2</w:t>
            </w:r>
            <w:r w:rsidRPr="00F9522B">
              <w:t>历井村民房</w:t>
            </w:r>
          </w:p>
        </w:tc>
        <w:tc>
          <w:tcPr>
            <w:tcW w:w="488" w:type="pct"/>
            <w:shd w:val="clear" w:color="auto" w:fill="FFFFFF"/>
            <w:vAlign w:val="center"/>
          </w:tcPr>
          <w:p w:rsidR="0097223F" w:rsidRPr="00F9522B" w:rsidRDefault="0097223F" w:rsidP="0097223F">
            <w:pPr>
              <w:pStyle w:val="24"/>
              <w:spacing w:after="0" w:line="240" w:lineRule="auto"/>
              <w:jc w:val="center"/>
              <w:rPr>
                <w:rFonts w:ascii="Times New Roman" w:hAnsi="Times New Roman" w:cs="Times New Roman"/>
                <w:kern w:val="0"/>
                <w:sz w:val="21"/>
                <w:szCs w:val="21"/>
              </w:rPr>
            </w:pPr>
            <w:r w:rsidRPr="00F9522B">
              <w:rPr>
                <w:rFonts w:ascii="Times New Roman" w:hAnsi="Times New Roman" w:cs="Times New Roman"/>
                <w:sz w:val="21"/>
                <w:szCs w:val="21"/>
              </w:rPr>
              <w:t>08:30</w:t>
            </w:r>
          </w:p>
        </w:tc>
        <w:tc>
          <w:tcPr>
            <w:tcW w:w="518" w:type="pct"/>
            <w:shd w:val="clear" w:color="auto" w:fill="FFFFFF"/>
            <w:vAlign w:val="center"/>
          </w:tcPr>
          <w:p w:rsidR="0097223F" w:rsidRPr="00F9522B" w:rsidRDefault="0097223F" w:rsidP="0097223F">
            <w:pPr>
              <w:snapToGrid w:val="0"/>
              <w:jc w:val="center"/>
              <w:rPr>
                <w:kern w:val="0"/>
                <w:szCs w:val="21"/>
              </w:rPr>
            </w:pPr>
            <w:r w:rsidRPr="00F9522B">
              <w:rPr>
                <w:kern w:val="0"/>
              </w:rPr>
              <w:t>49</w:t>
            </w:r>
          </w:p>
        </w:tc>
        <w:tc>
          <w:tcPr>
            <w:tcW w:w="534" w:type="pct"/>
            <w:vAlign w:val="center"/>
          </w:tcPr>
          <w:p w:rsidR="0097223F" w:rsidRPr="00F9522B" w:rsidRDefault="0097223F" w:rsidP="0097223F">
            <w:pPr>
              <w:snapToGrid w:val="0"/>
              <w:jc w:val="center"/>
              <w:rPr>
                <w:kern w:val="0"/>
                <w:szCs w:val="21"/>
              </w:rPr>
            </w:pPr>
            <w:r w:rsidRPr="00F9522B">
              <w:rPr>
                <w:kern w:val="0"/>
              </w:rPr>
              <w:t>55</w:t>
            </w:r>
          </w:p>
        </w:tc>
        <w:tc>
          <w:tcPr>
            <w:tcW w:w="534" w:type="pct"/>
            <w:vAlign w:val="center"/>
          </w:tcPr>
          <w:p w:rsidR="0097223F" w:rsidRPr="00F9522B" w:rsidRDefault="0097223F" w:rsidP="0097223F">
            <w:pPr>
              <w:pStyle w:val="24"/>
              <w:spacing w:after="0" w:line="240" w:lineRule="auto"/>
              <w:jc w:val="center"/>
              <w:rPr>
                <w:rFonts w:ascii="Times New Roman" w:hAnsi="Times New Roman" w:cs="Times New Roman"/>
                <w:kern w:val="0"/>
                <w:sz w:val="21"/>
                <w:szCs w:val="21"/>
              </w:rPr>
            </w:pPr>
            <w:r w:rsidRPr="00F9522B">
              <w:rPr>
                <w:rFonts w:ascii="Times New Roman" w:hAnsi="Times New Roman" w:cs="Times New Roman"/>
                <w:sz w:val="21"/>
                <w:szCs w:val="21"/>
              </w:rPr>
              <w:t>22:30</w:t>
            </w:r>
          </w:p>
        </w:tc>
        <w:tc>
          <w:tcPr>
            <w:tcW w:w="494" w:type="pct"/>
            <w:vAlign w:val="center"/>
          </w:tcPr>
          <w:p w:rsidR="0097223F" w:rsidRPr="00F9522B" w:rsidRDefault="0097223F" w:rsidP="0097223F">
            <w:pPr>
              <w:snapToGrid w:val="0"/>
              <w:jc w:val="center"/>
              <w:rPr>
                <w:kern w:val="0"/>
                <w:szCs w:val="21"/>
              </w:rPr>
            </w:pPr>
            <w:r w:rsidRPr="00F9522B">
              <w:rPr>
                <w:kern w:val="0"/>
              </w:rPr>
              <w:t>39</w:t>
            </w:r>
          </w:p>
        </w:tc>
        <w:tc>
          <w:tcPr>
            <w:tcW w:w="491" w:type="pct"/>
            <w:vAlign w:val="center"/>
          </w:tcPr>
          <w:p w:rsidR="0097223F" w:rsidRPr="00F9522B" w:rsidRDefault="0097223F" w:rsidP="0097223F">
            <w:pPr>
              <w:snapToGrid w:val="0"/>
              <w:jc w:val="center"/>
              <w:rPr>
                <w:kern w:val="0"/>
                <w:szCs w:val="21"/>
              </w:rPr>
            </w:pPr>
            <w:r w:rsidRPr="00F9522B">
              <w:rPr>
                <w:kern w:val="0"/>
              </w:rPr>
              <w:t>45</w:t>
            </w:r>
          </w:p>
        </w:tc>
      </w:tr>
      <w:tr w:rsidR="0097223F" w:rsidRPr="00F9522B">
        <w:trPr>
          <w:trHeight w:val="412"/>
          <w:jc w:val="center"/>
        </w:trPr>
        <w:tc>
          <w:tcPr>
            <w:tcW w:w="728" w:type="pct"/>
            <w:vMerge/>
            <w:vAlign w:val="center"/>
          </w:tcPr>
          <w:p w:rsidR="0097223F" w:rsidRPr="00F9522B" w:rsidRDefault="0097223F" w:rsidP="0097223F">
            <w:pPr>
              <w:jc w:val="center"/>
              <w:rPr>
                <w:rFonts w:eastAsiaTheme="minorEastAsia"/>
                <w:szCs w:val="21"/>
              </w:rPr>
            </w:pPr>
          </w:p>
        </w:tc>
        <w:tc>
          <w:tcPr>
            <w:tcW w:w="1213" w:type="pct"/>
            <w:vAlign w:val="center"/>
          </w:tcPr>
          <w:p w:rsidR="0097223F" w:rsidRPr="00F9522B" w:rsidRDefault="0097223F" w:rsidP="0097223F">
            <w:pPr>
              <w:jc w:val="center"/>
              <w:rPr>
                <w:szCs w:val="21"/>
              </w:rPr>
            </w:pPr>
            <w:r w:rsidRPr="00F9522B">
              <w:rPr>
                <w:rFonts w:ascii="Cambria Math" w:hAnsi="Cambria Math" w:cs="Cambria Math"/>
              </w:rPr>
              <w:t>△</w:t>
            </w:r>
            <w:r w:rsidRPr="00F9522B">
              <w:t>3</w:t>
            </w:r>
            <w:r w:rsidRPr="00F9522B">
              <w:t>二八中学校一层</w:t>
            </w:r>
          </w:p>
        </w:tc>
        <w:tc>
          <w:tcPr>
            <w:tcW w:w="488" w:type="pct"/>
            <w:shd w:val="clear" w:color="auto" w:fill="FFFFFF"/>
            <w:vAlign w:val="center"/>
          </w:tcPr>
          <w:p w:rsidR="0097223F" w:rsidRPr="00F9522B" w:rsidRDefault="0097223F" w:rsidP="0097223F">
            <w:pPr>
              <w:pStyle w:val="24"/>
              <w:spacing w:after="0" w:line="240" w:lineRule="auto"/>
              <w:jc w:val="center"/>
              <w:rPr>
                <w:rFonts w:ascii="Times New Roman" w:hAnsi="Times New Roman" w:cs="Times New Roman"/>
                <w:kern w:val="0"/>
                <w:sz w:val="21"/>
                <w:szCs w:val="21"/>
              </w:rPr>
            </w:pPr>
            <w:r w:rsidRPr="00F9522B">
              <w:rPr>
                <w:rFonts w:ascii="Times New Roman" w:hAnsi="Times New Roman" w:cs="Times New Roman"/>
                <w:sz w:val="21"/>
                <w:szCs w:val="21"/>
              </w:rPr>
              <w:t>09:00</w:t>
            </w:r>
          </w:p>
        </w:tc>
        <w:tc>
          <w:tcPr>
            <w:tcW w:w="518" w:type="pct"/>
            <w:shd w:val="clear" w:color="auto" w:fill="FFFFFF"/>
            <w:vAlign w:val="center"/>
          </w:tcPr>
          <w:p w:rsidR="0097223F" w:rsidRPr="00F9522B" w:rsidRDefault="0097223F" w:rsidP="0097223F">
            <w:pPr>
              <w:snapToGrid w:val="0"/>
              <w:jc w:val="center"/>
              <w:rPr>
                <w:kern w:val="0"/>
                <w:szCs w:val="21"/>
              </w:rPr>
            </w:pPr>
            <w:r w:rsidRPr="00F9522B">
              <w:rPr>
                <w:kern w:val="0"/>
              </w:rPr>
              <w:t>52</w:t>
            </w:r>
          </w:p>
        </w:tc>
        <w:tc>
          <w:tcPr>
            <w:tcW w:w="534" w:type="pct"/>
            <w:vAlign w:val="center"/>
          </w:tcPr>
          <w:p w:rsidR="0097223F" w:rsidRPr="00F9522B" w:rsidRDefault="0097223F" w:rsidP="0097223F">
            <w:pPr>
              <w:snapToGrid w:val="0"/>
              <w:jc w:val="center"/>
              <w:rPr>
                <w:kern w:val="0"/>
                <w:szCs w:val="21"/>
              </w:rPr>
            </w:pPr>
            <w:r w:rsidRPr="00F9522B">
              <w:rPr>
                <w:kern w:val="0"/>
              </w:rPr>
              <w:t>55</w:t>
            </w:r>
          </w:p>
        </w:tc>
        <w:tc>
          <w:tcPr>
            <w:tcW w:w="534" w:type="pct"/>
            <w:vAlign w:val="center"/>
          </w:tcPr>
          <w:p w:rsidR="0097223F" w:rsidRPr="00F9522B" w:rsidRDefault="0097223F" w:rsidP="0097223F">
            <w:pPr>
              <w:pStyle w:val="24"/>
              <w:spacing w:after="0" w:line="240" w:lineRule="auto"/>
              <w:jc w:val="center"/>
              <w:rPr>
                <w:rFonts w:ascii="Times New Roman" w:hAnsi="Times New Roman" w:cs="Times New Roman"/>
                <w:kern w:val="0"/>
                <w:sz w:val="21"/>
                <w:szCs w:val="21"/>
              </w:rPr>
            </w:pPr>
            <w:r w:rsidRPr="00F9522B">
              <w:rPr>
                <w:rFonts w:ascii="Times New Roman" w:hAnsi="Times New Roman" w:cs="Times New Roman"/>
                <w:sz w:val="21"/>
                <w:szCs w:val="21"/>
              </w:rPr>
              <w:t>23:00</w:t>
            </w:r>
          </w:p>
        </w:tc>
        <w:tc>
          <w:tcPr>
            <w:tcW w:w="494" w:type="pct"/>
            <w:vAlign w:val="center"/>
          </w:tcPr>
          <w:p w:rsidR="0097223F" w:rsidRPr="00F9522B" w:rsidRDefault="0097223F" w:rsidP="0097223F">
            <w:pPr>
              <w:snapToGrid w:val="0"/>
              <w:jc w:val="center"/>
              <w:rPr>
                <w:kern w:val="0"/>
                <w:szCs w:val="21"/>
              </w:rPr>
            </w:pPr>
            <w:r w:rsidRPr="00F9522B">
              <w:rPr>
                <w:kern w:val="0"/>
              </w:rPr>
              <w:t>40</w:t>
            </w:r>
          </w:p>
        </w:tc>
        <w:tc>
          <w:tcPr>
            <w:tcW w:w="491" w:type="pct"/>
            <w:vAlign w:val="center"/>
          </w:tcPr>
          <w:p w:rsidR="0097223F" w:rsidRPr="00F9522B" w:rsidRDefault="0097223F" w:rsidP="0097223F">
            <w:pPr>
              <w:snapToGrid w:val="0"/>
              <w:jc w:val="center"/>
              <w:rPr>
                <w:kern w:val="0"/>
                <w:szCs w:val="21"/>
              </w:rPr>
            </w:pPr>
            <w:r w:rsidRPr="00F9522B">
              <w:rPr>
                <w:kern w:val="0"/>
              </w:rPr>
              <w:t>45</w:t>
            </w:r>
          </w:p>
        </w:tc>
      </w:tr>
      <w:tr w:rsidR="0097223F" w:rsidRPr="00F9522B">
        <w:trPr>
          <w:trHeight w:val="412"/>
          <w:jc w:val="center"/>
        </w:trPr>
        <w:tc>
          <w:tcPr>
            <w:tcW w:w="728" w:type="pct"/>
            <w:vMerge/>
            <w:vAlign w:val="center"/>
          </w:tcPr>
          <w:p w:rsidR="0097223F" w:rsidRPr="00F9522B" w:rsidRDefault="0097223F" w:rsidP="0097223F">
            <w:pPr>
              <w:jc w:val="center"/>
              <w:rPr>
                <w:rFonts w:eastAsiaTheme="minorEastAsia"/>
                <w:szCs w:val="21"/>
              </w:rPr>
            </w:pPr>
          </w:p>
        </w:tc>
        <w:tc>
          <w:tcPr>
            <w:tcW w:w="1213" w:type="pct"/>
            <w:vAlign w:val="center"/>
          </w:tcPr>
          <w:p w:rsidR="0097223F" w:rsidRPr="00F9522B" w:rsidRDefault="0097223F" w:rsidP="0097223F">
            <w:pPr>
              <w:jc w:val="center"/>
              <w:rPr>
                <w:szCs w:val="21"/>
              </w:rPr>
            </w:pPr>
            <w:r w:rsidRPr="00F9522B">
              <w:rPr>
                <w:rFonts w:ascii="Cambria Math" w:hAnsi="Cambria Math" w:cs="Cambria Math"/>
              </w:rPr>
              <w:t>△</w:t>
            </w:r>
            <w:r w:rsidRPr="00F9522B">
              <w:t>4</w:t>
            </w:r>
            <w:r w:rsidRPr="00F9522B">
              <w:t>二八中学校三层</w:t>
            </w:r>
          </w:p>
        </w:tc>
        <w:tc>
          <w:tcPr>
            <w:tcW w:w="488" w:type="pct"/>
            <w:shd w:val="clear" w:color="auto" w:fill="FFFFFF"/>
            <w:vAlign w:val="center"/>
          </w:tcPr>
          <w:p w:rsidR="0097223F" w:rsidRPr="00F9522B" w:rsidRDefault="0097223F" w:rsidP="0097223F">
            <w:pPr>
              <w:pStyle w:val="24"/>
              <w:spacing w:after="0" w:line="240" w:lineRule="auto"/>
              <w:jc w:val="center"/>
              <w:rPr>
                <w:rFonts w:ascii="Times New Roman" w:hAnsi="Times New Roman" w:cs="Times New Roman"/>
                <w:kern w:val="0"/>
                <w:sz w:val="21"/>
                <w:szCs w:val="21"/>
              </w:rPr>
            </w:pPr>
            <w:r w:rsidRPr="00F9522B">
              <w:rPr>
                <w:rFonts w:ascii="Times New Roman" w:hAnsi="Times New Roman" w:cs="Times New Roman"/>
                <w:sz w:val="21"/>
                <w:szCs w:val="21"/>
              </w:rPr>
              <w:t>09:20</w:t>
            </w:r>
          </w:p>
        </w:tc>
        <w:tc>
          <w:tcPr>
            <w:tcW w:w="518" w:type="pct"/>
            <w:shd w:val="clear" w:color="auto" w:fill="FFFFFF"/>
            <w:vAlign w:val="center"/>
          </w:tcPr>
          <w:p w:rsidR="0097223F" w:rsidRPr="00F9522B" w:rsidRDefault="0097223F" w:rsidP="0097223F">
            <w:pPr>
              <w:snapToGrid w:val="0"/>
              <w:jc w:val="center"/>
              <w:rPr>
                <w:kern w:val="0"/>
                <w:szCs w:val="21"/>
              </w:rPr>
            </w:pPr>
            <w:r w:rsidRPr="00F9522B">
              <w:rPr>
                <w:kern w:val="0"/>
              </w:rPr>
              <w:t>51</w:t>
            </w:r>
          </w:p>
        </w:tc>
        <w:tc>
          <w:tcPr>
            <w:tcW w:w="534" w:type="pct"/>
            <w:vAlign w:val="center"/>
          </w:tcPr>
          <w:p w:rsidR="0097223F" w:rsidRPr="00F9522B" w:rsidRDefault="0097223F" w:rsidP="0097223F">
            <w:pPr>
              <w:snapToGrid w:val="0"/>
              <w:jc w:val="center"/>
              <w:rPr>
                <w:kern w:val="0"/>
                <w:szCs w:val="21"/>
              </w:rPr>
            </w:pPr>
            <w:r w:rsidRPr="00F9522B">
              <w:rPr>
                <w:kern w:val="0"/>
              </w:rPr>
              <w:t>55</w:t>
            </w:r>
          </w:p>
        </w:tc>
        <w:tc>
          <w:tcPr>
            <w:tcW w:w="534" w:type="pct"/>
            <w:vAlign w:val="center"/>
          </w:tcPr>
          <w:p w:rsidR="0097223F" w:rsidRPr="00F9522B" w:rsidRDefault="0097223F" w:rsidP="0097223F">
            <w:pPr>
              <w:pStyle w:val="24"/>
              <w:spacing w:after="0" w:line="240" w:lineRule="auto"/>
              <w:jc w:val="center"/>
              <w:rPr>
                <w:rFonts w:ascii="Times New Roman" w:hAnsi="Times New Roman" w:cs="Times New Roman"/>
                <w:kern w:val="0"/>
                <w:sz w:val="21"/>
                <w:szCs w:val="21"/>
              </w:rPr>
            </w:pPr>
            <w:r w:rsidRPr="00F9522B">
              <w:rPr>
                <w:rFonts w:ascii="Times New Roman" w:hAnsi="Times New Roman" w:cs="Times New Roman"/>
                <w:sz w:val="21"/>
                <w:szCs w:val="21"/>
              </w:rPr>
              <w:t>23:20</w:t>
            </w:r>
          </w:p>
        </w:tc>
        <w:tc>
          <w:tcPr>
            <w:tcW w:w="494" w:type="pct"/>
            <w:vAlign w:val="center"/>
          </w:tcPr>
          <w:p w:rsidR="0097223F" w:rsidRPr="00F9522B" w:rsidRDefault="0097223F" w:rsidP="0097223F">
            <w:pPr>
              <w:snapToGrid w:val="0"/>
              <w:jc w:val="center"/>
              <w:rPr>
                <w:kern w:val="0"/>
                <w:szCs w:val="21"/>
              </w:rPr>
            </w:pPr>
            <w:r w:rsidRPr="00F9522B">
              <w:rPr>
                <w:kern w:val="0"/>
              </w:rPr>
              <w:t>40</w:t>
            </w:r>
          </w:p>
        </w:tc>
        <w:tc>
          <w:tcPr>
            <w:tcW w:w="491" w:type="pct"/>
            <w:vAlign w:val="center"/>
          </w:tcPr>
          <w:p w:rsidR="0097223F" w:rsidRPr="00F9522B" w:rsidRDefault="0097223F" w:rsidP="0097223F">
            <w:pPr>
              <w:snapToGrid w:val="0"/>
              <w:jc w:val="center"/>
              <w:rPr>
                <w:kern w:val="0"/>
                <w:szCs w:val="21"/>
              </w:rPr>
            </w:pPr>
            <w:r w:rsidRPr="00F9522B">
              <w:rPr>
                <w:kern w:val="0"/>
              </w:rPr>
              <w:t>45</w:t>
            </w:r>
          </w:p>
        </w:tc>
      </w:tr>
      <w:tr w:rsidR="0097223F" w:rsidRPr="00F9522B">
        <w:trPr>
          <w:trHeight w:val="412"/>
          <w:jc w:val="center"/>
        </w:trPr>
        <w:tc>
          <w:tcPr>
            <w:tcW w:w="728" w:type="pct"/>
            <w:vMerge/>
            <w:vAlign w:val="center"/>
          </w:tcPr>
          <w:p w:rsidR="0097223F" w:rsidRPr="00F9522B" w:rsidRDefault="0097223F" w:rsidP="0097223F">
            <w:pPr>
              <w:jc w:val="center"/>
              <w:rPr>
                <w:rFonts w:eastAsiaTheme="minorEastAsia"/>
                <w:szCs w:val="21"/>
              </w:rPr>
            </w:pPr>
          </w:p>
        </w:tc>
        <w:tc>
          <w:tcPr>
            <w:tcW w:w="1213" w:type="pct"/>
            <w:vAlign w:val="center"/>
          </w:tcPr>
          <w:p w:rsidR="0097223F" w:rsidRPr="00F9522B" w:rsidRDefault="0097223F" w:rsidP="0097223F">
            <w:pPr>
              <w:jc w:val="center"/>
              <w:rPr>
                <w:szCs w:val="21"/>
              </w:rPr>
            </w:pPr>
            <w:r w:rsidRPr="00F9522B">
              <w:rPr>
                <w:rFonts w:ascii="Cambria Math" w:hAnsi="Cambria Math" w:cs="Cambria Math"/>
              </w:rPr>
              <w:t>△</w:t>
            </w:r>
            <w:r w:rsidRPr="00F9522B">
              <w:t>5</w:t>
            </w:r>
            <w:r w:rsidRPr="00F9522B">
              <w:t>金城村民房</w:t>
            </w:r>
          </w:p>
        </w:tc>
        <w:tc>
          <w:tcPr>
            <w:tcW w:w="488" w:type="pct"/>
            <w:shd w:val="clear" w:color="auto" w:fill="FFFFFF"/>
            <w:vAlign w:val="center"/>
          </w:tcPr>
          <w:p w:rsidR="0097223F" w:rsidRPr="00F9522B" w:rsidRDefault="0097223F" w:rsidP="0097223F">
            <w:pPr>
              <w:pStyle w:val="24"/>
              <w:spacing w:after="0" w:line="240" w:lineRule="auto"/>
              <w:jc w:val="center"/>
              <w:rPr>
                <w:rFonts w:ascii="Times New Roman" w:hAnsi="Times New Roman" w:cs="Times New Roman"/>
                <w:kern w:val="0"/>
                <w:sz w:val="21"/>
                <w:szCs w:val="21"/>
              </w:rPr>
            </w:pPr>
            <w:r w:rsidRPr="00F9522B">
              <w:rPr>
                <w:rFonts w:ascii="Times New Roman" w:hAnsi="Times New Roman" w:cs="Times New Roman"/>
                <w:sz w:val="21"/>
                <w:szCs w:val="21"/>
              </w:rPr>
              <w:t>09:50</w:t>
            </w:r>
          </w:p>
        </w:tc>
        <w:tc>
          <w:tcPr>
            <w:tcW w:w="518" w:type="pct"/>
            <w:shd w:val="clear" w:color="auto" w:fill="FFFFFF"/>
            <w:vAlign w:val="center"/>
          </w:tcPr>
          <w:p w:rsidR="0097223F" w:rsidRPr="00F9522B" w:rsidRDefault="0097223F" w:rsidP="0097223F">
            <w:pPr>
              <w:snapToGrid w:val="0"/>
              <w:jc w:val="center"/>
              <w:rPr>
                <w:kern w:val="0"/>
                <w:szCs w:val="21"/>
              </w:rPr>
            </w:pPr>
            <w:r w:rsidRPr="00F9522B">
              <w:rPr>
                <w:kern w:val="0"/>
              </w:rPr>
              <w:t>50</w:t>
            </w:r>
          </w:p>
        </w:tc>
        <w:tc>
          <w:tcPr>
            <w:tcW w:w="534" w:type="pct"/>
            <w:vAlign w:val="center"/>
          </w:tcPr>
          <w:p w:rsidR="0097223F" w:rsidRPr="00F9522B" w:rsidRDefault="0097223F" w:rsidP="0097223F">
            <w:pPr>
              <w:snapToGrid w:val="0"/>
              <w:jc w:val="center"/>
              <w:rPr>
                <w:kern w:val="0"/>
                <w:szCs w:val="21"/>
              </w:rPr>
            </w:pPr>
            <w:r w:rsidRPr="00F9522B">
              <w:rPr>
                <w:kern w:val="0"/>
              </w:rPr>
              <w:t>55</w:t>
            </w:r>
          </w:p>
        </w:tc>
        <w:tc>
          <w:tcPr>
            <w:tcW w:w="534" w:type="pct"/>
            <w:vAlign w:val="center"/>
          </w:tcPr>
          <w:p w:rsidR="0097223F" w:rsidRPr="00F9522B" w:rsidRDefault="0097223F" w:rsidP="0097223F">
            <w:pPr>
              <w:pStyle w:val="24"/>
              <w:spacing w:after="0" w:line="240" w:lineRule="auto"/>
              <w:jc w:val="center"/>
              <w:rPr>
                <w:rFonts w:ascii="Times New Roman" w:hAnsi="Times New Roman" w:cs="Times New Roman"/>
                <w:kern w:val="0"/>
                <w:sz w:val="21"/>
                <w:szCs w:val="21"/>
              </w:rPr>
            </w:pPr>
            <w:r w:rsidRPr="00F9522B">
              <w:rPr>
                <w:rFonts w:ascii="Times New Roman" w:hAnsi="Times New Roman" w:cs="Times New Roman"/>
                <w:sz w:val="21"/>
                <w:szCs w:val="21"/>
              </w:rPr>
              <w:t>23:50</w:t>
            </w:r>
          </w:p>
        </w:tc>
        <w:tc>
          <w:tcPr>
            <w:tcW w:w="494" w:type="pct"/>
            <w:vAlign w:val="center"/>
          </w:tcPr>
          <w:p w:rsidR="0097223F" w:rsidRPr="00F9522B" w:rsidRDefault="0097223F" w:rsidP="0097223F">
            <w:pPr>
              <w:snapToGrid w:val="0"/>
              <w:jc w:val="center"/>
              <w:rPr>
                <w:kern w:val="0"/>
                <w:szCs w:val="21"/>
              </w:rPr>
            </w:pPr>
            <w:r w:rsidRPr="00F9522B">
              <w:rPr>
                <w:kern w:val="0"/>
              </w:rPr>
              <w:t>41</w:t>
            </w:r>
          </w:p>
        </w:tc>
        <w:tc>
          <w:tcPr>
            <w:tcW w:w="491" w:type="pct"/>
            <w:vAlign w:val="center"/>
          </w:tcPr>
          <w:p w:rsidR="0097223F" w:rsidRPr="00F9522B" w:rsidRDefault="0097223F" w:rsidP="0097223F">
            <w:pPr>
              <w:snapToGrid w:val="0"/>
              <w:jc w:val="center"/>
              <w:rPr>
                <w:kern w:val="0"/>
                <w:szCs w:val="21"/>
              </w:rPr>
            </w:pPr>
            <w:r w:rsidRPr="00F9522B">
              <w:rPr>
                <w:kern w:val="0"/>
              </w:rPr>
              <w:t>45</w:t>
            </w:r>
          </w:p>
        </w:tc>
      </w:tr>
      <w:tr w:rsidR="0097223F" w:rsidRPr="00F9522B">
        <w:trPr>
          <w:trHeight w:val="412"/>
          <w:jc w:val="center"/>
        </w:trPr>
        <w:tc>
          <w:tcPr>
            <w:tcW w:w="728" w:type="pct"/>
            <w:vMerge/>
            <w:vAlign w:val="center"/>
          </w:tcPr>
          <w:p w:rsidR="0097223F" w:rsidRPr="00F9522B" w:rsidRDefault="0097223F" w:rsidP="0097223F">
            <w:pPr>
              <w:jc w:val="center"/>
              <w:rPr>
                <w:rFonts w:eastAsiaTheme="minorEastAsia"/>
                <w:szCs w:val="21"/>
              </w:rPr>
            </w:pPr>
          </w:p>
        </w:tc>
        <w:tc>
          <w:tcPr>
            <w:tcW w:w="1213" w:type="pct"/>
            <w:vAlign w:val="center"/>
          </w:tcPr>
          <w:p w:rsidR="0097223F" w:rsidRPr="00F9522B" w:rsidRDefault="0097223F" w:rsidP="0097223F">
            <w:pPr>
              <w:jc w:val="center"/>
              <w:rPr>
                <w:szCs w:val="21"/>
              </w:rPr>
            </w:pPr>
            <w:r w:rsidRPr="00F9522B">
              <w:rPr>
                <w:rFonts w:ascii="Cambria Math" w:hAnsi="Cambria Math" w:cs="Cambria Math"/>
              </w:rPr>
              <w:t>△</w:t>
            </w:r>
            <w:r w:rsidRPr="00F9522B">
              <w:t>6</w:t>
            </w:r>
            <w:r w:rsidRPr="00F9522B">
              <w:t>碱草村民房</w:t>
            </w:r>
          </w:p>
        </w:tc>
        <w:tc>
          <w:tcPr>
            <w:tcW w:w="488" w:type="pct"/>
            <w:vAlign w:val="center"/>
          </w:tcPr>
          <w:p w:rsidR="0097223F" w:rsidRPr="00F9522B" w:rsidRDefault="0097223F" w:rsidP="0097223F">
            <w:pPr>
              <w:pStyle w:val="24"/>
              <w:spacing w:after="0" w:line="240" w:lineRule="auto"/>
              <w:jc w:val="center"/>
              <w:rPr>
                <w:rFonts w:ascii="Times New Roman" w:hAnsi="Times New Roman" w:cs="Times New Roman"/>
                <w:kern w:val="0"/>
                <w:sz w:val="21"/>
                <w:szCs w:val="21"/>
              </w:rPr>
            </w:pPr>
            <w:r w:rsidRPr="00F9522B">
              <w:rPr>
                <w:rFonts w:ascii="Times New Roman" w:hAnsi="Times New Roman" w:cs="Times New Roman"/>
                <w:sz w:val="21"/>
                <w:szCs w:val="21"/>
              </w:rPr>
              <w:t>10:20</w:t>
            </w:r>
          </w:p>
        </w:tc>
        <w:tc>
          <w:tcPr>
            <w:tcW w:w="518" w:type="pct"/>
            <w:vAlign w:val="center"/>
          </w:tcPr>
          <w:p w:rsidR="0097223F" w:rsidRPr="00F9522B" w:rsidRDefault="0097223F" w:rsidP="0097223F">
            <w:pPr>
              <w:snapToGrid w:val="0"/>
              <w:jc w:val="center"/>
              <w:rPr>
                <w:kern w:val="0"/>
                <w:szCs w:val="21"/>
              </w:rPr>
            </w:pPr>
            <w:r w:rsidRPr="00F9522B">
              <w:rPr>
                <w:kern w:val="0"/>
              </w:rPr>
              <w:t>51</w:t>
            </w:r>
          </w:p>
        </w:tc>
        <w:tc>
          <w:tcPr>
            <w:tcW w:w="534" w:type="pct"/>
            <w:vAlign w:val="center"/>
          </w:tcPr>
          <w:p w:rsidR="0097223F" w:rsidRPr="00F9522B" w:rsidRDefault="0097223F" w:rsidP="0097223F">
            <w:pPr>
              <w:snapToGrid w:val="0"/>
              <w:jc w:val="center"/>
              <w:rPr>
                <w:kern w:val="0"/>
                <w:szCs w:val="21"/>
              </w:rPr>
            </w:pPr>
            <w:r w:rsidRPr="00F9522B">
              <w:rPr>
                <w:kern w:val="0"/>
              </w:rPr>
              <w:t>55</w:t>
            </w:r>
          </w:p>
        </w:tc>
        <w:tc>
          <w:tcPr>
            <w:tcW w:w="534" w:type="pct"/>
            <w:vAlign w:val="center"/>
          </w:tcPr>
          <w:p w:rsidR="0097223F" w:rsidRPr="00F9522B" w:rsidRDefault="0097223F" w:rsidP="0097223F">
            <w:pPr>
              <w:pStyle w:val="24"/>
              <w:spacing w:after="0" w:line="240" w:lineRule="auto"/>
              <w:jc w:val="center"/>
              <w:rPr>
                <w:rFonts w:ascii="Times New Roman" w:hAnsi="Times New Roman" w:cs="Times New Roman"/>
                <w:kern w:val="0"/>
                <w:sz w:val="21"/>
                <w:szCs w:val="21"/>
              </w:rPr>
            </w:pPr>
            <w:r w:rsidRPr="00F9522B">
              <w:rPr>
                <w:rFonts w:ascii="Times New Roman" w:hAnsi="Times New Roman" w:cs="Times New Roman"/>
                <w:sz w:val="21"/>
                <w:szCs w:val="21"/>
              </w:rPr>
              <w:t>次日</w:t>
            </w:r>
            <w:r w:rsidRPr="00F9522B">
              <w:rPr>
                <w:rFonts w:ascii="Times New Roman" w:hAnsi="Times New Roman" w:cs="Times New Roman"/>
                <w:sz w:val="21"/>
                <w:szCs w:val="21"/>
              </w:rPr>
              <w:t>00:20</w:t>
            </w:r>
          </w:p>
        </w:tc>
        <w:tc>
          <w:tcPr>
            <w:tcW w:w="494" w:type="pct"/>
            <w:vAlign w:val="center"/>
          </w:tcPr>
          <w:p w:rsidR="0097223F" w:rsidRPr="00F9522B" w:rsidRDefault="0097223F" w:rsidP="0097223F">
            <w:pPr>
              <w:snapToGrid w:val="0"/>
              <w:jc w:val="center"/>
              <w:rPr>
                <w:kern w:val="0"/>
                <w:szCs w:val="21"/>
              </w:rPr>
            </w:pPr>
            <w:r w:rsidRPr="00F9522B">
              <w:rPr>
                <w:kern w:val="0"/>
              </w:rPr>
              <w:t>39</w:t>
            </w:r>
          </w:p>
        </w:tc>
        <w:tc>
          <w:tcPr>
            <w:tcW w:w="491" w:type="pct"/>
            <w:vAlign w:val="center"/>
          </w:tcPr>
          <w:p w:rsidR="0097223F" w:rsidRPr="00F9522B" w:rsidRDefault="0097223F" w:rsidP="0097223F">
            <w:pPr>
              <w:snapToGrid w:val="0"/>
              <w:jc w:val="center"/>
              <w:rPr>
                <w:kern w:val="0"/>
                <w:szCs w:val="21"/>
              </w:rPr>
            </w:pPr>
            <w:r w:rsidRPr="00F9522B">
              <w:rPr>
                <w:kern w:val="0"/>
              </w:rPr>
              <w:t>45</w:t>
            </w:r>
          </w:p>
        </w:tc>
      </w:tr>
      <w:tr w:rsidR="0097223F" w:rsidRPr="00F9522B">
        <w:trPr>
          <w:trHeight w:val="412"/>
          <w:jc w:val="center"/>
        </w:trPr>
        <w:tc>
          <w:tcPr>
            <w:tcW w:w="728" w:type="pct"/>
            <w:vMerge/>
            <w:vAlign w:val="center"/>
          </w:tcPr>
          <w:p w:rsidR="0097223F" w:rsidRPr="00F9522B" w:rsidRDefault="0097223F" w:rsidP="0097223F">
            <w:pPr>
              <w:jc w:val="center"/>
              <w:rPr>
                <w:rFonts w:eastAsiaTheme="minorEastAsia"/>
                <w:szCs w:val="21"/>
              </w:rPr>
            </w:pPr>
          </w:p>
        </w:tc>
        <w:tc>
          <w:tcPr>
            <w:tcW w:w="1213" w:type="pct"/>
            <w:vAlign w:val="center"/>
          </w:tcPr>
          <w:p w:rsidR="0097223F" w:rsidRPr="00F9522B" w:rsidRDefault="0097223F" w:rsidP="0097223F">
            <w:pPr>
              <w:jc w:val="center"/>
              <w:rPr>
                <w:szCs w:val="21"/>
              </w:rPr>
            </w:pPr>
            <w:r w:rsidRPr="00F9522B">
              <w:rPr>
                <w:rFonts w:ascii="Cambria Math" w:hAnsi="Cambria Math" w:cs="Cambria Math"/>
              </w:rPr>
              <w:t>△</w:t>
            </w:r>
            <w:r w:rsidRPr="00F9522B">
              <w:t>7</w:t>
            </w:r>
            <w:r w:rsidRPr="00F9522B">
              <w:t>宋家村民房</w:t>
            </w:r>
          </w:p>
        </w:tc>
        <w:tc>
          <w:tcPr>
            <w:tcW w:w="488" w:type="pct"/>
            <w:shd w:val="clear" w:color="auto" w:fill="FFFFFF"/>
            <w:vAlign w:val="center"/>
          </w:tcPr>
          <w:p w:rsidR="0097223F" w:rsidRPr="00F9522B" w:rsidRDefault="0097223F" w:rsidP="0097223F">
            <w:pPr>
              <w:pStyle w:val="24"/>
              <w:spacing w:after="0" w:line="240" w:lineRule="auto"/>
              <w:jc w:val="center"/>
              <w:rPr>
                <w:rFonts w:ascii="Times New Roman" w:hAnsi="Times New Roman" w:cs="Times New Roman"/>
                <w:kern w:val="0"/>
                <w:sz w:val="21"/>
                <w:szCs w:val="21"/>
              </w:rPr>
            </w:pPr>
            <w:r w:rsidRPr="00F9522B">
              <w:rPr>
                <w:rFonts w:ascii="Times New Roman" w:hAnsi="Times New Roman" w:cs="Times New Roman"/>
                <w:sz w:val="21"/>
                <w:szCs w:val="21"/>
              </w:rPr>
              <w:t>10:50</w:t>
            </w:r>
          </w:p>
        </w:tc>
        <w:tc>
          <w:tcPr>
            <w:tcW w:w="518" w:type="pct"/>
            <w:shd w:val="clear" w:color="auto" w:fill="FFFFFF"/>
            <w:vAlign w:val="center"/>
          </w:tcPr>
          <w:p w:rsidR="0097223F" w:rsidRPr="00F9522B" w:rsidRDefault="0097223F" w:rsidP="0097223F">
            <w:pPr>
              <w:snapToGrid w:val="0"/>
              <w:jc w:val="center"/>
              <w:rPr>
                <w:kern w:val="0"/>
                <w:szCs w:val="21"/>
              </w:rPr>
            </w:pPr>
            <w:r w:rsidRPr="00F9522B">
              <w:rPr>
                <w:kern w:val="0"/>
              </w:rPr>
              <w:t>50</w:t>
            </w:r>
          </w:p>
        </w:tc>
        <w:tc>
          <w:tcPr>
            <w:tcW w:w="534" w:type="pct"/>
            <w:vAlign w:val="center"/>
          </w:tcPr>
          <w:p w:rsidR="0097223F" w:rsidRPr="00F9522B" w:rsidRDefault="0097223F" w:rsidP="0097223F">
            <w:pPr>
              <w:snapToGrid w:val="0"/>
              <w:jc w:val="center"/>
              <w:rPr>
                <w:kern w:val="0"/>
                <w:szCs w:val="21"/>
              </w:rPr>
            </w:pPr>
            <w:r w:rsidRPr="00F9522B">
              <w:rPr>
                <w:kern w:val="0"/>
              </w:rPr>
              <w:t>60</w:t>
            </w:r>
          </w:p>
        </w:tc>
        <w:tc>
          <w:tcPr>
            <w:tcW w:w="534" w:type="pct"/>
            <w:vAlign w:val="center"/>
          </w:tcPr>
          <w:p w:rsidR="0097223F" w:rsidRPr="00F9522B" w:rsidRDefault="0097223F" w:rsidP="0097223F">
            <w:pPr>
              <w:pStyle w:val="24"/>
              <w:spacing w:after="0" w:line="240" w:lineRule="auto"/>
              <w:jc w:val="center"/>
              <w:rPr>
                <w:rFonts w:ascii="Times New Roman" w:hAnsi="Times New Roman" w:cs="Times New Roman"/>
                <w:kern w:val="0"/>
                <w:sz w:val="21"/>
                <w:szCs w:val="21"/>
              </w:rPr>
            </w:pPr>
            <w:r w:rsidRPr="00F9522B">
              <w:rPr>
                <w:rFonts w:ascii="Times New Roman" w:hAnsi="Times New Roman" w:cs="Times New Roman"/>
                <w:sz w:val="21"/>
                <w:szCs w:val="21"/>
              </w:rPr>
              <w:t>00:50</w:t>
            </w:r>
          </w:p>
        </w:tc>
        <w:tc>
          <w:tcPr>
            <w:tcW w:w="494" w:type="pct"/>
            <w:vAlign w:val="center"/>
          </w:tcPr>
          <w:p w:rsidR="0097223F" w:rsidRPr="00F9522B" w:rsidRDefault="0097223F" w:rsidP="0097223F">
            <w:pPr>
              <w:snapToGrid w:val="0"/>
              <w:jc w:val="center"/>
              <w:rPr>
                <w:kern w:val="0"/>
                <w:szCs w:val="21"/>
              </w:rPr>
            </w:pPr>
            <w:r w:rsidRPr="00F9522B">
              <w:rPr>
                <w:kern w:val="0"/>
              </w:rPr>
              <w:t>42</w:t>
            </w:r>
          </w:p>
        </w:tc>
        <w:tc>
          <w:tcPr>
            <w:tcW w:w="491" w:type="pct"/>
            <w:vAlign w:val="center"/>
          </w:tcPr>
          <w:p w:rsidR="0097223F" w:rsidRPr="00F9522B" w:rsidRDefault="0097223F" w:rsidP="0097223F">
            <w:pPr>
              <w:snapToGrid w:val="0"/>
              <w:jc w:val="center"/>
              <w:rPr>
                <w:kern w:val="0"/>
                <w:szCs w:val="21"/>
              </w:rPr>
            </w:pPr>
            <w:r w:rsidRPr="00F9522B">
              <w:rPr>
                <w:kern w:val="0"/>
              </w:rPr>
              <w:t>50</w:t>
            </w:r>
          </w:p>
        </w:tc>
      </w:tr>
    </w:tbl>
    <w:p w:rsidR="002A5A5E" w:rsidRPr="00F9522B" w:rsidRDefault="00611CBA">
      <w:pPr>
        <w:autoSpaceDE w:val="0"/>
        <w:autoSpaceDN w:val="0"/>
        <w:spacing w:before="100" w:beforeAutospacing="1" w:after="100" w:afterAutospacing="1"/>
        <w:outlineLvl w:val="3"/>
        <w:rPr>
          <w:rFonts w:eastAsiaTheme="minorEastAsia"/>
          <w:b/>
          <w:sz w:val="24"/>
        </w:rPr>
      </w:pPr>
      <w:r w:rsidRPr="00F9522B">
        <w:rPr>
          <w:rFonts w:eastAsiaTheme="minorEastAsia"/>
          <w:b/>
          <w:sz w:val="24"/>
        </w:rPr>
        <w:t>4.2.4.2</w:t>
      </w:r>
      <w:r w:rsidRPr="00F9522B">
        <w:rPr>
          <w:rFonts w:eastAsiaTheme="minorEastAsia"/>
          <w:b/>
          <w:sz w:val="24"/>
        </w:rPr>
        <w:t>声环境质量现状评价</w:t>
      </w:r>
    </w:p>
    <w:p w:rsidR="002A5A5E" w:rsidRPr="00F9522B" w:rsidRDefault="00611CBA">
      <w:pPr>
        <w:spacing w:line="360" w:lineRule="auto"/>
        <w:ind w:firstLineChars="210" w:firstLine="504"/>
        <w:rPr>
          <w:rFonts w:eastAsiaTheme="minorEastAsia"/>
          <w:sz w:val="24"/>
          <w:lang w:val="zh-CN"/>
        </w:rPr>
      </w:pPr>
      <w:r w:rsidRPr="00F9522B">
        <w:rPr>
          <w:rFonts w:eastAsiaTheme="minorEastAsia"/>
          <w:sz w:val="24"/>
          <w:lang w:val="zh-CN"/>
        </w:rPr>
        <w:t>（</w:t>
      </w:r>
      <w:r w:rsidRPr="00F9522B">
        <w:rPr>
          <w:rFonts w:eastAsiaTheme="minorEastAsia"/>
          <w:sz w:val="24"/>
          <w:lang w:val="zh-CN"/>
        </w:rPr>
        <w:t>1</w:t>
      </w:r>
      <w:r w:rsidRPr="00F9522B">
        <w:rPr>
          <w:rFonts w:eastAsiaTheme="minorEastAsia"/>
          <w:sz w:val="24"/>
          <w:lang w:val="zh-CN"/>
        </w:rPr>
        <w:t>）评价因子</w:t>
      </w:r>
    </w:p>
    <w:p w:rsidR="002A5A5E" w:rsidRPr="00F9522B" w:rsidRDefault="00611CBA">
      <w:pPr>
        <w:spacing w:line="360" w:lineRule="auto"/>
        <w:ind w:firstLineChars="210" w:firstLine="504"/>
        <w:rPr>
          <w:rFonts w:eastAsiaTheme="minorEastAsia"/>
          <w:sz w:val="24"/>
          <w:lang w:val="zh-CN"/>
        </w:rPr>
      </w:pPr>
      <w:r w:rsidRPr="00F9522B">
        <w:rPr>
          <w:rFonts w:eastAsiaTheme="minorEastAsia"/>
          <w:sz w:val="24"/>
          <w:lang w:val="zh-CN"/>
        </w:rPr>
        <w:t>选择等效连续</w:t>
      </w:r>
      <w:r w:rsidRPr="00F9522B">
        <w:rPr>
          <w:rFonts w:eastAsiaTheme="minorEastAsia"/>
          <w:sz w:val="24"/>
          <w:lang w:val="zh-CN"/>
        </w:rPr>
        <w:t>A</w:t>
      </w:r>
      <w:r w:rsidRPr="00F9522B">
        <w:rPr>
          <w:rFonts w:eastAsiaTheme="minorEastAsia"/>
          <w:sz w:val="24"/>
          <w:lang w:val="zh-CN"/>
        </w:rPr>
        <w:t>声级</w:t>
      </w:r>
      <w:r w:rsidRPr="00F9522B">
        <w:rPr>
          <w:rFonts w:eastAsiaTheme="minorEastAsia"/>
          <w:sz w:val="24"/>
          <w:lang w:val="zh-CN"/>
        </w:rPr>
        <w:t>Leq</w:t>
      </w:r>
      <w:r w:rsidRPr="00F9522B">
        <w:rPr>
          <w:rFonts w:eastAsiaTheme="minorEastAsia"/>
          <w:sz w:val="24"/>
          <w:lang w:val="zh-CN"/>
        </w:rPr>
        <w:t>（</w:t>
      </w:r>
      <w:r w:rsidRPr="00F9522B">
        <w:rPr>
          <w:rFonts w:eastAsiaTheme="minorEastAsia"/>
          <w:sz w:val="24"/>
          <w:lang w:val="zh-CN"/>
        </w:rPr>
        <w:t>A</w:t>
      </w:r>
      <w:r w:rsidRPr="00F9522B">
        <w:rPr>
          <w:rFonts w:eastAsiaTheme="minorEastAsia"/>
          <w:sz w:val="24"/>
          <w:lang w:val="zh-CN"/>
        </w:rPr>
        <w:t>）为本项目环境噪声的评价因子。</w:t>
      </w:r>
    </w:p>
    <w:p w:rsidR="002A5A5E" w:rsidRPr="00F9522B" w:rsidRDefault="00611CBA">
      <w:pPr>
        <w:spacing w:line="360" w:lineRule="auto"/>
        <w:ind w:firstLineChars="210" w:firstLine="504"/>
        <w:rPr>
          <w:rFonts w:eastAsiaTheme="minorEastAsia"/>
          <w:sz w:val="24"/>
          <w:lang w:val="zh-CN"/>
        </w:rPr>
      </w:pPr>
      <w:r w:rsidRPr="00F9522B">
        <w:rPr>
          <w:rFonts w:eastAsiaTheme="minorEastAsia"/>
          <w:sz w:val="24"/>
          <w:lang w:val="zh-CN"/>
        </w:rPr>
        <w:t>（</w:t>
      </w:r>
      <w:r w:rsidRPr="00F9522B">
        <w:rPr>
          <w:rFonts w:eastAsiaTheme="minorEastAsia"/>
          <w:sz w:val="24"/>
          <w:lang w:val="zh-CN"/>
        </w:rPr>
        <w:t>2</w:t>
      </w:r>
      <w:r w:rsidRPr="00F9522B">
        <w:rPr>
          <w:rFonts w:eastAsiaTheme="minorEastAsia"/>
          <w:sz w:val="24"/>
          <w:lang w:val="zh-CN"/>
        </w:rPr>
        <w:t>）评价方法</w:t>
      </w:r>
    </w:p>
    <w:p w:rsidR="002A5A5E" w:rsidRPr="00F9522B" w:rsidRDefault="00611CBA">
      <w:pPr>
        <w:spacing w:line="360" w:lineRule="auto"/>
        <w:ind w:firstLineChars="210" w:firstLine="504"/>
        <w:rPr>
          <w:rFonts w:eastAsiaTheme="minorEastAsia"/>
          <w:sz w:val="24"/>
          <w:lang w:val="zh-CN"/>
        </w:rPr>
      </w:pPr>
      <w:r w:rsidRPr="00F9522B">
        <w:rPr>
          <w:rFonts w:eastAsiaTheme="minorEastAsia"/>
          <w:sz w:val="24"/>
          <w:lang w:val="zh-CN"/>
        </w:rPr>
        <w:t>直接比较法。</w:t>
      </w:r>
    </w:p>
    <w:p w:rsidR="002A5A5E" w:rsidRPr="00F9522B" w:rsidRDefault="00611CBA">
      <w:pPr>
        <w:spacing w:line="360" w:lineRule="auto"/>
        <w:ind w:firstLineChars="210" w:firstLine="504"/>
        <w:rPr>
          <w:rFonts w:eastAsiaTheme="minorEastAsia"/>
          <w:sz w:val="24"/>
          <w:lang w:val="zh-CN"/>
        </w:rPr>
      </w:pPr>
      <w:r w:rsidRPr="00F9522B">
        <w:rPr>
          <w:rFonts w:eastAsiaTheme="minorEastAsia"/>
          <w:sz w:val="24"/>
          <w:lang w:val="zh-CN"/>
        </w:rPr>
        <w:t>（</w:t>
      </w:r>
      <w:r w:rsidRPr="00F9522B">
        <w:rPr>
          <w:rFonts w:eastAsiaTheme="minorEastAsia"/>
          <w:sz w:val="24"/>
          <w:lang w:val="zh-CN"/>
        </w:rPr>
        <w:t>3</w:t>
      </w:r>
      <w:r w:rsidRPr="00F9522B">
        <w:rPr>
          <w:rFonts w:eastAsiaTheme="minorEastAsia"/>
          <w:sz w:val="24"/>
          <w:lang w:val="zh-CN"/>
        </w:rPr>
        <w:t>）评价标准</w:t>
      </w:r>
    </w:p>
    <w:p w:rsidR="002A5A5E" w:rsidRPr="00F9522B" w:rsidRDefault="00611CBA">
      <w:pPr>
        <w:spacing w:line="360" w:lineRule="auto"/>
        <w:ind w:firstLineChars="210" w:firstLine="504"/>
        <w:rPr>
          <w:rFonts w:eastAsiaTheme="minorEastAsia"/>
          <w:sz w:val="24"/>
          <w:lang w:val="zh-CN"/>
        </w:rPr>
      </w:pPr>
      <w:r w:rsidRPr="00F9522B">
        <w:rPr>
          <w:rFonts w:eastAsiaTheme="minorEastAsia"/>
          <w:sz w:val="24"/>
          <w:lang w:val="zh-CN"/>
        </w:rPr>
        <w:t>评价标准采用《声环境质量标准》（</w:t>
      </w:r>
      <w:r w:rsidRPr="00F9522B">
        <w:rPr>
          <w:rFonts w:eastAsiaTheme="minorEastAsia"/>
          <w:sz w:val="24"/>
          <w:lang w:val="zh-CN"/>
        </w:rPr>
        <w:t>GB3096-2008</w:t>
      </w:r>
      <w:r w:rsidRPr="00F9522B">
        <w:rPr>
          <w:rFonts w:eastAsiaTheme="minorEastAsia"/>
          <w:sz w:val="24"/>
          <w:lang w:val="zh-CN"/>
        </w:rPr>
        <w:t>）中的</w:t>
      </w:r>
      <w:r w:rsidRPr="00F9522B">
        <w:rPr>
          <w:rFonts w:eastAsiaTheme="minorEastAsia"/>
          <w:sz w:val="24"/>
          <w:lang w:val="zh-CN"/>
        </w:rPr>
        <w:t>1</w:t>
      </w:r>
      <w:r w:rsidRPr="00F9522B">
        <w:rPr>
          <w:rFonts w:eastAsiaTheme="minorEastAsia"/>
          <w:sz w:val="24"/>
          <w:lang w:val="zh-CN"/>
        </w:rPr>
        <w:t>类标准及</w:t>
      </w:r>
      <w:r w:rsidRPr="00F9522B">
        <w:rPr>
          <w:rFonts w:eastAsiaTheme="minorEastAsia"/>
          <w:sz w:val="24"/>
          <w:lang w:val="zh-CN"/>
        </w:rPr>
        <w:t>2</w:t>
      </w:r>
      <w:r w:rsidRPr="00F9522B">
        <w:rPr>
          <w:rFonts w:eastAsiaTheme="minorEastAsia"/>
          <w:sz w:val="24"/>
          <w:lang w:val="zh-CN"/>
        </w:rPr>
        <w:t>类标准，</w:t>
      </w:r>
      <w:r w:rsidRPr="00F9522B">
        <w:rPr>
          <w:rFonts w:eastAsiaTheme="minorEastAsia"/>
          <w:sz w:val="24"/>
          <w:lang w:val="zh-CN"/>
        </w:rPr>
        <w:t>1</w:t>
      </w:r>
      <w:r w:rsidRPr="00F9522B">
        <w:rPr>
          <w:rFonts w:eastAsiaTheme="minorEastAsia"/>
          <w:sz w:val="24"/>
          <w:lang w:val="zh-CN"/>
        </w:rPr>
        <w:t>类：昼间</w:t>
      </w:r>
      <w:r w:rsidRPr="00F9522B">
        <w:rPr>
          <w:rFonts w:eastAsiaTheme="minorEastAsia"/>
          <w:sz w:val="24"/>
          <w:lang w:val="zh-CN"/>
        </w:rPr>
        <w:t>55dB(A)</w:t>
      </w:r>
      <w:r w:rsidRPr="00F9522B">
        <w:rPr>
          <w:rFonts w:eastAsiaTheme="minorEastAsia"/>
          <w:sz w:val="24"/>
          <w:lang w:val="zh-CN"/>
        </w:rPr>
        <w:t>，夜间</w:t>
      </w:r>
      <w:r w:rsidRPr="00F9522B">
        <w:rPr>
          <w:rFonts w:eastAsiaTheme="minorEastAsia"/>
          <w:sz w:val="24"/>
          <w:lang w:val="zh-CN"/>
        </w:rPr>
        <w:t>45dB(A)</w:t>
      </w:r>
      <w:r w:rsidRPr="00F9522B">
        <w:rPr>
          <w:rFonts w:eastAsiaTheme="minorEastAsia"/>
          <w:sz w:val="24"/>
          <w:lang w:val="zh-CN"/>
        </w:rPr>
        <w:t>，</w:t>
      </w:r>
      <w:r w:rsidRPr="00F9522B">
        <w:rPr>
          <w:rFonts w:eastAsiaTheme="minorEastAsia"/>
          <w:sz w:val="24"/>
          <w:lang w:val="zh-CN"/>
        </w:rPr>
        <w:t>2</w:t>
      </w:r>
      <w:r w:rsidRPr="00F9522B">
        <w:rPr>
          <w:rFonts w:eastAsiaTheme="minorEastAsia"/>
          <w:sz w:val="24"/>
          <w:lang w:val="zh-CN"/>
        </w:rPr>
        <w:t>类：昼间</w:t>
      </w:r>
      <w:r w:rsidRPr="00F9522B">
        <w:rPr>
          <w:rFonts w:eastAsiaTheme="minorEastAsia"/>
          <w:sz w:val="24"/>
          <w:lang w:val="zh-CN"/>
        </w:rPr>
        <w:t>60dB(A)</w:t>
      </w:r>
      <w:r w:rsidRPr="00F9522B">
        <w:rPr>
          <w:rFonts w:eastAsiaTheme="minorEastAsia"/>
          <w:sz w:val="24"/>
          <w:lang w:val="zh-CN"/>
        </w:rPr>
        <w:t>，夜间</w:t>
      </w:r>
      <w:r w:rsidRPr="00F9522B">
        <w:rPr>
          <w:rFonts w:eastAsiaTheme="minorEastAsia"/>
          <w:sz w:val="24"/>
          <w:lang w:val="zh-CN"/>
        </w:rPr>
        <w:t>50dB(A)</w:t>
      </w:r>
      <w:r w:rsidRPr="00F9522B">
        <w:rPr>
          <w:rFonts w:eastAsiaTheme="minorEastAsia"/>
          <w:sz w:val="24"/>
          <w:lang w:val="zh-CN"/>
        </w:rPr>
        <w:t>。</w:t>
      </w:r>
    </w:p>
    <w:p w:rsidR="002A5A5E" w:rsidRPr="00F9522B" w:rsidRDefault="00611CBA">
      <w:pPr>
        <w:spacing w:line="360" w:lineRule="auto"/>
        <w:ind w:firstLineChars="210" w:firstLine="504"/>
        <w:rPr>
          <w:rFonts w:eastAsiaTheme="minorEastAsia"/>
          <w:sz w:val="24"/>
          <w:lang w:val="zh-CN"/>
        </w:rPr>
      </w:pPr>
      <w:r w:rsidRPr="00F9522B">
        <w:rPr>
          <w:rFonts w:eastAsiaTheme="minorEastAsia"/>
          <w:sz w:val="24"/>
          <w:lang w:val="zh-CN"/>
        </w:rPr>
        <w:t>（</w:t>
      </w:r>
      <w:r w:rsidRPr="00F9522B">
        <w:rPr>
          <w:rFonts w:eastAsiaTheme="minorEastAsia"/>
          <w:sz w:val="24"/>
          <w:lang w:val="zh-CN"/>
        </w:rPr>
        <w:t>4</w:t>
      </w:r>
      <w:r w:rsidRPr="00F9522B">
        <w:rPr>
          <w:rFonts w:eastAsiaTheme="minorEastAsia"/>
          <w:sz w:val="24"/>
          <w:lang w:val="zh-CN"/>
        </w:rPr>
        <w:t>）评价结论</w:t>
      </w:r>
    </w:p>
    <w:p w:rsidR="002A5A5E" w:rsidRPr="00F9522B" w:rsidRDefault="00611CBA">
      <w:pPr>
        <w:spacing w:line="360" w:lineRule="auto"/>
        <w:ind w:firstLineChars="210" w:firstLine="504"/>
        <w:rPr>
          <w:rFonts w:eastAsiaTheme="minorEastAsia"/>
          <w:sz w:val="24"/>
          <w:lang w:val="zh-CN"/>
        </w:rPr>
      </w:pPr>
      <w:r w:rsidRPr="00F9522B">
        <w:rPr>
          <w:rFonts w:eastAsiaTheme="minorEastAsia"/>
          <w:sz w:val="24"/>
          <w:lang w:val="zh-CN"/>
        </w:rPr>
        <w:t>通过将环境噪声现状监测结果与标准比较，</w:t>
      </w:r>
      <w:r w:rsidR="00545139" w:rsidRPr="00F9522B">
        <w:rPr>
          <w:rFonts w:eastAsiaTheme="minorEastAsia"/>
          <w:sz w:val="24"/>
        </w:rPr>
        <w:t>7</w:t>
      </w:r>
      <w:r w:rsidRPr="00F9522B">
        <w:rPr>
          <w:rFonts w:ascii="Cambria Math" w:eastAsiaTheme="minorEastAsia" w:hAnsi="Cambria Math" w:cs="Cambria Math"/>
          <w:sz w:val="24"/>
        </w:rPr>
        <w:t>△</w:t>
      </w:r>
      <w:r w:rsidRPr="00F9522B">
        <w:rPr>
          <w:rFonts w:eastAsiaTheme="minorEastAsia"/>
          <w:sz w:val="24"/>
          <w:lang w:val="zh-CN"/>
        </w:rPr>
        <w:t>监测点</w:t>
      </w:r>
      <w:r w:rsidR="0079103B" w:rsidRPr="00F9522B">
        <w:rPr>
          <w:rFonts w:eastAsiaTheme="minorEastAsia"/>
          <w:sz w:val="24"/>
        </w:rPr>
        <w:t>宋家村</w:t>
      </w:r>
      <w:r w:rsidRPr="00F9522B">
        <w:rPr>
          <w:rFonts w:eastAsiaTheme="minorEastAsia"/>
          <w:sz w:val="24"/>
          <w:lang w:val="zh-CN"/>
        </w:rPr>
        <w:t>环境噪声昼夜值均满足《声环境质量标准》（</w:t>
      </w:r>
      <w:r w:rsidRPr="00F9522B">
        <w:rPr>
          <w:rFonts w:eastAsiaTheme="minorEastAsia"/>
          <w:sz w:val="24"/>
          <w:lang w:val="zh-CN"/>
        </w:rPr>
        <w:t>GB3096-2008</w:t>
      </w:r>
      <w:r w:rsidRPr="00F9522B">
        <w:rPr>
          <w:rFonts w:eastAsiaTheme="minorEastAsia"/>
          <w:sz w:val="24"/>
          <w:lang w:val="zh-CN"/>
        </w:rPr>
        <w:t>）中的</w:t>
      </w:r>
      <w:r w:rsidRPr="00F9522B">
        <w:rPr>
          <w:rFonts w:eastAsiaTheme="minorEastAsia"/>
          <w:sz w:val="24"/>
          <w:lang w:val="zh-CN"/>
        </w:rPr>
        <w:t>2</w:t>
      </w:r>
      <w:r w:rsidRPr="00F9522B">
        <w:rPr>
          <w:rFonts w:eastAsiaTheme="minorEastAsia"/>
          <w:sz w:val="24"/>
          <w:lang w:val="zh-CN"/>
        </w:rPr>
        <w:t>类标准，其余监测点满足</w:t>
      </w:r>
      <w:r w:rsidRPr="00F9522B">
        <w:rPr>
          <w:rFonts w:eastAsiaTheme="minorEastAsia"/>
          <w:sz w:val="24"/>
          <w:lang w:val="zh-CN"/>
        </w:rPr>
        <w:t>1</w:t>
      </w:r>
      <w:r w:rsidRPr="00F9522B">
        <w:rPr>
          <w:rFonts w:eastAsiaTheme="minorEastAsia"/>
          <w:sz w:val="24"/>
          <w:lang w:val="zh-CN"/>
        </w:rPr>
        <w:t>类标准。</w:t>
      </w:r>
    </w:p>
    <w:p w:rsidR="002A5A5E" w:rsidRPr="00F9522B" w:rsidRDefault="00611CBA">
      <w:pPr>
        <w:keepNext/>
        <w:keepLines/>
        <w:spacing w:before="100" w:beforeAutospacing="1" w:after="100" w:afterAutospacing="1"/>
        <w:outlineLvl w:val="2"/>
        <w:rPr>
          <w:rFonts w:eastAsiaTheme="minorEastAsia"/>
          <w:b/>
          <w:sz w:val="28"/>
          <w:szCs w:val="28"/>
        </w:rPr>
      </w:pPr>
      <w:r w:rsidRPr="00F9522B">
        <w:rPr>
          <w:rFonts w:eastAsiaTheme="minorEastAsia"/>
          <w:b/>
          <w:sz w:val="28"/>
          <w:szCs w:val="28"/>
        </w:rPr>
        <w:t>4.2.5</w:t>
      </w:r>
      <w:r w:rsidRPr="00F9522B">
        <w:rPr>
          <w:rFonts w:eastAsiaTheme="minorEastAsia"/>
          <w:b/>
          <w:sz w:val="28"/>
          <w:szCs w:val="28"/>
        </w:rPr>
        <w:t>土壤质量评价</w:t>
      </w:r>
    </w:p>
    <w:p w:rsidR="002A5A5E" w:rsidRPr="00F9522B" w:rsidRDefault="00611CBA">
      <w:pPr>
        <w:autoSpaceDE w:val="0"/>
        <w:autoSpaceDN w:val="0"/>
        <w:spacing w:before="100" w:beforeAutospacing="1" w:after="100" w:afterAutospacing="1"/>
        <w:outlineLvl w:val="3"/>
        <w:rPr>
          <w:rFonts w:eastAsiaTheme="minorEastAsia"/>
          <w:b/>
          <w:sz w:val="24"/>
        </w:rPr>
      </w:pPr>
      <w:r w:rsidRPr="00F9522B">
        <w:rPr>
          <w:rFonts w:eastAsiaTheme="minorEastAsia"/>
          <w:b/>
          <w:sz w:val="24"/>
        </w:rPr>
        <w:t>4.2.5.1</w:t>
      </w:r>
      <w:r w:rsidRPr="00F9522B">
        <w:rPr>
          <w:rFonts w:eastAsiaTheme="minorEastAsia"/>
          <w:b/>
          <w:sz w:val="24"/>
        </w:rPr>
        <w:t>土壤现状监测</w:t>
      </w:r>
    </w:p>
    <w:p w:rsidR="002A5A5E" w:rsidRPr="00F9522B" w:rsidRDefault="00611CBA">
      <w:pPr>
        <w:pStyle w:val="aff4"/>
        <w:adjustRightInd/>
        <w:snapToGrid/>
        <w:rPr>
          <w:rFonts w:ascii="Times New Roman" w:hAnsi="Times New Roman" w:cs="Times New Roman"/>
        </w:rPr>
      </w:pPr>
      <w:r w:rsidRPr="00F9522B">
        <w:rPr>
          <w:rFonts w:ascii="Times New Roman" w:hAnsi="Times New Roman" w:cs="Times New Roman"/>
        </w:rPr>
        <w:lastRenderedPageBreak/>
        <w:t>根据《中国土壤分类与代码》</w:t>
      </w:r>
      <w:r w:rsidRPr="00F9522B">
        <w:rPr>
          <w:rFonts w:ascii="Times New Roman" w:hAnsi="Times New Roman" w:cs="Times New Roman"/>
        </w:rPr>
        <w:t>(GB/T17296-2009)</w:t>
      </w:r>
      <w:r w:rsidRPr="00F9522B">
        <w:rPr>
          <w:rFonts w:ascii="Times New Roman" w:hAnsi="Times New Roman" w:cs="Times New Roman"/>
        </w:rPr>
        <w:t>和国家土壤信息服务平台提供的数据，</w:t>
      </w:r>
      <w:r w:rsidRPr="00F9522B">
        <w:rPr>
          <w:rFonts w:ascii="Times New Roman" w:hAnsi="Times New Roman" w:cs="Times New Roman"/>
          <w:color w:val="FF0000"/>
        </w:rPr>
        <w:t>本项目调查和评价范围土壤类型为</w:t>
      </w:r>
      <w:r w:rsidR="001E165D" w:rsidRPr="00F9522B">
        <w:rPr>
          <w:rFonts w:ascii="Times New Roman" w:hAnsi="Times New Roman" w:cs="Times New Roman"/>
          <w:color w:val="FF0000"/>
          <w:kern w:val="0"/>
        </w:rPr>
        <w:t>暗色草甸土</w:t>
      </w:r>
      <w:r w:rsidRPr="00F9522B">
        <w:rPr>
          <w:rFonts w:ascii="Times New Roman" w:hAnsi="Times New Roman" w:cs="Times New Roman"/>
          <w:color w:val="FF0000"/>
        </w:rPr>
        <w:t>、</w:t>
      </w:r>
      <w:r w:rsidR="001E165D" w:rsidRPr="00F9522B">
        <w:rPr>
          <w:rFonts w:ascii="Times New Roman" w:hAnsi="Times New Roman" w:cs="Times New Roman"/>
          <w:color w:val="FF0000"/>
        </w:rPr>
        <w:t>熟黑土</w:t>
      </w:r>
      <w:r w:rsidRPr="00F9522B">
        <w:rPr>
          <w:rFonts w:ascii="Times New Roman" w:hAnsi="Times New Roman" w:cs="Times New Roman"/>
          <w:color w:val="FF0000"/>
        </w:rPr>
        <w:t>。</w:t>
      </w:r>
    </w:p>
    <w:p w:rsidR="001E165D" w:rsidRPr="00F9522B" w:rsidRDefault="001E165D" w:rsidP="001E165D">
      <w:pPr>
        <w:pStyle w:val="aff4"/>
        <w:adjustRightInd/>
        <w:snapToGrid/>
        <w:ind w:firstLineChars="0" w:firstLine="0"/>
        <w:rPr>
          <w:rFonts w:ascii="Times New Roman" w:hAnsi="Times New Roman" w:cs="Times New Roman"/>
          <w:kern w:val="0"/>
        </w:rPr>
      </w:pPr>
      <w:r w:rsidRPr="00F9522B">
        <w:rPr>
          <w:rFonts w:ascii="Times New Roman" w:hAnsi="Times New Roman" w:cs="Times New Roman"/>
          <w:noProof/>
          <w:kern w:val="0"/>
        </w:rPr>
        <w:drawing>
          <wp:anchor distT="0" distB="0" distL="114300" distR="114300" simplePos="0" relativeHeight="251844608" behindDoc="0" locked="0" layoutInCell="1" allowOverlap="1">
            <wp:simplePos x="0" y="0"/>
            <wp:positionH relativeFrom="column">
              <wp:posOffset>2616200</wp:posOffset>
            </wp:positionH>
            <wp:positionV relativeFrom="paragraph">
              <wp:posOffset>2474595</wp:posOffset>
            </wp:positionV>
            <wp:extent cx="1150620" cy="617220"/>
            <wp:effectExtent l="19050" t="0" r="0" b="0"/>
            <wp:wrapNone/>
            <wp:docPr id="68" name="图片 52" descr="E:\xwechat_files\wxid_mq55o8x17m3l21_57cf\temp\RWTemp\2026-07\437b5e689fc5a1fcdbae3dc291b4d8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E:\xwechat_files\wxid_mq55o8x17m3l21_57cf\temp\RWTemp\2026-07\437b5e689fc5a1fcdbae3dc291b4d8e4.png"/>
                    <pic:cNvPicPr>
                      <a:picLocks noChangeAspect="1" noChangeArrowheads="1"/>
                    </pic:cNvPicPr>
                  </pic:nvPicPr>
                  <pic:blipFill>
                    <a:blip r:embed="rId71"/>
                    <a:srcRect/>
                    <a:stretch>
                      <a:fillRect/>
                    </a:stretch>
                  </pic:blipFill>
                  <pic:spPr bwMode="auto">
                    <a:xfrm>
                      <a:off x="0" y="0"/>
                      <a:ext cx="1150620" cy="617220"/>
                    </a:xfrm>
                    <a:prstGeom prst="rect">
                      <a:avLst/>
                    </a:prstGeom>
                    <a:noFill/>
                    <a:ln w="9525">
                      <a:noFill/>
                      <a:miter lim="800000"/>
                      <a:headEnd/>
                      <a:tailEnd/>
                    </a:ln>
                  </pic:spPr>
                </pic:pic>
              </a:graphicData>
            </a:graphic>
          </wp:anchor>
        </w:drawing>
      </w:r>
      <w:r w:rsidRPr="00F9522B">
        <w:rPr>
          <w:rFonts w:ascii="Times New Roman" w:hAnsi="Times New Roman" w:cs="Times New Roman"/>
          <w:noProof/>
          <w:kern w:val="0"/>
        </w:rPr>
        <w:drawing>
          <wp:inline distT="0" distB="0" distL="0" distR="0">
            <wp:extent cx="5274310" cy="3024212"/>
            <wp:effectExtent l="19050" t="19050" r="21590" b="23788"/>
            <wp:docPr id="67" name="图片 51" descr="E:\xwechat_files\wxid_mq55o8x17m3l21_57cf\temp\RWTemp\2026-07\d518a0625d56040f530ca387822670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E:\xwechat_files\wxid_mq55o8x17m3l21_57cf\temp\RWTemp\2026-07\d518a0625d56040f530ca387822670e5.png"/>
                    <pic:cNvPicPr>
                      <a:picLocks noChangeAspect="1" noChangeArrowheads="1"/>
                    </pic:cNvPicPr>
                  </pic:nvPicPr>
                  <pic:blipFill>
                    <a:blip r:embed="rId72"/>
                    <a:srcRect/>
                    <a:stretch>
                      <a:fillRect/>
                    </a:stretch>
                  </pic:blipFill>
                  <pic:spPr bwMode="auto">
                    <a:xfrm>
                      <a:off x="0" y="0"/>
                      <a:ext cx="5274310" cy="3024212"/>
                    </a:xfrm>
                    <a:prstGeom prst="rect">
                      <a:avLst/>
                    </a:prstGeom>
                    <a:noFill/>
                    <a:ln w="9525">
                      <a:solidFill>
                        <a:schemeClr val="tx1"/>
                      </a:solidFill>
                      <a:miter lim="800000"/>
                      <a:headEnd/>
                      <a:tailEnd/>
                    </a:ln>
                  </pic:spPr>
                </pic:pic>
              </a:graphicData>
            </a:graphic>
          </wp:inline>
        </w:drawing>
      </w:r>
    </w:p>
    <w:p w:rsidR="001E165D" w:rsidRPr="00F9522B" w:rsidRDefault="001E165D" w:rsidP="001E165D">
      <w:pPr>
        <w:contextualSpacing/>
        <w:jc w:val="center"/>
        <w:rPr>
          <w:rFonts w:eastAsiaTheme="minorEastAsia"/>
          <w:b/>
          <w:color w:val="FF0000"/>
          <w:kern w:val="0"/>
          <w:szCs w:val="21"/>
        </w:rPr>
      </w:pPr>
      <w:r w:rsidRPr="00F9522B">
        <w:rPr>
          <w:rFonts w:eastAsiaTheme="minorEastAsia"/>
          <w:b/>
          <w:color w:val="FF0000"/>
          <w:kern w:val="0"/>
          <w:szCs w:val="21"/>
        </w:rPr>
        <w:t>图</w:t>
      </w:r>
      <w:r w:rsidRPr="00F9522B">
        <w:rPr>
          <w:rFonts w:eastAsiaTheme="minorEastAsia"/>
          <w:b/>
          <w:color w:val="FF0000"/>
          <w:kern w:val="0"/>
          <w:szCs w:val="21"/>
        </w:rPr>
        <w:t xml:space="preserve">4-2-9 </w:t>
      </w:r>
      <w:r w:rsidRPr="00F9522B">
        <w:rPr>
          <w:rFonts w:eastAsiaTheme="minorEastAsia"/>
          <w:b/>
          <w:color w:val="FF0000"/>
          <w:kern w:val="0"/>
          <w:szCs w:val="21"/>
        </w:rPr>
        <w:t>区域土壤类型图</w:t>
      </w:r>
    </w:p>
    <w:p w:rsidR="002A5A5E" w:rsidRPr="00F9522B" w:rsidRDefault="00611CBA">
      <w:pPr>
        <w:spacing w:line="360" w:lineRule="auto"/>
        <w:ind w:firstLineChars="200" w:firstLine="480"/>
        <w:rPr>
          <w:rFonts w:eastAsiaTheme="minorEastAsia"/>
          <w:sz w:val="24"/>
          <w:szCs w:val="22"/>
        </w:rPr>
      </w:pPr>
      <w:r w:rsidRPr="00F9522B">
        <w:rPr>
          <w:rFonts w:eastAsiaTheme="minorEastAsia"/>
          <w:bCs/>
          <w:sz w:val="24"/>
        </w:rPr>
        <w:t>（</w:t>
      </w:r>
      <w:r w:rsidRPr="00F9522B">
        <w:rPr>
          <w:rFonts w:eastAsiaTheme="minorEastAsia"/>
          <w:bCs/>
          <w:sz w:val="24"/>
        </w:rPr>
        <w:t>1</w:t>
      </w:r>
      <w:r w:rsidRPr="00F9522B">
        <w:rPr>
          <w:rFonts w:eastAsiaTheme="minorEastAsia"/>
          <w:bCs/>
          <w:sz w:val="24"/>
        </w:rPr>
        <w:t>）监测布点</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根据项目平面布置以及区域土壤类型、分布规律，</w:t>
      </w:r>
      <w:r w:rsidRPr="00F9522B">
        <w:rPr>
          <w:rFonts w:eastAsiaTheme="minorEastAsia"/>
          <w:color w:val="FF0000"/>
          <w:sz w:val="24"/>
        </w:rPr>
        <w:t>共对项目评价范围</w:t>
      </w:r>
      <w:r w:rsidR="001E165D" w:rsidRPr="00F9522B">
        <w:rPr>
          <w:rFonts w:eastAsiaTheme="minorEastAsia"/>
          <w:color w:val="FF0000"/>
          <w:sz w:val="24"/>
        </w:rPr>
        <w:t>暗色草甸土、熟黑土</w:t>
      </w:r>
      <w:r w:rsidRPr="00F9522B">
        <w:rPr>
          <w:rFonts w:eastAsiaTheme="minorEastAsia"/>
          <w:color w:val="FF0000"/>
          <w:sz w:val="24"/>
        </w:rPr>
        <w:t>土壤类型</w:t>
      </w:r>
      <w:r w:rsidRPr="00F9522B">
        <w:rPr>
          <w:rFonts w:eastAsiaTheme="minorEastAsia"/>
          <w:sz w:val="24"/>
        </w:rPr>
        <w:t>各布设了</w:t>
      </w:r>
      <w:r w:rsidRPr="00F9522B">
        <w:rPr>
          <w:rFonts w:eastAsiaTheme="minorEastAsia"/>
          <w:sz w:val="24"/>
        </w:rPr>
        <w:t>1</w:t>
      </w:r>
      <w:r w:rsidRPr="00F9522B">
        <w:rPr>
          <w:rFonts w:eastAsiaTheme="minorEastAsia"/>
          <w:sz w:val="24"/>
        </w:rPr>
        <w:t>个调查点位，占地范围内一个，占地范围外</w:t>
      </w:r>
      <w:r w:rsidRPr="00F9522B">
        <w:rPr>
          <w:rFonts w:eastAsiaTheme="minorEastAsia"/>
          <w:sz w:val="24"/>
        </w:rPr>
        <w:t>2</w:t>
      </w:r>
      <w:r w:rsidRPr="00F9522B">
        <w:rPr>
          <w:rFonts w:eastAsiaTheme="minorEastAsia"/>
          <w:sz w:val="24"/>
        </w:rPr>
        <w:t>个。</w:t>
      </w:r>
      <w:r w:rsidR="001E165D" w:rsidRPr="00F9522B">
        <w:rPr>
          <w:rFonts w:eastAsiaTheme="minorEastAsia"/>
          <w:color w:val="FF0000"/>
          <w:sz w:val="24"/>
        </w:rPr>
        <w:t>包含旱地及水田。</w:t>
      </w:r>
      <w:r w:rsidRPr="00F9522B">
        <w:rPr>
          <w:rFonts w:eastAsiaTheme="minorEastAsia"/>
          <w:sz w:val="24"/>
        </w:rPr>
        <w:t>监测项目为</w:t>
      </w:r>
      <w:r w:rsidRPr="00F9522B">
        <w:rPr>
          <w:rFonts w:eastAsiaTheme="minorEastAsia"/>
          <w:sz w:val="24"/>
        </w:rPr>
        <w:t>pH</w:t>
      </w:r>
      <w:r w:rsidRPr="00F9522B">
        <w:rPr>
          <w:rFonts w:eastAsiaTheme="minorEastAsia"/>
          <w:sz w:val="24"/>
        </w:rPr>
        <w:t>、含盐量，用于鉴别项目区土壤是否发生盐渍化、酸化、碱化，具有代表性和典型性。</w:t>
      </w:r>
    </w:p>
    <w:p w:rsidR="002A5A5E" w:rsidRPr="00F9522B" w:rsidRDefault="00611CBA">
      <w:pPr>
        <w:contextualSpacing/>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4-2-</w:t>
      </w:r>
      <w:r w:rsidR="00C92D94" w:rsidRPr="00F9522B">
        <w:rPr>
          <w:rFonts w:eastAsiaTheme="minorEastAsia"/>
          <w:b/>
          <w:kern w:val="0"/>
          <w:szCs w:val="21"/>
        </w:rPr>
        <w:t>20</w:t>
      </w:r>
      <w:r w:rsidRPr="00F9522B">
        <w:rPr>
          <w:rFonts w:eastAsiaTheme="minorEastAsia"/>
          <w:b/>
          <w:kern w:val="0"/>
          <w:szCs w:val="21"/>
        </w:rPr>
        <w:t xml:space="preserve"> </w:t>
      </w:r>
      <w:r w:rsidRPr="00F9522B">
        <w:rPr>
          <w:rFonts w:eastAsiaTheme="minorEastAsia"/>
          <w:b/>
          <w:kern w:val="0"/>
          <w:szCs w:val="21"/>
        </w:rPr>
        <w:t>土壤污染物监测内容</w:t>
      </w:r>
    </w:p>
    <w:tbl>
      <w:tblPr>
        <w:tblW w:w="7979" w:type="dxa"/>
        <w:jc w:val="center"/>
        <w:tblBorders>
          <w:top w:val="single" w:sz="12" w:space="0" w:color="auto"/>
          <w:bottom w:val="single" w:sz="12" w:space="0" w:color="auto"/>
          <w:insideH w:val="single" w:sz="4" w:space="0" w:color="auto"/>
          <w:insideV w:val="single" w:sz="4" w:space="0" w:color="auto"/>
        </w:tblBorders>
        <w:tblLayout w:type="fixed"/>
        <w:tblLook w:val="04A0"/>
      </w:tblPr>
      <w:tblGrid>
        <w:gridCol w:w="1508"/>
        <w:gridCol w:w="2357"/>
        <w:gridCol w:w="1729"/>
        <w:gridCol w:w="1172"/>
        <w:gridCol w:w="1213"/>
      </w:tblGrid>
      <w:tr w:rsidR="002A5A5E" w:rsidRPr="00F9522B">
        <w:trPr>
          <w:trHeight w:val="244"/>
          <w:jc w:val="center"/>
        </w:trPr>
        <w:tc>
          <w:tcPr>
            <w:tcW w:w="1508" w:type="dxa"/>
            <w:vAlign w:val="center"/>
          </w:tcPr>
          <w:p w:rsidR="002A5A5E" w:rsidRPr="00F9522B" w:rsidRDefault="00611CBA">
            <w:pPr>
              <w:overflowPunct w:val="0"/>
              <w:spacing w:line="0" w:lineRule="atLeast"/>
              <w:contextualSpacing/>
              <w:jc w:val="center"/>
              <w:rPr>
                <w:rFonts w:eastAsiaTheme="minorEastAsia"/>
                <w:kern w:val="0"/>
              </w:rPr>
            </w:pPr>
            <w:r w:rsidRPr="00F9522B">
              <w:rPr>
                <w:rFonts w:eastAsiaTheme="minorEastAsia"/>
              </w:rPr>
              <w:t>监测点位</w:t>
            </w:r>
          </w:p>
        </w:tc>
        <w:tc>
          <w:tcPr>
            <w:tcW w:w="2357" w:type="dxa"/>
            <w:vAlign w:val="center"/>
          </w:tcPr>
          <w:p w:rsidR="002A5A5E" w:rsidRPr="00F9522B" w:rsidRDefault="00611CBA">
            <w:pPr>
              <w:overflowPunct w:val="0"/>
              <w:spacing w:line="0" w:lineRule="atLeast"/>
              <w:contextualSpacing/>
              <w:jc w:val="center"/>
              <w:rPr>
                <w:rFonts w:eastAsiaTheme="minorEastAsia"/>
                <w:kern w:val="0"/>
              </w:rPr>
            </w:pPr>
            <w:r w:rsidRPr="00F9522B">
              <w:rPr>
                <w:rFonts w:eastAsiaTheme="minorEastAsia"/>
              </w:rPr>
              <w:t>监测项目</w:t>
            </w:r>
          </w:p>
        </w:tc>
        <w:tc>
          <w:tcPr>
            <w:tcW w:w="1729" w:type="dxa"/>
            <w:vAlign w:val="center"/>
          </w:tcPr>
          <w:p w:rsidR="002A5A5E" w:rsidRPr="00F9522B" w:rsidRDefault="00611CBA">
            <w:pPr>
              <w:overflowPunct w:val="0"/>
              <w:spacing w:line="0" w:lineRule="atLeast"/>
              <w:contextualSpacing/>
              <w:jc w:val="center"/>
              <w:rPr>
                <w:rFonts w:eastAsiaTheme="minorEastAsia"/>
                <w:kern w:val="0"/>
              </w:rPr>
            </w:pPr>
            <w:r w:rsidRPr="00F9522B">
              <w:rPr>
                <w:rFonts w:eastAsiaTheme="minorEastAsia"/>
                <w:kern w:val="0"/>
              </w:rPr>
              <w:t>土壤类型分布</w:t>
            </w:r>
          </w:p>
        </w:tc>
        <w:tc>
          <w:tcPr>
            <w:tcW w:w="1172" w:type="dxa"/>
            <w:vAlign w:val="center"/>
          </w:tcPr>
          <w:p w:rsidR="002A5A5E" w:rsidRPr="00F9522B" w:rsidRDefault="00611CBA">
            <w:pPr>
              <w:overflowPunct w:val="0"/>
              <w:spacing w:line="0" w:lineRule="atLeast"/>
              <w:contextualSpacing/>
              <w:jc w:val="center"/>
              <w:rPr>
                <w:rFonts w:eastAsiaTheme="minorEastAsia"/>
                <w:kern w:val="0"/>
              </w:rPr>
            </w:pPr>
            <w:r w:rsidRPr="00F9522B">
              <w:rPr>
                <w:rFonts w:eastAsiaTheme="minorEastAsia"/>
              </w:rPr>
              <w:t>采样深度</w:t>
            </w:r>
          </w:p>
        </w:tc>
        <w:tc>
          <w:tcPr>
            <w:tcW w:w="1213" w:type="dxa"/>
            <w:vAlign w:val="center"/>
          </w:tcPr>
          <w:p w:rsidR="002A5A5E" w:rsidRPr="00F9522B" w:rsidRDefault="00611CBA">
            <w:pPr>
              <w:overflowPunct w:val="0"/>
              <w:spacing w:line="0" w:lineRule="atLeast"/>
              <w:contextualSpacing/>
              <w:jc w:val="center"/>
              <w:rPr>
                <w:rFonts w:eastAsiaTheme="minorEastAsia"/>
                <w:kern w:val="0"/>
              </w:rPr>
            </w:pPr>
            <w:r w:rsidRPr="00F9522B">
              <w:rPr>
                <w:rFonts w:eastAsiaTheme="minorEastAsia"/>
              </w:rPr>
              <w:t>监测频次</w:t>
            </w:r>
          </w:p>
        </w:tc>
      </w:tr>
      <w:tr w:rsidR="002A5A5E" w:rsidRPr="00F9522B">
        <w:trPr>
          <w:trHeight w:val="47"/>
          <w:jc w:val="center"/>
        </w:trPr>
        <w:tc>
          <w:tcPr>
            <w:tcW w:w="1508" w:type="dxa"/>
            <w:vAlign w:val="center"/>
          </w:tcPr>
          <w:p w:rsidR="002A5A5E" w:rsidRPr="00F9522B" w:rsidRDefault="00611CBA">
            <w:pPr>
              <w:overflowPunct w:val="0"/>
              <w:spacing w:line="0" w:lineRule="atLeast"/>
              <w:contextualSpacing/>
              <w:jc w:val="center"/>
              <w:rPr>
                <w:rFonts w:eastAsiaTheme="minorEastAsia"/>
                <w:kern w:val="0"/>
              </w:rPr>
            </w:pPr>
            <w:r w:rsidRPr="00F9522B">
              <w:rPr>
                <w:rFonts w:eastAsiaTheme="minorEastAsia"/>
              </w:rPr>
              <w:t>1#</w:t>
            </w:r>
            <w:r w:rsidRPr="00F9522B">
              <w:rPr>
                <w:rFonts w:eastAsiaTheme="minorEastAsia"/>
              </w:rPr>
              <w:t>占地范围内</w:t>
            </w:r>
          </w:p>
        </w:tc>
        <w:tc>
          <w:tcPr>
            <w:tcW w:w="2357" w:type="dxa"/>
            <w:vAlign w:val="center"/>
          </w:tcPr>
          <w:p w:rsidR="002A5A5E" w:rsidRPr="00F9522B" w:rsidRDefault="00611CBA">
            <w:pPr>
              <w:overflowPunct w:val="0"/>
              <w:spacing w:line="0" w:lineRule="atLeast"/>
              <w:contextualSpacing/>
              <w:jc w:val="center"/>
              <w:rPr>
                <w:rFonts w:eastAsiaTheme="minorEastAsia"/>
                <w:kern w:val="0"/>
              </w:rPr>
            </w:pPr>
            <w:r w:rsidRPr="00F9522B">
              <w:rPr>
                <w:rFonts w:eastAsiaTheme="minorEastAsia"/>
              </w:rPr>
              <w:t>pH</w:t>
            </w:r>
            <w:r w:rsidRPr="00F9522B">
              <w:rPr>
                <w:rFonts w:eastAsiaTheme="minorEastAsia"/>
              </w:rPr>
              <w:t>、含盐量</w:t>
            </w:r>
          </w:p>
        </w:tc>
        <w:tc>
          <w:tcPr>
            <w:tcW w:w="1729" w:type="dxa"/>
            <w:vAlign w:val="center"/>
          </w:tcPr>
          <w:p w:rsidR="002A5A5E" w:rsidRPr="00F9522B" w:rsidRDefault="001E165D">
            <w:pPr>
              <w:overflowPunct w:val="0"/>
              <w:spacing w:line="0" w:lineRule="atLeast"/>
              <w:contextualSpacing/>
              <w:jc w:val="center"/>
              <w:rPr>
                <w:rFonts w:eastAsiaTheme="minorEastAsia"/>
                <w:b/>
                <w:kern w:val="0"/>
              </w:rPr>
            </w:pPr>
            <w:r w:rsidRPr="00F9522B">
              <w:rPr>
                <w:rFonts w:eastAsiaTheme="minorEastAsia"/>
              </w:rPr>
              <w:t>熟</w:t>
            </w:r>
            <w:r w:rsidR="00611CBA" w:rsidRPr="00F9522B">
              <w:rPr>
                <w:rFonts w:eastAsiaTheme="minorEastAsia"/>
              </w:rPr>
              <w:t>黑土</w:t>
            </w:r>
          </w:p>
        </w:tc>
        <w:tc>
          <w:tcPr>
            <w:tcW w:w="1172" w:type="dxa"/>
            <w:vMerge w:val="restart"/>
            <w:vAlign w:val="center"/>
          </w:tcPr>
          <w:p w:rsidR="002A5A5E" w:rsidRPr="00F9522B" w:rsidRDefault="00611CBA">
            <w:pPr>
              <w:overflowPunct w:val="0"/>
              <w:spacing w:line="0" w:lineRule="atLeast"/>
              <w:contextualSpacing/>
              <w:jc w:val="center"/>
              <w:rPr>
                <w:rFonts w:eastAsiaTheme="minorEastAsia"/>
                <w:kern w:val="0"/>
              </w:rPr>
            </w:pPr>
            <w:r w:rsidRPr="00F9522B">
              <w:rPr>
                <w:rFonts w:eastAsiaTheme="minorEastAsia"/>
              </w:rPr>
              <w:t>表层</w:t>
            </w:r>
            <w:r w:rsidRPr="00F9522B">
              <w:rPr>
                <w:rFonts w:eastAsiaTheme="minorEastAsia"/>
              </w:rPr>
              <w:t>0~0.2m</w:t>
            </w:r>
          </w:p>
        </w:tc>
        <w:tc>
          <w:tcPr>
            <w:tcW w:w="1213" w:type="dxa"/>
            <w:vMerge w:val="restart"/>
            <w:vAlign w:val="center"/>
          </w:tcPr>
          <w:p w:rsidR="002A5A5E" w:rsidRPr="00F9522B" w:rsidRDefault="00611CBA">
            <w:pPr>
              <w:overflowPunct w:val="0"/>
              <w:spacing w:line="0" w:lineRule="atLeast"/>
              <w:contextualSpacing/>
              <w:jc w:val="center"/>
              <w:rPr>
                <w:rFonts w:eastAsiaTheme="minorEastAsia"/>
                <w:kern w:val="0"/>
              </w:rPr>
            </w:pPr>
            <w:r w:rsidRPr="00F9522B">
              <w:rPr>
                <w:rFonts w:eastAsiaTheme="minorEastAsia"/>
              </w:rPr>
              <w:t>1</w:t>
            </w:r>
            <w:r w:rsidRPr="00F9522B">
              <w:rPr>
                <w:rFonts w:eastAsiaTheme="minorEastAsia"/>
              </w:rPr>
              <w:t>次</w:t>
            </w:r>
          </w:p>
        </w:tc>
      </w:tr>
      <w:tr w:rsidR="002A5A5E" w:rsidRPr="00F9522B">
        <w:trPr>
          <w:trHeight w:val="47"/>
          <w:jc w:val="center"/>
        </w:trPr>
        <w:tc>
          <w:tcPr>
            <w:tcW w:w="1508" w:type="dxa"/>
            <w:vAlign w:val="center"/>
          </w:tcPr>
          <w:p w:rsidR="002A5A5E" w:rsidRPr="00F9522B" w:rsidRDefault="00611CBA">
            <w:pPr>
              <w:overflowPunct w:val="0"/>
              <w:spacing w:line="0" w:lineRule="atLeast"/>
              <w:contextualSpacing/>
              <w:jc w:val="center"/>
              <w:rPr>
                <w:rFonts w:eastAsiaTheme="minorEastAsia"/>
                <w:kern w:val="0"/>
              </w:rPr>
            </w:pPr>
            <w:r w:rsidRPr="00F9522B">
              <w:rPr>
                <w:rFonts w:eastAsiaTheme="minorEastAsia"/>
              </w:rPr>
              <w:t>2#</w:t>
            </w:r>
            <w:r w:rsidRPr="00F9522B">
              <w:rPr>
                <w:rFonts w:eastAsiaTheme="minorEastAsia"/>
              </w:rPr>
              <w:t>占地范围外</w:t>
            </w:r>
          </w:p>
        </w:tc>
        <w:tc>
          <w:tcPr>
            <w:tcW w:w="2357" w:type="dxa"/>
            <w:vAlign w:val="center"/>
          </w:tcPr>
          <w:p w:rsidR="002A5A5E" w:rsidRPr="00F9522B" w:rsidRDefault="00611CBA">
            <w:pPr>
              <w:overflowPunct w:val="0"/>
              <w:spacing w:line="0" w:lineRule="atLeast"/>
              <w:contextualSpacing/>
              <w:jc w:val="center"/>
              <w:rPr>
                <w:rFonts w:eastAsiaTheme="minorEastAsia"/>
                <w:kern w:val="0"/>
              </w:rPr>
            </w:pPr>
            <w:r w:rsidRPr="00F9522B">
              <w:rPr>
                <w:rFonts w:eastAsiaTheme="minorEastAsia"/>
              </w:rPr>
              <w:t>pH</w:t>
            </w:r>
            <w:r w:rsidRPr="00F9522B">
              <w:rPr>
                <w:rFonts w:eastAsiaTheme="minorEastAsia"/>
              </w:rPr>
              <w:t>、含盐量</w:t>
            </w:r>
          </w:p>
        </w:tc>
        <w:tc>
          <w:tcPr>
            <w:tcW w:w="1729" w:type="dxa"/>
            <w:vAlign w:val="center"/>
          </w:tcPr>
          <w:p w:rsidR="002A5A5E" w:rsidRPr="00F9522B" w:rsidRDefault="001E165D">
            <w:pPr>
              <w:overflowPunct w:val="0"/>
              <w:spacing w:line="0" w:lineRule="atLeast"/>
              <w:contextualSpacing/>
              <w:jc w:val="center"/>
              <w:rPr>
                <w:rFonts w:eastAsiaTheme="minorEastAsia"/>
                <w:kern w:val="0"/>
              </w:rPr>
            </w:pPr>
            <w:r w:rsidRPr="00F9522B">
              <w:rPr>
                <w:rFonts w:eastAsiaTheme="minorEastAsia"/>
                <w:kern w:val="0"/>
              </w:rPr>
              <w:t>暗色草甸</w:t>
            </w:r>
            <w:r w:rsidR="00611CBA" w:rsidRPr="00F9522B">
              <w:rPr>
                <w:rFonts w:eastAsiaTheme="minorEastAsia"/>
                <w:kern w:val="0"/>
              </w:rPr>
              <w:t>土</w:t>
            </w:r>
          </w:p>
        </w:tc>
        <w:tc>
          <w:tcPr>
            <w:tcW w:w="1172" w:type="dxa"/>
            <w:vMerge/>
            <w:vAlign w:val="center"/>
          </w:tcPr>
          <w:p w:rsidR="002A5A5E" w:rsidRPr="00F9522B" w:rsidRDefault="002A5A5E">
            <w:pPr>
              <w:overflowPunct w:val="0"/>
              <w:spacing w:line="0" w:lineRule="atLeast"/>
              <w:contextualSpacing/>
              <w:jc w:val="center"/>
              <w:rPr>
                <w:rFonts w:eastAsiaTheme="minorEastAsia"/>
                <w:kern w:val="0"/>
              </w:rPr>
            </w:pPr>
          </w:p>
        </w:tc>
        <w:tc>
          <w:tcPr>
            <w:tcW w:w="1213" w:type="dxa"/>
            <w:vMerge/>
            <w:vAlign w:val="center"/>
          </w:tcPr>
          <w:p w:rsidR="002A5A5E" w:rsidRPr="00F9522B" w:rsidRDefault="002A5A5E">
            <w:pPr>
              <w:overflowPunct w:val="0"/>
              <w:spacing w:line="0" w:lineRule="atLeast"/>
              <w:contextualSpacing/>
              <w:jc w:val="center"/>
              <w:rPr>
                <w:rFonts w:eastAsiaTheme="minorEastAsia"/>
                <w:kern w:val="0"/>
              </w:rPr>
            </w:pPr>
          </w:p>
        </w:tc>
      </w:tr>
      <w:tr w:rsidR="002A5A5E" w:rsidRPr="00F9522B">
        <w:trPr>
          <w:trHeight w:val="261"/>
          <w:jc w:val="center"/>
        </w:trPr>
        <w:tc>
          <w:tcPr>
            <w:tcW w:w="1508" w:type="dxa"/>
            <w:vAlign w:val="center"/>
          </w:tcPr>
          <w:p w:rsidR="002A5A5E" w:rsidRPr="00F9522B" w:rsidRDefault="00611CBA">
            <w:pPr>
              <w:overflowPunct w:val="0"/>
              <w:spacing w:line="0" w:lineRule="atLeast"/>
              <w:contextualSpacing/>
              <w:jc w:val="center"/>
              <w:rPr>
                <w:rFonts w:eastAsiaTheme="minorEastAsia"/>
                <w:kern w:val="0"/>
              </w:rPr>
            </w:pPr>
            <w:r w:rsidRPr="00F9522B">
              <w:rPr>
                <w:rFonts w:eastAsiaTheme="minorEastAsia"/>
              </w:rPr>
              <w:t>3#</w:t>
            </w:r>
            <w:r w:rsidRPr="00F9522B">
              <w:rPr>
                <w:rFonts w:eastAsiaTheme="minorEastAsia"/>
              </w:rPr>
              <w:t>占地范围外</w:t>
            </w:r>
          </w:p>
        </w:tc>
        <w:tc>
          <w:tcPr>
            <w:tcW w:w="2357" w:type="dxa"/>
            <w:vAlign w:val="center"/>
          </w:tcPr>
          <w:p w:rsidR="002A5A5E" w:rsidRPr="00F9522B" w:rsidRDefault="00611CBA">
            <w:pPr>
              <w:widowControl/>
              <w:spacing w:line="0" w:lineRule="atLeast"/>
              <w:contextualSpacing/>
              <w:jc w:val="center"/>
              <w:rPr>
                <w:rFonts w:eastAsiaTheme="minorEastAsia"/>
                <w:kern w:val="0"/>
              </w:rPr>
            </w:pPr>
            <w:r w:rsidRPr="00F9522B">
              <w:rPr>
                <w:rFonts w:eastAsiaTheme="minorEastAsia"/>
              </w:rPr>
              <w:t>pH</w:t>
            </w:r>
            <w:r w:rsidRPr="00F9522B">
              <w:rPr>
                <w:rFonts w:eastAsiaTheme="minorEastAsia"/>
              </w:rPr>
              <w:t>、含盐量</w:t>
            </w:r>
          </w:p>
        </w:tc>
        <w:tc>
          <w:tcPr>
            <w:tcW w:w="1729" w:type="dxa"/>
            <w:vAlign w:val="center"/>
          </w:tcPr>
          <w:p w:rsidR="002A5A5E" w:rsidRPr="00F9522B" w:rsidRDefault="001E165D">
            <w:pPr>
              <w:widowControl/>
              <w:spacing w:line="0" w:lineRule="atLeast"/>
              <w:contextualSpacing/>
              <w:jc w:val="center"/>
              <w:rPr>
                <w:rFonts w:eastAsiaTheme="minorEastAsia"/>
                <w:kern w:val="0"/>
              </w:rPr>
            </w:pPr>
            <w:r w:rsidRPr="00F9522B">
              <w:rPr>
                <w:rFonts w:eastAsiaTheme="minorEastAsia"/>
              </w:rPr>
              <w:t>熟黑土</w:t>
            </w:r>
          </w:p>
        </w:tc>
        <w:tc>
          <w:tcPr>
            <w:tcW w:w="1172" w:type="dxa"/>
            <w:vMerge/>
            <w:vAlign w:val="center"/>
          </w:tcPr>
          <w:p w:rsidR="002A5A5E" w:rsidRPr="00F9522B" w:rsidRDefault="002A5A5E">
            <w:pPr>
              <w:widowControl/>
              <w:spacing w:line="0" w:lineRule="atLeast"/>
              <w:contextualSpacing/>
              <w:jc w:val="left"/>
              <w:rPr>
                <w:rFonts w:eastAsiaTheme="minorEastAsia"/>
                <w:kern w:val="0"/>
              </w:rPr>
            </w:pPr>
          </w:p>
        </w:tc>
        <w:tc>
          <w:tcPr>
            <w:tcW w:w="1213" w:type="dxa"/>
            <w:vMerge/>
            <w:vAlign w:val="center"/>
          </w:tcPr>
          <w:p w:rsidR="002A5A5E" w:rsidRPr="00F9522B" w:rsidRDefault="002A5A5E">
            <w:pPr>
              <w:widowControl/>
              <w:spacing w:line="0" w:lineRule="atLeast"/>
              <w:contextualSpacing/>
              <w:jc w:val="left"/>
              <w:rPr>
                <w:rFonts w:eastAsiaTheme="minorEastAsia"/>
                <w:kern w:val="0"/>
              </w:rPr>
            </w:pPr>
          </w:p>
        </w:tc>
      </w:tr>
    </w:tbl>
    <w:p w:rsidR="002A5A5E" w:rsidRPr="00F9522B" w:rsidRDefault="00611CBA">
      <w:pPr>
        <w:spacing w:line="440" w:lineRule="exact"/>
        <w:ind w:firstLineChars="200" w:firstLine="480"/>
        <w:rPr>
          <w:rFonts w:eastAsiaTheme="minorEastAsia"/>
          <w:sz w:val="24"/>
        </w:rPr>
      </w:pPr>
      <w:r w:rsidRPr="00F9522B">
        <w:rPr>
          <w:rFonts w:eastAsiaTheme="minorEastAsia"/>
          <w:sz w:val="24"/>
        </w:rPr>
        <w:t>监测点位设置情况见图</w:t>
      </w:r>
      <w:r w:rsidRPr="00F9522B">
        <w:rPr>
          <w:rFonts w:eastAsiaTheme="minorEastAsia"/>
          <w:sz w:val="24"/>
        </w:rPr>
        <w:t>4-2-</w:t>
      </w:r>
      <w:r w:rsidR="001E165D" w:rsidRPr="00F9522B">
        <w:rPr>
          <w:rFonts w:eastAsiaTheme="minorEastAsia"/>
          <w:sz w:val="24"/>
        </w:rPr>
        <w:t>10</w:t>
      </w:r>
      <w:r w:rsidRPr="00F9522B">
        <w:rPr>
          <w:rFonts w:eastAsiaTheme="minorEastAsia"/>
          <w:sz w:val="24"/>
        </w:rPr>
        <w:t>。</w:t>
      </w:r>
    </w:p>
    <w:p w:rsidR="002A5A5E" w:rsidRPr="00F9522B" w:rsidRDefault="001E165D" w:rsidP="00561522">
      <w:pPr>
        <w:spacing w:line="0" w:lineRule="atLeast"/>
        <w:contextualSpacing/>
        <w:jc w:val="center"/>
        <w:rPr>
          <w:rFonts w:eastAsiaTheme="minorEastAsia"/>
          <w:sz w:val="24"/>
          <w:szCs w:val="22"/>
        </w:rPr>
      </w:pPr>
      <w:r w:rsidRPr="00F9522B">
        <w:rPr>
          <w:rFonts w:eastAsiaTheme="minorEastAsia"/>
          <w:noProof/>
          <w:sz w:val="24"/>
          <w:szCs w:val="22"/>
        </w:rPr>
        <w:lastRenderedPageBreak/>
        <w:drawing>
          <wp:inline distT="0" distB="0" distL="0" distR="0">
            <wp:extent cx="4714875" cy="4953000"/>
            <wp:effectExtent l="38100" t="19050" r="28575" b="19050"/>
            <wp:docPr id="70"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3"/>
                    <a:srcRect/>
                    <a:stretch>
                      <a:fillRect/>
                    </a:stretch>
                  </pic:blipFill>
                  <pic:spPr bwMode="auto">
                    <a:xfrm>
                      <a:off x="0" y="0"/>
                      <a:ext cx="4714875" cy="4953000"/>
                    </a:xfrm>
                    <a:prstGeom prst="rect">
                      <a:avLst/>
                    </a:prstGeom>
                    <a:noFill/>
                    <a:ln w="9525">
                      <a:solidFill>
                        <a:schemeClr val="tx1"/>
                      </a:solidFill>
                      <a:miter lim="800000"/>
                      <a:headEnd/>
                      <a:tailEnd/>
                    </a:ln>
                  </pic:spPr>
                </pic:pic>
              </a:graphicData>
            </a:graphic>
          </wp:inline>
        </w:drawing>
      </w:r>
    </w:p>
    <w:p w:rsidR="002A5A5E" w:rsidRPr="00F9522B" w:rsidRDefault="00611CBA" w:rsidP="00561522">
      <w:pPr>
        <w:contextualSpacing/>
        <w:jc w:val="center"/>
        <w:rPr>
          <w:rFonts w:eastAsiaTheme="minorEastAsia"/>
          <w:b/>
          <w:color w:val="FF0000"/>
          <w:kern w:val="0"/>
          <w:szCs w:val="21"/>
        </w:rPr>
      </w:pPr>
      <w:r w:rsidRPr="00F9522B">
        <w:rPr>
          <w:rFonts w:eastAsiaTheme="minorEastAsia"/>
          <w:b/>
          <w:color w:val="FF0000"/>
          <w:kern w:val="0"/>
          <w:szCs w:val="21"/>
        </w:rPr>
        <w:t>图</w:t>
      </w:r>
      <w:r w:rsidR="00565A50" w:rsidRPr="00F9522B">
        <w:rPr>
          <w:rFonts w:eastAsiaTheme="minorEastAsia"/>
          <w:b/>
          <w:color w:val="FF0000"/>
          <w:kern w:val="0"/>
          <w:szCs w:val="21"/>
        </w:rPr>
        <w:t>4-2-</w:t>
      </w:r>
      <w:r w:rsidR="001E165D" w:rsidRPr="00F9522B">
        <w:rPr>
          <w:rFonts w:eastAsiaTheme="minorEastAsia"/>
          <w:b/>
          <w:color w:val="FF0000"/>
          <w:kern w:val="0"/>
          <w:szCs w:val="21"/>
        </w:rPr>
        <w:t>10</w:t>
      </w:r>
      <w:r w:rsidRPr="00F9522B">
        <w:rPr>
          <w:rFonts w:eastAsiaTheme="minorEastAsia"/>
          <w:b/>
          <w:color w:val="FF0000"/>
          <w:kern w:val="0"/>
          <w:szCs w:val="21"/>
        </w:rPr>
        <w:t xml:space="preserve"> </w:t>
      </w:r>
      <w:r w:rsidRPr="00F9522B">
        <w:rPr>
          <w:rFonts w:eastAsiaTheme="minorEastAsia"/>
          <w:b/>
          <w:color w:val="FF0000"/>
          <w:kern w:val="0"/>
          <w:szCs w:val="21"/>
        </w:rPr>
        <w:t>土壤监测点图</w:t>
      </w:r>
    </w:p>
    <w:p w:rsidR="002A5A5E" w:rsidRPr="00F9522B" w:rsidRDefault="00611CBA">
      <w:pPr>
        <w:spacing w:line="360" w:lineRule="auto"/>
        <w:ind w:firstLineChars="200" w:firstLine="480"/>
        <w:rPr>
          <w:rFonts w:eastAsiaTheme="minorEastAsia"/>
          <w:sz w:val="24"/>
          <w:szCs w:val="22"/>
        </w:rPr>
      </w:pPr>
      <w:r w:rsidRPr="00F9522B">
        <w:rPr>
          <w:rFonts w:eastAsiaTheme="minorEastAsia"/>
          <w:sz w:val="24"/>
          <w:szCs w:val="22"/>
        </w:rPr>
        <w:t>（</w:t>
      </w:r>
      <w:r w:rsidRPr="00F9522B">
        <w:rPr>
          <w:rFonts w:eastAsiaTheme="minorEastAsia"/>
          <w:sz w:val="24"/>
          <w:szCs w:val="22"/>
        </w:rPr>
        <w:t>2</w:t>
      </w:r>
      <w:r w:rsidRPr="00F9522B">
        <w:rPr>
          <w:rFonts w:eastAsiaTheme="minorEastAsia"/>
          <w:sz w:val="24"/>
          <w:szCs w:val="22"/>
        </w:rPr>
        <w:t>）监测项目</w:t>
      </w:r>
    </w:p>
    <w:p w:rsidR="002A5A5E" w:rsidRPr="00F9522B" w:rsidRDefault="00611CBA">
      <w:pPr>
        <w:spacing w:line="360" w:lineRule="auto"/>
        <w:ind w:firstLineChars="250" w:firstLine="600"/>
        <w:rPr>
          <w:rFonts w:eastAsiaTheme="minorEastAsia"/>
          <w:sz w:val="24"/>
          <w:szCs w:val="22"/>
        </w:rPr>
      </w:pPr>
      <w:r w:rsidRPr="00F9522B">
        <w:rPr>
          <w:rFonts w:eastAsiaTheme="minorEastAsia"/>
          <w:sz w:val="24"/>
          <w:szCs w:val="22"/>
        </w:rPr>
        <w:t>pH</w:t>
      </w:r>
      <w:r w:rsidRPr="00F9522B">
        <w:rPr>
          <w:rFonts w:eastAsiaTheme="minorEastAsia"/>
          <w:sz w:val="24"/>
          <w:szCs w:val="22"/>
        </w:rPr>
        <w:t>、含盐量</w:t>
      </w:r>
    </w:p>
    <w:p w:rsidR="002A5A5E" w:rsidRPr="00F9522B" w:rsidRDefault="00611CBA">
      <w:pPr>
        <w:spacing w:line="360" w:lineRule="auto"/>
        <w:ind w:firstLineChars="200" w:firstLine="480"/>
        <w:rPr>
          <w:rFonts w:eastAsiaTheme="minorEastAsia"/>
          <w:sz w:val="24"/>
          <w:szCs w:val="22"/>
          <w:lang w:val="zh-CN"/>
        </w:rPr>
      </w:pPr>
      <w:r w:rsidRPr="00F9522B">
        <w:rPr>
          <w:rFonts w:eastAsiaTheme="minorEastAsia"/>
          <w:sz w:val="24"/>
          <w:szCs w:val="22"/>
          <w:lang w:val="zh-CN"/>
        </w:rPr>
        <w:t>（</w:t>
      </w:r>
      <w:r w:rsidRPr="00F9522B">
        <w:rPr>
          <w:rFonts w:eastAsiaTheme="minorEastAsia"/>
          <w:sz w:val="24"/>
          <w:szCs w:val="22"/>
          <w:lang w:val="zh-CN"/>
        </w:rPr>
        <w:t>3</w:t>
      </w:r>
      <w:r w:rsidRPr="00F9522B">
        <w:rPr>
          <w:rFonts w:eastAsiaTheme="minorEastAsia"/>
          <w:sz w:val="24"/>
          <w:szCs w:val="22"/>
          <w:lang w:val="zh-CN"/>
        </w:rPr>
        <w:t>）监测时间与频次</w:t>
      </w:r>
    </w:p>
    <w:p w:rsidR="002A5A5E" w:rsidRPr="00F9522B" w:rsidRDefault="00611CBA">
      <w:pPr>
        <w:spacing w:line="360" w:lineRule="auto"/>
        <w:ind w:firstLineChars="200" w:firstLine="480"/>
        <w:rPr>
          <w:rFonts w:eastAsiaTheme="minorEastAsia"/>
          <w:sz w:val="24"/>
          <w:szCs w:val="22"/>
          <w:lang w:val="zh-CN"/>
        </w:rPr>
      </w:pPr>
      <w:r w:rsidRPr="00F9522B">
        <w:rPr>
          <w:rFonts w:eastAsiaTheme="minorEastAsia"/>
          <w:sz w:val="24"/>
          <w:szCs w:val="22"/>
          <w:lang w:val="zh-CN"/>
        </w:rPr>
        <w:t>监测</w:t>
      </w:r>
      <w:r w:rsidRPr="00F9522B">
        <w:rPr>
          <w:rFonts w:eastAsiaTheme="minorEastAsia"/>
          <w:sz w:val="24"/>
          <w:szCs w:val="22"/>
          <w:lang w:val="zh-CN"/>
        </w:rPr>
        <w:t>1</w:t>
      </w:r>
      <w:r w:rsidRPr="00F9522B">
        <w:rPr>
          <w:rFonts w:eastAsiaTheme="minorEastAsia"/>
          <w:sz w:val="24"/>
          <w:szCs w:val="22"/>
          <w:lang w:val="zh-CN"/>
        </w:rPr>
        <w:t>天，采样</w:t>
      </w:r>
      <w:r w:rsidRPr="00F9522B">
        <w:rPr>
          <w:rFonts w:eastAsiaTheme="minorEastAsia"/>
          <w:sz w:val="24"/>
          <w:szCs w:val="22"/>
          <w:lang w:val="zh-CN"/>
        </w:rPr>
        <w:t>1</w:t>
      </w:r>
      <w:r w:rsidRPr="00F9522B">
        <w:rPr>
          <w:rFonts w:eastAsiaTheme="minorEastAsia"/>
          <w:sz w:val="24"/>
          <w:szCs w:val="22"/>
          <w:lang w:val="zh-CN"/>
        </w:rPr>
        <w:t>次，采样时间为</w:t>
      </w:r>
      <w:r w:rsidRPr="00F9522B">
        <w:rPr>
          <w:rFonts w:eastAsiaTheme="minorEastAsia"/>
          <w:sz w:val="24"/>
          <w:szCs w:val="22"/>
          <w:lang w:val="zh-CN"/>
        </w:rPr>
        <w:t>20</w:t>
      </w:r>
      <w:r w:rsidRPr="00F9522B">
        <w:rPr>
          <w:rFonts w:eastAsiaTheme="minorEastAsia"/>
          <w:sz w:val="24"/>
          <w:szCs w:val="22"/>
        </w:rPr>
        <w:t>2</w:t>
      </w:r>
      <w:r w:rsidR="0097223F" w:rsidRPr="00F9522B">
        <w:rPr>
          <w:rFonts w:eastAsiaTheme="minorEastAsia"/>
          <w:sz w:val="24"/>
          <w:szCs w:val="22"/>
        </w:rPr>
        <w:t>6</w:t>
      </w:r>
      <w:r w:rsidRPr="00F9522B">
        <w:rPr>
          <w:rFonts w:eastAsiaTheme="minorEastAsia"/>
          <w:sz w:val="24"/>
          <w:szCs w:val="22"/>
          <w:lang w:val="zh-CN"/>
        </w:rPr>
        <w:t>年</w:t>
      </w:r>
      <w:r w:rsidR="0097223F" w:rsidRPr="00F9522B">
        <w:rPr>
          <w:rFonts w:eastAsiaTheme="minorEastAsia"/>
          <w:sz w:val="24"/>
          <w:szCs w:val="22"/>
          <w:lang w:val="zh-CN"/>
        </w:rPr>
        <w:t>6</w:t>
      </w:r>
      <w:r w:rsidRPr="00F9522B">
        <w:rPr>
          <w:rFonts w:eastAsiaTheme="minorEastAsia"/>
          <w:sz w:val="24"/>
          <w:szCs w:val="22"/>
          <w:lang w:val="zh-CN"/>
        </w:rPr>
        <w:t>月</w:t>
      </w:r>
      <w:r w:rsidR="0097223F" w:rsidRPr="00F9522B">
        <w:rPr>
          <w:rFonts w:eastAsiaTheme="minorEastAsia"/>
          <w:sz w:val="24"/>
          <w:szCs w:val="22"/>
          <w:lang w:val="zh-CN"/>
        </w:rPr>
        <w:t>1</w:t>
      </w:r>
      <w:r w:rsidRPr="00F9522B">
        <w:rPr>
          <w:rFonts w:eastAsiaTheme="minorEastAsia"/>
          <w:sz w:val="24"/>
          <w:szCs w:val="22"/>
          <w:lang w:val="zh-CN"/>
        </w:rPr>
        <w:t>日。表层样点</w:t>
      </w:r>
      <w:r w:rsidRPr="00F9522B">
        <w:rPr>
          <w:rFonts w:eastAsiaTheme="minorEastAsia"/>
          <w:sz w:val="24"/>
          <w:szCs w:val="22"/>
          <w:lang w:val="zh-CN"/>
        </w:rPr>
        <w:t>0</w:t>
      </w:r>
      <w:r w:rsidRPr="00F9522B">
        <w:rPr>
          <w:rFonts w:eastAsiaTheme="minorEastAsia"/>
          <w:sz w:val="24"/>
          <w:szCs w:val="22"/>
          <w:lang w:val="zh-CN"/>
        </w:rPr>
        <w:t>～</w:t>
      </w:r>
      <w:r w:rsidRPr="00F9522B">
        <w:rPr>
          <w:rFonts w:eastAsiaTheme="minorEastAsia"/>
          <w:sz w:val="24"/>
          <w:szCs w:val="22"/>
          <w:lang w:val="zh-CN"/>
        </w:rPr>
        <w:t>0.2m</w:t>
      </w:r>
      <w:r w:rsidRPr="00F9522B">
        <w:rPr>
          <w:rFonts w:eastAsiaTheme="minorEastAsia"/>
          <w:sz w:val="24"/>
          <w:szCs w:val="22"/>
          <w:lang w:val="zh-CN"/>
        </w:rPr>
        <w:t>取样。</w:t>
      </w:r>
    </w:p>
    <w:p w:rsidR="002A5A5E" w:rsidRPr="00F9522B" w:rsidRDefault="00611CBA">
      <w:pPr>
        <w:spacing w:line="360" w:lineRule="auto"/>
        <w:ind w:firstLineChars="200" w:firstLine="480"/>
        <w:rPr>
          <w:rFonts w:eastAsiaTheme="minorEastAsia"/>
          <w:sz w:val="24"/>
          <w:szCs w:val="22"/>
          <w:lang w:val="zh-CN"/>
        </w:rPr>
      </w:pPr>
      <w:r w:rsidRPr="00F9522B">
        <w:rPr>
          <w:rFonts w:eastAsiaTheme="minorEastAsia"/>
          <w:sz w:val="24"/>
          <w:szCs w:val="22"/>
          <w:lang w:val="zh-CN"/>
        </w:rPr>
        <w:t>（</w:t>
      </w:r>
      <w:r w:rsidRPr="00F9522B">
        <w:rPr>
          <w:rFonts w:eastAsiaTheme="minorEastAsia"/>
          <w:sz w:val="24"/>
          <w:szCs w:val="22"/>
        </w:rPr>
        <w:t>4</w:t>
      </w:r>
      <w:r w:rsidRPr="00F9522B">
        <w:rPr>
          <w:rFonts w:eastAsiaTheme="minorEastAsia"/>
          <w:sz w:val="24"/>
          <w:szCs w:val="22"/>
          <w:lang w:val="zh-CN"/>
        </w:rPr>
        <w:t>）监测结果及评价</w:t>
      </w:r>
    </w:p>
    <w:p w:rsidR="002A5A5E" w:rsidRPr="00F9522B" w:rsidRDefault="00611CBA">
      <w:pPr>
        <w:spacing w:line="360" w:lineRule="auto"/>
        <w:ind w:firstLineChars="200" w:firstLine="480"/>
        <w:rPr>
          <w:rFonts w:eastAsiaTheme="minorEastAsia"/>
          <w:sz w:val="24"/>
          <w:szCs w:val="22"/>
          <w:lang w:val="zh-CN"/>
        </w:rPr>
      </w:pPr>
      <w:r w:rsidRPr="00F9522B">
        <w:rPr>
          <w:rFonts w:eastAsiaTheme="minorEastAsia"/>
          <w:sz w:val="24"/>
          <w:szCs w:val="22"/>
          <w:lang w:val="zh-CN"/>
        </w:rPr>
        <w:t>各点位土壤环境质量现状监测结果见表</w:t>
      </w:r>
      <w:r w:rsidRPr="00F9522B">
        <w:rPr>
          <w:rFonts w:eastAsiaTheme="minorEastAsia"/>
          <w:sz w:val="24"/>
          <w:szCs w:val="22"/>
          <w:lang w:val="zh-CN"/>
        </w:rPr>
        <w:t>4-2-21</w:t>
      </w:r>
      <w:r w:rsidRPr="00F9522B">
        <w:rPr>
          <w:rFonts w:eastAsiaTheme="minorEastAsia"/>
          <w:sz w:val="24"/>
          <w:szCs w:val="22"/>
          <w:lang w:val="zh-CN"/>
        </w:rPr>
        <w:t>。</w:t>
      </w:r>
    </w:p>
    <w:p w:rsidR="002A5A5E" w:rsidRPr="00F9522B" w:rsidRDefault="00611CBA">
      <w:pPr>
        <w:contextualSpacing/>
        <w:jc w:val="center"/>
        <w:rPr>
          <w:rFonts w:eastAsiaTheme="minorEastAsia"/>
          <w:b/>
          <w:kern w:val="0"/>
          <w:szCs w:val="21"/>
        </w:rPr>
      </w:pPr>
      <w:bookmarkStart w:id="111" w:name="_Toc490807013"/>
      <w:bookmarkStart w:id="112" w:name="_Toc514938163"/>
      <w:r w:rsidRPr="00F9522B">
        <w:rPr>
          <w:rFonts w:eastAsiaTheme="minorEastAsia"/>
          <w:b/>
          <w:kern w:val="0"/>
          <w:szCs w:val="21"/>
        </w:rPr>
        <w:t>表</w:t>
      </w:r>
      <w:r w:rsidRPr="00F9522B">
        <w:rPr>
          <w:rFonts w:eastAsiaTheme="minorEastAsia"/>
          <w:b/>
          <w:kern w:val="0"/>
          <w:szCs w:val="21"/>
        </w:rPr>
        <w:t xml:space="preserve">4-2-21 </w:t>
      </w:r>
      <w:r w:rsidRPr="00F9522B">
        <w:rPr>
          <w:rFonts w:eastAsiaTheme="minorEastAsia"/>
          <w:b/>
          <w:kern w:val="0"/>
          <w:szCs w:val="21"/>
        </w:rPr>
        <w:t>土壤监测结果</w:t>
      </w:r>
      <w:r w:rsidRPr="00F9522B">
        <w:rPr>
          <w:rFonts w:eastAsiaTheme="minorEastAsia"/>
          <w:b/>
          <w:kern w:val="0"/>
          <w:szCs w:val="21"/>
        </w:rPr>
        <w:t xml:space="preserve">         </w:t>
      </w:r>
      <w:r w:rsidRPr="00F9522B">
        <w:rPr>
          <w:rFonts w:eastAsiaTheme="minorEastAsia"/>
          <w:b/>
          <w:kern w:val="0"/>
          <w:szCs w:val="21"/>
        </w:rPr>
        <w:t>单位：</w:t>
      </w:r>
      <w:r w:rsidRPr="00F9522B">
        <w:rPr>
          <w:rFonts w:eastAsiaTheme="minorEastAsia"/>
          <w:b/>
          <w:kern w:val="0"/>
          <w:szCs w:val="21"/>
        </w:rPr>
        <w:t>mg/kg</w:t>
      </w:r>
    </w:p>
    <w:tbl>
      <w:tblPr>
        <w:tblStyle w:val="afc"/>
        <w:tblW w:w="5000" w:type="pct"/>
        <w:jc w:val="center"/>
        <w:tblBorders>
          <w:top w:val="single" w:sz="12" w:space="0" w:color="auto"/>
          <w:left w:val="none" w:sz="0" w:space="0" w:color="auto"/>
          <w:bottom w:val="single" w:sz="12" w:space="0" w:color="auto"/>
          <w:right w:val="none" w:sz="0" w:space="0" w:color="auto"/>
          <w:insideH w:val="single" w:sz="6" w:space="0" w:color="auto"/>
          <w:insideV w:val="single" w:sz="6" w:space="0" w:color="auto"/>
        </w:tblBorders>
        <w:tblLook w:val="04A0"/>
      </w:tblPr>
      <w:tblGrid>
        <w:gridCol w:w="887"/>
        <w:gridCol w:w="1692"/>
        <w:gridCol w:w="1370"/>
        <w:gridCol w:w="1369"/>
        <w:gridCol w:w="1641"/>
        <w:gridCol w:w="1563"/>
      </w:tblGrid>
      <w:tr w:rsidR="002A5A5E" w:rsidRPr="00F9522B">
        <w:trPr>
          <w:trHeight w:val="40"/>
          <w:tblHeader/>
          <w:jc w:val="center"/>
        </w:trPr>
        <w:tc>
          <w:tcPr>
            <w:tcW w:w="520" w:type="pct"/>
            <w:vAlign w:val="center"/>
          </w:tcPr>
          <w:p w:rsidR="002A5A5E" w:rsidRPr="00F9522B" w:rsidRDefault="00611CBA">
            <w:pPr>
              <w:overflowPunct w:val="0"/>
              <w:adjustRightInd w:val="0"/>
              <w:spacing w:before="40" w:after="60"/>
              <w:jc w:val="center"/>
              <w:rPr>
                <w:rFonts w:eastAsiaTheme="minorEastAsia"/>
                <w:kern w:val="0"/>
                <w:szCs w:val="21"/>
              </w:rPr>
            </w:pPr>
            <w:r w:rsidRPr="00F9522B">
              <w:rPr>
                <w:rFonts w:eastAsiaTheme="minorEastAsia"/>
                <w:kern w:val="0"/>
                <w:szCs w:val="21"/>
              </w:rPr>
              <w:t>序号</w:t>
            </w:r>
          </w:p>
        </w:tc>
        <w:tc>
          <w:tcPr>
            <w:tcW w:w="993" w:type="pct"/>
            <w:vAlign w:val="center"/>
          </w:tcPr>
          <w:p w:rsidR="002A5A5E" w:rsidRPr="00F9522B" w:rsidRDefault="00611CBA">
            <w:pPr>
              <w:overflowPunct w:val="0"/>
              <w:adjustRightInd w:val="0"/>
              <w:spacing w:before="40" w:after="60"/>
              <w:jc w:val="center"/>
              <w:rPr>
                <w:rFonts w:eastAsiaTheme="minorEastAsia"/>
                <w:kern w:val="0"/>
                <w:szCs w:val="21"/>
              </w:rPr>
            </w:pPr>
            <w:r w:rsidRPr="00F9522B">
              <w:rPr>
                <w:rFonts w:eastAsiaTheme="minorEastAsia"/>
                <w:kern w:val="0"/>
                <w:szCs w:val="21"/>
              </w:rPr>
              <w:t>项目名称</w:t>
            </w:r>
          </w:p>
        </w:tc>
        <w:tc>
          <w:tcPr>
            <w:tcW w:w="804" w:type="pct"/>
          </w:tcPr>
          <w:p w:rsidR="002A5A5E" w:rsidRPr="00F9522B" w:rsidRDefault="00611CBA">
            <w:pPr>
              <w:overflowPunct w:val="0"/>
              <w:adjustRightInd w:val="0"/>
              <w:spacing w:before="40" w:after="60"/>
              <w:jc w:val="center"/>
              <w:rPr>
                <w:rFonts w:eastAsiaTheme="minorEastAsia"/>
                <w:kern w:val="0"/>
                <w:szCs w:val="21"/>
              </w:rPr>
            </w:pPr>
            <w:r w:rsidRPr="00F9522B">
              <w:rPr>
                <w:rFonts w:eastAsiaTheme="minorEastAsia"/>
                <w:kern w:val="0"/>
                <w:szCs w:val="21"/>
              </w:rPr>
              <w:t>单位</w:t>
            </w:r>
          </w:p>
        </w:tc>
        <w:tc>
          <w:tcPr>
            <w:tcW w:w="803" w:type="pct"/>
            <w:tcBorders>
              <w:right w:val="single" w:sz="4" w:space="0" w:color="auto"/>
            </w:tcBorders>
          </w:tcPr>
          <w:p w:rsidR="002A5A5E" w:rsidRPr="00F9522B" w:rsidRDefault="00611CBA">
            <w:pPr>
              <w:overflowPunct w:val="0"/>
              <w:adjustRightInd w:val="0"/>
              <w:spacing w:before="40" w:after="60"/>
              <w:jc w:val="center"/>
              <w:rPr>
                <w:rFonts w:eastAsiaTheme="minorEastAsia"/>
                <w:kern w:val="0"/>
                <w:szCs w:val="21"/>
              </w:rPr>
            </w:pPr>
            <w:r w:rsidRPr="00F9522B">
              <w:rPr>
                <w:rFonts w:eastAsiaTheme="minorEastAsia"/>
                <w:kern w:val="0"/>
                <w:szCs w:val="21"/>
              </w:rPr>
              <w:t>1#</w:t>
            </w:r>
            <w:r w:rsidRPr="00F9522B">
              <w:rPr>
                <w:rFonts w:eastAsiaTheme="minorEastAsia"/>
                <w:kern w:val="0"/>
                <w:szCs w:val="21"/>
              </w:rPr>
              <w:t>监测结果</w:t>
            </w:r>
          </w:p>
        </w:tc>
        <w:tc>
          <w:tcPr>
            <w:tcW w:w="963" w:type="pct"/>
            <w:tcBorders>
              <w:left w:val="single" w:sz="4" w:space="0" w:color="auto"/>
            </w:tcBorders>
          </w:tcPr>
          <w:p w:rsidR="002A5A5E" w:rsidRPr="00F9522B" w:rsidRDefault="00611CBA">
            <w:pPr>
              <w:overflowPunct w:val="0"/>
              <w:adjustRightInd w:val="0"/>
              <w:spacing w:before="40" w:after="60"/>
              <w:jc w:val="center"/>
              <w:rPr>
                <w:rFonts w:eastAsiaTheme="minorEastAsia"/>
                <w:kern w:val="0"/>
                <w:szCs w:val="21"/>
              </w:rPr>
            </w:pPr>
            <w:r w:rsidRPr="00F9522B">
              <w:rPr>
                <w:rFonts w:eastAsiaTheme="minorEastAsia"/>
                <w:kern w:val="0"/>
                <w:szCs w:val="21"/>
              </w:rPr>
              <w:t>2#</w:t>
            </w:r>
            <w:r w:rsidRPr="00F9522B">
              <w:rPr>
                <w:rFonts w:eastAsiaTheme="minorEastAsia"/>
                <w:kern w:val="0"/>
                <w:szCs w:val="21"/>
              </w:rPr>
              <w:t>监测结果</w:t>
            </w:r>
          </w:p>
        </w:tc>
        <w:tc>
          <w:tcPr>
            <w:tcW w:w="917" w:type="pct"/>
            <w:vAlign w:val="center"/>
          </w:tcPr>
          <w:p w:rsidR="002A5A5E" w:rsidRPr="00F9522B" w:rsidRDefault="00611CBA">
            <w:pPr>
              <w:overflowPunct w:val="0"/>
              <w:adjustRightInd w:val="0"/>
              <w:spacing w:before="40" w:after="60"/>
              <w:jc w:val="center"/>
              <w:rPr>
                <w:rFonts w:eastAsiaTheme="minorEastAsia"/>
                <w:kern w:val="0"/>
                <w:szCs w:val="21"/>
              </w:rPr>
            </w:pPr>
            <w:r w:rsidRPr="00F9522B">
              <w:rPr>
                <w:rFonts w:eastAsiaTheme="minorEastAsia"/>
                <w:kern w:val="0"/>
                <w:szCs w:val="21"/>
              </w:rPr>
              <w:t>3#</w:t>
            </w:r>
            <w:r w:rsidRPr="00F9522B">
              <w:rPr>
                <w:rFonts w:eastAsiaTheme="minorEastAsia"/>
                <w:kern w:val="0"/>
                <w:szCs w:val="21"/>
              </w:rPr>
              <w:t>监测结果</w:t>
            </w:r>
          </w:p>
        </w:tc>
      </w:tr>
      <w:tr w:rsidR="0097223F" w:rsidRPr="00F9522B">
        <w:trPr>
          <w:trHeight w:val="137"/>
          <w:jc w:val="center"/>
        </w:trPr>
        <w:tc>
          <w:tcPr>
            <w:tcW w:w="520" w:type="pct"/>
            <w:vAlign w:val="center"/>
          </w:tcPr>
          <w:p w:rsidR="0097223F" w:rsidRPr="00F9522B" w:rsidRDefault="0097223F">
            <w:pPr>
              <w:overflowPunct w:val="0"/>
              <w:adjustRightInd w:val="0"/>
              <w:jc w:val="center"/>
              <w:rPr>
                <w:rFonts w:eastAsiaTheme="minorEastAsia"/>
                <w:kern w:val="0"/>
                <w:szCs w:val="21"/>
              </w:rPr>
            </w:pPr>
            <w:r w:rsidRPr="00F9522B">
              <w:rPr>
                <w:rFonts w:eastAsiaTheme="minorEastAsia"/>
                <w:kern w:val="0"/>
                <w:szCs w:val="21"/>
              </w:rPr>
              <w:t>1</w:t>
            </w:r>
          </w:p>
        </w:tc>
        <w:tc>
          <w:tcPr>
            <w:tcW w:w="993" w:type="pct"/>
            <w:vAlign w:val="center"/>
          </w:tcPr>
          <w:p w:rsidR="0097223F" w:rsidRPr="00F9522B" w:rsidRDefault="0097223F">
            <w:pPr>
              <w:overflowPunct w:val="0"/>
              <w:adjustRightInd w:val="0"/>
              <w:jc w:val="center"/>
              <w:rPr>
                <w:rFonts w:eastAsiaTheme="minorEastAsia"/>
                <w:kern w:val="0"/>
                <w:szCs w:val="21"/>
              </w:rPr>
            </w:pPr>
            <w:r w:rsidRPr="00F9522B">
              <w:rPr>
                <w:rFonts w:eastAsiaTheme="minorEastAsia"/>
                <w:kern w:val="0"/>
                <w:szCs w:val="21"/>
              </w:rPr>
              <w:t>pH</w:t>
            </w:r>
          </w:p>
        </w:tc>
        <w:tc>
          <w:tcPr>
            <w:tcW w:w="804" w:type="pct"/>
            <w:vAlign w:val="center"/>
          </w:tcPr>
          <w:p w:rsidR="0097223F" w:rsidRPr="00F9522B" w:rsidRDefault="0097223F">
            <w:pPr>
              <w:adjustRightInd w:val="0"/>
              <w:snapToGrid w:val="0"/>
              <w:jc w:val="center"/>
              <w:rPr>
                <w:rFonts w:eastAsiaTheme="minorEastAsia"/>
                <w:kern w:val="0"/>
                <w:szCs w:val="21"/>
              </w:rPr>
            </w:pPr>
            <w:r w:rsidRPr="00F9522B">
              <w:rPr>
                <w:rFonts w:eastAsiaTheme="minorEastAsia"/>
                <w:spacing w:val="-4"/>
                <w:kern w:val="0"/>
                <w:szCs w:val="21"/>
              </w:rPr>
              <w:t>无量纲</w:t>
            </w:r>
          </w:p>
        </w:tc>
        <w:tc>
          <w:tcPr>
            <w:tcW w:w="803" w:type="pct"/>
            <w:tcBorders>
              <w:right w:val="single" w:sz="4" w:space="0" w:color="auto"/>
            </w:tcBorders>
            <w:vAlign w:val="center"/>
          </w:tcPr>
          <w:p w:rsidR="0097223F" w:rsidRPr="00F9522B" w:rsidRDefault="0097223F">
            <w:pPr>
              <w:adjustRightInd w:val="0"/>
              <w:snapToGrid w:val="0"/>
              <w:jc w:val="center"/>
              <w:rPr>
                <w:bCs/>
                <w:szCs w:val="21"/>
              </w:rPr>
            </w:pPr>
            <w:r w:rsidRPr="00F9522B">
              <w:rPr>
                <w:bCs/>
              </w:rPr>
              <w:t>6.48</w:t>
            </w:r>
          </w:p>
        </w:tc>
        <w:tc>
          <w:tcPr>
            <w:tcW w:w="963" w:type="pct"/>
            <w:tcBorders>
              <w:left w:val="single" w:sz="4" w:space="0" w:color="auto"/>
            </w:tcBorders>
            <w:vAlign w:val="center"/>
          </w:tcPr>
          <w:p w:rsidR="0097223F" w:rsidRPr="00F9522B" w:rsidRDefault="0097223F">
            <w:pPr>
              <w:adjustRightInd w:val="0"/>
              <w:snapToGrid w:val="0"/>
              <w:jc w:val="center"/>
              <w:rPr>
                <w:bCs/>
                <w:szCs w:val="21"/>
              </w:rPr>
            </w:pPr>
            <w:r w:rsidRPr="00F9522B">
              <w:rPr>
                <w:bCs/>
              </w:rPr>
              <w:t>6.17</w:t>
            </w:r>
          </w:p>
        </w:tc>
        <w:tc>
          <w:tcPr>
            <w:tcW w:w="917" w:type="pct"/>
            <w:vAlign w:val="center"/>
          </w:tcPr>
          <w:p w:rsidR="0097223F" w:rsidRPr="00F9522B" w:rsidRDefault="0097223F">
            <w:pPr>
              <w:adjustRightInd w:val="0"/>
              <w:snapToGrid w:val="0"/>
              <w:jc w:val="center"/>
              <w:rPr>
                <w:bCs/>
                <w:szCs w:val="21"/>
              </w:rPr>
            </w:pPr>
            <w:r w:rsidRPr="00F9522B">
              <w:rPr>
                <w:bCs/>
              </w:rPr>
              <w:t>7.31</w:t>
            </w:r>
          </w:p>
        </w:tc>
      </w:tr>
      <w:tr w:rsidR="0097223F" w:rsidRPr="00F9522B">
        <w:trPr>
          <w:trHeight w:val="137"/>
          <w:jc w:val="center"/>
        </w:trPr>
        <w:tc>
          <w:tcPr>
            <w:tcW w:w="520" w:type="pct"/>
            <w:vAlign w:val="center"/>
          </w:tcPr>
          <w:p w:rsidR="0097223F" w:rsidRPr="00F9522B" w:rsidRDefault="0097223F">
            <w:pPr>
              <w:overflowPunct w:val="0"/>
              <w:adjustRightInd w:val="0"/>
              <w:jc w:val="center"/>
              <w:rPr>
                <w:rFonts w:eastAsiaTheme="minorEastAsia"/>
                <w:kern w:val="0"/>
                <w:szCs w:val="21"/>
              </w:rPr>
            </w:pPr>
            <w:r w:rsidRPr="00F9522B">
              <w:rPr>
                <w:rFonts w:eastAsiaTheme="minorEastAsia"/>
                <w:kern w:val="0"/>
                <w:szCs w:val="21"/>
              </w:rPr>
              <w:t>2</w:t>
            </w:r>
          </w:p>
        </w:tc>
        <w:tc>
          <w:tcPr>
            <w:tcW w:w="993" w:type="pct"/>
            <w:vAlign w:val="center"/>
          </w:tcPr>
          <w:p w:rsidR="0097223F" w:rsidRPr="00F9522B" w:rsidRDefault="0097223F">
            <w:pPr>
              <w:overflowPunct w:val="0"/>
              <w:adjustRightInd w:val="0"/>
              <w:jc w:val="center"/>
              <w:rPr>
                <w:rFonts w:eastAsiaTheme="minorEastAsia"/>
                <w:kern w:val="0"/>
                <w:szCs w:val="21"/>
              </w:rPr>
            </w:pPr>
            <w:r w:rsidRPr="00F9522B">
              <w:rPr>
                <w:rFonts w:eastAsiaTheme="minorEastAsia"/>
                <w:kern w:val="0"/>
                <w:szCs w:val="21"/>
              </w:rPr>
              <w:t>含盐量</w:t>
            </w:r>
          </w:p>
        </w:tc>
        <w:tc>
          <w:tcPr>
            <w:tcW w:w="804" w:type="pct"/>
            <w:vAlign w:val="center"/>
          </w:tcPr>
          <w:p w:rsidR="0097223F" w:rsidRPr="00F9522B" w:rsidRDefault="0097223F">
            <w:pPr>
              <w:adjustRightInd w:val="0"/>
              <w:snapToGrid w:val="0"/>
              <w:jc w:val="center"/>
              <w:rPr>
                <w:rFonts w:eastAsiaTheme="minorEastAsia"/>
                <w:kern w:val="0"/>
                <w:szCs w:val="21"/>
              </w:rPr>
            </w:pPr>
            <w:r w:rsidRPr="00F9522B">
              <w:rPr>
                <w:rFonts w:eastAsiaTheme="minorEastAsia"/>
                <w:spacing w:val="-4"/>
                <w:kern w:val="0"/>
                <w:szCs w:val="21"/>
              </w:rPr>
              <w:t>mg/kg</w:t>
            </w:r>
          </w:p>
        </w:tc>
        <w:tc>
          <w:tcPr>
            <w:tcW w:w="803" w:type="pct"/>
            <w:tcBorders>
              <w:right w:val="single" w:sz="4" w:space="0" w:color="auto"/>
            </w:tcBorders>
            <w:vAlign w:val="center"/>
          </w:tcPr>
          <w:p w:rsidR="0097223F" w:rsidRPr="00F9522B" w:rsidRDefault="0097223F">
            <w:pPr>
              <w:adjustRightInd w:val="0"/>
              <w:snapToGrid w:val="0"/>
              <w:jc w:val="center"/>
              <w:rPr>
                <w:bCs/>
                <w:szCs w:val="21"/>
              </w:rPr>
            </w:pPr>
            <w:r w:rsidRPr="00F9522B">
              <w:rPr>
                <w:bCs/>
              </w:rPr>
              <w:t>0.7</w:t>
            </w:r>
          </w:p>
        </w:tc>
        <w:tc>
          <w:tcPr>
            <w:tcW w:w="963" w:type="pct"/>
            <w:tcBorders>
              <w:left w:val="single" w:sz="4" w:space="0" w:color="auto"/>
            </w:tcBorders>
            <w:vAlign w:val="center"/>
          </w:tcPr>
          <w:p w:rsidR="0097223F" w:rsidRPr="00F9522B" w:rsidRDefault="0097223F">
            <w:pPr>
              <w:adjustRightInd w:val="0"/>
              <w:snapToGrid w:val="0"/>
              <w:jc w:val="center"/>
              <w:rPr>
                <w:bCs/>
                <w:szCs w:val="21"/>
              </w:rPr>
            </w:pPr>
            <w:r w:rsidRPr="00F9522B">
              <w:rPr>
                <w:bCs/>
              </w:rPr>
              <w:t>0.9</w:t>
            </w:r>
          </w:p>
        </w:tc>
        <w:tc>
          <w:tcPr>
            <w:tcW w:w="917" w:type="pct"/>
            <w:vAlign w:val="center"/>
          </w:tcPr>
          <w:p w:rsidR="0097223F" w:rsidRPr="00F9522B" w:rsidRDefault="0097223F">
            <w:pPr>
              <w:adjustRightInd w:val="0"/>
              <w:snapToGrid w:val="0"/>
              <w:jc w:val="center"/>
              <w:rPr>
                <w:bCs/>
                <w:szCs w:val="21"/>
              </w:rPr>
            </w:pPr>
            <w:r w:rsidRPr="00F9522B">
              <w:rPr>
                <w:bCs/>
              </w:rPr>
              <w:t>0.4</w:t>
            </w:r>
          </w:p>
        </w:tc>
      </w:tr>
    </w:tbl>
    <w:p w:rsidR="002A5A5E" w:rsidRPr="00F9522B" w:rsidRDefault="00611CBA">
      <w:pPr>
        <w:autoSpaceDE w:val="0"/>
        <w:autoSpaceDN w:val="0"/>
        <w:spacing w:before="100" w:beforeAutospacing="1" w:after="100" w:afterAutospacing="1"/>
        <w:outlineLvl w:val="3"/>
        <w:rPr>
          <w:rFonts w:eastAsiaTheme="minorEastAsia"/>
          <w:b/>
          <w:sz w:val="24"/>
        </w:rPr>
      </w:pPr>
      <w:r w:rsidRPr="00F9522B">
        <w:rPr>
          <w:rFonts w:eastAsiaTheme="minorEastAsia"/>
          <w:b/>
          <w:sz w:val="24"/>
        </w:rPr>
        <w:t>4.2.5.2</w:t>
      </w:r>
      <w:r w:rsidRPr="00F9522B">
        <w:rPr>
          <w:rFonts w:eastAsiaTheme="minorEastAsia"/>
          <w:b/>
          <w:sz w:val="24"/>
        </w:rPr>
        <w:t>土壤质量现状评价</w:t>
      </w:r>
    </w:p>
    <w:p w:rsidR="002A5A5E" w:rsidRPr="00F9522B" w:rsidRDefault="00611CBA">
      <w:pPr>
        <w:spacing w:line="360" w:lineRule="auto"/>
        <w:ind w:firstLine="482"/>
        <w:rPr>
          <w:rFonts w:eastAsiaTheme="minorEastAsia"/>
          <w:sz w:val="24"/>
        </w:rPr>
      </w:pPr>
      <w:r w:rsidRPr="00F9522B">
        <w:rPr>
          <w:rFonts w:eastAsiaTheme="minorEastAsia"/>
          <w:sz w:val="24"/>
          <w:szCs w:val="21"/>
        </w:rPr>
        <w:lastRenderedPageBreak/>
        <w:t>根据土壤现状监测结果，</w:t>
      </w:r>
      <w:r w:rsidRPr="00F9522B">
        <w:rPr>
          <w:rFonts w:eastAsiaTheme="minorEastAsia"/>
          <w:sz w:val="24"/>
          <w:szCs w:val="21"/>
        </w:rPr>
        <w:t>3</w:t>
      </w:r>
      <w:r w:rsidRPr="00F9522B">
        <w:rPr>
          <w:rFonts w:eastAsiaTheme="minorEastAsia"/>
          <w:sz w:val="24"/>
          <w:szCs w:val="21"/>
        </w:rPr>
        <w:t>个监测点</w:t>
      </w:r>
      <w:r w:rsidRPr="00F9522B">
        <w:rPr>
          <w:rFonts w:eastAsiaTheme="minorEastAsia"/>
          <w:sz w:val="24"/>
          <w:szCs w:val="21"/>
        </w:rPr>
        <w:t>pH</w:t>
      </w:r>
      <w:r w:rsidRPr="00F9522B">
        <w:rPr>
          <w:rFonts w:eastAsiaTheme="minorEastAsia"/>
          <w:sz w:val="24"/>
          <w:szCs w:val="21"/>
        </w:rPr>
        <w:t>值在</w:t>
      </w:r>
      <w:r w:rsidRPr="00F9522B">
        <w:rPr>
          <w:rFonts w:eastAsiaTheme="minorEastAsia"/>
          <w:sz w:val="24"/>
          <w:szCs w:val="21"/>
        </w:rPr>
        <w:t>6.</w:t>
      </w:r>
      <w:r w:rsidR="0097223F" w:rsidRPr="00F9522B">
        <w:rPr>
          <w:rFonts w:eastAsiaTheme="minorEastAsia"/>
          <w:sz w:val="24"/>
          <w:szCs w:val="21"/>
        </w:rPr>
        <w:t>17-7.31</w:t>
      </w:r>
      <w:r w:rsidRPr="00F9522B">
        <w:rPr>
          <w:rFonts w:eastAsiaTheme="minorEastAsia"/>
          <w:sz w:val="24"/>
          <w:szCs w:val="21"/>
        </w:rPr>
        <w:t>之间，含盐量为</w:t>
      </w:r>
      <w:r w:rsidRPr="00F9522B">
        <w:rPr>
          <w:rFonts w:eastAsiaTheme="minorEastAsia"/>
          <w:sz w:val="24"/>
          <w:szCs w:val="21"/>
        </w:rPr>
        <w:t>0.</w:t>
      </w:r>
      <w:r w:rsidR="0097223F" w:rsidRPr="00F9522B">
        <w:rPr>
          <w:rFonts w:eastAsiaTheme="minorEastAsia"/>
          <w:sz w:val="24"/>
          <w:szCs w:val="21"/>
        </w:rPr>
        <w:t>4-0.9</w:t>
      </w:r>
      <w:r w:rsidRPr="00F9522B">
        <w:rPr>
          <w:rFonts w:eastAsiaTheme="minorEastAsia"/>
          <w:sz w:val="24"/>
          <w:szCs w:val="21"/>
        </w:rPr>
        <w:t>g/kg</w:t>
      </w:r>
      <w:r w:rsidRPr="00F9522B">
        <w:rPr>
          <w:rFonts w:eastAsiaTheme="minorEastAsia"/>
          <w:sz w:val="24"/>
        </w:rPr>
        <w:t>。均</w:t>
      </w:r>
      <w:r w:rsidRPr="00F9522B">
        <w:rPr>
          <w:rFonts w:eastAsiaTheme="minorEastAsia"/>
          <w:sz w:val="24"/>
          <w:szCs w:val="21"/>
        </w:rPr>
        <w:t>满足《土壤环境质量</w:t>
      </w:r>
      <w:r w:rsidRPr="00F9522B">
        <w:rPr>
          <w:rFonts w:eastAsiaTheme="minorEastAsia"/>
          <w:sz w:val="24"/>
          <w:szCs w:val="21"/>
        </w:rPr>
        <w:t xml:space="preserve"> </w:t>
      </w:r>
      <w:r w:rsidRPr="00F9522B">
        <w:rPr>
          <w:rFonts w:eastAsiaTheme="minorEastAsia"/>
          <w:sz w:val="24"/>
          <w:szCs w:val="21"/>
        </w:rPr>
        <w:t>农用地土壤污染风险管控标准（试行）》（</w:t>
      </w:r>
      <w:r w:rsidRPr="00F9522B">
        <w:rPr>
          <w:rFonts w:eastAsiaTheme="minorEastAsia"/>
          <w:sz w:val="24"/>
          <w:szCs w:val="21"/>
        </w:rPr>
        <w:t>GB15618-2018</w:t>
      </w:r>
      <w:r w:rsidRPr="00F9522B">
        <w:rPr>
          <w:rFonts w:eastAsiaTheme="minorEastAsia"/>
          <w:sz w:val="24"/>
          <w:szCs w:val="21"/>
        </w:rPr>
        <w:t>）表</w:t>
      </w:r>
      <w:r w:rsidRPr="00F9522B">
        <w:rPr>
          <w:rFonts w:eastAsiaTheme="minorEastAsia"/>
          <w:sz w:val="24"/>
          <w:szCs w:val="21"/>
        </w:rPr>
        <w:t>1</w:t>
      </w:r>
      <w:r w:rsidRPr="00F9522B">
        <w:rPr>
          <w:rFonts w:eastAsiaTheme="minorEastAsia"/>
          <w:sz w:val="24"/>
          <w:szCs w:val="21"/>
        </w:rPr>
        <w:t>中标准限值。</w:t>
      </w:r>
    </w:p>
    <w:p w:rsidR="002A5A5E" w:rsidRPr="00F9522B" w:rsidRDefault="00611CBA">
      <w:pPr>
        <w:keepNext/>
        <w:keepLines/>
        <w:spacing w:before="100" w:beforeAutospacing="1" w:after="100" w:afterAutospacing="1"/>
        <w:outlineLvl w:val="2"/>
        <w:rPr>
          <w:rFonts w:eastAsiaTheme="minorEastAsia"/>
          <w:b/>
          <w:sz w:val="28"/>
          <w:szCs w:val="28"/>
        </w:rPr>
      </w:pPr>
      <w:bookmarkStart w:id="113" w:name="_Toc11758519"/>
      <w:r w:rsidRPr="00F9522B">
        <w:rPr>
          <w:rFonts w:eastAsiaTheme="minorEastAsia"/>
          <w:b/>
          <w:sz w:val="28"/>
          <w:szCs w:val="28"/>
        </w:rPr>
        <w:t>4.2.6</w:t>
      </w:r>
      <w:r w:rsidRPr="00F9522B">
        <w:rPr>
          <w:rFonts w:eastAsiaTheme="minorEastAsia"/>
          <w:b/>
          <w:bCs/>
          <w:sz w:val="28"/>
          <w:szCs w:val="28"/>
        </w:rPr>
        <w:t>陆生生态调查</w:t>
      </w:r>
      <w:bookmarkEnd w:id="113"/>
    </w:p>
    <w:p w:rsidR="002A5A5E" w:rsidRPr="00F9522B" w:rsidRDefault="00250C31">
      <w:pPr>
        <w:spacing w:line="360" w:lineRule="auto"/>
        <w:ind w:firstLineChars="200" w:firstLine="480"/>
        <w:rPr>
          <w:rFonts w:eastAsiaTheme="minorEastAsia"/>
          <w:sz w:val="24"/>
          <w:lang w:bidi="en-US"/>
        </w:rPr>
      </w:pPr>
      <w:r w:rsidRPr="00F9522B">
        <w:rPr>
          <w:rFonts w:eastAsiaTheme="minorEastAsia"/>
          <w:sz w:val="24"/>
          <w:lang w:bidi="en-US"/>
        </w:rPr>
        <w:t>（</w:t>
      </w:r>
      <w:r w:rsidRPr="00F9522B">
        <w:rPr>
          <w:rFonts w:eastAsiaTheme="minorEastAsia"/>
          <w:sz w:val="24"/>
          <w:lang w:bidi="en-US"/>
        </w:rPr>
        <w:t>1</w:t>
      </w:r>
      <w:r w:rsidRPr="00F9522B">
        <w:rPr>
          <w:rFonts w:eastAsiaTheme="minorEastAsia"/>
          <w:sz w:val="24"/>
          <w:lang w:bidi="en-US"/>
        </w:rPr>
        <w:t>）</w:t>
      </w:r>
      <w:r w:rsidR="00611CBA" w:rsidRPr="00F9522B">
        <w:rPr>
          <w:rFonts w:eastAsiaTheme="minorEastAsia"/>
          <w:sz w:val="24"/>
          <w:lang w:bidi="en-US"/>
        </w:rPr>
        <w:t>调查范围</w:t>
      </w:r>
    </w:p>
    <w:p w:rsidR="002A5A5E" w:rsidRPr="00F9522B" w:rsidRDefault="00611CBA">
      <w:pPr>
        <w:spacing w:line="360" w:lineRule="auto"/>
        <w:ind w:firstLineChars="200" w:firstLine="480"/>
        <w:contextualSpacing/>
        <w:rPr>
          <w:rFonts w:eastAsiaTheme="minorEastAsia"/>
          <w:snapToGrid w:val="0"/>
          <w:sz w:val="24"/>
          <w:szCs w:val="20"/>
        </w:rPr>
      </w:pPr>
      <w:r w:rsidRPr="00F9522B">
        <w:rPr>
          <w:rFonts w:eastAsiaTheme="minorEastAsia"/>
          <w:sz w:val="24"/>
          <w:lang w:bidi="en-US"/>
        </w:rPr>
        <w:t>本项目陆生生态影响评价范围为项目区外延</w:t>
      </w:r>
      <w:r w:rsidRPr="00F9522B">
        <w:rPr>
          <w:rFonts w:eastAsiaTheme="minorEastAsia"/>
          <w:sz w:val="24"/>
          <w:lang w:bidi="en-US"/>
        </w:rPr>
        <w:t>300m</w:t>
      </w:r>
      <w:r w:rsidRPr="00F9522B">
        <w:rPr>
          <w:rFonts w:eastAsiaTheme="minorEastAsia"/>
          <w:sz w:val="24"/>
          <w:lang w:bidi="en-US"/>
        </w:rPr>
        <w:t>。</w:t>
      </w:r>
    </w:p>
    <w:p w:rsidR="002A5A5E" w:rsidRPr="00F9522B" w:rsidRDefault="00283C49">
      <w:pPr>
        <w:spacing w:line="360" w:lineRule="auto"/>
        <w:ind w:firstLineChars="200" w:firstLine="480"/>
        <w:contextualSpacing/>
        <w:rPr>
          <w:rFonts w:eastAsiaTheme="minorEastAsia"/>
          <w:kern w:val="0"/>
          <w:sz w:val="24"/>
        </w:rPr>
      </w:pPr>
      <w:r w:rsidRPr="00F9522B">
        <w:rPr>
          <w:rFonts w:eastAsiaTheme="minorEastAsia"/>
          <w:kern w:val="0"/>
          <w:sz w:val="24"/>
        </w:rPr>
        <w:t>松花江：公家沟退水口</w:t>
      </w:r>
      <w:r w:rsidRPr="00F9522B">
        <w:rPr>
          <w:rFonts w:eastAsiaTheme="minorEastAsia"/>
          <w:snapToGrid w:val="0"/>
          <w:kern w:val="0"/>
          <w:sz w:val="24"/>
        </w:rPr>
        <w:t>上游</w:t>
      </w:r>
      <w:r w:rsidRPr="00F9522B">
        <w:rPr>
          <w:rFonts w:eastAsiaTheme="minorEastAsia"/>
          <w:kern w:val="0"/>
          <w:sz w:val="24"/>
        </w:rPr>
        <w:t>500m</w:t>
      </w:r>
      <w:r w:rsidRPr="00F9522B">
        <w:rPr>
          <w:rFonts w:eastAsiaTheme="minorEastAsia"/>
          <w:kern w:val="0"/>
          <w:sz w:val="24"/>
        </w:rPr>
        <w:t>至入松花江口下游</w:t>
      </w:r>
      <w:r w:rsidRPr="00F9522B">
        <w:rPr>
          <w:rFonts w:eastAsiaTheme="minorEastAsia"/>
          <w:kern w:val="0"/>
          <w:sz w:val="24"/>
        </w:rPr>
        <w:t>1000m</w:t>
      </w:r>
      <w:r w:rsidRPr="00F9522B">
        <w:rPr>
          <w:rFonts w:eastAsiaTheme="minorEastAsia"/>
          <w:kern w:val="0"/>
          <w:sz w:val="24"/>
        </w:rPr>
        <w:t>。评价河段长度为</w:t>
      </w:r>
      <w:r w:rsidRPr="00F9522B">
        <w:rPr>
          <w:rFonts w:eastAsiaTheme="minorEastAsia"/>
          <w:kern w:val="0"/>
          <w:sz w:val="24"/>
        </w:rPr>
        <w:t>26.3km</w:t>
      </w:r>
      <w:r w:rsidR="00611CBA" w:rsidRPr="00F9522B">
        <w:rPr>
          <w:rFonts w:eastAsiaTheme="minorEastAsia"/>
          <w:kern w:val="0"/>
          <w:sz w:val="24"/>
        </w:rPr>
        <w:t>；</w:t>
      </w:r>
    </w:p>
    <w:p w:rsidR="002A5A5E" w:rsidRPr="00F9522B" w:rsidRDefault="00283C49">
      <w:pPr>
        <w:spacing w:line="360" w:lineRule="auto"/>
        <w:ind w:firstLineChars="200" w:firstLine="480"/>
        <w:contextualSpacing/>
        <w:rPr>
          <w:rFonts w:eastAsiaTheme="minorEastAsia"/>
          <w:snapToGrid w:val="0"/>
          <w:kern w:val="0"/>
          <w:sz w:val="24"/>
        </w:rPr>
      </w:pPr>
      <w:r w:rsidRPr="00F9522B">
        <w:rPr>
          <w:rFonts w:eastAsiaTheme="minorEastAsia"/>
          <w:kern w:val="0"/>
          <w:sz w:val="24"/>
        </w:rPr>
        <w:t>漂河：漂河退水口上游</w:t>
      </w:r>
      <w:r w:rsidRPr="00F9522B">
        <w:rPr>
          <w:rFonts w:eastAsiaTheme="minorEastAsia"/>
          <w:kern w:val="0"/>
          <w:sz w:val="24"/>
        </w:rPr>
        <w:t>500m</w:t>
      </w:r>
      <w:r w:rsidRPr="00F9522B">
        <w:rPr>
          <w:rFonts w:eastAsiaTheme="minorEastAsia"/>
          <w:kern w:val="0"/>
          <w:sz w:val="24"/>
        </w:rPr>
        <w:t>至退水口下游</w:t>
      </w:r>
      <w:r w:rsidRPr="00F9522B">
        <w:rPr>
          <w:rFonts w:eastAsiaTheme="minorEastAsia"/>
          <w:kern w:val="0"/>
          <w:sz w:val="24"/>
        </w:rPr>
        <w:t>1000m</w:t>
      </w:r>
      <w:r w:rsidRPr="00F9522B">
        <w:rPr>
          <w:rFonts w:eastAsiaTheme="minorEastAsia"/>
          <w:kern w:val="0"/>
          <w:sz w:val="24"/>
        </w:rPr>
        <w:t>。评价河段长度为</w:t>
      </w:r>
      <w:r w:rsidRPr="00F9522B">
        <w:rPr>
          <w:rFonts w:eastAsiaTheme="minorEastAsia"/>
          <w:kern w:val="0"/>
          <w:sz w:val="24"/>
        </w:rPr>
        <w:t>11.8km</w:t>
      </w:r>
      <w:r w:rsidR="00611CBA" w:rsidRPr="00F9522B">
        <w:rPr>
          <w:rFonts w:eastAsiaTheme="minorEastAsia"/>
          <w:kern w:val="0"/>
          <w:sz w:val="24"/>
        </w:rPr>
        <w:t>。</w:t>
      </w:r>
    </w:p>
    <w:p w:rsidR="002A5A5E" w:rsidRPr="00F9522B" w:rsidRDefault="00250C31">
      <w:pPr>
        <w:spacing w:line="360" w:lineRule="auto"/>
        <w:ind w:firstLineChars="200" w:firstLine="480"/>
        <w:rPr>
          <w:rFonts w:eastAsiaTheme="minorEastAsia"/>
          <w:sz w:val="24"/>
          <w:lang w:bidi="en-US"/>
        </w:rPr>
      </w:pPr>
      <w:r w:rsidRPr="00F9522B">
        <w:rPr>
          <w:rFonts w:eastAsiaTheme="minorEastAsia"/>
          <w:sz w:val="24"/>
          <w:lang w:bidi="en-US"/>
        </w:rPr>
        <w:t>（</w:t>
      </w:r>
      <w:r w:rsidRPr="00F9522B">
        <w:rPr>
          <w:rFonts w:eastAsiaTheme="minorEastAsia"/>
          <w:sz w:val="24"/>
          <w:lang w:bidi="en-US"/>
        </w:rPr>
        <w:t>2</w:t>
      </w:r>
      <w:r w:rsidRPr="00F9522B">
        <w:rPr>
          <w:rFonts w:eastAsiaTheme="minorEastAsia"/>
          <w:sz w:val="24"/>
          <w:lang w:bidi="en-US"/>
        </w:rPr>
        <w:t>）</w:t>
      </w:r>
      <w:r w:rsidR="00611CBA" w:rsidRPr="00F9522B">
        <w:rPr>
          <w:rFonts w:eastAsiaTheme="minorEastAsia"/>
          <w:sz w:val="24"/>
          <w:lang w:bidi="en-US"/>
        </w:rPr>
        <w:t>现状调查方法</w:t>
      </w:r>
    </w:p>
    <w:p w:rsidR="002A5A5E" w:rsidRPr="00F9522B" w:rsidRDefault="00611CBA">
      <w:pPr>
        <w:spacing w:line="360" w:lineRule="auto"/>
        <w:ind w:firstLineChars="200" w:firstLine="480"/>
        <w:rPr>
          <w:rFonts w:eastAsiaTheme="minorEastAsia"/>
          <w:sz w:val="24"/>
          <w:lang w:bidi="en-US"/>
        </w:rPr>
      </w:pPr>
      <w:r w:rsidRPr="00F9522B">
        <w:rPr>
          <w:rFonts w:eastAsiaTheme="minorEastAsia"/>
          <w:sz w:val="24"/>
          <w:lang w:bidi="en-US"/>
        </w:rPr>
        <w:t>本次调查方法采用收集资料法及现场调查法。</w:t>
      </w:r>
    </w:p>
    <w:p w:rsidR="002A5A5E" w:rsidRPr="00F9522B" w:rsidRDefault="00250C31">
      <w:pPr>
        <w:spacing w:line="360" w:lineRule="auto"/>
        <w:ind w:firstLineChars="200" w:firstLine="480"/>
        <w:rPr>
          <w:rFonts w:eastAsiaTheme="minorEastAsia"/>
          <w:sz w:val="24"/>
          <w:lang w:bidi="en-US"/>
        </w:rPr>
      </w:pPr>
      <w:r w:rsidRPr="00F9522B">
        <w:rPr>
          <w:rFonts w:eastAsiaTheme="minorEastAsia"/>
          <w:sz w:val="24"/>
          <w:lang w:bidi="en-US"/>
        </w:rPr>
        <w:t>（</w:t>
      </w:r>
      <w:r w:rsidRPr="00F9522B">
        <w:rPr>
          <w:rFonts w:eastAsiaTheme="minorEastAsia"/>
          <w:sz w:val="24"/>
          <w:lang w:bidi="en-US"/>
        </w:rPr>
        <w:t>3</w:t>
      </w:r>
      <w:r w:rsidRPr="00F9522B">
        <w:rPr>
          <w:rFonts w:eastAsiaTheme="minorEastAsia"/>
          <w:sz w:val="24"/>
          <w:lang w:bidi="en-US"/>
        </w:rPr>
        <w:t>）</w:t>
      </w:r>
      <w:r w:rsidR="00611CBA" w:rsidRPr="00F9522B">
        <w:rPr>
          <w:rFonts w:eastAsiaTheme="minorEastAsia"/>
          <w:sz w:val="24"/>
          <w:lang w:bidi="en-US"/>
        </w:rPr>
        <w:t>现状调查内容</w:t>
      </w:r>
    </w:p>
    <w:p w:rsidR="002A5A5E" w:rsidRPr="00F9522B" w:rsidRDefault="005273A1">
      <w:pPr>
        <w:pStyle w:val="2fa"/>
        <w:ind w:firstLine="480"/>
        <w:contextualSpacing/>
        <w:rPr>
          <w:rFonts w:ascii="Times New Roman" w:hAnsi="Times New Roman" w:cs="Times New Roman"/>
          <w:szCs w:val="24"/>
          <w:lang w:bidi="en-US"/>
        </w:rPr>
      </w:pPr>
      <w:r w:rsidRPr="00F9522B">
        <w:rPr>
          <w:rFonts w:ascii="Times New Roman" w:hAnsi="Times New Roman" w:cs="Times New Roman"/>
          <w:szCs w:val="24"/>
          <w:lang w:bidi="en-US"/>
        </w:rPr>
        <w:fldChar w:fldCharType="begin"/>
      </w:r>
      <w:r w:rsidR="00250C31" w:rsidRPr="00F9522B">
        <w:rPr>
          <w:rFonts w:ascii="Times New Roman" w:hAnsi="Times New Roman" w:cs="Times New Roman"/>
          <w:szCs w:val="24"/>
          <w:lang w:bidi="en-US"/>
        </w:rPr>
        <w:instrText xml:space="preserve"> = 1 \* GB3 </w:instrText>
      </w:r>
      <w:r w:rsidRPr="00F9522B">
        <w:rPr>
          <w:rFonts w:ascii="Times New Roman" w:hAnsi="Times New Roman" w:cs="Times New Roman"/>
          <w:szCs w:val="24"/>
          <w:lang w:bidi="en-US"/>
        </w:rPr>
        <w:fldChar w:fldCharType="separate"/>
      </w:r>
      <w:r w:rsidR="00250C31" w:rsidRPr="00F9522B">
        <w:rPr>
          <w:rFonts w:eastAsia="宋体" w:cs="宋体" w:hint="eastAsia"/>
          <w:noProof/>
          <w:szCs w:val="24"/>
          <w:lang w:bidi="en-US"/>
        </w:rPr>
        <w:t>①</w:t>
      </w:r>
      <w:r w:rsidRPr="00F9522B">
        <w:rPr>
          <w:rFonts w:ascii="Times New Roman" w:hAnsi="Times New Roman" w:cs="Times New Roman"/>
          <w:szCs w:val="24"/>
          <w:lang w:bidi="en-US"/>
        </w:rPr>
        <w:fldChar w:fldCharType="end"/>
      </w:r>
      <w:r w:rsidR="00611CBA" w:rsidRPr="00F9522B">
        <w:rPr>
          <w:rFonts w:ascii="Times New Roman" w:hAnsi="Times New Roman" w:cs="Times New Roman"/>
          <w:szCs w:val="24"/>
          <w:lang w:bidi="en-US"/>
        </w:rPr>
        <w:t>土地利用现状</w:t>
      </w:r>
    </w:p>
    <w:p w:rsidR="002A5A5E" w:rsidRPr="00F9522B" w:rsidRDefault="00611CBA">
      <w:pPr>
        <w:pStyle w:val="2fa"/>
        <w:ind w:firstLine="480"/>
        <w:contextualSpacing/>
        <w:rPr>
          <w:rFonts w:ascii="Times New Roman" w:hAnsi="Times New Roman" w:cs="Times New Roman"/>
          <w:bCs/>
          <w:snapToGrid w:val="0"/>
          <w:kern w:val="0"/>
        </w:rPr>
      </w:pPr>
      <w:r w:rsidRPr="00F9522B">
        <w:rPr>
          <w:rFonts w:ascii="Times New Roman" w:hAnsi="Times New Roman" w:cs="Times New Roman"/>
          <w:bCs/>
          <w:snapToGrid w:val="0"/>
          <w:kern w:val="0"/>
        </w:rPr>
        <w:t>土地利用类型利用野外定点调查与第三次全国国土调查数据，参照《土地利用现状分类》（</w:t>
      </w:r>
      <w:r w:rsidRPr="00F9522B">
        <w:rPr>
          <w:rFonts w:ascii="Times New Roman" w:hAnsi="Times New Roman" w:cs="Times New Roman"/>
          <w:bCs/>
          <w:snapToGrid w:val="0"/>
          <w:kern w:val="0"/>
        </w:rPr>
        <w:t>GB/T 21010-2017</w:t>
      </w:r>
      <w:r w:rsidRPr="00F9522B">
        <w:rPr>
          <w:rFonts w:ascii="Times New Roman" w:hAnsi="Times New Roman" w:cs="Times New Roman"/>
          <w:bCs/>
          <w:snapToGrid w:val="0"/>
          <w:kern w:val="0"/>
        </w:rPr>
        <w:t>）二级分类，运用</w:t>
      </w:r>
      <w:r w:rsidRPr="00F9522B">
        <w:rPr>
          <w:rFonts w:ascii="Times New Roman" w:hAnsi="Times New Roman" w:cs="Times New Roman"/>
          <w:bCs/>
          <w:snapToGrid w:val="0"/>
          <w:kern w:val="0"/>
        </w:rPr>
        <w:t>ArcGIS</w:t>
      </w:r>
      <w:r w:rsidRPr="00F9522B">
        <w:rPr>
          <w:rFonts w:ascii="Times New Roman" w:hAnsi="Times New Roman" w:cs="Times New Roman"/>
          <w:bCs/>
          <w:snapToGrid w:val="0"/>
          <w:kern w:val="0"/>
        </w:rPr>
        <w:t>软件对项目调查范围土地利用进行分类。</w:t>
      </w:r>
    </w:p>
    <w:p w:rsidR="002A5A5E" w:rsidRPr="00F9522B" w:rsidRDefault="00611CBA">
      <w:pPr>
        <w:pStyle w:val="2fa"/>
        <w:ind w:firstLine="480"/>
        <w:contextualSpacing/>
        <w:rPr>
          <w:rFonts w:ascii="Times New Roman" w:hAnsi="Times New Roman" w:cs="Times New Roman"/>
          <w:bCs/>
          <w:snapToGrid w:val="0"/>
          <w:kern w:val="0"/>
        </w:rPr>
      </w:pPr>
      <w:r w:rsidRPr="00F9522B">
        <w:rPr>
          <w:rFonts w:ascii="Times New Roman" w:hAnsi="Times New Roman" w:cs="Times New Roman"/>
          <w:bCs/>
          <w:snapToGrid w:val="0"/>
          <w:kern w:val="0"/>
        </w:rPr>
        <w:t>本项目</w:t>
      </w:r>
      <w:r w:rsidR="002B6AFA" w:rsidRPr="00F9522B">
        <w:rPr>
          <w:rFonts w:ascii="Times New Roman" w:hAnsi="Times New Roman" w:cs="Times New Roman"/>
          <w:bCs/>
          <w:snapToGrid w:val="0"/>
          <w:kern w:val="0"/>
        </w:rPr>
        <w:t>评价范围内含有耕地、种植园用地、林地、草地、商业服务业用地、工业</w:t>
      </w:r>
      <w:r w:rsidRPr="00F9522B">
        <w:rPr>
          <w:rFonts w:ascii="Times New Roman" w:hAnsi="Times New Roman" w:cs="Times New Roman"/>
          <w:bCs/>
          <w:snapToGrid w:val="0"/>
          <w:kern w:val="0"/>
        </w:rPr>
        <w:t>用地、住宅用地、公共管理与公共服务用地、特殊用地、交通运输用地、水域及水利设施用地、其他土地。工程实施后区域土地类型及面积变化情况统计见</w:t>
      </w:r>
      <w:r w:rsidR="00C92D94" w:rsidRPr="00F9522B">
        <w:rPr>
          <w:rFonts w:ascii="Times New Roman" w:hAnsi="Times New Roman" w:cs="Times New Roman"/>
          <w:bCs/>
          <w:snapToGrid w:val="0"/>
          <w:kern w:val="0"/>
        </w:rPr>
        <w:t>下</w:t>
      </w:r>
      <w:r w:rsidRPr="00F9522B">
        <w:rPr>
          <w:rFonts w:ascii="Times New Roman" w:hAnsi="Times New Roman" w:cs="Times New Roman"/>
          <w:bCs/>
          <w:snapToGrid w:val="0"/>
          <w:kern w:val="0"/>
        </w:rPr>
        <w:t>表，土地利用现状图见附图</w:t>
      </w:r>
      <w:r w:rsidRPr="00F9522B">
        <w:rPr>
          <w:rFonts w:ascii="Times New Roman" w:hAnsi="Times New Roman" w:cs="Times New Roman"/>
          <w:bCs/>
          <w:snapToGrid w:val="0"/>
          <w:kern w:val="0"/>
        </w:rPr>
        <w:t>8</w:t>
      </w:r>
      <w:r w:rsidRPr="00F9522B">
        <w:rPr>
          <w:rFonts w:ascii="Times New Roman" w:hAnsi="Times New Roman" w:cs="Times New Roman"/>
          <w:bCs/>
          <w:snapToGrid w:val="0"/>
          <w:kern w:val="0"/>
        </w:rPr>
        <w:t>。</w:t>
      </w:r>
    </w:p>
    <w:p w:rsidR="002A5A5E" w:rsidRPr="00F9522B" w:rsidRDefault="00611CBA">
      <w:pPr>
        <w:contextualSpacing/>
        <w:jc w:val="center"/>
        <w:rPr>
          <w:rFonts w:eastAsiaTheme="minorEastAsia"/>
          <w:kern w:val="0"/>
          <w:szCs w:val="21"/>
        </w:rPr>
      </w:pPr>
      <w:r w:rsidRPr="00F9522B">
        <w:rPr>
          <w:rFonts w:eastAsiaTheme="minorEastAsia"/>
          <w:b/>
          <w:kern w:val="0"/>
          <w:szCs w:val="21"/>
        </w:rPr>
        <w:t>表</w:t>
      </w:r>
      <w:r w:rsidRPr="00F9522B">
        <w:rPr>
          <w:rFonts w:eastAsiaTheme="minorEastAsia"/>
          <w:b/>
          <w:kern w:val="0"/>
          <w:szCs w:val="21"/>
        </w:rPr>
        <w:t>4-2-22</w:t>
      </w:r>
      <w:r w:rsidRPr="00F9522B">
        <w:rPr>
          <w:rFonts w:eastAsiaTheme="minorEastAsia"/>
          <w:b/>
          <w:kern w:val="0"/>
          <w:szCs w:val="21"/>
        </w:rPr>
        <w:t>建设项目实施前后新增永久占地土地利用及变化量</w:t>
      </w:r>
    </w:p>
    <w:tbl>
      <w:tblPr>
        <w:tblW w:w="8575" w:type="dxa"/>
        <w:jc w:val="center"/>
        <w:tblBorders>
          <w:top w:val="single" w:sz="12" w:space="0" w:color="auto"/>
          <w:bottom w:val="single" w:sz="12" w:space="0" w:color="auto"/>
          <w:insideH w:val="single" w:sz="4" w:space="0" w:color="auto"/>
          <w:insideV w:val="single" w:sz="4" w:space="0" w:color="auto"/>
        </w:tblBorders>
        <w:tblLayout w:type="fixed"/>
        <w:tblLook w:val="04A0"/>
      </w:tblPr>
      <w:tblGrid>
        <w:gridCol w:w="1999"/>
        <w:gridCol w:w="2008"/>
        <w:gridCol w:w="2167"/>
        <w:gridCol w:w="2401"/>
      </w:tblGrid>
      <w:tr w:rsidR="002A5A5E" w:rsidRPr="00F9522B">
        <w:trPr>
          <w:trHeight w:val="509"/>
          <w:tblHeader/>
          <w:jc w:val="center"/>
        </w:trPr>
        <w:tc>
          <w:tcPr>
            <w:tcW w:w="1999" w:type="dxa"/>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工程内容</w:t>
            </w:r>
          </w:p>
        </w:tc>
        <w:tc>
          <w:tcPr>
            <w:tcW w:w="2008" w:type="dxa"/>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建设前占地现状</w:t>
            </w:r>
          </w:p>
        </w:tc>
        <w:tc>
          <w:tcPr>
            <w:tcW w:w="2167" w:type="dxa"/>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新增永久占地面积</w:t>
            </w:r>
          </w:p>
        </w:tc>
        <w:tc>
          <w:tcPr>
            <w:tcW w:w="2401" w:type="dxa"/>
            <w:vAlign w:val="center"/>
          </w:tcPr>
          <w:p w:rsidR="002A5A5E" w:rsidRPr="00F9522B" w:rsidRDefault="00611CBA">
            <w:pPr>
              <w:jc w:val="center"/>
              <w:textAlignment w:val="center"/>
              <w:rPr>
                <w:rFonts w:eastAsiaTheme="minorEastAsia"/>
                <w:kern w:val="0"/>
                <w:szCs w:val="21"/>
              </w:rPr>
            </w:pPr>
            <w:r w:rsidRPr="00F9522B">
              <w:rPr>
                <w:rFonts w:eastAsiaTheme="minorEastAsia"/>
                <w:kern w:val="0"/>
                <w:szCs w:val="21"/>
              </w:rPr>
              <w:t>项目建设后土地类型</w:t>
            </w:r>
          </w:p>
        </w:tc>
      </w:tr>
      <w:tr w:rsidR="002A5A5E" w:rsidRPr="00F9522B">
        <w:trPr>
          <w:trHeight w:val="216"/>
          <w:jc w:val="center"/>
        </w:trPr>
        <w:tc>
          <w:tcPr>
            <w:tcW w:w="1999" w:type="dxa"/>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灌溉井工程</w:t>
            </w:r>
          </w:p>
        </w:tc>
        <w:tc>
          <w:tcPr>
            <w:tcW w:w="2008" w:type="dxa"/>
            <w:vAlign w:val="center"/>
          </w:tcPr>
          <w:p w:rsidR="002A5A5E" w:rsidRPr="00F9522B" w:rsidRDefault="003C682E">
            <w:pPr>
              <w:widowControl/>
              <w:jc w:val="center"/>
              <w:textAlignment w:val="center"/>
              <w:rPr>
                <w:rFonts w:eastAsiaTheme="minorEastAsia"/>
                <w:color w:val="FF0000"/>
                <w:kern w:val="0"/>
                <w:szCs w:val="21"/>
              </w:rPr>
            </w:pPr>
            <w:r w:rsidRPr="00F9522B">
              <w:rPr>
                <w:rFonts w:eastAsiaTheme="minorEastAsia"/>
                <w:color w:val="FF0000"/>
                <w:kern w:val="0"/>
                <w:szCs w:val="21"/>
              </w:rPr>
              <w:t>草地</w:t>
            </w:r>
          </w:p>
        </w:tc>
        <w:tc>
          <w:tcPr>
            <w:tcW w:w="2167" w:type="dxa"/>
            <w:vAlign w:val="center"/>
          </w:tcPr>
          <w:p w:rsidR="002A5A5E" w:rsidRPr="00F9522B" w:rsidRDefault="008F5BFF" w:rsidP="008F5BFF">
            <w:pPr>
              <w:widowControl/>
              <w:jc w:val="center"/>
              <w:textAlignment w:val="center"/>
              <w:rPr>
                <w:rFonts w:eastAsiaTheme="minorEastAsia"/>
                <w:kern w:val="0"/>
                <w:szCs w:val="21"/>
              </w:rPr>
            </w:pPr>
            <w:r w:rsidRPr="00F9522B">
              <w:rPr>
                <w:rFonts w:eastAsiaTheme="minorEastAsia"/>
                <w:kern w:val="0"/>
                <w:szCs w:val="21"/>
              </w:rPr>
              <w:t>2076</w:t>
            </w:r>
            <w:r w:rsidR="00611CBA" w:rsidRPr="00F9522B">
              <w:rPr>
                <w:rFonts w:eastAsiaTheme="minorEastAsia"/>
                <w:kern w:val="0"/>
                <w:szCs w:val="21"/>
              </w:rPr>
              <w:t>m</w:t>
            </w:r>
            <w:r w:rsidR="00611CBA" w:rsidRPr="00F9522B">
              <w:rPr>
                <w:rFonts w:eastAsiaTheme="minorEastAsia"/>
                <w:kern w:val="0"/>
                <w:szCs w:val="21"/>
                <w:vertAlign w:val="superscript"/>
              </w:rPr>
              <w:t>2</w:t>
            </w:r>
            <w:r w:rsidR="00611CBA" w:rsidRPr="00F9522B">
              <w:rPr>
                <w:rFonts w:eastAsiaTheme="minorEastAsia"/>
                <w:kern w:val="0"/>
                <w:szCs w:val="21"/>
              </w:rPr>
              <w:t>（</w:t>
            </w:r>
            <w:r w:rsidRPr="00F9522B">
              <w:rPr>
                <w:rFonts w:eastAsiaTheme="minorEastAsia"/>
                <w:kern w:val="0"/>
                <w:szCs w:val="21"/>
              </w:rPr>
              <w:t>3.12</w:t>
            </w:r>
            <w:r w:rsidR="00611CBA" w:rsidRPr="00F9522B">
              <w:rPr>
                <w:rFonts w:eastAsiaTheme="minorEastAsia"/>
                <w:kern w:val="0"/>
                <w:szCs w:val="21"/>
              </w:rPr>
              <w:t>亩）</w:t>
            </w:r>
          </w:p>
        </w:tc>
        <w:tc>
          <w:tcPr>
            <w:tcW w:w="2401" w:type="dxa"/>
            <w:vMerge w:val="restart"/>
            <w:vAlign w:val="center"/>
          </w:tcPr>
          <w:p w:rsidR="002A5A5E" w:rsidRPr="00F9522B" w:rsidRDefault="00611CBA" w:rsidP="008F5BFF">
            <w:pPr>
              <w:jc w:val="center"/>
              <w:textAlignment w:val="center"/>
              <w:rPr>
                <w:rFonts w:eastAsiaTheme="minorEastAsia"/>
                <w:kern w:val="0"/>
                <w:szCs w:val="21"/>
              </w:rPr>
            </w:pPr>
            <w:r w:rsidRPr="00F9522B">
              <w:rPr>
                <w:rFonts w:eastAsiaTheme="minorEastAsia"/>
                <w:bCs/>
                <w:kern w:val="0"/>
                <w:szCs w:val="21"/>
              </w:rPr>
              <w:t>水利设施用地</w:t>
            </w:r>
            <w:r w:rsidRPr="00F9522B">
              <w:rPr>
                <w:rFonts w:eastAsiaTheme="minorEastAsia"/>
                <w:kern w:val="0"/>
                <w:szCs w:val="21"/>
              </w:rPr>
              <w:t>（</w:t>
            </w:r>
            <w:r w:rsidR="008F5BFF" w:rsidRPr="00F9522B">
              <w:rPr>
                <w:rFonts w:eastAsiaTheme="minorEastAsia"/>
                <w:kern w:val="0"/>
                <w:szCs w:val="21"/>
              </w:rPr>
              <w:t>46.66</w:t>
            </w:r>
            <w:r w:rsidRPr="00F9522B">
              <w:rPr>
                <w:rFonts w:eastAsiaTheme="minorEastAsia"/>
                <w:kern w:val="0"/>
                <w:szCs w:val="21"/>
              </w:rPr>
              <w:t>亩）</w:t>
            </w:r>
          </w:p>
        </w:tc>
      </w:tr>
      <w:tr w:rsidR="002A5A5E" w:rsidRPr="00F9522B">
        <w:trPr>
          <w:trHeight w:val="191"/>
          <w:jc w:val="center"/>
        </w:trPr>
        <w:tc>
          <w:tcPr>
            <w:tcW w:w="1999" w:type="dxa"/>
            <w:vMerge w:val="restart"/>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bCs/>
                <w:kern w:val="0"/>
                <w:szCs w:val="21"/>
              </w:rPr>
              <w:t>灌溉渠道工程、</w:t>
            </w:r>
            <w:r w:rsidRPr="00F9522B">
              <w:rPr>
                <w:rFonts w:eastAsiaTheme="minorEastAsia"/>
                <w:kern w:val="0"/>
                <w:szCs w:val="21"/>
              </w:rPr>
              <w:t>排水工程、建筑物工程</w:t>
            </w:r>
          </w:p>
        </w:tc>
        <w:tc>
          <w:tcPr>
            <w:tcW w:w="2008" w:type="dxa"/>
            <w:vAlign w:val="center"/>
          </w:tcPr>
          <w:p w:rsidR="002A5A5E" w:rsidRPr="00F9522B" w:rsidRDefault="00611CBA">
            <w:pPr>
              <w:jc w:val="center"/>
              <w:textAlignment w:val="center"/>
              <w:rPr>
                <w:rFonts w:eastAsiaTheme="minorEastAsia"/>
                <w:kern w:val="0"/>
                <w:szCs w:val="21"/>
              </w:rPr>
            </w:pPr>
            <w:r w:rsidRPr="00F9522B">
              <w:rPr>
                <w:rFonts w:eastAsiaTheme="minorEastAsia"/>
                <w:bCs/>
                <w:kern w:val="0"/>
                <w:szCs w:val="21"/>
              </w:rPr>
              <w:t>坑塘水面</w:t>
            </w:r>
          </w:p>
        </w:tc>
        <w:tc>
          <w:tcPr>
            <w:tcW w:w="2167" w:type="dxa"/>
            <w:vAlign w:val="center"/>
          </w:tcPr>
          <w:p w:rsidR="002A5A5E" w:rsidRPr="00F9522B" w:rsidRDefault="008F5BFF" w:rsidP="008F5BFF">
            <w:pPr>
              <w:jc w:val="center"/>
              <w:textAlignment w:val="center"/>
              <w:rPr>
                <w:rFonts w:eastAsiaTheme="minorEastAsia"/>
                <w:kern w:val="0"/>
                <w:szCs w:val="21"/>
              </w:rPr>
            </w:pPr>
            <w:r w:rsidRPr="00F9522B">
              <w:rPr>
                <w:rFonts w:eastAsiaTheme="minorEastAsia"/>
                <w:kern w:val="0"/>
                <w:szCs w:val="21"/>
              </w:rPr>
              <w:t>225</w:t>
            </w:r>
            <w:r w:rsidR="00611CBA" w:rsidRPr="00F9522B">
              <w:rPr>
                <w:rFonts w:eastAsiaTheme="minorEastAsia"/>
                <w:kern w:val="0"/>
                <w:szCs w:val="21"/>
              </w:rPr>
              <w:t>00m</w:t>
            </w:r>
            <w:r w:rsidR="00611CBA" w:rsidRPr="00F9522B">
              <w:rPr>
                <w:rFonts w:eastAsiaTheme="minorEastAsia"/>
                <w:kern w:val="0"/>
                <w:szCs w:val="21"/>
                <w:vertAlign w:val="superscript"/>
              </w:rPr>
              <w:t>2</w:t>
            </w:r>
            <w:r w:rsidR="00611CBA" w:rsidRPr="00F9522B">
              <w:rPr>
                <w:rFonts w:eastAsiaTheme="minorEastAsia"/>
                <w:kern w:val="0"/>
                <w:szCs w:val="21"/>
              </w:rPr>
              <w:t>（</w:t>
            </w:r>
            <w:r w:rsidRPr="00F9522B">
              <w:rPr>
                <w:rFonts w:eastAsiaTheme="minorEastAsia"/>
                <w:kern w:val="0"/>
                <w:szCs w:val="21"/>
              </w:rPr>
              <w:t>33.78</w:t>
            </w:r>
            <w:r w:rsidR="00611CBA" w:rsidRPr="00F9522B">
              <w:rPr>
                <w:rFonts w:eastAsiaTheme="minorEastAsia"/>
                <w:kern w:val="0"/>
                <w:szCs w:val="21"/>
              </w:rPr>
              <w:t>亩）</w:t>
            </w:r>
          </w:p>
        </w:tc>
        <w:tc>
          <w:tcPr>
            <w:tcW w:w="2401" w:type="dxa"/>
            <w:vMerge/>
            <w:vAlign w:val="center"/>
          </w:tcPr>
          <w:p w:rsidR="002A5A5E" w:rsidRPr="00F9522B" w:rsidRDefault="002A5A5E">
            <w:pPr>
              <w:widowControl/>
              <w:jc w:val="center"/>
              <w:textAlignment w:val="center"/>
              <w:rPr>
                <w:rFonts w:eastAsiaTheme="minorEastAsia"/>
                <w:kern w:val="0"/>
                <w:szCs w:val="21"/>
              </w:rPr>
            </w:pPr>
          </w:p>
        </w:tc>
      </w:tr>
      <w:tr w:rsidR="003C682E" w:rsidRPr="00F9522B" w:rsidTr="003C682E">
        <w:trPr>
          <w:trHeight w:val="498"/>
          <w:jc w:val="center"/>
        </w:trPr>
        <w:tc>
          <w:tcPr>
            <w:tcW w:w="1999" w:type="dxa"/>
            <w:vMerge/>
            <w:vAlign w:val="center"/>
          </w:tcPr>
          <w:p w:rsidR="003C682E" w:rsidRPr="00F9522B" w:rsidRDefault="003C682E">
            <w:pPr>
              <w:widowControl/>
              <w:jc w:val="center"/>
              <w:textAlignment w:val="center"/>
              <w:rPr>
                <w:rFonts w:eastAsiaTheme="minorEastAsia"/>
                <w:kern w:val="0"/>
                <w:szCs w:val="21"/>
              </w:rPr>
            </w:pPr>
          </w:p>
        </w:tc>
        <w:tc>
          <w:tcPr>
            <w:tcW w:w="2008" w:type="dxa"/>
            <w:vAlign w:val="center"/>
          </w:tcPr>
          <w:p w:rsidR="003C682E" w:rsidRPr="00F9522B" w:rsidRDefault="003C682E">
            <w:pPr>
              <w:widowControl/>
              <w:jc w:val="center"/>
              <w:textAlignment w:val="center"/>
              <w:rPr>
                <w:rFonts w:eastAsiaTheme="minorEastAsia"/>
                <w:bCs/>
                <w:color w:val="FF0000"/>
                <w:kern w:val="0"/>
                <w:szCs w:val="21"/>
              </w:rPr>
            </w:pPr>
            <w:r w:rsidRPr="00F9522B">
              <w:rPr>
                <w:rFonts w:eastAsiaTheme="minorEastAsia"/>
                <w:bCs/>
                <w:color w:val="FF0000"/>
                <w:kern w:val="0"/>
                <w:szCs w:val="21"/>
              </w:rPr>
              <w:t>草地</w:t>
            </w:r>
          </w:p>
        </w:tc>
        <w:tc>
          <w:tcPr>
            <w:tcW w:w="2167" w:type="dxa"/>
            <w:vAlign w:val="center"/>
          </w:tcPr>
          <w:p w:rsidR="003C682E" w:rsidRPr="00F9522B" w:rsidRDefault="003C682E" w:rsidP="003C682E">
            <w:pPr>
              <w:widowControl/>
              <w:jc w:val="center"/>
              <w:textAlignment w:val="center"/>
              <w:rPr>
                <w:rFonts w:eastAsiaTheme="minorEastAsia"/>
                <w:color w:val="FF0000"/>
                <w:kern w:val="0"/>
                <w:szCs w:val="21"/>
              </w:rPr>
            </w:pPr>
            <w:r w:rsidRPr="00F9522B">
              <w:rPr>
                <w:rFonts w:eastAsiaTheme="minorEastAsia"/>
                <w:color w:val="FF0000"/>
                <w:kern w:val="0"/>
                <w:szCs w:val="21"/>
              </w:rPr>
              <w:t>6500m</w:t>
            </w:r>
            <w:r w:rsidRPr="00F9522B">
              <w:rPr>
                <w:rFonts w:eastAsiaTheme="minorEastAsia"/>
                <w:color w:val="FF0000"/>
                <w:kern w:val="0"/>
                <w:szCs w:val="21"/>
                <w:vertAlign w:val="superscript"/>
              </w:rPr>
              <w:t>2</w:t>
            </w:r>
            <w:r w:rsidRPr="00F9522B">
              <w:rPr>
                <w:rFonts w:eastAsiaTheme="minorEastAsia"/>
                <w:color w:val="FF0000"/>
                <w:kern w:val="0"/>
                <w:szCs w:val="21"/>
              </w:rPr>
              <w:t>（</w:t>
            </w:r>
            <w:r w:rsidRPr="00F9522B">
              <w:rPr>
                <w:rFonts w:eastAsiaTheme="minorEastAsia"/>
                <w:color w:val="FF0000"/>
                <w:kern w:val="0"/>
                <w:szCs w:val="21"/>
              </w:rPr>
              <w:t>9.76</w:t>
            </w:r>
            <w:r w:rsidRPr="00F9522B">
              <w:rPr>
                <w:rFonts w:eastAsiaTheme="minorEastAsia"/>
                <w:color w:val="FF0000"/>
                <w:kern w:val="0"/>
                <w:szCs w:val="21"/>
              </w:rPr>
              <w:t>亩）</w:t>
            </w:r>
          </w:p>
        </w:tc>
        <w:tc>
          <w:tcPr>
            <w:tcW w:w="2401" w:type="dxa"/>
            <w:vMerge/>
            <w:vAlign w:val="center"/>
          </w:tcPr>
          <w:p w:rsidR="003C682E" w:rsidRPr="00F9522B" w:rsidRDefault="003C682E">
            <w:pPr>
              <w:widowControl/>
              <w:jc w:val="center"/>
              <w:textAlignment w:val="center"/>
              <w:rPr>
                <w:rFonts w:eastAsiaTheme="minorEastAsia"/>
                <w:bCs/>
                <w:kern w:val="0"/>
                <w:szCs w:val="21"/>
              </w:rPr>
            </w:pPr>
          </w:p>
        </w:tc>
      </w:tr>
      <w:tr w:rsidR="002A5A5E" w:rsidRPr="00F9522B">
        <w:trPr>
          <w:trHeight w:val="88"/>
          <w:jc w:val="center"/>
        </w:trPr>
        <w:tc>
          <w:tcPr>
            <w:tcW w:w="1999" w:type="dxa"/>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bCs/>
                <w:kern w:val="0"/>
                <w:szCs w:val="21"/>
              </w:rPr>
              <w:t>农田输配电</w:t>
            </w:r>
            <w:r w:rsidRPr="00F9522B">
              <w:rPr>
                <w:rFonts w:eastAsiaTheme="minorEastAsia"/>
                <w:kern w:val="0"/>
                <w:szCs w:val="21"/>
              </w:rPr>
              <w:t>工程</w:t>
            </w:r>
          </w:p>
        </w:tc>
        <w:tc>
          <w:tcPr>
            <w:tcW w:w="2008" w:type="dxa"/>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bCs/>
                <w:kern w:val="0"/>
                <w:szCs w:val="21"/>
              </w:rPr>
              <w:t>草地</w:t>
            </w:r>
          </w:p>
        </w:tc>
        <w:tc>
          <w:tcPr>
            <w:tcW w:w="2167" w:type="dxa"/>
            <w:vAlign w:val="center"/>
          </w:tcPr>
          <w:p w:rsidR="002A5A5E" w:rsidRPr="00F9522B" w:rsidRDefault="00611CBA">
            <w:pPr>
              <w:widowControl/>
              <w:jc w:val="center"/>
              <w:textAlignment w:val="center"/>
              <w:rPr>
                <w:rFonts w:eastAsiaTheme="minorEastAsia"/>
                <w:kern w:val="0"/>
                <w:szCs w:val="21"/>
              </w:rPr>
            </w:pPr>
            <w:r w:rsidRPr="00F9522B">
              <w:rPr>
                <w:rFonts w:eastAsiaTheme="minorEastAsia"/>
                <w:kern w:val="0"/>
                <w:szCs w:val="21"/>
              </w:rPr>
              <w:t>684m</w:t>
            </w:r>
            <w:r w:rsidRPr="00F9522B">
              <w:rPr>
                <w:rFonts w:eastAsiaTheme="minorEastAsia"/>
                <w:kern w:val="0"/>
                <w:szCs w:val="21"/>
                <w:vertAlign w:val="superscript"/>
              </w:rPr>
              <w:t>2</w:t>
            </w:r>
            <w:r w:rsidRPr="00F9522B">
              <w:rPr>
                <w:rFonts w:eastAsiaTheme="minorEastAsia"/>
                <w:kern w:val="0"/>
                <w:szCs w:val="21"/>
              </w:rPr>
              <w:t>（</w:t>
            </w:r>
            <w:r w:rsidRPr="00F9522B">
              <w:rPr>
                <w:rFonts w:eastAsiaTheme="minorEastAsia"/>
                <w:kern w:val="0"/>
                <w:szCs w:val="21"/>
              </w:rPr>
              <w:t>1.03</w:t>
            </w:r>
            <w:r w:rsidRPr="00F9522B">
              <w:rPr>
                <w:rFonts w:eastAsiaTheme="minorEastAsia"/>
                <w:kern w:val="0"/>
                <w:szCs w:val="21"/>
              </w:rPr>
              <w:t>亩）</w:t>
            </w:r>
          </w:p>
        </w:tc>
        <w:tc>
          <w:tcPr>
            <w:tcW w:w="2401" w:type="dxa"/>
            <w:vAlign w:val="center"/>
          </w:tcPr>
          <w:p w:rsidR="002A5A5E" w:rsidRPr="00F9522B" w:rsidRDefault="00611CBA">
            <w:pPr>
              <w:jc w:val="center"/>
              <w:rPr>
                <w:rFonts w:eastAsiaTheme="minorEastAsia"/>
                <w:szCs w:val="21"/>
              </w:rPr>
            </w:pPr>
            <w:r w:rsidRPr="00F9522B">
              <w:rPr>
                <w:rFonts w:eastAsiaTheme="minorEastAsia"/>
                <w:kern w:val="0"/>
                <w:szCs w:val="21"/>
              </w:rPr>
              <w:t>公用设施用地（</w:t>
            </w:r>
            <w:r w:rsidRPr="00F9522B">
              <w:rPr>
                <w:rFonts w:eastAsiaTheme="minorEastAsia"/>
                <w:kern w:val="0"/>
                <w:szCs w:val="21"/>
              </w:rPr>
              <w:t>1.03</w:t>
            </w:r>
            <w:r w:rsidRPr="00F9522B">
              <w:rPr>
                <w:rFonts w:eastAsiaTheme="minorEastAsia"/>
                <w:kern w:val="0"/>
                <w:szCs w:val="21"/>
              </w:rPr>
              <w:t>亩）</w:t>
            </w:r>
          </w:p>
        </w:tc>
      </w:tr>
    </w:tbl>
    <w:p w:rsidR="001E165D" w:rsidRPr="00F9522B" w:rsidRDefault="001E165D">
      <w:pPr>
        <w:widowControl/>
        <w:ind w:firstLineChars="200" w:firstLine="422"/>
        <w:jc w:val="center"/>
        <w:rPr>
          <w:rFonts w:eastAsiaTheme="minorEastAsia"/>
          <w:b/>
          <w:kern w:val="0"/>
          <w:szCs w:val="21"/>
        </w:rPr>
      </w:pPr>
    </w:p>
    <w:p w:rsidR="001E165D" w:rsidRPr="00F9522B" w:rsidRDefault="001E165D">
      <w:pPr>
        <w:widowControl/>
        <w:ind w:firstLineChars="200" w:firstLine="422"/>
        <w:jc w:val="center"/>
        <w:rPr>
          <w:rFonts w:eastAsiaTheme="minorEastAsia"/>
          <w:b/>
          <w:kern w:val="0"/>
          <w:szCs w:val="21"/>
        </w:rPr>
      </w:pPr>
    </w:p>
    <w:p w:rsidR="001E165D" w:rsidRPr="00F9522B" w:rsidRDefault="001E165D">
      <w:pPr>
        <w:widowControl/>
        <w:ind w:firstLineChars="200" w:firstLine="422"/>
        <w:jc w:val="center"/>
        <w:rPr>
          <w:rFonts w:eastAsiaTheme="minorEastAsia"/>
          <w:b/>
          <w:kern w:val="0"/>
          <w:szCs w:val="21"/>
        </w:rPr>
      </w:pPr>
    </w:p>
    <w:p w:rsidR="001E165D" w:rsidRPr="00F9522B" w:rsidRDefault="001E165D">
      <w:pPr>
        <w:widowControl/>
        <w:ind w:firstLineChars="200" w:firstLine="422"/>
        <w:jc w:val="center"/>
        <w:rPr>
          <w:rFonts w:eastAsiaTheme="minorEastAsia"/>
          <w:b/>
          <w:kern w:val="0"/>
          <w:szCs w:val="21"/>
        </w:rPr>
      </w:pPr>
    </w:p>
    <w:p w:rsidR="002A5A5E" w:rsidRPr="00F9522B" w:rsidRDefault="00611CBA">
      <w:pPr>
        <w:widowControl/>
        <w:ind w:firstLineChars="200" w:firstLine="422"/>
        <w:jc w:val="center"/>
        <w:rPr>
          <w:rFonts w:eastAsiaTheme="minorEastAsia"/>
          <w:b/>
          <w:kern w:val="0"/>
          <w:szCs w:val="21"/>
        </w:rPr>
      </w:pPr>
      <w:r w:rsidRPr="00F9522B">
        <w:rPr>
          <w:rFonts w:eastAsiaTheme="minorEastAsia"/>
          <w:b/>
          <w:kern w:val="0"/>
          <w:szCs w:val="21"/>
        </w:rPr>
        <w:lastRenderedPageBreak/>
        <w:t>表</w:t>
      </w:r>
      <w:r w:rsidRPr="00F9522B">
        <w:rPr>
          <w:rFonts w:eastAsiaTheme="minorEastAsia"/>
          <w:b/>
          <w:kern w:val="0"/>
          <w:szCs w:val="21"/>
        </w:rPr>
        <w:t>4-2-23</w:t>
      </w:r>
      <w:r w:rsidRPr="00F9522B">
        <w:rPr>
          <w:rFonts w:eastAsiaTheme="minorEastAsia"/>
          <w:b/>
          <w:kern w:val="0"/>
          <w:szCs w:val="21"/>
        </w:rPr>
        <w:t>建设项目实施前后整体土地利用结构对比表</w:t>
      </w:r>
    </w:p>
    <w:tbl>
      <w:tblPr>
        <w:tblW w:w="8785" w:type="dxa"/>
        <w:jc w:val="center"/>
        <w:tblBorders>
          <w:top w:val="single" w:sz="12" w:space="0" w:color="000000"/>
          <w:bottom w:val="single" w:sz="12" w:space="0" w:color="000000"/>
          <w:insideH w:val="single" w:sz="4" w:space="0" w:color="000000"/>
          <w:insideV w:val="single" w:sz="4" w:space="0" w:color="000000"/>
        </w:tblBorders>
        <w:tblLayout w:type="fixed"/>
        <w:tblLook w:val="04A0"/>
      </w:tblPr>
      <w:tblGrid>
        <w:gridCol w:w="807"/>
        <w:gridCol w:w="1461"/>
        <w:gridCol w:w="949"/>
        <w:gridCol w:w="1985"/>
        <w:gridCol w:w="1688"/>
        <w:gridCol w:w="1895"/>
      </w:tblGrid>
      <w:tr w:rsidR="008F5BFF" w:rsidRPr="00F9522B" w:rsidTr="00CA6CBF">
        <w:trPr>
          <w:trHeight w:val="208"/>
          <w:tblHeader/>
          <w:jc w:val="center"/>
        </w:trPr>
        <w:tc>
          <w:tcPr>
            <w:tcW w:w="2268" w:type="dxa"/>
            <w:gridSpan w:val="2"/>
            <w:noWrap/>
            <w:vAlign w:val="center"/>
          </w:tcPr>
          <w:p w:rsidR="008F5BFF" w:rsidRPr="00F9522B" w:rsidRDefault="008F5BFF" w:rsidP="00CA6CBF">
            <w:pPr>
              <w:widowControl/>
              <w:jc w:val="center"/>
              <w:textAlignment w:val="center"/>
              <w:rPr>
                <w:rFonts w:eastAsiaTheme="minorEastAsia"/>
                <w:szCs w:val="21"/>
              </w:rPr>
            </w:pPr>
            <w:r w:rsidRPr="00F9522B">
              <w:rPr>
                <w:rFonts w:eastAsiaTheme="minorEastAsia"/>
                <w:kern w:val="0"/>
                <w:szCs w:val="21"/>
              </w:rPr>
              <w:t>一级地类</w:t>
            </w:r>
          </w:p>
        </w:tc>
        <w:tc>
          <w:tcPr>
            <w:tcW w:w="2934" w:type="dxa"/>
            <w:gridSpan w:val="2"/>
            <w:noWrap/>
            <w:vAlign w:val="center"/>
          </w:tcPr>
          <w:p w:rsidR="008F5BFF" w:rsidRPr="00F9522B" w:rsidRDefault="008F5BFF" w:rsidP="00CA6CBF">
            <w:pPr>
              <w:widowControl/>
              <w:jc w:val="center"/>
              <w:textAlignment w:val="center"/>
              <w:rPr>
                <w:rFonts w:eastAsiaTheme="minorEastAsia"/>
                <w:szCs w:val="21"/>
              </w:rPr>
            </w:pPr>
            <w:r w:rsidRPr="00F9522B">
              <w:rPr>
                <w:rFonts w:eastAsiaTheme="minorEastAsia"/>
                <w:kern w:val="0"/>
                <w:szCs w:val="21"/>
              </w:rPr>
              <w:t>二级地类</w:t>
            </w:r>
          </w:p>
        </w:tc>
        <w:tc>
          <w:tcPr>
            <w:tcW w:w="1688" w:type="dxa"/>
            <w:vMerge w:val="restart"/>
            <w:noWrap/>
            <w:vAlign w:val="center"/>
          </w:tcPr>
          <w:p w:rsidR="008F5BFF" w:rsidRPr="00F9522B" w:rsidRDefault="008F5BFF" w:rsidP="00CA6CBF">
            <w:pPr>
              <w:widowControl/>
              <w:jc w:val="center"/>
              <w:textAlignment w:val="center"/>
              <w:rPr>
                <w:rFonts w:eastAsiaTheme="minorEastAsia"/>
                <w:szCs w:val="21"/>
              </w:rPr>
            </w:pPr>
            <w:r w:rsidRPr="00F9522B">
              <w:rPr>
                <w:rFonts w:eastAsiaTheme="minorEastAsia"/>
                <w:kern w:val="0"/>
                <w:szCs w:val="21"/>
              </w:rPr>
              <w:t>实施前面积（万亩）</w:t>
            </w:r>
          </w:p>
        </w:tc>
        <w:tc>
          <w:tcPr>
            <w:tcW w:w="1895" w:type="dxa"/>
            <w:vMerge w:val="restart"/>
            <w:vAlign w:val="center"/>
          </w:tcPr>
          <w:p w:rsidR="008F5BFF" w:rsidRPr="00F9522B" w:rsidRDefault="008F5BFF" w:rsidP="00CA6CBF">
            <w:pPr>
              <w:widowControl/>
              <w:jc w:val="center"/>
              <w:textAlignment w:val="center"/>
              <w:rPr>
                <w:rFonts w:eastAsiaTheme="minorEastAsia"/>
                <w:kern w:val="0"/>
                <w:szCs w:val="21"/>
              </w:rPr>
            </w:pPr>
            <w:r w:rsidRPr="00F9522B">
              <w:rPr>
                <w:rFonts w:eastAsiaTheme="minorEastAsia"/>
                <w:kern w:val="0"/>
                <w:szCs w:val="21"/>
              </w:rPr>
              <w:t>实施后面积（万亩）</w:t>
            </w:r>
          </w:p>
        </w:tc>
      </w:tr>
      <w:tr w:rsidR="008F5BFF" w:rsidRPr="00F9522B" w:rsidTr="008F5BFF">
        <w:trPr>
          <w:trHeight w:val="208"/>
          <w:tblHeader/>
          <w:jc w:val="center"/>
        </w:trPr>
        <w:tc>
          <w:tcPr>
            <w:tcW w:w="807" w:type="dxa"/>
            <w:noWrap/>
            <w:vAlign w:val="center"/>
          </w:tcPr>
          <w:p w:rsidR="008F5BFF" w:rsidRPr="00F9522B" w:rsidRDefault="008F5BFF" w:rsidP="00CA6CBF">
            <w:pPr>
              <w:widowControl/>
              <w:jc w:val="center"/>
              <w:textAlignment w:val="center"/>
              <w:rPr>
                <w:rFonts w:eastAsiaTheme="minorEastAsia"/>
                <w:szCs w:val="21"/>
              </w:rPr>
            </w:pPr>
            <w:r w:rsidRPr="00F9522B">
              <w:rPr>
                <w:rFonts w:eastAsiaTheme="minorEastAsia"/>
                <w:kern w:val="0"/>
                <w:szCs w:val="21"/>
              </w:rPr>
              <w:t>编码</w:t>
            </w:r>
          </w:p>
        </w:tc>
        <w:tc>
          <w:tcPr>
            <w:tcW w:w="1461" w:type="dxa"/>
            <w:noWrap/>
            <w:vAlign w:val="center"/>
          </w:tcPr>
          <w:p w:rsidR="008F5BFF" w:rsidRPr="00F9522B" w:rsidRDefault="008F5BFF" w:rsidP="00CA6CBF">
            <w:pPr>
              <w:widowControl/>
              <w:jc w:val="center"/>
              <w:textAlignment w:val="center"/>
              <w:rPr>
                <w:rFonts w:eastAsiaTheme="minorEastAsia"/>
                <w:szCs w:val="21"/>
              </w:rPr>
            </w:pPr>
            <w:r w:rsidRPr="00F9522B">
              <w:rPr>
                <w:rFonts w:eastAsiaTheme="minorEastAsia"/>
                <w:kern w:val="0"/>
                <w:szCs w:val="21"/>
              </w:rPr>
              <w:t>名称</w:t>
            </w:r>
          </w:p>
        </w:tc>
        <w:tc>
          <w:tcPr>
            <w:tcW w:w="949" w:type="dxa"/>
            <w:noWrap/>
            <w:vAlign w:val="center"/>
          </w:tcPr>
          <w:p w:rsidR="008F5BFF" w:rsidRPr="00F9522B" w:rsidRDefault="008F5BFF" w:rsidP="00CA6CBF">
            <w:pPr>
              <w:widowControl/>
              <w:jc w:val="center"/>
              <w:textAlignment w:val="center"/>
              <w:rPr>
                <w:rFonts w:eastAsiaTheme="minorEastAsia"/>
                <w:szCs w:val="21"/>
              </w:rPr>
            </w:pPr>
            <w:r w:rsidRPr="00F9522B">
              <w:rPr>
                <w:rFonts w:eastAsiaTheme="minorEastAsia"/>
                <w:kern w:val="0"/>
                <w:szCs w:val="21"/>
              </w:rPr>
              <w:t>编号</w:t>
            </w:r>
          </w:p>
        </w:tc>
        <w:tc>
          <w:tcPr>
            <w:tcW w:w="1985" w:type="dxa"/>
            <w:noWrap/>
            <w:vAlign w:val="center"/>
          </w:tcPr>
          <w:p w:rsidR="008F5BFF" w:rsidRPr="00F9522B" w:rsidRDefault="008F5BFF" w:rsidP="00CA6CBF">
            <w:pPr>
              <w:widowControl/>
              <w:jc w:val="center"/>
              <w:textAlignment w:val="center"/>
              <w:rPr>
                <w:rFonts w:eastAsiaTheme="minorEastAsia"/>
                <w:szCs w:val="21"/>
              </w:rPr>
            </w:pPr>
            <w:r w:rsidRPr="00F9522B">
              <w:rPr>
                <w:rFonts w:eastAsiaTheme="minorEastAsia"/>
                <w:kern w:val="0"/>
                <w:szCs w:val="21"/>
              </w:rPr>
              <w:t>名称</w:t>
            </w:r>
          </w:p>
        </w:tc>
        <w:tc>
          <w:tcPr>
            <w:tcW w:w="1688" w:type="dxa"/>
            <w:vMerge/>
            <w:noWrap/>
            <w:vAlign w:val="center"/>
          </w:tcPr>
          <w:p w:rsidR="008F5BFF" w:rsidRPr="00F9522B" w:rsidRDefault="008F5BFF" w:rsidP="008F5BFF">
            <w:pPr>
              <w:widowControl/>
              <w:jc w:val="center"/>
              <w:textAlignment w:val="center"/>
              <w:rPr>
                <w:rFonts w:eastAsiaTheme="minorEastAsia"/>
                <w:szCs w:val="21"/>
              </w:rPr>
            </w:pPr>
          </w:p>
        </w:tc>
        <w:tc>
          <w:tcPr>
            <w:tcW w:w="1895" w:type="dxa"/>
            <w:vMerge/>
            <w:vAlign w:val="center"/>
          </w:tcPr>
          <w:p w:rsidR="008F5BFF" w:rsidRPr="00F9522B" w:rsidRDefault="008F5BFF" w:rsidP="00CA6CBF">
            <w:pPr>
              <w:widowControl/>
              <w:jc w:val="center"/>
              <w:textAlignment w:val="center"/>
              <w:rPr>
                <w:rFonts w:eastAsiaTheme="minorEastAsia"/>
                <w:kern w:val="0"/>
                <w:szCs w:val="21"/>
              </w:rPr>
            </w:pPr>
          </w:p>
        </w:tc>
      </w:tr>
      <w:tr w:rsidR="00833179" w:rsidRPr="00F9522B" w:rsidTr="008F5BFF">
        <w:trPr>
          <w:trHeight w:val="208"/>
          <w:jc w:val="center"/>
        </w:trPr>
        <w:tc>
          <w:tcPr>
            <w:tcW w:w="807" w:type="dxa"/>
            <w:vMerge w:val="restart"/>
            <w:noWrap/>
            <w:vAlign w:val="center"/>
          </w:tcPr>
          <w:p w:rsidR="00833179" w:rsidRPr="00F9522B" w:rsidRDefault="00833179" w:rsidP="00CA6CBF">
            <w:pPr>
              <w:widowControl/>
              <w:jc w:val="center"/>
              <w:textAlignment w:val="center"/>
              <w:rPr>
                <w:rFonts w:eastAsiaTheme="minorEastAsia"/>
                <w:szCs w:val="21"/>
              </w:rPr>
            </w:pPr>
            <w:r w:rsidRPr="00F9522B">
              <w:rPr>
                <w:rFonts w:eastAsiaTheme="minorEastAsia"/>
                <w:kern w:val="0"/>
                <w:szCs w:val="21"/>
              </w:rPr>
              <w:t>01</w:t>
            </w:r>
          </w:p>
        </w:tc>
        <w:tc>
          <w:tcPr>
            <w:tcW w:w="1461" w:type="dxa"/>
            <w:vMerge w:val="restart"/>
            <w:noWrap/>
            <w:vAlign w:val="center"/>
          </w:tcPr>
          <w:p w:rsidR="00833179" w:rsidRPr="00F9522B" w:rsidRDefault="00833179" w:rsidP="00CA6CBF">
            <w:pPr>
              <w:widowControl/>
              <w:jc w:val="center"/>
              <w:textAlignment w:val="center"/>
              <w:rPr>
                <w:rFonts w:eastAsiaTheme="minorEastAsia"/>
                <w:szCs w:val="21"/>
              </w:rPr>
            </w:pPr>
            <w:r w:rsidRPr="00F9522B">
              <w:rPr>
                <w:rFonts w:eastAsiaTheme="minorEastAsia"/>
                <w:kern w:val="0"/>
                <w:szCs w:val="21"/>
              </w:rPr>
              <w:t>耕地</w:t>
            </w:r>
          </w:p>
        </w:tc>
        <w:tc>
          <w:tcPr>
            <w:tcW w:w="949" w:type="dxa"/>
            <w:noWrap/>
            <w:vAlign w:val="center"/>
          </w:tcPr>
          <w:p w:rsidR="00833179" w:rsidRPr="00F9522B" w:rsidRDefault="00833179" w:rsidP="00CA6CBF">
            <w:pPr>
              <w:widowControl/>
              <w:jc w:val="center"/>
              <w:textAlignment w:val="center"/>
              <w:rPr>
                <w:rFonts w:eastAsiaTheme="minorEastAsia"/>
                <w:szCs w:val="21"/>
              </w:rPr>
            </w:pPr>
            <w:r w:rsidRPr="00F9522B">
              <w:rPr>
                <w:rFonts w:eastAsiaTheme="minorEastAsia"/>
                <w:kern w:val="0"/>
                <w:szCs w:val="21"/>
              </w:rPr>
              <w:t>0101</w:t>
            </w:r>
          </w:p>
        </w:tc>
        <w:tc>
          <w:tcPr>
            <w:tcW w:w="1985" w:type="dxa"/>
            <w:noWrap/>
            <w:vAlign w:val="center"/>
          </w:tcPr>
          <w:p w:rsidR="00833179" w:rsidRPr="00F9522B" w:rsidRDefault="00833179" w:rsidP="00CA6CBF">
            <w:pPr>
              <w:widowControl/>
              <w:jc w:val="center"/>
              <w:textAlignment w:val="center"/>
              <w:rPr>
                <w:rFonts w:eastAsiaTheme="minorEastAsia"/>
                <w:color w:val="FF0000"/>
                <w:szCs w:val="21"/>
              </w:rPr>
            </w:pPr>
            <w:r w:rsidRPr="00F9522B">
              <w:rPr>
                <w:rFonts w:eastAsiaTheme="minorEastAsia"/>
                <w:color w:val="FF0000"/>
                <w:kern w:val="0"/>
                <w:szCs w:val="21"/>
              </w:rPr>
              <w:t>水田</w:t>
            </w:r>
          </w:p>
        </w:tc>
        <w:tc>
          <w:tcPr>
            <w:tcW w:w="1688" w:type="dxa"/>
            <w:noWrap/>
            <w:vAlign w:val="center"/>
          </w:tcPr>
          <w:p w:rsidR="00833179" w:rsidRPr="00F9522B" w:rsidRDefault="00833179" w:rsidP="004031CB">
            <w:pPr>
              <w:widowControl/>
              <w:jc w:val="center"/>
              <w:textAlignment w:val="center"/>
              <w:rPr>
                <w:rFonts w:eastAsia="仿宋"/>
                <w:color w:val="FF0000"/>
                <w:szCs w:val="21"/>
              </w:rPr>
            </w:pPr>
            <w:r w:rsidRPr="00F9522B">
              <w:rPr>
                <w:color w:val="FF0000"/>
                <w:kern w:val="0"/>
                <w:szCs w:val="21"/>
              </w:rPr>
              <w:t>0.4</w:t>
            </w:r>
            <w:r w:rsidR="004031CB" w:rsidRPr="00F9522B">
              <w:rPr>
                <w:color w:val="FF0000"/>
                <w:kern w:val="0"/>
                <w:szCs w:val="21"/>
              </w:rPr>
              <w:t>7</w:t>
            </w:r>
          </w:p>
        </w:tc>
        <w:tc>
          <w:tcPr>
            <w:tcW w:w="1895" w:type="dxa"/>
            <w:vAlign w:val="center"/>
          </w:tcPr>
          <w:p w:rsidR="00833179" w:rsidRPr="00F9522B" w:rsidRDefault="004031CB" w:rsidP="00CA6CBF">
            <w:pPr>
              <w:widowControl/>
              <w:jc w:val="center"/>
              <w:textAlignment w:val="center"/>
              <w:rPr>
                <w:rFonts w:eastAsiaTheme="minorEastAsia"/>
                <w:kern w:val="0"/>
                <w:szCs w:val="21"/>
              </w:rPr>
            </w:pPr>
            <w:r w:rsidRPr="00F9522B">
              <w:rPr>
                <w:rFonts w:eastAsiaTheme="minorEastAsia"/>
                <w:kern w:val="0"/>
                <w:szCs w:val="21"/>
              </w:rPr>
              <w:t>0.47</w:t>
            </w:r>
          </w:p>
        </w:tc>
      </w:tr>
      <w:tr w:rsidR="00833179" w:rsidRPr="00F9522B" w:rsidTr="008F5BFF">
        <w:trPr>
          <w:trHeight w:val="208"/>
          <w:jc w:val="center"/>
        </w:trPr>
        <w:tc>
          <w:tcPr>
            <w:tcW w:w="807" w:type="dxa"/>
            <w:vMerge/>
            <w:noWrap/>
            <w:vAlign w:val="center"/>
          </w:tcPr>
          <w:p w:rsidR="00833179" w:rsidRPr="00F9522B" w:rsidRDefault="00833179" w:rsidP="00CA6CBF">
            <w:pPr>
              <w:widowControl/>
              <w:jc w:val="center"/>
              <w:textAlignment w:val="center"/>
              <w:rPr>
                <w:rFonts w:eastAsiaTheme="minorEastAsia"/>
                <w:kern w:val="0"/>
                <w:szCs w:val="21"/>
              </w:rPr>
            </w:pPr>
          </w:p>
        </w:tc>
        <w:tc>
          <w:tcPr>
            <w:tcW w:w="1461" w:type="dxa"/>
            <w:vMerge/>
            <w:noWrap/>
            <w:vAlign w:val="center"/>
          </w:tcPr>
          <w:p w:rsidR="00833179" w:rsidRPr="00F9522B" w:rsidRDefault="00833179" w:rsidP="00CA6CBF">
            <w:pPr>
              <w:widowControl/>
              <w:jc w:val="center"/>
              <w:textAlignment w:val="center"/>
              <w:rPr>
                <w:rFonts w:eastAsiaTheme="minorEastAsia"/>
                <w:kern w:val="0"/>
                <w:szCs w:val="21"/>
              </w:rPr>
            </w:pPr>
          </w:p>
        </w:tc>
        <w:tc>
          <w:tcPr>
            <w:tcW w:w="949" w:type="dxa"/>
            <w:noWrap/>
            <w:vAlign w:val="center"/>
          </w:tcPr>
          <w:p w:rsidR="00833179" w:rsidRPr="00F9522B" w:rsidRDefault="00833179" w:rsidP="00CA6CBF">
            <w:pPr>
              <w:widowControl/>
              <w:jc w:val="center"/>
              <w:textAlignment w:val="center"/>
              <w:rPr>
                <w:rFonts w:eastAsiaTheme="minorEastAsia"/>
                <w:kern w:val="0"/>
                <w:szCs w:val="21"/>
              </w:rPr>
            </w:pPr>
            <w:r w:rsidRPr="00F9522B">
              <w:rPr>
                <w:rFonts w:eastAsiaTheme="minorEastAsia"/>
                <w:kern w:val="0"/>
                <w:szCs w:val="21"/>
              </w:rPr>
              <w:t>0102</w:t>
            </w:r>
          </w:p>
        </w:tc>
        <w:tc>
          <w:tcPr>
            <w:tcW w:w="1985" w:type="dxa"/>
            <w:noWrap/>
            <w:vAlign w:val="center"/>
          </w:tcPr>
          <w:p w:rsidR="00833179" w:rsidRPr="00F9522B" w:rsidRDefault="00833179" w:rsidP="00CA6CBF">
            <w:pPr>
              <w:widowControl/>
              <w:jc w:val="center"/>
              <w:textAlignment w:val="center"/>
              <w:rPr>
                <w:rFonts w:eastAsiaTheme="minorEastAsia"/>
                <w:kern w:val="0"/>
                <w:szCs w:val="21"/>
              </w:rPr>
            </w:pPr>
            <w:r w:rsidRPr="00F9522B">
              <w:rPr>
                <w:rFonts w:eastAsiaTheme="minorEastAsia"/>
                <w:kern w:val="0"/>
                <w:szCs w:val="21"/>
              </w:rPr>
              <w:t>水浇地</w:t>
            </w:r>
          </w:p>
        </w:tc>
        <w:tc>
          <w:tcPr>
            <w:tcW w:w="1688" w:type="dxa"/>
            <w:noWrap/>
            <w:vAlign w:val="center"/>
          </w:tcPr>
          <w:p w:rsidR="00833179" w:rsidRPr="00F9522B" w:rsidRDefault="004031CB" w:rsidP="00CA6CBF">
            <w:pPr>
              <w:widowControl/>
              <w:jc w:val="center"/>
              <w:textAlignment w:val="center"/>
              <w:rPr>
                <w:rFonts w:eastAsia="仿宋"/>
                <w:szCs w:val="21"/>
              </w:rPr>
            </w:pPr>
            <w:r w:rsidRPr="00F9522B">
              <w:rPr>
                <w:kern w:val="0"/>
                <w:szCs w:val="21"/>
              </w:rPr>
              <w:t>0.0049</w:t>
            </w:r>
          </w:p>
        </w:tc>
        <w:tc>
          <w:tcPr>
            <w:tcW w:w="1895" w:type="dxa"/>
            <w:vAlign w:val="center"/>
          </w:tcPr>
          <w:p w:rsidR="00833179" w:rsidRPr="00F9522B" w:rsidRDefault="004031CB" w:rsidP="00CA6CBF">
            <w:pPr>
              <w:widowControl/>
              <w:jc w:val="center"/>
              <w:textAlignment w:val="center"/>
              <w:rPr>
                <w:rFonts w:eastAsiaTheme="minorEastAsia"/>
                <w:kern w:val="0"/>
                <w:szCs w:val="21"/>
              </w:rPr>
            </w:pPr>
            <w:r w:rsidRPr="00F9522B">
              <w:rPr>
                <w:kern w:val="0"/>
                <w:szCs w:val="21"/>
              </w:rPr>
              <w:t>0.0049</w:t>
            </w:r>
          </w:p>
        </w:tc>
      </w:tr>
      <w:tr w:rsidR="00833179" w:rsidRPr="00F9522B" w:rsidTr="008F5BFF">
        <w:trPr>
          <w:trHeight w:val="208"/>
          <w:jc w:val="center"/>
        </w:trPr>
        <w:tc>
          <w:tcPr>
            <w:tcW w:w="807" w:type="dxa"/>
            <w:vMerge/>
            <w:noWrap/>
            <w:vAlign w:val="center"/>
          </w:tcPr>
          <w:p w:rsidR="00833179" w:rsidRPr="00F9522B" w:rsidRDefault="00833179" w:rsidP="00CA6CBF">
            <w:pPr>
              <w:jc w:val="center"/>
              <w:rPr>
                <w:rFonts w:eastAsiaTheme="minorEastAsia"/>
                <w:szCs w:val="21"/>
              </w:rPr>
            </w:pPr>
          </w:p>
        </w:tc>
        <w:tc>
          <w:tcPr>
            <w:tcW w:w="1461" w:type="dxa"/>
            <w:vMerge/>
            <w:noWrap/>
            <w:vAlign w:val="center"/>
          </w:tcPr>
          <w:p w:rsidR="00833179" w:rsidRPr="00F9522B" w:rsidRDefault="00833179" w:rsidP="00CA6CBF">
            <w:pPr>
              <w:jc w:val="center"/>
              <w:rPr>
                <w:rFonts w:eastAsiaTheme="minorEastAsia"/>
                <w:szCs w:val="21"/>
              </w:rPr>
            </w:pPr>
          </w:p>
        </w:tc>
        <w:tc>
          <w:tcPr>
            <w:tcW w:w="949" w:type="dxa"/>
            <w:noWrap/>
            <w:vAlign w:val="center"/>
          </w:tcPr>
          <w:p w:rsidR="00833179" w:rsidRPr="00F9522B" w:rsidRDefault="00833179" w:rsidP="00CA6CBF">
            <w:pPr>
              <w:widowControl/>
              <w:jc w:val="center"/>
              <w:textAlignment w:val="center"/>
              <w:rPr>
                <w:rFonts w:eastAsiaTheme="minorEastAsia"/>
                <w:szCs w:val="21"/>
              </w:rPr>
            </w:pPr>
            <w:r w:rsidRPr="00F9522B">
              <w:rPr>
                <w:rFonts w:eastAsiaTheme="minorEastAsia"/>
                <w:kern w:val="0"/>
                <w:szCs w:val="21"/>
              </w:rPr>
              <w:t>0103</w:t>
            </w:r>
          </w:p>
        </w:tc>
        <w:tc>
          <w:tcPr>
            <w:tcW w:w="1985" w:type="dxa"/>
            <w:noWrap/>
            <w:vAlign w:val="center"/>
          </w:tcPr>
          <w:p w:rsidR="00833179" w:rsidRPr="00F9522B" w:rsidRDefault="00833179" w:rsidP="00CA6CBF">
            <w:pPr>
              <w:widowControl/>
              <w:jc w:val="center"/>
              <w:textAlignment w:val="center"/>
              <w:rPr>
                <w:rFonts w:eastAsiaTheme="minorEastAsia"/>
                <w:color w:val="FF0000"/>
                <w:szCs w:val="21"/>
              </w:rPr>
            </w:pPr>
            <w:r w:rsidRPr="00F9522B">
              <w:rPr>
                <w:rFonts w:eastAsiaTheme="minorEastAsia"/>
                <w:color w:val="FF0000"/>
                <w:kern w:val="0"/>
                <w:szCs w:val="21"/>
              </w:rPr>
              <w:t>旱地</w:t>
            </w:r>
          </w:p>
        </w:tc>
        <w:tc>
          <w:tcPr>
            <w:tcW w:w="1688" w:type="dxa"/>
            <w:noWrap/>
            <w:vAlign w:val="center"/>
          </w:tcPr>
          <w:p w:rsidR="00833179" w:rsidRPr="00F9522B" w:rsidRDefault="004031CB" w:rsidP="00CA6CBF">
            <w:pPr>
              <w:widowControl/>
              <w:jc w:val="center"/>
              <w:textAlignment w:val="center"/>
              <w:rPr>
                <w:rFonts w:eastAsia="仿宋"/>
                <w:color w:val="FF0000"/>
                <w:szCs w:val="21"/>
              </w:rPr>
            </w:pPr>
            <w:r w:rsidRPr="00F9522B">
              <w:rPr>
                <w:color w:val="FF0000"/>
                <w:kern w:val="0"/>
                <w:szCs w:val="21"/>
              </w:rPr>
              <w:t>31.52</w:t>
            </w:r>
          </w:p>
        </w:tc>
        <w:tc>
          <w:tcPr>
            <w:tcW w:w="1895" w:type="dxa"/>
            <w:vAlign w:val="center"/>
          </w:tcPr>
          <w:p w:rsidR="00833179" w:rsidRPr="00F9522B" w:rsidRDefault="004031CB" w:rsidP="00CA6CBF">
            <w:pPr>
              <w:widowControl/>
              <w:jc w:val="center"/>
              <w:textAlignment w:val="center"/>
              <w:rPr>
                <w:rFonts w:eastAsiaTheme="minorEastAsia"/>
                <w:kern w:val="0"/>
                <w:szCs w:val="21"/>
              </w:rPr>
            </w:pPr>
            <w:r w:rsidRPr="00F9522B">
              <w:rPr>
                <w:rFonts w:eastAsiaTheme="minorEastAsia"/>
                <w:kern w:val="0"/>
                <w:szCs w:val="21"/>
              </w:rPr>
              <w:t>31.52</w:t>
            </w:r>
          </w:p>
        </w:tc>
      </w:tr>
      <w:tr w:rsidR="004031CB" w:rsidRPr="00F9522B" w:rsidTr="008F5BFF">
        <w:trPr>
          <w:trHeight w:val="208"/>
          <w:jc w:val="center"/>
        </w:trPr>
        <w:tc>
          <w:tcPr>
            <w:tcW w:w="807" w:type="dxa"/>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02</w:t>
            </w:r>
          </w:p>
        </w:tc>
        <w:tc>
          <w:tcPr>
            <w:tcW w:w="1461" w:type="dxa"/>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园地</w:t>
            </w:r>
          </w:p>
        </w:tc>
        <w:tc>
          <w:tcPr>
            <w:tcW w:w="949" w:type="dxa"/>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0201</w:t>
            </w:r>
          </w:p>
        </w:tc>
        <w:tc>
          <w:tcPr>
            <w:tcW w:w="1985" w:type="dxa"/>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果园</w:t>
            </w:r>
          </w:p>
        </w:tc>
        <w:tc>
          <w:tcPr>
            <w:tcW w:w="1688" w:type="dxa"/>
            <w:noWrap/>
            <w:vAlign w:val="center"/>
          </w:tcPr>
          <w:p w:rsidR="004031CB" w:rsidRPr="00F9522B" w:rsidRDefault="004031CB" w:rsidP="00CA6CBF">
            <w:pPr>
              <w:widowControl/>
              <w:jc w:val="center"/>
              <w:textAlignment w:val="center"/>
              <w:rPr>
                <w:rFonts w:eastAsiaTheme="minorEastAsia"/>
                <w:kern w:val="0"/>
                <w:szCs w:val="21"/>
              </w:rPr>
            </w:pPr>
            <w:r w:rsidRPr="00F9522B">
              <w:rPr>
                <w:rFonts w:eastAsiaTheme="minorEastAsia"/>
                <w:kern w:val="0"/>
                <w:szCs w:val="21"/>
              </w:rPr>
              <w:t>0.0115</w:t>
            </w:r>
          </w:p>
        </w:tc>
        <w:tc>
          <w:tcPr>
            <w:tcW w:w="1895" w:type="dxa"/>
            <w:vAlign w:val="center"/>
          </w:tcPr>
          <w:p w:rsidR="004031CB" w:rsidRPr="00F9522B" w:rsidRDefault="004031CB" w:rsidP="004031CB">
            <w:pPr>
              <w:widowControl/>
              <w:jc w:val="center"/>
              <w:textAlignment w:val="center"/>
              <w:rPr>
                <w:rFonts w:eastAsiaTheme="minorEastAsia"/>
                <w:kern w:val="0"/>
                <w:szCs w:val="21"/>
              </w:rPr>
            </w:pPr>
            <w:r w:rsidRPr="00F9522B">
              <w:rPr>
                <w:rFonts w:eastAsiaTheme="minorEastAsia"/>
                <w:kern w:val="0"/>
                <w:szCs w:val="21"/>
              </w:rPr>
              <w:t>0.0115</w:t>
            </w:r>
          </w:p>
        </w:tc>
      </w:tr>
      <w:tr w:rsidR="004031CB" w:rsidRPr="00F9522B" w:rsidTr="008F5BFF">
        <w:trPr>
          <w:trHeight w:val="208"/>
          <w:jc w:val="center"/>
        </w:trPr>
        <w:tc>
          <w:tcPr>
            <w:tcW w:w="807" w:type="dxa"/>
            <w:vMerge w:val="restart"/>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03</w:t>
            </w:r>
          </w:p>
        </w:tc>
        <w:tc>
          <w:tcPr>
            <w:tcW w:w="1461" w:type="dxa"/>
            <w:vMerge w:val="restart"/>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林地</w:t>
            </w:r>
          </w:p>
        </w:tc>
        <w:tc>
          <w:tcPr>
            <w:tcW w:w="949" w:type="dxa"/>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0301</w:t>
            </w:r>
          </w:p>
        </w:tc>
        <w:tc>
          <w:tcPr>
            <w:tcW w:w="1985" w:type="dxa"/>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乔木林地</w:t>
            </w:r>
          </w:p>
        </w:tc>
        <w:tc>
          <w:tcPr>
            <w:tcW w:w="1688" w:type="dxa"/>
            <w:noWrap/>
            <w:vAlign w:val="center"/>
          </w:tcPr>
          <w:p w:rsidR="004031CB" w:rsidRPr="00F9522B" w:rsidRDefault="004031CB" w:rsidP="00CA6CBF">
            <w:pPr>
              <w:widowControl/>
              <w:jc w:val="center"/>
              <w:textAlignment w:val="center"/>
              <w:rPr>
                <w:rFonts w:eastAsia="仿宋"/>
                <w:szCs w:val="21"/>
              </w:rPr>
            </w:pPr>
            <w:r w:rsidRPr="00F9522B">
              <w:rPr>
                <w:kern w:val="0"/>
                <w:szCs w:val="21"/>
              </w:rPr>
              <w:t>1.1804</w:t>
            </w:r>
          </w:p>
        </w:tc>
        <w:tc>
          <w:tcPr>
            <w:tcW w:w="1895" w:type="dxa"/>
            <w:vAlign w:val="center"/>
          </w:tcPr>
          <w:p w:rsidR="004031CB" w:rsidRPr="00F9522B" w:rsidRDefault="004031CB" w:rsidP="004031CB">
            <w:pPr>
              <w:widowControl/>
              <w:jc w:val="center"/>
              <w:textAlignment w:val="center"/>
              <w:rPr>
                <w:rFonts w:eastAsia="仿宋"/>
                <w:szCs w:val="21"/>
              </w:rPr>
            </w:pPr>
            <w:r w:rsidRPr="00F9522B">
              <w:rPr>
                <w:kern w:val="0"/>
                <w:szCs w:val="21"/>
              </w:rPr>
              <w:t>1.1804</w:t>
            </w:r>
          </w:p>
        </w:tc>
      </w:tr>
      <w:tr w:rsidR="004031CB" w:rsidRPr="00F9522B" w:rsidTr="008F5BFF">
        <w:trPr>
          <w:trHeight w:val="208"/>
          <w:jc w:val="center"/>
        </w:trPr>
        <w:tc>
          <w:tcPr>
            <w:tcW w:w="807" w:type="dxa"/>
            <w:vMerge/>
            <w:noWrap/>
            <w:vAlign w:val="center"/>
          </w:tcPr>
          <w:p w:rsidR="004031CB" w:rsidRPr="00F9522B" w:rsidRDefault="004031CB" w:rsidP="00CA6CBF">
            <w:pPr>
              <w:widowControl/>
              <w:jc w:val="center"/>
              <w:textAlignment w:val="center"/>
              <w:rPr>
                <w:rFonts w:eastAsiaTheme="minorEastAsia"/>
                <w:kern w:val="0"/>
                <w:szCs w:val="21"/>
              </w:rPr>
            </w:pPr>
          </w:p>
        </w:tc>
        <w:tc>
          <w:tcPr>
            <w:tcW w:w="1461" w:type="dxa"/>
            <w:vMerge/>
            <w:noWrap/>
            <w:vAlign w:val="center"/>
          </w:tcPr>
          <w:p w:rsidR="004031CB" w:rsidRPr="00F9522B" w:rsidRDefault="004031CB" w:rsidP="00CA6CBF">
            <w:pPr>
              <w:widowControl/>
              <w:jc w:val="center"/>
              <w:textAlignment w:val="center"/>
              <w:rPr>
                <w:rFonts w:eastAsiaTheme="minorEastAsia"/>
                <w:kern w:val="0"/>
                <w:szCs w:val="21"/>
              </w:rPr>
            </w:pPr>
          </w:p>
        </w:tc>
        <w:tc>
          <w:tcPr>
            <w:tcW w:w="949" w:type="dxa"/>
            <w:noWrap/>
            <w:vAlign w:val="center"/>
          </w:tcPr>
          <w:p w:rsidR="004031CB" w:rsidRPr="00F9522B" w:rsidRDefault="004031CB" w:rsidP="00CA6CBF">
            <w:pPr>
              <w:widowControl/>
              <w:jc w:val="center"/>
              <w:textAlignment w:val="center"/>
              <w:rPr>
                <w:rFonts w:eastAsiaTheme="minorEastAsia"/>
                <w:kern w:val="0"/>
                <w:szCs w:val="21"/>
              </w:rPr>
            </w:pPr>
            <w:r w:rsidRPr="00F9522B">
              <w:rPr>
                <w:rFonts w:eastAsiaTheme="minorEastAsia"/>
                <w:kern w:val="0"/>
                <w:szCs w:val="21"/>
              </w:rPr>
              <w:t>0304</w:t>
            </w:r>
          </w:p>
        </w:tc>
        <w:tc>
          <w:tcPr>
            <w:tcW w:w="1985" w:type="dxa"/>
            <w:noWrap/>
            <w:vAlign w:val="center"/>
          </w:tcPr>
          <w:p w:rsidR="004031CB" w:rsidRPr="00F9522B" w:rsidRDefault="004031CB" w:rsidP="00CA6CBF">
            <w:pPr>
              <w:widowControl/>
              <w:jc w:val="center"/>
              <w:textAlignment w:val="center"/>
              <w:rPr>
                <w:rFonts w:eastAsiaTheme="minorEastAsia"/>
                <w:kern w:val="0"/>
                <w:szCs w:val="21"/>
              </w:rPr>
            </w:pPr>
            <w:r w:rsidRPr="00F9522B">
              <w:rPr>
                <w:rFonts w:eastAsiaTheme="minorEastAsia"/>
                <w:kern w:val="0"/>
                <w:szCs w:val="21"/>
              </w:rPr>
              <w:t>森林沼泽</w:t>
            </w:r>
          </w:p>
        </w:tc>
        <w:tc>
          <w:tcPr>
            <w:tcW w:w="1688" w:type="dxa"/>
            <w:noWrap/>
            <w:vAlign w:val="center"/>
          </w:tcPr>
          <w:p w:rsidR="004031CB" w:rsidRPr="00F9522B" w:rsidRDefault="004031CB" w:rsidP="00CA6CBF">
            <w:pPr>
              <w:widowControl/>
              <w:jc w:val="center"/>
              <w:textAlignment w:val="center"/>
              <w:rPr>
                <w:rFonts w:eastAsia="仿宋"/>
                <w:szCs w:val="21"/>
              </w:rPr>
            </w:pPr>
            <w:r w:rsidRPr="00F9522B">
              <w:rPr>
                <w:kern w:val="0"/>
                <w:szCs w:val="21"/>
              </w:rPr>
              <w:t>0.0040</w:t>
            </w:r>
          </w:p>
        </w:tc>
        <w:tc>
          <w:tcPr>
            <w:tcW w:w="1895" w:type="dxa"/>
            <w:vAlign w:val="center"/>
          </w:tcPr>
          <w:p w:rsidR="004031CB" w:rsidRPr="00F9522B" w:rsidRDefault="004031CB" w:rsidP="004031CB">
            <w:pPr>
              <w:widowControl/>
              <w:jc w:val="center"/>
              <w:textAlignment w:val="center"/>
              <w:rPr>
                <w:rFonts w:eastAsia="仿宋"/>
                <w:szCs w:val="21"/>
              </w:rPr>
            </w:pPr>
            <w:r w:rsidRPr="00F9522B">
              <w:rPr>
                <w:kern w:val="0"/>
                <w:szCs w:val="21"/>
              </w:rPr>
              <w:t>0.0040</w:t>
            </w:r>
          </w:p>
        </w:tc>
      </w:tr>
      <w:tr w:rsidR="004031CB" w:rsidRPr="00F9522B" w:rsidTr="008F5BFF">
        <w:trPr>
          <w:trHeight w:val="208"/>
          <w:jc w:val="center"/>
        </w:trPr>
        <w:tc>
          <w:tcPr>
            <w:tcW w:w="807" w:type="dxa"/>
            <w:vMerge/>
            <w:noWrap/>
            <w:vAlign w:val="center"/>
          </w:tcPr>
          <w:p w:rsidR="004031CB" w:rsidRPr="00F9522B" w:rsidRDefault="004031CB" w:rsidP="00CA6CBF">
            <w:pPr>
              <w:jc w:val="center"/>
              <w:rPr>
                <w:rFonts w:eastAsiaTheme="minorEastAsia"/>
                <w:szCs w:val="21"/>
              </w:rPr>
            </w:pPr>
          </w:p>
        </w:tc>
        <w:tc>
          <w:tcPr>
            <w:tcW w:w="1461" w:type="dxa"/>
            <w:vMerge/>
            <w:noWrap/>
            <w:vAlign w:val="center"/>
          </w:tcPr>
          <w:p w:rsidR="004031CB" w:rsidRPr="00F9522B" w:rsidRDefault="004031CB" w:rsidP="00CA6CBF">
            <w:pPr>
              <w:jc w:val="center"/>
              <w:rPr>
                <w:rFonts w:eastAsiaTheme="minorEastAsia"/>
                <w:szCs w:val="21"/>
              </w:rPr>
            </w:pPr>
          </w:p>
        </w:tc>
        <w:tc>
          <w:tcPr>
            <w:tcW w:w="949" w:type="dxa"/>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0305</w:t>
            </w:r>
          </w:p>
        </w:tc>
        <w:tc>
          <w:tcPr>
            <w:tcW w:w="1985" w:type="dxa"/>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灌木林地</w:t>
            </w:r>
          </w:p>
        </w:tc>
        <w:tc>
          <w:tcPr>
            <w:tcW w:w="1688" w:type="dxa"/>
            <w:noWrap/>
            <w:vAlign w:val="center"/>
          </w:tcPr>
          <w:p w:rsidR="004031CB" w:rsidRPr="00F9522B" w:rsidRDefault="004031CB" w:rsidP="00CA6CBF">
            <w:pPr>
              <w:widowControl/>
              <w:jc w:val="center"/>
              <w:textAlignment w:val="center"/>
              <w:rPr>
                <w:rFonts w:eastAsia="仿宋"/>
                <w:szCs w:val="21"/>
              </w:rPr>
            </w:pPr>
            <w:r w:rsidRPr="00F9522B">
              <w:rPr>
                <w:kern w:val="0"/>
                <w:szCs w:val="21"/>
              </w:rPr>
              <w:t>0.0028</w:t>
            </w:r>
          </w:p>
        </w:tc>
        <w:tc>
          <w:tcPr>
            <w:tcW w:w="1895" w:type="dxa"/>
            <w:vAlign w:val="center"/>
          </w:tcPr>
          <w:p w:rsidR="004031CB" w:rsidRPr="00F9522B" w:rsidRDefault="004031CB" w:rsidP="004031CB">
            <w:pPr>
              <w:widowControl/>
              <w:jc w:val="center"/>
              <w:textAlignment w:val="center"/>
              <w:rPr>
                <w:rFonts w:eastAsia="仿宋"/>
                <w:szCs w:val="21"/>
              </w:rPr>
            </w:pPr>
            <w:r w:rsidRPr="00F9522B">
              <w:rPr>
                <w:kern w:val="0"/>
                <w:szCs w:val="21"/>
              </w:rPr>
              <w:t>0.0028</w:t>
            </w:r>
          </w:p>
        </w:tc>
      </w:tr>
      <w:tr w:rsidR="004031CB" w:rsidRPr="00F9522B" w:rsidTr="008F5BFF">
        <w:trPr>
          <w:trHeight w:val="208"/>
          <w:jc w:val="center"/>
        </w:trPr>
        <w:tc>
          <w:tcPr>
            <w:tcW w:w="807" w:type="dxa"/>
            <w:vMerge/>
            <w:noWrap/>
            <w:vAlign w:val="center"/>
          </w:tcPr>
          <w:p w:rsidR="004031CB" w:rsidRPr="00F9522B" w:rsidRDefault="004031CB" w:rsidP="00CA6CBF">
            <w:pPr>
              <w:jc w:val="center"/>
              <w:rPr>
                <w:rFonts w:eastAsiaTheme="minorEastAsia"/>
                <w:szCs w:val="21"/>
              </w:rPr>
            </w:pPr>
          </w:p>
        </w:tc>
        <w:tc>
          <w:tcPr>
            <w:tcW w:w="1461" w:type="dxa"/>
            <w:vMerge/>
            <w:noWrap/>
            <w:vAlign w:val="center"/>
          </w:tcPr>
          <w:p w:rsidR="004031CB" w:rsidRPr="00F9522B" w:rsidRDefault="004031CB" w:rsidP="00CA6CBF">
            <w:pPr>
              <w:jc w:val="center"/>
              <w:rPr>
                <w:rFonts w:eastAsiaTheme="minorEastAsia"/>
                <w:szCs w:val="21"/>
              </w:rPr>
            </w:pPr>
          </w:p>
        </w:tc>
        <w:tc>
          <w:tcPr>
            <w:tcW w:w="949" w:type="dxa"/>
            <w:noWrap/>
            <w:vAlign w:val="center"/>
          </w:tcPr>
          <w:p w:rsidR="004031CB" w:rsidRPr="00F9522B" w:rsidRDefault="004031CB" w:rsidP="00CA6CBF">
            <w:pPr>
              <w:widowControl/>
              <w:jc w:val="center"/>
              <w:textAlignment w:val="center"/>
              <w:rPr>
                <w:rFonts w:eastAsiaTheme="minorEastAsia"/>
                <w:kern w:val="0"/>
                <w:szCs w:val="21"/>
              </w:rPr>
            </w:pPr>
            <w:r w:rsidRPr="00F9522B">
              <w:rPr>
                <w:rFonts w:eastAsiaTheme="minorEastAsia"/>
                <w:kern w:val="0"/>
                <w:szCs w:val="21"/>
              </w:rPr>
              <w:t>0306</w:t>
            </w:r>
          </w:p>
        </w:tc>
        <w:tc>
          <w:tcPr>
            <w:tcW w:w="1985" w:type="dxa"/>
            <w:noWrap/>
            <w:vAlign w:val="center"/>
          </w:tcPr>
          <w:p w:rsidR="004031CB" w:rsidRPr="00F9522B" w:rsidRDefault="004031CB" w:rsidP="00CA6CBF">
            <w:pPr>
              <w:widowControl/>
              <w:jc w:val="center"/>
              <w:textAlignment w:val="center"/>
              <w:rPr>
                <w:rFonts w:eastAsiaTheme="minorEastAsia"/>
                <w:kern w:val="0"/>
                <w:szCs w:val="21"/>
              </w:rPr>
            </w:pPr>
            <w:r w:rsidRPr="00F9522B">
              <w:rPr>
                <w:rFonts w:eastAsiaTheme="minorEastAsia"/>
                <w:kern w:val="0"/>
                <w:szCs w:val="21"/>
              </w:rPr>
              <w:t>灌丛沼泽</w:t>
            </w:r>
          </w:p>
        </w:tc>
        <w:tc>
          <w:tcPr>
            <w:tcW w:w="1688" w:type="dxa"/>
            <w:noWrap/>
            <w:vAlign w:val="center"/>
          </w:tcPr>
          <w:p w:rsidR="004031CB" w:rsidRPr="00F9522B" w:rsidRDefault="004031CB" w:rsidP="00CA6CBF">
            <w:pPr>
              <w:widowControl/>
              <w:jc w:val="center"/>
              <w:textAlignment w:val="center"/>
              <w:rPr>
                <w:rFonts w:eastAsia="仿宋"/>
                <w:szCs w:val="21"/>
              </w:rPr>
            </w:pPr>
            <w:r w:rsidRPr="00F9522B">
              <w:rPr>
                <w:kern w:val="0"/>
                <w:szCs w:val="21"/>
              </w:rPr>
              <w:t>0.0010</w:t>
            </w:r>
          </w:p>
        </w:tc>
        <w:tc>
          <w:tcPr>
            <w:tcW w:w="1895" w:type="dxa"/>
            <w:vAlign w:val="center"/>
          </w:tcPr>
          <w:p w:rsidR="004031CB" w:rsidRPr="00F9522B" w:rsidRDefault="004031CB" w:rsidP="004031CB">
            <w:pPr>
              <w:widowControl/>
              <w:jc w:val="center"/>
              <w:textAlignment w:val="center"/>
              <w:rPr>
                <w:rFonts w:eastAsia="仿宋"/>
                <w:szCs w:val="21"/>
              </w:rPr>
            </w:pPr>
            <w:r w:rsidRPr="00F9522B">
              <w:rPr>
                <w:kern w:val="0"/>
                <w:szCs w:val="21"/>
              </w:rPr>
              <w:t>0.0010</w:t>
            </w:r>
          </w:p>
        </w:tc>
      </w:tr>
      <w:tr w:rsidR="004031CB" w:rsidRPr="00F9522B" w:rsidTr="008F5BFF">
        <w:trPr>
          <w:trHeight w:val="208"/>
          <w:jc w:val="center"/>
        </w:trPr>
        <w:tc>
          <w:tcPr>
            <w:tcW w:w="807" w:type="dxa"/>
            <w:vMerge/>
            <w:noWrap/>
            <w:vAlign w:val="center"/>
          </w:tcPr>
          <w:p w:rsidR="004031CB" w:rsidRPr="00F9522B" w:rsidRDefault="004031CB" w:rsidP="00CA6CBF">
            <w:pPr>
              <w:jc w:val="center"/>
              <w:rPr>
                <w:rFonts w:eastAsiaTheme="minorEastAsia"/>
                <w:szCs w:val="21"/>
              </w:rPr>
            </w:pPr>
          </w:p>
        </w:tc>
        <w:tc>
          <w:tcPr>
            <w:tcW w:w="1461" w:type="dxa"/>
            <w:vMerge/>
            <w:noWrap/>
            <w:vAlign w:val="center"/>
          </w:tcPr>
          <w:p w:rsidR="004031CB" w:rsidRPr="00F9522B" w:rsidRDefault="004031CB" w:rsidP="00CA6CBF">
            <w:pPr>
              <w:jc w:val="center"/>
              <w:rPr>
                <w:rFonts w:eastAsiaTheme="minorEastAsia"/>
                <w:szCs w:val="21"/>
              </w:rPr>
            </w:pPr>
          </w:p>
        </w:tc>
        <w:tc>
          <w:tcPr>
            <w:tcW w:w="949" w:type="dxa"/>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0307</w:t>
            </w:r>
          </w:p>
        </w:tc>
        <w:tc>
          <w:tcPr>
            <w:tcW w:w="1985" w:type="dxa"/>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其他林地</w:t>
            </w:r>
          </w:p>
        </w:tc>
        <w:tc>
          <w:tcPr>
            <w:tcW w:w="1688" w:type="dxa"/>
            <w:noWrap/>
            <w:vAlign w:val="center"/>
          </w:tcPr>
          <w:p w:rsidR="004031CB" w:rsidRPr="00F9522B" w:rsidRDefault="004031CB" w:rsidP="00CA6CBF">
            <w:pPr>
              <w:widowControl/>
              <w:jc w:val="center"/>
              <w:textAlignment w:val="center"/>
              <w:rPr>
                <w:rFonts w:eastAsia="仿宋"/>
                <w:szCs w:val="21"/>
              </w:rPr>
            </w:pPr>
            <w:r w:rsidRPr="00F9522B">
              <w:rPr>
                <w:kern w:val="0"/>
                <w:szCs w:val="21"/>
              </w:rPr>
              <w:t>0.2673</w:t>
            </w:r>
          </w:p>
        </w:tc>
        <w:tc>
          <w:tcPr>
            <w:tcW w:w="1895" w:type="dxa"/>
            <w:vAlign w:val="center"/>
          </w:tcPr>
          <w:p w:rsidR="004031CB" w:rsidRPr="00F9522B" w:rsidRDefault="004031CB" w:rsidP="004031CB">
            <w:pPr>
              <w:widowControl/>
              <w:jc w:val="center"/>
              <w:textAlignment w:val="center"/>
              <w:rPr>
                <w:rFonts w:eastAsia="仿宋"/>
                <w:szCs w:val="21"/>
              </w:rPr>
            </w:pPr>
            <w:r w:rsidRPr="00F9522B">
              <w:rPr>
                <w:kern w:val="0"/>
                <w:szCs w:val="21"/>
              </w:rPr>
              <w:t>0.2673</w:t>
            </w:r>
          </w:p>
        </w:tc>
      </w:tr>
      <w:tr w:rsidR="004031CB" w:rsidRPr="00F9522B" w:rsidTr="008F5BFF">
        <w:trPr>
          <w:trHeight w:val="208"/>
          <w:jc w:val="center"/>
        </w:trPr>
        <w:tc>
          <w:tcPr>
            <w:tcW w:w="807" w:type="dxa"/>
            <w:vMerge w:val="restart"/>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04</w:t>
            </w:r>
          </w:p>
        </w:tc>
        <w:tc>
          <w:tcPr>
            <w:tcW w:w="1461" w:type="dxa"/>
            <w:vMerge w:val="restart"/>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草地</w:t>
            </w:r>
          </w:p>
        </w:tc>
        <w:tc>
          <w:tcPr>
            <w:tcW w:w="949" w:type="dxa"/>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0402</w:t>
            </w:r>
          </w:p>
        </w:tc>
        <w:tc>
          <w:tcPr>
            <w:tcW w:w="1985" w:type="dxa"/>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沼泽草地</w:t>
            </w:r>
          </w:p>
        </w:tc>
        <w:tc>
          <w:tcPr>
            <w:tcW w:w="1688" w:type="dxa"/>
            <w:noWrap/>
            <w:vAlign w:val="center"/>
          </w:tcPr>
          <w:p w:rsidR="004031CB" w:rsidRPr="00F9522B" w:rsidRDefault="004031CB" w:rsidP="00CA6CBF">
            <w:pPr>
              <w:widowControl/>
              <w:jc w:val="center"/>
              <w:textAlignment w:val="center"/>
              <w:rPr>
                <w:rFonts w:eastAsia="仿宋"/>
                <w:szCs w:val="21"/>
              </w:rPr>
            </w:pPr>
            <w:r w:rsidRPr="00F9522B">
              <w:rPr>
                <w:kern w:val="0"/>
                <w:szCs w:val="21"/>
              </w:rPr>
              <w:t>0.0023</w:t>
            </w:r>
          </w:p>
        </w:tc>
        <w:tc>
          <w:tcPr>
            <w:tcW w:w="1895" w:type="dxa"/>
            <w:vAlign w:val="center"/>
          </w:tcPr>
          <w:p w:rsidR="004031CB" w:rsidRPr="00F9522B" w:rsidRDefault="004031CB" w:rsidP="004031CB">
            <w:pPr>
              <w:widowControl/>
              <w:jc w:val="center"/>
              <w:textAlignment w:val="center"/>
              <w:rPr>
                <w:rFonts w:eastAsia="仿宋"/>
                <w:szCs w:val="21"/>
              </w:rPr>
            </w:pPr>
            <w:r w:rsidRPr="00F9522B">
              <w:rPr>
                <w:kern w:val="0"/>
                <w:szCs w:val="21"/>
              </w:rPr>
              <w:t>0.0023</w:t>
            </w:r>
          </w:p>
        </w:tc>
      </w:tr>
      <w:tr w:rsidR="004031CB" w:rsidRPr="00F9522B" w:rsidTr="008F5BFF">
        <w:trPr>
          <w:trHeight w:val="208"/>
          <w:jc w:val="center"/>
        </w:trPr>
        <w:tc>
          <w:tcPr>
            <w:tcW w:w="807" w:type="dxa"/>
            <w:vMerge/>
            <w:noWrap/>
            <w:vAlign w:val="center"/>
          </w:tcPr>
          <w:p w:rsidR="004031CB" w:rsidRPr="00F9522B" w:rsidRDefault="004031CB" w:rsidP="00CA6CBF">
            <w:pPr>
              <w:jc w:val="center"/>
              <w:rPr>
                <w:rFonts w:eastAsiaTheme="minorEastAsia"/>
                <w:szCs w:val="21"/>
              </w:rPr>
            </w:pPr>
          </w:p>
        </w:tc>
        <w:tc>
          <w:tcPr>
            <w:tcW w:w="1461" w:type="dxa"/>
            <w:vMerge/>
            <w:noWrap/>
            <w:vAlign w:val="center"/>
          </w:tcPr>
          <w:p w:rsidR="004031CB" w:rsidRPr="00F9522B" w:rsidRDefault="004031CB" w:rsidP="00CA6CBF">
            <w:pPr>
              <w:jc w:val="center"/>
              <w:rPr>
                <w:rFonts w:eastAsiaTheme="minorEastAsia"/>
                <w:szCs w:val="21"/>
              </w:rPr>
            </w:pPr>
          </w:p>
        </w:tc>
        <w:tc>
          <w:tcPr>
            <w:tcW w:w="949" w:type="dxa"/>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0404</w:t>
            </w:r>
          </w:p>
        </w:tc>
        <w:tc>
          <w:tcPr>
            <w:tcW w:w="1985" w:type="dxa"/>
            <w:noWrap/>
            <w:vAlign w:val="center"/>
          </w:tcPr>
          <w:p w:rsidR="004031CB" w:rsidRPr="00F9522B" w:rsidRDefault="004031CB" w:rsidP="00CA6CBF">
            <w:pPr>
              <w:widowControl/>
              <w:jc w:val="center"/>
              <w:textAlignment w:val="center"/>
              <w:rPr>
                <w:rFonts w:eastAsiaTheme="minorEastAsia"/>
                <w:color w:val="FF0000"/>
                <w:szCs w:val="21"/>
              </w:rPr>
            </w:pPr>
            <w:r w:rsidRPr="00F9522B">
              <w:rPr>
                <w:rFonts w:eastAsiaTheme="minorEastAsia"/>
                <w:color w:val="FF0000"/>
                <w:kern w:val="0"/>
                <w:szCs w:val="21"/>
              </w:rPr>
              <w:t>其他草地</w:t>
            </w:r>
          </w:p>
        </w:tc>
        <w:tc>
          <w:tcPr>
            <w:tcW w:w="1688" w:type="dxa"/>
            <w:noWrap/>
            <w:vAlign w:val="center"/>
          </w:tcPr>
          <w:p w:rsidR="004031CB" w:rsidRPr="00F9522B" w:rsidRDefault="00CA60FD" w:rsidP="001D3235">
            <w:pPr>
              <w:widowControl/>
              <w:jc w:val="center"/>
              <w:textAlignment w:val="center"/>
              <w:rPr>
                <w:rFonts w:eastAsia="仿宋"/>
                <w:color w:val="FF0000"/>
                <w:szCs w:val="21"/>
              </w:rPr>
            </w:pPr>
            <w:r w:rsidRPr="00F9522B">
              <w:rPr>
                <w:color w:val="FF0000"/>
                <w:kern w:val="0"/>
                <w:szCs w:val="21"/>
              </w:rPr>
              <w:t>0.</w:t>
            </w:r>
            <w:r w:rsidR="001D3235" w:rsidRPr="00F9522B">
              <w:rPr>
                <w:color w:val="FF0000"/>
                <w:kern w:val="0"/>
                <w:szCs w:val="21"/>
              </w:rPr>
              <w:t>100</w:t>
            </w:r>
            <w:r w:rsidRPr="00F9522B">
              <w:rPr>
                <w:color w:val="FF0000"/>
                <w:kern w:val="0"/>
                <w:szCs w:val="21"/>
              </w:rPr>
              <w:t>6</w:t>
            </w:r>
          </w:p>
        </w:tc>
        <w:tc>
          <w:tcPr>
            <w:tcW w:w="1895" w:type="dxa"/>
            <w:vAlign w:val="center"/>
          </w:tcPr>
          <w:p w:rsidR="004031CB" w:rsidRPr="00F9522B" w:rsidRDefault="004031CB" w:rsidP="00CA6CBF">
            <w:pPr>
              <w:widowControl/>
              <w:jc w:val="center"/>
              <w:textAlignment w:val="center"/>
              <w:rPr>
                <w:rFonts w:eastAsiaTheme="minorEastAsia"/>
                <w:kern w:val="0"/>
                <w:szCs w:val="21"/>
              </w:rPr>
            </w:pPr>
            <w:r w:rsidRPr="00F9522B">
              <w:rPr>
                <w:rFonts w:eastAsiaTheme="minorEastAsia"/>
                <w:kern w:val="0"/>
                <w:szCs w:val="21"/>
              </w:rPr>
              <w:t>0.099</w:t>
            </w:r>
            <w:r w:rsidR="00745972" w:rsidRPr="00F9522B">
              <w:rPr>
                <w:rFonts w:eastAsiaTheme="minorEastAsia"/>
                <w:kern w:val="0"/>
                <w:szCs w:val="21"/>
              </w:rPr>
              <w:t>2</w:t>
            </w:r>
          </w:p>
        </w:tc>
      </w:tr>
      <w:tr w:rsidR="004031CB" w:rsidRPr="00F9522B" w:rsidTr="008F5BFF">
        <w:trPr>
          <w:trHeight w:val="208"/>
          <w:jc w:val="center"/>
        </w:trPr>
        <w:tc>
          <w:tcPr>
            <w:tcW w:w="807" w:type="dxa"/>
            <w:vMerge w:val="restart"/>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05</w:t>
            </w:r>
          </w:p>
        </w:tc>
        <w:tc>
          <w:tcPr>
            <w:tcW w:w="1461" w:type="dxa"/>
            <w:vMerge w:val="restart"/>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商业服务业用地</w:t>
            </w:r>
          </w:p>
        </w:tc>
        <w:tc>
          <w:tcPr>
            <w:tcW w:w="949" w:type="dxa"/>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0508</w:t>
            </w:r>
          </w:p>
        </w:tc>
        <w:tc>
          <w:tcPr>
            <w:tcW w:w="1985" w:type="dxa"/>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仓储物流用地</w:t>
            </w:r>
          </w:p>
        </w:tc>
        <w:tc>
          <w:tcPr>
            <w:tcW w:w="1688" w:type="dxa"/>
            <w:noWrap/>
            <w:vAlign w:val="center"/>
          </w:tcPr>
          <w:p w:rsidR="004031CB" w:rsidRPr="00F9522B" w:rsidRDefault="004031CB" w:rsidP="00CA6CBF">
            <w:pPr>
              <w:widowControl/>
              <w:jc w:val="center"/>
              <w:textAlignment w:val="center"/>
              <w:rPr>
                <w:rFonts w:eastAsia="仿宋"/>
                <w:szCs w:val="21"/>
              </w:rPr>
            </w:pPr>
            <w:r w:rsidRPr="00F9522B">
              <w:rPr>
                <w:kern w:val="0"/>
                <w:szCs w:val="21"/>
              </w:rPr>
              <w:t>0.0416</w:t>
            </w:r>
          </w:p>
        </w:tc>
        <w:tc>
          <w:tcPr>
            <w:tcW w:w="1895" w:type="dxa"/>
            <w:vAlign w:val="center"/>
          </w:tcPr>
          <w:p w:rsidR="004031CB" w:rsidRPr="00F9522B" w:rsidRDefault="004031CB" w:rsidP="004031CB">
            <w:pPr>
              <w:widowControl/>
              <w:jc w:val="center"/>
              <w:textAlignment w:val="center"/>
              <w:rPr>
                <w:rFonts w:eastAsia="仿宋"/>
                <w:szCs w:val="21"/>
              </w:rPr>
            </w:pPr>
            <w:r w:rsidRPr="00F9522B">
              <w:rPr>
                <w:kern w:val="0"/>
                <w:szCs w:val="21"/>
              </w:rPr>
              <w:t>0.0416</w:t>
            </w:r>
          </w:p>
        </w:tc>
      </w:tr>
      <w:tr w:rsidR="004031CB" w:rsidRPr="00F9522B" w:rsidTr="008F5BFF">
        <w:trPr>
          <w:trHeight w:val="208"/>
          <w:jc w:val="center"/>
        </w:trPr>
        <w:tc>
          <w:tcPr>
            <w:tcW w:w="807" w:type="dxa"/>
            <w:vMerge/>
            <w:noWrap/>
            <w:vAlign w:val="center"/>
          </w:tcPr>
          <w:p w:rsidR="004031CB" w:rsidRPr="00F9522B" w:rsidRDefault="004031CB" w:rsidP="00CA6CBF">
            <w:pPr>
              <w:jc w:val="center"/>
              <w:rPr>
                <w:rFonts w:eastAsiaTheme="minorEastAsia"/>
                <w:szCs w:val="21"/>
              </w:rPr>
            </w:pPr>
          </w:p>
        </w:tc>
        <w:tc>
          <w:tcPr>
            <w:tcW w:w="1461" w:type="dxa"/>
            <w:vMerge/>
            <w:noWrap/>
            <w:vAlign w:val="center"/>
          </w:tcPr>
          <w:p w:rsidR="004031CB" w:rsidRPr="00F9522B" w:rsidRDefault="004031CB" w:rsidP="00CA6CBF">
            <w:pPr>
              <w:jc w:val="center"/>
              <w:rPr>
                <w:rFonts w:eastAsiaTheme="minorEastAsia"/>
                <w:szCs w:val="21"/>
              </w:rPr>
            </w:pPr>
          </w:p>
        </w:tc>
        <w:tc>
          <w:tcPr>
            <w:tcW w:w="949" w:type="dxa"/>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05H1</w:t>
            </w:r>
          </w:p>
        </w:tc>
        <w:tc>
          <w:tcPr>
            <w:tcW w:w="1985" w:type="dxa"/>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商业服务业设施用地</w:t>
            </w:r>
          </w:p>
        </w:tc>
        <w:tc>
          <w:tcPr>
            <w:tcW w:w="1688" w:type="dxa"/>
            <w:noWrap/>
            <w:vAlign w:val="center"/>
          </w:tcPr>
          <w:p w:rsidR="004031CB" w:rsidRPr="00F9522B" w:rsidRDefault="004031CB" w:rsidP="00CA6CBF">
            <w:pPr>
              <w:widowControl/>
              <w:jc w:val="center"/>
              <w:textAlignment w:val="center"/>
              <w:rPr>
                <w:rFonts w:eastAsia="仿宋"/>
                <w:szCs w:val="21"/>
              </w:rPr>
            </w:pPr>
            <w:r w:rsidRPr="00F9522B">
              <w:rPr>
                <w:kern w:val="0"/>
                <w:szCs w:val="21"/>
              </w:rPr>
              <w:t>0.0110</w:t>
            </w:r>
          </w:p>
        </w:tc>
        <w:tc>
          <w:tcPr>
            <w:tcW w:w="1895" w:type="dxa"/>
            <w:vAlign w:val="center"/>
          </w:tcPr>
          <w:p w:rsidR="004031CB" w:rsidRPr="00F9522B" w:rsidRDefault="004031CB" w:rsidP="004031CB">
            <w:pPr>
              <w:widowControl/>
              <w:jc w:val="center"/>
              <w:textAlignment w:val="center"/>
              <w:rPr>
                <w:rFonts w:eastAsia="仿宋"/>
                <w:szCs w:val="21"/>
              </w:rPr>
            </w:pPr>
            <w:r w:rsidRPr="00F9522B">
              <w:rPr>
                <w:kern w:val="0"/>
                <w:szCs w:val="21"/>
              </w:rPr>
              <w:t>0.0110</w:t>
            </w:r>
          </w:p>
        </w:tc>
      </w:tr>
      <w:tr w:rsidR="004031CB" w:rsidRPr="00F9522B" w:rsidTr="008F5BFF">
        <w:trPr>
          <w:trHeight w:val="208"/>
          <w:jc w:val="center"/>
        </w:trPr>
        <w:tc>
          <w:tcPr>
            <w:tcW w:w="807" w:type="dxa"/>
            <w:vMerge w:val="restart"/>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06</w:t>
            </w:r>
          </w:p>
        </w:tc>
        <w:tc>
          <w:tcPr>
            <w:tcW w:w="1461" w:type="dxa"/>
            <w:vMerge w:val="restart"/>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工业用地</w:t>
            </w:r>
          </w:p>
        </w:tc>
        <w:tc>
          <w:tcPr>
            <w:tcW w:w="949" w:type="dxa"/>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0601</w:t>
            </w:r>
          </w:p>
        </w:tc>
        <w:tc>
          <w:tcPr>
            <w:tcW w:w="1985" w:type="dxa"/>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工业用地</w:t>
            </w:r>
          </w:p>
        </w:tc>
        <w:tc>
          <w:tcPr>
            <w:tcW w:w="1688" w:type="dxa"/>
            <w:noWrap/>
            <w:vAlign w:val="center"/>
          </w:tcPr>
          <w:p w:rsidR="004031CB" w:rsidRPr="00F9522B" w:rsidRDefault="004031CB" w:rsidP="00CA6CBF">
            <w:pPr>
              <w:widowControl/>
              <w:jc w:val="center"/>
              <w:textAlignment w:val="center"/>
              <w:rPr>
                <w:rFonts w:eastAsia="仿宋"/>
                <w:szCs w:val="21"/>
              </w:rPr>
            </w:pPr>
            <w:r w:rsidRPr="00F9522B">
              <w:rPr>
                <w:kern w:val="0"/>
                <w:szCs w:val="21"/>
              </w:rPr>
              <w:t>0.1447</w:t>
            </w:r>
          </w:p>
        </w:tc>
        <w:tc>
          <w:tcPr>
            <w:tcW w:w="1895" w:type="dxa"/>
            <w:vAlign w:val="center"/>
          </w:tcPr>
          <w:p w:rsidR="004031CB" w:rsidRPr="00F9522B" w:rsidRDefault="004031CB" w:rsidP="004031CB">
            <w:pPr>
              <w:widowControl/>
              <w:jc w:val="center"/>
              <w:textAlignment w:val="center"/>
              <w:rPr>
                <w:rFonts w:eastAsia="仿宋"/>
                <w:szCs w:val="21"/>
              </w:rPr>
            </w:pPr>
            <w:r w:rsidRPr="00F9522B">
              <w:rPr>
                <w:kern w:val="0"/>
                <w:szCs w:val="21"/>
              </w:rPr>
              <w:t>0.1447</w:t>
            </w:r>
          </w:p>
        </w:tc>
      </w:tr>
      <w:tr w:rsidR="004031CB" w:rsidRPr="00F9522B" w:rsidTr="008F5BFF">
        <w:trPr>
          <w:trHeight w:val="208"/>
          <w:jc w:val="center"/>
        </w:trPr>
        <w:tc>
          <w:tcPr>
            <w:tcW w:w="807" w:type="dxa"/>
            <w:vMerge/>
            <w:noWrap/>
            <w:vAlign w:val="center"/>
          </w:tcPr>
          <w:p w:rsidR="004031CB" w:rsidRPr="00F9522B" w:rsidRDefault="004031CB" w:rsidP="00CA6CBF">
            <w:pPr>
              <w:jc w:val="center"/>
              <w:rPr>
                <w:rFonts w:eastAsiaTheme="minorEastAsia"/>
                <w:szCs w:val="21"/>
              </w:rPr>
            </w:pPr>
          </w:p>
        </w:tc>
        <w:tc>
          <w:tcPr>
            <w:tcW w:w="1461" w:type="dxa"/>
            <w:vMerge/>
            <w:noWrap/>
            <w:vAlign w:val="center"/>
          </w:tcPr>
          <w:p w:rsidR="004031CB" w:rsidRPr="00F9522B" w:rsidRDefault="004031CB" w:rsidP="00CA6CBF">
            <w:pPr>
              <w:jc w:val="center"/>
              <w:rPr>
                <w:rFonts w:eastAsiaTheme="minorEastAsia"/>
                <w:szCs w:val="21"/>
              </w:rPr>
            </w:pPr>
          </w:p>
        </w:tc>
        <w:tc>
          <w:tcPr>
            <w:tcW w:w="949" w:type="dxa"/>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0602</w:t>
            </w:r>
          </w:p>
        </w:tc>
        <w:tc>
          <w:tcPr>
            <w:tcW w:w="1985" w:type="dxa"/>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采矿用地</w:t>
            </w:r>
          </w:p>
        </w:tc>
        <w:tc>
          <w:tcPr>
            <w:tcW w:w="1688" w:type="dxa"/>
            <w:noWrap/>
            <w:vAlign w:val="center"/>
          </w:tcPr>
          <w:p w:rsidR="004031CB" w:rsidRPr="00F9522B" w:rsidRDefault="004031CB" w:rsidP="00CA6CBF">
            <w:pPr>
              <w:widowControl/>
              <w:jc w:val="center"/>
              <w:textAlignment w:val="center"/>
              <w:rPr>
                <w:rFonts w:eastAsia="仿宋"/>
                <w:szCs w:val="21"/>
              </w:rPr>
            </w:pPr>
            <w:r w:rsidRPr="00F9522B">
              <w:rPr>
                <w:kern w:val="0"/>
                <w:szCs w:val="21"/>
              </w:rPr>
              <w:t>0.0148</w:t>
            </w:r>
          </w:p>
        </w:tc>
        <w:tc>
          <w:tcPr>
            <w:tcW w:w="1895" w:type="dxa"/>
            <w:vAlign w:val="center"/>
          </w:tcPr>
          <w:p w:rsidR="004031CB" w:rsidRPr="00F9522B" w:rsidRDefault="004031CB" w:rsidP="004031CB">
            <w:pPr>
              <w:widowControl/>
              <w:jc w:val="center"/>
              <w:textAlignment w:val="center"/>
              <w:rPr>
                <w:rFonts w:eastAsia="仿宋"/>
                <w:szCs w:val="21"/>
              </w:rPr>
            </w:pPr>
            <w:r w:rsidRPr="00F9522B">
              <w:rPr>
                <w:kern w:val="0"/>
                <w:szCs w:val="21"/>
              </w:rPr>
              <w:t>0.0148</w:t>
            </w:r>
          </w:p>
        </w:tc>
      </w:tr>
      <w:tr w:rsidR="004031CB" w:rsidRPr="00F9522B" w:rsidTr="008F5BFF">
        <w:trPr>
          <w:trHeight w:val="208"/>
          <w:jc w:val="center"/>
        </w:trPr>
        <w:tc>
          <w:tcPr>
            <w:tcW w:w="807" w:type="dxa"/>
            <w:vMerge w:val="restart"/>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07</w:t>
            </w:r>
          </w:p>
        </w:tc>
        <w:tc>
          <w:tcPr>
            <w:tcW w:w="1461" w:type="dxa"/>
            <w:vMerge w:val="restart"/>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住宅用地</w:t>
            </w:r>
          </w:p>
        </w:tc>
        <w:tc>
          <w:tcPr>
            <w:tcW w:w="949" w:type="dxa"/>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0701</w:t>
            </w:r>
          </w:p>
        </w:tc>
        <w:tc>
          <w:tcPr>
            <w:tcW w:w="1985" w:type="dxa"/>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城镇住宅用地</w:t>
            </w:r>
          </w:p>
        </w:tc>
        <w:tc>
          <w:tcPr>
            <w:tcW w:w="1688" w:type="dxa"/>
            <w:noWrap/>
            <w:vAlign w:val="center"/>
          </w:tcPr>
          <w:p w:rsidR="004031CB" w:rsidRPr="00F9522B" w:rsidRDefault="004031CB" w:rsidP="00CA6CBF">
            <w:pPr>
              <w:widowControl/>
              <w:jc w:val="center"/>
              <w:textAlignment w:val="center"/>
              <w:rPr>
                <w:rFonts w:eastAsia="仿宋"/>
                <w:szCs w:val="21"/>
              </w:rPr>
            </w:pPr>
            <w:r w:rsidRPr="00F9522B">
              <w:rPr>
                <w:kern w:val="0"/>
                <w:szCs w:val="21"/>
              </w:rPr>
              <w:t>0.0047</w:t>
            </w:r>
          </w:p>
        </w:tc>
        <w:tc>
          <w:tcPr>
            <w:tcW w:w="1895" w:type="dxa"/>
            <w:vAlign w:val="center"/>
          </w:tcPr>
          <w:p w:rsidR="004031CB" w:rsidRPr="00F9522B" w:rsidRDefault="004031CB" w:rsidP="004031CB">
            <w:pPr>
              <w:widowControl/>
              <w:jc w:val="center"/>
              <w:textAlignment w:val="center"/>
              <w:rPr>
                <w:rFonts w:eastAsia="仿宋"/>
                <w:szCs w:val="21"/>
              </w:rPr>
            </w:pPr>
            <w:r w:rsidRPr="00F9522B">
              <w:rPr>
                <w:kern w:val="0"/>
                <w:szCs w:val="21"/>
              </w:rPr>
              <w:t>0.0047</w:t>
            </w:r>
          </w:p>
        </w:tc>
      </w:tr>
      <w:tr w:rsidR="004031CB" w:rsidRPr="00F9522B" w:rsidTr="008F5BFF">
        <w:trPr>
          <w:trHeight w:val="208"/>
          <w:jc w:val="center"/>
        </w:trPr>
        <w:tc>
          <w:tcPr>
            <w:tcW w:w="807" w:type="dxa"/>
            <w:vMerge/>
            <w:noWrap/>
            <w:vAlign w:val="center"/>
          </w:tcPr>
          <w:p w:rsidR="004031CB" w:rsidRPr="00F9522B" w:rsidRDefault="004031CB" w:rsidP="00CA6CBF">
            <w:pPr>
              <w:jc w:val="center"/>
              <w:rPr>
                <w:rFonts w:eastAsiaTheme="minorEastAsia"/>
                <w:szCs w:val="21"/>
              </w:rPr>
            </w:pPr>
          </w:p>
        </w:tc>
        <w:tc>
          <w:tcPr>
            <w:tcW w:w="1461" w:type="dxa"/>
            <w:vMerge/>
            <w:noWrap/>
            <w:vAlign w:val="center"/>
          </w:tcPr>
          <w:p w:rsidR="004031CB" w:rsidRPr="00F9522B" w:rsidRDefault="004031CB" w:rsidP="00CA6CBF">
            <w:pPr>
              <w:jc w:val="center"/>
              <w:rPr>
                <w:rFonts w:eastAsiaTheme="minorEastAsia"/>
                <w:szCs w:val="21"/>
              </w:rPr>
            </w:pPr>
          </w:p>
        </w:tc>
        <w:tc>
          <w:tcPr>
            <w:tcW w:w="949" w:type="dxa"/>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0702</w:t>
            </w:r>
          </w:p>
        </w:tc>
        <w:tc>
          <w:tcPr>
            <w:tcW w:w="1985" w:type="dxa"/>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农村宅基地</w:t>
            </w:r>
          </w:p>
        </w:tc>
        <w:tc>
          <w:tcPr>
            <w:tcW w:w="1688" w:type="dxa"/>
            <w:noWrap/>
            <w:vAlign w:val="center"/>
          </w:tcPr>
          <w:p w:rsidR="004031CB" w:rsidRPr="00F9522B" w:rsidRDefault="004031CB" w:rsidP="00CA6CBF">
            <w:pPr>
              <w:widowControl/>
              <w:jc w:val="center"/>
              <w:textAlignment w:val="center"/>
              <w:rPr>
                <w:rFonts w:eastAsia="仿宋"/>
                <w:szCs w:val="21"/>
              </w:rPr>
            </w:pPr>
            <w:r w:rsidRPr="00F9522B">
              <w:rPr>
                <w:kern w:val="0"/>
                <w:szCs w:val="21"/>
              </w:rPr>
              <w:t>1.0510</w:t>
            </w:r>
          </w:p>
        </w:tc>
        <w:tc>
          <w:tcPr>
            <w:tcW w:w="1895" w:type="dxa"/>
            <w:vAlign w:val="center"/>
          </w:tcPr>
          <w:p w:rsidR="004031CB" w:rsidRPr="00F9522B" w:rsidRDefault="004031CB" w:rsidP="004031CB">
            <w:pPr>
              <w:widowControl/>
              <w:jc w:val="center"/>
              <w:textAlignment w:val="center"/>
              <w:rPr>
                <w:rFonts w:eastAsia="仿宋"/>
                <w:szCs w:val="21"/>
              </w:rPr>
            </w:pPr>
            <w:r w:rsidRPr="00F9522B">
              <w:rPr>
                <w:kern w:val="0"/>
                <w:szCs w:val="21"/>
              </w:rPr>
              <w:t>1.0510</w:t>
            </w:r>
          </w:p>
        </w:tc>
      </w:tr>
      <w:tr w:rsidR="004031CB" w:rsidRPr="00F9522B" w:rsidTr="008F5BFF">
        <w:trPr>
          <w:trHeight w:val="208"/>
          <w:jc w:val="center"/>
        </w:trPr>
        <w:tc>
          <w:tcPr>
            <w:tcW w:w="807" w:type="dxa"/>
            <w:vMerge w:val="restart"/>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08</w:t>
            </w:r>
          </w:p>
        </w:tc>
        <w:tc>
          <w:tcPr>
            <w:tcW w:w="1461" w:type="dxa"/>
            <w:vMerge w:val="restart"/>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公共管理与公共服务用地</w:t>
            </w:r>
          </w:p>
        </w:tc>
        <w:tc>
          <w:tcPr>
            <w:tcW w:w="949" w:type="dxa"/>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0809</w:t>
            </w:r>
          </w:p>
        </w:tc>
        <w:tc>
          <w:tcPr>
            <w:tcW w:w="1985" w:type="dxa"/>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公用设施用地</w:t>
            </w:r>
          </w:p>
        </w:tc>
        <w:tc>
          <w:tcPr>
            <w:tcW w:w="1688" w:type="dxa"/>
            <w:noWrap/>
            <w:vAlign w:val="center"/>
          </w:tcPr>
          <w:p w:rsidR="004031CB" w:rsidRPr="00F9522B" w:rsidRDefault="004031CB" w:rsidP="00CA6CBF">
            <w:pPr>
              <w:widowControl/>
              <w:jc w:val="center"/>
              <w:textAlignment w:val="center"/>
              <w:rPr>
                <w:rFonts w:eastAsia="仿宋"/>
                <w:szCs w:val="21"/>
              </w:rPr>
            </w:pPr>
            <w:r w:rsidRPr="00F9522B">
              <w:rPr>
                <w:kern w:val="0"/>
                <w:szCs w:val="21"/>
              </w:rPr>
              <w:t>0.0088</w:t>
            </w:r>
          </w:p>
        </w:tc>
        <w:tc>
          <w:tcPr>
            <w:tcW w:w="1895" w:type="dxa"/>
            <w:vAlign w:val="center"/>
          </w:tcPr>
          <w:p w:rsidR="004031CB" w:rsidRPr="00F9522B" w:rsidRDefault="004031CB" w:rsidP="00CA6CBF">
            <w:pPr>
              <w:widowControl/>
              <w:jc w:val="center"/>
              <w:textAlignment w:val="center"/>
              <w:rPr>
                <w:rFonts w:eastAsiaTheme="minorEastAsia"/>
                <w:kern w:val="0"/>
                <w:szCs w:val="21"/>
              </w:rPr>
            </w:pPr>
            <w:r w:rsidRPr="00F9522B">
              <w:rPr>
                <w:rFonts w:eastAsiaTheme="minorEastAsia"/>
                <w:kern w:val="0"/>
                <w:szCs w:val="21"/>
              </w:rPr>
              <w:t>0.0089</w:t>
            </w:r>
          </w:p>
        </w:tc>
      </w:tr>
      <w:tr w:rsidR="004031CB" w:rsidRPr="00F9522B" w:rsidTr="008F5BFF">
        <w:trPr>
          <w:trHeight w:val="208"/>
          <w:jc w:val="center"/>
        </w:trPr>
        <w:tc>
          <w:tcPr>
            <w:tcW w:w="807" w:type="dxa"/>
            <w:vMerge/>
            <w:noWrap/>
            <w:vAlign w:val="center"/>
          </w:tcPr>
          <w:p w:rsidR="004031CB" w:rsidRPr="00F9522B" w:rsidRDefault="004031CB" w:rsidP="00CA6CBF">
            <w:pPr>
              <w:widowControl/>
              <w:jc w:val="center"/>
              <w:textAlignment w:val="center"/>
              <w:rPr>
                <w:rFonts w:eastAsiaTheme="minorEastAsia"/>
                <w:kern w:val="0"/>
                <w:szCs w:val="21"/>
              </w:rPr>
            </w:pPr>
          </w:p>
        </w:tc>
        <w:tc>
          <w:tcPr>
            <w:tcW w:w="1461" w:type="dxa"/>
            <w:vMerge/>
            <w:noWrap/>
            <w:vAlign w:val="center"/>
          </w:tcPr>
          <w:p w:rsidR="004031CB" w:rsidRPr="00F9522B" w:rsidRDefault="004031CB" w:rsidP="00CA6CBF">
            <w:pPr>
              <w:widowControl/>
              <w:jc w:val="center"/>
              <w:textAlignment w:val="center"/>
              <w:rPr>
                <w:rFonts w:eastAsiaTheme="minorEastAsia"/>
                <w:kern w:val="0"/>
                <w:szCs w:val="21"/>
              </w:rPr>
            </w:pPr>
          </w:p>
        </w:tc>
        <w:tc>
          <w:tcPr>
            <w:tcW w:w="949" w:type="dxa"/>
            <w:noWrap/>
            <w:vAlign w:val="center"/>
          </w:tcPr>
          <w:p w:rsidR="004031CB" w:rsidRPr="00F9522B" w:rsidRDefault="004031CB" w:rsidP="00CA6CBF">
            <w:pPr>
              <w:widowControl/>
              <w:jc w:val="center"/>
              <w:textAlignment w:val="center"/>
              <w:rPr>
                <w:rFonts w:eastAsiaTheme="minorEastAsia"/>
                <w:kern w:val="0"/>
                <w:szCs w:val="21"/>
              </w:rPr>
            </w:pPr>
            <w:r w:rsidRPr="00F9522B">
              <w:rPr>
                <w:rFonts w:eastAsiaTheme="minorEastAsia"/>
                <w:kern w:val="0"/>
                <w:szCs w:val="21"/>
              </w:rPr>
              <w:t>0810A</w:t>
            </w:r>
          </w:p>
        </w:tc>
        <w:tc>
          <w:tcPr>
            <w:tcW w:w="1985" w:type="dxa"/>
            <w:noWrap/>
            <w:vAlign w:val="center"/>
          </w:tcPr>
          <w:p w:rsidR="004031CB" w:rsidRPr="00F9522B" w:rsidRDefault="004031CB" w:rsidP="00CA6CBF">
            <w:pPr>
              <w:widowControl/>
              <w:jc w:val="center"/>
              <w:textAlignment w:val="center"/>
              <w:rPr>
                <w:rFonts w:eastAsiaTheme="minorEastAsia"/>
                <w:kern w:val="0"/>
                <w:szCs w:val="21"/>
              </w:rPr>
            </w:pPr>
            <w:r w:rsidRPr="00F9522B">
              <w:rPr>
                <w:rFonts w:eastAsiaTheme="minorEastAsia"/>
                <w:kern w:val="0"/>
                <w:szCs w:val="21"/>
              </w:rPr>
              <w:t>广场用地</w:t>
            </w:r>
          </w:p>
        </w:tc>
        <w:tc>
          <w:tcPr>
            <w:tcW w:w="1688" w:type="dxa"/>
            <w:noWrap/>
            <w:vAlign w:val="center"/>
          </w:tcPr>
          <w:p w:rsidR="004031CB" w:rsidRPr="00F9522B" w:rsidRDefault="004031CB" w:rsidP="00CA6CBF">
            <w:pPr>
              <w:widowControl/>
              <w:jc w:val="center"/>
              <w:textAlignment w:val="center"/>
              <w:rPr>
                <w:rFonts w:eastAsia="仿宋"/>
                <w:szCs w:val="21"/>
              </w:rPr>
            </w:pPr>
            <w:r w:rsidRPr="00F9522B">
              <w:rPr>
                <w:kern w:val="0"/>
                <w:szCs w:val="21"/>
              </w:rPr>
              <w:t>0.0012</w:t>
            </w:r>
          </w:p>
        </w:tc>
        <w:tc>
          <w:tcPr>
            <w:tcW w:w="1895" w:type="dxa"/>
            <w:vAlign w:val="center"/>
          </w:tcPr>
          <w:p w:rsidR="004031CB" w:rsidRPr="00F9522B" w:rsidRDefault="004031CB" w:rsidP="004031CB">
            <w:pPr>
              <w:widowControl/>
              <w:jc w:val="center"/>
              <w:textAlignment w:val="center"/>
              <w:rPr>
                <w:rFonts w:eastAsia="仿宋"/>
                <w:szCs w:val="21"/>
              </w:rPr>
            </w:pPr>
            <w:r w:rsidRPr="00F9522B">
              <w:rPr>
                <w:kern w:val="0"/>
                <w:szCs w:val="21"/>
              </w:rPr>
              <w:t>0.0012</w:t>
            </w:r>
          </w:p>
        </w:tc>
      </w:tr>
      <w:tr w:rsidR="004031CB" w:rsidRPr="00F9522B" w:rsidTr="008F5BFF">
        <w:trPr>
          <w:trHeight w:val="208"/>
          <w:jc w:val="center"/>
        </w:trPr>
        <w:tc>
          <w:tcPr>
            <w:tcW w:w="807" w:type="dxa"/>
            <w:vMerge/>
            <w:noWrap/>
            <w:vAlign w:val="center"/>
          </w:tcPr>
          <w:p w:rsidR="004031CB" w:rsidRPr="00F9522B" w:rsidRDefault="004031CB" w:rsidP="00CA6CBF">
            <w:pPr>
              <w:jc w:val="center"/>
              <w:rPr>
                <w:rFonts w:eastAsiaTheme="minorEastAsia"/>
                <w:szCs w:val="21"/>
              </w:rPr>
            </w:pPr>
          </w:p>
        </w:tc>
        <w:tc>
          <w:tcPr>
            <w:tcW w:w="1461" w:type="dxa"/>
            <w:vMerge/>
            <w:noWrap/>
            <w:vAlign w:val="center"/>
          </w:tcPr>
          <w:p w:rsidR="004031CB" w:rsidRPr="00F9522B" w:rsidRDefault="004031CB" w:rsidP="00CA6CBF">
            <w:pPr>
              <w:jc w:val="center"/>
              <w:rPr>
                <w:rFonts w:eastAsiaTheme="minorEastAsia"/>
                <w:szCs w:val="21"/>
              </w:rPr>
            </w:pPr>
          </w:p>
        </w:tc>
        <w:tc>
          <w:tcPr>
            <w:tcW w:w="949" w:type="dxa"/>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08H1</w:t>
            </w:r>
          </w:p>
        </w:tc>
        <w:tc>
          <w:tcPr>
            <w:tcW w:w="1985" w:type="dxa"/>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机关团体新闻出版用地</w:t>
            </w:r>
          </w:p>
        </w:tc>
        <w:tc>
          <w:tcPr>
            <w:tcW w:w="1688" w:type="dxa"/>
            <w:noWrap/>
            <w:vAlign w:val="center"/>
          </w:tcPr>
          <w:p w:rsidR="004031CB" w:rsidRPr="00F9522B" w:rsidRDefault="004031CB" w:rsidP="00CA6CBF">
            <w:pPr>
              <w:widowControl/>
              <w:jc w:val="center"/>
              <w:textAlignment w:val="center"/>
              <w:rPr>
                <w:rFonts w:eastAsia="仿宋"/>
                <w:szCs w:val="21"/>
              </w:rPr>
            </w:pPr>
            <w:r w:rsidRPr="00F9522B">
              <w:rPr>
                <w:kern w:val="0"/>
                <w:szCs w:val="21"/>
              </w:rPr>
              <w:t>0.0158</w:t>
            </w:r>
          </w:p>
        </w:tc>
        <w:tc>
          <w:tcPr>
            <w:tcW w:w="1895" w:type="dxa"/>
            <w:vAlign w:val="center"/>
          </w:tcPr>
          <w:p w:rsidR="004031CB" w:rsidRPr="00F9522B" w:rsidRDefault="004031CB" w:rsidP="004031CB">
            <w:pPr>
              <w:widowControl/>
              <w:jc w:val="center"/>
              <w:textAlignment w:val="center"/>
              <w:rPr>
                <w:rFonts w:eastAsia="仿宋"/>
                <w:szCs w:val="21"/>
              </w:rPr>
            </w:pPr>
            <w:r w:rsidRPr="00F9522B">
              <w:rPr>
                <w:kern w:val="0"/>
                <w:szCs w:val="21"/>
              </w:rPr>
              <w:t>0.0158</w:t>
            </w:r>
          </w:p>
        </w:tc>
      </w:tr>
      <w:tr w:rsidR="004031CB" w:rsidRPr="00F9522B" w:rsidTr="008F5BFF">
        <w:trPr>
          <w:trHeight w:val="208"/>
          <w:jc w:val="center"/>
        </w:trPr>
        <w:tc>
          <w:tcPr>
            <w:tcW w:w="807" w:type="dxa"/>
            <w:vMerge/>
            <w:noWrap/>
            <w:vAlign w:val="center"/>
          </w:tcPr>
          <w:p w:rsidR="004031CB" w:rsidRPr="00F9522B" w:rsidRDefault="004031CB" w:rsidP="00CA6CBF">
            <w:pPr>
              <w:jc w:val="center"/>
              <w:rPr>
                <w:rFonts w:eastAsiaTheme="minorEastAsia"/>
                <w:szCs w:val="21"/>
              </w:rPr>
            </w:pPr>
          </w:p>
        </w:tc>
        <w:tc>
          <w:tcPr>
            <w:tcW w:w="1461" w:type="dxa"/>
            <w:vMerge/>
            <w:noWrap/>
            <w:vAlign w:val="center"/>
          </w:tcPr>
          <w:p w:rsidR="004031CB" w:rsidRPr="00F9522B" w:rsidRDefault="004031CB" w:rsidP="00CA6CBF">
            <w:pPr>
              <w:jc w:val="center"/>
              <w:rPr>
                <w:rFonts w:eastAsiaTheme="minorEastAsia"/>
                <w:szCs w:val="21"/>
              </w:rPr>
            </w:pPr>
          </w:p>
        </w:tc>
        <w:tc>
          <w:tcPr>
            <w:tcW w:w="949" w:type="dxa"/>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08H2</w:t>
            </w:r>
          </w:p>
        </w:tc>
        <w:tc>
          <w:tcPr>
            <w:tcW w:w="1985" w:type="dxa"/>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科教文卫用地</w:t>
            </w:r>
          </w:p>
        </w:tc>
        <w:tc>
          <w:tcPr>
            <w:tcW w:w="1688" w:type="dxa"/>
            <w:noWrap/>
            <w:vAlign w:val="center"/>
          </w:tcPr>
          <w:p w:rsidR="004031CB" w:rsidRPr="00F9522B" w:rsidRDefault="004031CB" w:rsidP="00CA6CBF">
            <w:pPr>
              <w:widowControl/>
              <w:jc w:val="center"/>
              <w:textAlignment w:val="center"/>
              <w:rPr>
                <w:rFonts w:eastAsia="仿宋"/>
                <w:szCs w:val="21"/>
              </w:rPr>
            </w:pPr>
            <w:r w:rsidRPr="00F9522B">
              <w:rPr>
                <w:kern w:val="0"/>
                <w:szCs w:val="21"/>
              </w:rPr>
              <w:t>0.0244</w:t>
            </w:r>
          </w:p>
        </w:tc>
        <w:tc>
          <w:tcPr>
            <w:tcW w:w="1895" w:type="dxa"/>
            <w:vAlign w:val="center"/>
          </w:tcPr>
          <w:p w:rsidR="004031CB" w:rsidRPr="00F9522B" w:rsidRDefault="004031CB" w:rsidP="004031CB">
            <w:pPr>
              <w:widowControl/>
              <w:jc w:val="center"/>
              <w:textAlignment w:val="center"/>
              <w:rPr>
                <w:rFonts w:eastAsia="仿宋"/>
                <w:szCs w:val="21"/>
              </w:rPr>
            </w:pPr>
            <w:r w:rsidRPr="00F9522B">
              <w:rPr>
                <w:kern w:val="0"/>
                <w:szCs w:val="21"/>
              </w:rPr>
              <w:t>0.0244</w:t>
            </w:r>
          </w:p>
        </w:tc>
      </w:tr>
      <w:tr w:rsidR="004031CB" w:rsidRPr="00F9522B" w:rsidTr="008F5BFF">
        <w:trPr>
          <w:trHeight w:val="208"/>
          <w:jc w:val="center"/>
        </w:trPr>
        <w:tc>
          <w:tcPr>
            <w:tcW w:w="807" w:type="dxa"/>
            <w:noWrap/>
            <w:vAlign w:val="center"/>
          </w:tcPr>
          <w:p w:rsidR="004031CB" w:rsidRPr="00F9522B" w:rsidRDefault="004031CB" w:rsidP="00CA6CBF">
            <w:pPr>
              <w:jc w:val="center"/>
              <w:rPr>
                <w:rFonts w:eastAsiaTheme="minorEastAsia"/>
                <w:szCs w:val="21"/>
              </w:rPr>
            </w:pPr>
            <w:r w:rsidRPr="00F9522B">
              <w:rPr>
                <w:rFonts w:eastAsiaTheme="minorEastAsia"/>
                <w:szCs w:val="21"/>
              </w:rPr>
              <w:t>09</w:t>
            </w:r>
          </w:p>
        </w:tc>
        <w:tc>
          <w:tcPr>
            <w:tcW w:w="1461" w:type="dxa"/>
            <w:noWrap/>
            <w:vAlign w:val="center"/>
          </w:tcPr>
          <w:p w:rsidR="004031CB" w:rsidRPr="00F9522B" w:rsidRDefault="004031CB" w:rsidP="00CA6CBF">
            <w:pPr>
              <w:jc w:val="center"/>
              <w:rPr>
                <w:rFonts w:eastAsiaTheme="minorEastAsia"/>
                <w:szCs w:val="21"/>
              </w:rPr>
            </w:pPr>
            <w:r w:rsidRPr="00F9522B">
              <w:rPr>
                <w:rFonts w:eastAsiaTheme="minorEastAsia"/>
                <w:szCs w:val="21"/>
              </w:rPr>
              <w:t>特殊用地</w:t>
            </w:r>
          </w:p>
        </w:tc>
        <w:tc>
          <w:tcPr>
            <w:tcW w:w="949" w:type="dxa"/>
            <w:noWrap/>
            <w:vAlign w:val="center"/>
          </w:tcPr>
          <w:p w:rsidR="004031CB" w:rsidRPr="00F9522B" w:rsidRDefault="004031CB" w:rsidP="00CA6CBF">
            <w:pPr>
              <w:widowControl/>
              <w:jc w:val="center"/>
              <w:textAlignment w:val="center"/>
              <w:rPr>
                <w:rFonts w:eastAsiaTheme="minorEastAsia"/>
                <w:kern w:val="0"/>
                <w:szCs w:val="21"/>
              </w:rPr>
            </w:pPr>
            <w:r w:rsidRPr="00F9522B">
              <w:rPr>
                <w:rFonts w:eastAsiaTheme="minorEastAsia"/>
                <w:kern w:val="0"/>
                <w:szCs w:val="21"/>
              </w:rPr>
              <w:t>9</w:t>
            </w:r>
          </w:p>
        </w:tc>
        <w:tc>
          <w:tcPr>
            <w:tcW w:w="1985" w:type="dxa"/>
            <w:noWrap/>
            <w:vAlign w:val="center"/>
          </w:tcPr>
          <w:p w:rsidR="004031CB" w:rsidRPr="00F9522B" w:rsidRDefault="004031CB" w:rsidP="00CA6CBF">
            <w:pPr>
              <w:widowControl/>
              <w:jc w:val="center"/>
              <w:textAlignment w:val="center"/>
              <w:rPr>
                <w:rFonts w:eastAsiaTheme="minorEastAsia"/>
                <w:kern w:val="0"/>
                <w:szCs w:val="21"/>
              </w:rPr>
            </w:pPr>
            <w:r w:rsidRPr="00F9522B">
              <w:rPr>
                <w:rFonts w:eastAsiaTheme="minorEastAsia"/>
                <w:szCs w:val="21"/>
              </w:rPr>
              <w:t>特殊用地</w:t>
            </w:r>
          </w:p>
        </w:tc>
        <w:tc>
          <w:tcPr>
            <w:tcW w:w="1688" w:type="dxa"/>
            <w:noWrap/>
            <w:vAlign w:val="center"/>
          </w:tcPr>
          <w:p w:rsidR="004031CB" w:rsidRPr="00F9522B" w:rsidRDefault="004031CB" w:rsidP="00CA6CBF">
            <w:pPr>
              <w:widowControl/>
              <w:jc w:val="center"/>
              <w:textAlignment w:val="center"/>
              <w:rPr>
                <w:rFonts w:eastAsiaTheme="minorEastAsia"/>
                <w:kern w:val="0"/>
                <w:szCs w:val="21"/>
              </w:rPr>
            </w:pPr>
            <w:r w:rsidRPr="00F9522B">
              <w:rPr>
                <w:rFonts w:eastAsiaTheme="minorEastAsia"/>
                <w:kern w:val="0"/>
                <w:szCs w:val="21"/>
              </w:rPr>
              <w:t>0.0686</w:t>
            </w:r>
          </w:p>
        </w:tc>
        <w:tc>
          <w:tcPr>
            <w:tcW w:w="1895" w:type="dxa"/>
            <w:vAlign w:val="center"/>
          </w:tcPr>
          <w:p w:rsidR="004031CB" w:rsidRPr="00F9522B" w:rsidRDefault="004031CB" w:rsidP="004031CB">
            <w:pPr>
              <w:widowControl/>
              <w:jc w:val="center"/>
              <w:textAlignment w:val="center"/>
              <w:rPr>
                <w:rFonts w:eastAsiaTheme="minorEastAsia"/>
                <w:kern w:val="0"/>
                <w:szCs w:val="21"/>
              </w:rPr>
            </w:pPr>
            <w:r w:rsidRPr="00F9522B">
              <w:rPr>
                <w:rFonts w:eastAsiaTheme="minorEastAsia"/>
                <w:kern w:val="0"/>
                <w:szCs w:val="21"/>
              </w:rPr>
              <w:t>0.0686</w:t>
            </w:r>
          </w:p>
        </w:tc>
      </w:tr>
      <w:tr w:rsidR="004031CB" w:rsidRPr="00F9522B" w:rsidTr="008F5BFF">
        <w:trPr>
          <w:trHeight w:val="208"/>
          <w:jc w:val="center"/>
        </w:trPr>
        <w:tc>
          <w:tcPr>
            <w:tcW w:w="807" w:type="dxa"/>
            <w:vMerge w:val="restart"/>
            <w:noWrap/>
            <w:vAlign w:val="center"/>
          </w:tcPr>
          <w:p w:rsidR="004031CB" w:rsidRPr="00F9522B" w:rsidRDefault="004031CB" w:rsidP="00CA6CBF">
            <w:pPr>
              <w:jc w:val="center"/>
              <w:textAlignment w:val="center"/>
              <w:rPr>
                <w:rFonts w:eastAsiaTheme="minorEastAsia"/>
                <w:kern w:val="0"/>
                <w:szCs w:val="21"/>
              </w:rPr>
            </w:pPr>
            <w:r w:rsidRPr="00F9522B">
              <w:rPr>
                <w:rFonts w:eastAsiaTheme="minorEastAsia"/>
                <w:kern w:val="0"/>
                <w:szCs w:val="21"/>
              </w:rPr>
              <w:t>10</w:t>
            </w:r>
          </w:p>
        </w:tc>
        <w:tc>
          <w:tcPr>
            <w:tcW w:w="1461" w:type="dxa"/>
            <w:vMerge w:val="restart"/>
            <w:noWrap/>
            <w:vAlign w:val="center"/>
          </w:tcPr>
          <w:p w:rsidR="004031CB" w:rsidRPr="00F9522B" w:rsidRDefault="004031CB" w:rsidP="00CA6CBF">
            <w:pPr>
              <w:jc w:val="center"/>
              <w:textAlignment w:val="center"/>
              <w:rPr>
                <w:rFonts w:eastAsiaTheme="minorEastAsia"/>
                <w:kern w:val="0"/>
                <w:szCs w:val="21"/>
              </w:rPr>
            </w:pPr>
            <w:r w:rsidRPr="00F9522B">
              <w:rPr>
                <w:rFonts w:eastAsiaTheme="minorEastAsia"/>
                <w:kern w:val="0"/>
                <w:szCs w:val="21"/>
              </w:rPr>
              <w:t>交通运输用地</w:t>
            </w:r>
          </w:p>
        </w:tc>
        <w:tc>
          <w:tcPr>
            <w:tcW w:w="949" w:type="dxa"/>
            <w:noWrap/>
            <w:vAlign w:val="center"/>
          </w:tcPr>
          <w:p w:rsidR="004031CB" w:rsidRPr="00F9522B" w:rsidRDefault="004031CB" w:rsidP="00CA6CBF">
            <w:pPr>
              <w:widowControl/>
              <w:jc w:val="center"/>
              <w:textAlignment w:val="center"/>
              <w:rPr>
                <w:rFonts w:eastAsiaTheme="minorEastAsia"/>
                <w:kern w:val="0"/>
                <w:szCs w:val="21"/>
              </w:rPr>
            </w:pPr>
            <w:r w:rsidRPr="00F9522B">
              <w:rPr>
                <w:rFonts w:eastAsiaTheme="minorEastAsia"/>
                <w:kern w:val="0"/>
                <w:szCs w:val="21"/>
              </w:rPr>
              <w:t>1001</w:t>
            </w:r>
          </w:p>
        </w:tc>
        <w:tc>
          <w:tcPr>
            <w:tcW w:w="1985" w:type="dxa"/>
            <w:noWrap/>
            <w:vAlign w:val="center"/>
          </w:tcPr>
          <w:p w:rsidR="004031CB" w:rsidRPr="00F9522B" w:rsidRDefault="004031CB" w:rsidP="00CA6CBF">
            <w:pPr>
              <w:widowControl/>
              <w:jc w:val="center"/>
              <w:textAlignment w:val="center"/>
              <w:rPr>
                <w:rFonts w:eastAsiaTheme="minorEastAsia"/>
                <w:kern w:val="0"/>
                <w:szCs w:val="21"/>
              </w:rPr>
            </w:pPr>
            <w:r w:rsidRPr="00F9522B">
              <w:rPr>
                <w:rFonts w:eastAsiaTheme="minorEastAsia"/>
                <w:kern w:val="0"/>
                <w:szCs w:val="21"/>
              </w:rPr>
              <w:t>铁路用地</w:t>
            </w:r>
          </w:p>
        </w:tc>
        <w:tc>
          <w:tcPr>
            <w:tcW w:w="1688" w:type="dxa"/>
            <w:noWrap/>
            <w:vAlign w:val="center"/>
          </w:tcPr>
          <w:p w:rsidR="004031CB" w:rsidRPr="00F9522B" w:rsidRDefault="004031CB" w:rsidP="00CA6CBF">
            <w:pPr>
              <w:widowControl/>
              <w:jc w:val="center"/>
              <w:textAlignment w:val="center"/>
              <w:rPr>
                <w:rFonts w:eastAsia="仿宋"/>
                <w:szCs w:val="21"/>
              </w:rPr>
            </w:pPr>
            <w:r w:rsidRPr="00F9522B">
              <w:rPr>
                <w:kern w:val="0"/>
                <w:szCs w:val="21"/>
              </w:rPr>
              <w:t>0.0978</w:t>
            </w:r>
          </w:p>
        </w:tc>
        <w:tc>
          <w:tcPr>
            <w:tcW w:w="1895" w:type="dxa"/>
            <w:vAlign w:val="center"/>
          </w:tcPr>
          <w:p w:rsidR="004031CB" w:rsidRPr="00F9522B" w:rsidRDefault="004031CB" w:rsidP="004031CB">
            <w:pPr>
              <w:widowControl/>
              <w:jc w:val="center"/>
              <w:textAlignment w:val="center"/>
              <w:rPr>
                <w:rFonts w:eastAsia="仿宋"/>
                <w:szCs w:val="21"/>
              </w:rPr>
            </w:pPr>
            <w:r w:rsidRPr="00F9522B">
              <w:rPr>
                <w:kern w:val="0"/>
                <w:szCs w:val="21"/>
              </w:rPr>
              <w:t>0.0978</w:t>
            </w:r>
          </w:p>
        </w:tc>
      </w:tr>
      <w:tr w:rsidR="004031CB" w:rsidRPr="00F9522B" w:rsidTr="008F5BFF">
        <w:trPr>
          <w:trHeight w:val="208"/>
          <w:jc w:val="center"/>
        </w:trPr>
        <w:tc>
          <w:tcPr>
            <w:tcW w:w="807" w:type="dxa"/>
            <w:vMerge/>
            <w:noWrap/>
            <w:vAlign w:val="center"/>
          </w:tcPr>
          <w:p w:rsidR="004031CB" w:rsidRPr="00F9522B" w:rsidRDefault="004031CB" w:rsidP="00CA6CBF">
            <w:pPr>
              <w:widowControl/>
              <w:jc w:val="center"/>
              <w:textAlignment w:val="center"/>
              <w:rPr>
                <w:rFonts w:eastAsiaTheme="minorEastAsia"/>
                <w:szCs w:val="21"/>
              </w:rPr>
            </w:pPr>
          </w:p>
        </w:tc>
        <w:tc>
          <w:tcPr>
            <w:tcW w:w="1461" w:type="dxa"/>
            <w:vMerge/>
            <w:noWrap/>
            <w:vAlign w:val="center"/>
          </w:tcPr>
          <w:p w:rsidR="004031CB" w:rsidRPr="00F9522B" w:rsidRDefault="004031CB" w:rsidP="00CA6CBF">
            <w:pPr>
              <w:widowControl/>
              <w:jc w:val="center"/>
              <w:textAlignment w:val="center"/>
              <w:rPr>
                <w:rFonts w:eastAsiaTheme="minorEastAsia"/>
                <w:szCs w:val="21"/>
              </w:rPr>
            </w:pPr>
          </w:p>
        </w:tc>
        <w:tc>
          <w:tcPr>
            <w:tcW w:w="949" w:type="dxa"/>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1003</w:t>
            </w:r>
          </w:p>
        </w:tc>
        <w:tc>
          <w:tcPr>
            <w:tcW w:w="1985" w:type="dxa"/>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公路用地</w:t>
            </w:r>
          </w:p>
        </w:tc>
        <w:tc>
          <w:tcPr>
            <w:tcW w:w="1688" w:type="dxa"/>
            <w:noWrap/>
            <w:vAlign w:val="center"/>
          </w:tcPr>
          <w:p w:rsidR="004031CB" w:rsidRPr="00F9522B" w:rsidRDefault="004031CB" w:rsidP="00CA6CBF">
            <w:pPr>
              <w:widowControl/>
              <w:jc w:val="center"/>
              <w:textAlignment w:val="center"/>
              <w:rPr>
                <w:rFonts w:eastAsia="仿宋"/>
                <w:szCs w:val="21"/>
              </w:rPr>
            </w:pPr>
            <w:r w:rsidRPr="00F9522B">
              <w:rPr>
                <w:kern w:val="0"/>
                <w:szCs w:val="21"/>
              </w:rPr>
              <w:t>0.3228</w:t>
            </w:r>
          </w:p>
        </w:tc>
        <w:tc>
          <w:tcPr>
            <w:tcW w:w="1895" w:type="dxa"/>
            <w:vAlign w:val="center"/>
          </w:tcPr>
          <w:p w:rsidR="004031CB" w:rsidRPr="00F9522B" w:rsidRDefault="004031CB" w:rsidP="004031CB">
            <w:pPr>
              <w:widowControl/>
              <w:jc w:val="center"/>
              <w:textAlignment w:val="center"/>
              <w:rPr>
                <w:rFonts w:eastAsia="仿宋"/>
                <w:szCs w:val="21"/>
              </w:rPr>
            </w:pPr>
            <w:r w:rsidRPr="00F9522B">
              <w:rPr>
                <w:kern w:val="0"/>
                <w:szCs w:val="21"/>
              </w:rPr>
              <w:t>0.3228</w:t>
            </w:r>
          </w:p>
        </w:tc>
      </w:tr>
      <w:tr w:rsidR="004031CB" w:rsidRPr="00F9522B" w:rsidTr="008F5BFF">
        <w:trPr>
          <w:trHeight w:val="208"/>
          <w:jc w:val="center"/>
        </w:trPr>
        <w:tc>
          <w:tcPr>
            <w:tcW w:w="807" w:type="dxa"/>
            <w:vMerge/>
            <w:noWrap/>
            <w:vAlign w:val="center"/>
          </w:tcPr>
          <w:p w:rsidR="004031CB" w:rsidRPr="00F9522B" w:rsidRDefault="004031CB" w:rsidP="00CA6CBF">
            <w:pPr>
              <w:widowControl/>
              <w:jc w:val="center"/>
              <w:textAlignment w:val="center"/>
              <w:rPr>
                <w:rFonts w:eastAsiaTheme="minorEastAsia"/>
                <w:kern w:val="0"/>
                <w:szCs w:val="21"/>
              </w:rPr>
            </w:pPr>
          </w:p>
        </w:tc>
        <w:tc>
          <w:tcPr>
            <w:tcW w:w="1461" w:type="dxa"/>
            <w:vMerge/>
            <w:noWrap/>
            <w:vAlign w:val="center"/>
          </w:tcPr>
          <w:p w:rsidR="004031CB" w:rsidRPr="00F9522B" w:rsidRDefault="004031CB" w:rsidP="00CA6CBF">
            <w:pPr>
              <w:widowControl/>
              <w:jc w:val="center"/>
              <w:textAlignment w:val="center"/>
              <w:rPr>
                <w:rFonts w:eastAsiaTheme="minorEastAsia"/>
                <w:kern w:val="0"/>
                <w:szCs w:val="21"/>
              </w:rPr>
            </w:pPr>
          </w:p>
        </w:tc>
        <w:tc>
          <w:tcPr>
            <w:tcW w:w="949" w:type="dxa"/>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1004</w:t>
            </w:r>
          </w:p>
        </w:tc>
        <w:tc>
          <w:tcPr>
            <w:tcW w:w="1985" w:type="dxa"/>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城镇村道路用地</w:t>
            </w:r>
          </w:p>
        </w:tc>
        <w:tc>
          <w:tcPr>
            <w:tcW w:w="1688" w:type="dxa"/>
            <w:noWrap/>
            <w:vAlign w:val="center"/>
          </w:tcPr>
          <w:p w:rsidR="004031CB" w:rsidRPr="00F9522B" w:rsidRDefault="004031CB" w:rsidP="00CA6CBF">
            <w:pPr>
              <w:widowControl/>
              <w:jc w:val="center"/>
              <w:textAlignment w:val="center"/>
              <w:rPr>
                <w:rFonts w:eastAsia="仿宋"/>
                <w:szCs w:val="21"/>
              </w:rPr>
            </w:pPr>
            <w:r w:rsidRPr="00F9522B">
              <w:rPr>
                <w:kern w:val="0"/>
                <w:szCs w:val="21"/>
              </w:rPr>
              <w:t>0.1560</w:t>
            </w:r>
          </w:p>
        </w:tc>
        <w:tc>
          <w:tcPr>
            <w:tcW w:w="1895" w:type="dxa"/>
            <w:vAlign w:val="center"/>
          </w:tcPr>
          <w:p w:rsidR="004031CB" w:rsidRPr="00F9522B" w:rsidRDefault="004031CB" w:rsidP="004031CB">
            <w:pPr>
              <w:widowControl/>
              <w:jc w:val="center"/>
              <w:textAlignment w:val="center"/>
              <w:rPr>
                <w:rFonts w:eastAsia="仿宋"/>
                <w:szCs w:val="21"/>
              </w:rPr>
            </w:pPr>
            <w:r w:rsidRPr="00F9522B">
              <w:rPr>
                <w:kern w:val="0"/>
                <w:szCs w:val="21"/>
              </w:rPr>
              <w:t>0.1560</w:t>
            </w:r>
          </w:p>
        </w:tc>
      </w:tr>
      <w:tr w:rsidR="004031CB" w:rsidRPr="00F9522B" w:rsidTr="008F5BFF">
        <w:trPr>
          <w:trHeight w:val="208"/>
          <w:jc w:val="center"/>
        </w:trPr>
        <w:tc>
          <w:tcPr>
            <w:tcW w:w="807" w:type="dxa"/>
            <w:vMerge/>
            <w:noWrap/>
            <w:vAlign w:val="center"/>
          </w:tcPr>
          <w:p w:rsidR="004031CB" w:rsidRPr="00F9522B" w:rsidRDefault="004031CB" w:rsidP="00CA6CBF">
            <w:pPr>
              <w:widowControl/>
              <w:jc w:val="center"/>
              <w:textAlignment w:val="center"/>
              <w:rPr>
                <w:rFonts w:eastAsiaTheme="minorEastAsia"/>
                <w:kern w:val="0"/>
                <w:szCs w:val="21"/>
              </w:rPr>
            </w:pPr>
          </w:p>
        </w:tc>
        <w:tc>
          <w:tcPr>
            <w:tcW w:w="1461" w:type="dxa"/>
            <w:vMerge/>
            <w:noWrap/>
            <w:vAlign w:val="center"/>
          </w:tcPr>
          <w:p w:rsidR="004031CB" w:rsidRPr="00F9522B" w:rsidRDefault="004031CB" w:rsidP="00CA6CBF">
            <w:pPr>
              <w:widowControl/>
              <w:jc w:val="center"/>
              <w:textAlignment w:val="center"/>
              <w:rPr>
                <w:rFonts w:eastAsiaTheme="minorEastAsia"/>
                <w:kern w:val="0"/>
                <w:szCs w:val="21"/>
              </w:rPr>
            </w:pPr>
          </w:p>
        </w:tc>
        <w:tc>
          <w:tcPr>
            <w:tcW w:w="949" w:type="dxa"/>
            <w:noWrap/>
            <w:vAlign w:val="center"/>
          </w:tcPr>
          <w:p w:rsidR="004031CB" w:rsidRPr="00F9522B" w:rsidRDefault="004031CB" w:rsidP="00CA6CBF">
            <w:pPr>
              <w:widowControl/>
              <w:jc w:val="center"/>
              <w:textAlignment w:val="center"/>
              <w:rPr>
                <w:rFonts w:eastAsiaTheme="minorEastAsia"/>
                <w:kern w:val="0"/>
                <w:szCs w:val="21"/>
              </w:rPr>
            </w:pPr>
            <w:r w:rsidRPr="00F9522B">
              <w:rPr>
                <w:rFonts w:eastAsiaTheme="minorEastAsia"/>
                <w:kern w:val="0"/>
                <w:szCs w:val="21"/>
              </w:rPr>
              <w:t>1005</w:t>
            </w:r>
          </w:p>
        </w:tc>
        <w:tc>
          <w:tcPr>
            <w:tcW w:w="1985" w:type="dxa"/>
            <w:noWrap/>
            <w:vAlign w:val="center"/>
          </w:tcPr>
          <w:p w:rsidR="004031CB" w:rsidRPr="00F9522B" w:rsidRDefault="004031CB" w:rsidP="00CA6CBF">
            <w:pPr>
              <w:widowControl/>
              <w:jc w:val="center"/>
              <w:textAlignment w:val="center"/>
              <w:rPr>
                <w:rFonts w:eastAsiaTheme="minorEastAsia"/>
                <w:kern w:val="0"/>
                <w:szCs w:val="21"/>
              </w:rPr>
            </w:pPr>
            <w:r w:rsidRPr="00F9522B">
              <w:rPr>
                <w:rFonts w:eastAsiaTheme="minorEastAsia"/>
                <w:kern w:val="0"/>
                <w:szCs w:val="21"/>
              </w:rPr>
              <w:t>交通服务场站用地</w:t>
            </w:r>
          </w:p>
        </w:tc>
        <w:tc>
          <w:tcPr>
            <w:tcW w:w="1688" w:type="dxa"/>
            <w:noWrap/>
            <w:vAlign w:val="center"/>
          </w:tcPr>
          <w:p w:rsidR="004031CB" w:rsidRPr="00F9522B" w:rsidRDefault="004031CB" w:rsidP="00CA6CBF">
            <w:pPr>
              <w:widowControl/>
              <w:jc w:val="center"/>
              <w:textAlignment w:val="center"/>
              <w:rPr>
                <w:rFonts w:eastAsia="仿宋"/>
                <w:szCs w:val="21"/>
              </w:rPr>
            </w:pPr>
            <w:r w:rsidRPr="00F9522B">
              <w:rPr>
                <w:kern w:val="0"/>
                <w:szCs w:val="21"/>
              </w:rPr>
              <w:t>0.0001</w:t>
            </w:r>
          </w:p>
        </w:tc>
        <w:tc>
          <w:tcPr>
            <w:tcW w:w="1895" w:type="dxa"/>
            <w:vAlign w:val="center"/>
          </w:tcPr>
          <w:p w:rsidR="004031CB" w:rsidRPr="00F9522B" w:rsidRDefault="004031CB" w:rsidP="004031CB">
            <w:pPr>
              <w:widowControl/>
              <w:jc w:val="center"/>
              <w:textAlignment w:val="center"/>
              <w:rPr>
                <w:rFonts w:eastAsia="仿宋"/>
                <w:szCs w:val="21"/>
              </w:rPr>
            </w:pPr>
            <w:r w:rsidRPr="00F9522B">
              <w:rPr>
                <w:kern w:val="0"/>
                <w:szCs w:val="21"/>
              </w:rPr>
              <w:t>0.0001</w:t>
            </w:r>
          </w:p>
        </w:tc>
      </w:tr>
      <w:tr w:rsidR="004031CB" w:rsidRPr="00F9522B" w:rsidTr="008F5BFF">
        <w:trPr>
          <w:trHeight w:val="208"/>
          <w:jc w:val="center"/>
        </w:trPr>
        <w:tc>
          <w:tcPr>
            <w:tcW w:w="807" w:type="dxa"/>
            <w:vMerge/>
            <w:noWrap/>
            <w:vAlign w:val="center"/>
          </w:tcPr>
          <w:p w:rsidR="004031CB" w:rsidRPr="00F9522B" w:rsidRDefault="004031CB" w:rsidP="00CA6CBF">
            <w:pPr>
              <w:jc w:val="center"/>
              <w:rPr>
                <w:rFonts w:eastAsiaTheme="minorEastAsia"/>
                <w:szCs w:val="21"/>
              </w:rPr>
            </w:pPr>
          </w:p>
        </w:tc>
        <w:tc>
          <w:tcPr>
            <w:tcW w:w="1461" w:type="dxa"/>
            <w:vMerge/>
            <w:noWrap/>
            <w:vAlign w:val="center"/>
          </w:tcPr>
          <w:p w:rsidR="004031CB" w:rsidRPr="00F9522B" w:rsidRDefault="004031CB" w:rsidP="00CA6CBF">
            <w:pPr>
              <w:jc w:val="center"/>
              <w:rPr>
                <w:rFonts w:eastAsiaTheme="minorEastAsia"/>
                <w:szCs w:val="21"/>
              </w:rPr>
            </w:pPr>
          </w:p>
        </w:tc>
        <w:tc>
          <w:tcPr>
            <w:tcW w:w="949" w:type="dxa"/>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1006</w:t>
            </w:r>
          </w:p>
        </w:tc>
        <w:tc>
          <w:tcPr>
            <w:tcW w:w="1985" w:type="dxa"/>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农村道路</w:t>
            </w:r>
          </w:p>
        </w:tc>
        <w:tc>
          <w:tcPr>
            <w:tcW w:w="1688" w:type="dxa"/>
            <w:noWrap/>
            <w:vAlign w:val="center"/>
          </w:tcPr>
          <w:p w:rsidR="004031CB" w:rsidRPr="00F9522B" w:rsidRDefault="004031CB" w:rsidP="00CA6CBF">
            <w:pPr>
              <w:widowControl/>
              <w:jc w:val="center"/>
              <w:textAlignment w:val="center"/>
              <w:rPr>
                <w:rFonts w:eastAsia="仿宋"/>
                <w:szCs w:val="21"/>
              </w:rPr>
            </w:pPr>
            <w:r w:rsidRPr="00F9522B">
              <w:rPr>
                <w:kern w:val="0"/>
                <w:szCs w:val="21"/>
              </w:rPr>
              <w:t>0.8990</w:t>
            </w:r>
          </w:p>
        </w:tc>
        <w:tc>
          <w:tcPr>
            <w:tcW w:w="1895" w:type="dxa"/>
            <w:vAlign w:val="center"/>
          </w:tcPr>
          <w:p w:rsidR="004031CB" w:rsidRPr="00F9522B" w:rsidRDefault="004031CB" w:rsidP="004031CB">
            <w:pPr>
              <w:widowControl/>
              <w:jc w:val="center"/>
              <w:textAlignment w:val="center"/>
              <w:rPr>
                <w:rFonts w:eastAsia="仿宋"/>
                <w:szCs w:val="21"/>
              </w:rPr>
            </w:pPr>
            <w:r w:rsidRPr="00F9522B">
              <w:rPr>
                <w:kern w:val="0"/>
                <w:szCs w:val="21"/>
              </w:rPr>
              <w:t>0.8990</w:t>
            </w:r>
          </w:p>
        </w:tc>
      </w:tr>
      <w:tr w:rsidR="004031CB" w:rsidRPr="00F9522B" w:rsidTr="008F5BFF">
        <w:trPr>
          <w:trHeight w:val="208"/>
          <w:jc w:val="center"/>
        </w:trPr>
        <w:tc>
          <w:tcPr>
            <w:tcW w:w="807" w:type="dxa"/>
            <w:vMerge w:val="restart"/>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11</w:t>
            </w:r>
          </w:p>
        </w:tc>
        <w:tc>
          <w:tcPr>
            <w:tcW w:w="1461" w:type="dxa"/>
            <w:vMerge w:val="restart"/>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水域及水利设施用地</w:t>
            </w:r>
          </w:p>
        </w:tc>
        <w:tc>
          <w:tcPr>
            <w:tcW w:w="949" w:type="dxa"/>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1101</w:t>
            </w:r>
          </w:p>
        </w:tc>
        <w:tc>
          <w:tcPr>
            <w:tcW w:w="1985" w:type="dxa"/>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河流水面</w:t>
            </w:r>
          </w:p>
        </w:tc>
        <w:tc>
          <w:tcPr>
            <w:tcW w:w="1688" w:type="dxa"/>
            <w:noWrap/>
            <w:vAlign w:val="center"/>
          </w:tcPr>
          <w:p w:rsidR="004031CB" w:rsidRPr="00F9522B" w:rsidRDefault="004031CB" w:rsidP="00CA6CBF">
            <w:pPr>
              <w:widowControl/>
              <w:jc w:val="center"/>
              <w:textAlignment w:val="center"/>
              <w:rPr>
                <w:rFonts w:eastAsia="仿宋"/>
                <w:szCs w:val="21"/>
              </w:rPr>
            </w:pPr>
            <w:r w:rsidRPr="00F9522B">
              <w:rPr>
                <w:kern w:val="0"/>
                <w:szCs w:val="21"/>
              </w:rPr>
              <w:t>0.0302</w:t>
            </w:r>
          </w:p>
        </w:tc>
        <w:tc>
          <w:tcPr>
            <w:tcW w:w="1895" w:type="dxa"/>
            <w:vAlign w:val="center"/>
          </w:tcPr>
          <w:p w:rsidR="004031CB" w:rsidRPr="00F9522B" w:rsidRDefault="004031CB" w:rsidP="004031CB">
            <w:pPr>
              <w:widowControl/>
              <w:jc w:val="center"/>
              <w:textAlignment w:val="center"/>
              <w:rPr>
                <w:rFonts w:eastAsia="仿宋"/>
                <w:szCs w:val="21"/>
              </w:rPr>
            </w:pPr>
            <w:r w:rsidRPr="00F9522B">
              <w:rPr>
                <w:kern w:val="0"/>
                <w:szCs w:val="21"/>
              </w:rPr>
              <w:t>0.0302</w:t>
            </w:r>
          </w:p>
        </w:tc>
      </w:tr>
      <w:tr w:rsidR="004031CB" w:rsidRPr="00F9522B" w:rsidTr="008F5BFF">
        <w:trPr>
          <w:trHeight w:val="208"/>
          <w:jc w:val="center"/>
        </w:trPr>
        <w:tc>
          <w:tcPr>
            <w:tcW w:w="807" w:type="dxa"/>
            <w:vMerge/>
            <w:noWrap/>
            <w:vAlign w:val="center"/>
          </w:tcPr>
          <w:p w:rsidR="004031CB" w:rsidRPr="00F9522B" w:rsidRDefault="004031CB" w:rsidP="00CA6CBF">
            <w:pPr>
              <w:widowControl/>
              <w:jc w:val="center"/>
              <w:textAlignment w:val="center"/>
              <w:rPr>
                <w:rFonts w:eastAsiaTheme="minorEastAsia"/>
                <w:kern w:val="0"/>
                <w:szCs w:val="21"/>
              </w:rPr>
            </w:pPr>
          </w:p>
        </w:tc>
        <w:tc>
          <w:tcPr>
            <w:tcW w:w="1461" w:type="dxa"/>
            <w:vMerge/>
            <w:noWrap/>
            <w:vAlign w:val="center"/>
          </w:tcPr>
          <w:p w:rsidR="004031CB" w:rsidRPr="00F9522B" w:rsidRDefault="004031CB" w:rsidP="00CA6CBF">
            <w:pPr>
              <w:widowControl/>
              <w:jc w:val="center"/>
              <w:textAlignment w:val="center"/>
              <w:rPr>
                <w:rFonts w:eastAsiaTheme="minorEastAsia"/>
                <w:kern w:val="0"/>
                <w:szCs w:val="21"/>
              </w:rPr>
            </w:pPr>
          </w:p>
        </w:tc>
        <w:tc>
          <w:tcPr>
            <w:tcW w:w="949" w:type="dxa"/>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1104</w:t>
            </w:r>
          </w:p>
        </w:tc>
        <w:tc>
          <w:tcPr>
            <w:tcW w:w="1985" w:type="dxa"/>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坑塘水面</w:t>
            </w:r>
          </w:p>
        </w:tc>
        <w:tc>
          <w:tcPr>
            <w:tcW w:w="1688" w:type="dxa"/>
            <w:noWrap/>
            <w:vAlign w:val="center"/>
          </w:tcPr>
          <w:p w:rsidR="004031CB" w:rsidRPr="00F9522B" w:rsidRDefault="004031CB" w:rsidP="00CA6CBF">
            <w:pPr>
              <w:widowControl/>
              <w:jc w:val="center"/>
              <w:textAlignment w:val="center"/>
              <w:rPr>
                <w:rFonts w:eastAsia="仿宋"/>
                <w:szCs w:val="21"/>
              </w:rPr>
            </w:pPr>
            <w:r w:rsidRPr="00F9522B">
              <w:rPr>
                <w:kern w:val="0"/>
                <w:szCs w:val="21"/>
              </w:rPr>
              <w:t>0.0873</w:t>
            </w:r>
          </w:p>
        </w:tc>
        <w:tc>
          <w:tcPr>
            <w:tcW w:w="1895" w:type="dxa"/>
            <w:vAlign w:val="center"/>
          </w:tcPr>
          <w:p w:rsidR="004031CB" w:rsidRPr="00F9522B" w:rsidRDefault="004031CB" w:rsidP="004031CB">
            <w:pPr>
              <w:widowControl/>
              <w:jc w:val="center"/>
              <w:textAlignment w:val="center"/>
              <w:rPr>
                <w:rFonts w:eastAsia="仿宋"/>
                <w:szCs w:val="21"/>
              </w:rPr>
            </w:pPr>
            <w:r w:rsidRPr="00F9522B">
              <w:rPr>
                <w:kern w:val="0"/>
                <w:szCs w:val="21"/>
              </w:rPr>
              <w:t>0.0839</w:t>
            </w:r>
          </w:p>
        </w:tc>
      </w:tr>
      <w:tr w:rsidR="004031CB" w:rsidRPr="00F9522B" w:rsidTr="008F5BFF">
        <w:trPr>
          <w:trHeight w:val="208"/>
          <w:jc w:val="center"/>
        </w:trPr>
        <w:tc>
          <w:tcPr>
            <w:tcW w:w="807" w:type="dxa"/>
            <w:vMerge/>
            <w:noWrap/>
            <w:vAlign w:val="center"/>
          </w:tcPr>
          <w:p w:rsidR="004031CB" w:rsidRPr="00F9522B" w:rsidRDefault="004031CB" w:rsidP="00CA6CBF">
            <w:pPr>
              <w:jc w:val="center"/>
              <w:rPr>
                <w:rFonts w:eastAsiaTheme="minorEastAsia"/>
                <w:szCs w:val="21"/>
              </w:rPr>
            </w:pPr>
          </w:p>
        </w:tc>
        <w:tc>
          <w:tcPr>
            <w:tcW w:w="1461" w:type="dxa"/>
            <w:vMerge/>
            <w:noWrap/>
            <w:vAlign w:val="center"/>
          </w:tcPr>
          <w:p w:rsidR="004031CB" w:rsidRPr="00F9522B" w:rsidRDefault="004031CB" w:rsidP="00CA6CBF">
            <w:pPr>
              <w:jc w:val="center"/>
              <w:rPr>
                <w:rFonts w:eastAsiaTheme="minorEastAsia"/>
                <w:szCs w:val="21"/>
              </w:rPr>
            </w:pPr>
          </w:p>
        </w:tc>
        <w:tc>
          <w:tcPr>
            <w:tcW w:w="949" w:type="dxa"/>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1104A</w:t>
            </w:r>
          </w:p>
        </w:tc>
        <w:tc>
          <w:tcPr>
            <w:tcW w:w="1985" w:type="dxa"/>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养殖坑塘</w:t>
            </w:r>
          </w:p>
        </w:tc>
        <w:tc>
          <w:tcPr>
            <w:tcW w:w="1688" w:type="dxa"/>
            <w:noWrap/>
            <w:vAlign w:val="center"/>
          </w:tcPr>
          <w:p w:rsidR="004031CB" w:rsidRPr="00F9522B" w:rsidRDefault="004031CB" w:rsidP="00CA6CBF">
            <w:pPr>
              <w:widowControl/>
              <w:jc w:val="center"/>
              <w:textAlignment w:val="center"/>
              <w:rPr>
                <w:rFonts w:eastAsia="仿宋"/>
                <w:szCs w:val="21"/>
              </w:rPr>
            </w:pPr>
            <w:r w:rsidRPr="00F9522B">
              <w:rPr>
                <w:kern w:val="0"/>
                <w:szCs w:val="21"/>
              </w:rPr>
              <w:t>0.4030</w:t>
            </w:r>
          </w:p>
        </w:tc>
        <w:tc>
          <w:tcPr>
            <w:tcW w:w="1895" w:type="dxa"/>
            <w:vAlign w:val="center"/>
          </w:tcPr>
          <w:p w:rsidR="004031CB" w:rsidRPr="00F9522B" w:rsidRDefault="004031CB" w:rsidP="004031CB">
            <w:pPr>
              <w:widowControl/>
              <w:jc w:val="center"/>
              <w:textAlignment w:val="center"/>
              <w:rPr>
                <w:rFonts w:eastAsia="仿宋"/>
                <w:szCs w:val="21"/>
              </w:rPr>
            </w:pPr>
            <w:r w:rsidRPr="00F9522B">
              <w:rPr>
                <w:kern w:val="0"/>
                <w:szCs w:val="21"/>
              </w:rPr>
              <w:t>0.4030</w:t>
            </w:r>
          </w:p>
        </w:tc>
      </w:tr>
      <w:tr w:rsidR="004031CB" w:rsidRPr="00F9522B" w:rsidTr="008F5BFF">
        <w:trPr>
          <w:trHeight w:val="208"/>
          <w:jc w:val="center"/>
        </w:trPr>
        <w:tc>
          <w:tcPr>
            <w:tcW w:w="807" w:type="dxa"/>
            <w:vMerge/>
            <w:noWrap/>
            <w:vAlign w:val="center"/>
          </w:tcPr>
          <w:p w:rsidR="004031CB" w:rsidRPr="00F9522B" w:rsidRDefault="004031CB" w:rsidP="00CA6CBF">
            <w:pPr>
              <w:jc w:val="center"/>
              <w:rPr>
                <w:rFonts w:eastAsiaTheme="minorEastAsia"/>
                <w:szCs w:val="21"/>
              </w:rPr>
            </w:pPr>
          </w:p>
        </w:tc>
        <w:tc>
          <w:tcPr>
            <w:tcW w:w="1461" w:type="dxa"/>
            <w:vMerge/>
            <w:noWrap/>
            <w:vAlign w:val="center"/>
          </w:tcPr>
          <w:p w:rsidR="004031CB" w:rsidRPr="00F9522B" w:rsidRDefault="004031CB" w:rsidP="00CA6CBF">
            <w:pPr>
              <w:jc w:val="center"/>
              <w:rPr>
                <w:rFonts w:eastAsiaTheme="minorEastAsia"/>
                <w:szCs w:val="21"/>
              </w:rPr>
            </w:pPr>
          </w:p>
        </w:tc>
        <w:tc>
          <w:tcPr>
            <w:tcW w:w="949" w:type="dxa"/>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1107</w:t>
            </w:r>
          </w:p>
        </w:tc>
        <w:tc>
          <w:tcPr>
            <w:tcW w:w="1985" w:type="dxa"/>
            <w:noWrap/>
            <w:vAlign w:val="center"/>
          </w:tcPr>
          <w:p w:rsidR="004031CB" w:rsidRPr="00F9522B" w:rsidRDefault="004031CB" w:rsidP="00CA6CBF">
            <w:pPr>
              <w:widowControl/>
              <w:jc w:val="center"/>
              <w:textAlignment w:val="center"/>
              <w:rPr>
                <w:rFonts w:eastAsiaTheme="minorEastAsia"/>
                <w:szCs w:val="21"/>
              </w:rPr>
            </w:pPr>
            <w:r w:rsidRPr="00F9522B">
              <w:rPr>
                <w:rFonts w:eastAsiaTheme="minorEastAsia"/>
                <w:kern w:val="0"/>
                <w:szCs w:val="21"/>
              </w:rPr>
              <w:t>沟渠</w:t>
            </w:r>
          </w:p>
        </w:tc>
        <w:tc>
          <w:tcPr>
            <w:tcW w:w="1688" w:type="dxa"/>
            <w:noWrap/>
            <w:vAlign w:val="center"/>
          </w:tcPr>
          <w:p w:rsidR="004031CB" w:rsidRPr="00F9522B" w:rsidRDefault="004031CB" w:rsidP="00CA6CBF">
            <w:pPr>
              <w:widowControl/>
              <w:jc w:val="center"/>
              <w:textAlignment w:val="center"/>
              <w:rPr>
                <w:rFonts w:eastAsia="仿宋"/>
                <w:szCs w:val="21"/>
              </w:rPr>
            </w:pPr>
            <w:r w:rsidRPr="00F9522B">
              <w:rPr>
                <w:kern w:val="0"/>
                <w:szCs w:val="21"/>
              </w:rPr>
              <w:t>0.1425</w:t>
            </w:r>
          </w:p>
        </w:tc>
        <w:tc>
          <w:tcPr>
            <w:tcW w:w="1895" w:type="dxa"/>
            <w:vAlign w:val="center"/>
          </w:tcPr>
          <w:p w:rsidR="004031CB" w:rsidRPr="00F9522B" w:rsidRDefault="004031CB" w:rsidP="004031CB">
            <w:pPr>
              <w:jc w:val="center"/>
              <w:rPr>
                <w:rFonts w:eastAsiaTheme="minorEastAsia"/>
                <w:szCs w:val="21"/>
              </w:rPr>
            </w:pPr>
            <w:r w:rsidRPr="00F9522B">
              <w:rPr>
                <w:rFonts w:eastAsiaTheme="minorEastAsia"/>
                <w:szCs w:val="21"/>
              </w:rPr>
              <w:t>0.1472</w:t>
            </w:r>
          </w:p>
        </w:tc>
      </w:tr>
      <w:tr w:rsidR="004031CB" w:rsidRPr="00F9522B" w:rsidTr="008F5BFF">
        <w:trPr>
          <w:trHeight w:val="208"/>
          <w:jc w:val="center"/>
        </w:trPr>
        <w:tc>
          <w:tcPr>
            <w:tcW w:w="807" w:type="dxa"/>
            <w:vMerge w:val="restart"/>
            <w:noWrap/>
            <w:vAlign w:val="center"/>
          </w:tcPr>
          <w:p w:rsidR="004031CB" w:rsidRPr="00F9522B" w:rsidRDefault="004031CB" w:rsidP="00CA6CBF">
            <w:pPr>
              <w:jc w:val="center"/>
              <w:textAlignment w:val="center"/>
              <w:rPr>
                <w:rFonts w:eastAsiaTheme="minorEastAsia"/>
                <w:kern w:val="0"/>
                <w:szCs w:val="21"/>
              </w:rPr>
            </w:pPr>
            <w:r w:rsidRPr="00F9522B">
              <w:rPr>
                <w:rFonts w:eastAsiaTheme="minorEastAsia"/>
                <w:kern w:val="0"/>
                <w:szCs w:val="21"/>
              </w:rPr>
              <w:t>12</w:t>
            </w:r>
          </w:p>
        </w:tc>
        <w:tc>
          <w:tcPr>
            <w:tcW w:w="1461" w:type="dxa"/>
            <w:vMerge w:val="restart"/>
            <w:noWrap/>
            <w:vAlign w:val="center"/>
          </w:tcPr>
          <w:p w:rsidR="004031CB" w:rsidRPr="00F9522B" w:rsidRDefault="004031CB" w:rsidP="00CA6CBF">
            <w:pPr>
              <w:jc w:val="center"/>
              <w:textAlignment w:val="center"/>
              <w:rPr>
                <w:rFonts w:eastAsiaTheme="minorEastAsia"/>
                <w:kern w:val="0"/>
                <w:szCs w:val="21"/>
              </w:rPr>
            </w:pPr>
            <w:r w:rsidRPr="00F9522B">
              <w:rPr>
                <w:rFonts w:eastAsiaTheme="minorEastAsia"/>
                <w:kern w:val="0"/>
                <w:szCs w:val="21"/>
              </w:rPr>
              <w:t>其他土地</w:t>
            </w:r>
          </w:p>
        </w:tc>
        <w:tc>
          <w:tcPr>
            <w:tcW w:w="949" w:type="dxa"/>
            <w:noWrap/>
            <w:vAlign w:val="center"/>
          </w:tcPr>
          <w:p w:rsidR="004031CB" w:rsidRPr="00F9522B" w:rsidRDefault="004031CB" w:rsidP="00CA6CBF">
            <w:pPr>
              <w:widowControl/>
              <w:jc w:val="center"/>
              <w:textAlignment w:val="center"/>
              <w:rPr>
                <w:rFonts w:eastAsiaTheme="minorEastAsia"/>
                <w:kern w:val="0"/>
                <w:szCs w:val="21"/>
              </w:rPr>
            </w:pPr>
            <w:r w:rsidRPr="00F9522B">
              <w:rPr>
                <w:rFonts w:eastAsiaTheme="minorEastAsia"/>
                <w:kern w:val="0"/>
                <w:szCs w:val="21"/>
              </w:rPr>
              <w:t>1201</w:t>
            </w:r>
          </w:p>
        </w:tc>
        <w:tc>
          <w:tcPr>
            <w:tcW w:w="1985" w:type="dxa"/>
            <w:noWrap/>
            <w:vAlign w:val="center"/>
          </w:tcPr>
          <w:p w:rsidR="004031CB" w:rsidRPr="00F9522B" w:rsidRDefault="004031CB" w:rsidP="00CA6CBF">
            <w:pPr>
              <w:widowControl/>
              <w:jc w:val="center"/>
              <w:textAlignment w:val="center"/>
              <w:rPr>
                <w:rFonts w:eastAsiaTheme="minorEastAsia"/>
                <w:kern w:val="0"/>
                <w:szCs w:val="21"/>
              </w:rPr>
            </w:pPr>
            <w:r w:rsidRPr="00F9522B">
              <w:rPr>
                <w:rFonts w:eastAsiaTheme="minorEastAsia"/>
                <w:kern w:val="0"/>
                <w:szCs w:val="21"/>
              </w:rPr>
              <w:t>空闲地</w:t>
            </w:r>
          </w:p>
        </w:tc>
        <w:tc>
          <w:tcPr>
            <w:tcW w:w="1688" w:type="dxa"/>
            <w:noWrap/>
            <w:vAlign w:val="center"/>
          </w:tcPr>
          <w:p w:rsidR="004031CB" w:rsidRPr="00F9522B" w:rsidRDefault="004031CB" w:rsidP="00CA6CBF">
            <w:pPr>
              <w:widowControl/>
              <w:jc w:val="center"/>
              <w:textAlignment w:val="center"/>
              <w:rPr>
                <w:rFonts w:eastAsia="仿宋"/>
                <w:szCs w:val="21"/>
              </w:rPr>
            </w:pPr>
            <w:r w:rsidRPr="00F9522B">
              <w:rPr>
                <w:kern w:val="0"/>
                <w:szCs w:val="21"/>
              </w:rPr>
              <w:t>0.0003</w:t>
            </w:r>
          </w:p>
        </w:tc>
        <w:tc>
          <w:tcPr>
            <w:tcW w:w="1895" w:type="dxa"/>
            <w:vAlign w:val="center"/>
          </w:tcPr>
          <w:p w:rsidR="004031CB" w:rsidRPr="00F9522B" w:rsidRDefault="004031CB" w:rsidP="004031CB">
            <w:pPr>
              <w:widowControl/>
              <w:jc w:val="center"/>
              <w:textAlignment w:val="center"/>
              <w:rPr>
                <w:rFonts w:eastAsia="仿宋"/>
                <w:szCs w:val="21"/>
              </w:rPr>
            </w:pPr>
            <w:r w:rsidRPr="00F9522B">
              <w:rPr>
                <w:kern w:val="0"/>
                <w:szCs w:val="21"/>
              </w:rPr>
              <w:t>0.0003</w:t>
            </w:r>
          </w:p>
        </w:tc>
      </w:tr>
      <w:tr w:rsidR="004031CB" w:rsidRPr="00F9522B" w:rsidTr="008F5BFF">
        <w:trPr>
          <w:trHeight w:val="208"/>
          <w:jc w:val="center"/>
        </w:trPr>
        <w:tc>
          <w:tcPr>
            <w:tcW w:w="807" w:type="dxa"/>
            <w:vMerge/>
            <w:noWrap/>
            <w:vAlign w:val="center"/>
          </w:tcPr>
          <w:p w:rsidR="004031CB" w:rsidRPr="00F9522B" w:rsidRDefault="004031CB" w:rsidP="00CA6CBF">
            <w:pPr>
              <w:widowControl/>
              <w:jc w:val="center"/>
              <w:textAlignment w:val="center"/>
              <w:rPr>
                <w:rFonts w:eastAsiaTheme="minorEastAsia"/>
                <w:szCs w:val="21"/>
              </w:rPr>
            </w:pPr>
          </w:p>
        </w:tc>
        <w:tc>
          <w:tcPr>
            <w:tcW w:w="1461" w:type="dxa"/>
            <w:vMerge/>
            <w:noWrap/>
            <w:vAlign w:val="center"/>
          </w:tcPr>
          <w:p w:rsidR="004031CB" w:rsidRPr="00F9522B" w:rsidRDefault="004031CB" w:rsidP="00CA6CBF">
            <w:pPr>
              <w:widowControl/>
              <w:jc w:val="center"/>
              <w:textAlignment w:val="center"/>
              <w:rPr>
                <w:rFonts w:eastAsiaTheme="minorEastAsia"/>
                <w:szCs w:val="21"/>
              </w:rPr>
            </w:pPr>
          </w:p>
        </w:tc>
        <w:tc>
          <w:tcPr>
            <w:tcW w:w="949" w:type="dxa"/>
            <w:noWrap/>
            <w:vAlign w:val="center"/>
          </w:tcPr>
          <w:p w:rsidR="004031CB" w:rsidRPr="00F9522B" w:rsidRDefault="004031CB" w:rsidP="00CA6CBF">
            <w:pPr>
              <w:widowControl/>
              <w:jc w:val="center"/>
              <w:textAlignment w:val="center"/>
              <w:rPr>
                <w:rFonts w:eastAsiaTheme="minorEastAsia"/>
                <w:kern w:val="0"/>
                <w:szCs w:val="21"/>
              </w:rPr>
            </w:pPr>
            <w:r w:rsidRPr="00F9522B">
              <w:rPr>
                <w:rFonts w:eastAsiaTheme="minorEastAsia"/>
                <w:kern w:val="0"/>
                <w:szCs w:val="21"/>
              </w:rPr>
              <w:t>1202</w:t>
            </w:r>
          </w:p>
        </w:tc>
        <w:tc>
          <w:tcPr>
            <w:tcW w:w="1985" w:type="dxa"/>
            <w:noWrap/>
            <w:vAlign w:val="center"/>
          </w:tcPr>
          <w:p w:rsidR="004031CB" w:rsidRPr="00F9522B" w:rsidRDefault="004031CB" w:rsidP="00CA6CBF">
            <w:pPr>
              <w:widowControl/>
              <w:jc w:val="center"/>
              <w:textAlignment w:val="center"/>
              <w:rPr>
                <w:rFonts w:eastAsiaTheme="minorEastAsia"/>
                <w:kern w:val="0"/>
                <w:szCs w:val="21"/>
              </w:rPr>
            </w:pPr>
            <w:r w:rsidRPr="00F9522B">
              <w:rPr>
                <w:rFonts w:eastAsiaTheme="minorEastAsia"/>
                <w:kern w:val="0"/>
                <w:szCs w:val="21"/>
              </w:rPr>
              <w:t>设施农用地</w:t>
            </w:r>
          </w:p>
        </w:tc>
        <w:tc>
          <w:tcPr>
            <w:tcW w:w="1688" w:type="dxa"/>
            <w:noWrap/>
            <w:vAlign w:val="center"/>
          </w:tcPr>
          <w:p w:rsidR="004031CB" w:rsidRPr="00F9522B" w:rsidRDefault="004031CB" w:rsidP="00CA6CBF">
            <w:pPr>
              <w:widowControl/>
              <w:jc w:val="center"/>
              <w:textAlignment w:val="center"/>
              <w:rPr>
                <w:rFonts w:eastAsia="仿宋"/>
                <w:szCs w:val="21"/>
              </w:rPr>
            </w:pPr>
            <w:r w:rsidRPr="00F9522B">
              <w:rPr>
                <w:kern w:val="0"/>
                <w:szCs w:val="21"/>
              </w:rPr>
              <w:t>0.0417</w:t>
            </w:r>
          </w:p>
        </w:tc>
        <w:tc>
          <w:tcPr>
            <w:tcW w:w="1895" w:type="dxa"/>
            <w:vAlign w:val="center"/>
          </w:tcPr>
          <w:p w:rsidR="004031CB" w:rsidRPr="00F9522B" w:rsidRDefault="004031CB" w:rsidP="004031CB">
            <w:pPr>
              <w:widowControl/>
              <w:jc w:val="center"/>
              <w:textAlignment w:val="center"/>
              <w:rPr>
                <w:rFonts w:eastAsia="仿宋"/>
                <w:szCs w:val="21"/>
              </w:rPr>
            </w:pPr>
            <w:r w:rsidRPr="00F9522B">
              <w:rPr>
                <w:kern w:val="0"/>
                <w:szCs w:val="21"/>
              </w:rPr>
              <w:t>0.0417</w:t>
            </w:r>
          </w:p>
        </w:tc>
      </w:tr>
      <w:tr w:rsidR="004031CB" w:rsidRPr="00F9522B" w:rsidTr="008F5BFF">
        <w:trPr>
          <w:trHeight w:val="208"/>
          <w:jc w:val="center"/>
        </w:trPr>
        <w:tc>
          <w:tcPr>
            <w:tcW w:w="807" w:type="dxa"/>
            <w:vMerge/>
            <w:noWrap/>
            <w:vAlign w:val="center"/>
          </w:tcPr>
          <w:p w:rsidR="004031CB" w:rsidRPr="00F9522B" w:rsidRDefault="004031CB" w:rsidP="00CA6CBF">
            <w:pPr>
              <w:jc w:val="center"/>
              <w:rPr>
                <w:rFonts w:eastAsiaTheme="minorEastAsia"/>
                <w:szCs w:val="21"/>
              </w:rPr>
            </w:pPr>
          </w:p>
        </w:tc>
        <w:tc>
          <w:tcPr>
            <w:tcW w:w="1461" w:type="dxa"/>
            <w:vMerge/>
            <w:noWrap/>
            <w:vAlign w:val="center"/>
          </w:tcPr>
          <w:p w:rsidR="004031CB" w:rsidRPr="00F9522B" w:rsidRDefault="004031CB" w:rsidP="00CA6CBF">
            <w:pPr>
              <w:jc w:val="center"/>
              <w:rPr>
                <w:rFonts w:eastAsiaTheme="minorEastAsia"/>
                <w:szCs w:val="21"/>
              </w:rPr>
            </w:pPr>
          </w:p>
        </w:tc>
        <w:tc>
          <w:tcPr>
            <w:tcW w:w="949" w:type="dxa"/>
            <w:noWrap/>
            <w:vAlign w:val="center"/>
          </w:tcPr>
          <w:p w:rsidR="004031CB" w:rsidRPr="00F9522B" w:rsidRDefault="004031CB" w:rsidP="00CA6CBF">
            <w:pPr>
              <w:widowControl/>
              <w:jc w:val="center"/>
              <w:textAlignment w:val="center"/>
              <w:rPr>
                <w:rFonts w:eastAsiaTheme="minorEastAsia"/>
                <w:kern w:val="0"/>
                <w:szCs w:val="21"/>
              </w:rPr>
            </w:pPr>
            <w:r w:rsidRPr="00F9522B">
              <w:rPr>
                <w:rFonts w:eastAsiaTheme="minorEastAsia"/>
                <w:kern w:val="0"/>
                <w:szCs w:val="21"/>
              </w:rPr>
              <w:t>1206</w:t>
            </w:r>
          </w:p>
        </w:tc>
        <w:tc>
          <w:tcPr>
            <w:tcW w:w="1985" w:type="dxa"/>
            <w:noWrap/>
            <w:vAlign w:val="center"/>
          </w:tcPr>
          <w:p w:rsidR="004031CB" w:rsidRPr="00F9522B" w:rsidRDefault="004031CB" w:rsidP="00CA6CBF">
            <w:pPr>
              <w:widowControl/>
              <w:jc w:val="center"/>
              <w:textAlignment w:val="center"/>
              <w:rPr>
                <w:rFonts w:eastAsiaTheme="minorEastAsia"/>
                <w:kern w:val="0"/>
                <w:szCs w:val="21"/>
              </w:rPr>
            </w:pPr>
            <w:r w:rsidRPr="00F9522B">
              <w:rPr>
                <w:rFonts w:eastAsiaTheme="minorEastAsia"/>
                <w:kern w:val="0"/>
                <w:szCs w:val="21"/>
              </w:rPr>
              <w:t>裸土地</w:t>
            </w:r>
          </w:p>
        </w:tc>
        <w:tc>
          <w:tcPr>
            <w:tcW w:w="1688" w:type="dxa"/>
            <w:noWrap/>
            <w:vAlign w:val="center"/>
          </w:tcPr>
          <w:p w:rsidR="004031CB" w:rsidRPr="00F9522B" w:rsidRDefault="004031CB" w:rsidP="00CA6CBF">
            <w:pPr>
              <w:widowControl/>
              <w:jc w:val="center"/>
              <w:textAlignment w:val="center"/>
              <w:rPr>
                <w:rFonts w:eastAsia="仿宋"/>
                <w:szCs w:val="21"/>
              </w:rPr>
            </w:pPr>
            <w:r w:rsidRPr="00F9522B">
              <w:rPr>
                <w:kern w:val="0"/>
                <w:szCs w:val="21"/>
              </w:rPr>
              <w:t>0.0038</w:t>
            </w:r>
          </w:p>
        </w:tc>
        <w:tc>
          <w:tcPr>
            <w:tcW w:w="1895" w:type="dxa"/>
            <w:vAlign w:val="center"/>
          </w:tcPr>
          <w:p w:rsidR="004031CB" w:rsidRPr="00F9522B" w:rsidRDefault="004031CB" w:rsidP="004031CB">
            <w:pPr>
              <w:widowControl/>
              <w:jc w:val="center"/>
              <w:textAlignment w:val="center"/>
              <w:rPr>
                <w:rFonts w:eastAsia="仿宋"/>
                <w:szCs w:val="21"/>
              </w:rPr>
            </w:pPr>
            <w:r w:rsidRPr="00F9522B">
              <w:rPr>
                <w:kern w:val="0"/>
                <w:szCs w:val="21"/>
              </w:rPr>
              <w:t>0.0038</w:t>
            </w:r>
          </w:p>
        </w:tc>
      </w:tr>
      <w:tr w:rsidR="004031CB" w:rsidRPr="00F9522B" w:rsidTr="00CA6CBF">
        <w:trPr>
          <w:trHeight w:val="208"/>
          <w:jc w:val="center"/>
        </w:trPr>
        <w:tc>
          <w:tcPr>
            <w:tcW w:w="2268" w:type="dxa"/>
            <w:gridSpan w:val="2"/>
            <w:noWrap/>
            <w:vAlign w:val="center"/>
          </w:tcPr>
          <w:p w:rsidR="004031CB" w:rsidRPr="00F9522B" w:rsidRDefault="004031CB" w:rsidP="00CA6CBF">
            <w:pPr>
              <w:jc w:val="center"/>
              <w:rPr>
                <w:rFonts w:eastAsiaTheme="minorEastAsia"/>
                <w:kern w:val="0"/>
                <w:szCs w:val="21"/>
              </w:rPr>
            </w:pPr>
            <w:r w:rsidRPr="00F9522B">
              <w:rPr>
                <w:rFonts w:eastAsiaTheme="minorEastAsia"/>
                <w:kern w:val="0"/>
                <w:szCs w:val="21"/>
              </w:rPr>
              <w:t>合计</w:t>
            </w:r>
          </w:p>
        </w:tc>
        <w:tc>
          <w:tcPr>
            <w:tcW w:w="949" w:type="dxa"/>
            <w:noWrap/>
            <w:vAlign w:val="center"/>
          </w:tcPr>
          <w:p w:rsidR="004031CB" w:rsidRPr="00F9522B" w:rsidRDefault="004031CB" w:rsidP="00CA6CBF">
            <w:pPr>
              <w:jc w:val="center"/>
              <w:rPr>
                <w:rFonts w:eastAsiaTheme="minorEastAsia"/>
                <w:kern w:val="0"/>
                <w:szCs w:val="21"/>
              </w:rPr>
            </w:pPr>
            <w:r w:rsidRPr="00F9522B">
              <w:rPr>
                <w:rFonts w:eastAsiaTheme="minorEastAsia"/>
                <w:kern w:val="0"/>
                <w:szCs w:val="21"/>
              </w:rPr>
              <w:t>/</w:t>
            </w:r>
          </w:p>
        </w:tc>
        <w:tc>
          <w:tcPr>
            <w:tcW w:w="1985" w:type="dxa"/>
            <w:noWrap/>
            <w:vAlign w:val="center"/>
          </w:tcPr>
          <w:p w:rsidR="004031CB" w:rsidRPr="00F9522B" w:rsidRDefault="004031CB" w:rsidP="00CA6CBF">
            <w:pPr>
              <w:jc w:val="center"/>
              <w:rPr>
                <w:rFonts w:eastAsiaTheme="minorEastAsia"/>
                <w:szCs w:val="21"/>
              </w:rPr>
            </w:pPr>
            <w:r w:rsidRPr="00F9522B">
              <w:rPr>
                <w:rFonts w:eastAsiaTheme="minorEastAsia"/>
                <w:kern w:val="0"/>
                <w:szCs w:val="21"/>
              </w:rPr>
              <w:t>/</w:t>
            </w:r>
          </w:p>
        </w:tc>
        <w:tc>
          <w:tcPr>
            <w:tcW w:w="1688" w:type="dxa"/>
            <w:noWrap/>
            <w:vAlign w:val="center"/>
          </w:tcPr>
          <w:p w:rsidR="004031CB" w:rsidRPr="00F9522B" w:rsidRDefault="004031CB" w:rsidP="004031CB">
            <w:pPr>
              <w:jc w:val="center"/>
              <w:rPr>
                <w:rFonts w:eastAsiaTheme="minorEastAsia"/>
                <w:szCs w:val="21"/>
              </w:rPr>
            </w:pPr>
            <w:r w:rsidRPr="00F9522B">
              <w:rPr>
                <w:rFonts w:eastAsiaTheme="minorEastAsia"/>
                <w:szCs w:val="21"/>
              </w:rPr>
              <w:t>37.1359</w:t>
            </w:r>
          </w:p>
        </w:tc>
        <w:tc>
          <w:tcPr>
            <w:tcW w:w="1895" w:type="dxa"/>
            <w:vAlign w:val="center"/>
          </w:tcPr>
          <w:p w:rsidR="004031CB" w:rsidRPr="00F9522B" w:rsidRDefault="004031CB" w:rsidP="004031CB">
            <w:pPr>
              <w:jc w:val="center"/>
              <w:rPr>
                <w:rFonts w:eastAsiaTheme="minorEastAsia"/>
                <w:szCs w:val="21"/>
              </w:rPr>
            </w:pPr>
            <w:r w:rsidRPr="00F9522B">
              <w:rPr>
                <w:rFonts w:eastAsiaTheme="minorEastAsia"/>
                <w:szCs w:val="21"/>
              </w:rPr>
              <w:t>37.1359</w:t>
            </w:r>
          </w:p>
        </w:tc>
      </w:tr>
    </w:tbl>
    <w:p w:rsidR="002A5A5E" w:rsidRPr="00F9522B" w:rsidRDefault="005273A1">
      <w:pPr>
        <w:pStyle w:val="2fa"/>
        <w:ind w:firstLine="480"/>
        <w:contextualSpacing/>
        <w:rPr>
          <w:rFonts w:ascii="Times New Roman" w:hAnsi="Times New Roman" w:cs="Times New Roman"/>
          <w:szCs w:val="24"/>
          <w:lang w:bidi="en-US"/>
        </w:rPr>
      </w:pPr>
      <w:r w:rsidRPr="00F9522B">
        <w:rPr>
          <w:rFonts w:ascii="Times New Roman" w:hAnsi="Times New Roman" w:cs="Times New Roman"/>
          <w:szCs w:val="24"/>
          <w:lang w:bidi="en-US"/>
        </w:rPr>
        <w:fldChar w:fldCharType="begin"/>
      </w:r>
      <w:r w:rsidR="00250C31" w:rsidRPr="00F9522B">
        <w:rPr>
          <w:rFonts w:ascii="Times New Roman" w:hAnsi="Times New Roman" w:cs="Times New Roman"/>
          <w:szCs w:val="24"/>
          <w:lang w:bidi="en-US"/>
        </w:rPr>
        <w:instrText xml:space="preserve"> = 2 \* GB3 </w:instrText>
      </w:r>
      <w:r w:rsidRPr="00F9522B">
        <w:rPr>
          <w:rFonts w:ascii="Times New Roman" w:hAnsi="Times New Roman" w:cs="Times New Roman"/>
          <w:szCs w:val="24"/>
          <w:lang w:bidi="en-US"/>
        </w:rPr>
        <w:fldChar w:fldCharType="separate"/>
      </w:r>
      <w:r w:rsidR="00250C31" w:rsidRPr="00F9522B">
        <w:rPr>
          <w:rFonts w:eastAsia="宋体" w:cs="宋体" w:hint="eastAsia"/>
          <w:noProof/>
          <w:szCs w:val="24"/>
          <w:lang w:bidi="en-US"/>
        </w:rPr>
        <w:t>②</w:t>
      </w:r>
      <w:r w:rsidRPr="00F9522B">
        <w:rPr>
          <w:rFonts w:ascii="Times New Roman" w:hAnsi="Times New Roman" w:cs="Times New Roman"/>
          <w:szCs w:val="24"/>
          <w:lang w:bidi="en-US"/>
        </w:rPr>
        <w:fldChar w:fldCharType="end"/>
      </w:r>
      <w:r w:rsidR="00611CBA" w:rsidRPr="00F9522B">
        <w:rPr>
          <w:rFonts w:ascii="Times New Roman" w:hAnsi="Times New Roman" w:cs="Times New Roman"/>
          <w:szCs w:val="24"/>
          <w:lang w:bidi="en-US"/>
        </w:rPr>
        <w:t>农田</w:t>
      </w:r>
    </w:p>
    <w:p w:rsidR="002A5A5E" w:rsidRPr="00F9522B" w:rsidRDefault="00611CBA">
      <w:pPr>
        <w:pStyle w:val="2fa"/>
        <w:ind w:firstLine="480"/>
        <w:contextualSpacing/>
        <w:rPr>
          <w:rFonts w:ascii="Times New Roman" w:hAnsi="Times New Roman" w:cs="Times New Roman"/>
          <w:szCs w:val="24"/>
          <w:lang w:bidi="en-US"/>
        </w:rPr>
      </w:pPr>
      <w:r w:rsidRPr="00F9522B">
        <w:rPr>
          <w:rFonts w:ascii="Times New Roman" w:hAnsi="Times New Roman" w:cs="Times New Roman"/>
          <w:szCs w:val="24"/>
          <w:lang w:bidi="en-US"/>
        </w:rPr>
        <w:t>本项目涉及的耕地区块均属于典型农业生产区，各区块开发范围内分布有大</w:t>
      </w:r>
      <w:r w:rsidRPr="00F9522B">
        <w:rPr>
          <w:rFonts w:ascii="Times New Roman" w:hAnsi="Times New Roman" w:cs="Times New Roman"/>
          <w:szCs w:val="24"/>
          <w:lang w:bidi="en-US"/>
        </w:rPr>
        <w:lastRenderedPageBreak/>
        <w:t>面积的耕地，旱地农作物主要为玉米、大豆等，水田农作物主要为水稻。</w:t>
      </w:r>
      <w:r w:rsidRPr="00F9522B">
        <w:rPr>
          <w:rFonts w:ascii="Times New Roman" w:hAnsi="Times New Roman" w:cs="Times New Roman"/>
        </w:rPr>
        <w:t>兽类动物分布有褐家鼠</w:t>
      </w:r>
      <w:r w:rsidRPr="00F9522B">
        <w:rPr>
          <w:rFonts w:ascii="Times New Roman" w:hAnsi="Times New Roman" w:cs="Times New Roman"/>
          <w:smallCaps/>
          <w:szCs w:val="22"/>
        </w:rPr>
        <w:t>（</w:t>
      </w:r>
      <w:r w:rsidRPr="00F9522B">
        <w:rPr>
          <w:rFonts w:ascii="Times New Roman" w:hAnsi="Times New Roman" w:cs="Times New Roman"/>
          <w:i/>
          <w:smallCaps/>
          <w:szCs w:val="22"/>
        </w:rPr>
        <w:t>Rattus norvegicus</w:t>
      </w:r>
      <w:r w:rsidRPr="00F9522B">
        <w:rPr>
          <w:rFonts w:ascii="Times New Roman" w:hAnsi="Times New Roman" w:cs="Times New Roman"/>
          <w:smallCaps/>
          <w:szCs w:val="22"/>
        </w:rPr>
        <w:t>）、</w:t>
      </w:r>
      <w:r w:rsidRPr="00F9522B">
        <w:rPr>
          <w:rFonts w:ascii="Times New Roman" w:hAnsi="Times New Roman" w:cs="Times New Roman"/>
        </w:rPr>
        <w:t>黑线姬鼠（</w:t>
      </w:r>
      <w:r w:rsidRPr="00F9522B">
        <w:rPr>
          <w:rFonts w:ascii="Times New Roman" w:hAnsi="Times New Roman" w:cs="Times New Roman"/>
          <w:i/>
        </w:rPr>
        <w:t>Apodemus agrarius</w:t>
      </w:r>
      <w:r w:rsidRPr="00F9522B">
        <w:rPr>
          <w:rFonts w:ascii="Times New Roman" w:hAnsi="Times New Roman" w:cs="Times New Roman"/>
        </w:rPr>
        <w:t>）等，鸟类有麻雀（</w:t>
      </w:r>
      <w:r w:rsidRPr="00F9522B">
        <w:rPr>
          <w:rFonts w:ascii="Times New Roman" w:hAnsi="Times New Roman" w:cs="Times New Roman"/>
          <w:i/>
        </w:rPr>
        <w:t>Passer montanus</w:t>
      </w:r>
      <w:r w:rsidRPr="00F9522B">
        <w:rPr>
          <w:rFonts w:ascii="Times New Roman" w:hAnsi="Times New Roman" w:cs="Times New Roman"/>
        </w:rPr>
        <w:t>）和喜鹊</w:t>
      </w:r>
      <w:r w:rsidRPr="00F9522B">
        <w:rPr>
          <w:rFonts w:ascii="Times New Roman" w:hAnsi="Times New Roman" w:cs="Times New Roman"/>
          <w:szCs w:val="24"/>
          <w:lang w:bidi="en-US"/>
        </w:rPr>
        <w:t>（</w:t>
      </w:r>
      <w:r w:rsidRPr="00F9522B">
        <w:rPr>
          <w:rFonts w:ascii="Times New Roman" w:hAnsi="Times New Roman" w:cs="Times New Roman"/>
          <w:bCs/>
          <w:i/>
        </w:rPr>
        <w:t>Pica pica</w:t>
      </w:r>
      <w:r w:rsidRPr="00F9522B">
        <w:rPr>
          <w:rFonts w:ascii="Times New Roman" w:hAnsi="Times New Roman" w:cs="Times New Roman"/>
          <w:szCs w:val="24"/>
          <w:lang w:bidi="en-US"/>
        </w:rPr>
        <w:t>）</w:t>
      </w:r>
      <w:r w:rsidRPr="00F9522B">
        <w:rPr>
          <w:rFonts w:ascii="Times New Roman" w:hAnsi="Times New Roman" w:cs="Times New Roman"/>
        </w:rPr>
        <w:t>等伴人鸟类。</w:t>
      </w:r>
    </w:p>
    <w:p w:rsidR="002A5A5E" w:rsidRPr="00F9522B" w:rsidRDefault="00611CBA">
      <w:pPr>
        <w:pStyle w:val="2fa"/>
        <w:ind w:firstLine="480"/>
        <w:contextualSpacing/>
        <w:rPr>
          <w:rFonts w:ascii="Times New Roman" w:hAnsi="Times New Roman" w:cs="Times New Roman"/>
          <w:szCs w:val="24"/>
          <w:lang w:bidi="en-US"/>
        </w:rPr>
      </w:pPr>
      <w:r w:rsidRPr="00F9522B">
        <w:rPr>
          <w:rFonts w:ascii="Times New Roman" w:hAnsi="Times New Roman" w:cs="Times New Roman"/>
          <w:szCs w:val="24"/>
          <w:lang w:bidi="en-US"/>
        </w:rPr>
        <w:t>农田平均生物量估算为</w:t>
      </w:r>
      <w:r w:rsidRPr="00F9522B">
        <w:rPr>
          <w:rFonts w:ascii="Times New Roman" w:hAnsi="Times New Roman" w:cs="Times New Roman"/>
          <w:szCs w:val="24"/>
          <w:lang w:bidi="en-US"/>
        </w:rPr>
        <w:t>10.3t/hm</w:t>
      </w:r>
      <w:r w:rsidRPr="00F9522B">
        <w:rPr>
          <w:rFonts w:ascii="Times New Roman" w:hAnsi="Times New Roman" w:cs="Times New Roman"/>
          <w:szCs w:val="24"/>
          <w:vertAlign w:val="superscript"/>
          <w:lang w:bidi="en-US"/>
        </w:rPr>
        <w:t>2</w:t>
      </w:r>
      <w:r w:rsidRPr="00F9522B">
        <w:rPr>
          <w:rFonts w:ascii="Times New Roman" w:hAnsi="Times New Roman" w:cs="Times New Roman"/>
          <w:szCs w:val="24"/>
          <w:lang w:bidi="en-US"/>
        </w:rPr>
        <w:t>，评价范围内农田面积约为</w:t>
      </w:r>
      <w:r w:rsidR="00EF0505" w:rsidRPr="00F9522B">
        <w:rPr>
          <w:rFonts w:ascii="Times New Roman" w:hAnsi="Times New Roman" w:cs="Times New Roman"/>
          <w:bCs/>
          <w:szCs w:val="24"/>
          <w:lang w:bidi="en-US"/>
        </w:rPr>
        <w:t>33148</w:t>
      </w:r>
      <w:r w:rsidR="00EF0505" w:rsidRPr="00F9522B">
        <w:rPr>
          <w:rFonts w:ascii="Times New Roman" w:hAnsi="Times New Roman" w:cs="Times New Roman"/>
          <w:szCs w:val="24"/>
          <w:lang w:bidi="en-US"/>
        </w:rPr>
        <w:t>hm</w:t>
      </w:r>
      <w:r w:rsidR="00EF0505" w:rsidRPr="00F9522B">
        <w:rPr>
          <w:rFonts w:ascii="Times New Roman" w:hAnsi="Times New Roman" w:cs="Times New Roman"/>
          <w:szCs w:val="24"/>
          <w:vertAlign w:val="superscript"/>
          <w:lang w:bidi="en-US"/>
        </w:rPr>
        <w:t>2</w:t>
      </w:r>
      <w:r w:rsidRPr="00F9522B">
        <w:rPr>
          <w:rFonts w:ascii="Times New Roman" w:hAnsi="Times New Roman" w:cs="Times New Roman"/>
          <w:szCs w:val="24"/>
          <w:lang w:bidi="en-US"/>
        </w:rPr>
        <w:t>，故</w:t>
      </w:r>
      <w:r w:rsidRPr="00F9522B">
        <w:rPr>
          <w:rFonts w:ascii="Times New Roman" w:hAnsi="Times New Roman" w:cs="Times New Roman"/>
          <w:bCs/>
          <w:snapToGrid w:val="0"/>
          <w:kern w:val="0"/>
        </w:rPr>
        <w:t>调查范围内</w:t>
      </w:r>
      <w:r w:rsidRPr="00F9522B">
        <w:rPr>
          <w:rFonts w:ascii="Times New Roman" w:hAnsi="Times New Roman" w:cs="Times New Roman"/>
          <w:szCs w:val="24"/>
          <w:lang w:bidi="en-US"/>
        </w:rPr>
        <w:t>农田生物量约为</w:t>
      </w:r>
      <w:r w:rsidR="00EF0505" w:rsidRPr="00F9522B">
        <w:rPr>
          <w:rFonts w:ascii="Times New Roman" w:hAnsi="Times New Roman" w:cs="Times New Roman"/>
          <w:szCs w:val="24"/>
          <w:lang w:bidi="en-US"/>
        </w:rPr>
        <w:t>34.142</w:t>
      </w:r>
      <w:r w:rsidRPr="00F9522B">
        <w:rPr>
          <w:rFonts w:ascii="Times New Roman" w:hAnsi="Times New Roman" w:cs="Times New Roman"/>
          <w:szCs w:val="24"/>
          <w:lang w:bidi="en-US"/>
        </w:rPr>
        <w:t>万</w:t>
      </w:r>
      <w:r w:rsidRPr="00F9522B">
        <w:rPr>
          <w:rFonts w:ascii="Times New Roman" w:hAnsi="Times New Roman" w:cs="Times New Roman"/>
          <w:szCs w:val="24"/>
          <w:lang w:bidi="en-US"/>
        </w:rPr>
        <w:t>t/a</w:t>
      </w:r>
      <w:r w:rsidRPr="00F9522B">
        <w:rPr>
          <w:rFonts w:ascii="Times New Roman" w:hAnsi="Times New Roman" w:cs="Times New Roman"/>
          <w:szCs w:val="24"/>
          <w:lang w:bidi="en-US"/>
        </w:rPr>
        <w:t>。</w:t>
      </w:r>
    </w:p>
    <w:p w:rsidR="002A5A5E" w:rsidRPr="00F9522B" w:rsidRDefault="005273A1">
      <w:pPr>
        <w:pStyle w:val="2fa"/>
        <w:ind w:firstLine="480"/>
        <w:contextualSpacing/>
        <w:rPr>
          <w:rFonts w:ascii="Times New Roman" w:hAnsi="Times New Roman" w:cs="Times New Roman"/>
          <w:szCs w:val="24"/>
          <w:lang w:bidi="en-US"/>
        </w:rPr>
      </w:pPr>
      <w:r w:rsidRPr="00F9522B">
        <w:rPr>
          <w:rFonts w:ascii="Times New Roman" w:hAnsi="Times New Roman" w:cs="Times New Roman"/>
          <w:szCs w:val="24"/>
          <w:lang w:bidi="en-US"/>
        </w:rPr>
        <w:fldChar w:fldCharType="begin"/>
      </w:r>
      <w:r w:rsidR="00250C31" w:rsidRPr="00F9522B">
        <w:rPr>
          <w:rFonts w:ascii="Times New Roman" w:hAnsi="Times New Roman" w:cs="Times New Roman"/>
          <w:szCs w:val="24"/>
          <w:lang w:bidi="en-US"/>
        </w:rPr>
        <w:instrText xml:space="preserve"> = 3 \* GB3 </w:instrText>
      </w:r>
      <w:r w:rsidRPr="00F9522B">
        <w:rPr>
          <w:rFonts w:ascii="Times New Roman" w:hAnsi="Times New Roman" w:cs="Times New Roman"/>
          <w:szCs w:val="24"/>
          <w:lang w:bidi="en-US"/>
        </w:rPr>
        <w:fldChar w:fldCharType="separate"/>
      </w:r>
      <w:r w:rsidR="00250C31" w:rsidRPr="00F9522B">
        <w:rPr>
          <w:rFonts w:eastAsia="宋体" w:cs="宋体" w:hint="eastAsia"/>
          <w:noProof/>
          <w:szCs w:val="24"/>
          <w:lang w:bidi="en-US"/>
        </w:rPr>
        <w:t>③</w:t>
      </w:r>
      <w:r w:rsidRPr="00F9522B">
        <w:rPr>
          <w:rFonts w:ascii="Times New Roman" w:hAnsi="Times New Roman" w:cs="Times New Roman"/>
          <w:szCs w:val="24"/>
          <w:lang w:bidi="en-US"/>
        </w:rPr>
        <w:fldChar w:fldCharType="end"/>
      </w:r>
      <w:r w:rsidR="00611CBA" w:rsidRPr="00F9522B">
        <w:rPr>
          <w:rFonts w:ascii="Times New Roman" w:hAnsi="Times New Roman" w:cs="Times New Roman"/>
          <w:szCs w:val="24"/>
          <w:lang w:bidi="en-US"/>
        </w:rPr>
        <w:t>植被</w:t>
      </w:r>
    </w:p>
    <w:p w:rsidR="002A5A5E" w:rsidRPr="00F9522B" w:rsidRDefault="00611CBA">
      <w:pPr>
        <w:pStyle w:val="2fa"/>
        <w:ind w:firstLine="480"/>
        <w:contextualSpacing/>
        <w:rPr>
          <w:rFonts w:ascii="Times New Roman" w:hAnsi="Times New Roman" w:cs="Times New Roman"/>
          <w:lang w:bidi="en-US"/>
        </w:rPr>
      </w:pPr>
      <w:r w:rsidRPr="00F9522B">
        <w:rPr>
          <w:rFonts w:ascii="Times New Roman" w:hAnsi="Times New Roman" w:cs="Times New Roman"/>
          <w:szCs w:val="24"/>
          <w:lang w:bidi="en-US"/>
        </w:rPr>
        <w:t>根据植被类型图及实地调查，周围植被主要为农田植被及草甸植被。主要有玉米、水稻、大豆</w:t>
      </w:r>
      <w:r w:rsidR="008C3325" w:rsidRPr="00F9522B">
        <w:rPr>
          <w:rFonts w:ascii="Times New Roman" w:hAnsi="Times New Roman" w:cs="Times New Roman"/>
          <w:szCs w:val="24"/>
          <w:lang w:bidi="en-US"/>
        </w:rPr>
        <w:t>，</w:t>
      </w:r>
      <w:r w:rsidRPr="00F9522B">
        <w:rPr>
          <w:rFonts w:ascii="Times New Roman" w:hAnsi="Times New Roman" w:cs="Times New Roman"/>
          <w:smallCaps/>
          <w:szCs w:val="22"/>
        </w:rPr>
        <w:t>阔叶林有山杨林（</w:t>
      </w:r>
      <w:r w:rsidRPr="00F9522B">
        <w:rPr>
          <w:rFonts w:ascii="Times New Roman" w:hAnsi="Times New Roman" w:cs="Times New Roman"/>
          <w:i/>
          <w:iCs/>
          <w:smallCaps/>
          <w:szCs w:val="22"/>
        </w:rPr>
        <w:t>Populus davidiana</w:t>
      </w:r>
      <w:r w:rsidRPr="00F9522B">
        <w:rPr>
          <w:rFonts w:ascii="Times New Roman" w:hAnsi="Times New Roman" w:cs="Times New Roman"/>
          <w:smallCaps/>
          <w:szCs w:val="22"/>
        </w:rPr>
        <w:t>）、蒙古栎林（</w:t>
      </w:r>
      <w:r w:rsidRPr="00F9522B">
        <w:rPr>
          <w:rFonts w:ascii="Times New Roman" w:hAnsi="Times New Roman" w:cs="Times New Roman"/>
          <w:i/>
          <w:iCs/>
          <w:smallCaps/>
          <w:szCs w:val="22"/>
        </w:rPr>
        <w:t>Quercus mongolica</w:t>
      </w:r>
      <w:r w:rsidRPr="00F9522B">
        <w:rPr>
          <w:rFonts w:ascii="Times New Roman" w:hAnsi="Times New Roman" w:cs="Times New Roman"/>
          <w:smallCaps/>
          <w:szCs w:val="22"/>
        </w:rPr>
        <w:t>）；针叶林有人工落叶松等，</w:t>
      </w:r>
      <w:r w:rsidR="008C3325" w:rsidRPr="00F9522B">
        <w:rPr>
          <w:rFonts w:ascii="Times New Roman" w:hAnsi="Times New Roman" w:cs="Times New Roman"/>
        </w:rPr>
        <w:t>灌丛</w:t>
      </w:r>
      <w:r w:rsidR="008C3325" w:rsidRPr="00F9522B">
        <w:rPr>
          <w:rFonts w:ascii="Times New Roman" w:hAnsi="Times New Roman" w:cs="Times New Roman"/>
          <w:smallCaps/>
          <w:szCs w:val="22"/>
        </w:rPr>
        <w:t>蒿柳（</w:t>
      </w:r>
      <w:r w:rsidR="008C3325" w:rsidRPr="00F9522B">
        <w:rPr>
          <w:rFonts w:ascii="Times New Roman" w:hAnsi="Times New Roman" w:cs="Times New Roman"/>
          <w:i/>
          <w:smallCaps/>
          <w:szCs w:val="22"/>
        </w:rPr>
        <w:t>Salisviminalis</w:t>
      </w:r>
      <w:r w:rsidR="008C3325" w:rsidRPr="00F9522B">
        <w:rPr>
          <w:rFonts w:ascii="Times New Roman" w:hAnsi="Times New Roman" w:cs="Times New Roman"/>
          <w:smallCaps/>
          <w:szCs w:val="22"/>
        </w:rPr>
        <w:t>）</w:t>
      </w:r>
      <w:r w:rsidR="008C3325" w:rsidRPr="00F9522B">
        <w:rPr>
          <w:rFonts w:ascii="Times New Roman" w:hAnsi="Times New Roman" w:cs="Times New Roman"/>
        </w:rPr>
        <w:t>为优势种，常伴生的有三蕊柳（</w:t>
      </w:r>
      <w:r w:rsidR="008C3325" w:rsidRPr="00F9522B">
        <w:rPr>
          <w:rFonts w:ascii="Times New Roman" w:hAnsi="Times New Roman" w:cs="Times New Roman"/>
          <w:i/>
        </w:rPr>
        <w:t>Salixtrianda</w:t>
      </w:r>
      <w:r w:rsidR="008C3325" w:rsidRPr="00F9522B">
        <w:rPr>
          <w:rFonts w:ascii="Times New Roman" w:hAnsi="Times New Roman" w:cs="Times New Roman"/>
        </w:rPr>
        <w:t>）、松江柳（</w:t>
      </w:r>
      <w:r w:rsidR="008C3325" w:rsidRPr="00F9522B">
        <w:rPr>
          <w:rFonts w:ascii="Times New Roman" w:hAnsi="Times New Roman" w:cs="Times New Roman"/>
          <w:i/>
        </w:rPr>
        <w:t>Salixsungkianica</w:t>
      </w:r>
      <w:r w:rsidR="008C3325" w:rsidRPr="00F9522B">
        <w:rPr>
          <w:rFonts w:ascii="Times New Roman" w:hAnsi="Times New Roman" w:cs="Times New Roman"/>
        </w:rPr>
        <w:t>）</w:t>
      </w:r>
      <w:r w:rsidR="008C3325" w:rsidRPr="00F9522B">
        <w:rPr>
          <w:rFonts w:ascii="Times New Roman" w:hAnsi="Times New Roman" w:cs="Times New Roman"/>
          <w:smallCaps/>
          <w:szCs w:val="22"/>
        </w:rPr>
        <w:t>，</w:t>
      </w:r>
      <w:r w:rsidRPr="00F9522B">
        <w:rPr>
          <w:rFonts w:ascii="Times New Roman" w:hAnsi="Times New Roman" w:cs="Times New Roman"/>
          <w:smallCaps/>
          <w:szCs w:val="22"/>
        </w:rPr>
        <w:t>草甸分布</w:t>
      </w:r>
      <w:r w:rsidRPr="00F9522B">
        <w:rPr>
          <w:rFonts w:ascii="Times New Roman" w:hAnsi="Times New Roman" w:cs="Times New Roman"/>
        </w:rPr>
        <w:t>狗尾草</w:t>
      </w:r>
      <w:r w:rsidRPr="00F9522B">
        <w:rPr>
          <w:rFonts w:ascii="Times New Roman" w:eastAsia="宋体" w:hAnsi="Times New Roman" w:cs="Times New Roman"/>
          <w:szCs w:val="20"/>
        </w:rPr>
        <w:t>（</w:t>
      </w:r>
      <w:r w:rsidRPr="00F9522B">
        <w:rPr>
          <w:rFonts w:ascii="Times New Roman" w:eastAsia="宋体" w:hAnsi="Times New Roman" w:cs="Times New Roman"/>
          <w:i/>
          <w:iCs/>
          <w:szCs w:val="20"/>
        </w:rPr>
        <w:t>Setaria viridis</w:t>
      </w:r>
      <w:r w:rsidRPr="00F9522B">
        <w:rPr>
          <w:rFonts w:ascii="Times New Roman" w:eastAsia="宋体" w:hAnsi="Times New Roman" w:cs="Times New Roman"/>
          <w:szCs w:val="20"/>
        </w:rPr>
        <w:t>）</w:t>
      </w:r>
      <w:r w:rsidRPr="00F9522B">
        <w:rPr>
          <w:rFonts w:ascii="Times New Roman" w:hAnsi="Times New Roman" w:cs="Times New Roman"/>
        </w:rPr>
        <w:t>、</w:t>
      </w:r>
      <w:r w:rsidR="008C3325" w:rsidRPr="00F9522B">
        <w:rPr>
          <w:rFonts w:ascii="Times New Roman" w:hAnsi="Times New Roman" w:cs="Times New Roman"/>
        </w:rPr>
        <w:t>蚊子草（</w:t>
      </w:r>
      <w:r w:rsidR="008C3325" w:rsidRPr="00F9522B">
        <w:rPr>
          <w:rFonts w:ascii="Times New Roman" w:hAnsi="Times New Roman" w:cs="Times New Roman"/>
          <w:i/>
        </w:rPr>
        <w:t>Filipendulapalmata</w:t>
      </w:r>
      <w:r w:rsidR="008C3325" w:rsidRPr="00F9522B">
        <w:rPr>
          <w:rFonts w:ascii="Times New Roman" w:hAnsi="Times New Roman" w:cs="Times New Roman"/>
        </w:rPr>
        <w:t>）、</w:t>
      </w:r>
      <w:r w:rsidRPr="00F9522B">
        <w:rPr>
          <w:rFonts w:ascii="Times New Roman" w:eastAsia="宋体" w:hAnsi="Times New Roman" w:cs="Times New Roman"/>
          <w:szCs w:val="20"/>
        </w:rPr>
        <w:t>青蒿（</w:t>
      </w:r>
      <w:r w:rsidRPr="00F9522B">
        <w:rPr>
          <w:rFonts w:ascii="Times New Roman" w:eastAsia="宋体" w:hAnsi="Times New Roman" w:cs="Times New Roman"/>
          <w:i/>
          <w:iCs/>
          <w:szCs w:val="20"/>
        </w:rPr>
        <w:t>Artemisia carvifolia var. schochii</w:t>
      </w:r>
      <w:r w:rsidRPr="00F9522B">
        <w:rPr>
          <w:rFonts w:ascii="Times New Roman" w:eastAsia="宋体" w:hAnsi="Times New Roman" w:cs="Times New Roman"/>
          <w:szCs w:val="20"/>
        </w:rPr>
        <w:t>）、蒲公英等（</w:t>
      </w:r>
      <w:r w:rsidRPr="00F9522B">
        <w:rPr>
          <w:rFonts w:ascii="Times New Roman" w:eastAsia="宋体" w:hAnsi="Times New Roman" w:cs="Times New Roman"/>
          <w:i/>
          <w:iCs/>
          <w:szCs w:val="20"/>
        </w:rPr>
        <w:t xml:space="preserve">Taraxacum ohwianum </w:t>
      </w:r>
      <w:r w:rsidRPr="00F9522B">
        <w:rPr>
          <w:rFonts w:ascii="Times New Roman" w:eastAsia="宋体" w:hAnsi="Times New Roman" w:cs="Times New Roman"/>
          <w:i/>
          <w:szCs w:val="20"/>
        </w:rPr>
        <w:t>Kitam</w:t>
      </w:r>
      <w:r w:rsidRPr="00F9522B">
        <w:rPr>
          <w:rFonts w:ascii="Times New Roman" w:eastAsia="宋体" w:hAnsi="Times New Roman" w:cs="Times New Roman"/>
          <w:szCs w:val="20"/>
        </w:rPr>
        <w:t>）</w:t>
      </w:r>
      <w:r w:rsidRPr="00F9522B">
        <w:rPr>
          <w:rFonts w:ascii="Times New Roman" w:hAnsi="Times New Roman" w:cs="Times New Roman"/>
        </w:rPr>
        <w:t>、杂草</w:t>
      </w:r>
      <w:r w:rsidRPr="00F9522B">
        <w:rPr>
          <w:rFonts w:ascii="Times New Roman" w:hAnsi="Times New Roman" w:cs="Times New Roman"/>
          <w:smallCaps/>
          <w:szCs w:val="22"/>
        </w:rPr>
        <w:t>。</w:t>
      </w:r>
      <w:r w:rsidRPr="00F9522B">
        <w:rPr>
          <w:rFonts w:ascii="Times New Roman" w:hAnsi="Times New Roman" w:cs="Times New Roman"/>
          <w:szCs w:val="24"/>
          <w:lang w:bidi="en-US"/>
        </w:rPr>
        <w:t>涉及水域为沟渠及承泄区</w:t>
      </w:r>
      <w:r w:rsidR="00507669" w:rsidRPr="00F9522B">
        <w:rPr>
          <w:rFonts w:ascii="Times New Roman" w:hAnsi="Times New Roman" w:cs="Times New Roman"/>
          <w:szCs w:val="24"/>
          <w:lang w:bidi="en-US"/>
        </w:rPr>
        <w:t>松花江</w:t>
      </w:r>
      <w:r w:rsidRPr="00F9522B">
        <w:rPr>
          <w:rFonts w:ascii="Times New Roman" w:hAnsi="Times New Roman" w:cs="Times New Roman"/>
          <w:szCs w:val="24"/>
          <w:lang w:bidi="en-US"/>
        </w:rPr>
        <w:t>、漂河，主要分布藻类</w:t>
      </w:r>
      <w:r w:rsidRPr="00F9522B">
        <w:rPr>
          <w:rFonts w:ascii="Times New Roman" w:hAnsi="Times New Roman" w:cs="Times New Roman"/>
        </w:rPr>
        <w:t>、小叶章（</w:t>
      </w:r>
      <w:r w:rsidRPr="00F9522B">
        <w:rPr>
          <w:rFonts w:ascii="Times New Roman" w:hAnsi="Times New Roman" w:cs="Times New Roman"/>
          <w:i/>
          <w:iCs/>
        </w:rPr>
        <w:t>Calamagrastis angustifolia</w:t>
      </w:r>
      <w:r w:rsidRPr="00F9522B">
        <w:rPr>
          <w:rFonts w:ascii="Times New Roman" w:hAnsi="Times New Roman" w:cs="Times New Roman"/>
        </w:rPr>
        <w:t>）</w:t>
      </w:r>
      <w:r w:rsidRPr="00F9522B">
        <w:rPr>
          <w:rFonts w:ascii="Times New Roman" w:hAnsi="Times New Roman" w:cs="Times New Roman"/>
          <w:lang w:bidi="en-US"/>
        </w:rPr>
        <w:t>、芦苇</w:t>
      </w:r>
      <w:r w:rsidRPr="00F9522B">
        <w:rPr>
          <w:rFonts w:ascii="Times New Roman" w:hAnsi="Times New Roman" w:cs="Times New Roman"/>
        </w:rPr>
        <w:t>（</w:t>
      </w:r>
      <w:r w:rsidRPr="00F9522B">
        <w:rPr>
          <w:rFonts w:ascii="Times New Roman" w:hAnsi="Times New Roman" w:cs="Times New Roman"/>
          <w:i/>
        </w:rPr>
        <w:t>Phragmites australis</w:t>
      </w:r>
      <w:r w:rsidRPr="00F9522B">
        <w:rPr>
          <w:rFonts w:ascii="Times New Roman" w:hAnsi="Times New Roman" w:cs="Times New Roman"/>
        </w:rPr>
        <w:t>）</w:t>
      </w:r>
      <w:r w:rsidR="008C3325" w:rsidRPr="00F9522B">
        <w:rPr>
          <w:rFonts w:ascii="Times New Roman" w:hAnsi="Times New Roman" w:cs="Times New Roman"/>
        </w:rPr>
        <w:t>、灰脉苔草（</w:t>
      </w:r>
      <w:r w:rsidR="008C3325" w:rsidRPr="00F9522B">
        <w:rPr>
          <w:rFonts w:ascii="Times New Roman" w:hAnsi="Times New Roman" w:cs="Times New Roman"/>
          <w:i/>
        </w:rPr>
        <w:t>Carexappendiculata</w:t>
      </w:r>
      <w:r w:rsidR="008C3325" w:rsidRPr="00F9522B">
        <w:rPr>
          <w:rFonts w:ascii="Times New Roman" w:hAnsi="Times New Roman" w:cs="Times New Roman"/>
        </w:rPr>
        <w:t>）</w:t>
      </w:r>
      <w:r w:rsidRPr="00F9522B">
        <w:rPr>
          <w:rFonts w:ascii="Times New Roman" w:hAnsi="Times New Roman" w:cs="Times New Roman"/>
        </w:rPr>
        <w:t>等湿生、水生植物</w:t>
      </w:r>
      <w:r w:rsidRPr="00F9522B">
        <w:rPr>
          <w:rFonts w:ascii="Times New Roman" w:hAnsi="Times New Roman" w:cs="Times New Roman"/>
          <w:szCs w:val="24"/>
          <w:lang w:bidi="en-US"/>
        </w:rPr>
        <w:t>及水生维管植物。植被类型图见附图</w:t>
      </w:r>
      <w:r w:rsidRPr="00F9522B">
        <w:rPr>
          <w:rFonts w:ascii="Times New Roman" w:hAnsi="Times New Roman" w:cs="Times New Roman"/>
          <w:szCs w:val="24"/>
          <w:lang w:bidi="en-US"/>
        </w:rPr>
        <w:t>6</w:t>
      </w:r>
      <w:r w:rsidRPr="00F9522B">
        <w:rPr>
          <w:rFonts w:ascii="Times New Roman" w:hAnsi="Times New Roman" w:cs="Times New Roman"/>
          <w:szCs w:val="24"/>
          <w:lang w:bidi="en-US"/>
        </w:rPr>
        <w:t>。</w:t>
      </w:r>
    </w:p>
    <w:p w:rsidR="002A5A5E" w:rsidRPr="00F9522B" w:rsidRDefault="005273A1">
      <w:pPr>
        <w:pStyle w:val="2fa"/>
        <w:ind w:firstLine="480"/>
        <w:contextualSpacing/>
        <w:rPr>
          <w:rFonts w:ascii="Times New Roman" w:hAnsi="Times New Roman" w:cs="Times New Roman"/>
          <w:szCs w:val="24"/>
          <w:lang w:val="en-GB" w:bidi="en-US"/>
        </w:rPr>
      </w:pPr>
      <w:r w:rsidRPr="00F9522B">
        <w:rPr>
          <w:rFonts w:ascii="Times New Roman" w:hAnsi="Times New Roman" w:cs="Times New Roman"/>
          <w:szCs w:val="24"/>
          <w:lang w:val="en-GB" w:bidi="en-US"/>
        </w:rPr>
        <w:fldChar w:fldCharType="begin"/>
      </w:r>
      <w:r w:rsidR="00250C31" w:rsidRPr="00F9522B">
        <w:rPr>
          <w:rFonts w:ascii="Times New Roman" w:hAnsi="Times New Roman" w:cs="Times New Roman"/>
          <w:szCs w:val="24"/>
          <w:lang w:val="en-GB" w:bidi="en-US"/>
        </w:rPr>
        <w:instrText xml:space="preserve"> = 4 \* GB3 </w:instrText>
      </w:r>
      <w:r w:rsidRPr="00F9522B">
        <w:rPr>
          <w:rFonts w:ascii="Times New Roman" w:hAnsi="Times New Roman" w:cs="Times New Roman"/>
          <w:szCs w:val="24"/>
          <w:lang w:val="en-GB" w:bidi="en-US"/>
        </w:rPr>
        <w:fldChar w:fldCharType="separate"/>
      </w:r>
      <w:r w:rsidR="00250C31" w:rsidRPr="00F9522B">
        <w:rPr>
          <w:rFonts w:eastAsia="宋体" w:cs="宋体" w:hint="eastAsia"/>
          <w:noProof/>
          <w:szCs w:val="24"/>
          <w:lang w:val="en-GB" w:bidi="en-US"/>
        </w:rPr>
        <w:t>④</w:t>
      </w:r>
      <w:r w:rsidRPr="00F9522B">
        <w:rPr>
          <w:rFonts w:ascii="Times New Roman" w:hAnsi="Times New Roman" w:cs="Times New Roman"/>
          <w:szCs w:val="24"/>
          <w:lang w:val="en-GB" w:bidi="en-US"/>
        </w:rPr>
        <w:fldChar w:fldCharType="end"/>
      </w:r>
      <w:r w:rsidR="00611CBA" w:rsidRPr="00F9522B">
        <w:rPr>
          <w:rFonts w:ascii="Times New Roman" w:hAnsi="Times New Roman" w:cs="Times New Roman"/>
          <w:szCs w:val="24"/>
          <w:lang w:val="en-GB" w:bidi="en-US"/>
        </w:rPr>
        <w:t>动物</w:t>
      </w:r>
    </w:p>
    <w:p w:rsidR="002A5A5E" w:rsidRPr="00F9522B" w:rsidRDefault="00611CBA">
      <w:pPr>
        <w:pStyle w:val="2fa"/>
        <w:ind w:firstLine="480"/>
        <w:contextualSpacing/>
        <w:rPr>
          <w:rFonts w:ascii="Times New Roman" w:hAnsi="Times New Roman" w:cs="Times New Roman"/>
          <w:szCs w:val="24"/>
          <w:lang w:bidi="en-US"/>
        </w:rPr>
      </w:pPr>
      <w:r w:rsidRPr="00F9522B">
        <w:rPr>
          <w:rFonts w:ascii="Times New Roman" w:hAnsi="Times New Roman" w:cs="Times New Roman"/>
          <w:szCs w:val="24"/>
          <w:lang w:bidi="en-US"/>
        </w:rPr>
        <w:t>评价区属于比较发达的农业区，村屯较密集，人口集中，农田面积大，农业生产活动频度和强度都比较高，地域原有的野生动物基本消失，伴之而来的地域物种主要与农业生产活动有关，较大型哺乳类动物基本绝迹，但小型哺乳类特别是鼠类仍为常见种。</w:t>
      </w:r>
      <w:r w:rsidRPr="00F9522B">
        <w:rPr>
          <w:rFonts w:ascii="Times New Roman" w:hAnsi="Times New Roman" w:cs="Times New Roman"/>
          <w:smallCaps/>
          <w:szCs w:val="22"/>
        </w:rPr>
        <w:t>常见野生动物中，两爬类有中华大蟾蜍（</w:t>
      </w:r>
      <w:r w:rsidRPr="00F9522B">
        <w:rPr>
          <w:rFonts w:ascii="Times New Roman" w:hAnsi="Times New Roman" w:cs="Times New Roman"/>
          <w:i/>
          <w:smallCaps/>
          <w:szCs w:val="22"/>
        </w:rPr>
        <w:t>Bufo gargarizans</w:t>
      </w:r>
      <w:r w:rsidRPr="00F9522B">
        <w:rPr>
          <w:rFonts w:ascii="Times New Roman" w:hAnsi="Times New Roman" w:cs="Times New Roman"/>
          <w:smallCaps/>
          <w:szCs w:val="22"/>
        </w:rPr>
        <w:t>）等，鸟类有大杜鹃（</w:t>
      </w:r>
      <w:r w:rsidRPr="00F9522B">
        <w:rPr>
          <w:rFonts w:ascii="Times New Roman" w:hAnsi="Times New Roman" w:cs="Times New Roman"/>
          <w:i/>
          <w:smallCaps/>
          <w:szCs w:val="22"/>
        </w:rPr>
        <w:t>Cuculus canorus</w:t>
      </w:r>
      <w:r w:rsidRPr="00F9522B">
        <w:rPr>
          <w:rFonts w:ascii="Times New Roman" w:hAnsi="Times New Roman" w:cs="Times New Roman"/>
          <w:smallCaps/>
          <w:szCs w:val="22"/>
        </w:rPr>
        <w:t>）、麻雀（</w:t>
      </w:r>
      <w:r w:rsidRPr="00F9522B">
        <w:rPr>
          <w:rFonts w:ascii="Times New Roman" w:hAnsi="Times New Roman" w:cs="Times New Roman"/>
          <w:i/>
          <w:smallCaps/>
          <w:szCs w:val="22"/>
        </w:rPr>
        <w:t>Passer montanus</w:t>
      </w:r>
      <w:r w:rsidRPr="00F9522B">
        <w:rPr>
          <w:rFonts w:ascii="Times New Roman" w:hAnsi="Times New Roman" w:cs="Times New Roman"/>
          <w:smallCaps/>
          <w:szCs w:val="22"/>
        </w:rPr>
        <w:t>）等，兽类有褐家鼠（</w:t>
      </w:r>
      <w:r w:rsidRPr="00F9522B">
        <w:rPr>
          <w:rFonts w:ascii="Times New Roman" w:hAnsi="Times New Roman" w:cs="Times New Roman"/>
          <w:i/>
          <w:smallCaps/>
          <w:szCs w:val="22"/>
        </w:rPr>
        <w:t>Rattus norvegicus</w:t>
      </w:r>
      <w:r w:rsidRPr="00F9522B">
        <w:rPr>
          <w:rFonts w:ascii="Times New Roman" w:hAnsi="Times New Roman" w:cs="Times New Roman"/>
          <w:smallCaps/>
          <w:szCs w:val="22"/>
        </w:rPr>
        <w:t>）、</w:t>
      </w:r>
      <w:r w:rsidRPr="00F9522B">
        <w:rPr>
          <w:rFonts w:ascii="Times New Roman" w:hAnsi="Times New Roman" w:cs="Times New Roman"/>
        </w:rPr>
        <w:t>小家鼠（</w:t>
      </w:r>
      <w:r w:rsidRPr="00F9522B">
        <w:rPr>
          <w:rFonts w:ascii="Times New Roman" w:hAnsi="Times New Roman" w:cs="Times New Roman"/>
          <w:i/>
        </w:rPr>
        <w:t>Mus musculus</w:t>
      </w:r>
      <w:r w:rsidRPr="00F9522B">
        <w:rPr>
          <w:rFonts w:ascii="Times New Roman" w:hAnsi="Times New Roman" w:cs="Times New Roman"/>
        </w:rPr>
        <w:t>）、黑线姬鼠（</w:t>
      </w:r>
      <w:r w:rsidRPr="00F9522B">
        <w:rPr>
          <w:rFonts w:ascii="Times New Roman" w:hAnsi="Times New Roman" w:cs="Times New Roman"/>
          <w:i/>
        </w:rPr>
        <w:t>Apodemus agrarius</w:t>
      </w:r>
      <w:r w:rsidRPr="00F9522B">
        <w:rPr>
          <w:rFonts w:ascii="Times New Roman" w:hAnsi="Times New Roman" w:cs="Times New Roman"/>
        </w:rPr>
        <w:t>）、</w:t>
      </w:r>
      <w:r w:rsidRPr="00F9522B">
        <w:rPr>
          <w:rFonts w:ascii="Times New Roman" w:hAnsi="Times New Roman" w:cs="Times New Roman"/>
          <w:szCs w:val="24"/>
          <w:lang w:bidi="en-US"/>
        </w:rPr>
        <w:t>东方田鼠</w:t>
      </w:r>
      <w:r w:rsidRPr="00F9522B">
        <w:rPr>
          <w:rFonts w:ascii="Times New Roman" w:hAnsi="Times New Roman" w:cs="Times New Roman"/>
        </w:rPr>
        <w:t>（</w:t>
      </w:r>
      <w:r w:rsidRPr="00F9522B">
        <w:rPr>
          <w:rFonts w:ascii="Times New Roman" w:hAnsi="Times New Roman" w:cs="Times New Roman"/>
          <w:i/>
          <w:iCs/>
        </w:rPr>
        <w:t>Microtusfortis</w:t>
      </w:r>
      <w:r w:rsidRPr="00F9522B">
        <w:rPr>
          <w:rFonts w:ascii="Times New Roman" w:hAnsi="Times New Roman" w:cs="Times New Roman"/>
        </w:rPr>
        <w:t>）</w:t>
      </w:r>
      <w:r w:rsidRPr="00F9522B">
        <w:rPr>
          <w:rFonts w:ascii="Times New Roman" w:hAnsi="Times New Roman" w:cs="Times New Roman"/>
          <w:szCs w:val="24"/>
          <w:lang w:bidi="en-US"/>
        </w:rPr>
        <w:t>、东北兔</w:t>
      </w:r>
      <w:r w:rsidRPr="00F9522B">
        <w:rPr>
          <w:rFonts w:ascii="Times New Roman" w:hAnsi="Times New Roman" w:cs="Times New Roman"/>
        </w:rPr>
        <w:t>（</w:t>
      </w:r>
      <w:r w:rsidRPr="00F9522B">
        <w:rPr>
          <w:rFonts w:ascii="Times New Roman" w:hAnsi="Times New Roman" w:cs="Times New Roman"/>
          <w:i/>
          <w:iCs/>
        </w:rPr>
        <w:t>Lepus mandschuricus</w:t>
      </w:r>
      <w:r w:rsidRPr="00F9522B">
        <w:rPr>
          <w:rFonts w:ascii="Times New Roman" w:hAnsi="Times New Roman" w:cs="Times New Roman"/>
        </w:rPr>
        <w:t>）</w:t>
      </w:r>
      <w:r w:rsidRPr="00F9522B">
        <w:rPr>
          <w:rFonts w:ascii="Times New Roman" w:hAnsi="Times New Roman" w:cs="Times New Roman"/>
          <w:szCs w:val="24"/>
          <w:lang w:bidi="en-US"/>
        </w:rPr>
        <w:t>、黄鼬</w:t>
      </w:r>
      <w:r w:rsidRPr="00F9522B">
        <w:rPr>
          <w:rFonts w:ascii="Times New Roman" w:hAnsi="Times New Roman" w:cs="Times New Roman"/>
        </w:rPr>
        <w:t>（</w:t>
      </w:r>
      <w:r w:rsidRPr="00F9522B">
        <w:rPr>
          <w:rFonts w:ascii="Times New Roman" w:hAnsi="Times New Roman" w:cs="Times New Roman"/>
          <w:i/>
          <w:lang w:bidi="en-US"/>
        </w:rPr>
        <w:t>Mustelasibirica</w:t>
      </w:r>
      <w:r w:rsidRPr="00F9522B">
        <w:rPr>
          <w:rFonts w:ascii="Times New Roman" w:hAnsi="Times New Roman" w:cs="Times New Roman"/>
        </w:rPr>
        <w:t>）</w:t>
      </w:r>
      <w:r w:rsidRPr="00F9522B">
        <w:rPr>
          <w:rFonts w:ascii="Times New Roman" w:hAnsi="Times New Roman" w:cs="Times New Roman"/>
          <w:szCs w:val="24"/>
          <w:lang w:bidi="en-US"/>
        </w:rPr>
        <w:t>等</w:t>
      </w:r>
      <w:r w:rsidRPr="00F9522B">
        <w:rPr>
          <w:rFonts w:ascii="Times New Roman" w:hAnsi="Times New Roman" w:cs="Times New Roman"/>
          <w:szCs w:val="24"/>
          <w:lang w:bidi="en-US"/>
        </w:rPr>
        <w:t>10</w:t>
      </w:r>
      <w:r w:rsidRPr="00F9522B">
        <w:rPr>
          <w:rFonts w:ascii="Times New Roman" w:hAnsi="Times New Roman" w:cs="Times New Roman"/>
          <w:szCs w:val="24"/>
          <w:lang w:bidi="en-US"/>
        </w:rPr>
        <w:t>余种啮齿目、兔形目和食肉目动物。</w:t>
      </w:r>
      <w:r w:rsidRPr="00F9522B">
        <w:rPr>
          <w:rFonts w:ascii="Times New Roman" w:hAnsi="Times New Roman" w:cs="Times New Roman"/>
        </w:rPr>
        <w:t>两栖类动物分布包括花背蟾蜍（</w:t>
      </w:r>
      <w:r w:rsidRPr="00F9522B">
        <w:rPr>
          <w:rFonts w:ascii="Times New Roman" w:hAnsi="Times New Roman" w:cs="Times New Roman"/>
          <w:i/>
        </w:rPr>
        <w:t>Bufo raddei</w:t>
      </w:r>
      <w:r w:rsidRPr="00F9522B">
        <w:rPr>
          <w:rFonts w:ascii="Times New Roman" w:hAnsi="Times New Roman" w:cs="Times New Roman"/>
        </w:rPr>
        <w:t>）、东北林蛙（</w:t>
      </w:r>
      <w:r w:rsidRPr="00F9522B">
        <w:rPr>
          <w:rFonts w:ascii="Times New Roman" w:hAnsi="Times New Roman" w:cs="Times New Roman"/>
          <w:i/>
        </w:rPr>
        <w:t>Rana dybowskii</w:t>
      </w:r>
      <w:r w:rsidRPr="00F9522B">
        <w:rPr>
          <w:rFonts w:ascii="Times New Roman" w:hAnsi="Times New Roman" w:cs="Times New Roman"/>
        </w:rPr>
        <w:t>）等。</w:t>
      </w:r>
    </w:p>
    <w:p w:rsidR="002A5A5E" w:rsidRPr="00F9522B" w:rsidRDefault="00611CBA">
      <w:pPr>
        <w:pStyle w:val="2fa"/>
        <w:ind w:firstLine="480"/>
        <w:contextualSpacing/>
        <w:rPr>
          <w:rFonts w:ascii="Times New Roman" w:hAnsi="Times New Roman" w:cs="Times New Roman"/>
          <w:szCs w:val="24"/>
          <w:lang w:bidi="en-US"/>
        </w:rPr>
      </w:pPr>
      <w:r w:rsidRPr="00F9522B">
        <w:rPr>
          <w:rFonts w:ascii="Times New Roman" w:hAnsi="Times New Roman" w:cs="Times New Roman"/>
          <w:szCs w:val="24"/>
          <w:lang w:bidi="en-US"/>
        </w:rPr>
        <w:t>评价区农业生产活动频繁，不具备大型水禽类的栖息和繁殖环境，因此没有大型水禽栖息和繁殖。由于评价区较为开阔，人类活动干扰较大，躲避天敌的条件较差，因此鸟类一般不会在此繁殖。农区鸟类种类较少，多为村栖型鸟类，留鸟居多，基本没有迁徙鸟类。主要常见种为喜鹊（</w:t>
      </w:r>
      <w:r w:rsidRPr="00F9522B">
        <w:rPr>
          <w:rFonts w:ascii="Times New Roman" w:hAnsi="Times New Roman" w:cs="Times New Roman"/>
          <w:bCs/>
          <w:i/>
        </w:rPr>
        <w:t>Pica pica</w:t>
      </w:r>
      <w:r w:rsidRPr="00F9522B">
        <w:rPr>
          <w:rFonts w:ascii="Times New Roman" w:hAnsi="Times New Roman" w:cs="Times New Roman"/>
          <w:szCs w:val="24"/>
          <w:lang w:bidi="en-US"/>
        </w:rPr>
        <w:t>）、大嘴乌鸦</w:t>
      </w:r>
      <w:r w:rsidRPr="00F9522B">
        <w:rPr>
          <w:rFonts w:ascii="Times New Roman" w:hAnsi="Times New Roman" w:cs="Times New Roman"/>
        </w:rPr>
        <w:t>（</w:t>
      </w:r>
      <w:r w:rsidRPr="00F9522B">
        <w:rPr>
          <w:rFonts w:ascii="Times New Roman" w:hAnsi="Times New Roman" w:cs="Times New Roman"/>
          <w:bCs/>
          <w:i/>
        </w:rPr>
        <w:t xml:space="preserve">Corvus </w:t>
      </w:r>
      <w:r w:rsidRPr="00F9522B">
        <w:rPr>
          <w:rFonts w:ascii="Times New Roman" w:hAnsi="Times New Roman" w:cs="Times New Roman"/>
          <w:bCs/>
          <w:i/>
        </w:rPr>
        <w:lastRenderedPageBreak/>
        <w:t>macrorhynchos</w:t>
      </w:r>
      <w:r w:rsidRPr="00F9522B">
        <w:rPr>
          <w:rFonts w:ascii="Times New Roman" w:hAnsi="Times New Roman" w:cs="Times New Roman"/>
        </w:rPr>
        <w:t>）</w:t>
      </w:r>
      <w:r w:rsidRPr="00F9522B">
        <w:rPr>
          <w:rFonts w:ascii="Times New Roman" w:hAnsi="Times New Roman" w:cs="Times New Roman"/>
          <w:szCs w:val="24"/>
          <w:lang w:bidi="en-US"/>
        </w:rPr>
        <w:t>、麻雀</w:t>
      </w:r>
      <w:r w:rsidRPr="00F9522B">
        <w:rPr>
          <w:rFonts w:ascii="Times New Roman" w:hAnsi="Times New Roman" w:cs="Times New Roman"/>
        </w:rPr>
        <w:t>（</w:t>
      </w:r>
      <w:r w:rsidRPr="00F9522B">
        <w:rPr>
          <w:rFonts w:ascii="Times New Roman" w:hAnsi="Times New Roman" w:cs="Times New Roman"/>
          <w:i/>
        </w:rPr>
        <w:t>Passer montanus</w:t>
      </w:r>
      <w:r w:rsidRPr="00F9522B">
        <w:rPr>
          <w:rFonts w:ascii="Times New Roman" w:hAnsi="Times New Roman" w:cs="Times New Roman"/>
        </w:rPr>
        <w:t>）</w:t>
      </w:r>
      <w:r w:rsidRPr="00F9522B">
        <w:rPr>
          <w:rFonts w:ascii="Times New Roman" w:hAnsi="Times New Roman" w:cs="Times New Roman"/>
          <w:szCs w:val="24"/>
          <w:lang w:bidi="en-US"/>
        </w:rPr>
        <w:t>、家燕（</w:t>
      </w:r>
      <w:r w:rsidRPr="00F9522B">
        <w:rPr>
          <w:rFonts w:ascii="Times New Roman" w:hAnsi="Times New Roman" w:cs="Times New Roman"/>
          <w:i/>
        </w:rPr>
        <w:t>Hirundo rustica</w:t>
      </w:r>
      <w:r w:rsidRPr="00F9522B">
        <w:rPr>
          <w:rFonts w:ascii="Times New Roman" w:hAnsi="Times New Roman" w:cs="Times New Roman"/>
          <w:szCs w:val="24"/>
          <w:lang w:bidi="en-US"/>
        </w:rPr>
        <w:t>）等。评价区农田内无国家和省级重点保护的动物。</w:t>
      </w:r>
    </w:p>
    <w:p w:rsidR="002A5A5E" w:rsidRPr="00F9522B" w:rsidRDefault="005273A1">
      <w:pPr>
        <w:pStyle w:val="2fa"/>
        <w:ind w:firstLine="480"/>
        <w:contextualSpacing/>
        <w:rPr>
          <w:rFonts w:ascii="Times New Roman" w:hAnsi="Times New Roman" w:cs="Times New Roman"/>
          <w:szCs w:val="24"/>
          <w:lang w:bidi="en-US"/>
        </w:rPr>
      </w:pPr>
      <w:r w:rsidRPr="00F9522B">
        <w:rPr>
          <w:rFonts w:ascii="Times New Roman" w:hAnsi="Times New Roman" w:cs="Times New Roman"/>
          <w:szCs w:val="24"/>
          <w:lang w:bidi="en-US"/>
        </w:rPr>
        <w:fldChar w:fldCharType="begin"/>
      </w:r>
      <w:r w:rsidR="00250C31" w:rsidRPr="00F9522B">
        <w:rPr>
          <w:rFonts w:ascii="Times New Roman" w:hAnsi="Times New Roman" w:cs="Times New Roman"/>
          <w:szCs w:val="24"/>
          <w:lang w:bidi="en-US"/>
        </w:rPr>
        <w:instrText xml:space="preserve"> = 5 \* GB3 </w:instrText>
      </w:r>
      <w:r w:rsidRPr="00F9522B">
        <w:rPr>
          <w:rFonts w:ascii="Times New Roman" w:hAnsi="Times New Roman" w:cs="Times New Roman"/>
          <w:szCs w:val="24"/>
          <w:lang w:bidi="en-US"/>
        </w:rPr>
        <w:fldChar w:fldCharType="separate"/>
      </w:r>
      <w:r w:rsidR="00250C31" w:rsidRPr="00F9522B">
        <w:rPr>
          <w:rFonts w:eastAsia="宋体" w:cs="宋体" w:hint="eastAsia"/>
          <w:noProof/>
          <w:szCs w:val="24"/>
          <w:lang w:bidi="en-US"/>
        </w:rPr>
        <w:t>⑤</w:t>
      </w:r>
      <w:r w:rsidRPr="00F9522B">
        <w:rPr>
          <w:rFonts w:ascii="Times New Roman" w:hAnsi="Times New Roman" w:cs="Times New Roman"/>
          <w:szCs w:val="24"/>
          <w:lang w:bidi="en-US"/>
        </w:rPr>
        <w:fldChar w:fldCharType="end"/>
      </w:r>
      <w:r w:rsidR="00611CBA" w:rsidRPr="00F9522B">
        <w:rPr>
          <w:rFonts w:ascii="Times New Roman" w:hAnsi="Times New Roman" w:cs="Times New Roman"/>
        </w:rPr>
        <w:t>生态系统组成</w:t>
      </w:r>
    </w:p>
    <w:p w:rsidR="002A5A5E" w:rsidRPr="00F9522B" w:rsidRDefault="00611CBA">
      <w:pPr>
        <w:pStyle w:val="2fa"/>
        <w:ind w:firstLine="480"/>
        <w:contextualSpacing/>
        <w:rPr>
          <w:rFonts w:ascii="Times New Roman" w:hAnsi="Times New Roman" w:cs="Times New Roman"/>
        </w:rPr>
      </w:pPr>
      <w:r w:rsidRPr="00F9522B">
        <w:rPr>
          <w:rFonts w:ascii="Times New Roman" w:hAnsi="Times New Roman" w:cs="Times New Roman"/>
        </w:rPr>
        <w:t>1)</w:t>
      </w:r>
      <w:r w:rsidRPr="00F9522B">
        <w:rPr>
          <w:rFonts w:ascii="Times New Roman" w:hAnsi="Times New Roman" w:cs="Times New Roman"/>
        </w:rPr>
        <w:t>农田生态系统：本区域典型的生态系统为农田生态系统，在评价区内广泛分布。农田生态系统主要受人为的支配和干预，占据主要地位的是农作物，如水稻、玉米等，其次是一些栖息农田的兽类动物如褐家鼠、黑线姬鼠等，鸟类有麻雀和喜鹊等伴人鸟类，以及与这些农业生物关系密切的生物种群。由于附近村民有目的地选择与控制，其他的生物种类和数目一般较少，生物多样性显著低于同一地区的森林生态系统。</w:t>
      </w:r>
      <w:r w:rsidRPr="00F9522B">
        <w:rPr>
          <w:rFonts w:ascii="Times New Roman" w:hAnsi="Times New Roman" w:cs="Times New Roman"/>
        </w:rPr>
        <w:t xml:space="preserve"> </w:t>
      </w:r>
    </w:p>
    <w:p w:rsidR="002A5A5E" w:rsidRPr="00F9522B" w:rsidRDefault="00611CBA">
      <w:pPr>
        <w:pStyle w:val="2fa"/>
        <w:ind w:firstLine="480"/>
        <w:contextualSpacing/>
        <w:rPr>
          <w:rFonts w:ascii="Times New Roman" w:hAnsi="Times New Roman" w:cs="Times New Roman"/>
        </w:rPr>
      </w:pPr>
      <w:r w:rsidRPr="00F9522B">
        <w:rPr>
          <w:rFonts w:ascii="Times New Roman" w:hAnsi="Times New Roman" w:cs="Times New Roman"/>
        </w:rPr>
        <w:t>评价区农田生态系统</w:t>
      </w:r>
      <w:r w:rsidR="00D966E2" w:rsidRPr="00F9522B">
        <w:rPr>
          <w:rFonts w:ascii="Times New Roman" w:hAnsi="Times New Roman" w:cs="Times New Roman"/>
        </w:rPr>
        <w:t>以</w:t>
      </w:r>
      <w:r w:rsidRPr="00F9522B">
        <w:rPr>
          <w:rFonts w:ascii="Times New Roman" w:hAnsi="Times New Roman" w:cs="Times New Roman"/>
        </w:rPr>
        <w:t>人工栽培植物为主，主要植物有水稻、玉米、高粱、蔬菜等。农田生态系统相对简单，物种类型简单，人为干扰严重，由于评价区耕地生态系统水份条件较差，两栖类的分布受限，鲜有分布。爬行类偶见蛇类。鸟类较少，多为伴人鸟类，如：树麻雀。兽类</w:t>
      </w:r>
      <w:r w:rsidR="00D966E2" w:rsidRPr="00F9522B">
        <w:rPr>
          <w:rFonts w:ascii="Times New Roman" w:hAnsi="Times New Roman" w:cs="Times New Roman"/>
        </w:rPr>
        <w:t>以</w:t>
      </w:r>
      <w:r w:rsidRPr="00F9522B">
        <w:rPr>
          <w:rFonts w:ascii="Times New Roman" w:hAnsi="Times New Roman" w:cs="Times New Roman"/>
        </w:rPr>
        <w:t>小型的啮齿类为主，取食人类的粮食作物，如各种老鼠。项目所在范围的耕地在评价区内分布较为广泛，主要以种植大豆、玉米、水稻为主。</w:t>
      </w:r>
    </w:p>
    <w:p w:rsidR="002A5A5E" w:rsidRPr="00F9522B" w:rsidRDefault="00611CBA">
      <w:pPr>
        <w:pStyle w:val="2fa"/>
        <w:ind w:firstLine="480"/>
        <w:contextualSpacing/>
        <w:rPr>
          <w:rFonts w:ascii="Times New Roman" w:hAnsi="Times New Roman" w:cs="Times New Roman"/>
        </w:rPr>
      </w:pPr>
      <w:r w:rsidRPr="00F9522B">
        <w:rPr>
          <w:rFonts w:ascii="Times New Roman" w:hAnsi="Times New Roman" w:cs="Times New Roman"/>
        </w:rPr>
        <w:t>2)</w:t>
      </w:r>
      <w:r w:rsidRPr="00F9522B">
        <w:rPr>
          <w:rFonts w:ascii="Times New Roman" w:hAnsi="Times New Roman" w:cs="Times New Roman"/>
        </w:rPr>
        <w:t>水域、湿地生态系统：主要为</w:t>
      </w:r>
      <w:r w:rsidR="00785D0F" w:rsidRPr="00F9522B">
        <w:rPr>
          <w:rFonts w:ascii="Times New Roman" w:hAnsi="Times New Roman" w:cs="Times New Roman"/>
          <w:lang w:bidi="en-US"/>
        </w:rPr>
        <w:t>松花江、漂河</w:t>
      </w:r>
      <w:r w:rsidRPr="00F9522B">
        <w:rPr>
          <w:rFonts w:ascii="Times New Roman" w:hAnsi="Times New Roman" w:cs="Times New Roman"/>
          <w:lang w:bidi="en-US"/>
        </w:rPr>
        <w:t>、呼兰河口湿地保护区</w:t>
      </w:r>
      <w:r w:rsidRPr="00F9522B">
        <w:rPr>
          <w:rFonts w:ascii="Times New Roman" w:hAnsi="Times New Roman" w:cs="Times New Roman"/>
        </w:rPr>
        <w:t>。分布有小叶章（</w:t>
      </w:r>
      <w:r w:rsidRPr="00F9522B">
        <w:rPr>
          <w:rFonts w:ascii="Times New Roman" w:hAnsi="Times New Roman" w:cs="Times New Roman"/>
          <w:i/>
          <w:iCs/>
        </w:rPr>
        <w:t>Calamagrastis angustifolia</w:t>
      </w:r>
      <w:r w:rsidRPr="00F9522B">
        <w:rPr>
          <w:rFonts w:ascii="Times New Roman" w:hAnsi="Times New Roman" w:cs="Times New Roman"/>
        </w:rPr>
        <w:t>）</w:t>
      </w:r>
      <w:r w:rsidRPr="00F9522B">
        <w:rPr>
          <w:rFonts w:ascii="Times New Roman" w:hAnsi="Times New Roman" w:cs="Times New Roman"/>
          <w:lang w:bidi="en-US"/>
        </w:rPr>
        <w:t>、芦苇</w:t>
      </w:r>
      <w:r w:rsidRPr="00F9522B">
        <w:rPr>
          <w:rFonts w:ascii="Times New Roman" w:hAnsi="Times New Roman" w:cs="Times New Roman"/>
        </w:rPr>
        <w:t>（</w:t>
      </w:r>
      <w:r w:rsidRPr="00F9522B">
        <w:rPr>
          <w:rFonts w:ascii="Times New Roman" w:hAnsi="Times New Roman" w:cs="Times New Roman"/>
          <w:i/>
        </w:rPr>
        <w:t>Phragmites australis</w:t>
      </w:r>
      <w:r w:rsidRPr="00F9522B">
        <w:rPr>
          <w:rFonts w:ascii="Times New Roman" w:hAnsi="Times New Roman" w:cs="Times New Roman"/>
        </w:rPr>
        <w:t>）等湿生、水生植物。</w:t>
      </w:r>
    </w:p>
    <w:p w:rsidR="002A5A5E" w:rsidRPr="00F9522B" w:rsidRDefault="00611CBA">
      <w:pPr>
        <w:pStyle w:val="2fa"/>
        <w:ind w:firstLine="480"/>
        <w:contextualSpacing/>
        <w:rPr>
          <w:rFonts w:ascii="Times New Roman" w:hAnsi="Times New Roman" w:cs="Times New Roman"/>
        </w:rPr>
      </w:pPr>
      <w:r w:rsidRPr="00F9522B">
        <w:rPr>
          <w:rFonts w:ascii="Times New Roman" w:hAnsi="Times New Roman" w:cs="Times New Roman"/>
        </w:rPr>
        <w:t>3)</w:t>
      </w:r>
      <w:r w:rsidRPr="00F9522B">
        <w:rPr>
          <w:rFonts w:ascii="Times New Roman" w:hAnsi="Times New Roman" w:cs="Times New Roman"/>
        </w:rPr>
        <w:t>森林生态系统：主要分布在渠道及河流沿岸，零散分布于居民区周围，多数为人工林地，以护坡林、田间林为主，少数渠道周边有苗木基地，偶见果园，阔叶林有山杨林（</w:t>
      </w:r>
      <w:r w:rsidRPr="00F9522B">
        <w:rPr>
          <w:rFonts w:ascii="Times New Roman" w:hAnsi="Times New Roman" w:cs="Times New Roman"/>
          <w:i/>
          <w:iCs/>
        </w:rPr>
        <w:t>Populus davidiana</w:t>
      </w:r>
      <w:r w:rsidRPr="00F9522B">
        <w:rPr>
          <w:rFonts w:ascii="Times New Roman" w:hAnsi="Times New Roman" w:cs="Times New Roman"/>
        </w:rPr>
        <w:t>）、蒙古栎林（</w:t>
      </w:r>
      <w:r w:rsidRPr="00F9522B">
        <w:rPr>
          <w:rFonts w:ascii="Times New Roman" w:hAnsi="Times New Roman" w:cs="Times New Roman"/>
          <w:i/>
          <w:iCs/>
        </w:rPr>
        <w:t>Quercus mongolica</w:t>
      </w:r>
      <w:r w:rsidRPr="00F9522B">
        <w:rPr>
          <w:rFonts w:ascii="Times New Roman" w:hAnsi="Times New Roman" w:cs="Times New Roman"/>
        </w:rPr>
        <w:t>）；针叶林有人工落叶松等。项目所在范围森林生态系统中分布的常见野生动物中，两爬类有中华大蟾蜍（</w:t>
      </w:r>
      <w:r w:rsidRPr="00F9522B">
        <w:rPr>
          <w:rFonts w:ascii="Times New Roman" w:hAnsi="Times New Roman" w:cs="Times New Roman"/>
          <w:i/>
        </w:rPr>
        <w:t>Bufo gargarizans</w:t>
      </w:r>
      <w:r w:rsidRPr="00F9522B">
        <w:rPr>
          <w:rFonts w:ascii="Times New Roman" w:hAnsi="Times New Roman" w:cs="Times New Roman"/>
        </w:rPr>
        <w:t>）等，鸟类有大杜鹃（</w:t>
      </w:r>
      <w:r w:rsidRPr="00F9522B">
        <w:rPr>
          <w:rFonts w:ascii="Times New Roman" w:hAnsi="Times New Roman" w:cs="Times New Roman"/>
          <w:i/>
        </w:rPr>
        <w:t>Cuculus canorus</w:t>
      </w:r>
      <w:r w:rsidRPr="00F9522B">
        <w:rPr>
          <w:rFonts w:ascii="Times New Roman" w:hAnsi="Times New Roman" w:cs="Times New Roman"/>
        </w:rPr>
        <w:t>）、麻雀（</w:t>
      </w:r>
      <w:r w:rsidRPr="00F9522B">
        <w:rPr>
          <w:rFonts w:ascii="Times New Roman" w:hAnsi="Times New Roman" w:cs="Times New Roman"/>
          <w:i/>
        </w:rPr>
        <w:t>Passer montanus</w:t>
      </w:r>
      <w:r w:rsidRPr="00F9522B">
        <w:rPr>
          <w:rFonts w:ascii="Times New Roman" w:hAnsi="Times New Roman" w:cs="Times New Roman"/>
        </w:rPr>
        <w:t>）等，兽类有褐家鼠（</w:t>
      </w:r>
      <w:r w:rsidRPr="00F9522B">
        <w:rPr>
          <w:rFonts w:ascii="Times New Roman" w:hAnsi="Times New Roman" w:cs="Times New Roman"/>
          <w:i/>
        </w:rPr>
        <w:t>Rattus norvegicus</w:t>
      </w:r>
      <w:r w:rsidRPr="00F9522B">
        <w:rPr>
          <w:rFonts w:ascii="Times New Roman" w:hAnsi="Times New Roman" w:cs="Times New Roman"/>
        </w:rPr>
        <w:t>）等。两栖类动物分布包括花背蟾蜍（</w:t>
      </w:r>
      <w:r w:rsidRPr="00F9522B">
        <w:rPr>
          <w:rFonts w:ascii="Times New Roman" w:hAnsi="Times New Roman" w:cs="Times New Roman"/>
          <w:i/>
        </w:rPr>
        <w:t>Bufo raddei</w:t>
      </w:r>
      <w:r w:rsidRPr="00F9522B">
        <w:rPr>
          <w:rFonts w:ascii="Times New Roman" w:hAnsi="Times New Roman" w:cs="Times New Roman"/>
        </w:rPr>
        <w:t>）、东北雨蛙（</w:t>
      </w:r>
      <w:r w:rsidRPr="00F9522B">
        <w:rPr>
          <w:rFonts w:ascii="Times New Roman" w:hAnsi="Times New Roman" w:cs="Times New Roman"/>
          <w:i/>
        </w:rPr>
        <w:t>Hyli ussuriensis</w:t>
      </w:r>
      <w:r w:rsidRPr="00F9522B">
        <w:rPr>
          <w:rFonts w:ascii="Times New Roman" w:hAnsi="Times New Roman" w:cs="Times New Roman"/>
        </w:rPr>
        <w:t>）、东北林蛙（</w:t>
      </w:r>
      <w:r w:rsidRPr="00F9522B">
        <w:rPr>
          <w:rFonts w:ascii="Times New Roman" w:hAnsi="Times New Roman" w:cs="Times New Roman"/>
          <w:i/>
        </w:rPr>
        <w:t>Rana dybowskii</w:t>
      </w:r>
      <w:r w:rsidRPr="00F9522B">
        <w:rPr>
          <w:rFonts w:ascii="Times New Roman" w:hAnsi="Times New Roman" w:cs="Times New Roman"/>
        </w:rPr>
        <w:t>）等。</w:t>
      </w:r>
    </w:p>
    <w:p w:rsidR="002A5A5E" w:rsidRPr="00F9522B" w:rsidRDefault="00611CBA">
      <w:pPr>
        <w:pStyle w:val="2fa"/>
        <w:ind w:firstLine="480"/>
        <w:contextualSpacing/>
        <w:rPr>
          <w:rFonts w:ascii="Times New Roman" w:hAnsi="Times New Roman" w:cs="Times New Roman"/>
        </w:rPr>
      </w:pPr>
      <w:r w:rsidRPr="00F9522B">
        <w:rPr>
          <w:rFonts w:ascii="Times New Roman" w:hAnsi="Times New Roman" w:cs="Times New Roman"/>
        </w:rPr>
        <w:t>4)</w:t>
      </w:r>
      <w:r w:rsidRPr="00F9522B">
        <w:rPr>
          <w:rFonts w:ascii="Times New Roman" w:hAnsi="Times New Roman" w:cs="Times New Roman"/>
        </w:rPr>
        <w:t>草地生态系统：在评价区内广泛分布，对本区环境质量有重要的动态控制功能。以狗尾草</w:t>
      </w:r>
      <w:r w:rsidRPr="00F9522B">
        <w:rPr>
          <w:rFonts w:ascii="Times New Roman" w:eastAsia="宋体" w:hAnsi="Times New Roman" w:cs="Times New Roman"/>
          <w:szCs w:val="20"/>
        </w:rPr>
        <w:t>（</w:t>
      </w:r>
      <w:r w:rsidRPr="00F9522B">
        <w:rPr>
          <w:rFonts w:ascii="Times New Roman" w:eastAsia="宋体" w:hAnsi="Times New Roman" w:cs="Times New Roman"/>
          <w:i/>
          <w:iCs/>
          <w:szCs w:val="20"/>
        </w:rPr>
        <w:t>Setaria viridis</w:t>
      </w:r>
      <w:r w:rsidRPr="00F9522B">
        <w:rPr>
          <w:rFonts w:ascii="Times New Roman" w:eastAsia="宋体" w:hAnsi="Times New Roman" w:cs="Times New Roman"/>
          <w:szCs w:val="20"/>
        </w:rPr>
        <w:t>）</w:t>
      </w:r>
      <w:r w:rsidRPr="00F9522B">
        <w:rPr>
          <w:rFonts w:ascii="Times New Roman" w:hAnsi="Times New Roman" w:cs="Times New Roman"/>
        </w:rPr>
        <w:t>、</w:t>
      </w:r>
      <w:r w:rsidRPr="00F9522B">
        <w:rPr>
          <w:rFonts w:ascii="Times New Roman" w:eastAsia="宋体" w:hAnsi="Times New Roman" w:cs="Times New Roman"/>
          <w:szCs w:val="20"/>
        </w:rPr>
        <w:t>青蒿（</w:t>
      </w:r>
      <w:r w:rsidRPr="00F9522B">
        <w:rPr>
          <w:rFonts w:ascii="Times New Roman" w:eastAsia="宋体" w:hAnsi="Times New Roman" w:cs="Times New Roman"/>
          <w:i/>
          <w:iCs/>
          <w:szCs w:val="20"/>
        </w:rPr>
        <w:t>Artemisia carvifolia var. schochii</w:t>
      </w:r>
      <w:r w:rsidRPr="00F9522B">
        <w:rPr>
          <w:rFonts w:ascii="Times New Roman" w:eastAsia="宋体" w:hAnsi="Times New Roman" w:cs="Times New Roman"/>
          <w:szCs w:val="20"/>
        </w:rPr>
        <w:t>）、蒲公英等（</w:t>
      </w:r>
      <w:r w:rsidRPr="00F9522B">
        <w:rPr>
          <w:rFonts w:ascii="Times New Roman" w:eastAsia="宋体" w:hAnsi="Times New Roman" w:cs="Times New Roman"/>
          <w:i/>
          <w:iCs/>
          <w:szCs w:val="20"/>
        </w:rPr>
        <w:t xml:space="preserve">Taraxacum ohwianum </w:t>
      </w:r>
      <w:r w:rsidRPr="00F9522B">
        <w:rPr>
          <w:rFonts w:ascii="Times New Roman" w:eastAsia="宋体" w:hAnsi="Times New Roman" w:cs="Times New Roman"/>
          <w:szCs w:val="20"/>
        </w:rPr>
        <w:t>Kitam.</w:t>
      </w:r>
      <w:r w:rsidRPr="00F9522B">
        <w:rPr>
          <w:rFonts w:ascii="Times New Roman" w:eastAsia="宋体" w:hAnsi="Times New Roman" w:cs="Times New Roman"/>
          <w:szCs w:val="20"/>
        </w:rPr>
        <w:t>）</w:t>
      </w:r>
      <w:r w:rsidRPr="00F9522B">
        <w:rPr>
          <w:rFonts w:ascii="Times New Roman" w:hAnsi="Times New Roman" w:cs="Times New Roman"/>
        </w:rPr>
        <w:t>、杂草为主。项目所在范围草地生态系统中</w:t>
      </w:r>
      <w:r w:rsidRPr="00F9522B">
        <w:rPr>
          <w:rFonts w:ascii="Times New Roman" w:hAnsi="Times New Roman" w:cs="Times New Roman"/>
        </w:rPr>
        <w:lastRenderedPageBreak/>
        <w:t>分布的两爬类有黑龙江草蜥（</w:t>
      </w:r>
      <w:r w:rsidRPr="00F9522B">
        <w:rPr>
          <w:rFonts w:ascii="Times New Roman" w:hAnsi="Times New Roman" w:cs="Times New Roman"/>
          <w:i/>
          <w:iCs/>
        </w:rPr>
        <w:t>Takydromus amurensis</w:t>
      </w:r>
      <w:r w:rsidRPr="00F9522B">
        <w:rPr>
          <w:rFonts w:ascii="Times New Roman" w:hAnsi="Times New Roman" w:cs="Times New Roman"/>
        </w:rPr>
        <w:t>）等，兽类有黑线仓鼠（</w:t>
      </w:r>
      <w:r w:rsidRPr="00F9522B">
        <w:rPr>
          <w:rFonts w:ascii="Times New Roman" w:hAnsi="Times New Roman" w:cs="Times New Roman"/>
          <w:i/>
          <w:iCs/>
        </w:rPr>
        <w:t>Cricetulus barabensis</w:t>
      </w:r>
      <w:r w:rsidRPr="00F9522B">
        <w:rPr>
          <w:rFonts w:ascii="Times New Roman" w:hAnsi="Times New Roman" w:cs="Times New Roman"/>
        </w:rPr>
        <w:t>）等，动物种类相对较少。</w:t>
      </w:r>
    </w:p>
    <w:p w:rsidR="002A5A5E" w:rsidRPr="00F9522B" w:rsidRDefault="00611CBA">
      <w:pPr>
        <w:pStyle w:val="2fa"/>
        <w:ind w:firstLine="480"/>
        <w:contextualSpacing/>
        <w:rPr>
          <w:rFonts w:ascii="Times New Roman" w:hAnsi="Times New Roman" w:cs="Times New Roman"/>
        </w:rPr>
      </w:pPr>
      <w:r w:rsidRPr="00F9522B">
        <w:rPr>
          <w:rFonts w:ascii="Times New Roman" w:hAnsi="Times New Roman" w:cs="Times New Roman"/>
        </w:rPr>
        <w:t>5)</w:t>
      </w:r>
      <w:r w:rsidRPr="00F9522B">
        <w:rPr>
          <w:rFonts w:ascii="Times New Roman" w:hAnsi="Times New Roman" w:cs="Times New Roman"/>
        </w:rPr>
        <w:t>城镇生态系统：评价区域内分布较广。在城镇生态系统中，人起着重要的支配作用，这一点与自然生态系统明显不同。评价区内居住地和工矿交通用地都具有能量流动、物质循环、信息传播等方面的作用，区域内分布着城市中常见的鸟类如家燕（</w:t>
      </w:r>
      <w:r w:rsidRPr="00F9522B">
        <w:rPr>
          <w:rFonts w:ascii="Times New Roman" w:hAnsi="Times New Roman" w:cs="Times New Roman"/>
          <w:i/>
        </w:rPr>
        <w:t>Hirundo rustica</w:t>
      </w:r>
      <w:r w:rsidRPr="00F9522B">
        <w:rPr>
          <w:rFonts w:ascii="Times New Roman" w:hAnsi="Times New Roman" w:cs="Times New Roman"/>
        </w:rPr>
        <w:t>）等；兽类：小家鼠（</w:t>
      </w:r>
      <w:r w:rsidRPr="00F9522B">
        <w:rPr>
          <w:rFonts w:ascii="Times New Roman" w:hAnsi="Times New Roman" w:cs="Times New Roman"/>
          <w:i/>
        </w:rPr>
        <w:t>Mus musculus</w:t>
      </w:r>
      <w:r w:rsidRPr="00F9522B">
        <w:rPr>
          <w:rFonts w:ascii="Times New Roman" w:hAnsi="Times New Roman" w:cs="Times New Roman"/>
        </w:rPr>
        <w:t>）、黑线姬鼠（</w:t>
      </w:r>
      <w:r w:rsidRPr="00F9522B">
        <w:rPr>
          <w:rFonts w:ascii="Times New Roman" w:hAnsi="Times New Roman" w:cs="Times New Roman"/>
          <w:i/>
        </w:rPr>
        <w:t>Apodemus agrarius</w:t>
      </w:r>
      <w:r w:rsidRPr="00F9522B">
        <w:rPr>
          <w:rFonts w:ascii="Times New Roman" w:hAnsi="Times New Roman" w:cs="Times New Roman"/>
        </w:rPr>
        <w:t>）等。</w:t>
      </w:r>
    </w:p>
    <w:p w:rsidR="002A5A5E" w:rsidRPr="00F9522B" w:rsidRDefault="00611CBA">
      <w:pPr>
        <w:keepNext/>
        <w:keepLines/>
        <w:spacing w:before="100" w:beforeAutospacing="1" w:after="100" w:afterAutospacing="1"/>
        <w:outlineLvl w:val="2"/>
        <w:rPr>
          <w:rFonts w:eastAsiaTheme="minorEastAsia"/>
          <w:b/>
          <w:sz w:val="28"/>
          <w:szCs w:val="28"/>
        </w:rPr>
      </w:pPr>
      <w:r w:rsidRPr="00F9522B">
        <w:rPr>
          <w:rFonts w:eastAsiaTheme="minorEastAsia"/>
          <w:b/>
          <w:sz w:val="28"/>
          <w:szCs w:val="28"/>
        </w:rPr>
        <w:t>4.2.7</w:t>
      </w:r>
      <w:r w:rsidRPr="00F9522B">
        <w:rPr>
          <w:rFonts w:eastAsiaTheme="minorEastAsia"/>
          <w:b/>
          <w:bCs/>
          <w:sz w:val="28"/>
          <w:szCs w:val="28"/>
        </w:rPr>
        <w:t>水生生态调查</w:t>
      </w:r>
    </w:p>
    <w:p w:rsidR="002A5A5E" w:rsidRPr="00F9522B" w:rsidRDefault="00611CBA">
      <w:pPr>
        <w:autoSpaceDE w:val="0"/>
        <w:autoSpaceDN w:val="0"/>
        <w:spacing w:before="100" w:beforeAutospacing="1" w:after="100" w:afterAutospacing="1"/>
        <w:outlineLvl w:val="3"/>
        <w:rPr>
          <w:rFonts w:eastAsiaTheme="minorEastAsia"/>
          <w:b/>
          <w:sz w:val="24"/>
        </w:rPr>
      </w:pPr>
      <w:r w:rsidRPr="00F9522B">
        <w:rPr>
          <w:rFonts w:eastAsiaTheme="minorEastAsia"/>
          <w:b/>
          <w:bCs/>
          <w:sz w:val="24"/>
        </w:rPr>
        <w:t>4.2.7.1</w:t>
      </w:r>
      <w:r w:rsidRPr="00F9522B">
        <w:rPr>
          <w:rFonts w:eastAsiaTheme="minorEastAsia"/>
          <w:b/>
          <w:bCs/>
          <w:sz w:val="24"/>
        </w:rPr>
        <w:t>漂河水生生态调查</w:t>
      </w:r>
    </w:p>
    <w:p w:rsidR="002A5A5E" w:rsidRPr="00F9522B" w:rsidRDefault="00250C31">
      <w:pPr>
        <w:spacing w:line="360" w:lineRule="auto"/>
        <w:ind w:firstLineChars="200" w:firstLine="482"/>
        <w:rPr>
          <w:rFonts w:eastAsiaTheme="minorEastAsia"/>
          <w:b/>
          <w:sz w:val="24"/>
          <w:lang w:bidi="en-US"/>
        </w:rPr>
      </w:pPr>
      <w:r w:rsidRPr="00F9522B">
        <w:rPr>
          <w:rFonts w:eastAsiaTheme="minorEastAsia"/>
          <w:b/>
          <w:sz w:val="24"/>
          <w:lang w:bidi="en-US"/>
        </w:rPr>
        <w:t>（</w:t>
      </w:r>
      <w:r w:rsidRPr="00F9522B">
        <w:rPr>
          <w:rFonts w:eastAsiaTheme="minorEastAsia"/>
          <w:b/>
          <w:sz w:val="24"/>
          <w:lang w:bidi="en-US"/>
        </w:rPr>
        <w:t>1</w:t>
      </w:r>
      <w:r w:rsidRPr="00F9522B">
        <w:rPr>
          <w:rFonts w:eastAsiaTheme="minorEastAsia"/>
          <w:b/>
          <w:sz w:val="24"/>
          <w:lang w:bidi="en-US"/>
        </w:rPr>
        <w:t>）</w:t>
      </w:r>
      <w:r w:rsidR="00611CBA" w:rsidRPr="00F9522B">
        <w:rPr>
          <w:rFonts w:eastAsiaTheme="minorEastAsia"/>
          <w:b/>
          <w:sz w:val="24"/>
          <w:lang w:bidi="en-US"/>
        </w:rPr>
        <w:t>调查范围</w:t>
      </w:r>
    </w:p>
    <w:p w:rsidR="002A5A5E" w:rsidRPr="00F9522B" w:rsidRDefault="00611CBA">
      <w:pPr>
        <w:spacing w:line="360" w:lineRule="auto"/>
        <w:ind w:firstLineChars="200" w:firstLine="480"/>
        <w:contextualSpacing/>
        <w:rPr>
          <w:rFonts w:eastAsiaTheme="minorEastAsia"/>
          <w:snapToGrid w:val="0"/>
          <w:sz w:val="24"/>
          <w:szCs w:val="20"/>
        </w:rPr>
      </w:pPr>
      <w:r w:rsidRPr="00F9522B">
        <w:rPr>
          <w:rFonts w:eastAsiaTheme="minorEastAsia"/>
          <w:sz w:val="24"/>
          <w:lang w:bidi="en-US"/>
        </w:rPr>
        <w:t>本项目</w:t>
      </w:r>
      <w:r w:rsidRPr="00F9522B">
        <w:rPr>
          <w:rFonts w:eastAsiaTheme="minorEastAsia"/>
          <w:snapToGrid w:val="0"/>
          <w:sz w:val="24"/>
          <w:szCs w:val="20"/>
        </w:rPr>
        <w:t>水生生态评价范围与地表水评价范围一致：</w:t>
      </w:r>
    </w:p>
    <w:p w:rsidR="002A5A5E" w:rsidRPr="00F9522B" w:rsidRDefault="00785D0F" w:rsidP="00785D0F">
      <w:pPr>
        <w:spacing w:line="360" w:lineRule="auto"/>
        <w:ind w:firstLineChars="200" w:firstLine="480"/>
        <w:contextualSpacing/>
        <w:rPr>
          <w:rFonts w:eastAsiaTheme="minorEastAsia"/>
          <w:snapToGrid w:val="0"/>
          <w:kern w:val="0"/>
          <w:sz w:val="24"/>
        </w:rPr>
      </w:pPr>
      <w:r w:rsidRPr="00F9522B">
        <w:rPr>
          <w:rFonts w:eastAsiaTheme="minorEastAsia"/>
          <w:kern w:val="0"/>
          <w:sz w:val="24"/>
        </w:rPr>
        <w:t>漂河：漂河退水口上游</w:t>
      </w:r>
      <w:r w:rsidRPr="00F9522B">
        <w:rPr>
          <w:rFonts w:eastAsiaTheme="minorEastAsia"/>
          <w:kern w:val="0"/>
          <w:sz w:val="24"/>
        </w:rPr>
        <w:t>500m</w:t>
      </w:r>
      <w:r w:rsidRPr="00F9522B">
        <w:rPr>
          <w:rFonts w:eastAsiaTheme="minorEastAsia"/>
          <w:kern w:val="0"/>
          <w:sz w:val="24"/>
        </w:rPr>
        <w:t>至退水口下游</w:t>
      </w:r>
      <w:r w:rsidRPr="00F9522B">
        <w:rPr>
          <w:rFonts w:eastAsiaTheme="minorEastAsia"/>
          <w:kern w:val="0"/>
          <w:sz w:val="24"/>
        </w:rPr>
        <w:t>1000m</w:t>
      </w:r>
      <w:r w:rsidRPr="00F9522B">
        <w:rPr>
          <w:rFonts w:eastAsiaTheme="minorEastAsia"/>
          <w:kern w:val="0"/>
          <w:sz w:val="24"/>
        </w:rPr>
        <w:t>。评价河段长度为</w:t>
      </w:r>
      <w:r w:rsidRPr="00F9522B">
        <w:rPr>
          <w:rFonts w:eastAsiaTheme="minorEastAsia"/>
          <w:kern w:val="0"/>
          <w:sz w:val="24"/>
        </w:rPr>
        <w:t>11.8km</w:t>
      </w:r>
      <w:r w:rsidR="00611CBA" w:rsidRPr="00F9522B">
        <w:rPr>
          <w:rFonts w:eastAsiaTheme="minorEastAsia"/>
          <w:kern w:val="0"/>
          <w:sz w:val="24"/>
        </w:rPr>
        <w:t>。</w:t>
      </w:r>
    </w:p>
    <w:p w:rsidR="002A5A5E" w:rsidRPr="00F9522B" w:rsidRDefault="00250C31">
      <w:pPr>
        <w:spacing w:line="360" w:lineRule="auto"/>
        <w:ind w:firstLineChars="200" w:firstLine="482"/>
        <w:rPr>
          <w:rFonts w:eastAsiaTheme="minorEastAsia"/>
          <w:b/>
          <w:sz w:val="24"/>
          <w:lang w:bidi="en-US"/>
        </w:rPr>
      </w:pPr>
      <w:r w:rsidRPr="00F9522B">
        <w:rPr>
          <w:rFonts w:eastAsiaTheme="minorEastAsia"/>
          <w:b/>
          <w:sz w:val="24"/>
          <w:lang w:bidi="en-US"/>
        </w:rPr>
        <w:t>（</w:t>
      </w:r>
      <w:r w:rsidRPr="00F9522B">
        <w:rPr>
          <w:rFonts w:eastAsiaTheme="minorEastAsia"/>
          <w:b/>
          <w:sz w:val="24"/>
          <w:lang w:bidi="en-US"/>
        </w:rPr>
        <w:t>2</w:t>
      </w:r>
      <w:r w:rsidRPr="00F9522B">
        <w:rPr>
          <w:rFonts w:eastAsiaTheme="minorEastAsia"/>
          <w:b/>
          <w:sz w:val="24"/>
          <w:lang w:bidi="en-US"/>
        </w:rPr>
        <w:t>）</w:t>
      </w:r>
      <w:r w:rsidR="00611CBA" w:rsidRPr="00F9522B">
        <w:rPr>
          <w:rFonts w:eastAsiaTheme="minorEastAsia"/>
          <w:b/>
          <w:sz w:val="24"/>
          <w:lang w:bidi="en-US"/>
        </w:rPr>
        <w:t>现状调查方法</w:t>
      </w:r>
    </w:p>
    <w:p w:rsidR="002A5A5E" w:rsidRPr="00F9522B" w:rsidRDefault="00611CBA">
      <w:pPr>
        <w:spacing w:line="360" w:lineRule="auto"/>
        <w:ind w:firstLineChars="200" w:firstLine="480"/>
        <w:rPr>
          <w:rFonts w:eastAsiaTheme="minorEastAsia"/>
          <w:sz w:val="24"/>
          <w:lang w:bidi="en-US"/>
        </w:rPr>
      </w:pPr>
      <w:r w:rsidRPr="00F9522B">
        <w:rPr>
          <w:rFonts w:eastAsiaTheme="minorEastAsia"/>
          <w:sz w:val="24"/>
          <w:lang w:bidi="en-US"/>
        </w:rPr>
        <w:t>本次调查方法采用收集资料法及现场调查法。</w:t>
      </w:r>
      <w:r w:rsidRPr="00F9522B">
        <w:rPr>
          <w:rFonts w:eastAsiaTheme="minorEastAsia"/>
          <w:sz w:val="24"/>
          <w:lang w:bidi="en-US"/>
        </w:rPr>
        <w:t xml:space="preserve"> </w:t>
      </w:r>
    </w:p>
    <w:p w:rsidR="002A5A5E" w:rsidRPr="00F9522B" w:rsidRDefault="00250C31">
      <w:pPr>
        <w:pStyle w:val="2fa"/>
        <w:ind w:firstLine="482"/>
        <w:contextualSpacing/>
        <w:rPr>
          <w:rFonts w:ascii="Times New Roman" w:hAnsi="Times New Roman" w:cs="Times New Roman"/>
          <w:b/>
          <w:szCs w:val="24"/>
          <w:lang w:bidi="en-US"/>
        </w:rPr>
      </w:pPr>
      <w:r w:rsidRPr="00F9522B">
        <w:rPr>
          <w:rFonts w:ascii="Times New Roman" w:hAnsi="Times New Roman" w:cs="Times New Roman"/>
          <w:b/>
          <w:lang w:bidi="en-US"/>
        </w:rPr>
        <w:t>（</w:t>
      </w:r>
      <w:r w:rsidRPr="00F9522B">
        <w:rPr>
          <w:rFonts w:ascii="Times New Roman" w:hAnsi="Times New Roman" w:cs="Times New Roman"/>
          <w:b/>
          <w:lang w:bidi="en-US"/>
        </w:rPr>
        <w:t>3</w:t>
      </w:r>
      <w:r w:rsidRPr="00F9522B">
        <w:rPr>
          <w:rFonts w:ascii="Times New Roman" w:hAnsi="Times New Roman" w:cs="Times New Roman"/>
          <w:b/>
          <w:lang w:bidi="en-US"/>
        </w:rPr>
        <w:t>）</w:t>
      </w:r>
      <w:r w:rsidR="00611CBA" w:rsidRPr="00F9522B">
        <w:rPr>
          <w:rFonts w:ascii="Times New Roman" w:hAnsi="Times New Roman" w:cs="Times New Roman"/>
          <w:b/>
          <w:lang w:bidi="en-US"/>
        </w:rPr>
        <w:t>现状调查内容</w:t>
      </w:r>
    </w:p>
    <w:p w:rsidR="002A5A5E" w:rsidRPr="00F9522B" w:rsidRDefault="00611CBA">
      <w:pPr>
        <w:pStyle w:val="2fa"/>
        <w:ind w:firstLine="480"/>
        <w:contextualSpacing/>
        <w:rPr>
          <w:rFonts w:ascii="Times New Roman" w:hAnsi="Times New Roman" w:cs="Times New Roman"/>
          <w:smallCaps/>
          <w:szCs w:val="22"/>
        </w:rPr>
      </w:pPr>
      <w:r w:rsidRPr="00F9522B">
        <w:rPr>
          <w:rFonts w:ascii="Times New Roman" w:hAnsi="Times New Roman" w:cs="Times New Roman"/>
          <w:szCs w:val="24"/>
          <w:lang w:bidi="en-US"/>
        </w:rPr>
        <w:t>漂河</w:t>
      </w:r>
      <w:r w:rsidRPr="00F9522B">
        <w:rPr>
          <w:rFonts w:ascii="Times New Roman" w:hAnsi="Times New Roman" w:cs="Times New Roman"/>
          <w:smallCaps/>
          <w:szCs w:val="22"/>
        </w:rPr>
        <w:t>流量分配不均匀，且流域面积较小，主要承接坡水及周边农田退水，水生生物及鱼类的种群和数量较少没有形成规模，鱼类资源量少，以小型杂鱼等常见种类为主，主要经济鱼类有鲤、鲫、鲢、草鱼等。</w:t>
      </w:r>
    </w:p>
    <w:p w:rsidR="002A5A5E" w:rsidRPr="00F9522B" w:rsidRDefault="00611CBA">
      <w:pPr>
        <w:autoSpaceDE w:val="0"/>
        <w:autoSpaceDN w:val="0"/>
        <w:spacing w:before="100" w:beforeAutospacing="1" w:after="100" w:afterAutospacing="1"/>
        <w:outlineLvl w:val="3"/>
        <w:rPr>
          <w:rFonts w:eastAsiaTheme="minorEastAsia"/>
          <w:b/>
          <w:sz w:val="24"/>
        </w:rPr>
      </w:pPr>
      <w:bookmarkStart w:id="114" w:name="_Hlk86915827"/>
      <w:r w:rsidRPr="00F9522B">
        <w:rPr>
          <w:rFonts w:eastAsiaTheme="minorEastAsia"/>
          <w:b/>
          <w:bCs/>
          <w:sz w:val="24"/>
        </w:rPr>
        <w:t>4.2.7.2</w:t>
      </w:r>
      <w:r w:rsidR="00785D0F" w:rsidRPr="00F9522B">
        <w:rPr>
          <w:rFonts w:eastAsiaTheme="minorEastAsia"/>
          <w:b/>
          <w:bCs/>
          <w:sz w:val="24"/>
        </w:rPr>
        <w:t>松花江</w:t>
      </w:r>
      <w:r w:rsidRPr="00F9522B">
        <w:rPr>
          <w:rFonts w:eastAsiaTheme="minorEastAsia"/>
          <w:b/>
          <w:bCs/>
          <w:sz w:val="24"/>
        </w:rPr>
        <w:t>水生生态调查</w:t>
      </w:r>
    </w:p>
    <w:p w:rsidR="002A5A5E" w:rsidRPr="00F9522B" w:rsidRDefault="00250C31">
      <w:pPr>
        <w:spacing w:line="360" w:lineRule="auto"/>
        <w:ind w:firstLineChars="200" w:firstLine="482"/>
        <w:rPr>
          <w:rFonts w:eastAsiaTheme="minorEastAsia"/>
          <w:b/>
          <w:sz w:val="24"/>
          <w:lang w:bidi="en-US"/>
        </w:rPr>
      </w:pPr>
      <w:r w:rsidRPr="00F9522B">
        <w:rPr>
          <w:rFonts w:eastAsiaTheme="minorEastAsia"/>
          <w:b/>
          <w:sz w:val="24"/>
          <w:lang w:bidi="en-US"/>
        </w:rPr>
        <w:t>（</w:t>
      </w:r>
      <w:r w:rsidRPr="00F9522B">
        <w:rPr>
          <w:rFonts w:eastAsiaTheme="minorEastAsia"/>
          <w:b/>
          <w:sz w:val="24"/>
          <w:lang w:bidi="en-US"/>
        </w:rPr>
        <w:t>1</w:t>
      </w:r>
      <w:r w:rsidRPr="00F9522B">
        <w:rPr>
          <w:rFonts w:eastAsiaTheme="minorEastAsia"/>
          <w:b/>
          <w:sz w:val="24"/>
          <w:lang w:bidi="en-US"/>
        </w:rPr>
        <w:t>）</w:t>
      </w:r>
      <w:r w:rsidR="00611CBA" w:rsidRPr="00F9522B">
        <w:rPr>
          <w:rFonts w:eastAsiaTheme="minorEastAsia"/>
          <w:b/>
          <w:sz w:val="24"/>
          <w:lang w:bidi="en-US"/>
        </w:rPr>
        <w:t>调查范围</w:t>
      </w:r>
    </w:p>
    <w:p w:rsidR="002A5A5E" w:rsidRPr="00F9522B" w:rsidRDefault="00611CBA">
      <w:pPr>
        <w:spacing w:line="360" w:lineRule="auto"/>
        <w:ind w:firstLineChars="200" w:firstLine="480"/>
        <w:contextualSpacing/>
        <w:rPr>
          <w:rFonts w:eastAsiaTheme="minorEastAsia"/>
          <w:snapToGrid w:val="0"/>
          <w:sz w:val="24"/>
          <w:szCs w:val="20"/>
        </w:rPr>
      </w:pPr>
      <w:r w:rsidRPr="00F9522B">
        <w:rPr>
          <w:rFonts w:eastAsiaTheme="minorEastAsia"/>
          <w:sz w:val="24"/>
          <w:lang w:bidi="en-US"/>
        </w:rPr>
        <w:t>本项目</w:t>
      </w:r>
      <w:r w:rsidRPr="00F9522B">
        <w:rPr>
          <w:rFonts w:eastAsiaTheme="minorEastAsia"/>
          <w:snapToGrid w:val="0"/>
          <w:sz w:val="24"/>
          <w:szCs w:val="20"/>
        </w:rPr>
        <w:t>水生生态评价范围与地表水评价范围一致：</w:t>
      </w:r>
    </w:p>
    <w:p w:rsidR="002A5A5E" w:rsidRPr="00F9522B" w:rsidRDefault="00785D0F" w:rsidP="00785D0F">
      <w:pPr>
        <w:spacing w:line="360" w:lineRule="auto"/>
        <w:ind w:firstLineChars="200" w:firstLine="480"/>
        <w:contextualSpacing/>
        <w:rPr>
          <w:rFonts w:eastAsiaTheme="minorEastAsia"/>
          <w:snapToGrid w:val="0"/>
          <w:sz w:val="24"/>
          <w:szCs w:val="20"/>
        </w:rPr>
      </w:pPr>
      <w:r w:rsidRPr="00F9522B">
        <w:rPr>
          <w:rFonts w:eastAsiaTheme="minorEastAsia"/>
          <w:kern w:val="0"/>
          <w:sz w:val="24"/>
        </w:rPr>
        <w:t>松花江：公家沟退水口</w:t>
      </w:r>
      <w:r w:rsidRPr="00F9522B">
        <w:rPr>
          <w:rFonts w:eastAsiaTheme="minorEastAsia"/>
          <w:snapToGrid w:val="0"/>
          <w:kern w:val="0"/>
          <w:sz w:val="24"/>
        </w:rPr>
        <w:t>上游</w:t>
      </w:r>
      <w:r w:rsidRPr="00F9522B">
        <w:rPr>
          <w:rFonts w:eastAsiaTheme="minorEastAsia"/>
          <w:kern w:val="0"/>
          <w:sz w:val="24"/>
        </w:rPr>
        <w:t>500m</w:t>
      </w:r>
      <w:r w:rsidRPr="00F9522B">
        <w:rPr>
          <w:rFonts w:eastAsiaTheme="minorEastAsia"/>
          <w:kern w:val="0"/>
          <w:sz w:val="24"/>
        </w:rPr>
        <w:t>至入松花江口下游</w:t>
      </w:r>
      <w:r w:rsidRPr="00F9522B">
        <w:rPr>
          <w:rFonts w:eastAsiaTheme="minorEastAsia"/>
          <w:kern w:val="0"/>
          <w:sz w:val="24"/>
        </w:rPr>
        <w:t>1000m</w:t>
      </w:r>
      <w:r w:rsidRPr="00F9522B">
        <w:rPr>
          <w:rFonts w:eastAsiaTheme="minorEastAsia"/>
          <w:kern w:val="0"/>
          <w:sz w:val="24"/>
        </w:rPr>
        <w:t>。评价河段长度为</w:t>
      </w:r>
      <w:r w:rsidRPr="00F9522B">
        <w:rPr>
          <w:rFonts w:eastAsiaTheme="minorEastAsia"/>
          <w:kern w:val="0"/>
          <w:sz w:val="24"/>
        </w:rPr>
        <w:t>26.3km</w:t>
      </w:r>
      <w:r w:rsidR="00611CBA" w:rsidRPr="00F9522B">
        <w:rPr>
          <w:rFonts w:eastAsiaTheme="minorEastAsia"/>
          <w:kern w:val="0"/>
          <w:sz w:val="24"/>
        </w:rPr>
        <w:t>。</w:t>
      </w:r>
    </w:p>
    <w:p w:rsidR="002A5A5E" w:rsidRPr="00F9522B" w:rsidRDefault="00250C31">
      <w:pPr>
        <w:spacing w:line="360" w:lineRule="auto"/>
        <w:ind w:firstLineChars="200" w:firstLine="482"/>
        <w:rPr>
          <w:rFonts w:eastAsiaTheme="minorEastAsia"/>
          <w:b/>
          <w:sz w:val="24"/>
          <w:lang w:bidi="en-US"/>
        </w:rPr>
      </w:pPr>
      <w:r w:rsidRPr="00F9522B">
        <w:rPr>
          <w:rFonts w:eastAsiaTheme="minorEastAsia"/>
          <w:b/>
          <w:sz w:val="24"/>
          <w:lang w:bidi="en-US"/>
        </w:rPr>
        <w:t>（</w:t>
      </w:r>
      <w:r w:rsidRPr="00F9522B">
        <w:rPr>
          <w:rFonts w:eastAsiaTheme="minorEastAsia"/>
          <w:b/>
          <w:sz w:val="24"/>
          <w:lang w:bidi="en-US"/>
        </w:rPr>
        <w:t>2</w:t>
      </w:r>
      <w:r w:rsidRPr="00F9522B">
        <w:rPr>
          <w:rFonts w:eastAsiaTheme="minorEastAsia"/>
          <w:b/>
          <w:sz w:val="24"/>
          <w:lang w:bidi="en-US"/>
        </w:rPr>
        <w:t>）</w:t>
      </w:r>
      <w:r w:rsidR="00611CBA" w:rsidRPr="00F9522B">
        <w:rPr>
          <w:rFonts w:eastAsiaTheme="minorEastAsia"/>
          <w:b/>
          <w:sz w:val="24"/>
          <w:lang w:bidi="en-US"/>
        </w:rPr>
        <w:t>现状调查方法</w:t>
      </w:r>
    </w:p>
    <w:p w:rsidR="002A5A5E" w:rsidRPr="00F9522B" w:rsidRDefault="00611CBA">
      <w:pPr>
        <w:spacing w:line="360" w:lineRule="auto"/>
        <w:ind w:firstLineChars="200" w:firstLine="480"/>
        <w:rPr>
          <w:rFonts w:eastAsiaTheme="minorEastAsia"/>
          <w:sz w:val="24"/>
          <w:lang w:bidi="en-US"/>
        </w:rPr>
      </w:pPr>
      <w:r w:rsidRPr="00F9522B">
        <w:rPr>
          <w:rFonts w:eastAsiaTheme="minorEastAsia"/>
          <w:sz w:val="24"/>
          <w:lang w:bidi="en-US"/>
        </w:rPr>
        <w:t>本次调查方法采用收集资料法及现场调查法，生态环境与水生生物资源监测依据《内陆水域渔业自然资源调查手册》，并参照《渔业生态环境监测规范第</w:t>
      </w:r>
      <w:r w:rsidRPr="00F9522B">
        <w:rPr>
          <w:rFonts w:eastAsiaTheme="minorEastAsia"/>
          <w:sz w:val="24"/>
          <w:lang w:bidi="en-US"/>
        </w:rPr>
        <w:t>3</w:t>
      </w:r>
      <w:r w:rsidRPr="00F9522B">
        <w:rPr>
          <w:rFonts w:eastAsiaTheme="minorEastAsia"/>
          <w:sz w:val="24"/>
          <w:lang w:bidi="en-US"/>
        </w:rPr>
        <w:t>部分：淡水》（</w:t>
      </w:r>
      <w:r w:rsidRPr="00F9522B">
        <w:rPr>
          <w:rFonts w:eastAsiaTheme="minorEastAsia"/>
          <w:sz w:val="24"/>
          <w:lang w:bidi="en-US"/>
        </w:rPr>
        <w:t>SC/T9102.3-2007</w:t>
      </w:r>
      <w:r w:rsidRPr="00F9522B">
        <w:rPr>
          <w:rFonts w:eastAsiaTheme="minorEastAsia"/>
          <w:sz w:val="24"/>
          <w:lang w:bidi="en-US"/>
        </w:rPr>
        <w:t>）进行。</w:t>
      </w:r>
    </w:p>
    <w:p w:rsidR="002A5A5E" w:rsidRPr="00F9522B" w:rsidRDefault="005273A1" w:rsidP="00611CBA">
      <w:pPr>
        <w:pStyle w:val="ab"/>
        <w:spacing w:after="0" w:line="360" w:lineRule="auto"/>
        <w:ind w:firstLineChars="200" w:firstLine="482"/>
        <w:rPr>
          <w:b/>
          <w:bCs/>
          <w:spacing w:val="-8"/>
          <w:sz w:val="24"/>
        </w:rPr>
      </w:pPr>
      <w:r w:rsidRPr="00F9522B">
        <w:rPr>
          <w:b/>
          <w:bCs/>
          <w:spacing w:val="-8"/>
          <w:sz w:val="24"/>
        </w:rPr>
        <w:lastRenderedPageBreak/>
        <w:fldChar w:fldCharType="begin"/>
      </w:r>
      <w:r w:rsidR="00611CBA" w:rsidRPr="00F9522B">
        <w:rPr>
          <w:b/>
          <w:bCs/>
          <w:spacing w:val="-8"/>
          <w:sz w:val="24"/>
        </w:rPr>
        <w:instrText xml:space="preserve"> = 1 \* GB3 </w:instrText>
      </w:r>
      <w:r w:rsidRPr="00F9522B">
        <w:rPr>
          <w:b/>
          <w:bCs/>
          <w:spacing w:val="-8"/>
          <w:sz w:val="24"/>
        </w:rPr>
        <w:fldChar w:fldCharType="separate"/>
      </w:r>
      <w:r w:rsidR="00611CBA" w:rsidRPr="00F9522B">
        <w:rPr>
          <w:rFonts w:ascii="宋体" w:hAnsi="宋体" w:cs="宋体" w:hint="eastAsia"/>
          <w:b/>
          <w:bCs/>
          <w:spacing w:val="-8"/>
          <w:sz w:val="24"/>
        </w:rPr>
        <w:t>①</w:t>
      </w:r>
      <w:r w:rsidRPr="00F9522B">
        <w:rPr>
          <w:b/>
          <w:bCs/>
          <w:spacing w:val="-8"/>
          <w:sz w:val="24"/>
        </w:rPr>
        <w:fldChar w:fldCharType="end"/>
      </w:r>
      <w:r w:rsidR="00611CBA" w:rsidRPr="00F9522B">
        <w:rPr>
          <w:b/>
          <w:bCs/>
          <w:spacing w:val="-8"/>
          <w:sz w:val="24"/>
        </w:rPr>
        <w:t>浮游植物</w:t>
      </w:r>
    </w:p>
    <w:p w:rsidR="002A5A5E" w:rsidRPr="00F9522B" w:rsidRDefault="00611CBA">
      <w:pPr>
        <w:spacing w:line="360" w:lineRule="auto"/>
        <w:ind w:firstLineChars="200" w:firstLine="480"/>
        <w:rPr>
          <w:rFonts w:eastAsiaTheme="minorEastAsia"/>
          <w:sz w:val="24"/>
          <w:lang w:bidi="en-US"/>
        </w:rPr>
      </w:pPr>
      <w:r w:rsidRPr="00F9522B">
        <w:rPr>
          <w:rFonts w:eastAsiaTheme="minorEastAsia"/>
          <w:sz w:val="24"/>
          <w:lang w:bidi="en-US"/>
        </w:rPr>
        <w:t>1</w:t>
      </w:r>
      <w:r w:rsidRPr="00F9522B">
        <w:rPr>
          <w:rFonts w:eastAsiaTheme="minorEastAsia"/>
          <w:sz w:val="24"/>
          <w:lang w:bidi="en-US"/>
        </w:rPr>
        <w:t>）定性样品的采集</w:t>
      </w:r>
    </w:p>
    <w:p w:rsidR="002A5A5E" w:rsidRPr="00F9522B" w:rsidRDefault="00611CBA">
      <w:pPr>
        <w:spacing w:line="360" w:lineRule="auto"/>
        <w:ind w:firstLineChars="200" w:firstLine="480"/>
        <w:rPr>
          <w:rFonts w:eastAsiaTheme="minorEastAsia"/>
          <w:sz w:val="24"/>
          <w:lang w:bidi="en-US"/>
        </w:rPr>
      </w:pPr>
      <w:r w:rsidRPr="00F9522B">
        <w:rPr>
          <w:rFonts w:eastAsiaTheme="minorEastAsia"/>
          <w:sz w:val="24"/>
          <w:lang w:bidi="en-US"/>
        </w:rPr>
        <w:t>浮游植物的定性样品采集采用</w:t>
      </w:r>
      <w:r w:rsidRPr="00F9522B">
        <w:rPr>
          <w:rFonts w:eastAsiaTheme="minorEastAsia"/>
          <w:sz w:val="24"/>
          <w:lang w:bidi="en-US"/>
        </w:rPr>
        <w:t>25</w:t>
      </w:r>
      <w:r w:rsidRPr="00F9522B">
        <w:rPr>
          <w:rFonts w:eastAsiaTheme="minorEastAsia"/>
          <w:sz w:val="24"/>
          <w:lang w:bidi="en-US"/>
        </w:rPr>
        <w:t>号浮游生物网（孔径</w:t>
      </w:r>
      <w:r w:rsidRPr="00F9522B">
        <w:rPr>
          <w:rFonts w:eastAsiaTheme="minorEastAsia"/>
          <w:sz w:val="24"/>
          <w:lang w:bidi="en-US"/>
        </w:rPr>
        <w:t xml:space="preserve"> 0.064mm</w:t>
      </w:r>
      <w:r w:rsidRPr="00F9522B">
        <w:rPr>
          <w:rFonts w:eastAsiaTheme="minorEastAsia"/>
          <w:sz w:val="24"/>
          <w:lang w:bidi="en-US"/>
        </w:rPr>
        <w:t>），在表层以</w:t>
      </w:r>
      <w:r w:rsidRPr="00F9522B">
        <w:rPr>
          <w:rFonts w:eastAsiaTheme="minorEastAsia"/>
          <w:sz w:val="24"/>
          <w:lang w:bidi="en-US"/>
        </w:rPr>
        <w:t>“∞”</w:t>
      </w:r>
      <w:r w:rsidRPr="00F9522B">
        <w:rPr>
          <w:rFonts w:eastAsiaTheme="minorEastAsia"/>
          <w:sz w:val="24"/>
          <w:lang w:bidi="en-US"/>
        </w:rPr>
        <w:t>循环缓慢拖网</w:t>
      </w:r>
      <w:r w:rsidRPr="00F9522B">
        <w:rPr>
          <w:rFonts w:eastAsiaTheme="minorEastAsia"/>
          <w:sz w:val="24"/>
          <w:lang w:bidi="en-US"/>
        </w:rPr>
        <w:t>5min</w:t>
      </w:r>
      <w:r w:rsidRPr="00F9522B">
        <w:rPr>
          <w:rFonts w:eastAsiaTheme="minorEastAsia"/>
          <w:sz w:val="24"/>
          <w:lang w:bidi="en-US"/>
        </w:rPr>
        <w:t>左右，样品用</w:t>
      </w:r>
      <w:r w:rsidRPr="00F9522B">
        <w:rPr>
          <w:rFonts w:eastAsiaTheme="minorEastAsia"/>
          <w:sz w:val="24"/>
          <w:lang w:bidi="en-US"/>
        </w:rPr>
        <w:t>4%</w:t>
      </w:r>
      <w:r w:rsidRPr="00F9522B">
        <w:rPr>
          <w:rFonts w:eastAsiaTheme="minorEastAsia"/>
          <w:sz w:val="24"/>
          <w:lang w:bidi="en-US"/>
        </w:rPr>
        <w:t>福尔马林固定。</w:t>
      </w:r>
    </w:p>
    <w:p w:rsidR="002A5A5E" w:rsidRPr="00F9522B" w:rsidRDefault="00611CBA">
      <w:pPr>
        <w:spacing w:line="360" w:lineRule="auto"/>
        <w:ind w:firstLineChars="200" w:firstLine="480"/>
        <w:rPr>
          <w:rFonts w:eastAsiaTheme="minorEastAsia"/>
          <w:sz w:val="24"/>
          <w:lang w:bidi="en-US"/>
        </w:rPr>
      </w:pPr>
      <w:r w:rsidRPr="00F9522B">
        <w:rPr>
          <w:rFonts w:eastAsiaTheme="minorEastAsia"/>
          <w:sz w:val="24"/>
          <w:lang w:bidi="en-US"/>
        </w:rPr>
        <w:t>2</w:t>
      </w:r>
      <w:r w:rsidRPr="00F9522B">
        <w:rPr>
          <w:rFonts w:eastAsiaTheme="minorEastAsia"/>
          <w:sz w:val="24"/>
          <w:lang w:bidi="en-US"/>
        </w:rPr>
        <w:t>）定量样品的采集</w:t>
      </w:r>
    </w:p>
    <w:p w:rsidR="002A5A5E" w:rsidRPr="00F9522B" w:rsidRDefault="00611CBA">
      <w:pPr>
        <w:spacing w:line="360" w:lineRule="auto"/>
        <w:ind w:firstLineChars="200" w:firstLine="480"/>
        <w:rPr>
          <w:rFonts w:eastAsiaTheme="minorEastAsia"/>
          <w:sz w:val="24"/>
          <w:lang w:bidi="en-US"/>
        </w:rPr>
      </w:pPr>
      <w:r w:rsidRPr="00F9522B">
        <w:rPr>
          <w:rFonts w:eastAsiaTheme="minorEastAsia"/>
          <w:sz w:val="24"/>
          <w:lang w:bidi="en-US"/>
        </w:rPr>
        <w:t>在断面的左、中、右的断面分别采集表层水（离水面</w:t>
      </w:r>
      <w:r w:rsidRPr="00F9522B">
        <w:rPr>
          <w:rFonts w:eastAsiaTheme="minorEastAsia"/>
          <w:sz w:val="24"/>
          <w:lang w:bidi="en-US"/>
        </w:rPr>
        <w:t xml:space="preserve"> 0.5m</w:t>
      </w:r>
      <w:r w:rsidRPr="00F9522B">
        <w:rPr>
          <w:rFonts w:eastAsiaTheme="minorEastAsia"/>
          <w:sz w:val="24"/>
          <w:lang w:bidi="en-US"/>
        </w:rPr>
        <w:t>处）和底层水（离泥面</w:t>
      </w:r>
      <w:r w:rsidRPr="00F9522B">
        <w:rPr>
          <w:rFonts w:eastAsiaTheme="minorEastAsia"/>
          <w:sz w:val="24"/>
          <w:lang w:bidi="en-US"/>
        </w:rPr>
        <w:t>0.5m</w:t>
      </w:r>
      <w:r w:rsidRPr="00F9522B">
        <w:rPr>
          <w:rFonts w:eastAsiaTheme="minorEastAsia"/>
          <w:sz w:val="24"/>
          <w:lang w:bidi="en-US"/>
        </w:rPr>
        <w:t>处）各</w:t>
      </w:r>
      <w:r w:rsidRPr="00F9522B">
        <w:rPr>
          <w:rFonts w:eastAsiaTheme="minorEastAsia"/>
          <w:sz w:val="24"/>
          <w:lang w:bidi="en-US"/>
        </w:rPr>
        <w:t>1000 mL</w:t>
      </w:r>
      <w:r w:rsidRPr="00F9522B">
        <w:rPr>
          <w:rFonts w:eastAsiaTheme="minorEastAsia"/>
          <w:sz w:val="24"/>
          <w:lang w:bidi="en-US"/>
        </w:rPr>
        <w:t>，混匀后取</w:t>
      </w:r>
      <w:r w:rsidRPr="00F9522B">
        <w:rPr>
          <w:rFonts w:eastAsiaTheme="minorEastAsia"/>
          <w:sz w:val="24"/>
          <w:lang w:bidi="en-US"/>
        </w:rPr>
        <w:t>1L</w:t>
      </w:r>
      <w:r w:rsidRPr="00F9522B">
        <w:rPr>
          <w:rFonts w:eastAsiaTheme="minorEastAsia"/>
          <w:sz w:val="24"/>
          <w:lang w:bidi="en-US"/>
        </w:rPr>
        <w:t>，加入鲁哥氏液</w:t>
      </w:r>
      <w:r w:rsidRPr="00F9522B">
        <w:rPr>
          <w:rFonts w:eastAsiaTheme="minorEastAsia"/>
          <w:sz w:val="24"/>
          <w:lang w:bidi="en-US"/>
        </w:rPr>
        <w:t>15mL</w:t>
      </w:r>
      <w:r w:rsidRPr="00F9522B">
        <w:rPr>
          <w:rFonts w:eastAsiaTheme="minorEastAsia"/>
          <w:sz w:val="24"/>
          <w:lang w:bidi="en-US"/>
        </w:rPr>
        <w:t>固定。</w:t>
      </w:r>
    </w:p>
    <w:p w:rsidR="002A5A5E" w:rsidRPr="00F9522B" w:rsidRDefault="00611CBA">
      <w:pPr>
        <w:spacing w:line="360" w:lineRule="auto"/>
        <w:ind w:firstLineChars="200" w:firstLine="480"/>
        <w:rPr>
          <w:rFonts w:eastAsiaTheme="minorEastAsia"/>
          <w:sz w:val="24"/>
          <w:lang w:bidi="en-US"/>
        </w:rPr>
      </w:pPr>
      <w:r w:rsidRPr="00F9522B">
        <w:rPr>
          <w:rFonts w:eastAsiaTheme="minorEastAsia"/>
          <w:sz w:val="24"/>
          <w:lang w:bidi="en-US"/>
        </w:rPr>
        <w:t>3</w:t>
      </w:r>
      <w:r w:rsidRPr="00F9522B">
        <w:rPr>
          <w:rFonts w:eastAsiaTheme="minorEastAsia"/>
          <w:sz w:val="24"/>
          <w:lang w:bidi="en-US"/>
        </w:rPr>
        <w:t>）室内观察与鉴定定量水样带回实验室后，在分析前先置入分液漏斗中静置</w:t>
      </w:r>
      <w:r w:rsidRPr="00F9522B">
        <w:rPr>
          <w:rFonts w:eastAsiaTheme="minorEastAsia"/>
          <w:sz w:val="24"/>
          <w:lang w:bidi="en-US"/>
        </w:rPr>
        <w:t>48h</w:t>
      </w:r>
      <w:r w:rsidRPr="00F9522B">
        <w:rPr>
          <w:rFonts w:eastAsiaTheme="minorEastAsia"/>
          <w:sz w:val="24"/>
          <w:lang w:bidi="en-US"/>
        </w:rPr>
        <w:t>，用虹吸法仔细取出上清液，浓缩至</w:t>
      </w:r>
      <w:r w:rsidRPr="00F9522B">
        <w:rPr>
          <w:rFonts w:eastAsiaTheme="minorEastAsia"/>
          <w:sz w:val="24"/>
          <w:lang w:bidi="en-US"/>
        </w:rPr>
        <w:t>40mL</w:t>
      </w:r>
      <w:r w:rsidRPr="00F9522B">
        <w:rPr>
          <w:rFonts w:eastAsiaTheme="minorEastAsia"/>
          <w:sz w:val="24"/>
          <w:lang w:bidi="en-US"/>
        </w:rPr>
        <w:t>，放入</w:t>
      </w:r>
      <w:r w:rsidRPr="00F9522B">
        <w:rPr>
          <w:rFonts w:eastAsiaTheme="minorEastAsia"/>
          <w:sz w:val="24"/>
          <w:lang w:bidi="en-US"/>
        </w:rPr>
        <w:t>50mL</w:t>
      </w:r>
      <w:r w:rsidRPr="00F9522B">
        <w:rPr>
          <w:rFonts w:eastAsiaTheme="minorEastAsia"/>
          <w:sz w:val="24"/>
          <w:lang w:bidi="en-US"/>
        </w:rPr>
        <w:t>的定量样品瓶中，用少量上清液冲洗沉淀器</w:t>
      </w:r>
      <w:r w:rsidRPr="00F9522B">
        <w:rPr>
          <w:rFonts w:eastAsiaTheme="minorEastAsia"/>
          <w:sz w:val="24"/>
          <w:lang w:bidi="en-US"/>
        </w:rPr>
        <w:t>2</w:t>
      </w:r>
      <w:r w:rsidRPr="00F9522B">
        <w:rPr>
          <w:rFonts w:eastAsiaTheme="minorEastAsia"/>
          <w:sz w:val="24"/>
          <w:lang w:bidi="en-US"/>
        </w:rPr>
        <w:t>～</w:t>
      </w:r>
      <w:r w:rsidRPr="00F9522B">
        <w:rPr>
          <w:rFonts w:eastAsiaTheme="minorEastAsia"/>
          <w:sz w:val="24"/>
          <w:lang w:bidi="en-US"/>
        </w:rPr>
        <w:t>3</w:t>
      </w:r>
      <w:r w:rsidRPr="00F9522B">
        <w:rPr>
          <w:rFonts w:eastAsiaTheme="minorEastAsia"/>
          <w:sz w:val="24"/>
          <w:lang w:bidi="en-US"/>
        </w:rPr>
        <w:t>次，定容至</w:t>
      </w:r>
      <w:r w:rsidR="004951B9" w:rsidRPr="00F9522B">
        <w:rPr>
          <w:rFonts w:eastAsiaTheme="minorEastAsia"/>
          <w:sz w:val="24"/>
          <w:lang w:bidi="en-US"/>
        </w:rPr>
        <w:t>50</w:t>
      </w:r>
      <w:r w:rsidRPr="00F9522B">
        <w:rPr>
          <w:rFonts w:eastAsiaTheme="minorEastAsia"/>
          <w:sz w:val="24"/>
          <w:lang w:bidi="en-US"/>
        </w:rPr>
        <w:t>mL</w:t>
      </w:r>
      <w:r w:rsidRPr="00F9522B">
        <w:rPr>
          <w:rFonts w:eastAsiaTheme="minorEastAsia"/>
          <w:sz w:val="24"/>
          <w:lang w:bidi="en-US"/>
        </w:rPr>
        <w:t>以备计数。</w:t>
      </w:r>
    </w:p>
    <w:p w:rsidR="002A5A5E" w:rsidRPr="00F9522B" w:rsidRDefault="00611CBA">
      <w:pPr>
        <w:spacing w:line="360" w:lineRule="auto"/>
        <w:ind w:firstLineChars="200" w:firstLine="480"/>
        <w:rPr>
          <w:rFonts w:eastAsiaTheme="minorEastAsia"/>
          <w:sz w:val="24"/>
          <w:lang w:bidi="en-US"/>
        </w:rPr>
      </w:pPr>
      <w:r w:rsidRPr="00F9522B">
        <w:rPr>
          <w:rFonts w:eastAsiaTheme="minorEastAsia"/>
          <w:sz w:val="24"/>
          <w:lang w:bidi="en-US"/>
        </w:rPr>
        <w:t>将定量样品充分摇匀，迅速吸出</w:t>
      </w:r>
      <w:r w:rsidR="004951B9" w:rsidRPr="00F9522B">
        <w:rPr>
          <w:rFonts w:eastAsiaTheme="minorEastAsia"/>
          <w:sz w:val="24"/>
          <w:lang w:bidi="en-US"/>
        </w:rPr>
        <w:t>0.1</w:t>
      </w:r>
      <w:r w:rsidRPr="00F9522B">
        <w:rPr>
          <w:rFonts w:eastAsiaTheme="minorEastAsia"/>
          <w:sz w:val="24"/>
          <w:lang w:bidi="en-US"/>
        </w:rPr>
        <w:t>mL</w:t>
      </w:r>
      <w:r w:rsidRPr="00F9522B">
        <w:rPr>
          <w:rFonts w:eastAsiaTheme="minorEastAsia"/>
          <w:sz w:val="24"/>
          <w:lang w:bidi="en-US"/>
        </w:rPr>
        <w:t>，置于</w:t>
      </w:r>
      <w:r w:rsidRPr="00F9522B">
        <w:rPr>
          <w:rFonts w:eastAsiaTheme="minorEastAsia"/>
          <w:sz w:val="24"/>
          <w:lang w:bidi="en-US"/>
        </w:rPr>
        <w:t>0.1mL</w:t>
      </w:r>
      <w:r w:rsidRPr="00F9522B">
        <w:rPr>
          <w:rFonts w:eastAsiaTheme="minorEastAsia"/>
          <w:sz w:val="24"/>
          <w:lang w:bidi="en-US"/>
        </w:rPr>
        <w:t>计数框内（面积</w:t>
      </w:r>
      <w:r w:rsidRPr="00F9522B">
        <w:rPr>
          <w:rFonts w:eastAsiaTheme="minorEastAsia"/>
          <w:sz w:val="24"/>
          <w:lang w:bidi="en-US"/>
        </w:rPr>
        <w:t>20mm×20mm</w:t>
      </w:r>
      <w:r w:rsidRPr="00F9522B">
        <w:rPr>
          <w:rFonts w:eastAsiaTheme="minorEastAsia"/>
          <w:sz w:val="24"/>
          <w:lang w:bidi="en-US"/>
        </w:rPr>
        <w:t>）。盖上盖玻片后，在高倍镜下选择</w:t>
      </w:r>
      <w:r w:rsidRPr="00F9522B">
        <w:rPr>
          <w:rFonts w:eastAsiaTheme="minorEastAsia"/>
          <w:sz w:val="24"/>
          <w:lang w:bidi="en-US"/>
        </w:rPr>
        <w:t>3</w:t>
      </w:r>
      <w:r w:rsidRPr="00F9522B">
        <w:rPr>
          <w:rFonts w:eastAsiaTheme="minorEastAsia"/>
          <w:sz w:val="24"/>
          <w:lang w:bidi="en-US"/>
        </w:rPr>
        <w:t>～</w:t>
      </w:r>
      <w:r w:rsidRPr="00F9522B">
        <w:rPr>
          <w:rFonts w:eastAsiaTheme="minorEastAsia"/>
          <w:sz w:val="24"/>
          <w:lang w:bidi="en-US"/>
        </w:rPr>
        <w:t>5</w:t>
      </w:r>
      <w:r w:rsidRPr="00F9522B">
        <w:rPr>
          <w:rFonts w:eastAsiaTheme="minorEastAsia"/>
          <w:sz w:val="24"/>
          <w:lang w:bidi="en-US"/>
        </w:rPr>
        <w:t>行逐行计数。每瓶标本计数两片取平均值，同一样品的两片标本技术结果与其平均值之差小于</w:t>
      </w:r>
      <w:r w:rsidRPr="00F9522B">
        <w:rPr>
          <w:rFonts w:eastAsiaTheme="minorEastAsia"/>
          <w:sz w:val="24"/>
          <w:lang w:bidi="en-US"/>
        </w:rPr>
        <w:t>10%</w:t>
      </w:r>
      <w:r w:rsidRPr="00F9522B">
        <w:rPr>
          <w:rFonts w:eastAsiaTheme="minorEastAsia"/>
          <w:sz w:val="24"/>
          <w:lang w:bidi="en-US"/>
        </w:rPr>
        <w:t>为有效计数，否则需测第三片，直至符合要求。</w:t>
      </w:r>
    </w:p>
    <w:p w:rsidR="002A5A5E" w:rsidRPr="00F9522B" w:rsidRDefault="00611CBA">
      <w:pPr>
        <w:spacing w:line="360" w:lineRule="auto"/>
        <w:ind w:firstLineChars="200" w:firstLine="480"/>
        <w:rPr>
          <w:rFonts w:eastAsiaTheme="minorEastAsia"/>
          <w:sz w:val="24"/>
          <w:lang w:bidi="en-US"/>
        </w:rPr>
      </w:pPr>
      <w:r w:rsidRPr="00F9522B">
        <w:rPr>
          <w:rFonts w:eastAsiaTheme="minorEastAsia"/>
          <w:sz w:val="24"/>
          <w:lang w:bidi="en-US"/>
        </w:rPr>
        <w:t>1 L</w:t>
      </w:r>
      <w:r w:rsidRPr="00F9522B">
        <w:rPr>
          <w:rFonts w:eastAsiaTheme="minorEastAsia"/>
          <w:sz w:val="24"/>
          <w:lang w:bidi="en-US"/>
        </w:rPr>
        <w:t>水中的浮游植物个数（密度）用以下公式计算：</w:t>
      </w:r>
    </w:p>
    <w:p w:rsidR="002A5A5E" w:rsidRPr="00F9522B" w:rsidRDefault="00611CBA">
      <w:pPr>
        <w:spacing w:before="146" w:line="612" w:lineRule="exact"/>
        <w:ind w:firstLine="3432"/>
      </w:pPr>
      <w:r w:rsidRPr="00F9522B">
        <w:rPr>
          <w:noProof/>
        </w:rPr>
        <w:drawing>
          <wp:inline distT="0" distB="0" distL="0" distR="0">
            <wp:extent cx="1199515" cy="391795"/>
            <wp:effectExtent l="19050" t="0" r="635" b="0"/>
            <wp:docPr id="160" name="图片 8" descr="C:\Users\Administrator\AppData\Local\Temp\ksohtml17396\wp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8" descr="C:\Users\Administrator\AppData\Local\Temp\ksohtml17396\wps2.jpg"/>
                    <pic:cNvPicPr>
                      <a:picLocks noChangeAspect="1" noChangeArrowheads="1"/>
                    </pic:cNvPicPr>
                  </pic:nvPicPr>
                  <pic:blipFill>
                    <a:blip r:embed="rId74"/>
                    <a:srcRect/>
                    <a:stretch>
                      <a:fillRect/>
                    </a:stretch>
                  </pic:blipFill>
                  <pic:spPr>
                    <a:xfrm>
                      <a:off x="0" y="0"/>
                      <a:ext cx="1199515" cy="391795"/>
                    </a:xfrm>
                    <a:prstGeom prst="rect">
                      <a:avLst/>
                    </a:prstGeom>
                    <a:noFill/>
                    <a:ln w="9525">
                      <a:noFill/>
                      <a:miter lim="800000"/>
                      <a:headEnd/>
                      <a:tailEnd/>
                    </a:ln>
                  </pic:spPr>
                </pic:pic>
              </a:graphicData>
            </a:graphic>
          </wp:inline>
        </w:drawing>
      </w:r>
    </w:p>
    <w:p w:rsidR="002A5A5E" w:rsidRPr="00F9522B" w:rsidRDefault="00611CBA">
      <w:pPr>
        <w:pStyle w:val="ab"/>
        <w:spacing w:after="0" w:line="360" w:lineRule="auto"/>
        <w:ind w:firstLineChars="200" w:firstLine="476"/>
        <w:rPr>
          <w:sz w:val="24"/>
        </w:rPr>
      </w:pPr>
      <w:r w:rsidRPr="00F9522B">
        <w:rPr>
          <w:spacing w:val="-1"/>
          <w:sz w:val="24"/>
        </w:rPr>
        <w:t>式中：</w:t>
      </w:r>
      <w:r w:rsidRPr="00F9522B">
        <w:rPr>
          <w:i/>
          <w:iCs/>
          <w:spacing w:val="-1"/>
          <w:sz w:val="24"/>
        </w:rPr>
        <w:t>N</w:t>
      </w:r>
      <w:r w:rsidRPr="00F9522B">
        <w:rPr>
          <w:spacing w:val="-1"/>
          <w:sz w:val="24"/>
        </w:rPr>
        <w:t>为</w:t>
      </w:r>
      <w:r w:rsidRPr="00F9522B">
        <w:rPr>
          <w:spacing w:val="-1"/>
          <w:sz w:val="24"/>
        </w:rPr>
        <w:t>1L</w:t>
      </w:r>
      <w:r w:rsidRPr="00F9522B">
        <w:rPr>
          <w:spacing w:val="-1"/>
          <w:sz w:val="24"/>
        </w:rPr>
        <w:t>水样中浮游植物的密度（个</w:t>
      </w:r>
      <w:r w:rsidRPr="00F9522B">
        <w:rPr>
          <w:spacing w:val="-1"/>
          <w:sz w:val="24"/>
        </w:rPr>
        <w:t>/L</w:t>
      </w:r>
      <w:r w:rsidRPr="00F9522B">
        <w:rPr>
          <w:spacing w:val="-3"/>
          <w:sz w:val="24"/>
        </w:rPr>
        <w:t>）；</w:t>
      </w:r>
      <w:r w:rsidRPr="00F9522B">
        <w:rPr>
          <w:i/>
          <w:iCs/>
          <w:spacing w:val="-1"/>
          <w:sz w:val="24"/>
        </w:rPr>
        <w:t>N</w:t>
      </w:r>
      <w:r w:rsidRPr="00F9522B">
        <w:rPr>
          <w:spacing w:val="-1"/>
          <w:position w:val="-1"/>
          <w:sz w:val="24"/>
          <w:vertAlign w:val="subscript"/>
        </w:rPr>
        <w:t>0</w:t>
      </w:r>
      <w:r w:rsidRPr="00F9522B">
        <w:rPr>
          <w:spacing w:val="-1"/>
          <w:sz w:val="24"/>
        </w:rPr>
        <w:t>为计数框总</w:t>
      </w:r>
      <w:r w:rsidRPr="00F9522B">
        <w:rPr>
          <w:spacing w:val="-2"/>
          <w:sz w:val="24"/>
        </w:rPr>
        <w:t>格数；</w:t>
      </w:r>
      <w:r w:rsidRPr="00F9522B">
        <w:rPr>
          <w:i/>
          <w:iCs/>
          <w:spacing w:val="-2"/>
          <w:sz w:val="24"/>
        </w:rPr>
        <w:t>N</w:t>
      </w:r>
      <w:r w:rsidRPr="00F9522B">
        <w:rPr>
          <w:spacing w:val="-2"/>
          <w:position w:val="-1"/>
          <w:sz w:val="24"/>
          <w:vertAlign w:val="subscript"/>
        </w:rPr>
        <w:t>1</w:t>
      </w:r>
      <w:r w:rsidRPr="00F9522B">
        <w:rPr>
          <w:spacing w:val="-2"/>
          <w:sz w:val="24"/>
        </w:rPr>
        <w:t>为计数过的方格数；</w:t>
      </w:r>
      <w:r w:rsidRPr="00F9522B">
        <w:rPr>
          <w:i/>
          <w:iCs/>
          <w:spacing w:val="-2"/>
          <w:sz w:val="24"/>
        </w:rPr>
        <w:t>V</w:t>
      </w:r>
      <w:r w:rsidRPr="00F9522B">
        <w:rPr>
          <w:spacing w:val="-2"/>
          <w:position w:val="-1"/>
          <w:sz w:val="24"/>
          <w:vertAlign w:val="subscript"/>
        </w:rPr>
        <w:t>1</w:t>
      </w:r>
      <w:r w:rsidRPr="00F9522B">
        <w:rPr>
          <w:spacing w:val="-2"/>
          <w:sz w:val="24"/>
        </w:rPr>
        <w:t>为</w:t>
      </w:r>
      <w:r w:rsidRPr="00F9522B">
        <w:rPr>
          <w:spacing w:val="-2"/>
          <w:sz w:val="24"/>
        </w:rPr>
        <w:t>1L</w:t>
      </w:r>
      <w:r w:rsidRPr="00F9522B">
        <w:rPr>
          <w:spacing w:val="-2"/>
          <w:sz w:val="24"/>
        </w:rPr>
        <w:t>水样经浓缩后的体积（</w:t>
      </w:r>
      <w:r w:rsidRPr="00F9522B">
        <w:rPr>
          <w:spacing w:val="-2"/>
          <w:sz w:val="24"/>
        </w:rPr>
        <w:t>mL</w:t>
      </w:r>
      <w:r w:rsidRPr="00F9522B">
        <w:rPr>
          <w:spacing w:val="15"/>
          <w:sz w:val="24"/>
        </w:rPr>
        <w:t>）；</w:t>
      </w:r>
      <w:r w:rsidRPr="00F9522B">
        <w:rPr>
          <w:i/>
          <w:iCs/>
          <w:spacing w:val="-2"/>
          <w:sz w:val="24"/>
        </w:rPr>
        <w:t>V</w:t>
      </w:r>
      <w:r w:rsidRPr="00F9522B">
        <w:rPr>
          <w:spacing w:val="-2"/>
          <w:position w:val="-1"/>
          <w:sz w:val="24"/>
          <w:vertAlign w:val="subscript"/>
        </w:rPr>
        <w:t>0</w:t>
      </w:r>
      <w:r w:rsidRPr="00F9522B">
        <w:rPr>
          <w:spacing w:val="-2"/>
          <w:sz w:val="24"/>
        </w:rPr>
        <w:t>为计数框容积（</w:t>
      </w:r>
      <w:r w:rsidRPr="00F9522B">
        <w:rPr>
          <w:spacing w:val="-2"/>
          <w:sz w:val="24"/>
        </w:rPr>
        <w:t>mL</w:t>
      </w:r>
      <w:r w:rsidRPr="00F9522B">
        <w:rPr>
          <w:spacing w:val="15"/>
          <w:sz w:val="24"/>
        </w:rPr>
        <w:t>）；</w:t>
      </w:r>
      <w:r w:rsidRPr="00F9522B">
        <w:rPr>
          <w:i/>
          <w:iCs/>
          <w:spacing w:val="-1"/>
          <w:sz w:val="24"/>
        </w:rPr>
        <w:t>P</w:t>
      </w:r>
      <w:r w:rsidRPr="00F9522B">
        <w:rPr>
          <w:i/>
          <w:iCs/>
          <w:spacing w:val="-1"/>
          <w:position w:val="-1"/>
          <w:sz w:val="24"/>
          <w:vertAlign w:val="subscript"/>
        </w:rPr>
        <w:t>n</w:t>
      </w:r>
      <w:r w:rsidRPr="00F9522B">
        <w:rPr>
          <w:spacing w:val="-1"/>
          <w:sz w:val="24"/>
        </w:rPr>
        <w:t>为计数的浮游植物个数（个）。</w:t>
      </w:r>
    </w:p>
    <w:p w:rsidR="002A5A5E" w:rsidRPr="00F9522B" w:rsidRDefault="00611CBA">
      <w:pPr>
        <w:pStyle w:val="ab"/>
        <w:spacing w:after="0" w:line="360" w:lineRule="auto"/>
        <w:ind w:firstLineChars="200" w:firstLine="468"/>
        <w:rPr>
          <w:sz w:val="24"/>
        </w:rPr>
      </w:pPr>
      <w:r w:rsidRPr="00F9522B">
        <w:rPr>
          <w:spacing w:val="-3"/>
          <w:sz w:val="24"/>
        </w:rPr>
        <w:t>浮游植物的比重接近</w:t>
      </w:r>
      <w:r w:rsidRPr="00F9522B">
        <w:rPr>
          <w:spacing w:val="-3"/>
          <w:sz w:val="24"/>
        </w:rPr>
        <w:t>1</w:t>
      </w:r>
      <w:r w:rsidRPr="00F9522B">
        <w:rPr>
          <w:spacing w:val="-3"/>
          <w:sz w:val="24"/>
        </w:rPr>
        <w:t>，可直接采用体积换算成重量（湿重</w:t>
      </w:r>
      <w:r w:rsidRPr="00F9522B">
        <w:rPr>
          <w:spacing w:val="-16"/>
          <w:sz w:val="24"/>
        </w:rPr>
        <w:t>），</w:t>
      </w:r>
      <w:r w:rsidRPr="00F9522B">
        <w:rPr>
          <w:spacing w:val="-3"/>
          <w:sz w:val="24"/>
        </w:rPr>
        <w:t>大多数藻类的细</w:t>
      </w:r>
      <w:r w:rsidRPr="00F9522B">
        <w:rPr>
          <w:spacing w:val="-2"/>
          <w:sz w:val="24"/>
        </w:rPr>
        <w:t>胞形状较规则，可用形状相似的几何体积公式计算其体积，测量</w:t>
      </w:r>
      <w:r w:rsidRPr="00F9522B">
        <w:rPr>
          <w:spacing w:val="-3"/>
          <w:sz w:val="24"/>
        </w:rPr>
        <w:t>必要的长度、高度、</w:t>
      </w:r>
      <w:r w:rsidRPr="00F9522B">
        <w:rPr>
          <w:spacing w:val="-1"/>
          <w:sz w:val="24"/>
        </w:rPr>
        <w:t>直径等，每一种类至少随机测定</w:t>
      </w:r>
      <w:r w:rsidRPr="00F9522B">
        <w:rPr>
          <w:spacing w:val="-1"/>
          <w:sz w:val="24"/>
        </w:rPr>
        <w:t>50</w:t>
      </w:r>
      <w:r w:rsidRPr="00F9522B">
        <w:rPr>
          <w:spacing w:val="-1"/>
          <w:sz w:val="24"/>
        </w:rPr>
        <w:t>个，求出平均值。所</w:t>
      </w:r>
      <w:r w:rsidRPr="00F9522B">
        <w:rPr>
          <w:spacing w:val="-2"/>
          <w:sz w:val="24"/>
        </w:rPr>
        <w:t>有藻类生物量的和即为</w:t>
      </w:r>
      <w:r w:rsidRPr="00F9522B">
        <w:rPr>
          <w:spacing w:val="-2"/>
          <w:sz w:val="24"/>
        </w:rPr>
        <w:t>1 L</w:t>
      </w:r>
      <w:r w:rsidRPr="00F9522B">
        <w:rPr>
          <w:spacing w:val="2"/>
          <w:sz w:val="24"/>
        </w:rPr>
        <w:t>水样中浮游植物的生物量，单位为</w:t>
      </w:r>
      <w:r w:rsidRPr="00F9522B">
        <w:rPr>
          <w:sz w:val="24"/>
        </w:rPr>
        <w:t>mg</w:t>
      </w:r>
      <w:r w:rsidRPr="00F9522B">
        <w:rPr>
          <w:spacing w:val="2"/>
          <w:sz w:val="24"/>
        </w:rPr>
        <w:t>/L</w:t>
      </w:r>
      <w:r w:rsidRPr="00F9522B">
        <w:rPr>
          <w:spacing w:val="2"/>
          <w:sz w:val="24"/>
        </w:rPr>
        <w:t>。</w:t>
      </w:r>
    </w:p>
    <w:p w:rsidR="002A5A5E" w:rsidRPr="00F9522B" w:rsidRDefault="005273A1" w:rsidP="00611CBA">
      <w:pPr>
        <w:pStyle w:val="ab"/>
        <w:spacing w:after="0" w:line="360" w:lineRule="auto"/>
        <w:ind w:firstLineChars="200" w:firstLine="482"/>
        <w:rPr>
          <w:sz w:val="24"/>
        </w:rPr>
      </w:pPr>
      <w:r w:rsidRPr="00F9522B">
        <w:rPr>
          <w:b/>
          <w:bCs/>
          <w:spacing w:val="-8"/>
          <w:sz w:val="24"/>
        </w:rPr>
        <w:fldChar w:fldCharType="begin"/>
      </w:r>
      <w:r w:rsidR="00611CBA" w:rsidRPr="00F9522B">
        <w:rPr>
          <w:b/>
          <w:bCs/>
          <w:spacing w:val="-8"/>
          <w:sz w:val="24"/>
        </w:rPr>
        <w:instrText xml:space="preserve"> = 2 \* GB3 </w:instrText>
      </w:r>
      <w:r w:rsidRPr="00F9522B">
        <w:rPr>
          <w:b/>
          <w:bCs/>
          <w:spacing w:val="-8"/>
          <w:sz w:val="24"/>
        </w:rPr>
        <w:fldChar w:fldCharType="separate"/>
      </w:r>
      <w:r w:rsidR="00611CBA" w:rsidRPr="00F9522B">
        <w:rPr>
          <w:rFonts w:ascii="宋体" w:hAnsi="宋体" w:cs="宋体" w:hint="eastAsia"/>
          <w:b/>
          <w:bCs/>
          <w:spacing w:val="-8"/>
          <w:sz w:val="24"/>
        </w:rPr>
        <w:t>②</w:t>
      </w:r>
      <w:r w:rsidRPr="00F9522B">
        <w:rPr>
          <w:b/>
          <w:bCs/>
          <w:spacing w:val="-8"/>
          <w:sz w:val="24"/>
        </w:rPr>
        <w:fldChar w:fldCharType="end"/>
      </w:r>
      <w:r w:rsidR="00611CBA" w:rsidRPr="00F9522B">
        <w:rPr>
          <w:b/>
          <w:bCs/>
          <w:spacing w:val="-8"/>
          <w:sz w:val="24"/>
        </w:rPr>
        <w:t>浮游动物</w:t>
      </w:r>
    </w:p>
    <w:p w:rsidR="002A5A5E" w:rsidRPr="00F9522B" w:rsidRDefault="00611CBA">
      <w:pPr>
        <w:pStyle w:val="ab"/>
        <w:spacing w:after="0" w:line="360" w:lineRule="auto"/>
        <w:ind w:firstLineChars="200" w:firstLine="468"/>
        <w:rPr>
          <w:sz w:val="24"/>
        </w:rPr>
      </w:pPr>
      <w:r w:rsidRPr="00F9522B">
        <w:rPr>
          <w:spacing w:val="-3"/>
          <w:sz w:val="24"/>
        </w:rPr>
        <w:t>1</w:t>
      </w:r>
      <w:r w:rsidRPr="00F9522B">
        <w:rPr>
          <w:spacing w:val="-3"/>
          <w:sz w:val="24"/>
        </w:rPr>
        <w:t>）定性样品的采集</w:t>
      </w:r>
    </w:p>
    <w:p w:rsidR="002A5A5E" w:rsidRPr="00F9522B" w:rsidRDefault="00611CBA">
      <w:pPr>
        <w:pStyle w:val="ab"/>
        <w:spacing w:after="0" w:line="360" w:lineRule="auto"/>
        <w:ind w:firstLineChars="200" w:firstLine="464"/>
        <w:rPr>
          <w:sz w:val="24"/>
        </w:rPr>
      </w:pPr>
      <w:r w:rsidRPr="00F9522B">
        <w:rPr>
          <w:spacing w:val="-4"/>
          <w:sz w:val="24"/>
        </w:rPr>
        <w:t>选择不同的水域区域，用</w:t>
      </w:r>
      <w:r w:rsidRPr="00F9522B">
        <w:rPr>
          <w:spacing w:val="-4"/>
          <w:sz w:val="24"/>
        </w:rPr>
        <w:t>25</w:t>
      </w:r>
      <w:r w:rsidRPr="00F9522B">
        <w:rPr>
          <w:spacing w:val="-4"/>
          <w:sz w:val="24"/>
        </w:rPr>
        <w:t>号或</w:t>
      </w:r>
      <w:r w:rsidRPr="00F9522B">
        <w:rPr>
          <w:spacing w:val="-4"/>
          <w:sz w:val="24"/>
        </w:rPr>
        <w:t>13</w:t>
      </w:r>
      <w:r w:rsidRPr="00F9522B">
        <w:rPr>
          <w:spacing w:val="-4"/>
          <w:sz w:val="24"/>
        </w:rPr>
        <w:t>号浮游生物网（</w:t>
      </w:r>
      <w:r w:rsidRPr="00F9522B">
        <w:rPr>
          <w:spacing w:val="-4"/>
          <w:sz w:val="24"/>
        </w:rPr>
        <w:t>0.112mm</w:t>
      </w:r>
      <w:r w:rsidRPr="00F9522B">
        <w:rPr>
          <w:spacing w:val="-4"/>
          <w:sz w:val="24"/>
        </w:rPr>
        <w:t>）在水面下</w:t>
      </w:r>
      <w:r w:rsidRPr="00F9522B">
        <w:rPr>
          <w:spacing w:val="-4"/>
          <w:sz w:val="24"/>
        </w:rPr>
        <w:t>0.5m</w:t>
      </w:r>
      <w:r w:rsidRPr="00F9522B">
        <w:rPr>
          <w:spacing w:val="-1"/>
          <w:sz w:val="24"/>
        </w:rPr>
        <w:t>水深处缓慢作</w:t>
      </w:r>
      <w:r w:rsidRPr="00F9522B">
        <w:rPr>
          <w:spacing w:val="-1"/>
          <w:sz w:val="24"/>
        </w:rPr>
        <w:t>∞</w:t>
      </w:r>
      <w:r w:rsidRPr="00F9522B">
        <w:rPr>
          <w:spacing w:val="-1"/>
          <w:sz w:val="24"/>
        </w:rPr>
        <w:t>形循环拖动</w:t>
      </w:r>
      <w:r w:rsidRPr="00F9522B">
        <w:rPr>
          <w:spacing w:val="-1"/>
          <w:sz w:val="24"/>
        </w:rPr>
        <w:t>2</w:t>
      </w:r>
      <w:r w:rsidRPr="00F9522B">
        <w:rPr>
          <w:spacing w:val="-1"/>
          <w:sz w:val="24"/>
        </w:rPr>
        <w:t>～</w:t>
      </w:r>
      <w:r w:rsidRPr="00F9522B">
        <w:rPr>
          <w:spacing w:val="-1"/>
          <w:sz w:val="24"/>
        </w:rPr>
        <w:t>3min</w:t>
      </w:r>
      <w:r w:rsidRPr="00F9522B">
        <w:rPr>
          <w:spacing w:val="-1"/>
          <w:sz w:val="24"/>
        </w:rPr>
        <w:t>，将采得的水样装入编号瓶，原生动</w:t>
      </w:r>
      <w:r w:rsidRPr="00F9522B">
        <w:rPr>
          <w:spacing w:val="-2"/>
          <w:sz w:val="24"/>
        </w:rPr>
        <w:t>物和轮虫</w:t>
      </w:r>
      <w:r w:rsidRPr="00F9522B">
        <w:rPr>
          <w:sz w:val="24"/>
        </w:rPr>
        <w:t>每升水样加鲁哥氏液</w:t>
      </w:r>
      <w:r w:rsidRPr="00F9522B">
        <w:rPr>
          <w:sz w:val="24"/>
        </w:rPr>
        <w:t>15mL</w:t>
      </w:r>
      <w:r w:rsidRPr="00F9522B">
        <w:rPr>
          <w:sz w:val="24"/>
        </w:rPr>
        <w:t>，枝角类和桡足类加</w:t>
      </w:r>
      <w:r w:rsidRPr="00F9522B">
        <w:rPr>
          <w:sz w:val="24"/>
        </w:rPr>
        <w:t>5%</w:t>
      </w:r>
      <w:r w:rsidRPr="00F9522B">
        <w:rPr>
          <w:sz w:val="24"/>
        </w:rPr>
        <w:t>福</w:t>
      </w:r>
      <w:r w:rsidRPr="00F9522B">
        <w:rPr>
          <w:spacing w:val="-1"/>
          <w:sz w:val="24"/>
        </w:rPr>
        <w:t>尔马林固定。</w:t>
      </w:r>
    </w:p>
    <w:p w:rsidR="002A5A5E" w:rsidRPr="00F9522B" w:rsidRDefault="00611CBA">
      <w:pPr>
        <w:pStyle w:val="ab"/>
        <w:spacing w:after="0" w:line="360" w:lineRule="auto"/>
        <w:ind w:firstLineChars="200" w:firstLine="468"/>
        <w:rPr>
          <w:sz w:val="24"/>
        </w:rPr>
      </w:pPr>
      <w:r w:rsidRPr="00F9522B">
        <w:rPr>
          <w:spacing w:val="-3"/>
          <w:sz w:val="24"/>
        </w:rPr>
        <w:t>2</w:t>
      </w:r>
      <w:r w:rsidRPr="00F9522B">
        <w:rPr>
          <w:spacing w:val="-3"/>
          <w:sz w:val="24"/>
        </w:rPr>
        <w:t>）定量样品的采集</w:t>
      </w:r>
    </w:p>
    <w:p w:rsidR="002A5A5E" w:rsidRPr="00F9522B" w:rsidRDefault="00611CBA">
      <w:pPr>
        <w:pStyle w:val="ab"/>
        <w:spacing w:after="0" w:line="360" w:lineRule="auto"/>
        <w:ind w:firstLineChars="200" w:firstLine="476"/>
        <w:rPr>
          <w:sz w:val="24"/>
        </w:rPr>
      </w:pPr>
      <w:r w:rsidRPr="00F9522B">
        <w:rPr>
          <w:spacing w:val="-1"/>
          <w:sz w:val="24"/>
        </w:rPr>
        <w:lastRenderedPageBreak/>
        <w:t>原生动物和轮虫定量样品可用浮游植物定量样品。枝角类和桡足类定量样品应</w:t>
      </w:r>
      <w:r w:rsidRPr="00F9522B">
        <w:rPr>
          <w:spacing w:val="-3"/>
          <w:sz w:val="24"/>
        </w:rPr>
        <w:t>在定性采样前用采水器采集，每断面的各断面均采集水样</w:t>
      </w:r>
      <w:r w:rsidRPr="00F9522B">
        <w:rPr>
          <w:spacing w:val="-3"/>
          <w:sz w:val="24"/>
        </w:rPr>
        <w:t>10L</w:t>
      </w:r>
      <w:r w:rsidRPr="00F9522B">
        <w:rPr>
          <w:spacing w:val="-3"/>
          <w:sz w:val="24"/>
        </w:rPr>
        <w:t>，用</w:t>
      </w:r>
      <w:r w:rsidRPr="00F9522B">
        <w:rPr>
          <w:spacing w:val="-3"/>
          <w:sz w:val="24"/>
        </w:rPr>
        <w:t>25</w:t>
      </w:r>
      <w:r w:rsidRPr="00F9522B">
        <w:rPr>
          <w:spacing w:val="-3"/>
          <w:sz w:val="24"/>
        </w:rPr>
        <w:t>号浮游生物网</w:t>
      </w:r>
      <w:r w:rsidRPr="00F9522B">
        <w:rPr>
          <w:spacing w:val="-5"/>
          <w:sz w:val="24"/>
        </w:rPr>
        <w:t>过滤浓缩，过滤物放入</w:t>
      </w:r>
      <w:r w:rsidRPr="00F9522B">
        <w:rPr>
          <w:spacing w:val="-5"/>
          <w:sz w:val="24"/>
        </w:rPr>
        <w:t>1L</w:t>
      </w:r>
      <w:r w:rsidRPr="00F9522B">
        <w:rPr>
          <w:spacing w:val="-5"/>
          <w:sz w:val="24"/>
        </w:rPr>
        <w:t>标本瓶中，并用滤出水洗过滤网</w:t>
      </w:r>
      <w:r w:rsidRPr="00F9522B">
        <w:rPr>
          <w:spacing w:val="-5"/>
          <w:sz w:val="24"/>
        </w:rPr>
        <w:t>3</w:t>
      </w:r>
      <w:r w:rsidRPr="00F9522B">
        <w:rPr>
          <w:spacing w:val="-5"/>
          <w:sz w:val="24"/>
        </w:rPr>
        <w:t>次，所</w:t>
      </w:r>
      <w:r w:rsidR="00D966E2" w:rsidRPr="00F9522B">
        <w:rPr>
          <w:spacing w:val="-5"/>
          <w:sz w:val="24"/>
        </w:rPr>
        <w:t>得</w:t>
      </w:r>
      <w:r w:rsidRPr="00F9522B">
        <w:rPr>
          <w:spacing w:val="-5"/>
          <w:sz w:val="24"/>
        </w:rPr>
        <w:t>过滤物也放</w:t>
      </w:r>
      <w:r w:rsidRPr="00F9522B">
        <w:rPr>
          <w:spacing w:val="-2"/>
          <w:sz w:val="24"/>
        </w:rPr>
        <w:t>上述瓶中，加</w:t>
      </w:r>
      <w:r w:rsidRPr="00F9522B">
        <w:rPr>
          <w:spacing w:val="-2"/>
          <w:sz w:val="24"/>
        </w:rPr>
        <w:t>5%</w:t>
      </w:r>
      <w:r w:rsidRPr="00F9522B">
        <w:rPr>
          <w:spacing w:val="-2"/>
          <w:sz w:val="24"/>
        </w:rPr>
        <w:t>福尔马林固定。</w:t>
      </w:r>
    </w:p>
    <w:p w:rsidR="002A5A5E" w:rsidRPr="00F9522B" w:rsidRDefault="00611CBA">
      <w:pPr>
        <w:pStyle w:val="ab"/>
        <w:spacing w:after="0" w:line="360" w:lineRule="auto"/>
        <w:ind w:firstLineChars="200" w:firstLine="468"/>
        <w:rPr>
          <w:sz w:val="24"/>
        </w:rPr>
      </w:pPr>
      <w:r w:rsidRPr="00F9522B">
        <w:rPr>
          <w:spacing w:val="-3"/>
          <w:sz w:val="24"/>
        </w:rPr>
        <w:t>3</w:t>
      </w:r>
      <w:r w:rsidRPr="00F9522B">
        <w:rPr>
          <w:spacing w:val="-3"/>
          <w:sz w:val="24"/>
        </w:rPr>
        <w:t>）室内观察与鉴定</w:t>
      </w:r>
    </w:p>
    <w:p w:rsidR="002A5A5E" w:rsidRPr="00F9522B" w:rsidRDefault="00611CBA">
      <w:pPr>
        <w:pStyle w:val="ab"/>
        <w:spacing w:after="0" w:line="360" w:lineRule="auto"/>
        <w:ind w:firstLineChars="200" w:firstLine="480"/>
        <w:rPr>
          <w:sz w:val="24"/>
        </w:rPr>
      </w:pPr>
      <w:r w:rsidRPr="00F9522B">
        <w:rPr>
          <w:sz w:val="24"/>
        </w:rPr>
        <w:t>水样的沉淀和浓缩同浮游植物。原生动物和轮</w:t>
      </w:r>
      <w:r w:rsidRPr="00F9522B">
        <w:rPr>
          <w:spacing w:val="-1"/>
          <w:sz w:val="24"/>
        </w:rPr>
        <w:t>虫的计数与浮游植物计数合用一个样品，其中原生动物计数时吸出</w:t>
      </w:r>
      <w:r w:rsidRPr="00F9522B">
        <w:rPr>
          <w:spacing w:val="-1"/>
          <w:sz w:val="24"/>
        </w:rPr>
        <w:t>0.1 mL</w:t>
      </w:r>
      <w:r w:rsidRPr="00F9522B">
        <w:rPr>
          <w:spacing w:val="-1"/>
          <w:sz w:val="24"/>
        </w:rPr>
        <w:t>样品，置于</w:t>
      </w:r>
      <w:r w:rsidRPr="00F9522B">
        <w:rPr>
          <w:spacing w:val="-1"/>
          <w:sz w:val="24"/>
        </w:rPr>
        <w:t xml:space="preserve">0.1 </w:t>
      </w:r>
      <w:r w:rsidRPr="00F9522B">
        <w:rPr>
          <w:spacing w:val="-2"/>
          <w:sz w:val="24"/>
        </w:rPr>
        <w:t>mL</w:t>
      </w:r>
      <w:r w:rsidRPr="00F9522B">
        <w:rPr>
          <w:spacing w:val="-2"/>
          <w:sz w:val="24"/>
        </w:rPr>
        <w:t>计数框内，在</w:t>
      </w:r>
      <w:r w:rsidRPr="00F9522B">
        <w:rPr>
          <w:spacing w:val="-2"/>
          <w:sz w:val="24"/>
        </w:rPr>
        <w:t>10×20</w:t>
      </w:r>
      <w:r w:rsidRPr="00F9522B">
        <w:rPr>
          <w:spacing w:val="-2"/>
          <w:sz w:val="24"/>
        </w:rPr>
        <w:t>倍显微镜下全片计数；轮虫计数时吸出</w:t>
      </w:r>
      <w:r w:rsidRPr="00F9522B">
        <w:rPr>
          <w:spacing w:val="-2"/>
          <w:sz w:val="24"/>
        </w:rPr>
        <w:t>1 mL</w:t>
      </w:r>
      <w:r w:rsidRPr="00F9522B">
        <w:rPr>
          <w:spacing w:val="-2"/>
          <w:sz w:val="24"/>
        </w:rPr>
        <w:t>样品，置于</w:t>
      </w:r>
      <w:r w:rsidRPr="00F9522B">
        <w:rPr>
          <w:spacing w:val="-2"/>
          <w:sz w:val="24"/>
        </w:rPr>
        <w:t>1mL</w:t>
      </w:r>
      <w:r w:rsidRPr="00F9522B">
        <w:rPr>
          <w:spacing w:val="-3"/>
          <w:sz w:val="24"/>
        </w:rPr>
        <w:t>计数框内，在</w:t>
      </w:r>
      <w:r w:rsidRPr="00F9522B">
        <w:rPr>
          <w:spacing w:val="-3"/>
          <w:sz w:val="24"/>
        </w:rPr>
        <w:t>10×10</w:t>
      </w:r>
      <w:r w:rsidRPr="00F9522B">
        <w:rPr>
          <w:spacing w:val="1"/>
          <w:sz w:val="24"/>
        </w:rPr>
        <w:t>倍显微镜下全片计数；枝角类和桡足类计数时用</w:t>
      </w:r>
      <w:r w:rsidRPr="00F9522B">
        <w:rPr>
          <w:spacing w:val="1"/>
          <w:sz w:val="24"/>
        </w:rPr>
        <w:t>5</w:t>
      </w:r>
      <w:r w:rsidRPr="00F9522B">
        <w:rPr>
          <w:sz w:val="24"/>
        </w:rPr>
        <w:t>mL</w:t>
      </w:r>
      <w:r w:rsidRPr="00F9522B">
        <w:rPr>
          <w:spacing w:val="1"/>
          <w:sz w:val="24"/>
        </w:rPr>
        <w:t xml:space="preserve"> </w:t>
      </w:r>
      <w:r w:rsidRPr="00F9522B">
        <w:rPr>
          <w:spacing w:val="1"/>
          <w:sz w:val="24"/>
        </w:rPr>
        <w:t>计数框将样品分数次全部计</w:t>
      </w:r>
      <w:r w:rsidRPr="00F9522B">
        <w:rPr>
          <w:spacing w:val="-1"/>
          <w:sz w:val="24"/>
        </w:rPr>
        <w:t>数。每瓶样品均计数两片，取其平均值。</w:t>
      </w:r>
    </w:p>
    <w:p w:rsidR="002A5A5E" w:rsidRPr="00F9522B" w:rsidRDefault="00611CBA">
      <w:pPr>
        <w:pStyle w:val="ab"/>
        <w:spacing w:after="0" w:line="360" w:lineRule="auto"/>
        <w:ind w:firstLineChars="200" w:firstLine="476"/>
        <w:rPr>
          <w:sz w:val="24"/>
        </w:rPr>
      </w:pPr>
      <w:r w:rsidRPr="00F9522B">
        <w:rPr>
          <w:spacing w:val="-1"/>
          <w:sz w:val="24"/>
        </w:rPr>
        <w:t>单位体积水样中的浮游动物的密度按以下公式计算：</w:t>
      </w:r>
    </w:p>
    <w:p w:rsidR="002A5A5E" w:rsidRPr="00F9522B" w:rsidRDefault="00611CBA">
      <w:pPr>
        <w:spacing w:line="360" w:lineRule="auto"/>
        <w:ind w:firstLineChars="200" w:firstLine="480"/>
        <w:jc w:val="center"/>
        <w:rPr>
          <w:sz w:val="24"/>
        </w:rPr>
      </w:pPr>
      <w:r w:rsidRPr="00F9522B">
        <w:rPr>
          <w:noProof/>
          <w:sz w:val="24"/>
        </w:rPr>
        <w:drawing>
          <wp:inline distT="0" distB="0" distL="0" distR="0">
            <wp:extent cx="843280" cy="391795"/>
            <wp:effectExtent l="19050" t="0" r="0" b="0"/>
            <wp:docPr id="94" name="图片 10" descr="C:\Users\Administrator\AppData\Local\Temp\ksohtml17396\wp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10" descr="C:\Users\Administrator\AppData\Local\Temp\ksohtml17396\wps4.jpg"/>
                    <pic:cNvPicPr>
                      <a:picLocks noChangeAspect="1" noChangeArrowheads="1"/>
                    </pic:cNvPicPr>
                  </pic:nvPicPr>
                  <pic:blipFill>
                    <a:blip r:embed="rId75"/>
                    <a:srcRect/>
                    <a:stretch>
                      <a:fillRect/>
                    </a:stretch>
                  </pic:blipFill>
                  <pic:spPr>
                    <a:xfrm>
                      <a:off x="0" y="0"/>
                      <a:ext cx="843280" cy="391795"/>
                    </a:xfrm>
                    <a:prstGeom prst="rect">
                      <a:avLst/>
                    </a:prstGeom>
                    <a:noFill/>
                    <a:ln w="9525">
                      <a:noFill/>
                      <a:miter lim="800000"/>
                      <a:headEnd/>
                      <a:tailEnd/>
                    </a:ln>
                  </pic:spPr>
                </pic:pic>
              </a:graphicData>
            </a:graphic>
          </wp:inline>
        </w:drawing>
      </w:r>
    </w:p>
    <w:p w:rsidR="002A5A5E" w:rsidRPr="00F9522B" w:rsidRDefault="00611CBA">
      <w:pPr>
        <w:pStyle w:val="ab"/>
        <w:spacing w:after="0" w:line="360" w:lineRule="auto"/>
        <w:ind w:firstLineChars="200" w:firstLine="472"/>
        <w:rPr>
          <w:sz w:val="24"/>
        </w:rPr>
      </w:pPr>
      <w:r w:rsidRPr="00F9522B">
        <w:rPr>
          <w:spacing w:val="-2"/>
          <w:sz w:val="24"/>
        </w:rPr>
        <w:t>式中：</w:t>
      </w:r>
      <w:r w:rsidRPr="00F9522B">
        <w:rPr>
          <w:i/>
          <w:iCs/>
          <w:spacing w:val="-2"/>
          <w:sz w:val="24"/>
        </w:rPr>
        <w:t>N</w:t>
      </w:r>
      <w:r w:rsidRPr="00F9522B">
        <w:rPr>
          <w:spacing w:val="-2"/>
          <w:sz w:val="24"/>
        </w:rPr>
        <w:t>为</w:t>
      </w:r>
      <w:r w:rsidRPr="00F9522B">
        <w:rPr>
          <w:spacing w:val="-2"/>
          <w:sz w:val="24"/>
        </w:rPr>
        <w:t>1 L</w:t>
      </w:r>
      <w:r w:rsidRPr="00F9522B">
        <w:rPr>
          <w:spacing w:val="-2"/>
          <w:sz w:val="24"/>
        </w:rPr>
        <w:t>水样中浮游动物的密度（个</w:t>
      </w:r>
      <w:r w:rsidRPr="00F9522B">
        <w:rPr>
          <w:spacing w:val="-2"/>
          <w:sz w:val="24"/>
        </w:rPr>
        <w:t>/L</w:t>
      </w:r>
      <w:r w:rsidRPr="00F9522B">
        <w:rPr>
          <w:spacing w:val="15"/>
          <w:sz w:val="24"/>
        </w:rPr>
        <w:t>）；</w:t>
      </w:r>
      <w:r w:rsidRPr="00F9522B">
        <w:rPr>
          <w:i/>
          <w:iCs/>
          <w:spacing w:val="-2"/>
          <w:sz w:val="24"/>
        </w:rPr>
        <w:t>V</w:t>
      </w:r>
      <w:r w:rsidRPr="00F9522B">
        <w:rPr>
          <w:spacing w:val="-2"/>
          <w:sz w:val="24"/>
        </w:rPr>
        <w:t>为采样的体积（</w:t>
      </w:r>
      <w:r w:rsidRPr="00F9522B">
        <w:rPr>
          <w:spacing w:val="-2"/>
          <w:sz w:val="24"/>
        </w:rPr>
        <w:t>L</w:t>
      </w:r>
      <w:r w:rsidRPr="00F9522B">
        <w:rPr>
          <w:spacing w:val="15"/>
          <w:sz w:val="24"/>
        </w:rPr>
        <w:t>）；</w:t>
      </w:r>
      <w:r w:rsidRPr="00F9522B">
        <w:rPr>
          <w:i/>
          <w:iCs/>
          <w:spacing w:val="-2"/>
          <w:sz w:val="24"/>
        </w:rPr>
        <w:t>V</w:t>
      </w:r>
      <w:r w:rsidRPr="00F9522B">
        <w:rPr>
          <w:i/>
          <w:iCs/>
          <w:spacing w:val="-2"/>
          <w:position w:val="-1"/>
          <w:sz w:val="24"/>
          <w:vertAlign w:val="subscript"/>
        </w:rPr>
        <w:t>S</w:t>
      </w:r>
      <w:r w:rsidRPr="00F9522B">
        <w:rPr>
          <w:spacing w:val="-3"/>
          <w:sz w:val="24"/>
        </w:rPr>
        <w:t>为</w:t>
      </w:r>
      <w:r w:rsidRPr="00F9522B">
        <w:rPr>
          <w:spacing w:val="-12"/>
          <w:sz w:val="24"/>
        </w:rPr>
        <w:t>样品浓缩后的体积（</w:t>
      </w:r>
      <w:r w:rsidRPr="00F9522B">
        <w:rPr>
          <w:spacing w:val="-12"/>
          <w:sz w:val="24"/>
        </w:rPr>
        <w:t>mL</w:t>
      </w:r>
      <w:r w:rsidRPr="00F9522B">
        <w:rPr>
          <w:spacing w:val="-62"/>
          <w:sz w:val="24"/>
        </w:rPr>
        <w:t>）；</w:t>
      </w:r>
      <w:r w:rsidRPr="00F9522B">
        <w:rPr>
          <w:i/>
          <w:iCs/>
          <w:spacing w:val="-12"/>
          <w:sz w:val="24"/>
        </w:rPr>
        <w:t>V</w:t>
      </w:r>
      <w:r w:rsidRPr="00F9522B">
        <w:rPr>
          <w:i/>
          <w:iCs/>
          <w:spacing w:val="-12"/>
          <w:position w:val="-1"/>
          <w:sz w:val="24"/>
          <w:vertAlign w:val="subscript"/>
        </w:rPr>
        <w:t>a</w:t>
      </w:r>
      <w:r w:rsidRPr="00F9522B">
        <w:rPr>
          <w:spacing w:val="-12"/>
          <w:sz w:val="24"/>
        </w:rPr>
        <w:t>为计数样品体积（</w:t>
      </w:r>
      <w:r w:rsidRPr="00F9522B">
        <w:rPr>
          <w:spacing w:val="-12"/>
          <w:sz w:val="24"/>
        </w:rPr>
        <w:t>mL</w:t>
      </w:r>
      <w:r w:rsidRPr="00F9522B">
        <w:rPr>
          <w:spacing w:val="-62"/>
          <w:sz w:val="24"/>
        </w:rPr>
        <w:t>）；</w:t>
      </w:r>
      <w:r w:rsidRPr="00F9522B">
        <w:rPr>
          <w:i/>
          <w:iCs/>
          <w:spacing w:val="-12"/>
          <w:sz w:val="24"/>
        </w:rPr>
        <w:t>n</w:t>
      </w:r>
      <w:r w:rsidRPr="00F9522B">
        <w:rPr>
          <w:spacing w:val="-12"/>
          <w:sz w:val="24"/>
        </w:rPr>
        <w:t>为计数所获得的个体数（个）。</w:t>
      </w:r>
    </w:p>
    <w:p w:rsidR="002A5A5E" w:rsidRPr="00F9522B" w:rsidRDefault="005273A1" w:rsidP="00611CBA">
      <w:pPr>
        <w:pStyle w:val="ab"/>
        <w:spacing w:after="0" w:line="360" w:lineRule="auto"/>
        <w:ind w:firstLineChars="200" w:firstLine="482"/>
        <w:rPr>
          <w:sz w:val="24"/>
        </w:rPr>
      </w:pPr>
      <w:r w:rsidRPr="00F9522B">
        <w:rPr>
          <w:b/>
          <w:bCs/>
          <w:spacing w:val="-7"/>
          <w:sz w:val="24"/>
        </w:rPr>
        <w:fldChar w:fldCharType="begin"/>
      </w:r>
      <w:r w:rsidR="00611CBA" w:rsidRPr="00F9522B">
        <w:rPr>
          <w:b/>
          <w:bCs/>
          <w:spacing w:val="-7"/>
          <w:sz w:val="24"/>
        </w:rPr>
        <w:instrText xml:space="preserve"> = 3 \* GB3 </w:instrText>
      </w:r>
      <w:r w:rsidRPr="00F9522B">
        <w:rPr>
          <w:b/>
          <w:bCs/>
          <w:spacing w:val="-7"/>
          <w:sz w:val="24"/>
        </w:rPr>
        <w:fldChar w:fldCharType="separate"/>
      </w:r>
      <w:r w:rsidR="00611CBA" w:rsidRPr="00F9522B">
        <w:rPr>
          <w:rFonts w:ascii="宋体" w:hAnsi="宋体" w:cs="宋体" w:hint="eastAsia"/>
          <w:b/>
          <w:bCs/>
          <w:spacing w:val="-7"/>
          <w:sz w:val="24"/>
        </w:rPr>
        <w:t>③</w:t>
      </w:r>
      <w:r w:rsidRPr="00F9522B">
        <w:rPr>
          <w:b/>
          <w:bCs/>
          <w:spacing w:val="-7"/>
          <w:sz w:val="24"/>
        </w:rPr>
        <w:fldChar w:fldCharType="end"/>
      </w:r>
      <w:r w:rsidR="00611CBA" w:rsidRPr="00F9522B">
        <w:rPr>
          <w:b/>
          <w:bCs/>
          <w:spacing w:val="-7"/>
          <w:sz w:val="24"/>
        </w:rPr>
        <w:t>底栖动物</w:t>
      </w:r>
    </w:p>
    <w:p w:rsidR="002A5A5E" w:rsidRPr="00F9522B" w:rsidRDefault="00611CBA">
      <w:pPr>
        <w:pStyle w:val="ab"/>
        <w:spacing w:after="0" w:line="360" w:lineRule="auto"/>
        <w:ind w:firstLineChars="200" w:firstLine="468"/>
        <w:rPr>
          <w:sz w:val="24"/>
        </w:rPr>
      </w:pPr>
      <w:r w:rsidRPr="00F9522B">
        <w:rPr>
          <w:spacing w:val="-3"/>
          <w:sz w:val="24"/>
        </w:rPr>
        <w:t>在采样点附近选取具有代表性的河滩，选取</w:t>
      </w:r>
      <w:r w:rsidRPr="00F9522B">
        <w:rPr>
          <w:spacing w:val="-3"/>
          <w:sz w:val="24"/>
        </w:rPr>
        <w:t>1m</w:t>
      </w:r>
      <w:r w:rsidRPr="00F9522B">
        <w:rPr>
          <w:spacing w:val="-3"/>
          <w:sz w:val="24"/>
          <w:vertAlign w:val="superscript"/>
        </w:rPr>
        <w:t>2</w:t>
      </w:r>
      <w:r w:rsidRPr="00F9522B">
        <w:rPr>
          <w:spacing w:val="-3"/>
          <w:sz w:val="24"/>
        </w:rPr>
        <w:t>，将此</w:t>
      </w:r>
      <w:r w:rsidRPr="00F9522B">
        <w:rPr>
          <w:spacing w:val="-3"/>
          <w:sz w:val="24"/>
        </w:rPr>
        <w:t>1m</w:t>
      </w:r>
      <w:r w:rsidRPr="00F9522B">
        <w:rPr>
          <w:spacing w:val="-3"/>
          <w:sz w:val="24"/>
          <w:vertAlign w:val="superscript"/>
        </w:rPr>
        <w:t>2</w:t>
      </w:r>
      <w:r w:rsidRPr="00F9522B">
        <w:rPr>
          <w:spacing w:val="-4"/>
          <w:sz w:val="24"/>
        </w:rPr>
        <w:t>内的护坡石块上的</w:t>
      </w:r>
      <w:r w:rsidRPr="00F9522B">
        <w:rPr>
          <w:spacing w:val="-3"/>
          <w:sz w:val="24"/>
        </w:rPr>
        <w:t>底栖动物用镊子小心夹取，如底质为沙或泥则用铁铲铲出泥沙，用</w:t>
      </w:r>
      <w:r w:rsidRPr="00F9522B">
        <w:rPr>
          <w:spacing w:val="-3"/>
          <w:sz w:val="24"/>
        </w:rPr>
        <w:t>40</w:t>
      </w:r>
      <w:r w:rsidRPr="00F9522B">
        <w:rPr>
          <w:spacing w:val="-3"/>
          <w:sz w:val="24"/>
        </w:rPr>
        <w:t>目分样筛淘洗</w:t>
      </w:r>
      <w:r w:rsidRPr="00F9522B">
        <w:rPr>
          <w:spacing w:val="-2"/>
          <w:sz w:val="24"/>
        </w:rPr>
        <w:t>和筛选出样本。河道采样采用改良彼得生采泥器（开口面积</w:t>
      </w:r>
      <w:r w:rsidRPr="00F9522B">
        <w:rPr>
          <w:spacing w:val="-2"/>
          <w:sz w:val="24"/>
        </w:rPr>
        <w:t>1/16</w:t>
      </w:r>
      <w:r w:rsidRPr="00F9522B">
        <w:rPr>
          <w:spacing w:val="-3"/>
          <w:sz w:val="24"/>
        </w:rPr>
        <w:t>m</w:t>
      </w:r>
      <w:r w:rsidRPr="00F9522B">
        <w:rPr>
          <w:spacing w:val="-3"/>
          <w:sz w:val="24"/>
          <w:vertAlign w:val="superscript"/>
        </w:rPr>
        <w:t>2</w:t>
      </w:r>
      <w:r w:rsidRPr="00F9522B">
        <w:rPr>
          <w:spacing w:val="-2"/>
          <w:sz w:val="24"/>
        </w:rPr>
        <w:t>）采集，将采得</w:t>
      </w:r>
      <w:r w:rsidRPr="00F9522B">
        <w:rPr>
          <w:spacing w:val="-3"/>
          <w:sz w:val="24"/>
        </w:rPr>
        <w:t>的泥样全部放入塑料盆内，经</w:t>
      </w:r>
      <w:r w:rsidRPr="00F9522B">
        <w:rPr>
          <w:spacing w:val="-3"/>
          <w:sz w:val="24"/>
        </w:rPr>
        <w:t>40</w:t>
      </w:r>
      <w:r w:rsidRPr="00F9522B">
        <w:rPr>
          <w:spacing w:val="-3"/>
          <w:sz w:val="24"/>
        </w:rPr>
        <w:t>目分样筛筛洗后捡出筛上可见的全部动物。所有样</w:t>
      </w:r>
      <w:r w:rsidRPr="00F9522B">
        <w:rPr>
          <w:sz w:val="24"/>
        </w:rPr>
        <w:t>品放入编号的样品瓶中用</w:t>
      </w:r>
      <w:r w:rsidRPr="00F9522B">
        <w:rPr>
          <w:sz w:val="24"/>
        </w:rPr>
        <w:t>5%</w:t>
      </w:r>
      <w:r w:rsidRPr="00F9522B">
        <w:rPr>
          <w:sz w:val="24"/>
        </w:rPr>
        <w:t>甲醛溶液固定。将每个断面采集到的底栖动物样品，按采集编号逐号进行整理，所采标本鉴定到属或种，再分种逐</w:t>
      </w:r>
      <w:r w:rsidRPr="00F9522B">
        <w:rPr>
          <w:spacing w:val="-1"/>
          <w:sz w:val="24"/>
        </w:rPr>
        <w:t>一进行种类密度统计，</w:t>
      </w:r>
      <w:r w:rsidRPr="00F9522B">
        <w:rPr>
          <w:sz w:val="24"/>
        </w:rPr>
        <w:t>用电子天平称重，称重前需将标本放在吸水纸上，吸</w:t>
      </w:r>
      <w:r w:rsidRPr="00F9522B">
        <w:rPr>
          <w:spacing w:val="-1"/>
          <w:sz w:val="24"/>
        </w:rPr>
        <w:t>去表面的水分，称出每种的湿重，再换算成每平方米的种类密度及生物量（湿重）。</w:t>
      </w:r>
    </w:p>
    <w:p w:rsidR="002A5A5E" w:rsidRPr="00F9522B" w:rsidRDefault="005273A1" w:rsidP="00611CBA">
      <w:pPr>
        <w:pStyle w:val="ab"/>
        <w:spacing w:after="0" w:line="360" w:lineRule="auto"/>
        <w:ind w:firstLineChars="200" w:firstLine="482"/>
        <w:rPr>
          <w:sz w:val="24"/>
        </w:rPr>
      </w:pPr>
      <w:r w:rsidRPr="00F9522B">
        <w:rPr>
          <w:b/>
          <w:bCs/>
          <w:spacing w:val="-6"/>
          <w:sz w:val="24"/>
        </w:rPr>
        <w:fldChar w:fldCharType="begin"/>
      </w:r>
      <w:r w:rsidR="00611CBA" w:rsidRPr="00F9522B">
        <w:rPr>
          <w:b/>
          <w:bCs/>
          <w:spacing w:val="-6"/>
          <w:sz w:val="24"/>
        </w:rPr>
        <w:instrText xml:space="preserve"> = 4 \* GB3 </w:instrText>
      </w:r>
      <w:r w:rsidRPr="00F9522B">
        <w:rPr>
          <w:b/>
          <w:bCs/>
          <w:spacing w:val="-6"/>
          <w:sz w:val="24"/>
        </w:rPr>
        <w:fldChar w:fldCharType="separate"/>
      </w:r>
      <w:r w:rsidR="00611CBA" w:rsidRPr="00F9522B">
        <w:rPr>
          <w:rFonts w:ascii="宋体" w:hAnsi="宋体" w:cs="宋体" w:hint="eastAsia"/>
          <w:b/>
          <w:bCs/>
          <w:spacing w:val="-6"/>
          <w:sz w:val="24"/>
        </w:rPr>
        <w:t>④</w:t>
      </w:r>
      <w:r w:rsidRPr="00F9522B">
        <w:rPr>
          <w:b/>
          <w:bCs/>
          <w:spacing w:val="-6"/>
          <w:sz w:val="24"/>
        </w:rPr>
        <w:fldChar w:fldCharType="end"/>
      </w:r>
      <w:r w:rsidR="00611CBA" w:rsidRPr="00F9522B">
        <w:rPr>
          <w:b/>
          <w:bCs/>
          <w:spacing w:val="-6"/>
          <w:sz w:val="24"/>
        </w:rPr>
        <w:t>水生维管植物</w:t>
      </w:r>
    </w:p>
    <w:p w:rsidR="002A5A5E" w:rsidRPr="00F9522B" w:rsidRDefault="00611CBA">
      <w:pPr>
        <w:pStyle w:val="ab"/>
        <w:spacing w:after="0" w:line="360" w:lineRule="auto"/>
        <w:ind w:firstLineChars="200" w:firstLine="468"/>
        <w:rPr>
          <w:sz w:val="24"/>
        </w:rPr>
      </w:pPr>
      <w:r w:rsidRPr="00F9522B">
        <w:rPr>
          <w:spacing w:val="-3"/>
          <w:sz w:val="24"/>
        </w:rPr>
        <w:t>1</w:t>
      </w:r>
      <w:r w:rsidRPr="00F9522B">
        <w:rPr>
          <w:spacing w:val="-3"/>
          <w:sz w:val="24"/>
        </w:rPr>
        <w:t>）定性样品的采集</w:t>
      </w:r>
    </w:p>
    <w:p w:rsidR="002A5A5E" w:rsidRPr="00F9522B" w:rsidRDefault="00611CBA">
      <w:pPr>
        <w:pStyle w:val="ab"/>
        <w:spacing w:after="0" w:line="360" w:lineRule="auto"/>
        <w:ind w:firstLineChars="200" w:firstLine="464"/>
        <w:rPr>
          <w:sz w:val="24"/>
        </w:rPr>
      </w:pPr>
      <w:r w:rsidRPr="00F9522B">
        <w:rPr>
          <w:spacing w:val="-4"/>
          <w:sz w:val="24"/>
        </w:rPr>
        <w:t>采集水深</w:t>
      </w:r>
      <w:r w:rsidRPr="00F9522B">
        <w:rPr>
          <w:spacing w:val="-4"/>
          <w:sz w:val="24"/>
        </w:rPr>
        <w:t>2m</w:t>
      </w:r>
      <w:r w:rsidRPr="00F9522B">
        <w:rPr>
          <w:spacing w:val="-4"/>
          <w:sz w:val="24"/>
        </w:rPr>
        <w:t>以内的物种和优势种，挺水植物用手采集；浮叶植物和</w:t>
      </w:r>
      <w:r w:rsidRPr="00F9522B">
        <w:rPr>
          <w:spacing w:val="-5"/>
          <w:sz w:val="24"/>
        </w:rPr>
        <w:t>沉水植物用</w:t>
      </w:r>
      <w:r w:rsidRPr="00F9522B">
        <w:rPr>
          <w:sz w:val="24"/>
        </w:rPr>
        <w:t>水草采集耙采集；漂浮植物直接用手或带柄手抄</w:t>
      </w:r>
      <w:r w:rsidRPr="00F9522B">
        <w:rPr>
          <w:spacing w:val="-1"/>
          <w:sz w:val="24"/>
        </w:rPr>
        <w:t>网采集。采集的样品尽量完整。</w:t>
      </w:r>
    </w:p>
    <w:p w:rsidR="002A5A5E" w:rsidRPr="00F9522B" w:rsidRDefault="00611CBA">
      <w:pPr>
        <w:pStyle w:val="ab"/>
        <w:spacing w:after="0" w:line="360" w:lineRule="auto"/>
        <w:ind w:firstLineChars="200" w:firstLine="468"/>
        <w:rPr>
          <w:sz w:val="24"/>
        </w:rPr>
      </w:pPr>
      <w:r w:rsidRPr="00F9522B">
        <w:rPr>
          <w:spacing w:val="-3"/>
          <w:sz w:val="24"/>
        </w:rPr>
        <w:t>2</w:t>
      </w:r>
      <w:r w:rsidRPr="00F9522B">
        <w:rPr>
          <w:spacing w:val="-3"/>
          <w:sz w:val="24"/>
        </w:rPr>
        <w:t>）定量样品的采集</w:t>
      </w:r>
    </w:p>
    <w:p w:rsidR="002A5A5E" w:rsidRPr="00F9522B" w:rsidRDefault="00611CBA">
      <w:pPr>
        <w:pStyle w:val="ab"/>
        <w:spacing w:after="0" w:line="360" w:lineRule="auto"/>
        <w:ind w:firstLineChars="200" w:firstLine="476"/>
        <w:rPr>
          <w:sz w:val="24"/>
        </w:rPr>
      </w:pPr>
      <w:r w:rsidRPr="00F9522B">
        <w:rPr>
          <w:spacing w:val="-1"/>
          <w:sz w:val="24"/>
        </w:rPr>
        <w:t>选择密集区、一般区和稀疏区采样。挺水植物用</w:t>
      </w:r>
      <w:r w:rsidRPr="00F9522B">
        <w:rPr>
          <w:spacing w:val="-3"/>
          <w:sz w:val="24"/>
        </w:rPr>
        <w:t>1m</w:t>
      </w:r>
      <w:r w:rsidRPr="00F9522B">
        <w:rPr>
          <w:spacing w:val="-3"/>
          <w:sz w:val="24"/>
          <w:vertAlign w:val="superscript"/>
        </w:rPr>
        <w:t>2</w:t>
      </w:r>
      <w:r w:rsidRPr="00F9522B">
        <w:rPr>
          <w:spacing w:val="-1"/>
          <w:sz w:val="24"/>
        </w:rPr>
        <w:t>采样方框采集，采集时，</w:t>
      </w:r>
      <w:r w:rsidRPr="00F9522B">
        <w:rPr>
          <w:spacing w:val="-4"/>
          <w:sz w:val="24"/>
        </w:rPr>
        <w:lastRenderedPageBreak/>
        <w:t>将方框内的全部植物从基部割取。沉水植物、浮叶植物和漂浮植物</w:t>
      </w:r>
      <w:r w:rsidRPr="00F9522B">
        <w:rPr>
          <w:spacing w:val="-5"/>
          <w:sz w:val="24"/>
        </w:rPr>
        <w:t>用采样面积为</w:t>
      </w:r>
      <w:r w:rsidRPr="00F9522B">
        <w:rPr>
          <w:spacing w:val="-5"/>
          <w:sz w:val="24"/>
        </w:rPr>
        <w:t>0.25</w:t>
      </w:r>
      <w:r w:rsidRPr="00F9522B">
        <w:rPr>
          <w:spacing w:val="-3"/>
          <w:sz w:val="24"/>
        </w:rPr>
        <w:t>m</w:t>
      </w:r>
      <w:r w:rsidRPr="00F9522B">
        <w:rPr>
          <w:spacing w:val="-3"/>
          <w:sz w:val="24"/>
          <w:vertAlign w:val="superscript"/>
        </w:rPr>
        <w:t>2</w:t>
      </w:r>
      <w:r w:rsidRPr="00F9522B">
        <w:rPr>
          <w:spacing w:val="-2"/>
          <w:sz w:val="24"/>
        </w:rPr>
        <w:t>的水草定量夹采集。每个断面采集</w:t>
      </w:r>
      <w:r w:rsidRPr="00F9522B">
        <w:rPr>
          <w:spacing w:val="-2"/>
          <w:sz w:val="24"/>
        </w:rPr>
        <w:t xml:space="preserve">2 </w:t>
      </w:r>
      <w:r w:rsidRPr="00F9522B">
        <w:rPr>
          <w:spacing w:val="-2"/>
          <w:sz w:val="24"/>
        </w:rPr>
        <w:t>个平行样品。</w:t>
      </w:r>
    </w:p>
    <w:p w:rsidR="002A5A5E" w:rsidRPr="00F9522B" w:rsidRDefault="005273A1" w:rsidP="00611CBA">
      <w:pPr>
        <w:pStyle w:val="ab"/>
        <w:spacing w:after="0" w:line="360" w:lineRule="auto"/>
        <w:ind w:firstLineChars="200" w:firstLine="482"/>
        <w:rPr>
          <w:b/>
          <w:bCs/>
          <w:spacing w:val="-11"/>
          <w:sz w:val="24"/>
        </w:rPr>
      </w:pPr>
      <w:r w:rsidRPr="00F9522B">
        <w:rPr>
          <w:b/>
          <w:bCs/>
          <w:spacing w:val="-11"/>
          <w:sz w:val="24"/>
        </w:rPr>
        <w:fldChar w:fldCharType="begin"/>
      </w:r>
      <w:r w:rsidR="00611CBA" w:rsidRPr="00F9522B">
        <w:rPr>
          <w:b/>
          <w:bCs/>
          <w:spacing w:val="-11"/>
          <w:sz w:val="24"/>
        </w:rPr>
        <w:instrText xml:space="preserve"> = 5 \* GB3 </w:instrText>
      </w:r>
      <w:r w:rsidRPr="00F9522B">
        <w:rPr>
          <w:b/>
          <w:bCs/>
          <w:spacing w:val="-11"/>
          <w:sz w:val="24"/>
        </w:rPr>
        <w:fldChar w:fldCharType="separate"/>
      </w:r>
      <w:r w:rsidR="00611CBA" w:rsidRPr="00F9522B">
        <w:rPr>
          <w:rFonts w:ascii="宋体" w:hAnsi="宋体" w:cs="宋体" w:hint="eastAsia"/>
          <w:b/>
          <w:bCs/>
          <w:spacing w:val="-11"/>
          <w:sz w:val="24"/>
        </w:rPr>
        <w:t>⑤</w:t>
      </w:r>
      <w:r w:rsidRPr="00F9522B">
        <w:rPr>
          <w:b/>
          <w:bCs/>
          <w:spacing w:val="-11"/>
          <w:sz w:val="24"/>
        </w:rPr>
        <w:fldChar w:fldCharType="end"/>
      </w:r>
      <w:r w:rsidR="00611CBA" w:rsidRPr="00F9522B">
        <w:rPr>
          <w:b/>
          <w:bCs/>
          <w:spacing w:val="-11"/>
          <w:sz w:val="24"/>
        </w:rPr>
        <w:t>鱼类</w:t>
      </w:r>
    </w:p>
    <w:p w:rsidR="002A5A5E" w:rsidRPr="00F9522B" w:rsidRDefault="00611CBA">
      <w:pPr>
        <w:pStyle w:val="ab"/>
        <w:spacing w:after="0" w:line="360" w:lineRule="auto"/>
        <w:ind w:firstLineChars="200" w:firstLine="468"/>
        <w:rPr>
          <w:sz w:val="24"/>
        </w:rPr>
      </w:pPr>
      <w:r w:rsidRPr="00F9522B">
        <w:rPr>
          <w:spacing w:val="-3"/>
          <w:sz w:val="24"/>
        </w:rPr>
        <w:t>1</w:t>
      </w:r>
      <w:r w:rsidRPr="00F9522B">
        <w:rPr>
          <w:spacing w:val="-3"/>
          <w:sz w:val="24"/>
        </w:rPr>
        <w:t>）资料收集</w:t>
      </w:r>
    </w:p>
    <w:p w:rsidR="002A5A5E" w:rsidRPr="00F9522B" w:rsidRDefault="00611CBA">
      <w:pPr>
        <w:pStyle w:val="ab"/>
        <w:spacing w:after="0" w:line="360" w:lineRule="auto"/>
        <w:ind w:firstLineChars="200" w:firstLine="480"/>
        <w:rPr>
          <w:sz w:val="24"/>
        </w:rPr>
      </w:pPr>
      <w:r w:rsidRPr="00F9522B">
        <w:rPr>
          <w:sz w:val="24"/>
        </w:rPr>
        <w:t>选用二十世纪八十年代作为历史基点。调查</w:t>
      </w:r>
      <w:r w:rsidR="00F018EC" w:rsidRPr="00F9522B">
        <w:rPr>
          <w:sz w:val="24"/>
        </w:rPr>
        <w:t>松花江</w:t>
      </w:r>
      <w:r w:rsidRPr="00F9522B">
        <w:rPr>
          <w:sz w:val="24"/>
        </w:rPr>
        <w:t>鱼类</w:t>
      </w:r>
      <w:r w:rsidRPr="00F9522B">
        <w:rPr>
          <w:spacing w:val="-1"/>
          <w:sz w:val="24"/>
        </w:rPr>
        <w:t>历史调查数据或文献，</w:t>
      </w:r>
      <w:r w:rsidRPr="00F9522B">
        <w:rPr>
          <w:sz w:val="24"/>
        </w:rPr>
        <w:t xml:space="preserve"> </w:t>
      </w:r>
      <w:r w:rsidRPr="00F9522B">
        <w:rPr>
          <w:sz w:val="24"/>
        </w:rPr>
        <w:t>主要参考</w:t>
      </w:r>
      <w:r w:rsidR="008C3325" w:rsidRPr="00F9522B">
        <w:rPr>
          <w:sz w:val="24"/>
        </w:rPr>
        <w:t>《松花江哈尔滨城区段百里生态长廊总体规划》《松花江干流治理环境影响报告书》</w:t>
      </w:r>
      <w:r w:rsidR="00D966E2" w:rsidRPr="00F9522B">
        <w:rPr>
          <w:sz w:val="24"/>
        </w:rPr>
        <w:t>《东北地区淡水鱼类》</w:t>
      </w:r>
      <w:r w:rsidRPr="00F9522B">
        <w:rPr>
          <w:sz w:val="24"/>
        </w:rPr>
        <w:t>《黑龙江省鱼类志</w:t>
      </w:r>
      <w:r w:rsidRPr="00F9522B">
        <w:rPr>
          <w:spacing w:val="-1"/>
          <w:sz w:val="24"/>
        </w:rPr>
        <w:t>》《黑龙江水系（包括辽河</w:t>
      </w:r>
      <w:r w:rsidRPr="00F9522B">
        <w:rPr>
          <w:sz w:val="24"/>
        </w:rPr>
        <w:t>水系及鸭绿江水系）渔业资源调查报告》等，基于历</w:t>
      </w:r>
      <w:r w:rsidRPr="00F9522B">
        <w:rPr>
          <w:spacing w:val="-1"/>
          <w:sz w:val="24"/>
        </w:rPr>
        <w:t>史调查数据分析统计评价河流</w:t>
      </w:r>
      <w:r w:rsidRPr="00F9522B">
        <w:rPr>
          <w:sz w:val="24"/>
        </w:rPr>
        <w:t xml:space="preserve"> </w:t>
      </w:r>
      <w:r w:rsidRPr="00F9522B">
        <w:rPr>
          <w:sz w:val="24"/>
        </w:rPr>
        <w:t>的鱼类种类数，在此基础上，开展专家咨询调查，确</w:t>
      </w:r>
      <w:r w:rsidRPr="00F9522B">
        <w:rPr>
          <w:spacing w:val="-1"/>
          <w:sz w:val="24"/>
        </w:rPr>
        <w:t>定河流所在水生态分区的鱼类</w:t>
      </w:r>
      <w:r w:rsidRPr="00F9522B">
        <w:rPr>
          <w:sz w:val="24"/>
        </w:rPr>
        <w:t>历史背景状况，建立鱼类指标调查评估预期。采取实</w:t>
      </w:r>
      <w:r w:rsidRPr="00F9522B">
        <w:rPr>
          <w:spacing w:val="-1"/>
          <w:sz w:val="24"/>
        </w:rPr>
        <w:t>地踏勘、走访等方式，获取第</w:t>
      </w:r>
      <w:r w:rsidRPr="00F9522B">
        <w:rPr>
          <w:spacing w:val="-3"/>
          <w:sz w:val="24"/>
        </w:rPr>
        <w:t>一手资料。</w:t>
      </w:r>
    </w:p>
    <w:p w:rsidR="002A5A5E" w:rsidRPr="00F9522B" w:rsidRDefault="00611CBA">
      <w:pPr>
        <w:pStyle w:val="ab"/>
        <w:spacing w:after="0" w:line="360" w:lineRule="auto"/>
        <w:ind w:firstLineChars="200" w:firstLine="468"/>
        <w:rPr>
          <w:sz w:val="24"/>
        </w:rPr>
      </w:pPr>
      <w:r w:rsidRPr="00F9522B">
        <w:rPr>
          <w:spacing w:val="-3"/>
          <w:sz w:val="24"/>
        </w:rPr>
        <w:t>2</w:t>
      </w:r>
      <w:r w:rsidRPr="00F9522B">
        <w:rPr>
          <w:spacing w:val="-3"/>
          <w:sz w:val="24"/>
        </w:rPr>
        <w:t>）鱼类区系组成</w:t>
      </w:r>
    </w:p>
    <w:p w:rsidR="002A5A5E" w:rsidRPr="00F9522B" w:rsidRDefault="00611CBA">
      <w:pPr>
        <w:pStyle w:val="ab"/>
        <w:spacing w:after="0" w:line="360" w:lineRule="auto"/>
        <w:ind w:firstLineChars="200" w:firstLine="480"/>
        <w:rPr>
          <w:sz w:val="24"/>
        </w:rPr>
      </w:pPr>
      <w:r w:rsidRPr="00F9522B">
        <w:rPr>
          <w:sz w:val="24"/>
        </w:rPr>
        <w:t>根据鱼类区系的调查方法，采取定点捕捞、市场收集</w:t>
      </w:r>
      <w:r w:rsidRPr="00F9522B">
        <w:rPr>
          <w:spacing w:val="-1"/>
          <w:sz w:val="24"/>
        </w:rPr>
        <w:t>、走访相结合的方法，对</w:t>
      </w:r>
      <w:r w:rsidRPr="00F9522B">
        <w:rPr>
          <w:sz w:val="24"/>
        </w:rPr>
        <w:t>保护区调查范围内的鱼类资源进行全面调查，采集鱼类标</w:t>
      </w:r>
      <w:r w:rsidRPr="00F9522B">
        <w:rPr>
          <w:spacing w:val="-1"/>
          <w:sz w:val="24"/>
        </w:rPr>
        <w:t>本，搜集有关的历史文献</w:t>
      </w:r>
      <w:r w:rsidRPr="00F9522B">
        <w:rPr>
          <w:sz w:val="24"/>
        </w:rPr>
        <w:t>资料。通过对标本的分类鉴定，历史资料的分析整理，依</w:t>
      </w:r>
      <w:r w:rsidRPr="00F9522B">
        <w:rPr>
          <w:spacing w:val="-1"/>
          <w:sz w:val="24"/>
        </w:rPr>
        <w:t>分类学的方法研究鱼类的</w:t>
      </w:r>
      <w:r w:rsidRPr="00F9522B">
        <w:rPr>
          <w:sz w:val="24"/>
        </w:rPr>
        <w:t>种属名称、地位、种类组成、地理分布及其种类演变情况</w:t>
      </w:r>
      <w:r w:rsidRPr="00F9522B">
        <w:rPr>
          <w:spacing w:val="-1"/>
          <w:sz w:val="24"/>
        </w:rPr>
        <w:t>，编制出鱼类种类组成名</w:t>
      </w:r>
      <w:r w:rsidRPr="00F9522B">
        <w:rPr>
          <w:spacing w:val="-5"/>
          <w:sz w:val="24"/>
        </w:rPr>
        <w:t>录。</w:t>
      </w:r>
    </w:p>
    <w:p w:rsidR="002A5A5E" w:rsidRPr="00F9522B" w:rsidRDefault="00611CBA">
      <w:pPr>
        <w:pStyle w:val="ab"/>
        <w:spacing w:after="0" w:line="360" w:lineRule="auto"/>
        <w:ind w:firstLineChars="200" w:firstLine="468"/>
        <w:rPr>
          <w:sz w:val="24"/>
        </w:rPr>
      </w:pPr>
      <w:r w:rsidRPr="00F9522B">
        <w:rPr>
          <w:spacing w:val="-3"/>
          <w:sz w:val="24"/>
        </w:rPr>
        <w:t>3</w:t>
      </w:r>
      <w:r w:rsidRPr="00F9522B">
        <w:rPr>
          <w:spacing w:val="-3"/>
          <w:sz w:val="24"/>
        </w:rPr>
        <w:t>）鱼类资源现状</w:t>
      </w:r>
    </w:p>
    <w:p w:rsidR="002A5A5E" w:rsidRPr="00F9522B" w:rsidRDefault="00611CBA">
      <w:pPr>
        <w:pStyle w:val="ab"/>
        <w:spacing w:after="0" w:line="360" w:lineRule="auto"/>
        <w:ind w:firstLineChars="200" w:firstLine="480"/>
        <w:rPr>
          <w:sz w:val="24"/>
        </w:rPr>
      </w:pPr>
      <w:r w:rsidRPr="00F9522B">
        <w:rPr>
          <w:sz w:val="24"/>
        </w:rPr>
        <w:t>鱼类资源量的调查采取社会捕捞渔获物统计</w:t>
      </w:r>
      <w:r w:rsidRPr="00F9522B">
        <w:rPr>
          <w:spacing w:val="-1"/>
          <w:sz w:val="24"/>
        </w:rPr>
        <w:t>分析，结合现场调查取样进行。采</w:t>
      </w:r>
      <w:r w:rsidRPr="00F9522B">
        <w:rPr>
          <w:sz w:val="24"/>
        </w:rPr>
        <w:t xml:space="preserve"> </w:t>
      </w:r>
      <w:r w:rsidRPr="00F9522B">
        <w:rPr>
          <w:sz w:val="24"/>
        </w:rPr>
        <w:t>用访问调查和统计表调查方法，调查资源量和渔获量。向</w:t>
      </w:r>
      <w:r w:rsidRPr="00F9522B">
        <w:rPr>
          <w:spacing w:val="-1"/>
          <w:sz w:val="24"/>
        </w:rPr>
        <w:t>当地渔业主管部门、渔政</w:t>
      </w:r>
      <w:r w:rsidRPr="00F9522B">
        <w:rPr>
          <w:sz w:val="24"/>
        </w:rPr>
        <w:t xml:space="preserve"> </w:t>
      </w:r>
      <w:r w:rsidRPr="00F9522B">
        <w:rPr>
          <w:sz w:val="24"/>
        </w:rPr>
        <w:t>管理部门及渔民调查了解渔业资源现状以及鱼类资源管理</w:t>
      </w:r>
      <w:r w:rsidRPr="00F9522B">
        <w:rPr>
          <w:spacing w:val="-1"/>
          <w:sz w:val="24"/>
        </w:rPr>
        <w:t>中存在的问题。对渔获物</w:t>
      </w:r>
      <w:r w:rsidRPr="00F9522B">
        <w:rPr>
          <w:sz w:val="24"/>
        </w:rPr>
        <w:t xml:space="preserve"> </w:t>
      </w:r>
      <w:r w:rsidRPr="00F9522B">
        <w:rPr>
          <w:sz w:val="24"/>
        </w:rPr>
        <w:t>资料进行整理分析，得出各站点主要捕捞对象及其在渔获</w:t>
      </w:r>
      <w:r w:rsidRPr="00F9522B">
        <w:rPr>
          <w:spacing w:val="-1"/>
          <w:sz w:val="24"/>
        </w:rPr>
        <w:t>物中所占比重，以判断鱼</w:t>
      </w:r>
      <w:r w:rsidRPr="00F9522B">
        <w:rPr>
          <w:spacing w:val="-2"/>
          <w:sz w:val="24"/>
        </w:rPr>
        <w:t>类资源状况。</w:t>
      </w:r>
    </w:p>
    <w:p w:rsidR="002A5A5E" w:rsidRPr="00F9522B" w:rsidRDefault="00250C31">
      <w:pPr>
        <w:pStyle w:val="2fa"/>
        <w:ind w:firstLineChars="0" w:firstLine="480"/>
        <w:contextualSpacing/>
        <w:rPr>
          <w:rFonts w:ascii="Times New Roman" w:hAnsi="Times New Roman" w:cs="Times New Roman"/>
          <w:b/>
          <w:smallCaps/>
          <w:szCs w:val="24"/>
        </w:rPr>
      </w:pPr>
      <w:r w:rsidRPr="00F9522B">
        <w:rPr>
          <w:rFonts w:ascii="Times New Roman" w:hAnsi="Times New Roman" w:cs="Times New Roman"/>
          <w:b/>
          <w:lang w:bidi="en-US"/>
        </w:rPr>
        <w:t>（</w:t>
      </w:r>
      <w:r w:rsidRPr="00F9522B">
        <w:rPr>
          <w:rFonts w:ascii="Times New Roman" w:hAnsi="Times New Roman" w:cs="Times New Roman"/>
          <w:b/>
          <w:lang w:bidi="en-US"/>
        </w:rPr>
        <w:t>3</w:t>
      </w:r>
      <w:r w:rsidRPr="00F9522B">
        <w:rPr>
          <w:rFonts w:ascii="Times New Roman" w:hAnsi="Times New Roman" w:cs="Times New Roman"/>
          <w:b/>
          <w:lang w:bidi="en-US"/>
        </w:rPr>
        <w:t>）</w:t>
      </w:r>
      <w:r w:rsidR="00611CBA" w:rsidRPr="00F9522B">
        <w:rPr>
          <w:rFonts w:ascii="Times New Roman" w:hAnsi="Times New Roman" w:cs="Times New Roman"/>
          <w:b/>
          <w:lang w:bidi="en-US"/>
        </w:rPr>
        <w:t>现状调查内容</w:t>
      </w:r>
    </w:p>
    <w:p w:rsidR="002A5A5E" w:rsidRPr="00F9522B" w:rsidRDefault="00611CBA">
      <w:pPr>
        <w:pStyle w:val="2fa"/>
        <w:ind w:firstLine="480"/>
        <w:contextualSpacing/>
        <w:rPr>
          <w:rFonts w:ascii="Times New Roman" w:hAnsi="Times New Roman" w:cs="Times New Roman"/>
          <w:smallCaps/>
          <w:szCs w:val="24"/>
        </w:rPr>
      </w:pPr>
      <w:r w:rsidRPr="00F9522B">
        <w:rPr>
          <w:rFonts w:ascii="Times New Roman" w:hAnsi="Times New Roman" w:cs="Times New Roman"/>
          <w:smallCaps/>
          <w:szCs w:val="24"/>
        </w:rPr>
        <w:t>评价水域</w:t>
      </w:r>
      <w:r w:rsidR="004951B9" w:rsidRPr="00F9522B">
        <w:rPr>
          <w:rFonts w:ascii="Times New Roman" w:hAnsi="Times New Roman" w:cs="Times New Roman"/>
          <w:smallCaps/>
          <w:szCs w:val="24"/>
        </w:rPr>
        <w:t>松花江</w:t>
      </w:r>
      <w:r w:rsidRPr="00F9522B">
        <w:rPr>
          <w:rFonts w:ascii="Times New Roman" w:hAnsi="Times New Roman" w:cs="Times New Roman"/>
          <w:smallCaps/>
          <w:szCs w:val="24"/>
        </w:rPr>
        <w:t>区域鱼类、浮游生物、底栖动物和水生维管植物资</w:t>
      </w:r>
      <w:r w:rsidRPr="00F9522B">
        <w:rPr>
          <w:rFonts w:ascii="Times New Roman" w:hAnsi="Times New Roman" w:cs="Times New Roman"/>
          <w:smallCaps/>
          <w:szCs w:val="24"/>
        </w:rPr>
        <w:t xml:space="preserve"> </w:t>
      </w:r>
      <w:r w:rsidRPr="00F9522B">
        <w:rPr>
          <w:rFonts w:ascii="Times New Roman" w:hAnsi="Times New Roman" w:cs="Times New Roman"/>
          <w:smallCaps/>
          <w:szCs w:val="24"/>
        </w:rPr>
        <w:t>源现状调查共计</w:t>
      </w:r>
      <w:r w:rsidRPr="00F9522B">
        <w:rPr>
          <w:rFonts w:ascii="Times New Roman" w:hAnsi="Times New Roman" w:cs="Times New Roman"/>
          <w:smallCaps/>
          <w:szCs w:val="24"/>
        </w:rPr>
        <w:t xml:space="preserve"> 2 </w:t>
      </w:r>
      <w:r w:rsidRPr="00F9522B">
        <w:rPr>
          <w:rFonts w:ascii="Times New Roman" w:hAnsi="Times New Roman" w:cs="Times New Roman"/>
          <w:smallCaps/>
          <w:szCs w:val="24"/>
        </w:rPr>
        <w:t>次，调查时间为</w:t>
      </w:r>
      <w:r w:rsidRPr="00F9522B">
        <w:rPr>
          <w:rFonts w:ascii="Times New Roman" w:hAnsi="Times New Roman" w:cs="Times New Roman"/>
          <w:smallCaps/>
          <w:szCs w:val="24"/>
        </w:rPr>
        <w:t>2025</w:t>
      </w:r>
      <w:r w:rsidRPr="00F9522B">
        <w:rPr>
          <w:rFonts w:ascii="Times New Roman" w:hAnsi="Times New Roman" w:cs="Times New Roman"/>
          <w:smallCaps/>
          <w:szCs w:val="24"/>
        </w:rPr>
        <w:t>年</w:t>
      </w:r>
      <w:r w:rsidR="001610F7" w:rsidRPr="00F9522B">
        <w:rPr>
          <w:rFonts w:ascii="Times New Roman" w:hAnsi="Times New Roman" w:cs="Times New Roman"/>
          <w:smallCaps/>
          <w:szCs w:val="24"/>
        </w:rPr>
        <w:t>10</w:t>
      </w:r>
      <w:r w:rsidRPr="00F9522B">
        <w:rPr>
          <w:rFonts w:ascii="Times New Roman" w:hAnsi="Times New Roman" w:cs="Times New Roman"/>
          <w:smallCaps/>
          <w:szCs w:val="24"/>
        </w:rPr>
        <w:t>月和</w:t>
      </w:r>
      <w:r w:rsidR="001610F7" w:rsidRPr="00F9522B">
        <w:rPr>
          <w:rFonts w:ascii="Times New Roman" w:hAnsi="Times New Roman" w:cs="Times New Roman"/>
          <w:smallCaps/>
          <w:szCs w:val="24"/>
        </w:rPr>
        <w:t>2026</w:t>
      </w:r>
      <w:r w:rsidR="001610F7" w:rsidRPr="00F9522B">
        <w:rPr>
          <w:rFonts w:ascii="Times New Roman" w:hAnsi="Times New Roman" w:cs="Times New Roman"/>
          <w:smallCaps/>
          <w:szCs w:val="24"/>
        </w:rPr>
        <w:t>年</w:t>
      </w:r>
      <w:r w:rsidR="001610F7" w:rsidRPr="00F9522B">
        <w:rPr>
          <w:rFonts w:ascii="Times New Roman" w:hAnsi="Times New Roman" w:cs="Times New Roman"/>
          <w:smallCaps/>
          <w:szCs w:val="24"/>
        </w:rPr>
        <w:t>5</w:t>
      </w:r>
      <w:r w:rsidRPr="00F9522B">
        <w:rPr>
          <w:rFonts w:ascii="Times New Roman" w:hAnsi="Times New Roman" w:cs="Times New Roman"/>
          <w:smallCaps/>
          <w:szCs w:val="24"/>
        </w:rPr>
        <w:t>月。</w:t>
      </w:r>
    </w:p>
    <w:p w:rsidR="002A5A5E" w:rsidRPr="00F9522B" w:rsidRDefault="00611CBA">
      <w:pPr>
        <w:pStyle w:val="2fa"/>
        <w:ind w:firstLine="480"/>
        <w:contextualSpacing/>
        <w:rPr>
          <w:rFonts w:ascii="Times New Roman" w:hAnsi="Times New Roman" w:cs="Times New Roman"/>
          <w:smallCaps/>
        </w:rPr>
      </w:pPr>
      <w:r w:rsidRPr="00F9522B">
        <w:rPr>
          <w:rFonts w:ascii="Times New Roman" w:hAnsi="Times New Roman" w:cs="Times New Roman"/>
          <w:smallCaps/>
        </w:rPr>
        <w:t>根据控制性、代表性原则，水生生物调查布设</w:t>
      </w:r>
      <w:r w:rsidRPr="00F9522B">
        <w:rPr>
          <w:rFonts w:ascii="Times New Roman" w:hAnsi="Times New Roman" w:cs="Times New Roman"/>
          <w:smallCaps/>
        </w:rPr>
        <w:t>2</w:t>
      </w:r>
      <w:r w:rsidRPr="00F9522B">
        <w:rPr>
          <w:rFonts w:ascii="Times New Roman" w:hAnsi="Times New Roman" w:cs="Times New Roman"/>
          <w:smallCaps/>
        </w:rPr>
        <w:t>个监测断面（本项目</w:t>
      </w:r>
      <w:r w:rsidR="00900D2B" w:rsidRPr="00F9522B">
        <w:rPr>
          <w:rFonts w:ascii="Times New Roman" w:hAnsi="Times New Roman" w:cs="Times New Roman"/>
          <w:smallCaps/>
        </w:rPr>
        <w:t>公家沟农田退水入</w:t>
      </w:r>
      <w:r w:rsidR="005C6DFD" w:rsidRPr="00F9522B">
        <w:rPr>
          <w:rFonts w:ascii="Times New Roman" w:hAnsi="Times New Roman" w:cs="Times New Roman"/>
          <w:smallCaps/>
        </w:rPr>
        <w:t>松花江</w:t>
      </w:r>
      <w:r w:rsidR="00900D2B" w:rsidRPr="00F9522B">
        <w:rPr>
          <w:rFonts w:ascii="Times New Roman" w:hAnsi="Times New Roman" w:cs="Times New Roman"/>
          <w:smallCaps/>
        </w:rPr>
        <w:t>口及下游</w:t>
      </w:r>
      <w:r w:rsidR="00900D2B" w:rsidRPr="00F9522B">
        <w:rPr>
          <w:rFonts w:ascii="Times New Roman" w:hAnsi="Times New Roman" w:cs="Times New Roman"/>
          <w:smallCaps/>
        </w:rPr>
        <w:t>1000</w:t>
      </w:r>
      <w:r w:rsidR="00900D2B" w:rsidRPr="00F9522B">
        <w:rPr>
          <w:rFonts w:ascii="Times New Roman" w:hAnsi="Times New Roman" w:cs="Times New Roman"/>
          <w:smallCaps/>
        </w:rPr>
        <w:t>米</w:t>
      </w:r>
      <w:r w:rsidRPr="00F9522B">
        <w:rPr>
          <w:rFonts w:ascii="Times New Roman" w:hAnsi="Times New Roman" w:cs="Times New Roman"/>
          <w:smallCaps/>
        </w:rPr>
        <w:t>），鱼类资源量、鱼</w:t>
      </w:r>
      <w:r w:rsidRPr="00F9522B">
        <w:rPr>
          <w:rFonts w:ascii="Times New Roman" w:hAnsi="Times New Roman" w:cs="Times New Roman"/>
          <w:smallCaps/>
        </w:rPr>
        <w:t xml:space="preserve"> </w:t>
      </w:r>
      <w:r w:rsidRPr="00F9522B">
        <w:rPr>
          <w:rFonts w:ascii="Times New Roman" w:hAnsi="Times New Roman" w:cs="Times New Roman"/>
          <w:smallCaps/>
        </w:rPr>
        <w:t>类生物学特性调查及渔获物统计分析以现场和调查走访为主。捕捞工具为地笼和刺网，鱼类</w:t>
      </w:r>
      <w:r w:rsidRPr="00F9522B">
        <w:rPr>
          <w:rFonts w:ascii="Times New Roman" w:hAnsi="Times New Roman" w:cs="Times New Roman"/>
          <w:smallCaps/>
        </w:rPr>
        <w:t>“</w:t>
      </w:r>
      <w:r w:rsidRPr="00F9522B">
        <w:rPr>
          <w:rFonts w:ascii="Times New Roman" w:hAnsi="Times New Roman" w:cs="Times New Roman"/>
          <w:smallCaps/>
        </w:rPr>
        <w:t>三场一通</w:t>
      </w:r>
      <w:r w:rsidRPr="00F9522B">
        <w:rPr>
          <w:rFonts w:ascii="Times New Roman" w:hAnsi="Times New Roman" w:cs="Times New Roman"/>
          <w:smallCaps/>
        </w:rPr>
        <w:lastRenderedPageBreak/>
        <w:t>道</w:t>
      </w:r>
      <w:r w:rsidRPr="00F9522B">
        <w:rPr>
          <w:rFonts w:ascii="Times New Roman" w:hAnsi="Times New Roman" w:cs="Times New Roman"/>
          <w:smallCaps/>
        </w:rPr>
        <w:t>”</w:t>
      </w:r>
      <w:r w:rsidRPr="00F9522B">
        <w:rPr>
          <w:rFonts w:ascii="Times New Roman" w:hAnsi="Times New Roman" w:cs="Times New Roman"/>
          <w:smallCaps/>
        </w:rPr>
        <w:t>调查为现场调查结合河道形态及相关人员走访，结合历史资料作为参考。</w:t>
      </w:r>
    </w:p>
    <w:p w:rsidR="00250C31" w:rsidRPr="00F9522B" w:rsidRDefault="00250C31" w:rsidP="00250C31">
      <w:pPr>
        <w:pStyle w:val="2fa"/>
        <w:ind w:firstLine="482"/>
        <w:contextualSpacing/>
        <w:rPr>
          <w:rFonts w:ascii="Times New Roman" w:hAnsi="Times New Roman" w:cs="Times New Roman"/>
          <w:b/>
          <w:bCs/>
          <w:smallCaps/>
        </w:rPr>
      </w:pPr>
      <w:r w:rsidRPr="00F9522B">
        <w:rPr>
          <w:rFonts w:ascii="Times New Roman" w:hAnsi="Times New Roman" w:cs="Times New Roman"/>
          <w:b/>
          <w:bCs/>
          <w:smallCaps/>
        </w:rPr>
        <w:t>1</w:t>
      </w:r>
      <w:r w:rsidRPr="00F9522B">
        <w:rPr>
          <w:rFonts w:ascii="Times New Roman" w:hAnsi="Times New Roman" w:cs="Times New Roman"/>
          <w:b/>
          <w:bCs/>
          <w:smallCaps/>
        </w:rPr>
        <w:t>）</w:t>
      </w:r>
      <w:r w:rsidR="00611CBA" w:rsidRPr="00F9522B">
        <w:rPr>
          <w:rFonts w:ascii="Times New Roman" w:hAnsi="Times New Roman" w:cs="Times New Roman"/>
          <w:b/>
          <w:bCs/>
          <w:smallCaps/>
        </w:rPr>
        <w:t>浮游植物</w:t>
      </w:r>
    </w:p>
    <w:p w:rsidR="002A5A5E" w:rsidRPr="00F9522B" w:rsidRDefault="005273A1" w:rsidP="00250C31">
      <w:pPr>
        <w:pStyle w:val="2fa"/>
        <w:ind w:firstLine="482"/>
        <w:contextualSpacing/>
        <w:rPr>
          <w:rFonts w:ascii="Times New Roman" w:hAnsi="Times New Roman" w:cs="Times New Roman"/>
          <w:b/>
          <w:smallCaps/>
        </w:rPr>
      </w:pPr>
      <w:r w:rsidRPr="00F9522B">
        <w:rPr>
          <w:rFonts w:ascii="Times New Roman" w:hAnsi="Times New Roman" w:cs="Times New Roman"/>
          <w:b/>
          <w:bCs/>
          <w:smallCaps/>
        </w:rPr>
        <w:fldChar w:fldCharType="begin"/>
      </w:r>
      <w:r w:rsidR="00250C31" w:rsidRPr="00F9522B">
        <w:rPr>
          <w:rFonts w:ascii="Times New Roman" w:hAnsi="Times New Roman" w:cs="Times New Roman"/>
          <w:b/>
          <w:bCs/>
          <w:smallCaps/>
        </w:rPr>
        <w:instrText xml:space="preserve"> = 1 \* GB3 </w:instrText>
      </w:r>
      <w:r w:rsidRPr="00F9522B">
        <w:rPr>
          <w:rFonts w:ascii="Times New Roman" w:hAnsi="Times New Roman" w:cs="Times New Roman"/>
          <w:b/>
          <w:bCs/>
          <w:smallCaps/>
        </w:rPr>
        <w:fldChar w:fldCharType="separate"/>
      </w:r>
      <w:r w:rsidR="00250C31" w:rsidRPr="00F9522B">
        <w:rPr>
          <w:rFonts w:eastAsia="宋体" w:cs="宋体" w:hint="eastAsia"/>
          <w:b/>
          <w:bCs/>
          <w:smallCaps/>
        </w:rPr>
        <w:t>①</w:t>
      </w:r>
      <w:r w:rsidRPr="00F9522B">
        <w:rPr>
          <w:rFonts w:ascii="Times New Roman" w:hAnsi="Times New Roman" w:cs="Times New Roman"/>
          <w:b/>
          <w:bCs/>
          <w:smallCaps/>
        </w:rPr>
        <w:fldChar w:fldCharType="end"/>
      </w:r>
      <w:r w:rsidR="00611CBA" w:rsidRPr="00F9522B">
        <w:rPr>
          <w:rFonts w:ascii="Times New Roman" w:hAnsi="Times New Roman" w:cs="Times New Roman"/>
          <w:b/>
          <w:bCs/>
          <w:smallCaps/>
        </w:rPr>
        <w:t>种类组成</w:t>
      </w:r>
    </w:p>
    <w:p w:rsidR="002A5A5E" w:rsidRPr="00F9522B" w:rsidRDefault="00611CBA">
      <w:pPr>
        <w:pStyle w:val="2fa"/>
        <w:ind w:firstLine="480"/>
        <w:contextualSpacing/>
        <w:rPr>
          <w:rFonts w:ascii="Times New Roman" w:hAnsi="Times New Roman" w:cs="Times New Roman"/>
          <w:smallCaps/>
        </w:rPr>
      </w:pPr>
      <w:r w:rsidRPr="00F9522B">
        <w:rPr>
          <w:rFonts w:ascii="Times New Roman" w:hAnsi="Times New Roman" w:cs="Times New Roman"/>
          <w:smallCaps/>
        </w:rPr>
        <w:t>调查期间，评价水域浮游植物经鉴定共计</w:t>
      </w:r>
      <w:r w:rsidRPr="00F9522B">
        <w:rPr>
          <w:rFonts w:ascii="Times New Roman" w:hAnsi="Times New Roman" w:cs="Times New Roman"/>
          <w:smallCaps/>
        </w:rPr>
        <w:t xml:space="preserve">7 </w:t>
      </w:r>
      <w:r w:rsidRPr="00F9522B">
        <w:rPr>
          <w:rFonts w:ascii="Times New Roman" w:hAnsi="Times New Roman" w:cs="Times New Roman"/>
          <w:smallCaps/>
        </w:rPr>
        <w:t>门</w:t>
      </w:r>
      <w:r w:rsidR="002912CD" w:rsidRPr="00F9522B">
        <w:rPr>
          <w:rFonts w:ascii="Times New Roman" w:hAnsi="Times New Roman" w:cs="Times New Roman"/>
          <w:smallCaps/>
        </w:rPr>
        <w:t>38</w:t>
      </w:r>
      <w:r w:rsidRPr="00F9522B">
        <w:rPr>
          <w:rFonts w:ascii="Times New Roman" w:hAnsi="Times New Roman" w:cs="Times New Roman"/>
          <w:smallCaps/>
        </w:rPr>
        <w:t>种属。其中，绿藻门最多为</w:t>
      </w:r>
      <w:r w:rsidRPr="00F9522B">
        <w:rPr>
          <w:rFonts w:ascii="Times New Roman" w:hAnsi="Times New Roman" w:cs="Times New Roman"/>
          <w:smallCaps/>
        </w:rPr>
        <w:t>14</w:t>
      </w:r>
      <w:r w:rsidRPr="00F9522B">
        <w:rPr>
          <w:rFonts w:ascii="Times New Roman" w:hAnsi="Times New Roman" w:cs="Times New Roman"/>
          <w:smallCaps/>
        </w:rPr>
        <w:t>种属，硅藻门次之为</w:t>
      </w:r>
      <w:r w:rsidRPr="00F9522B">
        <w:rPr>
          <w:rFonts w:ascii="Times New Roman" w:hAnsi="Times New Roman" w:cs="Times New Roman"/>
          <w:smallCaps/>
        </w:rPr>
        <w:t>1</w:t>
      </w:r>
      <w:r w:rsidR="002912CD" w:rsidRPr="00F9522B">
        <w:rPr>
          <w:rFonts w:ascii="Times New Roman" w:hAnsi="Times New Roman" w:cs="Times New Roman"/>
          <w:smallCaps/>
        </w:rPr>
        <w:t>3</w:t>
      </w:r>
      <w:r w:rsidRPr="00F9522B">
        <w:rPr>
          <w:rFonts w:ascii="Times New Roman" w:hAnsi="Times New Roman" w:cs="Times New Roman"/>
          <w:smallCaps/>
        </w:rPr>
        <w:t>种属，蓝藻门为</w:t>
      </w:r>
      <w:r w:rsidR="002912CD" w:rsidRPr="00F9522B">
        <w:rPr>
          <w:rFonts w:ascii="Times New Roman" w:hAnsi="Times New Roman" w:cs="Times New Roman"/>
          <w:smallCaps/>
        </w:rPr>
        <w:t>8</w:t>
      </w:r>
      <w:r w:rsidRPr="00F9522B">
        <w:rPr>
          <w:rFonts w:ascii="Times New Roman" w:hAnsi="Times New Roman" w:cs="Times New Roman"/>
          <w:smallCaps/>
        </w:rPr>
        <w:t>种属，金藻门和隐藻门</w:t>
      </w:r>
      <w:r w:rsidR="007040E2" w:rsidRPr="00F9522B">
        <w:rPr>
          <w:rFonts w:ascii="Times New Roman" w:hAnsi="Times New Roman" w:cs="Times New Roman"/>
          <w:smallCaps/>
        </w:rPr>
        <w:t>为</w:t>
      </w:r>
      <w:r w:rsidRPr="00F9522B">
        <w:rPr>
          <w:rFonts w:ascii="Times New Roman" w:hAnsi="Times New Roman" w:cs="Times New Roman"/>
          <w:smallCaps/>
        </w:rPr>
        <w:t>1</w:t>
      </w:r>
      <w:r w:rsidRPr="00F9522B">
        <w:rPr>
          <w:rFonts w:ascii="Times New Roman" w:hAnsi="Times New Roman" w:cs="Times New Roman"/>
          <w:smallCaps/>
        </w:rPr>
        <w:t>种属，裸藻门和甲藻门为</w:t>
      </w:r>
      <w:r w:rsidRPr="00F9522B">
        <w:rPr>
          <w:rFonts w:ascii="Times New Roman" w:hAnsi="Times New Roman" w:cs="Times New Roman"/>
          <w:smallCaps/>
        </w:rPr>
        <w:t>1</w:t>
      </w:r>
      <w:r w:rsidRPr="00F9522B">
        <w:rPr>
          <w:rFonts w:ascii="Times New Roman" w:hAnsi="Times New Roman" w:cs="Times New Roman"/>
          <w:smallCaps/>
        </w:rPr>
        <w:t>种属。</w:t>
      </w:r>
    </w:p>
    <w:p w:rsidR="002A5A5E" w:rsidRPr="00F9522B" w:rsidRDefault="00611CBA">
      <w:pPr>
        <w:pStyle w:val="ab"/>
        <w:ind w:left="3237"/>
      </w:pPr>
      <w:r w:rsidRPr="00F9522B">
        <w:rPr>
          <w:rFonts w:eastAsiaTheme="minorEastAsia"/>
          <w:b/>
          <w:kern w:val="0"/>
          <w:szCs w:val="21"/>
        </w:rPr>
        <w:t>表</w:t>
      </w:r>
      <w:r w:rsidRPr="00F9522B">
        <w:rPr>
          <w:rFonts w:eastAsiaTheme="minorEastAsia"/>
          <w:b/>
          <w:kern w:val="0"/>
          <w:szCs w:val="21"/>
        </w:rPr>
        <w:t>4-2-24</w:t>
      </w:r>
      <w:r w:rsidRPr="00F9522B">
        <w:rPr>
          <w:b/>
          <w:bCs/>
          <w:spacing w:val="-2"/>
        </w:rPr>
        <w:t>浮游植物名录</w:t>
      </w:r>
    </w:p>
    <w:tbl>
      <w:tblPr>
        <w:tblStyle w:val="TableNormal"/>
        <w:tblW w:w="7874" w:type="dxa"/>
        <w:tblInd w:w="233" w:type="dxa"/>
        <w:tblBorders>
          <w:top w:val="single" w:sz="12" w:space="0" w:color="000000"/>
          <w:bottom w:val="single" w:sz="12" w:space="0" w:color="000000"/>
          <w:insideH w:val="single" w:sz="4" w:space="0" w:color="000000"/>
          <w:insideV w:val="single" w:sz="4" w:space="0" w:color="000000"/>
        </w:tblBorders>
        <w:tblLayout w:type="fixed"/>
        <w:tblLook w:val="04A0"/>
      </w:tblPr>
      <w:tblGrid>
        <w:gridCol w:w="2052"/>
        <w:gridCol w:w="2272"/>
        <w:gridCol w:w="3533"/>
        <w:gridCol w:w="17"/>
      </w:tblGrid>
      <w:tr w:rsidR="002A5A5E" w:rsidRPr="00F9522B" w:rsidTr="00602D12">
        <w:trPr>
          <w:trHeight w:val="342"/>
        </w:trPr>
        <w:tc>
          <w:tcPr>
            <w:tcW w:w="2053"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z w:val="21"/>
                <w:szCs w:val="21"/>
              </w:rPr>
              <w:t>门</w:t>
            </w:r>
          </w:p>
        </w:tc>
        <w:tc>
          <w:tcPr>
            <w:tcW w:w="2273"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z w:val="21"/>
                <w:szCs w:val="21"/>
              </w:rPr>
              <w:t>中文名</w:t>
            </w:r>
          </w:p>
        </w:tc>
        <w:tc>
          <w:tcPr>
            <w:tcW w:w="3548" w:type="dxa"/>
            <w:gridSpan w:val="2"/>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6"/>
                <w:sz w:val="21"/>
                <w:szCs w:val="21"/>
              </w:rPr>
              <w:t>拉丁名</w:t>
            </w:r>
          </w:p>
        </w:tc>
      </w:tr>
      <w:tr w:rsidR="002912CD" w:rsidRPr="00F9522B" w:rsidTr="00602D12">
        <w:trPr>
          <w:trHeight w:val="338"/>
        </w:trPr>
        <w:tc>
          <w:tcPr>
            <w:tcW w:w="2054" w:type="dxa"/>
            <w:vMerge w:val="restart"/>
            <w:vAlign w:val="center"/>
          </w:tcPr>
          <w:p w:rsidR="002912CD" w:rsidRPr="00F9522B" w:rsidRDefault="002912CD">
            <w:pPr>
              <w:pStyle w:val="TableText"/>
              <w:spacing w:line="0" w:lineRule="atLeast"/>
              <w:jc w:val="center"/>
              <w:rPr>
                <w:color w:val="auto"/>
                <w:sz w:val="21"/>
                <w:szCs w:val="21"/>
              </w:rPr>
            </w:pPr>
            <w:r w:rsidRPr="00F9522B">
              <w:rPr>
                <w:rFonts w:eastAsia="宋体"/>
                <w:color w:val="auto"/>
                <w:spacing w:val="19"/>
                <w:sz w:val="21"/>
                <w:szCs w:val="21"/>
              </w:rPr>
              <w:t>蓝藻门</w:t>
            </w:r>
            <w:r w:rsidRPr="00F9522B">
              <w:rPr>
                <w:color w:val="auto"/>
                <w:sz w:val="21"/>
                <w:szCs w:val="21"/>
              </w:rPr>
              <w:t>Cyanophyta</w:t>
            </w:r>
          </w:p>
        </w:tc>
        <w:tc>
          <w:tcPr>
            <w:tcW w:w="2274" w:type="dxa"/>
            <w:vAlign w:val="center"/>
          </w:tcPr>
          <w:p w:rsidR="002912CD" w:rsidRPr="00F9522B" w:rsidRDefault="002912CD">
            <w:pPr>
              <w:pStyle w:val="TableText"/>
              <w:spacing w:line="0" w:lineRule="atLeast"/>
              <w:jc w:val="center"/>
              <w:rPr>
                <w:color w:val="auto"/>
                <w:sz w:val="21"/>
                <w:szCs w:val="21"/>
              </w:rPr>
            </w:pPr>
            <w:r w:rsidRPr="00F9522B">
              <w:rPr>
                <w:rFonts w:eastAsia="宋体"/>
                <w:color w:val="auto"/>
                <w:spacing w:val="7"/>
                <w:sz w:val="21"/>
                <w:szCs w:val="21"/>
              </w:rPr>
              <w:t>细小平裂藻</w:t>
            </w:r>
          </w:p>
        </w:tc>
        <w:tc>
          <w:tcPr>
            <w:tcW w:w="3546" w:type="dxa"/>
            <w:gridSpan w:val="2"/>
            <w:vAlign w:val="center"/>
          </w:tcPr>
          <w:p w:rsidR="002912CD" w:rsidRPr="00F9522B" w:rsidRDefault="002912CD">
            <w:pPr>
              <w:kinsoku w:val="0"/>
              <w:autoSpaceDE w:val="0"/>
              <w:autoSpaceDN w:val="0"/>
              <w:adjustRightInd w:val="0"/>
              <w:snapToGrid w:val="0"/>
              <w:spacing w:line="0" w:lineRule="atLeast"/>
              <w:jc w:val="center"/>
              <w:textAlignment w:val="baseline"/>
              <w:rPr>
                <w:szCs w:val="21"/>
              </w:rPr>
            </w:pPr>
            <w:r w:rsidRPr="00F9522B">
              <w:rPr>
                <w:i/>
                <w:iCs/>
                <w:spacing w:val="4"/>
                <w:position w:val="4"/>
                <w:szCs w:val="21"/>
              </w:rPr>
              <w:t>Merismopedia minima</w:t>
            </w:r>
          </w:p>
        </w:tc>
      </w:tr>
      <w:tr w:rsidR="002912CD" w:rsidRPr="00F9522B" w:rsidTr="00602D12">
        <w:trPr>
          <w:trHeight w:val="338"/>
        </w:trPr>
        <w:tc>
          <w:tcPr>
            <w:tcW w:w="2054" w:type="dxa"/>
            <w:vMerge/>
            <w:vAlign w:val="center"/>
          </w:tcPr>
          <w:p w:rsidR="002912CD" w:rsidRPr="00F9522B" w:rsidRDefault="002912CD">
            <w:pPr>
              <w:spacing w:line="0" w:lineRule="atLeast"/>
              <w:jc w:val="center"/>
              <w:rPr>
                <w:szCs w:val="21"/>
              </w:rPr>
            </w:pPr>
          </w:p>
        </w:tc>
        <w:tc>
          <w:tcPr>
            <w:tcW w:w="2274" w:type="dxa"/>
            <w:vAlign w:val="center"/>
          </w:tcPr>
          <w:p w:rsidR="002912CD" w:rsidRPr="00F9522B" w:rsidRDefault="002912CD">
            <w:pPr>
              <w:pStyle w:val="TableText"/>
              <w:spacing w:line="0" w:lineRule="atLeast"/>
              <w:jc w:val="center"/>
              <w:rPr>
                <w:color w:val="auto"/>
                <w:sz w:val="21"/>
                <w:szCs w:val="21"/>
              </w:rPr>
            </w:pPr>
            <w:r w:rsidRPr="00F9522B">
              <w:rPr>
                <w:rFonts w:eastAsia="宋体"/>
                <w:color w:val="auto"/>
                <w:spacing w:val="8"/>
                <w:sz w:val="21"/>
                <w:szCs w:val="21"/>
              </w:rPr>
              <w:t>微小色球藻</w:t>
            </w:r>
          </w:p>
        </w:tc>
        <w:tc>
          <w:tcPr>
            <w:tcW w:w="3546" w:type="dxa"/>
            <w:gridSpan w:val="2"/>
            <w:vAlign w:val="center"/>
          </w:tcPr>
          <w:p w:rsidR="002912CD" w:rsidRPr="00F9522B" w:rsidRDefault="002912CD">
            <w:pPr>
              <w:kinsoku w:val="0"/>
              <w:autoSpaceDE w:val="0"/>
              <w:autoSpaceDN w:val="0"/>
              <w:adjustRightInd w:val="0"/>
              <w:snapToGrid w:val="0"/>
              <w:spacing w:line="0" w:lineRule="atLeast"/>
              <w:jc w:val="center"/>
              <w:textAlignment w:val="baseline"/>
              <w:rPr>
                <w:szCs w:val="21"/>
              </w:rPr>
            </w:pPr>
            <w:r w:rsidRPr="00F9522B">
              <w:rPr>
                <w:i/>
                <w:iCs/>
                <w:spacing w:val="3"/>
                <w:position w:val="2"/>
                <w:szCs w:val="21"/>
              </w:rPr>
              <w:t>Chroococcus minutus</w:t>
            </w:r>
          </w:p>
        </w:tc>
      </w:tr>
      <w:tr w:rsidR="002912CD" w:rsidRPr="00F9522B" w:rsidTr="00602D12">
        <w:trPr>
          <w:trHeight w:val="338"/>
        </w:trPr>
        <w:tc>
          <w:tcPr>
            <w:tcW w:w="2054" w:type="dxa"/>
            <w:vMerge/>
            <w:vAlign w:val="center"/>
          </w:tcPr>
          <w:p w:rsidR="002912CD" w:rsidRPr="00F9522B" w:rsidRDefault="002912CD">
            <w:pPr>
              <w:spacing w:line="0" w:lineRule="atLeast"/>
              <w:jc w:val="center"/>
              <w:rPr>
                <w:szCs w:val="21"/>
              </w:rPr>
            </w:pPr>
          </w:p>
        </w:tc>
        <w:tc>
          <w:tcPr>
            <w:tcW w:w="2274" w:type="dxa"/>
            <w:vAlign w:val="center"/>
          </w:tcPr>
          <w:p w:rsidR="002912CD" w:rsidRPr="00F9522B" w:rsidRDefault="002912CD">
            <w:pPr>
              <w:pStyle w:val="TableText"/>
              <w:spacing w:line="0" w:lineRule="atLeast"/>
              <w:jc w:val="center"/>
              <w:rPr>
                <w:color w:val="auto"/>
                <w:sz w:val="21"/>
                <w:szCs w:val="21"/>
              </w:rPr>
            </w:pPr>
            <w:r w:rsidRPr="00F9522B">
              <w:rPr>
                <w:rFonts w:eastAsia="宋体"/>
                <w:color w:val="auto"/>
                <w:spacing w:val="5"/>
                <w:sz w:val="21"/>
                <w:szCs w:val="21"/>
              </w:rPr>
              <w:t>奥克席藻</w:t>
            </w:r>
          </w:p>
        </w:tc>
        <w:tc>
          <w:tcPr>
            <w:tcW w:w="3546" w:type="dxa"/>
            <w:gridSpan w:val="2"/>
            <w:vAlign w:val="center"/>
          </w:tcPr>
          <w:p w:rsidR="002912CD" w:rsidRPr="00F9522B" w:rsidRDefault="002912CD">
            <w:pPr>
              <w:kinsoku w:val="0"/>
              <w:autoSpaceDE w:val="0"/>
              <w:autoSpaceDN w:val="0"/>
              <w:adjustRightInd w:val="0"/>
              <w:snapToGrid w:val="0"/>
              <w:spacing w:line="0" w:lineRule="atLeast"/>
              <w:jc w:val="center"/>
              <w:textAlignment w:val="baseline"/>
              <w:rPr>
                <w:szCs w:val="21"/>
              </w:rPr>
            </w:pPr>
            <w:r w:rsidRPr="00F9522B">
              <w:rPr>
                <w:i/>
                <w:iCs/>
                <w:spacing w:val="4"/>
                <w:position w:val="2"/>
                <w:szCs w:val="21"/>
              </w:rPr>
              <w:t>Phomidium okenii</w:t>
            </w:r>
          </w:p>
        </w:tc>
      </w:tr>
      <w:tr w:rsidR="002912CD" w:rsidRPr="00F9522B" w:rsidTr="00602D12">
        <w:trPr>
          <w:trHeight w:val="338"/>
        </w:trPr>
        <w:tc>
          <w:tcPr>
            <w:tcW w:w="2054" w:type="dxa"/>
            <w:vMerge/>
            <w:vAlign w:val="center"/>
          </w:tcPr>
          <w:p w:rsidR="002912CD" w:rsidRPr="00F9522B" w:rsidRDefault="002912CD">
            <w:pPr>
              <w:spacing w:line="0" w:lineRule="atLeast"/>
              <w:jc w:val="center"/>
              <w:rPr>
                <w:szCs w:val="21"/>
              </w:rPr>
            </w:pPr>
          </w:p>
        </w:tc>
        <w:tc>
          <w:tcPr>
            <w:tcW w:w="2274" w:type="dxa"/>
            <w:vAlign w:val="center"/>
          </w:tcPr>
          <w:p w:rsidR="002912CD" w:rsidRPr="00F9522B" w:rsidRDefault="002912CD">
            <w:pPr>
              <w:pStyle w:val="TableText"/>
              <w:spacing w:line="0" w:lineRule="atLeast"/>
              <w:jc w:val="center"/>
              <w:rPr>
                <w:color w:val="auto"/>
                <w:sz w:val="21"/>
                <w:szCs w:val="21"/>
              </w:rPr>
            </w:pPr>
            <w:r w:rsidRPr="00F9522B">
              <w:rPr>
                <w:rFonts w:eastAsia="宋体"/>
                <w:color w:val="auto"/>
                <w:spacing w:val="7"/>
                <w:sz w:val="21"/>
                <w:szCs w:val="21"/>
              </w:rPr>
              <w:t>弯形小尖头藻</w:t>
            </w:r>
          </w:p>
        </w:tc>
        <w:tc>
          <w:tcPr>
            <w:tcW w:w="3546" w:type="dxa"/>
            <w:gridSpan w:val="2"/>
            <w:vAlign w:val="center"/>
          </w:tcPr>
          <w:p w:rsidR="002912CD" w:rsidRPr="00F9522B" w:rsidRDefault="002912CD">
            <w:pPr>
              <w:kinsoku w:val="0"/>
              <w:autoSpaceDE w:val="0"/>
              <w:autoSpaceDN w:val="0"/>
              <w:adjustRightInd w:val="0"/>
              <w:snapToGrid w:val="0"/>
              <w:spacing w:line="0" w:lineRule="atLeast"/>
              <w:jc w:val="center"/>
              <w:textAlignment w:val="baseline"/>
              <w:rPr>
                <w:szCs w:val="21"/>
              </w:rPr>
            </w:pPr>
            <w:r w:rsidRPr="00F9522B">
              <w:rPr>
                <w:i/>
                <w:iCs/>
                <w:spacing w:val="4"/>
                <w:position w:val="4"/>
                <w:szCs w:val="21"/>
              </w:rPr>
              <w:t>Raphidiopsis curvata</w:t>
            </w:r>
          </w:p>
        </w:tc>
      </w:tr>
      <w:tr w:rsidR="002912CD" w:rsidRPr="00F9522B" w:rsidTr="00602D12">
        <w:trPr>
          <w:trHeight w:val="338"/>
        </w:trPr>
        <w:tc>
          <w:tcPr>
            <w:tcW w:w="2054" w:type="dxa"/>
            <w:vMerge/>
            <w:vAlign w:val="center"/>
          </w:tcPr>
          <w:p w:rsidR="002912CD" w:rsidRPr="00F9522B" w:rsidRDefault="002912CD">
            <w:pPr>
              <w:spacing w:line="0" w:lineRule="atLeast"/>
              <w:jc w:val="center"/>
              <w:rPr>
                <w:szCs w:val="21"/>
              </w:rPr>
            </w:pPr>
          </w:p>
        </w:tc>
        <w:tc>
          <w:tcPr>
            <w:tcW w:w="2274" w:type="dxa"/>
            <w:vAlign w:val="center"/>
          </w:tcPr>
          <w:p w:rsidR="002912CD" w:rsidRPr="00F9522B" w:rsidRDefault="002912CD">
            <w:pPr>
              <w:pStyle w:val="TableText"/>
              <w:spacing w:line="0" w:lineRule="atLeast"/>
              <w:jc w:val="center"/>
              <w:rPr>
                <w:color w:val="auto"/>
                <w:sz w:val="21"/>
                <w:szCs w:val="21"/>
              </w:rPr>
            </w:pPr>
            <w:r w:rsidRPr="00F9522B">
              <w:rPr>
                <w:rFonts w:eastAsia="宋体"/>
                <w:color w:val="auto"/>
                <w:spacing w:val="7"/>
                <w:sz w:val="21"/>
                <w:szCs w:val="21"/>
              </w:rPr>
              <w:t>卷曲鱼腥藻</w:t>
            </w:r>
          </w:p>
        </w:tc>
        <w:tc>
          <w:tcPr>
            <w:tcW w:w="3546" w:type="dxa"/>
            <w:gridSpan w:val="2"/>
            <w:vAlign w:val="center"/>
          </w:tcPr>
          <w:p w:rsidR="002912CD" w:rsidRPr="00F9522B" w:rsidRDefault="002912CD">
            <w:pPr>
              <w:kinsoku w:val="0"/>
              <w:autoSpaceDE w:val="0"/>
              <w:autoSpaceDN w:val="0"/>
              <w:adjustRightInd w:val="0"/>
              <w:snapToGrid w:val="0"/>
              <w:spacing w:line="0" w:lineRule="atLeast"/>
              <w:jc w:val="center"/>
              <w:textAlignment w:val="baseline"/>
              <w:rPr>
                <w:szCs w:val="21"/>
              </w:rPr>
            </w:pPr>
            <w:r w:rsidRPr="00F9522B">
              <w:rPr>
                <w:i/>
                <w:iCs/>
                <w:spacing w:val="4"/>
                <w:position w:val="2"/>
                <w:szCs w:val="21"/>
              </w:rPr>
              <w:t>Anabaena circinalis</w:t>
            </w:r>
          </w:p>
        </w:tc>
      </w:tr>
      <w:tr w:rsidR="002912CD" w:rsidRPr="00F9522B" w:rsidTr="00602D12">
        <w:trPr>
          <w:trHeight w:val="338"/>
        </w:trPr>
        <w:tc>
          <w:tcPr>
            <w:tcW w:w="2054" w:type="dxa"/>
            <w:vMerge/>
            <w:vAlign w:val="center"/>
          </w:tcPr>
          <w:p w:rsidR="002912CD" w:rsidRPr="00F9522B" w:rsidRDefault="002912CD">
            <w:pPr>
              <w:spacing w:line="0" w:lineRule="atLeast"/>
              <w:jc w:val="center"/>
              <w:rPr>
                <w:szCs w:val="21"/>
              </w:rPr>
            </w:pPr>
          </w:p>
        </w:tc>
        <w:tc>
          <w:tcPr>
            <w:tcW w:w="2274" w:type="dxa"/>
            <w:vAlign w:val="center"/>
          </w:tcPr>
          <w:p w:rsidR="002912CD" w:rsidRPr="00F9522B" w:rsidRDefault="002912CD">
            <w:pPr>
              <w:pStyle w:val="TableText"/>
              <w:spacing w:line="0" w:lineRule="atLeast"/>
              <w:jc w:val="center"/>
              <w:rPr>
                <w:color w:val="auto"/>
                <w:sz w:val="21"/>
                <w:szCs w:val="21"/>
              </w:rPr>
            </w:pPr>
            <w:r w:rsidRPr="00F9522B">
              <w:rPr>
                <w:rFonts w:eastAsia="宋体"/>
                <w:color w:val="auto"/>
                <w:spacing w:val="4"/>
                <w:sz w:val="21"/>
                <w:szCs w:val="21"/>
              </w:rPr>
              <w:t>固氮鱼腥藻</w:t>
            </w:r>
          </w:p>
        </w:tc>
        <w:tc>
          <w:tcPr>
            <w:tcW w:w="3546" w:type="dxa"/>
            <w:gridSpan w:val="2"/>
            <w:vAlign w:val="center"/>
          </w:tcPr>
          <w:p w:rsidR="002912CD" w:rsidRPr="00F9522B" w:rsidRDefault="002912CD">
            <w:pPr>
              <w:kinsoku w:val="0"/>
              <w:autoSpaceDE w:val="0"/>
              <w:autoSpaceDN w:val="0"/>
              <w:adjustRightInd w:val="0"/>
              <w:snapToGrid w:val="0"/>
              <w:spacing w:line="0" w:lineRule="atLeast"/>
              <w:jc w:val="center"/>
              <w:textAlignment w:val="baseline"/>
              <w:rPr>
                <w:szCs w:val="21"/>
              </w:rPr>
            </w:pPr>
            <w:r w:rsidRPr="00F9522B">
              <w:rPr>
                <w:i/>
                <w:iCs/>
                <w:spacing w:val="4"/>
                <w:position w:val="2"/>
                <w:szCs w:val="21"/>
              </w:rPr>
              <w:t>Anabaena variabilis</w:t>
            </w:r>
          </w:p>
        </w:tc>
      </w:tr>
      <w:tr w:rsidR="002912CD" w:rsidRPr="00F9522B" w:rsidTr="00602D12">
        <w:trPr>
          <w:trHeight w:val="338"/>
        </w:trPr>
        <w:tc>
          <w:tcPr>
            <w:tcW w:w="2054" w:type="dxa"/>
            <w:vMerge/>
            <w:vAlign w:val="center"/>
          </w:tcPr>
          <w:p w:rsidR="002912CD" w:rsidRPr="00F9522B" w:rsidRDefault="002912CD">
            <w:pPr>
              <w:spacing w:line="0" w:lineRule="atLeast"/>
              <w:jc w:val="center"/>
              <w:rPr>
                <w:szCs w:val="21"/>
              </w:rPr>
            </w:pPr>
          </w:p>
        </w:tc>
        <w:tc>
          <w:tcPr>
            <w:tcW w:w="2274" w:type="dxa"/>
            <w:vAlign w:val="center"/>
          </w:tcPr>
          <w:p w:rsidR="002912CD" w:rsidRPr="00F9522B" w:rsidRDefault="002912CD">
            <w:pPr>
              <w:pStyle w:val="TableText"/>
              <w:spacing w:line="0" w:lineRule="atLeast"/>
              <w:jc w:val="center"/>
              <w:rPr>
                <w:color w:val="auto"/>
                <w:sz w:val="21"/>
                <w:szCs w:val="21"/>
              </w:rPr>
            </w:pPr>
            <w:r w:rsidRPr="00F9522B">
              <w:rPr>
                <w:rFonts w:eastAsia="宋体"/>
                <w:color w:val="auto"/>
                <w:spacing w:val="7"/>
                <w:sz w:val="21"/>
                <w:szCs w:val="21"/>
              </w:rPr>
              <w:t>水华束丝藻</w:t>
            </w:r>
          </w:p>
        </w:tc>
        <w:tc>
          <w:tcPr>
            <w:tcW w:w="3546" w:type="dxa"/>
            <w:gridSpan w:val="2"/>
            <w:vAlign w:val="center"/>
          </w:tcPr>
          <w:p w:rsidR="002912CD" w:rsidRPr="00F9522B" w:rsidRDefault="002912CD">
            <w:pPr>
              <w:kinsoku w:val="0"/>
              <w:autoSpaceDE w:val="0"/>
              <w:autoSpaceDN w:val="0"/>
              <w:adjustRightInd w:val="0"/>
              <w:snapToGrid w:val="0"/>
              <w:spacing w:line="0" w:lineRule="atLeast"/>
              <w:jc w:val="center"/>
              <w:textAlignment w:val="baseline"/>
              <w:rPr>
                <w:szCs w:val="21"/>
              </w:rPr>
            </w:pPr>
            <w:r w:rsidRPr="00F9522B">
              <w:rPr>
                <w:i/>
                <w:iCs/>
                <w:spacing w:val="6"/>
                <w:position w:val="4"/>
                <w:szCs w:val="21"/>
              </w:rPr>
              <w:t>Aphanizomenonflos-aquae</w:t>
            </w:r>
          </w:p>
        </w:tc>
      </w:tr>
      <w:tr w:rsidR="002912CD" w:rsidRPr="00F9522B" w:rsidTr="00602D12">
        <w:trPr>
          <w:trHeight w:val="338"/>
        </w:trPr>
        <w:tc>
          <w:tcPr>
            <w:tcW w:w="2054" w:type="dxa"/>
            <w:vMerge/>
            <w:vAlign w:val="center"/>
          </w:tcPr>
          <w:p w:rsidR="002912CD" w:rsidRPr="00F9522B" w:rsidRDefault="002912CD">
            <w:pPr>
              <w:spacing w:line="0" w:lineRule="atLeast"/>
              <w:jc w:val="center"/>
              <w:rPr>
                <w:szCs w:val="21"/>
              </w:rPr>
            </w:pPr>
          </w:p>
        </w:tc>
        <w:tc>
          <w:tcPr>
            <w:tcW w:w="2274" w:type="dxa"/>
            <w:vAlign w:val="center"/>
          </w:tcPr>
          <w:p w:rsidR="002912CD" w:rsidRPr="00F9522B" w:rsidRDefault="002912CD">
            <w:pPr>
              <w:pStyle w:val="TableText"/>
              <w:spacing w:line="0" w:lineRule="atLeast"/>
              <w:jc w:val="center"/>
              <w:rPr>
                <w:color w:val="auto"/>
                <w:sz w:val="21"/>
                <w:szCs w:val="21"/>
              </w:rPr>
            </w:pPr>
            <w:r w:rsidRPr="00F9522B">
              <w:rPr>
                <w:rFonts w:eastAsia="宋体"/>
                <w:color w:val="auto"/>
                <w:spacing w:val="7"/>
                <w:sz w:val="21"/>
                <w:szCs w:val="21"/>
              </w:rPr>
              <w:t>居氏腔球藻</w:t>
            </w:r>
          </w:p>
        </w:tc>
        <w:tc>
          <w:tcPr>
            <w:tcW w:w="3546" w:type="dxa"/>
            <w:gridSpan w:val="2"/>
            <w:vAlign w:val="center"/>
          </w:tcPr>
          <w:p w:rsidR="002912CD" w:rsidRPr="00F9522B" w:rsidRDefault="002912CD">
            <w:pPr>
              <w:kinsoku w:val="0"/>
              <w:autoSpaceDE w:val="0"/>
              <w:autoSpaceDN w:val="0"/>
              <w:adjustRightInd w:val="0"/>
              <w:snapToGrid w:val="0"/>
              <w:spacing w:line="0" w:lineRule="atLeast"/>
              <w:jc w:val="center"/>
              <w:textAlignment w:val="baseline"/>
              <w:rPr>
                <w:szCs w:val="21"/>
              </w:rPr>
            </w:pPr>
            <w:r w:rsidRPr="00F9522B">
              <w:rPr>
                <w:i/>
                <w:iCs/>
                <w:spacing w:val="4"/>
                <w:position w:val="4"/>
                <w:szCs w:val="21"/>
              </w:rPr>
              <w:t>Coelosphaerium kutzingianum</w:t>
            </w:r>
          </w:p>
        </w:tc>
      </w:tr>
      <w:tr w:rsidR="002912CD" w:rsidRPr="00F9522B" w:rsidTr="00602D12">
        <w:trPr>
          <w:trHeight w:val="338"/>
        </w:trPr>
        <w:tc>
          <w:tcPr>
            <w:tcW w:w="2054" w:type="dxa"/>
            <w:vMerge/>
            <w:vAlign w:val="center"/>
          </w:tcPr>
          <w:p w:rsidR="002912CD" w:rsidRPr="00F9522B" w:rsidRDefault="002912CD">
            <w:pPr>
              <w:spacing w:line="0" w:lineRule="atLeast"/>
              <w:jc w:val="center"/>
              <w:rPr>
                <w:szCs w:val="21"/>
              </w:rPr>
            </w:pPr>
          </w:p>
        </w:tc>
        <w:tc>
          <w:tcPr>
            <w:tcW w:w="2274" w:type="dxa"/>
            <w:vAlign w:val="center"/>
          </w:tcPr>
          <w:p w:rsidR="002912CD" w:rsidRPr="00F9522B" w:rsidRDefault="002912CD">
            <w:pPr>
              <w:pStyle w:val="TableText"/>
              <w:spacing w:line="0" w:lineRule="atLeast"/>
              <w:jc w:val="center"/>
              <w:rPr>
                <w:color w:val="auto"/>
                <w:sz w:val="21"/>
                <w:szCs w:val="21"/>
              </w:rPr>
            </w:pPr>
            <w:r w:rsidRPr="00F9522B">
              <w:rPr>
                <w:rFonts w:eastAsia="宋体"/>
                <w:color w:val="auto"/>
                <w:spacing w:val="6"/>
                <w:sz w:val="21"/>
                <w:szCs w:val="21"/>
              </w:rPr>
              <w:t>节旋藻</w:t>
            </w:r>
          </w:p>
        </w:tc>
        <w:tc>
          <w:tcPr>
            <w:tcW w:w="3546" w:type="dxa"/>
            <w:gridSpan w:val="2"/>
            <w:vAlign w:val="center"/>
          </w:tcPr>
          <w:p w:rsidR="002912CD" w:rsidRPr="00F9522B" w:rsidRDefault="002912CD">
            <w:pPr>
              <w:kinsoku w:val="0"/>
              <w:autoSpaceDE w:val="0"/>
              <w:autoSpaceDN w:val="0"/>
              <w:adjustRightInd w:val="0"/>
              <w:snapToGrid w:val="0"/>
              <w:spacing w:line="0" w:lineRule="atLeast"/>
              <w:jc w:val="center"/>
              <w:textAlignment w:val="baseline"/>
              <w:rPr>
                <w:szCs w:val="21"/>
              </w:rPr>
            </w:pPr>
            <w:r w:rsidRPr="00F9522B">
              <w:rPr>
                <w:i/>
                <w:iCs/>
                <w:spacing w:val="4"/>
                <w:position w:val="4"/>
                <w:szCs w:val="21"/>
              </w:rPr>
              <w:t>Arthropira stizenberger</w:t>
            </w:r>
          </w:p>
        </w:tc>
      </w:tr>
      <w:tr w:rsidR="002912CD" w:rsidRPr="00F9522B" w:rsidTr="00602D12">
        <w:trPr>
          <w:trHeight w:val="338"/>
        </w:trPr>
        <w:tc>
          <w:tcPr>
            <w:tcW w:w="2054" w:type="dxa"/>
            <w:vMerge/>
            <w:vAlign w:val="center"/>
          </w:tcPr>
          <w:p w:rsidR="002912CD" w:rsidRPr="00F9522B" w:rsidRDefault="002912CD">
            <w:pPr>
              <w:pStyle w:val="TableText"/>
              <w:spacing w:line="0" w:lineRule="atLeast"/>
              <w:jc w:val="center"/>
              <w:rPr>
                <w:color w:val="auto"/>
                <w:sz w:val="21"/>
                <w:szCs w:val="21"/>
              </w:rPr>
            </w:pPr>
          </w:p>
        </w:tc>
        <w:tc>
          <w:tcPr>
            <w:tcW w:w="2274" w:type="dxa"/>
            <w:vAlign w:val="center"/>
          </w:tcPr>
          <w:p w:rsidR="002912CD" w:rsidRPr="00F9522B" w:rsidRDefault="002912CD">
            <w:pPr>
              <w:pStyle w:val="TableText"/>
              <w:spacing w:line="0" w:lineRule="atLeast"/>
              <w:jc w:val="center"/>
              <w:rPr>
                <w:color w:val="auto"/>
                <w:sz w:val="21"/>
                <w:szCs w:val="21"/>
              </w:rPr>
            </w:pPr>
            <w:r w:rsidRPr="00F9522B">
              <w:rPr>
                <w:rFonts w:eastAsia="宋体"/>
                <w:color w:val="auto"/>
                <w:spacing w:val="7"/>
                <w:sz w:val="21"/>
                <w:szCs w:val="21"/>
              </w:rPr>
              <w:t>短线脆杆藻</w:t>
            </w:r>
          </w:p>
        </w:tc>
        <w:tc>
          <w:tcPr>
            <w:tcW w:w="3546" w:type="dxa"/>
            <w:gridSpan w:val="2"/>
            <w:vAlign w:val="center"/>
          </w:tcPr>
          <w:p w:rsidR="002912CD" w:rsidRPr="00F9522B" w:rsidRDefault="002912CD">
            <w:pPr>
              <w:kinsoku w:val="0"/>
              <w:autoSpaceDE w:val="0"/>
              <w:autoSpaceDN w:val="0"/>
              <w:adjustRightInd w:val="0"/>
              <w:snapToGrid w:val="0"/>
              <w:spacing w:line="0" w:lineRule="atLeast"/>
              <w:jc w:val="center"/>
              <w:textAlignment w:val="baseline"/>
              <w:rPr>
                <w:szCs w:val="21"/>
              </w:rPr>
            </w:pPr>
            <w:r w:rsidRPr="00F9522B">
              <w:rPr>
                <w:i/>
                <w:iCs/>
                <w:spacing w:val="3"/>
                <w:position w:val="4"/>
                <w:szCs w:val="21"/>
              </w:rPr>
              <w:t>Fragilaria brevistriata</w:t>
            </w:r>
          </w:p>
        </w:tc>
      </w:tr>
      <w:tr w:rsidR="002912CD" w:rsidRPr="00F9522B" w:rsidTr="00602D12">
        <w:trPr>
          <w:trHeight w:val="359"/>
        </w:trPr>
        <w:tc>
          <w:tcPr>
            <w:tcW w:w="2054" w:type="dxa"/>
            <w:vMerge/>
            <w:vAlign w:val="center"/>
          </w:tcPr>
          <w:p w:rsidR="002912CD" w:rsidRPr="00F9522B" w:rsidRDefault="002912CD">
            <w:pPr>
              <w:spacing w:line="0" w:lineRule="atLeast"/>
              <w:jc w:val="center"/>
              <w:rPr>
                <w:szCs w:val="21"/>
              </w:rPr>
            </w:pPr>
          </w:p>
        </w:tc>
        <w:tc>
          <w:tcPr>
            <w:tcW w:w="2274" w:type="dxa"/>
            <w:vAlign w:val="center"/>
          </w:tcPr>
          <w:p w:rsidR="002912CD" w:rsidRPr="00F9522B" w:rsidRDefault="002912CD">
            <w:pPr>
              <w:pStyle w:val="TableText"/>
              <w:spacing w:line="0" w:lineRule="atLeast"/>
              <w:jc w:val="center"/>
              <w:rPr>
                <w:color w:val="auto"/>
                <w:sz w:val="21"/>
                <w:szCs w:val="21"/>
              </w:rPr>
            </w:pPr>
            <w:r w:rsidRPr="00F9522B">
              <w:rPr>
                <w:rFonts w:eastAsia="宋体"/>
                <w:color w:val="auto"/>
                <w:spacing w:val="8"/>
                <w:sz w:val="21"/>
                <w:szCs w:val="21"/>
              </w:rPr>
              <w:t>变绿脆杆藻</w:t>
            </w:r>
          </w:p>
        </w:tc>
        <w:tc>
          <w:tcPr>
            <w:tcW w:w="3546" w:type="dxa"/>
            <w:gridSpan w:val="2"/>
            <w:vAlign w:val="center"/>
          </w:tcPr>
          <w:p w:rsidR="002912CD" w:rsidRPr="00F9522B" w:rsidRDefault="002912CD">
            <w:pPr>
              <w:kinsoku w:val="0"/>
              <w:autoSpaceDE w:val="0"/>
              <w:autoSpaceDN w:val="0"/>
              <w:adjustRightInd w:val="0"/>
              <w:snapToGrid w:val="0"/>
              <w:spacing w:line="0" w:lineRule="atLeast"/>
              <w:jc w:val="center"/>
              <w:textAlignment w:val="baseline"/>
              <w:rPr>
                <w:szCs w:val="21"/>
              </w:rPr>
            </w:pPr>
            <w:r w:rsidRPr="00F9522B">
              <w:rPr>
                <w:i/>
                <w:iCs/>
                <w:spacing w:val="3"/>
                <w:position w:val="4"/>
                <w:szCs w:val="21"/>
              </w:rPr>
              <w:t>Fragilaria virescens</w:t>
            </w:r>
          </w:p>
        </w:tc>
      </w:tr>
      <w:tr w:rsidR="002912CD" w:rsidRPr="00F9522B" w:rsidTr="00602D12">
        <w:trPr>
          <w:trHeight w:val="344"/>
        </w:trPr>
        <w:tc>
          <w:tcPr>
            <w:tcW w:w="2054" w:type="dxa"/>
            <w:vMerge/>
            <w:vAlign w:val="center"/>
          </w:tcPr>
          <w:p w:rsidR="002912CD" w:rsidRPr="00F9522B" w:rsidRDefault="002912CD">
            <w:pPr>
              <w:kinsoku w:val="0"/>
              <w:autoSpaceDE w:val="0"/>
              <w:autoSpaceDN w:val="0"/>
              <w:adjustRightInd w:val="0"/>
              <w:snapToGrid w:val="0"/>
              <w:spacing w:line="0" w:lineRule="atLeast"/>
              <w:jc w:val="center"/>
              <w:textAlignment w:val="baseline"/>
              <w:rPr>
                <w:szCs w:val="21"/>
              </w:rPr>
            </w:pPr>
          </w:p>
        </w:tc>
        <w:tc>
          <w:tcPr>
            <w:tcW w:w="2274" w:type="dxa"/>
            <w:vAlign w:val="center"/>
          </w:tcPr>
          <w:p w:rsidR="002912CD" w:rsidRPr="00F9522B" w:rsidRDefault="002912CD">
            <w:pPr>
              <w:pStyle w:val="TableText"/>
              <w:spacing w:line="0" w:lineRule="atLeast"/>
              <w:jc w:val="center"/>
              <w:rPr>
                <w:color w:val="auto"/>
                <w:sz w:val="21"/>
                <w:szCs w:val="21"/>
              </w:rPr>
            </w:pPr>
            <w:r w:rsidRPr="00F9522B">
              <w:rPr>
                <w:rFonts w:eastAsia="宋体"/>
                <w:color w:val="auto"/>
                <w:spacing w:val="8"/>
                <w:sz w:val="21"/>
                <w:szCs w:val="21"/>
              </w:rPr>
              <w:t>变异直链藻</w:t>
            </w:r>
          </w:p>
        </w:tc>
        <w:tc>
          <w:tcPr>
            <w:tcW w:w="3546" w:type="dxa"/>
            <w:gridSpan w:val="2"/>
            <w:vAlign w:val="center"/>
          </w:tcPr>
          <w:p w:rsidR="002912CD" w:rsidRPr="00F9522B" w:rsidRDefault="002912CD">
            <w:pPr>
              <w:kinsoku w:val="0"/>
              <w:autoSpaceDE w:val="0"/>
              <w:autoSpaceDN w:val="0"/>
              <w:adjustRightInd w:val="0"/>
              <w:snapToGrid w:val="0"/>
              <w:spacing w:line="0" w:lineRule="atLeast"/>
              <w:jc w:val="center"/>
              <w:textAlignment w:val="baseline"/>
              <w:rPr>
                <w:szCs w:val="21"/>
              </w:rPr>
            </w:pPr>
            <w:r w:rsidRPr="00F9522B">
              <w:rPr>
                <w:i/>
                <w:iCs/>
                <w:spacing w:val="4"/>
                <w:position w:val="2"/>
                <w:szCs w:val="21"/>
              </w:rPr>
              <w:t>Melosira varians</w:t>
            </w:r>
          </w:p>
        </w:tc>
      </w:tr>
      <w:tr w:rsidR="002912CD" w:rsidRPr="00F9522B" w:rsidTr="00602D12">
        <w:trPr>
          <w:trHeight w:val="339"/>
        </w:trPr>
        <w:tc>
          <w:tcPr>
            <w:tcW w:w="2054" w:type="dxa"/>
            <w:vMerge/>
            <w:vAlign w:val="center"/>
          </w:tcPr>
          <w:p w:rsidR="002912CD" w:rsidRPr="00F9522B" w:rsidRDefault="002912CD">
            <w:pPr>
              <w:spacing w:line="0" w:lineRule="atLeast"/>
              <w:jc w:val="center"/>
              <w:rPr>
                <w:szCs w:val="21"/>
              </w:rPr>
            </w:pPr>
          </w:p>
        </w:tc>
        <w:tc>
          <w:tcPr>
            <w:tcW w:w="2274" w:type="dxa"/>
            <w:vAlign w:val="center"/>
          </w:tcPr>
          <w:p w:rsidR="002912CD" w:rsidRPr="00F9522B" w:rsidRDefault="002912CD">
            <w:pPr>
              <w:pStyle w:val="TableText"/>
              <w:spacing w:line="0" w:lineRule="atLeast"/>
              <w:jc w:val="center"/>
              <w:rPr>
                <w:color w:val="auto"/>
                <w:sz w:val="21"/>
                <w:szCs w:val="21"/>
              </w:rPr>
            </w:pPr>
            <w:r w:rsidRPr="00F9522B">
              <w:rPr>
                <w:rFonts w:eastAsia="宋体"/>
                <w:color w:val="auto"/>
                <w:spacing w:val="9"/>
                <w:sz w:val="21"/>
                <w:szCs w:val="21"/>
              </w:rPr>
              <w:t>颗粒直链藻极狭变种</w:t>
            </w:r>
          </w:p>
        </w:tc>
        <w:tc>
          <w:tcPr>
            <w:tcW w:w="3546" w:type="dxa"/>
            <w:gridSpan w:val="2"/>
            <w:vAlign w:val="center"/>
          </w:tcPr>
          <w:p w:rsidR="002912CD" w:rsidRPr="00F9522B" w:rsidRDefault="002912CD">
            <w:pPr>
              <w:kinsoku w:val="0"/>
              <w:autoSpaceDE w:val="0"/>
              <w:autoSpaceDN w:val="0"/>
              <w:adjustRightInd w:val="0"/>
              <w:snapToGrid w:val="0"/>
              <w:spacing w:line="0" w:lineRule="atLeast"/>
              <w:jc w:val="center"/>
              <w:textAlignment w:val="baseline"/>
              <w:rPr>
                <w:szCs w:val="21"/>
              </w:rPr>
            </w:pPr>
            <w:r w:rsidRPr="00F9522B">
              <w:rPr>
                <w:i/>
                <w:iCs/>
                <w:spacing w:val="4"/>
                <w:position w:val="4"/>
                <w:szCs w:val="21"/>
              </w:rPr>
              <w:t>Melosira granulata var</w:t>
            </w:r>
            <w:r w:rsidRPr="00F9522B">
              <w:rPr>
                <w:i/>
                <w:iCs/>
                <w:spacing w:val="3"/>
                <w:position w:val="4"/>
                <w:szCs w:val="21"/>
              </w:rPr>
              <w:t>. angustissima</w:t>
            </w:r>
          </w:p>
        </w:tc>
      </w:tr>
      <w:tr w:rsidR="002912CD" w:rsidRPr="00F9522B" w:rsidTr="00602D12">
        <w:trPr>
          <w:trHeight w:val="339"/>
        </w:trPr>
        <w:tc>
          <w:tcPr>
            <w:tcW w:w="2054" w:type="dxa"/>
            <w:vMerge/>
            <w:vAlign w:val="center"/>
          </w:tcPr>
          <w:p w:rsidR="002912CD" w:rsidRPr="00F9522B" w:rsidRDefault="002912CD">
            <w:pPr>
              <w:spacing w:line="0" w:lineRule="atLeast"/>
              <w:jc w:val="center"/>
              <w:rPr>
                <w:szCs w:val="21"/>
              </w:rPr>
            </w:pPr>
          </w:p>
        </w:tc>
        <w:tc>
          <w:tcPr>
            <w:tcW w:w="2274" w:type="dxa"/>
            <w:vAlign w:val="center"/>
          </w:tcPr>
          <w:p w:rsidR="002912CD" w:rsidRPr="00F9522B" w:rsidRDefault="002912CD">
            <w:pPr>
              <w:pStyle w:val="TableText"/>
              <w:spacing w:line="0" w:lineRule="atLeast"/>
              <w:jc w:val="center"/>
              <w:rPr>
                <w:color w:val="auto"/>
                <w:sz w:val="21"/>
                <w:szCs w:val="21"/>
              </w:rPr>
            </w:pPr>
            <w:r w:rsidRPr="00F9522B">
              <w:rPr>
                <w:rFonts w:eastAsia="宋体"/>
                <w:color w:val="auto"/>
                <w:spacing w:val="7"/>
                <w:sz w:val="21"/>
                <w:szCs w:val="21"/>
              </w:rPr>
              <w:t>尖针杆藻</w:t>
            </w:r>
          </w:p>
        </w:tc>
        <w:tc>
          <w:tcPr>
            <w:tcW w:w="3546" w:type="dxa"/>
            <w:gridSpan w:val="2"/>
            <w:vAlign w:val="center"/>
          </w:tcPr>
          <w:p w:rsidR="002912CD" w:rsidRPr="00F9522B" w:rsidRDefault="002912CD">
            <w:pPr>
              <w:kinsoku w:val="0"/>
              <w:autoSpaceDE w:val="0"/>
              <w:autoSpaceDN w:val="0"/>
              <w:adjustRightInd w:val="0"/>
              <w:snapToGrid w:val="0"/>
              <w:spacing w:line="0" w:lineRule="atLeast"/>
              <w:jc w:val="center"/>
              <w:textAlignment w:val="baseline"/>
              <w:rPr>
                <w:szCs w:val="21"/>
              </w:rPr>
            </w:pPr>
            <w:r w:rsidRPr="00F9522B">
              <w:rPr>
                <w:i/>
                <w:iCs/>
                <w:spacing w:val="4"/>
                <w:position w:val="4"/>
                <w:szCs w:val="21"/>
              </w:rPr>
              <w:t>Synedra acus</w:t>
            </w:r>
          </w:p>
        </w:tc>
      </w:tr>
      <w:tr w:rsidR="002912CD" w:rsidRPr="00F9522B" w:rsidTr="00602D12">
        <w:trPr>
          <w:trHeight w:val="339"/>
        </w:trPr>
        <w:tc>
          <w:tcPr>
            <w:tcW w:w="2054" w:type="dxa"/>
            <w:vMerge/>
            <w:vAlign w:val="center"/>
          </w:tcPr>
          <w:p w:rsidR="002912CD" w:rsidRPr="00F9522B" w:rsidRDefault="002912CD">
            <w:pPr>
              <w:spacing w:line="0" w:lineRule="atLeast"/>
              <w:jc w:val="center"/>
              <w:rPr>
                <w:szCs w:val="21"/>
              </w:rPr>
            </w:pPr>
          </w:p>
        </w:tc>
        <w:tc>
          <w:tcPr>
            <w:tcW w:w="2274" w:type="dxa"/>
            <w:vAlign w:val="center"/>
          </w:tcPr>
          <w:p w:rsidR="002912CD" w:rsidRPr="00F9522B" w:rsidRDefault="002912CD">
            <w:pPr>
              <w:pStyle w:val="TableText"/>
              <w:spacing w:line="0" w:lineRule="atLeast"/>
              <w:jc w:val="center"/>
              <w:rPr>
                <w:color w:val="auto"/>
                <w:sz w:val="21"/>
                <w:szCs w:val="21"/>
              </w:rPr>
            </w:pPr>
            <w:r w:rsidRPr="00F9522B">
              <w:rPr>
                <w:rFonts w:eastAsia="宋体"/>
                <w:color w:val="auto"/>
                <w:spacing w:val="7"/>
                <w:sz w:val="21"/>
                <w:szCs w:val="21"/>
              </w:rPr>
              <w:t>华丽星杆藻</w:t>
            </w:r>
          </w:p>
        </w:tc>
        <w:tc>
          <w:tcPr>
            <w:tcW w:w="3546" w:type="dxa"/>
            <w:gridSpan w:val="2"/>
            <w:vAlign w:val="center"/>
          </w:tcPr>
          <w:p w:rsidR="002912CD" w:rsidRPr="00F9522B" w:rsidRDefault="002912CD">
            <w:pPr>
              <w:kinsoku w:val="0"/>
              <w:autoSpaceDE w:val="0"/>
              <w:autoSpaceDN w:val="0"/>
              <w:adjustRightInd w:val="0"/>
              <w:snapToGrid w:val="0"/>
              <w:spacing w:line="0" w:lineRule="atLeast"/>
              <w:jc w:val="center"/>
              <w:textAlignment w:val="baseline"/>
              <w:rPr>
                <w:szCs w:val="21"/>
              </w:rPr>
            </w:pPr>
            <w:r w:rsidRPr="00F9522B">
              <w:rPr>
                <w:i/>
                <w:iCs/>
                <w:spacing w:val="6"/>
                <w:position w:val="4"/>
                <w:szCs w:val="21"/>
              </w:rPr>
              <w:t>Asterionellaformosa</w:t>
            </w:r>
          </w:p>
        </w:tc>
      </w:tr>
      <w:tr w:rsidR="002912CD" w:rsidRPr="00F9522B" w:rsidTr="00602D12">
        <w:trPr>
          <w:trHeight w:val="339"/>
        </w:trPr>
        <w:tc>
          <w:tcPr>
            <w:tcW w:w="2054" w:type="dxa"/>
            <w:vMerge/>
            <w:vAlign w:val="center"/>
          </w:tcPr>
          <w:p w:rsidR="002912CD" w:rsidRPr="00F9522B" w:rsidRDefault="002912CD">
            <w:pPr>
              <w:spacing w:line="0" w:lineRule="atLeast"/>
              <w:jc w:val="center"/>
              <w:rPr>
                <w:szCs w:val="21"/>
              </w:rPr>
            </w:pPr>
          </w:p>
        </w:tc>
        <w:tc>
          <w:tcPr>
            <w:tcW w:w="2274" w:type="dxa"/>
            <w:vAlign w:val="center"/>
          </w:tcPr>
          <w:p w:rsidR="002912CD" w:rsidRPr="00F9522B" w:rsidRDefault="002912CD">
            <w:pPr>
              <w:pStyle w:val="TableText"/>
              <w:spacing w:line="0" w:lineRule="atLeast"/>
              <w:jc w:val="center"/>
              <w:rPr>
                <w:color w:val="auto"/>
                <w:sz w:val="21"/>
                <w:szCs w:val="21"/>
              </w:rPr>
            </w:pPr>
            <w:r w:rsidRPr="00F9522B">
              <w:rPr>
                <w:rFonts w:eastAsia="宋体"/>
                <w:color w:val="auto"/>
                <w:spacing w:val="8"/>
                <w:sz w:val="21"/>
                <w:szCs w:val="21"/>
              </w:rPr>
              <w:t>梅尼小环藻</w:t>
            </w:r>
          </w:p>
        </w:tc>
        <w:tc>
          <w:tcPr>
            <w:tcW w:w="3546" w:type="dxa"/>
            <w:gridSpan w:val="2"/>
            <w:vAlign w:val="center"/>
          </w:tcPr>
          <w:p w:rsidR="002912CD" w:rsidRPr="00F9522B" w:rsidRDefault="002912CD">
            <w:pPr>
              <w:kinsoku w:val="0"/>
              <w:autoSpaceDE w:val="0"/>
              <w:autoSpaceDN w:val="0"/>
              <w:adjustRightInd w:val="0"/>
              <w:snapToGrid w:val="0"/>
              <w:spacing w:line="0" w:lineRule="atLeast"/>
              <w:jc w:val="center"/>
              <w:textAlignment w:val="baseline"/>
              <w:rPr>
                <w:szCs w:val="21"/>
              </w:rPr>
            </w:pPr>
            <w:r w:rsidRPr="00F9522B">
              <w:rPr>
                <w:i/>
                <w:iCs/>
                <w:spacing w:val="3"/>
                <w:position w:val="4"/>
                <w:szCs w:val="21"/>
              </w:rPr>
              <w:t>Cyclotella meneghiniana</w:t>
            </w:r>
          </w:p>
        </w:tc>
      </w:tr>
      <w:tr w:rsidR="002A5A5E" w:rsidRPr="00F9522B" w:rsidTr="00602D12">
        <w:trPr>
          <w:trHeight w:val="339"/>
        </w:trPr>
        <w:tc>
          <w:tcPr>
            <w:tcW w:w="2054" w:type="dxa"/>
            <w:vMerge w:val="restart"/>
            <w:vAlign w:val="center"/>
          </w:tcPr>
          <w:p w:rsidR="002A5A5E" w:rsidRPr="00F9522B" w:rsidRDefault="00565A50">
            <w:pPr>
              <w:spacing w:line="0" w:lineRule="atLeast"/>
              <w:jc w:val="center"/>
              <w:rPr>
                <w:szCs w:val="21"/>
              </w:rPr>
            </w:pPr>
            <w:r w:rsidRPr="00F9522B">
              <w:rPr>
                <w:spacing w:val="25"/>
                <w:szCs w:val="21"/>
              </w:rPr>
              <w:t>硅藻门</w:t>
            </w:r>
            <w:r w:rsidRPr="00F9522B">
              <w:rPr>
                <w:szCs w:val="21"/>
              </w:rPr>
              <w:t>Bacillariophyta</w:t>
            </w:r>
          </w:p>
        </w:tc>
        <w:tc>
          <w:tcPr>
            <w:tcW w:w="2274"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7"/>
                <w:sz w:val="21"/>
                <w:szCs w:val="21"/>
              </w:rPr>
              <w:t>短小舟形藻</w:t>
            </w:r>
          </w:p>
        </w:tc>
        <w:tc>
          <w:tcPr>
            <w:tcW w:w="3546" w:type="dxa"/>
            <w:gridSpan w:val="2"/>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i/>
                <w:iCs/>
                <w:spacing w:val="4"/>
                <w:position w:val="4"/>
                <w:szCs w:val="21"/>
              </w:rPr>
              <w:t>Navicula exigua</w:t>
            </w:r>
          </w:p>
        </w:tc>
      </w:tr>
      <w:tr w:rsidR="002A5A5E" w:rsidRPr="00F9522B" w:rsidTr="00602D12">
        <w:trPr>
          <w:trHeight w:val="339"/>
        </w:trPr>
        <w:tc>
          <w:tcPr>
            <w:tcW w:w="2054" w:type="dxa"/>
            <w:vMerge/>
            <w:vAlign w:val="center"/>
          </w:tcPr>
          <w:p w:rsidR="002A5A5E" w:rsidRPr="00F9522B" w:rsidRDefault="002A5A5E">
            <w:pPr>
              <w:spacing w:line="0" w:lineRule="atLeast"/>
              <w:jc w:val="center"/>
              <w:rPr>
                <w:szCs w:val="21"/>
              </w:rPr>
            </w:pPr>
          </w:p>
        </w:tc>
        <w:tc>
          <w:tcPr>
            <w:tcW w:w="2274"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8"/>
                <w:sz w:val="21"/>
                <w:szCs w:val="21"/>
              </w:rPr>
              <w:t>放射舟形藻</w:t>
            </w:r>
          </w:p>
        </w:tc>
        <w:tc>
          <w:tcPr>
            <w:tcW w:w="3546" w:type="dxa"/>
            <w:gridSpan w:val="2"/>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i/>
                <w:iCs/>
                <w:spacing w:val="4"/>
                <w:position w:val="2"/>
                <w:szCs w:val="21"/>
              </w:rPr>
              <w:t>Navicula radiosa</w:t>
            </w:r>
          </w:p>
        </w:tc>
      </w:tr>
      <w:tr w:rsidR="002A5A5E" w:rsidRPr="00F9522B" w:rsidTr="00602D12">
        <w:trPr>
          <w:trHeight w:val="339"/>
        </w:trPr>
        <w:tc>
          <w:tcPr>
            <w:tcW w:w="2054" w:type="dxa"/>
            <w:vMerge/>
            <w:vAlign w:val="center"/>
          </w:tcPr>
          <w:p w:rsidR="002A5A5E" w:rsidRPr="00F9522B" w:rsidRDefault="002A5A5E">
            <w:pPr>
              <w:spacing w:line="0" w:lineRule="atLeast"/>
              <w:jc w:val="center"/>
              <w:rPr>
                <w:szCs w:val="21"/>
              </w:rPr>
            </w:pPr>
          </w:p>
        </w:tc>
        <w:tc>
          <w:tcPr>
            <w:tcW w:w="2274"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8"/>
                <w:sz w:val="21"/>
                <w:szCs w:val="21"/>
              </w:rPr>
              <w:t>双头舟形藻</w:t>
            </w:r>
          </w:p>
        </w:tc>
        <w:tc>
          <w:tcPr>
            <w:tcW w:w="3546" w:type="dxa"/>
            <w:gridSpan w:val="2"/>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i/>
                <w:iCs/>
                <w:spacing w:val="4"/>
                <w:position w:val="4"/>
                <w:szCs w:val="21"/>
              </w:rPr>
              <w:t>Navicula dicephala</w:t>
            </w:r>
          </w:p>
        </w:tc>
      </w:tr>
      <w:tr w:rsidR="002A5A5E" w:rsidRPr="00F9522B" w:rsidTr="00602D12">
        <w:trPr>
          <w:trHeight w:val="339"/>
        </w:trPr>
        <w:tc>
          <w:tcPr>
            <w:tcW w:w="2054" w:type="dxa"/>
            <w:vMerge/>
            <w:vAlign w:val="center"/>
          </w:tcPr>
          <w:p w:rsidR="002A5A5E" w:rsidRPr="00F9522B" w:rsidRDefault="002A5A5E">
            <w:pPr>
              <w:spacing w:line="0" w:lineRule="atLeast"/>
              <w:jc w:val="center"/>
              <w:rPr>
                <w:szCs w:val="21"/>
              </w:rPr>
            </w:pPr>
          </w:p>
        </w:tc>
        <w:tc>
          <w:tcPr>
            <w:tcW w:w="2274"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8"/>
                <w:sz w:val="21"/>
                <w:szCs w:val="21"/>
              </w:rPr>
              <w:t>环状扇形藻</w:t>
            </w:r>
          </w:p>
        </w:tc>
        <w:tc>
          <w:tcPr>
            <w:tcW w:w="3546" w:type="dxa"/>
            <w:gridSpan w:val="2"/>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i/>
                <w:iCs/>
                <w:spacing w:val="4"/>
                <w:position w:val="2"/>
                <w:szCs w:val="21"/>
              </w:rPr>
              <w:t>Meridion circulare</w:t>
            </w:r>
          </w:p>
        </w:tc>
      </w:tr>
      <w:tr w:rsidR="002A5A5E" w:rsidRPr="00F9522B" w:rsidTr="00602D12">
        <w:trPr>
          <w:trHeight w:val="339"/>
        </w:trPr>
        <w:tc>
          <w:tcPr>
            <w:tcW w:w="2054" w:type="dxa"/>
            <w:vMerge/>
            <w:vAlign w:val="center"/>
          </w:tcPr>
          <w:p w:rsidR="002A5A5E" w:rsidRPr="00F9522B" w:rsidRDefault="002A5A5E">
            <w:pPr>
              <w:spacing w:line="0" w:lineRule="atLeast"/>
              <w:jc w:val="center"/>
              <w:rPr>
                <w:szCs w:val="21"/>
              </w:rPr>
            </w:pPr>
          </w:p>
        </w:tc>
        <w:tc>
          <w:tcPr>
            <w:tcW w:w="2274"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7"/>
                <w:sz w:val="21"/>
                <w:szCs w:val="21"/>
              </w:rPr>
              <w:t>菱形藻属</w:t>
            </w:r>
          </w:p>
        </w:tc>
        <w:tc>
          <w:tcPr>
            <w:tcW w:w="3546" w:type="dxa"/>
            <w:gridSpan w:val="2"/>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i/>
                <w:iCs/>
                <w:spacing w:val="4"/>
                <w:position w:val="2"/>
                <w:szCs w:val="21"/>
              </w:rPr>
              <w:t>HantzschiaGrunow</w:t>
            </w:r>
          </w:p>
        </w:tc>
      </w:tr>
      <w:tr w:rsidR="002A5A5E" w:rsidRPr="00F9522B" w:rsidTr="00602D12">
        <w:trPr>
          <w:trHeight w:val="339"/>
        </w:trPr>
        <w:tc>
          <w:tcPr>
            <w:tcW w:w="2054" w:type="dxa"/>
            <w:vMerge w:val="restart"/>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20"/>
                <w:sz w:val="21"/>
                <w:szCs w:val="21"/>
              </w:rPr>
              <w:t>金藻门</w:t>
            </w:r>
            <w:r w:rsidRPr="00F9522B">
              <w:rPr>
                <w:color w:val="auto"/>
                <w:sz w:val="21"/>
                <w:szCs w:val="21"/>
              </w:rPr>
              <w:t>Chrysophyta</w:t>
            </w:r>
          </w:p>
        </w:tc>
        <w:tc>
          <w:tcPr>
            <w:tcW w:w="2274"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7"/>
                <w:sz w:val="21"/>
                <w:szCs w:val="21"/>
              </w:rPr>
              <w:t>华美色金藻</w:t>
            </w:r>
          </w:p>
        </w:tc>
        <w:tc>
          <w:tcPr>
            <w:tcW w:w="3546" w:type="dxa"/>
            <w:gridSpan w:val="2"/>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i/>
                <w:iCs/>
                <w:spacing w:val="3"/>
                <w:position w:val="4"/>
                <w:szCs w:val="21"/>
              </w:rPr>
              <w:t>Chromulina elegans</w:t>
            </w:r>
          </w:p>
        </w:tc>
      </w:tr>
      <w:tr w:rsidR="002A5A5E" w:rsidRPr="00F9522B" w:rsidTr="00602D12">
        <w:trPr>
          <w:trHeight w:val="339"/>
        </w:trPr>
        <w:tc>
          <w:tcPr>
            <w:tcW w:w="2054" w:type="dxa"/>
            <w:vMerge/>
            <w:vAlign w:val="center"/>
          </w:tcPr>
          <w:p w:rsidR="002A5A5E" w:rsidRPr="00F9522B" w:rsidRDefault="002A5A5E">
            <w:pPr>
              <w:spacing w:line="0" w:lineRule="atLeast"/>
              <w:jc w:val="center"/>
              <w:rPr>
                <w:szCs w:val="21"/>
              </w:rPr>
            </w:pPr>
          </w:p>
        </w:tc>
        <w:tc>
          <w:tcPr>
            <w:tcW w:w="2274"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7"/>
                <w:sz w:val="21"/>
                <w:szCs w:val="21"/>
              </w:rPr>
              <w:t>浮游金杯藻</w:t>
            </w:r>
          </w:p>
        </w:tc>
        <w:tc>
          <w:tcPr>
            <w:tcW w:w="3546" w:type="dxa"/>
            <w:gridSpan w:val="2"/>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i/>
                <w:iCs/>
                <w:spacing w:val="6"/>
                <w:position w:val="4"/>
                <w:szCs w:val="21"/>
              </w:rPr>
              <w:t>Kephyrionplanctonicum</w:t>
            </w:r>
          </w:p>
        </w:tc>
      </w:tr>
      <w:tr w:rsidR="002A5A5E" w:rsidRPr="00F9522B" w:rsidTr="00602D12">
        <w:trPr>
          <w:trHeight w:val="339"/>
        </w:trPr>
        <w:tc>
          <w:tcPr>
            <w:tcW w:w="2054" w:type="dxa"/>
            <w:vMerge w:val="restart"/>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5"/>
                <w:sz w:val="21"/>
                <w:szCs w:val="21"/>
              </w:rPr>
              <w:t>隐藻门</w:t>
            </w:r>
            <w:r w:rsidRPr="00F9522B">
              <w:rPr>
                <w:color w:val="auto"/>
                <w:sz w:val="21"/>
                <w:szCs w:val="21"/>
              </w:rPr>
              <w:t>Cryptophyta</w:t>
            </w:r>
          </w:p>
        </w:tc>
        <w:tc>
          <w:tcPr>
            <w:tcW w:w="2274"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5"/>
                <w:sz w:val="21"/>
                <w:szCs w:val="21"/>
              </w:rPr>
              <w:t>卵形隐藻</w:t>
            </w:r>
          </w:p>
        </w:tc>
        <w:tc>
          <w:tcPr>
            <w:tcW w:w="3546" w:type="dxa"/>
            <w:gridSpan w:val="2"/>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i/>
                <w:iCs/>
                <w:spacing w:val="3"/>
                <w:szCs w:val="21"/>
              </w:rPr>
              <w:t>Cryptomonas ovata</w:t>
            </w:r>
          </w:p>
        </w:tc>
      </w:tr>
      <w:tr w:rsidR="002A5A5E" w:rsidRPr="00F9522B" w:rsidTr="00602D12">
        <w:trPr>
          <w:trHeight w:val="339"/>
        </w:trPr>
        <w:tc>
          <w:tcPr>
            <w:tcW w:w="2054" w:type="dxa"/>
            <w:vMerge/>
            <w:vAlign w:val="center"/>
          </w:tcPr>
          <w:p w:rsidR="002A5A5E" w:rsidRPr="00F9522B" w:rsidRDefault="002A5A5E">
            <w:pPr>
              <w:spacing w:line="0" w:lineRule="atLeast"/>
              <w:jc w:val="center"/>
              <w:rPr>
                <w:szCs w:val="21"/>
              </w:rPr>
            </w:pPr>
          </w:p>
        </w:tc>
        <w:tc>
          <w:tcPr>
            <w:tcW w:w="2274"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8"/>
                <w:sz w:val="21"/>
                <w:szCs w:val="21"/>
              </w:rPr>
              <w:t>尖尾蓝隐藻</w:t>
            </w:r>
          </w:p>
        </w:tc>
        <w:tc>
          <w:tcPr>
            <w:tcW w:w="3546" w:type="dxa"/>
            <w:gridSpan w:val="2"/>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i/>
                <w:iCs/>
                <w:spacing w:val="3"/>
                <w:position w:val="2"/>
                <w:szCs w:val="21"/>
              </w:rPr>
              <w:t>Chroomonas acuta</w:t>
            </w:r>
          </w:p>
        </w:tc>
      </w:tr>
      <w:tr w:rsidR="002A5A5E" w:rsidRPr="00F9522B" w:rsidTr="00602D12">
        <w:trPr>
          <w:trHeight w:val="339"/>
        </w:trPr>
        <w:tc>
          <w:tcPr>
            <w:tcW w:w="2054"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23"/>
                <w:sz w:val="21"/>
                <w:szCs w:val="21"/>
              </w:rPr>
              <w:t>裸藻门</w:t>
            </w:r>
            <w:r w:rsidRPr="00F9522B">
              <w:rPr>
                <w:color w:val="auto"/>
                <w:sz w:val="21"/>
                <w:szCs w:val="21"/>
              </w:rPr>
              <w:t>Euglenophyta</w:t>
            </w:r>
          </w:p>
        </w:tc>
        <w:tc>
          <w:tcPr>
            <w:tcW w:w="2274"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7"/>
                <w:sz w:val="21"/>
                <w:szCs w:val="21"/>
              </w:rPr>
              <w:t>尖尾裸藻</w:t>
            </w:r>
          </w:p>
        </w:tc>
        <w:tc>
          <w:tcPr>
            <w:tcW w:w="3546" w:type="dxa"/>
            <w:gridSpan w:val="2"/>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i/>
                <w:iCs/>
                <w:spacing w:val="4"/>
                <w:position w:val="4"/>
                <w:szCs w:val="21"/>
              </w:rPr>
              <w:t>Euglena oxyuris</w:t>
            </w:r>
          </w:p>
        </w:tc>
      </w:tr>
      <w:tr w:rsidR="002A5A5E" w:rsidRPr="00F9522B" w:rsidTr="00602D12">
        <w:trPr>
          <w:trHeight w:val="339"/>
        </w:trPr>
        <w:tc>
          <w:tcPr>
            <w:tcW w:w="2054"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0"/>
                <w:sz w:val="21"/>
                <w:szCs w:val="21"/>
              </w:rPr>
              <w:t>甲藻门</w:t>
            </w:r>
            <w:r w:rsidRPr="00F9522B">
              <w:rPr>
                <w:color w:val="auto"/>
                <w:sz w:val="21"/>
                <w:szCs w:val="21"/>
              </w:rPr>
              <w:t>Pyrrophyta</w:t>
            </w:r>
          </w:p>
        </w:tc>
        <w:tc>
          <w:tcPr>
            <w:tcW w:w="2274"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5"/>
                <w:sz w:val="21"/>
                <w:szCs w:val="21"/>
              </w:rPr>
              <w:t>薄甲藻</w:t>
            </w:r>
          </w:p>
        </w:tc>
        <w:tc>
          <w:tcPr>
            <w:tcW w:w="3546" w:type="dxa"/>
            <w:gridSpan w:val="2"/>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i/>
                <w:iCs/>
                <w:spacing w:val="6"/>
                <w:position w:val="4"/>
                <w:szCs w:val="21"/>
              </w:rPr>
              <w:t>Glenodiniumpulvisculus</w:t>
            </w:r>
          </w:p>
        </w:tc>
      </w:tr>
      <w:tr w:rsidR="00602D12" w:rsidRPr="00F9522B" w:rsidTr="00602D12">
        <w:trPr>
          <w:trHeight w:val="339"/>
        </w:trPr>
        <w:tc>
          <w:tcPr>
            <w:tcW w:w="2054" w:type="dxa"/>
            <w:vMerge w:val="restart"/>
            <w:vAlign w:val="center"/>
          </w:tcPr>
          <w:p w:rsidR="00602D12" w:rsidRPr="00F9522B" w:rsidRDefault="00602D12">
            <w:pPr>
              <w:pStyle w:val="TableText"/>
              <w:spacing w:line="0" w:lineRule="atLeast"/>
              <w:jc w:val="center"/>
              <w:rPr>
                <w:color w:val="auto"/>
                <w:sz w:val="21"/>
                <w:szCs w:val="21"/>
              </w:rPr>
            </w:pPr>
            <w:r w:rsidRPr="00F9522B">
              <w:rPr>
                <w:rFonts w:eastAsia="宋体"/>
                <w:color w:val="auto"/>
                <w:spacing w:val="19"/>
                <w:sz w:val="21"/>
                <w:szCs w:val="21"/>
              </w:rPr>
              <w:t>绿藻门</w:t>
            </w:r>
            <w:r w:rsidRPr="00F9522B">
              <w:rPr>
                <w:color w:val="auto"/>
                <w:sz w:val="21"/>
                <w:szCs w:val="21"/>
              </w:rPr>
              <w:t>Chlorophyta</w:t>
            </w:r>
          </w:p>
        </w:tc>
        <w:tc>
          <w:tcPr>
            <w:tcW w:w="2274" w:type="dxa"/>
            <w:vAlign w:val="center"/>
          </w:tcPr>
          <w:p w:rsidR="00602D12" w:rsidRPr="00F9522B" w:rsidRDefault="00602D12">
            <w:pPr>
              <w:pStyle w:val="TableText"/>
              <w:spacing w:line="0" w:lineRule="atLeast"/>
              <w:jc w:val="center"/>
              <w:rPr>
                <w:color w:val="auto"/>
                <w:sz w:val="21"/>
                <w:szCs w:val="21"/>
              </w:rPr>
            </w:pPr>
            <w:r w:rsidRPr="00F9522B">
              <w:rPr>
                <w:rFonts w:eastAsia="宋体"/>
                <w:color w:val="auto"/>
                <w:spacing w:val="5"/>
                <w:sz w:val="21"/>
                <w:szCs w:val="21"/>
              </w:rPr>
              <w:t>卵形衣藻</w:t>
            </w:r>
          </w:p>
        </w:tc>
        <w:tc>
          <w:tcPr>
            <w:tcW w:w="3546" w:type="dxa"/>
            <w:gridSpan w:val="2"/>
            <w:vAlign w:val="center"/>
          </w:tcPr>
          <w:p w:rsidR="00602D12" w:rsidRPr="00F9522B" w:rsidRDefault="00602D12">
            <w:pPr>
              <w:kinsoku w:val="0"/>
              <w:autoSpaceDE w:val="0"/>
              <w:autoSpaceDN w:val="0"/>
              <w:adjustRightInd w:val="0"/>
              <w:snapToGrid w:val="0"/>
              <w:spacing w:line="0" w:lineRule="atLeast"/>
              <w:jc w:val="center"/>
              <w:textAlignment w:val="baseline"/>
              <w:rPr>
                <w:szCs w:val="21"/>
              </w:rPr>
            </w:pPr>
            <w:r w:rsidRPr="00F9522B">
              <w:rPr>
                <w:i/>
                <w:iCs/>
                <w:spacing w:val="3"/>
                <w:position w:val="4"/>
                <w:szCs w:val="21"/>
              </w:rPr>
              <w:t>Chlamydomonas ovalis</w:t>
            </w:r>
          </w:p>
        </w:tc>
      </w:tr>
      <w:tr w:rsidR="00602D12" w:rsidRPr="00F9522B" w:rsidTr="00602D12">
        <w:trPr>
          <w:trHeight w:val="339"/>
        </w:trPr>
        <w:tc>
          <w:tcPr>
            <w:tcW w:w="2053" w:type="dxa"/>
            <w:vMerge/>
            <w:vAlign w:val="center"/>
          </w:tcPr>
          <w:p w:rsidR="00602D12" w:rsidRPr="00F9522B" w:rsidRDefault="00602D12">
            <w:pPr>
              <w:spacing w:line="0" w:lineRule="atLeast"/>
              <w:jc w:val="center"/>
              <w:rPr>
                <w:szCs w:val="21"/>
              </w:rPr>
            </w:pPr>
          </w:p>
        </w:tc>
        <w:tc>
          <w:tcPr>
            <w:tcW w:w="2273" w:type="dxa"/>
            <w:vAlign w:val="center"/>
          </w:tcPr>
          <w:p w:rsidR="00602D12" w:rsidRPr="00F9522B" w:rsidRDefault="00602D12">
            <w:pPr>
              <w:pStyle w:val="TableText"/>
              <w:spacing w:line="0" w:lineRule="atLeast"/>
              <w:jc w:val="center"/>
              <w:rPr>
                <w:color w:val="auto"/>
                <w:sz w:val="21"/>
                <w:szCs w:val="21"/>
              </w:rPr>
            </w:pPr>
            <w:r w:rsidRPr="00F9522B">
              <w:rPr>
                <w:rFonts w:eastAsia="宋体"/>
                <w:color w:val="auto"/>
                <w:spacing w:val="6"/>
                <w:sz w:val="21"/>
                <w:szCs w:val="21"/>
              </w:rPr>
              <w:t>球衣藻</w:t>
            </w:r>
          </w:p>
        </w:tc>
        <w:tc>
          <w:tcPr>
            <w:tcW w:w="3548" w:type="dxa"/>
            <w:gridSpan w:val="2"/>
            <w:vAlign w:val="center"/>
          </w:tcPr>
          <w:p w:rsidR="00602D12" w:rsidRPr="00F9522B" w:rsidRDefault="00602D12">
            <w:pPr>
              <w:kinsoku w:val="0"/>
              <w:autoSpaceDE w:val="0"/>
              <w:autoSpaceDN w:val="0"/>
              <w:adjustRightInd w:val="0"/>
              <w:snapToGrid w:val="0"/>
              <w:spacing w:line="0" w:lineRule="atLeast"/>
              <w:jc w:val="center"/>
              <w:textAlignment w:val="baseline"/>
              <w:rPr>
                <w:szCs w:val="21"/>
              </w:rPr>
            </w:pPr>
            <w:r w:rsidRPr="00F9522B">
              <w:rPr>
                <w:i/>
                <w:iCs/>
                <w:spacing w:val="4"/>
                <w:position w:val="4"/>
                <w:szCs w:val="21"/>
              </w:rPr>
              <w:t>Chlamydomonas globosa</w:t>
            </w:r>
          </w:p>
        </w:tc>
      </w:tr>
      <w:tr w:rsidR="00602D12" w:rsidRPr="00F9522B" w:rsidTr="00602D12">
        <w:trPr>
          <w:trHeight w:val="339"/>
        </w:trPr>
        <w:tc>
          <w:tcPr>
            <w:tcW w:w="2053" w:type="dxa"/>
            <w:vMerge/>
            <w:vAlign w:val="center"/>
          </w:tcPr>
          <w:p w:rsidR="00602D12" w:rsidRPr="00F9522B" w:rsidRDefault="00602D12">
            <w:pPr>
              <w:spacing w:line="0" w:lineRule="atLeast"/>
              <w:jc w:val="center"/>
              <w:rPr>
                <w:szCs w:val="21"/>
              </w:rPr>
            </w:pPr>
          </w:p>
        </w:tc>
        <w:tc>
          <w:tcPr>
            <w:tcW w:w="2273" w:type="dxa"/>
            <w:vAlign w:val="center"/>
          </w:tcPr>
          <w:p w:rsidR="00602D12" w:rsidRPr="00F9522B" w:rsidRDefault="00602D12">
            <w:pPr>
              <w:pStyle w:val="TableText"/>
              <w:spacing w:line="0" w:lineRule="atLeast"/>
              <w:jc w:val="center"/>
              <w:rPr>
                <w:color w:val="auto"/>
                <w:sz w:val="21"/>
                <w:szCs w:val="21"/>
              </w:rPr>
            </w:pPr>
            <w:r w:rsidRPr="00F9522B">
              <w:rPr>
                <w:rFonts w:eastAsia="宋体"/>
                <w:color w:val="auto"/>
                <w:spacing w:val="8"/>
                <w:sz w:val="21"/>
                <w:szCs w:val="21"/>
              </w:rPr>
              <w:t>狭形纤维藻</w:t>
            </w:r>
          </w:p>
        </w:tc>
        <w:tc>
          <w:tcPr>
            <w:tcW w:w="3548" w:type="dxa"/>
            <w:gridSpan w:val="2"/>
            <w:vAlign w:val="center"/>
          </w:tcPr>
          <w:p w:rsidR="00602D12" w:rsidRPr="00F9522B" w:rsidRDefault="00602D12">
            <w:pPr>
              <w:kinsoku w:val="0"/>
              <w:autoSpaceDE w:val="0"/>
              <w:autoSpaceDN w:val="0"/>
              <w:adjustRightInd w:val="0"/>
              <w:snapToGrid w:val="0"/>
              <w:spacing w:line="0" w:lineRule="atLeast"/>
              <w:jc w:val="center"/>
              <w:textAlignment w:val="baseline"/>
              <w:rPr>
                <w:szCs w:val="21"/>
              </w:rPr>
            </w:pPr>
            <w:r w:rsidRPr="00F9522B">
              <w:rPr>
                <w:i/>
                <w:iCs/>
                <w:spacing w:val="4"/>
                <w:position w:val="4"/>
                <w:szCs w:val="21"/>
              </w:rPr>
              <w:t>Ankistrodesmus angustus</w:t>
            </w:r>
          </w:p>
        </w:tc>
      </w:tr>
      <w:tr w:rsidR="00602D12" w:rsidRPr="00F9522B" w:rsidTr="00602D12">
        <w:trPr>
          <w:trHeight w:val="339"/>
        </w:trPr>
        <w:tc>
          <w:tcPr>
            <w:tcW w:w="2053" w:type="dxa"/>
            <w:vMerge/>
            <w:vAlign w:val="center"/>
          </w:tcPr>
          <w:p w:rsidR="00602D12" w:rsidRPr="00F9522B" w:rsidRDefault="00602D12">
            <w:pPr>
              <w:spacing w:line="0" w:lineRule="atLeast"/>
              <w:jc w:val="center"/>
              <w:rPr>
                <w:szCs w:val="21"/>
              </w:rPr>
            </w:pPr>
          </w:p>
        </w:tc>
        <w:tc>
          <w:tcPr>
            <w:tcW w:w="2273" w:type="dxa"/>
            <w:vAlign w:val="center"/>
          </w:tcPr>
          <w:p w:rsidR="00602D12" w:rsidRPr="00F9522B" w:rsidRDefault="00602D12">
            <w:pPr>
              <w:pStyle w:val="TableText"/>
              <w:spacing w:line="0" w:lineRule="atLeast"/>
              <w:jc w:val="center"/>
              <w:rPr>
                <w:color w:val="auto"/>
                <w:sz w:val="21"/>
                <w:szCs w:val="21"/>
              </w:rPr>
            </w:pPr>
            <w:r w:rsidRPr="00F9522B">
              <w:rPr>
                <w:rFonts w:eastAsia="宋体"/>
                <w:color w:val="auto"/>
                <w:spacing w:val="8"/>
                <w:sz w:val="21"/>
                <w:szCs w:val="21"/>
              </w:rPr>
              <w:t>针形纤维藻</w:t>
            </w:r>
          </w:p>
        </w:tc>
        <w:tc>
          <w:tcPr>
            <w:tcW w:w="3548" w:type="dxa"/>
            <w:gridSpan w:val="2"/>
            <w:vAlign w:val="center"/>
          </w:tcPr>
          <w:p w:rsidR="00602D12" w:rsidRPr="00F9522B" w:rsidRDefault="00602D12">
            <w:pPr>
              <w:kinsoku w:val="0"/>
              <w:autoSpaceDE w:val="0"/>
              <w:autoSpaceDN w:val="0"/>
              <w:adjustRightInd w:val="0"/>
              <w:snapToGrid w:val="0"/>
              <w:spacing w:line="0" w:lineRule="atLeast"/>
              <w:jc w:val="center"/>
              <w:textAlignment w:val="baseline"/>
              <w:rPr>
                <w:szCs w:val="21"/>
              </w:rPr>
            </w:pPr>
            <w:r w:rsidRPr="00F9522B">
              <w:rPr>
                <w:i/>
                <w:iCs/>
                <w:spacing w:val="4"/>
                <w:position w:val="2"/>
                <w:szCs w:val="21"/>
              </w:rPr>
              <w:t>Ankistrodesmus acicularis</w:t>
            </w:r>
          </w:p>
        </w:tc>
      </w:tr>
      <w:tr w:rsidR="00602D12" w:rsidRPr="00F9522B" w:rsidTr="00602D12">
        <w:trPr>
          <w:trHeight w:val="339"/>
        </w:trPr>
        <w:tc>
          <w:tcPr>
            <w:tcW w:w="2053" w:type="dxa"/>
            <w:vMerge/>
            <w:vAlign w:val="center"/>
          </w:tcPr>
          <w:p w:rsidR="00602D12" w:rsidRPr="00F9522B" w:rsidRDefault="00602D12">
            <w:pPr>
              <w:spacing w:line="0" w:lineRule="atLeast"/>
              <w:jc w:val="center"/>
              <w:rPr>
                <w:szCs w:val="21"/>
              </w:rPr>
            </w:pPr>
          </w:p>
        </w:tc>
        <w:tc>
          <w:tcPr>
            <w:tcW w:w="2273" w:type="dxa"/>
            <w:vAlign w:val="center"/>
          </w:tcPr>
          <w:p w:rsidR="00602D12" w:rsidRPr="00F9522B" w:rsidRDefault="00602D12">
            <w:pPr>
              <w:pStyle w:val="TableText"/>
              <w:spacing w:line="0" w:lineRule="atLeast"/>
              <w:jc w:val="center"/>
              <w:rPr>
                <w:color w:val="auto"/>
                <w:sz w:val="21"/>
                <w:szCs w:val="21"/>
              </w:rPr>
            </w:pPr>
            <w:r w:rsidRPr="00F9522B">
              <w:rPr>
                <w:rFonts w:eastAsia="宋体"/>
                <w:color w:val="auto"/>
                <w:spacing w:val="4"/>
                <w:sz w:val="21"/>
                <w:szCs w:val="21"/>
              </w:rPr>
              <w:t>四刺顶棘藻</w:t>
            </w:r>
          </w:p>
        </w:tc>
        <w:tc>
          <w:tcPr>
            <w:tcW w:w="3548" w:type="dxa"/>
            <w:gridSpan w:val="2"/>
            <w:vAlign w:val="center"/>
          </w:tcPr>
          <w:p w:rsidR="00602D12" w:rsidRPr="00F9522B" w:rsidRDefault="00602D12">
            <w:pPr>
              <w:kinsoku w:val="0"/>
              <w:autoSpaceDE w:val="0"/>
              <w:autoSpaceDN w:val="0"/>
              <w:adjustRightInd w:val="0"/>
              <w:snapToGrid w:val="0"/>
              <w:spacing w:line="0" w:lineRule="atLeast"/>
              <w:jc w:val="center"/>
              <w:textAlignment w:val="baseline"/>
              <w:rPr>
                <w:szCs w:val="21"/>
              </w:rPr>
            </w:pPr>
            <w:r w:rsidRPr="00F9522B">
              <w:rPr>
                <w:i/>
                <w:iCs/>
                <w:spacing w:val="3"/>
                <w:position w:val="4"/>
                <w:szCs w:val="21"/>
              </w:rPr>
              <w:t>Chodatella quadriseta</w:t>
            </w:r>
          </w:p>
        </w:tc>
      </w:tr>
      <w:tr w:rsidR="00602D12" w:rsidRPr="00F9522B" w:rsidTr="00602D12">
        <w:trPr>
          <w:trHeight w:val="339"/>
        </w:trPr>
        <w:tc>
          <w:tcPr>
            <w:tcW w:w="2053" w:type="dxa"/>
            <w:vMerge/>
            <w:vAlign w:val="center"/>
          </w:tcPr>
          <w:p w:rsidR="00602D12" w:rsidRPr="00F9522B" w:rsidRDefault="00602D12">
            <w:pPr>
              <w:spacing w:line="0" w:lineRule="atLeast"/>
              <w:jc w:val="center"/>
              <w:rPr>
                <w:szCs w:val="21"/>
              </w:rPr>
            </w:pPr>
          </w:p>
        </w:tc>
        <w:tc>
          <w:tcPr>
            <w:tcW w:w="2273" w:type="dxa"/>
            <w:vAlign w:val="center"/>
          </w:tcPr>
          <w:p w:rsidR="00602D12" w:rsidRPr="00F9522B" w:rsidRDefault="00602D12">
            <w:pPr>
              <w:pStyle w:val="TableText"/>
              <w:spacing w:line="0" w:lineRule="atLeast"/>
              <w:jc w:val="center"/>
              <w:rPr>
                <w:color w:val="auto"/>
                <w:sz w:val="21"/>
                <w:szCs w:val="21"/>
              </w:rPr>
            </w:pPr>
            <w:r w:rsidRPr="00F9522B">
              <w:rPr>
                <w:rFonts w:eastAsia="宋体"/>
                <w:color w:val="auto"/>
                <w:spacing w:val="7"/>
                <w:sz w:val="21"/>
                <w:szCs w:val="21"/>
              </w:rPr>
              <w:t>华丽四星藻</w:t>
            </w:r>
          </w:p>
        </w:tc>
        <w:tc>
          <w:tcPr>
            <w:tcW w:w="3548" w:type="dxa"/>
            <w:gridSpan w:val="2"/>
            <w:vAlign w:val="center"/>
          </w:tcPr>
          <w:p w:rsidR="00602D12" w:rsidRPr="00F9522B" w:rsidRDefault="00602D12">
            <w:pPr>
              <w:kinsoku w:val="0"/>
              <w:autoSpaceDE w:val="0"/>
              <w:autoSpaceDN w:val="0"/>
              <w:adjustRightInd w:val="0"/>
              <w:snapToGrid w:val="0"/>
              <w:spacing w:line="0" w:lineRule="atLeast"/>
              <w:jc w:val="center"/>
              <w:textAlignment w:val="baseline"/>
              <w:rPr>
                <w:szCs w:val="21"/>
              </w:rPr>
            </w:pPr>
            <w:r w:rsidRPr="00F9522B">
              <w:rPr>
                <w:i/>
                <w:iCs/>
                <w:spacing w:val="2"/>
                <w:position w:val="4"/>
                <w:szCs w:val="21"/>
              </w:rPr>
              <w:t>Tetrastrum elegans</w:t>
            </w:r>
          </w:p>
        </w:tc>
      </w:tr>
      <w:tr w:rsidR="00602D12" w:rsidRPr="00F9522B" w:rsidTr="00602D12">
        <w:trPr>
          <w:trHeight w:val="340"/>
        </w:trPr>
        <w:tc>
          <w:tcPr>
            <w:tcW w:w="2053" w:type="dxa"/>
            <w:vMerge/>
            <w:vAlign w:val="center"/>
          </w:tcPr>
          <w:p w:rsidR="00602D12" w:rsidRPr="00F9522B" w:rsidRDefault="00602D12">
            <w:pPr>
              <w:spacing w:line="0" w:lineRule="atLeast"/>
              <w:jc w:val="center"/>
              <w:rPr>
                <w:szCs w:val="21"/>
              </w:rPr>
            </w:pPr>
          </w:p>
        </w:tc>
        <w:tc>
          <w:tcPr>
            <w:tcW w:w="2273" w:type="dxa"/>
            <w:vAlign w:val="center"/>
          </w:tcPr>
          <w:p w:rsidR="00602D12" w:rsidRPr="00F9522B" w:rsidRDefault="00602D12">
            <w:pPr>
              <w:pStyle w:val="TableText"/>
              <w:spacing w:line="0" w:lineRule="atLeast"/>
              <w:jc w:val="center"/>
              <w:rPr>
                <w:color w:val="auto"/>
                <w:sz w:val="21"/>
                <w:szCs w:val="21"/>
              </w:rPr>
            </w:pPr>
            <w:r w:rsidRPr="00F9522B">
              <w:rPr>
                <w:rFonts w:eastAsia="宋体"/>
                <w:color w:val="auto"/>
                <w:spacing w:val="7"/>
                <w:sz w:val="21"/>
                <w:szCs w:val="21"/>
              </w:rPr>
              <w:t>双对栅藻</w:t>
            </w:r>
          </w:p>
        </w:tc>
        <w:tc>
          <w:tcPr>
            <w:tcW w:w="3548" w:type="dxa"/>
            <w:gridSpan w:val="2"/>
            <w:vAlign w:val="center"/>
          </w:tcPr>
          <w:p w:rsidR="00602D12" w:rsidRPr="00F9522B" w:rsidRDefault="00602D12">
            <w:pPr>
              <w:kinsoku w:val="0"/>
              <w:autoSpaceDE w:val="0"/>
              <w:autoSpaceDN w:val="0"/>
              <w:adjustRightInd w:val="0"/>
              <w:snapToGrid w:val="0"/>
              <w:spacing w:line="0" w:lineRule="atLeast"/>
              <w:jc w:val="center"/>
              <w:textAlignment w:val="baseline"/>
              <w:rPr>
                <w:szCs w:val="21"/>
              </w:rPr>
            </w:pPr>
            <w:r w:rsidRPr="00F9522B">
              <w:rPr>
                <w:i/>
                <w:iCs/>
                <w:spacing w:val="4"/>
                <w:position w:val="4"/>
                <w:szCs w:val="21"/>
              </w:rPr>
              <w:t>Scenedesmus bijuga</w:t>
            </w:r>
          </w:p>
        </w:tc>
      </w:tr>
      <w:tr w:rsidR="00602D12" w:rsidRPr="00F9522B" w:rsidTr="00602D12">
        <w:trPr>
          <w:gridAfter w:val="1"/>
          <w:wAfter w:w="17" w:type="dxa"/>
          <w:trHeight w:val="239"/>
        </w:trPr>
        <w:tc>
          <w:tcPr>
            <w:tcW w:w="2053" w:type="dxa"/>
            <w:vMerge/>
            <w:vAlign w:val="center"/>
          </w:tcPr>
          <w:p w:rsidR="00602D12" w:rsidRPr="00F9522B" w:rsidRDefault="00602D12" w:rsidP="00602D12">
            <w:pPr>
              <w:spacing w:line="0" w:lineRule="atLeast"/>
              <w:jc w:val="center"/>
              <w:rPr>
                <w:szCs w:val="21"/>
              </w:rPr>
            </w:pPr>
          </w:p>
        </w:tc>
        <w:tc>
          <w:tcPr>
            <w:tcW w:w="2268" w:type="dxa"/>
            <w:vAlign w:val="center"/>
          </w:tcPr>
          <w:p w:rsidR="00602D12" w:rsidRPr="00F9522B" w:rsidRDefault="00602D12">
            <w:pPr>
              <w:pStyle w:val="TableText"/>
              <w:spacing w:line="0" w:lineRule="atLeast"/>
              <w:jc w:val="center"/>
              <w:rPr>
                <w:color w:val="auto"/>
                <w:sz w:val="21"/>
                <w:szCs w:val="21"/>
              </w:rPr>
            </w:pPr>
            <w:r w:rsidRPr="00F9522B">
              <w:rPr>
                <w:rFonts w:eastAsia="宋体"/>
                <w:color w:val="auto"/>
                <w:spacing w:val="2"/>
                <w:sz w:val="21"/>
                <w:szCs w:val="21"/>
              </w:rPr>
              <w:t>四尾栅藻</w:t>
            </w:r>
          </w:p>
        </w:tc>
        <w:tc>
          <w:tcPr>
            <w:tcW w:w="3536" w:type="dxa"/>
            <w:vAlign w:val="center"/>
          </w:tcPr>
          <w:p w:rsidR="00602D12" w:rsidRPr="00F9522B" w:rsidRDefault="00602D12">
            <w:pPr>
              <w:kinsoku w:val="0"/>
              <w:autoSpaceDE w:val="0"/>
              <w:autoSpaceDN w:val="0"/>
              <w:adjustRightInd w:val="0"/>
              <w:snapToGrid w:val="0"/>
              <w:spacing w:line="0" w:lineRule="atLeast"/>
              <w:jc w:val="center"/>
              <w:textAlignment w:val="baseline"/>
              <w:rPr>
                <w:szCs w:val="21"/>
              </w:rPr>
            </w:pPr>
            <w:r w:rsidRPr="00F9522B">
              <w:rPr>
                <w:i/>
                <w:iCs/>
                <w:spacing w:val="4"/>
                <w:position w:val="4"/>
                <w:szCs w:val="21"/>
              </w:rPr>
              <w:t>Scenedesmus quadricauda</w:t>
            </w:r>
          </w:p>
        </w:tc>
      </w:tr>
      <w:tr w:rsidR="00602D12" w:rsidRPr="00F9522B" w:rsidTr="00602D12">
        <w:trPr>
          <w:gridAfter w:val="1"/>
          <w:wAfter w:w="17" w:type="dxa"/>
          <w:trHeight w:val="240"/>
        </w:trPr>
        <w:tc>
          <w:tcPr>
            <w:tcW w:w="2053" w:type="dxa"/>
            <w:vMerge/>
            <w:vAlign w:val="center"/>
          </w:tcPr>
          <w:p w:rsidR="00602D12" w:rsidRPr="00F9522B" w:rsidRDefault="00602D12">
            <w:pPr>
              <w:spacing w:line="0" w:lineRule="atLeast"/>
              <w:jc w:val="center"/>
              <w:rPr>
                <w:szCs w:val="21"/>
              </w:rPr>
            </w:pPr>
          </w:p>
        </w:tc>
        <w:tc>
          <w:tcPr>
            <w:tcW w:w="2268" w:type="dxa"/>
            <w:vAlign w:val="center"/>
          </w:tcPr>
          <w:p w:rsidR="00602D12" w:rsidRPr="00F9522B" w:rsidRDefault="00602D12">
            <w:pPr>
              <w:pStyle w:val="TableText"/>
              <w:spacing w:line="0" w:lineRule="atLeast"/>
              <w:jc w:val="center"/>
              <w:rPr>
                <w:color w:val="auto"/>
                <w:sz w:val="21"/>
                <w:szCs w:val="21"/>
              </w:rPr>
            </w:pPr>
            <w:r w:rsidRPr="00F9522B">
              <w:rPr>
                <w:rFonts w:eastAsia="宋体"/>
                <w:color w:val="auto"/>
                <w:spacing w:val="4"/>
                <w:sz w:val="21"/>
                <w:szCs w:val="21"/>
              </w:rPr>
              <w:t>多形丝藻</w:t>
            </w:r>
          </w:p>
        </w:tc>
        <w:tc>
          <w:tcPr>
            <w:tcW w:w="3536" w:type="dxa"/>
            <w:vAlign w:val="center"/>
          </w:tcPr>
          <w:p w:rsidR="00602D12" w:rsidRPr="00F9522B" w:rsidRDefault="00602D12">
            <w:pPr>
              <w:kinsoku w:val="0"/>
              <w:autoSpaceDE w:val="0"/>
              <w:autoSpaceDN w:val="0"/>
              <w:adjustRightInd w:val="0"/>
              <w:snapToGrid w:val="0"/>
              <w:spacing w:line="0" w:lineRule="atLeast"/>
              <w:jc w:val="center"/>
              <w:textAlignment w:val="baseline"/>
              <w:rPr>
                <w:szCs w:val="21"/>
              </w:rPr>
            </w:pPr>
            <w:r w:rsidRPr="00F9522B">
              <w:rPr>
                <w:i/>
                <w:iCs/>
                <w:spacing w:val="2"/>
                <w:position w:val="2"/>
                <w:szCs w:val="21"/>
              </w:rPr>
              <w:t>Ulothris variabilis</w:t>
            </w:r>
          </w:p>
        </w:tc>
      </w:tr>
      <w:tr w:rsidR="00602D12" w:rsidRPr="00F9522B" w:rsidTr="00602D12">
        <w:trPr>
          <w:gridAfter w:val="1"/>
          <w:wAfter w:w="17" w:type="dxa"/>
          <w:trHeight w:val="240"/>
        </w:trPr>
        <w:tc>
          <w:tcPr>
            <w:tcW w:w="2053" w:type="dxa"/>
            <w:vMerge/>
            <w:vAlign w:val="center"/>
          </w:tcPr>
          <w:p w:rsidR="00602D12" w:rsidRPr="00F9522B" w:rsidRDefault="00602D12">
            <w:pPr>
              <w:spacing w:line="0" w:lineRule="atLeast"/>
              <w:jc w:val="center"/>
              <w:rPr>
                <w:szCs w:val="21"/>
              </w:rPr>
            </w:pPr>
          </w:p>
        </w:tc>
        <w:tc>
          <w:tcPr>
            <w:tcW w:w="2268" w:type="dxa"/>
            <w:vAlign w:val="center"/>
          </w:tcPr>
          <w:p w:rsidR="00602D12" w:rsidRPr="00F9522B" w:rsidRDefault="00602D12">
            <w:pPr>
              <w:pStyle w:val="TableText"/>
              <w:spacing w:line="0" w:lineRule="atLeast"/>
              <w:jc w:val="center"/>
              <w:rPr>
                <w:color w:val="auto"/>
                <w:sz w:val="21"/>
                <w:szCs w:val="21"/>
              </w:rPr>
            </w:pPr>
            <w:r w:rsidRPr="00F9522B">
              <w:rPr>
                <w:rFonts w:eastAsia="宋体"/>
                <w:color w:val="auto"/>
                <w:spacing w:val="7"/>
                <w:sz w:val="21"/>
                <w:szCs w:val="21"/>
              </w:rPr>
              <w:t>杆裂丝藻</w:t>
            </w:r>
          </w:p>
        </w:tc>
        <w:tc>
          <w:tcPr>
            <w:tcW w:w="3536" w:type="dxa"/>
            <w:vAlign w:val="center"/>
          </w:tcPr>
          <w:p w:rsidR="00602D12" w:rsidRPr="00F9522B" w:rsidRDefault="00602D12">
            <w:pPr>
              <w:kinsoku w:val="0"/>
              <w:autoSpaceDE w:val="0"/>
              <w:autoSpaceDN w:val="0"/>
              <w:adjustRightInd w:val="0"/>
              <w:snapToGrid w:val="0"/>
              <w:spacing w:line="0" w:lineRule="atLeast"/>
              <w:jc w:val="center"/>
              <w:textAlignment w:val="baseline"/>
              <w:rPr>
                <w:szCs w:val="21"/>
              </w:rPr>
            </w:pPr>
            <w:r w:rsidRPr="00F9522B">
              <w:rPr>
                <w:i/>
                <w:iCs/>
                <w:spacing w:val="3"/>
                <w:position w:val="2"/>
                <w:szCs w:val="21"/>
              </w:rPr>
              <w:t>Stichococcus bacillaris</w:t>
            </w:r>
          </w:p>
        </w:tc>
      </w:tr>
      <w:tr w:rsidR="00602D12" w:rsidRPr="00F9522B" w:rsidTr="00602D12">
        <w:trPr>
          <w:gridAfter w:val="1"/>
          <w:wAfter w:w="17" w:type="dxa"/>
          <w:trHeight w:val="255"/>
        </w:trPr>
        <w:tc>
          <w:tcPr>
            <w:tcW w:w="2053" w:type="dxa"/>
            <w:vMerge/>
            <w:vAlign w:val="center"/>
          </w:tcPr>
          <w:p w:rsidR="00602D12" w:rsidRPr="00F9522B" w:rsidRDefault="00602D12">
            <w:pPr>
              <w:spacing w:line="0" w:lineRule="atLeast"/>
              <w:jc w:val="center"/>
              <w:rPr>
                <w:szCs w:val="21"/>
              </w:rPr>
            </w:pPr>
          </w:p>
        </w:tc>
        <w:tc>
          <w:tcPr>
            <w:tcW w:w="2268" w:type="dxa"/>
            <w:vAlign w:val="center"/>
          </w:tcPr>
          <w:p w:rsidR="00602D12" w:rsidRPr="00F9522B" w:rsidRDefault="00602D12">
            <w:pPr>
              <w:pStyle w:val="TableText"/>
              <w:spacing w:line="0" w:lineRule="atLeast"/>
              <w:jc w:val="center"/>
              <w:rPr>
                <w:color w:val="auto"/>
                <w:sz w:val="21"/>
                <w:szCs w:val="21"/>
              </w:rPr>
            </w:pPr>
            <w:r w:rsidRPr="00F9522B">
              <w:rPr>
                <w:rFonts w:eastAsia="宋体"/>
                <w:color w:val="auto"/>
                <w:spacing w:val="6"/>
                <w:sz w:val="21"/>
                <w:szCs w:val="21"/>
              </w:rPr>
              <w:t>钝鼓藻</w:t>
            </w:r>
          </w:p>
        </w:tc>
        <w:tc>
          <w:tcPr>
            <w:tcW w:w="3536" w:type="dxa"/>
            <w:vAlign w:val="center"/>
          </w:tcPr>
          <w:p w:rsidR="00602D12" w:rsidRPr="00F9522B" w:rsidRDefault="00602D12">
            <w:pPr>
              <w:kinsoku w:val="0"/>
              <w:autoSpaceDE w:val="0"/>
              <w:autoSpaceDN w:val="0"/>
              <w:adjustRightInd w:val="0"/>
              <w:snapToGrid w:val="0"/>
              <w:spacing w:line="0" w:lineRule="atLeast"/>
              <w:jc w:val="center"/>
              <w:textAlignment w:val="baseline"/>
              <w:rPr>
                <w:szCs w:val="21"/>
              </w:rPr>
            </w:pPr>
            <w:r w:rsidRPr="00F9522B">
              <w:rPr>
                <w:i/>
                <w:iCs/>
                <w:spacing w:val="4"/>
                <w:position w:val="2"/>
                <w:szCs w:val="21"/>
              </w:rPr>
              <w:t>Cosmarium obtusatum</w:t>
            </w:r>
          </w:p>
        </w:tc>
      </w:tr>
    </w:tbl>
    <w:p w:rsidR="002A5A5E" w:rsidRPr="00F9522B" w:rsidRDefault="005273A1" w:rsidP="00611CBA">
      <w:pPr>
        <w:pStyle w:val="ab"/>
        <w:spacing w:after="0" w:line="360" w:lineRule="auto"/>
        <w:ind w:firstLineChars="200" w:firstLine="482"/>
        <w:rPr>
          <w:sz w:val="24"/>
        </w:rPr>
      </w:pPr>
      <w:r w:rsidRPr="00F9522B">
        <w:rPr>
          <w:b/>
          <w:bCs/>
          <w:spacing w:val="-5"/>
          <w:sz w:val="24"/>
        </w:rPr>
        <w:fldChar w:fldCharType="begin"/>
      </w:r>
      <w:r w:rsidR="00611CBA" w:rsidRPr="00F9522B">
        <w:rPr>
          <w:b/>
          <w:bCs/>
          <w:spacing w:val="-5"/>
          <w:sz w:val="24"/>
        </w:rPr>
        <w:instrText xml:space="preserve"> = 2 \* GB3 </w:instrText>
      </w:r>
      <w:r w:rsidRPr="00F9522B">
        <w:rPr>
          <w:b/>
          <w:bCs/>
          <w:spacing w:val="-5"/>
          <w:sz w:val="24"/>
        </w:rPr>
        <w:fldChar w:fldCharType="separate"/>
      </w:r>
      <w:r w:rsidR="00611CBA" w:rsidRPr="00F9522B">
        <w:rPr>
          <w:rFonts w:ascii="宋体" w:hAnsi="宋体" w:cs="宋体" w:hint="eastAsia"/>
          <w:b/>
          <w:bCs/>
          <w:spacing w:val="-5"/>
          <w:sz w:val="24"/>
        </w:rPr>
        <w:t>②</w:t>
      </w:r>
      <w:r w:rsidRPr="00F9522B">
        <w:rPr>
          <w:b/>
          <w:bCs/>
          <w:spacing w:val="-5"/>
          <w:sz w:val="24"/>
        </w:rPr>
        <w:fldChar w:fldCharType="end"/>
      </w:r>
      <w:r w:rsidR="00611CBA" w:rsidRPr="00F9522B">
        <w:rPr>
          <w:b/>
          <w:bCs/>
          <w:spacing w:val="-5"/>
          <w:sz w:val="24"/>
        </w:rPr>
        <w:t>优势种类</w:t>
      </w:r>
    </w:p>
    <w:p w:rsidR="002A5A5E" w:rsidRPr="00F9522B" w:rsidRDefault="00611CBA">
      <w:pPr>
        <w:pStyle w:val="ab"/>
        <w:spacing w:after="0" w:line="360" w:lineRule="auto"/>
        <w:ind w:firstLineChars="200" w:firstLine="488"/>
        <w:rPr>
          <w:sz w:val="24"/>
        </w:rPr>
      </w:pPr>
      <w:r w:rsidRPr="00F9522B">
        <w:rPr>
          <w:spacing w:val="2"/>
          <w:sz w:val="24"/>
        </w:rPr>
        <w:t>春季调查期间，评价水域浮游植物的优势种和常见种分别为绿藻门的卵形衣藻</w:t>
      </w:r>
      <w:r w:rsidRPr="00F9522B">
        <w:rPr>
          <w:i/>
          <w:iCs/>
          <w:spacing w:val="-1"/>
          <w:sz w:val="24"/>
        </w:rPr>
        <w:t>Chamydomonas ovalis</w:t>
      </w:r>
      <w:r w:rsidRPr="00F9522B">
        <w:rPr>
          <w:spacing w:val="-1"/>
          <w:sz w:val="24"/>
        </w:rPr>
        <w:t>，硅藻门的梅尼小环藻</w:t>
      </w:r>
      <w:r w:rsidRPr="00F9522B">
        <w:rPr>
          <w:i/>
          <w:iCs/>
          <w:spacing w:val="-1"/>
          <w:sz w:val="24"/>
        </w:rPr>
        <w:t>Cyclote</w:t>
      </w:r>
      <w:r w:rsidRPr="00F9522B">
        <w:rPr>
          <w:i/>
          <w:iCs/>
          <w:spacing w:val="-2"/>
          <w:sz w:val="24"/>
        </w:rPr>
        <w:t>lla meneghiniana</w:t>
      </w:r>
      <w:r w:rsidRPr="00F9522B">
        <w:rPr>
          <w:spacing w:val="-2"/>
          <w:sz w:val="24"/>
        </w:rPr>
        <w:t>，蓝藻门的细小</w:t>
      </w:r>
      <w:r w:rsidRPr="00F9522B">
        <w:rPr>
          <w:sz w:val="24"/>
        </w:rPr>
        <w:t>平裂藻</w:t>
      </w:r>
      <w:r w:rsidRPr="00F9522B">
        <w:rPr>
          <w:i/>
          <w:iCs/>
          <w:sz w:val="24"/>
        </w:rPr>
        <w:t>Merismopedia min</w:t>
      </w:r>
      <w:r w:rsidRPr="00F9522B">
        <w:rPr>
          <w:i/>
          <w:iCs/>
          <w:spacing w:val="-1"/>
          <w:sz w:val="24"/>
        </w:rPr>
        <w:t>ima</w:t>
      </w:r>
      <w:r w:rsidRPr="00F9522B">
        <w:rPr>
          <w:spacing w:val="-1"/>
          <w:sz w:val="24"/>
        </w:rPr>
        <w:t>。</w:t>
      </w:r>
    </w:p>
    <w:p w:rsidR="002A5A5E" w:rsidRPr="00F9522B" w:rsidRDefault="00611CBA">
      <w:pPr>
        <w:pStyle w:val="ab"/>
        <w:spacing w:after="0" w:line="360" w:lineRule="auto"/>
        <w:ind w:firstLineChars="200" w:firstLine="488"/>
        <w:rPr>
          <w:sz w:val="24"/>
        </w:rPr>
      </w:pPr>
      <w:r w:rsidRPr="00F9522B">
        <w:rPr>
          <w:spacing w:val="2"/>
          <w:sz w:val="24"/>
        </w:rPr>
        <w:t>秋季调查期间，评价水域浮游植物的优势种和常见种分别为绿藻门的卵形衣藻</w:t>
      </w:r>
      <w:r w:rsidRPr="00F9522B">
        <w:rPr>
          <w:i/>
          <w:iCs/>
          <w:spacing w:val="-1"/>
          <w:sz w:val="24"/>
        </w:rPr>
        <w:t>Chamydomonas ovalis</w:t>
      </w:r>
      <w:r w:rsidRPr="00F9522B">
        <w:rPr>
          <w:spacing w:val="-1"/>
          <w:sz w:val="24"/>
        </w:rPr>
        <w:t>，硅藻门的梅尼小环藻</w:t>
      </w:r>
      <w:r w:rsidRPr="00F9522B">
        <w:rPr>
          <w:i/>
          <w:iCs/>
          <w:spacing w:val="-1"/>
          <w:sz w:val="24"/>
        </w:rPr>
        <w:t>Cyclote</w:t>
      </w:r>
      <w:r w:rsidRPr="00F9522B">
        <w:rPr>
          <w:i/>
          <w:iCs/>
          <w:spacing w:val="-2"/>
          <w:sz w:val="24"/>
        </w:rPr>
        <w:t>lla meneghiniana</w:t>
      </w:r>
      <w:r w:rsidRPr="00F9522B">
        <w:rPr>
          <w:spacing w:val="-2"/>
          <w:sz w:val="24"/>
        </w:rPr>
        <w:t>，蓝藻门的细小</w:t>
      </w:r>
      <w:r w:rsidRPr="00F9522B">
        <w:rPr>
          <w:spacing w:val="-1"/>
          <w:sz w:val="24"/>
        </w:rPr>
        <w:t>平裂藻</w:t>
      </w:r>
      <w:r w:rsidRPr="00F9522B">
        <w:rPr>
          <w:i/>
          <w:iCs/>
          <w:spacing w:val="-1"/>
          <w:sz w:val="24"/>
        </w:rPr>
        <w:t>Merismopedia minima</w:t>
      </w:r>
      <w:r w:rsidRPr="00F9522B">
        <w:rPr>
          <w:spacing w:val="-1"/>
          <w:sz w:val="24"/>
        </w:rPr>
        <w:t>，隐藻门的卵形隐藻</w:t>
      </w:r>
      <w:r w:rsidRPr="00F9522B">
        <w:rPr>
          <w:i/>
          <w:iCs/>
          <w:spacing w:val="-1"/>
          <w:sz w:val="24"/>
        </w:rPr>
        <w:t>Cryptomonas ovata</w:t>
      </w:r>
      <w:r w:rsidRPr="00F9522B">
        <w:rPr>
          <w:spacing w:val="-1"/>
          <w:sz w:val="24"/>
        </w:rPr>
        <w:t>。</w:t>
      </w:r>
    </w:p>
    <w:p w:rsidR="002A5A5E" w:rsidRPr="00F9522B" w:rsidRDefault="005273A1" w:rsidP="00611CBA">
      <w:pPr>
        <w:pStyle w:val="ab"/>
        <w:spacing w:after="0" w:line="360" w:lineRule="auto"/>
        <w:ind w:firstLineChars="200" w:firstLine="482"/>
        <w:rPr>
          <w:sz w:val="24"/>
        </w:rPr>
      </w:pPr>
      <w:r w:rsidRPr="00F9522B">
        <w:rPr>
          <w:b/>
          <w:bCs/>
          <w:spacing w:val="-7"/>
          <w:sz w:val="24"/>
        </w:rPr>
        <w:fldChar w:fldCharType="begin"/>
      </w:r>
      <w:r w:rsidR="00611CBA" w:rsidRPr="00F9522B">
        <w:rPr>
          <w:b/>
          <w:bCs/>
          <w:spacing w:val="-7"/>
          <w:sz w:val="24"/>
        </w:rPr>
        <w:instrText xml:space="preserve"> = 3 \* GB3 </w:instrText>
      </w:r>
      <w:r w:rsidRPr="00F9522B">
        <w:rPr>
          <w:b/>
          <w:bCs/>
          <w:spacing w:val="-7"/>
          <w:sz w:val="24"/>
        </w:rPr>
        <w:fldChar w:fldCharType="separate"/>
      </w:r>
      <w:r w:rsidR="00611CBA" w:rsidRPr="00F9522B">
        <w:rPr>
          <w:rFonts w:ascii="宋体" w:hAnsi="宋体" w:cs="宋体" w:hint="eastAsia"/>
          <w:b/>
          <w:bCs/>
          <w:spacing w:val="-7"/>
          <w:sz w:val="24"/>
        </w:rPr>
        <w:t>③</w:t>
      </w:r>
      <w:r w:rsidRPr="00F9522B">
        <w:rPr>
          <w:b/>
          <w:bCs/>
          <w:spacing w:val="-7"/>
          <w:sz w:val="24"/>
        </w:rPr>
        <w:fldChar w:fldCharType="end"/>
      </w:r>
      <w:r w:rsidR="00611CBA" w:rsidRPr="00F9522B">
        <w:rPr>
          <w:b/>
          <w:bCs/>
          <w:spacing w:val="-7"/>
          <w:sz w:val="24"/>
        </w:rPr>
        <w:t>密度</w:t>
      </w:r>
    </w:p>
    <w:p w:rsidR="002A5A5E" w:rsidRPr="00F9522B" w:rsidRDefault="00611CBA">
      <w:pPr>
        <w:spacing w:line="360" w:lineRule="auto"/>
        <w:ind w:firstLineChars="200" w:firstLine="480"/>
        <w:rPr>
          <w:sz w:val="24"/>
        </w:rPr>
      </w:pPr>
      <w:r w:rsidRPr="00F9522B">
        <w:rPr>
          <w:sz w:val="24"/>
        </w:rPr>
        <w:t>春季调查期间，评价水域浮游植物的密度平均为</w:t>
      </w:r>
      <w:r w:rsidRPr="00F9522B">
        <w:rPr>
          <w:sz w:val="24"/>
        </w:rPr>
        <w:t>1</w:t>
      </w:r>
      <w:r w:rsidR="00602D12" w:rsidRPr="00F9522B">
        <w:rPr>
          <w:sz w:val="24"/>
        </w:rPr>
        <w:t>8</w:t>
      </w:r>
      <w:r w:rsidRPr="00F9522B">
        <w:rPr>
          <w:sz w:val="24"/>
        </w:rPr>
        <w:t>2</w:t>
      </w:r>
      <w:r w:rsidR="00602D12" w:rsidRPr="00F9522B">
        <w:rPr>
          <w:sz w:val="24"/>
        </w:rPr>
        <w:t>5</w:t>
      </w:r>
      <w:r w:rsidRPr="00F9522B">
        <w:rPr>
          <w:sz w:val="24"/>
        </w:rPr>
        <w:t>.6×10</w:t>
      </w:r>
      <w:r w:rsidRPr="00F9522B">
        <w:rPr>
          <w:sz w:val="24"/>
          <w:vertAlign w:val="superscript"/>
        </w:rPr>
        <w:t>4</w:t>
      </w:r>
      <w:r w:rsidRPr="00F9522B">
        <w:rPr>
          <w:sz w:val="24"/>
        </w:rPr>
        <w:t>ind./L</w:t>
      </w:r>
      <w:r w:rsidRPr="00F9522B">
        <w:rPr>
          <w:sz w:val="24"/>
        </w:rPr>
        <w:t>。其中，蓝藻门的密度最高为</w:t>
      </w:r>
      <w:r w:rsidRPr="00F9522B">
        <w:rPr>
          <w:sz w:val="24"/>
        </w:rPr>
        <w:t>15</w:t>
      </w:r>
      <w:r w:rsidR="00602D12" w:rsidRPr="00F9522B">
        <w:rPr>
          <w:sz w:val="24"/>
        </w:rPr>
        <w:t>2</w:t>
      </w:r>
      <w:r w:rsidRPr="00F9522B">
        <w:rPr>
          <w:sz w:val="24"/>
        </w:rPr>
        <w:t>4.3×10</w:t>
      </w:r>
      <w:r w:rsidRPr="00F9522B">
        <w:rPr>
          <w:sz w:val="24"/>
          <w:vertAlign w:val="superscript"/>
        </w:rPr>
        <w:t>4</w:t>
      </w:r>
      <w:r w:rsidRPr="00F9522B">
        <w:rPr>
          <w:sz w:val="24"/>
        </w:rPr>
        <w:t>in</w:t>
      </w:r>
      <w:r w:rsidRPr="00F9522B">
        <w:rPr>
          <w:spacing w:val="-1"/>
          <w:sz w:val="24"/>
        </w:rPr>
        <w:t>d./L</w:t>
      </w:r>
      <w:r w:rsidRPr="00F9522B">
        <w:rPr>
          <w:spacing w:val="-1"/>
          <w:sz w:val="24"/>
        </w:rPr>
        <w:t>，硅藻门密度次之</w:t>
      </w:r>
      <w:r w:rsidR="00602D12" w:rsidRPr="00F9522B">
        <w:rPr>
          <w:spacing w:val="-1"/>
          <w:sz w:val="24"/>
        </w:rPr>
        <w:t>8</w:t>
      </w:r>
      <w:r w:rsidRPr="00F9522B">
        <w:rPr>
          <w:spacing w:val="-1"/>
          <w:sz w:val="24"/>
        </w:rPr>
        <w:t>8.</w:t>
      </w:r>
      <w:r w:rsidR="00602D12" w:rsidRPr="00F9522B">
        <w:rPr>
          <w:spacing w:val="-1"/>
          <w:sz w:val="24"/>
        </w:rPr>
        <w:t>6</w:t>
      </w:r>
      <w:r w:rsidRPr="00F9522B">
        <w:rPr>
          <w:sz w:val="24"/>
        </w:rPr>
        <w:t>×10</w:t>
      </w:r>
      <w:r w:rsidRPr="00F9522B">
        <w:rPr>
          <w:sz w:val="24"/>
          <w:vertAlign w:val="superscript"/>
        </w:rPr>
        <w:t>4</w:t>
      </w:r>
      <w:r w:rsidRPr="00F9522B">
        <w:rPr>
          <w:spacing w:val="-1"/>
          <w:sz w:val="24"/>
        </w:rPr>
        <w:t>ind./L</w:t>
      </w:r>
      <w:r w:rsidRPr="00F9522B">
        <w:rPr>
          <w:spacing w:val="-1"/>
          <w:sz w:val="24"/>
        </w:rPr>
        <w:t>，绿藻门为</w:t>
      </w:r>
      <w:r w:rsidRPr="00F9522B">
        <w:rPr>
          <w:spacing w:val="3"/>
          <w:sz w:val="24"/>
        </w:rPr>
        <w:t>3</w:t>
      </w:r>
      <w:r w:rsidR="00602D12" w:rsidRPr="00F9522B">
        <w:rPr>
          <w:spacing w:val="3"/>
          <w:sz w:val="24"/>
        </w:rPr>
        <w:t>5</w:t>
      </w:r>
      <w:r w:rsidRPr="00F9522B">
        <w:rPr>
          <w:spacing w:val="3"/>
          <w:sz w:val="24"/>
        </w:rPr>
        <w:t>.</w:t>
      </w:r>
      <w:r w:rsidR="00602D12" w:rsidRPr="00F9522B">
        <w:rPr>
          <w:spacing w:val="3"/>
          <w:sz w:val="24"/>
        </w:rPr>
        <w:t>7</w:t>
      </w:r>
      <w:r w:rsidRPr="00F9522B">
        <w:rPr>
          <w:sz w:val="24"/>
        </w:rPr>
        <w:t>×10</w:t>
      </w:r>
      <w:r w:rsidRPr="00F9522B">
        <w:rPr>
          <w:sz w:val="24"/>
          <w:vertAlign w:val="superscript"/>
        </w:rPr>
        <w:t>4</w:t>
      </w:r>
      <w:r w:rsidRPr="00F9522B">
        <w:rPr>
          <w:sz w:val="24"/>
        </w:rPr>
        <w:t>ind</w:t>
      </w:r>
      <w:r w:rsidRPr="00F9522B">
        <w:rPr>
          <w:spacing w:val="3"/>
          <w:sz w:val="24"/>
        </w:rPr>
        <w:t>./L</w:t>
      </w:r>
      <w:r w:rsidRPr="00F9522B">
        <w:rPr>
          <w:spacing w:val="3"/>
          <w:sz w:val="24"/>
        </w:rPr>
        <w:t>，隐藻门为</w:t>
      </w:r>
      <w:r w:rsidRPr="00F9522B">
        <w:rPr>
          <w:spacing w:val="3"/>
          <w:sz w:val="24"/>
        </w:rPr>
        <w:t>2.</w:t>
      </w:r>
      <w:r w:rsidR="00602D12" w:rsidRPr="00F9522B">
        <w:rPr>
          <w:spacing w:val="3"/>
          <w:sz w:val="24"/>
        </w:rPr>
        <w:t>1</w:t>
      </w:r>
      <w:r w:rsidRPr="00F9522B">
        <w:rPr>
          <w:sz w:val="24"/>
        </w:rPr>
        <w:t>×10</w:t>
      </w:r>
      <w:r w:rsidRPr="00F9522B">
        <w:rPr>
          <w:sz w:val="24"/>
          <w:vertAlign w:val="superscript"/>
        </w:rPr>
        <w:t>4</w:t>
      </w:r>
      <w:r w:rsidRPr="00F9522B">
        <w:rPr>
          <w:sz w:val="24"/>
        </w:rPr>
        <w:t>ind</w:t>
      </w:r>
      <w:r w:rsidRPr="00F9522B">
        <w:rPr>
          <w:spacing w:val="3"/>
          <w:sz w:val="24"/>
        </w:rPr>
        <w:t>.</w:t>
      </w:r>
      <w:r w:rsidRPr="00F9522B">
        <w:rPr>
          <w:spacing w:val="2"/>
          <w:sz w:val="24"/>
        </w:rPr>
        <w:t>/L</w:t>
      </w:r>
      <w:r w:rsidRPr="00F9522B">
        <w:rPr>
          <w:spacing w:val="2"/>
          <w:sz w:val="24"/>
        </w:rPr>
        <w:t>，金藻门为</w:t>
      </w:r>
      <w:r w:rsidRPr="00F9522B">
        <w:rPr>
          <w:spacing w:val="2"/>
          <w:sz w:val="24"/>
        </w:rPr>
        <w:t>3.</w:t>
      </w:r>
      <w:r w:rsidR="00602D12" w:rsidRPr="00F9522B">
        <w:rPr>
          <w:spacing w:val="2"/>
          <w:sz w:val="24"/>
        </w:rPr>
        <w:t>1</w:t>
      </w:r>
      <w:r w:rsidRPr="00F9522B">
        <w:rPr>
          <w:sz w:val="24"/>
        </w:rPr>
        <w:t>×10</w:t>
      </w:r>
      <w:r w:rsidRPr="00F9522B">
        <w:rPr>
          <w:sz w:val="24"/>
          <w:vertAlign w:val="superscript"/>
        </w:rPr>
        <w:t>4</w:t>
      </w:r>
      <w:r w:rsidRPr="00F9522B">
        <w:rPr>
          <w:sz w:val="24"/>
        </w:rPr>
        <w:t>ind</w:t>
      </w:r>
      <w:r w:rsidRPr="00F9522B">
        <w:rPr>
          <w:spacing w:val="2"/>
          <w:sz w:val="24"/>
        </w:rPr>
        <w:t>./L</w:t>
      </w:r>
      <w:r w:rsidRPr="00F9522B">
        <w:rPr>
          <w:spacing w:val="2"/>
          <w:sz w:val="24"/>
        </w:rPr>
        <w:t>，裸藻门为</w:t>
      </w:r>
      <w:r w:rsidRPr="00F9522B">
        <w:rPr>
          <w:spacing w:val="-3"/>
          <w:sz w:val="24"/>
        </w:rPr>
        <w:t>0.8</w:t>
      </w:r>
      <w:r w:rsidRPr="00F9522B">
        <w:rPr>
          <w:sz w:val="24"/>
        </w:rPr>
        <w:t>×10</w:t>
      </w:r>
      <w:r w:rsidRPr="00F9522B">
        <w:rPr>
          <w:sz w:val="24"/>
          <w:vertAlign w:val="superscript"/>
        </w:rPr>
        <w:t>4</w:t>
      </w:r>
      <w:r w:rsidRPr="00F9522B">
        <w:rPr>
          <w:spacing w:val="-3"/>
          <w:sz w:val="24"/>
        </w:rPr>
        <w:t>ind./L</w:t>
      </w:r>
      <w:r w:rsidRPr="00F9522B">
        <w:rPr>
          <w:spacing w:val="-3"/>
          <w:sz w:val="24"/>
        </w:rPr>
        <w:t>，甲藻门</w:t>
      </w:r>
      <w:r w:rsidRPr="00F9522B">
        <w:rPr>
          <w:spacing w:val="-3"/>
          <w:sz w:val="24"/>
        </w:rPr>
        <w:t>0.2</w:t>
      </w:r>
      <w:r w:rsidR="00602D12" w:rsidRPr="00F9522B">
        <w:rPr>
          <w:spacing w:val="-3"/>
          <w:sz w:val="24"/>
        </w:rPr>
        <w:t>2</w:t>
      </w:r>
      <w:r w:rsidRPr="00F9522B">
        <w:rPr>
          <w:spacing w:val="-3"/>
          <w:sz w:val="24"/>
        </w:rPr>
        <w:t>×10</w:t>
      </w:r>
      <w:r w:rsidRPr="00F9522B">
        <w:rPr>
          <w:sz w:val="24"/>
          <w:vertAlign w:val="superscript"/>
        </w:rPr>
        <w:t>4</w:t>
      </w:r>
      <w:r w:rsidRPr="00F9522B">
        <w:rPr>
          <w:spacing w:val="-3"/>
          <w:sz w:val="24"/>
        </w:rPr>
        <w:t>ind./L</w:t>
      </w:r>
      <w:r w:rsidRPr="00F9522B">
        <w:rPr>
          <w:spacing w:val="-3"/>
          <w:sz w:val="24"/>
        </w:rPr>
        <w:t>。</w:t>
      </w:r>
      <w:r w:rsidRPr="00F9522B">
        <w:rPr>
          <w:spacing w:val="2"/>
          <w:sz w:val="24"/>
        </w:rPr>
        <w:t>秋</w:t>
      </w:r>
      <w:r w:rsidRPr="00F9522B">
        <w:rPr>
          <w:spacing w:val="-3"/>
          <w:sz w:val="24"/>
        </w:rPr>
        <w:t>季调查期间，评价水域浮游植物的密度平</w:t>
      </w:r>
      <w:r w:rsidRPr="00F9522B">
        <w:rPr>
          <w:spacing w:val="-1"/>
          <w:sz w:val="24"/>
        </w:rPr>
        <w:t>均为</w:t>
      </w:r>
      <w:r w:rsidRPr="00F9522B">
        <w:rPr>
          <w:spacing w:val="-1"/>
          <w:sz w:val="24"/>
        </w:rPr>
        <w:t>2</w:t>
      </w:r>
      <w:r w:rsidR="00602D12" w:rsidRPr="00F9522B">
        <w:rPr>
          <w:spacing w:val="-1"/>
          <w:sz w:val="24"/>
        </w:rPr>
        <w:t>8</w:t>
      </w:r>
      <w:r w:rsidRPr="00F9522B">
        <w:rPr>
          <w:spacing w:val="-1"/>
          <w:sz w:val="24"/>
        </w:rPr>
        <w:t>32.6</w:t>
      </w:r>
      <w:r w:rsidRPr="00F9522B">
        <w:rPr>
          <w:sz w:val="24"/>
        </w:rPr>
        <w:t>×10</w:t>
      </w:r>
      <w:r w:rsidRPr="00F9522B">
        <w:rPr>
          <w:sz w:val="24"/>
          <w:vertAlign w:val="superscript"/>
        </w:rPr>
        <w:t>4</w:t>
      </w:r>
      <w:r w:rsidRPr="00F9522B">
        <w:rPr>
          <w:spacing w:val="-1"/>
          <w:sz w:val="24"/>
        </w:rPr>
        <w:t>ind./L</w:t>
      </w:r>
      <w:r w:rsidRPr="00F9522B">
        <w:rPr>
          <w:spacing w:val="-1"/>
          <w:sz w:val="24"/>
        </w:rPr>
        <w:t>。其中，蓝藻门的密度最高为</w:t>
      </w:r>
      <w:r w:rsidRPr="00F9522B">
        <w:rPr>
          <w:spacing w:val="-1"/>
          <w:sz w:val="24"/>
        </w:rPr>
        <w:t>2</w:t>
      </w:r>
      <w:r w:rsidR="00602D12" w:rsidRPr="00F9522B">
        <w:rPr>
          <w:spacing w:val="-1"/>
          <w:sz w:val="24"/>
        </w:rPr>
        <w:t>35</w:t>
      </w:r>
      <w:r w:rsidRPr="00F9522B">
        <w:rPr>
          <w:spacing w:val="-1"/>
          <w:sz w:val="24"/>
        </w:rPr>
        <w:t>9.1</w:t>
      </w:r>
      <w:r w:rsidRPr="00F9522B">
        <w:rPr>
          <w:sz w:val="24"/>
        </w:rPr>
        <w:t>×10</w:t>
      </w:r>
      <w:r w:rsidRPr="00F9522B">
        <w:rPr>
          <w:sz w:val="24"/>
          <w:vertAlign w:val="superscript"/>
        </w:rPr>
        <w:t>4</w:t>
      </w:r>
      <w:r w:rsidRPr="00F9522B">
        <w:rPr>
          <w:spacing w:val="-1"/>
          <w:sz w:val="24"/>
        </w:rPr>
        <w:t>ind./L</w:t>
      </w:r>
      <w:r w:rsidRPr="00F9522B">
        <w:rPr>
          <w:spacing w:val="-1"/>
          <w:sz w:val="24"/>
        </w:rPr>
        <w:t>，硅藻门密</w:t>
      </w:r>
      <w:r w:rsidRPr="00F9522B">
        <w:rPr>
          <w:spacing w:val="-3"/>
          <w:sz w:val="24"/>
        </w:rPr>
        <w:t>度次之为</w:t>
      </w:r>
      <w:r w:rsidRPr="00F9522B">
        <w:rPr>
          <w:spacing w:val="-3"/>
          <w:sz w:val="24"/>
        </w:rPr>
        <w:t>1</w:t>
      </w:r>
      <w:r w:rsidR="00602D12" w:rsidRPr="00F9522B">
        <w:rPr>
          <w:spacing w:val="-3"/>
          <w:sz w:val="24"/>
        </w:rPr>
        <w:t>4</w:t>
      </w:r>
      <w:r w:rsidRPr="00F9522B">
        <w:rPr>
          <w:spacing w:val="-3"/>
          <w:sz w:val="24"/>
        </w:rPr>
        <w:t>5.0</w:t>
      </w:r>
      <w:r w:rsidRPr="00F9522B">
        <w:rPr>
          <w:sz w:val="24"/>
        </w:rPr>
        <w:t>×10</w:t>
      </w:r>
      <w:r w:rsidRPr="00F9522B">
        <w:rPr>
          <w:sz w:val="24"/>
          <w:vertAlign w:val="superscript"/>
        </w:rPr>
        <w:t>4</w:t>
      </w:r>
      <w:r w:rsidRPr="00F9522B">
        <w:rPr>
          <w:spacing w:val="-3"/>
          <w:sz w:val="24"/>
        </w:rPr>
        <w:t>ind./L</w:t>
      </w:r>
      <w:r w:rsidRPr="00F9522B">
        <w:rPr>
          <w:spacing w:val="-3"/>
          <w:sz w:val="24"/>
        </w:rPr>
        <w:t>，绿藻门</w:t>
      </w:r>
      <w:r w:rsidRPr="00F9522B">
        <w:rPr>
          <w:spacing w:val="-3"/>
          <w:sz w:val="24"/>
        </w:rPr>
        <w:t>8</w:t>
      </w:r>
      <w:r w:rsidR="00602D12" w:rsidRPr="00F9522B">
        <w:rPr>
          <w:spacing w:val="-3"/>
          <w:sz w:val="24"/>
        </w:rPr>
        <w:t>5</w:t>
      </w:r>
      <w:r w:rsidRPr="00F9522B">
        <w:rPr>
          <w:spacing w:val="-3"/>
          <w:sz w:val="24"/>
        </w:rPr>
        <w:t>.2</w:t>
      </w:r>
      <w:r w:rsidRPr="00F9522B">
        <w:rPr>
          <w:sz w:val="24"/>
        </w:rPr>
        <w:t>×10</w:t>
      </w:r>
      <w:r w:rsidRPr="00F9522B">
        <w:rPr>
          <w:sz w:val="24"/>
          <w:vertAlign w:val="superscript"/>
        </w:rPr>
        <w:t>4</w:t>
      </w:r>
      <w:r w:rsidRPr="00F9522B">
        <w:rPr>
          <w:spacing w:val="-4"/>
          <w:sz w:val="24"/>
        </w:rPr>
        <w:t>ind./L</w:t>
      </w:r>
      <w:r w:rsidRPr="00F9522B">
        <w:rPr>
          <w:spacing w:val="-4"/>
          <w:sz w:val="24"/>
        </w:rPr>
        <w:t>，金藻门为</w:t>
      </w:r>
      <w:r w:rsidRPr="00F9522B">
        <w:rPr>
          <w:spacing w:val="-4"/>
          <w:sz w:val="24"/>
        </w:rPr>
        <w:t>1</w:t>
      </w:r>
      <w:r w:rsidR="00602D12" w:rsidRPr="00F9522B">
        <w:rPr>
          <w:spacing w:val="-4"/>
          <w:sz w:val="24"/>
        </w:rPr>
        <w:t>3</w:t>
      </w:r>
      <w:r w:rsidRPr="00F9522B">
        <w:rPr>
          <w:spacing w:val="-4"/>
          <w:sz w:val="24"/>
        </w:rPr>
        <w:t>.5</w:t>
      </w:r>
      <w:r w:rsidRPr="00F9522B">
        <w:rPr>
          <w:sz w:val="24"/>
        </w:rPr>
        <w:t>×10</w:t>
      </w:r>
      <w:r w:rsidRPr="00F9522B">
        <w:rPr>
          <w:sz w:val="24"/>
          <w:vertAlign w:val="superscript"/>
        </w:rPr>
        <w:t>4</w:t>
      </w:r>
      <w:r w:rsidRPr="00F9522B">
        <w:rPr>
          <w:spacing w:val="-4"/>
          <w:sz w:val="24"/>
        </w:rPr>
        <w:t>ind./L</w:t>
      </w:r>
      <w:r w:rsidRPr="00F9522B">
        <w:rPr>
          <w:spacing w:val="-4"/>
          <w:sz w:val="24"/>
        </w:rPr>
        <w:t>，隐</w:t>
      </w:r>
      <w:r w:rsidRPr="00F9522B">
        <w:rPr>
          <w:spacing w:val="-5"/>
          <w:sz w:val="24"/>
        </w:rPr>
        <w:t>藻门为</w:t>
      </w:r>
      <w:r w:rsidRPr="00F9522B">
        <w:rPr>
          <w:spacing w:val="-5"/>
          <w:sz w:val="24"/>
        </w:rPr>
        <w:t>6.</w:t>
      </w:r>
      <w:r w:rsidR="00602D12" w:rsidRPr="00F9522B">
        <w:rPr>
          <w:spacing w:val="-5"/>
          <w:sz w:val="24"/>
        </w:rPr>
        <w:t>3</w:t>
      </w:r>
      <w:r w:rsidRPr="00F9522B">
        <w:rPr>
          <w:sz w:val="24"/>
        </w:rPr>
        <w:t>×10</w:t>
      </w:r>
      <w:r w:rsidRPr="00F9522B">
        <w:rPr>
          <w:sz w:val="24"/>
          <w:vertAlign w:val="superscript"/>
        </w:rPr>
        <w:t>4</w:t>
      </w:r>
      <w:r w:rsidRPr="00F9522B">
        <w:rPr>
          <w:spacing w:val="-5"/>
          <w:sz w:val="24"/>
        </w:rPr>
        <w:t>ind./L</w:t>
      </w:r>
      <w:r w:rsidRPr="00F9522B">
        <w:rPr>
          <w:spacing w:val="-5"/>
          <w:sz w:val="24"/>
        </w:rPr>
        <w:t>，裸藻门为</w:t>
      </w:r>
      <w:r w:rsidRPr="00F9522B">
        <w:rPr>
          <w:spacing w:val="-5"/>
          <w:sz w:val="24"/>
        </w:rPr>
        <w:t>0.4</w:t>
      </w:r>
      <w:r w:rsidRPr="00F9522B">
        <w:rPr>
          <w:sz w:val="24"/>
        </w:rPr>
        <w:t>×10</w:t>
      </w:r>
      <w:r w:rsidRPr="00F9522B">
        <w:rPr>
          <w:sz w:val="24"/>
          <w:vertAlign w:val="superscript"/>
        </w:rPr>
        <w:t>4</w:t>
      </w:r>
      <w:r w:rsidRPr="00F9522B">
        <w:rPr>
          <w:spacing w:val="-5"/>
          <w:sz w:val="24"/>
        </w:rPr>
        <w:t>ind./L</w:t>
      </w:r>
      <w:r w:rsidRPr="00F9522B">
        <w:rPr>
          <w:spacing w:val="-5"/>
          <w:sz w:val="24"/>
        </w:rPr>
        <w:t>，甲藻门</w:t>
      </w:r>
      <w:r w:rsidRPr="00F9522B">
        <w:rPr>
          <w:spacing w:val="-6"/>
          <w:sz w:val="24"/>
        </w:rPr>
        <w:t>为</w:t>
      </w:r>
      <w:r w:rsidRPr="00F9522B">
        <w:rPr>
          <w:spacing w:val="-6"/>
          <w:sz w:val="24"/>
        </w:rPr>
        <w:t>0.2</w:t>
      </w:r>
      <w:r w:rsidR="00602D12" w:rsidRPr="00F9522B">
        <w:rPr>
          <w:spacing w:val="-6"/>
          <w:sz w:val="24"/>
        </w:rPr>
        <w:t>5</w:t>
      </w:r>
      <w:r w:rsidRPr="00F9522B">
        <w:rPr>
          <w:sz w:val="24"/>
        </w:rPr>
        <w:t>×10</w:t>
      </w:r>
      <w:r w:rsidRPr="00F9522B">
        <w:rPr>
          <w:sz w:val="24"/>
          <w:vertAlign w:val="superscript"/>
        </w:rPr>
        <w:t>4</w:t>
      </w:r>
      <w:r w:rsidRPr="00F9522B">
        <w:rPr>
          <w:spacing w:val="-6"/>
          <w:sz w:val="24"/>
        </w:rPr>
        <w:t>ind./L</w:t>
      </w:r>
      <w:r w:rsidRPr="00F9522B">
        <w:rPr>
          <w:spacing w:val="-6"/>
          <w:sz w:val="24"/>
        </w:rPr>
        <w:t>。</w:t>
      </w:r>
    </w:p>
    <w:p w:rsidR="002A5A5E" w:rsidRPr="00F9522B" w:rsidRDefault="005273A1" w:rsidP="00611CBA">
      <w:pPr>
        <w:pStyle w:val="ab"/>
        <w:spacing w:after="0" w:line="360" w:lineRule="auto"/>
        <w:ind w:firstLineChars="200" w:firstLine="482"/>
        <w:rPr>
          <w:sz w:val="24"/>
        </w:rPr>
      </w:pPr>
      <w:r w:rsidRPr="00F9522B">
        <w:rPr>
          <w:b/>
          <w:bCs/>
          <w:spacing w:val="-6"/>
          <w:sz w:val="24"/>
        </w:rPr>
        <w:fldChar w:fldCharType="begin"/>
      </w:r>
      <w:r w:rsidR="00611CBA" w:rsidRPr="00F9522B">
        <w:rPr>
          <w:b/>
          <w:bCs/>
          <w:spacing w:val="-6"/>
          <w:sz w:val="24"/>
        </w:rPr>
        <w:instrText xml:space="preserve"> = 4 \* GB3 </w:instrText>
      </w:r>
      <w:r w:rsidRPr="00F9522B">
        <w:rPr>
          <w:b/>
          <w:bCs/>
          <w:spacing w:val="-6"/>
          <w:sz w:val="24"/>
        </w:rPr>
        <w:fldChar w:fldCharType="separate"/>
      </w:r>
      <w:r w:rsidR="00611CBA" w:rsidRPr="00F9522B">
        <w:rPr>
          <w:rFonts w:ascii="宋体" w:hAnsi="宋体" w:cs="宋体" w:hint="eastAsia"/>
          <w:b/>
          <w:bCs/>
          <w:spacing w:val="-6"/>
          <w:sz w:val="24"/>
        </w:rPr>
        <w:t>④</w:t>
      </w:r>
      <w:r w:rsidRPr="00F9522B">
        <w:rPr>
          <w:b/>
          <w:bCs/>
          <w:spacing w:val="-6"/>
          <w:sz w:val="24"/>
        </w:rPr>
        <w:fldChar w:fldCharType="end"/>
      </w:r>
      <w:r w:rsidR="00611CBA" w:rsidRPr="00F9522B">
        <w:rPr>
          <w:b/>
          <w:bCs/>
          <w:spacing w:val="-6"/>
          <w:sz w:val="24"/>
        </w:rPr>
        <w:t>生物量</w:t>
      </w:r>
    </w:p>
    <w:p w:rsidR="002A5A5E" w:rsidRPr="00F9522B" w:rsidRDefault="00611CBA">
      <w:pPr>
        <w:spacing w:line="360" w:lineRule="auto"/>
        <w:ind w:firstLineChars="200" w:firstLine="468"/>
        <w:rPr>
          <w:sz w:val="24"/>
        </w:rPr>
      </w:pPr>
      <w:r w:rsidRPr="00F9522B">
        <w:rPr>
          <w:spacing w:val="-3"/>
          <w:sz w:val="24"/>
        </w:rPr>
        <w:t>春季调查期间，评价水域浮游植物的生物量</w:t>
      </w:r>
      <w:r w:rsidRPr="00F9522B">
        <w:rPr>
          <w:spacing w:val="-4"/>
          <w:sz w:val="24"/>
        </w:rPr>
        <w:t>平均为</w:t>
      </w:r>
      <w:r w:rsidR="00602D12" w:rsidRPr="00F9522B">
        <w:rPr>
          <w:spacing w:val="-4"/>
          <w:sz w:val="24"/>
        </w:rPr>
        <w:t>2.</w:t>
      </w:r>
      <w:r w:rsidRPr="00F9522B">
        <w:rPr>
          <w:spacing w:val="-4"/>
          <w:sz w:val="24"/>
        </w:rPr>
        <w:t>4mg/L</w:t>
      </w:r>
      <w:r w:rsidRPr="00F9522B">
        <w:rPr>
          <w:spacing w:val="-4"/>
          <w:sz w:val="24"/>
        </w:rPr>
        <w:t>。其中，硅藻门生</w:t>
      </w:r>
      <w:r w:rsidRPr="00F9522B">
        <w:rPr>
          <w:spacing w:val="-2"/>
          <w:sz w:val="24"/>
        </w:rPr>
        <w:t>物量最高为</w:t>
      </w:r>
      <w:r w:rsidRPr="00F9522B">
        <w:rPr>
          <w:spacing w:val="-2"/>
          <w:sz w:val="24"/>
        </w:rPr>
        <w:t>0.</w:t>
      </w:r>
      <w:r w:rsidR="00602D12" w:rsidRPr="00F9522B">
        <w:rPr>
          <w:spacing w:val="-2"/>
          <w:sz w:val="24"/>
        </w:rPr>
        <w:t>8</w:t>
      </w:r>
      <w:r w:rsidRPr="00F9522B">
        <w:rPr>
          <w:spacing w:val="-2"/>
          <w:sz w:val="24"/>
        </w:rPr>
        <w:t>4mg/L</w:t>
      </w:r>
      <w:r w:rsidRPr="00F9522B">
        <w:rPr>
          <w:spacing w:val="-2"/>
          <w:sz w:val="24"/>
        </w:rPr>
        <w:t>，绿藻门次之为</w:t>
      </w:r>
      <w:r w:rsidRPr="00F9522B">
        <w:rPr>
          <w:spacing w:val="-2"/>
          <w:sz w:val="24"/>
        </w:rPr>
        <w:t>0</w:t>
      </w:r>
      <w:r w:rsidRPr="00F9522B">
        <w:rPr>
          <w:spacing w:val="-3"/>
          <w:sz w:val="24"/>
        </w:rPr>
        <w:t>.</w:t>
      </w:r>
      <w:r w:rsidR="00602D12" w:rsidRPr="00F9522B">
        <w:rPr>
          <w:spacing w:val="-3"/>
          <w:sz w:val="24"/>
        </w:rPr>
        <w:t>6</w:t>
      </w:r>
      <w:r w:rsidRPr="00F9522B">
        <w:rPr>
          <w:spacing w:val="-3"/>
          <w:sz w:val="24"/>
        </w:rPr>
        <w:t>6mg/L</w:t>
      </w:r>
      <w:r w:rsidRPr="00F9522B">
        <w:rPr>
          <w:spacing w:val="-3"/>
          <w:sz w:val="24"/>
        </w:rPr>
        <w:t>，隐藻门为</w:t>
      </w:r>
      <w:r w:rsidRPr="00F9522B">
        <w:rPr>
          <w:spacing w:val="-3"/>
          <w:sz w:val="24"/>
        </w:rPr>
        <w:t>0.</w:t>
      </w:r>
      <w:r w:rsidR="00602D12" w:rsidRPr="00F9522B">
        <w:rPr>
          <w:spacing w:val="-3"/>
          <w:sz w:val="24"/>
        </w:rPr>
        <w:t>18</w:t>
      </w:r>
      <w:r w:rsidRPr="00F9522B">
        <w:rPr>
          <w:spacing w:val="-3"/>
          <w:sz w:val="24"/>
        </w:rPr>
        <w:t>mg/L</w:t>
      </w:r>
      <w:r w:rsidRPr="00F9522B">
        <w:rPr>
          <w:spacing w:val="-3"/>
          <w:sz w:val="24"/>
        </w:rPr>
        <w:t>，蓝藻门为</w:t>
      </w:r>
      <w:r w:rsidRPr="00F9522B">
        <w:rPr>
          <w:spacing w:val="-3"/>
          <w:sz w:val="24"/>
        </w:rPr>
        <w:t>0.</w:t>
      </w:r>
      <w:r w:rsidR="00602D12" w:rsidRPr="00F9522B">
        <w:rPr>
          <w:spacing w:val="-3"/>
          <w:sz w:val="24"/>
        </w:rPr>
        <w:t>24</w:t>
      </w:r>
      <w:r w:rsidRPr="00F9522B">
        <w:rPr>
          <w:spacing w:val="-3"/>
          <w:sz w:val="24"/>
        </w:rPr>
        <w:t>mg/L</w:t>
      </w:r>
      <w:r w:rsidRPr="00F9522B">
        <w:rPr>
          <w:spacing w:val="-3"/>
          <w:sz w:val="24"/>
        </w:rPr>
        <w:t>，金藻门为</w:t>
      </w:r>
      <w:r w:rsidRPr="00F9522B">
        <w:rPr>
          <w:spacing w:val="-3"/>
          <w:sz w:val="24"/>
        </w:rPr>
        <w:t>0.0</w:t>
      </w:r>
      <w:r w:rsidR="00602D12" w:rsidRPr="00F9522B">
        <w:rPr>
          <w:spacing w:val="-3"/>
          <w:sz w:val="24"/>
        </w:rPr>
        <w:t>6</w:t>
      </w:r>
      <w:r w:rsidRPr="00F9522B">
        <w:rPr>
          <w:spacing w:val="-3"/>
          <w:sz w:val="24"/>
        </w:rPr>
        <w:t>mg/L</w:t>
      </w:r>
      <w:r w:rsidRPr="00F9522B">
        <w:rPr>
          <w:spacing w:val="-3"/>
          <w:sz w:val="24"/>
        </w:rPr>
        <w:t>，</w:t>
      </w:r>
      <w:r w:rsidRPr="00F9522B">
        <w:rPr>
          <w:spacing w:val="-4"/>
          <w:sz w:val="24"/>
        </w:rPr>
        <w:t>甲藻门为</w:t>
      </w:r>
      <w:r w:rsidRPr="00F9522B">
        <w:rPr>
          <w:spacing w:val="-4"/>
          <w:sz w:val="24"/>
        </w:rPr>
        <w:t>0.0</w:t>
      </w:r>
      <w:r w:rsidR="00602D12" w:rsidRPr="00F9522B">
        <w:rPr>
          <w:spacing w:val="-4"/>
          <w:sz w:val="24"/>
        </w:rPr>
        <w:t>2</w:t>
      </w:r>
      <w:r w:rsidRPr="00F9522B">
        <w:rPr>
          <w:spacing w:val="-4"/>
          <w:sz w:val="24"/>
        </w:rPr>
        <w:t>mg/L</w:t>
      </w:r>
      <w:r w:rsidRPr="00F9522B">
        <w:rPr>
          <w:spacing w:val="-4"/>
          <w:sz w:val="24"/>
        </w:rPr>
        <w:t>。</w:t>
      </w:r>
      <w:r w:rsidRPr="00F9522B">
        <w:rPr>
          <w:spacing w:val="2"/>
          <w:sz w:val="24"/>
        </w:rPr>
        <w:t>秋</w:t>
      </w:r>
      <w:r w:rsidRPr="00F9522B">
        <w:rPr>
          <w:spacing w:val="-4"/>
          <w:sz w:val="24"/>
        </w:rPr>
        <w:t>季调查期间，评价水域浮</w:t>
      </w:r>
      <w:r w:rsidRPr="00F9522B">
        <w:rPr>
          <w:spacing w:val="-2"/>
          <w:sz w:val="24"/>
        </w:rPr>
        <w:t>游植物的生物量平均为</w:t>
      </w:r>
      <w:r w:rsidR="00602D12" w:rsidRPr="00F9522B">
        <w:rPr>
          <w:spacing w:val="-2"/>
          <w:sz w:val="24"/>
        </w:rPr>
        <w:t>3.05</w:t>
      </w:r>
      <w:r w:rsidRPr="00F9522B">
        <w:rPr>
          <w:spacing w:val="-2"/>
          <w:sz w:val="24"/>
        </w:rPr>
        <w:t>mg/L</w:t>
      </w:r>
      <w:r w:rsidRPr="00F9522B">
        <w:rPr>
          <w:spacing w:val="-2"/>
          <w:sz w:val="24"/>
        </w:rPr>
        <w:t>。其中，硅藻门生物量最</w:t>
      </w:r>
      <w:r w:rsidRPr="00F9522B">
        <w:rPr>
          <w:spacing w:val="-3"/>
          <w:sz w:val="24"/>
        </w:rPr>
        <w:t>高为</w:t>
      </w:r>
      <w:r w:rsidR="00602D12" w:rsidRPr="00F9522B">
        <w:rPr>
          <w:spacing w:val="-3"/>
          <w:sz w:val="24"/>
        </w:rPr>
        <w:t>1.5</w:t>
      </w:r>
      <w:r w:rsidRPr="00F9522B">
        <w:rPr>
          <w:spacing w:val="-3"/>
          <w:sz w:val="24"/>
        </w:rPr>
        <w:t>mg/L</w:t>
      </w:r>
      <w:r w:rsidRPr="00F9522B">
        <w:rPr>
          <w:spacing w:val="-3"/>
          <w:sz w:val="24"/>
        </w:rPr>
        <w:t>，绿藻门</w:t>
      </w:r>
      <w:r w:rsidRPr="00F9522B">
        <w:rPr>
          <w:spacing w:val="-6"/>
          <w:sz w:val="24"/>
        </w:rPr>
        <w:t>次之为</w:t>
      </w:r>
      <w:r w:rsidR="00602D12" w:rsidRPr="00F9522B">
        <w:rPr>
          <w:spacing w:val="-6"/>
          <w:sz w:val="24"/>
        </w:rPr>
        <w:t>1.12</w:t>
      </w:r>
      <w:r w:rsidRPr="00F9522B">
        <w:rPr>
          <w:spacing w:val="-6"/>
          <w:sz w:val="24"/>
        </w:rPr>
        <w:t>mg/L</w:t>
      </w:r>
      <w:r w:rsidRPr="00F9522B">
        <w:rPr>
          <w:spacing w:val="-6"/>
          <w:sz w:val="24"/>
        </w:rPr>
        <w:t>，隐藻门为</w:t>
      </w:r>
      <w:r w:rsidRPr="00F9522B">
        <w:rPr>
          <w:spacing w:val="-6"/>
          <w:sz w:val="24"/>
        </w:rPr>
        <w:t>0.</w:t>
      </w:r>
      <w:r w:rsidR="00602D12" w:rsidRPr="00F9522B">
        <w:rPr>
          <w:spacing w:val="-6"/>
          <w:sz w:val="24"/>
        </w:rPr>
        <w:t>52</w:t>
      </w:r>
      <w:r w:rsidRPr="00F9522B">
        <w:rPr>
          <w:spacing w:val="-7"/>
          <w:sz w:val="24"/>
        </w:rPr>
        <w:t>mg/L</w:t>
      </w:r>
      <w:r w:rsidRPr="00F9522B">
        <w:rPr>
          <w:spacing w:val="-7"/>
          <w:sz w:val="24"/>
        </w:rPr>
        <w:t>，蓝藻门为</w:t>
      </w:r>
      <w:r w:rsidRPr="00F9522B">
        <w:rPr>
          <w:spacing w:val="-7"/>
          <w:sz w:val="24"/>
        </w:rPr>
        <w:t>0.</w:t>
      </w:r>
      <w:r w:rsidR="00602D12" w:rsidRPr="00F9522B">
        <w:rPr>
          <w:spacing w:val="-7"/>
          <w:sz w:val="24"/>
        </w:rPr>
        <w:t>24</w:t>
      </w:r>
      <w:r w:rsidRPr="00F9522B">
        <w:rPr>
          <w:spacing w:val="-7"/>
          <w:sz w:val="24"/>
        </w:rPr>
        <w:t>mg/L</w:t>
      </w:r>
      <w:r w:rsidRPr="00F9522B">
        <w:rPr>
          <w:spacing w:val="-7"/>
          <w:sz w:val="24"/>
        </w:rPr>
        <w:t>，裸藻门为</w:t>
      </w:r>
      <w:r w:rsidRPr="00F9522B">
        <w:rPr>
          <w:spacing w:val="-7"/>
          <w:sz w:val="24"/>
        </w:rPr>
        <w:t>0.0</w:t>
      </w:r>
      <w:r w:rsidR="00602D12" w:rsidRPr="00F9522B">
        <w:rPr>
          <w:spacing w:val="-7"/>
          <w:sz w:val="24"/>
        </w:rPr>
        <w:t>8</w:t>
      </w:r>
      <w:r w:rsidRPr="00F9522B">
        <w:rPr>
          <w:spacing w:val="-7"/>
          <w:sz w:val="24"/>
        </w:rPr>
        <w:t>mg/L</w:t>
      </w:r>
      <w:r w:rsidRPr="00F9522B">
        <w:rPr>
          <w:spacing w:val="-7"/>
          <w:sz w:val="24"/>
        </w:rPr>
        <w:t>，</w:t>
      </w:r>
      <w:r w:rsidRPr="00F9522B">
        <w:rPr>
          <w:spacing w:val="-2"/>
          <w:sz w:val="24"/>
        </w:rPr>
        <w:t>甲藻门为</w:t>
      </w:r>
      <w:r w:rsidRPr="00F9522B">
        <w:rPr>
          <w:spacing w:val="-2"/>
          <w:sz w:val="24"/>
        </w:rPr>
        <w:t>0.0</w:t>
      </w:r>
      <w:r w:rsidR="00602D12" w:rsidRPr="00F9522B">
        <w:rPr>
          <w:spacing w:val="-2"/>
          <w:sz w:val="24"/>
        </w:rPr>
        <w:t>2</w:t>
      </w:r>
      <w:r w:rsidRPr="00F9522B">
        <w:rPr>
          <w:spacing w:val="-2"/>
          <w:sz w:val="24"/>
        </w:rPr>
        <w:t>mg/L</w:t>
      </w:r>
      <w:r w:rsidRPr="00F9522B">
        <w:rPr>
          <w:spacing w:val="-2"/>
          <w:sz w:val="24"/>
        </w:rPr>
        <w:t>，金藻门为</w:t>
      </w:r>
      <w:r w:rsidRPr="00F9522B">
        <w:rPr>
          <w:spacing w:val="-2"/>
          <w:sz w:val="24"/>
        </w:rPr>
        <w:t>0.0</w:t>
      </w:r>
      <w:r w:rsidR="00602D12" w:rsidRPr="00F9522B">
        <w:rPr>
          <w:spacing w:val="-2"/>
          <w:sz w:val="24"/>
        </w:rPr>
        <w:t>2</w:t>
      </w:r>
      <w:r w:rsidRPr="00F9522B">
        <w:rPr>
          <w:spacing w:val="-2"/>
          <w:sz w:val="24"/>
        </w:rPr>
        <w:t>mg/L</w:t>
      </w:r>
      <w:r w:rsidRPr="00F9522B">
        <w:rPr>
          <w:spacing w:val="-2"/>
          <w:sz w:val="24"/>
        </w:rPr>
        <w:t>。</w:t>
      </w:r>
    </w:p>
    <w:p w:rsidR="002A5A5E" w:rsidRPr="00F9522B" w:rsidRDefault="00611CBA">
      <w:pPr>
        <w:pStyle w:val="ab"/>
        <w:spacing w:after="0" w:line="360" w:lineRule="auto"/>
        <w:ind w:firstLineChars="200" w:firstLine="458"/>
        <w:rPr>
          <w:b/>
          <w:bCs/>
          <w:spacing w:val="-6"/>
          <w:sz w:val="24"/>
        </w:rPr>
      </w:pPr>
      <w:r w:rsidRPr="00F9522B">
        <w:rPr>
          <w:b/>
          <w:bCs/>
          <w:spacing w:val="-6"/>
          <w:sz w:val="24"/>
        </w:rPr>
        <w:t>2</w:t>
      </w:r>
      <w:r w:rsidRPr="00F9522B">
        <w:rPr>
          <w:b/>
          <w:bCs/>
          <w:spacing w:val="-6"/>
          <w:sz w:val="24"/>
        </w:rPr>
        <w:t>）浮游动物</w:t>
      </w:r>
    </w:p>
    <w:p w:rsidR="002A5A5E" w:rsidRPr="00F9522B" w:rsidRDefault="005273A1">
      <w:pPr>
        <w:pStyle w:val="ab"/>
        <w:spacing w:after="0" w:line="360" w:lineRule="auto"/>
        <w:ind w:firstLineChars="200" w:firstLine="422"/>
        <w:rPr>
          <w:b/>
          <w:bCs/>
          <w:spacing w:val="-6"/>
          <w:sz w:val="24"/>
        </w:rPr>
      </w:pPr>
      <w:r w:rsidRPr="00F9522B">
        <w:rPr>
          <w:b/>
          <w:bCs/>
          <w:smallCaps/>
        </w:rPr>
        <w:lastRenderedPageBreak/>
        <w:fldChar w:fldCharType="begin"/>
      </w:r>
      <w:r w:rsidR="00611CBA" w:rsidRPr="00F9522B">
        <w:rPr>
          <w:b/>
          <w:bCs/>
          <w:smallCaps/>
        </w:rPr>
        <w:instrText xml:space="preserve"> = 1 \* GB3 </w:instrText>
      </w:r>
      <w:r w:rsidRPr="00F9522B">
        <w:rPr>
          <w:b/>
          <w:bCs/>
          <w:smallCaps/>
        </w:rPr>
        <w:fldChar w:fldCharType="separate"/>
      </w:r>
      <w:r w:rsidR="00611CBA" w:rsidRPr="00F9522B">
        <w:rPr>
          <w:rFonts w:ascii="宋体" w:hAnsi="宋体" w:cs="宋体" w:hint="eastAsia"/>
          <w:b/>
          <w:bCs/>
          <w:smallCaps/>
        </w:rPr>
        <w:t>①</w:t>
      </w:r>
      <w:r w:rsidRPr="00F9522B">
        <w:rPr>
          <w:b/>
          <w:bCs/>
          <w:smallCaps/>
        </w:rPr>
        <w:fldChar w:fldCharType="end"/>
      </w:r>
      <w:r w:rsidR="00611CBA" w:rsidRPr="00F9522B">
        <w:rPr>
          <w:b/>
          <w:bCs/>
          <w:spacing w:val="-6"/>
          <w:sz w:val="24"/>
        </w:rPr>
        <w:t>种类组成</w:t>
      </w:r>
    </w:p>
    <w:p w:rsidR="002A5A5E" w:rsidRPr="00F9522B" w:rsidRDefault="00611CBA">
      <w:pPr>
        <w:spacing w:line="360" w:lineRule="auto"/>
        <w:ind w:firstLineChars="200" w:firstLine="472"/>
        <w:rPr>
          <w:spacing w:val="-2"/>
          <w:sz w:val="24"/>
        </w:rPr>
      </w:pPr>
      <w:r w:rsidRPr="00F9522B">
        <w:rPr>
          <w:spacing w:val="-2"/>
          <w:sz w:val="24"/>
        </w:rPr>
        <w:t>调查期间，经鉴定评价水域浮游动物共计</w:t>
      </w:r>
      <w:r w:rsidRPr="00F9522B">
        <w:rPr>
          <w:spacing w:val="-2"/>
          <w:sz w:val="24"/>
        </w:rPr>
        <w:t>4</w:t>
      </w:r>
      <w:r w:rsidRPr="00F9522B">
        <w:rPr>
          <w:spacing w:val="-2"/>
          <w:sz w:val="24"/>
        </w:rPr>
        <w:t>类</w:t>
      </w:r>
      <w:r w:rsidRPr="00F9522B">
        <w:rPr>
          <w:spacing w:val="-2"/>
          <w:sz w:val="24"/>
        </w:rPr>
        <w:t>25</w:t>
      </w:r>
      <w:r w:rsidRPr="00F9522B">
        <w:rPr>
          <w:spacing w:val="-2"/>
          <w:sz w:val="24"/>
        </w:rPr>
        <w:t>种属。其中，轮虫种数最多为</w:t>
      </w:r>
      <w:r w:rsidRPr="00F9522B">
        <w:rPr>
          <w:spacing w:val="-2"/>
          <w:sz w:val="24"/>
        </w:rPr>
        <w:t>11</w:t>
      </w:r>
      <w:r w:rsidRPr="00F9522B">
        <w:rPr>
          <w:spacing w:val="-2"/>
          <w:sz w:val="24"/>
        </w:rPr>
        <w:t>种属，枝角类、桡足类和原生动物为</w:t>
      </w:r>
      <w:r w:rsidRPr="00F9522B">
        <w:rPr>
          <w:spacing w:val="-2"/>
          <w:sz w:val="24"/>
        </w:rPr>
        <w:t>4</w:t>
      </w:r>
      <w:r w:rsidRPr="00F9522B">
        <w:rPr>
          <w:spacing w:val="-2"/>
          <w:sz w:val="24"/>
        </w:rPr>
        <w:t>种属。</w:t>
      </w:r>
    </w:p>
    <w:p w:rsidR="002A5A5E" w:rsidRPr="00F9522B" w:rsidRDefault="00611CBA" w:rsidP="00745972">
      <w:pPr>
        <w:pStyle w:val="ab"/>
        <w:spacing w:after="0"/>
        <w:ind w:left="3238"/>
        <w:rPr>
          <w:b/>
          <w:bCs/>
          <w:spacing w:val="-2"/>
        </w:rPr>
      </w:pPr>
      <w:r w:rsidRPr="00F9522B">
        <w:rPr>
          <w:b/>
          <w:bCs/>
          <w:spacing w:val="-2"/>
        </w:rPr>
        <w:t>表</w:t>
      </w:r>
      <w:r w:rsidRPr="00F9522B">
        <w:rPr>
          <w:b/>
          <w:bCs/>
          <w:spacing w:val="-2"/>
        </w:rPr>
        <w:t>4-2-25</w:t>
      </w:r>
      <w:r w:rsidRPr="00F9522B">
        <w:rPr>
          <w:b/>
          <w:bCs/>
          <w:spacing w:val="-2"/>
        </w:rPr>
        <w:t>浮游动物名录</w:t>
      </w:r>
    </w:p>
    <w:tbl>
      <w:tblPr>
        <w:tblStyle w:val="TableNormal"/>
        <w:tblW w:w="8289" w:type="dxa"/>
        <w:tblInd w:w="109" w:type="dxa"/>
        <w:tblBorders>
          <w:top w:val="single" w:sz="12" w:space="0" w:color="000000"/>
          <w:bottom w:val="single" w:sz="12" w:space="0" w:color="000000"/>
          <w:insideH w:val="single" w:sz="2" w:space="0" w:color="000000"/>
          <w:insideV w:val="single" w:sz="2" w:space="0" w:color="000000"/>
        </w:tblBorders>
        <w:tblLayout w:type="fixed"/>
        <w:tblLook w:val="04A0"/>
      </w:tblPr>
      <w:tblGrid>
        <w:gridCol w:w="2544"/>
        <w:gridCol w:w="2138"/>
        <w:gridCol w:w="3607"/>
      </w:tblGrid>
      <w:tr w:rsidR="002A5A5E" w:rsidRPr="00F9522B" w:rsidTr="00602D12">
        <w:trPr>
          <w:trHeight w:val="334"/>
        </w:trPr>
        <w:tc>
          <w:tcPr>
            <w:tcW w:w="2544"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4"/>
                <w:sz w:val="21"/>
                <w:szCs w:val="21"/>
              </w:rPr>
              <w:t>类别</w:t>
            </w:r>
          </w:p>
        </w:tc>
        <w:tc>
          <w:tcPr>
            <w:tcW w:w="2138"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z w:val="21"/>
                <w:szCs w:val="21"/>
              </w:rPr>
              <w:t>中文名</w:t>
            </w:r>
          </w:p>
        </w:tc>
        <w:tc>
          <w:tcPr>
            <w:tcW w:w="3607"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6"/>
                <w:sz w:val="21"/>
                <w:szCs w:val="21"/>
              </w:rPr>
              <w:t>拉丁名</w:t>
            </w:r>
          </w:p>
        </w:tc>
      </w:tr>
      <w:tr w:rsidR="002A5A5E" w:rsidRPr="00F9522B" w:rsidTr="00602D12">
        <w:trPr>
          <w:trHeight w:val="329"/>
        </w:trPr>
        <w:tc>
          <w:tcPr>
            <w:tcW w:w="2544" w:type="dxa"/>
            <w:vMerge w:val="restart"/>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3"/>
                <w:sz w:val="21"/>
                <w:szCs w:val="21"/>
              </w:rPr>
              <w:t>原生动物</w:t>
            </w:r>
            <w:r w:rsidRPr="00F9522B">
              <w:rPr>
                <w:color w:val="auto"/>
                <w:sz w:val="21"/>
                <w:szCs w:val="21"/>
              </w:rPr>
              <w:t>Protozoa</w:t>
            </w:r>
          </w:p>
        </w:tc>
        <w:tc>
          <w:tcPr>
            <w:tcW w:w="2138"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7"/>
                <w:sz w:val="21"/>
                <w:szCs w:val="21"/>
              </w:rPr>
              <w:t>钟形钟虫</w:t>
            </w:r>
          </w:p>
        </w:tc>
        <w:tc>
          <w:tcPr>
            <w:tcW w:w="3607"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i/>
                <w:iCs/>
                <w:spacing w:val="1"/>
                <w:position w:val="4"/>
                <w:szCs w:val="21"/>
              </w:rPr>
              <w:t>Vorticella campanula</w:t>
            </w:r>
          </w:p>
        </w:tc>
      </w:tr>
      <w:tr w:rsidR="002A5A5E" w:rsidRPr="00F9522B" w:rsidTr="00602D12">
        <w:trPr>
          <w:trHeight w:val="329"/>
        </w:trPr>
        <w:tc>
          <w:tcPr>
            <w:tcW w:w="2544" w:type="dxa"/>
            <w:vMerge/>
            <w:vAlign w:val="center"/>
          </w:tcPr>
          <w:p w:rsidR="002A5A5E" w:rsidRPr="00F9522B" w:rsidRDefault="002A5A5E">
            <w:pPr>
              <w:spacing w:line="0" w:lineRule="atLeast"/>
              <w:jc w:val="center"/>
              <w:rPr>
                <w:szCs w:val="21"/>
              </w:rPr>
            </w:pPr>
          </w:p>
        </w:tc>
        <w:tc>
          <w:tcPr>
            <w:tcW w:w="2138"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5"/>
                <w:sz w:val="21"/>
                <w:szCs w:val="21"/>
              </w:rPr>
              <w:t>小口钟虫</w:t>
            </w:r>
          </w:p>
        </w:tc>
        <w:tc>
          <w:tcPr>
            <w:tcW w:w="3607"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i/>
                <w:iCs/>
                <w:spacing w:val="1"/>
                <w:position w:val="2"/>
                <w:szCs w:val="21"/>
              </w:rPr>
              <w:t>Vorticella microstoma</w:t>
            </w:r>
          </w:p>
        </w:tc>
      </w:tr>
      <w:tr w:rsidR="002A5A5E" w:rsidRPr="00F9522B" w:rsidTr="00602D12">
        <w:trPr>
          <w:trHeight w:val="329"/>
        </w:trPr>
        <w:tc>
          <w:tcPr>
            <w:tcW w:w="2544" w:type="dxa"/>
            <w:vMerge/>
            <w:vAlign w:val="center"/>
          </w:tcPr>
          <w:p w:rsidR="002A5A5E" w:rsidRPr="00F9522B" w:rsidRDefault="002A5A5E">
            <w:pPr>
              <w:spacing w:line="0" w:lineRule="atLeast"/>
              <w:jc w:val="center"/>
              <w:rPr>
                <w:szCs w:val="21"/>
              </w:rPr>
            </w:pPr>
          </w:p>
        </w:tc>
        <w:tc>
          <w:tcPr>
            <w:tcW w:w="2138"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7"/>
                <w:sz w:val="21"/>
                <w:szCs w:val="21"/>
              </w:rPr>
              <w:t>尾草履虫</w:t>
            </w:r>
          </w:p>
        </w:tc>
        <w:tc>
          <w:tcPr>
            <w:tcW w:w="3607"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i/>
                <w:iCs/>
                <w:spacing w:val="5"/>
                <w:position w:val="2"/>
                <w:szCs w:val="21"/>
              </w:rPr>
              <w:t>Paramecium caudatum</w:t>
            </w:r>
          </w:p>
        </w:tc>
      </w:tr>
      <w:tr w:rsidR="002A5A5E" w:rsidRPr="00F9522B" w:rsidTr="00602D12">
        <w:trPr>
          <w:trHeight w:val="329"/>
        </w:trPr>
        <w:tc>
          <w:tcPr>
            <w:tcW w:w="2544" w:type="dxa"/>
            <w:vMerge/>
            <w:vAlign w:val="center"/>
          </w:tcPr>
          <w:p w:rsidR="002A5A5E" w:rsidRPr="00F9522B" w:rsidRDefault="002A5A5E">
            <w:pPr>
              <w:spacing w:line="0" w:lineRule="atLeast"/>
              <w:jc w:val="center"/>
              <w:rPr>
                <w:szCs w:val="21"/>
              </w:rPr>
            </w:pPr>
          </w:p>
        </w:tc>
        <w:tc>
          <w:tcPr>
            <w:tcW w:w="2138"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7"/>
                <w:sz w:val="21"/>
                <w:szCs w:val="21"/>
              </w:rPr>
              <w:t>王氏似铃壳虫</w:t>
            </w:r>
          </w:p>
        </w:tc>
        <w:tc>
          <w:tcPr>
            <w:tcW w:w="3607"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i/>
                <w:iCs/>
                <w:spacing w:val="2"/>
                <w:szCs w:val="21"/>
              </w:rPr>
              <w:t>Tintinnopsis wangi</w:t>
            </w:r>
          </w:p>
        </w:tc>
      </w:tr>
      <w:tr w:rsidR="002A5A5E" w:rsidRPr="00F9522B" w:rsidTr="00602D12">
        <w:trPr>
          <w:trHeight w:val="329"/>
        </w:trPr>
        <w:tc>
          <w:tcPr>
            <w:tcW w:w="2544" w:type="dxa"/>
            <w:vMerge w:val="restart"/>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8"/>
                <w:sz w:val="21"/>
                <w:szCs w:val="21"/>
              </w:rPr>
              <w:t>轮虫</w:t>
            </w:r>
            <w:r w:rsidRPr="00F9522B">
              <w:rPr>
                <w:color w:val="auto"/>
                <w:sz w:val="21"/>
                <w:szCs w:val="21"/>
              </w:rPr>
              <w:t>Rotifera</w:t>
            </w:r>
          </w:p>
        </w:tc>
        <w:tc>
          <w:tcPr>
            <w:tcW w:w="2138"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7"/>
                <w:sz w:val="21"/>
                <w:szCs w:val="21"/>
              </w:rPr>
              <w:t>瓶累枝虫</w:t>
            </w:r>
          </w:p>
        </w:tc>
        <w:tc>
          <w:tcPr>
            <w:tcW w:w="3607"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i/>
                <w:iCs/>
                <w:spacing w:val="3"/>
                <w:position w:val="4"/>
                <w:szCs w:val="21"/>
              </w:rPr>
              <w:t>Epistylis urceolata</w:t>
            </w:r>
          </w:p>
        </w:tc>
      </w:tr>
      <w:tr w:rsidR="002A5A5E" w:rsidRPr="00F9522B" w:rsidTr="00602D12">
        <w:trPr>
          <w:trHeight w:val="329"/>
        </w:trPr>
        <w:tc>
          <w:tcPr>
            <w:tcW w:w="2544" w:type="dxa"/>
            <w:vMerge/>
            <w:vAlign w:val="center"/>
          </w:tcPr>
          <w:p w:rsidR="002A5A5E" w:rsidRPr="00F9522B" w:rsidRDefault="002A5A5E">
            <w:pPr>
              <w:spacing w:line="0" w:lineRule="atLeast"/>
              <w:jc w:val="center"/>
              <w:rPr>
                <w:szCs w:val="21"/>
              </w:rPr>
            </w:pPr>
          </w:p>
        </w:tc>
        <w:tc>
          <w:tcPr>
            <w:tcW w:w="2138"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7"/>
                <w:sz w:val="21"/>
                <w:szCs w:val="21"/>
              </w:rPr>
              <w:t>角突臂尾轮虫</w:t>
            </w:r>
          </w:p>
        </w:tc>
        <w:tc>
          <w:tcPr>
            <w:tcW w:w="3607"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i/>
                <w:iCs/>
                <w:spacing w:val="4"/>
                <w:position w:val="4"/>
                <w:szCs w:val="21"/>
              </w:rPr>
              <w:t>Brachionus angularis</w:t>
            </w:r>
          </w:p>
        </w:tc>
      </w:tr>
      <w:tr w:rsidR="002A5A5E" w:rsidRPr="00F9522B" w:rsidTr="00602D12">
        <w:trPr>
          <w:trHeight w:val="329"/>
        </w:trPr>
        <w:tc>
          <w:tcPr>
            <w:tcW w:w="2544" w:type="dxa"/>
            <w:vMerge/>
            <w:vAlign w:val="center"/>
          </w:tcPr>
          <w:p w:rsidR="002A5A5E" w:rsidRPr="00F9522B" w:rsidRDefault="002A5A5E">
            <w:pPr>
              <w:spacing w:line="0" w:lineRule="atLeast"/>
              <w:jc w:val="center"/>
              <w:rPr>
                <w:szCs w:val="21"/>
              </w:rPr>
            </w:pPr>
          </w:p>
        </w:tc>
        <w:tc>
          <w:tcPr>
            <w:tcW w:w="2138"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8"/>
                <w:sz w:val="21"/>
                <w:szCs w:val="21"/>
              </w:rPr>
              <w:t>浦达臂尾轮虫</w:t>
            </w:r>
          </w:p>
        </w:tc>
        <w:tc>
          <w:tcPr>
            <w:tcW w:w="3607"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i/>
                <w:iCs/>
                <w:spacing w:val="4"/>
                <w:position w:val="4"/>
                <w:szCs w:val="21"/>
              </w:rPr>
              <w:t>Brachionus budapestiensis</w:t>
            </w:r>
          </w:p>
        </w:tc>
      </w:tr>
      <w:tr w:rsidR="002A5A5E" w:rsidRPr="00F9522B" w:rsidTr="00602D12">
        <w:trPr>
          <w:trHeight w:val="329"/>
        </w:trPr>
        <w:tc>
          <w:tcPr>
            <w:tcW w:w="2544" w:type="dxa"/>
            <w:vMerge/>
            <w:vAlign w:val="center"/>
          </w:tcPr>
          <w:p w:rsidR="002A5A5E" w:rsidRPr="00F9522B" w:rsidRDefault="002A5A5E">
            <w:pPr>
              <w:spacing w:line="0" w:lineRule="atLeast"/>
              <w:jc w:val="center"/>
              <w:rPr>
                <w:szCs w:val="21"/>
              </w:rPr>
            </w:pPr>
          </w:p>
        </w:tc>
        <w:tc>
          <w:tcPr>
            <w:tcW w:w="2138"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7"/>
                <w:sz w:val="21"/>
                <w:szCs w:val="21"/>
              </w:rPr>
              <w:t>萼花臂尾轮虫</w:t>
            </w:r>
          </w:p>
        </w:tc>
        <w:tc>
          <w:tcPr>
            <w:tcW w:w="3607"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i/>
                <w:iCs/>
                <w:spacing w:val="4"/>
                <w:position w:val="4"/>
                <w:szCs w:val="21"/>
              </w:rPr>
              <w:t>Brachionus calyciflorus</w:t>
            </w:r>
          </w:p>
        </w:tc>
      </w:tr>
      <w:tr w:rsidR="002A5A5E" w:rsidRPr="00F9522B" w:rsidTr="00602D12">
        <w:trPr>
          <w:trHeight w:val="329"/>
        </w:trPr>
        <w:tc>
          <w:tcPr>
            <w:tcW w:w="2544" w:type="dxa"/>
            <w:vMerge/>
            <w:vAlign w:val="center"/>
          </w:tcPr>
          <w:p w:rsidR="002A5A5E" w:rsidRPr="00F9522B" w:rsidRDefault="002A5A5E">
            <w:pPr>
              <w:spacing w:line="0" w:lineRule="atLeast"/>
              <w:jc w:val="center"/>
              <w:rPr>
                <w:szCs w:val="21"/>
              </w:rPr>
            </w:pPr>
          </w:p>
        </w:tc>
        <w:tc>
          <w:tcPr>
            <w:tcW w:w="2138"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8"/>
                <w:sz w:val="21"/>
                <w:szCs w:val="21"/>
              </w:rPr>
              <w:t>矩形臂尾轮虫</w:t>
            </w:r>
          </w:p>
        </w:tc>
        <w:tc>
          <w:tcPr>
            <w:tcW w:w="3607"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i/>
                <w:iCs/>
                <w:spacing w:val="4"/>
                <w:position w:val="4"/>
                <w:szCs w:val="21"/>
              </w:rPr>
              <w:t>Brachionus leydigi</w:t>
            </w:r>
          </w:p>
        </w:tc>
      </w:tr>
      <w:tr w:rsidR="002A5A5E" w:rsidRPr="00F9522B" w:rsidTr="00602D12">
        <w:trPr>
          <w:trHeight w:val="329"/>
        </w:trPr>
        <w:tc>
          <w:tcPr>
            <w:tcW w:w="2544" w:type="dxa"/>
            <w:vMerge/>
            <w:vAlign w:val="center"/>
          </w:tcPr>
          <w:p w:rsidR="002A5A5E" w:rsidRPr="00F9522B" w:rsidRDefault="002A5A5E">
            <w:pPr>
              <w:spacing w:line="0" w:lineRule="atLeast"/>
              <w:jc w:val="center"/>
              <w:rPr>
                <w:szCs w:val="21"/>
              </w:rPr>
            </w:pPr>
          </w:p>
        </w:tc>
        <w:tc>
          <w:tcPr>
            <w:tcW w:w="2138"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7"/>
                <w:sz w:val="21"/>
                <w:szCs w:val="21"/>
              </w:rPr>
              <w:t>壶状臂尾轮虫</w:t>
            </w:r>
          </w:p>
        </w:tc>
        <w:tc>
          <w:tcPr>
            <w:tcW w:w="3607"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i/>
                <w:iCs/>
                <w:spacing w:val="4"/>
                <w:position w:val="2"/>
                <w:szCs w:val="21"/>
              </w:rPr>
              <w:t>Brachionus urceus</w:t>
            </w:r>
          </w:p>
        </w:tc>
      </w:tr>
      <w:tr w:rsidR="002A5A5E" w:rsidRPr="00F9522B" w:rsidTr="00602D12">
        <w:trPr>
          <w:trHeight w:val="329"/>
        </w:trPr>
        <w:tc>
          <w:tcPr>
            <w:tcW w:w="2544" w:type="dxa"/>
            <w:vMerge/>
            <w:vAlign w:val="center"/>
          </w:tcPr>
          <w:p w:rsidR="002A5A5E" w:rsidRPr="00F9522B" w:rsidRDefault="002A5A5E">
            <w:pPr>
              <w:spacing w:line="0" w:lineRule="atLeast"/>
              <w:jc w:val="center"/>
              <w:rPr>
                <w:szCs w:val="21"/>
              </w:rPr>
            </w:pPr>
          </w:p>
        </w:tc>
        <w:tc>
          <w:tcPr>
            <w:tcW w:w="2138"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7"/>
                <w:sz w:val="21"/>
                <w:szCs w:val="21"/>
              </w:rPr>
              <w:t>螺形龟甲轮虫</w:t>
            </w:r>
          </w:p>
        </w:tc>
        <w:tc>
          <w:tcPr>
            <w:tcW w:w="3607"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i/>
                <w:iCs/>
                <w:spacing w:val="4"/>
                <w:position w:val="2"/>
                <w:szCs w:val="21"/>
              </w:rPr>
              <w:t>Keratella cochlearis</w:t>
            </w:r>
          </w:p>
        </w:tc>
      </w:tr>
      <w:tr w:rsidR="002A5A5E" w:rsidRPr="00F9522B" w:rsidTr="00602D12">
        <w:trPr>
          <w:trHeight w:val="329"/>
        </w:trPr>
        <w:tc>
          <w:tcPr>
            <w:tcW w:w="2544" w:type="dxa"/>
            <w:vMerge/>
            <w:vAlign w:val="center"/>
          </w:tcPr>
          <w:p w:rsidR="002A5A5E" w:rsidRPr="00F9522B" w:rsidRDefault="002A5A5E">
            <w:pPr>
              <w:spacing w:line="0" w:lineRule="atLeast"/>
              <w:jc w:val="center"/>
              <w:rPr>
                <w:szCs w:val="21"/>
              </w:rPr>
            </w:pPr>
          </w:p>
        </w:tc>
        <w:tc>
          <w:tcPr>
            <w:tcW w:w="2138"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7"/>
                <w:sz w:val="21"/>
                <w:szCs w:val="21"/>
              </w:rPr>
              <w:t>前节晶囊轮虫</w:t>
            </w:r>
          </w:p>
        </w:tc>
        <w:tc>
          <w:tcPr>
            <w:tcW w:w="3607"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i/>
                <w:iCs/>
                <w:spacing w:val="7"/>
                <w:position w:val="4"/>
                <w:szCs w:val="21"/>
              </w:rPr>
              <w:t>Asplanchnapriodonta</w:t>
            </w:r>
          </w:p>
        </w:tc>
      </w:tr>
      <w:tr w:rsidR="002A5A5E" w:rsidRPr="00F9522B" w:rsidTr="00602D12">
        <w:trPr>
          <w:trHeight w:val="329"/>
        </w:trPr>
        <w:tc>
          <w:tcPr>
            <w:tcW w:w="2544" w:type="dxa"/>
            <w:vMerge/>
            <w:vAlign w:val="center"/>
          </w:tcPr>
          <w:p w:rsidR="002A5A5E" w:rsidRPr="00F9522B" w:rsidRDefault="002A5A5E">
            <w:pPr>
              <w:spacing w:line="0" w:lineRule="atLeast"/>
              <w:jc w:val="center"/>
              <w:rPr>
                <w:szCs w:val="21"/>
              </w:rPr>
            </w:pPr>
          </w:p>
        </w:tc>
        <w:tc>
          <w:tcPr>
            <w:tcW w:w="2138"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7"/>
                <w:sz w:val="21"/>
                <w:szCs w:val="21"/>
              </w:rPr>
              <w:t>等刺异尾轮虫</w:t>
            </w:r>
          </w:p>
        </w:tc>
        <w:tc>
          <w:tcPr>
            <w:tcW w:w="3607"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i/>
                <w:iCs/>
                <w:spacing w:val="2"/>
                <w:position w:val="2"/>
                <w:szCs w:val="21"/>
              </w:rPr>
              <w:t>Trichocerca similis</w:t>
            </w:r>
          </w:p>
        </w:tc>
      </w:tr>
      <w:tr w:rsidR="002A5A5E" w:rsidRPr="00F9522B" w:rsidTr="00602D12">
        <w:trPr>
          <w:trHeight w:val="329"/>
        </w:trPr>
        <w:tc>
          <w:tcPr>
            <w:tcW w:w="2544" w:type="dxa"/>
            <w:vMerge/>
            <w:vAlign w:val="center"/>
          </w:tcPr>
          <w:p w:rsidR="002A5A5E" w:rsidRPr="00F9522B" w:rsidRDefault="002A5A5E">
            <w:pPr>
              <w:spacing w:line="0" w:lineRule="atLeast"/>
              <w:jc w:val="center"/>
              <w:rPr>
                <w:szCs w:val="21"/>
              </w:rPr>
            </w:pPr>
          </w:p>
        </w:tc>
        <w:tc>
          <w:tcPr>
            <w:tcW w:w="2138"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8"/>
                <w:sz w:val="21"/>
                <w:szCs w:val="21"/>
              </w:rPr>
              <w:t>尖爪单趾轮虫</w:t>
            </w:r>
          </w:p>
        </w:tc>
        <w:tc>
          <w:tcPr>
            <w:tcW w:w="3607"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i/>
                <w:iCs/>
                <w:spacing w:val="4"/>
                <w:position w:val="4"/>
                <w:szCs w:val="21"/>
              </w:rPr>
              <w:t>Monostyla cornuta</w:t>
            </w:r>
          </w:p>
        </w:tc>
      </w:tr>
      <w:tr w:rsidR="002A5A5E" w:rsidRPr="00F9522B" w:rsidTr="00602D12">
        <w:trPr>
          <w:trHeight w:val="329"/>
        </w:trPr>
        <w:tc>
          <w:tcPr>
            <w:tcW w:w="2544" w:type="dxa"/>
            <w:vMerge/>
            <w:vAlign w:val="center"/>
          </w:tcPr>
          <w:p w:rsidR="002A5A5E" w:rsidRPr="00F9522B" w:rsidRDefault="002A5A5E">
            <w:pPr>
              <w:spacing w:line="0" w:lineRule="atLeast"/>
              <w:jc w:val="center"/>
              <w:rPr>
                <w:szCs w:val="21"/>
              </w:rPr>
            </w:pPr>
          </w:p>
        </w:tc>
        <w:tc>
          <w:tcPr>
            <w:tcW w:w="2138"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7"/>
                <w:sz w:val="21"/>
                <w:szCs w:val="21"/>
              </w:rPr>
              <w:t>真胫腔轮虫</w:t>
            </w:r>
          </w:p>
        </w:tc>
        <w:tc>
          <w:tcPr>
            <w:tcW w:w="3607"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i/>
                <w:iCs/>
                <w:spacing w:val="4"/>
                <w:szCs w:val="21"/>
              </w:rPr>
              <w:t>Lecane utarsa</w:t>
            </w:r>
          </w:p>
        </w:tc>
      </w:tr>
      <w:tr w:rsidR="002A5A5E" w:rsidRPr="00F9522B" w:rsidTr="00602D12">
        <w:trPr>
          <w:trHeight w:val="329"/>
        </w:trPr>
        <w:tc>
          <w:tcPr>
            <w:tcW w:w="2544" w:type="dxa"/>
            <w:vMerge/>
            <w:vAlign w:val="center"/>
          </w:tcPr>
          <w:p w:rsidR="002A5A5E" w:rsidRPr="00F9522B" w:rsidRDefault="002A5A5E">
            <w:pPr>
              <w:spacing w:line="0" w:lineRule="atLeast"/>
              <w:jc w:val="center"/>
              <w:rPr>
                <w:szCs w:val="21"/>
              </w:rPr>
            </w:pPr>
          </w:p>
        </w:tc>
        <w:tc>
          <w:tcPr>
            <w:tcW w:w="2138"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8"/>
                <w:sz w:val="21"/>
                <w:szCs w:val="21"/>
              </w:rPr>
              <w:t>针簇多肢轮虫</w:t>
            </w:r>
          </w:p>
        </w:tc>
        <w:tc>
          <w:tcPr>
            <w:tcW w:w="3607"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i/>
                <w:iCs/>
                <w:spacing w:val="4"/>
                <w:position w:val="4"/>
                <w:szCs w:val="21"/>
              </w:rPr>
              <w:t>Polyarthra minor</w:t>
            </w:r>
          </w:p>
        </w:tc>
      </w:tr>
      <w:tr w:rsidR="002A5A5E" w:rsidRPr="00F9522B" w:rsidTr="00602D12">
        <w:trPr>
          <w:trHeight w:val="329"/>
        </w:trPr>
        <w:tc>
          <w:tcPr>
            <w:tcW w:w="2544" w:type="dxa"/>
            <w:vMerge/>
            <w:vAlign w:val="center"/>
          </w:tcPr>
          <w:p w:rsidR="002A5A5E" w:rsidRPr="00F9522B" w:rsidRDefault="002A5A5E">
            <w:pPr>
              <w:spacing w:line="0" w:lineRule="atLeast"/>
              <w:jc w:val="center"/>
              <w:rPr>
                <w:szCs w:val="21"/>
              </w:rPr>
            </w:pPr>
          </w:p>
        </w:tc>
        <w:tc>
          <w:tcPr>
            <w:tcW w:w="2138"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7"/>
                <w:sz w:val="21"/>
                <w:szCs w:val="21"/>
              </w:rPr>
              <w:t>长三肢轮虫</w:t>
            </w:r>
          </w:p>
        </w:tc>
        <w:tc>
          <w:tcPr>
            <w:tcW w:w="3607"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i/>
                <w:iCs/>
                <w:spacing w:val="4"/>
                <w:position w:val="4"/>
                <w:szCs w:val="21"/>
              </w:rPr>
              <w:t>Filinia longiseta</w:t>
            </w:r>
          </w:p>
        </w:tc>
      </w:tr>
      <w:tr w:rsidR="002A5A5E" w:rsidRPr="00F9522B" w:rsidTr="00602D12">
        <w:trPr>
          <w:trHeight w:val="329"/>
        </w:trPr>
        <w:tc>
          <w:tcPr>
            <w:tcW w:w="2544" w:type="dxa"/>
            <w:vMerge w:val="restart"/>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6"/>
                <w:sz w:val="21"/>
                <w:szCs w:val="21"/>
              </w:rPr>
              <w:t>枝角类</w:t>
            </w:r>
            <w:r w:rsidRPr="00F9522B">
              <w:rPr>
                <w:color w:val="auto"/>
                <w:sz w:val="21"/>
                <w:szCs w:val="21"/>
              </w:rPr>
              <w:t>Cladocera</w:t>
            </w:r>
          </w:p>
        </w:tc>
        <w:tc>
          <w:tcPr>
            <w:tcW w:w="2138"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7"/>
                <w:sz w:val="21"/>
                <w:szCs w:val="21"/>
              </w:rPr>
              <w:t>简弧象鼻溞</w:t>
            </w:r>
          </w:p>
        </w:tc>
        <w:tc>
          <w:tcPr>
            <w:tcW w:w="3607"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i/>
                <w:iCs/>
                <w:spacing w:val="4"/>
                <w:szCs w:val="21"/>
              </w:rPr>
              <w:t>Bosmina coregoni</w:t>
            </w:r>
          </w:p>
        </w:tc>
      </w:tr>
      <w:tr w:rsidR="002A5A5E" w:rsidRPr="00F9522B" w:rsidTr="00602D12">
        <w:trPr>
          <w:trHeight w:val="329"/>
        </w:trPr>
        <w:tc>
          <w:tcPr>
            <w:tcW w:w="2544" w:type="dxa"/>
            <w:vMerge/>
            <w:vAlign w:val="center"/>
          </w:tcPr>
          <w:p w:rsidR="002A5A5E" w:rsidRPr="00F9522B" w:rsidRDefault="002A5A5E">
            <w:pPr>
              <w:spacing w:line="0" w:lineRule="atLeast"/>
              <w:jc w:val="center"/>
              <w:rPr>
                <w:szCs w:val="21"/>
              </w:rPr>
            </w:pPr>
          </w:p>
        </w:tc>
        <w:tc>
          <w:tcPr>
            <w:tcW w:w="2138"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7"/>
                <w:sz w:val="21"/>
                <w:szCs w:val="21"/>
              </w:rPr>
              <w:t>长肢秀体溞</w:t>
            </w:r>
          </w:p>
        </w:tc>
        <w:tc>
          <w:tcPr>
            <w:tcW w:w="3607"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i/>
                <w:iCs/>
                <w:spacing w:val="4"/>
                <w:position w:val="4"/>
                <w:szCs w:val="21"/>
              </w:rPr>
              <w:t>Diaphanosoma leuchtenbergianum</w:t>
            </w:r>
          </w:p>
        </w:tc>
      </w:tr>
      <w:tr w:rsidR="002A5A5E" w:rsidRPr="00F9522B" w:rsidTr="00602D12">
        <w:trPr>
          <w:trHeight w:val="329"/>
        </w:trPr>
        <w:tc>
          <w:tcPr>
            <w:tcW w:w="2544" w:type="dxa"/>
            <w:vMerge/>
            <w:vAlign w:val="center"/>
          </w:tcPr>
          <w:p w:rsidR="002A5A5E" w:rsidRPr="00F9522B" w:rsidRDefault="002A5A5E">
            <w:pPr>
              <w:spacing w:line="0" w:lineRule="atLeast"/>
              <w:jc w:val="center"/>
              <w:rPr>
                <w:szCs w:val="21"/>
              </w:rPr>
            </w:pPr>
          </w:p>
        </w:tc>
        <w:tc>
          <w:tcPr>
            <w:tcW w:w="2138"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6"/>
                <w:sz w:val="21"/>
                <w:szCs w:val="21"/>
              </w:rPr>
              <w:t>大型蚤</w:t>
            </w:r>
          </w:p>
        </w:tc>
        <w:tc>
          <w:tcPr>
            <w:tcW w:w="3607"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i/>
                <w:iCs/>
                <w:spacing w:val="5"/>
                <w:position w:val="4"/>
                <w:szCs w:val="21"/>
              </w:rPr>
              <w:t>Daphnia magna</w:t>
            </w:r>
          </w:p>
        </w:tc>
      </w:tr>
      <w:tr w:rsidR="002A5A5E" w:rsidRPr="00F9522B" w:rsidTr="00602D12">
        <w:trPr>
          <w:trHeight w:val="329"/>
        </w:trPr>
        <w:tc>
          <w:tcPr>
            <w:tcW w:w="2544" w:type="dxa"/>
            <w:vMerge/>
            <w:vAlign w:val="center"/>
          </w:tcPr>
          <w:p w:rsidR="002A5A5E" w:rsidRPr="00F9522B" w:rsidRDefault="002A5A5E">
            <w:pPr>
              <w:spacing w:line="0" w:lineRule="atLeast"/>
              <w:jc w:val="center"/>
              <w:rPr>
                <w:szCs w:val="21"/>
              </w:rPr>
            </w:pPr>
          </w:p>
        </w:tc>
        <w:tc>
          <w:tcPr>
            <w:tcW w:w="2138"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6"/>
                <w:sz w:val="21"/>
                <w:szCs w:val="21"/>
              </w:rPr>
              <w:t>裸腹蚤</w:t>
            </w:r>
          </w:p>
        </w:tc>
        <w:tc>
          <w:tcPr>
            <w:tcW w:w="3607"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i/>
                <w:iCs/>
                <w:spacing w:val="3"/>
                <w:szCs w:val="21"/>
              </w:rPr>
              <w:t>Monia</w:t>
            </w:r>
            <w:r w:rsidRPr="00F9522B">
              <w:rPr>
                <w:spacing w:val="3"/>
                <w:szCs w:val="21"/>
              </w:rPr>
              <w:t>sp.</w:t>
            </w:r>
          </w:p>
        </w:tc>
      </w:tr>
      <w:tr w:rsidR="002A5A5E" w:rsidRPr="00F9522B" w:rsidTr="00602D12">
        <w:trPr>
          <w:trHeight w:val="329"/>
        </w:trPr>
        <w:tc>
          <w:tcPr>
            <w:tcW w:w="2544" w:type="dxa"/>
            <w:vMerge w:val="restart"/>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7"/>
                <w:sz w:val="21"/>
                <w:szCs w:val="21"/>
              </w:rPr>
              <w:t>桡足类</w:t>
            </w:r>
            <w:r w:rsidRPr="00F9522B">
              <w:rPr>
                <w:color w:val="auto"/>
                <w:sz w:val="21"/>
                <w:szCs w:val="21"/>
              </w:rPr>
              <w:t>Copepoda</w:t>
            </w:r>
          </w:p>
        </w:tc>
        <w:tc>
          <w:tcPr>
            <w:tcW w:w="2138"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7"/>
                <w:sz w:val="21"/>
                <w:szCs w:val="21"/>
              </w:rPr>
              <w:t>指状许水蚤</w:t>
            </w:r>
          </w:p>
        </w:tc>
        <w:tc>
          <w:tcPr>
            <w:tcW w:w="3607"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i/>
                <w:iCs/>
                <w:spacing w:val="4"/>
                <w:position w:val="3"/>
                <w:szCs w:val="21"/>
              </w:rPr>
              <w:t>Schmackeria inopinus</w:t>
            </w:r>
          </w:p>
        </w:tc>
      </w:tr>
      <w:tr w:rsidR="002A5A5E" w:rsidRPr="00F9522B" w:rsidTr="00602D12">
        <w:trPr>
          <w:trHeight w:val="329"/>
        </w:trPr>
        <w:tc>
          <w:tcPr>
            <w:tcW w:w="2544" w:type="dxa"/>
            <w:vMerge/>
            <w:vAlign w:val="center"/>
          </w:tcPr>
          <w:p w:rsidR="002A5A5E" w:rsidRPr="00F9522B" w:rsidRDefault="002A5A5E">
            <w:pPr>
              <w:spacing w:line="0" w:lineRule="atLeast"/>
              <w:jc w:val="center"/>
              <w:rPr>
                <w:szCs w:val="21"/>
              </w:rPr>
            </w:pPr>
          </w:p>
        </w:tc>
        <w:tc>
          <w:tcPr>
            <w:tcW w:w="2138"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8"/>
                <w:sz w:val="21"/>
                <w:szCs w:val="21"/>
              </w:rPr>
              <w:t>广布中剑水蚤</w:t>
            </w:r>
          </w:p>
        </w:tc>
        <w:tc>
          <w:tcPr>
            <w:tcW w:w="3607"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3"/>
                <w:szCs w:val="21"/>
              </w:rPr>
              <w:t>Mesocyclops leuckarti</w:t>
            </w:r>
          </w:p>
        </w:tc>
      </w:tr>
      <w:tr w:rsidR="002A5A5E" w:rsidRPr="00F9522B" w:rsidTr="00602D12">
        <w:trPr>
          <w:trHeight w:val="329"/>
        </w:trPr>
        <w:tc>
          <w:tcPr>
            <w:tcW w:w="2544" w:type="dxa"/>
            <w:vMerge/>
            <w:vAlign w:val="center"/>
          </w:tcPr>
          <w:p w:rsidR="002A5A5E" w:rsidRPr="00F9522B" w:rsidRDefault="002A5A5E">
            <w:pPr>
              <w:spacing w:line="0" w:lineRule="atLeast"/>
              <w:jc w:val="center"/>
              <w:rPr>
                <w:szCs w:val="21"/>
              </w:rPr>
            </w:pPr>
          </w:p>
        </w:tc>
        <w:tc>
          <w:tcPr>
            <w:tcW w:w="2138"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7"/>
                <w:sz w:val="21"/>
                <w:szCs w:val="21"/>
              </w:rPr>
              <w:t>虫宿温剑水蚤</w:t>
            </w:r>
          </w:p>
        </w:tc>
        <w:tc>
          <w:tcPr>
            <w:tcW w:w="3607"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i/>
                <w:iCs/>
                <w:spacing w:val="3"/>
                <w:position w:val="3"/>
                <w:szCs w:val="21"/>
              </w:rPr>
              <w:t>Thermocyclops vermifer</w:t>
            </w:r>
          </w:p>
        </w:tc>
      </w:tr>
      <w:tr w:rsidR="002A5A5E" w:rsidRPr="00F9522B" w:rsidTr="00602D12">
        <w:trPr>
          <w:trHeight w:val="353"/>
        </w:trPr>
        <w:tc>
          <w:tcPr>
            <w:tcW w:w="2544" w:type="dxa"/>
            <w:vMerge/>
            <w:vAlign w:val="center"/>
          </w:tcPr>
          <w:p w:rsidR="002A5A5E" w:rsidRPr="00F9522B" w:rsidRDefault="002A5A5E">
            <w:pPr>
              <w:spacing w:line="0" w:lineRule="atLeast"/>
              <w:jc w:val="center"/>
              <w:rPr>
                <w:szCs w:val="21"/>
              </w:rPr>
            </w:pPr>
          </w:p>
        </w:tc>
        <w:tc>
          <w:tcPr>
            <w:tcW w:w="2138"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5"/>
                <w:sz w:val="21"/>
                <w:szCs w:val="21"/>
              </w:rPr>
              <w:t>台湾温剑水蚤</w:t>
            </w:r>
          </w:p>
        </w:tc>
        <w:tc>
          <w:tcPr>
            <w:tcW w:w="3607"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i/>
                <w:iCs/>
                <w:spacing w:val="4"/>
                <w:position w:val="4"/>
                <w:szCs w:val="21"/>
              </w:rPr>
              <w:t>ThermocycLops taihoku</w:t>
            </w:r>
            <w:r w:rsidRPr="00F9522B">
              <w:rPr>
                <w:i/>
                <w:iCs/>
                <w:spacing w:val="3"/>
                <w:position w:val="4"/>
                <w:szCs w:val="21"/>
              </w:rPr>
              <w:t>ensis</w:t>
            </w:r>
          </w:p>
        </w:tc>
      </w:tr>
    </w:tbl>
    <w:p w:rsidR="002A5A5E" w:rsidRPr="00F9522B" w:rsidRDefault="005273A1" w:rsidP="00611CBA">
      <w:pPr>
        <w:pStyle w:val="ab"/>
        <w:spacing w:after="0" w:line="360" w:lineRule="auto"/>
        <w:ind w:firstLineChars="200" w:firstLine="482"/>
        <w:rPr>
          <w:sz w:val="24"/>
        </w:rPr>
      </w:pPr>
      <w:r w:rsidRPr="00F9522B">
        <w:rPr>
          <w:b/>
          <w:bCs/>
          <w:spacing w:val="-5"/>
          <w:sz w:val="24"/>
        </w:rPr>
        <w:fldChar w:fldCharType="begin"/>
      </w:r>
      <w:r w:rsidR="00611CBA" w:rsidRPr="00F9522B">
        <w:rPr>
          <w:b/>
          <w:bCs/>
          <w:spacing w:val="-5"/>
          <w:sz w:val="24"/>
        </w:rPr>
        <w:instrText xml:space="preserve"> = 2 \* GB3 </w:instrText>
      </w:r>
      <w:r w:rsidRPr="00F9522B">
        <w:rPr>
          <w:b/>
          <w:bCs/>
          <w:spacing w:val="-5"/>
          <w:sz w:val="24"/>
        </w:rPr>
        <w:fldChar w:fldCharType="separate"/>
      </w:r>
      <w:r w:rsidR="00611CBA" w:rsidRPr="00F9522B">
        <w:rPr>
          <w:rFonts w:ascii="宋体" w:hAnsi="宋体" w:cs="宋体" w:hint="eastAsia"/>
          <w:b/>
          <w:bCs/>
          <w:spacing w:val="-5"/>
          <w:sz w:val="24"/>
        </w:rPr>
        <w:t>②</w:t>
      </w:r>
      <w:r w:rsidRPr="00F9522B">
        <w:rPr>
          <w:b/>
          <w:bCs/>
          <w:spacing w:val="-5"/>
          <w:sz w:val="24"/>
        </w:rPr>
        <w:fldChar w:fldCharType="end"/>
      </w:r>
      <w:r w:rsidR="00611CBA" w:rsidRPr="00F9522B">
        <w:rPr>
          <w:b/>
          <w:bCs/>
          <w:spacing w:val="-5"/>
          <w:sz w:val="24"/>
        </w:rPr>
        <w:t>优势种类</w:t>
      </w:r>
    </w:p>
    <w:p w:rsidR="002A5A5E" w:rsidRPr="00F9522B" w:rsidRDefault="00611CBA">
      <w:pPr>
        <w:pStyle w:val="ab"/>
        <w:spacing w:after="0" w:line="360" w:lineRule="auto"/>
        <w:ind w:firstLineChars="200" w:firstLine="488"/>
        <w:rPr>
          <w:sz w:val="24"/>
        </w:rPr>
      </w:pPr>
      <w:r w:rsidRPr="00F9522B">
        <w:rPr>
          <w:spacing w:val="2"/>
          <w:sz w:val="24"/>
        </w:rPr>
        <w:t>春季调查期间，</w:t>
      </w:r>
      <w:r w:rsidR="00602D12" w:rsidRPr="00F9522B">
        <w:rPr>
          <w:spacing w:val="2"/>
          <w:sz w:val="24"/>
        </w:rPr>
        <w:t>松花江</w:t>
      </w:r>
      <w:r w:rsidRPr="00F9522B">
        <w:rPr>
          <w:spacing w:val="2"/>
          <w:sz w:val="24"/>
        </w:rPr>
        <w:t>浮游动物的优势种和常见种分别为轮虫的螺形龟甲轮虫</w:t>
      </w:r>
      <w:r w:rsidRPr="00F9522B">
        <w:rPr>
          <w:i/>
          <w:iCs/>
          <w:spacing w:val="-1"/>
          <w:sz w:val="24"/>
        </w:rPr>
        <w:t xml:space="preserve">Keratella cochlearis </w:t>
      </w:r>
      <w:r w:rsidRPr="00F9522B">
        <w:rPr>
          <w:spacing w:val="-1"/>
          <w:sz w:val="24"/>
        </w:rPr>
        <w:t>和等刺异尾轮虫</w:t>
      </w:r>
      <w:r w:rsidRPr="00F9522B">
        <w:rPr>
          <w:i/>
          <w:iCs/>
          <w:spacing w:val="-1"/>
          <w:sz w:val="24"/>
        </w:rPr>
        <w:t>Trichocerca similis</w:t>
      </w:r>
      <w:r w:rsidRPr="00F9522B">
        <w:rPr>
          <w:spacing w:val="-1"/>
          <w:sz w:val="24"/>
        </w:rPr>
        <w:t>。</w:t>
      </w:r>
      <w:r w:rsidRPr="00F9522B">
        <w:rPr>
          <w:spacing w:val="2"/>
          <w:sz w:val="24"/>
        </w:rPr>
        <w:t>秋</w:t>
      </w:r>
      <w:r w:rsidRPr="00F9522B">
        <w:rPr>
          <w:spacing w:val="16"/>
          <w:sz w:val="24"/>
        </w:rPr>
        <w:t>季调查期间，松花江浮游动物的优势种和常见种分别为轮虫的瓶累</w:t>
      </w:r>
      <w:r w:rsidRPr="00F9522B">
        <w:rPr>
          <w:spacing w:val="15"/>
          <w:sz w:val="24"/>
        </w:rPr>
        <w:t>枝虫</w:t>
      </w:r>
      <w:r w:rsidRPr="00F9522B">
        <w:rPr>
          <w:i/>
          <w:iCs/>
          <w:sz w:val="24"/>
        </w:rPr>
        <w:t>Epistylisurceolata</w:t>
      </w:r>
      <w:r w:rsidRPr="00F9522B">
        <w:rPr>
          <w:spacing w:val="6"/>
          <w:sz w:val="24"/>
        </w:rPr>
        <w:t>、螺形龟甲轮虫</w:t>
      </w:r>
      <w:r w:rsidRPr="00F9522B">
        <w:rPr>
          <w:i/>
          <w:iCs/>
          <w:sz w:val="24"/>
        </w:rPr>
        <w:t>Keratellacochlearis</w:t>
      </w:r>
      <w:r w:rsidRPr="00F9522B">
        <w:rPr>
          <w:spacing w:val="6"/>
          <w:sz w:val="24"/>
        </w:rPr>
        <w:t>和等刺异尾轮虫</w:t>
      </w:r>
      <w:r w:rsidRPr="00F9522B">
        <w:rPr>
          <w:i/>
          <w:iCs/>
          <w:sz w:val="24"/>
        </w:rPr>
        <w:t>Trichocerca similis</w:t>
      </w:r>
      <w:r w:rsidRPr="00F9522B">
        <w:rPr>
          <w:i/>
          <w:iCs/>
          <w:sz w:val="24"/>
        </w:rPr>
        <w:t>。</w:t>
      </w:r>
    </w:p>
    <w:p w:rsidR="002A5A5E" w:rsidRPr="00F9522B" w:rsidRDefault="005273A1" w:rsidP="00611CBA">
      <w:pPr>
        <w:pStyle w:val="ab"/>
        <w:spacing w:after="0" w:line="360" w:lineRule="auto"/>
        <w:ind w:firstLineChars="200" w:firstLine="482"/>
        <w:rPr>
          <w:sz w:val="24"/>
        </w:rPr>
      </w:pPr>
      <w:r w:rsidRPr="00F9522B">
        <w:rPr>
          <w:b/>
          <w:bCs/>
          <w:spacing w:val="-7"/>
          <w:sz w:val="24"/>
        </w:rPr>
        <w:fldChar w:fldCharType="begin"/>
      </w:r>
      <w:r w:rsidR="00611CBA" w:rsidRPr="00F9522B">
        <w:rPr>
          <w:b/>
          <w:bCs/>
          <w:spacing w:val="-7"/>
          <w:sz w:val="24"/>
        </w:rPr>
        <w:instrText xml:space="preserve"> = 3 \* GB3 </w:instrText>
      </w:r>
      <w:r w:rsidRPr="00F9522B">
        <w:rPr>
          <w:b/>
          <w:bCs/>
          <w:spacing w:val="-7"/>
          <w:sz w:val="24"/>
        </w:rPr>
        <w:fldChar w:fldCharType="separate"/>
      </w:r>
      <w:r w:rsidR="00611CBA" w:rsidRPr="00F9522B">
        <w:rPr>
          <w:rFonts w:ascii="宋体" w:hAnsi="宋体" w:cs="宋体" w:hint="eastAsia"/>
          <w:b/>
          <w:bCs/>
          <w:spacing w:val="-7"/>
          <w:sz w:val="24"/>
        </w:rPr>
        <w:t>③</w:t>
      </w:r>
      <w:r w:rsidRPr="00F9522B">
        <w:rPr>
          <w:b/>
          <w:bCs/>
          <w:spacing w:val="-7"/>
          <w:sz w:val="24"/>
        </w:rPr>
        <w:fldChar w:fldCharType="end"/>
      </w:r>
      <w:r w:rsidR="00611CBA" w:rsidRPr="00F9522B">
        <w:rPr>
          <w:b/>
          <w:bCs/>
          <w:spacing w:val="-7"/>
          <w:sz w:val="24"/>
        </w:rPr>
        <w:t>密度</w:t>
      </w:r>
    </w:p>
    <w:p w:rsidR="002A5A5E" w:rsidRPr="00F9522B" w:rsidRDefault="00611CBA">
      <w:pPr>
        <w:spacing w:line="360" w:lineRule="auto"/>
        <w:ind w:firstLineChars="200" w:firstLine="484"/>
        <w:rPr>
          <w:sz w:val="24"/>
        </w:rPr>
      </w:pPr>
      <w:r w:rsidRPr="00F9522B">
        <w:rPr>
          <w:spacing w:val="1"/>
          <w:sz w:val="24"/>
        </w:rPr>
        <w:lastRenderedPageBreak/>
        <w:t>春季调查期间，评价水域浮游动物的密度平均为</w:t>
      </w:r>
      <w:r w:rsidR="009B3DA7" w:rsidRPr="00F9522B">
        <w:rPr>
          <w:spacing w:val="1"/>
          <w:sz w:val="24"/>
        </w:rPr>
        <w:t>5</w:t>
      </w:r>
      <w:r w:rsidRPr="00F9522B">
        <w:rPr>
          <w:spacing w:val="1"/>
          <w:sz w:val="24"/>
        </w:rPr>
        <w:t>403.4</w:t>
      </w:r>
      <w:r w:rsidRPr="00F9522B">
        <w:rPr>
          <w:sz w:val="24"/>
        </w:rPr>
        <w:t>ind</w:t>
      </w:r>
      <w:r w:rsidRPr="00F9522B">
        <w:rPr>
          <w:spacing w:val="1"/>
          <w:sz w:val="24"/>
        </w:rPr>
        <w:t>./L</w:t>
      </w:r>
      <w:r w:rsidRPr="00F9522B">
        <w:rPr>
          <w:spacing w:val="1"/>
          <w:sz w:val="24"/>
        </w:rPr>
        <w:t>。其中，轮虫的</w:t>
      </w:r>
      <w:r w:rsidRPr="00F9522B">
        <w:rPr>
          <w:spacing w:val="-1"/>
          <w:sz w:val="24"/>
        </w:rPr>
        <w:t>密度最多为</w:t>
      </w:r>
      <w:r w:rsidR="009B3DA7" w:rsidRPr="00F9522B">
        <w:rPr>
          <w:spacing w:val="-1"/>
          <w:sz w:val="24"/>
        </w:rPr>
        <w:t>3</w:t>
      </w:r>
      <w:r w:rsidRPr="00F9522B">
        <w:rPr>
          <w:spacing w:val="-1"/>
          <w:sz w:val="24"/>
        </w:rPr>
        <w:t>000ind./L</w:t>
      </w:r>
      <w:r w:rsidRPr="00F9522B">
        <w:rPr>
          <w:spacing w:val="-1"/>
          <w:sz w:val="24"/>
        </w:rPr>
        <w:t>，原生动物为</w:t>
      </w:r>
      <w:r w:rsidR="009B3DA7" w:rsidRPr="00F9522B">
        <w:rPr>
          <w:spacing w:val="-1"/>
          <w:sz w:val="24"/>
        </w:rPr>
        <w:t>28</w:t>
      </w:r>
      <w:r w:rsidRPr="00F9522B">
        <w:rPr>
          <w:spacing w:val="-1"/>
          <w:sz w:val="24"/>
        </w:rPr>
        <w:t>00ind./L</w:t>
      </w:r>
      <w:r w:rsidRPr="00F9522B">
        <w:rPr>
          <w:spacing w:val="-1"/>
          <w:sz w:val="24"/>
        </w:rPr>
        <w:t>，枝角类为</w:t>
      </w:r>
      <w:r w:rsidRPr="00F9522B">
        <w:rPr>
          <w:spacing w:val="-1"/>
          <w:sz w:val="24"/>
        </w:rPr>
        <w:t>3</w:t>
      </w:r>
      <w:r w:rsidRPr="00F9522B">
        <w:rPr>
          <w:spacing w:val="-2"/>
          <w:sz w:val="24"/>
        </w:rPr>
        <w:t>ind./L</w:t>
      </w:r>
      <w:r w:rsidRPr="00F9522B">
        <w:rPr>
          <w:spacing w:val="-2"/>
          <w:sz w:val="24"/>
        </w:rPr>
        <w:t>，桡足类为</w:t>
      </w:r>
      <w:r w:rsidRPr="00F9522B">
        <w:rPr>
          <w:spacing w:val="-2"/>
          <w:sz w:val="24"/>
        </w:rPr>
        <w:t>0.</w:t>
      </w:r>
      <w:r w:rsidR="009B3DA7" w:rsidRPr="00F9522B">
        <w:rPr>
          <w:spacing w:val="-2"/>
          <w:sz w:val="24"/>
        </w:rPr>
        <w:t>8</w:t>
      </w:r>
      <w:r w:rsidRPr="00F9522B">
        <w:rPr>
          <w:spacing w:val="-2"/>
          <w:sz w:val="24"/>
        </w:rPr>
        <w:t>ind./L</w:t>
      </w:r>
      <w:r w:rsidRPr="00F9522B">
        <w:rPr>
          <w:spacing w:val="-2"/>
          <w:sz w:val="24"/>
        </w:rPr>
        <w:t>。</w:t>
      </w:r>
      <w:r w:rsidRPr="00F9522B">
        <w:rPr>
          <w:spacing w:val="2"/>
          <w:sz w:val="24"/>
        </w:rPr>
        <w:t>秋</w:t>
      </w:r>
      <w:r w:rsidRPr="00F9522B">
        <w:rPr>
          <w:spacing w:val="-2"/>
          <w:sz w:val="24"/>
        </w:rPr>
        <w:t>季调查期间，评价水域浮游动物的密度平均为</w:t>
      </w:r>
      <w:r w:rsidR="009B3DA7" w:rsidRPr="00F9522B">
        <w:rPr>
          <w:spacing w:val="-2"/>
          <w:sz w:val="24"/>
        </w:rPr>
        <w:t>8</w:t>
      </w:r>
      <w:r w:rsidRPr="00F9522B">
        <w:rPr>
          <w:spacing w:val="-2"/>
          <w:sz w:val="24"/>
        </w:rPr>
        <w:t>8</w:t>
      </w:r>
      <w:r w:rsidR="009B3DA7" w:rsidRPr="00F9522B">
        <w:rPr>
          <w:spacing w:val="-2"/>
          <w:sz w:val="24"/>
        </w:rPr>
        <w:t>5</w:t>
      </w:r>
      <w:r w:rsidRPr="00F9522B">
        <w:rPr>
          <w:spacing w:val="-2"/>
          <w:sz w:val="24"/>
        </w:rPr>
        <w:t>6.6ind./L</w:t>
      </w:r>
      <w:r w:rsidRPr="00F9522B">
        <w:rPr>
          <w:spacing w:val="-2"/>
          <w:sz w:val="24"/>
        </w:rPr>
        <w:t>。其</w:t>
      </w:r>
      <w:r w:rsidRPr="00F9522B">
        <w:rPr>
          <w:spacing w:val="-8"/>
          <w:sz w:val="24"/>
        </w:rPr>
        <w:t>中，轮虫的密度最多为</w:t>
      </w:r>
      <w:r w:rsidR="009B3DA7" w:rsidRPr="00F9522B">
        <w:rPr>
          <w:spacing w:val="-8"/>
          <w:sz w:val="24"/>
        </w:rPr>
        <w:t>5</w:t>
      </w:r>
      <w:r w:rsidRPr="00F9522B">
        <w:rPr>
          <w:spacing w:val="-8"/>
          <w:sz w:val="24"/>
        </w:rPr>
        <w:t>596.7ind./L</w:t>
      </w:r>
      <w:r w:rsidRPr="00F9522B">
        <w:rPr>
          <w:spacing w:val="-8"/>
          <w:sz w:val="24"/>
        </w:rPr>
        <w:t>，原生动物为</w:t>
      </w:r>
      <w:r w:rsidR="009B3DA7" w:rsidRPr="00F9522B">
        <w:rPr>
          <w:spacing w:val="-8"/>
          <w:sz w:val="24"/>
        </w:rPr>
        <w:t>4</w:t>
      </w:r>
      <w:r w:rsidRPr="00F9522B">
        <w:rPr>
          <w:spacing w:val="-8"/>
          <w:sz w:val="24"/>
        </w:rPr>
        <w:t>233.3ind./L</w:t>
      </w:r>
      <w:r w:rsidRPr="00F9522B">
        <w:rPr>
          <w:spacing w:val="-8"/>
          <w:sz w:val="24"/>
        </w:rPr>
        <w:t>，枝角类为</w:t>
      </w:r>
      <w:r w:rsidR="009B3DA7" w:rsidRPr="00F9522B">
        <w:rPr>
          <w:spacing w:val="-8"/>
          <w:sz w:val="24"/>
        </w:rPr>
        <w:t>12</w:t>
      </w:r>
      <w:r w:rsidRPr="00F9522B">
        <w:rPr>
          <w:spacing w:val="-8"/>
          <w:sz w:val="24"/>
        </w:rPr>
        <w:t>.1ind./L</w:t>
      </w:r>
      <w:r w:rsidRPr="00F9522B">
        <w:rPr>
          <w:spacing w:val="-8"/>
          <w:sz w:val="24"/>
        </w:rPr>
        <w:t>，</w:t>
      </w:r>
      <w:r w:rsidRPr="00F9522B">
        <w:rPr>
          <w:spacing w:val="-1"/>
          <w:sz w:val="24"/>
        </w:rPr>
        <w:t>桡足类为</w:t>
      </w:r>
      <w:r w:rsidR="009B3DA7" w:rsidRPr="00F9522B">
        <w:rPr>
          <w:spacing w:val="-1"/>
          <w:sz w:val="24"/>
        </w:rPr>
        <w:t>1</w:t>
      </w:r>
      <w:r w:rsidRPr="00F9522B">
        <w:rPr>
          <w:spacing w:val="-1"/>
          <w:sz w:val="24"/>
        </w:rPr>
        <w:t>.5ind./L</w:t>
      </w:r>
      <w:r w:rsidRPr="00F9522B">
        <w:rPr>
          <w:spacing w:val="-2"/>
          <w:sz w:val="24"/>
        </w:rPr>
        <w:t>。</w:t>
      </w:r>
    </w:p>
    <w:p w:rsidR="002A5A5E" w:rsidRPr="00F9522B" w:rsidRDefault="005273A1" w:rsidP="00611CBA">
      <w:pPr>
        <w:pStyle w:val="ab"/>
        <w:spacing w:after="0" w:line="360" w:lineRule="auto"/>
        <w:ind w:firstLineChars="200" w:firstLine="482"/>
        <w:rPr>
          <w:sz w:val="24"/>
        </w:rPr>
      </w:pPr>
      <w:r w:rsidRPr="00F9522B">
        <w:rPr>
          <w:b/>
          <w:bCs/>
          <w:spacing w:val="-6"/>
          <w:sz w:val="24"/>
        </w:rPr>
        <w:fldChar w:fldCharType="begin"/>
      </w:r>
      <w:r w:rsidR="00611CBA" w:rsidRPr="00F9522B">
        <w:rPr>
          <w:b/>
          <w:bCs/>
          <w:spacing w:val="-6"/>
          <w:sz w:val="24"/>
        </w:rPr>
        <w:instrText xml:space="preserve"> = 4 \* GB3 </w:instrText>
      </w:r>
      <w:r w:rsidRPr="00F9522B">
        <w:rPr>
          <w:b/>
          <w:bCs/>
          <w:spacing w:val="-6"/>
          <w:sz w:val="24"/>
        </w:rPr>
        <w:fldChar w:fldCharType="separate"/>
      </w:r>
      <w:r w:rsidR="00611CBA" w:rsidRPr="00F9522B">
        <w:rPr>
          <w:rFonts w:ascii="宋体" w:hAnsi="宋体" w:cs="宋体" w:hint="eastAsia"/>
          <w:b/>
          <w:bCs/>
          <w:spacing w:val="-6"/>
          <w:sz w:val="24"/>
        </w:rPr>
        <w:t>④</w:t>
      </w:r>
      <w:r w:rsidRPr="00F9522B">
        <w:rPr>
          <w:b/>
          <w:bCs/>
          <w:spacing w:val="-6"/>
          <w:sz w:val="24"/>
        </w:rPr>
        <w:fldChar w:fldCharType="end"/>
      </w:r>
      <w:r w:rsidR="00611CBA" w:rsidRPr="00F9522B">
        <w:rPr>
          <w:b/>
          <w:bCs/>
          <w:spacing w:val="-6"/>
          <w:sz w:val="24"/>
        </w:rPr>
        <w:t>生物量</w:t>
      </w:r>
    </w:p>
    <w:p w:rsidR="002A5A5E" w:rsidRPr="00F9522B" w:rsidRDefault="00611CBA">
      <w:pPr>
        <w:pStyle w:val="ab"/>
        <w:spacing w:after="0" w:line="360" w:lineRule="auto"/>
        <w:ind w:firstLineChars="200" w:firstLine="472"/>
        <w:rPr>
          <w:sz w:val="24"/>
        </w:rPr>
      </w:pPr>
      <w:r w:rsidRPr="00F9522B">
        <w:rPr>
          <w:spacing w:val="-2"/>
          <w:sz w:val="24"/>
        </w:rPr>
        <w:t>春季调查期间，评价水域浮游动物的生物量平均为</w:t>
      </w:r>
      <w:r w:rsidR="009B3DA7" w:rsidRPr="00F9522B">
        <w:rPr>
          <w:spacing w:val="-2"/>
          <w:sz w:val="24"/>
        </w:rPr>
        <w:t>6</w:t>
      </w:r>
      <w:r w:rsidRPr="00F9522B">
        <w:rPr>
          <w:spacing w:val="-2"/>
          <w:sz w:val="24"/>
        </w:rPr>
        <w:t>.56m</w:t>
      </w:r>
      <w:r w:rsidRPr="00F9522B">
        <w:rPr>
          <w:spacing w:val="-3"/>
          <w:sz w:val="24"/>
        </w:rPr>
        <w:t>g/L</w:t>
      </w:r>
      <w:r w:rsidRPr="00F9522B">
        <w:rPr>
          <w:spacing w:val="-3"/>
          <w:sz w:val="24"/>
        </w:rPr>
        <w:t>。其中轮虫生物量</w:t>
      </w:r>
      <w:r w:rsidRPr="00F9522B">
        <w:rPr>
          <w:spacing w:val="6"/>
          <w:sz w:val="24"/>
        </w:rPr>
        <w:t>最高为</w:t>
      </w:r>
      <w:r w:rsidR="009B3DA7" w:rsidRPr="00F9522B">
        <w:rPr>
          <w:spacing w:val="6"/>
          <w:sz w:val="24"/>
        </w:rPr>
        <w:t>4</w:t>
      </w:r>
      <w:r w:rsidRPr="00F9522B">
        <w:rPr>
          <w:spacing w:val="6"/>
          <w:sz w:val="24"/>
        </w:rPr>
        <w:t>.84</w:t>
      </w:r>
      <w:r w:rsidRPr="00F9522B">
        <w:rPr>
          <w:sz w:val="24"/>
        </w:rPr>
        <w:t>mg</w:t>
      </w:r>
      <w:r w:rsidRPr="00F9522B">
        <w:rPr>
          <w:spacing w:val="6"/>
          <w:sz w:val="24"/>
        </w:rPr>
        <w:t>/L</w:t>
      </w:r>
      <w:r w:rsidRPr="00F9522B">
        <w:rPr>
          <w:spacing w:val="6"/>
          <w:sz w:val="24"/>
        </w:rPr>
        <w:t>，枝角类为</w:t>
      </w:r>
      <w:r w:rsidR="009B3DA7" w:rsidRPr="00F9522B">
        <w:rPr>
          <w:spacing w:val="6"/>
          <w:sz w:val="24"/>
        </w:rPr>
        <w:t>1</w:t>
      </w:r>
      <w:r w:rsidRPr="00F9522B">
        <w:rPr>
          <w:spacing w:val="6"/>
          <w:sz w:val="24"/>
        </w:rPr>
        <w:t>.61</w:t>
      </w:r>
      <w:r w:rsidRPr="00F9522B">
        <w:rPr>
          <w:sz w:val="24"/>
        </w:rPr>
        <w:t>mg</w:t>
      </w:r>
      <w:r w:rsidRPr="00F9522B">
        <w:rPr>
          <w:spacing w:val="6"/>
          <w:sz w:val="24"/>
        </w:rPr>
        <w:t>/L</w:t>
      </w:r>
      <w:r w:rsidRPr="00F9522B">
        <w:rPr>
          <w:spacing w:val="6"/>
          <w:sz w:val="24"/>
        </w:rPr>
        <w:t>，桡足类为</w:t>
      </w:r>
      <w:r w:rsidRPr="00F9522B">
        <w:rPr>
          <w:spacing w:val="6"/>
          <w:sz w:val="24"/>
        </w:rPr>
        <w:t>0.0</w:t>
      </w:r>
      <w:r w:rsidR="009B3DA7" w:rsidRPr="00F9522B">
        <w:rPr>
          <w:spacing w:val="6"/>
          <w:sz w:val="24"/>
        </w:rPr>
        <w:t>6</w:t>
      </w:r>
      <w:r w:rsidRPr="00F9522B">
        <w:rPr>
          <w:sz w:val="24"/>
        </w:rPr>
        <w:t>mg</w:t>
      </w:r>
      <w:r w:rsidRPr="00F9522B">
        <w:rPr>
          <w:spacing w:val="6"/>
          <w:sz w:val="24"/>
        </w:rPr>
        <w:t>/L</w:t>
      </w:r>
      <w:r w:rsidRPr="00F9522B">
        <w:rPr>
          <w:spacing w:val="6"/>
          <w:sz w:val="24"/>
        </w:rPr>
        <w:t>，原</w:t>
      </w:r>
      <w:r w:rsidRPr="00F9522B">
        <w:rPr>
          <w:spacing w:val="5"/>
          <w:sz w:val="24"/>
        </w:rPr>
        <w:t>生动物为</w:t>
      </w:r>
      <w:r w:rsidRPr="00F9522B">
        <w:rPr>
          <w:spacing w:val="-1"/>
          <w:sz w:val="24"/>
        </w:rPr>
        <w:t>0.</w:t>
      </w:r>
      <w:r w:rsidR="009B3DA7" w:rsidRPr="00F9522B">
        <w:rPr>
          <w:spacing w:val="-1"/>
          <w:sz w:val="24"/>
        </w:rPr>
        <w:t>15</w:t>
      </w:r>
      <w:r w:rsidRPr="00F9522B">
        <w:rPr>
          <w:spacing w:val="-1"/>
          <w:sz w:val="24"/>
        </w:rPr>
        <w:t>mg/L</w:t>
      </w:r>
      <w:r w:rsidRPr="00F9522B">
        <w:rPr>
          <w:spacing w:val="-1"/>
          <w:sz w:val="24"/>
        </w:rPr>
        <w:t>。</w:t>
      </w:r>
      <w:r w:rsidRPr="00F9522B">
        <w:rPr>
          <w:spacing w:val="2"/>
          <w:sz w:val="24"/>
        </w:rPr>
        <w:t>秋</w:t>
      </w:r>
      <w:r w:rsidRPr="00F9522B">
        <w:rPr>
          <w:spacing w:val="-1"/>
          <w:sz w:val="24"/>
        </w:rPr>
        <w:t>季调查期间，评价水域浮游动物的生物量平均为</w:t>
      </w:r>
      <w:r w:rsidR="009B3DA7" w:rsidRPr="00F9522B">
        <w:rPr>
          <w:spacing w:val="-1"/>
          <w:sz w:val="24"/>
        </w:rPr>
        <w:t>10</w:t>
      </w:r>
      <w:r w:rsidRPr="00F9522B">
        <w:rPr>
          <w:spacing w:val="-1"/>
          <w:sz w:val="24"/>
        </w:rPr>
        <w:t>.</w:t>
      </w:r>
      <w:r w:rsidR="009B3DA7" w:rsidRPr="00F9522B">
        <w:rPr>
          <w:spacing w:val="-1"/>
          <w:sz w:val="24"/>
        </w:rPr>
        <w:t>5</w:t>
      </w:r>
      <w:r w:rsidRPr="00F9522B">
        <w:rPr>
          <w:spacing w:val="-1"/>
          <w:sz w:val="24"/>
        </w:rPr>
        <w:t>mg/L</w:t>
      </w:r>
      <w:r w:rsidRPr="00F9522B">
        <w:rPr>
          <w:spacing w:val="-1"/>
          <w:sz w:val="24"/>
        </w:rPr>
        <w:t>。其中轮</w:t>
      </w:r>
      <w:r w:rsidRPr="00F9522B">
        <w:rPr>
          <w:spacing w:val="-4"/>
          <w:sz w:val="24"/>
        </w:rPr>
        <w:t>虫生物量最高为</w:t>
      </w:r>
      <w:r w:rsidR="009B3DA7" w:rsidRPr="00F9522B">
        <w:rPr>
          <w:spacing w:val="-4"/>
          <w:sz w:val="24"/>
        </w:rPr>
        <w:t>6</w:t>
      </w:r>
      <w:r w:rsidRPr="00F9522B">
        <w:rPr>
          <w:spacing w:val="-4"/>
          <w:sz w:val="24"/>
        </w:rPr>
        <w:t>.8mg/L</w:t>
      </w:r>
      <w:r w:rsidRPr="00F9522B">
        <w:rPr>
          <w:spacing w:val="-4"/>
          <w:sz w:val="24"/>
        </w:rPr>
        <w:t>，枝角类为</w:t>
      </w:r>
      <w:r w:rsidR="009B3DA7" w:rsidRPr="00F9522B">
        <w:rPr>
          <w:spacing w:val="-4"/>
          <w:sz w:val="24"/>
        </w:rPr>
        <w:t>2</w:t>
      </w:r>
      <w:r w:rsidRPr="00F9522B">
        <w:rPr>
          <w:spacing w:val="-4"/>
          <w:sz w:val="24"/>
        </w:rPr>
        <w:t>.2mg/L</w:t>
      </w:r>
      <w:r w:rsidRPr="00F9522B">
        <w:rPr>
          <w:spacing w:val="-4"/>
          <w:sz w:val="24"/>
        </w:rPr>
        <w:t>，</w:t>
      </w:r>
      <w:r w:rsidRPr="00F9522B">
        <w:rPr>
          <w:spacing w:val="-5"/>
          <w:sz w:val="24"/>
        </w:rPr>
        <w:t>原生动物为</w:t>
      </w:r>
      <w:r w:rsidRPr="00F9522B">
        <w:rPr>
          <w:spacing w:val="-5"/>
          <w:sz w:val="24"/>
        </w:rPr>
        <w:t>0.</w:t>
      </w:r>
      <w:r w:rsidR="009B3DA7" w:rsidRPr="00F9522B">
        <w:rPr>
          <w:spacing w:val="-5"/>
          <w:sz w:val="24"/>
        </w:rPr>
        <w:t>3</w:t>
      </w:r>
      <w:r w:rsidRPr="00F9522B">
        <w:rPr>
          <w:spacing w:val="-5"/>
          <w:sz w:val="24"/>
        </w:rPr>
        <w:t>mg/L</w:t>
      </w:r>
      <w:r w:rsidRPr="00F9522B">
        <w:rPr>
          <w:spacing w:val="-5"/>
          <w:sz w:val="24"/>
        </w:rPr>
        <w:t>，桡足类</w:t>
      </w:r>
      <w:r w:rsidRPr="00F9522B">
        <w:rPr>
          <w:spacing w:val="-2"/>
          <w:sz w:val="24"/>
        </w:rPr>
        <w:t>为</w:t>
      </w:r>
      <w:r w:rsidRPr="00F9522B">
        <w:rPr>
          <w:spacing w:val="-2"/>
          <w:sz w:val="24"/>
        </w:rPr>
        <w:t>0.0</w:t>
      </w:r>
      <w:r w:rsidR="009B3DA7" w:rsidRPr="00F9522B">
        <w:rPr>
          <w:spacing w:val="-2"/>
          <w:sz w:val="24"/>
        </w:rPr>
        <w:t>3</w:t>
      </w:r>
      <w:r w:rsidRPr="00F9522B">
        <w:rPr>
          <w:spacing w:val="-2"/>
          <w:sz w:val="24"/>
        </w:rPr>
        <w:t>mg/L</w:t>
      </w:r>
      <w:r w:rsidRPr="00F9522B">
        <w:rPr>
          <w:spacing w:val="-2"/>
          <w:sz w:val="24"/>
        </w:rPr>
        <w:t>。</w:t>
      </w:r>
    </w:p>
    <w:p w:rsidR="002A5A5E" w:rsidRPr="00F9522B" w:rsidRDefault="00611CBA">
      <w:pPr>
        <w:pStyle w:val="ab"/>
        <w:spacing w:line="360" w:lineRule="auto"/>
        <w:ind w:firstLineChars="200" w:firstLine="458"/>
        <w:rPr>
          <w:b/>
          <w:bCs/>
          <w:spacing w:val="-6"/>
          <w:sz w:val="24"/>
        </w:rPr>
      </w:pPr>
      <w:r w:rsidRPr="00F9522B">
        <w:rPr>
          <w:b/>
          <w:bCs/>
          <w:spacing w:val="-6"/>
          <w:sz w:val="24"/>
        </w:rPr>
        <w:t>3</w:t>
      </w:r>
      <w:r w:rsidRPr="00F9522B">
        <w:rPr>
          <w:b/>
          <w:bCs/>
          <w:spacing w:val="-6"/>
          <w:sz w:val="24"/>
        </w:rPr>
        <w:t>）底栖动物</w:t>
      </w:r>
    </w:p>
    <w:p w:rsidR="002A5A5E" w:rsidRPr="00F9522B" w:rsidRDefault="005273A1">
      <w:pPr>
        <w:pStyle w:val="ab"/>
        <w:spacing w:after="0" w:line="360" w:lineRule="auto"/>
        <w:ind w:firstLineChars="200" w:firstLine="422"/>
        <w:rPr>
          <w:b/>
          <w:bCs/>
          <w:spacing w:val="-6"/>
          <w:sz w:val="24"/>
        </w:rPr>
      </w:pPr>
      <w:r w:rsidRPr="00F9522B">
        <w:rPr>
          <w:b/>
          <w:bCs/>
          <w:smallCaps/>
        </w:rPr>
        <w:fldChar w:fldCharType="begin"/>
      </w:r>
      <w:r w:rsidR="00611CBA" w:rsidRPr="00F9522B">
        <w:rPr>
          <w:b/>
          <w:bCs/>
          <w:smallCaps/>
        </w:rPr>
        <w:instrText xml:space="preserve"> = 1 \* GB3 </w:instrText>
      </w:r>
      <w:r w:rsidRPr="00F9522B">
        <w:rPr>
          <w:b/>
          <w:bCs/>
          <w:smallCaps/>
        </w:rPr>
        <w:fldChar w:fldCharType="separate"/>
      </w:r>
      <w:r w:rsidR="00611CBA" w:rsidRPr="00F9522B">
        <w:rPr>
          <w:rFonts w:ascii="宋体" w:hAnsi="宋体" w:cs="宋体" w:hint="eastAsia"/>
          <w:b/>
          <w:bCs/>
          <w:smallCaps/>
        </w:rPr>
        <w:t>①</w:t>
      </w:r>
      <w:r w:rsidRPr="00F9522B">
        <w:rPr>
          <w:b/>
          <w:bCs/>
          <w:smallCaps/>
        </w:rPr>
        <w:fldChar w:fldCharType="end"/>
      </w:r>
      <w:r w:rsidR="00611CBA" w:rsidRPr="00F9522B">
        <w:rPr>
          <w:b/>
          <w:bCs/>
          <w:spacing w:val="-6"/>
          <w:sz w:val="24"/>
        </w:rPr>
        <w:t>种类组成</w:t>
      </w:r>
    </w:p>
    <w:p w:rsidR="002A5A5E" w:rsidRPr="00F9522B" w:rsidRDefault="00611CBA">
      <w:pPr>
        <w:spacing w:line="360" w:lineRule="auto"/>
        <w:ind w:firstLineChars="200" w:firstLine="472"/>
        <w:rPr>
          <w:spacing w:val="-2"/>
          <w:sz w:val="24"/>
        </w:rPr>
      </w:pPr>
      <w:r w:rsidRPr="00F9522B">
        <w:rPr>
          <w:spacing w:val="-2"/>
          <w:sz w:val="24"/>
        </w:rPr>
        <w:t>调查期间，评价水域共采集底栖动物</w:t>
      </w:r>
      <w:r w:rsidRPr="00F9522B">
        <w:rPr>
          <w:spacing w:val="-2"/>
          <w:sz w:val="24"/>
        </w:rPr>
        <w:t>4</w:t>
      </w:r>
      <w:r w:rsidRPr="00F9522B">
        <w:rPr>
          <w:spacing w:val="-2"/>
          <w:sz w:val="24"/>
        </w:rPr>
        <w:t>类（软体动物、环节动物、甲壳动物和水生昆虫），共计</w:t>
      </w:r>
      <w:r w:rsidRPr="00F9522B">
        <w:rPr>
          <w:spacing w:val="-2"/>
          <w:sz w:val="24"/>
        </w:rPr>
        <w:t>12</w:t>
      </w:r>
      <w:r w:rsidRPr="00F9522B">
        <w:rPr>
          <w:spacing w:val="-2"/>
          <w:sz w:val="24"/>
        </w:rPr>
        <w:t>目</w:t>
      </w:r>
      <w:r w:rsidRPr="00F9522B">
        <w:rPr>
          <w:spacing w:val="-2"/>
          <w:sz w:val="24"/>
        </w:rPr>
        <w:t>19</w:t>
      </w:r>
      <w:r w:rsidRPr="00F9522B">
        <w:rPr>
          <w:spacing w:val="-2"/>
          <w:sz w:val="24"/>
        </w:rPr>
        <w:t>科</w:t>
      </w:r>
      <w:r w:rsidRPr="00F9522B">
        <w:rPr>
          <w:spacing w:val="-2"/>
          <w:sz w:val="24"/>
        </w:rPr>
        <w:t>26</w:t>
      </w:r>
      <w:r w:rsidRPr="00F9522B">
        <w:rPr>
          <w:spacing w:val="-2"/>
          <w:sz w:val="24"/>
        </w:rPr>
        <w:t>种，其中水生昆虫</w:t>
      </w:r>
      <w:r w:rsidRPr="00F9522B">
        <w:rPr>
          <w:spacing w:val="-2"/>
          <w:sz w:val="24"/>
        </w:rPr>
        <w:t>11</w:t>
      </w:r>
      <w:r w:rsidRPr="00F9522B">
        <w:rPr>
          <w:spacing w:val="-2"/>
          <w:sz w:val="24"/>
        </w:rPr>
        <w:t>种，隶属于</w:t>
      </w:r>
      <w:r w:rsidRPr="00F9522B">
        <w:rPr>
          <w:spacing w:val="-2"/>
          <w:sz w:val="24"/>
        </w:rPr>
        <w:t>5</w:t>
      </w:r>
      <w:r w:rsidRPr="00F9522B">
        <w:rPr>
          <w:spacing w:val="-2"/>
          <w:sz w:val="24"/>
        </w:rPr>
        <w:t>目</w:t>
      </w:r>
      <w:r w:rsidRPr="00F9522B">
        <w:rPr>
          <w:spacing w:val="-2"/>
          <w:sz w:val="24"/>
        </w:rPr>
        <w:t>8</w:t>
      </w:r>
      <w:r w:rsidRPr="00F9522B">
        <w:rPr>
          <w:spacing w:val="-2"/>
          <w:sz w:val="24"/>
        </w:rPr>
        <w:t>科；软体</w:t>
      </w:r>
      <w:r w:rsidRPr="00F9522B">
        <w:rPr>
          <w:spacing w:val="-2"/>
          <w:sz w:val="24"/>
        </w:rPr>
        <w:t xml:space="preserve"> </w:t>
      </w:r>
      <w:r w:rsidRPr="00F9522B">
        <w:rPr>
          <w:spacing w:val="-2"/>
          <w:sz w:val="24"/>
        </w:rPr>
        <w:t>动物</w:t>
      </w:r>
      <w:r w:rsidRPr="00F9522B">
        <w:rPr>
          <w:spacing w:val="-2"/>
          <w:sz w:val="24"/>
        </w:rPr>
        <w:t>8</w:t>
      </w:r>
      <w:r w:rsidRPr="00F9522B">
        <w:rPr>
          <w:spacing w:val="-2"/>
          <w:sz w:val="24"/>
        </w:rPr>
        <w:t>种，隶属于</w:t>
      </w:r>
      <w:r w:rsidRPr="00F9522B">
        <w:rPr>
          <w:spacing w:val="-2"/>
          <w:sz w:val="24"/>
        </w:rPr>
        <w:t>3</w:t>
      </w:r>
      <w:r w:rsidRPr="00F9522B">
        <w:rPr>
          <w:spacing w:val="-2"/>
          <w:sz w:val="24"/>
        </w:rPr>
        <w:t>目</w:t>
      </w:r>
      <w:r w:rsidRPr="00F9522B">
        <w:rPr>
          <w:spacing w:val="-2"/>
          <w:sz w:val="24"/>
        </w:rPr>
        <w:t>7</w:t>
      </w:r>
      <w:r w:rsidRPr="00F9522B">
        <w:rPr>
          <w:spacing w:val="-2"/>
          <w:sz w:val="24"/>
        </w:rPr>
        <w:t>科；环节动物</w:t>
      </w:r>
      <w:r w:rsidRPr="00F9522B">
        <w:rPr>
          <w:spacing w:val="-2"/>
          <w:sz w:val="24"/>
        </w:rPr>
        <w:t>3</w:t>
      </w:r>
      <w:r w:rsidRPr="00F9522B">
        <w:rPr>
          <w:spacing w:val="-2"/>
          <w:sz w:val="24"/>
        </w:rPr>
        <w:t>种，隶属于</w:t>
      </w:r>
      <w:r w:rsidRPr="00F9522B">
        <w:rPr>
          <w:spacing w:val="-2"/>
          <w:sz w:val="24"/>
        </w:rPr>
        <w:t>2</w:t>
      </w:r>
      <w:r w:rsidRPr="00F9522B">
        <w:rPr>
          <w:spacing w:val="-2"/>
          <w:sz w:val="24"/>
        </w:rPr>
        <w:t>目</w:t>
      </w:r>
      <w:r w:rsidRPr="00F9522B">
        <w:rPr>
          <w:spacing w:val="-2"/>
          <w:sz w:val="24"/>
        </w:rPr>
        <w:t>2</w:t>
      </w:r>
      <w:r w:rsidRPr="00F9522B">
        <w:rPr>
          <w:spacing w:val="-2"/>
          <w:sz w:val="24"/>
        </w:rPr>
        <w:t>科；甲壳动物</w:t>
      </w:r>
      <w:r w:rsidRPr="00F9522B">
        <w:rPr>
          <w:spacing w:val="-2"/>
          <w:sz w:val="24"/>
        </w:rPr>
        <w:t>4</w:t>
      </w:r>
      <w:r w:rsidRPr="00F9522B">
        <w:rPr>
          <w:spacing w:val="-2"/>
          <w:sz w:val="24"/>
        </w:rPr>
        <w:t>种，隶属于</w:t>
      </w:r>
      <w:r w:rsidRPr="00F9522B">
        <w:rPr>
          <w:spacing w:val="-2"/>
          <w:sz w:val="24"/>
        </w:rPr>
        <w:t>2</w:t>
      </w:r>
      <w:r w:rsidRPr="00F9522B">
        <w:rPr>
          <w:spacing w:val="-2"/>
          <w:sz w:val="24"/>
        </w:rPr>
        <w:t>目</w:t>
      </w:r>
      <w:r w:rsidRPr="00F9522B">
        <w:rPr>
          <w:spacing w:val="-2"/>
          <w:sz w:val="24"/>
        </w:rPr>
        <w:t>2</w:t>
      </w:r>
      <w:r w:rsidRPr="00F9522B">
        <w:rPr>
          <w:spacing w:val="-2"/>
          <w:sz w:val="24"/>
        </w:rPr>
        <w:t>科。</w:t>
      </w:r>
    </w:p>
    <w:p w:rsidR="002A5A5E" w:rsidRPr="00F9522B" w:rsidRDefault="002A5A5E">
      <w:pPr>
        <w:pStyle w:val="ab"/>
        <w:ind w:left="3237"/>
        <w:rPr>
          <w:b/>
          <w:bCs/>
          <w:spacing w:val="-2"/>
        </w:rPr>
      </w:pPr>
    </w:p>
    <w:p w:rsidR="002A5A5E" w:rsidRPr="00F9522B" w:rsidRDefault="002A5A5E">
      <w:pPr>
        <w:pStyle w:val="ab"/>
        <w:ind w:left="3237"/>
        <w:rPr>
          <w:b/>
          <w:bCs/>
          <w:spacing w:val="-2"/>
        </w:rPr>
      </w:pPr>
    </w:p>
    <w:p w:rsidR="002A5A5E" w:rsidRPr="00F9522B" w:rsidRDefault="002A5A5E">
      <w:pPr>
        <w:pStyle w:val="ab"/>
        <w:ind w:left="3237"/>
        <w:rPr>
          <w:b/>
          <w:bCs/>
          <w:spacing w:val="-2"/>
        </w:rPr>
      </w:pPr>
    </w:p>
    <w:p w:rsidR="002A5A5E" w:rsidRPr="00F9522B" w:rsidRDefault="002A5A5E">
      <w:pPr>
        <w:pStyle w:val="ab"/>
        <w:ind w:left="3237"/>
        <w:rPr>
          <w:b/>
          <w:bCs/>
          <w:spacing w:val="-2"/>
        </w:rPr>
      </w:pPr>
    </w:p>
    <w:p w:rsidR="0017526A" w:rsidRPr="00F9522B" w:rsidRDefault="0017526A">
      <w:pPr>
        <w:pStyle w:val="ab"/>
        <w:ind w:left="3237"/>
        <w:rPr>
          <w:b/>
          <w:bCs/>
          <w:spacing w:val="-2"/>
        </w:rPr>
      </w:pPr>
    </w:p>
    <w:p w:rsidR="0017526A" w:rsidRPr="00F9522B" w:rsidRDefault="0017526A">
      <w:pPr>
        <w:pStyle w:val="ab"/>
        <w:ind w:left="3237"/>
        <w:rPr>
          <w:b/>
          <w:bCs/>
          <w:spacing w:val="-2"/>
        </w:rPr>
      </w:pPr>
    </w:p>
    <w:p w:rsidR="0017526A" w:rsidRPr="00F9522B" w:rsidRDefault="0017526A">
      <w:pPr>
        <w:pStyle w:val="ab"/>
        <w:ind w:left="3237"/>
        <w:rPr>
          <w:b/>
          <w:bCs/>
          <w:spacing w:val="-2"/>
        </w:rPr>
      </w:pPr>
    </w:p>
    <w:p w:rsidR="0017526A" w:rsidRPr="00F9522B" w:rsidRDefault="0017526A">
      <w:pPr>
        <w:pStyle w:val="ab"/>
        <w:ind w:left="3237"/>
        <w:rPr>
          <w:b/>
          <w:bCs/>
          <w:spacing w:val="-2"/>
        </w:rPr>
      </w:pPr>
    </w:p>
    <w:p w:rsidR="0017526A" w:rsidRPr="00F9522B" w:rsidRDefault="0017526A">
      <w:pPr>
        <w:pStyle w:val="ab"/>
        <w:ind w:left="3237"/>
        <w:rPr>
          <w:b/>
          <w:bCs/>
          <w:spacing w:val="-2"/>
        </w:rPr>
      </w:pPr>
    </w:p>
    <w:p w:rsidR="0017526A" w:rsidRPr="00F9522B" w:rsidRDefault="0017526A">
      <w:pPr>
        <w:pStyle w:val="ab"/>
        <w:ind w:left="3237"/>
        <w:rPr>
          <w:b/>
          <w:bCs/>
          <w:spacing w:val="-2"/>
        </w:rPr>
      </w:pPr>
    </w:p>
    <w:p w:rsidR="0017526A" w:rsidRPr="00F9522B" w:rsidRDefault="0017526A">
      <w:pPr>
        <w:pStyle w:val="ab"/>
        <w:ind w:left="3237"/>
        <w:rPr>
          <w:b/>
          <w:bCs/>
          <w:spacing w:val="-2"/>
        </w:rPr>
      </w:pPr>
    </w:p>
    <w:p w:rsidR="0017526A" w:rsidRPr="00F9522B" w:rsidRDefault="0017526A">
      <w:pPr>
        <w:pStyle w:val="ab"/>
        <w:ind w:left="3237"/>
        <w:rPr>
          <w:b/>
          <w:bCs/>
          <w:spacing w:val="-2"/>
        </w:rPr>
      </w:pPr>
    </w:p>
    <w:p w:rsidR="0017526A" w:rsidRPr="00F9522B" w:rsidRDefault="0017526A">
      <w:pPr>
        <w:pStyle w:val="ab"/>
        <w:ind w:left="3237"/>
        <w:rPr>
          <w:b/>
          <w:bCs/>
          <w:spacing w:val="-2"/>
        </w:rPr>
      </w:pPr>
    </w:p>
    <w:p w:rsidR="002A5A5E" w:rsidRPr="00F9522B" w:rsidRDefault="00611CBA" w:rsidP="00745972">
      <w:pPr>
        <w:pStyle w:val="ab"/>
        <w:spacing w:after="0"/>
        <w:ind w:left="3238"/>
        <w:rPr>
          <w:b/>
          <w:bCs/>
          <w:spacing w:val="-2"/>
        </w:rPr>
      </w:pPr>
      <w:r w:rsidRPr="00F9522B">
        <w:rPr>
          <w:b/>
          <w:bCs/>
          <w:spacing w:val="-2"/>
        </w:rPr>
        <w:lastRenderedPageBreak/>
        <w:t>表</w:t>
      </w:r>
      <w:r w:rsidRPr="00F9522B">
        <w:rPr>
          <w:b/>
          <w:bCs/>
          <w:spacing w:val="-2"/>
        </w:rPr>
        <w:t>4-2-26</w:t>
      </w:r>
      <w:r w:rsidRPr="00F9522B">
        <w:rPr>
          <w:b/>
          <w:bCs/>
          <w:spacing w:val="-2"/>
        </w:rPr>
        <w:t>底栖动物名录</w:t>
      </w:r>
    </w:p>
    <w:tbl>
      <w:tblPr>
        <w:tblStyle w:val="TableNormal"/>
        <w:tblW w:w="8148" w:type="dxa"/>
        <w:tblInd w:w="108" w:type="dxa"/>
        <w:tblBorders>
          <w:top w:val="single" w:sz="12" w:space="0" w:color="000000"/>
          <w:bottom w:val="single" w:sz="12" w:space="0" w:color="000000"/>
          <w:insideH w:val="single" w:sz="2" w:space="0" w:color="000000"/>
          <w:insideV w:val="single" w:sz="2" w:space="0" w:color="000000"/>
        </w:tblBorders>
        <w:tblLayout w:type="fixed"/>
        <w:tblLook w:val="04A0"/>
      </w:tblPr>
      <w:tblGrid>
        <w:gridCol w:w="1405"/>
        <w:gridCol w:w="2043"/>
        <w:gridCol w:w="1975"/>
        <w:gridCol w:w="2725"/>
      </w:tblGrid>
      <w:tr w:rsidR="002A5A5E" w:rsidRPr="00F9522B" w:rsidTr="009B3DA7">
        <w:trPr>
          <w:trHeight w:val="340"/>
        </w:trPr>
        <w:tc>
          <w:tcPr>
            <w:tcW w:w="1405"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4"/>
                <w:sz w:val="21"/>
                <w:szCs w:val="21"/>
              </w:rPr>
              <w:t>类别</w:t>
            </w:r>
          </w:p>
        </w:tc>
        <w:tc>
          <w:tcPr>
            <w:tcW w:w="2043"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z w:val="21"/>
                <w:szCs w:val="21"/>
              </w:rPr>
              <w:t>目</w:t>
            </w:r>
          </w:p>
        </w:tc>
        <w:tc>
          <w:tcPr>
            <w:tcW w:w="1975"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z w:val="21"/>
                <w:szCs w:val="21"/>
              </w:rPr>
              <w:t>科</w:t>
            </w:r>
          </w:p>
        </w:tc>
        <w:tc>
          <w:tcPr>
            <w:tcW w:w="2725"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4"/>
                <w:sz w:val="21"/>
                <w:szCs w:val="21"/>
              </w:rPr>
              <w:t>种类</w:t>
            </w:r>
          </w:p>
        </w:tc>
      </w:tr>
      <w:tr w:rsidR="002A5A5E" w:rsidRPr="00F9522B" w:rsidTr="009B3DA7">
        <w:trPr>
          <w:trHeight w:val="504"/>
        </w:trPr>
        <w:tc>
          <w:tcPr>
            <w:tcW w:w="1405" w:type="dxa"/>
            <w:vMerge w:val="restart"/>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7"/>
                <w:sz w:val="21"/>
                <w:szCs w:val="21"/>
              </w:rPr>
              <w:t>水生昆虫</w:t>
            </w:r>
          </w:p>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3"/>
                <w:szCs w:val="21"/>
              </w:rPr>
              <w:t>Aquatic insects</w:t>
            </w:r>
          </w:p>
        </w:tc>
        <w:tc>
          <w:tcPr>
            <w:tcW w:w="2043"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7"/>
                <w:sz w:val="21"/>
                <w:szCs w:val="21"/>
              </w:rPr>
              <w:t>毛翅目</w:t>
            </w:r>
            <w:r w:rsidRPr="00F9522B">
              <w:rPr>
                <w:color w:val="auto"/>
                <w:sz w:val="21"/>
                <w:szCs w:val="21"/>
              </w:rPr>
              <w:t>Trichoptera</w:t>
            </w:r>
          </w:p>
        </w:tc>
        <w:tc>
          <w:tcPr>
            <w:tcW w:w="1975"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6"/>
                <w:sz w:val="21"/>
                <w:szCs w:val="21"/>
              </w:rPr>
              <w:t>纹石蛾科</w:t>
            </w:r>
          </w:p>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4"/>
                <w:szCs w:val="21"/>
              </w:rPr>
              <w:t>Hydropsychidae</w:t>
            </w:r>
          </w:p>
        </w:tc>
        <w:tc>
          <w:tcPr>
            <w:tcW w:w="2725"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0"/>
                <w:position w:val="2"/>
                <w:sz w:val="21"/>
                <w:szCs w:val="21"/>
              </w:rPr>
              <w:t>纹石蚕</w:t>
            </w:r>
            <w:r w:rsidRPr="00F9522B">
              <w:rPr>
                <w:i/>
                <w:iCs/>
                <w:color w:val="auto"/>
                <w:spacing w:val="10"/>
                <w:position w:val="2"/>
                <w:sz w:val="21"/>
                <w:szCs w:val="21"/>
              </w:rPr>
              <w:t>Hу</w:t>
            </w:r>
            <w:r w:rsidRPr="00F9522B">
              <w:rPr>
                <w:i/>
                <w:iCs/>
                <w:color w:val="auto"/>
                <w:position w:val="2"/>
                <w:sz w:val="21"/>
                <w:szCs w:val="21"/>
              </w:rPr>
              <w:t>drops</w:t>
            </w:r>
            <w:r w:rsidRPr="00F9522B">
              <w:rPr>
                <w:i/>
                <w:iCs/>
                <w:color w:val="auto"/>
                <w:spacing w:val="10"/>
                <w:position w:val="2"/>
                <w:sz w:val="21"/>
                <w:szCs w:val="21"/>
              </w:rPr>
              <w:t>у</w:t>
            </w:r>
            <w:r w:rsidRPr="00F9522B">
              <w:rPr>
                <w:i/>
                <w:iCs/>
                <w:color w:val="auto"/>
                <w:position w:val="2"/>
                <w:sz w:val="21"/>
                <w:szCs w:val="21"/>
              </w:rPr>
              <w:t>che</w:t>
            </w:r>
            <w:r w:rsidRPr="00F9522B">
              <w:rPr>
                <w:color w:val="auto"/>
                <w:position w:val="2"/>
                <w:sz w:val="21"/>
                <w:szCs w:val="21"/>
              </w:rPr>
              <w:t>sp</w:t>
            </w:r>
            <w:r w:rsidRPr="00F9522B">
              <w:rPr>
                <w:color w:val="auto"/>
                <w:spacing w:val="10"/>
                <w:position w:val="2"/>
                <w:sz w:val="21"/>
                <w:szCs w:val="21"/>
              </w:rPr>
              <w:t>.</w:t>
            </w:r>
          </w:p>
        </w:tc>
      </w:tr>
      <w:tr w:rsidR="002A5A5E" w:rsidRPr="00F9522B" w:rsidTr="009B3DA7">
        <w:trPr>
          <w:trHeight w:val="335"/>
        </w:trPr>
        <w:tc>
          <w:tcPr>
            <w:tcW w:w="1405" w:type="dxa"/>
            <w:vMerge/>
            <w:vAlign w:val="center"/>
          </w:tcPr>
          <w:p w:rsidR="002A5A5E" w:rsidRPr="00F9522B" w:rsidRDefault="002A5A5E">
            <w:pPr>
              <w:spacing w:line="0" w:lineRule="atLeast"/>
              <w:jc w:val="center"/>
              <w:rPr>
                <w:szCs w:val="21"/>
              </w:rPr>
            </w:pPr>
          </w:p>
        </w:tc>
        <w:tc>
          <w:tcPr>
            <w:tcW w:w="2043" w:type="dxa"/>
            <w:vMerge w:val="restart"/>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25"/>
                <w:sz w:val="21"/>
                <w:szCs w:val="21"/>
              </w:rPr>
              <w:t>蜉蝣目</w:t>
            </w:r>
            <w:r w:rsidRPr="00F9522B">
              <w:rPr>
                <w:color w:val="auto"/>
                <w:sz w:val="21"/>
                <w:szCs w:val="21"/>
              </w:rPr>
              <w:t>Ephemeroptera</w:t>
            </w:r>
          </w:p>
        </w:tc>
        <w:tc>
          <w:tcPr>
            <w:tcW w:w="1975"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9"/>
                <w:sz w:val="21"/>
                <w:szCs w:val="21"/>
              </w:rPr>
              <w:t>蜉蝣科</w:t>
            </w:r>
            <w:r w:rsidRPr="00F9522B">
              <w:rPr>
                <w:color w:val="auto"/>
                <w:sz w:val="21"/>
                <w:szCs w:val="21"/>
              </w:rPr>
              <w:t>Ephemeridae</w:t>
            </w:r>
          </w:p>
        </w:tc>
        <w:tc>
          <w:tcPr>
            <w:tcW w:w="2725"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20"/>
                <w:position w:val="2"/>
                <w:sz w:val="21"/>
                <w:szCs w:val="21"/>
              </w:rPr>
              <w:t>生米蜉</w:t>
            </w:r>
            <w:r w:rsidRPr="00F9522B">
              <w:rPr>
                <w:i/>
                <w:iCs/>
                <w:color w:val="auto"/>
                <w:position w:val="2"/>
                <w:sz w:val="21"/>
                <w:szCs w:val="21"/>
              </w:rPr>
              <w:t>Ephemerashengmi</w:t>
            </w:r>
          </w:p>
        </w:tc>
      </w:tr>
      <w:tr w:rsidR="002A5A5E" w:rsidRPr="00F9522B" w:rsidTr="009B3DA7">
        <w:trPr>
          <w:trHeight w:val="335"/>
        </w:trPr>
        <w:tc>
          <w:tcPr>
            <w:tcW w:w="1405" w:type="dxa"/>
            <w:vMerge/>
            <w:vAlign w:val="center"/>
          </w:tcPr>
          <w:p w:rsidR="002A5A5E" w:rsidRPr="00F9522B" w:rsidRDefault="002A5A5E">
            <w:pPr>
              <w:spacing w:line="0" w:lineRule="atLeast"/>
              <w:jc w:val="center"/>
              <w:rPr>
                <w:szCs w:val="21"/>
              </w:rPr>
            </w:pPr>
          </w:p>
        </w:tc>
        <w:tc>
          <w:tcPr>
            <w:tcW w:w="2043" w:type="dxa"/>
            <w:vMerge/>
            <w:vAlign w:val="center"/>
          </w:tcPr>
          <w:p w:rsidR="002A5A5E" w:rsidRPr="00F9522B" w:rsidRDefault="002A5A5E">
            <w:pPr>
              <w:spacing w:line="0" w:lineRule="atLeast"/>
              <w:jc w:val="center"/>
              <w:rPr>
                <w:szCs w:val="21"/>
              </w:rPr>
            </w:pPr>
          </w:p>
        </w:tc>
        <w:tc>
          <w:tcPr>
            <w:tcW w:w="1975"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20"/>
                <w:sz w:val="21"/>
                <w:szCs w:val="21"/>
              </w:rPr>
              <w:t>扁蜉科</w:t>
            </w:r>
            <w:r w:rsidRPr="00F9522B">
              <w:rPr>
                <w:color w:val="auto"/>
                <w:sz w:val="21"/>
                <w:szCs w:val="21"/>
              </w:rPr>
              <w:t>Heptageniidae</w:t>
            </w:r>
          </w:p>
        </w:tc>
        <w:tc>
          <w:tcPr>
            <w:tcW w:w="2725"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7"/>
                <w:position w:val="2"/>
                <w:sz w:val="21"/>
                <w:szCs w:val="21"/>
              </w:rPr>
              <w:t>扁蚴蜉</w:t>
            </w:r>
            <w:r w:rsidRPr="00F9522B">
              <w:rPr>
                <w:i/>
                <w:iCs/>
                <w:color w:val="auto"/>
                <w:position w:val="2"/>
                <w:sz w:val="21"/>
                <w:szCs w:val="21"/>
              </w:rPr>
              <w:t>Ecdyonurus</w:t>
            </w:r>
            <w:r w:rsidRPr="00F9522B">
              <w:rPr>
                <w:color w:val="auto"/>
                <w:position w:val="2"/>
                <w:sz w:val="21"/>
                <w:szCs w:val="21"/>
              </w:rPr>
              <w:t>sp</w:t>
            </w:r>
            <w:r w:rsidRPr="00F9522B">
              <w:rPr>
                <w:color w:val="auto"/>
                <w:spacing w:val="17"/>
                <w:position w:val="2"/>
                <w:sz w:val="21"/>
                <w:szCs w:val="21"/>
              </w:rPr>
              <w:t>.</w:t>
            </w:r>
          </w:p>
        </w:tc>
      </w:tr>
      <w:tr w:rsidR="002A5A5E" w:rsidRPr="00F9522B" w:rsidTr="009B3DA7">
        <w:trPr>
          <w:trHeight w:val="504"/>
        </w:trPr>
        <w:tc>
          <w:tcPr>
            <w:tcW w:w="1405" w:type="dxa"/>
            <w:vMerge/>
            <w:vAlign w:val="center"/>
          </w:tcPr>
          <w:p w:rsidR="002A5A5E" w:rsidRPr="00F9522B" w:rsidRDefault="002A5A5E">
            <w:pPr>
              <w:spacing w:line="0" w:lineRule="atLeast"/>
              <w:jc w:val="center"/>
              <w:rPr>
                <w:szCs w:val="21"/>
              </w:rPr>
            </w:pPr>
          </w:p>
        </w:tc>
        <w:tc>
          <w:tcPr>
            <w:tcW w:w="2043" w:type="dxa"/>
            <w:vMerge/>
            <w:vAlign w:val="center"/>
          </w:tcPr>
          <w:p w:rsidR="002A5A5E" w:rsidRPr="00F9522B" w:rsidRDefault="002A5A5E">
            <w:pPr>
              <w:spacing w:line="0" w:lineRule="atLeast"/>
              <w:jc w:val="center"/>
              <w:rPr>
                <w:szCs w:val="21"/>
              </w:rPr>
            </w:pPr>
          </w:p>
        </w:tc>
        <w:tc>
          <w:tcPr>
            <w:tcW w:w="1975"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8"/>
                <w:sz w:val="21"/>
                <w:szCs w:val="21"/>
              </w:rPr>
              <w:t>短丝蜉科</w:t>
            </w:r>
            <w:r w:rsidRPr="00F9522B">
              <w:rPr>
                <w:color w:val="auto"/>
                <w:sz w:val="21"/>
                <w:szCs w:val="21"/>
              </w:rPr>
              <w:t>Siphlonuridae</w:t>
            </w:r>
          </w:p>
        </w:tc>
        <w:tc>
          <w:tcPr>
            <w:tcW w:w="2725"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7"/>
                <w:sz w:val="21"/>
                <w:szCs w:val="21"/>
              </w:rPr>
              <w:t>湖生短丝蜉</w:t>
            </w:r>
            <w:r w:rsidRPr="00F9522B">
              <w:rPr>
                <w:i/>
                <w:iCs/>
                <w:color w:val="auto"/>
                <w:sz w:val="21"/>
                <w:szCs w:val="21"/>
              </w:rPr>
              <w:t xml:space="preserve">Siphlonurus </w:t>
            </w:r>
            <w:r w:rsidRPr="00F9522B">
              <w:rPr>
                <w:i/>
                <w:iCs/>
                <w:color w:val="auto"/>
                <w:spacing w:val="2"/>
                <w:sz w:val="21"/>
                <w:szCs w:val="21"/>
              </w:rPr>
              <w:t>lacustris</w:t>
            </w:r>
          </w:p>
        </w:tc>
      </w:tr>
      <w:tr w:rsidR="002A5A5E" w:rsidRPr="00F9522B" w:rsidTr="009B3DA7">
        <w:trPr>
          <w:trHeight w:val="335"/>
        </w:trPr>
        <w:tc>
          <w:tcPr>
            <w:tcW w:w="1405" w:type="dxa"/>
            <w:vMerge/>
            <w:vAlign w:val="center"/>
          </w:tcPr>
          <w:p w:rsidR="002A5A5E" w:rsidRPr="00F9522B" w:rsidRDefault="002A5A5E">
            <w:pPr>
              <w:spacing w:line="0" w:lineRule="atLeast"/>
              <w:jc w:val="center"/>
              <w:rPr>
                <w:szCs w:val="21"/>
              </w:rPr>
            </w:pPr>
          </w:p>
        </w:tc>
        <w:tc>
          <w:tcPr>
            <w:tcW w:w="2043" w:type="dxa"/>
            <w:vMerge w:val="restart"/>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8"/>
                <w:sz w:val="21"/>
                <w:szCs w:val="21"/>
              </w:rPr>
              <w:t>半翅目</w:t>
            </w:r>
            <w:r w:rsidRPr="00F9522B">
              <w:rPr>
                <w:color w:val="auto"/>
                <w:sz w:val="21"/>
                <w:szCs w:val="21"/>
              </w:rPr>
              <w:t>Hemiptera</w:t>
            </w:r>
          </w:p>
        </w:tc>
        <w:tc>
          <w:tcPr>
            <w:tcW w:w="1975" w:type="dxa"/>
            <w:vMerge w:val="restart"/>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7"/>
                <w:sz w:val="21"/>
                <w:szCs w:val="21"/>
              </w:rPr>
              <w:t>划蝽科</w:t>
            </w:r>
            <w:r w:rsidRPr="00F9522B">
              <w:rPr>
                <w:color w:val="auto"/>
                <w:sz w:val="21"/>
                <w:szCs w:val="21"/>
              </w:rPr>
              <w:t>Corixidae</w:t>
            </w:r>
          </w:p>
        </w:tc>
        <w:tc>
          <w:tcPr>
            <w:tcW w:w="2725"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27"/>
                <w:position w:val="2"/>
                <w:sz w:val="21"/>
                <w:szCs w:val="21"/>
              </w:rPr>
              <w:t>小划蝽</w:t>
            </w:r>
            <w:r w:rsidRPr="00F9522B">
              <w:rPr>
                <w:i/>
                <w:iCs/>
                <w:color w:val="auto"/>
                <w:position w:val="2"/>
                <w:sz w:val="21"/>
                <w:szCs w:val="21"/>
              </w:rPr>
              <w:t>Sigarasubstriata</w:t>
            </w:r>
          </w:p>
        </w:tc>
      </w:tr>
      <w:tr w:rsidR="002A5A5E" w:rsidRPr="00F9522B" w:rsidTr="009B3DA7">
        <w:trPr>
          <w:trHeight w:val="335"/>
        </w:trPr>
        <w:tc>
          <w:tcPr>
            <w:tcW w:w="1405" w:type="dxa"/>
            <w:vMerge/>
            <w:vAlign w:val="center"/>
          </w:tcPr>
          <w:p w:rsidR="002A5A5E" w:rsidRPr="00F9522B" w:rsidRDefault="002A5A5E">
            <w:pPr>
              <w:spacing w:line="0" w:lineRule="atLeast"/>
              <w:jc w:val="center"/>
              <w:rPr>
                <w:szCs w:val="21"/>
              </w:rPr>
            </w:pPr>
          </w:p>
        </w:tc>
        <w:tc>
          <w:tcPr>
            <w:tcW w:w="2043" w:type="dxa"/>
            <w:vMerge/>
            <w:vAlign w:val="center"/>
          </w:tcPr>
          <w:p w:rsidR="002A5A5E" w:rsidRPr="00F9522B" w:rsidRDefault="002A5A5E">
            <w:pPr>
              <w:spacing w:line="0" w:lineRule="atLeast"/>
              <w:jc w:val="center"/>
              <w:rPr>
                <w:szCs w:val="21"/>
              </w:rPr>
            </w:pPr>
          </w:p>
        </w:tc>
        <w:tc>
          <w:tcPr>
            <w:tcW w:w="1975" w:type="dxa"/>
            <w:vMerge/>
            <w:vAlign w:val="center"/>
          </w:tcPr>
          <w:p w:rsidR="002A5A5E" w:rsidRPr="00F9522B" w:rsidRDefault="002A5A5E">
            <w:pPr>
              <w:spacing w:line="0" w:lineRule="atLeast"/>
              <w:jc w:val="center"/>
              <w:rPr>
                <w:szCs w:val="21"/>
              </w:rPr>
            </w:pPr>
          </w:p>
        </w:tc>
        <w:tc>
          <w:tcPr>
            <w:tcW w:w="2725"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9"/>
                <w:position w:val="2"/>
                <w:sz w:val="21"/>
                <w:szCs w:val="21"/>
              </w:rPr>
              <w:t>横纹划蝽</w:t>
            </w:r>
            <w:r w:rsidRPr="00F9522B">
              <w:rPr>
                <w:i/>
                <w:iCs/>
                <w:color w:val="auto"/>
                <w:position w:val="2"/>
                <w:sz w:val="21"/>
                <w:szCs w:val="21"/>
              </w:rPr>
              <w:t>Sigarasubstriata</w:t>
            </w:r>
          </w:p>
        </w:tc>
      </w:tr>
      <w:tr w:rsidR="002A5A5E" w:rsidRPr="00F9522B" w:rsidTr="009B3DA7">
        <w:trPr>
          <w:trHeight w:val="504"/>
        </w:trPr>
        <w:tc>
          <w:tcPr>
            <w:tcW w:w="1405" w:type="dxa"/>
            <w:vMerge/>
            <w:vAlign w:val="center"/>
          </w:tcPr>
          <w:p w:rsidR="002A5A5E" w:rsidRPr="00F9522B" w:rsidRDefault="002A5A5E">
            <w:pPr>
              <w:spacing w:line="0" w:lineRule="atLeast"/>
              <w:jc w:val="center"/>
              <w:rPr>
                <w:szCs w:val="21"/>
              </w:rPr>
            </w:pPr>
          </w:p>
        </w:tc>
        <w:tc>
          <w:tcPr>
            <w:tcW w:w="2043" w:type="dxa"/>
            <w:vMerge w:val="restart"/>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5"/>
                <w:sz w:val="21"/>
                <w:szCs w:val="21"/>
              </w:rPr>
              <w:t>蜻蜓目</w:t>
            </w:r>
            <w:r w:rsidRPr="00F9522B">
              <w:rPr>
                <w:color w:val="auto"/>
                <w:sz w:val="21"/>
                <w:szCs w:val="21"/>
              </w:rPr>
              <w:t>Odonata</w:t>
            </w:r>
          </w:p>
        </w:tc>
        <w:tc>
          <w:tcPr>
            <w:tcW w:w="1975" w:type="dxa"/>
            <w:vMerge w:val="restart"/>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7"/>
                <w:sz w:val="21"/>
                <w:szCs w:val="21"/>
              </w:rPr>
              <w:t>箭蜓科</w:t>
            </w:r>
            <w:r w:rsidRPr="00F9522B">
              <w:rPr>
                <w:color w:val="auto"/>
                <w:sz w:val="21"/>
                <w:szCs w:val="21"/>
              </w:rPr>
              <w:t>Gomphidae</w:t>
            </w:r>
          </w:p>
        </w:tc>
        <w:tc>
          <w:tcPr>
            <w:tcW w:w="2725"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20"/>
                <w:sz w:val="21"/>
                <w:szCs w:val="21"/>
              </w:rPr>
              <w:t>马奇异春蜓</w:t>
            </w:r>
            <w:r w:rsidRPr="00F9522B">
              <w:rPr>
                <w:i/>
                <w:iCs/>
                <w:color w:val="auto"/>
                <w:sz w:val="21"/>
                <w:szCs w:val="21"/>
              </w:rPr>
              <w:t xml:space="preserve">Anisogomphus </w:t>
            </w:r>
            <w:r w:rsidRPr="00F9522B">
              <w:rPr>
                <w:i/>
                <w:iCs/>
                <w:color w:val="auto"/>
                <w:spacing w:val="5"/>
                <w:sz w:val="21"/>
                <w:szCs w:val="21"/>
              </w:rPr>
              <w:t>maacki</w:t>
            </w:r>
          </w:p>
        </w:tc>
      </w:tr>
      <w:tr w:rsidR="002A5A5E" w:rsidRPr="00F9522B" w:rsidTr="009B3DA7">
        <w:trPr>
          <w:trHeight w:val="335"/>
        </w:trPr>
        <w:tc>
          <w:tcPr>
            <w:tcW w:w="1405" w:type="dxa"/>
            <w:vMerge/>
            <w:vAlign w:val="center"/>
          </w:tcPr>
          <w:p w:rsidR="002A5A5E" w:rsidRPr="00F9522B" w:rsidRDefault="002A5A5E">
            <w:pPr>
              <w:spacing w:line="0" w:lineRule="atLeast"/>
              <w:jc w:val="center"/>
              <w:rPr>
                <w:szCs w:val="21"/>
              </w:rPr>
            </w:pPr>
          </w:p>
        </w:tc>
        <w:tc>
          <w:tcPr>
            <w:tcW w:w="2043" w:type="dxa"/>
            <w:vMerge/>
            <w:vAlign w:val="center"/>
          </w:tcPr>
          <w:p w:rsidR="002A5A5E" w:rsidRPr="00F9522B" w:rsidRDefault="002A5A5E">
            <w:pPr>
              <w:spacing w:line="0" w:lineRule="atLeast"/>
              <w:jc w:val="center"/>
              <w:rPr>
                <w:szCs w:val="21"/>
              </w:rPr>
            </w:pPr>
          </w:p>
        </w:tc>
        <w:tc>
          <w:tcPr>
            <w:tcW w:w="1975" w:type="dxa"/>
            <w:vMerge/>
            <w:vAlign w:val="center"/>
          </w:tcPr>
          <w:p w:rsidR="002A5A5E" w:rsidRPr="00F9522B" w:rsidRDefault="002A5A5E">
            <w:pPr>
              <w:spacing w:line="0" w:lineRule="atLeast"/>
              <w:jc w:val="center"/>
              <w:rPr>
                <w:szCs w:val="21"/>
              </w:rPr>
            </w:pPr>
          </w:p>
        </w:tc>
        <w:tc>
          <w:tcPr>
            <w:tcW w:w="2725"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2"/>
                <w:position w:val="2"/>
                <w:sz w:val="21"/>
                <w:szCs w:val="21"/>
              </w:rPr>
              <w:t>戴春蜓一种</w:t>
            </w:r>
            <w:r w:rsidRPr="00F9522B">
              <w:rPr>
                <w:i/>
                <w:iCs/>
                <w:color w:val="auto"/>
                <w:position w:val="2"/>
                <w:sz w:val="21"/>
                <w:szCs w:val="21"/>
              </w:rPr>
              <w:t>Davidius</w:t>
            </w:r>
            <w:r w:rsidRPr="00F9522B">
              <w:rPr>
                <w:color w:val="auto"/>
                <w:position w:val="2"/>
                <w:sz w:val="21"/>
                <w:szCs w:val="21"/>
              </w:rPr>
              <w:t>sp</w:t>
            </w:r>
            <w:r w:rsidRPr="00F9522B">
              <w:rPr>
                <w:color w:val="auto"/>
                <w:spacing w:val="12"/>
                <w:position w:val="2"/>
                <w:sz w:val="21"/>
                <w:szCs w:val="21"/>
              </w:rPr>
              <w:t>.</w:t>
            </w:r>
          </w:p>
        </w:tc>
      </w:tr>
      <w:tr w:rsidR="002A5A5E" w:rsidRPr="00F9522B" w:rsidTr="009B3DA7">
        <w:trPr>
          <w:trHeight w:val="335"/>
        </w:trPr>
        <w:tc>
          <w:tcPr>
            <w:tcW w:w="1405" w:type="dxa"/>
            <w:vMerge/>
            <w:vAlign w:val="center"/>
          </w:tcPr>
          <w:p w:rsidR="002A5A5E" w:rsidRPr="00F9522B" w:rsidRDefault="002A5A5E">
            <w:pPr>
              <w:spacing w:line="0" w:lineRule="atLeast"/>
              <w:jc w:val="center"/>
              <w:rPr>
                <w:szCs w:val="21"/>
              </w:rPr>
            </w:pPr>
          </w:p>
        </w:tc>
        <w:tc>
          <w:tcPr>
            <w:tcW w:w="2043" w:type="dxa"/>
            <w:vMerge w:val="restart"/>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5"/>
                <w:sz w:val="21"/>
                <w:szCs w:val="21"/>
              </w:rPr>
              <w:t>双翅目</w:t>
            </w:r>
            <w:r w:rsidRPr="00F9522B">
              <w:rPr>
                <w:color w:val="auto"/>
                <w:sz w:val="21"/>
                <w:szCs w:val="21"/>
              </w:rPr>
              <w:t>Diptera</w:t>
            </w:r>
          </w:p>
        </w:tc>
        <w:tc>
          <w:tcPr>
            <w:tcW w:w="1975"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9"/>
                <w:sz w:val="21"/>
                <w:szCs w:val="21"/>
              </w:rPr>
              <w:t>幽蚊科</w:t>
            </w:r>
            <w:r w:rsidRPr="00F9522B">
              <w:rPr>
                <w:color w:val="auto"/>
                <w:sz w:val="21"/>
                <w:szCs w:val="21"/>
              </w:rPr>
              <w:t>Chaoboridae</w:t>
            </w:r>
          </w:p>
        </w:tc>
        <w:tc>
          <w:tcPr>
            <w:tcW w:w="2725"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2"/>
                <w:position w:val="2"/>
                <w:sz w:val="21"/>
                <w:szCs w:val="21"/>
              </w:rPr>
              <w:t>幽蚊属一种</w:t>
            </w:r>
            <w:r w:rsidRPr="00F9522B">
              <w:rPr>
                <w:i/>
                <w:iCs/>
                <w:color w:val="auto"/>
                <w:position w:val="2"/>
                <w:sz w:val="21"/>
                <w:szCs w:val="21"/>
              </w:rPr>
              <w:t>Chaoborus</w:t>
            </w:r>
            <w:r w:rsidRPr="00F9522B">
              <w:rPr>
                <w:color w:val="auto"/>
                <w:position w:val="2"/>
                <w:sz w:val="21"/>
                <w:szCs w:val="21"/>
              </w:rPr>
              <w:t>sp</w:t>
            </w:r>
            <w:r w:rsidRPr="00F9522B">
              <w:rPr>
                <w:color w:val="auto"/>
                <w:spacing w:val="12"/>
                <w:position w:val="2"/>
                <w:sz w:val="21"/>
                <w:szCs w:val="21"/>
              </w:rPr>
              <w:t>.</w:t>
            </w:r>
          </w:p>
        </w:tc>
      </w:tr>
      <w:tr w:rsidR="002A5A5E" w:rsidRPr="00F9522B" w:rsidTr="009B3DA7">
        <w:trPr>
          <w:trHeight w:val="504"/>
        </w:trPr>
        <w:tc>
          <w:tcPr>
            <w:tcW w:w="1405" w:type="dxa"/>
            <w:vMerge/>
            <w:vAlign w:val="center"/>
          </w:tcPr>
          <w:p w:rsidR="002A5A5E" w:rsidRPr="00F9522B" w:rsidRDefault="002A5A5E">
            <w:pPr>
              <w:spacing w:line="0" w:lineRule="atLeast"/>
              <w:jc w:val="center"/>
              <w:rPr>
                <w:szCs w:val="21"/>
              </w:rPr>
            </w:pPr>
          </w:p>
        </w:tc>
        <w:tc>
          <w:tcPr>
            <w:tcW w:w="2043" w:type="dxa"/>
            <w:vMerge/>
            <w:vAlign w:val="center"/>
          </w:tcPr>
          <w:p w:rsidR="002A5A5E" w:rsidRPr="00F9522B" w:rsidRDefault="002A5A5E">
            <w:pPr>
              <w:spacing w:line="0" w:lineRule="atLeast"/>
              <w:jc w:val="center"/>
              <w:rPr>
                <w:szCs w:val="21"/>
              </w:rPr>
            </w:pPr>
          </w:p>
        </w:tc>
        <w:tc>
          <w:tcPr>
            <w:tcW w:w="1975" w:type="dxa"/>
            <w:vMerge w:val="restart"/>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7"/>
                <w:sz w:val="21"/>
                <w:szCs w:val="21"/>
              </w:rPr>
              <w:t>摇蚊科</w:t>
            </w:r>
            <w:r w:rsidRPr="00F9522B">
              <w:rPr>
                <w:color w:val="auto"/>
                <w:sz w:val="21"/>
                <w:szCs w:val="21"/>
              </w:rPr>
              <w:t>Chironomidae</w:t>
            </w:r>
          </w:p>
        </w:tc>
        <w:tc>
          <w:tcPr>
            <w:tcW w:w="2725"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7"/>
                <w:sz w:val="21"/>
                <w:szCs w:val="21"/>
              </w:rPr>
              <w:t>秋月齿斑摇蚊</w:t>
            </w:r>
          </w:p>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i/>
                <w:iCs/>
                <w:spacing w:val="3"/>
                <w:position w:val="1"/>
                <w:szCs w:val="21"/>
              </w:rPr>
              <w:t>Stictochironomus akizukii</w:t>
            </w:r>
          </w:p>
        </w:tc>
      </w:tr>
      <w:tr w:rsidR="002A5A5E" w:rsidRPr="00F9522B" w:rsidTr="009B3DA7">
        <w:trPr>
          <w:trHeight w:val="335"/>
        </w:trPr>
        <w:tc>
          <w:tcPr>
            <w:tcW w:w="1405" w:type="dxa"/>
            <w:vMerge/>
            <w:vAlign w:val="center"/>
          </w:tcPr>
          <w:p w:rsidR="002A5A5E" w:rsidRPr="00F9522B" w:rsidRDefault="002A5A5E">
            <w:pPr>
              <w:spacing w:line="0" w:lineRule="atLeast"/>
              <w:jc w:val="center"/>
              <w:rPr>
                <w:szCs w:val="21"/>
              </w:rPr>
            </w:pPr>
          </w:p>
        </w:tc>
        <w:tc>
          <w:tcPr>
            <w:tcW w:w="2043" w:type="dxa"/>
            <w:vMerge/>
            <w:vAlign w:val="center"/>
          </w:tcPr>
          <w:p w:rsidR="002A5A5E" w:rsidRPr="00F9522B" w:rsidRDefault="002A5A5E">
            <w:pPr>
              <w:spacing w:line="0" w:lineRule="atLeast"/>
              <w:jc w:val="center"/>
              <w:rPr>
                <w:szCs w:val="21"/>
              </w:rPr>
            </w:pPr>
          </w:p>
        </w:tc>
        <w:tc>
          <w:tcPr>
            <w:tcW w:w="1975" w:type="dxa"/>
            <w:vMerge/>
            <w:vAlign w:val="center"/>
          </w:tcPr>
          <w:p w:rsidR="002A5A5E" w:rsidRPr="00F9522B" w:rsidRDefault="002A5A5E">
            <w:pPr>
              <w:spacing w:line="0" w:lineRule="atLeast"/>
              <w:jc w:val="center"/>
              <w:rPr>
                <w:szCs w:val="21"/>
              </w:rPr>
            </w:pPr>
          </w:p>
        </w:tc>
        <w:tc>
          <w:tcPr>
            <w:tcW w:w="2725"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4"/>
                <w:position w:val="2"/>
                <w:sz w:val="21"/>
                <w:szCs w:val="21"/>
              </w:rPr>
              <w:t>多足摇蚊</w:t>
            </w:r>
            <w:r w:rsidRPr="00F9522B">
              <w:rPr>
                <w:i/>
                <w:iCs/>
                <w:color w:val="auto"/>
                <w:position w:val="2"/>
                <w:sz w:val="21"/>
                <w:szCs w:val="21"/>
              </w:rPr>
              <w:t>Polypedilum</w:t>
            </w:r>
            <w:r w:rsidRPr="00F9522B">
              <w:rPr>
                <w:color w:val="auto"/>
                <w:position w:val="2"/>
                <w:sz w:val="21"/>
                <w:szCs w:val="21"/>
              </w:rPr>
              <w:t>sp</w:t>
            </w:r>
            <w:r w:rsidRPr="00F9522B">
              <w:rPr>
                <w:color w:val="auto"/>
                <w:spacing w:val="14"/>
                <w:position w:val="2"/>
                <w:sz w:val="21"/>
                <w:szCs w:val="21"/>
              </w:rPr>
              <w:t>.</w:t>
            </w:r>
          </w:p>
        </w:tc>
      </w:tr>
      <w:tr w:rsidR="002A5A5E" w:rsidRPr="00F9522B" w:rsidTr="009B3DA7">
        <w:trPr>
          <w:trHeight w:val="335"/>
        </w:trPr>
        <w:tc>
          <w:tcPr>
            <w:tcW w:w="1405" w:type="dxa"/>
            <w:vMerge w:val="restart"/>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7"/>
                <w:sz w:val="21"/>
                <w:szCs w:val="21"/>
              </w:rPr>
              <w:t>软体动物</w:t>
            </w:r>
            <w:r w:rsidRPr="00F9522B">
              <w:rPr>
                <w:color w:val="auto"/>
                <w:spacing w:val="4"/>
                <w:sz w:val="21"/>
                <w:szCs w:val="21"/>
              </w:rPr>
              <w:t>Mollusca</w:t>
            </w:r>
          </w:p>
        </w:tc>
        <w:tc>
          <w:tcPr>
            <w:tcW w:w="2043" w:type="dxa"/>
            <w:vMerge w:val="restart"/>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7"/>
                <w:sz w:val="21"/>
                <w:szCs w:val="21"/>
              </w:rPr>
              <w:t>真瓣鳃目</w:t>
            </w:r>
          </w:p>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4"/>
                <w:szCs w:val="21"/>
              </w:rPr>
              <w:t>Eulamellibranchia</w:t>
            </w:r>
          </w:p>
        </w:tc>
        <w:tc>
          <w:tcPr>
            <w:tcW w:w="1975"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9"/>
                <w:sz w:val="21"/>
                <w:szCs w:val="21"/>
              </w:rPr>
              <w:t>蚌科</w:t>
            </w:r>
            <w:r w:rsidRPr="00F9522B">
              <w:rPr>
                <w:color w:val="auto"/>
                <w:sz w:val="21"/>
                <w:szCs w:val="21"/>
              </w:rPr>
              <w:t>Unionidae</w:t>
            </w:r>
          </w:p>
        </w:tc>
        <w:tc>
          <w:tcPr>
            <w:tcW w:w="2725"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1"/>
                <w:position w:val="2"/>
                <w:sz w:val="21"/>
                <w:szCs w:val="21"/>
              </w:rPr>
              <w:t>圆顶珠蚌</w:t>
            </w:r>
            <w:r w:rsidRPr="00F9522B">
              <w:rPr>
                <w:i/>
                <w:iCs/>
                <w:color w:val="auto"/>
                <w:position w:val="2"/>
                <w:sz w:val="21"/>
                <w:szCs w:val="21"/>
              </w:rPr>
              <w:t>Uniodougladiae</w:t>
            </w:r>
          </w:p>
        </w:tc>
      </w:tr>
      <w:tr w:rsidR="002A5A5E" w:rsidRPr="00F9522B" w:rsidTr="009B3DA7">
        <w:trPr>
          <w:trHeight w:val="335"/>
        </w:trPr>
        <w:tc>
          <w:tcPr>
            <w:tcW w:w="1405" w:type="dxa"/>
            <w:vMerge/>
            <w:vAlign w:val="center"/>
          </w:tcPr>
          <w:p w:rsidR="002A5A5E" w:rsidRPr="00F9522B" w:rsidRDefault="002A5A5E">
            <w:pPr>
              <w:spacing w:line="0" w:lineRule="atLeast"/>
              <w:jc w:val="center"/>
              <w:rPr>
                <w:szCs w:val="21"/>
              </w:rPr>
            </w:pPr>
          </w:p>
        </w:tc>
        <w:tc>
          <w:tcPr>
            <w:tcW w:w="2043" w:type="dxa"/>
            <w:vMerge/>
            <w:vAlign w:val="center"/>
          </w:tcPr>
          <w:p w:rsidR="002A5A5E" w:rsidRPr="00F9522B" w:rsidRDefault="002A5A5E">
            <w:pPr>
              <w:spacing w:line="0" w:lineRule="atLeast"/>
              <w:jc w:val="center"/>
              <w:rPr>
                <w:szCs w:val="21"/>
              </w:rPr>
            </w:pPr>
          </w:p>
        </w:tc>
        <w:tc>
          <w:tcPr>
            <w:tcW w:w="1975"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7"/>
                <w:sz w:val="21"/>
                <w:szCs w:val="21"/>
              </w:rPr>
              <w:t>球蚬科</w:t>
            </w:r>
            <w:r w:rsidRPr="00F9522B">
              <w:rPr>
                <w:color w:val="auto"/>
                <w:sz w:val="21"/>
                <w:szCs w:val="21"/>
              </w:rPr>
              <w:t>Sphaeriidae</w:t>
            </w:r>
          </w:p>
        </w:tc>
        <w:tc>
          <w:tcPr>
            <w:tcW w:w="2725"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20"/>
                <w:position w:val="2"/>
                <w:sz w:val="21"/>
                <w:szCs w:val="21"/>
              </w:rPr>
              <w:t>湖球蚬</w:t>
            </w:r>
            <w:r w:rsidRPr="00F9522B">
              <w:rPr>
                <w:i/>
                <w:iCs/>
                <w:color w:val="auto"/>
                <w:position w:val="2"/>
                <w:sz w:val="21"/>
                <w:szCs w:val="21"/>
              </w:rPr>
              <w:t>Sphaeriumlacustre</w:t>
            </w:r>
          </w:p>
        </w:tc>
      </w:tr>
      <w:tr w:rsidR="002A5A5E" w:rsidRPr="00F9522B" w:rsidTr="009B3DA7">
        <w:trPr>
          <w:trHeight w:val="503"/>
        </w:trPr>
        <w:tc>
          <w:tcPr>
            <w:tcW w:w="1405" w:type="dxa"/>
            <w:vMerge/>
            <w:vAlign w:val="center"/>
          </w:tcPr>
          <w:p w:rsidR="002A5A5E" w:rsidRPr="00F9522B" w:rsidRDefault="002A5A5E">
            <w:pPr>
              <w:spacing w:line="0" w:lineRule="atLeast"/>
              <w:jc w:val="center"/>
              <w:rPr>
                <w:szCs w:val="21"/>
              </w:rPr>
            </w:pPr>
          </w:p>
        </w:tc>
        <w:tc>
          <w:tcPr>
            <w:tcW w:w="2043" w:type="dxa"/>
            <w:vMerge w:val="restart"/>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3"/>
                <w:sz w:val="21"/>
                <w:szCs w:val="21"/>
              </w:rPr>
              <w:t>中腹足目</w:t>
            </w:r>
          </w:p>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4"/>
                <w:szCs w:val="21"/>
              </w:rPr>
              <w:t>Mesogastropoda</w:t>
            </w:r>
          </w:p>
        </w:tc>
        <w:tc>
          <w:tcPr>
            <w:tcW w:w="1975"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8"/>
                <w:sz w:val="21"/>
                <w:szCs w:val="21"/>
              </w:rPr>
              <w:t>田螺科</w:t>
            </w:r>
            <w:r w:rsidRPr="00F9522B">
              <w:rPr>
                <w:color w:val="auto"/>
                <w:sz w:val="21"/>
                <w:szCs w:val="21"/>
              </w:rPr>
              <w:t>Viviparidae</w:t>
            </w:r>
          </w:p>
        </w:tc>
        <w:tc>
          <w:tcPr>
            <w:tcW w:w="2725"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5"/>
                <w:sz w:val="21"/>
                <w:szCs w:val="21"/>
              </w:rPr>
              <w:t>中国圆田螺</w:t>
            </w:r>
            <w:r w:rsidRPr="00F9522B">
              <w:rPr>
                <w:i/>
                <w:iCs/>
                <w:color w:val="auto"/>
                <w:sz w:val="21"/>
                <w:szCs w:val="21"/>
              </w:rPr>
              <w:t xml:space="preserve">Cipangopaludina </w:t>
            </w:r>
            <w:r w:rsidRPr="00F9522B">
              <w:rPr>
                <w:i/>
                <w:iCs/>
                <w:color w:val="auto"/>
                <w:spacing w:val="3"/>
                <w:sz w:val="21"/>
                <w:szCs w:val="21"/>
              </w:rPr>
              <w:t>chinensis</w:t>
            </w:r>
          </w:p>
        </w:tc>
      </w:tr>
      <w:tr w:rsidR="002A5A5E" w:rsidRPr="00F9522B" w:rsidTr="009B3DA7">
        <w:trPr>
          <w:trHeight w:val="504"/>
        </w:trPr>
        <w:tc>
          <w:tcPr>
            <w:tcW w:w="1405" w:type="dxa"/>
            <w:vMerge/>
            <w:vAlign w:val="center"/>
          </w:tcPr>
          <w:p w:rsidR="002A5A5E" w:rsidRPr="00F9522B" w:rsidRDefault="002A5A5E">
            <w:pPr>
              <w:spacing w:line="0" w:lineRule="atLeast"/>
              <w:jc w:val="center"/>
              <w:rPr>
                <w:szCs w:val="21"/>
              </w:rPr>
            </w:pPr>
          </w:p>
        </w:tc>
        <w:tc>
          <w:tcPr>
            <w:tcW w:w="2043" w:type="dxa"/>
            <w:vMerge/>
            <w:vAlign w:val="center"/>
          </w:tcPr>
          <w:p w:rsidR="002A5A5E" w:rsidRPr="00F9522B" w:rsidRDefault="002A5A5E">
            <w:pPr>
              <w:spacing w:line="0" w:lineRule="atLeast"/>
              <w:jc w:val="center"/>
              <w:rPr>
                <w:szCs w:val="21"/>
              </w:rPr>
            </w:pPr>
          </w:p>
        </w:tc>
        <w:tc>
          <w:tcPr>
            <w:tcW w:w="1975"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6"/>
                <w:sz w:val="21"/>
                <w:szCs w:val="21"/>
              </w:rPr>
              <w:t>黑螺科</w:t>
            </w:r>
            <w:r w:rsidRPr="00F9522B">
              <w:rPr>
                <w:color w:val="auto"/>
                <w:sz w:val="21"/>
                <w:szCs w:val="21"/>
              </w:rPr>
              <w:t>Melaniidae</w:t>
            </w:r>
          </w:p>
        </w:tc>
        <w:tc>
          <w:tcPr>
            <w:tcW w:w="2725"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7"/>
                <w:position w:val="2"/>
                <w:sz w:val="21"/>
                <w:szCs w:val="21"/>
              </w:rPr>
              <w:t>黑龙江短沟蜷</w:t>
            </w:r>
            <w:r w:rsidRPr="00F9522B">
              <w:rPr>
                <w:i/>
                <w:iCs/>
                <w:color w:val="auto"/>
                <w:position w:val="2"/>
                <w:sz w:val="21"/>
                <w:szCs w:val="21"/>
              </w:rPr>
              <w:t>Semisulcospira</w:t>
            </w:r>
          </w:p>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i/>
                <w:iCs/>
                <w:spacing w:val="3"/>
                <w:szCs w:val="21"/>
              </w:rPr>
              <w:t>amurensis</w:t>
            </w:r>
          </w:p>
        </w:tc>
      </w:tr>
      <w:tr w:rsidR="002A5A5E" w:rsidRPr="00F9522B" w:rsidTr="009B3DA7">
        <w:trPr>
          <w:trHeight w:val="335"/>
        </w:trPr>
        <w:tc>
          <w:tcPr>
            <w:tcW w:w="1405" w:type="dxa"/>
            <w:vMerge/>
            <w:vAlign w:val="center"/>
          </w:tcPr>
          <w:p w:rsidR="002A5A5E" w:rsidRPr="00F9522B" w:rsidRDefault="002A5A5E">
            <w:pPr>
              <w:spacing w:line="0" w:lineRule="atLeast"/>
              <w:jc w:val="center"/>
              <w:rPr>
                <w:szCs w:val="21"/>
              </w:rPr>
            </w:pPr>
          </w:p>
        </w:tc>
        <w:tc>
          <w:tcPr>
            <w:tcW w:w="2043" w:type="dxa"/>
            <w:vMerge w:val="restart"/>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42"/>
                <w:sz w:val="21"/>
                <w:szCs w:val="21"/>
              </w:rPr>
              <w:t>基眼目</w:t>
            </w:r>
            <w:r w:rsidRPr="00F9522B">
              <w:rPr>
                <w:color w:val="auto"/>
                <w:sz w:val="21"/>
                <w:szCs w:val="21"/>
              </w:rPr>
              <w:t>Basommatophora</w:t>
            </w:r>
          </w:p>
        </w:tc>
        <w:tc>
          <w:tcPr>
            <w:tcW w:w="1975" w:type="dxa"/>
            <w:vMerge w:val="restart"/>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4"/>
                <w:sz w:val="21"/>
                <w:szCs w:val="21"/>
              </w:rPr>
              <w:t>椎实螺科</w:t>
            </w:r>
            <w:r w:rsidRPr="00F9522B">
              <w:rPr>
                <w:color w:val="auto"/>
                <w:sz w:val="21"/>
                <w:szCs w:val="21"/>
              </w:rPr>
              <w:t>Lymnaeidae</w:t>
            </w:r>
          </w:p>
        </w:tc>
        <w:tc>
          <w:tcPr>
            <w:tcW w:w="2725"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2"/>
                <w:position w:val="1"/>
                <w:sz w:val="21"/>
                <w:szCs w:val="21"/>
              </w:rPr>
              <w:t>卵萝卜螺</w:t>
            </w:r>
            <w:r w:rsidRPr="00F9522B">
              <w:rPr>
                <w:i/>
                <w:iCs/>
                <w:color w:val="auto"/>
                <w:spacing w:val="-2"/>
                <w:position w:val="1"/>
                <w:sz w:val="21"/>
                <w:szCs w:val="21"/>
              </w:rPr>
              <w:t>Radix ovata</w:t>
            </w:r>
          </w:p>
        </w:tc>
      </w:tr>
      <w:tr w:rsidR="002A5A5E" w:rsidRPr="00F9522B" w:rsidTr="009B3DA7">
        <w:trPr>
          <w:trHeight w:val="335"/>
        </w:trPr>
        <w:tc>
          <w:tcPr>
            <w:tcW w:w="1405" w:type="dxa"/>
            <w:vMerge/>
            <w:vAlign w:val="center"/>
          </w:tcPr>
          <w:p w:rsidR="002A5A5E" w:rsidRPr="00F9522B" w:rsidRDefault="002A5A5E">
            <w:pPr>
              <w:spacing w:line="0" w:lineRule="atLeast"/>
              <w:jc w:val="center"/>
              <w:rPr>
                <w:szCs w:val="21"/>
              </w:rPr>
            </w:pPr>
          </w:p>
        </w:tc>
        <w:tc>
          <w:tcPr>
            <w:tcW w:w="2043" w:type="dxa"/>
            <w:vMerge/>
            <w:vAlign w:val="center"/>
          </w:tcPr>
          <w:p w:rsidR="002A5A5E" w:rsidRPr="00F9522B" w:rsidRDefault="002A5A5E">
            <w:pPr>
              <w:spacing w:line="0" w:lineRule="atLeast"/>
              <w:jc w:val="center"/>
              <w:rPr>
                <w:szCs w:val="21"/>
              </w:rPr>
            </w:pPr>
          </w:p>
        </w:tc>
        <w:tc>
          <w:tcPr>
            <w:tcW w:w="1975" w:type="dxa"/>
            <w:vMerge/>
            <w:vAlign w:val="center"/>
          </w:tcPr>
          <w:p w:rsidR="002A5A5E" w:rsidRPr="00F9522B" w:rsidRDefault="002A5A5E">
            <w:pPr>
              <w:spacing w:line="0" w:lineRule="atLeast"/>
              <w:jc w:val="center"/>
              <w:rPr>
                <w:szCs w:val="21"/>
              </w:rPr>
            </w:pPr>
          </w:p>
        </w:tc>
        <w:tc>
          <w:tcPr>
            <w:tcW w:w="2725"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7"/>
                <w:position w:val="1"/>
                <w:sz w:val="21"/>
                <w:szCs w:val="21"/>
              </w:rPr>
              <w:t>截口土蜗</w:t>
            </w:r>
            <w:r w:rsidRPr="00F9522B">
              <w:rPr>
                <w:i/>
                <w:iCs/>
                <w:color w:val="auto"/>
                <w:position w:val="1"/>
                <w:sz w:val="21"/>
                <w:szCs w:val="21"/>
              </w:rPr>
              <w:t>Galbatruncatula</w:t>
            </w:r>
          </w:p>
        </w:tc>
      </w:tr>
      <w:tr w:rsidR="002A5A5E" w:rsidRPr="00F9522B" w:rsidTr="009B3DA7">
        <w:trPr>
          <w:trHeight w:val="504"/>
        </w:trPr>
        <w:tc>
          <w:tcPr>
            <w:tcW w:w="1405" w:type="dxa"/>
            <w:vMerge/>
            <w:vAlign w:val="center"/>
          </w:tcPr>
          <w:p w:rsidR="002A5A5E" w:rsidRPr="00F9522B" w:rsidRDefault="002A5A5E">
            <w:pPr>
              <w:spacing w:line="0" w:lineRule="atLeast"/>
              <w:jc w:val="center"/>
              <w:rPr>
                <w:szCs w:val="21"/>
              </w:rPr>
            </w:pPr>
          </w:p>
        </w:tc>
        <w:tc>
          <w:tcPr>
            <w:tcW w:w="2043" w:type="dxa"/>
            <w:vMerge/>
            <w:vAlign w:val="center"/>
          </w:tcPr>
          <w:p w:rsidR="002A5A5E" w:rsidRPr="00F9522B" w:rsidRDefault="002A5A5E">
            <w:pPr>
              <w:spacing w:line="0" w:lineRule="atLeast"/>
              <w:jc w:val="center"/>
              <w:rPr>
                <w:szCs w:val="21"/>
              </w:rPr>
            </w:pPr>
          </w:p>
        </w:tc>
        <w:tc>
          <w:tcPr>
            <w:tcW w:w="1975"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6"/>
                <w:sz w:val="21"/>
                <w:szCs w:val="21"/>
              </w:rPr>
              <w:t>扁蜷螺科</w:t>
            </w:r>
            <w:r w:rsidRPr="00F9522B">
              <w:rPr>
                <w:color w:val="auto"/>
                <w:sz w:val="21"/>
                <w:szCs w:val="21"/>
              </w:rPr>
              <w:t>Planorbidae</w:t>
            </w:r>
          </w:p>
        </w:tc>
        <w:tc>
          <w:tcPr>
            <w:tcW w:w="2725"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2"/>
                <w:sz w:val="21"/>
                <w:szCs w:val="21"/>
              </w:rPr>
              <w:t>半球多脉扁螺</w:t>
            </w:r>
            <w:r w:rsidRPr="00F9522B">
              <w:rPr>
                <w:i/>
                <w:iCs/>
                <w:color w:val="auto"/>
                <w:sz w:val="21"/>
                <w:szCs w:val="21"/>
              </w:rPr>
              <w:t>Polypylis</w:t>
            </w:r>
            <w:r w:rsidRPr="00F9522B">
              <w:rPr>
                <w:i/>
                <w:iCs/>
                <w:color w:val="auto"/>
                <w:spacing w:val="4"/>
                <w:sz w:val="21"/>
                <w:szCs w:val="21"/>
              </w:rPr>
              <w:t xml:space="preserve"> hemisphaerula</w:t>
            </w:r>
          </w:p>
        </w:tc>
      </w:tr>
      <w:tr w:rsidR="002A5A5E" w:rsidRPr="00F9522B" w:rsidTr="009B3DA7">
        <w:trPr>
          <w:trHeight w:val="504"/>
        </w:trPr>
        <w:tc>
          <w:tcPr>
            <w:tcW w:w="1405" w:type="dxa"/>
            <w:vMerge/>
            <w:vAlign w:val="center"/>
          </w:tcPr>
          <w:p w:rsidR="002A5A5E" w:rsidRPr="00F9522B" w:rsidRDefault="002A5A5E">
            <w:pPr>
              <w:spacing w:line="0" w:lineRule="atLeast"/>
              <w:jc w:val="center"/>
              <w:rPr>
                <w:szCs w:val="21"/>
              </w:rPr>
            </w:pPr>
          </w:p>
        </w:tc>
        <w:tc>
          <w:tcPr>
            <w:tcW w:w="2043" w:type="dxa"/>
            <w:vMerge/>
            <w:vAlign w:val="center"/>
          </w:tcPr>
          <w:p w:rsidR="002A5A5E" w:rsidRPr="00F9522B" w:rsidRDefault="002A5A5E">
            <w:pPr>
              <w:spacing w:line="0" w:lineRule="atLeast"/>
              <w:jc w:val="center"/>
              <w:rPr>
                <w:szCs w:val="21"/>
              </w:rPr>
            </w:pPr>
          </w:p>
        </w:tc>
        <w:tc>
          <w:tcPr>
            <w:tcW w:w="1975"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20"/>
                <w:sz w:val="21"/>
                <w:szCs w:val="21"/>
              </w:rPr>
              <w:t>豆螺科</w:t>
            </w:r>
            <w:r w:rsidRPr="00F9522B">
              <w:rPr>
                <w:color w:val="auto"/>
                <w:sz w:val="21"/>
                <w:szCs w:val="21"/>
              </w:rPr>
              <w:t>Bithyniidae</w:t>
            </w:r>
          </w:p>
        </w:tc>
        <w:tc>
          <w:tcPr>
            <w:tcW w:w="2725"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27"/>
                <w:sz w:val="21"/>
                <w:szCs w:val="21"/>
              </w:rPr>
              <w:t>纹绍螺</w:t>
            </w:r>
            <w:r w:rsidRPr="00F9522B">
              <w:rPr>
                <w:i/>
                <w:iCs/>
                <w:color w:val="auto"/>
                <w:sz w:val="21"/>
                <w:szCs w:val="21"/>
              </w:rPr>
              <w:t xml:space="preserve">Parafossarulus </w:t>
            </w:r>
            <w:r w:rsidRPr="00F9522B">
              <w:rPr>
                <w:i/>
                <w:iCs/>
                <w:color w:val="auto"/>
                <w:spacing w:val="3"/>
                <w:sz w:val="21"/>
                <w:szCs w:val="21"/>
              </w:rPr>
              <w:t>striatulus</w:t>
            </w:r>
          </w:p>
        </w:tc>
      </w:tr>
      <w:tr w:rsidR="002A5A5E" w:rsidRPr="00F9522B" w:rsidTr="009B3DA7">
        <w:trPr>
          <w:trHeight w:val="504"/>
        </w:trPr>
        <w:tc>
          <w:tcPr>
            <w:tcW w:w="1405" w:type="dxa"/>
            <w:vMerge w:val="restart"/>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8"/>
                <w:sz w:val="21"/>
                <w:szCs w:val="21"/>
              </w:rPr>
              <w:t>环节动物</w:t>
            </w:r>
            <w:r w:rsidRPr="00F9522B">
              <w:rPr>
                <w:color w:val="auto"/>
                <w:spacing w:val="4"/>
                <w:sz w:val="21"/>
                <w:szCs w:val="21"/>
              </w:rPr>
              <w:t>Annelida</w:t>
            </w:r>
          </w:p>
        </w:tc>
        <w:tc>
          <w:tcPr>
            <w:tcW w:w="2043" w:type="dxa"/>
            <w:vMerge w:val="restart"/>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z w:val="21"/>
                <w:szCs w:val="21"/>
              </w:rPr>
              <w:t>颤蚓目</w:t>
            </w:r>
            <w:r w:rsidRPr="00F9522B">
              <w:rPr>
                <w:color w:val="auto"/>
                <w:sz w:val="21"/>
                <w:szCs w:val="21"/>
              </w:rPr>
              <w:t xml:space="preserve"> Tubificida</w:t>
            </w:r>
          </w:p>
        </w:tc>
        <w:tc>
          <w:tcPr>
            <w:tcW w:w="1975" w:type="dxa"/>
            <w:vMerge w:val="restart"/>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4"/>
                <w:sz w:val="21"/>
                <w:szCs w:val="21"/>
              </w:rPr>
              <w:t>颤蚓科</w:t>
            </w:r>
            <w:r w:rsidRPr="00F9522B">
              <w:rPr>
                <w:color w:val="auto"/>
                <w:sz w:val="21"/>
                <w:szCs w:val="21"/>
              </w:rPr>
              <w:t>Tubificidae</w:t>
            </w:r>
          </w:p>
        </w:tc>
        <w:tc>
          <w:tcPr>
            <w:tcW w:w="2725"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4"/>
                <w:sz w:val="21"/>
                <w:szCs w:val="21"/>
              </w:rPr>
              <w:t>奥特开水丝蚓</w:t>
            </w:r>
            <w:r w:rsidRPr="00F9522B">
              <w:rPr>
                <w:i/>
                <w:iCs/>
                <w:color w:val="auto"/>
                <w:sz w:val="21"/>
                <w:szCs w:val="21"/>
              </w:rPr>
              <w:t xml:space="preserve">Limnodrilus </w:t>
            </w:r>
            <w:r w:rsidRPr="00F9522B">
              <w:rPr>
                <w:i/>
                <w:iCs/>
                <w:color w:val="auto"/>
                <w:spacing w:val="4"/>
                <w:sz w:val="21"/>
                <w:szCs w:val="21"/>
              </w:rPr>
              <w:t>udekemianus</w:t>
            </w:r>
          </w:p>
        </w:tc>
      </w:tr>
      <w:tr w:rsidR="002A5A5E" w:rsidRPr="00F9522B" w:rsidTr="009B3DA7">
        <w:trPr>
          <w:trHeight w:val="503"/>
        </w:trPr>
        <w:tc>
          <w:tcPr>
            <w:tcW w:w="1405" w:type="dxa"/>
            <w:vMerge/>
            <w:vAlign w:val="center"/>
          </w:tcPr>
          <w:p w:rsidR="002A5A5E" w:rsidRPr="00F9522B" w:rsidRDefault="002A5A5E">
            <w:pPr>
              <w:spacing w:line="0" w:lineRule="atLeast"/>
              <w:jc w:val="center"/>
              <w:rPr>
                <w:szCs w:val="21"/>
              </w:rPr>
            </w:pPr>
          </w:p>
        </w:tc>
        <w:tc>
          <w:tcPr>
            <w:tcW w:w="2043" w:type="dxa"/>
            <w:vMerge/>
            <w:vAlign w:val="center"/>
          </w:tcPr>
          <w:p w:rsidR="002A5A5E" w:rsidRPr="00F9522B" w:rsidRDefault="002A5A5E">
            <w:pPr>
              <w:spacing w:line="0" w:lineRule="atLeast"/>
              <w:jc w:val="center"/>
              <w:rPr>
                <w:szCs w:val="21"/>
              </w:rPr>
            </w:pPr>
          </w:p>
        </w:tc>
        <w:tc>
          <w:tcPr>
            <w:tcW w:w="1975" w:type="dxa"/>
            <w:vMerge/>
            <w:vAlign w:val="center"/>
          </w:tcPr>
          <w:p w:rsidR="002A5A5E" w:rsidRPr="00F9522B" w:rsidRDefault="002A5A5E">
            <w:pPr>
              <w:spacing w:line="0" w:lineRule="atLeast"/>
              <w:jc w:val="center"/>
              <w:rPr>
                <w:szCs w:val="21"/>
              </w:rPr>
            </w:pPr>
          </w:p>
        </w:tc>
        <w:tc>
          <w:tcPr>
            <w:tcW w:w="2725"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27"/>
                <w:sz w:val="21"/>
                <w:szCs w:val="21"/>
              </w:rPr>
              <w:t>苏氏尾鳃蚓</w:t>
            </w:r>
            <w:r w:rsidRPr="00F9522B">
              <w:rPr>
                <w:i/>
                <w:iCs/>
                <w:color w:val="auto"/>
                <w:sz w:val="21"/>
                <w:szCs w:val="21"/>
              </w:rPr>
              <w:t>Branchiura</w:t>
            </w:r>
            <w:r w:rsidRPr="00F9522B">
              <w:rPr>
                <w:i/>
                <w:iCs/>
                <w:color w:val="auto"/>
                <w:spacing w:val="4"/>
                <w:sz w:val="21"/>
                <w:szCs w:val="21"/>
              </w:rPr>
              <w:t>sowerbyi</w:t>
            </w:r>
          </w:p>
        </w:tc>
      </w:tr>
      <w:tr w:rsidR="002A5A5E" w:rsidRPr="00F9522B" w:rsidTr="009B3DA7">
        <w:trPr>
          <w:trHeight w:val="504"/>
        </w:trPr>
        <w:tc>
          <w:tcPr>
            <w:tcW w:w="1405" w:type="dxa"/>
            <w:vMerge/>
            <w:vAlign w:val="center"/>
          </w:tcPr>
          <w:p w:rsidR="002A5A5E" w:rsidRPr="00F9522B" w:rsidRDefault="002A5A5E">
            <w:pPr>
              <w:spacing w:line="0" w:lineRule="atLeast"/>
              <w:jc w:val="center"/>
              <w:rPr>
                <w:szCs w:val="21"/>
              </w:rPr>
            </w:pPr>
          </w:p>
        </w:tc>
        <w:tc>
          <w:tcPr>
            <w:tcW w:w="2043"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6"/>
                <w:sz w:val="21"/>
                <w:szCs w:val="21"/>
              </w:rPr>
              <w:t>无吻蛭目</w:t>
            </w:r>
          </w:p>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4"/>
                <w:szCs w:val="21"/>
              </w:rPr>
              <w:t>Arhynchobdellida</w:t>
            </w:r>
          </w:p>
        </w:tc>
        <w:tc>
          <w:tcPr>
            <w:tcW w:w="1975"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22"/>
                <w:sz w:val="21"/>
                <w:szCs w:val="21"/>
              </w:rPr>
              <w:t>舌蛭科</w:t>
            </w:r>
            <w:r w:rsidRPr="00F9522B">
              <w:rPr>
                <w:color w:val="auto"/>
                <w:sz w:val="21"/>
                <w:szCs w:val="21"/>
              </w:rPr>
              <w:t>Glossiphoniidae</w:t>
            </w:r>
          </w:p>
        </w:tc>
        <w:tc>
          <w:tcPr>
            <w:tcW w:w="2725"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9"/>
                <w:position w:val="1"/>
                <w:sz w:val="21"/>
                <w:szCs w:val="21"/>
              </w:rPr>
              <w:t>静泽蛭</w:t>
            </w:r>
            <w:r w:rsidRPr="00F9522B">
              <w:rPr>
                <w:i/>
                <w:iCs/>
                <w:color w:val="auto"/>
                <w:position w:val="1"/>
                <w:sz w:val="21"/>
                <w:szCs w:val="21"/>
              </w:rPr>
              <w:t>Helobdellanuda</w:t>
            </w:r>
          </w:p>
        </w:tc>
      </w:tr>
      <w:tr w:rsidR="002A5A5E" w:rsidRPr="00F9522B" w:rsidTr="009B3DA7">
        <w:trPr>
          <w:trHeight w:val="504"/>
        </w:trPr>
        <w:tc>
          <w:tcPr>
            <w:tcW w:w="1405" w:type="dxa"/>
            <w:vMerge w:val="restart"/>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
                <w:sz w:val="21"/>
                <w:szCs w:val="21"/>
              </w:rPr>
              <w:t>甲壳动物</w:t>
            </w:r>
          </w:p>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3"/>
                <w:szCs w:val="21"/>
              </w:rPr>
              <w:t>Crustacean</w:t>
            </w:r>
          </w:p>
        </w:tc>
        <w:tc>
          <w:tcPr>
            <w:tcW w:w="2043" w:type="dxa"/>
            <w:vMerge w:val="restart"/>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8"/>
                <w:sz w:val="21"/>
                <w:szCs w:val="21"/>
              </w:rPr>
              <w:t>十足目</w:t>
            </w:r>
            <w:r w:rsidRPr="00F9522B">
              <w:rPr>
                <w:color w:val="auto"/>
                <w:sz w:val="21"/>
                <w:szCs w:val="21"/>
              </w:rPr>
              <w:t>Decapoda</w:t>
            </w:r>
          </w:p>
        </w:tc>
        <w:tc>
          <w:tcPr>
            <w:tcW w:w="1975" w:type="dxa"/>
            <w:vMerge w:val="restart"/>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20"/>
                <w:sz w:val="21"/>
                <w:szCs w:val="21"/>
              </w:rPr>
              <w:t>长臂虾科</w:t>
            </w:r>
            <w:r w:rsidRPr="00F9522B">
              <w:rPr>
                <w:color w:val="auto"/>
                <w:sz w:val="21"/>
                <w:szCs w:val="21"/>
              </w:rPr>
              <w:t>Palaemonidae</w:t>
            </w:r>
          </w:p>
        </w:tc>
        <w:tc>
          <w:tcPr>
            <w:tcW w:w="2725"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8"/>
                <w:sz w:val="21"/>
                <w:szCs w:val="21"/>
              </w:rPr>
              <w:t>中华齿米虾</w:t>
            </w:r>
            <w:r w:rsidRPr="00F9522B">
              <w:rPr>
                <w:i/>
                <w:iCs/>
                <w:color w:val="auto"/>
                <w:sz w:val="21"/>
                <w:szCs w:val="21"/>
              </w:rPr>
              <w:t xml:space="preserve">Caridina </w:t>
            </w:r>
            <w:r w:rsidRPr="00F9522B">
              <w:rPr>
                <w:i/>
                <w:iCs/>
                <w:color w:val="auto"/>
                <w:spacing w:val="3"/>
                <w:sz w:val="21"/>
                <w:szCs w:val="21"/>
              </w:rPr>
              <w:t>denticulate sinensisi</w:t>
            </w:r>
          </w:p>
        </w:tc>
      </w:tr>
      <w:tr w:rsidR="002A5A5E" w:rsidRPr="00F9522B" w:rsidTr="009B3DA7">
        <w:trPr>
          <w:trHeight w:val="504"/>
        </w:trPr>
        <w:tc>
          <w:tcPr>
            <w:tcW w:w="1405" w:type="dxa"/>
            <w:vMerge/>
            <w:vAlign w:val="center"/>
          </w:tcPr>
          <w:p w:rsidR="002A5A5E" w:rsidRPr="00F9522B" w:rsidRDefault="002A5A5E">
            <w:pPr>
              <w:spacing w:line="0" w:lineRule="atLeast"/>
              <w:jc w:val="center"/>
              <w:rPr>
                <w:szCs w:val="21"/>
              </w:rPr>
            </w:pPr>
          </w:p>
        </w:tc>
        <w:tc>
          <w:tcPr>
            <w:tcW w:w="2043" w:type="dxa"/>
            <w:vMerge/>
            <w:vAlign w:val="center"/>
          </w:tcPr>
          <w:p w:rsidR="002A5A5E" w:rsidRPr="00F9522B" w:rsidRDefault="002A5A5E">
            <w:pPr>
              <w:spacing w:line="0" w:lineRule="atLeast"/>
              <w:jc w:val="center"/>
              <w:rPr>
                <w:szCs w:val="21"/>
              </w:rPr>
            </w:pPr>
          </w:p>
        </w:tc>
        <w:tc>
          <w:tcPr>
            <w:tcW w:w="1975" w:type="dxa"/>
            <w:vMerge/>
            <w:vAlign w:val="center"/>
          </w:tcPr>
          <w:p w:rsidR="002A5A5E" w:rsidRPr="00F9522B" w:rsidRDefault="002A5A5E">
            <w:pPr>
              <w:spacing w:line="0" w:lineRule="atLeast"/>
              <w:jc w:val="center"/>
              <w:rPr>
                <w:szCs w:val="21"/>
              </w:rPr>
            </w:pPr>
          </w:p>
        </w:tc>
        <w:tc>
          <w:tcPr>
            <w:tcW w:w="2725"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26"/>
                <w:position w:val="1"/>
                <w:sz w:val="21"/>
                <w:szCs w:val="21"/>
              </w:rPr>
              <w:t>日本沼虾</w:t>
            </w:r>
            <w:r w:rsidRPr="00F9522B">
              <w:rPr>
                <w:i/>
                <w:iCs/>
                <w:color w:val="auto"/>
                <w:position w:val="1"/>
                <w:sz w:val="21"/>
                <w:szCs w:val="21"/>
              </w:rPr>
              <w:t>Macrobrachium</w:t>
            </w:r>
          </w:p>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i/>
                <w:iCs/>
                <w:spacing w:val="4"/>
                <w:szCs w:val="21"/>
              </w:rPr>
              <w:t>nipponense</w:t>
            </w:r>
          </w:p>
        </w:tc>
      </w:tr>
      <w:tr w:rsidR="002A5A5E" w:rsidRPr="00F9522B" w:rsidTr="009B3DA7">
        <w:trPr>
          <w:trHeight w:val="336"/>
        </w:trPr>
        <w:tc>
          <w:tcPr>
            <w:tcW w:w="1405" w:type="dxa"/>
            <w:vMerge/>
            <w:vAlign w:val="center"/>
          </w:tcPr>
          <w:p w:rsidR="002A5A5E" w:rsidRPr="00F9522B" w:rsidRDefault="002A5A5E">
            <w:pPr>
              <w:spacing w:line="0" w:lineRule="atLeast"/>
              <w:jc w:val="center"/>
              <w:rPr>
                <w:szCs w:val="21"/>
              </w:rPr>
            </w:pPr>
          </w:p>
        </w:tc>
        <w:tc>
          <w:tcPr>
            <w:tcW w:w="2043" w:type="dxa"/>
            <w:vMerge/>
            <w:vAlign w:val="center"/>
          </w:tcPr>
          <w:p w:rsidR="002A5A5E" w:rsidRPr="00F9522B" w:rsidRDefault="002A5A5E">
            <w:pPr>
              <w:spacing w:line="0" w:lineRule="atLeast"/>
              <w:jc w:val="center"/>
              <w:rPr>
                <w:szCs w:val="21"/>
              </w:rPr>
            </w:pPr>
          </w:p>
        </w:tc>
        <w:tc>
          <w:tcPr>
            <w:tcW w:w="1975" w:type="dxa"/>
            <w:vMerge/>
            <w:vAlign w:val="center"/>
          </w:tcPr>
          <w:p w:rsidR="002A5A5E" w:rsidRPr="00F9522B" w:rsidRDefault="002A5A5E">
            <w:pPr>
              <w:spacing w:line="0" w:lineRule="atLeast"/>
              <w:jc w:val="center"/>
              <w:rPr>
                <w:szCs w:val="21"/>
              </w:rPr>
            </w:pPr>
          </w:p>
        </w:tc>
        <w:tc>
          <w:tcPr>
            <w:tcW w:w="2725"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22"/>
                <w:position w:val="1"/>
                <w:sz w:val="21"/>
                <w:szCs w:val="21"/>
              </w:rPr>
              <w:t>秀丽白虾</w:t>
            </w:r>
            <w:r w:rsidRPr="00F9522B">
              <w:rPr>
                <w:i/>
                <w:iCs/>
                <w:color w:val="auto"/>
                <w:position w:val="1"/>
                <w:sz w:val="21"/>
                <w:szCs w:val="21"/>
              </w:rPr>
              <w:t>Palaemonmodestus</w:t>
            </w:r>
          </w:p>
        </w:tc>
      </w:tr>
      <w:tr w:rsidR="002A5A5E" w:rsidRPr="00F9522B" w:rsidTr="009B3DA7">
        <w:trPr>
          <w:trHeight w:val="358"/>
        </w:trPr>
        <w:tc>
          <w:tcPr>
            <w:tcW w:w="1405" w:type="dxa"/>
            <w:vMerge/>
            <w:vAlign w:val="center"/>
          </w:tcPr>
          <w:p w:rsidR="002A5A5E" w:rsidRPr="00F9522B" w:rsidRDefault="002A5A5E">
            <w:pPr>
              <w:spacing w:line="0" w:lineRule="atLeast"/>
              <w:jc w:val="center"/>
              <w:rPr>
                <w:szCs w:val="21"/>
              </w:rPr>
            </w:pPr>
          </w:p>
        </w:tc>
        <w:tc>
          <w:tcPr>
            <w:tcW w:w="2043"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22"/>
                <w:sz w:val="21"/>
                <w:szCs w:val="21"/>
              </w:rPr>
              <w:t>端足目</w:t>
            </w:r>
            <w:r w:rsidRPr="00F9522B">
              <w:rPr>
                <w:color w:val="auto"/>
                <w:sz w:val="21"/>
                <w:szCs w:val="21"/>
              </w:rPr>
              <w:t>Amphipoda</w:t>
            </w:r>
          </w:p>
        </w:tc>
        <w:tc>
          <w:tcPr>
            <w:tcW w:w="1975"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9"/>
                <w:sz w:val="21"/>
                <w:szCs w:val="21"/>
              </w:rPr>
              <w:t>钩虾科</w:t>
            </w:r>
            <w:r w:rsidRPr="00F9522B">
              <w:rPr>
                <w:color w:val="auto"/>
                <w:sz w:val="21"/>
                <w:szCs w:val="21"/>
              </w:rPr>
              <w:t>Gammaridae</w:t>
            </w:r>
          </w:p>
        </w:tc>
        <w:tc>
          <w:tcPr>
            <w:tcW w:w="2725"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3"/>
                <w:sz w:val="21"/>
                <w:szCs w:val="21"/>
              </w:rPr>
              <w:t>钩虾</w:t>
            </w:r>
            <w:r w:rsidRPr="00F9522B">
              <w:rPr>
                <w:i/>
                <w:iCs/>
                <w:color w:val="auto"/>
                <w:sz w:val="21"/>
                <w:szCs w:val="21"/>
              </w:rPr>
              <w:t>Gammarus</w:t>
            </w:r>
            <w:r w:rsidRPr="00F9522B">
              <w:rPr>
                <w:color w:val="auto"/>
                <w:sz w:val="21"/>
                <w:szCs w:val="21"/>
              </w:rPr>
              <w:t>sp</w:t>
            </w:r>
            <w:r w:rsidRPr="00F9522B">
              <w:rPr>
                <w:color w:val="auto"/>
                <w:spacing w:val="13"/>
                <w:sz w:val="21"/>
                <w:szCs w:val="21"/>
              </w:rPr>
              <w:t>.</w:t>
            </w:r>
          </w:p>
        </w:tc>
      </w:tr>
    </w:tbl>
    <w:p w:rsidR="002A5A5E" w:rsidRPr="00F9522B" w:rsidRDefault="005273A1" w:rsidP="00611CBA">
      <w:pPr>
        <w:pStyle w:val="ab"/>
        <w:spacing w:after="0" w:line="360" w:lineRule="auto"/>
        <w:ind w:firstLineChars="147" w:firstLine="354"/>
        <w:rPr>
          <w:sz w:val="24"/>
        </w:rPr>
      </w:pPr>
      <w:r w:rsidRPr="00F9522B">
        <w:rPr>
          <w:b/>
          <w:bCs/>
          <w:spacing w:val="-5"/>
          <w:sz w:val="24"/>
        </w:rPr>
        <w:fldChar w:fldCharType="begin"/>
      </w:r>
      <w:r w:rsidR="00611CBA" w:rsidRPr="00F9522B">
        <w:rPr>
          <w:b/>
          <w:bCs/>
          <w:spacing w:val="-5"/>
          <w:sz w:val="24"/>
        </w:rPr>
        <w:instrText xml:space="preserve"> = 2 \* GB3 </w:instrText>
      </w:r>
      <w:r w:rsidRPr="00F9522B">
        <w:rPr>
          <w:b/>
          <w:bCs/>
          <w:spacing w:val="-5"/>
          <w:sz w:val="24"/>
        </w:rPr>
        <w:fldChar w:fldCharType="separate"/>
      </w:r>
      <w:r w:rsidR="00611CBA" w:rsidRPr="00F9522B">
        <w:rPr>
          <w:rFonts w:ascii="宋体" w:hAnsi="宋体" w:cs="宋体" w:hint="eastAsia"/>
          <w:b/>
          <w:bCs/>
          <w:spacing w:val="-5"/>
          <w:sz w:val="24"/>
        </w:rPr>
        <w:t>②</w:t>
      </w:r>
      <w:r w:rsidRPr="00F9522B">
        <w:rPr>
          <w:b/>
          <w:bCs/>
          <w:spacing w:val="-5"/>
          <w:sz w:val="24"/>
        </w:rPr>
        <w:fldChar w:fldCharType="end"/>
      </w:r>
      <w:r w:rsidR="00611CBA" w:rsidRPr="00F9522B">
        <w:rPr>
          <w:b/>
          <w:bCs/>
          <w:spacing w:val="-5"/>
          <w:sz w:val="24"/>
        </w:rPr>
        <w:t>优势种类</w:t>
      </w:r>
    </w:p>
    <w:p w:rsidR="002A5A5E" w:rsidRPr="00F9522B" w:rsidRDefault="00611CBA">
      <w:pPr>
        <w:pStyle w:val="ab"/>
        <w:spacing w:after="0" w:line="360" w:lineRule="auto"/>
        <w:ind w:firstLineChars="200" w:firstLine="576"/>
        <w:rPr>
          <w:sz w:val="24"/>
        </w:rPr>
      </w:pPr>
      <w:r w:rsidRPr="00F9522B">
        <w:rPr>
          <w:spacing w:val="24"/>
          <w:sz w:val="24"/>
        </w:rPr>
        <w:t>春季调查期间，评价水域底栖动物优势种和常见种主要有黑龙江短沟蜷</w:t>
      </w:r>
      <w:r w:rsidRPr="00F9522B">
        <w:rPr>
          <w:i/>
          <w:iCs/>
          <w:sz w:val="24"/>
        </w:rPr>
        <w:t xml:space="preserve">Semisulcospira amurensis </w:t>
      </w:r>
      <w:r w:rsidRPr="00F9522B">
        <w:rPr>
          <w:sz w:val="24"/>
        </w:rPr>
        <w:t>和小划蝽</w:t>
      </w:r>
      <w:r w:rsidRPr="00F9522B">
        <w:rPr>
          <w:i/>
          <w:iCs/>
          <w:sz w:val="24"/>
        </w:rPr>
        <w:t>Sigara</w:t>
      </w:r>
      <w:r w:rsidRPr="00F9522B">
        <w:rPr>
          <w:i/>
          <w:iCs/>
          <w:spacing w:val="-1"/>
          <w:sz w:val="24"/>
        </w:rPr>
        <w:t xml:space="preserve"> substriata</w:t>
      </w:r>
      <w:r w:rsidRPr="00F9522B">
        <w:rPr>
          <w:i/>
          <w:iCs/>
          <w:spacing w:val="-1"/>
          <w:sz w:val="24"/>
        </w:rPr>
        <w:t>。</w:t>
      </w:r>
      <w:r w:rsidRPr="00F9522B">
        <w:rPr>
          <w:iCs/>
          <w:spacing w:val="-1"/>
          <w:sz w:val="24"/>
        </w:rPr>
        <w:t>秋季</w:t>
      </w:r>
      <w:r w:rsidRPr="00F9522B">
        <w:rPr>
          <w:spacing w:val="40"/>
          <w:sz w:val="24"/>
        </w:rPr>
        <w:t>调查期间，评价水域底栖动物优势种和常见</w:t>
      </w:r>
      <w:r w:rsidRPr="00F9522B">
        <w:rPr>
          <w:spacing w:val="39"/>
          <w:sz w:val="24"/>
        </w:rPr>
        <w:t>种主要有黑龙江短沟蜷</w:t>
      </w:r>
      <w:r w:rsidRPr="00F9522B">
        <w:rPr>
          <w:i/>
          <w:iCs/>
          <w:spacing w:val="-1"/>
          <w:sz w:val="24"/>
        </w:rPr>
        <w:lastRenderedPageBreak/>
        <w:t>Semisulcospira amurensis</w:t>
      </w:r>
      <w:r w:rsidRPr="00F9522B">
        <w:rPr>
          <w:spacing w:val="-1"/>
          <w:sz w:val="24"/>
        </w:rPr>
        <w:t>、扁蚴蜉</w:t>
      </w:r>
      <w:r w:rsidRPr="00F9522B">
        <w:rPr>
          <w:i/>
          <w:iCs/>
          <w:spacing w:val="-1"/>
          <w:sz w:val="24"/>
        </w:rPr>
        <w:t xml:space="preserve">Ecdyonurus </w:t>
      </w:r>
      <w:r w:rsidRPr="00F9522B">
        <w:rPr>
          <w:spacing w:val="-1"/>
          <w:sz w:val="24"/>
        </w:rPr>
        <w:t>sp.</w:t>
      </w:r>
      <w:r w:rsidRPr="00F9522B">
        <w:rPr>
          <w:spacing w:val="-1"/>
          <w:sz w:val="24"/>
        </w:rPr>
        <w:t>和湖生短丝蜉</w:t>
      </w:r>
      <w:r w:rsidRPr="00F9522B">
        <w:rPr>
          <w:i/>
          <w:iCs/>
          <w:spacing w:val="-1"/>
          <w:sz w:val="24"/>
        </w:rPr>
        <w:t>Siphlonurus lacus</w:t>
      </w:r>
      <w:r w:rsidRPr="00F9522B">
        <w:rPr>
          <w:i/>
          <w:iCs/>
          <w:spacing w:val="-2"/>
          <w:sz w:val="24"/>
        </w:rPr>
        <w:t>tris</w:t>
      </w:r>
      <w:r w:rsidRPr="00F9522B">
        <w:rPr>
          <w:i/>
          <w:iCs/>
          <w:spacing w:val="-2"/>
          <w:sz w:val="24"/>
        </w:rPr>
        <w:t>。</w:t>
      </w:r>
    </w:p>
    <w:p w:rsidR="002A5A5E" w:rsidRPr="00F9522B" w:rsidRDefault="005273A1" w:rsidP="00611CBA">
      <w:pPr>
        <w:pStyle w:val="ab"/>
        <w:spacing w:after="0" w:line="360" w:lineRule="auto"/>
        <w:ind w:firstLineChars="200" w:firstLine="482"/>
        <w:rPr>
          <w:sz w:val="24"/>
        </w:rPr>
      </w:pPr>
      <w:r w:rsidRPr="00F9522B">
        <w:rPr>
          <w:b/>
          <w:bCs/>
          <w:spacing w:val="-7"/>
          <w:sz w:val="24"/>
        </w:rPr>
        <w:fldChar w:fldCharType="begin"/>
      </w:r>
      <w:r w:rsidR="00611CBA" w:rsidRPr="00F9522B">
        <w:rPr>
          <w:b/>
          <w:bCs/>
          <w:spacing w:val="-7"/>
          <w:sz w:val="24"/>
        </w:rPr>
        <w:instrText xml:space="preserve"> = 3 \* GB3 </w:instrText>
      </w:r>
      <w:r w:rsidRPr="00F9522B">
        <w:rPr>
          <w:b/>
          <w:bCs/>
          <w:spacing w:val="-7"/>
          <w:sz w:val="24"/>
        </w:rPr>
        <w:fldChar w:fldCharType="separate"/>
      </w:r>
      <w:r w:rsidR="00611CBA" w:rsidRPr="00F9522B">
        <w:rPr>
          <w:rFonts w:ascii="宋体" w:hAnsi="宋体" w:cs="宋体" w:hint="eastAsia"/>
          <w:b/>
          <w:bCs/>
          <w:spacing w:val="-7"/>
          <w:sz w:val="24"/>
        </w:rPr>
        <w:t>③</w:t>
      </w:r>
      <w:r w:rsidRPr="00F9522B">
        <w:rPr>
          <w:b/>
          <w:bCs/>
          <w:spacing w:val="-7"/>
          <w:sz w:val="24"/>
        </w:rPr>
        <w:fldChar w:fldCharType="end"/>
      </w:r>
      <w:r w:rsidR="00611CBA" w:rsidRPr="00F9522B">
        <w:rPr>
          <w:b/>
          <w:bCs/>
          <w:spacing w:val="-7"/>
          <w:sz w:val="24"/>
        </w:rPr>
        <w:t>密度</w:t>
      </w:r>
    </w:p>
    <w:p w:rsidR="002A5A5E" w:rsidRPr="00F9522B" w:rsidRDefault="00611CBA">
      <w:pPr>
        <w:pStyle w:val="ab"/>
        <w:spacing w:after="0" w:line="360" w:lineRule="auto"/>
        <w:ind w:firstLineChars="200" w:firstLine="476"/>
        <w:rPr>
          <w:spacing w:val="-1"/>
          <w:sz w:val="24"/>
        </w:rPr>
      </w:pPr>
      <w:r w:rsidRPr="00F9522B">
        <w:rPr>
          <w:spacing w:val="-1"/>
          <w:sz w:val="24"/>
        </w:rPr>
        <w:t>春季调查期间，评价水域底栖动物总平均密度为</w:t>
      </w:r>
      <w:r w:rsidR="00667144" w:rsidRPr="00F9522B">
        <w:rPr>
          <w:spacing w:val="-1"/>
          <w:sz w:val="24"/>
        </w:rPr>
        <w:t>8</w:t>
      </w:r>
      <w:r w:rsidRPr="00F9522B">
        <w:rPr>
          <w:spacing w:val="-1"/>
          <w:sz w:val="24"/>
        </w:rPr>
        <w:t>9.8ind./m</w:t>
      </w:r>
      <w:r w:rsidRPr="00F9522B">
        <w:rPr>
          <w:sz w:val="24"/>
          <w:vertAlign w:val="superscript"/>
        </w:rPr>
        <w:t>2</w:t>
      </w:r>
      <w:r w:rsidRPr="00F9522B">
        <w:rPr>
          <w:spacing w:val="-1"/>
          <w:sz w:val="24"/>
        </w:rPr>
        <w:t>，环节动物密度最高为</w:t>
      </w:r>
      <w:r w:rsidR="00667144" w:rsidRPr="00F9522B">
        <w:rPr>
          <w:spacing w:val="-1"/>
          <w:sz w:val="24"/>
        </w:rPr>
        <w:t>4</w:t>
      </w:r>
      <w:r w:rsidRPr="00F9522B">
        <w:rPr>
          <w:spacing w:val="-1"/>
          <w:sz w:val="24"/>
        </w:rPr>
        <w:t>3.2ind./m</w:t>
      </w:r>
      <w:r w:rsidRPr="00F9522B">
        <w:rPr>
          <w:sz w:val="24"/>
          <w:vertAlign w:val="superscript"/>
        </w:rPr>
        <w:t>2</w:t>
      </w:r>
      <w:r w:rsidRPr="00F9522B">
        <w:rPr>
          <w:spacing w:val="-1"/>
          <w:sz w:val="24"/>
        </w:rPr>
        <w:t>，水生昆虫为</w:t>
      </w:r>
      <w:r w:rsidR="00667144" w:rsidRPr="00F9522B">
        <w:rPr>
          <w:spacing w:val="-1"/>
          <w:sz w:val="24"/>
        </w:rPr>
        <w:t>2</w:t>
      </w:r>
      <w:r w:rsidRPr="00F9522B">
        <w:rPr>
          <w:spacing w:val="-1"/>
          <w:sz w:val="24"/>
        </w:rPr>
        <w:t>8.4ind./m</w:t>
      </w:r>
      <w:r w:rsidRPr="00F9522B">
        <w:rPr>
          <w:sz w:val="24"/>
          <w:vertAlign w:val="superscript"/>
        </w:rPr>
        <w:t>2</w:t>
      </w:r>
      <w:r w:rsidRPr="00F9522B">
        <w:rPr>
          <w:spacing w:val="-1"/>
          <w:sz w:val="24"/>
        </w:rPr>
        <w:t>，软体动物为</w:t>
      </w:r>
      <w:r w:rsidR="00667144" w:rsidRPr="00F9522B">
        <w:rPr>
          <w:spacing w:val="-1"/>
          <w:sz w:val="24"/>
        </w:rPr>
        <w:t>8</w:t>
      </w:r>
      <w:r w:rsidRPr="00F9522B">
        <w:rPr>
          <w:spacing w:val="-1"/>
          <w:sz w:val="24"/>
        </w:rPr>
        <w:t>.7ind./m</w:t>
      </w:r>
      <w:r w:rsidRPr="00F9522B">
        <w:rPr>
          <w:sz w:val="24"/>
          <w:vertAlign w:val="superscript"/>
        </w:rPr>
        <w:t>2</w:t>
      </w:r>
      <w:r w:rsidRPr="00F9522B">
        <w:rPr>
          <w:spacing w:val="-1"/>
          <w:sz w:val="24"/>
        </w:rPr>
        <w:t>，甲壳动物为</w:t>
      </w:r>
      <w:r w:rsidR="00667144" w:rsidRPr="00F9522B">
        <w:rPr>
          <w:spacing w:val="-1"/>
          <w:sz w:val="24"/>
        </w:rPr>
        <w:t>6</w:t>
      </w:r>
      <w:r w:rsidRPr="00F9522B">
        <w:rPr>
          <w:spacing w:val="-1"/>
          <w:sz w:val="24"/>
        </w:rPr>
        <w:t>.5ind./m</w:t>
      </w:r>
      <w:r w:rsidRPr="00F9522B">
        <w:rPr>
          <w:sz w:val="24"/>
          <w:vertAlign w:val="superscript"/>
        </w:rPr>
        <w:t>2</w:t>
      </w:r>
      <w:r w:rsidRPr="00F9522B">
        <w:rPr>
          <w:spacing w:val="-1"/>
          <w:sz w:val="24"/>
        </w:rPr>
        <w:t>。</w:t>
      </w:r>
      <w:r w:rsidRPr="00F9522B">
        <w:rPr>
          <w:spacing w:val="2"/>
          <w:sz w:val="24"/>
        </w:rPr>
        <w:t>秋</w:t>
      </w:r>
      <w:r w:rsidRPr="00F9522B">
        <w:rPr>
          <w:spacing w:val="-1"/>
          <w:sz w:val="24"/>
        </w:rPr>
        <w:t>季调查期间，评价水域底栖动物总平均密度为</w:t>
      </w:r>
      <w:r w:rsidR="00667144" w:rsidRPr="00F9522B">
        <w:rPr>
          <w:spacing w:val="-1"/>
          <w:sz w:val="24"/>
        </w:rPr>
        <w:t>10</w:t>
      </w:r>
      <w:r w:rsidRPr="00F9522B">
        <w:rPr>
          <w:spacing w:val="-1"/>
          <w:sz w:val="24"/>
        </w:rPr>
        <w:t>9.6ind./m</w:t>
      </w:r>
      <w:r w:rsidRPr="00F9522B">
        <w:rPr>
          <w:sz w:val="24"/>
          <w:vertAlign w:val="superscript"/>
        </w:rPr>
        <w:t>2</w:t>
      </w:r>
      <w:r w:rsidRPr="00F9522B">
        <w:rPr>
          <w:spacing w:val="-1"/>
          <w:sz w:val="24"/>
        </w:rPr>
        <w:t>，环节动物密度最高为</w:t>
      </w:r>
      <w:r w:rsidR="00667144" w:rsidRPr="00F9522B">
        <w:rPr>
          <w:spacing w:val="-1"/>
          <w:sz w:val="24"/>
        </w:rPr>
        <w:t>4</w:t>
      </w:r>
      <w:r w:rsidRPr="00F9522B">
        <w:rPr>
          <w:spacing w:val="-1"/>
          <w:sz w:val="24"/>
        </w:rPr>
        <w:t>6.1ind./m</w:t>
      </w:r>
      <w:r w:rsidRPr="00F9522B">
        <w:rPr>
          <w:sz w:val="24"/>
          <w:vertAlign w:val="superscript"/>
        </w:rPr>
        <w:t>2</w:t>
      </w:r>
      <w:r w:rsidRPr="00F9522B">
        <w:rPr>
          <w:spacing w:val="-1"/>
          <w:sz w:val="24"/>
        </w:rPr>
        <w:t>，水生昆虫为</w:t>
      </w:r>
      <w:r w:rsidR="00667144" w:rsidRPr="00F9522B">
        <w:rPr>
          <w:spacing w:val="-1"/>
          <w:sz w:val="24"/>
        </w:rPr>
        <w:t>4</w:t>
      </w:r>
      <w:r w:rsidRPr="00F9522B">
        <w:rPr>
          <w:spacing w:val="-1"/>
          <w:sz w:val="24"/>
        </w:rPr>
        <w:t>1.1ind./m</w:t>
      </w:r>
      <w:r w:rsidRPr="00F9522B">
        <w:rPr>
          <w:sz w:val="24"/>
          <w:vertAlign w:val="superscript"/>
        </w:rPr>
        <w:t>2</w:t>
      </w:r>
      <w:r w:rsidRPr="00F9522B">
        <w:rPr>
          <w:spacing w:val="-1"/>
          <w:sz w:val="24"/>
        </w:rPr>
        <w:t>，软体动物为</w:t>
      </w:r>
      <w:r w:rsidR="00667144" w:rsidRPr="00F9522B">
        <w:rPr>
          <w:spacing w:val="-1"/>
          <w:sz w:val="24"/>
        </w:rPr>
        <w:t>12</w:t>
      </w:r>
      <w:r w:rsidRPr="00F9522B">
        <w:rPr>
          <w:spacing w:val="-1"/>
          <w:sz w:val="24"/>
        </w:rPr>
        <w:t>.6ind./m</w:t>
      </w:r>
      <w:r w:rsidRPr="00F9522B">
        <w:rPr>
          <w:sz w:val="24"/>
          <w:vertAlign w:val="superscript"/>
        </w:rPr>
        <w:t>2</w:t>
      </w:r>
      <w:r w:rsidRPr="00F9522B">
        <w:rPr>
          <w:spacing w:val="-1"/>
          <w:sz w:val="24"/>
        </w:rPr>
        <w:t>，甲壳动物为</w:t>
      </w:r>
      <w:r w:rsidR="00667144" w:rsidRPr="00F9522B">
        <w:rPr>
          <w:spacing w:val="-1"/>
          <w:sz w:val="24"/>
        </w:rPr>
        <w:t>10</w:t>
      </w:r>
      <w:r w:rsidRPr="00F9522B">
        <w:rPr>
          <w:spacing w:val="-1"/>
          <w:sz w:val="24"/>
        </w:rPr>
        <w:t>.7ind./m</w:t>
      </w:r>
      <w:r w:rsidRPr="00F9522B">
        <w:rPr>
          <w:sz w:val="24"/>
          <w:vertAlign w:val="superscript"/>
        </w:rPr>
        <w:t>2</w:t>
      </w:r>
      <w:r w:rsidRPr="00F9522B">
        <w:rPr>
          <w:spacing w:val="-1"/>
          <w:sz w:val="24"/>
        </w:rPr>
        <w:t>。</w:t>
      </w:r>
    </w:p>
    <w:p w:rsidR="002A5A5E" w:rsidRPr="00F9522B" w:rsidRDefault="005273A1" w:rsidP="00611CBA">
      <w:pPr>
        <w:pStyle w:val="ab"/>
        <w:spacing w:after="0" w:line="360" w:lineRule="auto"/>
        <w:ind w:firstLineChars="200" w:firstLine="482"/>
        <w:rPr>
          <w:b/>
          <w:bCs/>
          <w:spacing w:val="-6"/>
          <w:sz w:val="24"/>
        </w:rPr>
      </w:pPr>
      <w:r w:rsidRPr="00F9522B">
        <w:rPr>
          <w:b/>
          <w:bCs/>
          <w:spacing w:val="-6"/>
          <w:sz w:val="24"/>
        </w:rPr>
        <w:fldChar w:fldCharType="begin"/>
      </w:r>
      <w:r w:rsidR="00611CBA" w:rsidRPr="00F9522B">
        <w:rPr>
          <w:b/>
          <w:bCs/>
          <w:spacing w:val="-6"/>
          <w:sz w:val="24"/>
        </w:rPr>
        <w:instrText xml:space="preserve"> = 4 \* GB3 </w:instrText>
      </w:r>
      <w:r w:rsidRPr="00F9522B">
        <w:rPr>
          <w:b/>
          <w:bCs/>
          <w:spacing w:val="-6"/>
          <w:sz w:val="24"/>
        </w:rPr>
        <w:fldChar w:fldCharType="separate"/>
      </w:r>
      <w:r w:rsidR="00611CBA" w:rsidRPr="00F9522B">
        <w:rPr>
          <w:rFonts w:ascii="宋体" w:hAnsi="宋体" w:cs="宋体" w:hint="eastAsia"/>
          <w:b/>
          <w:bCs/>
          <w:spacing w:val="-6"/>
          <w:sz w:val="24"/>
        </w:rPr>
        <w:t>④</w:t>
      </w:r>
      <w:r w:rsidRPr="00F9522B">
        <w:rPr>
          <w:b/>
          <w:bCs/>
          <w:spacing w:val="-6"/>
          <w:sz w:val="24"/>
        </w:rPr>
        <w:fldChar w:fldCharType="end"/>
      </w:r>
      <w:r w:rsidR="00611CBA" w:rsidRPr="00F9522B">
        <w:rPr>
          <w:b/>
          <w:bCs/>
          <w:spacing w:val="-6"/>
          <w:sz w:val="24"/>
        </w:rPr>
        <w:t>生物量</w:t>
      </w:r>
    </w:p>
    <w:p w:rsidR="002A5A5E" w:rsidRPr="00F9522B" w:rsidRDefault="00611CBA">
      <w:pPr>
        <w:pStyle w:val="ab"/>
        <w:spacing w:after="0" w:line="360" w:lineRule="auto"/>
        <w:ind w:firstLineChars="200" w:firstLine="476"/>
        <w:rPr>
          <w:spacing w:val="-1"/>
          <w:sz w:val="24"/>
        </w:rPr>
      </w:pPr>
      <w:r w:rsidRPr="00F9522B">
        <w:rPr>
          <w:spacing w:val="-1"/>
          <w:sz w:val="24"/>
        </w:rPr>
        <w:t>春季调查期间，评价水域底栖动物总平均生物量为</w:t>
      </w:r>
      <w:r w:rsidR="00667144" w:rsidRPr="00F9522B">
        <w:rPr>
          <w:spacing w:val="-1"/>
          <w:sz w:val="24"/>
        </w:rPr>
        <w:t>10</w:t>
      </w:r>
      <w:r w:rsidRPr="00F9522B">
        <w:rPr>
          <w:spacing w:val="-1"/>
          <w:sz w:val="24"/>
        </w:rPr>
        <w:t>.3g/m</w:t>
      </w:r>
      <w:r w:rsidRPr="00F9522B">
        <w:rPr>
          <w:sz w:val="24"/>
          <w:vertAlign w:val="superscript"/>
        </w:rPr>
        <w:t>2</w:t>
      </w:r>
      <w:r w:rsidRPr="00F9522B">
        <w:rPr>
          <w:spacing w:val="-1"/>
          <w:sz w:val="24"/>
        </w:rPr>
        <w:t>，软体动物为</w:t>
      </w:r>
      <w:r w:rsidR="00667144" w:rsidRPr="00F9522B">
        <w:rPr>
          <w:spacing w:val="-1"/>
          <w:sz w:val="24"/>
        </w:rPr>
        <w:t>6</w:t>
      </w:r>
      <w:r w:rsidRPr="00F9522B">
        <w:rPr>
          <w:spacing w:val="-1"/>
          <w:sz w:val="24"/>
        </w:rPr>
        <w:t>.3g/m</w:t>
      </w:r>
      <w:r w:rsidRPr="00F9522B">
        <w:rPr>
          <w:sz w:val="24"/>
          <w:vertAlign w:val="superscript"/>
        </w:rPr>
        <w:t>2</w:t>
      </w:r>
      <w:r w:rsidRPr="00F9522B">
        <w:rPr>
          <w:spacing w:val="-1"/>
          <w:sz w:val="24"/>
        </w:rPr>
        <w:t>，甲壳动物为</w:t>
      </w:r>
      <w:r w:rsidR="00667144" w:rsidRPr="00F9522B">
        <w:rPr>
          <w:spacing w:val="-1"/>
          <w:sz w:val="24"/>
        </w:rPr>
        <w:t>2</w:t>
      </w:r>
      <w:r w:rsidRPr="00F9522B">
        <w:rPr>
          <w:spacing w:val="-1"/>
          <w:sz w:val="24"/>
        </w:rPr>
        <w:t>.8g/m</w:t>
      </w:r>
      <w:r w:rsidRPr="00F9522B">
        <w:rPr>
          <w:sz w:val="24"/>
          <w:vertAlign w:val="superscript"/>
        </w:rPr>
        <w:t>2</w:t>
      </w:r>
      <w:r w:rsidRPr="00F9522B">
        <w:rPr>
          <w:spacing w:val="-1"/>
          <w:sz w:val="24"/>
        </w:rPr>
        <w:t>，环节动物为</w:t>
      </w:r>
      <w:r w:rsidRPr="00F9522B">
        <w:rPr>
          <w:spacing w:val="-1"/>
          <w:sz w:val="24"/>
        </w:rPr>
        <w:t>0.</w:t>
      </w:r>
      <w:r w:rsidR="00667144" w:rsidRPr="00F9522B">
        <w:rPr>
          <w:spacing w:val="-1"/>
          <w:sz w:val="24"/>
        </w:rPr>
        <w:t>5</w:t>
      </w:r>
      <w:r w:rsidRPr="00F9522B">
        <w:rPr>
          <w:spacing w:val="-1"/>
          <w:sz w:val="24"/>
        </w:rPr>
        <w:t>g/m</w:t>
      </w:r>
      <w:r w:rsidRPr="00F9522B">
        <w:rPr>
          <w:sz w:val="24"/>
          <w:vertAlign w:val="superscript"/>
        </w:rPr>
        <w:t>2</w:t>
      </w:r>
      <w:r w:rsidRPr="00F9522B">
        <w:rPr>
          <w:spacing w:val="-1"/>
          <w:sz w:val="24"/>
        </w:rPr>
        <w:t>，水生昆虫</w:t>
      </w:r>
      <w:r w:rsidRPr="00F9522B">
        <w:rPr>
          <w:spacing w:val="-1"/>
          <w:sz w:val="24"/>
        </w:rPr>
        <w:t xml:space="preserve"> 0.0</w:t>
      </w:r>
      <w:r w:rsidR="00667144" w:rsidRPr="00F9522B">
        <w:rPr>
          <w:spacing w:val="-1"/>
          <w:sz w:val="24"/>
        </w:rPr>
        <w:t>8</w:t>
      </w:r>
      <w:r w:rsidRPr="00F9522B">
        <w:rPr>
          <w:spacing w:val="-1"/>
          <w:sz w:val="24"/>
        </w:rPr>
        <w:t>g/m</w:t>
      </w:r>
      <w:r w:rsidRPr="00F9522B">
        <w:rPr>
          <w:sz w:val="24"/>
          <w:vertAlign w:val="superscript"/>
        </w:rPr>
        <w:t>2</w:t>
      </w:r>
      <w:r w:rsidRPr="00F9522B">
        <w:rPr>
          <w:spacing w:val="-1"/>
          <w:sz w:val="24"/>
        </w:rPr>
        <w:t>。</w:t>
      </w:r>
      <w:r w:rsidRPr="00F9522B">
        <w:rPr>
          <w:spacing w:val="2"/>
          <w:sz w:val="24"/>
        </w:rPr>
        <w:t>秋</w:t>
      </w:r>
      <w:r w:rsidRPr="00F9522B">
        <w:rPr>
          <w:spacing w:val="-1"/>
          <w:sz w:val="24"/>
        </w:rPr>
        <w:t>季调查期间，评价水域底栖动物总平均生物量为</w:t>
      </w:r>
      <w:r w:rsidR="00667144" w:rsidRPr="00F9522B">
        <w:rPr>
          <w:spacing w:val="-1"/>
          <w:sz w:val="24"/>
        </w:rPr>
        <w:t>10</w:t>
      </w:r>
      <w:r w:rsidRPr="00F9522B">
        <w:rPr>
          <w:spacing w:val="-1"/>
          <w:sz w:val="24"/>
        </w:rPr>
        <w:t>.8g/m</w:t>
      </w:r>
      <w:r w:rsidRPr="00F9522B">
        <w:rPr>
          <w:sz w:val="24"/>
          <w:vertAlign w:val="superscript"/>
        </w:rPr>
        <w:t>2</w:t>
      </w:r>
      <w:r w:rsidRPr="00F9522B">
        <w:rPr>
          <w:spacing w:val="-1"/>
          <w:sz w:val="24"/>
        </w:rPr>
        <w:t>，软体动物为</w:t>
      </w:r>
      <w:r w:rsidR="00667144" w:rsidRPr="00F9522B">
        <w:rPr>
          <w:spacing w:val="-1"/>
          <w:sz w:val="24"/>
        </w:rPr>
        <w:t>8</w:t>
      </w:r>
      <w:r w:rsidRPr="00F9522B">
        <w:rPr>
          <w:spacing w:val="-1"/>
          <w:sz w:val="24"/>
        </w:rPr>
        <w:t>.6g/m</w:t>
      </w:r>
      <w:r w:rsidRPr="00F9522B">
        <w:rPr>
          <w:sz w:val="24"/>
          <w:vertAlign w:val="superscript"/>
        </w:rPr>
        <w:t>2</w:t>
      </w:r>
      <w:r w:rsidRPr="00F9522B">
        <w:rPr>
          <w:spacing w:val="-1"/>
          <w:sz w:val="24"/>
        </w:rPr>
        <w:t>，甲壳动物为</w:t>
      </w:r>
      <w:r w:rsidR="00667144" w:rsidRPr="00F9522B">
        <w:rPr>
          <w:spacing w:val="-1"/>
          <w:sz w:val="24"/>
        </w:rPr>
        <w:t>6</w:t>
      </w:r>
      <w:r w:rsidRPr="00F9522B">
        <w:rPr>
          <w:spacing w:val="-1"/>
          <w:sz w:val="24"/>
        </w:rPr>
        <w:t>.02g/m</w:t>
      </w:r>
      <w:r w:rsidRPr="00F9522B">
        <w:rPr>
          <w:sz w:val="24"/>
          <w:vertAlign w:val="superscript"/>
        </w:rPr>
        <w:t>2</w:t>
      </w:r>
      <w:r w:rsidRPr="00F9522B">
        <w:rPr>
          <w:spacing w:val="-1"/>
          <w:sz w:val="24"/>
        </w:rPr>
        <w:t>，环节动物为</w:t>
      </w:r>
      <w:r w:rsidRPr="00F9522B">
        <w:rPr>
          <w:spacing w:val="-1"/>
          <w:sz w:val="24"/>
        </w:rPr>
        <w:t>0.</w:t>
      </w:r>
      <w:r w:rsidR="00667144" w:rsidRPr="00F9522B">
        <w:rPr>
          <w:spacing w:val="-1"/>
          <w:sz w:val="24"/>
        </w:rPr>
        <w:t>4</w:t>
      </w:r>
      <w:r w:rsidRPr="00F9522B">
        <w:rPr>
          <w:spacing w:val="-1"/>
          <w:sz w:val="24"/>
        </w:rPr>
        <w:t>g/m</w:t>
      </w:r>
      <w:r w:rsidRPr="00F9522B">
        <w:rPr>
          <w:sz w:val="24"/>
          <w:vertAlign w:val="superscript"/>
        </w:rPr>
        <w:t>2</w:t>
      </w:r>
      <w:r w:rsidRPr="00F9522B">
        <w:rPr>
          <w:spacing w:val="-1"/>
          <w:sz w:val="24"/>
        </w:rPr>
        <w:t>，水生昆虫</w:t>
      </w:r>
      <w:r w:rsidRPr="00F9522B">
        <w:rPr>
          <w:spacing w:val="-1"/>
          <w:sz w:val="24"/>
        </w:rPr>
        <w:t>0.0</w:t>
      </w:r>
      <w:r w:rsidR="00667144" w:rsidRPr="00F9522B">
        <w:rPr>
          <w:spacing w:val="-1"/>
          <w:sz w:val="24"/>
        </w:rPr>
        <w:t>6</w:t>
      </w:r>
      <w:r w:rsidRPr="00F9522B">
        <w:rPr>
          <w:spacing w:val="-1"/>
          <w:sz w:val="24"/>
        </w:rPr>
        <w:t>g/m</w:t>
      </w:r>
      <w:r w:rsidRPr="00F9522B">
        <w:rPr>
          <w:sz w:val="24"/>
          <w:vertAlign w:val="superscript"/>
        </w:rPr>
        <w:t>2</w:t>
      </w:r>
      <w:r w:rsidRPr="00F9522B">
        <w:rPr>
          <w:spacing w:val="-1"/>
          <w:sz w:val="24"/>
        </w:rPr>
        <w:t>。</w:t>
      </w:r>
    </w:p>
    <w:p w:rsidR="002A5A5E" w:rsidRPr="00F9522B" w:rsidRDefault="00611CBA">
      <w:pPr>
        <w:pStyle w:val="ab"/>
        <w:spacing w:line="360" w:lineRule="auto"/>
        <w:ind w:firstLineChars="200" w:firstLine="458"/>
        <w:rPr>
          <w:b/>
          <w:bCs/>
          <w:spacing w:val="-6"/>
          <w:sz w:val="24"/>
        </w:rPr>
      </w:pPr>
      <w:r w:rsidRPr="00F9522B">
        <w:rPr>
          <w:b/>
          <w:bCs/>
          <w:spacing w:val="-6"/>
          <w:sz w:val="24"/>
        </w:rPr>
        <w:t>4</w:t>
      </w:r>
      <w:r w:rsidRPr="00F9522B">
        <w:rPr>
          <w:b/>
          <w:bCs/>
          <w:spacing w:val="-6"/>
          <w:sz w:val="24"/>
        </w:rPr>
        <w:t>）水生维管植物</w:t>
      </w:r>
    </w:p>
    <w:p w:rsidR="002A5A5E" w:rsidRPr="00F9522B" w:rsidRDefault="005273A1">
      <w:pPr>
        <w:pStyle w:val="ab"/>
        <w:spacing w:after="0" w:line="360" w:lineRule="auto"/>
        <w:ind w:firstLineChars="200" w:firstLine="422"/>
        <w:rPr>
          <w:b/>
          <w:bCs/>
          <w:spacing w:val="-6"/>
          <w:sz w:val="24"/>
        </w:rPr>
      </w:pPr>
      <w:r w:rsidRPr="00F9522B">
        <w:rPr>
          <w:b/>
          <w:bCs/>
          <w:smallCaps/>
        </w:rPr>
        <w:fldChar w:fldCharType="begin"/>
      </w:r>
      <w:r w:rsidR="00611CBA" w:rsidRPr="00F9522B">
        <w:rPr>
          <w:b/>
          <w:bCs/>
          <w:smallCaps/>
        </w:rPr>
        <w:instrText xml:space="preserve"> = 1 \* GB3 </w:instrText>
      </w:r>
      <w:r w:rsidRPr="00F9522B">
        <w:rPr>
          <w:b/>
          <w:bCs/>
          <w:smallCaps/>
        </w:rPr>
        <w:fldChar w:fldCharType="separate"/>
      </w:r>
      <w:r w:rsidR="00611CBA" w:rsidRPr="00F9522B">
        <w:rPr>
          <w:rFonts w:ascii="宋体" w:hAnsi="宋体" w:cs="宋体" w:hint="eastAsia"/>
          <w:b/>
          <w:bCs/>
          <w:smallCaps/>
        </w:rPr>
        <w:t>①</w:t>
      </w:r>
      <w:r w:rsidRPr="00F9522B">
        <w:rPr>
          <w:b/>
          <w:bCs/>
          <w:smallCaps/>
        </w:rPr>
        <w:fldChar w:fldCharType="end"/>
      </w:r>
      <w:r w:rsidR="00611CBA" w:rsidRPr="00F9522B">
        <w:rPr>
          <w:b/>
          <w:bCs/>
          <w:spacing w:val="-6"/>
          <w:sz w:val="24"/>
        </w:rPr>
        <w:t>种类组成</w:t>
      </w:r>
    </w:p>
    <w:p w:rsidR="002A5A5E" w:rsidRPr="00F9522B" w:rsidRDefault="00611CBA">
      <w:pPr>
        <w:spacing w:line="360" w:lineRule="auto"/>
        <w:ind w:firstLineChars="200" w:firstLine="472"/>
        <w:rPr>
          <w:spacing w:val="-2"/>
          <w:sz w:val="24"/>
        </w:rPr>
      </w:pPr>
      <w:r w:rsidRPr="00F9522B">
        <w:rPr>
          <w:spacing w:val="-2"/>
          <w:sz w:val="24"/>
        </w:rPr>
        <w:t>根据现状调查，评价水域常见水生维管植物</w:t>
      </w:r>
      <w:r w:rsidRPr="00F9522B">
        <w:rPr>
          <w:spacing w:val="-2"/>
          <w:sz w:val="24"/>
        </w:rPr>
        <w:t>2</w:t>
      </w:r>
      <w:r w:rsidRPr="00F9522B">
        <w:rPr>
          <w:spacing w:val="-2"/>
          <w:sz w:val="24"/>
        </w:rPr>
        <w:t>大类别（被子植物、单子叶植物）</w:t>
      </w:r>
      <w:r w:rsidRPr="00F9522B">
        <w:rPr>
          <w:spacing w:val="-2"/>
          <w:sz w:val="24"/>
        </w:rPr>
        <w:t xml:space="preserve"> </w:t>
      </w:r>
      <w:r w:rsidRPr="00F9522B">
        <w:rPr>
          <w:spacing w:val="-2"/>
          <w:sz w:val="24"/>
        </w:rPr>
        <w:t>共计</w:t>
      </w:r>
      <w:r w:rsidRPr="00F9522B">
        <w:rPr>
          <w:spacing w:val="-2"/>
          <w:sz w:val="24"/>
        </w:rPr>
        <w:t>10</w:t>
      </w:r>
      <w:r w:rsidRPr="00F9522B">
        <w:rPr>
          <w:spacing w:val="-2"/>
          <w:sz w:val="24"/>
        </w:rPr>
        <w:t>科</w:t>
      </w:r>
      <w:r w:rsidRPr="00F9522B">
        <w:rPr>
          <w:spacing w:val="-2"/>
          <w:sz w:val="24"/>
        </w:rPr>
        <w:t>16</w:t>
      </w:r>
      <w:r w:rsidRPr="00F9522B">
        <w:rPr>
          <w:spacing w:val="-2"/>
          <w:sz w:val="24"/>
        </w:rPr>
        <w:t>种，共有浮叶植物、挺水植物、滨水植物和沉水植物</w:t>
      </w:r>
      <w:r w:rsidRPr="00F9522B">
        <w:rPr>
          <w:spacing w:val="-2"/>
          <w:sz w:val="24"/>
        </w:rPr>
        <w:t>4</w:t>
      </w:r>
      <w:r w:rsidRPr="00F9522B">
        <w:rPr>
          <w:spacing w:val="-2"/>
          <w:sz w:val="24"/>
        </w:rPr>
        <w:t>种生态类群。其中睡莲科为</w:t>
      </w:r>
      <w:r w:rsidRPr="00F9522B">
        <w:rPr>
          <w:spacing w:val="-2"/>
          <w:sz w:val="24"/>
        </w:rPr>
        <w:t>3</w:t>
      </w:r>
      <w:r w:rsidRPr="00F9522B">
        <w:rPr>
          <w:spacing w:val="-2"/>
          <w:sz w:val="24"/>
        </w:rPr>
        <w:t>种，莎草科、香蒲科和毛茛科</w:t>
      </w:r>
      <w:r w:rsidRPr="00F9522B">
        <w:rPr>
          <w:spacing w:val="-2"/>
          <w:sz w:val="24"/>
        </w:rPr>
        <w:t>2</w:t>
      </w:r>
      <w:r w:rsidRPr="00F9522B">
        <w:rPr>
          <w:spacing w:val="-2"/>
          <w:sz w:val="24"/>
        </w:rPr>
        <w:t>种，其他各科分别只有</w:t>
      </w:r>
      <w:r w:rsidRPr="00F9522B">
        <w:rPr>
          <w:spacing w:val="-2"/>
          <w:sz w:val="24"/>
        </w:rPr>
        <w:t>1</w:t>
      </w:r>
      <w:r w:rsidRPr="00F9522B">
        <w:rPr>
          <w:spacing w:val="-2"/>
          <w:sz w:val="24"/>
        </w:rPr>
        <w:t>种。</w:t>
      </w:r>
    </w:p>
    <w:p w:rsidR="0017526A" w:rsidRPr="00F9522B" w:rsidRDefault="0017526A" w:rsidP="00745972">
      <w:pPr>
        <w:ind w:firstLineChars="200" w:firstLine="414"/>
        <w:jc w:val="center"/>
        <w:rPr>
          <w:b/>
          <w:bCs/>
          <w:spacing w:val="-2"/>
        </w:rPr>
      </w:pPr>
    </w:p>
    <w:p w:rsidR="0017526A" w:rsidRPr="00F9522B" w:rsidRDefault="0017526A" w:rsidP="00745972">
      <w:pPr>
        <w:ind w:firstLineChars="200" w:firstLine="414"/>
        <w:jc w:val="center"/>
        <w:rPr>
          <w:b/>
          <w:bCs/>
          <w:spacing w:val="-2"/>
        </w:rPr>
      </w:pPr>
    </w:p>
    <w:p w:rsidR="0017526A" w:rsidRPr="00F9522B" w:rsidRDefault="0017526A" w:rsidP="00745972">
      <w:pPr>
        <w:ind w:firstLineChars="200" w:firstLine="414"/>
        <w:jc w:val="center"/>
        <w:rPr>
          <w:b/>
          <w:bCs/>
          <w:spacing w:val="-2"/>
        </w:rPr>
      </w:pPr>
    </w:p>
    <w:p w:rsidR="0017526A" w:rsidRPr="00F9522B" w:rsidRDefault="0017526A" w:rsidP="00745972">
      <w:pPr>
        <w:ind w:firstLineChars="200" w:firstLine="414"/>
        <w:jc w:val="center"/>
        <w:rPr>
          <w:b/>
          <w:bCs/>
          <w:spacing w:val="-2"/>
        </w:rPr>
      </w:pPr>
    </w:p>
    <w:p w:rsidR="0017526A" w:rsidRPr="00F9522B" w:rsidRDefault="0017526A" w:rsidP="00745972">
      <w:pPr>
        <w:ind w:firstLineChars="200" w:firstLine="414"/>
        <w:jc w:val="center"/>
        <w:rPr>
          <w:b/>
          <w:bCs/>
          <w:spacing w:val="-2"/>
        </w:rPr>
      </w:pPr>
    </w:p>
    <w:p w:rsidR="0017526A" w:rsidRPr="00F9522B" w:rsidRDefault="0017526A" w:rsidP="00745972">
      <w:pPr>
        <w:ind w:firstLineChars="200" w:firstLine="414"/>
        <w:jc w:val="center"/>
        <w:rPr>
          <w:b/>
          <w:bCs/>
          <w:spacing w:val="-2"/>
        </w:rPr>
      </w:pPr>
    </w:p>
    <w:p w:rsidR="0017526A" w:rsidRPr="00F9522B" w:rsidRDefault="0017526A" w:rsidP="00745972">
      <w:pPr>
        <w:ind w:firstLineChars="200" w:firstLine="414"/>
        <w:jc w:val="center"/>
        <w:rPr>
          <w:b/>
          <w:bCs/>
          <w:spacing w:val="-2"/>
        </w:rPr>
      </w:pPr>
    </w:p>
    <w:p w:rsidR="0017526A" w:rsidRPr="00F9522B" w:rsidRDefault="0017526A" w:rsidP="00745972">
      <w:pPr>
        <w:ind w:firstLineChars="200" w:firstLine="414"/>
        <w:jc w:val="center"/>
        <w:rPr>
          <w:b/>
          <w:bCs/>
          <w:spacing w:val="-2"/>
        </w:rPr>
      </w:pPr>
    </w:p>
    <w:p w:rsidR="0017526A" w:rsidRPr="00F9522B" w:rsidRDefault="0017526A" w:rsidP="00745972">
      <w:pPr>
        <w:ind w:firstLineChars="200" w:firstLine="414"/>
        <w:jc w:val="center"/>
        <w:rPr>
          <w:b/>
          <w:bCs/>
          <w:spacing w:val="-2"/>
        </w:rPr>
      </w:pPr>
    </w:p>
    <w:p w:rsidR="0017526A" w:rsidRPr="00F9522B" w:rsidRDefault="0017526A" w:rsidP="00745972">
      <w:pPr>
        <w:ind w:firstLineChars="200" w:firstLine="414"/>
        <w:jc w:val="center"/>
        <w:rPr>
          <w:b/>
          <w:bCs/>
          <w:spacing w:val="-2"/>
        </w:rPr>
      </w:pPr>
    </w:p>
    <w:p w:rsidR="0017526A" w:rsidRPr="00F9522B" w:rsidRDefault="0017526A" w:rsidP="00745972">
      <w:pPr>
        <w:ind w:firstLineChars="200" w:firstLine="414"/>
        <w:jc w:val="center"/>
        <w:rPr>
          <w:b/>
          <w:bCs/>
          <w:spacing w:val="-2"/>
        </w:rPr>
      </w:pPr>
    </w:p>
    <w:p w:rsidR="0017526A" w:rsidRPr="00F9522B" w:rsidRDefault="0017526A" w:rsidP="00745972">
      <w:pPr>
        <w:ind w:firstLineChars="200" w:firstLine="414"/>
        <w:jc w:val="center"/>
        <w:rPr>
          <w:b/>
          <w:bCs/>
          <w:spacing w:val="-2"/>
        </w:rPr>
      </w:pPr>
    </w:p>
    <w:p w:rsidR="0017526A" w:rsidRPr="00F9522B" w:rsidRDefault="0017526A" w:rsidP="00745972">
      <w:pPr>
        <w:ind w:firstLineChars="200" w:firstLine="414"/>
        <w:jc w:val="center"/>
        <w:rPr>
          <w:b/>
          <w:bCs/>
          <w:spacing w:val="-2"/>
        </w:rPr>
      </w:pPr>
    </w:p>
    <w:p w:rsidR="0017526A" w:rsidRPr="00F9522B" w:rsidRDefault="0017526A" w:rsidP="00745972">
      <w:pPr>
        <w:ind w:firstLineChars="200" w:firstLine="414"/>
        <w:jc w:val="center"/>
        <w:rPr>
          <w:b/>
          <w:bCs/>
          <w:spacing w:val="-2"/>
        </w:rPr>
      </w:pPr>
    </w:p>
    <w:p w:rsidR="0017526A" w:rsidRPr="00F9522B" w:rsidRDefault="0017526A" w:rsidP="00745972">
      <w:pPr>
        <w:ind w:firstLineChars="200" w:firstLine="414"/>
        <w:jc w:val="center"/>
        <w:rPr>
          <w:b/>
          <w:bCs/>
          <w:spacing w:val="-2"/>
        </w:rPr>
      </w:pPr>
    </w:p>
    <w:p w:rsidR="0017526A" w:rsidRPr="00F9522B" w:rsidRDefault="0017526A" w:rsidP="00745972">
      <w:pPr>
        <w:ind w:firstLineChars="200" w:firstLine="414"/>
        <w:jc w:val="center"/>
        <w:rPr>
          <w:b/>
          <w:bCs/>
          <w:spacing w:val="-2"/>
        </w:rPr>
      </w:pPr>
    </w:p>
    <w:p w:rsidR="0017526A" w:rsidRPr="00F9522B" w:rsidRDefault="0017526A" w:rsidP="00745972">
      <w:pPr>
        <w:ind w:firstLineChars="200" w:firstLine="414"/>
        <w:jc w:val="center"/>
        <w:rPr>
          <w:b/>
          <w:bCs/>
          <w:spacing w:val="-2"/>
        </w:rPr>
      </w:pPr>
    </w:p>
    <w:p w:rsidR="002A5A5E" w:rsidRPr="00F9522B" w:rsidRDefault="00611CBA" w:rsidP="00745972">
      <w:pPr>
        <w:ind w:firstLineChars="200" w:firstLine="414"/>
        <w:jc w:val="center"/>
        <w:rPr>
          <w:spacing w:val="-2"/>
          <w:sz w:val="24"/>
        </w:rPr>
      </w:pPr>
      <w:r w:rsidRPr="00F9522B">
        <w:rPr>
          <w:b/>
          <w:bCs/>
          <w:spacing w:val="-2"/>
        </w:rPr>
        <w:lastRenderedPageBreak/>
        <w:t>表</w:t>
      </w:r>
      <w:r w:rsidRPr="00F9522B">
        <w:rPr>
          <w:b/>
          <w:bCs/>
          <w:spacing w:val="-2"/>
        </w:rPr>
        <w:t>4-2-</w:t>
      </w:r>
      <w:r w:rsidR="00C92D94" w:rsidRPr="00F9522B">
        <w:rPr>
          <w:b/>
          <w:bCs/>
          <w:spacing w:val="-2"/>
        </w:rPr>
        <w:t>27</w:t>
      </w:r>
      <w:r w:rsidRPr="00F9522B">
        <w:rPr>
          <w:b/>
          <w:bCs/>
          <w:spacing w:val="-2"/>
        </w:rPr>
        <w:t>水生维管植物名录</w:t>
      </w:r>
    </w:p>
    <w:tbl>
      <w:tblPr>
        <w:tblStyle w:val="TableNormal"/>
        <w:tblW w:w="8205" w:type="dxa"/>
        <w:tblInd w:w="108" w:type="dxa"/>
        <w:tblBorders>
          <w:top w:val="single" w:sz="12" w:space="0" w:color="000000"/>
          <w:bottom w:val="single" w:sz="12" w:space="0" w:color="000000"/>
          <w:insideH w:val="single" w:sz="2" w:space="0" w:color="000000"/>
          <w:insideV w:val="single" w:sz="2" w:space="0" w:color="000000"/>
        </w:tblBorders>
        <w:tblLayout w:type="fixed"/>
        <w:tblLook w:val="04A0"/>
      </w:tblPr>
      <w:tblGrid>
        <w:gridCol w:w="1593"/>
        <w:gridCol w:w="2979"/>
        <w:gridCol w:w="3633"/>
      </w:tblGrid>
      <w:tr w:rsidR="002A5A5E" w:rsidRPr="00F9522B">
        <w:trPr>
          <w:trHeight w:val="347"/>
        </w:trPr>
        <w:tc>
          <w:tcPr>
            <w:tcW w:w="1593"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z w:val="21"/>
                <w:szCs w:val="21"/>
              </w:rPr>
              <w:t>类</w:t>
            </w:r>
          </w:p>
        </w:tc>
        <w:tc>
          <w:tcPr>
            <w:tcW w:w="2979"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z w:val="21"/>
                <w:szCs w:val="21"/>
              </w:rPr>
              <w:t>科</w:t>
            </w:r>
          </w:p>
        </w:tc>
        <w:tc>
          <w:tcPr>
            <w:tcW w:w="3633"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z w:val="21"/>
                <w:szCs w:val="21"/>
              </w:rPr>
              <w:t>种</w:t>
            </w:r>
          </w:p>
        </w:tc>
      </w:tr>
      <w:tr w:rsidR="002A5A5E" w:rsidRPr="00F9522B">
        <w:trPr>
          <w:trHeight w:val="342"/>
        </w:trPr>
        <w:tc>
          <w:tcPr>
            <w:tcW w:w="1593" w:type="dxa"/>
            <w:vMerge w:val="restart"/>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7"/>
                <w:sz w:val="21"/>
                <w:szCs w:val="21"/>
              </w:rPr>
              <w:t>被子植物</w:t>
            </w:r>
          </w:p>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4"/>
                <w:szCs w:val="21"/>
              </w:rPr>
              <w:t>Angiospermae</w:t>
            </w:r>
          </w:p>
        </w:tc>
        <w:tc>
          <w:tcPr>
            <w:tcW w:w="2979" w:type="dxa"/>
            <w:vMerge w:val="restart"/>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25"/>
                <w:sz w:val="21"/>
                <w:szCs w:val="21"/>
              </w:rPr>
              <w:t>睡莲科</w:t>
            </w:r>
            <w:r w:rsidRPr="00F9522B">
              <w:rPr>
                <w:color w:val="auto"/>
                <w:sz w:val="21"/>
                <w:szCs w:val="21"/>
              </w:rPr>
              <w:t>Nymphaeaceae</w:t>
            </w:r>
          </w:p>
        </w:tc>
        <w:tc>
          <w:tcPr>
            <w:tcW w:w="3633"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4"/>
                <w:position w:val="2"/>
                <w:sz w:val="21"/>
                <w:szCs w:val="21"/>
              </w:rPr>
              <w:t>莲</w:t>
            </w:r>
            <w:r w:rsidRPr="00F9522B">
              <w:rPr>
                <w:i/>
                <w:iCs/>
                <w:color w:val="auto"/>
                <w:spacing w:val="4"/>
                <w:position w:val="2"/>
                <w:sz w:val="21"/>
                <w:szCs w:val="21"/>
              </w:rPr>
              <w:t>Nelumbo nucifera</w:t>
            </w:r>
          </w:p>
        </w:tc>
      </w:tr>
      <w:tr w:rsidR="002A5A5E" w:rsidRPr="00F9522B">
        <w:trPr>
          <w:trHeight w:val="342"/>
        </w:trPr>
        <w:tc>
          <w:tcPr>
            <w:tcW w:w="1593" w:type="dxa"/>
            <w:vMerge/>
            <w:vAlign w:val="center"/>
          </w:tcPr>
          <w:p w:rsidR="002A5A5E" w:rsidRPr="00F9522B" w:rsidRDefault="002A5A5E">
            <w:pPr>
              <w:spacing w:line="0" w:lineRule="atLeast"/>
              <w:jc w:val="center"/>
              <w:rPr>
                <w:szCs w:val="21"/>
              </w:rPr>
            </w:pPr>
          </w:p>
        </w:tc>
        <w:tc>
          <w:tcPr>
            <w:tcW w:w="2979" w:type="dxa"/>
            <w:vMerge/>
            <w:vAlign w:val="center"/>
          </w:tcPr>
          <w:p w:rsidR="002A5A5E" w:rsidRPr="00F9522B" w:rsidRDefault="002A5A5E">
            <w:pPr>
              <w:spacing w:line="0" w:lineRule="atLeast"/>
              <w:jc w:val="center"/>
              <w:rPr>
                <w:szCs w:val="21"/>
              </w:rPr>
            </w:pPr>
          </w:p>
        </w:tc>
        <w:tc>
          <w:tcPr>
            <w:tcW w:w="3633"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24"/>
                <w:position w:val="2"/>
                <w:sz w:val="21"/>
                <w:szCs w:val="21"/>
              </w:rPr>
              <w:t>睡莲</w:t>
            </w:r>
            <w:r w:rsidRPr="00F9522B">
              <w:rPr>
                <w:i/>
                <w:iCs/>
                <w:color w:val="auto"/>
                <w:position w:val="2"/>
                <w:sz w:val="21"/>
                <w:szCs w:val="21"/>
              </w:rPr>
              <w:t>Nymphaea</w:t>
            </w:r>
          </w:p>
        </w:tc>
      </w:tr>
      <w:tr w:rsidR="002A5A5E" w:rsidRPr="00F9522B">
        <w:trPr>
          <w:trHeight w:val="342"/>
        </w:trPr>
        <w:tc>
          <w:tcPr>
            <w:tcW w:w="1593" w:type="dxa"/>
            <w:vMerge/>
            <w:vAlign w:val="center"/>
          </w:tcPr>
          <w:p w:rsidR="002A5A5E" w:rsidRPr="00F9522B" w:rsidRDefault="002A5A5E">
            <w:pPr>
              <w:spacing w:line="0" w:lineRule="atLeast"/>
              <w:jc w:val="center"/>
              <w:rPr>
                <w:szCs w:val="21"/>
              </w:rPr>
            </w:pPr>
          </w:p>
        </w:tc>
        <w:tc>
          <w:tcPr>
            <w:tcW w:w="2979" w:type="dxa"/>
            <w:vMerge/>
            <w:vAlign w:val="center"/>
          </w:tcPr>
          <w:p w:rsidR="002A5A5E" w:rsidRPr="00F9522B" w:rsidRDefault="002A5A5E">
            <w:pPr>
              <w:spacing w:line="0" w:lineRule="atLeast"/>
              <w:jc w:val="center"/>
              <w:rPr>
                <w:szCs w:val="21"/>
              </w:rPr>
            </w:pPr>
          </w:p>
        </w:tc>
        <w:tc>
          <w:tcPr>
            <w:tcW w:w="3633"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46"/>
                <w:position w:val="2"/>
                <w:sz w:val="21"/>
                <w:szCs w:val="21"/>
              </w:rPr>
              <w:t>萍蓬草</w:t>
            </w:r>
            <w:r w:rsidRPr="00F9522B">
              <w:rPr>
                <w:i/>
                <w:iCs/>
                <w:color w:val="auto"/>
                <w:position w:val="2"/>
                <w:sz w:val="21"/>
                <w:szCs w:val="21"/>
              </w:rPr>
              <w:t>Nupharpumilum</w:t>
            </w:r>
          </w:p>
        </w:tc>
      </w:tr>
      <w:tr w:rsidR="002A5A5E" w:rsidRPr="00F9522B">
        <w:trPr>
          <w:trHeight w:val="342"/>
        </w:trPr>
        <w:tc>
          <w:tcPr>
            <w:tcW w:w="1593" w:type="dxa"/>
            <w:vMerge/>
            <w:vAlign w:val="center"/>
          </w:tcPr>
          <w:p w:rsidR="002A5A5E" w:rsidRPr="00F9522B" w:rsidRDefault="002A5A5E">
            <w:pPr>
              <w:spacing w:line="0" w:lineRule="atLeast"/>
              <w:jc w:val="center"/>
              <w:rPr>
                <w:szCs w:val="21"/>
              </w:rPr>
            </w:pPr>
          </w:p>
        </w:tc>
        <w:tc>
          <w:tcPr>
            <w:tcW w:w="2979" w:type="dxa"/>
            <w:vMerge w:val="restart"/>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6"/>
                <w:sz w:val="21"/>
                <w:szCs w:val="21"/>
              </w:rPr>
              <w:t>毛茛科</w:t>
            </w:r>
          </w:p>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4"/>
                <w:szCs w:val="21"/>
              </w:rPr>
              <w:t>Ranunculaceae</w:t>
            </w:r>
          </w:p>
        </w:tc>
        <w:tc>
          <w:tcPr>
            <w:tcW w:w="3633"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6"/>
                <w:position w:val="2"/>
                <w:sz w:val="21"/>
                <w:szCs w:val="21"/>
              </w:rPr>
              <w:t>毛茛</w:t>
            </w:r>
            <w:r w:rsidRPr="00F9522B">
              <w:rPr>
                <w:i/>
                <w:iCs/>
                <w:color w:val="auto"/>
                <w:spacing w:val="6"/>
                <w:position w:val="2"/>
                <w:sz w:val="21"/>
                <w:szCs w:val="21"/>
              </w:rPr>
              <w:t>Ranunculusjaponicus</w:t>
            </w:r>
          </w:p>
        </w:tc>
      </w:tr>
      <w:tr w:rsidR="002A5A5E" w:rsidRPr="00F9522B">
        <w:trPr>
          <w:trHeight w:val="342"/>
        </w:trPr>
        <w:tc>
          <w:tcPr>
            <w:tcW w:w="1593" w:type="dxa"/>
            <w:vMerge/>
            <w:vAlign w:val="center"/>
          </w:tcPr>
          <w:p w:rsidR="002A5A5E" w:rsidRPr="00F9522B" w:rsidRDefault="002A5A5E">
            <w:pPr>
              <w:spacing w:line="0" w:lineRule="atLeast"/>
              <w:jc w:val="center"/>
              <w:rPr>
                <w:szCs w:val="21"/>
              </w:rPr>
            </w:pPr>
          </w:p>
        </w:tc>
        <w:tc>
          <w:tcPr>
            <w:tcW w:w="2979" w:type="dxa"/>
            <w:vMerge/>
            <w:vAlign w:val="center"/>
          </w:tcPr>
          <w:p w:rsidR="002A5A5E" w:rsidRPr="00F9522B" w:rsidRDefault="002A5A5E">
            <w:pPr>
              <w:spacing w:line="0" w:lineRule="atLeast"/>
              <w:jc w:val="center"/>
              <w:rPr>
                <w:szCs w:val="21"/>
              </w:rPr>
            </w:pPr>
          </w:p>
        </w:tc>
        <w:tc>
          <w:tcPr>
            <w:tcW w:w="3633"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28"/>
                <w:position w:val="1"/>
                <w:sz w:val="21"/>
                <w:szCs w:val="21"/>
              </w:rPr>
              <w:t>石龙芮</w:t>
            </w:r>
            <w:r w:rsidRPr="00F9522B">
              <w:rPr>
                <w:i/>
                <w:iCs/>
                <w:color w:val="auto"/>
                <w:position w:val="1"/>
                <w:sz w:val="21"/>
                <w:szCs w:val="21"/>
              </w:rPr>
              <w:t>Ranunculussceleratus</w:t>
            </w:r>
          </w:p>
        </w:tc>
      </w:tr>
      <w:tr w:rsidR="002A5A5E" w:rsidRPr="00F9522B">
        <w:trPr>
          <w:trHeight w:val="343"/>
        </w:trPr>
        <w:tc>
          <w:tcPr>
            <w:tcW w:w="1593" w:type="dxa"/>
            <w:vMerge/>
            <w:vAlign w:val="center"/>
          </w:tcPr>
          <w:p w:rsidR="002A5A5E" w:rsidRPr="00F9522B" w:rsidRDefault="002A5A5E">
            <w:pPr>
              <w:spacing w:line="0" w:lineRule="atLeast"/>
              <w:jc w:val="center"/>
              <w:rPr>
                <w:szCs w:val="21"/>
              </w:rPr>
            </w:pPr>
          </w:p>
        </w:tc>
        <w:tc>
          <w:tcPr>
            <w:tcW w:w="2979"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22"/>
                <w:sz w:val="21"/>
                <w:szCs w:val="21"/>
              </w:rPr>
              <w:t>金鱼藻科</w:t>
            </w:r>
            <w:r w:rsidRPr="00F9522B">
              <w:rPr>
                <w:color w:val="auto"/>
                <w:sz w:val="21"/>
                <w:szCs w:val="21"/>
              </w:rPr>
              <w:t>Ceratophyllaceae</w:t>
            </w:r>
          </w:p>
        </w:tc>
        <w:tc>
          <w:tcPr>
            <w:tcW w:w="3633"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22"/>
                <w:position w:val="2"/>
                <w:sz w:val="21"/>
                <w:szCs w:val="21"/>
              </w:rPr>
              <w:t>东北金鱼藻</w:t>
            </w:r>
            <w:r w:rsidRPr="00F9522B">
              <w:rPr>
                <w:i/>
                <w:iCs/>
                <w:color w:val="auto"/>
                <w:position w:val="2"/>
                <w:sz w:val="21"/>
                <w:szCs w:val="21"/>
              </w:rPr>
              <w:t>Ceratophyllummanshuricum</w:t>
            </w:r>
          </w:p>
        </w:tc>
      </w:tr>
      <w:tr w:rsidR="002A5A5E" w:rsidRPr="00F9522B">
        <w:trPr>
          <w:trHeight w:val="343"/>
        </w:trPr>
        <w:tc>
          <w:tcPr>
            <w:tcW w:w="1593" w:type="dxa"/>
            <w:vMerge/>
            <w:vAlign w:val="center"/>
          </w:tcPr>
          <w:p w:rsidR="002A5A5E" w:rsidRPr="00F9522B" w:rsidRDefault="002A5A5E">
            <w:pPr>
              <w:spacing w:line="0" w:lineRule="atLeast"/>
              <w:jc w:val="center"/>
              <w:rPr>
                <w:szCs w:val="21"/>
              </w:rPr>
            </w:pPr>
          </w:p>
        </w:tc>
        <w:tc>
          <w:tcPr>
            <w:tcW w:w="2979"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20"/>
                <w:sz w:val="21"/>
                <w:szCs w:val="21"/>
              </w:rPr>
              <w:t>浮萍科</w:t>
            </w:r>
            <w:r w:rsidRPr="00F9522B">
              <w:rPr>
                <w:color w:val="auto"/>
                <w:sz w:val="21"/>
                <w:szCs w:val="21"/>
              </w:rPr>
              <w:t>Lemnaceae</w:t>
            </w:r>
          </w:p>
        </w:tc>
        <w:tc>
          <w:tcPr>
            <w:tcW w:w="3633"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23"/>
                <w:sz w:val="21"/>
                <w:szCs w:val="21"/>
              </w:rPr>
              <w:t>浮萍</w:t>
            </w:r>
            <w:r w:rsidRPr="00F9522B">
              <w:rPr>
                <w:i/>
                <w:iCs/>
                <w:color w:val="auto"/>
                <w:sz w:val="21"/>
                <w:szCs w:val="21"/>
              </w:rPr>
              <w:t>Lemnaminor</w:t>
            </w:r>
          </w:p>
        </w:tc>
      </w:tr>
      <w:tr w:rsidR="002A5A5E" w:rsidRPr="00F9522B">
        <w:trPr>
          <w:trHeight w:val="343"/>
        </w:trPr>
        <w:tc>
          <w:tcPr>
            <w:tcW w:w="1593" w:type="dxa"/>
            <w:vMerge/>
            <w:vAlign w:val="center"/>
          </w:tcPr>
          <w:p w:rsidR="002A5A5E" w:rsidRPr="00F9522B" w:rsidRDefault="002A5A5E">
            <w:pPr>
              <w:spacing w:line="0" w:lineRule="atLeast"/>
              <w:jc w:val="center"/>
              <w:rPr>
                <w:szCs w:val="21"/>
              </w:rPr>
            </w:pPr>
          </w:p>
        </w:tc>
        <w:tc>
          <w:tcPr>
            <w:tcW w:w="2979" w:type="dxa"/>
            <w:vMerge w:val="restart"/>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22"/>
                <w:sz w:val="21"/>
                <w:szCs w:val="21"/>
              </w:rPr>
              <w:t>眼子菜科</w:t>
            </w:r>
            <w:r w:rsidRPr="00F9522B">
              <w:rPr>
                <w:color w:val="auto"/>
                <w:sz w:val="21"/>
                <w:szCs w:val="21"/>
              </w:rPr>
              <w:t>Potamogetonaceae</w:t>
            </w:r>
          </w:p>
        </w:tc>
        <w:tc>
          <w:tcPr>
            <w:tcW w:w="3633"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26"/>
                <w:position w:val="2"/>
                <w:sz w:val="21"/>
                <w:szCs w:val="21"/>
              </w:rPr>
              <w:t>眼子菜</w:t>
            </w:r>
            <w:r w:rsidRPr="00F9522B">
              <w:rPr>
                <w:i/>
                <w:iCs/>
                <w:color w:val="auto"/>
                <w:position w:val="2"/>
                <w:sz w:val="21"/>
                <w:szCs w:val="21"/>
              </w:rPr>
              <w:t>Potamogetondistinctus</w:t>
            </w:r>
          </w:p>
        </w:tc>
      </w:tr>
      <w:tr w:rsidR="002A5A5E" w:rsidRPr="00F9522B">
        <w:trPr>
          <w:trHeight w:val="343"/>
        </w:trPr>
        <w:tc>
          <w:tcPr>
            <w:tcW w:w="1593" w:type="dxa"/>
            <w:vMerge/>
            <w:vAlign w:val="center"/>
          </w:tcPr>
          <w:p w:rsidR="002A5A5E" w:rsidRPr="00F9522B" w:rsidRDefault="002A5A5E">
            <w:pPr>
              <w:spacing w:line="0" w:lineRule="atLeast"/>
              <w:jc w:val="center"/>
              <w:rPr>
                <w:szCs w:val="21"/>
              </w:rPr>
            </w:pPr>
          </w:p>
        </w:tc>
        <w:tc>
          <w:tcPr>
            <w:tcW w:w="2979" w:type="dxa"/>
            <w:vMerge/>
            <w:vAlign w:val="center"/>
          </w:tcPr>
          <w:p w:rsidR="002A5A5E" w:rsidRPr="00F9522B" w:rsidRDefault="002A5A5E">
            <w:pPr>
              <w:spacing w:line="0" w:lineRule="atLeast"/>
              <w:jc w:val="center"/>
              <w:rPr>
                <w:szCs w:val="21"/>
              </w:rPr>
            </w:pPr>
          </w:p>
        </w:tc>
        <w:tc>
          <w:tcPr>
            <w:tcW w:w="3633"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21"/>
                <w:position w:val="2"/>
                <w:sz w:val="21"/>
                <w:szCs w:val="21"/>
              </w:rPr>
              <w:t>小浮叶眼子菜</w:t>
            </w:r>
            <w:r w:rsidRPr="00F9522B">
              <w:rPr>
                <w:i/>
                <w:iCs/>
                <w:color w:val="auto"/>
                <w:position w:val="2"/>
                <w:sz w:val="21"/>
                <w:szCs w:val="21"/>
              </w:rPr>
              <w:t>Potamogetonmizuhikimo</w:t>
            </w:r>
          </w:p>
        </w:tc>
      </w:tr>
      <w:tr w:rsidR="002A5A5E" w:rsidRPr="00F9522B">
        <w:trPr>
          <w:trHeight w:val="343"/>
        </w:trPr>
        <w:tc>
          <w:tcPr>
            <w:tcW w:w="1593" w:type="dxa"/>
            <w:vMerge/>
            <w:vAlign w:val="center"/>
          </w:tcPr>
          <w:p w:rsidR="002A5A5E" w:rsidRPr="00F9522B" w:rsidRDefault="002A5A5E">
            <w:pPr>
              <w:spacing w:line="0" w:lineRule="atLeast"/>
              <w:jc w:val="center"/>
              <w:rPr>
                <w:szCs w:val="21"/>
              </w:rPr>
            </w:pPr>
          </w:p>
        </w:tc>
        <w:tc>
          <w:tcPr>
            <w:tcW w:w="2979"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7"/>
                <w:sz w:val="21"/>
                <w:szCs w:val="21"/>
              </w:rPr>
              <w:t>雨久花科</w:t>
            </w:r>
            <w:r w:rsidRPr="00F9522B">
              <w:rPr>
                <w:color w:val="auto"/>
                <w:sz w:val="21"/>
                <w:szCs w:val="21"/>
              </w:rPr>
              <w:t>Pontederiaceae</w:t>
            </w:r>
          </w:p>
        </w:tc>
        <w:tc>
          <w:tcPr>
            <w:tcW w:w="3633"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28"/>
                <w:position w:val="1"/>
                <w:sz w:val="21"/>
                <w:szCs w:val="21"/>
              </w:rPr>
              <w:t>雨久花</w:t>
            </w:r>
            <w:r w:rsidRPr="00F9522B">
              <w:rPr>
                <w:i/>
                <w:iCs/>
                <w:color w:val="auto"/>
                <w:position w:val="1"/>
                <w:sz w:val="21"/>
                <w:szCs w:val="21"/>
              </w:rPr>
              <w:t>Monochoriakorsakowii</w:t>
            </w:r>
          </w:p>
        </w:tc>
      </w:tr>
      <w:tr w:rsidR="002A5A5E" w:rsidRPr="00F9522B">
        <w:trPr>
          <w:trHeight w:val="516"/>
        </w:trPr>
        <w:tc>
          <w:tcPr>
            <w:tcW w:w="1593" w:type="dxa"/>
            <w:vMerge/>
            <w:vAlign w:val="center"/>
          </w:tcPr>
          <w:p w:rsidR="002A5A5E" w:rsidRPr="00F9522B" w:rsidRDefault="002A5A5E">
            <w:pPr>
              <w:spacing w:line="0" w:lineRule="atLeast"/>
              <w:jc w:val="center"/>
              <w:rPr>
                <w:szCs w:val="21"/>
              </w:rPr>
            </w:pPr>
          </w:p>
        </w:tc>
        <w:tc>
          <w:tcPr>
            <w:tcW w:w="2979"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7"/>
                <w:sz w:val="21"/>
                <w:szCs w:val="21"/>
              </w:rPr>
              <w:t>小二仙草科</w:t>
            </w:r>
          </w:p>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4"/>
                <w:szCs w:val="21"/>
              </w:rPr>
              <w:t>Halorrhagidaceae</w:t>
            </w:r>
          </w:p>
        </w:tc>
        <w:tc>
          <w:tcPr>
            <w:tcW w:w="3633"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23"/>
                <w:position w:val="2"/>
                <w:sz w:val="21"/>
                <w:szCs w:val="21"/>
              </w:rPr>
              <w:t>穗状狐尾藻</w:t>
            </w:r>
            <w:r w:rsidRPr="00F9522B">
              <w:rPr>
                <w:i/>
                <w:iCs/>
                <w:color w:val="auto"/>
                <w:position w:val="2"/>
                <w:sz w:val="21"/>
                <w:szCs w:val="21"/>
              </w:rPr>
              <w:t>Myriophyllumspicatum</w:t>
            </w:r>
          </w:p>
        </w:tc>
      </w:tr>
      <w:tr w:rsidR="002A5A5E" w:rsidRPr="00F9522B">
        <w:trPr>
          <w:trHeight w:val="343"/>
        </w:trPr>
        <w:tc>
          <w:tcPr>
            <w:tcW w:w="1593" w:type="dxa"/>
            <w:vMerge w:val="restart"/>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7"/>
                <w:sz w:val="21"/>
                <w:szCs w:val="21"/>
              </w:rPr>
              <w:t>单子叶植物</w:t>
            </w:r>
          </w:p>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4"/>
                <w:szCs w:val="21"/>
              </w:rPr>
              <w:t>Monocotyledoneae</w:t>
            </w:r>
          </w:p>
        </w:tc>
        <w:tc>
          <w:tcPr>
            <w:tcW w:w="2979" w:type="dxa"/>
            <w:vMerge w:val="restart"/>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3"/>
                <w:sz w:val="21"/>
                <w:szCs w:val="21"/>
              </w:rPr>
              <w:t>香蒲科</w:t>
            </w:r>
            <w:r w:rsidRPr="00F9522B">
              <w:rPr>
                <w:color w:val="auto"/>
                <w:sz w:val="21"/>
                <w:szCs w:val="21"/>
              </w:rPr>
              <w:t>Typhaceae</w:t>
            </w:r>
          </w:p>
        </w:tc>
        <w:tc>
          <w:tcPr>
            <w:tcW w:w="3633"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4"/>
                <w:position w:val="2"/>
                <w:sz w:val="21"/>
                <w:szCs w:val="21"/>
              </w:rPr>
              <w:t>香蒲</w:t>
            </w:r>
            <w:r w:rsidRPr="00F9522B">
              <w:rPr>
                <w:i/>
                <w:iCs/>
                <w:color w:val="auto"/>
                <w:position w:val="2"/>
                <w:sz w:val="21"/>
                <w:szCs w:val="21"/>
              </w:rPr>
              <w:t>Typhaorientalis</w:t>
            </w:r>
          </w:p>
        </w:tc>
      </w:tr>
      <w:tr w:rsidR="002A5A5E" w:rsidRPr="00F9522B">
        <w:trPr>
          <w:trHeight w:val="342"/>
        </w:trPr>
        <w:tc>
          <w:tcPr>
            <w:tcW w:w="1593" w:type="dxa"/>
            <w:vMerge/>
            <w:vAlign w:val="center"/>
          </w:tcPr>
          <w:p w:rsidR="002A5A5E" w:rsidRPr="00F9522B" w:rsidRDefault="002A5A5E">
            <w:pPr>
              <w:spacing w:line="0" w:lineRule="atLeast"/>
              <w:jc w:val="center"/>
              <w:rPr>
                <w:szCs w:val="21"/>
              </w:rPr>
            </w:pPr>
          </w:p>
        </w:tc>
        <w:tc>
          <w:tcPr>
            <w:tcW w:w="2979" w:type="dxa"/>
            <w:vMerge/>
            <w:vAlign w:val="center"/>
          </w:tcPr>
          <w:p w:rsidR="002A5A5E" w:rsidRPr="00F9522B" w:rsidRDefault="002A5A5E">
            <w:pPr>
              <w:spacing w:line="0" w:lineRule="atLeast"/>
              <w:jc w:val="center"/>
              <w:rPr>
                <w:szCs w:val="21"/>
              </w:rPr>
            </w:pPr>
          </w:p>
        </w:tc>
        <w:tc>
          <w:tcPr>
            <w:tcW w:w="3633"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4"/>
                <w:position w:val="2"/>
                <w:sz w:val="21"/>
                <w:szCs w:val="21"/>
              </w:rPr>
              <w:t>狭叶香蒲</w:t>
            </w:r>
            <w:r w:rsidRPr="00F9522B">
              <w:rPr>
                <w:i/>
                <w:iCs/>
                <w:color w:val="auto"/>
                <w:position w:val="2"/>
                <w:sz w:val="21"/>
                <w:szCs w:val="21"/>
              </w:rPr>
              <w:t>Typhaangustifolia</w:t>
            </w:r>
          </w:p>
        </w:tc>
      </w:tr>
      <w:tr w:rsidR="002A5A5E" w:rsidRPr="00F9522B">
        <w:trPr>
          <w:trHeight w:val="343"/>
        </w:trPr>
        <w:tc>
          <w:tcPr>
            <w:tcW w:w="1593" w:type="dxa"/>
            <w:vMerge/>
            <w:vAlign w:val="center"/>
          </w:tcPr>
          <w:p w:rsidR="002A5A5E" w:rsidRPr="00F9522B" w:rsidRDefault="002A5A5E">
            <w:pPr>
              <w:spacing w:line="0" w:lineRule="atLeast"/>
              <w:jc w:val="center"/>
              <w:rPr>
                <w:szCs w:val="21"/>
              </w:rPr>
            </w:pPr>
          </w:p>
        </w:tc>
        <w:tc>
          <w:tcPr>
            <w:tcW w:w="2979"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8"/>
                <w:sz w:val="21"/>
                <w:szCs w:val="21"/>
              </w:rPr>
              <w:t>禾本科</w:t>
            </w:r>
            <w:r w:rsidRPr="00F9522B">
              <w:rPr>
                <w:color w:val="auto"/>
                <w:sz w:val="21"/>
                <w:szCs w:val="21"/>
              </w:rPr>
              <w:t>Gramineae</w:t>
            </w:r>
          </w:p>
        </w:tc>
        <w:tc>
          <w:tcPr>
            <w:tcW w:w="3633"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34"/>
                <w:position w:val="2"/>
                <w:sz w:val="21"/>
                <w:szCs w:val="21"/>
              </w:rPr>
              <w:t>芦苇</w:t>
            </w:r>
            <w:r w:rsidRPr="00F9522B">
              <w:rPr>
                <w:i/>
                <w:iCs/>
                <w:color w:val="auto"/>
                <w:position w:val="2"/>
                <w:sz w:val="21"/>
                <w:szCs w:val="21"/>
              </w:rPr>
              <w:t>Phragmitescommunis</w:t>
            </w:r>
          </w:p>
        </w:tc>
      </w:tr>
      <w:tr w:rsidR="002A5A5E" w:rsidRPr="00F9522B">
        <w:trPr>
          <w:trHeight w:val="343"/>
        </w:trPr>
        <w:tc>
          <w:tcPr>
            <w:tcW w:w="1593" w:type="dxa"/>
            <w:vMerge/>
            <w:vAlign w:val="center"/>
          </w:tcPr>
          <w:p w:rsidR="002A5A5E" w:rsidRPr="00F9522B" w:rsidRDefault="002A5A5E">
            <w:pPr>
              <w:spacing w:line="0" w:lineRule="atLeast"/>
              <w:jc w:val="center"/>
              <w:rPr>
                <w:szCs w:val="21"/>
              </w:rPr>
            </w:pPr>
          </w:p>
        </w:tc>
        <w:tc>
          <w:tcPr>
            <w:tcW w:w="2979" w:type="dxa"/>
            <w:vMerge w:val="restart"/>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8"/>
                <w:sz w:val="21"/>
                <w:szCs w:val="21"/>
              </w:rPr>
              <w:t>莎草科</w:t>
            </w:r>
            <w:r w:rsidRPr="00F9522B">
              <w:rPr>
                <w:color w:val="auto"/>
                <w:sz w:val="21"/>
                <w:szCs w:val="21"/>
              </w:rPr>
              <w:t>Cyperaceae</w:t>
            </w:r>
          </w:p>
        </w:tc>
        <w:tc>
          <w:tcPr>
            <w:tcW w:w="3633"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7"/>
                <w:sz w:val="21"/>
                <w:szCs w:val="21"/>
              </w:rPr>
              <w:t>头穗莎草</w:t>
            </w:r>
            <w:r w:rsidRPr="00F9522B">
              <w:rPr>
                <w:color w:val="auto"/>
                <w:sz w:val="21"/>
                <w:szCs w:val="21"/>
              </w:rPr>
              <w:t>Carexglomeratus</w:t>
            </w:r>
          </w:p>
        </w:tc>
      </w:tr>
      <w:tr w:rsidR="002A5A5E" w:rsidRPr="00F9522B">
        <w:trPr>
          <w:trHeight w:val="366"/>
        </w:trPr>
        <w:tc>
          <w:tcPr>
            <w:tcW w:w="1593" w:type="dxa"/>
            <w:vMerge/>
            <w:vAlign w:val="center"/>
          </w:tcPr>
          <w:p w:rsidR="002A5A5E" w:rsidRPr="00F9522B" w:rsidRDefault="002A5A5E">
            <w:pPr>
              <w:spacing w:line="0" w:lineRule="atLeast"/>
              <w:jc w:val="center"/>
              <w:rPr>
                <w:szCs w:val="21"/>
              </w:rPr>
            </w:pPr>
          </w:p>
        </w:tc>
        <w:tc>
          <w:tcPr>
            <w:tcW w:w="2979" w:type="dxa"/>
            <w:vMerge/>
            <w:vAlign w:val="center"/>
          </w:tcPr>
          <w:p w:rsidR="002A5A5E" w:rsidRPr="00F9522B" w:rsidRDefault="002A5A5E">
            <w:pPr>
              <w:spacing w:line="0" w:lineRule="atLeast"/>
              <w:jc w:val="center"/>
              <w:rPr>
                <w:szCs w:val="21"/>
              </w:rPr>
            </w:pPr>
          </w:p>
        </w:tc>
        <w:tc>
          <w:tcPr>
            <w:tcW w:w="3633"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4"/>
                <w:position w:val="2"/>
                <w:sz w:val="21"/>
                <w:szCs w:val="21"/>
              </w:rPr>
              <w:t>球穗苔草</w:t>
            </w:r>
            <w:r w:rsidRPr="00F9522B">
              <w:rPr>
                <w:i/>
                <w:iCs/>
                <w:color w:val="auto"/>
                <w:position w:val="2"/>
                <w:sz w:val="21"/>
                <w:szCs w:val="21"/>
              </w:rPr>
              <w:t>Carexglobularis</w:t>
            </w:r>
          </w:p>
        </w:tc>
      </w:tr>
    </w:tbl>
    <w:p w:rsidR="002A5A5E" w:rsidRPr="00F9522B" w:rsidRDefault="005273A1" w:rsidP="00611CBA">
      <w:pPr>
        <w:pStyle w:val="ab"/>
        <w:spacing w:after="0" w:line="360" w:lineRule="auto"/>
        <w:ind w:firstLineChars="200" w:firstLine="482"/>
        <w:rPr>
          <w:b/>
          <w:bCs/>
          <w:spacing w:val="-5"/>
          <w:sz w:val="24"/>
        </w:rPr>
      </w:pPr>
      <w:r w:rsidRPr="00F9522B">
        <w:rPr>
          <w:b/>
          <w:bCs/>
          <w:spacing w:val="-5"/>
          <w:sz w:val="24"/>
        </w:rPr>
        <w:fldChar w:fldCharType="begin"/>
      </w:r>
      <w:r w:rsidR="00611CBA" w:rsidRPr="00F9522B">
        <w:rPr>
          <w:b/>
          <w:bCs/>
          <w:spacing w:val="-5"/>
          <w:sz w:val="24"/>
        </w:rPr>
        <w:instrText xml:space="preserve"> = 2 \* GB3 </w:instrText>
      </w:r>
      <w:r w:rsidRPr="00F9522B">
        <w:rPr>
          <w:b/>
          <w:bCs/>
          <w:spacing w:val="-5"/>
          <w:sz w:val="24"/>
        </w:rPr>
        <w:fldChar w:fldCharType="separate"/>
      </w:r>
      <w:r w:rsidR="00611CBA" w:rsidRPr="00F9522B">
        <w:rPr>
          <w:rFonts w:ascii="宋体" w:hAnsi="宋体" w:cs="宋体" w:hint="eastAsia"/>
          <w:b/>
          <w:bCs/>
          <w:spacing w:val="-5"/>
          <w:sz w:val="24"/>
        </w:rPr>
        <w:t>②</w:t>
      </w:r>
      <w:r w:rsidRPr="00F9522B">
        <w:rPr>
          <w:b/>
          <w:bCs/>
          <w:spacing w:val="-5"/>
          <w:sz w:val="24"/>
        </w:rPr>
        <w:fldChar w:fldCharType="end"/>
      </w:r>
      <w:r w:rsidR="00611CBA" w:rsidRPr="00F9522B">
        <w:rPr>
          <w:b/>
          <w:bCs/>
          <w:spacing w:val="-5"/>
          <w:sz w:val="24"/>
        </w:rPr>
        <w:t>种类组成特点</w:t>
      </w:r>
    </w:p>
    <w:p w:rsidR="002A5A5E" w:rsidRPr="00F9522B" w:rsidRDefault="00611CBA">
      <w:pPr>
        <w:pStyle w:val="2fa"/>
        <w:ind w:firstLine="480"/>
        <w:contextualSpacing/>
        <w:rPr>
          <w:rFonts w:ascii="Times New Roman" w:hAnsi="Times New Roman" w:cs="Times New Roman"/>
        </w:rPr>
      </w:pPr>
      <w:r w:rsidRPr="00F9522B">
        <w:rPr>
          <w:rFonts w:ascii="Times New Roman" w:hAnsi="Times New Roman" w:cs="Times New Roman"/>
        </w:rPr>
        <w:t>调查期间，评价水域水生维管植物中多为广布种类，主要优势种类为芦苇、眼子菜和东北金鱼藻等。主要存在以下水生维管植物群落：</w:t>
      </w:r>
      <w:r w:rsidRPr="00F9522B">
        <w:rPr>
          <w:rFonts w:ascii="Times New Roman" w:hAnsi="Times New Roman" w:cs="Times New Roman"/>
        </w:rPr>
        <w:t>1.</w:t>
      </w:r>
      <w:r w:rsidRPr="00F9522B">
        <w:rPr>
          <w:rFonts w:ascii="Times New Roman" w:hAnsi="Times New Roman" w:cs="Times New Roman"/>
        </w:rPr>
        <w:t>香蒲群落，该群落的特点是：植物种类少，主要是香蒲科、禾本科和莎草科，有少量眼子菜科植物，群落外貌整齐。香蒲为单优势种，常伴生芦苇及少数莎草等。</w:t>
      </w:r>
      <w:r w:rsidRPr="00F9522B">
        <w:rPr>
          <w:rFonts w:ascii="Times New Roman" w:hAnsi="Times New Roman" w:cs="Times New Roman"/>
        </w:rPr>
        <w:t>2.</w:t>
      </w:r>
      <w:r w:rsidRPr="00F9522B">
        <w:rPr>
          <w:rFonts w:ascii="Times New Roman" w:hAnsi="Times New Roman" w:cs="Times New Roman"/>
        </w:rPr>
        <w:t>芦苇群落，伴生植物有香蒲，水面浮叶植物萍，水中沉水植物眼子菜、轮叶狐尾藻等。</w:t>
      </w:r>
      <w:r w:rsidRPr="00F9522B">
        <w:rPr>
          <w:rFonts w:ascii="Times New Roman" w:hAnsi="Times New Roman" w:cs="Times New Roman"/>
        </w:rPr>
        <w:t>3.</w:t>
      </w:r>
      <w:r w:rsidR="00F77DD2" w:rsidRPr="00F9522B">
        <w:rPr>
          <w:rFonts w:ascii="Times New Roman" w:hAnsi="Times New Roman" w:cs="Times New Roman"/>
        </w:rPr>
        <w:t>眼子菜群落，呈带状或斑状分布</w:t>
      </w:r>
      <w:r w:rsidRPr="00F9522B">
        <w:rPr>
          <w:rFonts w:ascii="Times New Roman" w:hAnsi="Times New Roman" w:cs="Times New Roman"/>
        </w:rPr>
        <w:t>。眼子菜科植物，根状茎细长，多分枝，叶呈条形，边缘有细齿常皱折或波状，叶片较柔软，在水中飘荡。常为单种群落，生物量较大，是食草鱼类的饵料，也是仔稚幼鱼的庇护场所。</w:t>
      </w:r>
      <w:r w:rsidRPr="00F9522B">
        <w:rPr>
          <w:rFonts w:ascii="Times New Roman" w:hAnsi="Times New Roman" w:cs="Times New Roman"/>
        </w:rPr>
        <w:t>4.</w:t>
      </w:r>
      <w:r w:rsidRPr="00F9522B">
        <w:rPr>
          <w:rFonts w:ascii="Times New Roman" w:hAnsi="Times New Roman" w:cs="Times New Roman"/>
        </w:rPr>
        <w:t>狐尾藻群落，穗状狐尾藻占主要优势，伴生植物有眼子菜等。</w:t>
      </w:r>
    </w:p>
    <w:p w:rsidR="002A5A5E" w:rsidRPr="00F9522B" w:rsidRDefault="00250C31">
      <w:pPr>
        <w:pStyle w:val="ab"/>
        <w:spacing w:after="0" w:line="360" w:lineRule="auto"/>
        <w:ind w:firstLineChars="200" w:firstLine="458"/>
        <w:rPr>
          <w:b/>
          <w:bCs/>
          <w:spacing w:val="-6"/>
          <w:sz w:val="24"/>
        </w:rPr>
      </w:pPr>
      <w:r w:rsidRPr="00F9522B">
        <w:rPr>
          <w:b/>
          <w:bCs/>
          <w:spacing w:val="-6"/>
          <w:sz w:val="24"/>
        </w:rPr>
        <w:t>5</w:t>
      </w:r>
      <w:r w:rsidR="00611CBA" w:rsidRPr="00F9522B">
        <w:rPr>
          <w:b/>
          <w:bCs/>
          <w:spacing w:val="-6"/>
          <w:sz w:val="24"/>
        </w:rPr>
        <w:t>）鱼类</w:t>
      </w:r>
    </w:p>
    <w:p w:rsidR="002A5A5E" w:rsidRPr="00F9522B" w:rsidRDefault="00611CBA">
      <w:pPr>
        <w:pStyle w:val="2fa"/>
        <w:ind w:firstLine="482"/>
        <w:contextualSpacing/>
        <w:rPr>
          <w:rFonts w:ascii="Times New Roman" w:hAnsi="Times New Roman" w:cs="Times New Roman"/>
          <w:b/>
        </w:rPr>
      </w:pPr>
      <w:r w:rsidRPr="00F9522B">
        <w:rPr>
          <w:rFonts w:ascii="Times New Roman" w:hAnsi="Times New Roman" w:cs="Times New Roman"/>
          <w:b/>
        </w:rPr>
        <w:t>一、鱼类组成特点</w:t>
      </w:r>
    </w:p>
    <w:p w:rsidR="002A5A5E" w:rsidRPr="00F9522B" w:rsidRDefault="00611CBA">
      <w:pPr>
        <w:pStyle w:val="2fa"/>
        <w:ind w:firstLine="482"/>
        <w:contextualSpacing/>
        <w:rPr>
          <w:rFonts w:ascii="Times New Roman" w:hAnsi="Times New Roman" w:cs="Times New Roman"/>
        </w:rPr>
      </w:pPr>
      <w:r w:rsidRPr="00F9522B">
        <w:rPr>
          <w:rFonts w:ascii="Times New Roman" w:hAnsi="Times New Roman" w:cs="Times New Roman"/>
          <w:b/>
          <w:bCs/>
        </w:rPr>
        <w:t>渔获物组成</w:t>
      </w:r>
    </w:p>
    <w:p w:rsidR="002A5A5E" w:rsidRPr="00F9522B" w:rsidRDefault="00611CBA">
      <w:pPr>
        <w:pStyle w:val="2fa"/>
        <w:ind w:firstLine="480"/>
        <w:contextualSpacing/>
        <w:rPr>
          <w:rFonts w:ascii="Times New Roman" w:hAnsi="Times New Roman" w:cs="Times New Roman"/>
        </w:rPr>
      </w:pPr>
      <w:r w:rsidRPr="00F9522B">
        <w:rPr>
          <w:rFonts w:ascii="Times New Roman" w:hAnsi="Times New Roman" w:cs="Times New Roman"/>
        </w:rPr>
        <w:t>春季调查期间，在</w:t>
      </w:r>
      <w:r w:rsidR="00E34F94" w:rsidRPr="00F9522B">
        <w:rPr>
          <w:rFonts w:ascii="Times New Roman" w:hAnsi="Times New Roman" w:cs="Times New Roman"/>
          <w:smallCaps/>
        </w:rPr>
        <w:t>公家沟农田退水入松花江口及下游</w:t>
      </w:r>
      <w:r w:rsidR="00E34F94" w:rsidRPr="00F9522B">
        <w:rPr>
          <w:rFonts w:ascii="Times New Roman" w:hAnsi="Times New Roman" w:cs="Times New Roman"/>
          <w:smallCaps/>
        </w:rPr>
        <w:t>1000</w:t>
      </w:r>
      <w:r w:rsidR="00E34F94" w:rsidRPr="00F9522B">
        <w:rPr>
          <w:rFonts w:ascii="Times New Roman" w:hAnsi="Times New Roman" w:cs="Times New Roman"/>
          <w:smallCaps/>
        </w:rPr>
        <w:t>米</w:t>
      </w:r>
      <w:r w:rsidRPr="00F9522B">
        <w:rPr>
          <w:rFonts w:ascii="Times New Roman" w:hAnsi="Times New Roman" w:cs="Times New Roman"/>
        </w:rPr>
        <w:t>统计</w:t>
      </w:r>
      <w:r w:rsidRPr="00F9522B">
        <w:rPr>
          <w:rFonts w:ascii="Times New Roman" w:hAnsi="Times New Roman" w:cs="Times New Roman"/>
        </w:rPr>
        <w:t>8</w:t>
      </w:r>
      <w:r w:rsidRPr="00F9522B">
        <w:rPr>
          <w:rFonts w:ascii="Times New Roman" w:hAnsi="Times New Roman" w:cs="Times New Roman"/>
        </w:rPr>
        <w:t>个地笼，共采集鱼类</w:t>
      </w:r>
      <w:r w:rsidRPr="00F9522B">
        <w:rPr>
          <w:rFonts w:ascii="Times New Roman" w:hAnsi="Times New Roman" w:cs="Times New Roman"/>
        </w:rPr>
        <w:t>2</w:t>
      </w:r>
      <w:r w:rsidR="00F77DD2" w:rsidRPr="00F9522B">
        <w:rPr>
          <w:rFonts w:ascii="Times New Roman" w:hAnsi="Times New Roman" w:cs="Times New Roman"/>
        </w:rPr>
        <w:t>62</w:t>
      </w:r>
      <w:r w:rsidRPr="00F9522B">
        <w:rPr>
          <w:rFonts w:ascii="Times New Roman" w:hAnsi="Times New Roman" w:cs="Times New Roman"/>
        </w:rPr>
        <w:t xml:space="preserve"> </w:t>
      </w:r>
      <w:r w:rsidRPr="00F9522B">
        <w:rPr>
          <w:rFonts w:ascii="Times New Roman" w:hAnsi="Times New Roman" w:cs="Times New Roman"/>
        </w:rPr>
        <w:t>尾，重量为</w:t>
      </w:r>
      <w:r w:rsidRPr="00F9522B">
        <w:rPr>
          <w:rFonts w:ascii="Times New Roman" w:hAnsi="Times New Roman" w:cs="Times New Roman"/>
        </w:rPr>
        <w:t>3</w:t>
      </w:r>
      <w:r w:rsidR="00F77DD2" w:rsidRPr="00F9522B">
        <w:rPr>
          <w:rFonts w:ascii="Times New Roman" w:hAnsi="Times New Roman" w:cs="Times New Roman"/>
        </w:rPr>
        <w:t>8</w:t>
      </w:r>
      <w:r w:rsidRPr="00F9522B">
        <w:rPr>
          <w:rFonts w:ascii="Times New Roman" w:hAnsi="Times New Roman" w:cs="Times New Roman"/>
        </w:rPr>
        <w:t>6</w:t>
      </w:r>
      <w:r w:rsidR="00F77DD2" w:rsidRPr="00F9522B">
        <w:rPr>
          <w:rFonts w:ascii="Times New Roman" w:hAnsi="Times New Roman" w:cs="Times New Roman"/>
        </w:rPr>
        <w:t>2</w:t>
      </w:r>
      <w:r w:rsidRPr="00F9522B">
        <w:rPr>
          <w:rFonts w:ascii="Times New Roman" w:hAnsi="Times New Roman" w:cs="Times New Roman"/>
        </w:rPr>
        <w:t>.4g</w:t>
      </w:r>
      <w:r w:rsidRPr="00F9522B">
        <w:rPr>
          <w:rFonts w:ascii="Times New Roman" w:hAnsi="Times New Roman" w:cs="Times New Roman"/>
        </w:rPr>
        <w:t>，主要渔获物主要有银鲫、鲇、光泽黄颡鱼、</w:t>
      </w:r>
      <w:r w:rsidRPr="00F9522B">
        <w:rPr>
          <w:rFonts w:ascii="Times New Roman" w:hAnsi="Times New Roman" w:cs="Times New Roman"/>
        </w:rPr>
        <w:lastRenderedPageBreak/>
        <w:t>花䱻、葛氏鲈塘鳢、棒花鱼、瓦氏雅罗鱼、银鲴、褐栉鰕虎鱼、波氏鰕虎鱼、条纹似白驹、黑龙江鰟鲏、鲤。</w:t>
      </w:r>
      <w:r w:rsidRPr="00F9522B">
        <w:rPr>
          <w:rFonts w:ascii="Times New Roman" w:hAnsi="Times New Roman" w:cs="Times New Roman"/>
          <w:spacing w:val="2"/>
        </w:rPr>
        <w:t>秋</w:t>
      </w:r>
      <w:r w:rsidRPr="00F9522B">
        <w:rPr>
          <w:rFonts w:ascii="Times New Roman" w:hAnsi="Times New Roman" w:cs="Times New Roman"/>
        </w:rPr>
        <w:t>季调查期间，在</w:t>
      </w:r>
      <w:r w:rsidR="00E34F94" w:rsidRPr="00F9522B">
        <w:rPr>
          <w:rFonts w:ascii="Times New Roman" w:hAnsi="Times New Roman" w:cs="Times New Roman"/>
          <w:smallCaps/>
        </w:rPr>
        <w:t>公家沟农田退水入松花江口及下游</w:t>
      </w:r>
      <w:r w:rsidR="00E34F94" w:rsidRPr="00F9522B">
        <w:rPr>
          <w:rFonts w:ascii="Times New Roman" w:hAnsi="Times New Roman" w:cs="Times New Roman"/>
          <w:smallCaps/>
        </w:rPr>
        <w:t>1000</w:t>
      </w:r>
      <w:r w:rsidR="00E34F94" w:rsidRPr="00F9522B">
        <w:rPr>
          <w:rFonts w:ascii="Times New Roman" w:hAnsi="Times New Roman" w:cs="Times New Roman"/>
          <w:smallCaps/>
        </w:rPr>
        <w:t>米</w:t>
      </w:r>
      <w:r w:rsidRPr="00F9522B">
        <w:rPr>
          <w:rFonts w:ascii="Times New Roman" w:hAnsi="Times New Roman" w:cs="Times New Roman"/>
        </w:rPr>
        <w:t>统计</w:t>
      </w:r>
      <w:r w:rsidRPr="00F9522B">
        <w:rPr>
          <w:rFonts w:ascii="Times New Roman" w:hAnsi="Times New Roman" w:cs="Times New Roman"/>
        </w:rPr>
        <w:t>8</w:t>
      </w:r>
      <w:r w:rsidRPr="00F9522B">
        <w:rPr>
          <w:rFonts w:ascii="Times New Roman" w:hAnsi="Times New Roman" w:cs="Times New Roman"/>
        </w:rPr>
        <w:t>个地笼，共采集鱼类</w:t>
      </w:r>
      <w:r w:rsidRPr="00F9522B">
        <w:rPr>
          <w:rFonts w:ascii="Times New Roman" w:hAnsi="Times New Roman" w:cs="Times New Roman"/>
        </w:rPr>
        <w:t>7</w:t>
      </w:r>
      <w:r w:rsidR="00E34F94" w:rsidRPr="00F9522B">
        <w:rPr>
          <w:rFonts w:ascii="Times New Roman" w:hAnsi="Times New Roman" w:cs="Times New Roman"/>
        </w:rPr>
        <w:t>38</w:t>
      </w:r>
      <w:r w:rsidRPr="00F9522B">
        <w:rPr>
          <w:rFonts w:ascii="Times New Roman" w:hAnsi="Times New Roman" w:cs="Times New Roman"/>
        </w:rPr>
        <w:t>尾，重量为</w:t>
      </w:r>
      <w:r w:rsidRPr="00F9522B">
        <w:rPr>
          <w:rFonts w:ascii="Times New Roman" w:hAnsi="Times New Roman" w:cs="Times New Roman"/>
        </w:rPr>
        <w:t>4</w:t>
      </w:r>
      <w:r w:rsidR="00E34F94" w:rsidRPr="00F9522B">
        <w:rPr>
          <w:rFonts w:ascii="Times New Roman" w:hAnsi="Times New Roman" w:cs="Times New Roman"/>
        </w:rPr>
        <w:t>41</w:t>
      </w:r>
      <w:r w:rsidRPr="00F9522B">
        <w:rPr>
          <w:rFonts w:ascii="Times New Roman" w:hAnsi="Times New Roman" w:cs="Times New Roman"/>
        </w:rPr>
        <w:t>0.</w:t>
      </w:r>
      <w:r w:rsidR="00E34F94" w:rsidRPr="00F9522B">
        <w:rPr>
          <w:rFonts w:ascii="Times New Roman" w:hAnsi="Times New Roman" w:cs="Times New Roman"/>
        </w:rPr>
        <w:t>2</w:t>
      </w:r>
      <w:r w:rsidRPr="00F9522B">
        <w:rPr>
          <w:rFonts w:ascii="Times New Roman" w:hAnsi="Times New Roman" w:cs="Times New Roman"/>
        </w:rPr>
        <w:t>g</w:t>
      </w:r>
      <w:r w:rsidRPr="00F9522B">
        <w:rPr>
          <w:rFonts w:ascii="Times New Roman" w:hAnsi="Times New Roman" w:cs="Times New Roman"/>
        </w:rPr>
        <w:t>，主要渔获物主要有黑龙江泥鳅、棒花鱼、条纹似白鮈、鲇、兴凯鱊、黑龙江花鳅、褐栉鰕虎鱼、黑龙江鰟鲏、突吻鮈、光泽黄颡鱼、银鲫、葛</w:t>
      </w:r>
      <w:r w:rsidRPr="00F9522B">
        <w:rPr>
          <w:rFonts w:ascii="Times New Roman" w:hAnsi="Times New Roman" w:cs="Times New Roman"/>
        </w:rPr>
        <w:t xml:space="preserve"> </w:t>
      </w:r>
      <w:r w:rsidRPr="00F9522B">
        <w:rPr>
          <w:rFonts w:ascii="Times New Roman" w:hAnsi="Times New Roman" w:cs="Times New Roman"/>
        </w:rPr>
        <w:t>氏鲈塘鳢、马口鱼、花䱻、鲤。</w:t>
      </w:r>
    </w:p>
    <w:p w:rsidR="002A5A5E" w:rsidRPr="00F9522B" w:rsidRDefault="00611CBA">
      <w:pPr>
        <w:pStyle w:val="2fa"/>
        <w:ind w:firstLine="480"/>
        <w:contextualSpacing/>
        <w:rPr>
          <w:rFonts w:ascii="Times New Roman" w:hAnsi="Times New Roman" w:cs="Times New Roman"/>
        </w:rPr>
      </w:pPr>
      <w:r w:rsidRPr="00F9522B">
        <w:rPr>
          <w:rFonts w:ascii="Times New Roman" w:hAnsi="Times New Roman" w:cs="Times New Roman"/>
        </w:rPr>
        <w:t>春季调查期间，在</w:t>
      </w:r>
      <w:r w:rsidR="00E34F94" w:rsidRPr="00F9522B">
        <w:rPr>
          <w:rFonts w:ascii="Times New Roman" w:hAnsi="Times New Roman" w:cs="Times New Roman"/>
          <w:smallCaps/>
        </w:rPr>
        <w:t>公家沟农田退水入松花江口及下游</w:t>
      </w:r>
      <w:r w:rsidR="00E34F94" w:rsidRPr="00F9522B">
        <w:rPr>
          <w:rFonts w:ascii="Times New Roman" w:hAnsi="Times New Roman" w:cs="Times New Roman"/>
          <w:smallCaps/>
        </w:rPr>
        <w:t>1000</w:t>
      </w:r>
      <w:r w:rsidR="00E34F94" w:rsidRPr="00F9522B">
        <w:rPr>
          <w:rFonts w:ascii="Times New Roman" w:hAnsi="Times New Roman" w:cs="Times New Roman"/>
          <w:smallCaps/>
        </w:rPr>
        <w:t>米</w:t>
      </w:r>
      <w:r w:rsidRPr="00F9522B">
        <w:rPr>
          <w:rFonts w:ascii="Times New Roman" w:hAnsi="Times New Roman" w:cs="Times New Roman"/>
        </w:rPr>
        <w:t>统计</w:t>
      </w:r>
      <w:r w:rsidRPr="00F9522B">
        <w:rPr>
          <w:rFonts w:ascii="Times New Roman" w:hAnsi="Times New Roman" w:cs="Times New Roman"/>
        </w:rPr>
        <w:t>8</w:t>
      </w:r>
      <w:r w:rsidRPr="00F9522B">
        <w:rPr>
          <w:rFonts w:ascii="Times New Roman" w:hAnsi="Times New Roman" w:cs="Times New Roman"/>
        </w:rPr>
        <w:t>次三层刺网，共采集鱼类</w:t>
      </w:r>
      <w:r w:rsidRPr="00F9522B">
        <w:rPr>
          <w:rFonts w:ascii="Times New Roman" w:hAnsi="Times New Roman" w:cs="Times New Roman"/>
        </w:rPr>
        <w:t xml:space="preserve"> 4</w:t>
      </w:r>
      <w:r w:rsidR="00E34F94" w:rsidRPr="00F9522B">
        <w:rPr>
          <w:rFonts w:ascii="Times New Roman" w:hAnsi="Times New Roman" w:cs="Times New Roman"/>
        </w:rPr>
        <w:t>6</w:t>
      </w:r>
      <w:r w:rsidRPr="00F9522B">
        <w:rPr>
          <w:rFonts w:ascii="Times New Roman" w:hAnsi="Times New Roman" w:cs="Times New Roman"/>
        </w:rPr>
        <w:t>0</w:t>
      </w:r>
      <w:r w:rsidRPr="00F9522B">
        <w:rPr>
          <w:rFonts w:ascii="Times New Roman" w:hAnsi="Times New Roman" w:cs="Times New Roman"/>
        </w:rPr>
        <w:t>尾，重量为</w:t>
      </w:r>
      <w:r w:rsidRPr="00F9522B">
        <w:rPr>
          <w:rFonts w:ascii="Times New Roman" w:hAnsi="Times New Roman" w:cs="Times New Roman"/>
        </w:rPr>
        <w:t>3</w:t>
      </w:r>
      <w:r w:rsidR="00E34F94" w:rsidRPr="00F9522B">
        <w:rPr>
          <w:rFonts w:ascii="Times New Roman" w:hAnsi="Times New Roman" w:cs="Times New Roman"/>
        </w:rPr>
        <w:t>5</w:t>
      </w:r>
      <w:r w:rsidRPr="00F9522B">
        <w:rPr>
          <w:rFonts w:ascii="Times New Roman" w:hAnsi="Times New Roman" w:cs="Times New Roman"/>
        </w:rPr>
        <w:t>05.</w:t>
      </w:r>
      <w:r w:rsidR="00E34F94" w:rsidRPr="00F9522B">
        <w:rPr>
          <w:rFonts w:ascii="Times New Roman" w:hAnsi="Times New Roman" w:cs="Times New Roman"/>
        </w:rPr>
        <w:t xml:space="preserve"> 8</w:t>
      </w:r>
      <w:r w:rsidRPr="00F9522B">
        <w:rPr>
          <w:rFonts w:ascii="Times New Roman" w:hAnsi="Times New Roman" w:cs="Times New Roman"/>
        </w:rPr>
        <w:t>g</w:t>
      </w:r>
      <w:r w:rsidRPr="00F9522B">
        <w:rPr>
          <w:rFonts w:ascii="Times New Roman" w:hAnsi="Times New Roman" w:cs="Times New Roman"/>
        </w:rPr>
        <w:t>，主要渔获物主要有花䱻、葛氏鲈塘鲤、光泽黄颡鱼、犬首鮈、棒花鱼、细体鮈、鲇、黑龙江花鳅、条纹似白鮈、麦穗鱼、蛇鮈、大鳍鱊、</w:t>
      </w:r>
      <w:r w:rsidRPr="00F9522B">
        <w:rPr>
          <w:rFonts w:ascii="Times New Roman" w:hAnsi="Times New Roman" w:cs="Times New Roman"/>
        </w:rPr>
        <w:t xml:space="preserve"> </w:t>
      </w:r>
      <w:r w:rsidRPr="00F9522B">
        <w:rPr>
          <w:rFonts w:ascii="Times New Roman" w:hAnsi="Times New Roman" w:cs="Times New Roman"/>
        </w:rPr>
        <w:t>黑龙江泥鳅、䱗。</w:t>
      </w:r>
      <w:r w:rsidRPr="00F9522B">
        <w:rPr>
          <w:rFonts w:ascii="Times New Roman" w:hAnsi="Times New Roman" w:cs="Times New Roman"/>
          <w:spacing w:val="2"/>
        </w:rPr>
        <w:t>秋</w:t>
      </w:r>
      <w:r w:rsidRPr="00F9522B">
        <w:rPr>
          <w:rFonts w:ascii="Times New Roman" w:hAnsi="Times New Roman" w:cs="Times New Roman"/>
        </w:rPr>
        <w:t>季调查期间，在</w:t>
      </w:r>
      <w:r w:rsidR="00E34F94" w:rsidRPr="00F9522B">
        <w:rPr>
          <w:rFonts w:ascii="Times New Roman" w:hAnsi="Times New Roman" w:cs="Times New Roman"/>
          <w:smallCaps/>
        </w:rPr>
        <w:t>公家沟农田退水入松花江口及下游</w:t>
      </w:r>
      <w:r w:rsidR="00E34F94" w:rsidRPr="00F9522B">
        <w:rPr>
          <w:rFonts w:ascii="Times New Roman" w:hAnsi="Times New Roman" w:cs="Times New Roman"/>
          <w:smallCaps/>
        </w:rPr>
        <w:t>1000</w:t>
      </w:r>
      <w:r w:rsidR="00E34F94" w:rsidRPr="00F9522B">
        <w:rPr>
          <w:rFonts w:ascii="Times New Roman" w:hAnsi="Times New Roman" w:cs="Times New Roman"/>
          <w:smallCaps/>
        </w:rPr>
        <w:t>米</w:t>
      </w:r>
      <w:r w:rsidRPr="00F9522B">
        <w:rPr>
          <w:rFonts w:ascii="Times New Roman" w:hAnsi="Times New Roman" w:cs="Times New Roman"/>
        </w:rPr>
        <w:t>统计</w:t>
      </w:r>
      <w:r w:rsidRPr="00F9522B">
        <w:rPr>
          <w:rFonts w:ascii="Times New Roman" w:hAnsi="Times New Roman" w:cs="Times New Roman"/>
        </w:rPr>
        <w:t>8</w:t>
      </w:r>
      <w:r w:rsidRPr="00F9522B">
        <w:rPr>
          <w:rFonts w:ascii="Times New Roman" w:hAnsi="Times New Roman" w:cs="Times New Roman"/>
        </w:rPr>
        <w:t>次三层刺网，</w:t>
      </w:r>
      <w:r w:rsidRPr="00F9522B">
        <w:rPr>
          <w:rFonts w:ascii="Times New Roman" w:hAnsi="Times New Roman" w:cs="Times New Roman"/>
        </w:rPr>
        <w:t xml:space="preserve"> </w:t>
      </w:r>
      <w:r w:rsidRPr="00F9522B">
        <w:rPr>
          <w:rFonts w:ascii="Times New Roman" w:hAnsi="Times New Roman" w:cs="Times New Roman"/>
        </w:rPr>
        <w:t>共采集鱼类</w:t>
      </w:r>
      <w:r w:rsidRPr="00F9522B">
        <w:rPr>
          <w:rFonts w:ascii="Times New Roman" w:hAnsi="Times New Roman" w:cs="Times New Roman"/>
        </w:rPr>
        <w:t>5</w:t>
      </w:r>
      <w:r w:rsidR="00E34F94" w:rsidRPr="00F9522B">
        <w:rPr>
          <w:rFonts w:ascii="Times New Roman" w:hAnsi="Times New Roman" w:cs="Times New Roman"/>
        </w:rPr>
        <w:t>20</w:t>
      </w:r>
      <w:r w:rsidRPr="00F9522B">
        <w:rPr>
          <w:rFonts w:ascii="Times New Roman" w:hAnsi="Times New Roman" w:cs="Times New Roman"/>
        </w:rPr>
        <w:t>尾，重量为</w:t>
      </w:r>
      <w:r w:rsidRPr="00F9522B">
        <w:rPr>
          <w:rFonts w:ascii="Times New Roman" w:hAnsi="Times New Roman" w:cs="Times New Roman"/>
        </w:rPr>
        <w:t xml:space="preserve"> 614</w:t>
      </w:r>
      <w:r w:rsidR="00E34F94" w:rsidRPr="00F9522B">
        <w:rPr>
          <w:rFonts w:ascii="Times New Roman" w:hAnsi="Times New Roman" w:cs="Times New Roman"/>
        </w:rPr>
        <w:t>5</w:t>
      </w:r>
      <w:r w:rsidRPr="00F9522B">
        <w:rPr>
          <w:rFonts w:ascii="Times New Roman" w:hAnsi="Times New Roman" w:cs="Times New Roman"/>
        </w:rPr>
        <w:t>.2g</w:t>
      </w:r>
      <w:r w:rsidRPr="00F9522B">
        <w:rPr>
          <w:rFonts w:ascii="Times New Roman" w:hAnsi="Times New Roman" w:cs="Times New Roman"/>
        </w:rPr>
        <w:t>，主要渔获物主要有褐栉鰕虎鱼、波氏栉鰕虎鱼、黄黝鱼、黑龙江泥鳅、黑龙江花鳅、葛氏鲈塘鳢、光泽黄颡鱼、麦穗鱼、䱗、马口鱼、花䱻、棒花鱼、纵带鮠、犬首鮈、大鳍鱊、兴凯鱊。</w:t>
      </w:r>
    </w:p>
    <w:p w:rsidR="002A5A5E" w:rsidRPr="00F9522B" w:rsidRDefault="00611CBA">
      <w:pPr>
        <w:pStyle w:val="2fa"/>
        <w:ind w:firstLine="480"/>
        <w:contextualSpacing/>
        <w:rPr>
          <w:rFonts w:ascii="Times New Roman" w:hAnsi="Times New Roman" w:cs="Times New Roman"/>
        </w:rPr>
      </w:pPr>
      <w:r w:rsidRPr="00F9522B">
        <w:rPr>
          <w:rFonts w:ascii="Times New Roman" w:hAnsi="Times New Roman" w:cs="Times New Roman"/>
        </w:rPr>
        <w:t>调查期间采捕鱼类体长、体重分布见下表。</w:t>
      </w:r>
    </w:p>
    <w:p w:rsidR="002A5A5E" w:rsidRPr="00F9522B" w:rsidRDefault="00611CBA">
      <w:pPr>
        <w:jc w:val="center"/>
        <w:rPr>
          <w:szCs w:val="21"/>
        </w:rPr>
      </w:pPr>
      <w:r w:rsidRPr="00F9522B">
        <w:rPr>
          <w:b/>
          <w:bCs/>
          <w:spacing w:val="-3"/>
          <w:szCs w:val="21"/>
        </w:rPr>
        <w:t>表</w:t>
      </w:r>
      <w:r w:rsidRPr="00F9522B">
        <w:rPr>
          <w:b/>
          <w:bCs/>
          <w:spacing w:val="-3"/>
          <w:szCs w:val="21"/>
        </w:rPr>
        <w:t>4-2-2</w:t>
      </w:r>
      <w:r w:rsidR="00C92D94" w:rsidRPr="00F9522B">
        <w:rPr>
          <w:b/>
          <w:bCs/>
          <w:spacing w:val="-3"/>
          <w:szCs w:val="21"/>
        </w:rPr>
        <w:t>8</w:t>
      </w:r>
      <w:r w:rsidRPr="00F9522B">
        <w:rPr>
          <w:b/>
          <w:bCs/>
          <w:spacing w:val="-3"/>
          <w:szCs w:val="21"/>
        </w:rPr>
        <w:t>渔获物体长和体重实测值</w:t>
      </w:r>
    </w:p>
    <w:tbl>
      <w:tblPr>
        <w:tblStyle w:val="TableNormal"/>
        <w:tblW w:w="8379" w:type="dxa"/>
        <w:tblInd w:w="108" w:type="dxa"/>
        <w:tblBorders>
          <w:top w:val="single" w:sz="12" w:space="0" w:color="000000"/>
          <w:bottom w:val="single" w:sz="12" w:space="0" w:color="000000"/>
          <w:insideH w:val="single" w:sz="2" w:space="0" w:color="000000"/>
          <w:insideV w:val="single" w:sz="2" w:space="0" w:color="000000"/>
        </w:tblBorders>
        <w:tblLayout w:type="fixed"/>
        <w:tblLook w:val="04A0"/>
      </w:tblPr>
      <w:tblGrid>
        <w:gridCol w:w="1276"/>
        <w:gridCol w:w="1581"/>
        <w:gridCol w:w="1547"/>
        <w:gridCol w:w="1534"/>
        <w:gridCol w:w="1675"/>
        <w:gridCol w:w="766"/>
      </w:tblGrid>
      <w:tr w:rsidR="002A5A5E" w:rsidRPr="00F9522B">
        <w:trPr>
          <w:trHeight w:val="353"/>
        </w:trPr>
        <w:tc>
          <w:tcPr>
            <w:tcW w:w="1276" w:type="dxa"/>
            <w:vMerge w:val="restart"/>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4"/>
                <w:sz w:val="21"/>
                <w:szCs w:val="21"/>
              </w:rPr>
              <w:t>种类</w:t>
            </w:r>
          </w:p>
        </w:tc>
        <w:tc>
          <w:tcPr>
            <w:tcW w:w="3128" w:type="dxa"/>
            <w:gridSpan w:val="2"/>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7"/>
                <w:sz w:val="21"/>
                <w:szCs w:val="21"/>
              </w:rPr>
              <w:t>全长</w:t>
            </w:r>
            <w:r w:rsidRPr="00F9522B">
              <w:rPr>
                <w:color w:val="auto"/>
                <w:spacing w:val="7"/>
                <w:sz w:val="21"/>
                <w:szCs w:val="21"/>
              </w:rPr>
              <w:t>/</w:t>
            </w:r>
            <w:r w:rsidRPr="00F9522B">
              <w:rPr>
                <w:color w:val="auto"/>
                <w:sz w:val="21"/>
                <w:szCs w:val="21"/>
              </w:rPr>
              <w:t>mm</w:t>
            </w:r>
          </w:p>
        </w:tc>
        <w:tc>
          <w:tcPr>
            <w:tcW w:w="3209" w:type="dxa"/>
            <w:gridSpan w:val="2"/>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3"/>
                <w:sz w:val="21"/>
                <w:szCs w:val="21"/>
              </w:rPr>
              <w:t>体重</w:t>
            </w:r>
            <w:r w:rsidRPr="00F9522B">
              <w:rPr>
                <w:color w:val="auto"/>
                <w:spacing w:val="3"/>
                <w:sz w:val="21"/>
                <w:szCs w:val="21"/>
              </w:rPr>
              <w:t>/g</w:t>
            </w:r>
          </w:p>
        </w:tc>
        <w:tc>
          <w:tcPr>
            <w:tcW w:w="766" w:type="dxa"/>
            <w:vMerge w:val="restart"/>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4"/>
                <w:sz w:val="21"/>
                <w:szCs w:val="21"/>
              </w:rPr>
              <w:t>尾数</w:t>
            </w:r>
          </w:p>
        </w:tc>
      </w:tr>
      <w:tr w:rsidR="002A5A5E" w:rsidRPr="00F9522B">
        <w:trPr>
          <w:trHeight w:val="348"/>
        </w:trPr>
        <w:tc>
          <w:tcPr>
            <w:tcW w:w="1276" w:type="dxa"/>
            <w:vMerge/>
            <w:vAlign w:val="center"/>
          </w:tcPr>
          <w:p w:rsidR="002A5A5E" w:rsidRPr="00F9522B" w:rsidRDefault="002A5A5E">
            <w:pPr>
              <w:spacing w:line="0" w:lineRule="atLeast"/>
              <w:jc w:val="center"/>
              <w:rPr>
                <w:szCs w:val="21"/>
              </w:rPr>
            </w:pPr>
          </w:p>
        </w:tc>
        <w:tc>
          <w:tcPr>
            <w:tcW w:w="1581"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8"/>
                <w:sz w:val="21"/>
                <w:szCs w:val="21"/>
              </w:rPr>
              <w:t>平均值</w:t>
            </w:r>
            <w:r w:rsidRPr="00F9522B">
              <w:rPr>
                <w:color w:val="auto"/>
                <w:spacing w:val="8"/>
                <w:sz w:val="21"/>
                <w:szCs w:val="21"/>
              </w:rPr>
              <w:t>±</w:t>
            </w:r>
            <w:r w:rsidRPr="00F9522B">
              <w:rPr>
                <w:rFonts w:eastAsia="宋体"/>
                <w:color w:val="auto"/>
                <w:spacing w:val="8"/>
                <w:sz w:val="21"/>
                <w:szCs w:val="21"/>
              </w:rPr>
              <w:t>标准差</w:t>
            </w:r>
          </w:p>
        </w:tc>
        <w:tc>
          <w:tcPr>
            <w:tcW w:w="1547"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4"/>
                <w:sz w:val="21"/>
                <w:szCs w:val="21"/>
              </w:rPr>
              <w:t>变幅</w:t>
            </w:r>
          </w:p>
        </w:tc>
        <w:tc>
          <w:tcPr>
            <w:tcW w:w="1534"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7"/>
                <w:sz w:val="21"/>
                <w:szCs w:val="21"/>
              </w:rPr>
              <w:t>平均值</w:t>
            </w:r>
            <w:r w:rsidRPr="00F9522B">
              <w:rPr>
                <w:color w:val="auto"/>
                <w:spacing w:val="7"/>
                <w:sz w:val="21"/>
                <w:szCs w:val="21"/>
              </w:rPr>
              <w:t>±</w:t>
            </w:r>
            <w:r w:rsidRPr="00F9522B">
              <w:rPr>
                <w:rFonts w:eastAsia="宋体"/>
                <w:color w:val="auto"/>
                <w:spacing w:val="7"/>
                <w:sz w:val="21"/>
                <w:szCs w:val="21"/>
              </w:rPr>
              <w:t>标准差</w:t>
            </w:r>
          </w:p>
        </w:tc>
        <w:tc>
          <w:tcPr>
            <w:tcW w:w="1675"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4"/>
                <w:sz w:val="21"/>
                <w:szCs w:val="21"/>
              </w:rPr>
              <w:t>变幅</w:t>
            </w:r>
          </w:p>
        </w:tc>
        <w:tc>
          <w:tcPr>
            <w:tcW w:w="766" w:type="dxa"/>
            <w:vMerge/>
            <w:vAlign w:val="center"/>
          </w:tcPr>
          <w:p w:rsidR="002A5A5E" w:rsidRPr="00F9522B" w:rsidRDefault="002A5A5E">
            <w:pPr>
              <w:spacing w:line="0" w:lineRule="atLeast"/>
              <w:jc w:val="center"/>
              <w:rPr>
                <w:szCs w:val="21"/>
              </w:rPr>
            </w:pPr>
          </w:p>
        </w:tc>
      </w:tr>
      <w:tr w:rsidR="002A5A5E" w:rsidRPr="00F9522B">
        <w:trPr>
          <w:trHeight w:val="348"/>
        </w:trPr>
        <w:tc>
          <w:tcPr>
            <w:tcW w:w="1276" w:type="dxa"/>
            <w:vAlign w:val="center"/>
          </w:tcPr>
          <w:p w:rsidR="002A5A5E" w:rsidRPr="00F9522B" w:rsidRDefault="00611CBA">
            <w:pPr>
              <w:spacing w:line="0" w:lineRule="atLeast"/>
              <w:jc w:val="center"/>
              <w:rPr>
                <w:szCs w:val="21"/>
              </w:rPr>
            </w:pPr>
            <w:r w:rsidRPr="00F9522B">
              <w:rPr>
                <w:szCs w:val="21"/>
              </w:rPr>
              <w:t>鲢</w:t>
            </w:r>
          </w:p>
        </w:tc>
        <w:tc>
          <w:tcPr>
            <w:tcW w:w="1581" w:type="dxa"/>
            <w:vAlign w:val="center"/>
          </w:tcPr>
          <w:p w:rsidR="002A5A5E" w:rsidRPr="00F9522B" w:rsidRDefault="00611CBA">
            <w:pPr>
              <w:pStyle w:val="TableText"/>
              <w:spacing w:line="0" w:lineRule="atLeast"/>
              <w:jc w:val="center"/>
              <w:rPr>
                <w:rFonts w:eastAsiaTheme="minorEastAsia"/>
                <w:color w:val="auto"/>
                <w:spacing w:val="8"/>
                <w:sz w:val="21"/>
                <w:szCs w:val="21"/>
                <w:lang w:eastAsia="zh-CN"/>
              </w:rPr>
            </w:pPr>
            <w:r w:rsidRPr="00F9522B">
              <w:rPr>
                <w:rFonts w:eastAsia="宋体"/>
                <w:color w:val="auto"/>
                <w:spacing w:val="8"/>
                <w:sz w:val="21"/>
                <w:szCs w:val="21"/>
                <w:lang w:eastAsia="zh-CN"/>
              </w:rPr>
              <w:t>41.2</w:t>
            </w:r>
            <w:r w:rsidRPr="00F9522B">
              <w:rPr>
                <w:color w:val="auto"/>
                <w:spacing w:val="1"/>
                <w:sz w:val="21"/>
                <w:szCs w:val="21"/>
              </w:rPr>
              <w:t>±</w:t>
            </w:r>
            <w:r w:rsidRPr="00F9522B">
              <w:rPr>
                <w:rFonts w:eastAsiaTheme="minorEastAsia"/>
                <w:color w:val="auto"/>
                <w:spacing w:val="1"/>
                <w:sz w:val="21"/>
                <w:szCs w:val="21"/>
                <w:lang w:eastAsia="zh-CN"/>
              </w:rPr>
              <w:t>21.2</w:t>
            </w:r>
          </w:p>
        </w:tc>
        <w:tc>
          <w:tcPr>
            <w:tcW w:w="1547" w:type="dxa"/>
            <w:vAlign w:val="center"/>
          </w:tcPr>
          <w:p w:rsidR="002A5A5E" w:rsidRPr="00F9522B" w:rsidRDefault="00611CBA">
            <w:pPr>
              <w:pStyle w:val="TableText"/>
              <w:spacing w:line="0" w:lineRule="atLeast"/>
              <w:jc w:val="center"/>
              <w:rPr>
                <w:rFonts w:eastAsiaTheme="minorEastAsia"/>
                <w:color w:val="auto"/>
                <w:spacing w:val="4"/>
                <w:sz w:val="21"/>
                <w:szCs w:val="21"/>
                <w:lang w:eastAsia="zh-CN"/>
              </w:rPr>
            </w:pPr>
            <w:r w:rsidRPr="00F9522B">
              <w:rPr>
                <w:rFonts w:eastAsiaTheme="minorEastAsia"/>
                <w:color w:val="auto"/>
                <w:spacing w:val="3"/>
                <w:sz w:val="21"/>
                <w:szCs w:val="21"/>
                <w:lang w:eastAsia="zh-CN"/>
              </w:rPr>
              <w:t>11.5</w:t>
            </w:r>
            <w:r w:rsidRPr="00F9522B">
              <w:rPr>
                <w:color w:val="auto"/>
                <w:spacing w:val="3"/>
                <w:sz w:val="21"/>
                <w:szCs w:val="21"/>
              </w:rPr>
              <w:t>~</w:t>
            </w:r>
            <w:r w:rsidRPr="00F9522B">
              <w:rPr>
                <w:rFonts w:eastAsiaTheme="minorEastAsia"/>
                <w:color w:val="auto"/>
                <w:spacing w:val="3"/>
                <w:sz w:val="21"/>
                <w:szCs w:val="21"/>
                <w:lang w:eastAsia="zh-CN"/>
              </w:rPr>
              <w:t>40.5</w:t>
            </w:r>
          </w:p>
        </w:tc>
        <w:tc>
          <w:tcPr>
            <w:tcW w:w="1534" w:type="dxa"/>
            <w:vAlign w:val="center"/>
          </w:tcPr>
          <w:p w:rsidR="002A5A5E" w:rsidRPr="00F9522B" w:rsidRDefault="00611CBA">
            <w:pPr>
              <w:pStyle w:val="TableText"/>
              <w:spacing w:line="0" w:lineRule="atLeast"/>
              <w:jc w:val="center"/>
              <w:rPr>
                <w:rFonts w:eastAsiaTheme="minorEastAsia"/>
                <w:color w:val="auto"/>
                <w:spacing w:val="7"/>
                <w:sz w:val="21"/>
                <w:szCs w:val="21"/>
                <w:lang w:eastAsia="zh-CN"/>
              </w:rPr>
            </w:pPr>
            <w:r w:rsidRPr="00F9522B">
              <w:rPr>
                <w:rFonts w:eastAsiaTheme="minorEastAsia"/>
                <w:color w:val="auto"/>
                <w:spacing w:val="1"/>
                <w:sz w:val="21"/>
                <w:szCs w:val="21"/>
                <w:lang w:eastAsia="zh-CN"/>
              </w:rPr>
              <w:t>1641.5</w:t>
            </w:r>
            <w:r w:rsidRPr="00F9522B">
              <w:rPr>
                <w:color w:val="auto"/>
                <w:spacing w:val="1"/>
                <w:sz w:val="21"/>
                <w:szCs w:val="21"/>
              </w:rPr>
              <w:t>±</w:t>
            </w:r>
            <w:r w:rsidRPr="00F9522B">
              <w:rPr>
                <w:rFonts w:eastAsiaTheme="minorEastAsia"/>
                <w:color w:val="auto"/>
                <w:spacing w:val="1"/>
                <w:sz w:val="21"/>
                <w:szCs w:val="21"/>
                <w:lang w:eastAsia="zh-CN"/>
              </w:rPr>
              <w:t>732.1</w:t>
            </w:r>
          </w:p>
        </w:tc>
        <w:tc>
          <w:tcPr>
            <w:tcW w:w="1675" w:type="dxa"/>
            <w:vAlign w:val="center"/>
          </w:tcPr>
          <w:p w:rsidR="002A5A5E" w:rsidRPr="00F9522B" w:rsidRDefault="00611CBA">
            <w:pPr>
              <w:pStyle w:val="TableText"/>
              <w:spacing w:line="0" w:lineRule="atLeast"/>
              <w:jc w:val="center"/>
              <w:rPr>
                <w:rFonts w:eastAsiaTheme="minorEastAsia"/>
                <w:color w:val="auto"/>
                <w:spacing w:val="4"/>
                <w:sz w:val="21"/>
                <w:szCs w:val="21"/>
                <w:lang w:eastAsia="zh-CN"/>
              </w:rPr>
            </w:pPr>
            <w:r w:rsidRPr="00F9522B">
              <w:rPr>
                <w:rFonts w:eastAsiaTheme="minorEastAsia"/>
                <w:color w:val="auto"/>
                <w:spacing w:val="3"/>
                <w:sz w:val="21"/>
                <w:szCs w:val="21"/>
                <w:lang w:eastAsia="zh-CN"/>
              </w:rPr>
              <w:t>46.2</w:t>
            </w:r>
            <w:r w:rsidRPr="00F9522B">
              <w:rPr>
                <w:color w:val="auto"/>
                <w:spacing w:val="3"/>
                <w:sz w:val="21"/>
                <w:szCs w:val="21"/>
              </w:rPr>
              <w:t>~</w:t>
            </w:r>
            <w:r w:rsidRPr="00F9522B">
              <w:rPr>
                <w:rFonts w:eastAsiaTheme="minorEastAsia"/>
                <w:color w:val="auto"/>
                <w:spacing w:val="3"/>
                <w:sz w:val="21"/>
                <w:szCs w:val="21"/>
                <w:lang w:eastAsia="zh-CN"/>
              </w:rPr>
              <w:t>2451.5</w:t>
            </w:r>
          </w:p>
        </w:tc>
        <w:tc>
          <w:tcPr>
            <w:tcW w:w="766" w:type="dxa"/>
            <w:vAlign w:val="center"/>
          </w:tcPr>
          <w:p w:rsidR="002A5A5E" w:rsidRPr="00F9522B" w:rsidRDefault="00BB0285">
            <w:pPr>
              <w:spacing w:line="0" w:lineRule="atLeast"/>
              <w:jc w:val="center"/>
              <w:rPr>
                <w:szCs w:val="21"/>
              </w:rPr>
            </w:pPr>
            <w:r w:rsidRPr="00F9522B">
              <w:rPr>
                <w:szCs w:val="21"/>
              </w:rPr>
              <w:t>12</w:t>
            </w:r>
          </w:p>
        </w:tc>
      </w:tr>
      <w:tr w:rsidR="002A5A5E" w:rsidRPr="00F9522B">
        <w:trPr>
          <w:trHeight w:val="348"/>
        </w:trPr>
        <w:tc>
          <w:tcPr>
            <w:tcW w:w="1276" w:type="dxa"/>
            <w:vAlign w:val="center"/>
          </w:tcPr>
          <w:p w:rsidR="002A5A5E" w:rsidRPr="00F9522B" w:rsidRDefault="00611CBA">
            <w:pPr>
              <w:spacing w:line="0" w:lineRule="atLeast"/>
              <w:jc w:val="center"/>
              <w:rPr>
                <w:szCs w:val="21"/>
              </w:rPr>
            </w:pPr>
            <w:r w:rsidRPr="00F9522B">
              <w:rPr>
                <w:szCs w:val="21"/>
              </w:rPr>
              <w:t>鲤</w:t>
            </w:r>
          </w:p>
        </w:tc>
        <w:tc>
          <w:tcPr>
            <w:tcW w:w="1581" w:type="dxa"/>
            <w:vAlign w:val="center"/>
          </w:tcPr>
          <w:p w:rsidR="002A5A5E" w:rsidRPr="00F9522B" w:rsidRDefault="00611CBA">
            <w:pPr>
              <w:pStyle w:val="TableText"/>
              <w:spacing w:line="0" w:lineRule="atLeast"/>
              <w:jc w:val="center"/>
              <w:rPr>
                <w:rFonts w:eastAsiaTheme="minorEastAsia"/>
                <w:color w:val="auto"/>
                <w:spacing w:val="8"/>
                <w:sz w:val="21"/>
                <w:szCs w:val="21"/>
                <w:lang w:eastAsia="zh-CN"/>
              </w:rPr>
            </w:pPr>
            <w:r w:rsidRPr="00F9522B">
              <w:rPr>
                <w:rFonts w:eastAsiaTheme="minorEastAsia"/>
                <w:color w:val="auto"/>
                <w:spacing w:val="1"/>
                <w:sz w:val="21"/>
                <w:szCs w:val="21"/>
                <w:lang w:eastAsia="zh-CN"/>
              </w:rPr>
              <w:t>485.5</w:t>
            </w:r>
            <w:r w:rsidRPr="00F9522B">
              <w:rPr>
                <w:color w:val="auto"/>
                <w:spacing w:val="1"/>
                <w:sz w:val="21"/>
                <w:szCs w:val="21"/>
              </w:rPr>
              <w:t>±</w:t>
            </w:r>
            <w:r w:rsidRPr="00F9522B">
              <w:rPr>
                <w:rFonts w:eastAsiaTheme="minorEastAsia"/>
                <w:color w:val="auto"/>
                <w:spacing w:val="1"/>
                <w:sz w:val="21"/>
                <w:szCs w:val="21"/>
                <w:lang w:eastAsia="zh-CN"/>
              </w:rPr>
              <w:t>75.1</w:t>
            </w:r>
          </w:p>
        </w:tc>
        <w:tc>
          <w:tcPr>
            <w:tcW w:w="1547" w:type="dxa"/>
            <w:vAlign w:val="center"/>
          </w:tcPr>
          <w:p w:rsidR="002A5A5E" w:rsidRPr="00F9522B" w:rsidRDefault="00611CBA">
            <w:pPr>
              <w:pStyle w:val="TableText"/>
              <w:spacing w:line="0" w:lineRule="atLeast"/>
              <w:jc w:val="center"/>
              <w:rPr>
                <w:rFonts w:eastAsiaTheme="minorEastAsia"/>
                <w:color w:val="auto"/>
                <w:spacing w:val="4"/>
                <w:sz w:val="21"/>
                <w:szCs w:val="21"/>
                <w:lang w:eastAsia="zh-CN"/>
              </w:rPr>
            </w:pPr>
            <w:r w:rsidRPr="00F9522B">
              <w:rPr>
                <w:rFonts w:eastAsiaTheme="minorEastAsia"/>
                <w:color w:val="auto"/>
                <w:spacing w:val="3"/>
                <w:sz w:val="21"/>
                <w:szCs w:val="21"/>
                <w:lang w:eastAsia="zh-CN"/>
              </w:rPr>
              <w:t>380.5</w:t>
            </w:r>
            <w:r w:rsidRPr="00F9522B">
              <w:rPr>
                <w:color w:val="auto"/>
                <w:spacing w:val="3"/>
                <w:sz w:val="21"/>
                <w:szCs w:val="21"/>
              </w:rPr>
              <w:t>~</w:t>
            </w:r>
            <w:r w:rsidRPr="00F9522B">
              <w:rPr>
                <w:rFonts w:eastAsiaTheme="minorEastAsia"/>
                <w:color w:val="auto"/>
                <w:spacing w:val="3"/>
                <w:sz w:val="21"/>
                <w:szCs w:val="21"/>
                <w:lang w:eastAsia="zh-CN"/>
              </w:rPr>
              <w:t>542.0</w:t>
            </w:r>
          </w:p>
        </w:tc>
        <w:tc>
          <w:tcPr>
            <w:tcW w:w="1534" w:type="dxa"/>
            <w:vAlign w:val="center"/>
          </w:tcPr>
          <w:p w:rsidR="002A5A5E" w:rsidRPr="00F9522B" w:rsidRDefault="00611CBA">
            <w:pPr>
              <w:pStyle w:val="TableText"/>
              <w:spacing w:line="0" w:lineRule="atLeast"/>
              <w:jc w:val="center"/>
              <w:rPr>
                <w:rFonts w:eastAsiaTheme="minorEastAsia"/>
                <w:color w:val="auto"/>
                <w:spacing w:val="7"/>
                <w:sz w:val="21"/>
                <w:szCs w:val="21"/>
                <w:lang w:eastAsia="zh-CN"/>
              </w:rPr>
            </w:pPr>
            <w:r w:rsidRPr="00F9522B">
              <w:rPr>
                <w:rFonts w:eastAsiaTheme="minorEastAsia"/>
                <w:color w:val="auto"/>
                <w:spacing w:val="1"/>
                <w:sz w:val="21"/>
                <w:szCs w:val="21"/>
                <w:lang w:eastAsia="zh-CN"/>
              </w:rPr>
              <w:t>768.8</w:t>
            </w:r>
            <w:r w:rsidRPr="00F9522B">
              <w:rPr>
                <w:color w:val="auto"/>
                <w:spacing w:val="1"/>
                <w:sz w:val="21"/>
                <w:szCs w:val="21"/>
              </w:rPr>
              <w:t>±</w:t>
            </w:r>
            <w:r w:rsidRPr="00F9522B">
              <w:rPr>
                <w:rFonts w:eastAsiaTheme="minorEastAsia"/>
                <w:color w:val="auto"/>
                <w:spacing w:val="1"/>
                <w:sz w:val="21"/>
                <w:szCs w:val="21"/>
                <w:lang w:eastAsia="zh-CN"/>
              </w:rPr>
              <w:t>140.7</w:t>
            </w:r>
          </w:p>
        </w:tc>
        <w:tc>
          <w:tcPr>
            <w:tcW w:w="1675" w:type="dxa"/>
            <w:vAlign w:val="center"/>
          </w:tcPr>
          <w:p w:rsidR="002A5A5E" w:rsidRPr="00F9522B" w:rsidRDefault="00611CBA">
            <w:pPr>
              <w:pStyle w:val="TableText"/>
              <w:spacing w:line="0" w:lineRule="atLeast"/>
              <w:jc w:val="center"/>
              <w:rPr>
                <w:rFonts w:eastAsiaTheme="minorEastAsia"/>
                <w:color w:val="auto"/>
                <w:spacing w:val="4"/>
                <w:sz w:val="21"/>
                <w:szCs w:val="21"/>
                <w:lang w:eastAsia="zh-CN"/>
              </w:rPr>
            </w:pPr>
            <w:r w:rsidRPr="00F9522B">
              <w:rPr>
                <w:rFonts w:eastAsiaTheme="minorEastAsia"/>
                <w:color w:val="auto"/>
                <w:spacing w:val="3"/>
                <w:sz w:val="21"/>
                <w:szCs w:val="21"/>
                <w:lang w:eastAsia="zh-CN"/>
              </w:rPr>
              <w:t>630.7</w:t>
            </w:r>
            <w:r w:rsidRPr="00F9522B">
              <w:rPr>
                <w:color w:val="auto"/>
                <w:spacing w:val="3"/>
                <w:sz w:val="21"/>
                <w:szCs w:val="21"/>
              </w:rPr>
              <w:t>~</w:t>
            </w:r>
            <w:r w:rsidRPr="00F9522B">
              <w:rPr>
                <w:rFonts w:eastAsiaTheme="minorEastAsia"/>
                <w:color w:val="auto"/>
                <w:spacing w:val="3"/>
                <w:sz w:val="21"/>
                <w:szCs w:val="21"/>
                <w:lang w:eastAsia="zh-CN"/>
              </w:rPr>
              <w:t>1425.7</w:t>
            </w:r>
          </w:p>
        </w:tc>
        <w:tc>
          <w:tcPr>
            <w:tcW w:w="766" w:type="dxa"/>
            <w:vAlign w:val="center"/>
          </w:tcPr>
          <w:p w:rsidR="002A5A5E" w:rsidRPr="00F9522B" w:rsidRDefault="00611CBA" w:rsidP="00BB0285">
            <w:pPr>
              <w:spacing w:line="0" w:lineRule="atLeast"/>
              <w:jc w:val="center"/>
              <w:rPr>
                <w:szCs w:val="21"/>
              </w:rPr>
            </w:pPr>
            <w:r w:rsidRPr="00F9522B">
              <w:rPr>
                <w:szCs w:val="21"/>
              </w:rPr>
              <w:t>3</w:t>
            </w:r>
            <w:r w:rsidR="00BB0285" w:rsidRPr="00F9522B">
              <w:rPr>
                <w:szCs w:val="21"/>
              </w:rPr>
              <w:t>2</w:t>
            </w:r>
          </w:p>
        </w:tc>
      </w:tr>
      <w:tr w:rsidR="002A5A5E" w:rsidRPr="00F9522B">
        <w:trPr>
          <w:trHeight w:val="348"/>
        </w:trPr>
        <w:tc>
          <w:tcPr>
            <w:tcW w:w="1276" w:type="dxa"/>
            <w:vAlign w:val="center"/>
          </w:tcPr>
          <w:p w:rsidR="002A5A5E" w:rsidRPr="00F9522B" w:rsidRDefault="00611CBA">
            <w:pPr>
              <w:spacing w:line="0" w:lineRule="atLeast"/>
              <w:jc w:val="center"/>
              <w:rPr>
                <w:szCs w:val="21"/>
              </w:rPr>
            </w:pPr>
            <w:r w:rsidRPr="00F9522B">
              <w:rPr>
                <w:szCs w:val="21"/>
              </w:rPr>
              <w:t>鲇</w:t>
            </w:r>
          </w:p>
        </w:tc>
        <w:tc>
          <w:tcPr>
            <w:tcW w:w="1581" w:type="dxa"/>
            <w:vAlign w:val="center"/>
          </w:tcPr>
          <w:p w:rsidR="002A5A5E" w:rsidRPr="00F9522B" w:rsidRDefault="00611CBA">
            <w:pPr>
              <w:pStyle w:val="TableText"/>
              <w:spacing w:line="0" w:lineRule="atLeast"/>
              <w:jc w:val="center"/>
              <w:rPr>
                <w:rFonts w:eastAsiaTheme="minorEastAsia"/>
                <w:color w:val="auto"/>
                <w:spacing w:val="1"/>
                <w:sz w:val="21"/>
                <w:szCs w:val="21"/>
                <w:lang w:eastAsia="zh-CN"/>
              </w:rPr>
            </w:pPr>
            <w:r w:rsidRPr="00F9522B">
              <w:rPr>
                <w:rFonts w:eastAsiaTheme="minorEastAsia"/>
                <w:color w:val="auto"/>
                <w:spacing w:val="1"/>
                <w:sz w:val="21"/>
                <w:szCs w:val="21"/>
                <w:lang w:eastAsia="zh-CN"/>
              </w:rPr>
              <w:t>215.5</w:t>
            </w:r>
            <w:r w:rsidRPr="00F9522B">
              <w:rPr>
                <w:color w:val="auto"/>
                <w:spacing w:val="1"/>
                <w:sz w:val="21"/>
                <w:szCs w:val="21"/>
              </w:rPr>
              <w:t>±</w:t>
            </w:r>
            <w:r w:rsidRPr="00F9522B">
              <w:rPr>
                <w:rFonts w:eastAsiaTheme="minorEastAsia"/>
                <w:color w:val="auto"/>
                <w:spacing w:val="1"/>
                <w:sz w:val="21"/>
                <w:szCs w:val="21"/>
                <w:lang w:eastAsia="zh-CN"/>
              </w:rPr>
              <w:t>89.7</w:t>
            </w:r>
          </w:p>
        </w:tc>
        <w:tc>
          <w:tcPr>
            <w:tcW w:w="1547" w:type="dxa"/>
            <w:vAlign w:val="center"/>
          </w:tcPr>
          <w:p w:rsidR="002A5A5E" w:rsidRPr="00F9522B" w:rsidRDefault="00611CBA">
            <w:pPr>
              <w:pStyle w:val="TableText"/>
              <w:spacing w:line="0" w:lineRule="atLeast"/>
              <w:jc w:val="center"/>
              <w:rPr>
                <w:rFonts w:eastAsiaTheme="minorEastAsia"/>
                <w:color w:val="auto"/>
                <w:spacing w:val="3"/>
                <w:sz w:val="21"/>
                <w:szCs w:val="21"/>
                <w:lang w:eastAsia="zh-CN"/>
              </w:rPr>
            </w:pPr>
            <w:r w:rsidRPr="00F9522B">
              <w:rPr>
                <w:rFonts w:eastAsiaTheme="minorEastAsia"/>
                <w:color w:val="auto"/>
                <w:spacing w:val="3"/>
                <w:sz w:val="21"/>
                <w:szCs w:val="21"/>
                <w:lang w:eastAsia="zh-CN"/>
              </w:rPr>
              <w:t>188.4</w:t>
            </w:r>
            <w:r w:rsidRPr="00F9522B">
              <w:rPr>
                <w:color w:val="auto"/>
                <w:spacing w:val="3"/>
                <w:sz w:val="21"/>
                <w:szCs w:val="21"/>
              </w:rPr>
              <w:t>~</w:t>
            </w:r>
            <w:r w:rsidRPr="00F9522B">
              <w:rPr>
                <w:rFonts w:eastAsiaTheme="minorEastAsia"/>
                <w:color w:val="auto"/>
                <w:spacing w:val="3"/>
                <w:sz w:val="21"/>
                <w:szCs w:val="21"/>
                <w:lang w:eastAsia="zh-CN"/>
              </w:rPr>
              <w:t>262.5</w:t>
            </w:r>
          </w:p>
        </w:tc>
        <w:tc>
          <w:tcPr>
            <w:tcW w:w="1534" w:type="dxa"/>
            <w:vAlign w:val="center"/>
          </w:tcPr>
          <w:p w:rsidR="002A5A5E" w:rsidRPr="00F9522B" w:rsidRDefault="00611CBA">
            <w:pPr>
              <w:pStyle w:val="TableText"/>
              <w:spacing w:line="0" w:lineRule="atLeast"/>
              <w:jc w:val="center"/>
              <w:rPr>
                <w:rFonts w:eastAsiaTheme="minorEastAsia"/>
                <w:color w:val="auto"/>
                <w:spacing w:val="1"/>
                <w:sz w:val="21"/>
                <w:szCs w:val="21"/>
                <w:lang w:eastAsia="zh-CN"/>
              </w:rPr>
            </w:pPr>
            <w:r w:rsidRPr="00F9522B">
              <w:rPr>
                <w:rFonts w:eastAsiaTheme="minorEastAsia"/>
                <w:color w:val="auto"/>
                <w:spacing w:val="1"/>
                <w:sz w:val="21"/>
                <w:szCs w:val="21"/>
                <w:lang w:eastAsia="zh-CN"/>
              </w:rPr>
              <w:t>780.4</w:t>
            </w:r>
            <w:r w:rsidRPr="00F9522B">
              <w:rPr>
                <w:color w:val="auto"/>
                <w:spacing w:val="1"/>
                <w:sz w:val="21"/>
                <w:szCs w:val="21"/>
              </w:rPr>
              <w:t>±</w:t>
            </w:r>
            <w:r w:rsidRPr="00F9522B">
              <w:rPr>
                <w:rFonts w:eastAsiaTheme="minorEastAsia"/>
                <w:color w:val="auto"/>
                <w:spacing w:val="1"/>
                <w:sz w:val="21"/>
                <w:szCs w:val="21"/>
                <w:lang w:eastAsia="zh-CN"/>
              </w:rPr>
              <w:t>141.8</w:t>
            </w:r>
          </w:p>
        </w:tc>
        <w:tc>
          <w:tcPr>
            <w:tcW w:w="1675" w:type="dxa"/>
            <w:vAlign w:val="center"/>
          </w:tcPr>
          <w:p w:rsidR="002A5A5E" w:rsidRPr="00F9522B" w:rsidRDefault="00611CBA">
            <w:pPr>
              <w:pStyle w:val="TableText"/>
              <w:spacing w:line="0" w:lineRule="atLeast"/>
              <w:jc w:val="center"/>
              <w:rPr>
                <w:rFonts w:eastAsiaTheme="minorEastAsia"/>
                <w:color w:val="auto"/>
                <w:spacing w:val="3"/>
                <w:sz w:val="21"/>
                <w:szCs w:val="21"/>
                <w:lang w:eastAsia="zh-CN"/>
              </w:rPr>
            </w:pPr>
            <w:r w:rsidRPr="00F9522B">
              <w:rPr>
                <w:rFonts w:eastAsiaTheme="minorEastAsia"/>
                <w:color w:val="auto"/>
                <w:spacing w:val="3"/>
                <w:sz w:val="21"/>
                <w:szCs w:val="21"/>
                <w:lang w:eastAsia="zh-CN"/>
              </w:rPr>
              <w:t>252.4</w:t>
            </w:r>
            <w:r w:rsidRPr="00F9522B">
              <w:rPr>
                <w:color w:val="auto"/>
                <w:spacing w:val="3"/>
                <w:sz w:val="21"/>
                <w:szCs w:val="21"/>
              </w:rPr>
              <w:t>~</w:t>
            </w:r>
            <w:r w:rsidRPr="00F9522B">
              <w:rPr>
                <w:rFonts w:eastAsiaTheme="minorEastAsia"/>
                <w:color w:val="auto"/>
                <w:spacing w:val="3"/>
                <w:sz w:val="21"/>
                <w:szCs w:val="21"/>
                <w:lang w:eastAsia="zh-CN"/>
              </w:rPr>
              <w:t>1377.2</w:t>
            </w:r>
          </w:p>
        </w:tc>
        <w:tc>
          <w:tcPr>
            <w:tcW w:w="766" w:type="dxa"/>
            <w:vAlign w:val="center"/>
          </w:tcPr>
          <w:p w:rsidR="002A5A5E" w:rsidRPr="00F9522B" w:rsidRDefault="00611CBA">
            <w:pPr>
              <w:spacing w:line="0" w:lineRule="atLeast"/>
              <w:jc w:val="center"/>
              <w:rPr>
                <w:szCs w:val="21"/>
              </w:rPr>
            </w:pPr>
            <w:r w:rsidRPr="00F9522B">
              <w:rPr>
                <w:szCs w:val="21"/>
              </w:rPr>
              <w:t>36</w:t>
            </w:r>
          </w:p>
        </w:tc>
      </w:tr>
      <w:tr w:rsidR="002A5A5E" w:rsidRPr="00F9522B">
        <w:trPr>
          <w:trHeight w:val="348"/>
        </w:trPr>
        <w:tc>
          <w:tcPr>
            <w:tcW w:w="1276" w:type="dxa"/>
            <w:vAlign w:val="center"/>
          </w:tcPr>
          <w:p w:rsidR="002A5A5E" w:rsidRPr="00F9522B" w:rsidRDefault="00611CBA">
            <w:pPr>
              <w:spacing w:line="0" w:lineRule="atLeast"/>
              <w:jc w:val="center"/>
              <w:rPr>
                <w:szCs w:val="21"/>
              </w:rPr>
            </w:pPr>
            <w:r w:rsidRPr="00F9522B">
              <w:rPr>
                <w:spacing w:val="4"/>
                <w:szCs w:val="21"/>
              </w:rPr>
              <w:t>银鲫</w:t>
            </w:r>
          </w:p>
        </w:tc>
        <w:tc>
          <w:tcPr>
            <w:tcW w:w="1581" w:type="dxa"/>
            <w:vAlign w:val="center"/>
          </w:tcPr>
          <w:p w:rsidR="002A5A5E" w:rsidRPr="00F9522B" w:rsidRDefault="00611CBA">
            <w:pPr>
              <w:pStyle w:val="TableText"/>
              <w:spacing w:line="0" w:lineRule="atLeast"/>
              <w:jc w:val="center"/>
              <w:rPr>
                <w:rFonts w:eastAsiaTheme="minorEastAsia"/>
                <w:color w:val="auto"/>
                <w:spacing w:val="8"/>
                <w:sz w:val="21"/>
                <w:szCs w:val="21"/>
                <w:lang w:eastAsia="zh-CN"/>
              </w:rPr>
            </w:pPr>
            <w:r w:rsidRPr="00F9522B">
              <w:rPr>
                <w:rFonts w:eastAsiaTheme="minorEastAsia"/>
                <w:color w:val="auto"/>
                <w:spacing w:val="1"/>
                <w:sz w:val="21"/>
                <w:szCs w:val="21"/>
                <w:lang w:eastAsia="zh-CN"/>
              </w:rPr>
              <w:t>185.4</w:t>
            </w:r>
            <w:r w:rsidRPr="00F9522B">
              <w:rPr>
                <w:color w:val="auto"/>
                <w:spacing w:val="1"/>
                <w:sz w:val="21"/>
                <w:szCs w:val="21"/>
              </w:rPr>
              <w:t>±</w:t>
            </w:r>
            <w:r w:rsidRPr="00F9522B">
              <w:rPr>
                <w:rFonts w:eastAsiaTheme="minorEastAsia"/>
                <w:color w:val="auto"/>
                <w:spacing w:val="1"/>
                <w:sz w:val="21"/>
                <w:szCs w:val="21"/>
                <w:lang w:eastAsia="zh-CN"/>
              </w:rPr>
              <w:t>25.6</w:t>
            </w:r>
          </w:p>
        </w:tc>
        <w:tc>
          <w:tcPr>
            <w:tcW w:w="1547" w:type="dxa"/>
            <w:vAlign w:val="center"/>
          </w:tcPr>
          <w:p w:rsidR="002A5A5E" w:rsidRPr="00F9522B" w:rsidRDefault="00611CBA">
            <w:pPr>
              <w:pStyle w:val="TableText"/>
              <w:spacing w:line="0" w:lineRule="atLeast"/>
              <w:jc w:val="center"/>
              <w:rPr>
                <w:rFonts w:eastAsiaTheme="minorEastAsia"/>
                <w:color w:val="auto"/>
                <w:spacing w:val="4"/>
                <w:sz w:val="21"/>
                <w:szCs w:val="21"/>
                <w:lang w:eastAsia="zh-CN"/>
              </w:rPr>
            </w:pPr>
            <w:r w:rsidRPr="00F9522B">
              <w:rPr>
                <w:rFonts w:eastAsiaTheme="minorEastAsia"/>
                <w:color w:val="auto"/>
                <w:spacing w:val="3"/>
                <w:sz w:val="21"/>
                <w:szCs w:val="21"/>
                <w:lang w:eastAsia="zh-CN"/>
              </w:rPr>
              <w:t>137.0</w:t>
            </w:r>
            <w:r w:rsidRPr="00F9522B">
              <w:rPr>
                <w:color w:val="auto"/>
                <w:spacing w:val="3"/>
                <w:sz w:val="21"/>
                <w:szCs w:val="21"/>
              </w:rPr>
              <w:t>~</w:t>
            </w:r>
            <w:r w:rsidRPr="00F9522B">
              <w:rPr>
                <w:rFonts w:eastAsiaTheme="minorEastAsia"/>
                <w:color w:val="auto"/>
                <w:spacing w:val="3"/>
                <w:sz w:val="21"/>
                <w:szCs w:val="21"/>
                <w:lang w:eastAsia="zh-CN"/>
              </w:rPr>
              <w:t>210.0</w:t>
            </w:r>
          </w:p>
        </w:tc>
        <w:tc>
          <w:tcPr>
            <w:tcW w:w="1534" w:type="dxa"/>
            <w:vAlign w:val="center"/>
          </w:tcPr>
          <w:p w:rsidR="002A5A5E" w:rsidRPr="00F9522B" w:rsidRDefault="00611CBA">
            <w:pPr>
              <w:pStyle w:val="TableText"/>
              <w:spacing w:line="0" w:lineRule="atLeast"/>
              <w:jc w:val="center"/>
              <w:rPr>
                <w:rFonts w:eastAsiaTheme="minorEastAsia"/>
                <w:color w:val="auto"/>
                <w:spacing w:val="7"/>
                <w:sz w:val="21"/>
                <w:szCs w:val="21"/>
                <w:lang w:eastAsia="zh-CN"/>
              </w:rPr>
            </w:pPr>
            <w:r w:rsidRPr="00F9522B">
              <w:rPr>
                <w:rFonts w:eastAsiaTheme="minorEastAsia"/>
                <w:color w:val="auto"/>
                <w:spacing w:val="1"/>
                <w:sz w:val="21"/>
                <w:szCs w:val="21"/>
                <w:lang w:eastAsia="zh-CN"/>
              </w:rPr>
              <w:t>157.5</w:t>
            </w:r>
            <w:r w:rsidRPr="00F9522B">
              <w:rPr>
                <w:color w:val="auto"/>
                <w:spacing w:val="1"/>
                <w:sz w:val="21"/>
                <w:szCs w:val="21"/>
              </w:rPr>
              <w:t>±</w:t>
            </w:r>
            <w:r w:rsidRPr="00F9522B">
              <w:rPr>
                <w:rFonts w:eastAsiaTheme="minorEastAsia"/>
                <w:color w:val="auto"/>
                <w:spacing w:val="1"/>
                <w:sz w:val="21"/>
                <w:szCs w:val="21"/>
                <w:lang w:eastAsia="zh-CN"/>
              </w:rPr>
              <w:t>49.0</w:t>
            </w:r>
          </w:p>
        </w:tc>
        <w:tc>
          <w:tcPr>
            <w:tcW w:w="1675" w:type="dxa"/>
            <w:vAlign w:val="center"/>
          </w:tcPr>
          <w:p w:rsidR="002A5A5E" w:rsidRPr="00F9522B" w:rsidRDefault="00611CBA">
            <w:pPr>
              <w:pStyle w:val="TableText"/>
              <w:spacing w:line="0" w:lineRule="atLeast"/>
              <w:jc w:val="center"/>
              <w:rPr>
                <w:rFonts w:eastAsiaTheme="minorEastAsia"/>
                <w:color w:val="auto"/>
                <w:spacing w:val="4"/>
                <w:sz w:val="21"/>
                <w:szCs w:val="21"/>
                <w:lang w:eastAsia="zh-CN"/>
              </w:rPr>
            </w:pPr>
            <w:r w:rsidRPr="00F9522B">
              <w:rPr>
                <w:rFonts w:eastAsiaTheme="minorEastAsia"/>
                <w:color w:val="auto"/>
                <w:spacing w:val="3"/>
                <w:sz w:val="21"/>
                <w:szCs w:val="21"/>
                <w:lang w:eastAsia="zh-CN"/>
              </w:rPr>
              <w:t>164.5</w:t>
            </w:r>
            <w:r w:rsidRPr="00F9522B">
              <w:rPr>
                <w:color w:val="auto"/>
                <w:spacing w:val="3"/>
                <w:sz w:val="21"/>
                <w:szCs w:val="21"/>
              </w:rPr>
              <w:t>~</w:t>
            </w:r>
            <w:r w:rsidRPr="00F9522B">
              <w:rPr>
                <w:rFonts w:eastAsiaTheme="minorEastAsia"/>
                <w:color w:val="auto"/>
                <w:spacing w:val="3"/>
                <w:sz w:val="21"/>
                <w:szCs w:val="21"/>
                <w:lang w:eastAsia="zh-CN"/>
              </w:rPr>
              <w:t>299.4</w:t>
            </w:r>
          </w:p>
        </w:tc>
        <w:tc>
          <w:tcPr>
            <w:tcW w:w="766" w:type="dxa"/>
            <w:vAlign w:val="center"/>
          </w:tcPr>
          <w:p w:rsidR="002A5A5E" w:rsidRPr="00F9522B" w:rsidRDefault="00611CBA" w:rsidP="00BB0285">
            <w:pPr>
              <w:spacing w:line="0" w:lineRule="atLeast"/>
              <w:jc w:val="center"/>
              <w:rPr>
                <w:szCs w:val="21"/>
              </w:rPr>
            </w:pPr>
            <w:r w:rsidRPr="00F9522B">
              <w:rPr>
                <w:szCs w:val="21"/>
              </w:rPr>
              <w:t>4</w:t>
            </w:r>
            <w:r w:rsidR="00BB0285" w:rsidRPr="00F9522B">
              <w:rPr>
                <w:szCs w:val="21"/>
              </w:rPr>
              <w:t>2</w:t>
            </w:r>
          </w:p>
        </w:tc>
      </w:tr>
      <w:tr w:rsidR="002A5A5E" w:rsidRPr="00F9522B">
        <w:trPr>
          <w:trHeight w:val="348"/>
        </w:trPr>
        <w:tc>
          <w:tcPr>
            <w:tcW w:w="1276"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2"/>
                <w:sz w:val="21"/>
                <w:szCs w:val="21"/>
              </w:rPr>
              <w:t>贝氏䱗</w:t>
            </w:r>
          </w:p>
        </w:tc>
        <w:tc>
          <w:tcPr>
            <w:tcW w:w="1581"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1"/>
                <w:szCs w:val="21"/>
              </w:rPr>
              <w:t>112.1±3.8</w:t>
            </w:r>
          </w:p>
        </w:tc>
        <w:tc>
          <w:tcPr>
            <w:tcW w:w="1547"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zCs w:val="21"/>
              </w:rPr>
              <w:t>107.3~118.0</w:t>
            </w:r>
          </w:p>
        </w:tc>
        <w:tc>
          <w:tcPr>
            <w:tcW w:w="1534"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2"/>
                <w:szCs w:val="21"/>
              </w:rPr>
              <w:t>14.0±2.9</w:t>
            </w:r>
          </w:p>
        </w:tc>
        <w:tc>
          <w:tcPr>
            <w:tcW w:w="1675"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2"/>
                <w:szCs w:val="21"/>
              </w:rPr>
              <w:t>10.3~20.2</w:t>
            </w:r>
          </w:p>
        </w:tc>
        <w:tc>
          <w:tcPr>
            <w:tcW w:w="766"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zCs w:val="21"/>
              </w:rPr>
              <w:t>30</w:t>
            </w:r>
          </w:p>
        </w:tc>
      </w:tr>
      <w:tr w:rsidR="002A5A5E" w:rsidRPr="00F9522B">
        <w:trPr>
          <w:trHeight w:val="348"/>
        </w:trPr>
        <w:tc>
          <w:tcPr>
            <w:tcW w:w="1276"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4"/>
                <w:sz w:val="21"/>
                <w:szCs w:val="21"/>
              </w:rPr>
              <w:t>花䱻</w:t>
            </w:r>
          </w:p>
        </w:tc>
        <w:tc>
          <w:tcPr>
            <w:tcW w:w="1581"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1"/>
                <w:szCs w:val="21"/>
              </w:rPr>
              <w:t>14.2±7.6</w:t>
            </w:r>
          </w:p>
        </w:tc>
        <w:tc>
          <w:tcPr>
            <w:tcW w:w="1547"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3"/>
                <w:szCs w:val="21"/>
              </w:rPr>
              <w:t>5.3~26.8</w:t>
            </w:r>
          </w:p>
        </w:tc>
        <w:tc>
          <w:tcPr>
            <w:tcW w:w="1534"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3"/>
                <w:szCs w:val="21"/>
              </w:rPr>
              <w:t>35.9±33.7</w:t>
            </w:r>
          </w:p>
        </w:tc>
        <w:tc>
          <w:tcPr>
            <w:tcW w:w="1675"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2"/>
                <w:szCs w:val="21"/>
              </w:rPr>
              <w:t>16.5~279.2</w:t>
            </w:r>
          </w:p>
        </w:tc>
        <w:tc>
          <w:tcPr>
            <w:tcW w:w="766" w:type="dxa"/>
            <w:vAlign w:val="center"/>
          </w:tcPr>
          <w:p w:rsidR="002A5A5E" w:rsidRPr="00F9522B" w:rsidRDefault="00611CBA" w:rsidP="00BB0285">
            <w:pPr>
              <w:kinsoku w:val="0"/>
              <w:autoSpaceDE w:val="0"/>
              <w:autoSpaceDN w:val="0"/>
              <w:adjustRightInd w:val="0"/>
              <w:snapToGrid w:val="0"/>
              <w:spacing w:line="0" w:lineRule="atLeast"/>
              <w:jc w:val="center"/>
              <w:textAlignment w:val="baseline"/>
              <w:rPr>
                <w:szCs w:val="21"/>
              </w:rPr>
            </w:pPr>
            <w:r w:rsidRPr="00F9522B">
              <w:rPr>
                <w:szCs w:val="21"/>
              </w:rPr>
              <w:t>3</w:t>
            </w:r>
            <w:r w:rsidR="00BB0285" w:rsidRPr="00F9522B">
              <w:rPr>
                <w:szCs w:val="21"/>
              </w:rPr>
              <w:t>0</w:t>
            </w:r>
          </w:p>
        </w:tc>
      </w:tr>
      <w:tr w:rsidR="002A5A5E" w:rsidRPr="00F9522B">
        <w:trPr>
          <w:trHeight w:val="348"/>
        </w:trPr>
        <w:tc>
          <w:tcPr>
            <w:tcW w:w="1276"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7"/>
                <w:sz w:val="21"/>
                <w:szCs w:val="21"/>
              </w:rPr>
              <w:t>光泽黄颡鱼</w:t>
            </w:r>
          </w:p>
        </w:tc>
        <w:tc>
          <w:tcPr>
            <w:tcW w:w="1581"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2"/>
                <w:szCs w:val="21"/>
              </w:rPr>
              <w:t>163.2±10.9</w:t>
            </w:r>
          </w:p>
        </w:tc>
        <w:tc>
          <w:tcPr>
            <w:tcW w:w="1547"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2"/>
                <w:szCs w:val="21"/>
              </w:rPr>
              <w:t>159.3~212.4</w:t>
            </w:r>
          </w:p>
        </w:tc>
        <w:tc>
          <w:tcPr>
            <w:tcW w:w="1534"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3"/>
                <w:szCs w:val="21"/>
              </w:rPr>
              <w:t>65.2±26.1</w:t>
            </w:r>
          </w:p>
        </w:tc>
        <w:tc>
          <w:tcPr>
            <w:tcW w:w="1675"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4"/>
                <w:szCs w:val="21"/>
              </w:rPr>
              <w:t>40.2~99.2</w:t>
            </w:r>
          </w:p>
        </w:tc>
        <w:tc>
          <w:tcPr>
            <w:tcW w:w="766"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2"/>
                <w:szCs w:val="21"/>
              </w:rPr>
              <w:t>80</w:t>
            </w:r>
          </w:p>
        </w:tc>
      </w:tr>
      <w:tr w:rsidR="002A5A5E" w:rsidRPr="00F9522B">
        <w:trPr>
          <w:trHeight w:val="348"/>
        </w:trPr>
        <w:tc>
          <w:tcPr>
            <w:tcW w:w="1276"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6"/>
                <w:sz w:val="21"/>
                <w:szCs w:val="21"/>
              </w:rPr>
              <w:t>瓦氏雅罗鱼</w:t>
            </w:r>
          </w:p>
        </w:tc>
        <w:tc>
          <w:tcPr>
            <w:tcW w:w="1581"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2"/>
                <w:szCs w:val="21"/>
              </w:rPr>
              <w:t>132.7±6.9</w:t>
            </w:r>
          </w:p>
        </w:tc>
        <w:tc>
          <w:tcPr>
            <w:tcW w:w="1547"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zCs w:val="21"/>
              </w:rPr>
              <w:t>123.0~140.0</w:t>
            </w:r>
          </w:p>
        </w:tc>
        <w:tc>
          <w:tcPr>
            <w:tcW w:w="1534"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3"/>
                <w:szCs w:val="21"/>
              </w:rPr>
              <w:t>35.9±6.7</w:t>
            </w:r>
          </w:p>
        </w:tc>
        <w:tc>
          <w:tcPr>
            <w:tcW w:w="1675"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4"/>
                <w:szCs w:val="21"/>
              </w:rPr>
              <w:t>20.0~49.0</w:t>
            </w:r>
          </w:p>
        </w:tc>
        <w:tc>
          <w:tcPr>
            <w:tcW w:w="766" w:type="dxa"/>
            <w:vAlign w:val="center"/>
          </w:tcPr>
          <w:p w:rsidR="002A5A5E" w:rsidRPr="00F9522B" w:rsidRDefault="00611CBA" w:rsidP="00BB0285">
            <w:pPr>
              <w:kinsoku w:val="0"/>
              <w:autoSpaceDE w:val="0"/>
              <w:autoSpaceDN w:val="0"/>
              <w:adjustRightInd w:val="0"/>
              <w:snapToGrid w:val="0"/>
              <w:spacing w:line="0" w:lineRule="atLeast"/>
              <w:jc w:val="center"/>
              <w:textAlignment w:val="baseline"/>
              <w:rPr>
                <w:szCs w:val="21"/>
              </w:rPr>
            </w:pPr>
            <w:r w:rsidRPr="00F9522B">
              <w:rPr>
                <w:spacing w:val="-8"/>
                <w:szCs w:val="21"/>
              </w:rPr>
              <w:t>1</w:t>
            </w:r>
            <w:r w:rsidR="00BB0285" w:rsidRPr="00F9522B">
              <w:rPr>
                <w:spacing w:val="-8"/>
                <w:szCs w:val="21"/>
              </w:rPr>
              <w:t>5</w:t>
            </w:r>
          </w:p>
        </w:tc>
      </w:tr>
      <w:tr w:rsidR="002A5A5E" w:rsidRPr="00F9522B">
        <w:trPr>
          <w:trHeight w:val="348"/>
        </w:trPr>
        <w:tc>
          <w:tcPr>
            <w:tcW w:w="1276"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7"/>
                <w:sz w:val="21"/>
                <w:szCs w:val="21"/>
              </w:rPr>
              <w:t>黑龙江鰟鲏</w:t>
            </w:r>
          </w:p>
        </w:tc>
        <w:tc>
          <w:tcPr>
            <w:tcW w:w="1581"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3"/>
                <w:szCs w:val="21"/>
              </w:rPr>
              <w:t>80.2±9.5</w:t>
            </w:r>
          </w:p>
        </w:tc>
        <w:tc>
          <w:tcPr>
            <w:tcW w:w="1547" w:type="dxa"/>
            <w:vAlign w:val="center"/>
          </w:tcPr>
          <w:p w:rsidR="002A5A5E" w:rsidRPr="00F9522B" w:rsidRDefault="00611CBA">
            <w:pPr>
              <w:pStyle w:val="TableText"/>
              <w:spacing w:line="0" w:lineRule="atLeast"/>
              <w:jc w:val="center"/>
              <w:rPr>
                <w:color w:val="auto"/>
                <w:sz w:val="21"/>
                <w:szCs w:val="21"/>
              </w:rPr>
            </w:pPr>
            <w:r w:rsidRPr="00F9522B">
              <w:rPr>
                <w:color w:val="auto"/>
                <w:spacing w:val="4"/>
                <w:sz w:val="21"/>
                <w:szCs w:val="21"/>
              </w:rPr>
              <w:t>60.4</w:t>
            </w:r>
            <w:r w:rsidRPr="00F9522B">
              <w:rPr>
                <w:rFonts w:eastAsia="宋体"/>
                <w:color w:val="auto"/>
                <w:spacing w:val="4"/>
                <w:sz w:val="21"/>
                <w:szCs w:val="21"/>
              </w:rPr>
              <w:t>～</w:t>
            </w:r>
            <w:r w:rsidRPr="00F9522B">
              <w:rPr>
                <w:color w:val="auto"/>
                <w:spacing w:val="4"/>
                <w:sz w:val="21"/>
                <w:szCs w:val="21"/>
              </w:rPr>
              <w:t>95.9</w:t>
            </w:r>
          </w:p>
        </w:tc>
        <w:tc>
          <w:tcPr>
            <w:tcW w:w="1534"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3"/>
                <w:szCs w:val="21"/>
              </w:rPr>
              <w:t>7.7±1.2</w:t>
            </w:r>
          </w:p>
        </w:tc>
        <w:tc>
          <w:tcPr>
            <w:tcW w:w="1675" w:type="dxa"/>
            <w:vAlign w:val="center"/>
          </w:tcPr>
          <w:p w:rsidR="002A5A5E" w:rsidRPr="00F9522B" w:rsidRDefault="00611CBA">
            <w:pPr>
              <w:pStyle w:val="TableText"/>
              <w:spacing w:line="0" w:lineRule="atLeast"/>
              <w:jc w:val="center"/>
              <w:rPr>
                <w:rFonts w:eastAsiaTheme="minorEastAsia"/>
                <w:color w:val="auto"/>
                <w:sz w:val="21"/>
                <w:szCs w:val="21"/>
                <w:lang w:eastAsia="zh-CN"/>
              </w:rPr>
            </w:pPr>
            <w:r w:rsidRPr="00F9522B">
              <w:rPr>
                <w:color w:val="auto"/>
                <w:spacing w:val="4"/>
                <w:sz w:val="21"/>
                <w:szCs w:val="21"/>
              </w:rPr>
              <w:t>4.7</w:t>
            </w:r>
            <w:r w:rsidRPr="00F9522B">
              <w:rPr>
                <w:rFonts w:eastAsia="宋体"/>
                <w:color w:val="auto"/>
                <w:spacing w:val="4"/>
                <w:sz w:val="21"/>
                <w:szCs w:val="21"/>
              </w:rPr>
              <w:t>～</w:t>
            </w:r>
            <w:r w:rsidRPr="00F9522B">
              <w:rPr>
                <w:color w:val="auto"/>
                <w:spacing w:val="4"/>
                <w:sz w:val="21"/>
                <w:szCs w:val="21"/>
              </w:rPr>
              <w:t>12.4</w:t>
            </w:r>
          </w:p>
        </w:tc>
        <w:tc>
          <w:tcPr>
            <w:tcW w:w="766" w:type="dxa"/>
            <w:vAlign w:val="center"/>
          </w:tcPr>
          <w:p w:rsidR="002A5A5E" w:rsidRPr="00F9522B" w:rsidRDefault="00611CBA" w:rsidP="00BB0285">
            <w:pPr>
              <w:kinsoku w:val="0"/>
              <w:autoSpaceDE w:val="0"/>
              <w:autoSpaceDN w:val="0"/>
              <w:adjustRightInd w:val="0"/>
              <w:snapToGrid w:val="0"/>
              <w:spacing w:line="0" w:lineRule="atLeast"/>
              <w:jc w:val="center"/>
              <w:textAlignment w:val="baseline"/>
              <w:rPr>
                <w:szCs w:val="21"/>
              </w:rPr>
            </w:pPr>
            <w:r w:rsidRPr="00F9522B">
              <w:rPr>
                <w:spacing w:val="1"/>
                <w:szCs w:val="21"/>
              </w:rPr>
              <w:t>7</w:t>
            </w:r>
            <w:r w:rsidR="00BB0285" w:rsidRPr="00F9522B">
              <w:rPr>
                <w:spacing w:val="1"/>
                <w:szCs w:val="21"/>
              </w:rPr>
              <w:t>2</w:t>
            </w:r>
          </w:p>
        </w:tc>
      </w:tr>
      <w:tr w:rsidR="002A5A5E" w:rsidRPr="00F9522B">
        <w:trPr>
          <w:trHeight w:val="348"/>
        </w:trPr>
        <w:tc>
          <w:tcPr>
            <w:tcW w:w="1276"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4"/>
                <w:sz w:val="21"/>
                <w:szCs w:val="21"/>
              </w:rPr>
              <w:t>马口鱼</w:t>
            </w:r>
          </w:p>
        </w:tc>
        <w:tc>
          <w:tcPr>
            <w:tcW w:w="1581"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1"/>
                <w:szCs w:val="21"/>
              </w:rPr>
              <w:t>16.7±1.7</w:t>
            </w:r>
          </w:p>
        </w:tc>
        <w:tc>
          <w:tcPr>
            <w:tcW w:w="1547" w:type="dxa"/>
            <w:vAlign w:val="center"/>
          </w:tcPr>
          <w:p w:rsidR="002A5A5E" w:rsidRPr="00F9522B" w:rsidRDefault="00611CBA">
            <w:pPr>
              <w:pStyle w:val="TableText"/>
              <w:spacing w:line="0" w:lineRule="atLeast"/>
              <w:jc w:val="center"/>
              <w:rPr>
                <w:color w:val="auto"/>
                <w:sz w:val="21"/>
                <w:szCs w:val="21"/>
              </w:rPr>
            </w:pPr>
            <w:r w:rsidRPr="00F9522B">
              <w:rPr>
                <w:color w:val="auto"/>
                <w:spacing w:val="2"/>
                <w:sz w:val="21"/>
                <w:szCs w:val="21"/>
              </w:rPr>
              <w:t>14.4</w:t>
            </w:r>
            <w:r w:rsidRPr="00F9522B">
              <w:rPr>
                <w:rFonts w:eastAsia="宋体"/>
                <w:color w:val="auto"/>
                <w:spacing w:val="2"/>
                <w:sz w:val="21"/>
                <w:szCs w:val="21"/>
              </w:rPr>
              <w:t>～</w:t>
            </w:r>
            <w:r w:rsidRPr="00F9522B">
              <w:rPr>
                <w:color w:val="auto"/>
                <w:spacing w:val="2"/>
                <w:sz w:val="21"/>
                <w:szCs w:val="21"/>
              </w:rPr>
              <w:t>21.1</w:t>
            </w:r>
          </w:p>
        </w:tc>
        <w:tc>
          <w:tcPr>
            <w:tcW w:w="1534"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4"/>
                <w:szCs w:val="21"/>
              </w:rPr>
              <w:t>42.3±21.2</w:t>
            </w:r>
          </w:p>
        </w:tc>
        <w:tc>
          <w:tcPr>
            <w:tcW w:w="1675" w:type="dxa"/>
            <w:vAlign w:val="center"/>
          </w:tcPr>
          <w:p w:rsidR="002A5A5E" w:rsidRPr="00F9522B" w:rsidRDefault="00611CBA">
            <w:pPr>
              <w:pStyle w:val="TableText"/>
              <w:spacing w:line="0" w:lineRule="atLeast"/>
              <w:jc w:val="center"/>
              <w:rPr>
                <w:color w:val="auto"/>
                <w:sz w:val="21"/>
                <w:szCs w:val="21"/>
              </w:rPr>
            </w:pPr>
            <w:r w:rsidRPr="00F9522B">
              <w:rPr>
                <w:color w:val="auto"/>
                <w:spacing w:val="4"/>
                <w:position w:val="2"/>
                <w:sz w:val="21"/>
                <w:szCs w:val="21"/>
              </w:rPr>
              <w:t>24.4</w:t>
            </w:r>
            <w:r w:rsidRPr="00F9522B">
              <w:rPr>
                <w:rFonts w:eastAsia="宋体"/>
                <w:color w:val="auto"/>
                <w:spacing w:val="4"/>
                <w:position w:val="2"/>
                <w:sz w:val="21"/>
                <w:szCs w:val="21"/>
              </w:rPr>
              <w:t>～</w:t>
            </w:r>
            <w:r w:rsidRPr="00F9522B">
              <w:rPr>
                <w:color w:val="auto"/>
                <w:spacing w:val="4"/>
                <w:position w:val="2"/>
                <w:sz w:val="21"/>
                <w:szCs w:val="21"/>
              </w:rPr>
              <w:t>121.5</w:t>
            </w:r>
          </w:p>
        </w:tc>
        <w:tc>
          <w:tcPr>
            <w:tcW w:w="766"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8"/>
                <w:szCs w:val="21"/>
              </w:rPr>
              <w:t>20</w:t>
            </w:r>
          </w:p>
        </w:tc>
      </w:tr>
      <w:tr w:rsidR="002A5A5E" w:rsidRPr="00F9522B">
        <w:trPr>
          <w:trHeight w:val="348"/>
        </w:trPr>
        <w:tc>
          <w:tcPr>
            <w:tcW w:w="1276"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z w:val="21"/>
                <w:szCs w:val="21"/>
              </w:rPr>
              <w:t>䱗</w:t>
            </w:r>
          </w:p>
        </w:tc>
        <w:tc>
          <w:tcPr>
            <w:tcW w:w="1581"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3"/>
                <w:szCs w:val="21"/>
              </w:rPr>
              <w:t>21.0±9.8</w:t>
            </w:r>
          </w:p>
        </w:tc>
        <w:tc>
          <w:tcPr>
            <w:tcW w:w="1547" w:type="dxa"/>
            <w:vAlign w:val="center"/>
          </w:tcPr>
          <w:p w:rsidR="002A5A5E" w:rsidRPr="00F9522B" w:rsidRDefault="00611CBA">
            <w:pPr>
              <w:pStyle w:val="TableText"/>
              <w:spacing w:line="0" w:lineRule="atLeast"/>
              <w:jc w:val="center"/>
              <w:rPr>
                <w:color w:val="auto"/>
                <w:sz w:val="21"/>
                <w:szCs w:val="21"/>
              </w:rPr>
            </w:pPr>
            <w:r w:rsidRPr="00F9522B">
              <w:rPr>
                <w:color w:val="auto"/>
                <w:spacing w:val="2"/>
                <w:sz w:val="21"/>
                <w:szCs w:val="21"/>
              </w:rPr>
              <w:t>14.0</w:t>
            </w:r>
            <w:r w:rsidRPr="00F9522B">
              <w:rPr>
                <w:rFonts w:eastAsia="宋体"/>
                <w:color w:val="auto"/>
                <w:spacing w:val="2"/>
                <w:sz w:val="21"/>
                <w:szCs w:val="21"/>
              </w:rPr>
              <w:t>～</w:t>
            </w:r>
            <w:r w:rsidRPr="00F9522B">
              <w:rPr>
                <w:color w:val="auto"/>
                <w:spacing w:val="2"/>
                <w:sz w:val="21"/>
                <w:szCs w:val="21"/>
              </w:rPr>
              <w:t>27.0</w:t>
            </w:r>
          </w:p>
        </w:tc>
        <w:tc>
          <w:tcPr>
            <w:tcW w:w="1534"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4"/>
                <w:szCs w:val="21"/>
              </w:rPr>
              <w:t>22.0±0.7</w:t>
            </w:r>
          </w:p>
        </w:tc>
        <w:tc>
          <w:tcPr>
            <w:tcW w:w="1675" w:type="dxa"/>
            <w:vAlign w:val="center"/>
          </w:tcPr>
          <w:p w:rsidR="002A5A5E" w:rsidRPr="00F9522B" w:rsidRDefault="00611CBA">
            <w:pPr>
              <w:pStyle w:val="TableText"/>
              <w:spacing w:line="0" w:lineRule="atLeast"/>
              <w:jc w:val="center"/>
              <w:rPr>
                <w:rFonts w:eastAsiaTheme="minorEastAsia"/>
                <w:color w:val="auto"/>
                <w:sz w:val="21"/>
                <w:szCs w:val="21"/>
                <w:lang w:eastAsia="zh-CN"/>
              </w:rPr>
            </w:pPr>
            <w:r w:rsidRPr="00F9522B">
              <w:rPr>
                <w:color w:val="auto"/>
                <w:spacing w:val="4"/>
                <w:sz w:val="21"/>
                <w:szCs w:val="21"/>
              </w:rPr>
              <w:t>22.0</w:t>
            </w:r>
            <w:r w:rsidRPr="00F9522B">
              <w:rPr>
                <w:rFonts w:eastAsia="宋体"/>
                <w:color w:val="auto"/>
                <w:spacing w:val="4"/>
                <w:sz w:val="21"/>
                <w:szCs w:val="21"/>
              </w:rPr>
              <w:t>～</w:t>
            </w:r>
            <w:r w:rsidRPr="00F9522B">
              <w:rPr>
                <w:color w:val="auto"/>
                <w:spacing w:val="4"/>
                <w:sz w:val="21"/>
                <w:szCs w:val="21"/>
              </w:rPr>
              <w:t>23.0</w:t>
            </w:r>
          </w:p>
        </w:tc>
        <w:tc>
          <w:tcPr>
            <w:tcW w:w="766"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2"/>
                <w:szCs w:val="21"/>
              </w:rPr>
              <w:t>80</w:t>
            </w:r>
          </w:p>
        </w:tc>
      </w:tr>
      <w:tr w:rsidR="002A5A5E" w:rsidRPr="00F9522B">
        <w:trPr>
          <w:trHeight w:val="348"/>
        </w:trPr>
        <w:tc>
          <w:tcPr>
            <w:tcW w:w="1276"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4"/>
                <w:sz w:val="21"/>
                <w:szCs w:val="21"/>
              </w:rPr>
              <w:t>蛇鮈</w:t>
            </w:r>
          </w:p>
        </w:tc>
        <w:tc>
          <w:tcPr>
            <w:tcW w:w="1581"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2"/>
                <w:szCs w:val="21"/>
              </w:rPr>
              <w:t>152.8±17.5</w:t>
            </w:r>
          </w:p>
        </w:tc>
        <w:tc>
          <w:tcPr>
            <w:tcW w:w="1547" w:type="dxa"/>
            <w:vAlign w:val="center"/>
          </w:tcPr>
          <w:p w:rsidR="002A5A5E" w:rsidRPr="00F9522B" w:rsidRDefault="00611CBA">
            <w:pPr>
              <w:pStyle w:val="TableText"/>
              <w:spacing w:line="0" w:lineRule="atLeast"/>
              <w:jc w:val="center"/>
              <w:rPr>
                <w:color w:val="auto"/>
                <w:sz w:val="21"/>
                <w:szCs w:val="21"/>
              </w:rPr>
            </w:pPr>
            <w:r w:rsidRPr="00F9522B">
              <w:rPr>
                <w:color w:val="auto"/>
                <w:spacing w:val="3"/>
                <w:sz w:val="21"/>
                <w:szCs w:val="21"/>
              </w:rPr>
              <w:t>122.0</w:t>
            </w:r>
            <w:r w:rsidRPr="00F9522B">
              <w:rPr>
                <w:rFonts w:eastAsia="宋体"/>
                <w:color w:val="auto"/>
                <w:spacing w:val="3"/>
                <w:sz w:val="21"/>
                <w:szCs w:val="21"/>
              </w:rPr>
              <w:t>～</w:t>
            </w:r>
            <w:r w:rsidRPr="00F9522B">
              <w:rPr>
                <w:color w:val="auto"/>
                <w:spacing w:val="3"/>
                <w:sz w:val="21"/>
                <w:szCs w:val="21"/>
              </w:rPr>
              <w:t>203.0</w:t>
            </w:r>
          </w:p>
        </w:tc>
        <w:tc>
          <w:tcPr>
            <w:tcW w:w="1534"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4"/>
                <w:szCs w:val="21"/>
              </w:rPr>
              <w:t>28.2±12.5</w:t>
            </w:r>
          </w:p>
        </w:tc>
        <w:tc>
          <w:tcPr>
            <w:tcW w:w="1675" w:type="dxa"/>
            <w:vAlign w:val="center"/>
          </w:tcPr>
          <w:p w:rsidR="002A5A5E" w:rsidRPr="00F9522B" w:rsidRDefault="00611CBA">
            <w:pPr>
              <w:pStyle w:val="TableText"/>
              <w:spacing w:line="0" w:lineRule="atLeast"/>
              <w:jc w:val="center"/>
              <w:rPr>
                <w:color w:val="auto"/>
                <w:sz w:val="21"/>
                <w:szCs w:val="21"/>
              </w:rPr>
            </w:pPr>
            <w:r w:rsidRPr="00F9522B">
              <w:rPr>
                <w:color w:val="auto"/>
                <w:spacing w:val="2"/>
                <w:sz w:val="21"/>
                <w:szCs w:val="21"/>
              </w:rPr>
              <w:t>16.6</w:t>
            </w:r>
            <w:r w:rsidRPr="00F9522B">
              <w:rPr>
                <w:rFonts w:eastAsia="宋体"/>
                <w:color w:val="auto"/>
                <w:spacing w:val="2"/>
                <w:sz w:val="21"/>
                <w:szCs w:val="21"/>
              </w:rPr>
              <w:t>～</w:t>
            </w:r>
            <w:r w:rsidRPr="00F9522B">
              <w:rPr>
                <w:color w:val="auto"/>
                <w:spacing w:val="2"/>
                <w:sz w:val="21"/>
                <w:szCs w:val="21"/>
              </w:rPr>
              <w:t>74.0</w:t>
            </w:r>
          </w:p>
        </w:tc>
        <w:tc>
          <w:tcPr>
            <w:tcW w:w="766"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2"/>
                <w:szCs w:val="21"/>
              </w:rPr>
              <w:t>23</w:t>
            </w:r>
          </w:p>
        </w:tc>
      </w:tr>
      <w:tr w:rsidR="002A5A5E" w:rsidRPr="00F9522B">
        <w:trPr>
          <w:trHeight w:val="348"/>
        </w:trPr>
        <w:tc>
          <w:tcPr>
            <w:tcW w:w="1276"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4"/>
                <w:sz w:val="21"/>
                <w:szCs w:val="21"/>
              </w:rPr>
              <w:t>银鲴</w:t>
            </w:r>
          </w:p>
        </w:tc>
        <w:tc>
          <w:tcPr>
            <w:tcW w:w="1581"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1"/>
                <w:szCs w:val="21"/>
              </w:rPr>
              <w:t>14.9±7.2</w:t>
            </w:r>
          </w:p>
        </w:tc>
        <w:tc>
          <w:tcPr>
            <w:tcW w:w="1547"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3"/>
                <w:szCs w:val="21"/>
              </w:rPr>
              <w:t>9.1~16.3</w:t>
            </w:r>
          </w:p>
        </w:tc>
        <w:tc>
          <w:tcPr>
            <w:tcW w:w="1534"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3"/>
                <w:szCs w:val="21"/>
              </w:rPr>
              <w:t>52.7±100.2</w:t>
            </w:r>
          </w:p>
        </w:tc>
        <w:tc>
          <w:tcPr>
            <w:tcW w:w="1675"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1"/>
                <w:szCs w:val="21"/>
              </w:rPr>
              <w:t>10.4~102.7</w:t>
            </w:r>
          </w:p>
        </w:tc>
        <w:tc>
          <w:tcPr>
            <w:tcW w:w="766"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zCs w:val="21"/>
              </w:rPr>
              <w:t>3</w:t>
            </w:r>
          </w:p>
        </w:tc>
      </w:tr>
      <w:tr w:rsidR="002A5A5E" w:rsidRPr="00F9522B">
        <w:trPr>
          <w:trHeight w:val="349"/>
        </w:trPr>
        <w:tc>
          <w:tcPr>
            <w:tcW w:w="1276"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7"/>
                <w:sz w:val="21"/>
                <w:szCs w:val="21"/>
              </w:rPr>
              <w:t>黑龙江花鳅</w:t>
            </w:r>
          </w:p>
        </w:tc>
        <w:tc>
          <w:tcPr>
            <w:tcW w:w="1581"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3"/>
                <w:szCs w:val="21"/>
              </w:rPr>
              <w:t>69.6±2.3</w:t>
            </w:r>
          </w:p>
        </w:tc>
        <w:tc>
          <w:tcPr>
            <w:tcW w:w="1547" w:type="dxa"/>
            <w:vAlign w:val="center"/>
          </w:tcPr>
          <w:p w:rsidR="002A5A5E" w:rsidRPr="00F9522B" w:rsidRDefault="00611CBA">
            <w:pPr>
              <w:pStyle w:val="TableText"/>
              <w:spacing w:line="0" w:lineRule="atLeast"/>
              <w:jc w:val="center"/>
              <w:rPr>
                <w:rFonts w:eastAsiaTheme="minorEastAsia"/>
                <w:color w:val="auto"/>
                <w:sz w:val="21"/>
                <w:szCs w:val="21"/>
                <w:lang w:eastAsia="zh-CN"/>
              </w:rPr>
            </w:pPr>
            <w:r w:rsidRPr="00F9522B">
              <w:rPr>
                <w:color w:val="auto"/>
                <w:spacing w:val="4"/>
                <w:sz w:val="21"/>
                <w:szCs w:val="21"/>
              </w:rPr>
              <w:t>20.3</w:t>
            </w:r>
            <w:r w:rsidRPr="00F9522B">
              <w:rPr>
                <w:rFonts w:eastAsia="宋体"/>
                <w:color w:val="auto"/>
                <w:spacing w:val="4"/>
                <w:sz w:val="21"/>
                <w:szCs w:val="21"/>
              </w:rPr>
              <w:t>～</w:t>
            </w:r>
            <w:r w:rsidRPr="00F9522B">
              <w:rPr>
                <w:color w:val="auto"/>
                <w:spacing w:val="4"/>
                <w:sz w:val="21"/>
                <w:szCs w:val="21"/>
              </w:rPr>
              <w:t>100.3</w:t>
            </w:r>
          </w:p>
        </w:tc>
        <w:tc>
          <w:tcPr>
            <w:tcW w:w="1534"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1"/>
                <w:szCs w:val="21"/>
              </w:rPr>
              <w:t>1.5±3.6</w:t>
            </w:r>
          </w:p>
        </w:tc>
        <w:tc>
          <w:tcPr>
            <w:tcW w:w="1675" w:type="dxa"/>
            <w:vAlign w:val="center"/>
          </w:tcPr>
          <w:p w:rsidR="002A5A5E" w:rsidRPr="00F9522B" w:rsidRDefault="00611CBA">
            <w:pPr>
              <w:pStyle w:val="TableText"/>
              <w:spacing w:line="0" w:lineRule="atLeast"/>
              <w:jc w:val="center"/>
              <w:rPr>
                <w:rFonts w:eastAsiaTheme="minorEastAsia"/>
                <w:color w:val="auto"/>
                <w:sz w:val="21"/>
                <w:szCs w:val="21"/>
                <w:lang w:eastAsia="zh-CN"/>
              </w:rPr>
            </w:pPr>
            <w:r w:rsidRPr="00F9522B">
              <w:rPr>
                <w:color w:val="auto"/>
                <w:spacing w:val="4"/>
                <w:sz w:val="21"/>
                <w:szCs w:val="21"/>
              </w:rPr>
              <w:t>0.</w:t>
            </w:r>
            <w:r w:rsidRPr="00F9522B">
              <w:rPr>
                <w:rFonts w:eastAsiaTheme="minorEastAsia"/>
                <w:color w:val="auto"/>
                <w:spacing w:val="4"/>
                <w:sz w:val="21"/>
                <w:szCs w:val="21"/>
                <w:lang w:eastAsia="zh-CN"/>
              </w:rPr>
              <w:t>5</w:t>
            </w:r>
            <w:r w:rsidRPr="00F9522B">
              <w:rPr>
                <w:color w:val="auto"/>
                <w:spacing w:val="4"/>
                <w:sz w:val="21"/>
                <w:szCs w:val="21"/>
              </w:rPr>
              <w:t>6</w:t>
            </w:r>
            <w:r w:rsidRPr="00F9522B">
              <w:rPr>
                <w:rFonts w:eastAsia="宋体"/>
                <w:color w:val="auto"/>
                <w:spacing w:val="4"/>
                <w:sz w:val="21"/>
                <w:szCs w:val="21"/>
              </w:rPr>
              <w:t>～</w:t>
            </w:r>
            <w:r w:rsidRPr="00F9522B">
              <w:rPr>
                <w:color w:val="auto"/>
                <w:spacing w:val="4"/>
                <w:sz w:val="21"/>
                <w:szCs w:val="21"/>
              </w:rPr>
              <w:t>5.2</w:t>
            </w:r>
          </w:p>
        </w:tc>
        <w:tc>
          <w:tcPr>
            <w:tcW w:w="766" w:type="dxa"/>
            <w:vAlign w:val="center"/>
          </w:tcPr>
          <w:p w:rsidR="002A5A5E" w:rsidRPr="00F9522B" w:rsidRDefault="00611CBA" w:rsidP="00BB0285">
            <w:pPr>
              <w:kinsoku w:val="0"/>
              <w:autoSpaceDE w:val="0"/>
              <w:autoSpaceDN w:val="0"/>
              <w:adjustRightInd w:val="0"/>
              <w:snapToGrid w:val="0"/>
              <w:spacing w:line="0" w:lineRule="atLeast"/>
              <w:jc w:val="center"/>
              <w:textAlignment w:val="baseline"/>
              <w:rPr>
                <w:szCs w:val="21"/>
              </w:rPr>
            </w:pPr>
            <w:r w:rsidRPr="00F9522B">
              <w:rPr>
                <w:spacing w:val="1"/>
                <w:szCs w:val="21"/>
              </w:rPr>
              <w:t>7</w:t>
            </w:r>
            <w:r w:rsidR="00BB0285" w:rsidRPr="00F9522B">
              <w:rPr>
                <w:spacing w:val="1"/>
                <w:szCs w:val="21"/>
              </w:rPr>
              <w:t>0</w:t>
            </w:r>
          </w:p>
        </w:tc>
      </w:tr>
      <w:tr w:rsidR="002A5A5E" w:rsidRPr="00F9522B">
        <w:trPr>
          <w:trHeight w:val="349"/>
        </w:trPr>
        <w:tc>
          <w:tcPr>
            <w:tcW w:w="1276"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7"/>
                <w:sz w:val="21"/>
                <w:szCs w:val="21"/>
              </w:rPr>
              <w:t>条纹似白鮈</w:t>
            </w:r>
          </w:p>
        </w:tc>
        <w:tc>
          <w:tcPr>
            <w:tcW w:w="1581"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3"/>
                <w:szCs w:val="21"/>
              </w:rPr>
              <w:t>81.8±1.9</w:t>
            </w:r>
          </w:p>
        </w:tc>
        <w:tc>
          <w:tcPr>
            <w:tcW w:w="1547"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1"/>
                <w:szCs w:val="21"/>
              </w:rPr>
              <w:t>60.1~110.0</w:t>
            </w:r>
          </w:p>
        </w:tc>
        <w:tc>
          <w:tcPr>
            <w:tcW w:w="1534"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3"/>
                <w:szCs w:val="21"/>
              </w:rPr>
              <w:t>3.7±2.7</w:t>
            </w:r>
          </w:p>
        </w:tc>
        <w:tc>
          <w:tcPr>
            <w:tcW w:w="1675"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3"/>
                <w:szCs w:val="21"/>
              </w:rPr>
              <w:t>2.9~6.3</w:t>
            </w:r>
          </w:p>
        </w:tc>
        <w:tc>
          <w:tcPr>
            <w:tcW w:w="766"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zCs w:val="21"/>
              </w:rPr>
              <w:t>61</w:t>
            </w:r>
          </w:p>
        </w:tc>
      </w:tr>
      <w:tr w:rsidR="002A5A5E" w:rsidRPr="00F9522B">
        <w:trPr>
          <w:trHeight w:val="372"/>
        </w:trPr>
        <w:tc>
          <w:tcPr>
            <w:tcW w:w="1276"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7"/>
                <w:sz w:val="21"/>
                <w:szCs w:val="21"/>
              </w:rPr>
              <w:t>葛氏鲈塘鳢</w:t>
            </w:r>
          </w:p>
        </w:tc>
        <w:tc>
          <w:tcPr>
            <w:tcW w:w="1581"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3"/>
                <w:szCs w:val="21"/>
              </w:rPr>
              <w:t>99.5±16.7</w:t>
            </w:r>
          </w:p>
        </w:tc>
        <w:tc>
          <w:tcPr>
            <w:tcW w:w="1547"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1"/>
                <w:szCs w:val="21"/>
              </w:rPr>
              <w:t>55.9~140.5</w:t>
            </w:r>
          </w:p>
        </w:tc>
        <w:tc>
          <w:tcPr>
            <w:tcW w:w="1534"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3"/>
                <w:szCs w:val="21"/>
              </w:rPr>
              <w:t>23.9±14.2</w:t>
            </w:r>
          </w:p>
        </w:tc>
        <w:tc>
          <w:tcPr>
            <w:tcW w:w="1675"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1"/>
                <w:szCs w:val="21"/>
              </w:rPr>
              <w:t>15.6~29.3</w:t>
            </w:r>
          </w:p>
        </w:tc>
        <w:tc>
          <w:tcPr>
            <w:tcW w:w="766" w:type="dxa"/>
            <w:vAlign w:val="center"/>
          </w:tcPr>
          <w:p w:rsidR="002A5A5E" w:rsidRPr="00F9522B" w:rsidRDefault="00611CBA" w:rsidP="00BB0285">
            <w:pPr>
              <w:kinsoku w:val="0"/>
              <w:autoSpaceDE w:val="0"/>
              <w:autoSpaceDN w:val="0"/>
              <w:adjustRightInd w:val="0"/>
              <w:snapToGrid w:val="0"/>
              <w:spacing w:line="0" w:lineRule="atLeast"/>
              <w:jc w:val="center"/>
              <w:textAlignment w:val="baseline"/>
              <w:rPr>
                <w:szCs w:val="21"/>
              </w:rPr>
            </w:pPr>
            <w:r w:rsidRPr="00F9522B">
              <w:rPr>
                <w:spacing w:val="2"/>
                <w:szCs w:val="21"/>
              </w:rPr>
              <w:t>2</w:t>
            </w:r>
            <w:r w:rsidR="00BB0285" w:rsidRPr="00F9522B">
              <w:rPr>
                <w:spacing w:val="2"/>
                <w:szCs w:val="21"/>
              </w:rPr>
              <w:t>0</w:t>
            </w:r>
          </w:p>
        </w:tc>
      </w:tr>
    </w:tbl>
    <w:p w:rsidR="002A5A5E" w:rsidRPr="00F9522B" w:rsidRDefault="00611CBA">
      <w:pPr>
        <w:pStyle w:val="2fa"/>
        <w:ind w:firstLine="482"/>
        <w:contextualSpacing/>
        <w:rPr>
          <w:rFonts w:ascii="Times New Roman" w:hAnsi="Times New Roman" w:cs="Times New Roman"/>
          <w:b/>
        </w:rPr>
      </w:pPr>
      <w:r w:rsidRPr="00F9522B">
        <w:rPr>
          <w:rFonts w:ascii="Times New Roman" w:hAnsi="Times New Roman" w:cs="Times New Roman"/>
          <w:b/>
        </w:rPr>
        <w:t>种类组成</w:t>
      </w:r>
    </w:p>
    <w:p w:rsidR="002A5A5E" w:rsidRPr="00F9522B" w:rsidRDefault="00611CBA">
      <w:pPr>
        <w:pStyle w:val="2fa"/>
        <w:ind w:firstLine="480"/>
        <w:contextualSpacing/>
        <w:rPr>
          <w:rFonts w:ascii="Times New Roman" w:hAnsi="Times New Roman" w:cs="Times New Roman"/>
        </w:rPr>
      </w:pPr>
      <w:r w:rsidRPr="00F9522B">
        <w:rPr>
          <w:rFonts w:ascii="Times New Roman" w:hAnsi="Times New Roman" w:cs="Times New Roman"/>
        </w:rPr>
        <w:lastRenderedPageBreak/>
        <w:t>根据资料记载及近年来相关调查成果，评价水域共有鱼类</w:t>
      </w:r>
      <w:r w:rsidR="00535282" w:rsidRPr="00F9522B">
        <w:rPr>
          <w:rFonts w:ascii="Times New Roman" w:hAnsi="Times New Roman" w:cs="Times New Roman"/>
        </w:rPr>
        <w:t>9</w:t>
      </w:r>
      <w:r w:rsidRPr="00F9522B">
        <w:rPr>
          <w:rFonts w:ascii="Times New Roman" w:hAnsi="Times New Roman" w:cs="Times New Roman"/>
        </w:rPr>
        <w:t>目</w:t>
      </w:r>
      <w:r w:rsidRPr="00F9522B">
        <w:rPr>
          <w:rFonts w:ascii="Times New Roman" w:hAnsi="Times New Roman" w:cs="Times New Roman"/>
        </w:rPr>
        <w:t>1</w:t>
      </w:r>
      <w:r w:rsidR="00D828E4" w:rsidRPr="00F9522B">
        <w:rPr>
          <w:rFonts w:ascii="Times New Roman" w:hAnsi="Times New Roman" w:cs="Times New Roman"/>
        </w:rPr>
        <w:t>8</w:t>
      </w:r>
      <w:r w:rsidRPr="00F9522B">
        <w:rPr>
          <w:rFonts w:ascii="Times New Roman" w:hAnsi="Times New Roman" w:cs="Times New Roman"/>
        </w:rPr>
        <w:t>科</w:t>
      </w:r>
      <w:r w:rsidR="00535282" w:rsidRPr="00F9522B">
        <w:rPr>
          <w:rFonts w:ascii="Times New Roman" w:hAnsi="Times New Roman" w:cs="Times New Roman"/>
        </w:rPr>
        <w:t>71</w:t>
      </w:r>
      <w:r w:rsidRPr="00F9522B">
        <w:rPr>
          <w:rFonts w:ascii="Times New Roman" w:hAnsi="Times New Roman" w:cs="Times New Roman"/>
        </w:rPr>
        <w:t>种，其中鲤科鱼类最多为</w:t>
      </w:r>
      <w:r w:rsidR="00BF1164" w:rsidRPr="00F9522B">
        <w:rPr>
          <w:rFonts w:ascii="Times New Roman" w:hAnsi="Times New Roman" w:cs="Times New Roman"/>
        </w:rPr>
        <w:t>40</w:t>
      </w:r>
      <w:r w:rsidRPr="00F9522B">
        <w:rPr>
          <w:rFonts w:ascii="Times New Roman" w:hAnsi="Times New Roman" w:cs="Times New Roman"/>
        </w:rPr>
        <w:t>种，鳅科和鲿科</w:t>
      </w:r>
      <w:r w:rsidRPr="00F9522B">
        <w:rPr>
          <w:rFonts w:ascii="Times New Roman" w:hAnsi="Times New Roman" w:cs="Times New Roman"/>
        </w:rPr>
        <w:t>4</w:t>
      </w:r>
      <w:r w:rsidRPr="00F9522B">
        <w:rPr>
          <w:rFonts w:ascii="Times New Roman" w:hAnsi="Times New Roman" w:cs="Times New Roman"/>
        </w:rPr>
        <w:t>种，</w:t>
      </w:r>
      <w:r w:rsidR="00BF1164" w:rsidRPr="00F9522B">
        <w:rPr>
          <w:rFonts w:ascii="Times New Roman" w:hAnsi="Times New Roman" w:cs="Times New Roman"/>
        </w:rPr>
        <w:t>鲟科、鲑科、</w:t>
      </w:r>
      <w:r w:rsidRPr="00F9522B">
        <w:rPr>
          <w:rFonts w:ascii="Times New Roman" w:hAnsi="Times New Roman" w:cs="Times New Roman"/>
        </w:rPr>
        <w:t>塘鳢科、鰕虎鱼科、七鳃鳗科、鲇科和胡瓜鱼科</w:t>
      </w:r>
      <w:r w:rsidR="00BF1164" w:rsidRPr="00F9522B">
        <w:rPr>
          <w:rFonts w:ascii="Times New Roman" w:hAnsi="Times New Roman" w:cs="Times New Roman"/>
        </w:rPr>
        <w:t>、杜父鱼科</w:t>
      </w:r>
      <w:r w:rsidRPr="00F9522B">
        <w:rPr>
          <w:rFonts w:ascii="Times New Roman" w:hAnsi="Times New Roman" w:cs="Times New Roman"/>
        </w:rPr>
        <w:t>2</w:t>
      </w:r>
      <w:r w:rsidRPr="00F9522B">
        <w:rPr>
          <w:rFonts w:ascii="Times New Roman" w:hAnsi="Times New Roman" w:cs="Times New Roman"/>
        </w:rPr>
        <w:t>种，其他各科均为</w:t>
      </w:r>
      <w:r w:rsidRPr="00F9522B">
        <w:rPr>
          <w:rFonts w:ascii="Times New Roman" w:hAnsi="Times New Roman" w:cs="Times New Roman"/>
        </w:rPr>
        <w:t>1</w:t>
      </w:r>
      <w:r w:rsidRPr="00F9522B">
        <w:rPr>
          <w:rFonts w:ascii="Times New Roman" w:hAnsi="Times New Roman" w:cs="Times New Roman"/>
        </w:rPr>
        <w:t>种。</w:t>
      </w:r>
    </w:p>
    <w:p w:rsidR="002A5A5E" w:rsidRPr="00F9522B" w:rsidRDefault="00611CBA">
      <w:pPr>
        <w:pStyle w:val="ab"/>
        <w:spacing w:after="0"/>
        <w:ind w:left="3238"/>
        <w:rPr>
          <w:b/>
          <w:bCs/>
          <w:spacing w:val="-2"/>
        </w:rPr>
      </w:pPr>
      <w:r w:rsidRPr="00F9522B">
        <w:rPr>
          <w:b/>
          <w:bCs/>
          <w:spacing w:val="-2"/>
        </w:rPr>
        <w:t>表</w:t>
      </w:r>
      <w:r w:rsidRPr="00F9522B">
        <w:rPr>
          <w:b/>
          <w:bCs/>
          <w:spacing w:val="-2"/>
        </w:rPr>
        <w:t>4-2-29</w:t>
      </w:r>
      <w:r w:rsidRPr="00F9522B">
        <w:rPr>
          <w:b/>
          <w:bCs/>
          <w:spacing w:val="-2"/>
        </w:rPr>
        <w:t>评价水域鱼类名录</w:t>
      </w:r>
    </w:p>
    <w:tbl>
      <w:tblPr>
        <w:tblStyle w:val="TableNormal"/>
        <w:tblW w:w="8532" w:type="dxa"/>
        <w:tblInd w:w="135" w:type="dxa"/>
        <w:tblBorders>
          <w:top w:val="single" w:sz="12" w:space="0" w:color="000000"/>
          <w:bottom w:val="single" w:sz="12" w:space="0" w:color="000000"/>
          <w:insideH w:val="single" w:sz="4" w:space="0" w:color="000000"/>
          <w:insideV w:val="single" w:sz="4" w:space="0" w:color="000000"/>
        </w:tblBorders>
        <w:tblLayout w:type="fixed"/>
        <w:tblLook w:val="04A0"/>
      </w:tblPr>
      <w:tblGrid>
        <w:gridCol w:w="1850"/>
        <w:gridCol w:w="1984"/>
        <w:gridCol w:w="3544"/>
        <w:gridCol w:w="1061"/>
        <w:gridCol w:w="93"/>
      </w:tblGrid>
      <w:tr w:rsidR="002A5A5E" w:rsidRPr="00F9522B" w:rsidTr="00BB0285">
        <w:trPr>
          <w:trHeight w:val="351"/>
        </w:trPr>
        <w:tc>
          <w:tcPr>
            <w:tcW w:w="1850"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z w:val="21"/>
                <w:szCs w:val="21"/>
              </w:rPr>
              <w:t>目</w:t>
            </w:r>
          </w:p>
        </w:tc>
        <w:tc>
          <w:tcPr>
            <w:tcW w:w="1984"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z w:val="21"/>
                <w:szCs w:val="21"/>
              </w:rPr>
              <w:t>科</w:t>
            </w:r>
          </w:p>
        </w:tc>
        <w:tc>
          <w:tcPr>
            <w:tcW w:w="3544"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4"/>
                <w:sz w:val="21"/>
                <w:szCs w:val="21"/>
              </w:rPr>
              <w:t>种类</w:t>
            </w:r>
          </w:p>
        </w:tc>
        <w:tc>
          <w:tcPr>
            <w:tcW w:w="1154" w:type="dxa"/>
            <w:gridSpan w:val="2"/>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7"/>
                <w:sz w:val="21"/>
                <w:szCs w:val="21"/>
              </w:rPr>
              <w:t>采集鱼类</w:t>
            </w:r>
          </w:p>
        </w:tc>
      </w:tr>
      <w:tr w:rsidR="002A5A5E" w:rsidRPr="00F9522B" w:rsidTr="00BB0285">
        <w:trPr>
          <w:trHeight w:val="347"/>
        </w:trPr>
        <w:tc>
          <w:tcPr>
            <w:tcW w:w="1850" w:type="dxa"/>
            <w:vMerge w:val="restart"/>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7"/>
                <w:sz w:val="21"/>
                <w:szCs w:val="21"/>
              </w:rPr>
              <w:t>七鳃鳗目</w:t>
            </w:r>
          </w:p>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4"/>
                <w:szCs w:val="21"/>
              </w:rPr>
              <w:t>Petromyzoniformes</w:t>
            </w:r>
          </w:p>
        </w:tc>
        <w:tc>
          <w:tcPr>
            <w:tcW w:w="1984" w:type="dxa"/>
            <w:vMerge w:val="restart"/>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8"/>
                <w:sz w:val="21"/>
                <w:szCs w:val="21"/>
              </w:rPr>
              <w:t>七鳃鳗科</w:t>
            </w:r>
          </w:p>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4"/>
                <w:szCs w:val="21"/>
              </w:rPr>
              <w:t>Petromyzonidae</w:t>
            </w:r>
          </w:p>
        </w:tc>
        <w:tc>
          <w:tcPr>
            <w:tcW w:w="3544"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21"/>
                <w:sz w:val="21"/>
                <w:szCs w:val="21"/>
              </w:rPr>
              <w:t>雷氏七鳃鳗</w:t>
            </w:r>
            <w:r w:rsidRPr="00F9522B">
              <w:rPr>
                <w:i/>
                <w:iCs/>
                <w:color w:val="auto"/>
                <w:sz w:val="21"/>
                <w:szCs w:val="21"/>
              </w:rPr>
              <w:t>Lampetrareissneri</w:t>
            </w:r>
          </w:p>
        </w:tc>
        <w:tc>
          <w:tcPr>
            <w:tcW w:w="1154" w:type="dxa"/>
            <w:gridSpan w:val="2"/>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1"/>
                <w:szCs w:val="21"/>
              </w:rPr>
              <w:t>+</w:t>
            </w:r>
          </w:p>
        </w:tc>
      </w:tr>
      <w:tr w:rsidR="002A5A5E" w:rsidRPr="00F9522B" w:rsidTr="00BB0285">
        <w:trPr>
          <w:trHeight w:val="347"/>
        </w:trPr>
        <w:tc>
          <w:tcPr>
            <w:tcW w:w="1850" w:type="dxa"/>
            <w:vMerge/>
            <w:vAlign w:val="center"/>
          </w:tcPr>
          <w:p w:rsidR="002A5A5E" w:rsidRPr="00F9522B" w:rsidRDefault="002A5A5E">
            <w:pPr>
              <w:spacing w:line="0" w:lineRule="atLeast"/>
              <w:jc w:val="center"/>
              <w:rPr>
                <w:szCs w:val="21"/>
              </w:rPr>
            </w:pPr>
          </w:p>
        </w:tc>
        <w:tc>
          <w:tcPr>
            <w:tcW w:w="1984" w:type="dxa"/>
            <w:vMerge/>
            <w:vAlign w:val="center"/>
          </w:tcPr>
          <w:p w:rsidR="002A5A5E" w:rsidRPr="00F9522B" w:rsidRDefault="002A5A5E">
            <w:pPr>
              <w:spacing w:line="0" w:lineRule="atLeast"/>
              <w:jc w:val="center"/>
              <w:rPr>
                <w:szCs w:val="21"/>
              </w:rPr>
            </w:pPr>
          </w:p>
        </w:tc>
        <w:tc>
          <w:tcPr>
            <w:tcW w:w="3544"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23"/>
                <w:sz w:val="21"/>
                <w:szCs w:val="21"/>
              </w:rPr>
              <w:t>日本七鳃鳗</w:t>
            </w:r>
            <w:r w:rsidRPr="00F9522B">
              <w:rPr>
                <w:i/>
                <w:iCs/>
                <w:color w:val="auto"/>
                <w:sz w:val="21"/>
                <w:szCs w:val="21"/>
              </w:rPr>
              <w:t>Lampetrajaponica</w:t>
            </w:r>
          </w:p>
        </w:tc>
        <w:tc>
          <w:tcPr>
            <w:tcW w:w="1154" w:type="dxa"/>
            <w:gridSpan w:val="2"/>
            <w:vAlign w:val="center"/>
          </w:tcPr>
          <w:p w:rsidR="002A5A5E" w:rsidRPr="00F9522B" w:rsidRDefault="002A5A5E">
            <w:pPr>
              <w:kinsoku w:val="0"/>
              <w:autoSpaceDE w:val="0"/>
              <w:autoSpaceDN w:val="0"/>
              <w:adjustRightInd w:val="0"/>
              <w:snapToGrid w:val="0"/>
              <w:spacing w:line="0" w:lineRule="atLeast"/>
              <w:jc w:val="center"/>
              <w:textAlignment w:val="baseline"/>
              <w:rPr>
                <w:szCs w:val="21"/>
              </w:rPr>
            </w:pPr>
          </w:p>
        </w:tc>
      </w:tr>
      <w:tr w:rsidR="00720318" w:rsidRPr="00F9522B" w:rsidTr="00535282">
        <w:trPr>
          <w:trHeight w:val="299"/>
        </w:trPr>
        <w:tc>
          <w:tcPr>
            <w:tcW w:w="1850" w:type="dxa"/>
            <w:vMerge w:val="restart"/>
            <w:vAlign w:val="center"/>
          </w:tcPr>
          <w:p w:rsidR="00720318" w:rsidRPr="00F9522B" w:rsidRDefault="00720318">
            <w:pPr>
              <w:pStyle w:val="TableText"/>
              <w:spacing w:line="0" w:lineRule="atLeast"/>
              <w:jc w:val="center"/>
              <w:rPr>
                <w:color w:val="auto"/>
                <w:sz w:val="21"/>
                <w:szCs w:val="21"/>
              </w:rPr>
            </w:pPr>
            <w:r w:rsidRPr="00F9522B">
              <w:rPr>
                <w:rFonts w:eastAsia="宋体"/>
                <w:color w:val="auto"/>
                <w:spacing w:val="7"/>
                <w:sz w:val="21"/>
                <w:szCs w:val="21"/>
              </w:rPr>
              <w:t>鲟形目</w:t>
            </w:r>
          </w:p>
          <w:p w:rsidR="00720318" w:rsidRPr="00F9522B" w:rsidRDefault="00720318">
            <w:pPr>
              <w:kinsoku w:val="0"/>
              <w:autoSpaceDE w:val="0"/>
              <w:autoSpaceDN w:val="0"/>
              <w:adjustRightInd w:val="0"/>
              <w:snapToGrid w:val="0"/>
              <w:spacing w:line="0" w:lineRule="atLeast"/>
              <w:jc w:val="center"/>
              <w:textAlignment w:val="baseline"/>
              <w:rPr>
                <w:szCs w:val="21"/>
              </w:rPr>
            </w:pPr>
            <w:r w:rsidRPr="00F9522B">
              <w:rPr>
                <w:spacing w:val="4"/>
                <w:szCs w:val="21"/>
              </w:rPr>
              <w:t>Acipenseriformes</w:t>
            </w:r>
          </w:p>
        </w:tc>
        <w:tc>
          <w:tcPr>
            <w:tcW w:w="1984" w:type="dxa"/>
            <w:vMerge w:val="restart"/>
            <w:vAlign w:val="center"/>
          </w:tcPr>
          <w:p w:rsidR="00720318" w:rsidRPr="00F9522B" w:rsidRDefault="00720318">
            <w:pPr>
              <w:pStyle w:val="TableText"/>
              <w:spacing w:line="0" w:lineRule="atLeast"/>
              <w:jc w:val="center"/>
              <w:rPr>
                <w:color w:val="auto"/>
                <w:sz w:val="21"/>
                <w:szCs w:val="21"/>
              </w:rPr>
            </w:pPr>
            <w:r w:rsidRPr="00F9522B">
              <w:rPr>
                <w:rFonts w:eastAsia="宋体"/>
                <w:color w:val="auto"/>
                <w:spacing w:val="33"/>
                <w:sz w:val="21"/>
                <w:szCs w:val="21"/>
              </w:rPr>
              <w:t>鲟科</w:t>
            </w:r>
            <w:r w:rsidRPr="00F9522B">
              <w:rPr>
                <w:color w:val="auto"/>
                <w:sz w:val="21"/>
                <w:szCs w:val="21"/>
              </w:rPr>
              <w:t>Acipenseridae</w:t>
            </w:r>
          </w:p>
        </w:tc>
        <w:tc>
          <w:tcPr>
            <w:tcW w:w="3544" w:type="dxa"/>
            <w:vAlign w:val="center"/>
          </w:tcPr>
          <w:p w:rsidR="00720318" w:rsidRPr="00F9522B" w:rsidRDefault="00720318">
            <w:pPr>
              <w:pStyle w:val="TableText"/>
              <w:spacing w:line="0" w:lineRule="atLeast"/>
              <w:jc w:val="center"/>
              <w:rPr>
                <w:color w:val="auto"/>
                <w:sz w:val="21"/>
                <w:szCs w:val="21"/>
              </w:rPr>
            </w:pPr>
            <w:r w:rsidRPr="00F9522B">
              <w:rPr>
                <w:rFonts w:eastAsia="宋体"/>
                <w:color w:val="auto"/>
                <w:spacing w:val="36"/>
                <w:position w:val="2"/>
                <w:sz w:val="21"/>
                <w:szCs w:val="21"/>
              </w:rPr>
              <w:t>施氏鲟</w:t>
            </w:r>
            <w:r w:rsidRPr="00F9522B">
              <w:rPr>
                <w:i/>
                <w:iCs/>
                <w:color w:val="auto"/>
                <w:position w:val="2"/>
                <w:sz w:val="21"/>
                <w:szCs w:val="21"/>
              </w:rPr>
              <w:t>Acipenserschenckii</w:t>
            </w:r>
          </w:p>
        </w:tc>
        <w:tc>
          <w:tcPr>
            <w:tcW w:w="1154" w:type="dxa"/>
            <w:gridSpan w:val="2"/>
            <w:vAlign w:val="center"/>
          </w:tcPr>
          <w:p w:rsidR="00720318" w:rsidRPr="00F9522B" w:rsidRDefault="00720318">
            <w:pPr>
              <w:kinsoku w:val="0"/>
              <w:autoSpaceDE w:val="0"/>
              <w:autoSpaceDN w:val="0"/>
              <w:adjustRightInd w:val="0"/>
              <w:snapToGrid w:val="0"/>
              <w:spacing w:line="0" w:lineRule="atLeast"/>
              <w:jc w:val="center"/>
              <w:textAlignment w:val="baseline"/>
              <w:rPr>
                <w:szCs w:val="21"/>
              </w:rPr>
            </w:pPr>
          </w:p>
        </w:tc>
      </w:tr>
      <w:tr w:rsidR="00720318" w:rsidRPr="00F9522B" w:rsidTr="00535282">
        <w:trPr>
          <w:trHeight w:val="279"/>
        </w:trPr>
        <w:tc>
          <w:tcPr>
            <w:tcW w:w="1850" w:type="dxa"/>
            <w:vMerge/>
            <w:vAlign w:val="center"/>
          </w:tcPr>
          <w:p w:rsidR="00720318" w:rsidRPr="00F9522B" w:rsidRDefault="00720318">
            <w:pPr>
              <w:pStyle w:val="TableText"/>
              <w:spacing w:line="0" w:lineRule="atLeast"/>
              <w:jc w:val="center"/>
              <w:rPr>
                <w:rFonts w:eastAsia="宋体"/>
                <w:color w:val="auto"/>
                <w:spacing w:val="7"/>
                <w:sz w:val="21"/>
                <w:szCs w:val="21"/>
              </w:rPr>
            </w:pPr>
          </w:p>
        </w:tc>
        <w:tc>
          <w:tcPr>
            <w:tcW w:w="1984" w:type="dxa"/>
            <w:vMerge/>
            <w:vAlign w:val="center"/>
          </w:tcPr>
          <w:p w:rsidR="00720318" w:rsidRPr="00F9522B" w:rsidRDefault="00720318">
            <w:pPr>
              <w:pStyle w:val="TableText"/>
              <w:spacing w:line="0" w:lineRule="atLeast"/>
              <w:jc w:val="center"/>
              <w:rPr>
                <w:rFonts w:eastAsia="宋体"/>
                <w:color w:val="auto"/>
                <w:spacing w:val="33"/>
                <w:sz w:val="21"/>
                <w:szCs w:val="21"/>
              </w:rPr>
            </w:pPr>
          </w:p>
        </w:tc>
        <w:tc>
          <w:tcPr>
            <w:tcW w:w="3544" w:type="dxa"/>
            <w:vAlign w:val="center"/>
          </w:tcPr>
          <w:p w:rsidR="00720318" w:rsidRPr="00F9522B" w:rsidRDefault="00720318">
            <w:pPr>
              <w:pStyle w:val="TableText"/>
              <w:spacing w:line="0" w:lineRule="atLeast"/>
              <w:jc w:val="center"/>
              <w:rPr>
                <w:rFonts w:eastAsia="宋体"/>
                <w:color w:val="auto"/>
                <w:spacing w:val="36"/>
                <w:position w:val="2"/>
                <w:sz w:val="21"/>
                <w:szCs w:val="21"/>
              </w:rPr>
            </w:pPr>
            <w:r w:rsidRPr="00F9522B">
              <w:rPr>
                <w:rFonts w:eastAsia="宋体"/>
                <w:color w:val="auto"/>
                <w:sz w:val="21"/>
                <w:szCs w:val="21"/>
              </w:rPr>
              <w:t>鳇</w:t>
            </w:r>
            <w:r w:rsidRPr="00F9522B">
              <w:rPr>
                <w:i/>
                <w:color w:val="auto"/>
                <w:sz w:val="21"/>
                <w:szCs w:val="21"/>
              </w:rPr>
              <w:t>Huso dauricus</w:t>
            </w:r>
          </w:p>
        </w:tc>
        <w:tc>
          <w:tcPr>
            <w:tcW w:w="1154" w:type="dxa"/>
            <w:gridSpan w:val="2"/>
            <w:vAlign w:val="center"/>
          </w:tcPr>
          <w:p w:rsidR="00720318" w:rsidRPr="00F9522B" w:rsidRDefault="00720318">
            <w:pPr>
              <w:kinsoku w:val="0"/>
              <w:autoSpaceDE w:val="0"/>
              <w:autoSpaceDN w:val="0"/>
              <w:adjustRightInd w:val="0"/>
              <w:snapToGrid w:val="0"/>
              <w:spacing w:line="0" w:lineRule="atLeast"/>
              <w:jc w:val="center"/>
              <w:textAlignment w:val="baseline"/>
              <w:rPr>
                <w:szCs w:val="21"/>
              </w:rPr>
            </w:pPr>
          </w:p>
        </w:tc>
      </w:tr>
      <w:tr w:rsidR="00720318" w:rsidRPr="00F9522B" w:rsidTr="00BB0285">
        <w:trPr>
          <w:trHeight w:val="347"/>
        </w:trPr>
        <w:tc>
          <w:tcPr>
            <w:tcW w:w="1850" w:type="dxa"/>
            <w:vMerge w:val="restart"/>
            <w:vAlign w:val="center"/>
          </w:tcPr>
          <w:p w:rsidR="00720318" w:rsidRPr="00F9522B" w:rsidRDefault="00720318">
            <w:pPr>
              <w:pStyle w:val="TableText"/>
              <w:spacing w:line="0" w:lineRule="atLeast"/>
              <w:jc w:val="center"/>
              <w:rPr>
                <w:color w:val="auto"/>
                <w:sz w:val="21"/>
                <w:szCs w:val="21"/>
              </w:rPr>
            </w:pPr>
            <w:r w:rsidRPr="00F9522B">
              <w:rPr>
                <w:rFonts w:eastAsia="宋体"/>
                <w:color w:val="auto"/>
                <w:spacing w:val="7"/>
                <w:sz w:val="21"/>
                <w:szCs w:val="21"/>
              </w:rPr>
              <w:t>鲑形目</w:t>
            </w:r>
          </w:p>
          <w:p w:rsidR="00720318" w:rsidRPr="00F9522B" w:rsidRDefault="00720318">
            <w:pPr>
              <w:kinsoku w:val="0"/>
              <w:autoSpaceDE w:val="0"/>
              <w:autoSpaceDN w:val="0"/>
              <w:adjustRightInd w:val="0"/>
              <w:snapToGrid w:val="0"/>
              <w:spacing w:line="0" w:lineRule="atLeast"/>
              <w:jc w:val="center"/>
              <w:textAlignment w:val="baseline"/>
              <w:rPr>
                <w:szCs w:val="21"/>
              </w:rPr>
            </w:pPr>
            <w:r w:rsidRPr="00F9522B">
              <w:rPr>
                <w:spacing w:val="3"/>
                <w:szCs w:val="21"/>
              </w:rPr>
              <w:t>Salmoniformes</w:t>
            </w:r>
          </w:p>
        </w:tc>
        <w:tc>
          <w:tcPr>
            <w:tcW w:w="1984" w:type="dxa"/>
            <w:vMerge w:val="restart"/>
            <w:vAlign w:val="center"/>
          </w:tcPr>
          <w:p w:rsidR="00720318" w:rsidRPr="00F9522B" w:rsidRDefault="00720318">
            <w:pPr>
              <w:pStyle w:val="TableText"/>
              <w:spacing w:line="0" w:lineRule="atLeast"/>
              <w:jc w:val="center"/>
              <w:rPr>
                <w:color w:val="auto"/>
                <w:sz w:val="21"/>
                <w:szCs w:val="21"/>
              </w:rPr>
            </w:pPr>
            <w:r w:rsidRPr="00F9522B">
              <w:rPr>
                <w:rFonts w:eastAsia="宋体"/>
                <w:color w:val="auto"/>
                <w:spacing w:val="14"/>
                <w:sz w:val="21"/>
                <w:szCs w:val="21"/>
              </w:rPr>
              <w:t>胡瓜鱼科</w:t>
            </w:r>
            <w:r w:rsidRPr="00F9522B">
              <w:rPr>
                <w:color w:val="auto"/>
                <w:sz w:val="21"/>
                <w:szCs w:val="21"/>
              </w:rPr>
              <w:t>Osmeridae</w:t>
            </w:r>
          </w:p>
        </w:tc>
        <w:tc>
          <w:tcPr>
            <w:tcW w:w="3544" w:type="dxa"/>
            <w:vAlign w:val="center"/>
          </w:tcPr>
          <w:p w:rsidR="00720318" w:rsidRPr="00F9522B" w:rsidRDefault="00720318">
            <w:pPr>
              <w:pStyle w:val="TableText"/>
              <w:spacing w:line="0" w:lineRule="atLeast"/>
              <w:jc w:val="center"/>
              <w:rPr>
                <w:color w:val="auto"/>
                <w:sz w:val="21"/>
                <w:szCs w:val="21"/>
              </w:rPr>
            </w:pPr>
            <w:r w:rsidRPr="00F9522B">
              <w:rPr>
                <w:rFonts w:eastAsia="宋体"/>
                <w:color w:val="auto"/>
                <w:spacing w:val="26"/>
                <w:position w:val="2"/>
                <w:sz w:val="21"/>
                <w:szCs w:val="21"/>
              </w:rPr>
              <w:t>池沼公鱼</w:t>
            </w:r>
            <w:r w:rsidRPr="00F9522B">
              <w:rPr>
                <w:i/>
                <w:iCs/>
                <w:color w:val="auto"/>
                <w:position w:val="2"/>
                <w:sz w:val="21"/>
                <w:szCs w:val="21"/>
              </w:rPr>
              <w:t>Hypomesusolidus</w:t>
            </w:r>
          </w:p>
        </w:tc>
        <w:tc>
          <w:tcPr>
            <w:tcW w:w="1154" w:type="dxa"/>
            <w:gridSpan w:val="2"/>
            <w:vAlign w:val="center"/>
          </w:tcPr>
          <w:p w:rsidR="00720318" w:rsidRPr="00F9522B" w:rsidRDefault="00720318">
            <w:pPr>
              <w:kinsoku w:val="0"/>
              <w:autoSpaceDE w:val="0"/>
              <w:autoSpaceDN w:val="0"/>
              <w:adjustRightInd w:val="0"/>
              <w:snapToGrid w:val="0"/>
              <w:spacing w:line="0" w:lineRule="atLeast"/>
              <w:jc w:val="center"/>
              <w:textAlignment w:val="baseline"/>
              <w:rPr>
                <w:szCs w:val="21"/>
              </w:rPr>
            </w:pPr>
            <w:r w:rsidRPr="00F9522B">
              <w:rPr>
                <w:spacing w:val="1"/>
                <w:szCs w:val="21"/>
              </w:rPr>
              <w:t>+</w:t>
            </w:r>
          </w:p>
        </w:tc>
      </w:tr>
      <w:tr w:rsidR="00720318" w:rsidRPr="00F9522B" w:rsidTr="00BB0285">
        <w:trPr>
          <w:trHeight w:val="573"/>
        </w:trPr>
        <w:tc>
          <w:tcPr>
            <w:tcW w:w="1850" w:type="dxa"/>
            <w:vMerge/>
            <w:vAlign w:val="center"/>
          </w:tcPr>
          <w:p w:rsidR="00720318" w:rsidRPr="00F9522B" w:rsidRDefault="00720318">
            <w:pPr>
              <w:spacing w:line="0" w:lineRule="atLeast"/>
              <w:jc w:val="center"/>
              <w:rPr>
                <w:szCs w:val="21"/>
              </w:rPr>
            </w:pPr>
          </w:p>
        </w:tc>
        <w:tc>
          <w:tcPr>
            <w:tcW w:w="1984" w:type="dxa"/>
            <w:vMerge/>
            <w:vAlign w:val="center"/>
          </w:tcPr>
          <w:p w:rsidR="00720318" w:rsidRPr="00F9522B" w:rsidRDefault="00720318">
            <w:pPr>
              <w:spacing w:line="0" w:lineRule="atLeast"/>
              <w:jc w:val="center"/>
              <w:rPr>
                <w:szCs w:val="21"/>
              </w:rPr>
            </w:pPr>
          </w:p>
        </w:tc>
        <w:tc>
          <w:tcPr>
            <w:tcW w:w="3544" w:type="dxa"/>
            <w:vAlign w:val="center"/>
          </w:tcPr>
          <w:p w:rsidR="00720318" w:rsidRPr="00F9522B" w:rsidRDefault="00720318">
            <w:pPr>
              <w:pStyle w:val="TableText"/>
              <w:spacing w:line="0" w:lineRule="atLeast"/>
              <w:jc w:val="center"/>
              <w:rPr>
                <w:color w:val="auto"/>
                <w:sz w:val="21"/>
                <w:szCs w:val="21"/>
              </w:rPr>
            </w:pPr>
            <w:r w:rsidRPr="00F9522B">
              <w:rPr>
                <w:rFonts w:eastAsia="宋体"/>
                <w:color w:val="auto"/>
                <w:spacing w:val="6"/>
                <w:sz w:val="21"/>
                <w:szCs w:val="21"/>
              </w:rPr>
              <w:t>亚洲公鱼</w:t>
            </w:r>
          </w:p>
          <w:p w:rsidR="00720318" w:rsidRPr="00F9522B" w:rsidRDefault="00720318">
            <w:pPr>
              <w:kinsoku w:val="0"/>
              <w:autoSpaceDE w:val="0"/>
              <w:autoSpaceDN w:val="0"/>
              <w:adjustRightInd w:val="0"/>
              <w:snapToGrid w:val="0"/>
              <w:spacing w:line="0" w:lineRule="atLeast"/>
              <w:jc w:val="center"/>
              <w:textAlignment w:val="baseline"/>
              <w:rPr>
                <w:szCs w:val="21"/>
              </w:rPr>
            </w:pPr>
            <w:r w:rsidRPr="00F9522B">
              <w:rPr>
                <w:i/>
                <w:iCs/>
                <w:spacing w:val="4"/>
                <w:position w:val="3"/>
                <w:szCs w:val="21"/>
              </w:rPr>
              <w:t>Hypomesustranspacificadsnipponensis</w:t>
            </w:r>
            <w:r w:rsidRPr="00F9522B">
              <w:rPr>
                <w:spacing w:val="4"/>
                <w:position w:val="3"/>
                <w:szCs w:val="21"/>
              </w:rPr>
              <w:t>r</w:t>
            </w:r>
          </w:p>
        </w:tc>
        <w:tc>
          <w:tcPr>
            <w:tcW w:w="1154" w:type="dxa"/>
            <w:gridSpan w:val="2"/>
            <w:vAlign w:val="center"/>
          </w:tcPr>
          <w:p w:rsidR="00720318" w:rsidRPr="00F9522B" w:rsidRDefault="00720318">
            <w:pPr>
              <w:kinsoku w:val="0"/>
              <w:autoSpaceDE w:val="0"/>
              <w:autoSpaceDN w:val="0"/>
              <w:adjustRightInd w:val="0"/>
              <w:snapToGrid w:val="0"/>
              <w:spacing w:line="0" w:lineRule="atLeast"/>
              <w:jc w:val="center"/>
              <w:textAlignment w:val="baseline"/>
              <w:rPr>
                <w:szCs w:val="21"/>
              </w:rPr>
            </w:pPr>
            <w:r w:rsidRPr="00F9522B">
              <w:rPr>
                <w:spacing w:val="1"/>
                <w:szCs w:val="21"/>
              </w:rPr>
              <w:t>+</w:t>
            </w:r>
          </w:p>
        </w:tc>
      </w:tr>
      <w:tr w:rsidR="00720318" w:rsidRPr="00F9522B" w:rsidTr="00BB0285">
        <w:trPr>
          <w:trHeight w:val="347"/>
        </w:trPr>
        <w:tc>
          <w:tcPr>
            <w:tcW w:w="1850" w:type="dxa"/>
            <w:vMerge/>
            <w:vAlign w:val="center"/>
          </w:tcPr>
          <w:p w:rsidR="00720318" w:rsidRPr="00F9522B" w:rsidRDefault="00720318">
            <w:pPr>
              <w:spacing w:line="0" w:lineRule="atLeast"/>
              <w:jc w:val="center"/>
              <w:rPr>
                <w:szCs w:val="21"/>
              </w:rPr>
            </w:pPr>
          </w:p>
        </w:tc>
        <w:tc>
          <w:tcPr>
            <w:tcW w:w="1984" w:type="dxa"/>
            <w:vAlign w:val="center"/>
          </w:tcPr>
          <w:p w:rsidR="00720318" w:rsidRPr="00F9522B" w:rsidRDefault="00720318">
            <w:pPr>
              <w:pStyle w:val="TableText"/>
              <w:spacing w:line="0" w:lineRule="atLeast"/>
              <w:jc w:val="center"/>
              <w:rPr>
                <w:color w:val="auto"/>
                <w:sz w:val="21"/>
                <w:szCs w:val="21"/>
              </w:rPr>
            </w:pPr>
            <w:r w:rsidRPr="00F9522B">
              <w:rPr>
                <w:rFonts w:eastAsia="宋体"/>
                <w:color w:val="auto"/>
                <w:spacing w:val="16"/>
                <w:sz w:val="21"/>
                <w:szCs w:val="21"/>
              </w:rPr>
              <w:t>银鱼科</w:t>
            </w:r>
            <w:r w:rsidRPr="00F9522B">
              <w:rPr>
                <w:color w:val="auto"/>
                <w:sz w:val="21"/>
                <w:szCs w:val="21"/>
              </w:rPr>
              <w:t>Salangidae</w:t>
            </w:r>
          </w:p>
        </w:tc>
        <w:tc>
          <w:tcPr>
            <w:tcW w:w="3544" w:type="dxa"/>
            <w:vAlign w:val="center"/>
          </w:tcPr>
          <w:p w:rsidR="00720318" w:rsidRPr="00F9522B" w:rsidRDefault="00720318">
            <w:pPr>
              <w:pStyle w:val="TableText"/>
              <w:spacing w:line="0" w:lineRule="atLeast"/>
              <w:jc w:val="center"/>
              <w:rPr>
                <w:color w:val="auto"/>
                <w:sz w:val="21"/>
                <w:szCs w:val="21"/>
              </w:rPr>
            </w:pPr>
            <w:r w:rsidRPr="00F9522B">
              <w:rPr>
                <w:rFonts w:eastAsia="宋体"/>
                <w:color w:val="auto"/>
                <w:spacing w:val="29"/>
                <w:position w:val="2"/>
                <w:sz w:val="21"/>
                <w:szCs w:val="21"/>
              </w:rPr>
              <w:t>大银鱼</w:t>
            </w:r>
            <w:r w:rsidRPr="00F9522B">
              <w:rPr>
                <w:i/>
                <w:iCs/>
                <w:color w:val="auto"/>
                <w:position w:val="2"/>
                <w:sz w:val="21"/>
                <w:szCs w:val="21"/>
              </w:rPr>
              <w:t>Protosalanxnyalocranius</w:t>
            </w:r>
          </w:p>
        </w:tc>
        <w:tc>
          <w:tcPr>
            <w:tcW w:w="1154" w:type="dxa"/>
            <w:gridSpan w:val="2"/>
            <w:vAlign w:val="center"/>
          </w:tcPr>
          <w:p w:rsidR="00720318" w:rsidRPr="00F9522B" w:rsidRDefault="00720318">
            <w:pPr>
              <w:kinsoku w:val="0"/>
              <w:autoSpaceDE w:val="0"/>
              <w:autoSpaceDN w:val="0"/>
              <w:adjustRightInd w:val="0"/>
              <w:snapToGrid w:val="0"/>
              <w:spacing w:line="0" w:lineRule="atLeast"/>
              <w:jc w:val="center"/>
              <w:textAlignment w:val="baseline"/>
              <w:rPr>
                <w:szCs w:val="21"/>
              </w:rPr>
            </w:pPr>
            <w:r w:rsidRPr="00F9522B">
              <w:rPr>
                <w:position w:val="-2"/>
                <w:szCs w:val="21"/>
              </w:rPr>
              <w:t>-</w:t>
            </w:r>
          </w:p>
        </w:tc>
      </w:tr>
      <w:tr w:rsidR="00720318" w:rsidRPr="00F9522B" w:rsidTr="00BB0285">
        <w:trPr>
          <w:trHeight w:val="347"/>
        </w:trPr>
        <w:tc>
          <w:tcPr>
            <w:tcW w:w="1850" w:type="dxa"/>
            <w:vMerge/>
            <w:vAlign w:val="center"/>
          </w:tcPr>
          <w:p w:rsidR="00720318" w:rsidRPr="00F9522B" w:rsidRDefault="00720318">
            <w:pPr>
              <w:spacing w:line="0" w:lineRule="atLeast"/>
              <w:jc w:val="center"/>
              <w:rPr>
                <w:szCs w:val="21"/>
              </w:rPr>
            </w:pPr>
          </w:p>
        </w:tc>
        <w:tc>
          <w:tcPr>
            <w:tcW w:w="1984" w:type="dxa"/>
            <w:vAlign w:val="center"/>
          </w:tcPr>
          <w:p w:rsidR="00720318" w:rsidRPr="00F9522B" w:rsidRDefault="00720318">
            <w:pPr>
              <w:pStyle w:val="TableText"/>
              <w:spacing w:line="0" w:lineRule="atLeast"/>
              <w:jc w:val="center"/>
              <w:rPr>
                <w:color w:val="auto"/>
                <w:sz w:val="21"/>
                <w:szCs w:val="21"/>
              </w:rPr>
            </w:pPr>
            <w:r w:rsidRPr="00F9522B">
              <w:rPr>
                <w:rFonts w:eastAsia="宋体"/>
                <w:color w:val="auto"/>
                <w:spacing w:val="17"/>
                <w:sz w:val="21"/>
                <w:szCs w:val="21"/>
              </w:rPr>
              <w:t>狗鱼科</w:t>
            </w:r>
            <w:r w:rsidRPr="00F9522B">
              <w:rPr>
                <w:color w:val="auto"/>
                <w:sz w:val="21"/>
                <w:szCs w:val="21"/>
              </w:rPr>
              <w:t>Esocidae</w:t>
            </w:r>
          </w:p>
        </w:tc>
        <w:tc>
          <w:tcPr>
            <w:tcW w:w="3544" w:type="dxa"/>
            <w:vAlign w:val="center"/>
          </w:tcPr>
          <w:p w:rsidR="00720318" w:rsidRPr="00F9522B" w:rsidRDefault="00720318">
            <w:pPr>
              <w:pStyle w:val="TableText"/>
              <w:spacing w:line="0" w:lineRule="atLeast"/>
              <w:jc w:val="center"/>
              <w:rPr>
                <w:color w:val="auto"/>
                <w:sz w:val="21"/>
                <w:szCs w:val="21"/>
              </w:rPr>
            </w:pPr>
            <w:r w:rsidRPr="00F9522B">
              <w:rPr>
                <w:rFonts w:eastAsia="宋体"/>
                <w:color w:val="auto"/>
                <w:spacing w:val="19"/>
                <w:position w:val="1"/>
                <w:sz w:val="21"/>
                <w:szCs w:val="21"/>
              </w:rPr>
              <w:t>黑斑狗鱼</w:t>
            </w:r>
            <w:r w:rsidRPr="00F9522B">
              <w:rPr>
                <w:i/>
                <w:iCs/>
                <w:color w:val="auto"/>
                <w:position w:val="1"/>
                <w:sz w:val="21"/>
                <w:szCs w:val="21"/>
              </w:rPr>
              <w:t>Esoxreicherti</w:t>
            </w:r>
          </w:p>
        </w:tc>
        <w:tc>
          <w:tcPr>
            <w:tcW w:w="1154" w:type="dxa"/>
            <w:gridSpan w:val="2"/>
            <w:vAlign w:val="center"/>
          </w:tcPr>
          <w:p w:rsidR="00720318" w:rsidRPr="00F9522B" w:rsidRDefault="00720318">
            <w:pPr>
              <w:kinsoku w:val="0"/>
              <w:autoSpaceDE w:val="0"/>
              <w:autoSpaceDN w:val="0"/>
              <w:adjustRightInd w:val="0"/>
              <w:snapToGrid w:val="0"/>
              <w:spacing w:line="0" w:lineRule="atLeast"/>
              <w:jc w:val="center"/>
              <w:textAlignment w:val="baseline"/>
              <w:rPr>
                <w:szCs w:val="21"/>
              </w:rPr>
            </w:pPr>
          </w:p>
        </w:tc>
      </w:tr>
      <w:tr w:rsidR="00720318" w:rsidRPr="00F9522B" w:rsidTr="00BB0285">
        <w:trPr>
          <w:trHeight w:val="347"/>
        </w:trPr>
        <w:tc>
          <w:tcPr>
            <w:tcW w:w="1850" w:type="dxa"/>
            <w:vMerge/>
            <w:vAlign w:val="center"/>
          </w:tcPr>
          <w:p w:rsidR="00720318" w:rsidRPr="00F9522B" w:rsidRDefault="00720318">
            <w:pPr>
              <w:spacing w:line="0" w:lineRule="atLeast"/>
              <w:jc w:val="center"/>
              <w:rPr>
                <w:szCs w:val="21"/>
              </w:rPr>
            </w:pPr>
          </w:p>
        </w:tc>
        <w:tc>
          <w:tcPr>
            <w:tcW w:w="1984" w:type="dxa"/>
            <w:vMerge w:val="restart"/>
            <w:vAlign w:val="center"/>
          </w:tcPr>
          <w:p w:rsidR="00720318" w:rsidRPr="00F9522B" w:rsidRDefault="00720318">
            <w:pPr>
              <w:pStyle w:val="TableText"/>
              <w:spacing w:line="0" w:lineRule="atLeast"/>
              <w:jc w:val="center"/>
              <w:rPr>
                <w:rFonts w:eastAsia="宋体"/>
                <w:color w:val="auto"/>
                <w:spacing w:val="17"/>
                <w:sz w:val="21"/>
                <w:szCs w:val="21"/>
              </w:rPr>
            </w:pPr>
            <w:r w:rsidRPr="00F9522B">
              <w:rPr>
                <w:rFonts w:eastAsia="宋体"/>
                <w:color w:val="auto"/>
                <w:sz w:val="21"/>
                <w:szCs w:val="21"/>
              </w:rPr>
              <w:t>鲑科</w:t>
            </w:r>
            <w:r w:rsidRPr="00F9522B">
              <w:rPr>
                <w:color w:val="auto"/>
                <w:sz w:val="21"/>
                <w:szCs w:val="21"/>
              </w:rPr>
              <w:t xml:space="preserve"> Salmonidae</w:t>
            </w:r>
          </w:p>
        </w:tc>
        <w:tc>
          <w:tcPr>
            <w:tcW w:w="3544" w:type="dxa"/>
            <w:vAlign w:val="center"/>
          </w:tcPr>
          <w:p w:rsidR="00720318" w:rsidRPr="00F9522B" w:rsidRDefault="00720318">
            <w:pPr>
              <w:pStyle w:val="TableText"/>
              <w:spacing w:line="0" w:lineRule="atLeast"/>
              <w:jc w:val="center"/>
              <w:rPr>
                <w:rFonts w:eastAsia="宋体"/>
                <w:color w:val="auto"/>
                <w:spacing w:val="19"/>
                <w:position w:val="1"/>
                <w:sz w:val="21"/>
                <w:szCs w:val="21"/>
              </w:rPr>
            </w:pPr>
            <w:r w:rsidRPr="00F9522B">
              <w:rPr>
                <w:rFonts w:eastAsia="宋体"/>
                <w:color w:val="auto"/>
                <w:sz w:val="21"/>
                <w:szCs w:val="21"/>
              </w:rPr>
              <w:t>哲罗鲑</w:t>
            </w:r>
            <w:r w:rsidRPr="00F9522B">
              <w:rPr>
                <w:i/>
                <w:color w:val="auto"/>
                <w:sz w:val="21"/>
                <w:szCs w:val="21"/>
              </w:rPr>
              <w:t>Hucho taimen</w:t>
            </w:r>
          </w:p>
        </w:tc>
        <w:tc>
          <w:tcPr>
            <w:tcW w:w="1154" w:type="dxa"/>
            <w:gridSpan w:val="2"/>
            <w:vAlign w:val="center"/>
          </w:tcPr>
          <w:p w:rsidR="00720318" w:rsidRPr="00F9522B" w:rsidRDefault="00720318">
            <w:pPr>
              <w:kinsoku w:val="0"/>
              <w:autoSpaceDE w:val="0"/>
              <w:autoSpaceDN w:val="0"/>
              <w:adjustRightInd w:val="0"/>
              <w:snapToGrid w:val="0"/>
              <w:spacing w:line="0" w:lineRule="atLeast"/>
              <w:jc w:val="center"/>
              <w:textAlignment w:val="baseline"/>
              <w:rPr>
                <w:szCs w:val="21"/>
              </w:rPr>
            </w:pPr>
          </w:p>
        </w:tc>
      </w:tr>
      <w:tr w:rsidR="00720318" w:rsidRPr="00F9522B" w:rsidTr="00BB0285">
        <w:trPr>
          <w:trHeight w:val="347"/>
        </w:trPr>
        <w:tc>
          <w:tcPr>
            <w:tcW w:w="1850" w:type="dxa"/>
            <w:vMerge/>
            <w:vAlign w:val="center"/>
          </w:tcPr>
          <w:p w:rsidR="00720318" w:rsidRPr="00F9522B" w:rsidRDefault="00720318">
            <w:pPr>
              <w:spacing w:line="0" w:lineRule="atLeast"/>
              <w:jc w:val="center"/>
              <w:rPr>
                <w:szCs w:val="21"/>
              </w:rPr>
            </w:pPr>
          </w:p>
        </w:tc>
        <w:tc>
          <w:tcPr>
            <w:tcW w:w="1984" w:type="dxa"/>
            <w:vMerge/>
            <w:vAlign w:val="center"/>
          </w:tcPr>
          <w:p w:rsidR="00720318" w:rsidRPr="00F9522B" w:rsidRDefault="00720318">
            <w:pPr>
              <w:pStyle w:val="TableText"/>
              <w:spacing w:line="0" w:lineRule="atLeast"/>
              <w:jc w:val="center"/>
              <w:rPr>
                <w:rFonts w:eastAsia="宋体"/>
                <w:color w:val="auto"/>
                <w:sz w:val="21"/>
                <w:szCs w:val="21"/>
              </w:rPr>
            </w:pPr>
          </w:p>
        </w:tc>
        <w:tc>
          <w:tcPr>
            <w:tcW w:w="3544" w:type="dxa"/>
            <w:vAlign w:val="center"/>
          </w:tcPr>
          <w:p w:rsidR="00720318" w:rsidRPr="00F9522B" w:rsidRDefault="00720318">
            <w:pPr>
              <w:pStyle w:val="TableText"/>
              <w:spacing w:line="0" w:lineRule="atLeast"/>
              <w:jc w:val="center"/>
              <w:rPr>
                <w:rFonts w:eastAsiaTheme="minorEastAsia"/>
                <w:color w:val="auto"/>
                <w:sz w:val="21"/>
                <w:szCs w:val="21"/>
                <w:lang w:eastAsia="zh-CN"/>
              </w:rPr>
            </w:pPr>
            <w:r w:rsidRPr="00F9522B">
              <w:rPr>
                <w:rFonts w:eastAsia="宋体"/>
                <w:color w:val="auto"/>
                <w:sz w:val="21"/>
                <w:szCs w:val="21"/>
              </w:rPr>
              <w:t>乌苏里白鲑</w:t>
            </w:r>
            <w:r w:rsidRPr="00F9522B">
              <w:rPr>
                <w:i/>
                <w:color w:val="auto"/>
                <w:sz w:val="21"/>
                <w:szCs w:val="21"/>
              </w:rPr>
              <w:t>Coregonus ussuriensis</w:t>
            </w:r>
          </w:p>
        </w:tc>
        <w:tc>
          <w:tcPr>
            <w:tcW w:w="1154" w:type="dxa"/>
            <w:gridSpan w:val="2"/>
            <w:vAlign w:val="center"/>
          </w:tcPr>
          <w:p w:rsidR="00720318" w:rsidRPr="00F9522B" w:rsidRDefault="00720318">
            <w:pPr>
              <w:kinsoku w:val="0"/>
              <w:autoSpaceDE w:val="0"/>
              <w:autoSpaceDN w:val="0"/>
              <w:adjustRightInd w:val="0"/>
              <w:snapToGrid w:val="0"/>
              <w:spacing w:line="0" w:lineRule="atLeast"/>
              <w:jc w:val="center"/>
              <w:textAlignment w:val="baseline"/>
              <w:rPr>
                <w:szCs w:val="21"/>
              </w:rPr>
            </w:pPr>
          </w:p>
        </w:tc>
      </w:tr>
      <w:tr w:rsidR="00720318" w:rsidRPr="00F9522B" w:rsidTr="00BB0285">
        <w:trPr>
          <w:trHeight w:val="347"/>
        </w:trPr>
        <w:tc>
          <w:tcPr>
            <w:tcW w:w="1850" w:type="dxa"/>
            <w:vMerge/>
            <w:vAlign w:val="center"/>
          </w:tcPr>
          <w:p w:rsidR="00720318" w:rsidRPr="00F9522B" w:rsidRDefault="00720318">
            <w:pPr>
              <w:spacing w:line="0" w:lineRule="atLeast"/>
              <w:jc w:val="center"/>
              <w:rPr>
                <w:szCs w:val="21"/>
              </w:rPr>
            </w:pPr>
          </w:p>
        </w:tc>
        <w:tc>
          <w:tcPr>
            <w:tcW w:w="1984" w:type="dxa"/>
            <w:vAlign w:val="center"/>
          </w:tcPr>
          <w:p w:rsidR="00720318" w:rsidRPr="00F9522B" w:rsidRDefault="00720318" w:rsidP="008A23E4">
            <w:pPr>
              <w:pStyle w:val="TableText"/>
              <w:spacing w:line="0" w:lineRule="atLeast"/>
              <w:jc w:val="center"/>
              <w:rPr>
                <w:rFonts w:eastAsia="宋体"/>
                <w:color w:val="auto"/>
                <w:spacing w:val="23"/>
                <w:sz w:val="21"/>
                <w:szCs w:val="21"/>
              </w:rPr>
            </w:pPr>
            <w:r w:rsidRPr="00F9522B">
              <w:rPr>
                <w:rFonts w:eastAsia="宋体"/>
                <w:color w:val="auto"/>
                <w:sz w:val="21"/>
                <w:szCs w:val="21"/>
              </w:rPr>
              <w:t>茴鱼科</w:t>
            </w:r>
            <w:r w:rsidRPr="00F9522B">
              <w:rPr>
                <w:color w:val="auto"/>
                <w:sz w:val="21"/>
                <w:szCs w:val="21"/>
              </w:rPr>
              <w:t>Thymallidae</w:t>
            </w:r>
          </w:p>
        </w:tc>
        <w:tc>
          <w:tcPr>
            <w:tcW w:w="3544" w:type="dxa"/>
            <w:vAlign w:val="center"/>
          </w:tcPr>
          <w:p w:rsidR="00720318" w:rsidRPr="00F9522B" w:rsidRDefault="00720318" w:rsidP="008A23E4">
            <w:pPr>
              <w:pStyle w:val="TableText"/>
              <w:spacing w:line="0" w:lineRule="atLeast"/>
              <w:jc w:val="center"/>
              <w:rPr>
                <w:rFonts w:eastAsia="宋体"/>
                <w:color w:val="auto"/>
                <w:spacing w:val="21"/>
                <w:position w:val="2"/>
                <w:sz w:val="21"/>
                <w:szCs w:val="21"/>
              </w:rPr>
            </w:pPr>
            <w:r w:rsidRPr="00F9522B">
              <w:rPr>
                <w:rFonts w:eastAsia="宋体"/>
                <w:color w:val="auto"/>
                <w:sz w:val="21"/>
                <w:szCs w:val="21"/>
              </w:rPr>
              <w:t>黑龙江茴鱼</w:t>
            </w:r>
            <w:r w:rsidRPr="00F9522B">
              <w:rPr>
                <w:i/>
                <w:color w:val="auto"/>
                <w:sz w:val="21"/>
                <w:szCs w:val="21"/>
              </w:rPr>
              <w:t>Thymallus grubii</w:t>
            </w:r>
          </w:p>
        </w:tc>
        <w:tc>
          <w:tcPr>
            <w:tcW w:w="1154" w:type="dxa"/>
            <w:gridSpan w:val="2"/>
            <w:vAlign w:val="center"/>
          </w:tcPr>
          <w:p w:rsidR="00720318" w:rsidRPr="00F9522B" w:rsidRDefault="00720318">
            <w:pPr>
              <w:kinsoku w:val="0"/>
              <w:autoSpaceDE w:val="0"/>
              <w:autoSpaceDN w:val="0"/>
              <w:adjustRightInd w:val="0"/>
              <w:snapToGrid w:val="0"/>
              <w:spacing w:line="0" w:lineRule="atLeast"/>
              <w:jc w:val="center"/>
              <w:textAlignment w:val="baseline"/>
              <w:rPr>
                <w:szCs w:val="21"/>
              </w:rPr>
            </w:pPr>
          </w:p>
        </w:tc>
      </w:tr>
      <w:tr w:rsidR="00720318" w:rsidRPr="00F9522B" w:rsidTr="00BB0285">
        <w:trPr>
          <w:trHeight w:val="347"/>
        </w:trPr>
        <w:tc>
          <w:tcPr>
            <w:tcW w:w="1850" w:type="dxa"/>
            <w:vMerge w:val="restart"/>
            <w:vAlign w:val="center"/>
          </w:tcPr>
          <w:p w:rsidR="00720318" w:rsidRPr="00F9522B" w:rsidRDefault="00720318">
            <w:pPr>
              <w:pStyle w:val="TableText"/>
              <w:spacing w:line="0" w:lineRule="atLeast"/>
              <w:jc w:val="center"/>
              <w:rPr>
                <w:color w:val="auto"/>
                <w:sz w:val="21"/>
                <w:szCs w:val="21"/>
              </w:rPr>
            </w:pPr>
            <w:r w:rsidRPr="00F9522B">
              <w:rPr>
                <w:rFonts w:eastAsia="宋体"/>
                <w:color w:val="auto"/>
                <w:spacing w:val="6"/>
                <w:sz w:val="21"/>
                <w:szCs w:val="21"/>
              </w:rPr>
              <w:t>鲤形目</w:t>
            </w:r>
          </w:p>
          <w:p w:rsidR="00720318" w:rsidRPr="00F9522B" w:rsidRDefault="00720318">
            <w:pPr>
              <w:kinsoku w:val="0"/>
              <w:autoSpaceDE w:val="0"/>
              <w:autoSpaceDN w:val="0"/>
              <w:adjustRightInd w:val="0"/>
              <w:snapToGrid w:val="0"/>
              <w:spacing w:line="0" w:lineRule="atLeast"/>
              <w:jc w:val="center"/>
              <w:textAlignment w:val="baseline"/>
              <w:rPr>
                <w:szCs w:val="21"/>
              </w:rPr>
            </w:pPr>
            <w:r w:rsidRPr="00F9522B">
              <w:rPr>
                <w:spacing w:val="3"/>
                <w:szCs w:val="21"/>
              </w:rPr>
              <w:t>Cypriniformes</w:t>
            </w:r>
          </w:p>
        </w:tc>
        <w:tc>
          <w:tcPr>
            <w:tcW w:w="1984" w:type="dxa"/>
            <w:vMerge w:val="restart"/>
            <w:vAlign w:val="center"/>
          </w:tcPr>
          <w:p w:rsidR="00720318" w:rsidRPr="00F9522B" w:rsidRDefault="00720318">
            <w:pPr>
              <w:pStyle w:val="TableText"/>
              <w:spacing w:line="0" w:lineRule="atLeast"/>
              <w:jc w:val="center"/>
              <w:rPr>
                <w:color w:val="auto"/>
                <w:sz w:val="21"/>
                <w:szCs w:val="21"/>
              </w:rPr>
            </w:pPr>
            <w:r w:rsidRPr="00F9522B">
              <w:rPr>
                <w:rFonts w:eastAsia="宋体"/>
                <w:color w:val="auto"/>
                <w:spacing w:val="22"/>
                <w:sz w:val="21"/>
                <w:szCs w:val="21"/>
              </w:rPr>
              <w:t>鲤科</w:t>
            </w:r>
            <w:r w:rsidRPr="00F9522B">
              <w:rPr>
                <w:color w:val="auto"/>
                <w:sz w:val="21"/>
                <w:szCs w:val="21"/>
              </w:rPr>
              <w:t>Cyprinidae</w:t>
            </w:r>
          </w:p>
        </w:tc>
        <w:tc>
          <w:tcPr>
            <w:tcW w:w="3544" w:type="dxa"/>
            <w:vAlign w:val="center"/>
          </w:tcPr>
          <w:p w:rsidR="00720318" w:rsidRPr="00F9522B" w:rsidRDefault="00720318">
            <w:pPr>
              <w:pStyle w:val="TableText"/>
              <w:spacing w:line="0" w:lineRule="atLeast"/>
              <w:jc w:val="center"/>
              <w:rPr>
                <w:color w:val="auto"/>
                <w:sz w:val="21"/>
                <w:szCs w:val="21"/>
              </w:rPr>
            </w:pPr>
            <w:r w:rsidRPr="00F9522B">
              <w:rPr>
                <w:rFonts w:eastAsia="宋体"/>
                <w:color w:val="auto"/>
                <w:spacing w:val="26"/>
                <w:position w:val="2"/>
                <w:sz w:val="21"/>
                <w:szCs w:val="21"/>
              </w:rPr>
              <w:t>马口鱼</w:t>
            </w:r>
            <w:r w:rsidRPr="00F9522B">
              <w:rPr>
                <w:i/>
                <w:iCs/>
                <w:color w:val="auto"/>
                <w:position w:val="2"/>
                <w:sz w:val="21"/>
                <w:szCs w:val="21"/>
              </w:rPr>
              <w:t>Opsarichthysbidens</w:t>
            </w:r>
          </w:p>
        </w:tc>
        <w:tc>
          <w:tcPr>
            <w:tcW w:w="1154" w:type="dxa"/>
            <w:gridSpan w:val="2"/>
            <w:vAlign w:val="center"/>
          </w:tcPr>
          <w:p w:rsidR="00720318" w:rsidRPr="00F9522B" w:rsidRDefault="00720318">
            <w:pPr>
              <w:kinsoku w:val="0"/>
              <w:autoSpaceDE w:val="0"/>
              <w:autoSpaceDN w:val="0"/>
              <w:adjustRightInd w:val="0"/>
              <w:snapToGrid w:val="0"/>
              <w:spacing w:line="0" w:lineRule="atLeast"/>
              <w:jc w:val="center"/>
              <w:textAlignment w:val="baseline"/>
              <w:rPr>
                <w:szCs w:val="21"/>
              </w:rPr>
            </w:pPr>
            <w:r w:rsidRPr="00F9522B">
              <w:rPr>
                <w:spacing w:val="1"/>
                <w:szCs w:val="21"/>
              </w:rPr>
              <w:t>+</w:t>
            </w:r>
          </w:p>
        </w:tc>
      </w:tr>
      <w:tr w:rsidR="00720318" w:rsidRPr="00F9522B" w:rsidTr="00BB0285">
        <w:trPr>
          <w:trHeight w:val="347"/>
        </w:trPr>
        <w:tc>
          <w:tcPr>
            <w:tcW w:w="1850" w:type="dxa"/>
            <w:vMerge/>
            <w:vAlign w:val="center"/>
          </w:tcPr>
          <w:p w:rsidR="00720318" w:rsidRPr="00F9522B" w:rsidRDefault="00720318">
            <w:pPr>
              <w:spacing w:line="0" w:lineRule="atLeast"/>
              <w:jc w:val="center"/>
              <w:rPr>
                <w:szCs w:val="21"/>
              </w:rPr>
            </w:pPr>
          </w:p>
        </w:tc>
        <w:tc>
          <w:tcPr>
            <w:tcW w:w="1984" w:type="dxa"/>
            <w:vMerge/>
            <w:vAlign w:val="center"/>
          </w:tcPr>
          <w:p w:rsidR="00720318" w:rsidRPr="00F9522B" w:rsidRDefault="00720318">
            <w:pPr>
              <w:spacing w:line="0" w:lineRule="atLeast"/>
              <w:jc w:val="center"/>
              <w:rPr>
                <w:szCs w:val="21"/>
              </w:rPr>
            </w:pPr>
          </w:p>
        </w:tc>
        <w:tc>
          <w:tcPr>
            <w:tcW w:w="3544" w:type="dxa"/>
            <w:vAlign w:val="center"/>
          </w:tcPr>
          <w:p w:rsidR="00720318" w:rsidRPr="00F9522B" w:rsidRDefault="00720318">
            <w:pPr>
              <w:pStyle w:val="TableText"/>
              <w:spacing w:line="0" w:lineRule="atLeast"/>
              <w:jc w:val="center"/>
              <w:rPr>
                <w:color w:val="auto"/>
                <w:sz w:val="21"/>
                <w:szCs w:val="21"/>
              </w:rPr>
            </w:pPr>
            <w:r w:rsidRPr="00F9522B">
              <w:rPr>
                <w:rFonts w:eastAsia="宋体"/>
                <w:color w:val="auto"/>
                <w:spacing w:val="57"/>
                <w:position w:val="2"/>
                <w:sz w:val="21"/>
                <w:szCs w:val="21"/>
              </w:rPr>
              <w:t>草鱼</w:t>
            </w:r>
            <w:r w:rsidRPr="00F9522B">
              <w:rPr>
                <w:i/>
                <w:iCs/>
                <w:color w:val="auto"/>
                <w:position w:val="2"/>
                <w:sz w:val="21"/>
                <w:szCs w:val="21"/>
              </w:rPr>
              <w:t>Ctenopharpharyngodonidellus</w:t>
            </w:r>
          </w:p>
        </w:tc>
        <w:tc>
          <w:tcPr>
            <w:tcW w:w="1154" w:type="dxa"/>
            <w:gridSpan w:val="2"/>
            <w:vAlign w:val="center"/>
          </w:tcPr>
          <w:p w:rsidR="00720318" w:rsidRPr="00F9522B" w:rsidRDefault="00720318">
            <w:pPr>
              <w:kinsoku w:val="0"/>
              <w:autoSpaceDE w:val="0"/>
              <w:autoSpaceDN w:val="0"/>
              <w:adjustRightInd w:val="0"/>
              <w:snapToGrid w:val="0"/>
              <w:spacing w:line="0" w:lineRule="atLeast"/>
              <w:jc w:val="center"/>
              <w:textAlignment w:val="baseline"/>
              <w:rPr>
                <w:szCs w:val="21"/>
              </w:rPr>
            </w:pPr>
            <w:r w:rsidRPr="00F9522B">
              <w:rPr>
                <w:spacing w:val="1"/>
                <w:szCs w:val="21"/>
              </w:rPr>
              <w:t>+</w:t>
            </w:r>
          </w:p>
        </w:tc>
      </w:tr>
      <w:tr w:rsidR="00720318" w:rsidRPr="00F9522B" w:rsidTr="00BB0285">
        <w:trPr>
          <w:trHeight w:val="347"/>
        </w:trPr>
        <w:tc>
          <w:tcPr>
            <w:tcW w:w="1850" w:type="dxa"/>
            <w:vMerge/>
            <w:vAlign w:val="center"/>
          </w:tcPr>
          <w:p w:rsidR="00720318" w:rsidRPr="00F9522B" w:rsidRDefault="00720318">
            <w:pPr>
              <w:spacing w:line="0" w:lineRule="atLeast"/>
              <w:jc w:val="center"/>
              <w:rPr>
                <w:szCs w:val="21"/>
              </w:rPr>
            </w:pPr>
          </w:p>
        </w:tc>
        <w:tc>
          <w:tcPr>
            <w:tcW w:w="1984" w:type="dxa"/>
            <w:vMerge/>
            <w:vAlign w:val="center"/>
          </w:tcPr>
          <w:p w:rsidR="00720318" w:rsidRPr="00F9522B" w:rsidRDefault="00720318">
            <w:pPr>
              <w:spacing w:line="0" w:lineRule="atLeast"/>
              <w:jc w:val="center"/>
              <w:rPr>
                <w:szCs w:val="21"/>
              </w:rPr>
            </w:pPr>
          </w:p>
        </w:tc>
        <w:tc>
          <w:tcPr>
            <w:tcW w:w="3544" w:type="dxa"/>
            <w:vAlign w:val="center"/>
          </w:tcPr>
          <w:p w:rsidR="00720318" w:rsidRPr="00F9522B" w:rsidRDefault="00720318">
            <w:pPr>
              <w:pStyle w:val="TableText"/>
              <w:spacing w:line="0" w:lineRule="atLeast"/>
              <w:jc w:val="center"/>
              <w:rPr>
                <w:color w:val="auto"/>
                <w:sz w:val="21"/>
                <w:szCs w:val="21"/>
              </w:rPr>
            </w:pPr>
            <w:r w:rsidRPr="00F9522B">
              <w:rPr>
                <w:rFonts w:eastAsia="宋体"/>
                <w:color w:val="auto"/>
                <w:spacing w:val="32"/>
                <w:position w:val="2"/>
                <w:sz w:val="21"/>
                <w:szCs w:val="21"/>
              </w:rPr>
              <w:t>洛氏鱥</w:t>
            </w:r>
            <w:r w:rsidRPr="00F9522B">
              <w:rPr>
                <w:i/>
                <w:iCs/>
                <w:color w:val="auto"/>
                <w:position w:val="2"/>
                <w:sz w:val="21"/>
                <w:szCs w:val="21"/>
              </w:rPr>
              <w:t>Phoxinuslagowskii</w:t>
            </w:r>
          </w:p>
        </w:tc>
        <w:tc>
          <w:tcPr>
            <w:tcW w:w="1154" w:type="dxa"/>
            <w:gridSpan w:val="2"/>
            <w:vAlign w:val="center"/>
          </w:tcPr>
          <w:p w:rsidR="00720318" w:rsidRPr="00F9522B" w:rsidRDefault="00720318">
            <w:pPr>
              <w:kinsoku w:val="0"/>
              <w:autoSpaceDE w:val="0"/>
              <w:autoSpaceDN w:val="0"/>
              <w:adjustRightInd w:val="0"/>
              <w:snapToGrid w:val="0"/>
              <w:spacing w:line="0" w:lineRule="atLeast"/>
              <w:jc w:val="center"/>
              <w:textAlignment w:val="baseline"/>
              <w:rPr>
                <w:szCs w:val="21"/>
              </w:rPr>
            </w:pPr>
            <w:r w:rsidRPr="00F9522B">
              <w:rPr>
                <w:spacing w:val="1"/>
                <w:szCs w:val="21"/>
              </w:rPr>
              <w:t>+</w:t>
            </w:r>
          </w:p>
        </w:tc>
      </w:tr>
      <w:tr w:rsidR="00720318" w:rsidRPr="00F9522B" w:rsidTr="00BB0285">
        <w:trPr>
          <w:trHeight w:val="347"/>
        </w:trPr>
        <w:tc>
          <w:tcPr>
            <w:tcW w:w="1850" w:type="dxa"/>
            <w:vMerge/>
            <w:vAlign w:val="center"/>
          </w:tcPr>
          <w:p w:rsidR="00720318" w:rsidRPr="00F9522B" w:rsidRDefault="00720318">
            <w:pPr>
              <w:spacing w:line="0" w:lineRule="atLeast"/>
              <w:jc w:val="center"/>
              <w:rPr>
                <w:szCs w:val="21"/>
              </w:rPr>
            </w:pPr>
          </w:p>
        </w:tc>
        <w:tc>
          <w:tcPr>
            <w:tcW w:w="1984" w:type="dxa"/>
            <w:vMerge/>
            <w:vAlign w:val="center"/>
          </w:tcPr>
          <w:p w:rsidR="00720318" w:rsidRPr="00F9522B" w:rsidRDefault="00720318">
            <w:pPr>
              <w:spacing w:line="0" w:lineRule="atLeast"/>
              <w:jc w:val="center"/>
              <w:rPr>
                <w:szCs w:val="21"/>
              </w:rPr>
            </w:pPr>
          </w:p>
        </w:tc>
        <w:tc>
          <w:tcPr>
            <w:tcW w:w="3544" w:type="dxa"/>
            <w:vAlign w:val="center"/>
          </w:tcPr>
          <w:p w:rsidR="00720318" w:rsidRPr="00F9522B" w:rsidRDefault="00720318">
            <w:pPr>
              <w:pStyle w:val="TableText"/>
              <w:spacing w:line="0" w:lineRule="atLeast"/>
              <w:jc w:val="center"/>
              <w:rPr>
                <w:color w:val="auto"/>
                <w:sz w:val="21"/>
                <w:szCs w:val="21"/>
              </w:rPr>
            </w:pPr>
            <w:r w:rsidRPr="00F9522B">
              <w:rPr>
                <w:rFonts w:eastAsia="宋体"/>
                <w:color w:val="auto"/>
                <w:spacing w:val="21"/>
                <w:position w:val="1"/>
                <w:sz w:val="21"/>
                <w:szCs w:val="21"/>
              </w:rPr>
              <w:t>瓦氏雅罗鱼</w:t>
            </w:r>
            <w:r w:rsidRPr="00F9522B">
              <w:rPr>
                <w:i/>
                <w:iCs/>
                <w:color w:val="auto"/>
                <w:position w:val="1"/>
                <w:sz w:val="21"/>
                <w:szCs w:val="21"/>
              </w:rPr>
              <w:t>Leucicuswaleckii</w:t>
            </w:r>
          </w:p>
        </w:tc>
        <w:tc>
          <w:tcPr>
            <w:tcW w:w="1154" w:type="dxa"/>
            <w:gridSpan w:val="2"/>
            <w:vAlign w:val="center"/>
          </w:tcPr>
          <w:p w:rsidR="00720318" w:rsidRPr="00F9522B" w:rsidRDefault="00720318">
            <w:pPr>
              <w:kinsoku w:val="0"/>
              <w:autoSpaceDE w:val="0"/>
              <w:autoSpaceDN w:val="0"/>
              <w:adjustRightInd w:val="0"/>
              <w:snapToGrid w:val="0"/>
              <w:spacing w:line="0" w:lineRule="atLeast"/>
              <w:jc w:val="center"/>
              <w:textAlignment w:val="baseline"/>
              <w:rPr>
                <w:szCs w:val="21"/>
              </w:rPr>
            </w:pPr>
            <w:r w:rsidRPr="00F9522B">
              <w:rPr>
                <w:spacing w:val="1"/>
                <w:szCs w:val="21"/>
              </w:rPr>
              <w:t>+</w:t>
            </w:r>
          </w:p>
        </w:tc>
      </w:tr>
      <w:tr w:rsidR="00720318" w:rsidRPr="00F9522B" w:rsidTr="00BB0285">
        <w:trPr>
          <w:trHeight w:val="347"/>
        </w:trPr>
        <w:tc>
          <w:tcPr>
            <w:tcW w:w="1850" w:type="dxa"/>
            <w:vMerge/>
            <w:vAlign w:val="center"/>
          </w:tcPr>
          <w:p w:rsidR="00720318" w:rsidRPr="00F9522B" w:rsidRDefault="00720318">
            <w:pPr>
              <w:spacing w:line="0" w:lineRule="atLeast"/>
              <w:jc w:val="center"/>
              <w:rPr>
                <w:szCs w:val="21"/>
              </w:rPr>
            </w:pPr>
          </w:p>
        </w:tc>
        <w:tc>
          <w:tcPr>
            <w:tcW w:w="1984" w:type="dxa"/>
            <w:vMerge/>
            <w:vAlign w:val="center"/>
          </w:tcPr>
          <w:p w:rsidR="00720318" w:rsidRPr="00F9522B" w:rsidRDefault="00720318">
            <w:pPr>
              <w:spacing w:line="0" w:lineRule="atLeast"/>
              <w:jc w:val="center"/>
              <w:rPr>
                <w:szCs w:val="21"/>
              </w:rPr>
            </w:pPr>
          </w:p>
        </w:tc>
        <w:tc>
          <w:tcPr>
            <w:tcW w:w="3544" w:type="dxa"/>
            <w:vAlign w:val="center"/>
          </w:tcPr>
          <w:p w:rsidR="00720318" w:rsidRPr="00F9522B" w:rsidRDefault="00720318">
            <w:pPr>
              <w:pStyle w:val="TableText"/>
              <w:spacing w:line="0" w:lineRule="atLeast"/>
              <w:jc w:val="center"/>
              <w:rPr>
                <w:color w:val="auto"/>
                <w:sz w:val="21"/>
                <w:szCs w:val="21"/>
              </w:rPr>
            </w:pPr>
            <w:r w:rsidRPr="00F9522B">
              <w:rPr>
                <w:rFonts w:eastAsia="宋体"/>
                <w:color w:val="auto"/>
                <w:spacing w:val="4"/>
                <w:position w:val="2"/>
                <w:sz w:val="21"/>
                <w:szCs w:val="21"/>
              </w:rPr>
              <w:t>鱤</w:t>
            </w:r>
            <w:r w:rsidRPr="00F9522B">
              <w:rPr>
                <w:i/>
                <w:iCs/>
                <w:color w:val="auto"/>
                <w:spacing w:val="4"/>
                <w:position w:val="2"/>
                <w:sz w:val="21"/>
                <w:szCs w:val="21"/>
              </w:rPr>
              <w:t>Elopichthysbambusa</w:t>
            </w:r>
          </w:p>
        </w:tc>
        <w:tc>
          <w:tcPr>
            <w:tcW w:w="1154" w:type="dxa"/>
            <w:gridSpan w:val="2"/>
            <w:vAlign w:val="center"/>
          </w:tcPr>
          <w:p w:rsidR="00720318" w:rsidRPr="00F9522B" w:rsidRDefault="00720318">
            <w:pPr>
              <w:kinsoku w:val="0"/>
              <w:autoSpaceDE w:val="0"/>
              <w:autoSpaceDN w:val="0"/>
              <w:adjustRightInd w:val="0"/>
              <w:snapToGrid w:val="0"/>
              <w:spacing w:line="0" w:lineRule="atLeast"/>
              <w:jc w:val="center"/>
              <w:textAlignment w:val="baseline"/>
              <w:rPr>
                <w:szCs w:val="21"/>
              </w:rPr>
            </w:pPr>
          </w:p>
        </w:tc>
      </w:tr>
      <w:tr w:rsidR="00720318" w:rsidRPr="00F9522B" w:rsidTr="00BB0285">
        <w:trPr>
          <w:trHeight w:val="347"/>
        </w:trPr>
        <w:tc>
          <w:tcPr>
            <w:tcW w:w="1850" w:type="dxa"/>
            <w:vMerge/>
            <w:vAlign w:val="center"/>
          </w:tcPr>
          <w:p w:rsidR="00720318" w:rsidRPr="00F9522B" w:rsidRDefault="00720318">
            <w:pPr>
              <w:spacing w:line="0" w:lineRule="atLeast"/>
              <w:jc w:val="center"/>
              <w:rPr>
                <w:szCs w:val="21"/>
              </w:rPr>
            </w:pPr>
          </w:p>
        </w:tc>
        <w:tc>
          <w:tcPr>
            <w:tcW w:w="1984" w:type="dxa"/>
            <w:vMerge/>
            <w:vAlign w:val="center"/>
          </w:tcPr>
          <w:p w:rsidR="00720318" w:rsidRPr="00F9522B" w:rsidRDefault="00720318">
            <w:pPr>
              <w:spacing w:line="0" w:lineRule="atLeast"/>
              <w:jc w:val="center"/>
              <w:rPr>
                <w:szCs w:val="21"/>
              </w:rPr>
            </w:pPr>
          </w:p>
        </w:tc>
        <w:tc>
          <w:tcPr>
            <w:tcW w:w="3544" w:type="dxa"/>
            <w:vAlign w:val="center"/>
          </w:tcPr>
          <w:p w:rsidR="00720318" w:rsidRPr="00F9522B" w:rsidRDefault="00720318">
            <w:pPr>
              <w:pStyle w:val="TableText"/>
              <w:spacing w:line="0" w:lineRule="atLeast"/>
              <w:jc w:val="center"/>
              <w:rPr>
                <w:color w:val="auto"/>
                <w:sz w:val="21"/>
                <w:szCs w:val="21"/>
              </w:rPr>
            </w:pPr>
            <w:r w:rsidRPr="00F9522B">
              <w:rPr>
                <w:rFonts w:eastAsia="宋体"/>
                <w:color w:val="auto"/>
                <w:spacing w:val="4"/>
                <w:position w:val="1"/>
                <w:sz w:val="21"/>
                <w:szCs w:val="21"/>
              </w:rPr>
              <w:t>䱗</w:t>
            </w:r>
            <w:r w:rsidRPr="00F9522B">
              <w:rPr>
                <w:i/>
                <w:iCs/>
                <w:color w:val="auto"/>
                <w:spacing w:val="4"/>
                <w:position w:val="1"/>
                <w:sz w:val="21"/>
                <w:szCs w:val="21"/>
              </w:rPr>
              <w:t>Hemiculterleucisculus</w:t>
            </w:r>
          </w:p>
        </w:tc>
        <w:tc>
          <w:tcPr>
            <w:tcW w:w="1154" w:type="dxa"/>
            <w:gridSpan w:val="2"/>
            <w:vAlign w:val="center"/>
          </w:tcPr>
          <w:p w:rsidR="00720318" w:rsidRPr="00F9522B" w:rsidRDefault="00720318">
            <w:pPr>
              <w:kinsoku w:val="0"/>
              <w:autoSpaceDE w:val="0"/>
              <w:autoSpaceDN w:val="0"/>
              <w:adjustRightInd w:val="0"/>
              <w:snapToGrid w:val="0"/>
              <w:spacing w:line="0" w:lineRule="atLeast"/>
              <w:jc w:val="center"/>
              <w:textAlignment w:val="baseline"/>
              <w:rPr>
                <w:szCs w:val="21"/>
              </w:rPr>
            </w:pPr>
            <w:r w:rsidRPr="00F9522B">
              <w:rPr>
                <w:spacing w:val="1"/>
                <w:szCs w:val="21"/>
              </w:rPr>
              <w:t>+</w:t>
            </w:r>
          </w:p>
        </w:tc>
      </w:tr>
      <w:tr w:rsidR="00720318" w:rsidRPr="00F9522B" w:rsidTr="00BB0285">
        <w:trPr>
          <w:trHeight w:val="347"/>
        </w:trPr>
        <w:tc>
          <w:tcPr>
            <w:tcW w:w="1850" w:type="dxa"/>
            <w:vMerge/>
            <w:vAlign w:val="center"/>
          </w:tcPr>
          <w:p w:rsidR="00720318" w:rsidRPr="00F9522B" w:rsidRDefault="00720318">
            <w:pPr>
              <w:spacing w:line="0" w:lineRule="atLeast"/>
              <w:jc w:val="center"/>
              <w:rPr>
                <w:szCs w:val="21"/>
              </w:rPr>
            </w:pPr>
          </w:p>
        </w:tc>
        <w:tc>
          <w:tcPr>
            <w:tcW w:w="1984" w:type="dxa"/>
            <w:vMerge/>
            <w:vAlign w:val="center"/>
          </w:tcPr>
          <w:p w:rsidR="00720318" w:rsidRPr="00F9522B" w:rsidRDefault="00720318">
            <w:pPr>
              <w:spacing w:line="0" w:lineRule="atLeast"/>
              <w:jc w:val="center"/>
              <w:rPr>
                <w:szCs w:val="21"/>
              </w:rPr>
            </w:pPr>
          </w:p>
        </w:tc>
        <w:tc>
          <w:tcPr>
            <w:tcW w:w="3544" w:type="dxa"/>
            <w:vAlign w:val="center"/>
          </w:tcPr>
          <w:p w:rsidR="00720318" w:rsidRPr="00F9522B" w:rsidRDefault="00720318">
            <w:pPr>
              <w:pStyle w:val="TableText"/>
              <w:spacing w:line="0" w:lineRule="atLeast"/>
              <w:jc w:val="center"/>
              <w:rPr>
                <w:color w:val="auto"/>
                <w:sz w:val="21"/>
                <w:szCs w:val="21"/>
              </w:rPr>
            </w:pPr>
            <w:r w:rsidRPr="00F9522B">
              <w:rPr>
                <w:rFonts w:eastAsia="宋体"/>
                <w:color w:val="auto"/>
                <w:spacing w:val="40"/>
                <w:position w:val="1"/>
                <w:sz w:val="21"/>
                <w:szCs w:val="21"/>
              </w:rPr>
              <w:t>贝氏䱗</w:t>
            </w:r>
            <w:r w:rsidRPr="00F9522B">
              <w:rPr>
                <w:i/>
                <w:iCs/>
                <w:color w:val="auto"/>
                <w:position w:val="1"/>
                <w:sz w:val="21"/>
                <w:szCs w:val="21"/>
              </w:rPr>
              <w:t>Hemiculterbleekeribleekeri</w:t>
            </w:r>
          </w:p>
        </w:tc>
        <w:tc>
          <w:tcPr>
            <w:tcW w:w="1154" w:type="dxa"/>
            <w:gridSpan w:val="2"/>
            <w:vAlign w:val="center"/>
          </w:tcPr>
          <w:p w:rsidR="00720318" w:rsidRPr="00F9522B" w:rsidRDefault="00720318">
            <w:pPr>
              <w:kinsoku w:val="0"/>
              <w:autoSpaceDE w:val="0"/>
              <w:autoSpaceDN w:val="0"/>
              <w:adjustRightInd w:val="0"/>
              <w:snapToGrid w:val="0"/>
              <w:spacing w:line="0" w:lineRule="atLeast"/>
              <w:jc w:val="center"/>
              <w:textAlignment w:val="baseline"/>
              <w:rPr>
                <w:szCs w:val="21"/>
              </w:rPr>
            </w:pPr>
            <w:r w:rsidRPr="00F9522B">
              <w:rPr>
                <w:spacing w:val="1"/>
                <w:szCs w:val="21"/>
              </w:rPr>
              <w:t>+</w:t>
            </w:r>
          </w:p>
        </w:tc>
      </w:tr>
      <w:tr w:rsidR="00720318" w:rsidRPr="00F9522B" w:rsidTr="00BB0285">
        <w:trPr>
          <w:trHeight w:val="347"/>
        </w:trPr>
        <w:tc>
          <w:tcPr>
            <w:tcW w:w="1850" w:type="dxa"/>
            <w:vMerge/>
            <w:vAlign w:val="center"/>
          </w:tcPr>
          <w:p w:rsidR="00720318" w:rsidRPr="00F9522B" w:rsidRDefault="00720318">
            <w:pPr>
              <w:spacing w:line="0" w:lineRule="atLeast"/>
              <w:jc w:val="center"/>
              <w:rPr>
                <w:szCs w:val="21"/>
              </w:rPr>
            </w:pPr>
          </w:p>
        </w:tc>
        <w:tc>
          <w:tcPr>
            <w:tcW w:w="1984" w:type="dxa"/>
            <w:vMerge/>
            <w:vAlign w:val="center"/>
          </w:tcPr>
          <w:p w:rsidR="00720318" w:rsidRPr="00F9522B" w:rsidRDefault="00720318">
            <w:pPr>
              <w:spacing w:line="0" w:lineRule="atLeast"/>
              <w:jc w:val="center"/>
              <w:rPr>
                <w:szCs w:val="21"/>
              </w:rPr>
            </w:pPr>
          </w:p>
        </w:tc>
        <w:tc>
          <w:tcPr>
            <w:tcW w:w="3544" w:type="dxa"/>
            <w:vAlign w:val="center"/>
          </w:tcPr>
          <w:p w:rsidR="00720318" w:rsidRPr="00F9522B" w:rsidRDefault="00720318">
            <w:pPr>
              <w:pStyle w:val="TableText"/>
              <w:spacing w:line="0" w:lineRule="atLeast"/>
              <w:jc w:val="center"/>
              <w:rPr>
                <w:color w:val="auto"/>
                <w:sz w:val="21"/>
                <w:szCs w:val="21"/>
              </w:rPr>
            </w:pPr>
            <w:r w:rsidRPr="00F9522B">
              <w:rPr>
                <w:rFonts w:eastAsia="宋体"/>
                <w:color w:val="auto"/>
                <w:spacing w:val="28"/>
                <w:position w:val="2"/>
                <w:sz w:val="21"/>
                <w:szCs w:val="21"/>
              </w:rPr>
              <w:t>红鳍原鮊</w:t>
            </w:r>
            <w:r w:rsidRPr="00F9522B">
              <w:rPr>
                <w:i/>
                <w:iCs/>
                <w:color w:val="auto"/>
                <w:position w:val="2"/>
                <w:sz w:val="21"/>
                <w:szCs w:val="21"/>
              </w:rPr>
              <w:t>Culterichthysenythropterus</w:t>
            </w:r>
          </w:p>
        </w:tc>
        <w:tc>
          <w:tcPr>
            <w:tcW w:w="1154" w:type="dxa"/>
            <w:gridSpan w:val="2"/>
            <w:vAlign w:val="center"/>
          </w:tcPr>
          <w:p w:rsidR="00720318" w:rsidRPr="00F9522B" w:rsidRDefault="00720318">
            <w:pPr>
              <w:kinsoku w:val="0"/>
              <w:autoSpaceDE w:val="0"/>
              <w:autoSpaceDN w:val="0"/>
              <w:adjustRightInd w:val="0"/>
              <w:snapToGrid w:val="0"/>
              <w:spacing w:line="0" w:lineRule="atLeast"/>
              <w:jc w:val="center"/>
              <w:textAlignment w:val="baseline"/>
              <w:rPr>
                <w:szCs w:val="21"/>
              </w:rPr>
            </w:pPr>
            <w:r w:rsidRPr="00F9522B">
              <w:rPr>
                <w:spacing w:val="1"/>
                <w:szCs w:val="21"/>
              </w:rPr>
              <w:t>+</w:t>
            </w:r>
          </w:p>
        </w:tc>
      </w:tr>
      <w:tr w:rsidR="00720318" w:rsidRPr="00F9522B" w:rsidTr="00BB0285">
        <w:trPr>
          <w:trHeight w:val="347"/>
        </w:trPr>
        <w:tc>
          <w:tcPr>
            <w:tcW w:w="1850" w:type="dxa"/>
            <w:vMerge/>
            <w:vAlign w:val="center"/>
          </w:tcPr>
          <w:p w:rsidR="00720318" w:rsidRPr="00F9522B" w:rsidRDefault="00720318">
            <w:pPr>
              <w:spacing w:line="0" w:lineRule="atLeast"/>
              <w:jc w:val="center"/>
              <w:rPr>
                <w:szCs w:val="21"/>
              </w:rPr>
            </w:pPr>
          </w:p>
        </w:tc>
        <w:tc>
          <w:tcPr>
            <w:tcW w:w="1984" w:type="dxa"/>
            <w:vMerge/>
            <w:vAlign w:val="center"/>
          </w:tcPr>
          <w:p w:rsidR="00720318" w:rsidRPr="00F9522B" w:rsidRDefault="00720318">
            <w:pPr>
              <w:spacing w:line="0" w:lineRule="atLeast"/>
              <w:jc w:val="center"/>
              <w:rPr>
                <w:szCs w:val="21"/>
              </w:rPr>
            </w:pPr>
          </w:p>
        </w:tc>
        <w:tc>
          <w:tcPr>
            <w:tcW w:w="3544" w:type="dxa"/>
            <w:vAlign w:val="center"/>
          </w:tcPr>
          <w:p w:rsidR="00720318" w:rsidRPr="00F9522B" w:rsidRDefault="00720318">
            <w:pPr>
              <w:pStyle w:val="TableText"/>
              <w:spacing w:line="0" w:lineRule="atLeast"/>
              <w:jc w:val="center"/>
              <w:rPr>
                <w:color w:val="auto"/>
                <w:sz w:val="21"/>
                <w:szCs w:val="21"/>
              </w:rPr>
            </w:pPr>
            <w:r w:rsidRPr="00F9522B">
              <w:rPr>
                <w:rFonts w:eastAsia="宋体"/>
                <w:color w:val="auto"/>
                <w:spacing w:val="27"/>
                <w:position w:val="2"/>
                <w:sz w:val="21"/>
                <w:szCs w:val="21"/>
              </w:rPr>
              <w:t>翘嘴鮊</w:t>
            </w:r>
            <w:r w:rsidRPr="00F9522B">
              <w:rPr>
                <w:i/>
                <w:iCs/>
                <w:color w:val="auto"/>
                <w:position w:val="2"/>
                <w:sz w:val="21"/>
                <w:szCs w:val="21"/>
              </w:rPr>
              <w:t>Culterilishaeformis</w:t>
            </w:r>
          </w:p>
        </w:tc>
        <w:tc>
          <w:tcPr>
            <w:tcW w:w="1154" w:type="dxa"/>
            <w:gridSpan w:val="2"/>
            <w:vAlign w:val="center"/>
          </w:tcPr>
          <w:p w:rsidR="00720318" w:rsidRPr="00F9522B" w:rsidRDefault="00720318">
            <w:pPr>
              <w:kinsoku w:val="0"/>
              <w:autoSpaceDE w:val="0"/>
              <w:autoSpaceDN w:val="0"/>
              <w:adjustRightInd w:val="0"/>
              <w:snapToGrid w:val="0"/>
              <w:spacing w:line="0" w:lineRule="atLeast"/>
              <w:jc w:val="center"/>
              <w:textAlignment w:val="baseline"/>
              <w:rPr>
                <w:szCs w:val="21"/>
              </w:rPr>
            </w:pPr>
            <w:r w:rsidRPr="00F9522B">
              <w:rPr>
                <w:spacing w:val="1"/>
                <w:szCs w:val="21"/>
              </w:rPr>
              <w:t>+</w:t>
            </w:r>
          </w:p>
        </w:tc>
      </w:tr>
      <w:tr w:rsidR="00720318" w:rsidRPr="00F9522B" w:rsidTr="00BB0285">
        <w:trPr>
          <w:trHeight w:val="347"/>
        </w:trPr>
        <w:tc>
          <w:tcPr>
            <w:tcW w:w="1850" w:type="dxa"/>
            <w:vMerge/>
            <w:vAlign w:val="center"/>
          </w:tcPr>
          <w:p w:rsidR="00720318" w:rsidRPr="00F9522B" w:rsidRDefault="00720318">
            <w:pPr>
              <w:spacing w:line="0" w:lineRule="atLeast"/>
              <w:jc w:val="center"/>
              <w:rPr>
                <w:szCs w:val="21"/>
              </w:rPr>
            </w:pPr>
          </w:p>
        </w:tc>
        <w:tc>
          <w:tcPr>
            <w:tcW w:w="1984" w:type="dxa"/>
            <w:vMerge/>
            <w:vAlign w:val="center"/>
          </w:tcPr>
          <w:p w:rsidR="00720318" w:rsidRPr="00F9522B" w:rsidRDefault="00720318">
            <w:pPr>
              <w:spacing w:line="0" w:lineRule="atLeast"/>
              <w:jc w:val="center"/>
              <w:rPr>
                <w:szCs w:val="21"/>
              </w:rPr>
            </w:pPr>
          </w:p>
        </w:tc>
        <w:tc>
          <w:tcPr>
            <w:tcW w:w="3544" w:type="dxa"/>
            <w:vAlign w:val="center"/>
          </w:tcPr>
          <w:p w:rsidR="00720318" w:rsidRPr="00F9522B" w:rsidRDefault="00720318">
            <w:pPr>
              <w:pStyle w:val="TableText"/>
              <w:spacing w:line="0" w:lineRule="atLeast"/>
              <w:jc w:val="center"/>
              <w:rPr>
                <w:color w:val="auto"/>
                <w:sz w:val="21"/>
                <w:szCs w:val="21"/>
              </w:rPr>
            </w:pPr>
            <w:r w:rsidRPr="00F9522B">
              <w:rPr>
                <w:rFonts w:eastAsia="宋体"/>
                <w:color w:val="auto"/>
                <w:spacing w:val="39"/>
                <w:position w:val="2"/>
                <w:sz w:val="21"/>
                <w:szCs w:val="21"/>
              </w:rPr>
              <w:t>蒙古鮊</w:t>
            </w:r>
            <w:r w:rsidRPr="00F9522B">
              <w:rPr>
                <w:i/>
                <w:iCs/>
                <w:color w:val="auto"/>
                <w:position w:val="2"/>
                <w:sz w:val="21"/>
                <w:szCs w:val="21"/>
              </w:rPr>
              <w:t>Cultermongolicusmongolicus</w:t>
            </w:r>
          </w:p>
        </w:tc>
        <w:tc>
          <w:tcPr>
            <w:tcW w:w="1154" w:type="dxa"/>
            <w:gridSpan w:val="2"/>
            <w:vAlign w:val="center"/>
          </w:tcPr>
          <w:p w:rsidR="00720318" w:rsidRPr="00F9522B" w:rsidRDefault="00720318">
            <w:pPr>
              <w:kinsoku w:val="0"/>
              <w:autoSpaceDE w:val="0"/>
              <w:autoSpaceDN w:val="0"/>
              <w:adjustRightInd w:val="0"/>
              <w:snapToGrid w:val="0"/>
              <w:spacing w:line="0" w:lineRule="atLeast"/>
              <w:jc w:val="center"/>
              <w:textAlignment w:val="baseline"/>
              <w:rPr>
                <w:szCs w:val="21"/>
              </w:rPr>
            </w:pPr>
          </w:p>
        </w:tc>
      </w:tr>
      <w:tr w:rsidR="00720318" w:rsidRPr="00F9522B" w:rsidTr="00BB0285">
        <w:trPr>
          <w:trHeight w:val="347"/>
        </w:trPr>
        <w:tc>
          <w:tcPr>
            <w:tcW w:w="1850" w:type="dxa"/>
            <w:vMerge/>
            <w:vAlign w:val="center"/>
          </w:tcPr>
          <w:p w:rsidR="00720318" w:rsidRPr="00F9522B" w:rsidRDefault="00720318">
            <w:pPr>
              <w:spacing w:line="0" w:lineRule="atLeast"/>
              <w:jc w:val="center"/>
              <w:rPr>
                <w:szCs w:val="21"/>
              </w:rPr>
            </w:pPr>
          </w:p>
        </w:tc>
        <w:tc>
          <w:tcPr>
            <w:tcW w:w="1984" w:type="dxa"/>
            <w:vMerge/>
            <w:vAlign w:val="center"/>
          </w:tcPr>
          <w:p w:rsidR="00720318" w:rsidRPr="00F9522B" w:rsidRDefault="00720318">
            <w:pPr>
              <w:spacing w:line="0" w:lineRule="atLeast"/>
              <w:jc w:val="center"/>
              <w:rPr>
                <w:szCs w:val="21"/>
              </w:rPr>
            </w:pPr>
          </w:p>
        </w:tc>
        <w:tc>
          <w:tcPr>
            <w:tcW w:w="3544" w:type="dxa"/>
            <w:vAlign w:val="center"/>
          </w:tcPr>
          <w:p w:rsidR="00720318" w:rsidRPr="00F9522B" w:rsidRDefault="00720318">
            <w:pPr>
              <w:pStyle w:val="TableText"/>
              <w:spacing w:line="0" w:lineRule="atLeast"/>
              <w:jc w:val="center"/>
              <w:rPr>
                <w:color w:val="auto"/>
                <w:sz w:val="21"/>
                <w:szCs w:val="21"/>
              </w:rPr>
            </w:pPr>
            <w:r w:rsidRPr="00F9522B">
              <w:rPr>
                <w:rFonts w:eastAsia="宋体"/>
                <w:color w:val="auto"/>
                <w:spacing w:val="4"/>
                <w:position w:val="2"/>
                <w:sz w:val="21"/>
                <w:szCs w:val="21"/>
              </w:rPr>
              <w:t>鲂</w:t>
            </w:r>
            <w:r w:rsidRPr="00F9522B">
              <w:rPr>
                <w:i/>
                <w:iCs/>
                <w:color w:val="auto"/>
                <w:spacing w:val="4"/>
                <w:position w:val="2"/>
                <w:sz w:val="21"/>
                <w:szCs w:val="21"/>
              </w:rPr>
              <w:t>Megalobramaskolkoui</w:t>
            </w:r>
          </w:p>
        </w:tc>
        <w:tc>
          <w:tcPr>
            <w:tcW w:w="1154" w:type="dxa"/>
            <w:gridSpan w:val="2"/>
            <w:vAlign w:val="center"/>
          </w:tcPr>
          <w:p w:rsidR="00720318" w:rsidRPr="00F9522B" w:rsidRDefault="00720318">
            <w:pPr>
              <w:kinsoku w:val="0"/>
              <w:autoSpaceDE w:val="0"/>
              <w:autoSpaceDN w:val="0"/>
              <w:adjustRightInd w:val="0"/>
              <w:snapToGrid w:val="0"/>
              <w:spacing w:line="0" w:lineRule="atLeast"/>
              <w:jc w:val="center"/>
              <w:textAlignment w:val="baseline"/>
              <w:rPr>
                <w:szCs w:val="21"/>
              </w:rPr>
            </w:pPr>
          </w:p>
        </w:tc>
      </w:tr>
      <w:tr w:rsidR="00720318" w:rsidRPr="00F9522B" w:rsidTr="00BB0285">
        <w:trPr>
          <w:trHeight w:val="347"/>
        </w:trPr>
        <w:tc>
          <w:tcPr>
            <w:tcW w:w="1850" w:type="dxa"/>
            <w:vMerge/>
            <w:vAlign w:val="center"/>
          </w:tcPr>
          <w:p w:rsidR="00720318" w:rsidRPr="00F9522B" w:rsidRDefault="00720318">
            <w:pPr>
              <w:spacing w:line="0" w:lineRule="atLeast"/>
              <w:jc w:val="center"/>
              <w:rPr>
                <w:szCs w:val="21"/>
              </w:rPr>
            </w:pPr>
          </w:p>
        </w:tc>
        <w:tc>
          <w:tcPr>
            <w:tcW w:w="1984" w:type="dxa"/>
            <w:vMerge/>
            <w:vAlign w:val="center"/>
          </w:tcPr>
          <w:p w:rsidR="00720318" w:rsidRPr="00F9522B" w:rsidRDefault="00720318">
            <w:pPr>
              <w:spacing w:line="0" w:lineRule="atLeast"/>
              <w:jc w:val="center"/>
              <w:rPr>
                <w:szCs w:val="21"/>
              </w:rPr>
            </w:pPr>
          </w:p>
        </w:tc>
        <w:tc>
          <w:tcPr>
            <w:tcW w:w="3544" w:type="dxa"/>
            <w:vAlign w:val="center"/>
          </w:tcPr>
          <w:p w:rsidR="00720318" w:rsidRPr="00F9522B" w:rsidRDefault="00720318">
            <w:pPr>
              <w:pStyle w:val="TableText"/>
              <w:spacing w:line="0" w:lineRule="atLeast"/>
              <w:jc w:val="center"/>
              <w:rPr>
                <w:color w:val="auto"/>
                <w:sz w:val="21"/>
                <w:szCs w:val="21"/>
              </w:rPr>
            </w:pPr>
            <w:r w:rsidRPr="00F9522B">
              <w:rPr>
                <w:rFonts w:eastAsia="宋体"/>
                <w:color w:val="auto"/>
                <w:spacing w:val="5"/>
                <w:position w:val="2"/>
                <w:sz w:val="21"/>
                <w:szCs w:val="21"/>
              </w:rPr>
              <w:t>鳊</w:t>
            </w:r>
            <w:r w:rsidRPr="00F9522B">
              <w:rPr>
                <w:i/>
                <w:iCs/>
                <w:color w:val="auto"/>
                <w:spacing w:val="5"/>
                <w:position w:val="2"/>
                <w:sz w:val="21"/>
                <w:szCs w:val="21"/>
              </w:rPr>
              <w:t>Parabramispekinensis</w:t>
            </w:r>
          </w:p>
        </w:tc>
        <w:tc>
          <w:tcPr>
            <w:tcW w:w="1154" w:type="dxa"/>
            <w:gridSpan w:val="2"/>
            <w:vAlign w:val="center"/>
          </w:tcPr>
          <w:p w:rsidR="00720318" w:rsidRPr="00F9522B" w:rsidRDefault="00720318">
            <w:pPr>
              <w:kinsoku w:val="0"/>
              <w:autoSpaceDE w:val="0"/>
              <w:autoSpaceDN w:val="0"/>
              <w:adjustRightInd w:val="0"/>
              <w:snapToGrid w:val="0"/>
              <w:spacing w:line="0" w:lineRule="atLeast"/>
              <w:jc w:val="center"/>
              <w:textAlignment w:val="baseline"/>
              <w:rPr>
                <w:szCs w:val="21"/>
              </w:rPr>
            </w:pPr>
            <w:r w:rsidRPr="00F9522B">
              <w:rPr>
                <w:spacing w:val="1"/>
                <w:szCs w:val="21"/>
              </w:rPr>
              <w:t>+</w:t>
            </w:r>
          </w:p>
        </w:tc>
      </w:tr>
      <w:tr w:rsidR="00720318" w:rsidRPr="00F9522B" w:rsidTr="00BB0285">
        <w:trPr>
          <w:trHeight w:val="347"/>
        </w:trPr>
        <w:tc>
          <w:tcPr>
            <w:tcW w:w="1850" w:type="dxa"/>
            <w:vMerge/>
            <w:vAlign w:val="center"/>
          </w:tcPr>
          <w:p w:rsidR="00720318" w:rsidRPr="00F9522B" w:rsidRDefault="00720318">
            <w:pPr>
              <w:spacing w:line="0" w:lineRule="atLeast"/>
              <w:jc w:val="center"/>
              <w:rPr>
                <w:szCs w:val="21"/>
              </w:rPr>
            </w:pPr>
          </w:p>
        </w:tc>
        <w:tc>
          <w:tcPr>
            <w:tcW w:w="1984" w:type="dxa"/>
            <w:vMerge/>
            <w:vAlign w:val="center"/>
          </w:tcPr>
          <w:p w:rsidR="00720318" w:rsidRPr="00F9522B" w:rsidRDefault="00720318">
            <w:pPr>
              <w:spacing w:line="0" w:lineRule="atLeast"/>
              <w:jc w:val="center"/>
              <w:rPr>
                <w:szCs w:val="21"/>
              </w:rPr>
            </w:pPr>
          </w:p>
        </w:tc>
        <w:tc>
          <w:tcPr>
            <w:tcW w:w="3544" w:type="dxa"/>
            <w:vAlign w:val="center"/>
          </w:tcPr>
          <w:p w:rsidR="00720318" w:rsidRPr="00F9522B" w:rsidRDefault="00720318">
            <w:pPr>
              <w:pStyle w:val="TableText"/>
              <w:spacing w:line="0" w:lineRule="atLeast"/>
              <w:jc w:val="center"/>
              <w:rPr>
                <w:color w:val="auto"/>
                <w:sz w:val="21"/>
                <w:szCs w:val="21"/>
              </w:rPr>
            </w:pPr>
            <w:r w:rsidRPr="00F9522B">
              <w:rPr>
                <w:rFonts w:eastAsia="宋体"/>
                <w:color w:val="auto"/>
                <w:spacing w:val="6"/>
                <w:sz w:val="21"/>
                <w:szCs w:val="21"/>
              </w:rPr>
              <w:t>银鲴</w:t>
            </w:r>
            <w:r w:rsidRPr="00F9522B">
              <w:rPr>
                <w:i/>
                <w:iCs/>
                <w:color w:val="auto"/>
                <w:spacing w:val="6"/>
                <w:sz w:val="21"/>
                <w:szCs w:val="21"/>
              </w:rPr>
              <w:t>Xenocyprisargentea</w:t>
            </w:r>
          </w:p>
        </w:tc>
        <w:tc>
          <w:tcPr>
            <w:tcW w:w="1154" w:type="dxa"/>
            <w:gridSpan w:val="2"/>
            <w:vAlign w:val="center"/>
          </w:tcPr>
          <w:p w:rsidR="00720318" w:rsidRPr="00F9522B" w:rsidRDefault="00720318">
            <w:pPr>
              <w:kinsoku w:val="0"/>
              <w:autoSpaceDE w:val="0"/>
              <w:autoSpaceDN w:val="0"/>
              <w:adjustRightInd w:val="0"/>
              <w:snapToGrid w:val="0"/>
              <w:spacing w:line="0" w:lineRule="atLeast"/>
              <w:jc w:val="center"/>
              <w:textAlignment w:val="baseline"/>
              <w:rPr>
                <w:szCs w:val="21"/>
              </w:rPr>
            </w:pPr>
            <w:r w:rsidRPr="00F9522B">
              <w:rPr>
                <w:spacing w:val="1"/>
                <w:szCs w:val="21"/>
              </w:rPr>
              <w:t>+</w:t>
            </w:r>
          </w:p>
        </w:tc>
      </w:tr>
      <w:tr w:rsidR="00720318" w:rsidRPr="00F9522B" w:rsidTr="00BB0285">
        <w:trPr>
          <w:trHeight w:val="368"/>
        </w:trPr>
        <w:tc>
          <w:tcPr>
            <w:tcW w:w="1850" w:type="dxa"/>
            <w:vMerge/>
            <w:vAlign w:val="center"/>
          </w:tcPr>
          <w:p w:rsidR="00720318" w:rsidRPr="00F9522B" w:rsidRDefault="00720318">
            <w:pPr>
              <w:spacing w:line="0" w:lineRule="atLeast"/>
              <w:jc w:val="center"/>
              <w:rPr>
                <w:szCs w:val="21"/>
              </w:rPr>
            </w:pPr>
          </w:p>
        </w:tc>
        <w:tc>
          <w:tcPr>
            <w:tcW w:w="1984" w:type="dxa"/>
            <w:vMerge/>
            <w:vAlign w:val="center"/>
          </w:tcPr>
          <w:p w:rsidR="00720318" w:rsidRPr="00F9522B" w:rsidRDefault="00720318">
            <w:pPr>
              <w:spacing w:line="0" w:lineRule="atLeast"/>
              <w:jc w:val="center"/>
              <w:rPr>
                <w:szCs w:val="21"/>
              </w:rPr>
            </w:pPr>
          </w:p>
        </w:tc>
        <w:tc>
          <w:tcPr>
            <w:tcW w:w="3544" w:type="dxa"/>
            <w:vAlign w:val="center"/>
          </w:tcPr>
          <w:p w:rsidR="00720318" w:rsidRPr="00F9522B" w:rsidRDefault="00720318">
            <w:pPr>
              <w:pStyle w:val="TableText"/>
              <w:spacing w:line="0" w:lineRule="atLeast"/>
              <w:jc w:val="center"/>
              <w:rPr>
                <w:color w:val="auto"/>
                <w:sz w:val="21"/>
                <w:szCs w:val="21"/>
              </w:rPr>
            </w:pPr>
            <w:r w:rsidRPr="00F9522B">
              <w:rPr>
                <w:rFonts w:eastAsia="宋体"/>
                <w:color w:val="auto"/>
                <w:spacing w:val="50"/>
                <w:position w:val="2"/>
                <w:sz w:val="21"/>
                <w:szCs w:val="21"/>
              </w:rPr>
              <w:t>细鳞鲴</w:t>
            </w:r>
            <w:r w:rsidRPr="00F9522B">
              <w:rPr>
                <w:i/>
                <w:iCs/>
                <w:color w:val="auto"/>
                <w:position w:val="2"/>
                <w:sz w:val="21"/>
                <w:szCs w:val="21"/>
              </w:rPr>
              <w:t>Xenocyprismicrolepis</w:t>
            </w:r>
          </w:p>
        </w:tc>
        <w:tc>
          <w:tcPr>
            <w:tcW w:w="1154" w:type="dxa"/>
            <w:gridSpan w:val="2"/>
            <w:vAlign w:val="center"/>
          </w:tcPr>
          <w:p w:rsidR="00720318" w:rsidRPr="00F9522B" w:rsidRDefault="00720318">
            <w:pPr>
              <w:kinsoku w:val="0"/>
              <w:autoSpaceDE w:val="0"/>
              <w:autoSpaceDN w:val="0"/>
              <w:adjustRightInd w:val="0"/>
              <w:snapToGrid w:val="0"/>
              <w:spacing w:line="0" w:lineRule="atLeast"/>
              <w:jc w:val="center"/>
              <w:textAlignment w:val="baseline"/>
              <w:rPr>
                <w:szCs w:val="21"/>
              </w:rPr>
            </w:pPr>
          </w:p>
        </w:tc>
      </w:tr>
      <w:tr w:rsidR="00720318" w:rsidRPr="00F9522B" w:rsidTr="00BB0285">
        <w:trPr>
          <w:gridAfter w:val="1"/>
          <w:wAfter w:w="93" w:type="dxa"/>
          <w:trHeight w:val="345"/>
        </w:trPr>
        <w:tc>
          <w:tcPr>
            <w:tcW w:w="1850" w:type="dxa"/>
            <w:vMerge/>
            <w:vAlign w:val="center"/>
          </w:tcPr>
          <w:p w:rsidR="00720318" w:rsidRPr="00F9522B" w:rsidRDefault="00720318">
            <w:pPr>
              <w:kinsoku w:val="0"/>
              <w:autoSpaceDE w:val="0"/>
              <w:autoSpaceDN w:val="0"/>
              <w:adjustRightInd w:val="0"/>
              <w:snapToGrid w:val="0"/>
              <w:spacing w:line="0" w:lineRule="atLeast"/>
              <w:jc w:val="center"/>
              <w:textAlignment w:val="baseline"/>
              <w:rPr>
                <w:szCs w:val="21"/>
              </w:rPr>
            </w:pPr>
          </w:p>
        </w:tc>
        <w:tc>
          <w:tcPr>
            <w:tcW w:w="1984" w:type="dxa"/>
            <w:vMerge/>
            <w:vAlign w:val="center"/>
          </w:tcPr>
          <w:p w:rsidR="00720318" w:rsidRPr="00F9522B" w:rsidRDefault="00720318">
            <w:pPr>
              <w:pStyle w:val="TableText"/>
              <w:spacing w:line="0" w:lineRule="atLeast"/>
              <w:jc w:val="center"/>
              <w:rPr>
                <w:color w:val="auto"/>
                <w:sz w:val="21"/>
                <w:szCs w:val="21"/>
              </w:rPr>
            </w:pPr>
          </w:p>
        </w:tc>
        <w:tc>
          <w:tcPr>
            <w:tcW w:w="3544" w:type="dxa"/>
            <w:vAlign w:val="center"/>
          </w:tcPr>
          <w:p w:rsidR="00720318" w:rsidRPr="00F9522B" w:rsidRDefault="00720318">
            <w:pPr>
              <w:pStyle w:val="TableText"/>
              <w:spacing w:line="0" w:lineRule="atLeast"/>
              <w:jc w:val="center"/>
              <w:rPr>
                <w:color w:val="auto"/>
                <w:sz w:val="21"/>
                <w:szCs w:val="21"/>
              </w:rPr>
            </w:pPr>
            <w:r w:rsidRPr="00F9522B">
              <w:rPr>
                <w:rFonts w:eastAsia="宋体"/>
                <w:color w:val="auto"/>
                <w:spacing w:val="20"/>
                <w:position w:val="1"/>
                <w:sz w:val="21"/>
                <w:szCs w:val="21"/>
              </w:rPr>
              <w:t>黑龙江鰟鲏</w:t>
            </w:r>
            <w:r w:rsidRPr="00F9522B">
              <w:rPr>
                <w:i/>
                <w:iCs/>
                <w:color w:val="auto"/>
                <w:position w:val="1"/>
                <w:sz w:val="21"/>
                <w:szCs w:val="21"/>
              </w:rPr>
              <w:t>Rhoeusseniceus</w:t>
            </w:r>
          </w:p>
        </w:tc>
        <w:tc>
          <w:tcPr>
            <w:tcW w:w="1061" w:type="dxa"/>
            <w:vAlign w:val="center"/>
          </w:tcPr>
          <w:p w:rsidR="00720318" w:rsidRPr="00F9522B" w:rsidRDefault="00720318">
            <w:pPr>
              <w:kinsoku w:val="0"/>
              <w:autoSpaceDE w:val="0"/>
              <w:autoSpaceDN w:val="0"/>
              <w:adjustRightInd w:val="0"/>
              <w:snapToGrid w:val="0"/>
              <w:spacing w:line="0" w:lineRule="atLeast"/>
              <w:jc w:val="center"/>
              <w:textAlignment w:val="baseline"/>
              <w:rPr>
                <w:szCs w:val="21"/>
              </w:rPr>
            </w:pPr>
            <w:r w:rsidRPr="00F9522B">
              <w:rPr>
                <w:spacing w:val="1"/>
                <w:szCs w:val="21"/>
              </w:rPr>
              <w:t>+</w:t>
            </w:r>
          </w:p>
        </w:tc>
      </w:tr>
      <w:tr w:rsidR="00720318" w:rsidRPr="00F9522B" w:rsidTr="00BB0285">
        <w:trPr>
          <w:gridAfter w:val="1"/>
          <w:wAfter w:w="93" w:type="dxa"/>
          <w:trHeight w:val="345"/>
        </w:trPr>
        <w:tc>
          <w:tcPr>
            <w:tcW w:w="1850" w:type="dxa"/>
            <w:vMerge/>
            <w:vAlign w:val="center"/>
          </w:tcPr>
          <w:p w:rsidR="00720318" w:rsidRPr="00F9522B" w:rsidRDefault="00720318">
            <w:pPr>
              <w:spacing w:line="0" w:lineRule="atLeast"/>
              <w:jc w:val="center"/>
              <w:rPr>
                <w:szCs w:val="21"/>
              </w:rPr>
            </w:pPr>
          </w:p>
        </w:tc>
        <w:tc>
          <w:tcPr>
            <w:tcW w:w="1984" w:type="dxa"/>
            <w:vMerge/>
            <w:vAlign w:val="center"/>
          </w:tcPr>
          <w:p w:rsidR="00720318" w:rsidRPr="00F9522B" w:rsidRDefault="00720318">
            <w:pPr>
              <w:spacing w:line="0" w:lineRule="atLeast"/>
              <w:jc w:val="center"/>
              <w:rPr>
                <w:szCs w:val="21"/>
              </w:rPr>
            </w:pPr>
          </w:p>
        </w:tc>
        <w:tc>
          <w:tcPr>
            <w:tcW w:w="3544" w:type="dxa"/>
            <w:vAlign w:val="center"/>
          </w:tcPr>
          <w:p w:rsidR="00720318" w:rsidRPr="00F9522B" w:rsidRDefault="00720318">
            <w:pPr>
              <w:pStyle w:val="TableText"/>
              <w:spacing w:line="0" w:lineRule="atLeast"/>
              <w:jc w:val="center"/>
              <w:rPr>
                <w:color w:val="auto"/>
                <w:sz w:val="21"/>
                <w:szCs w:val="21"/>
              </w:rPr>
            </w:pPr>
            <w:r w:rsidRPr="00F9522B">
              <w:rPr>
                <w:rFonts w:eastAsia="宋体"/>
                <w:color w:val="auto"/>
                <w:spacing w:val="45"/>
                <w:position w:val="2"/>
                <w:sz w:val="21"/>
                <w:szCs w:val="21"/>
              </w:rPr>
              <w:t>大鳍鱊</w:t>
            </w:r>
            <w:r w:rsidRPr="00F9522B">
              <w:rPr>
                <w:i/>
                <w:iCs/>
                <w:color w:val="auto"/>
                <w:position w:val="2"/>
                <w:sz w:val="21"/>
                <w:szCs w:val="21"/>
              </w:rPr>
              <w:t>Acheilognathusmacrpterus</w:t>
            </w:r>
          </w:p>
        </w:tc>
        <w:tc>
          <w:tcPr>
            <w:tcW w:w="1061" w:type="dxa"/>
            <w:vAlign w:val="center"/>
          </w:tcPr>
          <w:p w:rsidR="00720318" w:rsidRPr="00F9522B" w:rsidRDefault="00720318">
            <w:pPr>
              <w:kinsoku w:val="0"/>
              <w:autoSpaceDE w:val="0"/>
              <w:autoSpaceDN w:val="0"/>
              <w:adjustRightInd w:val="0"/>
              <w:snapToGrid w:val="0"/>
              <w:spacing w:line="0" w:lineRule="atLeast"/>
              <w:jc w:val="center"/>
              <w:textAlignment w:val="baseline"/>
              <w:rPr>
                <w:szCs w:val="21"/>
              </w:rPr>
            </w:pPr>
            <w:r w:rsidRPr="00F9522B">
              <w:rPr>
                <w:spacing w:val="1"/>
                <w:szCs w:val="21"/>
              </w:rPr>
              <w:t>+</w:t>
            </w:r>
          </w:p>
        </w:tc>
      </w:tr>
      <w:tr w:rsidR="00720318" w:rsidRPr="00F9522B" w:rsidTr="00BB0285">
        <w:trPr>
          <w:gridAfter w:val="1"/>
          <w:wAfter w:w="93" w:type="dxa"/>
          <w:trHeight w:val="345"/>
        </w:trPr>
        <w:tc>
          <w:tcPr>
            <w:tcW w:w="1850" w:type="dxa"/>
            <w:vMerge/>
            <w:vAlign w:val="center"/>
          </w:tcPr>
          <w:p w:rsidR="00720318" w:rsidRPr="00F9522B" w:rsidRDefault="00720318">
            <w:pPr>
              <w:spacing w:line="0" w:lineRule="atLeast"/>
              <w:jc w:val="center"/>
              <w:rPr>
                <w:szCs w:val="21"/>
              </w:rPr>
            </w:pPr>
          </w:p>
        </w:tc>
        <w:tc>
          <w:tcPr>
            <w:tcW w:w="1984" w:type="dxa"/>
            <w:vMerge/>
            <w:vAlign w:val="center"/>
          </w:tcPr>
          <w:p w:rsidR="00720318" w:rsidRPr="00F9522B" w:rsidRDefault="00720318">
            <w:pPr>
              <w:spacing w:line="0" w:lineRule="atLeast"/>
              <w:jc w:val="center"/>
              <w:rPr>
                <w:szCs w:val="21"/>
              </w:rPr>
            </w:pPr>
          </w:p>
        </w:tc>
        <w:tc>
          <w:tcPr>
            <w:tcW w:w="3544" w:type="dxa"/>
            <w:vAlign w:val="center"/>
          </w:tcPr>
          <w:p w:rsidR="00720318" w:rsidRPr="00F9522B" w:rsidRDefault="00720318">
            <w:pPr>
              <w:pStyle w:val="TableText"/>
              <w:spacing w:line="0" w:lineRule="atLeast"/>
              <w:jc w:val="center"/>
              <w:rPr>
                <w:color w:val="auto"/>
                <w:sz w:val="21"/>
                <w:szCs w:val="21"/>
              </w:rPr>
            </w:pPr>
            <w:r w:rsidRPr="00F9522B">
              <w:rPr>
                <w:rFonts w:eastAsia="宋体"/>
                <w:color w:val="auto"/>
                <w:spacing w:val="35"/>
                <w:position w:val="2"/>
                <w:sz w:val="21"/>
                <w:szCs w:val="21"/>
              </w:rPr>
              <w:t>兴凯鱊</w:t>
            </w:r>
            <w:r w:rsidRPr="00F9522B">
              <w:rPr>
                <w:i/>
                <w:iCs/>
                <w:color w:val="auto"/>
                <w:position w:val="2"/>
                <w:sz w:val="21"/>
                <w:szCs w:val="21"/>
              </w:rPr>
              <w:t>Acheilognathuschankaensis</w:t>
            </w:r>
          </w:p>
        </w:tc>
        <w:tc>
          <w:tcPr>
            <w:tcW w:w="1061" w:type="dxa"/>
            <w:vAlign w:val="center"/>
          </w:tcPr>
          <w:p w:rsidR="00720318" w:rsidRPr="00F9522B" w:rsidRDefault="00720318">
            <w:pPr>
              <w:kinsoku w:val="0"/>
              <w:autoSpaceDE w:val="0"/>
              <w:autoSpaceDN w:val="0"/>
              <w:adjustRightInd w:val="0"/>
              <w:snapToGrid w:val="0"/>
              <w:spacing w:line="0" w:lineRule="atLeast"/>
              <w:jc w:val="center"/>
              <w:textAlignment w:val="baseline"/>
              <w:rPr>
                <w:szCs w:val="21"/>
              </w:rPr>
            </w:pPr>
            <w:r w:rsidRPr="00F9522B">
              <w:rPr>
                <w:spacing w:val="1"/>
                <w:szCs w:val="21"/>
              </w:rPr>
              <w:t>+</w:t>
            </w:r>
          </w:p>
        </w:tc>
      </w:tr>
      <w:tr w:rsidR="00720318" w:rsidRPr="00F9522B" w:rsidTr="00BB0285">
        <w:trPr>
          <w:gridAfter w:val="1"/>
          <w:wAfter w:w="93" w:type="dxa"/>
          <w:trHeight w:val="345"/>
        </w:trPr>
        <w:tc>
          <w:tcPr>
            <w:tcW w:w="1850" w:type="dxa"/>
            <w:vMerge/>
            <w:vAlign w:val="center"/>
          </w:tcPr>
          <w:p w:rsidR="00720318" w:rsidRPr="00F9522B" w:rsidRDefault="00720318">
            <w:pPr>
              <w:spacing w:line="0" w:lineRule="atLeast"/>
              <w:jc w:val="center"/>
              <w:rPr>
                <w:szCs w:val="21"/>
              </w:rPr>
            </w:pPr>
          </w:p>
        </w:tc>
        <w:tc>
          <w:tcPr>
            <w:tcW w:w="1984" w:type="dxa"/>
            <w:vMerge/>
            <w:vAlign w:val="center"/>
          </w:tcPr>
          <w:p w:rsidR="00720318" w:rsidRPr="00F9522B" w:rsidRDefault="00720318">
            <w:pPr>
              <w:spacing w:line="0" w:lineRule="atLeast"/>
              <w:jc w:val="center"/>
              <w:rPr>
                <w:szCs w:val="21"/>
              </w:rPr>
            </w:pPr>
          </w:p>
        </w:tc>
        <w:tc>
          <w:tcPr>
            <w:tcW w:w="3544" w:type="dxa"/>
            <w:vAlign w:val="center"/>
          </w:tcPr>
          <w:p w:rsidR="00720318" w:rsidRPr="00F9522B" w:rsidRDefault="00720318">
            <w:pPr>
              <w:pStyle w:val="TableText"/>
              <w:spacing w:line="0" w:lineRule="atLeast"/>
              <w:jc w:val="center"/>
              <w:rPr>
                <w:color w:val="auto"/>
                <w:sz w:val="21"/>
                <w:szCs w:val="21"/>
              </w:rPr>
            </w:pPr>
            <w:r w:rsidRPr="00F9522B">
              <w:rPr>
                <w:rFonts w:eastAsia="宋体"/>
                <w:color w:val="auto"/>
                <w:spacing w:val="22"/>
                <w:position w:val="2"/>
                <w:sz w:val="21"/>
                <w:szCs w:val="21"/>
              </w:rPr>
              <w:t>犬首鮈</w:t>
            </w:r>
            <w:r w:rsidRPr="00F9522B">
              <w:rPr>
                <w:i/>
                <w:iCs/>
                <w:color w:val="auto"/>
                <w:position w:val="2"/>
                <w:sz w:val="21"/>
                <w:szCs w:val="21"/>
              </w:rPr>
              <w:t>Gobiogobiocynocephalus</w:t>
            </w:r>
          </w:p>
        </w:tc>
        <w:tc>
          <w:tcPr>
            <w:tcW w:w="1061" w:type="dxa"/>
            <w:vAlign w:val="center"/>
          </w:tcPr>
          <w:p w:rsidR="00720318" w:rsidRPr="00F9522B" w:rsidRDefault="00720318">
            <w:pPr>
              <w:kinsoku w:val="0"/>
              <w:autoSpaceDE w:val="0"/>
              <w:autoSpaceDN w:val="0"/>
              <w:adjustRightInd w:val="0"/>
              <w:snapToGrid w:val="0"/>
              <w:spacing w:line="0" w:lineRule="atLeast"/>
              <w:jc w:val="center"/>
              <w:textAlignment w:val="baseline"/>
              <w:rPr>
                <w:szCs w:val="21"/>
              </w:rPr>
            </w:pPr>
            <w:r w:rsidRPr="00F9522B">
              <w:rPr>
                <w:spacing w:val="1"/>
                <w:szCs w:val="21"/>
              </w:rPr>
              <w:t>+</w:t>
            </w:r>
          </w:p>
        </w:tc>
      </w:tr>
      <w:tr w:rsidR="00720318" w:rsidRPr="00F9522B" w:rsidTr="00BB0285">
        <w:trPr>
          <w:gridAfter w:val="1"/>
          <w:wAfter w:w="93" w:type="dxa"/>
          <w:trHeight w:val="345"/>
        </w:trPr>
        <w:tc>
          <w:tcPr>
            <w:tcW w:w="1850" w:type="dxa"/>
            <w:vMerge/>
            <w:vAlign w:val="center"/>
          </w:tcPr>
          <w:p w:rsidR="00720318" w:rsidRPr="00F9522B" w:rsidRDefault="00720318">
            <w:pPr>
              <w:spacing w:line="0" w:lineRule="atLeast"/>
              <w:jc w:val="center"/>
              <w:rPr>
                <w:szCs w:val="21"/>
              </w:rPr>
            </w:pPr>
          </w:p>
        </w:tc>
        <w:tc>
          <w:tcPr>
            <w:tcW w:w="1984" w:type="dxa"/>
            <w:vMerge/>
            <w:vAlign w:val="center"/>
          </w:tcPr>
          <w:p w:rsidR="00720318" w:rsidRPr="00F9522B" w:rsidRDefault="00720318">
            <w:pPr>
              <w:spacing w:line="0" w:lineRule="atLeast"/>
              <w:jc w:val="center"/>
              <w:rPr>
                <w:szCs w:val="21"/>
              </w:rPr>
            </w:pPr>
          </w:p>
        </w:tc>
        <w:tc>
          <w:tcPr>
            <w:tcW w:w="3544" w:type="dxa"/>
            <w:vAlign w:val="center"/>
          </w:tcPr>
          <w:p w:rsidR="00720318" w:rsidRPr="00F9522B" w:rsidRDefault="00720318">
            <w:pPr>
              <w:pStyle w:val="TableText"/>
              <w:spacing w:line="0" w:lineRule="atLeast"/>
              <w:jc w:val="center"/>
              <w:rPr>
                <w:color w:val="auto"/>
                <w:sz w:val="21"/>
                <w:szCs w:val="21"/>
              </w:rPr>
            </w:pPr>
            <w:r w:rsidRPr="00F9522B">
              <w:rPr>
                <w:rFonts w:eastAsia="宋体"/>
                <w:color w:val="auto"/>
                <w:spacing w:val="43"/>
                <w:position w:val="1"/>
                <w:sz w:val="21"/>
                <w:szCs w:val="21"/>
              </w:rPr>
              <w:t>唇䱻</w:t>
            </w:r>
            <w:r w:rsidRPr="00F9522B">
              <w:rPr>
                <w:i/>
                <w:iCs/>
                <w:color w:val="auto"/>
                <w:position w:val="1"/>
                <w:sz w:val="21"/>
                <w:szCs w:val="21"/>
              </w:rPr>
              <w:t>Hemibarbuslabeo</w:t>
            </w:r>
          </w:p>
        </w:tc>
        <w:tc>
          <w:tcPr>
            <w:tcW w:w="1061" w:type="dxa"/>
            <w:vAlign w:val="center"/>
          </w:tcPr>
          <w:p w:rsidR="00720318" w:rsidRPr="00F9522B" w:rsidRDefault="00720318">
            <w:pPr>
              <w:kinsoku w:val="0"/>
              <w:autoSpaceDE w:val="0"/>
              <w:autoSpaceDN w:val="0"/>
              <w:adjustRightInd w:val="0"/>
              <w:snapToGrid w:val="0"/>
              <w:spacing w:line="0" w:lineRule="atLeast"/>
              <w:jc w:val="center"/>
              <w:textAlignment w:val="baseline"/>
              <w:rPr>
                <w:szCs w:val="21"/>
              </w:rPr>
            </w:pPr>
          </w:p>
        </w:tc>
      </w:tr>
      <w:tr w:rsidR="00720318" w:rsidRPr="00F9522B" w:rsidTr="00BB0285">
        <w:trPr>
          <w:gridAfter w:val="1"/>
          <w:wAfter w:w="93" w:type="dxa"/>
          <w:trHeight w:val="345"/>
        </w:trPr>
        <w:tc>
          <w:tcPr>
            <w:tcW w:w="1850" w:type="dxa"/>
            <w:vMerge/>
            <w:vAlign w:val="center"/>
          </w:tcPr>
          <w:p w:rsidR="00720318" w:rsidRPr="00F9522B" w:rsidRDefault="00720318">
            <w:pPr>
              <w:spacing w:line="0" w:lineRule="atLeast"/>
              <w:jc w:val="center"/>
              <w:rPr>
                <w:szCs w:val="21"/>
              </w:rPr>
            </w:pPr>
          </w:p>
        </w:tc>
        <w:tc>
          <w:tcPr>
            <w:tcW w:w="1984" w:type="dxa"/>
            <w:vMerge/>
            <w:vAlign w:val="center"/>
          </w:tcPr>
          <w:p w:rsidR="00720318" w:rsidRPr="00F9522B" w:rsidRDefault="00720318">
            <w:pPr>
              <w:spacing w:line="0" w:lineRule="atLeast"/>
              <w:jc w:val="center"/>
              <w:rPr>
                <w:szCs w:val="21"/>
              </w:rPr>
            </w:pPr>
          </w:p>
        </w:tc>
        <w:tc>
          <w:tcPr>
            <w:tcW w:w="3544" w:type="dxa"/>
            <w:vAlign w:val="center"/>
          </w:tcPr>
          <w:p w:rsidR="00720318" w:rsidRPr="00F9522B" w:rsidRDefault="00720318">
            <w:pPr>
              <w:pStyle w:val="TableText"/>
              <w:spacing w:line="0" w:lineRule="atLeast"/>
              <w:jc w:val="center"/>
              <w:rPr>
                <w:color w:val="auto"/>
                <w:sz w:val="21"/>
                <w:szCs w:val="21"/>
              </w:rPr>
            </w:pPr>
            <w:r w:rsidRPr="00F9522B">
              <w:rPr>
                <w:rFonts w:eastAsia="宋体"/>
                <w:color w:val="auto"/>
                <w:spacing w:val="52"/>
                <w:position w:val="1"/>
                <w:sz w:val="21"/>
                <w:szCs w:val="21"/>
              </w:rPr>
              <w:t>花䱻</w:t>
            </w:r>
            <w:r w:rsidRPr="00F9522B">
              <w:rPr>
                <w:i/>
                <w:iCs/>
                <w:color w:val="auto"/>
                <w:position w:val="1"/>
                <w:sz w:val="21"/>
                <w:szCs w:val="21"/>
              </w:rPr>
              <w:t>Hemibarbusmaculatus</w:t>
            </w:r>
          </w:p>
        </w:tc>
        <w:tc>
          <w:tcPr>
            <w:tcW w:w="1061" w:type="dxa"/>
            <w:vAlign w:val="center"/>
          </w:tcPr>
          <w:p w:rsidR="00720318" w:rsidRPr="00F9522B" w:rsidRDefault="00535282" w:rsidP="00535282">
            <w:pPr>
              <w:kinsoku w:val="0"/>
              <w:autoSpaceDE w:val="0"/>
              <w:autoSpaceDN w:val="0"/>
              <w:adjustRightInd w:val="0"/>
              <w:snapToGrid w:val="0"/>
              <w:spacing w:line="0" w:lineRule="atLeast"/>
              <w:jc w:val="center"/>
              <w:textAlignment w:val="baseline"/>
              <w:rPr>
                <w:szCs w:val="21"/>
              </w:rPr>
            </w:pPr>
            <w:r w:rsidRPr="00F9522B">
              <w:rPr>
                <w:noProof/>
                <w:position w:val="-2"/>
                <w:szCs w:val="21"/>
              </w:rPr>
              <w:t>+</w:t>
            </w:r>
          </w:p>
        </w:tc>
      </w:tr>
      <w:tr w:rsidR="00720318" w:rsidRPr="00F9522B" w:rsidTr="00BB0285">
        <w:trPr>
          <w:gridAfter w:val="1"/>
          <w:wAfter w:w="93" w:type="dxa"/>
          <w:trHeight w:val="345"/>
        </w:trPr>
        <w:tc>
          <w:tcPr>
            <w:tcW w:w="1850" w:type="dxa"/>
            <w:vMerge/>
            <w:vAlign w:val="center"/>
          </w:tcPr>
          <w:p w:rsidR="00720318" w:rsidRPr="00F9522B" w:rsidRDefault="00720318">
            <w:pPr>
              <w:spacing w:line="0" w:lineRule="atLeast"/>
              <w:jc w:val="center"/>
              <w:rPr>
                <w:szCs w:val="21"/>
              </w:rPr>
            </w:pPr>
          </w:p>
        </w:tc>
        <w:tc>
          <w:tcPr>
            <w:tcW w:w="1984" w:type="dxa"/>
            <w:vMerge/>
            <w:vAlign w:val="center"/>
          </w:tcPr>
          <w:p w:rsidR="00720318" w:rsidRPr="00F9522B" w:rsidRDefault="00720318">
            <w:pPr>
              <w:spacing w:line="0" w:lineRule="atLeast"/>
              <w:jc w:val="center"/>
              <w:rPr>
                <w:szCs w:val="21"/>
              </w:rPr>
            </w:pPr>
          </w:p>
        </w:tc>
        <w:tc>
          <w:tcPr>
            <w:tcW w:w="3544" w:type="dxa"/>
            <w:vAlign w:val="center"/>
          </w:tcPr>
          <w:p w:rsidR="00720318" w:rsidRPr="00F9522B" w:rsidRDefault="00720318">
            <w:pPr>
              <w:pStyle w:val="TableText"/>
              <w:spacing w:line="0" w:lineRule="atLeast"/>
              <w:jc w:val="center"/>
              <w:rPr>
                <w:color w:val="auto"/>
                <w:sz w:val="21"/>
                <w:szCs w:val="21"/>
              </w:rPr>
            </w:pPr>
            <w:r w:rsidRPr="00F9522B">
              <w:rPr>
                <w:rFonts w:eastAsia="宋体"/>
                <w:color w:val="auto"/>
                <w:spacing w:val="28"/>
                <w:position w:val="2"/>
                <w:sz w:val="21"/>
                <w:szCs w:val="21"/>
              </w:rPr>
              <w:t>条纹似白鮈</w:t>
            </w:r>
            <w:r w:rsidRPr="00F9522B">
              <w:rPr>
                <w:i/>
                <w:iCs/>
                <w:color w:val="auto"/>
                <w:position w:val="2"/>
                <w:sz w:val="21"/>
                <w:szCs w:val="21"/>
              </w:rPr>
              <w:t>Paraleucogobiostrigatus</w:t>
            </w:r>
          </w:p>
        </w:tc>
        <w:tc>
          <w:tcPr>
            <w:tcW w:w="1061" w:type="dxa"/>
            <w:vAlign w:val="center"/>
          </w:tcPr>
          <w:p w:rsidR="00720318" w:rsidRPr="00F9522B" w:rsidRDefault="00535282">
            <w:pPr>
              <w:kinsoku w:val="0"/>
              <w:autoSpaceDE w:val="0"/>
              <w:autoSpaceDN w:val="0"/>
              <w:adjustRightInd w:val="0"/>
              <w:snapToGrid w:val="0"/>
              <w:spacing w:line="0" w:lineRule="atLeast"/>
              <w:jc w:val="center"/>
              <w:textAlignment w:val="baseline"/>
              <w:rPr>
                <w:szCs w:val="21"/>
              </w:rPr>
            </w:pPr>
            <w:r w:rsidRPr="00F9522B">
              <w:rPr>
                <w:szCs w:val="21"/>
              </w:rPr>
              <w:t>+</w:t>
            </w:r>
          </w:p>
        </w:tc>
      </w:tr>
    </w:tbl>
    <w:p w:rsidR="00535282" w:rsidRPr="00F9522B" w:rsidRDefault="00535282"/>
    <w:p w:rsidR="00535282" w:rsidRPr="00F9522B" w:rsidRDefault="00535282" w:rsidP="00535282">
      <w:pPr>
        <w:pStyle w:val="ab"/>
        <w:spacing w:after="0"/>
        <w:ind w:left="3238"/>
        <w:rPr>
          <w:b/>
          <w:bCs/>
          <w:spacing w:val="-2"/>
        </w:rPr>
      </w:pPr>
      <w:r w:rsidRPr="00F9522B">
        <w:rPr>
          <w:b/>
          <w:bCs/>
          <w:spacing w:val="-2"/>
        </w:rPr>
        <w:lastRenderedPageBreak/>
        <w:t>续表</w:t>
      </w:r>
      <w:r w:rsidRPr="00F9522B">
        <w:rPr>
          <w:b/>
          <w:bCs/>
          <w:spacing w:val="-2"/>
        </w:rPr>
        <w:t>4-2-29</w:t>
      </w:r>
      <w:r w:rsidRPr="00F9522B">
        <w:rPr>
          <w:b/>
          <w:bCs/>
          <w:spacing w:val="-2"/>
        </w:rPr>
        <w:t>评价水域鱼类名录</w:t>
      </w:r>
    </w:p>
    <w:tbl>
      <w:tblPr>
        <w:tblStyle w:val="TableNormal"/>
        <w:tblW w:w="8524" w:type="dxa"/>
        <w:tblInd w:w="135" w:type="dxa"/>
        <w:tblBorders>
          <w:top w:val="single" w:sz="12" w:space="0" w:color="000000"/>
          <w:bottom w:val="single" w:sz="12" w:space="0" w:color="000000"/>
          <w:insideH w:val="single" w:sz="4" w:space="0" w:color="000000"/>
          <w:insideV w:val="single" w:sz="4" w:space="0" w:color="000000"/>
        </w:tblBorders>
        <w:tblLayout w:type="fixed"/>
        <w:tblLook w:val="04A0"/>
      </w:tblPr>
      <w:tblGrid>
        <w:gridCol w:w="1850"/>
        <w:gridCol w:w="1984"/>
        <w:gridCol w:w="3544"/>
        <w:gridCol w:w="1061"/>
        <w:gridCol w:w="85"/>
      </w:tblGrid>
      <w:tr w:rsidR="00535282" w:rsidRPr="00F9522B" w:rsidTr="00535282">
        <w:trPr>
          <w:gridAfter w:val="1"/>
          <w:wAfter w:w="85" w:type="dxa"/>
          <w:trHeight w:val="345"/>
        </w:trPr>
        <w:tc>
          <w:tcPr>
            <w:tcW w:w="1850" w:type="dxa"/>
            <w:vMerge w:val="restart"/>
            <w:vAlign w:val="center"/>
          </w:tcPr>
          <w:p w:rsidR="00535282" w:rsidRPr="00F9522B" w:rsidRDefault="00535282" w:rsidP="008C3325">
            <w:pPr>
              <w:pStyle w:val="TableText"/>
              <w:spacing w:line="0" w:lineRule="atLeast"/>
              <w:jc w:val="center"/>
              <w:rPr>
                <w:color w:val="auto"/>
                <w:sz w:val="21"/>
                <w:szCs w:val="21"/>
              </w:rPr>
            </w:pPr>
            <w:r w:rsidRPr="00F9522B">
              <w:rPr>
                <w:rFonts w:eastAsia="宋体"/>
                <w:color w:val="auto"/>
                <w:spacing w:val="6"/>
                <w:sz w:val="21"/>
                <w:szCs w:val="21"/>
              </w:rPr>
              <w:t>鲤形目</w:t>
            </w:r>
          </w:p>
          <w:p w:rsidR="00535282" w:rsidRPr="00F9522B" w:rsidRDefault="00535282" w:rsidP="008C3325">
            <w:pPr>
              <w:kinsoku w:val="0"/>
              <w:autoSpaceDE w:val="0"/>
              <w:autoSpaceDN w:val="0"/>
              <w:adjustRightInd w:val="0"/>
              <w:snapToGrid w:val="0"/>
              <w:spacing w:line="0" w:lineRule="atLeast"/>
              <w:jc w:val="center"/>
              <w:textAlignment w:val="baseline"/>
              <w:rPr>
                <w:szCs w:val="21"/>
              </w:rPr>
            </w:pPr>
            <w:r w:rsidRPr="00F9522B">
              <w:rPr>
                <w:spacing w:val="3"/>
                <w:szCs w:val="21"/>
              </w:rPr>
              <w:t>Cypriniformes</w:t>
            </w:r>
          </w:p>
        </w:tc>
        <w:tc>
          <w:tcPr>
            <w:tcW w:w="1984" w:type="dxa"/>
            <w:vMerge w:val="restart"/>
            <w:vAlign w:val="center"/>
          </w:tcPr>
          <w:p w:rsidR="00535282" w:rsidRPr="00F9522B" w:rsidRDefault="00535282" w:rsidP="008C3325">
            <w:pPr>
              <w:pStyle w:val="TableText"/>
              <w:spacing w:line="0" w:lineRule="atLeast"/>
              <w:jc w:val="center"/>
              <w:rPr>
                <w:color w:val="auto"/>
                <w:sz w:val="21"/>
                <w:szCs w:val="21"/>
              </w:rPr>
            </w:pPr>
            <w:r w:rsidRPr="00F9522B">
              <w:rPr>
                <w:rFonts w:eastAsia="宋体"/>
                <w:color w:val="auto"/>
                <w:spacing w:val="22"/>
                <w:sz w:val="21"/>
                <w:szCs w:val="21"/>
              </w:rPr>
              <w:t>鲤科</w:t>
            </w:r>
            <w:r w:rsidRPr="00F9522B">
              <w:rPr>
                <w:color w:val="auto"/>
                <w:sz w:val="21"/>
                <w:szCs w:val="21"/>
              </w:rPr>
              <w:t>Cyprinidae</w:t>
            </w:r>
          </w:p>
        </w:tc>
        <w:tc>
          <w:tcPr>
            <w:tcW w:w="3544" w:type="dxa"/>
            <w:vAlign w:val="center"/>
          </w:tcPr>
          <w:p w:rsidR="00535282" w:rsidRPr="00F9522B" w:rsidRDefault="00535282">
            <w:pPr>
              <w:pStyle w:val="TableText"/>
              <w:spacing w:line="0" w:lineRule="atLeast"/>
              <w:jc w:val="center"/>
              <w:rPr>
                <w:color w:val="auto"/>
                <w:sz w:val="21"/>
                <w:szCs w:val="21"/>
              </w:rPr>
            </w:pPr>
            <w:r w:rsidRPr="00F9522B">
              <w:rPr>
                <w:rFonts w:eastAsia="宋体"/>
                <w:color w:val="auto"/>
                <w:spacing w:val="36"/>
                <w:position w:val="2"/>
                <w:sz w:val="21"/>
                <w:szCs w:val="21"/>
              </w:rPr>
              <w:t>麦穗鱼</w:t>
            </w:r>
            <w:r w:rsidRPr="00F9522B">
              <w:rPr>
                <w:i/>
                <w:iCs/>
                <w:color w:val="auto"/>
                <w:position w:val="2"/>
                <w:sz w:val="21"/>
                <w:szCs w:val="21"/>
              </w:rPr>
              <w:t>Pseudorasboraparva</w:t>
            </w:r>
          </w:p>
        </w:tc>
        <w:tc>
          <w:tcPr>
            <w:tcW w:w="1061" w:type="dxa"/>
            <w:vAlign w:val="center"/>
          </w:tcPr>
          <w:p w:rsidR="00535282" w:rsidRPr="00F9522B" w:rsidRDefault="00535282">
            <w:pPr>
              <w:kinsoku w:val="0"/>
              <w:autoSpaceDE w:val="0"/>
              <w:autoSpaceDN w:val="0"/>
              <w:adjustRightInd w:val="0"/>
              <w:snapToGrid w:val="0"/>
              <w:spacing w:line="0" w:lineRule="atLeast"/>
              <w:jc w:val="center"/>
              <w:textAlignment w:val="baseline"/>
              <w:rPr>
                <w:szCs w:val="21"/>
              </w:rPr>
            </w:pPr>
            <w:r w:rsidRPr="00F9522B">
              <w:rPr>
                <w:szCs w:val="21"/>
              </w:rPr>
              <w:t>+</w:t>
            </w:r>
          </w:p>
        </w:tc>
      </w:tr>
      <w:tr w:rsidR="00535282" w:rsidRPr="00F9522B" w:rsidTr="00535282">
        <w:trPr>
          <w:gridAfter w:val="1"/>
          <w:wAfter w:w="85" w:type="dxa"/>
          <w:trHeight w:val="345"/>
        </w:trPr>
        <w:tc>
          <w:tcPr>
            <w:tcW w:w="1850" w:type="dxa"/>
            <w:vMerge/>
            <w:vAlign w:val="center"/>
          </w:tcPr>
          <w:p w:rsidR="00535282" w:rsidRPr="00F9522B" w:rsidRDefault="00535282" w:rsidP="008C3325">
            <w:pPr>
              <w:kinsoku w:val="0"/>
              <w:autoSpaceDE w:val="0"/>
              <w:autoSpaceDN w:val="0"/>
              <w:adjustRightInd w:val="0"/>
              <w:snapToGrid w:val="0"/>
              <w:spacing w:line="0" w:lineRule="atLeast"/>
              <w:jc w:val="center"/>
              <w:textAlignment w:val="baseline"/>
              <w:rPr>
                <w:szCs w:val="21"/>
              </w:rPr>
            </w:pPr>
          </w:p>
        </w:tc>
        <w:tc>
          <w:tcPr>
            <w:tcW w:w="1984" w:type="dxa"/>
            <w:vMerge/>
            <w:vAlign w:val="center"/>
          </w:tcPr>
          <w:p w:rsidR="00535282" w:rsidRPr="00F9522B" w:rsidRDefault="00535282" w:rsidP="008C3325">
            <w:pPr>
              <w:pStyle w:val="TableText"/>
              <w:spacing w:line="0" w:lineRule="atLeast"/>
              <w:jc w:val="center"/>
              <w:rPr>
                <w:color w:val="auto"/>
                <w:sz w:val="21"/>
                <w:szCs w:val="21"/>
              </w:rPr>
            </w:pPr>
          </w:p>
        </w:tc>
        <w:tc>
          <w:tcPr>
            <w:tcW w:w="3544" w:type="dxa"/>
            <w:vAlign w:val="center"/>
          </w:tcPr>
          <w:p w:rsidR="00535282" w:rsidRPr="00F9522B" w:rsidRDefault="00535282">
            <w:pPr>
              <w:pStyle w:val="TableText"/>
              <w:spacing w:line="0" w:lineRule="atLeast"/>
              <w:jc w:val="center"/>
              <w:rPr>
                <w:color w:val="auto"/>
                <w:sz w:val="21"/>
                <w:szCs w:val="21"/>
              </w:rPr>
            </w:pPr>
            <w:r w:rsidRPr="00F9522B">
              <w:rPr>
                <w:rFonts w:eastAsia="宋体"/>
                <w:color w:val="auto"/>
                <w:spacing w:val="30"/>
                <w:position w:val="1"/>
                <w:sz w:val="21"/>
                <w:szCs w:val="21"/>
              </w:rPr>
              <w:t>平口鮈</w:t>
            </w:r>
            <w:r w:rsidRPr="00F9522B">
              <w:rPr>
                <w:i/>
                <w:iCs/>
                <w:color w:val="auto"/>
                <w:position w:val="1"/>
                <w:sz w:val="21"/>
                <w:szCs w:val="21"/>
              </w:rPr>
              <w:t>Ladislaviataczanowskii</w:t>
            </w:r>
          </w:p>
        </w:tc>
        <w:tc>
          <w:tcPr>
            <w:tcW w:w="1061" w:type="dxa"/>
            <w:vAlign w:val="center"/>
          </w:tcPr>
          <w:p w:rsidR="00535282" w:rsidRPr="00F9522B" w:rsidRDefault="00535282">
            <w:pPr>
              <w:kinsoku w:val="0"/>
              <w:autoSpaceDE w:val="0"/>
              <w:autoSpaceDN w:val="0"/>
              <w:adjustRightInd w:val="0"/>
              <w:snapToGrid w:val="0"/>
              <w:spacing w:line="0" w:lineRule="atLeast"/>
              <w:jc w:val="center"/>
              <w:textAlignment w:val="baseline"/>
              <w:rPr>
                <w:szCs w:val="21"/>
              </w:rPr>
            </w:pPr>
            <w:r w:rsidRPr="00F9522B">
              <w:rPr>
                <w:szCs w:val="21"/>
              </w:rPr>
              <w:t>+</w:t>
            </w:r>
          </w:p>
        </w:tc>
      </w:tr>
      <w:tr w:rsidR="00535282" w:rsidRPr="00F9522B" w:rsidTr="00535282">
        <w:trPr>
          <w:gridAfter w:val="1"/>
          <w:wAfter w:w="85" w:type="dxa"/>
          <w:trHeight w:val="345"/>
        </w:trPr>
        <w:tc>
          <w:tcPr>
            <w:tcW w:w="1850" w:type="dxa"/>
            <w:vMerge/>
            <w:vAlign w:val="center"/>
          </w:tcPr>
          <w:p w:rsidR="00535282" w:rsidRPr="00F9522B" w:rsidRDefault="00535282" w:rsidP="008C3325">
            <w:pPr>
              <w:kinsoku w:val="0"/>
              <w:autoSpaceDE w:val="0"/>
              <w:autoSpaceDN w:val="0"/>
              <w:adjustRightInd w:val="0"/>
              <w:snapToGrid w:val="0"/>
              <w:spacing w:line="0" w:lineRule="atLeast"/>
              <w:jc w:val="center"/>
              <w:textAlignment w:val="baseline"/>
              <w:rPr>
                <w:szCs w:val="21"/>
              </w:rPr>
            </w:pPr>
          </w:p>
        </w:tc>
        <w:tc>
          <w:tcPr>
            <w:tcW w:w="1984" w:type="dxa"/>
            <w:vMerge/>
            <w:vAlign w:val="center"/>
          </w:tcPr>
          <w:p w:rsidR="00535282" w:rsidRPr="00F9522B" w:rsidRDefault="00535282" w:rsidP="008C3325">
            <w:pPr>
              <w:pStyle w:val="TableText"/>
              <w:spacing w:line="0" w:lineRule="atLeast"/>
              <w:jc w:val="center"/>
              <w:rPr>
                <w:color w:val="auto"/>
                <w:sz w:val="21"/>
                <w:szCs w:val="21"/>
              </w:rPr>
            </w:pPr>
          </w:p>
        </w:tc>
        <w:tc>
          <w:tcPr>
            <w:tcW w:w="3544" w:type="dxa"/>
            <w:vAlign w:val="center"/>
          </w:tcPr>
          <w:p w:rsidR="00535282" w:rsidRPr="00F9522B" w:rsidRDefault="00535282">
            <w:pPr>
              <w:pStyle w:val="TableText"/>
              <w:spacing w:line="0" w:lineRule="atLeast"/>
              <w:jc w:val="center"/>
              <w:rPr>
                <w:color w:val="auto"/>
                <w:sz w:val="21"/>
                <w:szCs w:val="21"/>
              </w:rPr>
            </w:pPr>
            <w:r w:rsidRPr="00F9522B">
              <w:rPr>
                <w:rFonts w:eastAsia="宋体"/>
                <w:color w:val="auto"/>
                <w:spacing w:val="16"/>
                <w:position w:val="1"/>
                <w:sz w:val="21"/>
                <w:szCs w:val="21"/>
              </w:rPr>
              <w:t>高体鮈</w:t>
            </w:r>
            <w:r w:rsidRPr="00F9522B">
              <w:rPr>
                <w:i/>
                <w:iCs/>
                <w:color w:val="auto"/>
                <w:position w:val="1"/>
                <w:sz w:val="21"/>
                <w:szCs w:val="21"/>
              </w:rPr>
              <w:t>Gobiosoldatovi</w:t>
            </w:r>
          </w:p>
        </w:tc>
        <w:tc>
          <w:tcPr>
            <w:tcW w:w="1061" w:type="dxa"/>
            <w:vAlign w:val="center"/>
          </w:tcPr>
          <w:p w:rsidR="00535282" w:rsidRPr="00F9522B" w:rsidRDefault="00535282">
            <w:pPr>
              <w:kinsoku w:val="0"/>
              <w:autoSpaceDE w:val="0"/>
              <w:autoSpaceDN w:val="0"/>
              <w:adjustRightInd w:val="0"/>
              <w:snapToGrid w:val="0"/>
              <w:spacing w:line="0" w:lineRule="atLeast"/>
              <w:jc w:val="center"/>
              <w:textAlignment w:val="baseline"/>
              <w:rPr>
                <w:szCs w:val="21"/>
              </w:rPr>
            </w:pPr>
            <w:r w:rsidRPr="00F9522B">
              <w:rPr>
                <w:spacing w:val="1"/>
                <w:szCs w:val="21"/>
              </w:rPr>
              <w:t>+</w:t>
            </w:r>
          </w:p>
        </w:tc>
      </w:tr>
      <w:tr w:rsidR="00535282" w:rsidRPr="00F9522B" w:rsidTr="00535282">
        <w:trPr>
          <w:gridAfter w:val="1"/>
          <w:wAfter w:w="85" w:type="dxa"/>
          <w:trHeight w:val="345"/>
        </w:trPr>
        <w:tc>
          <w:tcPr>
            <w:tcW w:w="1850" w:type="dxa"/>
            <w:vMerge/>
            <w:vAlign w:val="center"/>
          </w:tcPr>
          <w:p w:rsidR="00535282" w:rsidRPr="00F9522B" w:rsidRDefault="00535282" w:rsidP="008C3325">
            <w:pPr>
              <w:kinsoku w:val="0"/>
              <w:autoSpaceDE w:val="0"/>
              <w:autoSpaceDN w:val="0"/>
              <w:adjustRightInd w:val="0"/>
              <w:snapToGrid w:val="0"/>
              <w:spacing w:line="0" w:lineRule="atLeast"/>
              <w:jc w:val="center"/>
              <w:textAlignment w:val="baseline"/>
              <w:rPr>
                <w:szCs w:val="21"/>
              </w:rPr>
            </w:pPr>
          </w:p>
        </w:tc>
        <w:tc>
          <w:tcPr>
            <w:tcW w:w="1984" w:type="dxa"/>
            <w:vMerge/>
            <w:vAlign w:val="center"/>
          </w:tcPr>
          <w:p w:rsidR="00535282" w:rsidRPr="00F9522B" w:rsidRDefault="00535282" w:rsidP="008C3325">
            <w:pPr>
              <w:pStyle w:val="TableText"/>
              <w:spacing w:line="0" w:lineRule="atLeast"/>
              <w:jc w:val="center"/>
              <w:rPr>
                <w:color w:val="auto"/>
                <w:sz w:val="21"/>
                <w:szCs w:val="21"/>
              </w:rPr>
            </w:pPr>
          </w:p>
        </w:tc>
        <w:tc>
          <w:tcPr>
            <w:tcW w:w="3544" w:type="dxa"/>
            <w:vAlign w:val="center"/>
          </w:tcPr>
          <w:p w:rsidR="00535282" w:rsidRPr="00F9522B" w:rsidRDefault="00535282">
            <w:pPr>
              <w:pStyle w:val="TableText"/>
              <w:spacing w:line="0" w:lineRule="atLeast"/>
              <w:jc w:val="center"/>
              <w:rPr>
                <w:color w:val="auto"/>
                <w:sz w:val="21"/>
                <w:szCs w:val="21"/>
              </w:rPr>
            </w:pPr>
            <w:r w:rsidRPr="00F9522B">
              <w:rPr>
                <w:rFonts w:eastAsia="宋体"/>
                <w:color w:val="auto"/>
                <w:spacing w:val="25"/>
                <w:position w:val="2"/>
                <w:sz w:val="21"/>
                <w:szCs w:val="21"/>
              </w:rPr>
              <w:t>细体鮈</w:t>
            </w:r>
            <w:r w:rsidRPr="00F9522B">
              <w:rPr>
                <w:i/>
                <w:iCs/>
                <w:color w:val="auto"/>
                <w:position w:val="2"/>
                <w:sz w:val="21"/>
                <w:szCs w:val="21"/>
              </w:rPr>
              <w:t>Gobiotenuicorpus</w:t>
            </w:r>
          </w:p>
        </w:tc>
        <w:tc>
          <w:tcPr>
            <w:tcW w:w="1061" w:type="dxa"/>
            <w:vAlign w:val="center"/>
          </w:tcPr>
          <w:p w:rsidR="00535282" w:rsidRPr="00F9522B" w:rsidRDefault="00535282">
            <w:pPr>
              <w:kinsoku w:val="0"/>
              <w:autoSpaceDE w:val="0"/>
              <w:autoSpaceDN w:val="0"/>
              <w:adjustRightInd w:val="0"/>
              <w:snapToGrid w:val="0"/>
              <w:spacing w:line="0" w:lineRule="atLeast"/>
              <w:jc w:val="center"/>
              <w:textAlignment w:val="baseline"/>
              <w:rPr>
                <w:szCs w:val="21"/>
              </w:rPr>
            </w:pPr>
            <w:r w:rsidRPr="00F9522B">
              <w:rPr>
                <w:spacing w:val="1"/>
                <w:szCs w:val="21"/>
              </w:rPr>
              <w:t>+</w:t>
            </w:r>
          </w:p>
        </w:tc>
      </w:tr>
      <w:tr w:rsidR="00535282" w:rsidRPr="00F9522B" w:rsidTr="00535282">
        <w:trPr>
          <w:gridAfter w:val="1"/>
          <w:wAfter w:w="85" w:type="dxa"/>
          <w:trHeight w:val="570"/>
        </w:trPr>
        <w:tc>
          <w:tcPr>
            <w:tcW w:w="1850" w:type="dxa"/>
            <w:vMerge/>
            <w:vAlign w:val="center"/>
          </w:tcPr>
          <w:p w:rsidR="00535282" w:rsidRPr="00F9522B" w:rsidRDefault="00535282" w:rsidP="008C3325">
            <w:pPr>
              <w:kinsoku w:val="0"/>
              <w:autoSpaceDE w:val="0"/>
              <w:autoSpaceDN w:val="0"/>
              <w:adjustRightInd w:val="0"/>
              <w:snapToGrid w:val="0"/>
              <w:spacing w:line="0" w:lineRule="atLeast"/>
              <w:jc w:val="center"/>
              <w:textAlignment w:val="baseline"/>
              <w:rPr>
                <w:szCs w:val="21"/>
              </w:rPr>
            </w:pPr>
          </w:p>
        </w:tc>
        <w:tc>
          <w:tcPr>
            <w:tcW w:w="1984" w:type="dxa"/>
            <w:vMerge/>
            <w:vAlign w:val="center"/>
          </w:tcPr>
          <w:p w:rsidR="00535282" w:rsidRPr="00F9522B" w:rsidRDefault="00535282" w:rsidP="008C3325">
            <w:pPr>
              <w:pStyle w:val="TableText"/>
              <w:spacing w:line="0" w:lineRule="atLeast"/>
              <w:jc w:val="center"/>
              <w:rPr>
                <w:color w:val="auto"/>
                <w:sz w:val="21"/>
                <w:szCs w:val="21"/>
              </w:rPr>
            </w:pPr>
          </w:p>
        </w:tc>
        <w:tc>
          <w:tcPr>
            <w:tcW w:w="3544" w:type="dxa"/>
            <w:vAlign w:val="center"/>
          </w:tcPr>
          <w:p w:rsidR="00535282" w:rsidRPr="00F9522B" w:rsidRDefault="00535282">
            <w:pPr>
              <w:pStyle w:val="TableText"/>
              <w:spacing w:line="0" w:lineRule="atLeast"/>
              <w:jc w:val="center"/>
              <w:rPr>
                <w:color w:val="auto"/>
                <w:sz w:val="21"/>
                <w:szCs w:val="21"/>
              </w:rPr>
            </w:pPr>
            <w:r w:rsidRPr="00F9522B">
              <w:rPr>
                <w:rFonts w:eastAsia="宋体"/>
                <w:color w:val="auto"/>
                <w:spacing w:val="6"/>
                <w:sz w:val="21"/>
                <w:szCs w:val="21"/>
              </w:rPr>
              <w:t>东北颌须鮈</w:t>
            </w:r>
          </w:p>
          <w:p w:rsidR="00535282" w:rsidRPr="00F9522B" w:rsidRDefault="00535282">
            <w:pPr>
              <w:kinsoku w:val="0"/>
              <w:autoSpaceDE w:val="0"/>
              <w:autoSpaceDN w:val="0"/>
              <w:adjustRightInd w:val="0"/>
              <w:snapToGrid w:val="0"/>
              <w:spacing w:line="0" w:lineRule="atLeast"/>
              <w:jc w:val="center"/>
              <w:textAlignment w:val="baseline"/>
              <w:rPr>
                <w:szCs w:val="21"/>
              </w:rPr>
            </w:pPr>
            <w:r w:rsidRPr="00F9522B">
              <w:rPr>
                <w:i/>
                <w:iCs/>
                <w:spacing w:val="4"/>
                <w:position w:val="3"/>
                <w:szCs w:val="21"/>
              </w:rPr>
              <w:t>Gnathopogonmantschuricus</w:t>
            </w:r>
          </w:p>
        </w:tc>
        <w:tc>
          <w:tcPr>
            <w:tcW w:w="1061" w:type="dxa"/>
            <w:vAlign w:val="center"/>
          </w:tcPr>
          <w:p w:rsidR="00535282" w:rsidRPr="00F9522B" w:rsidRDefault="00535282">
            <w:pPr>
              <w:kinsoku w:val="0"/>
              <w:autoSpaceDE w:val="0"/>
              <w:autoSpaceDN w:val="0"/>
              <w:adjustRightInd w:val="0"/>
              <w:snapToGrid w:val="0"/>
              <w:spacing w:line="0" w:lineRule="atLeast"/>
              <w:jc w:val="center"/>
              <w:textAlignment w:val="baseline"/>
              <w:rPr>
                <w:szCs w:val="21"/>
              </w:rPr>
            </w:pPr>
          </w:p>
        </w:tc>
      </w:tr>
      <w:tr w:rsidR="00535282" w:rsidRPr="00F9522B" w:rsidTr="00535282">
        <w:trPr>
          <w:gridAfter w:val="1"/>
          <w:wAfter w:w="85" w:type="dxa"/>
          <w:trHeight w:val="345"/>
        </w:trPr>
        <w:tc>
          <w:tcPr>
            <w:tcW w:w="1850" w:type="dxa"/>
            <w:vMerge/>
            <w:vAlign w:val="center"/>
          </w:tcPr>
          <w:p w:rsidR="00535282" w:rsidRPr="00F9522B" w:rsidRDefault="00535282" w:rsidP="008C3325">
            <w:pPr>
              <w:kinsoku w:val="0"/>
              <w:autoSpaceDE w:val="0"/>
              <w:autoSpaceDN w:val="0"/>
              <w:adjustRightInd w:val="0"/>
              <w:snapToGrid w:val="0"/>
              <w:spacing w:line="0" w:lineRule="atLeast"/>
              <w:jc w:val="center"/>
              <w:textAlignment w:val="baseline"/>
              <w:rPr>
                <w:szCs w:val="21"/>
              </w:rPr>
            </w:pPr>
          </w:p>
        </w:tc>
        <w:tc>
          <w:tcPr>
            <w:tcW w:w="1984" w:type="dxa"/>
            <w:vMerge/>
            <w:vAlign w:val="center"/>
          </w:tcPr>
          <w:p w:rsidR="00535282" w:rsidRPr="00F9522B" w:rsidRDefault="00535282" w:rsidP="008C3325">
            <w:pPr>
              <w:pStyle w:val="TableText"/>
              <w:spacing w:line="0" w:lineRule="atLeast"/>
              <w:jc w:val="center"/>
              <w:rPr>
                <w:color w:val="auto"/>
                <w:sz w:val="21"/>
                <w:szCs w:val="21"/>
              </w:rPr>
            </w:pPr>
          </w:p>
        </w:tc>
        <w:tc>
          <w:tcPr>
            <w:tcW w:w="3544" w:type="dxa"/>
            <w:vAlign w:val="center"/>
          </w:tcPr>
          <w:p w:rsidR="00535282" w:rsidRPr="00F9522B" w:rsidRDefault="00535282">
            <w:pPr>
              <w:pStyle w:val="TableText"/>
              <w:spacing w:line="0" w:lineRule="atLeast"/>
              <w:jc w:val="center"/>
              <w:rPr>
                <w:color w:val="auto"/>
                <w:sz w:val="21"/>
                <w:szCs w:val="21"/>
              </w:rPr>
            </w:pPr>
            <w:r w:rsidRPr="00F9522B">
              <w:rPr>
                <w:rFonts w:eastAsia="宋体"/>
                <w:color w:val="auto"/>
                <w:spacing w:val="28"/>
                <w:position w:val="2"/>
                <w:sz w:val="21"/>
                <w:szCs w:val="21"/>
              </w:rPr>
              <w:t>兴凯银鮈</w:t>
            </w:r>
            <w:r w:rsidRPr="00F9522B">
              <w:rPr>
                <w:i/>
                <w:iCs/>
                <w:color w:val="auto"/>
                <w:position w:val="2"/>
                <w:sz w:val="21"/>
                <w:szCs w:val="21"/>
              </w:rPr>
              <w:t>Squaliduschankaensis</w:t>
            </w:r>
          </w:p>
        </w:tc>
        <w:tc>
          <w:tcPr>
            <w:tcW w:w="1061" w:type="dxa"/>
            <w:vAlign w:val="center"/>
          </w:tcPr>
          <w:p w:rsidR="00535282" w:rsidRPr="00F9522B" w:rsidRDefault="00535282">
            <w:pPr>
              <w:kinsoku w:val="0"/>
              <w:autoSpaceDE w:val="0"/>
              <w:autoSpaceDN w:val="0"/>
              <w:adjustRightInd w:val="0"/>
              <w:snapToGrid w:val="0"/>
              <w:spacing w:line="0" w:lineRule="atLeast"/>
              <w:jc w:val="center"/>
              <w:textAlignment w:val="baseline"/>
              <w:rPr>
                <w:szCs w:val="21"/>
              </w:rPr>
            </w:pPr>
            <w:r w:rsidRPr="00F9522B">
              <w:rPr>
                <w:spacing w:val="1"/>
                <w:szCs w:val="21"/>
              </w:rPr>
              <w:t>+</w:t>
            </w:r>
          </w:p>
        </w:tc>
      </w:tr>
      <w:tr w:rsidR="00535282" w:rsidRPr="00F9522B" w:rsidTr="00535282">
        <w:trPr>
          <w:gridAfter w:val="1"/>
          <w:wAfter w:w="85" w:type="dxa"/>
          <w:trHeight w:val="345"/>
        </w:trPr>
        <w:tc>
          <w:tcPr>
            <w:tcW w:w="1850" w:type="dxa"/>
            <w:vMerge/>
            <w:vAlign w:val="center"/>
          </w:tcPr>
          <w:p w:rsidR="00535282" w:rsidRPr="00F9522B" w:rsidRDefault="00535282" w:rsidP="008C3325">
            <w:pPr>
              <w:kinsoku w:val="0"/>
              <w:autoSpaceDE w:val="0"/>
              <w:autoSpaceDN w:val="0"/>
              <w:adjustRightInd w:val="0"/>
              <w:snapToGrid w:val="0"/>
              <w:spacing w:line="0" w:lineRule="atLeast"/>
              <w:jc w:val="center"/>
              <w:textAlignment w:val="baseline"/>
              <w:rPr>
                <w:szCs w:val="21"/>
              </w:rPr>
            </w:pPr>
          </w:p>
        </w:tc>
        <w:tc>
          <w:tcPr>
            <w:tcW w:w="1984" w:type="dxa"/>
            <w:vMerge/>
            <w:vAlign w:val="center"/>
          </w:tcPr>
          <w:p w:rsidR="00535282" w:rsidRPr="00F9522B" w:rsidRDefault="00535282" w:rsidP="008C3325">
            <w:pPr>
              <w:pStyle w:val="TableText"/>
              <w:spacing w:line="0" w:lineRule="atLeast"/>
              <w:jc w:val="center"/>
              <w:rPr>
                <w:color w:val="auto"/>
                <w:sz w:val="21"/>
                <w:szCs w:val="21"/>
              </w:rPr>
            </w:pPr>
          </w:p>
        </w:tc>
        <w:tc>
          <w:tcPr>
            <w:tcW w:w="3544" w:type="dxa"/>
            <w:vAlign w:val="center"/>
          </w:tcPr>
          <w:p w:rsidR="00535282" w:rsidRPr="00F9522B" w:rsidRDefault="00535282">
            <w:pPr>
              <w:pStyle w:val="TableText"/>
              <w:spacing w:line="0" w:lineRule="atLeast"/>
              <w:jc w:val="center"/>
              <w:rPr>
                <w:color w:val="auto"/>
                <w:sz w:val="21"/>
                <w:szCs w:val="21"/>
              </w:rPr>
            </w:pPr>
            <w:r w:rsidRPr="00F9522B">
              <w:rPr>
                <w:rFonts w:eastAsia="宋体"/>
                <w:color w:val="auto"/>
                <w:spacing w:val="41"/>
                <w:position w:val="2"/>
                <w:sz w:val="21"/>
                <w:szCs w:val="21"/>
              </w:rPr>
              <w:t>银鮈</w:t>
            </w:r>
            <w:r w:rsidRPr="00F9522B">
              <w:rPr>
                <w:i/>
                <w:iCs/>
                <w:color w:val="auto"/>
                <w:position w:val="2"/>
                <w:sz w:val="21"/>
                <w:szCs w:val="21"/>
              </w:rPr>
              <w:t>Squalidusargentatus</w:t>
            </w:r>
          </w:p>
        </w:tc>
        <w:tc>
          <w:tcPr>
            <w:tcW w:w="1061" w:type="dxa"/>
            <w:vAlign w:val="center"/>
          </w:tcPr>
          <w:p w:rsidR="00535282" w:rsidRPr="00F9522B" w:rsidRDefault="00535282">
            <w:pPr>
              <w:kinsoku w:val="0"/>
              <w:autoSpaceDE w:val="0"/>
              <w:autoSpaceDN w:val="0"/>
              <w:adjustRightInd w:val="0"/>
              <w:snapToGrid w:val="0"/>
              <w:spacing w:line="0" w:lineRule="atLeast"/>
              <w:jc w:val="center"/>
              <w:textAlignment w:val="baseline"/>
              <w:rPr>
                <w:szCs w:val="21"/>
              </w:rPr>
            </w:pPr>
            <w:r w:rsidRPr="00F9522B">
              <w:rPr>
                <w:spacing w:val="1"/>
                <w:szCs w:val="21"/>
              </w:rPr>
              <w:t>+</w:t>
            </w:r>
          </w:p>
        </w:tc>
      </w:tr>
      <w:tr w:rsidR="00535282" w:rsidRPr="00F9522B" w:rsidTr="00535282">
        <w:trPr>
          <w:gridAfter w:val="1"/>
          <w:wAfter w:w="85" w:type="dxa"/>
          <w:trHeight w:val="345"/>
        </w:trPr>
        <w:tc>
          <w:tcPr>
            <w:tcW w:w="1850" w:type="dxa"/>
            <w:vMerge/>
            <w:vAlign w:val="center"/>
          </w:tcPr>
          <w:p w:rsidR="00535282" w:rsidRPr="00F9522B" w:rsidRDefault="00535282" w:rsidP="008C3325">
            <w:pPr>
              <w:kinsoku w:val="0"/>
              <w:autoSpaceDE w:val="0"/>
              <w:autoSpaceDN w:val="0"/>
              <w:adjustRightInd w:val="0"/>
              <w:snapToGrid w:val="0"/>
              <w:spacing w:line="0" w:lineRule="atLeast"/>
              <w:jc w:val="center"/>
              <w:textAlignment w:val="baseline"/>
              <w:rPr>
                <w:szCs w:val="21"/>
              </w:rPr>
            </w:pPr>
          </w:p>
        </w:tc>
        <w:tc>
          <w:tcPr>
            <w:tcW w:w="1984" w:type="dxa"/>
            <w:vMerge/>
            <w:vAlign w:val="center"/>
          </w:tcPr>
          <w:p w:rsidR="00535282" w:rsidRPr="00F9522B" w:rsidRDefault="00535282" w:rsidP="008C3325">
            <w:pPr>
              <w:pStyle w:val="TableText"/>
              <w:spacing w:line="0" w:lineRule="atLeast"/>
              <w:jc w:val="center"/>
              <w:rPr>
                <w:color w:val="auto"/>
                <w:sz w:val="21"/>
                <w:szCs w:val="21"/>
              </w:rPr>
            </w:pPr>
          </w:p>
        </w:tc>
        <w:tc>
          <w:tcPr>
            <w:tcW w:w="3544" w:type="dxa"/>
            <w:vAlign w:val="center"/>
          </w:tcPr>
          <w:p w:rsidR="00535282" w:rsidRPr="00F9522B" w:rsidRDefault="00535282">
            <w:pPr>
              <w:pStyle w:val="TableText"/>
              <w:spacing w:line="0" w:lineRule="atLeast"/>
              <w:jc w:val="center"/>
              <w:rPr>
                <w:color w:val="auto"/>
                <w:sz w:val="21"/>
                <w:szCs w:val="21"/>
              </w:rPr>
            </w:pPr>
            <w:r w:rsidRPr="00F9522B">
              <w:rPr>
                <w:rFonts w:eastAsia="宋体"/>
                <w:color w:val="auto"/>
                <w:spacing w:val="35"/>
                <w:position w:val="1"/>
                <w:sz w:val="21"/>
                <w:szCs w:val="21"/>
              </w:rPr>
              <w:t>棒花鱼</w:t>
            </w:r>
            <w:r w:rsidRPr="00F9522B">
              <w:rPr>
                <w:i/>
                <w:iCs/>
                <w:color w:val="auto"/>
                <w:position w:val="1"/>
                <w:sz w:val="21"/>
                <w:szCs w:val="21"/>
              </w:rPr>
              <w:t>Abbotrtinarivularis</w:t>
            </w:r>
          </w:p>
        </w:tc>
        <w:tc>
          <w:tcPr>
            <w:tcW w:w="1061" w:type="dxa"/>
            <w:vAlign w:val="center"/>
          </w:tcPr>
          <w:p w:rsidR="00535282" w:rsidRPr="00F9522B" w:rsidRDefault="00535282">
            <w:pPr>
              <w:kinsoku w:val="0"/>
              <w:autoSpaceDE w:val="0"/>
              <w:autoSpaceDN w:val="0"/>
              <w:adjustRightInd w:val="0"/>
              <w:snapToGrid w:val="0"/>
              <w:spacing w:line="0" w:lineRule="atLeast"/>
              <w:jc w:val="center"/>
              <w:textAlignment w:val="baseline"/>
              <w:rPr>
                <w:szCs w:val="21"/>
              </w:rPr>
            </w:pPr>
            <w:r w:rsidRPr="00F9522B">
              <w:rPr>
                <w:spacing w:val="1"/>
                <w:szCs w:val="21"/>
              </w:rPr>
              <w:t>+</w:t>
            </w:r>
          </w:p>
        </w:tc>
      </w:tr>
      <w:tr w:rsidR="00535282" w:rsidRPr="00F9522B" w:rsidTr="00535282">
        <w:trPr>
          <w:gridAfter w:val="1"/>
          <w:wAfter w:w="85" w:type="dxa"/>
          <w:trHeight w:val="345"/>
        </w:trPr>
        <w:tc>
          <w:tcPr>
            <w:tcW w:w="1850" w:type="dxa"/>
            <w:vMerge/>
            <w:vAlign w:val="center"/>
          </w:tcPr>
          <w:p w:rsidR="00535282" w:rsidRPr="00F9522B" w:rsidRDefault="00535282">
            <w:pPr>
              <w:spacing w:line="0" w:lineRule="atLeast"/>
              <w:jc w:val="center"/>
              <w:rPr>
                <w:szCs w:val="21"/>
              </w:rPr>
            </w:pPr>
          </w:p>
        </w:tc>
        <w:tc>
          <w:tcPr>
            <w:tcW w:w="1984" w:type="dxa"/>
            <w:vMerge/>
            <w:vAlign w:val="center"/>
          </w:tcPr>
          <w:p w:rsidR="00535282" w:rsidRPr="00F9522B" w:rsidRDefault="00535282">
            <w:pPr>
              <w:spacing w:line="0" w:lineRule="atLeast"/>
              <w:jc w:val="center"/>
              <w:rPr>
                <w:szCs w:val="21"/>
              </w:rPr>
            </w:pPr>
          </w:p>
        </w:tc>
        <w:tc>
          <w:tcPr>
            <w:tcW w:w="3544" w:type="dxa"/>
            <w:vAlign w:val="center"/>
          </w:tcPr>
          <w:p w:rsidR="00535282" w:rsidRPr="00F9522B" w:rsidRDefault="00535282">
            <w:pPr>
              <w:pStyle w:val="TableText"/>
              <w:spacing w:line="0" w:lineRule="atLeast"/>
              <w:jc w:val="center"/>
              <w:rPr>
                <w:color w:val="auto"/>
                <w:sz w:val="21"/>
                <w:szCs w:val="21"/>
              </w:rPr>
            </w:pPr>
            <w:r w:rsidRPr="00F9522B">
              <w:rPr>
                <w:rFonts w:eastAsia="宋体"/>
                <w:color w:val="auto"/>
                <w:spacing w:val="23"/>
                <w:position w:val="2"/>
                <w:sz w:val="21"/>
                <w:szCs w:val="21"/>
              </w:rPr>
              <w:t>突吻鮈</w:t>
            </w:r>
            <w:r w:rsidRPr="00F9522B">
              <w:rPr>
                <w:i/>
                <w:iCs/>
                <w:color w:val="auto"/>
                <w:position w:val="2"/>
                <w:sz w:val="21"/>
                <w:szCs w:val="21"/>
              </w:rPr>
              <w:t>Rostrogobioamurensis</w:t>
            </w:r>
          </w:p>
        </w:tc>
        <w:tc>
          <w:tcPr>
            <w:tcW w:w="1061" w:type="dxa"/>
            <w:vAlign w:val="center"/>
          </w:tcPr>
          <w:p w:rsidR="00535282" w:rsidRPr="00F9522B" w:rsidRDefault="00535282">
            <w:pPr>
              <w:kinsoku w:val="0"/>
              <w:autoSpaceDE w:val="0"/>
              <w:autoSpaceDN w:val="0"/>
              <w:adjustRightInd w:val="0"/>
              <w:snapToGrid w:val="0"/>
              <w:spacing w:line="0" w:lineRule="atLeast"/>
              <w:jc w:val="center"/>
              <w:textAlignment w:val="baseline"/>
              <w:rPr>
                <w:szCs w:val="21"/>
              </w:rPr>
            </w:pPr>
            <w:r w:rsidRPr="00F9522B">
              <w:rPr>
                <w:spacing w:val="1"/>
                <w:szCs w:val="21"/>
              </w:rPr>
              <w:t>+</w:t>
            </w:r>
          </w:p>
        </w:tc>
      </w:tr>
      <w:tr w:rsidR="00535282" w:rsidRPr="00F9522B" w:rsidTr="00535282">
        <w:trPr>
          <w:gridAfter w:val="1"/>
          <w:wAfter w:w="85" w:type="dxa"/>
          <w:trHeight w:val="345"/>
        </w:trPr>
        <w:tc>
          <w:tcPr>
            <w:tcW w:w="1850" w:type="dxa"/>
            <w:vMerge/>
            <w:vAlign w:val="center"/>
          </w:tcPr>
          <w:p w:rsidR="00535282" w:rsidRPr="00F9522B" w:rsidRDefault="00535282">
            <w:pPr>
              <w:spacing w:line="0" w:lineRule="atLeast"/>
              <w:jc w:val="center"/>
              <w:rPr>
                <w:szCs w:val="21"/>
              </w:rPr>
            </w:pPr>
          </w:p>
        </w:tc>
        <w:tc>
          <w:tcPr>
            <w:tcW w:w="1984" w:type="dxa"/>
            <w:vMerge/>
            <w:vAlign w:val="center"/>
          </w:tcPr>
          <w:p w:rsidR="00535282" w:rsidRPr="00F9522B" w:rsidRDefault="00535282">
            <w:pPr>
              <w:spacing w:line="0" w:lineRule="atLeast"/>
              <w:jc w:val="center"/>
              <w:rPr>
                <w:szCs w:val="21"/>
              </w:rPr>
            </w:pPr>
          </w:p>
        </w:tc>
        <w:tc>
          <w:tcPr>
            <w:tcW w:w="3544" w:type="dxa"/>
            <w:vAlign w:val="center"/>
          </w:tcPr>
          <w:p w:rsidR="00535282" w:rsidRPr="00F9522B" w:rsidRDefault="00535282">
            <w:pPr>
              <w:pStyle w:val="TableText"/>
              <w:spacing w:line="0" w:lineRule="atLeast"/>
              <w:jc w:val="center"/>
              <w:rPr>
                <w:color w:val="auto"/>
                <w:sz w:val="21"/>
                <w:szCs w:val="21"/>
              </w:rPr>
            </w:pPr>
            <w:r w:rsidRPr="00F9522B">
              <w:rPr>
                <w:rFonts w:eastAsia="宋体"/>
                <w:color w:val="auto"/>
                <w:spacing w:val="25"/>
                <w:position w:val="2"/>
                <w:sz w:val="21"/>
                <w:szCs w:val="21"/>
              </w:rPr>
              <w:t>蛇鮈</w:t>
            </w:r>
            <w:r w:rsidRPr="00F9522B">
              <w:rPr>
                <w:i/>
                <w:iCs/>
                <w:color w:val="auto"/>
                <w:position w:val="2"/>
                <w:sz w:val="21"/>
                <w:szCs w:val="21"/>
              </w:rPr>
              <w:t>Saurogobiodabryi</w:t>
            </w:r>
          </w:p>
        </w:tc>
        <w:tc>
          <w:tcPr>
            <w:tcW w:w="1061" w:type="dxa"/>
            <w:vAlign w:val="center"/>
          </w:tcPr>
          <w:p w:rsidR="00535282" w:rsidRPr="00F9522B" w:rsidRDefault="00535282">
            <w:pPr>
              <w:kinsoku w:val="0"/>
              <w:autoSpaceDE w:val="0"/>
              <w:autoSpaceDN w:val="0"/>
              <w:adjustRightInd w:val="0"/>
              <w:snapToGrid w:val="0"/>
              <w:spacing w:line="0" w:lineRule="atLeast"/>
              <w:jc w:val="center"/>
              <w:textAlignment w:val="baseline"/>
              <w:rPr>
                <w:szCs w:val="21"/>
              </w:rPr>
            </w:pPr>
            <w:r w:rsidRPr="00F9522B">
              <w:rPr>
                <w:spacing w:val="1"/>
                <w:szCs w:val="21"/>
              </w:rPr>
              <w:t>+</w:t>
            </w:r>
          </w:p>
        </w:tc>
      </w:tr>
      <w:tr w:rsidR="00535282" w:rsidRPr="00F9522B" w:rsidTr="00535282">
        <w:trPr>
          <w:gridAfter w:val="1"/>
          <w:wAfter w:w="85" w:type="dxa"/>
          <w:trHeight w:val="345"/>
        </w:trPr>
        <w:tc>
          <w:tcPr>
            <w:tcW w:w="1850" w:type="dxa"/>
            <w:vMerge/>
            <w:vAlign w:val="center"/>
          </w:tcPr>
          <w:p w:rsidR="00535282" w:rsidRPr="00F9522B" w:rsidRDefault="00535282">
            <w:pPr>
              <w:spacing w:line="0" w:lineRule="atLeast"/>
              <w:jc w:val="center"/>
              <w:rPr>
                <w:szCs w:val="21"/>
              </w:rPr>
            </w:pPr>
          </w:p>
        </w:tc>
        <w:tc>
          <w:tcPr>
            <w:tcW w:w="1984" w:type="dxa"/>
            <w:vMerge/>
            <w:vAlign w:val="center"/>
          </w:tcPr>
          <w:p w:rsidR="00535282" w:rsidRPr="00F9522B" w:rsidRDefault="00535282">
            <w:pPr>
              <w:spacing w:line="0" w:lineRule="atLeast"/>
              <w:jc w:val="center"/>
              <w:rPr>
                <w:szCs w:val="21"/>
              </w:rPr>
            </w:pPr>
          </w:p>
        </w:tc>
        <w:tc>
          <w:tcPr>
            <w:tcW w:w="3544" w:type="dxa"/>
            <w:vAlign w:val="center"/>
          </w:tcPr>
          <w:p w:rsidR="00535282" w:rsidRPr="00F9522B" w:rsidRDefault="00535282">
            <w:pPr>
              <w:pStyle w:val="TableText"/>
              <w:spacing w:line="0" w:lineRule="atLeast"/>
              <w:jc w:val="center"/>
              <w:rPr>
                <w:color w:val="auto"/>
                <w:sz w:val="21"/>
                <w:szCs w:val="21"/>
              </w:rPr>
            </w:pPr>
            <w:r w:rsidRPr="00F9522B">
              <w:rPr>
                <w:rFonts w:eastAsia="宋体"/>
                <w:color w:val="auto"/>
                <w:spacing w:val="19"/>
                <w:position w:val="2"/>
                <w:sz w:val="21"/>
                <w:szCs w:val="21"/>
              </w:rPr>
              <w:t>鲤</w:t>
            </w:r>
            <w:r w:rsidRPr="00F9522B">
              <w:rPr>
                <w:i/>
                <w:iCs/>
                <w:color w:val="auto"/>
                <w:position w:val="2"/>
                <w:sz w:val="21"/>
                <w:szCs w:val="21"/>
              </w:rPr>
              <w:t>Cyprinus</w:t>
            </w:r>
            <w:r w:rsidRPr="00F9522B">
              <w:rPr>
                <w:i/>
                <w:iCs/>
                <w:color w:val="auto"/>
                <w:spacing w:val="19"/>
                <w:position w:val="2"/>
                <w:sz w:val="21"/>
                <w:szCs w:val="21"/>
              </w:rPr>
              <w:t>(</w:t>
            </w:r>
            <w:r w:rsidRPr="00F9522B">
              <w:rPr>
                <w:i/>
                <w:iCs/>
                <w:color w:val="auto"/>
                <w:position w:val="2"/>
                <w:sz w:val="21"/>
                <w:szCs w:val="21"/>
              </w:rPr>
              <w:t>Cyprinus</w:t>
            </w:r>
            <w:r w:rsidRPr="00F9522B">
              <w:rPr>
                <w:i/>
                <w:iCs/>
                <w:color w:val="auto"/>
                <w:spacing w:val="19"/>
                <w:position w:val="2"/>
                <w:sz w:val="21"/>
                <w:szCs w:val="21"/>
              </w:rPr>
              <w:t xml:space="preserve">) </w:t>
            </w:r>
            <w:r w:rsidRPr="00F9522B">
              <w:rPr>
                <w:i/>
                <w:iCs/>
                <w:color w:val="auto"/>
                <w:position w:val="2"/>
                <w:sz w:val="21"/>
                <w:szCs w:val="21"/>
              </w:rPr>
              <w:t>carpio</w:t>
            </w:r>
          </w:p>
        </w:tc>
        <w:tc>
          <w:tcPr>
            <w:tcW w:w="1061" w:type="dxa"/>
            <w:vAlign w:val="center"/>
          </w:tcPr>
          <w:p w:rsidR="00535282" w:rsidRPr="00F9522B" w:rsidRDefault="00535282">
            <w:pPr>
              <w:kinsoku w:val="0"/>
              <w:autoSpaceDE w:val="0"/>
              <w:autoSpaceDN w:val="0"/>
              <w:adjustRightInd w:val="0"/>
              <w:snapToGrid w:val="0"/>
              <w:spacing w:line="0" w:lineRule="atLeast"/>
              <w:jc w:val="center"/>
              <w:textAlignment w:val="baseline"/>
              <w:rPr>
                <w:szCs w:val="21"/>
              </w:rPr>
            </w:pPr>
            <w:r w:rsidRPr="00F9522B">
              <w:rPr>
                <w:spacing w:val="1"/>
                <w:szCs w:val="21"/>
              </w:rPr>
              <w:t>+</w:t>
            </w:r>
          </w:p>
        </w:tc>
      </w:tr>
      <w:tr w:rsidR="00535282" w:rsidRPr="00F9522B" w:rsidTr="00535282">
        <w:trPr>
          <w:gridAfter w:val="1"/>
          <w:wAfter w:w="85" w:type="dxa"/>
          <w:trHeight w:val="345"/>
        </w:trPr>
        <w:tc>
          <w:tcPr>
            <w:tcW w:w="1850" w:type="dxa"/>
            <w:vMerge/>
            <w:vAlign w:val="center"/>
          </w:tcPr>
          <w:p w:rsidR="00535282" w:rsidRPr="00F9522B" w:rsidRDefault="00535282">
            <w:pPr>
              <w:spacing w:line="0" w:lineRule="atLeast"/>
              <w:jc w:val="center"/>
              <w:rPr>
                <w:szCs w:val="21"/>
              </w:rPr>
            </w:pPr>
          </w:p>
        </w:tc>
        <w:tc>
          <w:tcPr>
            <w:tcW w:w="1984" w:type="dxa"/>
            <w:vMerge/>
            <w:vAlign w:val="center"/>
          </w:tcPr>
          <w:p w:rsidR="00535282" w:rsidRPr="00F9522B" w:rsidRDefault="00535282">
            <w:pPr>
              <w:spacing w:line="0" w:lineRule="atLeast"/>
              <w:jc w:val="center"/>
              <w:rPr>
                <w:szCs w:val="21"/>
              </w:rPr>
            </w:pPr>
          </w:p>
        </w:tc>
        <w:tc>
          <w:tcPr>
            <w:tcW w:w="3544" w:type="dxa"/>
            <w:vAlign w:val="center"/>
          </w:tcPr>
          <w:p w:rsidR="00535282" w:rsidRPr="00F9522B" w:rsidRDefault="00535282">
            <w:pPr>
              <w:pStyle w:val="TableText"/>
              <w:spacing w:line="0" w:lineRule="atLeast"/>
              <w:jc w:val="center"/>
              <w:rPr>
                <w:color w:val="auto"/>
                <w:sz w:val="21"/>
                <w:szCs w:val="21"/>
              </w:rPr>
            </w:pPr>
            <w:r w:rsidRPr="00F9522B">
              <w:rPr>
                <w:rFonts w:eastAsia="宋体"/>
                <w:color w:val="auto"/>
                <w:spacing w:val="15"/>
                <w:position w:val="1"/>
                <w:sz w:val="21"/>
                <w:szCs w:val="21"/>
              </w:rPr>
              <w:t>黑龙江鰟鲏</w:t>
            </w:r>
            <w:r w:rsidRPr="00F9522B">
              <w:rPr>
                <w:i/>
                <w:iCs/>
                <w:color w:val="auto"/>
                <w:position w:val="1"/>
                <w:sz w:val="21"/>
                <w:szCs w:val="21"/>
              </w:rPr>
              <w:t>Rhoeusseniceus</w:t>
            </w:r>
          </w:p>
        </w:tc>
        <w:tc>
          <w:tcPr>
            <w:tcW w:w="1061" w:type="dxa"/>
            <w:vAlign w:val="center"/>
          </w:tcPr>
          <w:p w:rsidR="00535282" w:rsidRPr="00F9522B" w:rsidRDefault="00535282">
            <w:pPr>
              <w:kinsoku w:val="0"/>
              <w:autoSpaceDE w:val="0"/>
              <w:autoSpaceDN w:val="0"/>
              <w:adjustRightInd w:val="0"/>
              <w:snapToGrid w:val="0"/>
              <w:spacing w:line="0" w:lineRule="atLeast"/>
              <w:jc w:val="center"/>
              <w:textAlignment w:val="baseline"/>
              <w:rPr>
                <w:szCs w:val="21"/>
              </w:rPr>
            </w:pPr>
            <w:r w:rsidRPr="00F9522B">
              <w:rPr>
                <w:spacing w:val="1"/>
                <w:szCs w:val="21"/>
              </w:rPr>
              <w:t>+</w:t>
            </w:r>
          </w:p>
        </w:tc>
      </w:tr>
      <w:tr w:rsidR="00535282" w:rsidRPr="00F9522B" w:rsidTr="00535282">
        <w:trPr>
          <w:gridAfter w:val="1"/>
          <w:wAfter w:w="85" w:type="dxa"/>
          <w:trHeight w:val="345"/>
        </w:trPr>
        <w:tc>
          <w:tcPr>
            <w:tcW w:w="1850" w:type="dxa"/>
            <w:vMerge/>
            <w:vAlign w:val="center"/>
          </w:tcPr>
          <w:p w:rsidR="00535282" w:rsidRPr="00F9522B" w:rsidRDefault="00535282">
            <w:pPr>
              <w:spacing w:line="0" w:lineRule="atLeast"/>
              <w:jc w:val="center"/>
              <w:rPr>
                <w:szCs w:val="21"/>
              </w:rPr>
            </w:pPr>
          </w:p>
        </w:tc>
        <w:tc>
          <w:tcPr>
            <w:tcW w:w="1984" w:type="dxa"/>
            <w:vMerge/>
            <w:vAlign w:val="center"/>
          </w:tcPr>
          <w:p w:rsidR="00535282" w:rsidRPr="00F9522B" w:rsidRDefault="00535282">
            <w:pPr>
              <w:spacing w:line="0" w:lineRule="atLeast"/>
              <w:jc w:val="center"/>
              <w:rPr>
                <w:szCs w:val="21"/>
              </w:rPr>
            </w:pPr>
          </w:p>
        </w:tc>
        <w:tc>
          <w:tcPr>
            <w:tcW w:w="3544" w:type="dxa"/>
            <w:vAlign w:val="center"/>
          </w:tcPr>
          <w:p w:rsidR="00535282" w:rsidRPr="00F9522B" w:rsidRDefault="00535282">
            <w:pPr>
              <w:pStyle w:val="TableText"/>
              <w:spacing w:line="0" w:lineRule="atLeast"/>
              <w:jc w:val="center"/>
              <w:rPr>
                <w:color w:val="auto"/>
                <w:sz w:val="21"/>
                <w:szCs w:val="21"/>
              </w:rPr>
            </w:pPr>
            <w:r w:rsidRPr="00F9522B">
              <w:rPr>
                <w:rFonts w:eastAsia="宋体"/>
                <w:color w:val="auto"/>
                <w:spacing w:val="18"/>
                <w:position w:val="2"/>
                <w:sz w:val="21"/>
                <w:szCs w:val="21"/>
              </w:rPr>
              <w:t>彩石鰟鮍</w:t>
            </w:r>
            <w:r w:rsidRPr="00F9522B">
              <w:rPr>
                <w:i/>
                <w:iCs/>
                <w:color w:val="auto"/>
                <w:position w:val="2"/>
                <w:sz w:val="21"/>
                <w:szCs w:val="21"/>
              </w:rPr>
              <w:t>Rhodeuslighti</w:t>
            </w:r>
          </w:p>
        </w:tc>
        <w:tc>
          <w:tcPr>
            <w:tcW w:w="1061" w:type="dxa"/>
            <w:vAlign w:val="center"/>
          </w:tcPr>
          <w:p w:rsidR="00535282" w:rsidRPr="00F9522B" w:rsidRDefault="00535282">
            <w:pPr>
              <w:kinsoku w:val="0"/>
              <w:autoSpaceDE w:val="0"/>
              <w:autoSpaceDN w:val="0"/>
              <w:adjustRightInd w:val="0"/>
              <w:snapToGrid w:val="0"/>
              <w:spacing w:line="0" w:lineRule="atLeast"/>
              <w:jc w:val="center"/>
              <w:textAlignment w:val="baseline"/>
              <w:rPr>
                <w:szCs w:val="21"/>
              </w:rPr>
            </w:pPr>
            <w:r w:rsidRPr="00F9522B">
              <w:rPr>
                <w:spacing w:val="1"/>
                <w:szCs w:val="21"/>
              </w:rPr>
              <w:t>+</w:t>
            </w:r>
          </w:p>
        </w:tc>
      </w:tr>
      <w:tr w:rsidR="00535282" w:rsidRPr="00F9522B" w:rsidTr="00535282">
        <w:trPr>
          <w:gridAfter w:val="1"/>
          <w:wAfter w:w="85" w:type="dxa"/>
          <w:trHeight w:val="345"/>
        </w:trPr>
        <w:tc>
          <w:tcPr>
            <w:tcW w:w="1850" w:type="dxa"/>
            <w:vMerge/>
            <w:vAlign w:val="center"/>
          </w:tcPr>
          <w:p w:rsidR="00535282" w:rsidRPr="00F9522B" w:rsidRDefault="00535282">
            <w:pPr>
              <w:spacing w:line="0" w:lineRule="atLeast"/>
              <w:jc w:val="center"/>
              <w:rPr>
                <w:szCs w:val="21"/>
              </w:rPr>
            </w:pPr>
          </w:p>
        </w:tc>
        <w:tc>
          <w:tcPr>
            <w:tcW w:w="1984" w:type="dxa"/>
            <w:vMerge/>
            <w:vAlign w:val="center"/>
          </w:tcPr>
          <w:p w:rsidR="00535282" w:rsidRPr="00F9522B" w:rsidRDefault="00535282">
            <w:pPr>
              <w:spacing w:line="0" w:lineRule="atLeast"/>
              <w:jc w:val="center"/>
              <w:rPr>
                <w:szCs w:val="21"/>
              </w:rPr>
            </w:pPr>
          </w:p>
        </w:tc>
        <w:tc>
          <w:tcPr>
            <w:tcW w:w="3544" w:type="dxa"/>
            <w:vAlign w:val="center"/>
          </w:tcPr>
          <w:p w:rsidR="00535282" w:rsidRPr="00F9522B" w:rsidRDefault="00535282">
            <w:pPr>
              <w:pStyle w:val="TableText"/>
              <w:spacing w:line="0" w:lineRule="atLeast"/>
              <w:jc w:val="center"/>
              <w:rPr>
                <w:color w:val="auto"/>
                <w:sz w:val="21"/>
                <w:szCs w:val="21"/>
              </w:rPr>
            </w:pPr>
            <w:r w:rsidRPr="00F9522B">
              <w:rPr>
                <w:rFonts w:eastAsia="宋体"/>
                <w:color w:val="auto"/>
                <w:spacing w:val="31"/>
                <w:position w:val="2"/>
                <w:sz w:val="21"/>
                <w:szCs w:val="21"/>
              </w:rPr>
              <w:t>方氏鳑鲏</w:t>
            </w:r>
            <w:r w:rsidRPr="00F9522B">
              <w:rPr>
                <w:i/>
                <w:iCs/>
                <w:color w:val="auto"/>
                <w:position w:val="2"/>
                <w:sz w:val="21"/>
                <w:szCs w:val="21"/>
              </w:rPr>
              <w:t>Rhodeusfangi</w:t>
            </w:r>
          </w:p>
        </w:tc>
        <w:tc>
          <w:tcPr>
            <w:tcW w:w="1061" w:type="dxa"/>
            <w:vAlign w:val="center"/>
          </w:tcPr>
          <w:p w:rsidR="00535282" w:rsidRPr="00F9522B" w:rsidRDefault="00535282">
            <w:pPr>
              <w:kinsoku w:val="0"/>
              <w:autoSpaceDE w:val="0"/>
              <w:autoSpaceDN w:val="0"/>
              <w:adjustRightInd w:val="0"/>
              <w:snapToGrid w:val="0"/>
              <w:spacing w:line="0" w:lineRule="atLeast"/>
              <w:jc w:val="center"/>
              <w:textAlignment w:val="baseline"/>
              <w:rPr>
                <w:szCs w:val="21"/>
              </w:rPr>
            </w:pPr>
            <w:r w:rsidRPr="00F9522B">
              <w:rPr>
                <w:spacing w:val="1"/>
                <w:szCs w:val="21"/>
              </w:rPr>
              <w:t>+</w:t>
            </w:r>
          </w:p>
        </w:tc>
      </w:tr>
      <w:tr w:rsidR="00535282" w:rsidRPr="00F9522B" w:rsidTr="00535282">
        <w:trPr>
          <w:gridAfter w:val="1"/>
          <w:wAfter w:w="85" w:type="dxa"/>
          <w:trHeight w:val="345"/>
        </w:trPr>
        <w:tc>
          <w:tcPr>
            <w:tcW w:w="1850" w:type="dxa"/>
            <w:vMerge/>
            <w:vAlign w:val="center"/>
          </w:tcPr>
          <w:p w:rsidR="00535282" w:rsidRPr="00F9522B" w:rsidRDefault="00535282">
            <w:pPr>
              <w:spacing w:line="0" w:lineRule="atLeast"/>
              <w:jc w:val="center"/>
              <w:rPr>
                <w:szCs w:val="21"/>
              </w:rPr>
            </w:pPr>
          </w:p>
        </w:tc>
        <w:tc>
          <w:tcPr>
            <w:tcW w:w="1984" w:type="dxa"/>
            <w:vMerge/>
            <w:vAlign w:val="center"/>
          </w:tcPr>
          <w:p w:rsidR="00535282" w:rsidRPr="00F9522B" w:rsidRDefault="00535282">
            <w:pPr>
              <w:spacing w:line="0" w:lineRule="atLeast"/>
              <w:jc w:val="center"/>
              <w:rPr>
                <w:szCs w:val="21"/>
              </w:rPr>
            </w:pPr>
          </w:p>
        </w:tc>
        <w:tc>
          <w:tcPr>
            <w:tcW w:w="3544" w:type="dxa"/>
            <w:vAlign w:val="center"/>
          </w:tcPr>
          <w:p w:rsidR="00535282" w:rsidRPr="00F9522B" w:rsidRDefault="00535282">
            <w:pPr>
              <w:pStyle w:val="TableText"/>
              <w:spacing w:line="0" w:lineRule="atLeast"/>
              <w:jc w:val="center"/>
              <w:rPr>
                <w:color w:val="auto"/>
                <w:sz w:val="21"/>
                <w:szCs w:val="21"/>
              </w:rPr>
            </w:pPr>
            <w:r w:rsidRPr="00F9522B">
              <w:rPr>
                <w:rFonts w:eastAsia="宋体"/>
                <w:color w:val="auto"/>
                <w:spacing w:val="33"/>
                <w:position w:val="2"/>
                <w:sz w:val="21"/>
                <w:szCs w:val="21"/>
              </w:rPr>
              <w:t>潘氏鳅鮀</w:t>
            </w:r>
            <w:r w:rsidRPr="00F9522B">
              <w:rPr>
                <w:i/>
                <w:iCs/>
                <w:color w:val="auto"/>
                <w:position w:val="2"/>
                <w:sz w:val="21"/>
                <w:szCs w:val="21"/>
              </w:rPr>
              <w:t>Gobiobotiapappenheimi</w:t>
            </w:r>
          </w:p>
        </w:tc>
        <w:tc>
          <w:tcPr>
            <w:tcW w:w="1061" w:type="dxa"/>
            <w:vAlign w:val="center"/>
          </w:tcPr>
          <w:p w:rsidR="00535282" w:rsidRPr="00F9522B" w:rsidRDefault="00535282">
            <w:pPr>
              <w:kinsoku w:val="0"/>
              <w:autoSpaceDE w:val="0"/>
              <w:autoSpaceDN w:val="0"/>
              <w:adjustRightInd w:val="0"/>
              <w:snapToGrid w:val="0"/>
              <w:spacing w:line="0" w:lineRule="atLeast"/>
              <w:jc w:val="center"/>
              <w:textAlignment w:val="baseline"/>
              <w:rPr>
                <w:szCs w:val="21"/>
              </w:rPr>
            </w:pPr>
          </w:p>
        </w:tc>
      </w:tr>
      <w:tr w:rsidR="00535282" w:rsidRPr="00F9522B" w:rsidTr="00535282">
        <w:trPr>
          <w:gridAfter w:val="1"/>
          <w:wAfter w:w="85" w:type="dxa"/>
          <w:trHeight w:val="345"/>
        </w:trPr>
        <w:tc>
          <w:tcPr>
            <w:tcW w:w="1850" w:type="dxa"/>
            <w:vMerge/>
            <w:vAlign w:val="center"/>
          </w:tcPr>
          <w:p w:rsidR="00535282" w:rsidRPr="00F9522B" w:rsidRDefault="00535282">
            <w:pPr>
              <w:spacing w:line="0" w:lineRule="atLeast"/>
              <w:jc w:val="center"/>
              <w:rPr>
                <w:szCs w:val="21"/>
              </w:rPr>
            </w:pPr>
          </w:p>
        </w:tc>
        <w:tc>
          <w:tcPr>
            <w:tcW w:w="1984" w:type="dxa"/>
            <w:vMerge/>
            <w:vAlign w:val="center"/>
          </w:tcPr>
          <w:p w:rsidR="00535282" w:rsidRPr="00F9522B" w:rsidRDefault="00535282">
            <w:pPr>
              <w:spacing w:line="0" w:lineRule="atLeast"/>
              <w:jc w:val="center"/>
              <w:rPr>
                <w:szCs w:val="21"/>
              </w:rPr>
            </w:pPr>
          </w:p>
        </w:tc>
        <w:tc>
          <w:tcPr>
            <w:tcW w:w="3544" w:type="dxa"/>
            <w:vAlign w:val="center"/>
          </w:tcPr>
          <w:p w:rsidR="00535282" w:rsidRPr="00F9522B" w:rsidRDefault="00535282">
            <w:pPr>
              <w:pStyle w:val="TableText"/>
              <w:spacing w:line="0" w:lineRule="atLeast"/>
              <w:jc w:val="center"/>
              <w:rPr>
                <w:color w:val="auto"/>
                <w:sz w:val="21"/>
                <w:szCs w:val="21"/>
              </w:rPr>
            </w:pPr>
            <w:r w:rsidRPr="00F9522B">
              <w:rPr>
                <w:rFonts w:eastAsia="宋体"/>
                <w:color w:val="auto"/>
                <w:spacing w:val="46"/>
                <w:position w:val="2"/>
                <w:sz w:val="21"/>
                <w:szCs w:val="21"/>
              </w:rPr>
              <w:t>银鲫</w:t>
            </w:r>
            <w:r w:rsidRPr="00F9522B">
              <w:rPr>
                <w:i/>
                <w:iCs/>
                <w:color w:val="auto"/>
                <w:position w:val="2"/>
                <w:sz w:val="21"/>
                <w:szCs w:val="21"/>
              </w:rPr>
              <w:t>Carassiusauratusgibelio</w:t>
            </w:r>
          </w:p>
        </w:tc>
        <w:tc>
          <w:tcPr>
            <w:tcW w:w="1061" w:type="dxa"/>
            <w:vAlign w:val="center"/>
          </w:tcPr>
          <w:p w:rsidR="00535282" w:rsidRPr="00F9522B" w:rsidRDefault="00535282">
            <w:pPr>
              <w:kinsoku w:val="0"/>
              <w:autoSpaceDE w:val="0"/>
              <w:autoSpaceDN w:val="0"/>
              <w:adjustRightInd w:val="0"/>
              <w:snapToGrid w:val="0"/>
              <w:spacing w:line="0" w:lineRule="atLeast"/>
              <w:jc w:val="center"/>
              <w:textAlignment w:val="baseline"/>
              <w:rPr>
                <w:szCs w:val="21"/>
              </w:rPr>
            </w:pPr>
            <w:r w:rsidRPr="00F9522B">
              <w:rPr>
                <w:spacing w:val="1"/>
                <w:szCs w:val="21"/>
              </w:rPr>
              <w:t>+</w:t>
            </w:r>
          </w:p>
        </w:tc>
      </w:tr>
      <w:tr w:rsidR="00535282" w:rsidRPr="00F9522B" w:rsidTr="00535282">
        <w:trPr>
          <w:gridAfter w:val="1"/>
          <w:wAfter w:w="85" w:type="dxa"/>
          <w:trHeight w:val="346"/>
        </w:trPr>
        <w:tc>
          <w:tcPr>
            <w:tcW w:w="1850" w:type="dxa"/>
            <w:vMerge/>
            <w:vAlign w:val="center"/>
          </w:tcPr>
          <w:p w:rsidR="00535282" w:rsidRPr="00F9522B" w:rsidRDefault="00535282">
            <w:pPr>
              <w:spacing w:line="0" w:lineRule="atLeast"/>
              <w:jc w:val="center"/>
              <w:rPr>
                <w:szCs w:val="21"/>
              </w:rPr>
            </w:pPr>
          </w:p>
        </w:tc>
        <w:tc>
          <w:tcPr>
            <w:tcW w:w="1984" w:type="dxa"/>
            <w:vMerge/>
            <w:vAlign w:val="center"/>
          </w:tcPr>
          <w:p w:rsidR="00535282" w:rsidRPr="00F9522B" w:rsidRDefault="00535282">
            <w:pPr>
              <w:spacing w:line="0" w:lineRule="atLeast"/>
              <w:jc w:val="center"/>
              <w:rPr>
                <w:szCs w:val="21"/>
              </w:rPr>
            </w:pPr>
          </w:p>
        </w:tc>
        <w:tc>
          <w:tcPr>
            <w:tcW w:w="3544" w:type="dxa"/>
            <w:vAlign w:val="center"/>
          </w:tcPr>
          <w:p w:rsidR="00535282" w:rsidRPr="00F9522B" w:rsidRDefault="00535282">
            <w:pPr>
              <w:pStyle w:val="TableText"/>
              <w:spacing w:line="0" w:lineRule="atLeast"/>
              <w:jc w:val="center"/>
              <w:rPr>
                <w:color w:val="auto"/>
                <w:sz w:val="21"/>
                <w:szCs w:val="21"/>
              </w:rPr>
            </w:pPr>
            <w:r w:rsidRPr="00F9522B">
              <w:rPr>
                <w:rFonts w:eastAsia="宋体"/>
                <w:color w:val="auto"/>
                <w:spacing w:val="4"/>
                <w:position w:val="2"/>
                <w:sz w:val="21"/>
                <w:szCs w:val="21"/>
              </w:rPr>
              <w:t>鲢</w:t>
            </w:r>
            <w:r w:rsidRPr="00F9522B">
              <w:rPr>
                <w:i/>
                <w:iCs/>
                <w:color w:val="auto"/>
                <w:spacing w:val="4"/>
                <w:position w:val="2"/>
                <w:sz w:val="21"/>
                <w:szCs w:val="21"/>
              </w:rPr>
              <w:t>Hypophthalmichthtsmolitrix</w:t>
            </w:r>
          </w:p>
        </w:tc>
        <w:tc>
          <w:tcPr>
            <w:tcW w:w="1061" w:type="dxa"/>
            <w:vAlign w:val="center"/>
          </w:tcPr>
          <w:p w:rsidR="00535282" w:rsidRPr="00F9522B" w:rsidRDefault="00535282">
            <w:pPr>
              <w:kinsoku w:val="0"/>
              <w:autoSpaceDE w:val="0"/>
              <w:autoSpaceDN w:val="0"/>
              <w:adjustRightInd w:val="0"/>
              <w:snapToGrid w:val="0"/>
              <w:spacing w:line="0" w:lineRule="atLeast"/>
              <w:jc w:val="center"/>
              <w:textAlignment w:val="baseline"/>
              <w:rPr>
                <w:szCs w:val="21"/>
              </w:rPr>
            </w:pPr>
            <w:r w:rsidRPr="00F9522B">
              <w:rPr>
                <w:spacing w:val="1"/>
                <w:szCs w:val="21"/>
              </w:rPr>
              <w:t>+</w:t>
            </w:r>
          </w:p>
        </w:tc>
      </w:tr>
      <w:tr w:rsidR="00535282" w:rsidRPr="00F9522B" w:rsidTr="00535282">
        <w:trPr>
          <w:gridAfter w:val="1"/>
          <w:wAfter w:w="85" w:type="dxa"/>
          <w:trHeight w:val="345"/>
        </w:trPr>
        <w:tc>
          <w:tcPr>
            <w:tcW w:w="1850" w:type="dxa"/>
            <w:vMerge/>
            <w:vAlign w:val="center"/>
          </w:tcPr>
          <w:p w:rsidR="00535282" w:rsidRPr="00F9522B" w:rsidRDefault="00535282">
            <w:pPr>
              <w:spacing w:line="0" w:lineRule="atLeast"/>
              <w:jc w:val="center"/>
              <w:rPr>
                <w:szCs w:val="21"/>
              </w:rPr>
            </w:pPr>
          </w:p>
        </w:tc>
        <w:tc>
          <w:tcPr>
            <w:tcW w:w="1984" w:type="dxa"/>
            <w:vMerge/>
            <w:vAlign w:val="center"/>
          </w:tcPr>
          <w:p w:rsidR="00535282" w:rsidRPr="00F9522B" w:rsidRDefault="00535282">
            <w:pPr>
              <w:spacing w:line="0" w:lineRule="atLeast"/>
              <w:jc w:val="center"/>
              <w:rPr>
                <w:szCs w:val="21"/>
              </w:rPr>
            </w:pPr>
          </w:p>
        </w:tc>
        <w:tc>
          <w:tcPr>
            <w:tcW w:w="3544" w:type="dxa"/>
            <w:vAlign w:val="center"/>
          </w:tcPr>
          <w:p w:rsidR="00535282" w:rsidRPr="00F9522B" w:rsidRDefault="00535282">
            <w:pPr>
              <w:pStyle w:val="TableText"/>
              <w:spacing w:line="0" w:lineRule="atLeast"/>
              <w:jc w:val="center"/>
              <w:rPr>
                <w:color w:val="auto"/>
                <w:sz w:val="21"/>
                <w:szCs w:val="21"/>
              </w:rPr>
            </w:pPr>
            <w:r w:rsidRPr="00F9522B">
              <w:rPr>
                <w:rFonts w:eastAsia="宋体"/>
                <w:color w:val="auto"/>
                <w:spacing w:val="4"/>
                <w:position w:val="2"/>
                <w:sz w:val="21"/>
                <w:szCs w:val="21"/>
              </w:rPr>
              <w:t>鳙</w:t>
            </w:r>
            <w:r w:rsidRPr="00F9522B">
              <w:rPr>
                <w:i/>
                <w:iCs/>
                <w:color w:val="auto"/>
                <w:spacing w:val="4"/>
                <w:position w:val="2"/>
                <w:sz w:val="21"/>
                <w:szCs w:val="21"/>
              </w:rPr>
              <w:t>Aristichthys nobilis</w:t>
            </w:r>
          </w:p>
        </w:tc>
        <w:tc>
          <w:tcPr>
            <w:tcW w:w="1061" w:type="dxa"/>
            <w:vAlign w:val="center"/>
          </w:tcPr>
          <w:p w:rsidR="00535282" w:rsidRPr="00F9522B" w:rsidRDefault="00535282">
            <w:pPr>
              <w:kinsoku w:val="0"/>
              <w:autoSpaceDE w:val="0"/>
              <w:autoSpaceDN w:val="0"/>
              <w:adjustRightInd w:val="0"/>
              <w:snapToGrid w:val="0"/>
              <w:spacing w:line="0" w:lineRule="atLeast"/>
              <w:jc w:val="center"/>
              <w:textAlignment w:val="baseline"/>
              <w:rPr>
                <w:szCs w:val="21"/>
              </w:rPr>
            </w:pPr>
            <w:r w:rsidRPr="00F9522B">
              <w:rPr>
                <w:position w:val="-2"/>
                <w:szCs w:val="21"/>
              </w:rPr>
              <w:t>-</w:t>
            </w:r>
          </w:p>
        </w:tc>
      </w:tr>
      <w:tr w:rsidR="00535282" w:rsidRPr="00F9522B" w:rsidTr="00535282">
        <w:trPr>
          <w:gridAfter w:val="1"/>
          <w:wAfter w:w="85" w:type="dxa"/>
          <w:trHeight w:val="345"/>
        </w:trPr>
        <w:tc>
          <w:tcPr>
            <w:tcW w:w="1850" w:type="dxa"/>
            <w:vMerge/>
            <w:vAlign w:val="center"/>
          </w:tcPr>
          <w:p w:rsidR="00535282" w:rsidRPr="00F9522B" w:rsidRDefault="00535282">
            <w:pPr>
              <w:spacing w:line="0" w:lineRule="atLeast"/>
              <w:jc w:val="center"/>
              <w:rPr>
                <w:szCs w:val="21"/>
              </w:rPr>
            </w:pPr>
          </w:p>
        </w:tc>
        <w:tc>
          <w:tcPr>
            <w:tcW w:w="1984" w:type="dxa"/>
            <w:vMerge/>
            <w:vAlign w:val="center"/>
          </w:tcPr>
          <w:p w:rsidR="00535282" w:rsidRPr="00F9522B" w:rsidRDefault="00535282">
            <w:pPr>
              <w:spacing w:line="0" w:lineRule="atLeast"/>
              <w:jc w:val="center"/>
              <w:rPr>
                <w:szCs w:val="21"/>
              </w:rPr>
            </w:pPr>
          </w:p>
        </w:tc>
        <w:tc>
          <w:tcPr>
            <w:tcW w:w="3544" w:type="dxa"/>
            <w:vAlign w:val="center"/>
          </w:tcPr>
          <w:p w:rsidR="00535282" w:rsidRPr="00F9522B" w:rsidRDefault="00535282">
            <w:pPr>
              <w:pStyle w:val="TableText"/>
              <w:spacing w:line="0" w:lineRule="atLeast"/>
              <w:jc w:val="center"/>
              <w:rPr>
                <w:rFonts w:eastAsia="宋体"/>
                <w:color w:val="auto"/>
                <w:spacing w:val="4"/>
                <w:position w:val="2"/>
                <w:sz w:val="21"/>
                <w:szCs w:val="21"/>
              </w:rPr>
            </w:pPr>
            <w:r w:rsidRPr="00F9522B">
              <w:rPr>
                <w:rFonts w:eastAsia="宋体"/>
                <w:color w:val="auto"/>
                <w:sz w:val="21"/>
                <w:szCs w:val="21"/>
              </w:rPr>
              <w:t>凌源鮈</w:t>
            </w:r>
            <w:r w:rsidRPr="00F9522B">
              <w:rPr>
                <w:rFonts w:eastAsia="宋体"/>
                <w:iCs/>
                <w:color w:val="auto"/>
                <w:sz w:val="21"/>
                <w:szCs w:val="21"/>
              </w:rPr>
              <w:t>Gobio lingyuanensis</w:t>
            </w:r>
            <w:r w:rsidRPr="00F9522B">
              <w:rPr>
                <w:rFonts w:eastAsia="宋体"/>
                <w:color w:val="auto"/>
                <w:sz w:val="21"/>
                <w:szCs w:val="21"/>
              </w:rPr>
              <w:t xml:space="preserve"> Mori</w:t>
            </w:r>
          </w:p>
        </w:tc>
        <w:tc>
          <w:tcPr>
            <w:tcW w:w="1061" w:type="dxa"/>
            <w:vAlign w:val="center"/>
          </w:tcPr>
          <w:p w:rsidR="00535282" w:rsidRPr="00F9522B" w:rsidRDefault="00535282">
            <w:pPr>
              <w:kinsoku w:val="0"/>
              <w:autoSpaceDE w:val="0"/>
              <w:autoSpaceDN w:val="0"/>
              <w:adjustRightInd w:val="0"/>
              <w:snapToGrid w:val="0"/>
              <w:spacing w:line="0" w:lineRule="atLeast"/>
              <w:jc w:val="center"/>
              <w:textAlignment w:val="baseline"/>
              <w:rPr>
                <w:position w:val="-2"/>
                <w:szCs w:val="21"/>
              </w:rPr>
            </w:pPr>
          </w:p>
        </w:tc>
      </w:tr>
      <w:tr w:rsidR="00535282" w:rsidRPr="00F9522B" w:rsidTr="00535282">
        <w:trPr>
          <w:gridAfter w:val="1"/>
          <w:wAfter w:w="85" w:type="dxa"/>
          <w:trHeight w:val="346"/>
        </w:trPr>
        <w:tc>
          <w:tcPr>
            <w:tcW w:w="1850" w:type="dxa"/>
            <w:vMerge/>
            <w:vAlign w:val="center"/>
          </w:tcPr>
          <w:p w:rsidR="00535282" w:rsidRPr="00F9522B" w:rsidRDefault="00535282">
            <w:pPr>
              <w:spacing w:line="0" w:lineRule="atLeast"/>
              <w:jc w:val="center"/>
              <w:rPr>
                <w:szCs w:val="21"/>
              </w:rPr>
            </w:pPr>
          </w:p>
        </w:tc>
        <w:tc>
          <w:tcPr>
            <w:tcW w:w="1984" w:type="dxa"/>
            <w:vMerge w:val="restart"/>
            <w:vAlign w:val="center"/>
          </w:tcPr>
          <w:p w:rsidR="00535282" w:rsidRPr="00F9522B" w:rsidRDefault="00535282">
            <w:pPr>
              <w:pStyle w:val="TableText"/>
              <w:spacing w:line="0" w:lineRule="atLeast"/>
              <w:jc w:val="center"/>
              <w:rPr>
                <w:color w:val="auto"/>
                <w:sz w:val="21"/>
                <w:szCs w:val="21"/>
              </w:rPr>
            </w:pPr>
            <w:r w:rsidRPr="00F9522B">
              <w:rPr>
                <w:rFonts w:eastAsia="宋体"/>
                <w:color w:val="auto"/>
                <w:spacing w:val="20"/>
                <w:sz w:val="21"/>
                <w:szCs w:val="21"/>
              </w:rPr>
              <w:t>鳅科</w:t>
            </w:r>
            <w:r w:rsidRPr="00F9522B">
              <w:rPr>
                <w:color w:val="auto"/>
                <w:sz w:val="21"/>
                <w:szCs w:val="21"/>
              </w:rPr>
              <w:t>Cobitidae</w:t>
            </w:r>
          </w:p>
        </w:tc>
        <w:tc>
          <w:tcPr>
            <w:tcW w:w="3544" w:type="dxa"/>
            <w:vAlign w:val="center"/>
          </w:tcPr>
          <w:p w:rsidR="00535282" w:rsidRPr="00F9522B" w:rsidRDefault="00535282">
            <w:pPr>
              <w:pStyle w:val="TableText"/>
              <w:spacing w:line="0" w:lineRule="atLeast"/>
              <w:jc w:val="center"/>
              <w:rPr>
                <w:color w:val="auto"/>
                <w:sz w:val="21"/>
                <w:szCs w:val="21"/>
              </w:rPr>
            </w:pPr>
            <w:r w:rsidRPr="00F9522B">
              <w:rPr>
                <w:rFonts w:eastAsia="宋体"/>
                <w:color w:val="auto"/>
                <w:spacing w:val="23"/>
                <w:position w:val="2"/>
                <w:sz w:val="21"/>
                <w:szCs w:val="21"/>
              </w:rPr>
              <w:t>花斑副沙鳅</w:t>
            </w:r>
            <w:r w:rsidRPr="00F9522B">
              <w:rPr>
                <w:i/>
                <w:iCs/>
                <w:color w:val="auto"/>
                <w:position w:val="2"/>
                <w:sz w:val="21"/>
                <w:szCs w:val="21"/>
              </w:rPr>
              <w:t>Parabotiafasciata</w:t>
            </w:r>
          </w:p>
        </w:tc>
        <w:tc>
          <w:tcPr>
            <w:tcW w:w="1061" w:type="dxa"/>
            <w:vAlign w:val="center"/>
          </w:tcPr>
          <w:p w:rsidR="00535282" w:rsidRPr="00F9522B" w:rsidRDefault="00535282">
            <w:pPr>
              <w:kinsoku w:val="0"/>
              <w:autoSpaceDE w:val="0"/>
              <w:autoSpaceDN w:val="0"/>
              <w:adjustRightInd w:val="0"/>
              <w:snapToGrid w:val="0"/>
              <w:spacing w:line="0" w:lineRule="atLeast"/>
              <w:jc w:val="center"/>
              <w:textAlignment w:val="baseline"/>
              <w:rPr>
                <w:szCs w:val="21"/>
              </w:rPr>
            </w:pPr>
          </w:p>
        </w:tc>
      </w:tr>
      <w:tr w:rsidR="00535282" w:rsidRPr="00F9522B" w:rsidTr="00535282">
        <w:trPr>
          <w:gridAfter w:val="1"/>
          <w:wAfter w:w="85" w:type="dxa"/>
          <w:trHeight w:val="346"/>
        </w:trPr>
        <w:tc>
          <w:tcPr>
            <w:tcW w:w="1850" w:type="dxa"/>
            <w:vMerge/>
            <w:vAlign w:val="center"/>
          </w:tcPr>
          <w:p w:rsidR="00535282" w:rsidRPr="00F9522B" w:rsidRDefault="00535282">
            <w:pPr>
              <w:spacing w:line="0" w:lineRule="atLeast"/>
              <w:jc w:val="center"/>
              <w:rPr>
                <w:szCs w:val="21"/>
              </w:rPr>
            </w:pPr>
          </w:p>
        </w:tc>
        <w:tc>
          <w:tcPr>
            <w:tcW w:w="1984" w:type="dxa"/>
            <w:vMerge/>
            <w:vAlign w:val="center"/>
          </w:tcPr>
          <w:p w:rsidR="00535282" w:rsidRPr="00F9522B" w:rsidRDefault="00535282">
            <w:pPr>
              <w:spacing w:line="0" w:lineRule="atLeast"/>
              <w:jc w:val="center"/>
              <w:rPr>
                <w:szCs w:val="21"/>
              </w:rPr>
            </w:pPr>
          </w:p>
        </w:tc>
        <w:tc>
          <w:tcPr>
            <w:tcW w:w="3544" w:type="dxa"/>
            <w:vAlign w:val="center"/>
          </w:tcPr>
          <w:p w:rsidR="00535282" w:rsidRPr="00F9522B" w:rsidRDefault="00535282">
            <w:pPr>
              <w:pStyle w:val="TableText"/>
              <w:spacing w:line="0" w:lineRule="atLeast"/>
              <w:jc w:val="center"/>
              <w:rPr>
                <w:color w:val="auto"/>
                <w:sz w:val="21"/>
                <w:szCs w:val="21"/>
              </w:rPr>
            </w:pPr>
            <w:r w:rsidRPr="00F9522B">
              <w:rPr>
                <w:rFonts w:eastAsia="宋体"/>
                <w:color w:val="auto"/>
                <w:spacing w:val="14"/>
                <w:position w:val="1"/>
                <w:sz w:val="21"/>
                <w:szCs w:val="21"/>
              </w:rPr>
              <w:t>黑龙江花鳅</w:t>
            </w:r>
            <w:r w:rsidRPr="00F9522B">
              <w:rPr>
                <w:i/>
                <w:iCs/>
                <w:color w:val="auto"/>
                <w:position w:val="1"/>
                <w:sz w:val="21"/>
                <w:szCs w:val="21"/>
              </w:rPr>
              <w:t>Cobitislutheri</w:t>
            </w:r>
          </w:p>
        </w:tc>
        <w:tc>
          <w:tcPr>
            <w:tcW w:w="1061" w:type="dxa"/>
            <w:vAlign w:val="center"/>
          </w:tcPr>
          <w:p w:rsidR="00535282" w:rsidRPr="00F9522B" w:rsidRDefault="00535282">
            <w:pPr>
              <w:kinsoku w:val="0"/>
              <w:autoSpaceDE w:val="0"/>
              <w:autoSpaceDN w:val="0"/>
              <w:adjustRightInd w:val="0"/>
              <w:snapToGrid w:val="0"/>
              <w:spacing w:line="0" w:lineRule="atLeast"/>
              <w:jc w:val="center"/>
              <w:textAlignment w:val="baseline"/>
              <w:rPr>
                <w:szCs w:val="21"/>
              </w:rPr>
            </w:pPr>
            <w:r w:rsidRPr="00F9522B">
              <w:rPr>
                <w:spacing w:val="1"/>
                <w:szCs w:val="21"/>
              </w:rPr>
              <w:t>+</w:t>
            </w:r>
          </w:p>
        </w:tc>
      </w:tr>
      <w:tr w:rsidR="00535282" w:rsidRPr="00F9522B" w:rsidTr="00535282">
        <w:trPr>
          <w:gridAfter w:val="1"/>
          <w:wAfter w:w="85" w:type="dxa"/>
          <w:trHeight w:val="346"/>
        </w:trPr>
        <w:tc>
          <w:tcPr>
            <w:tcW w:w="1850" w:type="dxa"/>
            <w:vMerge/>
            <w:vAlign w:val="center"/>
          </w:tcPr>
          <w:p w:rsidR="00535282" w:rsidRPr="00F9522B" w:rsidRDefault="00535282">
            <w:pPr>
              <w:spacing w:line="0" w:lineRule="atLeast"/>
              <w:jc w:val="center"/>
              <w:rPr>
                <w:szCs w:val="21"/>
              </w:rPr>
            </w:pPr>
          </w:p>
        </w:tc>
        <w:tc>
          <w:tcPr>
            <w:tcW w:w="1984" w:type="dxa"/>
            <w:vMerge/>
            <w:vAlign w:val="center"/>
          </w:tcPr>
          <w:p w:rsidR="00535282" w:rsidRPr="00F9522B" w:rsidRDefault="00535282">
            <w:pPr>
              <w:spacing w:line="0" w:lineRule="atLeast"/>
              <w:jc w:val="center"/>
              <w:rPr>
                <w:szCs w:val="21"/>
              </w:rPr>
            </w:pPr>
          </w:p>
        </w:tc>
        <w:tc>
          <w:tcPr>
            <w:tcW w:w="3544" w:type="dxa"/>
            <w:vAlign w:val="center"/>
          </w:tcPr>
          <w:p w:rsidR="00535282" w:rsidRPr="00F9522B" w:rsidRDefault="00535282">
            <w:pPr>
              <w:pStyle w:val="TableText"/>
              <w:spacing w:line="0" w:lineRule="atLeast"/>
              <w:jc w:val="center"/>
              <w:rPr>
                <w:color w:val="auto"/>
                <w:sz w:val="21"/>
                <w:szCs w:val="21"/>
              </w:rPr>
            </w:pPr>
            <w:r w:rsidRPr="00F9522B">
              <w:rPr>
                <w:rFonts w:eastAsia="宋体"/>
                <w:color w:val="auto"/>
                <w:spacing w:val="22"/>
                <w:position w:val="2"/>
                <w:sz w:val="21"/>
                <w:szCs w:val="21"/>
              </w:rPr>
              <w:t>黑龙江泥鳅</w:t>
            </w:r>
            <w:r w:rsidRPr="00F9522B">
              <w:rPr>
                <w:i/>
                <w:iCs/>
                <w:color w:val="auto"/>
                <w:position w:val="2"/>
                <w:sz w:val="21"/>
                <w:szCs w:val="21"/>
              </w:rPr>
              <w:t>Misgurnusmoloity</w:t>
            </w:r>
          </w:p>
        </w:tc>
        <w:tc>
          <w:tcPr>
            <w:tcW w:w="1061" w:type="dxa"/>
            <w:vAlign w:val="center"/>
          </w:tcPr>
          <w:p w:rsidR="00535282" w:rsidRPr="00F9522B" w:rsidRDefault="00535282">
            <w:pPr>
              <w:kinsoku w:val="0"/>
              <w:autoSpaceDE w:val="0"/>
              <w:autoSpaceDN w:val="0"/>
              <w:adjustRightInd w:val="0"/>
              <w:snapToGrid w:val="0"/>
              <w:spacing w:line="0" w:lineRule="atLeast"/>
              <w:jc w:val="center"/>
              <w:textAlignment w:val="baseline"/>
              <w:rPr>
                <w:szCs w:val="21"/>
              </w:rPr>
            </w:pPr>
            <w:r w:rsidRPr="00F9522B">
              <w:rPr>
                <w:spacing w:val="1"/>
                <w:szCs w:val="21"/>
              </w:rPr>
              <w:t>+</w:t>
            </w:r>
          </w:p>
        </w:tc>
      </w:tr>
      <w:tr w:rsidR="00535282" w:rsidRPr="00F9522B" w:rsidTr="00535282">
        <w:trPr>
          <w:gridAfter w:val="1"/>
          <w:wAfter w:w="85" w:type="dxa"/>
          <w:trHeight w:val="346"/>
        </w:trPr>
        <w:tc>
          <w:tcPr>
            <w:tcW w:w="1850" w:type="dxa"/>
            <w:vMerge/>
            <w:vAlign w:val="center"/>
          </w:tcPr>
          <w:p w:rsidR="00535282" w:rsidRPr="00F9522B" w:rsidRDefault="00535282">
            <w:pPr>
              <w:spacing w:line="0" w:lineRule="atLeast"/>
              <w:jc w:val="center"/>
              <w:rPr>
                <w:szCs w:val="21"/>
              </w:rPr>
            </w:pPr>
          </w:p>
        </w:tc>
        <w:tc>
          <w:tcPr>
            <w:tcW w:w="1984" w:type="dxa"/>
            <w:vMerge/>
            <w:vAlign w:val="center"/>
          </w:tcPr>
          <w:p w:rsidR="00535282" w:rsidRPr="00F9522B" w:rsidRDefault="00535282">
            <w:pPr>
              <w:spacing w:line="0" w:lineRule="atLeast"/>
              <w:jc w:val="center"/>
              <w:rPr>
                <w:szCs w:val="21"/>
              </w:rPr>
            </w:pPr>
          </w:p>
        </w:tc>
        <w:tc>
          <w:tcPr>
            <w:tcW w:w="3544" w:type="dxa"/>
            <w:vAlign w:val="center"/>
          </w:tcPr>
          <w:p w:rsidR="00535282" w:rsidRPr="00F9522B" w:rsidRDefault="00535282">
            <w:pPr>
              <w:pStyle w:val="TableText"/>
              <w:spacing w:line="0" w:lineRule="atLeast"/>
              <w:jc w:val="center"/>
              <w:rPr>
                <w:color w:val="auto"/>
                <w:sz w:val="21"/>
                <w:szCs w:val="21"/>
              </w:rPr>
            </w:pPr>
            <w:r w:rsidRPr="00F9522B">
              <w:rPr>
                <w:rFonts w:eastAsia="宋体"/>
                <w:color w:val="auto"/>
                <w:spacing w:val="28"/>
                <w:position w:val="2"/>
                <w:sz w:val="21"/>
                <w:szCs w:val="21"/>
              </w:rPr>
              <w:t>北方泥鳅</w:t>
            </w:r>
            <w:r w:rsidRPr="00F9522B">
              <w:rPr>
                <w:i/>
                <w:iCs/>
                <w:color w:val="auto"/>
                <w:position w:val="2"/>
                <w:sz w:val="21"/>
                <w:szCs w:val="21"/>
              </w:rPr>
              <w:t>Misgurnusbipartitus</w:t>
            </w:r>
          </w:p>
        </w:tc>
        <w:tc>
          <w:tcPr>
            <w:tcW w:w="1061" w:type="dxa"/>
            <w:vAlign w:val="center"/>
          </w:tcPr>
          <w:p w:rsidR="00535282" w:rsidRPr="00F9522B" w:rsidRDefault="00535282">
            <w:pPr>
              <w:kinsoku w:val="0"/>
              <w:autoSpaceDE w:val="0"/>
              <w:autoSpaceDN w:val="0"/>
              <w:adjustRightInd w:val="0"/>
              <w:snapToGrid w:val="0"/>
              <w:spacing w:line="0" w:lineRule="atLeast"/>
              <w:jc w:val="center"/>
              <w:textAlignment w:val="baseline"/>
              <w:rPr>
                <w:szCs w:val="21"/>
              </w:rPr>
            </w:pPr>
            <w:r w:rsidRPr="00F9522B">
              <w:rPr>
                <w:spacing w:val="1"/>
                <w:szCs w:val="21"/>
              </w:rPr>
              <w:t>+</w:t>
            </w:r>
          </w:p>
        </w:tc>
      </w:tr>
      <w:tr w:rsidR="0017526A" w:rsidRPr="00F9522B" w:rsidTr="00535282">
        <w:trPr>
          <w:gridAfter w:val="1"/>
          <w:wAfter w:w="85" w:type="dxa"/>
          <w:trHeight w:val="346"/>
        </w:trPr>
        <w:tc>
          <w:tcPr>
            <w:tcW w:w="1850" w:type="dxa"/>
            <w:vMerge w:val="restart"/>
            <w:vAlign w:val="center"/>
          </w:tcPr>
          <w:p w:rsidR="0017526A" w:rsidRPr="00F9522B" w:rsidRDefault="0017526A">
            <w:pPr>
              <w:pStyle w:val="TableText"/>
              <w:spacing w:line="0" w:lineRule="atLeast"/>
              <w:jc w:val="center"/>
              <w:rPr>
                <w:color w:val="auto"/>
                <w:sz w:val="21"/>
                <w:szCs w:val="21"/>
              </w:rPr>
            </w:pPr>
            <w:r w:rsidRPr="00F9522B">
              <w:rPr>
                <w:rFonts w:eastAsia="宋体"/>
                <w:color w:val="auto"/>
                <w:spacing w:val="18"/>
                <w:sz w:val="21"/>
                <w:szCs w:val="21"/>
              </w:rPr>
              <w:t>鲇形目</w:t>
            </w:r>
            <w:r w:rsidRPr="00F9522B">
              <w:rPr>
                <w:color w:val="auto"/>
                <w:sz w:val="21"/>
                <w:szCs w:val="21"/>
              </w:rPr>
              <w:t>Siluriformes</w:t>
            </w:r>
          </w:p>
        </w:tc>
        <w:tc>
          <w:tcPr>
            <w:tcW w:w="1984" w:type="dxa"/>
            <w:vMerge w:val="restart"/>
            <w:vAlign w:val="center"/>
          </w:tcPr>
          <w:p w:rsidR="0017526A" w:rsidRPr="00F9522B" w:rsidRDefault="0017526A">
            <w:pPr>
              <w:pStyle w:val="TableText"/>
              <w:spacing w:line="0" w:lineRule="atLeast"/>
              <w:jc w:val="center"/>
              <w:rPr>
                <w:color w:val="auto"/>
                <w:sz w:val="21"/>
                <w:szCs w:val="21"/>
              </w:rPr>
            </w:pPr>
            <w:r w:rsidRPr="00F9522B">
              <w:rPr>
                <w:rFonts w:eastAsia="宋体"/>
                <w:color w:val="auto"/>
                <w:spacing w:val="15"/>
                <w:sz w:val="21"/>
                <w:szCs w:val="21"/>
              </w:rPr>
              <w:t>鲇科</w:t>
            </w:r>
            <w:r w:rsidRPr="00F9522B">
              <w:rPr>
                <w:color w:val="auto"/>
                <w:sz w:val="21"/>
                <w:szCs w:val="21"/>
              </w:rPr>
              <w:t>Siluridae</w:t>
            </w:r>
          </w:p>
        </w:tc>
        <w:tc>
          <w:tcPr>
            <w:tcW w:w="3544" w:type="dxa"/>
            <w:vAlign w:val="center"/>
          </w:tcPr>
          <w:p w:rsidR="0017526A" w:rsidRPr="00F9522B" w:rsidRDefault="0017526A">
            <w:pPr>
              <w:pStyle w:val="TableText"/>
              <w:spacing w:line="0" w:lineRule="atLeast"/>
              <w:jc w:val="center"/>
              <w:rPr>
                <w:color w:val="auto"/>
                <w:sz w:val="21"/>
                <w:szCs w:val="21"/>
              </w:rPr>
            </w:pPr>
            <w:r w:rsidRPr="00F9522B">
              <w:rPr>
                <w:rFonts w:eastAsia="宋体"/>
                <w:color w:val="auto"/>
                <w:spacing w:val="52"/>
                <w:position w:val="1"/>
                <w:sz w:val="21"/>
                <w:szCs w:val="21"/>
              </w:rPr>
              <w:t>鲇</w:t>
            </w:r>
            <w:r w:rsidRPr="00F9522B">
              <w:rPr>
                <w:i/>
                <w:iCs/>
                <w:color w:val="auto"/>
                <w:position w:val="1"/>
                <w:sz w:val="21"/>
                <w:szCs w:val="21"/>
              </w:rPr>
              <w:t>Silurusasotus</w:t>
            </w:r>
          </w:p>
        </w:tc>
        <w:tc>
          <w:tcPr>
            <w:tcW w:w="1061" w:type="dxa"/>
            <w:vAlign w:val="center"/>
          </w:tcPr>
          <w:p w:rsidR="0017526A" w:rsidRPr="00F9522B" w:rsidRDefault="0017526A">
            <w:pPr>
              <w:kinsoku w:val="0"/>
              <w:autoSpaceDE w:val="0"/>
              <w:autoSpaceDN w:val="0"/>
              <w:adjustRightInd w:val="0"/>
              <w:snapToGrid w:val="0"/>
              <w:spacing w:line="0" w:lineRule="atLeast"/>
              <w:jc w:val="center"/>
              <w:textAlignment w:val="baseline"/>
              <w:rPr>
                <w:szCs w:val="21"/>
              </w:rPr>
            </w:pPr>
            <w:r w:rsidRPr="00F9522B">
              <w:rPr>
                <w:spacing w:val="1"/>
                <w:szCs w:val="21"/>
              </w:rPr>
              <w:t>+</w:t>
            </w:r>
          </w:p>
        </w:tc>
      </w:tr>
      <w:tr w:rsidR="0017526A" w:rsidRPr="00F9522B" w:rsidTr="00535282">
        <w:trPr>
          <w:gridAfter w:val="1"/>
          <w:wAfter w:w="85" w:type="dxa"/>
          <w:trHeight w:val="346"/>
        </w:trPr>
        <w:tc>
          <w:tcPr>
            <w:tcW w:w="1850" w:type="dxa"/>
            <w:vMerge/>
            <w:vAlign w:val="center"/>
          </w:tcPr>
          <w:p w:rsidR="0017526A" w:rsidRPr="00F9522B" w:rsidRDefault="0017526A">
            <w:pPr>
              <w:spacing w:line="0" w:lineRule="atLeast"/>
              <w:jc w:val="center"/>
              <w:rPr>
                <w:szCs w:val="21"/>
              </w:rPr>
            </w:pPr>
          </w:p>
        </w:tc>
        <w:tc>
          <w:tcPr>
            <w:tcW w:w="1984" w:type="dxa"/>
            <w:vMerge/>
            <w:vAlign w:val="center"/>
          </w:tcPr>
          <w:p w:rsidR="0017526A" w:rsidRPr="00F9522B" w:rsidRDefault="0017526A">
            <w:pPr>
              <w:spacing w:line="0" w:lineRule="atLeast"/>
              <w:jc w:val="center"/>
              <w:rPr>
                <w:szCs w:val="21"/>
              </w:rPr>
            </w:pPr>
          </w:p>
        </w:tc>
        <w:tc>
          <w:tcPr>
            <w:tcW w:w="3544" w:type="dxa"/>
            <w:vAlign w:val="center"/>
          </w:tcPr>
          <w:p w:rsidR="0017526A" w:rsidRPr="00F9522B" w:rsidRDefault="0017526A">
            <w:pPr>
              <w:pStyle w:val="TableText"/>
              <w:spacing w:line="0" w:lineRule="atLeast"/>
              <w:jc w:val="center"/>
              <w:rPr>
                <w:color w:val="auto"/>
                <w:sz w:val="21"/>
                <w:szCs w:val="21"/>
              </w:rPr>
            </w:pPr>
            <w:r w:rsidRPr="00F9522B">
              <w:rPr>
                <w:rFonts w:eastAsia="宋体"/>
                <w:color w:val="auto"/>
                <w:spacing w:val="21"/>
                <w:position w:val="1"/>
                <w:sz w:val="21"/>
                <w:szCs w:val="21"/>
              </w:rPr>
              <w:t>怀头鲇</w:t>
            </w:r>
            <w:r w:rsidRPr="00F9522B">
              <w:rPr>
                <w:i/>
                <w:iCs/>
                <w:color w:val="auto"/>
                <w:position w:val="1"/>
                <w:sz w:val="21"/>
                <w:szCs w:val="21"/>
              </w:rPr>
              <w:t>Silurussoldatovi</w:t>
            </w:r>
          </w:p>
        </w:tc>
        <w:tc>
          <w:tcPr>
            <w:tcW w:w="1061" w:type="dxa"/>
            <w:vAlign w:val="center"/>
          </w:tcPr>
          <w:p w:rsidR="0017526A" w:rsidRPr="00F9522B" w:rsidRDefault="0017526A">
            <w:pPr>
              <w:kinsoku w:val="0"/>
              <w:autoSpaceDE w:val="0"/>
              <w:autoSpaceDN w:val="0"/>
              <w:adjustRightInd w:val="0"/>
              <w:snapToGrid w:val="0"/>
              <w:spacing w:line="0" w:lineRule="atLeast"/>
              <w:jc w:val="center"/>
              <w:textAlignment w:val="baseline"/>
              <w:rPr>
                <w:szCs w:val="21"/>
              </w:rPr>
            </w:pPr>
          </w:p>
        </w:tc>
      </w:tr>
      <w:tr w:rsidR="0017526A" w:rsidRPr="00F9522B" w:rsidTr="00535282">
        <w:trPr>
          <w:gridAfter w:val="1"/>
          <w:wAfter w:w="85" w:type="dxa"/>
          <w:trHeight w:val="346"/>
        </w:trPr>
        <w:tc>
          <w:tcPr>
            <w:tcW w:w="1850" w:type="dxa"/>
            <w:vMerge/>
            <w:vAlign w:val="center"/>
          </w:tcPr>
          <w:p w:rsidR="0017526A" w:rsidRPr="00F9522B" w:rsidRDefault="0017526A">
            <w:pPr>
              <w:spacing w:line="0" w:lineRule="atLeast"/>
              <w:jc w:val="center"/>
              <w:rPr>
                <w:szCs w:val="21"/>
              </w:rPr>
            </w:pPr>
          </w:p>
        </w:tc>
        <w:tc>
          <w:tcPr>
            <w:tcW w:w="1984" w:type="dxa"/>
            <w:vMerge w:val="restart"/>
            <w:vAlign w:val="center"/>
          </w:tcPr>
          <w:p w:rsidR="0017526A" w:rsidRPr="00F9522B" w:rsidRDefault="0017526A">
            <w:pPr>
              <w:pStyle w:val="TableText"/>
              <w:spacing w:line="0" w:lineRule="atLeast"/>
              <w:jc w:val="center"/>
              <w:rPr>
                <w:color w:val="auto"/>
                <w:sz w:val="21"/>
                <w:szCs w:val="21"/>
              </w:rPr>
            </w:pPr>
            <w:r w:rsidRPr="00F9522B">
              <w:rPr>
                <w:rFonts w:eastAsia="宋体"/>
                <w:color w:val="auto"/>
                <w:spacing w:val="21"/>
                <w:sz w:val="21"/>
                <w:szCs w:val="21"/>
              </w:rPr>
              <w:t>鲿科</w:t>
            </w:r>
            <w:r w:rsidRPr="00F9522B">
              <w:rPr>
                <w:color w:val="auto"/>
                <w:sz w:val="21"/>
                <w:szCs w:val="21"/>
              </w:rPr>
              <w:t>Bagridae</w:t>
            </w:r>
          </w:p>
        </w:tc>
        <w:tc>
          <w:tcPr>
            <w:tcW w:w="3544" w:type="dxa"/>
            <w:vAlign w:val="center"/>
          </w:tcPr>
          <w:p w:rsidR="0017526A" w:rsidRPr="00F9522B" w:rsidRDefault="0017526A">
            <w:pPr>
              <w:pStyle w:val="TableText"/>
              <w:spacing w:line="0" w:lineRule="atLeast"/>
              <w:jc w:val="center"/>
              <w:rPr>
                <w:color w:val="auto"/>
                <w:sz w:val="21"/>
                <w:szCs w:val="21"/>
              </w:rPr>
            </w:pPr>
            <w:r w:rsidRPr="00F9522B">
              <w:rPr>
                <w:rFonts w:eastAsia="宋体"/>
                <w:color w:val="auto"/>
                <w:spacing w:val="40"/>
                <w:position w:val="2"/>
                <w:sz w:val="21"/>
                <w:szCs w:val="21"/>
              </w:rPr>
              <w:t>黄颡鱼</w:t>
            </w:r>
            <w:r w:rsidRPr="00F9522B">
              <w:rPr>
                <w:i/>
                <w:iCs/>
                <w:color w:val="auto"/>
                <w:position w:val="2"/>
                <w:sz w:val="21"/>
                <w:szCs w:val="21"/>
              </w:rPr>
              <w:t>Pelteobagrusfulvidraco</w:t>
            </w:r>
          </w:p>
        </w:tc>
        <w:tc>
          <w:tcPr>
            <w:tcW w:w="1061" w:type="dxa"/>
            <w:vAlign w:val="center"/>
          </w:tcPr>
          <w:p w:rsidR="0017526A" w:rsidRPr="00F9522B" w:rsidRDefault="0017526A">
            <w:pPr>
              <w:kinsoku w:val="0"/>
              <w:autoSpaceDE w:val="0"/>
              <w:autoSpaceDN w:val="0"/>
              <w:adjustRightInd w:val="0"/>
              <w:snapToGrid w:val="0"/>
              <w:spacing w:line="0" w:lineRule="atLeast"/>
              <w:jc w:val="center"/>
              <w:textAlignment w:val="baseline"/>
              <w:rPr>
                <w:szCs w:val="21"/>
              </w:rPr>
            </w:pPr>
            <w:r w:rsidRPr="00F9522B">
              <w:rPr>
                <w:spacing w:val="1"/>
                <w:szCs w:val="21"/>
              </w:rPr>
              <w:t>+</w:t>
            </w:r>
          </w:p>
        </w:tc>
      </w:tr>
      <w:tr w:rsidR="0017526A" w:rsidRPr="00F9522B" w:rsidTr="00535282">
        <w:trPr>
          <w:gridAfter w:val="1"/>
          <w:wAfter w:w="85" w:type="dxa"/>
          <w:trHeight w:val="346"/>
        </w:trPr>
        <w:tc>
          <w:tcPr>
            <w:tcW w:w="1850" w:type="dxa"/>
            <w:vMerge/>
            <w:vAlign w:val="center"/>
          </w:tcPr>
          <w:p w:rsidR="0017526A" w:rsidRPr="00F9522B" w:rsidRDefault="0017526A">
            <w:pPr>
              <w:spacing w:line="0" w:lineRule="atLeast"/>
              <w:jc w:val="center"/>
              <w:rPr>
                <w:szCs w:val="21"/>
              </w:rPr>
            </w:pPr>
          </w:p>
        </w:tc>
        <w:tc>
          <w:tcPr>
            <w:tcW w:w="1984" w:type="dxa"/>
            <w:vMerge/>
            <w:vAlign w:val="center"/>
          </w:tcPr>
          <w:p w:rsidR="0017526A" w:rsidRPr="00F9522B" w:rsidRDefault="0017526A">
            <w:pPr>
              <w:spacing w:line="0" w:lineRule="atLeast"/>
              <w:jc w:val="center"/>
              <w:rPr>
                <w:szCs w:val="21"/>
              </w:rPr>
            </w:pPr>
          </w:p>
        </w:tc>
        <w:tc>
          <w:tcPr>
            <w:tcW w:w="3544" w:type="dxa"/>
            <w:vAlign w:val="center"/>
          </w:tcPr>
          <w:p w:rsidR="0017526A" w:rsidRPr="00F9522B" w:rsidRDefault="0017526A">
            <w:pPr>
              <w:pStyle w:val="TableText"/>
              <w:spacing w:line="0" w:lineRule="atLeast"/>
              <w:jc w:val="center"/>
              <w:rPr>
                <w:color w:val="auto"/>
                <w:sz w:val="21"/>
                <w:szCs w:val="21"/>
              </w:rPr>
            </w:pPr>
            <w:r w:rsidRPr="00F9522B">
              <w:rPr>
                <w:rFonts w:eastAsia="宋体"/>
                <w:color w:val="auto"/>
                <w:spacing w:val="24"/>
                <w:position w:val="2"/>
                <w:sz w:val="21"/>
                <w:szCs w:val="21"/>
              </w:rPr>
              <w:t>光泽黄颡鱼</w:t>
            </w:r>
            <w:r w:rsidRPr="00F9522B">
              <w:rPr>
                <w:i/>
                <w:iCs/>
                <w:color w:val="auto"/>
                <w:position w:val="2"/>
                <w:sz w:val="21"/>
                <w:szCs w:val="21"/>
              </w:rPr>
              <w:t>Pelteobagrusnitidus</w:t>
            </w:r>
          </w:p>
        </w:tc>
        <w:tc>
          <w:tcPr>
            <w:tcW w:w="1061" w:type="dxa"/>
            <w:vAlign w:val="center"/>
          </w:tcPr>
          <w:p w:rsidR="0017526A" w:rsidRPr="00F9522B" w:rsidRDefault="0017526A">
            <w:pPr>
              <w:kinsoku w:val="0"/>
              <w:autoSpaceDE w:val="0"/>
              <w:autoSpaceDN w:val="0"/>
              <w:adjustRightInd w:val="0"/>
              <w:snapToGrid w:val="0"/>
              <w:spacing w:line="0" w:lineRule="atLeast"/>
              <w:jc w:val="center"/>
              <w:textAlignment w:val="baseline"/>
              <w:rPr>
                <w:szCs w:val="21"/>
              </w:rPr>
            </w:pPr>
            <w:r w:rsidRPr="00F9522B">
              <w:rPr>
                <w:spacing w:val="1"/>
                <w:szCs w:val="21"/>
              </w:rPr>
              <w:t>+</w:t>
            </w:r>
          </w:p>
        </w:tc>
      </w:tr>
      <w:tr w:rsidR="0017526A" w:rsidRPr="00F9522B" w:rsidTr="00535282">
        <w:trPr>
          <w:gridAfter w:val="1"/>
          <w:wAfter w:w="85" w:type="dxa"/>
          <w:trHeight w:val="346"/>
        </w:trPr>
        <w:tc>
          <w:tcPr>
            <w:tcW w:w="1850" w:type="dxa"/>
            <w:vMerge/>
            <w:vAlign w:val="center"/>
          </w:tcPr>
          <w:p w:rsidR="0017526A" w:rsidRPr="00F9522B" w:rsidRDefault="0017526A">
            <w:pPr>
              <w:spacing w:line="0" w:lineRule="atLeast"/>
              <w:jc w:val="center"/>
              <w:rPr>
                <w:szCs w:val="21"/>
              </w:rPr>
            </w:pPr>
          </w:p>
        </w:tc>
        <w:tc>
          <w:tcPr>
            <w:tcW w:w="1984" w:type="dxa"/>
            <w:vMerge/>
            <w:vAlign w:val="center"/>
          </w:tcPr>
          <w:p w:rsidR="0017526A" w:rsidRPr="00F9522B" w:rsidRDefault="0017526A">
            <w:pPr>
              <w:spacing w:line="0" w:lineRule="atLeast"/>
              <w:jc w:val="center"/>
              <w:rPr>
                <w:szCs w:val="21"/>
              </w:rPr>
            </w:pPr>
          </w:p>
        </w:tc>
        <w:tc>
          <w:tcPr>
            <w:tcW w:w="3544" w:type="dxa"/>
            <w:vAlign w:val="center"/>
          </w:tcPr>
          <w:p w:rsidR="0017526A" w:rsidRPr="00F9522B" w:rsidRDefault="0017526A">
            <w:pPr>
              <w:pStyle w:val="TableText"/>
              <w:spacing w:line="0" w:lineRule="atLeast"/>
              <w:jc w:val="center"/>
              <w:rPr>
                <w:color w:val="auto"/>
                <w:sz w:val="21"/>
                <w:szCs w:val="21"/>
              </w:rPr>
            </w:pPr>
            <w:r w:rsidRPr="00F9522B">
              <w:rPr>
                <w:rFonts w:eastAsia="宋体"/>
                <w:color w:val="auto"/>
                <w:spacing w:val="33"/>
                <w:position w:val="2"/>
                <w:sz w:val="21"/>
                <w:szCs w:val="21"/>
              </w:rPr>
              <w:t>乌苏拟鲿</w:t>
            </w:r>
            <w:r w:rsidRPr="00F9522B">
              <w:rPr>
                <w:i/>
                <w:iCs/>
                <w:color w:val="auto"/>
                <w:position w:val="2"/>
                <w:sz w:val="21"/>
                <w:szCs w:val="21"/>
              </w:rPr>
              <w:t>Pseudobagrusussuriensis</w:t>
            </w:r>
          </w:p>
        </w:tc>
        <w:tc>
          <w:tcPr>
            <w:tcW w:w="1061" w:type="dxa"/>
            <w:vAlign w:val="center"/>
          </w:tcPr>
          <w:p w:rsidR="0017526A" w:rsidRPr="00F9522B" w:rsidRDefault="0017526A">
            <w:pPr>
              <w:kinsoku w:val="0"/>
              <w:autoSpaceDE w:val="0"/>
              <w:autoSpaceDN w:val="0"/>
              <w:adjustRightInd w:val="0"/>
              <w:snapToGrid w:val="0"/>
              <w:spacing w:line="0" w:lineRule="atLeast"/>
              <w:jc w:val="center"/>
              <w:textAlignment w:val="baseline"/>
              <w:rPr>
                <w:szCs w:val="21"/>
              </w:rPr>
            </w:pPr>
          </w:p>
        </w:tc>
      </w:tr>
      <w:tr w:rsidR="0017526A" w:rsidRPr="00F9522B" w:rsidTr="00535282">
        <w:trPr>
          <w:gridAfter w:val="1"/>
          <w:wAfter w:w="85" w:type="dxa"/>
          <w:trHeight w:val="346"/>
        </w:trPr>
        <w:tc>
          <w:tcPr>
            <w:tcW w:w="1850" w:type="dxa"/>
            <w:vMerge/>
            <w:vAlign w:val="center"/>
          </w:tcPr>
          <w:p w:rsidR="0017526A" w:rsidRPr="00F9522B" w:rsidRDefault="0017526A">
            <w:pPr>
              <w:spacing w:line="0" w:lineRule="atLeast"/>
              <w:jc w:val="center"/>
              <w:rPr>
                <w:szCs w:val="21"/>
              </w:rPr>
            </w:pPr>
          </w:p>
        </w:tc>
        <w:tc>
          <w:tcPr>
            <w:tcW w:w="1984" w:type="dxa"/>
            <w:vMerge/>
            <w:vAlign w:val="center"/>
          </w:tcPr>
          <w:p w:rsidR="0017526A" w:rsidRPr="00F9522B" w:rsidRDefault="0017526A">
            <w:pPr>
              <w:spacing w:line="0" w:lineRule="atLeast"/>
              <w:jc w:val="center"/>
              <w:rPr>
                <w:szCs w:val="21"/>
              </w:rPr>
            </w:pPr>
          </w:p>
        </w:tc>
        <w:tc>
          <w:tcPr>
            <w:tcW w:w="3544" w:type="dxa"/>
            <w:vAlign w:val="center"/>
          </w:tcPr>
          <w:p w:rsidR="0017526A" w:rsidRPr="00F9522B" w:rsidRDefault="0017526A">
            <w:pPr>
              <w:pStyle w:val="TableText"/>
              <w:spacing w:line="0" w:lineRule="atLeast"/>
              <w:jc w:val="center"/>
              <w:rPr>
                <w:color w:val="auto"/>
                <w:sz w:val="21"/>
                <w:szCs w:val="21"/>
              </w:rPr>
            </w:pPr>
            <w:r w:rsidRPr="00F9522B">
              <w:rPr>
                <w:rFonts w:eastAsia="宋体"/>
                <w:color w:val="auto"/>
                <w:spacing w:val="29"/>
                <w:sz w:val="21"/>
                <w:szCs w:val="21"/>
              </w:rPr>
              <w:t>纵带鮠</w:t>
            </w:r>
            <w:r w:rsidRPr="00F9522B">
              <w:rPr>
                <w:i/>
                <w:iCs/>
                <w:color w:val="auto"/>
                <w:sz w:val="21"/>
                <w:szCs w:val="21"/>
              </w:rPr>
              <w:t>Leiocassisargentivittatus</w:t>
            </w:r>
          </w:p>
        </w:tc>
        <w:tc>
          <w:tcPr>
            <w:tcW w:w="1061" w:type="dxa"/>
            <w:vAlign w:val="center"/>
          </w:tcPr>
          <w:p w:rsidR="0017526A" w:rsidRPr="00F9522B" w:rsidRDefault="0017526A">
            <w:pPr>
              <w:kinsoku w:val="0"/>
              <w:autoSpaceDE w:val="0"/>
              <w:autoSpaceDN w:val="0"/>
              <w:adjustRightInd w:val="0"/>
              <w:snapToGrid w:val="0"/>
              <w:spacing w:line="0" w:lineRule="atLeast"/>
              <w:jc w:val="center"/>
              <w:textAlignment w:val="baseline"/>
              <w:rPr>
                <w:szCs w:val="21"/>
              </w:rPr>
            </w:pPr>
            <w:r w:rsidRPr="00F9522B">
              <w:rPr>
                <w:spacing w:val="1"/>
                <w:szCs w:val="21"/>
              </w:rPr>
              <w:t>+</w:t>
            </w:r>
          </w:p>
        </w:tc>
      </w:tr>
      <w:tr w:rsidR="002A5A5E" w:rsidRPr="00F9522B" w:rsidTr="00535282">
        <w:trPr>
          <w:trHeight w:val="352"/>
        </w:trPr>
        <w:tc>
          <w:tcPr>
            <w:tcW w:w="1850" w:type="dxa"/>
            <w:vMerge w:val="restart"/>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21"/>
                <w:sz w:val="21"/>
                <w:szCs w:val="21"/>
              </w:rPr>
              <w:t>鲈形目</w:t>
            </w:r>
            <w:r w:rsidRPr="00F9522B">
              <w:rPr>
                <w:color w:val="auto"/>
                <w:sz w:val="21"/>
                <w:szCs w:val="21"/>
              </w:rPr>
              <w:t>Perciformes</w:t>
            </w:r>
          </w:p>
        </w:tc>
        <w:tc>
          <w:tcPr>
            <w:tcW w:w="1984"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9"/>
                <w:sz w:val="21"/>
                <w:szCs w:val="21"/>
              </w:rPr>
              <w:t>鮨科</w:t>
            </w:r>
            <w:r w:rsidRPr="00F9522B">
              <w:rPr>
                <w:color w:val="auto"/>
                <w:sz w:val="21"/>
                <w:szCs w:val="21"/>
              </w:rPr>
              <w:t>Serranidae</w:t>
            </w:r>
          </w:p>
        </w:tc>
        <w:tc>
          <w:tcPr>
            <w:tcW w:w="3544"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56"/>
                <w:position w:val="2"/>
                <w:sz w:val="21"/>
                <w:szCs w:val="21"/>
              </w:rPr>
              <w:t>鳜</w:t>
            </w:r>
            <w:r w:rsidRPr="00F9522B">
              <w:rPr>
                <w:i/>
                <w:iCs/>
                <w:color w:val="auto"/>
                <w:position w:val="2"/>
                <w:sz w:val="21"/>
                <w:szCs w:val="21"/>
              </w:rPr>
              <w:t>Sinipercachuatsi</w:t>
            </w:r>
          </w:p>
        </w:tc>
        <w:tc>
          <w:tcPr>
            <w:tcW w:w="1146" w:type="dxa"/>
            <w:gridSpan w:val="2"/>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1"/>
                <w:szCs w:val="21"/>
              </w:rPr>
              <w:t>+</w:t>
            </w:r>
          </w:p>
        </w:tc>
      </w:tr>
      <w:tr w:rsidR="002A5A5E" w:rsidRPr="00F9522B" w:rsidTr="00535282">
        <w:trPr>
          <w:trHeight w:val="373"/>
        </w:trPr>
        <w:tc>
          <w:tcPr>
            <w:tcW w:w="1850" w:type="dxa"/>
            <w:vMerge/>
            <w:vAlign w:val="center"/>
          </w:tcPr>
          <w:p w:rsidR="002A5A5E" w:rsidRPr="00F9522B" w:rsidRDefault="002A5A5E">
            <w:pPr>
              <w:spacing w:line="0" w:lineRule="atLeast"/>
              <w:jc w:val="center"/>
              <w:rPr>
                <w:szCs w:val="21"/>
              </w:rPr>
            </w:pPr>
          </w:p>
        </w:tc>
        <w:tc>
          <w:tcPr>
            <w:tcW w:w="1984" w:type="dxa"/>
            <w:vMerge w:val="restart"/>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8"/>
                <w:sz w:val="21"/>
                <w:szCs w:val="21"/>
              </w:rPr>
              <w:t>塘鳢科</w:t>
            </w:r>
            <w:r w:rsidRPr="00F9522B">
              <w:rPr>
                <w:color w:val="auto"/>
                <w:sz w:val="21"/>
                <w:szCs w:val="21"/>
              </w:rPr>
              <w:t>Eleotridae</w:t>
            </w:r>
          </w:p>
        </w:tc>
        <w:tc>
          <w:tcPr>
            <w:tcW w:w="3544"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20"/>
                <w:position w:val="2"/>
                <w:sz w:val="21"/>
                <w:szCs w:val="21"/>
              </w:rPr>
              <w:t>葛氏鲈塘鳢</w:t>
            </w:r>
            <w:r w:rsidRPr="00F9522B">
              <w:rPr>
                <w:i/>
                <w:iCs/>
                <w:color w:val="auto"/>
                <w:position w:val="2"/>
                <w:sz w:val="21"/>
                <w:szCs w:val="21"/>
              </w:rPr>
              <w:t>Perccottusglehni</w:t>
            </w:r>
          </w:p>
        </w:tc>
        <w:tc>
          <w:tcPr>
            <w:tcW w:w="1146" w:type="dxa"/>
            <w:gridSpan w:val="2"/>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1"/>
                <w:szCs w:val="21"/>
              </w:rPr>
              <w:t>+</w:t>
            </w:r>
          </w:p>
        </w:tc>
      </w:tr>
      <w:tr w:rsidR="002A5A5E" w:rsidRPr="00F9522B" w:rsidTr="00535282">
        <w:trPr>
          <w:trHeight w:val="347"/>
        </w:trPr>
        <w:tc>
          <w:tcPr>
            <w:tcW w:w="1850" w:type="dxa"/>
            <w:vMerge/>
            <w:vAlign w:val="center"/>
          </w:tcPr>
          <w:p w:rsidR="002A5A5E" w:rsidRPr="00F9522B" w:rsidRDefault="002A5A5E">
            <w:pPr>
              <w:kinsoku w:val="0"/>
              <w:autoSpaceDE w:val="0"/>
              <w:autoSpaceDN w:val="0"/>
              <w:adjustRightInd w:val="0"/>
              <w:snapToGrid w:val="0"/>
              <w:spacing w:line="0" w:lineRule="atLeast"/>
              <w:jc w:val="center"/>
              <w:textAlignment w:val="baseline"/>
              <w:rPr>
                <w:szCs w:val="21"/>
              </w:rPr>
            </w:pPr>
          </w:p>
        </w:tc>
        <w:tc>
          <w:tcPr>
            <w:tcW w:w="1984" w:type="dxa"/>
            <w:vMerge/>
            <w:vAlign w:val="center"/>
          </w:tcPr>
          <w:p w:rsidR="002A5A5E" w:rsidRPr="00F9522B" w:rsidRDefault="002A5A5E">
            <w:pPr>
              <w:kinsoku w:val="0"/>
              <w:autoSpaceDE w:val="0"/>
              <w:autoSpaceDN w:val="0"/>
              <w:adjustRightInd w:val="0"/>
              <w:snapToGrid w:val="0"/>
              <w:spacing w:line="0" w:lineRule="atLeast"/>
              <w:textAlignment w:val="baseline"/>
              <w:rPr>
                <w:szCs w:val="21"/>
              </w:rPr>
            </w:pPr>
          </w:p>
        </w:tc>
        <w:tc>
          <w:tcPr>
            <w:tcW w:w="3544"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38"/>
                <w:position w:val="2"/>
                <w:sz w:val="21"/>
                <w:szCs w:val="21"/>
              </w:rPr>
              <w:t>黄黝鱼</w:t>
            </w:r>
            <w:r w:rsidRPr="00F9522B">
              <w:rPr>
                <w:i/>
                <w:iCs/>
                <w:color w:val="auto"/>
                <w:position w:val="2"/>
                <w:sz w:val="21"/>
                <w:szCs w:val="21"/>
              </w:rPr>
              <w:t>Hypseleotrisswinhonis</w:t>
            </w:r>
          </w:p>
        </w:tc>
        <w:tc>
          <w:tcPr>
            <w:tcW w:w="1146" w:type="dxa"/>
            <w:gridSpan w:val="2"/>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1"/>
                <w:szCs w:val="21"/>
              </w:rPr>
              <w:t>+</w:t>
            </w:r>
          </w:p>
        </w:tc>
      </w:tr>
      <w:tr w:rsidR="002A5A5E" w:rsidRPr="00F9522B" w:rsidTr="00535282">
        <w:trPr>
          <w:trHeight w:val="347"/>
        </w:trPr>
        <w:tc>
          <w:tcPr>
            <w:tcW w:w="1850" w:type="dxa"/>
            <w:vMerge/>
            <w:vAlign w:val="center"/>
          </w:tcPr>
          <w:p w:rsidR="002A5A5E" w:rsidRPr="00F9522B" w:rsidRDefault="002A5A5E">
            <w:pPr>
              <w:spacing w:line="0" w:lineRule="atLeast"/>
              <w:jc w:val="center"/>
              <w:rPr>
                <w:szCs w:val="21"/>
              </w:rPr>
            </w:pPr>
          </w:p>
        </w:tc>
        <w:tc>
          <w:tcPr>
            <w:tcW w:w="1984" w:type="dxa"/>
            <w:vMerge w:val="restart"/>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5"/>
                <w:sz w:val="21"/>
                <w:szCs w:val="21"/>
              </w:rPr>
              <w:t>鰕虎鱼科</w:t>
            </w:r>
            <w:r w:rsidRPr="00F9522B">
              <w:rPr>
                <w:color w:val="auto"/>
                <w:sz w:val="21"/>
                <w:szCs w:val="21"/>
              </w:rPr>
              <w:t>Gobiidae</w:t>
            </w:r>
          </w:p>
        </w:tc>
        <w:tc>
          <w:tcPr>
            <w:tcW w:w="3544"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22"/>
                <w:position w:val="2"/>
                <w:sz w:val="21"/>
                <w:szCs w:val="21"/>
              </w:rPr>
              <w:t>波氏栉鰕虎</w:t>
            </w:r>
            <w:r w:rsidRPr="00F9522B">
              <w:rPr>
                <w:i/>
                <w:iCs/>
                <w:color w:val="auto"/>
                <w:position w:val="2"/>
                <w:sz w:val="21"/>
                <w:szCs w:val="21"/>
              </w:rPr>
              <w:t>Ctenogbiuscliffordpopei</w:t>
            </w:r>
          </w:p>
        </w:tc>
        <w:tc>
          <w:tcPr>
            <w:tcW w:w="1146" w:type="dxa"/>
            <w:gridSpan w:val="2"/>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1"/>
                <w:szCs w:val="21"/>
              </w:rPr>
              <w:t>+</w:t>
            </w:r>
          </w:p>
        </w:tc>
      </w:tr>
      <w:tr w:rsidR="002A5A5E" w:rsidRPr="00F9522B" w:rsidTr="00535282">
        <w:trPr>
          <w:trHeight w:val="347"/>
        </w:trPr>
        <w:tc>
          <w:tcPr>
            <w:tcW w:w="1850" w:type="dxa"/>
            <w:vMerge/>
            <w:vAlign w:val="center"/>
          </w:tcPr>
          <w:p w:rsidR="002A5A5E" w:rsidRPr="00F9522B" w:rsidRDefault="002A5A5E">
            <w:pPr>
              <w:spacing w:line="0" w:lineRule="atLeast"/>
              <w:jc w:val="center"/>
              <w:rPr>
                <w:szCs w:val="21"/>
              </w:rPr>
            </w:pPr>
          </w:p>
        </w:tc>
        <w:tc>
          <w:tcPr>
            <w:tcW w:w="1984" w:type="dxa"/>
            <w:vMerge/>
            <w:vAlign w:val="center"/>
          </w:tcPr>
          <w:p w:rsidR="002A5A5E" w:rsidRPr="00F9522B" w:rsidRDefault="002A5A5E">
            <w:pPr>
              <w:spacing w:line="0" w:lineRule="atLeast"/>
              <w:jc w:val="center"/>
              <w:rPr>
                <w:szCs w:val="21"/>
              </w:rPr>
            </w:pPr>
          </w:p>
        </w:tc>
        <w:tc>
          <w:tcPr>
            <w:tcW w:w="3544"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9"/>
                <w:position w:val="2"/>
                <w:sz w:val="21"/>
                <w:szCs w:val="21"/>
              </w:rPr>
              <w:t>褐栉鰕虎鱼</w:t>
            </w:r>
            <w:r w:rsidRPr="00F9522B">
              <w:rPr>
                <w:i/>
                <w:iCs/>
                <w:color w:val="auto"/>
                <w:position w:val="2"/>
                <w:sz w:val="21"/>
                <w:szCs w:val="21"/>
              </w:rPr>
              <w:t>Ctenogobiusbrunneus</w:t>
            </w:r>
          </w:p>
        </w:tc>
        <w:tc>
          <w:tcPr>
            <w:tcW w:w="1146" w:type="dxa"/>
            <w:gridSpan w:val="2"/>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1"/>
                <w:szCs w:val="21"/>
              </w:rPr>
              <w:t>+</w:t>
            </w:r>
          </w:p>
        </w:tc>
      </w:tr>
      <w:tr w:rsidR="002A5A5E" w:rsidRPr="00F9522B" w:rsidTr="00535282">
        <w:trPr>
          <w:trHeight w:val="371"/>
        </w:trPr>
        <w:tc>
          <w:tcPr>
            <w:tcW w:w="1850" w:type="dxa"/>
            <w:vMerge/>
            <w:vAlign w:val="center"/>
          </w:tcPr>
          <w:p w:rsidR="002A5A5E" w:rsidRPr="00F9522B" w:rsidRDefault="002A5A5E">
            <w:pPr>
              <w:spacing w:line="0" w:lineRule="atLeast"/>
              <w:jc w:val="center"/>
              <w:rPr>
                <w:szCs w:val="21"/>
              </w:rPr>
            </w:pPr>
          </w:p>
        </w:tc>
        <w:tc>
          <w:tcPr>
            <w:tcW w:w="1984"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23"/>
                <w:sz w:val="21"/>
                <w:szCs w:val="21"/>
              </w:rPr>
              <w:t>鳢科</w:t>
            </w:r>
            <w:r w:rsidRPr="00F9522B">
              <w:rPr>
                <w:color w:val="auto"/>
                <w:sz w:val="21"/>
                <w:szCs w:val="21"/>
              </w:rPr>
              <w:t>Channidae</w:t>
            </w:r>
          </w:p>
        </w:tc>
        <w:tc>
          <w:tcPr>
            <w:tcW w:w="3544"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21"/>
                <w:position w:val="2"/>
                <w:sz w:val="21"/>
                <w:szCs w:val="21"/>
              </w:rPr>
              <w:t>乌鳢</w:t>
            </w:r>
            <w:r w:rsidRPr="00F9522B">
              <w:rPr>
                <w:i/>
                <w:iCs/>
                <w:color w:val="auto"/>
                <w:position w:val="2"/>
                <w:sz w:val="21"/>
                <w:szCs w:val="21"/>
              </w:rPr>
              <w:t>Channaargus</w:t>
            </w:r>
          </w:p>
        </w:tc>
        <w:tc>
          <w:tcPr>
            <w:tcW w:w="1146" w:type="dxa"/>
            <w:gridSpan w:val="2"/>
            <w:vAlign w:val="center"/>
          </w:tcPr>
          <w:p w:rsidR="002A5A5E" w:rsidRPr="00F9522B" w:rsidRDefault="002A5A5E">
            <w:pPr>
              <w:kinsoku w:val="0"/>
              <w:autoSpaceDE w:val="0"/>
              <w:autoSpaceDN w:val="0"/>
              <w:adjustRightInd w:val="0"/>
              <w:snapToGrid w:val="0"/>
              <w:spacing w:line="0" w:lineRule="atLeast"/>
              <w:jc w:val="center"/>
              <w:textAlignment w:val="baseline"/>
              <w:rPr>
                <w:szCs w:val="21"/>
              </w:rPr>
            </w:pPr>
          </w:p>
        </w:tc>
      </w:tr>
      <w:tr w:rsidR="00D828E4" w:rsidRPr="00F9522B" w:rsidTr="00535282">
        <w:trPr>
          <w:trHeight w:val="371"/>
        </w:trPr>
        <w:tc>
          <w:tcPr>
            <w:tcW w:w="1850" w:type="dxa"/>
            <w:vAlign w:val="center"/>
          </w:tcPr>
          <w:p w:rsidR="00D828E4" w:rsidRPr="00F9522B" w:rsidRDefault="000D080D">
            <w:pPr>
              <w:spacing w:line="0" w:lineRule="atLeast"/>
              <w:jc w:val="center"/>
              <w:rPr>
                <w:szCs w:val="21"/>
              </w:rPr>
            </w:pPr>
            <w:r w:rsidRPr="00F9522B">
              <w:rPr>
                <w:szCs w:val="21"/>
              </w:rPr>
              <w:t>鳕形目</w:t>
            </w:r>
            <w:r w:rsidRPr="00F9522B">
              <w:rPr>
                <w:szCs w:val="21"/>
              </w:rPr>
              <w:t>Gadiformes</w:t>
            </w:r>
          </w:p>
        </w:tc>
        <w:tc>
          <w:tcPr>
            <w:tcW w:w="1984" w:type="dxa"/>
            <w:vAlign w:val="center"/>
          </w:tcPr>
          <w:p w:rsidR="00D828E4" w:rsidRPr="00F9522B" w:rsidRDefault="00720318">
            <w:pPr>
              <w:pStyle w:val="TableText"/>
              <w:spacing w:line="0" w:lineRule="atLeast"/>
              <w:jc w:val="center"/>
              <w:rPr>
                <w:rFonts w:eastAsia="宋体"/>
                <w:color w:val="auto"/>
                <w:spacing w:val="23"/>
                <w:sz w:val="21"/>
                <w:szCs w:val="21"/>
              </w:rPr>
            </w:pPr>
            <w:r w:rsidRPr="00F9522B">
              <w:rPr>
                <w:rFonts w:eastAsia="宋体"/>
                <w:color w:val="auto"/>
                <w:sz w:val="21"/>
                <w:szCs w:val="21"/>
              </w:rPr>
              <w:t>鳕科</w:t>
            </w:r>
            <w:r w:rsidR="000D080D" w:rsidRPr="00F9522B">
              <w:rPr>
                <w:color w:val="auto"/>
                <w:sz w:val="21"/>
                <w:szCs w:val="21"/>
              </w:rPr>
              <w:t>Gadidae</w:t>
            </w:r>
          </w:p>
        </w:tc>
        <w:tc>
          <w:tcPr>
            <w:tcW w:w="3544" w:type="dxa"/>
            <w:vAlign w:val="center"/>
          </w:tcPr>
          <w:p w:rsidR="00D828E4" w:rsidRPr="00F9522B" w:rsidRDefault="000D080D">
            <w:pPr>
              <w:pStyle w:val="TableText"/>
              <w:spacing w:line="0" w:lineRule="atLeast"/>
              <w:jc w:val="center"/>
              <w:rPr>
                <w:rFonts w:eastAsia="宋体"/>
                <w:color w:val="auto"/>
                <w:spacing w:val="21"/>
                <w:position w:val="2"/>
                <w:sz w:val="21"/>
                <w:szCs w:val="21"/>
              </w:rPr>
            </w:pPr>
            <w:r w:rsidRPr="00F9522B">
              <w:rPr>
                <w:rFonts w:eastAsia="宋体"/>
                <w:color w:val="auto"/>
                <w:sz w:val="21"/>
                <w:szCs w:val="21"/>
              </w:rPr>
              <w:t>江鳕</w:t>
            </w:r>
            <w:r w:rsidRPr="00F9522B">
              <w:rPr>
                <w:i/>
                <w:color w:val="auto"/>
                <w:sz w:val="21"/>
                <w:szCs w:val="21"/>
              </w:rPr>
              <w:t>Lota lota</w:t>
            </w:r>
          </w:p>
        </w:tc>
        <w:tc>
          <w:tcPr>
            <w:tcW w:w="1146" w:type="dxa"/>
            <w:gridSpan w:val="2"/>
            <w:vAlign w:val="center"/>
          </w:tcPr>
          <w:p w:rsidR="00D828E4" w:rsidRPr="00F9522B" w:rsidRDefault="00D828E4">
            <w:pPr>
              <w:kinsoku w:val="0"/>
              <w:autoSpaceDE w:val="0"/>
              <w:autoSpaceDN w:val="0"/>
              <w:adjustRightInd w:val="0"/>
              <w:snapToGrid w:val="0"/>
              <w:spacing w:line="0" w:lineRule="atLeast"/>
              <w:jc w:val="center"/>
              <w:textAlignment w:val="baseline"/>
              <w:rPr>
                <w:szCs w:val="21"/>
              </w:rPr>
            </w:pPr>
          </w:p>
        </w:tc>
      </w:tr>
    </w:tbl>
    <w:p w:rsidR="00535282" w:rsidRPr="00F9522B" w:rsidRDefault="00535282"/>
    <w:p w:rsidR="00535282" w:rsidRPr="00F9522B" w:rsidRDefault="00535282" w:rsidP="00535282">
      <w:pPr>
        <w:pStyle w:val="ab"/>
        <w:spacing w:after="0"/>
        <w:ind w:left="3238"/>
        <w:rPr>
          <w:b/>
          <w:bCs/>
          <w:spacing w:val="-2"/>
        </w:rPr>
      </w:pPr>
      <w:r w:rsidRPr="00F9522B">
        <w:rPr>
          <w:b/>
          <w:bCs/>
          <w:spacing w:val="-2"/>
        </w:rPr>
        <w:lastRenderedPageBreak/>
        <w:t>续表</w:t>
      </w:r>
      <w:r w:rsidRPr="00F9522B">
        <w:rPr>
          <w:b/>
          <w:bCs/>
          <w:spacing w:val="-2"/>
        </w:rPr>
        <w:t>4-2-29</w:t>
      </w:r>
      <w:r w:rsidRPr="00F9522B">
        <w:rPr>
          <w:b/>
          <w:bCs/>
          <w:spacing w:val="-2"/>
        </w:rPr>
        <w:t>评价水域鱼类名录</w:t>
      </w:r>
    </w:p>
    <w:tbl>
      <w:tblPr>
        <w:tblStyle w:val="TableNormal"/>
        <w:tblW w:w="8524" w:type="dxa"/>
        <w:tblInd w:w="135" w:type="dxa"/>
        <w:tblBorders>
          <w:top w:val="single" w:sz="12" w:space="0" w:color="000000"/>
          <w:bottom w:val="single" w:sz="12" w:space="0" w:color="000000"/>
          <w:insideH w:val="single" w:sz="4" w:space="0" w:color="000000"/>
          <w:insideV w:val="single" w:sz="4" w:space="0" w:color="000000"/>
        </w:tblBorders>
        <w:tblLayout w:type="fixed"/>
        <w:tblLook w:val="04A0"/>
      </w:tblPr>
      <w:tblGrid>
        <w:gridCol w:w="1850"/>
        <w:gridCol w:w="1984"/>
        <w:gridCol w:w="3544"/>
        <w:gridCol w:w="1146"/>
      </w:tblGrid>
      <w:tr w:rsidR="00720318" w:rsidRPr="00F9522B" w:rsidTr="00535282">
        <w:trPr>
          <w:trHeight w:val="371"/>
        </w:trPr>
        <w:tc>
          <w:tcPr>
            <w:tcW w:w="1850" w:type="dxa"/>
            <w:vAlign w:val="center"/>
          </w:tcPr>
          <w:p w:rsidR="00720318" w:rsidRPr="00F9522B" w:rsidRDefault="000D080D">
            <w:pPr>
              <w:spacing w:line="0" w:lineRule="atLeast"/>
              <w:jc w:val="center"/>
              <w:rPr>
                <w:szCs w:val="21"/>
              </w:rPr>
            </w:pPr>
            <w:r w:rsidRPr="00F9522B">
              <w:rPr>
                <w:szCs w:val="21"/>
              </w:rPr>
              <w:t>攀鲈目</w:t>
            </w:r>
            <w:r w:rsidRPr="00F9522B">
              <w:rPr>
                <w:szCs w:val="21"/>
              </w:rPr>
              <w:t>Anabantiformes</w:t>
            </w:r>
          </w:p>
        </w:tc>
        <w:tc>
          <w:tcPr>
            <w:tcW w:w="1984" w:type="dxa"/>
            <w:vAlign w:val="center"/>
          </w:tcPr>
          <w:p w:rsidR="00720318" w:rsidRPr="00F9522B" w:rsidRDefault="00720318">
            <w:pPr>
              <w:pStyle w:val="TableText"/>
              <w:spacing w:line="0" w:lineRule="atLeast"/>
              <w:jc w:val="center"/>
              <w:rPr>
                <w:rFonts w:eastAsia="宋体"/>
                <w:color w:val="auto"/>
                <w:spacing w:val="23"/>
                <w:sz w:val="21"/>
                <w:szCs w:val="21"/>
              </w:rPr>
            </w:pPr>
            <w:r w:rsidRPr="00F9522B">
              <w:rPr>
                <w:rFonts w:eastAsia="宋体"/>
                <w:color w:val="auto"/>
                <w:sz w:val="21"/>
                <w:szCs w:val="21"/>
              </w:rPr>
              <w:t>斗鱼科</w:t>
            </w:r>
            <w:r w:rsidR="000D080D" w:rsidRPr="00F9522B">
              <w:rPr>
                <w:color w:val="auto"/>
                <w:sz w:val="21"/>
                <w:szCs w:val="21"/>
              </w:rPr>
              <w:t>Macropodusinae</w:t>
            </w:r>
          </w:p>
        </w:tc>
        <w:tc>
          <w:tcPr>
            <w:tcW w:w="3544" w:type="dxa"/>
            <w:vAlign w:val="center"/>
          </w:tcPr>
          <w:p w:rsidR="00720318" w:rsidRPr="00F9522B" w:rsidRDefault="000D080D">
            <w:pPr>
              <w:pStyle w:val="TableText"/>
              <w:spacing w:line="0" w:lineRule="atLeast"/>
              <w:jc w:val="center"/>
              <w:rPr>
                <w:rFonts w:eastAsia="宋体"/>
                <w:color w:val="auto"/>
                <w:spacing w:val="21"/>
                <w:position w:val="2"/>
                <w:sz w:val="21"/>
                <w:szCs w:val="21"/>
              </w:rPr>
            </w:pPr>
            <w:r w:rsidRPr="00F9522B">
              <w:rPr>
                <w:rFonts w:eastAsia="宋体"/>
                <w:color w:val="auto"/>
                <w:sz w:val="21"/>
                <w:szCs w:val="21"/>
              </w:rPr>
              <w:t>圆尾斗鱼</w:t>
            </w:r>
            <w:r w:rsidRPr="00F9522B">
              <w:rPr>
                <w:i/>
                <w:color w:val="auto"/>
                <w:sz w:val="21"/>
                <w:szCs w:val="21"/>
              </w:rPr>
              <w:t>Macropodus ocellatus</w:t>
            </w:r>
          </w:p>
        </w:tc>
        <w:tc>
          <w:tcPr>
            <w:tcW w:w="1146" w:type="dxa"/>
            <w:vAlign w:val="center"/>
          </w:tcPr>
          <w:p w:rsidR="00720318" w:rsidRPr="00F9522B" w:rsidRDefault="00720318">
            <w:pPr>
              <w:kinsoku w:val="0"/>
              <w:autoSpaceDE w:val="0"/>
              <w:autoSpaceDN w:val="0"/>
              <w:adjustRightInd w:val="0"/>
              <w:snapToGrid w:val="0"/>
              <w:spacing w:line="0" w:lineRule="atLeast"/>
              <w:jc w:val="center"/>
              <w:textAlignment w:val="baseline"/>
              <w:rPr>
                <w:szCs w:val="21"/>
              </w:rPr>
            </w:pPr>
          </w:p>
        </w:tc>
      </w:tr>
      <w:tr w:rsidR="000D080D" w:rsidRPr="00F9522B" w:rsidTr="00535282">
        <w:trPr>
          <w:trHeight w:val="371"/>
        </w:trPr>
        <w:tc>
          <w:tcPr>
            <w:tcW w:w="1850" w:type="dxa"/>
            <w:vMerge w:val="restart"/>
            <w:vAlign w:val="center"/>
          </w:tcPr>
          <w:p w:rsidR="000D080D" w:rsidRPr="00F9522B" w:rsidRDefault="000D080D">
            <w:pPr>
              <w:spacing w:line="0" w:lineRule="atLeast"/>
              <w:jc w:val="center"/>
              <w:rPr>
                <w:szCs w:val="21"/>
              </w:rPr>
            </w:pPr>
            <w:r w:rsidRPr="00F9522B">
              <w:rPr>
                <w:szCs w:val="21"/>
              </w:rPr>
              <w:t>鲉形目</w:t>
            </w:r>
            <w:r w:rsidRPr="00F9522B">
              <w:rPr>
                <w:szCs w:val="21"/>
              </w:rPr>
              <w:t xml:space="preserve"> Scorpaeniformes</w:t>
            </w:r>
          </w:p>
        </w:tc>
        <w:tc>
          <w:tcPr>
            <w:tcW w:w="1984" w:type="dxa"/>
            <w:vMerge w:val="restart"/>
            <w:vAlign w:val="center"/>
          </w:tcPr>
          <w:p w:rsidR="000D080D" w:rsidRPr="00F9522B" w:rsidRDefault="000D080D">
            <w:pPr>
              <w:pStyle w:val="TableText"/>
              <w:spacing w:line="0" w:lineRule="atLeast"/>
              <w:jc w:val="center"/>
              <w:rPr>
                <w:rFonts w:eastAsia="宋体"/>
                <w:color w:val="auto"/>
                <w:sz w:val="21"/>
                <w:szCs w:val="21"/>
              </w:rPr>
            </w:pPr>
            <w:r w:rsidRPr="00F9522B">
              <w:rPr>
                <w:rFonts w:eastAsia="宋体"/>
                <w:color w:val="auto"/>
                <w:sz w:val="21"/>
                <w:szCs w:val="21"/>
              </w:rPr>
              <w:t>杜父鱼科</w:t>
            </w:r>
            <w:r w:rsidRPr="00F9522B">
              <w:rPr>
                <w:color w:val="auto"/>
                <w:sz w:val="21"/>
                <w:szCs w:val="21"/>
              </w:rPr>
              <w:t xml:space="preserve"> Cottidae</w:t>
            </w:r>
          </w:p>
        </w:tc>
        <w:tc>
          <w:tcPr>
            <w:tcW w:w="3544" w:type="dxa"/>
            <w:vAlign w:val="center"/>
          </w:tcPr>
          <w:p w:rsidR="000D080D" w:rsidRPr="00F9522B" w:rsidRDefault="000D080D">
            <w:pPr>
              <w:pStyle w:val="TableText"/>
              <w:spacing w:line="0" w:lineRule="atLeast"/>
              <w:jc w:val="center"/>
              <w:rPr>
                <w:rFonts w:eastAsia="宋体"/>
                <w:color w:val="auto"/>
                <w:spacing w:val="21"/>
                <w:position w:val="2"/>
                <w:sz w:val="21"/>
                <w:szCs w:val="21"/>
              </w:rPr>
            </w:pPr>
            <w:r w:rsidRPr="00F9522B">
              <w:rPr>
                <w:rFonts w:eastAsia="宋体"/>
                <w:color w:val="auto"/>
                <w:sz w:val="21"/>
                <w:szCs w:val="21"/>
              </w:rPr>
              <w:t>花杜父鱼</w:t>
            </w:r>
            <w:r w:rsidRPr="00F9522B">
              <w:rPr>
                <w:i/>
                <w:color w:val="auto"/>
                <w:sz w:val="21"/>
                <w:szCs w:val="21"/>
              </w:rPr>
              <w:t>Cottus poecilopus</w:t>
            </w:r>
          </w:p>
        </w:tc>
        <w:tc>
          <w:tcPr>
            <w:tcW w:w="1146" w:type="dxa"/>
            <w:vAlign w:val="center"/>
          </w:tcPr>
          <w:p w:rsidR="000D080D" w:rsidRPr="00F9522B" w:rsidRDefault="000D080D">
            <w:pPr>
              <w:kinsoku w:val="0"/>
              <w:autoSpaceDE w:val="0"/>
              <w:autoSpaceDN w:val="0"/>
              <w:adjustRightInd w:val="0"/>
              <w:snapToGrid w:val="0"/>
              <w:spacing w:line="0" w:lineRule="atLeast"/>
              <w:jc w:val="center"/>
              <w:textAlignment w:val="baseline"/>
              <w:rPr>
                <w:szCs w:val="21"/>
              </w:rPr>
            </w:pPr>
          </w:p>
        </w:tc>
      </w:tr>
      <w:tr w:rsidR="000D080D" w:rsidRPr="00F9522B" w:rsidTr="00535282">
        <w:trPr>
          <w:trHeight w:val="371"/>
        </w:trPr>
        <w:tc>
          <w:tcPr>
            <w:tcW w:w="1850" w:type="dxa"/>
            <w:vMerge/>
            <w:vAlign w:val="center"/>
          </w:tcPr>
          <w:p w:rsidR="000D080D" w:rsidRPr="00F9522B" w:rsidRDefault="000D080D">
            <w:pPr>
              <w:spacing w:line="0" w:lineRule="atLeast"/>
              <w:jc w:val="center"/>
              <w:rPr>
                <w:szCs w:val="21"/>
              </w:rPr>
            </w:pPr>
          </w:p>
        </w:tc>
        <w:tc>
          <w:tcPr>
            <w:tcW w:w="1984" w:type="dxa"/>
            <w:vMerge/>
            <w:vAlign w:val="center"/>
          </w:tcPr>
          <w:p w:rsidR="000D080D" w:rsidRPr="00F9522B" w:rsidRDefault="000D080D">
            <w:pPr>
              <w:pStyle w:val="TableText"/>
              <w:spacing w:line="0" w:lineRule="atLeast"/>
              <w:jc w:val="center"/>
              <w:rPr>
                <w:rFonts w:eastAsia="宋体"/>
                <w:color w:val="auto"/>
                <w:sz w:val="21"/>
                <w:szCs w:val="21"/>
              </w:rPr>
            </w:pPr>
          </w:p>
        </w:tc>
        <w:tc>
          <w:tcPr>
            <w:tcW w:w="3544" w:type="dxa"/>
            <w:vAlign w:val="center"/>
          </w:tcPr>
          <w:p w:rsidR="000D080D" w:rsidRPr="00F9522B" w:rsidRDefault="000D080D">
            <w:pPr>
              <w:pStyle w:val="TableText"/>
              <w:spacing w:line="0" w:lineRule="atLeast"/>
              <w:jc w:val="center"/>
              <w:rPr>
                <w:rFonts w:eastAsia="宋体"/>
                <w:color w:val="auto"/>
                <w:spacing w:val="21"/>
                <w:position w:val="2"/>
                <w:sz w:val="21"/>
                <w:szCs w:val="21"/>
              </w:rPr>
            </w:pPr>
            <w:r w:rsidRPr="00F9522B">
              <w:rPr>
                <w:rFonts w:eastAsia="宋体"/>
                <w:color w:val="auto"/>
                <w:sz w:val="21"/>
                <w:szCs w:val="21"/>
              </w:rPr>
              <w:t>中杜父鱼</w:t>
            </w:r>
            <w:r w:rsidRPr="00F9522B">
              <w:rPr>
                <w:i/>
                <w:color w:val="auto"/>
                <w:sz w:val="21"/>
                <w:szCs w:val="21"/>
              </w:rPr>
              <w:t>Mesocottus haitej</w:t>
            </w:r>
          </w:p>
        </w:tc>
        <w:tc>
          <w:tcPr>
            <w:tcW w:w="1146" w:type="dxa"/>
            <w:vAlign w:val="center"/>
          </w:tcPr>
          <w:p w:rsidR="000D080D" w:rsidRPr="00F9522B" w:rsidRDefault="000D080D">
            <w:pPr>
              <w:kinsoku w:val="0"/>
              <w:autoSpaceDE w:val="0"/>
              <w:autoSpaceDN w:val="0"/>
              <w:adjustRightInd w:val="0"/>
              <w:snapToGrid w:val="0"/>
              <w:spacing w:line="0" w:lineRule="atLeast"/>
              <w:jc w:val="center"/>
              <w:textAlignment w:val="baseline"/>
              <w:rPr>
                <w:szCs w:val="21"/>
              </w:rPr>
            </w:pPr>
          </w:p>
        </w:tc>
      </w:tr>
    </w:tbl>
    <w:p w:rsidR="002A5A5E" w:rsidRPr="00F9522B" w:rsidRDefault="00611CBA">
      <w:pPr>
        <w:pStyle w:val="2fa"/>
        <w:ind w:firstLine="482"/>
        <w:contextualSpacing/>
        <w:rPr>
          <w:rFonts w:ascii="Times New Roman" w:hAnsi="Times New Roman" w:cs="Times New Roman"/>
          <w:smallCaps/>
          <w:szCs w:val="24"/>
        </w:rPr>
      </w:pPr>
      <w:r w:rsidRPr="00F9522B">
        <w:rPr>
          <w:rFonts w:ascii="Times New Roman" w:hAnsi="Times New Roman" w:cs="Times New Roman"/>
          <w:b/>
          <w:bCs/>
        </w:rPr>
        <w:t>国家重点保护及濒危鱼类</w:t>
      </w:r>
    </w:p>
    <w:p w:rsidR="002A5A5E" w:rsidRPr="00F9522B" w:rsidRDefault="00611CBA">
      <w:pPr>
        <w:pStyle w:val="2fa"/>
        <w:ind w:firstLine="480"/>
        <w:contextualSpacing/>
        <w:rPr>
          <w:rFonts w:ascii="Times New Roman" w:hAnsi="Times New Roman" w:cs="Times New Roman"/>
        </w:rPr>
      </w:pPr>
      <w:r w:rsidRPr="00F9522B">
        <w:rPr>
          <w:rFonts w:ascii="Times New Roman" w:hAnsi="Times New Roman" w:cs="Times New Roman"/>
        </w:rPr>
        <w:t>依据《濒危野生动植物种国际贸易公约》（附录</w:t>
      </w:r>
      <w:r w:rsidRPr="00F9522B">
        <w:rPr>
          <w:rFonts w:ascii="Times New Roman" w:hAnsi="Times New Roman" w:cs="Times New Roman"/>
        </w:rPr>
        <w:t>I</w:t>
      </w:r>
      <w:r w:rsidRPr="00F9522B">
        <w:rPr>
          <w:rFonts w:ascii="Times New Roman" w:hAnsi="Times New Roman" w:cs="Times New Roman"/>
        </w:rPr>
        <w:t>、附录</w:t>
      </w:r>
      <w:r w:rsidRPr="00F9522B">
        <w:rPr>
          <w:rFonts w:ascii="Times New Roman" w:hAnsi="Times New Roman" w:cs="Times New Roman"/>
        </w:rPr>
        <w:t>II</w:t>
      </w:r>
      <w:r w:rsidRPr="00F9522B">
        <w:rPr>
          <w:rFonts w:ascii="Times New Roman" w:hAnsi="Times New Roman" w:cs="Times New Roman"/>
        </w:rPr>
        <w:t>、附录</w:t>
      </w:r>
      <w:r w:rsidRPr="00F9522B">
        <w:rPr>
          <w:rFonts w:ascii="Times New Roman" w:hAnsi="Times New Roman" w:cs="Times New Roman"/>
        </w:rPr>
        <w:t>III</w:t>
      </w:r>
      <w:r w:rsidRPr="00F9522B">
        <w:rPr>
          <w:rFonts w:ascii="Times New Roman" w:hAnsi="Times New Roman" w:cs="Times New Roman"/>
        </w:rPr>
        <w:t>）《中国生物多样性红色名录</w:t>
      </w:r>
      <w:r w:rsidRPr="00F9522B">
        <w:rPr>
          <w:rFonts w:ascii="Times New Roman" w:hAnsi="Times New Roman" w:cs="Times New Roman"/>
        </w:rPr>
        <w:t>·</w:t>
      </w:r>
      <w:r w:rsidRPr="00F9522B">
        <w:rPr>
          <w:rFonts w:ascii="Times New Roman" w:hAnsi="Times New Roman" w:cs="Times New Roman"/>
        </w:rPr>
        <w:t>脊椎动物》和《国家重点保护野生动物名录国家林业和草原局农业农村部公告（</w:t>
      </w:r>
      <w:r w:rsidRPr="00F9522B">
        <w:rPr>
          <w:rFonts w:ascii="Times New Roman" w:hAnsi="Times New Roman" w:cs="Times New Roman"/>
        </w:rPr>
        <w:t>2021</w:t>
      </w:r>
      <w:r w:rsidRPr="00F9522B">
        <w:rPr>
          <w:rFonts w:ascii="Times New Roman" w:hAnsi="Times New Roman" w:cs="Times New Roman"/>
        </w:rPr>
        <w:t>年第</w:t>
      </w:r>
      <w:r w:rsidRPr="00F9522B">
        <w:rPr>
          <w:rFonts w:ascii="Times New Roman" w:hAnsi="Times New Roman" w:cs="Times New Roman"/>
        </w:rPr>
        <w:t>3</w:t>
      </w:r>
      <w:r w:rsidRPr="00F9522B">
        <w:rPr>
          <w:rFonts w:ascii="Times New Roman" w:hAnsi="Times New Roman" w:cs="Times New Roman"/>
        </w:rPr>
        <w:t>号）》等相关资料，评价水域</w:t>
      </w:r>
      <w:r w:rsidR="008A23E4" w:rsidRPr="00F9522B">
        <w:rPr>
          <w:rFonts w:ascii="Times New Roman" w:hAnsi="Times New Roman" w:cs="Times New Roman"/>
        </w:rPr>
        <w:t>国家</w:t>
      </w:r>
      <w:r w:rsidR="005273A1" w:rsidRPr="00F9522B">
        <w:rPr>
          <w:rFonts w:ascii="Times New Roman" w:hAnsi="Times New Roman" w:cs="Times New Roman"/>
          <w:sz w:val="21"/>
        </w:rPr>
        <w:fldChar w:fldCharType="begin"/>
      </w:r>
      <w:r w:rsidR="008A23E4" w:rsidRPr="00F9522B">
        <w:rPr>
          <w:rFonts w:ascii="Times New Roman" w:hAnsi="Times New Roman" w:cs="Times New Roman"/>
          <w:sz w:val="21"/>
        </w:rPr>
        <w:instrText xml:space="preserve"> = 1 \* ROMAN </w:instrText>
      </w:r>
      <w:r w:rsidR="005273A1" w:rsidRPr="00F9522B">
        <w:rPr>
          <w:rFonts w:ascii="Times New Roman" w:hAnsi="Times New Roman" w:cs="Times New Roman"/>
          <w:sz w:val="21"/>
        </w:rPr>
        <w:fldChar w:fldCharType="separate"/>
      </w:r>
      <w:r w:rsidR="008A23E4" w:rsidRPr="00F9522B">
        <w:rPr>
          <w:rFonts w:ascii="Times New Roman" w:hAnsi="Times New Roman" w:cs="Times New Roman"/>
          <w:noProof/>
          <w:sz w:val="21"/>
        </w:rPr>
        <w:t>I</w:t>
      </w:r>
      <w:r w:rsidR="005273A1" w:rsidRPr="00F9522B">
        <w:rPr>
          <w:rFonts w:ascii="Times New Roman" w:hAnsi="Times New Roman" w:cs="Times New Roman"/>
          <w:sz w:val="21"/>
        </w:rPr>
        <w:fldChar w:fldCharType="end"/>
      </w:r>
      <w:r w:rsidR="008A23E4" w:rsidRPr="00F9522B">
        <w:rPr>
          <w:rFonts w:ascii="Times New Roman" w:hAnsi="Times New Roman" w:cs="Times New Roman"/>
        </w:rPr>
        <w:t>级保护动物</w:t>
      </w:r>
      <w:r w:rsidR="008A23E4" w:rsidRPr="00F9522B">
        <w:rPr>
          <w:rFonts w:ascii="Times New Roman" w:hAnsi="Times New Roman" w:cs="Times New Roman"/>
        </w:rPr>
        <w:t>1</w:t>
      </w:r>
      <w:r w:rsidR="008A23E4" w:rsidRPr="00F9522B">
        <w:rPr>
          <w:rFonts w:ascii="Times New Roman" w:hAnsi="Times New Roman" w:cs="Times New Roman"/>
        </w:rPr>
        <w:t>目</w:t>
      </w:r>
      <w:r w:rsidR="008A23E4" w:rsidRPr="00F9522B">
        <w:rPr>
          <w:rFonts w:ascii="Times New Roman" w:hAnsi="Times New Roman" w:cs="Times New Roman"/>
        </w:rPr>
        <w:t>1</w:t>
      </w:r>
      <w:r w:rsidR="008A23E4" w:rsidRPr="00F9522B">
        <w:rPr>
          <w:rFonts w:ascii="Times New Roman" w:hAnsi="Times New Roman" w:cs="Times New Roman"/>
        </w:rPr>
        <w:t>科</w:t>
      </w:r>
      <w:r w:rsidR="008A23E4" w:rsidRPr="00F9522B">
        <w:rPr>
          <w:rFonts w:ascii="Times New Roman" w:hAnsi="Times New Roman" w:cs="Times New Roman"/>
        </w:rPr>
        <w:t>1</w:t>
      </w:r>
      <w:r w:rsidR="008A23E4" w:rsidRPr="00F9522B">
        <w:rPr>
          <w:rFonts w:ascii="Times New Roman" w:hAnsi="Times New Roman" w:cs="Times New Roman"/>
        </w:rPr>
        <w:t>种，</w:t>
      </w:r>
      <w:r w:rsidRPr="00F9522B">
        <w:rPr>
          <w:rFonts w:ascii="Times New Roman" w:hAnsi="Times New Roman" w:cs="Times New Roman"/>
        </w:rPr>
        <w:t>国家</w:t>
      </w:r>
      <w:r w:rsidRPr="00F9522B">
        <w:rPr>
          <w:rFonts w:ascii="Times New Roman" w:hAnsi="Times New Roman" w:cs="Times New Roman"/>
        </w:rPr>
        <w:t>Ⅱ</w:t>
      </w:r>
      <w:r w:rsidRPr="00F9522B">
        <w:rPr>
          <w:rFonts w:ascii="Times New Roman" w:hAnsi="Times New Roman" w:cs="Times New Roman"/>
        </w:rPr>
        <w:t>级保护动物</w:t>
      </w:r>
      <w:r w:rsidR="008A23E4" w:rsidRPr="00F9522B">
        <w:rPr>
          <w:rFonts w:ascii="Times New Roman" w:hAnsi="Times New Roman" w:cs="Times New Roman"/>
        </w:rPr>
        <w:t>3</w:t>
      </w:r>
      <w:r w:rsidRPr="00F9522B">
        <w:rPr>
          <w:rFonts w:ascii="Times New Roman" w:hAnsi="Times New Roman" w:cs="Times New Roman"/>
        </w:rPr>
        <w:t>目</w:t>
      </w:r>
      <w:r w:rsidR="008A23E4" w:rsidRPr="00F9522B">
        <w:rPr>
          <w:rFonts w:ascii="Times New Roman" w:hAnsi="Times New Roman" w:cs="Times New Roman"/>
        </w:rPr>
        <w:t>3</w:t>
      </w:r>
      <w:r w:rsidRPr="00F9522B">
        <w:rPr>
          <w:rFonts w:ascii="Times New Roman" w:hAnsi="Times New Roman" w:cs="Times New Roman"/>
        </w:rPr>
        <w:t>科</w:t>
      </w:r>
      <w:r w:rsidR="008525D2" w:rsidRPr="00F9522B">
        <w:rPr>
          <w:rFonts w:ascii="Times New Roman" w:hAnsi="Times New Roman" w:cs="Times New Roman"/>
        </w:rPr>
        <w:t>4</w:t>
      </w:r>
      <w:r w:rsidRPr="00F9522B">
        <w:rPr>
          <w:rFonts w:ascii="Times New Roman" w:hAnsi="Times New Roman" w:cs="Times New Roman"/>
        </w:rPr>
        <w:t>种，濒危鱼类共有</w:t>
      </w:r>
      <w:r w:rsidR="008A23E4" w:rsidRPr="00F9522B">
        <w:rPr>
          <w:rFonts w:ascii="Times New Roman" w:hAnsi="Times New Roman" w:cs="Times New Roman"/>
        </w:rPr>
        <w:t>4</w:t>
      </w:r>
      <w:r w:rsidRPr="00F9522B">
        <w:rPr>
          <w:rFonts w:ascii="Times New Roman" w:hAnsi="Times New Roman" w:cs="Times New Roman"/>
        </w:rPr>
        <w:t>目</w:t>
      </w:r>
      <w:r w:rsidR="00A94B18" w:rsidRPr="00F9522B">
        <w:rPr>
          <w:rFonts w:ascii="Times New Roman" w:hAnsi="Times New Roman" w:cs="Times New Roman"/>
        </w:rPr>
        <w:t>5</w:t>
      </w:r>
      <w:r w:rsidRPr="00F9522B">
        <w:rPr>
          <w:rFonts w:ascii="Times New Roman" w:hAnsi="Times New Roman" w:cs="Times New Roman"/>
        </w:rPr>
        <w:t>科</w:t>
      </w:r>
      <w:r w:rsidR="002A421B" w:rsidRPr="00F9522B">
        <w:rPr>
          <w:rFonts w:ascii="Times New Roman" w:hAnsi="Times New Roman" w:cs="Times New Roman"/>
        </w:rPr>
        <w:t>8</w:t>
      </w:r>
      <w:r w:rsidRPr="00F9522B">
        <w:rPr>
          <w:rFonts w:ascii="Times New Roman" w:hAnsi="Times New Roman" w:cs="Times New Roman"/>
        </w:rPr>
        <w:t>种，</w:t>
      </w:r>
      <w:r w:rsidR="008A23E4" w:rsidRPr="00F9522B">
        <w:rPr>
          <w:rFonts w:ascii="Times New Roman" w:hAnsi="Times New Roman" w:cs="Times New Roman"/>
        </w:rPr>
        <w:t>黑龙江茴鱼主要分布区在松花江上游山区支流，鳇、</w:t>
      </w:r>
      <w:r w:rsidRPr="00F9522B">
        <w:rPr>
          <w:rFonts w:ascii="Times New Roman" w:hAnsi="Times New Roman" w:cs="Times New Roman"/>
        </w:rPr>
        <w:t>施氏鲟和怀头鲇的主要分布区在松花江下游及黑龙江中游，由于大顶山航电枢纽的建设阻隔了日本七鳃鳗、施氏鲟和怀头鲇的洄游通道，评价水域多年未见日本七鳃鳗。</w:t>
      </w:r>
    </w:p>
    <w:p w:rsidR="002A5A5E" w:rsidRPr="00F9522B" w:rsidRDefault="00611CBA">
      <w:pPr>
        <w:pStyle w:val="ab"/>
        <w:spacing w:after="0"/>
        <w:jc w:val="center"/>
        <w:rPr>
          <w:b/>
          <w:bCs/>
        </w:rPr>
      </w:pPr>
      <w:r w:rsidRPr="00F9522B">
        <w:rPr>
          <w:b/>
          <w:bCs/>
          <w:spacing w:val="-2"/>
        </w:rPr>
        <w:t>表</w:t>
      </w:r>
      <w:r w:rsidRPr="00F9522B">
        <w:rPr>
          <w:b/>
          <w:bCs/>
          <w:spacing w:val="-2"/>
        </w:rPr>
        <w:t>4-2-30</w:t>
      </w:r>
      <w:r w:rsidRPr="00F9522B">
        <w:rPr>
          <w:b/>
          <w:bCs/>
          <w:spacing w:val="-2"/>
        </w:rPr>
        <w:t>国家重点保护</w:t>
      </w:r>
      <w:r w:rsidRPr="00F9522B">
        <w:rPr>
          <w:b/>
          <w:bCs/>
          <w:spacing w:val="-2"/>
          <w:szCs w:val="21"/>
        </w:rPr>
        <w:t>及濒危鱼类名录</w:t>
      </w:r>
    </w:p>
    <w:tbl>
      <w:tblPr>
        <w:tblStyle w:val="TableNormal"/>
        <w:tblW w:w="8355" w:type="dxa"/>
        <w:tblInd w:w="138" w:type="dxa"/>
        <w:tblBorders>
          <w:top w:val="single" w:sz="12" w:space="0" w:color="000000"/>
          <w:bottom w:val="single" w:sz="12" w:space="0" w:color="000000"/>
          <w:insideH w:val="single" w:sz="2" w:space="0" w:color="000000"/>
          <w:insideV w:val="single" w:sz="2" w:space="0" w:color="000000"/>
        </w:tblBorders>
        <w:tblLayout w:type="fixed"/>
        <w:tblLook w:val="04A0"/>
      </w:tblPr>
      <w:tblGrid>
        <w:gridCol w:w="2633"/>
        <w:gridCol w:w="2191"/>
        <w:gridCol w:w="1275"/>
        <w:gridCol w:w="1134"/>
        <w:gridCol w:w="1122"/>
      </w:tblGrid>
      <w:tr w:rsidR="002A5A5E" w:rsidRPr="00F9522B" w:rsidTr="00F91912">
        <w:trPr>
          <w:trHeight w:val="358"/>
        </w:trPr>
        <w:tc>
          <w:tcPr>
            <w:tcW w:w="2633"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z w:val="21"/>
                <w:szCs w:val="21"/>
              </w:rPr>
              <w:t>目</w:t>
            </w:r>
          </w:p>
        </w:tc>
        <w:tc>
          <w:tcPr>
            <w:tcW w:w="2191"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z w:val="21"/>
                <w:szCs w:val="21"/>
              </w:rPr>
              <w:t>科</w:t>
            </w:r>
          </w:p>
        </w:tc>
        <w:tc>
          <w:tcPr>
            <w:tcW w:w="1275"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4"/>
                <w:sz w:val="21"/>
                <w:szCs w:val="21"/>
              </w:rPr>
              <w:t>种类</w:t>
            </w:r>
          </w:p>
        </w:tc>
        <w:tc>
          <w:tcPr>
            <w:tcW w:w="1134"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7"/>
                <w:sz w:val="21"/>
                <w:szCs w:val="21"/>
              </w:rPr>
              <w:t>濒危等</w:t>
            </w:r>
            <w:r w:rsidRPr="00F9522B">
              <w:rPr>
                <w:rFonts w:eastAsia="宋体"/>
                <w:color w:val="auto"/>
                <w:sz w:val="21"/>
                <w:szCs w:val="21"/>
              </w:rPr>
              <w:t>级</w:t>
            </w:r>
          </w:p>
        </w:tc>
        <w:tc>
          <w:tcPr>
            <w:tcW w:w="1122"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6"/>
                <w:sz w:val="21"/>
                <w:szCs w:val="21"/>
              </w:rPr>
              <w:t>保护级</w:t>
            </w:r>
            <w:r w:rsidRPr="00F9522B">
              <w:rPr>
                <w:rFonts w:eastAsia="宋体"/>
                <w:color w:val="auto"/>
                <w:sz w:val="21"/>
                <w:szCs w:val="21"/>
              </w:rPr>
              <w:t>别</w:t>
            </w:r>
          </w:p>
        </w:tc>
      </w:tr>
      <w:tr w:rsidR="002A5A5E" w:rsidRPr="00F9522B" w:rsidTr="00F91912">
        <w:trPr>
          <w:trHeight w:val="354"/>
        </w:trPr>
        <w:tc>
          <w:tcPr>
            <w:tcW w:w="2633" w:type="dxa"/>
            <w:vMerge w:val="restart"/>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23"/>
                <w:sz w:val="21"/>
                <w:szCs w:val="21"/>
              </w:rPr>
              <w:t>七鳃鳗目</w:t>
            </w:r>
            <w:r w:rsidRPr="00F9522B">
              <w:rPr>
                <w:color w:val="auto"/>
                <w:sz w:val="21"/>
                <w:szCs w:val="21"/>
              </w:rPr>
              <w:t>Petromyzoniformes</w:t>
            </w:r>
          </w:p>
        </w:tc>
        <w:tc>
          <w:tcPr>
            <w:tcW w:w="2191" w:type="dxa"/>
            <w:vMerge w:val="restart"/>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20"/>
                <w:sz w:val="21"/>
                <w:szCs w:val="21"/>
              </w:rPr>
              <w:t>七鳃鳗科</w:t>
            </w:r>
            <w:r w:rsidRPr="00F9522B">
              <w:rPr>
                <w:color w:val="auto"/>
                <w:sz w:val="21"/>
                <w:szCs w:val="21"/>
              </w:rPr>
              <w:t>Petromyzonidae</w:t>
            </w:r>
          </w:p>
        </w:tc>
        <w:tc>
          <w:tcPr>
            <w:tcW w:w="1275"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7"/>
                <w:sz w:val="21"/>
                <w:szCs w:val="21"/>
              </w:rPr>
              <w:t>雷氏七鳃鳗</w:t>
            </w:r>
          </w:p>
        </w:tc>
        <w:tc>
          <w:tcPr>
            <w:tcW w:w="1134"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5"/>
                <w:szCs w:val="21"/>
              </w:rPr>
              <w:t>VU</w:t>
            </w:r>
          </w:p>
        </w:tc>
        <w:tc>
          <w:tcPr>
            <w:tcW w:w="1122" w:type="dxa"/>
            <w:vAlign w:val="center"/>
          </w:tcPr>
          <w:p w:rsidR="002A5A5E" w:rsidRPr="00F9522B" w:rsidRDefault="00611CBA">
            <w:pPr>
              <w:pStyle w:val="TableText"/>
              <w:spacing w:line="0" w:lineRule="atLeast"/>
              <w:jc w:val="center"/>
              <w:rPr>
                <w:color w:val="auto"/>
                <w:sz w:val="21"/>
                <w:szCs w:val="21"/>
              </w:rPr>
            </w:pPr>
            <w:r w:rsidRPr="00F9522B">
              <w:rPr>
                <w:color w:val="auto"/>
                <w:sz w:val="21"/>
                <w:szCs w:val="21"/>
              </w:rPr>
              <w:t>Ⅱ</w:t>
            </w:r>
          </w:p>
        </w:tc>
      </w:tr>
      <w:tr w:rsidR="002A5A5E" w:rsidRPr="00F9522B" w:rsidTr="00F91912">
        <w:trPr>
          <w:trHeight w:val="355"/>
        </w:trPr>
        <w:tc>
          <w:tcPr>
            <w:tcW w:w="2633" w:type="dxa"/>
            <w:vMerge/>
            <w:vAlign w:val="center"/>
          </w:tcPr>
          <w:p w:rsidR="002A5A5E" w:rsidRPr="00F9522B" w:rsidRDefault="002A5A5E">
            <w:pPr>
              <w:spacing w:line="0" w:lineRule="atLeast"/>
              <w:jc w:val="center"/>
              <w:rPr>
                <w:szCs w:val="21"/>
              </w:rPr>
            </w:pPr>
          </w:p>
        </w:tc>
        <w:tc>
          <w:tcPr>
            <w:tcW w:w="2191" w:type="dxa"/>
            <w:vMerge/>
            <w:vAlign w:val="center"/>
          </w:tcPr>
          <w:p w:rsidR="002A5A5E" w:rsidRPr="00F9522B" w:rsidRDefault="002A5A5E">
            <w:pPr>
              <w:spacing w:line="0" w:lineRule="atLeast"/>
              <w:jc w:val="center"/>
              <w:rPr>
                <w:szCs w:val="21"/>
              </w:rPr>
            </w:pPr>
          </w:p>
        </w:tc>
        <w:tc>
          <w:tcPr>
            <w:tcW w:w="1275"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z w:val="21"/>
                <w:szCs w:val="21"/>
              </w:rPr>
              <w:t>日本七鰓鰻</w:t>
            </w:r>
          </w:p>
        </w:tc>
        <w:tc>
          <w:tcPr>
            <w:tcW w:w="1134"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3"/>
                <w:szCs w:val="21"/>
              </w:rPr>
              <w:t>LC</w:t>
            </w:r>
          </w:p>
        </w:tc>
        <w:tc>
          <w:tcPr>
            <w:tcW w:w="1122" w:type="dxa"/>
            <w:vAlign w:val="center"/>
          </w:tcPr>
          <w:p w:rsidR="002A5A5E" w:rsidRPr="00F9522B" w:rsidRDefault="00611CBA">
            <w:pPr>
              <w:pStyle w:val="TableText"/>
              <w:spacing w:line="0" w:lineRule="atLeast"/>
              <w:jc w:val="center"/>
              <w:rPr>
                <w:color w:val="auto"/>
                <w:sz w:val="21"/>
                <w:szCs w:val="21"/>
              </w:rPr>
            </w:pPr>
            <w:r w:rsidRPr="00F9522B">
              <w:rPr>
                <w:color w:val="auto"/>
                <w:sz w:val="21"/>
                <w:szCs w:val="21"/>
              </w:rPr>
              <w:t>Ⅱ</w:t>
            </w:r>
          </w:p>
        </w:tc>
      </w:tr>
      <w:tr w:rsidR="00F91912" w:rsidRPr="00F9522B" w:rsidTr="00F91912">
        <w:trPr>
          <w:trHeight w:val="355"/>
        </w:trPr>
        <w:tc>
          <w:tcPr>
            <w:tcW w:w="2633" w:type="dxa"/>
            <w:vMerge w:val="restart"/>
            <w:vAlign w:val="center"/>
          </w:tcPr>
          <w:p w:rsidR="00F91912" w:rsidRPr="00F9522B" w:rsidRDefault="00F91912">
            <w:pPr>
              <w:pStyle w:val="TableText"/>
              <w:spacing w:line="0" w:lineRule="atLeast"/>
              <w:jc w:val="center"/>
              <w:rPr>
                <w:color w:val="auto"/>
                <w:sz w:val="21"/>
                <w:szCs w:val="21"/>
              </w:rPr>
            </w:pPr>
            <w:r w:rsidRPr="00F9522B">
              <w:rPr>
                <w:rFonts w:eastAsia="宋体"/>
                <w:color w:val="auto"/>
                <w:spacing w:val="21"/>
                <w:sz w:val="21"/>
                <w:szCs w:val="21"/>
              </w:rPr>
              <w:t>鲟形目</w:t>
            </w:r>
            <w:r w:rsidRPr="00F9522B">
              <w:rPr>
                <w:color w:val="auto"/>
                <w:sz w:val="21"/>
                <w:szCs w:val="21"/>
              </w:rPr>
              <w:t>Acipenseriformes</w:t>
            </w:r>
          </w:p>
        </w:tc>
        <w:tc>
          <w:tcPr>
            <w:tcW w:w="2191" w:type="dxa"/>
            <w:vMerge w:val="restart"/>
            <w:vAlign w:val="center"/>
          </w:tcPr>
          <w:p w:rsidR="00F91912" w:rsidRPr="00F9522B" w:rsidRDefault="00F91912">
            <w:pPr>
              <w:pStyle w:val="TableText"/>
              <w:spacing w:line="0" w:lineRule="atLeast"/>
              <w:jc w:val="center"/>
              <w:rPr>
                <w:color w:val="auto"/>
                <w:sz w:val="21"/>
                <w:szCs w:val="21"/>
              </w:rPr>
            </w:pPr>
            <w:r w:rsidRPr="00F9522B">
              <w:rPr>
                <w:rFonts w:eastAsia="宋体"/>
                <w:color w:val="auto"/>
                <w:spacing w:val="20"/>
                <w:sz w:val="21"/>
                <w:szCs w:val="21"/>
              </w:rPr>
              <w:t>鲟科</w:t>
            </w:r>
            <w:r w:rsidRPr="00F9522B">
              <w:rPr>
                <w:color w:val="auto"/>
                <w:sz w:val="21"/>
                <w:szCs w:val="21"/>
              </w:rPr>
              <w:t>Acipenseridae</w:t>
            </w:r>
          </w:p>
        </w:tc>
        <w:tc>
          <w:tcPr>
            <w:tcW w:w="1275" w:type="dxa"/>
            <w:vAlign w:val="center"/>
          </w:tcPr>
          <w:p w:rsidR="00F91912" w:rsidRPr="00F9522B" w:rsidRDefault="00F91912">
            <w:pPr>
              <w:pStyle w:val="TableText"/>
              <w:spacing w:line="0" w:lineRule="atLeast"/>
              <w:jc w:val="center"/>
              <w:rPr>
                <w:color w:val="auto"/>
                <w:sz w:val="21"/>
                <w:szCs w:val="21"/>
              </w:rPr>
            </w:pPr>
            <w:r w:rsidRPr="00F9522B">
              <w:rPr>
                <w:rFonts w:eastAsia="宋体"/>
                <w:color w:val="auto"/>
                <w:spacing w:val="7"/>
                <w:sz w:val="21"/>
                <w:szCs w:val="21"/>
              </w:rPr>
              <w:t>施氏鲟</w:t>
            </w:r>
          </w:p>
        </w:tc>
        <w:tc>
          <w:tcPr>
            <w:tcW w:w="1134" w:type="dxa"/>
            <w:vAlign w:val="center"/>
          </w:tcPr>
          <w:p w:rsidR="00F91912" w:rsidRPr="00F9522B" w:rsidRDefault="00F91912">
            <w:pPr>
              <w:kinsoku w:val="0"/>
              <w:autoSpaceDE w:val="0"/>
              <w:autoSpaceDN w:val="0"/>
              <w:adjustRightInd w:val="0"/>
              <w:snapToGrid w:val="0"/>
              <w:spacing w:line="0" w:lineRule="atLeast"/>
              <w:jc w:val="center"/>
              <w:textAlignment w:val="baseline"/>
              <w:rPr>
                <w:szCs w:val="21"/>
              </w:rPr>
            </w:pPr>
            <w:r w:rsidRPr="00F9522B">
              <w:rPr>
                <w:spacing w:val="3"/>
                <w:szCs w:val="21"/>
              </w:rPr>
              <w:t>CR</w:t>
            </w:r>
          </w:p>
        </w:tc>
        <w:tc>
          <w:tcPr>
            <w:tcW w:w="1122" w:type="dxa"/>
            <w:vAlign w:val="center"/>
          </w:tcPr>
          <w:p w:rsidR="00F91912" w:rsidRPr="00F9522B" w:rsidRDefault="00F91912">
            <w:pPr>
              <w:pStyle w:val="TableText"/>
              <w:spacing w:line="0" w:lineRule="atLeast"/>
              <w:jc w:val="center"/>
              <w:rPr>
                <w:color w:val="auto"/>
                <w:sz w:val="21"/>
                <w:szCs w:val="21"/>
              </w:rPr>
            </w:pPr>
            <w:r w:rsidRPr="00F9522B">
              <w:rPr>
                <w:color w:val="auto"/>
                <w:position w:val="1"/>
                <w:sz w:val="21"/>
                <w:szCs w:val="21"/>
              </w:rPr>
              <w:t>Ⅱ</w:t>
            </w:r>
          </w:p>
        </w:tc>
      </w:tr>
      <w:tr w:rsidR="00F91912" w:rsidRPr="00F9522B" w:rsidTr="00F91912">
        <w:trPr>
          <w:trHeight w:val="355"/>
        </w:trPr>
        <w:tc>
          <w:tcPr>
            <w:tcW w:w="2633" w:type="dxa"/>
            <w:vMerge/>
            <w:vAlign w:val="center"/>
          </w:tcPr>
          <w:p w:rsidR="00F91912" w:rsidRPr="00F9522B" w:rsidRDefault="00F91912">
            <w:pPr>
              <w:pStyle w:val="TableText"/>
              <w:spacing w:line="0" w:lineRule="atLeast"/>
              <w:jc w:val="center"/>
              <w:rPr>
                <w:rFonts w:eastAsia="宋体"/>
                <w:color w:val="auto"/>
                <w:spacing w:val="21"/>
                <w:sz w:val="21"/>
                <w:szCs w:val="21"/>
              </w:rPr>
            </w:pPr>
          </w:p>
        </w:tc>
        <w:tc>
          <w:tcPr>
            <w:tcW w:w="2191" w:type="dxa"/>
            <w:vMerge/>
            <w:vAlign w:val="center"/>
          </w:tcPr>
          <w:p w:rsidR="00F91912" w:rsidRPr="00F9522B" w:rsidRDefault="00F91912">
            <w:pPr>
              <w:pStyle w:val="TableText"/>
              <w:spacing w:line="0" w:lineRule="atLeast"/>
              <w:jc w:val="center"/>
              <w:rPr>
                <w:rFonts w:eastAsia="宋体"/>
                <w:color w:val="auto"/>
                <w:spacing w:val="20"/>
                <w:sz w:val="21"/>
                <w:szCs w:val="21"/>
              </w:rPr>
            </w:pPr>
          </w:p>
        </w:tc>
        <w:tc>
          <w:tcPr>
            <w:tcW w:w="1275" w:type="dxa"/>
            <w:vAlign w:val="center"/>
          </w:tcPr>
          <w:p w:rsidR="00F91912" w:rsidRPr="00F9522B" w:rsidRDefault="00F91912">
            <w:pPr>
              <w:pStyle w:val="TableText"/>
              <w:spacing w:line="0" w:lineRule="atLeast"/>
              <w:jc w:val="center"/>
              <w:rPr>
                <w:rFonts w:eastAsiaTheme="minorEastAsia"/>
                <w:color w:val="auto"/>
                <w:spacing w:val="7"/>
                <w:sz w:val="21"/>
                <w:szCs w:val="21"/>
                <w:lang w:eastAsia="zh-CN"/>
              </w:rPr>
            </w:pPr>
            <w:r w:rsidRPr="00F9522B">
              <w:rPr>
                <w:rFonts w:eastAsia="宋体"/>
                <w:color w:val="auto"/>
                <w:sz w:val="21"/>
                <w:szCs w:val="21"/>
              </w:rPr>
              <w:t>鳇</w:t>
            </w:r>
          </w:p>
        </w:tc>
        <w:tc>
          <w:tcPr>
            <w:tcW w:w="1134" w:type="dxa"/>
            <w:vAlign w:val="center"/>
          </w:tcPr>
          <w:p w:rsidR="00F91912" w:rsidRPr="00F9522B" w:rsidRDefault="002A421B">
            <w:pPr>
              <w:kinsoku w:val="0"/>
              <w:autoSpaceDE w:val="0"/>
              <w:autoSpaceDN w:val="0"/>
              <w:adjustRightInd w:val="0"/>
              <w:snapToGrid w:val="0"/>
              <w:spacing w:line="0" w:lineRule="atLeast"/>
              <w:jc w:val="center"/>
              <w:textAlignment w:val="baseline"/>
              <w:rPr>
                <w:spacing w:val="3"/>
                <w:szCs w:val="21"/>
              </w:rPr>
            </w:pPr>
            <w:r w:rsidRPr="00F9522B">
              <w:rPr>
                <w:spacing w:val="3"/>
                <w:szCs w:val="21"/>
              </w:rPr>
              <w:t>CR</w:t>
            </w:r>
          </w:p>
        </w:tc>
        <w:tc>
          <w:tcPr>
            <w:tcW w:w="1122" w:type="dxa"/>
            <w:vAlign w:val="center"/>
          </w:tcPr>
          <w:p w:rsidR="00F91912" w:rsidRPr="00F9522B" w:rsidRDefault="005273A1">
            <w:pPr>
              <w:pStyle w:val="TableText"/>
              <w:spacing w:line="0" w:lineRule="atLeast"/>
              <w:jc w:val="center"/>
              <w:rPr>
                <w:color w:val="auto"/>
                <w:position w:val="1"/>
                <w:sz w:val="21"/>
                <w:szCs w:val="21"/>
              </w:rPr>
            </w:pPr>
            <w:r w:rsidRPr="00F9522B">
              <w:rPr>
                <w:color w:val="auto"/>
                <w:sz w:val="21"/>
                <w:szCs w:val="21"/>
              </w:rPr>
              <w:fldChar w:fldCharType="begin"/>
            </w:r>
            <w:r w:rsidR="00F91912" w:rsidRPr="00F9522B">
              <w:rPr>
                <w:color w:val="auto"/>
                <w:sz w:val="21"/>
                <w:szCs w:val="21"/>
              </w:rPr>
              <w:instrText xml:space="preserve"> = 1 \* ROMAN </w:instrText>
            </w:r>
            <w:r w:rsidRPr="00F9522B">
              <w:rPr>
                <w:color w:val="auto"/>
                <w:sz w:val="21"/>
                <w:szCs w:val="21"/>
              </w:rPr>
              <w:fldChar w:fldCharType="separate"/>
            </w:r>
            <w:r w:rsidR="00F91912" w:rsidRPr="00F9522B">
              <w:rPr>
                <w:noProof/>
                <w:color w:val="auto"/>
                <w:sz w:val="21"/>
                <w:szCs w:val="21"/>
              </w:rPr>
              <w:t>I</w:t>
            </w:r>
            <w:r w:rsidRPr="00F9522B">
              <w:rPr>
                <w:color w:val="auto"/>
                <w:sz w:val="21"/>
                <w:szCs w:val="21"/>
              </w:rPr>
              <w:fldChar w:fldCharType="end"/>
            </w:r>
          </w:p>
        </w:tc>
      </w:tr>
      <w:tr w:rsidR="002A5A5E" w:rsidRPr="00F9522B" w:rsidTr="00F91912">
        <w:trPr>
          <w:trHeight w:val="379"/>
        </w:trPr>
        <w:tc>
          <w:tcPr>
            <w:tcW w:w="2633"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8"/>
                <w:sz w:val="21"/>
                <w:szCs w:val="21"/>
              </w:rPr>
              <w:t>鲇形目</w:t>
            </w:r>
            <w:r w:rsidRPr="00F9522B">
              <w:rPr>
                <w:color w:val="auto"/>
                <w:sz w:val="21"/>
                <w:szCs w:val="21"/>
              </w:rPr>
              <w:t>Siluriformes</w:t>
            </w:r>
          </w:p>
        </w:tc>
        <w:tc>
          <w:tcPr>
            <w:tcW w:w="2191"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15"/>
                <w:sz w:val="21"/>
                <w:szCs w:val="21"/>
              </w:rPr>
              <w:t>鲇科</w:t>
            </w:r>
            <w:r w:rsidRPr="00F9522B">
              <w:rPr>
                <w:color w:val="auto"/>
                <w:sz w:val="21"/>
                <w:szCs w:val="21"/>
              </w:rPr>
              <w:t>Siluridae</w:t>
            </w:r>
          </w:p>
        </w:tc>
        <w:tc>
          <w:tcPr>
            <w:tcW w:w="1275" w:type="dxa"/>
            <w:vAlign w:val="center"/>
          </w:tcPr>
          <w:p w:rsidR="002A5A5E" w:rsidRPr="00F9522B" w:rsidRDefault="00611CBA">
            <w:pPr>
              <w:pStyle w:val="TableText"/>
              <w:spacing w:line="0" w:lineRule="atLeast"/>
              <w:jc w:val="center"/>
              <w:rPr>
                <w:color w:val="auto"/>
                <w:sz w:val="21"/>
                <w:szCs w:val="21"/>
              </w:rPr>
            </w:pPr>
            <w:r w:rsidRPr="00F9522B">
              <w:rPr>
                <w:rFonts w:eastAsia="宋体"/>
                <w:color w:val="auto"/>
                <w:spacing w:val="6"/>
                <w:sz w:val="21"/>
                <w:szCs w:val="21"/>
              </w:rPr>
              <w:t>怀头鲇</w:t>
            </w:r>
          </w:p>
        </w:tc>
        <w:tc>
          <w:tcPr>
            <w:tcW w:w="1134" w:type="dxa"/>
            <w:vAlign w:val="center"/>
          </w:tcPr>
          <w:p w:rsidR="002A5A5E" w:rsidRPr="00F9522B" w:rsidRDefault="00611CBA">
            <w:pPr>
              <w:kinsoku w:val="0"/>
              <w:autoSpaceDE w:val="0"/>
              <w:autoSpaceDN w:val="0"/>
              <w:adjustRightInd w:val="0"/>
              <w:snapToGrid w:val="0"/>
              <w:spacing w:line="0" w:lineRule="atLeast"/>
              <w:jc w:val="center"/>
              <w:textAlignment w:val="baseline"/>
              <w:rPr>
                <w:szCs w:val="21"/>
              </w:rPr>
            </w:pPr>
            <w:r w:rsidRPr="00F9522B">
              <w:rPr>
                <w:spacing w:val="5"/>
                <w:szCs w:val="21"/>
              </w:rPr>
              <w:t>VU</w:t>
            </w:r>
          </w:p>
        </w:tc>
        <w:tc>
          <w:tcPr>
            <w:tcW w:w="1122" w:type="dxa"/>
            <w:vAlign w:val="center"/>
          </w:tcPr>
          <w:p w:rsidR="002A5A5E" w:rsidRPr="00F9522B" w:rsidRDefault="002A5A5E">
            <w:pPr>
              <w:kinsoku w:val="0"/>
              <w:autoSpaceDE w:val="0"/>
              <w:autoSpaceDN w:val="0"/>
              <w:adjustRightInd w:val="0"/>
              <w:snapToGrid w:val="0"/>
              <w:spacing w:line="0" w:lineRule="atLeast"/>
              <w:jc w:val="center"/>
              <w:textAlignment w:val="baseline"/>
              <w:rPr>
                <w:szCs w:val="21"/>
              </w:rPr>
            </w:pPr>
          </w:p>
        </w:tc>
      </w:tr>
      <w:tr w:rsidR="00F91912" w:rsidRPr="00F9522B" w:rsidTr="00F91912">
        <w:trPr>
          <w:trHeight w:val="379"/>
        </w:trPr>
        <w:tc>
          <w:tcPr>
            <w:tcW w:w="2633" w:type="dxa"/>
            <w:vMerge w:val="restart"/>
            <w:vAlign w:val="center"/>
          </w:tcPr>
          <w:p w:rsidR="00F91912" w:rsidRPr="00F9522B" w:rsidRDefault="00F91912" w:rsidP="00F91912">
            <w:pPr>
              <w:pStyle w:val="TableText"/>
              <w:spacing w:line="0" w:lineRule="atLeast"/>
              <w:jc w:val="center"/>
              <w:rPr>
                <w:color w:val="auto"/>
                <w:sz w:val="21"/>
                <w:szCs w:val="21"/>
              </w:rPr>
            </w:pPr>
            <w:r w:rsidRPr="00F9522B">
              <w:rPr>
                <w:rFonts w:eastAsia="宋体"/>
                <w:color w:val="auto"/>
                <w:spacing w:val="7"/>
                <w:sz w:val="21"/>
                <w:szCs w:val="21"/>
              </w:rPr>
              <w:t>鲑形目</w:t>
            </w:r>
          </w:p>
          <w:p w:rsidR="00F91912" w:rsidRPr="00F9522B" w:rsidRDefault="00F91912" w:rsidP="00F91912">
            <w:pPr>
              <w:pStyle w:val="TableText"/>
              <w:spacing w:line="0" w:lineRule="atLeast"/>
              <w:jc w:val="center"/>
              <w:rPr>
                <w:rFonts w:eastAsia="宋体"/>
                <w:color w:val="auto"/>
                <w:spacing w:val="18"/>
                <w:sz w:val="21"/>
                <w:szCs w:val="21"/>
              </w:rPr>
            </w:pPr>
            <w:r w:rsidRPr="00F9522B">
              <w:rPr>
                <w:color w:val="auto"/>
                <w:spacing w:val="3"/>
                <w:sz w:val="21"/>
                <w:szCs w:val="21"/>
              </w:rPr>
              <w:t>Salmoniformes</w:t>
            </w:r>
          </w:p>
        </w:tc>
        <w:tc>
          <w:tcPr>
            <w:tcW w:w="2191" w:type="dxa"/>
            <w:vAlign w:val="center"/>
          </w:tcPr>
          <w:p w:rsidR="00F91912" w:rsidRPr="00F9522B" w:rsidRDefault="00F91912" w:rsidP="008A23E4">
            <w:pPr>
              <w:pStyle w:val="TableText"/>
              <w:spacing w:line="0" w:lineRule="atLeast"/>
              <w:jc w:val="center"/>
              <w:rPr>
                <w:rFonts w:eastAsia="宋体"/>
                <w:color w:val="auto"/>
                <w:spacing w:val="23"/>
                <w:sz w:val="21"/>
                <w:szCs w:val="21"/>
              </w:rPr>
            </w:pPr>
            <w:r w:rsidRPr="00F9522B">
              <w:rPr>
                <w:rFonts w:eastAsia="宋体"/>
                <w:color w:val="auto"/>
                <w:sz w:val="21"/>
                <w:szCs w:val="21"/>
              </w:rPr>
              <w:t>茴鱼科</w:t>
            </w:r>
            <w:r w:rsidRPr="00F9522B">
              <w:rPr>
                <w:color w:val="auto"/>
                <w:sz w:val="21"/>
                <w:szCs w:val="21"/>
              </w:rPr>
              <w:t>Thymallidae</w:t>
            </w:r>
          </w:p>
        </w:tc>
        <w:tc>
          <w:tcPr>
            <w:tcW w:w="1275" w:type="dxa"/>
            <w:vAlign w:val="center"/>
          </w:tcPr>
          <w:p w:rsidR="00F91912" w:rsidRPr="00F9522B" w:rsidRDefault="00F91912" w:rsidP="00F91912">
            <w:pPr>
              <w:pStyle w:val="TableText"/>
              <w:spacing w:line="0" w:lineRule="atLeast"/>
              <w:jc w:val="center"/>
              <w:rPr>
                <w:rFonts w:eastAsiaTheme="minorEastAsia"/>
                <w:color w:val="auto"/>
                <w:spacing w:val="21"/>
                <w:position w:val="2"/>
                <w:sz w:val="21"/>
                <w:szCs w:val="21"/>
                <w:lang w:eastAsia="zh-CN"/>
              </w:rPr>
            </w:pPr>
            <w:r w:rsidRPr="00F9522B">
              <w:rPr>
                <w:rFonts w:eastAsia="宋体"/>
                <w:color w:val="auto"/>
                <w:sz w:val="21"/>
                <w:szCs w:val="21"/>
              </w:rPr>
              <w:t>黑龙江茴鱼</w:t>
            </w:r>
          </w:p>
        </w:tc>
        <w:tc>
          <w:tcPr>
            <w:tcW w:w="1134" w:type="dxa"/>
            <w:vAlign w:val="center"/>
          </w:tcPr>
          <w:p w:rsidR="00F91912" w:rsidRPr="00F9522B" w:rsidRDefault="00F91912">
            <w:pPr>
              <w:kinsoku w:val="0"/>
              <w:autoSpaceDE w:val="0"/>
              <w:autoSpaceDN w:val="0"/>
              <w:adjustRightInd w:val="0"/>
              <w:snapToGrid w:val="0"/>
              <w:spacing w:line="0" w:lineRule="atLeast"/>
              <w:jc w:val="center"/>
              <w:textAlignment w:val="baseline"/>
              <w:rPr>
                <w:spacing w:val="5"/>
                <w:szCs w:val="21"/>
              </w:rPr>
            </w:pPr>
            <w:r w:rsidRPr="00F9522B">
              <w:rPr>
                <w:spacing w:val="5"/>
                <w:szCs w:val="21"/>
              </w:rPr>
              <w:t>VU</w:t>
            </w:r>
          </w:p>
        </w:tc>
        <w:tc>
          <w:tcPr>
            <w:tcW w:w="1122" w:type="dxa"/>
            <w:vAlign w:val="center"/>
          </w:tcPr>
          <w:p w:rsidR="00F91912" w:rsidRPr="00F9522B" w:rsidRDefault="00F91912">
            <w:pPr>
              <w:kinsoku w:val="0"/>
              <w:autoSpaceDE w:val="0"/>
              <w:autoSpaceDN w:val="0"/>
              <w:adjustRightInd w:val="0"/>
              <w:snapToGrid w:val="0"/>
              <w:spacing w:line="0" w:lineRule="atLeast"/>
              <w:jc w:val="center"/>
              <w:textAlignment w:val="baseline"/>
              <w:rPr>
                <w:szCs w:val="21"/>
              </w:rPr>
            </w:pPr>
          </w:p>
        </w:tc>
      </w:tr>
      <w:tr w:rsidR="00F91912" w:rsidRPr="00F9522B" w:rsidTr="00F91912">
        <w:trPr>
          <w:trHeight w:val="379"/>
        </w:trPr>
        <w:tc>
          <w:tcPr>
            <w:tcW w:w="2633" w:type="dxa"/>
            <w:vMerge/>
            <w:vAlign w:val="center"/>
          </w:tcPr>
          <w:p w:rsidR="00F91912" w:rsidRPr="00F9522B" w:rsidRDefault="00F91912">
            <w:pPr>
              <w:pStyle w:val="TableText"/>
              <w:spacing w:line="0" w:lineRule="atLeast"/>
              <w:jc w:val="center"/>
              <w:rPr>
                <w:rFonts w:eastAsia="宋体"/>
                <w:color w:val="auto"/>
                <w:spacing w:val="18"/>
                <w:sz w:val="21"/>
                <w:szCs w:val="21"/>
              </w:rPr>
            </w:pPr>
          </w:p>
        </w:tc>
        <w:tc>
          <w:tcPr>
            <w:tcW w:w="2191" w:type="dxa"/>
            <w:vMerge w:val="restart"/>
            <w:vAlign w:val="center"/>
          </w:tcPr>
          <w:p w:rsidR="00F91912" w:rsidRPr="00F9522B" w:rsidRDefault="00F91912" w:rsidP="008A23E4">
            <w:pPr>
              <w:pStyle w:val="TableText"/>
              <w:spacing w:line="0" w:lineRule="atLeast"/>
              <w:jc w:val="center"/>
              <w:rPr>
                <w:rFonts w:eastAsia="宋体"/>
                <w:color w:val="auto"/>
                <w:spacing w:val="17"/>
                <w:sz w:val="21"/>
                <w:szCs w:val="21"/>
              </w:rPr>
            </w:pPr>
            <w:r w:rsidRPr="00F9522B">
              <w:rPr>
                <w:rFonts w:eastAsia="宋体"/>
                <w:color w:val="auto"/>
                <w:sz w:val="21"/>
                <w:szCs w:val="21"/>
              </w:rPr>
              <w:t>鲑科</w:t>
            </w:r>
            <w:r w:rsidRPr="00F9522B">
              <w:rPr>
                <w:i/>
                <w:color w:val="auto"/>
                <w:sz w:val="21"/>
                <w:szCs w:val="21"/>
              </w:rPr>
              <w:t xml:space="preserve"> </w:t>
            </w:r>
            <w:r w:rsidRPr="00F9522B">
              <w:rPr>
                <w:color w:val="auto"/>
                <w:sz w:val="21"/>
                <w:szCs w:val="21"/>
              </w:rPr>
              <w:t>Salmonidae</w:t>
            </w:r>
          </w:p>
        </w:tc>
        <w:tc>
          <w:tcPr>
            <w:tcW w:w="1275" w:type="dxa"/>
            <w:vAlign w:val="center"/>
          </w:tcPr>
          <w:p w:rsidR="00F91912" w:rsidRPr="00F9522B" w:rsidRDefault="00F91912" w:rsidP="00F91912">
            <w:pPr>
              <w:pStyle w:val="TableText"/>
              <w:spacing w:line="0" w:lineRule="atLeast"/>
              <w:jc w:val="center"/>
              <w:rPr>
                <w:rFonts w:eastAsia="宋体"/>
                <w:color w:val="auto"/>
                <w:spacing w:val="19"/>
                <w:position w:val="1"/>
                <w:sz w:val="21"/>
                <w:szCs w:val="21"/>
              </w:rPr>
            </w:pPr>
            <w:r w:rsidRPr="00F9522B">
              <w:rPr>
                <w:rFonts w:eastAsia="宋体"/>
                <w:color w:val="auto"/>
                <w:sz w:val="21"/>
                <w:szCs w:val="21"/>
              </w:rPr>
              <w:t>哲罗鲑</w:t>
            </w:r>
          </w:p>
        </w:tc>
        <w:tc>
          <w:tcPr>
            <w:tcW w:w="1134" w:type="dxa"/>
            <w:vAlign w:val="center"/>
          </w:tcPr>
          <w:p w:rsidR="00F91912" w:rsidRPr="00F9522B" w:rsidRDefault="00A94B18">
            <w:pPr>
              <w:kinsoku w:val="0"/>
              <w:autoSpaceDE w:val="0"/>
              <w:autoSpaceDN w:val="0"/>
              <w:adjustRightInd w:val="0"/>
              <w:snapToGrid w:val="0"/>
              <w:spacing w:line="0" w:lineRule="atLeast"/>
              <w:jc w:val="center"/>
              <w:textAlignment w:val="baseline"/>
              <w:rPr>
                <w:spacing w:val="5"/>
                <w:szCs w:val="21"/>
              </w:rPr>
            </w:pPr>
            <w:r w:rsidRPr="00F9522B">
              <w:rPr>
                <w:spacing w:val="5"/>
                <w:szCs w:val="21"/>
              </w:rPr>
              <w:t>VU</w:t>
            </w:r>
          </w:p>
        </w:tc>
        <w:tc>
          <w:tcPr>
            <w:tcW w:w="1122" w:type="dxa"/>
            <w:vAlign w:val="center"/>
          </w:tcPr>
          <w:p w:rsidR="00F91912" w:rsidRPr="00F9522B" w:rsidRDefault="00F91912">
            <w:pPr>
              <w:kinsoku w:val="0"/>
              <w:autoSpaceDE w:val="0"/>
              <w:autoSpaceDN w:val="0"/>
              <w:adjustRightInd w:val="0"/>
              <w:snapToGrid w:val="0"/>
              <w:spacing w:line="0" w:lineRule="atLeast"/>
              <w:jc w:val="center"/>
              <w:textAlignment w:val="baseline"/>
              <w:rPr>
                <w:szCs w:val="21"/>
              </w:rPr>
            </w:pPr>
            <w:r w:rsidRPr="00F9522B">
              <w:rPr>
                <w:position w:val="1"/>
                <w:szCs w:val="21"/>
              </w:rPr>
              <w:t>Ⅱ</w:t>
            </w:r>
          </w:p>
        </w:tc>
      </w:tr>
      <w:tr w:rsidR="00F91912" w:rsidRPr="00F9522B" w:rsidTr="00F91912">
        <w:trPr>
          <w:trHeight w:val="379"/>
        </w:trPr>
        <w:tc>
          <w:tcPr>
            <w:tcW w:w="2633" w:type="dxa"/>
            <w:vMerge/>
            <w:vAlign w:val="center"/>
          </w:tcPr>
          <w:p w:rsidR="00F91912" w:rsidRPr="00F9522B" w:rsidRDefault="00F91912">
            <w:pPr>
              <w:pStyle w:val="TableText"/>
              <w:spacing w:line="0" w:lineRule="atLeast"/>
              <w:jc w:val="center"/>
              <w:rPr>
                <w:rFonts w:eastAsia="宋体"/>
                <w:color w:val="auto"/>
                <w:spacing w:val="18"/>
                <w:sz w:val="21"/>
                <w:szCs w:val="21"/>
              </w:rPr>
            </w:pPr>
          </w:p>
        </w:tc>
        <w:tc>
          <w:tcPr>
            <w:tcW w:w="2191" w:type="dxa"/>
            <w:vMerge/>
            <w:vAlign w:val="center"/>
          </w:tcPr>
          <w:p w:rsidR="00F91912" w:rsidRPr="00F9522B" w:rsidRDefault="00F91912" w:rsidP="008A23E4">
            <w:pPr>
              <w:pStyle w:val="TableText"/>
              <w:spacing w:line="0" w:lineRule="atLeast"/>
              <w:jc w:val="center"/>
              <w:rPr>
                <w:rFonts w:eastAsia="宋体"/>
                <w:color w:val="auto"/>
                <w:sz w:val="21"/>
                <w:szCs w:val="21"/>
              </w:rPr>
            </w:pPr>
          </w:p>
        </w:tc>
        <w:tc>
          <w:tcPr>
            <w:tcW w:w="1275" w:type="dxa"/>
            <w:vAlign w:val="center"/>
          </w:tcPr>
          <w:p w:rsidR="00F91912" w:rsidRPr="00F9522B" w:rsidRDefault="00F91912" w:rsidP="00F91912">
            <w:pPr>
              <w:pStyle w:val="TableText"/>
              <w:spacing w:line="0" w:lineRule="atLeast"/>
              <w:jc w:val="center"/>
              <w:rPr>
                <w:rFonts w:eastAsiaTheme="minorEastAsia"/>
                <w:color w:val="auto"/>
                <w:sz w:val="21"/>
                <w:szCs w:val="21"/>
                <w:lang w:eastAsia="zh-CN"/>
              </w:rPr>
            </w:pPr>
            <w:r w:rsidRPr="00F9522B">
              <w:rPr>
                <w:rFonts w:eastAsia="宋体"/>
                <w:color w:val="auto"/>
                <w:sz w:val="21"/>
                <w:szCs w:val="21"/>
              </w:rPr>
              <w:t>乌苏里白鲑</w:t>
            </w:r>
          </w:p>
        </w:tc>
        <w:tc>
          <w:tcPr>
            <w:tcW w:w="1134" w:type="dxa"/>
            <w:vAlign w:val="center"/>
          </w:tcPr>
          <w:p w:rsidR="00F91912" w:rsidRPr="00F9522B" w:rsidRDefault="00A94B18">
            <w:pPr>
              <w:kinsoku w:val="0"/>
              <w:autoSpaceDE w:val="0"/>
              <w:autoSpaceDN w:val="0"/>
              <w:adjustRightInd w:val="0"/>
              <w:snapToGrid w:val="0"/>
              <w:spacing w:line="0" w:lineRule="atLeast"/>
              <w:jc w:val="center"/>
              <w:textAlignment w:val="baseline"/>
              <w:rPr>
                <w:spacing w:val="5"/>
                <w:szCs w:val="21"/>
              </w:rPr>
            </w:pPr>
            <w:r w:rsidRPr="00F9522B">
              <w:rPr>
                <w:spacing w:val="5"/>
                <w:szCs w:val="21"/>
              </w:rPr>
              <w:t>VU</w:t>
            </w:r>
          </w:p>
        </w:tc>
        <w:tc>
          <w:tcPr>
            <w:tcW w:w="1122" w:type="dxa"/>
            <w:vAlign w:val="center"/>
          </w:tcPr>
          <w:p w:rsidR="00F91912" w:rsidRPr="00F9522B" w:rsidRDefault="00F91912">
            <w:pPr>
              <w:kinsoku w:val="0"/>
              <w:autoSpaceDE w:val="0"/>
              <w:autoSpaceDN w:val="0"/>
              <w:adjustRightInd w:val="0"/>
              <w:snapToGrid w:val="0"/>
              <w:spacing w:line="0" w:lineRule="atLeast"/>
              <w:jc w:val="center"/>
              <w:textAlignment w:val="baseline"/>
              <w:rPr>
                <w:szCs w:val="21"/>
              </w:rPr>
            </w:pPr>
          </w:p>
        </w:tc>
      </w:tr>
    </w:tbl>
    <w:p w:rsidR="002A5A5E" w:rsidRPr="00F9522B" w:rsidRDefault="00611CBA">
      <w:pPr>
        <w:widowControl/>
        <w:spacing w:line="0" w:lineRule="atLeast"/>
        <w:jc w:val="left"/>
        <w:rPr>
          <w:kern w:val="0"/>
          <w:sz w:val="24"/>
        </w:rPr>
      </w:pPr>
      <w:r w:rsidRPr="00F9522B">
        <w:rPr>
          <w:kern w:val="0"/>
          <w:sz w:val="18"/>
          <w:szCs w:val="18"/>
        </w:rPr>
        <w:t>注：</w:t>
      </w:r>
      <w:r w:rsidRPr="00F9522B">
        <w:rPr>
          <w:kern w:val="0"/>
          <w:sz w:val="18"/>
          <w:szCs w:val="18"/>
        </w:rPr>
        <w:t>“</w:t>
      </w:r>
      <w:r w:rsidRPr="00F9522B">
        <w:rPr>
          <w:kern w:val="0"/>
          <w:sz w:val="18"/>
          <w:szCs w:val="18"/>
        </w:rPr>
        <w:t>极危</w:t>
      </w:r>
      <w:r w:rsidRPr="00F9522B">
        <w:rPr>
          <w:kern w:val="0"/>
          <w:sz w:val="18"/>
          <w:szCs w:val="18"/>
        </w:rPr>
        <w:t>( Critically Endangered</w:t>
      </w:r>
      <w:r w:rsidRPr="00F9522B">
        <w:rPr>
          <w:kern w:val="0"/>
          <w:sz w:val="18"/>
          <w:szCs w:val="18"/>
        </w:rPr>
        <w:t>，</w:t>
      </w:r>
      <w:r w:rsidRPr="00F9522B">
        <w:rPr>
          <w:kern w:val="0"/>
          <w:sz w:val="18"/>
          <w:szCs w:val="18"/>
        </w:rPr>
        <w:t xml:space="preserve"> CR),</w:t>
      </w:r>
      <w:r w:rsidRPr="00F9522B">
        <w:rPr>
          <w:kern w:val="0"/>
          <w:sz w:val="18"/>
          <w:szCs w:val="18"/>
        </w:rPr>
        <w:t>濒危</w:t>
      </w:r>
      <w:r w:rsidRPr="00F9522B">
        <w:rPr>
          <w:kern w:val="0"/>
          <w:sz w:val="18"/>
          <w:szCs w:val="18"/>
        </w:rPr>
        <w:t>(Endangered, EN)</w:t>
      </w:r>
      <w:r w:rsidRPr="00F9522B">
        <w:rPr>
          <w:kern w:val="0"/>
          <w:sz w:val="18"/>
          <w:szCs w:val="18"/>
        </w:rPr>
        <w:t>、易危</w:t>
      </w:r>
      <w:r w:rsidRPr="00F9522B">
        <w:rPr>
          <w:kern w:val="0"/>
          <w:sz w:val="18"/>
          <w:szCs w:val="18"/>
        </w:rPr>
        <w:t>(Vulnerable,VU),</w:t>
      </w:r>
      <w:r w:rsidRPr="00F9522B">
        <w:rPr>
          <w:kern w:val="0"/>
          <w:sz w:val="18"/>
          <w:szCs w:val="18"/>
        </w:rPr>
        <w:t>无危</w:t>
      </w:r>
      <w:r w:rsidRPr="00F9522B">
        <w:rPr>
          <w:kern w:val="0"/>
          <w:sz w:val="18"/>
          <w:szCs w:val="18"/>
        </w:rPr>
        <w:t xml:space="preserve"> (Least Concern</w:t>
      </w:r>
      <w:r w:rsidRPr="00F9522B">
        <w:rPr>
          <w:kern w:val="0"/>
          <w:sz w:val="18"/>
          <w:szCs w:val="18"/>
        </w:rPr>
        <w:t>，</w:t>
      </w:r>
      <w:r w:rsidRPr="00F9522B">
        <w:rPr>
          <w:kern w:val="0"/>
          <w:sz w:val="18"/>
          <w:szCs w:val="18"/>
        </w:rPr>
        <w:t xml:space="preserve"> </w:t>
      </w:r>
    </w:p>
    <w:p w:rsidR="002A5A5E" w:rsidRPr="00F9522B" w:rsidRDefault="00611CBA">
      <w:pPr>
        <w:pStyle w:val="2fa"/>
        <w:spacing w:line="0" w:lineRule="atLeast"/>
        <w:ind w:firstLineChars="83" w:firstLine="149"/>
        <w:contextualSpacing/>
        <w:rPr>
          <w:rFonts w:ascii="Times New Roman" w:hAnsi="Times New Roman" w:cs="Times New Roman"/>
        </w:rPr>
      </w:pPr>
      <w:r w:rsidRPr="00F9522B">
        <w:rPr>
          <w:rFonts w:ascii="Times New Roman" w:eastAsia="宋体" w:hAnsi="Times New Roman" w:cs="Times New Roman"/>
          <w:kern w:val="0"/>
          <w:sz w:val="18"/>
          <w:szCs w:val="18"/>
        </w:rPr>
        <w:t>LC)</w:t>
      </w:r>
      <w:r w:rsidRPr="00F9522B">
        <w:rPr>
          <w:rFonts w:ascii="Times New Roman" w:eastAsia="宋体" w:hAnsi="Times New Roman" w:cs="Times New Roman"/>
          <w:kern w:val="0"/>
          <w:sz w:val="18"/>
          <w:szCs w:val="18"/>
        </w:rPr>
        <w:t>，数据缺乏（</w:t>
      </w:r>
      <w:r w:rsidRPr="00F9522B">
        <w:rPr>
          <w:rFonts w:ascii="Times New Roman" w:eastAsia="宋体" w:hAnsi="Times New Roman" w:cs="Times New Roman"/>
          <w:kern w:val="0"/>
          <w:sz w:val="18"/>
          <w:szCs w:val="18"/>
        </w:rPr>
        <w:t>Data Deficient</w:t>
      </w:r>
      <w:r w:rsidRPr="00F9522B">
        <w:rPr>
          <w:rFonts w:ascii="Times New Roman" w:eastAsia="宋体" w:hAnsi="Times New Roman" w:cs="Times New Roman"/>
          <w:kern w:val="0"/>
          <w:sz w:val="18"/>
          <w:szCs w:val="18"/>
        </w:rPr>
        <w:t>，</w:t>
      </w:r>
      <w:r w:rsidRPr="00F9522B">
        <w:rPr>
          <w:rFonts w:ascii="Times New Roman" w:eastAsia="宋体" w:hAnsi="Times New Roman" w:cs="Times New Roman"/>
          <w:kern w:val="0"/>
          <w:sz w:val="18"/>
          <w:szCs w:val="18"/>
        </w:rPr>
        <w:t>DD</w:t>
      </w:r>
      <w:r w:rsidRPr="00F9522B">
        <w:rPr>
          <w:rFonts w:ascii="Times New Roman" w:eastAsia="宋体" w:hAnsi="Times New Roman" w:cs="Times New Roman"/>
          <w:kern w:val="0"/>
          <w:sz w:val="18"/>
          <w:szCs w:val="18"/>
        </w:rPr>
        <w:t>）</w:t>
      </w:r>
    </w:p>
    <w:p w:rsidR="002A5A5E" w:rsidRPr="00F9522B" w:rsidRDefault="00611CBA">
      <w:pPr>
        <w:pStyle w:val="2fa"/>
        <w:ind w:firstLine="480"/>
        <w:contextualSpacing/>
        <w:rPr>
          <w:rFonts w:ascii="Times New Roman" w:hAnsi="Times New Roman" w:cs="Times New Roman"/>
        </w:rPr>
      </w:pPr>
      <w:r w:rsidRPr="00F9522B">
        <w:rPr>
          <w:rFonts w:eastAsia="宋体" w:cs="宋体" w:hint="eastAsia"/>
        </w:rPr>
        <w:t>①</w:t>
      </w:r>
      <w:r w:rsidRPr="00F9522B">
        <w:rPr>
          <w:rFonts w:ascii="Times New Roman" w:hAnsi="Times New Roman" w:cs="Times New Roman"/>
        </w:rPr>
        <w:t>施氏鲟</w:t>
      </w:r>
      <w:r w:rsidRPr="00F9522B">
        <w:rPr>
          <w:rFonts w:ascii="Times New Roman" w:hAnsi="Times New Roman" w:cs="Times New Roman"/>
          <w:i/>
          <w:iCs/>
        </w:rPr>
        <w:t>Acipenser schrenckii</w:t>
      </w:r>
    </w:p>
    <w:p w:rsidR="002A5A5E" w:rsidRPr="00F9522B" w:rsidRDefault="00611CBA">
      <w:pPr>
        <w:pStyle w:val="2fa"/>
        <w:ind w:firstLine="480"/>
        <w:contextualSpacing/>
        <w:jc w:val="center"/>
        <w:rPr>
          <w:rFonts w:ascii="Times New Roman" w:hAnsi="Times New Roman" w:cs="Times New Roman"/>
        </w:rPr>
      </w:pPr>
      <w:r w:rsidRPr="00F9522B">
        <w:rPr>
          <w:rFonts w:ascii="Times New Roman" w:hAnsi="Times New Roman" w:cs="Times New Roman"/>
          <w:noProof/>
        </w:rPr>
        <w:drawing>
          <wp:inline distT="0" distB="0" distL="0" distR="0">
            <wp:extent cx="3891280" cy="925195"/>
            <wp:effectExtent l="19050" t="0" r="0" b="0"/>
            <wp:docPr id="16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18"/>
                    <pic:cNvPicPr>
                      <a:picLocks noChangeAspect="1" noChangeArrowheads="1"/>
                    </pic:cNvPicPr>
                  </pic:nvPicPr>
                  <pic:blipFill>
                    <a:blip r:embed="rId76"/>
                    <a:srcRect/>
                    <a:stretch>
                      <a:fillRect/>
                    </a:stretch>
                  </pic:blipFill>
                  <pic:spPr>
                    <a:xfrm>
                      <a:off x="0" y="0"/>
                      <a:ext cx="3891280" cy="925195"/>
                    </a:xfrm>
                    <a:prstGeom prst="rect">
                      <a:avLst/>
                    </a:prstGeom>
                    <a:noFill/>
                    <a:ln w="9525">
                      <a:noFill/>
                      <a:miter lim="800000"/>
                      <a:headEnd/>
                      <a:tailEnd/>
                    </a:ln>
                  </pic:spPr>
                </pic:pic>
              </a:graphicData>
            </a:graphic>
          </wp:inline>
        </w:drawing>
      </w:r>
    </w:p>
    <w:p w:rsidR="002A5A5E" w:rsidRPr="00F9522B" w:rsidRDefault="00611CBA">
      <w:pPr>
        <w:pStyle w:val="2fa"/>
        <w:ind w:firstLine="482"/>
        <w:contextualSpacing/>
        <w:rPr>
          <w:rFonts w:ascii="Times New Roman" w:hAnsi="Times New Roman" w:cs="Times New Roman"/>
        </w:rPr>
      </w:pPr>
      <w:r w:rsidRPr="00F9522B">
        <w:rPr>
          <w:rFonts w:ascii="Times New Roman" w:hAnsi="Times New Roman" w:cs="Times New Roman"/>
          <w:b/>
        </w:rPr>
        <w:t>生活习性</w:t>
      </w:r>
      <w:r w:rsidRPr="00F9522B">
        <w:rPr>
          <w:rFonts w:ascii="Times New Roman" w:hAnsi="Times New Roman" w:cs="Times New Roman"/>
        </w:rPr>
        <w:t>：施氏鲟是一种典型的江河鱼类，不作远距离洄游。属于中下层鱼类，几乎所有时间都在活动。日常所见的多为单独个体，很少群集。平时多栖息于大江之江心、江套以及旋流里，更喜水色透明、底质为石块、砂砾的水域。平时行动迟缓，喜贴江底游动，很少进入浅水区和湖泊；而当江中春季涨水及风浪大时游动甚为活跃。冬季在大江深处越冬，解冻时游往产卵场所。性成熟个体一</w:t>
      </w:r>
      <w:r w:rsidRPr="00F9522B">
        <w:rPr>
          <w:rFonts w:ascii="Times New Roman" w:hAnsi="Times New Roman" w:cs="Times New Roman"/>
        </w:rPr>
        <w:lastRenderedPageBreak/>
        <w:t>般长，在</w:t>
      </w:r>
      <w:r w:rsidRPr="00F9522B">
        <w:rPr>
          <w:rFonts w:ascii="Times New Roman" w:hAnsi="Times New Roman" w:cs="Times New Roman"/>
        </w:rPr>
        <w:t>1m</w:t>
      </w:r>
      <w:r w:rsidRPr="00F9522B">
        <w:rPr>
          <w:rFonts w:ascii="Times New Roman" w:hAnsi="Times New Roman" w:cs="Times New Roman"/>
        </w:rPr>
        <w:t>以上，重</w:t>
      </w:r>
      <w:r w:rsidRPr="00F9522B">
        <w:rPr>
          <w:rFonts w:ascii="Times New Roman" w:hAnsi="Times New Roman" w:cs="Times New Roman"/>
        </w:rPr>
        <w:t>6kg</w:t>
      </w:r>
      <w:r w:rsidRPr="00F9522B">
        <w:rPr>
          <w:rFonts w:ascii="Times New Roman" w:hAnsi="Times New Roman" w:cs="Times New Roman"/>
        </w:rPr>
        <w:t>，年龄在</w:t>
      </w:r>
      <w:r w:rsidRPr="00F9522B">
        <w:rPr>
          <w:rFonts w:ascii="Times New Roman" w:hAnsi="Times New Roman" w:cs="Times New Roman"/>
        </w:rPr>
        <w:t>9</w:t>
      </w:r>
      <w:r w:rsidRPr="00F9522B">
        <w:rPr>
          <w:rFonts w:ascii="Times New Roman" w:hAnsi="Times New Roman" w:cs="Times New Roman"/>
        </w:rPr>
        <w:t>龄以上；雌鱼稍晚。产卵期长为</w:t>
      </w:r>
      <w:r w:rsidRPr="00F9522B">
        <w:rPr>
          <w:rFonts w:ascii="Times New Roman" w:hAnsi="Times New Roman" w:cs="Times New Roman"/>
        </w:rPr>
        <w:t>5</w:t>
      </w:r>
      <w:r w:rsidRPr="00F9522B">
        <w:rPr>
          <w:rFonts w:ascii="Times New Roman" w:hAnsi="Times New Roman" w:cs="Times New Roman"/>
        </w:rPr>
        <w:t>月底至</w:t>
      </w:r>
      <w:r w:rsidRPr="00F9522B">
        <w:rPr>
          <w:rFonts w:ascii="Times New Roman" w:hAnsi="Times New Roman" w:cs="Times New Roman"/>
        </w:rPr>
        <w:t>7</w:t>
      </w:r>
      <w:r w:rsidRPr="00F9522B">
        <w:rPr>
          <w:rFonts w:ascii="Times New Roman" w:hAnsi="Times New Roman" w:cs="Times New Roman"/>
        </w:rPr>
        <w:t>月中，在江河干流，小石砾底质环境中产卵，水温为</w:t>
      </w:r>
      <w:r w:rsidRPr="00F9522B">
        <w:rPr>
          <w:rFonts w:ascii="Times New Roman" w:hAnsi="Times New Roman" w:cs="Times New Roman"/>
        </w:rPr>
        <w:t>17℃</w:t>
      </w:r>
      <w:r w:rsidRPr="00F9522B">
        <w:rPr>
          <w:rFonts w:ascii="Times New Roman" w:hAnsi="Times New Roman" w:cs="Times New Roman"/>
        </w:rPr>
        <w:t>，怀卵量为</w:t>
      </w:r>
      <w:r w:rsidRPr="00F9522B">
        <w:rPr>
          <w:rFonts w:ascii="Times New Roman" w:hAnsi="Times New Roman" w:cs="Times New Roman"/>
        </w:rPr>
        <w:t xml:space="preserve">51~280×10 </w:t>
      </w:r>
      <w:r w:rsidRPr="00F9522B">
        <w:rPr>
          <w:rFonts w:ascii="Times New Roman" w:hAnsi="Times New Roman" w:cs="Times New Roman"/>
          <w:vertAlign w:val="superscript"/>
        </w:rPr>
        <w:t>4</w:t>
      </w:r>
      <w:r w:rsidRPr="00F9522B">
        <w:rPr>
          <w:rFonts w:ascii="Times New Roman" w:hAnsi="Times New Roman" w:cs="Times New Roman"/>
        </w:rPr>
        <w:t>万粒。卵具粘性。鲟的食性依鱼的不同年龄而异。幼小个体主要以底栖无脊椎动物及水生昆虫幼虫为对象，成鱼除索食底栖动物外，还食小型鱼类，甚至捕食水蛙。性成熟的个体在产卵期索食强度很低，甚至停食。</w:t>
      </w:r>
      <w:r w:rsidRPr="00F9522B">
        <w:rPr>
          <w:rFonts w:ascii="Times New Roman" w:hAnsi="Times New Roman" w:cs="Times New Roman"/>
        </w:rPr>
        <w:t xml:space="preserve"> </w:t>
      </w:r>
    </w:p>
    <w:p w:rsidR="002A5A5E" w:rsidRPr="00F9522B" w:rsidRDefault="00611CBA" w:rsidP="00987CC0">
      <w:pPr>
        <w:pStyle w:val="2fa"/>
        <w:ind w:firstLine="482"/>
        <w:contextualSpacing/>
        <w:rPr>
          <w:rFonts w:ascii="Times New Roman" w:hAnsi="Times New Roman" w:cs="Times New Roman"/>
        </w:rPr>
      </w:pPr>
      <w:r w:rsidRPr="00F9522B">
        <w:rPr>
          <w:rFonts w:ascii="Times New Roman" w:hAnsi="Times New Roman" w:cs="Times New Roman"/>
          <w:b/>
        </w:rPr>
        <w:t>分布：</w:t>
      </w:r>
      <w:r w:rsidRPr="00F9522B">
        <w:rPr>
          <w:rFonts w:ascii="Times New Roman" w:hAnsi="Times New Roman" w:cs="Times New Roman"/>
        </w:rPr>
        <w:t>施氏鲟分布于黑龙江流域，自黑龙江上游额尔古纳河及石勒喀河等。以黑龙江中游密度最多。</w:t>
      </w:r>
    </w:p>
    <w:p w:rsidR="002A5A5E" w:rsidRPr="00F9522B" w:rsidRDefault="00611CBA">
      <w:pPr>
        <w:pStyle w:val="2fa"/>
        <w:ind w:firstLine="480"/>
        <w:contextualSpacing/>
        <w:rPr>
          <w:rFonts w:ascii="Times New Roman" w:hAnsi="Times New Roman" w:cs="Times New Roman"/>
        </w:rPr>
      </w:pPr>
      <w:r w:rsidRPr="00F9522B">
        <w:rPr>
          <w:rFonts w:eastAsia="宋体" w:cs="宋体" w:hint="eastAsia"/>
        </w:rPr>
        <w:t>②</w:t>
      </w:r>
      <w:r w:rsidRPr="00F9522B">
        <w:rPr>
          <w:rFonts w:ascii="Times New Roman" w:hAnsi="Times New Roman" w:cs="Times New Roman"/>
        </w:rPr>
        <w:t>雷氏七鳃鳗</w:t>
      </w:r>
      <w:r w:rsidRPr="00F9522B">
        <w:rPr>
          <w:rFonts w:ascii="Times New Roman" w:eastAsia="黑体" w:hAnsi="Times New Roman" w:cs="Times New Roman"/>
          <w:i/>
        </w:rPr>
        <w:t>Lampetra reissneri</w:t>
      </w:r>
    </w:p>
    <w:p w:rsidR="002A5A5E" w:rsidRPr="00F9522B" w:rsidRDefault="00611CBA">
      <w:pPr>
        <w:spacing w:line="300" w:lineRule="auto"/>
        <w:jc w:val="center"/>
        <w:rPr>
          <w:sz w:val="24"/>
        </w:rPr>
      </w:pPr>
      <w:r w:rsidRPr="00F9522B">
        <w:rPr>
          <w:noProof/>
          <w:sz w:val="24"/>
        </w:rPr>
        <w:drawing>
          <wp:inline distT="0" distB="0" distL="0" distR="0">
            <wp:extent cx="2885440" cy="1128395"/>
            <wp:effectExtent l="19050" t="0" r="0" b="0"/>
            <wp:docPr id="74" name="图片 36" descr="说明: 雷氏七鳃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36" descr="说明: 雷氏七鳃鳗"/>
                    <pic:cNvPicPr>
                      <a:picLocks noChangeAspect="1" noChangeArrowheads="1"/>
                    </pic:cNvPicPr>
                  </pic:nvPicPr>
                  <pic:blipFill>
                    <a:blip r:embed="rId77"/>
                    <a:srcRect/>
                    <a:stretch>
                      <a:fillRect/>
                    </a:stretch>
                  </pic:blipFill>
                  <pic:spPr>
                    <a:xfrm>
                      <a:off x="0" y="0"/>
                      <a:ext cx="2885440" cy="1128395"/>
                    </a:xfrm>
                    <a:prstGeom prst="rect">
                      <a:avLst/>
                    </a:prstGeom>
                    <a:noFill/>
                    <a:ln w="9525">
                      <a:noFill/>
                      <a:miter lim="800000"/>
                      <a:headEnd/>
                      <a:tailEnd/>
                    </a:ln>
                  </pic:spPr>
                </pic:pic>
              </a:graphicData>
            </a:graphic>
          </wp:inline>
        </w:drawing>
      </w:r>
    </w:p>
    <w:p w:rsidR="002A5A5E" w:rsidRPr="00F9522B" w:rsidRDefault="00611CBA">
      <w:pPr>
        <w:spacing w:line="360" w:lineRule="auto"/>
        <w:ind w:firstLineChars="200" w:firstLine="482"/>
        <w:rPr>
          <w:sz w:val="24"/>
        </w:rPr>
      </w:pPr>
      <w:r w:rsidRPr="00F9522B">
        <w:rPr>
          <w:b/>
          <w:bCs/>
          <w:sz w:val="24"/>
        </w:rPr>
        <w:t>形态特征：</w:t>
      </w:r>
      <w:r w:rsidRPr="00F9522B">
        <w:rPr>
          <w:sz w:val="24"/>
        </w:rPr>
        <w:t>体圆柱状，尾部略侧扁。头圆，眼上位。鼻孔一个，位于头背面两眼前方。鼻孔后有透明皮斑。口下位，为漏斗状吸盘。口吸盘周围有围缘齿和光滑穗状乳突，口吸盘内分布唇齿。有上唇齿，下唇齿通常无，有时</w:t>
      </w:r>
      <w:r w:rsidRPr="00F9522B">
        <w:rPr>
          <w:sz w:val="24"/>
        </w:rPr>
        <w:t>1</w:t>
      </w:r>
      <w:r w:rsidRPr="00F9522B">
        <w:rPr>
          <w:sz w:val="24"/>
        </w:rPr>
        <w:t>行，弧形排列。上唇板齿</w:t>
      </w:r>
      <w:r w:rsidRPr="00F9522B">
        <w:rPr>
          <w:sz w:val="24"/>
        </w:rPr>
        <w:t>2</w:t>
      </w:r>
      <w:r w:rsidRPr="00F9522B">
        <w:rPr>
          <w:sz w:val="24"/>
        </w:rPr>
        <w:t>枚。下唇板齿</w:t>
      </w:r>
      <w:r w:rsidRPr="00F9522B">
        <w:rPr>
          <w:sz w:val="24"/>
        </w:rPr>
        <w:t>6</w:t>
      </w:r>
      <w:r w:rsidRPr="00F9522B">
        <w:rPr>
          <w:sz w:val="24"/>
        </w:rPr>
        <w:t>－</w:t>
      </w:r>
      <w:r w:rsidRPr="00F9522B">
        <w:rPr>
          <w:sz w:val="24"/>
        </w:rPr>
        <w:t>7</w:t>
      </w:r>
      <w:r w:rsidRPr="00F9522B">
        <w:rPr>
          <w:sz w:val="24"/>
        </w:rPr>
        <w:t>枚，两端齿较大，顶端分两齿尖。内侧唇齿每侧</w:t>
      </w:r>
      <w:r w:rsidRPr="00F9522B">
        <w:rPr>
          <w:sz w:val="24"/>
        </w:rPr>
        <w:t>3</w:t>
      </w:r>
      <w:r w:rsidRPr="00F9522B">
        <w:rPr>
          <w:sz w:val="24"/>
        </w:rPr>
        <w:t>枚，齿端有</w:t>
      </w:r>
      <w:r w:rsidRPr="00F9522B">
        <w:rPr>
          <w:sz w:val="24"/>
        </w:rPr>
        <w:t>2</w:t>
      </w:r>
      <w:r w:rsidRPr="00F9522B">
        <w:rPr>
          <w:sz w:val="24"/>
        </w:rPr>
        <w:t>尖。前舌齿梳状，中间和两端齿大，呈</w:t>
      </w:r>
      <w:r w:rsidRPr="00F9522B">
        <w:rPr>
          <w:sz w:val="24"/>
        </w:rPr>
        <w:t>“</w:t>
      </w:r>
      <w:r w:rsidRPr="00F9522B">
        <w:rPr>
          <w:sz w:val="24"/>
        </w:rPr>
        <w:t>山</w:t>
      </w:r>
      <w:r w:rsidRPr="00F9522B">
        <w:rPr>
          <w:sz w:val="24"/>
        </w:rPr>
        <w:t>”</w:t>
      </w:r>
      <w:r w:rsidRPr="00F9522B">
        <w:rPr>
          <w:sz w:val="24"/>
        </w:rPr>
        <w:t>字形。体表裸露无鳞。沿眼后的头两侧各有</w:t>
      </w:r>
      <w:r w:rsidRPr="00F9522B">
        <w:rPr>
          <w:sz w:val="24"/>
        </w:rPr>
        <w:t>7</w:t>
      </w:r>
      <w:r w:rsidRPr="00F9522B">
        <w:rPr>
          <w:sz w:val="24"/>
        </w:rPr>
        <w:t>个鳃孔。外鳃孔构造同日本七鳃鳗。无偶鳍。背鳍</w:t>
      </w:r>
      <w:r w:rsidRPr="00F9522B">
        <w:rPr>
          <w:sz w:val="24"/>
        </w:rPr>
        <w:t>2</w:t>
      </w:r>
      <w:r w:rsidRPr="00F9522B">
        <w:rPr>
          <w:sz w:val="24"/>
        </w:rPr>
        <w:t>个，底部相连，两背鳍间有缺刻；第二背鳍较高，呈弧形。背鳍、臀鳍和尾鳍相连，尾鳍末端呈箭状。鳍为半透明柔软的膜质状，无鳍条。最后鳃孔至臀鳍起点间肌节</w:t>
      </w:r>
      <w:r w:rsidRPr="00F9522B">
        <w:rPr>
          <w:sz w:val="24"/>
        </w:rPr>
        <w:t>59</w:t>
      </w:r>
      <w:r w:rsidRPr="00F9522B">
        <w:rPr>
          <w:sz w:val="24"/>
        </w:rPr>
        <w:t>－</w:t>
      </w:r>
      <w:r w:rsidRPr="00F9522B">
        <w:rPr>
          <w:sz w:val="24"/>
        </w:rPr>
        <w:t>66</w:t>
      </w:r>
      <w:r w:rsidRPr="00F9522B">
        <w:rPr>
          <w:sz w:val="24"/>
        </w:rPr>
        <w:t>。生殖季节雄鱼的管状尿殖乳突露于体外。背部暗褐色，腹部灰白色。</w:t>
      </w:r>
    </w:p>
    <w:p w:rsidR="002A5A5E" w:rsidRPr="00F9522B" w:rsidRDefault="00611CBA">
      <w:pPr>
        <w:spacing w:line="360" w:lineRule="auto"/>
        <w:ind w:firstLineChars="200" w:firstLine="482"/>
        <w:rPr>
          <w:sz w:val="24"/>
        </w:rPr>
      </w:pPr>
      <w:r w:rsidRPr="00F9522B">
        <w:rPr>
          <w:b/>
          <w:bCs/>
          <w:sz w:val="24"/>
        </w:rPr>
        <w:t>生活习性：</w:t>
      </w:r>
      <w:r w:rsidRPr="00F9522B">
        <w:rPr>
          <w:sz w:val="24"/>
        </w:rPr>
        <w:t>为淡水生活种类，喜栖于有缓流、沙质地质的溪流中，白天钻入沙内或藏于石下，夜出觅食。发育过程经变态，幼体眼埋于皮下；口呈三角形裂缝状，口缘乳突发达，穗状。成体眼发达，口呈漏斗状吸盘，口缘乳突变小。体表具大量黏液。游泳时呈鳗形扭曲摆动。幼体基本上以沙石上的植物碎屑和附着藻类为食。成体以浮游动植物为食，也营寄生生活，用吸盘吸附在其他鱼体上，凿破皮肤</w:t>
      </w:r>
      <w:r w:rsidR="007040E2" w:rsidRPr="00F9522B">
        <w:rPr>
          <w:sz w:val="24"/>
        </w:rPr>
        <w:t>吸吮</w:t>
      </w:r>
      <w:r w:rsidRPr="00F9522B">
        <w:rPr>
          <w:sz w:val="24"/>
        </w:rPr>
        <w:t>其血肉。为小型鱼类，记录成体最大全长</w:t>
      </w:r>
      <w:r w:rsidRPr="00F9522B">
        <w:rPr>
          <w:sz w:val="24"/>
        </w:rPr>
        <w:t>205mm</w:t>
      </w:r>
      <w:r w:rsidRPr="00F9522B">
        <w:rPr>
          <w:sz w:val="24"/>
        </w:rPr>
        <w:t>，仔鳗全长可达</w:t>
      </w:r>
      <w:r w:rsidRPr="00F9522B">
        <w:rPr>
          <w:sz w:val="24"/>
        </w:rPr>
        <w:t>160mm</w:t>
      </w:r>
      <w:r w:rsidRPr="00F9522B">
        <w:rPr>
          <w:sz w:val="24"/>
        </w:rPr>
        <w:t>。其生长速度不详。全长</w:t>
      </w:r>
      <w:r w:rsidRPr="00F9522B">
        <w:rPr>
          <w:sz w:val="24"/>
        </w:rPr>
        <w:t>160mm</w:t>
      </w:r>
      <w:r w:rsidRPr="00F9522B">
        <w:rPr>
          <w:sz w:val="24"/>
        </w:rPr>
        <w:t>以上达成熟。产卵期</w:t>
      </w:r>
      <w:r w:rsidRPr="00F9522B">
        <w:rPr>
          <w:sz w:val="24"/>
        </w:rPr>
        <w:t>5</w:t>
      </w:r>
      <w:r w:rsidRPr="00F9522B">
        <w:rPr>
          <w:sz w:val="24"/>
        </w:rPr>
        <w:t>月至</w:t>
      </w:r>
      <w:r w:rsidRPr="00F9522B">
        <w:rPr>
          <w:sz w:val="24"/>
        </w:rPr>
        <w:t>6</w:t>
      </w:r>
      <w:r w:rsidRPr="00F9522B">
        <w:rPr>
          <w:sz w:val="24"/>
        </w:rPr>
        <w:t>月份。产</w:t>
      </w:r>
      <w:r w:rsidRPr="00F9522B">
        <w:rPr>
          <w:sz w:val="24"/>
        </w:rPr>
        <w:lastRenderedPageBreak/>
        <w:t>卵后部分亲体死亡，部分亲体从精疲力竭状态恢复过来继续生存。</w:t>
      </w:r>
    </w:p>
    <w:p w:rsidR="002A5A5E" w:rsidRPr="00F9522B" w:rsidRDefault="00611CBA">
      <w:pPr>
        <w:spacing w:line="360" w:lineRule="auto"/>
        <w:ind w:firstLineChars="200" w:firstLine="482"/>
        <w:rPr>
          <w:sz w:val="24"/>
        </w:rPr>
      </w:pPr>
      <w:r w:rsidRPr="00F9522B">
        <w:rPr>
          <w:b/>
          <w:bCs/>
          <w:sz w:val="24"/>
        </w:rPr>
        <w:t>分布：</w:t>
      </w:r>
      <w:r w:rsidRPr="00F9522B">
        <w:rPr>
          <w:bCs/>
          <w:sz w:val="24"/>
        </w:rPr>
        <w:t>该种在中国为东北地区特有。</w:t>
      </w:r>
      <w:r w:rsidRPr="00F9522B">
        <w:rPr>
          <w:sz w:val="24"/>
        </w:rPr>
        <w:t>黑龙江水系的嫩江、松花江、牡丹江、乌苏里江、兴凯湖均有分布。</w:t>
      </w:r>
    </w:p>
    <w:p w:rsidR="002A5A5E" w:rsidRPr="00F9522B" w:rsidRDefault="00611CBA">
      <w:pPr>
        <w:pStyle w:val="2fa"/>
        <w:ind w:firstLine="482"/>
        <w:contextualSpacing/>
        <w:rPr>
          <w:rFonts w:ascii="Times New Roman" w:eastAsia="宋体" w:hAnsi="Times New Roman" w:cs="Times New Roman"/>
          <w:snapToGrid w:val="0"/>
        </w:rPr>
      </w:pPr>
      <w:r w:rsidRPr="00F9522B">
        <w:rPr>
          <w:rFonts w:ascii="Times New Roman" w:hAnsi="Times New Roman" w:cs="Times New Roman"/>
          <w:b/>
          <w:bCs/>
          <w:snapToGrid w:val="0"/>
        </w:rPr>
        <w:t>资源现状：</w:t>
      </w:r>
      <w:r w:rsidRPr="00F9522B">
        <w:rPr>
          <w:rFonts w:ascii="Times New Roman" w:hAnsi="Times New Roman" w:cs="Times New Roman"/>
          <w:snapToGrid w:val="0"/>
        </w:rPr>
        <w:t>目前该物种在呼兰河</w:t>
      </w:r>
      <w:r w:rsidR="00F018EC" w:rsidRPr="00F9522B">
        <w:rPr>
          <w:rFonts w:ascii="Times New Roman" w:hAnsi="Times New Roman" w:cs="Times New Roman"/>
          <w:snapToGrid w:val="0"/>
        </w:rPr>
        <w:t>、松花江</w:t>
      </w:r>
      <w:r w:rsidRPr="00F9522B">
        <w:rPr>
          <w:rFonts w:ascii="Times New Roman" w:hAnsi="Times New Roman" w:cs="Times New Roman"/>
          <w:snapToGrid w:val="0"/>
        </w:rPr>
        <w:t>尚有一定的种群数量</w:t>
      </w:r>
      <w:r w:rsidRPr="00F9522B">
        <w:rPr>
          <w:rFonts w:ascii="Times New Roman" w:eastAsia="宋体" w:hAnsi="Times New Roman" w:cs="Times New Roman"/>
          <w:snapToGrid w:val="0"/>
        </w:rPr>
        <w:t>。</w:t>
      </w:r>
    </w:p>
    <w:p w:rsidR="002A5A5E" w:rsidRPr="00F9522B" w:rsidRDefault="00611CBA" w:rsidP="00611CBA">
      <w:pPr>
        <w:pStyle w:val="2fa"/>
        <w:ind w:firstLineChars="182" w:firstLine="437"/>
        <w:contextualSpacing/>
        <w:rPr>
          <w:rFonts w:ascii="Times New Roman" w:hAnsi="Times New Roman" w:cs="Times New Roman"/>
          <w:i/>
          <w:iCs/>
        </w:rPr>
      </w:pPr>
      <w:r w:rsidRPr="00F9522B">
        <w:rPr>
          <w:rFonts w:eastAsia="宋体" w:cs="宋体" w:hint="eastAsia"/>
        </w:rPr>
        <w:t>③</w:t>
      </w:r>
      <w:r w:rsidRPr="00F9522B">
        <w:rPr>
          <w:rFonts w:ascii="Times New Roman" w:hAnsi="Times New Roman" w:cs="Times New Roman"/>
          <w:snapToGrid w:val="0"/>
        </w:rPr>
        <w:t>日本七鳃鳗</w:t>
      </w:r>
      <w:r w:rsidRPr="00F9522B">
        <w:rPr>
          <w:rFonts w:ascii="Times New Roman" w:hAnsi="Times New Roman" w:cs="Times New Roman"/>
          <w:snapToGrid w:val="0"/>
        </w:rPr>
        <w:t xml:space="preserve"> </w:t>
      </w:r>
      <w:r w:rsidRPr="00F9522B">
        <w:rPr>
          <w:rFonts w:ascii="Times New Roman" w:hAnsi="Times New Roman" w:cs="Times New Roman"/>
          <w:i/>
          <w:iCs/>
        </w:rPr>
        <w:t>Lampetra japonica</w:t>
      </w:r>
    </w:p>
    <w:p w:rsidR="002A5A5E" w:rsidRPr="00F9522B" w:rsidRDefault="00611CBA">
      <w:pPr>
        <w:pStyle w:val="2fa"/>
        <w:ind w:firstLineChars="0" w:firstLine="480"/>
        <w:contextualSpacing/>
        <w:jc w:val="center"/>
        <w:rPr>
          <w:rFonts w:ascii="Times New Roman" w:hAnsi="Times New Roman" w:cs="Times New Roman"/>
          <w:smallCaps/>
          <w:szCs w:val="24"/>
        </w:rPr>
      </w:pPr>
      <w:r w:rsidRPr="00F9522B">
        <w:rPr>
          <w:rFonts w:ascii="Times New Roman" w:hAnsi="Times New Roman" w:cs="Times New Roman"/>
          <w:smallCaps/>
          <w:noProof/>
        </w:rPr>
        <w:drawing>
          <wp:inline distT="0" distB="0" distL="0" distR="0">
            <wp:extent cx="3678555" cy="1158875"/>
            <wp:effectExtent l="19050" t="0" r="0" b="0"/>
            <wp:docPr id="17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21"/>
                    <pic:cNvPicPr>
                      <a:picLocks noChangeAspect="1" noChangeArrowheads="1"/>
                    </pic:cNvPicPr>
                  </pic:nvPicPr>
                  <pic:blipFill>
                    <a:blip r:embed="rId78"/>
                    <a:srcRect/>
                    <a:stretch>
                      <a:fillRect/>
                    </a:stretch>
                  </pic:blipFill>
                  <pic:spPr>
                    <a:xfrm>
                      <a:off x="0" y="0"/>
                      <a:ext cx="3678555" cy="1158875"/>
                    </a:xfrm>
                    <a:prstGeom prst="rect">
                      <a:avLst/>
                    </a:prstGeom>
                    <a:noFill/>
                    <a:ln w="9525">
                      <a:noFill/>
                      <a:miter lim="800000"/>
                      <a:headEnd/>
                      <a:tailEnd/>
                    </a:ln>
                  </pic:spPr>
                </pic:pic>
              </a:graphicData>
            </a:graphic>
          </wp:inline>
        </w:drawing>
      </w:r>
    </w:p>
    <w:p w:rsidR="002A5A5E" w:rsidRPr="00F9522B" w:rsidRDefault="00611CBA" w:rsidP="00987CC0">
      <w:pPr>
        <w:spacing w:line="360" w:lineRule="auto"/>
        <w:ind w:firstLineChars="200" w:firstLine="482"/>
        <w:rPr>
          <w:bCs/>
          <w:sz w:val="24"/>
        </w:rPr>
      </w:pPr>
      <w:r w:rsidRPr="00F9522B">
        <w:rPr>
          <w:b/>
          <w:bCs/>
          <w:sz w:val="24"/>
        </w:rPr>
        <w:t>生态习性：</w:t>
      </w:r>
      <w:r w:rsidRPr="00F9522B">
        <w:rPr>
          <w:bCs/>
          <w:sz w:val="24"/>
        </w:rPr>
        <w:t>为个体较大的洄游性七鳃鳗。幼体在淡水中自由生活，日间隐于沙中，夜间觅食，经过</w:t>
      </w:r>
      <w:r w:rsidRPr="00F9522B">
        <w:rPr>
          <w:bCs/>
          <w:sz w:val="24"/>
        </w:rPr>
        <w:t>4</w:t>
      </w:r>
      <w:r w:rsidRPr="00F9522B">
        <w:rPr>
          <w:bCs/>
          <w:sz w:val="24"/>
        </w:rPr>
        <w:t>年变态成成鳗后降海，在海中生长</w:t>
      </w:r>
      <w:r w:rsidRPr="00F9522B">
        <w:rPr>
          <w:bCs/>
          <w:sz w:val="24"/>
        </w:rPr>
        <w:t>2</w:t>
      </w:r>
      <w:r w:rsidRPr="00F9522B">
        <w:rPr>
          <w:bCs/>
          <w:sz w:val="24"/>
        </w:rPr>
        <w:t>年达性成熟。成熟亲体秋冬季溯河，越冬后翌年</w:t>
      </w:r>
      <w:r w:rsidRPr="00F9522B">
        <w:rPr>
          <w:bCs/>
          <w:sz w:val="24"/>
        </w:rPr>
        <w:t>5</w:t>
      </w:r>
      <w:r w:rsidRPr="00F9522B">
        <w:rPr>
          <w:bCs/>
          <w:sz w:val="24"/>
        </w:rPr>
        <w:t>月～</w:t>
      </w:r>
      <w:r w:rsidRPr="00F9522B">
        <w:rPr>
          <w:bCs/>
          <w:sz w:val="24"/>
        </w:rPr>
        <w:t>6</w:t>
      </w:r>
      <w:r w:rsidRPr="00F9522B">
        <w:rPr>
          <w:bCs/>
          <w:sz w:val="24"/>
        </w:rPr>
        <w:t>月于河口以上河段沙质底质处产卵。产卵后亲体死亡，寿命</w:t>
      </w:r>
      <w:r w:rsidRPr="00F9522B">
        <w:rPr>
          <w:bCs/>
          <w:sz w:val="24"/>
        </w:rPr>
        <w:t>6</w:t>
      </w:r>
      <w:r w:rsidRPr="00F9522B">
        <w:rPr>
          <w:bCs/>
          <w:sz w:val="24"/>
        </w:rPr>
        <w:t>年～</w:t>
      </w:r>
      <w:r w:rsidRPr="00F9522B">
        <w:rPr>
          <w:bCs/>
          <w:sz w:val="24"/>
        </w:rPr>
        <w:t>7</w:t>
      </w:r>
      <w:r w:rsidRPr="00F9522B">
        <w:rPr>
          <w:bCs/>
          <w:sz w:val="24"/>
        </w:rPr>
        <w:t>年。</w:t>
      </w:r>
    </w:p>
    <w:p w:rsidR="002A5A5E" w:rsidRPr="00F9522B" w:rsidRDefault="00611CBA">
      <w:pPr>
        <w:spacing w:line="360" w:lineRule="auto"/>
        <w:ind w:firstLineChars="200" w:firstLine="480"/>
        <w:rPr>
          <w:bCs/>
          <w:sz w:val="24"/>
        </w:rPr>
      </w:pPr>
      <w:r w:rsidRPr="00F9522B">
        <w:rPr>
          <w:bCs/>
          <w:sz w:val="24"/>
        </w:rPr>
        <w:t>幼体以裂缝状口器吸食浮游生物和有机碎屑。成鳗在海中以吸盘吸附在其他鱼体上吸食寄主的血肉，营寄生生活。据记载在鳕鱼、胡瓜鱼身上有日本七鳃鳗寄生。溯入江河中，多在大麻哈鱼身上寄生。也营自由生活，以浮游植物为食。</w:t>
      </w:r>
    </w:p>
    <w:p w:rsidR="002A5A5E" w:rsidRPr="00F9522B" w:rsidRDefault="00611CBA">
      <w:pPr>
        <w:spacing w:line="360" w:lineRule="auto"/>
        <w:ind w:firstLineChars="200" w:firstLine="480"/>
        <w:rPr>
          <w:bCs/>
          <w:sz w:val="24"/>
        </w:rPr>
      </w:pPr>
      <w:r w:rsidRPr="00F9522B">
        <w:rPr>
          <w:bCs/>
          <w:sz w:val="24"/>
        </w:rPr>
        <w:t>降海生活</w:t>
      </w:r>
      <w:r w:rsidRPr="00F9522B">
        <w:rPr>
          <w:bCs/>
          <w:sz w:val="24"/>
        </w:rPr>
        <w:t>2</w:t>
      </w:r>
      <w:r w:rsidRPr="00F9522B">
        <w:rPr>
          <w:bCs/>
          <w:sz w:val="24"/>
        </w:rPr>
        <w:t>年后性成熟溯河产卵。溯河洄游过程中，第</w:t>
      </w:r>
      <w:r w:rsidRPr="00F9522B">
        <w:rPr>
          <w:bCs/>
          <w:sz w:val="24"/>
        </w:rPr>
        <w:t>Ⅳ</w:t>
      </w:r>
      <w:r w:rsidRPr="00F9522B">
        <w:rPr>
          <w:bCs/>
          <w:sz w:val="24"/>
        </w:rPr>
        <w:t>期卵巢逐渐发育成熟。雌性成熟系数</w:t>
      </w:r>
      <w:r w:rsidRPr="00F9522B">
        <w:rPr>
          <w:bCs/>
          <w:sz w:val="24"/>
        </w:rPr>
        <w:t>6%</w:t>
      </w:r>
      <w:r w:rsidRPr="00F9522B">
        <w:rPr>
          <w:bCs/>
          <w:sz w:val="24"/>
        </w:rPr>
        <w:t>～</w:t>
      </w:r>
      <w:r w:rsidRPr="00F9522B">
        <w:rPr>
          <w:bCs/>
          <w:sz w:val="24"/>
        </w:rPr>
        <w:t>15.1%</w:t>
      </w:r>
      <w:r w:rsidRPr="00F9522B">
        <w:rPr>
          <w:bCs/>
          <w:sz w:val="24"/>
        </w:rPr>
        <w:t>，雄性成熟系数</w:t>
      </w:r>
      <w:r w:rsidRPr="00F9522B">
        <w:rPr>
          <w:bCs/>
          <w:sz w:val="24"/>
        </w:rPr>
        <w:t>2.9%</w:t>
      </w:r>
      <w:r w:rsidRPr="00F9522B">
        <w:rPr>
          <w:bCs/>
          <w:sz w:val="24"/>
        </w:rPr>
        <w:t>～</w:t>
      </w:r>
      <w:r w:rsidRPr="00F9522B">
        <w:rPr>
          <w:bCs/>
          <w:sz w:val="24"/>
        </w:rPr>
        <w:t>4.8%</w:t>
      </w:r>
      <w:r w:rsidRPr="00F9522B">
        <w:rPr>
          <w:bCs/>
          <w:sz w:val="24"/>
        </w:rPr>
        <w:t>。怀卵量</w:t>
      </w:r>
      <w:r w:rsidRPr="00F9522B">
        <w:rPr>
          <w:bCs/>
          <w:sz w:val="24"/>
        </w:rPr>
        <w:t>5</w:t>
      </w:r>
      <w:r w:rsidRPr="00F9522B">
        <w:rPr>
          <w:bCs/>
          <w:sz w:val="24"/>
        </w:rPr>
        <w:t>万～</w:t>
      </w:r>
      <w:r w:rsidRPr="00F9522B">
        <w:rPr>
          <w:bCs/>
          <w:sz w:val="24"/>
        </w:rPr>
        <w:t xml:space="preserve">12.4 </w:t>
      </w:r>
      <w:r w:rsidRPr="00F9522B">
        <w:rPr>
          <w:bCs/>
          <w:sz w:val="24"/>
        </w:rPr>
        <w:t>万粒。秋冬溯入河流，越冬后于翌年</w:t>
      </w:r>
      <w:r w:rsidRPr="00F9522B">
        <w:rPr>
          <w:bCs/>
          <w:sz w:val="24"/>
        </w:rPr>
        <w:t xml:space="preserve"> 5</w:t>
      </w:r>
      <w:r w:rsidRPr="00F9522B">
        <w:rPr>
          <w:bCs/>
          <w:sz w:val="24"/>
        </w:rPr>
        <w:t>月～</w:t>
      </w:r>
      <w:r w:rsidRPr="00F9522B">
        <w:rPr>
          <w:bCs/>
          <w:sz w:val="24"/>
        </w:rPr>
        <w:t>6</w:t>
      </w:r>
      <w:r w:rsidRPr="00F9522B">
        <w:rPr>
          <w:bCs/>
          <w:sz w:val="24"/>
        </w:rPr>
        <w:t>月产卵。在有流的沙砾河底产卵，产卵后亲体全部死亡。卵径</w:t>
      </w:r>
      <w:r w:rsidRPr="00F9522B">
        <w:rPr>
          <w:bCs/>
          <w:sz w:val="24"/>
        </w:rPr>
        <w:t xml:space="preserve">1.2mm </w:t>
      </w:r>
      <w:r w:rsidRPr="00F9522B">
        <w:rPr>
          <w:bCs/>
          <w:sz w:val="24"/>
        </w:rPr>
        <w:t>左右，半黏性，黏附于沙砾上发育。受精卵经数日孵化，刚孵出仔鱼全长</w:t>
      </w:r>
      <w:r w:rsidRPr="00F9522B">
        <w:rPr>
          <w:bCs/>
          <w:sz w:val="24"/>
        </w:rPr>
        <w:t>3.0mm</w:t>
      </w:r>
      <w:r w:rsidRPr="00F9522B">
        <w:rPr>
          <w:bCs/>
          <w:sz w:val="24"/>
        </w:rPr>
        <w:t>。</w:t>
      </w:r>
      <w:r w:rsidRPr="00F9522B">
        <w:rPr>
          <w:bCs/>
          <w:sz w:val="24"/>
        </w:rPr>
        <w:t>15</w:t>
      </w:r>
      <w:r w:rsidRPr="00F9522B">
        <w:rPr>
          <w:bCs/>
          <w:sz w:val="24"/>
        </w:rPr>
        <w:t>日～</w:t>
      </w:r>
      <w:r w:rsidRPr="00F9522B">
        <w:rPr>
          <w:bCs/>
          <w:sz w:val="24"/>
        </w:rPr>
        <w:t>45</w:t>
      </w:r>
      <w:r w:rsidRPr="00F9522B">
        <w:rPr>
          <w:bCs/>
          <w:sz w:val="24"/>
        </w:rPr>
        <w:t>日龄仔鳗全长</w:t>
      </w:r>
      <w:r w:rsidRPr="00F9522B">
        <w:rPr>
          <w:bCs/>
          <w:sz w:val="24"/>
        </w:rPr>
        <w:t>6mm</w:t>
      </w:r>
      <w:r w:rsidRPr="00F9522B">
        <w:rPr>
          <w:bCs/>
          <w:sz w:val="24"/>
        </w:rPr>
        <w:t>～</w:t>
      </w:r>
      <w:r w:rsidRPr="00F9522B">
        <w:rPr>
          <w:bCs/>
          <w:sz w:val="24"/>
        </w:rPr>
        <w:t>17mm</w:t>
      </w:r>
      <w:r w:rsidRPr="00F9522B">
        <w:rPr>
          <w:bCs/>
          <w:sz w:val="24"/>
        </w:rPr>
        <w:t>。发育成熟的日本七鳃鳗通常从</w:t>
      </w:r>
      <w:r w:rsidRPr="00F9522B">
        <w:rPr>
          <w:bCs/>
          <w:sz w:val="24"/>
        </w:rPr>
        <w:t>8</w:t>
      </w:r>
      <w:r w:rsidRPr="00F9522B">
        <w:rPr>
          <w:bCs/>
          <w:sz w:val="24"/>
        </w:rPr>
        <w:t>月开始洄游，到</w:t>
      </w:r>
      <w:r w:rsidRPr="00F9522B">
        <w:rPr>
          <w:bCs/>
          <w:sz w:val="24"/>
        </w:rPr>
        <w:t>12</w:t>
      </w:r>
      <w:r w:rsidRPr="00F9522B">
        <w:rPr>
          <w:bCs/>
          <w:sz w:val="24"/>
        </w:rPr>
        <w:t>月中旬冰封止。冰冻之后仍有洄游个体，但密度很少，洄游盛期是</w:t>
      </w:r>
      <w:r w:rsidRPr="00F9522B">
        <w:rPr>
          <w:bCs/>
          <w:sz w:val="24"/>
        </w:rPr>
        <w:t>10</w:t>
      </w:r>
      <w:r w:rsidRPr="00F9522B">
        <w:rPr>
          <w:bCs/>
          <w:sz w:val="24"/>
        </w:rPr>
        <w:t>月份。</w:t>
      </w:r>
    </w:p>
    <w:p w:rsidR="002A5A5E" w:rsidRPr="00F9522B" w:rsidRDefault="00611CBA" w:rsidP="00987CC0">
      <w:pPr>
        <w:spacing w:line="360" w:lineRule="auto"/>
        <w:ind w:firstLineChars="200" w:firstLine="482"/>
        <w:rPr>
          <w:bCs/>
          <w:sz w:val="24"/>
        </w:rPr>
      </w:pPr>
      <w:r w:rsidRPr="00F9522B">
        <w:rPr>
          <w:b/>
          <w:bCs/>
          <w:sz w:val="24"/>
        </w:rPr>
        <w:t>分布：</w:t>
      </w:r>
      <w:r w:rsidRPr="00F9522B">
        <w:rPr>
          <w:bCs/>
          <w:sz w:val="24"/>
        </w:rPr>
        <w:t>在中国仅分布于东北地区的黑龙江、乌苏里江、松花江、嫩江、绥芬河、图们江；国外分布于北冰洋、北太平洋沿岸河流从挪威到俄罗斯的西伯利亚、黑龙江、勘察加半岛；日本海往南到釜山、朝鲜沿岸河流；北美加拿大北部和美国阿拉斯加沿海河流、湖泊均有分布。</w:t>
      </w:r>
    </w:p>
    <w:p w:rsidR="002A5A5E" w:rsidRPr="00F9522B" w:rsidRDefault="00611CBA">
      <w:pPr>
        <w:pStyle w:val="2fa"/>
        <w:ind w:firstLineChars="0" w:firstLine="480"/>
        <w:contextualSpacing/>
        <w:rPr>
          <w:rFonts w:ascii="Times New Roman" w:hAnsi="Times New Roman" w:cs="Times New Roman"/>
          <w:smallCaps/>
          <w:szCs w:val="24"/>
        </w:rPr>
      </w:pPr>
      <w:r w:rsidRPr="00F9522B">
        <w:rPr>
          <w:rFonts w:eastAsia="宋体" w:cs="宋体" w:hint="eastAsia"/>
        </w:rPr>
        <w:t>④</w:t>
      </w:r>
      <w:r w:rsidRPr="00F9522B">
        <w:rPr>
          <w:rFonts w:ascii="Times New Roman" w:hAnsi="Times New Roman" w:cs="Times New Roman"/>
        </w:rPr>
        <w:t>怀头鲇</w:t>
      </w:r>
      <w:r w:rsidRPr="00F9522B">
        <w:rPr>
          <w:rFonts w:ascii="Times New Roman" w:hAnsi="Times New Roman" w:cs="Times New Roman"/>
        </w:rPr>
        <w:t xml:space="preserve"> </w:t>
      </w:r>
      <w:r w:rsidRPr="00F9522B">
        <w:rPr>
          <w:rFonts w:ascii="Times New Roman" w:hAnsi="Times New Roman" w:cs="Times New Roman"/>
          <w:i/>
          <w:iCs/>
        </w:rPr>
        <w:t>Silurus soldatovi</w:t>
      </w:r>
    </w:p>
    <w:p w:rsidR="002A5A5E" w:rsidRPr="00F9522B" w:rsidRDefault="00611CBA">
      <w:pPr>
        <w:pStyle w:val="2fa"/>
        <w:ind w:firstLineChars="0" w:firstLine="480"/>
        <w:contextualSpacing/>
        <w:jc w:val="center"/>
        <w:rPr>
          <w:rFonts w:ascii="Times New Roman" w:hAnsi="Times New Roman" w:cs="Times New Roman"/>
          <w:smallCaps/>
          <w:szCs w:val="24"/>
        </w:rPr>
      </w:pPr>
      <w:r w:rsidRPr="00F9522B">
        <w:rPr>
          <w:rFonts w:ascii="Times New Roman" w:hAnsi="Times New Roman" w:cs="Times New Roman"/>
          <w:smallCaps/>
          <w:noProof/>
        </w:rPr>
        <w:lastRenderedPageBreak/>
        <w:drawing>
          <wp:inline distT="0" distB="0" distL="0" distR="0">
            <wp:extent cx="2218235" cy="1478648"/>
            <wp:effectExtent l="19050" t="0" r="0" b="0"/>
            <wp:docPr id="172"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24"/>
                    <pic:cNvPicPr>
                      <a:picLocks noChangeAspect="1" noChangeArrowheads="1"/>
                    </pic:cNvPicPr>
                  </pic:nvPicPr>
                  <pic:blipFill>
                    <a:blip r:embed="rId79"/>
                    <a:srcRect/>
                    <a:stretch>
                      <a:fillRect/>
                    </a:stretch>
                  </pic:blipFill>
                  <pic:spPr>
                    <a:xfrm>
                      <a:off x="0" y="0"/>
                      <a:ext cx="2220591" cy="1480218"/>
                    </a:xfrm>
                    <a:prstGeom prst="rect">
                      <a:avLst/>
                    </a:prstGeom>
                    <a:noFill/>
                    <a:ln w="9525">
                      <a:noFill/>
                      <a:miter lim="800000"/>
                      <a:headEnd/>
                      <a:tailEnd/>
                    </a:ln>
                  </pic:spPr>
                </pic:pic>
              </a:graphicData>
            </a:graphic>
          </wp:inline>
        </w:drawing>
      </w:r>
    </w:p>
    <w:p w:rsidR="002A5A5E" w:rsidRPr="00F9522B" w:rsidRDefault="00611CBA" w:rsidP="00987CC0">
      <w:pPr>
        <w:spacing w:line="360" w:lineRule="auto"/>
        <w:ind w:firstLineChars="200" w:firstLine="482"/>
        <w:rPr>
          <w:bCs/>
          <w:sz w:val="24"/>
        </w:rPr>
      </w:pPr>
      <w:r w:rsidRPr="00F9522B">
        <w:rPr>
          <w:b/>
          <w:bCs/>
          <w:sz w:val="24"/>
        </w:rPr>
        <w:t>生活习性：</w:t>
      </w:r>
      <w:r w:rsidRPr="00F9522B">
        <w:rPr>
          <w:bCs/>
          <w:sz w:val="24"/>
        </w:rPr>
        <w:t>怀头鲇为肉食性凶猛鱼类，以掠食鱼类为主，被食的鱼类有鲫、鲤、细鳞斜颌银鲴、唇䱻的等，个别的怀头鲇胃中还发现有水鸭、青蛙等。</w:t>
      </w:r>
      <w:r w:rsidRPr="00F9522B">
        <w:rPr>
          <w:bCs/>
          <w:sz w:val="24"/>
        </w:rPr>
        <w:t xml:space="preserve"> </w:t>
      </w:r>
    </w:p>
    <w:p w:rsidR="002A5A5E" w:rsidRPr="00F9522B" w:rsidRDefault="00611CBA" w:rsidP="00987CC0">
      <w:pPr>
        <w:spacing w:line="360" w:lineRule="auto"/>
        <w:ind w:firstLineChars="200" w:firstLine="482"/>
        <w:rPr>
          <w:bCs/>
          <w:sz w:val="24"/>
        </w:rPr>
      </w:pPr>
      <w:r w:rsidRPr="00F9522B">
        <w:rPr>
          <w:b/>
          <w:bCs/>
          <w:sz w:val="24"/>
        </w:rPr>
        <w:t>分布：</w:t>
      </w:r>
      <w:r w:rsidRPr="00F9522B">
        <w:rPr>
          <w:bCs/>
          <w:sz w:val="24"/>
        </w:rPr>
        <w:t>黑龙江、松花江、乌苏里江、嫩江等河流中，兴凯湖均有分布。资源现状：该物种在黑龙江中游同江、抚远江段种群密度较大，主要分布于一些附属水体。</w:t>
      </w:r>
    </w:p>
    <w:p w:rsidR="00987CC0" w:rsidRPr="00F9522B" w:rsidRDefault="005273A1">
      <w:pPr>
        <w:spacing w:line="360" w:lineRule="auto"/>
        <w:ind w:firstLineChars="200" w:firstLine="480"/>
        <w:rPr>
          <w:bCs/>
          <w:sz w:val="24"/>
        </w:rPr>
      </w:pPr>
      <w:r w:rsidRPr="00F9522B">
        <w:rPr>
          <w:bCs/>
          <w:sz w:val="24"/>
        </w:rPr>
        <w:fldChar w:fldCharType="begin"/>
      </w:r>
      <w:r w:rsidR="00987CC0" w:rsidRPr="00F9522B">
        <w:rPr>
          <w:bCs/>
          <w:sz w:val="24"/>
        </w:rPr>
        <w:instrText xml:space="preserve"> = 5 \* GB3 </w:instrText>
      </w:r>
      <w:r w:rsidRPr="00F9522B">
        <w:rPr>
          <w:bCs/>
          <w:sz w:val="24"/>
        </w:rPr>
        <w:fldChar w:fldCharType="separate"/>
      </w:r>
      <w:r w:rsidR="00987CC0" w:rsidRPr="00F9522B">
        <w:rPr>
          <w:rFonts w:ascii="宋体" w:hAnsi="宋体" w:cs="宋体" w:hint="eastAsia"/>
          <w:bCs/>
          <w:noProof/>
          <w:sz w:val="24"/>
        </w:rPr>
        <w:t>⑤</w:t>
      </w:r>
      <w:r w:rsidRPr="00F9522B">
        <w:rPr>
          <w:bCs/>
          <w:sz w:val="24"/>
        </w:rPr>
        <w:fldChar w:fldCharType="end"/>
      </w:r>
      <w:r w:rsidR="00987CC0" w:rsidRPr="00F9522B">
        <w:rPr>
          <w:bCs/>
          <w:sz w:val="24"/>
        </w:rPr>
        <w:t>鳇</w:t>
      </w:r>
      <w:r w:rsidR="00987CC0" w:rsidRPr="00F9522B">
        <w:rPr>
          <w:bCs/>
          <w:i/>
          <w:sz w:val="24"/>
        </w:rPr>
        <w:t>Huso dauricus</w:t>
      </w:r>
    </w:p>
    <w:p w:rsidR="00ED0341" w:rsidRPr="00F9522B" w:rsidRDefault="00ED0341" w:rsidP="00ED0341">
      <w:pPr>
        <w:spacing w:line="360" w:lineRule="auto"/>
        <w:ind w:firstLineChars="200" w:firstLine="482"/>
        <w:jc w:val="center"/>
        <w:rPr>
          <w:b/>
          <w:bCs/>
          <w:sz w:val="24"/>
        </w:rPr>
      </w:pPr>
      <w:r w:rsidRPr="00F9522B">
        <w:rPr>
          <w:b/>
          <w:bCs/>
          <w:noProof/>
          <w:sz w:val="24"/>
        </w:rPr>
        <w:drawing>
          <wp:inline distT="0" distB="0" distL="0" distR="0">
            <wp:extent cx="3753134" cy="1029104"/>
            <wp:effectExtent l="19050" t="0" r="0" b="0"/>
            <wp:docPr id="4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0"/>
                    <a:srcRect/>
                    <a:stretch>
                      <a:fillRect/>
                    </a:stretch>
                  </pic:blipFill>
                  <pic:spPr bwMode="auto">
                    <a:xfrm>
                      <a:off x="0" y="0"/>
                      <a:ext cx="3757952" cy="1030425"/>
                    </a:xfrm>
                    <a:prstGeom prst="rect">
                      <a:avLst/>
                    </a:prstGeom>
                    <a:noFill/>
                    <a:ln w="9525">
                      <a:noFill/>
                      <a:miter lim="800000"/>
                      <a:headEnd/>
                      <a:tailEnd/>
                    </a:ln>
                  </pic:spPr>
                </pic:pic>
              </a:graphicData>
            </a:graphic>
          </wp:inline>
        </w:drawing>
      </w:r>
    </w:p>
    <w:p w:rsidR="00987CC0" w:rsidRPr="00F9522B" w:rsidRDefault="00987CC0" w:rsidP="00987CC0">
      <w:pPr>
        <w:spacing w:line="360" w:lineRule="auto"/>
        <w:ind w:firstLineChars="200" w:firstLine="482"/>
        <w:rPr>
          <w:b/>
          <w:bCs/>
          <w:sz w:val="24"/>
        </w:rPr>
      </w:pPr>
      <w:r w:rsidRPr="00F9522B">
        <w:rPr>
          <w:b/>
          <w:bCs/>
          <w:sz w:val="24"/>
        </w:rPr>
        <w:t>生活习性：</w:t>
      </w:r>
      <w:r w:rsidR="00166E3E" w:rsidRPr="00F9522B">
        <w:rPr>
          <w:bCs/>
          <w:sz w:val="24"/>
        </w:rPr>
        <w:t>常年活动江河中下层，不喜浅滩，偏爱砂砾、卵石底质，水流平缓的江夹心、江岔、两江交汇处、急流漩涡区。独居</w:t>
      </w:r>
      <w:r w:rsidR="007040E2" w:rsidRPr="00F9522B">
        <w:rPr>
          <w:bCs/>
          <w:sz w:val="24"/>
        </w:rPr>
        <w:t>分散，不集群；涨水期活跃、频繁翻滚跳跃，枯水期潜伏不动。冬季</w:t>
      </w:r>
      <w:r w:rsidR="00166E3E" w:rsidRPr="00F9522B">
        <w:rPr>
          <w:bCs/>
          <w:sz w:val="24"/>
        </w:rPr>
        <w:t>几乎停食，待初春回暖洄游产卵场。冷水性，</w:t>
      </w:r>
      <w:r w:rsidR="00166E3E" w:rsidRPr="00F9522B">
        <w:rPr>
          <w:bCs/>
          <w:sz w:val="24"/>
        </w:rPr>
        <w:t>1–24℃</w:t>
      </w:r>
      <w:r w:rsidR="00166E3E" w:rsidRPr="00F9522B">
        <w:rPr>
          <w:bCs/>
          <w:sz w:val="24"/>
        </w:rPr>
        <w:t>均可生存，</w:t>
      </w:r>
      <w:r w:rsidR="00166E3E" w:rsidRPr="00F9522B">
        <w:rPr>
          <w:bCs/>
          <w:sz w:val="24"/>
        </w:rPr>
        <w:t>15–17℃</w:t>
      </w:r>
      <w:r w:rsidR="00166E3E" w:rsidRPr="00F9522B">
        <w:rPr>
          <w:bCs/>
          <w:sz w:val="24"/>
        </w:rPr>
        <w:t>最适合繁殖、摄食。每年</w:t>
      </w:r>
      <w:r w:rsidR="00166E3E" w:rsidRPr="00F9522B">
        <w:rPr>
          <w:sz w:val="24"/>
        </w:rPr>
        <w:t>5</w:t>
      </w:r>
      <w:r w:rsidR="00166E3E" w:rsidRPr="00F9522B">
        <w:rPr>
          <w:sz w:val="24"/>
        </w:rPr>
        <w:t>月末</w:t>
      </w:r>
      <w:r w:rsidR="00166E3E" w:rsidRPr="00F9522B">
        <w:rPr>
          <w:sz w:val="24"/>
        </w:rPr>
        <w:t>—7</w:t>
      </w:r>
      <w:r w:rsidR="00166E3E" w:rsidRPr="00F9522B">
        <w:rPr>
          <w:sz w:val="24"/>
        </w:rPr>
        <w:t>月初</w:t>
      </w:r>
      <w:r w:rsidR="00166E3E" w:rsidRPr="00F9522B">
        <w:rPr>
          <w:bCs/>
          <w:sz w:val="24"/>
        </w:rPr>
        <w:t>，水温稳定</w:t>
      </w:r>
      <w:r w:rsidR="00166E3E" w:rsidRPr="00F9522B">
        <w:rPr>
          <w:bCs/>
          <w:sz w:val="24"/>
        </w:rPr>
        <w:t>15–17℃</w:t>
      </w:r>
      <w:r w:rsidR="00166E3E" w:rsidRPr="00F9522B">
        <w:rPr>
          <w:bCs/>
          <w:sz w:val="24"/>
        </w:rPr>
        <w:t>时繁殖。水深</w:t>
      </w:r>
      <w:r w:rsidR="00166E3E" w:rsidRPr="00F9522B">
        <w:rPr>
          <w:bCs/>
          <w:sz w:val="24"/>
        </w:rPr>
        <w:t>2–3</w:t>
      </w:r>
      <w:r w:rsidR="00166E3E" w:rsidRPr="00F9522B">
        <w:rPr>
          <w:bCs/>
          <w:sz w:val="24"/>
        </w:rPr>
        <w:t>米、水流平缓、砾石河床；雌鱼怀卵量</w:t>
      </w:r>
      <w:r w:rsidR="00166E3E" w:rsidRPr="00F9522B">
        <w:rPr>
          <w:bCs/>
          <w:sz w:val="24"/>
        </w:rPr>
        <w:t>60</w:t>
      </w:r>
      <w:r w:rsidR="00166E3E" w:rsidRPr="00F9522B">
        <w:rPr>
          <w:bCs/>
          <w:sz w:val="24"/>
        </w:rPr>
        <w:t>万～</w:t>
      </w:r>
      <w:r w:rsidR="00166E3E" w:rsidRPr="00F9522B">
        <w:rPr>
          <w:bCs/>
          <w:sz w:val="24"/>
        </w:rPr>
        <w:t>400</w:t>
      </w:r>
      <w:r w:rsidR="00166E3E" w:rsidRPr="00F9522B">
        <w:rPr>
          <w:bCs/>
          <w:sz w:val="24"/>
        </w:rPr>
        <w:t>万粒，卵为强黏性，牢牢粘在卵石上孵化；水温适宜</w:t>
      </w:r>
      <w:r w:rsidR="00166E3E" w:rsidRPr="00F9522B">
        <w:rPr>
          <w:bCs/>
          <w:sz w:val="24"/>
        </w:rPr>
        <w:t>7</w:t>
      </w:r>
      <w:r w:rsidR="00166E3E" w:rsidRPr="00F9522B">
        <w:rPr>
          <w:bCs/>
          <w:sz w:val="24"/>
        </w:rPr>
        <w:t>天即可孵出仔鱼。</w:t>
      </w:r>
    </w:p>
    <w:p w:rsidR="00987CC0" w:rsidRPr="00F9522B" w:rsidRDefault="00987CC0" w:rsidP="00987CC0">
      <w:pPr>
        <w:spacing w:line="360" w:lineRule="auto"/>
        <w:ind w:firstLineChars="200" w:firstLine="482"/>
        <w:rPr>
          <w:b/>
          <w:bCs/>
          <w:sz w:val="24"/>
        </w:rPr>
      </w:pPr>
      <w:r w:rsidRPr="00F9522B">
        <w:rPr>
          <w:b/>
          <w:bCs/>
          <w:sz w:val="24"/>
        </w:rPr>
        <w:t>分布：</w:t>
      </w:r>
      <w:r w:rsidR="00166E3E" w:rsidRPr="00F9522B">
        <w:rPr>
          <w:bCs/>
          <w:sz w:val="24"/>
        </w:rPr>
        <w:t>核心栖息在</w:t>
      </w:r>
      <w:r w:rsidR="00166E3E" w:rsidRPr="00F9522B">
        <w:rPr>
          <w:sz w:val="24"/>
        </w:rPr>
        <w:t>黑龙江干流中游、下游抚远段</w:t>
      </w:r>
      <w:r w:rsidR="00166E3E" w:rsidRPr="00F9522B">
        <w:rPr>
          <w:bCs/>
          <w:sz w:val="24"/>
        </w:rPr>
        <w:t>，种群数量最多。次要分布于乌苏里江全段、松花江下游、同江</w:t>
      </w:r>
      <w:r w:rsidR="00166E3E" w:rsidRPr="00F9522B">
        <w:rPr>
          <w:bCs/>
          <w:sz w:val="24"/>
        </w:rPr>
        <w:t xml:space="preserve">— </w:t>
      </w:r>
      <w:r w:rsidR="00166E3E" w:rsidRPr="00F9522B">
        <w:rPr>
          <w:bCs/>
          <w:sz w:val="24"/>
        </w:rPr>
        <w:t>抚远交汇水域。嫩江下游，支流开阔江岔、通江湖泊、泡沼偶见。</w:t>
      </w:r>
    </w:p>
    <w:p w:rsidR="00987CC0" w:rsidRPr="00F9522B" w:rsidRDefault="005273A1" w:rsidP="00987CC0">
      <w:pPr>
        <w:spacing w:line="360" w:lineRule="auto"/>
        <w:ind w:firstLineChars="200" w:firstLine="480"/>
        <w:rPr>
          <w:bCs/>
          <w:sz w:val="24"/>
        </w:rPr>
      </w:pPr>
      <w:r w:rsidRPr="00F9522B">
        <w:rPr>
          <w:bCs/>
          <w:sz w:val="24"/>
        </w:rPr>
        <w:fldChar w:fldCharType="begin"/>
      </w:r>
      <w:r w:rsidR="00987CC0" w:rsidRPr="00F9522B">
        <w:rPr>
          <w:bCs/>
          <w:sz w:val="24"/>
        </w:rPr>
        <w:instrText xml:space="preserve"> = 6 \* GB3 </w:instrText>
      </w:r>
      <w:r w:rsidRPr="00F9522B">
        <w:rPr>
          <w:bCs/>
          <w:sz w:val="24"/>
        </w:rPr>
        <w:fldChar w:fldCharType="separate"/>
      </w:r>
      <w:r w:rsidR="00987CC0" w:rsidRPr="00F9522B">
        <w:rPr>
          <w:rFonts w:ascii="宋体" w:hAnsi="宋体" w:cs="宋体" w:hint="eastAsia"/>
          <w:bCs/>
          <w:noProof/>
          <w:sz w:val="24"/>
        </w:rPr>
        <w:t>⑥</w:t>
      </w:r>
      <w:r w:rsidRPr="00F9522B">
        <w:rPr>
          <w:bCs/>
          <w:sz w:val="24"/>
        </w:rPr>
        <w:fldChar w:fldCharType="end"/>
      </w:r>
      <w:r w:rsidR="00987CC0" w:rsidRPr="00F9522B">
        <w:rPr>
          <w:bCs/>
          <w:sz w:val="24"/>
        </w:rPr>
        <w:t>乌苏里白鲑</w:t>
      </w:r>
      <w:r w:rsidR="00987CC0" w:rsidRPr="00F9522B">
        <w:rPr>
          <w:bCs/>
          <w:i/>
          <w:sz w:val="24"/>
        </w:rPr>
        <w:t>Coregonus ussuriensis</w:t>
      </w:r>
    </w:p>
    <w:p w:rsidR="00987CC0" w:rsidRPr="00F9522B" w:rsidRDefault="00987CC0" w:rsidP="00987CC0">
      <w:pPr>
        <w:spacing w:line="360" w:lineRule="auto"/>
        <w:ind w:firstLineChars="200" w:firstLine="480"/>
        <w:jc w:val="center"/>
        <w:rPr>
          <w:bCs/>
          <w:sz w:val="24"/>
        </w:rPr>
      </w:pPr>
      <w:r w:rsidRPr="00F9522B">
        <w:rPr>
          <w:bCs/>
          <w:noProof/>
          <w:sz w:val="24"/>
        </w:rPr>
        <w:drawing>
          <wp:inline distT="0" distB="0" distL="0" distR="0">
            <wp:extent cx="3333450" cy="1078302"/>
            <wp:effectExtent l="19050" t="0" r="300" b="0"/>
            <wp:docPr id="3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1"/>
                    <a:srcRect/>
                    <a:stretch>
                      <a:fillRect/>
                    </a:stretch>
                  </pic:blipFill>
                  <pic:spPr bwMode="auto">
                    <a:xfrm>
                      <a:off x="0" y="0"/>
                      <a:ext cx="3329360" cy="1076979"/>
                    </a:xfrm>
                    <a:prstGeom prst="rect">
                      <a:avLst/>
                    </a:prstGeom>
                    <a:noFill/>
                    <a:ln w="9525">
                      <a:noFill/>
                      <a:miter lim="800000"/>
                      <a:headEnd/>
                      <a:tailEnd/>
                    </a:ln>
                  </pic:spPr>
                </pic:pic>
              </a:graphicData>
            </a:graphic>
          </wp:inline>
        </w:drawing>
      </w:r>
    </w:p>
    <w:p w:rsidR="00987CC0" w:rsidRPr="00F9522B" w:rsidRDefault="00987CC0" w:rsidP="00987CC0">
      <w:pPr>
        <w:spacing w:line="360" w:lineRule="auto"/>
        <w:ind w:firstLineChars="200" w:firstLine="482"/>
        <w:rPr>
          <w:b/>
          <w:bCs/>
          <w:sz w:val="24"/>
        </w:rPr>
      </w:pPr>
      <w:r w:rsidRPr="00F9522B">
        <w:rPr>
          <w:b/>
          <w:bCs/>
          <w:sz w:val="24"/>
        </w:rPr>
        <w:lastRenderedPageBreak/>
        <w:t>生活习性</w:t>
      </w:r>
      <w:r w:rsidRPr="00F9522B">
        <w:rPr>
          <w:bCs/>
          <w:sz w:val="24"/>
        </w:rPr>
        <w:t>：</w:t>
      </w:r>
      <w:r w:rsidR="00957F2E" w:rsidRPr="00F9522B">
        <w:rPr>
          <w:bCs/>
          <w:sz w:val="24"/>
        </w:rPr>
        <w:t>典型冷水鱼，耐受</w:t>
      </w:r>
      <w:r w:rsidR="00957F2E" w:rsidRPr="00F9522B">
        <w:rPr>
          <w:bCs/>
          <w:sz w:val="24"/>
        </w:rPr>
        <w:t>1</w:t>
      </w:r>
      <w:r w:rsidR="00957F2E" w:rsidRPr="00F9522B">
        <w:rPr>
          <w:bCs/>
          <w:sz w:val="24"/>
        </w:rPr>
        <w:t>～</w:t>
      </w:r>
      <w:r w:rsidR="00957F2E" w:rsidRPr="00F9522B">
        <w:rPr>
          <w:bCs/>
          <w:sz w:val="24"/>
        </w:rPr>
        <w:t>20℃</w:t>
      </w:r>
      <w:r w:rsidR="00957F2E" w:rsidRPr="00F9522B">
        <w:rPr>
          <w:bCs/>
          <w:sz w:val="24"/>
        </w:rPr>
        <w:t>，</w:t>
      </w:r>
      <w:r w:rsidR="00957F2E" w:rsidRPr="00F9522B">
        <w:rPr>
          <w:sz w:val="24"/>
        </w:rPr>
        <w:t>最适</w:t>
      </w:r>
      <w:r w:rsidR="00957F2E" w:rsidRPr="00F9522B">
        <w:rPr>
          <w:sz w:val="24"/>
        </w:rPr>
        <w:t>10℃</w:t>
      </w:r>
      <w:r w:rsidR="00957F2E" w:rsidRPr="00F9522B">
        <w:rPr>
          <w:sz w:val="24"/>
        </w:rPr>
        <w:t>左右</w:t>
      </w:r>
      <w:r w:rsidR="00957F2E" w:rsidRPr="00F9522B">
        <w:rPr>
          <w:bCs/>
          <w:sz w:val="24"/>
        </w:rPr>
        <w:t>；</w:t>
      </w:r>
      <w:r w:rsidR="00957F2E" w:rsidRPr="00F9522B">
        <w:rPr>
          <w:bCs/>
          <w:sz w:val="24"/>
        </w:rPr>
        <w:t>1℃</w:t>
      </w:r>
      <w:r w:rsidR="00957F2E" w:rsidRPr="00F9522B">
        <w:rPr>
          <w:bCs/>
          <w:sz w:val="24"/>
        </w:rPr>
        <w:t>低温仍可正常摄食，夏季水温超</w:t>
      </w:r>
      <w:r w:rsidR="00957F2E" w:rsidRPr="00F9522B">
        <w:rPr>
          <w:bCs/>
          <w:sz w:val="24"/>
        </w:rPr>
        <w:t>15℃</w:t>
      </w:r>
      <w:r w:rsidR="00957F2E" w:rsidRPr="00F9522B">
        <w:rPr>
          <w:bCs/>
          <w:sz w:val="24"/>
        </w:rPr>
        <w:t>会躲避高温水域。必须水质清澈、溶氧高，偏好砂砾、卵石河床；回避淤泥、浑浊缓泡沼。</w:t>
      </w:r>
      <w:r w:rsidR="007040E2" w:rsidRPr="00F9522B">
        <w:rPr>
          <w:sz w:val="24"/>
        </w:rPr>
        <w:t>10</w:t>
      </w:r>
      <w:r w:rsidR="00957F2E" w:rsidRPr="00F9522B">
        <w:rPr>
          <w:sz w:val="24"/>
        </w:rPr>
        <w:t>月下旬</w:t>
      </w:r>
      <w:r w:rsidR="00957F2E" w:rsidRPr="00F9522B">
        <w:rPr>
          <w:sz w:val="24"/>
        </w:rPr>
        <w:t>—11</w:t>
      </w:r>
      <w:r w:rsidR="00957F2E" w:rsidRPr="00F9522B">
        <w:rPr>
          <w:sz w:val="24"/>
        </w:rPr>
        <w:t>月初</w:t>
      </w:r>
      <w:r w:rsidR="00957F2E" w:rsidRPr="00F9522B">
        <w:rPr>
          <w:bCs/>
          <w:sz w:val="24"/>
        </w:rPr>
        <w:t>，水温</w:t>
      </w:r>
      <w:r w:rsidR="00957F2E" w:rsidRPr="00F9522B">
        <w:rPr>
          <w:bCs/>
          <w:sz w:val="24"/>
        </w:rPr>
        <w:t>4</w:t>
      </w:r>
      <w:r w:rsidR="00957F2E" w:rsidRPr="00F9522B">
        <w:rPr>
          <w:bCs/>
          <w:sz w:val="24"/>
        </w:rPr>
        <w:t>～</w:t>
      </w:r>
      <w:r w:rsidR="00957F2E" w:rsidRPr="00F9522B">
        <w:rPr>
          <w:bCs/>
          <w:sz w:val="24"/>
        </w:rPr>
        <w:t>8℃</w:t>
      </w:r>
      <w:r w:rsidR="00957F2E" w:rsidRPr="00F9522B">
        <w:rPr>
          <w:bCs/>
          <w:sz w:val="24"/>
        </w:rPr>
        <w:t>低温期产卵。水深</w:t>
      </w:r>
      <w:r w:rsidR="00957F2E" w:rsidRPr="00F9522B">
        <w:rPr>
          <w:bCs/>
          <w:sz w:val="24"/>
        </w:rPr>
        <w:t>1</w:t>
      </w:r>
      <w:r w:rsidR="00957F2E" w:rsidRPr="00F9522B">
        <w:rPr>
          <w:bCs/>
          <w:sz w:val="24"/>
        </w:rPr>
        <w:t>～</w:t>
      </w:r>
      <w:r w:rsidR="00957F2E" w:rsidRPr="00F9522B">
        <w:rPr>
          <w:bCs/>
          <w:sz w:val="24"/>
        </w:rPr>
        <w:t>3m</w:t>
      </w:r>
      <w:r w:rsidR="00957F2E" w:rsidRPr="00F9522B">
        <w:rPr>
          <w:bCs/>
          <w:sz w:val="24"/>
        </w:rPr>
        <w:t>、流速平缓、砾石底质的支流河道；卵为沉黏性，粘附石块缝隙孵化。常见体长</w:t>
      </w:r>
      <w:r w:rsidR="00957F2E" w:rsidRPr="00F9522B">
        <w:rPr>
          <w:bCs/>
          <w:sz w:val="24"/>
        </w:rPr>
        <w:t>30</w:t>
      </w:r>
      <w:r w:rsidR="00957F2E" w:rsidRPr="00F9522B">
        <w:rPr>
          <w:bCs/>
          <w:sz w:val="24"/>
        </w:rPr>
        <w:t>～</w:t>
      </w:r>
      <w:r w:rsidR="00957F2E" w:rsidRPr="00F9522B">
        <w:rPr>
          <w:bCs/>
          <w:sz w:val="24"/>
        </w:rPr>
        <w:t>50cm</w:t>
      </w:r>
      <w:r w:rsidR="00957F2E" w:rsidRPr="00F9522B">
        <w:rPr>
          <w:bCs/>
          <w:sz w:val="24"/>
        </w:rPr>
        <w:t>，重</w:t>
      </w:r>
      <w:r w:rsidR="00957F2E" w:rsidRPr="00F9522B">
        <w:rPr>
          <w:bCs/>
          <w:sz w:val="24"/>
        </w:rPr>
        <w:t>0.4</w:t>
      </w:r>
      <w:r w:rsidR="00957F2E" w:rsidRPr="00F9522B">
        <w:rPr>
          <w:bCs/>
          <w:sz w:val="24"/>
        </w:rPr>
        <w:t>～</w:t>
      </w:r>
      <w:r w:rsidR="00957F2E" w:rsidRPr="00F9522B">
        <w:rPr>
          <w:bCs/>
          <w:sz w:val="24"/>
        </w:rPr>
        <w:t>1.2kg</w:t>
      </w:r>
      <w:r w:rsidR="00957F2E" w:rsidRPr="00F9522B">
        <w:rPr>
          <w:bCs/>
          <w:sz w:val="24"/>
        </w:rPr>
        <w:t>；最大可达</w:t>
      </w:r>
      <w:r w:rsidR="00957F2E" w:rsidRPr="00F9522B">
        <w:rPr>
          <w:bCs/>
          <w:sz w:val="24"/>
        </w:rPr>
        <w:t>60cm</w:t>
      </w:r>
      <w:r w:rsidR="00957F2E" w:rsidRPr="00F9522B">
        <w:rPr>
          <w:bCs/>
          <w:sz w:val="24"/>
        </w:rPr>
        <w:t>、</w:t>
      </w:r>
      <w:r w:rsidR="00957F2E" w:rsidRPr="00F9522B">
        <w:rPr>
          <w:bCs/>
          <w:sz w:val="24"/>
        </w:rPr>
        <w:t>3kg</w:t>
      </w:r>
      <w:r w:rsidR="00957F2E" w:rsidRPr="00F9522B">
        <w:rPr>
          <w:bCs/>
          <w:sz w:val="24"/>
        </w:rPr>
        <w:t>；生长速度中等，寿命约</w:t>
      </w:r>
      <w:r w:rsidR="00957F2E" w:rsidRPr="00F9522B">
        <w:rPr>
          <w:bCs/>
          <w:sz w:val="24"/>
        </w:rPr>
        <w:t>10</w:t>
      </w:r>
      <w:r w:rsidR="00957F2E" w:rsidRPr="00F9522B">
        <w:rPr>
          <w:bCs/>
          <w:sz w:val="24"/>
        </w:rPr>
        <w:t>～</w:t>
      </w:r>
      <w:r w:rsidR="007040E2" w:rsidRPr="00F9522B">
        <w:rPr>
          <w:bCs/>
          <w:sz w:val="24"/>
        </w:rPr>
        <w:t>15</w:t>
      </w:r>
      <w:r w:rsidR="00957F2E" w:rsidRPr="00F9522B">
        <w:rPr>
          <w:bCs/>
          <w:sz w:val="24"/>
        </w:rPr>
        <w:t>年。</w:t>
      </w:r>
    </w:p>
    <w:p w:rsidR="00987CC0" w:rsidRPr="00F9522B" w:rsidRDefault="00987CC0" w:rsidP="00987CC0">
      <w:pPr>
        <w:spacing w:line="360" w:lineRule="auto"/>
        <w:ind w:firstLineChars="200" w:firstLine="482"/>
        <w:rPr>
          <w:b/>
          <w:bCs/>
          <w:sz w:val="24"/>
        </w:rPr>
      </w:pPr>
      <w:r w:rsidRPr="00F9522B">
        <w:rPr>
          <w:b/>
          <w:bCs/>
          <w:sz w:val="24"/>
        </w:rPr>
        <w:t>分布：</w:t>
      </w:r>
      <w:r w:rsidR="0047760C" w:rsidRPr="00F9522B">
        <w:rPr>
          <w:bCs/>
          <w:sz w:val="24"/>
        </w:rPr>
        <w:t>核心栖息在</w:t>
      </w:r>
      <w:r w:rsidR="0047760C" w:rsidRPr="00F9522B">
        <w:rPr>
          <w:sz w:val="24"/>
        </w:rPr>
        <w:t>乌苏里江全流域（饶河、抚远段种群最多）、黑龙江干流中游至抚远入江口</w:t>
      </w:r>
      <w:r w:rsidR="0047760C" w:rsidRPr="00F9522B">
        <w:rPr>
          <w:bCs/>
          <w:sz w:val="24"/>
        </w:rPr>
        <w:t>。次要分布于松花江下游、兴凯湖及湖口河道。嫩江下游开阔江段，上游浅山溪流极少。</w:t>
      </w:r>
    </w:p>
    <w:p w:rsidR="00987CC0" w:rsidRPr="00F9522B" w:rsidRDefault="005273A1" w:rsidP="00987CC0">
      <w:pPr>
        <w:spacing w:line="360" w:lineRule="auto"/>
        <w:ind w:firstLineChars="200" w:firstLine="480"/>
        <w:rPr>
          <w:bCs/>
          <w:sz w:val="24"/>
        </w:rPr>
      </w:pPr>
      <w:r w:rsidRPr="00F9522B">
        <w:rPr>
          <w:bCs/>
          <w:sz w:val="24"/>
        </w:rPr>
        <w:fldChar w:fldCharType="begin"/>
      </w:r>
      <w:r w:rsidR="00987CC0" w:rsidRPr="00F9522B">
        <w:rPr>
          <w:bCs/>
          <w:sz w:val="24"/>
        </w:rPr>
        <w:instrText xml:space="preserve"> = 7 \* GB3 </w:instrText>
      </w:r>
      <w:r w:rsidRPr="00F9522B">
        <w:rPr>
          <w:bCs/>
          <w:sz w:val="24"/>
        </w:rPr>
        <w:fldChar w:fldCharType="separate"/>
      </w:r>
      <w:r w:rsidR="00987CC0" w:rsidRPr="00F9522B">
        <w:rPr>
          <w:rFonts w:ascii="宋体" w:hAnsi="宋体" w:cs="宋体" w:hint="eastAsia"/>
          <w:bCs/>
          <w:noProof/>
          <w:sz w:val="24"/>
        </w:rPr>
        <w:t>⑦</w:t>
      </w:r>
      <w:r w:rsidRPr="00F9522B">
        <w:rPr>
          <w:bCs/>
          <w:sz w:val="24"/>
        </w:rPr>
        <w:fldChar w:fldCharType="end"/>
      </w:r>
      <w:r w:rsidR="00987CC0" w:rsidRPr="00F9522B">
        <w:rPr>
          <w:bCs/>
          <w:sz w:val="24"/>
        </w:rPr>
        <w:t>哲罗鲑</w:t>
      </w:r>
      <w:r w:rsidR="00987CC0" w:rsidRPr="00F9522B">
        <w:rPr>
          <w:bCs/>
          <w:i/>
          <w:sz w:val="24"/>
        </w:rPr>
        <w:t>Hucho taimen</w:t>
      </w:r>
    </w:p>
    <w:p w:rsidR="00987CC0" w:rsidRPr="00F9522B" w:rsidRDefault="00011032" w:rsidP="00987CC0">
      <w:pPr>
        <w:spacing w:line="360" w:lineRule="auto"/>
        <w:ind w:firstLineChars="200" w:firstLine="480"/>
        <w:jc w:val="center"/>
        <w:rPr>
          <w:bCs/>
          <w:sz w:val="24"/>
        </w:rPr>
      </w:pPr>
      <w:r w:rsidRPr="00F9522B">
        <w:rPr>
          <w:bCs/>
          <w:noProof/>
          <w:sz w:val="24"/>
        </w:rPr>
        <w:drawing>
          <wp:inline distT="0" distB="0" distL="0" distR="0">
            <wp:extent cx="2926079" cy="1057275"/>
            <wp:effectExtent l="19050" t="0" r="7621" b="0"/>
            <wp:docPr id="49"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2"/>
                    <a:srcRect/>
                    <a:stretch>
                      <a:fillRect/>
                    </a:stretch>
                  </pic:blipFill>
                  <pic:spPr bwMode="auto">
                    <a:xfrm>
                      <a:off x="0" y="0"/>
                      <a:ext cx="2933700" cy="1060029"/>
                    </a:xfrm>
                    <a:prstGeom prst="rect">
                      <a:avLst/>
                    </a:prstGeom>
                    <a:noFill/>
                    <a:ln w="9525">
                      <a:noFill/>
                      <a:miter lim="800000"/>
                      <a:headEnd/>
                      <a:tailEnd/>
                    </a:ln>
                  </pic:spPr>
                </pic:pic>
              </a:graphicData>
            </a:graphic>
          </wp:inline>
        </w:drawing>
      </w:r>
    </w:p>
    <w:p w:rsidR="00987CC0" w:rsidRPr="00F9522B" w:rsidRDefault="00987CC0" w:rsidP="00987CC0">
      <w:pPr>
        <w:spacing w:line="360" w:lineRule="auto"/>
        <w:ind w:firstLineChars="200" w:firstLine="482"/>
        <w:rPr>
          <w:b/>
          <w:bCs/>
          <w:sz w:val="24"/>
        </w:rPr>
      </w:pPr>
      <w:r w:rsidRPr="00F9522B">
        <w:rPr>
          <w:b/>
          <w:bCs/>
          <w:sz w:val="24"/>
        </w:rPr>
        <w:t>生活习性：</w:t>
      </w:r>
      <w:r w:rsidR="00011032" w:rsidRPr="00F9522B">
        <w:rPr>
          <w:sz w:val="24"/>
        </w:rPr>
        <w:t>适宜水温</w:t>
      </w:r>
      <w:r w:rsidR="00011032" w:rsidRPr="00F9522B">
        <w:rPr>
          <w:sz w:val="24"/>
        </w:rPr>
        <w:t>9</w:t>
      </w:r>
      <w:r w:rsidR="00011032" w:rsidRPr="00F9522B">
        <w:rPr>
          <w:sz w:val="24"/>
        </w:rPr>
        <w:t>～</w:t>
      </w:r>
      <w:r w:rsidR="00011032" w:rsidRPr="00F9522B">
        <w:rPr>
          <w:sz w:val="24"/>
        </w:rPr>
        <w:t>12℃</w:t>
      </w:r>
      <w:r w:rsidR="00011032" w:rsidRPr="00F9522B">
        <w:rPr>
          <w:sz w:val="24"/>
        </w:rPr>
        <w:t>，耐受上限</w:t>
      </w:r>
      <w:r w:rsidR="00011032" w:rsidRPr="00F9522B">
        <w:rPr>
          <w:sz w:val="24"/>
        </w:rPr>
        <w:t>≤20℃</w:t>
      </w:r>
      <w:r w:rsidR="00011032" w:rsidRPr="00F9522B">
        <w:rPr>
          <w:sz w:val="24"/>
        </w:rPr>
        <w:t>；水温超</w:t>
      </w:r>
      <w:r w:rsidR="00011032" w:rsidRPr="00F9522B">
        <w:rPr>
          <w:sz w:val="24"/>
        </w:rPr>
        <w:t>15℃</w:t>
      </w:r>
      <w:r w:rsidR="00011032" w:rsidRPr="00F9522B">
        <w:rPr>
          <w:sz w:val="24"/>
        </w:rPr>
        <w:t>活性大幅下降，夏季躲深山低温支流、深水潭；冬季</w:t>
      </w:r>
      <w:r w:rsidR="00011032" w:rsidRPr="00F9522B">
        <w:rPr>
          <w:sz w:val="24"/>
        </w:rPr>
        <w:t>0℃</w:t>
      </w:r>
      <w:r w:rsidR="00011032" w:rsidRPr="00F9522B">
        <w:rPr>
          <w:sz w:val="24"/>
        </w:rPr>
        <w:t>左右仍可少量摄食。中下层巡游型掠食鱼，平时躲急流深潭、水下巨石后方；晨昏时段游至近岸浅滩捕猎；生性机警，多单独活动，极少集群。主食各类土著小鱼：细鳞鱼、茴鱼、雅罗鱼、鮈类、鲫幼鱼，同类幼鱼也会捕食。</w:t>
      </w:r>
      <w:r w:rsidR="00011032" w:rsidRPr="00F9522B">
        <w:rPr>
          <w:sz w:val="24"/>
        </w:rPr>
        <w:t>5</w:t>
      </w:r>
      <w:r w:rsidR="00011032" w:rsidRPr="00F9522B">
        <w:rPr>
          <w:sz w:val="24"/>
        </w:rPr>
        <w:t>月上旬，水温稳定</w:t>
      </w:r>
      <w:r w:rsidR="00011032" w:rsidRPr="00F9522B">
        <w:rPr>
          <w:sz w:val="24"/>
        </w:rPr>
        <w:t>5</w:t>
      </w:r>
      <w:r w:rsidR="00011032" w:rsidRPr="00F9522B">
        <w:rPr>
          <w:sz w:val="24"/>
        </w:rPr>
        <w:t>～</w:t>
      </w:r>
      <w:r w:rsidR="00011032" w:rsidRPr="00F9522B">
        <w:rPr>
          <w:sz w:val="24"/>
        </w:rPr>
        <w:t>10℃</w:t>
      </w:r>
      <w:r w:rsidR="00011032" w:rsidRPr="00F9522B">
        <w:rPr>
          <w:sz w:val="24"/>
        </w:rPr>
        <w:t>繁殖。产卵场在水流平缓、</w:t>
      </w:r>
      <w:r w:rsidR="00011032" w:rsidRPr="00F9522B">
        <w:rPr>
          <w:sz w:val="24"/>
        </w:rPr>
        <w:t>1</w:t>
      </w:r>
      <w:r w:rsidR="00011032" w:rsidRPr="00F9522B">
        <w:rPr>
          <w:sz w:val="24"/>
        </w:rPr>
        <w:t>～</w:t>
      </w:r>
      <w:r w:rsidR="00011032" w:rsidRPr="00F9522B">
        <w:rPr>
          <w:sz w:val="24"/>
        </w:rPr>
        <w:t xml:space="preserve">2m </w:t>
      </w:r>
      <w:r w:rsidR="00011032" w:rsidRPr="00F9522B">
        <w:rPr>
          <w:sz w:val="24"/>
        </w:rPr>
        <w:t>水深、干净砾石河滩。单尾雌鱼怀卵量</w:t>
      </w:r>
      <w:r w:rsidR="00011032" w:rsidRPr="00F9522B">
        <w:rPr>
          <w:sz w:val="24"/>
        </w:rPr>
        <w:t>4000</w:t>
      </w:r>
      <w:r w:rsidR="00011032" w:rsidRPr="00F9522B">
        <w:rPr>
          <w:sz w:val="24"/>
        </w:rPr>
        <w:t>～</w:t>
      </w:r>
      <w:r w:rsidR="00011032" w:rsidRPr="00F9522B">
        <w:rPr>
          <w:sz w:val="24"/>
        </w:rPr>
        <w:t>25000</w:t>
      </w:r>
      <w:r w:rsidR="00011032" w:rsidRPr="00F9522B">
        <w:rPr>
          <w:sz w:val="24"/>
        </w:rPr>
        <w:t>粒，卵径大（</w:t>
      </w:r>
      <w:r w:rsidR="00011032" w:rsidRPr="00F9522B">
        <w:rPr>
          <w:sz w:val="24"/>
        </w:rPr>
        <w:t>4.8</w:t>
      </w:r>
      <w:r w:rsidR="00011032" w:rsidRPr="00F9522B">
        <w:rPr>
          <w:sz w:val="24"/>
        </w:rPr>
        <w:t>～</w:t>
      </w:r>
      <w:r w:rsidR="00011032" w:rsidRPr="00F9522B">
        <w:rPr>
          <w:sz w:val="24"/>
        </w:rPr>
        <w:t>5.5mm</w:t>
      </w:r>
      <w:r w:rsidR="00011032" w:rsidRPr="00F9522B">
        <w:rPr>
          <w:sz w:val="24"/>
        </w:rPr>
        <w:t>）；低温下孵化周期长达</w:t>
      </w:r>
      <w:r w:rsidR="00011032" w:rsidRPr="00F9522B">
        <w:rPr>
          <w:sz w:val="24"/>
        </w:rPr>
        <w:t>30</w:t>
      </w:r>
      <w:r w:rsidR="00011032" w:rsidRPr="00F9522B">
        <w:rPr>
          <w:sz w:val="24"/>
        </w:rPr>
        <w:t>～</w:t>
      </w:r>
      <w:r w:rsidR="00011032" w:rsidRPr="00F9522B">
        <w:rPr>
          <w:sz w:val="24"/>
        </w:rPr>
        <w:t xml:space="preserve">35 </w:t>
      </w:r>
      <w:r w:rsidR="00011032" w:rsidRPr="00F9522B">
        <w:rPr>
          <w:sz w:val="24"/>
        </w:rPr>
        <w:t>天，仔鱼孵化后顺流至下游江湾育肥。</w:t>
      </w:r>
    </w:p>
    <w:p w:rsidR="00987CC0" w:rsidRPr="00F9522B" w:rsidRDefault="00987CC0" w:rsidP="00987CC0">
      <w:pPr>
        <w:spacing w:line="360" w:lineRule="auto"/>
        <w:ind w:firstLineChars="200" w:firstLine="482"/>
        <w:rPr>
          <w:b/>
          <w:bCs/>
          <w:sz w:val="24"/>
        </w:rPr>
      </w:pPr>
      <w:r w:rsidRPr="00F9522B">
        <w:rPr>
          <w:b/>
          <w:bCs/>
          <w:sz w:val="24"/>
        </w:rPr>
        <w:t>分布：</w:t>
      </w:r>
      <w:r w:rsidR="00011032" w:rsidRPr="00F9522B">
        <w:rPr>
          <w:bCs/>
          <w:sz w:val="24"/>
        </w:rPr>
        <w:t>核心栖息在</w:t>
      </w:r>
      <w:r w:rsidR="00011032" w:rsidRPr="00F9522B">
        <w:rPr>
          <w:sz w:val="24"/>
        </w:rPr>
        <w:t>黑龙江干流、乌苏里江、松花江、牡丹江、嫩江上游、镜泊湖、大兴安岭山溪支流；吉林图们江上游支流</w:t>
      </w:r>
      <w:r w:rsidR="00011032" w:rsidRPr="00F9522B">
        <w:rPr>
          <w:bCs/>
          <w:sz w:val="24"/>
        </w:rPr>
        <w:t>。额尔齐斯河、布尔津河、哈巴河、喀纳斯湖（著名大红鱼栖息地）、乌伦古河。</w:t>
      </w:r>
    </w:p>
    <w:p w:rsidR="00987CC0" w:rsidRPr="00F9522B" w:rsidRDefault="005273A1" w:rsidP="00987CC0">
      <w:pPr>
        <w:spacing w:line="360" w:lineRule="auto"/>
        <w:ind w:firstLineChars="200" w:firstLine="480"/>
        <w:rPr>
          <w:bCs/>
          <w:sz w:val="24"/>
        </w:rPr>
      </w:pPr>
      <w:r w:rsidRPr="00F9522B">
        <w:rPr>
          <w:bCs/>
          <w:sz w:val="24"/>
        </w:rPr>
        <w:fldChar w:fldCharType="begin"/>
      </w:r>
      <w:r w:rsidR="00987CC0" w:rsidRPr="00F9522B">
        <w:rPr>
          <w:bCs/>
          <w:sz w:val="24"/>
        </w:rPr>
        <w:instrText xml:space="preserve"> = 8 \* GB3 </w:instrText>
      </w:r>
      <w:r w:rsidRPr="00F9522B">
        <w:rPr>
          <w:bCs/>
          <w:sz w:val="24"/>
        </w:rPr>
        <w:fldChar w:fldCharType="separate"/>
      </w:r>
      <w:r w:rsidR="00987CC0" w:rsidRPr="00F9522B">
        <w:rPr>
          <w:rFonts w:ascii="宋体" w:hAnsi="宋体" w:cs="宋体" w:hint="eastAsia"/>
          <w:bCs/>
          <w:noProof/>
          <w:sz w:val="24"/>
        </w:rPr>
        <w:t>⑧</w:t>
      </w:r>
      <w:r w:rsidRPr="00F9522B">
        <w:rPr>
          <w:bCs/>
          <w:sz w:val="24"/>
        </w:rPr>
        <w:fldChar w:fldCharType="end"/>
      </w:r>
      <w:r w:rsidR="00987CC0" w:rsidRPr="00F9522B">
        <w:rPr>
          <w:bCs/>
          <w:sz w:val="24"/>
        </w:rPr>
        <w:t>黑龙江茴鱼</w:t>
      </w:r>
      <w:r w:rsidR="00987CC0" w:rsidRPr="00F9522B">
        <w:rPr>
          <w:bCs/>
          <w:i/>
          <w:sz w:val="24"/>
        </w:rPr>
        <w:t>Thymallus grubii</w:t>
      </w:r>
    </w:p>
    <w:p w:rsidR="00ED0341" w:rsidRPr="00F9522B" w:rsidRDefault="00ED0341" w:rsidP="00ED0341">
      <w:pPr>
        <w:pStyle w:val="2fa"/>
        <w:ind w:firstLineChars="232" w:firstLine="559"/>
        <w:contextualSpacing/>
        <w:jc w:val="center"/>
        <w:rPr>
          <w:rFonts w:ascii="Times New Roman" w:hAnsi="Times New Roman" w:cs="Times New Roman"/>
          <w:b/>
          <w:bCs/>
        </w:rPr>
      </w:pPr>
      <w:r w:rsidRPr="00F9522B">
        <w:rPr>
          <w:rFonts w:ascii="Times New Roman" w:hAnsi="Times New Roman" w:cs="Times New Roman"/>
          <w:b/>
          <w:bCs/>
          <w:noProof/>
        </w:rPr>
        <w:drawing>
          <wp:inline distT="0" distB="0" distL="0" distR="0">
            <wp:extent cx="3007003" cy="968991"/>
            <wp:effectExtent l="19050" t="0" r="2897" b="0"/>
            <wp:docPr id="4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3"/>
                    <a:srcRect/>
                    <a:stretch>
                      <a:fillRect/>
                    </a:stretch>
                  </pic:blipFill>
                  <pic:spPr bwMode="auto">
                    <a:xfrm>
                      <a:off x="0" y="0"/>
                      <a:ext cx="3026897" cy="975402"/>
                    </a:xfrm>
                    <a:prstGeom prst="rect">
                      <a:avLst/>
                    </a:prstGeom>
                    <a:noFill/>
                    <a:ln w="9525">
                      <a:noFill/>
                      <a:miter lim="800000"/>
                      <a:headEnd/>
                      <a:tailEnd/>
                    </a:ln>
                  </pic:spPr>
                </pic:pic>
              </a:graphicData>
            </a:graphic>
          </wp:inline>
        </w:drawing>
      </w:r>
    </w:p>
    <w:p w:rsidR="00987CC0" w:rsidRPr="00F9522B" w:rsidRDefault="00987CC0" w:rsidP="00161C2E">
      <w:pPr>
        <w:pStyle w:val="2fa"/>
        <w:ind w:firstLineChars="232" w:firstLine="559"/>
        <w:contextualSpacing/>
        <w:rPr>
          <w:rFonts w:ascii="Times New Roman" w:hAnsi="Times New Roman" w:cs="Times New Roman"/>
        </w:rPr>
      </w:pPr>
      <w:r w:rsidRPr="00F9522B">
        <w:rPr>
          <w:rFonts w:ascii="Times New Roman" w:hAnsi="Times New Roman" w:cs="Times New Roman"/>
          <w:b/>
          <w:bCs/>
        </w:rPr>
        <w:t>生活习性：</w:t>
      </w:r>
      <w:r w:rsidR="00161C2E" w:rsidRPr="00F9522B">
        <w:rPr>
          <w:rFonts w:ascii="Times New Roman" w:hAnsi="Times New Roman" w:cs="Times New Roman"/>
        </w:rPr>
        <w:t>仅栖息清澈、低温、高溶氧山涧急流支流，水温常年低于</w:t>
      </w:r>
      <w:r w:rsidR="00161C2E" w:rsidRPr="00F9522B">
        <w:rPr>
          <w:rFonts w:ascii="Times New Roman" w:hAnsi="Times New Roman" w:cs="Times New Roman"/>
        </w:rPr>
        <w:t>20℃</w:t>
      </w:r>
      <w:r w:rsidR="00161C2E" w:rsidRPr="00F9522B">
        <w:rPr>
          <w:rFonts w:ascii="Times New Roman" w:hAnsi="Times New Roman" w:cs="Times New Roman"/>
        </w:rPr>
        <w:t>；</w:t>
      </w:r>
      <w:r w:rsidR="00161C2E" w:rsidRPr="00F9522B">
        <w:rPr>
          <w:rFonts w:ascii="Times New Roman" w:hAnsi="Times New Roman" w:cs="Times New Roman"/>
        </w:rPr>
        <w:lastRenderedPageBreak/>
        <w:t>不下宽阔大江、平原缓河，活动范围极小，仅短距离短途洄游；主食水生昆虫幼虫，小型肉食冷水鱼。</w:t>
      </w:r>
    </w:p>
    <w:p w:rsidR="00987CC0" w:rsidRPr="00F9522B" w:rsidRDefault="00987CC0" w:rsidP="00987CC0">
      <w:pPr>
        <w:spacing w:line="360" w:lineRule="auto"/>
        <w:ind w:firstLineChars="200" w:firstLine="482"/>
        <w:rPr>
          <w:rFonts w:eastAsiaTheme="minorEastAsia"/>
          <w:sz w:val="24"/>
          <w:szCs w:val="21"/>
        </w:rPr>
      </w:pPr>
      <w:r w:rsidRPr="00F9522B">
        <w:rPr>
          <w:b/>
          <w:bCs/>
          <w:sz w:val="24"/>
        </w:rPr>
        <w:t>分布：</w:t>
      </w:r>
      <w:r w:rsidR="00161C2E" w:rsidRPr="00F9522B">
        <w:rPr>
          <w:rFonts w:eastAsiaTheme="minorEastAsia"/>
          <w:sz w:val="24"/>
          <w:szCs w:val="21"/>
        </w:rPr>
        <w:t>松花江流域仅分布在上游山区支流：牡丹江、海浪河、汤旺河、嫩江上游山林溪流，干流宽阔水面极少出现，是当地种质保护区重点增殖放流物种。</w:t>
      </w:r>
    </w:p>
    <w:p w:rsidR="002A5A5E" w:rsidRPr="00F9522B" w:rsidRDefault="00611CBA">
      <w:pPr>
        <w:pStyle w:val="2fa"/>
        <w:ind w:firstLine="482"/>
        <w:contextualSpacing/>
        <w:rPr>
          <w:rFonts w:ascii="Times New Roman" w:eastAsia="宋体" w:hAnsi="Times New Roman" w:cs="Times New Roman"/>
          <w:b/>
          <w:szCs w:val="24"/>
        </w:rPr>
      </w:pPr>
      <w:r w:rsidRPr="00F9522B">
        <w:rPr>
          <w:rFonts w:ascii="Times New Roman" w:eastAsia="宋体" w:hAnsi="Times New Roman" w:cs="Times New Roman"/>
          <w:b/>
          <w:szCs w:val="24"/>
        </w:rPr>
        <w:t>二、鱼类生态类群</w:t>
      </w:r>
    </w:p>
    <w:p w:rsidR="002A5A5E" w:rsidRPr="00F9522B" w:rsidRDefault="00611CBA" w:rsidP="00611CBA">
      <w:pPr>
        <w:pStyle w:val="2fa"/>
        <w:ind w:firstLineChars="232" w:firstLine="557"/>
        <w:contextualSpacing/>
        <w:rPr>
          <w:rFonts w:ascii="Times New Roman" w:hAnsi="Times New Roman" w:cs="Times New Roman"/>
        </w:rPr>
      </w:pPr>
      <w:r w:rsidRPr="00F9522B">
        <w:rPr>
          <w:rFonts w:ascii="Times New Roman" w:hAnsi="Times New Roman" w:cs="Times New Roman"/>
        </w:rPr>
        <w:t>1</w:t>
      </w:r>
      <w:r w:rsidRPr="00F9522B">
        <w:rPr>
          <w:rFonts w:ascii="Times New Roman" w:hAnsi="Times New Roman" w:cs="Times New Roman"/>
        </w:rPr>
        <w:t>）生境利用类群</w:t>
      </w:r>
      <w:r w:rsidRPr="00F9522B">
        <w:rPr>
          <w:rFonts w:ascii="Times New Roman" w:hAnsi="Times New Roman" w:cs="Times New Roman"/>
        </w:rPr>
        <w:t xml:space="preserve"> </w:t>
      </w:r>
    </w:p>
    <w:p w:rsidR="002A5A5E" w:rsidRPr="00F9522B" w:rsidRDefault="00611CBA" w:rsidP="00611CBA">
      <w:pPr>
        <w:pStyle w:val="2fa"/>
        <w:ind w:firstLineChars="232" w:firstLine="557"/>
        <w:contextualSpacing/>
        <w:rPr>
          <w:rFonts w:ascii="Times New Roman" w:hAnsi="Times New Roman" w:cs="Times New Roman"/>
        </w:rPr>
      </w:pPr>
      <w:r w:rsidRPr="00F9522B">
        <w:rPr>
          <w:rFonts w:ascii="Times New Roman" w:hAnsi="Times New Roman" w:cs="Times New Roman"/>
        </w:rPr>
        <w:t>评价水域鱼类由</w:t>
      </w:r>
      <w:r w:rsidRPr="00F9522B">
        <w:rPr>
          <w:rFonts w:ascii="Times New Roman" w:hAnsi="Times New Roman" w:cs="Times New Roman"/>
        </w:rPr>
        <w:t xml:space="preserve"> 4 </w:t>
      </w:r>
      <w:r w:rsidRPr="00F9522B">
        <w:rPr>
          <w:rFonts w:ascii="Times New Roman" w:hAnsi="Times New Roman" w:cs="Times New Roman"/>
        </w:rPr>
        <w:t>种生态类型构成。</w:t>
      </w:r>
      <w:r w:rsidRPr="00F9522B">
        <w:rPr>
          <w:rFonts w:ascii="Times New Roman" w:hAnsi="Times New Roman" w:cs="Times New Roman"/>
        </w:rPr>
        <w:t xml:space="preserve"> </w:t>
      </w:r>
    </w:p>
    <w:p w:rsidR="002A5A5E" w:rsidRPr="00F9522B" w:rsidRDefault="00611CBA" w:rsidP="00250C31">
      <w:pPr>
        <w:pStyle w:val="2fa"/>
        <w:ind w:firstLineChars="232" w:firstLine="557"/>
        <w:contextualSpacing/>
        <w:rPr>
          <w:rFonts w:ascii="Times New Roman" w:hAnsi="Times New Roman" w:cs="Times New Roman"/>
        </w:rPr>
      </w:pPr>
      <w:r w:rsidRPr="00F9522B">
        <w:rPr>
          <w:rFonts w:ascii="Times New Roman" w:hAnsi="Times New Roman" w:cs="Times New Roman"/>
        </w:rPr>
        <w:t>底层生活类群</w:t>
      </w:r>
      <w:r w:rsidR="00250C31" w:rsidRPr="00F9522B">
        <w:rPr>
          <w:rFonts w:ascii="Times New Roman" w:hAnsi="Times New Roman" w:cs="Times New Roman"/>
        </w:rPr>
        <w:t>：</w:t>
      </w:r>
      <w:r w:rsidRPr="00F9522B">
        <w:rPr>
          <w:rFonts w:ascii="Times New Roman" w:hAnsi="Times New Roman" w:cs="Times New Roman"/>
        </w:rPr>
        <w:t>生活于干流及支流流速较快水域当中，包括鲿科、鮈亚科、鲤亚科、鳅科等，如鲤、鲫、黑龙江泥鳅等。</w:t>
      </w:r>
      <w:r w:rsidRPr="00F9522B">
        <w:rPr>
          <w:rFonts w:ascii="Times New Roman" w:hAnsi="Times New Roman" w:cs="Times New Roman"/>
        </w:rPr>
        <w:t xml:space="preserve"> </w:t>
      </w:r>
    </w:p>
    <w:p w:rsidR="002A5A5E" w:rsidRPr="00F9522B" w:rsidRDefault="00611CBA" w:rsidP="00611CBA">
      <w:pPr>
        <w:pStyle w:val="2fa"/>
        <w:ind w:firstLineChars="232" w:firstLine="557"/>
        <w:contextualSpacing/>
        <w:rPr>
          <w:rFonts w:ascii="Times New Roman" w:hAnsi="Times New Roman" w:cs="Times New Roman"/>
        </w:rPr>
      </w:pPr>
      <w:r w:rsidRPr="00F9522B">
        <w:rPr>
          <w:rFonts w:ascii="Times New Roman" w:hAnsi="Times New Roman" w:cs="Times New Roman"/>
        </w:rPr>
        <w:t>中层生活类群：生活于水体中上层水域身体侧扁的鱼类，多生活于支流水体，包括鲌亚科、鳑鲏亚科等。</w:t>
      </w:r>
      <w:r w:rsidRPr="00F9522B">
        <w:rPr>
          <w:rFonts w:ascii="Times New Roman" w:hAnsi="Times New Roman" w:cs="Times New Roman"/>
        </w:rPr>
        <w:t xml:space="preserve"> </w:t>
      </w:r>
    </w:p>
    <w:p w:rsidR="002A5A5E" w:rsidRPr="00F9522B" w:rsidRDefault="00611CBA" w:rsidP="00611CBA">
      <w:pPr>
        <w:pStyle w:val="2fa"/>
        <w:ind w:firstLineChars="232" w:firstLine="557"/>
        <w:contextualSpacing/>
        <w:rPr>
          <w:rFonts w:ascii="Times New Roman" w:hAnsi="Times New Roman" w:cs="Times New Roman"/>
        </w:rPr>
      </w:pPr>
      <w:r w:rsidRPr="00F9522B">
        <w:rPr>
          <w:rFonts w:ascii="Times New Roman" w:hAnsi="Times New Roman" w:cs="Times New Roman"/>
        </w:rPr>
        <w:t>水体上层生活鱼类：体型纺锤形，游泳能力强，游动迅速。有许多种类是捕食性鱼类。包括鲢亚科等。</w:t>
      </w:r>
      <w:r w:rsidRPr="00F9522B">
        <w:rPr>
          <w:rFonts w:ascii="Times New Roman" w:hAnsi="Times New Roman" w:cs="Times New Roman"/>
        </w:rPr>
        <w:t xml:space="preserve"> </w:t>
      </w:r>
    </w:p>
    <w:p w:rsidR="002A5A5E" w:rsidRPr="00F9522B" w:rsidRDefault="00611CBA" w:rsidP="00611CBA">
      <w:pPr>
        <w:pStyle w:val="2fa"/>
        <w:ind w:firstLineChars="232" w:firstLine="557"/>
        <w:contextualSpacing/>
        <w:rPr>
          <w:rFonts w:ascii="Times New Roman" w:hAnsi="Times New Roman" w:cs="Times New Roman"/>
        </w:rPr>
      </w:pPr>
      <w:r w:rsidRPr="00F9522B">
        <w:rPr>
          <w:rFonts w:ascii="Times New Roman" w:hAnsi="Times New Roman" w:cs="Times New Roman"/>
        </w:rPr>
        <w:t>岸边静水草滩生活类群：大多为小型鱼类，有筑巢习性，乌鳢、麦穗鱼等。</w:t>
      </w:r>
    </w:p>
    <w:p w:rsidR="002A5A5E" w:rsidRPr="00F9522B" w:rsidRDefault="00611CBA" w:rsidP="00611CBA">
      <w:pPr>
        <w:pStyle w:val="2fa"/>
        <w:ind w:firstLineChars="232" w:firstLine="557"/>
        <w:contextualSpacing/>
        <w:rPr>
          <w:rFonts w:ascii="Times New Roman" w:hAnsi="Times New Roman" w:cs="Times New Roman"/>
        </w:rPr>
      </w:pPr>
      <w:r w:rsidRPr="00F9522B">
        <w:rPr>
          <w:rFonts w:ascii="Times New Roman" w:hAnsi="Times New Roman" w:cs="Times New Roman"/>
        </w:rPr>
        <w:t>2</w:t>
      </w:r>
      <w:r w:rsidRPr="00F9522B">
        <w:rPr>
          <w:rFonts w:ascii="Times New Roman" w:hAnsi="Times New Roman" w:cs="Times New Roman"/>
        </w:rPr>
        <w:t>）食性生态类群</w:t>
      </w:r>
      <w:r w:rsidRPr="00F9522B">
        <w:rPr>
          <w:rFonts w:ascii="Times New Roman" w:hAnsi="Times New Roman" w:cs="Times New Roman"/>
        </w:rPr>
        <w:t xml:space="preserve"> </w:t>
      </w:r>
    </w:p>
    <w:p w:rsidR="002A5A5E" w:rsidRPr="00F9522B" w:rsidRDefault="00611CBA" w:rsidP="00611CBA">
      <w:pPr>
        <w:pStyle w:val="2fa"/>
        <w:ind w:firstLineChars="232" w:firstLine="557"/>
        <w:contextualSpacing/>
        <w:rPr>
          <w:rFonts w:ascii="Times New Roman" w:hAnsi="Times New Roman" w:cs="Times New Roman"/>
        </w:rPr>
      </w:pPr>
      <w:r w:rsidRPr="00F9522B">
        <w:rPr>
          <w:rFonts w:ascii="Times New Roman" w:hAnsi="Times New Roman" w:cs="Times New Roman"/>
        </w:rPr>
        <w:t>浮游植、动物食性鱼类：由于水体缺乏营养，浮游植物生物量较少，营滤食生活的鱼类不多，仅有鲢、鳙</w:t>
      </w:r>
      <w:r w:rsidR="005601A1" w:rsidRPr="00F9522B">
        <w:rPr>
          <w:rFonts w:ascii="Times New Roman" w:hAnsi="Times New Roman" w:cs="Times New Roman"/>
        </w:rPr>
        <w:t>2</w:t>
      </w:r>
      <w:r w:rsidRPr="00F9522B">
        <w:rPr>
          <w:rFonts w:ascii="Times New Roman" w:hAnsi="Times New Roman" w:cs="Times New Roman"/>
        </w:rPr>
        <w:t>种。</w:t>
      </w:r>
      <w:r w:rsidRPr="00F9522B">
        <w:rPr>
          <w:rFonts w:ascii="Times New Roman" w:hAnsi="Times New Roman" w:cs="Times New Roman"/>
        </w:rPr>
        <w:t xml:space="preserve"> </w:t>
      </w:r>
    </w:p>
    <w:p w:rsidR="002A5A5E" w:rsidRPr="00F9522B" w:rsidRDefault="00611CBA" w:rsidP="00611CBA">
      <w:pPr>
        <w:pStyle w:val="2fa"/>
        <w:ind w:firstLineChars="232" w:firstLine="557"/>
        <w:contextualSpacing/>
        <w:rPr>
          <w:rFonts w:ascii="Times New Roman" w:hAnsi="Times New Roman" w:cs="Times New Roman"/>
        </w:rPr>
      </w:pPr>
      <w:r w:rsidRPr="00F9522B">
        <w:rPr>
          <w:rFonts w:ascii="Times New Roman" w:hAnsi="Times New Roman" w:cs="Times New Roman"/>
        </w:rPr>
        <w:t>着生藻类食性：这类鱼类有鳅科的黑龙江花鳅等。</w:t>
      </w:r>
      <w:r w:rsidRPr="00F9522B">
        <w:rPr>
          <w:rFonts w:ascii="Times New Roman" w:hAnsi="Times New Roman" w:cs="Times New Roman"/>
        </w:rPr>
        <w:t xml:space="preserve"> </w:t>
      </w:r>
    </w:p>
    <w:p w:rsidR="002A5A5E" w:rsidRPr="00F9522B" w:rsidRDefault="00611CBA" w:rsidP="00611CBA">
      <w:pPr>
        <w:pStyle w:val="2fa"/>
        <w:ind w:firstLineChars="232" w:firstLine="557"/>
        <w:contextualSpacing/>
        <w:rPr>
          <w:rFonts w:ascii="Times New Roman" w:hAnsi="Times New Roman" w:cs="Times New Roman"/>
        </w:rPr>
      </w:pPr>
      <w:r w:rsidRPr="00F9522B">
        <w:rPr>
          <w:rFonts w:ascii="Times New Roman" w:hAnsi="Times New Roman" w:cs="Times New Roman"/>
        </w:rPr>
        <w:t>底栖动物食性鱼类：鲿科、鮈亚科等。</w:t>
      </w:r>
      <w:r w:rsidRPr="00F9522B">
        <w:rPr>
          <w:rFonts w:ascii="Times New Roman" w:hAnsi="Times New Roman" w:cs="Times New Roman"/>
        </w:rPr>
        <w:t xml:space="preserve"> </w:t>
      </w:r>
    </w:p>
    <w:p w:rsidR="002A5A5E" w:rsidRPr="00F9522B" w:rsidRDefault="00611CBA" w:rsidP="00611CBA">
      <w:pPr>
        <w:pStyle w:val="2fa"/>
        <w:ind w:firstLineChars="232" w:firstLine="557"/>
        <w:contextualSpacing/>
        <w:rPr>
          <w:rFonts w:ascii="Times New Roman" w:hAnsi="Times New Roman" w:cs="Times New Roman"/>
        </w:rPr>
      </w:pPr>
      <w:r w:rsidRPr="00F9522B">
        <w:rPr>
          <w:rFonts w:ascii="Times New Roman" w:hAnsi="Times New Roman" w:cs="Times New Roman"/>
        </w:rPr>
        <w:t>食鱼性鱼类：鲇科、狗鱼科、鳢科等。</w:t>
      </w:r>
      <w:r w:rsidRPr="00F9522B">
        <w:rPr>
          <w:rFonts w:ascii="Times New Roman" w:hAnsi="Times New Roman" w:cs="Times New Roman"/>
        </w:rPr>
        <w:t xml:space="preserve"> </w:t>
      </w:r>
    </w:p>
    <w:p w:rsidR="002A5A5E" w:rsidRPr="00F9522B" w:rsidRDefault="00611CBA" w:rsidP="00611CBA">
      <w:pPr>
        <w:pStyle w:val="2fa"/>
        <w:ind w:firstLineChars="232" w:firstLine="557"/>
        <w:contextualSpacing/>
        <w:rPr>
          <w:rFonts w:ascii="Times New Roman" w:hAnsi="Times New Roman" w:cs="Times New Roman"/>
        </w:rPr>
      </w:pPr>
      <w:r w:rsidRPr="00F9522B">
        <w:rPr>
          <w:rFonts w:ascii="Times New Roman" w:hAnsi="Times New Roman" w:cs="Times New Roman"/>
        </w:rPr>
        <w:t>杂食性鱼类：包括鲤、银鲫、泥鳅等。</w:t>
      </w:r>
    </w:p>
    <w:p w:rsidR="002A5A5E" w:rsidRPr="00F9522B" w:rsidRDefault="00611CBA" w:rsidP="00611CBA">
      <w:pPr>
        <w:pStyle w:val="2fa"/>
        <w:ind w:firstLineChars="232" w:firstLine="557"/>
        <w:contextualSpacing/>
        <w:rPr>
          <w:rFonts w:ascii="Times New Roman" w:hAnsi="Times New Roman" w:cs="Times New Roman"/>
        </w:rPr>
      </w:pPr>
      <w:r w:rsidRPr="00F9522B">
        <w:rPr>
          <w:rFonts w:ascii="Times New Roman" w:hAnsi="Times New Roman" w:cs="Times New Roman"/>
        </w:rPr>
        <w:t>3</w:t>
      </w:r>
      <w:r w:rsidRPr="00F9522B">
        <w:rPr>
          <w:rFonts w:ascii="Times New Roman" w:hAnsi="Times New Roman" w:cs="Times New Roman"/>
        </w:rPr>
        <w:t>）繁殖生态类群</w:t>
      </w:r>
      <w:r w:rsidRPr="00F9522B">
        <w:rPr>
          <w:rFonts w:ascii="Times New Roman" w:hAnsi="Times New Roman" w:cs="Times New Roman"/>
        </w:rPr>
        <w:t xml:space="preserve"> </w:t>
      </w:r>
    </w:p>
    <w:p w:rsidR="002A5A5E" w:rsidRPr="00F9522B" w:rsidRDefault="00611CBA" w:rsidP="00611CBA">
      <w:pPr>
        <w:pStyle w:val="2fa"/>
        <w:ind w:firstLineChars="232" w:firstLine="557"/>
        <w:contextualSpacing/>
        <w:rPr>
          <w:rFonts w:ascii="Times New Roman" w:hAnsi="Times New Roman" w:cs="Times New Roman"/>
        </w:rPr>
      </w:pPr>
      <w:r w:rsidRPr="00F9522B">
        <w:rPr>
          <w:rFonts w:ascii="Times New Roman" w:hAnsi="Times New Roman" w:cs="Times New Roman"/>
        </w:rPr>
        <w:t>根据亲鱼产卵位置的选择以及受精卵的性质，评价水域鱼类繁殖生态类群为</w:t>
      </w:r>
      <w:r w:rsidRPr="00F9522B">
        <w:rPr>
          <w:rFonts w:ascii="Times New Roman" w:hAnsi="Times New Roman" w:cs="Times New Roman"/>
        </w:rPr>
        <w:t>6</w:t>
      </w:r>
      <w:r w:rsidRPr="00F9522B">
        <w:rPr>
          <w:rFonts w:ascii="Times New Roman" w:hAnsi="Times New Roman" w:cs="Times New Roman"/>
        </w:rPr>
        <w:t>个类群：</w:t>
      </w:r>
    </w:p>
    <w:p w:rsidR="002A5A5E" w:rsidRPr="00F9522B" w:rsidRDefault="00611CBA" w:rsidP="00611CBA">
      <w:pPr>
        <w:pStyle w:val="2fa"/>
        <w:ind w:firstLineChars="232" w:firstLine="557"/>
        <w:contextualSpacing/>
        <w:rPr>
          <w:rFonts w:ascii="Times New Roman" w:hAnsi="Times New Roman" w:cs="Times New Roman"/>
        </w:rPr>
      </w:pPr>
      <w:r w:rsidRPr="00F9522B">
        <w:rPr>
          <w:rFonts w:ascii="Times New Roman" w:hAnsi="Times New Roman" w:cs="Times New Roman"/>
        </w:rPr>
        <w:t>漂流性卵类群：包括草鱼、鲢等。</w:t>
      </w:r>
    </w:p>
    <w:p w:rsidR="002A5A5E" w:rsidRPr="00F9522B" w:rsidRDefault="00611CBA" w:rsidP="00611CBA">
      <w:pPr>
        <w:pStyle w:val="2fa"/>
        <w:ind w:firstLineChars="232" w:firstLine="557"/>
        <w:contextualSpacing/>
        <w:rPr>
          <w:rFonts w:ascii="Times New Roman" w:hAnsi="Times New Roman" w:cs="Times New Roman"/>
        </w:rPr>
      </w:pPr>
      <w:r w:rsidRPr="00F9522B">
        <w:rPr>
          <w:rFonts w:ascii="Times New Roman" w:hAnsi="Times New Roman" w:cs="Times New Roman"/>
        </w:rPr>
        <w:t>流水中产黏性卵类群：包括鲿科等。</w:t>
      </w:r>
    </w:p>
    <w:p w:rsidR="002A5A5E" w:rsidRPr="00F9522B" w:rsidRDefault="00611CBA" w:rsidP="00611CBA">
      <w:pPr>
        <w:pStyle w:val="2fa"/>
        <w:ind w:firstLineChars="232" w:firstLine="557"/>
        <w:contextualSpacing/>
        <w:rPr>
          <w:rFonts w:ascii="Times New Roman" w:hAnsi="Times New Roman" w:cs="Times New Roman"/>
        </w:rPr>
      </w:pPr>
      <w:r w:rsidRPr="00F9522B">
        <w:rPr>
          <w:rFonts w:ascii="Times New Roman" w:hAnsi="Times New Roman" w:cs="Times New Roman"/>
        </w:rPr>
        <w:t>静水环境产黏性卵类群：包括鲤亚科、鲌亚科等。</w:t>
      </w:r>
    </w:p>
    <w:p w:rsidR="002A5A5E" w:rsidRPr="00F9522B" w:rsidRDefault="00611CBA" w:rsidP="00611CBA">
      <w:pPr>
        <w:pStyle w:val="2fa"/>
        <w:ind w:firstLineChars="232" w:firstLine="557"/>
        <w:contextualSpacing/>
        <w:rPr>
          <w:rFonts w:ascii="Times New Roman" w:hAnsi="Times New Roman" w:cs="Times New Roman"/>
        </w:rPr>
      </w:pPr>
      <w:r w:rsidRPr="00F9522B">
        <w:rPr>
          <w:rFonts w:ascii="Times New Roman" w:hAnsi="Times New Roman" w:cs="Times New Roman"/>
        </w:rPr>
        <w:t>产浮性卵类群：包括乌鳢等。</w:t>
      </w:r>
    </w:p>
    <w:p w:rsidR="002A5A5E" w:rsidRPr="00F9522B" w:rsidRDefault="00611CBA" w:rsidP="00611CBA">
      <w:pPr>
        <w:pStyle w:val="2fa"/>
        <w:ind w:firstLineChars="232" w:firstLine="557"/>
        <w:contextualSpacing/>
        <w:rPr>
          <w:rFonts w:ascii="Times New Roman" w:hAnsi="Times New Roman" w:cs="Times New Roman"/>
        </w:rPr>
      </w:pPr>
      <w:r w:rsidRPr="00F9522B">
        <w:rPr>
          <w:rFonts w:ascii="Times New Roman" w:hAnsi="Times New Roman" w:cs="Times New Roman"/>
        </w:rPr>
        <w:t>其它产卵类群：包括产卵于软体动物外套腔中的鱊亚科鱼类。</w:t>
      </w:r>
    </w:p>
    <w:p w:rsidR="002A5A5E" w:rsidRPr="00F9522B" w:rsidRDefault="00611CBA" w:rsidP="00611CBA">
      <w:pPr>
        <w:pStyle w:val="2fa"/>
        <w:ind w:firstLineChars="232" w:firstLine="557"/>
        <w:contextualSpacing/>
        <w:rPr>
          <w:rFonts w:ascii="Times New Roman" w:hAnsi="Times New Roman" w:cs="Times New Roman"/>
        </w:rPr>
      </w:pPr>
      <w:r w:rsidRPr="00F9522B">
        <w:rPr>
          <w:rFonts w:ascii="Times New Roman" w:hAnsi="Times New Roman" w:cs="Times New Roman"/>
        </w:rPr>
        <w:lastRenderedPageBreak/>
        <w:t>4</w:t>
      </w:r>
      <w:r w:rsidRPr="00F9522B">
        <w:rPr>
          <w:rFonts w:ascii="Times New Roman" w:hAnsi="Times New Roman" w:cs="Times New Roman"/>
        </w:rPr>
        <w:t>）洄游生态类群</w:t>
      </w:r>
      <w:r w:rsidRPr="00F9522B">
        <w:rPr>
          <w:rFonts w:ascii="Times New Roman" w:hAnsi="Times New Roman" w:cs="Times New Roman"/>
        </w:rPr>
        <w:t xml:space="preserve"> </w:t>
      </w:r>
    </w:p>
    <w:p w:rsidR="00E42FBE" w:rsidRPr="00F9522B" w:rsidRDefault="00611CBA" w:rsidP="00011032">
      <w:pPr>
        <w:pStyle w:val="2fa"/>
        <w:ind w:firstLineChars="232" w:firstLine="557"/>
        <w:contextualSpacing/>
        <w:rPr>
          <w:rFonts w:ascii="Times New Roman" w:hAnsi="Times New Roman" w:cs="Times New Roman"/>
        </w:rPr>
      </w:pPr>
      <w:r w:rsidRPr="00F9522B">
        <w:rPr>
          <w:rFonts w:ascii="Times New Roman" w:hAnsi="Times New Roman" w:cs="Times New Roman"/>
        </w:rPr>
        <w:t>由于鱼类栖息环境的不同，洄游性质的不同。人们常常把洄游鱼类分成几大类。常用的分法为：海洋洄游鱼类、淡水洄游鱼类、河口半咸水洄游鱼类、过河口性洄游鱼类等。根据鱼类洄游的性质，把进行长距离移动和海淡水之间运动的鱼类称作洄游鱼类，把不同淡水水体之间的移动或江河上下游之间的移动称作半洄游鱼类。评价水域分布的海淡水洄游性鱼类</w:t>
      </w:r>
      <w:r w:rsidRPr="00F9522B">
        <w:rPr>
          <w:rFonts w:ascii="Times New Roman" w:hAnsi="Times New Roman" w:cs="Times New Roman"/>
        </w:rPr>
        <w:t>1</w:t>
      </w:r>
      <w:r w:rsidRPr="00F9522B">
        <w:rPr>
          <w:rFonts w:ascii="Times New Roman" w:hAnsi="Times New Roman" w:cs="Times New Roman"/>
        </w:rPr>
        <w:t>种，为日本七鳃鳗，半洄游性</w:t>
      </w:r>
      <w:r w:rsidRPr="00F9522B">
        <w:rPr>
          <w:rFonts w:ascii="Times New Roman" w:hAnsi="Times New Roman" w:cs="Times New Roman"/>
        </w:rPr>
        <w:t>(</w:t>
      </w:r>
      <w:r w:rsidRPr="00F9522B">
        <w:rPr>
          <w:rFonts w:ascii="Times New Roman" w:hAnsi="Times New Roman" w:cs="Times New Roman"/>
        </w:rPr>
        <w:t>江湖洄游</w:t>
      </w:r>
      <w:r w:rsidRPr="00F9522B">
        <w:rPr>
          <w:rFonts w:ascii="Times New Roman" w:hAnsi="Times New Roman" w:cs="Times New Roman"/>
        </w:rPr>
        <w:t>)</w:t>
      </w:r>
      <w:r w:rsidRPr="00F9522B">
        <w:rPr>
          <w:rFonts w:ascii="Times New Roman" w:hAnsi="Times New Roman" w:cs="Times New Roman"/>
        </w:rPr>
        <w:t>鱼类</w:t>
      </w:r>
      <w:r w:rsidRPr="00F9522B">
        <w:rPr>
          <w:rFonts w:ascii="Times New Roman" w:hAnsi="Times New Roman" w:cs="Times New Roman"/>
        </w:rPr>
        <w:t>3</w:t>
      </w:r>
      <w:r w:rsidRPr="00F9522B">
        <w:rPr>
          <w:rFonts w:ascii="Times New Roman" w:hAnsi="Times New Roman" w:cs="Times New Roman"/>
        </w:rPr>
        <w:t>种，为草鱼、鳙、鲢。</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61"/>
        <w:gridCol w:w="4161"/>
      </w:tblGrid>
      <w:tr w:rsidR="002A5A5E" w:rsidRPr="00F9522B">
        <w:tc>
          <w:tcPr>
            <w:tcW w:w="4361" w:type="dxa"/>
          </w:tcPr>
          <w:p w:rsidR="002A5A5E" w:rsidRPr="00F9522B" w:rsidRDefault="00D863B9">
            <w:pPr>
              <w:pStyle w:val="2fa"/>
              <w:ind w:firstLineChars="0" w:firstLine="0"/>
              <w:contextualSpacing/>
              <w:rPr>
                <w:rFonts w:ascii="Times New Roman" w:hAnsi="Times New Roman" w:cs="Times New Roman"/>
                <w:b/>
                <w:bCs/>
                <w:sz w:val="21"/>
              </w:rPr>
            </w:pPr>
            <w:r w:rsidRPr="00F9522B">
              <w:rPr>
                <w:rFonts w:ascii="Times New Roman" w:hAnsi="Times New Roman" w:cs="Times New Roman"/>
                <w:b/>
                <w:bCs/>
                <w:noProof/>
              </w:rPr>
              <w:drawing>
                <wp:inline distT="0" distB="0" distL="0" distR="0">
                  <wp:extent cx="2625917" cy="1838832"/>
                  <wp:effectExtent l="19050" t="0" r="2983" b="0"/>
                  <wp:docPr id="4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4"/>
                          <a:srcRect/>
                          <a:stretch>
                            <a:fillRect/>
                          </a:stretch>
                        </pic:blipFill>
                        <pic:spPr bwMode="auto">
                          <a:xfrm>
                            <a:off x="0" y="0"/>
                            <a:ext cx="2626360" cy="1839142"/>
                          </a:xfrm>
                          <a:prstGeom prst="rect">
                            <a:avLst/>
                          </a:prstGeom>
                          <a:noFill/>
                          <a:ln w="9525">
                            <a:noFill/>
                            <a:miter lim="800000"/>
                            <a:headEnd/>
                            <a:tailEnd/>
                          </a:ln>
                        </pic:spPr>
                      </pic:pic>
                    </a:graphicData>
                  </a:graphic>
                </wp:inline>
              </w:drawing>
            </w:r>
          </w:p>
        </w:tc>
        <w:tc>
          <w:tcPr>
            <w:tcW w:w="4161" w:type="dxa"/>
          </w:tcPr>
          <w:p w:rsidR="002A5A5E" w:rsidRPr="00F9522B" w:rsidRDefault="00D863B9">
            <w:pPr>
              <w:pStyle w:val="2fa"/>
              <w:ind w:firstLineChars="0" w:firstLine="0"/>
              <w:contextualSpacing/>
              <w:rPr>
                <w:rFonts w:ascii="Times New Roman" w:hAnsi="Times New Roman" w:cs="Times New Roman"/>
                <w:b/>
                <w:bCs/>
                <w:sz w:val="21"/>
              </w:rPr>
            </w:pPr>
            <w:r w:rsidRPr="00F9522B">
              <w:rPr>
                <w:rFonts w:ascii="Times New Roman" w:hAnsi="Times New Roman" w:cs="Times New Roman"/>
                <w:b/>
                <w:bCs/>
                <w:noProof/>
              </w:rPr>
              <w:drawing>
                <wp:inline distT="0" distB="0" distL="0" distR="0">
                  <wp:extent cx="2498725" cy="1860550"/>
                  <wp:effectExtent l="19050" t="0" r="0" b="0"/>
                  <wp:docPr id="5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5"/>
                          <a:srcRect/>
                          <a:stretch>
                            <a:fillRect/>
                          </a:stretch>
                        </pic:blipFill>
                        <pic:spPr bwMode="auto">
                          <a:xfrm>
                            <a:off x="0" y="0"/>
                            <a:ext cx="2498725" cy="1860550"/>
                          </a:xfrm>
                          <a:prstGeom prst="rect">
                            <a:avLst/>
                          </a:prstGeom>
                          <a:noFill/>
                          <a:ln w="9525">
                            <a:noFill/>
                            <a:miter lim="800000"/>
                            <a:headEnd/>
                            <a:tailEnd/>
                          </a:ln>
                        </pic:spPr>
                      </pic:pic>
                    </a:graphicData>
                  </a:graphic>
                </wp:inline>
              </w:drawing>
            </w:r>
          </w:p>
        </w:tc>
      </w:tr>
      <w:tr w:rsidR="002A5A5E" w:rsidRPr="00F9522B">
        <w:tc>
          <w:tcPr>
            <w:tcW w:w="4361" w:type="dxa"/>
          </w:tcPr>
          <w:p w:rsidR="002A5A5E" w:rsidRPr="00F9522B" w:rsidRDefault="00D863B9">
            <w:pPr>
              <w:pStyle w:val="2fa"/>
              <w:ind w:firstLineChars="0" w:firstLine="0"/>
              <w:contextualSpacing/>
              <w:rPr>
                <w:rFonts w:ascii="Times New Roman" w:hAnsi="Times New Roman" w:cs="Times New Roman"/>
                <w:b/>
                <w:bCs/>
                <w:sz w:val="21"/>
              </w:rPr>
            </w:pPr>
            <w:r w:rsidRPr="00F9522B">
              <w:rPr>
                <w:rFonts w:ascii="Times New Roman" w:hAnsi="Times New Roman" w:cs="Times New Roman"/>
                <w:b/>
                <w:bCs/>
                <w:noProof/>
              </w:rPr>
              <w:drawing>
                <wp:inline distT="0" distB="0" distL="0" distR="0">
                  <wp:extent cx="2626360" cy="1977390"/>
                  <wp:effectExtent l="19050" t="0" r="2540" b="0"/>
                  <wp:docPr id="5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6"/>
                          <a:srcRect/>
                          <a:stretch>
                            <a:fillRect/>
                          </a:stretch>
                        </pic:blipFill>
                        <pic:spPr bwMode="auto">
                          <a:xfrm>
                            <a:off x="0" y="0"/>
                            <a:ext cx="2626360" cy="1977390"/>
                          </a:xfrm>
                          <a:prstGeom prst="rect">
                            <a:avLst/>
                          </a:prstGeom>
                          <a:noFill/>
                          <a:ln w="9525">
                            <a:noFill/>
                            <a:miter lim="800000"/>
                            <a:headEnd/>
                            <a:tailEnd/>
                          </a:ln>
                        </pic:spPr>
                      </pic:pic>
                    </a:graphicData>
                  </a:graphic>
                </wp:inline>
              </w:drawing>
            </w:r>
          </w:p>
        </w:tc>
        <w:tc>
          <w:tcPr>
            <w:tcW w:w="4161" w:type="dxa"/>
          </w:tcPr>
          <w:p w:rsidR="002A5A5E" w:rsidRPr="00F9522B" w:rsidRDefault="00D863B9">
            <w:pPr>
              <w:pStyle w:val="2fa"/>
              <w:ind w:firstLineChars="0" w:firstLine="0"/>
              <w:contextualSpacing/>
              <w:rPr>
                <w:rFonts w:ascii="Times New Roman" w:hAnsi="Times New Roman" w:cs="Times New Roman"/>
                <w:b/>
                <w:bCs/>
                <w:sz w:val="21"/>
              </w:rPr>
            </w:pPr>
            <w:r w:rsidRPr="00F9522B">
              <w:rPr>
                <w:rFonts w:ascii="Times New Roman" w:hAnsi="Times New Roman" w:cs="Times New Roman"/>
                <w:b/>
                <w:bCs/>
                <w:noProof/>
              </w:rPr>
              <w:drawing>
                <wp:inline distT="0" distB="0" distL="0" distR="0">
                  <wp:extent cx="2509520" cy="1903095"/>
                  <wp:effectExtent l="19050" t="0" r="5080" b="0"/>
                  <wp:docPr id="5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7"/>
                          <a:srcRect/>
                          <a:stretch>
                            <a:fillRect/>
                          </a:stretch>
                        </pic:blipFill>
                        <pic:spPr bwMode="auto">
                          <a:xfrm>
                            <a:off x="0" y="0"/>
                            <a:ext cx="2509520" cy="1903095"/>
                          </a:xfrm>
                          <a:prstGeom prst="rect">
                            <a:avLst/>
                          </a:prstGeom>
                          <a:noFill/>
                          <a:ln w="9525">
                            <a:noFill/>
                            <a:miter lim="800000"/>
                            <a:headEnd/>
                            <a:tailEnd/>
                          </a:ln>
                        </pic:spPr>
                      </pic:pic>
                    </a:graphicData>
                  </a:graphic>
                </wp:inline>
              </w:drawing>
            </w:r>
          </w:p>
        </w:tc>
      </w:tr>
    </w:tbl>
    <w:p w:rsidR="002A5A5E" w:rsidRPr="00F9522B" w:rsidRDefault="00611CBA">
      <w:pPr>
        <w:pStyle w:val="2fa"/>
        <w:ind w:firstLine="422"/>
        <w:contextualSpacing/>
        <w:jc w:val="center"/>
        <w:rPr>
          <w:rFonts w:ascii="Times New Roman" w:hAnsi="Times New Roman" w:cs="Times New Roman"/>
          <w:b/>
          <w:bCs/>
          <w:sz w:val="21"/>
        </w:rPr>
      </w:pPr>
      <w:r w:rsidRPr="00F9522B">
        <w:rPr>
          <w:rFonts w:ascii="Times New Roman" w:hAnsi="Times New Roman" w:cs="Times New Roman"/>
          <w:b/>
          <w:bCs/>
          <w:sz w:val="21"/>
        </w:rPr>
        <w:t>图</w:t>
      </w:r>
      <w:r w:rsidRPr="00F9522B">
        <w:rPr>
          <w:rFonts w:ascii="Times New Roman" w:hAnsi="Times New Roman" w:cs="Times New Roman"/>
          <w:b/>
          <w:bCs/>
          <w:sz w:val="21"/>
        </w:rPr>
        <w:t>4-2-1</w:t>
      </w:r>
      <w:r w:rsidR="001E165D" w:rsidRPr="00F9522B">
        <w:rPr>
          <w:rFonts w:ascii="Times New Roman" w:hAnsi="Times New Roman" w:cs="Times New Roman"/>
          <w:b/>
          <w:bCs/>
          <w:sz w:val="21"/>
        </w:rPr>
        <w:t>1</w:t>
      </w:r>
      <w:r w:rsidRPr="00F9522B">
        <w:rPr>
          <w:rFonts w:ascii="Times New Roman" w:hAnsi="Times New Roman" w:cs="Times New Roman"/>
          <w:b/>
          <w:bCs/>
          <w:sz w:val="21"/>
        </w:rPr>
        <w:t>水生生态调查照片</w:t>
      </w:r>
    </w:p>
    <w:p w:rsidR="002A5A5E" w:rsidRPr="00F9522B" w:rsidRDefault="00611CBA">
      <w:pPr>
        <w:pStyle w:val="2fa"/>
        <w:ind w:firstLine="480"/>
        <w:contextualSpacing/>
        <w:rPr>
          <w:rFonts w:ascii="Times New Roman" w:eastAsia="宋体" w:hAnsi="Times New Roman" w:cs="Times New Roman"/>
          <w:b/>
          <w:szCs w:val="24"/>
        </w:rPr>
      </w:pPr>
      <w:r w:rsidRPr="00F9522B">
        <w:rPr>
          <w:rFonts w:ascii="Times New Roman" w:hAnsi="Times New Roman" w:cs="Times New Roman"/>
          <w:smallCaps/>
          <w:szCs w:val="24"/>
        </w:rPr>
        <w:t>三、</w:t>
      </w:r>
      <w:r w:rsidRPr="00F9522B">
        <w:rPr>
          <w:rFonts w:ascii="Times New Roman" w:eastAsia="宋体" w:hAnsi="Times New Roman" w:cs="Times New Roman"/>
          <w:b/>
          <w:szCs w:val="24"/>
        </w:rPr>
        <w:t>鱼类</w:t>
      </w:r>
      <w:r w:rsidRPr="00F9522B">
        <w:rPr>
          <w:rFonts w:ascii="Times New Roman" w:eastAsia="宋体" w:hAnsi="Times New Roman" w:cs="Times New Roman"/>
          <w:b/>
          <w:szCs w:val="24"/>
        </w:rPr>
        <w:t>“</w:t>
      </w:r>
      <w:r w:rsidRPr="00F9522B">
        <w:rPr>
          <w:rFonts w:ascii="Times New Roman" w:eastAsia="宋体" w:hAnsi="Times New Roman" w:cs="Times New Roman"/>
          <w:b/>
          <w:szCs w:val="24"/>
        </w:rPr>
        <w:t>三场一通道</w:t>
      </w:r>
      <w:r w:rsidRPr="00F9522B">
        <w:rPr>
          <w:rFonts w:ascii="Times New Roman" w:eastAsia="宋体" w:hAnsi="Times New Roman" w:cs="Times New Roman"/>
          <w:b/>
          <w:szCs w:val="24"/>
        </w:rPr>
        <w:t>”</w:t>
      </w:r>
      <w:r w:rsidRPr="00F9522B">
        <w:rPr>
          <w:rFonts w:ascii="Times New Roman" w:eastAsia="宋体" w:hAnsi="Times New Roman" w:cs="Times New Roman"/>
          <w:b/>
          <w:szCs w:val="24"/>
        </w:rPr>
        <w:t>：</w:t>
      </w:r>
    </w:p>
    <w:p w:rsidR="002A5A5E" w:rsidRPr="00F9522B" w:rsidRDefault="00250C31" w:rsidP="00611CBA">
      <w:pPr>
        <w:pStyle w:val="2fa"/>
        <w:ind w:firstLineChars="232" w:firstLine="557"/>
        <w:contextualSpacing/>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1</w:t>
      </w:r>
      <w:r w:rsidRPr="00F9522B">
        <w:rPr>
          <w:rFonts w:ascii="Times New Roman" w:hAnsi="Times New Roman" w:cs="Times New Roman"/>
        </w:rPr>
        <w:t>）</w:t>
      </w:r>
      <w:r w:rsidR="00611CBA" w:rsidRPr="00F9522B">
        <w:rPr>
          <w:rFonts w:ascii="Times New Roman" w:hAnsi="Times New Roman" w:cs="Times New Roman"/>
        </w:rPr>
        <w:t>重要鱼类产卵生境需求</w:t>
      </w:r>
    </w:p>
    <w:p w:rsidR="002A5A5E" w:rsidRPr="00F9522B" w:rsidRDefault="00611CBA">
      <w:pPr>
        <w:pStyle w:val="2fa"/>
        <w:ind w:firstLine="480"/>
        <w:contextualSpacing/>
        <w:rPr>
          <w:rFonts w:ascii="Times New Roman" w:hAnsi="Times New Roman" w:cs="Times New Roman"/>
        </w:rPr>
      </w:pPr>
      <w:r w:rsidRPr="00F9522B">
        <w:rPr>
          <w:rFonts w:ascii="Times New Roman" w:hAnsi="Times New Roman" w:cs="Times New Roman"/>
        </w:rPr>
        <w:t>雷氏七鳃鳗：每年</w:t>
      </w:r>
      <w:r w:rsidRPr="00F9522B">
        <w:rPr>
          <w:rFonts w:ascii="Times New Roman" w:hAnsi="Times New Roman" w:cs="Times New Roman"/>
        </w:rPr>
        <w:t>5</w:t>
      </w:r>
      <w:r w:rsidRPr="00F9522B">
        <w:rPr>
          <w:rFonts w:ascii="Times New Roman" w:hAnsi="Times New Roman" w:cs="Times New Roman"/>
        </w:rPr>
        <w:t>～</w:t>
      </w:r>
      <w:r w:rsidRPr="00F9522B">
        <w:rPr>
          <w:rFonts w:ascii="Times New Roman" w:hAnsi="Times New Roman" w:cs="Times New Roman"/>
        </w:rPr>
        <w:t>6</w:t>
      </w:r>
      <w:r w:rsidRPr="00F9522B">
        <w:rPr>
          <w:rFonts w:ascii="Times New Roman" w:hAnsi="Times New Roman" w:cs="Times New Roman"/>
        </w:rPr>
        <w:t>月份，当水温达</w:t>
      </w:r>
      <w:r w:rsidRPr="00F9522B">
        <w:rPr>
          <w:rFonts w:ascii="Times New Roman" w:hAnsi="Times New Roman" w:cs="Times New Roman"/>
        </w:rPr>
        <w:t>13</w:t>
      </w:r>
      <w:r w:rsidRPr="00F9522B">
        <w:rPr>
          <w:rFonts w:ascii="Times New Roman" w:hAnsi="Times New Roman" w:cs="Times New Roman"/>
        </w:rPr>
        <w:t>～</w:t>
      </w:r>
      <w:r w:rsidRPr="00F9522B">
        <w:rPr>
          <w:rFonts w:ascii="Times New Roman" w:hAnsi="Times New Roman" w:cs="Times New Roman"/>
        </w:rPr>
        <w:t>16℃</w:t>
      </w:r>
      <w:r w:rsidRPr="00F9522B">
        <w:rPr>
          <w:rFonts w:ascii="Times New Roman" w:hAnsi="Times New Roman" w:cs="Times New Roman"/>
        </w:rPr>
        <w:t>时，于河流沙砾底质处产卵繁殖，产卵水域水浅，流急，卵粘附于沙砾上。</w:t>
      </w:r>
    </w:p>
    <w:p w:rsidR="002A5A5E" w:rsidRPr="00F9522B" w:rsidRDefault="00611CBA">
      <w:pPr>
        <w:pStyle w:val="2fa"/>
        <w:ind w:firstLine="480"/>
        <w:contextualSpacing/>
        <w:rPr>
          <w:rFonts w:ascii="Times New Roman" w:hAnsi="Times New Roman" w:cs="Times New Roman"/>
        </w:rPr>
      </w:pPr>
      <w:r w:rsidRPr="00F9522B">
        <w:rPr>
          <w:rFonts w:ascii="Times New Roman" w:hAnsi="Times New Roman" w:cs="Times New Roman"/>
        </w:rPr>
        <w:t>施氏鲟：一般在江段流速较缓，水深</w:t>
      </w:r>
      <w:r w:rsidRPr="00F9522B">
        <w:rPr>
          <w:rFonts w:ascii="Times New Roman" w:hAnsi="Times New Roman" w:cs="Times New Roman"/>
        </w:rPr>
        <w:t>2</w:t>
      </w:r>
      <w:r w:rsidRPr="00F9522B">
        <w:rPr>
          <w:rFonts w:ascii="Times New Roman" w:hAnsi="Times New Roman" w:cs="Times New Roman"/>
        </w:rPr>
        <w:t>～</w:t>
      </w:r>
      <w:r w:rsidRPr="00F9522B">
        <w:rPr>
          <w:rFonts w:ascii="Times New Roman" w:hAnsi="Times New Roman" w:cs="Times New Roman"/>
        </w:rPr>
        <w:t>3m</w:t>
      </w:r>
      <w:r w:rsidRPr="00F9522B">
        <w:rPr>
          <w:rFonts w:ascii="Times New Roman" w:hAnsi="Times New Roman" w:cs="Times New Roman"/>
        </w:rPr>
        <w:t>，底质为沙砾水域产卵。繁殖季节为每年</w:t>
      </w:r>
      <w:r w:rsidRPr="00F9522B">
        <w:rPr>
          <w:rFonts w:ascii="Times New Roman" w:hAnsi="Times New Roman" w:cs="Times New Roman"/>
        </w:rPr>
        <w:t>5~6</w:t>
      </w:r>
      <w:r w:rsidRPr="00F9522B">
        <w:rPr>
          <w:rFonts w:ascii="Times New Roman" w:hAnsi="Times New Roman" w:cs="Times New Roman"/>
        </w:rPr>
        <w:t>月份，当水温达</w:t>
      </w:r>
      <w:r w:rsidRPr="00F9522B">
        <w:rPr>
          <w:rFonts w:ascii="Times New Roman" w:hAnsi="Times New Roman" w:cs="Times New Roman"/>
        </w:rPr>
        <w:t xml:space="preserve"> 17℃</w:t>
      </w:r>
      <w:r w:rsidRPr="00F9522B">
        <w:rPr>
          <w:rFonts w:ascii="Times New Roman" w:hAnsi="Times New Roman" w:cs="Times New Roman"/>
        </w:rPr>
        <w:t>时，就开始产卵活动，产卵期比较集中。施氏鲟的性成熟年龄为</w:t>
      </w:r>
      <w:r w:rsidRPr="00F9522B">
        <w:rPr>
          <w:rFonts w:ascii="Times New Roman" w:hAnsi="Times New Roman" w:cs="Times New Roman"/>
        </w:rPr>
        <w:t xml:space="preserve"> 11~13</w:t>
      </w:r>
      <w:r w:rsidRPr="00F9522B">
        <w:rPr>
          <w:rFonts w:ascii="Times New Roman" w:hAnsi="Times New Roman" w:cs="Times New Roman"/>
        </w:rPr>
        <w:t>龄，多数个体隔年产卵。</w:t>
      </w:r>
    </w:p>
    <w:p w:rsidR="002A5A5E" w:rsidRPr="00F9522B" w:rsidRDefault="00611CBA">
      <w:pPr>
        <w:pStyle w:val="2fa"/>
        <w:ind w:firstLine="480"/>
        <w:contextualSpacing/>
        <w:rPr>
          <w:rFonts w:ascii="Times New Roman" w:hAnsi="Times New Roman" w:cs="Times New Roman"/>
        </w:rPr>
      </w:pPr>
      <w:r w:rsidRPr="00F9522B">
        <w:rPr>
          <w:rFonts w:ascii="Times New Roman" w:hAnsi="Times New Roman" w:cs="Times New Roman"/>
        </w:rPr>
        <w:t>日本七鳃鳗：秋冬季成体溯河，越冬后翌年</w:t>
      </w:r>
      <w:r w:rsidRPr="00F9522B">
        <w:rPr>
          <w:rFonts w:ascii="Times New Roman" w:hAnsi="Times New Roman" w:cs="Times New Roman"/>
        </w:rPr>
        <w:t>5</w:t>
      </w:r>
      <w:r w:rsidRPr="00F9522B">
        <w:rPr>
          <w:rFonts w:ascii="Times New Roman" w:hAnsi="Times New Roman" w:cs="Times New Roman"/>
        </w:rPr>
        <w:t>～</w:t>
      </w:r>
      <w:r w:rsidRPr="00F9522B">
        <w:rPr>
          <w:rFonts w:ascii="Times New Roman" w:hAnsi="Times New Roman" w:cs="Times New Roman"/>
        </w:rPr>
        <w:t>6</w:t>
      </w:r>
      <w:r w:rsidRPr="00F9522B">
        <w:rPr>
          <w:rFonts w:ascii="Times New Roman" w:hAnsi="Times New Roman" w:cs="Times New Roman"/>
        </w:rPr>
        <w:t>月份，当水温达</w:t>
      </w:r>
      <w:r w:rsidRPr="00F9522B">
        <w:rPr>
          <w:rFonts w:ascii="Times New Roman" w:hAnsi="Times New Roman" w:cs="Times New Roman"/>
        </w:rPr>
        <w:t>13</w:t>
      </w:r>
      <w:r w:rsidRPr="00F9522B">
        <w:rPr>
          <w:rFonts w:ascii="Times New Roman" w:hAnsi="Times New Roman" w:cs="Times New Roman"/>
        </w:rPr>
        <w:t>～</w:t>
      </w:r>
      <w:r w:rsidRPr="00F9522B">
        <w:rPr>
          <w:rFonts w:ascii="Times New Roman" w:hAnsi="Times New Roman" w:cs="Times New Roman"/>
        </w:rPr>
        <w:t>16℃</w:t>
      </w:r>
      <w:r w:rsidRPr="00F9522B">
        <w:rPr>
          <w:rFonts w:ascii="Times New Roman" w:hAnsi="Times New Roman" w:cs="Times New Roman"/>
        </w:rPr>
        <w:lastRenderedPageBreak/>
        <w:t>时，于河流沙砾底质处产卵繁殖，产卵水域水浅，流急，卵粘附于沙砾上，亲体产卵后死亡。</w:t>
      </w:r>
    </w:p>
    <w:p w:rsidR="002A5A5E" w:rsidRPr="00F9522B" w:rsidRDefault="00611CBA">
      <w:pPr>
        <w:pStyle w:val="2fa"/>
        <w:ind w:firstLine="480"/>
        <w:contextualSpacing/>
        <w:rPr>
          <w:rFonts w:ascii="Times New Roman" w:hAnsi="Times New Roman" w:cs="Times New Roman"/>
        </w:rPr>
      </w:pPr>
      <w:r w:rsidRPr="00F9522B">
        <w:rPr>
          <w:rFonts w:ascii="Times New Roman" w:hAnsi="Times New Roman" w:cs="Times New Roman"/>
        </w:rPr>
        <w:t>怀头鲇：成熟年龄为</w:t>
      </w:r>
      <w:r w:rsidRPr="00F9522B">
        <w:rPr>
          <w:rFonts w:ascii="Times New Roman" w:hAnsi="Times New Roman" w:cs="Times New Roman"/>
        </w:rPr>
        <w:t>4-5</w:t>
      </w:r>
      <w:r w:rsidRPr="00F9522B">
        <w:rPr>
          <w:rFonts w:ascii="Times New Roman" w:hAnsi="Times New Roman" w:cs="Times New Roman"/>
        </w:rPr>
        <w:t>龄，性成熟个体每年</w:t>
      </w:r>
      <w:r w:rsidRPr="00F9522B">
        <w:rPr>
          <w:rFonts w:ascii="Times New Roman" w:hAnsi="Times New Roman" w:cs="Times New Roman"/>
        </w:rPr>
        <w:t>6</w:t>
      </w:r>
      <w:r w:rsidRPr="00F9522B">
        <w:rPr>
          <w:rFonts w:ascii="Times New Roman" w:hAnsi="Times New Roman" w:cs="Times New Roman"/>
        </w:rPr>
        <w:t>月初即开始沿江河游到上游有水草的江岔中产卵，</w:t>
      </w:r>
      <w:r w:rsidRPr="00F9522B">
        <w:rPr>
          <w:rFonts w:ascii="Times New Roman" w:hAnsi="Times New Roman" w:cs="Times New Roman"/>
        </w:rPr>
        <w:t>7</w:t>
      </w:r>
      <w:r w:rsidRPr="00F9522B">
        <w:rPr>
          <w:rFonts w:ascii="Times New Roman" w:hAnsi="Times New Roman" w:cs="Times New Roman"/>
        </w:rPr>
        <w:t>月中旬结束。卵遇水即具有粘性，但不如鲤、鲫卵的粘性强。</w:t>
      </w:r>
    </w:p>
    <w:p w:rsidR="002A5A5E" w:rsidRPr="00F9522B" w:rsidRDefault="00611CBA">
      <w:pPr>
        <w:pStyle w:val="2fa"/>
        <w:ind w:firstLine="480"/>
        <w:contextualSpacing/>
        <w:rPr>
          <w:rFonts w:ascii="Times New Roman" w:hAnsi="Times New Roman" w:cs="Times New Roman"/>
        </w:rPr>
      </w:pPr>
      <w:r w:rsidRPr="00F9522B">
        <w:rPr>
          <w:rFonts w:ascii="Times New Roman" w:hAnsi="Times New Roman" w:cs="Times New Roman"/>
        </w:rPr>
        <w:t>重要经济鱼类（鲢、草鱼、青鱼）：自然状态下产卵需要有流态复杂的水流、适宜的水温和一定的涨水条件。卵为</w:t>
      </w:r>
      <w:r w:rsidRPr="00F9522B">
        <w:rPr>
          <w:rFonts w:ascii="Times New Roman" w:hAnsi="Times New Roman" w:cs="Times New Roman"/>
        </w:rPr>
        <w:t>“</w:t>
      </w:r>
      <w:r w:rsidRPr="00F9522B">
        <w:rPr>
          <w:rFonts w:ascii="Times New Roman" w:hAnsi="Times New Roman" w:cs="Times New Roman"/>
        </w:rPr>
        <w:t>漂流性</w:t>
      </w:r>
      <w:r w:rsidRPr="00F9522B">
        <w:rPr>
          <w:rFonts w:ascii="Times New Roman" w:hAnsi="Times New Roman" w:cs="Times New Roman"/>
        </w:rPr>
        <w:t>”</w:t>
      </w:r>
      <w:r w:rsidRPr="00F9522B">
        <w:rPr>
          <w:rFonts w:ascii="Times New Roman" w:hAnsi="Times New Roman" w:cs="Times New Roman"/>
        </w:rPr>
        <w:t>，即浮在流水层中，在静水中则下沉。卵膜薄而透明，没有黏性。雌、雄亲鱼在急流中发情产卵、排精。精卵顺流而下，很快完成受精作用。受精卵漂浮在水流中进行胚胎发育（在静水中卵下沉而易窒息死亡），刚出膜的鱼苗缺乏主动游泳能力，浮在水层中继续发育。胚胎发育的适温范围为</w:t>
      </w:r>
      <w:r w:rsidRPr="00F9522B">
        <w:rPr>
          <w:rFonts w:ascii="Times New Roman" w:hAnsi="Times New Roman" w:cs="Times New Roman"/>
        </w:rPr>
        <w:t>18</w:t>
      </w:r>
      <w:r w:rsidRPr="00F9522B">
        <w:rPr>
          <w:rFonts w:ascii="Times New Roman" w:hAnsi="Times New Roman" w:cs="Times New Roman"/>
        </w:rPr>
        <w:t>～</w:t>
      </w:r>
      <w:r w:rsidRPr="00F9522B">
        <w:rPr>
          <w:rFonts w:ascii="Times New Roman" w:hAnsi="Times New Roman" w:cs="Times New Roman"/>
        </w:rPr>
        <w:t>31℃</w:t>
      </w:r>
      <w:r w:rsidRPr="00F9522B">
        <w:rPr>
          <w:rFonts w:ascii="Times New Roman" w:hAnsi="Times New Roman" w:cs="Times New Roman"/>
        </w:rPr>
        <w:t>，最适水温</w:t>
      </w:r>
      <w:r w:rsidRPr="00F9522B">
        <w:rPr>
          <w:rFonts w:ascii="Times New Roman" w:hAnsi="Times New Roman" w:cs="Times New Roman"/>
        </w:rPr>
        <w:t>22</w:t>
      </w:r>
      <w:r w:rsidRPr="00F9522B">
        <w:rPr>
          <w:rFonts w:ascii="Times New Roman" w:hAnsi="Times New Roman" w:cs="Times New Roman"/>
        </w:rPr>
        <w:t>～</w:t>
      </w:r>
      <w:r w:rsidRPr="00F9522B">
        <w:rPr>
          <w:rFonts w:ascii="Times New Roman" w:hAnsi="Times New Roman" w:cs="Times New Roman"/>
        </w:rPr>
        <w:t>26℃</w:t>
      </w:r>
      <w:r w:rsidRPr="00F9522B">
        <w:rPr>
          <w:rFonts w:ascii="Times New Roman" w:hAnsi="Times New Roman" w:cs="Times New Roman"/>
        </w:rPr>
        <w:t>。水温低于</w:t>
      </w:r>
      <w:r w:rsidRPr="00F9522B">
        <w:rPr>
          <w:rFonts w:ascii="Times New Roman" w:hAnsi="Times New Roman" w:cs="Times New Roman"/>
        </w:rPr>
        <w:t>18℃</w:t>
      </w:r>
      <w:r w:rsidRPr="00F9522B">
        <w:rPr>
          <w:rFonts w:ascii="Times New Roman" w:hAnsi="Times New Roman" w:cs="Times New Roman"/>
        </w:rPr>
        <w:t>或高于</w:t>
      </w:r>
      <w:r w:rsidRPr="00F9522B">
        <w:rPr>
          <w:rFonts w:ascii="Times New Roman" w:hAnsi="Times New Roman" w:cs="Times New Roman"/>
        </w:rPr>
        <w:t>31℃</w:t>
      </w:r>
      <w:r w:rsidRPr="00F9522B">
        <w:rPr>
          <w:rFonts w:ascii="Times New Roman" w:hAnsi="Times New Roman" w:cs="Times New Roman"/>
        </w:rPr>
        <w:t>，或水温突然下降幅度为</w:t>
      </w:r>
      <w:r w:rsidRPr="00F9522B">
        <w:rPr>
          <w:rFonts w:ascii="Times New Roman" w:hAnsi="Times New Roman" w:cs="Times New Roman"/>
        </w:rPr>
        <w:t>5℃</w:t>
      </w:r>
      <w:r w:rsidRPr="00F9522B">
        <w:rPr>
          <w:rFonts w:ascii="Times New Roman" w:hAnsi="Times New Roman" w:cs="Times New Roman"/>
        </w:rPr>
        <w:t>以上，胚胎发育出现畸形而大量死亡。</w:t>
      </w:r>
    </w:p>
    <w:p w:rsidR="002A5A5E" w:rsidRPr="00F9522B" w:rsidRDefault="00250C31" w:rsidP="00250C31">
      <w:pPr>
        <w:pStyle w:val="2fa"/>
        <w:ind w:firstLineChars="132" w:firstLine="317"/>
        <w:contextualSpacing/>
        <w:rPr>
          <w:rFonts w:ascii="Times New Roman" w:hAnsi="Times New Roman" w:cs="Times New Roman"/>
        </w:rPr>
      </w:pPr>
      <w:r w:rsidRPr="00F9522B">
        <w:rPr>
          <w:rFonts w:ascii="Times New Roman" w:hAnsi="Times New Roman" w:cs="Times New Roman"/>
          <w:bCs/>
        </w:rPr>
        <w:t>（</w:t>
      </w:r>
      <w:r w:rsidRPr="00F9522B">
        <w:rPr>
          <w:rFonts w:ascii="Times New Roman" w:hAnsi="Times New Roman" w:cs="Times New Roman"/>
          <w:bCs/>
        </w:rPr>
        <w:t>2</w:t>
      </w:r>
      <w:r w:rsidRPr="00F9522B">
        <w:rPr>
          <w:rFonts w:ascii="Times New Roman" w:hAnsi="Times New Roman" w:cs="Times New Roman"/>
          <w:bCs/>
        </w:rPr>
        <w:t>）</w:t>
      </w:r>
      <w:r w:rsidR="00611CBA" w:rsidRPr="00F9522B">
        <w:rPr>
          <w:rFonts w:ascii="Times New Roman" w:hAnsi="Times New Roman" w:cs="Times New Roman"/>
          <w:bCs/>
        </w:rPr>
        <w:t>主要鱼类</w:t>
      </w:r>
      <w:r w:rsidR="00611CBA" w:rsidRPr="00F9522B">
        <w:rPr>
          <w:rFonts w:ascii="Times New Roman" w:hAnsi="Times New Roman" w:cs="Times New Roman"/>
          <w:bCs/>
        </w:rPr>
        <w:t xml:space="preserve"> “</w:t>
      </w:r>
      <w:r w:rsidR="00611CBA" w:rsidRPr="00F9522B">
        <w:rPr>
          <w:rFonts w:ascii="Times New Roman" w:hAnsi="Times New Roman" w:cs="Times New Roman"/>
          <w:bCs/>
        </w:rPr>
        <w:t>三场一通道</w:t>
      </w:r>
      <w:r w:rsidR="00611CBA" w:rsidRPr="00F9522B">
        <w:rPr>
          <w:rFonts w:ascii="Times New Roman" w:hAnsi="Times New Roman" w:cs="Times New Roman"/>
          <w:bCs/>
        </w:rPr>
        <w:t>”</w:t>
      </w:r>
      <w:r w:rsidR="00611CBA" w:rsidRPr="00F9522B">
        <w:rPr>
          <w:rFonts w:ascii="Times New Roman" w:hAnsi="Times New Roman" w:cs="Times New Roman"/>
          <w:bCs/>
        </w:rPr>
        <w:t>分布</w:t>
      </w:r>
    </w:p>
    <w:p w:rsidR="002A5A5E" w:rsidRPr="00F9522B" w:rsidRDefault="005273A1">
      <w:pPr>
        <w:pStyle w:val="2fa"/>
        <w:ind w:firstLine="480"/>
        <w:contextualSpacing/>
        <w:rPr>
          <w:rFonts w:ascii="Times New Roman" w:hAnsi="Times New Roman" w:cs="Times New Roman"/>
        </w:rPr>
      </w:pPr>
      <w:r w:rsidRPr="00F9522B">
        <w:rPr>
          <w:rFonts w:ascii="Times New Roman" w:hAnsi="Times New Roman" w:cs="Times New Roman"/>
        </w:rPr>
        <w:fldChar w:fldCharType="begin"/>
      </w:r>
      <w:r w:rsidR="00250C31" w:rsidRPr="00F9522B">
        <w:rPr>
          <w:rFonts w:ascii="Times New Roman" w:hAnsi="Times New Roman" w:cs="Times New Roman"/>
        </w:rPr>
        <w:instrText xml:space="preserve"> = 1 \* GB3 </w:instrText>
      </w:r>
      <w:r w:rsidRPr="00F9522B">
        <w:rPr>
          <w:rFonts w:ascii="Times New Roman" w:hAnsi="Times New Roman" w:cs="Times New Roman"/>
        </w:rPr>
        <w:fldChar w:fldCharType="separate"/>
      </w:r>
      <w:r w:rsidR="00250C31" w:rsidRPr="00F9522B">
        <w:rPr>
          <w:rFonts w:eastAsia="宋体" w:cs="宋体" w:hint="eastAsia"/>
          <w:noProof/>
        </w:rPr>
        <w:t>①</w:t>
      </w:r>
      <w:r w:rsidRPr="00F9522B">
        <w:rPr>
          <w:rFonts w:ascii="Times New Roman" w:hAnsi="Times New Roman" w:cs="Times New Roman"/>
        </w:rPr>
        <w:fldChar w:fldCharType="end"/>
      </w:r>
      <w:r w:rsidR="00611CBA" w:rsidRPr="00F9522B">
        <w:rPr>
          <w:rFonts w:ascii="Times New Roman" w:hAnsi="Times New Roman" w:cs="Times New Roman"/>
        </w:rPr>
        <w:t>产卵场分布</w:t>
      </w:r>
    </w:p>
    <w:p w:rsidR="002A5A5E" w:rsidRPr="00F9522B" w:rsidRDefault="00611CBA">
      <w:pPr>
        <w:pStyle w:val="2fa"/>
        <w:ind w:firstLine="480"/>
        <w:contextualSpacing/>
        <w:rPr>
          <w:rFonts w:ascii="Times New Roman" w:hAnsi="Times New Roman" w:cs="Times New Roman"/>
        </w:rPr>
      </w:pPr>
      <w:r w:rsidRPr="00F9522B">
        <w:rPr>
          <w:rFonts w:ascii="Times New Roman" w:hAnsi="Times New Roman" w:cs="Times New Roman"/>
        </w:rPr>
        <w:t>施氏鲟产卵场主要分布于黑龙江干流，评价区域无施氏鲟产卵场分布。</w:t>
      </w:r>
      <w:r w:rsidRPr="00F9522B">
        <w:rPr>
          <w:rFonts w:ascii="Times New Roman" w:hAnsi="Times New Roman" w:cs="Times New Roman"/>
        </w:rPr>
        <w:t xml:space="preserve"> </w:t>
      </w:r>
    </w:p>
    <w:p w:rsidR="002A5A5E" w:rsidRPr="00F9522B" w:rsidRDefault="00611CBA">
      <w:pPr>
        <w:pStyle w:val="2fa"/>
        <w:ind w:firstLine="480"/>
        <w:contextualSpacing/>
        <w:rPr>
          <w:rFonts w:ascii="Times New Roman" w:hAnsi="Times New Roman" w:cs="Times New Roman"/>
        </w:rPr>
      </w:pPr>
      <w:r w:rsidRPr="00F9522B">
        <w:rPr>
          <w:rFonts w:ascii="Times New Roman" w:hAnsi="Times New Roman" w:cs="Times New Roman"/>
        </w:rPr>
        <w:t>日本七鰓鳗由于大顶子山航电枢纽的建设阻隔其洄游通道，导致评价区域多年未见日本七鰓鳗，评价区域无日本七鰓鳗产卵场分布。</w:t>
      </w:r>
    </w:p>
    <w:p w:rsidR="002A5A5E" w:rsidRPr="00F9522B" w:rsidRDefault="00122281">
      <w:pPr>
        <w:pStyle w:val="2fa"/>
        <w:ind w:firstLine="480"/>
        <w:contextualSpacing/>
        <w:rPr>
          <w:rFonts w:ascii="Times New Roman" w:hAnsi="Times New Roman" w:cs="Times New Roman"/>
        </w:rPr>
      </w:pPr>
      <w:r w:rsidRPr="00F9522B">
        <w:rPr>
          <w:rFonts w:ascii="Times New Roman" w:hAnsi="Times New Roman" w:cs="Times New Roman"/>
        </w:rPr>
        <w:t>松花江干流和支流是鱼类重要三场和洄游通道。产漂浮性和半漂浮性卵的鱼类有草鱼、鲢、银鯝、鳙、乌鳢等，松花江干流内，产漂浮性卵的鱼类产卵场共有</w:t>
      </w:r>
      <w:r w:rsidRPr="00F9522B">
        <w:rPr>
          <w:rFonts w:ascii="Times New Roman" w:hAnsi="Times New Roman" w:cs="Times New Roman"/>
        </w:rPr>
        <w:t>7</w:t>
      </w:r>
      <w:r w:rsidRPr="00F9522B">
        <w:rPr>
          <w:rFonts w:ascii="Times New Roman" w:hAnsi="Times New Roman" w:cs="Times New Roman"/>
        </w:rPr>
        <w:t>处即肇源的古恰、肇东的鲤鱼圈、方正的伊汉通、汤原的竹帘、依兰的宏克力、桦川的临江等江段，松花江下游是四大家鱼的主要栖息、繁殖地。产粘性卵的鱼类主要分布以沙砾、泥沙底质为主，河谷开阔，河流平缓，河道分叉、摆动，心滩、州岛、边滩等，为鲤、银鲫、花骨鱼、黑斑狗鱼、鲇等草上产粘性卵和棒花鱼、光泽黄颡等砾石底质产卵的鱼类提供产卵场，主要分布在江湾、江汊、水浅水草繁茂的浅水沿岸。施氏鲟、鳇、日本七鳃鳗、雷氏七鳃鳗等鱼类产沉性卵，主要为底质为沙砾沙洲河段</w:t>
      </w:r>
      <w:r w:rsidR="00611CBA" w:rsidRPr="00F9522B">
        <w:rPr>
          <w:rFonts w:ascii="Times New Roman" w:hAnsi="Times New Roman" w:cs="Times New Roman"/>
        </w:rPr>
        <w:t>。评价区域未分布。</w:t>
      </w:r>
    </w:p>
    <w:p w:rsidR="00122281" w:rsidRPr="00F9522B" w:rsidRDefault="00122281">
      <w:pPr>
        <w:pStyle w:val="2fa"/>
        <w:ind w:firstLine="480"/>
        <w:contextualSpacing/>
        <w:rPr>
          <w:rFonts w:ascii="Times New Roman" w:hAnsi="Times New Roman" w:cs="Times New Roman"/>
        </w:rPr>
      </w:pPr>
      <w:r w:rsidRPr="00F9522B">
        <w:rPr>
          <w:rFonts w:ascii="Times New Roman" w:hAnsi="Times New Roman" w:cs="Times New Roman"/>
        </w:rPr>
        <w:t>松花江干流下游由于大顶子山航电枢纽工程建成后，珍稀、冷水性鱼类洄游通道被隔断，上塑性消失，以及城市污水排放，松花江干流哈尔滨市区段无、四大家鱼三场分布，本项目区域松花江干流分布鱼类代表物种主要为花白鲢和鳙鱼，</w:t>
      </w:r>
      <w:r w:rsidRPr="00F9522B">
        <w:rPr>
          <w:rFonts w:ascii="Times New Roman" w:hAnsi="Times New Roman" w:cs="Times New Roman"/>
        </w:rPr>
        <w:lastRenderedPageBreak/>
        <w:t>以及鲶、鲫、鲤等经济鱼类。松花江下游是四大家鱼的主要栖息地、繁殖地。</w:t>
      </w:r>
    </w:p>
    <w:p w:rsidR="002A5A5E" w:rsidRPr="00F9522B" w:rsidRDefault="00611CBA">
      <w:pPr>
        <w:pStyle w:val="2fa"/>
        <w:ind w:firstLine="480"/>
        <w:contextualSpacing/>
        <w:rPr>
          <w:rFonts w:ascii="Times New Roman" w:hAnsi="Times New Roman" w:cs="Times New Roman"/>
        </w:rPr>
      </w:pPr>
      <w:r w:rsidRPr="00F9522B">
        <w:rPr>
          <w:rFonts w:ascii="Times New Roman" w:hAnsi="Times New Roman" w:cs="Times New Roman"/>
        </w:rPr>
        <w:t>在蚌内产卵的鱊亚科鱼类，一般在蚌等软体动物较丰富的水域，如静缓流水体、细砂或淤泥底质处，无固定产卵场，主要零散分布于</w:t>
      </w:r>
      <w:r w:rsidR="008C3325" w:rsidRPr="00F9522B">
        <w:rPr>
          <w:rFonts w:ascii="Times New Roman" w:hAnsi="Times New Roman" w:cs="Times New Roman"/>
        </w:rPr>
        <w:t>松花江</w:t>
      </w:r>
      <w:r w:rsidRPr="00F9522B">
        <w:rPr>
          <w:rFonts w:ascii="Times New Roman" w:hAnsi="Times New Roman" w:cs="Times New Roman"/>
        </w:rPr>
        <w:t>河湾、河汊及浅滩等蚌类分布较多的水域。漂河未分布。</w:t>
      </w:r>
    </w:p>
    <w:p w:rsidR="002A5A5E" w:rsidRPr="00F9522B" w:rsidRDefault="00611CBA">
      <w:pPr>
        <w:pStyle w:val="2fa"/>
        <w:ind w:firstLine="480"/>
        <w:contextualSpacing/>
        <w:rPr>
          <w:rFonts w:ascii="Times New Roman" w:hAnsi="Times New Roman" w:cs="Times New Roman"/>
          <w:smallCaps/>
          <w:szCs w:val="22"/>
        </w:rPr>
      </w:pPr>
      <w:r w:rsidRPr="00F9522B">
        <w:rPr>
          <w:rFonts w:ascii="Times New Roman" w:hAnsi="Times New Roman" w:cs="Times New Roman"/>
          <w:smallCaps/>
          <w:szCs w:val="22"/>
        </w:rPr>
        <w:t>产黏性卵鱼类种类较多而且分布广泛，包括棒花鱼、鳅科、鰕虎鱼、鲤、银鲫、鲇等鱼类，其对产卵场要求不严格，一般在静水、半静水浅滩、水草丰茂处产卵，受精卵粘附于水草或河流底质上孵化，产卵场一般并不集中，主要分布在</w:t>
      </w:r>
      <w:r w:rsidR="00F018EC" w:rsidRPr="00F9522B">
        <w:rPr>
          <w:rFonts w:ascii="Times New Roman" w:hAnsi="Times New Roman" w:cs="Times New Roman"/>
          <w:smallCaps/>
          <w:szCs w:val="22"/>
        </w:rPr>
        <w:t>松花江</w:t>
      </w:r>
      <w:r w:rsidRPr="00F9522B">
        <w:rPr>
          <w:rFonts w:ascii="Times New Roman" w:hAnsi="Times New Roman" w:cs="Times New Roman"/>
          <w:smallCaps/>
          <w:szCs w:val="22"/>
        </w:rPr>
        <w:t>下游及河口段、河湾、河汊等，水生维管植物分布广、密度多或陆生植物水体淹没范围较大的水域。集中分布于江心岛、浅滩浅水处。</w:t>
      </w:r>
      <w:r w:rsidRPr="00F9522B">
        <w:rPr>
          <w:rFonts w:ascii="Times New Roman" w:hAnsi="Times New Roman" w:cs="Times New Roman"/>
        </w:rPr>
        <w:t>漂河未分布。</w:t>
      </w:r>
    </w:p>
    <w:p w:rsidR="002A5A5E" w:rsidRPr="00F9522B" w:rsidRDefault="00611CBA">
      <w:pPr>
        <w:pStyle w:val="2fa"/>
        <w:ind w:firstLine="480"/>
        <w:contextualSpacing/>
        <w:rPr>
          <w:rFonts w:ascii="Times New Roman" w:hAnsi="Times New Roman" w:cs="Times New Roman"/>
          <w:smallCaps/>
          <w:szCs w:val="22"/>
        </w:rPr>
      </w:pPr>
      <w:r w:rsidRPr="00F9522B">
        <w:rPr>
          <w:rFonts w:ascii="Times New Roman" w:hAnsi="Times New Roman" w:cs="Times New Roman"/>
        </w:rPr>
        <w:t>评价水域并未有产漂流性卵鱼类、国家保护和珍稀濒危鱼类产卵场分布。</w:t>
      </w:r>
    </w:p>
    <w:p w:rsidR="002A5A5E" w:rsidRPr="00F9522B" w:rsidRDefault="005273A1">
      <w:pPr>
        <w:pStyle w:val="2fa"/>
        <w:ind w:firstLine="480"/>
        <w:contextualSpacing/>
        <w:rPr>
          <w:rFonts w:ascii="Times New Roman" w:hAnsi="Times New Roman" w:cs="Times New Roman"/>
          <w:smallCaps/>
          <w:szCs w:val="22"/>
        </w:rPr>
      </w:pPr>
      <w:r w:rsidRPr="00F9522B">
        <w:rPr>
          <w:rFonts w:ascii="Times New Roman" w:hAnsi="Times New Roman" w:cs="Times New Roman"/>
        </w:rPr>
        <w:fldChar w:fldCharType="begin"/>
      </w:r>
      <w:r w:rsidR="00250C31" w:rsidRPr="00F9522B">
        <w:rPr>
          <w:rFonts w:ascii="Times New Roman" w:hAnsi="Times New Roman" w:cs="Times New Roman"/>
        </w:rPr>
        <w:instrText xml:space="preserve"> = 2 \* GB3 </w:instrText>
      </w:r>
      <w:r w:rsidRPr="00F9522B">
        <w:rPr>
          <w:rFonts w:ascii="Times New Roman" w:hAnsi="Times New Roman" w:cs="Times New Roman"/>
        </w:rPr>
        <w:fldChar w:fldCharType="separate"/>
      </w:r>
      <w:r w:rsidR="00250C31" w:rsidRPr="00F9522B">
        <w:rPr>
          <w:rFonts w:eastAsia="宋体" w:cs="宋体" w:hint="eastAsia"/>
          <w:noProof/>
        </w:rPr>
        <w:t>②</w:t>
      </w:r>
      <w:r w:rsidRPr="00F9522B">
        <w:rPr>
          <w:rFonts w:ascii="Times New Roman" w:hAnsi="Times New Roman" w:cs="Times New Roman"/>
        </w:rPr>
        <w:fldChar w:fldCharType="end"/>
      </w:r>
      <w:r w:rsidR="00611CBA" w:rsidRPr="00F9522B">
        <w:rPr>
          <w:rFonts w:ascii="Times New Roman" w:hAnsi="Times New Roman" w:cs="Times New Roman"/>
        </w:rPr>
        <w:t>索饵场分布</w:t>
      </w:r>
    </w:p>
    <w:p w:rsidR="002A5A5E" w:rsidRPr="00F9522B" w:rsidRDefault="00611CBA">
      <w:pPr>
        <w:pStyle w:val="2fa"/>
        <w:ind w:firstLine="480"/>
        <w:contextualSpacing/>
        <w:rPr>
          <w:rFonts w:ascii="Times New Roman" w:hAnsi="Times New Roman" w:cs="Times New Roman"/>
          <w:smallCaps/>
          <w:szCs w:val="22"/>
        </w:rPr>
      </w:pPr>
      <w:r w:rsidRPr="00F9522B">
        <w:rPr>
          <w:rFonts w:ascii="Times New Roman" w:hAnsi="Times New Roman" w:cs="Times New Roman"/>
          <w:smallCaps/>
          <w:szCs w:val="22"/>
        </w:rPr>
        <w:t>刮食性鱼类多在水浅流急的砾石滩索饵；肉食性凶猛性鱼类，多在回水湾以及急流滩下的深水区索饵。仔幼鱼游泳能力差，其主要摄食浮游动物，浮游动物丰富的河湾、深潭等静缓流水域是鱼类的主要育幼场所。鲤、银鲫、鲇等温水性鱼育肥场多分布水温较高，光合作用剧烈，水生生物生物量高，水生维管植物较多的下游水域。水深较浅的沿岸带，水流较缓的河湾处，水温较高，透明度较高，光合作用剧烈的水域，是水生生物生长的最佳区域，其生物量高于其它水域几倍或十几倍，为鱼类的生长、繁殖提供了丰富的饵料基础。鱼类索饵场一般处于缓流处，一般与鱼类产卵场叠加分布。</w:t>
      </w:r>
      <w:r w:rsidR="00987CC0" w:rsidRPr="00F9522B">
        <w:rPr>
          <w:rFonts w:ascii="Times New Roman" w:hAnsi="Times New Roman" w:cs="Times New Roman"/>
          <w:smallCaps/>
          <w:szCs w:val="22"/>
        </w:rPr>
        <w:t>松花江分布在支流河口回水湾、江心沙洲汊道、沿江泛水湿地、缓流浅滩</w:t>
      </w:r>
      <w:r w:rsidRPr="00F9522B">
        <w:rPr>
          <w:rFonts w:ascii="Times New Roman" w:hAnsi="Times New Roman" w:cs="Times New Roman"/>
          <w:smallCaps/>
          <w:szCs w:val="22"/>
        </w:rPr>
        <w:t>。</w:t>
      </w:r>
      <w:r w:rsidRPr="00F9522B">
        <w:rPr>
          <w:rFonts w:ascii="Times New Roman" w:hAnsi="Times New Roman" w:cs="Times New Roman"/>
        </w:rPr>
        <w:t>漂河未分布。</w:t>
      </w:r>
    </w:p>
    <w:p w:rsidR="002A5A5E" w:rsidRPr="00F9522B" w:rsidRDefault="005273A1">
      <w:pPr>
        <w:pStyle w:val="2fa"/>
        <w:ind w:firstLine="480"/>
        <w:contextualSpacing/>
        <w:rPr>
          <w:rFonts w:ascii="Times New Roman" w:hAnsi="Times New Roman" w:cs="Times New Roman"/>
        </w:rPr>
      </w:pPr>
      <w:r w:rsidRPr="00F9522B">
        <w:rPr>
          <w:rFonts w:ascii="Times New Roman" w:hAnsi="Times New Roman" w:cs="Times New Roman"/>
        </w:rPr>
        <w:fldChar w:fldCharType="begin"/>
      </w:r>
      <w:r w:rsidR="00250C31" w:rsidRPr="00F9522B">
        <w:rPr>
          <w:rFonts w:ascii="Times New Roman" w:hAnsi="Times New Roman" w:cs="Times New Roman"/>
        </w:rPr>
        <w:instrText xml:space="preserve"> = 3 \* GB3 </w:instrText>
      </w:r>
      <w:r w:rsidRPr="00F9522B">
        <w:rPr>
          <w:rFonts w:ascii="Times New Roman" w:hAnsi="Times New Roman" w:cs="Times New Roman"/>
        </w:rPr>
        <w:fldChar w:fldCharType="separate"/>
      </w:r>
      <w:r w:rsidR="00250C31" w:rsidRPr="00F9522B">
        <w:rPr>
          <w:rFonts w:eastAsia="宋体" w:cs="宋体" w:hint="eastAsia"/>
          <w:noProof/>
        </w:rPr>
        <w:t>③</w:t>
      </w:r>
      <w:r w:rsidRPr="00F9522B">
        <w:rPr>
          <w:rFonts w:ascii="Times New Roman" w:hAnsi="Times New Roman" w:cs="Times New Roman"/>
        </w:rPr>
        <w:fldChar w:fldCharType="end"/>
      </w:r>
      <w:r w:rsidR="00611CBA" w:rsidRPr="00F9522B">
        <w:rPr>
          <w:rFonts w:ascii="Times New Roman" w:hAnsi="Times New Roman" w:cs="Times New Roman"/>
        </w:rPr>
        <w:t>越冬场分布</w:t>
      </w:r>
      <w:r w:rsidR="00611CBA" w:rsidRPr="00F9522B">
        <w:rPr>
          <w:rFonts w:ascii="Times New Roman" w:hAnsi="Times New Roman" w:cs="Times New Roman"/>
        </w:rPr>
        <w:t xml:space="preserve"> </w:t>
      </w:r>
    </w:p>
    <w:p w:rsidR="002A5A5E" w:rsidRPr="00F9522B" w:rsidRDefault="00611CBA">
      <w:pPr>
        <w:pStyle w:val="2fa"/>
        <w:ind w:firstLine="480"/>
        <w:contextualSpacing/>
        <w:rPr>
          <w:rFonts w:ascii="Times New Roman" w:hAnsi="Times New Roman" w:cs="Times New Roman"/>
        </w:rPr>
      </w:pPr>
      <w:r w:rsidRPr="00F9522B">
        <w:rPr>
          <w:rFonts w:ascii="Times New Roman" w:hAnsi="Times New Roman" w:cs="Times New Roman"/>
          <w:bCs/>
        </w:rPr>
        <w:t>评价水域地处寒冷地区，冰封期长，对于生存在此水域的鱼类越冬是</w:t>
      </w:r>
      <w:r w:rsidR="003E5585" w:rsidRPr="00F9522B">
        <w:rPr>
          <w:rFonts w:ascii="Times New Roman" w:hAnsi="Times New Roman" w:cs="Times New Roman"/>
          <w:bCs/>
        </w:rPr>
        <w:t>至关重要的，尤其</w:t>
      </w:r>
      <w:r w:rsidRPr="00F9522B">
        <w:rPr>
          <w:rFonts w:ascii="Times New Roman" w:hAnsi="Times New Roman" w:cs="Times New Roman"/>
          <w:bCs/>
        </w:rPr>
        <w:t>对需氧量高、喜流水的珍稀、名贵冷水性鱼类显得更为重要。作为鱼类越冬场应当水深大于</w:t>
      </w:r>
      <w:r w:rsidRPr="00F9522B">
        <w:rPr>
          <w:rFonts w:ascii="Times New Roman" w:hAnsi="Times New Roman" w:cs="Times New Roman"/>
          <w:bCs/>
        </w:rPr>
        <w:t>3m</w:t>
      </w:r>
      <w:r w:rsidRPr="00F9522B">
        <w:rPr>
          <w:rFonts w:ascii="Times New Roman" w:hAnsi="Times New Roman" w:cs="Times New Roman"/>
          <w:bCs/>
        </w:rPr>
        <w:t>，有一定的水流，面</w:t>
      </w:r>
      <w:r w:rsidR="008C3325" w:rsidRPr="00F9522B">
        <w:rPr>
          <w:rFonts w:ascii="Times New Roman" w:hAnsi="Times New Roman" w:cs="Times New Roman"/>
          <w:bCs/>
        </w:rPr>
        <w:t>积较大，水质优良的水域，这些水域水质清澈，底质多为鹅卵石或砂底</w:t>
      </w:r>
      <w:r w:rsidRPr="00F9522B">
        <w:rPr>
          <w:rFonts w:ascii="Times New Roman" w:hAnsi="Times New Roman" w:cs="Times New Roman"/>
          <w:bCs/>
        </w:rPr>
        <w:t>。</w:t>
      </w:r>
      <w:r w:rsidRPr="00F9522B">
        <w:rPr>
          <w:rFonts w:ascii="Times New Roman" w:hAnsi="Times New Roman" w:cs="Times New Roman"/>
        </w:rPr>
        <w:t>呼兰河口至大顶子山江段水流变缓，是哈尔滨江段主要的越冬场分布区域。漂河未分布。</w:t>
      </w:r>
    </w:p>
    <w:p w:rsidR="002A5A5E" w:rsidRPr="00F9522B" w:rsidRDefault="005273A1">
      <w:pPr>
        <w:pStyle w:val="2fa"/>
        <w:ind w:firstLine="480"/>
        <w:contextualSpacing/>
        <w:rPr>
          <w:rFonts w:ascii="Times New Roman" w:hAnsi="Times New Roman" w:cs="Times New Roman"/>
        </w:rPr>
      </w:pPr>
      <w:r w:rsidRPr="00F9522B">
        <w:rPr>
          <w:rFonts w:ascii="Times New Roman" w:hAnsi="Times New Roman" w:cs="Times New Roman"/>
        </w:rPr>
        <w:fldChar w:fldCharType="begin"/>
      </w:r>
      <w:r w:rsidR="00250C31" w:rsidRPr="00F9522B">
        <w:rPr>
          <w:rFonts w:ascii="Times New Roman" w:hAnsi="Times New Roman" w:cs="Times New Roman"/>
        </w:rPr>
        <w:instrText xml:space="preserve"> = 4 \* GB3 </w:instrText>
      </w:r>
      <w:r w:rsidRPr="00F9522B">
        <w:rPr>
          <w:rFonts w:ascii="Times New Roman" w:hAnsi="Times New Roman" w:cs="Times New Roman"/>
        </w:rPr>
        <w:fldChar w:fldCharType="separate"/>
      </w:r>
      <w:r w:rsidR="00250C31" w:rsidRPr="00F9522B">
        <w:rPr>
          <w:rFonts w:eastAsia="宋体" w:cs="宋体" w:hint="eastAsia"/>
          <w:noProof/>
        </w:rPr>
        <w:t>④</w:t>
      </w:r>
      <w:r w:rsidRPr="00F9522B">
        <w:rPr>
          <w:rFonts w:ascii="Times New Roman" w:hAnsi="Times New Roman" w:cs="Times New Roman"/>
        </w:rPr>
        <w:fldChar w:fldCharType="end"/>
      </w:r>
      <w:r w:rsidR="00611CBA" w:rsidRPr="00F9522B">
        <w:rPr>
          <w:rFonts w:ascii="Times New Roman" w:hAnsi="Times New Roman" w:cs="Times New Roman"/>
        </w:rPr>
        <w:t>洄游通道</w:t>
      </w:r>
      <w:r w:rsidR="00611CBA" w:rsidRPr="00F9522B">
        <w:rPr>
          <w:rFonts w:ascii="Times New Roman" w:hAnsi="Times New Roman" w:cs="Times New Roman"/>
        </w:rPr>
        <w:t xml:space="preserve"> </w:t>
      </w:r>
    </w:p>
    <w:p w:rsidR="00011032" w:rsidRPr="00F9522B" w:rsidRDefault="00611CBA">
      <w:pPr>
        <w:pStyle w:val="2fa"/>
        <w:ind w:firstLine="480"/>
        <w:contextualSpacing/>
        <w:rPr>
          <w:rFonts w:ascii="Times New Roman" w:hAnsi="Times New Roman" w:cs="Times New Roman"/>
        </w:rPr>
      </w:pPr>
      <w:r w:rsidRPr="00F9522B">
        <w:rPr>
          <w:rFonts w:ascii="Times New Roman" w:hAnsi="Times New Roman" w:cs="Times New Roman"/>
        </w:rPr>
        <w:t>评价水域分布的半洄游性鱼类（主要经济鱼类）共有鲢、草鱼等，但评价水域不具备这几种鱼的产卵条件，是半洄游性鱼类的洄游通道。</w:t>
      </w:r>
    </w:p>
    <w:p w:rsidR="002A5A5E" w:rsidRPr="00F9522B" w:rsidRDefault="00611CBA">
      <w:pPr>
        <w:pStyle w:val="2fa"/>
        <w:ind w:firstLine="480"/>
        <w:contextualSpacing/>
        <w:rPr>
          <w:rFonts w:ascii="Times New Roman" w:hAnsi="Times New Roman" w:cs="Times New Roman"/>
        </w:rPr>
      </w:pPr>
      <w:r w:rsidRPr="00F9522B">
        <w:rPr>
          <w:rFonts w:ascii="Times New Roman" w:hAnsi="Times New Roman" w:cs="Times New Roman"/>
          <w:bCs/>
        </w:rPr>
        <w:lastRenderedPageBreak/>
        <w:t>评价水域鱼类</w:t>
      </w:r>
      <w:r w:rsidRPr="00F9522B">
        <w:rPr>
          <w:rFonts w:ascii="Times New Roman" w:hAnsi="Times New Roman" w:cs="Times New Roman"/>
          <w:bCs/>
        </w:rPr>
        <w:t>“</w:t>
      </w:r>
      <w:r w:rsidRPr="00F9522B">
        <w:rPr>
          <w:rFonts w:ascii="Times New Roman" w:hAnsi="Times New Roman" w:cs="Times New Roman"/>
          <w:bCs/>
        </w:rPr>
        <w:t>三场</w:t>
      </w:r>
      <w:r w:rsidRPr="00F9522B">
        <w:rPr>
          <w:rFonts w:ascii="Times New Roman" w:hAnsi="Times New Roman" w:cs="Times New Roman"/>
          <w:bCs/>
        </w:rPr>
        <w:t>”</w:t>
      </w:r>
      <w:r w:rsidRPr="00F9522B">
        <w:rPr>
          <w:rFonts w:ascii="Times New Roman" w:hAnsi="Times New Roman" w:cs="Times New Roman"/>
          <w:bCs/>
        </w:rPr>
        <w:t>分布见下图。</w:t>
      </w:r>
    </w:p>
    <w:p w:rsidR="002A5A5E" w:rsidRPr="00F9522B" w:rsidRDefault="005273A1" w:rsidP="00122281">
      <w:pPr>
        <w:pStyle w:val="2fa"/>
        <w:spacing w:line="240" w:lineRule="auto"/>
        <w:ind w:firstLineChars="0" w:firstLine="0"/>
        <w:contextualSpacing/>
        <w:rPr>
          <w:rFonts w:ascii="Times New Roman" w:hAnsi="Times New Roman" w:cs="Times New Roman"/>
          <w:smallCaps/>
          <w:szCs w:val="22"/>
        </w:rPr>
      </w:pPr>
      <w:r>
        <w:rPr>
          <w:rFonts w:ascii="Times New Roman" w:hAnsi="Times New Roman" w:cs="Times New Roman"/>
          <w:smallCaps/>
          <w:noProof/>
          <w:szCs w:val="22"/>
        </w:rPr>
        <w:pict>
          <v:shape id="_x0000_s697195" type="#_x0000_t61" style="position:absolute;left:0;text-align:left;margin-left:34.7pt;margin-top:97.25pt;width:72.95pt;height:20.55pt;z-index:251839488" adj="23303,43410">
            <v:textbox>
              <w:txbxContent>
                <w:p w:rsidR="000D2D13" w:rsidRDefault="000D2D13">
                  <w:r>
                    <w:t>本项目位置</w:t>
                  </w:r>
                </w:p>
              </w:txbxContent>
            </v:textbox>
          </v:shape>
        </w:pict>
      </w:r>
      <w:r w:rsidR="00122281" w:rsidRPr="00F9522B">
        <w:rPr>
          <w:rFonts w:ascii="Times New Roman" w:hAnsi="Times New Roman" w:cs="Times New Roman"/>
          <w:smallCaps/>
          <w:noProof/>
          <w:szCs w:val="22"/>
        </w:rPr>
        <w:drawing>
          <wp:inline distT="0" distB="0" distL="0" distR="0">
            <wp:extent cx="5262210" cy="2881805"/>
            <wp:effectExtent l="19050" t="19050" r="14640" b="13795"/>
            <wp:docPr id="6" name="图片 1"/>
            <wp:cNvGraphicFramePr/>
            <a:graphic xmlns:a="http://schemas.openxmlformats.org/drawingml/2006/main">
              <a:graphicData uri="http://schemas.openxmlformats.org/drawingml/2006/picture">
                <pic:pic xmlns:pic="http://schemas.openxmlformats.org/drawingml/2006/picture">
                  <pic:nvPicPr>
                    <pic:cNvPr id="212" name="图片 26"/>
                    <pic:cNvPicPr>
                      <a:picLocks noChangeAspect="1"/>
                    </pic:cNvPicPr>
                  </pic:nvPicPr>
                  <pic:blipFill>
                    <a:blip r:embed="rId88"/>
                    <a:stretch>
                      <a:fillRect/>
                    </a:stretch>
                  </pic:blipFill>
                  <pic:spPr>
                    <a:xfrm>
                      <a:off x="0" y="0"/>
                      <a:ext cx="5266690" cy="2884259"/>
                    </a:xfrm>
                    <a:prstGeom prst="rect">
                      <a:avLst/>
                    </a:prstGeom>
                    <a:noFill/>
                    <a:ln w="12700" cmpd="sng">
                      <a:solidFill>
                        <a:schemeClr val="tx1"/>
                      </a:solidFill>
                      <a:prstDash val="solid"/>
                    </a:ln>
                  </pic:spPr>
                </pic:pic>
              </a:graphicData>
            </a:graphic>
          </wp:inline>
        </w:drawing>
      </w:r>
    </w:p>
    <w:p w:rsidR="002A5A5E" w:rsidRPr="00F9522B" w:rsidRDefault="00611CBA" w:rsidP="00122281">
      <w:pPr>
        <w:pStyle w:val="2fa"/>
        <w:spacing w:line="240" w:lineRule="auto"/>
        <w:ind w:firstLine="422"/>
        <w:contextualSpacing/>
        <w:jc w:val="center"/>
        <w:rPr>
          <w:rFonts w:ascii="Times New Roman" w:hAnsi="Times New Roman" w:cs="Times New Roman"/>
          <w:b/>
          <w:bCs/>
          <w:sz w:val="21"/>
        </w:rPr>
      </w:pPr>
      <w:r w:rsidRPr="00F9522B">
        <w:rPr>
          <w:rFonts w:ascii="Times New Roman" w:hAnsi="Times New Roman" w:cs="Times New Roman"/>
          <w:b/>
          <w:bCs/>
          <w:sz w:val="21"/>
        </w:rPr>
        <w:t>图</w:t>
      </w:r>
      <w:r w:rsidRPr="00F9522B">
        <w:rPr>
          <w:rFonts w:ascii="Times New Roman" w:hAnsi="Times New Roman" w:cs="Times New Roman"/>
          <w:b/>
          <w:bCs/>
          <w:sz w:val="21"/>
        </w:rPr>
        <w:t>4-2-1</w:t>
      </w:r>
      <w:r w:rsidR="001E165D" w:rsidRPr="00F9522B">
        <w:rPr>
          <w:rFonts w:ascii="Times New Roman" w:hAnsi="Times New Roman" w:cs="Times New Roman"/>
          <w:b/>
          <w:bCs/>
          <w:sz w:val="21"/>
        </w:rPr>
        <w:t>2</w:t>
      </w:r>
      <w:r w:rsidRPr="00F9522B">
        <w:rPr>
          <w:rFonts w:ascii="Times New Roman" w:hAnsi="Times New Roman" w:cs="Times New Roman"/>
          <w:b/>
          <w:bCs/>
          <w:sz w:val="21"/>
        </w:rPr>
        <w:t>评价水域</w:t>
      </w:r>
      <w:r w:rsidR="003F1B7B" w:rsidRPr="00F9522B">
        <w:rPr>
          <w:rFonts w:ascii="Times New Roman" w:hAnsi="Times New Roman" w:cs="Times New Roman"/>
          <w:b/>
          <w:bCs/>
          <w:sz w:val="21"/>
        </w:rPr>
        <w:t>松花江</w:t>
      </w:r>
      <w:r w:rsidRPr="00F9522B">
        <w:rPr>
          <w:rFonts w:ascii="Times New Roman" w:hAnsi="Times New Roman" w:cs="Times New Roman"/>
          <w:b/>
          <w:bCs/>
          <w:sz w:val="21"/>
        </w:rPr>
        <w:t>鱼类</w:t>
      </w:r>
      <w:r w:rsidRPr="00F9522B">
        <w:rPr>
          <w:rFonts w:ascii="Times New Roman" w:hAnsi="Times New Roman" w:cs="Times New Roman"/>
          <w:b/>
          <w:bCs/>
          <w:sz w:val="21"/>
        </w:rPr>
        <w:t>“</w:t>
      </w:r>
      <w:r w:rsidRPr="00F9522B">
        <w:rPr>
          <w:rFonts w:ascii="Times New Roman" w:hAnsi="Times New Roman" w:cs="Times New Roman"/>
          <w:b/>
          <w:bCs/>
          <w:sz w:val="21"/>
        </w:rPr>
        <w:t>三场</w:t>
      </w:r>
      <w:r w:rsidRPr="00F9522B">
        <w:rPr>
          <w:rFonts w:ascii="Times New Roman" w:hAnsi="Times New Roman" w:cs="Times New Roman"/>
          <w:b/>
          <w:bCs/>
          <w:sz w:val="21"/>
        </w:rPr>
        <w:t>”</w:t>
      </w:r>
      <w:r w:rsidRPr="00F9522B">
        <w:rPr>
          <w:rFonts w:ascii="Times New Roman" w:hAnsi="Times New Roman" w:cs="Times New Roman"/>
          <w:b/>
          <w:bCs/>
          <w:sz w:val="21"/>
        </w:rPr>
        <w:t>分布示意图</w:t>
      </w:r>
    </w:p>
    <w:p w:rsidR="00122281" w:rsidRPr="00F9522B" w:rsidRDefault="00122281" w:rsidP="00122281">
      <w:pPr>
        <w:pStyle w:val="2fa"/>
        <w:spacing w:line="240" w:lineRule="auto"/>
        <w:ind w:firstLineChars="0" w:firstLine="0"/>
        <w:contextualSpacing/>
        <w:rPr>
          <w:rFonts w:ascii="Times New Roman" w:hAnsi="Times New Roman" w:cs="Times New Roman"/>
          <w:b/>
          <w:bCs/>
          <w:sz w:val="21"/>
        </w:rPr>
      </w:pPr>
      <w:r w:rsidRPr="00F9522B">
        <w:rPr>
          <w:rFonts w:ascii="Times New Roman" w:hAnsi="Times New Roman" w:cs="Times New Roman"/>
          <w:b/>
          <w:bCs/>
          <w:noProof/>
          <w:sz w:val="21"/>
        </w:rPr>
        <w:drawing>
          <wp:anchor distT="0" distB="0" distL="114300" distR="114300" simplePos="0" relativeHeight="251840512" behindDoc="0" locked="0" layoutInCell="1" allowOverlap="1">
            <wp:simplePos x="0" y="0"/>
            <wp:positionH relativeFrom="column">
              <wp:posOffset>3519302</wp:posOffset>
            </wp:positionH>
            <wp:positionV relativeFrom="paragraph">
              <wp:posOffset>1947404</wp:posOffset>
            </wp:positionV>
            <wp:extent cx="1761424" cy="1323942"/>
            <wp:effectExtent l="19050" t="19050" r="10226" b="9558"/>
            <wp:wrapNone/>
            <wp:docPr id="25" name="图片 3"/>
            <wp:cNvGraphicFramePr/>
            <a:graphic xmlns:a="http://schemas.openxmlformats.org/drawingml/2006/main">
              <a:graphicData uri="http://schemas.openxmlformats.org/drawingml/2006/picture">
                <pic:pic xmlns:pic="http://schemas.openxmlformats.org/drawingml/2006/picture">
                  <pic:nvPicPr>
                    <pic:cNvPr id="215" name="图片 28"/>
                    <pic:cNvPicPr>
                      <a:picLocks noChangeAspect="1"/>
                    </pic:cNvPicPr>
                  </pic:nvPicPr>
                  <pic:blipFill>
                    <a:blip r:embed="rId89"/>
                    <a:stretch>
                      <a:fillRect/>
                    </a:stretch>
                  </pic:blipFill>
                  <pic:spPr>
                    <a:xfrm>
                      <a:off x="0" y="0"/>
                      <a:ext cx="1761424" cy="1323942"/>
                    </a:xfrm>
                    <a:prstGeom prst="rect">
                      <a:avLst/>
                    </a:prstGeom>
                    <a:noFill/>
                    <a:ln w="12700" cmpd="sng">
                      <a:solidFill>
                        <a:schemeClr val="tx1"/>
                      </a:solidFill>
                      <a:prstDash val="solid"/>
                    </a:ln>
                  </pic:spPr>
                </pic:pic>
              </a:graphicData>
            </a:graphic>
          </wp:anchor>
        </w:drawing>
      </w:r>
      <w:r w:rsidRPr="00F9522B">
        <w:rPr>
          <w:rFonts w:ascii="Times New Roman" w:hAnsi="Times New Roman" w:cs="Times New Roman"/>
          <w:b/>
          <w:bCs/>
          <w:noProof/>
          <w:sz w:val="21"/>
        </w:rPr>
        <w:drawing>
          <wp:inline distT="0" distB="0" distL="0" distR="0">
            <wp:extent cx="5268595" cy="3208655"/>
            <wp:effectExtent l="19050" t="19050" r="27305" b="10795"/>
            <wp:docPr id="22" name="图片 2" descr="局部放大"/>
            <wp:cNvGraphicFramePr/>
            <a:graphic xmlns:a="http://schemas.openxmlformats.org/drawingml/2006/main">
              <a:graphicData uri="http://schemas.openxmlformats.org/drawingml/2006/picture">
                <pic:pic xmlns:pic="http://schemas.openxmlformats.org/drawingml/2006/picture">
                  <pic:nvPicPr>
                    <pic:cNvPr id="210" name="图片 210" descr="局部放大"/>
                    <pic:cNvPicPr>
                      <a:picLocks noChangeAspect="1"/>
                    </pic:cNvPicPr>
                  </pic:nvPicPr>
                  <pic:blipFill>
                    <a:blip r:embed="rId90"/>
                    <a:stretch>
                      <a:fillRect/>
                    </a:stretch>
                  </pic:blipFill>
                  <pic:spPr>
                    <a:xfrm>
                      <a:off x="0" y="0"/>
                      <a:ext cx="5268595" cy="3208655"/>
                    </a:xfrm>
                    <a:prstGeom prst="rect">
                      <a:avLst/>
                    </a:prstGeom>
                    <a:ln w="12700" cmpd="sng">
                      <a:solidFill>
                        <a:schemeClr val="tx1"/>
                      </a:solidFill>
                      <a:prstDash val="solid"/>
                    </a:ln>
                  </pic:spPr>
                </pic:pic>
              </a:graphicData>
            </a:graphic>
          </wp:inline>
        </w:drawing>
      </w:r>
    </w:p>
    <w:p w:rsidR="00122281" w:rsidRPr="00F9522B" w:rsidRDefault="00122281" w:rsidP="00122281">
      <w:pPr>
        <w:pStyle w:val="2fa"/>
        <w:spacing w:line="240" w:lineRule="auto"/>
        <w:ind w:firstLine="422"/>
        <w:contextualSpacing/>
        <w:jc w:val="center"/>
        <w:rPr>
          <w:rFonts w:ascii="Times New Roman" w:hAnsi="Times New Roman" w:cs="Times New Roman"/>
          <w:b/>
          <w:bCs/>
          <w:sz w:val="21"/>
        </w:rPr>
      </w:pPr>
      <w:r w:rsidRPr="00F9522B">
        <w:rPr>
          <w:rFonts w:ascii="Times New Roman" w:hAnsi="Times New Roman" w:cs="Times New Roman"/>
          <w:b/>
          <w:bCs/>
          <w:sz w:val="21"/>
        </w:rPr>
        <w:t>图</w:t>
      </w:r>
      <w:r w:rsidRPr="00F9522B">
        <w:rPr>
          <w:rFonts w:ascii="Times New Roman" w:hAnsi="Times New Roman" w:cs="Times New Roman"/>
          <w:b/>
          <w:bCs/>
          <w:sz w:val="21"/>
        </w:rPr>
        <w:t>4-2-1</w:t>
      </w:r>
      <w:r w:rsidR="001E165D" w:rsidRPr="00F9522B">
        <w:rPr>
          <w:rFonts w:ascii="Times New Roman" w:hAnsi="Times New Roman" w:cs="Times New Roman"/>
          <w:b/>
          <w:bCs/>
          <w:sz w:val="21"/>
        </w:rPr>
        <w:t>3</w:t>
      </w:r>
      <w:r w:rsidRPr="00F9522B">
        <w:rPr>
          <w:rFonts w:ascii="Times New Roman" w:hAnsi="Times New Roman" w:cs="Times New Roman"/>
          <w:b/>
          <w:bCs/>
          <w:sz w:val="21"/>
        </w:rPr>
        <w:t>评价水域松花江鱼类</w:t>
      </w:r>
      <w:r w:rsidRPr="00F9522B">
        <w:rPr>
          <w:rFonts w:ascii="Times New Roman" w:hAnsi="Times New Roman" w:cs="Times New Roman"/>
          <w:b/>
          <w:bCs/>
          <w:sz w:val="21"/>
        </w:rPr>
        <w:t>“</w:t>
      </w:r>
      <w:r w:rsidRPr="00F9522B">
        <w:rPr>
          <w:rFonts w:ascii="Times New Roman" w:hAnsi="Times New Roman" w:cs="Times New Roman"/>
          <w:b/>
          <w:bCs/>
          <w:sz w:val="21"/>
        </w:rPr>
        <w:t>三场</w:t>
      </w:r>
      <w:r w:rsidR="0093401E" w:rsidRPr="00F9522B">
        <w:rPr>
          <w:rFonts w:ascii="Times New Roman" w:hAnsi="Times New Roman" w:cs="Times New Roman"/>
          <w:b/>
          <w:bCs/>
          <w:sz w:val="21"/>
        </w:rPr>
        <w:t>一通道</w:t>
      </w:r>
      <w:r w:rsidRPr="00F9522B">
        <w:rPr>
          <w:rFonts w:ascii="Times New Roman" w:hAnsi="Times New Roman" w:cs="Times New Roman"/>
          <w:b/>
          <w:bCs/>
          <w:sz w:val="21"/>
        </w:rPr>
        <w:t>”</w:t>
      </w:r>
      <w:r w:rsidRPr="00F9522B">
        <w:rPr>
          <w:rFonts w:ascii="Times New Roman" w:hAnsi="Times New Roman" w:cs="Times New Roman"/>
          <w:b/>
          <w:bCs/>
          <w:sz w:val="21"/>
        </w:rPr>
        <w:t>分布示意图</w:t>
      </w:r>
    </w:p>
    <w:p w:rsidR="002A5A5E" w:rsidRPr="00F9522B" w:rsidRDefault="00780533" w:rsidP="00122281">
      <w:pPr>
        <w:pStyle w:val="2fa"/>
        <w:ind w:firstLine="480"/>
        <w:contextualSpacing/>
        <w:rPr>
          <w:rFonts w:ascii="Times New Roman" w:hAnsi="Times New Roman" w:cs="Times New Roman"/>
          <w:lang w:bidi="en-US"/>
        </w:rPr>
      </w:pPr>
      <w:r w:rsidRPr="00F9522B">
        <w:rPr>
          <w:rFonts w:ascii="Times New Roman" w:hAnsi="Times New Roman" w:cs="Times New Roman"/>
        </w:rPr>
        <w:t>综上，经调查本项目所处区域江段无珍稀濒危保护鱼类产卵场、索饵场、越冬场，本项目所处区域松花江江段无珍稀濒危鱼类、</w:t>
      </w:r>
      <w:r w:rsidRPr="00F9522B">
        <w:rPr>
          <w:rFonts w:ascii="Times New Roman" w:hAnsi="Times New Roman" w:cs="Times New Roman"/>
        </w:rPr>
        <w:t>4</w:t>
      </w:r>
      <w:r w:rsidRPr="00F9522B">
        <w:rPr>
          <w:rFonts w:ascii="Times New Roman" w:hAnsi="Times New Roman" w:cs="Times New Roman"/>
        </w:rPr>
        <w:t>大家鱼及代表鱼类三场分布，但松花江干流是鱼类洄游通道</w:t>
      </w:r>
      <w:r w:rsidR="00611CBA" w:rsidRPr="00F9522B">
        <w:rPr>
          <w:rFonts w:ascii="Times New Roman" w:hAnsi="Times New Roman" w:cs="Times New Roman"/>
          <w:lang w:bidi="en-US"/>
        </w:rPr>
        <w:t>。</w:t>
      </w:r>
      <w:bookmarkEnd w:id="114"/>
    </w:p>
    <w:p w:rsidR="002A5A5E" w:rsidRPr="00F9522B" w:rsidRDefault="00611CBA">
      <w:pPr>
        <w:autoSpaceDE w:val="0"/>
        <w:autoSpaceDN w:val="0"/>
        <w:spacing w:before="100" w:beforeAutospacing="1" w:after="100" w:afterAutospacing="1"/>
        <w:outlineLvl w:val="3"/>
        <w:rPr>
          <w:rFonts w:eastAsiaTheme="minorEastAsia"/>
          <w:b/>
          <w:bCs/>
          <w:sz w:val="24"/>
        </w:rPr>
      </w:pPr>
      <w:r w:rsidRPr="00F9522B">
        <w:rPr>
          <w:rFonts w:eastAsiaTheme="minorEastAsia"/>
          <w:b/>
          <w:bCs/>
          <w:noProof/>
          <w:sz w:val="24"/>
        </w:rPr>
        <w:drawing>
          <wp:anchor distT="0" distB="0" distL="114300" distR="114300" simplePos="0" relativeHeight="251693056" behindDoc="0" locked="0" layoutInCell="1" allowOverlap="1">
            <wp:simplePos x="0" y="0"/>
            <wp:positionH relativeFrom="column">
              <wp:posOffset>8356600</wp:posOffset>
            </wp:positionH>
            <wp:positionV relativeFrom="paragraph">
              <wp:posOffset>20320</wp:posOffset>
            </wp:positionV>
            <wp:extent cx="791210" cy="675640"/>
            <wp:effectExtent l="19050" t="0" r="8890" b="0"/>
            <wp:wrapNone/>
            <wp:docPr id="242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2" name="图片 13"/>
                    <pic:cNvPicPr>
                      <a:picLocks noChangeAspect="1" noChangeArrowheads="1"/>
                    </pic:cNvPicPr>
                  </pic:nvPicPr>
                  <pic:blipFill>
                    <a:blip r:embed="rId91"/>
                    <a:srcRect/>
                    <a:stretch>
                      <a:fillRect/>
                    </a:stretch>
                  </pic:blipFill>
                  <pic:spPr>
                    <a:xfrm>
                      <a:off x="0" y="0"/>
                      <a:ext cx="791210" cy="675640"/>
                    </a:xfrm>
                    <a:prstGeom prst="rect">
                      <a:avLst/>
                    </a:prstGeom>
                    <a:noFill/>
                    <a:ln w="9525">
                      <a:noFill/>
                      <a:miter lim="800000"/>
                      <a:headEnd/>
                      <a:tailEnd/>
                    </a:ln>
                  </pic:spPr>
                </pic:pic>
              </a:graphicData>
            </a:graphic>
          </wp:anchor>
        </w:drawing>
      </w:r>
      <w:r w:rsidRPr="00F9522B">
        <w:rPr>
          <w:rFonts w:eastAsiaTheme="minorEastAsia"/>
          <w:b/>
          <w:bCs/>
          <w:noProof/>
          <w:sz w:val="24"/>
        </w:rPr>
        <w:drawing>
          <wp:anchor distT="0" distB="0" distL="114300" distR="114300" simplePos="0" relativeHeight="251694080" behindDoc="0" locked="0" layoutInCell="1" allowOverlap="1">
            <wp:simplePos x="0" y="0"/>
            <wp:positionH relativeFrom="column">
              <wp:posOffset>8356600</wp:posOffset>
            </wp:positionH>
            <wp:positionV relativeFrom="paragraph">
              <wp:posOffset>20320</wp:posOffset>
            </wp:positionV>
            <wp:extent cx="791210" cy="675640"/>
            <wp:effectExtent l="19050" t="0" r="8890" b="0"/>
            <wp:wrapNone/>
            <wp:docPr id="242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3" name="图片 13"/>
                    <pic:cNvPicPr>
                      <a:picLocks noChangeAspect="1" noChangeArrowheads="1"/>
                    </pic:cNvPicPr>
                  </pic:nvPicPr>
                  <pic:blipFill>
                    <a:blip r:embed="rId91"/>
                    <a:srcRect/>
                    <a:stretch>
                      <a:fillRect/>
                    </a:stretch>
                  </pic:blipFill>
                  <pic:spPr>
                    <a:xfrm>
                      <a:off x="0" y="0"/>
                      <a:ext cx="791210" cy="675640"/>
                    </a:xfrm>
                    <a:prstGeom prst="rect">
                      <a:avLst/>
                    </a:prstGeom>
                    <a:noFill/>
                    <a:ln w="9525">
                      <a:noFill/>
                      <a:miter lim="800000"/>
                      <a:headEnd/>
                      <a:tailEnd/>
                    </a:ln>
                  </pic:spPr>
                </pic:pic>
              </a:graphicData>
            </a:graphic>
          </wp:anchor>
        </w:drawing>
      </w:r>
      <w:r w:rsidRPr="00F9522B">
        <w:rPr>
          <w:rFonts w:eastAsiaTheme="minorEastAsia"/>
          <w:b/>
          <w:bCs/>
          <w:sz w:val="24"/>
        </w:rPr>
        <w:t>4.2.7.3</w:t>
      </w:r>
      <w:r w:rsidRPr="00F9522B">
        <w:rPr>
          <w:rFonts w:eastAsiaTheme="minorEastAsia"/>
          <w:b/>
          <w:bCs/>
          <w:sz w:val="24"/>
        </w:rPr>
        <w:t>区域存在主要的生态问题</w:t>
      </w:r>
    </w:p>
    <w:p w:rsidR="002A5A5E" w:rsidRPr="00F9522B" w:rsidRDefault="00611CBA">
      <w:pPr>
        <w:pStyle w:val="2fa"/>
        <w:ind w:firstLine="480"/>
        <w:contextualSpacing/>
        <w:rPr>
          <w:rFonts w:ascii="Times New Roman" w:hAnsi="Times New Roman" w:cs="Times New Roman"/>
        </w:rPr>
      </w:pPr>
      <w:r w:rsidRPr="00F9522B">
        <w:rPr>
          <w:rFonts w:ascii="Times New Roman" w:hAnsi="Times New Roman" w:cs="Times New Roman"/>
          <w:bCs/>
          <w:kern w:val="0"/>
        </w:rPr>
        <w:t>根据黑龙江省水利厅编制的《黑龙江省水土保持规划（</w:t>
      </w:r>
      <w:r w:rsidRPr="00F9522B">
        <w:rPr>
          <w:rFonts w:ascii="Times New Roman" w:hAnsi="Times New Roman" w:cs="Times New Roman"/>
          <w:bCs/>
          <w:kern w:val="0"/>
        </w:rPr>
        <w:t>2015-2030</w:t>
      </w:r>
      <w:r w:rsidRPr="00F9522B">
        <w:rPr>
          <w:rFonts w:ascii="Times New Roman" w:hAnsi="Times New Roman" w:cs="Times New Roman"/>
          <w:bCs/>
          <w:kern w:val="0"/>
        </w:rPr>
        <w:t>年）》，</w:t>
      </w:r>
      <w:r w:rsidRPr="00F9522B">
        <w:rPr>
          <w:rFonts w:ascii="Times New Roman" w:hAnsi="Times New Roman" w:cs="Times New Roman"/>
          <w:bCs/>
          <w:kern w:val="0"/>
        </w:rPr>
        <w:lastRenderedPageBreak/>
        <w:t>哈尔滨市属于</w:t>
      </w:r>
      <w:r w:rsidRPr="00F9522B">
        <w:rPr>
          <w:rFonts w:ascii="Times New Roman" w:hAnsi="Times New Roman" w:cs="Times New Roman"/>
          <w:bCs/>
          <w:kern w:val="0"/>
        </w:rPr>
        <w:t xml:space="preserve"> I-3-1t</w:t>
      </w:r>
      <w:r w:rsidRPr="00F9522B">
        <w:rPr>
          <w:rFonts w:ascii="Times New Roman" w:hAnsi="Times New Roman" w:cs="Times New Roman"/>
          <w:bCs/>
          <w:kern w:val="0"/>
        </w:rPr>
        <w:t>中部漫川漫岗土壤保持区，属于省级水土流失重点治理区</w:t>
      </w:r>
      <w:r w:rsidRPr="00F9522B">
        <w:rPr>
          <w:rFonts w:ascii="Times New Roman" w:hAnsi="Times New Roman" w:cs="Times New Roman"/>
        </w:rPr>
        <w:t>，该生态功能区以坡耕地土壤较多，易发生水土流失。</w:t>
      </w:r>
    </w:p>
    <w:p w:rsidR="002A5A5E" w:rsidRPr="00F9522B" w:rsidRDefault="00611CBA">
      <w:pPr>
        <w:pStyle w:val="2fa"/>
        <w:ind w:firstLine="480"/>
        <w:contextualSpacing/>
        <w:rPr>
          <w:rFonts w:ascii="Times New Roman" w:hAnsi="Times New Roman" w:cs="Times New Roman"/>
        </w:rPr>
      </w:pPr>
      <w:r w:rsidRPr="00F9522B">
        <w:rPr>
          <w:rFonts w:ascii="Times New Roman" w:hAnsi="Times New Roman" w:cs="Times New Roman"/>
        </w:rPr>
        <w:t>灌区的运行未对所在区域生态环境造成较大影响，灌区渠首的修建和阻隔影响及现有水田退水的影响经过多年的演替，已形成稳定的适合现有鱼类及水生生物生长繁殖的生境和生态系统。无较明显生态环境问题。</w:t>
      </w:r>
    </w:p>
    <w:p w:rsidR="002A5A5E" w:rsidRPr="00F9522B" w:rsidRDefault="00611CBA">
      <w:pPr>
        <w:spacing w:before="100" w:beforeAutospacing="1" w:after="100" w:afterAutospacing="1"/>
        <w:contextualSpacing/>
        <w:jc w:val="left"/>
        <w:outlineLvl w:val="1"/>
        <w:rPr>
          <w:rFonts w:eastAsiaTheme="minorEastAsia"/>
          <w:b/>
          <w:bCs/>
          <w:kern w:val="44"/>
          <w:sz w:val="30"/>
          <w:szCs w:val="30"/>
        </w:rPr>
      </w:pPr>
      <w:bookmarkStart w:id="115" w:name="_Toc208906239"/>
      <w:r w:rsidRPr="00F9522B">
        <w:rPr>
          <w:rFonts w:eastAsiaTheme="minorEastAsia"/>
          <w:b/>
          <w:bCs/>
          <w:kern w:val="44"/>
          <w:sz w:val="30"/>
          <w:szCs w:val="30"/>
        </w:rPr>
        <w:t>4.3</w:t>
      </w:r>
      <w:r w:rsidRPr="00F9522B">
        <w:rPr>
          <w:rFonts w:eastAsiaTheme="minorEastAsia"/>
          <w:b/>
          <w:bCs/>
          <w:kern w:val="44"/>
          <w:sz w:val="30"/>
          <w:szCs w:val="30"/>
        </w:rPr>
        <w:t>区域污染源调查</w:t>
      </w:r>
      <w:bookmarkEnd w:id="111"/>
      <w:bookmarkEnd w:id="112"/>
      <w:bookmarkEnd w:id="115"/>
    </w:p>
    <w:p w:rsidR="002A5A5E" w:rsidRPr="00F9522B" w:rsidRDefault="00611CBA">
      <w:pPr>
        <w:spacing w:line="360" w:lineRule="auto"/>
        <w:outlineLvl w:val="2"/>
        <w:rPr>
          <w:rFonts w:eastAsiaTheme="minorEastAsia"/>
          <w:b/>
          <w:sz w:val="28"/>
          <w:szCs w:val="28"/>
        </w:rPr>
      </w:pPr>
      <w:r w:rsidRPr="00F9522B">
        <w:rPr>
          <w:rFonts w:eastAsiaTheme="minorEastAsia"/>
          <w:b/>
          <w:sz w:val="28"/>
          <w:szCs w:val="28"/>
        </w:rPr>
        <w:t>4.3.1</w:t>
      </w:r>
      <w:r w:rsidRPr="00F9522B">
        <w:rPr>
          <w:rFonts w:eastAsiaTheme="minorEastAsia"/>
          <w:b/>
          <w:sz w:val="28"/>
          <w:szCs w:val="28"/>
        </w:rPr>
        <w:t>入河排污口调查</w:t>
      </w:r>
    </w:p>
    <w:p w:rsidR="002A5A5E" w:rsidRPr="00F9522B" w:rsidRDefault="00611CBA">
      <w:pPr>
        <w:pStyle w:val="aff4"/>
        <w:adjustRightInd/>
        <w:snapToGrid/>
        <w:contextualSpacing/>
        <w:rPr>
          <w:rFonts w:ascii="Times New Roman" w:hAnsi="Times New Roman" w:cs="Times New Roman"/>
        </w:rPr>
      </w:pPr>
      <w:bookmarkStart w:id="116" w:name="_Ref157691378"/>
      <w:r w:rsidRPr="00F9522B">
        <w:rPr>
          <w:rFonts w:ascii="Times New Roman" w:hAnsi="Times New Roman" w:cs="Times New Roman"/>
        </w:rPr>
        <w:t>项目区域</w:t>
      </w:r>
      <w:r w:rsidRPr="00F9522B">
        <w:rPr>
          <w:rFonts w:ascii="Times New Roman" w:hAnsi="Times New Roman" w:cs="Times New Roman"/>
          <w:kern w:val="0"/>
          <w:szCs w:val="21"/>
        </w:rPr>
        <w:t>入河排污口类型主要为农业排口及</w:t>
      </w:r>
      <w:r w:rsidR="003F1B7B" w:rsidRPr="00F9522B">
        <w:rPr>
          <w:rFonts w:ascii="Times New Roman" w:hAnsi="Times New Roman" w:cs="Times New Roman"/>
          <w:kern w:val="0"/>
          <w:szCs w:val="21"/>
        </w:rPr>
        <w:t>雨水</w:t>
      </w:r>
      <w:r w:rsidRPr="00F9522B">
        <w:rPr>
          <w:rFonts w:ascii="Times New Roman" w:hAnsi="Times New Roman" w:cs="Times New Roman"/>
          <w:kern w:val="0"/>
          <w:szCs w:val="21"/>
        </w:rPr>
        <w:t>排口。</w:t>
      </w:r>
    </w:p>
    <w:p w:rsidR="002A5A5E" w:rsidRPr="00F9522B" w:rsidRDefault="00142C81">
      <w:pPr>
        <w:pStyle w:val="aff4"/>
        <w:adjustRightInd/>
        <w:snapToGrid/>
        <w:contextualSpacing/>
        <w:rPr>
          <w:rFonts w:ascii="Times New Roman" w:hAnsi="Times New Roman" w:cs="Times New Roman"/>
          <w:smallCaps/>
        </w:rPr>
      </w:pPr>
      <w:r w:rsidRPr="00F9522B">
        <w:rPr>
          <w:rFonts w:ascii="Times New Roman" w:hAnsi="Times New Roman" w:cs="Times New Roman"/>
        </w:rPr>
        <w:t>项目区排水工程已基本形成规模，项目区西部排水通过原有沟汇入公家沟，设有</w:t>
      </w:r>
      <w:r w:rsidRPr="00F9522B">
        <w:rPr>
          <w:rFonts w:ascii="Times New Roman" w:hAnsi="Times New Roman" w:cs="Times New Roman"/>
        </w:rPr>
        <w:t>3</w:t>
      </w:r>
      <w:r w:rsidRPr="00F9522B">
        <w:rPr>
          <w:rFonts w:ascii="Times New Roman" w:hAnsi="Times New Roman" w:cs="Times New Roman"/>
        </w:rPr>
        <w:t>个农田退水口（</w:t>
      </w:r>
      <w:r w:rsidRPr="00F9522B">
        <w:rPr>
          <w:rFonts w:ascii="Times New Roman" w:hAnsi="Times New Roman" w:cs="Times New Roman"/>
          <w:kern w:val="0"/>
        </w:rPr>
        <w:t>农业排口</w:t>
      </w:r>
      <w:r w:rsidRPr="00F9522B">
        <w:rPr>
          <w:rFonts w:ascii="Times New Roman" w:hAnsi="Times New Roman" w:cs="Times New Roman"/>
        </w:rPr>
        <w:t>），最终汇入松花江，承泄区为松花江。项目区东部排水汇入原有沟，设有</w:t>
      </w:r>
      <w:r w:rsidRPr="00F9522B">
        <w:rPr>
          <w:rFonts w:ascii="Times New Roman" w:hAnsi="Times New Roman" w:cs="Times New Roman"/>
        </w:rPr>
        <w:t>1</w:t>
      </w:r>
      <w:r w:rsidRPr="00F9522B">
        <w:rPr>
          <w:rFonts w:ascii="Times New Roman" w:hAnsi="Times New Roman" w:cs="Times New Roman"/>
        </w:rPr>
        <w:t>个农田退水口（</w:t>
      </w:r>
      <w:r w:rsidRPr="00F9522B">
        <w:rPr>
          <w:rFonts w:ascii="Times New Roman" w:hAnsi="Times New Roman" w:cs="Times New Roman"/>
          <w:kern w:val="0"/>
        </w:rPr>
        <w:t>农业排口</w:t>
      </w:r>
      <w:r w:rsidRPr="00F9522B">
        <w:rPr>
          <w:rFonts w:ascii="Times New Roman" w:hAnsi="Times New Roman" w:cs="Times New Roman"/>
        </w:rPr>
        <w:t>），最终承泄区为漂河。片区内排水承泄区为松花江及漂河</w:t>
      </w:r>
      <w:r w:rsidRPr="00F9522B">
        <w:rPr>
          <w:rFonts w:ascii="Times New Roman" w:hAnsi="Times New Roman" w:cs="Times New Roman"/>
          <w:kern w:val="0"/>
        </w:rPr>
        <w:t>。本项目现有入河排污口暂未进行审批登记</w:t>
      </w:r>
      <w:r w:rsidR="00611CBA" w:rsidRPr="00F9522B">
        <w:rPr>
          <w:rFonts w:ascii="Times New Roman" w:hAnsi="Times New Roman" w:cs="Times New Roman"/>
          <w:kern w:val="0"/>
        </w:rPr>
        <w:t>。</w:t>
      </w:r>
    </w:p>
    <w:p w:rsidR="002A5A5E" w:rsidRPr="00F9522B" w:rsidRDefault="00611CBA">
      <w:pPr>
        <w:contextualSpacing/>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4</w:t>
      </w:r>
      <w:r w:rsidR="005273A1" w:rsidRPr="00F9522B">
        <w:rPr>
          <w:rFonts w:eastAsiaTheme="minorEastAsia"/>
          <w:b/>
          <w:kern w:val="0"/>
          <w:szCs w:val="21"/>
        </w:rPr>
        <w:fldChar w:fldCharType="begin"/>
      </w:r>
      <w:r w:rsidRPr="00F9522B">
        <w:rPr>
          <w:rFonts w:eastAsiaTheme="minorEastAsia"/>
          <w:b/>
          <w:kern w:val="0"/>
          <w:szCs w:val="21"/>
        </w:rPr>
        <w:instrText xml:space="preserve"> STYLEREF 2 \s </w:instrText>
      </w:r>
      <w:r w:rsidR="005273A1" w:rsidRPr="00F9522B">
        <w:rPr>
          <w:rFonts w:eastAsiaTheme="minorEastAsia"/>
          <w:b/>
          <w:kern w:val="0"/>
          <w:szCs w:val="21"/>
        </w:rPr>
        <w:fldChar w:fldCharType="separate"/>
      </w:r>
      <w:r w:rsidRPr="00F9522B">
        <w:rPr>
          <w:rFonts w:eastAsiaTheme="minorEastAsia"/>
          <w:b/>
          <w:kern w:val="0"/>
          <w:szCs w:val="21"/>
        </w:rPr>
        <w:t>-3</w:t>
      </w:r>
      <w:r w:rsidR="005273A1" w:rsidRPr="00F9522B">
        <w:rPr>
          <w:rFonts w:eastAsiaTheme="minorEastAsia"/>
          <w:b/>
          <w:kern w:val="0"/>
          <w:szCs w:val="21"/>
        </w:rPr>
        <w:fldChar w:fldCharType="end"/>
      </w:r>
      <w:r w:rsidRPr="00F9522B">
        <w:rPr>
          <w:rFonts w:eastAsiaTheme="minorEastAsia"/>
          <w:b/>
          <w:kern w:val="0"/>
          <w:szCs w:val="21"/>
        </w:rPr>
        <w:t>-</w:t>
      </w:r>
      <w:r w:rsidR="005273A1" w:rsidRPr="00F9522B">
        <w:rPr>
          <w:rFonts w:eastAsiaTheme="minorEastAsia"/>
          <w:b/>
          <w:kern w:val="0"/>
          <w:szCs w:val="21"/>
        </w:rPr>
        <w:fldChar w:fldCharType="begin"/>
      </w:r>
      <w:r w:rsidRPr="00F9522B">
        <w:rPr>
          <w:rFonts w:eastAsiaTheme="minorEastAsia"/>
          <w:b/>
          <w:kern w:val="0"/>
          <w:szCs w:val="21"/>
        </w:rPr>
        <w:instrText xml:space="preserve"> SEQ </w:instrText>
      </w:r>
      <w:r w:rsidRPr="00F9522B">
        <w:rPr>
          <w:rFonts w:eastAsiaTheme="minorEastAsia"/>
          <w:b/>
          <w:kern w:val="0"/>
          <w:szCs w:val="21"/>
        </w:rPr>
        <w:instrText>表</w:instrText>
      </w:r>
      <w:r w:rsidRPr="00F9522B">
        <w:rPr>
          <w:rFonts w:eastAsiaTheme="minorEastAsia"/>
          <w:b/>
          <w:kern w:val="0"/>
          <w:szCs w:val="21"/>
        </w:rPr>
        <w:instrText xml:space="preserve"> \* ARABIC \s 2 </w:instrText>
      </w:r>
      <w:r w:rsidR="005273A1" w:rsidRPr="00F9522B">
        <w:rPr>
          <w:rFonts w:eastAsiaTheme="minorEastAsia"/>
          <w:b/>
          <w:kern w:val="0"/>
          <w:szCs w:val="21"/>
        </w:rPr>
        <w:fldChar w:fldCharType="separate"/>
      </w:r>
      <w:r w:rsidRPr="00F9522B">
        <w:rPr>
          <w:rFonts w:eastAsiaTheme="minorEastAsia"/>
          <w:b/>
          <w:kern w:val="0"/>
          <w:szCs w:val="21"/>
        </w:rPr>
        <w:t>1</w:t>
      </w:r>
      <w:r w:rsidR="005273A1" w:rsidRPr="00F9522B">
        <w:rPr>
          <w:rFonts w:eastAsiaTheme="minorEastAsia"/>
          <w:b/>
          <w:kern w:val="0"/>
          <w:szCs w:val="21"/>
        </w:rPr>
        <w:fldChar w:fldCharType="end"/>
      </w:r>
      <w:bookmarkEnd w:id="116"/>
      <w:r w:rsidRPr="00F9522B">
        <w:rPr>
          <w:rFonts w:eastAsiaTheme="minorEastAsia"/>
          <w:b/>
          <w:kern w:val="0"/>
          <w:szCs w:val="21"/>
        </w:rPr>
        <w:t xml:space="preserve"> </w:t>
      </w:r>
      <w:r w:rsidRPr="00F9522B">
        <w:rPr>
          <w:rFonts w:eastAsiaTheme="minorEastAsia"/>
          <w:b/>
          <w:kern w:val="0"/>
          <w:szCs w:val="21"/>
        </w:rPr>
        <w:t>区域入河排污口基本情况</w:t>
      </w:r>
    </w:p>
    <w:tbl>
      <w:tblPr>
        <w:tblW w:w="4983" w:type="pct"/>
        <w:tblBorders>
          <w:top w:val="single" w:sz="12" w:space="0" w:color="auto"/>
          <w:bottom w:val="single" w:sz="12" w:space="0" w:color="auto"/>
          <w:insideH w:val="single" w:sz="4" w:space="0" w:color="auto"/>
          <w:insideV w:val="single" w:sz="4" w:space="0" w:color="auto"/>
        </w:tblBorders>
        <w:tblLayout w:type="fixed"/>
        <w:tblLook w:val="04A0"/>
      </w:tblPr>
      <w:tblGrid>
        <w:gridCol w:w="670"/>
        <w:gridCol w:w="1541"/>
        <w:gridCol w:w="2466"/>
        <w:gridCol w:w="1327"/>
        <w:gridCol w:w="1446"/>
        <w:gridCol w:w="1043"/>
      </w:tblGrid>
      <w:tr w:rsidR="002A5A5E" w:rsidRPr="00F9522B" w:rsidTr="00931885">
        <w:trPr>
          <w:trHeight w:val="229"/>
          <w:tblHeader/>
        </w:trPr>
        <w:tc>
          <w:tcPr>
            <w:tcW w:w="394" w:type="pct"/>
            <w:noWrap/>
            <w:vAlign w:val="center"/>
          </w:tcPr>
          <w:p w:rsidR="002A5A5E" w:rsidRPr="00F9522B" w:rsidRDefault="00611CBA" w:rsidP="00931885">
            <w:pPr>
              <w:widowControl/>
              <w:jc w:val="center"/>
              <w:rPr>
                <w:rFonts w:eastAsiaTheme="minorEastAsia"/>
                <w:kern w:val="0"/>
                <w:szCs w:val="21"/>
              </w:rPr>
            </w:pPr>
            <w:bookmarkStart w:id="117" w:name="_Toc15991671"/>
            <w:r w:rsidRPr="00F9522B">
              <w:rPr>
                <w:rFonts w:eastAsiaTheme="minorEastAsia"/>
                <w:kern w:val="0"/>
                <w:szCs w:val="21"/>
              </w:rPr>
              <w:t>序号</w:t>
            </w:r>
          </w:p>
        </w:tc>
        <w:tc>
          <w:tcPr>
            <w:tcW w:w="907" w:type="pct"/>
            <w:noWrap/>
            <w:vAlign w:val="center"/>
          </w:tcPr>
          <w:p w:rsidR="002A5A5E" w:rsidRPr="00F9522B" w:rsidRDefault="00611CBA" w:rsidP="00931885">
            <w:pPr>
              <w:widowControl/>
              <w:jc w:val="center"/>
              <w:rPr>
                <w:rFonts w:eastAsiaTheme="minorEastAsia"/>
                <w:kern w:val="0"/>
                <w:szCs w:val="21"/>
              </w:rPr>
            </w:pPr>
            <w:r w:rsidRPr="00F9522B">
              <w:rPr>
                <w:rFonts w:eastAsiaTheme="minorEastAsia"/>
                <w:kern w:val="0"/>
                <w:szCs w:val="21"/>
              </w:rPr>
              <w:t>入河排污口编码</w:t>
            </w:r>
          </w:p>
        </w:tc>
        <w:tc>
          <w:tcPr>
            <w:tcW w:w="1452" w:type="pct"/>
            <w:noWrap/>
            <w:vAlign w:val="center"/>
          </w:tcPr>
          <w:p w:rsidR="002A5A5E" w:rsidRPr="00F9522B" w:rsidRDefault="00611CBA" w:rsidP="00931885">
            <w:pPr>
              <w:widowControl/>
              <w:jc w:val="center"/>
              <w:rPr>
                <w:rFonts w:eastAsiaTheme="minorEastAsia"/>
                <w:kern w:val="0"/>
                <w:szCs w:val="21"/>
              </w:rPr>
            </w:pPr>
            <w:r w:rsidRPr="00F9522B">
              <w:rPr>
                <w:rFonts w:eastAsiaTheme="minorEastAsia"/>
                <w:kern w:val="0"/>
                <w:szCs w:val="21"/>
              </w:rPr>
              <w:t>入河排污口名称</w:t>
            </w:r>
          </w:p>
        </w:tc>
        <w:tc>
          <w:tcPr>
            <w:tcW w:w="781" w:type="pct"/>
            <w:noWrap/>
            <w:vAlign w:val="center"/>
          </w:tcPr>
          <w:p w:rsidR="002A5A5E" w:rsidRPr="00F9522B" w:rsidRDefault="00611CBA" w:rsidP="00931885">
            <w:pPr>
              <w:widowControl/>
              <w:jc w:val="center"/>
              <w:rPr>
                <w:rFonts w:eastAsiaTheme="minorEastAsia"/>
                <w:kern w:val="0"/>
                <w:szCs w:val="21"/>
              </w:rPr>
            </w:pPr>
            <w:r w:rsidRPr="00F9522B">
              <w:rPr>
                <w:rFonts w:eastAsiaTheme="minorEastAsia"/>
                <w:kern w:val="0"/>
                <w:szCs w:val="21"/>
              </w:rPr>
              <w:t>入河排污口类型</w:t>
            </w:r>
          </w:p>
        </w:tc>
        <w:tc>
          <w:tcPr>
            <w:tcW w:w="851" w:type="pct"/>
            <w:noWrap/>
            <w:vAlign w:val="center"/>
          </w:tcPr>
          <w:p w:rsidR="002A5A5E" w:rsidRPr="00F9522B" w:rsidRDefault="00611CBA" w:rsidP="00931885">
            <w:pPr>
              <w:widowControl/>
              <w:jc w:val="center"/>
              <w:rPr>
                <w:rFonts w:eastAsiaTheme="minorEastAsia"/>
                <w:kern w:val="0"/>
                <w:szCs w:val="21"/>
              </w:rPr>
            </w:pPr>
            <w:r w:rsidRPr="00F9522B">
              <w:rPr>
                <w:rFonts w:eastAsiaTheme="minorEastAsia"/>
                <w:kern w:val="0"/>
                <w:szCs w:val="21"/>
              </w:rPr>
              <w:t>入河方式名称</w:t>
            </w:r>
          </w:p>
        </w:tc>
        <w:tc>
          <w:tcPr>
            <w:tcW w:w="614" w:type="pct"/>
            <w:noWrap/>
            <w:vAlign w:val="center"/>
          </w:tcPr>
          <w:p w:rsidR="002A5A5E" w:rsidRPr="00F9522B" w:rsidRDefault="00611CBA" w:rsidP="00931885">
            <w:pPr>
              <w:widowControl/>
              <w:jc w:val="center"/>
              <w:rPr>
                <w:rFonts w:eastAsiaTheme="minorEastAsia"/>
                <w:kern w:val="0"/>
                <w:szCs w:val="21"/>
              </w:rPr>
            </w:pPr>
            <w:r w:rsidRPr="00F9522B">
              <w:rPr>
                <w:rFonts w:eastAsiaTheme="minorEastAsia"/>
                <w:kern w:val="0"/>
                <w:szCs w:val="21"/>
              </w:rPr>
              <w:t>受纳水体</w:t>
            </w:r>
          </w:p>
        </w:tc>
      </w:tr>
      <w:tr w:rsidR="003D1905" w:rsidRPr="00F9522B" w:rsidTr="00931885">
        <w:trPr>
          <w:trHeight w:val="229"/>
        </w:trPr>
        <w:tc>
          <w:tcPr>
            <w:tcW w:w="394" w:type="pct"/>
            <w:noWrap/>
            <w:vAlign w:val="center"/>
          </w:tcPr>
          <w:p w:rsidR="003D1905" w:rsidRPr="00F9522B" w:rsidRDefault="003D1905" w:rsidP="00931885">
            <w:pPr>
              <w:widowControl/>
              <w:jc w:val="center"/>
              <w:rPr>
                <w:rFonts w:eastAsiaTheme="minorEastAsia"/>
                <w:kern w:val="0"/>
                <w:szCs w:val="21"/>
              </w:rPr>
            </w:pPr>
            <w:r w:rsidRPr="00F9522B">
              <w:rPr>
                <w:rFonts w:eastAsiaTheme="minorEastAsia"/>
                <w:kern w:val="0"/>
                <w:szCs w:val="21"/>
              </w:rPr>
              <w:t>1</w:t>
            </w:r>
          </w:p>
        </w:tc>
        <w:tc>
          <w:tcPr>
            <w:tcW w:w="907" w:type="pct"/>
            <w:noWrap/>
            <w:vAlign w:val="center"/>
          </w:tcPr>
          <w:p w:rsidR="003D1905" w:rsidRPr="00F9522B" w:rsidRDefault="00C75EE9" w:rsidP="00931885">
            <w:pPr>
              <w:widowControl/>
              <w:jc w:val="center"/>
              <w:rPr>
                <w:rFonts w:eastAsiaTheme="minorEastAsia"/>
                <w:kern w:val="0"/>
                <w:szCs w:val="21"/>
              </w:rPr>
            </w:pPr>
            <w:r w:rsidRPr="00F9522B">
              <w:rPr>
                <w:rFonts w:eastAsiaTheme="minorEastAsia"/>
                <w:kern w:val="0"/>
                <w:szCs w:val="21"/>
              </w:rPr>
              <w:t>AB-230111-0043-QT-00</w:t>
            </w:r>
          </w:p>
        </w:tc>
        <w:tc>
          <w:tcPr>
            <w:tcW w:w="1452" w:type="pct"/>
            <w:noWrap/>
            <w:vAlign w:val="center"/>
          </w:tcPr>
          <w:p w:rsidR="003D1905" w:rsidRPr="00F9522B" w:rsidRDefault="00C75EE9" w:rsidP="00931885">
            <w:pPr>
              <w:widowControl/>
              <w:jc w:val="center"/>
              <w:rPr>
                <w:rFonts w:eastAsiaTheme="minorEastAsia"/>
                <w:kern w:val="0"/>
                <w:szCs w:val="21"/>
              </w:rPr>
            </w:pPr>
            <w:r w:rsidRPr="00F9522B">
              <w:rPr>
                <w:rFonts w:eastAsiaTheme="minorEastAsia"/>
                <w:kern w:val="0"/>
                <w:szCs w:val="21"/>
              </w:rPr>
              <w:t>哈尔滨市呼兰区滨水大道抗大干校道口东侧</w:t>
            </w:r>
            <w:r w:rsidRPr="00F9522B">
              <w:rPr>
                <w:rFonts w:eastAsiaTheme="minorEastAsia"/>
                <w:kern w:val="0"/>
                <w:szCs w:val="21"/>
              </w:rPr>
              <w:t>5500</w:t>
            </w:r>
            <w:r w:rsidRPr="00F9522B">
              <w:rPr>
                <w:rFonts w:eastAsiaTheme="minorEastAsia"/>
                <w:kern w:val="0"/>
                <w:szCs w:val="21"/>
              </w:rPr>
              <w:t>米其他排污口</w:t>
            </w:r>
          </w:p>
        </w:tc>
        <w:tc>
          <w:tcPr>
            <w:tcW w:w="781" w:type="pct"/>
            <w:noWrap/>
            <w:vAlign w:val="center"/>
          </w:tcPr>
          <w:p w:rsidR="003D1905" w:rsidRPr="00F9522B" w:rsidRDefault="00C75EE9" w:rsidP="00931885">
            <w:pPr>
              <w:widowControl/>
              <w:jc w:val="center"/>
              <w:rPr>
                <w:rFonts w:eastAsiaTheme="minorEastAsia"/>
                <w:kern w:val="0"/>
                <w:szCs w:val="21"/>
              </w:rPr>
            </w:pPr>
            <w:r w:rsidRPr="00F9522B">
              <w:rPr>
                <w:rFonts w:eastAsiaTheme="minorEastAsia"/>
                <w:kern w:val="0"/>
                <w:szCs w:val="21"/>
              </w:rPr>
              <w:t>雨水</w:t>
            </w:r>
            <w:r w:rsidR="003D1905" w:rsidRPr="00F9522B">
              <w:rPr>
                <w:rFonts w:eastAsiaTheme="minorEastAsia"/>
                <w:kern w:val="0"/>
                <w:szCs w:val="21"/>
              </w:rPr>
              <w:t>排口</w:t>
            </w:r>
          </w:p>
        </w:tc>
        <w:tc>
          <w:tcPr>
            <w:tcW w:w="851" w:type="pct"/>
            <w:noWrap/>
            <w:vAlign w:val="center"/>
          </w:tcPr>
          <w:p w:rsidR="003D1905" w:rsidRPr="00F9522B" w:rsidRDefault="003D1905" w:rsidP="00931885">
            <w:pPr>
              <w:widowControl/>
              <w:jc w:val="center"/>
              <w:rPr>
                <w:rFonts w:eastAsiaTheme="minorEastAsia"/>
                <w:kern w:val="0"/>
                <w:szCs w:val="21"/>
              </w:rPr>
            </w:pPr>
            <w:r w:rsidRPr="00F9522B">
              <w:rPr>
                <w:rFonts w:eastAsiaTheme="minorEastAsia"/>
                <w:kern w:val="0"/>
                <w:szCs w:val="21"/>
              </w:rPr>
              <w:t>直接排放</w:t>
            </w:r>
          </w:p>
        </w:tc>
        <w:tc>
          <w:tcPr>
            <w:tcW w:w="614" w:type="pct"/>
            <w:noWrap/>
            <w:vAlign w:val="center"/>
          </w:tcPr>
          <w:p w:rsidR="003D1905" w:rsidRPr="00F9522B" w:rsidRDefault="003D1905" w:rsidP="00931885">
            <w:pPr>
              <w:widowControl/>
              <w:jc w:val="center"/>
              <w:rPr>
                <w:rFonts w:eastAsiaTheme="minorEastAsia"/>
                <w:kern w:val="0"/>
                <w:szCs w:val="21"/>
              </w:rPr>
            </w:pPr>
            <w:r w:rsidRPr="00F9522B">
              <w:rPr>
                <w:rFonts w:eastAsiaTheme="minorEastAsia"/>
                <w:kern w:val="0"/>
                <w:szCs w:val="21"/>
              </w:rPr>
              <w:t>松花江</w:t>
            </w:r>
          </w:p>
        </w:tc>
      </w:tr>
      <w:tr w:rsidR="003D1905" w:rsidRPr="00F9522B" w:rsidTr="00931885">
        <w:trPr>
          <w:trHeight w:val="229"/>
        </w:trPr>
        <w:tc>
          <w:tcPr>
            <w:tcW w:w="394" w:type="pct"/>
            <w:noWrap/>
            <w:vAlign w:val="center"/>
          </w:tcPr>
          <w:p w:rsidR="003D1905" w:rsidRPr="00F9522B" w:rsidRDefault="003D1905" w:rsidP="00931885">
            <w:pPr>
              <w:widowControl/>
              <w:jc w:val="center"/>
              <w:rPr>
                <w:rFonts w:eastAsiaTheme="minorEastAsia"/>
                <w:kern w:val="0"/>
                <w:szCs w:val="21"/>
              </w:rPr>
            </w:pPr>
            <w:r w:rsidRPr="00F9522B">
              <w:rPr>
                <w:rFonts w:eastAsiaTheme="minorEastAsia"/>
                <w:kern w:val="0"/>
                <w:szCs w:val="21"/>
              </w:rPr>
              <w:t>2</w:t>
            </w:r>
          </w:p>
        </w:tc>
        <w:tc>
          <w:tcPr>
            <w:tcW w:w="907" w:type="pct"/>
            <w:noWrap/>
            <w:vAlign w:val="center"/>
          </w:tcPr>
          <w:p w:rsidR="003D1905" w:rsidRPr="00F9522B" w:rsidRDefault="00C75EE9" w:rsidP="00931885">
            <w:pPr>
              <w:widowControl/>
              <w:jc w:val="center"/>
              <w:rPr>
                <w:rFonts w:eastAsiaTheme="minorEastAsia"/>
                <w:kern w:val="0"/>
                <w:szCs w:val="21"/>
              </w:rPr>
            </w:pPr>
            <w:r w:rsidRPr="00F9522B">
              <w:rPr>
                <w:rFonts w:eastAsiaTheme="minorEastAsia"/>
                <w:kern w:val="0"/>
                <w:szCs w:val="21"/>
              </w:rPr>
              <w:t>AB-230111-0028-QT-00</w:t>
            </w:r>
          </w:p>
        </w:tc>
        <w:tc>
          <w:tcPr>
            <w:tcW w:w="1452" w:type="pct"/>
            <w:noWrap/>
            <w:vAlign w:val="center"/>
          </w:tcPr>
          <w:p w:rsidR="003D1905" w:rsidRPr="00F9522B" w:rsidRDefault="00C75EE9" w:rsidP="00931885">
            <w:pPr>
              <w:widowControl/>
              <w:jc w:val="center"/>
              <w:rPr>
                <w:rFonts w:eastAsiaTheme="minorEastAsia"/>
                <w:kern w:val="0"/>
                <w:szCs w:val="21"/>
              </w:rPr>
            </w:pPr>
            <w:r w:rsidRPr="00F9522B">
              <w:rPr>
                <w:rFonts w:eastAsiaTheme="minorEastAsia"/>
                <w:kern w:val="0"/>
                <w:szCs w:val="21"/>
              </w:rPr>
              <w:t>哈尔滨市呼兰区滨水大道抗大干校道口东侧</w:t>
            </w:r>
            <w:r w:rsidRPr="00F9522B">
              <w:rPr>
                <w:rFonts w:eastAsiaTheme="minorEastAsia"/>
                <w:kern w:val="0"/>
                <w:szCs w:val="21"/>
              </w:rPr>
              <w:t>260</w:t>
            </w:r>
            <w:r w:rsidRPr="00F9522B">
              <w:rPr>
                <w:rFonts w:eastAsiaTheme="minorEastAsia"/>
                <w:kern w:val="0"/>
                <w:szCs w:val="21"/>
              </w:rPr>
              <w:t>米其他排污口</w:t>
            </w:r>
          </w:p>
        </w:tc>
        <w:tc>
          <w:tcPr>
            <w:tcW w:w="781" w:type="pct"/>
            <w:noWrap/>
            <w:vAlign w:val="center"/>
          </w:tcPr>
          <w:p w:rsidR="003D1905" w:rsidRPr="00F9522B" w:rsidRDefault="00C75EE9" w:rsidP="00931885">
            <w:pPr>
              <w:widowControl/>
              <w:jc w:val="center"/>
              <w:rPr>
                <w:rFonts w:eastAsiaTheme="minorEastAsia"/>
                <w:kern w:val="0"/>
                <w:szCs w:val="21"/>
              </w:rPr>
            </w:pPr>
            <w:r w:rsidRPr="00F9522B">
              <w:rPr>
                <w:rFonts w:eastAsiaTheme="minorEastAsia"/>
                <w:kern w:val="0"/>
                <w:szCs w:val="21"/>
              </w:rPr>
              <w:t>雨水排口</w:t>
            </w:r>
          </w:p>
        </w:tc>
        <w:tc>
          <w:tcPr>
            <w:tcW w:w="851" w:type="pct"/>
            <w:noWrap/>
            <w:vAlign w:val="center"/>
          </w:tcPr>
          <w:p w:rsidR="003D1905" w:rsidRPr="00F9522B" w:rsidRDefault="003D1905" w:rsidP="00931885">
            <w:pPr>
              <w:widowControl/>
              <w:jc w:val="center"/>
              <w:rPr>
                <w:rFonts w:eastAsiaTheme="minorEastAsia"/>
                <w:kern w:val="0"/>
                <w:szCs w:val="21"/>
              </w:rPr>
            </w:pPr>
            <w:r w:rsidRPr="00F9522B">
              <w:rPr>
                <w:rFonts w:eastAsiaTheme="minorEastAsia"/>
                <w:kern w:val="0"/>
                <w:szCs w:val="21"/>
              </w:rPr>
              <w:t>直接排放</w:t>
            </w:r>
          </w:p>
        </w:tc>
        <w:tc>
          <w:tcPr>
            <w:tcW w:w="614" w:type="pct"/>
            <w:noWrap/>
            <w:vAlign w:val="center"/>
          </w:tcPr>
          <w:p w:rsidR="003D1905" w:rsidRPr="00F9522B" w:rsidRDefault="003D1905" w:rsidP="00931885">
            <w:pPr>
              <w:jc w:val="center"/>
              <w:rPr>
                <w:rFonts w:eastAsiaTheme="minorEastAsia"/>
              </w:rPr>
            </w:pPr>
            <w:r w:rsidRPr="00F9522B">
              <w:rPr>
                <w:rFonts w:eastAsiaTheme="minorEastAsia"/>
                <w:kern w:val="0"/>
                <w:szCs w:val="21"/>
              </w:rPr>
              <w:t>松花江</w:t>
            </w:r>
          </w:p>
        </w:tc>
      </w:tr>
      <w:tr w:rsidR="003D1905" w:rsidRPr="00F9522B" w:rsidTr="00931885">
        <w:trPr>
          <w:trHeight w:val="229"/>
        </w:trPr>
        <w:tc>
          <w:tcPr>
            <w:tcW w:w="394" w:type="pct"/>
            <w:noWrap/>
            <w:vAlign w:val="center"/>
          </w:tcPr>
          <w:p w:rsidR="003D1905" w:rsidRPr="00F9522B" w:rsidRDefault="003D1905" w:rsidP="00931885">
            <w:pPr>
              <w:widowControl/>
              <w:jc w:val="center"/>
              <w:rPr>
                <w:rFonts w:eastAsiaTheme="minorEastAsia"/>
                <w:kern w:val="0"/>
                <w:szCs w:val="21"/>
              </w:rPr>
            </w:pPr>
            <w:r w:rsidRPr="00F9522B">
              <w:rPr>
                <w:rFonts w:eastAsiaTheme="minorEastAsia"/>
                <w:kern w:val="0"/>
                <w:szCs w:val="21"/>
              </w:rPr>
              <w:t>3</w:t>
            </w:r>
          </w:p>
        </w:tc>
        <w:tc>
          <w:tcPr>
            <w:tcW w:w="907" w:type="pct"/>
            <w:noWrap/>
            <w:vAlign w:val="center"/>
          </w:tcPr>
          <w:p w:rsidR="003D1905" w:rsidRPr="00F9522B" w:rsidRDefault="00C75EE9" w:rsidP="00931885">
            <w:pPr>
              <w:widowControl/>
              <w:jc w:val="center"/>
              <w:rPr>
                <w:rFonts w:eastAsiaTheme="minorEastAsia"/>
                <w:kern w:val="0"/>
                <w:szCs w:val="21"/>
              </w:rPr>
            </w:pPr>
            <w:r w:rsidRPr="00F9522B">
              <w:rPr>
                <w:rFonts w:eastAsiaTheme="minorEastAsia"/>
                <w:kern w:val="0"/>
                <w:szCs w:val="21"/>
              </w:rPr>
              <w:t>AB-230111-0008-QT-00</w:t>
            </w:r>
          </w:p>
        </w:tc>
        <w:tc>
          <w:tcPr>
            <w:tcW w:w="1452" w:type="pct"/>
            <w:noWrap/>
            <w:vAlign w:val="center"/>
          </w:tcPr>
          <w:p w:rsidR="003D1905" w:rsidRPr="00F9522B" w:rsidRDefault="00C75EE9" w:rsidP="00931885">
            <w:pPr>
              <w:widowControl/>
              <w:jc w:val="center"/>
              <w:rPr>
                <w:rFonts w:eastAsiaTheme="minorEastAsia"/>
                <w:kern w:val="0"/>
                <w:szCs w:val="21"/>
              </w:rPr>
            </w:pPr>
            <w:r w:rsidRPr="00F9522B">
              <w:rPr>
                <w:rFonts w:eastAsiaTheme="minorEastAsia"/>
                <w:kern w:val="0"/>
                <w:szCs w:val="21"/>
              </w:rPr>
              <w:t>哈尔滨市呼兰区方台镇高家闸门对面其他排污口</w:t>
            </w:r>
          </w:p>
        </w:tc>
        <w:tc>
          <w:tcPr>
            <w:tcW w:w="781" w:type="pct"/>
            <w:noWrap/>
            <w:vAlign w:val="center"/>
          </w:tcPr>
          <w:p w:rsidR="003D1905" w:rsidRPr="00F9522B" w:rsidRDefault="00C75EE9" w:rsidP="00931885">
            <w:pPr>
              <w:widowControl/>
              <w:jc w:val="center"/>
              <w:rPr>
                <w:rFonts w:eastAsiaTheme="minorEastAsia"/>
                <w:kern w:val="0"/>
                <w:szCs w:val="21"/>
              </w:rPr>
            </w:pPr>
            <w:r w:rsidRPr="00F9522B">
              <w:rPr>
                <w:rFonts w:eastAsiaTheme="minorEastAsia"/>
                <w:kern w:val="0"/>
                <w:szCs w:val="21"/>
              </w:rPr>
              <w:t>雨水排口</w:t>
            </w:r>
          </w:p>
        </w:tc>
        <w:tc>
          <w:tcPr>
            <w:tcW w:w="851" w:type="pct"/>
            <w:noWrap/>
            <w:vAlign w:val="center"/>
          </w:tcPr>
          <w:p w:rsidR="003D1905" w:rsidRPr="00F9522B" w:rsidRDefault="003D1905" w:rsidP="00931885">
            <w:pPr>
              <w:widowControl/>
              <w:jc w:val="center"/>
              <w:rPr>
                <w:rFonts w:eastAsiaTheme="minorEastAsia"/>
                <w:kern w:val="0"/>
                <w:szCs w:val="21"/>
              </w:rPr>
            </w:pPr>
            <w:r w:rsidRPr="00F9522B">
              <w:rPr>
                <w:rFonts w:eastAsiaTheme="minorEastAsia"/>
                <w:kern w:val="0"/>
                <w:szCs w:val="21"/>
              </w:rPr>
              <w:t>直接排放</w:t>
            </w:r>
          </w:p>
        </w:tc>
        <w:tc>
          <w:tcPr>
            <w:tcW w:w="614" w:type="pct"/>
            <w:noWrap/>
            <w:vAlign w:val="center"/>
          </w:tcPr>
          <w:p w:rsidR="003D1905" w:rsidRPr="00F9522B" w:rsidRDefault="003D1905" w:rsidP="00931885">
            <w:pPr>
              <w:jc w:val="center"/>
              <w:rPr>
                <w:rFonts w:eastAsiaTheme="minorEastAsia"/>
              </w:rPr>
            </w:pPr>
            <w:r w:rsidRPr="00F9522B">
              <w:rPr>
                <w:rFonts w:eastAsiaTheme="minorEastAsia"/>
                <w:kern w:val="0"/>
                <w:szCs w:val="21"/>
              </w:rPr>
              <w:t>松花江</w:t>
            </w:r>
          </w:p>
        </w:tc>
      </w:tr>
      <w:tr w:rsidR="00C75EE9" w:rsidRPr="00F9522B" w:rsidTr="00931885">
        <w:trPr>
          <w:trHeight w:val="229"/>
        </w:trPr>
        <w:tc>
          <w:tcPr>
            <w:tcW w:w="394" w:type="pct"/>
            <w:noWrap/>
            <w:vAlign w:val="center"/>
          </w:tcPr>
          <w:p w:rsidR="00C75EE9" w:rsidRPr="00F9522B" w:rsidRDefault="00C75EE9" w:rsidP="00931885">
            <w:pPr>
              <w:widowControl/>
              <w:jc w:val="center"/>
              <w:rPr>
                <w:rFonts w:eastAsiaTheme="minorEastAsia"/>
                <w:kern w:val="0"/>
                <w:szCs w:val="21"/>
              </w:rPr>
            </w:pPr>
            <w:r w:rsidRPr="00F9522B">
              <w:rPr>
                <w:rFonts w:eastAsiaTheme="minorEastAsia"/>
                <w:kern w:val="0"/>
                <w:szCs w:val="21"/>
              </w:rPr>
              <w:t>4</w:t>
            </w:r>
          </w:p>
        </w:tc>
        <w:tc>
          <w:tcPr>
            <w:tcW w:w="907" w:type="pct"/>
            <w:noWrap/>
            <w:vAlign w:val="center"/>
          </w:tcPr>
          <w:p w:rsidR="00C75EE9" w:rsidRPr="00F9522B" w:rsidRDefault="006C5A39" w:rsidP="00931885">
            <w:pPr>
              <w:widowControl/>
              <w:jc w:val="center"/>
              <w:rPr>
                <w:rFonts w:eastAsiaTheme="minorEastAsia"/>
                <w:kern w:val="0"/>
                <w:szCs w:val="21"/>
                <w:highlight w:val="yellow"/>
              </w:rPr>
            </w:pPr>
            <w:r w:rsidRPr="00F9522B">
              <w:rPr>
                <w:rFonts w:eastAsiaTheme="minorEastAsia"/>
                <w:kern w:val="0"/>
                <w:szCs w:val="21"/>
                <w:highlight w:val="yellow"/>
              </w:rPr>
              <w:t>126.912492231</w:t>
            </w:r>
            <w:r w:rsidRPr="00F9522B">
              <w:rPr>
                <w:rFonts w:eastAsiaTheme="minorEastAsia"/>
                <w:kern w:val="0"/>
                <w:szCs w:val="21"/>
                <w:highlight w:val="yellow"/>
              </w:rPr>
              <w:t>，</w:t>
            </w:r>
            <w:r w:rsidRPr="00F9522B">
              <w:rPr>
                <w:rFonts w:eastAsiaTheme="minorEastAsia"/>
                <w:kern w:val="0"/>
                <w:szCs w:val="21"/>
                <w:highlight w:val="yellow"/>
              </w:rPr>
              <w:t>46.2560535</w:t>
            </w:r>
          </w:p>
        </w:tc>
        <w:tc>
          <w:tcPr>
            <w:tcW w:w="1452" w:type="pct"/>
            <w:noWrap/>
            <w:vAlign w:val="center"/>
          </w:tcPr>
          <w:p w:rsidR="00C75EE9" w:rsidRPr="00F9522B" w:rsidRDefault="0076754A" w:rsidP="00931885">
            <w:pPr>
              <w:widowControl/>
              <w:jc w:val="center"/>
              <w:rPr>
                <w:rFonts w:eastAsiaTheme="minorEastAsia"/>
                <w:kern w:val="0"/>
                <w:szCs w:val="21"/>
              </w:rPr>
            </w:pPr>
            <w:r w:rsidRPr="00F9522B">
              <w:rPr>
                <w:rFonts w:eastAsiaTheme="minorEastAsia"/>
                <w:kern w:val="0"/>
                <w:szCs w:val="21"/>
              </w:rPr>
              <w:t>石人镇公家沟</w:t>
            </w:r>
            <w:r w:rsidR="00931885" w:rsidRPr="00F9522B">
              <w:rPr>
                <w:rFonts w:eastAsiaTheme="minorEastAsia"/>
                <w:kern w:val="0"/>
                <w:szCs w:val="21"/>
              </w:rPr>
              <w:t>其他</w:t>
            </w:r>
            <w:r w:rsidR="00C75EE9" w:rsidRPr="00F9522B">
              <w:rPr>
                <w:rFonts w:eastAsiaTheme="minorEastAsia"/>
                <w:kern w:val="0"/>
                <w:szCs w:val="21"/>
              </w:rPr>
              <w:t>排污口</w:t>
            </w:r>
          </w:p>
        </w:tc>
        <w:tc>
          <w:tcPr>
            <w:tcW w:w="781" w:type="pct"/>
            <w:noWrap/>
            <w:vAlign w:val="center"/>
          </w:tcPr>
          <w:p w:rsidR="00C75EE9" w:rsidRPr="00F9522B" w:rsidRDefault="00931885" w:rsidP="00931885">
            <w:pPr>
              <w:widowControl/>
              <w:jc w:val="center"/>
              <w:rPr>
                <w:rFonts w:eastAsiaTheme="minorEastAsia"/>
                <w:kern w:val="0"/>
                <w:szCs w:val="21"/>
              </w:rPr>
            </w:pPr>
            <w:r w:rsidRPr="00F9522B">
              <w:rPr>
                <w:rFonts w:eastAsiaTheme="minorEastAsia"/>
                <w:kern w:val="0"/>
                <w:szCs w:val="21"/>
              </w:rPr>
              <w:t>其他</w:t>
            </w:r>
            <w:r w:rsidR="00C75EE9" w:rsidRPr="00F9522B">
              <w:rPr>
                <w:rFonts w:eastAsiaTheme="minorEastAsia"/>
                <w:kern w:val="0"/>
                <w:szCs w:val="21"/>
              </w:rPr>
              <w:t>排口</w:t>
            </w:r>
          </w:p>
        </w:tc>
        <w:tc>
          <w:tcPr>
            <w:tcW w:w="851" w:type="pct"/>
            <w:noWrap/>
            <w:vAlign w:val="center"/>
          </w:tcPr>
          <w:p w:rsidR="00C75EE9" w:rsidRPr="00F9522B" w:rsidRDefault="00C75EE9" w:rsidP="00931885">
            <w:pPr>
              <w:widowControl/>
              <w:jc w:val="center"/>
              <w:rPr>
                <w:rFonts w:eastAsiaTheme="minorEastAsia"/>
                <w:kern w:val="0"/>
                <w:szCs w:val="21"/>
              </w:rPr>
            </w:pPr>
            <w:r w:rsidRPr="00F9522B">
              <w:rPr>
                <w:rFonts w:eastAsiaTheme="minorEastAsia"/>
                <w:kern w:val="0"/>
                <w:szCs w:val="21"/>
              </w:rPr>
              <w:t>直接排放</w:t>
            </w:r>
          </w:p>
        </w:tc>
        <w:tc>
          <w:tcPr>
            <w:tcW w:w="614" w:type="pct"/>
            <w:noWrap/>
            <w:vAlign w:val="center"/>
          </w:tcPr>
          <w:p w:rsidR="00C75EE9" w:rsidRPr="00F9522B" w:rsidRDefault="00C75EE9" w:rsidP="00931885">
            <w:pPr>
              <w:widowControl/>
              <w:jc w:val="center"/>
              <w:rPr>
                <w:rFonts w:eastAsiaTheme="minorEastAsia"/>
                <w:kern w:val="0"/>
                <w:szCs w:val="21"/>
              </w:rPr>
            </w:pPr>
            <w:r w:rsidRPr="00F9522B">
              <w:rPr>
                <w:rFonts w:eastAsiaTheme="minorEastAsia"/>
                <w:kern w:val="0"/>
                <w:szCs w:val="21"/>
              </w:rPr>
              <w:t>松花江</w:t>
            </w:r>
          </w:p>
        </w:tc>
      </w:tr>
      <w:tr w:rsidR="00931885" w:rsidRPr="00F9522B" w:rsidTr="00931885">
        <w:trPr>
          <w:trHeight w:val="229"/>
        </w:trPr>
        <w:tc>
          <w:tcPr>
            <w:tcW w:w="394" w:type="pct"/>
            <w:noWrap/>
            <w:vAlign w:val="center"/>
          </w:tcPr>
          <w:p w:rsidR="00931885" w:rsidRPr="00F9522B" w:rsidRDefault="00931885" w:rsidP="00931885">
            <w:pPr>
              <w:widowControl/>
              <w:jc w:val="center"/>
              <w:rPr>
                <w:rFonts w:eastAsiaTheme="minorEastAsia"/>
                <w:kern w:val="0"/>
                <w:szCs w:val="21"/>
              </w:rPr>
            </w:pPr>
            <w:r w:rsidRPr="00F9522B">
              <w:rPr>
                <w:rFonts w:eastAsiaTheme="minorEastAsia"/>
                <w:kern w:val="0"/>
                <w:szCs w:val="21"/>
              </w:rPr>
              <w:t>5</w:t>
            </w:r>
          </w:p>
        </w:tc>
        <w:tc>
          <w:tcPr>
            <w:tcW w:w="907" w:type="pct"/>
            <w:noWrap/>
            <w:vAlign w:val="center"/>
          </w:tcPr>
          <w:p w:rsidR="00931885" w:rsidRPr="00F9522B" w:rsidRDefault="006C5A39" w:rsidP="00931885">
            <w:pPr>
              <w:widowControl/>
              <w:jc w:val="center"/>
              <w:rPr>
                <w:rFonts w:eastAsiaTheme="minorEastAsia"/>
                <w:kern w:val="0"/>
                <w:szCs w:val="21"/>
                <w:highlight w:val="yellow"/>
              </w:rPr>
            </w:pPr>
            <w:r w:rsidRPr="00F9522B">
              <w:rPr>
                <w:rFonts w:eastAsiaTheme="minorEastAsia"/>
                <w:kern w:val="0"/>
                <w:szCs w:val="21"/>
                <w:highlight w:val="yellow"/>
              </w:rPr>
              <w:t>126.926396803</w:t>
            </w:r>
            <w:r w:rsidRPr="00F9522B">
              <w:rPr>
                <w:rFonts w:eastAsiaTheme="minorEastAsia"/>
                <w:kern w:val="0"/>
                <w:szCs w:val="21"/>
                <w:highlight w:val="yellow"/>
              </w:rPr>
              <w:t>，</w:t>
            </w:r>
            <w:r w:rsidRPr="00F9522B">
              <w:rPr>
                <w:rFonts w:eastAsiaTheme="minorEastAsia"/>
                <w:kern w:val="0"/>
                <w:szCs w:val="21"/>
                <w:highlight w:val="yellow"/>
              </w:rPr>
              <w:t>46.2334378</w:t>
            </w:r>
          </w:p>
        </w:tc>
        <w:tc>
          <w:tcPr>
            <w:tcW w:w="1452" w:type="pct"/>
            <w:noWrap/>
            <w:vAlign w:val="center"/>
          </w:tcPr>
          <w:p w:rsidR="00931885" w:rsidRPr="00F9522B" w:rsidRDefault="00931885" w:rsidP="00931885">
            <w:pPr>
              <w:widowControl/>
              <w:jc w:val="center"/>
              <w:rPr>
                <w:rFonts w:eastAsiaTheme="minorEastAsia"/>
                <w:kern w:val="0"/>
                <w:szCs w:val="21"/>
              </w:rPr>
            </w:pPr>
            <w:r w:rsidRPr="00F9522B">
              <w:rPr>
                <w:rFonts w:eastAsiaTheme="minorEastAsia"/>
                <w:kern w:val="0"/>
                <w:szCs w:val="21"/>
              </w:rPr>
              <w:t>康金街道公家沟其他排污口</w:t>
            </w:r>
          </w:p>
        </w:tc>
        <w:tc>
          <w:tcPr>
            <w:tcW w:w="781" w:type="pct"/>
            <w:noWrap/>
            <w:vAlign w:val="center"/>
          </w:tcPr>
          <w:p w:rsidR="00931885" w:rsidRPr="00F9522B" w:rsidRDefault="00931885" w:rsidP="00931885">
            <w:pPr>
              <w:jc w:val="center"/>
            </w:pPr>
            <w:r w:rsidRPr="00F9522B">
              <w:rPr>
                <w:rFonts w:eastAsiaTheme="minorEastAsia"/>
                <w:kern w:val="0"/>
                <w:szCs w:val="21"/>
              </w:rPr>
              <w:t>其他排口</w:t>
            </w:r>
          </w:p>
        </w:tc>
        <w:tc>
          <w:tcPr>
            <w:tcW w:w="851" w:type="pct"/>
            <w:noWrap/>
            <w:vAlign w:val="center"/>
          </w:tcPr>
          <w:p w:rsidR="00931885" w:rsidRPr="00F9522B" w:rsidRDefault="00931885" w:rsidP="00931885">
            <w:pPr>
              <w:widowControl/>
              <w:jc w:val="center"/>
              <w:rPr>
                <w:rFonts w:eastAsiaTheme="minorEastAsia"/>
                <w:kern w:val="0"/>
                <w:szCs w:val="21"/>
              </w:rPr>
            </w:pPr>
            <w:r w:rsidRPr="00F9522B">
              <w:rPr>
                <w:rFonts w:eastAsiaTheme="minorEastAsia"/>
                <w:kern w:val="0"/>
                <w:szCs w:val="21"/>
              </w:rPr>
              <w:t>直接排放</w:t>
            </w:r>
          </w:p>
        </w:tc>
        <w:tc>
          <w:tcPr>
            <w:tcW w:w="614" w:type="pct"/>
            <w:noWrap/>
            <w:vAlign w:val="center"/>
          </w:tcPr>
          <w:p w:rsidR="00931885" w:rsidRPr="00F9522B" w:rsidRDefault="00931885" w:rsidP="00931885">
            <w:pPr>
              <w:jc w:val="center"/>
              <w:rPr>
                <w:rFonts w:eastAsiaTheme="minorEastAsia"/>
              </w:rPr>
            </w:pPr>
            <w:r w:rsidRPr="00F9522B">
              <w:rPr>
                <w:rFonts w:eastAsiaTheme="minorEastAsia"/>
                <w:kern w:val="0"/>
                <w:szCs w:val="21"/>
              </w:rPr>
              <w:t>松花江</w:t>
            </w:r>
          </w:p>
        </w:tc>
      </w:tr>
      <w:tr w:rsidR="00931885" w:rsidRPr="00F9522B" w:rsidTr="00931885">
        <w:trPr>
          <w:trHeight w:val="229"/>
        </w:trPr>
        <w:tc>
          <w:tcPr>
            <w:tcW w:w="394" w:type="pct"/>
            <w:noWrap/>
            <w:vAlign w:val="center"/>
          </w:tcPr>
          <w:p w:rsidR="00931885" w:rsidRPr="00F9522B" w:rsidRDefault="00931885" w:rsidP="00931885">
            <w:pPr>
              <w:widowControl/>
              <w:jc w:val="center"/>
              <w:rPr>
                <w:rFonts w:eastAsiaTheme="minorEastAsia"/>
                <w:kern w:val="0"/>
                <w:szCs w:val="21"/>
              </w:rPr>
            </w:pPr>
            <w:r w:rsidRPr="00F9522B">
              <w:rPr>
                <w:rFonts w:eastAsiaTheme="minorEastAsia"/>
                <w:kern w:val="0"/>
                <w:szCs w:val="21"/>
              </w:rPr>
              <w:t>6</w:t>
            </w:r>
          </w:p>
        </w:tc>
        <w:tc>
          <w:tcPr>
            <w:tcW w:w="907" w:type="pct"/>
            <w:noWrap/>
            <w:vAlign w:val="center"/>
          </w:tcPr>
          <w:p w:rsidR="00931885" w:rsidRPr="00F9522B" w:rsidRDefault="006C5A39" w:rsidP="006C5A39">
            <w:pPr>
              <w:widowControl/>
              <w:jc w:val="center"/>
              <w:rPr>
                <w:rFonts w:eastAsiaTheme="minorEastAsia"/>
                <w:kern w:val="0"/>
                <w:szCs w:val="21"/>
                <w:highlight w:val="yellow"/>
              </w:rPr>
            </w:pPr>
            <w:r w:rsidRPr="00F9522B">
              <w:rPr>
                <w:rFonts w:eastAsiaTheme="minorEastAsia"/>
                <w:kern w:val="0"/>
                <w:szCs w:val="21"/>
                <w:highlight w:val="yellow"/>
              </w:rPr>
              <w:t>126.895369009</w:t>
            </w:r>
            <w:r w:rsidRPr="00F9522B">
              <w:rPr>
                <w:rFonts w:eastAsiaTheme="minorEastAsia"/>
                <w:kern w:val="0"/>
                <w:szCs w:val="21"/>
                <w:highlight w:val="yellow"/>
              </w:rPr>
              <w:t>，</w:t>
            </w:r>
            <w:r w:rsidRPr="00F9522B">
              <w:rPr>
                <w:rFonts w:eastAsiaTheme="minorEastAsia"/>
                <w:kern w:val="0"/>
                <w:szCs w:val="21"/>
                <w:highlight w:val="yellow"/>
              </w:rPr>
              <w:t>46.0575970</w:t>
            </w:r>
          </w:p>
        </w:tc>
        <w:tc>
          <w:tcPr>
            <w:tcW w:w="1452" w:type="pct"/>
            <w:noWrap/>
            <w:vAlign w:val="center"/>
          </w:tcPr>
          <w:p w:rsidR="00931885" w:rsidRPr="00F9522B" w:rsidRDefault="00931885" w:rsidP="00931885">
            <w:pPr>
              <w:widowControl/>
              <w:jc w:val="center"/>
              <w:rPr>
                <w:rFonts w:eastAsiaTheme="minorEastAsia"/>
                <w:kern w:val="0"/>
                <w:szCs w:val="21"/>
              </w:rPr>
            </w:pPr>
            <w:r w:rsidRPr="00F9522B">
              <w:rPr>
                <w:rFonts w:eastAsiaTheme="minorEastAsia"/>
                <w:kern w:val="0"/>
                <w:szCs w:val="21"/>
              </w:rPr>
              <w:t>方台镇公家沟其他排污口</w:t>
            </w:r>
          </w:p>
        </w:tc>
        <w:tc>
          <w:tcPr>
            <w:tcW w:w="781" w:type="pct"/>
            <w:noWrap/>
            <w:vAlign w:val="center"/>
          </w:tcPr>
          <w:p w:rsidR="00931885" w:rsidRPr="00F9522B" w:rsidRDefault="00931885" w:rsidP="00931885">
            <w:pPr>
              <w:jc w:val="center"/>
            </w:pPr>
            <w:r w:rsidRPr="00F9522B">
              <w:rPr>
                <w:rFonts w:eastAsiaTheme="minorEastAsia"/>
                <w:kern w:val="0"/>
                <w:szCs w:val="21"/>
              </w:rPr>
              <w:t>其他排口</w:t>
            </w:r>
          </w:p>
        </w:tc>
        <w:tc>
          <w:tcPr>
            <w:tcW w:w="851" w:type="pct"/>
            <w:noWrap/>
            <w:vAlign w:val="center"/>
          </w:tcPr>
          <w:p w:rsidR="00931885" w:rsidRPr="00F9522B" w:rsidRDefault="00931885" w:rsidP="00931885">
            <w:pPr>
              <w:widowControl/>
              <w:jc w:val="center"/>
              <w:rPr>
                <w:rFonts w:eastAsiaTheme="minorEastAsia"/>
                <w:kern w:val="0"/>
                <w:szCs w:val="21"/>
              </w:rPr>
            </w:pPr>
            <w:r w:rsidRPr="00F9522B">
              <w:rPr>
                <w:rFonts w:eastAsiaTheme="minorEastAsia"/>
                <w:kern w:val="0"/>
                <w:szCs w:val="21"/>
              </w:rPr>
              <w:t>直接排放</w:t>
            </w:r>
          </w:p>
        </w:tc>
        <w:tc>
          <w:tcPr>
            <w:tcW w:w="614" w:type="pct"/>
            <w:noWrap/>
            <w:vAlign w:val="center"/>
          </w:tcPr>
          <w:p w:rsidR="00931885" w:rsidRPr="00F9522B" w:rsidRDefault="00931885" w:rsidP="00931885">
            <w:pPr>
              <w:jc w:val="center"/>
              <w:rPr>
                <w:rFonts w:eastAsiaTheme="minorEastAsia"/>
              </w:rPr>
            </w:pPr>
            <w:r w:rsidRPr="00F9522B">
              <w:rPr>
                <w:rFonts w:eastAsiaTheme="minorEastAsia"/>
                <w:kern w:val="0"/>
                <w:szCs w:val="21"/>
              </w:rPr>
              <w:t>松花江</w:t>
            </w:r>
          </w:p>
        </w:tc>
      </w:tr>
      <w:tr w:rsidR="00931885" w:rsidRPr="00F9522B" w:rsidTr="00931885">
        <w:trPr>
          <w:trHeight w:val="229"/>
        </w:trPr>
        <w:tc>
          <w:tcPr>
            <w:tcW w:w="394" w:type="pct"/>
            <w:noWrap/>
            <w:vAlign w:val="center"/>
          </w:tcPr>
          <w:p w:rsidR="00931885" w:rsidRPr="00F9522B" w:rsidRDefault="00931885" w:rsidP="00931885">
            <w:pPr>
              <w:widowControl/>
              <w:jc w:val="center"/>
              <w:rPr>
                <w:rFonts w:eastAsiaTheme="minorEastAsia"/>
                <w:kern w:val="0"/>
                <w:szCs w:val="21"/>
              </w:rPr>
            </w:pPr>
            <w:r w:rsidRPr="00F9522B">
              <w:rPr>
                <w:rFonts w:eastAsiaTheme="minorEastAsia"/>
                <w:kern w:val="0"/>
                <w:szCs w:val="21"/>
              </w:rPr>
              <w:t>7</w:t>
            </w:r>
          </w:p>
        </w:tc>
        <w:tc>
          <w:tcPr>
            <w:tcW w:w="907" w:type="pct"/>
            <w:noWrap/>
            <w:vAlign w:val="center"/>
          </w:tcPr>
          <w:p w:rsidR="00931885" w:rsidRPr="00F9522B" w:rsidRDefault="006C5A39" w:rsidP="00931885">
            <w:pPr>
              <w:widowControl/>
              <w:jc w:val="center"/>
              <w:rPr>
                <w:rFonts w:eastAsiaTheme="minorEastAsia"/>
                <w:kern w:val="0"/>
                <w:szCs w:val="21"/>
                <w:highlight w:val="yellow"/>
              </w:rPr>
            </w:pPr>
            <w:r w:rsidRPr="00F9522B">
              <w:rPr>
                <w:rFonts w:eastAsiaTheme="minorEastAsia"/>
                <w:kern w:val="0"/>
                <w:szCs w:val="21"/>
                <w:highlight w:val="yellow"/>
              </w:rPr>
              <w:t>127.013869004</w:t>
            </w:r>
            <w:r w:rsidRPr="00F9522B">
              <w:rPr>
                <w:rFonts w:eastAsiaTheme="minorEastAsia"/>
                <w:kern w:val="0"/>
                <w:szCs w:val="21"/>
                <w:highlight w:val="yellow"/>
              </w:rPr>
              <w:t>，</w:t>
            </w:r>
            <w:r w:rsidRPr="00F9522B">
              <w:rPr>
                <w:rFonts w:eastAsiaTheme="minorEastAsia"/>
                <w:kern w:val="0"/>
                <w:szCs w:val="21"/>
                <w:highlight w:val="yellow"/>
              </w:rPr>
              <w:t>46.269961</w:t>
            </w:r>
          </w:p>
        </w:tc>
        <w:tc>
          <w:tcPr>
            <w:tcW w:w="1452" w:type="pct"/>
            <w:noWrap/>
            <w:vAlign w:val="center"/>
          </w:tcPr>
          <w:p w:rsidR="00931885" w:rsidRPr="00F9522B" w:rsidRDefault="00931885" w:rsidP="00931885">
            <w:pPr>
              <w:widowControl/>
              <w:jc w:val="center"/>
              <w:rPr>
                <w:rFonts w:eastAsiaTheme="minorEastAsia"/>
                <w:kern w:val="0"/>
                <w:szCs w:val="21"/>
              </w:rPr>
            </w:pPr>
            <w:r w:rsidRPr="00F9522B">
              <w:rPr>
                <w:rFonts w:eastAsiaTheme="minorEastAsia"/>
                <w:kern w:val="0"/>
                <w:szCs w:val="21"/>
              </w:rPr>
              <w:t>石人镇漂河其他排污口</w:t>
            </w:r>
          </w:p>
        </w:tc>
        <w:tc>
          <w:tcPr>
            <w:tcW w:w="781" w:type="pct"/>
            <w:noWrap/>
            <w:vAlign w:val="center"/>
          </w:tcPr>
          <w:p w:rsidR="00931885" w:rsidRPr="00F9522B" w:rsidRDefault="00931885" w:rsidP="00931885">
            <w:pPr>
              <w:jc w:val="center"/>
            </w:pPr>
            <w:r w:rsidRPr="00F9522B">
              <w:rPr>
                <w:rFonts w:eastAsiaTheme="minorEastAsia"/>
                <w:kern w:val="0"/>
                <w:szCs w:val="21"/>
              </w:rPr>
              <w:t>其他排口</w:t>
            </w:r>
          </w:p>
        </w:tc>
        <w:tc>
          <w:tcPr>
            <w:tcW w:w="851" w:type="pct"/>
            <w:noWrap/>
            <w:vAlign w:val="center"/>
          </w:tcPr>
          <w:p w:rsidR="00931885" w:rsidRPr="00F9522B" w:rsidRDefault="00931885" w:rsidP="00931885">
            <w:pPr>
              <w:widowControl/>
              <w:jc w:val="center"/>
              <w:rPr>
                <w:rFonts w:eastAsiaTheme="minorEastAsia"/>
                <w:kern w:val="0"/>
                <w:szCs w:val="21"/>
              </w:rPr>
            </w:pPr>
            <w:r w:rsidRPr="00F9522B">
              <w:rPr>
                <w:rFonts w:eastAsiaTheme="minorEastAsia"/>
                <w:kern w:val="0"/>
                <w:szCs w:val="21"/>
              </w:rPr>
              <w:t>直接排放</w:t>
            </w:r>
          </w:p>
        </w:tc>
        <w:tc>
          <w:tcPr>
            <w:tcW w:w="614" w:type="pct"/>
            <w:noWrap/>
            <w:vAlign w:val="center"/>
          </w:tcPr>
          <w:p w:rsidR="00931885" w:rsidRPr="00F9522B" w:rsidRDefault="00931885" w:rsidP="00931885">
            <w:pPr>
              <w:jc w:val="center"/>
              <w:rPr>
                <w:rFonts w:eastAsiaTheme="minorEastAsia"/>
                <w:kern w:val="0"/>
                <w:szCs w:val="21"/>
              </w:rPr>
            </w:pPr>
            <w:r w:rsidRPr="00F9522B">
              <w:rPr>
                <w:rFonts w:eastAsiaTheme="minorEastAsia"/>
                <w:kern w:val="0"/>
                <w:szCs w:val="21"/>
              </w:rPr>
              <w:t>漂河</w:t>
            </w:r>
          </w:p>
        </w:tc>
      </w:tr>
      <w:tr w:rsidR="00931885" w:rsidRPr="00F9522B" w:rsidTr="00931885">
        <w:trPr>
          <w:trHeight w:val="229"/>
        </w:trPr>
        <w:tc>
          <w:tcPr>
            <w:tcW w:w="394" w:type="pct"/>
            <w:noWrap/>
            <w:vAlign w:val="center"/>
          </w:tcPr>
          <w:p w:rsidR="00931885" w:rsidRPr="00F9522B" w:rsidRDefault="00931885" w:rsidP="00931885">
            <w:pPr>
              <w:widowControl/>
              <w:jc w:val="center"/>
              <w:rPr>
                <w:rFonts w:eastAsiaTheme="minorEastAsia"/>
                <w:kern w:val="0"/>
                <w:szCs w:val="21"/>
              </w:rPr>
            </w:pPr>
            <w:r w:rsidRPr="00F9522B">
              <w:rPr>
                <w:rFonts w:eastAsiaTheme="minorEastAsia"/>
                <w:kern w:val="0"/>
                <w:szCs w:val="21"/>
              </w:rPr>
              <w:t>8</w:t>
            </w:r>
          </w:p>
        </w:tc>
        <w:tc>
          <w:tcPr>
            <w:tcW w:w="907" w:type="pct"/>
            <w:noWrap/>
            <w:vAlign w:val="center"/>
          </w:tcPr>
          <w:p w:rsidR="00931885" w:rsidRPr="00F9522B" w:rsidRDefault="006C5A39" w:rsidP="006C5A39">
            <w:pPr>
              <w:widowControl/>
              <w:jc w:val="center"/>
              <w:rPr>
                <w:rFonts w:eastAsiaTheme="minorEastAsia"/>
                <w:kern w:val="0"/>
                <w:szCs w:val="21"/>
                <w:highlight w:val="yellow"/>
              </w:rPr>
            </w:pPr>
            <w:r w:rsidRPr="00F9522B">
              <w:rPr>
                <w:rFonts w:eastAsiaTheme="minorEastAsia"/>
                <w:kern w:val="0"/>
                <w:szCs w:val="21"/>
                <w:highlight w:val="yellow"/>
              </w:rPr>
              <w:t>127.062395529</w:t>
            </w:r>
            <w:r w:rsidRPr="00F9522B">
              <w:rPr>
                <w:rFonts w:eastAsiaTheme="minorEastAsia"/>
                <w:kern w:val="0"/>
                <w:szCs w:val="21"/>
                <w:highlight w:val="yellow"/>
              </w:rPr>
              <w:t>，</w:t>
            </w:r>
            <w:r w:rsidRPr="00F9522B">
              <w:rPr>
                <w:rFonts w:eastAsiaTheme="minorEastAsia"/>
                <w:kern w:val="0"/>
                <w:szCs w:val="21"/>
                <w:highlight w:val="yellow"/>
              </w:rPr>
              <w:t>46.1847617</w:t>
            </w:r>
          </w:p>
        </w:tc>
        <w:tc>
          <w:tcPr>
            <w:tcW w:w="1452" w:type="pct"/>
            <w:noWrap/>
            <w:vAlign w:val="center"/>
          </w:tcPr>
          <w:p w:rsidR="00931885" w:rsidRPr="00F9522B" w:rsidRDefault="00931885" w:rsidP="00931885">
            <w:pPr>
              <w:widowControl/>
              <w:jc w:val="center"/>
              <w:rPr>
                <w:rFonts w:eastAsiaTheme="minorEastAsia"/>
                <w:kern w:val="0"/>
                <w:szCs w:val="21"/>
              </w:rPr>
            </w:pPr>
            <w:r w:rsidRPr="00F9522B">
              <w:rPr>
                <w:rFonts w:eastAsiaTheme="minorEastAsia"/>
                <w:kern w:val="0"/>
                <w:szCs w:val="21"/>
              </w:rPr>
              <w:t>二八镇漂河其他排污口</w:t>
            </w:r>
          </w:p>
        </w:tc>
        <w:tc>
          <w:tcPr>
            <w:tcW w:w="781" w:type="pct"/>
            <w:noWrap/>
            <w:vAlign w:val="center"/>
          </w:tcPr>
          <w:p w:rsidR="00931885" w:rsidRPr="00F9522B" w:rsidRDefault="00931885" w:rsidP="00931885">
            <w:pPr>
              <w:jc w:val="center"/>
            </w:pPr>
            <w:r w:rsidRPr="00F9522B">
              <w:rPr>
                <w:rFonts w:eastAsiaTheme="minorEastAsia"/>
                <w:kern w:val="0"/>
                <w:szCs w:val="21"/>
              </w:rPr>
              <w:t>其他排口</w:t>
            </w:r>
          </w:p>
        </w:tc>
        <w:tc>
          <w:tcPr>
            <w:tcW w:w="851" w:type="pct"/>
            <w:noWrap/>
            <w:vAlign w:val="center"/>
          </w:tcPr>
          <w:p w:rsidR="00931885" w:rsidRPr="00F9522B" w:rsidRDefault="00931885" w:rsidP="00931885">
            <w:pPr>
              <w:widowControl/>
              <w:jc w:val="center"/>
              <w:rPr>
                <w:rFonts w:eastAsiaTheme="minorEastAsia"/>
                <w:kern w:val="0"/>
                <w:szCs w:val="21"/>
              </w:rPr>
            </w:pPr>
            <w:r w:rsidRPr="00F9522B">
              <w:rPr>
                <w:rFonts w:eastAsiaTheme="minorEastAsia"/>
                <w:kern w:val="0"/>
                <w:szCs w:val="21"/>
              </w:rPr>
              <w:t>直接排放</w:t>
            </w:r>
          </w:p>
        </w:tc>
        <w:tc>
          <w:tcPr>
            <w:tcW w:w="614" w:type="pct"/>
            <w:noWrap/>
            <w:vAlign w:val="center"/>
          </w:tcPr>
          <w:p w:rsidR="00931885" w:rsidRPr="00F9522B" w:rsidRDefault="00931885" w:rsidP="00931885">
            <w:pPr>
              <w:jc w:val="center"/>
              <w:rPr>
                <w:rFonts w:eastAsiaTheme="minorEastAsia"/>
                <w:kern w:val="0"/>
                <w:szCs w:val="21"/>
              </w:rPr>
            </w:pPr>
            <w:r w:rsidRPr="00F9522B">
              <w:rPr>
                <w:rFonts w:eastAsiaTheme="minorEastAsia"/>
                <w:kern w:val="0"/>
                <w:szCs w:val="21"/>
              </w:rPr>
              <w:t>漂河</w:t>
            </w:r>
          </w:p>
        </w:tc>
      </w:tr>
      <w:tr w:rsidR="00931885" w:rsidRPr="00F9522B" w:rsidTr="00931885">
        <w:trPr>
          <w:trHeight w:val="229"/>
        </w:trPr>
        <w:tc>
          <w:tcPr>
            <w:tcW w:w="394" w:type="pct"/>
            <w:noWrap/>
            <w:vAlign w:val="center"/>
          </w:tcPr>
          <w:p w:rsidR="00931885" w:rsidRPr="00F9522B" w:rsidRDefault="00931885" w:rsidP="00931885">
            <w:pPr>
              <w:widowControl/>
              <w:jc w:val="center"/>
              <w:rPr>
                <w:rFonts w:eastAsiaTheme="minorEastAsia"/>
                <w:kern w:val="0"/>
                <w:szCs w:val="21"/>
              </w:rPr>
            </w:pPr>
            <w:r w:rsidRPr="00F9522B">
              <w:rPr>
                <w:rFonts w:eastAsiaTheme="minorEastAsia"/>
                <w:kern w:val="0"/>
                <w:szCs w:val="21"/>
              </w:rPr>
              <w:t>9</w:t>
            </w:r>
          </w:p>
        </w:tc>
        <w:tc>
          <w:tcPr>
            <w:tcW w:w="907" w:type="pct"/>
            <w:noWrap/>
            <w:vAlign w:val="center"/>
          </w:tcPr>
          <w:p w:rsidR="00931885" w:rsidRPr="00F9522B" w:rsidRDefault="006C5A39" w:rsidP="006C5A39">
            <w:pPr>
              <w:widowControl/>
              <w:jc w:val="center"/>
              <w:rPr>
                <w:rFonts w:eastAsiaTheme="minorEastAsia"/>
                <w:kern w:val="0"/>
                <w:szCs w:val="21"/>
                <w:highlight w:val="yellow"/>
              </w:rPr>
            </w:pPr>
            <w:r w:rsidRPr="00F9522B">
              <w:rPr>
                <w:rFonts w:eastAsiaTheme="minorEastAsia"/>
                <w:kern w:val="0"/>
                <w:szCs w:val="21"/>
                <w:highlight w:val="yellow"/>
              </w:rPr>
              <w:t>127.029557047</w:t>
            </w:r>
            <w:r w:rsidRPr="00F9522B">
              <w:rPr>
                <w:rFonts w:eastAsiaTheme="minorEastAsia"/>
                <w:kern w:val="0"/>
                <w:szCs w:val="21"/>
                <w:highlight w:val="yellow"/>
              </w:rPr>
              <w:t>，</w:t>
            </w:r>
            <w:r w:rsidRPr="00F9522B">
              <w:rPr>
                <w:rFonts w:eastAsiaTheme="minorEastAsia"/>
                <w:kern w:val="0"/>
                <w:szCs w:val="21"/>
                <w:highlight w:val="yellow"/>
              </w:rPr>
              <w:t>46.2280209</w:t>
            </w:r>
          </w:p>
        </w:tc>
        <w:tc>
          <w:tcPr>
            <w:tcW w:w="1452" w:type="pct"/>
            <w:noWrap/>
            <w:vAlign w:val="center"/>
          </w:tcPr>
          <w:p w:rsidR="00931885" w:rsidRPr="00F9522B" w:rsidRDefault="00931885" w:rsidP="00931885">
            <w:pPr>
              <w:widowControl/>
              <w:jc w:val="center"/>
              <w:rPr>
                <w:rFonts w:eastAsiaTheme="minorEastAsia"/>
                <w:kern w:val="0"/>
                <w:szCs w:val="21"/>
              </w:rPr>
            </w:pPr>
            <w:r w:rsidRPr="00F9522B">
              <w:rPr>
                <w:rFonts w:eastAsiaTheme="minorEastAsia"/>
                <w:kern w:val="0"/>
                <w:szCs w:val="21"/>
              </w:rPr>
              <w:t>康金街道漂河其他排污口</w:t>
            </w:r>
          </w:p>
        </w:tc>
        <w:tc>
          <w:tcPr>
            <w:tcW w:w="781" w:type="pct"/>
            <w:noWrap/>
            <w:vAlign w:val="center"/>
          </w:tcPr>
          <w:p w:rsidR="00931885" w:rsidRPr="00F9522B" w:rsidRDefault="00931885" w:rsidP="00931885">
            <w:pPr>
              <w:jc w:val="center"/>
            </w:pPr>
            <w:r w:rsidRPr="00F9522B">
              <w:rPr>
                <w:rFonts w:eastAsiaTheme="minorEastAsia"/>
                <w:kern w:val="0"/>
                <w:szCs w:val="21"/>
              </w:rPr>
              <w:t>其他排口</w:t>
            </w:r>
          </w:p>
        </w:tc>
        <w:tc>
          <w:tcPr>
            <w:tcW w:w="851" w:type="pct"/>
            <w:noWrap/>
            <w:vAlign w:val="center"/>
          </w:tcPr>
          <w:p w:rsidR="00931885" w:rsidRPr="00F9522B" w:rsidRDefault="00931885" w:rsidP="00931885">
            <w:pPr>
              <w:widowControl/>
              <w:jc w:val="center"/>
              <w:rPr>
                <w:rFonts w:eastAsiaTheme="minorEastAsia"/>
                <w:kern w:val="0"/>
                <w:szCs w:val="21"/>
              </w:rPr>
            </w:pPr>
            <w:r w:rsidRPr="00F9522B">
              <w:rPr>
                <w:rFonts w:eastAsiaTheme="minorEastAsia"/>
                <w:kern w:val="0"/>
                <w:szCs w:val="21"/>
              </w:rPr>
              <w:t>直接排放</w:t>
            </w:r>
          </w:p>
        </w:tc>
        <w:tc>
          <w:tcPr>
            <w:tcW w:w="614" w:type="pct"/>
            <w:noWrap/>
            <w:vAlign w:val="center"/>
          </w:tcPr>
          <w:p w:rsidR="00931885" w:rsidRPr="00F9522B" w:rsidRDefault="00931885" w:rsidP="00931885">
            <w:pPr>
              <w:jc w:val="center"/>
              <w:rPr>
                <w:rFonts w:eastAsiaTheme="minorEastAsia"/>
                <w:kern w:val="0"/>
                <w:szCs w:val="21"/>
              </w:rPr>
            </w:pPr>
            <w:r w:rsidRPr="00F9522B">
              <w:rPr>
                <w:rFonts w:eastAsiaTheme="minorEastAsia"/>
                <w:kern w:val="0"/>
                <w:szCs w:val="21"/>
              </w:rPr>
              <w:t>漂河</w:t>
            </w:r>
          </w:p>
        </w:tc>
      </w:tr>
    </w:tbl>
    <w:p w:rsidR="002A5A5E" w:rsidRPr="00F9522B" w:rsidRDefault="002A5A5E">
      <w:pPr>
        <w:pStyle w:val="aff4"/>
        <w:adjustRightInd/>
        <w:snapToGrid/>
        <w:contextualSpacing/>
        <w:rPr>
          <w:rFonts w:ascii="Times New Roman" w:hAnsi="Times New Roman" w:cs="Times New Roman"/>
          <w:smallCaps/>
          <w:szCs w:val="22"/>
        </w:rPr>
        <w:sectPr w:rsidR="002A5A5E" w:rsidRPr="00F9522B">
          <w:pgSz w:w="11906" w:h="16838"/>
          <w:pgMar w:top="1440" w:right="1800" w:bottom="1440" w:left="1800" w:header="851" w:footer="992" w:gutter="0"/>
          <w:cols w:space="425"/>
          <w:docGrid w:type="lines" w:linePitch="312"/>
        </w:sectPr>
      </w:pPr>
    </w:p>
    <w:p w:rsidR="002A5A5E" w:rsidRPr="00F9522B" w:rsidRDefault="005273A1">
      <w:pPr>
        <w:pStyle w:val="aff4"/>
        <w:adjustRightInd/>
        <w:snapToGrid/>
        <w:ind w:firstLineChars="0" w:firstLine="0"/>
        <w:contextualSpacing/>
        <w:jc w:val="center"/>
        <w:rPr>
          <w:rFonts w:ascii="Times New Roman" w:hAnsi="Times New Roman" w:cs="Times New Roman"/>
          <w:smallCaps/>
          <w:szCs w:val="22"/>
        </w:rPr>
      </w:pPr>
      <w:r>
        <w:rPr>
          <w:rFonts w:ascii="Times New Roman" w:hAnsi="Times New Roman" w:cs="Times New Roman"/>
          <w:smallCaps/>
          <w:szCs w:val="22"/>
        </w:rPr>
        <w:lastRenderedPageBreak/>
        <w:pict>
          <v:shape id="_x0000_s697096" type="#_x0000_t202" style="position:absolute;left:0;text-align:left;margin-left:93.45pt;margin-top:339pt;width:124.25pt;height:92.45pt;z-index:251773952">
            <v:textbox>
              <w:txbxContent>
                <w:p w:rsidR="000D2D13" w:rsidRDefault="000D2D13">
                  <w:pPr>
                    <w:jc w:val="center"/>
                  </w:pPr>
                  <w:r>
                    <w:rPr>
                      <w:rFonts w:hint="eastAsia"/>
                    </w:rPr>
                    <w:t>图例</w:t>
                  </w:r>
                </w:p>
                <w:p w:rsidR="000D2D13" w:rsidRDefault="000D2D13">
                  <w:pPr>
                    <w:jc w:val="left"/>
                  </w:pPr>
                  <w:r>
                    <w:t>本项目入河排污口</w:t>
                  </w:r>
                  <w:r>
                    <w:rPr>
                      <w:rFonts w:hint="eastAsia"/>
                    </w:rPr>
                    <w:t>：</w:t>
                  </w:r>
                  <w:r>
                    <w:rPr>
                      <w:noProof/>
                    </w:rPr>
                    <w:drawing>
                      <wp:inline distT="0" distB="0" distL="0" distR="0">
                        <wp:extent cx="178435" cy="196215"/>
                        <wp:effectExtent l="1905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61"/>
                                <a:srcRect/>
                                <a:stretch>
                                  <a:fillRect/>
                                </a:stretch>
                              </pic:blipFill>
                              <pic:spPr>
                                <a:xfrm>
                                  <a:off x="0" y="0"/>
                                  <a:ext cx="178435" cy="196215"/>
                                </a:xfrm>
                                <a:prstGeom prst="rect">
                                  <a:avLst/>
                                </a:prstGeom>
                                <a:noFill/>
                                <a:ln w="9525">
                                  <a:noFill/>
                                  <a:miter lim="800000"/>
                                  <a:headEnd/>
                                  <a:tailEnd/>
                                </a:ln>
                              </pic:spPr>
                            </pic:pic>
                          </a:graphicData>
                        </a:graphic>
                      </wp:inline>
                    </w:drawing>
                  </w:r>
                </w:p>
                <w:p w:rsidR="000D2D13" w:rsidRDefault="000D2D13">
                  <w:pPr>
                    <w:jc w:val="left"/>
                  </w:pPr>
                  <w:r>
                    <w:rPr>
                      <w:rFonts w:hint="eastAsia"/>
                    </w:rPr>
                    <w:t>其他排污口：</w:t>
                  </w:r>
                </w:p>
                <w:p w:rsidR="000D2D13" w:rsidRDefault="000D2D13">
                  <w:r>
                    <w:t>比例尺：</w:t>
                  </w:r>
                  <w:r>
                    <w:rPr>
                      <w:rFonts w:hint="eastAsia"/>
                    </w:rPr>
                    <w:t>1:199993</w:t>
                  </w:r>
                </w:p>
              </w:txbxContent>
            </v:textbox>
          </v:shape>
        </w:pict>
      </w:r>
      <w:r w:rsidR="00565A50" w:rsidRPr="00F9522B">
        <w:rPr>
          <w:rFonts w:ascii="Times New Roman" w:hAnsi="Times New Roman" w:cs="Times New Roman"/>
          <w:smallCaps/>
          <w:noProof/>
          <w:szCs w:val="22"/>
        </w:rPr>
        <w:drawing>
          <wp:anchor distT="0" distB="0" distL="114300" distR="114300" simplePos="0" relativeHeight="251774976" behindDoc="0" locked="0" layoutInCell="1" allowOverlap="1">
            <wp:simplePos x="0" y="0"/>
            <wp:positionH relativeFrom="column">
              <wp:posOffset>8161737</wp:posOffset>
            </wp:positionH>
            <wp:positionV relativeFrom="paragraph">
              <wp:posOffset>77206</wp:posOffset>
            </wp:positionV>
            <wp:extent cx="693470" cy="688769"/>
            <wp:effectExtent l="19050" t="0" r="0" b="0"/>
            <wp:wrapNone/>
            <wp:docPr id="69"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37"/>
                    <pic:cNvPicPr>
                      <a:picLocks noChangeAspect="1" noChangeArrowheads="1"/>
                    </pic:cNvPicPr>
                  </pic:nvPicPr>
                  <pic:blipFill>
                    <a:blip r:embed="rId25"/>
                    <a:srcRect/>
                    <a:stretch>
                      <a:fillRect/>
                    </a:stretch>
                  </pic:blipFill>
                  <pic:spPr>
                    <a:xfrm>
                      <a:off x="0" y="0"/>
                      <a:ext cx="693470" cy="688769"/>
                    </a:xfrm>
                    <a:prstGeom prst="rect">
                      <a:avLst/>
                    </a:prstGeom>
                    <a:noFill/>
                    <a:ln w="9525">
                      <a:noFill/>
                      <a:miter lim="800000"/>
                      <a:headEnd/>
                      <a:tailEnd/>
                    </a:ln>
                  </pic:spPr>
                </pic:pic>
              </a:graphicData>
            </a:graphic>
          </wp:anchor>
        </w:drawing>
      </w:r>
      <w:r w:rsidR="00C71479" w:rsidRPr="00F9522B">
        <w:rPr>
          <w:rFonts w:ascii="Times New Roman" w:hAnsi="Times New Roman" w:cs="Times New Roman"/>
          <w:smallCaps/>
          <w:noProof/>
          <w:szCs w:val="22"/>
        </w:rPr>
        <w:drawing>
          <wp:anchor distT="0" distB="0" distL="114300" distR="114300" simplePos="0" relativeHeight="251813888" behindDoc="0" locked="0" layoutInCell="1" allowOverlap="1">
            <wp:simplePos x="0" y="0"/>
            <wp:positionH relativeFrom="column">
              <wp:posOffset>2276475</wp:posOffset>
            </wp:positionH>
            <wp:positionV relativeFrom="paragraph">
              <wp:posOffset>4929505</wp:posOffset>
            </wp:positionV>
            <wp:extent cx="150495" cy="180340"/>
            <wp:effectExtent l="19050" t="0" r="1905" b="0"/>
            <wp:wrapNone/>
            <wp:docPr id="16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19"/>
                    <pic:cNvPicPr>
                      <a:picLocks noChangeAspect="1" noChangeArrowheads="1"/>
                    </pic:cNvPicPr>
                  </pic:nvPicPr>
                  <pic:blipFill>
                    <a:blip r:embed="rId92"/>
                    <a:srcRect/>
                    <a:stretch>
                      <a:fillRect/>
                    </a:stretch>
                  </pic:blipFill>
                  <pic:spPr>
                    <a:xfrm>
                      <a:off x="0" y="0"/>
                      <a:ext cx="150495" cy="180340"/>
                    </a:xfrm>
                    <a:prstGeom prst="rect">
                      <a:avLst/>
                    </a:prstGeom>
                    <a:noFill/>
                    <a:ln w="9525">
                      <a:noFill/>
                      <a:miter lim="800000"/>
                      <a:headEnd/>
                      <a:tailEnd/>
                    </a:ln>
                  </pic:spPr>
                </pic:pic>
              </a:graphicData>
            </a:graphic>
          </wp:anchor>
        </w:drawing>
      </w:r>
      <w:r w:rsidR="00C71479" w:rsidRPr="00F9522B">
        <w:rPr>
          <w:rFonts w:ascii="Times New Roman" w:hAnsi="Times New Roman" w:cs="Times New Roman"/>
          <w:smallCaps/>
          <w:szCs w:val="22"/>
        </w:rPr>
        <w:t xml:space="preserve"> </w:t>
      </w:r>
      <w:r w:rsidR="00C71479" w:rsidRPr="00F9522B">
        <w:rPr>
          <w:rFonts w:ascii="Times New Roman" w:hAnsi="Times New Roman" w:cs="Times New Roman"/>
          <w:smallCaps/>
          <w:noProof/>
          <w:szCs w:val="22"/>
        </w:rPr>
        <w:drawing>
          <wp:inline distT="0" distB="0" distL="0" distR="0">
            <wp:extent cx="7676609" cy="5413614"/>
            <wp:effectExtent l="19050" t="19050" r="19591" b="15636"/>
            <wp:docPr id="3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3"/>
                    <a:srcRect/>
                    <a:stretch>
                      <a:fillRect/>
                    </a:stretch>
                  </pic:blipFill>
                  <pic:spPr bwMode="auto">
                    <a:xfrm>
                      <a:off x="0" y="0"/>
                      <a:ext cx="7686929" cy="5420891"/>
                    </a:xfrm>
                    <a:prstGeom prst="rect">
                      <a:avLst/>
                    </a:prstGeom>
                    <a:noFill/>
                    <a:ln w="9525">
                      <a:solidFill>
                        <a:schemeClr val="tx1"/>
                      </a:solidFill>
                      <a:miter lim="800000"/>
                      <a:headEnd/>
                      <a:tailEnd/>
                    </a:ln>
                  </pic:spPr>
                </pic:pic>
              </a:graphicData>
            </a:graphic>
          </wp:inline>
        </w:drawing>
      </w:r>
    </w:p>
    <w:p w:rsidR="002A5A5E" w:rsidRPr="00F9522B" w:rsidRDefault="00611CBA">
      <w:pPr>
        <w:pStyle w:val="aff4"/>
        <w:adjustRightInd/>
        <w:snapToGrid/>
        <w:ind w:firstLineChars="0" w:firstLine="0"/>
        <w:contextualSpacing/>
        <w:jc w:val="center"/>
        <w:rPr>
          <w:rFonts w:ascii="Times New Roman" w:hAnsi="Times New Roman" w:cs="Times New Roman"/>
          <w:b/>
          <w:smallCaps/>
          <w:sz w:val="21"/>
          <w:szCs w:val="21"/>
        </w:rPr>
        <w:sectPr w:rsidR="002A5A5E" w:rsidRPr="00F9522B">
          <w:pgSz w:w="16838" w:h="11906" w:orient="landscape"/>
          <w:pgMar w:top="567" w:right="567" w:bottom="567" w:left="567" w:header="851" w:footer="992" w:gutter="0"/>
          <w:cols w:space="425"/>
          <w:docGrid w:type="lines" w:linePitch="312"/>
        </w:sectPr>
      </w:pPr>
      <w:r w:rsidRPr="00F9522B">
        <w:rPr>
          <w:rFonts w:ascii="Times New Roman" w:hAnsi="Times New Roman" w:cs="Times New Roman"/>
          <w:b/>
          <w:smallCaps/>
          <w:sz w:val="21"/>
          <w:szCs w:val="21"/>
        </w:rPr>
        <w:t>图</w:t>
      </w:r>
      <w:r w:rsidRPr="00F9522B">
        <w:rPr>
          <w:rFonts w:ascii="Times New Roman" w:hAnsi="Times New Roman" w:cs="Times New Roman"/>
          <w:b/>
          <w:smallCaps/>
          <w:sz w:val="21"/>
          <w:szCs w:val="21"/>
        </w:rPr>
        <w:t>4-3-1</w:t>
      </w:r>
      <w:r w:rsidRPr="00F9522B">
        <w:rPr>
          <w:rFonts w:ascii="Times New Roman" w:hAnsi="Times New Roman" w:cs="Times New Roman"/>
          <w:b/>
          <w:smallCaps/>
          <w:sz w:val="21"/>
          <w:szCs w:val="21"/>
        </w:rPr>
        <w:t>项目区域入河排污口分布图</w:t>
      </w:r>
    </w:p>
    <w:p w:rsidR="002A5A5E" w:rsidRPr="00F9522B" w:rsidRDefault="00611CBA">
      <w:pPr>
        <w:spacing w:line="360" w:lineRule="auto"/>
        <w:outlineLvl w:val="2"/>
        <w:rPr>
          <w:rFonts w:eastAsiaTheme="minorEastAsia"/>
          <w:b/>
          <w:sz w:val="28"/>
          <w:szCs w:val="28"/>
        </w:rPr>
      </w:pPr>
      <w:r w:rsidRPr="00F9522B">
        <w:rPr>
          <w:rFonts w:eastAsiaTheme="minorEastAsia"/>
          <w:b/>
          <w:sz w:val="28"/>
          <w:szCs w:val="28"/>
        </w:rPr>
        <w:lastRenderedPageBreak/>
        <w:t>4.3.</w:t>
      </w:r>
      <w:bookmarkEnd w:id="117"/>
      <w:r w:rsidRPr="00F9522B">
        <w:rPr>
          <w:rFonts w:eastAsiaTheme="minorEastAsia"/>
          <w:b/>
          <w:sz w:val="28"/>
          <w:szCs w:val="28"/>
        </w:rPr>
        <w:t>2</w:t>
      </w:r>
      <w:r w:rsidRPr="00F9522B">
        <w:rPr>
          <w:rFonts w:eastAsiaTheme="minorEastAsia"/>
          <w:b/>
          <w:sz w:val="28"/>
          <w:szCs w:val="28"/>
        </w:rPr>
        <w:t>面源污染物调查</w:t>
      </w:r>
    </w:p>
    <w:p w:rsidR="002A5A5E" w:rsidRPr="00F9522B" w:rsidRDefault="00611CBA">
      <w:pPr>
        <w:pStyle w:val="aff4"/>
        <w:adjustRightInd/>
        <w:snapToGrid/>
        <w:contextualSpacing/>
        <w:rPr>
          <w:rFonts w:ascii="Times New Roman" w:hAnsi="Times New Roman" w:cs="Times New Roman"/>
          <w:smallCaps/>
          <w:szCs w:val="22"/>
        </w:rPr>
      </w:pPr>
      <w:r w:rsidRPr="00F9522B">
        <w:rPr>
          <w:rFonts w:ascii="Times New Roman" w:hAnsi="Times New Roman" w:cs="Times New Roman"/>
          <w:smallCaps/>
          <w:szCs w:val="22"/>
        </w:rPr>
        <w:t>（</w:t>
      </w:r>
      <w:r w:rsidRPr="00F9522B">
        <w:rPr>
          <w:rFonts w:ascii="Times New Roman" w:hAnsi="Times New Roman" w:cs="Times New Roman"/>
          <w:smallCaps/>
          <w:szCs w:val="22"/>
        </w:rPr>
        <w:t>1</w:t>
      </w:r>
      <w:r w:rsidRPr="00F9522B">
        <w:rPr>
          <w:rFonts w:ascii="Times New Roman" w:hAnsi="Times New Roman" w:cs="Times New Roman"/>
          <w:smallCaps/>
          <w:szCs w:val="22"/>
        </w:rPr>
        <w:t>）农村生活污染</w:t>
      </w:r>
    </w:p>
    <w:p w:rsidR="002A5A5E" w:rsidRPr="00F9522B" w:rsidRDefault="00611CBA">
      <w:pPr>
        <w:pStyle w:val="aff4"/>
        <w:adjustRightInd/>
        <w:snapToGrid/>
        <w:contextualSpacing/>
        <w:rPr>
          <w:rFonts w:ascii="Times New Roman" w:hAnsi="Times New Roman" w:cs="Times New Roman"/>
        </w:rPr>
      </w:pPr>
      <w:r w:rsidRPr="00F9522B">
        <w:rPr>
          <w:rFonts w:ascii="Times New Roman" w:hAnsi="Times New Roman" w:cs="Times New Roman"/>
          <w:smallCaps/>
          <w:szCs w:val="22"/>
        </w:rPr>
        <w:t>工程所在区域农村生活缺乏有效的排水措施，生活污水散排，污水下渗而污染物在沟渠中大量累积，在较大的降雨径流冲刷作用下，这些污染物大多向河道运移。农村生活污水污染主要来自两方面，一是粪便，通常置于旱厕中，用于农田堆肥；二是其他生活污水，一般就地排放，渗入土壤，形成面源污染。</w:t>
      </w:r>
    </w:p>
    <w:p w:rsidR="002A5A5E" w:rsidRPr="00F9522B" w:rsidRDefault="00611CBA">
      <w:pPr>
        <w:pStyle w:val="aff4"/>
        <w:adjustRightInd/>
        <w:snapToGrid/>
        <w:contextualSpacing/>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2</w:t>
      </w:r>
      <w:r w:rsidRPr="00F9522B">
        <w:rPr>
          <w:rFonts w:ascii="Times New Roman" w:hAnsi="Times New Roman" w:cs="Times New Roman"/>
        </w:rPr>
        <w:t>）农业面源</w:t>
      </w:r>
    </w:p>
    <w:p w:rsidR="002A5A5E" w:rsidRPr="00F9522B" w:rsidRDefault="00611CBA">
      <w:pPr>
        <w:pStyle w:val="aff4"/>
        <w:adjustRightInd/>
        <w:snapToGrid/>
        <w:contextualSpacing/>
        <w:rPr>
          <w:rFonts w:ascii="Times New Roman" w:hAnsi="Times New Roman" w:cs="Times New Roman"/>
        </w:rPr>
      </w:pPr>
      <w:r w:rsidRPr="00F9522B">
        <w:rPr>
          <w:rFonts w:ascii="Times New Roman" w:hAnsi="Times New Roman" w:cs="Times New Roman"/>
          <w:smallCaps/>
          <w:szCs w:val="22"/>
        </w:rPr>
        <w:t>工程所在区域分布有大量的农田，造成农业面源污染。农田径流污染主要来源如下：</w:t>
      </w:r>
      <w:r w:rsidRPr="00F9522B">
        <w:rPr>
          <w:rFonts w:ascii="Times New Roman" w:hAnsi="Times New Roman" w:cs="Times New Roman"/>
          <w:smallCaps/>
          <w:szCs w:val="22"/>
        </w:rPr>
        <w:t>1</w:t>
      </w:r>
      <w:r w:rsidRPr="00F9522B">
        <w:rPr>
          <w:rFonts w:ascii="Times New Roman" w:hAnsi="Times New Roman" w:cs="Times New Roman"/>
          <w:smallCaps/>
          <w:szCs w:val="22"/>
        </w:rPr>
        <w:t>）农田化肥、农药施用不当，加上不合理的农田灌溉，导致氮、磷污染物通过农田的地表径流和农田渗漏流入河道；</w:t>
      </w:r>
      <w:r w:rsidRPr="00F9522B">
        <w:rPr>
          <w:rFonts w:ascii="Times New Roman" w:hAnsi="Times New Roman" w:cs="Times New Roman"/>
          <w:smallCaps/>
          <w:szCs w:val="22"/>
        </w:rPr>
        <w:t>2</w:t>
      </w:r>
      <w:r w:rsidRPr="00F9522B">
        <w:rPr>
          <w:rFonts w:ascii="Times New Roman" w:hAnsi="Times New Roman" w:cs="Times New Roman"/>
          <w:smallCaps/>
          <w:szCs w:val="22"/>
        </w:rPr>
        <w:t>）农作物秸秆除部分用作牲畜饲草、饲料外，其余存放于房前屋后进行露天沤肥，或在田间地头焚烧，导致土壤中总氮、总磷和易腐有机质含量增加。</w:t>
      </w:r>
      <w:r w:rsidRPr="00F9522B">
        <w:rPr>
          <w:rFonts w:ascii="Times New Roman" w:hAnsi="Times New Roman" w:cs="Times New Roman"/>
          <w:smallCaps/>
          <w:szCs w:val="22"/>
        </w:rPr>
        <w:t>3</w:t>
      </w:r>
      <w:r w:rsidRPr="00F9522B">
        <w:rPr>
          <w:rFonts w:ascii="Times New Roman" w:hAnsi="Times New Roman" w:cs="Times New Roman"/>
          <w:smallCaps/>
          <w:szCs w:val="22"/>
        </w:rPr>
        <w:t>）</w:t>
      </w:r>
      <w:r w:rsidRPr="00F9522B">
        <w:rPr>
          <w:rFonts w:ascii="Times New Roman" w:hAnsi="Times New Roman" w:cs="Times New Roman"/>
        </w:rPr>
        <w:t>农膜、</w:t>
      </w:r>
      <w:r w:rsidRPr="00F9522B">
        <w:rPr>
          <w:rFonts w:ascii="Times New Roman" w:hAnsi="Times New Roman" w:cs="Times New Roman"/>
          <w:bCs/>
        </w:rPr>
        <w:t>农药包装物及废肥料包装袋由当地农民外售综合利用</w:t>
      </w:r>
      <w:r w:rsidRPr="00F9522B">
        <w:rPr>
          <w:rFonts w:ascii="Times New Roman" w:hAnsi="Times New Roman" w:cs="Times New Roman"/>
        </w:rPr>
        <w:t>。</w:t>
      </w:r>
    </w:p>
    <w:p w:rsidR="002A5A5E" w:rsidRPr="00F9522B" w:rsidRDefault="00611CBA">
      <w:pPr>
        <w:pStyle w:val="aff4"/>
        <w:adjustRightInd/>
        <w:snapToGrid/>
        <w:contextualSpacing/>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3</w:t>
      </w:r>
      <w:r w:rsidRPr="00F9522B">
        <w:rPr>
          <w:rFonts w:ascii="Times New Roman" w:hAnsi="Times New Roman" w:cs="Times New Roman"/>
        </w:rPr>
        <w:t>）</w:t>
      </w:r>
      <w:r w:rsidRPr="00F9522B">
        <w:rPr>
          <w:rFonts w:ascii="Times New Roman" w:hAnsi="Times New Roman" w:cs="Times New Roman"/>
          <w:smallCaps/>
          <w:szCs w:val="22"/>
        </w:rPr>
        <w:t>畜禽养殖</w:t>
      </w:r>
    </w:p>
    <w:p w:rsidR="002A5A5E" w:rsidRPr="00F9522B" w:rsidRDefault="00611CBA">
      <w:pPr>
        <w:pStyle w:val="aff4"/>
        <w:adjustRightInd/>
        <w:snapToGrid/>
        <w:contextualSpacing/>
        <w:rPr>
          <w:rFonts w:ascii="Times New Roman" w:hAnsi="Times New Roman" w:cs="Times New Roman"/>
          <w:smallCaps/>
          <w:szCs w:val="22"/>
        </w:rPr>
      </w:pPr>
      <w:r w:rsidRPr="00F9522B">
        <w:rPr>
          <w:rFonts w:ascii="Times New Roman" w:hAnsi="Times New Roman" w:cs="Times New Roman"/>
          <w:smallCaps/>
          <w:szCs w:val="22"/>
        </w:rPr>
        <w:t>畜禽养殖方式有两种，为集中式养殖和分散户养殖。集中式养殖的畜禽粪污处理方式主要为有机肥加工，散养户畜禽粪污处理方式为散排还田、沤肥。各规模化养殖场（小区）、养殖户大部分均设置了粪便无害化处理设施，少部分养殖场粪污的收集、贮存、处理等方式并不科学、环保，多数为随意堆放，堆积还田，污水无处理排放。</w:t>
      </w:r>
    </w:p>
    <w:p w:rsidR="002A5A5E" w:rsidRPr="00F9522B" w:rsidRDefault="00611CBA">
      <w:pPr>
        <w:pStyle w:val="aff4"/>
        <w:adjustRightInd/>
        <w:snapToGrid/>
        <w:contextualSpacing/>
        <w:rPr>
          <w:rFonts w:ascii="Times New Roman" w:hAnsi="Times New Roman" w:cs="Times New Roman"/>
        </w:rPr>
      </w:pPr>
      <w:r w:rsidRPr="00F9522B">
        <w:rPr>
          <w:rFonts w:ascii="Times New Roman" w:hAnsi="Times New Roman" w:cs="Times New Roman"/>
          <w:smallCaps/>
          <w:szCs w:val="22"/>
        </w:rPr>
        <w:t>（</w:t>
      </w:r>
      <w:r w:rsidRPr="00F9522B">
        <w:rPr>
          <w:rFonts w:ascii="Times New Roman" w:hAnsi="Times New Roman" w:cs="Times New Roman"/>
          <w:smallCaps/>
          <w:szCs w:val="22"/>
        </w:rPr>
        <w:t>4</w:t>
      </w:r>
      <w:r w:rsidRPr="00F9522B">
        <w:rPr>
          <w:rFonts w:ascii="Times New Roman" w:hAnsi="Times New Roman" w:cs="Times New Roman"/>
          <w:smallCaps/>
          <w:szCs w:val="22"/>
        </w:rPr>
        <w:t>）</w:t>
      </w:r>
      <w:r w:rsidRPr="00F9522B">
        <w:rPr>
          <w:rFonts w:ascii="Times New Roman" w:hAnsi="Times New Roman" w:cs="Times New Roman"/>
        </w:rPr>
        <w:t>农田排水</w:t>
      </w:r>
    </w:p>
    <w:p w:rsidR="002A5A5E" w:rsidRPr="00F9522B" w:rsidRDefault="00611CBA">
      <w:pPr>
        <w:pStyle w:val="aff4"/>
        <w:adjustRightInd/>
        <w:snapToGrid/>
        <w:contextualSpacing/>
        <w:rPr>
          <w:rFonts w:ascii="Times New Roman" w:hAnsi="Times New Roman" w:cs="Times New Roman"/>
        </w:rPr>
      </w:pPr>
      <w:r w:rsidRPr="00F9522B">
        <w:rPr>
          <w:rFonts w:ascii="Times New Roman" w:hAnsi="Times New Roman" w:cs="Times New Roman"/>
        </w:rPr>
        <w:t>项目区</w:t>
      </w:r>
      <w:r w:rsidR="00283C49" w:rsidRPr="00F9522B">
        <w:rPr>
          <w:rFonts w:ascii="Times New Roman" w:hAnsi="Times New Roman" w:cs="Times New Roman"/>
        </w:rPr>
        <w:t>西部排水通过原有沟汇入公家沟，设有</w:t>
      </w:r>
      <w:r w:rsidR="00283C49" w:rsidRPr="00F9522B">
        <w:rPr>
          <w:rFonts w:ascii="Times New Roman" w:hAnsi="Times New Roman" w:cs="Times New Roman"/>
        </w:rPr>
        <w:t>3</w:t>
      </w:r>
      <w:r w:rsidR="00283C49" w:rsidRPr="00F9522B">
        <w:rPr>
          <w:rFonts w:ascii="Times New Roman" w:hAnsi="Times New Roman" w:cs="Times New Roman"/>
        </w:rPr>
        <w:t>个农田退水口（</w:t>
      </w:r>
      <w:r w:rsidR="00283C49" w:rsidRPr="00F9522B">
        <w:rPr>
          <w:rFonts w:ascii="Times New Roman" w:hAnsi="Times New Roman" w:cs="Times New Roman"/>
          <w:kern w:val="0"/>
        </w:rPr>
        <w:t>农业排口</w:t>
      </w:r>
      <w:r w:rsidR="00283C49" w:rsidRPr="00F9522B">
        <w:rPr>
          <w:rFonts w:ascii="Times New Roman" w:hAnsi="Times New Roman" w:cs="Times New Roman"/>
        </w:rPr>
        <w:t>），最终汇入松花江，承泄区为松花江。项目区东部排水汇入原有沟，设有</w:t>
      </w:r>
      <w:r w:rsidR="00283C49" w:rsidRPr="00F9522B">
        <w:rPr>
          <w:rFonts w:ascii="Times New Roman" w:hAnsi="Times New Roman" w:cs="Times New Roman"/>
        </w:rPr>
        <w:t>1</w:t>
      </w:r>
      <w:r w:rsidR="00283C49" w:rsidRPr="00F9522B">
        <w:rPr>
          <w:rFonts w:ascii="Times New Roman" w:hAnsi="Times New Roman" w:cs="Times New Roman"/>
        </w:rPr>
        <w:t>个农田退水口（</w:t>
      </w:r>
      <w:r w:rsidR="00283C49" w:rsidRPr="00F9522B">
        <w:rPr>
          <w:rFonts w:ascii="Times New Roman" w:hAnsi="Times New Roman" w:cs="Times New Roman"/>
          <w:kern w:val="0"/>
        </w:rPr>
        <w:t>农业排口</w:t>
      </w:r>
      <w:r w:rsidR="00283C49" w:rsidRPr="00F9522B">
        <w:rPr>
          <w:rFonts w:ascii="Times New Roman" w:hAnsi="Times New Roman" w:cs="Times New Roman"/>
        </w:rPr>
        <w:t>），最终承泄区为漂河。片区内排水承泄区为松花江及漂河</w:t>
      </w:r>
      <w:r w:rsidRPr="00F9522B">
        <w:rPr>
          <w:rFonts w:ascii="Times New Roman" w:hAnsi="Times New Roman" w:cs="Times New Roman"/>
        </w:rPr>
        <w:t>。</w:t>
      </w:r>
    </w:p>
    <w:p w:rsidR="002A5A5E" w:rsidRPr="00F9522B" w:rsidRDefault="00611CBA">
      <w:pPr>
        <w:pStyle w:val="aff4"/>
        <w:adjustRightInd/>
        <w:snapToGrid/>
        <w:contextualSpacing/>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5</w:t>
      </w:r>
      <w:r w:rsidRPr="00F9522B">
        <w:rPr>
          <w:rFonts w:ascii="Times New Roman" w:hAnsi="Times New Roman" w:cs="Times New Roman"/>
        </w:rPr>
        <w:t>）农药化肥施用情况</w:t>
      </w:r>
    </w:p>
    <w:p w:rsidR="002A5A5E" w:rsidRPr="00F9522B" w:rsidRDefault="00611CBA">
      <w:pPr>
        <w:pStyle w:val="aff4"/>
        <w:adjustRightInd/>
        <w:snapToGrid/>
        <w:contextualSpacing/>
        <w:rPr>
          <w:rFonts w:ascii="Times New Roman" w:hAnsi="Times New Roman" w:cs="Times New Roman"/>
        </w:rPr>
      </w:pPr>
      <w:r w:rsidRPr="00F9522B">
        <w:rPr>
          <w:rFonts w:ascii="Times New Roman" w:hAnsi="Times New Roman" w:cs="Times New Roman"/>
        </w:rPr>
        <w:t>根据调查资料，化肥、农药使用用量需要根据防治对象、生长环境、病情和虫情、土壤肥力等因素综合考虑，以下为项目区普遍农药、化肥的用量：</w:t>
      </w:r>
    </w:p>
    <w:p w:rsidR="002A5A5E" w:rsidRPr="00F9522B" w:rsidRDefault="00611CBA">
      <w:pPr>
        <w:pStyle w:val="aff4"/>
        <w:adjustRightInd/>
        <w:snapToGrid/>
        <w:contextualSpacing/>
        <w:rPr>
          <w:rFonts w:ascii="Times New Roman" w:hAnsi="Times New Roman" w:cs="Times New Roman"/>
        </w:rPr>
      </w:pPr>
      <w:r w:rsidRPr="00F9522B">
        <w:rPr>
          <w:rFonts w:ascii="Times New Roman" w:hAnsi="Times New Roman" w:cs="Times New Roman"/>
        </w:rPr>
        <w:t>1</w:t>
      </w:r>
      <w:r w:rsidRPr="00F9522B">
        <w:rPr>
          <w:rFonts w:ascii="Times New Roman" w:hAnsi="Times New Roman" w:cs="Times New Roman"/>
        </w:rPr>
        <w:t>）水稻亩施肥量</w:t>
      </w:r>
      <w:r w:rsidRPr="00F9522B">
        <w:rPr>
          <w:rFonts w:ascii="Times New Roman" w:hAnsi="Times New Roman" w:cs="Times New Roman"/>
        </w:rPr>
        <w:t>53</w:t>
      </w:r>
      <w:r w:rsidRPr="00F9522B">
        <w:rPr>
          <w:rFonts w:ascii="Times New Roman" w:hAnsi="Times New Roman" w:cs="Times New Roman"/>
        </w:rPr>
        <w:t>公斤，玉米亩施肥量</w:t>
      </w:r>
      <w:r w:rsidRPr="00F9522B">
        <w:rPr>
          <w:rFonts w:ascii="Times New Roman" w:hAnsi="Times New Roman" w:cs="Times New Roman"/>
        </w:rPr>
        <w:t>68</w:t>
      </w:r>
      <w:r w:rsidRPr="00F9522B">
        <w:rPr>
          <w:rFonts w:ascii="Times New Roman" w:hAnsi="Times New Roman" w:cs="Times New Roman"/>
        </w:rPr>
        <w:t>公斤；</w:t>
      </w:r>
    </w:p>
    <w:p w:rsidR="002A5A5E" w:rsidRPr="00F9522B" w:rsidRDefault="00611CBA">
      <w:pPr>
        <w:pStyle w:val="aff4"/>
        <w:adjustRightInd/>
        <w:snapToGrid/>
        <w:contextualSpacing/>
        <w:rPr>
          <w:rFonts w:ascii="Times New Roman" w:hAnsi="Times New Roman" w:cs="Times New Roman"/>
        </w:rPr>
      </w:pPr>
      <w:r w:rsidRPr="00F9522B">
        <w:rPr>
          <w:rFonts w:ascii="Times New Roman" w:hAnsi="Times New Roman" w:cs="Times New Roman"/>
        </w:rPr>
        <w:t>2</w:t>
      </w:r>
      <w:r w:rsidRPr="00F9522B">
        <w:rPr>
          <w:rFonts w:ascii="Times New Roman" w:hAnsi="Times New Roman" w:cs="Times New Roman"/>
        </w:rPr>
        <w:t>）水稻亩施药量</w:t>
      </w:r>
      <w:r w:rsidRPr="00F9522B">
        <w:rPr>
          <w:rFonts w:ascii="Times New Roman" w:hAnsi="Times New Roman" w:cs="Times New Roman"/>
        </w:rPr>
        <w:t>0.56</w:t>
      </w:r>
      <w:r w:rsidRPr="00F9522B">
        <w:rPr>
          <w:rFonts w:ascii="Times New Roman" w:hAnsi="Times New Roman" w:cs="Times New Roman"/>
        </w:rPr>
        <w:t>公斤，玉米亩施药量</w:t>
      </w:r>
      <w:r w:rsidRPr="00F9522B">
        <w:rPr>
          <w:rFonts w:ascii="Times New Roman" w:hAnsi="Times New Roman" w:cs="Times New Roman"/>
        </w:rPr>
        <w:t>0.51</w:t>
      </w:r>
      <w:r w:rsidRPr="00F9522B">
        <w:rPr>
          <w:rFonts w:ascii="Times New Roman" w:hAnsi="Times New Roman" w:cs="Times New Roman"/>
        </w:rPr>
        <w:t>公斤，大豆亩施药量</w:t>
      </w:r>
      <w:r w:rsidRPr="00F9522B">
        <w:rPr>
          <w:rFonts w:ascii="Times New Roman" w:hAnsi="Times New Roman" w:cs="Times New Roman"/>
        </w:rPr>
        <w:t>0.46</w:t>
      </w:r>
      <w:r w:rsidRPr="00F9522B">
        <w:rPr>
          <w:rFonts w:ascii="Times New Roman" w:hAnsi="Times New Roman" w:cs="Times New Roman"/>
        </w:rPr>
        <w:t>公斤。</w:t>
      </w:r>
    </w:p>
    <w:p w:rsidR="002A5A5E" w:rsidRPr="00F9522B" w:rsidRDefault="00611CBA">
      <w:pPr>
        <w:pStyle w:val="aff4"/>
        <w:adjustRightInd/>
        <w:snapToGrid/>
        <w:contextualSpacing/>
        <w:rPr>
          <w:rFonts w:ascii="Times New Roman" w:hAnsi="Times New Roman" w:cs="Times New Roman"/>
        </w:rPr>
      </w:pPr>
      <w:r w:rsidRPr="00F9522B">
        <w:rPr>
          <w:rFonts w:ascii="Times New Roman" w:hAnsi="Times New Roman" w:cs="Times New Roman"/>
        </w:rPr>
        <w:lastRenderedPageBreak/>
        <w:t>工程实施后，采取</w:t>
      </w:r>
      <w:r w:rsidRPr="00F9522B">
        <w:rPr>
          <w:rFonts w:ascii="Times New Roman" w:hAnsi="Times New Roman" w:cs="Times New Roman"/>
        </w:rPr>
        <w:t>“</w:t>
      </w:r>
      <w:r w:rsidRPr="00F9522B">
        <w:rPr>
          <w:rFonts w:ascii="Times New Roman" w:hAnsi="Times New Roman" w:cs="Times New Roman"/>
        </w:rPr>
        <w:t>三减</w:t>
      </w:r>
      <w:r w:rsidRPr="00F9522B">
        <w:rPr>
          <w:rFonts w:ascii="Times New Roman" w:hAnsi="Times New Roman" w:cs="Times New Roman"/>
        </w:rPr>
        <w:t>”</w:t>
      </w:r>
      <w:r w:rsidRPr="00F9522B">
        <w:rPr>
          <w:rFonts w:ascii="Times New Roman" w:hAnsi="Times New Roman" w:cs="Times New Roman"/>
        </w:rPr>
        <w:t>措施，科学配比施肥，加大有机肥、复合肥以及生物农药和高效低毒低残留农药的使用量，化肥和化学农药用量将会大量削减，会减少农田退水中的农药、化肥含量，减少土壤中化肥和化学农药残留量。</w:t>
      </w:r>
    </w:p>
    <w:p w:rsidR="002A5A5E" w:rsidRPr="00F9522B" w:rsidRDefault="00611CBA">
      <w:pPr>
        <w:spacing w:line="360" w:lineRule="auto"/>
        <w:outlineLvl w:val="2"/>
        <w:rPr>
          <w:rFonts w:eastAsiaTheme="minorEastAsia"/>
          <w:b/>
          <w:sz w:val="28"/>
          <w:szCs w:val="28"/>
        </w:rPr>
      </w:pPr>
      <w:bookmarkStart w:id="118" w:name="_Toc15991672"/>
      <w:r w:rsidRPr="00F9522B">
        <w:rPr>
          <w:rFonts w:eastAsiaTheme="minorEastAsia"/>
          <w:b/>
          <w:sz w:val="28"/>
          <w:szCs w:val="28"/>
        </w:rPr>
        <w:t>4.3.3</w:t>
      </w:r>
      <w:r w:rsidRPr="00F9522B">
        <w:rPr>
          <w:rFonts w:eastAsiaTheme="minorEastAsia"/>
          <w:b/>
          <w:sz w:val="28"/>
          <w:szCs w:val="28"/>
        </w:rPr>
        <w:t>噪声污染源</w:t>
      </w:r>
      <w:bookmarkEnd w:id="118"/>
    </w:p>
    <w:p w:rsidR="002A5A5E" w:rsidRPr="00F9522B" w:rsidRDefault="00611CBA">
      <w:pPr>
        <w:pStyle w:val="aff4"/>
        <w:adjustRightInd/>
        <w:snapToGrid/>
        <w:contextualSpacing/>
        <w:rPr>
          <w:rFonts w:ascii="Times New Roman" w:hAnsi="Times New Roman" w:cs="Times New Roman"/>
        </w:rPr>
      </w:pPr>
      <w:r w:rsidRPr="00F9522B">
        <w:rPr>
          <w:rFonts w:ascii="Times New Roman" w:hAnsi="Times New Roman" w:cs="Times New Roman"/>
        </w:rPr>
        <w:t>本项目周边区域噪声主要污染源为生活生产噪声和交通噪声。</w:t>
      </w:r>
    </w:p>
    <w:p w:rsidR="002A5A5E" w:rsidRPr="00F9522B" w:rsidRDefault="00611CBA">
      <w:pPr>
        <w:spacing w:before="100" w:beforeAutospacing="1" w:after="100" w:afterAutospacing="1"/>
        <w:contextualSpacing/>
        <w:jc w:val="left"/>
        <w:outlineLvl w:val="1"/>
        <w:rPr>
          <w:rFonts w:eastAsiaTheme="minorEastAsia"/>
          <w:b/>
          <w:bCs/>
          <w:kern w:val="44"/>
          <w:sz w:val="30"/>
          <w:szCs w:val="30"/>
        </w:rPr>
      </w:pPr>
      <w:bookmarkStart w:id="119" w:name="_Toc514938164"/>
      <w:bookmarkStart w:id="120" w:name="_Toc208906240"/>
      <w:r w:rsidRPr="00F9522B">
        <w:rPr>
          <w:rFonts w:eastAsiaTheme="minorEastAsia"/>
          <w:b/>
          <w:bCs/>
          <w:kern w:val="44"/>
          <w:sz w:val="30"/>
          <w:szCs w:val="30"/>
        </w:rPr>
        <w:t>4.4</w:t>
      </w:r>
      <w:r w:rsidRPr="00F9522B">
        <w:rPr>
          <w:rFonts w:eastAsiaTheme="minorEastAsia"/>
          <w:b/>
          <w:bCs/>
          <w:kern w:val="44"/>
          <w:sz w:val="30"/>
          <w:szCs w:val="30"/>
        </w:rPr>
        <w:t>环境保护目标调查</w:t>
      </w:r>
      <w:bookmarkEnd w:id="119"/>
      <w:bookmarkEnd w:id="120"/>
    </w:p>
    <w:p w:rsidR="002A5A5E" w:rsidRPr="00F9522B" w:rsidRDefault="00611CBA">
      <w:pPr>
        <w:spacing w:line="360" w:lineRule="auto"/>
        <w:ind w:firstLineChars="200" w:firstLine="480"/>
        <w:contextualSpacing/>
        <w:rPr>
          <w:rFonts w:eastAsiaTheme="minorEastAsia"/>
          <w:bCs/>
          <w:kern w:val="44"/>
          <w:sz w:val="24"/>
        </w:rPr>
      </w:pPr>
      <w:r w:rsidRPr="00F9522B">
        <w:rPr>
          <w:rFonts w:eastAsiaTheme="minorEastAsia"/>
          <w:snapToGrid w:val="0"/>
          <w:sz w:val="24"/>
        </w:rPr>
        <w:t>调查过程：调查过程：根据《建设项目环境影响评价技术导则总纲》（</w:t>
      </w:r>
      <w:r w:rsidRPr="00F9522B">
        <w:rPr>
          <w:rFonts w:eastAsiaTheme="minorEastAsia"/>
          <w:snapToGrid w:val="0"/>
          <w:sz w:val="24"/>
        </w:rPr>
        <w:t>HJ2.1-2016</w:t>
      </w:r>
      <w:r w:rsidRPr="00F9522B">
        <w:rPr>
          <w:rFonts w:eastAsiaTheme="minorEastAsia"/>
          <w:snapToGrid w:val="0"/>
          <w:sz w:val="24"/>
        </w:rPr>
        <w:t>），环境保护目标调查应调查评价范围内的环境功能区划和主要的环境敏感区，详细了解环境保护目标的地理位置、服务功能、四至范围、保护对象和保护要求等。</w:t>
      </w:r>
      <w:r w:rsidRPr="00F9522B">
        <w:rPr>
          <w:rFonts w:eastAsiaTheme="minorEastAsia"/>
          <w:bCs/>
          <w:kern w:val="44"/>
          <w:sz w:val="24"/>
        </w:rPr>
        <w:t>调查过程见下表：</w:t>
      </w:r>
    </w:p>
    <w:p w:rsidR="002A5A5E" w:rsidRPr="00F9522B" w:rsidRDefault="00611CBA">
      <w:pPr>
        <w:contextualSpacing/>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4-4-1</w:t>
      </w:r>
      <w:r w:rsidRPr="00F9522B">
        <w:rPr>
          <w:rFonts w:eastAsiaTheme="minorEastAsia"/>
          <w:b/>
          <w:kern w:val="0"/>
          <w:szCs w:val="21"/>
        </w:rPr>
        <w:t>环境保护目标调查表</w:t>
      </w:r>
    </w:p>
    <w:tbl>
      <w:tblPr>
        <w:tblStyle w:val="afc"/>
        <w:tblW w:w="8589" w:type="dxa"/>
        <w:jc w:val="center"/>
        <w:tblBorders>
          <w:top w:val="single" w:sz="12" w:space="0" w:color="auto"/>
          <w:left w:val="none" w:sz="0" w:space="0" w:color="auto"/>
          <w:bottom w:val="single" w:sz="12" w:space="0" w:color="auto"/>
          <w:right w:val="none" w:sz="0" w:space="0" w:color="auto"/>
          <w:insideH w:val="single" w:sz="2" w:space="0" w:color="auto"/>
          <w:insideV w:val="single" w:sz="2" w:space="0" w:color="auto"/>
        </w:tblBorders>
        <w:tblLayout w:type="fixed"/>
        <w:tblLook w:val="04A0"/>
      </w:tblPr>
      <w:tblGrid>
        <w:gridCol w:w="1246"/>
        <w:gridCol w:w="891"/>
        <w:gridCol w:w="893"/>
        <w:gridCol w:w="769"/>
        <w:gridCol w:w="2832"/>
        <w:gridCol w:w="599"/>
        <w:gridCol w:w="1359"/>
      </w:tblGrid>
      <w:tr w:rsidR="002A5A5E" w:rsidRPr="00F9522B">
        <w:trPr>
          <w:trHeight w:val="309"/>
          <w:jc w:val="center"/>
        </w:trPr>
        <w:tc>
          <w:tcPr>
            <w:tcW w:w="1246" w:type="dxa"/>
            <w:vMerge w:val="restart"/>
            <w:vAlign w:val="center"/>
          </w:tcPr>
          <w:p w:rsidR="002A5A5E" w:rsidRPr="00F9522B" w:rsidRDefault="00611CBA">
            <w:pPr>
              <w:spacing w:line="0" w:lineRule="atLeast"/>
              <w:contextualSpacing/>
              <w:jc w:val="center"/>
              <w:rPr>
                <w:rFonts w:eastAsiaTheme="minorEastAsia"/>
                <w:snapToGrid w:val="0"/>
                <w:kern w:val="0"/>
                <w:szCs w:val="21"/>
              </w:rPr>
            </w:pPr>
            <w:r w:rsidRPr="00F9522B">
              <w:rPr>
                <w:rFonts w:eastAsiaTheme="minorEastAsia"/>
                <w:snapToGrid w:val="0"/>
                <w:kern w:val="0"/>
                <w:szCs w:val="21"/>
              </w:rPr>
              <w:t>名称</w:t>
            </w:r>
          </w:p>
        </w:tc>
        <w:tc>
          <w:tcPr>
            <w:tcW w:w="1784" w:type="dxa"/>
            <w:gridSpan w:val="2"/>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snapToGrid w:val="0"/>
                <w:kern w:val="0"/>
                <w:szCs w:val="21"/>
              </w:rPr>
              <w:t>地理位置</w:t>
            </w:r>
          </w:p>
        </w:tc>
        <w:tc>
          <w:tcPr>
            <w:tcW w:w="769" w:type="dxa"/>
            <w:vMerge w:val="restart"/>
            <w:tcBorders>
              <w:right w:val="single" w:sz="2" w:space="0" w:color="auto"/>
            </w:tcBorders>
            <w:vAlign w:val="center"/>
          </w:tcPr>
          <w:p w:rsidR="002A5A5E" w:rsidRPr="00F9522B" w:rsidRDefault="00611CBA">
            <w:pPr>
              <w:spacing w:line="0" w:lineRule="atLeast"/>
              <w:contextualSpacing/>
              <w:jc w:val="center"/>
              <w:rPr>
                <w:rFonts w:eastAsiaTheme="minorEastAsia"/>
                <w:snapToGrid w:val="0"/>
                <w:kern w:val="0"/>
                <w:szCs w:val="21"/>
              </w:rPr>
            </w:pPr>
            <w:r w:rsidRPr="00F9522B">
              <w:rPr>
                <w:rFonts w:eastAsiaTheme="minorEastAsia"/>
                <w:kern w:val="0"/>
                <w:szCs w:val="21"/>
              </w:rPr>
              <w:t>服务功能</w:t>
            </w:r>
          </w:p>
        </w:tc>
        <w:tc>
          <w:tcPr>
            <w:tcW w:w="2832" w:type="dxa"/>
            <w:vMerge w:val="restart"/>
            <w:tcBorders>
              <w:left w:val="single" w:sz="2" w:space="0" w:color="auto"/>
            </w:tcBorders>
            <w:vAlign w:val="center"/>
          </w:tcPr>
          <w:p w:rsidR="002A5A5E" w:rsidRPr="00F9522B" w:rsidRDefault="00611CBA">
            <w:pPr>
              <w:spacing w:line="0" w:lineRule="atLeast"/>
              <w:contextualSpacing/>
              <w:jc w:val="center"/>
              <w:rPr>
                <w:rFonts w:eastAsiaTheme="minorEastAsia"/>
                <w:snapToGrid w:val="0"/>
                <w:kern w:val="0"/>
                <w:szCs w:val="21"/>
              </w:rPr>
            </w:pPr>
            <w:r w:rsidRPr="00F9522B">
              <w:rPr>
                <w:rFonts w:eastAsiaTheme="minorEastAsia"/>
                <w:kern w:val="0"/>
                <w:szCs w:val="21"/>
              </w:rPr>
              <w:t>四至范围</w:t>
            </w:r>
          </w:p>
        </w:tc>
        <w:tc>
          <w:tcPr>
            <w:tcW w:w="599" w:type="dxa"/>
            <w:vMerge w:val="restart"/>
            <w:tcBorders>
              <w:left w:val="single" w:sz="2" w:space="0" w:color="auto"/>
            </w:tcBorders>
            <w:vAlign w:val="center"/>
          </w:tcPr>
          <w:p w:rsidR="002A5A5E" w:rsidRPr="00F9522B" w:rsidRDefault="00611CBA">
            <w:pPr>
              <w:spacing w:line="0" w:lineRule="atLeast"/>
              <w:contextualSpacing/>
              <w:jc w:val="center"/>
              <w:rPr>
                <w:rFonts w:eastAsiaTheme="minorEastAsia"/>
                <w:snapToGrid w:val="0"/>
                <w:kern w:val="0"/>
                <w:szCs w:val="21"/>
              </w:rPr>
            </w:pPr>
            <w:r w:rsidRPr="00F9522B">
              <w:rPr>
                <w:rFonts w:eastAsiaTheme="minorEastAsia"/>
                <w:snapToGrid w:val="0"/>
                <w:kern w:val="0"/>
                <w:szCs w:val="21"/>
              </w:rPr>
              <w:t>保护对象</w:t>
            </w:r>
          </w:p>
        </w:tc>
        <w:tc>
          <w:tcPr>
            <w:tcW w:w="1359" w:type="dxa"/>
            <w:vMerge w:val="restart"/>
            <w:tcBorders>
              <w:left w:val="single" w:sz="2" w:space="0" w:color="auto"/>
            </w:tcBorders>
            <w:vAlign w:val="center"/>
          </w:tcPr>
          <w:p w:rsidR="002A5A5E" w:rsidRPr="00F9522B" w:rsidRDefault="00611CBA">
            <w:pPr>
              <w:spacing w:line="0" w:lineRule="atLeast"/>
              <w:contextualSpacing/>
              <w:jc w:val="center"/>
              <w:rPr>
                <w:rFonts w:eastAsiaTheme="minorEastAsia"/>
                <w:snapToGrid w:val="0"/>
                <w:kern w:val="0"/>
                <w:szCs w:val="21"/>
              </w:rPr>
            </w:pPr>
            <w:r w:rsidRPr="00F9522B">
              <w:rPr>
                <w:rFonts w:eastAsiaTheme="minorEastAsia"/>
                <w:snapToGrid w:val="0"/>
                <w:kern w:val="0"/>
                <w:szCs w:val="21"/>
              </w:rPr>
              <w:t>保护要求</w:t>
            </w:r>
          </w:p>
        </w:tc>
      </w:tr>
      <w:tr w:rsidR="002A5A5E" w:rsidRPr="00F9522B">
        <w:trPr>
          <w:trHeight w:val="308"/>
          <w:jc w:val="center"/>
        </w:trPr>
        <w:tc>
          <w:tcPr>
            <w:tcW w:w="1246" w:type="dxa"/>
            <w:vMerge/>
            <w:vAlign w:val="center"/>
          </w:tcPr>
          <w:p w:rsidR="002A5A5E" w:rsidRPr="00F9522B" w:rsidRDefault="002A5A5E">
            <w:pPr>
              <w:spacing w:line="0" w:lineRule="atLeast"/>
              <w:contextualSpacing/>
              <w:jc w:val="center"/>
              <w:rPr>
                <w:rFonts w:eastAsiaTheme="minorEastAsia"/>
                <w:snapToGrid w:val="0"/>
                <w:kern w:val="0"/>
                <w:szCs w:val="21"/>
              </w:rPr>
            </w:pPr>
          </w:p>
        </w:tc>
        <w:tc>
          <w:tcPr>
            <w:tcW w:w="891" w:type="dxa"/>
            <w:vAlign w:val="center"/>
          </w:tcPr>
          <w:p w:rsidR="002A5A5E" w:rsidRPr="00F9522B" w:rsidRDefault="00611CBA">
            <w:pPr>
              <w:pStyle w:val="aff7"/>
              <w:adjustRightInd w:val="0"/>
              <w:snapToGrid w:val="0"/>
              <w:spacing w:line="0" w:lineRule="atLeast"/>
              <w:rPr>
                <w:rFonts w:eastAsiaTheme="minorEastAsia" w:hAnsi="Times New Roman"/>
                <w:snapToGrid w:val="0"/>
                <w:kern w:val="0"/>
              </w:rPr>
            </w:pPr>
            <w:r w:rsidRPr="00F9522B">
              <w:rPr>
                <w:rFonts w:eastAsiaTheme="minorEastAsia" w:hAnsi="Times New Roman"/>
                <w:snapToGrid w:val="0"/>
                <w:kern w:val="0"/>
              </w:rPr>
              <w:t>东经</w:t>
            </w:r>
          </w:p>
        </w:tc>
        <w:tc>
          <w:tcPr>
            <w:tcW w:w="893" w:type="dxa"/>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snapToGrid w:val="0"/>
                <w:kern w:val="0"/>
                <w:szCs w:val="21"/>
              </w:rPr>
              <w:t>北纬</w:t>
            </w:r>
          </w:p>
        </w:tc>
        <w:tc>
          <w:tcPr>
            <w:tcW w:w="769" w:type="dxa"/>
            <w:vMerge/>
            <w:tcBorders>
              <w:right w:val="single" w:sz="2" w:space="0" w:color="auto"/>
            </w:tcBorders>
            <w:vAlign w:val="center"/>
          </w:tcPr>
          <w:p w:rsidR="002A5A5E" w:rsidRPr="00F9522B" w:rsidRDefault="002A5A5E">
            <w:pPr>
              <w:spacing w:line="0" w:lineRule="atLeast"/>
              <w:contextualSpacing/>
              <w:jc w:val="center"/>
              <w:rPr>
                <w:rFonts w:eastAsiaTheme="minorEastAsia"/>
                <w:kern w:val="0"/>
                <w:szCs w:val="21"/>
              </w:rPr>
            </w:pPr>
          </w:p>
        </w:tc>
        <w:tc>
          <w:tcPr>
            <w:tcW w:w="2832" w:type="dxa"/>
            <w:vMerge/>
            <w:tcBorders>
              <w:left w:val="single" w:sz="2" w:space="0" w:color="auto"/>
            </w:tcBorders>
            <w:vAlign w:val="center"/>
          </w:tcPr>
          <w:p w:rsidR="002A5A5E" w:rsidRPr="00F9522B" w:rsidRDefault="002A5A5E">
            <w:pPr>
              <w:spacing w:line="0" w:lineRule="atLeast"/>
              <w:contextualSpacing/>
              <w:jc w:val="center"/>
              <w:rPr>
                <w:rFonts w:eastAsiaTheme="minorEastAsia"/>
                <w:kern w:val="0"/>
                <w:szCs w:val="21"/>
              </w:rPr>
            </w:pPr>
          </w:p>
        </w:tc>
        <w:tc>
          <w:tcPr>
            <w:tcW w:w="599" w:type="dxa"/>
            <w:vMerge/>
            <w:tcBorders>
              <w:left w:val="single" w:sz="2" w:space="0" w:color="auto"/>
            </w:tcBorders>
            <w:vAlign w:val="center"/>
          </w:tcPr>
          <w:p w:rsidR="002A5A5E" w:rsidRPr="00F9522B" w:rsidRDefault="002A5A5E">
            <w:pPr>
              <w:spacing w:line="0" w:lineRule="atLeast"/>
              <w:contextualSpacing/>
              <w:jc w:val="center"/>
              <w:rPr>
                <w:rFonts w:eastAsiaTheme="minorEastAsia"/>
                <w:snapToGrid w:val="0"/>
                <w:kern w:val="0"/>
                <w:szCs w:val="21"/>
              </w:rPr>
            </w:pPr>
          </w:p>
        </w:tc>
        <w:tc>
          <w:tcPr>
            <w:tcW w:w="1359" w:type="dxa"/>
            <w:vMerge/>
            <w:tcBorders>
              <w:left w:val="single" w:sz="2" w:space="0" w:color="auto"/>
            </w:tcBorders>
            <w:vAlign w:val="center"/>
          </w:tcPr>
          <w:p w:rsidR="002A5A5E" w:rsidRPr="00F9522B" w:rsidRDefault="002A5A5E">
            <w:pPr>
              <w:spacing w:line="0" w:lineRule="atLeast"/>
              <w:contextualSpacing/>
              <w:jc w:val="center"/>
              <w:rPr>
                <w:rFonts w:eastAsiaTheme="minorEastAsia"/>
                <w:snapToGrid w:val="0"/>
                <w:kern w:val="0"/>
                <w:szCs w:val="21"/>
              </w:rPr>
            </w:pPr>
          </w:p>
        </w:tc>
      </w:tr>
      <w:tr w:rsidR="00B94E8E" w:rsidRPr="00F9522B">
        <w:trPr>
          <w:trHeight w:val="148"/>
          <w:jc w:val="center"/>
        </w:trPr>
        <w:tc>
          <w:tcPr>
            <w:tcW w:w="1246" w:type="dxa"/>
            <w:vAlign w:val="center"/>
          </w:tcPr>
          <w:p w:rsidR="00B94E8E" w:rsidRPr="00F9522B" w:rsidRDefault="00B94E8E" w:rsidP="00E93DD8">
            <w:pPr>
              <w:spacing w:line="0" w:lineRule="atLeast"/>
              <w:jc w:val="center"/>
              <w:rPr>
                <w:rFonts w:eastAsiaTheme="minorEastAsia"/>
                <w:szCs w:val="21"/>
              </w:rPr>
            </w:pPr>
            <w:r w:rsidRPr="00F9522B">
              <w:rPr>
                <w:rFonts w:eastAsiaTheme="minorEastAsia"/>
                <w:szCs w:val="21"/>
              </w:rPr>
              <w:t>高家村</w:t>
            </w:r>
          </w:p>
        </w:tc>
        <w:tc>
          <w:tcPr>
            <w:tcW w:w="891" w:type="dxa"/>
            <w:tcBorders>
              <w:bottom w:val="single" w:sz="4" w:space="0" w:color="auto"/>
            </w:tcBorders>
            <w:vAlign w:val="center"/>
          </w:tcPr>
          <w:p w:rsidR="00B94E8E" w:rsidRPr="00F9522B" w:rsidRDefault="00B94E8E" w:rsidP="00E93DD8">
            <w:pPr>
              <w:spacing w:line="0" w:lineRule="atLeast"/>
              <w:jc w:val="center"/>
              <w:rPr>
                <w:rFonts w:eastAsiaTheme="minorEastAsia"/>
                <w:szCs w:val="21"/>
              </w:rPr>
            </w:pPr>
            <w:r w:rsidRPr="00F9522B">
              <w:rPr>
                <w:rFonts w:eastAsiaTheme="minorEastAsia"/>
                <w:szCs w:val="21"/>
              </w:rPr>
              <w:t>126.8765723</w:t>
            </w:r>
          </w:p>
        </w:tc>
        <w:tc>
          <w:tcPr>
            <w:tcW w:w="893" w:type="dxa"/>
            <w:tcBorders>
              <w:bottom w:val="single" w:sz="4" w:space="0" w:color="auto"/>
            </w:tcBorders>
            <w:vAlign w:val="center"/>
          </w:tcPr>
          <w:p w:rsidR="00B94E8E" w:rsidRPr="00F9522B" w:rsidRDefault="00B94E8E" w:rsidP="00E93DD8">
            <w:pPr>
              <w:spacing w:line="0" w:lineRule="atLeast"/>
              <w:jc w:val="center"/>
              <w:rPr>
                <w:rFonts w:eastAsiaTheme="minorEastAsia"/>
                <w:szCs w:val="21"/>
              </w:rPr>
            </w:pPr>
            <w:r w:rsidRPr="00F9522B">
              <w:rPr>
                <w:rFonts w:eastAsiaTheme="minorEastAsia"/>
                <w:szCs w:val="21"/>
              </w:rPr>
              <w:t>46.045955</w:t>
            </w:r>
          </w:p>
        </w:tc>
        <w:tc>
          <w:tcPr>
            <w:tcW w:w="769" w:type="dxa"/>
            <w:vMerge w:val="restart"/>
            <w:tcBorders>
              <w:right w:val="single" w:sz="2" w:space="0" w:color="auto"/>
            </w:tcBorders>
            <w:vAlign w:val="center"/>
          </w:tcPr>
          <w:p w:rsidR="00B94E8E" w:rsidRPr="00F9522B" w:rsidRDefault="00B94E8E">
            <w:pPr>
              <w:pStyle w:val="aff7"/>
              <w:spacing w:line="0" w:lineRule="atLeast"/>
              <w:contextualSpacing/>
              <w:rPr>
                <w:rFonts w:eastAsiaTheme="minorEastAsia" w:hAnsi="Times New Roman"/>
                <w:snapToGrid w:val="0"/>
                <w:kern w:val="0"/>
              </w:rPr>
            </w:pPr>
            <w:r w:rsidRPr="00F9522B">
              <w:rPr>
                <w:rFonts w:eastAsiaTheme="minorEastAsia" w:hAnsi="Times New Roman"/>
                <w:snapToGrid w:val="0"/>
                <w:kern w:val="0"/>
              </w:rPr>
              <w:t>农村</w:t>
            </w:r>
          </w:p>
        </w:tc>
        <w:tc>
          <w:tcPr>
            <w:tcW w:w="2832" w:type="dxa"/>
            <w:tcBorders>
              <w:left w:val="single" w:sz="2" w:space="0" w:color="auto"/>
            </w:tcBorders>
            <w:vAlign w:val="center"/>
          </w:tcPr>
          <w:p w:rsidR="00B94E8E" w:rsidRPr="00F9522B" w:rsidRDefault="00B94E8E" w:rsidP="002A3C0B">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东至农田，南至农田及</w:t>
            </w:r>
            <w:r w:rsidR="002A3C0B" w:rsidRPr="00F9522B">
              <w:rPr>
                <w:rFonts w:eastAsiaTheme="minorEastAsia"/>
                <w:snapToGrid w:val="0"/>
                <w:kern w:val="0"/>
                <w:szCs w:val="21"/>
              </w:rPr>
              <w:t>排水沟</w:t>
            </w:r>
            <w:r w:rsidRPr="00F9522B">
              <w:rPr>
                <w:rFonts w:eastAsiaTheme="minorEastAsia"/>
                <w:snapToGrid w:val="0"/>
                <w:kern w:val="0"/>
                <w:szCs w:val="21"/>
              </w:rPr>
              <w:t>，西至农田及</w:t>
            </w:r>
            <w:r w:rsidR="002A3C0B" w:rsidRPr="00F9522B">
              <w:rPr>
                <w:rFonts w:eastAsiaTheme="minorEastAsia"/>
                <w:snapToGrid w:val="0"/>
                <w:kern w:val="0"/>
                <w:szCs w:val="21"/>
              </w:rPr>
              <w:t>排水沟</w:t>
            </w:r>
            <w:r w:rsidRPr="00F9522B">
              <w:rPr>
                <w:rFonts w:eastAsiaTheme="minorEastAsia"/>
                <w:snapToGrid w:val="0"/>
                <w:kern w:val="0"/>
                <w:szCs w:val="21"/>
              </w:rPr>
              <w:t>，北至农田</w:t>
            </w:r>
          </w:p>
        </w:tc>
        <w:tc>
          <w:tcPr>
            <w:tcW w:w="599" w:type="dxa"/>
            <w:vMerge w:val="restart"/>
            <w:tcBorders>
              <w:left w:val="single" w:sz="2" w:space="0" w:color="auto"/>
            </w:tcBorders>
            <w:vAlign w:val="center"/>
          </w:tcPr>
          <w:p w:rsidR="00B94E8E" w:rsidRPr="00F9522B" w:rsidRDefault="00B94E8E">
            <w:pPr>
              <w:spacing w:line="0" w:lineRule="atLeast"/>
              <w:contextualSpacing/>
              <w:jc w:val="center"/>
              <w:rPr>
                <w:rFonts w:eastAsiaTheme="minorEastAsia"/>
                <w:snapToGrid w:val="0"/>
                <w:kern w:val="0"/>
                <w:szCs w:val="21"/>
              </w:rPr>
            </w:pPr>
            <w:r w:rsidRPr="00F9522B">
              <w:rPr>
                <w:rFonts w:eastAsiaTheme="minorEastAsia"/>
                <w:snapToGrid w:val="0"/>
                <w:kern w:val="0"/>
                <w:szCs w:val="21"/>
              </w:rPr>
              <w:t>居民</w:t>
            </w:r>
          </w:p>
        </w:tc>
        <w:tc>
          <w:tcPr>
            <w:tcW w:w="1359" w:type="dxa"/>
            <w:vMerge w:val="restart"/>
            <w:tcBorders>
              <w:left w:val="single" w:sz="2" w:space="0" w:color="auto"/>
            </w:tcBorders>
            <w:vAlign w:val="center"/>
          </w:tcPr>
          <w:p w:rsidR="00B94E8E" w:rsidRPr="00F9522B" w:rsidRDefault="00B94E8E">
            <w:pPr>
              <w:spacing w:line="0" w:lineRule="atLeast"/>
              <w:contextualSpacing/>
              <w:jc w:val="center"/>
              <w:rPr>
                <w:rFonts w:eastAsiaTheme="minorEastAsia"/>
                <w:snapToGrid w:val="0"/>
                <w:kern w:val="0"/>
                <w:szCs w:val="21"/>
              </w:rPr>
            </w:pPr>
            <w:r w:rsidRPr="00F9522B">
              <w:rPr>
                <w:rFonts w:eastAsiaTheme="minorEastAsia"/>
                <w:snapToGrid w:val="0"/>
                <w:kern w:val="0"/>
                <w:szCs w:val="21"/>
              </w:rPr>
              <w:t>《环境空气质量标准》（</w:t>
            </w:r>
            <w:r w:rsidR="00C07A9E" w:rsidRPr="00F9522B">
              <w:rPr>
                <w:rFonts w:eastAsiaTheme="minorEastAsia"/>
                <w:snapToGrid w:val="0"/>
                <w:kern w:val="0"/>
                <w:szCs w:val="21"/>
              </w:rPr>
              <w:t>GB3095-2026</w:t>
            </w:r>
            <w:r w:rsidRPr="00F9522B">
              <w:rPr>
                <w:rFonts w:eastAsiaTheme="minorEastAsia"/>
                <w:snapToGrid w:val="0"/>
                <w:kern w:val="0"/>
                <w:szCs w:val="21"/>
              </w:rPr>
              <w:t>）二级标准；</w:t>
            </w:r>
            <w:r w:rsidRPr="00F9522B">
              <w:rPr>
                <w:rFonts w:eastAsiaTheme="minorEastAsia"/>
                <w:kern w:val="0"/>
                <w:szCs w:val="21"/>
              </w:rPr>
              <w:t>《声环境质量标准》（</w:t>
            </w:r>
            <w:r w:rsidRPr="00F9522B">
              <w:rPr>
                <w:rFonts w:eastAsiaTheme="minorEastAsia"/>
                <w:kern w:val="0"/>
                <w:szCs w:val="21"/>
              </w:rPr>
              <w:t>GB3096-2008</w:t>
            </w:r>
            <w:r w:rsidRPr="00F9522B">
              <w:rPr>
                <w:rFonts w:eastAsiaTheme="minorEastAsia"/>
                <w:kern w:val="0"/>
                <w:szCs w:val="21"/>
              </w:rPr>
              <w:t>）</w:t>
            </w:r>
            <w:r w:rsidRPr="00F9522B">
              <w:rPr>
                <w:rFonts w:eastAsiaTheme="minorEastAsia"/>
                <w:kern w:val="0"/>
                <w:szCs w:val="21"/>
              </w:rPr>
              <w:t>1</w:t>
            </w:r>
            <w:r w:rsidRPr="00F9522B">
              <w:rPr>
                <w:rFonts w:eastAsiaTheme="minorEastAsia"/>
                <w:kern w:val="0"/>
                <w:szCs w:val="21"/>
              </w:rPr>
              <w:t>类</w:t>
            </w:r>
          </w:p>
        </w:tc>
      </w:tr>
      <w:tr w:rsidR="00083C7B" w:rsidRPr="00F9522B">
        <w:trPr>
          <w:trHeight w:val="148"/>
          <w:jc w:val="center"/>
        </w:trPr>
        <w:tc>
          <w:tcPr>
            <w:tcW w:w="1246" w:type="dxa"/>
            <w:vAlign w:val="center"/>
          </w:tcPr>
          <w:p w:rsidR="00083C7B" w:rsidRPr="00F9522B" w:rsidRDefault="00083C7B" w:rsidP="00E93DD8">
            <w:pPr>
              <w:spacing w:line="0" w:lineRule="atLeast"/>
              <w:jc w:val="center"/>
              <w:rPr>
                <w:rFonts w:eastAsiaTheme="minorEastAsia"/>
                <w:szCs w:val="21"/>
              </w:rPr>
            </w:pPr>
            <w:r w:rsidRPr="00F9522B">
              <w:rPr>
                <w:rFonts w:eastAsiaTheme="minorEastAsia"/>
                <w:szCs w:val="21"/>
              </w:rPr>
              <w:t>八里荒</w:t>
            </w:r>
          </w:p>
        </w:tc>
        <w:tc>
          <w:tcPr>
            <w:tcW w:w="891" w:type="dxa"/>
            <w:tcBorders>
              <w:top w:val="single" w:sz="4" w:space="0" w:color="auto"/>
            </w:tcBorders>
            <w:vAlign w:val="center"/>
          </w:tcPr>
          <w:p w:rsidR="00083C7B" w:rsidRPr="00F9522B" w:rsidRDefault="00083C7B"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126.8419396</w:t>
            </w:r>
          </w:p>
        </w:tc>
        <w:tc>
          <w:tcPr>
            <w:tcW w:w="893" w:type="dxa"/>
            <w:vAlign w:val="center"/>
          </w:tcPr>
          <w:p w:rsidR="00083C7B" w:rsidRPr="00F9522B" w:rsidRDefault="00083C7B"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46.057139</w:t>
            </w:r>
          </w:p>
        </w:tc>
        <w:tc>
          <w:tcPr>
            <w:tcW w:w="769" w:type="dxa"/>
            <w:vMerge/>
            <w:tcBorders>
              <w:right w:val="single" w:sz="2" w:space="0" w:color="auto"/>
            </w:tcBorders>
            <w:vAlign w:val="center"/>
          </w:tcPr>
          <w:p w:rsidR="00083C7B" w:rsidRPr="00F9522B" w:rsidRDefault="00083C7B">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083C7B" w:rsidRPr="00F9522B" w:rsidRDefault="002A3C0B">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w:t>
            </w:r>
            <w:r w:rsidR="00083C7B" w:rsidRPr="00F9522B">
              <w:rPr>
                <w:rFonts w:eastAsiaTheme="minorEastAsia"/>
                <w:snapToGrid w:val="0"/>
                <w:kern w:val="0"/>
                <w:szCs w:val="21"/>
              </w:rPr>
              <w:t>，南至农田，西至农田，北至农田</w:t>
            </w:r>
          </w:p>
        </w:tc>
        <w:tc>
          <w:tcPr>
            <w:tcW w:w="599" w:type="dxa"/>
            <w:vMerge/>
            <w:tcBorders>
              <w:left w:val="single" w:sz="2" w:space="0" w:color="auto"/>
            </w:tcBorders>
            <w:vAlign w:val="center"/>
          </w:tcPr>
          <w:p w:rsidR="00083C7B" w:rsidRPr="00F9522B" w:rsidRDefault="00083C7B">
            <w:pPr>
              <w:spacing w:line="0" w:lineRule="atLeast"/>
              <w:contextualSpacing/>
              <w:jc w:val="center"/>
              <w:rPr>
                <w:rFonts w:eastAsiaTheme="minorEastAsia"/>
                <w:snapToGrid w:val="0"/>
                <w:kern w:val="0"/>
                <w:szCs w:val="21"/>
              </w:rPr>
            </w:pPr>
          </w:p>
        </w:tc>
        <w:tc>
          <w:tcPr>
            <w:tcW w:w="1359" w:type="dxa"/>
            <w:vMerge/>
            <w:tcBorders>
              <w:left w:val="single" w:sz="2" w:space="0" w:color="auto"/>
            </w:tcBorders>
            <w:vAlign w:val="center"/>
          </w:tcPr>
          <w:p w:rsidR="00083C7B" w:rsidRPr="00F9522B" w:rsidRDefault="00083C7B">
            <w:pPr>
              <w:spacing w:line="0" w:lineRule="atLeast"/>
              <w:contextualSpacing/>
              <w:jc w:val="center"/>
              <w:rPr>
                <w:rFonts w:eastAsiaTheme="minorEastAsia"/>
                <w:snapToGrid w:val="0"/>
                <w:kern w:val="0"/>
                <w:szCs w:val="21"/>
              </w:rPr>
            </w:pPr>
          </w:p>
        </w:tc>
      </w:tr>
      <w:tr w:rsidR="00083C7B" w:rsidRPr="00F9522B">
        <w:trPr>
          <w:trHeight w:val="148"/>
          <w:jc w:val="center"/>
        </w:trPr>
        <w:tc>
          <w:tcPr>
            <w:tcW w:w="1246" w:type="dxa"/>
            <w:vAlign w:val="center"/>
          </w:tcPr>
          <w:p w:rsidR="00083C7B" w:rsidRPr="00F9522B" w:rsidRDefault="00083C7B" w:rsidP="00E93DD8">
            <w:pPr>
              <w:spacing w:line="0" w:lineRule="atLeast"/>
              <w:jc w:val="center"/>
              <w:rPr>
                <w:rFonts w:eastAsiaTheme="minorEastAsia"/>
                <w:szCs w:val="21"/>
              </w:rPr>
            </w:pPr>
            <w:r w:rsidRPr="00F9522B">
              <w:rPr>
                <w:rFonts w:eastAsiaTheme="minorEastAsia"/>
                <w:szCs w:val="21"/>
              </w:rPr>
              <w:t>榆树村</w:t>
            </w:r>
          </w:p>
        </w:tc>
        <w:tc>
          <w:tcPr>
            <w:tcW w:w="891" w:type="dxa"/>
            <w:vAlign w:val="center"/>
          </w:tcPr>
          <w:p w:rsidR="00083C7B" w:rsidRPr="00F9522B" w:rsidRDefault="00083C7B"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126.8536823</w:t>
            </w:r>
          </w:p>
        </w:tc>
        <w:tc>
          <w:tcPr>
            <w:tcW w:w="893" w:type="dxa"/>
            <w:vAlign w:val="center"/>
          </w:tcPr>
          <w:p w:rsidR="00083C7B" w:rsidRPr="00F9522B" w:rsidRDefault="00083C7B"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46.064760</w:t>
            </w:r>
          </w:p>
        </w:tc>
        <w:tc>
          <w:tcPr>
            <w:tcW w:w="769" w:type="dxa"/>
            <w:vMerge/>
            <w:tcBorders>
              <w:right w:val="single" w:sz="2" w:space="0" w:color="auto"/>
            </w:tcBorders>
            <w:vAlign w:val="center"/>
          </w:tcPr>
          <w:p w:rsidR="00083C7B" w:rsidRPr="00F9522B" w:rsidRDefault="00083C7B">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083C7B" w:rsidRPr="00F9522B" w:rsidRDefault="00083C7B" w:rsidP="002A3C0B">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w:t>
            </w:r>
            <w:r w:rsidR="002A3C0B" w:rsidRPr="00F9522B">
              <w:rPr>
                <w:rFonts w:eastAsiaTheme="minorEastAsia"/>
                <w:snapToGrid w:val="0"/>
                <w:kern w:val="0"/>
                <w:szCs w:val="21"/>
              </w:rPr>
              <w:t>及村路</w:t>
            </w:r>
            <w:r w:rsidRPr="00F9522B">
              <w:rPr>
                <w:rFonts w:eastAsiaTheme="minorEastAsia"/>
                <w:snapToGrid w:val="0"/>
                <w:kern w:val="0"/>
                <w:szCs w:val="21"/>
              </w:rPr>
              <w:t>，南至农田，西至农田，北至农田</w:t>
            </w:r>
          </w:p>
        </w:tc>
        <w:tc>
          <w:tcPr>
            <w:tcW w:w="599" w:type="dxa"/>
            <w:vMerge/>
            <w:tcBorders>
              <w:left w:val="single" w:sz="2" w:space="0" w:color="auto"/>
            </w:tcBorders>
            <w:vAlign w:val="center"/>
          </w:tcPr>
          <w:p w:rsidR="00083C7B" w:rsidRPr="00F9522B" w:rsidRDefault="00083C7B">
            <w:pPr>
              <w:spacing w:line="0" w:lineRule="atLeast"/>
              <w:contextualSpacing/>
              <w:jc w:val="center"/>
              <w:rPr>
                <w:rFonts w:eastAsiaTheme="minorEastAsia"/>
                <w:snapToGrid w:val="0"/>
                <w:kern w:val="0"/>
                <w:szCs w:val="21"/>
              </w:rPr>
            </w:pPr>
          </w:p>
        </w:tc>
        <w:tc>
          <w:tcPr>
            <w:tcW w:w="1359" w:type="dxa"/>
            <w:vMerge/>
            <w:tcBorders>
              <w:left w:val="single" w:sz="2" w:space="0" w:color="auto"/>
            </w:tcBorders>
            <w:vAlign w:val="center"/>
          </w:tcPr>
          <w:p w:rsidR="00083C7B" w:rsidRPr="00F9522B" w:rsidRDefault="00083C7B">
            <w:pPr>
              <w:spacing w:line="0" w:lineRule="atLeast"/>
              <w:contextualSpacing/>
              <w:jc w:val="center"/>
              <w:rPr>
                <w:rFonts w:eastAsiaTheme="minorEastAsia"/>
                <w:snapToGrid w:val="0"/>
                <w:kern w:val="0"/>
                <w:szCs w:val="21"/>
              </w:rPr>
            </w:pPr>
          </w:p>
        </w:tc>
      </w:tr>
      <w:tr w:rsidR="00083C7B" w:rsidRPr="00F9522B">
        <w:trPr>
          <w:trHeight w:val="148"/>
          <w:jc w:val="center"/>
        </w:trPr>
        <w:tc>
          <w:tcPr>
            <w:tcW w:w="1246" w:type="dxa"/>
            <w:vAlign w:val="center"/>
          </w:tcPr>
          <w:p w:rsidR="00083C7B" w:rsidRPr="00F9522B" w:rsidRDefault="00083C7B" w:rsidP="00E93DD8">
            <w:pPr>
              <w:spacing w:line="0" w:lineRule="atLeast"/>
              <w:jc w:val="center"/>
              <w:rPr>
                <w:rFonts w:eastAsiaTheme="minorEastAsia"/>
                <w:szCs w:val="21"/>
              </w:rPr>
            </w:pPr>
            <w:r w:rsidRPr="00F9522B">
              <w:rPr>
                <w:rFonts w:eastAsiaTheme="minorEastAsia"/>
                <w:szCs w:val="21"/>
              </w:rPr>
              <w:t>黄家窝堡</w:t>
            </w:r>
          </w:p>
        </w:tc>
        <w:tc>
          <w:tcPr>
            <w:tcW w:w="891" w:type="dxa"/>
            <w:vAlign w:val="center"/>
          </w:tcPr>
          <w:p w:rsidR="00083C7B" w:rsidRPr="00F9522B" w:rsidRDefault="00083C7B"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126.8681045</w:t>
            </w:r>
          </w:p>
        </w:tc>
        <w:tc>
          <w:tcPr>
            <w:tcW w:w="893" w:type="dxa"/>
            <w:vAlign w:val="center"/>
          </w:tcPr>
          <w:p w:rsidR="00083C7B" w:rsidRPr="00F9522B" w:rsidRDefault="00083C7B"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46.069591</w:t>
            </w:r>
          </w:p>
        </w:tc>
        <w:tc>
          <w:tcPr>
            <w:tcW w:w="769" w:type="dxa"/>
            <w:vMerge/>
            <w:tcBorders>
              <w:right w:val="single" w:sz="2" w:space="0" w:color="auto"/>
            </w:tcBorders>
            <w:vAlign w:val="center"/>
          </w:tcPr>
          <w:p w:rsidR="00083C7B" w:rsidRPr="00F9522B" w:rsidRDefault="00083C7B">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083C7B" w:rsidRPr="00F9522B" w:rsidRDefault="002E0468">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w:t>
            </w:r>
            <w:r w:rsidR="00083C7B" w:rsidRPr="00F9522B">
              <w:rPr>
                <w:rFonts w:eastAsiaTheme="minorEastAsia"/>
                <w:snapToGrid w:val="0"/>
                <w:kern w:val="0"/>
                <w:szCs w:val="21"/>
              </w:rPr>
              <w:t>，南至农田，西至农田，北至农田</w:t>
            </w:r>
          </w:p>
        </w:tc>
        <w:tc>
          <w:tcPr>
            <w:tcW w:w="599" w:type="dxa"/>
            <w:vMerge/>
            <w:tcBorders>
              <w:left w:val="single" w:sz="2" w:space="0" w:color="auto"/>
            </w:tcBorders>
            <w:vAlign w:val="center"/>
          </w:tcPr>
          <w:p w:rsidR="00083C7B" w:rsidRPr="00F9522B" w:rsidRDefault="00083C7B">
            <w:pPr>
              <w:spacing w:line="0" w:lineRule="atLeast"/>
              <w:contextualSpacing/>
              <w:jc w:val="center"/>
              <w:rPr>
                <w:rFonts w:eastAsiaTheme="minorEastAsia"/>
                <w:snapToGrid w:val="0"/>
                <w:kern w:val="0"/>
                <w:szCs w:val="21"/>
              </w:rPr>
            </w:pPr>
          </w:p>
        </w:tc>
        <w:tc>
          <w:tcPr>
            <w:tcW w:w="1359" w:type="dxa"/>
            <w:vMerge/>
            <w:tcBorders>
              <w:left w:val="single" w:sz="2" w:space="0" w:color="auto"/>
            </w:tcBorders>
            <w:vAlign w:val="center"/>
          </w:tcPr>
          <w:p w:rsidR="00083C7B" w:rsidRPr="00F9522B" w:rsidRDefault="00083C7B">
            <w:pPr>
              <w:spacing w:line="0" w:lineRule="atLeast"/>
              <w:contextualSpacing/>
              <w:jc w:val="center"/>
              <w:rPr>
                <w:rFonts w:eastAsiaTheme="minorEastAsia"/>
                <w:snapToGrid w:val="0"/>
                <w:kern w:val="0"/>
                <w:szCs w:val="21"/>
              </w:rPr>
            </w:pPr>
          </w:p>
        </w:tc>
      </w:tr>
      <w:tr w:rsidR="00083C7B" w:rsidRPr="00F9522B">
        <w:trPr>
          <w:trHeight w:val="148"/>
          <w:jc w:val="center"/>
        </w:trPr>
        <w:tc>
          <w:tcPr>
            <w:tcW w:w="1246" w:type="dxa"/>
            <w:vAlign w:val="center"/>
          </w:tcPr>
          <w:p w:rsidR="00083C7B" w:rsidRPr="00F9522B" w:rsidRDefault="00083C7B" w:rsidP="00E93DD8">
            <w:pPr>
              <w:spacing w:line="0" w:lineRule="atLeast"/>
              <w:jc w:val="center"/>
              <w:rPr>
                <w:rFonts w:eastAsiaTheme="minorEastAsia"/>
                <w:szCs w:val="21"/>
              </w:rPr>
            </w:pPr>
            <w:r w:rsidRPr="00F9522B">
              <w:rPr>
                <w:rFonts w:eastAsiaTheme="minorEastAsia"/>
                <w:szCs w:val="21"/>
              </w:rPr>
              <w:t>后关地</w:t>
            </w:r>
          </w:p>
        </w:tc>
        <w:tc>
          <w:tcPr>
            <w:tcW w:w="891" w:type="dxa"/>
            <w:vAlign w:val="center"/>
          </w:tcPr>
          <w:p w:rsidR="00083C7B" w:rsidRPr="00F9522B" w:rsidRDefault="00083C7B"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126.8913322</w:t>
            </w:r>
          </w:p>
        </w:tc>
        <w:tc>
          <w:tcPr>
            <w:tcW w:w="893" w:type="dxa"/>
            <w:vAlign w:val="center"/>
          </w:tcPr>
          <w:p w:rsidR="00083C7B" w:rsidRPr="00F9522B" w:rsidRDefault="00083C7B"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46.057161</w:t>
            </w:r>
          </w:p>
        </w:tc>
        <w:tc>
          <w:tcPr>
            <w:tcW w:w="769" w:type="dxa"/>
            <w:vMerge/>
            <w:tcBorders>
              <w:right w:val="single" w:sz="2" w:space="0" w:color="auto"/>
            </w:tcBorders>
            <w:vAlign w:val="center"/>
          </w:tcPr>
          <w:p w:rsidR="00083C7B" w:rsidRPr="00F9522B" w:rsidRDefault="00083C7B">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083C7B" w:rsidRPr="00F9522B" w:rsidRDefault="00083C7B" w:rsidP="002E0468">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东至农田，南至农田，西至农田</w:t>
            </w:r>
            <w:r w:rsidR="002E0468" w:rsidRPr="00F9522B">
              <w:rPr>
                <w:rFonts w:eastAsiaTheme="minorEastAsia"/>
                <w:snapToGrid w:val="0"/>
                <w:kern w:val="0"/>
                <w:szCs w:val="21"/>
              </w:rPr>
              <w:t>及村路</w:t>
            </w:r>
            <w:r w:rsidRPr="00F9522B">
              <w:rPr>
                <w:rFonts w:eastAsiaTheme="minorEastAsia"/>
                <w:snapToGrid w:val="0"/>
                <w:kern w:val="0"/>
                <w:szCs w:val="21"/>
              </w:rPr>
              <w:t>，北至农田</w:t>
            </w:r>
          </w:p>
        </w:tc>
        <w:tc>
          <w:tcPr>
            <w:tcW w:w="599" w:type="dxa"/>
            <w:vMerge/>
            <w:tcBorders>
              <w:left w:val="single" w:sz="2" w:space="0" w:color="auto"/>
            </w:tcBorders>
            <w:vAlign w:val="center"/>
          </w:tcPr>
          <w:p w:rsidR="00083C7B" w:rsidRPr="00F9522B" w:rsidRDefault="00083C7B">
            <w:pPr>
              <w:spacing w:line="0" w:lineRule="atLeast"/>
              <w:contextualSpacing/>
              <w:jc w:val="center"/>
              <w:rPr>
                <w:rFonts w:eastAsiaTheme="minorEastAsia"/>
                <w:snapToGrid w:val="0"/>
                <w:kern w:val="0"/>
                <w:szCs w:val="21"/>
              </w:rPr>
            </w:pPr>
          </w:p>
        </w:tc>
        <w:tc>
          <w:tcPr>
            <w:tcW w:w="1359" w:type="dxa"/>
            <w:vMerge/>
            <w:tcBorders>
              <w:left w:val="single" w:sz="2" w:space="0" w:color="auto"/>
            </w:tcBorders>
            <w:vAlign w:val="center"/>
          </w:tcPr>
          <w:p w:rsidR="00083C7B" w:rsidRPr="00F9522B" w:rsidRDefault="00083C7B">
            <w:pPr>
              <w:spacing w:line="0" w:lineRule="atLeast"/>
              <w:contextualSpacing/>
              <w:jc w:val="center"/>
              <w:rPr>
                <w:rFonts w:eastAsiaTheme="minorEastAsia"/>
                <w:snapToGrid w:val="0"/>
                <w:kern w:val="0"/>
                <w:szCs w:val="21"/>
              </w:rPr>
            </w:pPr>
          </w:p>
        </w:tc>
      </w:tr>
      <w:tr w:rsidR="00083C7B" w:rsidRPr="00F9522B">
        <w:trPr>
          <w:trHeight w:val="148"/>
          <w:jc w:val="center"/>
        </w:trPr>
        <w:tc>
          <w:tcPr>
            <w:tcW w:w="1246" w:type="dxa"/>
            <w:vAlign w:val="center"/>
          </w:tcPr>
          <w:p w:rsidR="00083C7B" w:rsidRPr="00F9522B" w:rsidRDefault="00083C7B" w:rsidP="00E93DD8">
            <w:pPr>
              <w:spacing w:line="0" w:lineRule="atLeast"/>
              <w:jc w:val="center"/>
              <w:rPr>
                <w:rFonts w:eastAsiaTheme="minorEastAsia"/>
                <w:szCs w:val="21"/>
              </w:rPr>
            </w:pPr>
            <w:r w:rsidRPr="00F9522B">
              <w:rPr>
                <w:rFonts w:eastAsiaTheme="minorEastAsia"/>
                <w:szCs w:val="21"/>
              </w:rPr>
              <w:t>泉眼</w:t>
            </w:r>
          </w:p>
        </w:tc>
        <w:tc>
          <w:tcPr>
            <w:tcW w:w="891" w:type="dxa"/>
            <w:vAlign w:val="center"/>
          </w:tcPr>
          <w:p w:rsidR="00083C7B" w:rsidRPr="00F9522B" w:rsidRDefault="00083C7B"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126.9401701</w:t>
            </w:r>
          </w:p>
        </w:tc>
        <w:tc>
          <w:tcPr>
            <w:tcW w:w="893" w:type="dxa"/>
            <w:vAlign w:val="center"/>
          </w:tcPr>
          <w:p w:rsidR="00083C7B" w:rsidRPr="00F9522B" w:rsidRDefault="00083C7B"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46.073121</w:t>
            </w:r>
          </w:p>
        </w:tc>
        <w:tc>
          <w:tcPr>
            <w:tcW w:w="769" w:type="dxa"/>
            <w:vMerge/>
            <w:tcBorders>
              <w:right w:val="single" w:sz="2" w:space="0" w:color="auto"/>
            </w:tcBorders>
            <w:vAlign w:val="center"/>
          </w:tcPr>
          <w:p w:rsidR="00083C7B" w:rsidRPr="00F9522B" w:rsidRDefault="00083C7B">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083C7B" w:rsidRPr="00F9522B" w:rsidRDefault="00083C7B">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w:t>
            </w:r>
            <w:r w:rsidR="002E0468" w:rsidRPr="00F9522B">
              <w:rPr>
                <w:rFonts w:eastAsiaTheme="minorEastAsia"/>
                <w:snapToGrid w:val="0"/>
                <w:kern w:val="0"/>
                <w:szCs w:val="21"/>
              </w:rPr>
              <w:t>及村路</w:t>
            </w:r>
            <w:r w:rsidRPr="00F9522B">
              <w:rPr>
                <w:rFonts w:eastAsiaTheme="minorEastAsia"/>
                <w:snapToGrid w:val="0"/>
                <w:kern w:val="0"/>
                <w:szCs w:val="21"/>
              </w:rPr>
              <w:t>，南至农田，西至农田</w:t>
            </w:r>
            <w:r w:rsidR="002E0468" w:rsidRPr="00F9522B">
              <w:rPr>
                <w:rFonts w:eastAsiaTheme="minorEastAsia"/>
                <w:snapToGrid w:val="0"/>
                <w:kern w:val="0"/>
                <w:szCs w:val="21"/>
              </w:rPr>
              <w:t>及村路</w:t>
            </w:r>
            <w:r w:rsidRPr="00F9522B">
              <w:rPr>
                <w:rFonts w:eastAsiaTheme="minorEastAsia"/>
                <w:snapToGrid w:val="0"/>
                <w:kern w:val="0"/>
                <w:szCs w:val="21"/>
              </w:rPr>
              <w:t>，北至农田</w:t>
            </w:r>
          </w:p>
        </w:tc>
        <w:tc>
          <w:tcPr>
            <w:tcW w:w="599" w:type="dxa"/>
            <w:vMerge/>
            <w:tcBorders>
              <w:left w:val="single" w:sz="2" w:space="0" w:color="auto"/>
            </w:tcBorders>
            <w:vAlign w:val="center"/>
          </w:tcPr>
          <w:p w:rsidR="00083C7B" w:rsidRPr="00F9522B" w:rsidRDefault="00083C7B">
            <w:pPr>
              <w:spacing w:line="0" w:lineRule="atLeast"/>
              <w:contextualSpacing/>
              <w:jc w:val="center"/>
              <w:rPr>
                <w:rFonts w:eastAsiaTheme="minorEastAsia"/>
                <w:snapToGrid w:val="0"/>
                <w:kern w:val="0"/>
                <w:szCs w:val="21"/>
              </w:rPr>
            </w:pPr>
          </w:p>
        </w:tc>
        <w:tc>
          <w:tcPr>
            <w:tcW w:w="1359" w:type="dxa"/>
            <w:vMerge/>
            <w:tcBorders>
              <w:left w:val="single" w:sz="2" w:space="0" w:color="auto"/>
            </w:tcBorders>
            <w:vAlign w:val="center"/>
          </w:tcPr>
          <w:p w:rsidR="00083C7B" w:rsidRPr="00F9522B" w:rsidRDefault="00083C7B">
            <w:pPr>
              <w:spacing w:line="0" w:lineRule="atLeast"/>
              <w:contextualSpacing/>
              <w:jc w:val="center"/>
              <w:rPr>
                <w:rFonts w:eastAsiaTheme="minorEastAsia"/>
                <w:snapToGrid w:val="0"/>
                <w:kern w:val="0"/>
                <w:szCs w:val="21"/>
              </w:rPr>
            </w:pPr>
          </w:p>
        </w:tc>
      </w:tr>
      <w:tr w:rsidR="00083C7B" w:rsidRPr="00F9522B">
        <w:trPr>
          <w:trHeight w:val="148"/>
          <w:jc w:val="center"/>
        </w:trPr>
        <w:tc>
          <w:tcPr>
            <w:tcW w:w="1246" w:type="dxa"/>
            <w:vAlign w:val="center"/>
          </w:tcPr>
          <w:p w:rsidR="00083C7B" w:rsidRPr="00F9522B" w:rsidRDefault="00083C7B" w:rsidP="00E93DD8">
            <w:pPr>
              <w:spacing w:line="0" w:lineRule="atLeast"/>
              <w:jc w:val="center"/>
              <w:rPr>
                <w:rFonts w:eastAsiaTheme="minorEastAsia"/>
                <w:szCs w:val="21"/>
              </w:rPr>
            </w:pPr>
            <w:r w:rsidRPr="00F9522B">
              <w:rPr>
                <w:rFonts w:eastAsiaTheme="minorEastAsia"/>
                <w:szCs w:val="21"/>
              </w:rPr>
              <w:t>南城李</w:t>
            </w:r>
          </w:p>
        </w:tc>
        <w:tc>
          <w:tcPr>
            <w:tcW w:w="891" w:type="dxa"/>
            <w:vAlign w:val="center"/>
          </w:tcPr>
          <w:p w:rsidR="00083C7B" w:rsidRPr="00F9522B" w:rsidRDefault="00083C7B"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126.9544931</w:t>
            </w:r>
          </w:p>
        </w:tc>
        <w:tc>
          <w:tcPr>
            <w:tcW w:w="893" w:type="dxa"/>
            <w:vAlign w:val="center"/>
          </w:tcPr>
          <w:p w:rsidR="00083C7B" w:rsidRPr="00F9522B" w:rsidRDefault="00083C7B"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46.0818368</w:t>
            </w:r>
          </w:p>
        </w:tc>
        <w:tc>
          <w:tcPr>
            <w:tcW w:w="769" w:type="dxa"/>
            <w:vMerge/>
            <w:tcBorders>
              <w:right w:val="single" w:sz="2" w:space="0" w:color="auto"/>
            </w:tcBorders>
            <w:vAlign w:val="center"/>
          </w:tcPr>
          <w:p w:rsidR="00083C7B" w:rsidRPr="00F9522B" w:rsidRDefault="00083C7B">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083C7B" w:rsidRPr="00F9522B" w:rsidRDefault="00083C7B">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w:t>
            </w:r>
            <w:r w:rsidR="0059036D" w:rsidRPr="00F9522B">
              <w:rPr>
                <w:rFonts w:eastAsiaTheme="minorEastAsia"/>
                <w:snapToGrid w:val="0"/>
                <w:kern w:val="0"/>
                <w:szCs w:val="21"/>
              </w:rPr>
              <w:t>及村道</w:t>
            </w:r>
            <w:r w:rsidRPr="00F9522B">
              <w:rPr>
                <w:rFonts w:eastAsiaTheme="minorEastAsia"/>
                <w:snapToGrid w:val="0"/>
                <w:kern w:val="0"/>
                <w:szCs w:val="21"/>
              </w:rPr>
              <w:t>，南至</w:t>
            </w:r>
            <w:r w:rsidR="002E0468" w:rsidRPr="00F9522B">
              <w:rPr>
                <w:rFonts w:eastAsiaTheme="minorEastAsia"/>
                <w:snapToGrid w:val="0"/>
                <w:kern w:val="0"/>
                <w:szCs w:val="21"/>
              </w:rPr>
              <w:t>空地</w:t>
            </w:r>
            <w:r w:rsidRPr="00F9522B">
              <w:rPr>
                <w:rFonts w:eastAsiaTheme="minorEastAsia"/>
                <w:snapToGrid w:val="0"/>
                <w:kern w:val="0"/>
                <w:szCs w:val="21"/>
              </w:rPr>
              <w:t>，西至农田及村道，北至农田及村路</w:t>
            </w:r>
          </w:p>
        </w:tc>
        <w:tc>
          <w:tcPr>
            <w:tcW w:w="599" w:type="dxa"/>
            <w:vMerge/>
            <w:tcBorders>
              <w:left w:val="single" w:sz="2" w:space="0" w:color="auto"/>
            </w:tcBorders>
            <w:vAlign w:val="center"/>
          </w:tcPr>
          <w:p w:rsidR="00083C7B" w:rsidRPr="00F9522B" w:rsidRDefault="00083C7B">
            <w:pPr>
              <w:spacing w:line="0" w:lineRule="atLeast"/>
              <w:contextualSpacing/>
              <w:jc w:val="center"/>
              <w:rPr>
                <w:rFonts w:eastAsiaTheme="minorEastAsia"/>
                <w:snapToGrid w:val="0"/>
                <w:kern w:val="0"/>
                <w:szCs w:val="21"/>
              </w:rPr>
            </w:pPr>
          </w:p>
        </w:tc>
        <w:tc>
          <w:tcPr>
            <w:tcW w:w="1359" w:type="dxa"/>
            <w:vMerge/>
            <w:tcBorders>
              <w:left w:val="single" w:sz="2" w:space="0" w:color="auto"/>
            </w:tcBorders>
            <w:vAlign w:val="center"/>
          </w:tcPr>
          <w:p w:rsidR="00083C7B" w:rsidRPr="00F9522B" w:rsidRDefault="00083C7B">
            <w:pPr>
              <w:spacing w:line="0" w:lineRule="atLeast"/>
              <w:contextualSpacing/>
              <w:jc w:val="center"/>
              <w:rPr>
                <w:rFonts w:eastAsiaTheme="minorEastAsia"/>
                <w:snapToGrid w:val="0"/>
                <w:kern w:val="0"/>
                <w:szCs w:val="21"/>
              </w:rPr>
            </w:pPr>
          </w:p>
        </w:tc>
      </w:tr>
    </w:tbl>
    <w:p w:rsidR="00565A50" w:rsidRPr="00F9522B" w:rsidRDefault="00565A50"/>
    <w:p w:rsidR="00565A50" w:rsidRPr="00F9522B" w:rsidRDefault="00565A50"/>
    <w:p w:rsidR="00565A50" w:rsidRPr="00F9522B" w:rsidRDefault="00565A50"/>
    <w:p w:rsidR="00565A50" w:rsidRPr="00F9522B" w:rsidRDefault="00565A50"/>
    <w:p w:rsidR="00565A50" w:rsidRPr="00F9522B" w:rsidRDefault="00565A50"/>
    <w:p w:rsidR="00565A50" w:rsidRPr="00F9522B" w:rsidRDefault="00565A50"/>
    <w:p w:rsidR="00565A50" w:rsidRPr="00F9522B" w:rsidRDefault="00565A50"/>
    <w:p w:rsidR="00565A50" w:rsidRPr="00F9522B" w:rsidRDefault="00565A50"/>
    <w:p w:rsidR="00565A50" w:rsidRPr="00F9522B" w:rsidRDefault="00565A50"/>
    <w:p w:rsidR="00565A50" w:rsidRPr="00F9522B" w:rsidRDefault="00565A50" w:rsidP="00565A50">
      <w:pPr>
        <w:contextualSpacing/>
        <w:jc w:val="center"/>
        <w:rPr>
          <w:rFonts w:eastAsiaTheme="minorEastAsia"/>
          <w:b/>
          <w:kern w:val="0"/>
          <w:szCs w:val="21"/>
        </w:rPr>
      </w:pPr>
      <w:r w:rsidRPr="00F9522B">
        <w:rPr>
          <w:rFonts w:eastAsiaTheme="minorEastAsia"/>
          <w:b/>
          <w:kern w:val="0"/>
          <w:szCs w:val="21"/>
        </w:rPr>
        <w:lastRenderedPageBreak/>
        <w:t>续表</w:t>
      </w:r>
      <w:r w:rsidRPr="00F9522B">
        <w:rPr>
          <w:rFonts w:eastAsiaTheme="minorEastAsia"/>
          <w:b/>
          <w:kern w:val="0"/>
          <w:szCs w:val="21"/>
        </w:rPr>
        <w:t>4-4-1</w:t>
      </w:r>
      <w:r w:rsidRPr="00F9522B">
        <w:rPr>
          <w:rFonts w:eastAsiaTheme="minorEastAsia"/>
          <w:b/>
          <w:kern w:val="0"/>
          <w:szCs w:val="21"/>
        </w:rPr>
        <w:t>环境保护目标调查表</w:t>
      </w:r>
    </w:p>
    <w:tbl>
      <w:tblPr>
        <w:tblStyle w:val="afc"/>
        <w:tblW w:w="8571" w:type="dxa"/>
        <w:jc w:val="center"/>
        <w:tblBorders>
          <w:top w:val="single" w:sz="12" w:space="0" w:color="auto"/>
          <w:left w:val="none" w:sz="0" w:space="0" w:color="auto"/>
          <w:bottom w:val="single" w:sz="12" w:space="0" w:color="auto"/>
          <w:right w:val="none" w:sz="0" w:space="0" w:color="auto"/>
          <w:insideH w:val="single" w:sz="2" w:space="0" w:color="auto"/>
          <w:insideV w:val="single" w:sz="2" w:space="0" w:color="auto"/>
        </w:tblBorders>
        <w:tblLayout w:type="fixed"/>
        <w:tblLook w:val="04A0"/>
      </w:tblPr>
      <w:tblGrid>
        <w:gridCol w:w="1246"/>
        <w:gridCol w:w="891"/>
        <w:gridCol w:w="893"/>
        <w:gridCol w:w="769"/>
        <w:gridCol w:w="2832"/>
        <w:gridCol w:w="599"/>
        <w:gridCol w:w="1341"/>
      </w:tblGrid>
      <w:tr w:rsidR="00565A50" w:rsidRPr="00F9522B" w:rsidTr="00565A50">
        <w:trPr>
          <w:trHeight w:val="549"/>
          <w:jc w:val="center"/>
        </w:trPr>
        <w:tc>
          <w:tcPr>
            <w:tcW w:w="1246" w:type="dxa"/>
            <w:vAlign w:val="center"/>
          </w:tcPr>
          <w:p w:rsidR="00565A50" w:rsidRPr="00F9522B" w:rsidRDefault="00565A50" w:rsidP="00E93DD8">
            <w:pPr>
              <w:spacing w:line="0" w:lineRule="atLeast"/>
              <w:jc w:val="center"/>
              <w:rPr>
                <w:rFonts w:eastAsiaTheme="minorEastAsia"/>
                <w:szCs w:val="21"/>
              </w:rPr>
            </w:pPr>
            <w:r w:rsidRPr="00F9522B">
              <w:rPr>
                <w:rFonts w:eastAsiaTheme="minorEastAsia"/>
                <w:szCs w:val="21"/>
              </w:rPr>
              <w:t>方台镇</w:t>
            </w:r>
          </w:p>
        </w:tc>
        <w:tc>
          <w:tcPr>
            <w:tcW w:w="891" w:type="dxa"/>
            <w:vAlign w:val="center"/>
          </w:tcPr>
          <w:p w:rsidR="00565A50" w:rsidRPr="00F9522B" w:rsidRDefault="00565A50" w:rsidP="00E93DD8">
            <w:pPr>
              <w:adjustRightInd w:val="0"/>
              <w:snapToGrid w:val="0"/>
              <w:spacing w:line="0" w:lineRule="atLeast"/>
              <w:jc w:val="center"/>
              <w:rPr>
                <w:rFonts w:eastAsiaTheme="minorEastAsia"/>
                <w:snapToGrid w:val="0"/>
                <w:szCs w:val="21"/>
              </w:rPr>
            </w:pPr>
            <w:r w:rsidRPr="00F9522B">
              <w:rPr>
                <w:rFonts w:eastAsiaTheme="minorEastAsia"/>
                <w:szCs w:val="21"/>
              </w:rPr>
              <w:t>126.9386681</w:t>
            </w:r>
          </w:p>
        </w:tc>
        <w:tc>
          <w:tcPr>
            <w:tcW w:w="893" w:type="dxa"/>
            <w:vAlign w:val="center"/>
          </w:tcPr>
          <w:p w:rsidR="00565A50" w:rsidRPr="00F9522B" w:rsidRDefault="00565A5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46.089962</w:t>
            </w:r>
          </w:p>
        </w:tc>
        <w:tc>
          <w:tcPr>
            <w:tcW w:w="769" w:type="dxa"/>
            <w:vMerge w:val="restart"/>
            <w:tcBorders>
              <w:right w:val="single" w:sz="2" w:space="0" w:color="auto"/>
            </w:tcBorders>
            <w:vAlign w:val="center"/>
          </w:tcPr>
          <w:p w:rsidR="00565A50" w:rsidRPr="00F9522B" w:rsidRDefault="00565A50" w:rsidP="004031CB">
            <w:pPr>
              <w:pStyle w:val="aff7"/>
              <w:spacing w:line="0" w:lineRule="atLeast"/>
              <w:contextualSpacing/>
              <w:rPr>
                <w:rFonts w:eastAsiaTheme="minorEastAsia" w:hAnsi="Times New Roman"/>
                <w:snapToGrid w:val="0"/>
                <w:kern w:val="0"/>
              </w:rPr>
            </w:pPr>
            <w:r w:rsidRPr="00F9522B">
              <w:rPr>
                <w:rFonts w:eastAsiaTheme="minorEastAsia" w:hAnsi="Times New Roman"/>
                <w:snapToGrid w:val="0"/>
                <w:kern w:val="0"/>
              </w:rPr>
              <w:t>农村</w:t>
            </w:r>
          </w:p>
        </w:tc>
        <w:tc>
          <w:tcPr>
            <w:tcW w:w="2832" w:type="dxa"/>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东至农田及村道，南至农田及厂房，西至农田及村道，北至农田及村路</w:t>
            </w:r>
          </w:p>
        </w:tc>
        <w:tc>
          <w:tcPr>
            <w:tcW w:w="599" w:type="dxa"/>
            <w:vMerge w:val="restart"/>
            <w:tcBorders>
              <w:left w:val="single" w:sz="2" w:space="0" w:color="auto"/>
            </w:tcBorders>
            <w:vAlign w:val="center"/>
          </w:tcPr>
          <w:p w:rsidR="00565A50" w:rsidRPr="00F9522B" w:rsidRDefault="00565A50" w:rsidP="004031CB">
            <w:pPr>
              <w:spacing w:line="0" w:lineRule="atLeast"/>
              <w:contextualSpacing/>
              <w:jc w:val="center"/>
              <w:rPr>
                <w:rFonts w:eastAsiaTheme="minorEastAsia"/>
                <w:snapToGrid w:val="0"/>
                <w:kern w:val="0"/>
                <w:szCs w:val="21"/>
              </w:rPr>
            </w:pPr>
            <w:r w:rsidRPr="00F9522B">
              <w:rPr>
                <w:rFonts w:eastAsiaTheme="minorEastAsia"/>
                <w:snapToGrid w:val="0"/>
                <w:kern w:val="0"/>
                <w:szCs w:val="21"/>
              </w:rPr>
              <w:t>居民</w:t>
            </w:r>
          </w:p>
        </w:tc>
        <w:tc>
          <w:tcPr>
            <w:tcW w:w="1341" w:type="dxa"/>
            <w:vMerge w:val="restart"/>
            <w:tcBorders>
              <w:left w:val="single" w:sz="2" w:space="0" w:color="auto"/>
            </w:tcBorders>
            <w:vAlign w:val="center"/>
          </w:tcPr>
          <w:p w:rsidR="00565A50" w:rsidRPr="00F9522B" w:rsidRDefault="00565A50" w:rsidP="00C07A9E">
            <w:pPr>
              <w:spacing w:line="0" w:lineRule="atLeast"/>
              <w:contextualSpacing/>
              <w:jc w:val="center"/>
              <w:rPr>
                <w:rFonts w:eastAsiaTheme="minorEastAsia"/>
                <w:snapToGrid w:val="0"/>
                <w:kern w:val="0"/>
                <w:szCs w:val="21"/>
              </w:rPr>
            </w:pPr>
            <w:r w:rsidRPr="00F9522B">
              <w:rPr>
                <w:rFonts w:eastAsiaTheme="minorEastAsia"/>
                <w:snapToGrid w:val="0"/>
                <w:kern w:val="0"/>
                <w:szCs w:val="21"/>
              </w:rPr>
              <w:t>《环境空气质量标准》（</w:t>
            </w:r>
            <w:r w:rsidRPr="00F9522B">
              <w:rPr>
                <w:rFonts w:eastAsiaTheme="minorEastAsia"/>
                <w:snapToGrid w:val="0"/>
                <w:kern w:val="0"/>
                <w:szCs w:val="21"/>
              </w:rPr>
              <w:t>GB3095-20</w:t>
            </w:r>
            <w:r w:rsidR="00C07A9E" w:rsidRPr="00F9522B">
              <w:rPr>
                <w:rFonts w:eastAsiaTheme="minorEastAsia"/>
                <w:snapToGrid w:val="0"/>
                <w:kern w:val="0"/>
                <w:szCs w:val="21"/>
              </w:rPr>
              <w:t>26</w:t>
            </w:r>
            <w:r w:rsidRPr="00F9522B">
              <w:rPr>
                <w:rFonts w:eastAsiaTheme="minorEastAsia"/>
                <w:snapToGrid w:val="0"/>
                <w:kern w:val="0"/>
                <w:szCs w:val="21"/>
              </w:rPr>
              <w:t>）二级标准；</w:t>
            </w:r>
            <w:r w:rsidRPr="00F9522B">
              <w:rPr>
                <w:rFonts w:eastAsiaTheme="minorEastAsia"/>
                <w:kern w:val="0"/>
                <w:szCs w:val="21"/>
              </w:rPr>
              <w:t>《声环境质量标准》（</w:t>
            </w:r>
            <w:r w:rsidRPr="00F9522B">
              <w:rPr>
                <w:rFonts w:eastAsiaTheme="minorEastAsia"/>
                <w:kern w:val="0"/>
                <w:szCs w:val="21"/>
              </w:rPr>
              <w:t>GB3096-2008</w:t>
            </w:r>
            <w:r w:rsidRPr="00F9522B">
              <w:rPr>
                <w:rFonts w:eastAsiaTheme="minorEastAsia"/>
                <w:kern w:val="0"/>
                <w:szCs w:val="21"/>
              </w:rPr>
              <w:t>）</w:t>
            </w:r>
            <w:r w:rsidRPr="00F9522B">
              <w:rPr>
                <w:rFonts w:eastAsiaTheme="minorEastAsia"/>
                <w:kern w:val="0"/>
                <w:szCs w:val="21"/>
              </w:rPr>
              <w:t>1</w:t>
            </w:r>
            <w:r w:rsidRPr="00F9522B">
              <w:rPr>
                <w:rFonts w:eastAsiaTheme="minorEastAsia"/>
                <w:kern w:val="0"/>
                <w:szCs w:val="21"/>
              </w:rPr>
              <w:t>类</w:t>
            </w:r>
          </w:p>
        </w:tc>
      </w:tr>
      <w:tr w:rsidR="00565A50" w:rsidRPr="00F9522B" w:rsidTr="00565A50">
        <w:trPr>
          <w:trHeight w:val="549"/>
          <w:jc w:val="center"/>
        </w:trPr>
        <w:tc>
          <w:tcPr>
            <w:tcW w:w="1246" w:type="dxa"/>
            <w:vAlign w:val="center"/>
          </w:tcPr>
          <w:p w:rsidR="00565A50" w:rsidRPr="00F9522B" w:rsidRDefault="00565A50" w:rsidP="00E93DD8">
            <w:pPr>
              <w:spacing w:line="0" w:lineRule="atLeast"/>
              <w:jc w:val="center"/>
              <w:rPr>
                <w:rFonts w:eastAsiaTheme="minorEastAsia"/>
                <w:szCs w:val="21"/>
              </w:rPr>
            </w:pPr>
            <w:r w:rsidRPr="00F9522B">
              <w:rPr>
                <w:rFonts w:eastAsiaTheme="minorEastAsia"/>
                <w:szCs w:val="21"/>
              </w:rPr>
              <w:t>阿堡村</w:t>
            </w:r>
          </w:p>
        </w:tc>
        <w:tc>
          <w:tcPr>
            <w:tcW w:w="891" w:type="dxa"/>
            <w:vAlign w:val="center"/>
          </w:tcPr>
          <w:p w:rsidR="00565A50" w:rsidRPr="00F9522B" w:rsidRDefault="00565A50" w:rsidP="00E93DD8">
            <w:pPr>
              <w:rPr>
                <w:rFonts w:eastAsiaTheme="minorEastAsia"/>
                <w:szCs w:val="21"/>
              </w:rPr>
            </w:pPr>
            <w:r w:rsidRPr="00F9522B">
              <w:rPr>
                <w:rFonts w:eastAsiaTheme="minorEastAsia"/>
                <w:szCs w:val="21"/>
              </w:rPr>
              <w:t>126.9892224</w:t>
            </w:r>
          </w:p>
        </w:tc>
        <w:tc>
          <w:tcPr>
            <w:tcW w:w="893" w:type="dxa"/>
            <w:vAlign w:val="center"/>
          </w:tcPr>
          <w:p w:rsidR="00565A50" w:rsidRPr="00F9522B" w:rsidRDefault="00565A5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46.100081</w:t>
            </w:r>
          </w:p>
        </w:tc>
        <w:tc>
          <w:tcPr>
            <w:tcW w:w="769" w:type="dxa"/>
            <w:vMerge/>
            <w:tcBorders>
              <w:right w:val="single" w:sz="2" w:space="0" w:color="auto"/>
            </w:tcBorders>
            <w:vAlign w:val="center"/>
          </w:tcPr>
          <w:p w:rsidR="00565A50" w:rsidRPr="00F9522B" w:rsidRDefault="00565A50" w:rsidP="004031CB">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565A50" w:rsidRPr="00F9522B" w:rsidRDefault="00565A50" w:rsidP="0059036D">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东至农田及村道，南至农田及厂房，西至农田及村道，北至农田及村路</w:t>
            </w:r>
          </w:p>
        </w:tc>
        <w:tc>
          <w:tcPr>
            <w:tcW w:w="599" w:type="dxa"/>
            <w:vMerge/>
            <w:tcBorders>
              <w:left w:val="single" w:sz="2" w:space="0" w:color="auto"/>
            </w:tcBorders>
            <w:vAlign w:val="center"/>
          </w:tcPr>
          <w:p w:rsidR="00565A50" w:rsidRPr="00F9522B" w:rsidRDefault="00565A50" w:rsidP="004031CB">
            <w:pPr>
              <w:spacing w:line="0" w:lineRule="atLeast"/>
              <w:contextualSpacing/>
              <w:jc w:val="center"/>
              <w:rPr>
                <w:rFonts w:eastAsiaTheme="minorEastAsia"/>
                <w:snapToGrid w:val="0"/>
                <w:kern w:val="0"/>
                <w:szCs w:val="21"/>
              </w:rPr>
            </w:pPr>
          </w:p>
        </w:tc>
        <w:tc>
          <w:tcPr>
            <w:tcW w:w="1341" w:type="dxa"/>
            <w:vMerge/>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p>
        </w:tc>
      </w:tr>
      <w:tr w:rsidR="00565A50" w:rsidRPr="00F9522B" w:rsidTr="00565A50">
        <w:trPr>
          <w:trHeight w:val="549"/>
          <w:jc w:val="center"/>
        </w:trPr>
        <w:tc>
          <w:tcPr>
            <w:tcW w:w="1246" w:type="dxa"/>
            <w:vAlign w:val="center"/>
          </w:tcPr>
          <w:p w:rsidR="00565A50" w:rsidRPr="00F9522B" w:rsidRDefault="00565A50" w:rsidP="00E93DD8">
            <w:pPr>
              <w:spacing w:line="0" w:lineRule="atLeast"/>
              <w:jc w:val="center"/>
              <w:rPr>
                <w:rFonts w:eastAsiaTheme="minorEastAsia"/>
                <w:szCs w:val="21"/>
              </w:rPr>
            </w:pPr>
            <w:r w:rsidRPr="00F9522B">
              <w:rPr>
                <w:rFonts w:eastAsiaTheme="minorEastAsia"/>
                <w:szCs w:val="21"/>
              </w:rPr>
              <w:t>小宛家</w:t>
            </w:r>
          </w:p>
        </w:tc>
        <w:tc>
          <w:tcPr>
            <w:tcW w:w="891" w:type="dxa"/>
            <w:vAlign w:val="center"/>
          </w:tcPr>
          <w:p w:rsidR="00565A50" w:rsidRPr="00F9522B" w:rsidRDefault="00565A5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126.9658335</w:t>
            </w:r>
          </w:p>
        </w:tc>
        <w:tc>
          <w:tcPr>
            <w:tcW w:w="893" w:type="dxa"/>
            <w:vAlign w:val="center"/>
          </w:tcPr>
          <w:p w:rsidR="00565A50" w:rsidRPr="00F9522B" w:rsidRDefault="00565A5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46.106032</w:t>
            </w:r>
          </w:p>
        </w:tc>
        <w:tc>
          <w:tcPr>
            <w:tcW w:w="769" w:type="dxa"/>
            <w:vMerge/>
            <w:tcBorders>
              <w:right w:val="single" w:sz="2" w:space="0" w:color="auto"/>
            </w:tcBorders>
            <w:vAlign w:val="center"/>
          </w:tcPr>
          <w:p w:rsidR="00565A50" w:rsidRPr="00F9522B" w:rsidRDefault="00565A50" w:rsidP="004031CB">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东至农田及村道，南至农田，西至农田，北至农田</w:t>
            </w:r>
          </w:p>
        </w:tc>
        <w:tc>
          <w:tcPr>
            <w:tcW w:w="599" w:type="dxa"/>
            <w:vMerge/>
            <w:tcBorders>
              <w:left w:val="single" w:sz="2" w:space="0" w:color="auto"/>
            </w:tcBorders>
            <w:vAlign w:val="center"/>
          </w:tcPr>
          <w:p w:rsidR="00565A50" w:rsidRPr="00F9522B" w:rsidRDefault="00565A50" w:rsidP="004031CB">
            <w:pPr>
              <w:spacing w:line="0" w:lineRule="atLeast"/>
              <w:contextualSpacing/>
              <w:jc w:val="center"/>
              <w:rPr>
                <w:rFonts w:eastAsiaTheme="minorEastAsia"/>
                <w:snapToGrid w:val="0"/>
                <w:kern w:val="0"/>
                <w:szCs w:val="21"/>
              </w:rPr>
            </w:pPr>
          </w:p>
        </w:tc>
        <w:tc>
          <w:tcPr>
            <w:tcW w:w="1341" w:type="dxa"/>
            <w:vMerge/>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p>
        </w:tc>
      </w:tr>
      <w:tr w:rsidR="00565A50" w:rsidRPr="00F9522B" w:rsidTr="00565A50">
        <w:trPr>
          <w:trHeight w:val="549"/>
          <w:jc w:val="center"/>
        </w:trPr>
        <w:tc>
          <w:tcPr>
            <w:tcW w:w="1246" w:type="dxa"/>
            <w:vAlign w:val="center"/>
          </w:tcPr>
          <w:p w:rsidR="00565A50" w:rsidRPr="00F9522B" w:rsidRDefault="00565A50" w:rsidP="00E93DD8">
            <w:pPr>
              <w:spacing w:line="0" w:lineRule="atLeast"/>
              <w:jc w:val="center"/>
              <w:rPr>
                <w:rFonts w:eastAsiaTheme="minorEastAsia"/>
                <w:szCs w:val="21"/>
              </w:rPr>
            </w:pPr>
            <w:r w:rsidRPr="00F9522B">
              <w:rPr>
                <w:rFonts w:eastAsiaTheme="minorEastAsia"/>
                <w:szCs w:val="21"/>
              </w:rPr>
              <w:t>新立</w:t>
            </w:r>
          </w:p>
        </w:tc>
        <w:tc>
          <w:tcPr>
            <w:tcW w:w="891" w:type="dxa"/>
            <w:vAlign w:val="center"/>
          </w:tcPr>
          <w:p w:rsidR="00565A50" w:rsidRPr="00F9522B" w:rsidRDefault="00565A5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126.9865616</w:t>
            </w:r>
          </w:p>
        </w:tc>
        <w:tc>
          <w:tcPr>
            <w:tcW w:w="893" w:type="dxa"/>
            <w:vAlign w:val="center"/>
          </w:tcPr>
          <w:p w:rsidR="00565A50" w:rsidRPr="00F9522B" w:rsidRDefault="00565A5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46.115344</w:t>
            </w:r>
          </w:p>
        </w:tc>
        <w:tc>
          <w:tcPr>
            <w:tcW w:w="769" w:type="dxa"/>
            <w:vMerge/>
            <w:tcBorders>
              <w:right w:val="single" w:sz="2" w:space="0" w:color="auto"/>
            </w:tcBorders>
            <w:vAlign w:val="center"/>
          </w:tcPr>
          <w:p w:rsidR="00565A50" w:rsidRPr="00F9522B" w:rsidRDefault="00565A50" w:rsidP="004031CB">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东至农田，南至农田及村道，西至农田，北至农田</w:t>
            </w:r>
          </w:p>
        </w:tc>
        <w:tc>
          <w:tcPr>
            <w:tcW w:w="599" w:type="dxa"/>
            <w:vMerge/>
            <w:tcBorders>
              <w:left w:val="single" w:sz="2" w:space="0" w:color="auto"/>
            </w:tcBorders>
            <w:vAlign w:val="center"/>
          </w:tcPr>
          <w:p w:rsidR="00565A50" w:rsidRPr="00F9522B" w:rsidRDefault="00565A50" w:rsidP="004031CB">
            <w:pPr>
              <w:spacing w:line="0" w:lineRule="atLeast"/>
              <w:contextualSpacing/>
              <w:jc w:val="center"/>
              <w:rPr>
                <w:rFonts w:eastAsiaTheme="minorEastAsia"/>
                <w:snapToGrid w:val="0"/>
                <w:kern w:val="0"/>
                <w:szCs w:val="21"/>
              </w:rPr>
            </w:pPr>
          </w:p>
        </w:tc>
        <w:tc>
          <w:tcPr>
            <w:tcW w:w="1341" w:type="dxa"/>
            <w:vMerge/>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p>
        </w:tc>
      </w:tr>
      <w:tr w:rsidR="00565A50" w:rsidRPr="00F9522B" w:rsidTr="00565A50">
        <w:trPr>
          <w:trHeight w:val="549"/>
          <w:jc w:val="center"/>
        </w:trPr>
        <w:tc>
          <w:tcPr>
            <w:tcW w:w="1246" w:type="dxa"/>
            <w:vAlign w:val="center"/>
          </w:tcPr>
          <w:p w:rsidR="00565A50" w:rsidRPr="00F9522B" w:rsidRDefault="00565A50" w:rsidP="00E93DD8">
            <w:pPr>
              <w:spacing w:line="0" w:lineRule="atLeast"/>
              <w:jc w:val="center"/>
              <w:rPr>
                <w:rFonts w:eastAsiaTheme="minorEastAsia"/>
                <w:szCs w:val="21"/>
              </w:rPr>
            </w:pPr>
            <w:r w:rsidRPr="00F9522B">
              <w:rPr>
                <w:rFonts w:eastAsiaTheme="minorEastAsia"/>
                <w:szCs w:val="21"/>
              </w:rPr>
              <w:t>张达村</w:t>
            </w:r>
          </w:p>
        </w:tc>
        <w:tc>
          <w:tcPr>
            <w:tcW w:w="891" w:type="dxa"/>
            <w:vAlign w:val="center"/>
          </w:tcPr>
          <w:p w:rsidR="00565A50" w:rsidRPr="00F9522B" w:rsidRDefault="00565A5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127.0084914</w:t>
            </w:r>
          </w:p>
        </w:tc>
        <w:tc>
          <w:tcPr>
            <w:tcW w:w="893" w:type="dxa"/>
            <w:vAlign w:val="center"/>
          </w:tcPr>
          <w:p w:rsidR="00565A50" w:rsidRPr="00F9522B" w:rsidRDefault="00565A5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46.100914</w:t>
            </w:r>
          </w:p>
        </w:tc>
        <w:tc>
          <w:tcPr>
            <w:tcW w:w="769" w:type="dxa"/>
            <w:vMerge/>
            <w:tcBorders>
              <w:right w:val="single" w:sz="2" w:space="0" w:color="auto"/>
            </w:tcBorders>
            <w:vAlign w:val="center"/>
          </w:tcPr>
          <w:p w:rsidR="00565A50" w:rsidRPr="00F9522B" w:rsidRDefault="00565A50" w:rsidP="004031CB">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东至农田，南至农田，西至农田，北至农田及厂房</w:t>
            </w:r>
          </w:p>
        </w:tc>
        <w:tc>
          <w:tcPr>
            <w:tcW w:w="599" w:type="dxa"/>
            <w:vMerge/>
            <w:tcBorders>
              <w:left w:val="single" w:sz="2" w:space="0" w:color="auto"/>
            </w:tcBorders>
            <w:vAlign w:val="center"/>
          </w:tcPr>
          <w:p w:rsidR="00565A50" w:rsidRPr="00F9522B" w:rsidRDefault="00565A50" w:rsidP="004031CB">
            <w:pPr>
              <w:spacing w:line="0" w:lineRule="atLeast"/>
              <w:contextualSpacing/>
              <w:jc w:val="center"/>
              <w:rPr>
                <w:rFonts w:eastAsiaTheme="minorEastAsia"/>
                <w:snapToGrid w:val="0"/>
                <w:kern w:val="0"/>
                <w:szCs w:val="21"/>
              </w:rPr>
            </w:pPr>
          </w:p>
        </w:tc>
        <w:tc>
          <w:tcPr>
            <w:tcW w:w="1341" w:type="dxa"/>
            <w:vMerge/>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p>
        </w:tc>
      </w:tr>
      <w:tr w:rsidR="00565A50" w:rsidRPr="00F9522B" w:rsidTr="00565A50">
        <w:trPr>
          <w:trHeight w:val="549"/>
          <w:jc w:val="center"/>
        </w:trPr>
        <w:tc>
          <w:tcPr>
            <w:tcW w:w="1246" w:type="dxa"/>
            <w:vAlign w:val="center"/>
          </w:tcPr>
          <w:p w:rsidR="00565A50" w:rsidRPr="00F9522B" w:rsidRDefault="00565A50" w:rsidP="00E93DD8">
            <w:pPr>
              <w:spacing w:line="0" w:lineRule="atLeast"/>
              <w:jc w:val="center"/>
              <w:rPr>
                <w:rFonts w:eastAsiaTheme="minorEastAsia"/>
                <w:szCs w:val="21"/>
              </w:rPr>
            </w:pPr>
            <w:r w:rsidRPr="00F9522B">
              <w:rPr>
                <w:rFonts w:eastAsiaTheme="minorEastAsia"/>
                <w:szCs w:val="21"/>
              </w:rPr>
              <w:t>二八镇</w:t>
            </w:r>
          </w:p>
        </w:tc>
        <w:tc>
          <w:tcPr>
            <w:tcW w:w="891" w:type="dxa"/>
            <w:vAlign w:val="center"/>
          </w:tcPr>
          <w:p w:rsidR="00565A50" w:rsidRPr="00F9522B" w:rsidRDefault="00565A5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127.0224818</w:t>
            </w:r>
          </w:p>
        </w:tc>
        <w:tc>
          <w:tcPr>
            <w:tcW w:w="893" w:type="dxa"/>
            <w:vAlign w:val="center"/>
          </w:tcPr>
          <w:p w:rsidR="00565A50" w:rsidRPr="00F9522B" w:rsidRDefault="00565A5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46.115136</w:t>
            </w:r>
          </w:p>
        </w:tc>
        <w:tc>
          <w:tcPr>
            <w:tcW w:w="769" w:type="dxa"/>
            <w:vMerge/>
            <w:tcBorders>
              <w:right w:val="single" w:sz="2" w:space="0" w:color="auto"/>
            </w:tcBorders>
            <w:vAlign w:val="center"/>
          </w:tcPr>
          <w:p w:rsidR="00565A50" w:rsidRPr="00F9522B" w:rsidRDefault="00565A50" w:rsidP="004031CB">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r w:rsidRPr="00F9522B">
              <w:rPr>
                <w:rFonts w:eastAsiaTheme="minorEastAsia"/>
                <w:snapToGrid w:val="0"/>
                <w:kern w:val="0"/>
                <w:szCs w:val="21"/>
              </w:rPr>
              <w:t>四周均为农田及村道</w:t>
            </w:r>
          </w:p>
        </w:tc>
        <w:tc>
          <w:tcPr>
            <w:tcW w:w="599" w:type="dxa"/>
            <w:vMerge/>
            <w:tcBorders>
              <w:left w:val="single" w:sz="2" w:space="0" w:color="auto"/>
            </w:tcBorders>
            <w:vAlign w:val="center"/>
          </w:tcPr>
          <w:p w:rsidR="00565A50" w:rsidRPr="00F9522B" w:rsidRDefault="00565A50" w:rsidP="004031CB">
            <w:pPr>
              <w:spacing w:line="0" w:lineRule="atLeast"/>
              <w:contextualSpacing/>
              <w:jc w:val="center"/>
              <w:rPr>
                <w:rFonts w:eastAsiaTheme="minorEastAsia"/>
                <w:snapToGrid w:val="0"/>
                <w:kern w:val="0"/>
                <w:szCs w:val="21"/>
              </w:rPr>
            </w:pPr>
          </w:p>
        </w:tc>
        <w:tc>
          <w:tcPr>
            <w:tcW w:w="1341" w:type="dxa"/>
            <w:vMerge/>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p>
        </w:tc>
      </w:tr>
      <w:tr w:rsidR="00565A50" w:rsidRPr="00F9522B" w:rsidTr="00565A50">
        <w:trPr>
          <w:trHeight w:val="479"/>
          <w:jc w:val="center"/>
        </w:trPr>
        <w:tc>
          <w:tcPr>
            <w:tcW w:w="1246" w:type="dxa"/>
            <w:vAlign w:val="center"/>
          </w:tcPr>
          <w:p w:rsidR="00565A50" w:rsidRPr="00F9522B" w:rsidRDefault="00565A50" w:rsidP="00E93DD8">
            <w:pPr>
              <w:spacing w:line="0" w:lineRule="atLeast"/>
              <w:jc w:val="center"/>
              <w:rPr>
                <w:rFonts w:eastAsiaTheme="minorEastAsia"/>
                <w:szCs w:val="21"/>
              </w:rPr>
            </w:pPr>
            <w:r w:rsidRPr="00F9522B">
              <w:rPr>
                <w:rFonts w:eastAsiaTheme="minorEastAsia"/>
                <w:szCs w:val="21"/>
              </w:rPr>
              <w:t>鲍堡村</w:t>
            </w:r>
          </w:p>
        </w:tc>
        <w:tc>
          <w:tcPr>
            <w:tcW w:w="891" w:type="dxa"/>
            <w:vAlign w:val="center"/>
          </w:tcPr>
          <w:p w:rsidR="00565A50" w:rsidRPr="00F9522B" w:rsidRDefault="00565A5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127.0337041</w:t>
            </w:r>
          </w:p>
        </w:tc>
        <w:tc>
          <w:tcPr>
            <w:tcW w:w="893" w:type="dxa"/>
            <w:vAlign w:val="center"/>
          </w:tcPr>
          <w:p w:rsidR="00565A50" w:rsidRPr="00F9522B" w:rsidRDefault="00565A5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46.093876</w:t>
            </w:r>
          </w:p>
        </w:tc>
        <w:tc>
          <w:tcPr>
            <w:tcW w:w="769" w:type="dxa"/>
            <w:vMerge/>
            <w:tcBorders>
              <w:right w:val="single" w:sz="2" w:space="0" w:color="auto"/>
            </w:tcBorders>
            <w:vAlign w:val="center"/>
          </w:tcPr>
          <w:p w:rsidR="00565A50" w:rsidRPr="00F9522B" w:rsidRDefault="00565A50" w:rsidP="004031CB">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r w:rsidRPr="00F9522B">
              <w:rPr>
                <w:rFonts w:eastAsiaTheme="minorEastAsia"/>
                <w:snapToGrid w:val="0"/>
                <w:kern w:val="0"/>
                <w:szCs w:val="21"/>
              </w:rPr>
              <w:t>四周均为农田及村道</w:t>
            </w:r>
          </w:p>
        </w:tc>
        <w:tc>
          <w:tcPr>
            <w:tcW w:w="599" w:type="dxa"/>
            <w:vMerge/>
            <w:tcBorders>
              <w:left w:val="single" w:sz="2" w:space="0" w:color="auto"/>
            </w:tcBorders>
            <w:vAlign w:val="center"/>
          </w:tcPr>
          <w:p w:rsidR="00565A50" w:rsidRPr="00F9522B" w:rsidRDefault="00565A50" w:rsidP="004031CB">
            <w:pPr>
              <w:spacing w:line="0" w:lineRule="atLeast"/>
              <w:contextualSpacing/>
              <w:jc w:val="center"/>
              <w:rPr>
                <w:rFonts w:eastAsiaTheme="minorEastAsia"/>
                <w:snapToGrid w:val="0"/>
                <w:kern w:val="0"/>
                <w:szCs w:val="21"/>
              </w:rPr>
            </w:pPr>
          </w:p>
        </w:tc>
        <w:tc>
          <w:tcPr>
            <w:tcW w:w="1341" w:type="dxa"/>
            <w:vMerge/>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p>
        </w:tc>
      </w:tr>
      <w:tr w:rsidR="00565A50" w:rsidRPr="00F9522B" w:rsidTr="00565A50">
        <w:trPr>
          <w:trHeight w:val="479"/>
          <w:jc w:val="center"/>
        </w:trPr>
        <w:tc>
          <w:tcPr>
            <w:tcW w:w="1246" w:type="dxa"/>
            <w:vAlign w:val="center"/>
          </w:tcPr>
          <w:p w:rsidR="00565A50" w:rsidRPr="00F9522B" w:rsidRDefault="00565A50" w:rsidP="00E93DD8">
            <w:pPr>
              <w:spacing w:line="0" w:lineRule="atLeast"/>
              <w:jc w:val="center"/>
              <w:rPr>
                <w:rFonts w:eastAsiaTheme="minorEastAsia"/>
                <w:szCs w:val="21"/>
              </w:rPr>
            </w:pPr>
            <w:r w:rsidRPr="00F9522B">
              <w:rPr>
                <w:rFonts w:eastAsiaTheme="minorEastAsia"/>
                <w:szCs w:val="21"/>
              </w:rPr>
              <w:t>头屯村</w:t>
            </w:r>
          </w:p>
        </w:tc>
        <w:tc>
          <w:tcPr>
            <w:tcW w:w="891" w:type="dxa"/>
            <w:vAlign w:val="center"/>
          </w:tcPr>
          <w:p w:rsidR="00565A50" w:rsidRPr="00F9522B" w:rsidRDefault="00565A5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127.0399483</w:t>
            </w:r>
          </w:p>
        </w:tc>
        <w:tc>
          <w:tcPr>
            <w:tcW w:w="893" w:type="dxa"/>
            <w:vAlign w:val="center"/>
          </w:tcPr>
          <w:p w:rsidR="00565A50" w:rsidRPr="00F9522B" w:rsidRDefault="00565A5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46.075778</w:t>
            </w:r>
          </w:p>
        </w:tc>
        <w:tc>
          <w:tcPr>
            <w:tcW w:w="769" w:type="dxa"/>
            <w:vMerge/>
            <w:tcBorders>
              <w:right w:val="single" w:sz="2" w:space="0" w:color="auto"/>
            </w:tcBorders>
            <w:vAlign w:val="center"/>
          </w:tcPr>
          <w:p w:rsidR="00565A50" w:rsidRPr="00F9522B" w:rsidRDefault="00565A50" w:rsidP="004031CB">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r w:rsidRPr="00F9522B">
              <w:rPr>
                <w:rFonts w:eastAsiaTheme="minorEastAsia"/>
                <w:snapToGrid w:val="0"/>
                <w:kern w:val="0"/>
                <w:szCs w:val="21"/>
              </w:rPr>
              <w:t>四周均为农田及村道</w:t>
            </w:r>
          </w:p>
        </w:tc>
        <w:tc>
          <w:tcPr>
            <w:tcW w:w="599" w:type="dxa"/>
            <w:vMerge/>
            <w:tcBorders>
              <w:left w:val="single" w:sz="2" w:space="0" w:color="auto"/>
            </w:tcBorders>
            <w:vAlign w:val="center"/>
          </w:tcPr>
          <w:p w:rsidR="00565A50" w:rsidRPr="00F9522B" w:rsidRDefault="00565A50" w:rsidP="004031CB">
            <w:pPr>
              <w:spacing w:line="0" w:lineRule="atLeast"/>
              <w:contextualSpacing/>
              <w:jc w:val="center"/>
              <w:rPr>
                <w:rFonts w:eastAsiaTheme="minorEastAsia"/>
                <w:snapToGrid w:val="0"/>
                <w:kern w:val="0"/>
                <w:szCs w:val="21"/>
              </w:rPr>
            </w:pPr>
          </w:p>
        </w:tc>
        <w:tc>
          <w:tcPr>
            <w:tcW w:w="1341" w:type="dxa"/>
            <w:vMerge/>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p>
        </w:tc>
      </w:tr>
      <w:tr w:rsidR="00565A50" w:rsidRPr="00F9522B" w:rsidTr="00565A50">
        <w:trPr>
          <w:trHeight w:val="479"/>
          <w:jc w:val="center"/>
        </w:trPr>
        <w:tc>
          <w:tcPr>
            <w:tcW w:w="1246" w:type="dxa"/>
            <w:vAlign w:val="center"/>
          </w:tcPr>
          <w:p w:rsidR="00565A50" w:rsidRPr="00F9522B" w:rsidRDefault="00565A50" w:rsidP="00E93DD8">
            <w:pPr>
              <w:spacing w:line="0" w:lineRule="atLeast"/>
              <w:jc w:val="center"/>
              <w:rPr>
                <w:rFonts w:eastAsiaTheme="minorEastAsia"/>
                <w:szCs w:val="21"/>
              </w:rPr>
            </w:pPr>
            <w:r w:rsidRPr="00F9522B">
              <w:rPr>
                <w:rFonts w:eastAsiaTheme="minorEastAsia"/>
                <w:szCs w:val="21"/>
              </w:rPr>
              <w:t>碱草村</w:t>
            </w:r>
          </w:p>
        </w:tc>
        <w:tc>
          <w:tcPr>
            <w:tcW w:w="891" w:type="dxa"/>
            <w:vAlign w:val="center"/>
          </w:tcPr>
          <w:p w:rsidR="00565A50" w:rsidRPr="00F9522B" w:rsidRDefault="00565A5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127.0624360</w:t>
            </w:r>
          </w:p>
        </w:tc>
        <w:tc>
          <w:tcPr>
            <w:tcW w:w="893" w:type="dxa"/>
            <w:vAlign w:val="center"/>
          </w:tcPr>
          <w:p w:rsidR="00565A50" w:rsidRPr="00F9522B" w:rsidRDefault="00565A5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46.107326</w:t>
            </w:r>
          </w:p>
        </w:tc>
        <w:tc>
          <w:tcPr>
            <w:tcW w:w="769" w:type="dxa"/>
            <w:vMerge/>
            <w:tcBorders>
              <w:right w:val="single" w:sz="2" w:space="0" w:color="auto"/>
            </w:tcBorders>
            <w:vAlign w:val="center"/>
          </w:tcPr>
          <w:p w:rsidR="00565A50" w:rsidRPr="00F9522B" w:rsidRDefault="00565A50" w:rsidP="004031CB">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东至农田及村道，南至农田，西至农田及村道，北至农田</w:t>
            </w:r>
          </w:p>
        </w:tc>
        <w:tc>
          <w:tcPr>
            <w:tcW w:w="599" w:type="dxa"/>
            <w:vMerge/>
            <w:tcBorders>
              <w:left w:val="single" w:sz="2" w:space="0" w:color="auto"/>
            </w:tcBorders>
            <w:vAlign w:val="center"/>
          </w:tcPr>
          <w:p w:rsidR="00565A50" w:rsidRPr="00F9522B" w:rsidRDefault="00565A50" w:rsidP="004031CB">
            <w:pPr>
              <w:spacing w:line="0" w:lineRule="atLeast"/>
              <w:contextualSpacing/>
              <w:jc w:val="center"/>
              <w:rPr>
                <w:rFonts w:eastAsiaTheme="minorEastAsia"/>
                <w:snapToGrid w:val="0"/>
                <w:kern w:val="0"/>
                <w:szCs w:val="21"/>
              </w:rPr>
            </w:pPr>
          </w:p>
        </w:tc>
        <w:tc>
          <w:tcPr>
            <w:tcW w:w="1341" w:type="dxa"/>
            <w:vMerge/>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p>
        </w:tc>
      </w:tr>
      <w:tr w:rsidR="00565A50" w:rsidRPr="00F9522B" w:rsidTr="00565A50">
        <w:trPr>
          <w:trHeight w:val="479"/>
          <w:jc w:val="center"/>
        </w:trPr>
        <w:tc>
          <w:tcPr>
            <w:tcW w:w="1246" w:type="dxa"/>
            <w:vAlign w:val="center"/>
          </w:tcPr>
          <w:p w:rsidR="00565A50" w:rsidRPr="00F9522B" w:rsidRDefault="00565A50" w:rsidP="00E93DD8">
            <w:pPr>
              <w:spacing w:line="0" w:lineRule="atLeast"/>
              <w:jc w:val="center"/>
              <w:rPr>
                <w:rFonts w:eastAsiaTheme="minorEastAsia"/>
                <w:szCs w:val="21"/>
              </w:rPr>
            </w:pPr>
            <w:r w:rsidRPr="00F9522B">
              <w:rPr>
                <w:rFonts w:eastAsiaTheme="minorEastAsia"/>
                <w:szCs w:val="21"/>
              </w:rPr>
              <w:t>奋斗村</w:t>
            </w:r>
          </w:p>
        </w:tc>
        <w:tc>
          <w:tcPr>
            <w:tcW w:w="891" w:type="dxa"/>
            <w:vAlign w:val="center"/>
          </w:tcPr>
          <w:p w:rsidR="00565A50" w:rsidRPr="00F9522B" w:rsidRDefault="00565A5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127.0268645</w:t>
            </w:r>
          </w:p>
        </w:tc>
        <w:tc>
          <w:tcPr>
            <w:tcW w:w="893" w:type="dxa"/>
            <w:vAlign w:val="center"/>
          </w:tcPr>
          <w:p w:rsidR="00565A50" w:rsidRPr="00F9522B" w:rsidRDefault="00565A5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46.128994</w:t>
            </w:r>
          </w:p>
        </w:tc>
        <w:tc>
          <w:tcPr>
            <w:tcW w:w="769" w:type="dxa"/>
            <w:vMerge/>
            <w:tcBorders>
              <w:right w:val="single" w:sz="2" w:space="0" w:color="auto"/>
            </w:tcBorders>
            <w:vAlign w:val="center"/>
          </w:tcPr>
          <w:p w:rsidR="00565A50" w:rsidRPr="00F9522B" w:rsidRDefault="00565A50" w:rsidP="004031CB">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565A50" w:rsidRPr="00F9522B" w:rsidRDefault="00565A50" w:rsidP="005F16CB">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东至农田及村道，南至农田，西至农田，北至农田</w:t>
            </w:r>
          </w:p>
        </w:tc>
        <w:tc>
          <w:tcPr>
            <w:tcW w:w="599" w:type="dxa"/>
            <w:vMerge/>
            <w:tcBorders>
              <w:left w:val="single" w:sz="2" w:space="0" w:color="auto"/>
            </w:tcBorders>
            <w:vAlign w:val="center"/>
          </w:tcPr>
          <w:p w:rsidR="00565A50" w:rsidRPr="00F9522B" w:rsidRDefault="00565A50" w:rsidP="004031CB">
            <w:pPr>
              <w:spacing w:line="0" w:lineRule="atLeast"/>
              <w:contextualSpacing/>
              <w:jc w:val="center"/>
              <w:rPr>
                <w:rFonts w:eastAsiaTheme="minorEastAsia"/>
                <w:snapToGrid w:val="0"/>
                <w:kern w:val="0"/>
                <w:szCs w:val="21"/>
              </w:rPr>
            </w:pPr>
          </w:p>
        </w:tc>
        <w:tc>
          <w:tcPr>
            <w:tcW w:w="1341" w:type="dxa"/>
            <w:vMerge/>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p>
        </w:tc>
      </w:tr>
      <w:tr w:rsidR="00565A50" w:rsidRPr="00F9522B" w:rsidTr="00565A50">
        <w:trPr>
          <w:trHeight w:val="479"/>
          <w:jc w:val="center"/>
        </w:trPr>
        <w:tc>
          <w:tcPr>
            <w:tcW w:w="1246" w:type="dxa"/>
            <w:vAlign w:val="center"/>
          </w:tcPr>
          <w:p w:rsidR="00565A50" w:rsidRPr="00F9522B" w:rsidRDefault="00565A50" w:rsidP="00E93DD8">
            <w:pPr>
              <w:spacing w:line="0" w:lineRule="atLeast"/>
              <w:jc w:val="center"/>
              <w:rPr>
                <w:rFonts w:eastAsiaTheme="minorEastAsia"/>
                <w:szCs w:val="21"/>
              </w:rPr>
            </w:pPr>
            <w:r w:rsidRPr="00F9522B">
              <w:rPr>
                <w:rFonts w:eastAsiaTheme="minorEastAsia"/>
                <w:szCs w:val="21"/>
              </w:rPr>
              <w:t>元宝村</w:t>
            </w:r>
          </w:p>
        </w:tc>
        <w:tc>
          <w:tcPr>
            <w:tcW w:w="891" w:type="dxa"/>
            <w:vAlign w:val="center"/>
          </w:tcPr>
          <w:p w:rsidR="00565A50" w:rsidRPr="00F9522B" w:rsidRDefault="00565A5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127.0738997</w:t>
            </w:r>
          </w:p>
        </w:tc>
        <w:tc>
          <w:tcPr>
            <w:tcW w:w="893" w:type="dxa"/>
            <w:vAlign w:val="center"/>
          </w:tcPr>
          <w:p w:rsidR="00565A50" w:rsidRPr="00F9522B" w:rsidRDefault="00565A5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46.132087</w:t>
            </w:r>
          </w:p>
        </w:tc>
        <w:tc>
          <w:tcPr>
            <w:tcW w:w="769" w:type="dxa"/>
            <w:vMerge/>
            <w:tcBorders>
              <w:right w:val="single" w:sz="2" w:space="0" w:color="auto"/>
            </w:tcBorders>
            <w:vAlign w:val="center"/>
          </w:tcPr>
          <w:p w:rsidR="00565A50" w:rsidRPr="00F9522B" w:rsidRDefault="00565A50" w:rsidP="004031CB">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东至农田及村道，南至农田，西至农田及村道，北至农田</w:t>
            </w:r>
          </w:p>
        </w:tc>
        <w:tc>
          <w:tcPr>
            <w:tcW w:w="599" w:type="dxa"/>
            <w:vMerge/>
            <w:tcBorders>
              <w:left w:val="single" w:sz="2" w:space="0" w:color="auto"/>
            </w:tcBorders>
            <w:vAlign w:val="center"/>
          </w:tcPr>
          <w:p w:rsidR="00565A50" w:rsidRPr="00F9522B" w:rsidRDefault="00565A50" w:rsidP="004031CB">
            <w:pPr>
              <w:spacing w:line="0" w:lineRule="atLeast"/>
              <w:contextualSpacing/>
              <w:jc w:val="center"/>
              <w:rPr>
                <w:rFonts w:eastAsiaTheme="minorEastAsia"/>
                <w:snapToGrid w:val="0"/>
                <w:kern w:val="0"/>
                <w:szCs w:val="21"/>
              </w:rPr>
            </w:pPr>
          </w:p>
        </w:tc>
        <w:tc>
          <w:tcPr>
            <w:tcW w:w="1341" w:type="dxa"/>
            <w:vMerge/>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p>
        </w:tc>
      </w:tr>
      <w:tr w:rsidR="00565A50" w:rsidRPr="00F9522B" w:rsidTr="00565A50">
        <w:trPr>
          <w:trHeight w:val="479"/>
          <w:jc w:val="center"/>
        </w:trPr>
        <w:tc>
          <w:tcPr>
            <w:tcW w:w="1246" w:type="dxa"/>
            <w:vAlign w:val="center"/>
          </w:tcPr>
          <w:p w:rsidR="00565A50" w:rsidRPr="00F9522B" w:rsidRDefault="00565A50" w:rsidP="00E93DD8">
            <w:pPr>
              <w:spacing w:line="0" w:lineRule="atLeast"/>
              <w:jc w:val="center"/>
              <w:rPr>
                <w:rFonts w:eastAsiaTheme="minorEastAsia"/>
                <w:szCs w:val="21"/>
              </w:rPr>
            </w:pPr>
            <w:r w:rsidRPr="00F9522B">
              <w:rPr>
                <w:rFonts w:eastAsiaTheme="minorEastAsia"/>
                <w:szCs w:val="21"/>
              </w:rPr>
              <w:t>平安村</w:t>
            </w:r>
          </w:p>
        </w:tc>
        <w:tc>
          <w:tcPr>
            <w:tcW w:w="891" w:type="dxa"/>
            <w:vAlign w:val="center"/>
          </w:tcPr>
          <w:p w:rsidR="00565A50" w:rsidRPr="00F9522B" w:rsidRDefault="00565A5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127.0494809</w:t>
            </w:r>
          </w:p>
        </w:tc>
        <w:tc>
          <w:tcPr>
            <w:tcW w:w="893" w:type="dxa"/>
            <w:vAlign w:val="center"/>
          </w:tcPr>
          <w:p w:rsidR="00565A50" w:rsidRPr="00F9522B" w:rsidRDefault="00565A50" w:rsidP="00E93DD8">
            <w:pPr>
              <w:jc w:val="center"/>
              <w:rPr>
                <w:rFonts w:eastAsiaTheme="minorEastAsia"/>
                <w:snapToGrid w:val="0"/>
                <w:szCs w:val="21"/>
              </w:rPr>
            </w:pPr>
            <w:r w:rsidRPr="00F9522B">
              <w:rPr>
                <w:rFonts w:eastAsiaTheme="minorEastAsia"/>
                <w:snapToGrid w:val="0"/>
                <w:szCs w:val="21"/>
              </w:rPr>
              <w:t>46.144309</w:t>
            </w:r>
          </w:p>
        </w:tc>
        <w:tc>
          <w:tcPr>
            <w:tcW w:w="769" w:type="dxa"/>
            <w:vMerge/>
            <w:tcBorders>
              <w:right w:val="single" w:sz="2" w:space="0" w:color="auto"/>
            </w:tcBorders>
            <w:vAlign w:val="center"/>
          </w:tcPr>
          <w:p w:rsidR="00565A50" w:rsidRPr="00F9522B" w:rsidRDefault="00565A50" w:rsidP="004031CB">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东至农田，南至农田，西至农田及村道，北至农田</w:t>
            </w:r>
          </w:p>
        </w:tc>
        <w:tc>
          <w:tcPr>
            <w:tcW w:w="599" w:type="dxa"/>
            <w:vMerge/>
            <w:tcBorders>
              <w:left w:val="single" w:sz="2" w:space="0" w:color="auto"/>
            </w:tcBorders>
            <w:vAlign w:val="center"/>
          </w:tcPr>
          <w:p w:rsidR="00565A50" w:rsidRPr="00F9522B" w:rsidRDefault="00565A50" w:rsidP="004031CB">
            <w:pPr>
              <w:spacing w:line="0" w:lineRule="atLeast"/>
              <w:contextualSpacing/>
              <w:jc w:val="center"/>
              <w:rPr>
                <w:rFonts w:eastAsiaTheme="minorEastAsia"/>
                <w:snapToGrid w:val="0"/>
                <w:kern w:val="0"/>
                <w:szCs w:val="21"/>
              </w:rPr>
            </w:pPr>
          </w:p>
        </w:tc>
        <w:tc>
          <w:tcPr>
            <w:tcW w:w="1341" w:type="dxa"/>
            <w:vMerge/>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p>
        </w:tc>
      </w:tr>
      <w:tr w:rsidR="00565A50" w:rsidRPr="00F9522B" w:rsidTr="00565A50">
        <w:trPr>
          <w:trHeight w:val="479"/>
          <w:jc w:val="center"/>
        </w:trPr>
        <w:tc>
          <w:tcPr>
            <w:tcW w:w="1246" w:type="dxa"/>
            <w:vAlign w:val="center"/>
          </w:tcPr>
          <w:p w:rsidR="00565A50" w:rsidRPr="00F9522B" w:rsidRDefault="00565A50" w:rsidP="00E93DD8">
            <w:pPr>
              <w:spacing w:line="0" w:lineRule="atLeast"/>
              <w:jc w:val="center"/>
              <w:rPr>
                <w:rFonts w:eastAsiaTheme="minorEastAsia"/>
                <w:szCs w:val="21"/>
              </w:rPr>
            </w:pPr>
            <w:r w:rsidRPr="00F9522B">
              <w:rPr>
                <w:rFonts w:eastAsiaTheme="minorEastAsia"/>
                <w:szCs w:val="21"/>
              </w:rPr>
              <w:t>王柱村</w:t>
            </w:r>
          </w:p>
        </w:tc>
        <w:tc>
          <w:tcPr>
            <w:tcW w:w="891" w:type="dxa"/>
            <w:vAlign w:val="center"/>
          </w:tcPr>
          <w:p w:rsidR="00565A50" w:rsidRPr="00F9522B" w:rsidRDefault="00565A5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126.9906010</w:t>
            </w:r>
          </w:p>
        </w:tc>
        <w:tc>
          <w:tcPr>
            <w:tcW w:w="893" w:type="dxa"/>
            <w:vAlign w:val="center"/>
          </w:tcPr>
          <w:p w:rsidR="00565A50" w:rsidRPr="00F9522B" w:rsidRDefault="00565A50" w:rsidP="00E93DD8">
            <w:pPr>
              <w:jc w:val="center"/>
              <w:rPr>
                <w:rFonts w:eastAsiaTheme="minorEastAsia"/>
                <w:snapToGrid w:val="0"/>
                <w:szCs w:val="21"/>
              </w:rPr>
            </w:pPr>
            <w:r w:rsidRPr="00F9522B">
              <w:rPr>
                <w:rFonts w:eastAsiaTheme="minorEastAsia"/>
                <w:snapToGrid w:val="0"/>
                <w:szCs w:val="21"/>
              </w:rPr>
              <w:t>46.136042</w:t>
            </w:r>
          </w:p>
        </w:tc>
        <w:tc>
          <w:tcPr>
            <w:tcW w:w="769" w:type="dxa"/>
            <w:vMerge/>
            <w:tcBorders>
              <w:right w:val="single" w:sz="2" w:space="0" w:color="auto"/>
            </w:tcBorders>
            <w:vAlign w:val="center"/>
          </w:tcPr>
          <w:p w:rsidR="00565A50" w:rsidRPr="00F9522B" w:rsidRDefault="00565A50" w:rsidP="004031CB">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r w:rsidRPr="00F9522B">
              <w:rPr>
                <w:rFonts w:eastAsiaTheme="minorEastAsia"/>
                <w:snapToGrid w:val="0"/>
                <w:kern w:val="0"/>
                <w:szCs w:val="21"/>
              </w:rPr>
              <w:t>四周均为农田及村道</w:t>
            </w:r>
          </w:p>
        </w:tc>
        <w:tc>
          <w:tcPr>
            <w:tcW w:w="599" w:type="dxa"/>
            <w:vMerge/>
            <w:tcBorders>
              <w:left w:val="single" w:sz="2" w:space="0" w:color="auto"/>
            </w:tcBorders>
            <w:vAlign w:val="center"/>
          </w:tcPr>
          <w:p w:rsidR="00565A50" w:rsidRPr="00F9522B" w:rsidRDefault="00565A50" w:rsidP="004031CB">
            <w:pPr>
              <w:spacing w:line="0" w:lineRule="atLeast"/>
              <w:contextualSpacing/>
              <w:jc w:val="center"/>
              <w:rPr>
                <w:rFonts w:eastAsiaTheme="minorEastAsia"/>
                <w:snapToGrid w:val="0"/>
                <w:kern w:val="0"/>
                <w:szCs w:val="21"/>
              </w:rPr>
            </w:pPr>
          </w:p>
        </w:tc>
        <w:tc>
          <w:tcPr>
            <w:tcW w:w="1341" w:type="dxa"/>
            <w:vMerge/>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p>
        </w:tc>
      </w:tr>
      <w:tr w:rsidR="00565A50" w:rsidRPr="00F9522B">
        <w:trPr>
          <w:trHeight w:val="479"/>
          <w:jc w:val="center"/>
        </w:trPr>
        <w:tc>
          <w:tcPr>
            <w:tcW w:w="1246" w:type="dxa"/>
            <w:vAlign w:val="center"/>
          </w:tcPr>
          <w:p w:rsidR="00565A50" w:rsidRPr="00F9522B" w:rsidRDefault="00565A50" w:rsidP="00E93DD8">
            <w:pPr>
              <w:spacing w:line="0" w:lineRule="atLeast"/>
              <w:jc w:val="center"/>
              <w:rPr>
                <w:rFonts w:eastAsiaTheme="minorEastAsia"/>
                <w:szCs w:val="21"/>
              </w:rPr>
            </w:pPr>
            <w:r w:rsidRPr="00F9522B">
              <w:rPr>
                <w:rFonts w:eastAsiaTheme="minorEastAsia"/>
                <w:szCs w:val="21"/>
              </w:rPr>
              <w:t>长山村</w:t>
            </w:r>
          </w:p>
        </w:tc>
        <w:tc>
          <w:tcPr>
            <w:tcW w:w="891" w:type="dxa"/>
            <w:vAlign w:val="center"/>
          </w:tcPr>
          <w:p w:rsidR="00565A50" w:rsidRPr="00F9522B" w:rsidRDefault="00565A5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127.0471205</w:t>
            </w:r>
          </w:p>
        </w:tc>
        <w:tc>
          <w:tcPr>
            <w:tcW w:w="893" w:type="dxa"/>
            <w:vAlign w:val="center"/>
          </w:tcPr>
          <w:p w:rsidR="00565A50" w:rsidRPr="00F9522B" w:rsidRDefault="00565A5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46.155666</w:t>
            </w:r>
          </w:p>
        </w:tc>
        <w:tc>
          <w:tcPr>
            <w:tcW w:w="769" w:type="dxa"/>
            <w:vMerge/>
            <w:tcBorders>
              <w:right w:val="single" w:sz="2" w:space="0" w:color="auto"/>
            </w:tcBorders>
            <w:vAlign w:val="center"/>
          </w:tcPr>
          <w:p w:rsidR="00565A50" w:rsidRPr="00F9522B" w:rsidRDefault="00565A50">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r w:rsidRPr="00F9522B">
              <w:rPr>
                <w:rFonts w:eastAsiaTheme="minorEastAsia"/>
                <w:snapToGrid w:val="0"/>
                <w:kern w:val="0"/>
                <w:szCs w:val="21"/>
              </w:rPr>
              <w:t>四周均为农田及村道</w:t>
            </w:r>
          </w:p>
        </w:tc>
        <w:tc>
          <w:tcPr>
            <w:tcW w:w="599" w:type="dxa"/>
            <w:vMerge/>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p>
        </w:tc>
        <w:tc>
          <w:tcPr>
            <w:tcW w:w="1341" w:type="dxa"/>
            <w:vMerge/>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p>
        </w:tc>
      </w:tr>
      <w:tr w:rsidR="00565A50" w:rsidRPr="00F9522B">
        <w:trPr>
          <w:trHeight w:val="479"/>
          <w:jc w:val="center"/>
        </w:trPr>
        <w:tc>
          <w:tcPr>
            <w:tcW w:w="1246" w:type="dxa"/>
            <w:vAlign w:val="center"/>
          </w:tcPr>
          <w:p w:rsidR="00565A50" w:rsidRPr="00F9522B" w:rsidRDefault="00565A50" w:rsidP="00E93DD8">
            <w:pPr>
              <w:spacing w:line="0" w:lineRule="atLeast"/>
              <w:jc w:val="center"/>
              <w:rPr>
                <w:rFonts w:eastAsiaTheme="minorEastAsia"/>
                <w:szCs w:val="21"/>
              </w:rPr>
            </w:pPr>
            <w:r w:rsidRPr="00F9522B">
              <w:rPr>
                <w:rFonts w:eastAsiaTheme="minorEastAsia"/>
                <w:szCs w:val="21"/>
              </w:rPr>
              <w:t>平粉村</w:t>
            </w:r>
          </w:p>
        </w:tc>
        <w:tc>
          <w:tcPr>
            <w:tcW w:w="891" w:type="dxa"/>
            <w:vAlign w:val="center"/>
          </w:tcPr>
          <w:p w:rsidR="00565A50" w:rsidRPr="00F9522B" w:rsidRDefault="00565A5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127.0547166</w:t>
            </w:r>
          </w:p>
        </w:tc>
        <w:tc>
          <w:tcPr>
            <w:tcW w:w="893" w:type="dxa"/>
            <w:vAlign w:val="center"/>
          </w:tcPr>
          <w:p w:rsidR="00565A50" w:rsidRPr="00F9522B" w:rsidRDefault="00565A5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46.169606</w:t>
            </w:r>
          </w:p>
        </w:tc>
        <w:tc>
          <w:tcPr>
            <w:tcW w:w="769" w:type="dxa"/>
            <w:vMerge/>
            <w:tcBorders>
              <w:right w:val="single" w:sz="2" w:space="0" w:color="auto"/>
            </w:tcBorders>
            <w:vAlign w:val="center"/>
          </w:tcPr>
          <w:p w:rsidR="00565A50" w:rsidRPr="00F9522B" w:rsidRDefault="00565A50">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565A50" w:rsidRPr="00F9522B" w:rsidRDefault="00565A50" w:rsidP="002D1792">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东至农田，南至农田，西至农田及村道，北至农田及村道</w:t>
            </w:r>
          </w:p>
        </w:tc>
        <w:tc>
          <w:tcPr>
            <w:tcW w:w="599" w:type="dxa"/>
            <w:vMerge/>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p>
        </w:tc>
        <w:tc>
          <w:tcPr>
            <w:tcW w:w="1341" w:type="dxa"/>
            <w:vMerge/>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p>
        </w:tc>
      </w:tr>
      <w:tr w:rsidR="00565A50" w:rsidRPr="00F9522B">
        <w:trPr>
          <w:trHeight w:val="479"/>
          <w:jc w:val="center"/>
        </w:trPr>
        <w:tc>
          <w:tcPr>
            <w:tcW w:w="1246" w:type="dxa"/>
            <w:vAlign w:val="center"/>
          </w:tcPr>
          <w:p w:rsidR="00565A50" w:rsidRPr="00F9522B" w:rsidRDefault="00565A50" w:rsidP="00E93DD8">
            <w:pPr>
              <w:spacing w:line="0" w:lineRule="atLeast"/>
              <w:jc w:val="center"/>
              <w:rPr>
                <w:rFonts w:eastAsiaTheme="minorEastAsia"/>
                <w:szCs w:val="21"/>
              </w:rPr>
            </w:pPr>
            <w:r w:rsidRPr="00F9522B">
              <w:rPr>
                <w:rFonts w:eastAsiaTheme="minorEastAsia"/>
                <w:szCs w:val="21"/>
              </w:rPr>
              <w:t>新立屯</w:t>
            </w:r>
          </w:p>
        </w:tc>
        <w:tc>
          <w:tcPr>
            <w:tcW w:w="891" w:type="dxa"/>
            <w:vAlign w:val="center"/>
          </w:tcPr>
          <w:p w:rsidR="00565A50" w:rsidRPr="00F9522B" w:rsidRDefault="00565A5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127.0765122</w:t>
            </w:r>
          </w:p>
        </w:tc>
        <w:tc>
          <w:tcPr>
            <w:tcW w:w="893" w:type="dxa"/>
            <w:vAlign w:val="center"/>
          </w:tcPr>
          <w:p w:rsidR="00565A50" w:rsidRPr="00F9522B" w:rsidRDefault="00565A5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46.154287</w:t>
            </w:r>
          </w:p>
        </w:tc>
        <w:tc>
          <w:tcPr>
            <w:tcW w:w="769" w:type="dxa"/>
            <w:vMerge/>
            <w:tcBorders>
              <w:right w:val="single" w:sz="2" w:space="0" w:color="auto"/>
            </w:tcBorders>
            <w:vAlign w:val="center"/>
          </w:tcPr>
          <w:p w:rsidR="00565A50" w:rsidRPr="00F9522B" w:rsidRDefault="00565A50">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东至农田，南至农田，西至农田，北至农田</w:t>
            </w:r>
          </w:p>
        </w:tc>
        <w:tc>
          <w:tcPr>
            <w:tcW w:w="599" w:type="dxa"/>
            <w:vMerge/>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p>
        </w:tc>
        <w:tc>
          <w:tcPr>
            <w:tcW w:w="1341" w:type="dxa"/>
            <w:vMerge/>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p>
        </w:tc>
      </w:tr>
      <w:tr w:rsidR="00565A50" w:rsidRPr="00F9522B">
        <w:trPr>
          <w:trHeight w:val="479"/>
          <w:jc w:val="center"/>
        </w:trPr>
        <w:tc>
          <w:tcPr>
            <w:tcW w:w="1246" w:type="dxa"/>
            <w:vAlign w:val="center"/>
          </w:tcPr>
          <w:p w:rsidR="00565A50" w:rsidRPr="00F9522B" w:rsidRDefault="00565A50" w:rsidP="00E93DD8">
            <w:pPr>
              <w:spacing w:line="0" w:lineRule="atLeast"/>
              <w:jc w:val="center"/>
              <w:rPr>
                <w:rFonts w:eastAsiaTheme="minorEastAsia"/>
                <w:szCs w:val="21"/>
              </w:rPr>
            </w:pPr>
            <w:r w:rsidRPr="00F9522B">
              <w:rPr>
                <w:rFonts w:eastAsiaTheme="minorEastAsia"/>
                <w:szCs w:val="21"/>
              </w:rPr>
              <w:t>付井村</w:t>
            </w:r>
          </w:p>
        </w:tc>
        <w:tc>
          <w:tcPr>
            <w:tcW w:w="891" w:type="dxa"/>
            <w:vAlign w:val="center"/>
          </w:tcPr>
          <w:p w:rsidR="00565A50" w:rsidRPr="00F9522B" w:rsidRDefault="00565A5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127.0130028</w:t>
            </w:r>
          </w:p>
        </w:tc>
        <w:tc>
          <w:tcPr>
            <w:tcW w:w="893" w:type="dxa"/>
            <w:vAlign w:val="center"/>
          </w:tcPr>
          <w:p w:rsidR="00565A50" w:rsidRPr="00F9522B" w:rsidRDefault="00565A5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46.158311</w:t>
            </w:r>
          </w:p>
        </w:tc>
        <w:tc>
          <w:tcPr>
            <w:tcW w:w="769" w:type="dxa"/>
            <w:vMerge/>
            <w:tcBorders>
              <w:right w:val="single" w:sz="2" w:space="0" w:color="auto"/>
            </w:tcBorders>
            <w:vAlign w:val="center"/>
          </w:tcPr>
          <w:p w:rsidR="00565A50" w:rsidRPr="00F9522B" w:rsidRDefault="00565A50">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r w:rsidRPr="00F9522B">
              <w:rPr>
                <w:rFonts w:eastAsiaTheme="minorEastAsia"/>
                <w:snapToGrid w:val="0"/>
                <w:kern w:val="0"/>
                <w:szCs w:val="21"/>
              </w:rPr>
              <w:t>四周均为农田及村道</w:t>
            </w:r>
          </w:p>
        </w:tc>
        <w:tc>
          <w:tcPr>
            <w:tcW w:w="599" w:type="dxa"/>
            <w:vMerge/>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p>
        </w:tc>
        <w:tc>
          <w:tcPr>
            <w:tcW w:w="1341" w:type="dxa"/>
            <w:vMerge/>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p>
        </w:tc>
      </w:tr>
      <w:tr w:rsidR="00565A50" w:rsidRPr="00F9522B">
        <w:trPr>
          <w:trHeight w:val="479"/>
          <w:jc w:val="center"/>
        </w:trPr>
        <w:tc>
          <w:tcPr>
            <w:tcW w:w="1246" w:type="dxa"/>
            <w:vAlign w:val="center"/>
          </w:tcPr>
          <w:p w:rsidR="00565A50" w:rsidRPr="00F9522B" w:rsidRDefault="00565A50" w:rsidP="00E93DD8">
            <w:pPr>
              <w:spacing w:line="0" w:lineRule="atLeast"/>
              <w:jc w:val="center"/>
              <w:rPr>
                <w:rFonts w:eastAsiaTheme="minorEastAsia"/>
                <w:szCs w:val="21"/>
              </w:rPr>
            </w:pPr>
            <w:r w:rsidRPr="00F9522B">
              <w:rPr>
                <w:rFonts w:eastAsiaTheme="minorEastAsia"/>
                <w:szCs w:val="21"/>
              </w:rPr>
              <w:t>高财</w:t>
            </w:r>
          </w:p>
        </w:tc>
        <w:tc>
          <w:tcPr>
            <w:tcW w:w="891" w:type="dxa"/>
            <w:vAlign w:val="center"/>
          </w:tcPr>
          <w:p w:rsidR="00565A50" w:rsidRPr="00F9522B" w:rsidRDefault="00565A5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127.0068230</w:t>
            </w:r>
          </w:p>
        </w:tc>
        <w:tc>
          <w:tcPr>
            <w:tcW w:w="893" w:type="dxa"/>
            <w:vAlign w:val="center"/>
          </w:tcPr>
          <w:p w:rsidR="00565A50" w:rsidRPr="00F9522B" w:rsidRDefault="00565A5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46.169071</w:t>
            </w:r>
          </w:p>
        </w:tc>
        <w:tc>
          <w:tcPr>
            <w:tcW w:w="769" w:type="dxa"/>
            <w:vMerge/>
            <w:tcBorders>
              <w:right w:val="single" w:sz="2" w:space="0" w:color="auto"/>
            </w:tcBorders>
            <w:vAlign w:val="center"/>
          </w:tcPr>
          <w:p w:rsidR="00565A50" w:rsidRPr="00F9522B" w:rsidRDefault="00565A50">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东至农田及村道，南至农田，西至农田及村道，北至农田</w:t>
            </w:r>
          </w:p>
        </w:tc>
        <w:tc>
          <w:tcPr>
            <w:tcW w:w="599" w:type="dxa"/>
            <w:vMerge/>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p>
        </w:tc>
        <w:tc>
          <w:tcPr>
            <w:tcW w:w="1341" w:type="dxa"/>
            <w:vMerge/>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p>
        </w:tc>
      </w:tr>
      <w:tr w:rsidR="00565A50" w:rsidRPr="00F9522B">
        <w:trPr>
          <w:trHeight w:val="479"/>
          <w:jc w:val="center"/>
        </w:trPr>
        <w:tc>
          <w:tcPr>
            <w:tcW w:w="1246" w:type="dxa"/>
            <w:vAlign w:val="center"/>
          </w:tcPr>
          <w:p w:rsidR="00565A50" w:rsidRPr="00F9522B" w:rsidRDefault="00565A50" w:rsidP="00E93DD8">
            <w:pPr>
              <w:spacing w:line="0" w:lineRule="atLeast"/>
              <w:jc w:val="center"/>
              <w:rPr>
                <w:rFonts w:eastAsiaTheme="minorEastAsia"/>
                <w:szCs w:val="21"/>
              </w:rPr>
            </w:pPr>
            <w:r w:rsidRPr="00F9522B">
              <w:rPr>
                <w:rFonts w:eastAsiaTheme="minorEastAsia"/>
                <w:szCs w:val="21"/>
              </w:rPr>
              <w:t>王牛村</w:t>
            </w:r>
          </w:p>
        </w:tc>
        <w:tc>
          <w:tcPr>
            <w:tcW w:w="891" w:type="dxa"/>
            <w:vAlign w:val="center"/>
          </w:tcPr>
          <w:p w:rsidR="00565A50" w:rsidRPr="00F9522B" w:rsidRDefault="00565A5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126.9616332</w:t>
            </w:r>
          </w:p>
        </w:tc>
        <w:tc>
          <w:tcPr>
            <w:tcW w:w="893" w:type="dxa"/>
            <w:vAlign w:val="center"/>
          </w:tcPr>
          <w:p w:rsidR="00565A50" w:rsidRPr="00F9522B" w:rsidRDefault="00565A5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46.153466</w:t>
            </w:r>
          </w:p>
        </w:tc>
        <w:tc>
          <w:tcPr>
            <w:tcW w:w="769" w:type="dxa"/>
            <w:vMerge/>
            <w:tcBorders>
              <w:right w:val="single" w:sz="2" w:space="0" w:color="auto"/>
            </w:tcBorders>
            <w:vAlign w:val="center"/>
          </w:tcPr>
          <w:p w:rsidR="00565A50" w:rsidRPr="00F9522B" w:rsidRDefault="00565A50">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r w:rsidRPr="00F9522B">
              <w:rPr>
                <w:rFonts w:eastAsiaTheme="minorEastAsia"/>
                <w:snapToGrid w:val="0"/>
                <w:kern w:val="0"/>
                <w:szCs w:val="21"/>
              </w:rPr>
              <w:t>四周均为农田及村道</w:t>
            </w:r>
          </w:p>
        </w:tc>
        <w:tc>
          <w:tcPr>
            <w:tcW w:w="599" w:type="dxa"/>
            <w:vMerge/>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p>
        </w:tc>
        <w:tc>
          <w:tcPr>
            <w:tcW w:w="1341" w:type="dxa"/>
            <w:vMerge/>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p>
        </w:tc>
      </w:tr>
      <w:tr w:rsidR="00565A50" w:rsidRPr="00F9522B">
        <w:trPr>
          <w:trHeight w:val="479"/>
          <w:jc w:val="center"/>
        </w:trPr>
        <w:tc>
          <w:tcPr>
            <w:tcW w:w="1246" w:type="dxa"/>
            <w:vAlign w:val="center"/>
          </w:tcPr>
          <w:p w:rsidR="00565A50" w:rsidRPr="00F9522B" w:rsidRDefault="00565A50" w:rsidP="00E93DD8">
            <w:pPr>
              <w:spacing w:line="0" w:lineRule="atLeast"/>
              <w:jc w:val="center"/>
              <w:rPr>
                <w:rFonts w:eastAsiaTheme="minorEastAsia"/>
                <w:szCs w:val="21"/>
              </w:rPr>
            </w:pPr>
            <w:r w:rsidRPr="00F9522B">
              <w:rPr>
                <w:rFonts w:eastAsiaTheme="minorEastAsia"/>
                <w:szCs w:val="21"/>
              </w:rPr>
              <w:t>王成井</w:t>
            </w:r>
          </w:p>
        </w:tc>
        <w:tc>
          <w:tcPr>
            <w:tcW w:w="891" w:type="dxa"/>
            <w:vAlign w:val="center"/>
          </w:tcPr>
          <w:p w:rsidR="00565A50" w:rsidRPr="00F9522B" w:rsidRDefault="00565A5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126.9550242</w:t>
            </w:r>
          </w:p>
        </w:tc>
        <w:tc>
          <w:tcPr>
            <w:tcW w:w="893" w:type="dxa"/>
            <w:vAlign w:val="center"/>
          </w:tcPr>
          <w:p w:rsidR="00565A50" w:rsidRPr="00F9522B" w:rsidRDefault="00565A5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46.16660</w:t>
            </w:r>
          </w:p>
        </w:tc>
        <w:tc>
          <w:tcPr>
            <w:tcW w:w="769" w:type="dxa"/>
            <w:vMerge/>
            <w:tcBorders>
              <w:right w:val="single" w:sz="2" w:space="0" w:color="auto"/>
            </w:tcBorders>
            <w:vAlign w:val="center"/>
          </w:tcPr>
          <w:p w:rsidR="00565A50" w:rsidRPr="00F9522B" w:rsidRDefault="00565A50">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r w:rsidRPr="00F9522B">
              <w:rPr>
                <w:rFonts w:eastAsiaTheme="minorEastAsia"/>
                <w:snapToGrid w:val="0"/>
                <w:kern w:val="0"/>
                <w:szCs w:val="21"/>
              </w:rPr>
              <w:t>四周均为农田及村道</w:t>
            </w:r>
          </w:p>
        </w:tc>
        <w:tc>
          <w:tcPr>
            <w:tcW w:w="599" w:type="dxa"/>
            <w:vMerge/>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p>
        </w:tc>
        <w:tc>
          <w:tcPr>
            <w:tcW w:w="1341" w:type="dxa"/>
            <w:vMerge/>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p>
        </w:tc>
      </w:tr>
      <w:tr w:rsidR="00565A50" w:rsidRPr="00F9522B">
        <w:trPr>
          <w:trHeight w:val="479"/>
          <w:jc w:val="center"/>
        </w:trPr>
        <w:tc>
          <w:tcPr>
            <w:tcW w:w="1246" w:type="dxa"/>
            <w:vAlign w:val="center"/>
          </w:tcPr>
          <w:p w:rsidR="00565A50" w:rsidRPr="00F9522B" w:rsidRDefault="00565A50" w:rsidP="00E93DD8">
            <w:pPr>
              <w:spacing w:line="0" w:lineRule="atLeast"/>
              <w:jc w:val="center"/>
              <w:rPr>
                <w:rFonts w:eastAsiaTheme="minorEastAsia"/>
                <w:szCs w:val="21"/>
              </w:rPr>
            </w:pPr>
            <w:r w:rsidRPr="00F9522B">
              <w:rPr>
                <w:rFonts w:eastAsiaTheme="minorEastAsia"/>
                <w:szCs w:val="21"/>
              </w:rPr>
              <w:t>苏德村</w:t>
            </w:r>
          </w:p>
        </w:tc>
        <w:tc>
          <w:tcPr>
            <w:tcW w:w="891" w:type="dxa"/>
            <w:vAlign w:val="center"/>
          </w:tcPr>
          <w:p w:rsidR="00565A50" w:rsidRPr="00F9522B" w:rsidRDefault="00565A5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126.9530501</w:t>
            </w:r>
          </w:p>
        </w:tc>
        <w:tc>
          <w:tcPr>
            <w:tcW w:w="893" w:type="dxa"/>
            <w:vAlign w:val="center"/>
          </w:tcPr>
          <w:p w:rsidR="00565A50" w:rsidRPr="00F9522B" w:rsidRDefault="00565A5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46.185207</w:t>
            </w:r>
          </w:p>
        </w:tc>
        <w:tc>
          <w:tcPr>
            <w:tcW w:w="769" w:type="dxa"/>
            <w:vMerge/>
            <w:tcBorders>
              <w:right w:val="single" w:sz="2" w:space="0" w:color="auto"/>
            </w:tcBorders>
            <w:vAlign w:val="center"/>
          </w:tcPr>
          <w:p w:rsidR="00565A50" w:rsidRPr="00F9522B" w:rsidRDefault="00565A50">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r w:rsidRPr="00F9522B">
              <w:rPr>
                <w:rFonts w:eastAsiaTheme="minorEastAsia"/>
                <w:snapToGrid w:val="0"/>
                <w:kern w:val="0"/>
                <w:szCs w:val="21"/>
              </w:rPr>
              <w:t>四周均为农田及村道</w:t>
            </w:r>
          </w:p>
        </w:tc>
        <w:tc>
          <w:tcPr>
            <w:tcW w:w="599" w:type="dxa"/>
            <w:vMerge/>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p>
        </w:tc>
        <w:tc>
          <w:tcPr>
            <w:tcW w:w="1341" w:type="dxa"/>
            <w:vMerge/>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p>
        </w:tc>
      </w:tr>
      <w:tr w:rsidR="00565A50" w:rsidRPr="00F9522B">
        <w:trPr>
          <w:trHeight w:val="479"/>
          <w:jc w:val="center"/>
        </w:trPr>
        <w:tc>
          <w:tcPr>
            <w:tcW w:w="1246" w:type="dxa"/>
            <w:vAlign w:val="center"/>
          </w:tcPr>
          <w:p w:rsidR="00565A50" w:rsidRPr="00F9522B" w:rsidRDefault="00565A50" w:rsidP="00E93DD8">
            <w:pPr>
              <w:spacing w:line="0" w:lineRule="atLeast"/>
              <w:jc w:val="center"/>
              <w:rPr>
                <w:rFonts w:eastAsiaTheme="minorEastAsia"/>
                <w:szCs w:val="21"/>
              </w:rPr>
            </w:pPr>
            <w:r w:rsidRPr="00F9522B">
              <w:rPr>
                <w:rFonts w:eastAsiaTheme="minorEastAsia"/>
                <w:szCs w:val="21"/>
              </w:rPr>
              <w:t>历井村</w:t>
            </w:r>
          </w:p>
        </w:tc>
        <w:tc>
          <w:tcPr>
            <w:tcW w:w="891" w:type="dxa"/>
            <w:vAlign w:val="center"/>
          </w:tcPr>
          <w:p w:rsidR="00565A50" w:rsidRPr="00F9522B" w:rsidRDefault="00565A5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126.8834414</w:t>
            </w:r>
          </w:p>
        </w:tc>
        <w:tc>
          <w:tcPr>
            <w:tcW w:w="893" w:type="dxa"/>
            <w:vAlign w:val="center"/>
          </w:tcPr>
          <w:p w:rsidR="00565A50" w:rsidRPr="00F9522B" w:rsidRDefault="00565A5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46.173945</w:t>
            </w:r>
          </w:p>
        </w:tc>
        <w:tc>
          <w:tcPr>
            <w:tcW w:w="769" w:type="dxa"/>
            <w:vMerge/>
            <w:tcBorders>
              <w:right w:val="single" w:sz="2" w:space="0" w:color="auto"/>
            </w:tcBorders>
            <w:vAlign w:val="center"/>
          </w:tcPr>
          <w:p w:rsidR="00565A50" w:rsidRPr="00F9522B" w:rsidRDefault="00565A50">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r w:rsidRPr="00F9522B">
              <w:rPr>
                <w:rFonts w:eastAsiaTheme="minorEastAsia"/>
                <w:snapToGrid w:val="0"/>
                <w:kern w:val="0"/>
                <w:szCs w:val="21"/>
              </w:rPr>
              <w:t>四周均为农田及村道</w:t>
            </w:r>
          </w:p>
        </w:tc>
        <w:tc>
          <w:tcPr>
            <w:tcW w:w="599" w:type="dxa"/>
            <w:vMerge/>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p>
        </w:tc>
        <w:tc>
          <w:tcPr>
            <w:tcW w:w="1341" w:type="dxa"/>
            <w:vMerge/>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p>
        </w:tc>
      </w:tr>
      <w:tr w:rsidR="00565A50" w:rsidRPr="00F9522B">
        <w:trPr>
          <w:trHeight w:val="479"/>
          <w:jc w:val="center"/>
        </w:trPr>
        <w:tc>
          <w:tcPr>
            <w:tcW w:w="1246" w:type="dxa"/>
            <w:vAlign w:val="center"/>
          </w:tcPr>
          <w:p w:rsidR="00565A50" w:rsidRPr="00F9522B" w:rsidRDefault="00565A50" w:rsidP="00E93DD8">
            <w:pPr>
              <w:spacing w:line="0" w:lineRule="atLeast"/>
              <w:jc w:val="center"/>
              <w:rPr>
                <w:rFonts w:eastAsiaTheme="minorEastAsia"/>
                <w:szCs w:val="21"/>
              </w:rPr>
            </w:pPr>
            <w:r w:rsidRPr="00F9522B">
              <w:rPr>
                <w:rFonts w:eastAsiaTheme="minorEastAsia"/>
                <w:szCs w:val="21"/>
              </w:rPr>
              <w:t>促进</w:t>
            </w:r>
          </w:p>
        </w:tc>
        <w:tc>
          <w:tcPr>
            <w:tcW w:w="891" w:type="dxa"/>
            <w:vAlign w:val="center"/>
          </w:tcPr>
          <w:p w:rsidR="00565A50" w:rsidRPr="00F9522B" w:rsidRDefault="00565A5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126.8748584</w:t>
            </w:r>
          </w:p>
        </w:tc>
        <w:tc>
          <w:tcPr>
            <w:tcW w:w="893" w:type="dxa"/>
            <w:vAlign w:val="center"/>
          </w:tcPr>
          <w:p w:rsidR="00565A50" w:rsidRPr="00F9522B" w:rsidRDefault="00565A5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46.151355</w:t>
            </w:r>
          </w:p>
        </w:tc>
        <w:tc>
          <w:tcPr>
            <w:tcW w:w="769" w:type="dxa"/>
            <w:vMerge/>
            <w:tcBorders>
              <w:right w:val="single" w:sz="2" w:space="0" w:color="auto"/>
            </w:tcBorders>
            <w:vAlign w:val="center"/>
          </w:tcPr>
          <w:p w:rsidR="00565A50" w:rsidRPr="00F9522B" w:rsidRDefault="00565A50">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东至农田，南至农田，西至农田及村道，北至农田</w:t>
            </w:r>
          </w:p>
        </w:tc>
        <w:tc>
          <w:tcPr>
            <w:tcW w:w="599" w:type="dxa"/>
            <w:vMerge/>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p>
        </w:tc>
        <w:tc>
          <w:tcPr>
            <w:tcW w:w="1341" w:type="dxa"/>
            <w:vMerge/>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p>
        </w:tc>
      </w:tr>
    </w:tbl>
    <w:p w:rsidR="00565A50" w:rsidRPr="00F9522B" w:rsidRDefault="00565A50"/>
    <w:p w:rsidR="00565A50" w:rsidRPr="00F9522B" w:rsidRDefault="00565A50" w:rsidP="00565A50">
      <w:pPr>
        <w:contextualSpacing/>
        <w:jc w:val="center"/>
        <w:rPr>
          <w:rFonts w:eastAsiaTheme="minorEastAsia"/>
          <w:b/>
          <w:kern w:val="0"/>
          <w:szCs w:val="21"/>
        </w:rPr>
      </w:pPr>
      <w:r w:rsidRPr="00F9522B">
        <w:rPr>
          <w:rFonts w:eastAsiaTheme="minorEastAsia"/>
          <w:b/>
          <w:kern w:val="0"/>
          <w:szCs w:val="21"/>
        </w:rPr>
        <w:lastRenderedPageBreak/>
        <w:t>续表</w:t>
      </w:r>
      <w:r w:rsidRPr="00F9522B">
        <w:rPr>
          <w:rFonts w:eastAsiaTheme="minorEastAsia"/>
          <w:b/>
          <w:kern w:val="0"/>
          <w:szCs w:val="21"/>
        </w:rPr>
        <w:t>4-4-1</w:t>
      </w:r>
      <w:r w:rsidRPr="00F9522B">
        <w:rPr>
          <w:rFonts w:eastAsiaTheme="minorEastAsia"/>
          <w:b/>
          <w:kern w:val="0"/>
          <w:szCs w:val="21"/>
        </w:rPr>
        <w:t>环境保护目标调查表</w:t>
      </w:r>
    </w:p>
    <w:tbl>
      <w:tblPr>
        <w:tblStyle w:val="afc"/>
        <w:tblW w:w="8571" w:type="dxa"/>
        <w:jc w:val="center"/>
        <w:tblBorders>
          <w:top w:val="single" w:sz="12" w:space="0" w:color="auto"/>
          <w:left w:val="none" w:sz="0" w:space="0" w:color="auto"/>
          <w:bottom w:val="single" w:sz="12" w:space="0" w:color="auto"/>
          <w:right w:val="none" w:sz="0" w:space="0" w:color="auto"/>
          <w:insideH w:val="single" w:sz="2" w:space="0" w:color="auto"/>
          <w:insideV w:val="single" w:sz="2" w:space="0" w:color="auto"/>
        </w:tblBorders>
        <w:tblLayout w:type="fixed"/>
        <w:tblLook w:val="04A0"/>
      </w:tblPr>
      <w:tblGrid>
        <w:gridCol w:w="1246"/>
        <w:gridCol w:w="891"/>
        <w:gridCol w:w="893"/>
        <w:gridCol w:w="769"/>
        <w:gridCol w:w="2832"/>
        <w:gridCol w:w="590"/>
        <w:gridCol w:w="9"/>
        <w:gridCol w:w="1341"/>
      </w:tblGrid>
      <w:tr w:rsidR="00E9288A" w:rsidRPr="00F9522B">
        <w:trPr>
          <w:trHeight w:val="479"/>
          <w:jc w:val="center"/>
        </w:trPr>
        <w:tc>
          <w:tcPr>
            <w:tcW w:w="1246" w:type="dxa"/>
            <w:vAlign w:val="center"/>
          </w:tcPr>
          <w:p w:rsidR="00E9288A" w:rsidRPr="00F9522B" w:rsidRDefault="00E9288A" w:rsidP="00E93DD8">
            <w:pPr>
              <w:spacing w:line="0" w:lineRule="atLeast"/>
              <w:jc w:val="center"/>
              <w:rPr>
                <w:rFonts w:eastAsiaTheme="minorEastAsia"/>
                <w:szCs w:val="21"/>
              </w:rPr>
            </w:pPr>
            <w:r w:rsidRPr="00F9522B">
              <w:rPr>
                <w:rFonts w:eastAsiaTheme="minorEastAsia"/>
                <w:szCs w:val="21"/>
              </w:rPr>
              <w:t>永胜村</w:t>
            </w:r>
          </w:p>
        </w:tc>
        <w:tc>
          <w:tcPr>
            <w:tcW w:w="891" w:type="dxa"/>
            <w:vAlign w:val="center"/>
          </w:tcPr>
          <w:p w:rsidR="00E9288A" w:rsidRPr="00F9522B" w:rsidRDefault="00E9288A"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126.8506541</w:t>
            </w:r>
          </w:p>
        </w:tc>
        <w:tc>
          <w:tcPr>
            <w:tcW w:w="893" w:type="dxa"/>
            <w:vAlign w:val="center"/>
          </w:tcPr>
          <w:p w:rsidR="00E9288A" w:rsidRPr="00F9522B" w:rsidRDefault="00E9288A"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46.152723</w:t>
            </w:r>
          </w:p>
        </w:tc>
        <w:tc>
          <w:tcPr>
            <w:tcW w:w="769" w:type="dxa"/>
            <w:vMerge w:val="restart"/>
            <w:tcBorders>
              <w:right w:val="single" w:sz="2" w:space="0" w:color="auto"/>
            </w:tcBorders>
            <w:vAlign w:val="center"/>
          </w:tcPr>
          <w:p w:rsidR="00E9288A" w:rsidRPr="00F9522B" w:rsidRDefault="00E9288A" w:rsidP="004031CB">
            <w:pPr>
              <w:pStyle w:val="aff7"/>
              <w:spacing w:line="0" w:lineRule="atLeast"/>
              <w:contextualSpacing/>
              <w:rPr>
                <w:rFonts w:eastAsiaTheme="minorEastAsia" w:hAnsi="Times New Roman"/>
                <w:snapToGrid w:val="0"/>
                <w:kern w:val="0"/>
              </w:rPr>
            </w:pPr>
            <w:r w:rsidRPr="00F9522B">
              <w:rPr>
                <w:rFonts w:eastAsiaTheme="minorEastAsia" w:hAnsi="Times New Roman"/>
                <w:snapToGrid w:val="0"/>
                <w:kern w:val="0"/>
              </w:rPr>
              <w:t>农村</w:t>
            </w:r>
          </w:p>
        </w:tc>
        <w:tc>
          <w:tcPr>
            <w:tcW w:w="2832" w:type="dxa"/>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东至农田，南至农田，西至农田及村道，北至农田</w:t>
            </w:r>
          </w:p>
        </w:tc>
        <w:tc>
          <w:tcPr>
            <w:tcW w:w="599" w:type="dxa"/>
            <w:gridSpan w:val="2"/>
            <w:vMerge w:val="restart"/>
            <w:tcBorders>
              <w:left w:val="single" w:sz="2" w:space="0" w:color="auto"/>
            </w:tcBorders>
            <w:vAlign w:val="center"/>
          </w:tcPr>
          <w:p w:rsidR="00E9288A" w:rsidRPr="00F9522B" w:rsidRDefault="00E9288A" w:rsidP="004031CB">
            <w:pPr>
              <w:spacing w:line="0" w:lineRule="atLeast"/>
              <w:contextualSpacing/>
              <w:jc w:val="center"/>
              <w:rPr>
                <w:rFonts w:eastAsiaTheme="minorEastAsia"/>
                <w:snapToGrid w:val="0"/>
                <w:kern w:val="0"/>
                <w:szCs w:val="21"/>
              </w:rPr>
            </w:pPr>
            <w:r w:rsidRPr="00F9522B">
              <w:rPr>
                <w:rFonts w:eastAsiaTheme="minorEastAsia"/>
                <w:snapToGrid w:val="0"/>
                <w:kern w:val="0"/>
                <w:szCs w:val="21"/>
              </w:rPr>
              <w:t>居民</w:t>
            </w:r>
          </w:p>
        </w:tc>
        <w:tc>
          <w:tcPr>
            <w:tcW w:w="1341" w:type="dxa"/>
            <w:vMerge w:val="restart"/>
            <w:tcBorders>
              <w:left w:val="single" w:sz="2" w:space="0" w:color="auto"/>
            </w:tcBorders>
            <w:vAlign w:val="center"/>
          </w:tcPr>
          <w:p w:rsidR="00E9288A" w:rsidRPr="00F9522B" w:rsidRDefault="00E9288A" w:rsidP="004031CB">
            <w:pPr>
              <w:spacing w:line="0" w:lineRule="atLeast"/>
              <w:contextualSpacing/>
              <w:jc w:val="center"/>
              <w:rPr>
                <w:rFonts w:eastAsiaTheme="minorEastAsia"/>
                <w:snapToGrid w:val="0"/>
                <w:kern w:val="0"/>
                <w:szCs w:val="21"/>
              </w:rPr>
            </w:pPr>
            <w:r w:rsidRPr="00F9522B">
              <w:rPr>
                <w:rFonts w:eastAsiaTheme="minorEastAsia"/>
                <w:snapToGrid w:val="0"/>
                <w:kern w:val="0"/>
                <w:szCs w:val="21"/>
              </w:rPr>
              <w:t>《环境空气质量标准》（</w:t>
            </w:r>
            <w:r w:rsidR="00C07A9E" w:rsidRPr="00F9522B">
              <w:rPr>
                <w:rFonts w:eastAsiaTheme="minorEastAsia"/>
                <w:snapToGrid w:val="0"/>
                <w:kern w:val="0"/>
                <w:szCs w:val="21"/>
              </w:rPr>
              <w:t>GB3095-2026</w:t>
            </w:r>
            <w:r w:rsidRPr="00F9522B">
              <w:rPr>
                <w:rFonts w:eastAsiaTheme="minorEastAsia"/>
                <w:snapToGrid w:val="0"/>
                <w:kern w:val="0"/>
                <w:szCs w:val="21"/>
              </w:rPr>
              <w:t>）二级标准；</w:t>
            </w:r>
            <w:r w:rsidRPr="00F9522B">
              <w:rPr>
                <w:rFonts w:eastAsiaTheme="minorEastAsia"/>
                <w:kern w:val="0"/>
                <w:szCs w:val="21"/>
              </w:rPr>
              <w:t>《声环境质量标准》（</w:t>
            </w:r>
            <w:r w:rsidRPr="00F9522B">
              <w:rPr>
                <w:rFonts w:eastAsiaTheme="minorEastAsia"/>
                <w:kern w:val="0"/>
                <w:szCs w:val="21"/>
              </w:rPr>
              <w:t>GB3096-2008</w:t>
            </w:r>
            <w:r w:rsidRPr="00F9522B">
              <w:rPr>
                <w:rFonts w:eastAsiaTheme="minorEastAsia"/>
                <w:kern w:val="0"/>
                <w:szCs w:val="21"/>
              </w:rPr>
              <w:t>）</w:t>
            </w:r>
            <w:r w:rsidRPr="00F9522B">
              <w:rPr>
                <w:rFonts w:eastAsiaTheme="minorEastAsia"/>
                <w:kern w:val="0"/>
                <w:szCs w:val="21"/>
              </w:rPr>
              <w:t>1</w:t>
            </w:r>
            <w:r w:rsidRPr="00F9522B">
              <w:rPr>
                <w:rFonts w:eastAsiaTheme="minorEastAsia"/>
                <w:kern w:val="0"/>
                <w:szCs w:val="21"/>
              </w:rPr>
              <w:t>类</w:t>
            </w:r>
          </w:p>
        </w:tc>
      </w:tr>
      <w:tr w:rsidR="00E9288A" w:rsidRPr="00F9522B">
        <w:trPr>
          <w:trHeight w:val="479"/>
          <w:jc w:val="center"/>
        </w:trPr>
        <w:tc>
          <w:tcPr>
            <w:tcW w:w="1246" w:type="dxa"/>
            <w:vAlign w:val="center"/>
          </w:tcPr>
          <w:p w:rsidR="00E9288A" w:rsidRPr="00F9522B" w:rsidRDefault="00E9288A" w:rsidP="00E93DD8">
            <w:pPr>
              <w:spacing w:line="0" w:lineRule="atLeast"/>
              <w:jc w:val="center"/>
              <w:rPr>
                <w:rFonts w:eastAsiaTheme="minorEastAsia"/>
                <w:szCs w:val="21"/>
              </w:rPr>
            </w:pPr>
            <w:r w:rsidRPr="00F9522B">
              <w:rPr>
                <w:rFonts w:eastAsiaTheme="minorEastAsia"/>
                <w:szCs w:val="21"/>
              </w:rPr>
              <w:t>历井农场</w:t>
            </w:r>
          </w:p>
        </w:tc>
        <w:tc>
          <w:tcPr>
            <w:tcW w:w="891" w:type="dxa"/>
            <w:vAlign w:val="center"/>
          </w:tcPr>
          <w:p w:rsidR="00E9288A" w:rsidRPr="00F9522B" w:rsidRDefault="00E9288A"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126.8565764</w:t>
            </w:r>
          </w:p>
        </w:tc>
        <w:tc>
          <w:tcPr>
            <w:tcW w:w="893" w:type="dxa"/>
            <w:vAlign w:val="center"/>
          </w:tcPr>
          <w:p w:rsidR="00E9288A" w:rsidRPr="00F9522B" w:rsidRDefault="00E9288A"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46.170914</w:t>
            </w:r>
          </w:p>
        </w:tc>
        <w:tc>
          <w:tcPr>
            <w:tcW w:w="769" w:type="dxa"/>
            <w:vMerge/>
            <w:tcBorders>
              <w:right w:val="single" w:sz="2" w:space="0" w:color="auto"/>
            </w:tcBorders>
            <w:vAlign w:val="center"/>
          </w:tcPr>
          <w:p w:rsidR="00E9288A" w:rsidRPr="00F9522B" w:rsidRDefault="00E9288A" w:rsidP="004031CB">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东至农田及村道，南至农田，西至农田及村道，北至农田</w:t>
            </w:r>
          </w:p>
        </w:tc>
        <w:tc>
          <w:tcPr>
            <w:tcW w:w="599" w:type="dxa"/>
            <w:gridSpan w:val="2"/>
            <w:vMerge/>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p>
        </w:tc>
        <w:tc>
          <w:tcPr>
            <w:tcW w:w="1341" w:type="dxa"/>
            <w:vMerge/>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p>
        </w:tc>
      </w:tr>
      <w:tr w:rsidR="00E9288A" w:rsidRPr="00F9522B">
        <w:trPr>
          <w:trHeight w:val="479"/>
          <w:jc w:val="center"/>
        </w:trPr>
        <w:tc>
          <w:tcPr>
            <w:tcW w:w="1246" w:type="dxa"/>
            <w:vAlign w:val="center"/>
          </w:tcPr>
          <w:p w:rsidR="00E9288A" w:rsidRPr="00F9522B" w:rsidRDefault="00E9288A" w:rsidP="00E93DD8">
            <w:pPr>
              <w:spacing w:line="0" w:lineRule="atLeast"/>
              <w:jc w:val="center"/>
              <w:rPr>
                <w:rFonts w:eastAsiaTheme="minorEastAsia"/>
                <w:szCs w:val="21"/>
              </w:rPr>
            </w:pPr>
            <w:r w:rsidRPr="00F9522B">
              <w:rPr>
                <w:rFonts w:eastAsiaTheme="minorEastAsia"/>
                <w:szCs w:val="21"/>
              </w:rPr>
              <w:t>孟井村</w:t>
            </w:r>
          </w:p>
        </w:tc>
        <w:tc>
          <w:tcPr>
            <w:tcW w:w="891" w:type="dxa"/>
            <w:vAlign w:val="center"/>
          </w:tcPr>
          <w:p w:rsidR="00E9288A" w:rsidRPr="00F9522B" w:rsidRDefault="00E9288A"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126.8515446</w:t>
            </w:r>
          </w:p>
        </w:tc>
        <w:tc>
          <w:tcPr>
            <w:tcW w:w="893" w:type="dxa"/>
            <w:vAlign w:val="center"/>
          </w:tcPr>
          <w:p w:rsidR="00E9288A" w:rsidRPr="00F9522B" w:rsidRDefault="00E9288A"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46.186856</w:t>
            </w:r>
          </w:p>
        </w:tc>
        <w:tc>
          <w:tcPr>
            <w:tcW w:w="769" w:type="dxa"/>
            <w:vMerge/>
            <w:tcBorders>
              <w:right w:val="single" w:sz="2" w:space="0" w:color="auto"/>
            </w:tcBorders>
            <w:vAlign w:val="center"/>
          </w:tcPr>
          <w:p w:rsidR="00E9288A" w:rsidRPr="00F9522B" w:rsidRDefault="00E9288A" w:rsidP="004031CB">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东至农田及村道，南至农田，西至农田及村道，北至农田</w:t>
            </w:r>
          </w:p>
        </w:tc>
        <w:tc>
          <w:tcPr>
            <w:tcW w:w="599" w:type="dxa"/>
            <w:gridSpan w:val="2"/>
            <w:vMerge/>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p>
        </w:tc>
        <w:tc>
          <w:tcPr>
            <w:tcW w:w="1341" w:type="dxa"/>
            <w:vMerge/>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p>
        </w:tc>
      </w:tr>
      <w:tr w:rsidR="00E9288A" w:rsidRPr="00F9522B">
        <w:trPr>
          <w:trHeight w:val="479"/>
          <w:jc w:val="center"/>
        </w:trPr>
        <w:tc>
          <w:tcPr>
            <w:tcW w:w="1246" w:type="dxa"/>
            <w:vAlign w:val="center"/>
          </w:tcPr>
          <w:p w:rsidR="00E9288A" w:rsidRPr="00F9522B" w:rsidRDefault="00E9288A" w:rsidP="00E93DD8">
            <w:pPr>
              <w:spacing w:line="0" w:lineRule="atLeast"/>
              <w:jc w:val="center"/>
              <w:rPr>
                <w:rFonts w:eastAsiaTheme="minorEastAsia"/>
                <w:szCs w:val="21"/>
              </w:rPr>
            </w:pPr>
            <w:r w:rsidRPr="00F9522B">
              <w:rPr>
                <w:rFonts w:eastAsiaTheme="minorEastAsia"/>
                <w:szCs w:val="21"/>
              </w:rPr>
              <w:t>小林家</w:t>
            </w:r>
          </w:p>
        </w:tc>
        <w:tc>
          <w:tcPr>
            <w:tcW w:w="891" w:type="dxa"/>
            <w:vAlign w:val="center"/>
          </w:tcPr>
          <w:p w:rsidR="00E9288A" w:rsidRPr="00F9522B" w:rsidRDefault="00E9288A"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126.8230488</w:t>
            </w:r>
          </w:p>
        </w:tc>
        <w:tc>
          <w:tcPr>
            <w:tcW w:w="893" w:type="dxa"/>
            <w:vAlign w:val="center"/>
          </w:tcPr>
          <w:p w:rsidR="00E9288A" w:rsidRPr="00F9522B" w:rsidRDefault="00E9288A"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46.198383</w:t>
            </w:r>
          </w:p>
        </w:tc>
        <w:tc>
          <w:tcPr>
            <w:tcW w:w="769" w:type="dxa"/>
            <w:vMerge/>
            <w:tcBorders>
              <w:right w:val="single" w:sz="2" w:space="0" w:color="auto"/>
            </w:tcBorders>
            <w:vAlign w:val="center"/>
          </w:tcPr>
          <w:p w:rsidR="00E9288A" w:rsidRPr="00F9522B" w:rsidRDefault="00E9288A" w:rsidP="004031CB">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E9288A" w:rsidRPr="00F9522B" w:rsidRDefault="00E9288A" w:rsidP="007A0530">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东至农田，南至农田，西至农田及村道，北至农田及村道</w:t>
            </w:r>
          </w:p>
        </w:tc>
        <w:tc>
          <w:tcPr>
            <w:tcW w:w="599" w:type="dxa"/>
            <w:gridSpan w:val="2"/>
            <w:vMerge/>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p>
        </w:tc>
        <w:tc>
          <w:tcPr>
            <w:tcW w:w="1341" w:type="dxa"/>
            <w:vMerge/>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p>
        </w:tc>
      </w:tr>
      <w:tr w:rsidR="00E9288A" w:rsidRPr="00F9522B">
        <w:trPr>
          <w:trHeight w:val="479"/>
          <w:jc w:val="center"/>
        </w:trPr>
        <w:tc>
          <w:tcPr>
            <w:tcW w:w="1246" w:type="dxa"/>
            <w:vAlign w:val="center"/>
          </w:tcPr>
          <w:p w:rsidR="00E9288A" w:rsidRPr="00F9522B" w:rsidRDefault="00E9288A" w:rsidP="00E93DD8">
            <w:pPr>
              <w:spacing w:line="0" w:lineRule="atLeast"/>
              <w:jc w:val="center"/>
              <w:rPr>
                <w:rFonts w:eastAsiaTheme="minorEastAsia"/>
                <w:szCs w:val="21"/>
              </w:rPr>
            </w:pPr>
            <w:r w:rsidRPr="00F9522B">
              <w:rPr>
                <w:rFonts w:eastAsiaTheme="minorEastAsia"/>
                <w:szCs w:val="21"/>
              </w:rPr>
              <w:t>大林家</w:t>
            </w:r>
          </w:p>
        </w:tc>
        <w:tc>
          <w:tcPr>
            <w:tcW w:w="891" w:type="dxa"/>
            <w:vAlign w:val="center"/>
          </w:tcPr>
          <w:p w:rsidR="00E9288A" w:rsidRPr="00F9522B" w:rsidRDefault="00E9288A"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126.8357517</w:t>
            </w:r>
          </w:p>
        </w:tc>
        <w:tc>
          <w:tcPr>
            <w:tcW w:w="893" w:type="dxa"/>
            <w:vAlign w:val="center"/>
          </w:tcPr>
          <w:p w:rsidR="00E9288A" w:rsidRPr="00F9522B" w:rsidRDefault="00E9288A"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46.199095</w:t>
            </w:r>
          </w:p>
        </w:tc>
        <w:tc>
          <w:tcPr>
            <w:tcW w:w="769" w:type="dxa"/>
            <w:vMerge/>
            <w:tcBorders>
              <w:right w:val="single" w:sz="2" w:space="0" w:color="auto"/>
            </w:tcBorders>
            <w:vAlign w:val="center"/>
          </w:tcPr>
          <w:p w:rsidR="00E9288A" w:rsidRPr="00F9522B" w:rsidRDefault="00E9288A" w:rsidP="004031CB">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东至农田及村道，南至农田，西至农田及村道，北至农田</w:t>
            </w:r>
          </w:p>
        </w:tc>
        <w:tc>
          <w:tcPr>
            <w:tcW w:w="599" w:type="dxa"/>
            <w:gridSpan w:val="2"/>
            <w:vMerge/>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p>
        </w:tc>
        <w:tc>
          <w:tcPr>
            <w:tcW w:w="1341" w:type="dxa"/>
            <w:vMerge/>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p>
        </w:tc>
      </w:tr>
      <w:tr w:rsidR="00E9288A" w:rsidRPr="00F9522B">
        <w:trPr>
          <w:trHeight w:val="479"/>
          <w:jc w:val="center"/>
        </w:trPr>
        <w:tc>
          <w:tcPr>
            <w:tcW w:w="1246" w:type="dxa"/>
            <w:vAlign w:val="center"/>
          </w:tcPr>
          <w:p w:rsidR="00E9288A" w:rsidRPr="00F9522B" w:rsidRDefault="00E9288A" w:rsidP="00E93DD8">
            <w:pPr>
              <w:spacing w:line="0" w:lineRule="atLeast"/>
              <w:jc w:val="center"/>
              <w:rPr>
                <w:rFonts w:eastAsiaTheme="minorEastAsia"/>
                <w:szCs w:val="21"/>
              </w:rPr>
            </w:pPr>
            <w:r w:rsidRPr="00F9522B">
              <w:rPr>
                <w:rFonts w:eastAsiaTheme="minorEastAsia"/>
                <w:szCs w:val="21"/>
              </w:rPr>
              <w:t>双合村</w:t>
            </w:r>
          </w:p>
        </w:tc>
        <w:tc>
          <w:tcPr>
            <w:tcW w:w="891" w:type="dxa"/>
            <w:vAlign w:val="center"/>
          </w:tcPr>
          <w:p w:rsidR="00E9288A" w:rsidRPr="00F9522B" w:rsidRDefault="00E9288A"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126.8694403</w:t>
            </w:r>
          </w:p>
        </w:tc>
        <w:tc>
          <w:tcPr>
            <w:tcW w:w="893" w:type="dxa"/>
            <w:vAlign w:val="center"/>
          </w:tcPr>
          <w:p w:rsidR="00E9288A" w:rsidRPr="00F9522B" w:rsidRDefault="00E9288A"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46.204323</w:t>
            </w:r>
          </w:p>
        </w:tc>
        <w:tc>
          <w:tcPr>
            <w:tcW w:w="769" w:type="dxa"/>
            <w:vMerge/>
            <w:tcBorders>
              <w:right w:val="single" w:sz="2" w:space="0" w:color="auto"/>
            </w:tcBorders>
            <w:vAlign w:val="center"/>
          </w:tcPr>
          <w:p w:rsidR="00E9288A" w:rsidRPr="00F9522B" w:rsidRDefault="00E9288A" w:rsidP="004031CB">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E9288A" w:rsidRPr="00F9522B" w:rsidRDefault="00E9288A" w:rsidP="007A0530">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东至农田，南至农田，西至农田，北至农田及村道</w:t>
            </w:r>
          </w:p>
        </w:tc>
        <w:tc>
          <w:tcPr>
            <w:tcW w:w="599" w:type="dxa"/>
            <w:gridSpan w:val="2"/>
            <w:vMerge/>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p>
        </w:tc>
        <w:tc>
          <w:tcPr>
            <w:tcW w:w="1341" w:type="dxa"/>
            <w:vMerge/>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p>
        </w:tc>
      </w:tr>
      <w:tr w:rsidR="00E9288A" w:rsidRPr="00F9522B">
        <w:trPr>
          <w:trHeight w:val="479"/>
          <w:jc w:val="center"/>
        </w:trPr>
        <w:tc>
          <w:tcPr>
            <w:tcW w:w="1246" w:type="dxa"/>
            <w:vAlign w:val="center"/>
          </w:tcPr>
          <w:p w:rsidR="00E9288A" w:rsidRPr="00F9522B" w:rsidRDefault="00E9288A" w:rsidP="00E93DD8">
            <w:pPr>
              <w:spacing w:line="0" w:lineRule="atLeast"/>
              <w:jc w:val="center"/>
              <w:rPr>
                <w:rFonts w:eastAsiaTheme="minorEastAsia"/>
                <w:szCs w:val="21"/>
              </w:rPr>
            </w:pPr>
            <w:r w:rsidRPr="00F9522B">
              <w:rPr>
                <w:rFonts w:eastAsiaTheme="minorEastAsia"/>
                <w:szCs w:val="21"/>
              </w:rPr>
              <w:t>双泉</w:t>
            </w:r>
          </w:p>
        </w:tc>
        <w:tc>
          <w:tcPr>
            <w:tcW w:w="891" w:type="dxa"/>
            <w:vAlign w:val="center"/>
          </w:tcPr>
          <w:p w:rsidR="00E9288A" w:rsidRPr="00F9522B" w:rsidRDefault="00E9288A"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126.8850186</w:t>
            </w:r>
          </w:p>
        </w:tc>
        <w:tc>
          <w:tcPr>
            <w:tcW w:w="893" w:type="dxa"/>
            <w:vAlign w:val="center"/>
          </w:tcPr>
          <w:p w:rsidR="00E9288A" w:rsidRPr="00F9522B" w:rsidRDefault="00E9288A"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46.212372</w:t>
            </w:r>
          </w:p>
        </w:tc>
        <w:tc>
          <w:tcPr>
            <w:tcW w:w="769" w:type="dxa"/>
            <w:vMerge/>
            <w:tcBorders>
              <w:right w:val="single" w:sz="2" w:space="0" w:color="auto"/>
            </w:tcBorders>
            <w:vAlign w:val="center"/>
          </w:tcPr>
          <w:p w:rsidR="00E9288A" w:rsidRPr="00F9522B" w:rsidRDefault="00E9288A" w:rsidP="004031CB">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东至农田，南至农田，西至农田，北至农田及村道</w:t>
            </w:r>
          </w:p>
        </w:tc>
        <w:tc>
          <w:tcPr>
            <w:tcW w:w="599" w:type="dxa"/>
            <w:gridSpan w:val="2"/>
            <w:vMerge/>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p>
        </w:tc>
        <w:tc>
          <w:tcPr>
            <w:tcW w:w="1341" w:type="dxa"/>
            <w:vMerge/>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p>
        </w:tc>
      </w:tr>
      <w:tr w:rsidR="00E9288A" w:rsidRPr="00F9522B">
        <w:trPr>
          <w:trHeight w:val="479"/>
          <w:jc w:val="center"/>
        </w:trPr>
        <w:tc>
          <w:tcPr>
            <w:tcW w:w="1246" w:type="dxa"/>
            <w:vAlign w:val="center"/>
          </w:tcPr>
          <w:p w:rsidR="00E9288A" w:rsidRPr="00F9522B" w:rsidRDefault="00E9288A" w:rsidP="00E93DD8">
            <w:pPr>
              <w:spacing w:line="0" w:lineRule="atLeast"/>
              <w:jc w:val="center"/>
              <w:rPr>
                <w:rFonts w:eastAsiaTheme="minorEastAsia"/>
                <w:szCs w:val="21"/>
              </w:rPr>
            </w:pPr>
            <w:r w:rsidRPr="00F9522B">
              <w:rPr>
                <w:rFonts w:eastAsiaTheme="minorEastAsia"/>
                <w:szCs w:val="21"/>
              </w:rPr>
              <w:t>后半拉城子</w:t>
            </w:r>
          </w:p>
        </w:tc>
        <w:tc>
          <w:tcPr>
            <w:tcW w:w="891" w:type="dxa"/>
            <w:vAlign w:val="center"/>
          </w:tcPr>
          <w:p w:rsidR="00E9288A" w:rsidRPr="00F9522B" w:rsidRDefault="00E9288A"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126.9098665</w:t>
            </w:r>
          </w:p>
        </w:tc>
        <w:tc>
          <w:tcPr>
            <w:tcW w:w="893" w:type="dxa"/>
            <w:vAlign w:val="center"/>
          </w:tcPr>
          <w:p w:rsidR="00E9288A" w:rsidRPr="00F9522B" w:rsidRDefault="00E9288A"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46.204323</w:t>
            </w:r>
          </w:p>
        </w:tc>
        <w:tc>
          <w:tcPr>
            <w:tcW w:w="769" w:type="dxa"/>
            <w:vMerge/>
            <w:tcBorders>
              <w:right w:val="single" w:sz="2" w:space="0" w:color="auto"/>
            </w:tcBorders>
            <w:vAlign w:val="center"/>
          </w:tcPr>
          <w:p w:rsidR="00E9288A" w:rsidRPr="00F9522B" w:rsidRDefault="00E9288A" w:rsidP="004031CB">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东至农田及村道，南至农田，西至农田及村道，北至农田</w:t>
            </w:r>
          </w:p>
        </w:tc>
        <w:tc>
          <w:tcPr>
            <w:tcW w:w="599" w:type="dxa"/>
            <w:gridSpan w:val="2"/>
            <w:vMerge/>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p>
        </w:tc>
        <w:tc>
          <w:tcPr>
            <w:tcW w:w="1341" w:type="dxa"/>
            <w:vMerge/>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p>
        </w:tc>
      </w:tr>
      <w:tr w:rsidR="00E9288A" w:rsidRPr="00F9522B">
        <w:trPr>
          <w:trHeight w:val="479"/>
          <w:jc w:val="center"/>
        </w:trPr>
        <w:tc>
          <w:tcPr>
            <w:tcW w:w="1246" w:type="dxa"/>
            <w:vAlign w:val="center"/>
          </w:tcPr>
          <w:p w:rsidR="00E9288A" w:rsidRPr="00F9522B" w:rsidRDefault="00E9288A" w:rsidP="00E93DD8">
            <w:pPr>
              <w:spacing w:line="0" w:lineRule="atLeast"/>
              <w:jc w:val="center"/>
              <w:rPr>
                <w:rFonts w:eastAsiaTheme="minorEastAsia"/>
                <w:szCs w:val="21"/>
              </w:rPr>
            </w:pPr>
            <w:r w:rsidRPr="00F9522B">
              <w:rPr>
                <w:rFonts w:eastAsiaTheme="minorEastAsia"/>
                <w:szCs w:val="21"/>
              </w:rPr>
              <w:t>西井村</w:t>
            </w:r>
          </w:p>
        </w:tc>
        <w:tc>
          <w:tcPr>
            <w:tcW w:w="891" w:type="dxa"/>
            <w:vAlign w:val="center"/>
          </w:tcPr>
          <w:p w:rsidR="00E9288A" w:rsidRPr="00F9522B" w:rsidRDefault="00E9288A"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126.9667294</w:t>
            </w:r>
          </w:p>
        </w:tc>
        <w:tc>
          <w:tcPr>
            <w:tcW w:w="893" w:type="dxa"/>
            <w:vAlign w:val="center"/>
          </w:tcPr>
          <w:p w:rsidR="00E9288A" w:rsidRPr="00F9522B" w:rsidRDefault="00E9288A"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46.206996</w:t>
            </w:r>
          </w:p>
        </w:tc>
        <w:tc>
          <w:tcPr>
            <w:tcW w:w="769" w:type="dxa"/>
            <w:vMerge/>
            <w:tcBorders>
              <w:right w:val="single" w:sz="2" w:space="0" w:color="auto"/>
            </w:tcBorders>
            <w:vAlign w:val="center"/>
          </w:tcPr>
          <w:p w:rsidR="00E9288A" w:rsidRPr="00F9522B" w:rsidRDefault="00E9288A" w:rsidP="004031CB">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r w:rsidRPr="00F9522B">
              <w:rPr>
                <w:rFonts w:eastAsiaTheme="minorEastAsia"/>
                <w:snapToGrid w:val="0"/>
                <w:kern w:val="0"/>
                <w:szCs w:val="21"/>
              </w:rPr>
              <w:t>四周均为农田及村道</w:t>
            </w:r>
          </w:p>
        </w:tc>
        <w:tc>
          <w:tcPr>
            <w:tcW w:w="599" w:type="dxa"/>
            <w:gridSpan w:val="2"/>
            <w:vMerge/>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p>
        </w:tc>
        <w:tc>
          <w:tcPr>
            <w:tcW w:w="1341" w:type="dxa"/>
            <w:vMerge/>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p>
        </w:tc>
      </w:tr>
      <w:tr w:rsidR="00E9288A" w:rsidRPr="00F9522B">
        <w:trPr>
          <w:trHeight w:val="479"/>
          <w:jc w:val="center"/>
        </w:trPr>
        <w:tc>
          <w:tcPr>
            <w:tcW w:w="1246" w:type="dxa"/>
            <w:vAlign w:val="center"/>
          </w:tcPr>
          <w:p w:rsidR="00E9288A" w:rsidRPr="00F9522B" w:rsidRDefault="00E9288A" w:rsidP="00E93DD8">
            <w:pPr>
              <w:spacing w:line="0" w:lineRule="atLeast"/>
              <w:jc w:val="center"/>
              <w:rPr>
                <w:rFonts w:eastAsiaTheme="minorEastAsia"/>
                <w:szCs w:val="21"/>
              </w:rPr>
            </w:pPr>
            <w:r w:rsidRPr="00F9522B">
              <w:rPr>
                <w:rFonts w:eastAsiaTheme="minorEastAsia"/>
                <w:szCs w:val="21"/>
              </w:rPr>
              <w:t>东腰村</w:t>
            </w:r>
          </w:p>
        </w:tc>
        <w:tc>
          <w:tcPr>
            <w:tcW w:w="891" w:type="dxa"/>
            <w:vAlign w:val="center"/>
          </w:tcPr>
          <w:p w:rsidR="00E9288A" w:rsidRPr="00F9522B" w:rsidRDefault="00E9288A"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126.9875862</w:t>
            </w:r>
          </w:p>
        </w:tc>
        <w:tc>
          <w:tcPr>
            <w:tcW w:w="893" w:type="dxa"/>
            <w:vAlign w:val="center"/>
          </w:tcPr>
          <w:p w:rsidR="00E9288A" w:rsidRPr="00F9522B" w:rsidRDefault="00E9288A"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46.215133</w:t>
            </w:r>
          </w:p>
        </w:tc>
        <w:tc>
          <w:tcPr>
            <w:tcW w:w="769" w:type="dxa"/>
            <w:vMerge/>
            <w:tcBorders>
              <w:right w:val="single" w:sz="2" w:space="0" w:color="auto"/>
            </w:tcBorders>
            <w:vAlign w:val="center"/>
          </w:tcPr>
          <w:p w:rsidR="00E9288A" w:rsidRPr="00F9522B" w:rsidRDefault="00E9288A" w:rsidP="004031CB">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东至农田及村道，南至农田，西至农田及村道，北至农田</w:t>
            </w:r>
          </w:p>
        </w:tc>
        <w:tc>
          <w:tcPr>
            <w:tcW w:w="599" w:type="dxa"/>
            <w:gridSpan w:val="2"/>
            <w:vMerge/>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p>
        </w:tc>
        <w:tc>
          <w:tcPr>
            <w:tcW w:w="1341" w:type="dxa"/>
            <w:vMerge/>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p>
        </w:tc>
      </w:tr>
      <w:tr w:rsidR="00E9288A" w:rsidRPr="00F9522B">
        <w:trPr>
          <w:trHeight w:val="479"/>
          <w:jc w:val="center"/>
        </w:trPr>
        <w:tc>
          <w:tcPr>
            <w:tcW w:w="1246" w:type="dxa"/>
            <w:vAlign w:val="center"/>
          </w:tcPr>
          <w:p w:rsidR="00E9288A" w:rsidRPr="00F9522B" w:rsidRDefault="00E9288A" w:rsidP="00E93DD8">
            <w:pPr>
              <w:spacing w:line="0" w:lineRule="atLeast"/>
              <w:jc w:val="center"/>
              <w:rPr>
                <w:rFonts w:eastAsiaTheme="minorEastAsia"/>
                <w:szCs w:val="21"/>
              </w:rPr>
            </w:pPr>
            <w:r w:rsidRPr="00F9522B">
              <w:rPr>
                <w:rFonts w:eastAsiaTheme="minorEastAsia"/>
                <w:szCs w:val="21"/>
              </w:rPr>
              <w:t>东井村</w:t>
            </w:r>
          </w:p>
        </w:tc>
        <w:tc>
          <w:tcPr>
            <w:tcW w:w="891" w:type="dxa"/>
            <w:vAlign w:val="center"/>
          </w:tcPr>
          <w:p w:rsidR="00E9288A" w:rsidRPr="00F9522B" w:rsidRDefault="00E9288A"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126.9945010</w:t>
            </w:r>
          </w:p>
        </w:tc>
        <w:tc>
          <w:tcPr>
            <w:tcW w:w="893" w:type="dxa"/>
            <w:vAlign w:val="center"/>
          </w:tcPr>
          <w:p w:rsidR="00E9288A" w:rsidRPr="00F9522B" w:rsidRDefault="00E9288A"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46.222308</w:t>
            </w:r>
          </w:p>
        </w:tc>
        <w:tc>
          <w:tcPr>
            <w:tcW w:w="769" w:type="dxa"/>
            <w:vMerge/>
            <w:tcBorders>
              <w:right w:val="single" w:sz="2" w:space="0" w:color="auto"/>
            </w:tcBorders>
            <w:vAlign w:val="center"/>
          </w:tcPr>
          <w:p w:rsidR="00E9288A" w:rsidRPr="00F9522B" w:rsidRDefault="00E9288A" w:rsidP="004031CB">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东至农田及村道，南至农田，西至农田，北至农田</w:t>
            </w:r>
          </w:p>
        </w:tc>
        <w:tc>
          <w:tcPr>
            <w:tcW w:w="599" w:type="dxa"/>
            <w:gridSpan w:val="2"/>
            <w:vMerge/>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p>
        </w:tc>
        <w:tc>
          <w:tcPr>
            <w:tcW w:w="1341" w:type="dxa"/>
            <w:vMerge/>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p>
        </w:tc>
      </w:tr>
      <w:tr w:rsidR="00E9288A" w:rsidRPr="00F9522B">
        <w:trPr>
          <w:trHeight w:val="479"/>
          <w:jc w:val="center"/>
        </w:trPr>
        <w:tc>
          <w:tcPr>
            <w:tcW w:w="1246" w:type="dxa"/>
            <w:vAlign w:val="center"/>
          </w:tcPr>
          <w:p w:rsidR="00E9288A" w:rsidRPr="00F9522B" w:rsidRDefault="00E9288A" w:rsidP="00E93DD8">
            <w:pPr>
              <w:spacing w:line="0" w:lineRule="atLeast"/>
              <w:jc w:val="center"/>
              <w:rPr>
                <w:rFonts w:eastAsiaTheme="minorEastAsia"/>
                <w:szCs w:val="21"/>
              </w:rPr>
            </w:pPr>
            <w:r w:rsidRPr="00F9522B">
              <w:rPr>
                <w:rFonts w:eastAsiaTheme="minorEastAsia"/>
                <w:szCs w:val="21"/>
              </w:rPr>
              <w:t>赵家</w:t>
            </w:r>
          </w:p>
        </w:tc>
        <w:tc>
          <w:tcPr>
            <w:tcW w:w="891" w:type="dxa"/>
            <w:vAlign w:val="center"/>
          </w:tcPr>
          <w:p w:rsidR="00E9288A" w:rsidRPr="00F9522B" w:rsidRDefault="00E9288A"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126.9490965</w:t>
            </w:r>
          </w:p>
        </w:tc>
        <w:tc>
          <w:tcPr>
            <w:tcW w:w="893" w:type="dxa"/>
            <w:vAlign w:val="center"/>
          </w:tcPr>
          <w:p w:rsidR="00E9288A" w:rsidRPr="00F9522B" w:rsidRDefault="00E9288A"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46.223377</w:t>
            </w:r>
          </w:p>
        </w:tc>
        <w:tc>
          <w:tcPr>
            <w:tcW w:w="769" w:type="dxa"/>
            <w:vMerge/>
            <w:tcBorders>
              <w:right w:val="single" w:sz="2" w:space="0" w:color="auto"/>
            </w:tcBorders>
            <w:vAlign w:val="center"/>
          </w:tcPr>
          <w:p w:rsidR="00E9288A" w:rsidRPr="00F9522B" w:rsidRDefault="00E9288A" w:rsidP="004031CB">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东至农田及村道，南至农田，西至农田及村道，北至农田</w:t>
            </w:r>
          </w:p>
        </w:tc>
        <w:tc>
          <w:tcPr>
            <w:tcW w:w="599" w:type="dxa"/>
            <w:gridSpan w:val="2"/>
            <w:vMerge/>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p>
        </w:tc>
        <w:tc>
          <w:tcPr>
            <w:tcW w:w="1341" w:type="dxa"/>
            <w:vMerge/>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p>
        </w:tc>
      </w:tr>
      <w:tr w:rsidR="00E9288A" w:rsidRPr="00F9522B">
        <w:trPr>
          <w:trHeight w:val="479"/>
          <w:jc w:val="center"/>
        </w:trPr>
        <w:tc>
          <w:tcPr>
            <w:tcW w:w="1246" w:type="dxa"/>
            <w:vAlign w:val="center"/>
          </w:tcPr>
          <w:p w:rsidR="00E9288A" w:rsidRPr="00F9522B" w:rsidRDefault="00E9288A" w:rsidP="00E93DD8">
            <w:pPr>
              <w:spacing w:line="0" w:lineRule="atLeast"/>
              <w:jc w:val="center"/>
              <w:rPr>
                <w:rFonts w:eastAsiaTheme="minorEastAsia"/>
                <w:szCs w:val="21"/>
              </w:rPr>
            </w:pPr>
            <w:r w:rsidRPr="00F9522B">
              <w:rPr>
                <w:rFonts w:eastAsiaTheme="minorEastAsia"/>
                <w:szCs w:val="21"/>
              </w:rPr>
              <w:t>三合村</w:t>
            </w:r>
          </w:p>
        </w:tc>
        <w:tc>
          <w:tcPr>
            <w:tcW w:w="891" w:type="dxa"/>
            <w:vAlign w:val="center"/>
          </w:tcPr>
          <w:p w:rsidR="00E9288A" w:rsidRPr="00F9522B" w:rsidRDefault="00E9288A"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127.0072790</w:t>
            </w:r>
          </w:p>
        </w:tc>
        <w:tc>
          <w:tcPr>
            <w:tcW w:w="893" w:type="dxa"/>
            <w:vAlign w:val="center"/>
          </w:tcPr>
          <w:p w:rsidR="00E9288A" w:rsidRPr="00F9522B" w:rsidRDefault="00E9288A"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46.232417</w:t>
            </w:r>
          </w:p>
        </w:tc>
        <w:tc>
          <w:tcPr>
            <w:tcW w:w="769" w:type="dxa"/>
            <w:vMerge/>
            <w:tcBorders>
              <w:right w:val="single" w:sz="2" w:space="0" w:color="auto"/>
            </w:tcBorders>
            <w:vAlign w:val="center"/>
          </w:tcPr>
          <w:p w:rsidR="00E9288A" w:rsidRPr="00F9522B" w:rsidRDefault="00E9288A" w:rsidP="004031CB">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东至农田及村道，南至农田，西至农田及村道，北至农田</w:t>
            </w:r>
          </w:p>
        </w:tc>
        <w:tc>
          <w:tcPr>
            <w:tcW w:w="599" w:type="dxa"/>
            <w:gridSpan w:val="2"/>
            <w:vMerge/>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p>
        </w:tc>
        <w:tc>
          <w:tcPr>
            <w:tcW w:w="1341" w:type="dxa"/>
            <w:vMerge/>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p>
        </w:tc>
      </w:tr>
      <w:tr w:rsidR="00E9288A" w:rsidRPr="00F9522B">
        <w:trPr>
          <w:trHeight w:val="479"/>
          <w:jc w:val="center"/>
        </w:trPr>
        <w:tc>
          <w:tcPr>
            <w:tcW w:w="1246" w:type="dxa"/>
            <w:vAlign w:val="center"/>
          </w:tcPr>
          <w:p w:rsidR="00E9288A" w:rsidRPr="00F9522B" w:rsidRDefault="00E9288A" w:rsidP="00E93DD8">
            <w:pPr>
              <w:spacing w:line="0" w:lineRule="atLeast"/>
              <w:jc w:val="center"/>
              <w:rPr>
                <w:rFonts w:eastAsiaTheme="minorEastAsia"/>
                <w:szCs w:val="21"/>
              </w:rPr>
            </w:pPr>
            <w:r w:rsidRPr="00F9522B">
              <w:rPr>
                <w:rFonts w:eastAsiaTheme="minorEastAsia"/>
                <w:szCs w:val="21"/>
              </w:rPr>
              <w:t>金城村</w:t>
            </w:r>
          </w:p>
        </w:tc>
        <w:tc>
          <w:tcPr>
            <w:tcW w:w="891" w:type="dxa"/>
            <w:vAlign w:val="center"/>
          </w:tcPr>
          <w:p w:rsidR="00E9288A" w:rsidRPr="00F9522B" w:rsidRDefault="00E9288A" w:rsidP="00EC561F">
            <w:pPr>
              <w:adjustRightInd w:val="0"/>
              <w:snapToGrid w:val="0"/>
              <w:jc w:val="center"/>
              <w:rPr>
                <w:rFonts w:eastAsiaTheme="minorEastAsia"/>
                <w:snapToGrid w:val="0"/>
                <w:szCs w:val="21"/>
              </w:rPr>
            </w:pPr>
            <w:r w:rsidRPr="00F9522B">
              <w:rPr>
                <w:rFonts w:eastAsiaTheme="minorEastAsia"/>
                <w:snapToGrid w:val="0"/>
                <w:szCs w:val="21"/>
              </w:rPr>
              <w:t>126.9334646</w:t>
            </w:r>
          </w:p>
        </w:tc>
        <w:tc>
          <w:tcPr>
            <w:tcW w:w="893" w:type="dxa"/>
            <w:vAlign w:val="center"/>
          </w:tcPr>
          <w:p w:rsidR="00E9288A" w:rsidRPr="00F9522B" w:rsidRDefault="00E9288A" w:rsidP="00EC561F">
            <w:pPr>
              <w:adjustRightInd w:val="0"/>
              <w:snapToGrid w:val="0"/>
              <w:jc w:val="center"/>
              <w:rPr>
                <w:rFonts w:eastAsiaTheme="minorEastAsia"/>
                <w:snapToGrid w:val="0"/>
                <w:szCs w:val="21"/>
              </w:rPr>
            </w:pPr>
            <w:r w:rsidRPr="00F9522B">
              <w:rPr>
                <w:rFonts w:eastAsiaTheme="minorEastAsia"/>
                <w:snapToGrid w:val="0"/>
                <w:szCs w:val="21"/>
              </w:rPr>
              <w:t>46.235029</w:t>
            </w:r>
          </w:p>
        </w:tc>
        <w:tc>
          <w:tcPr>
            <w:tcW w:w="769" w:type="dxa"/>
            <w:vMerge/>
            <w:tcBorders>
              <w:right w:val="single" w:sz="2" w:space="0" w:color="auto"/>
            </w:tcBorders>
            <w:vAlign w:val="center"/>
          </w:tcPr>
          <w:p w:rsidR="00E9288A" w:rsidRPr="00F9522B" w:rsidRDefault="00E9288A">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东至农田及村道，南至农田，西至农田及村道，北至农田</w:t>
            </w:r>
          </w:p>
        </w:tc>
        <w:tc>
          <w:tcPr>
            <w:tcW w:w="590" w:type="dxa"/>
            <w:vMerge w:val="restart"/>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r w:rsidRPr="00F9522B">
              <w:rPr>
                <w:rFonts w:eastAsiaTheme="minorEastAsia"/>
                <w:snapToGrid w:val="0"/>
                <w:kern w:val="0"/>
                <w:szCs w:val="21"/>
              </w:rPr>
              <w:t>居民</w:t>
            </w:r>
          </w:p>
        </w:tc>
        <w:tc>
          <w:tcPr>
            <w:tcW w:w="1350" w:type="dxa"/>
            <w:gridSpan w:val="2"/>
            <w:vMerge w:val="restart"/>
            <w:tcBorders>
              <w:left w:val="single" w:sz="2" w:space="0" w:color="auto"/>
            </w:tcBorders>
            <w:vAlign w:val="center"/>
          </w:tcPr>
          <w:p w:rsidR="00E9288A" w:rsidRPr="00F9522B" w:rsidRDefault="00E9288A" w:rsidP="00E93DD8">
            <w:pPr>
              <w:spacing w:line="0" w:lineRule="atLeast"/>
              <w:contextualSpacing/>
              <w:jc w:val="center"/>
              <w:rPr>
                <w:rFonts w:eastAsiaTheme="minorEastAsia"/>
                <w:snapToGrid w:val="0"/>
                <w:kern w:val="0"/>
                <w:szCs w:val="21"/>
              </w:rPr>
            </w:pPr>
            <w:r w:rsidRPr="00F9522B">
              <w:rPr>
                <w:rFonts w:eastAsiaTheme="minorEastAsia"/>
                <w:snapToGrid w:val="0"/>
                <w:kern w:val="0"/>
                <w:szCs w:val="21"/>
              </w:rPr>
              <w:t>《环境空气质量标准》（</w:t>
            </w:r>
            <w:r w:rsidR="00C07A9E" w:rsidRPr="00F9522B">
              <w:rPr>
                <w:rFonts w:eastAsiaTheme="minorEastAsia"/>
                <w:snapToGrid w:val="0"/>
                <w:kern w:val="0"/>
                <w:szCs w:val="21"/>
              </w:rPr>
              <w:t>GB3095-2026</w:t>
            </w:r>
            <w:r w:rsidRPr="00F9522B">
              <w:rPr>
                <w:rFonts w:eastAsiaTheme="minorEastAsia"/>
                <w:snapToGrid w:val="0"/>
                <w:kern w:val="0"/>
                <w:szCs w:val="21"/>
              </w:rPr>
              <w:t>）二级标准；</w:t>
            </w:r>
            <w:r w:rsidRPr="00F9522B">
              <w:rPr>
                <w:rFonts w:eastAsiaTheme="minorEastAsia"/>
                <w:kern w:val="0"/>
                <w:szCs w:val="21"/>
              </w:rPr>
              <w:t>《声环境质量标准》（</w:t>
            </w:r>
            <w:r w:rsidRPr="00F9522B">
              <w:rPr>
                <w:rFonts w:eastAsiaTheme="minorEastAsia"/>
                <w:kern w:val="0"/>
                <w:szCs w:val="21"/>
              </w:rPr>
              <w:t>GB3096-2008</w:t>
            </w:r>
            <w:r w:rsidRPr="00F9522B">
              <w:rPr>
                <w:rFonts w:eastAsiaTheme="minorEastAsia"/>
                <w:kern w:val="0"/>
                <w:szCs w:val="21"/>
              </w:rPr>
              <w:t>）</w:t>
            </w:r>
            <w:r w:rsidRPr="00F9522B">
              <w:rPr>
                <w:rFonts w:eastAsiaTheme="minorEastAsia"/>
                <w:kern w:val="0"/>
                <w:szCs w:val="21"/>
              </w:rPr>
              <w:t>1</w:t>
            </w:r>
            <w:r w:rsidRPr="00F9522B">
              <w:rPr>
                <w:rFonts w:eastAsiaTheme="minorEastAsia"/>
                <w:kern w:val="0"/>
                <w:szCs w:val="21"/>
              </w:rPr>
              <w:t>类</w:t>
            </w:r>
          </w:p>
        </w:tc>
      </w:tr>
      <w:tr w:rsidR="00E9288A" w:rsidRPr="00F9522B">
        <w:trPr>
          <w:trHeight w:val="479"/>
          <w:jc w:val="center"/>
        </w:trPr>
        <w:tc>
          <w:tcPr>
            <w:tcW w:w="1246" w:type="dxa"/>
            <w:vAlign w:val="center"/>
          </w:tcPr>
          <w:p w:rsidR="00E9288A" w:rsidRPr="00F9522B" w:rsidRDefault="00E9288A" w:rsidP="00E93DD8">
            <w:pPr>
              <w:spacing w:line="0" w:lineRule="atLeast"/>
              <w:jc w:val="center"/>
              <w:rPr>
                <w:rFonts w:eastAsiaTheme="minorEastAsia"/>
                <w:szCs w:val="21"/>
              </w:rPr>
            </w:pPr>
            <w:r w:rsidRPr="00F9522B">
              <w:rPr>
                <w:rFonts w:eastAsiaTheme="minorEastAsia"/>
                <w:szCs w:val="21"/>
              </w:rPr>
              <w:t>杨木村</w:t>
            </w:r>
          </w:p>
        </w:tc>
        <w:tc>
          <w:tcPr>
            <w:tcW w:w="891" w:type="dxa"/>
            <w:vAlign w:val="center"/>
          </w:tcPr>
          <w:p w:rsidR="00E9288A" w:rsidRPr="00F9522B" w:rsidRDefault="00E9288A" w:rsidP="00EC561F">
            <w:pPr>
              <w:adjustRightInd w:val="0"/>
              <w:snapToGrid w:val="0"/>
              <w:jc w:val="center"/>
              <w:rPr>
                <w:rFonts w:eastAsiaTheme="minorEastAsia"/>
                <w:snapToGrid w:val="0"/>
                <w:szCs w:val="21"/>
              </w:rPr>
            </w:pPr>
            <w:r w:rsidRPr="00F9522B">
              <w:rPr>
                <w:rFonts w:eastAsiaTheme="minorEastAsia"/>
                <w:snapToGrid w:val="0"/>
                <w:szCs w:val="21"/>
              </w:rPr>
              <w:t>126.9708010</w:t>
            </w:r>
          </w:p>
        </w:tc>
        <w:tc>
          <w:tcPr>
            <w:tcW w:w="893" w:type="dxa"/>
            <w:vAlign w:val="center"/>
          </w:tcPr>
          <w:p w:rsidR="00E9288A" w:rsidRPr="00F9522B" w:rsidRDefault="00E9288A" w:rsidP="00EC561F">
            <w:pPr>
              <w:adjustRightInd w:val="0"/>
              <w:snapToGrid w:val="0"/>
              <w:jc w:val="center"/>
              <w:rPr>
                <w:rFonts w:eastAsiaTheme="minorEastAsia"/>
                <w:snapToGrid w:val="0"/>
                <w:szCs w:val="21"/>
              </w:rPr>
            </w:pPr>
            <w:r w:rsidRPr="00F9522B">
              <w:rPr>
                <w:rFonts w:eastAsiaTheme="minorEastAsia"/>
                <w:snapToGrid w:val="0"/>
                <w:szCs w:val="21"/>
              </w:rPr>
              <w:t>46.249098</w:t>
            </w:r>
          </w:p>
        </w:tc>
        <w:tc>
          <w:tcPr>
            <w:tcW w:w="769" w:type="dxa"/>
            <w:vMerge/>
            <w:tcBorders>
              <w:right w:val="single" w:sz="2" w:space="0" w:color="auto"/>
            </w:tcBorders>
            <w:vAlign w:val="center"/>
          </w:tcPr>
          <w:p w:rsidR="00E9288A" w:rsidRPr="00F9522B" w:rsidRDefault="00E9288A">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东至农田及村道，南至农田，西至农田及村道，北至农田</w:t>
            </w:r>
          </w:p>
        </w:tc>
        <w:tc>
          <w:tcPr>
            <w:tcW w:w="590" w:type="dxa"/>
            <w:vMerge/>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p>
        </w:tc>
        <w:tc>
          <w:tcPr>
            <w:tcW w:w="1350" w:type="dxa"/>
            <w:gridSpan w:val="2"/>
            <w:vMerge/>
            <w:tcBorders>
              <w:left w:val="single" w:sz="2" w:space="0" w:color="auto"/>
            </w:tcBorders>
            <w:vAlign w:val="center"/>
          </w:tcPr>
          <w:p w:rsidR="00E9288A" w:rsidRPr="00F9522B" w:rsidRDefault="00E9288A" w:rsidP="00E93DD8">
            <w:pPr>
              <w:spacing w:line="0" w:lineRule="atLeast"/>
              <w:contextualSpacing/>
              <w:jc w:val="center"/>
              <w:rPr>
                <w:rFonts w:eastAsiaTheme="minorEastAsia"/>
                <w:snapToGrid w:val="0"/>
                <w:kern w:val="0"/>
                <w:szCs w:val="21"/>
              </w:rPr>
            </w:pPr>
          </w:p>
        </w:tc>
      </w:tr>
      <w:tr w:rsidR="00E9288A" w:rsidRPr="00F9522B">
        <w:trPr>
          <w:trHeight w:val="479"/>
          <w:jc w:val="center"/>
        </w:trPr>
        <w:tc>
          <w:tcPr>
            <w:tcW w:w="1246" w:type="dxa"/>
            <w:vAlign w:val="center"/>
          </w:tcPr>
          <w:p w:rsidR="00E9288A" w:rsidRPr="00F9522B" w:rsidRDefault="00E9288A" w:rsidP="00E93DD8">
            <w:pPr>
              <w:spacing w:line="0" w:lineRule="atLeast"/>
              <w:jc w:val="center"/>
              <w:rPr>
                <w:rFonts w:eastAsiaTheme="minorEastAsia"/>
                <w:szCs w:val="21"/>
              </w:rPr>
            </w:pPr>
            <w:r w:rsidRPr="00F9522B">
              <w:rPr>
                <w:rFonts w:eastAsiaTheme="minorEastAsia"/>
                <w:szCs w:val="21"/>
              </w:rPr>
              <w:t>永平村</w:t>
            </w:r>
          </w:p>
        </w:tc>
        <w:tc>
          <w:tcPr>
            <w:tcW w:w="891" w:type="dxa"/>
            <w:vAlign w:val="center"/>
          </w:tcPr>
          <w:p w:rsidR="00E9288A" w:rsidRPr="00F9522B" w:rsidRDefault="00E9288A" w:rsidP="00EC561F">
            <w:pPr>
              <w:adjustRightInd w:val="0"/>
              <w:snapToGrid w:val="0"/>
              <w:jc w:val="center"/>
              <w:rPr>
                <w:rFonts w:eastAsiaTheme="minorEastAsia"/>
                <w:snapToGrid w:val="0"/>
                <w:szCs w:val="21"/>
              </w:rPr>
            </w:pPr>
            <w:r w:rsidRPr="00F9522B">
              <w:rPr>
                <w:rFonts w:eastAsiaTheme="minorEastAsia"/>
                <w:snapToGrid w:val="0"/>
                <w:szCs w:val="21"/>
              </w:rPr>
              <w:t>126.9249888</w:t>
            </w:r>
          </w:p>
        </w:tc>
        <w:tc>
          <w:tcPr>
            <w:tcW w:w="893" w:type="dxa"/>
            <w:vAlign w:val="center"/>
          </w:tcPr>
          <w:p w:rsidR="00E9288A" w:rsidRPr="00F9522B" w:rsidRDefault="00E9288A" w:rsidP="00EC561F">
            <w:pPr>
              <w:adjustRightInd w:val="0"/>
              <w:snapToGrid w:val="0"/>
              <w:jc w:val="center"/>
              <w:rPr>
                <w:rFonts w:eastAsiaTheme="minorEastAsia"/>
                <w:snapToGrid w:val="0"/>
                <w:szCs w:val="21"/>
              </w:rPr>
            </w:pPr>
            <w:r w:rsidRPr="00F9522B">
              <w:rPr>
                <w:rFonts w:eastAsiaTheme="minorEastAsia"/>
                <w:snapToGrid w:val="0"/>
                <w:szCs w:val="21"/>
              </w:rPr>
              <w:t>46.265507</w:t>
            </w:r>
          </w:p>
        </w:tc>
        <w:tc>
          <w:tcPr>
            <w:tcW w:w="769" w:type="dxa"/>
            <w:vMerge/>
            <w:tcBorders>
              <w:right w:val="single" w:sz="2" w:space="0" w:color="auto"/>
            </w:tcBorders>
            <w:vAlign w:val="center"/>
          </w:tcPr>
          <w:p w:rsidR="00E9288A" w:rsidRPr="00F9522B" w:rsidRDefault="00E9288A">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东至农田及村道，南至农田，西至农田及村道，北至农田</w:t>
            </w:r>
          </w:p>
        </w:tc>
        <w:tc>
          <w:tcPr>
            <w:tcW w:w="590" w:type="dxa"/>
            <w:vMerge/>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p>
        </w:tc>
        <w:tc>
          <w:tcPr>
            <w:tcW w:w="1350" w:type="dxa"/>
            <w:gridSpan w:val="2"/>
            <w:vMerge/>
            <w:tcBorders>
              <w:left w:val="single" w:sz="2" w:space="0" w:color="auto"/>
            </w:tcBorders>
            <w:vAlign w:val="center"/>
          </w:tcPr>
          <w:p w:rsidR="00E9288A" w:rsidRPr="00F9522B" w:rsidRDefault="00E9288A" w:rsidP="00E93DD8">
            <w:pPr>
              <w:spacing w:line="0" w:lineRule="atLeast"/>
              <w:contextualSpacing/>
              <w:jc w:val="center"/>
              <w:rPr>
                <w:rFonts w:eastAsiaTheme="minorEastAsia"/>
                <w:snapToGrid w:val="0"/>
                <w:kern w:val="0"/>
                <w:szCs w:val="21"/>
              </w:rPr>
            </w:pPr>
          </w:p>
        </w:tc>
      </w:tr>
      <w:tr w:rsidR="00E9288A" w:rsidRPr="00F9522B">
        <w:trPr>
          <w:trHeight w:val="479"/>
          <w:jc w:val="center"/>
        </w:trPr>
        <w:tc>
          <w:tcPr>
            <w:tcW w:w="1246" w:type="dxa"/>
            <w:vAlign w:val="center"/>
          </w:tcPr>
          <w:p w:rsidR="00E9288A" w:rsidRPr="00F9522B" w:rsidRDefault="00E9288A" w:rsidP="00E93DD8">
            <w:pPr>
              <w:spacing w:line="0" w:lineRule="atLeast"/>
              <w:jc w:val="center"/>
              <w:rPr>
                <w:rFonts w:eastAsiaTheme="minorEastAsia"/>
                <w:szCs w:val="21"/>
              </w:rPr>
            </w:pPr>
            <w:r w:rsidRPr="00F9522B">
              <w:rPr>
                <w:rFonts w:eastAsiaTheme="minorEastAsia"/>
                <w:szCs w:val="21"/>
              </w:rPr>
              <w:t>红光</w:t>
            </w:r>
          </w:p>
        </w:tc>
        <w:tc>
          <w:tcPr>
            <w:tcW w:w="891" w:type="dxa"/>
            <w:vAlign w:val="center"/>
          </w:tcPr>
          <w:p w:rsidR="00E9288A" w:rsidRPr="00F9522B" w:rsidRDefault="00E9288A" w:rsidP="00EC561F">
            <w:pPr>
              <w:adjustRightInd w:val="0"/>
              <w:snapToGrid w:val="0"/>
              <w:jc w:val="center"/>
              <w:rPr>
                <w:rFonts w:eastAsiaTheme="minorEastAsia"/>
                <w:snapToGrid w:val="0"/>
                <w:szCs w:val="21"/>
              </w:rPr>
            </w:pPr>
            <w:r w:rsidRPr="00F9522B">
              <w:rPr>
                <w:rFonts w:eastAsiaTheme="minorEastAsia"/>
                <w:snapToGrid w:val="0"/>
                <w:szCs w:val="21"/>
              </w:rPr>
              <w:t>126.8994113</w:t>
            </w:r>
          </w:p>
        </w:tc>
        <w:tc>
          <w:tcPr>
            <w:tcW w:w="893" w:type="dxa"/>
            <w:vAlign w:val="center"/>
          </w:tcPr>
          <w:p w:rsidR="00E9288A" w:rsidRPr="00F9522B" w:rsidRDefault="00E9288A" w:rsidP="00EC561F">
            <w:pPr>
              <w:adjustRightInd w:val="0"/>
              <w:snapToGrid w:val="0"/>
              <w:jc w:val="center"/>
              <w:rPr>
                <w:rFonts w:eastAsiaTheme="minorEastAsia"/>
                <w:snapToGrid w:val="0"/>
                <w:szCs w:val="21"/>
              </w:rPr>
            </w:pPr>
            <w:r w:rsidRPr="00F9522B">
              <w:rPr>
                <w:rFonts w:eastAsiaTheme="minorEastAsia"/>
                <w:snapToGrid w:val="0"/>
                <w:szCs w:val="21"/>
              </w:rPr>
              <w:t>46.266100</w:t>
            </w:r>
          </w:p>
        </w:tc>
        <w:tc>
          <w:tcPr>
            <w:tcW w:w="769" w:type="dxa"/>
            <w:vMerge/>
            <w:tcBorders>
              <w:right w:val="single" w:sz="2" w:space="0" w:color="auto"/>
            </w:tcBorders>
            <w:vAlign w:val="center"/>
          </w:tcPr>
          <w:p w:rsidR="00E9288A" w:rsidRPr="00F9522B" w:rsidRDefault="00E9288A">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东至农田及村道，南至农田，西至农田及村道，北至农田</w:t>
            </w:r>
          </w:p>
        </w:tc>
        <w:tc>
          <w:tcPr>
            <w:tcW w:w="590" w:type="dxa"/>
            <w:vMerge/>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p>
        </w:tc>
        <w:tc>
          <w:tcPr>
            <w:tcW w:w="1350" w:type="dxa"/>
            <w:gridSpan w:val="2"/>
            <w:vMerge/>
            <w:tcBorders>
              <w:left w:val="single" w:sz="2" w:space="0" w:color="auto"/>
            </w:tcBorders>
            <w:vAlign w:val="center"/>
          </w:tcPr>
          <w:p w:rsidR="00E9288A" w:rsidRPr="00F9522B" w:rsidRDefault="00E9288A" w:rsidP="00E93DD8">
            <w:pPr>
              <w:spacing w:line="0" w:lineRule="atLeast"/>
              <w:contextualSpacing/>
              <w:jc w:val="center"/>
              <w:rPr>
                <w:rFonts w:eastAsiaTheme="minorEastAsia"/>
                <w:snapToGrid w:val="0"/>
                <w:kern w:val="0"/>
                <w:szCs w:val="21"/>
              </w:rPr>
            </w:pPr>
          </w:p>
        </w:tc>
      </w:tr>
      <w:tr w:rsidR="00E9288A" w:rsidRPr="00F9522B">
        <w:trPr>
          <w:trHeight w:val="479"/>
          <w:jc w:val="center"/>
        </w:trPr>
        <w:tc>
          <w:tcPr>
            <w:tcW w:w="1246" w:type="dxa"/>
            <w:vAlign w:val="center"/>
          </w:tcPr>
          <w:p w:rsidR="00E9288A" w:rsidRPr="00F9522B" w:rsidRDefault="00E9288A" w:rsidP="00E93DD8">
            <w:pPr>
              <w:spacing w:line="0" w:lineRule="atLeast"/>
              <w:jc w:val="center"/>
              <w:rPr>
                <w:rFonts w:eastAsiaTheme="minorEastAsia"/>
                <w:szCs w:val="21"/>
              </w:rPr>
            </w:pPr>
            <w:r w:rsidRPr="00F9522B">
              <w:rPr>
                <w:rFonts w:eastAsiaTheme="minorEastAsia"/>
                <w:szCs w:val="21"/>
              </w:rPr>
              <w:t>下甸屯</w:t>
            </w:r>
          </w:p>
        </w:tc>
        <w:tc>
          <w:tcPr>
            <w:tcW w:w="891" w:type="dxa"/>
            <w:vAlign w:val="center"/>
          </w:tcPr>
          <w:p w:rsidR="00E9288A" w:rsidRPr="00F9522B" w:rsidRDefault="00E9288A" w:rsidP="00EC561F">
            <w:pPr>
              <w:adjustRightInd w:val="0"/>
              <w:snapToGrid w:val="0"/>
              <w:jc w:val="center"/>
              <w:rPr>
                <w:rFonts w:eastAsiaTheme="minorEastAsia"/>
                <w:snapToGrid w:val="0"/>
                <w:szCs w:val="21"/>
              </w:rPr>
            </w:pPr>
            <w:r w:rsidRPr="00F9522B">
              <w:rPr>
                <w:rFonts w:eastAsiaTheme="minorEastAsia"/>
                <w:snapToGrid w:val="0"/>
                <w:szCs w:val="21"/>
              </w:rPr>
              <w:t>126.923100</w:t>
            </w:r>
          </w:p>
        </w:tc>
        <w:tc>
          <w:tcPr>
            <w:tcW w:w="893" w:type="dxa"/>
            <w:vAlign w:val="center"/>
          </w:tcPr>
          <w:p w:rsidR="00E9288A" w:rsidRPr="00F9522B" w:rsidRDefault="00E9288A" w:rsidP="00EC561F">
            <w:pPr>
              <w:adjustRightInd w:val="0"/>
              <w:snapToGrid w:val="0"/>
              <w:jc w:val="center"/>
              <w:rPr>
                <w:rFonts w:eastAsiaTheme="minorEastAsia"/>
                <w:snapToGrid w:val="0"/>
                <w:szCs w:val="21"/>
              </w:rPr>
            </w:pPr>
            <w:r w:rsidRPr="00F9522B">
              <w:rPr>
                <w:rFonts w:eastAsiaTheme="minorEastAsia"/>
                <w:snapToGrid w:val="0"/>
                <w:szCs w:val="21"/>
              </w:rPr>
              <w:t>126.923100</w:t>
            </w:r>
          </w:p>
        </w:tc>
        <w:tc>
          <w:tcPr>
            <w:tcW w:w="769" w:type="dxa"/>
            <w:vMerge/>
            <w:tcBorders>
              <w:right w:val="single" w:sz="2" w:space="0" w:color="auto"/>
            </w:tcBorders>
            <w:vAlign w:val="center"/>
          </w:tcPr>
          <w:p w:rsidR="00E9288A" w:rsidRPr="00F9522B" w:rsidRDefault="00E9288A">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E9288A" w:rsidRPr="00F9522B" w:rsidRDefault="00E9288A" w:rsidP="008B6E39">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东至农田，南至农田及村道，西至农田，北至农田及村道</w:t>
            </w:r>
          </w:p>
        </w:tc>
        <w:tc>
          <w:tcPr>
            <w:tcW w:w="590" w:type="dxa"/>
            <w:vMerge/>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p>
        </w:tc>
        <w:tc>
          <w:tcPr>
            <w:tcW w:w="1350" w:type="dxa"/>
            <w:gridSpan w:val="2"/>
            <w:vMerge/>
            <w:tcBorders>
              <w:left w:val="single" w:sz="2" w:space="0" w:color="auto"/>
            </w:tcBorders>
            <w:vAlign w:val="center"/>
          </w:tcPr>
          <w:p w:rsidR="00E9288A" w:rsidRPr="00F9522B" w:rsidRDefault="00E9288A" w:rsidP="00E93DD8">
            <w:pPr>
              <w:spacing w:line="0" w:lineRule="atLeast"/>
              <w:contextualSpacing/>
              <w:jc w:val="center"/>
              <w:rPr>
                <w:rFonts w:eastAsiaTheme="minorEastAsia"/>
                <w:snapToGrid w:val="0"/>
                <w:kern w:val="0"/>
                <w:szCs w:val="21"/>
              </w:rPr>
            </w:pPr>
          </w:p>
        </w:tc>
      </w:tr>
      <w:tr w:rsidR="00E9288A" w:rsidRPr="00F9522B">
        <w:trPr>
          <w:trHeight w:val="479"/>
          <w:jc w:val="center"/>
        </w:trPr>
        <w:tc>
          <w:tcPr>
            <w:tcW w:w="1246" w:type="dxa"/>
            <w:vAlign w:val="center"/>
          </w:tcPr>
          <w:p w:rsidR="00E9288A" w:rsidRPr="00F9522B" w:rsidRDefault="00E9288A" w:rsidP="00E93DD8">
            <w:pPr>
              <w:spacing w:line="0" w:lineRule="atLeast"/>
              <w:jc w:val="center"/>
              <w:rPr>
                <w:rFonts w:eastAsiaTheme="minorEastAsia"/>
                <w:szCs w:val="21"/>
              </w:rPr>
            </w:pPr>
            <w:r w:rsidRPr="00F9522B">
              <w:rPr>
                <w:rFonts w:eastAsiaTheme="minorEastAsia"/>
                <w:szCs w:val="21"/>
              </w:rPr>
              <w:t>城子村</w:t>
            </w:r>
          </w:p>
        </w:tc>
        <w:tc>
          <w:tcPr>
            <w:tcW w:w="891" w:type="dxa"/>
            <w:vAlign w:val="center"/>
          </w:tcPr>
          <w:p w:rsidR="00E9288A" w:rsidRPr="00F9522B" w:rsidRDefault="00E9288A" w:rsidP="00EC561F">
            <w:pPr>
              <w:adjustRightInd w:val="0"/>
              <w:snapToGrid w:val="0"/>
              <w:jc w:val="center"/>
              <w:rPr>
                <w:rFonts w:eastAsiaTheme="minorEastAsia"/>
                <w:snapToGrid w:val="0"/>
                <w:szCs w:val="21"/>
              </w:rPr>
            </w:pPr>
            <w:r w:rsidRPr="00F9522B">
              <w:rPr>
                <w:rFonts w:eastAsiaTheme="minorEastAsia"/>
                <w:snapToGrid w:val="0"/>
                <w:szCs w:val="21"/>
              </w:rPr>
              <w:t>126.9363185</w:t>
            </w:r>
          </w:p>
        </w:tc>
        <w:tc>
          <w:tcPr>
            <w:tcW w:w="893" w:type="dxa"/>
            <w:vAlign w:val="center"/>
          </w:tcPr>
          <w:p w:rsidR="00E9288A" w:rsidRPr="00F9522B" w:rsidRDefault="00E9288A" w:rsidP="00EC561F">
            <w:pPr>
              <w:adjustRightInd w:val="0"/>
              <w:snapToGrid w:val="0"/>
              <w:jc w:val="center"/>
              <w:rPr>
                <w:rFonts w:eastAsiaTheme="minorEastAsia"/>
                <w:snapToGrid w:val="0"/>
                <w:szCs w:val="21"/>
              </w:rPr>
            </w:pPr>
            <w:r w:rsidRPr="00F9522B">
              <w:rPr>
                <w:rFonts w:eastAsiaTheme="minorEastAsia"/>
                <w:snapToGrid w:val="0"/>
                <w:szCs w:val="21"/>
              </w:rPr>
              <w:t>46.294930</w:t>
            </w:r>
          </w:p>
        </w:tc>
        <w:tc>
          <w:tcPr>
            <w:tcW w:w="769" w:type="dxa"/>
            <w:vMerge/>
            <w:tcBorders>
              <w:right w:val="single" w:sz="2" w:space="0" w:color="auto"/>
            </w:tcBorders>
            <w:vAlign w:val="center"/>
          </w:tcPr>
          <w:p w:rsidR="00E9288A" w:rsidRPr="00F9522B" w:rsidRDefault="00E9288A">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r w:rsidRPr="00F9522B">
              <w:rPr>
                <w:rFonts w:eastAsiaTheme="minorEastAsia"/>
                <w:snapToGrid w:val="0"/>
                <w:kern w:val="0"/>
                <w:szCs w:val="21"/>
              </w:rPr>
              <w:t>四周均为农田及村道</w:t>
            </w:r>
          </w:p>
        </w:tc>
        <w:tc>
          <w:tcPr>
            <w:tcW w:w="590" w:type="dxa"/>
            <w:vMerge/>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p>
        </w:tc>
        <w:tc>
          <w:tcPr>
            <w:tcW w:w="1350" w:type="dxa"/>
            <w:gridSpan w:val="2"/>
            <w:vMerge/>
            <w:tcBorders>
              <w:left w:val="single" w:sz="2" w:space="0" w:color="auto"/>
            </w:tcBorders>
            <w:vAlign w:val="center"/>
          </w:tcPr>
          <w:p w:rsidR="00E9288A" w:rsidRPr="00F9522B" w:rsidRDefault="00E9288A" w:rsidP="00E93DD8">
            <w:pPr>
              <w:spacing w:line="0" w:lineRule="atLeast"/>
              <w:contextualSpacing/>
              <w:jc w:val="center"/>
              <w:rPr>
                <w:rFonts w:eastAsiaTheme="minorEastAsia"/>
                <w:snapToGrid w:val="0"/>
                <w:kern w:val="0"/>
                <w:szCs w:val="21"/>
              </w:rPr>
            </w:pPr>
          </w:p>
        </w:tc>
      </w:tr>
      <w:tr w:rsidR="00E9288A" w:rsidRPr="00F9522B">
        <w:trPr>
          <w:trHeight w:val="479"/>
          <w:jc w:val="center"/>
        </w:trPr>
        <w:tc>
          <w:tcPr>
            <w:tcW w:w="1246" w:type="dxa"/>
            <w:vAlign w:val="center"/>
          </w:tcPr>
          <w:p w:rsidR="00E9288A" w:rsidRPr="00F9522B" w:rsidRDefault="00E9288A" w:rsidP="00E93DD8">
            <w:pPr>
              <w:spacing w:line="0" w:lineRule="atLeast"/>
              <w:jc w:val="center"/>
              <w:rPr>
                <w:rFonts w:eastAsiaTheme="minorEastAsia"/>
                <w:szCs w:val="21"/>
              </w:rPr>
            </w:pPr>
            <w:r w:rsidRPr="00F9522B">
              <w:rPr>
                <w:rFonts w:eastAsiaTheme="minorEastAsia"/>
                <w:szCs w:val="21"/>
              </w:rPr>
              <w:t>罗庆屯</w:t>
            </w:r>
          </w:p>
        </w:tc>
        <w:tc>
          <w:tcPr>
            <w:tcW w:w="891" w:type="dxa"/>
            <w:vAlign w:val="center"/>
          </w:tcPr>
          <w:p w:rsidR="00E9288A" w:rsidRPr="00F9522B" w:rsidRDefault="00E9288A" w:rsidP="00EC561F">
            <w:pPr>
              <w:adjustRightInd w:val="0"/>
              <w:snapToGrid w:val="0"/>
              <w:jc w:val="center"/>
              <w:rPr>
                <w:rFonts w:eastAsiaTheme="minorEastAsia"/>
                <w:snapToGrid w:val="0"/>
                <w:szCs w:val="21"/>
              </w:rPr>
            </w:pPr>
            <w:r w:rsidRPr="00F9522B">
              <w:rPr>
                <w:rFonts w:eastAsiaTheme="minorEastAsia"/>
                <w:snapToGrid w:val="0"/>
                <w:szCs w:val="21"/>
              </w:rPr>
              <w:t>126.9691916</w:t>
            </w:r>
          </w:p>
        </w:tc>
        <w:tc>
          <w:tcPr>
            <w:tcW w:w="893" w:type="dxa"/>
            <w:vAlign w:val="center"/>
          </w:tcPr>
          <w:p w:rsidR="00E9288A" w:rsidRPr="00F9522B" w:rsidRDefault="00E9288A" w:rsidP="00EC561F">
            <w:pPr>
              <w:adjustRightInd w:val="0"/>
              <w:snapToGrid w:val="0"/>
              <w:jc w:val="center"/>
              <w:rPr>
                <w:rFonts w:eastAsiaTheme="minorEastAsia"/>
                <w:snapToGrid w:val="0"/>
                <w:szCs w:val="21"/>
              </w:rPr>
            </w:pPr>
            <w:r w:rsidRPr="00F9522B">
              <w:rPr>
                <w:rFonts w:eastAsiaTheme="minorEastAsia"/>
                <w:snapToGrid w:val="0"/>
                <w:szCs w:val="21"/>
              </w:rPr>
              <w:t>46.291757</w:t>
            </w:r>
          </w:p>
        </w:tc>
        <w:tc>
          <w:tcPr>
            <w:tcW w:w="769" w:type="dxa"/>
            <w:vMerge/>
            <w:tcBorders>
              <w:right w:val="single" w:sz="2" w:space="0" w:color="auto"/>
            </w:tcBorders>
            <w:vAlign w:val="center"/>
          </w:tcPr>
          <w:p w:rsidR="00E9288A" w:rsidRPr="00F9522B" w:rsidRDefault="00E9288A">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东至农田及村道，南至农田，西至农田及村道，北至农田</w:t>
            </w:r>
          </w:p>
        </w:tc>
        <w:tc>
          <w:tcPr>
            <w:tcW w:w="590" w:type="dxa"/>
            <w:vMerge/>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p>
        </w:tc>
        <w:tc>
          <w:tcPr>
            <w:tcW w:w="1350" w:type="dxa"/>
            <w:gridSpan w:val="2"/>
            <w:vMerge/>
            <w:tcBorders>
              <w:left w:val="single" w:sz="2" w:space="0" w:color="auto"/>
            </w:tcBorders>
            <w:vAlign w:val="center"/>
          </w:tcPr>
          <w:p w:rsidR="00E9288A" w:rsidRPr="00F9522B" w:rsidRDefault="00E9288A" w:rsidP="00E93DD8">
            <w:pPr>
              <w:spacing w:line="0" w:lineRule="atLeast"/>
              <w:contextualSpacing/>
              <w:jc w:val="center"/>
              <w:rPr>
                <w:rFonts w:eastAsiaTheme="minorEastAsia"/>
                <w:snapToGrid w:val="0"/>
                <w:kern w:val="0"/>
                <w:szCs w:val="21"/>
              </w:rPr>
            </w:pPr>
          </w:p>
        </w:tc>
      </w:tr>
      <w:tr w:rsidR="00E9288A" w:rsidRPr="00F9522B">
        <w:trPr>
          <w:trHeight w:val="479"/>
          <w:jc w:val="center"/>
        </w:trPr>
        <w:tc>
          <w:tcPr>
            <w:tcW w:w="1246" w:type="dxa"/>
            <w:vAlign w:val="center"/>
          </w:tcPr>
          <w:p w:rsidR="00E9288A" w:rsidRPr="00F9522B" w:rsidRDefault="00E9288A" w:rsidP="00E93DD8">
            <w:pPr>
              <w:spacing w:line="0" w:lineRule="atLeast"/>
              <w:jc w:val="center"/>
              <w:rPr>
                <w:rFonts w:eastAsiaTheme="minorEastAsia"/>
                <w:szCs w:val="21"/>
              </w:rPr>
            </w:pPr>
            <w:r w:rsidRPr="00F9522B">
              <w:rPr>
                <w:rFonts w:eastAsiaTheme="minorEastAsia"/>
                <w:szCs w:val="21"/>
              </w:rPr>
              <w:t>兴农</w:t>
            </w:r>
          </w:p>
        </w:tc>
        <w:tc>
          <w:tcPr>
            <w:tcW w:w="891" w:type="dxa"/>
            <w:vAlign w:val="center"/>
          </w:tcPr>
          <w:p w:rsidR="00E9288A" w:rsidRPr="00F9522B" w:rsidRDefault="00E9288A" w:rsidP="00EC561F">
            <w:pPr>
              <w:adjustRightInd w:val="0"/>
              <w:snapToGrid w:val="0"/>
              <w:jc w:val="center"/>
              <w:rPr>
                <w:rFonts w:eastAsiaTheme="minorEastAsia"/>
                <w:snapToGrid w:val="0"/>
                <w:szCs w:val="21"/>
              </w:rPr>
            </w:pPr>
            <w:r w:rsidRPr="00F9522B">
              <w:rPr>
                <w:rFonts w:eastAsiaTheme="minorEastAsia"/>
                <w:snapToGrid w:val="0"/>
                <w:szCs w:val="21"/>
              </w:rPr>
              <w:t>126.9861861</w:t>
            </w:r>
          </w:p>
        </w:tc>
        <w:tc>
          <w:tcPr>
            <w:tcW w:w="893" w:type="dxa"/>
            <w:vAlign w:val="center"/>
          </w:tcPr>
          <w:p w:rsidR="00E9288A" w:rsidRPr="00F9522B" w:rsidRDefault="00E9288A" w:rsidP="00EC561F">
            <w:pPr>
              <w:adjustRightInd w:val="0"/>
              <w:snapToGrid w:val="0"/>
              <w:jc w:val="center"/>
              <w:rPr>
                <w:rFonts w:eastAsiaTheme="minorEastAsia"/>
                <w:snapToGrid w:val="0"/>
                <w:szCs w:val="21"/>
              </w:rPr>
            </w:pPr>
            <w:r w:rsidRPr="00F9522B">
              <w:rPr>
                <w:rFonts w:eastAsiaTheme="minorEastAsia"/>
                <w:snapToGrid w:val="0"/>
                <w:szCs w:val="21"/>
              </w:rPr>
              <w:t>46.289503</w:t>
            </w:r>
          </w:p>
        </w:tc>
        <w:tc>
          <w:tcPr>
            <w:tcW w:w="769" w:type="dxa"/>
            <w:vMerge/>
            <w:tcBorders>
              <w:right w:val="single" w:sz="2" w:space="0" w:color="auto"/>
            </w:tcBorders>
            <w:vAlign w:val="center"/>
          </w:tcPr>
          <w:p w:rsidR="00E9288A" w:rsidRPr="00F9522B" w:rsidRDefault="00E9288A">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东至农田及村道，南至农田，西至农田及村道，北至农田</w:t>
            </w:r>
          </w:p>
        </w:tc>
        <w:tc>
          <w:tcPr>
            <w:tcW w:w="590" w:type="dxa"/>
            <w:vMerge/>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p>
        </w:tc>
        <w:tc>
          <w:tcPr>
            <w:tcW w:w="1350" w:type="dxa"/>
            <w:gridSpan w:val="2"/>
            <w:vMerge/>
            <w:tcBorders>
              <w:left w:val="single" w:sz="2" w:space="0" w:color="auto"/>
            </w:tcBorders>
            <w:vAlign w:val="center"/>
          </w:tcPr>
          <w:p w:rsidR="00E9288A" w:rsidRPr="00F9522B" w:rsidRDefault="00E9288A" w:rsidP="00E93DD8">
            <w:pPr>
              <w:spacing w:line="0" w:lineRule="atLeast"/>
              <w:contextualSpacing/>
              <w:jc w:val="center"/>
              <w:rPr>
                <w:rFonts w:eastAsiaTheme="minorEastAsia"/>
                <w:snapToGrid w:val="0"/>
                <w:kern w:val="0"/>
                <w:szCs w:val="21"/>
              </w:rPr>
            </w:pPr>
          </w:p>
        </w:tc>
      </w:tr>
      <w:tr w:rsidR="00E9288A" w:rsidRPr="00F9522B" w:rsidTr="00EC561F">
        <w:trPr>
          <w:trHeight w:val="288"/>
          <w:jc w:val="center"/>
        </w:trPr>
        <w:tc>
          <w:tcPr>
            <w:tcW w:w="1246" w:type="dxa"/>
            <w:vAlign w:val="center"/>
          </w:tcPr>
          <w:p w:rsidR="00E9288A" w:rsidRPr="00F9522B" w:rsidRDefault="00E9288A" w:rsidP="00E93DD8">
            <w:pPr>
              <w:spacing w:line="0" w:lineRule="atLeast"/>
              <w:jc w:val="center"/>
              <w:rPr>
                <w:rFonts w:eastAsiaTheme="minorEastAsia"/>
                <w:szCs w:val="21"/>
              </w:rPr>
            </w:pPr>
            <w:r w:rsidRPr="00F9522B">
              <w:rPr>
                <w:rFonts w:eastAsiaTheme="minorEastAsia"/>
                <w:szCs w:val="21"/>
              </w:rPr>
              <w:t>永发村</w:t>
            </w:r>
          </w:p>
        </w:tc>
        <w:tc>
          <w:tcPr>
            <w:tcW w:w="891" w:type="dxa"/>
            <w:vAlign w:val="center"/>
          </w:tcPr>
          <w:p w:rsidR="00E9288A" w:rsidRPr="00F9522B" w:rsidRDefault="00E9288A"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126.9739982</w:t>
            </w:r>
          </w:p>
        </w:tc>
        <w:tc>
          <w:tcPr>
            <w:tcW w:w="893" w:type="dxa"/>
            <w:vAlign w:val="center"/>
          </w:tcPr>
          <w:p w:rsidR="00E9288A" w:rsidRPr="00F9522B" w:rsidRDefault="00E9288A"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46.301957</w:t>
            </w:r>
          </w:p>
        </w:tc>
        <w:tc>
          <w:tcPr>
            <w:tcW w:w="769" w:type="dxa"/>
            <w:vMerge/>
            <w:tcBorders>
              <w:right w:val="single" w:sz="2" w:space="0" w:color="auto"/>
            </w:tcBorders>
            <w:vAlign w:val="center"/>
          </w:tcPr>
          <w:p w:rsidR="00E9288A" w:rsidRPr="00F9522B" w:rsidRDefault="00E9288A">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r w:rsidRPr="00F9522B">
              <w:rPr>
                <w:rFonts w:eastAsiaTheme="minorEastAsia"/>
                <w:snapToGrid w:val="0"/>
                <w:kern w:val="0"/>
                <w:szCs w:val="21"/>
              </w:rPr>
              <w:t>四周均为农田及村道</w:t>
            </w:r>
          </w:p>
        </w:tc>
        <w:tc>
          <w:tcPr>
            <w:tcW w:w="590" w:type="dxa"/>
            <w:vMerge/>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p>
        </w:tc>
        <w:tc>
          <w:tcPr>
            <w:tcW w:w="1350" w:type="dxa"/>
            <w:gridSpan w:val="2"/>
            <w:vMerge/>
            <w:tcBorders>
              <w:left w:val="single" w:sz="2" w:space="0" w:color="auto"/>
            </w:tcBorders>
            <w:vAlign w:val="center"/>
          </w:tcPr>
          <w:p w:rsidR="00E9288A" w:rsidRPr="00F9522B" w:rsidRDefault="00E9288A" w:rsidP="00E93DD8">
            <w:pPr>
              <w:spacing w:line="0" w:lineRule="atLeast"/>
              <w:contextualSpacing/>
              <w:jc w:val="center"/>
              <w:rPr>
                <w:rFonts w:eastAsiaTheme="minorEastAsia"/>
                <w:snapToGrid w:val="0"/>
                <w:kern w:val="0"/>
                <w:szCs w:val="21"/>
              </w:rPr>
            </w:pPr>
          </w:p>
        </w:tc>
      </w:tr>
      <w:tr w:rsidR="00E9288A" w:rsidRPr="00F9522B">
        <w:trPr>
          <w:trHeight w:val="427"/>
          <w:jc w:val="center"/>
        </w:trPr>
        <w:tc>
          <w:tcPr>
            <w:tcW w:w="1246" w:type="dxa"/>
            <w:vAlign w:val="center"/>
          </w:tcPr>
          <w:p w:rsidR="00E9288A" w:rsidRPr="00F9522B" w:rsidRDefault="00E9288A" w:rsidP="00E93DD8">
            <w:pPr>
              <w:spacing w:line="0" w:lineRule="atLeast"/>
              <w:jc w:val="center"/>
              <w:rPr>
                <w:rFonts w:eastAsiaTheme="minorEastAsia"/>
                <w:szCs w:val="21"/>
              </w:rPr>
            </w:pPr>
            <w:r w:rsidRPr="00F9522B">
              <w:rPr>
                <w:rFonts w:eastAsiaTheme="minorEastAsia"/>
                <w:szCs w:val="21"/>
              </w:rPr>
              <w:t>张亚</w:t>
            </w:r>
          </w:p>
        </w:tc>
        <w:tc>
          <w:tcPr>
            <w:tcW w:w="891" w:type="dxa"/>
            <w:vAlign w:val="center"/>
          </w:tcPr>
          <w:p w:rsidR="00E9288A" w:rsidRPr="00F9522B" w:rsidRDefault="00E9288A"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126.9501372</w:t>
            </w:r>
          </w:p>
        </w:tc>
        <w:tc>
          <w:tcPr>
            <w:tcW w:w="893" w:type="dxa"/>
            <w:vAlign w:val="center"/>
          </w:tcPr>
          <w:p w:rsidR="00E9288A" w:rsidRPr="00F9522B" w:rsidRDefault="00E9288A"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46.308716</w:t>
            </w:r>
          </w:p>
        </w:tc>
        <w:tc>
          <w:tcPr>
            <w:tcW w:w="769" w:type="dxa"/>
            <w:vMerge/>
            <w:tcBorders>
              <w:right w:val="single" w:sz="2" w:space="0" w:color="auto"/>
            </w:tcBorders>
            <w:vAlign w:val="center"/>
          </w:tcPr>
          <w:p w:rsidR="00E9288A" w:rsidRPr="00F9522B" w:rsidRDefault="00E9288A">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r w:rsidRPr="00F9522B">
              <w:rPr>
                <w:rFonts w:eastAsiaTheme="minorEastAsia"/>
                <w:snapToGrid w:val="0"/>
                <w:kern w:val="0"/>
                <w:szCs w:val="21"/>
              </w:rPr>
              <w:t>四周均为农田及村道</w:t>
            </w:r>
          </w:p>
        </w:tc>
        <w:tc>
          <w:tcPr>
            <w:tcW w:w="590" w:type="dxa"/>
            <w:vMerge/>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p>
        </w:tc>
        <w:tc>
          <w:tcPr>
            <w:tcW w:w="1350" w:type="dxa"/>
            <w:gridSpan w:val="2"/>
            <w:vMerge/>
            <w:tcBorders>
              <w:left w:val="single" w:sz="2" w:space="0" w:color="auto"/>
            </w:tcBorders>
            <w:vAlign w:val="center"/>
          </w:tcPr>
          <w:p w:rsidR="00E9288A" w:rsidRPr="00F9522B" w:rsidRDefault="00E9288A" w:rsidP="00E93DD8">
            <w:pPr>
              <w:spacing w:line="0" w:lineRule="atLeast"/>
              <w:contextualSpacing/>
              <w:jc w:val="center"/>
              <w:rPr>
                <w:rFonts w:eastAsiaTheme="minorEastAsia"/>
                <w:snapToGrid w:val="0"/>
                <w:kern w:val="0"/>
                <w:szCs w:val="21"/>
              </w:rPr>
            </w:pPr>
          </w:p>
        </w:tc>
      </w:tr>
      <w:tr w:rsidR="00E9288A" w:rsidRPr="00F9522B">
        <w:trPr>
          <w:trHeight w:val="577"/>
          <w:jc w:val="center"/>
        </w:trPr>
        <w:tc>
          <w:tcPr>
            <w:tcW w:w="1246" w:type="dxa"/>
            <w:vAlign w:val="center"/>
          </w:tcPr>
          <w:p w:rsidR="00E9288A" w:rsidRPr="00F9522B" w:rsidRDefault="00E9288A" w:rsidP="00E93DD8">
            <w:pPr>
              <w:spacing w:line="0" w:lineRule="atLeast"/>
              <w:jc w:val="center"/>
              <w:rPr>
                <w:rFonts w:eastAsiaTheme="minorEastAsia"/>
                <w:szCs w:val="21"/>
              </w:rPr>
            </w:pPr>
            <w:r w:rsidRPr="00F9522B">
              <w:rPr>
                <w:rFonts w:eastAsiaTheme="minorEastAsia"/>
                <w:szCs w:val="21"/>
              </w:rPr>
              <w:t>郭家窝棚</w:t>
            </w:r>
          </w:p>
        </w:tc>
        <w:tc>
          <w:tcPr>
            <w:tcW w:w="891" w:type="dxa"/>
            <w:vAlign w:val="center"/>
          </w:tcPr>
          <w:p w:rsidR="00E9288A" w:rsidRPr="00F9522B" w:rsidRDefault="00E9288A"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126.8879314</w:t>
            </w:r>
          </w:p>
        </w:tc>
        <w:tc>
          <w:tcPr>
            <w:tcW w:w="893" w:type="dxa"/>
            <w:vAlign w:val="center"/>
          </w:tcPr>
          <w:p w:rsidR="00E9288A" w:rsidRPr="00F9522B" w:rsidRDefault="00E9288A"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46.300504</w:t>
            </w:r>
          </w:p>
        </w:tc>
        <w:tc>
          <w:tcPr>
            <w:tcW w:w="769" w:type="dxa"/>
            <w:vMerge/>
            <w:tcBorders>
              <w:right w:val="single" w:sz="2" w:space="0" w:color="auto"/>
            </w:tcBorders>
            <w:vAlign w:val="center"/>
          </w:tcPr>
          <w:p w:rsidR="00E9288A" w:rsidRPr="00F9522B" w:rsidRDefault="00E9288A">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东至农田，南至农田及村道，西至农田，北至空地</w:t>
            </w:r>
          </w:p>
        </w:tc>
        <w:tc>
          <w:tcPr>
            <w:tcW w:w="590" w:type="dxa"/>
            <w:vMerge/>
            <w:tcBorders>
              <w:left w:val="single" w:sz="2" w:space="0" w:color="auto"/>
            </w:tcBorders>
            <w:vAlign w:val="center"/>
          </w:tcPr>
          <w:p w:rsidR="00E9288A" w:rsidRPr="00F9522B" w:rsidRDefault="00E9288A">
            <w:pPr>
              <w:spacing w:line="0" w:lineRule="atLeast"/>
              <w:contextualSpacing/>
              <w:jc w:val="center"/>
              <w:rPr>
                <w:rFonts w:eastAsiaTheme="minorEastAsia"/>
                <w:snapToGrid w:val="0"/>
                <w:kern w:val="0"/>
                <w:szCs w:val="21"/>
              </w:rPr>
            </w:pPr>
          </w:p>
        </w:tc>
        <w:tc>
          <w:tcPr>
            <w:tcW w:w="1350" w:type="dxa"/>
            <w:gridSpan w:val="2"/>
            <w:vMerge/>
            <w:tcBorders>
              <w:left w:val="single" w:sz="2" w:space="0" w:color="auto"/>
            </w:tcBorders>
            <w:vAlign w:val="center"/>
          </w:tcPr>
          <w:p w:rsidR="00E9288A" w:rsidRPr="00F9522B" w:rsidRDefault="00E9288A" w:rsidP="00E93DD8">
            <w:pPr>
              <w:spacing w:line="0" w:lineRule="atLeast"/>
              <w:contextualSpacing/>
              <w:jc w:val="center"/>
              <w:rPr>
                <w:rFonts w:eastAsiaTheme="minorEastAsia"/>
                <w:snapToGrid w:val="0"/>
                <w:kern w:val="0"/>
                <w:szCs w:val="21"/>
              </w:rPr>
            </w:pPr>
          </w:p>
        </w:tc>
      </w:tr>
    </w:tbl>
    <w:p w:rsidR="00565A50" w:rsidRPr="00F9522B" w:rsidRDefault="00565A50"/>
    <w:p w:rsidR="00565A50" w:rsidRPr="00F9522B" w:rsidRDefault="00565A50" w:rsidP="00565A50">
      <w:pPr>
        <w:contextualSpacing/>
        <w:jc w:val="center"/>
        <w:rPr>
          <w:rFonts w:eastAsiaTheme="minorEastAsia"/>
          <w:b/>
          <w:kern w:val="0"/>
          <w:szCs w:val="21"/>
        </w:rPr>
      </w:pPr>
      <w:r w:rsidRPr="00F9522B">
        <w:rPr>
          <w:rFonts w:eastAsiaTheme="minorEastAsia"/>
          <w:b/>
          <w:kern w:val="0"/>
          <w:szCs w:val="21"/>
        </w:rPr>
        <w:lastRenderedPageBreak/>
        <w:t>续表</w:t>
      </w:r>
      <w:r w:rsidRPr="00F9522B">
        <w:rPr>
          <w:rFonts w:eastAsiaTheme="minorEastAsia"/>
          <w:b/>
          <w:kern w:val="0"/>
          <w:szCs w:val="21"/>
        </w:rPr>
        <w:t>4-4-1</w:t>
      </w:r>
      <w:r w:rsidRPr="00F9522B">
        <w:rPr>
          <w:rFonts w:eastAsiaTheme="minorEastAsia"/>
          <w:b/>
          <w:kern w:val="0"/>
          <w:szCs w:val="21"/>
        </w:rPr>
        <w:t>环境保护目标调查表</w:t>
      </w:r>
    </w:p>
    <w:tbl>
      <w:tblPr>
        <w:tblStyle w:val="afc"/>
        <w:tblW w:w="8571" w:type="dxa"/>
        <w:jc w:val="center"/>
        <w:tblBorders>
          <w:top w:val="single" w:sz="12" w:space="0" w:color="auto"/>
          <w:left w:val="none" w:sz="0" w:space="0" w:color="auto"/>
          <w:bottom w:val="single" w:sz="12" w:space="0" w:color="auto"/>
          <w:right w:val="none" w:sz="0" w:space="0" w:color="auto"/>
          <w:insideH w:val="single" w:sz="2" w:space="0" w:color="auto"/>
          <w:insideV w:val="single" w:sz="2" w:space="0" w:color="auto"/>
        </w:tblBorders>
        <w:tblLayout w:type="fixed"/>
        <w:tblLook w:val="04A0"/>
      </w:tblPr>
      <w:tblGrid>
        <w:gridCol w:w="1246"/>
        <w:gridCol w:w="891"/>
        <w:gridCol w:w="893"/>
        <w:gridCol w:w="769"/>
        <w:gridCol w:w="2832"/>
        <w:gridCol w:w="590"/>
        <w:gridCol w:w="1350"/>
      </w:tblGrid>
      <w:tr w:rsidR="00565A50" w:rsidRPr="00F9522B">
        <w:trPr>
          <w:trHeight w:val="479"/>
          <w:jc w:val="center"/>
        </w:trPr>
        <w:tc>
          <w:tcPr>
            <w:tcW w:w="1246" w:type="dxa"/>
            <w:vAlign w:val="center"/>
          </w:tcPr>
          <w:p w:rsidR="00565A50" w:rsidRPr="00F9522B" w:rsidRDefault="00565A50" w:rsidP="00E93DD8">
            <w:pPr>
              <w:spacing w:line="0" w:lineRule="atLeast"/>
              <w:jc w:val="center"/>
              <w:rPr>
                <w:rFonts w:eastAsiaTheme="minorEastAsia"/>
                <w:szCs w:val="21"/>
              </w:rPr>
            </w:pPr>
            <w:r w:rsidRPr="00F9522B">
              <w:rPr>
                <w:rFonts w:eastAsiaTheme="minorEastAsia"/>
                <w:szCs w:val="21"/>
              </w:rPr>
              <w:t>金星</w:t>
            </w:r>
          </w:p>
        </w:tc>
        <w:tc>
          <w:tcPr>
            <w:tcW w:w="891" w:type="dxa"/>
            <w:vAlign w:val="center"/>
          </w:tcPr>
          <w:p w:rsidR="00565A50" w:rsidRPr="00F9522B" w:rsidRDefault="00565A5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126.8949266</w:t>
            </w:r>
          </w:p>
        </w:tc>
        <w:tc>
          <w:tcPr>
            <w:tcW w:w="893" w:type="dxa"/>
            <w:vAlign w:val="center"/>
          </w:tcPr>
          <w:p w:rsidR="00565A50" w:rsidRPr="00F9522B" w:rsidRDefault="00565A5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46.315742</w:t>
            </w:r>
          </w:p>
        </w:tc>
        <w:tc>
          <w:tcPr>
            <w:tcW w:w="769" w:type="dxa"/>
            <w:vMerge w:val="restart"/>
            <w:tcBorders>
              <w:right w:val="single" w:sz="2" w:space="0" w:color="auto"/>
            </w:tcBorders>
            <w:vAlign w:val="center"/>
          </w:tcPr>
          <w:p w:rsidR="00565A50" w:rsidRPr="00F9522B" w:rsidRDefault="00E9288A">
            <w:pPr>
              <w:pStyle w:val="aff7"/>
              <w:spacing w:line="0" w:lineRule="atLeast"/>
              <w:contextualSpacing/>
              <w:rPr>
                <w:rFonts w:eastAsiaTheme="minorEastAsia" w:hAnsi="Times New Roman"/>
                <w:snapToGrid w:val="0"/>
                <w:kern w:val="0"/>
              </w:rPr>
            </w:pPr>
            <w:r w:rsidRPr="00F9522B">
              <w:rPr>
                <w:rFonts w:eastAsiaTheme="minorEastAsia" w:hAnsi="Times New Roman"/>
                <w:snapToGrid w:val="0"/>
                <w:kern w:val="0"/>
              </w:rPr>
              <w:t>农村</w:t>
            </w:r>
          </w:p>
        </w:tc>
        <w:tc>
          <w:tcPr>
            <w:tcW w:w="2832" w:type="dxa"/>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东至农田及村道，南至农田，西至农田及村道，北至农田</w:t>
            </w:r>
          </w:p>
        </w:tc>
        <w:tc>
          <w:tcPr>
            <w:tcW w:w="590" w:type="dxa"/>
            <w:vMerge w:val="restart"/>
            <w:tcBorders>
              <w:left w:val="single" w:sz="2" w:space="0" w:color="auto"/>
            </w:tcBorders>
            <w:vAlign w:val="center"/>
          </w:tcPr>
          <w:p w:rsidR="00565A50" w:rsidRPr="00F9522B" w:rsidRDefault="00E9288A">
            <w:pPr>
              <w:spacing w:line="0" w:lineRule="atLeast"/>
              <w:contextualSpacing/>
              <w:jc w:val="center"/>
              <w:rPr>
                <w:rFonts w:eastAsiaTheme="minorEastAsia"/>
                <w:snapToGrid w:val="0"/>
                <w:kern w:val="0"/>
                <w:szCs w:val="21"/>
              </w:rPr>
            </w:pPr>
            <w:r w:rsidRPr="00F9522B">
              <w:rPr>
                <w:rFonts w:eastAsiaTheme="minorEastAsia"/>
                <w:snapToGrid w:val="0"/>
                <w:kern w:val="0"/>
                <w:szCs w:val="21"/>
              </w:rPr>
              <w:t>居民</w:t>
            </w:r>
          </w:p>
        </w:tc>
        <w:tc>
          <w:tcPr>
            <w:tcW w:w="1350" w:type="dxa"/>
            <w:vMerge w:val="restart"/>
            <w:tcBorders>
              <w:left w:val="single" w:sz="2" w:space="0" w:color="auto"/>
            </w:tcBorders>
            <w:vAlign w:val="center"/>
          </w:tcPr>
          <w:p w:rsidR="00565A50" w:rsidRPr="00F9522B" w:rsidRDefault="00565A50" w:rsidP="004031CB">
            <w:pPr>
              <w:spacing w:line="0" w:lineRule="atLeast"/>
              <w:contextualSpacing/>
              <w:jc w:val="center"/>
              <w:rPr>
                <w:rFonts w:eastAsiaTheme="minorEastAsia"/>
                <w:snapToGrid w:val="0"/>
                <w:kern w:val="0"/>
                <w:szCs w:val="21"/>
              </w:rPr>
            </w:pPr>
            <w:r w:rsidRPr="00F9522B">
              <w:rPr>
                <w:rFonts w:eastAsiaTheme="minorEastAsia"/>
                <w:snapToGrid w:val="0"/>
                <w:kern w:val="0"/>
                <w:szCs w:val="21"/>
              </w:rPr>
              <w:t>《环境空气质量标准》（</w:t>
            </w:r>
            <w:r w:rsidR="00C07A9E" w:rsidRPr="00F9522B">
              <w:rPr>
                <w:rFonts w:eastAsiaTheme="minorEastAsia"/>
                <w:snapToGrid w:val="0"/>
                <w:kern w:val="0"/>
                <w:szCs w:val="21"/>
              </w:rPr>
              <w:t>GB3095-2026</w:t>
            </w:r>
            <w:r w:rsidRPr="00F9522B">
              <w:rPr>
                <w:rFonts w:eastAsiaTheme="minorEastAsia"/>
                <w:snapToGrid w:val="0"/>
                <w:kern w:val="0"/>
                <w:szCs w:val="21"/>
              </w:rPr>
              <w:t>）二级标准；</w:t>
            </w:r>
            <w:r w:rsidRPr="00F9522B">
              <w:rPr>
                <w:rFonts w:eastAsiaTheme="minorEastAsia"/>
                <w:kern w:val="0"/>
                <w:szCs w:val="21"/>
              </w:rPr>
              <w:t>《声环境质量标准》（</w:t>
            </w:r>
            <w:r w:rsidRPr="00F9522B">
              <w:rPr>
                <w:rFonts w:eastAsiaTheme="minorEastAsia"/>
                <w:kern w:val="0"/>
                <w:szCs w:val="21"/>
              </w:rPr>
              <w:t>GB3096-2008</w:t>
            </w:r>
            <w:r w:rsidRPr="00F9522B">
              <w:rPr>
                <w:rFonts w:eastAsiaTheme="minorEastAsia"/>
                <w:kern w:val="0"/>
                <w:szCs w:val="21"/>
              </w:rPr>
              <w:t>）</w:t>
            </w:r>
            <w:r w:rsidRPr="00F9522B">
              <w:rPr>
                <w:rFonts w:eastAsiaTheme="minorEastAsia"/>
                <w:kern w:val="0"/>
                <w:szCs w:val="21"/>
              </w:rPr>
              <w:t>1</w:t>
            </w:r>
            <w:r w:rsidRPr="00F9522B">
              <w:rPr>
                <w:rFonts w:eastAsiaTheme="minorEastAsia"/>
                <w:kern w:val="0"/>
                <w:szCs w:val="21"/>
              </w:rPr>
              <w:t>类</w:t>
            </w:r>
          </w:p>
        </w:tc>
      </w:tr>
      <w:tr w:rsidR="00565A50" w:rsidRPr="00F9522B">
        <w:trPr>
          <w:trHeight w:val="479"/>
          <w:jc w:val="center"/>
        </w:trPr>
        <w:tc>
          <w:tcPr>
            <w:tcW w:w="1246" w:type="dxa"/>
            <w:vAlign w:val="center"/>
          </w:tcPr>
          <w:p w:rsidR="00565A50" w:rsidRPr="00F9522B" w:rsidRDefault="00565A50" w:rsidP="00E93DD8">
            <w:pPr>
              <w:spacing w:line="0" w:lineRule="atLeast"/>
              <w:jc w:val="center"/>
              <w:rPr>
                <w:rFonts w:eastAsiaTheme="minorEastAsia"/>
                <w:szCs w:val="21"/>
              </w:rPr>
            </w:pPr>
            <w:r w:rsidRPr="00F9522B">
              <w:rPr>
                <w:rFonts w:eastAsiaTheme="minorEastAsia"/>
                <w:szCs w:val="21"/>
              </w:rPr>
              <w:t>金星村</w:t>
            </w:r>
          </w:p>
        </w:tc>
        <w:tc>
          <w:tcPr>
            <w:tcW w:w="891" w:type="dxa"/>
            <w:vAlign w:val="center"/>
          </w:tcPr>
          <w:p w:rsidR="00565A50" w:rsidRPr="00F9522B" w:rsidRDefault="00565A5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126.8638988</w:t>
            </w:r>
          </w:p>
        </w:tc>
        <w:tc>
          <w:tcPr>
            <w:tcW w:w="893" w:type="dxa"/>
            <w:vAlign w:val="center"/>
          </w:tcPr>
          <w:p w:rsidR="00565A50" w:rsidRPr="00F9522B" w:rsidRDefault="00565A50"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46.320217</w:t>
            </w:r>
          </w:p>
        </w:tc>
        <w:tc>
          <w:tcPr>
            <w:tcW w:w="769" w:type="dxa"/>
            <w:vMerge/>
            <w:tcBorders>
              <w:right w:val="single" w:sz="2" w:space="0" w:color="auto"/>
            </w:tcBorders>
            <w:vAlign w:val="center"/>
          </w:tcPr>
          <w:p w:rsidR="00565A50" w:rsidRPr="00F9522B" w:rsidRDefault="00565A50">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r w:rsidRPr="00F9522B">
              <w:rPr>
                <w:rFonts w:eastAsiaTheme="minorEastAsia"/>
                <w:snapToGrid w:val="0"/>
                <w:kern w:val="0"/>
                <w:szCs w:val="21"/>
              </w:rPr>
              <w:t>四周均为农田及村道</w:t>
            </w:r>
          </w:p>
        </w:tc>
        <w:tc>
          <w:tcPr>
            <w:tcW w:w="590" w:type="dxa"/>
            <w:vMerge/>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p>
        </w:tc>
        <w:tc>
          <w:tcPr>
            <w:tcW w:w="1350" w:type="dxa"/>
            <w:vMerge/>
            <w:tcBorders>
              <w:left w:val="single" w:sz="2" w:space="0" w:color="auto"/>
            </w:tcBorders>
            <w:vAlign w:val="center"/>
          </w:tcPr>
          <w:p w:rsidR="00565A50" w:rsidRPr="00F9522B" w:rsidRDefault="00565A50" w:rsidP="004031CB">
            <w:pPr>
              <w:spacing w:line="0" w:lineRule="atLeast"/>
              <w:contextualSpacing/>
              <w:jc w:val="center"/>
              <w:rPr>
                <w:rFonts w:eastAsiaTheme="minorEastAsia"/>
                <w:snapToGrid w:val="0"/>
                <w:kern w:val="0"/>
                <w:szCs w:val="21"/>
              </w:rPr>
            </w:pPr>
          </w:p>
        </w:tc>
      </w:tr>
      <w:tr w:rsidR="00565A50" w:rsidRPr="00F9522B" w:rsidTr="00EC561F">
        <w:trPr>
          <w:trHeight w:val="382"/>
          <w:jc w:val="center"/>
        </w:trPr>
        <w:tc>
          <w:tcPr>
            <w:tcW w:w="1246" w:type="dxa"/>
            <w:vAlign w:val="center"/>
          </w:tcPr>
          <w:p w:rsidR="00565A50" w:rsidRPr="00F9522B" w:rsidRDefault="00565A50" w:rsidP="00EC561F">
            <w:pPr>
              <w:adjustRightInd w:val="0"/>
              <w:snapToGrid w:val="0"/>
              <w:spacing w:line="0" w:lineRule="atLeast"/>
              <w:jc w:val="center"/>
              <w:rPr>
                <w:rFonts w:eastAsiaTheme="minorEastAsia"/>
                <w:snapToGrid w:val="0"/>
                <w:szCs w:val="21"/>
              </w:rPr>
            </w:pPr>
            <w:r w:rsidRPr="00F9522B">
              <w:rPr>
                <w:rFonts w:eastAsiaTheme="minorEastAsia"/>
                <w:snapToGrid w:val="0"/>
                <w:szCs w:val="21"/>
              </w:rPr>
              <w:t>石人村</w:t>
            </w:r>
          </w:p>
        </w:tc>
        <w:tc>
          <w:tcPr>
            <w:tcW w:w="891" w:type="dxa"/>
            <w:vAlign w:val="center"/>
          </w:tcPr>
          <w:p w:rsidR="00565A50" w:rsidRPr="00F9522B" w:rsidRDefault="00565A50" w:rsidP="00EC561F">
            <w:pPr>
              <w:adjustRightInd w:val="0"/>
              <w:snapToGrid w:val="0"/>
              <w:spacing w:line="0" w:lineRule="atLeast"/>
              <w:jc w:val="center"/>
              <w:rPr>
                <w:rFonts w:eastAsiaTheme="minorEastAsia"/>
                <w:snapToGrid w:val="0"/>
                <w:szCs w:val="21"/>
              </w:rPr>
            </w:pPr>
            <w:r w:rsidRPr="00F9522B">
              <w:rPr>
                <w:rFonts w:eastAsiaTheme="minorEastAsia"/>
                <w:snapToGrid w:val="0"/>
                <w:szCs w:val="21"/>
              </w:rPr>
              <w:t>126.8530413</w:t>
            </w:r>
          </w:p>
        </w:tc>
        <w:tc>
          <w:tcPr>
            <w:tcW w:w="893" w:type="dxa"/>
            <w:vAlign w:val="center"/>
          </w:tcPr>
          <w:p w:rsidR="00565A50" w:rsidRPr="00F9522B" w:rsidRDefault="00565A50" w:rsidP="00EC561F">
            <w:pPr>
              <w:adjustRightInd w:val="0"/>
              <w:snapToGrid w:val="0"/>
              <w:jc w:val="center"/>
              <w:rPr>
                <w:rFonts w:eastAsiaTheme="minorEastAsia"/>
                <w:snapToGrid w:val="0"/>
                <w:szCs w:val="21"/>
              </w:rPr>
            </w:pPr>
            <w:r w:rsidRPr="00F9522B">
              <w:rPr>
                <w:rFonts w:eastAsiaTheme="minorEastAsia"/>
                <w:snapToGrid w:val="0"/>
                <w:szCs w:val="21"/>
              </w:rPr>
              <w:t>46.288999</w:t>
            </w:r>
          </w:p>
        </w:tc>
        <w:tc>
          <w:tcPr>
            <w:tcW w:w="769" w:type="dxa"/>
            <w:vMerge/>
            <w:tcBorders>
              <w:right w:val="single" w:sz="2" w:space="0" w:color="auto"/>
            </w:tcBorders>
            <w:vAlign w:val="center"/>
          </w:tcPr>
          <w:p w:rsidR="00565A50" w:rsidRPr="00F9522B" w:rsidRDefault="00565A50">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r w:rsidRPr="00F9522B">
              <w:rPr>
                <w:rFonts w:eastAsiaTheme="minorEastAsia"/>
                <w:snapToGrid w:val="0"/>
                <w:kern w:val="0"/>
                <w:szCs w:val="21"/>
              </w:rPr>
              <w:t>四周均为农田及村道</w:t>
            </w:r>
          </w:p>
        </w:tc>
        <w:tc>
          <w:tcPr>
            <w:tcW w:w="590" w:type="dxa"/>
            <w:vMerge/>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p>
        </w:tc>
        <w:tc>
          <w:tcPr>
            <w:tcW w:w="1350" w:type="dxa"/>
            <w:vMerge/>
            <w:tcBorders>
              <w:left w:val="single" w:sz="2" w:space="0" w:color="auto"/>
            </w:tcBorders>
            <w:vAlign w:val="center"/>
          </w:tcPr>
          <w:p w:rsidR="00565A50" w:rsidRPr="00F9522B" w:rsidRDefault="00565A50" w:rsidP="004031CB">
            <w:pPr>
              <w:spacing w:line="0" w:lineRule="atLeast"/>
              <w:contextualSpacing/>
              <w:jc w:val="center"/>
              <w:rPr>
                <w:rFonts w:eastAsiaTheme="minorEastAsia"/>
                <w:snapToGrid w:val="0"/>
                <w:kern w:val="0"/>
                <w:szCs w:val="21"/>
              </w:rPr>
            </w:pPr>
          </w:p>
        </w:tc>
      </w:tr>
      <w:tr w:rsidR="00565A50" w:rsidRPr="00F9522B">
        <w:trPr>
          <w:trHeight w:val="479"/>
          <w:jc w:val="center"/>
        </w:trPr>
        <w:tc>
          <w:tcPr>
            <w:tcW w:w="1246" w:type="dxa"/>
            <w:vAlign w:val="center"/>
          </w:tcPr>
          <w:p w:rsidR="00565A50" w:rsidRPr="00F9522B" w:rsidRDefault="00565A50" w:rsidP="00EC561F">
            <w:pPr>
              <w:adjustRightInd w:val="0"/>
              <w:snapToGrid w:val="0"/>
              <w:spacing w:line="0" w:lineRule="atLeast"/>
              <w:jc w:val="center"/>
              <w:rPr>
                <w:rFonts w:eastAsiaTheme="minorEastAsia"/>
                <w:snapToGrid w:val="0"/>
                <w:szCs w:val="21"/>
              </w:rPr>
            </w:pPr>
            <w:r w:rsidRPr="00F9522B">
              <w:rPr>
                <w:rFonts w:eastAsiaTheme="minorEastAsia"/>
                <w:snapToGrid w:val="0"/>
                <w:szCs w:val="21"/>
              </w:rPr>
              <w:t>江家</w:t>
            </w:r>
          </w:p>
        </w:tc>
        <w:tc>
          <w:tcPr>
            <w:tcW w:w="891" w:type="dxa"/>
            <w:vAlign w:val="center"/>
          </w:tcPr>
          <w:p w:rsidR="00565A50" w:rsidRPr="00F9522B" w:rsidRDefault="00565A50" w:rsidP="00EC561F">
            <w:pPr>
              <w:adjustRightInd w:val="0"/>
              <w:snapToGrid w:val="0"/>
              <w:spacing w:line="0" w:lineRule="atLeast"/>
              <w:jc w:val="center"/>
              <w:rPr>
                <w:rFonts w:eastAsiaTheme="minorEastAsia"/>
                <w:snapToGrid w:val="0"/>
                <w:szCs w:val="21"/>
              </w:rPr>
            </w:pPr>
            <w:r w:rsidRPr="00F9522B">
              <w:rPr>
                <w:rFonts w:eastAsiaTheme="minorEastAsia"/>
                <w:snapToGrid w:val="0"/>
                <w:szCs w:val="21"/>
              </w:rPr>
              <w:t>126.8329569</w:t>
            </w:r>
          </w:p>
        </w:tc>
        <w:tc>
          <w:tcPr>
            <w:tcW w:w="893" w:type="dxa"/>
            <w:vAlign w:val="center"/>
          </w:tcPr>
          <w:p w:rsidR="00565A50" w:rsidRPr="00F9522B" w:rsidRDefault="00565A50" w:rsidP="00EC561F">
            <w:pPr>
              <w:adjustRightInd w:val="0"/>
              <w:snapToGrid w:val="0"/>
              <w:jc w:val="center"/>
              <w:rPr>
                <w:rFonts w:eastAsiaTheme="minorEastAsia"/>
                <w:snapToGrid w:val="0"/>
                <w:szCs w:val="21"/>
              </w:rPr>
            </w:pPr>
            <w:r w:rsidRPr="00F9522B">
              <w:rPr>
                <w:rFonts w:eastAsiaTheme="minorEastAsia"/>
                <w:snapToGrid w:val="0"/>
                <w:szCs w:val="21"/>
              </w:rPr>
              <w:t>46.310999</w:t>
            </w:r>
          </w:p>
        </w:tc>
        <w:tc>
          <w:tcPr>
            <w:tcW w:w="769" w:type="dxa"/>
            <w:vMerge/>
            <w:tcBorders>
              <w:right w:val="single" w:sz="2" w:space="0" w:color="auto"/>
            </w:tcBorders>
            <w:vAlign w:val="center"/>
          </w:tcPr>
          <w:p w:rsidR="00565A50" w:rsidRPr="00F9522B" w:rsidRDefault="00565A50">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东至农田及村道，南至农田，西至农田及村道，北至农田</w:t>
            </w:r>
          </w:p>
        </w:tc>
        <w:tc>
          <w:tcPr>
            <w:tcW w:w="590" w:type="dxa"/>
            <w:vMerge/>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p>
        </w:tc>
        <w:tc>
          <w:tcPr>
            <w:tcW w:w="1350" w:type="dxa"/>
            <w:vMerge/>
            <w:tcBorders>
              <w:left w:val="single" w:sz="2" w:space="0" w:color="auto"/>
            </w:tcBorders>
            <w:vAlign w:val="center"/>
          </w:tcPr>
          <w:p w:rsidR="00565A50" w:rsidRPr="00F9522B" w:rsidRDefault="00565A50" w:rsidP="004031CB">
            <w:pPr>
              <w:spacing w:line="0" w:lineRule="atLeast"/>
              <w:contextualSpacing/>
              <w:jc w:val="center"/>
              <w:rPr>
                <w:rFonts w:eastAsiaTheme="minorEastAsia"/>
                <w:snapToGrid w:val="0"/>
                <w:kern w:val="0"/>
                <w:szCs w:val="21"/>
              </w:rPr>
            </w:pPr>
          </w:p>
        </w:tc>
      </w:tr>
      <w:tr w:rsidR="00565A50" w:rsidRPr="00F9522B">
        <w:trPr>
          <w:trHeight w:val="479"/>
          <w:jc w:val="center"/>
        </w:trPr>
        <w:tc>
          <w:tcPr>
            <w:tcW w:w="1246" w:type="dxa"/>
            <w:vAlign w:val="center"/>
          </w:tcPr>
          <w:p w:rsidR="00565A50" w:rsidRPr="00F9522B" w:rsidRDefault="00565A50" w:rsidP="00EC561F">
            <w:pPr>
              <w:adjustRightInd w:val="0"/>
              <w:snapToGrid w:val="0"/>
              <w:spacing w:line="0" w:lineRule="atLeast"/>
              <w:jc w:val="center"/>
              <w:rPr>
                <w:rFonts w:eastAsiaTheme="minorEastAsia"/>
                <w:snapToGrid w:val="0"/>
                <w:szCs w:val="21"/>
              </w:rPr>
            </w:pPr>
            <w:r w:rsidRPr="00F9522B">
              <w:rPr>
                <w:rFonts w:eastAsiaTheme="minorEastAsia"/>
                <w:snapToGrid w:val="0"/>
                <w:szCs w:val="21"/>
              </w:rPr>
              <w:t>于家村</w:t>
            </w:r>
          </w:p>
        </w:tc>
        <w:tc>
          <w:tcPr>
            <w:tcW w:w="891" w:type="dxa"/>
            <w:vAlign w:val="center"/>
          </w:tcPr>
          <w:p w:rsidR="00565A50" w:rsidRPr="00F9522B" w:rsidRDefault="00565A50" w:rsidP="00EC561F">
            <w:pPr>
              <w:adjustRightInd w:val="0"/>
              <w:snapToGrid w:val="0"/>
              <w:spacing w:line="0" w:lineRule="atLeast"/>
              <w:jc w:val="center"/>
              <w:rPr>
                <w:rFonts w:eastAsiaTheme="minorEastAsia"/>
                <w:snapToGrid w:val="0"/>
                <w:szCs w:val="21"/>
              </w:rPr>
            </w:pPr>
            <w:r w:rsidRPr="00F9522B">
              <w:rPr>
                <w:rFonts w:eastAsiaTheme="minorEastAsia"/>
                <w:snapToGrid w:val="0"/>
                <w:szCs w:val="21"/>
              </w:rPr>
              <w:t>126.8301245</w:t>
            </w:r>
          </w:p>
        </w:tc>
        <w:tc>
          <w:tcPr>
            <w:tcW w:w="893" w:type="dxa"/>
            <w:vAlign w:val="center"/>
          </w:tcPr>
          <w:p w:rsidR="00565A50" w:rsidRPr="00F9522B" w:rsidRDefault="00565A50" w:rsidP="00EC561F">
            <w:pPr>
              <w:adjustRightInd w:val="0"/>
              <w:snapToGrid w:val="0"/>
              <w:jc w:val="center"/>
              <w:rPr>
                <w:rFonts w:eastAsiaTheme="minorEastAsia"/>
                <w:snapToGrid w:val="0"/>
                <w:szCs w:val="21"/>
              </w:rPr>
            </w:pPr>
            <w:r w:rsidRPr="00F9522B">
              <w:rPr>
                <w:rFonts w:eastAsiaTheme="minorEastAsia"/>
                <w:snapToGrid w:val="0"/>
                <w:szCs w:val="21"/>
              </w:rPr>
              <w:t>46.304596</w:t>
            </w:r>
          </w:p>
        </w:tc>
        <w:tc>
          <w:tcPr>
            <w:tcW w:w="769" w:type="dxa"/>
            <w:vMerge/>
            <w:tcBorders>
              <w:right w:val="single" w:sz="2" w:space="0" w:color="auto"/>
            </w:tcBorders>
            <w:vAlign w:val="center"/>
          </w:tcPr>
          <w:p w:rsidR="00565A50" w:rsidRPr="00F9522B" w:rsidRDefault="00565A50">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东至农田及村道，南至农田，西至农田及村道，北至农田</w:t>
            </w:r>
          </w:p>
        </w:tc>
        <w:tc>
          <w:tcPr>
            <w:tcW w:w="590" w:type="dxa"/>
            <w:vMerge/>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p>
        </w:tc>
        <w:tc>
          <w:tcPr>
            <w:tcW w:w="1350" w:type="dxa"/>
            <w:vMerge/>
            <w:tcBorders>
              <w:left w:val="single" w:sz="2" w:space="0" w:color="auto"/>
            </w:tcBorders>
            <w:vAlign w:val="center"/>
          </w:tcPr>
          <w:p w:rsidR="00565A50" w:rsidRPr="00F9522B" w:rsidRDefault="00565A50" w:rsidP="004031CB">
            <w:pPr>
              <w:spacing w:line="0" w:lineRule="atLeast"/>
              <w:contextualSpacing/>
              <w:jc w:val="center"/>
              <w:rPr>
                <w:rFonts w:eastAsiaTheme="minorEastAsia"/>
                <w:snapToGrid w:val="0"/>
                <w:kern w:val="0"/>
                <w:szCs w:val="21"/>
              </w:rPr>
            </w:pPr>
          </w:p>
        </w:tc>
      </w:tr>
      <w:tr w:rsidR="00565A50" w:rsidRPr="00F9522B">
        <w:trPr>
          <w:trHeight w:val="479"/>
          <w:jc w:val="center"/>
        </w:trPr>
        <w:tc>
          <w:tcPr>
            <w:tcW w:w="1246" w:type="dxa"/>
            <w:vAlign w:val="center"/>
          </w:tcPr>
          <w:p w:rsidR="00565A50" w:rsidRPr="00F9522B" w:rsidRDefault="00565A50" w:rsidP="00EC561F">
            <w:pPr>
              <w:adjustRightInd w:val="0"/>
              <w:snapToGrid w:val="0"/>
              <w:spacing w:line="0" w:lineRule="atLeast"/>
              <w:jc w:val="center"/>
              <w:rPr>
                <w:rFonts w:eastAsiaTheme="minorEastAsia"/>
                <w:snapToGrid w:val="0"/>
                <w:szCs w:val="21"/>
              </w:rPr>
            </w:pPr>
            <w:r w:rsidRPr="00F9522B">
              <w:rPr>
                <w:rFonts w:eastAsiaTheme="minorEastAsia"/>
                <w:snapToGrid w:val="0"/>
                <w:szCs w:val="21"/>
              </w:rPr>
              <w:t>后城</w:t>
            </w:r>
          </w:p>
        </w:tc>
        <w:tc>
          <w:tcPr>
            <w:tcW w:w="891" w:type="dxa"/>
            <w:vAlign w:val="center"/>
          </w:tcPr>
          <w:p w:rsidR="00565A50" w:rsidRPr="00F9522B" w:rsidRDefault="00565A50" w:rsidP="00EC561F">
            <w:pPr>
              <w:adjustRightInd w:val="0"/>
              <w:snapToGrid w:val="0"/>
              <w:spacing w:line="0" w:lineRule="atLeast"/>
              <w:jc w:val="center"/>
              <w:rPr>
                <w:rFonts w:eastAsiaTheme="minorEastAsia"/>
                <w:snapToGrid w:val="0"/>
                <w:szCs w:val="21"/>
              </w:rPr>
            </w:pPr>
            <w:r w:rsidRPr="00F9522B">
              <w:rPr>
                <w:rFonts w:eastAsiaTheme="minorEastAsia"/>
                <w:snapToGrid w:val="0"/>
                <w:szCs w:val="21"/>
              </w:rPr>
              <w:t>126.8159624</w:t>
            </w:r>
          </w:p>
        </w:tc>
        <w:tc>
          <w:tcPr>
            <w:tcW w:w="893" w:type="dxa"/>
            <w:vAlign w:val="center"/>
          </w:tcPr>
          <w:p w:rsidR="00565A50" w:rsidRPr="00F9522B" w:rsidRDefault="00565A50" w:rsidP="00EC561F">
            <w:pPr>
              <w:adjustRightInd w:val="0"/>
              <w:snapToGrid w:val="0"/>
              <w:jc w:val="center"/>
              <w:rPr>
                <w:rFonts w:eastAsiaTheme="minorEastAsia"/>
                <w:snapToGrid w:val="0"/>
                <w:szCs w:val="21"/>
              </w:rPr>
            </w:pPr>
            <w:r w:rsidRPr="00F9522B">
              <w:rPr>
                <w:rFonts w:eastAsiaTheme="minorEastAsia"/>
                <w:snapToGrid w:val="0"/>
                <w:szCs w:val="21"/>
              </w:rPr>
              <w:t>46.297421</w:t>
            </w:r>
          </w:p>
        </w:tc>
        <w:tc>
          <w:tcPr>
            <w:tcW w:w="769" w:type="dxa"/>
            <w:vMerge/>
            <w:tcBorders>
              <w:right w:val="single" w:sz="2" w:space="0" w:color="auto"/>
            </w:tcBorders>
            <w:vAlign w:val="center"/>
          </w:tcPr>
          <w:p w:rsidR="00565A50" w:rsidRPr="00F9522B" w:rsidRDefault="00565A50">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东至农田及村道，南至农田，西至农田及村道，北至农田</w:t>
            </w:r>
          </w:p>
        </w:tc>
        <w:tc>
          <w:tcPr>
            <w:tcW w:w="590" w:type="dxa"/>
            <w:vMerge/>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p>
        </w:tc>
        <w:tc>
          <w:tcPr>
            <w:tcW w:w="1350" w:type="dxa"/>
            <w:vMerge/>
            <w:tcBorders>
              <w:left w:val="single" w:sz="2" w:space="0" w:color="auto"/>
            </w:tcBorders>
            <w:vAlign w:val="center"/>
          </w:tcPr>
          <w:p w:rsidR="00565A50" w:rsidRPr="00F9522B" w:rsidRDefault="00565A50" w:rsidP="004031CB">
            <w:pPr>
              <w:spacing w:line="0" w:lineRule="atLeast"/>
              <w:contextualSpacing/>
              <w:jc w:val="center"/>
              <w:rPr>
                <w:rFonts w:eastAsiaTheme="minorEastAsia"/>
                <w:snapToGrid w:val="0"/>
                <w:kern w:val="0"/>
                <w:szCs w:val="21"/>
              </w:rPr>
            </w:pPr>
          </w:p>
        </w:tc>
      </w:tr>
      <w:tr w:rsidR="00565A50" w:rsidRPr="00F9522B">
        <w:trPr>
          <w:trHeight w:val="479"/>
          <w:jc w:val="center"/>
        </w:trPr>
        <w:tc>
          <w:tcPr>
            <w:tcW w:w="1246" w:type="dxa"/>
            <w:vAlign w:val="center"/>
          </w:tcPr>
          <w:p w:rsidR="00565A50" w:rsidRPr="00F9522B" w:rsidRDefault="00565A50" w:rsidP="00EC561F">
            <w:pPr>
              <w:adjustRightInd w:val="0"/>
              <w:snapToGrid w:val="0"/>
              <w:spacing w:line="0" w:lineRule="atLeast"/>
              <w:jc w:val="center"/>
              <w:rPr>
                <w:rFonts w:eastAsiaTheme="minorEastAsia"/>
                <w:snapToGrid w:val="0"/>
                <w:szCs w:val="21"/>
              </w:rPr>
            </w:pPr>
            <w:r w:rsidRPr="00F9522B">
              <w:rPr>
                <w:rFonts w:eastAsiaTheme="minorEastAsia"/>
                <w:snapToGrid w:val="0"/>
                <w:szCs w:val="21"/>
              </w:rPr>
              <w:t>全胜</w:t>
            </w:r>
          </w:p>
        </w:tc>
        <w:tc>
          <w:tcPr>
            <w:tcW w:w="891" w:type="dxa"/>
            <w:vAlign w:val="center"/>
          </w:tcPr>
          <w:p w:rsidR="00565A50" w:rsidRPr="00F9522B" w:rsidRDefault="00565A50" w:rsidP="00EC561F">
            <w:pPr>
              <w:adjustRightInd w:val="0"/>
              <w:snapToGrid w:val="0"/>
              <w:spacing w:line="0" w:lineRule="atLeast"/>
              <w:jc w:val="center"/>
              <w:rPr>
                <w:rFonts w:eastAsiaTheme="minorEastAsia"/>
                <w:snapToGrid w:val="0"/>
                <w:szCs w:val="21"/>
              </w:rPr>
            </w:pPr>
            <w:r w:rsidRPr="00F9522B">
              <w:rPr>
                <w:rFonts w:eastAsiaTheme="minorEastAsia"/>
                <w:snapToGrid w:val="0"/>
                <w:szCs w:val="21"/>
              </w:rPr>
              <w:t>126.8103834</w:t>
            </w:r>
          </w:p>
        </w:tc>
        <w:tc>
          <w:tcPr>
            <w:tcW w:w="893" w:type="dxa"/>
            <w:vAlign w:val="center"/>
          </w:tcPr>
          <w:p w:rsidR="00565A50" w:rsidRPr="00F9522B" w:rsidRDefault="00565A50" w:rsidP="00EC561F">
            <w:pPr>
              <w:adjustRightInd w:val="0"/>
              <w:snapToGrid w:val="0"/>
              <w:jc w:val="center"/>
              <w:rPr>
                <w:rFonts w:eastAsiaTheme="minorEastAsia"/>
                <w:snapToGrid w:val="0"/>
                <w:szCs w:val="21"/>
              </w:rPr>
            </w:pPr>
            <w:r w:rsidRPr="00F9522B">
              <w:rPr>
                <w:rFonts w:eastAsiaTheme="minorEastAsia"/>
                <w:snapToGrid w:val="0"/>
                <w:szCs w:val="21"/>
              </w:rPr>
              <w:t>46.294040</w:t>
            </w:r>
          </w:p>
        </w:tc>
        <w:tc>
          <w:tcPr>
            <w:tcW w:w="769" w:type="dxa"/>
            <w:vMerge/>
            <w:tcBorders>
              <w:right w:val="single" w:sz="2" w:space="0" w:color="auto"/>
            </w:tcBorders>
            <w:vAlign w:val="center"/>
          </w:tcPr>
          <w:p w:rsidR="00565A50" w:rsidRPr="00F9522B" w:rsidRDefault="00565A50">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565A50" w:rsidRPr="00F9522B" w:rsidRDefault="00565A50" w:rsidP="00EC561F">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东至农田及村道，南至农田，西至农田，北至农田及村道</w:t>
            </w:r>
          </w:p>
        </w:tc>
        <w:tc>
          <w:tcPr>
            <w:tcW w:w="590" w:type="dxa"/>
            <w:vMerge/>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p>
        </w:tc>
        <w:tc>
          <w:tcPr>
            <w:tcW w:w="1350" w:type="dxa"/>
            <w:vMerge/>
            <w:tcBorders>
              <w:left w:val="single" w:sz="2" w:space="0" w:color="auto"/>
            </w:tcBorders>
            <w:vAlign w:val="center"/>
          </w:tcPr>
          <w:p w:rsidR="00565A50" w:rsidRPr="00F9522B" w:rsidRDefault="00565A50" w:rsidP="004031CB">
            <w:pPr>
              <w:spacing w:line="0" w:lineRule="atLeast"/>
              <w:contextualSpacing/>
              <w:jc w:val="center"/>
              <w:rPr>
                <w:rFonts w:eastAsiaTheme="minorEastAsia"/>
                <w:snapToGrid w:val="0"/>
                <w:kern w:val="0"/>
                <w:szCs w:val="21"/>
              </w:rPr>
            </w:pPr>
          </w:p>
        </w:tc>
      </w:tr>
      <w:tr w:rsidR="00565A50" w:rsidRPr="00F9522B">
        <w:trPr>
          <w:trHeight w:val="479"/>
          <w:jc w:val="center"/>
        </w:trPr>
        <w:tc>
          <w:tcPr>
            <w:tcW w:w="1246" w:type="dxa"/>
            <w:vAlign w:val="center"/>
          </w:tcPr>
          <w:p w:rsidR="00565A50" w:rsidRPr="00F9522B" w:rsidRDefault="00565A50" w:rsidP="00EC561F">
            <w:pPr>
              <w:adjustRightInd w:val="0"/>
              <w:snapToGrid w:val="0"/>
              <w:spacing w:line="0" w:lineRule="atLeast"/>
              <w:jc w:val="center"/>
              <w:rPr>
                <w:rFonts w:eastAsiaTheme="minorEastAsia"/>
                <w:snapToGrid w:val="0"/>
                <w:szCs w:val="21"/>
              </w:rPr>
            </w:pPr>
            <w:r w:rsidRPr="00F9522B">
              <w:rPr>
                <w:rFonts w:eastAsiaTheme="minorEastAsia"/>
                <w:snapToGrid w:val="0"/>
                <w:szCs w:val="21"/>
              </w:rPr>
              <w:t>李大房</w:t>
            </w:r>
          </w:p>
        </w:tc>
        <w:tc>
          <w:tcPr>
            <w:tcW w:w="891" w:type="dxa"/>
            <w:vAlign w:val="center"/>
          </w:tcPr>
          <w:p w:rsidR="00565A50" w:rsidRPr="00F9522B" w:rsidRDefault="00565A50" w:rsidP="00EC561F">
            <w:pPr>
              <w:adjustRightInd w:val="0"/>
              <w:snapToGrid w:val="0"/>
              <w:spacing w:line="0" w:lineRule="atLeast"/>
              <w:jc w:val="center"/>
              <w:rPr>
                <w:rFonts w:eastAsiaTheme="minorEastAsia"/>
                <w:snapToGrid w:val="0"/>
                <w:szCs w:val="21"/>
              </w:rPr>
            </w:pPr>
            <w:r w:rsidRPr="00F9522B">
              <w:rPr>
                <w:rFonts w:eastAsiaTheme="minorEastAsia"/>
                <w:snapToGrid w:val="0"/>
                <w:szCs w:val="21"/>
              </w:rPr>
              <w:t>126.8030020</w:t>
            </w:r>
          </w:p>
        </w:tc>
        <w:tc>
          <w:tcPr>
            <w:tcW w:w="893" w:type="dxa"/>
            <w:vAlign w:val="center"/>
          </w:tcPr>
          <w:p w:rsidR="00565A50" w:rsidRPr="00F9522B" w:rsidRDefault="00565A50" w:rsidP="00EC561F">
            <w:pPr>
              <w:adjustRightInd w:val="0"/>
              <w:snapToGrid w:val="0"/>
              <w:jc w:val="center"/>
              <w:rPr>
                <w:rFonts w:eastAsiaTheme="minorEastAsia"/>
                <w:snapToGrid w:val="0"/>
                <w:szCs w:val="21"/>
              </w:rPr>
            </w:pPr>
            <w:r w:rsidRPr="00F9522B">
              <w:rPr>
                <w:rFonts w:eastAsiaTheme="minorEastAsia"/>
                <w:snapToGrid w:val="0"/>
                <w:szCs w:val="21"/>
              </w:rPr>
              <w:t>46.294930</w:t>
            </w:r>
          </w:p>
        </w:tc>
        <w:tc>
          <w:tcPr>
            <w:tcW w:w="769" w:type="dxa"/>
            <w:vMerge/>
            <w:tcBorders>
              <w:right w:val="single" w:sz="2" w:space="0" w:color="auto"/>
            </w:tcBorders>
            <w:vAlign w:val="center"/>
          </w:tcPr>
          <w:p w:rsidR="00565A50" w:rsidRPr="00F9522B" w:rsidRDefault="00565A50">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东至农田及村道，南至农田，西至农田，北至农田及村道</w:t>
            </w:r>
          </w:p>
        </w:tc>
        <w:tc>
          <w:tcPr>
            <w:tcW w:w="590" w:type="dxa"/>
            <w:vMerge/>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p>
        </w:tc>
        <w:tc>
          <w:tcPr>
            <w:tcW w:w="1350" w:type="dxa"/>
            <w:vMerge/>
            <w:tcBorders>
              <w:left w:val="single" w:sz="2" w:space="0" w:color="auto"/>
            </w:tcBorders>
            <w:vAlign w:val="center"/>
          </w:tcPr>
          <w:p w:rsidR="00565A50" w:rsidRPr="00F9522B" w:rsidRDefault="00565A50" w:rsidP="004031CB">
            <w:pPr>
              <w:spacing w:line="0" w:lineRule="atLeast"/>
              <w:contextualSpacing/>
              <w:jc w:val="center"/>
              <w:rPr>
                <w:rFonts w:eastAsiaTheme="minorEastAsia"/>
                <w:snapToGrid w:val="0"/>
                <w:kern w:val="0"/>
                <w:szCs w:val="21"/>
              </w:rPr>
            </w:pPr>
          </w:p>
        </w:tc>
      </w:tr>
      <w:tr w:rsidR="00565A50" w:rsidRPr="00F9522B">
        <w:trPr>
          <w:trHeight w:val="479"/>
          <w:jc w:val="center"/>
        </w:trPr>
        <w:tc>
          <w:tcPr>
            <w:tcW w:w="1246" w:type="dxa"/>
            <w:vAlign w:val="center"/>
          </w:tcPr>
          <w:p w:rsidR="00565A50" w:rsidRPr="00F9522B" w:rsidRDefault="00565A50" w:rsidP="00EC561F">
            <w:pPr>
              <w:adjustRightInd w:val="0"/>
              <w:snapToGrid w:val="0"/>
              <w:spacing w:line="0" w:lineRule="atLeast"/>
              <w:jc w:val="center"/>
              <w:rPr>
                <w:rFonts w:eastAsiaTheme="minorEastAsia"/>
                <w:snapToGrid w:val="0"/>
                <w:szCs w:val="21"/>
              </w:rPr>
            </w:pPr>
            <w:r w:rsidRPr="00F9522B">
              <w:rPr>
                <w:rFonts w:eastAsiaTheme="minorEastAsia"/>
                <w:snapToGrid w:val="0"/>
                <w:szCs w:val="21"/>
              </w:rPr>
              <w:t>王家窝棚</w:t>
            </w:r>
          </w:p>
        </w:tc>
        <w:tc>
          <w:tcPr>
            <w:tcW w:w="891" w:type="dxa"/>
            <w:vAlign w:val="center"/>
          </w:tcPr>
          <w:p w:rsidR="00565A50" w:rsidRPr="00F9522B" w:rsidRDefault="00565A50" w:rsidP="00EC561F">
            <w:pPr>
              <w:adjustRightInd w:val="0"/>
              <w:snapToGrid w:val="0"/>
              <w:spacing w:line="0" w:lineRule="atLeast"/>
              <w:jc w:val="center"/>
              <w:rPr>
                <w:rFonts w:eastAsiaTheme="minorEastAsia"/>
                <w:snapToGrid w:val="0"/>
                <w:szCs w:val="21"/>
              </w:rPr>
            </w:pPr>
            <w:r w:rsidRPr="00F9522B">
              <w:rPr>
                <w:rFonts w:eastAsiaTheme="minorEastAsia"/>
                <w:snapToGrid w:val="0"/>
                <w:szCs w:val="21"/>
              </w:rPr>
              <w:t>126.8081947</w:t>
            </w:r>
          </w:p>
        </w:tc>
        <w:tc>
          <w:tcPr>
            <w:tcW w:w="893" w:type="dxa"/>
            <w:vAlign w:val="center"/>
          </w:tcPr>
          <w:p w:rsidR="00565A50" w:rsidRPr="00F9522B" w:rsidRDefault="00565A50" w:rsidP="00EC561F">
            <w:pPr>
              <w:adjustRightInd w:val="0"/>
              <w:snapToGrid w:val="0"/>
              <w:jc w:val="center"/>
              <w:rPr>
                <w:rFonts w:eastAsiaTheme="minorEastAsia"/>
                <w:snapToGrid w:val="0"/>
                <w:szCs w:val="21"/>
              </w:rPr>
            </w:pPr>
            <w:r w:rsidRPr="00F9522B">
              <w:rPr>
                <w:rFonts w:eastAsiaTheme="minorEastAsia"/>
                <w:snapToGrid w:val="0"/>
                <w:szCs w:val="21"/>
              </w:rPr>
              <w:t>46.282089</w:t>
            </w:r>
          </w:p>
        </w:tc>
        <w:tc>
          <w:tcPr>
            <w:tcW w:w="769" w:type="dxa"/>
            <w:vMerge/>
            <w:tcBorders>
              <w:right w:val="single" w:sz="2" w:space="0" w:color="auto"/>
            </w:tcBorders>
            <w:vAlign w:val="center"/>
          </w:tcPr>
          <w:p w:rsidR="00565A50" w:rsidRPr="00F9522B" w:rsidRDefault="00565A50">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东至农田及村道，南至农田，西至农田，北至农田及村道</w:t>
            </w:r>
          </w:p>
        </w:tc>
        <w:tc>
          <w:tcPr>
            <w:tcW w:w="590" w:type="dxa"/>
            <w:vMerge/>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p>
        </w:tc>
        <w:tc>
          <w:tcPr>
            <w:tcW w:w="1350" w:type="dxa"/>
            <w:vMerge/>
            <w:tcBorders>
              <w:left w:val="single" w:sz="2" w:space="0" w:color="auto"/>
            </w:tcBorders>
            <w:vAlign w:val="center"/>
          </w:tcPr>
          <w:p w:rsidR="00565A50" w:rsidRPr="00F9522B" w:rsidRDefault="00565A50" w:rsidP="004031CB">
            <w:pPr>
              <w:spacing w:line="0" w:lineRule="atLeast"/>
              <w:contextualSpacing/>
              <w:jc w:val="center"/>
              <w:rPr>
                <w:rFonts w:eastAsiaTheme="minorEastAsia"/>
                <w:snapToGrid w:val="0"/>
                <w:kern w:val="0"/>
                <w:szCs w:val="21"/>
              </w:rPr>
            </w:pPr>
          </w:p>
        </w:tc>
      </w:tr>
      <w:tr w:rsidR="00565A50" w:rsidRPr="00F9522B">
        <w:trPr>
          <w:trHeight w:val="479"/>
          <w:jc w:val="center"/>
        </w:trPr>
        <w:tc>
          <w:tcPr>
            <w:tcW w:w="1246" w:type="dxa"/>
            <w:vAlign w:val="center"/>
          </w:tcPr>
          <w:p w:rsidR="00565A50" w:rsidRPr="00F9522B" w:rsidRDefault="00565A50" w:rsidP="00EC561F">
            <w:pPr>
              <w:adjustRightInd w:val="0"/>
              <w:snapToGrid w:val="0"/>
              <w:spacing w:line="0" w:lineRule="atLeast"/>
              <w:jc w:val="center"/>
              <w:rPr>
                <w:rFonts w:eastAsiaTheme="minorEastAsia"/>
                <w:snapToGrid w:val="0"/>
                <w:szCs w:val="21"/>
              </w:rPr>
            </w:pPr>
            <w:r w:rsidRPr="00F9522B">
              <w:rPr>
                <w:rFonts w:eastAsiaTheme="minorEastAsia"/>
                <w:snapToGrid w:val="0"/>
                <w:szCs w:val="21"/>
              </w:rPr>
              <w:t>古城村</w:t>
            </w:r>
          </w:p>
        </w:tc>
        <w:tc>
          <w:tcPr>
            <w:tcW w:w="891" w:type="dxa"/>
            <w:vAlign w:val="center"/>
          </w:tcPr>
          <w:p w:rsidR="00565A50" w:rsidRPr="00F9522B" w:rsidRDefault="00565A50" w:rsidP="00EC561F">
            <w:pPr>
              <w:adjustRightInd w:val="0"/>
              <w:snapToGrid w:val="0"/>
              <w:spacing w:line="0" w:lineRule="atLeast"/>
              <w:jc w:val="center"/>
              <w:rPr>
                <w:rFonts w:eastAsiaTheme="minorEastAsia"/>
                <w:snapToGrid w:val="0"/>
                <w:szCs w:val="21"/>
              </w:rPr>
            </w:pPr>
            <w:r w:rsidRPr="00F9522B">
              <w:rPr>
                <w:rFonts w:eastAsiaTheme="minorEastAsia"/>
                <w:snapToGrid w:val="0"/>
                <w:szCs w:val="21"/>
              </w:rPr>
              <w:t>126.8244167</w:t>
            </w:r>
          </w:p>
        </w:tc>
        <w:tc>
          <w:tcPr>
            <w:tcW w:w="893" w:type="dxa"/>
            <w:vAlign w:val="center"/>
          </w:tcPr>
          <w:p w:rsidR="00565A50" w:rsidRPr="00F9522B" w:rsidRDefault="00565A50" w:rsidP="00EC561F">
            <w:pPr>
              <w:adjustRightInd w:val="0"/>
              <w:snapToGrid w:val="0"/>
              <w:jc w:val="center"/>
              <w:rPr>
                <w:rFonts w:eastAsiaTheme="minorEastAsia"/>
                <w:snapToGrid w:val="0"/>
                <w:szCs w:val="21"/>
              </w:rPr>
            </w:pPr>
            <w:r w:rsidRPr="00F9522B">
              <w:rPr>
                <w:rFonts w:eastAsiaTheme="minorEastAsia"/>
                <w:snapToGrid w:val="0"/>
                <w:szCs w:val="21"/>
              </w:rPr>
              <w:t>46.281614</w:t>
            </w:r>
          </w:p>
        </w:tc>
        <w:tc>
          <w:tcPr>
            <w:tcW w:w="769" w:type="dxa"/>
            <w:vMerge/>
            <w:tcBorders>
              <w:right w:val="single" w:sz="2" w:space="0" w:color="auto"/>
            </w:tcBorders>
            <w:vAlign w:val="center"/>
          </w:tcPr>
          <w:p w:rsidR="00565A50" w:rsidRPr="00F9522B" w:rsidRDefault="00565A50">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东至农田及村道，南至农田，西至农田，北至农田及村道</w:t>
            </w:r>
          </w:p>
        </w:tc>
        <w:tc>
          <w:tcPr>
            <w:tcW w:w="590" w:type="dxa"/>
            <w:vMerge/>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p>
        </w:tc>
        <w:tc>
          <w:tcPr>
            <w:tcW w:w="1350" w:type="dxa"/>
            <w:vMerge/>
            <w:tcBorders>
              <w:left w:val="single" w:sz="2" w:space="0" w:color="auto"/>
            </w:tcBorders>
            <w:vAlign w:val="center"/>
          </w:tcPr>
          <w:p w:rsidR="00565A50" w:rsidRPr="00F9522B" w:rsidRDefault="00565A50" w:rsidP="004031CB">
            <w:pPr>
              <w:spacing w:line="0" w:lineRule="atLeast"/>
              <w:contextualSpacing/>
              <w:jc w:val="center"/>
              <w:rPr>
                <w:rFonts w:eastAsiaTheme="minorEastAsia"/>
                <w:snapToGrid w:val="0"/>
                <w:kern w:val="0"/>
                <w:szCs w:val="21"/>
              </w:rPr>
            </w:pPr>
          </w:p>
        </w:tc>
      </w:tr>
      <w:tr w:rsidR="00565A50" w:rsidRPr="00F9522B">
        <w:trPr>
          <w:trHeight w:val="479"/>
          <w:jc w:val="center"/>
        </w:trPr>
        <w:tc>
          <w:tcPr>
            <w:tcW w:w="1246" w:type="dxa"/>
            <w:vAlign w:val="center"/>
          </w:tcPr>
          <w:p w:rsidR="00565A50" w:rsidRPr="00F9522B" w:rsidRDefault="00565A50" w:rsidP="00EC561F">
            <w:pPr>
              <w:adjustRightInd w:val="0"/>
              <w:snapToGrid w:val="0"/>
              <w:spacing w:line="0" w:lineRule="atLeast"/>
              <w:jc w:val="center"/>
              <w:rPr>
                <w:rFonts w:eastAsiaTheme="minorEastAsia"/>
                <w:snapToGrid w:val="0"/>
                <w:szCs w:val="21"/>
              </w:rPr>
            </w:pPr>
            <w:r w:rsidRPr="00F9522B">
              <w:rPr>
                <w:rFonts w:eastAsiaTheme="minorEastAsia"/>
                <w:snapToGrid w:val="0"/>
                <w:szCs w:val="21"/>
              </w:rPr>
              <w:t>关家</w:t>
            </w:r>
          </w:p>
        </w:tc>
        <w:tc>
          <w:tcPr>
            <w:tcW w:w="891" w:type="dxa"/>
            <w:vAlign w:val="center"/>
          </w:tcPr>
          <w:p w:rsidR="00565A50" w:rsidRPr="00F9522B" w:rsidRDefault="00565A50" w:rsidP="00EC561F">
            <w:pPr>
              <w:adjustRightInd w:val="0"/>
              <w:snapToGrid w:val="0"/>
              <w:spacing w:line="0" w:lineRule="atLeast"/>
              <w:jc w:val="center"/>
              <w:rPr>
                <w:rFonts w:eastAsiaTheme="minorEastAsia"/>
                <w:snapToGrid w:val="0"/>
                <w:szCs w:val="21"/>
              </w:rPr>
            </w:pPr>
            <w:r w:rsidRPr="00F9522B">
              <w:rPr>
                <w:rFonts w:eastAsiaTheme="minorEastAsia"/>
                <w:snapToGrid w:val="0"/>
                <w:szCs w:val="21"/>
              </w:rPr>
              <w:t>126.8180653</w:t>
            </w:r>
          </w:p>
        </w:tc>
        <w:tc>
          <w:tcPr>
            <w:tcW w:w="893" w:type="dxa"/>
            <w:vAlign w:val="center"/>
          </w:tcPr>
          <w:p w:rsidR="00565A50" w:rsidRPr="00F9522B" w:rsidRDefault="00565A50" w:rsidP="00EC561F">
            <w:pPr>
              <w:adjustRightInd w:val="0"/>
              <w:snapToGrid w:val="0"/>
              <w:jc w:val="center"/>
              <w:rPr>
                <w:rFonts w:eastAsiaTheme="minorEastAsia"/>
                <w:snapToGrid w:val="0"/>
                <w:szCs w:val="21"/>
              </w:rPr>
            </w:pPr>
            <w:r w:rsidRPr="00F9522B">
              <w:rPr>
                <w:rFonts w:eastAsiaTheme="minorEastAsia"/>
                <w:snapToGrid w:val="0"/>
                <w:szCs w:val="21"/>
              </w:rPr>
              <w:t>46.267851</w:t>
            </w:r>
          </w:p>
        </w:tc>
        <w:tc>
          <w:tcPr>
            <w:tcW w:w="769" w:type="dxa"/>
            <w:vMerge/>
            <w:tcBorders>
              <w:right w:val="single" w:sz="2" w:space="0" w:color="auto"/>
            </w:tcBorders>
            <w:vAlign w:val="center"/>
          </w:tcPr>
          <w:p w:rsidR="00565A50" w:rsidRPr="00F9522B" w:rsidRDefault="00565A50">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东至农田及村道，南至农田，西至农田，北至农田及村道</w:t>
            </w:r>
          </w:p>
        </w:tc>
        <w:tc>
          <w:tcPr>
            <w:tcW w:w="590" w:type="dxa"/>
            <w:vMerge/>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p>
        </w:tc>
        <w:tc>
          <w:tcPr>
            <w:tcW w:w="1350" w:type="dxa"/>
            <w:vMerge/>
            <w:tcBorders>
              <w:left w:val="single" w:sz="2" w:space="0" w:color="auto"/>
            </w:tcBorders>
            <w:vAlign w:val="center"/>
          </w:tcPr>
          <w:p w:rsidR="00565A50" w:rsidRPr="00F9522B" w:rsidRDefault="00565A50" w:rsidP="004031CB">
            <w:pPr>
              <w:spacing w:line="0" w:lineRule="atLeast"/>
              <w:contextualSpacing/>
              <w:jc w:val="center"/>
              <w:rPr>
                <w:rFonts w:eastAsiaTheme="minorEastAsia"/>
                <w:snapToGrid w:val="0"/>
                <w:kern w:val="0"/>
                <w:szCs w:val="21"/>
              </w:rPr>
            </w:pPr>
          </w:p>
        </w:tc>
      </w:tr>
      <w:tr w:rsidR="00565A50" w:rsidRPr="00F9522B">
        <w:trPr>
          <w:trHeight w:val="479"/>
          <w:jc w:val="center"/>
        </w:trPr>
        <w:tc>
          <w:tcPr>
            <w:tcW w:w="1246" w:type="dxa"/>
            <w:vAlign w:val="center"/>
          </w:tcPr>
          <w:p w:rsidR="00565A50" w:rsidRPr="00F9522B" w:rsidRDefault="00565A50" w:rsidP="00EC561F">
            <w:pPr>
              <w:adjustRightInd w:val="0"/>
              <w:snapToGrid w:val="0"/>
              <w:spacing w:line="0" w:lineRule="atLeast"/>
              <w:jc w:val="center"/>
              <w:rPr>
                <w:rFonts w:eastAsiaTheme="minorEastAsia"/>
                <w:snapToGrid w:val="0"/>
                <w:szCs w:val="21"/>
              </w:rPr>
            </w:pPr>
            <w:r w:rsidRPr="00F9522B">
              <w:rPr>
                <w:rFonts w:eastAsiaTheme="minorEastAsia"/>
                <w:snapToGrid w:val="0"/>
                <w:szCs w:val="21"/>
              </w:rPr>
              <w:t>王佩村</w:t>
            </w:r>
          </w:p>
        </w:tc>
        <w:tc>
          <w:tcPr>
            <w:tcW w:w="891" w:type="dxa"/>
            <w:vAlign w:val="center"/>
          </w:tcPr>
          <w:p w:rsidR="00565A50" w:rsidRPr="00F9522B" w:rsidRDefault="00565A50" w:rsidP="00EC561F">
            <w:pPr>
              <w:adjustRightInd w:val="0"/>
              <w:snapToGrid w:val="0"/>
              <w:spacing w:line="0" w:lineRule="atLeast"/>
              <w:jc w:val="center"/>
              <w:rPr>
                <w:rFonts w:eastAsiaTheme="minorEastAsia"/>
                <w:snapToGrid w:val="0"/>
                <w:szCs w:val="21"/>
              </w:rPr>
            </w:pPr>
            <w:r w:rsidRPr="00F9522B">
              <w:rPr>
                <w:rFonts w:eastAsiaTheme="minorEastAsia"/>
                <w:snapToGrid w:val="0"/>
                <w:szCs w:val="21"/>
              </w:rPr>
              <w:t>126.7778965</w:t>
            </w:r>
          </w:p>
        </w:tc>
        <w:tc>
          <w:tcPr>
            <w:tcW w:w="893" w:type="dxa"/>
            <w:vAlign w:val="center"/>
          </w:tcPr>
          <w:p w:rsidR="00565A50" w:rsidRPr="00F9522B" w:rsidRDefault="00565A50" w:rsidP="00EC561F">
            <w:pPr>
              <w:adjustRightInd w:val="0"/>
              <w:snapToGrid w:val="0"/>
              <w:jc w:val="center"/>
              <w:rPr>
                <w:rFonts w:eastAsiaTheme="minorEastAsia"/>
                <w:snapToGrid w:val="0"/>
                <w:szCs w:val="21"/>
              </w:rPr>
            </w:pPr>
            <w:r w:rsidRPr="00F9522B">
              <w:rPr>
                <w:rFonts w:eastAsiaTheme="minorEastAsia"/>
                <w:snapToGrid w:val="0"/>
                <w:szCs w:val="21"/>
              </w:rPr>
              <w:t>46.245121</w:t>
            </w:r>
          </w:p>
        </w:tc>
        <w:tc>
          <w:tcPr>
            <w:tcW w:w="769" w:type="dxa"/>
            <w:vMerge/>
            <w:tcBorders>
              <w:right w:val="single" w:sz="2" w:space="0" w:color="auto"/>
            </w:tcBorders>
            <w:vAlign w:val="center"/>
          </w:tcPr>
          <w:p w:rsidR="00565A50" w:rsidRPr="00F9522B" w:rsidRDefault="00565A50">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r w:rsidRPr="00F9522B">
              <w:rPr>
                <w:rFonts w:eastAsiaTheme="minorEastAsia"/>
                <w:snapToGrid w:val="0"/>
                <w:kern w:val="0"/>
                <w:szCs w:val="21"/>
              </w:rPr>
              <w:t>四周均为农田及村道</w:t>
            </w:r>
          </w:p>
        </w:tc>
        <w:tc>
          <w:tcPr>
            <w:tcW w:w="590" w:type="dxa"/>
            <w:vMerge/>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p>
        </w:tc>
        <w:tc>
          <w:tcPr>
            <w:tcW w:w="1350" w:type="dxa"/>
            <w:vMerge/>
            <w:tcBorders>
              <w:left w:val="single" w:sz="2" w:space="0" w:color="auto"/>
            </w:tcBorders>
            <w:vAlign w:val="center"/>
          </w:tcPr>
          <w:p w:rsidR="00565A50" w:rsidRPr="00F9522B" w:rsidRDefault="00565A50" w:rsidP="004031CB">
            <w:pPr>
              <w:spacing w:line="0" w:lineRule="atLeast"/>
              <w:contextualSpacing/>
              <w:jc w:val="center"/>
              <w:rPr>
                <w:rFonts w:eastAsiaTheme="minorEastAsia"/>
                <w:snapToGrid w:val="0"/>
                <w:kern w:val="0"/>
                <w:szCs w:val="21"/>
              </w:rPr>
            </w:pPr>
          </w:p>
        </w:tc>
      </w:tr>
      <w:tr w:rsidR="00565A50" w:rsidRPr="00F9522B" w:rsidTr="00EC561F">
        <w:trPr>
          <w:trHeight w:val="1209"/>
          <w:jc w:val="center"/>
        </w:trPr>
        <w:tc>
          <w:tcPr>
            <w:tcW w:w="1246" w:type="dxa"/>
            <w:vAlign w:val="center"/>
          </w:tcPr>
          <w:p w:rsidR="00565A50" w:rsidRPr="00F9522B" w:rsidRDefault="00565A50" w:rsidP="00E93DD8">
            <w:pPr>
              <w:spacing w:line="0" w:lineRule="atLeast"/>
              <w:jc w:val="center"/>
              <w:rPr>
                <w:rFonts w:eastAsiaTheme="minorEastAsia"/>
                <w:szCs w:val="21"/>
              </w:rPr>
            </w:pPr>
            <w:r w:rsidRPr="00F9522B">
              <w:rPr>
                <w:rFonts w:eastAsiaTheme="minorEastAsia"/>
                <w:szCs w:val="21"/>
              </w:rPr>
              <w:t>方台中学校</w:t>
            </w:r>
          </w:p>
        </w:tc>
        <w:tc>
          <w:tcPr>
            <w:tcW w:w="891" w:type="dxa"/>
            <w:vAlign w:val="center"/>
          </w:tcPr>
          <w:p w:rsidR="00565A50" w:rsidRPr="00F9522B" w:rsidRDefault="00565A50" w:rsidP="00EC561F">
            <w:pPr>
              <w:adjustRightInd w:val="0"/>
              <w:snapToGrid w:val="0"/>
              <w:jc w:val="center"/>
              <w:rPr>
                <w:rFonts w:eastAsiaTheme="minorEastAsia"/>
                <w:snapToGrid w:val="0"/>
                <w:szCs w:val="21"/>
              </w:rPr>
            </w:pPr>
            <w:r w:rsidRPr="00F9522B">
              <w:rPr>
                <w:rFonts w:eastAsiaTheme="minorEastAsia"/>
                <w:snapToGrid w:val="0"/>
                <w:szCs w:val="21"/>
              </w:rPr>
              <w:t>126.9246348</w:t>
            </w:r>
          </w:p>
        </w:tc>
        <w:tc>
          <w:tcPr>
            <w:tcW w:w="893" w:type="dxa"/>
            <w:vAlign w:val="center"/>
          </w:tcPr>
          <w:p w:rsidR="00565A50" w:rsidRPr="00F9522B" w:rsidRDefault="00565A50" w:rsidP="00EC561F">
            <w:pPr>
              <w:adjustRightInd w:val="0"/>
              <w:snapToGrid w:val="0"/>
              <w:jc w:val="center"/>
              <w:rPr>
                <w:rFonts w:eastAsiaTheme="minorEastAsia"/>
                <w:snapToGrid w:val="0"/>
                <w:szCs w:val="21"/>
              </w:rPr>
            </w:pPr>
            <w:r w:rsidRPr="00F9522B">
              <w:rPr>
                <w:rFonts w:eastAsiaTheme="minorEastAsia"/>
                <w:snapToGrid w:val="0"/>
                <w:szCs w:val="21"/>
              </w:rPr>
              <w:t>46.090766</w:t>
            </w:r>
          </w:p>
        </w:tc>
        <w:tc>
          <w:tcPr>
            <w:tcW w:w="769" w:type="dxa"/>
            <w:vMerge w:val="restart"/>
            <w:tcBorders>
              <w:right w:val="single" w:sz="2" w:space="0" w:color="auto"/>
            </w:tcBorders>
            <w:vAlign w:val="center"/>
          </w:tcPr>
          <w:p w:rsidR="00565A50" w:rsidRPr="00F9522B" w:rsidRDefault="00565A50">
            <w:pPr>
              <w:pStyle w:val="aff7"/>
              <w:spacing w:line="0" w:lineRule="atLeast"/>
              <w:contextualSpacing/>
              <w:rPr>
                <w:rFonts w:eastAsiaTheme="minorEastAsia" w:hAnsi="Times New Roman"/>
                <w:snapToGrid w:val="0"/>
                <w:kern w:val="0"/>
              </w:rPr>
            </w:pPr>
            <w:r w:rsidRPr="00F9522B">
              <w:rPr>
                <w:rFonts w:eastAsiaTheme="minorEastAsia" w:hAnsi="Times New Roman"/>
                <w:snapToGrid w:val="0"/>
                <w:kern w:val="0"/>
              </w:rPr>
              <w:t>文化区</w:t>
            </w:r>
          </w:p>
        </w:tc>
        <w:tc>
          <w:tcPr>
            <w:tcW w:w="2832" w:type="dxa"/>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东至民房，南至民房，西至民房，北至农田</w:t>
            </w:r>
          </w:p>
        </w:tc>
        <w:tc>
          <w:tcPr>
            <w:tcW w:w="590" w:type="dxa"/>
            <w:vMerge w:val="restart"/>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r w:rsidRPr="00F9522B">
              <w:rPr>
                <w:rFonts w:eastAsiaTheme="minorEastAsia"/>
                <w:snapToGrid w:val="0"/>
                <w:kern w:val="0"/>
                <w:szCs w:val="21"/>
              </w:rPr>
              <w:t>师生</w:t>
            </w:r>
          </w:p>
        </w:tc>
        <w:tc>
          <w:tcPr>
            <w:tcW w:w="1350" w:type="dxa"/>
            <w:vMerge/>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p>
        </w:tc>
      </w:tr>
      <w:tr w:rsidR="00565A50" w:rsidRPr="00F9522B" w:rsidTr="000C3AB5">
        <w:trPr>
          <w:trHeight w:val="704"/>
          <w:jc w:val="center"/>
        </w:trPr>
        <w:tc>
          <w:tcPr>
            <w:tcW w:w="1246" w:type="dxa"/>
            <w:vAlign w:val="center"/>
          </w:tcPr>
          <w:p w:rsidR="00565A50" w:rsidRPr="00F9522B" w:rsidRDefault="00565A50" w:rsidP="00E93DD8">
            <w:pPr>
              <w:spacing w:line="0" w:lineRule="atLeast"/>
              <w:jc w:val="center"/>
              <w:rPr>
                <w:rFonts w:eastAsiaTheme="minorEastAsia"/>
                <w:szCs w:val="21"/>
              </w:rPr>
            </w:pPr>
            <w:r w:rsidRPr="00F9522B">
              <w:rPr>
                <w:rFonts w:eastAsiaTheme="minorEastAsia"/>
                <w:szCs w:val="21"/>
              </w:rPr>
              <w:t>二八中学</w:t>
            </w:r>
          </w:p>
        </w:tc>
        <w:tc>
          <w:tcPr>
            <w:tcW w:w="891" w:type="dxa"/>
            <w:vAlign w:val="center"/>
          </w:tcPr>
          <w:p w:rsidR="00565A50" w:rsidRPr="00F9522B" w:rsidRDefault="00565A50" w:rsidP="00EC561F">
            <w:pPr>
              <w:adjustRightInd w:val="0"/>
              <w:snapToGrid w:val="0"/>
              <w:jc w:val="center"/>
              <w:rPr>
                <w:rFonts w:eastAsiaTheme="minorEastAsia"/>
                <w:snapToGrid w:val="0"/>
                <w:szCs w:val="21"/>
              </w:rPr>
            </w:pPr>
            <w:r w:rsidRPr="00F9522B">
              <w:rPr>
                <w:rFonts w:eastAsiaTheme="minorEastAsia"/>
                <w:snapToGrid w:val="0"/>
                <w:szCs w:val="21"/>
              </w:rPr>
              <w:t>127.0320948</w:t>
            </w:r>
          </w:p>
        </w:tc>
        <w:tc>
          <w:tcPr>
            <w:tcW w:w="893" w:type="dxa"/>
            <w:vAlign w:val="center"/>
          </w:tcPr>
          <w:p w:rsidR="00565A50" w:rsidRPr="00F9522B" w:rsidRDefault="00565A50" w:rsidP="00EC561F">
            <w:pPr>
              <w:adjustRightInd w:val="0"/>
              <w:snapToGrid w:val="0"/>
              <w:jc w:val="center"/>
              <w:rPr>
                <w:rFonts w:eastAsiaTheme="minorEastAsia"/>
                <w:snapToGrid w:val="0"/>
                <w:szCs w:val="21"/>
              </w:rPr>
            </w:pPr>
            <w:r w:rsidRPr="00F9522B">
              <w:rPr>
                <w:rFonts w:eastAsiaTheme="minorEastAsia"/>
                <w:snapToGrid w:val="0"/>
                <w:szCs w:val="21"/>
              </w:rPr>
              <w:t>46.114437</w:t>
            </w:r>
          </w:p>
        </w:tc>
        <w:tc>
          <w:tcPr>
            <w:tcW w:w="769" w:type="dxa"/>
            <w:vMerge/>
            <w:tcBorders>
              <w:right w:val="single" w:sz="2" w:space="0" w:color="auto"/>
            </w:tcBorders>
            <w:vAlign w:val="center"/>
          </w:tcPr>
          <w:p w:rsidR="00565A50" w:rsidRPr="00F9522B" w:rsidRDefault="00565A50">
            <w:pPr>
              <w:pStyle w:val="aff7"/>
              <w:spacing w:line="0" w:lineRule="atLeast"/>
              <w:contextualSpacing/>
              <w:rPr>
                <w:rFonts w:eastAsiaTheme="minorEastAsia" w:hAnsi="Times New Roman"/>
                <w:snapToGrid w:val="0"/>
                <w:kern w:val="0"/>
              </w:rPr>
            </w:pPr>
          </w:p>
        </w:tc>
        <w:tc>
          <w:tcPr>
            <w:tcW w:w="2832" w:type="dxa"/>
            <w:tcBorders>
              <w:left w:val="single" w:sz="2" w:space="0" w:color="auto"/>
            </w:tcBorders>
            <w:vAlign w:val="center"/>
          </w:tcPr>
          <w:p w:rsidR="00565A50" w:rsidRPr="00F9522B" w:rsidRDefault="00565A50" w:rsidP="0059036D">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东至民房，南至民房，西至民房，北至农田</w:t>
            </w:r>
          </w:p>
        </w:tc>
        <w:tc>
          <w:tcPr>
            <w:tcW w:w="590" w:type="dxa"/>
            <w:vMerge/>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p>
        </w:tc>
        <w:tc>
          <w:tcPr>
            <w:tcW w:w="1350" w:type="dxa"/>
            <w:vMerge/>
            <w:tcBorders>
              <w:left w:val="single" w:sz="2" w:space="0" w:color="auto"/>
            </w:tcBorders>
            <w:vAlign w:val="center"/>
          </w:tcPr>
          <w:p w:rsidR="00565A50" w:rsidRPr="00F9522B" w:rsidRDefault="00565A50">
            <w:pPr>
              <w:spacing w:line="0" w:lineRule="atLeast"/>
              <w:contextualSpacing/>
              <w:jc w:val="center"/>
              <w:rPr>
                <w:rFonts w:eastAsiaTheme="minorEastAsia"/>
                <w:snapToGrid w:val="0"/>
                <w:kern w:val="0"/>
                <w:szCs w:val="21"/>
              </w:rPr>
            </w:pPr>
          </w:p>
        </w:tc>
      </w:tr>
      <w:tr w:rsidR="00CF40DB" w:rsidRPr="00F9522B" w:rsidTr="000C3AB5">
        <w:trPr>
          <w:trHeight w:val="704"/>
          <w:jc w:val="center"/>
        </w:trPr>
        <w:tc>
          <w:tcPr>
            <w:tcW w:w="1246" w:type="dxa"/>
            <w:vAlign w:val="center"/>
          </w:tcPr>
          <w:p w:rsidR="00CF40DB" w:rsidRPr="00F9522B" w:rsidRDefault="00CF40DB" w:rsidP="00E93DD8">
            <w:pPr>
              <w:spacing w:line="0" w:lineRule="atLeast"/>
              <w:jc w:val="center"/>
              <w:rPr>
                <w:rFonts w:eastAsiaTheme="minorEastAsia"/>
                <w:szCs w:val="21"/>
              </w:rPr>
            </w:pPr>
            <w:r w:rsidRPr="00F9522B">
              <w:rPr>
                <w:rFonts w:eastAsiaTheme="minorEastAsia"/>
                <w:szCs w:val="21"/>
              </w:rPr>
              <w:t>宋家村</w:t>
            </w:r>
          </w:p>
        </w:tc>
        <w:tc>
          <w:tcPr>
            <w:tcW w:w="891" w:type="dxa"/>
            <w:vAlign w:val="center"/>
          </w:tcPr>
          <w:p w:rsidR="00CF40DB" w:rsidRPr="00F9522B" w:rsidRDefault="00CF40DB" w:rsidP="00E93DD8">
            <w:pPr>
              <w:rPr>
                <w:rFonts w:eastAsiaTheme="minorEastAsia"/>
                <w:szCs w:val="21"/>
              </w:rPr>
            </w:pPr>
            <w:r w:rsidRPr="00F9522B">
              <w:rPr>
                <w:rFonts w:eastAsiaTheme="minorEastAsia"/>
                <w:szCs w:val="21"/>
              </w:rPr>
              <w:t>126.9778069</w:t>
            </w:r>
          </w:p>
        </w:tc>
        <w:tc>
          <w:tcPr>
            <w:tcW w:w="893" w:type="dxa"/>
            <w:vAlign w:val="center"/>
          </w:tcPr>
          <w:p w:rsidR="00CF40DB" w:rsidRPr="00F9522B" w:rsidRDefault="00CF40DB" w:rsidP="00E93DD8">
            <w:pPr>
              <w:adjustRightInd w:val="0"/>
              <w:snapToGrid w:val="0"/>
              <w:spacing w:line="0" w:lineRule="atLeast"/>
              <w:jc w:val="center"/>
              <w:rPr>
                <w:rFonts w:eastAsiaTheme="minorEastAsia"/>
                <w:snapToGrid w:val="0"/>
                <w:szCs w:val="21"/>
              </w:rPr>
            </w:pPr>
            <w:r w:rsidRPr="00F9522B">
              <w:rPr>
                <w:rFonts w:eastAsiaTheme="minorEastAsia"/>
                <w:snapToGrid w:val="0"/>
                <w:szCs w:val="21"/>
              </w:rPr>
              <w:t>46.088801</w:t>
            </w:r>
          </w:p>
        </w:tc>
        <w:tc>
          <w:tcPr>
            <w:tcW w:w="769" w:type="dxa"/>
            <w:tcBorders>
              <w:right w:val="single" w:sz="2" w:space="0" w:color="auto"/>
            </w:tcBorders>
            <w:vAlign w:val="center"/>
          </w:tcPr>
          <w:p w:rsidR="00CF40DB" w:rsidRPr="00F9522B" w:rsidRDefault="00CF40DB">
            <w:pPr>
              <w:pStyle w:val="aff7"/>
              <w:spacing w:line="0" w:lineRule="atLeast"/>
              <w:contextualSpacing/>
              <w:rPr>
                <w:rFonts w:eastAsiaTheme="minorEastAsia" w:hAnsi="Times New Roman"/>
                <w:snapToGrid w:val="0"/>
                <w:kern w:val="0"/>
              </w:rPr>
            </w:pPr>
            <w:r w:rsidRPr="00F9522B">
              <w:rPr>
                <w:rFonts w:eastAsiaTheme="minorEastAsia" w:hAnsi="Times New Roman"/>
                <w:snapToGrid w:val="0"/>
                <w:kern w:val="0"/>
              </w:rPr>
              <w:t>农村</w:t>
            </w:r>
          </w:p>
        </w:tc>
        <w:tc>
          <w:tcPr>
            <w:tcW w:w="2832" w:type="dxa"/>
            <w:tcBorders>
              <w:left w:val="single" w:sz="2" w:space="0" w:color="auto"/>
            </w:tcBorders>
            <w:vAlign w:val="center"/>
          </w:tcPr>
          <w:p w:rsidR="00CF40DB" w:rsidRPr="00F9522B" w:rsidRDefault="00CF40DB" w:rsidP="0059036D">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东至农田，南至空地，西至农田及村道，北至农田及国道</w:t>
            </w:r>
          </w:p>
        </w:tc>
        <w:tc>
          <w:tcPr>
            <w:tcW w:w="590" w:type="dxa"/>
            <w:tcBorders>
              <w:left w:val="single" w:sz="2" w:space="0" w:color="auto"/>
            </w:tcBorders>
            <w:vAlign w:val="center"/>
          </w:tcPr>
          <w:p w:rsidR="00CF40DB" w:rsidRPr="00F9522B" w:rsidRDefault="00CF40DB">
            <w:pPr>
              <w:spacing w:line="0" w:lineRule="atLeast"/>
              <w:contextualSpacing/>
              <w:jc w:val="center"/>
              <w:rPr>
                <w:rFonts w:eastAsiaTheme="minorEastAsia"/>
                <w:snapToGrid w:val="0"/>
                <w:kern w:val="0"/>
                <w:szCs w:val="21"/>
              </w:rPr>
            </w:pPr>
            <w:r w:rsidRPr="00F9522B">
              <w:rPr>
                <w:rFonts w:eastAsiaTheme="minorEastAsia"/>
                <w:snapToGrid w:val="0"/>
                <w:kern w:val="0"/>
                <w:szCs w:val="21"/>
              </w:rPr>
              <w:t>居民</w:t>
            </w:r>
          </w:p>
        </w:tc>
        <w:tc>
          <w:tcPr>
            <w:tcW w:w="1350" w:type="dxa"/>
            <w:tcBorders>
              <w:left w:val="single" w:sz="2" w:space="0" w:color="auto"/>
            </w:tcBorders>
            <w:vAlign w:val="center"/>
          </w:tcPr>
          <w:p w:rsidR="00CF40DB" w:rsidRPr="00F9522B" w:rsidRDefault="00CF40DB">
            <w:pPr>
              <w:spacing w:line="0" w:lineRule="atLeast"/>
              <w:contextualSpacing/>
              <w:jc w:val="center"/>
              <w:rPr>
                <w:rFonts w:eastAsiaTheme="minorEastAsia"/>
                <w:snapToGrid w:val="0"/>
                <w:kern w:val="0"/>
                <w:szCs w:val="21"/>
              </w:rPr>
            </w:pPr>
            <w:r w:rsidRPr="00F9522B">
              <w:rPr>
                <w:rFonts w:eastAsiaTheme="minorEastAsia"/>
                <w:snapToGrid w:val="0"/>
                <w:kern w:val="0"/>
                <w:szCs w:val="21"/>
              </w:rPr>
              <w:t>《环境空气质量标准》（</w:t>
            </w:r>
            <w:r w:rsidR="00C07A9E" w:rsidRPr="00F9522B">
              <w:rPr>
                <w:rFonts w:eastAsiaTheme="minorEastAsia"/>
                <w:snapToGrid w:val="0"/>
                <w:kern w:val="0"/>
                <w:szCs w:val="21"/>
              </w:rPr>
              <w:t>GB3095-2026</w:t>
            </w:r>
            <w:r w:rsidRPr="00F9522B">
              <w:rPr>
                <w:rFonts w:eastAsiaTheme="minorEastAsia"/>
                <w:snapToGrid w:val="0"/>
                <w:kern w:val="0"/>
                <w:szCs w:val="21"/>
              </w:rPr>
              <w:t>）二级标准；</w:t>
            </w:r>
            <w:r w:rsidRPr="00F9522B">
              <w:rPr>
                <w:rFonts w:eastAsiaTheme="minorEastAsia"/>
                <w:kern w:val="0"/>
                <w:szCs w:val="21"/>
              </w:rPr>
              <w:t>《声环境质量标准》（</w:t>
            </w:r>
            <w:r w:rsidRPr="00F9522B">
              <w:rPr>
                <w:rFonts w:eastAsiaTheme="minorEastAsia"/>
                <w:kern w:val="0"/>
                <w:szCs w:val="21"/>
              </w:rPr>
              <w:t>GB3096-2008</w:t>
            </w:r>
            <w:r w:rsidRPr="00F9522B">
              <w:rPr>
                <w:rFonts w:eastAsiaTheme="minorEastAsia"/>
                <w:kern w:val="0"/>
                <w:szCs w:val="21"/>
              </w:rPr>
              <w:t>）</w:t>
            </w:r>
            <w:r w:rsidRPr="00F9522B">
              <w:rPr>
                <w:rFonts w:eastAsiaTheme="minorEastAsia"/>
                <w:kern w:val="0"/>
                <w:szCs w:val="21"/>
              </w:rPr>
              <w:t>2</w:t>
            </w:r>
            <w:r w:rsidRPr="00F9522B">
              <w:rPr>
                <w:rFonts w:eastAsiaTheme="minorEastAsia"/>
                <w:kern w:val="0"/>
                <w:szCs w:val="21"/>
              </w:rPr>
              <w:t>类</w:t>
            </w:r>
          </w:p>
        </w:tc>
      </w:tr>
    </w:tbl>
    <w:p w:rsidR="002A5A5E" w:rsidRPr="00F9522B" w:rsidRDefault="00611CBA">
      <w:pPr>
        <w:spacing w:line="360" w:lineRule="auto"/>
        <w:ind w:firstLineChars="200" w:firstLine="480"/>
        <w:contextualSpacing/>
        <w:rPr>
          <w:rFonts w:eastAsiaTheme="minorEastAsia"/>
          <w:sz w:val="24"/>
        </w:rPr>
      </w:pPr>
      <w:r w:rsidRPr="00F9522B">
        <w:rPr>
          <w:rFonts w:eastAsiaTheme="minorEastAsia"/>
          <w:sz w:val="24"/>
        </w:rPr>
        <w:t>本项目地下水评价区域涉及沈家街道饮用水水源地、</w:t>
      </w:r>
      <w:r w:rsidR="00241372" w:rsidRPr="00F9522B">
        <w:rPr>
          <w:rFonts w:eastAsiaTheme="minorEastAsia"/>
          <w:sz w:val="24"/>
        </w:rPr>
        <w:t>方台镇东沈村供水工程</w:t>
      </w:r>
      <w:r w:rsidRPr="00F9522B">
        <w:rPr>
          <w:rFonts w:eastAsiaTheme="minorEastAsia"/>
          <w:sz w:val="24"/>
        </w:rPr>
        <w:t>、方台镇高堡村饮用水水源地、二八镇长山村饮用水水源地。以上水源地均取得省政府批复，批复文号：黑政函〔</w:t>
      </w:r>
      <w:r w:rsidRPr="00F9522B">
        <w:rPr>
          <w:rFonts w:eastAsiaTheme="minorEastAsia"/>
          <w:sz w:val="24"/>
        </w:rPr>
        <w:t>2012</w:t>
      </w:r>
      <w:r w:rsidRPr="00F9522B">
        <w:rPr>
          <w:rFonts w:eastAsiaTheme="minorEastAsia"/>
          <w:sz w:val="24"/>
        </w:rPr>
        <w:t>〕</w:t>
      </w:r>
      <w:r w:rsidRPr="00F9522B">
        <w:rPr>
          <w:rFonts w:eastAsiaTheme="minorEastAsia"/>
          <w:sz w:val="24"/>
        </w:rPr>
        <w:t>141</w:t>
      </w:r>
      <w:r w:rsidRPr="00F9522B">
        <w:rPr>
          <w:rFonts w:eastAsiaTheme="minorEastAsia"/>
          <w:sz w:val="24"/>
        </w:rPr>
        <w:t>号、黑政函〔</w:t>
      </w:r>
      <w:r w:rsidRPr="00F9522B">
        <w:rPr>
          <w:rFonts w:eastAsiaTheme="minorEastAsia"/>
          <w:sz w:val="24"/>
        </w:rPr>
        <w:t>2013</w:t>
      </w:r>
      <w:r w:rsidRPr="00F9522B">
        <w:rPr>
          <w:rFonts w:eastAsiaTheme="minorEastAsia"/>
          <w:sz w:val="24"/>
        </w:rPr>
        <w:t>〕</w:t>
      </w:r>
      <w:r w:rsidRPr="00F9522B">
        <w:rPr>
          <w:rFonts w:eastAsiaTheme="minorEastAsia"/>
          <w:sz w:val="24"/>
        </w:rPr>
        <w:t>121</w:t>
      </w:r>
      <w:r w:rsidRPr="00F9522B">
        <w:rPr>
          <w:rFonts w:eastAsiaTheme="minorEastAsia"/>
          <w:sz w:val="24"/>
        </w:rPr>
        <w:t>号、黑政函〔</w:t>
      </w:r>
      <w:r w:rsidRPr="00F9522B">
        <w:rPr>
          <w:rFonts w:eastAsiaTheme="minorEastAsia"/>
          <w:sz w:val="24"/>
        </w:rPr>
        <w:t>2018</w:t>
      </w:r>
      <w:r w:rsidRPr="00F9522B">
        <w:rPr>
          <w:rFonts w:eastAsiaTheme="minorEastAsia"/>
          <w:sz w:val="24"/>
        </w:rPr>
        <w:t>〕</w:t>
      </w:r>
      <w:r w:rsidRPr="00F9522B">
        <w:rPr>
          <w:rFonts w:eastAsiaTheme="minorEastAsia"/>
          <w:sz w:val="24"/>
        </w:rPr>
        <w:t>65</w:t>
      </w:r>
      <w:r w:rsidRPr="00F9522B">
        <w:rPr>
          <w:rFonts w:eastAsiaTheme="minorEastAsia"/>
          <w:sz w:val="24"/>
        </w:rPr>
        <w:t>号。水源地保护区范围为以水源井为圆心，</w:t>
      </w:r>
      <w:r w:rsidRPr="00F9522B">
        <w:rPr>
          <w:rFonts w:eastAsiaTheme="minorEastAsia"/>
          <w:sz w:val="24"/>
        </w:rPr>
        <w:t>30</w:t>
      </w:r>
      <w:r w:rsidRPr="00F9522B">
        <w:rPr>
          <w:rFonts w:eastAsiaTheme="minorEastAsia"/>
          <w:sz w:val="24"/>
        </w:rPr>
        <w:t>米为半径所围成的圆形区域，一级保护区面积</w:t>
      </w:r>
      <w:r w:rsidRPr="00F9522B">
        <w:rPr>
          <w:rFonts w:eastAsiaTheme="minorEastAsia"/>
          <w:sz w:val="24"/>
        </w:rPr>
        <w:t>2826</w:t>
      </w:r>
      <w:r w:rsidRPr="00F9522B">
        <w:rPr>
          <w:rFonts w:eastAsiaTheme="minorEastAsia"/>
          <w:sz w:val="24"/>
        </w:rPr>
        <w:t>平方米。不设二级保护区。</w:t>
      </w:r>
    </w:p>
    <w:p w:rsidR="00E9288A" w:rsidRPr="00F9522B" w:rsidRDefault="00E9288A">
      <w:pPr>
        <w:contextualSpacing/>
        <w:jc w:val="center"/>
        <w:rPr>
          <w:rFonts w:eastAsiaTheme="minorEastAsia"/>
          <w:b/>
          <w:kern w:val="0"/>
          <w:szCs w:val="21"/>
        </w:rPr>
      </w:pPr>
    </w:p>
    <w:p w:rsidR="002A5A5E" w:rsidRPr="00F9522B" w:rsidRDefault="00611CBA">
      <w:pPr>
        <w:contextualSpacing/>
        <w:jc w:val="center"/>
        <w:rPr>
          <w:rFonts w:eastAsiaTheme="minorEastAsia"/>
          <w:b/>
          <w:kern w:val="0"/>
          <w:szCs w:val="21"/>
        </w:rPr>
      </w:pPr>
      <w:r w:rsidRPr="00F9522B">
        <w:rPr>
          <w:rFonts w:eastAsiaTheme="minorEastAsia"/>
          <w:b/>
          <w:kern w:val="0"/>
          <w:szCs w:val="21"/>
        </w:rPr>
        <w:lastRenderedPageBreak/>
        <w:t>表</w:t>
      </w:r>
      <w:r w:rsidRPr="00F9522B">
        <w:rPr>
          <w:rFonts w:eastAsiaTheme="minorEastAsia"/>
          <w:b/>
          <w:kern w:val="0"/>
          <w:szCs w:val="21"/>
        </w:rPr>
        <w:t>4-4-2</w:t>
      </w:r>
      <w:r w:rsidRPr="00F9522B">
        <w:rPr>
          <w:rFonts w:eastAsiaTheme="minorEastAsia"/>
          <w:b/>
          <w:kern w:val="0"/>
          <w:szCs w:val="21"/>
        </w:rPr>
        <w:t>地下水环境保护目标调查表</w:t>
      </w:r>
    </w:p>
    <w:tbl>
      <w:tblPr>
        <w:tblStyle w:val="afc"/>
        <w:tblW w:w="8941" w:type="dxa"/>
        <w:jc w:val="center"/>
        <w:tblBorders>
          <w:top w:val="single" w:sz="12" w:space="0" w:color="auto"/>
          <w:left w:val="none" w:sz="0" w:space="0" w:color="auto"/>
          <w:bottom w:val="single" w:sz="12" w:space="0" w:color="auto"/>
          <w:right w:val="none" w:sz="0" w:space="0" w:color="auto"/>
          <w:insideH w:val="single" w:sz="2" w:space="0" w:color="auto"/>
          <w:insideV w:val="single" w:sz="2" w:space="0" w:color="auto"/>
        </w:tblBorders>
        <w:tblLayout w:type="fixed"/>
        <w:tblLook w:val="04A0"/>
      </w:tblPr>
      <w:tblGrid>
        <w:gridCol w:w="1477"/>
        <w:gridCol w:w="657"/>
        <w:gridCol w:w="657"/>
        <w:gridCol w:w="787"/>
        <w:gridCol w:w="993"/>
        <w:gridCol w:w="567"/>
        <w:gridCol w:w="1592"/>
        <w:gridCol w:w="525"/>
        <w:gridCol w:w="920"/>
        <w:gridCol w:w="751"/>
        <w:gridCol w:w="15"/>
      </w:tblGrid>
      <w:tr w:rsidR="002A5A5E" w:rsidRPr="00F9522B">
        <w:trPr>
          <w:trHeight w:val="643"/>
          <w:jc w:val="center"/>
        </w:trPr>
        <w:tc>
          <w:tcPr>
            <w:tcW w:w="1477" w:type="dxa"/>
            <w:vMerge w:val="restart"/>
            <w:vAlign w:val="center"/>
          </w:tcPr>
          <w:p w:rsidR="002A5A5E" w:rsidRPr="00F9522B" w:rsidRDefault="00611CBA">
            <w:pPr>
              <w:spacing w:line="0" w:lineRule="atLeast"/>
              <w:contextualSpacing/>
              <w:jc w:val="center"/>
              <w:rPr>
                <w:rFonts w:eastAsiaTheme="minorEastAsia"/>
                <w:snapToGrid w:val="0"/>
                <w:kern w:val="0"/>
                <w:szCs w:val="21"/>
              </w:rPr>
            </w:pPr>
            <w:r w:rsidRPr="00F9522B">
              <w:rPr>
                <w:rFonts w:eastAsiaTheme="minorEastAsia"/>
                <w:snapToGrid w:val="0"/>
                <w:kern w:val="0"/>
                <w:szCs w:val="21"/>
              </w:rPr>
              <w:t>名称</w:t>
            </w:r>
          </w:p>
        </w:tc>
        <w:tc>
          <w:tcPr>
            <w:tcW w:w="1314" w:type="dxa"/>
            <w:gridSpan w:val="2"/>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snapToGrid w:val="0"/>
                <w:kern w:val="0"/>
                <w:szCs w:val="21"/>
              </w:rPr>
              <w:t>地理位置</w:t>
            </w:r>
          </w:p>
        </w:tc>
        <w:tc>
          <w:tcPr>
            <w:tcW w:w="787" w:type="dxa"/>
            <w:vMerge w:val="restart"/>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kern w:val="0"/>
                <w:szCs w:val="21"/>
              </w:rPr>
              <w:t>供水人数（人）</w:t>
            </w:r>
          </w:p>
        </w:tc>
        <w:tc>
          <w:tcPr>
            <w:tcW w:w="993" w:type="dxa"/>
            <w:vMerge w:val="restart"/>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kern w:val="0"/>
                <w:szCs w:val="21"/>
              </w:rPr>
              <w:t>供水规模（</w:t>
            </w:r>
            <w:r w:rsidRPr="00F9522B">
              <w:rPr>
                <w:rFonts w:eastAsiaTheme="minorEastAsia"/>
                <w:kern w:val="0"/>
                <w:szCs w:val="21"/>
              </w:rPr>
              <w:t>m</w:t>
            </w:r>
            <w:r w:rsidRPr="00F9522B">
              <w:rPr>
                <w:rFonts w:eastAsiaTheme="minorEastAsia"/>
                <w:kern w:val="0"/>
                <w:szCs w:val="21"/>
                <w:vertAlign w:val="superscript"/>
              </w:rPr>
              <w:t>3</w:t>
            </w:r>
            <w:r w:rsidRPr="00F9522B">
              <w:rPr>
                <w:rFonts w:eastAsiaTheme="minorEastAsia"/>
                <w:kern w:val="0"/>
                <w:szCs w:val="21"/>
              </w:rPr>
              <w:t>/d</w:t>
            </w:r>
            <w:r w:rsidRPr="00F9522B">
              <w:rPr>
                <w:rFonts w:eastAsiaTheme="minorEastAsia"/>
                <w:kern w:val="0"/>
                <w:szCs w:val="21"/>
              </w:rPr>
              <w:t>）</w:t>
            </w:r>
          </w:p>
        </w:tc>
        <w:tc>
          <w:tcPr>
            <w:tcW w:w="567" w:type="dxa"/>
            <w:vMerge w:val="restart"/>
            <w:tcBorders>
              <w:right w:val="single" w:sz="2" w:space="0" w:color="auto"/>
            </w:tcBorders>
            <w:vAlign w:val="center"/>
          </w:tcPr>
          <w:p w:rsidR="002A5A5E" w:rsidRPr="00F9522B" w:rsidRDefault="00611CBA">
            <w:pPr>
              <w:spacing w:line="0" w:lineRule="atLeast"/>
              <w:contextualSpacing/>
              <w:jc w:val="center"/>
              <w:rPr>
                <w:rFonts w:eastAsiaTheme="minorEastAsia"/>
                <w:snapToGrid w:val="0"/>
                <w:kern w:val="0"/>
                <w:szCs w:val="21"/>
              </w:rPr>
            </w:pPr>
            <w:r w:rsidRPr="00F9522B">
              <w:rPr>
                <w:rFonts w:eastAsiaTheme="minorEastAsia"/>
                <w:kern w:val="0"/>
                <w:szCs w:val="21"/>
              </w:rPr>
              <w:t>服务功能</w:t>
            </w:r>
          </w:p>
        </w:tc>
        <w:tc>
          <w:tcPr>
            <w:tcW w:w="1592" w:type="dxa"/>
            <w:vMerge w:val="restart"/>
            <w:tcBorders>
              <w:left w:val="single" w:sz="2" w:space="0" w:color="auto"/>
            </w:tcBorders>
            <w:vAlign w:val="center"/>
          </w:tcPr>
          <w:p w:rsidR="002A5A5E" w:rsidRPr="00F9522B" w:rsidRDefault="00611CBA">
            <w:pPr>
              <w:spacing w:line="0" w:lineRule="atLeast"/>
              <w:contextualSpacing/>
              <w:jc w:val="center"/>
              <w:rPr>
                <w:rFonts w:eastAsiaTheme="minorEastAsia"/>
                <w:snapToGrid w:val="0"/>
                <w:kern w:val="0"/>
                <w:szCs w:val="21"/>
              </w:rPr>
            </w:pPr>
            <w:r w:rsidRPr="00F9522B">
              <w:rPr>
                <w:rFonts w:eastAsiaTheme="minorEastAsia"/>
                <w:kern w:val="0"/>
                <w:szCs w:val="21"/>
              </w:rPr>
              <w:t>四至范围</w:t>
            </w:r>
          </w:p>
        </w:tc>
        <w:tc>
          <w:tcPr>
            <w:tcW w:w="1445" w:type="dxa"/>
            <w:gridSpan w:val="2"/>
            <w:vMerge w:val="restart"/>
            <w:tcBorders>
              <w:left w:val="single" w:sz="2" w:space="0" w:color="auto"/>
              <w:right w:val="single" w:sz="2" w:space="0" w:color="auto"/>
            </w:tcBorders>
            <w:vAlign w:val="center"/>
          </w:tcPr>
          <w:p w:rsidR="002A5A5E" w:rsidRPr="00F9522B" w:rsidRDefault="00611CBA">
            <w:pPr>
              <w:spacing w:line="0" w:lineRule="atLeast"/>
              <w:contextualSpacing/>
              <w:jc w:val="center"/>
              <w:rPr>
                <w:rFonts w:eastAsiaTheme="minorEastAsia"/>
                <w:snapToGrid w:val="0"/>
                <w:kern w:val="0"/>
                <w:szCs w:val="21"/>
              </w:rPr>
            </w:pPr>
            <w:r w:rsidRPr="00F9522B">
              <w:rPr>
                <w:rFonts w:eastAsiaTheme="minorEastAsia"/>
                <w:snapToGrid w:val="0"/>
                <w:kern w:val="0"/>
                <w:szCs w:val="21"/>
              </w:rPr>
              <w:t>保护对象</w:t>
            </w:r>
          </w:p>
        </w:tc>
        <w:tc>
          <w:tcPr>
            <w:tcW w:w="766" w:type="dxa"/>
            <w:gridSpan w:val="2"/>
            <w:vMerge w:val="restart"/>
            <w:tcBorders>
              <w:left w:val="single" w:sz="2" w:space="0" w:color="auto"/>
            </w:tcBorders>
            <w:vAlign w:val="center"/>
          </w:tcPr>
          <w:p w:rsidR="002A5A5E" w:rsidRPr="00F9522B" w:rsidRDefault="00611CBA">
            <w:pPr>
              <w:spacing w:line="0" w:lineRule="atLeast"/>
              <w:contextualSpacing/>
              <w:jc w:val="center"/>
              <w:rPr>
                <w:rFonts w:eastAsiaTheme="minorEastAsia"/>
                <w:snapToGrid w:val="0"/>
                <w:kern w:val="0"/>
                <w:szCs w:val="21"/>
              </w:rPr>
            </w:pPr>
            <w:r w:rsidRPr="00F9522B">
              <w:rPr>
                <w:rFonts w:eastAsiaTheme="minorEastAsia"/>
                <w:snapToGrid w:val="0"/>
                <w:kern w:val="0"/>
                <w:szCs w:val="21"/>
              </w:rPr>
              <w:t>保护要求</w:t>
            </w:r>
          </w:p>
        </w:tc>
      </w:tr>
      <w:tr w:rsidR="002A5A5E" w:rsidRPr="00F9522B">
        <w:trPr>
          <w:trHeight w:val="163"/>
          <w:jc w:val="center"/>
        </w:trPr>
        <w:tc>
          <w:tcPr>
            <w:tcW w:w="1477" w:type="dxa"/>
            <w:vMerge/>
            <w:vAlign w:val="center"/>
          </w:tcPr>
          <w:p w:rsidR="002A5A5E" w:rsidRPr="00F9522B" w:rsidRDefault="002A5A5E">
            <w:pPr>
              <w:spacing w:line="0" w:lineRule="atLeast"/>
              <w:contextualSpacing/>
              <w:jc w:val="center"/>
              <w:rPr>
                <w:rFonts w:eastAsiaTheme="minorEastAsia"/>
                <w:snapToGrid w:val="0"/>
                <w:kern w:val="0"/>
                <w:szCs w:val="21"/>
              </w:rPr>
            </w:pPr>
          </w:p>
        </w:tc>
        <w:tc>
          <w:tcPr>
            <w:tcW w:w="657" w:type="dxa"/>
            <w:vAlign w:val="center"/>
          </w:tcPr>
          <w:p w:rsidR="002A5A5E" w:rsidRPr="00F9522B" w:rsidRDefault="00611CBA">
            <w:pPr>
              <w:pStyle w:val="aff7"/>
              <w:adjustRightInd w:val="0"/>
              <w:snapToGrid w:val="0"/>
              <w:spacing w:line="0" w:lineRule="atLeast"/>
              <w:rPr>
                <w:rFonts w:eastAsiaTheme="minorEastAsia" w:hAnsi="Times New Roman"/>
                <w:snapToGrid w:val="0"/>
                <w:kern w:val="0"/>
              </w:rPr>
            </w:pPr>
            <w:r w:rsidRPr="00F9522B">
              <w:rPr>
                <w:rFonts w:eastAsiaTheme="minorEastAsia" w:hAnsi="Times New Roman"/>
                <w:snapToGrid w:val="0"/>
                <w:kern w:val="0"/>
              </w:rPr>
              <w:t>东经</w:t>
            </w:r>
          </w:p>
        </w:tc>
        <w:tc>
          <w:tcPr>
            <w:tcW w:w="657" w:type="dxa"/>
            <w:vAlign w:val="center"/>
          </w:tcPr>
          <w:p w:rsidR="002A5A5E" w:rsidRPr="00F9522B" w:rsidRDefault="00611CBA">
            <w:pPr>
              <w:spacing w:line="0" w:lineRule="atLeast"/>
              <w:contextualSpacing/>
              <w:jc w:val="center"/>
              <w:rPr>
                <w:rFonts w:eastAsiaTheme="minorEastAsia"/>
                <w:kern w:val="0"/>
                <w:szCs w:val="21"/>
              </w:rPr>
            </w:pPr>
            <w:r w:rsidRPr="00F9522B">
              <w:rPr>
                <w:rFonts w:eastAsiaTheme="minorEastAsia"/>
                <w:snapToGrid w:val="0"/>
                <w:kern w:val="0"/>
                <w:szCs w:val="21"/>
              </w:rPr>
              <w:t>北纬</w:t>
            </w:r>
          </w:p>
        </w:tc>
        <w:tc>
          <w:tcPr>
            <w:tcW w:w="787" w:type="dxa"/>
            <w:vMerge/>
            <w:vAlign w:val="center"/>
          </w:tcPr>
          <w:p w:rsidR="002A5A5E" w:rsidRPr="00F9522B" w:rsidRDefault="002A5A5E">
            <w:pPr>
              <w:spacing w:line="0" w:lineRule="atLeast"/>
              <w:contextualSpacing/>
              <w:jc w:val="center"/>
              <w:rPr>
                <w:rFonts w:eastAsiaTheme="minorEastAsia"/>
                <w:kern w:val="0"/>
                <w:szCs w:val="21"/>
              </w:rPr>
            </w:pPr>
          </w:p>
        </w:tc>
        <w:tc>
          <w:tcPr>
            <w:tcW w:w="993" w:type="dxa"/>
            <w:vMerge/>
            <w:vAlign w:val="center"/>
          </w:tcPr>
          <w:p w:rsidR="002A5A5E" w:rsidRPr="00F9522B" w:rsidRDefault="002A5A5E">
            <w:pPr>
              <w:spacing w:line="0" w:lineRule="atLeast"/>
              <w:contextualSpacing/>
              <w:jc w:val="center"/>
              <w:rPr>
                <w:rFonts w:eastAsiaTheme="minorEastAsia"/>
                <w:kern w:val="0"/>
                <w:szCs w:val="21"/>
              </w:rPr>
            </w:pPr>
          </w:p>
        </w:tc>
        <w:tc>
          <w:tcPr>
            <w:tcW w:w="567" w:type="dxa"/>
            <w:vMerge/>
            <w:tcBorders>
              <w:right w:val="single" w:sz="2" w:space="0" w:color="auto"/>
            </w:tcBorders>
            <w:vAlign w:val="center"/>
          </w:tcPr>
          <w:p w:rsidR="002A5A5E" w:rsidRPr="00F9522B" w:rsidRDefault="002A5A5E">
            <w:pPr>
              <w:spacing w:line="0" w:lineRule="atLeast"/>
              <w:contextualSpacing/>
              <w:jc w:val="center"/>
              <w:rPr>
                <w:rFonts w:eastAsiaTheme="minorEastAsia"/>
                <w:kern w:val="0"/>
                <w:szCs w:val="21"/>
              </w:rPr>
            </w:pPr>
          </w:p>
        </w:tc>
        <w:tc>
          <w:tcPr>
            <w:tcW w:w="1592" w:type="dxa"/>
            <w:vMerge/>
            <w:tcBorders>
              <w:left w:val="single" w:sz="2" w:space="0" w:color="auto"/>
            </w:tcBorders>
            <w:vAlign w:val="center"/>
          </w:tcPr>
          <w:p w:rsidR="002A5A5E" w:rsidRPr="00F9522B" w:rsidRDefault="002A5A5E">
            <w:pPr>
              <w:spacing w:line="0" w:lineRule="atLeast"/>
              <w:contextualSpacing/>
              <w:jc w:val="center"/>
              <w:rPr>
                <w:rFonts w:eastAsiaTheme="minorEastAsia"/>
                <w:kern w:val="0"/>
                <w:szCs w:val="21"/>
              </w:rPr>
            </w:pPr>
          </w:p>
        </w:tc>
        <w:tc>
          <w:tcPr>
            <w:tcW w:w="1445" w:type="dxa"/>
            <w:gridSpan w:val="2"/>
            <w:vMerge/>
            <w:tcBorders>
              <w:left w:val="single" w:sz="2" w:space="0" w:color="auto"/>
              <w:right w:val="single" w:sz="2" w:space="0" w:color="auto"/>
            </w:tcBorders>
            <w:vAlign w:val="center"/>
          </w:tcPr>
          <w:p w:rsidR="002A5A5E" w:rsidRPr="00F9522B" w:rsidRDefault="002A5A5E">
            <w:pPr>
              <w:spacing w:line="0" w:lineRule="atLeast"/>
              <w:contextualSpacing/>
              <w:jc w:val="center"/>
              <w:rPr>
                <w:rFonts w:eastAsiaTheme="minorEastAsia"/>
                <w:snapToGrid w:val="0"/>
                <w:kern w:val="0"/>
                <w:szCs w:val="21"/>
              </w:rPr>
            </w:pPr>
          </w:p>
        </w:tc>
        <w:tc>
          <w:tcPr>
            <w:tcW w:w="766" w:type="dxa"/>
            <w:gridSpan w:val="2"/>
            <w:vMerge/>
            <w:tcBorders>
              <w:left w:val="single" w:sz="2" w:space="0" w:color="auto"/>
            </w:tcBorders>
            <w:vAlign w:val="center"/>
          </w:tcPr>
          <w:p w:rsidR="002A5A5E" w:rsidRPr="00F9522B" w:rsidRDefault="002A5A5E">
            <w:pPr>
              <w:spacing w:line="0" w:lineRule="atLeast"/>
              <w:contextualSpacing/>
              <w:jc w:val="center"/>
              <w:rPr>
                <w:rFonts w:eastAsiaTheme="minorEastAsia"/>
                <w:snapToGrid w:val="0"/>
                <w:kern w:val="0"/>
                <w:szCs w:val="21"/>
              </w:rPr>
            </w:pPr>
          </w:p>
        </w:tc>
      </w:tr>
      <w:tr w:rsidR="002A5A5E" w:rsidRPr="00F9522B">
        <w:trPr>
          <w:gridAfter w:val="1"/>
          <w:wAfter w:w="15" w:type="dxa"/>
          <w:trHeight w:val="635"/>
          <w:jc w:val="center"/>
        </w:trPr>
        <w:tc>
          <w:tcPr>
            <w:tcW w:w="1477" w:type="dxa"/>
            <w:vAlign w:val="center"/>
          </w:tcPr>
          <w:p w:rsidR="002A5A5E" w:rsidRPr="00F9522B" w:rsidRDefault="00611CBA">
            <w:pPr>
              <w:spacing w:line="0" w:lineRule="atLeast"/>
              <w:jc w:val="center"/>
              <w:rPr>
                <w:rFonts w:eastAsiaTheme="minorEastAsia"/>
                <w:kern w:val="0"/>
                <w:szCs w:val="21"/>
              </w:rPr>
            </w:pPr>
            <w:r w:rsidRPr="00F9522B">
              <w:rPr>
                <w:rFonts w:eastAsiaTheme="minorEastAsia"/>
                <w:kern w:val="0"/>
                <w:szCs w:val="21"/>
              </w:rPr>
              <w:t>沈家街道供水工程</w:t>
            </w:r>
            <w:r w:rsidRPr="00F9522B">
              <w:rPr>
                <w:rFonts w:eastAsiaTheme="minorEastAsia"/>
                <w:kern w:val="0"/>
                <w:szCs w:val="21"/>
              </w:rPr>
              <w:t>1#</w:t>
            </w:r>
            <w:r w:rsidRPr="00F9522B">
              <w:rPr>
                <w:rFonts w:eastAsiaTheme="minorEastAsia"/>
                <w:kern w:val="0"/>
                <w:szCs w:val="21"/>
              </w:rPr>
              <w:t>水井（井深</w:t>
            </w:r>
            <w:r w:rsidRPr="00F9522B">
              <w:rPr>
                <w:rFonts w:eastAsiaTheme="minorEastAsia"/>
                <w:kern w:val="0"/>
                <w:szCs w:val="21"/>
              </w:rPr>
              <w:t>80m</w:t>
            </w:r>
            <w:r w:rsidRPr="00F9522B">
              <w:rPr>
                <w:rFonts w:eastAsiaTheme="minorEastAsia"/>
                <w:kern w:val="0"/>
                <w:szCs w:val="21"/>
              </w:rPr>
              <w:t>）</w:t>
            </w:r>
          </w:p>
        </w:tc>
        <w:tc>
          <w:tcPr>
            <w:tcW w:w="657" w:type="dxa"/>
            <w:vAlign w:val="center"/>
          </w:tcPr>
          <w:p w:rsidR="002A5A5E" w:rsidRPr="00F9522B" w:rsidRDefault="00611CBA">
            <w:pPr>
              <w:spacing w:line="0" w:lineRule="atLeast"/>
              <w:jc w:val="center"/>
              <w:rPr>
                <w:rFonts w:eastAsiaTheme="minorEastAsia"/>
                <w:kern w:val="0"/>
                <w:szCs w:val="21"/>
              </w:rPr>
            </w:pPr>
            <w:r w:rsidRPr="00F9522B">
              <w:rPr>
                <w:rFonts w:eastAsiaTheme="minorEastAsia"/>
                <w:kern w:val="0"/>
                <w:szCs w:val="21"/>
              </w:rPr>
              <w:t>126.5109100</w:t>
            </w:r>
          </w:p>
        </w:tc>
        <w:tc>
          <w:tcPr>
            <w:tcW w:w="657" w:type="dxa"/>
            <w:vAlign w:val="center"/>
          </w:tcPr>
          <w:p w:rsidR="002A5A5E" w:rsidRPr="00F9522B" w:rsidRDefault="00611CBA">
            <w:pPr>
              <w:spacing w:line="0" w:lineRule="atLeast"/>
              <w:jc w:val="center"/>
              <w:rPr>
                <w:rFonts w:eastAsiaTheme="minorEastAsia"/>
                <w:kern w:val="0"/>
                <w:szCs w:val="21"/>
              </w:rPr>
            </w:pPr>
            <w:r w:rsidRPr="00F9522B">
              <w:rPr>
                <w:rFonts w:eastAsiaTheme="minorEastAsia"/>
                <w:kern w:val="0"/>
                <w:szCs w:val="21"/>
              </w:rPr>
              <w:t>46.045679</w:t>
            </w:r>
          </w:p>
        </w:tc>
        <w:tc>
          <w:tcPr>
            <w:tcW w:w="787" w:type="dxa"/>
            <w:vMerge w:val="restart"/>
            <w:vAlign w:val="center"/>
          </w:tcPr>
          <w:p w:rsidR="002A5A5E" w:rsidRPr="00F9522B" w:rsidRDefault="00611CBA">
            <w:pPr>
              <w:spacing w:line="0" w:lineRule="atLeast"/>
              <w:jc w:val="center"/>
              <w:rPr>
                <w:rFonts w:eastAsiaTheme="minorEastAsia"/>
              </w:rPr>
            </w:pPr>
            <w:r w:rsidRPr="00F9522B">
              <w:rPr>
                <w:rFonts w:eastAsiaTheme="minorEastAsia"/>
                <w:szCs w:val="21"/>
              </w:rPr>
              <w:t>供水人数</w:t>
            </w:r>
            <w:r w:rsidRPr="00F9522B">
              <w:rPr>
                <w:rFonts w:eastAsiaTheme="minorEastAsia"/>
                <w:szCs w:val="21"/>
              </w:rPr>
              <w:t>10700</w:t>
            </w:r>
            <w:r w:rsidRPr="00F9522B">
              <w:rPr>
                <w:rFonts w:eastAsiaTheme="minorEastAsia"/>
                <w:szCs w:val="21"/>
              </w:rPr>
              <w:t>人</w:t>
            </w:r>
          </w:p>
        </w:tc>
        <w:tc>
          <w:tcPr>
            <w:tcW w:w="993" w:type="dxa"/>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供水规模</w:t>
            </w:r>
            <w:r w:rsidRPr="00F9522B">
              <w:rPr>
                <w:rFonts w:eastAsiaTheme="minorEastAsia"/>
                <w:szCs w:val="21"/>
              </w:rPr>
              <w:t>80m³/d</w:t>
            </w:r>
          </w:p>
        </w:tc>
        <w:tc>
          <w:tcPr>
            <w:tcW w:w="567" w:type="dxa"/>
            <w:vMerge/>
            <w:tcBorders>
              <w:right w:val="single" w:sz="2" w:space="0" w:color="auto"/>
            </w:tcBorders>
            <w:vAlign w:val="center"/>
          </w:tcPr>
          <w:p w:rsidR="002A5A5E" w:rsidRPr="00F9522B" w:rsidRDefault="002A5A5E">
            <w:pPr>
              <w:pStyle w:val="aff7"/>
              <w:spacing w:line="0" w:lineRule="atLeast"/>
              <w:contextualSpacing/>
              <w:rPr>
                <w:rFonts w:eastAsiaTheme="minorEastAsia" w:hAnsi="Times New Roman"/>
                <w:snapToGrid w:val="0"/>
                <w:kern w:val="0"/>
              </w:rPr>
            </w:pPr>
          </w:p>
        </w:tc>
        <w:tc>
          <w:tcPr>
            <w:tcW w:w="1592" w:type="dxa"/>
            <w:tcBorders>
              <w:left w:val="single" w:sz="2" w:space="0" w:color="auto"/>
            </w:tcBorders>
            <w:vAlign w:val="center"/>
          </w:tcPr>
          <w:p w:rsidR="002A5A5E" w:rsidRPr="00F9522B" w:rsidRDefault="00611CBA">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东至农田，南至树林，西至农田，北至农田</w:t>
            </w:r>
          </w:p>
        </w:tc>
        <w:tc>
          <w:tcPr>
            <w:tcW w:w="525" w:type="dxa"/>
            <w:vMerge w:val="restart"/>
            <w:tcBorders>
              <w:left w:val="single" w:sz="2" w:space="0" w:color="auto"/>
            </w:tcBorders>
            <w:vAlign w:val="center"/>
          </w:tcPr>
          <w:p w:rsidR="002A5A5E" w:rsidRPr="00F9522B" w:rsidRDefault="003B23A4">
            <w:pPr>
              <w:spacing w:line="0" w:lineRule="atLeast"/>
              <w:contextualSpacing/>
              <w:jc w:val="center"/>
              <w:rPr>
                <w:rFonts w:eastAsiaTheme="minorEastAsia"/>
                <w:snapToGrid w:val="0"/>
                <w:kern w:val="0"/>
                <w:szCs w:val="21"/>
              </w:rPr>
            </w:pPr>
            <w:r w:rsidRPr="00F9522B">
              <w:rPr>
                <w:rFonts w:eastAsiaTheme="minorEastAsia"/>
                <w:snapToGrid w:val="0"/>
                <w:kern w:val="0"/>
                <w:szCs w:val="21"/>
              </w:rPr>
              <w:t>地下水</w:t>
            </w:r>
          </w:p>
        </w:tc>
        <w:tc>
          <w:tcPr>
            <w:tcW w:w="920" w:type="dxa"/>
            <w:tcBorders>
              <w:left w:val="single" w:sz="2" w:space="0" w:color="auto"/>
              <w:right w:val="single" w:sz="2" w:space="0" w:color="auto"/>
            </w:tcBorders>
            <w:vAlign w:val="center"/>
          </w:tcPr>
          <w:p w:rsidR="002A5A5E" w:rsidRPr="00F9522B" w:rsidRDefault="00611CBA">
            <w:pPr>
              <w:spacing w:line="0" w:lineRule="atLeast"/>
              <w:contextualSpacing/>
              <w:jc w:val="center"/>
              <w:rPr>
                <w:rFonts w:eastAsiaTheme="minorEastAsia"/>
                <w:snapToGrid w:val="0"/>
                <w:kern w:val="0"/>
                <w:szCs w:val="21"/>
              </w:rPr>
            </w:pPr>
            <w:r w:rsidRPr="00F9522B">
              <w:rPr>
                <w:rFonts w:eastAsiaTheme="minorEastAsia"/>
                <w:kern w:val="0"/>
                <w:szCs w:val="21"/>
              </w:rPr>
              <w:t>一级保护区（</w:t>
            </w:r>
            <w:r w:rsidRPr="00F9522B">
              <w:rPr>
                <w:rFonts w:eastAsiaTheme="minorEastAsia"/>
                <w:kern w:val="0"/>
                <w:szCs w:val="21"/>
              </w:rPr>
              <w:t>30m</w:t>
            </w:r>
            <w:r w:rsidRPr="00F9522B">
              <w:rPr>
                <w:rFonts w:eastAsiaTheme="minorEastAsia"/>
                <w:kern w:val="0"/>
                <w:szCs w:val="21"/>
              </w:rPr>
              <w:t>）</w:t>
            </w:r>
          </w:p>
        </w:tc>
        <w:tc>
          <w:tcPr>
            <w:tcW w:w="751" w:type="dxa"/>
            <w:vMerge w:val="restart"/>
            <w:tcBorders>
              <w:left w:val="single" w:sz="2" w:space="0" w:color="auto"/>
            </w:tcBorders>
            <w:vAlign w:val="center"/>
          </w:tcPr>
          <w:p w:rsidR="002A5A5E" w:rsidRPr="00F9522B" w:rsidRDefault="008858AF">
            <w:pPr>
              <w:spacing w:line="0" w:lineRule="atLeast"/>
              <w:contextualSpacing/>
              <w:jc w:val="center"/>
              <w:rPr>
                <w:rFonts w:eastAsiaTheme="minorEastAsia"/>
                <w:snapToGrid w:val="0"/>
                <w:kern w:val="0"/>
                <w:szCs w:val="21"/>
              </w:rPr>
            </w:pPr>
            <w:r w:rsidRPr="00F9522B">
              <w:rPr>
                <w:rFonts w:eastAsiaTheme="minorEastAsia"/>
                <w:snapToGrid w:val="0"/>
                <w:kern w:val="0"/>
                <w:szCs w:val="21"/>
              </w:rPr>
              <w:t>《地下水质量标准》（</w:t>
            </w:r>
            <w:r w:rsidRPr="00F9522B">
              <w:rPr>
                <w:rFonts w:eastAsiaTheme="minorEastAsia"/>
                <w:snapToGrid w:val="0"/>
                <w:kern w:val="0"/>
                <w:szCs w:val="21"/>
              </w:rPr>
              <w:t>GB/T14848-2017</w:t>
            </w:r>
            <w:r w:rsidRPr="00F9522B">
              <w:rPr>
                <w:rFonts w:eastAsiaTheme="minorEastAsia"/>
                <w:snapToGrid w:val="0"/>
                <w:kern w:val="0"/>
                <w:szCs w:val="21"/>
              </w:rPr>
              <w:t>）</w:t>
            </w:r>
            <w:r w:rsidRPr="00F9522B">
              <w:rPr>
                <w:rFonts w:eastAsiaTheme="minorEastAsia"/>
                <w:snapToGrid w:val="0"/>
                <w:kern w:val="0"/>
                <w:szCs w:val="21"/>
              </w:rPr>
              <w:t xml:space="preserve">III </w:t>
            </w:r>
            <w:r w:rsidRPr="00F9522B">
              <w:rPr>
                <w:rFonts w:eastAsiaTheme="minorEastAsia"/>
                <w:snapToGrid w:val="0"/>
                <w:kern w:val="0"/>
                <w:szCs w:val="21"/>
              </w:rPr>
              <w:t>类标准</w:t>
            </w:r>
          </w:p>
        </w:tc>
      </w:tr>
      <w:tr w:rsidR="002A5A5E" w:rsidRPr="00F9522B">
        <w:trPr>
          <w:gridAfter w:val="1"/>
          <w:wAfter w:w="15" w:type="dxa"/>
          <w:trHeight w:val="635"/>
          <w:jc w:val="center"/>
        </w:trPr>
        <w:tc>
          <w:tcPr>
            <w:tcW w:w="1477" w:type="dxa"/>
            <w:vAlign w:val="center"/>
          </w:tcPr>
          <w:p w:rsidR="002A5A5E" w:rsidRPr="00F9522B" w:rsidRDefault="00611CBA">
            <w:pPr>
              <w:spacing w:line="0" w:lineRule="atLeast"/>
              <w:jc w:val="center"/>
              <w:rPr>
                <w:rFonts w:eastAsiaTheme="minorEastAsia"/>
                <w:kern w:val="0"/>
                <w:szCs w:val="21"/>
              </w:rPr>
            </w:pPr>
            <w:r w:rsidRPr="00F9522B">
              <w:rPr>
                <w:rFonts w:eastAsiaTheme="minorEastAsia"/>
                <w:kern w:val="0"/>
                <w:szCs w:val="21"/>
              </w:rPr>
              <w:t>沈家街道供水工程</w:t>
            </w:r>
            <w:r w:rsidRPr="00F9522B">
              <w:rPr>
                <w:rFonts w:eastAsiaTheme="minorEastAsia"/>
                <w:kern w:val="0"/>
                <w:szCs w:val="21"/>
              </w:rPr>
              <w:t>2#</w:t>
            </w:r>
            <w:r w:rsidRPr="00F9522B">
              <w:rPr>
                <w:rFonts w:eastAsiaTheme="minorEastAsia"/>
                <w:kern w:val="0"/>
                <w:szCs w:val="21"/>
              </w:rPr>
              <w:t>水井（井深</w:t>
            </w:r>
            <w:r w:rsidRPr="00F9522B">
              <w:rPr>
                <w:rFonts w:eastAsiaTheme="minorEastAsia"/>
                <w:kern w:val="0"/>
                <w:szCs w:val="21"/>
              </w:rPr>
              <w:t>80m</w:t>
            </w:r>
            <w:r w:rsidRPr="00F9522B">
              <w:rPr>
                <w:rFonts w:eastAsiaTheme="minorEastAsia"/>
                <w:kern w:val="0"/>
                <w:szCs w:val="21"/>
              </w:rPr>
              <w:t>）</w:t>
            </w:r>
          </w:p>
        </w:tc>
        <w:tc>
          <w:tcPr>
            <w:tcW w:w="657" w:type="dxa"/>
            <w:vAlign w:val="center"/>
          </w:tcPr>
          <w:p w:rsidR="002A5A5E" w:rsidRPr="00F9522B" w:rsidRDefault="00611CBA">
            <w:pPr>
              <w:spacing w:line="0" w:lineRule="atLeast"/>
              <w:jc w:val="center"/>
              <w:rPr>
                <w:rFonts w:eastAsiaTheme="minorEastAsia"/>
                <w:kern w:val="0"/>
                <w:szCs w:val="21"/>
              </w:rPr>
            </w:pPr>
            <w:r w:rsidRPr="00F9522B">
              <w:rPr>
                <w:rFonts w:eastAsiaTheme="minorEastAsia"/>
                <w:kern w:val="0"/>
                <w:szCs w:val="21"/>
              </w:rPr>
              <w:t>126.5054719</w:t>
            </w:r>
          </w:p>
        </w:tc>
        <w:tc>
          <w:tcPr>
            <w:tcW w:w="657" w:type="dxa"/>
            <w:vAlign w:val="center"/>
          </w:tcPr>
          <w:p w:rsidR="002A5A5E" w:rsidRPr="00F9522B" w:rsidRDefault="00611CBA">
            <w:pPr>
              <w:spacing w:line="0" w:lineRule="atLeast"/>
              <w:jc w:val="center"/>
              <w:rPr>
                <w:rFonts w:eastAsiaTheme="minorEastAsia"/>
                <w:kern w:val="0"/>
                <w:szCs w:val="21"/>
              </w:rPr>
            </w:pPr>
            <w:r w:rsidRPr="00F9522B">
              <w:rPr>
                <w:rFonts w:eastAsiaTheme="minorEastAsia"/>
                <w:kern w:val="0"/>
                <w:szCs w:val="21"/>
              </w:rPr>
              <w:t>46.050749</w:t>
            </w:r>
          </w:p>
        </w:tc>
        <w:tc>
          <w:tcPr>
            <w:tcW w:w="787" w:type="dxa"/>
            <w:vMerge/>
            <w:vAlign w:val="center"/>
          </w:tcPr>
          <w:p w:rsidR="002A5A5E" w:rsidRPr="00F9522B" w:rsidRDefault="002A5A5E">
            <w:pPr>
              <w:spacing w:line="0" w:lineRule="atLeast"/>
              <w:jc w:val="center"/>
              <w:rPr>
                <w:rFonts w:eastAsiaTheme="minorEastAsia"/>
              </w:rPr>
            </w:pPr>
          </w:p>
        </w:tc>
        <w:tc>
          <w:tcPr>
            <w:tcW w:w="993" w:type="dxa"/>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供水规模</w:t>
            </w:r>
            <w:r w:rsidRPr="00F9522B">
              <w:rPr>
                <w:rFonts w:eastAsiaTheme="minorEastAsia"/>
                <w:szCs w:val="21"/>
              </w:rPr>
              <w:t>80m³/d</w:t>
            </w:r>
          </w:p>
        </w:tc>
        <w:tc>
          <w:tcPr>
            <w:tcW w:w="567" w:type="dxa"/>
            <w:vMerge/>
            <w:tcBorders>
              <w:right w:val="single" w:sz="2" w:space="0" w:color="auto"/>
            </w:tcBorders>
            <w:vAlign w:val="center"/>
          </w:tcPr>
          <w:p w:rsidR="002A5A5E" w:rsidRPr="00F9522B" w:rsidRDefault="002A5A5E">
            <w:pPr>
              <w:pStyle w:val="aff7"/>
              <w:spacing w:line="0" w:lineRule="atLeast"/>
              <w:contextualSpacing/>
              <w:rPr>
                <w:rFonts w:eastAsiaTheme="minorEastAsia" w:hAnsi="Times New Roman"/>
                <w:snapToGrid w:val="0"/>
                <w:kern w:val="0"/>
              </w:rPr>
            </w:pPr>
          </w:p>
        </w:tc>
        <w:tc>
          <w:tcPr>
            <w:tcW w:w="1592" w:type="dxa"/>
            <w:tcBorders>
              <w:left w:val="single" w:sz="2" w:space="0" w:color="auto"/>
            </w:tcBorders>
            <w:vAlign w:val="center"/>
          </w:tcPr>
          <w:p w:rsidR="002A5A5E" w:rsidRPr="00F9522B" w:rsidRDefault="00611CBA">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东至空地，南至空地，西至空地，北至空地</w:t>
            </w:r>
          </w:p>
        </w:tc>
        <w:tc>
          <w:tcPr>
            <w:tcW w:w="525" w:type="dxa"/>
            <w:vMerge/>
            <w:tcBorders>
              <w:left w:val="single" w:sz="2" w:space="0" w:color="auto"/>
            </w:tcBorders>
            <w:vAlign w:val="center"/>
          </w:tcPr>
          <w:p w:rsidR="002A5A5E" w:rsidRPr="00F9522B" w:rsidRDefault="002A5A5E">
            <w:pPr>
              <w:spacing w:line="0" w:lineRule="atLeast"/>
              <w:contextualSpacing/>
              <w:jc w:val="center"/>
              <w:rPr>
                <w:rFonts w:eastAsiaTheme="minorEastAsia"/>
                <w:snapToGrid w:val="0"/>
                <w:kern w:val="0"/>
                <w:szCs w:val="21"/>
              </w:rPr>
            </w:pPr>
          </w:p>
        </w:tc>
        <w:tc>
          <w:tcPr>
            <w:tcW w:w="920" w:type="dxa"/>
            <w:tcBorders>
              <w:left w:val="single" w:sz="2" w:space="0" w:color="auto"/>
              <w:right w:val="single" w:sz="2" w:space="0" w:color="auto"/>
            </w:tcBorders>
            <w:vAlign w:val="center"/>
          </w:tcPr>
          <w:p w:rsidR="002A5A5E" w:rsidRPr="00F9522B" w:rsidRDefault="00611CBA">
            <w:pPr>
              <w:spacing w:line="0" w:lineRule="atLeast"/>
              <w:contextualSpacing/>
              <w:jc w:val="center"/>
              <w:rPr>
                <w:rFonts w:eastAsiaTheme="minorEastAsia"/>
                <w:snapToGrid w:val="0"/>
                <w:kern w:val="0"/>
                <w:szCs w:val="21"/>
              </w:rPr>
            </w:pPr>
            <w:r w:rsidRPr="00F9522B">
              <w:rPr>
                <w:rFonts w:eastAsiaTheme="minorEastAsia"/>
                <w:kern w:val="0"/>
                <w:szCs w:val="21"/>
              </w:rPr>
              <w:t>一级保护区（</w:t>
            </w:r>
            <w:r w:rsidRPr="00F9522B">
              <w:rPr>
                <w:rFonts w:eastAsiaTheme="minorEastAsia"/>
                <w:kern w:val="0"/>
                <w:szCs w:val="21"/>
              </w:rPr>
              <w:t>30m</w:t>
            </w:r>
            <w:r w:rsidRPr="00F9522B">
              <w:rPr>
                <w:rFonts w:eastAsiaTheme="minorEastAsia"/>
                <w:kern w:val="0"/>
                <w:szCs w:val="21"/>
              </w:rPr>
              <w:t>）</w:t>
            </w:r>
          </w:p>
        </w:tc>
        <w:tc>
          <w:tcPr>
            <w:tcW w:w="751" w:type="dxa"/>
            <w:vMerge/>
            <w:tcBorders>
              <w:left w:val="single" w:sz="2" w:space="0" w:color="auto"/>
            </w:tcBorders>
            <w:vAlign w:val="center"/>
          </w:tcPr>
          <w:p w:rsidR="002A5A5E" w:rsidRPr="00F9522B" w:rsidRDefault="002A5A5E">
            <w:pPr>
              <w:spacing w:line="0" w:lineRule="atLeast"/>
              <w:contextualSpacing/>
              <w:jc w:val="center"/>
              <w:rPr>
                <w:rFonts w:eastAsiaTheme="minorEastAsia"/>
                <w:snapToGrid w:val="0"/>
                <w:kern w:val="0"/>
                <w:szCs w:val="21"/>
              </w:rPr>
            </w:pPr>
          </w:p>
        </w:tc>
      </w:tr>
      <w:tr w:rsidR="002A5A5E" w:rsidRPr="00F9522B">
        <w:trPr>
          <w:gridAfter w:val="1"/>
          <w:wAfter w:w="15" w:type="dxa"/>
          <w:trHeight w:val="635"/>
          <w:jc w:val="center"/>
        </w:trPr>
        <w:tc>
          <w:tcPr>
            <w:tcW w:w="1477" w:type="dxa"/>
            <w:vAlign w:val="center"/>
          </w:tcPr>
          <w:p w:rsidR="002A5A5E" w:rsidRPr="00F9522B" w:rsidRDefault="00611CBA" w:rsidP="008858AF">
            <w:pPr>
              <w:spacing w:line="0" w:lineRule="atLeast"/>
              <w:jc w:val="center"/>
              <w:rPr>
                <w:rFonts w:eastAsiaTheme="minorEastAsia"/>
                <w:kern w:val="0"/>
                <w:szCs w:val="21"/>
              </w:rPr>
            </w:pPr>
            <w:r w:rsidRPr="00F9522B">
              <w:rPr>
                <w:rFonts w:eastAsiaTheme="minorEastAsia"/>
                <w:kern w:val="0"/>
                <w:szCs w:val="21"/>
              </w:rPr>
              <w:t>二八镇长山村供水工程（井深</w:t>
            </w:r>
            <w:r w:rsidR="008858AF" w:rsidRPr="00F9522B">
              <w:rPr>
                <w:rFonts w:eastAsiaTheme="minorEastAsia"/>
                <w:kern w:val="0"/>
                <w:szCs w:val="21"/>
              </w:rPr>
              <w:t>90</w:t>
            </w:r>
            <w:r w:rsidRPr="00F9522B">
              <w:rPr>
                <w:rFonts w:eastAsiaTheme="minorEastAsia"/>
                <w:kern w:val="0"/>
                <w:szCs w:val="21"/>
              </w:rPr>
              <w:t>m</w:t>
            </w:r>
            <w:r w:rsidRPr="00F9522B">
              <w:rPr>
                <w:rFonts w:eastAsiaTheme="minorEastAsia"/>
                <w:kern w:val="0"/>
                <w:szCs w:val="21"/>
              </w:rPr>
              <w:t>）</w:t>
            </w:r>
          </w:p>
        </w:tc>
        <w:tc>
          <w:tcPr>
            <w:tcW w:w="657" w:type="dxa"/>
            <w:vAlign w:val="center"/>
          </w:tcPr>
          <w:p w:rsidR="002A5A5E" w:rsidRPr="00F9522B" w:rsidRDefault="00611CBA">
            <w:pPr>
              <w:spacing w:line="0" w:lineRule="atLeast"/>
              <w:jc w:val="center"/>
              <w:rPr>
                <w:rFonts w:eastAsiaTheme="minorEastAsia"/>
                <w:kern w:val="0"/>
                <w:szCs w:val="21"/>
              </w:rPr>
            </w:pPr>
            <w:r w:rsidRPr="00F9522B">
              <w:rPr>
                <w:rFonts w:eastAsiaTheme="minorEastAsia"/>
                <w:kern w:val="0"/>
                <w:szCs w:val="21"/>
              </w:rPr>
              <w:t>127.0366510</w:t>
            </w:r>
          </w:p>
        </w:tc>
        <w:tc>
          <w:tcPr>
            <w:tcW w:w="657" w:type="dxa"/>
            <w:vAlign w:val="center"/>
          </w:tcPr>
          <w:p w:rsidR="002A5A5E" w:rsidRPr="00F9522B" w:rsidRDefault="00611CBA">
            <w:pPr>
              <w:spacing w:line="0" w:lineRule="atLeast"/>
              <w:jc w:val="center"/>
              <w:rPr>
                <w:rFonts w:eastAsiaTheme="minorEastAsia"/>
                <w:kern w:val="0"/>
                <w:szCs w:val="21"/>
              </w:rPr>
            </w:pPr>
            <w:r w:rsidRPr="00F9522B">
              <w:rPr>
                <w:rFonts w:eastAsiaTheme="minorEastAsia"/>
                <w:kern w:val="0"/>
                <w:szCs w:val="21"/>
              </w:rPr>
              <w:t>46.153173</w:t>
            </w:r>
          </w:p>
        </w:tc>
        <w:tc>
          <w:tcPr>
            <w:tcW w:w="787" w:type="dxa"/>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供水人数</w:t>
            </w:r>
            <w:r w:rsidRPr="00F9522B">
              <w:rPr>
                <w:rFonts w:eastAsiaTheme="minorEastAsia"/>
                <w:szCs w:val="21"/>
              </w:rPr>
              <w:t>3725</w:t>
            </w:r>
            <w:r w:rsidRPr="00F9522B">
              <w:rPr>
                <w:rFonts w:eastAsiaTheme="minorEastAsia"/>
                <w:szCs w:val="21"/>
              </w:rPr>
              <w:t>人</w:t>
            </w:r>
          </w:p>
        </w:tc>
        <w:tc>
          <w:tcPr>
            <w:tcW w:w="993" w:type="dxa"/>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供水规模</w:t>
            </w:r>
            <w:r w:rsidRPr="00F9522B">
              <w:rPr>
                <w:rFonts w:eastAsiaTheme="minorEastAsia"/>
                <w:szCs w:val="21"/>
              </w:rPr>
              <w:t>89m³/d</w:t>
            </w:r>
          </w:p>
        </w:tc>
        <w:tc>
          <w:tcPr>
            <w:tcW w:w="567" w:type="dxa"/>
            <w:vMerge/>
            <w:tcBorders>
              <w:right w:val="single" w:sz="2" w:space="0" w:color="auto"/>
            </w:tcBorders>
            <w:vAlign w:val="center"/>
          </w:tcPr>
          <w:p w:rsidR="002A5A5E" w:rsidRPr="00F9522B" w:rsidRDefault="002A5A5E">
            <w:pPr>
              <w:pStyle w:val="aff7"/>
              <w:spacing w:line="0" w:lineRule="atLeast"/>
              <w:contextualSpacing/>
              <w:rPr>
                <w:rFonts w:eastAsiaTheme="minorEastAsia" w:hAnsi="Times New Roman"/>
                <w:snapToGrid w:val="0"/>
                <w:kern w:val="0"/>
              </w:rPr>
            </w:pPr>
          </w:p>
        </w:tc>
        <w:tc>
          <w:tcPr>
            <w:tcW w:w="1592" w:type="dxa"/>
            <w:tcBorders>
              <w:left w:val="single" w:sz="2" w:space="0" w:color="auto"/>
            </w:tcBorders>
            <w:vAlign w:val="center"/>
          </w:tcPr>
          <w:p w:rsidR="002A5A5E" w:rsidRPr="00F9522B" w:rsidRDefault="00611CBA">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东至空地，南至民房，西至空地，北至空地</w:t>
            </w:r>
          </w:p>
        </w:tc>
        <w:tc>
          <w:tcPr>
            <w:tcW w:w="525" w:type="dxa"/>
            <w:vMerge/>
            <w:tcBorders>
              <w:left w:val="single" w:sz="2" w:space="0" w:color="auto"/>
            </w:tcBorders>
            <w:vAlign w:val="center"/>
          </w:tcPr>
          <w:p w:rsidR="002A5A5E" w:rsidRPr="00F9522B" w:rsidRDefault="002A5A5E">
            <w:pPr>
              <w:spacing w:line="0" w:lineRule="atLeast"/>
              <w:contextualSpacing/>
              <w:jc w:val="center"/>
              <w:rPr>
                <w:rFonts w:eastAsiaTheme="minorEastAsia"/>
                <w:snapToGrid w:val="0"/>
                <w:kern w:val="0"/>
                <w:szCs w:val="21"/>
              </w:rPr>
            </w:pPr>
          </w:p>
        </w:tc>
        <w:tc>
          <w:tcPr>
            <w:tcW w:w="920" w:type="dxa"/>
            <w:tcBorders>
              <w:left w:val="single" w:sz="2" w:space="0" w:color="auto"/>
              <w:right w:val="single" w:sz="2" w:space="0" w:color="auto"/>
            </w:tcBorders>
            <w:vAlign w:val="center"/>
          </w:tcPr>
          <w:p w:rsidR="002A5A5E" w:rsidRPr="00F9522B" w:rsidRDefault="00611CBA">
            <w:pPr>
              <w:spacing w:line="0" w:lineRule="atLeast"/>
              <w:contextualSpacing/>
              <w:jc w:val="center"/>
              <w:rPr>
                <w:rFonts w:eastAsiaTheme="minorEastAsia"/>
                <w:snapToGrid w:val="0"/>
                <w:kern w:val="0"/>
                <w:szCs w:val="21"/>
              </w:rPr>
            </w:pPr>
            <w:r w:rsidRPr="00F9522B">
              <w:rPr>
                <w:rFonts w:eastAsiaTheme="minorEastAsia"/>
                <w:kern w:val="0"/>
                <w:szCs w:val="21"/>
              </w:rPr>
              <w:t>一级保护区（</w:t>
            </w:r>
            <w:r w:rsidRPr="00F9522B">
              <w:rPr>
                <w:rFonts w:eastAsiaTheme="minorEastAsia"/>
                <w:kern w:val="0"/>
                <w:szCs w:val="21"/>
              </w:rPr>
              <w:t>30m</w:t>
            </w:r>
            <w:r w:rsidRPr="00F9522B">
              <w:rPr>
                <w:rFonts w:eastAsiaTheme="minorEastAsia"/>
                <w:kern w:val="0"/>
                <w:szCs w:val="21"/>
              </w:rPr>
              <w:t>）</w:t>
            </w:r>
          </w:p>
        </w:tc>
        <w:tc>
          <w:tcPr>
            <w:tcW w:w="751" w:type="dxa"/>
            <w:vMerge/>
            <w:tcBorders>
              <w:left w:val="single" w:sz="2" w:space="0" w:color="auto"/>
            </w:tcBorders>
            <w:vAlign w:val="center"/>
          </w:tcPr>
          <w:p w:rsidR="002A5A5E" w:rsidRPr="00F9522B" w:rsidRDefault="002A5A5E">
            <w:pPr>
              <w:spacing w:line="0" w:lineRule="atLeast"/>
              <w:contextualSpacing/>
              <w:jc w:val="center"/>
              <w:rPr>
                <w:rFonts w:eastAsiaTheme="minorEastAsia"/>
                <w:snapToGrid w:val="0"/>
                <w:kern w:val="0"/>
                <w:szCs w:val="21"/>
              </w:rPr>
            </w:pPr>
          </w:p>
        </w:tc>
      </w:tr>
      <w:tr w:rsidR="002A5A5E" w:rsidRPr="00F9522B">
        <w:trPr>
          <w:gridAfter w:val="1"/>
          <w:wAfter w:w="15" w:type="dxa"/>
          <w:trHeight w:val="635"/>
          <w:jc w:val="center"/>
        </w:trPr>
        <w:tc>
          <w:tcPr>
            <w:tcW w:w="1477" w:type="dxa"/>
            <w:vAlign w:val="center"/>
          </w:tcPr>
          <w:p w:rsidR="002A5A5E" w:rsidRPr="00F9522B" w:rsidRDefault="00611CBA">
            <w:pPr>
              <w:spacing w:line="0" w:lineRule="atLeast"/>
              <w:jc w:val="center"/>
              <w:rPr>
                <w:rFonts w:eastAsiaTheme="minorEastAsia"/>
                <w:kern w:val="0"/>
                <w:szCs w:val="21"/>
              </w:rPr>
            </w:pPr>
            <w:r w:rsidRPr="00F9522B">
              <w:rPr>
                <w:rFonts w:eastAsiaTheme="minorEastAsia"/>
                <w:kern w:val="0"/>
                <w:szCs w:val="21"/>
              </w:rPr>
              <w:t>方台镇高堡村供水工程水井（井深</w:t>
            </w:r>
            <w:r w:rsidRPr="00F9522B">
              <w:rPr>
                <w:rFonts w:eastAsiaTheme="minorEastAsia"/>
                <w:kern w:val="0"/>
                <w:szCs w:val="21"/>
              </w:rPr>
              <w:t>75m</w:t>
            </w:r>
            <w:r w:rsidRPr="00F9522B">
              <w:rPr>
                <w:rFonts w:eastAsiaTheme="minorEastAsia"/>
                <w:kern w:val="0"/>
                <w:szCs w:val="21"/>
              </w:rPr>
              <w:t>）</w:t>
            </w:r>
          </w:p>
        </w:tc>
        <w:tc>
          <w:tcPr>
            <w:tcW w:w="657" w:type="dxa"/>
            <w:vAlign w:val="center"/>
          </w:tcPr>
          <w:p w:rsidR="002A5A5E" w:rsidRPr="00F9522B" w:rsidRDefault="00611CBA">
            <w:pPr>
              <w:spacing w:line="0" w:lineRule="atLeast"/>
              <w:jc w:val="center"/>
              <w:rPr>
                <w:rFonts w:eastAsiaTheme="minorEastAsia"/>
                <w:kern w:val="0"/>
                <w:szCs w:val="21"/>
              </w:rPr>
            </w:pPr>
            <w:r w:rsidRPr="00F9522B">
              <w:rPr>
                <w:rFonts w:eastAsiaTheme="minorEastAsia"/>
                <w:kern w:val="0"/>
                <w:szCs w:val="21"/>
              </w:rPr>
              <w:t>126.5202719</w:t>
            </w:r>
          </w:p>
        </w:tc>
        <w:tc>
          <w:tcPr>
            <w:tcW w:w="657" w:type="dxa"/>
            <w:vAlign w:val="center"/>
          </w:tcPr>
          <w:p w:rsidR="002A5A5E" w:rsidRPr="00F9522B" w:rsidRDefault="00611CBA">
            <w:pPr>
              <w:spacing w:line="0" w:lineRule="atLeast"/>
              <w:jc w:val="center"/>
              <w:rPr>
                <w:rFonts w:eastAsiaTheme="minorEastAsia"/>
                <w:kern w:val="0"/>
                <w:szCs w:val="21"/>
              </w:rPr>
            </w:pPr>
            <w:r w:rsidRPr="00F9522B">
              <w:rPr>
                <w:rFonts w:eastAsiaTheme="minorEastAsia"/>
                <w:kern w:val="0"/>
                <w:szCs w:val="21"/>
              </w:rPr>
              <w:t>46.064696</w:t>
            </w:r>
          </w:p>
        </w:tc>
        <w:tc>
          <w:tcPr>
            <w:tcW w:w="787" w:type="dxa"/>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供水人数</w:t>
            </w:r>
            <w:r w:rsidRPr="00F9522B">
              <w:rPr>
                <w:rFonts w:eastAsiaTheme="minorEastAsia"/>
                <w:szCs w:val="21"/>
              </w:rPr>
              <w:t>2613</w:t>
            </w:r>
            <w:r w:rsidRPr="00F9522B">
              <w:rPr>
                <w:rFonts w:eastAsiaTheme="minorEastAsia"/>
                <w:szCs w:val="21"/>
              </w:rPr>
              <w:t>人</w:t>
            </w:r>
          </w:p>
        </w:tc>
        <w:tc>
          <w:tcPr>
            <w:tcW w:w="993" w:type="dxa"/>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供水规模</w:t>
            </w:r>
            <w:r w:rsidRPr="00F9522B">
              <w:rPr>
                <w:rFonts w:eastAsiaTheme="minorEastAsia"/>
                <w:szCs w:val="21"/>
              </w:rPr>
              <w:t>63m³/d</w:t>
            </w:r>
          </w:p>
        </w:tc>
        <w:tc>
          <w:tcPr>
            <w:tcW w:w="567" w:type="dxa"/>
            <w:vMerge/>
            <w:tcBorders>
              <w:right w:val="single" w:sz="2" w:space="0" w:color="auto"/>
            </w:tcBorders>
            <w:vAlign w:val="center"/>
          </w:tcPr>
          <w:p w:rsidR="002A5A5E" w:rsidRPr="00F9522B" w:rsidRDefault="002A5A5E">
            <w:pPr>
              <w:pStyle w:val="aff7"/>
              <w:spacing w:line="0" w:lineRule="atLeast"/>
              <w:contextualSpacing/>
              <w:rPr>
                <w:rFonts w:eastAsiaTheme="minorEastAsia" w:hAnsi="Times New Roman"/>
                <w:snapToGrid w:val="0"/>
                <w:kern w:val="0"/>
              </w:rPr>
            </w:pPr>
          </w:p>
        </w:tc>
        <w:tc>
          <w:tcPr>
            <w:tcW w:w="1592" w:type="dxa"/>
            <w:tcBorders>
              <w:left w:val="single" w:sz="2" w:space="0" w:color="auto"/>
            </w:tcBorders>
            <w:vAlign w:val="center"/>
          </w:tcPr>
          <w:p w:rsidR="002A5A5E" w:rsidRPr="00F9522B" w:rsidRDefault="00611CBA">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东至空地，南至空地，西至空地，北至空地</w:t>
            </w:r>
          </w:p>
        </w:tc>
        <w:tc>
          <w:tcPr>
            <w:tcW w:w="525" w:type="dxa"/>
            <w:vMerge/>
            <w:tcBorders>
              <w:left w:val="single" w:sz="2" w:space="0" w:color="auto"/>
            </w:tcBorders>
            <w:vAlign w:val="center"/>
          </w:tcPr>
          <w:p w:rsidR="002A5A5E" w:rsidRPr="00F9522B" w:rsidRDefault="002A5A5E">
            <w:pPr>
              <w:spacing w:line="0" w:lineRule="atLeast"/>
              <w:contextualSpacing/>
              <w:jc w:val="center"/>
              <w:rPr>
                <w:rFonts w:eastAsiaTheme="minorEastAsia"/>
                <w:snapToGrid w:val="0"/>
                <w:kern w:val="0"/>
                <w:szCs w:val="21"/>
              </w:rPr>
            </w:pPr>
          </w:p>
        </w:tc>
        <w:tc>
          <w:tcPr>
            <w:tcW w:w="920" w:type="dxa"/>
            <w:tcBorders>
              <w:left w:val="single" w:sz="2" w:space="0" w:color="auto"/>
              <w:right w:val="single" w:sz="2" w:space="0" w:color="auto"/>
            </w:tcBorders>
            <w:vAlign w:val="center"/>
          </w:tcPr>
          <w:p w:rsidR="002A5A5E" w:rsidRPr="00F9522B" w:rsidRDefault="00611CBA">
            <w:pPr>
              <w:spacing w:line="0" w:lineRule="atLeast"/>
              <w:contextualSpacing/>
              <w:jc w:val="center"/>
              <w:rPr>
                <w:rFonts w:eastAsiaTheme="minorEastAsia"/>
                <w:snapToGrid w:val="0"/>
                <w:kern w:val="0"/>
                <w:szCs w:val="21"/>
              </w:rPr>
            </w:pPr>
            <w:r w:rsidRPr="00F9522B">
              <w:rPr>
                <w:rFonts w:eastAsiaTheme="minorEastAsia"/>
                <w:kern w:val="0"/>
                <w:szCs w:val="21"/>
              </w:rPr>
              <w:t>一级保护区（</w:t>
            </w:r>
            <w:r w:rsidRPr="00F9522B">
              <w:rPr>
                <w:rFonts w:eastAsiaTheme="minorEastAsia"/>
                <w:kern w:val="0"/>
                <w:szCs w:val="21"/>
              </w:rPr>
              <w:t>30m</w:t>
            </w:r>
            <w:r w:rsidRPr="00F9522B">
              <w:rPr>
                <w:rFonts w:eastAsiaTheme="minorEastAsia"/>
                <w:kern w:val="0"/>
                <w:szCs w:val="21"/>
              </w:rPr>
              <w:t>）</w:t>
            </w:r>
          </w:p>
        </w:tc>
        <w:tc>
          <w:tcPr>
            <w:tcW w:w="751" w:type="dxa"/>
            <w:vMerge/>
            <w:tcBorders>
              <w:left w:val="single" w:sz="2" w:space="0" w:color="auto"/>
            </w:tcBorders>
            <w:vAlign w:val="center"/>
          </w:tcPr>
          <w:p w:rsidR="002A5A5E" w:rsidRPr="00F9522B" w:rsidRDefault="002A5A5E">
            <w:pPr>
              <w:spacing w:line="0" w:lineRule="atLeast"/>
              <w:contextualSpacing/>
              <w:jc w:val="center"/>
              <w:rPr>
                <w:rFonts w:eastAsiaTheme="minorEastAsia"/>
                <w:snapToGrid w:val="0"/>
                <w:kern w:val="0"/>
                <w:szCs w:val="21"/>
              </w:rPr>
            </w:pPr>
          </w:p>
        </w:tc>
      </w:tr>
      <w:tr w:rsidR="002A5A5E" w:rsidRPr="00F9522B">
        <w:trPr>
          <w:gridAfter w:val="1"/>
          <w:wAfter w:w="15" w:type="dxa"/>
          <w:trHeight w:val="635"/>
          <w:jc w:val="center"/>
        </w:trPr>
        <w:tc>
          <w:tcPr>
            <w:tcW w:w="1477" w:type="dxa"/>
            <w:vAlign w:val="center"/>
          </w:tcPr>
          <w:p w:rsidR="002A5A5E" w:rsidRPr="00F9522B" w:rsidRDefault="008858AF">
            <w:pPr>
              <w:spacing w:line="0" w:lineRule="atLeast"/>
              <w:jc w:val="center"/>
              <w:rPr>
                <w:rFonts w:eastAsiaTheme="minorEastAsia"/>
                <w:kern w:val="0"/>
                <w:szCs w:val="21"/>
              </w:rPr>
            </w:pPr>
            <w:r w:rsidRPr="00F9522B">
              <w:rPr>
                <w:rFonts w:eastAsiaTheme="minorEastAsia"/>
                <w:szCs w:val="21"/>
              </w:rPr>
              <w:t>方台镇东沈村供水工程</w:t>
            </w:r>
            <w:r w:rsidRPr="00F9522B">
              <w:rPr>
                <w:rFonts w:eastAsiaTheme="minorEastAsia"/>
              </w:rPr>
              <w:t>（井深</w:t>
            </w:r>
            <w:r w:rsidRPr="00F9522B">
              <w:rPr>
                <w:rFonts w:eastAsiaTheme="minorEastAsia"/>
              </w:rPr>
              <w:t>75m</w:t>
            </w:r>
            <w:r w:rsidRPr="00F9522B">
              <w:rPr>
                <w:rFonts w:eastAsiaTheme="minorEastAsia"/>
              </w:rPr>
              <w:t>）</w:t>
            </w:r>
          </w:p>
        </w:tc>
        <w:tc>
          <w:tcPr>
            <w:tcW w:w="657" w:type="dxa"/>
            <w:vAlign w:val="center"/>
          </w:tcPr>
          <w:p w:rsidR="002A5A5E" w:rsidRPr="00F9522B" w:rsidRDefault="008858AF">
            <w:pPr>
              <w:spacing w:line="0" w:lineRule="atLeast"/>
              <w:jc w:val="center"/>
              <w:rPr>
                <w:rFonts w:eastAsiaTheme="minorEastAsia"/>
                <w:kern w:val="0"/>
                <w:szCs w:val="21"/>
              </w:rPr>
            </w:pPr>
            <w:r w:rsidRPr="00F9522B">
              <w:rPr>
                <w:rFonts w:eastAsiaTheme="minorEastAsia"/>
                <w:szCs w:val="21"/>
              </w:rPr>
              <w:t>126.8580830</w:t>
            </w:r>
          </w:p>
        </w:tc>
        <w:tc>
          <w:tcPr>
            <w:tcW w:w="657" w:type="dxa"/>
            <w:vAlign w:val="center"/>
          </w:tcPr>
          <w:p w:rsidR="002A5A5E" w:rsidRPr="00F9522B" w:rsidRDefault="008858AF">
            <w:pPr>
              <w:spacing w:line="0" w:lineRule="atLeast"/>
              <w:jc w:val="center"/>
              <w:rPr>
                <w:rFonts w:eastAsiaTheme="minorEastAsia"/>
                <w:kern w:val="0"/>
                <w:szCs w:val="21"/>
              </w:rPr>
            </w:pPr>
            <w:r w:rsidRPr="00F9522B">
              <w:rPr>
                <w:rFonts w:eastAsiaTheme="minorEastAsia"/>
                <w:szCs w:val="21"/>
              </w:rPr>
              <w:t>46.123584</w:t>
            </w:r>
          </w:p>
        </w:tc>
        <w:tc>
          <w:tcPr>
            <w:tcW w:w="787" w:type="dxa"/>
            <w:vAlign w:val="center"/>
          </w:tcPr>
          <w:p w:rsidR="002A5A5E" w:rsidRPr="00F9522B" w:rsidRDefault="00611CBA" w:rsidP="008858AF">
            <w:pPr>
              <w:spacing w:line="0" w:lineRule="atLeast"/>
              <w:jc w:val="center"/>
              <w:rPr>
                <w:rFonts w:eastAsiaTheme="minorEastAsia"/>
                <w:szCs w:val="21"/>
              </w:rPr>
            </w:pPr>
            <w:r w:rsidRPr="00F9522B">
              <w:rPr>
                <w:rFonts w:eastAsiaTheme="minorEastAsia"/>
                <w:szCs w:val="21"/>
              </w:rPr>
              <w:t>供水人数</w:t>
            </w:r>
            <w:r w:rsidR="008858AF" w:rsidRPr="00F9522B">
              <w:rPr>
                <w:rFonts w:eastAsiaTheme="minorEastAsia"/>
                <w:szCs w:val="21"/>
              </w:rPr>
              <w:t>2854</w:t>
            </w:r>
            <w:r w:rsidRPr="00F9522B">
              <w:rPr>
                <w:rFonts w:eastAsiaTheme="minorEastAsia"/>
                <w:szCs w:val="21"/>
              </w:rPr>
              <w:t>人</w:t>
            </w:r>
          </w:p>
        </w:tc>
        <w:tc>
          <w:tcPr>
            <w:tcW w:w="993" w:type="dxa"/>
            <w:vAlign w:val="center"/>
          </w:tcPr>
          <w:p w:rsidR="002A5A5E" w:rsidRPr="00F9522B" w:rsidRDefault="00611CBA" w:rsidP="008858AF">
            <w:pPr>
              <w:spacing w:line="0" w:lineRule="atLeast"/>
              <w:jc w:val="center"/>
              <w:rPr>
                <w:rFonts w:eastAsiaTheme="minorEastAsia"/>
                <w:szCs w:val="21"/>
              </w:rPr>
            </w:pPr>
            <w:r w:rsidRPr="00F9522B">
              <w:rPr>
                <w:rFonts w:eastAsiaTheme="minorEastAsia"/>
                <w:szCs w:val="21"/>
              </w:rPr>
              <w:t>供水规模</w:t>
            </w:r>
            <w:r w:rsidR="008858AF" w:rsidRPr="00F9522B">
              <w:rPr>
                <w:rFonts w:eastAsiaTheme="minorEastAsia"/>
                <w:szCs w:val="21"/>
              </w:rPr>
              <w:t>68</w:t>
            </w:r>
            <w:r w:rsidRPr="00F9522B">
              <w:rPr>
                <w:rFonts w:eastAsiaTheme="minorEastAsia"/>
                <w:szCs w:val="21"/>
              </w:rPr>
              <w:t>m³/d</w:t>
            </w:r>
          </w:p>
        </w:tc>
        <w:tc>
          <w:tcPr>
            <w:tcW w:w="567" w:type="dxa"/>
            <w:vMerge/>
            <w:tcBorders>
              <w:right w:val="single" w:sz="2" w:space="0" w:color="auto"/>
            </w:tcBorders>
            <w:vAlign w:val="center"/>
          </w:tcPr>
          <w:p w:rsidR="002A5A5E" w:rsidRPr="00F9522B" w:rsidRDefault="002A5A5E">
            <w:pPr>
              <w:pStyle w:val="aff7"/>
              <w:spacing w:line="0" w:lineRule="atLeast"/>
              <w:contextualSpacing/>
              <w:rPr>
                <w:rFonts w:eastAsiaTheme="minorEastAsia" w:hAnsi="Times New Roman"/>
                <w:snapToGrid w:val="0"/>
                <w:kern w:val="0"/>
              </w:rPr>
            </w:pPr>
          </w:p>
        </w:tc>
        <w:tc>
          <w:tcPr>
            <w:tcW w:w="1592" w:type="dxa"/>
            <w:tcBorders>
              <w:left w:val="single" w:sz="2" w:space="0" w:color="auto"/>
            </w:tcBorders>
            <w:vAlign w:val="center"/>
          </w:tcPr>
          <w:p w:rsidR="002A5A5E" w:rsidRPr="00F9522B" w:rsidRDefault="00611CBA">
            <w:pPr>
              <w:spacing w:line="0" w:lineRule="atLeast"/>
              <w:contextualSpacing/>
              <w:jc w:val="center"/>
              <w:rPr>
                <w:rFonts w:eastAsiaTheme="minorEastAsia"/>
                <w:snapToGrid w:val="0"/>
                <w:kern w:val="0"/>
                <w:szCs w:val="21"/>
              </w:rPr>
            </w:pPr>
            <w:r w:rsidRPr="00F9522B">
              <w:rPr>
                <w:rFonts w:eastAsiaTheme="minorEastAsia"/>
                <w:snapToGrid w:val="0"/>
                <w:kern w:val="0"/>
                <w:szCs w:val="21"/>
              </w:rPr>
              <w:t>东至农田，南至林地，西至林地，北至农田</w:t>
            </w:r>
          </w:p>
        </w:tc>
        <w:tc>
          <w:tcPr>
            <w:tcW w:w="525" w:type="dxa"/>
            <w:vMerge/>
            <w:tcBorders>
              <w:left w:val="single" w:sz="2" w:space="0" w:color="auto"/>
            </w:tcBorders>
            <w:vAlign w:val="center"/>
          </w:tcPr>
          <w:p w:rsidR="002A5A5E" w:rsidRPr="00F9522B" w:rsidRDefault="002A5A5E">
            <w:pPr>
              <w:spacing w:line="0" w:lineRule="atLeast"/>
              <w:contextualSpacing/>
              <w:jc w:val="center"/>
              <w:rPr>
                <w:rFonts w:eastAsiaTheme="minorEastAsia"/>
                <w:snapToGrid w:val="0"/>
                <w:kern w:val="0"/>
                <w:szCs w:val="21"/>
              </w:rPr>
            </w:pPr>
          </w:p>
        </w:tc>
        <w:tc>
          <w:tcPr>
            <w:tcW w:w="920" w:type="dxa"/>
            <w:tcBorders>
              <w:left w:val="single" w:sz="2" w:space="0" w:color="auto"/>
              <w:right w:val="single" w:sz="2" w:space="0" w:color="auto"/>
            </w:tcBorders>
            <w:vAlign w:val="center"/>
          </w:tcPr>
          <w:p w:rsidR="002A5A5E" w:rsidRPr="00F9522B" w:rsidRDefault="00611CBA">
            <w:pPr>
              <w:spacing w:line="0" w:lineRule="atLeast"/>
              <w:contextualSpacing/>
              <w:jc w:val="center"/>
              <w:rPr>
                <w:rFonts w:eastAsiaTheme="minorEastAsia"/>
                <w:snapToGrid w:val="0"/>
                <w:kern w:val="0"/>
                <w:szCs w:val="21"/>
              </w:rPr>
            </w:pPr>
            <w:r w:rsidRPr="00F9522B">
              <w:rPr>
                <w:rFonts w:eastAsiaTheme="minorEastAsia"/>
                <w:kern w:val="0"/>
                <w:szCs w:val="21"/>
              </w:rPr>
              <w:t>一级保护区（</w:t>
            </w:r>
            <w:r w:rsidRPr="00F9522B">
              <w:rPr>
                <w:rFonts w:eastAsiaTheme="minorEastAsia"/>
                <w:kern w:val="0"/>
                <w:szCs w:val="21"/>
              </w:rPr>
              <w:t>30m</w:t>
            </w:r>
            <w:r w:rsidRPr="00F9522B">
              <w:rPr>
                <w:rFonts w:eastAsiaTheme="minorEastAsia"/>
                <w:kern w:val="0"/>
                <w:szCs w:val="21"/>
              </w:rPr>
              <w:t>）</w:t>
            </w:r>
          </w:p>
        </w:tc>
        <w:tc>
          <w:tcPr>
            <w:tcW w:w="751" w:type="dxa"/>
            <w:vMerge/>
            <w:tcBorders>
              <w:left w:val="single" w:sz="2" w:space="0" w:color="auto"/>
            </w:tcBorders>
            <w:vAlign w:val="center"/>
          </w:tcPr>
          <w:p w:rsidR="002A5A5E" w:rsidRPr="00F9522B" w:rsidRDefault="002A5A5E">
            <w:pPr>
              <w:spacing w:line="0" w:lineRule="atLeast"/>
              <w:contextualSpacing/>
              <w:jc w:val="center"/>
              <w:rPr>
                <w:rFonts w:eastAsiaTheme="minorEastAsia"/>
                <w:snapToGrid w:val="0"/>
                <w:kern w:val="0"/>
                <w:szCs w:val="21"/>
              </w:rPr>
            </w:pPr>
          </w:p>
        </w:tc>
      </w:tr>
    </w:tbl>
    <w:p w:rsidR="002A5A5E" w:rsidRPr="00F9522B" w:rsidRDefault="00611CBA">
      <w:pPr>
        <w:spacing w:line="360" w:lineRule="auto"/>
        <w:ind w:firstLineChars="200" w:firstLine="480"/>
        <w:contextualSpacing/>
        <w:rPr>
          <w:rFonts w:eastAsiaTheme="minorEastAsia"/>
          <w:snapToGrid w:val="0"/>
          <w:sz w:val="24"/>
        </w:rPr>
      </w:pPr>
      <w:r w:rsidRPr="00F9522B">
        <w:rPr>
          <w:rFonts w:eastAsiaTheme="minorEastAsia"/>
          <w:sz w:val="24"/>
        </w:rPr>
        <w:t>根据黑龙江省生态环境分区管控数据应用平台出具的《</w:t>
      </w:r>
      <w:r w:rsidR="003A7922" w:rsidRPr="00F9522B">
        <w:rPr>
          <w:rFonts w:eastAsiaTheme="minorEastAsia"/>
          <w:sz w:val="24"/>
        </w:rPr>
        <w:t>呼兰区</w:t>
      </w:r>
      <w:r w:rsidR="003A7922" w:rsidRPr="00F9522B">
        <w:rPr>
          <w:rFonts w:eastAsiaTheme="minorEastAsia"/>
          <w:sz w:val="24"/>
        </w:rPr>
        <w:t>2026</w:t>
      </w:r>
      <w:r w:rsidR="003A7922" w:rsidRPr="00F9522B">
        <w:rPr>
          <w:rFonts w:eastAsiaTheme="minorEastAsia"/>
          <w:sz w:val="24"/>
        </w:rPr>
        <w:t>年高标准农田建设项目</w:t>
      </w:r>
      <w:r w:rsidRPr="00F9522B">
        <w:rPr>
          <w:rFonts w:eastAsiaTheme="minorEastAsia"/>
          <w:sz w:val="24"/>
        </w:rPr>
        <w:t>生态环境分区管控分析报告》可见，本项目工程占地及生态评价范围不涉及生态保护红线、</w:t>
      </w:r>
      <w:r w:rsidRPr="00F9522B">
        <w:rPr>
          <w:rFonts w:eastAsiaTheme="minorEastAsia"/>
          <w:snapToGrid w:val="0"/>
          <w:sz w:val="24"/>
        </w:rPr>
        <w:t>国家、省、市重点保护文物、濒危珍稀动植物、森林公园、地质公园、天然林、公益林等生态保护目标。</w:t>
      </w:r>
    </w:p>
    <w:p w:rsidR="002A5A5E" w:rsidRPr="00F9522B" w:rsidRDefault="00611CBA">
      <w:pPr>
        <w:spacing w:line="360" w:lineRule="auto"/>
        <w:ind w:firstLineChars="200" w:firstLine="480"/>
        <w:contextualSpacing/>
        <w:rPr>
          <w:rFonts w:eastAsiaTheme="minorEastAsia"/>
          <w:snapToGrid w:val="0"/>
          <w:sz w:val="24"/>
        </w:rPr>
      </w:pPr>
      <w:r w:rsidRPr="00F9522B">
        <w:rPr>
          <w:rFonts w:eastAsiaTheme="minorEastAsia"/>
          <w:snapToGrid w:val="0"/>
          <w:sz w:val="24"/>
        </w:rPr>
        <w:t>黑龙江呼兰河口湿地省级自然保护区：</w:t>
      </w:r>
    </w:p>
    <w:p w:rsidR="002A5A5E" w:rsidRPr="00F9522B" w:rsidRDefault="00611CBA">
      <w:pPr>
        <w:spacing w:line="360" w:lineRule="auto"/>
        <w:ind w:firstLineChars="200" w:firstLine="480"/>
        <w:contextualSpacing/>
        <w:rPr>
          <w:rFonts w:eastAsiaTheme="minorEastAsia"/>
          <w:snapToGrid w:val="0"/>
          <w:sz w:val="24"/>
        </w:rPr>
      </w:pPr>
      <w:r w:rsidRPr="00F9522B">
        <w:rPr>
          <w:rFonts w:eastAsiaTheme="minorEastAsia"/>
          <w:snapToGrid w:val="0"/>
          <w:sz w:val="24"/>
        </w:rPr>
        <w:t>黑龙江呼兰河口湿地省级自然保护区是</w:t>
      </w:r>
      <w:r w:rsidRPr="00F9522B">
        <w:rPr>
          <w:rFonts w:eastAsiaTheme="minorEastAsia"/>
          <w:snapToGrid w:val="0"/>
          <w:sz w:val="24"/>
        </w:rPr>
        <w:t>2008</w:t>
      </w:r>
      <w:r w:rsidRPr="00F9522B">
        <w:rPr>
          <w:rFonts w:eastAsiaTheme="minorEastAsia"/>
          <w:snapToGrid w:val="0"/>
          <w:sz w:val="24"/>
        </w:rPr>
        <w:t>年</w:t>
      </w:r>
      <w:r w:rsidRPr="00F9522B">
        <w:rPr>
          <w:rFonts w:eastAsiaTheme="minorEastAsia"/>
          <w:snapToGrid w:val="0"/>
          <w:sz w:val="24"/>
        </w:rPr>
        <w:t>1</w:t>
      </w:r>
      <w:r w:rsidRPr="00F9522B">
        <w:rPr>
          <w:rFonts w:eastAsiaTheme="minorEastAsia"/>
          <w:snapToGrid w:val="0"/>
          <w:sz w:val="24"/>
        </w:rPr>
        <w:t>月经黑龙江省人民政府（黑政函</w:t>
      </w:r>
      <w:r w:rsidRPr="00F9522B">
        <w:rPr>
          <w:rFonts w:eastAsiaTheme="minorEastAsia"/>
          <w:snapToGrid w:val="0"/>
          <w:sz w:val="24"/>
        </w:rPr>
        <w:t>2008[5]</w:t>
      </w:r>
      <w:r w:rsidRPr="00F9522B">
        <w:rPr>
          <w:rFonts w:eastAsiaTheme="minorEastAsia"/>
          <w:snapToGrid w:val="0"/>
          <w:sz w:val="24"/>
        </w:rPr>
        <w:t>号）批准建立的省级自然保护区。区行政边界江北中环路。保护区沿松花江北岸东西带状延伸，保护区东西长</w:t>
      </w:r>
      <w:r w:rsidRPr="00F9522B">
        <w:rPr>
          <w:rFonts w:eastAsiaTheme="minorEastAsia"/>
          <w:snapToGrid w:val="0"/>
          <w:sz w:val="24"/>
        </w:rPr>
        <w:t>46.56</w:t>
      </w:r>
      <w:r w:rsidRPr="00F9522B">
        <w:rPr>
          <w:rFonts w:eastAsiaTheme="minorEastAsia"/>
          <w:snapToGrid w:val="0"/>
          <w:sz w:val="24"/>
        </w:rPr>
        <w:t>公里，南北宽</w:t>
      </w:r>
      <w:r w:rsidRPr="00F9522B">
        <w:rPr>
          <w:rFonts w:eastAsiaTheme="minorEastAsia"/>
          <w:snapToGrid w:val="0"/>
          <w:sz w:val="24"/>
        </w:rPr>
        <w:t>25.94</w:t>
      </w:r>
      <w:r w:rsidRPr="00F9522B">
        <w:rPr>
          <w:rFonts w:eastAsiaTheme="minorEastAsia"/>
          <w:snapToGrid w:val="0"/>
          <w:sz w:val="24"/>
        </w:rPr>
        <w:t>公里，面积为</w:t>
      </w:r>
      <w:r w:rsidRPr="00F9522B">
        <w:rPr>
          <w:rFonts w:eastAsiaTheme="minorEastAsia"/>
          <w:snapToGrid w:val="0"/>
          <w:sz w:val="24"/>
        </w:rPr>
        <w:t>15688.58</w:t>
      </w:r>
      <w:r w:rsidRPr="00F9522B">
        <w:rPr>
          <w:rFonts w:eastAsiaTheme="minorEastAsia"/>
          <w:snapToGrid w:val="0"/>
          <w:sz w:val="24"/>
        </w:rPr>
        <w:t>公顷（核心区面积</w:t>
      </w:r>
      <w:r w:rsidRPr="00F9522B">
        <w:rPr>
          <w:rFonts w:eastAsiaTheme="minorEastAsia"/>
          <w:snapToGrid w:val="0"/>
          <w:sz w:val="24"/>
        </w:rPr>
        <w:t xml:space="preserve">6712.14 </w:t>
      </w:r>
      <w:r w:rsidRPr="00F9522B">
        <w:rPr>
          <w:rFonts w:eastAsiaTheme="minorEastAsia"/>
          <w:snapToGrid w:val="0"/>
          <w:sz w:val="24"/>
        </w:rPr>
        <w:t>公顷，占总面积</w:t>
      </w:r>
      <w:r w:rsidRPr="00F9522B">
        <w:rPr>
          <w:rFonts w:eastAsiaTheme="minorEastAsia"/>
          <w:snapToGrid w:val="0"/>
          <w:sz w:val="24"/>
        </w:rPr>
        <w:t>42.8%</w:t>
      </w:r>
      <w:r w:rsidRPr="00F9522B">
        <w:rPr>
          <w:rFonts w:eastAsiaTheme="minorEastAsia"/>
          <w:snapToGrid w:val="0"/>
          <w:sz w:val="24"/>
        </w:rPr>
        <w:t>；缓冲区面积</w:t>
      </w:r>
      <w:r w:rsidRPr="00F9522B">
        <w:rPr>
          <w:rFonts w:eastAsiaTheme="minorEastAsia"/>
          <w:snapToGrid w:val="0"/>
          <w:sz w:val="24"/>
        </w:rPr>
        <w:t>5593</w:t>
      </w:r>
      <w:r w:rsidRPr="00F9522B">
        <w:rPr>
          <w:rFonts w:eastAsiaTheme="minorEastAsia"/>
          <w:snapToGrid w:val="0"/>
          <w:sz w:val="24"/>
        </w:rPr>
        <w:t>公顷，占总面积</w:t>
      </w:r>
      <w:r w:rsidRPr="00F9522B">
        <w:rPr>
          <w:rFonts w:eastAsiaTheme="minorEastAsia"/>
          <w:snapToGrid w:val="0"/>
          <w:sz w:val="24"/>
        </w:rPr>
        <w:t>35.6%</w:t>
      </w:r>
      <w:r w:rsidRPr="00F9522B">
        <w:rPr>
          <w:rFonts w:eastAsiaTheme="minorEastAsia"/>
          <w:snapToGrid w:val="0"/>
          <w:sz w:val="24"/>
        </w:rPr>
        <w:t>；实验区面积</w:t>
      </w:r>
      <w:r w:rsidRPr="00F9522B">
        <w:rPr>
          <w:rFonts w:eastAsiaTheme="minorEastAsia"/>
          <w:snapToGrid w:val="0"/>
          <w:sz w:val="24"/>
        </w:rPr>
        <w:t>3383.77</w:t>
      </w:r>
      <w:r w:rsidRPr="00F9522B">
        <w:rPr>
          <w:rFonts w:eastAsiaTheme="minorEastAsia"/>
          <w:snapToGrid w:val="0"/>
          <w:sz w:val="24"/>
        </w:rPr>
        <w:t>公顷，占总面积</w:t>
      </w:r>
      <w:r w:rsidRPr="00F9522B">
        <w:rPr>
          <w:rFonts w:eastAsiaTheme="minorEastAsia"/>
          <w:snapToGrid w:val="0"/>
          <w:sz w:val="24"/>
        </w:rPr>
        <w:t>21.6%</w:t>
      </w:r>
      <w:r w:rsidRPr="00F9522B">
        <w:rPr>
          <w:rFonts w:eastAsiaTheme="minorEastAsia"/>
          <w:snapToGrid w:val="0"/>
          <w:sz w:val="24"/>
        </w:rPr>
        <w:t>）。</w:t>
      </w:r>
    </w:p>
    <w:p w:rsidR="002A5A5E" w:rsidRPr="00F9522B" w:rsidRDefault="00611CBA">
      <w:pPr>
        <w:spacing w:line="360" w:lineRule="auto"/>
        <w:ind w:firstLineChars="200" w:firstLine="480"/>
        <w:contextualSpacing/>
        <w:rPr>
          <w:rFonts w:eastAsiaTheme="minorEastAsia"/>
          <w:snapToGrid w:val="0"/>
          <w:sz w:val="24"/>
        </w:rPr>
      </w:pPr>
      <w:r w:rsidRPr="00F9522B">
        <w:rPr>
          <w:rFonts w:eastAsiaTheme="minorEastAsia"/>
          <w:snapToGrid w:val="0"/>
          <w:sz w:val="24"/>
        </w:rPr>
        <w:t>自然保护区</w:t>
      </w:r>
      <w:r w:rsidRPr="00F9522B">
        <w:rPr>
          <w:rFonts w:eastAsiaTheme="minorEastAsia"/>
          <w:snapToGrid w:val="0"/>
          <w:sz w:val="24"/>
        </w:rPr>
        <w:t>90%</w:t>
      </w:r>
      <w:r w:rsidRPr="00F9522B">
        <w:rPr>
          <w:rFonts w:eastAsiaTheme="minorEastAsia"/>
          <w:snapToGrid w:val="0"/>
          <w:sz w:val="24"/>
        </w:rPr>
        <w:t>以上面积为内陆水域，包括河流水面（松花江）和坑塘水面。其湿地生态系统在典型性和代表性方面存在不足，沼泽湿地面积占比较小，湿地类型相对单一，并非典型的或具有代表性的自然生态系统区域。该保护区保护对象是松嫩平原湿地生态系统及其野生动植物，保护对象不具备典型性和集中性，保护区内野生动植物在本地区乃至黑龙江省范围内属普遍分布，并非集中分布区，不具备特殊保护价值。</w:t>
      </w:r>
      <w:r w:rsidRPr="00F9522B">
        <w:rPr>
          <w:rFonts w:eastAsiaTheme="minorEastAsia"/>
          <w:snapToGrid w:val="0"/>
          <w:sz w:val="24"/>
        </w:rPr>
        <w:t>202</w:t>
      </w:r>
      <w:r w:rsidR="00A311C8" w:rsidRPr="00F9522B">
        <w:rPr>
          <w:rFonts w:eastAsiaTheme="minorEastAsia"/>
          <w:snapToGrid w:val="0"/>
          <w:sz w:val="24"/>
        </w:rPr>
        <w:t>5</w:t>
      </w:r>
      <w:r w:rsidRPr="00F9522B">
        <w:rPr>
          <w:rFonts w:eastAsiaTheme="minorEastAsia"/>
          <w:snapToGrid w:val="0"/>
          <w:sz w:val="24"/>
        </w:rPr>
        <w:t>年，保护区近五年来生态保护成效通过了生态及林</w:t>
      </w:r>
      <w:r w:rsidRPr="00F9522B">
        <w:rPr>
          <w:rFonts w:eastAsiaTheme="minorEastAsia"/>
          <w:snapToGrid w:val="0"/>
          <w:sz w:val="24"/>
        </w:rPr>
        <w:lastRenderedPageBreak/>
        <w:t>草部门的评估验收。</w:t>
      </w:r>
    </w:p>
    <w:p w:rsidR="002A5A5E" w:rsidRPr="00F9522B" w:rsidRDefault="00160559">
      <w:pPr>
        <w:spacing w:line="360" w:lineRule="auto"/>
        <w:ind w:firstLineChars="200" w:firstLine="480"/>
        <w:contextualSpacing/>
        <w:rPr>
          <w:rFonts w:eastAsiaTheme="minorEastAsia"/>
          <w:snapToGrid w:val="0"/>
          <w:sz w:val="24"/>
        </w:rPr>
      </w:pPr>
      <w:r w:rsidRPr="00F9522B">
        <w:rPr>
          <w:rFonts w:eastAsiaTheme="minorEastAsia"/>
          <w:snapToGrid w:val="0"/>
          <w:sz w:val="24"/>
        </w:rPr>
        <w:t>本项目现有公家沟农田退水口距离黑龙江呼兰河口湿地省级自然保护区约</w:t>
      </w:r>
      <w:r w:rsidRPr="00F9522B">
        <w:rPr>
          <w:rFonts w:eastAsiaTheme="minorEastAsia"/>
          <w:snapToGrid w:val="0"/>
          <w:sz w:val="24"/>
        </w:rPr>
        <w:t>2</w:t>
      </w:r>
      <w:r w:rsidR="00C50480" w:rsidRPr="00F9522B">
        <w:rPr>
          <w:rFonts w:eastAsiaTheme="minorEastAsia"/>
          <w:snapToGrid w:val="0"/>
          <w:sz w:val="24"/>
        </w:rPr>
        <w:t>5</w:t>
      </w:r>
      <w:r w:rsidRPr="00F9522B">
        <w:rPr>
          <w:rFonts w:eastAsiaTheme="minorEastAsia"/>
          <w:snapToGrid w:val="0"/>
          <w:sz w:val="24"/>
        </w:rPr>
        <w:t>m</w:t>
      </w:r>
      <w:r w:rsidR="00611CBA" w:rsidRPr="00F9522B">
        <w:rPr>
          <w:rFonts w:eastAsiaTheme="minorEastAsia"/>
          <w:snapToGrid w:val="0"/>
          <w:sz w:val="24"/>
        </w:rPr>
        <w:t>。</w:t>
      </w:r>
    </w:p>
    <w:p w:rsidR="00B21224" w:rsidRPr="00F9522B" w:rsidRDefault="00B21224" w:rsidP="00B21224">
      <w:pPr>
        <w:contextualSpacing/>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 xml:space="preserve">4-4-3 </w:t>
      </w:r>
      <w:r w:rsidRPr="00F9522B">
        <w:rPr>
          <w:rFonts w:eastAsiaTheme="minorEastAsia"/>
          <w:b/>
          <w:kern w:val="0"/>
          <w:szCs w:val="21"/>
        </w:rPr>
        <w:t>生态环境保护目标一览表</w:t>
      </w:r>
    </w:p>
    <w:tbl>
      <w:tblPr>
        <w:tblW w:w="5000" w:type="pct"/>
        <w:jc w:val="center"/>
        <w:tblBorders>
          <w:top w:val="single" w:sz="12" w:space="0" w:color="auto"/>
          <w:bottom w:val="single" w:sz="12" w:space="0" w:color="auto"/>
          <w:insideH w:val="single" w:sz="2" w:space="0" w:color="auto"/>
          <w:insideV w:val="single" w:sz="2" w:space="0" w:color="auto"/>
        </w:tblBorders>
        <w:tblCellMar>
          <w:left w:w="0" w:type="dxa"/>
          <w:right w:w="0" w:type="dxa"/>
        </w:tblCellMar>
        <w:tblLook w:val="04A0"/>
      </w:tblPr>
      <w:tblGrid>
        <w:gridCol w:w="678"/>
        <w:gridCol w:w="1581"/>
        <w:gridCol w:w="1693"/>
        <w:gridCol w:w="1693"/>
        <w:gridCol w:w="701"/>
        <w:gridCol w:w="1960"/>
      </w:tblGrid>
      <w:tr w:rsidR="00B21224" w:rsidRPr="00F9522B" w:rsidTr="00E93DD8">
        <w:trPr>
          <w:trHeight w:val="602"/>
          <w:jc w:val="center"/>
        </w:trPr>
        <w:tc>
          <w:tcPr>
            <w:tcW w:w="408" w:type="pct"/>
            <w:vAlign w:val="center"/>
          </w:tcPr>
          <w:p w:rsidR="00B21224" w:rsidRPr="00F9522B" w:rsidRDefault="00B21224" w:rsidP="00E93DD8">
            <w:pPr>
              <w:jc w:val="center"/>
              <w:rPr>
                <w:rFonts w:eastAsiaTheme="minorEastAsia"/>
                <w:kern w:val="0"/>
                <w:szCs w:val="21"/>
              </w:rPr>
            </w:pPr>
            <w:r w:rsidRPr="00F9522B">
              <w:rPr>
                <w:rFonts w:eastAsiaTheme="minorEastAsia"/>
                <w:kern w:val="0"/>
                <w:szCs w:val="21"/>
              </w:rPr>
              <w:t>类别</w:t>
            </w:r>
          </w:p>
        </w:tc>
        <w:tc>
          <w:tcPr>
            <w:tcW w:w="952" w:type="pct"/>
            <w:vAlign w:val="center"/>
          </w:tcPr>
          <w:p w:rsidR="00B21224" w:rsidRPr="00F9522B" w:rsidRDefault="00B21224" w:rsidP="00E93DD8">
            <w:pPr>
              <w:jc w:val="center"/>
              <w:rPr>
                <w:rFonts w:eastAsiaTheme="minorEastAsia"/>
                <w:kern w:val="0"/>
                <w:szCs w:val="21"/>
              </w:rPr>
            </w:pPr>
            <w:r w:rsidRPr="00F9522B">
              <w:rPr>
                <w:rFonts w:eastAsiaTheme="minorEastAsia"/>
                <w:kern w:val="0"/>
                <w:szCs w:val="21"/>
              </w:rPr>
              <w:t>名称</w:t>
            </w:r>
          </w:p>
        </w:tc>
        <w:tc>
          <w:tcPr>
            <w:tcW w:w="1019" w:type="pct"/>
            <w:vAlign w:val="center"/>
          </w:tcPr>
          <w:p w:rsidR="00B21224" w:rsidRPr="00F9522B" w:rsidRDefault="00B21224" w:rsidP="00E93DD8">
            <w:pPr>
              <w:jc w:val="center"/>
              <w:rPr>
                <w:rFonts w:eastAsiaTheme="minorEastAsia"/>
                <w:kern w:val="0"/>
                <w:szCs w:val="21"/>
              </w:rPr>
            </w:pPr>
            <w:r w:rsidRPr="00F9522B">
              <w:t>环境功能</w:t>
            </w:r>
          </w:p>
        </w:tc>
        <w:tc>
          <w:tcPr>
            <w:tcW w:w="1019" w:type="pct"/>
            <w:vAlign w:val="center"/>
          </w:tcPr>
          <w:p w:rsidR="00B21224" w:rsidRPr="00F9522B" w:rsidRDefault="00B21224" w:rsidP="00E93DD8">
            <w:pPr>
              <w:jc w:val="center"/>
              <w:rPr>
                <w:rFonts w:eastAsiaTheme="minorEastAsia"/>
              </w:rPr>
            </w:pPr>
            <w:r w:rsidRPr="00F9522B">
              <w:rPr>
                <w:rFonts w:eastAsiaTheme="minorEastAsia"/>
                <w:kern w:val="0"/>
                <w:szCs w:val="21"/>
              </w:rPr>
              <w:t>对应区位关系</w:t>
            </w:r>
          </w:p>
        </w:tc>
        <w:tc>
          <w:tcPr>
            <w:tcW w:w="422" w:type="pct"/>
            <w:vAlign w:val="center"/>
          </w:tcPr>
          <w:p w:rsidR="00B21224" w:rsidRPr="00F9522B" w:rsidRDefault="00B21224" w:rsidP="00E93DD8">
            <w:pPr>
              <w:jc w:val="center"/>
              <w:rPr>
                <w:rFonts w:eastAsiaTheme="minorEastAsia"/>
              </w:rPr>
            </w:pPr>
            <w:r w:rsidRPr="00F9522B">
              <w:rPr>
                <w:rFonts w:eastAsiaTheme="minorEastAsia"/>
                <w:kern w:val="0"/>
                <w:szCs w:val="21"/>
              </w:rPr>
              <w:t>占用情况</w:t>
            </w:r>
          </w:p>
        </w:tc>
        <w:tc>
          <w:tcPr>
            <w:tcW w:w="1180" w:type="pct"/>
            <w:vAlign w:val="center"/>
          </w:tcPr>
          <w:p w:rsidR="00B21224" w:rsidRPr="00F9522B" w:rsidRDefault="00B21224" w:rsidP="00E93DD8">
            <w:pPr>
              <w:spacing w:line="0" w:lineRule="atLeast"/>
              <w:jc w:val="center"/>
              <w:rPr>
                <w:rFonts w:eastAsiaTheme="minorEastAsia"/>
                <w:szCs w:val="21"/>
              </w:rPr>
            </w:pPr>
            <w:r w:rsidRPr="00F9522B">
              <w:rPr>
                <w:rFonts w:eastAsiaTheme="minorEastAsia"/>
                <w:szCs w:val="21"/>
              </w:rPr>
              <w:t>保护要求</w:t>
            </w:r>
          </w:p>
        </w:tc>
      </w:tr>
      <w:tr w:rsidR="00B21224" w:rsidRPr="00F9522B" w:rsidTr="00E93DD8">
        <w:trPr>
          <w:trHeight w:val="268"/>
          <w:jc w:val="center"/>
        </w:trPr>
        <w:tc>
          <w:tcPr>
            <w:tcW w:w="408" w:type="pct"/>
            <w:vMerge w:val="restart"/>
            <w:vAlign w:val="center"/>
          </w:tcPr>
          <w:p w:rsidR="00B21224" w:rsidRPr="00F9522B" w:rsidRDefault="00B21224" w:rsidP="00E93DD8">
            <w:pPr>
              <w:jc w:val="center"/>
              <w:rPr>
                <w:rFonts w:eastAsiaTheme="minorEastAsia"/>
                <w:snapToGrid w:val="0"/>
                <w:szCs w:val="21"/>
              </w:rPr>
            </w:pPr>
            <w:r w:rsidRPr="00F9522B">
              <w:rPr>
                <w:rFonts w:eastAsiaTheme="minorEastAsia"/>
              </w:rPr>
              <w:t>陆生生态</w:t>
            </w:r>
          </w:p>
        </w:tc>
        <w:tc>
          <w:tcPr>
            <w:tcW w:w="952" w:type="pct"/>
            <w:vAlign w:val="center"/>
          </w:tcPr>
          <w:p w:rsidR="00B21224" w:rsidRPr="00F9522B" w:rsidRDefault="00B21224" w:rsidP="00E93DD8">
            <w:pPr>
              <w:jc w:val="center"/>
              <w:rPr>
                <w:rFonts w:eastAsiaTheme="minorEastAsia"/>
                <w:snapToGrid w:val="0"/>
                <w:szCs w:val="21"/>
              </w:rPr>
            </w:pPr>
            <w:r w:rsidRPr="00F9522B">
              <w:rPr>
                <w:rFonts w:eastAsiaTheme="minorEastAsia"/>
              </w:rPr>
              <w:t>黑土地</w:t>
            </w:r>
          </w:p>
        </w:tc>
        <w:tc>
          <w:tcPr>
            <w:tcW w:w="1019" w:type="pct"/>
            <w:vAlign w:val="center"/>
          </w:tcPr>
          <w:p w:rsidR="00B21224" w:rsidRPr="00F9522B" w:rsidRDefault="00B21224" w:rsidP="00E93DD8">
            <w:pPr>
              <w:jc w:val="center"/>
              <w:rPr>
                <w:rFonts w:eastAsiaTheme="minorEastAsia"/>
                <w:snapToGrid w:val="0"/>
                <w:szCs w:val="21"/>
              </w:rPr>
            </w:pPr>
            <w:r w:rsidRPr="00F9522B">
              <w:t>粮食生产、固碳</w:t>
            </w:r>
          </w:p>
        </w:tc>
        <w:tc>
          <w:tcPr>
            <w:tcW w:w="1441" w:type="pct"/>
            <w:gridSpan w:val="2"/>
            <w:vAlign w:val="center"/>
          </w:tcPr>
          <w:p w:rsidR="00B21224" w:rsidRPr="00F9522B" w:rsidRDefault="00B21224" w:rsidP="00E93DD8">
            <w:pPr>
              <w:jc w:val="center"/>
              <w:rPr>
                <w:rFonts w:eastAsiaTheme="minorEastAsia"/>
                <w:smallCaps/>
              </w:rPr>
            </w:pPr>
            <w:r w:rsidRPr="00F9522B">
              <w:rPr>
                <w:rFonts w:eastAsiaTheme="minorEastAsia"/>
                <w:snapToGrid w:val="0"/>
                <w:szCs w:val="21"/>
              </w:rPr>
              <w:t>工程建设占地（田块整治工程）及评价范围</w:t>
            </w:r>
          </w:p>
        </w:tc>
        <w:tc>
          <w:tcPr>
            <w:tcW w:w="1180" w:type="pct"/>
            <w:vAlign w:val="center"/>
          </w:tcPr>
          <w:p w:rsidR="00B21224" w:rsidRPr="00F9522B" w:rsidRDefault="00B21224" w:rsidP="00E93DD8">
            <w:pPr>
              <w:spacing w:line="0" w:lineRule="atLeast"/>
              <w:jc w:val="center"/>
              <w:rPr>
                <w:rFonts w:eastAsiaTheme="minorEastAsia"/>
                <w:szCs w:val="22"/>
              </w:rPr>
            </w:pPr>
            <w:r w:rsidRPr="00F9522B">
              <w:rPr>
                <w:bCs/>
              </w:rPr>
              <w:t>耕作层表土剥离，严格保护，合理利用</w:t>
            </w:r>
          </w:p>
        </w:tc>
      </w:tr>
      <w:tr w:rsidR="00B21224" w:rsidRPr="00F9522B" w:rsidTr="00E93DD8">
        <w:trPr>
          <w:trHeight w:val="456"/>
          <w:jc w:val="center"/>
        </w:trPr>
        <w:tc>
          <w:tcPr>
            <w:tcW w:w="408" w:type="pct"/>
            <w:vMerge/>
            <w:vAlign w:val="center"/>
          </w:tcPr>
          <w:p w:rsidR="00B21224" w:rsidRPr="00F9522B" w:rsidRDefault="00B21224" w:rsidP="00E93DD8">
            <w:pPr>
              <w:jc w:val="center"/>
              <w:rPr>
                <w:rFonts w:eastAsiaTheme="minorEastAsia"/>
                <w:snapToGrid w:val="0"/>
                <w:szCs w:val="21"/>
              </w:rPr>
            </w:pPr>
          </w:p>
        </w:tc>
        <w:tc>
          <w:tcPr>
            <w:tcW w:w="952" w:type="pct"/>
            <w:vAlign w:val="center"/>
          </w:tcPr>
          <w:p w:rsidR="00B21224" w:rsidRPr="00F9522B" w:rsidRDefault="00B21224" w:rsidP="00E93DD8">
            <w:pPr>
              <w:jc w:val="center"/>
              <w:rPr>
                <w:rFonts w:eastAsiaTheme="minorEastAsia"/>
                <w:snapToGrid w:val="0"/>
                <w:szCs w:val="21"/>
              </w:rPr>
            </w:pPr>
            <w:r w:rsidRPr="00F9522B">
              <w:rPr>
                <w:rFonts w:eastAsiaTheme="minorEastAsia"/>
              </w:rPr>
              <w:t>永久基本农田</w:t>
            </w:r>
          </w:p>
        </w:tc>
        <w:tc>
          <w:tcPr>
            <w:tcW w:w="1019" w:type="pct"/>
            <w:vAlign w:val="center"/>
          </w:tcPr>
          <w:p w:rsidR="00B21224" w:rsidRPr="00F9522B" w:rsidRDefault="00B21224" w:rsidP="00E93DD8">
            <w:pPr>
              <w:jc w:val="center"/>
              <w:rPr>
                <w:rFonts w:eastAsiaTheme="minorEastAsia"/>
                <w:snapToGrid w:val="0"/>
                <w:szCs w:val="21"/>
              </w:rPr>
            </w:pPr>
            <w:r w:rsidRPr="00F9522B">
              <w:t>具有重要的农业生产功能和农村生态功能</w:t>
            </w:r>
          </w:p>
        </w:tc>
        <w:tc>
          <w:tcPr>
            <w:tcW w:w="1441" w:type="pct"/>
            <w:gridSpan w:val="2"/>
            <w:vAlign w:val="center"/>
          </w:tcPr>
          <w:p w:rsidR="00B21224" w:rsidRPr="00F9522B" w:rsidRDefault="00B21224" w:rsidP="00E93DD8">
            <w:pPr>
              <w:jc w:val="center"/>
              <w:rPr>
                <w:rFonts w:eastAsiaTheme="minorEastAsia"/>
                <w:snapToGrid w:val="0"/>
                <w:szCs w:val="21"/>
              </w:rPr>
            </w:pPr>
            <w:r w:rsidRPr="00F9522B">
              <w:rPr>
                <w:rFonts w:eastAsiaTheme="minorEastAsia"/>
                <w:snapToGrid w:val="0"/>
                <w:szCs w:val="21"/>
              </w:rPr>
              <w:t>工程建设占地（田块整治工程）及评价范围</w:t>
            </w:r>
          </w:p>
        </w:tc>
        <w:tc>
          <w:tcPr>
            <w:tcW w:w="1180" w:type="pct"/>
            <w:vAlign w:val="center"/>
          </w:tcPr>
          <w:p w:rsidR="00B21224" w:rsidRPr="00F9522B" w:rsidRDefault="00B21224" w:rsidP="00E93DD8">
            <w:pPr>
              <w:spacing w:line="0" w:lineRule="atLeast"/>
              <w:jc w:val="center"/>
              <w:rPr>
                <w:rFonts w:eastAsiaTheme="minorEastAsia"/>
                <w:smallCaps/>
              </w:rPr>
            </w:pPr>
            <w:r w:rsidRPr="00F9522B">
              <w:rPr>
                <w:rFonts w:eastAsiaTheme="minorEastAsia"/>
                <w:bCs/>
                <w:smallCaps/>
              </w:rPr>
              <w:t>严格保护</w:t>
            </w:r>
            <w:r w:rsidRPr="00F9522B">
              <w:rPr>
                <w:rFonts w:eastAsiaTheme="minorEastAsia"/>
                <w:smallCaps/>
              </w:rPr>
              <w:t>永久基本农田</w:t>
            </w:r>
          </w:p>
        </w:tc>
      </w:tr>
      <w:tr w:rsidR="00B21224" w:rsidRPr="00F9522B" w:rsidTr="00E93DD8">
        <w:trPr>
          <w:trHeight w:val="386"/>
          <w:jc w:val="center"/>
        </w:trPr>
        <w:tc>
          <w:tcPr>
            <w:tcW w:w="408" w:type="pct"/>
            <w:vAlign w:val="center"/>
          </w:tcPr>
          <w:p w:rsidR="00B21224" w:rsidRPr="00F9522B" w:rsidRDefault="00B21224" w:rsidP="00E93DD8">
            <w:pPr>
              <w:jc w:val="center"/>
              <w:rPr>
                <w:rFonts w:eastAsiaTheme="minorEastAsia"/>
                <w:snapToGrid w:val="0"/>
                <w:szCs w:val="21"/>
              </w:rPr>
            </w:pPr>
            <w:r w:rsidRPr="00F9522B">
              <w:rPr>
                <w:rFonts w:eastAsiaTheme="minorEastAsia"/>
              </w:rPr>
              <w:t>水生生态</w:t>
            </w:r>
          </w:p>
        </w:tc>
        <w:tc>
          <w:tcPr>
            <w:tcW w:w="952" w:type="pct"/>
            <w:vAlign w:val="center"/>
          </w:tcPr>
          <w:p w:rsidR="00B21224" w:rsidRPr="00F9522B" w:rsidRDefault="00B21224" w:rsidP="00E93DD8">
            <w:pPr>
              <w:jc w:val="center"/>
              <w:rPr>
                <w:rFonts w:eastAsiaTheme="minorEastAsia"/>
                <w:snapToGrid w:val="0"/>
                <w:szCs w:val="21"/>
              </w:rPr>
            </w:pPr>
            <w:r w:rsidRPr="00F9522B">
              <w:rPr>
                <w:rFonts w:eastAsiaTheme="minorEastAsia"/>
                <w:snapToGrid w:val="0"/>
              </w:rPr>
              <w:t>黑龙江呼兰河口湿地省级自然保护区</w:t>
            </w:r>
          </w:p>
        </w:tc>
        <w:tc>
          <w:tcPr>
            <w:tcW w:w="1019" w:type="pct"/>
            <w:vAlign w:val="center"/>
          </w:tcPr>
          <w:p w:rsidR="00B21224" w:rsidRPr="00F9522B" w:rsidRDefault="003E5585" w:rsidP="00E93DD8">
            <w:pPr>
              <w:jc w:val="center"/>
              <w:rPr>
                <w:rFonts w:eastAsiaTheme="minorEastAsia"/>
                <w:snapToGrid w:val="0"/>
                <w:szCs w:val="21"/>
              </w:rPr>
            </w:pPr>
            <w:r w:rsidRPr="00F9522B">
              <w:t>水源涵养、水土保持、生物多样性</w:t>
            </w:r>
            <w:r w:rsidR="00B21224" w:rsidRPr="00F9522B">
              <w:t>、净化水质、控制土壤侵蚀</w:t>
            </w:r>
          </w:p>
        </w:tc>
        <w:tc>
          <w:tcPr>
            <w:tcW w:w="1019" w:type="pct"/>
            <w:vMerge w:val="restart"/>
            <w:vAlign w:val="center"/>
          </w:tcPr>
          <w:p w:rsidR="00B21224" w:rsidRPr="00F9522B" w:rsidRDefault="00B21224" w:rsidP="00E93DD8">
            <w:pPr>
              <w:jc w:val="center"/>
              <w:rPr>
                <w:rFonts w:eastAsiaTheme="minorEastAsia"/>
                <w:snapToGrid w:val="0"/>
                <w:szCs w:val="21"/>
              </w:rPr>
            </w:pPr>
            <w:r w:rsidRPr="00F9522B">
              <w:rPr>
                <w:rFonts w:eastAsiaTheme="minorEastAsia"/>
                <w:smallCaps/>
              </w:rPr>
              <w:t>水田退水承泄区，</w:t>
            </w:r>
            <w:r w:rsidRPr="00F9522B">
              <w:rPr>
                <w:rFonts w:eastAsiaTheme="minorEastAsia"/>
                <w:kern w:val="0"/>
              </w:rPr>
              <w:t>退水口位于公家沟，汇入</w:t>
            </w:r>
            <w:r w:rsidRPr="00F9522B">
              <w:rPr>
                <w:rFonts w:eastAsiaTheme="minorEastAsia"/>
                <w:snapToGrid w:val="0"/>
              </w:rPr>
              <w:t>松花江</w:t>
            </w:r>
          </w:p>
        </w:tc>
        <w:tc>
          <w:tcPr>
            <w:tcW w:w="422" w:type="pct"/>
            <w:vAlign w:val="center"/>
          </w:tcPr>
          <w:p w:rsidR="00B21224" w:rsidRPr="00F9522B" w:rsidRDefault="00B21224" w:rsidP="00E93DD8">
            <w:pPr>
              <w:jc w:val="center"/>
              <w:rPr>
                <w:rFonts w:eastAsiaTheme="minorEastAsia"/>
                <w:snapToGrid w:val="0"/>
                <w:szCs w:val="21"/>
              </w:rPr>
            </w:pPr>
            <w:r w:rsidRPr="00F9522B">
              <w:rPr>
                <w:rFonts w:eastAsiaTheme="minorEastAsia"/>
                <w:snapToGrid w:val="0"/>
                <w:szCs w:val="21"/>
              </w:rPr>
              <w:t>不占用</w:t>
            </w:r>
          </w:p>
        </w:tc>
        <w:tc>
          <w:tcPr>
            <w:tcW w:w="1180" w:type="pct"/>
            <w:vAlign w:val="center"/>
          </w:tcPr>
          <w:p w:rsidR="00B21224" w:rsidRPr="00F9522B" w:rsidRDefault="00B21224" w:rsidP="00E93DD8">
            <w:pPr>
              <w:spacing w:line="0" w:lineRule="atLeast"/>
              <w:jc w:val="center"/>
              <w:rPr>
                <w:rFonts w:eastAsiaTheme="minorEastAsia"/>
                <w:smallCaps/>
              </w:rPr>
            </w:pPr>
            <w:r w:rsidRPr="00F9522B">
              <w:t>工程排水不得对</w:t>
            </w:r>
            <w:r w:rsidRPr="00F9522B">
              <w:rPr>
                <w:rStyle w:val="CharChar"/>
                <w:rFonts w:eastAsiaTheme="minorEastAsia" w:hAnsi="Times New Roman"/>
              </w:rPr>
              <w:t>鱼类资源、浮游、底栖生物、水生生物的多样性</w:t>
            </w:r>
            <w:r w:rsidRPr="00F9522B">
              <w:t>及生境等造成不利影响</w:t>
            </w:r>
          </w:p>
        </w:tc>
      </w:tr>
      <w:tr w:rsidR="00B21224" w:rsidRPr="00F9522B" w:rsidTr="00E93DD8">
        <w:trPr>
          <w:trHeight w:val="386"/>
          <w:jc w:val="center"/>
        </w:trPr>
        <w:tc>
          <w:tcPr>
            <w:tcW w:w="408" w:type="pct"/>
            <w:vAlign w:val="center"/>
          </w:tcPr>
          <w:p w:rsidR="00B21224" w:rsidRPr="00F9522B" w:rsidRDefault="00B21224" w:rsidP="00E93DD8">
            <w:pPr>
              <w:jc w:val="center"/>
              <w:rPr>
                <w:rFonts w:eastAsiaTheme="minorEastAsia"/>
              </w:rPr>
            </w:pPr>
            <w:r w:rsidRPr="00F9522B">
              <w:rPr>
                <w:rFonts w:eastAsiaTheme="minorEastAsia"/>
              </w:rPr>
              <w:t>重要物种</w:t>
            </w:r>
          </w:p>
        </w:tc>
        <w:tc>
          <w:tcPr>
            <w:tcW w:w="952" w:type="pct"/>
            <w:vAlign w:val="center"/>
          </w:tcPr>
          <w:p w:rsidR="00B21224" w:rsidRPr="00F9522B" w:rsidRDefault="00B21224" w:rsidP="00E93DD8">
            <w:pPr>
              <w:jc w:val="center"/>
              <w:rPr>
                <w:rFonts w:eastAsiaTheme="minorEastAsia"/>
                <w:snapToGrid w:val="0"/>
              </w:rPr>
            </w:pPr>
            <w:r w:rsidRPr="00F9522B">
              <w:t>雷氏七鳃鳗、</w:t>
            </w:r>
            <w:r w:rsidRPr="00F9522B">
              <w:rPr>
                <w:szCs w:val="21"/>
              </w:rPr>
              <w:t>日本七鰓鰻、</w:t>
            </w:r>
            <w:r w:rsidRPr="00F9522B">
              <w:rPr>
                <w:spacing w:val="7"/>
                <w:szCs w:val="21"/>
              </w:rPr>
              <w:t>施氏鲟</w:t>
            </w:r>
            <w:r w:rsidRPr="00F9522B">
              <w:rPr>
                <w:spacing w:val="6"/>
                <w:szCs w:val="21"/>
              </w:rPr>
              <w:t>怀头鲇</w:t>
            </w:r>
            <w:r w:rsidR="00B47652" w:rsidRPr="00F9522B">
              <w:rPr>
                <w:spacing w:val="6"/>
                <w:szCs w:val="21"/>
              </w:rPr>
              <w:t>、</w:t>
            </w:r>
            <w:r w:rsidR="00B47652" w:rsidRPr="00F9522B">
              <w:rPr>
                <w:szCs w:val="21"/>
              </w:rPr>
              <w:t>鳇、黑龙江茴鱼、哲罗鲑、乌苏里白鲑</w:t>
            </w:r>
          </w:p>
        </w:tc>
        <w:tc>
          <w:tcPr>
            <w:tcW w:w="1019" w:type="pct"/>
            <w:vAlign w:val="center"/>
          </w:tcPr>
          <w:p w:rsidR="00B21224" w:rsidRPr="00F9522B" w:rsidRDefault="00B21224" w:rsidP="00E93DD8">
            <w:pPr>
              <w:jc w:val="center"/>
              <w:rPr>
                <w:rFonts w:eastAsiaTheme="minorEastAsia"/>
                <w:snapToGrid w:val="0"/>
                <w:szCs w:val="21"/>
              </w:rPr>
            </w:pPr>
            <w:r w:rsidRPr="00F9522B">
              <w:t>国家二级保护动物、濒危鱼类</w:t>
            </w:r>
            <w:r w:rsidRPr="00F9522B">
              <w:rPr>
                <w:shd w:val="clear" w:color="auto" w:fill="FFFFFF"/>
              </w:rPr>
              <w:t>‌</w:t>
            </w:r>
          </w:p>
        </w:tc>
        <w:tc>
          <w:tcPr>
            <w:tcW w:w="1019" w:type="pct"/>
            <w:vMerge/>
            <w:vAlign w:val="center"/>
          </w:tcPr>
          <w:p w:rsidR="00B21224" w:rsidRPr="00F9522B" w:rsidRDefault="00B21224" w:rsidP="00E93DD8">
            <w:pPr>
              <w:jc w:val="center"/>
              <w:rPr>
                <w:rFonts w:eastAsiaTheme="minorEastAsia"/>
                <w:smallCaps/>
              </w:rPr>
            </w:pPr>
          </w:p>
        </w:tc>
        <w:tc>
          <w:tcPr>
            <w:tcW w:w="422" w:type="pct"/>
            <w:vAlign w:val="center"/>
          </w:tcPr>
          <w:p w:rsidR="00B21224" w:rsidRPr="00F9522B" w:rsidRDefault="00B21224" w:rsidP="00E93DD8">
            <w:pPr>
              <w:jc w:val="center"/>
              <w:rPr>
                <w:rFonts w:eastAsiaTheme="minorEastAsia"/>
                <w:snapToGrid w:val="0"/>
                <w:szCs w:val="21"/>
              </w:rPr>
            </w:pPr>
            <w:r w:rsidRPr="00F9522B">
              <w:rPr>
                <w:rFonts w:eastAsiaTheme="minorEastAsia"/>
                <w:snapToGrid w:val="0"/>
                <w:szCs w:val="21"/>
              </w:rPr>
              <w:t>不占用</w:t>
            </w:r>
          </w:p>
        </w:tc>
        <w:tc>
          <w:tcPr>
            <w:tcW w:w="1180" w:type="pct"/>
            <w:vAlign w:val="center"/>
          </w:tcPr>
          <w:p w:rsidR="00B21224" w:rsidRPr="00F9522B" w:rsidRDefault="00B21224" w:rsidP="00E93DD8">
            <w:pPr>
              <w:spacing w:line="0" w:lineRule="atLeast"/>
              <w:jc w:val="center"/>
              <w:rPr>
                <w:rStyle w:val="CharChar"/>
                <w:rFonts w:eastAsiaTheme="minorEastAsia" w:hAnsi="Times New Roman"/>
              </w:rPr>
            </w:pPr>
            <w:r w:rsidRPr="00F9522B">
              <w:t>禁止捕捞；采取措施保护可能受退水影响的鱼类及其生境</w:t>
            </w:r>
          </w:p>
        </w:tc>
      </w:tr>
    </w:tbl>
    <w:p w:rsidR="00B21224" w:rsidRPr="00F9522B" w:rsidRDefault="00B21224" w:rsidP="00B21224">
      <w:pPr>
        <w:contextualSpacing/>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 xml:space="preserve">4-4-4 </w:t>
      </w:r>
      <w:r w:rsidRPr="00F9522B">
        <w:rPr>
          <w:rFonts w:eastAsiaTheme="minorEastAsia"/>
          <w:b/>
          <w:kern w:val="0"/>
          <w:szCs w:val="21"/>
        </w:rPr>
        <w:t>地表水环境保护目标一览表</w:t>
      </w:r>
    </w:p>
    <w:tbl>
      <w:tblPr>
        <w:tblW w:w="8333" w:type="dxa"/>
        <w:jc w:val="center"/>
        <w:tblBorders>
          <w:top w:val="single" w:sz="12" w:space="0" w:color="auto"/>
          <w:bottom w:val="single" w:sz="12" w:space="0" w:color="auto"/>
          <w:insideH w:val="single" w:sz="4" w:space="0" w:color="auto"/>
          <w:insideV w:val="single" w:sz="4" w:space="0" w:color="auto"/>
        </w:tblBorders>
        <w:tblLayout w:type="fixed"/>
        <w:tblLook w:val="04A0"/>
      </w:tblPr>
      <w:tblGrid>
        <w:gridCol w:w="710"/>
        <w:gridCol w:w="1856"/>
        <w:gridCol w:w="709"/>
        <w:gridCol w:w="1984"/>
        <w:gridCol w:w="3074"/>
      </w:tblGrid>
      <w:tr w:rsidR="00B21224" w:rsidRPr="00F9522B" w:rsidTr="00E93DD8">
        <w:trPr>
          <w:trHeight w:val="266"/>
          <w:jc w:val="center"/>
        </w:trPr>
        <w:tc>
          <w:tcPr>
            <w:tcW w:w="710" w:type="dxa"/>
            <w:vAlign w:val="center"/>
          </w:tcPr>
          <w:p w:rsidR="00B21224" w:rsidRPr="00F9522B" w:rsidRDefault="00B21224" w:rsidP="00E93DD8">
            <w:pPr>
              <w:pStyle w:val="aff7"/>
              <w:spacing w:line="0" w:lineRule="atLeast"/>
              <w:contextualSpacing/>
              <w:rPr>
                <w:rFonts w:eastAsiaTheme="minorEastAsia" w:hAnsi="Times New Roman"/>
                <w:snapToGrid w:val="0"/>
              </w:rPr>
            </w:pPr>
            <w:r w:rsidRPr="00F9522B">
              <w:rPr>
                <w:rFonts w:eastAsiaTheme="minorEastAsia" w:hAnsi="Times New Roman"/>
                <w:snapToGrid w:val="0"/>
              </w:rPr>
              <w:t>环境要素</w:t>
            </w:r>
          </w:p>
        </w:tc>
        <w:tc>
          <w:tcPr>
            <w:tcW w:w="1856" w:type="dxa"/>
            <w:vAlign w:val="center"/>
          </w:tcPr>
          <w:p w:rsidR="00B21224" w:rsidRPr="00F9522B" w:rsidRDefault="00B21224" w:rsidP="00E93DD8">
            <w:pPr>
              <w:pStyle w:val="aff7"/>
              <w:spacing w:line="0" w:lineRule="atLeast"/>
              <w:contextualSpacing/>
              <w:rPr>
                <w:rFonts w:eastAsiaTheme="minorEastAsia" w:hAnsi="Times New Roman"/>
                <w:snapToGrid w:val="0"/>
              </w:rPr>
            </w:pPr>
            <w:r w:rsidRPr="00F9522B">
              <w:rPr>
                <w:rFonts w:eastAsiaTheme="minorEastAsia" w:hAnsi="Times New Roman"/>
                <w:snapToGrid w:val="0"/>
              </w:rPr>
              <w:t>敏感点名称</w:t>
            </w:r>
          </w:p>
        </w:tc>
        <w:tc>
          <w:tcPr>
            <w:tcW w:w="709" w:type="dxa"/>
            <w:vAlign w:val="center"/>
          </w:tcPr>
          <w:p w:rsidR="00B21224" w:rsidRPr="00F9522B" w:rsidRDefault="00B21224" w:rsidP="00E93DD8">
            <w:pPr>
              <w:pStyle w:val="aff7"/>
              <w:spacing w:line="0" w:lineRule="atLeast"/>
              <w:contextualSpacing/>
              <w:rPr>
                <w:rFonts w:eastAsiaTheme="minorEastAsia" w:hAnsi="Times New Roman"/>
                <w:snapToGrid w:val="0"/>
              </w:rPr>
            </w:pPr>
            <w:r w:rsidRPr="00F9522B">
              <w:rPr>
                <w:rFonts w:eastAsiaTheme="minorEastAsia" w:hAnsi="Times New Roman"/>
                <w:snapToGrid w:val="0"/>
              </w:rPr>
              <w:t>保护对象</w:t>
            </w:r>
          </w:p>
        </w:tc>
        <w:tc>
          <w:tcPr>
            <w:tcW w:w="1984" w:type="dxa"/>
            <w:vAlign w:val="center"/>
          </w:tcPr>
          <w:p w:rsidR="00B21224" w:rsidRPr="00F9522B" w:rsidRDefault="00B21224" w:rsidP="00E93DD8">
            <w:pPr>
              <w:pStyle w:val="aff7"/>
              <w:adjustRightInd w:val="0"/>
              <w:snapToGrid w:val="0"/>
              <w:rPr>
                <w:rFonts w:eastAsiaTheme="minorEastAsia" w:hAnsi="Times New Roman"/>
                <w:snapToGrid w:val="0"/>
              </w:rPr>
            </w:pPr>
            <w:r w:rsidRPr="00F9522B">
              <w:rPr>
                <w:rFonts w:eastAsiaTheme="minorEastAsia" w:hAnsi="Times New Roman"/>
                <w:smallCaps/>
              </w:rPr>
              <w:t>与工程关系</w:t>
            </w:r>
          </w:p>
        </w:tc>
        <w:tc>
          <w:tcPr>
            <w:tcW w:w="3074" w:type="dxa"/>
            <w:shd w:val="clear" w:color="auto" w:fill="auto"/>
            <w:vAlign w:val="center"/>
          </w:tcPr>
          <w:p w:rsidR="00B21224" w:rsidRPr="00F9522B" w:rsidRDefault="00B21224" w:rsidP="00E93DD8">
            <w:pPr>
              <w:pStyle w:val="aff7"/>
              <w:spacing w:line="0" w:lineRule="atLeast"/>
              <w:contextualSpacing/>
              <w:rPr>
                <w:rFonts w:eastAsiaTheme="minorEastAsia" w:hAnsi="Times New Roman"/>
                <w:snapToGrid w:val="0"/>
              </w:rPr>
            </w:pPr>
            <w:r w:rsidRPr="00F9522B">
              <w:rPr>
                <w:rFonts w:eastAsiaTheme="minorEastAsia" w:hAnsi="Times New Roman"/>
                <w:snapToGrid w:val="0"/>
              </w:rPr>
              <w:t>保护要求</w:t>
            </w:r>
          </w:p>
        </w:tc>
      </w:tr>
      <w:tr w:rsidR="00B21224" w:rsidRPr="00F9522B" w:rsidTr="00E93DD8">
        <w:trPr>
          <w:trHeight w:val="516"/>
          <w:jc w:val="center"/>
        </w:trPr>
        <w:tc>
          <w:tcPr>
            <w:tcW w:w="710" w:type="dxa"/>
            <w:vMerge w:val="restart"/>
            <w:vAlign w:val="center"/>
          </w:tcPr>
          <w:p w:rsidR="00B21224" w:rsidRPr="00F9522B" w:rsidRDefault="00B21224" w:rsidP="00E93DD8">
            <w:pPr>
              <w:pStyle w:val="aff7"/>
              <w:spacing w:line="0" w:lineRule="atLeast"/>
              <w:contextualSpacing/>
              <w:rPr>
                <w:rFonts w:eastAsiaTheme="minorEastAsia" w:hAnsi="Times New Roman"/>
                <w:snapToGrid w:val="0"/>
              </w:rPr>
            </w:pPr>
            <w:r w:rsidRPr="00F9522B">
              <w:rPr>
                <w:rFonts w:eastAsiaTheme="minorEastAsia" w:hAnsi="Times New Roman"/>
                <w:snapToGrid w:val="0"/>
              </w:rPr>
              <w:t>地表水</w:t>
            </w:r>
          </w:p>
        </w:tc>
        <w:tc>
          <w:tcPr>
            <w:tcW w:w="1856" w:type="dxa"/>
            <w:vAlign w:val="center"/>
          </w:tcPr>
          <w:p w:rsidR="00B21224" w:rsidRPr="00F9522B" w:rsidRDefault="00B21224" w:rsidP="00E93DD8">
            <w:pPr>
              <w:pStyle w:val="aff7"/>
              <w:spacing w:line="0" w:lineRule="atLeast"/>
              <w:contextualSpacing/>
              <w:rPr>
                <w:rFonts w:eastAsiaTheme="minorEastAsia" w:hAnsi="Times New Roman"/>
                <w:snapToGrid w:val="0"/>
              </w:rPr>
            </w:pPr>
            <w:r w:rsidRPr="00F9522B">
              <w:rPr>
                <w:rFonts w:eastAsiaTheme="minorEastAsia" w:hAnsi="Times New Roman"/>
                <w:snapToGrid w:val="0"/>
              </w:rPr>
              <w:t>松花江</w:t>
            </w:r>
          </w:p>
        </w:tc>
        <w:tc>
          <w:tcPr>
            <w:tcW w:w="709" w:type="dxa"/>
            <w:vMerge w:val="restart"/>
            <w:vAlign w:val="center"/>
          </w:tcPr>
          <w:p w:rsidR="00B21224" w:rsidRPr="00F9522B" w:rsidRDefault="00B21224" w:rsidP="00E93DD8">
            <w:pPr>
              <w:jc w:val="center"/>
              <w:rPr>
                <w:rFonts w:eastAsiaTheme="minorEastAsia"/>
                <w:smallCaps/>
                <w:szCs w:val="21"/>
              </w:rPr>
            </w:pPr>
            <w:r w:rsidRPr="00F9522B">
              <w:rPr>
                <w:rFonts w:eastAsiaTheme="minorEastAsia"/>
                <w:smallCaps/>
                <w:szCs w:val="21"/>
              </w:rPr>
              <w:t>水质及水生生态环境</w:t>
            </w:r>
          </w:p>
        </w:tc>
        <w:tc>
          <w:tcPr>
            <w:tcW w:w="1984" w:type="dxa"/>
            <w:vAlign w:val="center"/>
          </w:tcPr>
          <w:p w:rsidR="00B21224" w:rsidRPr="00F9522B" w:rsidRDefault="00B21224" w:rsidP="00E93DD8">
            <w:pPr>
              <w:pStyle w:val="aff7"/>
              <w:spacing w:line="0" w:lineRule="atLeast"/>
              <w:contextualSpacing/>
              <w:rPr>
                <w:rFonts w:eastAsiaTheme="minorEastAsia" w:hAnsi="Times New Roman"/>
                <w:snapToGrid w:val="0"/>
              </w:rPr>
            </w:pPr>
            <w:r w:rsidRPr="00F9522B">
              <w:rPr>
                <w:rFonts w:eastAsiaTheme="minorEastAsia" w:hAnsi="Times New Roman"/>
                <w:smallCaps/>
              </w:rPr>
              <w:t>水田退水承泄区，</w:t>
            </w:r>
            <w:r w:rsidRPr="00F9522B">
              <w:rPr>
                <w:rFonts w:eastAsiaTheme="minorEastAsia" w:hAnsi="Times New Roman"/>
                <w:kern w:val="0"/>
              </w:rPr>
              <w:t>退水口位于公家沟，汇入</w:t>
            </w:r>
            <w:r w:rsidRPr="00F9522B">
              <w:rPr>
                <w:rFonts w:eastAsiaTheme="minorEastAsia" w:hAnsi="Times New Roman"/>
                <w:snapToGrid w:val="0"/>
              </w:rPr>
              <w:t>松花江</w:t>
            </w:r>
          </w:p>
        </w:tc>
        <w:tc>
          <w:tcPr>
            <w:tcW w:w="3074" w:type="dxa"/>
            <w:shd w:val="clear" w:color="auto" w:fill="auto"/>
            <w:vAlign w:val="center"/>
          </w:tcPr>
          <w:p w:rsidR="00B21224" w:rsidRPr="00F9522B" w:rsidRDefault="00B21224" w:rsidP="00E93DD8">
            <w:pPr>
              <w:pStyle w:val="aff7"/>
              <w:spacing w:line="0" w:lineRule="atLeast"/>
              <w:contextualSpacing/>
              <w:rPr>
                <w:rFonts w:eastAsiaTheme="minorEastAsia" w:hAnsi="Times New Roman"/>
              </w:rPr>
            </w:pPr>
            <w:r w:rsidRPr="00F9522B">
              <w:rPr>
                <w:rFonts w:hAnsi="Times New Roman"/>
                <w:spacing w:val="3"/>
              </w:rPr>
              <w:t>维持现状水质类别，水质</w:t>
            </w:r>
            <w:r w:rsidRPr="00F9522B">
              <w:rPr>
                <w:rFonts w:hAnsi="Times New Roman"/>
                <w:spacing w:val="5"/>
              </w:rPr>
              <w:t>不恶化；</w:t>
            </w:r>
            <w:r w:rsidRPr="00F9522B">
              <w:rPr>
                <w:rFonts w:eastAsiaTheme="minorEastAsia" w:hAnsi="Times New Roman"/>
              </w:rPr>
              <w:t>《地表水环境质量标准》（</w:t>
            </w:r>
            <w:r w:rsidRPr="00F9522B">
              <w:rPr>
                <w:rFonts w:eastAsiaTheme="minorEastAsia" w:hAnsi="Times New Roman"/>
              </w:rPr>
              <w:t>GB3838-2002</w:t>
            </w:r>
            <w:r w:rsidRPr="00F9522B">
              <w:rPr>
                <w:rFonts w:eastAsiaTheme="minorEastAsia" w:hAnsi="Times New Roman"/>
              </w:rPr>
              <w:t>）</w:t>
            </w:r>
            <w:r w:rsidR="005273A1" w:rsidRPr="00F9522B">
              <w:rPr>
                <w:rFonts w:eastAsiaTheme="minorEastAsia" w:hAnsi="Times New Roman"/>
                <w:bCs/>
              </w:rPr>
              <w:fldChar w:fldCharType="begin"/>
            </w:r>
            <w:r w:rsidRPr="00F9522B">
              <w:rPr>
                <w:rFonts w:eastAsiaTheme="minorEastAsia" w:hAnsi="Times New Roman"/>
                <w:bCs/>
              </w:rPr>
              <w:instrText xml:space="preserve"> = 3 \* ROMAN </w:instrText>
            </w:r>
            <w:r w:rsidR="005273A1" w:rsidRPr="00F9522B">
              <w:rPr>
                <w:rFonts w:eastAsiaTheme="minorEastAsia" w:hAnsi="Times New Roman"/>
                <w:bCs/>
              </w:rPr>
              <w:fldChar w:fldCharType="separate"/>
            </w:r>
            <w:r w:rsidRPr="00F9522B">
              <w:rPr>
                <w:rFonts w:eastAsiaTheme="minorEastAsia" w:hAnsi="Times New Roman"/>
                <w:bCs/>
                <w:noProof/>
              </w:rPr>
              <w:t>III</w:t>
            </w:r>
            <w:r w:rsidR="005273A1" w:rsidRPr="00F9522B">
              <w:rPr>
                <w:rFonts w:eastAsiaTheme="minorEastAsia" w:hAnsi="Times New Roman"/>
                <w:bCs/>
              </w:rPr>
              <w:fldChar w:fldCharType="end"/>
            </w:r>
            <w:r w:rsidRPr="00F9522B">
              <w:rPr>
                <w:rFonts w:eastAsiaTheme="minorEastAsia" w:hAnsi="Times New Roman"/>
              </w:rPr>
              <w:t>类</w:t>
            </w:r>
          </w:p>
        </w:tc>
      </w:tr>
      <w:tr w:rsidR="00B21224" w:rsidRPr="00F9522B" w:rsidTr="00E93DD8">
        <w:trPr>
          <w:trHeight w:val="516"/>
          <w:jc w:val="center"/>
        </w:trPr>
        <w:tc>
          <w:tcPr>
            <w:tcW w:w="710" w:type="dxa"/>
            <w:vMerge/>
            <w:vAlign w:val="center"/>
          </w:tcPr>
          <w:p w:rsidR="00B21224" w:rsidRPr="00F9522B" w:rsidRDefault="00B21224" w:rsidP="00E93DD8">
            <w:pPr>
              <w:pStyle w:val="aff7"/>
              <w:spacing w:line="0" w:lineRule="atLeast"/>
              <w:contextualSpacing/>
              <w:rPr>
                <w:rFonts w:eastAsiaTheme="minorEastAsia" w:hAnsi="Times New Roman"/>
                <w:snapToGrid w:val="0"/>
              </w:rPr>
            </w:pPr>
          </w:p>
        </w:tc>
        <w:tc>
          <w:tcPr>
            <w:tcW w:w="1856" w:type="dxa"/>
            <w:vAlign w:val="center"/>
          </w:tcPr>
          <w:p w:rsidR="00B21224" w:rsidRPr="00F9522B" w:rsidRDefault="00B21224" w:rsidP="00E93DD8">
            <w:pPr>
              <w:pStyle w:val="aff7"/>
              <w:spacing w:line="0" w:lineRule="atLeast"/>
              <w:contextualSpacing/>
              <w:rPr>
                <w:rFonts w:eastAsiaTheme="minorEastAsia" w:hAnsi="Times New Roman"/>
                <w:snapToGrid w:val="0"/>
              </w:rPr>
            </w:pPr>
            <w:r w:rsidRPr="00F9522B">
              <w:rPr>
                <w:rFonts w:eastAsiaTheme="minorEastAsia" w:hAnsi="Times New Roman"/>
                <w:snapToGrid w:val="0"/>
              </w:rPr>
              <w:t>漂河</w:t>
            </w:r>
          </w:p>
        </w:tc>
        <w:tc>
          <w:tcPr>
            <w:tcW w:w="709" w:type="dxa"/>
            <w:vMerge/>
            <w:vAlign w:val="center"/>
          </w:tcPr>
          <w:p w:rsidR="00B21224" w:rsidRPr="00F9522B" w:rsidRDefault="00B21224" w:rsidP="00E93DD8">
            <w:pPr>
              <w:jc w:val="center"/>
              <w:rPr>
                <w:rFonts w:eastAsiaTheme="minorEastAsia"/>
                <w:smallCaps/>
                <w:szCs w:val="21"/>
              </w:rPr>
            </w:pPr>
          </w:p>
        </w:tc>
        <w:tc>
          <w:tcPr>
            <w:tcW w:w="1984" w:type="dxa"/>
            <w:vAlign w:val="center"/>
          </w:tcPr>
          <w:p w:rsidR="00B21224" w:rsidRPr="00F9522B" w:rsidRDefault="00B21224" w:rsidP="00E93DD8">
            <w:pPr>
              <w:pStyle w:val="aff7"/>
              <w:spacing w:line="0" w:lineRule="atLeast"/>
              <w:contextualSpacing/>
              <w:rPr>
                <w:rFonts w:eastAsiaTheme="minorEastAsia" w:hAnsi="Times New Roman"/>
                <w:snapToGrid w:val="0"/>
              </w:rPr>
            </w:pPr>
            <w:r w:rsidRPr="00F9522B">
              <w:rPr>
                <w:rFonts w:eastAsiaTheme="minorEastAsia" w:hAnsi="Times New Roman"/>
                <w:smallCaps/>
              </w:rPr>
              <w:t>水田退水承泄区，</w:t>
            </w:r>
            <w:r w:rsidRPr="00F9522B">
              <w:rPr>
                <w:rFonts w:eastAsiaTheme="minorEastAsia" w:hAnsi="Times New Roman"/>
                <w:kern w:val="0"/>
              </w:rPr>
              <w:t>退水口位于</w:t>
            </w:r>
            <w:r w:rsidRPr="00F9522B">
              <w:rPr>
                <w:rFonts w:eastAsiaTheme="minorEastAsia" w:hAnsi="Times New Roman"/>
                <w:snapToGrid w:val="0"/>
              </w:rPr>
              <w:t>漂河</w:t>
            </w:r>
          </w:p>
        </w:tc>
        <w:tc>
          <w:tcPr>
            <w:tcW w:w="3074" w:type="dxa"/>
            <w:shd w:val="clear" w:color="auto" w:fill="auto"/>
            <w:vAlign w:val="center"/>
          </w:tcPr>
          <w:p w:rsidR="00B21224" w:rsidRPr="00F9522B" w:rsidRDefault="00B21224" w:rsidP="00E93DD8">
            <w:pPr>
              <w:pStyle w:val="aff7"/>
              <w:spacing w:line="0" w:lineRule="atLeast"/>
              <w:contextualSpacing/>
              <w:rPr>
                <w:rFonts w:eastAsiaTheme="minorEastAsia" w:hAnsi="Times New Roman"/>
              </w:rPr>
            </w:pPr>
            <w:r w:rsidRPr="00F9522B">
              <w:rPr>
                <w:rFonts w:hAnsi="Times New Roman"/>
                <w:spacing w:val="3"/>
              </w:rPr>
              <w:t>维持现状水质类别，水质</w:t>
            </w:r>
            <w:r w:rsidRPr="00F9522B">
              <w:rPr>
                <w:rFonts w:hAnsi="Times New Roman"/>
                <w:spacing w:val="5"/>
              </w:rPr>
              <w:t>不恶化；</w:t>
            </w:r>
            <w:r w:rsidRPr="00F9522B">
              <w:rPr>
                <w:rFonts w:eastAsiaTheme="minorEastAsia" w:hAnsi="Times New Roman"/>
              </w:rPr>
              <w:t>《地表水环境质量标准》（</w:t>
            </w:r>
            <w:r w:rsidRPr="00F9522B">
              <w:rPr>
                <w:rFonts w:eastAsiaTheme="minorEastAsia" w:hAnsi="Times New Roman"/>
              </w:rPr>
              <w:t>GB3838-2002</w:t>
            </w:r>
            <w:r w:rsidRPr="00F9522B">
              <w:rPr>
                <w:rFonts w:eastAsiaTheme="minorEastAsia" w:hAnsi="Times New Roman"/>
              </w:rPr>
              <w:t>）</w:t>
            </w:r>
            <w:r w:rsidR="005273A1" w:rsidRPr="00F9522B">
              <w:rPr>
                <w:rFonts w:eastAsiaTheme="minorEastAsia" w:hAnsi="Times New Roman"/>
                <w:bCs/>
              </w:rPr>
              <w:fldChar w:fldCharType="begin"/>
            </w:r>
            <w:r w:rsidRPr="00F9522B">
              <w:rPr>
                <w:rFonts w:eastAsiaTheme="minorEastAsia" w:hAnsi="Times New Roman"/>
                <w:bCs/>
              </w:rPr>
              <w:instrText xml:space="preserve"> = 5 \* ROMAN </w:instrText>
            </w:r>
            <w:r w:rsidR="005273A1" w:rsidRPr="00F9522B">
              <w:rPr>
                <w:rFonts w:eastAsiaTheme="minorEastAsia" w:hAnsi="Times New Roman"/>
                <w:bCs/>
              </w:rPr>
              <w:fldChar w:fldCharType="separate"/>
            </w:r>
            <w:r w:rsidRPr="00F9522B">
              <w:rPr>
                <w:rFonts w:eastAsiaTheme="minorEastAsia" w:hAnsi="Times New Roman"/>
                <w:bCs/>
              </w:rPr>
              <w:t>V</w:t>
            </w:r>
            <w:r w:rsidR="005273A1" w:rsidRPr="00F9522B">
              <w:rPr>
                <w:rFonts w:eastAsiaTheme="minorEastAsia" w:hAnsi="Times New Roman"/>
                <w:bCs/>
              </w:rPr>
              <w:fldChar w:fldCharType="end"/>
            </w:r>
            <w:r w:rsidRPr="00F9522B">
              <w:rPr>
                <w:rFonts w:eastAsiaTheme="minorEastAsia" w:hAnsi="Times New Roman"/>
              </w:rPr>
              <w:t>类</w:t>
            </w:r>
          </w:p>
        </w:tc>
      </w:tr>
      <w:tr w:rsidR="00B21224" w:rsidRPr="00F9522B" w:rsidTr="00E93DD8">
        <w:trPr>
          <w:trHeight w:val="516"/>
          <w:jc w:val="center"/>
        </w:trPr>
        <w:tc>
          <w:tcPr>
            <w:tcW w:w="710" w:type="dxa"/>
            <w:vMerge/>
            <w:vAlign w:val="center"/>
          </w:tcPr>
          <w:p w:rsidR="00B21224" w:rsidRPr="00F9522B" w:rsidRDefault="00B21224" w:rsidP="00E93DD8">
            <w:pPr>
              <w:pStyle w:val="aff7"/>
              <w:spacing w:line="0" w:lineRule="atLeast"/>
              <w:contextualSpacing/>
              <w:rPr>
                <w:rFonts w:eastAsiaTheme="minorEastAsia" w:hAnsi="Times New Roman"/>
                <w:snapToGrid w:val="0"/>
              </w:rPr>
            </w:pPr>
          </w:p>
        </w:tc>
        <w:tc>
          <w:tcPr>
            <w:tcW w:w="1856" w:type="dxa"/>
            <w:vAlign w:val="center"/>
          </w:tcPr>
          <w:p w:rsidR="00B21224" w:rsidRPr="00F9522B" w:rsidRDefault="00B21224" w:rsidP="00E93DD8">
            <w:pPr>
              <w:pStyle w:val="aff7"/>
              <w:spacing w:line="0" w:lineRule="atLeast"/>
              <w:contextualSpacing/>
              <w:rPr>
                <w:rFonts w:eastAsiaTheme="minorEastAsia" w:hAnsi="Times New Roman"/>
                <w:snapToGrid w:val="0"/>
              </w:rPr>
            </w:pPr>
            <w:r w:rsidRPr="00F9522B">
              <w:rPr>
                <w:rFonts w:eastAsiaTheme="minorEastAsia" w:hAnsi="Times New Roman"/>
                <w:snapToGrid w:val="0"/>
              </w:rPr>
              <w:t>黑龙江呼兰河口湿地省级自然保护区</w:t>
            </w:r>
          </w:p>
        </w:tc>
        <w:tc>
          <w:tcPr>
            <w:tcW w:w="709" w:type="dxa"/>
            <w:vMerge/>
            <w:vAlign w:val="center"/>
          </w:tcPr>
          <w:p w:rsidR="00B21224" w:rsidRPr="00F9522B" w:rsidRDefault="00B21224" w:rsidP="00E93DD8">
            <w:pPr>
              <w:jc w:val="center"/>
              <w:rPr>
                <w:rFonts w:eastAsiaTheme="minorEastAsia"/>
                <w:smallCaps/>
                <w:szCs w:val="21"/>
              </w:rPr>
            </w:pPr>
          </w:p>
        </w:tc>
        <w:tc>
          <w:tcPr>
            <w:tcW w:w="1984" w:type="dxa"/>
            <w:vAlign w:val="center"/>
          </w:tcPr>
          <w:p w:rsidR="00B21224" w:rsidRPr="00F9522B" w:rsidRDefault="00B21224" w:rsidP="00E93DD8">
            <w:pPr>
              <w:pStyle w:val="aff7"/>
              <w:spacing w:line="0" w:lineRule="atLeast"/>
              <w:contextualSpacing/>
              <w:rPr>
                <w:rFonts w:eastAsiaTheme="minorEastAsia" w:hAnsi="Times New Roman"/>
                <w:snapToGrid w:val="0"/>
              </w:rPr>
            </w:pPr>
            <w:r w:rsidRPr="00F9522B">
              <w:rPr>
                <w:rFonts w:eastAsiaTheme="minorEastAsia" w:hAnsi="Times New Roman"/>
                <w:smallCaps/>
              </w:rPr>
              <w:t>水田退水承泄区，</w:t>
            </w:r>
            <w:r w:rsidRPr="00F9522B">
              <w:rPr>
                <w:rFonts w:eastAsiaTheme="minorEastAsia" w:hAnsi="Times New Roman"/>
                <w:kern w:val="0"/>
              </w:rPr>
              <w:t>退水口位于公家沟，汇入</w:t>
            </w:r>
            <w:r w:rsidRPr="00F9522B">
              <w:rPr>
                <w:rFonts w:eastAsiaTheme="minorEastAsia" w:hAnsi="Times New Roman"/>
                <w:snapToGrid w:val="0"/>
              </w:rPr>
              <w:t>松花江</w:t>
            </w:r>
          </w:p>
        </w:tc>
        <w:tc>
          <w:tcPr>
            <w:tcW w:w="3074" w:type="dxa"/>
            <w:shd w:val="clear" w:color="auto" w:fill="auto"/>
            <w:vAlign w:val="center"/>
          </w:tcPr>
          <w:p w:rsidR="00B21224" w:rsidRPr="00F9522B" w:rsidRDefault="00B21224" w:rsidP="00E93DD8">
            <w:pPr>
              <w:pStyle w:val="aff7"/>
              <w:spacing w:line="0" w:lineRule="atLeast"/>
              <w:contextualSpacing/>
              <w:rPr>
                <w:rFonts w:eastAsiaTheme="minorEastAsia" w:hAnsi="Times New Roman"/>
                <w:snapToGrid w:val="0"/>
              </w:rPr>
            </w:pPr>
            <w:r w:rsidRPr="00F9522B">
              <w:rPr>
                <w:rFonts w:hAnsi="Times New Roman"/>
                <w:spacing w:val="3"/>
              </w:rPr>
              <w:t>维持现状水质类别，水质</w:t>
            </w:r>
            <w:r w:rsidRPr="00F9522B">
              <w:rPr>
                <w:rFonts w:hAnsi="Times New Roman"/>
                <w:spacing w:val="5"/>
              </w:rPr>
              <w:t>不恶化；</w:t>
            </w:r>
            <w:r w:rsidRPr="00F9522B">
              <w:rPr>
                <w:rFonts w:hAnsi="Times New Roman"/>
              </w:rPr>
              <w:t>维持生态系统</w:t>
            </w:r>
            <w:r w:rsidRPr="00F9522B">
              <w:rPr>
                <w:rFonts w:hAnsi="Times New Roman"/>
                <w:spacing w:val="8"/>
              </w:rPr>
              <w:t>的完整性、保护功能</w:t>
            </w:r>
          </w:p>
        </w:tc>
      </w:tr>
    </w:tbl>
    <w:p w:rsidR="002A5A5E" w:rsidRPr="00F9522B" w:rsidRDefault="00611CBA">
      <w:pPr>
        <w:spacing w:line="360" w:lineRule="auto"/>
        <w:contextualSpacing/>
        <w:rPr>
          <w:rFonts w:eastAsiaTheme="minorEastAsia"/>
          <w:b/>
          <w:kern w:val="0"/>
          <w:szCs w:val="21"/>
        </w:rPr>
      </w:pPr>
      <w:r w:rsidRPr="00F9522B">
        <w:rPr>
          <w:rFonts w:eastAsiaTheme="minorEastAsia"/>
          <w:b/>
          <w:noProof/>
          <w:kern w:val="0"/>
          <w:szCs w:val="21"/>
        </w:rPr>
        <w:lastRenderedPageBreak/>
        <w:drawing>
          <wp:anchor distT="0" distB="0" distL="114300" distR="114300" simplePos="0" relativeHeight="251798528" behindDoc="0" locked="0" layoutInCell="1" allowOverlap="1">
            <wp:simplePos x="0" y="0"/>
            <wp:positionH relativeFrom="column">
              <wp:posOffset>4655185</wp:posOffset>
            </wp:positionH>
            <wp:positionV relativeFrom="paragraph">
              <wp:posOffset>25400</wp:posOffset>
            </wp:positionV>
            <wp:extent cx="636270" cy="629920"/>
            <wp:effectExtent l="19050" t="0" r="0" b="0"/>
            <wp:wrapNone/>
            <wp:docPr id="81"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37"/>
                    <pic:cNvPicPr>
                      <a:picLocks noChangeAspect="1" noChangeArrowheads="1"/>
                    </pic:cNvPicPr>
                  </pic:nvPicPr>
                  <pic:blipFill>
                    <a:blip r:embed="rId25"/>
                    <a:srcRect/>
                    <a:stretch>
                      <a:fillRect/>
                    </a:stretch>
                  </pic:blipFill>
                  <pic:spPr>
                    <a:xfrm>
                      <a:off x="0" y="0"/>
                      <a:ext cx="636557" cy="629729"/>
                    </a:xfrm>
                    <a:prstGeom prst="rect">
                      <a:avLst/>
                    </a:prstGeom>
                    <a:noFill/>
                    <a:ln w="9525">
                      <a:noFill/>
                      <a:miter lim="800000"/>
                      <a:headEnd/>
                      <a:tailEnd/>
                    </a:ln>
                  </pic:spPr>
                </pic:pic>
              </a:graphicData>
            </a:graphic>
          </wp:anchor>
        </w:drawing>
      </w:r>
      <w:r w:rsidRPr="00F9522B">
        <w:rPr>
          <w:rFonts w:eastAsiaTheme="minorEastAsia"/>
          <w:b/>
          <w:noProof/>
          <w:kern w:val="0"/>
          <w:szCs w:val="21"/>
        </w:rPr>
        <w:drawing>
          <wp:inline distT="0" distB="0" distL="0" distR="0">
            <wp:extent cx="5274310" cy="3531235"/>
            <wp:effectExtent l="19050" t="19050" r="21590" b="11789"/>
            <wp:docPr id="79"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26"/>
                    <pic:cNvPicPr>
                      <a:picLocks noChangeAspect="1" noChangeArrowheads="1"/>
                    </pic:cNvPicPr>
                  </pic:nvPicPr>
                  <pic:blipFill>
                    <a:blip r:embed="rId94"/>
                    <a:srcRect/>
                    <a:stretch>
                      <a:fillRect/>
                    </a:stretch>
                  </pic:blipFill>
                  <pic:spPr>
                    <a:xfrm>
                      <a:off x="0" y="0"/>
                      <a:ext cx="5274310" cy="3531511"/>
                    </a:xfrm>
                    <a:prstGeom prst="rect">
                      <a:avLst/>
                    </a:prstGeom>
                    <a:noFill/>
                    <a:ln w="9525">
                      <a:solidFill>
                        <a:schemeClr val="tx1"/>
                      </a:solidFill>
                      <a:miter lim="800000"/>
                      <a:headEnd/>
                      <a:tailEnd/>
                    </a:ln>
                  </pic:spPr>
                </pic:pic>
              </a:graphicData>
            </a:graphic>
          </wp:inline>
        </w:drawing>
      </w:r>
    </w:p>
    <w:p w:rsidR="002A5A5E" w:rsidRPr="00F9522B" w:rsidRDefault="00611CBA" w:rsidP="00B21224">
      <w:pPr>
        <w:ind w:firstLineChars="200" w:firstLine="422"/>
        <w:contextualSpacing/>
        <w:jc w:val="center"/>
        <w:rPr>
          <w:rFonts w:eastAsiaTheme="minorEastAsia"/>
          <w:b/>
          <w:kern w:val="0"/>
          <w:szCs w:val="21"/>
        </w:rPr>
      </w:pPr>
      <w:r w:rsidRPr="00F9522B">
        <w:rPr>
          <w:rFonts w:eastAsiaTheme="minorEastAsia"/>
          <w:b/>
          <w:kern w:val="0"/>
          <w:szCs w:val="21"/>
        </w:rPr>
        <w:t>图</w:t>
      </w:r>
      <w:r w:rsidRPr="00F9522B">
        <w:rPr>
          <w:rFonts w:eastAsiaTheme="minorEastAsia"/>
          <w:b/>
          <w:kern w:val="0"/>
          <w:szCs w:val="21"/>
        </w:rPr>
        <w:t>4-4-</w:t>
      </w:r>
      <w:r w:rsidR="00D8298C" w:rsidRPr="00F9522B">
        <w:rPr>
          <w:rFonts w:eastAsiaTheme="minorEastAsia"/>
          <w:b/>
          <w:kern w:val="0"/>
          <w:szCs w:val="21"/>
        </w:rPr>
        <w:t>1</w:t>
      </w:r>
      <w:r w:rsidRPr="00F9522B">
        <w:rPr>
          <w:rFonts w:eastAsiaTheme="minorEastAsia"/>
          <w:b/>
          <w:kern w:val="0"/>
          <w:szCs w:val="21"/>
        </w:rPr>
        <w:t>黑龙江呼兰河口湿地省级自然保护区划分图</w:t>
      </w:r>
    </w:p>
    <w:p w:rsidR="00B47652" w:rsidRPr="00F9522B" w:rsidRDefault="00B47652" w:rsidP="00B21224">
      <w:pPr>
        <w:ind w:firstLineChars="200" w:firstLine="422"/>
        <w:contextualSpacing/>
        <w:jc w:val="center"/>
        <w:rPr>
          <w:rFonts w:eastAsiaTheme="minorEastAsia"/>
          <w:b/>
          <w:kern w:val="0"/>
          <w:szCs w:val="21"/>
        </w:rPr>
      </w:pPr>
    </w:p>
    <w:p w:rsidR="00B47652" w:rsidRPr="00F9522B" w:rsidRDefault="00B47652" w:rsidP="00B21224">
      <w:pPr>
        <w:ind w:firstLineChars="200" w:firstLine="422"/>
        <w:contextualSpacing/>
        <w:jc w:val="center"/>
        <w:rPr>
          <w:rFonts w:eastAsiaTheme="minorEastAsia"/>
          <w:b/>
          <w:kern w:val="0"/>
          <w:szCs w:val="21"/>
        </w:rPr>
      </w:pPr>
    </w:p>
    <w:p w:rsidR="00B47652" w:rsidRPr="00F9522B" w:rsidRDefault="00B47652" w:rsidP="00B21224">
      <w:pPr>
        <w:ind w:firstLineChars="200" w:firstLine="422"/>
        <w:contextualSpacing/>
        <w:jc w:val="center"/>
        <w:rPr>
          <w:rFonts w:eastAsiaTheme="minorEastAsia"/>
          <w:b/>
          <w:snapToGrid w:val="0"/>
          <w:szCs w:val="21"/>
        </w:rPr>
        <w:sectPr w:rsidR="00B47652" w:rsidRPr="00F9522B">
          <w:pgSz w:w="11906" w:h="16838"/>
          <w:pgMar w:top="1440" w:right="1800" w:bottom="1440" w:left="1800" w:header="851" w:footer="992" w:gutter="0"/>
          <w:cols w:space="425"/>
          <w:docGrid w:type="lines" w:linePitch="312"/>
        </w:sectPr>
      </w:pPr>
    </w:p>
    <w:p w:rsidR="002A5A5E" w:rsidRPr="00F9522B" w:rsidRDefault="00611CBA">
      <w:pPr>
        <w:widowControl/>
        <w:tabs>
          <w:tab w:val="left" w:leader="middleDot" w:pos="7371"/>
        </w:tabs>
        <w:spacing w:before="100" w:beforeAutospacing="1" w:after="100" w:afterAutospacing="1"/>
        <w:contextualSpacing/>
        <w:jc w:val="left"/>
        <w:outlineLvl w:val="0"/>
        <w:rPr>
          <w:rFonts w:eastAsiaTheme="minorEastAsia"/>
          <w:b/>
          <w:kern w:val="0"/>
          <w:sz w:val="32"/>
          <w:szCs w:val="32"/>
        </w:rPr>
      </w:pPr>
      <w:bookmarkStart w:id="121" w:name="_Toc488925382"/>
      <w:bookmarkStart w:id="122" w:name="_Toc208906241"/>
      <w:bookmarkStart w:id="123" w:name="_Toc477954569"/>
      <w:bookmarkStart w:id="124" w:name="_Toc494017090"/>
      <w:r w:rsidRPr="00F9522B">
        <w:rPr>
          <w:rFonts w:eastAsiaTheme="minorEastAsia"/>
          <w:b/>
          <w:kern w:val="0"/>
          <w:sz w:val="32"/>
          <w:szCs w:val="32"/>
        </w:rPr>
        <w:lastRenderedPageBreak/>
        <w:t>5</w:t>
      </w:r>
      <w:r w:rsidRPr="00F9522B">
        <w:rPr>
          <w:rFonts w:eastAsiaTheme="minorEastAsia"/>
          <w:b/>
          <w:kern w:val="0"/>
          <w:sz w:val="32"/>
          <w:szCs w:val="32"/>
        </w:rPr>
        <w:t>环境影响预测与评价</w:t>
      </w:r>
      <w:bookmarkEnd w:id="121"/>
      <w:bookmarkEnd w:id="122"/>
      <w:bookmarkEnd w:id="123"/>
      <w:bookmarkEnd w:id="124"/>
    </w:p>
    <w:p w:rsidR="002A5A5E" w:rsidRPr="00F9522B" w:rsidRDefault="00611CBA">
      <w:pPr>
        <w:spacing w:before="100" w:beforeAutospacing="1" w:after="100" w:afterAutospacing="1"/>
        <w:contextualSpacing/>
        <w:jc w:val="left"/>
        <w:outlineLvl w:val="1"/>
        <w:rPr>
          <w:rFonts w:eastAsiaTheme="minorEastAsia"/>
          <w:b/>
          <w:bCs/>
          <w:kern w:val="44"/>
          <w:sz w:val="30"/>
          <w:szCs w:val="30"/>
        </w:rPr>
      </w:pPr>
      <w:bookmarkStart w:id="125" w:name="_Toc494017091"/>
      <w:bookmarkStart w:id="126" w:name="_Toc208906242"/>
      <w:r w:rsidRPr="00F9522B">
        <w:rPr>
          <w:rFonts w:eastAsiaTheme="minorEastAsia"/>
          <w:b/>
          <w:bCs/>
          <w:kern w:val="44"/>
          <w:sz w:val="30"/>
          <w:szCs w:val="30"/>
        </w:rPr>
        <w:t>5.1</w:t>
      </w:r>
      <w:r w:rsidRPr="00F9522B">
        <w:rPr>
          <w:rFonts w:eastAsiaTheme="minorEastAsia"/>
          <w:b/>
          <w:bCs/>
          <w:kern w:val="44"/>
          <w:sz w:val="30"/>
          <w:szCs w:val="30"/>
        </w:rPr>
        <w:t>施工期环境影响分析</w:t>
      </w:r>
      <w:bookmarkEnd w:id="125"/>
      <w:bookmarkEnd w:id="126"/>
    </w:p>
    <w:p w:rsidR="002A5A5E" w:rsidRPr="00F9522B" w:rsidRDefault="00611CBA">
      <w:pPr>
        <w:autoSpaceDE w:val="0"/>
        <w:autoSpaceDN w:val="0"/>
        <w:spacing w:before="100" w:beforeAutospacing="1" w:after="100" w:afterAutospacing="1"/>
        <w:jc w:val="left"/>
        <w:outlineLvl w:val="2"/>
        <w:rPr>
          <w:rFonts w:eastAsiaTheme="minorEastAsia"/>
          <w:b/>
          <w:sz w:val="28"/>
          <w:szCs w:val="28"/>
        </w:rPr>
      </w:pPr>
      <w:r w:rsidRPr="00F9522B">
        <w:rPr>
          <w:rFonts w:eastAsiaTheme="minorEastAsia"/>
          <w:b/>
          <w:sz w:val="28"/>
          <w:szCs w:val="28"/>
        </w:rPr>
        <w:t>5.1.1</w:t>
      </w:r>
      <w:r w:rsidRPr="00F9522B">
        <w:rPr>
          <w:rFonts w:eastAsiaTheme="minorEastAsia"/>
          <w:b/>
          <w:sz w:val="28"/>
          <w:szCs w:val="28"/>
        </w:rPr>
        <w:t>大气环境影响评价</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施工期大气污染物主要为取料场及堆料场物料存取及运输扬尘、施工机械、泥浆配置、运输车辆尾气，施工环节产生的扬尘。</w:t>
      </w:r>
    </w:p>
    <w:p w:rsidR="002A5A5E" w:rsidRPr="00F9522B" w:rsidRDefault="00611CBA">
      <w:pPr>
        <w:spacing w:line="360" w:lineRule="auto"/>
        <w:ind w:firstLineChars="200" w:firstLine="480"/>
        <w:rPr>
          <w:rFonts w:eastAsiaTheme="minorEastAsia"/>
          <w:bCs/>
          <w:kern w:val="0"/>
          <w:sz w:val="24"/>
        </w:rPr>
      </w:pPr>
      <w:r w:rsidRPr="00F9522B">
        <w:rPr>
          <w:rFonts w:ascii="宋体" w:hAnsi="宋体" w:cs="宋体" w:hint="eastAsia"/>
          <w:bCs/>
          <w:kern w:val="0"/>
          <w:sz w:val="24"/>
        </w:rPr>
        <w:t>①</w:t>
      </w:r>
      <w:r w:rsidRPr="00F9522B">
        <w:rPr>
          <w:rFonts w:eastAsiaTheme="minorEastAsia"/>
          <w:bCs/>
          <w:kern w:val="0"/>
          <w:sz w:val="24"/>
        </w:rPr>
        <w:t>扬尘</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对整个施工期而言，施工产生的扬尘主要集中在土建施工阶段。按起尘的原因可分为风力起尘和动力起尘，其中风力起尘主要是由于露天堆放的建材（如沙土、水泥等）及裸露的施工区表层浮尘因天气干燥及大风，产生风尘扬尘；而动力起尘，主要是在建材的装卸过程中，由于外力而产生的尘粒再悬浮而造成，其中施工及装卸车辆造成的扬尘最为严重。据有关文献资料介绍，车辆行驶产生的扬尘占总扬尘的</w:t>
      </w:r>
      <w:r w:rsidRPr="00F9522B">
        <w:rPr>
          <w:rFonts w:eastAsiaTheme="minorEastAsia"/>
          <w:sz w:val="24"/>
        </w:rPr>
        <w:t>60%</w:t>
      </w:r>
      <w:r w:rsidRPr="00F9522B">
        <w:rPr>
          <w:rFonts w:eastAsiaTheme="minorEastAsia"/>
          <w:sz w:val="24"/>
        </w:rPr>
        <w:t>以上。不同车速和地面清洁程度的汽车扬尘产生情况见表</w:t>
      </w:r>
      <w:r w:rsidRPr="00F9522B">
        <w:rPr>
          <w:rFonts w:eastAsiaTheme="minorEastAsia"/>
          <w:sz w:val="24"/>
        </w:rPr>
        <w:t>5-1-1</w:t>
      </w:r>
      <w:r w:rsidRPr="00F9522B">
        <w:rPr>
          <w:rFonts w:eastAsiaTheme="minorEastAsia"/>
          <w:sz w:val="24"/>
        </w:rPr>
        <w:t>。</w:t>
      </w:r>
    </w:p>
    <w:p w:rsidR="002A5A5E" w:rsidRPr="00F9522B" w:rsidRDefault="00611CBA">
      <w:pPr>
        <w:contextualSpacing/>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5-1-1</w:t>
      </w:r>
      <w:r w:rsidRPr="00F9522B">
        <w:rPr>
          <w:rFonts w:eastAsiaTheme="minorEastAsia"/>
          <w:b/>
          <w:kern w:val="0"/>
          <w:szCs w:val="21"/>
        </w:rPr>
        <w:t>不同车速和地面清洁程度的汽车扬尘</w:t>
      </w:r>
      <w:r w:rsidRPr="00F9522B">
        <w:rPr>
          <w:rFonts w:eastAsiaTheme="minorEastAsia"/>
          <w:b/>
          <w:kern w:val="0"/>
          <w:szCs w:val="21"/>
        </w:rPr>
        <w:t xml:space="preserve">      </w:t>
      </w:r>
      <w:r w:rsidRPr="00F9522B">
        <w:rPr>
          <w:rFonts w:eastAsiaTheme="minorEastAsia"/>
          <w:b/>
          <w:kern w:val="0"/>
          <w:szCs w:val="21"/>
        </w:rPr>
        <w:t>单位：</w:t>
      </w:r>
      <w:r w:rsidRPr="00F9522B">
        <w:rPr>
          <w:rFonts w:eastAsiaTheme="minorEastAsia"/>
          <w:b/>
          <w:kern w:val="0"/>
          <w:szCs w:val="21"/>
        </w:rPr>
        <w:t>kg/</w:t>
      </w:r>
      <w:r w:rsidRPr="00F9522B">
        <w:rPr>
          <w:rFonts w:eastAsiaTheme="minorEastAsia"/>
          <w:b/>
          <w:kern w:val="0"/>
          <w:szCs w:val="21"/>
        </w:rPr>
        <w:t>辆</w:t>
      </w:r>
      <w:r w:rsidRPr="00F9522B">
        <w:rPr>
          <w:rFonts w:eastAsiaTheme="minorEastAsia"/>
          <w:b/>
          <w:kern w:val="0"/>
          <w:szCs w:val="21"/>
        </w:rPr>
        <w:t>·km</w:t>
      </w:r>
    </w:p>
    <w:tbl>
      <w:tblPr>
        <w:tblW w:w="5000" w:type="pct"/>
        <w:tblBorders>
          <w:top w:val="single" w:sz="12" w:space="0" w:color="auto"/>
          <w:bottom w:val="single" w:sz="12" w:space="0" w:color="auto"/>
          <w:insideH w:val="single" w:sz="4" w:space="0" w:color="auto"/>
          <w:insideV w:val="single" w:sz="4" w:space="0" w:color="auto"/>
        </w:tblBorders>
        <w:tblLayout w:type="fixed"/>
        <w:tblLook w:val="04A0"/>
      </w:tblPr>
      <w:tblGrid>
        <w:gridCol w:w="1525"/>
        <w:gridCol w:w="1133"/>
        <w:gridCol w:w="1018"/>
        <w:gridCol w:w="1212"/>
        <w:gridCol w:w="1212"/>
        <w:gridCol w:w="1212"/>
        <w:gridCol w:w="1210"/>
      </w:tblGrid>
      <w:tr w:rsidR="002A5A5E" w:rsidRPr="00F9522B">
        <w:tc>
          <w:tcPr>
            <w:tcW w:w="895" w:type="pct"/>
            <w:shd w:val="clear" w:color="auto" w:fill="auto"/>
            <w:vAlign w:val="center"/>
          </w:tcPr>
          <w:p w:rsidR="002A5A5E" w:rsidRPr="00F9522B" w:rsidRDefault="00611CBA">
            <w:pPr>
              <w:pStyle w:val="aff7"/>
              <w:rPr>
                <w:rFonts w:eastAsiaTheme="minorEastAsia" w:hAnsi="Times New Roman"/>
                <w:snapToGrid w:val="0"/>
                <w:szCs w:val="22"/>
              </w:rPr>
            </w:pPr>
            <w:r w:rsidRPr="00F9522B">
              <w:rPr>
                <w:rFonts w:eastAsiaTheme="minorEastAsia" w:hAnsi="Times New Roman"/>
                <w:snapToGrid w:val="0"/>
                <w:szCs w:val="22"/>
              </w:rPr>
              <w:t xml:space="preserve"> P(kg/m</w:t>
            </w:r>
            <w:r w:rsidRPr="00F9522B">
              <w:rPr>
                <w:rFonts w:eastAsiaTheme="minorEastAsia" w:hAnsi="Times New Roman"/>
                <w:snapToGrid w:val="0"/>
                <w:szCs w:val="22"/>
                <w:vertAlign w:val="superscript"/>
              </w:rPr>
              <w:t>2</w:t>
            </w:r>
            <w:r w:rsidRPr="00F9522B">
              <w:rPr>
                <w:rFonts w:eastAsiaTheme="minorEastAsia" w:hAnsi="Times New Roman"/>
                <w:snapToGrid w:val="0"/>
                <w:szCs w:val="22"/>
              </w:rPr>
              <w:t>)</w:t>
            </w:r>
            <w:r w:rsidRPr="00F9522B">
              <w:rPr>
                <w:rFonts w:eastAsiaTheme="minorEastAsia" w:hAnsi="Times New Roman"/>
                <w:snapToGrid w:val="0"/>
                <w:szCs w:val="22"/>
              </w:rPr>
              <w:t>车速</w:t>
            </w:r>
          </w:p>
        </w:tc>
        <w:tc>
          <w:tcPr>
            <w:tcW w:w="665" w:type="pct"/>
            <w:shd w:val="clear" w:color="auto" w:fill="auto"/>
            <w:vAlign w:val="center"/>
          </w:tcPr>
          <w:p w:rsidR="002A5A5E" w:rsidRPr="00F9522B" w:rsidRDefault="00611CBA">
            <w:pPr>
              <w:pStyle w:val="aff7"/>
              <w:rPr>
                <w:rFonts w:eastAsiaTheme="minorEastAsia" w:hAnsi="Times New Roman"/>
                <w:snapToGrid w:val="0"/>
                <w:szCs w:val="22"/>
              </w:rPr>
            </w:pPr>
            <w:r w:rsidRPr="00F9522B">
              <w:rPr>
                <w:rFonts w:eastAsiaTheme="minorEastAsia" w:hAnsi="Times New Roman"/>
                <w:snapToGrid w:val="0"/>
                <w:szCs w:val="22"/>
              </w:rPr>
              <w:t>0.1</w:t>
            </w:r>
          </w:p>
        </w:tc>
        <w:tc>
          <w:tcPr>
            <w:tcW w:w="597" w:type="pct"/>
            <w:shd w:val="clear" w:color="auto" w:fill="auto"/>
            <w:vAlign w:val="center"/>
          </w:tcPr>
          <w:p w:rsidR="002A5A5E" w:rsidRPr="00F9522B" w:rsidRDefault="00611CBA">
            <w:pPr>
              <w:pStyle w:val="aff7"/>
              <w:rPr>
                <w:rFonts w:eastAsiaTheme="minorEastAsia" w:hAnsi="Times New Roman"/>
                <w:snapToGrid w:val="0"/>
                <w:szCs w:val="22"/>
              </w:rPr>
            </w:pPr>
            <w:r w:rsidRPr="00F9522B">
              <w:rPr>
                <w:rFonts w:eastAsiaTheme="minorEastAsia" w:hAnsi="Times New Roman"/>
                <w:snapToGrid w:val="0"/>
                <w:szCs w:val="22"/>
              </w:rPr>
              <w:t>0.2</w:t>
            </w:r>
          </w:p>
        </w:tc>
        <w:tc>
          <w:tcPr>
            <w:tcW w:w="711" w:type="pct"/>
            <w:shd w:val="clear" w:color="auto" w:fill="auto"/>
            <w:vAlign w:val="center"/>
          </w:tcPr>
          <w:p w:rsidR="002A5A5E" w:rsidRPr="00F9522B" w:rsidRDefault="00611CBA">
            <w:pPr>
              <w:pStyle w:val="aff7"/>
              <w:rPr>
                <w:rFonts w:eastAsiaTheme="minorEastAsia" w:hAnsi="Times New Roman"/>
                <w:snapToGrid w:val="0"/>
                <w:szCs w:val="22"/>
              </w:rPr>
            </w:pPr>
            <w:r w:rsidRPr="00F9522B">
              <w:rPr>
                <w:rFonts w:eastAsiaTheme="minorEastAsia" w:hAnsi="Times New Roman"/>
                <w:snapToGrid w:val="0"/>
                <w:szCs w:val="22"/>
              </w:rPr>
              <w:t>0.3</w:t>
            </w:r>
          </w:p>
        </w:tc>
        <w:tc>
          <w:tcPr>
            <w:tcW w:w="711" w:type="pct"/>
            <w:shd w:val="clear" w:color="auto" w:fill="auto"/>
            <w:vAlign w:val="center"/>
          </w:tcPr>
          <w:p w:rsidR="002A5A5E" w:rsidRPr="00F9522B" w:rsidRDefault="00611CBA">
            <w:pPr>
              <w:pStyle w:val="aff7"/>
              <w:rPr>
                <w:rFonts w:eastAsiaTheme="minorEastAsia" w:hAnsi="Times New Roman"/>
                <w:snapToGrid w:val="0"/>
                <w:szCs w:val="22"/>
              </w:rPr>
            </w:pPr>
            <w:r w:rsidRPr="00F9522B">
              <w:rPr>
                <w:rFonts w:eastAsiaTheme="minorEastAsia" w:hAnsi="Times New Roman"/>
                <w:snapToGrid w:val="0"/>
                <w:szCs w:val="22"/>
              </w:rPr>
              <w:t>0.4</w:t>
            </w:r>
          </w:p>
        </w:tc>
        <w:tc>
          <w:tcPr>
            <w:tcW w:w="711" w:type="pct"/>
            <w:shd w:val="clear" w:color="auto" w:fill="auto"/>
            <w:vAlign w:val="center"/>
          </w:tcPr>
          <w:p w:rsidR="002A5A5E" w:rsidRPr="00F9522B" w:rsidRDefault="00611CBA">
            <w:pPr>
              <w:pStyle w:val="aff7"/>
              <w:rPr>
                <w:rFonts w:eastAsiaTheme="minorEastAsia" w:hAnsi="Times New Roman"/>
                <w:snapToGrid w:val="0"/>
                <w:szCs w:val="22"/>
              </w:rPr>
            </w:pPr>
            <w:r w:rsidRPr="00F9522B">
              <w:rPr>
                <w:rFonts w:eastAsiaTheme="minorEastAsia" w:hAnsi="Times New Roman"/>
                <w:snapToGrid w:val="0"/>
                <w:szCs w:val="22"/>
              </w:rPr>
              <w:t>0.5</w:t>
            </w:r>
          </w:p>
        </w:tc>
        <w:tc>
          <w:tcPr>
            <w:tcW w:w="710" w:type="pct"/>
            <w:shd w:val="clear" w:color="auto" w:fill="auto"/>
            <w:vAlign w:val="center"/>
          </w:tcPr>
          <w:p w:rsidR="002A5A5E" w:rsidRPr="00F9522B" w:rsidRDefault="00611CBA">
            <w:pPr>
              <w:pStyle w:val="aff7"/>
              <w:rPr>
                <w:rFonts w:eastAsiaTheme="minorEastAsia" w:hAnsi="Times New Roman"/>
                <w:snapToGrid w:val="0"/>
                <w:szCs w:val="22"/>
              </w:rPr>
            </w:pPr>
            <w:r w:rsidRPr="00F9522B">
              <w:rPr>
                <w:rFonts w:eastAsiaTheme="minorEastAsia" w:hAnsi="Times New Roman"/>
                <w:snapToGrid w:val="0"/>
                <w:szCs w:val="22"/>
              </w:rPr>
              <w:t>1.0</w:t>
            </w:r>
          </w:p>
        </w:tc>
      </w:tr>
      <w:tr w:rsidR="002A5A5E" w:rsidRPr="00F9522B">
        <w:tc>
          <w:tcPr>
            <w:tcW w:w="895" w:type="pct"/>
            <w:shd w:val="clear" w:color="auto" w:fill="auto"/>
            <w:vAlign w:val="center"/>
          </w:tcPr>
          <w:p w:rsidR="002A5A5E" w:rsidRPr="00F9522B" w:rsidRDefault="00611CBA">
            <w:pPr>
              <w:pStyle w:val="aff7"/>
              <w:rPr>
                <w:rFonts w:eastAsiaTheme="minorEastAsia" w:hAnsi="Times New Roman"/>
                <w:snapToGrid w:val="0"/>
                <w:szCs w:val="22"/>
              </w:rPr>
            </w:pPr>
            <w:r w:rsidRPr="00F9522B">
              <w:rPr>
                <w:rFonts w:eastAsiaTheme="minorEastAsia" w:hAnsi="Times New Roman"/>
                <w:snapToGrid w:val="0"/>
                <w:szCs w:val="22"/>
              </w:rPr>
              <w:t>5(km/hr)</w:t>
            </w:r>
          </w:p>
        </w:tc>
        <w:tc>
          <w:tcPr>
            <w:tcW w:w="665" w:type="pct"/>
            <w:shd w:val="clear" w:color="auto" w:fill="auto"/>
            <w:vAlign w:val="center"/>
          </w:tcPr>
          <w:p w:rsidR="002A5A5E" w:rsidRPr="00F9522B" w:rsidRDefault="00611CBA">
            <w:pPr>
              <w:pStyle w:val="aff7"/>
              <w:rPr>
                <w:rFonts w:eastAsiaTheme="minorEastAsia" w:hAnsi="Times New Roman"/>
                <w:snapToGrid w:val="0"/>
                <w:szCs w:val="22"/>
              </w:rPr>
            </w:pPr>
            <w:r w:rsidRPr="00F9522B">
              <w:rPr>
                <w:rFonts w:eastAsiaTheme="minorEastAsia" w:hAnsi="Times New Roman"/>
                <w:snapToGrid w:val="0"/>
                <w:szCs w:val="22"/>
              </w:rPr>
              <w:t>0.051056</w:t>
            </w:r>
          </w:p>
        </w:tc>
        <w:tc>
          <w:tcPr>
            <w:tcW w:w="597" w:type="pct"/>
            <w:shd w:val="clear" w:color="auto" w:fill="auto"/>
            <w:vAlign w:val="center"/>
          </w:tcPr>
          <w:p w:rsidR="002A5A5E" w:rsidRPr="00F9522B" w:rsidRDefault="00611CBA">
            <w:pPr>
              <w:pStyle w:val="aff7"/>
              <w:rPr>
                <w:rFonts w:eastAsiaTheme="minorEastAsia" w:hAnsi="Times New Roman"/>
                <w:snapToGrid w:val="0"/>
                <w:szCs w:val="22"/>
              </w:rPr>
            </w:pPr>
            <w:r w:rsidRPr="00F9522B">
              <w:rPr>
                <w:rFonts w:eastAsiaTheme="minorEastAsia" w:hAnsi="Times New Roman"/>
                <w:snapToGrid w:val="0"/>
                <w:szCs w:val="22"/>
              </w:rPr>
              <w:t>0.085865</w:t>
            </w:r>
          </w:p>
        </w:tc>
        <w:tc>
          <w:tcPr>
            <w:tcW w:w="711" w:type="pct"/>
            <w:shd w:val="clear" w:color="auto" w:fill="auto"/>
            <w:vAlign w:val="center"/>
          </w:tcPr>
          <w:p w:rsidR="002A5A5E" w:rsidRPr="00F9522B" w:rsidRDefault="00611CBA">
            <w:pPr>
              <w:pStyle w:val="aff7"/>
              <w:rPr>
                <w:rFonts w:eastAsiaTheme="minorEastAsia" w:hAnsi="Times New Roman"/>
                <w:snapToGrid w:val="0"/>
                <w:szCs w:val="22"/>
              </w:rPr>
            </w:pPr>
            <w:r w:rsidRPr="00F9522B">
              <w:rPr>
                <w:rFonts w:eastAsiaTheme="minorEastAsia" w:hAnsi="Times New Roman"/>
                <w:snapToGrid w:val="0"/>
                <w:szCs w:val="22"/>
              </w:rPr>
              <w:t>0.116382</w:t>
            </w:r>
          </w:p>
        </w:tc>
        <w:tc>
          <w:tcPr>
            <w:tcW w:w="711" w:type="pct"/>
            <w:shd w:val="clear" w:color="auto" w:fill="auto"/>
            <w:vAlign w:val="center"/>
          </w:tcPr>
          <w:p w:rsidR="002A5A5E" w:rsidRPr="00F9522B" w:rsidRDefault="00611CBA">
            <w:pPr>
              <w:pStyle w:val="aff7"/>
              <w:rPr>
                <w:rFonts w:eastAsiaTheme="minorEastAsia" w:hAnsi="Times New Roman"/>
                <w:snapToGrid w:val="0"/>
                <w:szCs w:val="22"/>
              </w:rPr>
            </w:pPr>
            <w:r w:rsidRPr="00F9522B">
              <w:rPr>
                <w:rFonts w:eastAsiaTheme="minorEastAsia" w:hAnsi="Times New Roman"/>
                <w:snapToGrid w:val="0"/>
                <w:szCs w:val="22"/>
              </w:rPr>
              <w:t>0.144408</w:t>
            </w:r>
          </w:p>
        </w:tc>
        <w:tc>
          <w:tcPr>
            <w:tcW w:w="711" w:type="pct"/>
            <w:shd w:val="clear" w:color="auto" w:fill="auto"/>
            <w:vAlign w:val="center"/>
          </w:tcPr>
          <w:p w:rsidR="002A5A5E" w:rsidRPr="00F9522B" w:rsidRDefault="00611CBA">
            <w:pPr>
              <w:pStyle w:val="aff7"/>
              <w:rPr>
                <w:rFonts w:eastAsiaTheme="minorEastAsia" w:hAnsi="Times New Roman"/>
                <w:snapToGrid w:val="0"/>
                <w:szCs w:val="22"/>
              </w:rPr>
            </w:pPr>
            <w:r w:rsidRPr="00F9522B">
              <w:rPr>
                <w:rFonts w:eastAsiaTheme="minorEastAsia" w:hAnsi="Times New Roman"/>
                <w:snapToGrid w:val="0"/>
                <w:szCs w:val="22"/>
              </w:rPr>
              <w:t>0.170715</w:t>
            </w:r>
          </w:p>
        </w:tc>
        <w:tc>
          <w:tcPr>
            <w:tcW w:w="710" w:type="pct"/>
            <w:shd w:val="clear" w:color="auto" w:fill="auto"/>
            <w:vAlign w:val="center"/>
          </w:tcPr>
          <w:p w:rsidR="002A5A5E" w:rsidRPr="00F9522B" w:rsidRDefault="00611CBA">
            <w:pPr>
              <w:pStyle w:val="aff7"/>
              <w:rPr>
                <w:rFonts w:eastAsiaTheme="minorEastAsia" w:hAnsi="Times New Roman"/>
                <w:snapToGrid w:val="0"/>
                <w:szCs w:val="22"/>
              </w:rPr>
            </w:pPr>
            <w:r w:rsidRPr="00F9522B">
              <w:rPr>
                <w:rFonts w:eastAsiaTheme="minorEastAsia" w:hAnsi="Times New Roman"/>
                <w:snapToGrid w:val="0"/>
                <w:szCs w:val="22"/>
              </w:rPr>
              <w:t>0.287108</w:t>
            </w:r>
          </w:p>
        </w:tc>
      </w:tr>
      <w:tr w:rsidR="002A5A5E" w:rsidRPr="00F9522B">
        <w:tc>
          <w:tcPr>
            <w:tcW w:w="895" w:type="pct"/>
            <w:shd w:val="clear" w:color="auto" w:fill="auto"/>
            <w:vAlign w:val="center"/>
          </w:tcPr>
          <w:p w:rsidR="002A5A5E" w:rsidRPr="00F9522B" w:rsidRDefault="00611CBA">
            <w:pPr>
              <w:pStyle w:val="aff7"/>
              <w:rPr>
                <w:rFonts w:eastAsiaTheme="minorEastAsia" w:hAnsi="Times New Roman"/>
                <w:snapToGrid w:val="0"/>
                <w:szCs w:val="22"/>
              </w:rPr>
            </w:pPr>
            <w:r w:rsidRPr="00F9522B">
              <w:rPr>
                <w:rFonts w:eastAsiaTheme="minorEastAsia" w:hAnsi="Times New Roman"/>
                <w:snapToGrid w:val="0"/>
                <w:szCs w:val="22"/>
              </w:rPr>
              <w:t>10(km/hr)</w:t>
            </w:r>
          </w:p>
        </w:tc>
        <w:tc>
          <w:tcPr>
            <w:tcW w:w="665" w:type="pct"/>
            <w:shd w:val="clear" w:color="auto" w:fill="auto"/>
            <w:vAlign w:val="center"/>
          </w:tcPr>
          <w:p w:rsidR="002A5A5E" w:rsidRPr="00F9522B" w:rsidRDefault="00611CBA">
            <w:pPr>
              <w:pStyle w:val="aff7"/>
              <w:rPr>
                <w:rFonts w:eastAsiaTheme="minorEastAsia" w:hAnsi="Times New Roman"/>
                <w:snapToGrid w:val="0"/>
                <w:szCs w:val="22"/>
              </w:rPr>
            </w:pPr>
            <w:r w:rsidRPr="00F9522B">
              <w:rPr>
                <w:rFonts w:eastAsiaTheme="minorEastAsia" w:hAnsi="Times New Roman"/>
                <w:snapToGrid w:val="0"/>
                <w:szCs w:val="22"/>
              </w:rPr>
              <w:t>0.102112</w:t>
            </w:r>
          </w:p>
        </w:tc>
        <w:tc>
          <w:tcPr>
            <w:tcW w:w="597" w:type="pct"/>
            <w:shd w:val="clear" w:color="auto" w:fill="auto"/>
            <w:vAlign w:val="center"/>
          </w:tcPr>
          <w:p w:rsidR="002A5A5E" w:rsidRPr="00F9522B" w:rsidRDefault="00611CBA">
            <w:pPr>
              <w:pStyle w:val="aff7"/>
              <w:rPr>
                <w:rFonts w:eastAsiaTheme="minorEastAsia" w:hAnsi="Times New Roman"/>
                <w:snapToGrid w:val="0"/>
                <w:szCs w:val="22"/>
              </w:rPr>
            </w:pPr>
            <w:r w:rsidRPr="00F9522B">
              <w:rPr>
                <w:rFonts w:eastAsiaTheme="minorEastAsia" w:hAnsi="Times New Roman"/>
                <w:snapToGrid w:val="0"/>
                <w:szCs w:val="22"/>
              </w:rPr>
              <w:t>0.171731</w:t>
            </w:r>
          </w:p>
        </w:tc>
        <w:tc>
          <w:tcPr>
            <w:tcW w:w="711" w:type="pct"/>
            <w:shd w:val="clear" w:color="auto" w:fill="auto"/>
            <w:vAlign w:val="center"/>
          </w:tcPr>
          <w:p w:rsidR="002A5A5E" w:rsidRPr="00F9522B" w:rsidRDefault="00611CBA">
            <w:pPr>
              <w:pStyle w:val="aff7"/>
              <w:rPr>
                <w:rFonts w:eastAsiaTheme="minorEastAsia" w:hAnsi="Times New Roman"/>
                <w:snapToGrid w:val="0"/>
                <w:szCs w:val="22"/>
              </w:rPr>
            </w:pPr>
            <w:r w:rsidRPr="00F9522B">
              <w:rPr>
                <w:rFonts w:eastAsiaTheme="minorEastAsia" w:hAnsi="Times New Roman"/>
                <w:snapToGrid w:val="0"/>
                <w:szCs w:val="22"/>
              </w:rPr>
              <w:t>0.232764</w:t>
            </w:r>
          </w:p>
        </w:tc>
        <w:tc>
          <w:tcPr>
            <w:tcW w:w="711" w:type="pct"/>
            <w:shd w:val="clear" w:color="auto" w:fill="auto"/>
            <w:vAlign w:val="center"/>
          </w:tcPr>
          <w:p w:rsidR="002A5A5E" w:rsidRPr="00F9522B" w:rsidRDefault="00611CBA">
            <w:pPr>
              <w:pStyle w:val="aff7"/>
              <w:rPr>
                <w:rFonts w:eastAsiaTheme="minorEastAsia" w:hAnsi="Times New Roman"/>
                <w:snapToGrid w:val="0"/>
                <w:szCs w:val="22"/>
              </w:rPr>
            </w:pPr>
            <w:r w:rsidRPr="00F9522B">
              <w:rPr>
                <w:rFonts w:eastAsiaTheme="minorEastAsia" w:hAnsi="Times New Roman"/>
                <w:snapToGrid w:val="0"/>
                <w:szCs w:val="22"/>
              </w:rPr>
              <w:t>0.288815</w:t>
            </w:r>
          </w:p>
        </w:tc>
        <w:tc>
          <w:tcPr>
            <w:tcW w:w="711" w:type="pct"/>
            <w:shd w:val="clear" w:color="auto" w:fill="auto"/>
            <w:vAlign w:val="center"/>
          </w:tcPr>
          <w:p w:rsidR="002A5A5E" w:rsidRPr="00F9522B" w:rsidRDefault="00611CBA">
            <w:pPr>
              <w:pStyle w:val="aff7"/>
              <w:rPr>
                <w:rFonts w:eastAsiaTheme="minorEastAsia" w:hAnsi="Times New Roman"/>
                <w:snapToGrid w:val="0"/>
                <w:szCs w:val="22"/>
              </w:rPr>
            </w:pPr>
            <w:r w:rsidRPr="00F9522B">
              <w:rPr>
                <w:rFonts w:eastAsiaTheme="minorEastAsia" w:hAnsi="Times New Roman"/>
                <w:snapToGrid w:val="0"/>
                <w:szCs w:val="22"/>
              </w:rPr>
              <w:t>0.341431</w:t>
            </w:r>
          </w:p>
        </w:tc>
        <w:tc>
          <w:tcPr>
            <w:tcW w:w="710" w:type="pct"/>
            <w:shd w:val="clear" w:color="auto" w:fill="auto"/>
            <w:vAlign w:val="center"/>
          </w:tcPr>
          <w:p w:rsidR="002A5A5E" w:rsidRPr="00F9522B" w:rsidRDefault="00611CBA">
            <w:pPr>
              <w:pStyle w:val="aff7"/>
              <w:rPr>
                <w:rFonts w:eastAsiaTheme="minorEastAsia" w:hAnsi="Times New Roman"/>
                <w:snapToGrid w:val="0"/>
                <w:szCs w:val="22"/>
              </w:rPr>
            </w:pPr>
            <w:r w:rsidRPr="00F9522B">
              <w:rPr>
                <w:rFonts w:eastAsiaTheme="minorEastAsia" w:hAnsi="Times New Roman"/>
                <w:snapToGrid w:val="0"/>
                <w:szCs w:val="22"/>
              </w:rPr>
              <w:t>0.574216</w:t>
            </w:r>
          </w:p>
        </w:tc>
      </w:tr>
      <w:tr w:rsidR="002A5A5E" w:rsidRPr="00F9522B">
        <w:tc>
          <w:tcPr>
            <w:tcW w:w="895" w:type="pct"/>
            <w:shd w:val="clear" w:color="auto" w:fill="auto"/>
            <w:vAlign w:val="center"/>
          </w:tcPr>
          <w:p w:rsidR="002A5A5E" w:rsidRPr="00F9522B" w:rsidRDefault="00611CBA">
            <w:pPr>
              <w:pStyle w:val="aff7"/>
              <w:rPr>
                <w:rFonts w:eastAsiaTheme="minorEastAsia" w:hAnsi="Times New Roman"/>
                <w:snapToGrid w:val="0"/>
                <w:szCs w:val="22"/>
              </w:rPr>
            </w:pPr>
            <w:r w:rsidRPr="00F9522B">
              <w:rPr>
                <w:rFonts w:eastAsiaTheme="minorEastAsia" w:hAnsi="Times New Roman"/>
                <w:snapToGrid w:val="0"/>
                <w:szCs w:val="22"/>
              </w:rPr>
              <w:t>15(km/hr)</w:t>
            </w:r>
          </w:p>
        </w:tc>
        <w:tc>
          <w:tcPr>
            <w:tcW w:w="665" w:type="pct"/>
            <w:shd w:val="clear" w:color="auto" w:fill="auto"/>
            <w:vAlign w:val="center"/>
          </w:tcPr>
          <w:p w:rsidR="002A5A5E" w:rsidRPr="00F9522B" w:rsidRDefault="00611CBA">
            <w:pPr>
              <w:pStyle w:val="aff7"/>
              <w:rPr>
                <w:rFonts w:eastAsiaTheme="minorEastAsia" w:hAnsi="Times New Roman"/>
                <w:snapToGrid w:val="0"/>
                <w:szCs w:val="22"/>
              </w:rPr>
            </w:pPr>
            <w:r w:rsidRPr="00F9522B">
              <w:rPr>
                <w:rFonts w:eastAsiaTheme="minorEastAsia" w:hAnsi="Times New Roman"/>
                <w:snapToGrid w:val="0"/>
                <w:szCs w:val="22"/>
              </w:rPr>
              <w:t>0.153167</w:t>
            </w:r>
          </w:p>
        </w:tc>
        <w:tc>
          <w:tcPr>
            <w:tcW w:w="597" w:type="pct"/>
            <w:shd w:val="clear" w:color="auto" w:fill="auto"/>
            <w:vAlign w:val="center"/>
          </w:tcPr>
          <w:p w:rsidR="002A5A5E" w:rsidRPr="00F9522B" w:rsidRDefault="00611CBA">
            <w:pPr>
              <w:pStyle w:val="aff7"/>
              <w:rPr>
                <w:rFonts w:eastAsiaTheme="minorEastAsia" w:hAnsi="Times New Roman"/>
                <w:snapToGrid w:val="0"/>
                <w:szCs w:val="22"/>
              </w:rPr>
            </w:pPr>
            <w:r w:rsidRPr="00F9522B">
              <w:rPr>
                <w:rFonts w:eastAsiaTheme="minorEastAsia" w:hAnsi="Times New Roman"/>
                <w:snapToGrid w:val="0"/>
                <w:szCs w:val="22"/>
              </w:rPr>
              <w:t>0.257596</w:t>
            </w:r>
          </w:p>
        </w:tc>
        <w:tc>
          <w:tcPr>
            <w:tcW w:w="711" w:type="pct"/>
            <w:shd w:val="clear" w:color="auto" w:fill="auto"/>
            <w:vAlign w:val="center"/>
          </w:tcPr>
          <w:p w:rsidR="002A5A5E" w:rsidRPr="00F9522B" w:rsidRDefault="00611CBA">
            <w:pPr>
              <w:pStyle w:val="aff7"/>
              <w:rPr>
                <w:rFonts w:eastAsiaTheme="minorEastAsia" w:hAnsi="Times New Roman"/>
                <w:snapToGrid w:val="0"/>
                <w:szCs w:val="22"/>
              </w:rPr>
            </w:pPr>
            <w:r w:rsidRPr="00F9522B">
              <w:rPr>
                <w:rFonts w:eastAsiaTheme="minorEastAsia" w:hAnsi="Times New Roman"/>
                <w:snapToGrid w:val="0"/>
                <w:szCs w:val="22"/>
              </w:rPr>
              <w:t>0.349146</w:t>
            </w:r>
          </w:p>
        </w:tc>
        <w:tc>
          <w:tcPr>
            <w:tcW w:w="711" w:type="pct"/>
            <w:shd w:val="clear" w:color="auto" w:fill="auto"/>
            <w:vAlign w:val="center"/>
          </w:tcPr>
          <w:p w:rsidR="002A5A5E" w:rsidRPr="00F9522B" w:rsidRDefault="00611CBA">
            <w:pPr>
              <w:pStyle w:val="aff7"/>
              <w:rPr>
                <w:rFonts w:eastAsiaTheme="minorEastAsia" w:hAnsi="Times New Roman"/>
                <w:snapToGrid w:val="0"/>
                <w:szCs w:val="22"/>
              </w:rPr>
            </w:pPr>
            <w:r w:rsidRPr="00F9522B">
              <w:rPr>
                <w:rFonts w:eastAsiaTheme="minorEastAsia" w:hAnsi="Times New Roman"/>
                <w:snapToGrid w:val="0"/>
                <w:szCs w:val="22"/>
              </w:rPr>
              <w:t>0.433223</w:t>
            </w:r>
          </w:p>
        </w:tc>
        <w:tc>
          <w:tcPr>
            <w:tcW w:w="711" w:type="pct"/>
            <w:shd w:val="clear" w:color="auto" w:fill="auto"/>
            <w:vAlign w:val="center"/>
          </w:tcPr>
          <w:p w:rsidR="002A5A5E" w:rsidRPr="00F9522B" w:rsidRDefault="00611CBA">
            <w:pPr>
              <w:pStyle w:val="aff7"/>
              <w:rPr>
                <w:rFonts w:eastAsiaTheme="minorEastAsia" w:hAnsi="Times New Roman"/>
                <w:snapToGrid w:val="0"/>
                <w:szCs w:val="22"/>
              </w:rPr>
            </w:pPr>
            <w:r w:rsidRPr="00F9522B">
              <w:rPr>
                <w:rFonts w:eastAsiaTheme="minorEastAsia" w:hAnsi="Times New Roman"/>
                <w:snapToGrid w:val="0"/>
                <w:szCs w:val="22"/>
              </w:rPr>
              <w:t>0.512146</w:t>
            </w:r>
          </w:p>
        </w:tc>
        <w:tc>
          <w:tcPr>
            <w:tcW w:w="710" w:type="pct"/>
            <w:shd w:val="clear" w:color="auto" w:fill="auto"/>
            <w:vAlign w:val="center"/>
          </w:tcPr>
          <w:p w:rsidR="002A5A5E" w:rsidRPr="00F9522B" w:rsidRDefault="00611CBA">
            <w:pPr>
              <w:pStyle w:val="aff7"/>
              <w:rPr>
                <w:rFonts w:eastAsiaTheme="minorEastAsia" w:hAnsi="Times New Roman"/>
                <w:snapToGrid w:val="0"/>
                <w:szCs w:val="22"/>
              </w:rPr>
            </w:pPr>
            <w:r w:rsidRPr="00F9522B">
              <w:rPr>
                <w:rFonts w:eastAsiaTheme="minorEastAsia" w:hAnsi="Times New Roman"/>
                <w:snapToGrid w:val="0"/>
                <w:szCs w:val="22"/>
              </w:rPr>
              <w:t>0.861323</w:t>
            </w:r>
          </w:p>
        </w:tc>
      </w:tr>
      <w:tr w:rsidR="002A5A5E" w:rsidRPr="00F9522B">
        <w:tc>
          <w:tcPr>
            <w:tcW w:w="895" w:type="pct"/>
            <w:shd w:val="clear" w:color="auto" w:fill="auto"/>
            <w:vAlign w:val="center"/>
          </w:tcPr>
          <w:p w:rsidR="002A5A5E" w:rsidRPr="00F9522B" w:rsidRDefault="00611CBA">
            <w:pPr>
              <w:pStyle w:val="aff7"/>
              <w:rPr>
                <w:rFonts w:eastAsiaTheme="minorEastAsia" w:hAnsi="Times New Roman"/>
                <w:snapToGrid w:val="0"/>
                <w:szCs w:val="22"/>
              </w:rPr>
            </w:pPr>
            <w:r w:rsidRPr="00F9522B">
              <w:rPr>
                <w:rFonts w:eastAsiaTheme="minorEastAsia" w:hAnsi="Times New Roman"/>
                <w:snapToGrid w:val="0"/>
                <w:szCs w:val="22"/>
              </w:rPr>
              <w:t>25(km/hr)</w:t>
            </w:r>
          </w:p>
        </w:tc>
        <w:tc>
          <w:tcPr>
            <w:tcW w:w="665" w:type="pct"/>
            <w:shd w:val="clear" w:color="auto" w:fill="auto"/>
            <w:vAlign w:val="center"/>
          </w:tcPr>
          <w:p w:rsidR="002A5A5E" w:rsidRPr="00F9522B" w:rsidRDefault="00611CBA">
            <w:pPr>
              <w:pStyle w:val="aff7"/>
              <w:rPr>
                <w:rFonts w:eastAsiaTheme="minorEastAsia" w:hAnsi="Times New Roman"/>
                <w:snapToGrid w:val="0"/>
                <w:szCs w:val="22"/>
              </w:rPr>
            </w:pPr>
            <w:r w:rsidRPr="00F9522B">
              <w:rPr>
                <w:rFonts w:eastAsiaTheme="minorEastAsia" w:hAnsi="Times New Roman"/>
                <w:snapToGrid w:val="0"/>
                <w:szCs w:val="22"/>
              </w:rPr>
              <w:t>0.255279</w:t>
            </w:r>
          </w:p>
        </w:tc>
        <w:tc>
          <w:tcPr>
            <w:tcW w:w="597" w:type="pct"/>
            <w:shd w:val="clear" w:color="auto" w:fill="auto"/>
            <w:vAlign w:val="center"/>
          </w:tcPr>
          <w:p w:rsidR="002A5A5E" w:rsidRPr="00F9522B" w:rsidRDefault="00611CBA">
            <w:pPr>
              <w:pStyle w:val="aff7"/>
              <w:rPr>
                <w:rFonts w:eastAsiaTheme="minorEastAsia" w:hAnsi="Times New Roman"/>
                <w:snapToGrid w:val="0"/>
                <w:szCs w:val="22"/>
              </w:rPr>
            </w:pPr>
            <w:r w:rsidRPr="00F9522B">
              <w:rPr>
                <w:rFonts w:eastAsiaTheme="minorEastAsia" w:hAnsi="Times New Roman"/>
                <w:snapToGrid w:val="0"/>
                <w:szCs w:val="22"/>
              </w:rPr>
              <w:t>0.429326</w:t>
            </w:r>
          </w:p>
        </w:tc>
        <w:tc>
          <w:tcPr>
            <w:tcW w:w="711" w:type="pct"/>
            <w:shd w:val="clear" w:color="auto" w:fill="auto"/>
            <w:vAlign w:val="center"/>
          </w:tcPr>
          <w:p w:rsidR="002A5A5E" w:rsidRPr="00F9522B" w:rsidRDefault="00611CBA">
            <w:pPr>
              <w:pStyle w:val="aff7"/>
              <w:rPr>
                <w:rFonts w:eastAsiaTheme="minorEastAsia" w:hAnsi="Times New Roman"/>
                <w:snapToGrid w:val="0"/>
                <w:szCs w:val="22"/>
              </w:rPr>
            </w:pPr>
            <w:r w:rsidRPr="00F9522B">
              <w:rPr>
                <w:rFonts w:eastAsiaTheme="minorEastAsia" w:hAnsi="Times New Roman"/>
                <w:snapToGrid w:val="0"/>
                <w:szCs w:val="22"/>
              </w:rPr>
              <w:t>0.58191</w:t>
            </w:r>
          </w:p>
        </w:tc>
        <w:tc>
          <w:tcPr>
            <w:tcW w:w="711" w:type="pct"/>
            <w:shd w:val="clear" w:color="auto" w:fill="auto"/>
            <w:vAlign w:val="center"/>
          </w:tcPr>
          <w:p w:rsidR="002A5A5E" w:rsidRPr="00F9522B" w:rsidRDefault="00611CBA">
            <w:pPr>
              <w:pStyle w:val="aff7"/>
              <w:rPr>
                <w:rFonts w:eastAsiaTheme="minorEastAsia" w:hAnsi="Times New Roman"/>
                <w:snapToGrid w:val="0"/>
                <w:szCs w:val="22"/>
              </w:rPr>
            </w:pPr>
            <w:r w:rsidRPr="00F9522B">
              <w:rPr>
                <w:rFonts w:eastAsiaTheme="minorEastAsia" w:hAnsi="Times New Roman"/>
                <w:snapToGrid w:val="0"/>
                <w:szCs w:val="22"/>
              </w:rPr>
              <w:t>0.722038</w:t>
            </w:r>
          </w:p>
        </w:tc>
        <w:tc>
          <w:tcPr>
            <w:tcW w:w="711" w:type="pct"/>
            <w:shd w:val="clear" w:color="auto" w:fill="auto"/>
            <w:vAlign w:val="center"/>
          </w:tcPr>
          <w:p w:rsidR="002A5A5E" w:rsidRPr="00F9522B" w:rsidRDefault="00611CBA">
            <w:pPr>
              <w:pStyle w:val="aff7"/>
              <w:rPr>
                <w:rFonts w:eastAsiaTheme="minorEastAsia" w:hAnsi="Times New Roman"/>
                <w:snapToGrid w:val="0"/>
                <w:szCs w:val="22"/>
              </w:rPr>
            </w:pPr>
            <w:r w:rsidRPr="00F9522B">
              <w:rPr>
                <w:rFonts w:eastAsiaTheme="minorEastAsia" w:hAnsi="Times New Roman"/>
                <w:snapToGrid w:val="0"/>
                <w:szCs w:val="22"/>
              </w:rPr>
              <w:t>0.853577</w:t>
            </w:r>
          </w:p>
        </w:tc>
        <w:tc>
          <w:tcPr>
            <w:tcW w:w="710" w:type="pct"/>
            <w:shd w:val="clear" w:color="auto" w:fill="auto"/>
            <w:vAlign w:val="center"/>
          </w:tcPr>
          <w:p w:rsidR="002A5A5E" w:rsidRPr="00F9522B" w:rsidRDefault="00611CBA">
            <w:pPr>
              <w:pStyle w:val="aff7"/>
              <w:rPr>
                <w:rFonts w:eastAsiaTheme="minorEastAsia" w:hAnsi="Times New Roman"/>
                <w:snapToGrid w:val="0"/>
                <w:szCs w:val="22"/>
              </w:rPr>
            </w:pPr>
            <w:r w:rsidRPr="00F9522B">
              <w:rPr>
                <w:rFonts w:eastAsiaTheme="minorEastAsia" w:hAnsi="Times New Roman"/>
                <w:snapToGrid w:val="0"/>
                <w:szCs w:val="22"/>
              </w:rPr>
              <w:t>1.435539</w:t>
            </w:r>
          </w:p>
        </w:tc>
      </w:tr>
    </w:tbl>
    <w:p w:rsidR="002A5A5E" w:rsidRPr="00F9522B" w:rsidRDefault="00611CBA">
      <w:pPr>
        <w:pStyle w:val="aff4"/>
        <w:jc w:val="both"/>
        <w:rPr>
          <w:rFonts w:ascii="Times New Roman" w:hAnsi="Times New Roman" w:cs="Times New Roman"/>
          <w:snapToGrid w:val="0"/>
        </w:rPr>
      </w:pPr>
      <w:r w:rsidRPr="00F9522B">
        <w:rPr>
          <w:rFonts w:ascii="Times New Roman" w:hAnsi="Times New Roman" w:cs="Times New Roman"/>
          <w:snapToGrid w:val="0"/>
        </w:rPr>
        <w:t>施工期扬尘的另一个主要原因是露天堆场和裸露场地的风力扬尘。由于施工的需要，一些建材需露天堆放；一些施工点表层土壤需人工开挖、堆放，在气候干燥又有风的情况下，会产生扬尘。不同粒径尘粒的沉降速度见表</w:t>
      </w:r>
      <w:r w:rsidRPr="00F9522B">
        <w:rPr>
          <w:rFonts w:ascii="Times New Roman" w:hAnsi="Times New Roman" w:cs="Times New Roman"/>
          <w:snapToGrid w:val="0"/>
        </w:rPr>
        <w:t>5-1-2</w:t>
      </w:r>
      <w:r w:rsidRPr="00F9522B">
        <w:rPr>
          <w:rFonts w:ascii="Times New Roman" w:hAnsi="Times New Roman" w:cs="Times New Roman"/>
          <w:snapToGrid w:val="0"/>
        </w:rPr>
        <w:t>。</w:t>
      </w:r>
    </w:p>
    <w:p w:rsidR="002A5A5E" w:rsidRPr="00F9522B" w:rsidRDefault="00611CBA">
      <w:pPr>
        <w:contextualSpacing/>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5-1-2</w:t>
      </w:r>
      <w:r w:rsidRPr="00F9522B">
        <w:rPr>
          <w:rFonts w:eastAsiaTheme="minorEastAsia"/>
          <w:b/>
          <w:kern w:val="0"/>
          <w:szCs w:val="21"/>
        </w:rPr>
        <w:t>不同粒径尘粒的沉降速度</w:t>
      </w:r>
    </w:p>
    <w:tbl>
      <w:tblPr>
        <w:tblW w:w="5000" w:type="pct"/>
        <w:tblBorders>
          <w:top w:val="single" w:sz="12" w:space="0" w:color="auto"/>
          <w:bottom w:val="single" w:sz="12" w:space="0" w:color="auto"/>
          <w:insideH w:val="single" w:sz="4" w:space="0" w:color="auto"/>
          <w:insideV w:val="single" w:sz="4" w:space="0" w:color="auto"/>
        </w:tblBorders>
        <w:tblLook w:val="04A0"/>
      </w:tblPr>
      <w:tblGrid>
        <w:gridCol w:w="1876"/>
        <w:gridCol w:w="950"/>
        <w:gridCol w:w="949"/>
        <w:gridCol w:w="949"/>
        <w:gridCol w:w="949"/>
        <w:gridCol w:w="949"/>
        <w:gridCol w:w="949"/>
        <w:gridCol w:w="951"/>
      </w:tblGrid>
      <w:tr w:rsidR="002A5A5E" w:rsidRPr="00F9522B">
        <w:tc>
          <w:tcPr>
            <w:tcW w:w="1100"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粒径（</w:t>
            </w:r>
            <w:r w:rsidRPr="00F9522B">
              <w:rPr>
                <w:rFonts w:eastAsiaTheme="minorEastAsia" w:hAnsi="Times New Roman"/>
                <w:snapToGrid w:val="0"/>
                <w:szCs w:val="22"/>
              </w:rPr>
              <w:t>μm</w:t>
            </w:r>
            <w:r w:rsidRPr="00F9522B">
              <w:rPr>
                <w:rFonts w:eastAsiaTheme="minorEastAsia" w:hAnsi="Times New Roman"/>
                <w:snapToGrid w:val="0"/>
                <w:szCs w:val="22"/>
              </w:rPr>
              <w:t>）</w:t>
            </w:r>
          </w:p>
        </w:tc>
        <w:tc>
          <w:tcPr>
            <w:tcW w:w="557"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10</w:t>
            </w:r>
          </w:p>
        </w:tc>
        <w:tc>
          <w:tcPr>
            <w:tcW w:w="557"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20</w:t>
            </w:r>
          </w:p>
        </w:tc>
        <w:tc>
          <w:tcPr>
            <w:tcW w:w="557"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30</w:t>
            </w:r>
          </w:p>
        </w:tc>
        <w:tc>
          <w:tcPr>
            <w:tcW w:w="557"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40</w:t>
            </w:r>
          </w:p>
        </w:tc>
        <w:tc>
          <w:tcPr>
            <w:tcW w:w="557"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50</w:t>
            </w:r>
          </w:p>
        </w:tc>
        <w:tc>
          <w:tcPr>
            <w:tcW w:w="557"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60</w:t>
            </w:r>
          </w:p>
        </w:tc>
        <w:tc>
          <w:tcPr>
            <w:tcW w:w="558"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70</w:t>
            </w:r>
          </w:p>
        </w:tc>
      </w:tr>
      <w:tr w:rsidR="002A5A5E" w:rsidRPr="00F9522B">
        <w:tc>
          <w:tcPr>
            <w:tcW w:w="1100"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沉降速度（</w:t>
            </w:r>
            <w:r w:rsidRPr="00F9522B">
              <w:rPr>
                <w:rFonts w:eastAsiaTheme="minorEastAsia" w:hAnsi="Times New Roman"/>
                <w:snapToGrid w:val="0"/>
                <w:szCs w:val="22"/>
              </w:rPr>
              <w:t>m/s</w:t>
            </w:r>
            <w:r w:rsidRPr="00F9522B">
              <w:rPr>
                <w:rFonts w:eastAsiaTheme="minorEastAsia" w:hAnsi="Times New Roman"/>
                <w:snapToGrid w:val="0"/>
                <w:szCs w:val="22"/>
              </w:rPr>
              <w:t>）</w:t>
            </w:r>
          </w:p>
        </w:tc>
        <w:tc>
          <w:tcPr>
            <w:tcW w:w="557"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0.003</w:t>
            </w:r>
          </w:p>
        </w:tc>
        <w:tc>
          <w:tcPr>
            <w:tcW w:w="557"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0.012</w:t>
            </w:r>
          </w:p>
        </w:tc>
        <w:tc>
          <w:tcPr>
            <w:tcW w:w="557"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0.027</w:t>
            </w:r>
          </w:p>
        </w:tc>
        <w:tc>
          <w:tcPr>
            <w:tcW w:w="557"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0.048</w:t>
            </w:r>
          </w:p>
        </w:tc>
        <w:tc>
          <w:tcPr>
            <w:tcW w:w="557"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0.075</w:t>
            </w:r>
          </w:p>
        </w:tc>
        <w:tc>
          <w:tcPr>
            <w:tcW w:w="557"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0.108</w:t>
            </w:r>
          </w:p>
        </w:tc>
        <w:tc>
          <w:tcPr>
            <w:tcW w:w="558"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0.147</w:t>
            </w:r>
          </w:p>
        </w:tc>
      </w:tr>
      <w:tr w:rsidR="002A5A5E" w:rsidRPr="00F9522B">
        <w:tc>
          <w:tcPr>
            <w:tcW w:w="1100"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粒径（</w:t>
            </w:r>
            <w:r w:rsidRPr="00F9522B">
              <w:rPr>
                <w:rFonts w:eastAsiaTheme="minorEastAsia" w:hAnsi="Times New Roman"/>
                <w:snapToGrid w:val="0"/>
                <w:szCs w:val="22"/>
              </w:rPr>
              <w:t>μm</w:t>
            </w:r>
            <w:r w:rsidRPr="00F9522B">
              <w:rPr>
                <w:rFonts w:eastAsiaTheme="minorEastAsia" w:hAnsi="Times New Roman"/>
                <w:snapToGrid w:val="0"/>
                <w:szCs w:val="22"/>
              </w:rPr>
              <w:t>）</w:t>
            </w:r>
          </w:p>
        </w:tc>
        <w:tc>
          <w:tcPr>
            <w:tcW w:w="557"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80</w:t>
            </w:r>
          </w:p>
        </w:tc>
        <w:tc>
          <w:tcPr>
            <w:tcW w:w="557"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90</w:t>
            </w:r>
          </w:p>
        </w:tc>
        <w:tc>
          <w:tcPr>
            <w:tcW w:w="557"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100</w:t>
            </w:r>
          </w:p>
        </w:tc>
        <w:tc>
          <w:tcPr>
            <w:tcW w:w="557"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150</w:t>
            </w:r>
          </w:p>
        </w:tc>
        <w:tc>
          <w:tcPr>
            <w:tcW w:w="557"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200</w:t>
            </w:r>
          </w:p>
        </w:tc>
        <w:tc>
          <w:tcPr>
            <w:tcW w:w="557"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250</w:t>
            </w:r>
          </w:p>
        </w:tc>
        <w:tc>
          <w:tcPr>
            <w:tcW w:w="558"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350</w:t>
            </w:r>
          </w:p>
        </w:tc>
      </w:tr>
      <w:tr w:rsidR="002A5A5E" w:rsidRPr="00F9522B">
        <w:tc>
          <w:tcPr>
            <w:tcW w:w="1100"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沉降速度（</w:t>
            </w:r>
            <w:r w:rsidRPr="00F9522B">
              <w:rPr>
                <w:rFonts w:eastAsiaTheme="minorEastAsia" w:hAnsi="Times New Roman"/>
                <w:snapToGrid w:val="0"/>
                <w:szCs w:val="22"/>
              </w:rPr>
              <w:t>m/s</w:t>
            </w:r>
            <w:r w:rsidRPr="00F9522B">
              <w:rPr>
                <w:rFonts w:eastAsiaTheme="minorEastAsia" w:hAnsi="Times New Roman"/>
                <w:snapToGrid w:val="0"/>
                <w:szCs w:val="22"/>
              </w:rPr>
              <w:t>）</w:t>
            </w:r>
          </w:p>
        </w:tc>
        <w:tc>
          <w:tcPr>
            <w:tcW w:w="557"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0.158</w:t>
            </w:r>
          </w:p>
        </w:tc>
        <w:tc>
          <w:tcPr>
            <w:tcW w:w="557"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0.170</w:t>
            </w:r>
          </w:p>
        </w:tc>
        <w:tc>
          <w:tcPr>
            <w:tcW w:w="557"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0.182</w:t>
            </w:r>
          </w:p>
        </w:tc>
        <w:tc>
          <w:tcPr>
            <w:tcW w:w="557"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0.239</w:t>
            </w:r>
          </w:p>
        </w:tc>
        <w:tc>
          <w:tcPr>
            <w:tcW w:w="557"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0.804</w:t>
            </w:r>
          </w:p>
        </w:tc>
        <w:tc>
          <w:tcPr>
            <w:tcW w:w="557"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1.005</w:t>
            </w:r>
          </w:p>
        </w:tc>
        <w:tc>
          <w:tcPr>
            <w:tcW w:w="558"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1.829</w:t>
            </w:r>
          </w:p>
        </w:tc>
      </w:tr>
      <w:tr w:rsidR="002A5A5E" w:rsidRPr="00F9522B">
        <w:tc>
          <w:tcPr>
            <w:tcW w:w="1100"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粒径（</w:t>
            </w:r>
            <w:r w:rsidRPr="00F9522B">
              <w:rPr>
                <w:rFonts w:eastAsiaTheme="minorEastAsia" w:hAnsi="Times New Roman"/>
                <w:snapToGrid w:val="0"/>
                <w:szCs w:val="22"/>
              </w:rPr>
              <w:t>μm</w:t>
            </w:r>
            <w:r w:rsidRPr="00F9522B">
              <w:rPr>
                <w:rFonts w:eastAsiaTheme="minorEastAsia" w:hAnsi="Times New Roman"/>
                <w:snapToGrid w:val="0"/>
                <w:szCs w:val="22"/>
              </w:rPr>
              <w:t>）</w:t>
            </w:r>
          </w:p>
        </w:tc>
        <w:tc>
          <w:tcPr>
            <w:tcW w:w="557"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450</w:t>
            </w:r>
          </w:p>
        </w:tc>
        <w:tc>
          <w:tcPr>
            <w:tcW w:w="557"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550</w:t>
            </w:r>
          </w:p>
        </w:tc>
        <w:tc>
          <w:tcPr>
            <w:tcW w:w="557"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650</w:t>
            </w:r>
          </w:p>
        </w:tc>
        <w:tc>
          <w:tcPr>
            <w:tcW w:w="557"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750</w:t>
            </w:r>
          </w:p>
        </w:tc>
        <w:tc>
          <w:tcPr>
            <w:tcW w:w="557"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850</w:t>
            </w:r>
          </w:p>
        </w:tc>
        <w:tc>
          <w:tcPr>
            <w:tcW w:w="557"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950</w:t>
            </w:r>
          </w:p>
        </w:tc>
        <w:tc>
          <w:tcPr>
            <w:tcW w:w="558"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1050</w:t>
            </w:r>
          </w:p>
        </w:tc>
      </w:tr>
      <w:tr w:rsidR="002A5A5E" w:rsidRPr="00F9522B">
        <w:tc>
          <w:tcPr>
            <w:tcW w:w="1100"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沉降速度（</w:t>
            </w:r>
            <w:r w:rsidRPr="00F9522B">
              <w:rPr>
                <w:rFonts w:eastAsiaTheme="minorEastAsia" w:hAnsi="Times New Roman"/>
                <w:snapToGrid w:val="0"/>
                <w:szCs w:val="22"/>
              </w:rPr>
              <w:t>m/s</w:t>
            </w:r>
            <w:r w:rsidRPr="00F9522B">
              <w:rPr>
                <w:rFonts w:eastAsiaTheme="minorEastAsia" w:hAnsi="Times New Roman"/>
                <w:snapToGrid w:val="0"/>
                <w:szCs w:val="22"/>
              </w:rPr>
              <w:t>）</w:t>
            </w:r>
          </w:p>
        </w:tc>
        <w:tc>
          <w:tcPr>
            <w:tcW w:w="557"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2.211</w:t>
            </w:r>
          </w:p>
        </w:tc>
        <w:tc>
          <w:tcPr>
            <w:tcW w:w="557"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2.614</w:t>
            </w:r>
          </w:p>
        </w:tc>
        <w:tc>
          <w:tcPr>
            <w:tcW w:w="557"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3.016</w:t>
            </w:r>
          </w:p>
        </w:tc>
        <w:tc>
          <w:tcPr>
            <w:tcW w:w="557"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3.418</w:t>
            </w:r>
          </w:p>
        </w:tc>
        <w:tc>
          <w:tcPr>
            <w:tcW w:w="557"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3.820</w:t>
            </w:r>
          </w:p>
        </w:tc>
        <w:tc>
          <w:tcPr>
            <w:tcW w:w="557"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4.222</w:t>
            </w:r>
          </w:p>
        </w:tc>
        <w:tc>
          <w:tcPr>
            <w:tcW w:w="558" w:type="pct"/>
            <w:shd w:val="clear" w:color="auto" w:fill="auto"/>
            <w:vAlign w:val="center"/>
          </w:tcPr>
          <w:p w:rsidR="002A5A5E" w:rsidRPr="00F9522B" w:rsidRDefault="00611CBA">
            <w:pPr>
              <w:pStyle w:val="aff7"/>
              <w:spacing w:line="0" w:lineRule="atLeast"/>
              <w:rPr>
                <w:rFonts w:eastAsiaTheme="minorEastAsia" w:hAnsi="Times New Roman"/>
                <w:snapToGrid w:val="0"/>
                <w:szCs w:val="22"/>
              </w:rPr>
            </w:pPr>
            <w:r w:rsidRPr="00F9522B">
              <w:rPr>
                <w:rFonts w:eastAsiaTheme="minorEastAsia" w:hAnsi="Times New Roman"/>
                <w:snapToGrid w:val="0"/>
                <w:szCs w:val="22"/>
              </w:rPr>
              <w:t>4.624</w:t>
            </w:r>
          </w:p>
        </w:tc>
      </w:tr>
    </w:tbl>
    <w:p w:rsidR="002A5A5E" w:rsidRPr="00F9522B" w:rsidRDefault="00611CBA">
      <w:pPr>
        <w:spacing w:line="360" w:lineRule="auto"/>
        <w:ind w:firstLineChars="200" w:firstLine="480"/>
        <w:rPr>
          <w:rFonts w:eastAsiaTheme="minorEastAsia"/>
          <w:snapToGrid w:val="0"/>
          <w:sz w:val="24"/>
        </w:rPr>
      </w:pPr>
      <w:r w:rsidRPr="00F9522B">
        <w:rPr>
          <w:rFonts w:eastAsiaTheme="minorEastAsia"/>
          <w:snapToGrid w:val="0"/>
          <w:sz w:val="24"/>
        </w:rPr>
        <w:t>从表</w:t>
      </w:r>
      <w:r w:rsidRPr="00F9522B">
        <w:rPr>
          <w:rFonts w:eastAsiaTheme="minorEastAsia"/>
          <w:snapToGrid w:val="0"/>
          <w:sz w:val="24"/>
        </w:rPr>
        <w:t>5-1-2</w:t>
      </w:r>
      <w:r w:rsidRPr="00F9522B">
        <w:rPr>
          <w:rFonts w:eastAsiaTheme="minorEastAsia"/>
          <w:snapToGrid w:val="0"/>
          <w:sz w:val="24"/>
        </w:rPr>
        <w:t>可以看出，尘粒的沉降速度随粒径的增大而迅速增大。当粒径为</w:t>
      </w:r>
      <w:r w:rsidRPr="00F9522B">
        <w:rPr>
          <w:rFonts w:eastAsiaTheme="minorEastAsia"/>
          <w:snapToGrid w:val="0"/>
          <w:sz w:val="24"/>
        </w:rPr>
        <w:t>250μm</w:t>
      </w:r>
      <w:r w:rsidRPr="00F9522B">
        <w:rPr>
          <w:rFonts w:eastAsiaTheme="minorEastAsia"/>
          <w:snapToGrid w:val="0"/>
          <w:sz w:val="24"/>
        </w:rPr>
        <w:t>时，沉降速度为</w:t>
      </w:r>
      <w:r w:rsidRPr="00F9522B">
        <w:rPr>
          <w:rFonts w:eastAsiaTheme="minorEastAsia"/>
          <w:snapToGrid w:val="0"/>
          <w:sz w:val="24"/>
        </w:rPr>
        <w:t>1.005m/s</w:t>
      </w:r>
      <w:r w:rsidRPr="00F9522B">
        <w:rPr>
          <w:rFonts w:eastAsiaTheme="minorEastAsia"/>
          <w:snapToGrid w:val="0"/>
          <w:sz w:val="24"/>
        </w:rPr>
        <w:t>，因此可以认为当尘粒大于</w:t>
      </w:r>
      <w:r w:rsidRPr="00F9522B">
        <w:rPr>
          <w:rFonts w:eastAsiaTheme="minorEastAsia"/>
          <w:snapToGrid w:val="0"/>
          <w:sz w:val="24"/>
        </w:rPr>
        <w:t>250μm</w:t>
      </w:r>
      <w:r w:rsidRPr="00F9522B">
        <w:rPr>
          <w:rFonts w:eastAsiaTheme="minorEastAsia"/>
          <w:snapToGrid w:val="0"/>
          <w:sz w:val="24"/>
        </w:rPr>
        <w:t>时，主要影响范围在扬尘点下风向近距离范围内，而真正对外环境产生影响的是一些微小尘</w:t>
      </w:r>
      <w:r w:rsidRPr="00F9522B">
        <w:rPr>
          <w:rFonts w:eastAsiaTheme="minorEastAsia"/>
          <w:snapToGrid w:val="0"/>
          <w:sz w:val="24"/>
        </w:rPr>
        <w:lastRenderedPageBreak/>
        <w:t>粒。在有风的情况下，施工扬尘会对该区域造成一定的影响。由起尘计算公式可知，</w:t>
      </w:r>
      <w:r w:rsidRPr="00F9522B">
        <w:rPr>
          <w:rFonts w:eastAsiaTheme="minorEastAsia"/>
          <w:snapToGrid w:val="0"/>
          <w:sz w:val="24"/>
        </w:rPr>
        <w:t>V</w:t>
      </w:r>
      <w:r w:rsidRPr="00F9522B">
        <w:rPr>
          <w:rFonts w:eastAsiaTheme="minorEastAsia"/>
          <w:snapToGrid w:val="0"/>
          <w:sz w:val="24"/>
          <w:vertAlign w:val="subscript"/>
        </w:rPr>
        <w:t>0</w:t>
      </w:r>
      <w:r w:rsidRPr="00F9522B">
        <w:rPr>
          <w:rFonts w:eastAsiaTheme="minorEastAsia"/>
          <w:snapToGrid w:val="0"/>
          <w:sz w:val="24"/>
        </w:rPr>
        <w:t>与粒径和含水率有关。</w:t>
      </w:r>
    </w:p>
    <w:p w:rsidR="002A5A5E" w:rsidRPr="00F9522B" w:rsidRDefault="00611CBA">
      <w:pPr>
        <w:spacing w:line="360" w:lineRule="auto"/>
        <w:ind w:firstLineChars="200" w:firstLine="480"/>
        <w:rPr>
          <w:rFonts w:eastAsiaTheme="minorEastAsia"/>
          <w:snapToGrid w:val="0"/>
          <w:sz w:val="24"/>
        </w:rPr>
      </w:pPr>
      <w:r w:rsidRPr="00F9522B">
        <w:rPr>
          <w:rFonts w:eastAsiaTheme="minorEastAsia"/>
          <w:snapToGrid w:val="0"/>
          <w:sz w:val="24"/>
        </w:rPr>
        <w:t>施工现场使用商品混凝土、预拌砂浆，严禁现场搅拌。拆除作业实行湿法作业，缩短起尘操作时间，气象预报风速达到</w:t>
      </w:r>
      <w:r w:rsidRPr="00F9522B">
        <w:rPr>
          <w:rFonts w:eastAsiaTheme="minorEastAsia"/>
          <w:snapToGrid w:val="0"/>
          <w:sz w:val="24"/>
        </w:rPr>
        <w:t>5</w:t>
      </w:r>
      <w:r w:rsidRPr="00F9522B">
        <w:rPr>
          <w:rFonts w:eastAsiaTheme="minorEastAsia"/>
          <w:snapToGrid w:val="0"/>
          <w:sz w:val="24"/>
        </w:rPr>
        <w:t>级以上时，应当停止拆除作业。拆除后建筑垃圾应当及时清运，不能及时清运的，应当采取有效覆盖措施。拆除工程完成后，不能立即施工的，对拆除后的裸露地面应采取覆盖、洒水等措施防止扬尘。施工现场细颗粒建筑材料密闭存放或严密覆盖，严禁露天放置；余料及时回收。</w:t>
      </w:r>
      <w:r w:rsidRPr="00F9522B">
        <w:rPr>
          <w:rFonts w:eastAsiaTheme="minorEastAsia"/>
          <w:sz w:val="24"/>
        </w:rPr>
        <w:t>非冬季时期</w:t>
      </w:r>
      <w:r w:rsidRPr="00F9522B">
        <w:rPr>
          <w:rFonts w:eastAsiaTheme="minorEastAsia"/>
          <w:snapToGrid w:val="0"/>
          <w:sz w:val="24"/>
        </w:rPr>
        <w:t>施工现场建立洒水清扫抑尘制度，配备洒水设备。施工现场集中堆放的土方和裸露场地采取覆盖、固化或绿化等降尘措施，严禁裸露。施工现场运送土方、渣土的车辆封闭或遮盖严密，严禁使用未办理相关手续的渣土等运输车辆，严禁沿路遗撒和随意倾倒。途经施工区村屯干道的运输车辆，实行限速管理，时速应小于</w:t>
      </w:r>
      <w:r w:rsidRPr="00F9522B">
        <w:rPr>
          <w:rFonts w:eastAsiaTheme="minorEastAsia"/>
          <w:snapToGrid w:val="0"/>
          <w:sz w:val="24"/>
        </w:rPr>
        <w:t>20km/h</w:t>
      </w:r>
      <w:r w:rsidRPr="00F9522B">
        <w:rPr>
          <w:rFonts w:eastAsiaTheme="minorEastAsia"/>
          <w:snapToGrid w:val="0"/>
          <w:sz w:val="24"/>
        </w:rPr>
        <w:t>，</w:t>
      </w:r>
      <w:r w:rsidRPr="00F9522B">
        <w:rPr>
          <w:rFonts w:eastAsiaTheme="minorEastAsia"/>
          <w:sz w:val="24"/>
        </w:rPr>
        <w:t>非冬季</w:t>
      </w:r>
      <w:r w:rsidRPr="00F9522B">
        <w:rPr>
          <w:rFonts w:eastAsiaTheme="minorEastAsia"/>
          <w:snapToGrid w:val="0"/>
          <w:sz w:val="24"/>
        </w:rPr>
        <w:t>干旱、多风天气，路段每天洒水不少于两次，减少扬尘对附近居民和作物的影响。</w:t>
      </w:r>
    </w:p>
    <w:p w:rsidR="002A5A5E" w:rsidRPr="00F9522B" w:rsidRDefault="00611CBA">
      <w:pPr>
        <w:spacing w:line="360" w:lineRule="auto"/>
        <w:ind w:firstLineChars="200" w:firstLine="480"/>
        <w:rPr>
          <w:rFonts w:eastAsiaTheme="minorEastAsia"/>
          <w:kern w:val="0"/>
          <w:sz w:val="24"/>
        </w:rPr>
      </w:pPr>
      <w:r w:rsidRPr="00F9522B">
        <w:rPr>
          <w:rFonts w:eastAsiaTheme="minorEastAsia"/>
          <w:snapToGrid w:val="0"/>
          <w:sz w:val="24"/>
        </w:rPr>
        <w:t>本环评要求灌溉井、田间道路、涵洞、变压器、排水沟清淤等工程在距离环境保护目标较近位置施工时（</w:t>
      </w:r>
      <w:r w:rsidR="00943455" w:rsidRPr="00943455">
        <w:rPr>
          <w:rFonts w:eastAsiaTheme="minorEastAsia"/>
          <w:snapToGrid w:val="0"/>
          <w:sz w:val="24"/>
        </w:rPr>
        <w:t>如八里荒、榆树村等村屯，具体村屯名称见表</w:t>
      </w:r>
      <w:r w:rsidR="00943455" w:rsidRPr="00943455">
        <w:rPr>
          <w:rFonts w:eastAsiaTheme="minorEastAsia"/>
          <w:snapToGrid w:val="0"/>
          <w:sz w:val="24"/>
        </w:rPr>
        <w:t>2-8-1</w:t>
      </w:r>
      <w:r w:rsidRPr="00F9522B">
        <w:rPr>
          <w:rFonts w:eastAsiaTheme="minorEastAsia"/>
          <w:snapToGrid w:val="0"/>
          <w:sz w:val="24"/>
        </w:rPr>
        <w:t>），应设置施工围挡，将施工场地及施工人员与居民分离开，保证施工安全、减少扬尘逸散，</w:t>
      </w:r>
      <w:r w:rsidRPr="00F9522B">
        <w:rPr>
          <w:rFonts w:eastAsiaTheme="minorEastAsia"/>
          <w:sz w:val="24"/>
        </w:rPr>
        <w:t>非冬季季节</w:t>
      </w:r>
      <w:r w:rsidRPr="00F9522B">
        <w:rPr>
          <w:rFonts w:eastAsiaTheme="minorEastAsia"/>
          <w:snapToGrid w:val="0"/>
          <w:sz w:val="24"/>
        </w:rPr>
        <w:t>同时还应采取洒水、喷淋等抑尘措施。加强运</w:t>
      </w:r>
      <w:r w:rsidRPr="00F9522B">
        <w:rPr>
          <w:rFonts w:eastAsiaTheme="minorEastAsia"/>
          <w:kern w:val="0"/>
          <w:sz w:val="24"/>
        </w:rPr>
        <w:t>输车辆的维护、保养，避免尾气超标排放。</w:t>
      </w:r>
    </w:p>
    <w:p w:rsidR="002A5A5E" w:rsidRPr="00F9522B" w:rsidRDefault="00611CBA">
      <w:pPr>
        <w:spacing w:line="360" w:lineRule="auto"/>
        <w:ind w:firstLineChars="200" w:firstLine="480"/>
        <w:rPr>
          <w:rFonts w:eastAsiaTheme="minorEastAsia"/>
          <w:snapToGrid w:val="0"/>
          <w:sz w:val="24"/>
        </w:rPr>
      </w:pPr>
      <w:r w:rsidRPr="00F9522B">
        <w:rPr>
          <w:rFonts w:eastAsiaTheme="minorEastAsia"/>
          <w:kern w:val="0"/>
          <w:sz w:val="24"/>
        </w:rPr>
        <w:t>厂界颗粒物浓度满足《大气污染物综合排放标准》（</w:t>
      </w:r>
      <w:r w:rsidRPr="00F9522B">
        <w:rPr>
          <w:rFonts w:eastAsiaTheme="minorEastAsia"/>
          <w:kern w:val="0"/>
          <w:sz w:val="24"/>
        </w:rPr>
        <w:t>GB16297-1996</w:t>
      </w:r>
      <w:r w:rsidRPr="00F9522B">
        <w:rPr>
          <w:rFonts w:eastAsiaTheme="minorEastAsia"/>
          <w:kern w:val="0"/>
          <w:sz w:val="24"/>
        </w:rPr>
        <w:t>）表</w:t>
      </w:r>
      <w:r w:rsidRPr="00F9522B">
        <w:rPr>
          <w:rFonts w:eastAsiaTheme="minorEastAsia"/>
          <w:kern w:val="0"/>
          <w:sz w:val="24"/>
        </w:rPr>
        <w:t>2</w:t>
      </w:r>
      <w:r w:rsidRPr="00F9522B">
        <w:rPr>
          <w:rFonts w:eastAsiaTheme="minorEastAsia"/>
          <w:kern w:val="0"/>
          <w:sz w:val="24"/>
        </w:rPr>
        <w:t>无组织排放监控浓度限值要求，</w:t>
      </w:r>
      <w:r w:rsidRPr="00F9522B">
        <w:rPr>
          <w:rFonts w:eastAsiaTheme="minorEastAsia"/>
          <w:sz w:val="24"/>
        </w:rPr>
        <w:t>厂界臭气浓度满足《恶臭污染物排放标准》（</w:t>
      </w:r>
      <w:r w:rsidRPr="00F9522B">
        <w:rPr>
          <w:rFonts w:eastAsiaTheme="minorEastAsia"/>
          <w:sz w:val="24"/>
        </w:rPr>
        <w:t>GB14554-93</w:t>
      </w:r>
      <w:r w:rsidRPr="00F9522B">
        <w:rPr>
          <w:rFonts w:eastAsiaTheme="minorEastAsia"/>
          <w:sz w:val="24"/>
        </w:rPr>
        <w:t>）表</w:t>
      </w:r>
      <w:r w:rsidRPr="00F9522B">
        <w:rPr>
          <w:rFonts w:eastAsiaTheme="minorEastAsia"/>
          <w:sz w:val="24"/>
        </w:rPr>
        <w:t>1</w:t>
      </w:r>
      <w:r w:rsidRPr="00F9522B">
        <w:rPr>
          <w:rFonts w:eastAsiaTheme="minorEastAsia"/>
          <w:sz w:val="24"/>
        </w:rPr>
        <w:t>二级标准，移动式发电机废气排放满足《非道路移动机械用柴油机移动泵车污染物排放限值及测量方法（中国三、四阶段）》（</w:t>
      </w:r>
      <w:r w:rsidRPr="00F9522B">
        <w:rPr>
          <w:rFonts w:eastAsiaTheme="minorEastAsia"/>
          <w:sz w:val="24"/>
        </w:rPr>
        <w:t>GB20891-2014</w:t>
      </w:r>
      <w:r w:rsidRPr="00F9522B">
        <w:rPr>
          <w:rFonts w:eastAsiaTheme="minorEastAsia"/>
          <w:sz w:val="24"/>
        </w:rPr>
        <w:t>）中表</w:t>
      </w:r>
      <w:r w:rsidRPr="00F9522B">
        <w:rPr>
          <w:rFonts w:eastAsiaTheme="minorEastAsia"/>
          <w:sz w:val="24"/>
        </w:rPr>
        <w:t>2</w:t>
      </w:r>
      <w:r w:rsidRPr="00F9522B">
        <w:rPr>
          <w:rFonts w:eastAsiaTheme="minorEastAsia"/>
          <w:sz w:val="24"/>
        </w:rPr>
        <w:t>非道路移动机械用柴油机排气污染物排放限值要求</w:t>
      </w:r>
      <w:r w:rsidRPr="00F9522B">
        <w:rPr>
          <w:rFonts w:eastAsiaTheme="minorEastAsia"/>
          <w:kern w:val="0"/>
          <w:sz w:val="24"/>
        </w:rPr>
        <w:t>。</w:t>
      </w:r>
    </w:p>
    <w:p w:rsidR="002A5A5E" w:rsidRPr="00F9522B" w:rsidRDefault="00611CBA">
      <w:pPr>
        <w:adjustRightInd w:val="0"/>
        <w:spacing w:line="360" w:lineRule="auto"/>
        <w:ind w:firstLineChars="200" w:firstLine="480"/>
        <w:rPr>
          <w:rFonts w:eastAsiaTheme="minorEastAsia"/>
          <w:sz w:val="24"/>
        </w:rPr>
      </w:pPr>
      <w:r w:rsidRPr="00F9522B">
        <w:rPr>
          <w:rFonts w:ascii="宋体" w:hAnsi="宋体" w:cs="宋体" w:hint="eastAsia"/>
          <w:sz w:val="24"/>
        </w:rPr>
        <w:t>②</w:t>
      </w:r>
      <w:r w:rsidRPr="00F9522B">
        <w:rPr>
          <w:rFonts w:eastAsiaTheme="minorEastAsia"/>
          <w:sz w:val="24"/>
        </w:rPr>
        <w:t>汽车尾气</w:t>
      </w:r>
    </w:p>
    <w:p w:rsidR="002A5A5E" w:rsidRPr="00F9522B" w:rsidRDefault="00611CBA">
      <w:pPr>
        <w:pStyle w:val="aff4"/>
        <w:adjustRightInd/>
        <w:snapToGrid/>
        <w:jc w:val="both"/>
        <w:rPr>
          <w:rFonts w:ascii="Times New Roman" w:hAnsi="Times New Roman" w:cs="Times New Roman"/>
          <w:snapToGrid w:val="0"/>
        </w:rPr>
      </w:pPr>
      <w:r w:rsidRPr="00F9522B">
        <w:rPr>
          <w:rFonts w:ascii="Times New Roman" w:hAnsi="Times New Roman" w:cs="Times New Roman"/>
          <w:szCs w:val="20"/>
        </w:rPr>
        <w:t>施工过程中将会有各种工程及运输车辆来往于施工现场，主要有运输卡车、推土机、平地机等，会产生汽车尾气，由于尾气产生量较少，产生浓度较低，且施工地点附近均为农田，周围环境较空旷，扩散条件较好，不会对周围空气环境产生较大不利影响</w:t>
      </w:r>
      <w:r w:rsidRPr="00F9522B">
        <w:rPr>
          <w:rFonts w:ascii="Times New Roman" w:hAnsi="Times New Roman" w:cs="Times New Roman"/>
          <w:snapToGrid w:val="0"/>
        </w:rPr>
        <w:t>。</w:t>
      </w:r>
    </w:p>
    <w:p w:rsidR="002A5A5E" w:rsidRPr="00F9522B" w:rsidRDefault="005273A1">
      <w:pPr>
        <w:pStyle w:val="aff4"/>
        <w:adjustRightInd/>
        <w:snapToGrid/>
        <w:jc w:val="both"/>
        <w:rPr>
          <w:rFonts w:ascii="Times New Roman" w:hAnsi="Times New Roman" w:cs="Times New Roman"/>
        </w:rPr>
      </w:pPr>
      <w:r w:rsidRPr="00F9522B">
        <w:rPr>
          <w:rFonts w:ascii="Times New Roman" w:hAnsi="Times New Roman" w:cs="Times New Roman"/>
          <w:snapToGrid w:val="0"/>
        </w:rPr>
        <w:fldChar w:fldCharType="begin"/>
      </w:r>
      <w:r w:rsidR="00611CBA" w:rsidRPr="00F9522B">
        <w:rPr>
          <w:rFonts w:ascii="Times New Roman" w:hAnsi="Times New Roman" w:cs="Times New Roman"/>
          <w:snapToGrid w:val="0"/>
        </w:rPr>
        <w:instrText xml:space="preserve"> = 3 \* GB3 </w:instrText>
      </w:r>
      <w:r w:rsidRPr="00F9522B">
        <w:rPr>
          <w:rFonts w:ascii="Times New Roman" w:hAnsi="Times New Roman" w:cs="Times New Roman"/>
          <w:snapToGrid w:val="0"/>
        </w:rPr>
        <w:fldChar w:fldCharType="separate"/>
      </w:r>
      <w:r w:rsidR="00611CBA" w:rsidRPr="00F9522B">
        <w:rPr>
          <w:rFonts w:ascii="宋体" w:eastAsia="宋体" w:hAnsi="宋体" w:cs="宋体" w:hint="eastAsia"/>
          <w:snapToGrid w:val="0"/>
        </w:rPr>
        <w:t>③</w:t>
      </w:r>
      <w:r w:rsidRPr="00F9522B">
        <w:rPr>
          <w:rFonts w:ascii="Times New Roman" w:hAnsi="Times New Roman" w:cs="Times New Roman"/>
          <w:snapToGrid w:val="0"/>
        </w:rPr>
        <w:fldChar w:fldCharType="end"/>
      </w:r>
      <w:r w:rsidR="00611CBA" w:rsidRPr="00F9522B">
        <w:rPr>
          <w:rFonts w:ascii="Times New Roman" w:hAnsi="Times New Roman" w:cs="Times New Roman"/>
        </w:rPr>
        <w:t>发电机废气</w:t>
      </w:r>
    </w:p>
    <w:p w:rsidR="002A5A5E" w:rsidRPr="00F9522B" w:rsidRDefault="00611CBA" w:rsidP="00611CBA">
      <w:pPr>
        <w:spacing w:line="360" w:lineRule="auto"/>
        <w:ind w:firstLineChars="177" w:firstLine="425"/>
        <w:rPr>
          <w:rFonts w:eastAsiaTheme="minorEastAsia"/>
          <w:bCs/>
          <w:sz w:val="24"/>
        </w:rPr>
      </w:pPr>
      <w:r w:rsidRPr="00F9522B">
        <w:rPr>
          <w:rFonts w:eastAsiaTheme="minorEastAsia"/>
          <w:bCs/>
          <w:sz w:val="24"/>
        </w:rPr>
        <w:lastRenderedPageBreak/>
        <w:t>本工程工区布置分散，发电机废气为间歇性排放，污染强度不大，因此废气排放强度十分有限。此外，考虑工程施工场地位于农村旷野，地势平坦开阔，天气以晴朗多风为主，大气扩散条件好，大气污染物背景值低，因此发电机废气不会对周围环境产生明显影响。</w:t>
      </w:r>
    </w:p>
    <w:p w:rsidR="002A5A5E" w:rsidRPr="00F9522B" w:rsidRDefault="005273A1">
      <w:pPr>
        <w:pStyle w:val="aff4"/>
        <w:adjustRightInd/>
        <w:snapToGrid/>
        <w:jc w:val="both"/>
        <w:rPr>
          <w:rFonts w:ascii="Times New Roman" w:hAnsi="Times New Roman" w:cs="Times New Roman"/>
        </w:rPr>
      </w:pPr>
      <w:r w:rsidRPr="00F9522B">
        <w:rPr>
          <w:rFonts w:ascii="Times New Roman" w:hAnsi="Times New Roman" w:cs="Times New Roman"/>
        </w:rPr>
        <w:fldChar w:fldCharType="begin"/>
      </w:r>
      <w:r w:rsidR="00611CBA" w:rsidRPr="00F9522B">
        <w:rPr>
          <w:rFonts w:ascii="Times New Roman" w:hAnsi="Times New Roman" w:cs="Times New Roman"/>
        </w:rPr>
        <w:instrText xml:space="preserve"> = 4 \* GB3 </w:instrText>
      </w:r>
      <w:r w:rsidRPr="00F9522B">
        <w:rPr>
          <w:rFonts w:ascii="Times New Roman" w:hAnsi="Times New Roman" w:cs="Times New Roman"/>
        </w:rPr>
        <w:fldChar w:fldCharType="separate"/>
      </w:r>
      <w:r w:rsidR="00611CBA" w:rsidRPr="00F9522B">
        <w:rPr>
          <w:rFonts w:ascii="宋体" w:eastAsia="宋体" w:hAnsi="宋体" w:cs="宋体" w:hint="eastAsia"/>
        </w:rPr>
        <w:t>④</w:t>
      </w:r>
      <w:r w:rsidRPr="00F9522B">
        <w:rPr>
          <w:rFonts w:ascii="Times New Roman" w:hAnsi="Times New Roman" w:cs="Times New Roman"/>
        </w:rPr>
        <w:fldChar w:fldCharType="end"/>
      </w:r>
      <w:r w:rsidR="00611CBA" w:rsidRPr="00F9522B">
        <w:rPr>
          <w:rFonts w:ascii="Times New Roman" w:hAnsi="Times New Roman" w:cs="Times New Roman"/>
        </w:rPr>
        <w:t>淤泥恶臭异味</w:t>
      </w:r>
    </w:p>
    <w:p w:rsidR="002A5A5E" w:rsidRPr="00F9522B" w:rsidRDefault="00611CBA">
      <w:pPr>
        <w:pStyle w:val="aff4"/>
        <w:adjustRightInd/>
        <w:snapToGrid/>
        <w:ind w:firstLine="460"/>
        <w:jc w:val="both"/>
        <w:rPr>
          <w:rFonts w:ascii="Times New Roman" w:hAnsi="Times New Roman" w:cs="Times New Roman"/>
          <w:spacing w:val="-5"/>
        </w:rPr>
      </w:pPr>
      <w:r w:rsidRPr="00F9522B">
        <w:rPr>
          <w:rFonts w:ascii="Times New Roman" w:hAnsi="Times New Roman" w:cs="Times New Roman"/>
          <w:spacing w:val="-5"/>
        </w:rPr>
        <w:t>清淤底泥在排水沟两侧晾晒脱水过程中会产生恶臭。</w:t>
      </w:r>
    </w:p>
    <w:p w:rsidR="002A5A5E" w:rsidRPr="00F9522B" w:rsidRDefault="00611CBA">
      <w:pPr>
        <w:pStyle w:val="aff4"/>
        <w:adjustRightInd/>
        <w:snapToGrid/>
        <w:ind w:firstLine="460"/>
        <w:jc w:val="both"/>
        <w:rPr>
          <w:rFonts w:ascii="Times New Roman" w:hAnsi="Times New Roman" w:cs="Times New Roman"/>
          <w:spacing w:val="-5"/>
        </w:rPr>
      </w:pPr>
      <w:r w:rsidRPr="00F9522B">
        <w:rPr>
          <w:rFonts w:ascii="Times New Roman" w:hAnsi="Times New Roman" w:cs="Times New Roman"/>
          <w:spacing w:val="-5"/>
        </w:rPr>
        <w:t>六级臭气强度评价法：用嗅觉感觉出来的臭气强度，用</w:t>
      </w:r>
      <w:r w:rsidRPr="00F9522B">
        <w:rPr>
          <w:rFonts w:ascii="Times New Roman" w:hAnsi="Times New Roman" w:cs="Times New Roman"/>
          <w:spacing w:val="-5"/>
        </w:rPr>
        <w:t xml:space="preserve">“ </w:t>
      </w:r>
      <w:r w:rsidRPr="00F9522B">
        <w:rPr>
          <w:rFonts w:ascii="Times New Roman" w:hAnsi="Times New Roman" w:cs="Times New Roman"/>
          <w:spacing w:val="-5"/>
        </w:rPr>
        <w:t>嗅觉阈值</w:t>
      </w:r>
      <w:r w:rsidRPr="00F9522B">
        <w:rPr>
          <w:rFonts w:ascii="Times New Roman" w:hAnsi="Times New Roman" w:cs="Times New Roman"/>
          <w:spacing w:val="-5"/>
        </w:rPr>
        <w:t>”</w:t>
      </w:r>
      <w:r w:rsidRPr="00F9522B">
        <w:rPr>
          <w:rFonts w:ascii="Times New Roman" w:hAnsi="Times New Roman" w:cs="Times New Roman"/>
          <w:spacing w:val="-5"/>
        </w:rPr>
        <w:t>来表示，所谓嗅觉阈值就是人所能嗅觉到某种物质的最小刺激量。臭气强度是以臭味的嗅觉阈值为基准划分等级的，共分为</w:t>
      </w:r>
      <w:r w:rsidRPr="00F9522B">
        <w:rPr>
          <w:rFonts w:ascii="Times New Roman" w:hAnsi="Times New Roman" w:cs="Times New Roman"/>
          <w:spacing w:val="-5"/>
        </w:rPr>
        <w:t>6</w:t>
      </w:r>
      <w:r w:rsidRPr="00F9522B">
        <w:rPr>
          <w:rFonts w:ascii="Times New Roman" w:hAnsi="Times New Roman" w:cs="Times New Roman"/>
          <w:spacing w:val="-5"/>
        </w:rPr>
        <w:t>级，见下表。为防止臭气扩散影响周围环境，对臭气的限值要求一般相当于臭气强度</w:t>
      </w:r>
      <w:r w:rsidRPr="00F9522B">
        <w:rPr>
          <w:rFonts w:ascii="Times New Roman" w:hAnsi="Times New Roman" w:cs="Times New Roman"/>
          <w:spacing w:val="-5"/>
        </w:rPr>
        <w:t>2.5~3.5</w:t>
      </w:r>
      <w:r w:rsidRPr="00F9522B">
        <w:rPr>
          <w:rFonts w:ascii="Times New Roman" w:hAnsi="Times New Roman" w:cs="Times New Roman"/>
          <w:spacing w:val="-5"/>
        </w:rPr>
        <w:t>级，超出该强度范围，即认为发生恶臭污染，需采取措施。</w:t>
      </w:r>
    </w:p>
    <w:p w:rsidR="002A5A5E" w:rsidRPr="00F9522B" w:rsidRDefault="00611CBA">
      <w:pPr>
        <w:contextualSpacing/>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 xml:space="preserve">5-1-3 </w:t>
      </w:r>
      <w:r w:rsidRPr="00F9522B">
        <w:rPr>
          <w:rFonts w:eastAsiaTheme="minorEastAsia"/>
          <w:b/>
          <w:kern w:val="0"/>
          <w:szCs w:val="21"/>
        </w:rPr>
        <w:t>臭气强度分级表</w:t>
      </w:r>
    </w:p>
    <w:tbl>
      <w:tblPr>
        <w:tblStyle w:val="TableNormal"/>
        <w:tblW w:w="4999" w:type="pct"/>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tblPr>
      <w:tblGrid>
        <w:gridCol w:w="2769"/>
        <w:gridCol w:w="5535"/>
      </w:tblGrid>
      <w:tr w:rsidR="002A5A5E" w:rsidRPr="00F9522B">
        <w:trPr>
          <w:trHeight w:val="340"/>
          <w:jc w:val="center"/>
        </w:trPr>
        <w:tc>
          <w:tcPr>
            <w:tcW w:w="1667" w:type="pct"/>
            <w:tcBorders>
              <w:top w:val="single" w:sz="12" w:space="0" w:color="000000"/>
              <w:left w:val="nil"/>
            </w:tcBorders>
            <w:vAlign w:val="center"/>
          </w:tcPr>
          <w:p w:rsidR="002A5A5E" w:rsidRPr="00F9522B" w:rsidRDefault="00611CBA">
            <w:pPr>
              <w:jc w:val="center"/>
              <w:rPr>
                <w:rFonts w:eastAsiaTheme="minorEastAsia"/>
              </w:rPr>
            </w:pPr>
            <w:r w:rsidRPr="00F9522B">
              <w:rPr>
                <w:rFonts w:eastAsiaTheme="minorEastAsia"/>
                <w:spacing w:val="6"/>
              </w:rPr>
              <w:t>强度等级</w:t>
            </w:r>
          </w:p>
        </w:tc>
        <w:tc>
          <w:tcPr>
            <w:tcW w:w="3332" w:type="pct"/>
            <w:tcBorders>
              <w:top w:val="single" w:sz="12" w:space="0" w:color="000000"/>
              <w:right w:val="nil"/>
            </w:tcBorders>
            <w:vAlign w:val="center"/>
          </w:tcPr>
          <w:p w:rsidR="002A5A5E" w:rsidRPr="00F9522B" w:rsidRDefault="00611CBA">
            <w:pPr>
              <w:jc w:val="center"/>
              <w:rPr>
                <w:rFonts w:eastAsiaTheme="minorEastAsia"/>
              </w:rPr>
            </w:pPr>
            <w:r w:rsidRPr="00F9522B">
              <w:rPr>
                <w:rFonts w:eastAsiaTheme="minorEastAsia"/>
                <w:spacing w:val="4"/>
              </w:rPr>
              <w:t>嗅觉判别</w:t>
            </w:r>
          </w:p>
        </w:tc>
      </w:tr>
      <w:tr w:rsidR="002A5A5E" w:rsidRPr="00F9522B">
        <w:trPr>
          <w:trHeight w:val="340"/>
          <w:jc w:val="center"/>
        </w:trPr>
        <w:tc>
          <w:tcPr>
            <w:tcW w:w="1667" w:type="pct"/>
            <w:tcBorders>
              <w:left w:val="nil"/>
            </w:tcBorders>
            <w:vAlign w:val="center"/>
          </w:tcPr>
          <w:p w:rsidR="002A5A5E" w:rsidRPr="00F9522B" w:rsidRDefault="00611CBA">
            <w:pPr>
              <w:pStyle w:val="TableText"/>
              <w:jc w:val="center"/>
              <w:rPr>
                <w:rFonts w:eastAsiaTheme="minorEastAsia"/>
                <w:color w:val="auto"/>
                <w:sz w:val="21"/>
                <w:szCs w:val="21"/>
              </w:rPr>
            </w:pPr>
            <w:r w:rsidRPr="00F9522B">
              <w:rPr>
                <w:rFonts w:eastAsiaTheme="minorEastAsia"/>
                <w:color w:val="auto"/>
                <w:sz w:val="21"/>
                <w:szCs w:val="21"/>
              </w:rPr>
              <w:t>0</w:t>
            </w:r>
          </w:p>
        </w:tc>
        <w:tc>
          <w:tcPr>
            <w:tcW w:w="3332" w:type="pct"/>
            <w:tcBorders>
              <w:right w:val="nil"/>
            </w:tcBorders>
            <w:vAlign w:val="center"/>
          </w:tcPr>
          <w:p w:rsidR="002A5A5E" w:rsidRPr="00F9522B" w:rsidRDefault="00611CBA">
            <w:pPr>
              <w:jc w:val="center"/>
              <w:rPr>
                <w:rFonts w:eastAsiaTheme="minorEastAsia"/>
              </w:rPr>
            </w:pPr>
            <w:r w:rsidRPr="00F9522B">
              <w:rPr>
                <w:rFonts w:eastAsiaTheme="minorEastAsia"/>
                <w:spacing w:val="3"/>
              </w:rPr>
              <w:t>无臭</w:t>
            </w:r>
          </w:p>
        </w:tc>
      </w:tr>
      <w:tr w:rsidR="002A5A5E" w:rsidRPr="00F9522B">
        <w:trPr>
          <w:trHeight w:val="340"/>
          <w:jc w:val="center"/>
        </w:trPr>
        <w:tc>
          <w:tcPr>
            <w:tcW w:w="1667" w:type="pct"/>
            <w:tcBorders>
              <w:left w:val="nil"/>
            </w:tcBorders>
            <w:vAlign w:val="center"/>
          </w:tcPr>
          <w:p w:rsidR="002A5A5E" w:rsidRPr="00F9522B" w:rsidRDefault="00611CBA">
            <w:pPr>
              <w:pStyle w:val="TableText"/>
              <w:jc w:val="center"/>
              <w:rPr>
                <w:rFonts w:eastAsiaTheme="minorEastAsia"/>
                <w:color w:val="auto"/>
                <w:sz w:val="21"/>
                <w:szCs w:val="21"/>
              </w:rPr>
            </w:pPr>
            <w:r w:rsidRPr="00F9522B">
              <w:rPr>
                <w:rFonts w:eastAsiaTheme="minorEastAsia"/>
                <w:color w:val="auto"/>
                <w:sz w:val="21"/>
                <w:szCs w:val="21"/>
              </w:rPr>
              <w:t>1</w:t>
            </w:r>
          </w:p>
        </w:tc>
        <w:tc>
          <w:tcPr>
            <w:tcW w:w="3332" w:type="pct"/>
            <w:tcBorders>
              <w:right w:val="nil"/>
            </w:tcBorders>
            <w:vAlign w:val="center"/>
          </w:tcPr>
          <w:p w:rsidR="002A5A5E" w:rsidRPr="00F9522B" w:rsidRDefault="00611CBA">
            <w:pPr>
              <w:jc w:val="center"/>
              <w:rPr>
                <w:rFonts w:eastAsiaTheme="minorEastAsia"/>
              </w:rPr>
            </w:pPr>
            <w:r w:rsidRPr="00F9522B">
              <w:rPr>
                <w:rFonts w:eastAsiaTheme="minorEastAsia"/>
                <w:spacing w:val="8"/>
              </w:rPr>
              <w:t>勉强可以感到轻微臭味（检知阈值浓度）</w:t>
            </w:r>
          </w:p>
        </w:tc>
      </w:tr>
      <w:tr w:rsidR="002A5A5E" w:rsidRPr="00F9522B">
        <w:trPr>
          <w:trHeight w:val="340"/>
          <w:jc w:val="center"/>
        </w:trPr>
        <w:tc>
          <w:tcPr>
            <w:tcW w:w="1667" w:type="pct"/>
            <w:tcBorders>
              <w:left w:val="nil"/>
            </w:tcBorders>
            <w:vAlign w:val="center"/>
          </w:tcPr>
          <w:p w:rsidR="002A5A5E" w:rsidRPr="00F9522B" w:rsidRDefault="00611CBA">
            <w:pPr>
              <w:pStyle w:val="TableText"/>
              <w:jc w:val="center"/>
              <w:rPr>
                <w:rFonts w:eastAsiaTheme="minorEastAsia"/>
                <w:color w:val="auto"/>
                <w:sz w:val="21"/>
                <w:szCs w:val="21"/>
              </w:rPr>
            </w:pPr>
            <w:r w:rsidRPr="00F9522B">
              <w:rPr>
                <w:rFonts w:eastAsiaTheme="minorEastAsia"/>
                <w:color w:val="auto"/>
                <w:sz w:val="21"/>
                <w:szCs w:val="21"/>
              </w:rPr>
              <w:t>2</w:t>
            </w:r>
          </w:p>
        </w:tc>
        <w:tc>
          <w:tcPr>
            <w:tcW w:w="3332" w:type="pct"/>
            <w:tcBorders>
              <w:right w:val="nil"/>
            </w:tcBorders>
            <w:vAlign w:val="center"/>
          </w:tcPr>
          <w:p w:rsidR="002A5A5E" w:rsidRPr="00F9522B" w:rsidRDefault="00611CBA">
            <w:pPr>
              <w:jc w:val="center"/>
              <w:rPr>
                <w:rFonts w:eastAsiaTheme="minorEastAsia"/>
              </w:rPr>
            </w:pPr>
            <w:r w:rsidRPr="00F9522B">
              <w:rPr>
                <w:rFonts w:eastAsiaTheme="minorEastAsia"/>
                <w:spacing w:val="8"/>
              </w:rPr>
              <w:t>容易感到轻微臭味（认知阈值浓度）</w:t>
            </w:r>
          </w:p>
        </w:tc>
      </w:tr>
      <w:tr w:rsidR="002A5A5E" w:rsidRPr="00F9522B">
        <w:trPr>
          <w:trHeight w:val="340"/>
          <w:jc w:val="center"/>
        </w:trPr>
        <w:tc>
          <w:tcPr>
            <w:tcW w:w="1667" w:type="pct"/>
            <w:tcBorders>
              <w:left w:val="nil"/>
            </w:tcBorders>
            <w:vAlign w:val="center"/>
          </w:tcPr>
          <w:p w:rsidR="002A5A5E" w:rsidRPr="00F9522B" w:rsidRDefault="00611CBA">
            <w:pPr>
              <w:pStyle w:val="TableText"/>
              <w:jc w:val="center"/>
              <w:rPr>
                <w:rFonts w:eastAsiaTheme="minorEastAsia"/>
                <w:color w:val="auto"/>
                <w:sz w:val="21"/>
                <w:szCs w:val="21"/>
              </w:rPr>
            </w:pPr>
            <w:r w:rsidRPr="00F9522B">
              <w:rPr>
                <w:rFonts w:eastAsiaTheme="minorEastAsia"/>
                <w:color w:val="auto"/>
                <w:sz w:val="21"/>
                <w:szCs w:val="21"/>
              </w:rPr>
              <w:t>3</w:t>
            </w:r>
          </w:p>
        </w:tc>
        <w:tc>
          <w:tcPr>
            <w:tcW w:w="3332" w:type="pct"/>
            <w:tcBorders>
              <w:right w:val="nil"/>
            </w:tcBorders>
            <w:vAlign w:val="center"/>
          </w:tcPr>
          <w:p w:rsidR="002A5A5E" w:rsidRPr="00F9522B" w:rsidRDefault="00611CBA">
            <w:pPr>
              <w:jc w:val="center"/>
              <w:rPr>
                <w:rFonts w:eastAsiaTheme="minorEastAsia"/>
              </w:rPr>
            </w:pPr>
            <w:r w:rsidRPr="00F9522B">
              <w:rPr>
                <w:rFonts w:eastAsiaTheme="minorEastAsia"/>
                <w:spacing w:val="4"/>
              </w:rPr>
              <w:t>明显感到臭味</w:t>
            </w:r>
          </w:p>
        </w:tc>
      </w:tr>
      <w:tr w:rsidR="002A5A5E" w:rsidRPr="00F9522B">
        <w:trPr>
          <w:trHeight w:val="340"/>
          <w:jc w:val="center"/>
        </w:trPr>
        <w:tc>
          <w:tcPr>
            <w:tcW w:w="1667" w:type="pct"/>
            <w:tcBorders>
              <w:left w:val="nil"/>
            </w:tcBorders>
            <w:vAlign w:val="center"/>
          </w:tcPr>
          <w:p w:rsidR="002A5A5E" w:rsidRPr="00F9522B" w:rsidRDefault="00611CBA">
            <w:pPr>
              <w:pStyle w:val="TableText"/>
              <w:jc w:val="center"/>
              <w:rPr>
                <w:rFonts w:eastAsiaTheme="minorEastAsia"/>
                <w:color w:val="auto"/>
                <w:sz w:val="21"/>
                <w:szCs w:val="21"/>
              </w:rPr>
            </w:pPr>
            <w:r w:rsidRPr="00F9522B">
              <w:rPr>
                <w:rFonts w:eastAsiaTheme="minorEastAsia"/>
                <w:color w:val="auto"/>
                <w:spacing w:val="1"/>
                <w:sz w:val="21"/>
                <w:szCs w:val="21"/>
              </w:rPr>
              <w:t>4</w:t>
            </w:r>
          </w:p>
        </w:tc>
        <w:tc>
          <w:tcPr>
            <w:tcW w:w="3332" w:type="pct"/>
            <w:tcBorders>
              <w:right w:val="nil"/>
            </w:tcBorders>
            <w:vAlign w:val="center"/>
          </w:tcPr>
          <w:p w:rsidR="002A5A5E" w:rsidRPr="00F9522B" w:rsidRDefault="00611CBA">
            <w:pPr>
              <w:jc w:val="center"/>
              <w:rPr>
                <w:rFonts w:eastAsiaTheme="minorEastAsia"/>
              </w:rPr>
            </w:pPr>
            <w:r w:rsidRPr="00F9522B">
              <w:rPr>
                <w:rFonts w:eastAsiaTheme="minorEastAsia"/>
                <w:spacing w:val="6"/>
              </w:rPr>
              <w:t>强烈臭味</w:t>
            </w:r>
          </w:p>
        </w:tc>
      </w:tr>
      <w:tr w:rsidR="002A5A5E" w:rsidRPr="00F9522B">
        <w:trPr>
          <w:trHeight w:val="340"/>
          <w:jc w:val="center"/>
        </w:trPr>
        <w:tc>
          <w:tcPr>
            <w:tcW w:w="1667" w:type="pct"/>
            <w:tcBorders>
              <w:left w:val="nil"/>
              <w:bottom w:val="single" w:sz="12" w:space="0" w:color="000000"/>
            </w:tcBorders>
            <w:vAlign w:val="center"/>
          </w:tcPr>
          <w:p w:rsidR="002A5A5E" w:rsidRPr="00F9522B" w:rsidRDefault="00611CBA">
            <w:pPr>
              <w:pStyle w:val="TableText"/>
              <w:jc w:val="center"/>
              <w:rPr>
                <w:rFonts w:eastAsiaTheme="minorEastAsia"/>
                <w:color w:val="auto"/>
                <w:sz w:val="21"/>
                <w:szCs w:val="21"/>
              </w:rPr>
            </w:pPr>
            <w:r w:rsidRPr="00F9522B">
              <w:rPr>
                <w:rFonts w:eastAsiaTheme="minorEastAsia"/>
                <w:color w:val="auto"/>
                <w:sz w:val="21"/>
                <w:szCs w:val="21"/>
              </w:rPr>
              <w:t>5</w:t>
            </w:r>
          </w:p>
        </w:tc>
        <w:tc>
          <w:tcPr>
            <w:tcW w:w="3332" w:type="pct"/>
            <w:tcBorders>
              <w:bottom w:val="single" w:sz="12" w:space="0" w:color="000000"/>
              <w:right w:val="nil"/>
            </w:tcBorders>
            <w:vAlign w:val="center"/>
          </w:tcPr>
          <w:p w:rsidR="002A5A5E" w:rsidRPr="00F9522B" w:rsidRDefault="00611CBA">
            <w:pPr>
              <w:jc w:val="center"/>
              <w:rPr>
                <w:rFonts w:eastAsiaTheme="minorEastAsia"/>
              </w:rPr>
            </w:pPr>
            <w:r w:rsidRPr="00F9522B">
              <w:rPr>
                <w:rFonts w:eastAsiaTheme="minorEastAsia"/>
                <w:spacing w:val="8"/>
              </w:rPr>
              <w:t>无法忍受的强烈臭味</w:t>
            </w:r>
          </w:p>
        </w:tc>
      </w:tr>
    </w:tbl>
    <w:p w:rsidR="002A5A5E" w:rsidRPr="00F9522B" w:rsidRDefault="00611CBA" w:rsidP="00244FAE">
      <w:pPr>
        <w:spacing w:line="360" w:lineRule="auto"/>
        <w:ind w:firstLineChars="177" w:firstLine="407"/>
        <w:rPr>
          <w:rFonts w:eastAsiaTheme="minorEastAsia"/>
          <w:sz w:val="24"/>
        </w:rPr>
      </w:pPr>
      <w:r w:rsidRPr="00F9522B">
        <w:rPr>
          <w:rFonts w:eastAsiaTheme="minorEastAsia"/>
          <w:spacing w:val="-5"/>
          <w:sz w:val="24"/>
        </w:rPr>
        <w:t>根据《河道治理工程的环境特点及其保护措施》《污泥干化过程恶臭气体释放的研究进展》《</w:t>
      </w:r>
      <w:r w:rsidRPr="00F9522B">
        <w:rPr>
          <w:rFonts w:eastAsiaTheme="minorEastAsia"/>
          <w:spacing w:val="-5"/>
          <w:sz w:val="24"/>
        </w:rPr>
        <w:t> </w:t>
      </w:r>
      <w:r w:rsidRPr="00F9522B">
        <w:rPr>
          <w:rFonts w:eastAsiaTheme="minorEastAsia"/>
          <w:spacing w:val="-5"/>
          <w:sz w:val="24"/>
        </w:rPr>
        <w:t>沈阳市污泥堆放场恶臭监测与评估技术》等文献资料及有关调查分析，清淤过程及堆放中在排水沟岸边将会有明显的臭味，恶臭强度约为</w:t>
      </w:r>
      <w:r w:rsidRPr="00F9522B">
        <w:rPr>
          <w:rFonts w:eastAsiaTheme="minorEastAsia"/>
          <w:spacing w:val="-5"/>
          <w:sz w:val="24"/>
        </w:rPr>
        <w:t>2-3</w:t>
      </w:r>
      <w:r w:rsidRPr="00F9522B">
        <w:rPr>
          <w:rFonts w:eastAsiaTheme="minorEastAsia"/>
          <w:spacing w:val="-5"/>
          <w:sz w:val="24"/>
        </w:rPr>
        <w:t>级左右，影响范围在</w:t>
      </w:r>
      <w:r w:rsidRPr="00F9522B">
        <w:rPr>
          <w:rFonts w:eastAsiaTheme="minorEastAsia"/>
          <w:spacing w:val="-5"/>
          <w:sz w:val="24"/>
        </w:rPr>
        <w:t>30m</w:t>
      </w:r>
      <w:r w:rsidRPr="00F9522B">
        <w:rPr>
          <w:rFonts w:eastAsiaTheme="minorEastAsia"/>
          <w:spacing w:val="-5"/>
          <w:sz w:val="24"/>
        </w:rPr>
        <w:t>左右，</w:t>
      </w:r>
      <w:r w:rsidRPr="00F9522B">
        <w:rPr>
          <w:rFonts w:eastAsiaTheme="minorEastAsia"/>
          <w:spacing w:val="-5"/>
          <w:sz w:val="24"/>
        </w:rPr>
        <w:t>30m</w:t>
      </w:r>
      <w:r w:rsidRPr="00F9522B">
        <w:rPr>
          <w:rFonts w:eastAsiaTheme="minorEastAsia"/>
          <w:spacing w:val="-5"/>
          <w:sz w:val="24"/>
        </w:rPr>
        <w:t>之外达</w:t>
      </w:r>
      <w:r w:rsidRPr="00F9522B">
        <w:rPr>
          <w:rFonts w:eastAsiaTheme="minorEastAsia"/>
          <w:spacing w:val="-5"/>
          <w:sz w:val="24"/>
        </w:rPr>
        <w:t>2</w:t>
      </w:r>
      <w:r w:rsidRPr="00F9522B">
        <w:rPr>
          <w:rFonts w:eastAsiaTheme="minorEastAsia"/>
          <w:spacing w:val="-5"/>
          <w:sz w:val="24"/>
        </w:rPr>
        <w:t>级强度，有轻微的臭味，</w:t>
      </w:r>
      <w:r w:rsidRPr="00F9522B">
        <w:rPr>
          <w:rFonts w:eastAsiaTheme="minorEastAsia"/>
          <w:spacing w:val="-5"/>
          <w:sz w:val="24"/>
        </w:rPr>
        <w:t>80m</w:t>
      </w:r>
      <w:r w:rsidRPr="00F9522B">
        <w:rPr>
          <w:rFonts w:eastAsiaTheme="minorEastAsia"/>
          <w:spacing w:val="-5"/>
          <w:sz w:val="24"/>
        </w:rPr>
        <w:t>之外基本无气味。本项目不设淤泥排泥场，其影响主要为排水沟两侧的农户。清淤过程中可喷洒微生物除臭剂，有效抑制腐败细菌的生长，改善有机物的分解途径，减少氨、硫化氢等相关恶臭气体的产生，起到源头控制臭气产生作用。</w:t>
      </w:r>
    </w:p>
    <w:p w:rsidR="004C69F2" w:rsidRDefault="004C69F2" w:rsidP="004C69F2">
      <w:pPr>
        <w:widowControl/>
        <w:spacing w:line="360" w:lineRule="auto"/>
        <w:ind w:firstLineChars="200" w:firstLine="480"/>
        <w:rPr>
          <w:rFonts w:eastAsiaTheme="minorEastAsia"/>
          <w:color w:val="FF0000"/>
          <w:sz w:val="24"/>
        </w:rPr>
      </w:pPr>
      <w:r>
        <w:rPr>
          <w:rFonts w:eastAsiaTheme="minorEastAsia"/>
          <w:color w:val="FF0000"/>
          <w:sz w:val="24"/>
        </w:rPr>
        <w:t>本项目排水沟</w:t>
      </w:r>
      <w:r w:rsidRPr="00873083">
        <w:rPr>
          <w:rFonts w:eastAsiaTheme="minorEastAsia"/>
          <w:color w:val="FF0000"/>
          <w:sz w:val="24"/>
        </w:rPr>
        <w:t>清淤方式为机械及人工相结合，排水沟淤泥</w:t>
      </w:r>
      <w:r w:rsidRPr="00873083">
        <w:rPr>
          <w:rFonts w:eastAsiaTheme="minorEastAsia"/>
          <w:bCs/>
          <w:color w:val="FF0000"/>
          <w:sz w:val="24"/>
        </w:rPr>
        <w:t>培至工程附近</w:t>
      </w:r>
      <w:r w:rsidRPr="00873083">
        <w:rPr>
          <w:rFonts w:eastAsiaTheme="minorEastAsia"/>
          <w:bCs/>
          <w:color w:val="FF0000"/>
          <w:sz w:val="24"/>
        </w:rPr>
        <w:t>200</w:t>
      </w:r>
      <w:r w:rsidRPr="00873083">
        <w:rPr>
          <w:rFonts w:eastAsiaTheme="minorEastAsia"/>
          <w:bCs/>
          <w:color w:val="FF0000"/>
          <w:sz w:val="24"/>
        </w:rPr>
        <w:t>米范围内无环境保护目标的排水沟两侧（避开南城李、方台镇、宋家村等</w:t>
      </w:r>
      <w:r w:rsidRPr="00873083">
        <w:rPr>
          <w:rFonts w:eastAsiaTheme="minorEastAsia"/>
          <w:bCs/>
          <w:color w:val="FF0000"/>
          <w:sz w:val="24"/>
        </w:rPr>
        <w:t>33</w:t>
      </w:r>
      <w:r w:rsidRPr="00873083">
        <w:rPr>
          <w:rFonts w:eastAsiaTheme="minorEastAsia"/>
          <w:bCs/>
          <w:color w:val="FF0000"/>
          <w:sz w:val="24"/>
        </w:rPr>
        <w:t>个村屯，具体见表</w:t>
      </w:r>
      <w:r w:rsidRPr="00873083">
        <w:rPr>
          <w:rFonts w:eastAsiaTheme="minorEastAsia"/>
          <w:bCs/>
          <w:color w:val="FF0000"/>
          <w:sz w:val="24"/>
        </w:rPr>
        <w:t>2-8-2</w:t>
      </w:r>
      <w:r w:rsidRPr="00873083">
        <w:rPr>
          <w:rFonts w:eastAsiaTheme="minorEastAsia"/>
          <w:bCs/>
          <w:color w:val="FF0000"/>
          <w:sz w:val="24"/>
        </w:rPr>
        <w:t>），</w:t>
      </w:r>
      <w:r w:rsidRPr="00873083">
        <w:rPr>
          <w:rFonts w:eastAsiaTheme="minorEastAsia"/>
          <w:color w:val="FF0000"/>
          <w:sz w:val="24"/>
        </w:rPr>
        <w:t>自然晾晒干化，晾晒</w:t>
      </w:r>
      <w:r w:rsidRPr="00873083">
        <w:rPr>
          <w:rFonts w:eastAsiaTheme="minorEastAsia"/>
          <w:color w:val="FF0000"/>
          <w:sz w:val="24"/>
        </w:rPr>
        <w:t>7</w:t>
      </w:r>
      <w:r w:rsidRPr="00873083">
        <w:rPr>
          <w:rFonts w:eastAsiaTheme="minorEastAsia"/>
          <w:color w:val="FF0000"/>
          <w:sz w:val="24"/>
        </w:rPr>
        <w:t>～</w:t>
      </w:r>
      <w:r w:rsidRPr="00873083">
        <w:rPr>
          <w:rFonts w:eastAsiaTheme="minorEastAsia"/>
          <w:color w:val="FF0000"/>
          <w:sz w:val="24"/>
        </w:rPr>
        <w:t>10d</w:t>
      </w:r>
      <w:r w:rsidRPr="00873083">
        <w:rPr>
          <w:rFonts w:eastAsiaTheme="minorEastAsia"/>
          <w:color w:val="FF0000"/>
          <w:sz w:val="24"/>
        </w:rPr>
        <w:t>后含水率大幅下降，厌氧环境破坏，臭气浓度释放量显著降低，后期臭气影响大幅减弱。</w:t>
      </w:r>
      <w:r>
        <w:rPr>
          <w:rFonts w:eastAsiaTheme="minorEastAsia"/>
          <w:color w:val="FF0000"/>
          <w:sz w:val="24"/>
        </w:rPr>
        <w:t>减少对附近环境保护目标的影响。</w:t>
      </w:r>
    </w:p>
    <w:p w:rsidR="004C69F2" w:rsidRDefault="004C69F2" w:rsidP="004C69F2">
      <w:pPr>
        <w:spacing w:line="360" w:lineRule="auto"/>
        <w:ind w:firstLineChars="200" w:firstLine="480"/>
        <w:rPr>
          <w:rFonts w:eastAsiaTheme="minorEastAsia"/>
          <w:kern w:val="0"/>
          <w:sz w:val="24"/>
        </w:rPr>
      </w:pPr>
      <w:r w:rsidRPr="00873083">
        <w:rPr>
          <w:color w:val="FF0000"/>
          <w:sz w:val="24"/>
        </w:rPr>
        <w:t>本工程清淤施工期选定</w:t>
      </w:r>
      <w:r w:rsidRPr="00873083">
        <w:rPr>
          <w:color w:val="FF0000"/>
          <w:sz w:val="24"/>
        </w:rPr>
        <w:t xml:space="preserve"> 2027</w:t>
      </w:r>
      <w:r w:rsidRPr="00873083">
        <w:rPr>
          <w:color w:val="FF0000"/>
          <w:sz w:val="24"/>
        </w:rPr>
        <w:t>年</w:t>
      </w:r>
      <w:r w:rsidRPr="00873083">
        <w:rPr>
          <w:color w:val="FF0000"/>
          <w:sz w:val="24"/>
        </w:rPr>
        <w:t>3</w:t>
      </w:r>
      <w:r w:rsidRPr="00873083">
        <w:rPr>
          <w:rFonts w:eastAsiaTheme="minorEastAsia"/>
          <w:color w:val="FF0000"/>
          <w:kern w:val="0"/>
          <w:sz w:val="24"/>
        </w:rPr>
        <w:t>～</w:t>
      </w:r>
      <w:r w:rsidRPr="00873083">
        <w:rPr>
          <w:color w:val="FF0000"/>
          <w:sz w:val="24"/>
        </w:rPr>
        <w:t>4</w:t>
      </w:r>
      <w:r w:rsidRPr="00873083">
        <w:rPr>
          <w:color w:val="FF0000"/>
          <w:sz w:val="24"/>
        </w:rPr>
        <w:t>月河道枯水期开展，该阶段河流水位</w:t>
      </w:r>
      <w:r w:rsidRPr="00873083">
        <w:rPr>
          <w:color w:val="FF0000"/>
          <w:sz w:val="24"/>
        </w:rPr>
        <w:lastRenderedPageBreak/>
        <w:t>低，河床淤泥自然疏干、含水率较低，叠加初春低温气象条件，淤泥内厌氧微生物产臭活性受到双重抑制，恶臭污染物生成及挥发速率整体偏低；同时采用干化开挖施工，避免汛期水下扰动淤泥造成恶臭气体集中瞬时释放，整体臭气平均排放浓度优于丰水期清淤工况。</w:t>
      </w:r>
    </w:p>
    <w:p w:rsidR="002A5A5E" w:rsidRPr="00F9522B" w:rsidRDefault="00611CBA">
      <w:pPr>
        <w:spacing w:line="360" w:lineRule="auto"/>
        <w:ind w:firstLineChars="200" w:firstLine="480"/>
        <w:rPr>
          <w:rFonts w:eastAsiaTheme="minorEastAsia"/>
          <w:kern w:val="0"/>
          <w:sz w:val="24"/>
        </w:rPr>
      </w:pPr>
      <w:r w:rsidRPr="00F9522B">
        <w:rPr>
          <w:rFonts w:eastAsiaTheme="minorEastAsia"/>
          <w:kern w:val="0"/>
          <w:sz w:val="24"/>
        </w:rPr>
        <w:t>总之，只要加强管理、切实落实好这些措施，施工场地扬尘对环境的影响将会大大降低，同时其对环境的影响也将随施工的结束而消失。</w:t>
      </w:r>
    </w:p>
    <w:p w:rsidR="002A5A5E" w:rsidRPr="00F9522B" w:rsidRDefault="00611CBA">
      <w:pPr>
        <w:autoSpaceDE w:val="0"/>
        <w:autoSpaceDN w:val="0"/>
        <w:spacing w:before="100" w:beforeAutospacing="1" w:after="100" w:afterAutospacing="1"/>
        <w:jc w:val="left"/>
        <w:outlineLvl w:val="2"/>
        <w:rPr>
          <w:rFonts w:eastAsiaTheme="minorEastAsia"/>
          <w:b/>
          <w:sz w:val="28"/>
          <w:szCs w:val="28"/>
        </w:rPr>
      </w:pPr>
      <w:r w:rsidRPr="00F9522B">
        <w:rPr>
          <w:rFonts w:eastAsiaTheme="minorEastAsia"/>
          <w:b/>
          <w:sz w:val="28"/>
          <w:szCs w:val="28"/>
        </w:rPr>
        <w:t>5.1.2</w:t>
      </w:r>
      <w:r w:rsidRPr="00F9522B">
        <w:rPr>
          <w:rFonts w:eastAsiaTheme="minorEastAsia"/>
          <w:b/>
          <w:sz w:val="28"/>
          <w:szCs w:val="28"/>
        </w:rPr>
        <w:t>水环境影响评价</w:t>
      </w:r>
    </w:p>
    <w:p w:rsidR="002A5A5E" w:rsidRPr="00F9522B" w:rsidRDefault="00611CBA">
      <w:pPr>
        <w:spacing w:line="360" w:lineRule="auto"/>
        <w:ind w:firstLineChars="200" w:firstLine="480"/>
        <w:rPr>
          <w:rFonts w:eastAsiaTheme="minorEastAsia"/>
          <w:kern w:val="0"/>
          <w:sz w:val="24"/>
        </w:rPr>
      </w:pPr>
      <w:r w:rsidRPr="00F9522B">
        <w:rPr>
          <w:rFonts w:eastAsiaTheme="minorEastAsia"/>
          <w:kern w:val="0"/>
          <w:sz w:val="24"/>
        </w:rPr>
        <w:t>项目施工期对水环境造成的影响主要有施工废水和生活污水。</w:t>
      </w:r>
    </w:p>
    <w:p w:rsidR="002A5A5E" w:rsidRPr="00F9522B" w:rsidRDefault="00611CBA">
      <w:pPr>
        <w:spacing w:line="360" w:lineRule="auto"/>
        <w:ind w:firstLineChars="200" w:firstLine="480"/>
        <w:rPr>
          <w:rFonts w:eastAsiaTheme="minorEastAsia"/>
          <w:sz w:val="24"/>
        </w:rPr>
      </w:pPr>
      <w:r w:rsidRPr="00F9522B">
        <w:rPr>
          <w:rFonts w:eastAsiaTheme="minorEastAsia"/>
          <w:kern w:val="0"/>
          <w:sz w:val="24"/>
        </w:rPr>
        <w:t>本项目施工期使用商品混凝土，不现场搅拌，无混凝土搅拌废水。混凝土预制件均外购，故不产生养护废水，施工机械、车辆不在现场维修和冲洗。</w:t>
      </w:r>
      <w:r w:rsidRPr="00F9522B">
        <w:rPr>
          <w:rFonts w:eastAsiaTheme="minorEastAsia"/>
          <w:sz w:val="24"/>
          <w:szCs w:val="21"/>
        </w:rPr>
        <w:t>田间道路工程</w:t>
      </w:r>
      <w:r w:rsidRPr="00F9522B">
        <w:rPr>
          <w:rFonts w:eastAsiaTheme="minorEastAsia"/>
          <w:sz w:val="24"/>
        </w:rPr>
        <w:t>在混凝土路面建设完成后，应在其终凝前进行养护，通常在混凝土浇筑完毕后</w:t>
      </w:r>
      <w:r w:rsidRPr="00F9522B">
        <w:rPr>
          <w:rFonts w:eastAsiaTheme="minorEastAsia"/>
          <w:sz w:val="24"/>
        </w:rPr>
        <w:t>8</w:t>
      </w:r>
      <w:r w:rsidRPr="00F9522B">
        <w:rPr>
          <w:rFonts w:eastAsiaTheme="minorEastAsia"/>
          <w:sz w:val="24"/>
        </w:rPr>
        <w:t>～</w:t>
      </w:r>
      <w:r w:rsidRPr="00F9522B">
        <w:rPr>
          <w:rFonts w:eastAsiaTheme="minorEastAsia"/>
          <w:sz w:val="24"/>
        </w:rPr>
        <w:t>12</w:t>
      </w:r>
      <w:r w:rsidRPr="00F9522B">
        <w:rPr>
          <w:rFonts w:eastAsiaTheme="minorEastAsia"/>
          <w:sz w:val="24"/>
        </w:rPr>
        <w:t>小时内自然养护，同时喷洒少量水，</w:t>
      </w:r>
      <w:r w:rsidRPr="00F9522B">
        <w:rPr>
          <w:rFonts w:eastAsiaTheme="minorEastAsia"/>
          <w:bCs/>
          <w:sz w:val="24"/>
        </w:rPr>
        <w:t>养护过程的水分完全蒸发，不形成径流进入土壤和附近水体</w:t>
      </w:r>
      <w:r w:rsidRPr="00F9522B">
        <w:rPr>
          <w:rFonts w:eastAsiaTheme="minorEastAsia"/>
          <w:sz w:val="24"/>
        </w:rPr>
        <w:t>。</w:t>
      </w:r>
    </w:p>
    <w:p w:rsidR="002A5A5E" w:rsidRPr="00F9522B" w:rsidRDefault="00611CBA">
      <w:pPr>
        <w:widowControl/>
        <w:spacing w:line="360" w:lineRule="auto"/>
        <w:ind w:firstLineChars="200" w:firstLine="480"/>
        <w:rPr>
          <w:rFonts w:eastAsiaTheme="minorEastAsia"/>
          <w:sz w:val="24"/>
        </w:rPr>
      </w:pPr>
      <w:r w:rsidRPr="00F9522B">
        <w:rPr>
          <w:rFonts w:eastAsiaTheme="minorEastAsia"/>
          <w:sz w:val="24"/>
          <w:szCs w:val="21"/>
        </w:rPr>
        <w:t>施工期施工人员的生活污水排入依托附近民房防渗旱厕，定期清掏，外运堆肥，不外排。</w:t>
      </w:r>
      <w:r w:rsidRPr="00F9522B">
        <w:rPr>
          <w:rFonts w:eastAsiaTheme="minorEastAsia"/>
          <w:sz w:val="24"/>
        </w:rPr>
        <w:t>洗井废水用于洒水降尘</w:t>
      </w:r>
      <w:r w:rsidRPr="00F9522B">
        <w:rPr>
          <w:rFonts w:eastAsiaTheme="minorEastAsia"/>
          <w:sz w:val="24"/>
          <w:szCs w:val="21"/>
        </w:rPr>
        <w:t>。</w:t>
      </w:r>
      <w:r w:rsidRPr="00F9522B">
        <w:rPr>
          <w:rFonts w:eastAsiaTheme="minorEastAsia"/>
          <w:sz w:val="24"/>
          <w:szCs w:val="22"/>
        </w:rPr>
        <w:t>钻井泥浆可循环利用，废泥浆</w:t>
      </w:r>
      <w:r w:rsidRPr="00F9522B">
        <w:rPr>
          <w:rFonts w:eastAsiaTheme="minorEastAsia"/>
          <w:sz w:val="24"/>
        </w:rPr>
        <w:t>暂存于施工场地</w:t>
      </w:r>
      <w:r w:rsidR="0009673A" w:rsidRPr="00F9522B">
        <w:rPr>
          <w:rFonts w:eastAsiaTheme="minorEastAsia"/>
          <w:sz w:val="24"/>
        </w:rPr>
        <w:t>5</w:t>
      </w:r>
      <w:r w:rsidR="0009673A" w:rsidRPr="00F9522B">
        <w:rPr>
          <w:rFonts w:eastAsiaTheme="minorEastAsia"/>
          <w:sz w:val="24"/>
        </w:rPr>
        <w:t>个</w:t>
      </w:r>
      <w:r w:rsidR="0009673A" w:rsidRPr="00F9522B">
        <w:rPr>
          <w:rFonts w:eastAsiaTheme="minorEastAsia"/>
          <w:sz w:val="24"/>
        </w:rPr>
        <w:t>2</w:t>
      </w:r>
      <w:r w:rsidRPr="00F9522B">
        <w:rPr>
          <w:rFonts w:eastAsiaTheme="minorEastAsia"/>
          <w:sz w:val="24"/>
        </w:rPr>
        <w:t>0</w:t>
      </w:r>
      <w:r w:rsidRPr="00F9522B">
        <w:rPr>
          <w:rFonts w:eastAsiaTheme="minorEastAsia"/>
          <w:sz w:val="24"/>
          <w:szCs w:val="22"/>
        </w:rPr>
        <w:t>m</w:t>
      </w:r>
      <w:r w:rsidRPr="00F9522B">
        <w:rPr>
          <w:rFonts w:eastAsiaTheme="minorEastAsia"/>
          <w:sz w:val="24"/>
          <w:szCs w:val="22"/>
          <w:vertAlign w:val="superscript"/>
        </w:rPr>
        <w:t>3</w:t>
      </w:r>
      <w:r w:rsidRPr="00F9522B">
        <w:rPr>
          <w:rFonts w:eastAsiaTheme="minorEastAsia"/>
          <w:sz w:val="24"/>
        </w:rPr>
        <w:t>移动式不锈钢沉淀池内，沉淀后上层清水用于洒水降尘，下层钻井</w:t>
      </w:r>
      <w:r w:rsidRPr="00F9522B">
        <w:rPr>
          <w:rFonts w:eastAsiaTheme="minorEastAsia"/>
          <w:bCs/>
          <w:sz w:val="24"/>
          <w:szCs w:val="22"/>
        </w:rPr>
        <w:t>泥浆自然干化后用于周围道路平整。</w:t>
      </w:r>
    </w:p>
    <w:p w:rsidR="002A5A5E" w:rsidRPr="00F9522B" w:rsidRDefault="00611CBA">
      <w:pPr>
        <w:spacing w:line="360" w:lineRule="auto"/>
        <w:ind w:firstLineChars="200" w:firstLine="480"/>
        <w:rPr>
          <w:rFonts w:eastAsiaTheme="minorEastAsia"/>
          <w:sz w:val="24"/>
          <w:szCs w:val="21"/>
        </w:rPr>
      </w:pPr>
      <w:r w:rsidRPr="00F9522B">
        <w:rPr>
          <w:rFonts w:eastAsiaTheme="minorEastAsia"/>
          <w:sz w:val="24"/>
          <w:szCs w:val="21"/>
        </w:rPr>
        <w:t>合理安排施工时序，选择</w:t>
      </w:r>
      <w:r w:rsidRPr="00F9522B">
        <w:rPr>
          <w:rFonts w:eastAsiaTheme="minorEastAsia"/>
          <w:sz w:val="24"/>
          <w:szCs w:val="21"/>
        </w:rPr>
        <w:t>3</w:t>
      </w:r>
      <w:r w:rsidRPr="00F9522B">
        <w:rPr>
          <w:rFonts w:eastAsiaTheme="minorEastAsia"/>
          <w:sz w:val="24"/>
          <w:szCs w:val="21"/>
        </w:rPr>
        <w:t>月至</w:t>
      </w:r>
      <w:r w:rsidRPr="00F9522B">
        <w:rPr>
          <w:rFonts w:eastAsiaTheme="minorEastAsia"/>
          <w:sz w:val="24"/>
          <w:szCs w:val="21"/>
        </w:rPr>
        <w:t>4</w:t>
      </w:r>
      <w:r w:rsidRPr="00F9522B">
        <w:rPr>
          <w:rFonts w:eastAsiaTheme="minorEastAsia"/>
          <w:sz w:val="24"/>
          <w:szCs w:val="21"/>
        </w:rPr>
        <w:t>月进行排水沟清淤及涵洞等建筑物、护砌工程施工，沟渠干涸，不涉水，避免对地表水体的影响。</w:t>
      </w:r>
    </w:p>
    <w:p w:rsidR="002A5A5E" w:rsidRPr="00F9522B" w:rsidRDefault="00611CBA">
      <w:pPr>
        <w:widowControl/>
        <w:spacing w:line="360" w:lineRule="auto"/>
        <w:ind w:firstLineChars="200" w:firstLine="480"/>
        <w:rPr>
          <w:rFonts w:eastAsiaTheme="minorEastAsia"/>
          <w:bCs/>
          <w:kern w:val="0"/>
          <w:sz w:val="24"/>
          <w:szCs w:val="20"/>
        </w:rPr>
      </w:pPr>
      <w:r w:rsidRPr="00F9522B">
        <w:rPr>
          <w:rFonts w:eastAsiaTheme="minorEastAsia"/>
          <w:bCs/>
          <w:kern w:val="0"/>
          <w:sz w:val="24"/>
          <w:szCs w:val="20"/>
        </w:rPr>
        <w:t>清淤工程在枯水期施工，</w:t>
      </w:r>
      <w:r w:rsidR="00730492" w:rsidRPr="00730492">
        <w:rPr>
          <w:rFonts w:eastAsiaTheme="minorEastAsia" w:hint="eastAsia"/>
          <w:bCs/>
          <w:sz w:val="24"/>
        </w:rPr>
        <w:t>排水沟淤泥培至工程附近</w:t>
      </w:r>
      <w:r w:rsidR="00730492" w:rsidRPr="00730492">
        <w:rPr>
          <w:rFonts w:eastAsiaTheme="minorEastAsia" w:hint="eastAsia"/>
          <w:bCs/>
          <w:sz w:val="24"/>
        </w:rPr>
        <w:t>200</w:t>
      </w:r>
      <w:r w:rsidR="00730492" w:rsidRPr="00730492">
        <w:rPr>
          <w:rFonts w:eastAsiaTheme="minorEastAsia" w:hint="eastAsia"/>
          <w:bCs/>
          <w:sz w:val="24"/>
        </w:rPr>
        <w:t>米范围内无环境保护目标的排水沟两侧（避开南城李、方台镇、宋家村等</w:t>
      </w:r>
      <w:r w:rsidR="00730492" w:rsidRPr="00730492">
        <w:rPr>
          <w:rFonts w:eastAsiaTheme="minorEastAsia" w:hint="eastAsia"/>
          <w:bCs/>
          <w:sz w:val="24"/>
        </w:rPr>
        <w:t>33</w:t>
      </w:r>
      <w:r w:rsidR="00730492" w:rsidRPr="00730492">
        <w:rPr>
          <w:rFonts w:eastAsiaTheme="minorEastAsia" w:hint="eastAsia"/>
          <w:bCs/>
          <w:sz w:val="24"/>
        </w:rPr>
        <w:t>个村屯，具体见表</w:t>
      </w:r>
      <w:r w:rsidR="00730492" w:rsidRPr="00730492">
        <w:rPr>
          <w:rFonts w:eastAsiaTheme="minorEastAsia" w:hint="eastAsia"/>
          <w:bCs/>
          <w:sz w:val="24"/>
        </w:rPr>
        <w:t>2-8-2</w:t>
      </w:r>
      <w:r w:rsidR="00730492" w:rsidRPr="00730492">
        <w:rPr>
          <w:rFonts w:eastAsiaTheme="minorEastAsia" w:hint="eastAsia"/>
          <w:bCs/>
          <w:sz w:val="24"/>
        </w:rPr>
        <w:t>）</w:t>
      </w:r>
      <w:r w:rsidRPr="00F9522B">
        <w:rPr>
          <w:rFonts w:eastAsiaTheme="minorEastAsia"/>
          <w:sz w:val="24"/>
        </w:rPr>
        <w:t>，</w:t>
      </w:r>
      <w:r w:rsidRPr="00F9522B">
        <w:rPr>
          <w:rFonts w:eastAsiaTheme="minorEastAsia"/>
          <w:bCs/>
          <w:kern w:val="0"/>
          <w:sz w:val="24"/>
          <w:szCs w:val="20"/>
        </w:rPr>
        <w:t>污泥铺摊晾晒过程中可能会产生沥水，但由于在干槽时段进行清淤，污泥含水率较低</w:t>
      </w:r>
      <w:r w:rsidR="004C69F2">
        <w:rPr>
          <w:rFonts w:eastAsiaTheme="minorEastAsia" w:hint="eastAsia"/>
          <w:bCs/>
          <w:kern w:val="0"/>
          <w:sz w:val="24"/>
          <w:szCs w:val="20"/>
        </w:rPr>
        <w:t>。</w:t>
      </w:r>
      <w:r w:rsidR="004C69F2" w:rsidRPr="00F9522B">
        <w:rPr>
          <w:rFonts w:eastAsiaTheme="minorEastAsia"/>
          <w:color w:val="FF0000"/>
          <w:kern w:val="10"/>
          <w:sz w:val="24"/>
          <w:szCs w:val="22"/>
        </w:rPr>
        <w:t>本项目排水沟底泥检测样品无重金属污染，底泥污染物均满足《土壤环境质量农用地土壤污染风险管控标准（试行）》（</w:t>
      </w:r>
      <w:r w:rsidR="004C69F2" w:rsidRPr="00F9522B">
        <w:rPr>
          <w:rFonts w:eastAsiaTheme="minorEastAsia"/>
          <w:color w:val="FF0000"/>
          <w:kern w:val="10"/>
          <w:sz w:val="24"/>
          <w:szCs w:val="22"/>
        </w:rPr>
        <w:t>GB15618-2018</w:t>
      </w:r>
      <w:r w:rsidR="004C69F2" w:rsidRPr="00F9522B">
        <w:rPr>
          <w:rFonts w:eastAsiaTheme="minorEastAsia"/>
          <w:color w:val="FF0000"/>
          <w:kern w:val="10"/>
          <w:sz w:val="24"/>
          <w:szCs w:val="22"/>
        </w:rPr>
        <w:t>）表</w:t>
      </w:r>
      <w:r w:rsidR="004C69F2" w:rsidRPr="00F9522B">
        <w:rPr>
          <w:rFonts w:eastAsiaTheme="minorEastAsia"/>
          <w:color w:val="FF0000"/>
          <w:kern w:val="10"/>
          <w:sz w:val="24"/>
          <w:szCs w:val="22"/>
        </w:rPr>
        <w:t>1</w:t>
      </w:r>
      <w:r w:rsidR="004C69F2" w:rsidRPr="00F9522B">
        <w:rPr>
          <w:rFonts w:eastAsiaTheme="minorEastAsia"/>
          <w:color w:val="FF0000"/>
          <w:kern w:val="10"/>
          <w:sz w:val="24"/>
          <w:szCs w:val="22"/>
        </w:rPr>
        <w:t>、表</w:t>
      </w:r>
      <w:r w:rsidR="004C69F2" w:rsidRPr="00F9522B">
        <w:rPr>
          <w:rFonts w:eastAsiaTheme="minorEastAsia"/>
          <w:color w:val="FF0000"/>
          <w:kern w:val="10"/>
          <w:sz w:val="24"/>
          <w:szCs w:val="22"/>
        </w:rPr>
        <w:t>2</w:t>
      </w:r>
      <w:r w:rsidR="004C69F2" w:rsidRPr="00F9522B">
        <w:rPr>
          <w:rFonts w:eastAsiaTheme="minorEastAsia"/>
          <w:color w:val="FF0000"/>
          <w:kern w:val="10"/>
          <w:sz w:val="24"/>
          <w:szCs w:val="22"/>
        </w:rPr>
        <w:t>中筛选值</w:t>
      </w:r>
      <w:r w:rsidR="004C69F2">
        <w:rPr>
          <w:rFonts w:eastAsiaTheme="minorEastAsia"/>
          <w:color w:val="FF0000"/>
          <w:kern w:val="10"/>
          <w:sz w:val="24"/>
          <w:szCs w:val="22"/>
        </w:rPr>
        <w:t>。</w:t>
      </w:r>
      <w:r w:rsidRPr="00F9522B">
        <w:rPr>
          <w:rFonts w:eastAsiaTheme="minorEastAsia"/>
          <w:bCs/>
          <w:kern w:val="0"/>
          <w:sz w:val="24"/>
          <w:szCs w:val="20"/>
        </w:rPr>
        <w:t>污泥沥水与排水沟内水质基本一致，故排至排水沟内不会对灌区水质产生不良影响。</w:t>
      </w:r>
    </w:p>
    <w:p w:rsidR="002A5A5E" w:rsidRPr="00F9522B" w:rsidRDefault="00611CBA">
      <w:pPr>
        <w:spacing w:line="360" w:lineRule="auto"/>
        <w:ind w:firstLineChars="200" w:firstLine="480"/>
        <w:rPr>
          <w:rFonts w:eastAsiaTheme="minorEastAsia"/>
          <w:sz w:val="24"/>
          <w:szCs w:val="21"/>
        </w:rPr>
      </w:pPr>
      <w:r w:rsidRPr="00F9522B">
        <w:rPr>
          <w:rFonts w:eastAsiaTheme="minorEastAsia"/>
          <w:sz w:val="24"/>
          <w:szCs w:val="21"/>
        </w:rPr>
        <w:t>因此施工期对地表水径流环境基本无影响。</w:t>
      </w:r>
    </w:p>
    <w:p w:rsidR="002A5A5E" w:rsidRPr="00F9522B" w:rsidRDefault="00611CBA">
      <w:pPr>
        <w:autoSpaceDE w:val="0"/>
        <w:autoSpaceDN w:val="0"/>
        <w:spacing w:before="100" w:beforeAutospacing="1" w:after="100" w:afterAutospacing="1"/>
        <w:jc w:val="left"/>
        <w:outlineLvl w:val="2"/>
        <w:rPr>
          <w:rFonts w:eastAsiaTheme="minorEastAsia"/>
          <w:b/>
          <w:sz w:val="28"/>
          <w:szCs w:val="28"/>
        </w:rPr>
      </w:pPr>
      <w:r w:rsidRPr="00F9522B">
        <w:rPr>
          <w:rFonts w:eastAsiaTheme="minorEastAsia"/>
          <w:b/>
          <w:sz w:val="28"/>
          <w:szCs w:val="28"/>
        </w:rPr>
        <w:lastRenderedPageBreak/>
        <w:t>5.1.3</w:t>
      </w:r>
      <w:r w:rsidRPr="00F9522B">
        <w:rPr>
          <w:rFonts w:eastAsiaTheme="minorEastAsia"/>
          <w:b/>
          <w:sz w:val="28"/>
          <w:szCs w:val="28"/>
        </w:rPr>
        <w:t>噪声环境影响评价</w:t>
      </w:r>
    </w:p>
    <w:p w:rsidR="002A5A5E" w:rsidRPr="00F9522B" w:rsidRDefault="00611CBA">
      <w:pPr>
        <w:pStyle w:val="aff4"/>
        <w:adjustRightInd/>
        <w:snapToGrid/>
        <w:jc w:val="both"/>
        <w:rPr>
          <w:rFonts w:ascii="Times New Roman" w:hAnsi="Times New Roman" w:cs="Times New Roman"/>
          <w:snapToGrid w:val="0"/>
        </w:rPr>
      </w:pPr>
      <w:r w:rsidRPr="00F9522B">
        <w:rPr>
          <w:rFonts w:ascii="Times New Roman" w:hAnsi="Times New Roman" w:cs="Times New Roman"/>
          <w:snapToGrid w:val="0"/>
        </w:rPr>
        <w:t>项目施工期噪声主要来源于施工机械噪声和运输车辆噪声。在施工过程中，由于各种施工机械设备的运转和各类车辆的运行，不可避免地将产生噪声污染。根据调查本项目的主要噪声源如下表</w:t>
      </w:r>
      <w:r w:rsidRPr="00F9522B">
        <w:rPr>
          <w:rFonts w:ascii="Times New Roman" w:hAnsi="Times New Roman" w:cs="Times New Roman"/>
          <w:snapToGrid w:val="0"/>
        </w:rPr>
        <w:t>5-1-4</w:t>
      </w:r>
      <w:r w:rsidRPr="00F9522B">
        <w:rPr>
          <w:rFonts w:ascii="Times New Roman" w:hAnsi="Times New Roman" w:cs="Times New Roman"/>
          <w:snapToGrid w:val="0"/>
        </w:rPr>
        <w:t>。</w:t>
      </w:r>
    </w:p>
    <w:p w:rsidR="002A5A5E" w:rsidRPr="00F9522B" w:rsidRDefault="00611CBA">
      <w:pPr>
        <w:contextualSpacing/>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5-1-4</w:t>
      </w:r>
      <w:r w:rsidRPr="00F9522B">
        <w:rPr>
          <w:rFonts w:eastAsiaTheme="minorEastAsia"/>
          <w:b/>
          <w:kern w:val="0"/>
          <w:szCs w:val="21"/>
        </w:rPr>
        <w:t>施工机械噪声源一览表</w:t>
      </w:r>
    </w:p>
    <w:tbl>
      <w:tblPr>
        <w:tblW w:w="8147" w:type="dxa"/>
        <w:jc w:val="center"/>
        <w:tblBorders>
          <w:top w:val="single" w:sz="12" w:space="0" w:color="auto"/>
          <w:bottom w:val="single" w:sz="12" w:space="0" w:color="auto"/>
          <w:insideH w:val="single" w:sz="6" w:space="0" w:color="auto"/>
          <w:insideV w:val="single" w:sz="6" w:space="0" w:color="auto"/>
        </w:tblBorders>
        <w:tblLayout w:type="fixed"/>
        <w:tblLook w:val="04A0"/>
      </w:tblPr>
      <w:tblGrid>
        <w:gridCol w:w="2290"/>
        <w:gridCol w:w="3482"/>
        <w:gridCol w:w="2375"/>
      </w:tblGrid>
      <w:tr w:rsidR="002A5A5E" w:rsidRPr="00F9522B">
        <w:trPr>
          <w:trHeight w:val="4"/>
          <w:tblHeader/>
          <w:jc w:val="center"/>
        </w:trPr>
        <w:tc>
          <w:tcPr>
            <w:tcW w:w="2290" w:type="dxa"/>
            <w:vAlign w:val="center"/>
          </w:tcPr>
          <w:p w:rsidR="002A5A5E" w:rsidRPr="00F9522B" w:rsidRDefault="00611CBA">
            <w:pPr>
              <w:widowControl/>
              <w:spacing w:line="240" w:lineRule="atLeast"/>
              <w:jc w:val="center"/>
              <w:rPr>
                <w:rFonts w:eastAsiaTheme="minorEastAsia"/>
                <w:kern w:val="0"/>
                <w:szCs w:val="21"/>
              </w:rPr>
            </w:pPr>
            <w:r w:rsidRPr="00F9522B">
              <w:rPr>
                <w:rFonts w:eastAsiaTheme="minorEastAsia"/>
                <w:kern w:val="0"/>
                <w:szCs w:val="21"/>
              </w:rPr>
              <w:t>声源</w:t>
            </w:r>
          </w:p>
        </w:tc>
        <w:tc>
          <w:tcPr>
            <w:tcW w:w="3482" w:type="dxa"/>
            <w:vAlign w:val="center"/>
          </w:tcPr>
          <w:p w:rsidR="002A5A5E" w:rsidRPr="00F9522B" w:rsidRDefault="00611CBA">
            <w:pPr>
              <w:widowControl/>
              <w:spacing w:line="240" w:lineRule="atLeast"/>
              <w:jc w:val="center"/>
              <w:rPr>
                <w:rFonts w:eastAsiaTheme="minorEastAsia"/>
                <w:kern w:val="0"/>
                <w:szCs w:val="21"/>
              </w:rPr>
            </w:pPr>
            <w:r w:rsidRPr="00F9522B">
              <w:rPr>
                <w:rFonts w:eastAsiaTheme="minorEastAsia"/>
                <w:kern w:val="0"/>
                <w:szCs w:val="21"/>
              </w:rPr>
              <w:t>噪声源强</w:t>
            </w:r>
            <w:r w:rsidRPr="00F9522B">
              <w:rPr>
                <w:rFonts w:eastAsiaTheme="minorEastAsia"/>
                <w:kern w:val="0"/>
                <w:szCs w:val="21"/>
              </w:rPr>
              <w:t>dB(A)</w:t>
            </w:r>
          </w:p>
        </w:tc>
        <w:tc>
          <w:tcPr>
            <w:tcW w:w="2375" w:type="dxa"/>
            <w:vAlign w:val="center"/>
          </w:tcPr>
          <w:p w:rsidR="002A5A5E" w:rsidRPr="00F9522B" w:rsidRDefault="00611CBA">
            <w:pPr>
              <w:widowControl/>
              <w:spacing w:line="240" w:lineRule="atLeast"/>
              <w:jc w:val="center"/>
              <w:rPr>
                <w:rFonts w:eastAsiaTheme="minorEastAsia"/>
                <w:kern w:val="0"/>
                <w:szCs w:val="21"/>
              </w:rPr>
            </w:pPr>
            <w:r w:rsidRPr="00F9522B">
              <w:rPr>
                <w:rFonts w:eastAsiaTheme="minorEastAsia"/>
                <w:kern w:val="0"/>
                <w:szCs w:val="21"/>
              </w:rPr>
              <w:t>备注</w:t>
            </w:r>
          </w:p>
        </w:tc>
      </w:tr>
      <w:tr w:rsidR="002A5A5E" w:rsidRPr="00F9522B">
        <w:trPr>
          <w:trHeight w:val="12"/>
          <w:tblHeader/>
          <w:jc w:val="center"/>
        </w:trPr>
        <w:tc>
          <w:tcPr>
            <w:tcW w:w="2290" w:type="dxa"/>
            <w:vAlign w:val="center"/>
          </w:tcPr>
          <w:p w:rsidR="002A5A5E" w:rsidRPr="00F9522B" w:rsidRDefault="00611CBA">
            <w:pPr>
              <w:adjustRightInd w:val="0"/>
              <w:snapToGrid w:val="0"/>
              <w:spacing w:before="40" w:after="40" w:line="240" w:lineRule="exact"/>
              <w:jc w:val="center"/>
              <w:rPr>
                <w:rFonts w:eastAsiaTheme="minorEastAsia"/>
                <w:kern w:val="0"/>
                <w:szCs w:val="21"/>
              </w:rPr>
            </w:pPr>
            <w:r w:rsidRPr="00F9522B">
              <w:rPr>
                <w:rFonts w:eastAsiaTheme="minorEastAsia"/>
                <w:kern w:val="0"/>
                <w:szCs w:val="21"/>
              </w:rPr>
              <w:t>轮式装载机</w:t>
            </w:r>
          </w:p>
        </w:tc>
        <w:tc>
          <w:tcPr>
            <w:tcW w:w="3482" w:type="dxa"/>
            <w:vAlign w:val="center"/>
          </w:tcPr>
          <w:p w:rsidR="002A5A5E" w:rsidRPr="00F9522B" w:rsidRDefault="00611CBA">
            <w:pPr>
              <w:widowControl/>
              <w:spacing w:line="240" w:lineRule="atLeast"/>
              <w:jc w:val="center"/>
              <w:rPr>
                <w:rFonts w:eastAsiaTheme="minorEastAsia"/>
                <w:kern w:val="0"/>
                <w:szCs w:val="21"/>
              </w:rPr>
            </w:pPr>
            <w:r w:rsidRPr="00F9522B">
              <w:rPr>
                <w:rFonts w:eastAsiaTheme="minorEastAsia"/>
                <w:kern w:val="0"/>
                <w:szCs w:val="21"/>
              </w:rPr>
              <w:t>88</w:t>
            </w:r>
          </w:p>
        </w:tc>
        <w:tc>
          <w:tcPr>
            <w:tcW w:w="2375" w:type="dxa"/>
            <w:vMerge w:val="restart"/>
            <w:vAlign w:val="center"/>
          </w:tcPr>
          <w:p w:rsidR="002A5A5E" w:rsidRPr="00F9522B" w:rsidRDefault="00611CBA">
            <w:pPr>
              <w:widowControl/>
              <w:spacing w:line="240" w:lineRule="atLeast"/>
              <w:jc w:val="center"/>
              <w:rPr>
                <w:rFonts w:eastAsiaTheme="minorEastAsia"/>
                <w:kern w:val="0"/>
                <w:szCs w:val="21"/>
              </w:rPr>
            </w:pPr>
            <w:r w:rsidRPr="00F9522B">
              <w:rPr>
                <w:rFonts w:eastAsiaTheme="minorEastAsia"/>
                <w:kern w:val="0"/>
                <w:szCs w:val="21"/>
              </w:rPr>
              <w:t>距离声源</w:t>
            </w:r>
            <w:r w:rsidRPr="00F9522B">
              <w:rPr>
                <w:rFonts w:eastAsiaTheme="minorEastAsia"/>
                <w:kern w:val="0"/>
                <w:szCs w:val="21"/>
              </w:rPr>
              <w:t>1m</w:t>
            </w:r>
            <w:r w:rsidRPr="00F9522B">
              <w:rPr>
                <w:rFonts w:eastAsiaTheme="minorEastAsia"/>
                <w:kern w:val="0"/>
                <w:szCs w:val="21"/>
              </w:rPr>
              <w:t>处</w:t>
            </w:r>
          </w:p>
        </w:tc>
      </w:tr>
      <w:tr w:rsidR="002A5A5E" w:rsidRPr="00F9522B">
        <w:trPr>
          <w:trHeight w:val="12"/>
          <w:tblHeader/>
          <w:jc w:val="center"/>
        </w:trPr>
        <w:tc>
          <w:tcPr>
            <w:tcW w:w="2290" w:type="dxa"/>
            <w:vAlign w:val="center"/>
          </w:tcPr>
          <w:p w:rsidR="002A5A5E" w:rsidRPr="00F9522B" w:rsidRDefault="00611CBA">
            <w:pPr>
              <w:adjustRightInd w:val="0"/>
              <w:snapToGrid w:val="0"/>
              <w:spacing w:before="40" w:after="40" w:line="240" w:lineRule="exact"/>
              <w:jc w:val="center"/>
              <w:rPr>
                <w:rFonts w:eastAsiaTheme="minorEastAsia"/>
                <w:kern w:val="0"/>
                <w:szCs w:val="21"/>
              </w:rPr>
            </w:pPr>
            <w:r w:rsidRPr="00F9522B">
              <w:rPr>
                <w:rFonts w:eastAsiaTheme="minorEastAsia"/>
                <w:kern w:val="0"/>
                <w:szCs w:val="21"/>
              </w:rPr>
              <w:t>平地机</w:t>
            </w:r>
          </w:p>
        </w:tc>
        <w:tc>
          <w:tcPr>
            <w:tcW w:w="3482" w:type="dxa"/>
            <w:vAlign w:val="center"/>
          </w:tcPr>
          <w:p w:rsidR="002A5A5E" w:rsidRPr="00F9522B" w:rsidRDefault="00611CBA">
            <w:pPr>
              <w:widowControl/>
              <w:spacing w:line="240" w:lineRule="atLeast"/>
              <w:jc w:val="center"/>
              <w:rPr>
                <w:rFonts w:eastAsiaTheme="minorEastAsia"/>
                <w:kern w:val="0"/>
                <w:szCs w:val="21"/>
              </w:rPr>
            </w:pPr>
            <w:r w:rsidRPr="00F9522B">
              <w:rPr>
                <w:rFonts w:eastAsiaTheme="minorEastAsia"/>
                <w:kern w:val="0"/>
                <w:szCs w:val="21"/>
              </w:rPr>
              <w:t>86</w:t>
            </w:r>
          </w:p>
        </w:tc>
        <w:tc>
          <w:tcPr>
            <w:tcW w:w="2375" w:type="dxa"/>
            <w:vMerge/>
            <w:vAlign w:val="center"/>
          </w:tcPr>
          <w:p w:rsidR="002A5A5E" w:rsidRPr="00F9522B" w:rsidRDefault="002A5A5E">
            <w:pPr>
              <w:widowControl/>
              <w:spacing w:line="240" w:lineRule="atLeast"/>
              <w:jc w:val="center"/>
              <w:rPr>
                <w:rFonts w:eastAsiaTheme="minorEastAsia"/>
                <w:kern w:val="0"/>
                <w:szCs w:val="21"/>
              </w:rPr>
            </w:pPr>
          </w:p>
        </w:tc>
      </w:tr>
      <w:tr w:rsidR="002A5A5E" w:rsidRPr="00F9522B">
        <w:trPr>
          <w:trHeight w:val="12"/>
          <w:tblHeader/>
          <w:jc w:val="center"/>
        </w:trPr>
        <w:tc>
          <w:tcPr>
            <w:tcW w:w="2290" w:type="dxa"/>
            <w:vAlign w:val="center"/>
          </w:tcPr>
          <w:p w:rsidR="002A5A5E" w:rsidRPr="00F9522B" w:rsidRDefault="00611CBA">
            <w:pPr>
              <w:adjustRightInd w:val="0"/>
              <w:snapToGrid w:val="0"/>
              <w:spacing w:before="40" w:after="40" w:line="240" w:lineRule="exact"/>
              <w:jc w:val="center"/>
              <w:rPr>
                <w:rFonts w:eastAsiaTheme="minorEastAsia"/>
                <w:kern w:val="0"/>
                <w:szCs w:val="21"/>
              </w:rPr>
            </w:pPr>
            <w:r w:rsidRPr="00F9522B">
              <w:rPr>
                <w:rFonts w:eastAsiaTheme="minorEastAsia"/>
                <w:kern w:val="0"/>
                <w:szCs w:val="21"/>
              </w:rPr>
              <w:t>压路机</w:t>
            </w:r>
          </w:p>
        </w:tc>
        <w:tc>
          <w:tcPr>
            <w:tcW w:w="3482" w:type="dxa"/>
            <w:vAlign w:val="center"/>
          </w:tcPr>
          <w:p w:rsidR="002A5A5E" w:rsidRPr="00F9522B" w:rsidRDefault="00611CBA">
            <w:pPr>
              <w:widowControl/>
              <w:spacing w:line="240" w:lineRule="atLeast"/>
              <w:jc w:val="center"/>
              <w:rPr>
                <w:rFonts w:eastAsiaTheme="minorEastAsia"/>
                <w:kern w:val="0"/>
                <w:szCs w:val="21"/>
              </w:rPr>
            </w:pPr>
            <w:r w:rsidRPr="00F9522B">
              <w:rPr>
                <w:rFonts w:eastAsiaTheme="minorEastAsia"/>
                <w:kern w:val="0"/>
                <w:szCs w:val="21"/>
              </w:rPr>
              <w:t>86</w:t>
            </w:r>
          </w:p>
        </w:tc>
        <w:tc>
          <w:tcPr>
            <w:tcW w:w="2375" w:type="dxa"/>
            <w:vMerge/>
            <w:vAlign w:val="center"/>
          </w:tcPr>
          <w:p w:rsidR="002A5A5E" w:rsidRPr="00F9522B" w:rsidRDefault="002A5A5E">
            <w:pPr>
              <w:widowControl/>
              <w:spacing w:line="240" w:lineRule="atLeast"/>
              <w:jc w:val="center"/>
              <w:rPr>
                <w:rFonts w:eastAsiaTheme="minorEastAsia"/>
                <w:kern w:val="0"/>
                <w:szCs w:val="21"/>
              </w:rPr>
            </w:pPr>
          </w:p>
        </w:tc>
      </w:tr>
      <w:tr w:rsidR="002A5A5E" w:rsidRPr="00F9522B">
        <w:trPr>
          <w:trHeight w:val="12"/>
          <w:tblHeader/>
          <w:jc w:val="center"/>
        </w:trPr>
        <w:tc>
          <w:tcPr>
            <w:tcW w:w="2290" w:type="dxa"/>
            <w:vAlign w:val="center"/>
          </w:tcPr>
          <w:p w:rsidR="002A5A5E" w:rsidRPr="00F9522B" w:rsidRDefault="00611CBA">
            <w:pPr>
              <w:adjustRightInd w:val="0"/>
              <w:snapToGrid w:val="0"/>
              <w:spacing w:before="40" w:after="40" w:line="240" w:lineRule="exact"/>
              <w:jc w:val="center"/>
              <w:rPr>
                <w:rFonts w:eastAsiaTheme="minorEastAsia"/>
                <w:kern w:val="0"/>
                <w:szCs w:val="21"/>
              </w:rPr>
            </w:pPr>
            <w:r w:rsidRPr="00F9522B">
              <w:rPr>
                <w:rFonts w:eastAsiaTheme="minorEastAsia"/>
                <w:kern w:val="0"/>
                <w:szCs w:val="21"/>
              </w:rPr>
              <w:t>推土机</w:t>
            </w:r>
          </w:p>
        </w:tc>
        <w:tc>
          <w:tcPr>
            <w:tcW w:w="3482" w:type="dxa"/>
            <w:vAlign w:val="center"/>
          </w:tcPr>
          <w:p w:rsidR="002A5A5E" w:rsidRPr="00F9522B" w:rsidRDefault="00611CBA">
            <w:pPr>
              <w:widowControl/>
              <w:spacing w:line="240" w:lineRule="atLeast"/>
              <w:jc w:val="center"/>
              <w:rPr>
                <w:rFonts w:eastAsiaTheme="minorEastAsia"/>
                <w:kern w:val="0"/>
                <w:szCs w:val="21"/>
              </w:rPr>
            </w:pPr>
            <w:r w:rsidRPr="00F9522B">
              <w:rPr>
                <w:rFonts w:eastAsiaTheme="minorEastAsia"/>
                <w:spacing w:val="20"/>
                <w:szCs w:val="21"/>
              </w:rPr>
              <w:t>86</w:t>
            </w:r>
          </w:p>
        </w:tc>
        <w:tc>
          <w:tcPr>
            <w:tcW w:w="2375" w:type="dxa"/>
            <w:vMerge/>
            <w:vAlign w:val="center"/>
          </w:tcPr>
          <w:p w:rsidR="002A5A5E" w:rsidRPr="00F9522B" w:rsidRDefault="002A5A5E">
            <w:pPr>
              <w:widowControl/>
              <w:spacing w:line="240" w:lineRule="atLeast"/>
              <w:jc w:val="center"/>
              <w:rPr>
                <w:rFonts w:eastAsiaTheme="minorEastAsia"/>
                <w:kern w:val="0"/>
                <w:szCs w:val="21"/>
              </w:rPr>
            </w:pPr>
          </w:p>
        </w:tc>
      </w:tr>
      <w:tr w:rsidR="002A5A5E" w:rsidRPr="00F9522B">
        <w:trPr>
          <w:trHeight w:val="12"/>
          <w:tblHeader/>
          <w:jc w:val="center"/>
        </w:trPr>
        <w:tc>
          <w:tcPr>
            <w:tcW w:w="2290" w:type="dxa"/>
            <w:vAlign w:val="center"/>
          </w:tcPr>
          <w:p w:rsidR="002A5A5E" w:rsidRPr="00F9522B" w:rsidRDefault="00611CBA">
            <w:pPr>
              <w:adjustRightInd w:val="0"/>
              <w:snapToGrid w:val="0"/>
              <w:spacing w:before="40" w:after="40" w:line="240" w:lineRule="exact"/>
              <w:jc w:val="center"/>
              <w:rPr>
                <w:rFonts w:eastAsiaTheme="minorEastAsia"/>
                <w:kern w:val="0"/>
                <w:szCs w:val="21"/>
              </w:rPr>
            </w:pPr>
            <w:r w:rsidRPr="00F9522B">
              <w:rPr>
                <w:rFonts w:eastAsiaTheme="minorEastAsia"/>
                <w:kern w:val="0"/>
                <w:szCs w:val="21"/>
              </w:rPr>
              <w:t>挖掘机</w:t>
            </w:r>
          </w:p>
        </w:tc>
        <w:tc>
          <w:tcPr>
            <w:tcW w:w="3482" w:type="dxa"/>
            <w:vAlign w:val="center"/>
          </w:tcPr>
          <w:p w:rsidR="002A5A5E" w:rsidRPr="00F9522B" w:rsidRDefault="00611CBA">
            <w:pPr>
              <w:widowControl/>
              <w:spacing w:line="240" w:lineRule="atLeast"/>
              <w:jc w:val="center"/>
              <w:rPr>
                <w:rFonts w:eastAsiaTheme="minorEastAsia"/>
                <w:kern w:val="0"/>
                <w:szCs w:val="21"/>
              </w:rPr>
            </w:pPr>
            <w:r w:rsidRPr="00F9522B">
              <w:rPr>
                <w:rFonts w:eastAsiaTheme="minorEastAsia"/>
                <w:spacing w:val="20"/>
                <w:szCs w:val="21"/>
              </w:rPr>
              <w:t>88</w:t>
            </w:r>
          </w:p>
        </w:tc>
        <w:tc>
          <w:tcPr>
            <w:tcW w:w="2375" w:type="dxa"/>
            <w:vMerge/>
            <w:vAlign w:val="center"/>
          </w:tcPr>
          <w:p w:rsidR="002A5A5E" w:rsidRPr="00F9522B" w:rsidRDefault="002A5A5E">
            <w:pPr>
              <w:widowControl/>
              <w:spacing w:line="240" w:lineRule="atLeast"/>
              <w:jc w:val="center"/>
              <w:rPr>
                <w:rFonts w:eastAsiaTheme="minorEastAsia"/>
                <w:kern w:val="0"/>
                <w:szCs w:val="21"/>
              </w:rPr>
            </w:pPr>
          </w:p>
        </w:tc>
      </w:tr>
      <w:tr w:rsidR="002A5A5E" w:rsidRPr="00F9522B">
        <w:trPr>
          <w:trHeight w:val="12"/>
          <w:tblHeader/>
          <w:jc w:val="center"/>
        </w:trPr>
        <w:tc>
          <w:tcPr>
            <w:tcW w:w="2290" w:type="dxa"/>
            <w:vAlign w:val="center"/>
          </w:tcPr>
          <w:p w:rsidR="002A5A5E" w:rsidRPr="00F9522B" w:rsidRDefault="00611CBA">
            <w:pPr>
              <w:adjustRightInd w:val="0"/>
              <w:snapToGrid w:val="0"/>
              <w:spacing w:before="40" w:after="40" w:line="240" w:lineRule="exact"/>
              <w:jc w:val="center"/>
              <w:rPr>
                <w:rFonts w:eastAsiaTheme="minorEastAsia"/>
                <w:kern w:val="0"/>
                <w:szCs w:val="21"/>
              </w:rPr>
            </w:pPr>
            <w:r w:rsidRPr="00F9522B">
              <w:rPr>
                <w:rFonts w:eastAsiaTheme="minorEastAsia"/>
                <w:kern w:val="0"/>
                <w:szCs w:val="21"/>
              </w:rPr>
              <w:t>摊铺机</w:t>
            </w:r>
          </w:p>
        </w:tc>
        <w:tc>
          <w:tcPr>
            <w:tcW w:w="3482" w:type="dxa"/>
            <w:vAlign w:val="center"/>
          </w:tcPr>
          <w:p w:rsidR="002A5A5E" w:rsidRPr="00F9522B" w:rsidRDefault="00611CBA">
            <w:pPr>
              <w:widowControl/>
              <w:spacing w:line="240" w:lineRule="atLeast"/>
              <w:jc w:val="center"/>
              <w:rPr>
                <w:rFonts w:eastAsiaTheme="minorEastAsia"/>
                <w:kern w:val="0"/>
                <w:szCs w:val="21"/>
              </w:rPr>
            </w:pPr>
            <w:r w:rsidRPr="00F9522B">
              <w:rPr>
                <w:rFonts w:eastAsiaTheme="minorEastAsia"/>
                <w:kern w:val="0"/>
                <w:szCs w:val="21"/>
              </w:rPr>
              <w:t>86</w:t>
            </w:r>
          </w:p>
        </w:tc>
        <w:tc>
          <w:tcPr>
            <w:tcW w:w="2375" w:type="dxa"/>
            <w:vMerge/>
            <w:vAlign w:val="center"/>
          </w:tcPr>
          <w:p w:rsidR="002A5A5E" w:rsidRPr="00F9522B" w:rsidRDefault="002A5A5E">
            <w:pPr>
              <w:widowControl/>
              <w:spacing w:line="240" w:lineRule="atLeast"/>
              <w:jc w:val="center"/>
              <w:rPr>
                <w:rFonts w:eastAsiaTheme="minorEastAsia"/>
                <w:kern w:val="0"/>
                <w:szCs w:val="21"/>
              </w:rPr>
            </w:pPr>
          </w:p>
        </w:tc>
      </w:tr>
      <w:tr w:rsidR="002A5A5E" w:rsidRPr="00F9522B">
        <w:trPr>
          <w:trHeight w:val="12"/>
          <w:tblHeader/>
          <w:jc w:val="center"/>
        </w:trPr>
        <w:tc>
          <w:tcPr>
            <w:tcW w:w="2290" w:type="dxa"/>
            <w:vAlign w:val="center"/>
          </w:tcPr>
          <w:p w:rsidR="002A5A5E" w:rsidRPr="00F9522B" w:rsidRDefault="00611CBA">
            <w:pPr>
              <w:adjustRightInd w:val="0"/>
              <w:snapToGrid w:val="0"/>
              <w:spacing w:before="40" w:after="40" w:line="240" w:lineRule="exact"/>
              <w:jc w:val="center"/>
              <w:rPr>
                <w:rFonts w:eastAsiaTheme="minorEastAsia"/>
                <w:kern w:val="0"/>
                <w:szCs w:val="21"/>
              </w:rPr>
            </w:pPr>
            <w:r w:rsidRPr="00F9522B">
              <w:rPr>
                <w:rFonts w:eastAsiaTheme="minorEastAsia"/>
                <w:kern w:val="0"/>
                <w:szCs w:val="21"/>
              </w:rPr>
              <w:t>冲击式钻井机</w:t>
            </w:r>
          </w:p>
        </w:tc>
        <w:tc>
          <w:tcPr>
            <w:tcW w:w="3482" w:type="dxa"/>
            <w:vAlign w:val="center"/>
          </w:tcPr>
          <w:p w:rsidR="002A5A5E" w:rsidRPr="00F9522B" w:rsidRDefault="00611CBA">
            <w:pPr>
              <w:widowControl/>
              <w:spacing w:line="240" w:lineRule="atLeast"/>
              <w:jc w:val="center"/>
              <w:rPr>
                <w:rFonts w:eastAsiaTheme="minorEastAsia"/>
                <w:kern w:val="0"/>
                <w:szCs w:val="21"/>
              </w:rPr>
            </w:pPr>
            <w:r w:rsidRPr="00F9522B">
              <w:rPr>
                <w:rFonts w:eastAsiaTheme="minorEastAsia"/>
                <w:kern w:val="0"/>
                <w:szCs w:val="21"/>
              </w:rPr>
              <w:t>87</w:t>
            </w:r>
          </w:p>
        </w:tc>
        <w:tc>
          <w:tcPr>
            <w:tcW w:w="2375" w:type="dxa"/>
            <w:vMerge/>
            <w:vAlign w:val="center"/>
          </w:tcPr>
          <w:p w:rsidR="002A5A5E" w:rsidRPr="00F9522B" w:rsidRDefault="002A5A5E">
            <w:pPr>
              <w:widowControl/>
              <w:spacing w:line="240" w:lineRule="atLeast"/>
              <w:jc w:val="center"/>
              <w:rPr>
                <w:rFonts w:eastAsiaTheme="minorEastAsia"/>
                <w:kern w:val="0"/>
                <w:szCs w:val="21"/>
              </w:rPr>
            </w:pPr>
          </w:p>
        </w:tc>
      </w:tr>
      <w:tr w:rsidR="002A5A5E" w:rsidRPr="00F9522B">
        <w:trPr>
          <w:trHeight w:val="12"/>
          <w:tblHeader/>
          <w:jc w:val="center"/>
        </w:trPr>
        <w:tc>
          <w:tcPr>
            <w:tcW w:w="2290" w:type="dxa"/>
            <w:vAlign w:val="center"/>
          </w:tcPr>
          <w:p w:rsidR="002A5A5E" w:rsidRPr="00F9522B" w:rsidRDefault="00611CBA">
            <w:pPr>
              <w:adjustRightInd w:val="0"/>
              <w:snapToGrid w:val="0"/>
              <w:spacing w:before="40" w:after="40" w:line="240" w:lineRule="exact"/>
              <w:jc w:val="center"/>
              <w:rPr>
                <w:rFonts w:eastAsiaTheme="minorEastAsia"/>
                <w:kern w:val="0"/>
                <w:szCs w:val="21"/>
              </w:rPr>
            </w:pPr>
            <w:r w:rsidRPr="00F9522B">
              <w:rPr>
                <w:spacing w:val="2"/>
                <w:szCs w:val="21"/>
              </w:rPr>
              <w:t>自卸汽车</w:t>
            </w:r>
          </w:p>
        </w:tc>
        <w:tc>
          <w:tcPr>
            <w:tcW w:w="3482" w:type="dxa"/>
            <w:vAlign w:val="center"/>
          </w:tcPr>
          <w:p w:rsidR="002A5A5E" w:rsidRPr="00F9522B" w:rsidRDefault="00611CBA">
            <w:pPr>
              <w:widowControl/>
              <w:spacing w:line="240" w:lineRule="atLeast"/>
              <w:jc w:val="center"/>
              <w:rPr>
                <w:rFonts w:eastAsiaTheme="minorEastAsia"/>
                <w:kern w:val="0"/>
                <w:szCs w:val="21"/>
              </w:rPr>
            </w:pPr>
            <w:r w:rsidRPr="00F9522B">
              <w:rPr>
                <w:rFonts w:eastAsiaTheme="minorEastAsia"/>
                <w:spacing w:val="20"/>
                <w:szCs w:val="21"/>
              </w:rPr>
              <w:t>80</w:t>
            </w:r>
          </w:p>
        </w:tc>
        <w:tc>
          <w:tcPr>
            <w:tcW w:w="2375" w:type="dxa"/>
            <w:vMerge/>
            <w:vAlign w:val="center"/>
          </w:tcPr>
          <w:p w:rsidR="002A5A5E" w:rsidRPr="00F9522B" w:rsidRDefault="002A5A5E">
            <w:pPr>
              <w:widowControl/>
              <w:spacing w:line="240" w:lineRule="atLeast"/>
              <w:jc w:val="center"/>
              <w:rPr>
                <w:rFonts w:eastAsiaTheme="minorEastAsia"/>
                <w:kern w:val="0"/>
                <w:szCs w:val="21"/>
              </w:rPr>
            </w:pPr>
          </w:p>
        </w:tc>
      </w:tr>
      <w:tr w:rsidR="002A5A5E" w:rsidRPr="00F9522B">
        <w:trPr>
          <w:trHeight w:val="12"/>
          <w:tblHeader/>
          <w:jc w:val="center"/>
        </w:trPr>
        <w:tc>
          <w:tcPr>
            <w:tcW w:w="2290" w:type="dxa"/>
            <w:vAlign w:val="center"/>
          </w:tcPr>
          <w:p w:rsidR="002A5A5E" w:rsidRPr="00F9522B" w:rsidRDefault="00611CBA">
            <w:pPr>
              <w:adjustRightInd w:val="0"/>
              <w:snapToGrid w:val="0"/>
              <w:spacing w:before="40" w:after="40" w:line="240" w:lineRule="exact"/>
              <w:jc w:val="center"/>
              <w:rPr>
                <w:rFonts w:eastAsiaTheme="minorEastAsia"/>
                <w:kern w:val="0"/>
                <w:szCs w:val="21"/>
              </w:rPr>
            </w:pPr>
            <w:r w:rsidRPr="00F9522B">
              <w:rPr>
                <w:rFonts w:eastAsiaTheme="minorEastAsia"/>
                <w:kern w:val="0"/>
                <w:szCs w:val="21"/>
              </w:rPr>
              <w:t>移动式吊车</w:t>
            </w:r>
          </w:p>
        </w:tc>
        <w:tc>
          <w:tcPr>
            <w:tcW w:w="3482" w:type="dxa"/>
            <w:vAlign w:val="center"/>
          </w:tcPr>
          <w:p w:rsidR="002A5A5E" w:rsidRPr="00F9522B" w:rsidRDefault="00611CBA">
            <w:pPr>
              <w:widowControl/>
              <w:spacing w:line="240" w:lineRule="atLeast"/>
              <w:jc w:val="center"/>
              <w:rPr>
                <w:rFonts w:eastAsiaTheme="minorEastAsia"/>
                <w:kern w:val="0"/>
                <w:szCs w:val="21"/>
              </w:rPr>
            </w:pPr>
            <w:r w:rsidRPr="00F9522B">
              <w:rPr>
                <w:rFonts w:eastAsiaTheme="minorEastAsia"/>
                <w:spacing w:val="20"/>
                <w:szCs w:val="21"/>
              </w:rPr>
              <w:t>80</w:t>
            </w:r>
          </w:p>
        </w:tc>
        <w:tc>
          <w:tcPr>
            <w:tcW w:w="2375" w:type="dxa"/>
            <w:vMerge/>
            <w:vAlign w:val="center"/>
          </w:tcPr>
          <w:p w:rsidR="002A5A5E" w:rsidRPr="00F9522B" w:rsidRDefault="002A5A5E">
            <w:pPr>
              <w:widowControl/>
              <w:spacing w:line="240" w:lineRule="atLeast"/>
              <w:jc w:val="center"/>
              <w:rPr>
                <w:rFonts w:eastAsiaTheme="minorEastAsia"/>
                <w:kern w:val="0"/>
                <w:szCs w:val="21"/>
              </w:rPr>
            </w:pPr>
          </w:p>
        </w:tc>
      </w:tr>
      <w:tr w:rsidR="002A5A5E" w:rsidRPr="00F9522B">
        <w:trPr>
          <w:trHeight w:val="12"/>
          <w:tblHeader/>
          <w:jc w:val="center"/>
        </w:trPr>
        <w:tc>
          <w:tcPr>
            <w:tcW w:w="2290" w:type="dxa"/>
            <w:vAlign w:val="center"/>
          </w:tcPr>
          <w:p w:rsidR="002A5A5E" w:rsidRPr="00F9522B" w:rsidRDefault="00611CBA">
            <w:pPr>
              <w:adjustRightInd w:val="0"/>
              <w:snapToGrid w:val="0"/>
              <w:spacing w:before="40" w:after="40" w:line="240" w:lineRule="exact"/>
              <w:jc w:val="center"/>
              <w:rPr>
                <w:rFonts w:eastAsiaTheme="minorEastAsia"/>
                <w:kern w:val="0"/>
                <w:szCs w:val="21"/>
              </w:rPr>
            </w:pPr>
            <w:r w:rsidRPr="00F9522B">
              <w:rPr>
                <w:rFonts w:eastAsiaTheme="minorEastAsia"/>
                <w:kern w:val="0"/>
                <w:szCs w:val="21"/>
              </w:rPr>
              <w:t>发电机组</w:t>
            </w:r>
          </w:p>
        </w:tc>
        <w:tc>
          <w:tcPr>
            <w:tcW w:w="3482" w:type="dxa"/>
            <w:vAlign w:val="center"/>
          </w:tcPr>
          <w:p w:rsidR="002A5A5E" w:rsidRPr="00F9522B" w:rsidRDefault="00611CBA">
            <w:pPr>
              <w:widowControl/>
              <w:spacing w:line="240" w:lineRule="atLeast"/>
              <w:jc w:val="center"/>
              <w:rPr>
                <w:rFonts w:eastAsiaTheme="minorEastAsia"/>
                <w:kern w:val="0"/>
                <w:szCs w:val="21"/>
              </w:rPr>
            </w:pPr>
            <w:r w:rsidRPr="00F9522B">
              <w:rPr>
                <w:rFonts w:eastAsiaTheme="minorEastAsia"/>
                <w:kern w:val="0"/>
                <w:szCs w:val="21"/>
              </w:rPr>
              <w:t>80</w:t>
            </w:r>
          </w:p>
        </w:tc>
        <w:tc>
          <w:tcPr>
            <w:tcW w:w="2375" w:type="dxa"/>
            <w:vMerge/>
            <w:vAlign w:val="center"/>
          </w:tcPr>
          <w:p w:rsidR="002A5A5E" w:rsidRPr="00F9522B" w:rsidRDefault="002A5A5E">
            <w:pPr>
              <w:widowControl/>
              <w:spacing w:line="240" w:lineRule="atLeast"/>
              <w:jc w:val="center"/>
              <w:rPr>
                <w:rFonts w:eastAsiaTheme="minorEastAsia"/>
                <w:kern w:val="0"/>
                <w:szCs w:val="21"/>
              </w:rPr>
            </w:pPr>
          </w:p>
        </w:tc>
      </w:tr>
    </w:tbl>
    <w:p w:rsidR="002A5A5E" w:rsidRPr="00F9522B" w:rsidRDefault="00611CBA">
      <w:pPr>
        <w:spacing w:line="360" w:lineRule="auto"/>
        <w:ind w:firstLineChars="200" w:firstLine="480"/>
        <w:jc w:val="left"/>
        <w:rPr>
          <w:rFonts w:eastAsiaTheme="minorEastAsia"/>
          <w:sz w:val="24"/>
          <w:szCs w:val="21"/>
        </w:rPr>
      </w:pPr>
      <w:r w:rsidRPr="00F9522B">
        <w:rPr>
          <w:rFonts w:eastAsiaTheme="minorEastAsia"/>
          <w:sz w:val="24"/>
          <w:szCs w:val="21"/>
        </w:rPr>
        <w:t>施工中使用的各种施工机械、运输车辆等都是噪声的产生源。假设所有设备均为稳态连续发声状态，在不考虑任何声屏障情况下，各设备采用最大噪声值进行预测，根据声环境导则无指向性点源几何发散衰减模式：</w:t>
      </w:r>
    </w:p>
    <w:p w:rsidR="002A5A5E" w:rsidRPr="00F9522B" w:rsidRDefault="00611CBA">
      <w:pPr>
        <w:spacing w:line="360" w:lineRule="auto"/>
        <w:jc w:val="center"/>
        <w:rPr>
          <w:rFonts w:eastAsiaTheme="minorEastAsia"/>
          <w:szCs w:val="21"/>
          <w:lang w:val="fr-FR"/>
        </w:rPr>
      </w:pPr>
      <w:r w:rsidRPr="00F9522B">
        <w:rPr>
          <w:rFonts w:eastAsiaTheme="minorEastAsia"/>
          <w:noProof/>
          <w:szCs w:val="21"/>
        </w:rPr>
        <w:drawing>
          <wp:inline distT="0" distB="0" distL="0" distR="0">
            <wp:extent cx="1989455" cy="351155"/>
            <wp:effectExtent l="19050" t="0" r="0" b="0"/>
            <wp:docPr id="5"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0"/>
                    <pic:cNvPicPr>
                      <a:picLocks noChangeAspect="1" noChangeArrowheads="1"/>
                    </pic:cNvPicPr>
                  </pic:nvPicPr>
                  <pic:blipFill>
                    <a:blip r:embed="rId95" cstate="print"/>
                    <a:srcRect/>
                    <a:stretch>
                      <a:fillRect/>
                    </a:stretch>
                  </pic:blipFill>
                  <pic:spPr>
                    <a:xfrm>
                      <a:off x="0" y="0"/>
                      <a:ext cx="1989455" cy="351155"/>
                    </a:xfrm>
                    <a:prstGeom prst="rect">
                      <a:avLst/>
                    </a:prstGeom>
                    <a:noFill/>
                    <a:ln w="9525">
                      <a:noFill/>
                      <a:miter lim="800000"/>
                      <a:headEnd/>
                      <a:tailEnd/>
                    </a:ln>
                  </pic:spPr>
                </pic:pic>
              </a:graphicData>
            </a:graphic>
          </wp:inline>
        </w:drawing>
      </w:r>
    </w:p>
    <w:p w:rsidR="002A5A5E" w:rsidRPr="00F9522B" w:rsidRDefault="00611CBA">
      <w:pPr>
        <w:spacing w:line="360" w:lineRule="auto"/>
        <w:ind w:firstLineChars="200" w:firstLine="480"/>
        <w:jc w:val="left"/>
        <w:rPr>
          <w:rFonts w:eastAsiaTheme="minorEastAsia"/>
          <w:sz w:val="24"/>
        </w:rPr>
      </w:pPr>
      <w:r w:rsidRPr="00F9522B">
        <w:rPr>
          <w:rFonts w:eastAsiaTheme="minorEastAsia"/>
          <w:sz w:val="24"/>
        </w:rPr>
        <w:t>式中：</w:t>
      </w:r>
      <w:r w:rsidRPr="00F9522B">
        <w:rPr>
          <w:rFonts w:eastAsiaTheme="minorEastAsia"/>
          <w:sz w:val="24"/>
        </w:rPr>
        <w:t>L</w:t>
      </w:r>
      <w:r w:rsidRPr="00F9522B">
        <w:rPr>
          <w:rFonts w:eastAsiaTheme="minorEastAsia"/>
          <w:sz w:val="24"/>
          <w:vertAlign w:val="subscript"/>
        </w:rPr>
        <w:t>p</w:t>
      </w:r>
      <w:r w:rsidRPr="00F9522B">
        <w:rPr>
          <w:rFonts w:eastAsiaTheme="minorEastAsia"/>
          <w:sz w:val="24"/>
        </w:rPr>
        <w:t>(r)——</w:t>
      </w:r>
      <w:r w:rsidRPr="00F9522B">
        <w:rPr>
          <w:rFonts w:eastAsiaTheme="minorEastAsia"/>
          <w:sz w:val="24"/>
        </w:rPr>
        <w:t>预测点处声压级，</w:t>
      </w:r>
      <w:r w:rsidRPr="00F9522B">
        <w:rPr>
          <w:rFonts w:eastAsiaTheme="minorEastAsia"/>
          <w:sz w:val="24"/>
        </w:rPr>
        <w:t>dB</w:t>
      </w:r>
    </w:p>
    <w:p w:rsidR="002A5A5E" w:rsidRPr="00F9522B" w:rsidRDefault="00611CBA">
      <w:pPr>
        <w:spacing w:line="360" w:lineRule="auto"/>
        <w:ind w:firstLineChars="500" w:firstLine="1200"/>
        <w:jc w:val="left"/>
        <w:rPr>
          <w:rFonts w:eastAsiaTheme="minorEastAsia"/>
          <w:sz w:val="24"/>
        </w:rPr>
      </w:pPr>
      <w:r w:rsidRPr="00F9522B">
        <w:rPr>
          <w:rFonts w:eastAsiaTheme="minorEastAsia"/>
          <w:sz w:val="24"/>
        </w:rPr>
        <w:t>L</w:t>
      </w:r>
      <w:r w:rsidRPr="00F9522B">
        <w:rPr>
          <w:rFonts w:eastAsiaTheme="minorEastAsia"/>
          <w:sz w:val="24"/>
          <w:vertAlign w:val="subscript"/>
        </w:rPr>
        <w:t>p</w:t>
      </w:r>
      <w:r w:rsidRPr="00F9522B">
        <w:rPr>
          <w:rFonts w:eastAsiaTheme="minorEastAsia"/>
          <w:sz w:val="24"/>
        </w:rPr>
        <w:t>（</w:t>
      </w:r>
      <w:r w:rsidRPr="00F9522B">
        <w:rPr>
          <w:rFonts w:eastAsiaTheme="minorEastAsia"/>
          <w:sz w:val="24"/>
        </w:rPr>
        <w:t>r</w:t>
      </w:r>
      <w:r w:rsidRPr="00F9522B">
        <w:rPr>
          <w:rFonts w:eastAsiaTheme="minorEastAsia"/>
          <w:sz w:val="24"/>
          <w:vertAlign w:val="subscript"/>
        </w:rPr>
        <w:t>0</w:t>
      </w:r>
      <w:r w:rsidRPr="00F9522B">
        <w:rPr>
          <w:rFonts w:eastAsiaTheme="minorEastAsia"/>
          <w:sz w:val="24"/>
        </w:rPr>
        <w:t>）</w:t>
      </w:r>
      <w:r w:rsidRPr="00F9522B">
        <w:rPr>
          <w:rFonts w:eastAsiaTheme="minorEastAsia"/>
          <w:sz w:val="24"/>
        </w:rPr>
        <w:t>——</w:t>
      </w:r>
      <w:r w:rsidRPr="00F9522B">
        <w:rPr>
          <w:rFonts w:eastAsiaTheme="minorEastAsia"/>
          <w:sz w:val="24"/>
        </w:rPr>
        <w:t>参考位置</w:t>
      </w:r>
      <w:r w:rsidRPr="00F9522B">
        <w:rPr>
          <w:rFonts w:eastAsiaTheme="minorEastAsia"/>
          <w:sz w:val="24"/>
        </w:rPr>
        <w:t>r</w:t>
      </w:r>
      <w:r w:rsidRPr="00F9522B">
        <w:rPr>
          <w:rFonts w:eastAsiaTheme="minorEastAsia"/>
          <w:sz w:val="24"/>
          <w:vertAlign w:val="subscript"/>
        </w:rPr>
        <w:t>0</w:t>
      </w:r>
      <w:r w:rsidRPr="00F9522B">
        <w:rPr>
          <w:rFonts w:eastAsiaTheme="minorEastAsia"/>
          <w:sz w:val="24"/>
        </w:rPr>
        <w:t>处的声压级，</w:t>
      </w:r>
      <w:r w:rsidRPr="00F9522B">
        <w:rPr>
          <w:rFonts w:eastAsiaTheme="minorEastAsia"/>
          <w:sz w:val="24"/>
        </w:rPr>
        <w:t>dB</w:t>
      </w:r>
    </w:p>
    <w:p w:rsidR="002A5A5E" w:rsidRPr="00F9522B" w:rsidRDefault="00611CBA">
      <w:pPr>
        <w:spacing w:line="360" w:lineRule="auto"/>
        <w:ind w:firstLineChars="500" w:firstLine="1200"/>
        <w:jc w:val="left"/>
        <w:rPr>
          <w:rFonts w:eastAsiaTheme="minorEastAsia"/>
          <w:sz w:val="24"/>
        </w:rPr>
      </w:pPr>
      <w:r w:rsidRPr="00F9522B">
        <w:rPr>
          <w:rFonts w:eastAsiaTheme="minorEastAsia"/>
          <w:sz w:val="24"/>
        </w:rPr>
        <w:t>r——</w:t>
      </w:r>
      <w:r w:rsidRPr="00F9522B">
        <w:rPr>
          <w:rFonts w:eastAsiaTheme="minorEastAsia"/>
          <w:sz w:val="24"/>
        </w:rPr>
        <w:t>预测点距声源的距离，</w:t>
      </w:r>
      <w:r w:rsidRPr="00F9522B">
        <w:rPr>
          <w:rFonts w:eastAsiaTheme="minorEastAsia"/>
          <w:sz w:val="24"/>
        </w:rPr>
        <w:t>m</w:t>
      </w:r>
    </w:p>
    <w:p w:rsidR="002A5A5E" w:rsidRPr="00F9522B" w:rsidRDefault="00611CBA">
      <w:pPr>
        <w:spacing w:line="360" w:lineRule="auto"/>
        <w:ind w:firstLineChars="500" w:firstLine="1200"/>
        <w:jc w:val="left"/>
        <w:rPr>
          <w:rFonts w:eastAsiaTheme="minorEastAsia"/>
          <w:sz w:val="24"/>
        </w:rPr>
      </w:pPr>
      <w:r w:rsidRPr="00F9522B">
        <w:rPr>
          <w:rFonts w:eastAsiaTheme="minorEastAsia"/>
          <w:sz w:val="24"/>
        </w:rPr>
        <w:t>r</w:t>
      </w:r>
      <w:r w:rsidRPr="00F9522B">
        <w:rPr>
          <w:rFonts w:eastAsiaTheme="minorEastAsia"/>
          <w:sz w:val="24"/>
          <w:vertAlign w:val="subscript"/>
        </w:rPr>
        <w:t>0</w:t>
      </w:r>
      <w:r w:rsidRPr="00F9522B">
        <w:rPr>
          <w:rFonts w:eastAsiaTheme="minorEastAsia"/>
          <w:sz w:val="24"/>
        </w:rPr>
        <w:t>——</w:t>
      </w:r>
      <w:r w:rsidRPr="00F9522B">
        <w:rPr>
          <w:rFonts w:eastAsiaTheme="minorEastAsia"/>
          <w:sz w:val="24"/>
        </w:rPr>
        <w:t>参考位置距声源的距离，</w:t>
      </w:r>
      <w:r w:rsidRPr="00F9522B">
        <w:rPr>
          <w:rFonts w:eastAsiaTheme="minorEastAsia"/>
          <w:sz w:val="24"/>
        </w:rPr>
        <w:t>m</w:t>
      </w:r>
    </w:p>
    <w:p w:rsidR="002A5A5E" w:rsidRPr="00F9522B" w:rsidRDefault="00611CBA">
      <w:pPr>
        <w:spacing w:line="360" w:lineRule="auto"/>
        <w:ind w:firstLineChars="200" w:firstLine="460"/>
        <w:jc w:val="left"/>
        <w:rPr>
          <w:rFonts w:eastAsiaTheme="minorEastAsia"/>
          <w:sz w:val="24"/>
        </w:rPr>
      </w:pPr>
      <w:r w:rsidRPr="00F9522B">
        <w:rPr>
          <w:spacing w:val="-5"/>
          <w:sz w:val="24"/>
        </w:rPr>
        <w:t>本项目不同施工工序，错峰施工，因此仅考虑不同施工工序单独作用下的噪声影响。</w:t>
      </w:r>
      <w:r w:rsidRPr="00F9522B">
        <w:rPr>
          <w:rFonts w:eastAsiaTheme="minorEastAsia"/>
          <w:sz w:val="24"/>
        </w:rPr>
        <w:t>点声源距离衰减情况如下表所示：</w:t>
      </w:r>
    </w:p>
    <w:p w:rsidR="004C69F2" w:rsidRDefault="004C69F2">
      <w:pPr>
        <w:contextualSpacing/>
        <w:jc w:val="center"/>
        <w:rPr>
          <w:rFonts w:eastAsiaTheme="minorEastAsia"/>
          <w:b/>
          <w:bCs/>
          <w:kern w:val="0"/>
          <w:szCs w:val="21"/>
        </w:rPr>
      </w:pPr>
    </w:p>
    <w:p w:rsidR="004C69F2" w:rsidRDefault="004C69F2">
      <w:pPr>
        <w:contextualSpacing/>
        <w:jc w:val="center"/>
        <w:rPr>
          <w:rFonts w:eastAsiaTheme="minorEastAsia"/>
          <w:b/>
          <w:bCs/>
          <w:kern w:val="0"/>
          <w:szCs w:val="21"/>
        </w:rPr>
      </w:pPr>
    </w:p>
    <w:p w:rsidR="004C69F2" w:rsidRDefault="004C69F2">
      <w:pPr>
        <w:contextualSpacing/>
        <w:jc w:val="center"/>
        <w:rPr>
          <w:rFonts w:eastAsiaTheme="minorEastAsia"/>
          <w:b/>
          <w:bCs/>
          <w:kern w:val="0"/>
          <w:szCs w:val="21"/>
        </w:rPr>
      </w:pPr>
    </w:p>
    <w:p w:rsidR="004C69F2" w:rsidRDefault="004C69F2">
      <w:pPr>
        <w:contextualSpacing/>
        <w:jc w:val="center"/>
        <w:rPr>
          <w:rFonts w:eastAsiaTheme="minorEastAsia"/>
          <w:b/>
          <w:bCs/>
          <w:kern w:val="0"/>
          <w:szCs w:val="21"/>
        </w:rPr>
      </w:pPr>
    </w:p>
    <w:p w:rsidR="004C69F2" w:rsidRDefault="004C69F2">
      <w:pPr>
        <w:contextualSpacing/>
        <w:jc w:val="center"/>
        <w:rPr>
          <w:rFonts w:eastAsiaTheme="minorEastAsia"/>
          <w:b/>
          <w:bCs/>
          <w:kern w:val="0"/>
          <w:szCs w:val="21"/>
        </w:rPr>
      </w:pPr>
    </w:p>
    <w:p w:rsidR="004C69F2" w:rsidRDefault="004C69F2">
      <w:pPr>
        <w:contextualSpacing/>
        <w:jc w:val="center"/>
        <w:rPr>
          <w:rFonts w:eastAsiaTheme="minorEastAsia"/>
          <w:b/>
          <w:bCs/>
          <w:kern w:val="0"/>
          <w:szCs w:val="21"/>
        </w:rPr>
      </w:pPr>
    </w:p>
    <w:p w:rsidR="004C69F2" w:rsidRDefault="004C69F2">
      <w:pPr>
        <w:contextualSpacing/>
        <w:jc w:val="center"/>
        <w:rPr>
          <w:rFonts w:eastAsiaTheme="minorEastAsia"/>
          <w:b/>
          <w:bCs/>
          <w:kern w:val="0"/>
          <w:szCs w:val="21"/>
        </w:rPr>
      </w:pPr>
    </w:p>
    <w:p w:rsidR="004C69F2" w:rsidRDefault="004C69F2">
      <w:pPr>
        <w:contextualSpacing/>
        <w:jc w:val="center"/>
        <w:rPr>
          <w:rFonts w:eastAsiaTheme="minorEastAsia"/>
          <w:b/>
          <w:bCs/>
          <w:kern w:val="0"/>
          <w:szCs w:val="21"/>
        </w:rPr>
      </w:pPr>
    </w:p>
    <w:p w:rsidR="004C69F2" w:rsidRDefault="004C69F2">
      <w:pPr>
        <w:contextualSpacing/>
        <w:jc w:val="center"/>
        <w:rPr>
          <w:rFonts w:eastAsiaTheme="minorEastAsia"/>
          <w:b/>
          <w:bCs/>
          <w:kern w:val="0"/>
          <w:szCs w:val="21"/>
        </w:rPr>
      </w:pPr>
    </w:p>
    <w:p w:rsidR="002A5A5E" w:rsidRPr="00F9522B" w:rsidRDefault="00611CBA">
      <w:pPr>
        <w:contextualSpacing/>
        <w:jc w:val="center"/>
        <w:rPr>
          <w:rFonts w:eastAsiaTheme="minorEastAsia"/>
          <w:b/>
          <w:bCs/>
          <w:kern w:val="0"/>
          <w:szCs w:val="21"/>
        </w:rPr>
      </w:pPr>
      <w:r w:rsidRPr="00F9522B">
        <w:rPr>
          <w:rFonts w:eastAsiaTheme="minorEastAsia"/>
          <w:b/>
          <w:bCs/>
          <w:kern w:val="0"/>
          <w:szCs w:val="21"/>
        </w:rPr>
        <w:lastRenderedPageBreak/>
        <w:t>表</w:t>
      </w:r>
      <w:r w:rsidRPr="00F9522B">
        <w:rPr>
          <w:rFonts w:eastAsiaTheme="minorEastAsia"/>
          <w:b/>
          <w:bCs/>
          <w:kern w:val="0"/>
          <w:szCs w:val="21"/>
        </w:rPr>
        <w:t>5-1-5</w:t>
      </w:r>
      <w:r w:rsidRPr="00F9522B">
        <w:rPr>
          <w:rFonts w:eastAsiaTheme="minorEastAsia"/>
          <w:b/>
          <w:bCs/>
          <w:kern w:val="0"/>
          <w:szCs w:val="21"/>
        </w:rPr>
        <w:t>不同施工工序机械同时作业噪声影响预测值</w:t>
      </w:r>
    </w:p>
    <w:tbl>
      <w:tblPr>
        <w:tblStyle w:val="TableNormal"/>
        <w:tblW w:w="5000" w:type="pct"/>
        <w:tblInd w:w="0" w:type="dxa"/>
        <w:tblBorders>
          <w:top w:val="single" w:sz="12" w:space="0" w:color="000000"/>
          <w:bottom w:val="single" w:sz="12" w:space="0" w:color="000000"/>
          <w:insideH w:val="single" w:sz="2" w:space="0" w:color="000000"/>
          <w:insideV w:val="single" w:sz="2" w:space="0" w:color="000000"/>
        </w:tblBorders>
        <w:tblLook w:val="04A0"/>
      </w:tblPr>
      <w:tblGrid>
        <w:gridCol w:w="774"/>
        <w:gridCol w:w="1482"/>
        <w:gridCol w:w="1027"/>
        <w:gridCol w:w="744"/>
        <w:gridCol w:w="744"/>
        <w:gridCol w:w="711"/>
        <w:gridCol w:w="749"/>
        <w:gridCol w:w="711"/>
        <w:gridCol w:w="701"/>
        <w:gridCol w:w="663"/>
      </w:tblGrid>
      <w:tr w:rsidR="002A5A5E" w:rsidRPr="00F9522B">
        <w:trPr>
          <w:trHeight w:val="340"/>
        </w:trPr>
        <w:tc>
          <w:tcPr>
            <w:tcW w:w="466" w:type="pct"/>
            <w:vMerge w:val="restart"/>
            <w:tcBorders>
              <w:tl2br w:val="nil"/>
              <w:tr2bl w:val="nil"/>
            </w:tcBorders>
            <w:vAlign w:val="center"/>
          </w:tcPr>
          <w:p w:rsidR="002A5A5E" w:rsidRPr="00F9522B" w:rsidRDefault="00611CBA">
            <w:pPr>
              <w:jc w:val="center"/>
              <w:rPr>
                <w:szCs w:val="21"/>
              </w:rPr>
            </w:pPr>
            <w:r w:rsidRPr="00F9522B">
              <w:rPr>
                <w:spacing w:val="7"/>
                <w:szCs w:val="21"/>
              </w:rPr>
              <w:t>施工工序</w:t>
            </w:r>
          </w:p>
        </w:tc>
        <w:tc>
          <w:tcPr>
            <w:tcW w:w="1510" w:type="pct"/>
            <w:gridSpan w:val="2"/>
            <w:tcBorders>
              <w:tl2br w:val="nil"/>
              <w:tr2bl w:val="nil"/>
            </w:tcBorders>
            <w:vAlign w:val="center"/>
          </w:tcPr>
          <w:p w:rsidR="002A5A5E" w:rsidRPr="00F9522B" w:rsidRDefault="00611CBA">
            <w:pPr>
              <w:jc w:val="center"/>
              <w:rPr>
                <w:szCs w:val="21"/>
              </w:rPr>
            </w:pPr>
            <w:r w:rsidRPr="00F9522B">
              <w:rPr>
                <w:spacing w:val="7"/>
                <w:szCs w:val="21"/>
              </w:rPr>
              <w:t>同时作业的施工机械组合</w:t>
            </w:r>
          </w:p>
        </w:tc>
        <w:tc>
          <w:tcPr>
            <w:tcW w:w="3024" w:type="pct"/>
            <w:gridSpan w:val="7"/>
            <w:tcBorders>
              <w:tl2br w:val="nil"/>
              <w:tr2bl w:val="nil"/>
            </w:tcBorders>
            <w:vAlign w:val="center"/>
          </w:tcPr>
          <w:p w:rsidR="002A5A5E" w:rsidRPr="00F9522B" w:rsidRDefault="00611CBA">
            <w:pPr>
              <w:pStyle w:val="TableText"/>
              <w:kinsoku/>
              <w:jc w:val="center"/>
              <w:rPr>
                <w:rFonts w:eastAsia="宋体"/>
                <w:color w:val="auto"/>
                <w:sz w:val="21"/>
                <w:szCs w:val="21"/>
                <w:lang w:eastAsia="zh-CN"/>
              </w:rPr>
            </w:pPr>
            <w:r w:rsidRPr="00F9522B">
              <w:rPr>
                <w:rFonts w:eastAsia="宋体"/>
                <w:color w:val="auto"/>
                <w:spacing w:val="9"/>
                <w:sz w:val="21"/>
                <w:szCs w:val="21"/>
                <w:lang w:eastAsia="zh-CN"/>
              </w:rPr>
              <w:t>距离声源不同距离的噪声贡献值（</w:t>
            </w:r>
            <w:r w:rsidRPr="00F9522B">
              <w:rPr>
                <w:color w:val="auto"/>
                <w:sz w:val="21"/>
                <w:szCs w:val="21"/>
                <w:lang w:eastAsia="zh-CN"/>
              </w:rPr>
              <w:t>dB</w:t>
            </w:r>
            <w:r w:rsidRPr="00F9522B">
              <w:rPr>
                <w:rFonts w:eastAsia="宋体"/>
                <w:color w:val="auto"/>
                <w:spacing w:val="9"/>
                <w:sz w:val="21"/>
                <w:szCs w:val="21"/>
                <w:lang w:eastAsia="zh-CN"/>
              </w:rPr>
              <w:t>）</w:t>
            </w:r>
          </w:p>
        </w:tc>
      </w:tr>
      <w:tr w:rsidR="002A5A5E" w:rsidRPr="00F9522B">
        <w:trPr>
          <w:trHeight w:val="340"/>
        </w:trPr>
        <w:tc>
          <w:tcPr>
            <w:tcW w:w="466" w:type="pct"/>
            <w:vMerge/>
            <w:tcBorders>
              <w:tl2br w:val="nil"/>
              <w:tr2bl w:val="nil"/>
            </w:tcBorders>
            <w:vAlign w:val="center"/>
          </w:tcPr>
          <w:p w:rsidR="002A5A5E" w:rsidRPr="00F9522B" w:rsidRDefault="002A5A5E">
            <w:pPr>
              <w:jc w:val="center"/>
              <w:rPr>
                <w:szCs w:val="21"/>
              </w:rPr>
            </w:pPr>
          </w:p>
        </w:tc>
        <w:tc>
          <w:tcPr>
            <w:tcW w:w="892" w:type="pct"/>
            <w:tcBorders>
              <w:tl2br w:val="nil"/>
              <w:tr2bl w:val="nil"/>
            </w:tcBorders>
            <w:vAlign w:val="center"/>
          </w:tcPr>
          <w:p w:rsidR="002A5A5E" w:rsidRPr="00F9522B" w:rsidRDefault="00611CBA">
            <w:pPr>
              <w:jc w:val="center"/>
              <w:rPr>
                <w:szCs w:val="21"/>
              </w:rPr>
            </w:pPr>
            <w:r w:rsidRPr="00F9522B">
              <w:rPr>
                <w:spacing w:val="3"/>
                <w:szCs w:val="21"/>
              </w:rPr>
              <w:t>设备</w:t>
            </w:r>
          </w:p>
        </w:tc>
        <w:tc>
          <w:tcPr>
            <w:tcW w:w="618" w:type="pct"/>
            <w:tcBorders>
              <w:tl2br w:val="nil"/>
              <w:tr2bl w:val="nil"/>
            </w:tcBorders>
            <w:vAlign w:val="center"/>
          </w:tcPr>
          <w:p w:rsidR="002A5A5E" w:rsidRPr="00F9522B" w:rsidRDefault="00611CBA">
            <w:pPr>
              <w:pStyle w:val="TableText"/>
              <w:kinsoku/>
              <w:jc w:val="center"/>
              <w:rPr>
                <w:rFonts w:eastAsia="宋体"/>
                <w:color w:val="auto"/>
                <w:spacing w:val="1"/>
                <w:sz w:val="21"/>
                <w:szCs w:val="21"/>
              </w:rPr>
            </w:pPr>
            <w:r w:rsidRPr="00F9522B">
              <w:rPr>
                <w:rFonts w:eastAsia="宋体"/>
                <w:color w:val="auto"/>
                <w:spacing w:val="6"/>
                <w:sz w:val="21"/>
                <w:szCs w:val="21"/>
              </w:rPr>
              <w:t>设备源强</w:t>
            </w:r>
          </w:p>
          <w:p w:rsidR="002A5A5E" w:rsidRPr="00F9522B" w:rsidRDefault="00611CBA">
            <w:pPr>
              <w:pStyle w:val="TableText"/>
              <w:kinsoku/>
              <w:jc w:val="center"/>
              <w:rPr>
                <w:rFonts w:eastAsia="宋体"/>
                <w:color w:val="auto"/>
                <w:sz w:val="21"/>
                <w:szCs w:val="21"/>
              </w:rPr>
            </w:pPr>
            <w:r w:rsidRPr="00F9522B">
              <w:rPr>
                <w:rFonts w:eastAsia="宋体"/>
                <w:color w:val="auto"/>
                <w:spacing w:val="2"/>
                <w:sz w:val="21"/>
                <w:szCs w:val="21"/>
              </w:rPr>
              <w:t>（</w:t>
            </w:r>
            <w:r w:rsidRPr="00F9522B">
              <w:rPr>
                <w:color w:val="auto"/>
                <w:sz w:val="21"/>
                <w:szCs w:val="21"/>
              </w:rPr>
              <w:t>dB</w:t>
            </w:r>
            <w:r w:rsidRPr="00F9522B">
              <w:rPr>
                <w:rFonts w:eastAsia="宋体"/>
                <w:color w:val="auto"/>
                <w:spacing w:val="2"/>
                <w:sz w:val="21"/>
                <w:szCs w:val="21"/>
              </w:rPr>
              <w:t>）</w:t>
            </w:r>
          </w:p>
        </w:tc>
        <w:tc>
          <w:tcPr>
            <w:tcW w:w="448" w:type="pct"/>
            <w:tcBorders>
              <w:tl2br w:val="nil"/>
              <w:tr2bl w:val="nil"/>
            </w:tcBorders>
            <w:vAlign w:val="center"/>
          </w:tcPr>
          <w:p w:rsidR="002A5A5E" w:rsidRPr="00F9522B" w:rsidRDefault="00611CBA">
            <w:pPr>
              <w:pStyle w:val="TableText"/>
              <w:kinsoku/>
              <w:jc w:val="center"/>
              <w:rPr>
                <w:rFonts w:eastAsiaTheme="minorEastAsia"/>
                <w:color w:val="auto"/>
                <w:spacing w:val="-3"/>
                <w:sz w:val="21"/>
                <w:szCs w:val="21"/>
                <w:lang w:eastAsia="zh-CN"/>
              </w:rPr>
            </w:pPr>
            <w:r w:rsidRPr="00F9522B">
              <w:rPr>
                <w:rFonts w:eastAsiaTheme="minorEastAsia"/>
                <w:color w:val="auto"/>
                <w:spacing w:val="-3"/>
                <w:sz w:val="21"/>
                <w:szCs w:val="21"/>
                <w:lang w:eastAsia="zh-CN"/>
              </w:rPr>
              <w:t>5m</w:t>
            </w:r>
          </w:p>
        </w:tc>
        <w:tc>
          <w:tcPr>
            <w:tcW w:w="448" w:type="pct"/>
            <w:tcBorders>
              <w:tl2br w:val="nil"/>
              <w:tr2bl w:val="nil"/>
            </w:tcBorders>
            <w:vAlign w:val="center"/>
          </w:tcPr>
          <w:p w:rsidR="002A5A5E" w:rsidRPr="00F9522B" w:rsidRDefault="00611CBA">
            <w:pPr>
              <w:pStyle w:val="TableText"/>
              <w:kinsoku/>
              <w:jc w:val="center"/>
              <w:rPr>
                <w:color w:val="auto"/>
                <w:sz w:val="21"/>
                <w:szCs w:val="21"/>
              </w:rPr>
            </w:pPr>
            <w:r w:rsidRPr="00F9522B">
              <w:rPr>
                <w:color w:val="auto"/>
                <w:spacing w:val="-3"/>
                <w:sz w:val="21"/>
                <w:szCs w:val="21"/>
              </w:rPr>
              <w:t>10m</w:t>
            </w:r>
          </w:p>
        </w:tc>
        <w:tc>
          <w:tcPr>
            <w:tcW w:w="428" w:type="pct"/>
            <w:tcBorders>
              <w:tl2br w:val="nil"/>
              <w:tr2bl w:val="nil"/>
            </w:tcBorders>
            <w:vAlign w:val="center"/>
          </w:tcPr>
          <w:p w:rsidR="002A5A5E" w:rsidRPr="00F9522B" w:rsidRDefault="00611CBA">
            <w:pPr>
              <w:pStyle w:val="TableText"/>
              <w:kinsoku/>
              <w:jc w:val="center"/>
              <w:rPr>
                <w:color w:val="auto"/>
                <w:sz w:val="21"/>
                <w:szCs w:val="21"/>
              </w:rPr>
            </w:pPr>
            <w:r w:rsidRPr="00F9522B">
              <w:rPr>
                <w:color w:val="auto"/>
                <w:spacing w:val="4"/>
                <w:sz w:val="21"/>
                <w:szCs w:val="21"/>
              </w:rPr>
              <w:t>20m</w:t>
            </w:r>
          </w:p>
        </w:tc>
        <w:tc>
          <w:tcPr>
            <w:tcW w:w="451" w:type="pct"/>
            <w:tcBorders>
              <w:tl2br w:val="nil"/>
              <w:tr2bl w:val="nil"/>
            </w:tcBorders>
            <w:vAlign w:val="center"/>
          </w:tcPr>
          <w:p w:rsidR="002A5A5E" w:rsidRPr="00F9522B" w:rsidRDefault="00611CBA">
            <w:pPr>
              <w:pStyle w:val="TableText"/>
              <w:kinsoku/>
              <w:jc w:val="center"/>
              <w:rPr>
                <w:color w:val="auto"/>
                <w:sz w:val="21"/>
                <w:szCs w:val="21"/>
              </w:rPr>
            </w:pPr>
            <w:r w:rsidRPr="00F9522B">
              <w:rPr>
                <w:color w:val="auto"/>
                <w:spacing w:val="4"/>
                <w:sz w:val="21"/>
                <w:szCs w:val="21"/>
              </w:rPr>
              <w:t>40m</w:t>
            </w:r>
          </w:p>
        </w:tc>
        <w:tc>
          <w:tcPr>
            <w:tcW w:w="428" w:type="pct"/>
            <w:tcBorders>
              <w:tl2br w:val="nil"/>
              <w:tr2bl w:val="nil"/>
            </w:tcBorders>
            <w:vAlign w:val="center"/>
          </w:tcPr>
          <w:p w:rsidR="002A5A5E" w:rsidRPr="00F9522B" w:rsidRDefault="00611CBA">
            <w:pPr>
              <w:pStyle w:val="TableText"/>
              <w:kinsoku/>
              <w:jc w:val="center"/>
              <w:rPr>
                <w:color w:val="auto"/>
                <w:sz w:val="21"/>
                <w:szCs w:val="21"/>
              </w:rPr>
            </w:pPr>
            <w:r w:rsidRPr="00F9522B">
              <w:rPr>
                <w:color w:val="auto"/>
                <w:spacing w:val="1"/>
                <w:sz w:val="21"/>
                <w:szCs w:val="21"/>
              </w:rPr>
              <w:t>80m</w:t>
            </w:r>
          </w:p>
        </w:tc>
        <w:tc>
          <w:tcPr>
            <w:tcW w:w="422" w:type="pct"/>
            <w:tcBorders>
              <w:tl2br w:val="nil"/>
              <w:tr2bl w:val="nil"/>
            </w:tcBorders>
            <w:vAlign w:val="center"/>
          </w:tcPr>
          <w:p w:rsidR="002A5A5E" w:rsidRPr="00F9522B" w:rsidRDefault="00611CBA">
            <w:pPr>
              <w:pStyle w:val="TableText"/>
              <w:kinsoku/>
              <w:jc w:val="center"/>
              <w:rPr>
                <w:color w:val="auto"/>
                <w:sz w:val="21"/>
                <w:szCs w:val="21"/>
              </w:rPr>
            </w:pPr>
            <w:r w:rsidRPr="00F9522B">
              <w:rPr>
                <w:color w:val="auto"/>
                <w:spacing w:val="-1"/>
                <w:sz w:val="21"/>
                <w:szCs w:val="21"/>
              </w:rPr>
              <w:t>1</w:t>
            </w:r>
            <w:r w:rsidRPr="00F9522B">
              <w:rPr>
                <w:rFonts w:eastAsia="宋体"/>
                <w:color w:val="auto"/>
                <w:spacing w:val="-1"/>
                <w:sz w:val="21"/>
                <w:szCs w:val="21"/>
                <w:lang w:eastAsia="zh-CN"/>
              </w:rPr>
              <w:t>2</w:t>
            </w:r>
            <w:r w:rsidRPr="00F9522B">
              <w:rPr>
                <w:color w:val="auto"/>
                <w:spacing w:val="-1"/>
                <w:sz w:val="21"/>
                <w:szCs w:val="21"/>
              </w:rPr>
              <w:t>0m</w:t>
            </w:r>
          </w:p>
        </w:tc>
        <w:tc>
          <w:tcPr>
            <w:tcW w:w="399" w:type="pct"/>
            <w:tcBorders>
              <w:tl2br w:val="nil"/>
              <w:tr2bl w:val="nil"/>
            </w:tcBorders>
            <w:vAlign w:val="center"/>
          </w:tcPr>
          <w:p w:rsidR="002A5A5E" w:rsidRPr="00F9522B" w:rsidRDefault="00611CBA">
            <w:pPr>
              <w:pStyle w:val="TableText"/>
              <w:kinsoku/>
              <w:jc w:val="center"/>
              <w:rPr>
                <w:color w:val="auto"/>
                <w:sz w:val="21"/>
                <w:szCs w:val="21"/>
              </w:rPr>
            </w:pPr>
            <w:r w:rsidRPr="00F9522B">
              <w:rPr>
                <w:color w:val="auto"/>
                <w:spacing w:val="4"/>
                <w:sz w:val="21"/>
                <w:szCs w:val="21"/>
              </w:rPr>
              <w:t>200m</w:t>
            </w:r>
          </w:p>
        </w:tc>
      </w:tr>
      <w:tr w:rsidR="002A5A5E" w:rsidRPr="00F9522B">
        <w:trPr>
          <w:trHeight w:val="340"/>
        </w:trPr>
        <w:tc>
          <w:tcPr>
            <w:tcW w:w="466" w:type="pct"/>
            <w:tcBorders>
              <w:tl2br w:val="nil"/>
              <w:tr2bl w:val="nil"/>
            </w:tcBorders>
            <w:vAlign w:val="center"/>
          </w:tcPr>
          <w:p w:rsidR="002A5A5E" w:rsidRPr="00F9522B" w:rsidRDefault="00611CBA">
            <w:pPr>
              <w:jc w:val="center"/>
              <w:rPr>
                <w:szCs w:val="21"/>
              </w:rPr>
            </w:pPr>
            <w:r w:rsidRPr="00F9522B">
              <w:rPr>
                <w:spacing w:val="4"/>
                <w:szCs w:val="21"/>
              </w:rPr>
              <w:t>护砌工程</w:t>
            </w:r>
          </w:p>
        </w:tc>
        <w:tc>
          <w:tcPr>
            <w:tcW w:w="892" w:type="pct"/>
            <w:tcBorders>
              <w:tl2br w:val="nil"/>
              <w:tr2bl w:val="nil"/>
            </w:tcBorders>
            <w:vAlign w:val="center"/>
          </w:tcPr>
          <w:p w:rsidR="002A5A5E" w:rsidRPr="00F9522B" w:rsidRDefault="00611CBA">
            <w:pPr>
              <w:pStyle w:val="TableText"/>
              <w:kinsoku/>
              <w:jc w:val="center"/>
              <w:rPr>
                <w:color w:val="auto"/>
                <w:sz w:val="21"/>
                <w:szCs w:val="21"/>
                <w:lang w:eastAsia="zh-CN"/>
              </w:rPr>
            </w:pPr>
            <w:r w:rsidRPr="00F9522B">
              <w:rPr>
                <w:rFonts w:eastAsia="宋体"/>
                <w:color w:val="auto"/>
                <w:spacing w:val="7"/>
                <w:sz w:val="21"/>
                <w:szCs w:val="21"/>
                <w:lang w:eastAsia="zh-CN"/>
              </w:rPr>
              <w:t>挖掘机</w:t>
            </w:r>
          </w:p>
          <w:p w:rsidR="002A5A5E" w:rsidRPr="00F9522B" w:rsidRDefault="00611CBA">
            <w:pPr>
              <w:pStyle w:val="TableText"/>
              <w:kinsoku/>
              <w:jc w:val="center"/>
              <w:rPr>
                <w:rFonts w:eastAsiaTheme="minorEastAsia"/>
                <w:color w:val="auto"/>
                <w:sz w:val="21"/>
                <w:szCs w:val="21"/>
                <w:lang w:eastAsia="zh-CN"/>
              </w:rPr>
            </w:pPr>
            <w:r w:rsidRPr="00F9522B">
              <w:rPr>
                <w:rFonts w:eastAsia="宋体"/>
                <w:color w:val="auto"/>
                <w:spacing w:val="7"/>
                <w:sz w:val="21"/>
                <w:szCs w:val="21"/>
                <w:lang w:eastAsia="zh-CN"/>
              </w:rPr>
              <w:t>推土机</w:t>
            </w:r>
          </w:p>
          <w:p w:rsidR="002A5A5E" w:rsidRPr="00F9522B" w:rsidRDefault="00611CBA">
            <w:pPr>
              <w:pStyle w:val="TableText"/>
              <w:kinsoku/>
              <w:jc w:val="center"/>
              <w:rPr>
                <w:rFonts w:eastAsiaTheme="minorEastAsia"/>
                <w:color w:val="auto"/>
                <w:sz w:val="21"/>
                <w:szCs w:val="21"/>
                <w:lang w:eastAsia="zh-CN"/>
              </w:rPr>
            </w:pPr>
            <w:r w:rsidRPr="00F9522B">
              <w:rPr>
                <w:rFonts w:eastAsia="宋体"/>
                <w:color w:val="auto"/>
                <w:spacing w:val="2"/>
                <w:sz w:val="21"/>
                <w:szCs w:val="21"/>
                <w:lang w:eastAsia="zh-CN"/>
              </w:rPr>
              <w:t>自卸汽车</w:t>
            </w:r>
          </w:p>
        </w:tc>
        <w:tc>
          <w:tcPr>
            <w:tcW w:w="618" w:type="pct"/>
            <w:tcBorders>
              <w:tl2br w:val="nil"/>
              <w:tr2bl w:val="nil"/>
            </w:tcBorders>
            <w:vAlign w:val="center"/>
          </w:tcPr>
          <w:p w:rsidR="002A5A5E" w:rsidRPr="00F9522B" w:rsidRDefault="00611CBA">
            <w:pPr>
              <w:pStyle w:val="TableText"/>
              <w:kinsoku/>
              <w:jc w:val="center"/>
              <w:rPr>
                <w:rFonts w:eastAsia="宋体"/>
                <w:color w:val="auto"/>
                <w:sz w:val="21"/>
                <w:szCs w:val="21"/>
                <w:lang w:eastAsia="zh-CN"/>
              </w:rPr>
            </w:pPr>
            <w:r w:rsidRPr="00F9522B">
              <w:rPr>
                <w:rFonts w:eastAsia="宋体"/>
                <w:color w:val="auto"/>
                <w:sz w:val="21"/>
                <w:szCs w:val="21"/>
                <w:lang w:eastAsia="zh-CN"/>
              </w:rPr>
              <w:t>90.5</w:t>
            </w:r>
          </w:p>
        </w:tc>
        <w:tc>
          <w:tcPr>
            <w:tcW w:w="448" w:type="pct"/>
            <w:tcBorders>
              <w:tl2br w:val="nil"/>
              <w:tr2bl w:val="nil"/>
            </w:tcBorders>
            <w:vAlign w:val="center"/>
          </w:tcPr>
          <w:p w:rsidR="002A5A5E" w:rsidRPr="00F9522B" w:rsidRDefault="00611CBA">
            <w:pPr>
              <w:jc w:val="center"/>
              <w:textAlignment w:val="center"/>
              <w:rPr>
                <w:szCs w:val="21"/>
              </w:rPr>
            </w:pPr>
            <w:r w:rsidRPr="00F9522B">
              <w:rPr>
                <w:szCs w:val="21"/>
              </w:rPr>
              <w:t>76.6</w:t>
            </w:r>
          </w:p>
        </w:tc>
        <w:tc>
          <w:tcPr>
            <w:tcW w:w="448" w:type="pct"/>
            <w:tcBorders>
              <w:tl2br w:val="nil"/>
              <w:tr2bl w:val="nil"/>
            </w:tcBorders>
            <w:vAlign w:val="center"/>
          </w:tcPr>
          <w:p w:rsidR="002A5A5E" w:rsidRPr="00F9522B" w:rsidRDefault="00611CBA">
            <w:pPr>
              <w:jc w:val="center"/>
              <w:textAlignment w:val="center"/>
              <w:rPr>
                <w:szCs w:val="21"/>
              </w:rPr>
            </w:pPr>
            <w:r w:rsidRPr="00F9522B">
              <w:rPr>
                <w:szCs w:val="21"/>
              </w:rPr>
              <w:t>70.5</w:t>
            </w:r>
          </w:p>
        </w:tc>
        <w:tc>
          <w:tcPr>
            <w:tcW w:w="428" w:type="pct"/>
            <w:tcBorders>
              <w:tl2br w:val="nil"/>
              <w:tr2bl w:val="nil"/>
            </w:tcBorders>
            <w:vAlign w:val="center"/>
          </w:tcPr>
          <w:p w:rsidR="002A5A5E" w:rsidRPr="00F9522B" w:rsidRDefault="00611CBA">
            <w:pPr>
              <w:jc w:val="center"/>
              <w:textAlignment w:val="center"/>
              <w:rPr>
                <w:szCs w:val="21"/>
              </w:rPr>
            </w:pPr>
            <w:r w:rsidRPr="00F9522B">
              <w:rPr>
                <w:szCs w:val="21"/>
              </w:rPr>
              <w:t>64.5</w:t>
            </w:r>
          </w:p>
        </w:tc>
        <w:tc>
          <w:tcPr>
            <w:tcW w:w="451" w:type="pct"/>
            <w:tcBorders>
              <w:tl2br w:val="nil"/>
              <w:tr2bl w:val="nil"/>
            </w:tcBorders>
            <w:vAlign w:val="center"/>
          </w:tcPr>
          <w:p w:rsidR="002A5A5E" w:rsidRPr="00F9522B" w:rsidRDefault="00611CBA">
            <w:pPr>
              <w:jc w:val="center"/>
              <w:textAlignment w:val="center"/>
              <w:rPr>
                <w:szCs w:val="21"/>
              </w:rPr>
            </w:pPr>
            <w:r w:rsidRPr="00F9522B">
              <w:rPr>
                <w:szCs w:val="21"/>
              </w:rPr>
              <w:t>58.5</w:t>
            </w:r>
          </w:p>
        </w:tc>
        <w:tc>
          <w:tcPr>
            <w:tcW w:w="428" w:type="pct"/>
            <w:tcBorders>
              <w:tl2br w:val="nil"/>
              <w:tr2bl w:val="nil"/>
            </w:tcBorders>
            <w:vAlign w:val="center"/>
          </w:tcPr>
          <w:p w:rsidR="002A5A5E" w:rsidRPr="00F9522B" w:rsidRDefault="00611CBA">
            <w:pPr>
              <w:jc w:val="center"/>
              <w:textAlignment w:val="center"/>
              <w:rPr>
                <w:szCs w:val="21"/>
              </w:rPr>
            </w:pPr>
            <w:r w:rsidRPr="00F9522B">
              <w:rPr>
                <w:szCs w:val="21"/>
              </w:rPr>
              <w:t>52.5</w:t>
            </w:r>
          </w:p>
        </w:tc>
        <w:tc>
          <w:tcPr>
            <w:tcW w:w="422" w:type="pct"/>
            <w:tcBorders>
              <w:tl2br w:val="nil"/>
              <w:tr2bl w:val="nil"/>
            </w:tcBorders>
            <w:vAlign w:val="center"/>
          </w:tcPr>
          <w:p w:rsidR="002A5A5E" w:rsidRPr="00F9522B" w:rsidRDefault="00611CBA">
            <w:pPr>
              <w:jc w:val="center"/>
              <w:textAlignment w:val="center"/>
              <w:rPr>
                <w:szCs w:val="21"/>
              </w:rPr>
            </w:pPr>
            <w:r w:rsidRPr="00F9522B">
              <w:rPr>
                <w:szCs w:val="21"/>
              </w:rPr>
              <w:t>48.9</w:t>
            </w:r>
          </w:p>
        </w:tc>
        <w:tc>
          <w:tcPr>
            <w:tcW w:w="399" w:type="pct"/>
            <w:tcBorders>
              <w:tl2br w:val="nil"/>
              <w:tr2bl w:val="nil"/>
            </w:tcBorders>
            <w:vAlign w:val="center"/>
          </w:tcPr>
          <w:p w:rsidR="002A5A5E" w:rsidRPr="00F9522B" w:rsidRDefault="00611CBA">
            <w:pPr>
              <w:jc w:val="center"/>
              <w:textAlignment w:val="center"/>
              <w:rPr>
                <w:szCs w:val="21"/>
              </w:rPr>
            </w:pPr>
            <w:r w:rsidRPr="00F9522B">
              <w:rPr>
                <w:szCs w:val="21"/>
              </w:rPr>
              <w:t>44.5</w:t>
            </w:r>
          </w:p>
        </w:tc>
      </w:tr>
      <w:tr w:rsidR="002A5A5E" w:rsidRPr="00F9522B">
        <w:trPr>
          <w:trHeight w:val="340"/>
        </w:trPr>
        <w:tc>
          <w:tcPr>
            <w:tcW w:w="466" w:type="pct"/>
            <w:tcBorders>
              <w:tl2br w:val="nil"/>
              <w:tr2bl w:val="nil"/>
            </w:tcBorders>
            <w:vAlign w:val="center"/>
          </w:tcPr>
          <w:p w:rsidR="002A5A5E" w:rsidRPr="00F9522B" w:rsidRDefault="00D6722A">
            <w:pPr>
              <w:jc w:val="center"/>
              <w:rPr>
                <w:szCs w:val="21"/>
              </w:rPr>
            </w:pPr>
            <w:r w:rsidRPr="00F9522B">
              <w:rPr>
                <w:spacing w:val="7"/>
                <w:szCs w:val="21"/>
              </w:rPr>
              <w:t>建筑物</w:t>
            </w:r>
            <w:r w:rsidR="00611CBA" w:rsidRPr="00F9522B">
              <w:rPr>
                <w:spacing w:val="7"/>
                <w:szCs w:val="21"/>
              </w:rPr>
              <w:t>等主体</w:t>
            </w:r>
            <w:r w:rsidR="00611CBA" w:rsidRPr="00F9522B">
              <w:rPr>
                <w:spacing w:val="3"/>
                <w:szCs w:val="21"/>
              </w:rPr>
              <w:t>工程</w:t>
            </w:r>
          </w:p>
        </w:tc>
        <w:tc>
          <w:tcPr>
            <w:tcW w:w="892" w:type="pct"/>
            <w:tcBorders>
              <w:tl2br w:val="nil"/>
              <w:tr2bl w:val="nil"/>
            </w:tcBorders>
            <w:vAlign w:val="center"/>
          </w:tcPr>
          <w:p w:rsidR="002A5A5E" w:rsidRPr="00F9522B" w:rsidRDefault="00611CBA">
            <w:pPr>
              <w:pStyle w:val="TableText"/>
              <w:kinsoku/>
              <w:jc w:val="center"/>
              <w:rPr>
                <w:rFonts w:eastAsiaTheme="minorEastAsia"/>
                <w:color w:val="auto"/>
                <w:sz w:val="21"/>
                <w:szCs w:val="21"/>
                <w:lang w:eastAsia="zh-CN"/>
              </w:rPr>
            </w:pPr>
            <w:r w:rsidRPr="00F9522B">
              <w:rPr>
                <w:rFonts w:eastAsia="宋体"/>
                <w:color w:val="auto"/>
                <w:spacing w:val="7"/>
                <w:sz w:val="21"/>
                <w:szCs w:val="21"/>
                <w:lang w:eastAsia="zh-CN"/>
              </w:rPr>
              <w:t>推土机</w:t>
            </w:r>
          </w:p>
          <w:p w:rsidR="002A5A5E" w:rsidRPr="00F9522B" w:rsidRDefault="00611CBA">
            <w:pPr>
              <w:pStyle w:val="TableText"/>
              <w:kinsoku/>
              <w:jc w:val="center"/>
              <w:rPr>
                <w:rFonts w:eastAsiaTheme="minorEastAsia"/>
                <w:color w:val="auto"/>
                <w:spacing w:val="27"/>
                <w:sz w:val="21"/>
                <w:szCs w:val="21"/>
                <w:lang w:eastAsia="zh-CN"/>
              </w:rPr>
            </w:pPr>
            <w:r w:rsidRPr="00F9522B">
              <w:rPr>
                <w:rFonts w:eastAsia="宋体"/>
                <w:color w:val="auto"/>
                <w:spacing w:val="7"/>
                <w:sz w:val="21"/>
                <w:szCs w:val="21"/>
                <w:lang w:eastAsia="zh-CN"/>
              </w:rPr>
              <w:t>挖掘机</w:t>
            </w:r>
          </w:p>
          <w:p w:rsidR="002A5A5E" w:rsidRPr="00F9522B" w:rsidRDefault="00611CBA">
            <w:pPr>
              <w:pStyle w:val="TableText"/>
              <w:kinsoku/>
              <w:jc w:val="center"/>
              <w:rPr>
                <w:rFonts w:eastAsiaTheme="minorEastAsia"/>
                <w:color w:val="auto"/>
                <w:spacing w:val="1"/>
                <w:sz w:val="21"/>
                <w:szCs w:val="21"/>
                <w:lang w:eastAsia="zh-CN"/>
              </w:rPr>
            </w:pPr>
            <w:r w:rsidRPr="00F9522B">
              <w:rPr>
                <w:rFonts w:eastAsiaTheme="minorEastAsia"/>
                <w:color w:val="auto"/>
                <w:szCs w:val="21"/>
                <w:lang w:eastAsia="zh-CN"/>
              </w:rPr>
              <w:t>移动式吊车</w:t>
            </w:r>
          </w:p>
        </w:tc>
        <w:tc>
          <w:tcPr>
            <w:tcW w:w="618" w:type="pct"/>
            <w:tcBorders>
              <w:tl2br w:val="nil"/>
              <w:tr2bl w:val="nil"/>
            </w:tcBorders>
            <w:vAlign w:val="center"/>
          </w:tcPr>
          <w:p w:rsidR="002A5A5E" w:rsidRPr="00F9522B" w:rsidRDefault="00611CBA">
            <w:pPr>
              <w:pStyle w:val="TableText"/>
              <w:kinsoku/>
              <w:jc w:val="center"/>
              <w:rPr>
                <w:rFonts w:eastAsia="宋体"/>
                <w:color w:val="auto"/>
                <w:sz w:val="21"/>
                <w:szCs w:val="21"/>
                <w:lang w:eastAsia="zh-CN"/>
              </w:rPr>
            </w:pPr>
            <w:r w:rsidRPr="00F9522B">
              <w:rPr>
                <w:rFonts w:eastAsia="宋体"/>
                <w:color w:val="auto"/>
                <w:sz w:val="21"/>
                <w:szCs w:val="21"/>
                <w:lang w:eastAsia="zh-CN"/>
              </w:rPr>
              <w:t>90.5</w:t>
            </w:r>
          </w:p>
        </w:tc>
        <w:tc>
          <w:tcPr>
            <w:tcW w:w="448" w:type="pct"/>
            <w:tcBorders>
              <w:tl2br w:val="nil"/>
              <w:tr2bl w:val="nil"/>
            </w:tcBorders>
            <w:vAlign w:val="center"/>
          </w:tcPr>
          <w:p w:rsidR="002A5A5E" w:rsidRPr="00F9522B" w:rsidRDefault="00611CBA">
            <w:pPr>
              <w:jc w:val="center"/>
              <w:textAlignment w:val="center"/>
              <w:rPr>
                <w:szCs w:val="21"/>
              </w:rPr>
            </w:pPr>
            <w:r w:rsidRPr="00F9522B">
              <w:rPr>
                <w:szCs w:val="21"/>
              </w:rPr>
              <w:t>76.6</w:t>
            </w:r>
          </w:p>
        </w:tc>
        <w:tc>
          <w:tcPr>
            <w:tcW w:w="448" w:type="pct"/>
            <w:tcBorders>
              <w:tl2br w:val="nil"/>
              <w:tr2bl w:val="nil"/>
            </w:tcBorders>
            <w:vAlign w:val="center"/>
          </w:tcPr>
          <w:p w:rsidR="002A5A5E" w:rsidRPr="00F9522B" w:rsidRDefault="00611CBA">
            <w:pPr>
              <w:jc w:val="center"/>
              <w:textAlignment w:val="center"/>
              <w:rPr>
                <w:szCs w:val="21"/>
              </w:rPr>
            </w:pPr>
            <w:r w:rsidRPr="00F9522B">
              <w:rPr>
                <w:szCs w:val="21"/>
              </w:rPr>
              <w:t>70.5</w:t>
            </w:r>
          </w:p>
        </w:tc>
        <w:tc>
          <w:tcPr>
            <w:tcW w:w="428" w:type="pct"/>
            <w:tcBorders>
              <w:tl2br w:val="nil"/>
              <w:tr2bl w:val="nil"/>
            </w:tcBorders>
            <w:vAlign w:val="center"/>
          </w:tcPr>
          <w:p w:rsidR="002A5A5E" w:rsidRPr="00F9522B" w:rsidRDefault="00611CBA">
            <w:pPr>
              <w:jc w:val="center"/>
              <w:textAlignment w:val="center"/>
              <w:rPr>
                <w:szCs w:val="21"/>
              </w:rPr>
            </w:pPr>
            <w:r w:rsidRPr="00F9522B">
              <w:rPr>
                <w:szCs w:val="21"/>
              </w:rPr>
              <w:t>64.5</w:t>
            </w:r>
          </w:p>
        </w:tc>
        <w:tc>
          <w:tcPr>
            <w:tcW w:w="451" w:type="pct"/>
            <w:tcBorders>
              <w:tl2br w:val="nil"/>
              <w:tr2bl w:val="nil"/>
            </w:tcBorders>
            <w:vAlign w:val="center"/>
          </w:tcPr>
          <w:p w:rsidR="002A5A5E" w:rsidRPr="00F9522B" w:rsidRDefault="00611CBA">
            <w:pPr>
              <w:jc w:val="center"/>
              <w:textAlignment w:val="center"/>
              <w:rPr>
                <w:szCs w:val="21"/>
              </w:rPr>
            </w:pPr>
            <w:r w:rsidRPr="00F9522B">
              <w:rPr>
                <w:szCs w:val="21"/>
              </w:rPr>
              <w:t>58.5</w:t>
            </w:r>
          </w:p>
        </w:tc>
        <w:tc>
          <w:tcPr>
            <w:tcW w:w="428" w:type="pct"/>
            <w:tcBorders>
              <w:tl2br w:val="nil"/>
              <w:tr2bl w:val="nil"/>
            </w:tcBorders>
            <w:vAlign w:val="center"/>
          </w:tcPr>
          <w:p w:rsidR="002A5A5E" w:rsidRPr="00F9522B" w:rsidRDefault="00611CBA">
            <w:pPr>
              <w:jc w:val="center"/>
              <w:textAlignment w:val="center"/>
              <w:rPr>
                <w:szCs w:val="21"/>
              </w:rPr>
            </w:pPr>
            <w:r w:rsidRPr="00F9522B">
              <w:rPr>
                <w:szCs w:val="21"/>
              </w:rPr>
              <w:t>52.5</w:t>
            </w:r>
          </w:p>
        </w:tc>
        <w:tc>
          <w:tcPr>
            <w:tcW w:w="422" w:type="pct"/>
            <w:tcBorders>
              <w:tl2br w:val="nil"/>
              <w:tr2bl w:val="nil"/>
            </w:tcBorders>
            <w:vAlign w:val="center"/>
          </w:tcPr>
          <w:p w:rsidR="002A5A5E" w:rsidRPr="00F9522B" w:rsidRDefault="00611CBA">
            <w:pPr>
              <w:jc w:val="center"/>
              <w:textAlignment w:val="center"/>
              <w:rPr>
                <w:szCs w:val="21"/>
              </w:rPr>
            </w:pPr>
            <w:r w:rsidRPr="00F9522B">
              <w:rPr>
                <w:szCs w:val="21"/>
              </w:rPr>
              <w:t>48.9</w:t>
            </w:r>
          </w:p>
        </w:tc>
        <w:tc>
          <w:tcPr>
            <w:tcW w:w="399" w:type="pct"/>
            <w:tcBorders>
              <w:tl2br w:val="nil"/>
              <w:tr2bl w:val="nil"/>
            </w:tcBorders>
            <w:vAlign w:val="center"/>
          </w:tcPr>
          <w:p w:rsidR="002A5A5E" w:rsidRPr="00F9522B" w:rsidRDefault="00611CBA">
            <w:pPr>
              <w:jc w:val="center"/>
              <w:textAlignment w:val="center"/>
              <w:rPr>
                <w:szCs w:val="21"/>
              </w:rPr>
            </w:pPr>
            <w:r w:rsidRPr="00F9522B">
              <w:rPr>
                <w:szCs w:val="21"/>
              </w:rPr>
              <w:t>44.5</w:t>
            </w:r>
          </w:p>
        </w:tc>
      </w:tr>
      <w:tr w:rsidR="002A5A5E" w:rsidRPr="00F9522B">
        <w:trPr>
          <w:trHeight w:val="340"/>
        </w:trPr>
        <w:tc>
          <w:tcPr>
            <w:tcW w:w="466" w:type="pct"/>
            <w:tcBorders>
              <w:tl2br w:val="nil"/>
              <w:tr2bl w:val="nil"/>
            </w:tcBorders>
            <w:vAlign w:val="center"/>
          </w:tcPr>
          <w:p w:rsidR="002A5A5E" w:rsidRPr="00F9522B" w:rsidRDefault="00611CBA">
            <w:pPr>
              <w:jc w:val="center"/>
              <w:rPr>
                <w:szCs w:val="21"/>
              </w:rPr>
            </w:pPr>
            <w:r w:rsidRPr="00F9522B">
              <w:rPr>
                <w:szCs w:val="21"/>
              </w:rPr>
              <w:t>道路工程</w:t>
            </w:r>
          </w:p>
        </w:tc>
        <w:tc>
          <w:tcPr>
            <w:tcW w:w="892" w:type="pct"/>
            <w:tcBorders>
              <w:tl2br w:val="nil"/>
              <w:tr2bl w:val="nil"/>
            </w:tcBorders>
            <w:vAlign w:val="center"/>
          </w:tcPr>
          <w:p w:rsidR="002A5A5E" w:rsidRPr="00F9522B" w:rsidRDefault="00611CBA">
            <w:pPr>
              <w:pStyle w:val="TableText"/>
              <w:kinsoku/>
              <w:jc w:val="center"/>
              <w:rPr>
                <w:rFonts w:eastAsiaTheme="minorEastAsia"/>
                <w:color w:val="auto"/>
                <w:sz w:val="21"/>
                <w:szCs w:val="21"/>
                <w:lang w:eastAsia="zh-CN"/>
              </w:rPr>
            </w:pPr>
            <w:r w:rsidRPr="00F9522B">
              <w:rPr>
                <w:rFonts w:eastAsia="宋体"/>
                <w:color w:val="auto"/>
                <w:spacing w:val="7"/>
                <w:position w:val="7"/>
                <w:sz w:val="21"/>
                <w:szCs w:val="21"/>
                <w:lang w:eastAsia="zh-CN"/>
              </w:rPr>
              <w:t>挖掘机</w:t>
            </w:r>
          </w:p>
          <w:p w:rsidR="002A5A5E" w:rsidRPr="00F9522B" w:rsidRDefault="00611CBA">
            <w:pPr>
              <w:pStyle w:val="TableText"/>
              <w:kinsoku/>
              <w:jc w:val="center"/>
              <w:rPr>
                <w:rFonts w:eastAsiaTheme="minorEastAsia"/>
                <w:color w:val="auto"/>
                <w:sz w:val="21"/>
                <w:szCs w:val="21"/>
                <w:lang w:eastAsia="zh-CN"/>
              </w:rPr>
            </w:pPr>
            <w:r w:rsidRPr="00F9522B">
              <w:rPr>
                <w:rFonts w:eastAsia="宋体"/>
                <w:color w:val="auto"/>
                <w:spacing w:val="7"/>
                <w:sz w:val="21"/>
                <w:szCs w:val="21"/>
                <w:lang w:eastAsia="zh-CN"/>
              </w:rPr>
              <w:t>推土机</w:t>
            </w:r>
          </w:p>
          <w:p w:rsidR="002A5A5E" w:rsidRPr="00F9522B" w:rsidRDefault="00611CBA">
            <w:pPr>
              <w:pStyle w:val="TableText"/>
              <w:kinsoku/>
              <w:jc w:val="center"/>
              <w:rPr>
                <w:rFonts w:eastAsia="宋体"/>
                <w:color w:val="auto"/>
                <w:spacing w:val="7"/>
                <w:sz w:val="21"/>
                <w:szCs w:val="21"/>
                <w:lang w:eastAsia="zh-CN"/>
              </w:rPr>
            </w:pPr>
            <w:r w:rsidRPr="00F9522B">
              <w:rPr>
                <w:rFonts w:eastAsia="宋体"/>
                <w:color w:val="auto"/>
                <w:spacing w:val="7"/>
                <w:sz w:val="21"/>
                <w:szCs w:val="21"/>
                <w:lang w:eastAsia="zh-CN"/>
              </w:rPr>
              <w:t>压路机</w:t>
            </w:r>
          </w:p>
          <w:p w:rsidR="002A5A5E" w:rsidRPr="00F9522B" w:rsidRDefault="00611CBA">
            <w:pPr>
              <w:pStyle w:val="TableText"/>
              <w:kinsoku/>
              <w:jc w:val="center"/>
              <w:rPr>
                <w:rFonts w:eastAsiaTheme="minorEastAsia"/>
                <w:color w:val="auto"/>
                <w:sz w:val="21"/>
                <w:szCs w:val="21"/>
                <w:lang w:eastAsia="zh-CN"/>
              </w:rPr>
            </w:pPr>
            <w:r w:rsidRPr="00F9522B">
              <w:rPr>
                <w:rFonts w:eastAsiaTheme="minorEastAsia"/>
                <w:color w:val="auto"/>
                <w:szCs w:val="21"/>
                <w:lang w:eastAsia="zh-CN"/>
              </w:rPr>
              <w:t>平地机</w:t>
            </w:r>
          </w:p>
        </w:tc>
        <w:tc>
          <w:tcPr>
            <w:tcW w:w="618" w:type="pct"/>
            <w:tcBorders>
              <w:tl2br w:val="nil"/>
              <w:tr2bl w:val="nil"/>
            </w:tcBorders>
            <w:vAlign w:val="center"/>
          </w:tcPr>
          <w:p w:rsidR="002A5A5E" w:rsidRPr="00F9522B" w:rsidRDefault="00611CBA">
            <w:pPr>
              <w:pStyle w:val="TableText"/>
              <w:kinsoku/>
              <w:jc w:val="center"/>
              <w:rPr>
                <w:rFonts w:eastAsia="宋体"/>
                <w:color w:val="auto"/>
                <w:sz w:val="21"/>
                <w:szCs w:val="21"/>
                <w:lang w:eastAsia="zh-CN"/>
              </w:rPr>
            </w:pPr>
            <w:r w:rsidRPr="00F9522B">
              <w:rPr>
                <w:rFonts w:eastAsia="宋体"/>
                <w:color w:val="auto"/>
                <w:sz w:val="21"/>
                <w:szCs w:val="21"/>
                <w:lang w:eastAsia="zh-CN"/>
              </w:rPr>
              <w:t>92.6</w:t>
            </w:r>
          </w:p>
        </w:tc>
        <w:tc>
          <w:tcPr>
            <w:tcW w:w="448" w:type="pct"/>
            <w:tcBorders>
              <w:tl2br w:val="nil"/>
              <w:tr2bl w:val="nil"/>
            </w:tcBorders>
            <w:vAlign w:val="center"/>
          </w:tcPr>
          <w:p w:rsidR="002A5A5E" w:rsidRPr="00F9522B" w:rsidRDefault="00611CBA">
            <w:pPr>
              <w:jc w:val="center"/>
              <w:textAlignment w:val="center"/>
              <w:rPr>
                <w:szCs w:val="21"/>
              </w:rPr>
            </w:pPr>
            <w:r w:rsidRPr="00F9522B">
              <w:rPr>
                <w:szCs w:val="21"/>
              </w:rPr>
              <w:t>78.6</w:t>
            </w:r>
          </w:p>
        </w:tc>
        <w:tc>
          <w:tcPr>
            <w:tcW w:w="448" w:type="pct"/>
            <w:tcBorders>
              <w:tl2br w:val="nil"/>
              <w:tr2bl w:val="nil"/>
            </w:tcBorders>
            <w:vAlign w:val="center"/>
          </w:tcPr>
          <w:p w:rsidR="002A5A5E" w:rsidRPr="00F9522B" w:rsidRDefault="00611CBA">
            <w:pPr>
              <w:jc w:val="center"/>
              <w:textAlignment w:val="center"/>
              <w:rPr>
                <w:szCs w:val="21"/>
              </w:rPr>
            </w:pPr>
            <w:r w:rsidRPr="00F9522B">
              <w:rPr>
                <w:szCs w:val="21"/>
              </w:rPr>
              <w:t>72.6</w:t>
            </w:r>
          </w:p>
        </w:tc>
        <w:tc>
          <w:tcPr>
            <w:tcW w:w="428" w:type="pct"/>
            <w:tcBorders>
              <w:tl2br w:val="nil"/>
              <w:tr2bl w:val="nil"/>
            </w:tcBorders>
            <w:vAlign w:val="center"/>
          </w:tcPr>
          <w:p w:rsidR="002A5A5E" w:rsidRPr="00F9522B" w:rsidRDefault="00611CBA">
            <w:pPr>
              <w:jc w:val="center"/>
              <w:textAlignment w:val="center"/>
              <w:rPr>
                <w:szCs w:val="21"/>
              </w:rPr>
            </w:pPr>
            <w:r w:rsidRPr="00F9522B">
              <w:rPr>
                <w:szCs w:val="21"/>
              </w:rPr>
              <w:t>66.6</w:t>
            </w:r>
          </w:p>
        </w:tc>
        <w:tc>
          <w:tcPr>
            <w:tcW w:w="451" w:type="pct"/>
            <w:tcBorders>
              <w:tl2br w:val="nil"/>
              <w:tr2bl w:val="nil"/>
            </w:tcBorders>
            <w:vAlign w:val="center"/>
          </w:tcPr>
          <w:p w:rsidR="002A5A5E" w:rsidRPr="00F9522B" w:rsidRDefault="00611CBA">
            <w:pPr>
              <w:jc w:val="center"/>
              <w:textAlignment w:val="center"/>
              <w:rPr>
                <w:szCs w:val="21"/>
              </w:rPr>
            </w:pPr>
            <w:r w:rsidRPr="00F9522B">
              <w:rPr>
                <w:szCs w:val="21"/>
              </w:rPr>
              <w:t>60.6</w:t>
            </w:r>
          </w:p>
        </w:tc>
        <w:tc>
          <w:tcPr>
            <w:tcW w:w="428" w:type="pct"/>
            <w:tcBorders>
              <w:tl2br w:val="nil"/>
              <w:tr2bl w:val="nil"/>
            </w:tcBorders>
            <w:vAlign w:val="center"/>
          </w:tcPr>
          <w:p w:rsidR="002A5A5E" w:rsidRPr="00F9522B" w:rsidRDefault="00611CBA">
            <w:pPr>
              <w:jc w:val="center"/>
              <w:textAlignment w:val="center"/>
              <w:rPr>
                <w:szCs w:val="21"/>
              </w:rPr>
            </w:pPr>
            <w:r w:rsidRPr="00F9522B">
              <w:rPr>
                <w:szCs w:val="21"/>
              </w:rPr>
              <w:t>54.5</w:t>
            </w:r>
          </w:p>
        </w:tc>
        <w:tc>
          <w:tcPr>
            <w:tcW w:w="422" w:type="pct"/>
            <w:tcBorders>
              <w:tl2br w:val="nil"/>
              <w:tr2bl w:val="nil"/>
            </w:tcBorders>
            <w:vAlign w:val="center"/>
          </w:tcPr>
          <w:p w:rsidR="002A5A5E" w:rsidRPr="00F9522B" w:rsidRDefault="00611CBA">
            <w:pPr>
              <w:jc w:val="center"/>
              <w:textAlignment w:val="center"/>
              <w:rPr>
                <w:szCs w:val="21"/>
              </w:rPr>
            </w:pPr>
            <w:r w:rsidRPr="00F9522B">
              <w:rPr>
                <w:szCs w:val="21"/>
              </w:rPr>
              <w:t>51.0</w:t>
            </w:r>
          </w:p>
        </w:tc>
        <w:tc>
          <w:tcPr>
            <w:tcW w:w="399" w:type="pct"/>
            <w:tcBorders>
              <w:tl2br w:val="nil"/>
              <w:tr2bl w:val="nil"/>
            </w:tcBorders>
            <w:vAlign w:val="center"/>
          </w:tcPr>
          <w:p w:rsidR="002A5A5E" w:rsidRPr="00F9522B" w:rsidRDefault="00611CBA">
            <w:pPr>
              <w:jc w:val="center"/>
              <w:textAlignment w:val="center"/>
              <w:rPr>
                <w:szCs w:val="21"/>
              </w:rPr>
            </w:pPr>
            <w:r w:rsidRPr="00F9522B">
              <w:rPr>
                <w:szCs w:val="21"/>
              </w:rPr>
              <w:t>46.6</w:t>
            </w:r>
          </w:p>
        </w:tc>
      </w:tr>
      <w:tr w:rsidR="002A5A5E" w:rsidRPr="00F9522B">
        <w:trPr>
          <w:trHeight w:val="340"/>
        </w:trPr>
        <w:tc>
          <w:tcPr>
            <w:tcW w:w="466" w:type="pct"/>
            <w:tcBorders>
              <w:tl2br w:val="nil"/>
              <w:tr2bl w:val="nil"/>
            </w:tcBorders>
            <w:vAlign w:val="center"/>
          </w:tcPr>
          <w:p w:rsidR="002A5A5E" w:rsidRPr="00F9522B" w:rsidRDefault="00611CBA">
            <w:pPr>
              <w:jc w:val="center"/>
              <w:rPr>
                <w:szCs w:val="21"/>
              </w:rPr>
            </w:pPr>
            <w:r w:rsidRPr="00F9522B">
              <w:rPr>
                <w:spacing w:val="4"/>
                <w:szCs w:val="21"/>
              </w:rPr>
              <w:t>清淤</w:t>
            </w:r>
          </w:p>
        </w:tc>
        <w:tc>
          <w:tcPr>
            <w:tcW w:w="892" w:type="pct"/>
            <w:tcBorders>
              <w:tl2br w:val="nil"/>
              <w:tr2bl w:val="nil"/>
            </w:tcBorders>
            <w:vAlign w:val="center"/>
          </w:tcPr>
          <w:p w:rsidR="002A5A5E" w:rsidRPr="00F9522B" w:rsidRDefault="00611CBA">
            <w:pPr>
              <w:pStyle w:val="TableText"/>
              <w:kinsoku/>
              <w:jc w:val="center"/>
              <w:rPr>
                <w:rFonts w:eastAsiaTheme="minorEastAsia"/>
                <w:color w:val="auto"/>
                <w:sz w:val="21"/>
                <w:szCs w:val="21"/>
                <w:lang w:eastAsia="zh-CN"/>
              </w:rPr>
            </w:pPr>
            <w:r w:rsidRPr="00F9522B">
              <w:rPr>
                <w:rFonts w:eastAsia="宋体"/>
                <w:color w:val="auto"/>
                <w:spacing w:val="7"/>
                <w:sz w:val="21"/>
                <w:szCs w:val="21"/>
                <w:lang w:eastAsia="zh-CN"/>
              </w:rPr>
              <w:t>挖掘机</w:t>
            </w:r>
          </w:p>
          <w:p w:rsidR="002A5A5E" w:rsidRPr="00F9522B" w:rsidRDefault="00611CBA">
            <w:pPr>
              <w:pStyle w:val="TableText"/>
              <w:kinsoku/>
              <w:jc w:val="center"/>
              <w:rPr>
                <w:rFonts w:eastAsia="宋体"/>
                <w:color w:val="auto"/>
                <w:spacing w:val="2"/>
                <w:sz w:val="21"/>
                <w:szCs w:val="21"/>
                <w:lang w:eastAsia="zh-CN"/>
              </w:rPr>
            </w:pPr>
            <w:r w:rsidRPr="00F9522B">
              <w:rPr>
                <w:rFonts w:eastAsia="宋体"/>
                <w:color w:val="auto"/>
                <w:spacing w:val="2"/>
                <w:sz w:val="21"/>
                <w:szCs w:val="21"/>
                <w:lang w:eastAsia="zh-CN"/>
              </w:rPr>
              <w:t>自卸汽车</w:t>
            </w:r>
          </w:p>
          <w:p w:rsidR="002A5A5E" w:rsidRPr="00F9522B" w:rsidRDefault="00611CBA">
            <w:pPr>
              <w:pStyle w:val="TableText"/>
              <w:kinsoku/>
              <w:jc w:val="center"/>
              <w:rPr>
                <w:rFonts w:eastAsiaTheme="minorEastAsia"/>
                <w:color w:val="auto"/>
                <w:sz w:val="21"/>
                <w:szCs w:val="21"/>
                <w:lang w:eastAsia="zh-CN"/>
              </w:rPr>
            </w:pPr>
            <w:r w:rsidRPr="00F9522B">
              <w:rPr>
                <w:rFonts w:eastAsia="宋体"/>
                <w:color w:val="auto"/>
                <w:spacing w:val="7"/>
                <w:sz w:val="21"/>
                <w:szCs w:val="21"/>
                <w:lang w:eastAsia="zh-CN"/>
              </w:rPr>
              <w:t>推土机</w:t>
            </w:r>
          </w:p>
        </w:tc>
        <w:tc>
          <w:tcPr>
            <w:tcW w:w="618" w:type="pct"/>
            <w:tcBorders>
              <w:tl2br w:val="nil"/>
              <w:tr2bl w:val="nil"/>
            </w:tcBorders>
            <w:vAlign w:val="center"/>
          </w:tcPr>
          <w:p w:rsidR="002A5A5E" w:rsidRPr="00F9522B" w:rsidRDefault="00611CBA">
            <w:pPr>
              <w:pStyle w:val="TableText"/>
              <w:kinsoku/>
              <w:jc w:val="center"/>
              <w:rPr>
                <w:rFonts w:eastAsia="宋体"/>
                <w:color w:val="auto"/>
                <w:sz w:val="21"/>
                <w:szCs w:val="21"/>
                <w:lang w:eastAsia="zh-CN"/>
              </w:rPr>
            </w:pPr>
            <w:r w:rsidRPr="00F9522B">
              <w:rPr>
                <w:rFonts w:eastAsia="宋体"/>
                <w:color w:val="auto"/>
                <w:sz w:val="21"/>
                <w:szCs w:val="21"/>
                <w:lang w:eastAsia="zh-CN"/>
              </w:rPr>
              <w:t>90.5</w:t>
            </w:r>
          </w:p>
        </w:tc>
        <w:tc>
          <w:tcPr>
            <w:tcW w:w="448" w:type="pct"/>
            <w:tcBorders>
              <w:tl2br w:val="nil"/>
              <w:tr2bl w:val="nil"/>
            </w:tcBorders>
            <w:vAlign w:val="center"/>
          </w:tcPr>
          <w:p w:rsidR="002A5A5E" w:rsidRPr="00F9522B" w:rsidRDefault="00611CBA">
            <w:pPr>
              <w:jc w:val="center"/>
              <w:textAlignment w:val="center"/>
              <w:rPr>
                <w:szCs w:val="21"/>
              </w:rPr>
            </w:pPr>
            <w:r w:rsidRPr="00F9522B">
              <w:rPr>
                <w:szCs w:val="21"/>
              </w:rPr>
              <w:t>76.6</w:t>
            </w:r>
          </w:p>
        </w:tc>
        <w:tc>
          <w:tcPr>
            <w:tcW w:w="448" w:type="pct"/>
            <w:tcBorders>
              <w:tl2br w:val="nil"/>
              <w:tr2bl w:val="nil"/>
            </w:tcBorders>
            <w:vAlign w:val="center"/>
          </w:tcPr>
          <w:p w:rsidR="002A5A5E" w:rsidRPr="00F9522B" w:rsidRDefault="00611CBA">
            <w:pPr>
              <w:jc w:val="center"/>
              <w:textAlignment w:val="center"/>
              <w:rPr>
                <w:szCs w:val="21"/>
              </w:rPr>
            </w:pPr>
            <w:r w:rsidRPr="00F9522B">
              <w:rPr>
                <w:szCs w:val="21"/>
              </w:rPr>
              <w:t>70.5</w:t>
            </w:r>
          </w:p>
        </w:tc>
        <w:tc>
          <w:tcPr>
            <w:tcW w:w="428" w:type="pct"/>
            <w:tcBorders>
              <w:tl2br w:val="nil"/>
              <w:tr2bl w:val="nil"/>
            </w:tcBorders>
            <w:vAlign w:val="center"/>
          </w:tcPr>
          <w:p w:rsidR="002A5A5E" w:rsidRPr="00F9522B" w:rsidRDefault="00611CBA">
            <w:pPr>
              <w:jc w:val="center"/>
              <w:textAlignment w:val="center"/>
              <w:rPr>
                <w:szCs w:val="21"/>
              </w:rPr>
            </w:pPr>
            <w:r w:rsidRPr="00F9522B">
              <w:rPr>
                <w:szCs w:val="21"/>
              </w:rPr>
              <w:t>64.5</w:t>
            </w:r>
          </w:p>
        </w:tc>
        <w:tc>
          <w:tcPr>
            <w:tcW w:w="451" w:type="pct"/>
            <w:tcBorders>
              <w:tl2br w:val="nil"/>
              <w:tr2bl w:val="nil"/>
            </w:tcBorders>
            <w:vAlign w:val="center"/>
          </w:tcPr>
          <w:p w:rsidR="002A5A5E" w:rsidRPr="00F9522B" w:rsidRDefault="00611CBA">
            <w:pPr>
              <w:jc w:val="center"/>
              <w:textAlignment w:val="center"/>
              <w:rPr>
                <w:szCs w:val="21"/>
              </w:rPr>
            </w:pPr>
            <w:r w:rsidRPr="00F9522B">
              <w:rPr>
                <w:szCs w:val="21"/>
              </w:rPr>
              <w:t>58.5</w:t>
            </w:r>
          </w:p>
        </w:tc>
        <w:tc>
          <w:tcPr>
            <w:tcW w:w="428" w:type="pct"/>
            <w:tcBorders>
              <w:tl2br w:val="nil"/>
              <w:tr2bl w:val="nil"/>
            </w:tcBorders>
            <w:vAlign w:val="center"/>
          </w:tcPr>
          <w:p w:rsidR="002A5A5E" w:rsidRPr="00F9522B" w:rsidRDefault="00611CBA">
            <w:pPr>
              <w:jc w:val="center"/>
              <w:textAlignment w:val="center"/>
              <w:rPr>
                <w:szCs w:val="21"/>
              </w:rPr>
            </w:pPr>
            <w:r w:rsidRPr="00F9522B">
              <w:rPr>
                <w:szCs w:val="21"/>
              </w:rPr>
              <w:t>52.5</w:t>
            </w:r>
          </w:p>
        </w:tc>
        <w:tc>
          <w:tcPr>
            <w:tcW w:w="422" w:type="pct"/>
            <w:tcBorders>
              <w:tl2br w:val="nil"/>
              <w:tr2bl w:val="nil"/>
            </w:tcBorders>
            <w:vAlign w:val="center"/>
          </w:tcPr>
          <w:p w:rsidR="002A5A5E" w:rsidRPr="00F9522B" w:rsidRDefault="00611CBA">
            <w:pPr>
              <w:jc w:val="center"/>
              <w:textAlignment w:val="center"/>
              <w:rPr>
                <w:szCs w:val="21"/>
              </w:rPr>
            </w:pPr>
            <w:r w:rsidRPr="00F9522B">
              <w:rPr>
                <w:szCs w:val="21"/>
              </w:rPr>
              <w:t>48.9</w:t>
            </w:r>
          </w:p>
        </w:tc>
        <w:tc>
          <w:tcPr>
            <w:tcW w:w="399" w:type="pct"/>
            <w:tcBorders>
              <w:tl2br w:val="nil"/>
              <w:tr2bl w:val="nil"/>
            </w:tcBorders>
            <w:vAlign w:val="center"/>
          </w:tcPr>
          <w:p w:rsidR="002A5A5E" w:rsidRPr="00F9522B" w:rsidRDefault="00611CBA">
            <w:pPr>
              <w:jc w:val="center"/>
              <w:textAlignment w:val="center"/>
              <w:rPr>
                <w:szCs w:val="21"/>
              </w:rPr>
            </w:pPr>
            <w:r w:rsidRPr="00F9522B">
              <w:rPr>
                <w:szCs w:val="21"/>
              </w:rPr>
              <w:t>44.5</w:t>
            </w:r>
          </w:p>
        </w:tc>
      </w:tr>
      <w:tr w:rsidR="002A5A5E" w:rsidRPr="00F9522B">
        <w:trPr>
          <w:trHeight w:val="340"/>
        </w:trPr>
        <w:tc>
          <w:tcPr>
            <w:tcW w:w="466" w:type="pct"/>
            <w:tcBorders>
              <w:tl2br w:val="nil"/>
              <w:tr2bl w:val="nil"/>
            </w:tcBorders>
            <w:vAlign w:val="center"/>
          </w:tcPr>
          <w:p w:rsidR="002A5A5E" w:rsidRPr="00F9522B" w:rsidRDefault="00611CBA">
            <w:pPr>
              <w:jc w:val="center"/>
              <w:rPr>
                <w:szCs w:val="21"/>
              </w:rPr>
            </w:pPr>
            <w:r w:rsidRPr="00F9522B">
              <w:rPr>
                <w:spacing w:val="-14"/>
                <w:szCs w:val="21"/>
              </w:rPr>
              <w:t>灌溉井</w:t>
            </w:r>
          </w:p>
        </w:tc>
        <w:tc>
          <w:tcPr>
            <w:tcW w:w="892" w:type="pct"/>
            <w:tcBorders>
              <w:tl2br w:val="nil"/>
              <w:tr2bl w:val="nil"/>
            </w:tcBorders>
            <w:vAlign w:val="center"/>
          </w:tcPr>
          <w:p w:rsidR="002A5A5E" w:rsidRPr="00F9522B" w:rsidRDefault="00611CBA">
            <w:pPr>
              <w:pStyle w:val="TableText"/>
              <w:kinsoku/>
              <w:jc w:val="center"/>
              <w:rPr>
                <w:color w:val="auto"/>
                <w:sz w:val="21"/>
                <w:szCs w:val="21"/>
                <w:lang w:eastAsia="zh-CN"/>
              </w:rPr>
            </w:pPr>
            <w:r w:rsidRPr="00F9522B">
              <w:rPr>
                <w:rFonts w:eastAsia="宋体"/>
                <w:color w:val="auto"/>
                <w:spacing w:val="7"/>
                <w:position w:val="7"/>
                <w:sz w:val="21"/>
                <w:szCs w:val="21"/>
                <w:lang w:eastAsia="zh-CN"/>
              </w:rPr>
              <w:t>冲击式钻井机</w:t>
            </w:r>
          </w:p>
          <w:p w:rsidR="002A5A5E" w:rsidRPr="00F9522B" w:rsidRDefault="00611CBA">
            <w:pPr>
              <w:pStyle w:val="TableText"/>
              <w:kinsoku/>
              <w:jc w:val="center"/>
              <w:rPr>
                <w:rFonts w:eastAsiaTheme="minorEastAsia"/>
                <w:color w:val="auto"/>
                <w:sz w:val="21"/>
                <w:szCs w:val="21"/>
                <w:lang w:eastAsia="zh-CN"/>
              </w:rPr>
            </w:pPr>
            <w:r w:rsidRPr="00F9522B">
              <w:rPr>
                <w:rFonts w:eastAsiaTheme="minorEastAsia"/>
                <w:color w:val="auto"/>
                <w:szCs w:val="21"/>
                <w:lang w:eastAsia="zh-CN"/>
              </w:rPr>
              <w:t>移动式吊车</w:t>
            </w:r>
          </w:p>
        </w:tc>
        <w:tc>
          <w:tcPr>
            <w:tcW w:w="618" w:type="pct"/>
            <w:tcBorders>
              <w:tl2br w:val="nil"/>
              <w:tr2bl w:val="nil"/>
            </w:tcBorders>
            <w:vAlign w:val="center"/>
          </w:tcPr>
          <w:p w:rsidR="002A5A5E" w:rsidRPr="00F9522B" w:rsidRDefault="00611CBA">
            <w:pPr>
              <w:pStyle w:val="TableText"/>
              <w:kinsoku/>
              <w:jc w:val="center"/>
              <w:rPr>
                <w:rFonts w:eastAsia="宋体"/>
                <w:color w:val="auto"/>
                <w:sz w:val="21"/>
                <w:szCs w:val="21"/>
                <w:lang w:eastAsia="zh-CN"/>
              </w:rPr>
            </w:pPr>
            <w:r w:rsidRPr="00F9522B">
              <w:rPr>
                <w:rFonts w:eastAsia="宋体"/>
                <w:color w:val="auto"/>
                <w:sz w:val="21"/>
                <w:szCs w:val="21"/>
                <w:lang w:eastAsia="zh-CN"/>
              </w:rPr>
              <w:t>87.8</w:t>
            </w:r>
          </w:p>
        </w:tc>
        <w:tc>
          <w:tcPr>
            <w:tcW w:w="448" w:type="pct"/>
            <w:tcBorders>
              <w:tl2br w:val="nil"/>
              <w:tr2bl w:val="nil"/>
            </w:tcBorders>
            <w:vAlign w:val="center"/>
          </w:tcPr>
          <w:p w:rsidR="002A5A5E" w:rsidRPr="00F9522B" w:rsidRDefault="00611CBA">
            <w:pPr>
              <w:jc w:val="center"/>
              <w:textAlignment w:val="center"/>
              <w:rPr>
                <w:szCs w:val="21"/>
              </w:rPr>
            </w:pPr>
            <w:r w:rsidRPr="00F9522B">
              <w:rPr>
                <w:szCs w:val="21"/>
              </w:rPr>
              <w:t>73.8</w:t>
            </w:r>
          </w:p>
        </w:tc>
        <w:tc>
          <w:tcPr>
            <w:tcW w:w="448" w:type="pct"/>
            <w:tcBorders>
              <w:tl2br w:val="nil"/>
              <w:tr2bl w:val="nil"/>
            </w:tcBorders>
            <w:vAlign w:val="center"/>
          </w:tcPr>
          <w:p w:rsidR="002A5A5E" w:rsidRPr="00F9522B" w:rsidRDefault="00611CBA">
            <w:pPr>
              <w:jc w:val="center"/>
              <w:textAlignment w:val="center"/>
              <w:rPr>
                <w:szCs w:val="21"/>
              </w:rPr>
            </w:pPr>
            <w:r w:rsidRPr="00F9522B">
              <w:rPr>
                <w:szCs w:val="21"/>
              </w:rPr>
              <w:t>67.8</w:t>
            </w:r>
          </w:p>
        </w:tc>
        <w:tc>
          <w:tcPr>
            <w:tcW w:w="428" w:type="pct"/>
            <w:tcBorders>
              <w:tl2br w:val="nil"/>
              <w:tr2bl w:val="nil"/>
            </w:tcBorders>
            <w:vAlign w:val="center"/>
          </w:tcPr>
          <w:p w:rsidR="002A5A5E" w:rsidRPr="00F9522B" w:rsidRDefault="00611CBA">
            <w:pPr>
              <w:jc w:val="center"/>
              <w:textAlignment w:val="center"/>
              <w:rPr>
                <w:szCs w:val="21"/>
              </w:rPr>
            </w:pPr>
            <w:r w:rsidRPr="00F9522B">
              <w:rPr>
                <w:szCs w:val="21"/>
              </w:rPr>
              <w:t>61.8</w:t>
            </w:r>
          </w:p>
        </w:tc>
        <w:tc>
          <w:tcPr>
            <w:tcW w:w="451" w:type="pct"/>
            <w:tcBorders>
              <w:tl2br w:val="nil"/>
              <w:tr2bl w:val="nil"/>
            </w:tcBorders>
            <w:vAlign w:val="center"/>
          </w:tcPr>
          <w:p w:rsidR="002A5A5E" w:rsidRPr="00F9522B" w:rsidRDefault="00611CBA">
            <w:pPr>
              <w:jc w:val="center"/>
              <w:textAlignment w:val="center"/>
              <w:rPr>
                <w:szCs w:val="21"/>
              </w:rPr>
            </w:pPr>
            <w:r w:rsidRPr="00F9522B">
              <w:rPr>
                <w:szCs w:val="21"/>
              </w:rPr>
              <w:t>55.8</w:t>
            </w:r>
          </w:p>
        </w:tc>
        <w:tc>
          <w:tcPr>
            <w:tcW w:w="428" w:type="pct"/>
            <w:tcBorders>
              <w:tl2br w:val="nil"/>
              <w:tr2bl w:val="nil"/>
            </w:tcBorders>
            <w:vAlign w:val="center"/>
          </w:tcPr>
          <w:p w:rsidR="002A5A5E" w:rsidRPr="00F9522B" w:rsidRDefault="00611CBA">
            <w:pPr>
              <w:jc w:val="center"/>
              <w:textAlignment w:val="center"/>
              <w:rPr>
                <w:szCs w:val="21"/>
              </w:rPr>
            </w:pPr>
            <w:r w:rsidRPr="00F9522B">
              <w:rPr>
                <w:szCs w:val="21"/>
              </w:rPr>
              <w:t>49.7</w:t>
            </w:r>
          </w:p>
        </w:tc>
        <w:tc>
          <w:tcPr>
            <w:tcW w:w="422" w:type="pct"/>
            <w:tcBorders>
              <w:tl2br w:val="nil"/>
              <w:tr2bl w:val="nil"/>
            </w:tcBorders>
            <w:vAlign w:val="center"/>
          </w:tcPr>
          <w:p w:rsidR="002A5A5E" w:rsidRPr="00F9522B" w:rsidRDefault="00611CBA">
            <w:pPr>
              <w:jc w:val="center"/>
              <w:textAlignment w:val="center"/>
              <w:rPr>
                <w:szCs w:val="21"/>
              </w:rPr>
            </w:pPr>
            <w:r w:rsidRPr="00F9522B">
              <w:rPr>
                <w:szCs w:val="21"/>
              </w:rPr>
              <w:t>46.2</w:t>
            </w:r>
          </w:p>
        </w:tc>
        <w:tc>
          <w:tcPr>
            <w:tcW w:w="399" w:type="pct"/>
            <w:tcBorders>
              <w:tl2br w:val="nil"/>
              <w:tr2bl w:val="nil"/>
            </w:tcBorders>
            <w:vAlign w:val="center"/>
          </w:tcPr>
          <w:p w:rsidR="002A5A5E" w:rsidRPr="00F9522B" w:rsidRDefault="00611CBA">
            <w:pPr>
              <w:jc w:val="center"/>
              <w:textAlignment w:val="center"/>
              <w:rPr>
                <w:szCs w:val="21"/>
              </w:rPr>
            </w:pPr>
            <w:r w:rsidRPr="00F9522B">
              <w:rPr>
                <w:szCs w:val="21"/>
              </w:rPr>
              <w:t>41.8</w:t>
            </w:r>
          </w:p>
        </w:tc>
      </w:tr>
      <w:tr w:rsidR="002A5A5E" w:rsidRPr="00F9522B">
        <w:trPr>
          <w:trHeight w:val="340"/>
        </w:trPr>
        <w:tc>
          <w:tcPr>
            <w:tcW w:w="466" w:type="pct"/>
            <w:tcBorders>
              <w:tl2br w:val="nil"/>
              <w:tr2bl w:val="nil"/>
            </w:tcBorders>
            <w:vAlign w:val="center"/>
          </w:tcPr>
          <w:p w:rsidR="002A5A5E" w:rsidRPr="00F9522B" w:rsidRDefault="00611CBA">
            <w:pPr>
              <w:jc w:val="center"/>
              <w:rPr>
                <w:szCs w:val="21"/>
              </w:rPr>
            </w:pPr>
            <w:r w:rsidRPr="00F9522B">
              <w:rPr>
                <w:spacing w:val="7"/>
                <w:szCs w:val="21"/>
              </w:rPr>
              <w:t>输电线路</w:t>
            </w:r>
          </w:p>
        </w:tc>
        <w:tc>
          <w:tcPr>
            <w:tcW w:w="892" w:type="pct"/>
            <w:tcBorders>
              <w:tl2br w:val="nil"/>
              <w:tr2bl w:val="nil"/>
            </w:tcBorders>
            <w:vAlign w:val="center"/>
          </w:tcPr>
          <w:p w:rsidR="002A5A5E" w:rsidRPr="00F9522B" w:rsidRDefault="00611CBA">
            <w:pPr>
              <w:pStyle w:val="TableText"/>
              <w:kinsoku/>
              <w:jc w:val="center"/>
              <w:rPr>
                <w:rFonts w:eastAsiaTheme="minorEastAsia"/>
                <w:color w:val="auto"/>
                <w:spacing w:val="2"/>
                <w:sz w:val="21"/>
                <w:szCs w:val="21"/>
                <w:lang w:eastAsia="zh-CN"/>
              </w:rPr>
            </w:pPr>
            <w:r w:rsidRPr="00F9522B">
              <w:rPr>
                <w:rFonts w:eastAsia="宋体"/>
                <w:color w:val="auto"/>
                <w:spacing w:val="2"/>
                <w:sz w:val="21"/>
                <w:szCs w:val="21"/>
                <w:lang w:eastAsia="zh-CN"/>
              </w:rPr>
              <w:t>自卸汽车</w:t>
            </w:r>
          </w:p>
          <w:p w:rsidR="002A5A5E" w:rsidRPr="00F9522B" w:rsidRDefault="00611CBA">
            <w:pPr>
              <w:pStyle w:val="TableText"/>
              <w:kinsoku/>
              <w:jc w:val="center"/>
              <w:rPr>
                <w:rFonts w:eastAsiaTheme="minorEastAsia"/>
                <w:color w:val="auto"/>
                <w:spacing w:val="2"/>
                <w:sz w:val="21"/>
                <w:szCs w:val="21"/>
                <w:lang w:eastAsia="zh-CN"/>
              </w:rPr>
            </w:pPr>
            <w:r w:rsidRPr="00F9522B">
              <w:rPr>
                <w:rStyle w:val="CharChar"/>
                <w:rFonts w:eastAsiaTheme="minorEastAsia" w:hAnsi="Times New Roman"/>
                <w:color w:val="auto"/>
              </w:rPr>
              <w:t>装载机</w:t>
            </w:r>
          </w:p>
        </w:tc>
        <w:tc>
          <w:tcPr>
            <w:tcW w:w="618" w:type="pct"/>
            <w:tcBorders>
              <w:tl2br w:val="nil"/>
              <w:tr2bl w:val="nil"/>
            </w:tcBorders>
            <w:vAlign w:val="center"/>
          </w:tcPr>
          <w:p w:rsidR="002A5A5E" w:rsidRPr="00F9522B" w:rsidRDefault="00611CBA">
            <w:pPr>
              <w:pStyle w:val="TableText"/>
              <w:kinsoku/>
              <w:jc w:val="center"/>
              <w:rPr>
                <w:rFonts w:eastAsia="宋体"/>
                <w:color w:val="auto"/>
                <w:sz w:val="21"/>
                <w:szCs w:val="21"/>
                <w:lang w:eastAsia="zh-CN"/>
              </w:rPr>
            </w:pPr>
            <w:r w:rsidRPr="00F9522B">
              <w:rPr>
                <w:rFonts w:eastAsia="宋体"/>
                <w:color w:val="auto"/>
                <w:sz w:val="21"/>
                <w:szCs w:val="21"/>
                <w:lang w:eastAsia="zh-CN"/>
              </w:rPr>
              <w:t>88.6</w:t>
            </w:r>
          </w:p>
        </w:tc>
        <w:tc>
          <w:tcPr>
            <w:tcW w:w="448" w:type="pct"/>
            <w:tcBorders>
              <w:tl2br w:val="nil"/>
              <w:tr2bl w:val="nil"/>
            </w:tcBorders>
            <w:vAlign w:val="center"/>
          </w:tcPr>
          <w:p w:rsidR="002A5A5E" w:rsidRPr="00F9522B" w:rsidRDefault="00611CBA">
            <w:pPr>
              <w:jc w:val="center"/>
              <w:textAlignment w:val="center"/>
              <w:rPr>
                <w:szCs w:val="21"/>
              </w:rPr>
            </w:pPr>
            <w:r w:rsidRPr="00F9522B">
              <w:rPr>
                <w:szCs w:val="21"/>
              </w:rPr>
              <w:t>74.6</w:t>
            </w:r>
          </w:p>
        </w:tc>
        <w:tc>
          <w:tcPr>
            <w:tcW w:w="448" w:type="pct"/>
            <w:tcBorders>
              <w:tl2br w:val="nil"/>
              <w:tr2bl w:val="nil"/>
            </w:tcBorders>
            <w:vAlign w:val="center"/>
          </w:tcPr>
          <w:p w:rsidR="002A5A5E" w:rsidRPr="00F9522B" w:rsidRDefault="00611CBA">
            <w:pPr>
              <w:jc w:val="center"/>
              <w:textAlignment w:val="center"/>
              <w:rPr>
                <w:szCs w:val="21"/>
              </w:rPr>
            </w:pPr>
            <w:r w:rsidRPr="00F9522B">
              <w:rPr>
                <w:szCs w:val="21"/>
              </w:rPr>
              <w:t>68.6</w:t>
            </w:r>
          </w:p>
        </w:tc>
        <w:tc>
          <w:tcPr>
            <w:tcW w:w="428" w:type="pct"/>
            <w:tcBorders>
              <w:tl2br w:val="nil"/>
              <w:tr2bl w:val="nil"/>
            </w:tcBorders>
            <w:vAlign w:val="center"/>
          </w:tcPr>
          <w:p w:rsidR="002A5A5E" w:rsidRPr="00F9522B" w:rsidRDefault="00611CBA">
            <w:pPr>
              <w:jc w:val="center"/>
              <w:textAlignment w:val="center"/>
              <w:rPr>
                <w:szCs w:val="21"/>
              </w:rPr>
            </w:pPr>
            <w:r w:rsidRPr="00F9522B">
              <w:rPr>
                <w:szCs w:val="21"/>
              </w:rPr>
              <w:t>62.6</w:t>
            </w:r>
          </w:p>
        </w:tc>
        <w:tc>
          <w:tcPr>
            <w:tcW w:w="451" w:type="pct"/>
            <w:tcBorders>
              <w:tl2br w:val="nil"/>
              <w:tr2bl w:val="nil"/>
            </w:tcBorders>
            <w:vAlign w:val="center"/>
          </w:tcPr>
          <w:p w:rsidR="002A5A5E" w:rsidRPr="00F9522B" w:rsidRDefault="00611CBA">
            <w:pPr>
              <w:jc w:val="center"/>
              <w:textAlignment w:val="center"/>
              <w:rPr>
                <w:szCs w:val="21"/>
              </w:rPr>
            </w:pPr>
            <w:r w:rsidRPr="00F9522B">
              <w:rPr>
                <w:szCs w:val="21"/>
              </w:rPr>
              <w:t>56.6</w:t>
            </w:r>
          </w:p>
        </w:tc>
        <w:tc>
          <w:tcPr>
            <w:tcW w:w="428" w:type="pct"/>
            <w:tcBorders>
              <w:tl2br w:val="nil"/>
              <w:tr2bl w:val="nil"/>
            </w:tcBorders>
            <w:vAlign w:val="center"/>
          </w:tcPr>
          <w:p w:rsidR="002A5A5E" w:rsidRPr="00F9522B" w:rsidRDefault="00611CBA">
            <w:pPr>
              <w:jc w:val="center"/>
              <w:textAlignment w:val="center"/>
              <w:rPr>
                <w:szCs w:val="21"/>
              </w:rPr>
            </w:pPr>
            <w:r w:rsidRPr="00F9522B">
              <w:rPr>
                <w:szCs w:val="21"/>
              </w:rPr>
              <w:t>50.5</w:t>
            </w:r>
          </w:p>
        </w:tc>
        <w:tc>
          <w:tcPr>
            <w:tcW w:w="422" w:type="pct"/>
            <w:tcBorders>
              <w:tl2br w:val="nil"/>
              <w:tr2bl w:val="nil"/>
            </w:tcBorders>
            <w:vAlign w:val="center"/>
          </w:tcPr>
          <w:p w:rsidR="002A5A5E" w:rsidRPr="00F9522B" w:rsidRDefault="00611CBA">
            <w:pPr>
              <w:jc w:val="center"/>
              <w:textAlignment w:val="center"/>
              <w:rPr>
                <w:szCs w:val="21"/>
              </w:rPr>
            </w:pPr>
            <w:r w:rsidRPr="00F9522B">
              <w:rPr>
                <w:szCs w:val="21"/>
              </w:rPr>
              <w:t>47.0</w:t>
            </w:r>
          </w:p>
        </w:tc>
        <w:tc>
          <w:tcPr>
            <w:tcW w:w="399" w:type="pct"/>
            <w:tcBorders>
              <w:tl2br w:val="nil"/>
              <w:tr2bl w:val="nil"/>
            </w:tcBorders>
            <w:vAlign w:val="center"/>
          </w:tcPr>
          <w:p w:rsidR="002A5A5E" w:rsidRPr="00F9522B" w:rsidRDefault="00611CBA">
            <w:pPr>
              <w:jc w:val="center"/>
              <w:textAlignment w:val="center"/>
              <w:rPr>
                <w:szCs w:val="21"/>
              </w:rPr>
            </w:pPr>
            <w:r w:rsidRPr="00F9522B">
              <w:rPr>
                <w:szCs w:val="21"/>
              </w:rPr>
              <w:t>42.6</w:t>
            </w:r>
          </w:p>
        </w:tc>
      </w:tr>
    </w:tbl>
    <w:p w:rsidR="002A5A5E" w:rsidRPr="00F9522B" w:rsidRDefault="003E5585">
      <w:pPr>
        <w:spacing w:line="360" w:lineRule="auto"/>
        <w:ind w:firstLineChars="200" w:firstLine="480"/>
        <w:rPr>
          <w:rFonts w:eastAsiaTheme="minorEastAsia"/>
          <w:sz w:val="24"/>
          <w:szCs w:val="21"/>
        </w:rPr>
      </w:pPr>
      <w:r w:rsidRPr="00F9522B">
        <w:rPr>
          <w:rFonts w:eastAsiaTheme="minorEastAsia"/>
          <w:sz w:val="24"/>
          <w:szCs w:val="21"/>
        </w:rPr>
        <w:t>根据《建筑施工</w:t>
      </w:r>
      <w:r w:rsidR="00611CBA" w:rsidRPr="00F9522B">
        <w:rPr>
          <w:rFonts w:eastAsiaTheme="minorEastAsia"/>
          <w:sz w:val="24"/>
          <w:szCs w:val="21"/>
        </w:rPr>
        <w:t>噪声排放标准》（</w:t>
      </w:r>
      <w:r w:rsidR="00611CBA" w:rsidRPr="00F9522B">
        <w:rPr>
          <w:rFonts w:eastAsiaTheme="minorEastAsia"/>
          <w:sz w:val="24"/>
          <w:szCs w:val="21"/>
        </w:rPr>
        <w:t>GB12523-2025</w:t>
      </w:r>
      <w:r w:rsidR="00611CBA" w:rsidRPr="00F9522B">
        <w:rPr>
          <w:rFonts w:eastAsiaTheme="minorEastAsia"/>
          <w:sz w:val="24"/>
          <w:szCs w:val="21"/>
        </w:rPr>
        <w:t>）的规定，施工噪声控制在昼间</w:t>
      </w:r>
      <w:r w:rsidR="00611CBA" w:rsidRPr="00F9522B">
        <w:rPr>
          <w:rFonts w:eastAsiaTheme="minorEastAsia"/>
          <w:sz w:val="24"/>
          <w:szCs w:val="21"/>
        </w:rPr>
        <w:t>70dB</w:t>
      </w:r>
      <w:r w:rsidR="00611CBA" w:rsidRPr="00F9522B">
        <w:rPr>
          <w:rFonts w:eastAsiaTheme="minorEastAsia"/>
          <w:sz w:val="24"/>
          <w:szCs w:val="21"/>
        </w:rPr>
        <w:t>（</w:t>
      </w:r>
      <w:r w:rsidR="00611CBA" w:rsidRPr="00F9522B">
        <w:rPr>
          <w:rFonts w:eastAsiaTheme="minorEastAsia"/>
          <w:sz w:val="24"/>
          <w:szCs w:val="21"/>
        </w:rPr>
        <w:t>A</w:t>
      </w:r>
      <w:r w:rsidR="00611CBA" w:rsidRPr="00F9522B">
        <w:rPr>
          <w:rFonts w:eastAsiaTheme="minorEastAsia"/>
          <w:sz w:val="24"/>
          <w:szCs w:val="21"/>
        </w:rPr>
        <w:t>），夜间控制在</w:t>
      </w:r>
      <w:r w:rsidR="00611CBA" w:rsidRPr="00F9522B">
        <w:rPr>
          <w:rFonts w:eastAsiaTheme="minorEastAsia"/>
          <w:sz w:val="24"/>
          <w:szCs w:val="21"/>
        </w:rPr>
        <w:t>55dB</w:t>
      </w:r>
      <w:r w:rsidR="00611CBA" w:rsidRPr="00F9522B">
        <w:rPr>
          <w:rFonts w:eastAsiaTheme="minorEastAsia"/>
          <w:sz w:val="24"/>
          <w:szCs w:val="21"/>
        </w:rPr>
        <w:t>（</w:t>
      </w:r>
      <w:r w:rsidR="00611CBA" w:rsidRPr="00F9522B">
        <w:rPr>
          <w:rFonts w:eastAsiaTheme="minorEastAsia"/>
          <w:sz w:val="24"/>
          <w:szCs w:val="21"/>
        </w:rPr>
        <w:t>A</w:t>
      </w:r>
      <w:r w:rsidR="00611CBA" w:rsidRPr="00F9522B">
        <w:rPr>
          <w:rFonts w:eastAsiaTheme="minorEastAsia"/>
          <w:sz w:val="24"/>
          <w:szCs w:val="21"/>
        </w:rPr>
        <w:t>）。</w:t>
      </w:r>
    </w:p>
    <w:p w:rsidR="002A5A5E" w:rsidRPr="00F9522B" w:rsidRDefault="00611CBA">
      <w:pPr>
        <w:spacing w:line="360" w:lineRule="auto"/>
        <w:ind w:firstLineChars="200" w:firstLine="480"/>
        <w:rPr>
          <w:rFonts w:eastAsiaTheme="minorEastAsia"/>
          <w:sz w:val="24"/>
          <w:szCs w:val="21"/>
        </w:rPr>
      </w:pPr>
      <w:r w:rsidRPr="00F9522B">
        <w:rPr>
          <w:rFonts w:eastAsiaTheme="minorEastAsia"/>
          <w:bCs/>
          <w:sz w:val="24"/>
        </w:rPr>
        <w:t>根据《建筑施工噪声排放标准》</w:t>
      </w:r>
      <w:r w:rsidRPr="00F9522B">
        <w:rPr>
          <w:rFonts w:eastAsiaTheme="minorEastAsia"/>
          <w:bCs/>
          <w:sz w:val="24"/>
        </w:rPr>
        <w:t>(GB12523-2025)</w:t>
      </w:r>
      <w:r w:rsidRPr="00F9522B">
        <w:rPr>
          <w:rFonts w:eastAsiaTheme="minorEastAsia"/>
          <w:bCs/>
          <w:sz w:val="24"/>
        </w:rPr>
        <w:t>，施工机械噪声达标距离为：昼间</w:t>
      </w:r>
      <w:r w:rsidRPr="00F9522B">
        <w:rPr>
          <w:rFonts w:eastAsiaTheme="minorEastAsia"/>
          <w:bCs/>
          <w:sz w:val="24"/>
        </w:rPr>
        <w:t>20m</w:t>
      </w:r>
      <w:r w:rsidRPr="00F9522B">
        <w:rPr>
          <w:rFonts w:eastAsiaTheme="minorEastAsia"/>
          <w:bCs/>
          <w:sz w:val="24"/>
        </w:rPr>
        <w:t>外可达标。施工机械在无围挡的情况下，施工设备设置，施工场界按</w:t>
      </w:r>
      <w:r w:rsidRPr="00F9522B">
        <w:rPr>
          <w:rFonts w:eastAsiaTheme="minorEastAsia"/>
          <w:bCs/>
          <w:sz w:val="24"/>
        </w:rPr>
        <w:t>10m</w:t>
      </w:r>
      <w:r w:rsidRPr="00F9522B">
        <w:rPr>
          <w:rFonts w:eastAsiaTheme="minorEastAsia"/>
          <w:bCs/>
          <w:sz w:val="24"/>
        </w:rPr>
        <w:t>计算，则场界处超出《建筑施工噪声排放标准》（</w:t>
      </w:r>
      <w:r w:rsidR="00660C23" w:rsidRPr="00F9522B">
        <w:rPr>
          <w:rFonts w:eastAsiaTheme="minorEastAsia"/>
          <w:bCs/>
          <w:sz w:val="24"/>
        </w:rPr>
        <w:t>GB12523-2025</w:t>
      </w:r>
      <w:r w:rsidRPr="00F9522B">
        <w:rPr>
          <w:rFonts w:eastAsiaTheme="minorEastAsia"/>
          <w:bCs/>
          <w:sz w:val="24"/>
        </w:rPr>
        <w:t>），昼间最大超标</w:t>
      </w:r>
      <w:r w:rsidRPr="00F9522B">
        <w:rPr>
          <w:rFonts w:eastAsiaTheme="minorEastAsia"/>
          <w:bCs/>
          <w:sz w:val="24"/>
        </w:rPr>
        <w:t>2.6dB(A)</w:t>
      </w:r>
      <w:r w:rsidRPr="00F9522B">
        <w:rPr>
          <w:rFonts w:eastAsiaTheme="minorEastAsia"/>
          <w:bCs/>
          <w:sz w:val="24"/>
        </w:rPr>
        <w:t>。</w:t>
      </w:r>
    </w:p>
    <w:p w:rsidR="002A5A5E" w:rsidRPr="00F9522B" w:rsidRDefault="00611CBA">
      <w:pPr>
        <w:spacing w:line="360" w:lineRule="auto"/>
        <w:ind w:firstLineChars="200" w:firstLine="480"/>
        <w:rPr>
          <w:rFonts w:eastAsiaTheme="minorEastAsia"/>
          <w:sz w:val="24"/>
          <w:szCs w:val="21"/>
        </w:rPr>
      </w:pPr>
      <w:r w:rsidRPr="00F9522B">
        <w:rPr>
          <w:rFonts w:eastAsiaTheme="minorEastAsia"/>
          <w:sz w:val="24"/>
          <w:szCs w:val="21"/>
        </w:rPr>
        <w:t>移动式声屏障可拆卸重复使用，高度为</w:t>
      </w:r>
      <w:r w:rsidRPr="00F9522B">
        <w:rPr>
          <w:rFonts w:eastAsiaTheme="minorEastAsia"/>
          <w:sz w:val="24"/>
          <w:szCs w:val="21"/>
        </w:rPr>
        <w:t>2m</w:t>
      </w:r>
      <w:r w:rsidRPr="00F9522B">
        <w:rPr>
          <w:rFonts w:eastAsiaTheme="minorEastAsia"/>
          <w:sz w:val="24"/>
          <w:szCs w:val="21"/>
        </w:rPr>
        <w:t>。本次评价考虑距离工程</w:t>
      </w:r>
      <w:r w:rsidRPr="00F9522B">
        <w:rPr>
          <w:rFonts w:eastAsiaTheme="minorEastAsia"/>
          <w:sz w:val="24"/>
          <w:szCs w:val="21"/>
        </w:rPr>
        <w:t>10m</w:t>
      </w:r>
      <w:r w:rsidRPr="00F9522B">
        <w:rPr>
          <w:rFonts w:eastAsiaTheme="minorEastAsia"/>
          <w:sz w:val="24"/>
          <w:szCs w:val="21"/>
        </w:rPr>
        <w:t>以内的敏感保护目标设置芯材为玻璃棉等吸声材料的双层移动式隔声屏障，双层声屏障降噪效果良好，可降噪</w:t>
      </w:r>
      <w:r w:rsidRPr="00F9522B">
        <w:rPr>
          <w:rFonts w:eastAsiaTheme="minorEastAsia"/>
          <w:sz w:val="24"/>
          <w:szCs w:val="21"/>
        </w:rPr>
        <w:t>25dB</w:t>
      </w:r>
      <w:r w:rsidRPr="00F9522B">
        <w:rPr>
          <w:rFonts w:eastAsiaTheme="minorEastAsia"/>
          <w:sz w:val="24"/>
          <w:szCs w:val="21"/>
        </w:rPr>
        <w:t>（</w:t>
      </w:r>
      <w:r w:rsidRPr="00F9522B">
        <w:rPr>
          <w:rFonts w:eastAsiaTheme="minorEastAsia"/>
          <w:sz w:val="24"/>
          <w:szCs w:val="21"/>
        </w:rPr>
        <w:t>A</w:t>
      </w:r>
      <w:r w:rsidRPr="00F9522B">
        <w:rPr>
          <w:rFonts w:eastAsiaTheme="minorEastAsia"/>
          <w:sz w:val="24"/>
          <w:szCs w:val="21"/>
        </w:rPr>
        <w:t>）。本项目</w:t>
      </w:r>
      <w:r w:rsidRPr="00F9522B">
        <w:rPr>
          <w:rFonts w:eastAsiaTheme="minorEastAsia"/>
          <w:bCs/>
          <w:sz w:val="24"/>
        </w:rPr>
        <w:t>夜间不施工，</w:t>
      </w:r>
      <w:r w:rsidRPr="00F9522B">
        <w:rPr>
          <w:rFonts w:eastAsiaTheme="minorEastAsia"/>
          <w:sz w:val="24"/>
          <w:szCs w:val="21"/>
        </w:rPr>
        <w:t>采取</w:t>
      </w:r>
      <w:r w:rsidRPr="00F9522B">
        <w:rPr>
          <w:rFonts w:eastAsiaTheme="minorEastAsia"/>
          <w:spacing w:val="-5"/>
          <w:sz w:val="24"/>
        </w:rPr>
        <w:t>双层</w:t>
      </w:r>
      <w:r w:rsidRPr="00F9522B">
        <w:rPr>
          <w:rFonts w:eastAsiaTheme="minorEastAsia"/>
          <w:sz w:val="24"/>
          <w:szCs w:val="21"/>
        </w:rPr>
        <w:t>声屏障措施后，施工厂界昼间噪声值可满足</w:t>
      </w:r>
      <w:r w:rsidRPr="00F9522B">
        <w:rPr>
          <w:rFonts w:eastAsiaTheme="minorEastAsia"/>
          <w:bCs/>
          <w:sz w:val="24"/>
        </w:rPr>
        <w:t>《建筑施工噪声排放标准》</w:t>
      </w:r>
      <w:r w:rsidRPr="00F9522B">
        <w:rPr>
          <w:rFonts w:eastAsiaTheme="minorEastAsia"/>
          <w:bCs/>
          <w:sz w:val="24"/>
        </w:rPr>
        <w:t>(GB12523-2025)</w:t>
      </w:r>
      <w:r w:rsidRPr="00F9522B">
        <w:rPr>
          <w:rFonts w:eastAsiaTheme="minorEastAsia"/>
          <w:bCs/>
          <w:sz w:val="24"/>
        </w:rPr>
        <w:t>要求。</w:t>
      </w:r>
    </w:p>
    <w:p w:rsidR="002A5A5E" w:rsidRPr="00F9522B" w:rsidRDefault="00611CBA">
      <w:pPr>
        <w:spacing w:line="360" w:lineRule="auto"/>
        <w:ind w:firstLineChars="200" w:firstLine="480"/>
        <w:rPr>
          <w:rFonts w:eastAsiaTheme="minorEastAsia"/>
          <w:sz w:val="24"/>
        </w:rPr>
      </w:pPr>
      <w:r w:rsidRPr="00F9522B">
        <w:rPr>
          <w:rFonts w:eastAsiaTheme="minorEastAsia"/>
          <w:sz w:val="24"/>
          <w:szCs w:val="21"/>
        </w:rPr>
        <w:t>合理布置施工现场，尽量让高噪声设备远离敏感点一侧布置；做好安全文明施工（严禁中午</w:t>
      </w:r>
      <w:r w:rsidRPr="00F9522B">
        <w:rPr>
          <w:rFonts w:eastAsiaTheme="minorEastAsia"/>
          <w:sz w:val="24"/>
          <w:szCs w:val="21"/>
        </w:rPr>
        <w:t>12:00</w:t>
      </w:r>
      <w:r w:rsidRPr="00F9522B">
        <w:rPr>
          <w:rFonts w:eastAsia="MS Mincho"/>
          <w:sz w:val="24"/>
          <w:szCs w:val="21"/>
        </w:rPr>
        <w:t>〜</w:t>
      </w:r>
      <w:r w:rsidRPr="00F9522B">
        <w:rPr>
          <w:rFonts w:eastAsiaTheme="minorEastAsia"/>
          <w:sz w:val="24"/>
          <w:szCs w:val="21"/>
        </w:rPr>
        <w:t xml:space="preserve">14:00 </w:t>
      </w:r>
      <w:r w:rsidRPr="00F9522B">
        <w:rPr>
          <w:rFonts w:eastAsiaTheme="minorEastAsia"/>
          <w:sz w:val="24"/>
          <w:szCs w:val="21"/>
        </w:rPr>
        <w:t>进行高噪声施工活动），在</w:t>
      </w:r>
      <w:r w:rsidRPr="00F9522B">
        <w:rPr>
          <w:rFonts w:eastAsiaTheme="minorEastAsia"/>
          <w:sz w:val="24"/>
          <w:szCs w:val="21"/>
        </w:rPr>
        <w:t>10m</w:t>
      </w:r>
      <w:r w:rsidRPr="00F9522B">
        <w:rPr>
          <w:rFonts w:eastAsiaTheme="minorEastAsia"/>
          <w:sz w:val="24"/>
          <w:szCs w:val="21"/>
        </w:rPr>
        <w:t>以内分布有居民（</w:t>
      </w:r>
      <w:r w:rsidR="007A5D2B" w:rsidRPr="00F9522B">
        <w:rPr>
          <w:rFonts w:eastAsiaTheme="minorEastAsia"/>
          <w:sz w:val="24"/>
          <w:szCs w:val="21"/>
        </w:rPr>
        <w:t>八里荒、榆树村、黄家窝堡等村屯，共</w:t>
      </w:r>
      <w:r w:rsidR="007A5D2B" w:rsidRPr="00F9522B">
        <w:rPr>
          <w:rFonts w:eastAsiaTheme="minorEastAsia"/>
          <w:sz w:val="24"/>
          <w:szCs w:val="21"/>
        </w:rPr>
        <w:t>25</w:t>
      </w:r>
      <w:r w:rsidR="007A5D2B" w:rsidRPr="00F9522B">
        <w:rPr>
          <w:rFonts w:eastAsiaTheme="minorEastAsia"/>
          <w:sz w:val="24"/>
          <w:szCs w:val="21"/>
        </w:rPr>
        <w:t>处</w:t>
      </w:r>
      <w:r w:rsidRPr="00F9522B">
        <w:rPr>
          <w:rFonts w:eastAsiaTheme="minorEastAsia"/>
          <w:sz w:val="24"/>
          <w:szCs w:val="21"/>
        </w:rPr>
        <w:t>，具体村屯名称</w:t>
      </w:r>
      <w:r w:rsidR="00660C23" w:rsidRPr="00F9522B">
        <w:rPr>
          <w:rFonts w:eastAsiaTheme="minorEastAsia"/>
          <w:sz w:val="24"/>
          <w:szCs w:val="21"/>
        </w:rPr>
        <w:t>见表</w:t>
      </w:r>
      <w:r w:rsidR="00660C23" w:rsidRPr="00F9522B">
        <w:rPr>
          <w:rFonts w:eastAsiaTheme="minorEastAsia"/>
          <w:sz w:val="24"/>
          <w:szCs w:val="21"/>
        </w:rPr>
        <w:t>2-8-1</w:t>
      </w:r>
      <w:r w:rsidRPr="00F9522B">
        <w:rPr>
          <w:rFonts w:eastAsiaTheme="minorEastAsia"/>
          <w:sz w:val="24"/>
          <w:szCs w:val="21"/>
        </w:rPr>
        <w:t>）的灌溉与排水、田间道路、涵洞等建筑物、</w:t>
      </w:r>
      <w:r w:rsidRPr="00F9522B">
        <w:rPr>
          <w:rFonts w:eastAsiaTheme="minorEastAsia"/>
          <w:bCs/>
          <w:sz w:val="24"/>
          <w:szCs w:val="21"/>
        </w:rPr>
        <w:t>输配电</w:t>
      </w:r>
      <w:r w:rsidRPr="00F9522B">
        <w:rPr>
          <w:rFonts w:eastAsiaTheme="minorEastAsia"/>
          <w:sz w:val="24"/>
          <w:szCs w:val="21"/>
        </w:rPr>
        <w:t>工程处设置双层移动隔声屏障，高度为</w:t>
      </w:r>
      <w:r w:rsidRPr="00F9522B">
        <w:rPr>
          <w:rFonts w:eastAsiaTheme="minorEastAsia"/>
          <w:sz w:val="24"/>
          <w:szCs w:val="21"/>
        </w:rPr>
        <w:t>2m</w:t>
      </w:r>
      <w:r w:rsidRPr="00F9522B">
        <w:rPr>
          <w:rFonts w:eastAsiaTheme="minorEastAsia"/>
          <w:sz w:val="24"/>
          <w:szCs w:val="21"/>
        </w:rPr>
        <w:t>，长度能够覆盖敏感目标（长度超出敏感目标两侧各</w:t>
      </w:r>
      <w:r w:rsidRPr="00F9522B">
        <w:rPr>
          <w:rFonts w:eastAsiaTheme="minorEastAsia"/>
          <w:sz w:val="24"/>
          <w:szCs w:val="21"/>
        </w:rPr>
        <w:t>10m</w:t>
      </w:r>
      <w:r w:rsidRPr="00F9522B">
        <w:rPr>
          <w:rFonts w:eastAsiaTheme="minorEastAsia"/>
          <w:sz w:val="24"/>
          <w:szCs w:val="21"/>
        </w:rPr>
        <w:t>）。本环评要求将高</w:t>
      </w:r>
      <w:r w:rsidRPr="00F9522B">
        <w:rPr>
          <w:rFonts w:eastAsiaTheme="minorEastAsia"/>
          <w:sz w:val="24"/>
          <w:szCs w:val="21"/>
        </w:rPr>
        <w:lastRenderedPageBreak/>
        <w:t>噪设备设置在远离敏感点处并设施工维护，并对施工机械和车辆进行维护保养，运输车辆在经过沿线村屯时采取减速慢行、禁止鸣笛等管理措施，加强施工期环境管理，尽量避免高噪声机械设备集中使用或几台声功率相同的设备同时、同点作业，以减少作业时的噪声声级。合理安排施工作业时间，禁止夜间（</w:t>
      </w:r>
      <w:r w:rsidRPr="00F9522B">
        <w:rPr>
          <w:rFonts w:eastAsiaTheme="minorEastAsia"/>
          <w:sz w:val="24"/>
          <w:szCs w:val="21"/>
        </w:rPr>
        <w:t>22:00-6:00</w:t>
      </w:r>
      <w:r w:rsidRPr="00F9522B">
        <w:rPr>
          <w:rFonts w:eastAsiaTheme="minorEastAsia"/>
          <w:sz w:val="24"/>
          <w:szCs w:val="21"/>
        </w:rPr>
        <w:t>）施工，</w:t>
      </w:r>
      <w:r w:rsidRPr="00F9522B">
        <w:rPr>
          <w:rFonts w:eastAsiaTheme="minorEastAsia"/>
          <w:sz w:val="24"/>
        </w:rPr>
        <w:t>建设管理部门应加强对施工工地的噪声管理，施工企业也应对施工进行自律，文明施工，避免因施工噪声产生纠纷。</w:t>
      </w:r>
    </w:p>
    <w:p w:rsidR="002A5A5E" w:rsidRPr="00F9522B" w:rsidRDefault="00611CBA">
      <w:pPr>
        <w:contextualSpacing/>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5-1-6</w:t>
      </w:r>
      <w:r w:rsidRPr="00F9522B">
        <w:rPr>
          <w:rFonts w:eastAsiaTheme="minorEastAsia"/>
          <w:b/>
          <w:bCs/>
          <w:kern w:val="0"/>
          <w:szCs w:val="21"/>
        </w:rPr>
        <w:t>施工噪声对典型敏感点影响预测结果一览表</w:t>
      </w:r>
      <w:r w:rsidRPr="00F9522B">
        <w:rPr>
          <w:rFonts w:eastAsiaTheme="minorEastAsia"/>
          <w:b/>
          <w:bCs/>
          <w:kern w:val="0"/>
          <w:szCs w:val="21"/>
        </w:rPr>
        <w:t xml:space="preserve">    </w:t>
      </w:r>
      <w:r w:rsidRPr="00F9522B">
        <w:rPr>
          <w:rFonts w:eastAsiaTheme="minorEastAsia"/>
          <w:b/>
          <w:bCs/>
          <w:kern w:val="0"/>
          <w:szCs w:val="21"/>
        </w:rPr>
        <w:t>单位：</w:t>
      </w:r>
      <w:r w:rsidRPr="00F9522B">
        <w:rPr>
          <w:rFonts w:eastAsiaTheme="minorEastAsia"/>
          <w:b/>
          <w:bCs/>
          <w:kern w:val="0"/>
          <w:szCs w:val="21"/>
        </w:rPr>
        <w:t>dB</w:t>
      </w:r>
      <w:r w:rsidRPr="00F9522B">
        <w:rPr>
          <w:rFonts w:eastAsiaTheme="minorEastAsia"/>
          <w:b/>
          <w:bCs/>
          <w:kern w:val="0"/>
          <w:szCs w:val="21"/>
        </w:rPr>
        <w:t>（</w:t>
      </w:r>
      <w:r w:rsidRPr="00F9522B">
        <w:rPr>
          <w:rFonts w:eastAsiaTheme="minorEastAsia"/>
          <w:b/>
          <w:bCs/>
          <w:kern w:val="0"/>
          <w:szCs w:val="21"/>
        </w:rPr>
        <w:t>A</w:t>
      </w:r>
      <w:r w:rsidRPr="00F9522B">
        <w:rPr>
          <w:rFonts w:eastAsiaTheme="minorEastAsia"/>
          <w:b/>
          <w:bCs/>
          <w:kern w:val="0"/>
          <w:szCs w:val="21"/>
        </w:rPr>
        <w:t>）</w:t>
      </w:r>
    </w:p>
    <w:tbl>
      <w:tblPr>
        <w:tblStyle w:val="TableNormal"/>
        <w:tblW w:w="4998" w:type="pct"/>
        <w:tblInd w:w="0" w:type="dxa"/>
        <w:tblBorders>
          <w:top w:val="single" w:sz="12" w:space="0" w:color="000000"/>
          <w:bottom w:val="single" w:sz="12" w:space="0" w:color="000000"/>
          <w:insideH w:val="single" w:sz="2" w:space="0" w:color="000000"/>
          <w:insideV w:val="single" w:sz="2" w:space="0" w:color="000000"/>
        </w:tblBorders>
        <w:tblLook w:val="04A0"/>
      </w:tblPr>
      <w:tblGrid>
        <w:gridCol w:w="1092"/>
        <w:gridCol w:w="1011"/>
        <w:gridCol w:w="995"/>
        <w:gridCol w:w="683"/>
        <w:gridCol w:w="2654"/>
        <w:gridCol w:w="800"/>
        <w:gridCol w:w="570"/>
        <w:gridCol w:w="498"/>
      </w:tblGrid>
      <w:tr w:rsidR="002A5A5E" w:rsidRPr="00F9522B">
        <w:trPr>
          <w:trHeight w:val="297"/>
        </w:trPr>
        <w:tc>
          <w:tcPr>
            <w:tcW w:w="1266" w:type="pct"/>
            <w:gridSpan w:val="2"/>
            <w:vMerge w:val="restart"/>
            <w:tcBorders>
              <w:tl2br w:val="nil"/>
              <w:tr2bl w:val="nil"/>
            </w:tcBorders>
            <w:vAlign w:val="center"/>
          </w:tcPr>
          <w:p w:rsidR="002A5A5E" w:rsidRPr="00F9522B" w:rsidRDefault="00611CBA">
            <w:pPr>
              <w:widowControl/>
              <w:kinsoku w:val="0"/>
              <w:autoSpaceDE w:val="0"/>
              <w:autoSpaceDN w:val="0"/>
              <w:adjustRightInd w:val="0"/>
              <w:snapToGrid w:val="0"/>
              <w:jc w:val="center"/>
              <w:textAlignment w:val="baseline"/>
              <w:rPr>
                <w:rFonts w:eastAsiaTheme="minorEastAsia"/>
                <w:snapToGrid w:val="0"/>
                <w:kern w:val="0"/>
                <w:szCs w:val="21"/>
                <w:lang w:eastAsia="en-US"/>
              </w:rPr>
            </w:pPr>
            <w:r w:rsidRPr="00F9522B">
              <w:rPr>
                <w:rFonts w:eastAsiaTheme="minorEastAsia"/>
                <w:snapToGrid w:val="0"/>
                <w:spacing w:val="6"/>
                <w:kern w:val="0"/>
                <w:szCs w:val="21"/>
                <w:lang w:eastAsia="en-US"/>
              </w:rPr>
              <w:t>工程内容</w:t>
            </w:r>
          </w:p>
        </w:tc>
        <w:tc>
          <w:tcPr>
            <w:tcW w:w="599" w:type="pct"/>
            <w:vMerge w:val="restart"/>
            <w:tcBorders>
              <w:tl2br w:val="nil"/>
              <w:tr2bl w:val="nil"/>
            </w:tcBorders>
            <w:vAlign w:val="center"/>
          </w:tcPr>
          <w:p w:rsidR="002A5A5E" w:rsidRPr="00F9522B" w:rsidRDefault="00611CBA">
            <w:pPr>
              <w:widowControl/>
              <w:kinsoku w:val="0"/>
              <w:autoSpaceDE w:val="0"/>
              <w:autoSpaceDN w:val="0"/>
              <w:adjustRightInd w:val="0"/>
              <w:snapToGrid w:val="0"/>
              <w:jc w:val="center"/>
              <w:textAlignment w:val="baseline"/>
              <w:rPr>
                <w:rFonts w:eastAsiaTheme="minorEastAsia"/>
                <w:snapToGrid w:val="0"/>
                <w:kern w:val="0"/>
                <w:szCs w:val="21"/>
                <w:lang w:eastAsia="en-US"/>
              </w:rPr>
            </w:pPr>
            <w:r w:rsidRPr="00F9522B">
              <w:rPr>
                <w:rFonts w:eastAsiaTheme="minorEastAsia"/>
                <w:snapToGrid w:val="0"/>
                <w:spacing w:val="6"/>
                <w:kern w:val="0"/>
                <w:szCs w:val="21"/>
                <w:lang w:eastAsia="en-US"/>
              </w:rPr>
              <w:t>声环境敏感目标</w:t>
            </w:r>
          </w:p>
        </w:tc>
        <w:tc>
          <w:tcPr>
            <w:tcW w:w="411" w:type="pct"/>
            <w:vMerge w:val="restart"/>
            <w:tcBorders>
              <w:tl2br w:val="nil"/>
              <w:tr2bl w:val="nil"/>
            </w:tcBorders>
            <w:vAlign w:val="center"/>
          </w:tcPr>
          <w:p w:rsidR="002A5A5E" w:rsidRPr="00F9522B" w:rsidRDefault="00611CBA">
            <w:pPr>
              <w:widowControl/>
              <w:kinsoku w:val="0"/>
              <w:autoSpaceDE w:val="0"/>
              <w:autoSpaceDN w:val="0"/>
              <w:adjustRightInd w:val="0"/>
              <w:snapToGrid w:val="0"/>
              <w:jc w:val="center"/>
              <w:textAlignment w:val="baseline"/>
              <w:rPr>
                <w:rFonts w:eastAsiaTheme="minorEastAsia"/>
                <w:snapToGrid w:val="0"/>
                <w:kern w:val="0"/>
                <w:szCs w:val="21"/>
                <w:lang w:eastAsia="en-US"/>
              </w:rPr>
            </w:pPr>
            <w:r w:rsidRPr="00F9522B">
              <w:rPr>
                <w:rFonts w:eastAsiaTheme="minorEastAsia"/>
                <w:snapToGrid w:val="0"/>
                <w:spacing w:val="6"/>
                <w:kern w:val="0"/>
                <w:szCs w:val="21"/>
                <w:lang w:eastAsia="en-US"/>
              </w:rPr>
              <w:t>相对距</w:t>
            </w:r>
            <w:r w:rsidRPr="00F9522B">
              <w:rPr>
                <w:rFonts w:eastAsiaTheme="minorEastAsia"/>
                <w:snapToGrid w:val="0"/>
                <w:spacing w:val="2"/>
                <w:kern w:val="0"/>
                <w:szCs w:val="21"/>
                <w:lang w:eastAsia="en-US"/>
              </w:rPr>
              <w:t>离</w:t>
            </w:r>
            <w:r w:rsidRPr="00F9522B">
              <w:rPr>
                <w:rFonts w:eastAsiaTheme="minorEastAsia"/>
                <w:snapToGrid w:val="0"/>
                <w:spacing w:val="2"/>
                <w:kern w:val="0"/>
                <w:szCs w:val="21"/>
                <w:lang w:eastAsia="en-US"/>
              </w:rPr>
              <w:t>/m</w:t>
            </w:r>
          </w:p>
        </w:tc>
        <w:tc>
          <w:tcPr>
            <w:tcW w:w="1598" w:type="pct"/>
            <w:vMerge w:val="restart"/>
            <w:tcBorders>
              <w:tl2br w:val="nil"/>
              <w:tr2bl w:val="nil"/>
            </w:tcBorders>
            <w:vAlign w:val="center"/>
          </w:tcPr>
          <w:p w:rsidR="002A5A5E" w:rsidRPr="00F9522B" w:rsidRDefault="00611CBA">
            <w:pPr>
              <w:widowControl/>
              <w:kinsoku w:val="0"/>
              <w:autoSpaceDE w:val="0"/>
              <w:autoSpaceDN w:val="0"/>
              <w:adjustRightInd w:val="0"/>
              <w:snapToGrid w:val="0"/>
              <w:jc w:val="center"/>
              <w:textAlignment w:val="baseline"/>
              <w:rPr>
                <w:rFonts w:eastAsiaTheme="minorEastAsia"/>
                <w:snapToGrid w:val="0"/>
                <w:kern w:val="0"/>
                <w:szCs w:val="21"/>
                <w:lang w:eastAsia="en-US"/>
              </w:rPr>
            </w:pPr>
            <w:r w:rsidRPr="00F9522B">
              <w:rPr>
                <w:rFonts w:eastAsiaTheme="minorEastAsia"/>
                <w:snapToGrid w:val="0"/>
                <w:spacing w:val="8"/>
                <w:kern w:val="0"/>
                <w:szCs w:val="21"/>
                <w:lang w:eastAsia="en-US"/>
              </w:rPr>
              <w:t>采取的措施</w:t>
            </w:r>
          </w:p>
        </w:tc>
        <w:tc>
          <w:tcPr>
            <w:tcW w:w="482" w:type="pct"/>
            <w:vMerge w:val="restart"/>
            <w:tcBorders>
              <w:tl2br w:val="nil"/>
              <w:tr2bl w:val="nil"/>
            </w:tcBorders>
            <w:vAlign w:val="center"/>
          </w:tcPr>
          <w:p w:rsidR="002A5A5E" w:rsidRPr="00F9522B" w:rsidRDefault="00611CBA">
            <w:pPr>
              <w:widowControl/>
              <w:kinsoku w:val="0"/>
              <w:autoSpaceDE w:val="0"/>
              <w:autoSpaceDN w:val="0"/>
              <w:adjustRightInd w:val="0"/>
              <w:snapToGrid w:val="0"/>
              <w:jc w:val="center"/>
              <w:textAlignment w:val="baseline"/>
              <w:rPr>
                <w:rFonts w:eastAsiaTheme="minorEastAsia"/>
                <w:snapToGrid w:val="0"/>
                <w:kern w:val="0"/>
                <w:szCs w:val="21"/>
                <w:lang w:eastAsia="en-US"/>
              </w:rPr>
            </w:pPr>
            <w:r w:rsidRPr="00F9522B">
              <w:rPr>
                <w:rFonts w:eastAsiaTheme="minorEastAsia"/>
                <w:snapToGrid w:val="0"/>
                <w:spacing w:val="7"/>
                <w:kern w:val="0"/>
                <w:szCs w:val="21"/>
                <w:lang w:eastAsia="en-US"/>
              </w:rPr>
              <w:t>措施后噪</w:t>
            </w:r>
            <w:r w:rsidRPr="00F9522B">
              <w:rPr>
                <w:rFonts w:eastAsiaTheme="minorEastAsia"/>
                <w:snapToGrid w:val="0"/>
                <w:spacing w:val="6"/>
                <w:kern w:val="0"/>
                <w:szCs w:val="21"/>
                <w:lang w:eastAsia="en-US"/>
              </w:rPr>
              <w:t>声预测值</w:t>
            </w:r>
          </w:p>
        </w:tc>
        <w:tc>
          <w:tcPr>
            <w:tcW w:w="343" w:type="pct"/>
            <w:vMerge w:val="restart"/>
            <w:tcBorders>
              <w:tl2br w:val="nil"/>
              <w:tr2bl w:val="nil"/>
            </w:tcBorders>
            <w:vAlign w:val="center"/>
          </w:tcPr>
          <w:p w:rsidR="002A5A5E" w:rsidRPr="00F9522B" w:rsidRDefault="00611CBA">
            <w:pPr>
              <w:widowControl/>
              <w:kinsoku w:val="0"/>
              <w:autoSpaceDE w:val="0"/>
              <w:autoSpaceDN w:val="0"/>
              <w:adjustRightInd w:val="0"/>
              <w:snapToGrid w:val="0"/>
              <w:jc w:val="center"/>
              <w:textAlignment w:val="baseline"/>
              <w:rPr>
                <w:rFonts w:eastAsiaTheme="minorEastAsia"/>
                <w:snapToGrid w:val="0"/>
                <w:kern w:val="0"/>
                <w:szCs w:val="21"/>
                <w:lang w:eastAsia="en-US"/>
              </w:rPr>
            </w:pPr>
            <w:r w:rsidRPr="00F9522B">
              <w:rPr>
                <w:rFonts w:eastAsiaTheme="minorEastAsia"/>
                <w:snapToGrid w:val="0"/>
                <w:spacing w:val="5"/>
                <w:kern w:val="0"/>
                <w:szCs w:val="21"/>
                <w:lang w:eastAsia="en-US"/>
              </w:rPr>
              <w:t>声环境</w:t>
            </w:r>
            <w:r w:rsidRPr="00F9522B">
              <w:rPr>
                <w:rFonts w:eastAsiaTheme="minorEastAsia"/>
                <w:snapToGrid w:val="0"/>
                <w:spacing w:val="6"/>
                <w:kern w:val="0"/>
                <w:szCs w:val="21"/>
                <w:lang w:eastAsia="en-US"/>
              </w:rPr>
              <w:t>质量标</w:t>
            </w:r>
            <w:r w:rsidRPr="00F9522B">
              <w:rPr>
                <w:rFonts w:eastAsiaTheme="minorEastAsia"/>
                <w:snapToGrid w:val="0"/>
                <w:kern w:val="0"/>
                <w:szCs w:val="21"/>
                <w:lang w:eastAsia="en-US"/>
              </w:rPr>
              <w:t>准</w:t>
            </w:r>
          </w:p>
        </w:tc>
        <w:tc>
          <w:tcPr>
            <w:tcW w:w="300" w:type="pct"/>
            <w:vMerge w:val="restart"/>
            <w:tcBorders>
              <w:tl2br w:val="nil"/>
              <w:tr2bl w:val="nil"/>
            </w:tcBorders>
            <w:vAlign w:val="center"/>
          </w:tcPr>
          <w:p w:rsidR="002A5A5E" w:rsidRPr="00F9522B" w:rsidRDefault="00611CBA">
            <w:pPr>
              <w:widowControl/>
              <w:kinsoku w:val="0"/>
              <w:autoSpaceDE w:val="0"/>
              <w:autoSpaceDN w:val="0"/>
              <w:adjustRightInd w:val="0"/>
              <w:snapToGrid w:val="0"/>
              <w:jc w:val="center"/>
              <w:textAlignment w:val="baseline"/>
              <w:rPr>
                <w:rFonts w:eastAsiaTheme="minorEastAsia"/>
                <w:snapToGrid w:val="0"/>
                <w:kern w:val="0"/>
                <w:szCs w:val="21"/>
                <w:lang w:eastAsia="en-US"/>
              </w:rPr>
            </w:pPr>
            <w:r w:rsidRPr="00F9522B">
              <w:rPr>
                <w:rFonts w:eastAsiaTheme="minorEastAsia"/>
                <w:snapToGrid w:val="0"/>
                <w:spacing w:val="5"/>
                <w:kern w:val="0"/>
                <w:szCs w:val="21"/>
                <w:lang w:eastAsia="en-US"/>
              </w:rPr>
              <w:t>达标</w:t>
            </w:r>
            <w:r w:rsidRPr="00F9522B">
              <w:rPr>
                <w:rFonts w:eastAsiaTheme="minorEastAsia"/>
                <w:snapToGrid w:val="0"/>
                <w:spacing w:val="4"/>
                <w:kern w:val="0"/>
                <w:szCs w:val="21"/>
                <w:lang w:eastAsia="en-US"/>
              </w:rPr>
              <w:t>判定</w:t>
            </w:r>
          </w:p>
        </w:tc>
      </w:tr>
      <w:tr w:rsidR="002A5A5E" w:rsidRPr="00F9522B">
        <w:trPr>
          <w:trHeight w:val="297"/>
        </w:trPr>
        <w:tc>
          <w:tcPr>
            <w:tcW w:w="1266" w:type="pct"/>
            <w:gridSpan w:val="2"/>
            <w:vMerge/>
            <w:tcBorders>
              <w:tl2br w:val="nil"/>
              <w:tr2bl w:val="nil"/>
            </w:tcBorders>
            <w:vAlign w:val="center"/>
          </w:tcPr>
          <w:p w:rsidR="002A5A5E" w:rsidRPr="00F9522B" w:rsidRDefault="002A5A5E">
            <w:pPr>
              <w:widowControl/>
              <w:kinsoku w:val="0"/>
              <w:autoSpaceDE w:val="0"/>
              <w:autoSpaceDN w:val="0"/>
              <w:adjustRightInd w:val="0"/>
              <w:snapToGrid w:val="0"/>
              <w:jc w:val="center"/>
              <w:textAlignment w:val="baseline"/>
              <w:rPr>
                <w:rFonts w:eastAsiaTheme="minorEastAsia"/>
                <w:snapToGrid w:val="0"/>
                <w:kern w:val="0"/>
                <w:szCs w:val="21"/>
                <w:lang w:eastAsia="en-US"/>
              </w:rPr>
            </w:pPr>
          </w:p>
        </w:tc>
        <w:tc>
          <w:tcPr>
            <w:tcW w:w="599" w:type="pct"/>
            <w:vMerge/>
            <w:tcBorders>
              <w:tl2br w:val="nil"/>
              <w:tr2bl w:val="nil"/>
            </w:tcBorders>
            <w:vAlign w:val="center"/>
          </w:tcPr>
          <w:p w:rsidR="002A5A5E" w:rsidRPr="00F9522B" w:rsidRDefault="002A5A5E">
            <w:pPr>
              <w:widowControl/>
              <w:kinsoku w:val="0"/>
              <w:autoSpaceDE w:val="0"/>
              <w:autoSpaceDN w:val="0"/>
              <w:adjustRightInd w:val="0"/>
              <w:snapToGrid w:val="0"/>
              <w:jc w:val="center"/>
              <w:textAlignment w:val="baseline"/>
              <w:rPr>
                <w:rFonts w:eastAsiaTheme="minorEastAsia"/>
                <w:snapToGrid w:val="0"/>
                <w:kern w:val="0"/>
                <w:szCs w:val="21"/>
                <w:lang w:eastAsia="en-US"/>
              </w:rPr>
            </w:pPr>
          </w:p>
        </w:tc>
        <w:tc>
          <w:tcPr>
            <w:tcW w:w="411" w:type="pct"/>
            <w:vMerge/>
            <w:tcBorders>
              <w:tl2br w:val="nil"/>
              <w:tr2bl w:val="nil"/>
            </w:tcBorders>
            <w:vAlign w:val="center"/>
          </w:tcPr>
          <w:p w:rsidR="002A5A5E" w:rsidRPr="00F9522B" w:rsidRDefault="002A5A5E">
            <w:pPr>
              <w:widowControl/>
              <w:kinsoku w:val="0"/>
              <w:autoSpaceDE w:val="0"/>
              <w:autoSpaceDN w:val="0"/>
              <w:adjustRightInd w:val="0"/>
              <w:snapToGrid w:val="0"/>
              <w:jc w:val="center"/>
              <w:textAlignment w:val="baseline"/>
              <w:rPr>
                <w:rFonts w:eastAsiaTheme="minorEastAsia"/>
                <w:snapToGrid w:val="0"/>
                <w:kern w:val="0"/>
                <w:szCs w:val="21"/>
                <w:lang w:eastAsia="en-US"/>
              </w:rPr>
            </w:pPr>
          </w:p>
        </w:tc>
        <w:tc>
          <w:tcPr>
            <w:tcW w:w="1598" w:type="pct"/>
            <w:vMerge/>
            <w:tcBorders>
              <w:tl2br w:val="nil"/>
              <w:tr2bl w:val="nil"/>
            </w:tcBorders>
            <w:vAlign w:val="center"/>
          </w:tcPr>
          <w:p w:rsidR="002A5A5E" w:rsidRPr="00F9522B" w:rsidRDefault="002A5A5E">
            <w:pPr>
              <w:widowControl/>
              <w:kinsoku w:val="0"/>
              <w:autoSpaceDE w:val="0"/>
              <w:autoSpaceDN w:val="0"/>
              <w:adjustRightInd w:val="0"/>
              <w:snapToGrid w:val="0"/>
              <w:jc w:val="center"/>
              <w:textAlignment w:val="baseline"/>
              <w:rPr>
                <w:rFonts w:eastAsiaTheme="minorEastAsia"/>
                <w:snapToGrid w:val="0"/>
                <w:kern w:val="0"/>
                <w:szCs w:val="21"/>
                <w:lang w:eastAsia="en-US"/>
              </w:rPr>
            </w:pPr>
          </w:p>
        </w:tc>
        <w:tc>
          <w:tcPr>
            <w:tcW w:w="482" w:type="pct"/>
            <w:vMerge/>
            <w:tcBorders>
              <w:tl2br w:val="nil"/>
              <w:tr2bl w:val="nil"/>
            </w:tcBorders>
            <w:vAlign w:val="center"/>
          </w:tcPr>
          <w:p w:rsidR="002A5A5E" w:rsidRPr="00F9522B" w:rsidRDefault="002A5A5E">
            <w:pPr>
              <w:widowControl/>
              <w:kinsoku w:val="0"/>
              <w:autoSpaceDE w:val="0"/>
              <w:autoSpaceDN w:val="0"/>
              <w:adjustRightInd w:val="0"/>
              <w:snapToGrid w:val="0"/>
              <w:jc w:val="center"/>
              <w:textAlignment w:val="baseline"/>
              <w:rPr>
                <w:rFonts w:eastAsiaTheme="minorEastAsia"/>
                <w:snapToGrid w:val="0"/>
                <w:kern w:val="0"/>
                <w:szCs w:val="21"/>
                <w:lang w:eastAsia="en-US"/>
              </w:rPr>
            </w:pPr>
          </w:p>
        </w:tc>
        <w:tc>
          <w:tcPr>
            <w:tcW w:w="343" w:type="pct"/>
            <w:vMerge/>
            <w:tcBorders>
              <w:tl2br w:val="nil"/>
              <w:tr2bl w:val="nil"/>
            </w:tcBorders>
            <w:vAlign w:val="center"/>
          </w:tcPr>
          <w:p w:rsidR="002A5A5E" w:rsidRPr="00F9522B" w:rsidRDefault="002A5A5E">
            <w:pPr>
              <w:widowControl/>
              <w:kinsoku w:val="0"/>
              <w:autoSpaceDE w:val="0"/>
              <w:autoSpaceDN w:val="0"/>
              <w:adjustRightInd w:val="0"/>
              <w:snapToGrid w:val="0"/>
              <w:jc w:val="center"/>
              <w:textAlignment w:val="baseline"/>
              <w:rPr>
                <w:rFonts w:eastAsiaTheme="minorEastAsia"/>
                <w:snapToGrid w:val="0"/>
                <w:kern w:val="0"/>
                <w:szCs w:val="21"/>
                <w:lang w:eastAsia="en-US"/>
              </w:rPr>
            </w:pPr>
          </w:p>
        </w:tc>
        <w:tc>
          <w:tcPr>
            <w:tcW w:w="300" w:type="pct"/>
            <w:vMerge/>
            <w:tcBorders>
              <w:tl2br w:val="nil"/>
              <w:tr2bl w:val="nil"/>
            </w:tcBorders>
            <w:vAlign w:val="center"/>
          </w:tcPr>
          <w:p w:rsidR="002A5A5E" w:rsidRPr="00F9522B" w:rsidRDefault="002A5A5E">
            <w:pPr>
              <w:widowControl/>
              <w:kinsoku w:val="0"/>
              <w:autoSpaceDE w:val="0"/>
              <w:autoSpaceDN w:val="0"/>
              <w:adjustRightInd w:val="0"/>
              <w:snapToGrid w:val="0"/>
              <w:jc w:val="center"/>
              <w:textAlignment w:val="baseline"/>
              <w:rPr>
                <w:rFonts w:eastAsiaTheme="minorEastAsia"/>
                <w:snapToGrid w:val="0"/>
                <w:kern w:val="0"/>
                <w:szCs w:val="21"/>
                <w:lang w:eastAsia="en-US"/>
              </w:rPr>
            </w:pPr>
          </w:p>
        </w:tc>
      </w:tr>
      <w:tr w:rsidR="002A5A5E" w:rsidRPr="00F9522B" w:rsidTr="00B21BDA">
        <w:trPr>
          <w:trHeight w:val="579"/>
        </w:trPr>
        <w:tc>
          <w:tcPr>
            <w:tcW w:w="658" w:type="pct"/>
            <w:vMerge w:val="restart"/>
            <w:tcBorders>
              <w:tl2br w:val="nil"/>
              <w:tr2bl w:val="nil"/>
            </w:tcBorders>
            <w:vAlign w:val="center"/>
          </w:tcPr>
          <w:p w:rsidR="002A5A5E" w:rsidRPr="00F9522B" w:rsidRDefault="00611CBA">
            <w:pPr>
              <w:kinsoku w:val="0"/>
              <w:autoSpaceDE w:val="0"/>
              <w:autoSpaceDN w:val="0"/>
              <w:adjustRightInd w:val="0"/>
              <w:snapToGrid w:val="0"/>
              <w:jc w:val="center"/>
              <w:textAlignment w:val="baseline"/>
              <w:rPr>
                <w:rFonts w:eastAsiaTheme="minorEastAsia"/>
                <w:snapToGrid w:val="0"/>
                <w:kern w:val="0"/>
                <w:szCs w:val="21"/>
              </w:rPr>
            </w:pPr>
            <w:r w:rsidRPr="00F9522B">
              <w:rPr>
                <w:rFonts w:eastAsiaTheme="minorEastAsia"/>
                <w:snapToGrid w:val="0"/>
                <w:kern w:val="0"/>
                <w:szCs w:val="21"/>
                <w:lang w:eastAsia="en-US"/>
              </w:rPr>
              <w:t>道路工程</w:t>
            </w:r>
          </w:p>
        </w:tc>
        <w:tc>
          <w:tcPr>
            <w:tcW w:w="609" w:type="pct"/>
            <w:tcBorders>
              <w:tl2br w:val="nil"/>
              <w:tr2bl w:val="nil"/>
            </w:tcBorders>
            <w:vAlign w:val="center"/>
          </w:tcPr>
          <w:p w:rsidR="002A5A5E" w:rsidRPr="00F9522B" w:rsidRDefault="00611CBA">
            <w:pPr>
              <w:widowControl/>
              <w:kinsoku w:val="0"/>
              <w:autoSpaceDE w:val="0"/>
              <w:autoSpaceDN w:val="0"/>
              <w:adjustRightInd w:val="0"/>
              <w:snapToGrid w:val="0"/>
              <w:jc w:val="center"/>
              <w:textAlignment w:val="baseline"/>
              <w:rPr>
                <w:rFonts w:eastAsiaTheme="minorEastAsia"/>
                <w:snapToGrid w:val="0"/>
                <w:kern w:val="0"/>
                <w:szCs w:val="21"/>
              </w:rPr>
            </w:pPr>
            <w:r w:rsidRPr="00F9522B">
              <w:rPr>
                <w:rFonts w:eastAsiaTheme="minorEastAsia"/>
                <w:snapToGrid w:val="0"/>
                <w:kern w:val="0"/>
                <w:szCs w:val="21"/>
                <w:lang w:eastAsia="en-US"/>
              </w:rPr>
              <w:t>生产路</w:t>
            </w:r>
            <w:r w:rsidRPr="00F9522B">
              <w:rPr>
                <w:rFonts w:eastAsiaTheme="minorEastAsia"/>
                <w:snapToGrid w:val="0"/>
                <w:kern w:val="0"/>
                <w:szCs w:val="21"/>
                <w:lang w:eastAsia="en-US"/>
              </w:rPr>
              <w:t>-</w:t>
            </w:r>
            <w:r w:rsidR="00B21BDA" w:rsidRPr="00F9522B">
              <w:rPr>
                <w:rFonts w:eastAsiaTheme="minorEastAsia"/>
                <w:snapToGrid w:val="0"/>
                <w:kern w:val="0"/>
                <w:szCs w:val="21"/>
              </w:rPr>
              <w:t>16</w:t>
            </w:r>
          </w:p>
        </w:tc>
        <w:tc>
          <w:tcPr>
            <w:tcW w:w="599" w:type="pct"/>
            <w:tcBorders>
              <w:tl2br w:val="nil"/>
              <w:tr2bl w:val="nil"/>
            </w:tcBorders>
            <w:vAlign w:val="center"/>
          </w:tcPr>
          <w:p w:rsidR="002A5A5E" w:rsidRPr="00F9522B" w:rsidRDefault="00B21BDA">
            <w:pPr>
              <w:widowControl/>
              <w:kinsoku w:val="0"/>
              <w:autoSpaceDE w:val="0"/>
              <w:autoSpaceDN w:val="0"/>
              <w:adjustRightInd w:val="0"/>
              <w:snapToGrid w:val="0"/>
              <w:jc w:val="center"/>
              <w:textAlignment w:val="baseline"/>
              <w:rPr>
                <w:rFonts w:eastAsiaTheme="minorEastAsia"/>
                <w:snapToGrid w:val="0"/>
                <w:kern w:val="0"/>
                <w:szCs w:val="21"/>
                <w:lang w:eastAsia="en-US"/>
              </w:rPr>
            </w:pPr>
            <w:r w:rsidRPr="00F9522B">
              <w:rPr>
                <w:rFonts w:eastAsiaTheme="minorEastAsia"/>
                <w:szCs w:val="21"/>
              </w:rPr>
              <w:t>八里荒</w:t>
            </w:r>
          </w:p>
        </w:tc>
        <w:tc>
          <w:tcPr>
            <w:tcW w:w="411" w:type="pct"/>
            <w:tcBorders>
              <w:tl2br w:val="nil"/>
              <w:tr2bl w:val="nil"/>
            </w:tcBorders>
            <w:vAlign w:val="center"/>
          </w:tcPr>
          <w:p w:rsidR="002A5A5E" w:rsidRPr="00F9522B" w:rsidRDefault="00611CBA">
            <w:pPr>
              <w:widowControl/>
              <w:kinsoku w:val="0"/>
              <w:autoSpaceDE w:val="0"/>
              <w:autoSpaceDN w:val="0"/>
              <w:adjustRightInd w:val="0"/>
              <w:snapToGrid w:val="0"/>
              <w:jc w:val="center"/>
              <w:textAlignment w:val="baseline"/>
              <w:rPr>
                <w:rFonts w:eastAsiaTheme="minorEastAsia"/>
                <w:snapToGrid w:val="0"/>
                <w:kern w:val="0"/>
                <w:szCs w:val="21"/>
              </w:rPr>
            </w:pPr>
            <w:r w:rsidRPr="00F9522B">
              <w:rPr>
                <w:rFonts w:eastAsiaTheme="minorEastAsia"/>
                <w:snapToGrid w:val="0"/>
                <w:kern w:val="0"/>
                <w:szCs w:val="21"/>
              </w:rPr>
              <w:t>5</w:t>
            </w:r>
          </w:p>
        </w:tc>
        <w:tc>
          <w:tcPr>
            <w:tcW w:w="1598" w:type="pct"/>
            <w:vMerge w:val="restart"/>
            <w:tcBorders>
              <w:tl2br w:val="nil"/>
              <w:tr2bl w:val="nil"/>
            </w:tcBorders>
            <w:vAlign w:val="center"/>
          </w:tcPr>
          <w:p w:rsidR="002A5A5E" w:rsidRPr="00F9522B" w:rsidRDefault="00611CBA">
            <w:pPr>
              <w:kinsoku w:val="0"/>
              <w:autoSpaceDE w:val="0"/>
              <w:autoSpaceDN w:val="0"/>
              <w:adjustRightInd w:val="0"/>
              <w:snapToGrid w:val="0"/>
              <w:jc w:val="center"/>
              <w:textAlignment w:val="baseline"/>
              <w:rPr>
                <w:rFonts w:eastAsiaTheme="minorEastAsia"/>
                <w:snapToGrid w:val="0"/>
                <w:kern w:val="0"/>
                <w:szCs w:val="21"/>
              </w:rPr>
            </w:pPr>
            <w:r w:rsidRPr="00F9522B">
              <w:rPr>
                <w:rFonts w:eastAsiaTheme="minorEastAsia"/>
                <w:snapToGrid w:val="0"/>
                <w:spacing w:val="7"/>
                <w:kern w:val="0"/>
                <w:szCs w:val="21"/>
              </w:rPr>
              <w:t>采用低噪声设备，合理安排施工时序，高噪声设备不同时使用，设置双层移动声屏障</w:t>
            </w:r>
          </w:p>
        </w:tc>
        <w:tc>
          <w:tcPr>
            <w:tcW w:w="482" w:type="pct"/>
            <w:tcBorders>
              <w:tl2br w:val="nil"/>
              <w:tr2bl w:val="nil"/>
            </w:tcBorders>
            <w:vAlign w:val="center"/>
          </w:tcPr>
          <w:p w:rsidR="002A5A5E" w:rsidRPr="00F9522B" w:rsidRDefault="00611CBA">
            <w:pPr>
              <w:widowControl/>
              <w:kinsoku w:val="0"/>
              <w:autoSpaceDE w:val="0"/>
              <w:autoSpaceDN w:val="0"/>
              <w:adjustRightInd w:val="0"/>
              <w:snapToGrid w:val="0"/>
              <w:jc w:val="center"/>
              <w:textAlignment w:val="baseline"/>
              <w:rPr>
                <w:rFonts w:eastAsiaTheme="minorEastAsia"/>
                <w:snapToGrid w:val="0"/>
                <w:kern w:val="0"/>
                <w:szCs w:val="21"/>
              </w:rPr>
            </w:pPr>
            <w:r w:rsidRPr="00F9522B">
              <w:rPr>
                <w:rFonts w:eastAsiaTheme="minorEastAsia"/>
                <w:snapToGrid w:val="0"/>
                <w:kern w:val="0"/>
                <w:szCs w:val="21"/>
              </w:rPr>
              <w:t>53.6</w:t>
            </w:r>
          </w:p>
        </w:tc>
        <w:tc>
          <w:tcPr>
            <w:tcW w:w="343" w:type="pct"/>
            <w:tcBorders>
              <w:tl2br w:val="nil"/>
              <w:tr2bl w:val="nil"/>
            </w:tcBorders>
            <w:vAlign w:val="center"/>
          </w:tcPr>
          <w:p w:rsidR="002A5A5E" w:rsidRPr="00F9522B" w:rsidRDefault="00611CBA">
            <w:pPr>
              <w:widowControl/>
              <w:kinsoku w:val="0"/>
              <w:autoSpaceDE w:val="0"/>
              <w:autoSpaceDN w:val="0"/>
              <w:adjustRightInd w:val="0"/>
              <w:snapToGrid w:val="0"/>
              <w:jc w:val="center"/>
              <w:textAlignment w:val="baseline"/>
              <w:rPr>
                <w:rFonts w:eastAsiaTheme="minorEastAsia"/>
                <w:snapToGrid w:val="0"/>
                <w:kern w:val="0"/>
                <w:szCs w:val="21"/>
              </w:rPr>
            </w:pPr>
            <w:r w:rsidRPr="00F9522B">
              <w:rPr>
                <w:rFonts w:eastAsiaTheme="minorEastAsia"/>
                <w:snapToGrid w:val="0"/>
                <w:kern w:val="0"/>
                <w:szCs w:val="21"/>
              </w:rPr>
              <w:t>55</w:t>
            </w:r>
          </w:p>
        </w:tc>
        <w:tc>
          <w:tcPr>
            <w:tcW w:w="300" w:type="pct"/>
            <w:tcBorders>
              <w:tl2br w:val="nil"/>
              <w:tr2bl w:val="nil"/>
            </w:tcBorders>
            <w:vAlign w:val="center"/>
          </w:tcPr>
          <w:p w:rsidR="002A5A5E" w:rsidRPr="00F9522B" w:rsidRDefault="00611CBA">
            <w:pPr>
              <w:widowControl/>
              <w:kinsoku w:val="0"/>
              <w:autoSpaceDE w:val="0"/>
              <w:autoSpaceDN w:val="0"/>
              <w:adjustRightInd w:val="0"/>
              <w:snapToGrid w:val="0"/>
              <w:jc w:val="center"/>
              <w:textAlignment w:val="baseline"/>
              <w:rPr>
                <w:rFonts w:eastAsiaTheme="minorEastAsia"/>
                <w:snapToGrid w:val="0"/>
                <w:kern w:val="0"/>
                <w:szCs w:val="21"/>
                <w:lang w:eastAsia="en-US"/>
              </w:rPr>
            </w:pPr>
            <w:r w:rsidRPr="00F9522B">
              <w:rPr>
                <w:rFonts w:eastAsiaTheme="minorEastAsia"/>
                <w:snapToGrid w:val="0"/>
                <w:spacing w:val="5"/>
                <w:kern w:val="0"/>
                <w:szCs w:val="21"/>
                <w:lang w:eastAsia="en-US"/>
              </w:rPr>
              <w:t>达标</w:t>
            </w:r>
          </w:p>
        </w:tc>
      </w:tr>
      <w:tr w:rsidR="002A5A5E" w:rsidRPr="00F9522B">
        <w:trPr>
          <w:trHeight w:val="297"/>
        </w:trPr>
        <w:tc>
          <w:tcPr>
            <w:tcW w:w="658" w:type="pct"/>
            <w:vMerge/>
            <w:tcBorders>
              <w:tl2br w:val="nil"/>
              <w:tr2bl w:val="nil"/>
            </w:tcBorders>
            <w:vAlign w:val="center"/>
          </w:tcPr>
          <w:p w:rsidR="002A5A5E" w:rsidRPr="00F9522B" w:rsidRDefault="002A5A5E">
            <w:pPr>
              <w:widowControl/>
              <w:kinsoku w:val="0"/>
              <w:autoSpaceDE w:val="0"/>
              <w:autoSpaceDN w:val="0"/>
              <w:adjustRightInd w:val="0"/>
              <w:snapToGrid w:val="0"/>
              <w:jc w:val="center"/>
              <w:textAlignment w:val="baseline"/>
              <w:rPr>
                <w:rFonts w:eastAsiaTheme="minorEastAsia"/>
                <w:snapToGrid w:val="0"/>
                <w:kern w:val="0"/>
                <w:szCs w:val="21"/>
                <w:lang w:eastAsia="en-US"/>
              </w:rPr>
            </w:pPr>
          </w:p>
        </w:tc>
        <w:tc>
          <w:tcPr>
            <w:tcW w:w="609" w:type="pct"/>
            <w:tcBorders>
              <w:tl2br w:val="nil"/>
              <w:tr2bl w:val="nil"/>
            </w:tcBorders>
            <w:vAlign w:val="center"/>
          </w:tcPr>
          <w:p w:rsidR="002A5A5E" w:rsidRPr="00F9522B" w:rsidRDefault="00611CBA">
            <w:pPr>
              <w:widowControl/>
              <w:kinsoku w:val="0"/>
              <w:autoSpaceDE w:val="0"/>
              <w:autoSpaceDN w:val="0"/>
              <w:adjustRightInd w:val="0"/>
              <w:snapToGrid w:val="0"/>
              <w:jc w:val="center"/>
              <w:textAlignment w:val="baseline"/>
              <w:rPr>
                <w:rFonts w:eastAsiaTheme="minorEastAsia"/>
                <w:snapToGrid w:val="0"/>
                <w:kern w:val="0"/>
                <w:szCs w:val="21"/>
              </w:rPr>
            </w:pPr>
            <w:r w:rsidRPr="00F9522B">
              <w:rPr>
                <w:rFonts w:eastAsiaTheme="minorEastAsia"/>
                <w:snapToGrid w:val="0"/>
                <w:kern w:val="0"/>
                <w:szCs w:val="21"/>
                <w:lang w:eastAsia="en-US"/>
              </w:rPr>
              <w:t>机耕路</w:t>
            </w:r>
            <w:r w:rsidRPr="00F9522B">
              <w:rPr>
                <w:rFonts w:eastAsiaTheme="minorEastAsia"/>
                <w:snapToGrid w:val="0"/>
                <w:kern w:val="0"/>
                <w:szCs w:val="21"/>
              </w:rPr>
              <w:t>-</w:t>
            </w:r>
            <w:r w:rsidR="00B21BDA" w:rsidRPr="00F9522B">
              <w:rPr>
                <w:rFonts w:eastAsiaTheme="minorEastAsia"/>
                <w:snapToGrid w:val="0"/>
                <w:kern w:val="0"/>
                <w:szCs w:val="21"/>
              </w:rPr>
              <w:t>1</w:t>
            </w:r>
          </w:p>
        </w:tc>
        <w:tc>
          <w:tcPr>
            <w:tcW w:w="599" w:type="pct"/>
            <w:tcBorders>
              <w:tl2br w:val="nil"/>
              <w:tr2bl w:val="nil"/>
            </w:tcBorders>
            <w:vAlign w:val="center"/>
          </w:tcPr>
          <w:p w:rsidR="002A5A5E" w:rsidRPr="00F9522B" w:rsidRDefault="00B21BDA">
            <w:pPr>
              <w:widowControl/>
              <w:kinsoku w:val="0"/>
              <w:autoSpaceDE w:val="0"/>
              <w:autoSpaceDN w:val="0"/>
              <w:adjustRightInd w:val="0"/>
              <w:snapToGrid w:val="0"/>
              <w:jc w:val="center"/>
              <w:textAlignment w:val="baseline"/>
              <w:rPr>
                <w:rFonts w:eastAsiaTheme="minorEastAsia"/>
                <w:snapToGrid w:val="0"/>
                <w:kern w:val="0"/>
                <w:szCs w:val="21"/>
              </w:rPr>
            </w:pPr>
            <w:r w:rsidRPr="00F9522B">
              <w:rPr>
                <w:rFonts w:eastAsiaTheme="minorEastAsia"/>
                <w:szCs w:val="21"/>
              </w:rPr>
              <w:t>榆树村</w:t>
            </w:r>
          </w:p>
        </w:tc>
        <w:tc>
          <w:tcPr>
            <w:tcW w:w="411" w:type="pct"/>
            <w:tcBorders>
              <w:tl2br w:val="nil"/>
              <w:tr2bl w:val="nil"/>
            </w:tcBorders>
            <w:vAlign w:val="center"/>
          </w:tcPr>
          <w:p w:rsidR="002A5A5E" w:rsidRPr="00F9522B" w:rsidRDefault="00611CBA">
            <w:pPr>
              <w:widowControl/>
              <w:kinsoku w:val="0"/>
              <w:autoSpaceDE w:val="0"/>
              <w:autoSpaceDN w:val="0"/>
              <w:adjustRightInd w:val="0"/>
              <w:snapToGrid w:val="0"/>
              <w:jc w:val="center"/>
              <w:textAlignment w:val="baseline"/>
              <w:rPr>
                <w:rFonts w:eastAsiaTheme="minorEastAsia"/>
                <w:snapToGrid w:val="0"/>
                <w:kern w:val="0"/>
                <w:szCs w:val="21"/>
              </w:rPr>
            </w:pPr>
            <w:r w:rsidRPr="00F9522B">
              <w:rPr>
                <w:rFonts w:eastAsiaTheme="minorEastAsia"/>
                <w:snapToGrid w:val="0"/>
                <w:kern w:val="0"/>
                <w:szCs w:val="21"/>
              </w:rPr>
              <w:t>5</w:t>
            </w:r>
          </w:p>
        </w:tc>
        <w:tc>
          <w:tcPr>
            <w:tcW w:w="1598" w:type="pct"/>
            <w:vMerge/>
            <w:tcBorders>
              <w:tl2br w:val="nil"/>
              <w:tr2bl w:val="nil"/>
            </w:tcBorders>
            <w:vAlign w:val="center"/>
          </w:tcPr>
          <w:p w:rsidR="002A5A5E" w:rsidRPr="00F9522B" w:rsidRDefault="002A5A5E">
            <w:pPr>
              <w:widowControl/>
              <w:kinsoku w:val="0"/>
              <w:autoSpaceDE w:val="0"/>
              <w:autoSpaceDN w:val="0"/>
              <w:adjustRightInd w:val="0"/>
              <w:snapToGrid w:val="0"/>
              <w:jc w:val="center"/>
              <w:textAlignment w:val="baseline"/>
              <w:rPr>
                <w:rFonts w:eastAsiaTheme="minorEastAsia"/>
                <w:snapToGrid w:val="0"/>
                <w:kern w:val="0"/>
                <w:szCs w:val="21"/>
              </w:rPr>
            </w:pPr>
          </w:p>
        </w:tc>
        <w:tc>
          <w:tcPr>
            <w:tcW w:w="482" w:type="pct"/>
            <w:tcBorders>
              <w:tl2br w:val="nil"/>
              <w:tr2bl w:val="nil"/>
            </w:tcBorders>
            <w:vAlign w:val="center"/>
          </w:tcPr>
          <w:p w:rsidR="002A5A5E" w:rsidRPr="00F9522B" w:rsidRDefault="00611CBA">
            <w:pPr>
              <w:widowControl/>
              <w:kinsoku w:val="0"/>
              <w:autoSpaceDE w:val="0"/>
              <w:autoSpaceDN w:val="0"/>
              <w:adjustRightInd w:val="0"/>
              <w:snapToGrid w:val="0"/>
              <w:jc w:val="center"/>
              <w:textAlignment w:val="baseline"/>
              <w:rPr>
                <w:rFonts w:eastAsiaTheme="minorEastAsia"/>
                <w:snapToGrid w:val="0"/>
                <w:kern w:val="0"/>
                <w:szCs w:val="21"/>
              </w:rPr>
            </w:pPr>
            <w:r w:rsidRPr="00F9522B">
              <w:rPr>
                <w:rFonts w:eastAsiaTheme="minorEastAsia"/>
                <w:snapToGrid w:val="0"/>
                <w:kern w:val="0"/>
                <w:szCs w:val="21"/>
              </w:rPr>
              <w:t>53.6</w:t>
            </w:r>
          </w:p>
        </w:tc>
        <w:tc>
          <w:tcPr>
            <w:tcW w:w="343" w:type="pct"/>
            <w:tcBorders>
              <w:tl2br w:val="nil"/>
              <w:tr2bl w:val="nil"/>
            </w:tcBorders>
            <w:vAlign w:val="center"/>
          </w:tcPr>
          <w:p w:rsidR="002A5A5E" w:rsidRPr="00F9522B" w:rsidRDefault="00611CBA">
            <w:pPr>
              <w:widowControl/>
              <w:kinsoku w:val="0"/>
              <w:autoSpaceDE w:val="0"/>
              <w:autoSpaceDN w:val="0"/>
              <w:adjustRightInd w:val="0"/>
              <w:snapToGrid w:val="0"/>
              <w:jc w:val="center"/>
              <w:textAlignment w:val="baseline"/>
              <w:rPr>
                <w:rFonts w:eastAsiaTheme="minorEastAsia"/>
                <w:snapToGrid w:val="0"/>
                <w:kern w:val="0"/>
                <w:szCs w:val="21"/>
              </w:rPr>
            </w:pPr>
            <w:r w:rsidRPr="00F9522B">
              <w:rPr>
                <w:rFonts w:eastAsiaTheme="minorEastAsia"/>
                <w:snapToGrid w:val="0"/>
                <w:kern w:val="0"/>
                <w:szCs w:val="21"/>
              </w:rPr>
              <w:t>55</w:t>
            </w:r>
          </w:p>
        </w:tc>
        <w:tc>
          <w:tcPr>
            <w:tcW w:w="300" w:type="pct"/>
            <w:tcBorders>
              <w:tl2br w:val="nil"/>
              <w:tr2bl w:val="nil"/>
            </w:tcBorders>
            <w:vAlign w:val="center"/>
          </w:tcPr>
          <w:p w:rsidR="002A5A5E" w:rsidRPr="00F9522B" w:rsidRDefault="00611CBA">
            <w:pPr>
              <w:widowControl/>
              <w:kinsoku w:val="0"/>
              <w:autoSpaceDE w:val="0"/>
              <w:autoSpaceDN w:val="0"/>
              <w:adjustRightInd w:val="0"/>
              <w:snapToGrid w:val="0"/>
              <w:jc w:val="center"/>
              <w:textAlignment w:val="baseline"/>
              <w:rPr>
                <w:rFonts w:eastAsiaTheme="minorEastAsia"/>
                <w:snapToGrid w:val="0"/>
                <w:kern w:val="0"/>
                <w:szCs w:val="21"/>
                <w:lang w:eastAsia="en-US"/>
              </w:rPr>
            </w:pPr>
            <w:r w:rsidRPr="00F9522B">
              <w:rPr>
                <w:rFonts w:eastAsiaTheme="minorEastAsia"/>
                <w:snapToGrid w:val="0"/>
                <w:spacing w:val="5"/>
                <w:kern w:val="0"/>
                <w:szCs w:val="21"/>
                <w:lang w:eastAsia="en-US"/>
              </w:rPr>
              <w:t>达标</w:t>
            </w:r>
          </w:p>
        </w:tc>
      </w:tr>
    </w:tbl>
    <w:p w:rsidR="00B21BDA" w:rsidRPr="00F9522B" w:rsidRDefault="00611CBA">
      <w:pPr>
        <w:spacing w:line="360" w:lineRule="auto"/>
        <w:ind w:firstLineChars="200" w:firstLine="460"/>
        <w:rPr>
          <w:rFonts w:eastAsiaTheme="minorEastAsia"/>
          <w:sz w:val="24"/>
          <w:szCs w:val="21"/>
        </w:rPr>
      </w:pPr>
      <w:r w:rsidRPr="00F9522B">
        <w:rPr>
          <w:rFonts w:eastAsiaTheme="minorEastAsia"/>
          <w:spacing w:val="-5"/>
          <w:sz w:val="24"/>
        </w:rPr>
        <w:t>预测结果表明，</w:t>
      </w:r>
      <w:r w:rsidRPr="00F9522B">
        <w:rPr>
          <w:rFonts w:eastAsiaTheme="minorEastAsia"/>
          <w:sz w:val="24"/>
          <w:szCs w:val="21"/>
        </w:rPr>
        <w:t>采取以上措施后本项目施工期间产生的噪声不会对周围环境造成明显影响，场界声环境可满足《建筑施工噪声排放标准》（</w:t>
      </w:r>
      <w:r w:rsidRPr="00F9522B">
        <w:rPr>
          <w:rFonts w:eastAsiaTheme="minorEastAsia"/>
          <w:sz w:val="24"/>
          <w:szCs w:val="21"/>
        </w:rPr>
        <w:t>GB12523-2025</w:t>
      </w:r>
      <w:r w:rsidRPr="00F9522B">
        <w:rPr>
          <w:rFonts w:eastAsiaTheme="minorEastAsia"/>
          <w:sz w:val="24"/>
          <w:szCs w:val="21"/>
        </w:rPr>
        <w:t>）要求。</w:t>
      </w:r>
    </w:p>
    <w:p w:rsidR="002A5A5E" w:rsidRPr="00F9522B" w:rsidRDefault="00611CBA">
      <w:pPr>
        <w:spacing w:line="360" w:lineRule="auto"/>
        <w:ind w:firstLineChars="200" w:firstLine="480"/>
        <w:rPr>
          <w:rFonts w:eastAsiaTheme="minorEastAsia"/>
          <w:sz w:val="24"/>
          <w:szCs w:val="21"/>
        </w:rPr>
      </w:pPr>
      <w:r w:rsidRPr="00F9522B">
        <w:rPr>
          <w:rFonts w:eastAsiaTheme="minorEastAsia"/>
          <w:sz w:val="24"/>
          <w:szCs w:val="21"/>
        </w:rPr>
        <w:t>施工期沿线敏感目标声环境能够满足《声环境质量标准》（</w:t>
      </w:r>
      <w:r w:rsidRPr="00F9522B">
        <w:rPr>
          <w:rFonts w:eastAsiaTheme="minorEastAsia"/>
          <w:sz w:val="24"/>
          <w:szCs w:val="21"/>
        </w:rPr>
        <w:t>GB3096-2008</w:t>
      </w:r>
      <w:r w:rsidRPr="00F9522B">
        <w:rPr>
          <w:rFonts w:eastAsiaTheme="minorEastAsia"/>
          <w:sz w:val="24"/>
          <w:szCs w:val="21"/>
        </w:rPr>
        <w:t>）中</w:t>
      </w:r>
      <w:r w:rsidRPr="00F9522B">
        <w:rPr>
          <w:rFonts w:eastAsiaTheme="minorEastAsia"/>
          <w:sz w:val="24"/>
          <w:szCs w:val="21"/>
        </w:rPr>
        <w:t>1</w:t>
      </w:r>
      <w:r w:rsidRPr="00F9522B">
        <w:rPr>
          <w:rFonts w:eastAsiaTheme="minorEastAsia"/>
          <w:sz w:val="24"/>
          <w:szCs w:val="21"/>
        </w:rPr>
        <w:t>类标准。对区域声环境不会产生显著性不良影响。在实际施工过程中施工机械一般为间歇性使用，例如挖掘机仅在前期土石方开挖时使用，因此不会出现以上所有施工机械持续性的运行而造成强烈的噪声影响的情况。为减免噪声对声环境保护目标的影响，建议工程穿过居民区及距离居民区较近的作业段应合理安排作业时间，加强施工交通运输管理，因地制宜，采取不同的降噪措施，减缓噪声对敏感目标的影响。随着工程竣工，施工噪声的影响将不再存在，施工噪声对环境的不利影响是暂时的、短期的行为。加强施工期环境噪声监测。</w:t>
      </w:r>
    </w:p>
    <w:p w:rsidR="002A5A5E" w:rsidRPr="00F9522B" w:rsidRDefault="00611CBA">
      <w:pPr>
        <w:autoSpaceDE w:val="0"/>
        <w:autoSpaceDN w:val="0"/>
        <w:spacing w:before="100" w:beforeAutospacing="1" w:after="100" w:afterAutospacing="1"/>
        <w:jc w:val="left"/>
        <w:outlineLvl w:val="2"/>
        <w:rPr>
          <w:rFonts w:eastAsiaTheme="minorEastAsia"/>
          <w:b/>
          <w:sz w:val="28"/>
          <w:szCs w:val="28"/>
        </w:rPr>
      </w:pPr>
      <w:r w:rsidRPr="00F9522B">
        <w:rPr>
          <w:rFonts w:eastAsiaTheme="minorEastAsia"/>
          <w:b/>
          <w:sz w:val="28"/>
          <w:szCs w:val="28"/>
        </w:rPr>
        <w:t>5.1.4</w:t>
      </w:r>
      <w:r w:rsidRPr="00F9522B">
        <w:rPr>
          <w:rFonts w:eastAsiaTheme="minorEastAsia"/>
          <w:b/>
          <w:sz w:val="28"/>
          <w:szCs w:val="28"/>
        </w:rPr>
        <w:t>固体废物环境影响评价</w:t>
      </w:r>
    </w:p>
    <w:p w:rsidR="002A5A5E" w:rsidRPr="00F9522B" w:rsidRDefault="00611CBA">
      <w:pPr>
        <w:spacing w:line="360" w:lineRule="auto"/>
        <w:ind w:firstLineChars="200" w:firstLine="464"/>
        <w:rPr>
          <w:rFonts w:eastAsiaTheme="minorEastAsia"/>
          <w:spacing w:val="-4"/>
          <w:sz w:val="24"/>
          <w:szCs w:val="21"/>
        </w:rPr>
      </w:pPr>
      <w:r w:rsidRPr="00F9522B">
        <w:rPr>
          <w:rFonts w:eastAsiaTheme="minorEastAsia"/>
          <w:spacing w:val="-4"/>
          <w:sz w:val="24"/>
          <w:szCs w:val="21"/>
        </w:rPr>
        <w:t>施工期固体废物主要包括建筑垃圾、施工弃土、生活垃圾、淤泥、废肥料包装袋。</w:t>
      </w:r>
    </w:p>
    <w:p w:rsidR="002A5A5E" w:rsidRPr="00F9522B" w:rsidRDefault="00611CBA">
      <w:pPr>
        <w:spacing w:line="360" w:lineRule="auto"/>
        <w:ind w:firstLineChars="200" w:firstLine="464"/>
        <w:rPr>
          <w:rFonts w:eastAsiaTheme="minorEastAsia"/>
          <w:spacing w:val="-4"/>
          <w:sz w:val="24"/>
          <w:szCs w:val="21"/>
        </w:rPr>
      </w:pPr>
      <w:r w:rsidRPr="00F9522B">
        <w:rPr>
          <w:rFonts w:ascii="宋体" w:hAnsi="宋体" w:cs="宋体" w:hint="eastAsia"/>
          <w:spacing w:val="-4"/>
          <w:sz w:val="24"/>
          <w:szCs w:val="21"/>
        </w:rPr>
        <w:t>①</w:t>
      </w:r>
      <w:r w:rsidRPr="00F9522B">
        <w:rPr>
          <w:rFonts w:eastAsiaTheme="minorEastAsia"/>
          <w:spacing w:val="-4"/>
          <w:sz w:val="24"/>
          <w:szCs w:val="21"/>
        </w:rPr>
        <w:t>建筑垃圾有废建材、包装袋等。对可再利用的建筑废料，进行回收利用，以节省资源。最大程度减小对环境的影响。建筑垃圾大部分用于田块整治工程，剩余及时送至建材公司回用。</w:t>
      </w:r>
    </w:p>
    <w:p w:rsidR="002A5A5E" w:rsidRPr="00F9522B" w:rsidRDefault="005273A1" w:rsidP="00611CBA">
      <w:pPr>
        <w:widowControl/>
        <w:spacing w:line="360" w:lineRule="auto"/>
        <w:ind w:firstLineChars="200" w:firstLine="480"/>
        <w:rPr>
          <w:rFonts w:eastAsiaTheme="minorEastAsia"/>
          <w:sz w:val="24"/>
        </w:rPr>
      </w:pPr>
      <w:r w:rsidRPr="00F9522B">
        <w:rPr>
          <w:rFonts w:eastAsiaTheme="minorEastAsia"/>
          <w:spacing w:val="-4"/>
          <w:sz w:val="24"/>
          <w:szCs w:val="21"/>
        </w:rPr>
        <w:lastRenderedPageBreak/>
        <w:fldChar w:fldCharType="begin"/>
      </w:r>
      <w:r w:rsidR="00611CBA" w:rsidRPr="00F9522B">
        <w:rPr>
          <w:rFonts w:eastAsiaTheme="minorEastAsia"/>
          <w:spacing w:val="-4"/>
          <w:sz w:val="24"/>
          <w:szCs w:val="21"/>
        </w:rPr>
        <w:instrText xml:space="preserve"> = 2 \* GB3 </w:instrText>
      </w:r>
      <w:r w:rsidRPr="00F9522B">
        <w:rPr>
          <w:rFonts w:eastAsiaTheme="minorEastAsia"/>
          <w:spacing w:val="-4"/>
          <w:sz w:val="24"/>
          <w:szCs w:val="21"/>
        </w:rPr>
        <w:fldChar w:fldCharType="separate"/>
      </w:r>
      <w:r w:rsidR="00611CBA" w:rsidRPr="00F9522B">
        <w:rPr>
          <w:rFonts w:ascii="宋体" w:hAnsi="宋体" w:cs="宋体" w:hint="eastAsia"/>
          <w:spacing w:val="-4"/>
          <w:sz w:val="24"/>
          <w:szCs w:val="21"/>
        </w:rPr>
        <w:t>②</w:t>
      </w:r>
      <w:r w:rsidRPr="00F9522B">
        <w:rPr>
          <w:rFonts w:eastAsiaTheme="minorEastAsia"/>
          <w:spacing w:val="-4"/>
          <w:sz w:val="24"/>
          <w:szCs w:val="21"/>
        </w:rPr>
        <w:fldChar w:fldCharType="end"/>
      </w:r>
      <w:r w:rsidR="00611CBA" w:rsidRPr="00F9522B">
        <w:rPr>
          <w:rFonts w:eastAsiaTheme="minorEastAsia"/>
          <w:sz w:val="24"/>
          <w:szCs w:val="22"/>
        </w:rPr>
        <w:t>本项目</w:t>
      </w:r>
      <w:r w:rsidR="00DE2B0A" w:rsidRPr="00F9522B">
        <w:rPr>
          <w:rFonts w:eastAsiaTheme="minorEastAsia"/>
          <w:bCs/>
          <w:sz w:val="24"/>
          <w:szCs w:val="22"/>
        </w:rPr>
        <w:t>单井泥浆最大产生量</w:t>
      </w:r>
      <w:r w:rsidR="00DE2B0A" w:rsidRPr="00F9522B">
        <w:rPr>
          <w:rFonts w:eastAsiaTheme="minorEastAsia"/>
          <w:bCs/>
          <w:sz w:val="24"/>
          <w:szCs w:val="22"/>
        </w:rPr>
        <w:t>16m</w:t>
      </w:r>
      <w:r w:rsidR="00DE2B0A" w:rsidRPr="00F9522B">
        <w:rPr>
          <w:rFonts w:eastAsiaTheme="minorEastAsia"/>
          <w:bCs/>
          <w:sz w:val="24"/>
          <w:szCs w:val="22"/>
          <w:vertAlign w:val="superscript"/>
        </w:rPr>
        <w:t>3</w:t>
      </w:r>
      <w:r w:rsidR="00611CBA" w:rsidRPr="00F9522B">
        <w:rPr>
          <w:rFonts w:eastAsiaTheme="minorEastAsia"/>
          <w:bCs/>
          <w:sz w:val="24"/>
          <w:szCs w:val="22"/>
        </w:rPr>
        <w:t>，</w:t>
      </w:r>
      <w:r w:rsidR="00611CBA" w:rsidRPr="00F9522B">
        <w:rPr>
          <w:rFonts w:eastAsiaTheme="minorEastAsia"/>
          <w:sz w:val="24"/>
          <w:szCs w:val="22"/>
        </w:rPr>
        <w:t>钻井泥浆可循环利用，废泥浆</w:t>
      </w:r>
      <w:r w:rsidR="00611CBA" w:rsidRPr="00F9522B">
        <w:rPr>
          <w:rFonts w:eastAsiaTheme="minorEastAsia"/>
          <w:sz w:val="24"/>
        </w:rPr>
        <w:t>暂存于施工场地</w:t>
      </w:r>
      <w:r w:rsidR="0009673A" w:rsidRPr="00F9522B">
        <w:rPr>
          <w:rFonts w:eastAsiaTheme="minorEastAsia"/>
          <w:sz w:val="24"/>
        </w:rPr>
        <w:t>5</w:t>
      </w:r>
      <w:r w:rsidR="0009673A" w:rsidRPr="00F9522B">
        <w:rPr>
          <w:rFonts w:eastAsiaTheme="minorEastAsia"/>
          <w:sz w:val="24"/>
        </w:rPr>
        <w:t>个</w:t>
      </w:r>
      <w:r w:rsidR="0009673A" w:rsidRPr="00F9522B">
        <w:rPr>
          <w:rFonts w:eastAsiaTheme="minorEastAsia"/>
          <w:sz w:val="24"/>
        </w:rPr>
        <w:t>2</w:t>
      </w:r>
      <w:r w:rsidR="00611CBA" w:rsidRPr="00F9522B">
        <w:rPr>
          <w:rFonts w:eastAsiaTheme="minorEastAsia"/>
          <w:sz w:val="24"/>
        </w:rPr>
        <w:t>0</w:t>
      </w:r>
      <w:r w:rsidR="00611CBA" w:rsidRPr="00F9522B">
        <w:rPr>
          <w:rFonts w:eastAsiaTheme="minorEastAsia"/>
          <w:sz w:val="24"/>
          <w:szCs w:val="22"/>
        </w:rPr>
        <w:t>m</w:t>
      </w:r>
      <w:r w:rsidR="00611CBA" w:rsidRPr="00F9522B">
        <w:rPr>
          <w:rFonts w:eastAsiaTheme="minorEastAsia"/>
          <w:sz w:val="24"/>
          <w:szCs w:val="22"/>
          <w:vertAlign w:val="superscript"/>
        </w:rPr>
        <w:t>3</w:t>
      </w:r>
      <w:r w:rsidR="00611CBA" w:rsidRPr="00F9522B">
        <w:rPr>
          <w:rFonts w:eastAsiaTheme="minorEastAsia"/>
          <w:sz w:val="24"/>
        </w:rPr>
        <w:t>移动式不锈钢沉淀池内，沉淀后上层清水用于洒水降尘，下层钻井</w:t>
      </w:r>
      <w:r w:rsidR="00611CBA" w:rsidRPr="00F9522B">
        <w:rPr>
          <w:rFonts w:eastAsiaTheme="minorEastAsia"/>
          <w:bCs/>
          <w:sz w:val="24"/>
          <w:szCs w:val="22"/>
        </w:rPr>
        <w:t>泥浆自然干化后用于周围道路平整</w:t>
      </w:r>
      <w:r w:rsidR="00611CBA" w:rsidRPr="00F9522B">
        <w:rPr>
          <w:rFonts w:eastAsiaTheme="minorEastAsia"/>
          <w:spacing w:val="-4"/>
          <w:sz w:val="24"/>
          <w:szCs w:val="21"/>
        </w:rPr>
        <w:t>。表土用于临时工程土地恢复及田块整治工程，土方能回填的及时回填。</w:t>
      </w:r>
    </w:p>
    <w:p w:rsidR="002A5A5E" w:rsidRPr="00F9522B" w:rsidRDefault="005273A1" w:rsidP="00611CBA">
      <w:pPr>
        <w:spacing w:line="360" w:lineRule="auto"/>
        <w:ind w:firstLineChars="200" w:firstLine="480"/>
        <w:rPr>
          <w:rFonts w:eastAsiaTheme="minorEastAsia"/>
          <w:spacing w:val="-4"/>
          <w:sz w:val="24"/>
          <w:szCs w:val="21"/>
        </w:rPr>
      </w:pPr>
      <w:r w:rsidRPr="00F9522B">
        <w:rPr>
          <w:rFonts w:eastAsiaTheme="minorEastAsia"/>
          <w:spacing w:val="-4"/>
          <w:sz w:val="24"/>
          <w:szCs w:val="21"/>
        </w:rPr>
        <w:fldChar w:fldCharType="begin"/>
      </w:r>
      <w:r w:rsidR="00611CBA" w:rsidRPr="00F9522B">
        <w:rPr>
          <w:rFonts w:eastAsiaTheme="minorEastAsia"/>
          <w:spacing w:val="-4"/>
          <w:sz w:val="24"/>
          <w:szCs w:val="21"/>
        </w:rPr>
        <w:instrText xml:space="preserve"> = 3 \* GB3 </w:instrText>
      </w:r>
      <w:r w:rsidRPr="00F9522B">
        <w:rPr>
          <w:rFonts w:eastAsiaTheme="minorEastAsia"/>
          <w:spacing w:val="-4"/>
          <w:sz w:val="24"/>
          <w:szCs w:val="21"/>
        </w:rPr>
        <w:fldChar w:fldCharType="separate"/>
      </w:r>
      <w:r w:rsidR="00611CBA" w:rsidRPr="00F9522B">
        <w:rPr>
          <w:rFonts w:ascii="宋体" w:hAnsi="宋体" w:cs="宋体" w:hint="eastAsia"/>
          <w:spacing w:val="-4"/>
          <w:sz w:val="24"/>
          <w:szCs w:val="21"/>
        </w:rPr>
        <w:t>③</w:t>
      </w:r>
      <w:r w:rsidRPr="00F9522B">
        <w:rPr>
          <w:rFonts w:eastAsiaTheme="minorEastAsia"/>
          <w:spacing w:val="-4"/>
          <w:sz w:val="24"/>
          <w:szCs w:val="21"/>
        </w:rPr>
        <w:fldChar w:fldCharType="end"/>
      </w:r>
      <w:r w:rsidR="00611CBA" w:rsidRPr="00F9522B">
        <w:rPr>
          <w:rFonts w:eastAsiaTheme="minorEastAsia"/>
          <w:spacing w:val="-4"/>
          <w:sz w:val="24"/>
          <w:szCs w:val="21"/>
        </w:rPr>
        <w:t>施工人员产生的生活垃圾集中收集后由市政环卫部门统一清运处置。</w:t>
      </w:r>
    </w:p>
    <w:p w:rsidR="002A5A5E" w:rsidRPr="00F9522B" w:rsidRDefault="005273A1">
      <w:pPr>
        <w:spacing w:line="360" w:lineRule="auto"/>
        <w:ind w:firstLineChars="200" w:firstLine="480"/>
        <w:rPr>
          <w:rFonts w:eastAsiaTheme="minorEastAsia"/>
          <w:bCs/>
          <w:color w:val="FF0000"/>
          <w:sz w:val="24"/>
        </w:rPr>
      </w:pPr>
      <w:r w:rsidRPr="00730492">
        <w:rPr>
          <w:rFonts w:eastAsiaTheme="minorEastAsia"/>
          <w:bCs/>
          <w:color w:val="FF0000"/>
          <w:sz w:val="24"/>
        </w:rPr>
        <w:fldChar w:fldCharType="begin"/>
      </w:r>
      <w:r w:rsidR="00611CBA" w:rsidRPr="00730492">
        <w:rPr>
          <w:rFonts w:eastAsiaTheme="minorEastAsia"/>
          <w:bCs/>
          <w:color w:val="FF0000"/>
          <w:sz w:val="24"/>
        </w:rPr>
        <w:instrText xml:space="preserve"> = 4 \* GB3 </w:instrText>
      </w:r>
      <w:r w:rsidRPr="00730492">
        <w:rPr>
          <w:rFonts w:eastAsiaTheme="minorEastAsia"/>
          <w:bCs/>
          <w:color w:val="FF0000"/>
          <w:sz w:val="24"/>
        </w:rPr>
        <w:fldChar w:fldCharType="separate"/>
      </w:r>
      <w:r w:rsidR="00611CBA" w:rsidRPr="00730492">
        <w:rPr>
          <w:rFonts w:ascii="宋体" w:hAnsi="宋体" w:cs="宋体" w:hint="eastAsia"/>
          <w:bCs/>
          <w:color w:val="FF0000"/>
          <w:sz w:val="24"/>
        </w:rPr>
        <w:t>④</w:t>
      </w:r>
      <w:r w:rsidRPr="00730492">
        <w:rPr>
          <w:rFonts w:eastAsiaTheme="minorEastAsia"/>
          <w:bCs/>
          <w:color w:val="FF0000"/>
          <w:sz w:val="24"/>
        </w:rPr>
        <w:fldChar w:fldCharType="end"/>
      </w:r>
      <w:r w:rsidR="00611CBA" w:rsidRPr="00730492">
        <w:rPr>
          <w:rFonts w:eastAsiaTheme="minorEastAsia"/>
          <w:color w:val="FF0000"/>
          <w:sz w:val="24"/>
        </w:rPr>
        <w:t>依据哈尔滨新巨环保科技有限公司</w:t>
      </w:r>
      <w:r w:rsidR="00B75CB4" w:rsidRPr="00730492">
        <w:rPr>
          <w:rFonts w:eastAsiaTheme="minorEastAsia"/>
          <w:color w:val="FF0000"/>
          <w:sz w:val="24"/>
        </w:rPr>
        <w:t>2026</w:t>
      </w:r>
      <w:r w:rsidR="00611CBA" w:rsidRPr="00730492">
        <w:rPr>
          <w:rFonts w:eastAsiaTheme="minorEastAsia"/>
          <w:color w:val="FF0000"/>
          <w:sz w:val="24"/>
        </w:rPr>
        <w:t>年</w:t>
      </w:r>
      <w:r w:rsidR="00B75CB4" w:rsidRPr="00730492">
        <w:rPr>
          <w:rFonts w:eastAsiaTheme="minorEastAsia"/>
          <w:color w:val="FF0000"/>
          <w:sz w:val="24"/>
        </w:rPr>
        <w:t>6</w:t>
      </w:r>
      <w:r w:rsidR="00611CBA" w:rsidRPr="00730492">
        <w:rPr>
          <w:rFonts w:eastAsiaTheme="minorEastAsia"/>
          <w:color w:val="FF0000"/>
          <w:sz w:val="24"/>
        </w:rPr>
        <w:t>月</w:t>
      </w:r>
      <w:r w:rsidR="00B75CB4" w:rsidRPr="00730492">
        <w:rPr>
          <w:rFonts w:eastAsiaTheme="minorEastAsia"/>
          <w:color w:val="FF0000"/>
          <w:sz w:val="24"/>
        </w:rPr>
        <w:t>1</w:t>
      </w:r>
      <w:r w:rsidR="00611CBA" w:rsidRPr="00730492">
        <w:rPr>
          <w:rFonts w:eastAsiaTheme="minorEastAsia"/>
          <w:color w:val="FF0000"/>
          <w:sz w:val="24"/>
        </w:rPr>
        <w:t>日对本项目排水沟底泥现状检测报告可知，本项目排水沟底泥检测样品无重金属污染，</w:t>
      </w:r>
      <w:r w:rsidR="00EE6E53" w:rsidRPr="00730492">
        <w:rPr>
          <w:rFonts w:eastAsiaTheme="minorEastAsia"/>
          <w:color w:val="FF0000"/>
          <w:kern w:val="10"/>
          <w:sz w:val="24"/>
          <w:szCs w:val="22"/>
        </w:rPr>
        <w:t>《土壤环境质量农用地土壤污染风险管控标准（试行）》（</w:t>
      </w:r>
      <w:r w:rsidR="00EE6E53" w:rsidRPr="00730492">
        <w:rPr>
          <w:rFonts w:eastAsiaTheme="minorEastAsia"/>
          <w:color w:val="FF0000"/>
          <w:kern w:val="10"/>
          <w:sz w:val="24"/>
          <w:szCs w:val="22"/>
        </w:rPr>
        <w:t>GB15618-2018</w:t>
      </w:r>
      <w:r w:rsidR="00EE6E53" w:rsidRPr="00730492">
        <w:rPr>
          <w:rFonts w:eastAsiaTheme="minorEastAsia"/>
          <w:color w:val="FF0000"/>
          <w:kern w:val="10"/>
          <w:sz w:val="24"/>
          <w:szCs w:val="22"/>
        </w:rPr>
        <w:t>）表</w:t>
      </w:r>
      <w:r w:rsidR="00EE6E53" w:rsidRPr="00730492">
        <w:rPr>
          <w:rFonts w:eastAsiaTheme="minorEastAsia"/>
          <w:color w:val="FF0000"/>
          <w:kern w:val="10"/>
          <w:sz w:val="24"/>
          <w:szCs w:val="22"/>
        </w:rPr>
        <w:t>1</w:t>
      </w:r>
      <w:r w:rsidR="00EE6E53" w:rsidRPr="00730492">
        <w:rPr>
          <w:rFonts w:eastAsiaTheme="minorEastAsia"/>
          <w:color w:val="FF0000"/>
          <w:kern w:val="10"/>
          <w:sz w:val="24"/>
          <w:szCs w:val="22"/>
        </w:rPr>
        <w:t>、表</w:t>
      </w:r>
      <w:r w:rsidR="00EE6E53" w:rsidRPr="00730492">
        <w:rPr>
          <w:rFonts w:eastAsiaTheme="minorEastAsia"/>
          <w:color w:val="FF0000"/>
          <w:kern w:val="10"/>
          <w:sz w:val="24"/>
          <w:szCs w:val="22"/>
        </w:rPr>
        <w:t>2</w:t>
      </w:r>
      <w:r w:rsidR="00EE6E53" w:rsidRPr="00730492">
        <w:rPr>
          <w:rFonts w:eastAsiaTheme="minorEastAsia"/>
          <w:color w:val="FF0000"/>
          <w:kern w:val="10"/>
          <w:sz w:val="24"/>
          <w:szCs w:val="22"/>
        </w:rPr>
        <w:t>中筛选值</w:t>
      </w:r>
      <w:r w:rsidR="00611CBA" w:rsidRPr="00730492">
        <w:rPr>
          <w:rFonts w:eastAsiaTheme="minorEastAsia"/>
          <w:color w:val="FF0000"/>
          <w:sz w:val="24"/>
        </w:rPr>
        <w:t>要求。</w:t>
      </w:r>
      <w:r w:rsidR="00611CBA" w:rsidRPr="00730492">
        <w:rPr>
          <w:rFonts w:eastAsiaTheme="minorEastAsia"/>
          <w:bCs/>
          <w:color w:val="FF0000"/>
          <w:sz w:val="24"/>
        </w:rPr>
        <w:t>在枯水期施工，本工程产生弃方淤泥</w:t>
      </w:r>
      <w:r w:rsidR="000037AB" w:rsidRPr="00730492">
        <w:rPr>
          <w:rFonts w:eastAsiaTheme="minorEastAsia"/>
          <w:bCs/>
          <w:color w:val="FF0000"/>
          <w:sz w:val="24"/>
        </w:rPr>
        <w:t>0.255</w:t>
      </w:r>
      <w:r w:rsidR="000037AB" w:rsidRPr="00730492">
        <w:rPr>
          <w:rFonts w:eastAsiaTheme="minorEastAsia"/>
          <w:bCs/>
          <w:color w:val="FF0000"/>
          <w:sz w:val="24"/>
        </w:rPr>
        <w:t>万</w:t>
      </w:r>
      <w:r w:rsidR="000037AB" w:rsidRPr="00730492">
        <w:rPr>
          <w:rFonts w:eastAsiaTheme="minorEastAsia"/>
          <w:bCs/>
          <w:color w:val="FF0000"/>
          <w:sz w:val="24"/>
        </w:rPr>
        <w:t>m</w:t>
      </w:r>
      <w:r w:rsidR="00611CBA" w:rsidRPr="00730492">
        <w:rPr>
          <w:rFonts w:eastAsiaTheme="minorEastAsia"/>
          <w:bCs/>
          <w:color w:val="FF0000"/>
          <w:sz w:val="24"/>
          <w:vertAlign w:val="superscript"/>
        </w:rPr>
        <w:t>3</w:t>
      </w:r>
      <w:r w:rsidR="00611CBA" w:rsidRPr="00730492">
        <w:rPr>
          <w:rFonts w:eastAsiaTheme="minorEastAsia"/>
          <w:bCs/>
          <w:color w:val="FF0000"/>
          <w:sz w:val="24"/>
        </w:rPr>
        <w:t>，</w:t>
      </w:r>
      <w:r w:rsidR="00611CBA" w:rsidRPr="00730492">
        <w:rPr>
          <w:rFonts w:eastAsiaTheme="minorEastAsia"/>
          <w:color w:val="FF0000"/>
          <w:spacing w:val="-5"/>
          <w:sz w:val="24"/>
        </w:rPr>
        <w:t>清淤采用挖掘机和人工结合的方式进行。</w:t>
      </w:r>
      <w:r w:rsidR="00730492" w:rsidRPr="00730492">
        <w:rPr>
          <w:rFonts w:eastAsiaTheme="minorEastAsia" w:hint="eastAsia"/>
          <w:bCs/>
          <w:color w:val="FF0000"/>
          <w:sz w:val="24"/>
        </w:rPr>
        <w:t>排水沟淤泥培至工程附近</w:t>
      </w:r>
      <w:r w:rsidR="00730492" w:rsidRPr="00730492">
        <w:rPr>
          <w:rFonts w:eastAsiaTheme="minorEastAsia" w:hint="eastAsia"/>
          <w:bCs/>
          <w:color w:val="FF0000"/>
          <w:sz w:val="24"/>
        </w:rPr>
        <w:t>200</w:t>
      </w:r>
      <w:r w:rsidR="00730492" w:rsidRPr="00730492">
        <w:rPr>
          <w:rFonts w:eastAsiaTheme="minorEastAsia" w:hint="eastAsia"/>
          <w:bCs/>
          <w:color w:val="FF0000"/>
          <w:sz w:val="24"/>
        </w:rPr>
        <w:t>米范围内无环境保护目标的排水沟两侧（避开南城李、方台镇、宋家村等</w:t>
      </w:r>
      <w:r w:rsidR="00730492" w:rsidRPr="00730492">
        <w:rPr>
          <w:rFonts w:eastAsiaTheme="minorEastAsia" w:hint="eastAsia"/>
          <w:bCs/>
          <w:color w:val="FF0000"/>
          <w:sz w:val="24"/>
        </w:rPr>
        <w:t>33</w:t>
      </w:r>
      <w:r w:rsidR="00730492" w:rsidRPr="00730492">
        <w:rPr>
          <w:rFonts w:eastAsiaTheme="minorEastAsia" w:hint="eastAsia"/>
          <w:bCs/>
          <w:color w:val="FF0000"/>
          <w:sz w:val="24"/>
        </w:rPr>
        <w:t>个村屯，具体见表</w:t>
      </w:r>
      <w:r w:rsidR="00730492" w:rsidRPr="00730492">
        <w:rPr>
          <w:rFonts w:eastAsiaTheme="minorEastAsia" w:hint="eastAsia"/>
          <w:bCs/>
          <w:color w:val="FF0000"/>
          <w:sz w:val="24"/>
        </w:rPr>
        <w:t>2-8-2</w:t>
      </w:r>
      <w:r w:rsidR="00730492" w:rsidRPr="00730492">
        <w:rPr>
          <w:rFonts w:eastAsiaTheme="minorEastAsia" w:hint="eastAsia"/>
          <w:bCs/>
          <w:color w:val="FF0000"/>
          <w:sz w:val="24"/>
        </w:rPr>
        <w:t>）</w:t>
      </w:r>
      <w:r w:rsidR="00611CBA" w:rsidRPr="00730492">
        <w:rPr>
          <w:rFonts w:eastAsiaTheme="minorEastAsia"/>
          <w:color w:val="FF0000"/>
          <w:sz w:val="24"/>
        </w:rPr>
        <w:t>。</w:t>
      </w:r>
    </w:p>
    <w:p w:rsidR="002A5A5E" w:rsidRPr="00F9522B" w:rsidRDefault="005273A1">
      <w:pPr>
        <w:pStyle w:val="aff4"/>
        <w:adjustRightInd/>
        <w:snapToGrid/>
        <w:contextualSpacing/>
        <w:rPr>
          <w:rFonts w:ascii="Times New Roman" w:hAnsi="Times New Roman" w:cs="Times New Roman"/>
          <w:bCs/>
        </w:rPr>
      </w:pPr>
      <w:r w:rsidRPr="00F9522B">
        <w:rPr>
          <w:rFonts w:ascii="Times New Roman" w:hAnsi="Times New Roman" w:cs="Times New Roman"/>
          <w:bCs/>
        </w:rPr>
        <w:fldChar w:fldCharType="begin"/>
      </w:r>
      <w:r w:rsidR="00611CBA" w:rsidRPr="00F9522B">
        <w:rPr>
          <w:rFonts w:ascii="Times New Roman" w:hAnsi="Times New Roman" w:cs="Times New Roman"/>
          <w:bCs/>
        </w:rPr>
        <w:instrText xml:space="preserve"> = 5 \* GB3 </w:instrText>
      </w:r>
      <w:r w:rsidRPr="00F9522B">
        <w:rPr>
          <w:rFonts w:ascii="Times New Roman" w:hAnsi="Times New Roman" w:cs="Times New Roman"/>
          <w:bCs/>
        </w:rPr>
        <w:fldChar w:fldCharType="separate"/>
      </w:r>
      <w:r w:rsidR="00611CBA" w:rsidRPr="00F9522B">
        <w:rPr>
          <w:rFonts w:ascii="宋体" w:eastAsia="宋体" w:hAnsi="宋体" w:cs="宋体" w:hint="eastAsia"/>
          <w:bCs/>
        </w:rPr>
        <w:t>⑤</w:t>
      </w:r>
      <w:r w:rsidRPr="00F9522B">
        <w:rPr>
          <w:rFonts w:ascii="Times New Roman" w:hAnsi="Times New Roman" w:cs="Times New Roman"/>
          <w:bCs/>
        </w:rPr>
        <w:fldChar w:fldCharType="end"/>
      </w:r>
      <w:r w:rsidR="00611CBA" w:rsidRPr="00F9522B">
        <w:rPr>
          <w:rFonts w:ascii="Times New Roman" w:hAnsi="Times New Roman" w:cs="Times New Roman"/>
        </w:rPr>
        <w:t>施工期</w:t>
      </w:r>
      <w:r w:rsidR="00D61453" w:rsidRPr="00F9522B">
        <w:rPr>
          <w:rFonts w:ascii="Times New Roman" w:hAnsi="Times New Roman" w:cs="Times New Roman"/>
        </w:rPr>
        <w:t>田块整治</w:t>
      </w:r>
      <w:r w:rsidR="00611CBA" w:rsidRPr="00F9522B">
        <w:rPr>
          <w:rFonts w:ascii="Times New Roman" w:hAnsi="Times New Roman" w:cs="Times New Roman"/>
          <w:bCs/>
          <w:snapToGrid w:val="0"/>
          <w:kern w:val="0"/>
        </w:rPr>
        <w:t>工程</w:t>
      </w:r>
      <w:r w:rsidR="00611CBA" w:rsidRPr="00F9522B">
        <w:rPr>
          <w:rFonts w:ascii="Times New Roman" w:hAnsi="Times New Roman" w:cs="Times New Roman"/>
        </w:rPr>
        <w:t>将会产生少量的废肥料包装袋，产生量约为</w:t>
      </w:r>
      <w:r w:rsidR="00611CBA" w:rsidRPr="00F9522B">
        <w:rPr>
          <w:rFonts w:ascii="Times New Roman" w:hAnsi="Times New Roman" w:cs="Times New Roman"/>
        </w:rPr>
        <w:t>0.01t/a</w:t>
      </w:r>
      <w:r w:rsidR="00611CBA" w:rsidRPr="00F9522B">
        <w:rPr>
          <w:rFonts w:ascii="Times New Roman" w:hAnsi="Times New Roman" w:cs="Times New Roman"/>
        </w:rPr>
        <w:t>，外售废品收购站。</w:t>
      </w:r>
    </w:p>
    <w:p w:rsidR="002A5A5E" w:rsidRPr="00F9522B" w:rsidRDefault="00611CBA">
      <w:pPr>
        <w:spacing w:line="360" w:lineRule="auto"/>
        <w:ind w:firstLineChars="200" w:firstLine="464"/>
        <w:rPr>
          <w:rFonts w:eastAsiaTheme="minorEastAsia"/>
          <w:spacing w:val="-4"/>
          <w:sz w:val="24"/>
          <w:szCs w:val="21"/>
        </w:rPr>
      </w:pPr>
      <w:r w:rsidRPr="00F9522B">
        <w:rPr>
          <w:rFonts w:eastAsiaTheme="minorEastAsia"/>
          <w:spacing w:val="-4"/>
          <w:sz w:val="24"/>
          <w:szCs w:val="21"/>
        </w:rPr>
        <w:t>通过以上措施，项目建设产生的固体废物得到了妥善处置，施工期间对周围环境造成的短暂影响可以接受。</w:t>
      </w:r>
    </w:p>
    <w:p w:rsidR="002A5A5E" w:rsidRPr="00F9522B" w:rsidRDefault="00611CBA">
      <w:pPr>
        <w:autoSpaceDE w:val="0"/>
        <w:autoSpaceDN w:val="0"/>
        <w:spacing w:before="100" w:beforeAutospacing="1" w:after="100" w:afterAutospacing="1"/>
        <w:jc w:val="left"/>
        <w:outlineLvl w:val="2"/>
        <w:rPr>
          <w:rFonts w:eastAsiaTheme="minorEastAsia"/>
          <w:b/>
          <w:sz w:val="28"/>
          <w:szCs w:val="28"/>
        </w:rPr>
      </w:pPr>
      <w:bookmarkStart w:id="127" w:name="_Toc486255087"/>
      <w:bookmarkStart w:id="128" w:name="_Toc15991680"/>
      <w:r w:rsidRPr="00F9522B">
        <w:rPr>
          <w:rFonts w:eastAsiaTheme="minorEastAsia"/>
          <w:b/>
          <w:sz w:val="28"/>
          <w:szCs w:val="28"/>
        </w:rPr>
        <w:t>5.1.5</w:t>
      </w:r>
      <w:r w:rsidRPr="00F9522B">
        <w:rPr>
          <w:rFonts w:eastAsiaTheme="minorEastAsia"/>
          <w:b/>
          <w:sz w:val="28"/>
          <w:szCs w:val="28"/>
        </w:rPr>
        <w:t>生态环境影响</w:t>
      </w:r>
      <w:bookmarkEnd w:id="127"/>
      <w:r w:rsidRPr="00F9522B">
        <w:rPr>
          <w:rFonts w:eastAsiaTheme="minorEastAsia"/>
          <w:b/>
          <w:sz w:val="28"/>
          <w:szCs w:val="28"/>
        </w:rPr>
        <w:t>预测与评价</w:t>
      </w:r>
      <w:bookmarkEnd w:id="128"/>
    </w:p>
    <w:p w:rsidR="002A5A5E" w:rsidRPr="00F9522B" w:rsidRDefault="00611CBA">
      <w:pPr>
        <w:pStyle w:val="aff4"/>
        <w:adjustRightInd/>
        <w:snapToGrid/>
        <w:jc w:val="both"/>
        <w:rPr>
          <w:rFonts w:ascii="Times New Roman" w:hAnsi="Times New Roman" w:cs="Times New Roman"/>
          <w:kern w:val="24"/>
        </w:rPr>
      </w:pPr>
      <w:r w:rsidRPr="00F9522B">
        <w:rPr>
          <w:rFonts w:ascii="Times New Roman" w:hAnsi="Times New Roman" w:cs="Times New Roman"/>
          <w:kern w:val="24"/>
        </w:rPr>
        <w:t>本项目建设地点位于</w:t>
      </w:r>
      <w:r w:rsidR="00140308" w:rsidRPr="00F9522B">
        <w:rPr>
          <w:rFonts w:ascii="Times New Roman" w:hAnsi="Times New Roman" w:cs="Times New Roman"/>
          <w:snapToGrid w:val="0"/>
        </w:rPr>
        <w:t>黑龙江省哈尔滨市呼兰区二八镇阿堡村、鲍堡村、二八村、傅井村、头屯村、王柱村、元宝村、长山村；方台镇的方台村、高家村、宋家村、榆林村；康金街道的金城村、永胜村、历井村、孟井村、双合村、苏德村、王牛村、王佩村、东井村、西井村、杨木村、东腰村、历井农场、新农村；石人镇的城子村、古城村、金星村、石人村、永发村、永平村、于家村、双宝村、站前村</w:t>
      </w:r>
      <w:r w:rsidRPr="00F9522B">
        <w:rPr>
          <w:rFonts w:ascii="Times New Roman" w:hAnsi="Times New Roman" w:cs="Times New Roman"/>
          <w:kern w:val="24"/>
        </w:rPr>
        <w:t>。</w:t>
      </w:r>
    </w:p>
    <w:p w:rsidR="002A5A5E" w:rsidRPr="00F9522B" w:rsidRDefault="00611CBA">
      <w:pPr>
        <w:pStyle w:val="aff4"/>
        <w:adjustRightInd/>
        <w:snapToGrid/>
        <w:jc w:val="both"/>
        <w:rPr>
          <w:rFonts w:ascii="Times New Roman" w:hAnsi="Times New Roman" w:cs="Times New Roman"/>
          <w:snapToGrid w:val="0"/>
        </w:rPr>
      </w:pPr>
      <w:r w:rsidRPr="00F9522B">
        <w:rPr>
          <w:rFonts w:ascii="Times New Roman" w:hAnsi="Times New Roman" w:cs="Times New Roman"/>
          <w:kern w:val="24"/>
        </w:rPr>
        <w:t>工程</w:t>
      </w:r>
      <w:r w:rsidRPr="00F9522B">
        <w:rPr>
          <w:rFonts w:ascii="Times New Roman" w:hAnsi="Times New Roman" w:cs="Times New Roman"/>
          <w:bCs/>
          <w:snapToGrid w:val="0"/>
          <w:kern w:val="0"/>
        </w:rPr>
        <w:t>永久占地类型为</w:t>
      </w:r>
      <w:r w:rsidR="009555CD" w:rsidRPr="00F9522B">
        <w:rPr>
          <w:rFonts w:ascii="Times New Roman" w:hAnsi="Times New Roman" w:cs="Times New Roman"/>
          <w:bCs/>
          <w:snapToGrid w:val="0"/>
          <w:kern w:val="0"/>
        </w:rPr>
        <w:t>草地、交通运输用地、水利设施用地、坑塘水面</w:t>
      </w:r>
      <w:r w:rsidRPr="00F9522B">
        <w:rPr>
          <w:rFonts w:ascii="Times New Roman" w:hAnsi="Times New Roman" w:cs="Times New Roman"/>
          <w:bCs/>
          <w:snapToGrid w:val="0"/>
          <w:kern w:val="0"/>
        </w:rPr>
        <w:t>。</w:t>
      </w:r>
      <w:r w:rsidR="00B42C98" w:rsidRPr="00F9522B">
        <w:rPr>
          <w:rFonts w:ascii="Times New Roman" w:hAnsi="Times New Roman" w:cs="Times New Roman"/>
          <w:bCs/>
          <w:snapToGrid w:val="0"/>
          <w:kern w:val="0"/>
        </w:rPr>
        <w:t>新增永久占地</w:t>
      </w:r>
      <w:r w:rsidR="00B42C98" w:rsidRPr="00F9522B">
        <w:rPr>
          <w:rFonts w:ascii="Times New Roman" w:hAnsi="Times New Roman" w:cs="Times New Roman"/>
          <w:bCs/>
          <w:snapToGrid w:val="0"/>
          <w:kern w:val="0"/>
        </w:rPr>
        <w:t>46260</w:t>
      </w:r>
      <w:r w:rsidRPr="00F9522B">
        <w:rPr>
          <w:rFonts w:ascii="Times New Roman" w:hAnsi="Times New Roman" w:cs="Times New Roman"/>
          <w:bCs/>
          <w:snapToGrid w:val="0"/>
          <w:kern w:val="0"/>
        </w:rPr>
        <w:t>m</w:t>
      </w:r>
      <w:r w:rsidRPr="00F9522B">
        <w:rPr>
          <w:rFonts w:ascii="Times New Roman" w:hAnsi="Times New Roman" w:cs="Times New Roman"/>
          <w:bCs/>
          <w:snapToGrid w:val="0"/>
          <w:kern w:val="0"/>
          <w:vertAlign w:val="superscript"/>
        </w:rPr>
        <w:t>2</w:t>
      </w:r>
      <w:r w:rsidRPr="00F9522B">
        <w:rPr>
          <w:rFonts w:ascii="Times New Roman" w:hAnsi="Times New Roman" w:cs="Times New Roman"/>
        </w:rPr>
        <w:t>，</w:t>
      </w:r>
      <w:r w:rsidRPr="00F9522B">
        <w:rPr>
          <w:rFonts w:ascii="Times New Roman" w:hAnsi="Times New Roman" w:cs="Times New Roman"/>
          <w:bCs/>
          <w:snapToGrid w:val="0"/>
          <w:kern w:val="0"/>
        </w:rPr>
        <w:t>临时占地类型为耕地、草地、水利设施用地、坑塘水面</w:t>
      </w:r>
      <w:r w:rsidRPr="00F9522B">
        <w:rPr>
          <w:rFonts w:ascii="Times New Roman" w:hAnsi="Times New Roman" w:cs="Times New Roman"/>
        </w:rPr>
        <w:t>，占地面积为</w:t>
      </w:r>
      <w:r w:rsidR="00AA4603">
        <w:rPr>
          <w:rFonts w:ascii="Times New Roman" w:hAnsi="Times New Roman" w:cs="Times New Roman"/>
        </w:rPr>
        <w:t>294140</w:t>
      </w:r>
      <w:r w:rsidRPr="00F9522B">
        <w:rPr>
          <w:rFonts w:ascii="Times New Roman" w:hAnsi="Times New Roman" w:cs="Times New Roman"/>
        </w:rPr>
        <w:t>m</w:t>
      </w:r>
      <w:r w:rsidRPr="00F9522B">
        <w:rPr>
          <w:rFonts w:ascii="Times New Roman" w:hAnsi="Times New Roman" w:cs="Times New Roman"/>
          <w:vertAlign w:val="superscript"/>
        </w:rPr>
        <w:t>2</w:t>
      </w:r>
      <w:r w:rsidRPr="00F9522B">
        <w:rPr>
          <w:rFonts w:ascii="Times New Roman" w:hAnsi="Times New Roman" w:cs="Times New Roman"/>
        </w:rPr>
        <w:t>。</w:t>
      </w:r>
      <w:r w:rsidRPr="00F9522B">
        <w:rPr>
          <w:rFonts w:ascii="Times New Roman" w:hAnsi="Times New Roman" w:cs="Times New Roman"/>
          <w:bCs/>
        </w:rPr>
        <w:t>工程占地将导致所在区域土地利用类型发生改变，植物个体损失，植被生物量减少；占地区的开挖、建筑材料的临时堆放等也将破坏土壤层，影响其理化性质。工程占地带来的生物量损失中，但损失量占评价区总生物量相对较小，影响非常微弱。</w:t>
      </w:r>
    </w:p>
    <w:p w:rsidR="002A5A5E" w:rsidRPr="00F9522B" w:rsidRDefault="00611CBA">
      <w:pPr>
        <w:pStyle w:val="aff4"/>
        <w:adjustRightInd/>
        <w:snapToGrid/>
        <w:jc w:val="both"/>
        <w:rPr>
          <w:rFonts w:ascii="Times New Roman" w:hAnsi="Times New Roman" w:cs="Times New Roman"/>
          <w:bCs/>
        </w:rPr>
      </w:pPr>
      <w:r w:rsidRPr="00F9522B">
        <w:rPr>
          <w:rFonts w:ascii="Times New Roman" w:hAnsi="Times New Roman" w:cs="Times New Roman"/>
          <w:bCs/>
        </w:rPr>
        <w:lastRenderedPageBreak/>
        <w:t>项目施工期对生态环境的影响主要体现为占用土地、扰动土层、生物量减少、土地利用类型改变、破坏景观完整性、加剧水土流失。</w:t>
      </w:r>
    </w:p>
    <w:p w:rsidR="002A5A5E" w:rsidRPr="00F9522B" w:rsidRDefault="00611CBA">
      <w:pPr>
        <w:pStyle w:val="aff4"/>
        <w:adjustRightInd/>
        <w:snapToGrid/>
        <w:jc w:val="both"/>
        <w:rPr>
          <w:rFonts w:ascii="Times New Roman" w:hAnsi="Times New Roman" w:cs="Times New Roman"/>
          <w:bCs/>
        </w:rPr>
      </w:pPr>
      <w:r w:rsidRPr="00F9522B">
        <w:rPr>
          <w:rFonts w:ascii="Times New Roman" w:hAnsi="Times New Roman" w:cs="Times New Roman"/>
          <w:bCs/>
        </w:rPr>
        <w:t>（</w:t>
      </w:r>
      <w:r w:rsidRPr="00F9522B">
        <w:rPr>
          <w:rFonts w:ascii="Times New Roman" w:hAnsi="Times New Roman" w:cs="Times New Roman"/>
          <w:bCs/>
        </w:rPr>
        <w:t>1</w:t>
      </w:r>
      <w:r w:rsidRPr="00F9522B">
        <w:rPr>
          <w:rFonts w:ascii="Times New Roman" w:hAnsi="Times New Roman" w:cs="Times New Roman"/>
          <w:bCs/>
        </w:rPr>
        <w:t>）对动植物及生物量影响评价</w:t>
      </w:r>
    </w:p>
    <w:p w:rsidR="002A5A5E" w:rsidRPr="00F9522B" w:rsidRDefault="00611CBA">
      <w:pPr>
        <w:pStyle w:val="aff4"/>
        <w:adjustRightInd/>
        <w:snapToGrid/>
        <w:jc w:val="both"/>
        <w:rPr>
          <w:rFonts w:ascii="Times New Roman" w:hAnsi="Times New Roman" w:cs="Times New Roman"/>
          <w:snapToGrid w:val="0"/>
        </w:rPr>
      </w:pPr>
      <w:r w:rsidRPr="00F9522B">
        <w:rPr>
          <w:rFonts w:ascii="Times New Roman" w:hAnsi="Times New Roman" w:cs="Times New Roman"/>
          <w:bCs/>
        </w:rPr>
        <w:t>本项目在施工期对植被的影响主要是施工期征用永久占地及临时占地及机械碾压、施工人员践踏等破坏施工区域内的植被，开发过程所进行的土壤平整、土地开挖、取土、堆土等，会改变土层结构，原有土壤结构、理化性质将会发生</w:t>
      </w:r>
      <w:r w:rsidRPr="00F9522B">
        <w:rPr>
          <w:rFonts w:ascii="Times New Roman" w:hAnsi="Times New Roman" w:cs="Times New Roman"/>
          <w:snapToGrid w:val="0"/>
        </w:rPr>
        <w:t>明显改变，不利于植被生长。施工扬尘、运输车辆废气等，将使周边特别是沿运输线路两边的植被受到危害。</w:t>
      </w:r>
      <w:r w:rsidRPr="00F9522B">
        <w:rPr>
          <w:rFonts w:ascii="Times New Roman" w:hAnsi="Times New Roman" w:cs="Times New Roman"/>
          <w:bCs/>
          <w:snapToGrid w:val="0"/>
          <w:kern w:val="0"/>
        </w:rPr>
        <w:t>新增永久占地草地、水利设施用地、</w:t>
      </w:r>
      <w:r w:rsidR="00B42C98" w:rsidRPr="00F9522B">
        <w:rPr>
          <w:rFonts w:ascii="Times New Roman" w:hAnsi="Times New Roman" w:cs="Times New Roman"/>
          <w:bCs/>
          <w:snapToGrid w:val="0"/>
          <w:kern w:val="0"/>
        </w:rPr>
        <w:t>坑塘水面共</w:t>
      </w:r>
      <w:r w:rsidR="00B42C98" w:rsidRPr="00F9522B">
        <w:rPr>
          <w:rFonts w:ascii="Times New Roman" w:hAnsi="Times New Roman" w:cs="Times New Roman"/>
          <w:bCs/>
          <w:snapToGrid w:val="0"/>
          <w:kern w:val="0"/>
        </w:rPr>
        <w:t>46260</w:t>
      </w:r>
      <w:r w:rsidRPr="00F9522B">
        <w:rPr>
          <w:rFonts w:ascii="Times New Roman" w:hAnsi="Times New Roman" w:cs="Times New Roman"/>
          <w:bCs/>
          <w:snapToGrid w:val="0"/>
          <w:kern w:val="0"/>
        </w:rPr>
        <w:t>m</w:t>
      </w:r>
      <w:r w:rsidRPr="00F9522B">
        <w:rPr>
          <w:rFonts w:ascii="Times New Roman" w:hAnsi="Times New Roman" w:cs="Times New Roman"/>
          <w:vertAlign w:val="superscript"/>
        </w:rPr>
        <w:t>2</w:t>
      </w:r>
      <w:r w:rsidRPr="00F9522B">
        <w:rPr>
          <w:rFonts w:ascii="Times New Roman" w:hAnsi="Times New Roman" w:cs="Times New Roman"/>
          <w:bCs/>
          <w:snapToGrid w:val="0"/>
          <w:kern w:val="0"/>
        </w:rPr>
        <w:t>，临时占地类型为旱地、草地</w:t>
      </w:r>
      <w:r w:rsidRPr="00F9522B">
        <w:rPr>
          <w:rFonts w:ascii="Times New Roman" w:hAnsi="Times New Roman" w:cs="Times New Roman"/>
        </w:rPr>
        <w:t>，占地面积为</w:t>
      </w:r>
      <w:r w:rsidR="00AA4603">
        <w:rPr>
          <w:rFonts w:ascii="Times New Roman" w:hAnsi="Times New Roman" w:cs="Times New Roman"/>
        </w:rPr>
        <w:t>294140</w:t>
      </w:r>
      <w:r w:rsidRPr="00F9522B">
        <w:rPr>
          <w:rFonts w:ascii="Times New Roman" w:hAnsi="Times New Roman" w:cs="Times New Roman"/>
        </w:rPr>
        <w:t>m</w:t>
      </w:r>
      <w:r w:rsidRPr="00F9522B">
        <w:rPr>
          <w:rFonts w:ascii="Times New Roman" w:hAnsi="Times New Roman" w:cs="Times New Roman"/>
          <w:vertAlign w:val="superscript"/>
        </w:rPr>
        <w:t>2</w:t>
      </w:r>
      <w:r w:rsidRPr="00F9522B">
        <w:rPr>
          <w:rFonts w:ascii="Times New Roman" w:hAnsi="Times New Roman" w:cs="Times New Roman"/>
        </w:rPr>
        <w:t>，</w:t>
      </w:r>
      <w:r w:rsidRPr="00F9522B">
        <w:rPr>
          <w:rFonts w:ascii="Times New Roman" w:hAnsi="Times New Roman" w:cs="Times New Roman"/>
          <w:snapToGrid w:val="0"/>
        </w:rPr>
        <w:t>破坏和影响施工作业区周围环境的植被覆盖率，损失生物量约</w:t>
      </w:r>
      <w:r w:rsidR="009E1353" w:rsidRPr="00F9522B">
        <w:rPr>
          <w:rFonts w:ascii="Times New Roman" w:hAnsi="Times New Roman" w:cs="Times New Roman"/>
          <w:snapToGrid w:val="0"/>
        </w:rPr>
        <w:t>6</w:t>
      </w:r>
      <w:r w:rsidR="00B42C98" w:rsidRPr="00F9522B">
        <w:rPr>
          <w:rFonts w:ascii="Times New Roman" w:hAnsi="Times New Roman" w:cs="Times New Roman"/>
          <w:snapToGrid w:val="0"/>
        </w:rPr>
        <w:t>8</w:t>
      </w:r>
      <w:r w:rsidR="00736A2B" w:rsidRPr="00F9522B">
        <w:rPr>
          <w:rFonts w:ascii="Times New Roman" w:hAnsi="Times New Roman" w:cs="Times New Roman"/>
          <w:snapToGrid w:val="0"/>
        </w:rPr>
        <w:t>0</w:t>
      </w:r>
      <w:r w:rsidRPr="00F9522B">
        <w:rPr>
          <w:rFonts w:ascii="Times New Roman" w:hAnsi="Times New Roman" w:cs="Times New Roman"/>
          <w:snapToGrid w:val="0"/>
        </w:rPr>
        <w:t>t</w:t>
      </w:r>
      <w:r w:rsidRPr="00F9522B">
        <w:rPr>
          <w:rFonts w:ascii="Times New Roman" w:hAnsi="Times New Roman" w:cs="Times New Roman"/>
          <w:snapToGrid w:val="0"/>
        </w:rPr>
        <w:t>，项目所在区域以农田为主的生态系统，其主要生态服务功能为提供农产品。由于长期的农业活动，评价区域无大型野生动物出没，评价区是东北地区典型的连绵种植农田，周边无重要物种、重要生境分布。田间小型的啮齿类野生动物受噪声影响，会产生驱避作用，但周边存在大量的替代生境，不会对种群的数量和类型产生影响。占地范围内无国家公益林、无国家重点保护的野生植物等。因此工程临时占地对评价区天然植被影响较小。</w:t>
      </w:r>
    </w:p>
    <w:p w:rsidR="002A5A5E" w:rsidRPr="00F9522B" w:rsidRDefault="00611CBA">
      <w:pPr>
        <w:pStyle w:val="aff4"/>
        <w:adjustRightInd/>
        <w:snapToGrid/>
        <w:contextualSpacing/>
        <w:rPr>
          <w:rFonts w:ascii="Times New Roman" w:hAnsi="Times New Roman" w:cs="Times New Roman"/>
          <w:snapToGrid w:val="0"/>
        </w:rPr>
      </w:pPr>
      <w:r w:rsidRPr="00F9522B">
        <w:rPr>
          <w:rFonts w:ascii="Times New Roman" w:hAnsi="Times New Roman" w:cs="Times New Roman"/>
          <w:smallCaps/>
        </w:rPr>
        <w:t>评价范围内大型兽类较少，多数为分布于灌丛及农田中栖息活动的中小型哺乳类动物。项目区无国家重点保护野生动物分布，所以工程施工对国家保护的野生动物不会产生影响。工程施工影响范围内的如鼠类、草兔、蝙蝠和黄鼬等平原地带常见的小型哺乳动物，由于施工区占地，导致其生境损失，野生动物对人为干扰具有回避性，向干扰小的地方迁移，将造成施工区域内数量短期内降低。</w:t>
      </w:r>
      <w:r w:rsidRPr="00F9522B">
        <w:rPr>
          <w:rFonts w:ascii="Times New Roman" w:hAnsi="Times New Roman" w:cs="Times New Roman"/>
        </w:rPr>
        <w:t>但这种影响随着工程结束将会逐渐减少或消除。</w:t>
      </w:r>
    </w:p>
    <w:p w:rsidR="002A5A5E" w:rsidRPr="00F9522B" w:rsidRDefault="00611CBA">
      <w:pPr>
        <w:spacing w:line="360" w:lineRule="auto"/>
        <w:ind w:firstLineChars="200" w:firstLine="480"/>
        <w:rPr>
          <w:rFonts w:eastAsiaTheme="minorEastAsia"/>
          <w:sz w:val="24"/>
          <w:szCs w:val="21"/>
        </w:rPr>
      </w:pPr>
      <w:r w:rsidRPr="00F9522B">
        <w:rPr>
          <w:rFonts w:eastAsiaTheme="minorEastAsia"/>
          <w:sz w:val="24"/>
          <w:szCs w:val="21"/>
        </w:rPr>
        <w:t>合理安排施工时序，选择</w:t>
      </w:r>
      <w:r w:rsidRPr="00F9522B">
        <w:rPr>
          <w:rFonts w:eastAsiaTheme="minorEastAsia"/>
          <w:sz w:val="24"/>
          <w:szCs w:val="21"/>
        </w:rPr>
        <w:t>3</w:t>
      </w:r>
      <w:r w:rsidRPr="00F9522B">
        <w:rPr>
          <w:rFonts w:eastAsiaTheme="minorEastAsia"/>
          <w:sz w:val="24"/>
          <w:szCs w:val="21"/>
        </w:rPr>
        <w:t>月至</w:t>
      </w:r>
      <w:r w:rsidRPr="00F9522B">
        <w:rPr>
          <w:rFonts w:eastAsiaTheme="minorEastAsia"/>
          <w:sz w:val="24"/>
          <w:szCs w:val="21"/>
        </w:rPr>
        <w:t>4</w:t>
      </w:r>
      <w:r w:rsidRPr="00F9522B">
        <w:rPr>
          <w:rFonts w:eastAsiaTheme="minorEastAsia"/>
          <w:sz w:val="24"/>
          <w:szCs w:val="21"/>
        </w:rPr>
        <w:t>月进行排水沟清淤及涵洞等建筑物、护砌工程施工，沟渠干涸，不涉水。施工废水洒水降尘，不会对沟渠水质、水生动植物产生影响。</w:t>
      </w:r>
      <w:r w:rsidRPr="00F9522B">
        <w:rPr>
          <w:rFonts w:eastAsiaTheme="minorEastAsia"/>
          <w:bCs/>
          <w:sz w:val="24"/>
        </w:rPr>
        <w:t>沟道清淤后，底质环境及水质的改善，将有利于沟道水生生态环境的重建，将加快底栖动物的恢复，提高底栖动物的多样性。</w:t>
      </w:r>
    </w:p>
    <w:p w:rsidR="002A5A5E" w:rsidRPr="00F9522B" w:rsidRDefault="00E17AA8">
      <w:pPr>
        <w:pStyle w:val="aff4"/>
        <w:adjustRightInd/>
        <w:snapToGrid/>
        <w:contextualSpacing/>
        <w:rPr>
          <w:rFonts w:ascii="Times New Roman" w:hAnsi="Times New Roman" w:cs="Times New Roman"/>
          <w:snapToGrid w:val="0"/>
        </w:rPr>
      </w:pPr>
      <w:r w:rsidRPr="00F9522B">
        <w:rPr>
          <w:rFonts w:ascii="Times New Roman" w:hAnsi="Times New Roman" w:cs="Times New Roman"/>
          <w:snapToGrid w:val="0"/>
          <w:kern w:val="0"/>
        </w:rPr>
        <w:t>输配电工程表土及土方临时堆存在施工沿线，分区存放，设置临时拦挡并采用密目网苫盖，施工结束后分层回填，</w:t>
      </w:r>
      <w:r w:rsidR="00617138">
        <w:rPr>
          <w:rFonts w:ascii="Times New Roman" w:hAnsi="Times New Roman" w:cs="Times New Roman"/>
          <w:snapToGrid w:val="0"/>
          <w:kern w:val="0"/>
        </w:rPr>
        <w:t>施工场地恢复现状草地，播撒草籽面积</w:t>
      </w:r>
      <w:r w:rsidR="00617138">
        <w:rPr>
          <w:rFonts w:ascii="Times New Roman" w:hAnsi="Times New Roman" w:cs="Times New Roman"/>
          <w:snapToGrid w:val="0"/>
          <w:kern w:val="0"/>
        </w:rPr>
        <w:t>224662</w:t>
      </w:r>
      <w:r w:rsidRPr="00F9522B">
        <w:rPr>
          <w:rFonts w:ascii="Times New Roman" w:hAnsi="Times New Roman" w:cs="Times New Roman"/>
          <w:snapToGrid w:val="0"/>
          <w:kern w:val="0"/>
        </w:rPr>
        <w:t>m</w:t>
      </w:r>
      <w:r w:rsidRPr="00F9522B">
        <w:rPr>
          <w:rFonts w:ascii="Times New Roman" w:hAnsi="Times New Roman" w:cs="Times New Roman"/>
          <w:snapToGrid w:val="0"/>
          <w:kern w:val="0"/>
          <w:vertAlign w:val="superscript"/>
        </w:rPr>
        <w:t>2</w:t>
      </w:r>
      <w:r w:rsidRPr="00F9522B">
        <w:rPr>
          <w:rFonts w:ascii="Times New Roman" w:hAnsi="Times New Roman" w:cs="Times New Roman"/>
          <w:snapToGrid w:val="0"/>
          <w:kern w:val="0"/>
        </w:rPr>
        <w:t>，草籽选用紫花苜蓿等，种草密度</w:t>
      </w:r>
      <w:r w:rsidRPr="00F9522B">
        <w:rPr>
          <w:rFonts w:ascii="Times New Roman" w:hAnsi="Times New Roman" w:cs="Times New Roman"/>
          <w:snapToGrid w:val="0"/>
          <w:kern w:val="0"/>
        </w:rPr>
        <w:t>80kg/</w:t>
      </w:r>
      <w:r w:rsidRPr="00F9522B">
        <w:rPr>
          <w:rFonts w:ascii="Times New Roman" w:hAnsi="Times New Roman" w:cs="Times New Roman"/>
          <w:snapToGrid w:val="0"/>
          <w:kern w:val="0"/>
        </w:rPr>
        <w:t>公顷，恢复旱地</w:t>
      </w:r>
      <w:r w:rsidRPr="00F9522B">
        <w:rPr>
          <w:rFonts w:ascii="Times New Roman" w:hAnsi="Times New Roman" w:cs="Times New Roman"/>
          <w:snapToGrid w:val="0"/>
          <w:kern w:val="0"/>
        </w:rPr>
        <w:t>32558m</w:t>
      </w:r>
      <w:r w:rsidRPr="00F9522B">
        <w:rPr>
          <w:rFonts w:ascii="Times New Roman" w:hAnsi="Times New Roman" w:cs="Times New Roman"/>
          <w:snapToGrid w:val="0"/>
          <w:kern w:val="0"/>
          <w:vertAlign w:val="superscript"/>
        </w:rPr>
        <w:t>2</w:t>
      </w:r>
      <w:r w:rsidRPr="00F9522B">
        <w:rPr>
          <w:rFonts w:ascii="Times New Roman" w:hAnsi="Times New Roman" w:cs="Times New Roman"/>
          <w:snapToGrid w:val="0"/>
          <w:kern w:val="0"/>
        </w:rPr>
        <w:t>；灌</w:t>
      </w:r>
      <w:r w:rsidRPr="00F9522B">
        <w:rPr>
          <w:rFonts w:ascii="Times New Roman" w:hAnsi="Times New Roman" w:cs="Times New Roman"/>
          <w:snapToGrid w:val="0"/>
          <w:kern w:val="0"/>
        </w:rPr>
        <w:lastRenderedPageBreak/>
        <w:t>溉井工程剥离表土、开挖土方暂存于施工场地内，分区存放，设置临时拦挡并采用密目网苫盖，施工结束后施工场地、临时道路恢复为旱地，恢复面积</w:t>
      </w:r>
      <w:r w:rsidRPr="00F9522B">
        <w:rPr>
          <w:rFonts w:ascii="Times New Roman" w:hAnsi="Times New Roman" w:cs="Times New Roman"/>
          <w:snapToGrid w:val="0"/>
          <w:kern w:val="0"/>
        </w:rPr>
        <w:t>7920m</w:t>
      </w:r>
      <w:r w:rsidRPr="00F9522B">
        <w:rPr>
          <w:rFonts w:ascii="Times New Roman" w:hAnsi="Times New Roman" w:cs="Times New Roman"/>
          <w:snapToGrid w:val="0"/>
          <w:kern w:val="0"/>
          <w:vertAlign w:val="superscript"/>
        </w:rPr>
        <w:t>2</w:t>
      </w:r>
      <w:r w:rsidRPr="00F9522B">
        <w:rPr>
          <w:rFonts w:ascii="Times New Roman" w:hAnsi="Times New Roman" w:cs="Times New Roman"/>
          <w:snapToGrid w:val="0"/>
          <w:kern w:val="0"/>
        </w:rPr>
        <w:t>；涵洞等建筑物工程剥离表土、开挖土方暂存于施工场地内，分区存放，设置临时拦挡并采用密目网苫盖，施工结束后施工场地恢复为草地，播撒草籽面积</w:t>
      </w:r>
      <w:r w:rsidRPr="00F9522B">
        <w:rPr>
          <w:rFonts w:ascii="Times New Roman" w:hAnsi="Times New Roman" w:cs="Times New Roman"/>
          <w:snapToGrid w:val="0"/>
          <w:kern w:val="0"/>
        </w:rPr>
        <w:t>18500m</w:t>
      </w:r>
      <w:r w:rsidRPr="00F9522B">
        <w:rPr>
          <w:rFonts w:ascii="Times New Roman" w:hAnsi="Times New Roman" w:cs="Times New Roman"/>
          <w:snapToGrid w:val="0"/>
          <w:kern w:val="0"/>
          <w:vertAlign w:val="superscript"/>
        </w:rPr>
        <w:t>2</w:t>
      </w:r>
      <w:r w:rsidRPr="00F9522B">
        <w:rPr>
          <w:rFonts w:ascii="Times New Roman" w:hAnsi="Times New Roman" w:cs="Times New Roman"/>
          <w:snapToGrid w:val="0"/>
          <w:kern w:val="0"/>
        </w:rPr>
        <w:t>，草籽选用紫花苜蓿等，种草密度</w:t>
      </w:r>
      <w:r w:rsidRPr="00F9522B">
        <w:rPr>
          <w:rFonts w:ascii="Times New Roman" w:hAnsi="Times New Roman" w:cs="Times New Roman"/>
          <w:snapToGrid w:val="0"/>
          <w:kern w:val="0"/>
        </w:rPr>
        <w:t>80kg/</w:t>
      </w:r>
      <w:r w:rsidRPr="00F9522B">
        <w:rPr>
          <w:rFonts w:ascii="Times New Roman" w:hAnsi="Times New Roman" w:cs="Times New Roman"/>
          <w:snapToGrid w:val="0"/>
          <w:kern w:val="0"/>
        </w:rPr>
        <w:t>公顷，恢复旱地</w:t>
      </w:r>
      <w:r w:rsidRPr="00F9522B">
        <w:rPr>
          <w:rFonts w:ascii="Times New Roman" w:hAnsi="Times New Roman" w:cs="Times New Roman"/>
          <w:snapToGrid w:val="0"/>
          <w:kern w:val="0"/>
        </w:rPr>
        <w:t>10500m</w:t>
      </w:r>
      <w:r w:rsidRPr="00F9522B">
        <w:rPr>
          <w:rFonts w:ascii="Times New Roman" w:hAnsi="Times New Roman" w:cs="Times New Roman"/>
          <w:snapToGrid w:val="0"/>
          <w:kern w:val="0"/>
          <w:vertAlign w:val="superscript"/>
        </w:rPr>
        <w:t>2</w:t>
      </w:r>
      <w:r w:rsidRPr="00F9522B">
        <w:rPr>
          <w:rFonts w:ascii="Times New Roman" w:hAnsi="Times New Roman" w:cs="Times New Roman"/>
          <w:snapToGrid w:val="0"/>
          <w:kern w:val="0"/>
        </w:rPr>
        <w:t>。使临时占地土地利用类型、植被覆盖度、生物量等恢复为原有水平。减少由于工程施工对其景观、生态、水土保持等方面的不利影响</w:t>
      </w:r>
      <w:r w:rsidR="00611CBA" w:rsidRPr="00F9522B">
        <w:rPr>
          <w:rFonts w:ascii="Times New Roman" w:hAnsi="Times New Roman" w:cs="Times New Roman"/>
          <w:snapToGrid w:val="0"/>
          <w:kern w:val="0"/>
        </w:rPr>
        <w:t>。</w:t>
      </w:r>
      <w:r w:rsidR="00611CBA" w:rsidRPr="00F9522B">
        <w:rPr>
          <w:rFonts w:ascii="Times New Roman" w:hAnsi="Times New Roman" w:cs="Times New Roman"/>
        </w:rPr>
        <w:t>建设单位为生态恢复工程实施责任主体</w:t>
      </w:r>
      <w:r w:rsidR="00611CBA" w:rsidRPr="00F9522B">
        <w:rPr>
          <w:rFonts w:ascii="Times New Roman" w:hAnsi="Times New Roman" w:cs="Times New Roman"/>
          <w:snapToGrid w:val="0"/>
        </w:rPr>
        <w:t>。</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kern w:val="24"/>
        </w:rPr>
        <w:t>（</w:t>
      </w:r>
      <w:r w:rsidRPr="00F9522B">
        <w:rPr>
          <w:rFonts w:ascii="Times New Roman" w:hAnsi="Times New Roman" w:cs="Times New Roman"/>
          <w:kern w:val="24"/>
        </w:rPr>
        <w:t>2</w:t>
      </w:r>
      <w:r w:rsidRPr="00F9522B">
        <w:rPr>
          <w:rFonts w:ascii="Times New Roman" w:hAnsi="Times New Roman" w:cs="Times New Roman"/>
          <w:kern w:val="24"/>
        </w:rPr>
        <w:t>）水土流失影响分析</w:t>
      </w:r>
    </w:p>
    <w:p w:rsidR="002A5A5E" w:rsidRPr="00F9522B" w:rsidRDefault="00611CBA">
      <w:pPr>
        <w:autoSpaceDE w:val="0"/>
        <w:autoSpaceDN w:val="0"/>
        <w:spacing w:line="360" w:lineRule="auto"/>
        <w:ind w:firstLineChars="200" w:firstLine="480"/>
        <w:contextualSpacing/>
        <w:rPr>
          <w:rFonts w:eastAsiaTheme="minorEastAsia"/>
          <w:sz w:val="24"/>
        </w:rPr>
      </w:pPr>
      <w:r w:rsidRPr="00F9522B">
        <w:rPr>
          <w:rFonts w:eastAsiaTheme="minorEastAsia"/>
          <w:sz w:val="24"/>
        </w:rPr>
        <w:t>项目开发建设过程、</w:t>
      </w:r>
      <w:r w:rsidRPr="00F9522B">
        <w:rPr>
          <w:rFonts w:eastAsiaTheme="minorEastAsia"/>
          <w:bCs/>
          <w:sz w:val="24"/>
        </w:rPr>
        <w:t>占地开挖、建设等会扰动地表，破坏地表植被，使其失去固土防冲的能力，易诱发水土流失。排土场、工业场地平整等工程行为，使土壤裸露、地表扰动、局部地貌改变、原稳定体失衡，易产生水蚀，会对区域环境产生不利影响</w:t>
      </w:r>
      <w:r w:rsidRPr="00F9522B">
        <w:rPr>
          <w:rFonts w:eastAsiaTheme="minorEastAsia"/>
          <w:sz w:val="24"/>
        </w:rPr>
        <w:t>。</w:t>
      </w:r>
    </w:p>
    <w:p w:rsidR="002A5A5E" w:rsidRPr="00F9522B" w:rsidRDefault="005273A1">
      <w:pPr>
        <w:autoSpaceDE w:val="0"/>
        <w:autoSpaceDN w:val="0"/>
        <w:spacing w:line="360" w:lineRule="auto"/>
        <w:ind w:firstLineChars="200" w:firstLine="480"/>
        <w:contextualSpacing/>
        <w:rPr>
          <w:rFonts w:eastAsiaTheme="minorEastAsia"/>
          <w:szCs w:val="21"/>
        </w:rPr>
      </w:pPr>
      <w:r w:rsidRPr="00F9522B">
        <w:rPr>
          <w:rFonts w:eastAsiaTheme="minorEastAsia"/>
          <w:sz w:val="24"/>
        </w:rPr>
        <w:fldChar w:fldCharType="begin"/>
      </w:r>
      <w:r w:rsidR="00611CBA" w:rsidRPr="00F9522B">
        <w:rPr>
          <w:rFonts w:eastAsiaTheme="minorEastAsia"/>
          <w:sz w:val="24"/>
        </w:rPr>
        <w:instrText xml:space="preserve"> = 1 \* GB3 </w:instrText>
      </w:r>
      <w:r w:rsidRPr="00F9522B">
        <w:rPr>
          <w:rFonts w:eastAsiaTheme="minorEastAsia"/>
          <w:sz w:val="24"/>
        </w:rPr>
        <w:fldChar w:fldCharType="separate"/>
      </w:r>
      <w:r w:rsidR="00611CBA" w:rsidRPr="00F9522B">
        <w:rPr>
          <w:rFonts w:ascii="宋体" w:hAnsi="宋体" w:cs="宋体" w:hint="eastAsia"/>
          <w:sz w:val="24"/>
        </w:rPr>
        <w:t>①</w:t>
      </w:r>
      <w:r w:rsidRPr="00F9522B">
        <w:rPr>
          <w:rFonts w:eastAsiaTheme="minorEastAsia"/>
          <w:sz w:val="24"/>
        </w:rPr>
        <w:fldChar w:fldCharType="end"/>
      </w:r>
      <w:r w:rsidR="00611CBA" w:rsidRPr="00F9522B">
        <w:rPr>
          <w:rFonts w:eastAsiaTheme="minorEastAsia"/>
          <w:bCs/>
          <w:sz w:val="24"/>
        </w:rPr>
        <w:t>水土流失防治责任范围</w:t>
      </w:r>
    </w:p>
    <w:p w:rsidR="002A5A5E" w:rsidRPr="00F9522B" w:rsidRDefault="00611CBA">
      <w:pPr>
        <w:autoSpaceDE w:val="0"/>
        <w:autoSpaceDN w:val="0"/>
        <w:spacing w:line="360" w:lineRule="auto"/>
        <w:ind w:firstLineChars="200" w:firstLine="480"/>
        <w:contextualSpacing/>
        <w:rPr>
          <w:rFonts w:eastAsiaTheme="minorEastAsia"/>
          <w:bCs/>
          <w:sz w:val="24"/>
        </w:rPr>
      </w:pPr>
      <w:r w:rsidRPr="00F9522B">
        <w:rPr>
          <w:rFonts w:eastAsiaTheme="minorEastAsia"/>
          <w:bCs/>
          <w:sz w:val="24"/>
        </w:rPr>
        <w:t>根据《生产建设项目水土保持技术标准》（</w:t>
      </w:r>
      <w:r w:rsidRPr="00F9522B">
        <w:rPr>
          <w:rFonts w:eastAsiaTheme="minorEastAsia"/>
          <w:bCs/>
          <w:sz w:val="24"/>
        </w:rPr>
        <w:t>GB50433-2018</w:t>
      </w:r>
      <w:r w:rsidRPr="00F9522B">
        <w:rPr>
          <w:rFonts w:eastAsiaTheme="minorEastAsia"/>
          <w:bCs/>
          <w:sz w:val="24"/>
        </w:rPr>
        <w:t>），生产建设项目水土流失防治责任范围应包括项目永久征地、临时占地（含租赁土地）以及其他使用与管辖区域。</w:t>
      </w:r>
    </w:p>
    <w:p w:rsidR="002A5A5E" w:rsidRPr="00F9522B" w:rsidRDefault="00611CBA">
      <w:pPr>
        <w:pStyle w:val="afb"/>
        <w:rPr>
          <w:rFonts w:eastAsiaTheme="minorEastAsia"/>
          <w:color w:val="auto"/>
        </w:rPr>
      </w:pPr>
      <w:r w:rsidRPr="00F9522B">
        <w:rPr>
          <w:rFonts w:eastAsiaTheme="minorEastAsia"/>
          <w:color w:val="auto"/>
        </w:rPr>
        <w:t>通过查阅项目征地资料、现场勘查以及了解主体工程征占地、工程布置和施工时序后，确定本项目的防治责任范围。本项目水土流失防治责任范围为</w:t>
      </w:r>
      <w:r w:rsidR="00997DD5" w:rsidRPr="00F9522B">
        <w:rPr>
          <w:rFonts w:eastAsiaTheme="minorEastAsia"/>
          <w:color w:val="auto"/>
        </w:rPr>
        <w:t>202298</w:t>
      </w:r>
      <w:r w:rsidRPr="00F9522B">
        <w:rPr>
          <w:rFonts w:eastAsiaTheme="minorEastAsia"/>
          <w:color w:val="auto"/>
        </w:rPr>
        <w:t>m</w:t>
      </w:r>
      <w:r w:rsidRPr="00F9522B">
        <w:rPr>
          <w:rFonts w:eastAsiaTheme="minorEastAsia"/>
          <w:color w:val="auto"/>
          <w:vertAlign w:val="superscript"/>
        </w:rPr>
        <w:t>2</w:t>
      </w:r>
      <w:r w:rsidRPr="00F9522B">
        <w:rPr>
          <w:rFonts w:eastAsiaTheme="minorEastAsia"/>
          <w:color w:val="auto"/>
        </w:rPr>
        <w:t>，隶属于呼兰区。</w:t>
      </w:r>
    </w:p>
    <w:p w:rsidR="002A5A5E" w:rsidRPr="00F9522B" w:rsidRDefault="00611CBA">
      <w:pPr>
        <w:pStyle w:val="afb"/>
        <w:rPr>
          <w:rFonts w:eastAsiaTheme="minorEastAsia"/>
          <w:color w:val="auto"/>
        </w:rPr>
      </w:pPr>
      <w:r w:rsidRPr="00F9522B">
        <w:rPr>
          <w:rFonts w:eastAsiaTheme="minorEastAsia"/>
          <w:color w:val="auto"/>
        </w:rPr>
        <w:t>本工程水土流失防治分区为主体工程区、施工道路区以及临时堆土区。占地类型分为</w:t>
      </w:r>
      <w:r w:rsidR="009555CD" w:rsidRPr="00F9522B">
        <w:rPr>
          <w:rFonts w:eastAsiaTheme="minorEastAsia"/>
          <w:bCs/>
          <w:snapToGrid w:val="0"/>
          <w:color w:val="auto"/>
          <w:kern w:val="0"/>
        </w:rPr>
        <w:t>草地、交通运输用地、水利设施用地、坑塘水面</w:t>
      </w:r>
      <w:r w:rsidRPr="00F9522B">
        <w:rPr>
          <w:rFonts w:eastAsiaTheme="minorEastAsia"/>
          <w:color w:val="auto"/>
        </w:rPr>
        <w:t>，占地性质分为永久占地及临时占地。</w:t>
      </w:r>
    </w:p>
    <w:p w:rsidR="002A5A5E" w:rsidRPr="00F9522B" w:rsidRDefault="00611CBA">
      <w:pPr>
        <w:pStyle w:val="afb"/>
        <w:rPr>
          <w:rFonts w:eastAsiaTheme="minorEastAsia"/>
          <w:color w:val="auto"/>
        </w:rPr>
      </w:pPr>
      <w:r w:rsidRPr="00F9522B">
        <w:rPr>
          <w:rFonts w:eastAsiaTheme="minorEastAsia"/>
          <w:color w:val="auto"/>
        </w:rPr>
        <w:t>1</w:t>
      </w:r>
      <w:r w:rsidRPr="00F9522B">
        <w:rPr>
          <w:rFonts w:eastAsiaTheme="minorEastAsia"/>
          <w:color w:val="auto"/>
        </w:rPr>
        <w:t>）主体工程区</w:t>
      </w:r>
    </w:p>
    <w:p w:rsidR="002A5A5E" w:rsidRPr="00F9522B" w:rsidRDefault="00611CBA">
      <w:pPr>
        <w:pStyle w:val="afb"/>
        <w:rPr>
          <w:rFonts w:eastAsiaTheme="minorEastAsia"/>
          <w:color w:val="auto"/>
        </w:rPr>
      </w:pPr>
      <w:r w:rsidRPr="00F9522B">
        <w:rPr>
          <w:rFonts w:eastAsiaTheme="minorEastAsia"/>
          <w:color w:val="auto"/>
        </w:rPr>
        <w:t>主体工程区包括</w:t>
      </w:r>
      <w:r w:rsidR="00997DD5" w:rsidRPr="00F9522B">
        <w:rPr>
          <w:rFonts w:eastAsiaTheme="minorEastAsia"/>
          <w:color w:val="auto"/>
        </w:rPr>
        <w:t>机电井</w:t>
      </w:r>
      <w:r w:rsidRPr="00F9522B">
        <w:rPr>
          <w:rFonts w:eastAsiaTheme="minorEastAsia"/>
          <w:color w:val="auto"/>
        </w:rPr>
        <w:t>、建筑物</w:t>
      </w:r>
      <w:r w:rsidR="00997DD5" w:rsidRPr="00F9522B">
        <w:rPr>
          <w:rFonts w:eastAsiaTheme="minorEastAsia"/>
          <w:color w:val="auto"/>
        </w:rPr>
        <w:t>等</w:t>
      </w:r>
      <w:r w:rsidRPr="00F9522B">
        <w:rPr>
          <w:rFonts w:eastAsiaTheme="minorEastAsia"/>
          <w:color w:val="auto"/>
        </w:rPr>
        <w:t>工程区，新增占地面积为</w:t>
      </w:r>
      <w:r w:rsidR="00B42C98" w:rsidRPr="00F9522B">
        <w:rPr>
          <w:rFonts w:eastAsiaTheme="minorEastAsia"/>
          <w:color w:val="auto"/>
        </w:rPr>
        <w:t>46260</w:t>
      </w:r>
      <w:r w:rsidRPr="00F9522B">
        <w:rPr>
          <w:rFonts w:eastAsiaTheme="minorEastAsia"/>
          <w:color w:val="auto"/>
        </w:rPr>
        <w:t>m</w:t>
      </w:r>
      <w:r w:rsidRPr="00F9522B">
        <w:rPr>
          <w:rFonts w:eastAsiaTheme="minorEastAsia"/>
          <w:bCs/>
          <w:color w:val="auto"/>
          <w:vertAlign w:val="superscript"/>
        </w:rPr>
        <w:t>2</w:t>
      </w:r>
      <w:r w:rsidRPr="00F9522B">
        <w:rPr>
          <w:rFonts w:eastAsiaTheme="minorEastAsia"/>
          <w:color w:val="auto"/>
        </w:rPr>
        <w:t>。主体工程占地为本次工程扰动范围，计入本工程的水土流失防治责任范围内。</w:t>
      </w:r>
    </w:p>
    <w:p w:rsidR="002A5A5E" w:rsidRPr="00F9522B" w:rsidRDefault="00611CBA">
      <w:pPr>
        <w:pStyle w:val="afb"/>
        <w:rPr>
          <w:rFonts w:eastAsiaTheme="minorEastAsia"/>
          <w:color w:val="auto"/>
        </w:rPr>
      </w:pPr>
      <w:r w:rsidRPr="00F9522B">
        <w:rPr>
          <w:rFonts w:eastAsiaTheme="minorEastAsia"/>
          <w:color w:val="auto"/>
        </w:rPr>
        <w:t>2</w:t>
      </w:r>
      <w:r w:rsidRPr="00F9522B">
        <w:rPr>
          <w:rFonts w:eastAsiaTheme="minorEastAsia"/>
          <w:color w:val="auto"/>
        </w:rPr>
        <w:t>）施工道路区</w:t>
      </w:r>
    </w:p>
    <w:p w:rsidR="002A5A5E" w:rsidRPr="00F9522B" w:rsidRDefault="00611CBA">
      <w:pPr>
        <w:pStyle w:val="afb"/>
        <w:rPr>
          <w:rFonts w:eastAsiaTheme="minorEastAsia"/>
          <w:color w:val="auto"/>
        </w:rPr>
      </w:pPr>
      <w:r w:rsidRPr="00F9522B">
        <w:rPr>
          <w:rFonts w:eastAsiaTheme="minorEastAsia"/>
          <w:color w:val="auto"/>
        </w:rPr>
        <w:t>为满足施工需要，主体工程新建临时道路，占地面积</w:t>
      </w:r>
      <w:r w:rsidR="00E17AA8" w:rsidRPr="00F9522B">
        <w:rPr>
          <w:rFonts w:eastAsiaTheme="minorEastAsia"/>
          <w:color w:val="auto"/>
        </w:rPr>
        <w:t>264</w:t>
      </w:r>
      <w:r w:rsidRPr="00F9522B">
        <w:rPr>
          <w:rFonts w:eastAsiaTheme="minorEastAsia"/>
          <w:color w:val="auto"/>
        </w:rPr>
        <w:t>0m</w:t>
      </w:r>
      <w:r w:rsidRPr="00F9522B">
        <w:rPr>
          <w:rFonts w:eastAsiaTheme="minorEastAsia"/>
          <w:color w:val="auto"/>
          <w:vertAlign w:val="superscript"/>
        </w:rPr>
        <w:t>2</w:t>
      </w:r>
      <w:r w:rsidRPr="00F9522B">
        <w:rPr>
          <w:rFonts w:eastAsiaTheme="minorEastAsia"/>
          <w:color w:val="auto"/>
        </w:rPr>
        <w:t>，占地性质为临时占地。</w:t>
      </w:r>
    </w:p>
    <w:p w:rsidR="002A5A5E" w:rsidRPr="00F9522B" w:rsidRDefault="00611CBA">
      <w:pPr>
        <w:pStyle w:val="afb"/>
        <w:rPr>
          <w:rFonts w:eastAsiaTheme="minorEastAsia"/>
          <w:color w:val="auto"/>
        </w:rPr>
      </w:pPr>
      <w:r w:rsidRPr="00F9522B">
        <w:rPr>
          <w:rFonts w:eastAsiaTheme="minorEastAsia"/>
          <w:color w:val="auto"/>
        </w:rPr>
        <w:lastRenderedPageBreak/>
        <w:t>3</w:t>
      </w:r>
      <w:r w:rsidRPr="00F9522B">
        <w:rPr>
          <w:rFonts w:eastAsiaTheme="minorEastAsia"/>
          <w:color w:val="auto"/>
        </w:rPr>
        <w:t>）临时堆土区</w:t>
      </w:r>
    </w:p>
    <w:p w:rsidR="002A5A5E" w:rsidRPr="00F9522B" w:rsidRDefault="00611CBA">
      <w:pPr>
        <w:pStyle w:val="afb"/>
        <w:rPr>
          <w:rFonts w:eastAsiaTheme="minorEastAsia"/>
          <w:color w:val="auto"/>
        </w:rPr>
      </w:pPr>
      <w:r w:rsidRPr="00F9522B">
        <w:rPr>
          <w:rFonts w:eastAsiaTheme="minorEastAsia"/>
          <w:color w:val="auto"/>
        </w:rPr>
        <w:t>为满足施工要求，设置临时堆土区（堆料场），总占地面积</w:t>
      </w:r>
      <w:r w:rsidR="00D20F79">
        <w:rPr>
          <w:rFonts w:eastAsiaTheme="minorEastAsia"/>
          <w:color w:val="auto"/>
        </w:rPr>
        <w:t>291500</w:t>
      </w:r>
      <w:r w:rsidRPr="00F9522B">
        <w:rPr>
          <w:rFonts w:eastAsiaTheme="minorEastAsia"/>
          <w:color w:val="auto"/>
        </w:rPr>
        <w:t>m</w:t>
      </w:r>
      <w:r w:rsidRPr="00F9522B">
        <w:rPr>
          <w:rFonts w:eastAsiaTheme="minorEastAsia"/>
          <w:color w:val="auto"/>
          <w:vertAlign w:val="superscript"/>
        </w:rPr>
        <w:t>2</w:t>
      </w:r>
      <w:r w:rsidRPr="00F9522B">
        <w:rPr>
          <w:rFonts w:eastAsiaTheme="minorEastAsia"/>
          <w:color w:val="auto"/>
        </w:rPr>
        <w:t>，占地性质为临时占地。</w:t>
      </w:r>
    </w:p>
    <w:p w:rsidR="002A5A5E" w:rsidRPr="00F9522B" w:rsidRDefault="005273A1">
      <w:pPr>
        <w:autoSpaceDE w:val="0"/>
        <w:autoSpaceDN w:val="0"/>
        <w:spacing w:line="360" w:lineRule="auto"/>
        <w:ind w:firstLineChars="200" w:firstLine="480"/>
        <w:contextualSpacing/>
        <w:rPr>
          <w:rFonts w:eastAsiaTheme="minorEastAsia"/>
          <w:bCs/>
          <w:sz w:val="24"/>
        </w:rPr>
      </w:pPr>
      <w:r w:rsidRPr="00F9522B">
        <w:rPr>
          <w:rFonts w:eastAsiaTheme="minorEastAsia"/>
          <w:bCs/>
          <w:sz w:val="24"/>
        </w:rPr>
        <w:fldChar w:fldCharType="begin"/>
      </w:r>
      <w:r w:rsidR="00611CBA" w:rsidRPr="00F9522B">
        <w:rPr>
          <w:rFonts w:eastAsiaTheme="minorEastAsia"/>
          <w:bCs/>
          <w:sz w:val="24"/>
        </w:rPr>
        <w:instrText xml:space="preserve"> = 2 \* GB3 </w:instrText>
      </w:r>
      <w:r w:rsidRPr="00F9522B">
        <w:rPr>
          <w:rFonts w:eastAsiaTheme="minorEastAsia"/>
          <w:bCs/>
          <w:sz w:val="24"/>
        </w:rPr>
        <w:fldChar w:fldCharType="separate"/>
      </w:r>
      <w:r w:rsidR="00611CBA" w:rsidRPr="00F9522B">
        <w:rPr>
          <w:rFonts w:ascii="宋体" w:hAnsi="宋体" w:cs="宋体" w:hint="eastAsia"/>
          <w:bCs/>
          <w:sz w:val="24"/>
        </w:rPr>
        <w:t>②</w:t>
      </w:r>
      <w:r w:rsidRPr="00F9522B">
        <w:rPr>
          <w:rFonts w:eastAsiaTheme="minorEastAsia"/>
          <w:bCs/>
          <w:sz w:val="24"/>
        </w:rPr>
        <w:fldChar w:fldCharType="end"/>
      </w:r>
      <w:r w:rsidR="00611CBA" w:rsidRPr="00F9522B">
        <w:rPr>
          <w:rFonts w:eastAsiaTheme="minorEastAsia"/>
          <w:bCs/>
          <w:sz w:val="24"/>
        </w:rPr>
        <w:t>水土流失防治目标</w:t>
      </w:r>
    </w:p>
    <w:p w:rsidR="002A5A5E" w:rsidRPr="00F9522B" w:rsidRDefault="00611CBA">
      <w:pPr>
        <w:autoSpaceDE w:val="0"/>
        <w:autoSpaceDN w:val="0"/>
        <w:spacing w:line="360" w:lineRule="auto"/>
        <w:ind w:firstLineChars="200" w:firstLine="480"/>
        <w:contextualSpacing/>
        <w:rPr>
          <w:rFonts w:eastAsiaTheme="minorEastAsia"/>
          <w:bCs/>
          <w:sz w:val="24"/>
        </w:rPr>
      </w:pPr>
      <w:r w:rsidRPr="00F9522B">
        <w:rPr>
          <w:rFonts w:eastAsiaTheme="minorEastAsia"/>
          <w:bCs/>
          <w:sz w:val="24"/>
        </w:rPr>
        <w:t>本项目的水土流失防治目标是：项目建设范围内的新增水土流失得到有效控制，原有水土流失得到治理；水土保持设施安全有效；水土资源、林草植被得到最大限度的保护与恢复；水土流失治理度、土壤流失控制比、渣土防护率、表土保护率、林草植被恢复率、林草覆盖率达到设计目标值。</w:t>
      </w:r>
    </w:p>
    <w:p w:rsidR="002A5A5E" w:rsidRPr="00F9522B" w:rsidRDefault="00611CBA">
      <w:pPr>
        <w:autoSpaceDE w:val="0"/>
        <w:autoSpaceDN w:val="0"/>
        <w:spacing w:line="360" w:lineRule="auto"/>
        <w:ind w:firstLineChars="200" w:firstLine="480"/>
        <w:contextualSpacing/>
        <w:rPr>
          <w:rFonts w:eastAsiaTheme="minorEastAsia"/>
          <w:bCs/>
          <w:sz w:val="24"/>
        </w:rPr>
      </w:pPr>
      <w:r w:rsidRPr="00F9522B">
        <w:rPr>
          <w:rFonts w:eastAsiaTheme="minorEastAsia"/>
          <w:bCs/>
          <w:sz w:val="24"/>
        </w:rPr>
        <w:t>项目区土壤侵蚀强度为轻度，土壤流失控制比调整为</w:t>
      </w:r>
      <w:r w:rsidRPr="00F9522B">
        <w:rPr>
          <w:rFonts w:eastAsiaTheme="minorEastAsia"/>
          <w:bCs/>
          <w:sz w:val="24"/>
        </w:rPr>
        <w:t>1</w:t>
      </w:r>
      <w:r w:rsidR="00967D9B" w:rsidRPr="00F9522B">
        <w:rPr>
          <w:rFonts w:eastAsiaTheme="minorEastAsia"/>
          <w:bCs/>
          <w:sz w:val="24"/>
        </w:rPr>
        <w:t>.</w:t>
      </w:r>
      <w:r w:rsidRPr="00F9522B">
        <w:rPr>
          <w:rFonts w:eastAsiaTheme="minorEastAsia"/>
          <w:bCs/>
          <w:sz w:val="24"/>
        </w:rPr>
        <w:t>0</w:t>
      </w:r>
      <w:r w:rsidRPr="00F9522B">
        <w:rPr>
          <w:rFonts w:eastAsiaTheme="minorEastAsia"/>
          <w:bCs/>
          <w:sz w:val="24"/>
        </w:rPr>
        <w:t>；项目位于水土流失重点治理区，林草覆盖率应提高，但主体设计项目实际能达到的林草覆盖率为</w:t>
      </w:r>
      <w:r w:rsidRPr="00F9522B">
        <w:rPr>
          <w:rFonts w:eastAsiaTheme="minorEastAsia"/>
          <w:bCs/>
          <w:sz w:val="24"/>
        </w:rPr>
        <w:t>12%</w:t>
      </w:r>
      <w:r w:rsidRPr="00F9522B">
        <w:rPr>
          <w:rFonts w:eastAsiaTheme="minorEastAsia"/>
          <w:bCs/>
          <w:sz w:val="24"/>
        </w:rPr>
        <w:t>，其余临时占地进行复垦，因此将林草覆盖率指标调整至</w:t>
      </w:r>
      <w:r w:rsidRPr="00F9522B">
        <w:rPr>
          <w:rFonts w:eastAsiaTheme="minorEastAsia"/>
          <w:bCs/>
          <w:sz w:val="24"/>
        </w:rPr>
        <w:t>12%</w:t>
      </w:r>
      <w:r w:rsidRPr="00F9522B">
        <w:rPr>
          <w:rFonts w:eastAsiaTheme="minorEastAsia"/>
          <w:bCs/>
          <w:sz w:val="24"/>
        </w:rPr>
        <w:t>。考虑项目区干旱程度、土壤侵蚀强度以及项目特点等因素，确定本方案防治目标。本项目执行的防治标准详见下表。</w:t>
      </w:r>
    </w:p>
    <w:p w:rsidR="00D20F79" w:rsidRDefault="00D20F79">
      <w:pPr>
        <w:jc w:val="center"/>
        <w:rPr>
          <w:rFonts w:eastAsiaTheme="minorEastAsia"/>
          <w:b/>
          <w:bCs/>
          <w:szCs w:val="21"/>
        </w:rPr>
      </w:pPr>
    </w:p>
    <w:p w:rsidR="00D20F79" w:rsidRDefault="00D20F79">
      <w:pPr>
        <w:jc w:val="center"/>
        <w:rPr>
          <w:rFonts w:eastAsiaTheme="minorEastAsia"/>
          <w:b/>
          <w:bCs/>
          <w:szCs w:val="21"/>
        </w:rPr>
      </w:pPr>
    </w:p>
    <w:p w:rsidR="00D20F79" w:rsidRDefault="00D20F79">
      <w:pPr>
        <w:jc w:val="center"/>
        <w:rPr>
          <w:rFonts w:eastAsiaTheme="minorEastAsia"/>
          <w:b/>
          <w:bCs/>
          <w:szCs w:val="21"/>
        </w:rPr>
      </w:pPr>
    </w:p>
    <w:p w:rsidR="00D20F79" w:rsidRDefault="00D20F79">
      <w:pPr>
        <w:jc w:val="center"/>
        <w:rPr>
          <w:rFonts w:eastAsiaTheme="minorEastAsia"/>
          <w:b/>
          <w:bCs/>
          <w:szCs w:val="21"/>
        </w:rPr>
      </w:pPr>
    </w:p>
    <w:p w:rsidR="00D20F79" w:rsidRDefault="00D20F79">
      <w:pPr>
        <w:jc w:val="center"/>
        <w:rPr>
          <w:rFonts w:eastAsiaTheme="minorEastAsia"/>
          <w:b/>
          <w:bCs/>
          <w:szCs w:val="21"/>
        </w:rPr>
      </w:pPr>
    </w:p>
    <w:p w:rsidR="00D20F79" w:rsidRDefault="00D20F79">
      <w:pPr>
        <w:jc w:val="center"/>
        <w:rPr>
          <w:rFonts w:eastAsiaTheme="minorEastAsia"/>
          <w:b/>
          <w:bCs/>
          <w:szCs w:val="21"/>
        </w:rPr>
      </w:pPr>
    </w:p>
    <w:p w:rsidR="00D20F79" w:rsidRDefault="00D20F79">
      <w:pPr>
        <w:jc w:val="center"/>
        <w:rPr>
          <w:rFonts w:eastAsiaTheme="minorEastAsia"/>
          <w:b/>
          <w:bCs/>
          <w:szCs w:val="21"/>
        </w:rPr>
      </w:pPr>
    </w:p>
    <w:p w:rsidR="00D20F79" w:rsidRDefault="00D20F79">
      <w:pPr>
        <w:jc w:val="center"/>
        <w:rPr>
          <w:rFonts w:eastAsiaTheme="minorEastAsia"/>
          <w:b/>
          <w:bCs/>
          <w:szCs w:val="21"/>
        </w:rPr>
      </w:pPr>
    </w:p>
    <w:p w:rsidR="00D20F79" w:rsidRDefault="00D20F79">
      <w:pPr>
        <w:jc w:val="center"/>
        <w:rPr>
          <w:rFonts w:eastAsiaTheme="minorEastAsia"/>
          <w:b/>
          <w:bCs/>
          <w:szCs w:val="21"/>
        </w:rPr>
      </w:pPr>
    </w:p>
    <w:p w:rsidR="00D20F79" w:rsidRDefault="00D20F79">
      <w:pPr>
        <w:jc w:val="center"/>
        <w:rPr>
          <w:rFonts w:eastAsiaTheme="minorEastAsia"/>
          <w:b/>
          <w:bCs/>
          <w:szCs w:val="21"/>
        </w:rPr>
      </w:pPr>
    </w:p>
    <w:p w:rsidR="002A5A5E" w:rsidRPr="00F9522B" w:rsidRDefault="00611CBA">
      <w:pPr>
        <w:jc w:val="center"/>
        <w:rPr>
          <w:rFonts w:eastAsiaTheme="minorEastAsia"/>
          <w:b/>
          <w:bCs/>
          <w:szCs w:val="21"/>
        </w:rPr>
      </w:pPr>
      <w:r w:rsidRPr="00F9522B">
        <w:rPr>
          <w:rFonts w:eastAsiaTheme="minorEastAsia"/>
          <w:b/>
          <w:bCs/>
          <w:szCs w:val="21"/>
        </w:rPr>
        <w:t>表</w:t>
      </w:r>
      <w:r w:rsidRPr="00F9522B">
        <w:rPr>
          <w:rFonts w:eastAsiaTheme="minorEastAsia"/>
          <w:b/>
          <w:bCs/>
          <w:szCs w:val="21"/>
        </w:rPr>
        <w:t>5-1-7</w:t>
      </w:r>
      <w:r w:rsidRPr="00F9522B">
        <w:rPr>
          <w:rFonts w:eastAsiaTheme="minorEastAsia"/>
          <w:b/>
          <w:bCs/>
          <w:szCs w:val="21"/>
        </w:rPr>
        <w:t>水土流失防治目标</w:t>
      </w:r>
    </w:p>
    <w:tbl>
      <w:tblPr>
        <w:tblStyle w:val="TableNormal"/>
        <w:tblW w:w="4997" w:type="pct"/>
        <w:tblInd w:w="0" w:type="dxa"/>
        <w:tblBorders>
          <w:top w:val="single" w:sz="12" w:space="0" w:color="000000"/>
          <w:bottom w:val="single" w:sz="12" w:space="0" w:color="000000"/>
          <w:insideH w:val="single" w:sz="2" w:space="0" w:color="000000"/>
          <w:insideV w:val="single" w:sz="2" w:space="0" w:color="000000"/>
        </w:tblBorders>
        <w:tblLook w:val="04A0"/>
      </w:tblPr>
      <w:tblGrid>
        <w:gridCol w:w="2103"/>
        <w:gridCol w:w="1313"/>
        <w:gridCol w:w="837"/>
        <w:gridCol w:w="1194"/>
        <w:gridCol w:w="968"/>
        <w:gridCol w:w="923"/>
        <w:gridCol w:w="963"/>
      </w:tblGrid>
      <w:tr w:rsidR="002A5A5E" w:rsidRPr="00F9522B">
        <w:trPr>
          <w:trHeight w:val="340"/>
        </w:trPr>
        <w:tc>
          <w:tcPr>
            <w:tcW w:w="1267" w:type="pct"/>
            <w:vMerge w:val="restart"/>
            <w:tcBorders>
              <w:tl2br w:val="nil"/>
              <w:tr2bl w:val="nil"/>
            </w:tcBorders>
            <w:vAlign w:val="center"/>
          </w:tcPr>
          <w:p w:rsidR="002A5A5E" w:rsidRPr="00F9522B" w:rsidRDefault="00611CBA">
            <w:pPr>
              <w:jc w:val="center"/>
            </w:pPr>
            <w:r w:rsidRPr="00F9522B">
              <w:t>防治指标</w:t>
            </w:r>
          </w:p>
        </w:tc>
        <w:tc>
          <w:tcPr>
            <w:tcW w:w="1295" w:type="pct"/>
            <w:gridSpan w:val="2"/>
            <w:tcBorders>
              <w:right w:val="single" w:sz="4" w:space="0" w:color="auto"/>
              <w:tl2br w:val="nil"/>
              <w:tr2bl w:val="nil"/>
            </w:tcBorders>
            <w:vAlign w:val="center"/>
          </w:tcPr>
          <w:p w:rsidR="002A5A5E" w:rsidRPr="00F9522B" w:rsidRDefault="00611CBA">
            <w:pPr>
              <w:jc w:val="center"/>
            </w:pPr>
            <w:r w:rsidRPr="00F9522B">
              <w:t>一级防治标准的防治目标值</w:t>
            </w:r>
          </w:p>
        </w:tc>
        <w:tc>
          <w:tcPr>
            <w:tcW w:w="719" w:type="pct"/>
            <w:tcBorders>
              <w:left w:val="single" w:sz="4" w:space="0" w:color="auto"/>
              <w:right w:val="single" w:sz="4" w:space="0" w:color="auto"/>
              <w:tl2br w:val="nil"/>
              <w:tr2bl w:val="nil"/>
            </w:tcBorders>
            <w:vAlign w:val="center"/>
          </w:tcPr>
          <w:p w:rsidR="002A5A5E" w:rsidRPr="00F9522B" w:rsidRDefault="00611CBA">
            <w:pPr>
              <w:jc w:val="center"/>
            </w:pPr>
            <w:r w:rsidRPr="00F9522B">
              <w:t>按土壤侵蚀强度调整的防治目标值</w:t>
            </w:r>
          </w:p>
        </w:tc>
        <w:tc>
          <w:tcPr>
            <w:tcW w:w="583" w:type="pct"/>
            <w:vMerge w:val="restart"/>
            <w:tcBorders>
              <w:left w:val="single" w:sz="4" w:space="0" w:color="auto"/>
              <w:tl2br w:val="nil"/>
              <w:tr2bl w:val="nil"/>
            </w:tcBorders>
            <w:vAlign w:val="center"/>
          </w:tcPr>
          <w:p w:rsidR="002A5A5E" w:rsidRPr="00F9522B" w:rsidRDefault="00611CBA">
            <w:pPr>
              <w:jc w:val="center"/>
            </w:pPr>
            <w:r w:rsidRPr="00F9522B">
              <w:t>按主体设计调整</w:t>
            </w:r>
          </w:p>
        </w:tc>
        <w:tc>
          <w:tcPr>
            <w:tcW w:w="1136" w:type="pct"/>
            <w:gridSpan w:val="2"/>
            <w:tcBorders>
              <w:tl2br w:val="nil"/>
              <w:tr2bl w:val="nil"/>
            </w:tcBorders>
            <w:vAlign w:val="center"/>
          </w:tcPr>
          <w:p w:rsidR="002A5A5E" w:rsidRPr="00F9522B" w:rsidRDefault="00611CBA">
            <w:pPr>
              <w:jc w:val="center"/>
            </w:pPr>
            <w:r w:rsidRPr="00F9522B">
              <w:t>本方案采用的防治目标值</w:t>
            </w:r>
          </w:p>
        </w:tc>
      </w:tr>
      <w:tr w:rsidR="002A5A5E" w:rsidRPr="00F9522B">
        <w:trPr>
          <w:trHeight w:val="340"/>
        </w:trPr>
        <w:tc>
          <w:tcPr>
            <w:tcW w:w="1267" w:type="pct"/>
            <w:vMerge/>
            <w:tcBorders>
              <w:tl2br w:val="nil"/>
              <w:tr2bl w:val="nil"/>
            </w:tcBorders>
            <w:vAlign w:val="center"/>
          </w:tcPr>
          <w:p w:rsidR="002A5A5E" w:rsidRPr="00F9522B" w:rsidRDefault="002A5A5E">
            <w:pPr>
              <w:jc w:val="center"/>
            </w:pPr>
          </w:p>
        </w:tc>
        <w:tc>
          <w:tcPr>
            <w:tcW w:w="791" w:type="pct"/>
            <w:tcBorders>
              <w:tl2br w:val="nil"/>
              <w:tr2bl w:val="nil"/>
            </w:tcBorders>
            <w:vAlign w:val="center"/>
          </w:tcPr>
          <w:p w:rsidR="002A5A5E" w:rsidRPr="00F9522B" w:rsidRDefault="00611CBA">
            <w:pPr>
              <w:jc w:val="center"/>
            </w:pPr>
            <w:r w:rsidRPr="00F9522B">
              <w:t>施工期</w:t>
            </w:r>
          </w:p>
        </w:tc>
        <w:tc>
          <w:tcPr>
            <w:tcW w:w="504" w:type="pct"/>
            <w:tcBorders>
              <w:tl2br w:val="nil"/>
              <w:tr2bl w:val="nil"/>
            </w:tcBorders>
            <w:vAlign w:val="center"/>
          </w:tcPr>
          <w:p w:rsidR="002A5A5E" w:rsidRPr="00F9522B" w:rsidRDefault="00611CBA">
            <w:pPr>
              <w:jc w:val="center"/>
            </w:pPr>
            <w:r w:rsidRPr="00F9522B">
              <w:t>设计水平年</w:t>
            </w:r>
          </w:p>
        </w:tc>
        <w:tc>
          <w:tcPr>
            <w:tcW w:w="719" w:type="pct"/>
            <w:tcBorders>
              <w:tl2br w:val="nil"/>
              <w:tr2bl w:val="nil"/>
            </w:tcBorders>
            <w:vAlign w:val="center"/>
          </w:tcPr>
          <w:p w:rsidR="002A5A5E" w:rsidRPr="00F9522B" w:rsidRDefault="00611CBA">
            <w:pPr>
              <w:jc w:val="center"/>
            </w:pPr>
            <w:r w:rsidRPr="00F9522B">
              <w:t>轻度</w:t>
            </w:r>
          </w:p>
        </w:tc>
        <w:tc>
          <w:tcPr>
            <w:tcW w:w="583" w:type="pct"/>
            <w:vMerge/>
            <w:tcBorders>
              <w:left w:val="single" w:sz="4" w:space="0" w:color="auto"/>
              <w:tl2br w:val="nil"/>
              <w:tr2bl w:val="nil"/>
            </w:tcBorders>
            <w:vAlign w:val="center"/>
          </w:tcPr>
          <w:p w:rsidR="002A5A5E" w:rsidRPr="00F9522B" w:rsidRDefault="002A5A5E">
            <w:pPr>
              <w:jc w:val="center"/>
            </w:pPr>
          </w:p>
        </w:tc>
        <w:tc>
          <w:tcPr>
            <w:tcW w:w="556" w:type="pct"/>
            <w:tcBorders>
              <w:tl2br w:val="nil"/>
              <w:tr2bl w:val="nil"/>
            </w:tcBorders>
            <w:vAlign w:val="center"/>
          </w:tcPr>
          <w:p w:rsidR="002A5A5E" w:rsidRPr="00F9522B" w:rsidRDefault="00611CBA">
            <w:pPr>
              <w:jc w:val="center"/>
            </w:pPr>
            <w:r w:rsidRPr="00F9522B">
              <w:t>施工期</w:t>
            </w:r>
          </w:p>
        </w:tc>
        <w:tc>
          <w:tcPr>
            <w:tcW w:w="580" w:type="pct"/>
            <w:tcBorders>
              <w:tl2br w:val="nil"/>
              <w:tr2bl w:val="nil"/>
            </w:tcBorders>
            <w:vAlign w:val="center"/>
          </w:tcPr>
          <w:p w:rsidR="002A5A5E" w:rsidRPr="00F9522B" w:rsidRDefault="00611CBA">
            <w:pPr>
              <w:jc w:val="center"/>
            </w:pPr>
            <w:r w:rsidRPr="00F9522B">
              <w:t>设计水平年</w:t>
            </w:r>
          </w:p>
        </w:tc>
      </w:tr>
      <w:tr w:rsidR="002A5A5E" w:rsidRPr="00F9522B">
        <w:trPr>
          <w:trHeight w:val="340"/>
        </w:trPr>
        <w:tc>
          <w:tcPr>
            <w:tcW w:w="1267" w:type="pct"/>
            <w:tcBorders>
              <w:tl2br w:val="nil"/>
              <w:tr2bl w:val="nil"/>
            </w:tcBorders>
            <w:vAlign w:val="center"/>
          </w:tcPr>
          <w:p w:rsidR="002A5A5E" w:rsidRPr="00F9522B" w:rsidRDefault="00611CBA">
            <w:pPr>
              <w:jc w:val="center"/>
            </w:pPr>
            <w:r w:rsidRPr="00F9522B">
              <w:t>水土流失治理度（</w:t>
            </w:r>
            <w:r w:rsidRPr="00F9522B">
              <w:t>%</w:t>
            </w:r>
            <w:r w:rsidRPr="00F9522B">
              <w:t>）</w:t>
            </w:r>
          </w:p>
        </w:tc>
        <w:tc>
          <w:tcPr>
            <w:tcW w:w="791" w:type="pct"/>
            <w:tcBorders>
              <w:tl2br w:val="nil"/>
              <w:tr2bl w:val="nil"/>
            </w:tcBorders>
            <w:vAlign w:val="center"/>
          </w:tcPr>
          <w:p w:rsidR="002A5A5E" w:rsidRPr="00F9522B" w:rsidRDefault="00611CBA">
            <w:pPr>
              <w:jc w:val="center"/>
            </w:pPr>
            <w:r w:rsidRPr="00F9522B">
              <w:t>-</w:t>
            </w:r>
          </w:p>
        </w:tc>
        <w:tc>
          <w:tcPr>
            <w:tcW w:w="504" w:type="pct"/>
            <w:tcBorders>
              <w:tl2br w:val="nil"/>
              <w:tr2bl w:val="nil"/>
            </w:tcBorders>
            <w:vAlign w:val="center"/>
          </w:tcPr>
          <w:p w:rsidR="002A5A5E" w:rsidRPr="00F9522B" w:rsidRDefault="00611CBA">
            <w:pPr>
              <w:jc w:val="center"/>
            </w:pPr>
            <w:r w:rsidRPr="00F9522B">
              <w:t>97</w:t>
            </w:r>
          </w:p>
        </w:tc>
        <w:tc>
          <w:tcPr>
            <w:tcW w:w="719" w:type="pct"/>
            <w:tcBorders>
              <w:tl2br w:val="nil"/>
              <w:tr2bl w:val="nil"/>
            </w:tcBorders>
            <w:vAlign w:val="center"/>
          </w:tcPr>
          <w:p w:rsidR="002A5A5E" w:rsidRPr="00F9522B" w:rsidRDefault="002A5A5E">
            <w:pPr>
              <w:jc w:val="center"/>
            </w:pPr>
          </w:p>
        </w:tc>
        <w:tc>
          <w:tcPr>
            <w:tcW w:w="583" w:type="pct"/>
            <w:tcBorders>
              <w:left w:val="single" w:sz="4" w:space="0" w:color="auto"/>
              <w:tl2br w:val="nil"/>
              <w:tr2bl w:val="nil"/>
            </w:tcBorders>
            <w:vAlign w:val="center"/>
          </w:tcPr>
          <w:p w:rsidR="002A5A5E" w:rsidRPr="00F9522B" w:rsidRDefault="002A5A5E">
            <w:pPr>
              <w:jc w:val="center"/>
            </w:pPr>
          </w:p>
        </w:tc>
        <w:tc>
          <w:tcPr>
            <w:tcW w:w="556" w:type="pct"/>
            <w:tcBorders>
              <w:tl2br w:val="nil"/>
              <w:tr2bl w:val="nil"/>
            </w:tcBorders>
            <w:vAlign w:val="center"/>
          </w:tcPr>
          <w:p w:rsidR="002A5A5E" w:rsidRPr="00F9522B" w:rsidRDefault="00611CBA">
            <w:pPr>
              <w:jc w:val="center"/>
            </w:pPr>
            <w:r w:rsidRPr="00F9522B">
              <w:t>-</w:t>
            </w:r>
          </w:p>
        </w:tc>
        <w:tc>
          <w:tcPr>
            <w:tcW w:w="580" w:type="pct"/>
            <w:tcBorders>
              <w:tl2br w:val="nil"/>
              <w:tr2bl w:val="nil"/>
            </w:tcBorders>
            <w:vAlign w:val="center"/>
          </w:tcPr>
          <w:p w:rsidR="002A5A5E" w:rsidRPr="00F9522B" w:rsidRDefault="00611CBA">
            <w:pPr>
              <w:tabs>
                <w:tab w:val="left" w:pos="457"/>
              </w:tabs>
            </w:pPr>
            <w:r w:rsidRPr="00F9522B">
              <w:tab/>
              <w:t>97</w:t>
            </w:r>
          </w:p>
        </w:tc>
      </w:tr>
      <w:tr w:rsidR="002A5A5E" w:rsidRPr="00F9522B">
        <w:trPr>
          <w:trHeight w:val="340"/>
        </w:trPr>
        <w:tc>
          <w:tcPr>
            <w:tcW w:w="1267" w:type="pct"/>
            <w:tcBorders>
              <w:tl2br w:val="nil"/>
              <w:tr2bl w:val="nil"/>
            </w:tcBorders>
            <w:vAlign w:val="center"/>
          </w:tcPr>
          <w:p w:rsidR="002A5A5E" w:rsidRPr="00F9522B" w:rsidRDefault="00611CBA">
            <w:pPr>
              <w:jc w:val="center"/>
            </w:pPr>
            <w:r w:rsidRPr="00F9522B">
              <w:t>土壤流失控制比</w:t>
            </w:r>
          </w:p>
        </w:tc>
        <w:tc>
          <w:tcPr>
            <w:tcW w:w="791" w:type="pct"/>
            <w:tcBorders>
              <w:tl2br w:val="nil"/>
              <w:tr2bl w:val="nil"/>
            </w:tcBorders>
            <w:vAlign w:val="center"/>
          </w:tcPr>
          <w:p w:rsidR="002A5A5E" w:rsidRPr="00F9522B" w:rsidRDefault="00611CBA">
            <w:pPr>
              <w:jc w:val="center"/>
            </w:pPr>
            <w:r w:rsidRPr="00F9522B">
              <w:t>-</w:t>
            </w:r>
          </w:p>
        </w:tc>
        <w:tc>
          <w:tcPr>
            <w:tcW w:w="504" w:type="pct"/>
            <w:tcBorders>
              <w:tl2br w:val="nil"/>
              <w:tr2bl w:val="nil"/>
            </w:tcBorders>
            <w:vAlign w:val="center"/>
          </w:tcPr>
          <w:p w:rsidR="002A5A5E" w:rsidRPr="00F9522B" w:rsidRDefault="00611CBA">
            <w:pPr>
              <w:jc w:val="center"/>
            </w:pPr>
            <w:r w:rsidRPr="00F9522B">
              <w:t>0.9</w:t>
            </w:r>
          </w:p>
        </w:tc>
        <w:tc>
          <w:tcPr>
            <w:tcW w:w="719" w:type="pct"/>
            <w:tcBorders>
              <w:tl2br w:val="nil"/>
              <w:tr2bl w:val="nil"/>
            </w:tcBorders>
            <w:vAlign w:val="center"/>
          </w:tcPr>
          <w:p w:rsidR="002A5A5E" w:rsidRPr="00F9522B" w:rsidRDefault="00611CBA">
            <w:pPr>
              <w:jc w:val="center"/>
            </w:pPr>
            <w:r w:rsidRPr="00F9522B">
              <w:t>1.0</w:t>
            </w:r>
          </w:p>
        </w:tc>
        <w:tc>
          <w:tcPr>
            <w:tcW w:w="583" w:type="pct"/>
            <w:tcBorders>
              <w:left w:val="single" w:sz="4" w:space="0" w:color="auto"/>
              <w:tl2br w:val="nil"/>
              <w:tr2bl w:val="nil"/>
            </w:tcBorders>
            <w:vAlign w:val="center"/>
          </w:tcPr>
          <w:p w:rsidR="002A5A5E" w:rsidRPr="00F9522B" w:rsidRDefault="002A5A5E">
            <w:pPr>
              <w:jc w:val="center"/>
            </w:pPr>
          </w:p>
        </w:tc>
        <w:tc>
          <w:tcPr>
            <w:tcW w:w="556" w:type="pct"/>
            <w:tcBorders>
              <w:tl2br w:val="nil"/>
              <w:tr2bl w:val="nil"/>
            </w:tcBorders>
            <w:vAlign w:val="center"/>
          </w:tcPr>
          <w:p w:rsidR="002A5A5E" w:rsidRPr="00F9522B" w:rsidRDefault="00611CBA">
            <w:pPr>
              <w:jc w:val="center"/>
            </w:pPr>
            <w:r w:rsidRPr="00F9522B">
              <w:t>-</w:t>
            </w:r>
          </w:p>
        </w:tc>
        <w:tc>
          <w:tcPr>
            <w:tcW w:w="580" w:type="pct"/>
            <w:tcBorders>
              <w:tl2br w:val="nil"/>
              <w:tr2bl w:val="nil"/>
            </w:tcBorders>
            <w:vAlign w:val="center"/>
          </w:tcPr>
          <w:p w:rsidR="002A5A5E" w:rsidRPr="00F9522B" w:rsidRDefault="00611CBA">
            <w:pPr>
              <w:jc w:val="center"/>
            </w:pPr>
            <w:r w:rsidRPr="00F9522B">
              <w:t>1.0</w:t>
            </w:r>
          </w:p>
        </w:tc>
      </w:tr>
      <w:tr w:rsidR="002A5A5E" w:rsidRPr="00F9522B">
        <w:trPr>
          <w:trHeight w:val="340"/>
        </w:trPr>
        <w:tc>
          <w:tcPr>
            <w:tcW w:w="1267" w:type="pct"/>
            <w:tcBorders>
              <w:tl2br w:val="nil"/>
              <w:tr2bl w:val="nil"/>
            </w:tcBorders>
            <w:vAlign w:val="center"/>
          </w:tcPr>
          <w:p w:rsidR="002A5A5E" w:rsidRPr="00F9522B" w:rsidRDefault="00611CBA">
            <w:pPr>
              <w:jc w:val="center"/>
            </w:pPr>
            <w:r w:rsidRPr="00F9522B">
              <w:t>渣土防护率（</w:t>
            </w:r>
            <w:r w:rsidRPr="00F9522B">
              <w:t>%</w:t>
            </w:r>
            <w:r w:rsidRPr="00F9522B">
              <w:t>）</w:t>
            </w:r>
          </w:p>
        </w:tc>
        <w:tc>
          <w:tcPr>
            <w:tcW w:w="791" w:type="pct"/>
            <w:tcBorders>
              <w:tl2br w:val="nil"/>
              <w:tr2bl w:val="nil"/>
            </w:tcBorders>
            <w:vAlign w:val="center"/>
          </w:tcPr>
          <w:p w:rsidR="002A5A5E" w:rsidRPr="00F9522B" w:rsidRDefault="00611CBA">
            <w:pPr>
              <w:jc w:val="center"/>
            </w:pPr>
            <w:r w:rsidRPr="00F9522B">
              <w:t>95</w:t>
            </w:r>
          </w:p>
        </w:tc>
        <w:tc>
          <w:tcPr>
            <w:tcW w:w="504" w:type="pct"/>
            <w:tcBorders>
              <w:tl2br w:val="nil"/>
              <w:tr2bl w:val="nil"/>
            </w:tcBorders>
            <w:vAlign w:val="center"/>
          </w:tcPr>
          <w:p w:rsidR="002A5A5E" w:rsidRPr="00F9522B" w:rsidRDefault="00611CBA">
            <w:pPr>
              <w:jc w:val="center"/>
            </w:pPr>
            <w:r w:rsidRPr="00F9522B">
              <w:t>97</w:t>
            </w:r>
          </w:p>
        </w:tc>
        <w:tc>
          <w:tcPr>
            <w:tcW w:w="719" w:type="pct"/>
            <w:tcBorders>
              <w:tl2br w:val="nil"/>
              <w:tr2bl w:val="nil"/>
            </w:tcBorders>
            <w:vAlign w:val="center"/>
          </w:tcPr>
          <w:p w:rsidR="002A5A5E" w:rsidRPr="00F9522B" w:rsidRDefault="002A5A5E">
            <w:pPr>
              <w:jc w:val="center"/>
            </w:pPr>
          </w:p>
        </w:tc>
        <w:tc>
          <w:tcPr>
            <w:tcW w:w="583" w:type="pct"/>
            <w:tcBorders>
              <w:left w:val="single" w:sz="4" w:space="0" w:color="auto"/>
              <w:tl2br w:val="nil"/>
              <w:tr2bl w:val="nil"/>
            </w:tcBorders>
            <w:vAlign w:val="center"/>
          </w:tcPr>
          <w:p w:rsidR="002A5A5E" w:rsidRPr="00F9522B" w:rsidRDefault="002A5A5E">
            <w:pPr>
              <w:jc w:val="center"/>
            </w:pPr>
          </w:p>
        </w:tc>
        <w:tc>
          <w:tcPr>
            <w:tcW w:w="556" w:type="pct"/>
            <w:tcBorders>
              <w:tl2br w:val="nil"/>
              <w:tr2bl w:val="nil"/>
            </w:tcBorders>
            <w:vAlign w:val="center"/>
          </w:tcPr>
          <w:p w:rsidR="002A5A5E" w:rsidRPr="00F9522B" w:rsidRDefault="00611CBA">
            <w:pPr>
              <w:jc w:val="center"/>
            </w:pPr>
            <w:r w:rsidRPr="00F9522B">
              <w:t>95</w:t>
            </w:r>
          </w:p>
        </w:tc>
        <w:tc>
          <w:tcPr>
            <w:tcW w:w="580" w:type="pct"/>
            <w:tcBorders>
              <w:tl2br w:val="nil"/>
              <w:tr2bl w:val="nil"/>
            </w:tcBorders>
            <w:vAlign w:val="center"/>
          </w:tcPr>
          <w:p w:rsidR="002A5A5E" w:rsidRPr="00F9522B" w:rsidRDefault="00611CBA">
            <w:pPr>
              <w:jc w:val="center"/>
            </w:pPr>
            <w:r w:rsidRPr="00F9522B">
              <w:t>97</w:t>
            </w:r>
          </w:p>
        </w:tc>
      </w:tr>
      <w:tr w:rsidR="002A5A5E" w:rsidRPr="00F9522B">
        <w:trPr>
          <w:trHeight w:val="340"/>
        </w:trPr>
        <w:tc>
          <w:tcPr>
            <w:tcW w:w="1267" w:type="pct"/>
            <w:tcBorders>
              <w:tl2br w:val="nil"/>
              <w:tr2bl w:val="nil"/>
            </w:tcBorders>
            <w:vAlign w:val="center"/>
          </w:tcPr>
          <w:p w:rsidR="002A5A5E" w:rsidRPr="00F9522B" w:rsidRDefault="00611CBA">
            <w:pPr>
              <w:jc w:val="center"/>
            </w:pPr>
            <w:r w:rsidRPr="00F9522B">
              <w:t>表土保护率（</w:t>
            </w:r>
            <w:r w:rsidRPr="00F9522B">
              <w:t>%</w:t>
            </w:r>
            <w:r w:rsidRPr="00F9522B">
              <w:t>）</w:t>
            </w:r>
          </w:p>
        </w:tc>
        <w:tc>
          <w:tcPr>
            <w:tcW w:w="791" w:type="pct"/>
            <w:tcBorders>
              <w:tl2br w:val="nil"/>
              <w:tr2bl w:val="nil"/>
            </w:tcBorders>
            <w:vAlign w:val="center"/>
          </w:tcPr>
          <w:p w:rsidR="002A5A5E" w:rsidRPr="00F9522B" w:rsidRDefault="00611CBA">
            <w:pPr>
              <w:jc w:val="center"/>
            </w:pPr>
            <w:r w:rsidRPr="00F9522B">
              <w:t>98</w:t>
            </w:r>
          </w:p>
        </w:tc>
        <w:tc>
          <w:tcPr>
            <w:tcW w:w="504" w:type="pct"/>
            <w:tcBorders>
              <w:tl2br w:val="nil"/>
              <w:tr2bl w:val="nil"/>
            </w:tcBorders>
            <w:vAlign w:val="center"/>
          </w:tcPr>
          <w:p w:rsidR="002A5A5E" w:rsidRPr="00F9522B" w:rsidRDefault="00611CBA">
            <w:pPr>
              <w:jc w:val="center"/>
            </w:pPr>
            <w:r w:rsidRPr="00F9522B">
              <w:t>98</w:t>
            </w:r>
          </w:p>
        </w:tc>
        <w:tc>
          <w:tcPr>
            <w:tcW w:w="719" w:type="pct"/>
            <w:tcBorders>
              <w:tl2br w:val="nil"/>
              <w:tr2bl w:val="nil"/>
            </w:tcBorders>
            <w:vAlign w:val="center"/>
          </w:tcPr>
          <w:p w:rsidR="002A5A5E" w:rsidRPr="00F9522B" w:rsidRDefault="002A5A5E">
            <w:pPr>
              <w:jc w:val="center"/>
            </w:pPr>
          </w:p>
        </w:tc>
        <w:tc>
          <w:tcPr>
            <w:tcW w:w="583" w:type="pct"/>
            <w:tcBorders>
              <w:left w:val="single" w:sz="4" w:space="0" w:color="auto"/>
              <w:tl2br w:val="nil"/>
              <w:tr2bl w:val="nil"/>
            </w:tcBorders>
            <w:vAlign w:val="center"/>
          </w:tcPr>
          <w:p w:rsidR="002A5A5E" w:rsidRPr="00F9522B" w:rsidRDefault="002A5A5E">
            <w:pPr>
              <w:jc w:val="center"/>
            </w:pPr>
          </w:p>
        </w:tc>
        <w:tc>
          <w:tcPr>
            <w:tcW w:w="556" w:type="pct"/>
            <w:tcBorders>
              <w:tl2br w:val="nil"/>
              <w:tr2bl w:val="nil"/>
            </w:tcBorders>
            <w:vAlign w:val="center"/>
          </w:tcPr>
          <w:p w:rsidR="002A5A5E" w:rsidRPr="00F9522B" w:rsidRDefault="00611CBA">
            <w:pPr>
              <w:jc w:val="center"/>
            </w:pPr>
            <w:r w:rsidRPr="00F9522B">
              <w:t>98</w:t>
            </w:r>
          </w:p>
        </w:tc>
        <w:tc>
          <w:tcPr>
            <w:tcW w:w="580" w:type="pct"/>
            <w:tcBorders>
              <w:tl2br w:val="nil"/>
              <w:tr2bl w:val="nil"/>
            </w:tcBorders>
            <w:vAlign w:val="center"/>
          </w:tcPr>
          <w:p w:rsidR="002A5A5E" w:rsidRPr="00F9522B" w:rsidRDefault="00611CBA">
            <w:pPr>
              <w:jc w:val="center"/>
            </w:pPr>
            <w:r w:rsidRPr="00F9522B">
              <w:t>98</w:t>
            </w:r>
          </w:p>
        </w:tc>
      </w:tr>
      <w:tr w:rsidR="002A5A5E" w:rsidRPr="00F9522B">
        <w:trPr>
          <w:trHeight w:val="340"/>
        </w:trPr>
        <w:tc>
          <w:tcPr>
            <w:tcW w:w="1267" w:type="pct"/>
            <w:tcBorders>
              <w:tl2br w:val="nil"/>
              <w:tr2bl w:val="nil"/>
            </w:tcBorders>
            <w:vAlign w:val="center"/>
          </w:tcPr>
          <w:p w:rsidR="002A5A5E" w:rsidRPr="00F9522B" w:rsidRDefault="00611CBA">
            <w:pPr>
              <w:jc w:val="center"/>
            </w:pPr>
            <w:r w:rsidRPr="00F9522B">
              <w:t>林草植被恢复率（</w:t>
            </w:r>
            <w:r w:rsidRPr="00F9522B">
              <w:t>%</w:t>
            </w:r>
            <w:r w:rsidRPr="00F9522B">
              <w:t>）</w:t>
            </w:r>
          </w:p>
        </w:tc>
        <w:tc>
          <w:tcPr>
            <w:tcW w:w="791" w:type="pct"/>
            <w:tcBorders>
              <w:tl2br w:val="nil"/>
              <w:tr2bl w:val="nil"/>
            </w:tcBorders>
            <w:vAlign w:val="center"/>
          </w:tcPr>
          <w:p w:rsidR="002A5A5E" w:rsidRPr="00F9522B" w:rsidRDefault="00611CBA">
            <w:pPr>
              <w:jc w:val="center"/>
            </w:pPr>
            <w:r w:rsidRPr="00F9522B">
              <w:t>-</w:t>
            </w:r>
          </w:p>
        </w:tc>
        <w:tc>
          <w:tcPr>
            <w:tcW w:w="504" w:type="pct"/>
            <w:tcBorders>
              <w:tl2br w:val="nil"/>
              <w:tr2bl w:val="nil"/>
            </w:tcBorders>
            <w:vAlign w:val="center"/>
          </w:tcPr>
          <w:p w:rsidR="002A5A5E" w:rsidRPr="00F9522B" w:rsidRDefault="00611CBA">
            <w:pPr>
              <w:jc w:val="center"/>
            </w:pPr>
            <w:r w:rsidRPr="00F9522B">
              <w:t>97</w:t>
            </w:r>
          </w:p>
        </w:tc>
        <w:tc>
          <w:tcPr>
            <w:tcW w:w="719" w:type="pct"/>
            <w:tcBorders>
              <w:tl2br w:val="nil"/>
              <w:tr2bl w:val="nil"/>
            </w:tcBorders>
            <w:vAlign w:val="center"/>
          </w:tcPr>
          <w:p w:rsidR="002A5A5E" w:rsidRPr="00F9522B" w:rsidRDefault="002A5A5E">
            <w:pPr>
              <w:jc w:val="center"/>
            </w:pPr>
          </w:p>
        </w:tc>
        <w:tc>
          <w:tcPr>
            <w:tcW w:w="583" w:type="pct"/>
            <w:tcBorders>
              <w:left w:val="single" w:sz="4" w:space="0" w:color="auto"/>
              <w:tl2br w:val="nil"/>
              <w:tr2bl w:val="nil"/>
            </w:tcBorders>
            <w:vAlign w:val="center"/>
          </w:tcPr>
          <w:p w:rsidR="002A5A5E" w:rsidRPr="00F9522B" w:rsidRDefault="002A5A5E">
            <w:pPr>
              <w:jc w:val="center"/>
            </w:pPr>
          </w:p>
        </w:tc>
        <w:tc>
          <w:tcPr>
            <w:tcW w:w="556" w:type="pct"/>
            <w:tcBorders>
              <w:tl2br w:val="nil"/>
              <w:tr2bl w:val="nil"/>
            </w:tcBorders>
            <w:vAlign w:val="center"/>
          </w:tcPr>
          <w:p w:rsidR="002A5A5E" w:rsidRPr="00F9522B" w:rsidRDefault="00611CBA">
            <w:pPr>
              <w:jc w:val="center"/>
            </w:pPr>
            <w:r w:rsidRPr="00F9522B">
              <w:t>-</w:t>
            </w:r>
          </w:p>
        </w:tc>
        <w:tc>
          <w:tcPr>
            <w:tcW w:w="580" w:type="pct"/>
            <w:tcBorders>
              <w:tl2br w:val="nil"/>
              <w:tr2bl w:val="nil"/>
            </w:tcBorders>
            <w:vAlign w:val="center"/>
          </w:tcPr>
          <w:p w:rsidR="002A5A5E" w:rsidRPr="00F9522B" w:rsidRDefault="00611CBA">
            <w:pPr>
              <w:jc w:val="center"/>
            </w:pPr>
            <w:r w:rsidRPr="00F9522B">
              <w:t>97</w:t>
            </w:r>
          </w:p>
        </w:tc>
      </w:tr>
      <w:tr w:rsidR="002A5A5E" w:rsidRPr="00F9522B">
        <w:trPr>
          <w:trHeight w:val="340"/>
        </w:trPr>
        <w:tc>
          <w:tcPr>
            <w:tcW w:w="1267" w:type="pct"/>
            <w:tcBorders>
              <w:tl2br w:val="nil"/>
              <w:tr2bl w:val="nil"/>
            </w:tcBorders>
            <w:vAlign w:val="center"/>
          </w:tcPr>
          <w:p w:rsidR="002A5A5E" w:rsidRPr="00F9522B" w:rsidRDefault="00611CBA">
            <w:pPr>
              <w:jc w:val="center"/>
            </w:pPr>
            <w:r w:rsidRPr="00F9522B">
              <w:t>林草覆盖率（</w:t>
            </w:r>
            <w:r w:rsidRPr="00F9522B">
              <w:t>%</w:t>
            </w:r>
            <w:r w:rsidRPr="00F9522B">
              <w:t>）</w:t>
            </w:r>
          </w:p>
        </w:tc>
        <w:tc>
          <w:tcPr>
            <w:tcW w:w="791" w:type="pct"/>
            <w:tcBorders>
              <w:tl2br w:val="nil"/>
              <w:tr2bl w:val="nil"/>
            </w:tcBorders>
            <w:vAlign w:val="center"/>
          </w:tcPr>
          <w:p w:rsidR="002A5A5E" w:rsidRPr="00F9522B" w:rsidRDefault="00611CBA">
            <w:pPr>
              <w:jc w:val="center"/>
            </w:pPr>
            <w:r w:rsidRPr="00F9522B">
              <w:t>-</w:t>
            </w:r>
          </w:p>
        </w:tc>
        <w:tc>
          <w:tcPr>
            <w:tcW w:w="504" w:type="pct"/>
            <w:tcBorders>
              <w:tl2br w:val="nil"/>
              <w:tr2bl w:val="nil"/>
            </w:tcBorders>
            <w:vAlign w:val="center"/>
          </w:tcPr>
          <w:p w:rsidR="002A5A5E" w:rsidRPr="00F9522B" w:rsidRDefault="00611CBA">
            <w:pPr>
              <w:jc w:val="center"/>
            </w:pPr>
            <w:r w:rsidRPr="00F9522B">
              <w:t>25</w:t>
            </w:r>
          </w:p>
        </w:tc>
        <w:tc>
          <w:tcPr>
            <w:tcW w:w="719" w:type="pct"/>
            <w:tcBorders>
              <w:tl2br w:val="nil"/>
              <w:tr2bl w:val="nil"/>
            </w:tcBorders>
            <w:vAlign w:val="center"/>
          </w:tcPr>
          <w:p w:rsidR="002A5A5E" w:rsidRPr="00F9522B" w:rsidRDefault="002A5A5E">
            <w:pPr>
              <w:jc w:val="center"/>
            </w:pPr>
          </w:p>
        </w:tc>
        <w:tc>
          <w:tcPr>
            <w:tcW w:w="583" w:type="pct"/>
            <w:tcBorders>
              <w:left w:val="single" w:sz="4" w:space="0" w:color="auto"/>
              <w:tl2br w:val="nil"/>
              <w:tr2bl w:val="nil"/>
            </w:tcBorders>
            <w:vAlign w:val="center"/>
          </w:tcPr>
          <w:p w:rsidR="002A5A5E" w:rsidRPr="00F9522B" w:rsidRDefault="00611CBA">
            <w:pPr>
              <w:jc w:val="center"/>
            </w:pPr>
            <w:r w:rsidRPr="00F9522B">
              <w:t>-13</w:t>
            </w:r>
          </w:p>
        </w:tc>
        <w:tc>
          <w:tcPr>
            <w:tcW w:w="556" w:type="pct"/>
            <w:tcBorders>
              <w:tl2br w:val="nil"/>
              <w:tr2bl w:val="nil"/>
            </w:tcBorders>
            <w:vAlign w:val="center"/>
          </w:tcPr>
          <w:p w:rsidR="002A5A5E" w:rsidRPr="00F9522B" w:rsidRDefault="00611CBA">
            <w:pPr>
              <w:jc w:val="center"/>
            </w:pPr>
            <w:r w:rsidRPr="00F9522B">
              <w:t>-</w:t>
            </w:r>
          </w:p>
        </w:tc>
        <w:tc>
          <w:tcPr>
            <w:tcW w:w="580" w:type="pct"/>
            <w:tcBorders>
              <w:tl2br w:val="nil"/>
              <w:tr2bl w:val="nil"/>
            </w:tcBorders>
            <w:vAlign w:val="center"/>
          </w:tcPr>
          <w:p w:rsidR="002A5A5E" w:rsidRPr="00F9522B" w:rsidRDefault="00611CBA">
            <w:pPr>
              <w:jc w:val="center"/>
            </w:pPr>
            <w:r w:rsidRPr="00F9522B">
              <w:t>12</w:t>
            </w:r>
          </w:p>
        </w:tc>
      </w:tr>
    </w:tbl>
    <w:p w:rsidR="002A5A5E" w:rsidRPr="00F9522B" w:rsidRDefault="005273A1">
      <w:pPr>
        <w:autoSpaceDE w:val="0"/>
        <w:autoSpaceDN w:val="0"/>
        <w:spacing w:line="360" w:lineRule="auto"/>
        <w:ind w:firstLineChars="200" w:firstLine="480"/>
        <w:contextualSpacing/>
        <w:rPr>
          <w:rFonts w:eastAsiaTheme="minorEastAsia"/>
          <w:sz w:val="24"/>
        </w:rPr>
      </w:pPr>
      <w:r w:rsidRPr="00F9522B">
        <w:rPr>
          <w:rFonts w:eastAsiaTheme="minorEastAsia"/>
          <w:sz w:val="24"/>
        </w:rPr>
        <w:fldChar w:fldCharType="begin"/>
      </w:r>
      <w:r w:rsidR="00611CBA" w:rsidRPr="00F9522B">
        <w:rPr>
          <w:rFonts w:eastAsiaTheme="minorEastAsia"/>
          <w:sz w:val="24"/>
        </w:rPr>
        <w:instrText xml:space="preserve"> = 3 \* GB3 </w:instrText>
      </w:r>
      <w:r w:rsidRPr="00F9522B">
        <w:rPr>
          <w:rFonts w:eastAsiaTheme="minorEastAsia"/>
          <w:sz w:val="24"/>
        </w:rPr>
        <w:fldChar w:fldCharType="separate"/>
      </w:r>
      <w:r w:rsidR="00611CBA" w:rsidRPr="00F9522B">
        <w:rPr>
          <w:rFonts w:ascii="宋体" w:hAnsi="宋体" w:cs="宋体" w:hint="eastAsia"/>
          <w:sz w:val="24"/>
        </w:rPr>
        <w:t>③</w:t>
      </w:r>
      <w:r w:rsidRPr="00F9522B">
        <w:rPr>
          <w:rFonts w:eastAsiaTheme="minorEastAsia"/>
          <w:sz w:val="24"/>
        </w:rPr>
        <w:fldChar w:fldCharType="end"/>
      </w:r>
      <w:r w:rsidR="00611CBA" w:rsidRPr="00F9522B">
        <w:rPr>
          <w:rFonts w:eastAsiaTheme="minorEastAsia"/>
          <w:bCs/>
          <w:sz w:val="24"/>
        </w:rPr>
        <w:t>水土流失现状</w:t>
      </w:r>
    </w:p>
    <w:p w:rsidR="002A5A5E" w:rsidRPr="00F9522B" w:rsidRDefault="00611CBA">
      <w:pPr>
        <w:spacing w:line="360" w:lineRule="auto"/>
        <w:ind w:firstLineChars="200" w:firstLine="480"/>
        <w:rPr>
          <w:rFonts w:eastAsiaTheme="minorEastAsia"/>
          <w:sz w:val="24"/>
        </w:rPr>
      </w:pPr>
      <w:r w:rsidRPr="00F9522B">
        <w:rPr>
          <w:sz w:val="24"/>
        </w:rPr>
        <w:lastRenderedPageBreak/>
        <w:t>根据《黑龙江省水土保持规划（</w:t>
      </w:r>
      <w:r w:rsidRPr="00F9522B">
        <w:rPr>
          <w:sz w:val="24"/>
        </w:rPr>
        <w:t xml:space="preserve">2015-2030 </w:t>
      </w:r>
      <w:r w:rsidRPr="00F9522B">
        <w:rPr>
          <w:sz w:val="24"/>
        </w:rPr>
        <w:t>年）》，本项目涉及省级水土流失重点治理区。根据《土壤侵蚀分类分级标准》（</w:t>
      </w:r>
      <w:r w:rsidRPr="00F9522B">
        <w:rPr>
          <w:sz w:val="24"/>
        </w:rPr>
        <w:t>SL190-2007</w:t>
      </w:r>
      <w:r w:rsidRPr="00F9522B">
        <w:rPr>
          <w:sz w:val="24"/>
        </w:rPr>
        <w:t>），项目区土壤侵蚀类型为水力侵蚀；项目区属于东北黑土区，水土流失强度以轻度为主，针对项目区域的地形、地貌、降雨、风速、土壤、植被等水土流失影响因子的特性，结合现场实际调查等综合分析项目区平均土壤侵蚀模数为</w:t>
      </w:r>
      <w:r w:rsidRPr="00F9522B">
        <w:rPr>
          <w:sz w:val="24"/>
        </w:rPr>
        <w:t>800t/km</w:t>
      </w:r>
      <w:r w:rsidRPr="00F9522B">
        <w:rPr>
          <w:sz w:val="24"/>
          <w:vertAlign w:val="superscript"/>
        </w:rPr>
        <w:t>2</w:t>
      </w:r>
      <w:r w:rsidRPr="00F9522B">
        <w:rPr>
          <w:sz w:val="24"/>
        </w:rPr>
        <w:t>·a</w:t>
      </w:r>
      <w:r w:rsidRPr="00F9522B">
        <w:rPr>
          <w:sz w:val="24"/>
        </w:rPr>
        <w:t>，容许土壤流失量为</w:t>
      </w:r>
      <w:r w:rsidRPr="00F9522B">
        <w:rPr>
          <w:sz w:val="24"/>
        </w:rPr>
        <w:t>200t/km</w:t>
      </w:r>
      <w:r w:rsidRPr="00F9522B">
        <w:rPr>
          <w:sz w:val="24"/>
          <w:vertAlign w:val="superscript"/>
        </w:rPr>
        <w:t>2</w:t>
      </w:r>
      <w:r w:rsidRPr="00F9522B">
        <w:rPr>
          <w:sz w:val="24"/>
        </w:rPr>
        <w:t>·a</w:t>
      </w:r>
      <w:r w:rsidRPr="00F9522B">
        <w:rPr>
          <w:sz w:val="24"/>
        </w:rPr>
        <w:t>。</w:t>
      </w:r>
    </w:p>
    <w:p w:rsidR="002A5A5E" w:rsidRPr="00F9522B" w:rsidRDefault="005273A1">
      <w:pPr>
        <w:spacing w:line="360" w:lineRule="auto"/>
        <w:ind w:firstLineChars="200" w:firstLine="480"/>
        <w:rPr>
          <w:rFonts w:eastAsiaTheme="minorEastAsia"/>
          <w:b/>
          <w:sz w:val="24"/>
        </w:rPr>
      </w:pPr>
      <w:r w:rsidRPr="00F9522B">
        <w:rPr>
          <w:rFonts w:eastAsiaTheme="minorEastAsia"/>
          <w:sz w:val="24"/>
        </w:rPr>
        <w:fldChar w:fldCharType="begin"/>
      </w:r>
      <w:r w:rsidR="00611CBA" w:rsidRPr="00F9522B">
        <w:rPr>
          <w:rFonts w:eastAsiaTheme="minorEastAsia"/>
          <w:sz w:val="24"/>
        </w:rPr>
        <w:instrText xml:space="preserve"> = 4 \* GB3 </w:instrText>
      </w:r>
      <w:r w:rsidRPr="00F9522B">
        <w:rPr>
          <w:rFonts w:eastAsiaTheme="minorEastAsia"/>
          <w:sz w:val="24"/>
        </w:rPr>
        <w:fldChar w:fldCharType="separate"/>
      </w:r>
      <w:r w:rsidR="00611CBA" w:rsidRPr="00F9522B">
        <w:rPr>
          <w:rFonts w:ascii="宋体" w:hAnsi="宋体" w:cs="宋体" w:hint="eastAsia"/>
          <w:sz w:val="24"/>
        </w:rPr>
        <w:t>④</w:t>
      </w:r>
      <w:r w:rsidRPr="00F9522B">
        <w:rPr>
          <w:rFonts w:eastAsiaTheme="minorEastAsia"/>
          <w:sz w:val="24"/>
        </w:rPr>
        <w:fldChar w:fldCharType="end"/>
      </w:r>
      <w:r w:rsidR="00611CBA" w:rsidRPr="00F9522B">
        <w:rPr>
          <w:rFonts w:eastAsiaTheme="minorEastAsia"/>
          <w:bCs/>
          <w:sz w:val="24"/>
        </w:rPr>
        <w:t>水土流失影响因素分析</w:t>
      </w:r>
    </w:p>
    <w:p w:rsidR="002A5A5E" w:rsidRPr="00F9522B" w:rsidRDefault="00611CBA">
      <w:pPr>
        <w:autoSpaceDE w:val="0"/>
        <w:autoSpaceDN w:val="0"/>
        <w:spacing w:line="360" w:lineRule="auto"/>
        <w:ind w:firstLineChars="200" w:firstLine="480"/>
        <w:contextualSpacing/>
        <w:rPr>
          <w:rFonts w:eastAsiaTheme="minorEastAsia"/>
          <w:sz w:val="24"/>
        </w:rPr>
      </w:pPr>
      <w:r w:rsidRPr="00F9522B">
        <w:rPr>
          <w:rFonts w:eastAsiaTheme="minorEastAsia"/>
          <w:kern w:val="0"/>
          <w:sz w:val="24"/>
        </w:rPr>
        <w:t>本项目建设与生产对水土流失的影响按水土流失产生部位、水土流失特点及</w:t>
      </w:r>
      <w:r w:rsidRPr="00F9522B">
        <w:rPr>
          <w:rFonts w:eastAsiaTheme="minorEastAsia"/>
          <w:sz w:val="24"/>
        </w:rPr>
        <w:t>水土流失影响因素可分为施工期（含施工准备期）和自然恢复期</w:t>
      </w:r>
      <w:r w:rsidRPr="00F9522B">
        <w:rPr>
          <w:rFonts w:eastAsiaTheme="minorEastAsia"/>
          <w:sz w:val="24"/>
        </w:rPr>
        <w:t>2</w:t>
      </w:r>
      <w:r w:rsidRPr="00F9522B">
        <w:rPr>
          <w:rFonts w:eastAsiaTheme="minorEastAsia"/>
          <w:sz w:val="24"/>
        </w:rPr>
        <w:t>个阶段。</w:t>
      </w:r>
    </w:p>
    <w:p w:rsidR="002A5A5E" w:rsidRPr="00F9522B" w:rsidRDefault="00611CBA">
      <w:pPr>
        <w:autoSpaceDE w:val="0"/>
        <w:autoSpaceDN w:val="0"/>
        <w:spacing w:line="360" w:lineRule="auto"/>
        <w:ind w:firstLineChars="200" w:firstLine="480"/>
        <w:contextualSpacing/>
        <w:rPr>
          <w:rFonts w:eastAsiaTheme="minorEastAsia"/>
          <w:sz w:val="24"/>
        </w:rPr>
      </w:pPr>
      <w:r w:rsidRPr="00F9522B">
        <w:rPr>
          <w:rFonts w:eastAsiaTheme="minorEastAsia"/>
          <w:sz w:val="24"/>
        </w:rPr>
        <w:t>施工期（含施工准备期）：该阶段水土流失影响因素以人为活动为主导因素。项目建设过程中，建构物基础开挖、回填、建筑材料堆放、施工机械碾压和工人践踏等活动，改变了项目区地形地貌，扰动地表，破坏植被，将引起水土流失加剧。</w:t>
      </w:r>
    </w:p>
    <w:p w:rsidR="002A5A5E" w:rsidRPr="00F9522B" w:rsidRDefault="00611CBA">
      <w:pPr>
        <w:autoSpaceDE w:val="0"/>
        <w:autoSpaceDN w:val="0"/>
        <w:spacing w:line="360" w:lineRule="auto"/>
        <w:ind w:firstLineChars="200" w:firstLine="480"/>
        <w:contextualSpacing/>
        <w:rPr>
          <w:rFonts w:eastAsiaTheme="minorEastAsia"/>
          <w:sz w:val="24"/>
        </w:rPr>
      </w:pPr>
      <w:r w:rsidRPr="00F9522B">
        <w:rPr>
          <w:rFonts w:eastAsiaTheme="minorEastAsia"/>
          <w:sz w:val="24"/>
        </w:rPr>
        <w:t>自然恢复期：该阶段工程建设已经完成，人为活动对地表扰动较小，建设区域内水土流失强度将大大降低，水土流失因素以自然因素为主。自然恢复期项目区部分地表被建构物等所占压使用，裸露的土地采取工程措施与植物措施相结合进行综合防治。在植物措施尚未完全发挥其水土保持功能之前，受降雨溅蚀和径流冲刷，仍会有轻度的水土流失发生。但随着植物生长，覆盖度增加，水土流失将会逐渐得到控制。</w:t>
      </w:r>
    </w:p>
    <w:p w:rsidR="00D20F79" w:rsidRDefault="00D20F79">
      <w:pPr>
        <w:jc w:val="center"/>
        <w:rPr>
          <w:rFonts w:eastAsiaTheme="minorEastAsia"/>
          <w:b/>
          <w:bCs/>
          <w:szCs w:val="21"/>
        </w:rPr>
      </w:pPr>
    </w:p>
    <w:p w:rsidR="002A5A5E" w:rsidRPr="00F9522B" w:rsidRDefault="00611CBA">
      <w:pPr>
        <w:jc w:val="center"/>
        <w:rPr>
          <w:rFonts w:eastAsiaTheme="minorEastAsia"/>
          <w:b/>
          <w:bCs/>
          <w:szCs w:val="21"/>
        </w:rPr>
      </w:pPr>
      <w:r w:rsidRPr="00F9522B">
        <w:rPr>
          <w:rFonts w:eastAsiaTheme="minorEastAsia"/>
          <w:b/>
          <w:bCs/>
          <w:szCs w:val="21"/>
        </w:rPr>
        <w:t>表</w:t>
      </w:r>
      <w:r w:rsidRPr="00F9522B">
        <w:rPr>
          <w:rFonts w:eastAsiaTheme="minorEastAsia"/>
          <w:b/>
          <w:bCs/>
          <w:szCs w:val="21"/>
        </w:rPr>
        <w:t>5-1-8</w:t>
      </w:r>
      <w:r w:rsidRPr="00F9522B">
        <w:rPr>
          <w:rFonts w:eastAsiaTheme="minorEastAsia"/>
          <w:b/>
          <w:bCs/>
          <w:szCs w:val="21"/>
        </w:rPr>
        <w:t>可能造成水土流失的因素分析</w:t>
      </w:r>
    </w:p>
    <w:tbl>
      <w:tblPr>
        <w:tblW w:w="8528" w:type="dxa"/>
        <w:jc w:val="center"/>
        <w:tblBorders>
          <w:top w:val="single" w:sz="12" w:space="0" w:color="auto"/>
          <w:bottom w:val="single" w:sz="12" w:space="0" w:color="auto"/>
          <w:insideH w:val="single" w:sz="4" w:space="0" w:color="auto"/>
          <w:insideV w:val="single" w:sz="4" w:space="0" w:color="auto"/>
        </w:tblBorders>
        <w:tblLayout w:type="fixed"/>
        <w:tblLook w:val="04A0"/>
      </w:tblPr>
      <w:tblGrid>
        <w:gridCol w:w="676"/>
        <w:gridCol w:w="1700"/>
        <w:gridCol w:w="6152"/>
      </w:tblGrid>
      <w:tr w:rsidR="002A5A5E" w:rsidRPr="00F9522B">
        <w:trPr>
          <w:cantSplit/>
          <w:trHeight w:val="340"/>
          <w:jc w:val="center"/>
        </w:trPr>
        <w:tc>
          <w:tcPr>
            <w:tcW w:w="676" w:type="dxa"/>
            <w:vAlign w:val="center"/>
          </w:tcPr>
          <w:p w:rsidR="002A5A5E" w:rsidRPr="00F9522B" w:rsidRDefault="00611CBA">
            <w:pPr>
              <w:widowControl/>
              <w:adjustRightInd w:val="0"/>
              <w:snapToGrid w:val="0"/>
              <w:jc w:val="center"/>
              <w:rPr>
                <w:rFonts w:eastAsiaTheme="minorEastAsia"/>
                <w:kern w:val="0"/>
                <w:szCs w:val="21"/>
              </w:rPr>
            </w:pPr>
            <w:r w:rsidRPr="00F9522B">
              <w:rPr>
                <w:rFonts w:eastAsiaTheme="minorEastAsia"/>
                <w:kern w:val="0"/>
                <w:szCs w:val="21"/>
              </w:rPr>
              <w:t>序号</w:t>
            </w:r>
          </w:p>
        </w:tc>
        <w:tc>
          <w:tcPr>
            <w:tcW w:w="1700" w:type="dxa"/>
            <w:vAlign w:val="center"/>
          </w:tcPr>
          <w:p w:rsidR="002A5A5E" w:rsidRPr="00F9522B" w:rsidRDefault="00611CBA">
            <w:pPr>
              <w:widowControl/>
              <w:adjustRightInd w:val="0"/>
              <w:snapToGrid w:val="0"/>
              <w:jc w:val="center"/>
              <w:rPr>
                <w:rFonts w:eastAsiaTheme="minorEastAsia"/>
                <w:kern w:val="0"/>
                <w:szCs w:val="21"/>
              </w:rPr>
            </w:pPr>
            <w:r w:rsidRPr="00F9522B">
              <w:rPr>
                <w:rFonts w:eastAsiaTheme="minorEastAsia"/>
                <w:kern w:val="0"/>
                <w:szCs w:val="21"/>
              </w:rPr>
              <w:t>预测单元</w:t>
            </w:r>
          </w:p>
        </w:tc>
        <w:tc>
          <w:tcPr>
            <w:tcW w:w="6152" w:type="dxa"/>
            <w:vAlign w:val="center"/>
          </w:tcPr>
          <w:p w:rsidR="002A5A5E" w:rsidRPr="00F9522B" w:rsidRDefault="00611CBA">
            <w:pPr>
              <w:widowControl/>
              <w:adjustRightInd w:val="0"/>
              <w:snapToGrid w:val="0"/>
              <w:jc w:val="center"/>
              <w:rPr>
                <w:rFonts w:eastAsiaTheme="minorEastAsia"/>
                <w:kern w:val="0"/>
                <w:szCs w:val="21"/>
              </w:rPr>
            </w:pPr>
            <w:r w:rsidRPr="00F9522B">
              <w:rPr>
                <w:rFonts w:eastAsiaTheme="minorEastAsia"/>
                <w:kern w:val="0"/>
                <w:szCs w:val="21"/>
              </w:rPr>
              <w:t>可能造成水土流失的因素分析</w:t>
            </w:r>
          </w:p>
        </w:tc>
      </w:tr>
      <w:tr w:rsidR="002A5A5E" w:rsidRPr="00F9522B">
        <w:trPr>
          <w:cantSplit/>
          <w:trHeight w:val="340"/>
          <w:jc w:val="center"/>
        </w:trPr>
        <w:tc>
          <w:tcPr>
            <w:tcW w:w="676" w:type="dxa"/>
            <w:vAlign w:val="center"/>
          </w:tcPr>
          <w:p w:rsidR="002A5A5E" w:rsidRPr="00F9522B" w:rsidRDefault="00611CBA">
            <w:pPr>
              <w:widowControl/>
              <w:adjustRightInd w:val="0"/>
              <w:snapToGrid w:val="0"/>
              <w:jc w:val="center"/>
              <w:rPr>
                <w:rFonts w:eastAsiaTheme="minorEastAsia"/>
                <w:kern w:val="0"/>
                <w:szCs w:val="21"/>
              </w:rPr>
            </w:pPr>
            <w:r w:rsidRPr="00F9522B">
              <w:rPr>
                <w:rFonts w:eastAsiaTheme="minorEastAsia"/>
                <w:kern w:val="0"/>
                <w:szCs w:val="21"/>
              </w:rPr>
              <w:t>1</w:t>
            </w:r>
          </w:p>
        </w:tc>
        <w:tc>
          <w:tcPr>
            <w:tcW w:w="1700" w:type="dxa"/>
            <w:vAlign w:val="center"/>
          </w:tcPr>
          <w:p w:rsidR="002A5A5E" w:rsidRPr="00F9522B" w:rsidRDefault="00611CBA">
            <w:pPr>
              <w:widowControl/>
              <w:adjustRightInd w:val="0"/>
              <w:snapToGrid w:val="0"/>
              <w:jc w:val="center"/>
              <w:rPr>
                <w:rFonts w:eastAsiaTheme="minorEastAsia"/>
                <w:kern w:val="0"/>
                <w:szCs w:val="21"/>
              </w:rPr>
            </w:pPr>
            <w:r w:rsidRPr="00F9522B">
              <w:rPr>
                <w:rFonts w:eastAsiaTheme="minorEastAsia"/>
                <w:kern w:val="0"/>
                <w:szCs w:val="21"/>
              </w:rPr>
              <w:t>主体工程区</w:t>
            </w:r>
          </w:p>
        </w:tc>
        <w:tc>
          <w:tcPr>
            <w:tcW w:w="6152" w:type="dxa"/>
            <w:vAlign w:val="center"/>
          </w:tcPr>
          <w:p w:rsidR="002A5A5E" w:rsidRPr="00F9522B" w:rsidRDefault="00611CBA">
            <w:pPr>
              <w:widowControl/>
              <w:adjustRightInd w:val="0"/>
              <w:snapToGrid w:val="0"/>
              <w:textAlignment w:val="center"/>
              <w:rPr>
                <w:rFonts w:eastAsiaTheme="minorEastAsia"/>
                <w:kern w:val="0"/>
                <w:szCs w:val="21"/>
              </w:rPr>
            </w:pPr>
            <w:r w:rsidRPr="00F9522B">
              <w:rPr>
                <w:rFonts w:eastAsiaTheme="minorEastAsia"/>
                <w:kern w:val="0"/>
                <w:szCs w:val="21"/>
              </w:rPr>
              <w:t>渠道、建筑物清基、基础开挖，产生弃土临时堆置；干渠填筑形成土质坡面裸露；工程建设压占、扰动大面积土地，破坏地表植被。水土流失主要发生在清基和土方填筑过程中，松散弃渣堆置和裸露的土质坡面在外营力作用下易产生流失</w:t>
            </w:r>
          </w:p>
        </w:tc>
      </w:tr>
      <w:tr w:rsidR="002A5A5E" w:rsidRPr="00F9522B">
        <w:trPr>
          <w:cantSplit/>
          <w:trHeight w:val="340"/>
          <w:jc w:val="center"/>
        </w:trPr>
        <w:tc>
          <w:tcPr>
            <w:tcW w:w="676" w:type="dxa"/>
            <w:vAlign w:val="center"/>
          </w:tcPr>
          <w:p w:rsidR="002A5A5E" w:rsidRPr="00F9522B" w:rsidRDefault="00611CBA">
            <w:pPr>
              <w:widowControl/>
              <w:adjustRightInd w:val="0"/>
              <w:snapToGrid w:val="0"/>
              <w:jc w:val="center"/>
              <w:rPr>
                <w:rFonts w:eastAsiaTheme="minorEastAsia"/>
                <w:kern w:val="0"/>
                <w:szCs w:val="21"/>
              </w:rPr>
            </w:pPr>
            <w:r w:rsidRPr="00F9522B">
              <w:rPr>
                <w:rFonts w:eastAsiaTheme="minorEastAsia"/>
                <w:kern w:val="0"/>
                <w:szCs w:val="21"/>
              </w:rPr>
              <w:t>2</w:t>
            </w:r>
          </w:p>
        </w:tc>
        <w:tc>
          <w:tcPr>
            <w:tcW w:w="1700" w:type="dxa"/>
            <w:vAlign w:val="center"/>
          </w:tcPr>
          <w:p w:rsidR="002A5A5E" w:rsidRPr="00F9522B" w:rsidRDefault="00611CBA">
            <w:pPr>
              <w:widowControl/>
              <w:adjustRightInd w:val="0"/>
              <w:snapToGrid w:val="0"/>
              <w:jc w:val="center"/>
              <w:rPr>
                <w:rFonts w:eastAsiaTheme="minorEastAsia"/>
                <w:kern w:val="0"/>
                <w:szCs w:val="21"/>
              </w:rPr>
            </w:pPr>
            <w:r w:rsidRPr="00F9522B">
              <w:t>临时堆土区</w:t>
            </w:r>
          </w:p>
        </w:tc>
        <w:tc>
          <w:tcPr>
            <w:tcW w:w="6152" w:type="dxa"/>
            <w:vAlign w:val="center"/>
          </w:tcPr>
          <w:p w:rsidR="002A5A5E" w:rsidRPr="00F9522B" w:rsidRDefault="00611CBA">
            <w:pPr>
              <w:widowControl/>
              <w:adjustRightInd w:val="0"/>
              <w:snapToGrid w:val="0"/>
              <w:rPr>
                <w:rFonts w:eastAsiaTheme="minorEastAsia"/>
                <w:kern w:val="0"/>
                <w:szCs w:val="21"/>
              </w:rPr>
            </w:pPr>
            <w:r w:rsidRPr="00F9522B">
              <w:rPr>
                <w:rFonts w:eastAsiaTheme="minorEastAsia"/>
                <w:kern w:val="0"/>
                <w:szCs w:val="21"/>
              </w:rPr>
              <w:t>施工机械碾压、施工人员扰动、占压地表、土方回填、施工机械碾压</w:t>
            </w:r>
          </w:p>
        </w:tc>
      </w:tr>
      <w:tr w:rsidR="002A5A5E" w:rsidRPr="00F9522B">
        <w:trPr>
          <w:cantSplit/>
          <w:trHeight w:val="340"/>
          <w:jc w:val="center"/>
        </w:trPr>
        <w:tc>
          <w:tcPr>
            <w:tcW w:w="676" w:type="dxa"/>
            <w:vAlign w:val="center"/>
          </w:tcPr>
          <w:p w:rsidR="002A5A5E" w:rsidRPr="00F9522B" w:rsidRDefault="00611CBA">
            <w:pPr>
              <w:widowControl/>
              <w:adjustRightInd w:val="0"/>
              <w:snapToGrid w:val="0"/>
              <w:jc w:val="center"/>
              <w:rPr>
                <w:rFonts w:eastAsiaTheme="minorEastAsia"/>
                <w:kern w:val="0"/>
                <w:szCs w:val="21"/>
              </w:rPr>
            </w:pPr>
            <w:r w:rsidRPr="00F9522B">
              <w:rPr>
                <w:rFonts w:eastAsiaTheme="minorEastAsia"/>
                <w:kern w:val="0"/>
                <w:szCs w:val="21"/>
              </w:rPr>
              <w:t>3</w:t>
            </w:r>
          </w:p>
        </w:tc>
        <w:tc>
          <w:tcPr>
            <w:tcW w:w="1700" w:type="dxa"/>
            <w:vAlign w:val="center"/>
          </w:tcPr>
          <w:p w:rsidR="002A5A5E" w:rsidRPr="00F9522B" w:rsidRDefault="00611CBA">
            <w:pPr>
              <w:widowControl/>
              <w:adjustRightInd w:val="0"/>
              <w:snapToGrid w:val="0"/>
              <w:jc w:val="center"/>
              <w:rPr>
                <w:rFonts w:eastAsiaTheme="minorEastAsia"/>
                <w:kern w:val="0"/>
                <w:szCs w:val="21"/>
              </w:rPr>
            </w:pPr>
            <w:r w:rsidRPr="00F9522B">
              <w:rPr>
                <w:rFonts w:eastAsiaTheme="minorEastAsia"/>
                <w:kern w:val="0"/>
                <w:szCs w:val="21"/>
              </w:rPr>
              <w:t>施工道路区</w:t>
            </w:r>
          </w:p>
        </w:tc>
        <w:tc>
          <w:tcPr>
            <w:tcW w:w="6152" w:type="dxa"/>
            <w:vAlign w:val="center"/>
          </w:tcPr>
          <w:p w:rsidR="002A5A5E" w:rsidRPr="00F9522B" w:rsidRDefault="00611CBA">
            <w:pPr>
              <w:widowControl/>
              <w:adjustRightInd w:val="0"/>
              <w:snapToGrid w:val="0"/>
              <w:rPr>
                <w:rFonts w:eastAsiaTheme="minorEastAsia"/>
                <w:kern w:val="0"/>
                <w:szCs w:val="21"/>
              </w:rPr>
            </w:pPr>
            <w:r w:rsidRPr="00F9522B">
              <w:rPr>
                <w:rFonts w:eastAsiaTheme="minorEastAsia"/>
                <w:kern w:val="0"/>
                <w:szCs w:val="21"/>
              </w:rPr>
              <w:t>场地平整、路基填筑、占压地表</w:t>
            </w:r>
          </w:p>
        </w:tc>
      </w:tr>
    </w:tbl>
    <w:p w:rsidR="002A5A5E" w:rsidRPr="00F9522B" w:rsidRDefault="005273A1">
      <w:pPr>
        <w:autoSpaceDE w:val="0"/>
        <w:autoSpaceDN w:val="0"/>
        <w:spacing w:line="360" w:lineRule="auto"/>
        <w:ind w:firstLineChars="200" w:firstLine="480"/>
        <w:contextualSpacing/>
        <w:rPr>
          <w:rFonts w:eastAsiaTheme="minorEastAsia"/>
          <w:sz w:val="24"/>
        </w:rPr>
      </w:pPr>
      <w:r w:rsidRPr="00F9522B">
        <w:rPr>
          <w:rFonts w:eastAsiaTheme="minorEastAsia"/>
          <w:sz w:val="24"/>
        </w:rPr>
        <w:fldChar w:fldCharType="begin"/>
      </w:r>
      <w:r w:rsidR="00611CBA" w:rsidRPr="00F9522B">
        <w:rPr>
          <w:rFonts w:eastAsiaTheme="minorEastAsia"/>
          <w:sz w:val="24"/>
        </w:rPr>
        <w:instrText xml:space="preserve"> = 5 \* GB3 </w:instrText>
      </w:r>
      <w:r w:rsidRPr="00F9522B">
        <w:rPr>
          <w:rFonts w:eastAsiaTheme="minorEastAsia"/>
          <w:sz w:val="24"/>
        </w:rPr>
        <w:fldChar w:fldCharType="separate"/>
      </w:r>
      <w:r w:rsidR="00611CBA" w:rsidRPr="00F9522B">
        <w:rPr>
          <w:rFonts w:ascii="宋体" w:hAnsi="宋体" w:cs="宋体" w:hint="eastAsia"/>
          <w:sz w:val="24"/>
        </w:rPr>
        <w:t>⑤</w:t>
      </w:r>
      <w:r w:rsidRPr="00F9522B">
        <w:rPr>
          <w:rFonts w:eastAsiaTheme="minorEastAsia"/>
          <w:sz w:val="24"/>
        </w:rPr>
        <w:fldChar w:fldCharType="end"/>
      </w:r>
      <w:r w:rsidR="00611CBA" w:rsidRPr="00F9522B">
        <w:rPr>
          <w:rFonts w:eastAsiaTheme="minorEastAsia"/>
          <w:sz w:val="24"/>
        </w:rPr>
        <w:t>水土流失预测</w:t>
      </w:r>
    </w:p>
    <w:p w:rsidR="002A5A5E" w:rsidRPr="00F9522B" w:rsidRDefault="00611CBA" w:rsidP="003E5585">
      <w:pPr>
        <w:autoSpaceDE w:val="0"/>
        <w:autoSpaceDN w:val="0"/>
        <w:spacing w:line="360" w:lineRule="auto"/>
        <w:ind w:firstLineChars="200" w:firstLine="480"/>
        <w:contextualSpacing/>
        <w:rPr>
          <w:rFonts w:eastAsiaTheme="minorEastAsia"/>
          <w:sz w:val="24"/>
        </w:rPr>
      </w:pPr>
      <w:r w:rsidRPr="00F9522B">
        <w:rPr>
          <w:rFonts w:eastAsiaTheme="minorEastAsia"/>
          <w:sz w:val="24"/>
        </w:rPr>
        <w:t>预测单元</w:t>
      </w:r>
      <w:r w:rsidR="003E5585" w:rsidRPr="00F9522B">
        <w:rPr>
          <w:rFonts w:eastAsiaTheme="minorEastAsia"/>
          <w:sz w:val="24"/>
        </w:rPr>
        <w:t>：</w:t>
      </w:r>
      <w:r w:rsidRPr="00F9522B">
        <w:rPr>
          <w:rFonts w:eastAsiaTheme="minorEastAsia"/>
          <w:sz w:val="24"/>
        </w:rPr>
        <w:t>依据工程布局、扰动地表时段、扰动形式以及扰动强度和特点，本项目预测单元划分为主体工程区、施工道路区以及临时堆土区。根据不同预测单元施工结束后地面的处理方式，结合工程平面布置以及项目区地形地势，对不</w:t>
      </w:r>
      <w:r w:rsidRPr="00F9522B">
        <w:rPr>
          <w:rFonts w:eastAsiaTheme="minorEastAsia"/>
          <w:sz w:val="24"/>
        </w:rPr>
        <w:lastRenderedPageBreak/>
        <w:t>同预测单元施工期和自然恢复期的预测面积进行了详细的统计。</w:t>
      </w:r>
    </w:p>
    <w:p w:rsidR="002A5A5E" w:rsidRPr="00F9522B" w:rsidRDefault="00611CBA" w:rsidP="003E5585">
      <w:pPr>
        <w:autoSpaceDE w:val="0"/>
        <w:autoSpaceDN w:val="0"/>
        <w:spacing w:line="360" w:lineRule="auto"/>
        <w:ind w:firstLineChars="200" w:firstLine="480"/>
        <w:contextualSpacing/>
        <w:rPr>
          <w:rFonts w:eastAsiaTheme="minorEastAsia"/>
          <w:sz w:val="24"/>
        </w:rPr>
      </w:pPr>
      <w:r w:rsidRPr="00F9522B">
        <w:rPr>
          <w:rFonts w:eastAsiaTheme="minorEastAsia"/>
          <w:sz w:val="24"/>
        </w:rPr>
        <w:t>预测时段</w:t>
      </w:r>
      <w:r w:rsidR="003E5585" w:rsidRPr="00F9522B">
        <w:rPr>
          <w:rFonts w:eastAsiaTheme="minorEastAsia"/>
          <w:sz w:val="24"/>
        </w:rPr>
        <w:t>：</w:t>
      </w:r>
      <w:r w:rsidRPr="00F9522B">
        <w:rPr>
          <w:rFonts w:eastAsiaTheme="minorEastAsia"/>
          <w:sz w:val="24"/>
        </w:rPr>
        <w:t>本项目水土流失预测时段划分为施工期（包括施工准备期）和自然恢复期。</w:t>
      </w:r>
      <w:r w:rsidRPr="00F9522B">
        <w:rPr>
          <w:rFonts w:eastAsiaTheme="minorEastAsia"/>
          <w:sz w:val="24"/>
        </w:rPr>
        <w:t xml:space="preserve"> </w:t>
      </w:r>
    </w:p>
    <w:p w:rsidR="002A5A5E" w:rsidRPr="00F9522B" w:rsidRDefault="00611CBA">
      <w:pPr>
        <w:autoSpaceDE w:val="0"/>
        <w:autoSpaceDN w:val="0"/>
        <w:spacing w:line="360" w:lineRule="auto"/>
        <w:ind w:firstLineChars="200" w:firstLine="480"/>
        <w:contextualSpacing/>
        <w:rPr>
          <w:rFonts w:eastAsiaTheme="minorEastAsia"/>
          <w:sz w:val="24"/>
        </w:rPr>
      </w:pPr>
      <w:r w:rsidRPr="00F9522B">
        <w:rPr>
          <w:rFonts w:eastAsiaTheme="minorEastAsia"/>
          <w:sz w:val="24"/>
        </w:rPr>
        <w:t>1</w:t>
      </w:r>
      <w:r w:rsidRPr="00F9522B">
        <w:rPr>
          <w:rFonts w:eastAsiaTheme="minorEastAsia"/>
          <w:sz w:val="24"/>
        </w:rPr>
        <w:t>）施工期</w:t>
      </w:r>
    </w:p>
    <w:p w:rsidR="002A5A5E" w:rsidRPr="00F9522B" w:rsidRDefault="00611CBA">
      <w:pPr>
        <w:autoSpaceDE w:val="0"/>
        <w:autoSpaceDN w:val="0"/>
        <w:spacing w:line="360" w:lineRule="auto"/>
        <w:ind w:firstLineChars="200" w:firstLine="480"/>
        <w:contextualSpacing/>
        <w:rPr>
          <w:rFonts w:eastAsiaTheme="minorEastAsia"/>
          <w:sz w:val="24"/>
        </w:rPr>
      </w:pPr>
      <w:r w:rsidRPr="00F9522B">
        <w:rPr>
          <w:rFonts w:eastAsiaTheme="minorEastAsia"/>
          <w:sz w:val="24"/>
        </w:rPr>
        <w:t>本项目总施工工期</w:t>
      </w:r>
      <w:r w:rsidRPr="00F9522B">
        <w:rPr>
          <w:rFonts w:eastAsiaTheme="minorEastAsia"/>
          <w:sz w:val="24"/>
        </w:rPr>
        <w:t xml:space="preserve"> 1</w:t>
      </w:r>
      <w:r w:rsidR="00BB76D3" w:rsidRPr="00F9522B">
        <w:rPr>
          <w:rFonts w:eastAsiaTheme="minorEastAsia"/>
          <w:sz w:val="24"/>
        </w:rPr>
        <w:t>8</w:t>
      </w:r>
      <w:r w:rsidRPr="00F9522B">
        <w:rPr>
          <w:rFonts w:eastAsiaTheme="minorEastAsia"/>
          <w:sz w:val="24"/>
        </w:rPr>
        <w:t>个月，此阶段扰动程度高，水土流失显著，是重点预测时段。根据主体工程进度安排，按最不利情况考虑，确定施工期水土流失预测时段为</w:t>
      </w:r>
      <w:r w:rsidRPr="00F9522B">
        <w:rPr>
          <w:rFonts w:eastAsiaTheme="minorEastAsia"/>
          <w:sz w:val="24"/>
        </w:rPr>
        <w:t>3.75</w:t>
      </w:r>
      <w:r w:rsidRPr="00F9522B">
        <w:rPr>
          <w:rFonts w:eastAsiaTheme="minorEastAsia"/>
          <w:sz w:val="24"/>
        </w:rPr>
        <w:t>年。</w:t>
      </w:r>
      <w:r w:rsidRPr="00F9522B">
        <w:rPr>
          <w:rFonts w:eastAsiaTheme="minorEastAsia"/>
          <w:sz w:val="24"/>
        </w:rPr>
        <w:t xml:space="preserve"> </w:t>
      </w:r>
    </w:p>
    <w:p w:rsidR="002A5A5E" w:rsidRPr="00F9522B" w:rsidRDefault="00611CBA">
      <w:pPr>
        <w:autoSpaceDE w:val="0"/>
        <w:autoSpaceDN w:val="0"/>
        <w:spacing w:line="360" w:lineRule="auto"/>
        <w:ind w:firstLineChars="200" w:firstLine="480"/>
        <w:contextualSpacing/>
        <w:rPr>
          <w:rFonts w:eastAsiaTheme="minorEastAsia"/>
          <w:sz w:val="24"/>
        </w:rPr>
      </w:pPr>
      <w:r w:rsidRPr="00F9522B">
        <w:rPr>
          <w:rFonts w:eastAsiaTheme="minorEastAsia"/>
          <w:sz w:val="24"/>
        </w:rPr>
        <w:t>2</w:t>
      </w:r>
      <w:r w:rsidRPr="00F9522B">
        <w:rPr>
          <w:rFonts w:eastAsiaTheme="minorEastAsia"/>
          <w:sz w:val="24"/>
        </w:rPr>
        <w:t>）自然恢复期</w:t>
      </w:r>
      <w:r w:rsidRPr="00F9522B">
        <w:rPr>
          <w:rFonts w:eastAsiaTheme="minorEastAsia"/>
          <w:sz w:val="24"/>
        </w:rPr>
        <w:t xml:space="preserve"> </w:t>
      </w:r>
    </w:p>
    <w:p w:rsidR="002A5A5E" w:rsidRPr="00F9522B" w:rsidRDefault="00611CBA">
      <w:pPr>
        <w:autoSpaceDE w:val="0"/>
        <w:autoSpaceDN w:val="0"/>
        <w:spacing w:line="360" w:lineRule="auto"/>
        <w:ind w:firstLineChars="200" w:firstLine="480"/>
        <w:contextualSpacing/>
        <w:rPr>
          <w:rFonts w:eastAsiaTheme="minorEastAsia"/>
          <w:sz w:val="24"/>
        </w:rPr>
      </w:pPr>
      <w:r w:rsidRPr="00F9522B">
        <w:rPr>
          <w:rFonts w:eastAsiaTheme="minorEastAsia"/>
          <w:sz w:val="24"/>
        </w:rPr>
        <w:t>依据项目区现状土地类型、当地的水热条件和立地条件，依靠自然恢复能够形成保土保水生态功能。土壤侵蚀强度自然恢复到扰动前土壤侵蚀强度所需要的时间，应根据当地自然条件决定，一般情况湿润区取</w:t>
      </w:r>
      <w:r w:rsidRPr="00F9522B">
        <w:rPr>
          <w:rFonts w:eastAsiaTheme="minorEastAsia"/>
          <w:sz w:val="24"/>
        </w:rPr>
        <w:t>2</w:t>
      </w:r>
      <w:r w:rsidRPr="00F9522B">
        <w:rPr>
          <w:rFonts w:eastAsiaTheme="minorEastAsia"/>
          <w:sz w:val="24"/>
        </w:rPr>
        <w:t>年，半湿润区取</w:t>
      </w:r>
      <w:r w:rsidRPr="00F9522B">
        <w:rPr>
          <w:rFonts w:eastAsiaTheme="minorEastAsia"/>
          <w:sz w:val="24"/>
        </w:rPr>
        <w:t>3</w:t>
      </w:r>
      <w:r w:rsidRPr="00F9522B">
        <w:rPr>
          <w:rFonts w:eastAsiaTheme="minorEastAsia"/>
          <w:sz w:val="24"/>
        </w:rPr>
        <w:t>年，干旱半干旱区取</w:t>
      </w:r>
      <w:r w:rsidRPr="00F9522B">
        <w:rPr>
          <w:rFonts w:eastAsiaTheme="minorEastAsia"/>
          <w:sz w:val="24"/>
        </w:rPr>
        <w:t>5</w:t>
      </w:r>
      <w:r w:rsidRPr="00F9522B">
        <w:rPr>
          <w:rFonts w:eastAsiaTheme="minorEastAsia"/>
          <w:sz w:val="24"/>
        </w:rPr>
        <w:t>年，本项目所在地哈尔滨市呼兰区属于半湿润区，故自然恢复期预测时段按</w:t>
      </w:r>
      <w:r w:rsidRPr="00F9522B">
        <w:rPr>
          <w:rFonts w:eastAsiaTheme="minorEastAsia"/>
          <w:sz w:val="24"/>
        </w:rPr>
        <w:t>3</w:t>
      </w:r>
      <w:r w:rsidRPr="00F9522B">
        <w:rPr>
          <w:rFonts w:eastAsiaTheme="minorEastAsia"/>
          <w:sz w:val="24"/>
        </w:rPr>
        <w:t>年计。</w:t>
      </w:r>
    </w:p>
    <w:p w:rsidR="002A5A5E" w:rsidRPr="00F9522B" w:rsidRDefault="00611CBA">
      <w:pPr>
        <w:autoSpaceDE w:val="0"/>
        <w:autoSpaceDN w:val="0"/>
        <w:spacing w:line="360" w:lineRule="auto"/>
        <w:ind w:firstLineChars="200" w:firstLine="480"/>
        <w:contextualSpacing/>
        <w:rPr>
          <w:rFonts w:eastAsiaTheme="minorEastAsia"/>
          <w:sz w:val="24"/>
        </w:rPr>
      </w:pPr>
      <w:r w:rsidRPr="00F9522B">
        <w:rPr>
          <w:rFonts w:eastAsiaTheme="minorEastAsia"/>
          <w:sz w:val="24"/>
        </w:rPr>
        <w:t>土壤侵蚀模数</w:t>
      </w:r>
      <w:r w:rsidR="003E5585" w:rsidRPr="00F9522B">
        <w:rPr>
          <w:rFonts w:eastAsiaTheme="minorEastAsia"/>
          <w:sz w:val="24"/>
        </w:rPr>
        <w:t>：</w:t>
      </w:r>
    </w:p>
    <w:p w:rsidR="002A5A5E" w:rsidRPr="00F9522B" w:rsidRDefault="005273A1">
      <w:pPr>
        <w:autoSpaceDE w:val="0"/>
        <w:autoSpaceDN w:val="0"/>
        <w:spacing w:line="360" w:lineRule="auto"/>
        <w:ind w:firstLineChars="200" w:firstLine="480"/>
        <w:contextualSpacing/>
        <w:rPr>
          <w:rFonts w:eastAsiaTheme="minorEastAsia"/>
          <w:sz w:val="24"/>
        </w:rPr>
      </w:pPr>
      <w:r w:rsidRPr="00F9522B">
        <w:rPr>
          <w:rFonts w:eastAsiaTheme="minorEastAsia"/>
          <w:sz w:val="24"/>
        </w:rPr>
        <w:fldChar w:fldCharType="begin"/>
      </w:r>
      <w:r w:rsidR="003E5585" w:rsidRPr="00F9522B">
        <w:rPr>
          <w:rFonts w:eastAsiaTheme="minorEastAsia"/>
          <w:sz w:val="24"/>
        </w:rPr>
        <w:instrText xml:space="preserve"> = 1 \* GB3 </w:instrText>
      </w:r>
      <w:r w:rsidRPr="00F9522B">
        <w:rPr>
          <w:rFonts w:eastAsiaTheme="minorEastAsia"/>
          <w:sz w:val="24"/>
        </w:rPr>
        <w:fldChar w:fldCharType="separate"/>
      </w:r>
      <w:r w:rsidR="003E5585" w:rsidRPr="00F9522B">
        <w:rPr>
          <w:rFonts w:ascii="宋体" w:hAnsi="宋体" w:cs="宋体" w:hint="eastAsia"/>
          <w:noProof/>
          <w:sz w:val="24"/>
        </w:rPr>
        <w:t>①</w:t>
      </w:r>
      <w:r w:rsidRPr="00F9522B">
        <w:rPr>
          <w:rFonts w:eastAsiaTheme="minorEastAsia"/>
          <w:sz w:val="24"/>
        </w:rPr>
        <w:fldChar w:fldCharType="end"/>
      </w:r>
      <w:r w:rsidR="00611CBA" w:rsidRPr="00F9522B">
        <w:rPr>
          <w:rFonts w:eastAsiaTheme="minorEastAsia"/>
          <w:sz w:val="24"/>
        </w:rPr>
        <w:t>预测内容</w:t>
      </w:r>
      <w:r w:rsidR="00611CBA" w:rsidRPr="00F9522B">
        <w:rPr>
          <w:rFonts w:eastAsiaTheme="minorEastAsia"/>
          <w:sz w:val="24"/>
        </w:rPr>
        <w:t xml:space="preserve"> </w:t>
      </w:r>
    </w:p>
    <w:p w:rsidR="002A5A5E" w:rsidRPr="00F9522B" w:rsidRDefault="00611CBA">
      <w:pPr>
        <w:autoSpaceDE w:val="0"/>
        <w:autoSpaceDN w:val="0"/>
        <w:spacing w:line="360" w:lineRule="auto"/>
        <w:ind w:firstLineChars="200" w:firstLine="480"/>
        <w:contextualSpacing/>
        <w:rPr>
          <w:rFonts w:eastAsiaTheme="minorEastAsia"/>
          <w:sz w:val="24"/>
        </w:rPr>
      </w:pPr>
      <w:r w:rsidRPr="00F9522B">
        <w:rPr>
          <w:rFonts w:eastAsiaTheme="minorEastAsia"/>
          <w:sz w:val="24"/>
        </w:rPr>
        <w:t>1</w:t>
      </w:r>
      <w:r w:rsidRPr="00F9522B">
        <w:rPr>
          <w:rFonts w:eastAsiaTheme="minorEastAsia"/>
          <w:sz w:val="24"/>
        </w:rPr>
        <w:t>）可能造成的水土流失量的预测</w:t>
      </w:r>
      <w:r w:rsidRPr="00F9522B">
        <w:rPr>
          <w:rFonts w:eastAsiaTheme="minorEastAsia"/>
          <w:sz w:val="24"/>
        </w:rPr>
        <w:t xml:space="preserve"> </w:t>
      </w:r>
    </w:p>
    <w:p w:rsidR="002A5A5E" w:rsidRPr="00F9522B" w:rsidRDefault="00611CBA">
      <w:pPr>
        <w:autoSpaceDE w:val="0"/>
        <w:autoSpaceDN w:val="0"/>
        <w:spacing w:line="360" w:lineRule="auto"/>
        <w:ind w:firstLineChars="200" w:firstLine="480"/>
        <w:contextualSpacing/>
        <w:rPr>
          <w:rFonts w:eastAsiaTheme="minorEastAsia"/>
          <w:sz w:val="24"/>
        </w:rPr>
      </w:pPr>
      <w:r w:rsidRPr="00F9522B">
        <w:rPr>
          <w:rFonts w:eastAsiaTheme="minorEastAsia"/>
          <w:sz w:val="24"/>
        </w:rPr>
        <w:t>采用《生产建设项目土壤流失量测算导则》（</w:t>
      </w:r>
      <w:r w:rsidRPr="00F9522B">
        <w:rPr>
          <w:rFonts w:eastAsiaTheme="minorEastAsia"/>
          <w:sz w:val="24"/>
        </w:rPr>
        <w:t>SL773-2018</w:t>
      </w:r>
      <w:r w:rsidRPr="00F9522B">
        <w:rPr>
          <w:rFonts w:eastAsiaTheme="minorEastAsia"/>
          <w:sz w:val="24"/>
        </w:rPr>
        <w:t>）计算项目建设扰动后的土壤侵蚀模数，然后根据工程建设前后土壤侵蚀模数的差值计算新增水土流失量。</w:t>
      </w:r>
      <w:r w:rsidRPr="00F9522B">
        <w:rPr>
          <w:rFonts w:eastAsiaTheme="minorEastAsia"/>
          <w:sz w:val="24"/>
        </w:rPr>
        <w:t xml:space="preserve"> </w:t>
      </w:r>
    </w:p>
    <w:p w:rsidR="002A5A5E" w:rsidRPr="00F9522B" w:rsidRDefault="00611CBA">
      <w:pPr>
        <w:autoSpaceDE w:val="0"/>
        <w:autoSpaceDN w:val="0"/>
        <w:spacing w:line="360" w:lineRule="auto"/>
        <w:ind w:firstLineChars="200" w:firstLine="480"/>
        <w:contextualSpacing/>
        <w:rPr>
          <w:rFonts w:eastAsiaTheme="minorEastAsia"/>
          <w:sz w:val="24"/>
        </w:rPr>
      </w:pPr>
      <w:r w:rsidRPr="00F9522B">
        <w:rPr>
          <w:rFonts w:eastAsiaTheme="minorEastAsia"/>
          <w:sz w:val="24"/>
        </w:rPr>
        <w:t>2</w:t>
      </w:r>
      <w:r w:rsidRPr="00F9522B">
        <w:rPr>
          <w:rFonts w:eastAsiaTheme="minorEastAsia"/>
          <w:sz w:val="24"/>
        </w:rPr>
        <w:t>）可能造成水土流失危害预测</w:t>
      </w:r>
      <w:r w:rsidRPr="00F9522B">
        <w:rPr>
          <w:rFonts w:eastAsiaTheme="minorEastAsia"/>
          <w:sz w:val="24"/>
        </w:rPr>
        <w:t xml:space="preserve"> </w:t>
      </w:r>
    </w:p>
    <w:p w:rsidR="002A5A5E" w:rsidRPr="00F9522B" w:rsidRDefault="00611CBA">
      <w:pPr>
        <w:autoSpaceDE w:val="0"/>
        <w:autoSpaceDN w:val="0"/>
        <w:spacing w:line="360" w:lineRule="auto"/>
        <w:ind w:firstLineChars="200" w:firstLine="480"/>
        <w:contextualSpacing/>
        <w:rPr>
          <w:rFonts w:eastAsiaTheme="minorEastAsia"/>
          <w:sz w:val="24"/>
        </w:rPr>
      </w:pPr>
      <w:r w:rsidRPr="00F9522B">
        <w:rPr>
          <w:rFonts w:eastAsiaTheme="minorEastAsia"/>
          <w:sz w:val="24"/>
        </w:rPr>
        <w:t>根据工程的实施规模、施工工艺等的位置和数量，结合区域自然环境条件，预测由于工程建设引起新的水土流失可能造成的危害，为制定项目区防治措施提供科学依据。水土流失预测内容及方法见下表。</w:t>
      </w:r>
    </w:p>
    <w:p w:rsidR="002A5A5E" w:rsidRPr="00F9522B" w:rsidRDefault="00611CBA">
      <w:pPr>
        <w:jc w:val="center"/>
        <w:rPr>
          <w:b/>
          <w:bCs/>
          <w:szCs w:val="21"/>
        </w:rPr>
      </w:pPr>
      <w:r w:rsidRPr="00F9522B">
        <w:rPr>
          <w:b/>
          <w:bCs/>
          <w:szCs w:val="21"/>
        </w:rPr>
        <w:t>表</w:t>
      </w:r>
      <w:r w:rsidRPr="00F9522B">
        <w:rPr>
          <w:rFonts w:eastAsiaTheme="minorEastAsia"/>
          <w:b/>
          <w:bCs/>
          <w:szCs w:val="21"/>
        </w:rPr>
        <w:t>5-1-9</w:t>
      </w:r>
      <w:r w:rsidRPr="00F9522B">
        <w:rPr>
          <w:b/>
          <w:bCs/>
          <w:szCs w:val="21"/>
        </w:rPr>
        <w:t>预测内容一览表</w:t>
      </w:r>
    </w:p>
    <w:tbl>
      <w:tblPr>
        <w:tblStyle w:val="TableNormal"/>
        <w:tblW w:w="4997" w:type="pct"/>
        <w:tblInd w:w="0" w:type="dxa"/>
        <w:tblBorders>
          <w:top w:val="single" w:sz="12" w:space="0" w:color="000000"/>
          <w:bottom w:val="single" w:sz="12" w:space="0" w:color="000000"/>
          <w:insideH w:val="single" w:sz="2" w:space="0" w:color="000000"/>
          <w:insideV w:val="single" w:sz="2" w:space="0" w:color="000000"/>
        </w:tblBorders>
        <w:tblLook w:val="04A0"/>
      </w:tblPr>
      <w:tblGrid>
        <w:gridCol w:w="950"/>
        <w:gridCol w:w="2512"/>
        <w:gridCol w:w="4839"/>
      </w:tblGrid>
      <w:tr w:rsidR="002A5A5E" w:rsidRPr="00F9522B">
        <w:trPr>
          <w:trHeight w:val="340"/>
        </w:trPr>
        <w:tc>
          <w:tcPr>
            <w:tcW w:w="572" w:type="pct"/>
            <w:tcBorders>
              <w:tl2br w:val="nil"/>
              <w:tr2bl w:val="nil"/>
            </w:tcBorders>
            <w:vAlign w:val="center"/>
          </w:tcPr>
          <w:p w:rsidR="002A5A5E" w:rsidRPr="00F9522B" w:rsidRDefault="00611CBA">
            <w:pPr>
              <w:jc w:val="center"/>
            </w:pPr>
            <w:r w:rsidRPr="00F9522B">
              <w:t>序号</w:t>
            </w:r>
          </w:p>
        </w:tc>
        <w:tc>
          <w:tcPr>
            <w:tcW w:w="1512" w:type="pct"/>
            <w:tcBorders>
              <w:tl2br w:val="nil"/>
              <w:tr2bl w:val="nil"/>
            </w:tcBorders>
            <w:vAlign w:val="center"/>
          </w:tcPr>
          <w:p w:rsidR="002A5A5E" w:rsidRPr="00F9522B" w:rsidRDefault="00611CBA">
            <w:pPr>
              <w:jc w:val="center"/>
            </w:pPr>
            <w:r w:rsidRPr="00F9522B">
              <w:t>预测内容</w:t>
            </w:r>
          </w:p>
        </w:tc>
        <w:tc>
          <w:tcPr>
            <w:tcW w:w="2914" w:type="pct"/>
            <w:tcBorders>
              <w:tl2br w:val="nil"/>
              <w:tr2bl w:val="nil"/>
            </w:tcBorders>
            <w:vAlign w:val="center"/>
          </w:tcPr>
          <w:p w:rsidR="002A5A5E" w:rsidRPr="00F9522B" w:rsidRDefault="00611CBA">
            <w:pPr>
              <w:jc w:val="center"/>
            </w:pPr>
            <w:r w:rsidRPr="00F9522B">
              <w:t>预测方法</w:t>
            </w:r>
          </w:p>
        </w:tc>
      </w:tr>
      <w:tr w:rsidR="002A5A5E" w:rsidRPr="00F9522B">
        <w:trPr>
          <w:trHeight w:val="340"/>
        </w:trPr>
        <w:tc>
          <w:tcPr>
            <w:tcW w:w="572" w:type="pct"/>
            <w:tcBorders>
              <w:tl2br w:val="nil"/>
              <w:tr2bl w:val="nil"/>
            </w:tcBorders>
            <w:vAlign w:val="center"/>
          </w:tcPr>
          <w:p w:rsidR="002A5A5E" w:rsidRPr="00F9522B" w:rsidRDefault="00611CBA">
            <w:pPr>
              <w:jc w:val="center"/>
            </w:pPr>
            <w:r w:rsidRPr="00F9522B">
              <w:t>1</w:t>
            </w:r>
          </w:p>
        </w:tc>
        <w:tc>
          <w:tcPr>
            <w:tcW w:w="1512" w:type="pct"/>
            <w:tcBorders>
              <w:tl2br w:val="nil"/>
              <w:tr2bl w:val="nil"/>
            </w:tcBorders>
            <w:vAlign w:val="center"/>
          </w:tcPr>
          <w:p w:rsidR="002A5A5E" w:rsidRPr="00F9522B" w:rsidRDefault="00611CBA">
            <w:pPr>
              <w:jc w:val="center"/>
            </w:pPr>
            <w:r w:rsidRPr="00F9522B">
              <w:t>可能造成的水土流失量预测</w:t>
            </w:r>
          </w:p>
        </w:tc>
        <w:tc>
          <w:tcPr>
            <w:tcW w:w="2914" w:type="pct"/>
            <w:tcBorders>
              <w:tl2br w:val="nil"/>
              <w:tr2bl w:val="nil"/>
            </w:tcBorders>
            <w:vAlign w:val="center"/>
          </w:tcPr>
          <w:p w:rsidR="002A5A5E" w:rsidRPr="00F9522B" w:rsidRDefault="00611CBA">
            <w:pPr>
              <w:jc w:val="center"/>
            </w:pPr>
            <w:r w:rsidRPr="00F9522B">
              <w:t>采用类比工程实测资料计算项目建设扰动后的土壤侵蚀模数，进行水土流失量计算。</w:t>
            </w:r>
          </w:p>
        </w:tc>
      </w:tr>
      <w:tr w:rsidR="002A5A5E" w:rsidRPr="00F9522B">
        <w:trPr>
          <w:trHeight w:val="340"/>
        </w:trPr>
        <w:tc>
          <w:tcPr>
            <w:tcW w:w="572" w:type="pct"/>
            <w:tcBorders>
              <w:tl2br w:val="nil"/>
              <w:tr2bl w:val="nil"/>
            </w:tcBorders>
            <w:vAlign w:val="center"/>
          </w:tcPr>
          <w:p w:rsidR="002A5A5E" w:rsidRPr="00F9522B" w:rsidRDefault="00611CBA">
            <w:pPr>
              <w:jc w:val="center"/>
            </w:pPr>
            <w:r w:rsidRPr="00F9522B">
              <w:t>2</w:t>
            </w:r>
          </w:p>
        </w:tc>
        <w:tc>
          <w:tcPr>
            <w:tcW w:w="1512" w:type="pct"/>
            <w:tcBorders>
              <w:tl2br w:val="nil"/>
              <w:tr2bl w:val="nil"/>
            </w:tcBorders>
            <w:vAlign w:val="center"/>
          </w:tcPr>
          <w:p w:rsidR="002A5A5E" w:rsidRPr="00F9522B" w:rsidRDefault="00611CBA">
            <w:pPr>
              <w:jc w:val="center"/>
            </w:pPr>
            <w:r w:rsidRPr="00F9522B">
              <w:t>可能造成水土流失危害预测</w:t>
            </w:r>
          </w:p>
        </w:tc>
        <w:tc>
          <w:tcPr>
            <w:tcW w:w="2914" w:type="pct"/>
            <w:tcBorders>
              <w:tl2br w:val="nil"/>
              <w:tr2bl w:val="nil"/>
            </w:tcBorders>
            <w:vAlign w:val="center"/>
          </w:tcPr>
          <w:p w:rsidR="002A5A5E" w:rsidRPr="00F9522B" w:rsidRDefault="00611CBA">
            <w:pPr>
              <w:jc w:val="center"/>
            </w:pPr>
            <w:r w:rsidRPr="00F9522B">
              <w:t>根据工程的建设规模、施工工艺等，结合区域自然环境条件，定性分析由于工程建设可能造成的水土流失危害。</w:t>
            </w:r>
          </w:p>
        </w:tc>
      </w:tr>
    </w:tbl>
    <w:p w:rsidR="002A5A5E" w:rsidRPr="00F9522B" w:rsidRDefault="005273A1">
      <w:pPr>
        <w:pStyle w:val="afb"/>
        <w:rPr>
          <w:color w:val="auto"/>
        </w:rPr>
      </w:pPr>
      <w:r w:rsidRPr="00F9522B">
        <w:rPr>
          <w:color w:val="auto"/>
        </w:rPr>
        <w:fldChar w:fldCharType="begin"/>
      </w:r>
      <w:r w:rsidR="003E5585" w:rsidRPr="00F9522B">
        <w:rPr>
          <w:color w:val="auto"/>
        </w:rPr>
        <w:instrText xml:space="preserve"> = 2 \* GB3 </w:instrText>
      </w:r>
      <w:r w:rsidRPr="00F9522B">
        <w:rPr>
          <w:color w:val="auto"/>
        </w:rPr>
        <w:fldChar w:fldCharType="separate"/>
      </w:r>
      <w:r w:rsidR="003E5585" w:rsidRPr="00F9522B">
        <w:rPr>
          <w:rFonts w:ascii="宋体" w:hAnsi="宋体" w:cs="宋体" w:hint="eastAsia"/>
          <w:noProof/>
          <w:color w:val="auto"/>
        </w:rPr>
        <w:t>②</w:t>
      </w:r>
      <w:r w:rsidRPr="00F9522B">
        <w:rPr>
          <w:color w:val="auto"/>
        </w:rPr>
        <w:fldChar w:fldCharType="end"/>
      </w:r>
      <w:r w:rsidR="00611CBA" w:rsidRPr="00F9522B">
        <w:rPr>
          <w:color w:val="auto"/>
        </w:rPr>
        <w:t>土壤流失类型划分</w:t>
      </w:r>
      <w:r w:rsidR="00611CBA" w:rsidRPr="00F9522B">
        <w:rPr>
          <w:color w:val="auto"/>
        </w:rPr>
        <w:t xml:space="preserve"> </w:t>
      </w:r>
    </w:p>
    <w:p w:rsidR="002A5A5E" w:rsidRPr="00F9522B" w:rsidRDefault="00611CBA">
      <w:pPr>
        <w:pStyle w:val="afb"/>
        <w:rPr>
          <w:color w:val="auto"/>
        </w:rPr>
      </w:pPr>
      <w:r w:rsidRPr="00F9522B">
        <w:rPr>
          <w:color w:val="auto"/>
        </w:rPr>
        <w:t>依据《生产建设工程土壤流失量测算导则》（</w:t>
      </w:r>
      <w:r w:rsidRPr="00F9522B">
        <w:rPr>
          <w:color w:val="auto"/>
        </w:rPr>
        <w:t>SL773-2018</w:t>
      </w:r>
      <w:r w:rsidRPr="00F9522B">
        <w:rPr>
          <w:color w:val="auto"/>
        </w:rPr>
        <w:t>）项目土壤流失类</w:t>
      </w:r>
      <w:r w:rsidRPr="00F9522B">
        <w:rPr>
          <w:color w:val="auto"/>
        </w:rPr>
        <w:lastRenderedPageBreak/>
        <w:t>型按下表进行划分：</w:t>
      </w:r>
    </w:p>
    <w:p w:rsidR="002A5A5E" w:rsidRPr="00F9522B" w:rsidRDefault="00611CBA">
      <w:pPr>
        <w:jc w:val="center"/>
        <w:rPr>
          <w:b/>
          <w:bCs/>
          <w:szCs w:val="21"/>
        </w:rPr>
      </w:pPr>
      <w:r w:rsidRPr="00F9522B">
        <w:rPr>
          <w:b/>
          <w:bCs/>
          <w:szCs w:val="21"/>
        </w:rPr>
        <w:t>表</w:t>
      </w:r>
      <w:r w:rsidRPr="00F9522B">
        <w:rPr>
          <w:b/>
          <w:bCs/>
          <w:szCs w:val="21"/>
        </w:rPr>
        <w:t>5-1-10</w:t>
      </w:r>
      <w:r w:rsidRPr="00F9522B">
        <w:rPr>
          <w:b/>
          <w:bCs/>
          <w:szCs w:val="21"/>
        </w:rPr>
        <w:t>生产建设项目土壤流失类型划分</w:t>
      </w:r>
    </w:p>
    <w:tbl>
      <w:tblPr>
        <w:tblStyle w:val="TableNormal"/>
        <w:tblW w:w="4997" w:type="pct"/>
        <w:tblInd w:w="0" w:type="dxa"/>
        <w:tblBorders>
          <w:top w:val="single" w:sz="12" w:space="0" w:color="000000"/>
          <w:bottom w:val="single" w:sz="12" w:space="0" w:color="000000"/>
          <w:insideH w:val="single" w:sz="2" w:space="0" w:color="000000"/>
          <w:insideV w:val="single" w:sz="2" w:space="0" w:color="000000"/>
        </w:tblBorders>
        <w:tblLook w:val="04A0"/>
      </w:tblPr>
      <w:tblGrid>
        <w:gridCol w:w="2074"/>
        <w:gridCol w:w="2077"/>
        <w:gridCol w:w="1758"/>
        <w:gridCol w:w="2392"/>
      </w:tblGrid>
      <w:tr w:rsidR="002A5A5E" w:rsidRPr="00F9522B">
        <w:trPr>
          <w:trHeight w:val="340"/>
        </w:trPr>
        <w:tc>
          <w:tcPr>
            <w:tcW w:w="1249" w:type="pct"/>
            <w:tcBorders>
              <w:tl2br w:val="nil"/>
              <w:tr2bl w:val="nil"/>
            </w:tcBorders>
            <w:vAlign w:val="center"/>
          </w:tcPr>
          <w:p w:rsidR="002A5A5E" w:rsidRPr="00F9522B" w:rsidRDefault="00611CBA">
            <w:pPr>
              <w:jc w:val="center"/>
            </w:pPr>
            <w:r w:rsidRPr="00F9522B">
              <w:t>一级分类</w:t>
            </w:r>
          </w:p>
        </w:tc>
        <w:tc>
          <w:tcPr>
            <w:tcW w:w="1251" w:type="pct"/>
            <w:tcBorders>
              <w:tl2br w:val="nil"/>
              <w:tr2bl w:val="nil"/>
            </w:tcBorders>
            <w:vAlign w:val="center"/>
          </w:tcPr>
          <w:p w:rsidR="002A5A5E" w:rsidRPr="00F9522B" w:rsidRDefault="00611CBA">
            <w:pPr>
              <w:jc w:val="center"/>
            </w:pPr>
            <w:r w:rsidRPr="00F9522B">
              <w:t>预测单元</w:t>
            </w:r>
          </w:p>
        </w:tc>
        <w:tc>
          <w:tcPr>
            <w:tcW w:w="1059" w:type="pct"/>
            <w:tcBorders>
              <w:tl2br w:val="nil"/>
              <w:tr2bl w:val="nil"/>
            </w:tcBorders>
            <w:vAlign w:val="center"/>
          </w:tcPr>
          <w:p w:rsidR="002A5A5E" w:rsidRPr="00F9522B" w:rsidRDefault="00611CBA">
            <w:pPr>
              <w:jc w:val="center"/>
            </w:pPr>
            <w:r w:rsidRPr="00F9522B">
              <w:t>二级分类</w:t>
            </w:r>
          </w:p>
        </w:tc>
        <w:tc>
          <w:tcPr>
            <w:tcW w:w="1441" w:type="pct"/>
            <w:tcBorders>
              <w:tl2br w:val="nil"/>
              <w:tr2bl w:val="nil"/>
            </w:tcBorders>
            <w:vAlign w:val="center"/>
          </w:tcPr>
          <w:p w:rsidR="002A5A5E" w:rsidRPr="00F9522B" w:rsidRDefault="00611CBA">
            <w:pPr>
              <w:jc w:val="center"/>
            </w:pPr>
            <w:r w:rsidRPr="00F9522B">
              <w:t>三级分类</w:t>
            </w:r>
          </w:p>
        </w:tc>
      </w:tr>
      <w:tr w:rsidR="002A5A5E" w:rsidRPr="00F9522B">
        <w:trPr>
          <w:trHeight w:val="340"/>
        </w:trPr>
        <w:tc>
          <w:tcPr>
            <w:tcW w:w="1249" w:type="pct"/>
            <w:vMerge w:val="restart"/>
            <w:tcBorders>
              <w:tl2br w:val="nil"/>
              <w:tr2bl w:val="nil"/>
            </w:tcBorders>
            <w:vAlign w:val="center"/>
          </w:tcPr>
          <w:p w:rsidR="002A5A5E" w:rsidRPr="00F9522B" w:rsidRDefault="00611CBA">
            <w:pPr>
              <w:jc w:val="center"/>
            </w:pPr>
            <w:r w:rsidRPr="00F9522B">
              <w:t>水力作用下的土壤流失</w:t>
            </w:r>
          </w:p>
        </w:tc>
        <w:tc>
          <w:tcPr>
            <w:tcW w:w="1251" w:type="pct"/>
            <w:tcBorders>
              <w:tl2br w:val="nil"/>
              <w:tr2bl w:val="nil"/>
            </w:tcBorders>
            <w:vAlign w:val="center"/>
          </w:tcPr>
          <w:p w:rsidR="002A5A5E" w:rsidRPr="00F9522B" w:rsidRDefault="00611CBA">
            <w:pPr>
              <w:jc w:val="center"/>
            </w:pPr>
            <w:r w:rsidRPr="00F9522B">
              <w:rPr>
                <w:spacing w:val="12"/>
              </w:rPr>
              <w:t>主体工程区</w:t>
            </w:r>
          </w:p>
        </w:tc>
        <w:tc>
          <w:tcPr>
            <w:tcW w:w="1059" w:type="pct"/>
            <w:tcBorders>
              <w:tl2br w:val="nil"/>
              <w:tr2bl w:val="nil"/>
            </w:tcBorders>
            <w:vAlign w:val="center"/>
          </w:tcPr>
          <w:p w:rsidR="002A5A5E" w:rsidRPr="00F9522B" w:rsidRDefault="00611CBA">
            <w:pPr>
              <w:jc w:val="center"/>
              <w:rPr>
                <w:spacing w:val="12"/>
              </w:rPr>
            </w:pPr>
            <w:r w:rsidRPr="00F9522B">
              <w:rPr>
                <w:spacing w:val="12"/>
              </w:rPr>
              <w:t>工程开挖面</w:t>
            </w:r>
          </w:p>
        </w:tc>
        <w:tc>
          <w:tcPr>
            <w:tcW w:w="1441" w:type="pct"/>
            <w:tcBorders>
              <w:tl2br w:val="nil"/>
              <w:tr2bl w:val="nil"/>
            </w:tcBorders>
            <w:vAlign w:val="center"/>
          </w:tcPr>
          <w:p w:rsidR="002A5A5E" w:rsidRPr="00F9522B" w:rsidRDefault="00611CBA">
            <w:pPr>
              <w:jc w:val="center"/>
              <w:rPr>
                <w:spacing w:val="12"/>
              </w:rPr>
            </w:pPr>
            <w:r w:rsidRPr="00F9522B">
              <w:rPr>
                <w:spacing w:val="12"/>
              </w:rPr>
              <w:t>上方无来水工程开挖面</w:t>
            </w:r>
          </w:p>
        </w:tc>
      </w:tr>
      <w:tr w:rsidR="002A5A5E" w:rsidRPr="00F9522B">
        <w:trPr>
          <w:trHeight w:val="340"/>
        </w:trPr>
        <w:tc>
          <w:tcPr>
            <w:tcW w:w="1249" w:type="pct"/>
            <w:vMerge/>
            <w:tcBorders>
              <w:tl2br w:val="nil"/>
              <w:tr2bl w:val="nil"/>
            </w:tcBorders>
            <w:vAlign w:val="center"/>
          </w:tcPr>
          <w:p w:rsidR="002A5A5E" w:rsidRPr="00F9522B" w:rsidRDefault="002A5A5E">
            <w:pPr>
              <w:jc w:val="center"/>
            </w:pPr>
          </w:p>
        </w:tc>
        <w:tc>
          <w:tcPr>
            <w:tcW w:w="1251" w:type="pct"/>
            <w:tcBorders>
              <w:tl2br w:val="nil"/>
              <w:tr2bl w:val="nil"/>
            </w:tcBorders>
            <w:vAlign w:val="center"/>
          </w:tcPr>
          <w:p w:rsidR="002A5A5E" w:rsidRPr="00F9522B" w:rsidRDefault="00611CBA">
            <w:pPr>
              <w:jc w:val="center"/>
            </w:pPr>
            <w:r w:rsidRPr="00F9522B">
              <w:t>施工道路区</w:t>
            </w:r>
          </w:p>
        </w:tc>
        <w:tc>
          <w:tcPr>
            <w:tcW w:w="1059" w:type="pct"/>
            <w:tcBorders>
              <w:tl2br w:val="nil"/>
              <w:tr2bl w:val="nil"/>
            </w:tcBorders>
            <w:vAlign w:val="center"/>
          </w:tcPr>
          <w:p w:rsidR="002A5A5E" w:rsidRPr="00F9522B" w:rsidRDefault="00611CBA">
            <w:pPr>
              <w:jc w:val="center"/>
              <w:rPr>
                <w:spacing w:val="12"/>
              </w:rPr>
            </w:pPr>
            <w:r w:rsidRPr="00F9522B">
              <w:rPr>
                <w:spacing w:val="12"/>
              </w:rPr>
              <w:t>一般扰动地表</w:t>
            </w:r>
          </w:p>
        </w:tc>
        <w:tc>
          <w:tcPr>
            <w:tcW w:w="1441" w:type="pct"/>
            <w:tcBorders>
              <w:tl2br w:val="nil"/>
              <w:tr2bl w:val="nil"/>
            </w:tcBorders>
            <w:vAlign w:val="center"/>
          </w:tcPr>
          <w:p w:rsidR="002A5A5E" w:rsidRPr="00F9522B" w:rsidRDefault="00611CBA">
            <w:pPr>
              <w:jc w:val="center"/>
              <w:rPr>
                <w:spacing w:val="12"/>
              </w:rPr>
            </w:pPr>
            <w:r w:rsidRPr="00F9522B">
              <w:rPr>
                <w:spacing w:val="12"/>
              </w:rPr>
              <w:t>地表翻扰型一般扰动地表</w:t>
            </w:r>
          </w:p>
        </w:tc>
      </w:tr>
      <w:tr w:rsidR="002A5A5E" w:rsidRPr="00F9522B">
        <w:trPr>
          <w:trHeight w:val="340"/>
        </w:trPr>
        <w:tc>
          <w:tcPr>
            <w:tcW w:w="1249" w:type="pct"/>
            <w:vMerge/>
            <w:tcBorders>
              <w:tl2br w:val="nil"/>
              <w:tr2bl w:val="nil"/>
            </w:tcBorders>
            <w:vAlign w:val="center"/>
          </w:tcPr>
          <w:p w:rsidR="002A5A5E" w:rsidRPr="00F9522B" w:rsidRDefault="002A5A5E">
            <w:pPr>
              <w:jc w:val="center"/>
            </w:pPr>
          </w:p>
        </w:tc>
        <w:tc>
          <w:tcPr>
            <w:tcW w:w="1251" w:type="pct"/>
            <w:tcBorders>
              <w:tl2br w:val="nil"/>
              <w:tr2bl w:val="nil"/>
            </w:tcBorders>
            <w:vAlign w:val="center"/>
          </w:tcPr>
          <w:p w:rsidR="002A5A5E" w:rsidRPr="00F9522B" w:rsidRDefault="00611CBA">
            <w:pPr>
              <w:jc w:val="center"/>
            </w:pPr>
            <w:r w:rsidRPr="00F9522B">
              <w:t>临时堆土区</w:t>
            </w:r>
          </w:p>
        </w:tc>
        <w:tc>
          <w:tcPr>
            <w:tcW w:w="1059" w:type="pct"/>
            <w:tcBorders>
              <w:tl2br w:val="nil"/>
              <w:tr2bl w:val="nil"/>
            </w:tcBorders>
            <w:vAlign w:val="center"/>
          </w:tcPr>
          <w:p w:rsidR="002A5A5E" w:rsidRPr="00F9522B" w:rsidRDefault="00611CBA">
            <w:pPr>
              <w:jc w:val="center"/>
              <w:rPr>
                <w:spacing w:val="12"/>
              </w:rPr>
            </w:pPr>
            <w:r w:rsidRPr="00F9522B">
              <w:rPr>
                <w:spacing w:val="12"/>
              </w:rPr>
              <w:t>工程堆积体</w:t>
            </w:r>
          </w:p>
        </w:tc>
        <w:tc>
          <w:tcPr>
            <w:tcW w:w="1441" w:type="pct"/>
            <w:tcBorders>
              <w:tl2br w:val="nil"/>
              <w:tr2bl w:val="nil"/>
            </w:tcBorders>
            <w:vAlign w:val="center"/>
          </w:tcPr>
          <w:p w:rsidR="002A5A5E" w:rsidRPr="00F9522B" w:rsidRDefault="00611CBA">
            <w:pPr>
              <w:jc w:val="center"/>
              <w:rPr>
                <w:spacing w:val="12"/>
              </w:rPr>
            </w:pPr>
            <w:r w:rsidRPr="00F9522B">
              <w:rPr>
                <w:spacing w:val="12"/>
              </w:rPr>
              <w:t>上方无来水工程堆积体</w:t>
            </w:r>
          </w:p>
        </w:tc>
      </w:tr>
    </w:tbl>
    <w:p w:rsidR="002A5A5E" w:rsidRPr="00F9522B" w:rsidRDefault="005273A1">
      <w:pPr>
        <w:pStyle w:val="afb"/>
        <w:rPr>
          <w:color w:val="auto"/>
        </w:rPr>
      </w:pPr>
      <w:r w:rsidRPr="00F9522B">
        <w:rPr>
          <w:color w:val="auto"/>
        </w:rPr>
        <w:fldChar w:fldCharType="begin"/>
      </w:r>
      <w:r w:rsidR="003E5585" w:rsidRPr="00F9522B">
        <w:rPr>
          <w:color w:val="auto"/>
        </w:rPr>
        <w:instrText xml:space="preserve"> = 3 \* GB3 </w:instrText>
      </w:r>
      <w:r w:rsidRPr="00F9522B">
        <w:rPr>
          <w:color w:val="auto"/>
        </w:rPr>
        <w:fldChar w:fldCharType="separate"/>
      </w:r>
      <w:r w:rsidR="003E5585" w:rsidRPr="00F9522B">
        <w:rPr>
          <w:rFonts w:ascii="宋体" w:hAnsi="宋体" w:cs="宋体" w:hint="eastAsia"/>
          <w:noProof/>
          <w:color w:val="auto"/>
        </w:rPr>
        <w:t>③</w:t>
      </w:r>
      <w:r w:rsidRPr="00F9522B">
        <w:rPr>
          <w:color w:val="auto"/>
        </w:rPr>
        <w:fldChar w:fldCharType="end"/>
      </w:r>
      <w:r w:rsidR="00611CBA" w:rsidRPr="00F9522B">
        <w:rPr>
          <w:color w:val="auto"/>
        </w:rPr>
        <w:t>项目区土壤流失背景值</w:t>
      </w:r>
      <w:r w:rsidR="00611CBA" w:rsidRPr="00F9522B">
        <w:rPr>
          <w:color w:val="auto"/>
        </w:rPr>
        <w:t xml:space="preserve"> </w:t>
      </w:r>
    </w:p>
    <w:p w:rsidR="002A5A5E" w:rsidRPr="00F9522B" w:rsidRDefault="00611CBA">
      <w:pPr>
        <w:pStyle w:val="afb"/>
        <w:rPr>
          <w:color w:val="auto"/>
        </w:rPr>
      </w:pPr>
      <w:r w:rsidRPr="00F9522B">
        <w:rPr>
          <w:color w:val="auto"/>
        </w:rPr>
        <w:t>项目区现状土壤侵蚀类型以水力侵蚀为主。通过实际调查和遥感资料分析，项目所在区域的土壤侵蚀模数约为</w:t>
      </w:r>
      <w:r w:rsidRPr="00F9522B">
        <w:rPr>
          <w:color w:val="auto"/>
        </w:rPr>
        <w:t>800t/km</w:t>
      </w:r>
      <w:r w:rsidRPr="00F9522B">
        <w:rPr>
          <w:color w:val="auto"/>
          <w:vertAlign w:val="superscript"/>
        </w:rPr>
        <w:t>2</w:t>
      </w:r>
      <w:r w:rsidRPr="00F9522B">
        <w:rPr>
          <w:color w:val="auto"/>
        </w:rPr>
        <w:t>·a</w:t>
      </w:r>
      <w:r w:rsidRPr="00F9522B">
        <w:rPr>
          <w:color w:val="auto"/>
        </w:rPr>
        <w:t>左右。</w:t>
      </w:r>
      <w:r w:rsidRPr="00F9522B">
        <w:rPr>
          <w:color w:val="auto"/>
        </w:rPr>
        <w:t xml:space="preserve"> </w:t>
      </w:r>
    </w:p>
    <w:p w:rsidR="002A5A5E" w:rsidRPr="00F9522B" w:rsidRDefault="005273A1">
      <w:pPr>
        <w:pStyle w:val="afb"/>
        <w:rPr>
          <w:color w:val="auto"/>
        </w:rPr>
      </w:pPr>
      <w:r w:rsidRPr="00F9522B">
        <w:rPr>
          <w:color w:val="auto"/>
        </w:rPr>
        <w:fldChar w:fldCharType="begin"/>
      </w:r>
      <w:r w:rsidR="003E5585" w:rsidRPr="00F9522B">
        <w:rPr>
          <w:color w:val="auto"/>
        </w:rPr>
        <w:instrText xml:space="preserve"> = 4 \* GB3 </w:instrText>
      </w:r>
      <w:r w:rsidRPr="00F9522B">
        <w:rPr>
          <w:color w:val="auto"/>
        </w:rPr>
        <w:fldChar w:fldCharType="separate"/>
      </w:r>
      <w:r w:rsidR="003E5585" w:rsidRPr="00F9522B">
        <w:rPr>
          <w:rFonts w:ascii="宋体" w:hAnsi="宋体" w:cs="宋体" w:hint="eastAsia"/>
          <w:noProof/>
          <w:color w:val="auto"/>
        </w:rPr>
        <w:t>④</w:t>
      </w:r>
      <w:r w:rsidRPr="00F9522B">
        <w:rPr>
          <w:color w:val="auto"/>
        </w:rPr>
        <w:fldChar w:fldCharType="end"/>
      </w:r>
      <w:r w:rsidR="00611CBA" w:rsidRPr="00F9522B">
        <w:rPr>
          <w:color w:val="auto"/>
        </w:rPr>
        <w:t>土壤侵蚀模数确定</w:t>
      </w:r>
    </w:p>
    <w:p w:rsidR="002A5A5E" w:rsidRPr="00F9522B" w:rsidRDefault="00611CBA">
      <w:pPr>
        <w:pStyle w:val="afb"/>
        <w:rPr>
          <w:color w:val="auto"/>
        </w:rPr>
      </w:pPr>
      <w:r w:rsidRPr="00F9522B">
        <w:rPr>
          <w:color w:val="auto"/>
        </w:rPr>
        <w:t>根据《生产建设工程土壤流失量测算导则》（</w:t>
      </w:r>
      <w:r w:rsidRPr="00F9522B">
        <w:rPr>
          <w:color w:val="auto"/>
        </w:rPr>
        <w:t>SL773-2018</w:t>
      </w:r>
      <w:r w:rsidRPr="00F9522B">
        <w:rPr>
          <w:color w:val="auto"/>
        </w:rPr>
        <w:t>）中的相关公式，计算得出工程施工前土壤流失背景值，工程施工期间开挖扰动和临时堆土的土壤侵蚀模数。计算得出的土壤侵蚀模数详见下表。</w:t>
      </w:r>
    </w:p>
    <w:p w:rsidR="002A5A5E" w:rsidRPr="00F9522B" w:rsidRDefault="00611CBA">
      <w:pPr>
        <w:jc w:val="center"/>
        <w:rPr>
          <w:b/>
          <w:bCs/>
          <w:szCs w:val="21"/>
        </w:rPr>
      </w:pPr>
      <w:r w:rsidRPr="00F9522B">
        <w:rPr>
          <w:b/>
          <w:bCs/>
          <w:szCs w:val="21"/>
        </w:rPr>
        <w:t>表</w:t>
      </w:r>
      <w:r w:rsidRPr="00F9522B">
        <w:rPr>
          <w:b/>
          <w:bCs/>
          <w:szCs w:val="21"/>
        </w:rPr>
        <w:t>5-1-11</w:t>
      </w:r>
      <w:r w:rsidRPr="00F9522B">
        <w:rPr>
          <w:b/>
          <w:bCs/>
          <w:szCs w:val="21"/>
        </w:rPr>
        <w:t>土壤侵蚀模数一览表</w:t>
      </w:r>
    </w:p>
    <w:tbl>
      <w:tblPr>
        <w:tblStyle w:val="TableNormal"/>
        <w:tblW w:w="4997" w:type="pct"/>
        <w:tblInd w:w="0" w:type="dxa"/>
        <w:tblBorders>
          <w:top w:val="single" w:sz="12" w:space="0" w:color="000000"/>
          <w:bottom w:val="single" w:sz="12" w:space="0" w:color="000000"/>
          <w:insideH w:val="single" w:sz="2" w:space="0" w:color="000000"/>
          <w:insideV w:val="single" w:sz="2" w:space="0" w:color="000000"/>
        </w:tblBorders>
        <w:tblLook w:val="04A0"/>
      </w:tblPr>
      <w:tblGrid>
        <w:gridCol w:w="1826"/>
        <w:gridCol w:w="4270"/>
        <w:gridCol w:w="2205"/>
      </w:tblGrid>
      <w:tr w:rsidR="002A5A5E" w:rsidRPr="00F9522B">
        <w:trPr>
          <w:trHeight w:val="340"/>
        </w:trPr>
        <w:tc>
          <w:tcPr>
            <w:tcW w:w="1100" w:type="pct"/>
            <w:tcBorders>
              <w:tl2br w:val="nil"/>
              <w:tr2bl w:val="nil"/>
            </w:tcBorders>
            <w:vAlign w:val="center"/>
          </w:tcPr>
          <w:p w:rsidR="002A5A5E" w:rsidRPr="00F9522B" w:rsidRDefault="00611CBA">
            <w:pPr>
              <w:jc w:val="center"/>
            </w:pPr>
            <w:r w:rsidRPr="00F9522B">
              <w:t>类型</w:t>
            </w:r>
          </w:p>
        </w:tc>
        <w:tc>
          <w:tcPr>
            <w:tcW w:w="2572" w:type="pct"/>
            <w:tcBorders>
              <w:tl2br w:val="nil"/>
              <w:tr2bl w:val="nil"/>
            </w:tcBorders>
            <w:vAlign w:val="center"/>
          </w:tcPr>
          <w:p w:rsidR="002A5A5E" w:rsidRPr="00F9522B" w:rsidRDefault="00611CBA">
            <w:pPr>
              <w:jc w:val="center"/>
            </w:pPr>
            <w:r w:rsidRPr="00F9522B">
              <w:t>分区</w:t>
            </w:r>
          </w:p>
        </w:tc>
        <w:tc>
          <w:tcPr>
            <w:tcW w:w="1328" w:type="pct"/>
            <w:tcBorders>
              <w:tl2br w:val="nil"/>
              <w:tr2bl w:val="nil"/>
            </w:tcBorders>
            <w:vAlign w:val="center"/>
          </w:tcPr>
          <w:p w:rsidR="002A5A5E" w:rsidRPr="00F9522B" w:rsidRDefault="00611CBA">
            <w:pPr>
              <w:jc w:val="center"/>
            </w:pPr>
            <w:r w:rsidRPr="00F9522B">
              <w:t>采用的侵蚀模数</w:t>
            </w:r>
            <w:r w:rsidRPr="00F9522B">
              <w:t xml:space="preserve"> </w:t>
            </w:r>
          </w:p>
          <w:p w:rsidR="002A5A5E" w:rsidRPr="00F9522B" w:rsidRDefault="00611CBA">
            <w:pPr>
              <w:jc w:val="center"/>
            </w:pPr>
            <w:r w:rsidRPr="00F9522B">
              <w:t>t/</w:t>
            </w:r>
            <w:r w:rsidRPr="00F9522B">
              <w:t>（</w:t>
            </w:r>
            <w:r w:rsidRPr="00F9522B">
              <w:t>km</w:t>
            </w:r>
            <w:r w:rsidRPr="00F9522B">
              <w:rPr>
                <w:vertAlign w:val="superscript"/>
              </w:rPr>
              <w:t>2</w:t>
            </w:r>
            <w:r w:rsidRPr="00F9522B">
              <w:t xml:space="preserve"> ·a</w:t>
            </w:r>
            <w:r w:rsidRPr="00F9522B">
              <w:t>）</w:t>
            </w:r>
          </w:p>
        </w:tc>
      </w:tr>
      <w:tr w:rsidR="002A5A5E" w:rsidRPr="00F9522B">
        <w:trPr>
          <w:trHeight w:val="340"/>
        </w:trPr>
        <w:tc>
          <w:tcPr>
            <w:tcW w:w="1100" w:type="pct"/>
            <w:tcBorders>
              <w:tl2br w:val="nil"/>
              <w:tr2bl w:val="nil"/>
            </w:tcBorders>
            <w:vAlign w:val="center"/>
          </w:tcPr>
          <w:p w:rsidR="002A5A5E" w:rsidRPr="00F9522B" w:rsidRDefault="00611CBA">
            <w:pPr>
              <w:jc w:val="center"/>
            </w:pPr>
            <w:r w:rsidRPr="00F9522B">
              <w:t>土壤流失背景值</w:t>
            </w:r>
          </w:p>
        </w:tc>
        <w:tc>
          <w:tcPr>
            <w:tcW w:w="2572" w:type="pct"/>
            <w:tcBorders>
              <w:tl2br w:val="nil"/>
              <w:tr2bl w:val="nil"/>
            </w:tcBorders>
            <w:vAlign w:val="center"/>
          </w:tcPr>
          <w:p w:rsidR="002A5A5E" w:rsidRPr="00F9522B" w:rsidRDefault="00611CBA">
            <w:pPr>
              <w:jc w:val="center"/>
            </w:pPr>
            <w:r w:rsidRPr="00F9522B">
              <w:t>-</w:t>
            </w:r>
          </w:p>
        </w:tc>
        <w:tc>
          <w:tcPr>
            <w:tcW w:w="1328" w:type="pct"/>
            <w:tcBorders>
              <w:tl2br w:val="nil"/>
              <w:tr2bl w:val="nil"/>
            </w:tcBorders>
            <w:vAlign w:val="center"/>
          </w:tcPr>
          <w:p w:rsidR="002A5A5E" w:rsidRPr="00F9522B" w:rsidRDefault="00611CBA">
            <w:pPr>
              <w:jc w:val="center"/>
            </w:pPr>
            <w:r w:rsidRPr="00F9522B">
              <w:t>800</w:t>
            </w:r>
          </w:p>
        </w:tc>
      </w:tr>
      <w:tr w:rsidR="002A5A5E" w:rsidRPr="00F9522B">
        <w:trPr>
          <w:trHeight w:val="340"/>
        </w:trPr>
        <w:tc>
          <w:tcPr>
            <w:tcW w:w="1100" w:type="pct"/>
            <w:vMerge w:val="restart"/>
            <w:tcBorders>
              <w:tl2br w:val="nil"/>
              <w:tr2bl w:val="nil"/>
            </w:tcBorders>
            <w:vAlign w:val="center"/>
          </w:tcPr>
          <w:p w:rsidR="002A5A5E" w:rsidRPr="00F9522B" w:rsidRDefault="00611CBA">
            <w:pPr>
              <w:jc w:val="center"/>
            </w:pPr>
            <w:r w:rsidRPr="00F9522B">
              <w:t>施工期土壤侵蚀模数</w:t>
            </w:r>
          </w:p>
        </w:tc>
        <w:tc>
          <w:tcPr>
            <w:tcW w:w="2572" w:type="pct"/>
            <w:tcBorders>
              <w:tl2br w:val="nil"/>
              <w:tr2bl w:val="nil"/>
            </w:tcBorders>
            <w:vAlign w:val="center"/>
          </w:tcPr>
          <w:p w:rsidR="002A5A5E" w:rsidRPr="00F9522B" w:rsidRDefault="00611CBA">
            <w:pPr>
              <w:jc w:val="center"/>
            </w:pPr>
            <w:r w:rsidRPr="00F9522B">
              <w:rPr>
                <w:spacing w:val="12"/>
              </w:rPr>
              <w:t>主体工程区</w:t>
            </w:r>
          </w:p>
        </w:tc>
        <w:tc>
          <w:tcPr>
            <w:tcW w:w="1328" w:type="pct"/>
            <w:tcBorders>
              <w:tl2br w:val="nil"/>
              <w:tr2bl w:val="nil"/>
            </w:tcBorders>
            <w:vAlign w:val="center"/>
          </w:tcPr>
          <w:p w:rsidR="002A5A5E" w:rsidRPr="00F9522B" w:rsidRDefault="00611CBA">
            <w:pPr>
              <w:jc w:val="center"/>
            </w:pPr>
            <w:r w:rsidRPr="00F9522B">
              <w:t>2047</w:t>
            </w:r>
          </w:p>
        </w:tc>
      </w:tr>
      <w:tr w:rsidR="002A5A5E" w:rsidRPr="00F9522B">
        <w:trPr>
          <w:trHeight w:val="340"/>
        </w:trPr>
        <w:tc>
          <w:tcPr>
            <w:tcW w:w="1100" w:type="pct"/>
            <w:vMerge/>
            <w:tcBorders>
              <w:tl2br w:val="nil"/>
              <w:tr2bl w:val="nil"/>
            </w:tcBorders>
            <w:vAlign w:val="center"/>
          </w:tcPr>
          <w:p w:rsidR="002A5A5E" w:rsidRPr="00F9522B" w:rsidRDefault="002A5A5E">
            <w:pPr>
              <w:jc w:val="center"/>
            </w:pPr>
          </w:p>
        </w:tc>
        <w:tc>
          <w:tcPr>
            <w:tcW w:w="2572" w:type="pct"/>
            <w:tcBorders>
              <w:tl2br w:val="nil"/>
              <w:tr2bl w:val="nil"/>
            </w:tcBorders>
            <w:vAlign w:val="center"/>
          </w:tcPr>
          <w:p w:rsidR="002A5A5E" w:rsidRPr="00F9522B" w:rsidRDefault="00611CBA">
            <w:pPr>
              <w:jc w:val="center"/>
            </w:pPr>
            <w:r w:rsidRPr="00F9522B">
              <w:t>施工道路区</w:t>
            </w:r>
          </w:p>
        </w:tc>
        <w:tc>
          <w:tcPr>
            <w:tcW w:w="1328" w:type="pct"/>
            <w:tcBorders>
              <w:tl2br w:val="nil"/>
              <w:tr2bl w:val="nil"/>
            </w:tcBorders>
            <w:vAlign w:val="center"/>
          </w:tcPr>
          <w:p w:rsidR="002A5A5E" w:rsidRPr="00F9522B" w:rsidRDefault="00611CBA">
            <w:pPr>
              <w:jc w:val="center"/>
            </w:pPr>
            <w:r w:rsidRPr="00F9522B">
              <w:t>1828</w:t>
            </w:r>
          </w:p>
        </w:tc>
      </w:tr>
      <w:tr w:rsidR="002A5A5E" w:rsidRPr="00F9522B">
        <w:trPr>
          <w:trHeight w:val="340"/>
        </w:trPr>
        <w:tc>
          <w:tcPr>
            <w:tcW w:w="1100" w:type="pct"/>
            <w:vMerge/>
            <w:tcBorders>
              <w:tl2br w:val="nil"/>
              <w:tr2bl w:val="nil"/>
            </w:tcBorders>
            <w:vAlign w:val="center"/>
          </w:tcPr>
          <w:p w:rsidR="002A5A5E" w:rsidRPr="00F9522B" w:rsidRDefault="002A5A5E">
            <w:pPr>
              <w:jc w:val="center"/>
            </w:pPr>
          </w:p>
        </w:tc>
        <w:tc>
          <w:tcPr>
            <w:tcW w:w="2572" w:type="pct"/>
            <w:tcBorders>
              <w:tl2br w:val="nil"/>
              <w:tr2bl w:val="nil"/>
            </w:tcBorders>
            <w:vAlign w:val="center"/>
          </w:tcPr>
          <w:p w:rsidR="002A5A5E" w:rsidRPr="00F9522B" w:rsidRDefault="00611CBA">
            <w:pPr>
              <w:jc w:val="center"/>
            </w:pPr>
            <w:r w:rsidRPr="00F9522B">
              <w:t>临时堆土区</w:t>
            </w:r>
          </w:p>
        </w:tc>
        <w:tc>
          <w:tcPr>
            <w:tcW w:w="1328" w:type="pct"/>
            <w:tcBorders>
              <w:tl2br w:val="nil"/>
              <w:tr2bl w:val="nil"/>
            </w:tcBorders>
            <w:vAlign w:val="center"/>
          </w:tcPr>
          <w:p w:rsidR="002A5A5E" w:rsidRPr="00F9522B" w:rsidRDefault="00611CBA">
            <w:pPr>
              <w:jc w:val="center"/>
            </w:pPr>
            <w:r w:rsidRPr="00F9522B">
              <w:t>8466</w:t>
            </w:r>
          </w:p>
        </w:tc>
      </w:tr>
      <w:tr w:rsidR="002A5A5E" w:rsidRPr="00F9522B">
        <w:trPr>
          <w:trHeight w:val="340"/>
        </w:trPr>
        <w:tc>
          <w:tcPr>
            <w:tcW w:w="1100" w:type="pct"/>
            <w:tcBorders>
              <w:tl2br w:val="nil"/>
              <w:tr2bl w:val="nil"/>
            </w:tcBorders>
            <w:vAlign w:val="center"/>
          </w:tcPr>
          <w:p w:rsidR="002A5A5E" w:rsidRPr="00F9522B" w:rsidRDefault="00611CBA">
            <w:pPr>
              <w:jc w:val="center"/>
            </w:pPr>
            <w:r w:rsidRPr="00F9522B">
              <w:t>自然恢复期第一年</w:t>
            </w:r>
          </w:p>
        </w:tc>
        <w:tc>
          <w:tcPr>
            <w:tcW w:w="2572" w:type="pct"/>
            <w:tcBorders>
              <w:tl2br w:val="nil"/>
              <w:tr2bl w:val="nil"/>
            </w:tcBorders>
            <w:vAlign w:val="center"/>
          </w:tcPr>
          <w:p w:rsidR="002A5A5E" w:rsidRPr="00F9522B" w:rsidRDefault="00611CBA">
            <w:pPr>
              <w:jc w:val="center"/>
            </w:pPr>
            <w:r w:rsidRPr="00F9522B">
              <w:rPr>
                <w:spacing w:val="12"/>
              </w:rPr>
              <w:t>主体工程区</w:t>
            </w:r>
            <w:r w:rsidRPr="00F9522B">
              <w:t>、施工道路区、临时堆土区</w:t>
            </w:r>
          </w:p>
        </w:tc>
        <w:tc>
          <w:tcPr>
            <w:tcW w:w="1328" w:type="pct"/>
            <w:tcBorders>
              <w:tl2br w:val="nil"/>
              <w:tr2bl w:val="nil"/>
            </w:tcBorders>
            <w:vAlign w:val="center"/>
          </w:tcPr>
          <w:p w:rsidR="002A5A5E" w:rsidRPr="00F9522B" w:rsidRDefault="00611CBA">
            <w:pPr>
              <w:jc w:val="center"/>
            </w:pPr>
            <w:r w:rsidRPr="00F9522B">
              <w:t>1419</w:t>
            </w:r>
          </w:p>
        </w:tc>
      </w:tr>
      <w:tr w:rsidR="002A5A5E" w:rsidRPr="00F9522B">
        <w:trPr>
          <w:trHeight w:val="340"/>
        </w:trPr>
        <w:tc>
          <w:tcPr>
            <w:tcW w:w="1100" w:type="pct"/>
            <w:tcBorders>
              <w:tl2br w:val="nil"/>
              <w:tr2bl w:val="nil"/>
            </w:tcBorders>
            <w:vAlign w:val="center"/>
          </w:tcPr>
          <w:p w:rsidR="002A5A5E" w:rsidRPr="00F9522B" w:rsidRDefault="00611CBA">
            <w:pPr>
              <w:jc w:val="center"/>
            </w:pPr>
            <w:r w:rsidRPr="00F9522B">
              <w:t>自然恢复期第二年</w:t>
            </w:r>
          </w:p>
        </w:tc>
        <w:tc>
          <w:tcPr>
            <w:tcW w:w="2572" w:type="pct"/>
            <w:tcBorders>
              <w:tl2br w:val="nil"/>
              <w:tr2bl w:val="nil"/>
            </w:tcBorders>
          </w:tcPr>
          <w:p w:rsidR="002A5A5E" w:rsidRPr="00F9522B" w:rsidRDefault="00611CBA">
            <w:pPr>
              <w:jc w:val="center"/>
            </w:pPr>
            <w:r w:rsidRPr="00F9522B">
              <w:rPr>
                <w:spacing w:val="12"/>
              </w:rPr>
              <w:t>主体工程区</w:t>
            </w:r>
            <w:r w:rsidRPr="00F9522B">
              <w:t>、施工道路区、临时堆土区</w:t>
            </w:r>
          </w:p>
        </w:tc>
        <w:tc>
          <w:tcPr>
            <w:tcW w:w="1328" w:type="pct"/>
            <w:tcBorders>
              <w:tl2br w:val="nil"/>
              <w:tr2bl w:val="nil"/>
            </w:tcBorders>
            <w:vAlign w:val="center"/>
          </w:tcPr>
          <w:p w:rsidR="002A5A5E" w:rsidRPr="00F9522B" w:rsidRDefault="00611CBA">
            <w:pPr>
              <w:jc w:val="center"/>
            </w:pPr>
            <w:r w:rsidRPr="00F9522B">
              <w:t>1130</w:t>
            </w:r>
          </w:p>
        </w:tc>
      </w:tr>
      <w:tr w:rsidR="002A5A5E" w:rsidRPr="00F9522B">
        <w:trPr>
          <w:trHeight w:val="340"/>
        </w:trPr>
        <w:tc>
          <w:tcPr>
            <w:tcW w:w="1100" w:type="pct"/>
            <w:tcBorders>
              <w:tl2br w:val="nil"/>
              <w:tr2bl w:val="nil"/>
            </w:tcBorders>
            <w:vAlign w:val="center"/>
          </w:tcPr>
          <w:p w:rsidR="002A5A5E" w:rsidRPr="00F9522B" w:rsidRDefault="00611CBA">
            <w:pPr>
              <w:jc w:val="center"/>
            </w:pPr>
            <w:r w:rsidRPr="00F9522B">
              <w:t>自然恢复期第三年</w:t>
            </w:r>
          </w:p>
        </w:tc>
        <w:tc>
          <w:tcPr>
            <w:tcW w:w="2572" w:type="pct"/>
            <w:tcBorders>
              <w:tl2br w:val="nil"/>
              <w:tr2bl w:val="nil"/>
            </w:tcBorders>
          </w:tcPr>
          <w:p w:rsidR="002A5A5E" w:rsidRPr="00F9522B" w:rsidRDefault="00611CBA">
            <w:pPr>
              <w:jc w:val="center"/>
            </w:pPr>
            <w:r w:rsidRPr="00F9522B">
              <w:rPr>
                <w:spacing w:val="12"/>
              </w:rPr>
              <w:t>主体工程区</w:t>
            </w:r>
            <w:r w:rsidRPr="00F9522B">
              <w:t>、施工道路区、临时堆土区</w:t>
            </w:r>
          </w:p>
        </w:tc>
        <w:tc>
          <w:tcPr>
            <w:tcW w:w="1328" w:type="pct"/>
            <w:tcBorders>
              <w:tl2br w:val="nil"/>
              <w:tr2bl w:val="nil"/>
            </w:tcBorders>
            <w:vAlign w:val="center"/>
          </w:tcPr>
          <w:p w:rsidR="002A5A5E" w:rsidRPr="00F9522B" w:rsidRDefault="00611CBA">
            <w:pPr>
              <w:jc w:val="center"/>
            </w:pPr>
            <w:r w:rsidRPr="00F9522B">
              <w:t>872</w:t>
            </w:r>
          </w:p>
        </w:tc>
      </w:tr>
    </w:tbl>
    <w:p w:rsidR="002A5A5E" w:rsidRPr="00F9522B" w:rsidRDefault="00611CBA">
      <w:pPr>
        <w:pStyle w:val="afb"/>
        <w:rPr>
          <w:color w:val="auto"/>
        </w:rPr>
      </w:pPr>
      <w:r w:rsidRPr="00F9522B">
        <w:rPr>
          <w:color w:val="auto"/>
        </w:rPr>
        <w:t>预测结果</w:t>
      </w:r>
      <w:r w:rsidR="003E5585" w:rsidRPr="00F9522B">
        <w:rPr>
          <w:color w:val="auto"/>
        </w:rPr>
        <w:t>：</w:t>
      </w:r>
    </w:p>
    <w:p w:rsidR="002A5A5E" w:rsidRPr="00F9522B" w:rsidRDefault="00611CBA">
      <w:pPr>
        <w:pStyle w:val="afb"/>
        <w:rPr>
          <w:color w:val="auto"/>
        </w:rPr>
      </w:pPr>
      <w:r w:rsidRPr="00F9522B">
        <w:rPr>
          <w:color w:val="auto"/>
        </w:rPr>
        <w:t>1</w:t>
      </w:r>
      <w:r w:rsidRPr="00F9522B">
        <w:rPr>
          <w:color w:val="auto"/>
        </w:rPr>
        <w:t>）建设期水土流失量</w:t>
      </w:r>
    </w:p>
    <w:p w:rsidR="002A5A5E" w:rsidRPr="00323A2E" w:rsidRDefault="00611CBA">
      <w:pPr>
        <w:pStyle w:val="afb"/>
      </w:pPr>
      <w:r w:rsidRPr="00323A2E">
        <w:t>建设期内，预测水土流失总量为</w:t>
      </w:r>
      <w:r w:rsidR="00323A2E" w:rsidRPr="00323A2E">
        <w:rPr>
          <w:rFonts w:hint="eastAsia"/>
        </w:rPr>
        <w:t>9627.6</w:t>
      </w:r>
      <w:r w:rsidRPr="00323A2E">
        <w:t>t</w:t>
      </w:r>
      <w:r w:rsidRPr="00323A2E">
        <w:t>，新增水土流失量为</w:t>
      </w:r>
      <w:r w:rsidR="00323A2E" w:rsidRPr="00323A2E">
        <w:rPr>
          <w:rFonts w:hint="eastAsia"/>
        </w:rPr>
        <w:t>8606.4</w:t>
      </w:r>
      <w:r w:rsidRPr="00323A2E">
        <w:t>t</w:t>
      </w:r>
      <w:r w:rsidRPr="00323A2E">
        <w:t>。</w:t>
      </w:r>
      <w:r w:rsidRPr="00323A2E">
        <w:t xml:space="preserve"> </w:t>
      </w:r>
    </w:p>
    <w:p w:rsidR="002A5A5E" w:rsidRPr="00F9522B" w:rsidRDefault="00611CBA">
      <w:pPr>
        <w:pStyle w:val="afb"/>
        <w:rPr>
          <w:color w:val="auto"/>
        </w:rPr>
      </w:pPr>
      <w:r w:rsidRPr="00F9522B">
        <w:rPr>
          <w:color w:val="auto"/>
        </w:rPr>
        <w:t>2</w:t>
      </w:r>
      <w:r w:rsidRPr="00F9522B">
        <w:rPr>
          <w:color w:val="auto"/>
        </w:rPr>
        <w:t>）自然恢复期水土流失量</w:t>
      </w:r>
    </w:p>
    <w:p w:rsidR="002A5A5E" w:rsidRPr="00323A2E" w:rsidRDefault="00611CBA">
      <w:pPr>
        <w:pStyle w:val="afb"/>
      </w:pPr>
      <w:r w:rsidRPr="00323A2E">
        <w:t>自然恢复期内，预测水土流失总量为</w:t>
      </w:r>
      <w:r w:rsidR="00323A2E">
        <w:rPr>
          <w:rFonts w:hint="eastAsia"/>
        </w:rPr>
        <w:t>1164.5</w:t>
      </w:r>
      <w:r w:rsidRPr="00323A2E">
        <w:t>t</w:t>
      </w:r>
      <w:r w:rsidRPr="00323A2E">
        <w:t>，新增水土流失量为</w:t>
      </w:r>
      <w:r w:rsidR="00323A2E">
        <w:rPr>
          <w:rFonts w:hint="eastAsia"/>
        </w:rPr>
        <w:t>347.5</w:t>
      </w:r>
      <w:r w:rsidRPr="00323A2E">
        <w:t>t</w:t>
      </w:r>
      <w:r w:rsidRPr="00323A2E">
        <w:t>。</w:t>
      </w:r>
      <w:r w:rsidRPr="00323A2E">
        <w:t xml:space="preserve"> </w:t>
      </w:r>
    </w:p>
    <w:p w:rsidR="002A5A5E" w:rsidRPr="00F9522B" w:rsidRDefault="00611CBA">
      <w:pPr>
        <w:pStyle w:val="afb"/>
        <w:rPr>
          <w:color w:val="auto"/>
        </w:rPr>
      </w:pPr>
      <w:r w:rsidRPr="00F9522B">
        <w:rPr>
          <w:color w:val="auto"/>
        </w:rPr>
        <w:t>3</w:t>
      </w:r>
      <w:r w:rsidRPr="00F9522B">
        <w:rPr>
          <w:color w:val="auto"/>
        </w:rPr>
        <w:t>）总水土流失量</w:t>
      </w:r>
    </w:p>
    <w:p w:rsidR="002A5A5E" w:rsidRPr="00F9522B" w:rsidRDefault="00611CBA">
      <w:pPr>
        <w:pStyle w:val="afb"/>
        <w:rPr>
          <w:color w:val="auto"/>
        </w:rPr>
      </w:pPr>
      <w:r w:rsidRPr="00F9522B">
        <w:rPr>
          <w:color w:val="auto"/>
        </w:rPr>
        <w:t>综上所述，项目区内在无水土保持设施的前提下，预测时段内水土流失总量为</w:t>
      </w:r>
      <w:r w:rsidR="003021BB" w:rsidRPr="00F9522B">
        <w:rPr>
          <w:color w:val="auto"/>
        </w:rPr>
        <w:t>5935.3</w:t>
      </w:r>
      <w:r w:rsidRPr="00F9522B">
        <w:rPr>
          <w:color w:val="auto"/>
        </w:rPr>
        <w:t>t</w:t>
      </w:r>
      <w:r w:rsidRPr="00F9522B">
        <w:rPr>
          <w:color w:val="auto"/>
        </w:rPr>
        <w:t>，其中新增水土流失量为</w:t>
      </w:r>
      <w:r w:rsidR="003021BB" w:rsidRPr="00F9522B">
        <w:rPr>
          <w:color w:val="auto"/>
        </w:rPr>
        <w:t>4842.8</w:t>
      </w:r>
      <w:r w:rsidRPr="00F9522B">
        <w:rPr>
          <w:color w:val="auto"/>
        </w:rPr>
        <w:t>t</w:t>
      </w:r>
      <w:r w:rsidRPr="00F9522B">
        <w:rPr>
          <w:color w:val="auto"/>
        </w:rPr>
        <w:t>。具体计算详见下表。</w:t>
      </w:r>
    </w:p>
    <w:p w:rsidR="002A5A5E" w:rsidRPr="00F9522B" w:rsidRDefault="00611CBA">
      <w:pPr>
        <w:jc w:val="center"/>
        <w:rPr>
          <w:b/>
          <w:bCs/>
          <w:szCs w:val="21"/>
        </w:rPr>
      </w:pPr>
      <w:r w:rsidRPr="00F9522B">
        <w:rPr>
          <w:b/>
          <w:bCs/>
          <w:szCs w:val="21"/>
        </w:rPr>
        <w:t>表</w:t>
      </w:r>
      <w:r w:rsidRPr="00F9522B">
        <w:rPr>
          <w:rFonts w:eastAsiaTheme="minorEastAsia"/>
          <w:b/>
          <w:bCs/>
          <w:szCs w:val="21"/>
        </w:rPr>
        <w:t>5-1-12</w:t>
      </w:r>
      <w:r w:rsidRPr="00F9522B">
        <w:rPr>
          <w:b/>
          <w:bCs/>
          <w:szCs w:val="21"/>
        </w:rPr>
        <w:t>建设期扰动区域水土流失量预测表</w:t>
      </w:r>
    </w:p>
    <w:tbl>
      <w:tblPr>
        <w:tblStyle w:val="TableNormal"/>
        <w:tblW w:w="4997" w:type="pct"/>
        <w:tblInd w:w="0" w:type="dxa"/>
        <w:tblBorders>
          <w:top w:val="single" w:sz="12" w:space="0" w:color="000000"/>
          <w:bottom w:val="single" w:sz="12" w:space="0" w:color="000000"/>
          <w:insideH w:val="single" w:sz="2" w:space="0" w:color="000000"/>
          <w:insideV w:val="single" w:sz="2" w:space="0" w:color="000000"/>
        </w:tblBorders>
        <w:tblLook w:val="04A0"/>
      </w:tblPr>
      <w:tblGrid>
        <w:gridCol w:w="1383"/>
        <w:gridCol w:w="830"/>
        <w:gridCol w:w="856"/>
        <w:gridCol w:w="1065"/>
        <w:gridCol w:w="1065"/>
        <w:gridCol w:w="1028"/>
        <w:gridCol w:w="1043"/>
        <w:gridCol w:w="1031"/>
      </w:tblGrid>
      <w:tr w:rsidR="002A5A5E" w:rsidRPr="00F9522B">
        <w:trPr>
          <w:trHeight w:val="340"/>
        </w:trPr>
        <w:tc>
          <w:tcPr>
            <w:tcW w:w="1383" w:type="dxa"/>
            <w:vMerge w:val="restart"/>
            <w:tcBorders>
              <w:tl2br w:val="nil"/>
              <w:tr2bl w:val="nil"/>
            </w:tcBorders>
            <w:vAlign w:val="center"/>
          </w:tcPr>
          <w:p w:rsidR="002A5A5E" w:rsidRPr="00F9522B" w:rsidRDefault="00611CBA">
            <w:pPr>
              <w:jc w:val="center"/>
            </w:pPr>
            <w:r w:rsidRPr="00F9522B">
              <w:t>预测单元</w:t>
            </w:r>
          </w:p>
        </w:tc>
        <w:tc>
          <w:tcPr>
            <w:tcW w:w="830" w:type="dxa"/>
            <w:tcBorders>
              <w:tl2br w:val="nil"/>
              <w:tr2bl w:val="nil"/>
            </w:tcBorders>
            <w:vAlign w:val="center"/>
          </w:tcPr>
          <w:p w:rsidR="002A5A5E" w:rsidRPr="00F9522B" w:rsidRDefault="00611CBA">
            <w:pPr>
              <w:jc w:val="center"/>
            </w:pPr>
            <w:r w:rsidRPr="00F9522B">
              <w:t>预测面积</w:t>
            </w:r>
          </w:p>
        </w:tc>
        <w:tc>
          <w:tcPr>
            <w:tcW w:w="856" w:type="dxa"/>
            <w:tcBorders>
              <w:tl2br w:val="nil"/>
              <w:tr2bl w:val="nil"/>
            </w:tcBorders>
            <w:vAlign w:val="center"/>
          </w:tcPr>
          <w:p w:rsidR="002A5A5E" w:rsidRPr="00F9522B" w:rsidRDefault="00611CBA">
            <w:pPr>
              <w:jc w:val="center"/>
            </w:pPr>
            <w:r w:rsidRPr="00F9522B">
              <w:t>预测时段</w:t>
            </w:r>
          </w:p>
        </w:tc>
        <w:tc>
          <w:tcPr>
            <w:tcW w:w="1065" w:type="dxa"/>
            <w:tcBorders>
              <w:tl2br w:val="nil"/>
              <w:tr2bl w:val="nil"/>
            </w:tcBorders>
            <w:vAlign w:val="center"/>
          </w:tcPr>
          <w:p w:rsidR="002A5A5E" w:rsidRPr="00F9522B" w:rsidRDefault="00611CBA">
            <w:pPr>
              <w:jc w:val="center"/>
            </w:pPr>
            <w:r w:rsidRPr="00F9522B">
              <w:t>土壤侵蚀</w:t>
            </w:r>
          </w:p>
          <w:p w:rsidR="002A5A5E" w:rsidRPr="00F9522B" w:rsidRDefault="00611CBA">
            <w:pPr>
              <w:jc w:val="center"/>
            </w:pPr>
            <w:r w:rsidRPr="00F9522B">
              <w:t>背景值</w:t>
            </w:r>
          </w:p>
        </w:tc>
        <w:tc>
          <w:tcPr>
            <w:tcW w:w="1065" w:type="dxa"/>
            <w:tcBorders>
              <w:tl2br w:val="nil"/>
              <w:tr2bl w:val="nil"/>
            </w:tcBorders>
            <w:vAlign w:val="center"/>
          </w:tcPr>
          <w:p w:rsidR="002A5A5E" w:rsidRPr="00F9522B" w:rsidRDefault="00611CBA">
            <w:pPr>
              <w:jc w:val="center"/>
            </w:pPr>
            <w:r w:rsidRPr="00F9522B">
              <w:t>扰动侵蚀</w:t>
            </w:r>
          </w:p>
          <w:p w:rsidR="002A5A5E" w:rsidRPr="00F9522B" w:rsidRDefault="00611CBA">
            <w:pPr>
              <w:jc w:val="center"/>
            </w:pPr>
            <w:r w:rsidRPr="00F9522B">
              <w:t>模数</w:t>
            </w:r>
          </w:p>
        </w:tc>
        <w:tc>
          <w:tcPr>
            <w:tcW w:w="1028" w:type="dxa"/>
            <w:tcBorders>
              <w:tl2br w:val="nil"/>
              <w:tr2bl w:val="nil"/>
            </w:tcBorders>
            <w:vAlign w:val="center"/>
          </w:tcPr>
          <w:p w:rsidR="002A5A5E" w:rsidRPr="00F9522B" w:rsidRDefault="00611CBA">
            <w:pPr>
              <w:jc w:val="center"/>
            </w:pPr>
            <w:r w:rsidRPr="00F9522B">
              <w:t>背景流失量</w:t>
            </w:r>
          </w:p>
        </w:tc>
        <w:tc>
          <w:tcPr>
            <w:tcW w:w="1043" w:type="dxa"/>
            <w:tcBorders>
              <w:tl2br w:val="nil"/>
              <w:tr2bl w:val="nil"/>
            </w:tcBorders>
            <w:vAlign w:val="center"/>
          </w:tcPr>
          <w:p w:rsidR="002A5A5E" w:rsidRPr="00F9522B" w:rsidRDefault="00611CBA">
            <w:pPr>
              <w:jc w:val="center"/>
            </w:pPr>
            <w:r w:rsidRPr="00F9522B">
              <w:t>扰动地表</w:t>
            </w:r>
          </w:p>
          <w:p w:rsidR="002A5A5E" w:rsidRPr="00F9522B" w:rsidRDefault="00611CBA">
            <w:pPr>
              <w:jc w:val="center"/>
            </w:pPr>
            <w:r w:rsidRPr="00F9522B">
              <w:t>流失量</w:t>
            </w:r>
          </w:p>
        </w:tc>
        <w:tc>
          <w:tcPr>
            <w:tcW w:w="1031" w:type="dxa"/>
            <w:tcBorders>
              <w:tl2br w:val="nil"/>
              <w:tr2bl w:val="nil"/>
            </w:tcBorders>
            <w:vAlign w:val="center"/>
          </w:tcPr>
          <w:p w:rsidR="002A5A5E" w:rsidRPr="00F9522B" w:rsidRDefault="00611CBA">
            <w:pPr>
              <w:jc w:val="center"/>
            </w:pPr>
            <w:r w:rsidRPr="00F9522B">
              <w:t>新增流失量</w:t>
            </w:r>
          </w:p>
        </w:tc>
      </w:tr>
      <w:tr w:rsidR="002A5A5E" w:rsidRPr="00F9522B">
        <w:trPr>
          <w:trHeight w:val="340"/>
        </w:trPr>
        <w:tc>
          <w:tcPr>
            <w:tcW w:w="1383" w:type="dxa"/>
            <w:vMerge/>
            <w:tcBorders>
              <w:tl2br w:val="nil"/>
              <w:tr2bl w:val="nil"/>
            </w:tcBorders>
            <w:vAlign w:val="center"/>
          </w:tcPr>
          <w:p w:rsidR="002A5A5E" w:rsidRPr="00F9522B" w:rsidRDefault="002A5A5E">
            <w:pPr>
              <w:jc w:val="center"/>
            </w:pPr>
          </w:p>
        </w:tc>
        <w:tc>
          <w:tcPr>
            <w:tcW w:w="830" w:type="dxa"/>
            <w:tcBorders>
              <w:tl2br w:val="nil"/>
              <w:tr2bl w:val="nil"/>
            </w:tcBorders>
            <w:vAlign w:val="center"/>
          </w:tcPr>
          <w:p w:rsidR="002A5A5E" w:rsidRPr="00F9522B" w:rsidRDefault="00611CBA">
            <w:pPr>
              <w:jc w:val="center"/>
            </w:pPr>
            <w:r w:rsidRPr="00F9522B">
              <w:t>km</w:t>
            </w:r>
            <w:r w:rsidRPr="00F9522B">
              <w:rPr>
                <w:vertAlign w:val="superscript"/>
              </w:rPr>
              <w:t>2</w:t>
            </w:r>
          </w:p>
        </w:tc>
        <w:tc>
          <w:tcPr>
            <w:tcW w:w="856" w:type="dxa"/>
            <w:tcBorders>
              <w:tl2br w:val="nil"/>
              <w:tr2bl w:val="nil"/>
            </w:tcBorders>
            <w:vAlign w:val="center"/>
          </w:tcPr>
          <w:p w:rsidR="002A5A5E" w:rsidRPr="00F9522B" w:rsidRDefault="00611CBA">
            <w:pPr>
              <w:jc w:val="center"/>
            </w:pPr>
            <w:r w:rsidRPr="00F9522B">
              <w:t>a</w:t>
            </w:r>
          </w:p>
        </w:tc>
        <w:tc>
          <w:tcPr>
            <w:tcW w:w="1065" w:type="dxa"/>
            <w:tcBorders>
              <w:tl2br w:val="nil"/>
              <w:tr2bl w:val="nil"/>
            </w:tcBorders>
            <w:vAlign w:val="center"/>
          </w:tcPr>
          <w:p w:rsidR="002A5A5E" w:rsidRPr="00F9522B" w:rsidRDefault="00611CBA">
            <w:pPr>
              <w:jc w:val="center"/>
            </w:pPr>
            <w:r w:rsidRPr="00F9522B">
              <w:t>t/km</w:t>
            </w:r>
            <w:r w:rsidRPr="00F9522B">
              <w:rPr>
                <w:vertAlign w:val="superscript"/>
              </w:rPr>
              <w:t>2</w:t>
            </w:r>
            <w:r w:rsidRPr="00F9522B">
              <w:t xml:space="preserve"> ·a</w:t>
            </w:r>
          </w:p>
        </w:tc>
        <w:tc>
          <w:tcPr>
            <w:tcW w:w="1065" w:type="dxa"/>
            <w:tcBorders>
              <w:tl2br w:val="nil"/>
              <w:tr2bl w:val="nil"/>
            </w:tcBorders>
            <w:vAlign w:val="center"/>
          </w:tcPr>
          <w:p w:rsidR="002A5A5E" w:rsidRPr="00F9522B" w:rsidRDefault="00611CBA">
            <w:pPr>
              <w:jc w:val="center"/>
            </w:pPr>
            <w:r w:rsidRPr="00F9522B">
              <w:t>t/km</w:t>
            </w:r>
            <w:r w:rsidRPr="00F9522B">
              <w:rPr>
                <w:vertAlign w:val="superscript"/>
              </w:rPr>
              <w:t>2</w:t>
            </w:r>
            <w:r w:rsidRPr="00F9522B">
              <w:t xml:space="preserve"> ·a</w:t>
            </w:r>
          </w:p>
        </w:tc>
        <w:tc>
          <w:tcPr>
            <w:tcW w:w="1028" w:type="dxa"/>
            <w:tcBorders>
              <w:tl2br w:val="nil"/>
              <w:tr2bl w:val="nil"/>
            </w:tcBorders>
            <w:vAlign w:val="center"/>
          </w:tcPr>
          <w:p w:rsidR="002A5A5E" w:rsidRPr="00F9522B" w:rsidRDefault="00611CBA">
            <w:pPr>
              <w:jc w:val="center"/>
            </w:pPr>
            <w:r w:rsidRPr="00F9522B">
              <w:t>t</w:t>
            </w:r>
          </w:p>
        </w:tc>
        <w:tc>
          <w:tcPr>
            <w:tcW w:w="1043" w:type="dxa"/>
            <w:tcBorders>
              <w:tl2br w:val="nil"/>
              <w:tr2bl w:val="nil"/>
            </w:tcBorders>
            <w:vAlign w:val="center"/>
          </w:tcPr>
          <w:p w:rsidR="002A5A5E" w:rsidRPr="00F9522B" w:rsidRDefault="00611CBA">
            <w:pPr>
              <w:jc w:val="center"/>
            </w:pPr>
            <w:r w:rsidRPr="00F9522B">
              <w:t>t</w:t>
            </w:r>
          </w:p>
        </w:tc>
        <w:tc>
          <w:tcPr>
            <w:tcW w:w="1031" w:type="dxa"/>
            <w:tcBorders>
              <w:tl2br w:val="nil"/>
              <w:tr2bl w:val="nil"/>
            </w:tcBorders>
            <w:vAlign w:val="center"/>
          </w:tcPr>
          <w:p w:rsidR="002A5A5E" w:rsidRPr="00F9522B" w:rsidRDefault="00611CBA">
            <w:pPr>
              <w:jc w:val="center"/>
            </w:pPr>
            <w:r w:rsidRPr="00F9522B">
              <w:t>t</w:t>
            </w:r>
          </w:p>
        </w:tc>
      </w:tr>
      <w:tr w:rsidR="00323A2E" w:rsidRPr="00F9522B">
        <w:trPr>
          <w:trHeight w:val="340"/>
        </w:trPr>
        <w:tc>
          <w:tcPr>
            <w:tcW w:w="1383" w:type="dxa"/>
            <w:tcBorders>
              <w:tl2br w:val="nil"/>
              <w:tr2bl w:val="nil"/>
            </w:tcBorders>
            <w:vAlign w:val="center"/>
          </w:tcPr>
          <w:p w:rsidR="00323A2E" w:rsidRPr="00F9522B" w:rsidRDefault="00323A2E">
            <w:pPr>
              <w:jc w:val="center"/>
            </w:pPr>
            <w:r w:rsidRPr="00F9522B">
              <w:rPr>
                <w:spacing w:val="12"/>
              </w:rPr>
              <w:t>主体工程区</w:t>
            </w:r>
          </w:p>
        </w:tc>
        <w:tc>
          <w:tcPr>
            <w:tcW w:w="830" w:type="dxa"/>
            <w:tcBorders>
              <w:tl2br w:val="nil"/>
              <w:tr2bl w:val="nil"/>
            </w:tcBorders>
            <w:vAlign w:val="center"/>
          </w:tcPr>
          <w:p w:rsidR="00323A2E" w:rsidRPr="00F9522B" w:rsidRDefault="00323A2E">
            <w:pPr>
              <w:jc w:val="center"/>
              <w:rPr>
                <w:szCs w:val="21"/>
              </w:rPr>
            </w:pPr>
            <w:r w:rsidRPr="00F9522B">
              <w:rPr>
                <w:szCs w:val="21"/>
              </w:rPr>
              <w:t>0.04626</w:t>
            </w:r>
          </w:p>
        </w:tc>
        <w:tc>
          <w:tcPr>
            <w:tcW w:w="856" w:type="dxa"/>
            <w:tcBorders>
              <w:tl2br w:val="nil"/>
              <w:tr2bl w:val="nil"/>
            </w:tcBorders>
            <w:vAlign w:val="center"/>
          </w:tcPr>
          <w:p w:rsidR="00323A2E" w:rsidRPr="00F9522B" w:rsidRDefault="00323A2E">
            <w:pPr>
              <w:jc w:val="center"/>
            </w:pPr>
            <w:r w:rsidRPr="00F9522B">
              <w:t>3.75</w:t>
            </w:r>
          </w:p>
        </w:tc>
        <w:tc>
          <w:tcPr>
            <w:tcW w:w="1065" w:type="dxa"/>
            <w:tcBorders>
              <w:tl2br w:val="nil"/>
              <w:tr2bl w:val="nil"/>
            </w:tcBorders>
            <w:vAlign w:val="center"/>
          </w:tcPr>
          <w:p w:rsidR="00323A2E" w:rsidRPr="00F9522B" w:rsidRDefault="00323A2E">
            <w:pPr>
              <w:jc w:val="center"/>
            </w:pPr>
            <w:r w:rsidRPr="00F9522B">
              <w:t>800</w:t>
            </w:r>
          </w:p>
        </w:tc>
        <w:tc>
          <w:tcPr>
            <w:tcW w:w="1065" w:type="dxa"/>
            <w:tcBorders>
              <w:tl2br w:val="nil"/>
              <w:tr2bl w:val="nil"/>
            </w:tcBorders>
            <w:vAlign w:val="center"/>
          </w:tcPr>
          <w:p w:rsidR="00323A2E" w:rsidRPr="00F9522B" w:rsidRDefault="00323A2E">
            <w:pPr>
              <w:jc w:val="center"/>
              <w:rPr>
                <w:szCs w:val="21"/>
              </w:rPr>
            </w:pPr>
            <w:r w:rsidRPr="00F9522B">
              <w:rPr>
                <w:szCs w:val="21"/>
              </w:rPr>
              <w:t>2047</w:t>
            </w:r>
          </w:p>
        </w:tc>
        <w:tc>
          <w:tcPr>
            <w:tcW w:w="1028" w:type="dxa"/>
            <w:tcBorders>
              <w:tl2br w:val="nil"/>
              <w:tr2bl w:val="nil"/>
            </w:tcBorders>
            <w:vAlign w:val="center"/>
          </w:tcPr>
          <w:p w:rsidR="00323A2E" w:rsidRDefault="00323A2E">
            <w:pPr>
              <w:jc w:val="center"/>
              <w:rPr>
                <w:color w:val="FF0000"/>
                <w:szCs w:val="21"/>
              </w:rPr>
            </w:pPr>
            <w:r>
              <w:rPr>
                <w:color w:val="FF0000"/>
                <w:szCs w:val="21"/>
              </w:rPr>
              <w:t xml:space="preserve">138.8 </w:t>
            </w:r>
          </w:p>
        </w:tc>
        <w:tc>
          <w:tcPr>
            <w:tcW w:w="1043" w:type="dxa"/>
            <w:tcBorders>
              <w:tl2br w:val="nil"/>
              <w:tr2bl w:val="nil"/>
            </w:tcBorders>
            <w:vAlign w:val="center"/>
          </w:tcPr>
          <w:p w:rsidR="00323A2E" w:rsidRDefault="00323A2E">
            <w:pPr>
              <w:jc w:val="center"/>
              <w:rPr>
                <w:color w:val="FF0000"/>
                <w:szCs w:val="21"/>
              </w:rPr>
            </w:pPr>
            <w:r>
              <w:rPr>
                <w:color w:val="FF0000"/>
                <w:szCs w:val="21"/>
              </w:rPr>
              <w:t xml:space="preserve">355.1 </w:t>
            </w:r>
          </w:p>
        </w:tc>
        <w:tc>
          <w:tcPr>
            <w:tcW w:w="1031" w:type="dxa"/>
            <w:tcBorders>
              <w:tl2br w:val="nil"/>
              <w:tr2bl w:val="nil"/>
            </w:tcBorders>
            <w:vAlign w:val="center"/>
          </w:tcPr>
          <w:p w:rsidR="00323A2E" w:rsidRDefault="00323A2E">
            <w:pPr>
              <w:jc w:val="center"/>
              <w:rPr>
                <w:color w:val="FF0000"/>
                <w:szCs w:val="21"/>
              </w:rPr>
            </w:pPr>
            <w:r>
              <w:rPr>
                <w:color w:val="FF0000"/>
                <w:szCs w:val="21"/>
              </w:rPr>
              <w:t xml:space="preserve">216.3 </w:t>
            </w:r>
          </w:p>
        </w:tc>
      </w:tr>
      <w:tr w:rsidR="00323A2E" w:rsidRPr="00F9522B">
        <w:trPr>
          <w:trHeight w:val="340"/>
        </w:trPr>
        <w:tc>
          <w:tcPr>
            <w:tcW w:w="1383" w:type="dxa"/>
            <w:tcBorders>
              <w:tl2br w:val="nil"/>
              <w:tr2bl w:val="nil"/>
            </w:tcBorders>
            <w:vAlign w:val="center"/>
          </w:tcPr>
          <w:p w:rsidR="00323A2E" w:rsidRPr="00F9522B" w:rsidRDefault="00323A2E">
            <w:pPr>
              <w:jc w:val="center"/>
            </w:pPr>
            <w:r w:rsidRPr="00F9522B">
              <w:t>施工道路区</w:t>
            </w:r>
          </w:p>
        </w:tc>
        <w:tc>
          <w:tcPr>
            <w:tcW w:w="830" w:type="dxa"/>
            <w:tcBorders>
              <w:tl2br w:val="nil"/>
              <w:tr2bl w:val="nil"/>
            </w:tcBorders>
            <w:vAlign w:val="center"/>
          </w:tcPr>
          <w:p w:rsidR="00323A2E" w:rsidRPr="00F9522B" w:rsidRDefault="00323A2E">
            <w:pPr>
              <w:jc w:val="center"/>
              <w:rPr>
                <w:szCs w:val="21"/>
              </w:rPr>
            </w:pPr>
            <w:r w:rsidRPr="00F9522B">
              <w:rPr>
                <w:szCs w:val="21"/>
              </w:rPr>
              <w:t>0.00264</w:t>
            </w:r>
          </w:p>
        </w:tc>
        <w:tc>
          <w:tcPr>
            <w:tcW w:w="856" w:type="dxa"/>
            <w:tcBorders>
              <w:tl2br w:val="nil"/>
              <w:tr2bl w:val="nil"/>
            </w:tcBorders>
            <w:vAlign w:val="center"/>
          </w:tcPr>
          <w:p w:rsidR="00323A2E" w:rsidRPr="00F9522B" w:rsidRDefault="00323A2E">
            <w:pPr>
              <w:jc w:val="center"/>
            </w:pPr>
            <w:r w:rsidRPr="00F9522B">
              <w:t>3.75</w:t>
            </w:r>
          </w:p>
        </w:tc>
        <w:tc>
          <w:tcPr>
            <w:tcW w:w="1065" w:type="dxa"/>
            <w:tcBorders>
              <w:tl2br w:val="nil"/>
              <w:tr2bl w:val="nil"/>
            </w:tcBorders>
            <w:vAlign w:val="center"/>
          </w:tcPr>
          <w:p w:rsidR="00323A2E" w:rsidRPr="00F9522B" w:rsidRDefault="00323A2E">
            <w:pPr>
              <w:jc w:val="center"/>
            </w:pPr>
            <w:r w:rsidRPr="00F9522B">
              <w:t>800</w:t>
            </w:r>
          </w:p>
        </w:tc>
        <w:tc>
          <w:tcPr>
            <w:tcW w:w="1065" w:type="dxa"/>
            <w:tcBorders>
              <w:tl2br w:val="nil"/>
              <w:tr2bl w:val="nil"/>
            </w:tcBorders>
            <w:vAlign w:val="center"/>
          </w:tcPr>
          <w:p w:rsidR="00323A2E" w:rsidRPr="00F9522B" w:rsidRDefault="00323A2E">
            <w:pPr>
              <w:jc w:val="center"/>
              <w:rPr>
                <w:szCs w:val="21"/>
              </w:rPr>
            </w:pPr>
            <w:r w:rsidRPr="00F9522B">
              <w:rPr>
                <w:szCs w:val="21"/>
              </w:rPr>
              <w:t>1828</w:t>
            </w:r>
          </w:p>
        </w:tc>
        <w:tc>
          <w:tcPr>
            <w:tcW w:w="1028" w:type="dxa"/>
            <w:tcBorders>
              <w:tl2br w:val="nil"/>
              <w:tr2bl w:val="nil"/>
            </w:tcBorders>
            <w:vAlign w:val="center"/>
          </w:tcPr>
          <w:p w:rsidR="00323A2E" w:rsidRDefault="00323A2E">
            <w:pPr>
              <w:jc w:val="center"/>
              <w:rPr>
                <w:color w:val="FF0000"/>
                <w:szCs w:val="21"/>
              </w:rPr>
            </w:pPr>
            <w:r>
              <w:rPr>
                <w:color w:val="FF0000"/>
                <w:szCs w:val="21"/>
              </w:rPr>
              <w:t xml:space="preserve">7.9 </w:t>
            </w:r>
          </w:p>
        </w:tc>
        <w:tc>
          <w:tcPr>
            <w:tcW w:w="1043" w:type="dxa"/>
            <w:tcBorders>
              <w:tl2br w:val="nil"/>
              <w:tr2bl w:val="nil"/>
            </w:tcBorders>
            <w:vAlign w:val="center"/>
          </w:tcPr>
          <w:p w:rsidR="00323A2E" w:rsidRDefault="00323A2E">
            <w:pPr>
              <w:jc w:val="center"/>
              <w:rPr>
                <w:color w:val="FF0000"/>
                <w:szCs w:val="21"/>
              </w:rPr>
            </w:pPr>
            <w:r>
              <w:rPr>
                <w:color w:val="FF0000"/>
                <w:szCs w:val="21"/>
              </w:rPr>
              <w:t xml:space="preserve">18.1 </w:t>
            </w:r>
          </w:p>
        </w:tc>
        <w:tc>
          <w:tcPr>
            <w:tcW w:w="1031" w:type="dxa"/>
            <w:tcBorders>
              <w:tl2br w:val="nil"/>
              <w:tr2bl w:val="nil"/>
            </w:tcBorders>
            <w:vAlign w:val="center"/>
          </w:tcPr>
          <w:p w:rsidR="00323A2E" w:rsidRDefault="00323A2E">
            <w:pPr>
              <w:jc w:val="center"/>
              <w:rPr>
                <w:color w:val="FF0000"/>
                <w:szCs w:val="21"/>
              </w:rPr>
            </w:pPr>
            <w:r>
              <w:rPr>
                <w:color w:val="FF0000"/>
                <w:szCs w:val="21"/>
              </w:rPr>
              <w:t xml:space="preserve">10.2 </w:t>
            </w:r>
          </w:p>
        </w:tc>
      </w:tr>
      <w:tr w:rsidR="00323A2E" w:rsidRPr="00F9522B">
        <w:trPr>
          <w:trHeight w:val="340"/>
        </w:trPr>
        <w:tc>
          <w:tcPr>
            <w:tcW w:w="1383" w:type="dxa"/>
            <w:tcBorders>
              <w:tl2br w:val="nil"/>
              <w:tr2bl w:val="nil"/>
            </w:tcBorders>
            <w:vAlign w:val="center"/>
          </w:tcPr>
          <w:p w:rsidR="00323A2E" w:rsidRPr="00F9522B" w:rsidRDefault="00323A2E">
            <w:pPr>
              <w:jc w:val="center"/>
            </w:pPr>
            <w:r w:rsidRPr="00F9522B">
              <w:t>临时堆土区</w:t>
            </w:r>
          </w:p>
        </w:tc>
        <w:tc>
          <w:tcPr>
            <w:tcW w:w="830" w:type="dxa"/>
            <w:tcBorders>
              <w:tl2br w:val="nil"/>
              <w:tr2bl w:val="nil"/>
            </w:tcBorders>
            <w:vAlign w:val="center"/>
          </w:tcPr>
          <w:p w:rsidR="00323A2E" w:rsidRPr="00D20F79" w:rsidRDefault="00323A2E">
            <w:pPr>
              <w:jc w:val="center"/>
              <w:rPr>
                <w:color w:val="FF0000"/>
                <w:szCs w:val="21"/>
              </w:rPr>
            </w:pPr>
            <w:r w:rsidRPr="00D20F79">
              <w:rPr>
                <w:color w:val="FF0000"/>
                <w:szCs w:val="21"/>
              </w:rPr>
              <w:t>0.2915</w:t>
            </w:r>
          </w:p>
        </w:tc>
        <w:tc>
          <w:tcPr>
            <w:tcW w:w="856" w:type="dxa"/>
            <w:tcBorders>
              <w:tl2br w:val="nil"/>
              <w:tr2bl w:val="nil"/>
            </w:tcBorders>
            <w:vAlign w:val="center"/>
          </w:tcPr>
          <w:p w:rsidR="00323A2E" w:rsidRPr="00F9522B" w:rsidRDefault="00323A2E">
            <w:pPr>
              <w:jc w:val="center"/>
            </w:pPr>
            <w:r w:rsidRPr="00F9522B">
              <w:t>3.75</w:t>
            </w:r>
          </w:p>
        </w:tc>
        <w:tc>
          <w:tcPr>
            <w:tcW w:w="1065" w:type="dxa"/>
            <w:tcBorders>
              <w:tl2br w:val="nil"/>
              <w:tr2bl w:val="nil"/>
            </w:tcBorders>
            <w:vAlign w:val="center"/>
          </w:tcPr>
          <w:p w:rsidR="00323A2E" w:rsidRPr="00F9522B" w:rsidRDefault="00323A2E">
            <w:pPr>
              <w:jc w:val="center"/>
            </w:pPr>
            <w:r w:rsidRPr="00F9522B">
              <w:t>800</w:t>
            </w:r>
          </w:p>
        </w:tc>
        <w:tc>
          <w:tcPr>
            <w:tcW w:w="1065" w:type="dxa"/>
            <w:tcBorders>
              <w:tl2br w:val="nil"/>
              <w:tr2bl w:val="nil"/>
            </w:tcBorders>
            <w:vAlign w:val="center"/>
          </w:tcPr>
          <w:p w:rsidR="00323A2E" w:rsidRPr="00F9522B" w:rsidRDefault="00323A2E">
            <w:pPr>
              <w:jc w:val="center"/>
              <w:rPr>
                <w:szCs w:val="21"/>
              </w:rPr>
            </w:pPr>
            <w:r w:rsidRPr="00F9522B">
              <w:rPr>
                <w:szCs w:val="21"/>
              </w:rPr>
              <w:t>8466</w:t>
            </w:r>
          </w:p>
        </w:tc>
        <w:tc>
          <w:tcPr>
            <w:tcW w:w="1028" w:type="dxa"/>
            <w:tcBorders>
              <w:tl2br w:val="nil"/>
              <w:tr2bl w:val="nil"/>
            </w:tcBorders>
            <w:vAlign w:val="center"/>
          </w:tcPr>
          <w:p w:rsidR="00323A2E" w:rsidRDefault="00323A2E">
            <w:pPr>
              <w:jc w:val="center"/>
              <w:rPr>
                <w:color w:val="FF0000"/>
                <w:szCs w:val="21"/>
              </w:rPr>
            </w:pPr>
            <w:r>
              <w:rPr>
                <w:color w:val="FF0000"/>
                <w:szCs w:val="21"/>
              </w:rPr>
              <w:t xml:space="preserve">874.5 </w:t>
            </w:r>
          </w:p>
        </w:tc>
        <w:tc>
          <w:tcPr>
            <w:tcW w:w="1043" w:type="dxa"/>
            <w:tcBorders>
              <w:tl2br w:val="nil"/>
              <w:tr2bl w:val="nil"/>
            </w:tcBorders>
            <w:vAlign w:val="center"/>
          </w:tcPr>
          <w:p w:rsidR="00323A2E" w:rsidRDefault="00323A2E">
            <w:pPr>
              <w:jc w:val="center"/>
              <w:rPr>
                <w:color w:val="FF0000"/>
                <w:szCs w:val="21"/>
              </w:rPr>
            </w:pPr>
            <w:r>
              <w:rPr>
                <w:color w:val="FF0000"/>
                <w:szCs w:val="21"/>
              </w:rPr>
              <w:t xml:space="preserve">9254.4 </w:t>
            </w:r>
          </w:p>
        </w:tc>
        <w:tc>
          <w:tcPr>
            <w:tcW w:w="1031" w:type="dxa"/>
            <w:tcBorders>
              <w:tl2br w:val="nil"/>
              <w:tr2bl w:val="nil"/>
            </w:tcBorders>
            <w:vAlign w:val="center"/>
          </w:tcPr>
          <w:p w:rsidR="00323A2E" w:rsidRDefault="00323A2E">
            <w:pPr>
              <w:jc w:val="center"/>
              <w:rPr>
                <w:color w:val="FF0000"/>
                <w:szCs w:val="21"/>
              </w:rPr>
            </w:pPr>
            <w:r>
              <w:rPr>
                <w:color w:val="FF0000"/>
                <w:szCs w:val="21"/>
              </w:rPr>
              <w:t xml:space="preserve">8379.9 </w:t>
            </w:r>
          </w:p>
        </w:tc>
      </w:tr>
      <w:tr w:rsidR="00323A2E" w:rsidRPr="00F9522B">
        <w:trPr>
          <w:trHeight w:val="340"/>
        </w:trPr>
        <w:tc>
          <w:tcPr>
            <w:tcW w:w="1383" w:type="dxa"/>
            <w:tcBorders>
              <w:tl2br w:val="nil"/>
              <w:tr2bl w:val="nil"/>
            </w:tcBorders>
            <w:vAlign w:val="center"/>
          </w:tcPr>
          <w:p w:rsidR="00323A2E" w:rsidRPr="00F9522B" w:rsidRDefault="00323A2E">
            <w:pPr>
              <w:jc w:val="center"/>
            </w:pPr>
            <w:r w:rsidRPr="00F9522B">
              <w:t>合计</w:t>
            </w:r>
          </w:p>
        </w:tc>
        <w:tc>
          <w:tcPr>
            <w:tcW w:w="830" w:type="dxa"/>
            <w:tcBorders>
              <w:tl2br w:val="nil"/>
              <w:tr2bl w:val="nil"/>
            </w:tcBorders>
            <w:vAlign w:val="center"/>
          </w:tcPr>
          <w:p w:rsidR="00323A2E" w:rsidRPr="00D20F79" w:rsidRDefault="00323A2E" w:rsidP="00D20F79">
            <w:pPr>
              <w:jc w:val="center"/>
              <w:rPr>
                <w:color w:val="FF0000"/>
              </w:rPr>
            </w:pPr>
            <w:r w:rsidRPr="00D20F79">
              <w:rPr>
                <w:color w:val="FF0000"/>
              </w:rPr>
              <w:t>0.</w:t>
            </w:r>
            <w:r w:rsidRPr="00D20F79">
              <w:rPr>
                <w:rFonts w:hint="eastAsia"/>
                <w:color w:val="FF0000"/>
              </w:rPr>
              <w:t>3404</w:t>
            </w:r>
          </w:p>
        </w:tc>
        <w:tc>
          <w:tcPr>
            <w:tcW w:w="856" w:type="dxa"/>
            <w:tcBorders>
              <w:tl2br w:val="nil"/>
              <w:tr2bl w:val="nil"/>
            </w:tcBorders>
            <w:vAlign w:val="center"/>
          </w:tcPr>
          <w:p w:rsidR="00323A2E" w:rsidRPr="00F9522B" w:rsidRDefault="00323A2E">
            <w:pPr>
              <w:jc w:val="center"/>
            </w:pPr>
            <w:r w:rsidRPr="00F9522B">
              <w:t>/</w:t>
            </w:r>
          </w:p>
        </w:tc>
        <w:tc>
          <w:tcPr>
            <w:tcW w:w="1065" w:type="dxa"/>
            <w:tcBorders>
              <w:tl2br w:val="nil"/>
              <w:tr2bl w:val="nil"/>
            </w:tcBorders>
            <w:vAlign w:val="center"/>
          </w:tcPr>
          <w:p w:rsidR="00323A2E" w:rsidRPr="00F9522B" w:rsidRDefault="00323A2E">
            <w:pPr>
              <w:jc w:val="center"/>
            </w:pPr>
            <w:r w:rsidRPr="00F9522B">
              <w:t>/</w:t>
            </w:r>
          </w:p>
        </w:tc>
        <w:tc>
          <w:tcPr>
            <w:tcW w:w="1065" w:type="dxa"/>
            <w:tcBorders>
              <w:tl2br w:val="nil"/>
              <w:tr2bl w:val="nil"/>
            </w:tcBorders>
            <w:vAlign w:val="center"/>
          </w:tcPr>
          <w:p w:rsidR="00323A2E" w:rsidRPr="00F9522B" w:rsidRDefault="00323A2E">
            <w:pPr>
              <w:jc w:val="center"/>
            </w:pPr>
            <w:r w:rsidRPr="00F9522B">
              <w:t>/</w:t>
            </w:r>
          </w:p>
        </w:tc>
        <w:tc>
          <w:tcPr>
            <w:tcW w:w="1028" w:type="dxa"/>
            <w:tcBorders>
              <w:tl2br w:val="nil"/>
              <w:tr2bl w:val="nil"/>
            </w:tcBorders>
            <w:vAlign w:val="center"/>
          </w:tcPr>
          <w:p w:rsidR="00323A2E" w:rsidRDefault="00323A2E">
            <w:pPr>
              <w:jc w:val="center"/>
              <w:rPr>
                <w:color w:val="FF0000"/>
                <w:szCs w:val="21"/>
              </w:rPr>
            </w:pPr>
            <w:r>
              <w:rPr>
                <w:color w:val="FF0000"/>
                <w:szCs w:val="21"/>
              </w:rPr>
              <w:t xml:space="preserve">1021.2 </w:t>
            </w:r>
          </w:p>
        </w:tc>
        <w:tc>
          <w:tcPr>
            <w:tcW w:w="1043" w:type="dxa"/>
            <w:tcBorders>
              <w:tl2br w:val="nil"/>
              <w:tr2bl w:val="nil"/>
            </w:tcBorders>
            <w:vAlign w:val="center"/>
          </w:tcPr>
          <w:p w:rsidR="00323A2E" w:rsidRDefault="00323A2E">
            <w:pPr>
              <w:jc w:val="center"/>
              <w:rPr>
                <w:color w:val="FF0000"/>
                <w:szCs w:val="21"/>
              </w:rPr>
            </w:pPr>
            <w:r>
              <w:rPr>
                <w:color w:val="FF0000"/>
                <w:szCs w:val="21"/>
              </w:rPr>
              <w:t xml:space="preserve">9627.6 </w:t>
            </w:r>
          </w:p>
        </w:tc>
        <w:tc>
          <w:tcPr>
            <w:tcW w:w="1031" w:type="dxa"/>
            <w:tcBorders>
              <w:tl2br w:val="nil"/>
              <w:tr2bl w:val="nil"/>
            </w:tcBorders>
            <w:vAlign w:val="center"/>
          </w:tcPr>
          <w:p w:rsidR="00323A2E" w:rsidRDefault="00323A2E">
            <w:pPr>
              <w:jc w:val="center"/>
              <w:rPr>
                <w:color w:val="FF0000"/>
                <w:szCs w:val="21"/>
              </w:rPr>
            </w:pPr>
            <w:r>
              <w:rPr>
                <w:color w:val="FF0000"/>
                <w:szCs w:val="21"/>
              </w:rPr>
              <w:t xml:space="preserve">8606.4 </w:t>
            </w:r>
          </w:p>
        </w:tc>
      </w:tr>
    </w:tbl>
    <w:p w:rsidR="002A5A5E" w:rsidRPr="00F9522B" w:rsidRDefault="00611CBA">
      <w:pPr>
        <w:jc w:val="center"/>
        <w:rPr>
          <w:b/>
          <w:bCs/>
          <w:szCs w:val="21"/>
        </w:rPr>
      </w:pPr>
      <w:r w:rsidRPr="00F9522B">
        <w:rPr>
          <w:b/>
          <w:bCs/>
          <w:szCs w:val="21"/>
        </w:rPr>
        <w:t>表</w:t>
      </w:r>
      <w:r w:rsidRPr="00F9522B">
        <w:rPr>
          <w:b/>
          <w:bCs/>
          <w:szCs w:val="21"/>
        </w:rPr>
        <w:t>5-1-13</w:t>
      </w:r>
      <w:r w:rsidRPr="00F9522B">
        <w:rPr>
          <w:b/>
          <w:bCs/>
          <w:szCs w:val="21"/>
        </w:rPr>
        <w:t>自然恢复期水土流失量预测表</w:t>
      </w:r>
    </w:p>
    <w:tbl>
      <w:tblPr>
        <w:tblStyle w:val="TableNormal"/>
        <w:tblW w:w="4997" w:type="pct"/>
        <w:tblInd w:w="0" w:type="dxa"/>
        <w:tblBorders>
          <w:top w:val="single" w:sz="12" w:space="0" w:color="000000"/>
          <w:bottom w:val="single" w:sz="12" w:space="0" w:color="000000"/>
          <w:insideH w:val="single" w:sz="2" w:space="0" w:color="000000"/>
          <w:insideV w:val="single" w:sz="2" w:space="0" w:color="000000"/>
        </w:tblBorders>
        <w:tblLook w:val="04A0"/>
      </w:tblPr>
      <w:tblGrid>
        <w:gridCol w:w="671"/>
        <w:gridCol w:w="793"/>
        <w:gridCol w:w="551"/>
        <w:gridCol w:w="689"/>
        <w:gridCol w:w="599"/>
        <w:gridCol w:w="691"/>
        <w:gridCol w:w="583"/>
        <w:gridCol w:w="693"/>
        <w:gridCol w:w="585"/>
        <w:gridCol w:w="693"/>
        <w:gridCol w:w="584"/>
        <w:gridCol w:w="585"/>
        <w:gridCol w:w="584"/>
      </w:tblGrid>
      <w:tr w:rsidR="002A5A5E" w:rsidRPr="00F9522B">
        <w:trPr>
          <w:trHeight w:val="340"/>
        </w:trPr>
        <w:tc>
          <w:tcPr>
            <w:tcW w:w="671" w:type="dxa"/>
            <w:vMerge w:val="restart"/>
            <w:tcBorders>
              <w:tl2br w:val="nil"/>
              <w:tr2bl w:val="nil"/>
            </w:tcBorders>
            <w:vAlign w:val="center"/>
          </w:tcPr>
          <w:p w:rsidR="002A5A5E" w:rsidRPr="00F9522B" w:rsidRDefault="00611CBA">
            <w:pPr>
              <w:jc w:val="center"/>
            </w:pPr>
            <w:r w:rsidRPr="00F9522B">
              <w:t>预测单元</w:t>
            </w:r>
          </w:p>
        </w:tc>
        <w:tc>
          <w:tcPr>
            <w:tcW w:w="793" w:type="dxa"/>
            <w:vMerge w:val="restart"/>
            <w:tcBorders>
              <w:tl2br w:val="nil"/>
              <w:tr2bl w:val="nil"/>
            </w:tcBorders>
            <w:vAlign w:val="center"/>
          </w:tcPr>
          <w:p w:rsidR="002A5A5E" w:rsidRPr="00F9522B" w:rsidRDefault="00611CBA">
            <w:pPr>
              <w:jc w:val="center"/>
            </w:pPr>
            <w:r w:rsidRPr="00F9522B">
              <w:t>预测</w:t>
            </w:r>
          </w:p>
          <w:p w:rsidR="002A5A5E" w:rsidRPr="00F9522B" w:rsidRDefault="00611CBA">
            <w:pPr>
              <w:jc w:val="center"/>
            </w:pPr>
            <w:r w:rsidRPr="00F9522B">
              <w:t>面积</w:t>
            </w:r>
          </w:p>
        </w:tc>
        <w:tc>
          <w:tcPr>
            <w:tcW w:w="1839" w:type="dxa"/>
            <w:gridSpan w:val="3"/>
            <w:tcBorders>
              <w:tl2br w:val="nil"/>
              <w:tr2bl w:val="nil"/>
            </w:tcBorders>
            <w:vAlign w:val="center"/>
          </w:tcPr>
          <w:p w:rsidR="002A5A5E" w:rsidRPr="00F9522B" w:rsidRDefault="00611CBA">
            <w:pPr>
              <w:jc w:val="center"/>
            </w:pPr>
            <w:r w:rsidRPr="00F9522B">
              <w:t>原地貌水土流失量</w:t>
            </w:r>
          </w:p>
        </w:tc>
        <w:tc>
          <w:tcPr>
            <w:tcW w:w="4414" w:type="dxa"/>
            <w:gridSpan w:val="7"/>
            <w:tcBorders>
              <w:tl2br w:val="nil"/>
              <w:tr2bl w:val="nil"/>
            </w:tcBorders>
            <w:vAlign w:val="center"/>
          </w:tcPr>
          <w:p w:rsidR="002A5A5E" w:rsidRPr="00F9522B" w:rsidRDefault="00611CBA">
            <w:pPr>
              <w:jc w:val="center"/>
            </w:pPr>
            <w:r w:rsidRPr="00F9522B">
              <w:t>自然恢复期水土流失量</w:t>
            </w:r>
          </w:p>
        </w:tc>
        <w:tc>
          <w:tcPr>
            <w:tcW w:w="584" w:type="dxa"/>
            <w:vMerge w:val="restart"/>
            <w:tcBorders>
              <w:tl2br w:val="nil"/>
              <w:tr2bl w:val="nil"/>
            </w:tcBorders>
            <w:vAlign w:val="center"/>
          </w:tcPr>
          <w:p w:rsidR="002A5A5E" w:rsidRPr="00F9522B" w:rsidRDefault="00611CBA">
            <w:pPr>
              <w:jc w:val="center"/>
            </w:pPr>
            <w:r w:rsidRPr="00F9522B">
              <w:t>新增流失量</w:t>
            </w:r>
          </w:p>
        </w:tc>
      </w:tr>
      <w:tr w:rsidR="002A5A5E" w:rsidRPr="00F9522B">
        <w:trPr>
          <w:trHeight w:val="423"/>
        </w:trPr>
        <w:tc>
          <w:tcPr>
            <w:tcW w:w="671" w:type="dxa"/>
            <w:vMerge/>
            <w:tcBorders>
              <w:tl2br w:val="nil"/>
              <w:tr2bl w:val="nil"/>
            </w:tcBorders>
            <w:vAlign w:val="center"/>
          </w:tcPr>
          <w:p w:rsidR="002A5A5E" w:rsidRPr="00F9522B" w:rsidRDefault="002A5A5E">
            <w:pPr>
              <w:jc w:val="center"/>
            </w:pPr>
          </w:p>
        </w:tc>
        <w:tc>
          <w:tcPr>
            <w:tcW w:w="793" w:type="dxa"/>
            <w:vMerge/>
            <w:tcBorders>
              <w:tl2br w:val="nil"/>
              <w:tr2bl w:val="nil"/>
            </w:tcBorders>
            <w:vAlign w:val="center"/>
          </w:tcPr>
          <w:p w:rsidR="002A5A5E" w:rsidRPr="00F9522B" w:rsidRDefault="002A5A5E">
            <w:pPr>
              <w:jc w:val="center"/>
            </w:pPr>
          </w:p>
        </w:tc>
        <w:tc>
          <w:tcPr>
            <w:tcW w:w="551" w:type="dxa"/>
            <w:vMerge w:val="restart"/>
            <w:tcBorders>
              <w:right w:val="single" w:sz="4" w:space="0" w:color="auto"/>
              <w:tl2br w:val="nil"/>
              <w:tr2bl w:val="nil"/>
            </w:tcBorders>
            <w:vAlign w:val="center"/>
          </w:tcPr>
          <w:p w:rsidR="002A5A5E" w:rsidRPr="00F9522B" w:rsidRDefault="00611CBA">
            <w:pPr>
              <w:jc w:val="center"/>
            </w:pPr>
            <w:r w:rsidRPr="00F9522B">
              <w:t>预测</w:t>
            </w:r>
          </w:p>
          <w:p w:rsidR="002A5A5E" w:rsidRPr="00F9522B" w:rsidRDefault="00611CBA">
            <w:pPr>
              <w:jc w:val="center"/>
              <w:rPr>
                <w:rFonts w:eastAsia="仿宋"/>
                <w:sz w:val="20"/>
                <w:szCs w:val="20"/>
              </w:rPr>
            </w:pPr>
            <w:r w:rsidRPr="00F9522B">
              <w:t>时段</w:t>
            </w:r>
          </w:p>
        </w:tc>
        <w:tc>
          <w:tcPr>
            <w:tcW w:w="689" w:type="dxa"/>
            <w:vMerge w:val="restart"/>
            <w:tcBorders>
              <w:left w:val="single" w:sz="4" w:space="0" w:color="auto"/>
              <w:right w:val="single" w:sz="4" w:space="0" w:color="auto"/>
              <w:tl2br w:val="nil"/>
              <w:tr2bl w:val="nil"/>
            </w:tcBorders>
            <w:vAlign w:val="center"/>
          </w:tcPr>
          <w:p w:rsidR="002A5A5E" w:rsidRPr="00F9522B" w:rsidRDefault="00611CBA">
            <w:pPr>
              <w:jc w:val="center"/>
              <w:rPr>
                <w:rFonts w:eastAsia="仿宋"/>
                <w:sz w:val="20"/>
                <w:szCs w:val="20"/>
              </w:rPr>
            </w:pPr>
            <w:r w:rsidRPr="00F9522B">
              <w:t>土壤侵蚀背景值</w:t>
            </w:r>
          </w:p>
        </w:tc>
        <w:tc>
          <w:tcPr>
            <w:tcW w:w="599" w:type="dxa"/>
            <w:vMerge w:val="restart"/>
            <w:tcBorders>
              <w:left w:val="single" w:sz="4" w:space="0" w:color="auto"/>
              <w:tl2br w:val="nil"/>
              <w:tr2bl w:val="nil"/>
            </w:tcBorders>
            <w:vAlign w:val="center"/>
          </w:tcPr>
          <w:p w:rsidR="002A5A5E" w:rsidRPr="00F9522B" w:rsidRDefault="00611CBA">
            <w:pPr>
              <w:jc w:val="center"/>
              <w:rPr>
                <w:rFonts w:eastAsia="仿宋"/>
                <w:sz w:val="20"/>
                <w:szCs w:val="20"/>
              </w:rPr>
            </w:pPr>
            <w:r w:rsidRPr="00F9522B">
              <w:t>背景流失量</w:t>
            </w:r>
          </w:p>
        </w:tc>
        <w:tc>
          <w:tcPr>
            <w:tcW w:w="1274" w:type="dxa"/>
            <w:gridSpan w:val="2"/>
            <w:tcBorders>
              <w:bottom w:val="single" w:sz="4" w:space="0" w:color="auto"/>
              <w:tl2br w:val="nil"/>
              <w:tr2bl w:val="nil"/>
            </w:tcBorders>
            <w:vAlign w:val="center"/>
          </w:tcPr>
          <w:p w:rsidR="002A5A5E" w:rsidRPr="00F9522B" w:rsidRDefault="00611CBA">
            <w:pPr>
              <w:jc w:val="center"/>
            </w:pPr>
            <w:r w:rsidRPr="00F9522B">
              <w:t>第一年流失量</w:t>
            </w:r>
          </w:p>
        </w:tc>
        <w:tc>
          <w:tcPr>
            <w:tcW w:w="1278" w:type="dxa"/>
            <w:gridSpan w:val="2"/>
            <w:tcBorders>
              <w:bottom w:val="single" w:sz="4" w:space="0" w:color="auto"/>
              <w:tl2br w:val="nil"/>
              <w:tr2bl w:val="nil"/>
            </w:tcBorders>
            <w:vAlign w:val="center"/>
          </w:tcPr>
          <w:p w:rsidR="002A5A5E" w:rsidRPr="00F9522B" w:rsidRDefault="00611CBA">
            <w:pPr>
              <w:jc w:val="center"/>
            </w:pPr>
            <w:r w:rsidRPr="00F9522B">
              <w:t>第</w:t>
            </w:r>
            <w:r w:rsidR="00997DD5" w:rsidRPr="00F9522B">
              <w:t>二</w:t>
            </w:r>
            <w:r w:rsidRPr="00F9522B">
              <w:t>年流失量</w:t>
            </w:r>
          </w:p>
        </w:tc>
        <w:tc>
          <w:tcPr>
            <w:tcW w:w="1277" w:type="dxa"/>
            <w:gridSpan w:val="2"/>
            <w:tcBorders>
              <w:bottom w:val="single" w:sz="4" w:space="0" w:color="auto"/>
              <w:tl2br w:val="nil"/>
              <w:tr2bl w:val="nil"/>
            </w:tcBorders>
            <w:vAlign w:val="center"/>
          </w:tcPr>
          <w:p w:rsidR="002A5A5E" w:rsidRPr="00F9522B" w:rsidRDefault="00611CBA">
            <w:pPr>
              <w:jc w:val="center"/>
            </w:pPr>
            <w:r w:rsidRPr="00F9522B">
              <w:t>第</w:t>
            </w:r>
            <w:r w:rsidR="00997DD5" w:rsidRPr="00F9522B">
              <w:t>三</w:t>
            </w:r>
            <w:r w:rsidRPr="00F9522B">
              <w:t>年流失量</w:t>
            </w:r>
          </w:p>
        </w:tc>
        <w:tc>
          <w:tcPr>
            <w:tcW w:w="585" w:type="dxa"/>
            <w:vMerge w:val="restart"/>
            <w:tcBorders>
              <w:tl2br w:val="nil"/>
              <w:tr2bl w:val="nil"/>
            </w:tcBorders>
            <w:vAlign w:val="center"/>
          </w:tcPr>
          <w:p w:rsidR="002A5A5E" w:rsidRPr="00F9522B" w:rsidRDefault="00611CBA">
            <w:pPr>
              <w:jc w:val="center"/>
            </w:pPr>
            <w:r w:rsidRPr="00F9522B">
              <w:t>流失量合计</w:t>
            </w:r>
          </w:p>
        </w:tc>
        <w:tc>
          <w:tcPr>
            <w:tcW w:w="584" w:type="dxa"/>
            <w:vMerge/>
            <w:tcBorders>
              <w:tl2br w:val="nil"/>
              <w:tr2bl w:val="nil"/>
            </w:tcBorders>
            <w:vAlign w:val="center"/>
          </w:tcPr>
          <w:p w:rsidR="002A5A5E" w:rsidRPr="00F9522B" w:rsidRDefault="002A5A5E">
            <w:pPr>
              <w:jc w:val="center"/>
            </w:pPr>
          </w:p>
        </w:tc>
      </w:tr>
      <w:tr w:rsidR="002A5A5E" w:rsidRPr="00F9522B">
        <w:trPr>
          <w:trHeight w:val="399"/>
        </w:trPr>
        <w:tc>
          <w:tcPr>
            <w:tcW w:w="671" w:type="dxa"/>
            <w:vMerge/>
            <w:tcBorders>
              <w:tl2br w:val="nil"/>
              <w:tr2bl w:val="nil"/>
            </w:tcBorders>
            <w:vAlign w:val="center"/>
          </w:tcPr>
          <w:p w:rsidR="002A5A5E" w:rsidRPr="00F9522B" w:rsidRDefault="002A5A5E">
            <w:pPr>
              <w:jc w:val="center"/>
            </w:pPr>
          </w:p>
        </w:tc>
        <w:tc>
          <w:tcPr>
            <w:tcW w:w="793" w:type="dxa"/>
            <w:vMerge/>
            <w:tcBorders>
              <w:tl2br w:val="nil"/>
              <w:tr2bl w:val="nil"/>
            </w:tcBorders>
            <w:vAlign w:val="center"/>
          </w:tcPr>
          <w:p w:rsidR="002A5A5E" w:rsidRPr="00F9522B" w:rsidRDefault="002A5A5E">
            <w:pPr>
              <w:jc w:val="center"/>
            </w:pPr>
          </w:p>
        </w:tc>
        <w:tc>
          <w:tcPr>
            <w:tcW w:w="551" w:type="dxa"/>
            <w:vMerge/>
            <w:tcBorders>
              <w:right w:val="single" w:sz="4" w:space="0" w:color="auto"/>
              <w:tl2br w:val="nil"/>
              <w:tr2bl w:val="nil"/>
            </w:tcBorders>
            <w:vAlign w:val="center"/>
          </w:tcPr>
          <w:p w:rsidR="002A5A5E" w:rsidRPr="00F9522B" w:rsidRDefault="002A5A5E">
            <w:pPr>
              <w:jc w:val="center"/>
            </w:pPr>
          </w:p>
        </w:tc>
        <w:tc>
          <w:tcPr>
            <w:tcW w:w="689" w:type="dxa"/>
            <w:vMerge/>
            <w:tcBorders>
              <w:left w:val="single" w:sz="4" w:space="0" w:color="auto"/>
              <w:right w:val="single" w:sz="4" w:space="0" w:color="auto"/>
              <w:tl2br w:val="nil"/>
              <w:tr2bl w:val="nil"/>
            </w:tcBorders>
            <w:vAlign w:val="center"/>
          </w:tcPr>
          <w:p w:rsidR="002A5A5E" w:rsidRPr="00F9522B" w:rsidRDefault="002A5A5E">
            <w:pPr>
              <w:jc w:val="center"/>
            </w:pPr>
          </w:p>
        </w:tc>
        <w:tc>
          <w:tcPr>
            <w:tcW w:w="599" w:type="dxa"/>
            <w:vMerge/>
            <w:tcBorders>
              <w:left w:val="single" w:sz="4" w:space="0" w:color="auto"/>
              <w:tl2br w:val="nil"/>
              <w:tr2bl w:val="nil"/>
            </w:tcBorders>
            <w:vAlign w:val="center"/>
          </w:tcPr>
          <w:p w:rsidR="002A5A5E" w:rsidRPr="00F9522B" w:rsidRDefault="002A5A5E">
            <w:pPr>
              <w:jc w:val="center"/>
            </w:pPr>
          </w:p>
        </w:tc>
        <w:tc>
          <w:tcPr>
            <w:tcW w:w="691" w:type="dxa"/>
            <w:tcBorders>
              <w:top w:val="single" w:sz="4" w:space="0" w:color="auto"/>
              <w:tl2br w:val="nil"/>
              <w:tr2bl w:val="nil"/>
            </w:tcBorders>
            <w:vAlign w:val="center"/>
          </w:tcPr>
          <w:p w:rsidR="002A5A5E" w:rsidRPr="00F9522B" w:rsidRDefault="00611CBA">
            <w:pPr>
              <w:jc w:val="center"/>
            </w:pPr>
            <w:r w:rsidRPr="00F9522B">
              <w:t>土壤侵蚀模数</w:t>
            </w:r>
          </w:p>
        </w:tc>
        <w:tc>
          <w:tcPr>
            <w:tcW w:w="583" w:type="dxa"/>
            <w:tcBorders>
              <w:top w:val="single" w:sz="4" w:space="0" w:color="auto"/>
              <w:tl2br w:val="nil"/>
              <w:tr2bl w:val="nil"/>
            </w:tcBorders>
            <w:vAlign w:val="center"/>
          </w:tcPr>
          <w:p w:rsidR="002A5A5E" w:rsidRPr="00F9522B" w:rsidRDefault="00611CBA">
            <w:pPr>
              <w:jc w:val="center"/>
            </w:pPr>
            <w:r w:rsidRPr="00F9522B">
              <w:t>流失量</w:t>
            </w:r>
          </w:p>
        </w:tc>
        <w:tc>
          <w:tcPr>
            <w:tcW w:w="693" w:type="dxa"/>
            <w:tcBorders>
              <w:top w:val="single" w:sz="4" w:space="0" w:color="auto"/>
              <w:tl2br w:val="nil"/>
              <w:tr2bl w:val="nil"/>
            </w:tcBorders>
            <w:vAlign w:val="center"/>
          </w:tcPr>
          <w:p w:rsidR="002A5A5E" w:rsidRPr="00F9522B" w:rsidRDefault="00611CBA">
            <w:pPr>
              <w:jc w:val="center"/>
            </w:pPr>
            <w:r w:rsidRPr="00F9522B">
              <w:t>土壤侵蚀模数</w:t>
            </w:r>
          </w:p>
        </w:tc>
        <w:tc>
          <w:tcPr>
            <w:tcW w:w="585" w:type="dxa"/>
            <w:tcBorders>
              <w:top w:val="single" w:sz="4" w:space="0" w:color="auto"/>
              <w:tl2br w:val="nil"/>
              <w:tr2bl w:val="nil"/>
            </w:tcBorders>
            <w:vAlign w:val="center"/>
          </w:tcPr>
          <w:p w:rsidR="002A5A5E" w:rsidRPr="00F9522B" w:rsidRDefault="00611CBA">
            <w:pPr>
              <w:jc w:val="center"/>
            </w:pPr>
            <w:r w:rsidRPr="00F9522B">
              <w:t>流失量</w:t>
            </w:r>
          </w:p>
        </w:tc>
        <w:tc>
          <w:tcPr>
            <w:tcW w:w="693" w:type="dxa"/>
            <w:tcBorders>
              <w:top w:val="single" w:sz="4" w:space="0" w:color="auto"/>
              <w:tl2br w:val="nil"/>
              <w:tr2bl w:val="nil"/>
            </w:tcBorders>
            <w:vAlign w:val="center"/>
          </w:tcPr>
          <w:p w:rsidR="002A5A5E" w:rsidRPr="00F9522B" w:rsidRDefault="00611CBA">
            <w:pPr>
              <w:jc w:val="center"/>
            </w:pPr>
            <w:r w:rsidRPr="00F9522B">
              <w:t>土壤侵蚀模数</w:t>
            </w:r>
          </w:p>
        </w:tc>
        <w:tc>
          <w:tcPr>
            <w:tcW w:w="584" w:type="dxa"/>
            <w:tcBorders>
              <w:top w:val="single" w:sz="4" w:space="0" w:color="auto"/>
              <w:tl2br w:val="nil"/>
              <w:tr2bl w:val="nil"/>
            </w:tcBorders>
            <w:vAlign w:val="center"/>
          </w:tcPr>
          <w:p w:rsidR="002A5A5E" w:rsidRPr="00F9522B" w:rsidRDefault="00611CBA">
            <w:pPr>
              <w:jc w:val="center"/>
            </w:pPr>
            <w:r w:rsidRPr="00F9522B">
              <w:t>流失量</w:t>
            </w:r>
          </w:p>
        </w:tc>
        <w:tc>
          <w:tcPr>
            <w:tcW w:w="585" w:type="dxa"/>
            <w:vMerge/>
            <w:tcBorders>
              <w:tl2br w:val="nil"/>
              <w:tr2bl w:val="nil"/>
            </w:tcBorders>
            <w:vAlign w:val="center"/>
          </w:tcPr>
          <w:p w:rsidR="002A5A5E" w:rsidRPr="00F9522B" w:rsidRDefault="002A5A5E">
            <w:pPr>
              <w:jc w:val="center"/>
            </w:pPr>
          </w:p>
        </w:tc>
        <w:tc>
          <w:tcPr>
            <w:tcW w:w="584" w:type="dxa"/>
            <w:vMerge/>
            <w:tcBorders>
              <w:tl2br w:val="nil"/>
              <w:tr2bl w:val="nil"/>
            </w:tcBorders>
            <w:vAlign w:val="center"/>
          </w:tcPr>
          <w:p w:rsidR="002A5A5E" w:rsidRPr="00F9522B" w:rsidRDefault="002A5A5E">
            <w:pPr>
              <w:jc w:val="center"/>
            </w:pPr>
          </w:p>
        </w:tc>
      </w:tr>
      <w:tr w:rsidR="002A5A5E" w:rsidRPr="00F9522B">
        <w:trPr>
          <w:trHeight w:val="340"/>
        </w:trPr>
        <w:tc>
          <w:tcPr>
            <w:tcW w:w="671" w:type="dxa"/>
            <w:vMerge/>
            <w:tcBorders>
              <w:tl2br w:val="nil"/>
              <w:tr2bl w:val="nil"/>
            </w:tcBorders>
            <w:vAlign w:val="center"/>
          </w:tcPr>
          <w:p w:rsidR="002A5A5E" w:rsidRPr="00F9522B" w:rsidRDefault="002A5A5E">
            <w:pPr>
              <w:jc w:val="center"/>
            </w:pPr>
          </w:p>
        </w:tc>
        <w:tc>
          <w:tcPr>
            <w:tcW w:w="793" w:type="dxa"/>
            <w:tcBorders>
              <w:tl2br w:val="nil"/>
              <w:tr2bl w:val="nil"/>
            </w:tcBorders>
            <w:vAlign w:val="center"/>
          </w:tcPr>
          <w:p w:rsidR="002A5A5E" w:rsidRPr="00F9522B" w:rsidRDefault="00611CBA">
            <w:pPr>
              <w:jc w:val="center"/>
            </w:pPr>
            <w:r w:rsidRPr="00F9522B">
              <w:t>km</w:t>
            </w:r>
            <w:r w:rsidRPr="00F9522B">
              <w:rPr>
                <w:vertAlign w:val="superscript"/>
              </w:rPr>
              <w:t>2</w:t>
            </w:r>
          </w:p>
        </w:tc>
        <w:tc>
          <w:tcPr>
            <w:tcW w:w="551" w:type="dxa"/>
            <w:tcBorders>
              <w:tl2br w:val="nil"/>
              <w:tr2bl w:val="nil"/>
            </w:tcBorders>
            <w:vAlign w:val="center"/>
          </w:tcPr>
          <w:p w:rsidR="002A5A5E" w:rsidRPr="00F9522B" w:rsidRDefault="00611CBA">
            <w:pPr>
              <w:jc w:val="center"/>
            </w:pPr>
            <w:r w:rsidRPr="00F9522B">
              <w:t>a</w:t>
            </w:r>
          </w:p>
        </w:tc>
        <w:tc>
          <w:tcPr>
            <w:tcW w:w="689" w:type="dxa"/>
            <w:tcBorders>
              <w:tl2br w:val="nil"/>
              <w:tr2bl w:val="nil"/>
            </w:tcBorders>
            <w:vAlign w:val="center"/>
          </w:tcPr>
          <w:p w:rsidR="002A5A5E" w:rsidRPr="00F9522B" w:rsidRDefault="00611CBA">
            <w:pPr>
              <w:jc w:val="center"/>
            </w:pPr>
            <w:r w:rsidRPr="00F9522B">
              <w:t>t/km</w:t>
            </w:r>
            <w:r w:rsidRPr="00F9522B">
              <w:rPr>
                <w:vertAlign w:val="superscript"/>
              </w:rPr>
              <w:t>2</w:t>
            </w:r>
            <w:r w:rsidRPr="00F9522B">
              <w:t xml:space="preserve"> ·a</w:t>
            </w:r>
          </w:p>
        </w:tc>
        <w:tc>
          <w:tcPr>
            <w:tcW w:w="599" w:type="dxa"/>
            <w:tcBorders>
              <w:tl2br w:val="nil"/>
              <w:tr2bl w:val="nil"/>
            </w:tcBorders>
            <w:vAlign w:val="center"/>
          </w:tcPr>
          <w:p w:rsidR="002A5A5E" w:rsidRPr="00F9522B" w:rsidRDefault="00611CBA">
            <w:pPr>
              <w:jc w:val="center"/>
            </w:pPr>
            <w:r w:rsidRPr="00F9522B">
              <w:t>t</w:t>
            </w:r>
          </w:p>
        </w:tc>
        <w:tc>
          <w:tcPr>
            <w:tcW w:w="691" w:type="dxa"/>
            <w:tcBorders>
              <w:tl2br w:val="nil"/>
              <w:tr2bl w:val="nil"/>
            </w:tcBorders>
            <w:vAlign w:val="center"/>
          </w:tcPr>
          <w:p w:rsidR="002A5A5E" w:rsidRPr="00F9522B" w:rsidRDefault="00611CBA">
            <w:pPr>
              <w:jc w:val="center"/>
            </w:pPr>
            <w:r w:rsidRPr="00F9522B">
              <w:t>t/km</w:t>
            </w:r>
            <w:r w:rsidRPr="00F9522B">
              <w:rPr>
                <w:vertAlign w:val="superscript"/>
              </w:rPr>
              <w:t>2</w:t>
            </w:r>
            <w:r w:rsidRPr="00F9522B">
              <w:t xml:space="preserve"> ·a</w:t>
            </w:r>
          </w:p>
        </w:tc>
        <w:tc>
          <w:tcPr>
            <w:tcW w:w="583" w:type="dxa"/>
            <w:tcBorders>
              <w:tl2br w:val="nil"/>
              <w:tr2bl w:val="nil"/>
            </w:tcBorders>
            <w:vAlign w:val="center"/>
          </w:tcPr>
          <w:p w:rsidR="002A5A5E" w:rsidRPr="00F9522B" w:rsidRDefault="00611CBA">
            <w:pPr>
              <w:jc w:val="center"/>
            </w:pPr>
            <w:r w:rsidRPr="00F9522B">
              <w:t>t</w:t>
            </w:r>
          </w:p>
        </w:tc>
        <w:tc>
          <w:tcPr>
            <w:tcW w:w="693" w:type="dxa"/>
            <w:tcBorders>
              <w:tl2br w:val="nil"/>
              <w:tr2bl w:val="nil"/>
            </w:tcBorders>
            <w:vAlign w:val="center"/>
          </w:tcPr>
          <w:p w:rsidR="002A5A5E" w:rsidRPr="00F9522B" w:rsidRDefault="00611CBA">
            <w:pPr>
              <w:jc w:val="center"/>
            </w:pPr>
            <w:r w:rsidRPr="00F9522B">
              <w:t>t/km</w:t>
            </w:r>
            <w:r w:rsidRPr="00F9522B">
              <w:rPr>
                <w:vertAlign w:val="superscript"/>
              </w:rPr>
              <w:t>2</w:t>
            </w:r>
            <w:r w:rsidRPr="00F9522B">
              <w:t xml:space="preserve"> ·a</w:t>
            </w:r>
          </w:p>
        </w:tc>
        <w:tc>
          <w:tcPr>
            <w:tcW w:w="585" w:type="dxa"/>
            <w:tcBorders>
              <w:tl2br w:val="nil"/>
              <w:tr2bl w:val="nil"/>
            </w:tcBorders>
            <w:vAlign w:val="center"/>
          </w:tcPr>
          <w:p w:rsidR="002A5A5E" w:rsidRPr="00F9522B" w:rsidRDefault="00611CBA">
            <w:pPr>
              <w:jc w:val="center"/>
            </w:pPr>
            <w:r w:rsidRPr="00F9522B">
              <w:t>t</w:t>
            </w:r>
          </w:p>
        </w:tc>
        <w:tc>
          <w:tcPr>
            <w:tcW w:w="693" w:type="dxa"/>
            <w:tcBorders>
              <w:tl2br w:val="nil"/>
              <w:tr2bl w:val="nil"/>
            </w:tcBorders>
            <w:vAlign w:val="center"/>
          </w:tcPr>
          <w:p w:rsidR="002A5A5E" w:rsidRPr="00F9522B" w:rsidRDefault="00611CBA">
            <w:pPr>
              <w:jc w:val="center"/>
            </w:pPr>
            <w:r w:rsidRPr="00F9522B">
              <w:t>t/km</w:t>
            </w:r>
            <w:r w:rsidRPr="00F9522B">
              <w:rPr>
                <w:vertAlign w:val="superscript"/>
              </w:rPr>
              <w:t>2</w:t>
            </w:r>
            <w:r w:rsidRPr="00F9522B">
              <w:t xml:space="preserve"> ·a</w:t>
            </w:r>
          </w:p>
        </w:tc>
        <w:tc>
          <w:tcPr>
            <w:tcW w:w="584" w:type="dxa"/>
            <w:tcBorders>
              <w:tl2br w:val="nil"/>
              <w:tr2bl w:val="nil"/>
            </w:tcBorders>
            <w:vAlign w:val="center"/>
          </w:tcPr>
          <w:p w:rsidR="002A5A5E" w:rsidRPr="00F9522B" w:rsidRDefault="00611CBA">
            <w:pPr>
              <w:jc w:val="center"/>
            </w:pPr>
            <w:r w:rsidRPr="00F9522B">
              <w:t>t</w:t>
            </w:r>
          </w:p>
        </w:tc>
        <w:tc>
          <w:tcPr>
            <w:tcW w:w="585" w:type="dxa"/>
            <w:tcBorders>
              <w:tl2br w:val="nil"/>
              <w:tr2bl w:val="nil"/>
            </w:tcBorders>
            <w:vAlign w:val="center"/>
          </w:tcPr>
          <w:p w:rsidR="002A5A5E" w:rsidRPr="00F9522B" w:rsidRDefault="00611CBA">
            <w:pPr>
              <w:jc w:val="center"/>
            </w:pPr>
            <w:r w:rsidRPr="00F9522B">
              <w:t>t</w:t>
            </w:r>
          </w:p>
        </w:tc>
        <w:tc>
          <w:tcPr>
            <w:tcW w:w="584" w:type="dxa"/>
            <w:tcBorders>
              <w:tl2br w:val="nil"/>
              <w:tr2bl w:val="nil"/>
            </w:tcBorders>
            <w:vAlign w:val="center"/>
          </w:tcPr>
          <w:p w:rsidR="002A5A5E" w:rsidRPr="00F9522B" w:rsidRDefault="00611CBA">
            <w:pPr>
              <w:jc w:val="center"/>
            </w:pPr>
            <w:r w:rsidRPr="00F9522B">
              <w:t>t</w:t>
            </w:r>
          </w:p>
        </w:tc>
      </w:tr>
      <w:tr w:rsidR="00323A2E" w:rsidRPr="00F9522B">
        <w:trPr>
          <w:trHeight w:val="340"/>
        </w:trPr>
        <w:tc>
          <w:tcPr>
            <w:tcW w:w="671" w:type="dxa"/>
            <w:tcBorders>
              <w:tl2br w:val="nil"/>
              <w:tr2bl w:val="nil"/>
            </w:tcBorders>
            <w:vAlign w:val="center"/>
          </w:tcPr>
          <w:p w:rsidR="00323A2E" w:rsidRPr="00F9522B" w:rsidRDefault="00323A2E">
            <w:pPr>
              <w:jc w:val="center"/>
            </w:pPr>
            <w:r w:rsidRPr="00F9522B">
              <w:rPr>
                <w:spacing w:val="12"/>
              </w:rPr>
              <w:t>主体工程区</w:t>
            </w:r>
          </w:p>
        </w:tc>
        <w:tc>
          <w:tcPr>
            <w:tcW w:w="793" w:type="dxa"/>
            <w:tcBorders>
              <w:tl2br w:val="nil"/>
              <w:tr2bl w:val="nil"/>
            </w:tcBorders>
            <w:vAlign w:val="center"/>
          </w:tcPr>
          <w:p w:rsidR="00323A2E" w:rsidRPr="00F9522B" w:rsidRDefault="00323A2E" w:rsidP="00997DD5">
            <w:pPr>
              <w:jc w:val="center"/>
              <w:rPr>
                <w:szCs w:val="21"/>
              </w:rPr>
            </w:pPr>
            <w:r w:rsidRPr="00F9522B">
              <w:rPr>
                <w:szCs w:val="21"/>
              </w:rPr>
              <w:t>0.04626</w:t>
            </w:r>
          </w:p>
        </w:tc>
        <w:tc>
          <w:tcPr>
            <w:tcW w:w="551" w:type="dxa"/>
            <w:tcBorders>
              <w:tl2br w:val="nil"/>
              <w:tr2bl w:val="nil"/>
            </w:tcBorders>
            <w:vAlign w:val="center"/>
          </w:tcPr>
          <w:p w:rsidR="00323A2E" w:rsidRPr="00F9522B" w:rsidRDefault="00323A2E">
            <w:pPr>
              <w:jc w:val="center"/>
            </w:pPr>
            <w:r w:rsidRPr="00F9522B">
              <w:t>3</w:t>
            </w:r>
          </w:p>
        </w:tc>
        <w:tc>
          <w:tcPr>
            <w:tcW w:w="689" w:type="dxa"/>
            <w:tcBorders>
              <w:tl2br w:val="nil"/>
              <w:tr2bl w:val="nil"/>
            </w:tcBorders>
            <w:vAlign w:val="center"/>
          </w:tcPr>
          <w:p w:rsidR="00323A2E" w:rsidRPr="00F9522B" w:rsidRDefault="00323A2E">
            <w:pPr>
              <w:jc w:val="center"/>
            </w:pPr>
            <w:r w:rsidRPr="00F9522B">
              <w:t>800</w:t>
            </w:r>
          </w:p>
        </w:tc>
        <w:tc>
          <w:tcPr>
            <w:tcW w:w="599" w:type="dxa"/>
            <w:tcBorders>
              <w:tl2br w:val="nil"/>
              <w:tr2bl w:val="nil"/>
            </w:tcBorders>
            <w:vAlign w:val="center"/>
          </w:tcPr>
          <w:p w:rsidR="00323A2E" w:rsidRDefault="00323A2E">
            <w:pPr>
              <w:jc w:val="center"/>
              <w:rPr>
                <w:color w:val="FF0000"/>
                <w:szCs w:val="21"/>
              </w:rPr>
            </w:pPr>
            <w:r>
              <w:rPr>
                <w:color w:val="FF0000"/>
                <w:szCs w:val="21"/>
              </w:rPr>
              <w:t xml:space="preserve">111.0 </w:t>
            </w:r>
          </w:p>
        </w:tc>
        <w:tc>
          <w:tcPr>
            <w:tcW w:w="691" w:type="dxa"/>
            <w:tcBorders>
              <w:tl2br w:val="nil"/>
              <w:tr2bl w:val="nil"/>
            </w:tcBorders>
            <w:vAlign w:val="center"/>
          </w:tcPr>
          <w:p w:rsidR="00323A2E" w:rsidRPr="00F9522B" w:rsidRDefault="00323A2E">
            <w:pPr>
              <w:jc w:val="center"/>
            </w:pPr>
            <w:r w:rsidRPr="00F9522B">
              <w:t>1419</w:t>
            </w:r>
          </w:p>
        </w:tc>
        <w:tc>
          <w:tcPr>
            <w:tcW w:w="583" w:type="dxa"/>
            <w:tcBorders>
              <w:tl2br w:val="nil"/>
              <w:tr2bl w:val="nil"/>
            </w:tcBorders>
            <w:vAlign w:val="center"/>
          </w:tcPr>
          <w:p w:rsidR="00323A2E" w:rsidRDefault="00323A2E">
            <w:pPr>
              <w:jc w:val="center"/>
              <w:rPr>
                <w:color w:val="FF0000"/>
                <w:szCs w:val="21"/>
              </w:rPr>
            </w:pPr>
            <w:r>
              <w:rPr>
                <w:color w:val="FF0000"/>
                <w:szCs w:val="21"/>
              </w:rPr>
              <w:t xml:space="preserve">65.6 </w:t>
            </w:r>
          </w:p>
        </w:tc>
        <w:tc>
          <w:tcPr>
            <w:tcW w:w="693" w:type="dxa"/>
            <w:tcBorders>
              <w:tl2br w:val="nil"/>
              <w:tr2bl w:val="nil"/>
            </w:tcBorders>
            <w:vAlign w:val="center"/>
          </w:tcPr>
          <w:p w:rsidR="00323A2E" w:rsidRPr="00F9522B" w:rsidRDefault="00323A2E">
            <w:pPr>
              <w:jc w:val="center"/>
            </w:pPr>
            <w:r w:rsidRPr="00F9522B">
              <w:t>1130</w:t>
            </w:r>
          </w:p>
        </w:tc>
        <w:tc>
          <w:tcPr>
            <w:tcW w:w="585" w:type="dxa"/>
            <w:tcBorders>
              <w:tl2br w:val="nil"/>
              <w:tr2bl w:val="nil"/>
            </w:tcBorders>
            <w:vAlign w:val="center"/>
          </w:tcPr>
          <w:p w:rsidR="00323A2E" w:rsidRDefault="00323A2E">
            <w:pPr>
              <w:jc w:val="center"/>
              <w:rPr>
                <w:color w:val="FF0000"/>
                <w:szCs w:val="21"/>
              </w:rPr>
            </w:pPr>
            <w:r>
              <w:rPr>
                <w:color w:val="FF0000"/>
                <w:szCs w:val="21"/>
              </w:rPr>
              <w:t xml:space="preserve">52.3 </w:t>
            </w:r>
          </w:p>
        </w:tc>
        <w:tc>
          <w:tcPr>
            <w:tcW w:w="693" w:type="dxa"/>
            <w:tcBorders>
              <w:tl2br w:val="nil"/>
              <w:tr2bl w:val="nil"/>
            </w:tcBorders>
            <w:vAlign w:val="center"/>
          </w:tcPr>
          <w:p w:rsidR="00323A2E" w:rsidRPr="00F9522B" w:rsidRDefault="00323A2E">
            <w:pPr>
              <w:jc w:val="center"/>
            </w:pPr>
            <w:r w:rsidRPr="00F9522B">
              <w:t>872</w:t>
            </w:r>
          </w:p>
        </w:tc>
        <w:tc>
          <w:tcPr>
            <w:tcW w:w="584" w:type="dxa"/>
            <w:tcBorders>
              <w:tl2br w:val="nil"/>
              <w:tr2bl w:val="nil"/>
            </w:tcBorders>
            <w:vAlign w:val="center"/>
          </w:tcPr>
          <w:p w:rsidR="00323A2E" w:rsidRDefault="00323A2E">
            <w:pPr>
              <w:jc w:val="center"/>
              <w:rPr>
                <w:color w:val="FF0000"/>
                <w:szCs w:val="21"/>
              </w:rPr>
            </w:pPr>
            <w:r>
              <w:rPr>
                <w:color w:val="FF0000"/>
                <w:szCs w:val="21"/>
              </w:rPr>
              <w:t xml:space="preserve">40.3 </w:t>
            </w:r>
          </w:p>
        </w:tc>
        <w:tc>
          <w:tcPr>
            <w:tcW w:w="585" w:type="dxa"/>
            <w:tcBorders>
              <w:tl2br w:val="nil"/>
              <w:tr2bl w:val="nil"/>
            </w:tcBorders>
            <w:vAlign w:val="center"/>
          </w:tcPr>
          <w:p w:rsidR="00323A2E" w:rsidRDefault="00323A2E">
            <w:pPr>
              <w:jc w:val="center"/>
              <w:rPr>
                <w:color w:val="FF0000"/>
                <w:szCs w:val="21"/>
              </w:rPr>
            </w:pPr>
            <w:r>
              <w:rPr>
                <w:color w:val="FF0000"/>
                <w:szCs w:val="21"/>
              </w:rPr>
              <w:t xml:space="preserve">158.3 </w:t>
            </w:r>
          </w:p>
        </w:tc>
        <w:tc>
          <w:tcPr>
            <w:tcW w:w="584" w:type="dxa"/>
            <w:tcBorders>
              <w:tl2br w:val="nil"/>
              <w:tr2bl w:val="nil"/>
            </w:tcBorders>
            <w:vAlign w:val="center"/>
          </w:tcPr>
          <w:p w:rsidR="00323A2E" w:rsidRDefault="00323A2E">
            <w:pPr>
              <w:jc w:val="center"/>
              <w:rPr>
                <w:color w:val="FF0000"/>
                <w:szCs w:val="21"/>
              </w:rPr>
            </w:pPr>
            <w:r>
              <w:rPr>
                <w:color w:val="FF0000"/>
                <w:szCs w:val="21"/>
              </w:rPr>
              <w:t xml:space="preserve">47.2 </w:t>
            </w:r>
          </w:p>
        </w:tc>
      </w:tr>
      <w:tr w:rsidR="00323A2E" w:rsidRPr="00F9522B">
        <w:trPr>
          <w:trHeight w:val="340"/>
        </w:trPr>
        <w:tc>
          <w:tcPr>
            <w:tcW w:w="671" w:type="dxa"/>
            <w:tcBorders>
              <w:tl2br w:val="nil"/>
              <w:tr2bl w:val="nil"/>
            </w:tcBorders>
            <w:vAlign w:val="center"/>
          </w:tcPr>
          <w:p w:rsidR="00323A2E" w:rsidRPr="00F9522B" w:rsidRDefault="00323A2E">
            <w:pPr>
              <w:jc w:val="center"/>
            </w:pPr>
            <w:r w:rsidRPr="00F9522B">
              <w:t>施工道路区</w:t>
            </w:r>
          </w:p>
        </w:tc>
        <w:tc>
          <w:tcPr>
            <w:tcW w:w="793" w:type="dxa"/>
            <w:tcBorders>
              <w:tl2br w:val="nil"/>
              <w:tr2bl w:val="nil"/>
            </w:tcBorders>
            <w:vAlign w:val="center"/>
          </w:tcPr>
          <w:p w:rsidR="00323A2E" w:rsidRPr="00F9522B" w:rsidRDefault="00323A2E" w:rsidP="00997DD5">
            <w:pPr>
              <w:jc w:val="center"/>
              <w:rPr>
                <w:szCs w:val="21"/>
              </w:rPr>
            </w:pPr>
            <w:r w:rsidRPr="00F9522B">
              <w:rPr>
                <w:szCs w:val="21"/>
              </w:rPr>
              <w:t>0.00264</w:t>
            </w:r>
          </w:p>
        </w:tc>
        <w:tc>
          <w:tcPr>
            <w:tcW w:w="551" w:type="dxa"/>
            <w:tcBorders>
              <w:tl2br w:val="nil"/>
              <w:tr2bl w:val="nil"/>
            </w:tcBorders>
            <w:vAlign w:val="center"/>
          </w:tcPr>
          <w:p w:rsidR="00323A2E" w:rsidRPr="00F9522B" w:rsidRDefault="00323A2E">
            <w:pPr>
              <w:jc w:val="center"/>
            </w:pPr>
            <w:r w:rsidRPr="00F9522B">
              <w:t>3</w:t>
            </w:r>
          </w:p>
        </w:tc>
        <w:tc>
          <w:tcPr>
            <w:tcW w:w="689" w:type="dxa"/>
            <w:tcBorders>
              <w:tl2br w:val="nil"/>
              <w:tr2bl w:val="nil"/>
            </w:tcBorders>
            <w:vAlign w:val="center"/>
          </w:tcPr>
          <w:p w:rsidR="00323A2E" w:rsidRPr="00F9522B" w:rsidRDefault="00323A2E">
            <w:pPr>
              <w:jc w:val="center"/>
            </w:pPr>
            <w:r w:rsidRPr="00F9522B">
              <w:t>800</w:t>
            </w:r>
          </w:p>
        </w:tc>
        <w:tc>
          <w:tcPr>
            <w:tcW w:w="599" w:type="dxa"/>
            <w:tcBorders>
              <w:tl2br w:val="nil"/>
              <w:tr2bl w:val="nil"/>
            </w:tcBorders>
            <w:vAlign w:val="center"/>
          </w:tcPr>
          <w:p w:rsidR="00323A2E" w:rsidRDefault="00323A2E">
            <w:pPr>
              <w:jc w:val="center"/>
              <w:rPr>
                <w:color w:val="FF0000"/>
                <w:szCs w:val="21"/>
              </w:rPr>
            </w:pPr>
            <w:r>
              <w:rPr>
                <w:color w:val="FF0000"/>
                <w:szCs w:val="21"/>
              </w:rPr>
              <w:t xml:space="preserve">6.3 </w:t>
            </w:r>
          </w:p>
        </w:tc>
        <w:tc>
          <w:tcPr>
            <w:tcW w:w="691" w:type="dxa"/>
            <w:tcBorders>
              <w:tl2br w:val="nil"/>
              <w:tr2bl w:val="nil"/>
            </w:tcBorders>
            <w:vAlign w:val="center"/>
          </w:tcPr>
          <w:p w:rsidR="00323A2E" w:rsidRPr="00F9522B" w:rsidRDefault="00323A2E">
            <w:pPr>
              <w:jc w:val="center"/>
            </w:pPr>
            <w:r w:rsidRPr="00F9522B">
              <w:t>1419</w:t>
            </w:r>
          </w:p>
        </w:tc>
        <w:tc>
          <w:tcPr>
            <w:tcW w:w="583" w:type="dxa"/>
            <w:tcBorders>
              <w:tl2br w:val="nil"/>
              <w:tr2bl w:val="nil"/>
            </w:tcBorders>
            <w:vAlign w:val="center"/>
          </w:tcPr>
          <w:p w:rsidR="00323A2E" w:rsidRDefault="00323A2E">
            <w:pPr>
              <w:jc w:val="center"/>
              <w:rPr>
                <w:color w:val="FF0000"/>
                <w:szCs w:val="21"/>
              </w:rPr>
            </w:pPr>
            <w:r>
              <w:rPr>
                <w:color w:val="FF0000"/>
                <w:szCs w:val="21"/>
              </w:rPr>
              <w:t xml:space="preserve">3.7 </w:t>
            </w:r>
          </w:p>
        </w:tc>
        <w:tc>
          <w:tcPr>
            <w:tcW w:w="693" w:type="dxa"/>
            <w:tcBorders>
              <w:tl2br w:val="nil"/>
              <w:tr2bl w:val="nil"/>
            </w:tcBorders>
            <w:vAlign w:val="center"/>
          </w:tcPr>
          <w:p w:rsidR="00323A2E" w:rsidRPr="00F9522B" w:rsidRDefault="00323A2E">
            <w:pPr>
              <w:jc w:val="center"/>
            </w:pPr>
            <w:r w:rsidRPr="00F9522B">
              <w:t>1130</w:t>
            </w:r>
          </w:p>
        </w:tc>
        <w:tc>
          <w:tcPr>
            <w:tcW w:w="585" w:type="dxa"/>
            <w:tcBorders>
              <w:tl2br w:val="nil"/>
              <w:tr2bl w:val="nil"/>
            </w:tcBorders>
            <w:vAlign w:val="center"/>
          </w:tcPr>
          <w:p w:rsidR="00323A2E" w:rsidRDefault="00323A2E">
            <w:pPr>
              <w:jc w:val="center"/>
              <w:rPr>
                <w:color w:val="FF0000"/>
                <w:szCs w:val="21"/>
              </w:rPr>
            </w:pPr>
            <w:r>
              <w:rPr>
                <w:color w:val="FF0000"/>
                <w:szCs w:val="21"/>
              </w:rPr>
              <w:t xml:space="preserve">3.0 </w:t>
            </w:r>
          </w:p>
        </w:tc>
        <w:tc>
          <w:tcPr>
            <w:tcW w:w="693" w:type="dxa"/>
            <w:tcBorders>
              <w:tl2br w:val="nil"/>
              <w:tr2bl w:val="nil"/>
            </w:tcBorders>
            <w:vAlign w:val="center"/>
          </w:tcPr>
          <w:p w:rsidR="00323A2E" w:rsidRPr="00F9522B" w:rsidRDefault="00323A2E">
            <w:pPr>
              <w:jc w:val="center"/>
            </w:pPr>
            <w:r w:rsidRPr="00F9522B">
              <w:t>872</w:t>
            </w:r>
          </w:p>
        </w:tc>
        <w:tc>
          <w:tcPr>
            <w:tcW w:w="584" w:type="dxa"/>
            <w:tcBorders>
              <w:tl2br w:val="nil"/>
              <w:tr2bl w:val="nil"/>
            </w:tcBorders>
            <w:vAlign w:val="center"/>
          </w:tcPr>
          <w:p w:rsidR="00323A2E" w:rsidRDefault="00323A2E">
            <w:pPr>
              <w:jc w:val="center"/>
              <w:rPr>
                <w:color w:val="FF0000"/>
                <w:szCs w:val="21"/>
              </w:rPr>
            </w:pPr>
            <w:r>
              <w:rPr>
                <w:color w:val="FF0000"/>
                <w:szCs w:val="21"/>
              </w:rPr>
              <w:t xml:space="preserve">2.3 </w:t>
            </w:r>
          </w:p>
        </w:tc>
        <w:tc>
          <w:tcPr>
            <w:tcW w:w="585" w:type="dxa"/>
            <w:tcBorders>
              <w:tl2br w:val="nil"/>
              <w:tr2bl w:val="nil"/>
            </w:tcBorders>
            <w:vAlign w:val="center"/>
          </w:tcPr>
          <w:p w:rsidR="00323A2E" w:rsidRDefault="00323A2E">
            <w:pPr>
              <w:jc w:val="center"/>
              <w:rPr>
                <w:color w:val="FF0000"/>
                <w:szCs w:val="21"/>
              </w:rPr>
            </w:pPr>
            <w:r>
              <w:rPr>
                <w:color w:val="FF0000"/>
                <w:szCs w:val="21"/>
              </w:rPr>
              <w:t xml:space="preserve">9.0 </w:t>
            </w:r>
          </w:p>
        </w:tc>
        <w:tc>
          <w:tcPr>
            <w:tcW w:w="584" w:type="dxa"/>
            <w:tcBorders>
              <w:tl2br w:val="nil"/>
              <w:tr2bl w:val="nil"/>
            </w:tcBorders>
            <w:vAlign w:val="center"/>
          </w:tcPr>
          <w:p w:rsidR="00323A2E" w:rsidRDefault="00323A2E">
            <w:pPr>
              <w:jc w:val="center"/>
              <w:rPr>
                <w:color w:val="FF0000"/>
                <w:szCs w:val="21"/>
              </w:rPr>
            </w:pPr>
            <w:r>
              <w:rPr>
                <w:color w:val="FF0000"/>
                <w:szCs w:val="21"/>
              </w:rPr>
              <w:t xml:space="preserve">2.7 </w:t>
            </w:r>
          </w:p>
        </w:tc>
      </w:tr>
      <w:tr w:rsidR="00323A2E" w:rsidRPr="00F9522B">
        <w:trPr>
          <w:trHeight w:val="340"/>
        </w:trPr>
        <w:tc>
          <w:tcPr>
            <w:tcW w:w="671" w:type="dxa"/>
            <w:tcBorders>
              <w:tl2br w:val="nil"/>
              <w:tr2bl w:val="nil"/>
            </w:tcBorders>
            <w:vAlign w:val="center"/>
          </w:tcPr>
          <w:p w:rsidR="00323A2E" w:rsidRPr="00F9522B" w:rsidRDefault="00323A2E">
            <w:pPr>
              <w:jc w:val="center"/>
            </w:pPr>
            <w:r w:rsidRPr="00F9522B">
              <w:t>临时堆土区</w:t>
            </w:r>
          </w:p>
        </w:tc>
        <w:tc>
          <w:tcPr>
            <w:tcW w:w="793" w:type="dxa"/>
            <w:tcBorders>
              <w:tl2br w:val="nil"/>
              <w:tr2bl w:val="nil"/>
            </w:tcBorders>
            <w:vAlign w:val="center"/>
          </w:tcPr>
          <w:p w:rsidR="00323A2E" w:rsidRPr="00D20F79" w:rsidRDefault="00323A2E" w:rsidP="00997DD5">
            <w:pPr>
              <w:jc w:val="center"/>
              <w:rPr>
                <w:color w:val="FF0000"/>
                <w:szCs w:val="21"/>
              </w:rPr>
            </w:pPr>
            <w:r w:rsidRPr="00D20F79">
              <w:rPr>
                <w:color w:val="FF0000"/>
                <w:szCs w:val="21"/>
              </w:rPr>
              <w:t>0.2915</w:t>
            </w:r>
          </w:p>
        </w:tc>
        <w:tc>
          <w:tcPr>
            <w:tcW w:w="551" w:type="dxa"/>
            <w:tcBorders>
              <w:tl2br w:val="nil"/>
              <w:tr2bl w:val="nil"/>
            </w:tcBorders>
            <w:vAlign w:val="center"/>
          </w:tcPr>
          <w:p w:rsidR="00323A2E" w:rsidRPr="00F9522B" w:rsidRDefault="00323A2E">
            <w:pPr>
              <w:jc w:val="center"/>
            </w:pPr>
            <w:r w:rsidRPr="00F9522B">
              <w:t>3</w:t>
            </w:r>
          </w:p>
        </w:tc>
        <w:tc>
          <w:tcPr>
            <w:tcW w:w="689" w:type="dxa"/>
            <w:tcBorders>
              <w:tl2br w:val="nil"/>
              <w:tr2bl w:val="nil"/>
            </w:tcBorders>
            <w:vAlign w:val="center"/>
          </w:tcPr>
          <w:p w:rsidR="00323A2E" w:rsidRPr="00F9522B" w:rsidRDefault="00323A2E">
            <w:pPr>
              <w:jc w:val="center"/>
            </w:pPr>
            <w:r w:rsidRPr="00F9522B">
              <w:t>800</w:t>
            </w:r>
          </w:p>
        </w:tc>
        <w:tc>
          <w:tcPr>
            <w:tcW w:w="599" w:type="dxa"/>
            <w:tcBorders>
              <w:tl2br w:val="nil"/>
              <w:tr2bl w:val="nil"/>
            </w:tcBorders>
            <w:vAlign w:val="center"/>
          </w:tcPr>
          <w:p w:rsidR="00323A2E" w:rsidRDefault="00323A2E">
            <w:pPr>
              <w:jc w:val="center"/>
              <w:rPr>
                <w:color w:val="FF0000"/>
                <w:szCs w:val="21"/>
              </w:rPr>
            </w:pPr>
            <w:r>
              <w:rPr>
                <w:color w:val="FF0000"/>
                <w:szCs w:val="21"/>
              </w:rPr>
              <w:t xml:space="preserve">699.6 </w:t>
            </w:r>
          </w:p>
        </w:tc>
        <w:tc>
          <w:tcPr>
            <w:tcW w:w="691" w:type="dxa"/>
            <w:tcBorders>
              <w:tl2br w:val="nil"/>
              <w:tr2bl w:val="nil"/>
            </w:tcBorders>
            <w:vAlign w:val="center"/>
          </w:tcPr>
          <w:p w:rsidR="00323A2E" w:rsidRPr="00F9522B" w:rsidRDefault="00323A2E">
            <w:pPr>
              <w:jc w:val="center"/>
            </w:pPr>
            <w:r w:rsidRPr="00F9522B">
              <w:t>1419</w:t>
            </w:r>
          </w:p>
        </w:tc>
        <w:tc>
          <w:tcPr>
            <w:tcW w:w="583" w:type="dxa"/>
            <w:tcBorders>
              <w:tl2br w:val="nil"/>
              <w:tr2bl w:val="nil"/>
            </w:tcBorders>
            <w:vAlign w:val="center"/>
          </w:tcPr>
          <w:p w:rsidR="00323A2E" w:rsidRDefault="00323A2E">
            <w:pPr>
              <w:jc w:val="center"/>
              <w:rPr>
                <w:color w:val="FF0000"/>
                <w:szCs w:val="21"/>
              </w:rPr>
            </w:pPr>
            <w:r>
              <w:rPr>
                <w:color w:val="FF0000"/>
                <w:szCs w:val="21"/>
              </w:rPr>
              <w:t xml:space="preserve">413.6 </w:t>
            </w:r>
          </w:p>
        </w:tc>
        <w:tc>
          <w:tcPr>
            <w:tcW w:w="693" w:type="dxa"/>
            <w:tcBorders>
              <w:tl2br w:val="nil"/>
              <w:tr2bl w:val="nil"/>
            </w:tcBorders>
            <w:vAlign w:val="center"/>
          </w:tcPr>
          <w:p w:rsidR="00323A2E" w:rsidRPr="00F9522B" w:rsidRDefault="00323A2E">
            <w:pPr>
              <w:jc w:val="center"/>
            </w:pPr>
            <w:r w:rsidRPr="00F9522B">
              <w:t>1130</w:t>
            </w:r>
          </w:p>
        </w:tc>
        <w:tc>
          <w:tcPr>
            <w:tcW w:w="585" w:type="dxa"/>
            <w:tcBorders>
              <w:tl2br w:val="nil"/>
              <w:tr2bl w:val="nil"/>
            </w:tcBorders>
            <w:vAlign w:val="center"/>
          </w:tcPr>
          <w:p w:rsidR="00323A2E" w:rsidRDefault="00323A2E">
            <w:pPr>
              <w:jc w:val="center"/>
              <w:rPr>
                <w:color w:val="FF0000"/>
                <w:szCs w:val="21"/>
              </w:rPr>
            </w:pPr>
            <w:r>
              <w:rPr>
                <w:color w:val="FF0000"/>
                <w:szCs w:val="21"/>
              </w:rPr>
              <w:t xml:space="preserve">329.4 </w:t>
            </w:r>
          </w:p>
        </w:tc>
        <w:tc>
          <w:tcPr>
            <w:tcW w:w="693" w:type="dxa"/>
            <w:tcBorders>
              <w:tl2br w:val="nil"/>
              <w:tr2bl w:val="nil"/>
            </w:tcBorders>
            <w:vAlign w:val="center"/>
          </w:tcPr>
          <w:p w:rsidR="00323A2E" w:rsidRPr="00F9522B" w:rsidRDefault="00323A2E">
            <w:pPr>
              <w:jc w:val="center"/>
            </w:pPr>
            <w:r w:rsidRPr="00F9522B">
              <w:t>872</w:t>
            </w:r>
          </w:p>
        </w:tc>
        <w:tc>
          <w:tcPr>
            <w:tcW w:w="584" w:type="dxa"/>
            <w:tcBorders>
              <w:tl2br w:val="nil"/>
              <w:tr2bl w:val="nil"/>
            </w:tcBorders>
            <w:vAlign w:val="center"/>
          </w:tcPr>
          <w:p w:rsidR="00323A2E" w:rsidRDefault="00323A2E">
            <w:pPr>
              <w:jc w:val="center"/>
              <w:rPr>
                <w:color w:val="FF0000"/>
                <w:szCs w:val="21"/>
              </w:rPr>
            </w:pPr>
            <w:r>
              <w:rPr>
                <w:color w:val="FF0000"/>
                <w:szCs w:val="21"/>
              </w:rPr>
              <w:t xml:space="preserve">254.2 </w:t>
            </w:r>
          </w:p>
        </w:tc>
        <w:tc>
          <w:tcPr>
            <w:tcW w:w="585" w:type="dxa"/>
            <w:tcBorders>
              <w:tl2br w:val="nil"/>
              <w:tr2bl w:val="nil"/>
            </w:tcBorders>
            <w:vAlign w:val="center"/>
          </w:tcPr>
          <w:p w:rsidR="00323A2E" w:rsidRDefault="00323A2E">
            <w:pPr>
              <w:jc w:val="center"/>
              <w:rPr>
                <w:color w:val="FF0000"/>
                <w:szCs w:val="21"/>
              </w:rPr>
            </w:pPr>
            <w:r>
              <w:rPr>
                <w:color w:val="FF0000"/>
                <w:szCs w:val="21"/>
              </w:rPr>
              <w:t xml:space="preserve">997.2 </w:t>
            </w:r>
          </w:p>
        </w:tc>
        <w:tc>
          <w:tcPr>
            <w:tcW w:w="584" w:type="dxa"/>
            <w:tcBorders>
              <w:tl2br w:val="nil"/>
              <w:tr2bl w:val="nil"/>
            </w:tcBorders>
            <w:vAlign w:val="center"/>
          </w:tcPr>
          <w:p w:rsidR="00323A2E" w:rsidRDefault="00323A2E">
            <w:pPr>
              <w:jc w:val="center"/>
              <w:rPr>
                <w:color w:val="FF0000"/>
                <w:szCs w:val="21"/>
              </w:rPr>
            </w:pPr>
            <w:r>
              <w:rPr>
                <w:color w:val="FF0000"/>
                <w:szCs w:val="21"/>
              </w:rPr>
              <w:t xml:space="preserve">297.6 </w:t>
            </w:r>
          </w:p>
        </w:tc>
      </w:tr>
      <w:tr w:rsidR="00323A2E" w:rsidRPr="00F9522B">
        <w:trPr>
          <w:trHeight w:val="340"/>
        </w:trPr>
        <w:tc>
          <w:tcPr>
            <w:tcW w:w="671" w:type="dxa"/>
            <w:tcBorders>
              <w:tl2br w:val="nil"/>
              <w:tr2bl w:val="nil"/>
            </w:tcBorders>
            <w:vAlign w:val="center"/>
          </w:tcPr>
          <w:p w:rsidR="00323A2E" w:rsidRPr="00F9522B" w:rsidRDefault="00323A2E">
            <w:pPr>
              <w:jc w:val="center"/>
            </w:pPr>
            <w:r w:rsidRPr="00F9522B">
              <w:t>合计</w:t>
            </w:r>
          </w:p>
        </w:tc>
        <w:tc>
          <w:tcPr>
            <w:tcW w:w="793" w:type="dxa"/>
            <w:tcBorders>
              <w:tl2br w:val="nil"/>
              <w:tr2bl w:val="nil"/>
            </w:tcBorders>
            <w:vAlign w:val="center"/>
          </w:tcPr>
          <w:p w:rsidR="00323A2E" w:rsidRPr="00D20F79" w:rsidRDefault="00323A2E" w:rsidP="00997DD5">
            <w:pPr>
              <w:jc w:val="center"/>
              <w:rPr>
                <w:color w:val="FF0000"/>
              </w:rPr>
            </w:pPr>
            <w:r w:rsidRPr="00D20F79">
              <w:rPr>
                <w:rFonts w:hint="eastAsia"/>
                <w:color w:val="FF0000"/>
              </w:rPr>
              <w:t>0.3404</w:t>
            </w:r>
          </w:p>
        </w:tc>
        <w:tc>
          <w:tcPr>
            <w:tcW w:w="551" w:type="dxa"/>
            <w:tcBorders>
              <w:tl2br w:val="nil"/>
              <w:tr2bl w:val="nil"/>
            </w:tcBorders>
            <w:vAlign w:val="center"/>
          </w:tcPr>
          <w:p w:rsidR="00323A2E" w:rsidRPr="00F9522B" w:rsidRDefault="00323A2E">
            <w:pPr>
              <w:jc w:val="center"/>
            </w:pPr>
            <w:r w:rsidRPr="00F9522B">
              <w:t>/</w:t>
            </w:r>
          </w:p>
        </w:tc>
        <w:tc>
          <w:tcPr>
            <w:tcW w:w="689" w:type="dxa"/>
            <w:tcBorders>
              <w:tl2br w:val="nil"/>
              <w:tr2bl w:val="nil"/>
            </w:tcBorders>
            <w:vAlign w:val="center"/>
          </w:tcPr>
          <w:p w:rsidR="00323A2E" w:rsidRPr="00F9522B" w:rsidRDefault="00323A2E">
            <w:pPr>
              <w:jc w:val="center"/>
            </w:pPr>
            <w:r w:rsidRPr="00F9522B">
              <w:t>/</w:t>
            </w:r>
          </w:p>
        </w:tc>
        <w:tc>
          <w:tcPr>
            <w:tcW w:w="599" w:type="dxa"/>
            <w:tcBorders>
              <w:tl2br w:val="nil"/>
              <w:tr2bl w:val="nil"/>
            </w:tcBorders>
            <w:vAlign w:val="center"/>
          </w:tcPr>
          <w:p w:rsidR="00323A2E" w:rsidRDefault="00323A2E">
            <w:pPr>
              <w:jc w:val="center"/>
              <w:rPr>
                <w:color w:val="FF0000"/>
                <w:szCs w:val="21"/>
              </w:rPr>
            </w:pPr>
            <w:r>
              <w:rPr>
                <w:color w:val="FF0000"/>
                <w:szCs w:val="21"/>
              </w:rPr>
              <w:t xml:space="preserve">817.0 </w:t>
            </w:r>
          </w:p>
        </w:tc>
        <w:tc>
          <w:tcPr>
            <w:tcW w:w="691" w:type="dxa"/>
            <w:tcBorders>
              <w:tl2br w:val="nil"/>
              <w:tr2bl w:val="nil"/>
            </w:tcBorders>
            <w:vAlign w:val="center"/>
          </w:tcPr>
          <w:p w:rsidR="00323A2E" w:rsidRPr="00F9522B" w:rsidRDefault="00323A2E">
            <w:pPr>
              <w:jc w:val="center"/>
            </w:pPr>
            <w:r w:rsidRPr="00F9522B">
              <w:t>/</w:t>
            </w:r>
          </w:p>
        </w:tc>
        <w:tc>
          <w:tcPr>
            <w:tcW w:w="583" w:type="dxa"/>
            <w:tcBorders>
              <w:tl2br w:val="nil"/>
              <w:tr2bl w:val="nil"/>
            </w:tcBorders>
            <w:vAlign w:val="center"/>
          </w:tcPr>
          <w:p w:rsidR="00323A2E" w:rsidRDefault="00323A2E">
            <w:pPr>
              <w:jc w:val="center"/>
              <w:rPr>
                <w:color w:val="FF0000"/>
                <w:szCs w:val="21"/>
              </w:rPr>
            </w:pPr>
            <w:r>
              <w:rPr>
                <w:color w:val="FF0000"/>
                <w:szCs w:val="21"/>
              </w:rPr>
              <w:t xml:space="preserve">483.0 </w:t>
            </w:r>
          </w:p>
        </w:tc>
        <w:tc>
          <w:tcPr>
            <w:tcW w:w="693" w:type="dxa"/>
            <w:tcBorders>
              <w:tl2br w:val="nil"/>
              <w:tr2bl w:val="nil"/>
            </w:tcBorders>
            <w:vAlign w:val="center"/>
          </w:tcPr>
          <w:p w:rsidR="00323A2E" w:rsidRPr="00F9522B" w:rsidRDefault="00323A2E">
            <w:pPr>
              <w:jc w:val="center"/>
            </w:pPr>
            <w:r w:rsidRPr="00F9522B">
              <w:t>/</w:t>
            </w:r>
          </w:p>
        </w:tc>
        <w:tc>
          <w:tcPr>
            <w:tcW w:w="585" w:type="dxa"/>
            <w:tcBorders>
              <w:tl2br w:val="nil"/>
              <w:tr2bl w:val="nil"/>
            </w:tcBorders>
            <w:vAlign w:val="center"/>
          </w:tcPr>
          <w:p w:rsidR="00323A2E" w:rsidRDefault="00323A2E">
            <w:pPr>
              <w:jc w:val="center"/>
              <w:rPr>
                <w:color w:val="FF0000"/>
                <w:szCs w:val="21"/>
              </w:rPr>
            </w:pPr>
            <w:r>
              <w:rPr>
                <w:color w:val="FF0000"/>
                <w:szCs w:val="21"/>
              </w:rPr>
              <w:t xml:space="preserve">384.7 </w:t>
            </w:r>
          </w:p>
        </w:tc>
        <w:tc>
          <w:tcPr>
            <w:tcW w:w="693" w:type="dxa"/>
            <w:tcBorders>
              <w:tl2br w:val="nil"/>
              <w:tr2bl w:val="nil"/>
            </w:tcBorders>
            <w:vAlign w:val="center"/>
          </w:tcPr>
          <w:p w:rsidR="00323A2E" w:rsidRPr="00F9522B" w:rsidRDefault="00323A2E">
            <w:pPr>
              <w:jc w:val="center"/>
            </w:pPr>
            <w:r w:rsidRPr="00F9522B">
              <w:t>/</w:t>
            </w:r>
          </w:p>
        </w:tc>
        <w:tc>
          <w:tcPr>
            <w:tcW w:w="584" w:type="dxa"/>
            <w:tcBorders>
              <w:tl2br w:val="nil"/>
              <w:tr2bl w:val="nil"/>
            </w:tcBorders>
            <w:vAlign w:val="center"/>
          </w:tcPr>
          <w:p w:rsidR="00323A2E" w:rsidRDefault="00323A2E">
            <w:pPr>
              <w:jc w:val="center"/>
              <w:rPr>
                <w:color w:val="FF0000"/>
                <w:szCs w:val="21"/>
              </w:rPr>
            </w:pPr>
            <w:r>
              <w:rPr>
                <w:color w:val="FF0000"/>
                <w:szCs w:val="21"/>
              </w:rPr>
              <w:t xml:space="preserve">296.8 </w:t>
            </w:r>
          </w:p>
        </w:tc>
        <w:tc>
          <w:tcPr>
            <w:tcW w:w="585" w:type="dxa"/>
            <w:tcBorders>
              <w:tl2br w:val="nil"/>
              <w:tr2bl w:val="nil"/>
            </w:tcBorders>
            <w:vAlign w:val="center"/>
          </w:tcPr>
          <w:p w:rsidR="00323A2E" w:rsidRDefault="00323A2E">
            <w:pPr>
              <w:jc w:val="center"/>
              <w:rPr>
                <w:color w:val="FF0000"/>
                <w:szCs w:val="21"/>
              </w:rPr>
            </w:pPr>
            <w:r>
              <w:rPr>
                <w:color w:val="FF0000"/>
                <w:szCs w:val="21"/>
              </w:rPr>
              <w:t xml:space="preserve">1164.5 </w:t>
            </w:r>
          </w:p>
        </w:tc>
        <w:tc>
          <w:tcPr>
            <w:tcW w:w="584" w:type="dxa"/>
            <w:tcBorders>
              <w:tl2br w:val="nil"/>
              <w:tr2bl w:val="nil"/>
            </w:tcBorders>
            <w:vAlign w:val="center"/>
          </w:tcPr>
          <w:p w:rsidR="00323A2E" w:rsidRDefault="00323A2E">
            <w:pPr>
              <w:jc w:val="center"/>
              <w:rPr>
                <w:color w:val="FF0000"/>
                <w:szCs w:val="21"/>
              </w:rPr>
            </w:pPr>
            <w:r>
              <w:rPr>
                <w:color w:val="FF0000"/>
                <w:szCs w:val="21"/>
              </w:rPr>
              <w:t xml:space="preserve">347.5 </w:t>
            </w:r>
          </w:p>
        </w:tc>
      </w:tr>
    </w:tbl>
    <w:p w:rsidR="002A5A5E" w:rsidRPr="00F9522B" w:rsidRDefault="005273A1">
      <w:pPr>
        <w:autoSpaceDE w:val="0"/>
        <w:autoSpaceDN w:val="0"/>
        <w:spacing w:line="360" w:lineRule="auto"/>
        <w:ind w:firstLineChars="200" w:firstLine="480"/>
        <w:contextualSpacing/>
        <w:rPr>
          <w:rFonts w:eastAsiaTheme="minorEastAsia"/>
          <w:sz w:val="24"/>
        </w:rPr>
      </w:pPr>
      <w:r w:rsidRPr="00F9522B">
        <w:rPr>
          <w:rFonts w:eastAsiaTheme="minorEastAsia"/>
          <w:sz w:val="24"/>
        </w:rPr>
        <w:fldChar w:fldCharType="begin"/>
      </w:r>
      <w:r w:rsidR="00611CBA" w:rsidRPr="00F9522B">
        <w:rPr>
          <w:rFonts w:eastAsiaTheme="minorEastAsia"/>
          <w:sz w:val="24"/>
        </w:rPr>
        <w:instrText xml:space="preserve"> = 6 \* GB3 </w:instrText>
      </w:r>
      <w:r w:rsidRPr="00F9522B">
        <w:rPr>
          <w:rFonts w:eastAsiaTheme="minorEastAsia"/>
          <w:sz w:val="24"/>
        </w:rPr>
        <w:fldChar w:fldCharType="separate"/>
      </w:r>
      <w:r w:rsidR="00611CBA" w:rsidRPr="00F9522B">
        <w:rPr>
          <w:rFonts w:ascii="宋体" w:hAnsi="宋体" w:cs="宋体" w:hint="eastAsia"/>
          <w:sz w:val="24"/>
        </w:rPr>
        <w:t>⑥</w:t>
      </w:r>
      <w:r w:rsidRPr="00F9522B">
        <w:rPr>
          <w:rFonts w:eastAsiaTheme="minorEastAsia"/>
          <w:sz w:val="24"/>
        </w:rPr>
        <w:fldChar w:fldCharType="end"/>
      </w:r>
      <w:r w:rsidR="00611CBA" w:rsidRPr="00F9522B">
        <w:rPr>
          <w:rFonts w:eastAsiaTheme="minorEastAsia"/>
          <w:sz w:val="24"/>
        </w:rPr>
        <w:t>水土流失危害分析</w:t>
      </w:r>
    </w:p>
    <w:p w:rsidR="002A5A5E" w:rsidRPr="00F9522B" w:rsidRDefault="00611CBA">
      <w:pPr>
        <w:autoSpaceDE w:val="0"/>
        <w:autoSpaceDN w:val="0"/>
        <w:spacing w:line="360" w:lineRule="auto"/>
        <w:ind w:firstLineChars="200" w:firstLine="480"/>
        <w:contextualSpacing/>
        <w:rPr>
          <w:rFonts w:eastAsiaTheme="minorEastAsia"/>
          <w:sz w:val="24"/>
        </w:rPr>
      </w:pPr>
      <w:r w:rsidRPr="00F9522B">
        <w:rPr>
          <w:rFonts w:eastAsiaTheme="minorEastAsia"/>
          <w:sz w:val="24"/>
        </w:rPr>
        <w:t>对工程项目本身可能造成的危害：</w:t>
      </w:r>
    </w:p>
    <w:p w:rsidR="002A5A5E" w:rsidRPr="00F9522B" w:rsidRDefault="00611CBA">
      <w:pPr>
        <w:autoSpaceDE w:val="0"/>
        <w:autoSpaceDN w:val="0"/>
        <w:spacing w:line="360" w:lineRule="auto"/>
        <w:ind w:firstLineChars="200" w:firstLine="480"/>
        <w:contextualSpacing/>
        <w:rPr>
          <w:rFonts w:eastAsiaTheme="minorEastAsia"/>
          <w:sz w:val="24"/>
        </w:rPr>
      </w:pPr>
      <w:r w:rsidRPr="00F9522B">
        <w:rPr>
          <w:rFonts w:eastAsiaTheme="minorEastAsia"/>
          <w:sz w:val="24"/>
        </w:rPr>
        <w:t>工程建设期和水土保持措施发生作用前，遭遇强降雨时，坡面将产生面蚀，严重时产生沟蚀、坍陷，危及渠道安全稳定，同时泥沙进入下游河道和渠道，造成下游淤积，降低防洪除涝能力。</w:t>
      </w:r>
    </w:p>
    <w:p w:rsidR="002A5A5E" w:rsidRPr="00F9522B" w:rsidRDefault="00611CBA">
      <w:pPr>
        <w:autoSpaceDE w:val="0"/>
        <w:autoSpaceDN w:val="0"/>
        <w:spacing w:line="360" w:lineRule="auto"/>
        <w:ind w:firstLineChars="200" w:firstLine="480"/>
        <w:contextualSpacing/>
        <w:rPr>
          <w:rFonts w:eastAsiaTheme="minorEastAsia"/>
          <w:sz w:val="24"/>
        </w:rPr>
      </w:pPr>
      <w:r w:rsidRPr="00F9522B">
        <w:rPr>
          <w:rFonts w:eastAsiaTheme="minorEastAsia"/>
          <w:sz w:val="24"/>
        </w:rPr>
        <w:t>对土壤肥力及地表植物的影响：</w:t>
      </w:r>
    </w:p>
    <w:p w:rsidR="002A5A5E" w:rsidRPr="00F9522B" w:rsidRDefault="00611CBA">
      <w:pPr>
        <w:autoSpaceDE w:val="0"/>
        <w:autoSpaceDN w:val="0"/>
        <w:spacing w:line="360" w:lineRule="auto"/>
        <w:ind w:firstLineChars="200" w:firstLine="480"/>
        <w:contextualSpacing/>
        <w:rPr>
          <w:rFonts w:eastAsiaTheme="minorEastAsia"/>
          <w:sz w:val="24"/>
        </w:rPr>
      </w:pPr>
      <w:r w:rsidRPr="00F9522B">
        <w:rPr>
          <w:rFonts w:eastAsiaTheme="minorEastAsia"/>
          <w:sz w:val="24"/>
        </w:rPr>
        <w:t>项目建设过程中，施工生产生活区和施工道路等严重扰动地表，致使大量地表土体被剥离，植被被破坏，导致土壤抗蚀能力下降，土壤涵养水分能力减弱，耕作层肥力下降，植物赖以生长的土壤条件恶化，对地表植物及农作物生长极为不利。另外，大量的水土流失也会使土壤中有机物质流失，影响土壤中的生物、微生物的生存与繁殖，会给项目区的植被恢复和土地整治增加工作难度。</w:t>
      </w:r>
    </w:p>
    <w:p w:rsidR="002A5A5E" w:rsidRPr="00F9522B" w:rsidRDefault="00611CBA">
      <w:pPr>
        <w:autoSpaceDE w:val="0"/>
        <w:autoSpaceDN w:val="0"/>
        <w:spacing w:line="360" w:lineRule="auto"/>
        <w:ind w:firstLineChars="200" w:firstLine="480"/>
        <w:contextualSpacing/>
        <w:rPr>
          <w:rFonts w:eastAsiaTheme="minorEastAsia"/>
          <w:sz w:val="24"/>
        </w:rPr>
      </w:pPr>
      <w:r w:rsidRPr="00F9522B">
        <w:rPr>
          <w:rFonts w:eastAsiaTheme="minorEastAsia"/>
          <w:sz w:val="24"/>
        </w:rPr>
        <w:t>加重项目区水土流失影响：</w:t>
      </w:r>
    </w:p>
    <w:p w:rsidR="002A5A5E" w:rsidRPr="00F9522B" w:rsidRDefault="00611CBA">
      <w:pPr>
        <w:autoSpaceDE w:val="0"/>
        <w:autoSpaceDN w:val="0"/>
        <w:spacing w:line="360" w:lineRule="auto"/>
        <w:ind w:firstLineChars="200" w:firstLine="480"/>
        <w:contextualSpacing/>
        <w:rPr>
          <w:rFonts w:eastAsiaTheme="minorEastAsia"/>
          <w:sz w:val="24"/>
        </w:rPr>
      </w:pPr>
      <w:r w:rsidRPr="00F9522B">
        <w:rPr>
          <w:rFonts w:eastAsiaTheme="minorEastAsia"/>
          <w:sz w:val="24"/>
        </w:rPr>
        <w:t>项目区建设期间，由于施工行为对原地貌的开挖和扰动，破坏了原地表土壤和植被，增加了土地裸露面积，减弱了土体的抗蚀能力，使区域内的水土流失量增大，加重了项目区水土流失影响，水土保持设置的植物防护措施发挥效益也需要一定的时间。</w:t>
      </w:r>
    </w:p>
    <w:p w:rsidR="002A5A5E" w:rsidRPr="00F9522B" w:rsidRDefault="00611CBA">
      <w:pPr>
        <w:autoSpaceDE w:val="0"/>
        <w:autoSpaceDN w:val="0"/>
        <w:spacing w:line="360" w:lineRule="auto"/>
        <w:ind w:firstLineChars="200" w:firstLine="480"/>
        <w:contextualSpacing/>
        <w:rPr>
          <w:rFonts w:eastAsiaTheme="minorEastAsia"/>
          <w:sz w:val="24"/>
        </w:rPr>
      </w:pPr>
      <w:r w:rsidRPr="00F9522B">
        <w:rPr>
          <w:rFonts w:eastAsiaTheme="minorEastAsia"/>
          <w:sz w:val="24"/>
        </w:rPr>
        <w:lastRenderedPageBreak/>
        <w:t>对周围生态环境的影响：</w:t>
      </w:r>
    </w:p>
    <w:p w:rsidR="002A5A5E" w:rsidRPr="00F9522B" w:rsidRDefault="00611CBA">
      <w:pPr>
        <w:autoSpaceDE w:val="0"/>
        <w:autoSpaceDN w:val="0"/>
        <w:spacing w:line="360" w:lineRule="auto"/>
        <w:ind w:firstLineChars="200" w:firstLine="480"/>
        <w:contextualSpacing/>
        <w:rPr>
          <w:rFonts w:eastAsiaTheme="minorEastAsia"/>
          <w:sz w:val="24"/>
        </w:rPr>
      </w:pPr>
      <w:r w:rsidRPr="00F9522B">
        <w:rPr>
          <w:rFonts w:eastAsiaTheme="minorEastAsia"/>
          <w:sz w:val="24"/>
        </w:rPr>
        <w:t>该工程建设实施，占用农田，破坏地表植被，打破了原有的生态平衡，同时表土剥离及堆放、清基及填筑、回填土临时堆放等工程行为严重加剧了土壤侵蚀强度，如不采取防尘措施，遭遇大风和降雨，极易发生水土流失，将直接影响到项目区域及周围居民的正常的生产工作和生活环境，对附近居民身体健康及生活环境带来不利影响。</w:t>
      </w:r>
    </w:p>
    <w:p w:rsidR="002A5A5E" w:rsidRPr="00F9522B" w:rsidRDefault="00611CBA">
      <w:pPr>
        <w:autoSpaceDE w:val="0"/>
        <w:autoSpaceDN w:val="0"/>
        <w:spacing w:line="360" w:lineRule="auto"/>
        <w:ind w:firstLineChars="200" w:firstLine="480"/>
        <w:contextualSpacing/>
        <w:rPr>
          <w:rFonts w:eastAsiaTheme="minorEastAsia"/>
          <w:sz w:val="24"/>
        </w:rPr>
      </w:pPr>
      <w:r w:rsidRPr="00F9522B">
        <w:rPr>
          <w:rFonts w:eastAsiaTheme="minorEastAsia"/>
          <w:sz w:val="24"/>
        </w:rPr>
        <w:t>工程占地破坏了项目区自然植被，降低了土壤抗侵蚀能力，使施工期间项目区部分区域土壤侵蚀强度呈增加趋势，生态效益损失。施工期结束后，对项目占地进行全面复垦和恢复，恢复为原地类，恢复原有物种，水土流失影响将逐步消失。</w:t>
      </w:r>
    </w:p>
    <w:p w:rsidR="002A5A5E" w:rsidRPr="00F9522B" w:rsidRDefault="00611CBA">
      <w:pPr>
        <w:autoSpaceDE w:val="0"/>
        <w:autoSpaceDN w:val="0"/>
        <w:spacing w:line="360" w:lineRule="auto"/>
        <w:ind w:firstLineChars="200" w:firstLine="480"/>
        <w:contextualSpacing/>
        <w:rPr>
          <w:rFonts w:eastAsiaTheme="minorEastAsia"/>
          <w:sz w:val="24"/>
        </w:rPr>
      </w:pPr>
      <w:r w:rsidRPr="00F9522B">
        <w:rPr>
          <w:rFonts w:eastAsiaTheme="minorEastAsia"/>
          <w:sz w:val="24"/>
        </w:rPr>
        <w:t>为了避免本项目在施工过程中造成区域水土流失，破坏当地生态环境，提出建议如下：</w:t>
      </w:r>
    </w:p>
    <w:p w:rsidR="002A5A5E" w:rsidRPr="00F9522B" w:rsidRDefault="00611CBA">
      <w:pPr>
        <w:autoSpaceDE w:val="0"/>
        <w:autoSpaceDN w:val="0"/>
        <w:spacing w:line="360" w:lineRule="auto"/>
        <w:ind w:firstLineChars="200" w:firstLine="480"/>
        <w:contextualSpacing/>
        <w:rPr>
          <w:rFonts w:eastAsiaTheme="minorEastAsia"/>
          <w:sz w:val="24"/>
        </w:rPr>
      </w:pPr>
      <w:r w:rsidRPr="00F9522B">
        <w:rPr>
          <w:rFonts w:eastAsiaTheme="minorEastAsia"/>
          <w:sz w:val="24"/>
        </w:rPr>
        <w:t>项目施工过程中产生的表土及挖方采取设置临时拦挡并采用密目网苫盖，避免在暴雨中被冲刷流失。本项目施工过程中应严格将活动范围控制在本项目用地范围内，不占用其它土地。合理安排施工期，避免雨天施工。</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kern w:val="24"/>
        </w:rPr>
        <w:t>（</w:t>
      </w:r>
      <w:r w:rsidRPr="00F9522B">
        <w:rPr>
          <w:rFonts w:ascii="Times New Roman" w:hAnsi="Times New Roman" w:cs="Times New Roman"/>
          <w:kern w:val="24"/>
        </w:rPr>
        <w:t>3</w:t>
      </w:r>
      <w:r w:rsidRPr="00F9522B">
        <w:rPr>
          <w:rFonts w:ascii="Times New Roman" w:hAnsi="Times New Roman" w:cs="Times New Roman"/>
          <w:kern w:val="24"/>
        </w:rPr>
        <w:t>）土地利用影响分析</w:t>
      </w:r>
    </w:p>
    <w:p w:rsidR="002A5A5E" w:rsidRPr="00F9522B" w:rsidRDefault="00611CBA">
      <w:pPr>
        <w:spacing w:line="360" w:lineRule="auto"/>
        <w:ind w:firstLineChars="200" w:firstLine="480"/>
        <w:rPr>
          <w:rFonts w:eastAsiaTheme="minorEastAsia"/>
          <w:bCs/>
          <w:snapToGrid w:val="0"/>
          <w:sz w:val="24"/>
        </w:rPr>
      </w:pPr>
      <w:bookmarkStart w:id="129" w:name="_Toc494017092"/>
      <w:bookmarkStart w:id="130" w:name="_Toc415146703"/>
      <w:r w:rsidRPr="00F9522B">
        <w:rPr>
          <w:rFonts w:eastAsiaTheme="minorEastAsia"/>
          <w:bCs/>
          <w:snapToGrid w:val="0"/>
          <w:sz w:val="24"/>
        </w:rPr>
        <w:t>本项目施工过程中破坏植被，使土地利用类型发生改变，易引发水土侵蚀、崩塌等地质灾害。新增永久占地</w:t>
      </w:r>
      <w:r w:rsidRPr="00F9522B">
        <w:rPr>
          <w:rFonts w:eastAsiaTheme="minorEastAsia"/>
          <w:bCs/>
          <w:snapToGrid w:val="0"/>
          <w:kern w:val="0"/>
          <w:sz w:val="24"/>
        </w:rPr>
        <w:t>草地、水利设施用地、</w:t>
      </w:r>
      <w:r w:rsidR="00B42C98" w:rsidRPr="00F9522B">
        <w:rPr>
          <w:rFonts w:eastAsiaTheme="minorEastAsia"/>
          <w:bCs/>
          <w:snapToGrid w:val="0"/>
          <w:kern w:val="0"/>
          <w:sz w:val="24"/>
        </w:rPr>
        <w:t>坑塘水面共</w:t>
      </w:r>
      <w:r w:rsidR="00B42C98" w:rsidRPr="00F9522B">
        <w:rPr>
          <w:rFonts w:eastAsiaTheme="minorEastAsia"/>
          <w:bCs/>
          <w:snapToGrid w:val="0"/>
          <w:kern w:val="0"/>
          <w:sz w:val="24"/>
        </w:rPr>
        <w:t>46260</w:t>
      </w:r>
      <w:r w:rsidRPr="00F9522B">
        <w:rPr>
          <w:rFonts w:eastAsiaTheme="minorEastAsia"/>
          <w:bCs/>
          <w:snapToGrid w:val="0"/>
          <w:sz w:val="24"/>
        </w:rPr>
        <w:t>m</w:t>
      </w:r>
      <w:r w:rsidRPr="00F9522B">
        <w:rPr>
          <w:rFonts w:eastAsiaTheme="minorEastAsia"/>
          <w:bCs/>
          <w:snapToGrid w:val="0"/>
          <w:sz w:val="24"/>
          <w:vertAlign w:val="superscript"/>
        </w:rPr>
        <w:t>2</w:t>
      </w:r>
      <w:r w:rsidRPr="00F9522B">
        <w:rPr>
          <w:rFonts w:eastAsiaTheme="minorEastAsia"/>
          <w:bCs/>
          <w:snapToGrid w:val="0"/>
          <w:sz w:val="24"/>
        </w:rPr>
        <w:t>，建设完成后，土地利用类型变为水利设施用地及公用设施用地。临时占地类型为旱地、草地，</w:t>
      </w:r>
      <w:r w:rsidRPr="00323A2E">
        <w:rPr>
          <w:rFonts w:eastAsiaTheme="minorEastAsia"/>
          <w:bCs/>
          <w:snapToGrid w:val="0"/>
          <w:color w:val="FF0000"/>
          <w:sz w:val="24"/>
        </w:rPr>
        <w:t>占地面积为</w:t>
      </w:r>
      <w:r w:rsidR="00AA4603" w:rsidRPr="00323A2E">
        <w:rPr>
          <w:rFonts w:eastAsiaTheme="minorEastAsia"/>
          <w:bCs/>
          <w:snapToGrid w:val="0"/>
          <w:color w:val="FF0000"/>
          <w:sz w:val="24"/>
        </w:rPr>
        <w:t>294140</w:t>
      </w:r>
      <w:r w:rsidRPr="00323A2E">
        <w:rPr>
          <w:rFonts w:eastAsiaTheme="minorEastAsia"/>
          <w:bCs/>
          <w:snapToGrid w:val="0"/>
          <w:color w:val="FF0000"/>
          <w:sz w:val="24"/>
        </w:rPr>
        <w:t>m</w:t>
      </w:r>
      <w:r w:rsidRPr="00323A2E">
        <w:rPr>
          <w:rFonts w:eastAsiaTheme="minorEastAsia"/>
          <w:bCs/>
          <w:snapToGrid w:val="0"/>
          <w:color w:val="FF0000"/>
          <w:sz w:val="24"/>
          <w:vertAlign w:val="superscript"/>
        </w:rPr>
        <w:t>2</w:t>
      </w:r>
      <w:r w:rsidR="004246A4" w:rsidRPr="00323A2E">
        <w:rPr>
          <w:rFonts w:eastAsiaTheme="minorEastAsia"/>
          <w:bCs/>
          <w:snapToGrid w:val="0"/>
          <w:color w:val="FF0000"/>
          <w:sz w:val="24"/>
        </w:rPr>
        <w:t>。</w:t>
      </w:r>
      <w:r w:rsidR="004246A4" w:rsidRPr="00F9522B">
        <w:rPr>
          <w:rFonts w:eastAsiaTheme="minorEastAsia"/>
          <w:snapToGrid w:val="0"/>
          <w:kern w:val="0"/>
          <w:sz w:val="24"/>
        </w:rPr>
        <w:t>输配电工程表土及土方临时堆存在施工沿线，分区存放，设置临时拦挡并采用密目网苫盖，施工结束后分层回填，</w:t>
      </w:r>
      <w:r w:rsidR="00617138">
        <w:rPr>
          <w:rFonts w:eastAsiaTheme="minorEastAsia"/>
          <w:snapToGrid w:val="0"/>
          <w:kern w:val="0"/>
          <w:sz w:val="24"/>
        </w:rPr>
        <w:t>施工场地恢复现状草地，</w:t>
      </w:r>
      <w:r w:rsidR="00617138" w:rsidRPr="00323A2E">
        <w:rPr>
          <w:rFonts w:eastAsiaTheme="minorEastAsia"/>
          <w:snapToGrid w:val="0"/>
          <w:color w:val="FF0000"/>
          <w:kern w:val="0"/>
          <w:sz w:val="24"/>
        </w:rPr>
        <w:t>播撒草籽面积</w:t>
      </w:r>
      <w:r w:rsidR="00617138" w:rsidRPr="00323A2E">
        <w:rPr>
          <w:rFonts w:eastAsiaTheme="minorEastAsia"/>
          <w:snapToGrid w:val="0"/>
          <w:color w:val="FF0000"/>
          <w:kern w:val="0"/>
          <w:sz w:val="24"/>
        </w:rPr>
        <w:t>224662</w:t>
      </w:r>
      <w:r w:rsidR="004246A4" w:rsidRPr="00323A2E">
        <w:rPr>
          <w:rFonts w:eastAsiaTheme="minorEastAsia"/>
          <w:snapToGrid w:val="0"/>
          <w:color w:val="FF0000"/>
          <w:kern w:val="0"/>
          <w:sz w:val="24"/>
        </w:rPr>
        <w:t>m</w:t>
      </w:r>
      <w:r w:rsidR="004246A4" w:rsidRPr="00323A2E">
        <w:rPr>
          <w:rFonts w:eastAsiaTheme="minorEastAsia"/>
          <w:snapToGrid w:val="0"/>
          <w:color w:val="FF0000"/>
          <w:kern w:val="0"/>
          <w:sz w:val="24"/>
          <w:vertAlign w:val="superscript"/>
        </w:rPr>
        <w:t>2</w:t>
      </w:r>
      <w:r w:rsidR="004246A4" w:rsidRPr="00323A2E">
        <w:rPr>
          <w:rFonts w:eastAsiaTheme="minorEastAsia"/>
          <w:snapToGrid w:val="0"/>
          <w:color w:val="FF0000"/>
          <w:kern w:val="0"/>
          <w:sz w:val="24"/>
        </w:rPr>
        <w:t>，</w:t>
      </w:r>
      <w:r w:rsidR="004246A4" w:rsidRPr="00F9522B">
        <w:rPr>
          <w:rFonts w:eastAsiaTheme="minorEastAsia"/>
          <w:snapToGrid w:val="0"/>
          <w:kern w:val="0"/>
          <w:sz w:val="24"/>
        </w:rPr>
        <w:t>草籽选用紫花苜蓿等，种草密度</w:t>
      </w:r>
      <w:r w:rsidR="004246A4" w:rsidRPr="00F9522B">
        <w:rPr>
          <w:rFonts w:eastAsiaTheme="minorEastAsia"/>
          <w:snapToGrid w:val="0"/>
          <w:kern w:val="0"/>
          <w:sz w:val="24"/>
        </w:rPr>
        <w:t>80kg/</w:t>
      </w:r>
      <w:r w:rsidR="004246A4" w:rsidRPr="00F9522B">
        <w:rPr>
          <w:rFonts w:eastAsiaTheme="minorEastAsia"/>
          <w:snapToGrid w:val="0"/>
          <w:kern w:val="0"/>
          <w:sz w:val="24"/>
        </w:rPr>
        <w:t>公顷，恢复旱地</w:t>
      </w:r>
      <w:r w:rsidR="004246A4" w:rsidRPr="00F9522B">
        <w:rPr>
          <w:rFonts w:eastAsiaTheme="minorEastAsia"/>
          <w:snapToGrid w:val="0"/>
          <w:kern w:val="0"/>
          <w:sz w:val="24"/>
        </w:rPr>
        <w:t>32558m</w:t>
      </w:r>
      <w:r w:rsidR="004246A4" w:rsidRPr="00F9522B">
        <w:rPr>
          <w:rFonts w:eastAsiaTheme="minorEastAsia"/>
          <w:snapToGrid w:val="0"/>
          <w:kern w:val="0"/>
          <w:sz w:val="24"/>
          <w:vertAlign w:val="superscript"/>
        </w:rPr>
        <w:t>2</w:t>
      </w:r>
      <w:r w:rsidR="004246A4" w:rsidRPr="00F9522B">
        <w:rPr>
          <w:rFonts w:eastAsiaTheme="minorEastAsia"/>
          <w:snapToGrid w:val="0"/>
          <w:kern w:val="0"/>
          <w:sz w:val="24"/>
        </w:rPr>
        <w:t>；灌溉井工程剥离表土、开挖土方暂存于施工场地内，分区存放，设置临时拦挡并采用密目网苫盖，施工结束后施工场地、临时道路恢复为旱地，恢复面积</w:t>
      </w:r>
      <w:r w:rsidR="004246A4" w:rsidRPr="00F9522B">
        <w:rPr>
          <w:rFonts w:eastAsiaTheme="minorEastAsia"/>
          <w:snapToGrid w:val="0"/>
          <w:kern w:val="0"/>
          <w:sz w:val="24"/>
        </w:rPr>
        <w:t>7920m</w:t>
      </w:r>
      <w:r w:rsidR="004246A4" w:rsidRPr="00F9522B">
        <w:rPr>
          <w:rFonts w:eastAsiaTheme="minorEastAsia"/>
          <w:snapToGrid w:val="0"/>
          <w:kern w:val="0"/>
          <w:sz w:val="24"/>
          <w:vertAlign w:val="superscript"/>
        </w:rPr>
        <w:t>2</w:t>
      </w:r>
      <w:r w:rsidR="004246A4" w:rsidRPr="00F9522B">
        <w:rPr>
          <w:rFonts w:eastAsiaTheme="minorEastAsia"/>
          <w:snapToGrid w:val="0"/>
          <w:kern w:val="0"/>
          <w:sz w:val="24"/>
        </w:rPr>
        <w:t>；涵洞等建筑物工程剥离表土、开挖土方暂存于施工场地内，分区存放，设置临时拦挡并采用密目网苫盖，施工结束后施工场地恢复为草地，播撒草籽面积</w:t>
      </w:r>
      <w:r w:rsidR="004246A4" w:rsidRPr="00F9522B">
        <w:rPr>
          <w:rFonts w:eastAsiaTheme="minorEastAsia"/>
          <w:sz w:val="24"/>
        </w:rPr>
        <w:t>18500</w:t>
      </w:r>
      <w:r w:rsidR="004246A4" w:rsidRPr="00F9522B">
        <w:rPr>
          <w:rFonts w:eastAsiaTheme="minorEastAsia"/>
          <w:snapToGrid w:val="0"/>
          <w:kern w:val="0"/>
          <w:sz w:val="24"/>
        </w:rPr>
        <w:t>m</w:t>
      </w:r>
      <w:r w:rsidR="004246A4" w:rsidRPr="00F9522B">
        <w:rPr>
          <w:rFonts w:eastAsiaTheme="minorEastAsia"/>
          <w:snapToGrid w:val="0"/>
          <w:kern w:val="0"/>
          <w:sz w:val="24"/>
          <w:vertAlign w:val="superscript"/>
        </w:rPr>
        <w:t>2</w:t>
      </w:r>
      <w:r w:rsidR="004246A4" w:rsidRPr="00F9522B">
        <w:rPr>
          <w:rFonts w:eastAsiaTheme="minorEastAsia"/>
          <w:snapToGrid w:val="0"/>
          <w:kern w:val="0"/>
          <w:sz w:val="24"/>
        </w:rPr>
        <w:t>，草籽选用紫花苜蓿等，种草密度</w:t>
      </w:r>
      <w:r w:rsidR="004246A4" w:rsidRPr="00F9522B">
        <w:rPr>
          <w:rFonts w:eastAsiaTheme="minorEastAsia"/>
          <w:snapToGrid w:val="0"/>
          <w:kern w:val="0"/>
          <w:sz w:val="24"/>
        </w:rPr>
        <w:t>80kg/</w:t>
      </w:r>
      <w:r w:rsidR="004246A4" w:rsidRPr="00F9522B">
        <w:rPr>
          <w:rFonts w:eastAsiaTheme="minorEastAsia"/>
          <w:snapToGrid w:val="0"/>
          <w:kern w:val="0"/>
          <w:sz w:val="24"/>
        </w:rPr>
        <w:t>公顷，恢复旱地</w:t>
      </w:r>
      <w:r w:rsidR="004246A4" w:rsidRPr="00F9522B">
        <w:rPr>
          <w:rFonts w:eastAsiaTheme="minorEastAsia"/>
          <w:snapToGrid w:val="0"/>
          <w:kern w:val="0"/>
          <w:sz w:val="24"/>
        </w:rPr>
        <w:t>10500m</w:t>
      </w:r>
      <w:r w:rsidR="004246A4" w:rsidRPr="00F9522B">
        <w:rPr>
          <w:rFonts w:eastAsiaTheme="minorEastAsia"/>
          <w:snapToGrid w:val="0"/>
          <w:kern w:val="0"/>
          <w:sz w:val="24"/>
          <w:vertAlign w:val="superscript"/>
        </w:rPr>
        <w:t>2</w:t>
      </w:r>
      <w:r w:rsidR="004246A4" w:rsidRPr="00F9522B">
        <w:rPr>
          <w:rFonts w:eastAsiaTheme="minorEastAsia"/>
          <w:snapToGrid w:val="0"/>
          <w:kern w:val="0"/>
          <w:sz w:val="24"/>
        </w:rPr>
        <w:t>。</w:t>
      </w:r>
      <w:r w:rsidRPr="00F9522B">
        <w:rPr>
          <w:rFonts w:eastAsiaTheme="minorEastAsia"/>
          <w:bCs/>
          <w:snapToGrid w:val="0"/>
          <w:sz w:val="24"/>
          <w:lang w:bidi="en-US"/>
        </w:rPr>
        <w:t>恢复为原有临时占地</w:t>
      </w:r>
      <w:r w:rsidRPr="00F9522B">
        <w:rPr>
          <w:rFonts w:eastAsiaTheme="minorEastAsia"/>
          <w:bCs/>
          <w:snapToGrid w:val="0"/>
          <w:sz w:val="24"/>
        </w:rPr>
        <w:t>土地利用类型，对</w:t>
      </w:r>
      <w:r w:rsidRPr="00F9522B">
        <w:rPr>
          <w:rFonts w:eastAsiaTheme="minorEastAsia"/>
          <w:kern w:val="24"/>
          <w:sz w:val="24"/>
        </w:rPr>
        <w:t>土地利用影响较小</w:t>
      </w:r>
      <w:r w:rsidRPr="00F9522B">
        <w:rPr>
          <w:rFonts w:eastAsiaTheme="minorEastAsia"/>
          <w:bCs/>
          <w:snapToGrid w:val="0"/>
          <w:sz w:val="24"/>
          <w:lang w:bidi="en-US"/>
        </w:rPr>
        <w:t>。</w:t>
      </w:r>
    </w:p>
    <w:p w:rsidR="002A5A5E" w:rsidRPr="00F9522B" w:rsidRDefault="00611CBA">
      <w:pPr>
        <w:spacing w:line="360" w:lineRule="auto"/>
        <w:ind w:firstLineChars="200" w:firstLine="480"/>
        <w:rPr>
          <w:rFonts w:eastAsiaTheme="minorEastAsia"/>
          <w:bCs/>
          <w:snapToGrid w:val="0"/>
          <w:sz w:val="24"/>
        </w:rPr>
      </w:pPr>
      <w:r w:rsidRPr="00F9522B">
        <w:rPr>
          <w:rFonts w:eastAsiaTheme="minorEastAsia"/>
          <w:bCs/>
          <w:snapToGrid w:val="0"/>
          <w:sz w:val="24"/>
        </w:rPr>
        <w:t>（</w:t>
      </w:r>
      <w:r w:rsidRPr="00F9522B">
        <w:rPr>
          <w:rFonts w:eastAsiaTheme="minorEastAsia"/>
          <w:bCs/>
          <w:snapToGrid w:val="0"/>
          <w:sz w:val="24"/>
        </w:rPr>
        <w:t>4</w:t>
      </w:r>
      <w:r w:rsidRPr="00F9522B">
        <w:rPr>
          <w:rFonts w:eastAsiaTheme="minorEastAsia"/>
          <w:bCs/>
          <w:snapToGrid w:val="0"/>
          <w:sz w:val="24"/>
        </w:rPr>
        <w:t>）对</w:t>
      </w:r>
      <w:r w:rsidRPr="00F9522B">
        <w:rPr>
          <w:rFonts w:eastAsiaTheme="minorEastAsia"/>
          <w:bCs/>
          <w:snapToGrid w:val="0"/>
          <w:sz w:val="24"/>
          <w:lang w:bidi="en-US"/>
        </w:rPr>
        <w:t>生态系统</w:t>
      </w:r>
      <w:r w:rsidRPr="00F9522B">
        <w:rPr>
          <w:rFonts w:eastAsiaTheme="minorEastAsia"/>
          <w:bCs/>
          <w:snapToGrid w:val="0"/>
          <w:sz w:val="24"/>
        </w:rPr>
        <w:t>影响分析</w:t>
      </w:r>
    </w:p>
    <w:p w:rsidR="002A5A5E" w:rsidRPr="00F9522B" w:rsidRDefault="00611CBA">
      <w:pPr>
        <w:spacing w:line="360" w:lineRule="auto"/>
        <w:ind w:firstLineChars="200" w:firstLine="480"/>
        <w:rPr>
          <w:rFonts w:eastAsiaTheme="minorEastAsia"/>
          <w:sz w:val="24"/>
        </w:rPr>
      </w:pPr>
      <w:r w:rsidRPr="00F9522B">
        <w:rPr>
          <w:rFonts w:eastAsiaTheme="minorEastAsia"/>
          <w:bCs/>
          <w:sz w:val="24"/>
        </w:rPr>
        <w:lastRenderedPageBreak/>
        <w:t>本项目永久占地</w:t>
      </w:r>
      <w:r w:rsidR="00E268F3" w:rsidRPr="00F9522B">
        <w:rPr>
          <w:rFonts w:eastAsiaTheme="minorEastAsia"/>
          <w:bCs/>
          <w:sz w:val="24"/>
        </w:rPr>
        <w:t>3614</w:t>
      </w:r>
      <w:r w:rsidR="00E268F3" w:rsidRPr="00F9522B">
        <w:rPr>
          <w:rFonts w:eastAsiaTheme="minorEastAsia"/>
          <w:bCs/>
          <w:sz w:val="24"/>
        </w:rPr>
        <w:t>万</w:t>
      </w:r>
      <w:r w:rsidRPr="00F9522B">
        <w:rPr>
          <w:rFonts w:eastAsiaTheme="minorEastAsia"/>
          <w:bCs/>
          <w:sz w:val="24"/>
        </w:rPr>
        <w:t>m</w:t>
      </w:r>
      <w:r w:rsidRPr="00F9522B">
        <w:rPr>
          <w:rFonts w:eastAsiaTheme="minorEastAsia"/>
          <w:bCs/>
          <w:sz w:val="24"/>
          <w:vertAlign w:val="superscript"/>
        </w:rPr>
        <w:t>2</w:t>
      </w:r>
      <w:r w:rsidRPr="00F9522B">
        <w:rPr>
          <w:rFonts w:eastAsiaTheme="minorEastAsia"/>
          <w:sz w:val="24"/>
        </w:rPr>
        <w:t>（新增约</w:t>
      </w:r>
      <w:r w:rsidR="00B42C98" w:rsidRPr="00F9522B">
        <w:rPr>
          <w:rFonts w:eastAsiaTheme="minorEastAsia"/>
          <w:bCs/>
          <w:snapToGrid w:val="0"/>
          <w:sz w:val="24"/>
        </w:rPr>
        <w:t>46260</w:t>
      </w:r>
      <w:r w:rsidRPr="00F9522B">
        <w:rPr>
          <w:rFonts w:eastAsiaTheme="minorEastAsia"/>
          <w:bCs/>
          <w:snapToGrid w:val="0"/>
          <w:sz w:val="24"/>
        </w:rPr>
        <w:t>m</w:t>
      </w:r>
      <w:r w:rsidRPr="00F9522B">
        <w:rPr>
          <w:rFonts w:eastAsiaTheme="minorEastAsia"/>
          <w:bCs/>
          <w:sz w:val="24"/>
          <w:vertAlign w:val="superscript"/>
        </w:rPr>
        <w:t>2</w:t>
      </w:r>
      <w:r w:rsidRPr="00F9522B">
        <w:rPr>
          <w:rFonts w:eastAsiaTheme="minorEastAsia"/>
          <w:sz w:val="24"/>
        </w:rPr>
        <w:t>），</w:t>
      </w:r>
      <w:r w:rsidRPr="00F9522B">
        <w:rPr>
          <w:rFonts w:eastAsiaTheme="minorEastAsia"/>
          <w:bCs/>
          <w:sz w:val="24"/>
        </w:rPr>
        <w:t>临时占地</w:t>
      </w:r>
      <w:r w:rsidRPr="00F9522B">
        <w:rPr>
          <w:rFonts w:eastAsiaTheme="minorEastAsia"/>
          <w:sz w:val="24"/>
        </w:rPr>
        <w:t>面积为</w:t>
      </w:r>
      <w:r w:rsidR="00AA4603">
        <w:rPr>
          <w:rFonts w:eastAsiaTheme="minorEastAsia"/>
          <w:sz w:val="24"/>
        </w:rPr>
        <w:t>294140</w:t>
      </w:r>
      <w:r w:rsidRPr="00F9522B">
        <w:rPr>
          <w:rFonts w:eastAsiaTheme="minorEastAsia"/>
          <w:sz w:val="24"/>
        </w:rPr>
        <w:t>m</w:t>
      </w:r>
      <w:r w:rsidRPr="00F9522B">
        <w:rPr>
          <w:rFonts w:eastAsiaTheme="minorEastAsia"/>
          <w:sz w:val="24"/>
          <w:vertAlign w:val="superscript"/>
        </w:rPr>
        <w:t>2</w:t>
      </w:r>
      <w:r w:rsidRPr="00F9522B">
        <w:rPr>
          <w:rFonts w:eastAsiaTheme="minorEastAsia"/>
          <w:sz w:val="24"/>
        </w:rPr>
        <w:t>。</w:t>
      </w:r>
      <w:r w:rsidRPr="00F9522B">
        <w:rPr>
          <w:rFonts w:eastAsiaTheme="minorEastAsia"/>
          <w:bCs/>
          <w:sz w:val="24"/>
          <w:lang w:bidi="en-US"/>
        </w:rPr>
        <w:t>评价范围生态系统面积</w:t>
      </w:r>
      <w:r w:rsidR="004246A4" w:rsidRPr="00F9522B">
        <w:rPr>
          <w:rFonts w:eastAsiaTheme="minorEastAsia"/>
          <w:bCs/>
          <w:sz w:val="24"/>
          <w:lang w:bidi="en-US"/>
        </w:rPr>
        <w:t>350.05</w:t>
      </w:r>
      <w:r w:rsidRPr="00F9522B">
        <w:rPr>
          <w:rFonts w:eastAsiaTheme="minorEastAsia"/>
          <w:bCs/>
          <w:sz w:val="24"/>
          <w:lang w:bidi="en-US"/>
        </w:rPr>
        <w:t>km</w:t>
      </w:r>
      <w:r w:rsidRPr="00F9522B">
        <w:rPr>
          <w:rFonts w:eastAsiaTheme="minorEastAsia"/>
          <w:bCs/>
          <w:sz w:val="24"/>
          <w:vertAlign w:val="superscript"/>
          <w:lang w:bidi="en-US"/>
        </w:rPr>
        <w:t>2</w:t>
      </w:r>
      <w:r w:rsidRPr="00F9522B">
        <w:rPr>
          <w:rFonts w:eastAsiaTheme="minorEastAsia"/>
          <w:bCs/>
          <w:sz w:val="24"/>
          <w:lang w:bidi="en-US"/>
        </w:rPr>
        <w:t>，项目工程新增面积占评价区总面积的</w:t>
      </w:r>
      <w:r w:rsidRPr="00F9522B">
        <w:rPr>
          <w:rFonts w:eastAsiaTheme="minorEastAsia"/>
          <w:bCs/>
          <w:sz w:val="24"/>
          <w:lang w:bidi="en-US"/>
        </w:rPr>
        <w:t>0.</w:t>
      </w:r>
      <w:r w:rsidR="00BB76D3" w:rsidRPr="00F9522B">
        <w:rPr>
          <w:rFonts w:eastAsiaTheme="minorEastAsia"/>
          <w:bCs/>
          <w:sz w:val="24"/>
          <w:lang w:bidi="en-US"/>
        </w:rPr>
        <w:t>05</w:t>
      </w:r>
      <w:r w:rsidRPr="00F9522B">
        <w:rPr>
          <w:rFonts w:eastAsiaTheme="minorEastAsia"/>
          <w:bCs/>
          <w:sz w:val="24"/>
          <w:lang w:bidi="en-US"/>
        </w:rPr>
        <w:t>%</w:t>
      </w:r>
      <w:r w:rsidRPr="00F9522B">
        <w:rPr>
          <w:rFonts w:eastAsiaTheme="minorEastAsia"/>
          <w:bCs/>
          <w:sz w:val="24"/>
          <w:lang w:bidi="en-US"/>
        </w:rPr>
        <w:t>，占比较小。</w:t>
      </w:r>
      <w:r w:rsidRPr="00F9522B">
        <w:rPr>
          <w:rFonts w:eastAsiaTheme="minorEastAsia"/>
          <w:sz w:val="24"/>
        </w:rPr>
        <w:t>本工程施工期对永久占地及临时占地进行地表剥离，对局部自然生态环境造成一定的破坏，生产力有所降低。但生态破坏面积不大，对整个评价区域自然体系的稳定性不会造成明显影响，仅使局部区域植被铲除、动物迁徙、水土流失侵蚀度增加，局部自然生态环境遭到一定的破坏。但由于影响面积小，对评价区域内自然生态体系的稳定性和对外界环境干扰的阻抗和恢复功能影响不大。</w:t>
      </w:r>
    </w:p>
    <w:p w:rsidR="002A5A5E" w:rsidRPr="00F9522B" w:rsidRDefault="00611CBA">
      <w:pPr>
        <w:spacing w:line="360" w:lineRule="auto"/>
        <w:ind w:firstLineChars="200" w:firstLine="480"/>
        <w:rPr>
          <w:rFonts w:eastAsiaTheme="minorEastAsia"/>
          <w:sz w:val="24"/>
        </w:rPr>
      </w:pPr>
      <w:r w:rsidRPr="00F9522B">
        <w:rPr>
          <w:rFonts w:eastAsiaTheme="minorEastAsia"/>
          <w:bCs/>
          <w:sz w:val="24"/>
        </w:rPr>
        <w:t>本项目严格控制施工范围，对施工人员进行生态保护教育，表土采用分层剥离，分层堆放，</w:t>
      </w:r>
      <w:r w:rsidRPr="00F9522B">
        <w:rPr>
          <w:rFonts w:eastAsiaTheme="minorEastAsia"/>
          <w:spacing w:val="-4"/>
          <w:sz w:val="24"/>
          <w:szCs w:val="21"/>
        </w:rPr>
        <w:t>表土用于临时占地土地复垦</w:t>
      </w:r>
      <w:r w:rsidRPr="00F9522B">
        <w:rPr>
          <w:rFonts w:eastAsiaTheme="minorEastAsia"/>
          <w:bCs/>
          <w:sz w:val="24"/>
        </w:rPr>
        <w:t>。</w:t>
      </w:r>
      <w:r w:rsidRPr="00F9522B">
        <w:rPr>
          <w:rFonts w:eastAsiaTheme="minorEastAsia"/>
          <w:bCs/>
          <w:snapToGrid w:val="0"/>
          <w:sz w:val="24"/>
          <w:lang w:bidi="en-US"/>
        </w:rPr>
        <w:t>施工结束后恢复为原有土地类型，</w:t>
      </w:r>
      <w:r w:rsidRPr="00F9522B">
        <w:rPr>
          <w:rFonts w:eastAsiaTheme="minorEastAsia"/>
          <w:bCs/>
          <w:sz w:val="24"/>
        </w:rPr>
        <w:t>临时占地恢复为原有的生态系统，</w:t>
      </w:r>
      <w:r w:rsidRPr="00F9522B">
        <w:rPr>
          <w:rFonts w:eastAsiaTheme="minorEastAsia"/>
          <w:bCs/>
          <w:snapToGrid w:val="0"/>
          <w:sz w:val="24"/>
        </w:rPr>
        <w:t>对</w:t>
      </w:r>
      <w:r w:rsidRPr="00F9522B">
        <w:rPr>
          <w:rFonts w:eastAsiaTheme="minorEastAsia"/>
          <w:bCs/>
          <w:snapToGrid w:val="0"/>
          <w:sz w:val="24"/>
          <w:lang w:bidi="en-US"/>
        </w:rPr>
        <w:t>生态系统</w:t>
      </w:r>
      <w:r w:rsidRPr="00F9522B">
        <w:rPr>
          <w:rFonts w:eastAsiaTheme="minorEastAsia"/>
          <w:kern w:val="24"/>
          <w:sz w:val="24"/>
        </w:rPr>
        <w:t>影响较小</w:t>
      </w:r>
      <w:r w:rsidRPr="00F9522B">
        <w:rPr>
          <w:rFonts w:eastAsiaTheme="minorEastAsia"/>
          <w:bCs/>
          <w:sz w:val="24"/>
        </w:rPr>
        <w:t>。</w:t>
      </w:r>
    </w:p>
    <w:p w:rsidR="002A5A5E" w:rsidRPr="00F9522B" w:rsidRDefault="00611CBA">
      <w:pPr>
        <w:spacing w:line="360" w:lineRule="auto"/>
        <w:ind w:firstLineChars="200" w:firstLine="480"/>
        <w:rPr>
          <w:rFonts w:eastAsiaTheme="minorEastAsia"/>
          <w:bCs/>
          <w:snapToGrid w:val="0"/>
          <w:sz w:val="24"/>
        </w:rPr>
      </w:pPr>
      <w:r w:rsidRPr="00F9522B">
        <w:rPr>
          <w:rFonts w:eastAsiaTheme="minorEastAsia"/>
          <w:bCs/>
          <w:snapToGrid w:val="0"/>
          <w:sz w:val="24"/>
        </w:rPr>
        <w:t>（</w:t>
      </w:r>
      <w:r w:rsidRPr="00F9522B">
        <w:rPr>
          <w:rFonts w:eastAsiaTheme="minorEastAsia"/>
          <w:bCs/>
          <w:snapToGrid w:val="0"/>
          <w:sz w:val="24"/>
        </w:rPr>
        <w:t>5</w:t>
      </w:r>
      <w:r w:rsidRPr="00F9522B">
        <w:rPr>
          <w:rFonts w:eastAsiaTheme="minorEastAsia"/>
          <w:bCs/>
          <w:snapToGrid w:val="0"/>
          <w:sz w:val="24"/>
        </w:rPr>
        <w:t>）对自然景观影响分析</w:t>
      </w:r>
    </w:p>
    <w:p w:rsidR="002A5A5E" w:rsidRPr="00F9522B" w:rsidRDefault="001D3235">
      <w:pPr>
        <w:spacing w:line="360" w:lineRule="auto"/>
        <w:ind w:firstLineChars="200" w:firstLine="480"/>
        <w:rPr>
          <w:rFonts w:eastAsiaTheme="minorEastAsia"/>
          <w:bCs/>
          <w:snapToGrid w:val="0"/>
          <w:sz w:val="24"/>
        </w:rPr>
      </w:pPr>
      <w:r w:rsidRPr="00F9522B">
        <w:rPr>
          <w:rFonts w:eastAsiaTheme="minorEastAsia"/>
          <w:bCs/>
          <w:snapToGrid w:val="0"/>
          <w:sz w:val="24"/>
        </w:rPr>
        <w:t>项目永久占地代替了原有草地</w:t>
      </w:r>
      <w:r w:rsidR="00611CBA" w:rsidRPr="00F9522B">
        <w:rPr>
          <w:rFonts w:eastAsiaTheme="minorEastAsia"/>
          <w:bCs/>
          <w:snapToGrid w:val="0"/>
          <w:sz w:val="24"/>
        </w:rPr>
        <w:t>、坑塘水面，使其被分隔，产生景观的不连续性，这是人为活动对于自然景观的干扰和破坏，场区与周围自然景观产生了不协调。项目新增永久占地面积较小，在工程建设中要注意严格按所划定的区域施工，注意保护周边的植被。随着工程各项保护措施的落实到位，周边的生态系统将会得到逐步改善。</w:t>
      </w:r>
    </w:p>
    <w:p w:rsidR="002A5A5E" w:rsidRPr="00F9522B" w:rsidRDefault="00611CBA">
      <w:pPr>
        <w:spacing w:line="360" w:lineRule="auto"/>
        <w:ind w:firstLineChars="200" w:firstLine="480"/>
        <w:rPr>
          <w:rFonts w:eastAsiaTheme="minorEastAsia"/>
          <w:bCs/>
          <w:sz w:val="24"/>
        </w:rPr>
      </w:pPr>
      <w:r w:rsidRPr="00F9522B">
        <w:rPr>
          <w:rFonts w:eastAsiaTheme="minorEastAsia"/>
          <w:bCs/>
          <w:snapToGrid w:val="0"/>
          <w:sz w:val="24"/>
          <w:lang w:bidi="en-US"/>
        </w:rPr>
        <w:t>施工结束后恢复为原有土地类型，</w:t>
      </w:r>
      <w:r w:rsidRPr="00F9522B">
        <w:rPr>
          <w:rFonts w:eastAsiaTheme="minorEastAsia"/>
          <w:bCs/>
          <w:sz w:val="24"/>
        </w:rPr>
        <w:t>临时占地恢复为原有自然景观，对</w:t>
      </w:r>
      <w:r w:rsidRPr="00F9522B">
        <w:rPr>
          <w:rFonts w:eastAsiaTheme="minorEastAsia"/>
          <w:bCs/>
          <w:snapToGrid w:val="0"/>
          <w:sz w:val="24"/>
        </w:rPr>
        <w:t>自然景观影响较小</w:t>
      </w:r>
      <w:r w:rsidRPr="00F9522B">
        <w:rPr>
          <w:rFonts w:eastAsiaTheme="minorEastAsia"/>
          <w:bCs/>
          <w:sz w:val="24"/>
        </w:rPr>
        <w:t>。</w:t>
      </w:r>
    </w:p>
    <w:p w:rsidR="002A5A5E" w:rsidRPr="00F9522B" w:rsidRDefault="00611CBA">
      <w:pPr>
        <w:autoSpaceDE w:val="0"/>
        <w:autoSpaceDN w:val="0"/>
        <w:spacing w:before="100" w:beforeAutospacing="1" w:after="100" w:afterAutospacing="1"/>
        <w:jc w:val="left"/>
        <w:outlineLvl w:val="2"/>
        <w:rPr>
          <w:rFonts w:eastAsiaTheme="minorEastAsia"/>
          <w:b/>
          <w:sz w:val="28"/>
          <w:szCs w:val="28"/>
        </w:rPr>
      </w:pPr>
      <w:r w:rsidRPr="00F9522B">
        <w:rPr>
          <w:rFonts w:eastAsiaTheme="minorEastAsia"/>
          <w:b/>
          <w:sz w:val="28"/>
          <w:szCs w:val="28"/>
        </w:rPr>
        <w:t>5.1.6</w:t>
      </w:r>
      <w:r w:rsidRPr="00F9522B">
        <w:rPr>
          <w:rFonts w:eastAsiaTheme="minorEastAsia"/>
          <w:b/>
          <w:sz w:val="28"/>
          <w:szCs w:val="28"/>
        </w:rPr>
        <w:t>地下水环境影响预测与评价</w:t>
      </w:r>
    </w:p>
    <w:p w:rsidR="002A5A5E" w:rsidRPr="00F9522B" w:rsidRDefault="00611CBA">
      <w:pPr>
        <w:spacing w:line="360" w:lineRule="auto"/>
        <w:ind w:firstLineChars="200" w:firstLine="480"/>
        <w:rPr>
          <w:rFonts w:eastAsiaTheme="minorEastAsia"/>
          <w:sz w:val="24"/>
        </w:rPr>
      </w:pPr>
      <w:r w:rsidRPr="00F9522B">
        <w:rPr>
          <w:rFonts w:eastAsiaTheme="minorEastAsia"/>
          <w:bCs/>
          <w:sz w:val="24"/>
        </w:rPr>
        <w:t>根据工程施工特点，对地下水水质的影响主要为施工废污水的排放下渗。</w:t>
      </w:r>
    </w:p>
    <w:p w:rsidR="002A5A5E" w:rsidRPr="00F9522B" w:rsidRDefault="00611CBA">
      <w:pPr>
        <w:spacing w:line="360" w:lineRule="auto"/>
        <w:ind w:firstLineChars="200" w:firstLine="480"/>
        <w:rPr>
          <w:rFonts w:eastAsiaTheme="minorEastAsia"/>
          <w:sz w:val="24"/>
          <w:szCs w:val="21"/>
        </w:rPr>
      </w:pPr>
      <w:r w:rsidRPr="00F9522B">
        <w:rPr>
          <w:rFonts w:eastAsiaTheme="minorEastAsia"/>
          <w:kern w:val="0"/>
          <w:sz w:val="24"/>
        </w:rPr>
        <w:t>本项目</w:t>
      </w:r>
      <w:r w:rsidRPr="00F9522B">
        <w:rPr>
          <w:rFonts w:eastAsiaTheme="minorEastAsia"/>
          <w:snapToGrid w:val="0"/>
          <w:kern w:val="0"/>
          <w:sz w:val="24"/>
          <w:szCs w:val="22"/>
        </w:rPr>
        <w:t>灌溉井</w:t>
      </w:r>
      <w:r w:rsidRPr="00F9522B">
        <w:rPr>
          <w:rFonts w:eastAsiaTheme="minorEastAsia"/>
          <w:kern w:val="0"/>
          <w:sz w:val="24"/>
        </w:rPr>
        <w:t>距离饮用水源地较远，均大于</w:t>
      </w:r>
      <w:r w:rsidR="00861722" w:rsidRPr="00F9522B">
        <w:rPr>
          <w:rFonts w:eastAsiaTheme="minorEastAsia"/>
          <w:kern w:val="0"/>
          <w:sz w:val="24"/>
        </w:rPr>
        <w:t>1</w:t>
      </w:r>
      <w:r w:rsidRPr="00F9522B">
        <w:rPr>
          <w:rFonts w:eastAsiaTheme="minorEastAsia"/>
          <w:kern w:val="0"/>
          <w:sz w:val="24"/>
        </w:rPr>
        <w:t>km</w:t>
      </w:r>
      <w:r w:rsidRPr="00F9522B">
        <w:rPr>
          <w:rFonts w:eastAsiaTheme="minorEastAsia"/>
          <w:kern w:val="0"/>
          <w:sz w:val="24"/>
        </w:rPr>
        <w:t>，</w:t>
      </w:r>
      <w:r w:rsidRPr="00F9522B">
        <w:rPr>
          <w:rFonts w:eastAsiaTheme="minorEastAsia"/>
          <w:sz w:val="24"/>
        </w:rPr>
        <w:t>不在其保护区范围内，项目施工期灌溉井工程打井过程中，不使用有毒有害等化学物质，泥浆循环使用，妥善收集，施工过程中产生的废水经静置后用于场地洒水降尘，施工过程加强环境管理，杜绝油品跑冒滴漏事故。不会对评价范围内最近饮用水源地等地下水保护目标水质及水量产生影响。</w:t>
      </w:r>
      <w:r w:rsidRPr="00F9522B">
        <w:rPr>
          <w:rFonts w:eastAsiaTheme="minorEastAsia"/>
          <w:sz w:val="24"/>
          <w:szCs w:val="21"/>
        </w:rPr>
        <w:t>合理安排施工时序，选择</w:t>
      </w:r>
      <w:r w:rsidRPr="00F9522B">
        <w:rPr>
          <w:rFonts w:eastAsiaTheme="minorEastAsia"/>
          <w:sz w:val="24"/>
          <w:szCs w:val="21"/>
        </w:rPr>
        <w:t>3</w:t>
      </w:r>
      <w:r w:rsidRPr="00F9522B">
        <w:rPr>
          <w:rFonts w:eastAsiaTheme="minorEastAsia"/>
          <w:sz w:val="24"/>
          <w:szCs w:val="21"/>
        </w:rPr>
        <w:t>月至</w:t>
      </w:r>
      <w:r w:rsidRPr="00F9522B">
        <w:rPr>
          <w:rFonts w:eastAsiaTheme="minorEastAsia"/>
          <w:sz w:val="24"/>
          <w:szCs w:val="21"/>
        </w:rPr>
        <w:t>4</w:t>
      </w:r>
      <w:r w:rsidRPr="00F9522B">
        <w:rPr>
          <w:rFonts w:eastAsiaTheme="minorEastAsia"/>
          <w:sz w:val="24"/>
          <w:szCs w:val="21"/>
        </w:rPr>
        <w:t>月进行排水沟清淤及涵洞等建筑物、护砌工程施工，沟渠干涸，不涉水，不产生基坑废水。</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综上，施工期不会对地下水产生明显污染影响。</w:t>
      </w:r>
    </w:p>
    <w:p w:rsidR="002A5A5E" w:rsidRPr="00F9522B" w:rsidRDefault="00611CBA">
      <w:pPr>
        <w:autoSpaceDE w:val="0"/>
        <w:autoSpaceDN w:val="0"/>
        <w:spacing w:before="100" w:beforeAutospacing="1" w:after="100" w:afterAutospacing="1"/>
        <w:jc w:val="left"/>
        <w:outlineLvl w:val="2"/>
        <w:rPr>
          <w:rFonts w:eastAsiaTheme="minorEastAsia"/>
          <w:b/>
          <w:sz w:val="28"/>
          <w:szCs w:val="28"/>
        </w:rPr>
      </w:pPr>
      <w:r w:rsidRPr="00F9522B">
        <w:rPr>
          <w:rFonts w:eastAsiaTheme="minorEastAsia"/>
          <w:b/>
          <w:sz w:val="28"/>
          <w:szCs w:val="28"/>
        </w:rPr>
        <w:lastRenderedPageBreak/>
        <w:t>5.1.7</w:t>
      </w:r>
      <w:r w:rsidRPr="00F9522B">
        <w:rPr>
          <w:rFonts w:eastAsiaTheme="minorEastAsia"/>
          <w:b/>
          <w:sz w:val="28"/>
          <w:szCs w:val="28"/>
        </w:rPr>
        <w:t>对黑土地及基本农田影响分析</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w:t>
      </w:r>
      <w:r w:rsidRPr="00F9522B">
        <w:rPr>
          <w:rFonts w:eastAsiaTheme="minorEastAsia"/>
          <w:sz w:val="24"/>
        </w:rPr>
        <w:t>1</w:t>
      </w:r>
      <w:r w:rsidRPr="00F9522B">
        <w:rPr>
          <w:rFonts w:eastAsiaTheme="minorEastAsia"/>
          <w:sz w:val="24"/>
        </w:rPr>
        <w:t>）黑土地</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在工程建设过程中，如果施工安排不合理或操作不当，会使机械的机油等废弃油对黑土地造成污染；施工材料乱丢乱放也会造成土壤的污染；扬尘及冲刷物质进入农田，而且这些物质多为生土，有机质含量低，过多进入农田将会影响土壤的组成和结构，使土壤肥力下降，影响作物产量。</w:t>
      </w:r>
    </w:p>
    <w:p w:rsidR="002A5A5E" w:rsidRPr="00F9522B" w:rsidRDefault="00611CBA">
      <w:pPr>
        <w:spacing w:line="360" w:lineRule="auto"/>
        <w:ind w:firstLine="482"/>
        <w:rPr>
          <w:rFonts w:eastAsiaTheme="minorEastAsia"/>
          <w:sz w:val="24"/>
        </w:rPr>
      </w:pPr>
      <w:r w:rsidRPr="00F9522B">
        <w:rPr>
          <w:rFonts w:eastAsiaTheme="minorEastAsia"/>
          <w:sz w:val="24"/>
        </w:rPr>
        <w:t>本项目施工期规范建筑垃圾和粉质材料的临时堆放，规范其他垃圾的收集和临时堆放，防止粉尘等进入农田。施工期各类废污水、固体废弃物按照要求进行处理和处置，避免污染工程周边黑土地。施工期加强管理，杜绝油品跑冒滴漏事故，不会对黑土地造成污染。</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w:t>
      </w:r>
      <w:r w:rsidRPr="00F9522B">
        <w:rPr>
          <w:rFonts w:eastAsiaTheme="minorEastAsia"/>
          <w:sz w:val="24"/>
        </w:rPr>
        <w:t>2</w:t>
      </w:r>
      <w:r w:rsidRPr="00F9522B">
        <w:rPr>
          <w:rFonts w:eastAsiaTheme="minorEastAsia"/>
          <w:sz w:val="24"/>
        </w:rPr>
        <w:t>）基本农田</w:t>
      </w:r>
    </w:p>
    <w:p w:rsidR="002A5A5E" w:rsidRPr="00F9522B" w:rsidRDefault="00611CBA">
      <w:pPr>
        <w:spacing w:line="360" w:lineRule="auto"/>
        <w:ind w:firstLineChars="200" w:firstLine="480"/>
        <w:rPr>
          <w:rFonts w:eastAsiaTheme="minorEastAsia"/>
          <w:bCs/>
          <w:snapToGrid w:val="0"/>
          <w:sz w:val="24"/>
        </w:rPr>
      </w:pPr>
      <w:r w:rsidRPr="00F9522B">
        <w:rPr>
          <w:rFonts w:eastAsiaTheme="minorEastAsia"/>
          <w:snapToGrid w:val="0"/>
          <w:kern w:val="0"/>
          <w:sz w:val="24"/>
        </w:rPr>
        <w:t>本项目施工期临时占地不占用基本农田。</w:t>
      </w:r>
      <w:r w:rsidRPr="00F9522B">
        <w:rPr>
          <w:rFonts w:eastAsiaTheme="minorEastAsia"/>
          <w:bCs/>
          <w:snapToGrid w:val="0"/>
          <w:sz w:val="24"/>
        </w:rPr>
        <w:t>本项目为高标准农田建设项目，田块整治工程在现状农田上建设，永久占地不可避免将占用基本农田，占用面积约为</w:t>
      </w:r>
      <w:r w:rsidRPr="00F9522B">
        <w:rPr>
          <w:rFonts w:eastAsiaTheme="minorEastAsia"/>
          <w:bCs/>
          <w:snapToGrid w:val="0"/>
          <w:sz w:val="24"/>
        </w:rPr>
        <w:t>0.03</w:t>
      </w:r>
      <w:r w:rsidRPr="00F9522B">
        <w:rPr>
          <w:rFonts w:eastAsiaTheme="minorEastAsia"/>
          <w:bCs/>
          <w:snapToGrid w:val="0"/>
          <w:sz w:val="24"/>
        </w:rPr>
        <w:t>平方公里。施工过程中不向农用地排放重金属或者其他有毒有害物质含量超标的污水、污泥，以及可能造成土壤污染的清淤底泥、尾矿、矿渣等，不会造成永久基本农田污染。</w:t>
      </w:r>
      <w:r w:rsidRPr="00F9522B">
        <w:rPr>
          <w:rFonts w:eastAsiaTheme="minorEastAsia"/>
          <w:sz w:val="24"/>
        </w:rPr>
        <w:t>规范建筑垃圾和粉质材料的临时堆放，规范其他垃圾的收集和临时堆放，防止粉尘等进入农田。在土壤剥离及运输过程中，采取了水土保持和扬尘防治措施，防止环境污染。施工期各类废污水、固体废弃物按照要求进行处理和处置，避免污染工程周边基本农田。施工期加强管理，杜绝油品跑冒滴漏事故，不会对基本农田造成污染。严格执行项目的水土保持方案，合理施工减少土壤的翻动、开挖对土地肥力产生破坏等，防止和减轻施工造成的水土流失。</w:t>
      </w:r>
      <w:r w:rsidRPr="00F9522B">
        <w:rPr>
          <w:rFonts w:eastAsiaTheme="minorEastAsia"/>
          <w:bCs/>
          <w:sz w:val="24"/>
        </w:rPr>
        <w:t>加强施工期工人培训工作，施工时应建设围挡措施，减少粉尘对周围环境的影响；工程开挖应尽量避免在雨季进行。本项目应严格执行《中华人民共和国土地管理法》《基本农田保护条例》等文件要求，制定基本农田环境保护方案：</w:t>
      </w:r>
      <w:r w:rsidRPr="00F9522B">
        <w:rPr>
          <w:rFonts w:ascii="宋体" w:hAnsi="宋体" w:cs="宋体" w:hint="eastAsia"/>
          <w:bCs/>
          <w:sz w:val="24"/>
        </w:rPr>
        <w:t>①</w:t>
      </w:r>
      <w:r w:rsidRPr="00F9522B">
        <w:rPr>
          <w:rFonts w:eastAsiaTheme="minorEastAsia"/>
          <w:bCs/>
          <w:sz w:val="24"/>
        </w:rPr>
        <w:t>建设前期须优化道路选线、合理安排施工期；</w:t>
      </w:r>
      <w:r w:rsidRPr="00F9522B">
        <w:rPr>
          <w:rFonts w:ascii="宋体" w:hAnsi="宋体" w:cs="宋体" w:hint="eastAsia"/>
          <w:bCs/>
          <w:sz w:val="24"/>
        </w:rPr>
        <w:t>②</w:t>
      </w:r>
      <w:r w:rsidRPr="00F9522B">
        <w:rPr>
          <w:rFonts w:eastAsiaTheme="minorEastAsia"/>
          <w:bCs/>
          <w:sz w:val="24"/>
        </w:rPr>
        <w:t>施工期须按照报告书要求对临时占地采取耕作层的剥离和暂存、妥善处理、及时清运废弃物等方式做好基本农田的保护工作。</w:t>
      </w:r>
    </w:p>
    <w:p w:rsidR="002A5A5E" w:rsidRPr="00F9522B" w:rsidRDefault="00611CBA">
      <w:pPr>
        <w:spacing w:before="100" w:beforeAutospacing="1" w:after="100" w:afterAutospacing="1"/>
        <w:contextualSpacing/>
        <w:jc w:val="left"/>
        <w:outlineLvl w:val="1"/>
        <w:rPr>
          <w:rFonts w:eastAsiaTheme="minorEastAsia"/>
          <w:b/>
          <w:bCs/>
          <w:kern w:val="44"/>
          <w:sz w:val="30"/>
          <w:szCs w:val="30"/>
        </w:rPr>
      </w:pPr>
      <w:bookmarkStart w:id="131" w:name="_Toc208906243"/>
      <w:r w:rsidRPr="00F9522B">
        <w:rPr>
          <w:rFonts w:eastAsiaTheme="minorEastAsia"/>
          <w:b/>
          <w:bCs/>
          <w:kern w:val="44"/>
          <w:sz w:val="30"/>
          <w:szCs w:val="30"/>
        </w:rPr>
        <w:t>5.2</w:t>
      </w:r>
      <w:r w:rsidRPr="00F9522B">
        <w:rPr>
          <w:rFonts w:eastAsiaTheme="minorEastAsia"/>
          <w:b/>
          <w:bCs/>
          <w:kern w:val="44"/>
          <w:sz w:val="30"/>
          <w:szCs w:val="30"/>
        </w:rPr>
        <w:t>运营期环境影响预测与评价</w:t>
      </w:r>
      <w:bookmarkEnd w:id="129"/>
      <w:bookmarkEnd w:id="130"/>
      <w:bookmarkEnd w:id="131"/>
    </w:p>
    <w:p w:rsidR="002A5A5E" w:rsidRPr="00F9522B" w:rsidRDefault="00611CBA">
      <w:pPr>
        <w:autoSpaceDE w:val="0"/>
        <w:autoSpaceDN w:val="0"/>
        <w:spacing w:before="100" w:beforeAutospacing="1" w:after="100" w:afterAutospacing="1"/>
        <w:jc w:val="left"/>
        <w:outlineLvl w:val="2"/>
        <w:rPr>
          <w:rFonts w:eastAsiaTheme="minorEastAsia"/>
          <w:b/>
          <w:sz w:val="28"/>
          <w:szCs w:val="28"/>
        </w:rPr>
      </w:pPr>
      <w:r w:rsidRPr="00F9522B">
        <w:rPr>
          <w:rFonts w:eastAsiaTheme="minorEastAsia"/>
          <w:b/>
          <w:sz w:val="28"/>
          <w:szCs w:val="28"/>
        </w:rPr>
        <w:lastRenderedPageBreak/>
        <w:t>5.2.1</w:t>
      </w:r>
      <w:r w:rsidRPr="00F9522B">
        <w:rPr>
          <w:rFonts w:eastAsiaTheme="minorEastAsia"/>
          <w:b/>
          <w:sz w:val="28"/>
          <w:szCs w:val="28"/>
        </w:rPr>
        <w:t>大气环境影响预测与评价</w:t>
      </w:r>
    </w:p>
    <w:p w:rsidR="002A5A5E" w:rsidRPr="00F9522B" w:rsidRDefault="00611CBA">
      <w:pPr>
        <w:pStyle w:val="aff4"/>
        <w:adjustRightInd/>
        <w:snapToGrid/>
        <w:jc w:val="both"/>
        <w:rPr>
          <w:rFonts w:ascii="Times New Roman" w:hAnsi="Times New Roman" w:cs="Times New Roman"/>
          <w:snapToGrid w:val="0"/>
          <w:kern w:val="0"/>
        </w:rPr>
      </w:pPr>
      <w:bookmarkStart w:id="132" w:name="_Hlk6926034"/>
      <w:r w:rsidRPr="00F9522B">
        <w:rPr>
          <w:rFonts w:ascii="Times New Roman" w:hAnsi="Times New Roman" w:cs="Times New Roman"/>
          <w:bCs/>
          <w:szCs w:val="20"/>
        </w:rPr>
        <w:t>本项目无冬季供暖，田间道路主要在春、秋农忙季节有少量农机车辆行驶，其他时段基本无车辆通过，车辆通过会产生少量汽车尾气，汽车尾气中主要污染物为</w:t>
      </w:r>
      <w:r w:rsidRPr="00F9522B">
        <w:rPr>
          <w:rFonts w:ascii="Times New Roman" w:hAnsi="Times New Roman" w:cs="Times New Roman"/>
          <w:bCs/>
          <w:szCs w:val="20"/>
        </w:rPr>
        <w:t>CO</w:t>
      </w:r>
      <w:r w:rsidRPr="00F9522B">
        <w:rPr>
          <w:rFonts w:ascii="Times New Roman" w:hAnsi="Times New Roman" w:cs="Times New Roman"/>
          <w:bCs/>
          <w:szCs w:val="20"/>
        </w:rPr>
        <w:t>、</w:t>
      </w:r>
      <w:r w:rsidRPr="00F9522B">
        <w:rPr>
          <w:rFonts w:ascii="Times New Roman" w:hAnsi="Times New Roman" w:cs="Times New Roman"/>
          <w:bCs/>
          <w:szCs w:val="20"/>
        </w:rPr>
        <w:t>NO</w:t>
      </w:r>
      <w:r w:rsidRPr="00F9522B">
        <w:rPr>
          <w:rFonts w:ascii="Times New Roman" w:hAnsi="Times New Roman" w:cs="Times New Roman"/>
          <w:bCs/>
          <w:szCs w:val="20"/>
          <w:vertAlign w:val="subscript"/>
        </w:rPr>
        <w:t>X</w:t>
      </w:r>
      <w:r w:rsidRPr="00F9522B">
        <w:rPr>
          <w:rFonts w:ascii="Times New Roman" w:hAnsi="Times New Roman" w:cs="Times New Roman"/>
          <w:bCs/>
          <w:szCs w:val="20"/>
        </w:rPr>
        <w:t>、</w:t>
      </w:r>
      <w:r w:rsidRPr="00F9522B">
        <w:rPr>
          <w:rFonts w:ascii="Times New Roman" w:hAnsi="Times New Roman" w:cs="Times New Roman"/>
          <w:bCs/>
          <w:szCs w:val="20"/>
        </w:rPr>
        <w:t>THC</w:t>
      </w:r>
      <w:r w:rsidRPr="00F9522B">
        <w:rPr>
          <w:rFonts w:ascii="Times New Roman" w:hAnsi="Times New Roman" w:cs="Times New Roman"/>
          <w:bCs/>
          <w:szCs w:val="20"/>
        </w:rPr>
        <w:t>等，本区域通过车辆一般为当地农用车，车速较慢、产生的尾气及扬尘较少，同时</w:t>
      </w:r>
      <w:r w:rsidRPr="00F9522B">
        <w:rPr>
          <w:rFonts w:ascii="Times New Roman" w:hAnsi="Times New Roman" w:cs="Times New Roman"/>
          <w:szCs w:val="20"/>
        </w:rPr>
        <w:t>通过对过往车辆采取限速措施后，</w:t>
      </w:r>
      <w:r w:rsidRPr="00F9522B">
        <w:rPr>
          <w:rFonts w:ascii="Times New Roman" w:hAnsi="Times New Roman" w:cs="Times New Roman"/>
          <w:bCs/>
          <w:szCs w:val="20"/>
        </w:rPr>
        <w:t>对周围环境空气影响不大</w:t>
      </w:r>
      <w:r w:rsidRPr="00F9522B">
        <w:rPr>
          <w:rFonts w:ascii="Times New Roman" w:hAnsi="Times New Roman" w:cs="Times New Roman"/>
          <w:szCs w:val="20"/>
        </w:rPr>
        <w:t>。</w:t>
      </w:r>
    </w:p>
    <w:p w:rsidR="002A5A5E" w:rsidRPr="00F9522B" w:rsidRDefault="00611CBA">
      <w:pPr>
        <w:pStyle w:val="aff4"/>
        <w:adjustRightInd/>
        <w:snapToGrid/>
        <w:jc w:val="both"/>
        <w:rPr>
          <w:rFonts w:ascii="Times New Roman" w:hAnsi="Times New Roman" w:cs="Times New Roman"/>
          <w:b/>
        </w:rPr>
      </w:pPr>
      <w:r w:rsidRPr="00F9522B">
        <w:rPr>
          <w:rFonts w:ascii="Times New Roman" w:hAnsi="Times New Roman" w:cs="Times New Roman"/>
          <w:snapToGrid w:val="0"/>
          <w:kern w:val="0"/>
        </w:rPr>
        <w:t>本项目排水工程设置</w:t>
      </w:r>
      <w:r w:rsidR="005E3027" w:rsidRPr="00F9522B">
        <w:rPr>
          <w:rFonts w:ascii="Times New Roman" w:hAnsi="Times New Roman" w:cs="Times New Roman"/>
          <w:snapToGrid w:val="0"/>
          <w:kern w:val="0"/>
        </w:rPr>
        <w:t>78</w:t>
      </w:r>
      <w:r w:rsidR="005E3027" w:rsidRPr="00F9522B">
        <w:rPr>
          <w:rFonts w:ascii="Times New Roman" w:hAnsi="Times New Roman" w:cs="Times New Roman"/>
          <w:snapToGrid w:val="0"/>
          <w:kern w:val="0"/>
        </w:rPr>
        <w:t>台</w:t>
      </w:r>
      <w:r w:rsidRPr="00F9522B">
        <w:rPr>
          <w:rFonts w:ascii="Times New Roman" w:hAnsi="Times New Roman" w:cs="Times New Roman"/>
          <w:snapToGrid w:val="0"/>
          <w:kern w:val="0"/>
        </w:rPr>
        <w:t>柴油机移动泵车，使用过程废气主要为</w:t>
      </w:r>
      <w:r w:rsidRPr="00F9522B">
        <w:rPr>
          <w:rFonts w:ascii="Times New Roman" w:hAnsi="Times New Roman" w:cs="Times New Roman"/>
          <w:snapToGrid w:val="0"/>
          <w:kern w:val="0"/>
        </w:rPr>
        <w:t>CO</w:t>
      </w:r>
      <w:r w:rsidRPr="00F9522B">
        <w:rPr>
          <w:rFonts w:ascii="Times New Roman" w:hAnsi="Times New Roman" w:cs="Times New Roman"/>
          <w:snapToGrid w:val="0"/>
          <w:kern w:val="0"/>
        </w:rPr>
        <w:t>、</w:t>
      </w:r>
      <w:r w:rsidRPr="00F9522B">
        <w:rPr>
          <w:rFonts w:ascii="Times New Roman" w:hAnsi="Times New Roman" w:cs="Times New Roman"/>
          <w:snapToGrid w:val="0"/>
          <w:kern w:val="0"/>
        </w:rPr>
        <w:t>HC+NOx</w:t>
      </w:r>
      <w:r w:rsidRPr="00F9522B">
        <w:rPr>
          <w:rFonts w:ascii="Times New Roman" w:hAnsi="Times New Roman" w:cs="Times New Roman"/>
          <w:snapToGrid w:val="0"/>
          <w:kern w:val="0"/>
        </w:rPr>
        <w:t>、</w:t>
      </w:r>
      <w:r w:rsidRPr="00F9522B">
        <w:rPr>
          <w:rFonts w:ascii="Times New Roman" w:hAnsi="Times New Roman" w:cs="Times New Roman"/>
          <w:snapToGrid w:val="0"/>
          <w:kern w:val="0"/>
        </w:rPr>
        <w:t>PM</w:t>
      </w:r>
      <w:r w:rsidRPr="00F9522B">
        <w:rPr>
          <w:rFonts w:ascii="Times New Roman" w:hAnsi="Times New Roman" w:cs="Times New Roman"/>
          <w:snapToGrid w:val="0"/>
          <w:kern w:val="0"/>
        </w:rPr>
        <w:t>（颗粒物），排放速率分别为</w:t>
      </w:r>
      <w:r w:rsidRPr="00F9522B">
        <w:rPr>
          <w:rFonts w:ascii="Times New Roman" w:hAnsi="Times New Roman" w:cs="Times New Roman"/>
          <w:snapToGrid w:val="0"/>
          <w:kern w:val="0"/>
        </w:rPr>
        <w:t>CO</w:t>
      </w:r>
      <w:r w:rsidRPr="00F9522B">
        <w:rPr>
          <w:rFonts w:ascii="Times New Roman" w:hAnsi="Times New Roman" w:cs="Times New Roman"/>
          <w:snapToGrid w:val="0"/>
          <w:kern w:val="0"/>
        </w:rPr>
        <w:t>：</w:t>
      </w:r>
      <w:r w:rsidRPr="00F9522B">
        <w:rPr>
          <w:rFonts w:ascii="Times New Roman" w:hAnsi="Times New Roman" w:cs="Times New Roman"/>
          <w:snapToGrid w:val="0"/>
          <w:kern w:val="0"/>
        </w:rPr>
        <w:t>0.15g/kWh</w:t>
      </w:r>
      <w:r w:rsidRPr="00F9522B">
        <w:rPr>
          <w:rFonts w:ascii="Times New Roman" w:hAnsi="Times New Roman" w:cs="Times New Roman"/>
          <w:snapToGrid w:val="0"/>
          <w:kern w:val="0"/>
        </w:rPr>
        <w:t>、</w:t>
      </w:r>
      <w:r w:rsidRPr="00F9522B">
        <w:rPr>
          <w:rFonts w:ascii="Times New Roman" w:hAnsi="Times New Roman" w:cs="Times New Roman"/>
          <w:snapToGrid w:val="0"/>
          <w:kern w:val="0"/>
        </w:rPr>
        <w:t>HC+NOx</w:t>
      </w:r>
      <w:r w:rsidRPr="00F9522B">
        <w:rPr>
          <w:rFonts w:ascii="Times New Roman" w:hAnsi="Times New Roman" w:cs="Times New Roman"/>
          <w:snapToGrid w:val="0"/>
          <w:kern w:val="0"/>
        </w:rPr>
        <w:t>：</w:t>
      </w:r>
      <w:r w:rsidRPr="00F9522B">
        <w:rPr>
          <w:rFonts w:ascii="Times New Roman" w:hAnsi="Times New Roman" w:cs="Times New Roman"/>
          <w:snapToGrid w:val="0"/>
          <w:kern w:val="0"/>
        </w:rPr>
        <w:t>0.696g/kWh</w:t>
      </w:r>
      <w:r w:rsidRPr="00F9522B">
        <w:rPr>
          <w:rFonts w:ascii="Times New Roman" w:hAnsi="Times New Roman" w:cs="Times New Roman"/>
          <w:snapToGrid w:val="0"/>
          <w:kern w:val="0"/>
        </w:rPr>
        <w:t>、</w:t>
      </w:r>
      <w:r w:rsidRPr="00F9522B">
        <w:rPr>
          <w:rFonts w:ascii="Times New Roman" w:hAnsi="Times New Roman" w:cs="Times New Roman"/>
          <w:snapToGrid w:val="0"/>
          <w:kern w:val="0"/>
        </w:rPr>
        <w:t>PM</w:t>
      </w:r>
      <w:r w:rsidRPr="00F9522B">
        <w:rPr>
          <w:rFonts w:ascii="Times New Roman" w:hAnsi="Times New Roman" w:cs="Times New Roman"/>
          <w:snapToGrid w:val="0"/>
          <w:kern w:val="0"/>
        </w:rPr>
        <w:t>（颗粒物）：</w:t>
      </w:r>
      <w:r w:rsidRPr="00F9522B">
        <w:rPr>
          <w:rFonts w:ascii="Times New Roman" w:hAnsi="Times New Roman" w:cs="Times New Roman"/>
          <w:snapToGrid w:val="0"/>
          <w:kern w:val="0"/>
        </w:rPr>
        <w:t>0.06g/kWh</w:t>
      </w:r>
      <w:r w:rsidRPr="00F9522B">
        <w:rPr>
          <w:rFonts w:ascii="Times New Roman" w:hAnsi="Times New Roman" w:cs="Times New Roman"/>
          <w:snapToGrid w:val="0"/>
          <w:kern w:val="0"/>
        </w:rPr>
        <w:t>，能够满足</w:t>
      </w:r>
      <w:r w:rsidRPr="00F9522B">
        <w:rPr>
          <w:rFonts w:ascii="Times New Roman" w:hAnsi="Times New Roman" w:cs="Times New Roman"/>
          <w:snapToGrid w:val="0"/>
          <w:kern w:val="0"/>
        </w:rPr>
        <w:t>GB20891-2014</w:t>
      </w:r>
      <w:r w:rsidRPr="00F9522B">
        <w:rPr>
          <w:rFonts w:ascii="Times New Roman" w:hAnsi="Times New Roman" w:cs="Times New Roman"/>
          <w:snapToGrid w:val="0"/>
          <w:kern w:val="0"/>
        </w:rPr>
        <w:t>《非道路移动机械用柴油机排气污染物排放限值及测量方法（中国三、四阶段）》中第四阶段（</w:t>
      </w:r>
      <w:r w:rsidRPr="00F9522B">
        <w:rPr>
          <w:rFonts w:ascii="Times New Roman" w:hAnsi="Times New Roman" w:cs="Times New Roman"/>
          <w:snapToGrid w:val="0"/>
          <w:kern w:val="0"/>
        </w:rPr>
        <w:t>130</w:t>
      </w:r>
      <w:r w:rsidRPr="00F9522B">
        <w:rPr>
          <w:rFonts w:ascii="Times New Roman" w:hAnsi="Times New Roman" w:cs="Times New Roman"/>
          <w:snapToGrid w:val="0"/>
          <w:kern w:val="0"/>
        </w:rPr>
        <w:t>＜额定功率＜</w:t>
      </w:r>
      <w:r w:rsidRPr="00F9522B">
        <w:rPr>
          <w:rFonts w:ascii="Times New Roman" w:hAnsi="Times New Roman" w:cs="Times New Roman"/>
          <w:snapToGrid w:val="0"/>
          <w:kern w:val="0"/>
        </w:rPr>
        <w:t>560kW</w:t>
      </w:r>
      <w:r w:rsidRPr="00F9522B">
        <w:rPr>
          <w:rFonts w:ascii="Times New Roman" w:hAnsi="Times New Roman" w:cs="Times New Roman"/>
          <w:snapToGrid w:val="0"/>
          <w:kern w:val="0"/>
        </w:rPr>
        <w:t>）中要求，</w:t>
      </w:r>
      <w:r w:rsidRPr="00F9522B">
        <w:rPr>
          <w:rFonts w:ascii="Times New Roman" w:hAnsi="Times New Roman" w:cs="Times New Roman"/>
        </w:rPr>
        <w:t>采用轻质柴油，减少柴油机移动泵车废气影响，同时鉴于项目的特殊性，泵车分布较分散，使用时间较短，位于田间，距离敏感点较远，田间空旷有利于柴油机移动泵车废气的稀释扩散，故柴油机移动泵车的废气影响是可接受的。</w:t>
      </w:r>
      <w:bookmarkEnd w:id="132"/>
    </w:p>
    <w:p w:rsidR="002A5A5E" w:rsidRPr="00F9522B" w:rsidRDefault="00611CBA">
      <w:pPr>
        <w:autoSpaceDE w:val="0"/>
        <w:autoSpaceDN w:val="0"/>
        <w:spacing w:before="100" w:beforeAutospacing="1" w:after="100" w:afterAutospacing="1"/>
        <w:jc w:val="left"/>
        <w:outlineLvl w:val="2"/>
        <w:rPr>
          <w:rFonts w:eastAsiaTheme="minorEastAsia"/>
          <w:b/>
          <w:sz w:val="28"/>
          <w:szCs w:val="28"/>
        </w:rPr>
      </w:pPr>
      <w:r w:rsidRPr="00F9522B">
        <w:rPr>
          <w:rFonts w:eastAsiaTheme="minorEastAsia"/>
          <w:b/>
          <w:sz w:val="28"/>
          <w:szCs w:val="28"/>
        </w:rPr>
        <w:t>5.2.2</w:t>
      </w:r>
      <w:r w:rsidRPr="00F9522B">
        <w:rPr>
          <w:rFonts w:eastAsiaTheme="minorEastAsia"/>
          <w:b/>
          <w:sz w:val="28"/>
          <w:szCs w:val="28"/>
        </w:rPr>
        <w:t>水环境影响预测分析</w:t>
      </w:r>
    </w:p>
    <w:p w:rsidR="002A5A5E" w:rsidRPr="00F9522B" w:rsidRDefault="00611CBA">
      <w:pPr>
        <w:autoSpaceDE w:val="0"/>
        <w:autoSpaceDN w:val="0"/>
        <w:spacing w:before="100" w:beforeAutospacing="1" w:after="100" w:afterAutospacing="1"/>
        <w:outlineLvl w:val="3"/>
        <w:rPr>
          <w:rFonts w:eastAsiaTheme="minorEastAsia"/>
          <w:b/>
          <w:bCs/>
          <w:sz w:val="24"/>
        </w:rPr>
      </w:pPr>
      <w:r w:rsidRPr="00F9522B">
        <w:rPr>
          <w:rFonts w:eastAsiaTheme="minorEastAsia"/>
          <w:b/>
          <w:bCs/>
          <w:sz w:val="24"/>
        </w:rPr>
        <w:t>5.2.2.1</w:t>
      </w:r>
      <w:r w:rsidRPr="00F9522B">
        <w:rPr>
          <w:rFonts w:eastAsiaTheme="minorEastAsia"/>
          <w:b/>
          <w:bCs/>
          <w:sz w:val="24"/>
        </w:rPr>
        <w:t>地表水环境影响分析</w:t>
      </w:r>
    </w:p>
    <w:p w:rsidR="002A5A5E" w:rsidRPr="00F9522B" w:rsidRDefault="003E5585">
      <w:pPr>
        <w:pStyle w:val="aff4"/>
        <w:adjustRightInd/>
        <w:snapToGrid/>
        <w:rPr>
          <w:rFonts w:ascii="Times New Roman" w:hAnsi="Times New Roman" w:cs="Times New Roman"/>
          <w:szCs w:val="22"/>
        </w:rPr>
      </w:pPr>
      <w:bookmarkStart w:id="133" w:name="_Hlk10651079"/>
      <w:r w:rsidRPr="00F9522B">
        <w:rPr>
          <w:rFonts w:ascii="Times New Roman" w:hAnsi="Times New Roman" w:cs="Times New Roman"/>
          <w:szCs w:val="22"/>
        </w:rPr>
        <w:t>（</w:t>
      </w:r>
      <w:r w:rsidRPr="00F9522B">
        <w:rPr>
          <w:rFonts w:ascii="Times New Roman" w:hAnsi="Times New Roman" w:cs="Times New Roman"/>
          <w:szCs w:val="22"/>
        </w:rPr>
        <w:t>1</w:t>
      </w:r>
      <w:r w:rsidRPr="00F9522B">
        <w:rPr>
          <w:rFonts w:ascii="Times New Roman" w:hAnsi="Times New Roman" w:cs="Times New Roman"/>
          <w:szCs w:val="22"/>
        </w:rPr>
        <w:t>）</w:t>
      </w:r>
      <w:r w:rsidR="00611CBA" w:rsidRPr="00F9522B">
        <w:rPr>
          <w:rFonts w:ascii="Times New Roman" w:hAnsi="Times New Roman" w:cs="Times New Roman"/>
          <w:szCs w:val="22"/>
        </w:rPr>
        <w:t>旱田</w:t>
      </w:r>
    </w:p>
    <w:p w:rsidR="002A5A5E" w:rsidRPr="00F9522B" w:rsidRDefault="00611CBA">
      <w:pPr>
        <w:pStyle w:val="aff4"/>
        <w:adjustRightInd/>
        <w:snapToGrid/>
        <w:rPr>
          <w:rFonts w:ascii="Times New Roman" w:hAnsi="Times New Roman" w:cs="Times New Roman"/>
        </w:rPr>
      </w:pPr>
      <w:r w:rsidRPr="00F9522B">
        <w:rPr>
          <w:rFonts w:ascii="Times New Roman" w:hAnsi="Times New Roman" w:cs="Times New Roman"/>
          <w:szCs w:val="22"/>
        </w:rPr>
        <w:t>根据</w:t>
      </w:r>
      <w:r w:rsidRPr="00F9522B">
        <w:rPr>
          <w:rFonts w:ascii="Times New Roman" w:hAnsi="Times New Roman" w:cs="Times New Roman"/>
        </w:rPr>
        <w:t>本工程已批复水资源论证报告书</w:t>
      </w:r>
      <w:r w:rsidRPr="00F9522B">
        <w:rPr>
          <w:rFonts w:ascii="Times New Roman" w:hAnsi="Times New Roman" w:cs="Times New Roman"/>
          <w:kern w:val="0"/>
          <w:szCs w:val="22"/>
        </w:rPr>
        <w:t>可知</w:t>
      </w:r>
      <w:r w:rsidRPr="00F9522B">
        <w:rPr>
          <w:rFonts w:ascii="Times New Roman" w:hAnsi="Times New Roman" w:cs="Times New Roman"/>
          <w:szCs w:val="20"/>
        </w:rPr>
        <w:t>，</w:t>
      </w:r>
      <w:r w:rsidRPr="00F9522B">
        <w:rPr>
          <w:rFonts w:ascii="Times New Roman" w:hAnsi="Times New Roman" w:cs="Times New Roman"/>
          <w:szCs w:val="22"/>
        </w:rPr>
        <w:t>新增水井区域均为旱田，无水田，属于高标准农田建设项目，灌溉后地下水经作物吸收等充分利用，用水效率较高，基本不产生退水</w:t>
      </w:r>
      <w:r w:rsidRPr="00F9522B">
        <w:rPr>
          <w:rFonts w:ascii="Times New Roman" w:hAnsi="Times New Roman" w:cs="Times New Roman"/>
        </w:rPr>
        <w:t>。</w:t>
      </w:r>
      <w:r w:rsidRPr="00F9522B">
        <w:rPr>
          <w:rFonts w:ascii="Times New Roman" w:hAnsi="Times New Roman" w:cs="Times New Roman"/>
          <w:kern w:val="0"/>
        </w:rPr>
        <w:t>项目施行</w:t>
      </w:r>
      <w:r w:rsidRPr="00F9522B">
        <w:rPr>
          <w:rFonts w:ascii="Times New Roman" w:hAnsi="Times New Roman" w:cs="Times New Roman"/>
          <w:kern w:val="0"/>
        </w:rPr>
        <w:t>“</w:t>
      </w:r>
      <w:r w:rsidRPr="00F9522B">
        <w:rPr>
          <w:rFonts w:ascii="Times New Roman" w:hAnsi="Times New Roman" w:cs="Times New Roman"/>
          <w:kern w:val="0"/>
        </w:rPr>
        <w:t>三减</w:t>
      </w:r>
      <w:r w:rsidRPr="00F9522B">
        <w:rPr>
          <w:rFonts w:ascii="Times New Roman" w:hAnsi="Times New Roman" w:cs="Times New Roman"/>
          <w:kern w:val="0"/>
        </w:rPr>
        <w:t>”</w:t>
      </w:r>
      <w:r w:rsidRPr="00F9522B">
        <w:rPr>
          <w:rFonts w:ascii="Times New Roman" w:hAnsi="Times New Roman" w:cs="Times New Roman"/>
          <w:kern w:val="0"/>
        </w:rPr>
        <w:t>行动，即减化肥、减农药、减除草剂，积极推广科学施肥，使化肥、农药实现减量化施用，提出测土配方施肥、水肥一体化、控制农药与化肥施用种类及数量措施。</w:t>
      </w:r>
    </w:p>
    <w:p w:rsidR="002A5A5E" w:rsidRPr="00F9522B" w:rsidRDefault="003E5585">
      <w:pPr>
        <w:pStyle w:val="aff4"/>
        <w:adjustRightInd/>
        <w:snapToGrid/>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2</w:t>
      </w:r>
      <w:r w:rsidRPr="00F9522B">
        <w:rPr>
          <w:rFonts w:ascii="Times New Roman" w:hAnsi="Times New Roman" w:cs="Times New Roman"/>
        </w:rPr>
        <w:t>）</w:t>
      </w:r>
      <w:r w:rsidR="00611CBA" w:rsidRPr="00F9522B">
        <w:rPr>
          <w:rFonts w:ascii="Times New Roman" w:hAnsi="Times New Roman" w:cs="Times New Roman"/>
        </w:rPr>
        <w:t>水田</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1</w:t>
      </w:r>
      <w:r w:rsidRPr="00F9522B">
        <w:rPr>
          <w:rFonts w:eastAsiaTheme="minorEastAsia"/>
          <w:kern w:val="0"/>
          <w:sz w:val="24"/>
        </w:rPr>
        <w:t>）</w:t>
      </w:r>
      <w:r w:rsidR="00861722" w:rsidRPr="00F9522B">
        <w:rPr>
          <w:rFonts w:eastAsiaTheme="minorEastAsia"/>
          <w:bCs/>
          <w:sz w:val="24"/>
          <w:szCs w:val="20"/>
        </w:rPr>
        <w:t>松花江</w:t>
      </w:r>
      <w:r w:rsidRPr="00F9522B">
        <w:rPr>
          <w:rFonts w:eastAsiaTheme="minorEastAsia"/>
          <w:bCs/>
          <w:sz w:val="24"/>
          <w:szCs w:val="20"/>
        </w:rPr>
        <w:t>、</w:t>
      </w:r>
      <w:r w:rsidR="00F25A84" w:rsidRPr="00F9522B">
        <w:rPr>
          <w:rFonts w:eastAsiaTheme="minorEastAsia"/>
          <w:bCs/>
          <w:sz w:val="24"/>
          <w:szCs w:val="20"/>
        </w:rPr>
        <w:t>漂河</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项目区现有水田退水系统及组成：</w:t>
      </w:r>
      <w:r w:rsidR="00142C81" w:rsidRPr="00F9522B">
        <w:rPr>
          <w:rFonts w:eastAsiaTheme="minorEastAsia"/>
          <w:sz w:val="24"/>
        </w:rPr>
        <w:t>项目区排水工程已基本形成规模，项目区西部排水通过原有沟汇入公家沟，最终汇入松花江，承泄区为松花江。项目区东部排水汇入原有沟，最终承泄区为漂河。片区内排水承泄区为松花江及漂河</w:t>
      </w:r>
      <w:r w:rsidRPr="00F9522B">
        <w:rPr>
          <w:rFonts w:eastAsiaTheme="minorEastAsia"/>
          <w:kern w:val="0"/>
          <w:sz w:val="24"/>
        </w:rPr>
        <w:t>。</w:t>
      </w:r>
      <w:r w:rsidRPr="00F9522B">
        <w:rPr>
          <w:rFonts w:eastAsiaTheme="minorEastAsia"/>
          <w:sz w:val="24"/>
        </w:rPr>
        <w:t>本</w:t>
      </w:r>
      <w:r w:rsidRPr="00F9522B">
        <w:rPr>
          <w:rFonts w:eastAsiaTheme="minorEastAsia"/>
          <w:sz w:val="24"/>
        </w:rPr>
        <w:lastRenderedPageBreak/>
        <w:t>项目退水路线及水系图见附图</w:t>
      </w:r>
      <w:r w:rsidRPr="00F9522B">
        <w:rPr>
          <w:rFonts w:eastAsiaTheme="minorEastAsia"/>
          <w:sz w:val="24"/>
        </w:rPr>
        <w:t>9</w:t>
      </w:r>
      <w:r w:rsidRPr="00F9522B">
        <w:rPr>
          <w:rFonts w:eastAsiaTheme="minorEastAsia"/>
          <w:sz w:val="24"/>
        </w:rPr>
        <w:t>。退水口位置见</w:t>
      </w:r>
      <w:r w:rsidR="00967D9B" w:rsidRPr="00F9522B">
        <w:rPr>
          <w:rFonts w:eastAsiaTheme="minorEastAsia"/>
          <w:sz w:val="24"/>
        </w:rPr>
        <w:t>图</w:t>
      </w:r>
      <w:r w:rsidRPr="00F9522B">
        <w:rPr>
          <w:rFonts w:eastAsiaTheme="minorEastAsia"/>
          <w:sz w:val="24"/>
        </w:rPr>
        <w:t>4-3-1</w:t>
      </w:r>
      <w:r w:rsidRPr="00F9522B">
        <w:rPr>
          <w:rFonts w:eastAsiaTheme="minorEastAsia"/>
          <w:sz w:val="24"/>
        </w:rPr>
        <w:t>。</w:t>
      </w:r>
    </w:p>
    <w:p w:rsidR="002A5A5E" w:rsidRPr="00F9522B" w:rsidRDefault="00611CBA">
      <w:pPr>
        <w:spacing w:line="360" w:lineRule="auto"/>
        <w:ind w:firstLineChars="200" w:firstLine="480"/>
        <w:jc w:val="left"/>
        <w:rPr>
          <w:rFonts w:eastAsiaTheme="minorEastAsia"/>
          <w:sz w:val="24"/>
        </w:rPr>
      </w:pPr>
      <w:r w:rsidRPr="00F9522B">
        <w:rPr>
          <w:rFonts w:eastAsiaTheme="minorEastAsia"/>
          <w:color w:val="FF0000"/>
          <w:sz w:val="24"/>
        </w:rPr>
        <w:t>现有水田退水排放规律：灌区泡田期</w:t>
      </w:r>
      <w:r w:rsidRPr="00F9522B">
        <w:rPr>
          <w:rFonts w:eastAsiaTheme="minorEastAsia"/>
          <w:color w:val="FF0000"/>
          <w:sz w:val="24"/>
        </w:rPr>
        <w:t>(5</w:t>
      </w:r>
      <w:r w:rsidRPr="00F9522B">
        <w:rPr>
          <w:rFonts w:eastAsiaTheme="minorEastAsia"/>
          <w:color w:val="FF0000"/>
          <w:sz w:val="24"/>
        </w:rPr>
        <w:t>月中旬</w:t>
      </w:r>
      <w:r w:rsidRPr="00F9522B">
        <w:rPr>
          <w:rFonts w:eastAsiaTheme="minorEastAsia"/>
          <w:color w:val="FF0000"/>
          <w:sz w:val="24"/>
        </w:rPr>
        <w:t>)</w:t>
      </w:r>
      <w:r w:rsidRPr="00F9522B">
        <w:rPr>
          <w:rFonts w:eastAsiaTheme="minorEastAsia"/>
          <w:color w:val="FF0000"/>
          <w:sz w:val="24"/>
        </w:rPr>
        <w:t>后插秧前退水量占水田退水量的</w:t>
      </w:r>
      <w:r w:rsidRPr="00F9522B">
        <w:rPr>
          <w:rFonts w:eastAsiaTheme="minorEastAsia"/>
          <w:color w:val="FF0000"/>
          <w:sz w:val="24"/>
        </w:rPr>
        <w:t>55%</w:t>
      </w:r>
      <w:r w:rsidRPr="00F9522B">
        <w:rPr>
          <w:rFonts w:eastAsiaTheme="minorEastAsia"/>
          <w:color w:val="FF0000"/>
          <w:sz w:val="24"/>
        </w:rPr>
        <w:t>。由于泡田期水田不施用农药化肥，所以农田退水污染主要考虑有效分蘖临界期</w:t>
      </w:r>
      <w:r w:rsidRPr="00F9522B">
        <w:rPr>
          <w:rFonts w:eastAsiaTheme="minorEastAsia"/>
          <w:color w:val="FF0000"/>
          <w:sz w:val="24"/>
        </w:rPr>
        <w:t>(</w:t>
      </w:r>
      <w:r w:rsidR="00B774C1" w:rsidRPr="00F9522B">
        <w:rPr>
          <w:rFonts w:eastAsiaTheme="minorEastAsia"/>
          <w:color w:val="FF0000"/>
          <w:sz w:val="24"/>
        </w:rPr>
        <w:t>6</w:t>
      </w:r>
      <w:r w:rsidRPr="00F9522B">
        <w:rPr>
          <w:rFonts w:eastAsiaTheme="minorEastAsia"/>
          <w:color w:val="FF0000"/>
          <w:sz w:val="24"/>
        </w:rPr>
        <w:t>月末</w:t>
      </w:r>
      <w:r w:rsidRPr="00F9522B">
        <w:rPr>
          <w:rFonts w:eastAsiaTheme="minorEastAsia"/>
          <w:color w:val="FF0000"/>
          <w:sz w:val="24"/>
        </w:rPr>
        <w:t>)</w:t>
      </w:r>
      <w:r w:rsidRPr="00F9522B">
        <w:rPr>
          <w:rFonts w:eastAsiaTheme="minorEastAsia"/>
          <w:color w:val="FF0000"/>
          <w:sz w:val="24"/>
        </w:rPr>
        <w:t>，此阶段退水量占水田总退水量的</w:t>
      </w:r>
      <w:r w:rsidRPr="00F9522B">
        <w:rPr>
          <w:rFonts w:eastAsiaTheme="minorEastAsia"/>
          <w:color w:val="FF0000"/>
          <w:sz w:val="24"/>
        </w:rPr>
        <w:t>25%</w:t>
      </w:r>
      <w:r w:rsidRPr="00F9522B">
        <w:rPr>
          <w:rFonts w:eastAsiaTheme="minorEastAsia"/>
          <w:color w:val="FF0000"/>
          <w:sz w:val="24"/>
        </w:rPr>
        <w:t>，拔节孕穗期</w:t>
      </w:r>
      <w:r w:rsidRPr="00F9522B">
        <w:rPr>
          <w:rFonts w:eastAsiaTheme="minorEastAsia"/>
          <w:color w:val="FF0000"/>
          <w:sz w:val="24"/>
        </w:rPr>
        <w:t>(7</w:t>
      </w:r>
      <w:r w:rsidRPr="00F9522B">
        <w:rPr>
          <w:rFonts w:eastAsiaTheme="minorEastAsia"/>
          <w:color w:val="FF0000"/>
          <w:sz w:val="24"/>
        </w:rPr>
        <w:t>月下旬</w:t>
      </w:r>
      <w:r w:rsidRPr="00F9522B">
        <w:rPr>
          <w:rFonts w:eastAsiaTheme="minorEastAsia"/>
          <w:color w:val="FF0000"/>
          <w:sz w:val="24"/>
        </w:rPr>
        <w:t>)</w:t>
      </w:r>
      <w:r w:rsidRPr="00F9522B">
        <w:rPr>
          <w:rFonts w:eastAsiaTheme="minorEastAsia"/>
          <w:color w:val="FF0000"/>
          <w:sz w:val="24"/>
        </w:rPr>
        <w:t>，此阶段退水量占水田总退水量的</w:t>
      </w:r>
      <w:r w:rsidRPr="00F9522B">
        <w:rPr>
          <w:rFonts w:eastAsiaTheme="minorEastAsia"/>
          <w:color w:val="FF0000"/>
          <w:sz w:val="24"/>
        </w:rPr>
        <w:t>5%</w:t>
      </w:r>
      <w:r w:rsidRPr="00F9522B">
        <w:rPr>
          <w:rFonts w:eastAsiaTheme="minorEastAsia"/>
          <w:color w:val="FF0000"/>
          <w:sz w:val="24"/>
        </w:rPr>
        <w:t>，黄熟期</w:t>
      </w:r>
      <w:r w:rsidRPr="00F9522B">
        <w:rPr>
          <w:rFonts w:eastAsiaTheme="minorEastAsia"/>
          <w:color w:val="FF0000"/>
          <w:sz w:val="24"/>
        </w:rPr>
        <w:t>(9</w:t>
      </w:r>
      <w:r w:rsidRPr="00F9522B">
        <w:rPr>
          <w:rFonts w:eastAsiaTheme="minorEastAsia"/>
          <w:color w:val="FF0000"/>
          <w:sz w:val="24"/>
        </w:rPr>
        <w:t>月后</w:t>
      </w:r>
      <w:r w:rsidRPr="00F9522B">
        <w:rPr>
          <w:rFonts w:eastAsiaTheme="minorEastAsia"/>
          <w:color w:val="FF0000"/>
          <w:sz w:val="24"/>
        </w:rPr>
        <w:t>)</w:t>
      </w:r>
      <w:r w:rsidRPr="00F9522B">
        <w:rPr>
          <w:rFonts w:eastAsiaTheme="minorEastAsia"/>
          <w:color w:val="FF0000"/>
          <w:sz w:val="24"/>
        </w:rPr>
        <w:t>，此阶段退水量占水田总退水量的</w:t>
      </w:r>
      <w:r w:rsidRPr="00F9522B">
        <w:rPr>
          <w:rFonts w:eastAsiaTheme="minorEastAsia"/>
          <w:color w:val="FF0000"/>
          <w:sz w:val="24"/>
        </w:rPr>
        <w:t>15%</w:t>
      </w:r>
      <w:r w:rsidRPr="00F9522B">
        <w:rPr>
          <w:rFonts w:eastAsiaTheme="minorEastAsia"/>
          <w:color w:val="FF0000"/>
          <w:sz w:val="24"/>
        </w:rPr>
        <w:t>。每次退水持续时间约为</w:t>
      </w:r>
      <w:r w:rsidRPr="00F9522B">
        <w:rPr>
          <w:rFonts w:eastAsiaTheme="minorEastAsia"/>
          <w:color w:val="FF0000"/>
          <w:sz w:val="24"/>
        </w:rPr>
        <w:t>20</w:t>
      </w:r>
      <w:r w:rsidRPr="00F9522B">
        <w:rPr>
          <w:rFonts w:eastAsiaTheme="minorEastAsia"/>
          <w:color w:val="FF0000"/>
          <w:sz w:val="24"/>
        </w:rPr>
        <w:t>天</w:t>
      </w:r>
      <w:r w:rsidR="00CA6EC1" w:rsidRPr="00F9522B">
        <w:rPr>
          <w:rFonts w:eastAsiaTheme="minorEastAsia"/>
          <w:color w:val="FF0000"/>
          <w:sz w:val="24"/>
        </w:rPr>
        <w:t>。</w:t>
      </w:r>
      <w:r w:rsidRPr="00F9522B">
        <w:rPr>
          <w:rFonts w:eastAsiaTheme="minorEastAsia"/>
          <w:sz w:val="24"/>
        </w:rPr>
        <w:t>占比见下图：</w:t>
      </w:r>
    </w:p>
    <w:p w:rsidR="002A5A5E" w:rsidRPr="00F9522B" w:rsidRDefault="00611CBA" w:rsidP="00861722">
      <w:pPr>
        <w:jc w:val="center"/>
        <w:rPr>
          <w:rFonts w:eastAsiaTheme="minorEastAsia"/>
          <w:sz w:val="24"/>
        </w:rPr>
      </w:pPr>
      <w:r w:rsidRPr="00F9522B">
        <w:rPr>
          <w:rFonts w:eastAsiaTheme="minorEastAsia"/>
          <w:noProof/>
          <w:sz w:val="24"/>
        </w:rPr>
        <w:drawing>
          <wp:inline distT="0" distB="0" distL="114300" distR="114300">
            <wp:extent cx="4839970" cy="2755265"/>
            <wp:effectExtent l="19050" t="19050" r="17780" b="26035"/>
            <wp:docPr id="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1"/>
                    <pic:cNvPicPr>
                      <a:picLocks noChangeAspect="1"/>
                    </pic:cNvPicPr>
                  </pic:nvPicPr>
                  <pic:blipFill>
                    <a:blip r:embed="rId96"/>
                    <a:stretch>
                      <a:fillRect/>
                    </a:stretch>
                  </pic:blipFill>
                  <pic:spPr>
                    <a:xfrm>
                      <a:off x="0" y="0"/>
                      <a:ext cx="4839970" cy="2755265"/>
                    </a:xfrm>
                    <a:prstGeom prst="rect">
                      <a:avLst/>
                    </a:prstGeom>
                    <a:noFill/>
                    <a:ln>
                      <a:solidFill>
                        <a:schemeClr val="tx1"/>
                      </a:solidFill>
                    </a:ln>
                  </pic:spPr>
                </pic:pic>
              </a:graphicData>
            </a:graphic>
          </wp:inline>
        </w:drawing>
      </w:r>
    </w:p>
    <w:p w:rsidR="002A5A5E" w:rsidRPr="00F9522B" w:rsidRDefault="00611CBA" w:rsidP="00861722">
      <w:pPr>
        <w:jc w:val="center"/>
        <w:rPr>
          <w:rFonts w:eastAsiaTheme="minorEastAsia"/>
          <w:sz w:val="24"/>
        </w:rPr>
      </w:pPr>
      <w:r w:rsidRPr="00F9522B">
        <w:rPr>
          <w:rFonts w:eastAsiaTheme="minorEastAsia"/>
          <w:b/>
          <w:szCs w:val="21"/>
        </w:rPr>
        <w:t>图</w:t>
      </w:r>
      <w:r w:rsidRPr="00F9522B">
        <w:rPr>
          <w:rFonts w:eastAsiaTheme="minorEastAsia"/>
          <w:b/>
          <w:szCs w:val="21"/>
        </w:rPr>
        <w:t xml:space="preserve">5-2-1 </w:t>
      </w:r>
      <w:r w:rsidRPr="00F9522B">
        <w:rPr>
          <w:rFonts w:eastAsiaTheme="minorEastAsia"/>
          <w:b/>
          <w:szCs w:val="21"/>
        </w:rPr>
        <w:t>不同时期退水比例占比图</w:t>
      </w:r>
    </w:p>
    <w:bookmarkEnd w:id="133"/>
    <w:p w:rsidR="002A5A5E" w:rsidRPr="00F9522B" w:rsidRDefault="00611CBA">
      <w:pPr>
        <w:pStyle w:val="aff4"/>
        <w:adjustRightInd/>
        <w:snapToGrid/>
        <w:rPr>
          <w:rFonts w:ascii="Times New Roman" w:hAnsi="Times New Roman" w:cs="Times New Roman"/>
        </w:rPr>
      </w:pPr>
      <w:r w:rsidRPr="00F9522B">
        <w:rPr>
          <w:rFonts w:ascii="Times New Roman" w:hAnsi="Times New Roman" w:cs="Times New Roman"/>
          <w:smallCaps/>
          <w:szCs w:val="22"/>
          <w:shd w:val="clear" w:color="auto" w:fill="FFFFFF"/>
        </w:rPr>
        <w:t>本项目现有水田退水总量及主要污染物：</w:t>
      </w:r>
      <w:r w:rsidRPr="00F9522B">
        <w:rPr>
          <w:rFonts w:ascii="Times New Roman" w:hAnsi="Times New Roman" w:cs="Times New Roman"/>
        </w:rPr>
        <w:t>项目现状水田地下水灌溉面积</w:t>
      </w:r>
      <w:r w:rsidR="002C1EE3" w:rsidRPr="00F9522B">
        <w:rPr>
          <w:rFonts w:ascii="Times New Roman" w:hAnsi="Times New Roman" w:cs="Times New Roman"/>
        </w:rPr>
        <w:t>0.</w:t>
      </w:r>
      <w:r w:rsidR="00245CBB" w:rsidRPr="00F9522B">
        <w:rPr>
          <w:rFonts w:ascii="Times New Roman" w:hAnsi="Times New Roman" w:cs="Times New Roman"/>
        </w:rPr>
        <w:t>47</w:t>
      </w:r>
      <w:r w:rsidRPr="00F9522B">
        <w:rPr>
          <w:rFonts w:ascii="Times New Roman" w:hAnsi="Times New Roman" w:cs="Times New Roman"/>
        </w:rPr>
        <w:t>万亩，其中</w:t>
      </w:r>
      <w:r w:rsidR="00A45972" w:rsidRPr="00F9522B">
        <w:rPr>
          <w:rFonts w:ascii="Times New Roman" w:hAnsi="Times New Roman" w:cs="Times New Roman"/>
        </w:rPr>
        <w:t>康金、石人、方台</w:t>
      </w:r>
      <w:r w:rsidRPr="00F9522B">
        <w:rPr>
          <w:rFonts w:ascii="Times New Roman" w:hAnsi="Times New Roman" w:cs="Times New Roman"/>
        </w:rPr>
        <w:t>片区</w:t>
      </w:r>
      <w:r w:rsidR="00245CBB" w:rsidRPr="00F9522B">
        <w:rPr>
          <w:rFonts w:ascii="Times New Roman" w:hAnsi="Times New Roman" w:cs="Times New Roman"/>
        </w:rPr>
        <w:t>0.325</w:t>
      </w:r>
      <w:r w:rsidRPr="00F9522B">
        <w:rPr>
          <w:rFonts w:ascii="Times New Roman" w:hAnsi="Times New Roman" w:cs="Times New Roman"/>
        </w:rPr>
        <w:t>万亩（</w:t>
      </w:r>
      <w:r w:rsidR="00A45972" w:rsidRPr="00F9522B">
        <w:rPr>
          <w:rFonts w:ascii="Times New Roman" w:hAnsi="Times New Roman" w:cs="Times New Roman"/>
        </w:rPr>
        <w:t>松花江</w:t>
      </w:r>
      <w:r w:rsidRPr="00F9522B">
        <w:rPr>
          <w:rFonts w:ascii="Times New Roman" w:hAnsi="Times New Roman" w:cs="Times New Roman"/>
        </w:rPr>
        <w:t>退水口），</w:t>
      </w:r>
      <w:r w:rsidR="00A45972" w:rsidRPr="00F9522B">
        <w:rPr>
          <w:rFonts w:ascii="Times New Roman" w:hAnsi="Times New Roman" w:cs="Times New Roman"/>
        </w:rPr>
        <w:t>二八、</w:t>
      </w:r>
      <w:r w:rsidRPr="00F9522B">
        <w:rPr>
          <w:rFonts w:ascii="Times New Roman" w:hAnsi="Times New Roman" w:cs="Times New Roman"/>
        </w:rPr>
        <w:t>康金、石人片区</w:t>
      </w:r>
      <w:r w:rsidR="00245CBB" w:rsidRPr="00F9522B">
        <w:rPr>
          <w:rFonts w:ascii="Times New Roman" w:hAnsi="Times New Roman" w:cs="Times New Roman"/>
        </w:rPr>
        <w:t>0.145</w:t>
      </w:r>
      <w:r w:rsidRPr="00F9522B">
        <w:rPr>
          <w:rFonts w:ascii="Times New Roman" w:hAnsi="Times New Roman" w:cs="Times New Roman"/>
        </w:rPr>
        <w:t>万亩（漂河退水口）。现状年灌溉水利用系数</w:t>
      </w:r>
      <w:r w:rsidRPr="00F9522B">
        <w:rPr>
          <w:rFonts w:ascii="Times New Roman" w:hAnsi="Times New Roman" w:cs="Times New Roman"/>
        </w:rPr>
        <w:t>0.67</w:t>
      </w:r>
      <w:r w:rsidRPr="00F9522B">
        <w:rPr>
          <w:rFonts w:ascii="Times New Roman" w:hAnsi="Times New Roman" w:cs="Times New Roman"/>
        </w:rPr>
        <w:t>，水田灌溉用水定额为</w:t>
      </w:r>
      <w:r w:rsidRPr="00F9522B">
        <w:rPr>
          <w:rFonts w:ascii="Times New Roman" w:hAnsi="Times New Roman" w:cs="Times New Roman"/>
        </w:rPr>
        <w:t>576.1m</w:t>
      </w:r>
      <w:r w:rsidRPr="00F9522B">
        <w:rPr>
          <w:rFonts w:ascii="Times New Roman" w:hAnsi="Times New Roman" w:cs="Times New Roman"/>
          <w:vertAlign w:val="superscript"/>
        </w:rPr>
        <w:t>3</w:t>
      </w:r>
      <w:r w:rsidRPr="00F9522B">
        <w:rPr>
          <w:rFonts w:ascii="Times New Roman" w:hAnsi="Times New Roman" w:cs="Times New Roman"/>
        </w:rPr>
        <w:t>/</w:t>
      </w:r>
      <w:r w:rsidRPr="00F9522B">
        <w:rPr>
          <w:rFonts w:ascii="Times New Roman" w:hAnsi="Times New Roman" w:cs="Times New Roman"/>
        </w:rPr>
        <w:t>亩，现状引水总量</w:t>
      </w:r>
      <w:r w:rsidR="00245CBB" w:rsidRPr="00F9522B">
        <w:rPr>
          <w:rFonts w:ascii="Times New Roman" w:hAnsi="Times New Roman" w:cs="Times New Roman"/>
        </w:rPr>
        <w:t>271</w:t>
      </w:r>
      <w:r w:rsidRPr="00F9522B">
        <w:rPr>
          <w:rFonts w:ascii="Times New Roman" w:hAnsi="Times New Roman" w:cs="Times New Roman"/>
        </w:rPr>
        <w:t>万</w:t>
      </w:r>
      <w:r w:rsidRPr="00F9522B">
        <w:rPr>
          <w:rFonts w:ascii="Times New Roman" w:hAnsi="Times New Roman" w:cs="Times New Roman"/>
        </w:rPr>
        <w:t>m</w:t>
      </w:r>
      <w:r w:rsidRPr="00F9522B">
        <w:rPr>
          <w:rFonts w:ascii="Times New Roman" w:hAnsi="Times New Roman" w:cs="Times New Roman"/>
          <w:vertAlign w:val="superscript"/>
        </w:rPr>
        <w:t>3</w:t>
      </w:r>
      <w:r w:rsidRPr="00F9522B">
        <w:rPr>
          <w:rFonts w:ascii="Times New Roman" w:hAnsi="Times New Roman" w:cs="Times New Roman"/>
        </w:rPr>
        <w:t>，现状退水系数按</w:t>
      </w:r>
      <w:r w:rsidRPr="00F9522B">
        <w:rPr>
          <w:rFonts w:ascii="Times New Roman" w:hAnsi="Times New Roman" w:cs="Times New Roman"/>
        </w:rPr>
        <w:t>0.2</w:t>
      </w:r>
      <w:r w:rsidRPr="00F9522B">
        <w:rPr>
          <w:rFonts w:ascii="Times New Roman" w:hAnsi="Times New Roman" w:cs="Times New Roman"/>
        </w:rPr>
        <w:t>计，则现状年灌区退水总量</w:t>
      </w:r>
      <w:r w:rsidR="00245CBB" w:rsidRPr="00F9522B">
        <w:rPr>
          <w:rFonts w:ascii="Times New Roman" w:hAnsi="Times New Roman" w:cs="Times New Roman"/>
        </w:rPr>
        <w:t>54</w:t>
      </w:r>
      <w:r w:rsidRPr="00F9522B">
        <w:rPr>
          <w:rFonts w:ascii="Times New Roman" w:hAnsi="Times New Roman" w:cs="Times New Roman"/>
        </w:rPr>
        <w:t>万</w:t>
      </w:r>
      <w:r w:rsidRPr="00F9522B">
        <w:rPr>
          <w:rFonts w:ascii="Times New Roman" w:hAnsi="Times New Roman" w:cs="Times New Roman"/>
        </w:rPr>
        <w:t>m</w:t>
      </w:r>
      <w:r w:rsidRPr="00F9522B">
        <w:rPr>
          <w:rFonts w:ascii="Times New Roman" w:hAnsi="Times New Roman" w:cs="Times New Roman"/>
          <w:vertAlign w:val="superscript"/>
        </w:rPr>
        <w:t>3</w:t>
      </w:r>
      <w:r w:rsidRPr="00F9522B">
        <w:rPr>
          <w:rFonts w:ascii="Times New Roman" w:hAnsi="Times New Roman" w:cs="Times New Roman"/>
        </w:rPr>
        <w:t>。</w:t>
      </w:r>
    </w:p>
    <w:p w:rsidR="002A5A5E" w:rsidRPr="00F9522B" w:rsidRDefault="00611CBA">
      <w:pPr>
        <w:pStyle w:val="aff4"/>
        <w:adjustRightInd/>
        <w:snapToGrid/>
        <w:rPr>
          <w:rFonts w:ascii="Times New Roman" w:hAnsi="Times New Roman" w:cs="Times New Roman"/>
        </w:rPr>
      </w:pPr>
      <w:r w:rsidRPr="00F9522B">
        <w:rPr>
          <w:rFonts w:ascii="Times New Roman" w:hAnsi="Times New Roman" w:cs="Times New Roman"/>
        </w:rPr>
        <w:t>本项目建设后通过格田改造、土地平整等工程，可以减少池埂占地面积，提高农田保水能力，并且由于渠系配套完善，减少引水的跑冒滴漏，水利用系数提升至</w:t>
      </w:r>
      <w:r w:rsidRPr="00F9522B">
        <w:rPr>
          <w:rFonts w:ascii="Times New Roman" w:hAnsi="Times New Roman" w:cs="Times New Roman"/>
        </w:rPr>
        <w:t>0.69</w:t>
      </w:r>
      <w:r w:rsidRPr="00F9522B">
        <w:rPr>
          <w:rFonts w:ascii="Times New Roman" w:hAnsi="Times New Roman" w:cs="Times New Roman"/>
        </w:rPr>
        <w:t>，水田灌溉用水定额为</w:t>
      </w:r>
      <w:r w:rsidRPr="00F9522B">
        <w:rPr>
          <w:rFonts w:ascii="Times New Roman" w:hAnsi="Times New Roman" w:cs="Times New Roman"/>
        </w:rPr>
        <w:t>559.42m</w:t>
      </w:r>
      <w:r w:rsidRPr="00F9522B">
        <w:rPr>
          <w:rFonts w:ascii="Times New Roman" w:hAnsi="Times New Roman" w:cs="Times New Roman"/>
          <w:vertAlign w:val="superscript"/>
        </w:rPr>
        <w:t>3</w:t>
      </w:r>
      <w:r w:rsidRPr="00F9522B">
        <w:rPr>
          <w:rFonts w:ascii="Times New Roman" w:hAnsi="Times New Roman" w:cs="Times New Roman"/>
        </w:rPr>
        <w:t>/</w:t>
      </w:r>
      <w:r w:rsidRPr="00F9522B">
        <w:rPr>
          <w:rFonts w:ascii="Times New Roman" w:hAnsi="Times New Roman" w:cs="Times New Roman"/>
        </w:rPr>
        <w:t>亩，引水总量</w:t>
      </w:r>
      <w:r w:rsidR="00245CBB" w:rsidRPr="00F9522B">
        <w:rPr>
          <w:rFonts w:ascii="Times New Roman" w:hAnsi="Times New Roman" w:cs="Times New Roman"/>
        </w:rPr>
        <w:t>263</w:t>
      </w:r>
      <w:r w:rsidRPr="00F9522B">
        <w:rPr>
          <w:rFonts w:ascii="Times New Roman" w:hAnsi="Times New Roman" w:cs="Times New Roman"/>
        </w:rPr>
        <w:t>万</w:t>
      </w:r>
      <w:r w:rsidRPr="00F9522B">
        <w:rPr>
          <w:rFonts w:ascii="Times New Roman" w:hAnsi="Times New Roman" w:cs="Times New Roman"/>
        </w:rPr>
        <w:t>m</w:t>
      </w:r>
      <w:r w:rsidRPr="00F9522B">
        <w:rPr>
          <w:rFonts w:ascii="Times New Roman" w:hAnsi="Times New Roman" w:cs="Times New Roman"/>
          <w:vertAlign w:val="superscript"/>
        </w:rPr>
        <w:t>3</w:t>
      </w:r>
      <w:r w:rsidRPr="00F9522B">
        <w:rPr>
          <w:rFonts w:ascii="Times New Roman" w:hAnsi="Times New Roman" w:cs="Times New Roman"/>
        </w:rPr>
        <w:t>，退水系数降至</w:t>
      </w:r>
      <w:r w:rsidRPr="00F9522B">
        <w:rPr>
          <w:rFonts w:ascii="Times New Roman" w:hAnsi="Times New Roman" w:cs="Times New Roman"/>
        </w:rPr>
        <w:t>0.15</w:t>
      </w:r>
      <w:r w:rsidRPr="00F9522B">
        <w:rPr>
          <w:rFonts w:ascii="Times New Roman" w:hAnsi="Times New Roman" w:cs="Times New Roman"/>
        </w:rPr>
        <w:t>，则项目建成后年灌区退水总量为</w:t>
      </w:r>
      <w:r w:rsidR="00245CBB" w:rsidRPr="00F9522B">
        <w:rPr>
          <w:rFonts w:ascii="Times New Roman" w:hAnsi="Times New Roman" w:cs="Times New Roman"/>
        </w:rPr>
        <w:t>39</w:t>
      </w:r>
      <w:r w:rsidRPr="00F9522B">
        <w:rPr>
          <w:rFonts w:ascii="Times New Roman" w:hAnsi="Times New Roman" w:cs="Times New Roman"/>
        </w:rPr>
        <w:t>万</w:t>
      </w:r>
      <w:r w:rsidRPr="00F9522B">
        <w:rPr>
          <w:rFonts w:ascii="Times New Roman" w:hAnsi="Times New Roman" w:cs="Times New Roman"/>
        </w:rPr>
        <w:t>m</w:t>
      </w:r>
      <w:r w:rsidRPr="00F9522B">
        <w:rPr>
          <w:rFonts w:ascii="Times New Roman" w:hAnsi="Times New Roman" w:cs="Times New Roman"/>
          <w:vertAlign w:val="superscript"/>
        </w:rPr>
        <w:t>3</w:t>
      </w:r>
      <w:r w:rsidRPr="00F9522B">
        <w:rPr>
          <w:rFonts w:ascii="Times New Roman" w:hAnsi="Times New Roman" w:cs="Times New Roman"/>
        </w:rPr>
        <w:t>。项目建成后灌区年退水量与现状相比</w:t>
      </w:r>
      <w:r w:rsidR="004A0FF6" w:rsidRPr="00F9522B">
        <w:rPr>
          <w:rFonts w:ascii="Times New Roman" w:hAnsi="Times New Roman" w:cs="Times New Roman"/>
        </w:rPr>
        <w:t>减少</w:t>
      </w:r>
      <w:r w:rsidR="004A0FF6" w:rsidRPr="00F9522B">
        <w:rPr>
          <w:rFonts w:ascii="Times New Roman" w:hAnsi="Times New Roman" w:cs="Times New Roman"/>
        </w:rPr>
        <w:t>15</w:t>
      </w:r>
      <w:r w:rsidR="004A0FF6" w:rsidRPr="00F9522B">
        <w:rPr>
          <w:rFonts w:ascii="Times New Roman" w:hAnsi="Times New Roman" w:cs="Times New Roman"/>
        </w:rPr>
        <w:t>万</w:t>
      </w:r>
      <w:r w:rsidRPr="00F9522B">
        <w:rPr>
          <w:rFonts w:ascii="Times New Roman" w:hAnsi="Times New Roman" w:cs="Times New Roman"/>
        </w:rPr>
        <w:t>m</w:t>
      </w:r>
      <w:r w:rsidRPr="00F9522B">
        <w:rPr>
          <w:rFonts w:ascii="Times New Roman" w:hAnsi="Times New Roman" w:cs="Times New Roman"/>
          <w:vertAlign w:val="superscript"/>
        </w:rPr>
        <w:t>3</w:t>
      </w:r>
      <w:r w:rsidRPr="00F9522B">
        <w:rPr>
          <w:rFonts w:ascii="Times New Roman" w:hAnsi="Times New Roman" w:cs="Times New Roman"/>
        </w:rPr>
        <w:t>。</w:t>
      </w:r>
    </w:p>
    <w:p w:rsidR="000D2D13" w:rsidRDefault="00A717E1">
      <w:pPr>
        <w:contextualSpacing/>
        <w:jc w:val="center"/>
        <w:rPr>
          <w:rFonts w:eastAsiaTheme="minorEastAsia" w:hint="eastAsia"/>
          <w:b/>
          <w:szCs w:val="21"/>
        </w:rPr>
      </w:pPr>
      <w:r w:rsidRPr="00F9522B">
        <w:rPr>
          <w:rFonts w:eastAsiaTheme="minorEastAsia"/>
          <w:b/>
          <w:szCs w:val="21"/>
        </w:rPr>
        <w:t xml:space="preserve">                         </w:t>
      </w:r>
    </w:p>
    <w:p w:rsidR="000D2D13" w:rsidRDefault="000D2D13">
      <w:pPr>
        <w:contextualSpacing/>
        <w:jc w:val="center"/>
        <w:rPr>
          <w:rFonts w:eastAsiaTheme="minorEastAsia" w:hint="eastAsia"/>
          <w:b/>
          <w:szCs w:val="21"/>
        </w:rPr>
      </w:pPr>
    </w:p>
    <w:p w:rsidR="000D2D13" w:rsidRDefault="000D2D13">
      <w:pPr>
        <w:contextualSpacing/>
        <w:jc w:val="center"/>
        <w:rPr>
          <w:rFonts w:eastAsiaTheme="minorEastAsia" w:hint="eastAsia"/>
          <w:b/>
          <w:szCs w:val="21"/>
        </w:rPr>
      </w:pPr>
    </w:p>
    <w:p w:rsidR="000D2D13" w:rsidRDefault="000D2D13">
      <w:pPr>
        <w:contextualSpacing/>
        <w:jc w:val="center"/>
        <w:rPr>
          <w:rFonts w:eastAsiaTheme="minorEastAsia" w:hint="eastAsia"/>
          <w:b/>
          <w:szCs w:val="21"/>
        </w:rPr>
      </w:pPr>
    </w:p>
    <w:p w:rsidR="002A5A5E" w:rsidRPr="00F9522B" w:rsidRDefault="000D2D13">
      <w:pPr>
        <w:contextualSpacing/>
        <w:jc w:val="center"/>
        <w:rPr>
          <w:rFonts w:eastAsiaTheme="minorEastAsia"/>
          <w:b/>
          <w:szCs w:val="21"/>
        </w:rPr>
      </w:pPr>
      <w:r>
        <w:rPr>
          <w:rFonts w:eastAsiaTheme="minorEastAsia" w:hint="eastAsia"/>
          <w:b/>
          <w:szCs w:val="21"/>
        </w:rPr>
        <w:lastRenderedPageBreak/>
        <w:t xml:space="preserve">           </w:t>
      </w:r>
      <w:r w:rsidR="00A717E1" w:rsidRPr="00F9522B">
        <w:rPr>
          <w:rFonts w:eastAsiaTheme="minorEastAsia"/>
          <w:b/>
          <w:szCs w:val="21"/>
        </w:rPr>
        <w:t xml:space="preserve"> </w:t>
      </w:r>
      <w:r w:rsidR="00611CBA" w:rsidRPr="00F9522B">
        <w:rPr>
          <w:rFonts w:eastAsiaTheme="minorEastAsia"/>
          <w:b/>
          <w:szCs w:val="21"/>
        </w:rPr>
        <w:t>表</w:t>
      </w:r>
      <w:r w:rsidR="00611CBA" w:rsidRPr="00F9522B">
        <w:rPr>
          <w:rFonts w:eastAsiaTheme="minorEastAsia"/>
          <w:b/>
          <w:szCs w:val="21"/>
        </w:rPr>
        <w:t>5-2-1</w:t>
      </w:r>
      <w:r w:rsidR="00611CBA" w:rsidRPr="00F9522B">
        <w:rPr>
          <w:rFonts w:eastAsiaTheme="minorEastAsia"/>
          <w:b/>
          <w:szCs w:val="21"/>
        </w:rPr>
        <w:t>排水分区退水量</w:t>
      </w:r>
      <w:r w:rsidR="00A717E1" w:rsidRPr="00F9522B">
        <w:rPr>
          <w:rFonts w:eastAsiaTheme="minorEastAsia"/>
          <w:b/>
          <w:szCs w:val="21"/>
        </w:rPr>
        <w:t>变化</w:t>
      </w:r>
      <w:r w:rsidR="00611CBA" w:rsidRPr="00F9522B">
        <w:rPr>
          <w:rFonts w:eastAsiaTheme="minorEastAsia"/>
          <w:b/>
          <w:szCs w:val="21"/>
        </w:rPr>
        <w:t>情况</w:t>
      </w:r>
      <w:r w:rsidR="00A717E1" w:rsidRPr="00F9522B">
        <w:rPr>
          <w:rFonts w:eastAsiaTheme="minorEastAsia"/>
          <w:b/>
          <w:szCs w:val="21"/>
        </w:rPr>
        <w:t xml:space="preserve">          </w:t>
      </w:r>
      <w:r w:rsidR="00611CBA" w:rsidRPr="00F9522B">
        <w:rPr>
          <w:rFonts w:eastAsiaTheme="minorEastAsia"/>
          <w:b/>
          <w:szCs w:val="21"/>
        </w:rPr>
        <w:t>单位：万</w:t>
      </w:r>
      <w:r w:rsidR="00611CBA" w:rsidRPr="00F9522B">
        <w:rPr>
          <w:rFonts w:eastAsiaTheme="minorEastAsia"/>
          <w:b/>
          <w:szCs w:val="21"/>
        </w:rPr>
        <w:t>m</w:t>
      </w:r>
      <w:r w:rsidR="00611CBA" w:rsidRPr="00F9522B">
        <w:rPr>
          <w:rFonts w:eastAsiaTheme="minorEastAsia"/>
          <w:b/>
          <w:szCs w:val="21"/>
          <w:vertAlign w:val="superscript"/>
        </w:rPr>
        <w:t>3</w:t>
      </w:r>
      <w:r w:rsidR="00611CBA" w:rsidRPr="00F9522B">
        <w:rPr>
          <w:rFonts w:eastAsiaTheme="minorEastAsia"/>
          <w:b/>
          <w:bCs/>
          <w:szCs w:val="21"/>
        </w:rPr>
        <w:t>/a</w:t>
      </w:r>
    </w:p>
    <w:tbl>
      <w:tblPr>
        <w:tblStyle w:val="afc"/>
        <w:tblW w:w="4992" w:type="pct"/>
        <w:tblLook w:val="04A0"/>
      </w:tblPr>
      <w:tblGrid>
        <w:gridCol w:w="1629"/>
        <w:gridCol w:w="1230"/>
        <w:gridCol w:w="1099"/>
        <w:gridCol w:w="2540"/>
        <w:gridCol w:w="2010"/>
      </w:tblGrid>
      <w:tr w:rsidR="00B72B38" w:rsidRPr="00F9522B" w:rsidTr="006539DB">
        <w:trPr>
          <w:trHeight w:val="485"/>
        </w:trPr>
        <w:tc>
          <w:tcPr>
            <w:tcW w:w="957" w:type="pct"/>
            <w:tcBorders>
              <w:top w:val="single" w:sz="12" w:space="0" w:color="auto"/>
              <w:left w:val="nil"/>
            </w:tcBorders>
            <w:vAlign w:val="center"/>
          </w:tcPr>
          <w:p w:rsidR="00B72B38" w:rsidRPr="00F9522B" w:rsidRDefault="00B72B38">
            <w:pPr>
              <w:jc w:val="center"/>
              <w:rPr>
                <w:rFonts w:eastAsiaTheme="minorEastAsia"/>
                <w:kern w:val="0"/>
                <w:szCs w:val="21"/>
              </w:rPr>
            </w:pPr>
            <w:r w:rsidRPr="00F9522B">
              <w:rPr>
                <w:rFonts w:eastAsiaTheme="minorEastAsia"/>
                <w:kern w:val="0"/>
                <w:szCs w:val="21"/>
              </w:rPr>
              <w:t>灌区</w:t>
            </w:r>
          </w:p>
        </w:tc>
        <w:tc>
          <w:tcPr>
            <w:tcW w:w="723" w:type="pct"/>
            <w:tcBorders>
              <w:top w:val="single" w:sz="12" w:space="0" w:color="auto"/>
            </w:tcBorders>
            <w:vAlign w:val="center"/>
          </w:tcPr>
          <w:p w:rsidR="00B72B38" w:rsidRPr="00F9522B" w:rsidRDefault="00B72B38">
            <w:pPr>
              <w:jc w:val="center"/>
              <w:rPr>
                <w:rFonts w:eastAsiaTheme="minorEastAsia"/>
                <w:kern w:val="0"/>
                <w:szCs w:val="21"/>
              </w:rPr>
            </w:pPr>
            <w:r w:rsidRPr="00F9522B">
              <w:rPr>
                <w:rFonts w:eastAsiaTheme="minorEastAsia"/>
                <w:kern w:val="0"/>
                <w:szCs w:val="21"/>
              </w:rPr>
              <w:t>用水量</w:t>
            </w:r>
          </w:p>
        </w:tc>
        <w:tc>
          <w:tcPr>
            <w:tcW w:w="646" w:type="pct"/>
            <w:tcBorders>
              <w:top w:val="single" w:sz="12" w:space="0" w:color="auto"/>
            </w:tcBorders>
            <w:vAlign w:val="center"/>
          </w:tcPr>
          <w:p w:rsidR="00B72B38" w:rsidRPr="00F9522B" w:rsidRDefault="00B72B38">
            <w:pPr>
              <w:jc w:val="center"/>
              <w:rPr>
                <w:rFonts w:eastAsiaTheme="minorEastAsia"/>
                <w:kern w:val="0"/>
                <w:szCs w:val="21"/>
              </w:rPr>
            </w:pPr>
            <w:r w:rsidRPr="00F9522B">
              <w:rPr>
                <w:rFonts w:eastAsiaTheme="minorEastAsia"/>
                <w:kern w:val="0"/>
                <w:szCs w:val="21"/>
              </w:rPr>
              <w:t>退水量</w:t>
            </w:r>
          </w:p>
        </w:tc>
        <w:tc>
          <w:tcPr>
            <w:tcW w:w="1493" w:type="pct"/>
            <w:tcBorders>
              <w:top w:val="single" w:sz="12" w:space="0" w:color="auto"/>
            </w:tcBorders>
            <w:vAlign w:val="center"/>
          </w:tcPr>
          <w:p w:rsidR="00B72B38" w:rsidRPr="00F9522B" w:rsidRDefault="00CA6EC1" w:rsidP="00A717E1">
            <w:pPr>
              <w:jc w:val="center"/>
              <w:rPr>
                <w:rFonts w:eastAsiaTheme="minorEastAsia"/>
                <w:color w:val="FF0000"/>
                <w:kern w:val="0"/>
                <w:szCs w:val="21"/>
              </w:rPr>
            </w:pPr>
            <w:r w:rsidRPr="00F9522B">
              <w:rPr>
                <w:rFonts w:eastAsiaTheme="minorEastAsia"/>
                <w:color w:val="FF0000"/>
                <w:szCs w:val="21"/>
              </w:rPr>
              <w:t>公家沟</w:t>
            </w:r>
            <w:r w:rsidR="00B72B38" w:rsidRPr="00F9522B">
              <w:rPr>
                <w:rFonts w:eastAsiaTheme="minorEastAsia"/>
                <w:color w:val="FF0000"/>
                <w:kern w:val="0"/>
                <w:szCs w:val="21"/>
              </w:rPr>
              <w:t>退水口退水量</w:t>
            </w:r>
          </w:p>
        </w:tc>
        <w:tc>
          <w:tcPr>
            <w:tcW w:w="1182" w:type="pct"/>
            <w:tcBorders>
              <w:top w:val="single" w:sz="12" w:space="0" w:color="auto"/>
              <w:right w:val="nil"/>
            </w:tcBorders>
            <w:vAlign w:val="center"/>
          </w:tcPr>
          <w:p w:rsidR="00B72B38" w:rsidRPr="00F9522B" w:rsidRDefault="00B72B38">
            <w:pPr>
              <w:jc w:val="center"/>
              <w:rPr>
                <w:rFonts w:eastAsiaTheme="minorEastAsia"/>
                <w:color w:val="FF0000"/>
                <w:kern w:val="0"/>
                <w:szCs w:val="21"/>
              </w:rPr>
            </w:pPr>
            <w:r w:rsidRPr="00F9522B">
              <w:rPr>
                <w:rFonts w:eastAsiaTheme="minorEastAsia"/>
                <w:color w:val="FF0000"/>
                <w:kern w:val="0"/>
                <w:sz w:val="20"/>
                <w:szCs w:val="21"/>
              </w:rPr>
              <w:t>漂河</w:t>
            </w:r>
            <w:r w:rsidRPr="00F9522B">
              <w:rPr>
                <w:rFonts w:eastAsiaTheme="minorEastAsia"/>
                <w:color w:val="FF0000"/>
                <w:kern w:val="0"/>
                <w:szCs w:val="21"/>
              </w:rPr>
              <w:t>退水口退水量</w:t>
            </w:r>
          </w:p>
        </w:tc>
      </w:tr>
      <w:tr w:rsidR="006539DB" w:rsidRPr="00F9522B" w:rsidTr="006539DB">
        <w:trPr>
          <w:trHeight w:val="453"/>
        </w:trPr>
        <w:tc>
          <w:tcPr>
            <w:tcW w:w="957" w:type="pct"/>
            <w:tcBorders>
              <w:left w:val="nil"/>
            </w:tcBorders>
            <w:vAlign w:val="center"/>
          </w:tcPr>
          <w:p w:rsidR="006539DB" w:rsidRPr="00F9522B" w:rsidRDefault="006539DB">
            <w:pPr>
              <w:jc w:val="center"/>
              <w:rPr>
                <w:rFonts w:eastAsiaTheme="minorEastAsia"/>
                <w:kern w:val="0"/>
                <w:szCs w:val="21"/>
              </w:rPr>
            </w:pPr>
            <w:r w:rsidRPr="00F9522B">
              <w:rPr>
                <w:rFonts w:eastAsiaTheme="minorEastAsia"/>
                <w:kern w:val="0"/>
                <w:szCs w:val="21"/>
              </w:rPr>
              <w:t>建成前</w:t>
            </w:r>
          </w:p>
        </w:tc>
        <w:tc>
          <w:tcPr>
            <w:tcW w:w="723" w:type="pct"/>
            <w:vAlign w:val="center"/>
          </w:tcPr>
          <w:p w:rsidR="006539DB" w:rsidRPr="00F9522B" w:rsidRDefault="006539DB">
            <w:pPr>
              <w:jc w:val="center"/>
              <w:rPr>
                <w:rFonts w:eastAsiaTheme="minorEastAsia"/>
                <w:kern w:val="0"/>
                <w:szCs w:val="21"/>
              </w:rPr>
            </w:pPr>
            <w:r w:rsidRPr="00F9522B">
              <w:rPr>
                <w:rFonts w:eastAsiaTheme="minorEastAsia"/>
                <w:kern w:val="0"/>
                <w:szCs w:val="21"/>
              </w:rPr>
              <w:t>271</w:t>
            </w:r>
          </w:p>
        </w:tc>
        <w:tc>
          <w:tcPr>
            <w:tcW w:w="646" w:type="pct"/>
            <w:vAlign w:val="center"/>
          </w:tcPr>
          <w:p w:rsidR="006539DB" w:rsidRPr="00F9522B" w:rsidRDefault="006539DB">
            <w:pPr>
              <w:jc w:val="center"/>
              <w:rPr>
                <w:rFonts w:eastAsiaTheme="minorEastAsia"/>
                <w:kern w:val="0"/>
                <w:szCs w:val="21"/>
              </w:rPr>
            </w:pPr>
            <w:r w:rsidRPr="00F9522B">
              <w:rPr>
                <w:rFonts w:eastAsiaTheme="minorEastAsia"/>
                <w:kern w:val="0"/>
                <w:szCs w:val="21"/>
              </w:rPr>
              <w:t>54</w:t>
            </w:r>
          </w:p>
        </w:tc>
        <w:tc>
          <w:tcPr>
            <w:tcW w:w="1493" w:type="pct"/>
            <w:vAlign w:val="center"/>
          </w:tcPr>
          <w:p w:rsidR="006539DB" w:rsidRPr="00F9522B" w:rsidRDefault="006539DB">
            <w:pPr>
              <w:jc w:val="center"/>
              <w:rPr>
                <w:rFonts w:eastAsiaTheme="minorEastAsia"/>
                <w:kern w:val="0"/>
                <w:szCs w:val="21"/>
              </w:rPr>
            </w:pPr>
            <w:r w:rsidRPr="00F9522B">
              <w:rPr>
                <w:rFonts w:eastAsiaTheme="minorEastAsia"/>
                <w:kern w:val="0"/>
                <w:szCs w:val="21"/>
              </w:rPr>
              <w:t xml:space="preserve">37.3 </w:t>
            </w:r>
          </w:p>
        </w:tc>
        <w:tc>
          <w:tcPr>
            <w:tcW w:w="1182" w:type="pct"/>
            <w:tcBorders>
              <w:right w:val="nil"/>
            </w:tcBorders>
            <w:vAlign w:val="center"/>
          </w:tcPr>
          <w:p w:rsidR="006539DB" w:rsidRPr="00F9522B" w:rsidRDefault="006539DB">
            <w:pPr>
              <w:jc w:val="center"/>
              <w:rPr>
                <w:rFonts w:eastAsiaTheme="minorEastAsia"/>
                <w:kern w:val="0"/>
                <w:szCs w:val="21"/>
              </w:rPr>
            </w:pPr>
            <w:r w:rsidRPr="00F9522B">
              <w:rPr>
                <w:rFonts w:eastAsiaTheme="minorEastAsia"/>
                <w:kern w:val="0"/>
                <w:szCs w:val="21"/>
              </w:rPr>
              <w:t xml:space="preserve">16.7 </w:t>
            </w:r>
          </w:p>
        </w:tc>
      </w:tr>
      <w:tr w:rsidR="006539DB" w:rsidRPr="00F9522B" w:rsidTr="006539DB">
        <w:trPr>
          <w:trHeight w:val="497"/>
        </w:trPr>
        <w:tc>
          <w:tcPr>
            <w:tcW w:w="957" w:type="pct"/>
            <w:tcBorders>
              <w:left w:val="nil"/>
            </w:tcBorders>
            <w:vAlign w:val="center"/>
          </w:tcPr>
          <w:p w:rsidR="006539DB" w:rsidRPr="00F9522B" w:rsidRDefault="006539DB">
            <w:pPr>
              <w:jc w:val="center"/>
              <w:rPr>
                <w:rFonts w:eastAsiaTheme="minorEastAsia"/>
                <w:kern w:val="0"/>
                <w:szCs w:val="21"/>
              </w:rPr>
            </w:pPr>
            <w:r w:rsidRPr="00F9522B">
              <w:rPr>
                <w:rFonts w:eastAsiaTheme="minorEastAsia"/>
                <w:kern w:val="0"/>
                <w:szCs w:val="21"/>
              </w:rPr>
              <w:t>建成后</w:t>
            </w:r>
          </w:p>
        </w:tc>
        <w:tc>
          <w:tcPr>
            <w:tcW w:w="723" w:type="pct"/>
            <w:vAlign w:val="center"/>
          </w:tcPr>
          <w:p w:rsidR="006539DB" w:rsidRPr="00F9522B" w:rsidRDefault="006539DB">
            <w:pPr>
              <w:jc w:val="center"/>
              <w:rPr>
                <w:rFonts w:eastAsiaTheme="minorEastAsia"/>
                <w:kern w:val="0"/>
                <w:szCs w:val="21"/>
              </w:rPr>
            </w:pPr>
            <w:r w:rsidRPr="00F9522B">
              <w:rPr>
                <w:rFonts w:eastAsiaTheme="minorEastAsia"/>
                <w:kern w:val="0"/>
                <w:szCs w:val="21"/>
              </w:rPr>
              <w:t>263</w:t>
            </w:r>
          </w:p>
        </w:tc>
        <w:tc>
          <w:tcPr>
            <w:tcW w:w="646" w:type="pct"/>
            <w:vAlign w:val="center"/>
          </w:tcPr>
          <w:p w:rsidR="006539DB" w:rsidRPr="00F9522B" w:rsidRDefault="006539DB">
            <w:pPr>
              <w:jc w:val="center"/>
              <w:rPr>
                <w:rFonts w:eastAsiaTheme="minorEastAsia"/>
                <w:kern w:val="0"/>
                <w:szCs w:val="21"/>
              </w:rPr>
            </w:pPr>
            <w:r w:rsidRPr="00F9522B">
              <w:rPr>
                <w:rFonts w:eastAsiaTheme="minorEastAsia"/>
                <w:kern w:val="0"/>
                <w:szCs w:val="21"/>
              </w:rPr>
              <w:t>39</w:t>
            </w:r>
          </w:p>
        </w:tc>
        <w:tc>
          <w:tcPr>
            <w:tcW w:w="1493" w:type="pct"/>
            <w:vAlign w:val="center"/>
          </w:tcPr>
          <w:p w:rsidR="006539DB" w:rsidRPr="00F9522B" w:rsidRDefault="006539DB">
            <w:pPr>
              <w:jc w:val="center"/>
              <w:rPr>
                <w:rFonts w:eastAsiaTheme="minorEastAsia"/>
                <w:kern w:val="0"/>
                <w:szCs w:val="21"/>
              </w:rPr>
            </w:pPr>
            <w:r w:rsidRPr="00F9522B">
              <w:rPr>
                <w:rFonts w:eastAsiaTheme="minorEastAsia"/>
                <w:kern w:val="0"/>
                <w:szCs w:val="21"/>
              </w:rPr>
              <w:t xml:space="preserve">26.9 </w:t>
            </w:r>
          </w:p>
        </w:tc>
        <w:tc>
          <w:tcPr>
            <w:tcW w:w="1182" w:type="pct"/>
            <w:tcBorders>
              <w:right w:val="nil"/>
            </w:tcBorders>
            <w:vAlign w:val="center"/>
          </w:tcPr>
          <w:p w:rsidR="006539DB" w:rsidRPr="00F9522B" w:rsidRDefault="006539DB">
            <w:pPr>
              <w:jc w:val="center"/>
              <w:rPr>
                <w:rFonts w:eastAsiaTheme="minorEastAsia"/>
                <w:kern w:val="0"/>
                <w:szCs w:val="21"/>
              </w:rPr>
            </w:pPr>
            <w:r w:rsidRPr="00F9522B">
              <w:rPr>
                <w:rFonts w:eastAsiaTheme="minorEastAsia"/>
                <w:kern w:val="0"/>
                <w:szCs w:val="21"/>
              </w:rPr>
              <w:t xml:space="preserve">12.1 </w:t>
            </w:r>
          </w:p>
        </w:tc>
      </w:tr>
      <w:tr w:rsidR="006539DB" w:rsidRPr="00F9522B" w:rsidTr="006539DB">
        <w:trPr>
          <w:trHeight w:val="511"/>
        </w:trPr>
        <w:tc>
          <w:tcPr>
            <w:tcW w:w="957" w:type="pct"/>
            <w:tcBorders>
              <w:left w:val="nil"/>
              <w:bottom w:val="single" w:sz="12" w:space="0" w:color="auto"/>
            </w:tcBorders>
            <w:vAlign w:val="center"/>
          </w:tcPr>
          <w:p w:rsidR="006539DB" w:rsidRPr="00F9522B" w:rsidRDefault="006539DB">
            <w:pPr>
              <w:jc w:val="center"/>
              <w:rPr>
                <w:rFonts w:eastAsiaTheme="minorEastAsia"/>
                <w:kern w:val="0"/>
                <w:szCs w:val="21"/>
              </w:rPr>
            </w:pPr>
            <w:r w:rsidRPr="00F9522B">
              <w:rPr>
                <w:rFonts w:eastAsiaTheme="minorEastAsia"/>
                <w:kern w:val="0"/>
                <w:szCs w:val="21"/>
              </w:rPr>
              <w:t>变化量</w:t>
            </w:r>
          </w:p>
        </w:tc>
        <w:tc>
          <w:tcPr>
            <w:tcW w:w="723" w:type="pct"/>
            <w:tcBorders>
              <w:bottom w:val="single" w:sz="12" w:space="0" w:color="auto"/>
            </w:tcBorders>
            <w:vAlign w:val="center"/>
          </w:tcPr>
          <w:p w:rsidR="006539DB" w:rsidRPr="00F9522B" w:rsidRDefault="006539DB">
            <w:pPr>
              <w:jc w:val="center"/>
              <w:rPr>
                <w:rFonts w:eastAsiaTheme="minorEastAsia"/>
                <w:kern w:val="0"/>
                <w:szCs w:val="21"/>
              </w:rPr>
            </w:pPr>
            <w:r w:rsidRPr="00F9522B">
              <w:rPr>
                <w:rFonts w:eastAsiaTheme="minorEastAsia"/>
                <w:kern w:val="0"/>
                <w:szCs w:val="21"/>
              </w:rPr>
              <w:t>-8</w:t>
            </w:r>
          </w:p>
        </w:tc>
        <w:tc>
          <w:tcPr>
            <w:tcW w:w="646" w:type="pct"/>
            <w:tcBorders>
              <w:bottom w:val="single" w:sz="12" w:space="0" w:color="auto"/>
            </w:tcBorders>
            <w:vAlign w:val="center"/>
          </w:tcPr>
          <w:p w:rsidR="006539DB" w:rsidRPr="00F9522B" w:rsidRDefault="006539DB">
            <w:pPr>
              <w:jc w:val="center"/>
              <w:rPr>
                <w:rFonts w:eastAsiaTheme="minorEastAsia"/>
                <w:kern w:val="0"/>
                <w:szCs w:val="21"/>
              </w:rPr>
            </w:pPr>
            <w:r w:rsidRPr="00F9522B">
              <w:rPr>
                <w:rFonts w:eastAsiaTheme="minorEastAsia"/>
                <w:kern w:val="0"/>
                <w:szCs w:val="21"/>
              </w:rPr>
              <w:t>-15</w:t>
            </w:r>
          </w:p>
        </w:tc>
        <w:tc>
          <w:tcPr>
            <w:tcW w:w="1493" w:type="pct"/>
            <w:tcBorders>
              <w:bottom w:val="single" w:sz="12" w:space="0" w:color="auto"/>
            </w:tcBorders>
            <w:vAlign w:val="center"/>
          </w:tcPr>
          <w:p w:rsidR="006539DB" w:rsidRPr="00F9522B" w:rsidRDefault="006539DB">
            <w:pPr>
              <w:jc w:val="center"/>
              <w:rPr>
                <w:rFonts w:eastAsiaTheme="minorEastAsia"/>
                <w:kern w:val="0"/>
                <w:szCs w:val="21"/>
              </w:rPr>
            </w:pPr>
            <w:r w:rsidRPr="00F9522B">
              <w:rPr>
                <w:rFonts w:eastAsiaTheme="minorEastAsia"/>
                <w:kern w:val="0"/>
                <w:szCs w:val="21"/>
              </w:rPr>
              <w:t xml:space="preserve">-10.4 </w:t>
            </w:r>
          </w:p>
        </w:tc>
        <w:tc>
          <w:tcPr>
            <w:tcW w:w="1182" w:type="pct"/>
            <w:tcBorders>
              <w:bottom w:val="single" w:sz="12" w:space="0" w:color="auto"/>
              <w:right w:val="nil"/>
            </w:tcBorders>
            <w:vAlign w:val="center"/>
          </w:tcPr>
          <w:p w:rsidR="006539DB" w:rsidRPr="00F9522B" w:rsidRDefault="006539DB">
            <w:pPr>
              <w:jc w:val="center"/>
              <w:rPr>
                <w:rFonts w:eastAsiaTheme="minorEastAsia"/>
                <w:kern w:val="0"/>
                <w:szCs w:val="21"/>
              </w:rPr>
            </w:pPr>
            <w:r w:rsidRPr="00F9522B">
              <w:rPr>
                <w:rFonts w:eastAsiaTheme="minorEastAsia"/>
                <w:kern w:val="0"/>
                <w:szCs w:val="21"/>
              </w:rPr>
              <w:t xml:space="preserve">-4.6 </w:t>
            </w:r>
          </w:p>
        </w:tc>
      </w:tr>
    </w:tbl>
    <w:p w:rsidR="002A5A5E" w:rsidRPr="00F9522B" w:rsidRDefault="00611CBA">
      <w:pPr>
        <w:pStyle w:val="aff4"/>
        <w:rPr>
          <w:rFonts w:ascii="Times New Roman" w:hAnsi="Times New Roman" w:cs="Times New Roman"/>
          <w:bCs/>
          <w:snapToGrid w:val="0"/>
        </w:rPr>
      </w:pPr>
      <w:r w:rsidRPr="00F9522B">
        <w:rPr>
          <w:rFonts w:ascii="Times New Roman" w:hAnsi="Times New Roman" w:cs="Times New Roman"/>
          <w:bCs/>
          <w:snapToGrid w:val="0"/>
        </w:rPr>
        <w:t>参考《黑龙江省五常市龙凤山灌区</w:t>
      </w:r>
      <w:r w:rsidRPr="00F9522B">
        <w:rPr>
          <w:rFonts w:ascii="Times New Roman" w:hAnsi="Times New Roman" w:cs="Times New Roman"/>
          <w:bCs/>
          <w:snapToGrid w:val="0"/>
        </w:rPr>
        <w:t>“</w:t>
      </w:r>
      <w:r w:rsidRPr="00F9522B">
        <w:rPr>
          <w:rFonts w:ascii="Times New Roman" w:hAnsi="Times New Roman" w:cs="Times New Roman"/>
          <w:bCs/>
          <w:snapToGrid w:val="0"/>
        </w:rPr>
        <w:t>十四五</w:t>
      </w:r>
      <w:r w:rsidRPr="00F9522B">
        <w:rPr>
          <w:rFonts w:ascii="Times New Roman" w:hAnsi="Times New Roman" w:cs="Times New Roman"/>
          <w:bCs/>
          <w:snapToGrid w:val="0"/>
        </w:rPr>
        <w:t>”</w:t>
      </w:r>
      <w:r w:rsidRPr="00F9522B">
        <w:rPr>
          <w:rFonts w:ascii="Times New Roman" w:hAnsi="Times New Roman" w:cs="Times New Roman"/>
          <w:bCs/>
          <w:snapToGrid w:val="0"/>
        </w:rPr>
        <w:t>续建配套与现代化改造项目（</w:t>
      </w:r>
      <w:r w:rsidRPr="00F9522B">
        <w:rPr>
          <w:rFonts w:ascii="Times New Roman" w:hAnsi="Times New Roman" w:cs="Times New Roman"/>
          <w:bCs/>
          <w:snapToGrid w:val="0"/>
        </w:rPr>
        <w:t>2022-2025</w:t>
      </w:r>
      <w:r w:rsidRPr="00F9522B">
        <w:rPr>
          <w:rFonts w:ascii="Times New Roman" w:hAnsi="Times New Roman" w:cs="Times New Roman"/>
          <w:bCs/>
          <w:snapToGrid w:val="0"/>
        </w:rPr>
        <w:t>年度）环境影响报告书》中于</w:t>
      </w:r>
      <w:r w:rsidRPr="00F9522B">
        <w:rPr>
          <w:rFonts w:ascii="Times New Roman" w:hAnsi="Times New Roman" w:cs="Times New Roman"/>
          <w:bCs/>
          <w:snapToGrid w:val="0"/>
        </w:rPr>
        <w:t>2024</w:t>
      </w:r>
      <w:r w:rsidRPr="00F9522B">
        <w:rPr>
          <w:rFonts w:ascii="Times New Roman" w:hAnsi="Times New Roman" w:cs="Times New Roman"/>
          <w:bCs/>
          <w:snapToGrid w:val="0"/>
        </w:rPr>
        <w:t>年对</w:t>
      </w:r>
      <w:r w:rsidR="00967D9B" w:rsidRPr="00F9522B">
        <w:rPr>
          <w:rFonts w:ascii="Times New Roman" w:hAnsi="Times New Roman" w:cs="Times New Roman"/>
          <w:bCs/>
          <w:snapToGrid w:val="0"/>
        </w:rPr>
        <w:t>该</w:t>
      </w:r>
      <w:r w:rsidRPr="00F9522B">
        <w:rPr>
          <w:rFonts w:ascii="Times New Roman" w:hAnsi="Times New Roman" w:cs="Times New Roman"/>
          <w:bCs/>
          <w:snapToGrid w:val="0"/>
        </w:rPr>
        <w:t>项目退水期间的水质监测资料，</w:t>
      </w:r>
      <w:r w:rsidRPr="00F9522B">
        <w:rPr>
          <w:rFonts w:ascii="Times New Roman" w:hAnsi="Times New Roman" w:cs="Times New Roman"/>
          <w:bCs/>
          <w:snapToGrid w:val="0"/>
        </w:rPr>
        <w:t>COD</w:t>
      </w:r>
      <w:r w:rsidRPr="00F9522B">
        <w:rPr>
          <w:rFonts w:ascii="Times New Roman" w:hAnsi="Times New Roman" w:cs="Times New Roman"/>
          <w:bCs/>
          <w:snapToGrid w:val="0"/>
        </w:rPr>
        <w:t>和氨氮排水浓度分别为</w:t>
      </w:r>
      <w:r w:rsidRPr="00F9522B">
        <w:rPr>
          <w:rFonts w:ascii="Times New Roman" w:hAnsi="Times New Roman" w:cs="Times New Roman"/>
          <w:bCs/>
          <w:snapToGrid w:val="0"/>
        </w:rPr>
        <w:t>52.7mg/L</w:t>
      </w:r>
      <w:r w:rsidRPr="00F9522B">
        <w:rPr>
          <w:rFonts w:ascii="Times New Roman" w:hAnsi="Times New Roman" w:cs="Times New Roman"/>
          <w:bCs/>
          <w:snapToGrid w:val="0"/>
        </w:rPr>
        <w:t>和</w:t>
      </w:r>
      <w:r w:rsidRPr="00F9522B">
        <w:rPr>
          <w:rFonts w:ascii="Times New Roman" w:hAnsi="Times New Roman" w:cs="Times New Roman"/>
          <w:bCs/>
          <w:snapToGrid w:val="0"/>
        </w:rPr>
        <w:t>1.26mg/L</w:t>
      </w:r>
      <w:r w:rsidR="0003457C" w:rsidRPr="00F9522B">
        <w:rPr>
          <w:rFonts w:ascii="Times New Roman" w:hAnsi="Times New Roman" w:cs="Times New Roman"/>
          <w:bCs/>
          <w:snapToGrid w:val="0"/>
        </w:rPr>
        <w:t>。参考哈尔滨市呼兰生态环境局</w:t>
      </w:r>
      <w:r w:rsidRPr="00F9522B">
        <w:rPr>
          <w:rFonts w:ascii="Times New Roman" w:hAnsi="Times New Roman" w:cs="Times New Roman"/>
          <w:bCs/>
          <w:snapToGrid w:val="0"/>
        </w:rPr>
        <w:t>于</w:t>
      </w:r>
      <w:r w:rsidRPr="00F9522B">
        <w:rPr>
          <w:rFonts w:ascii="Times New Roman" w:hAnsi="Times New Roman" w:cs="Times New Roman"/>
          <w:bCs/>
          <w:snapToGrid w:val="0"/>
        </w:rPr>
        <w:t>2025</w:t>
      </w:r>
      <w:r w:rsidRPr="00F9522B">
        <w:rPr>
          <w:rFonts w:ascii="Times New Roman" w:hAnsi="Times New Roman" w:cs="Times New Roman"/>
          <w:bCs/>
          <w:snapToGrid w:val="0"/>
        </w:rPr>
        <w:t>年</w:t>
      </w:r>
      <w:r w:rsidRPr="00F9522B">
        <w:rPr>
          <w:rFonts w:ascii="Times New Roman" w:hAnsi="Times New Roman" w:cs="Times New Roman"/>
          <w:bCs/>
          <w:snapToGrid w:val="0"/>
        </w:rPr>
        <w:t>7</w:t>
      </w:r>
      <w:r w:rsidRPr="00F9522B">
        <w:rPr>
          <w:rFonts w:ascii="Times New Roman" w:hAnsi="Times New Roman" w:cs="Times New Roman"/>
          <w:bCs/>
          <w:snapToGrid w:val="0"/>
        </w:rPr>
        <w:t>月对区域孟家乡六排干河口内退水期间的水质监测资料，总磷排水浓度为</w:t>
      </w:r>
      <w:r w:rsidRPr="00F9522B">
        <w:rPr>
          <w:rFonts w:ascii="Times New Roman" w:hAnsi="Times New Roman" w:cs="Times New Roman"/>
          <w:bCs/>
          <w:snapToGrid w:val="0"/>
        </w:rPr>
        <w:t>1.84mg/L</w:t>
      </w:r>
      <w:r w:rsidR="00E03AD9" w:rsidRPr="00F9522B">
        <w:rPr>
          <w:rFonts w:ascii="Times New Roman" w:hAnsi="Times New Roman" w:cs="Times New Roman"/>
          <w:bCs/>
          <w:snapToGrid w:val="0"/>
        </w:rPr>
        <w:t>，</w:t>
      </w:r>
      <w:r w:rsidR="00E03AD9" w:rsidRPr="00F9522B">
        <w:rPr>
          <w:rFonts w:ascii="Times New Roman" w:hAnsi="Times New Roman" w:cs="Times New Roman"/>
          <w:bCs/>
          <w:snapToGrid w:val="0"/>
          <w:color w:val="FF0000"/>
        </w:rPr>
        <w:t>总氮排水浓度为</w:t>
      </w:r>
      <w:r w:rsidR="00E03AD9" w:rsidRPr="00F9522B">
        <w:rPr>
          <w:rFonts w:ascii="Times New Roman" w:hAnsi="Times New Roman" w:cs="Times New Roman"/>
          <w:bCs/>
          <w:snapToGrid w:val="0"/>
          <w:color w:val="FF0000"/>
        </w:rPr>
        <w:t>4.2mg/L</w:t>
      </w:r>
      <w:r w:rsidR="00E03AD9" w:rsidRPr="00F9522B">
        <w:rPr>
          <w:rFonts w:ascii="Times New Roman" w:hAnsi="Times New Roman" w:cs="Times New Roman"/>
          <w:bCs/>
          <w:snapToGrid w:val="0"/>
        </w:rPr>
        <w:t>。</w:t>
      </w:r>
      <w:r w:rsidRPr="00F9522B">
        <w:rPr>
          <w:rFonts w:ascii="Times New Roman" w:hAnsi="Times New Roman" w:cs="Times New Roman"/>
          <w:bCs/>
          <w:snapToGrid w:val="0"/>
        </w:rPr>
        <w:t>计算本项目</w:t>
      </w:r>
      <w:r w:rsidRPr="00F9522B">
        <w:rPr>
          <w:rFonts w:ascii="Times New Roman" w:hAnsi="Times New Roman" w:cs="Times New Roman"/>
          <w:szCs w:val="21"/>
        </w:rPr>
        <w:t>主要污染物入河量变化情况。</w:t>
      </w:r>
    </w:p>
    <w:p w:rsidR="002A5A5E" w:rsidRPr="00F9522B" w:rsidRDefault="00611CBA">
      <w:pPr>
        <w:contextualSpacing/>
        <w:jc w:val="center"/>
        <w:rPr>
          <w:rFonts w:eastAsiaTheme="minorEastAsia"/>
          <w:b/>
          <w:szCs w:val="21"/>
        </w:rPr>
      </w:pPr>
      <w:r w:rsidRPr="00F9522B">
        <w:rPr>
          <w:rFonts w:eastAsiaTheme="minorEastAsia"/>
          <w:b/>
          <w:szCs w:val="21"/>
        </w:rPr>
        <w:t>表</w:t>
      </w:r>
      <w:r w:rsidRPr="00F9522B">
        <w:rPr>
          <w:rFonts w:eastAsiaTheme="minorEastAsia"/>
          <w:b/>
          <w:szCs w:val="21"/>
        </w:rPr>
        <w:t>5-2-2</w:t>
      </w:r>
      <w:r w:rsidRPr="00F9522B">
        <w:rPr>
          <w:rFonts w:eastAsiaTheme="minorEastAsia"/>
          <w:b/>
          <w:szCs w:val="21"/>
        </w:rPr>
        <w:t>不同河流主要污染物入河量变化情况</w:t>
      </w:r>
      <w:r w:rsidRPr="00F9522B">
        <w:rPr>
          <w:rFonts w:eastAsiaTheme="minorEastAsia"/>
          <w:b/>
          <w:szCs w:val="21"/>
        </w:rPr>
        <w:t xml:space="preserve">    </w:t>
      </w:r>
      <w:r w:rsidRPr="00F9522B">
        <w:rPr>
          <w:rFonts w:eastAsiaTheme="minorEastAsia"/>
          <w:b/>
          <w:szCs w:val="21"/>
        </w:rPr>
        <w:t>单位：</w:t>
      </w:r>
      <w:r w:rsidRPr="00F9522B">
        <w:rPr>
          <w:rFonts w:eastAsiaTheme="minorEastAsia"/>
          <w:b/>
          <w:szCs w:val="21"/>
        </w:rPr>
        <w:t>t/a</w:t>
      </w:r>
    </w:p>
    <w:tbl>
      <w:tblPr>
        <w:tblW w:w="5000" w:type="pct"/>
        <w:jc w:val="center"/>
        <w:tblLook w:val="04A0"/>
      </w:tblPr>
      <w:tblGrid>
        <w:gridCol w:w="906"/>
        <w:gridCol w:w="691"/>
        <w:gridCol w:w="561"/>
        <w:gridCol w:w="605"/>
        <w:gridCol w:w="605"/>
        <w:gridCol w:w="691"/>
        <w:gridCol w:w="605"/>
        <w:gridCol w:w="605"/>
        <w:gridCol w:w="605"/>
        <w:gridCol w:w="662"/>
        <w:gridCol w:w="662"/>
        <w:gridCol w:w="662"/>
        <w:gridCol w:w="662"/>
      </w:tblGrid>
      <w:tr w:rsidR="00E03AD9" w:rsidRPr="00F9522B" w:rsidTr="005510C6">
        <w:trPr>
          <w:trHeight w:val="280"/>
          <w:tblHeader/>
          <w:jc w:val="center"/>
        </w:trPr>
        <w:tc>
          <w:tcPr>
            <w:tcW w:w="552" w:type="pct"/>
            <w:vMerge w:val="restart"/>
            <w:tcBorders>
              <w:top w:val="single" w:sz="12" w:space="0" w:color="auto"/>
              <w:left w:val="nil"/>
              <w:bottom w:val="single" w:sz="4" w:space="0" w:color="auto"/>
              <w:right w:val="single" w:sz="4" w:space="0" w:color="auto"/>
            </w:tcBorders>
            <w:noWrap/>
            <w:vAlign w:val="center"/>
          </w:tcPr>
          <w:p w:rsidR="00E03AD9" w:rsidRPr="00F9522B" w:rsidRDefault="00E03AD9" w:rsidP="005510C6">
            <w:pPr>
              <w:jc w:val="center"/>
              <w:rPr>
                <w:rFonts w:eastAsiaTheme="minorEastAsia"/>
                <w:kern w:val="0"/>
                <w:szCs w:val="21"/>
              </w:rPr>
            </w:pPr>
            <w:r w:rsidRPr="00F9522B">
              <w:rPr>
                <w:rFonts w:eastAsiaTheme="minorEastAsia"/>
                <w:kern w:val="0"/>
                <w:szCs w:val="21"/>
              </w:rPr>
              <w:t>排入河流</w:t>
            </w:r>
          </w:p>
        </w:tc>
        <w:tc>
          <w:tcPr>
            <w:tcW w:w="1491" w:type="pct"/>
            <w:gridSpan w:val="4"/>
            <w:tcBorders>
              <w:top w:val="single" w:sz="12" w:space="0" w:color="auto"/>
              <w:left w:val="single" w:sz="4" w:space="0" w:color="auto"/>
              <w:bottom w:val="single" w:sz="4" w:space="0" w:color="auto"/>
              <w:right w:val="single" w:sz="4" w:space="0" w:color="auto"/>
            </w:tcBorders>
            <w:noWrap/>
            <w:vAlign w:val="center"/>
          </w:tcPr>
          <w:p w:rsidR="00E03AD9" w:rsidRPr="00F9522B" w:rsidRDefault="00E03AD9" w:rsidP="005510C6">
            <w:pPr>
              <w:jc w:val="center"/>
              <w:rPr>
                <w:rFonts w:eastAsiaTheme="minorEastAsia"/>
                <w:kern w:val="0"/>
                <w:szCs w:val="21"/>
              </w:rPr>
            </w:pPr>
            <w:r w:rsidRPr="00F9522B">
              <w:rPr>
                <w:rFonts w:eastAsiaTheme="minorEastAsia"/>
                <w:kern w:val="0"/>
                <w:szCs w:val="21"/>
              </w:rPr>
              <w:t>建成前</w:t>
            </w:r>
          </w:p>
        </w:tc>
        <w:tc>
          <w:tcPr>
            <w:tcW w:w="1518" w:type="pct"/>
            <w:gridSpan w:val="4"/>
            <w:tcBorders>
              <w:top w:val="single" w:sz="12" w:space="0" w:color="auto"/>
              <w:left w:val="single" w:sz="4" w:space="0" w:color="auto"/>
              <w:bottom w:val="single" w:sz="4" w:space="0" w:color="auto"/>
              <w:right w:val="single" w:sz="4" w:space="0" w:color="auto"/>
            </w:tcBorders>
            <w:noWrap/>
            <w:vAlign w:val="center"/>
          </w:tcPr>
          <w:p w:rsidR="00E03AD9" w:rsidRPr="00F9522B" w:rsidRDefault="00E03AD9" w:rsidP="005510C6">
            <w:pPr>
              <w:jc w:val="center"/>
              <w:rPr>
                <w:rFonts w:eastAsiaTheme="minorEastAsia"/>
                <w:kern w:val="0"/>
                <w:szCs w:val="21"/>
              </w:rPr>
            </w:pPr>
            <w:r w:rsidRPr="00F9522B">
              <w:rPr>
                <w:rFonts w:eastAsiaTheme="minorEastAsia"/>
                <w:kern w:val="0"/>
                <w:szCs w:val="21"/>
              </w:rPr>
              <w:t>建成后</w:t>
            </w:r>
          </w:p>
        </w:tc>
        <w:tc>
          <w:tcPr>
            <w:tcW w:w="1439" w:type="pct"/>
            <w:gridSpan w:val="4"/>
            <w:tcBorders>
              <w:top w:val="single" w:sz="12" w:space="0" w:color="auto"/>
              <w:left w:val="single" w:sz="4" w:space="0" w:color="auto"/>
              <w:bottom w:val="single" w:sz="4" w:space="0" w:color="auto"/>
              <w:right w:val="nil"/>
            </w:tcBorders>
            <w:noWrap/>
            <w:vAlign w:val="center"/>
          </w:tcPr>
          <w:p w:rsidR="00E03AD9" w:rsidRPr="00F9522B" w:rsidRDefault="00E03AD9" w:rsidP="005510C6">
            <w:pPr>
              <w:jc w:val="center"/>
              <w:rPr>
                <w:rFonts w:eastAsiaTheme="minorEastAsia"/>
                <w:kern w:val="0"/>
                <w:szCs w:val="21"/>
              </w:rPr>
            </w:pPr>
            <w:r w:rsidRPr="00F9522B">
              <w:rPr>
                <w:rFonts w:eastAsiaTheme="minorEastAsia"/>
                <w:kern w:val="0"/>
                <w:szCs w:val="21"/>
              </w:rPr>
              <w:t>变化情况</w:t>
            </w:r>
          </w:p>
        </w:tc>
      </w:tr>
      <w:tr w:rsidR="00E03AD9" w:rsidRPr="00F9522B" w:rsidTr="005510C6">
        <w:trPr>
          <w:trHeight w:val="280"/>
          <w:tblHeader/>
          <w:jc w:val="center"/>
        </w:trPr>
        <w:tc>
          <w:tcPr>
            <w:tcW w:w="552" w:type="pct"/>
            <w:vMerge/>
            <w:tcBorders>
              <w:top w:val="single" w:sz="4" w:space="0" w:color="auto"/>
              <w:left w:val="nil"/>
              <w:bottom w:val="single" w:sz="4" w:space="0" w:color="auto"/>
              <w:right w:val="single" w:sz="4" w:space="0" w:color="auto"/>
            </w:tcBorders>
            <w:vAlign w:val="center"/>
          </w:tcPr>
          <w:p w:rsidR="00E03AD9" w:rsidRPr="00F9522B" w:rsidRDefault="00E03AD9" w:rsidP="005510C6">
            <w:pPr>
              <w:jc w:val="center"/>
              <w:rPr>
                <w:rFonts w:eastAsiaTheme="minorEastAsia"/>
                <w:kern w:val="0"/>
                <w:szCs w:val="21"/>
              </w:rPr>
            </w:pPr>
          </w:p>
        </w:tc>
        <w:tc>
          <w:tcPr>
            <w:tcW w:w="420" w:type="pct"/>
            <w:tcBorders>
              <w:top w:val="single" w:sz="4" w:space="0" w:color="auto"/>
              <w:left w:val="single" w:sz="4" w:space="0" w:color="auto"/>
              <w:bottom w:val="single" w:sz="4" w:space="0" w:color="auto"/>
              <w:right w:val="single" w:sz="4" w:space="0" w:color="auto"/>
            </w:tcBorders>
            <w:noWrap/>
            <w:vAlign w:val="center"/>
          </w:tcPr>
          <w:p w:rsidR="00E03AD9" w:rsidRPr="00F9522B" w:rsidRDefault="00E03AD9" w:rsidP="005510C6">
            <w:pPr>
              <w:jc w:val="center"/>
              <w:rPr>
                <w:rFonts w:eastAsiaTheme="minorEastAsia"/>
                <w:kern w:val="0"/>
                <w:szCs w:val="21"/>
              </w:rPr>
            </w:pPr>
            <w:r w:rsidRPr="00F9522B">
              <w:rPr>
                <w:rFonts w:eastAsiaTheme="minorEastAsia"/>
                <w:kern w:val="0"/>
                <w:szCs w:val="21"/>
              </w:rPr>
              <w:t>COD</w:t>
            </w:r>
          </w:p>
        </w:tc>
        <w:tc>
          <w:tcPr>
            <w:tcW w:w="340" w:type="pct"/>
            <w:tcBorders>
              <w:top w:val="single" w:sz="4" w:space="0" w:color="auto"/>
              <w:left w:val="single" w:sz="4" w:space="0" w:color="auto"/>
              <w:bottom w:val="single" w:sz="4" w:space="0" w:color="auto"/>
              <w:right w:val="single" w:sz="4" w:space="0" w:color="auto"/>
            </w:tcBorders>
            <w:noWrap/>
            <w:vAlign w:val="center"/>
          </w:tcPr>
          <w:p w:rsidR="00E03AD9" w:rsidRPr="00F9522B" w:rsidRDefault="00E03AD9" w:rsidP="005510C6">
            <w:pPr>
              <w:jc w:val="center"/>
              <w:rPr>
                <w:rFonts w:eastAsiaTheme="minorEastAsia"/>
                <w:kern w:val="0"/>
                <w:szCs w:val="21"/>
              </w:rPr>
            </w:pPr>
            <w:r w:rsidRPr="00F9522B">
              <w:rPr>
                <w:rFonts w:eastAsiaTheme="minorEastAsia"/>
                <w:kern w:val="0"/>
                <w:szCs w:val="21"/>
              </w:rPr>
              <w:t>氨氮</w:t>
            </w:r>
          </w:p>
        </w:tc>
        <w:tc>
          <w:tcPr>
            <w:tcW w:w="366" w:type="pct"/>
            <w:tcBorders>
              <w:top w:val="single" w:sz="4" w:space="0" w:color="auto"/>
              <w:left w:val="single" w:sz="4" w:space="0" w:color="auto"/>
              <w:bottom w:val="single" w:sz="4" w:space="0" w:color="auto"/>
              <w:right w:val="single" w:sz="4" w:space="0" w:color="auto"/>
            </w:tcBorders>
            <w:vAlign w:val="center"/>
          </w:tcPr>
          <w:p w:rsidR="00E03AD9" w:rsidRPr="00F9522B" w:rsidRDefault="00E03AD9" w:rsidP="005510C6">
            <w:pPr>
              <w:jc w:val="center"/>
              <w:rPr>
                <w:rFonts w:eastAsiaTheme="minorEastAsia"/>
                <w:kern w:val="0"/>
                <w:szCs w:val="21"/>
              </w:rPr>
            </w:pPr>
            <w:r w:rsidRPr="00F9522B">
              <w:rPr>
                <w:rFonts w:eastAsiaTheme="minorEastAsia"/>
                <w:kern w:val="0"/>
                <w:szCs w:val="21"/>
              </w:rPr>
              <w:t>总磷</w:t>
            </w:r>
          </w:p>
        </w:tc>
        <w:tc>
          <w:tcPr>
            <w:tcW w:w="366" w:type="pct"/>
            <w:tcBorders>
              <w:top w:val="single" w:sz="4" w:space="0" w:color="auto"/>
              <w:left w:val="single" w:sz="4" w:space="0" w:color="auto"/>
              <w:bottom w:val="single" w:sz="4" w:space="0" w:color="auto"/>
              <w:right w:val="single" w:sz="4" w:space="0" w:color="auto"/>
            </w:tcBorders>
            <w:vAlign w:val="center"/>
          </w:tcPr>
          <w:p w:rsidR="00E03AD9" w:rsidRPr="00F9522B" w:rsidRDefault="00E03AD9" w:rsidP="005510C6">
            <w:pPr>
              <w:jc w:val="center"/>
              <w:rPr>
                <w:rFonts w:eastAsiaTheme="minorEastAsia"/>
                <w:color w:val="FF0000"/>
                <w:kern w:val="0"/>
                <w:szCs w:val="21"/>
              </w:rPr>
            </w:pPr>
            <w:r w:rsidRPr="00F9522B">
              <w:rPr>
                <w:rFonts w:eastAsiaTheme="minorEastAsia"/>
                <w:color w:val="FF0000"/>
                <w:kern w:val="0"/>
                <w:szCs w:val="21"/>
              </w:rPr>
              <w:t>总氮</w:t>
            </w:r>
          </w:p>
        </w:tc>
        <w:tc>
          <w:tcPr>
            <w:tcW w:w="420" w:type="pct"/>
            <w:tcBorders>
              <w:top w:val="single" w:sz="4" w:space="0" w:color="auto"/>
              <w:left w:val="single" w:sz="4" w:space="0" w:color="auto"/>
              <w:bottom w:val="single" w:sz="4" w:space="0" w:color="auto"/>
              <w:right w:val="single" w:sz="4" w:space="0" w:color="auto"/>
            </w:tcBorders>
            <w:noWrap/>
            <w:vAlign w:val="center"/>
          </w:tcPr>
          <w:p w:rsidR="00E03AD9" w:rsidRPr="00F9522B" w:rsidRDefault="00E03AD9" w:rsidP="005510C6">
            <w:pPr>
              <w:jc w:val="center"/>
              <w:rPr>
                <w:rFonts w:eastAsiaTheme="minorEastAsia"/>
                <w:kern w:val="0"/>
                <w:szCs w:val="21"/>
              </w:rPr>
            </w:pPr>
            <w:r w:rsidRPr="00F9522B">
              <w:rPr>
                <w:rFonts w:eastAsiaTheme="minorEastAsia"/>
                <w:kern w:val="0"/>
                <w:szCs w:val="21"/>
              </w:rPr>
              <w:t>COD</w:t>
            </w:r>
          </w:p>
        </w:tc>
        <w:tc>
          <w:tcPr>
            <w:tcW w:w="366" w:type="pct"/>
            <w:tcBorders>
              <w:top w:val="single" w:sz="4" w:space="0" w:color="auto"/>
              <w:left w:val="single" w:sz="4" w:space="0" w:color="auto"/>
              <w:bottom w:val="single" w:sz="4" w:space="0" w:color="auto"/>
              <w:right w:val="single" w:sz="4" w:space="0" w:color="auto"/>
            </w:tcBorders>
            <w:noWrap/>
            <w:vAlign w:val="center"/>
          </w:tcPr>
          <w:p w:rsidR="00E03AD9" w:rsidRPr="00F9522B" w:rsidRDefault="00E03AD9" w:rsidP="005510C6">
            <w:pPr>
              <w:jc w:val="center"/>
              <w:rPr>
                <w:rFonts w:eastAsiaTheme="minorEastAsia"/>
                <w:kern w:val="0"/>
                <w:szCs w:val="21"/>
              </w:rPr>
            </w:pPr>
            <w:r w:rsidRPr="00F9522B">
              <w:rPr>
                <w:rFonts w:eastAsiaTheme="minorEastAsia"/>
                <w:kern w:val="0"/>
                <w:szCs w:val="21"/>
              </w:rPr>
              <w:t>氨氮</w:t>
            </w:r>
          </w:p>
        </w:tc>
        <w:tc>
          <w:tcPr>
            <w:tcW w:w="366" w:type="pct"/>
            <w:tcBorders>
              <w:top w:val="single" w:sz="4" w:space="0" w:color="auto"/>
              <w:left w:val="single" w:sz="4" w:space="0" w:color="auto"/>
              <w:bottom w:val="single" w:sz="4" w:space="0" w:color="auto"/>
              <w:right w:val="single" w:sz="4" w:space="0" w:color="auto"/>
            </w:tcBorders>
            <w:vAlign w:val="center"/>
          </w:tcPr>
          <w:p w:rsidR="00E03AD9" w:rsidRPr="00F9522B" w:rsidRDefault="00E03AD9" w:rsidP="005510C6">
            <w:pPr>
              <w:jc w:val="center"/>
              <w:rPr>
                <w:rFonts w:eastAsiaTheme="minorEastAsia"/>
                <w:kern w:val="0"/>
                <w:szCs w:val="21"/>
              </w:rPr>
            </w:pPr>
            <w:r w:rsidRPr="00F9522B">
              <w:rPr>
                <w:rFonts w:eastAsiaTheme="minorEastAsia"/>
                <w:kern w:val="0"/>
                <w:szCs w:val="21"/>
              </w:rPr>
              <w:t>总磷</w:t>
            </w:r>
          </w:p>
        </w:tc>
        <w:tc>
          <w:tcPr>
            <w:tcW w:w="366" w:type="pct"/>
            <w:tcBorders>
              <w:top w:val="single" w:sz="4" w:space="0" w:color="auto"/>
              <w:left w:val="single" w:sz="4" w:space="0" w:color="auto"/>
              <w:bottom w:val="single" w:sz="4" w:space="0" w:color="auto"/>
              <w:right w:val="single" w:sz="4" w:space="0" w:color="auto"/>
            </w:tcBorders>
            <w:vAlign w:val="center"/>
          </w:tcPr>
          <w:p w:rsidR="00E03AD9" w:rsidRPr="00F9522B" w:rsidRDefault="00E03AD9" w:rsidP="005510C6">
            <w:pPr>
              <w:jc w:val="center"/>
              <w:rPr>
                <w:rFonts w:eastAsiaTheme="minorEastAsia"/>
                <w:color w:val="FF0000"/>
                <w:kern w:val="0"/>
                <w:szCs w:val="21"/>
              </w:rPr>
            </w:pPr>
            <w:r w:rsidRPr="00F9522B">
              <w:rPr>
                <w:rFonts w:eastAsiaTheme="minorEastAsia"/>
                <w:color w:val="FF0000"/>
                <w:kern w:val="0"/>
                <w:szCs w:val="21"/>
              </w:rPr>
              <w:t>总氮</w:t>
            </w:r>
          </w:p>
        </w:tc>
        <w:tc>
          <w:tcPr>
            <w:tcW w:w="402" w:type="pct"/>
            <w:tcBorders>
              <w:top w:val="single" w:sz="4" w:space="0" w:color="auto"/>
              <w:left w:val="single" w:sz="4" w:space="0" w:color="auto"/>
              <w:bottom w:val="single" w:sz="4" w:space="0" w:color="auto"/>
              <w:right w:val="single" w:sz="4" w:space="0" w:color="auto"/>
            </w:tcBorders>
            <w:noWrap/>
            <w:vAlign w:val="center"/>
          </w:tcPr>
          <w:p w:rsidR="00E03AD9" w:rsidRPr="00F9522B" w:rsidRDefault="00E03AD9" w:rsidP="005510C6">
            <w:pPr>
              <w:jc w:val="center"/>
              <w:rPr>
                <w:rFonts w:eastAsiaTheme="minorEastAsia"/>
                <w:kern w:val="0"/>
                <w:szCs w:val="21"/>
              </w:rPr>
            </w:pPr>
            <w:r w:rsidRPr="00F9522B">
              <w:rPr>
                <w:rFonts w:eastAsiaTheme="minorEastAsia"/>
                <w:kern w:val="0"/>
                <w:szCs w:val="21"/>
              </w:rPr>
              <w:t>COD</w:t>
            </w:r>
          </w:p>
        </w:tc>
        <w:tc>
          <w:tcPr>
            <w:tcW w:w="402" w:type="pct"/>
            <w:tcBorders>
              <w:top w:val="single" w:sz="4" w:space="0" w:color="auto"/>
              <w:left w:val="single" w:sz="4" w:space="0" w:color="auto"/>
              <w:bottom w:val="single" w:sz="4" w:space="0" w:color="auto"/>
              <w:right w:val="nil"/>
            </w:tcBorders>
            <w:noWrap/>
            <w:vAlign w:val="center"/>
          </w:tcPr>
          <w:p w:rsidR="00E03AD9" w:rsidRPr="00F9522B" w:rsidRDefault="00E03AD9" w:rsidP="005510C6">
            <w:pPr>
              <w:jc w:val="center"/>
              <w:rPr>
                <w:rFonts w:eastAsiaTheme="minorEastAsia"/>
                <w:kern w:val="0"/>
                <w:szCs w:val="21"/>
              </w:rPr>
            </w:pPr>
            <w:r w:rsidRPr="00F9522B">
              <w:rPr>
                <w:rFonts w:eastAsiaTheme="minorEastAsia"/>
                <w:kern w:val="0"/>
                <w:szCs w:val="21"/>
              </w:rPr>
              <w:t>氨氮</w:t>
            </w:r>
          </w:p>
        </w:tc>
        <w:tc>
          <w:tcPr>
            <w:tcW w:w="402" w:type="pct"/>
            <w:tcBorders>
              <w:top w:val="single" w:sz="4" w:space="0" w:color="auto"/>
              <w:left w:val="single" w:sz="4" w:space="0" w:color="auto"/>
              <w:bottom w:val="single" w:sz="4" w:space="0" w:color="auto"/>
              <w:right w:val="nil"/>
            </w:tcBorders>
            <w:vAlign w:val="center"/>
          </w:tcPr>
          <w:p w:rsidR="00E03AD9" w:rsidRPr="00F9522B" w:rsidRDefault="00E03AD9" w:rsidP="005510C6">
            <w:pPr>
              <w:jc w:val="center"/>
              <w:rPr>
                <w:rFonts w:eastAsiaTheme="minorEastAsia"/>
                <w:kern w:val="0"/>
                <w:szCs w:val="21"/>
              </w:rPr>
            </w:pPr>
            <w:r w:rsidRPr="00F9522B">
              <w:rPr>
                <w:rFonts w:eastAsiaTheme="minorEastAsia"/>
                <w:kern w:val="0"/>
                <w:szCs w:val="21"/>
              </w:rPr>
              <w:t>总磷</w:t>
            </w:r>
          </w:p>
        </w:tc>
        <w:tc>
          <w:tcPr>
            <w:tcW w:w="233" w:type="pct"/>
            <w:tcBorders>
              <w:top w:val="single" w:sz="4" w:space="0" w:color="auto"/>
              <w:left w:val="single" w:sz="4" w:space="0" w:color="auto"/>
              <w:bottom w:val="single" w:sz="4" w:space="0" w:color="auto"/>
              <w:right w:val="nil"/>
            </w:tcBorders>
            <w:vAlign w:val="center"/>
          </w:tcPr>
          <w:p w:rsidR="00E03AD9" w:rsidRPr="00F9522B" w:rsidRDefault="00E03AD9" w:rsidP="005510C6">
            <w:pPr>
              <w:jc w:val="center"/>
              <w:rPr>
                <w:rFonts w:eastAsiaTheme="minorEastAsia"/>
                <w:color w:val="FF0000"/>
                <w:kern w:val="0"/>
                <w:szCs w:val="21"/>
              </w:rPr>
            </w:pPr>
            <w:r w:rsidRPr="00F9522B">
              <w:rPr>
                <w:rFonts w:eastAsiaTheme="minorEastAsia"/>
                <w:color w:val="FF0000"/>
                <w:kern w:val="0"/>
                <w:szCs w:val="21"/>
              </w:rPr>
              <w:t>总氮</w:t>
            </w:r>
          </w:p>
        </w:tc>
      </w:tr>
      <w:tr w:rsidR="00E03AD9" w:rsidRPr="00F9522B" w:rsidTr="005510C6">
        <w:trPr>
          <w:trHeight w:val="280"/>
          <w:jc w:val="center"/>
        </w:trPr>
        <w:tc>
          <w:tcPr>
            <w:tcW w:w="552" w:type="pct"/>
            <w:tcBorders>
              <w:top w:val="single" w:sz="4" w:space="0" w:color="auto"/>
              <w:left w:val="nil"/>
              <w:bottom w:val="single" w:sz="4" w:space="0" w:color="auto"/>
              <w:right w:val="single" w:sz="4" w:space="0" w:color="auto"/>
            </w:tcBorders>
            <w:noWrap/>
            <w:vAlign w:val="center"/>
          </w:tcPr>
          <w:p w:rsidR="00E03AD9" w:rsidRPr="00F9522B" w:rsidRDefault="00E03AD9" w:rsidP="005510C6">
            <w:pPr>
              <w:jc w:val="center"/>
              <w:rPr>
                <w:rFonts w:eastAsiaTheme="minorEastAsia"/>
                <w:kern w:val="0"/>
                <w:szCs w:val="21"/>
              </w:rPr>
            </w:pPr>
            <w:r w:rsidRPr="00F9522B">
              <w:rPr>
                <w:rFonts w:eastAsiaTheme="minorEastAsia"/>
                <w:szCs w:val="21"/>
              </w:rPr>
              <w:t>松花江</w:t>
            </w:r>
          </w:p>
        </w:tc>
        <w:tc>
          <w:tcPr>
            <w:tcW w:w="420" w:type="pct"/>
            <w:tcBorders>
              <w:top w:val="single" w:sz="4" w:space="0" w:color="auto"/>
              <w:left w:val="single" w:sz="4" w:space="0" w:color="auto"/>
              <w:bottom w:val="single" w:sz="4" w:space="0" w:color="auto"/>
              <w:right w:val="single" w:sz="4" w:space="0" w:color="auto"/>
            </w:tcBorders>
            <w:noWrap/>
            <w:vAlign w:val="center"/>
          </w:tcPr>
          <w:p w:rsidR="00E03AD9" w:rsidRPr="00F9522B" w:rsidRDefault="00E03AD9" w:rsidP="005510C6">
            <w:pPr>
              <w:jc w:val="center"/>
              <w:rPr>
                <w:szCs w:val="21"/>
              </w:rPr>
            </w:pPr>
            <w:r w:rsidRPr="00F9522B">
              <w:rPr>
                <w:szCs w:val="21"/>
              </w:rPr>
              <w:t>19.664</w:t>
            </w:r>
          </w:p>
        </w:tc>
        <w:tc>
          <w:tcPr>
            <w:tcW w:w="340" w:type="pct"/>
            <w:tcBorders>
              <w:top w:val="single" w:sz="4" w:space="0" w:color="auto"/>
              <w:left w:val="single" w:sz="4" w:space="0" w:color="auto"/>
              <w:bottom w:val="single" w:sz="4" w:space="0" w:color="auto"/>
              <w:right w:val="single" w:sz="4" w:space="0" w:color="auto"/>
            </w:tcBorders>
            <w:noWrap/>
            <w:vAlign w:val="center"/>
          </w:tcPr>
          <w:p w:rsidR="00E03AD9" w:rsidRPr="00F9522B" w:rsidRDefault="00E03AD9" w:rsidP="005510C6">
            <w:pPr>
              <w:jc w:val="center"/>
              <w:rPr>
                <w:szCs w:val="21"/>
              </w:rPr>
            </w:pPr>
            <w:r w:rsidRPr="00F9522B">
              <w:rPr>
                <w:szCs w:val="21"/>
              </w:rPr>
              <w:t>0.47</w:t>
            </w:r>
          </w:p>
        </w:tc>
        <w:tc>
          <w:tcPr>
            <w:tcW w:w="366" w:type="pct"/>
            <w:tcBorders>
              <w:top w:val="single" w:sz="4" w:space="0" w:color="auto"/>
              <w:left w:val="single" w:sz="4" w:space="0" w:color="auto"/>
              <w:bottom w:val="single" w:sz="4" w:space="0" w:color="auto"/>
              <w:right w:val="single" w:sz="4" w:space="0" w:color="auto"/>
            </w:tcBorders>
            <w:vAlign w:val="center"/>
          </w:tcPr>
          <w:p w:rsidR="00E03AD9" w:rsidRPr="00F9522B" w:rsidRDefault="00E03AD9" w:rsidP="005510C6">
            <w:pPr>
              <w:jc w:val="center"/>
              <w:rPr>
                <w:szCs w:val="21"/>
              </w:rPr>
            </w:pPr>
            <w:r w:rsidRPr="00F9522B">
              <w:rPr>
                <w:szCs w:val="21"/>
              </w:rPr>
              <w:t>0.687</w:t>
            </w:r>
          </w:p>
        </w:tc>
        <w:tc>
          <w:tcPr>
            <w:tcW w:w="366" w:type="pct"/>
            <w:tcBorders>
              <w:top w:val="single" w:sz="4" w:space="0" w:color="auto"/>
              <w:left w:val="single" w:sz="4" w:space="0" w:color="auto"/>
              <w:bottom w:val="single" w:sz="4" w:space="0" w:color="auto"/>
              <w:right w:val="single" w:sz="4" w:space="0" w:color="auto"/>
            </w:tcBorders>
            <w:vAlign w:val="center"/>
          </w:tcPr>
          <w:p w:rsidR="00E03AD9" w:rsidRPr="00F9522B" w:rsidRDefault="00E03AD9" w:rsidP="005510C6">
            <w:pPr>
              <w:jc w:val="center"/>
              <w:rPr>
                <w:color w:val="FF0000"/>
                <w:szCs w:val="21"/>
              </w:rPr>
            </w:pPr>
            <w:r w:rsidRPr="00F9522B">
              <w:rPr>
                <w:color w:val="FF0000"/>
                <w:szCs w:val="21"/>
              </w:rPr>
              <w:t xml:space="preserve">1.567 </w:t>
            </w:r>
          </w:p>
        </w:tc>
        <w:tc>
          <w:tcPr>
            <w:tcW w:w="420" w:type="pct"/>
            <w:tcBorders>
              <w:top w:val="single" w:sz="4" w:space="0" w:color="auto"/>
              <w:left w:val="single" w:sz="4" w:space="0" w:color="auto"/>
              <w:bottom w:val="single" w:sz="4" w:space="0" w:color="auto"/>
              <w:right w:val="single" w:sz="4" w:space="0" w:color="auto"/>
            </w:tcBorders>
            <w:noWrap/>
            <w:vAlign w:val="center"/>
          </w:tcPr>
          <w:p w:rsidR="00E03AD9" w:rsidRPr="00F9522B" w:rsidRDefault="00E03AD9" w:rsidP="005510C6">
            <w:pPr>
              <w:jc w:val="center"/>
              <w:rPr>
                <w:szCs w:val="21"/>
              </w:rPr>
            </w:pPr>
            <w:r w:rsidRPr="00F9522B">
              <w:rPr>
                <w:szCs w:val="21"/>
              </w:rPr>
              <w:t>14.202</w:t>
            </w:r>
          </w:p>
        </w:tc>
        <w:tc>
          <w:tcPr>
            <w:tcW w:w="366" w:type="pct"/>
            <w:tcBorders>
              <w:top w:val="single" w:sz="4" w:space="0" w:color="auto"/>
              <w:left w:val="single" w:sz="4" w:space="0" w:color="auto"/>
              <w:bottom w:val="single" w:sz="4" w:space="0" w:color="auto"/>
              <w:right w:val="single" w:sz="4" w:space="0" w:color="auto"/>
            </w:tcBorders>
            <w:noWrap/>
            <w:vAlign w:val="center"/>
          </w:tcPr>
          <w:p w:rsidR="00E03AD9" w:rsidRPr="00F9522B" w:rsidRDefault="00E03AD9" w:rsidP="005510C6">
            <w:pPr>
              <w:jc w:val="center"/>
              <w:rPr>
                <w:szCs w:val="21"/>
              </w:rPr>
            </w:pPr>
            <w:r w:rsidRPr="00F9522B">
              <w:rPr>
                <w:szCs w:val="21"/>
              </w:rPr>
              <w:t>0.34</w:t>
            </w:r>
          </w:p>
        </w:tc>
        <w:tc>
          <w:tcPr>
            <w:tcW w:w="366" w:type="pct"/>
            <w:tcBorders>
              <w:top w:val="single" w:sz="4" w:space="0" w:color="auto"/>
              <w:left w:val="single" w:sz="4" w:space="0" w:color="auto"/>
              <w:bottom w:val="single" w:sz="4" w:space="0" w:color="auto"/>
              <w:right w:val="single" w:sz="4" w:space="0" w:color="auto"/>
            </w:tcBorders>
            <w:vAlign w:val="center"/>
          </w:tcPr>
          <w:p w:rsidR="00E03AD9" w:rsidRPr="00F9522B" w:rsidRDefault="00E03AD9" w:rsidP="005510C6">
            <w:pPr>
              <w:jc w:val="center"/>
              <w:rPr>
                <w:szCs w:val="21"/>
              </w:rPr>
            </w:pPr>
            <w:r w:rsidRPr="00F9522B">
              <w:rPr>
                <w:szCs w:val="21"/>
              </w:rPr>
              <w:t>0.496</w:t>
            </w:r>
          </w:p>
        </w:tc>
        <w:tc>
          <w:tcPr>
            <w:tcW w:w="366" w:type="pct"/>
            <w:tcBorders>
              <w:top w:val="single" w:sz="4" w:space="0" w:color="auto"/>
              <w:left w:val="single" w:sz="4" w:space="0" w:color="auto"/>
              <w:bottom w:val="single" w:sz="4" w:space="0" w:color="auto"/>
              <w:right w:val="single" w:sz="4" w:space="0" w:color="auto"/>
            </w:tcBorders>
            <w:vAlign w:val="center"/>
          </w:tcPr>
          <w:p w:rsidR="00E03AD9" w:rsidRPr="00F9522B" w:rsidRDefault="00E03AD9" w:rsidP="005510C6">
            <w:pPr>
              <w:jc w:val="center"/>
              <w:rPr>
                <w:color w:val="FF0000"/>
                <w:szCs w:val="21"/>
              </w:rPr>
            </w:pPr>
            <w:r w:rsidRPr="00F9522B">
              <w:rPr>
                <w:color w:val="FF0000"/>
                <w:szCs w:val="21"/>
              </w:rPr>
              <w:t xml:space="preserve">1.132 </w:t>
            </w:r>
          </w:p>
        </w:tc>
        <w:tc>
          <w:tcPr>
            <w:tcW w:w="402" w:type="pct"/>
            <w:tcBorders>
              <w:top w:val="single" w:sz="4" w:space="0" w:color="auto"/>
              <w:left w:val="single" w:sz="4" w:space="0" w:color="auto"/>
              <w:bottom w:val="single" w:sz="4" w:space="0" w:color="auto"/>
              <w:right w:val="single" w:sz="4" w:space="0" w:color="auto"/>
            </w:tcBorders>
            <w:noWrap/>
            <w:vAlign w:val="center"/>
          </w:tcPr>
          <w:p w:rsidR="00E03AD9" w:rsidRPr="00F9522B" w:rsidRDefault="00E03AD9" w:rsidP="005510C6">
            <w:pPr>
              <w:jc w:val="center"/>
              <w:rPr>
                <w:szCs w:val="21"/>
              </w:rPr>
            </w:pPr>
            <w:r w:rsidRPr="00F9522B">
              <w:rPr>
                <w:szCs w:val="21"/>
              </w:rPr>
              <w:t>-5.462</w:t>
            </w:r>
          </w:p>
        </w:tc>
        <w:tc>
          <w:tcPr>
            <w:tcW w:w="402" w:type="pct"/>
            <w:tcBorders>
              <w:top w:val="single" w:sz="4" w:space="0" w:color="auto"/>
              <w:left w:val="single" w:sz="4" w:space="0" w:color="auto"/>
              <w:bottom w:val="single" w:sz="4" w:space="0" w:color="auto"/>
              <w:right w:val="nil"/>
            </w:tcBorders>
            <w:noWrap/>
            <w:vAlign w:val="center"/>
          </w:tcPr>
          <w:p w:rsidR="00E03AD9" w:rsidRPr="00F9522B" w:rsidRDefault="00E03AD9" w:rsidP="005510C6">
            <w:pPr>
              <w:jc w:val="center"/>
              <w:rPr>
                <w:szCs w:val="21"/>
              </w:rPr>
            </w:pPr>
            <w:r w:rsidRPr="00F9522B">
              <w:rPr>
                <w:szCs w:val="21"/>
              </w:rPr>
              <w:t>-0.131</w:t>
            </w:r>
          </w:p>
        </w:tc>
        <w:tc>
          <w:tcPr>
            <w:tcW w:w="402" w:type="pct"/>
            <w:tcBorders>
              <w:top w:val="single" w:sz="4" w:space="0" w:color="auto"/>
              <w:left w:val="single" w:sz="4" w:space="0" w:color="auto"/>
              <w:bottom w:val="single" w:sz="4" w:space="0" w:color="auto"/>
              <w:right w:val="nil"/>
            </w:tcBorders>
            <w:vAlign w:val="center"/>
          </w:tcPr>
          <w:p w:rsidR="00E03AD9" w:rsidRPr="00F9522B" w:rsidRDefault="00E03AD9" w:rsidP="005510C6">
            <w:pPr>
              <w:jc w:val="center"/>
              <w:rPr>
                <w:szCs w:val="21"/>
              </w:rPr>
            </w:pPr>
            <w:r w:rsidRPr="00F9522B">
              <w:rPr>
                <w:szCs w:val="21"/>
              </w:rPr>
              <w:t>-0.191</w:t>
            </w:r>
          </w:p>
        </w:tc>
        <w:tc>
          <w:tcPr>
            <w:tcW w:w="233" w:type="pct"/>
            <w:tcBorders>
              <w:top w:val="single" w:sz="4" w:space="0" w:color="auto"/>
              <w:left w:val="single" w:sz="4" w:space="0" w:color="auto"/>
              <w:bottom w:val="single" w:sz="4" w:space="0" w:color="auto"/>
              <w:right w:val="nil"/>
            </w:tcBorders>
            <w:vAlign w:val="center"/>
          </w:tcPr>
          <w:p w:rsidR="00E03AD9" w:rsidRPr="00F9522B" w:rsidRDefault="00E03AD9" w:rsidP="005510C6">
            <w:pPr>
              <w:jc w:val="center"/>
              <w:rPr>
                <w:color w:val="FF0000"/>
                <w:szCs w:val="21"/>
              </w:rPr>
            </w:pPr>
            <w:r w:rsidRPr="00F9522B">
              <w:rPr>
                <w:color w:val="FF0000"/>
                <w:szCs w:val="21"/>
              </w:rPr>
              <w:t xml:space="preserve">-0.435 </w:t>
            </w:r>
          </w:p>
        </w:tc>
      </w:tr>
      <w:tr w:rsidR="00E03AD9" w:rsidRPr="00F9522B" w:rsidTr="005510C6">
        <w:trPr>
          <w:trHeight w:val="280"/>
          <w:jc w:val="center"/>
        </w:trPr>
        <w:tc>
          <w:tcPr>
            <w:tcW w:w="552" w:type="pct"/>
            <w:tcBorders>
              <w:top w:val="single" w:sz="4" w:space="0" w:color="auto"/>
              <w:left w:val="nil"/>
              <w:bottom w:val="single" w:sz="4" w:space="0" w:color="auto"/>
              <w:right w:val="single" w:sz="4" w:space="0" w:color="auto"/>
            </w:tcBorders>
            <w:noWrap/>
            <w:vAlign w:val="center"/>
          </w:tcPr>
          <w:p w:rsidR="00E03AD9" w:rsidRPr="00F9522B" w:rsidRDefault="00E03AD9" w:rsidP="005510C6">
            <w:pPr>
              <w:jc w:val="center"/>
              <w:rPr>
                <w:rFonts w:eastAsiaTheme="minorEastAsia"/>
                <w:kern w:val="0"/>
                <w:szCs w:val="21"/>
              </w:rPr>
            </w:pPr>
            <w:r w:rsidRPr="00F9522B">
              <w:rPr>
                <w:rFonts w:eastAsiaTheme="minorEastAsia"/>
                <w:szCs w:val="21"/>
              </w:rPr>
              <w:t>漂河</w:t>
            </w:r>
          </w:p>
        </w:tc>
        <w:tc>
          <w:tcPr>
            <w:tcW w:w="420" w:type="pct"/>
            <w:tcBorders>
              <w:top w:val="single" w:sz="4" w:space="0" w:color="auto"/>
              <w:left w:val="single" w:sz="4" w:space="0" w:color="auto"/>
              <w:bottom w:val="single" w:sz="4" w:space="0" w:color="auto"/>
              <w:right w:val="single" w:sz="4" w:space="0" w:color="auto"/>
            </w:tcBorders>
            <w:noWrap/>
            <w:vAlign w:val="center"/>
          </w:tcPr>
          <w:p w:rsidR="00E03AD9" w:rsidRPr="00F9522B" w:rsidRDefault="00E03AD9" w:rsidP="005510C6">
            <w:pPr>
              <w:jc w:val="center"/>
              <w:rPr>
                <w:szCs w:val="21"/>
              </w:rPr>
            </w:pPr>
            <w:r w:rsidRPr="00F9522B">
              <w:rPr>
                <w:szCs w:val="21"/>
              </w:rPr>
              <w:t>8.794</w:t>
            </w:r>
          </w:p>
        </w:tc>
        <w:tc>
          <w:tcPr>
            <w:tcW w:w="340" w:type="pct"/>
            <w:tcBorders>
              <w:top w:val="single" w:sz="4" w:space="0" w:color="auto"/>
              <w:left w:val="single" w:sz="4" w:space="0" w:color="auto"/>
              <w:bottom w:val="single" w:sz="4" w:space="0" w:color="auto"/>
              <w:right w:val="single" w:sz="4" w:space="0" w:color="auto"/>
            </w:tcBorders>
            <w:noWrap/>
            <w:vAlign w:val="center"/>
          </w:tcPr>
          <w:p w:rsidR="00E03AD9" w:rsidRPr="00F9522B" w:rsidRDefault="00E03AD9" w:rsidP="005510C6">
            <w:pPr>
              <w:jc w:val="center"/>
              <w:rPr>
                <w:szCs w:val="21"/>
              </w:rPr>
            </w:pPr>
            <w:r w:rsidRPr="00F9522B">
              <w:rPr>
                <w:szCs w:val="21"/>
              </w:rPr>
              <w:t>0.21</w:t>
            </w:r>
          </w:p>
        </w:tc>
        <w:tc>
          <w:tcPr>
            <w:tcW w:w="366" w:type="pct"/>
            <w:tcBorders>
              <w:top w:val="single" w:sz="4" w:space="0" w:color="auto"/>
              <w:left w:val="single" w:sz="4" w:space="0" w:color="auto"/>
              <w:bottom w:val="single" w:sz="4" w:space="0" w:color="auto"/>
              <w:right w:val="single" w:sz="4" w:space="0" w:color="auto"/>
            </w:tcBorders>
            <w:vAlign w:val="center"/>
          </w:tcPr>
          <w:p w:rsidR="00E03AD9" w:rsidRPr="00F9522B" w:rsidRDefault="00E03AD9" w:rsidP="005510C6">
            <w:pPr>
              <w:jc w:val="center"/>
              <w:rPr>
                <w:szCs w:val="21"/>
              </w:rPr>
            </w:pPr>
            <w:r w:rsidRPr="00F9522B">
              <w:rPr>
                <w:szCs w:val="21"/>
              </w:rPr>
              <w:t>0.307</w:t>
            </w:r>
          </w:p>
        </w:tc>
        <w:tc>
          <w:tcPr>
            <w:tcW w:w="366" w:type="pct"/>
            <w:tcBorders>
              <w:top w:val="single" w:sz="4" w:space="0" w:color="auto"/>
              <w:left w:val="single" w:sz="4" w:space="0" w:color="auto"/>
              <w:bottom w:val="single" w:sz="4" w:space="0" w:color="auto"/>
              <w:right w:val="single" w:sz="4" w:space="0" w:color="auto"/>
            </w:tcBorders>
            <w:vAlign w:val="center"/>
          </w:tcPr>
          <w:p w:rsidR="00E03AD9" w:rsidRPr="00F9522B" w:rsidRDefault="00E03AD9" w:rsidP="005510C6">
            <w:pPr>
              <w:jc w:val="center"/>
              <w:rPr>
                <w:color w:val="FF0000"/>
                <w:szCs w:val="21"/>
              </w:rPr>
            </w:pPr>
            <w:r w:rsidRPr="00F9522B">
              <w:rPr>
                <w:color w:val="FF0000"/>
                <w:szCs w:val="21"/>
              </w:rPr>
              <w:t xml:space="preserve">0.701 </w:t>
            </w:r>
          </w:p>
        </w:tc>
        <w:tc>
          <w:tcPr>
            <w:tcW w:w="420" w:type="pct"/>
            <w:tcBorders>
              <w:top w:val="single" w:sz="4" w:space="0" w:color="auto"/>
              <w:left w:val="single" w:sz="4" w:space="0" w:color="auto"/>
              <w:bottom w:val="single" w:sz="4" w:space="0" w:color="auto"/>
              <w:right w:val="single" w:sz="4" w:space="0" w:color="auto"/>
            </w:tcBorders>
            <w:noWrap/>
            <w:vAlign w:val="center"/>
          </w:tcPr>
          <w:p w:rsidR="00E03AD9" w:rsidRPr="00F9522B" w:rsidRDefault="00E03AD9" w:rsidP="005510C6">
            <w:pPr>
              <w:jc w:val="center"/>
              <w:rPr>
                <w:szCs w:val="21"/>
              </w:rPr>
            </w:pPr>
            <w:r w:rsidRPr="00F9522B">
              <w:rPr>
                <w:szCs w:val="21"/>
              </w:rPr>
              <w:t>6.351</w:t>
            </w:r>
          </w:p>
        </w:tc>
        <w:tc>
          <w:tcPr>
            <w:tcW w:w="366" w:type="pct"/>
            <w:tcBorders>
              <w:top w:val="single" w:sz="4" w:space="0" w:color="auto"/>
              <w:left w:val="single" w:sz="4" w:space="0" w:color="auto"/>
              <w:bottom w:val="single" w:sz="4" w:space="0" w:color="auto"/>
              <w:right w:val="single" w:sz="4" w:space="0" w:color="auto"/>
            </w:tcBorders>
            <w:noWrap/>
            <w:vAlign w:val="center"/>
          </w:tcPr>
          <w:p w:rsidR="00E03AD9" w:rsidRPr="00F9522B" w:rsidRDefault="00E03AD9" w:rsidP="005510C6">
            <w:pPr>
              <w:jc w:val="center"/>
              <w:rPr>
                <w:szCs w:val="21"/>
              </w:rPr>
            </w:pPr>
            <w:r w:rsidRPr="00F9522B">
              <w:rPr>
                <w:szCs w:val="21"/>
              </w:rPr>
              <w:t>0.152</w:t>
            </w:r>
          </w:p>
        </w:tc>
        <w:tc>
          <w:tcPr>
            <w:tcW w:w="366" w:type="pct"/>
            <w:tcBorders>
              <w:top w:val="single" w:sz="4" w:space="0" w:color="auto"/>
              <w:left w:val="single" w:sz="4" w:space="0" w:color="auto"/>
              <w:bottom w:val="single" w:sz="4" w:space="0" w:color="auto"/>
              <w:right w:val="single" w:sz="4" w:space="0" w:color="auto"/>
            </w:tcBorders>
            <w:vAlign w:val="center"/>
          </w:tcPr>
          <w:p w:rsidR="00E03AD9" w:rsidRPr="00F9522B" w:rsidRDefault="00E03AD9" w:rsidP="005510C6">
            <w:pPr>
              <w:jc w:val="center"/>
              <w:rPr>
                <w:szCs w:val="21"/>
              </w:rPr>
            </w:pPr>
            <w:r w:rsidRPr="00F9522B">
              <w:rPr>
                <w:szCs w:val="21"/>
              </w:rPr>
              <w:t>0.222</w:t>
            </w:r>
          </w:p>
        </w:tc>
        <w:tc>
          <w:tcPr>
            <w:tcW w:w="366" w:type="pct"/>
            <w:tcBorders>
              <w:top w:val="single" w:sz="4" w:space="0" w:color="auto"/>
              <w:left w:val="single" w:sz="4" w:space="0" w:color="auto"/>
              <w:bottom w:val="single" w:sz="4" w:space="0" w:color="auto"/>
              <w:right w:val="single" w:sz="4" w:space="0" w:color="auto"/>
            </w:tcBorders>
            <w:vAlign w:val="center"/>
          </w:tcPr>
          <w:p w:rsidR="00E03AD9" w:rsidRPr="00F9522B" w:rsidRDefault="00E03AD9" w:rsidP="005510C6">
            <w:pPr>
              <w:jc w:val="center"/>
              <w:rPr>
                <w:color w:val="FF0000"/>
                <w:szCs w:val="21"/>
              </w:rPr>
            </w:pPr>
            <w:r w:rsidRPr="00F9522B">
              <w:rPr>
                <w:color w:val="FF0000"/>
                <w:szCs w:val="21"/>
              </w:rPr>
              <w:t xml:space="preserve">0.506 </w:t>
            </w:r>
          </w:p>
        </w:tc>
        <w:tc>
          <w:tcPr>
            <w:tcW w:w="402" w:type="pct"/>
            <w:tcBorders>
              <w:top w:val="single" w:sz="4" w:space="0" w:color="auto"/>
              <w:left w:val="single" w:sz="4" w:space="0" w:color="auto"/>
              <w:bottom w:val="single" w:sz="4" w:space="0" w:color="auto"/>
              <w:right w:val="single" w:sz="4" w:space="0" w:color="auto"/>
            </w:tcBorders>
            <w:noWrap/>
            <w:vAlign w:val="center"/>
          </w:tcPr>
          <w:p w:rsidR="00E03AD9" w:rsidRPr="00F9522B" w:rsidRDefault="00E03AD9" w:rsidP="005510C6">
            <w:pPr>
              <w:jc w:val="center"/>
              <w:rPr>
                <w:szCs w:val="21"/>
              </w:rPr>
            </w:pPr>
            <w:r w:rsidRPr="00F9522B">
              <w:rPr>
                <w:szCs w:val="21"/>
              </w:rPr>
              <w:t>-2.443</w:t>
            </w:r>
          </w:p>
        </w:tc>
        <w:tc>
          <w:tcPr>
            <w:tcW w:w="402" w:type="pct"/>
            <w:tcBorders>
              <w:top w:val="single" w:sz="4" w:space="0" w:color="auto"/>
              <w:left w:val="single" w:sz="4" w:space="0" w:color="auto"/>
              <w:bottom w:val="single" w:sz="4" w:space="0" w:color="auto"/>
              <w:right w:val="nil"/>
            </w:tcBorders>
            <w:noWrap/>
            <w:vAlign w:val="center"/>
          </w:tcPr>
          <w:p w:rsidR="00E03AD9" w:rsidRPr="00F9522B" w:rsidRDefault="00E03AD9" w:rsidP="005510C6">
            <w:pPr>
              <w:jc w:val="center"/>
              <w:rPr>
                <w:szCs w:val="21"/>
              </w:rPr>
            </w:pPr>
            <w:r w:rsidRPr="00F9522B">
              <w:rPr>
                <w:szCs w:val="21"/>
              </w:rPr>
              <w:t>-0.058</w:t>
            </w:r>
          </w:p>
        </w:tc>
        <w:tc>
          <w:tcPr>
            <w:tcW w:w="402" w:type="pct"/>
            <w:tcBorders>
              <w:top w:val="single" w:sz="4" w:space="0" w:color="auto"/>
              <w:left w:val="single" w:sz="4" w:space="0" w:color="auto"/>
              <w:bottom w:val="single" w:sz="4" w:space="0" w:color="auto"/>
              <w:right w:val="nil"/>
            </w:tcBorders>
            <w:vAlign w:val="center"/>
          </w:tcPr>
          <w:p w:rsidR="00E03AD9" w:rsidRPr="00F9522B" w:rsidRDefault="00E03AD9" w:rsidP="005510C6">
            <w:pPr>
              <w:jc w:val="center"/>
              <w:rPr>
                <w:szCs w:val="21"/>
              </w:rPr>
            </w:pPr>
            <w:r w:rsidRPr="00F9522B">
              <w:rPr>
                <w:szCs w:val="21"/>
              </w:rPr>
              <w:t>-0.085</w:t>
            </w:r>
          </w:p>
        </w:tc>
        <w:tc>
          <w:tcPr>
            <w:tcW w:w="233" w:type="pct"/>
            <w:tcBorders>
              <w:top w:val="single" w:sz="4" w:space="0" w:color="auto"/>
              <w:left w:val="single" w:sz="4" w:space="0" w:color="auto"/>
              <w:bottom w:val="single" w:sz="4" w:space="0" w:color="auto"/>
              <w:right w:val="nil"/>
            </w:tcBorders>
            <w:vAlign w:val="center"/>
          </w:tcPr>
          <w:p w:rsidR="00E03AD9" w:rsidRPr="00F9522B" w:rsidRDefault="00E03AD9" w:rsidP="005510C6">
            <w:pPr>
              <w:jc w:val="center"/>
              <w:rPr>
                <w:color w:val="FF0000"/>
                <w:szCs w:val="21"/>
              </w:rPr>
            </w:pPr>
            <w:r w:rsidRPr="00F9522B">
              <w:rPr>
                <w:color w:val="FF0000"/>
                <w:szCs w:val="21"/>
              </w:rPr>
              <w:t xml:space="preserve">-0.195 </w:t>
            </w:r>
          </w:p>
        </w:tc>
      </w:tr>
      <w:tr w:rsidR="00E03AD9" w:rsidRPr="00F9522B" w:rsidTr="005510C6">
        <w:trPr>
          <w:trHeight w:val="280"/>
          <w:jc w:val="center"/>
        </w:trPr>
        <w:tc>
          <w:tcPr>
            <w:tcW w:w="552" w:type="pct"/>
            <w:tcBorders>
              <w:top w:val="single" w:sz="4" w:space="0" w:color="auto"/>
              <w:left w:val="nil"/>
              <w:bottom w:val="single" w:sz="12" w:space="0" w:color="auto"/>
              <w:right w:val="single" w:sz="4" w:space="0" w:color="auto"/>
            </w:tcBorders>
            <w:noWrap/>
            <w:vAlign w:val="center"/>
          </w:tcPr>
          <w:p w:rsidR="00E03AD9" w:rsidRPr="00F9522B" w:rsidRDefault="00E03AD9" w:rsidP="005510C6">
            <w:pPr>
              <w:jc w:val="center"/>
              <w:rPr>
                <w:rFonts w:eastAsiaTheme="minorEastAsia"/>
                <w:kern w:val="0"/>
                <w:szCs w:val="21"/>
              </w:rPr>
            </w:pPr>
            <w:r w:rsidRPr="00F9522B">
              <w:rPr>
                <w:rFonts w:eastAsiaTheme="minorEastAsia"/>
                <w:kern w:val="0"/>
                <w:szCs w:val="21"/>
              </w:rPr>
              <w:t>合计</w:t>
            </w:r>
          </w:p>
        </w:tc>
        <w:tc>
          <w:tcPr>
            <w:tcW w:w="420" w:type="pct"/>
            <w:tcBorders>
              <w:top w:val="single" w:sz="4" w:space="0" w:color="auto"/>
              <w:left w:val="single" w:sz="4" w:space="0" w:color="auto"/>
              <w:bottom w:val="single" w:sz="12" w:space="0" w:color="auto"/>
              <w:right w:val="single" w:sz="4" w:space="0" w:color="auto"/>
            </w:tcBorders>
            <w:noWrap/>
            <w:vAlign w:val="center"/>
          </w:tcPr>
          <w:p w:rsidR="00E03AD9" w:rsidRPr="00F9522B" w:rsidRDefault="00E03AD9" w:rsidP="005510C6">
            <w:pPr>
              <w:jc w:val="center"/>
              <w:rPr>
                <w:szCs w:val="21"/>
              </w:rPr>
            </w:pPr>
            <w:r w:rsidRPr="00F9522B">
              <w:rPr>
                <w:szCs w:val="21"/>
              </w:rPr>
              <w:t>28.458</w:t>
            </w:r>
          </w:p>
        </w:tc>
        <w:tc>
          <w:tcPr>
            <w:tcW w:w="340" w:type="pct"/>
            <w:tcBorders>
              <w:top w:val="single" w:sz="4" w:space="0" w:color="auto"/>
              <w:left w:val="single" w:sz="4" w:space="0" w:color="auto"/>
              <w:bottom w:val="single" w:sz="12" w:space="0" w:color="auto"/>
              <w:right w:val="single" w:sz="4" w:space="0" w:color="auto"/>
            </w:tcBorders>
            <w:noWrap/>
            <w:vAlign w:val="center"/>
          </w:tcPr>
          <w:p w:rsidR="00E03AD9" w:rsidRPr="00F9522B" w:rsidRDefault="00E03AD9" w:rsidP="005510C6">
            <w:pPr>
              <w:jc w:val="center"/>
              <w:rPr>
                <w:szCs w:val="21"/>
              </w:rPr>
            </w:pPr>
            <w:r w:rsidRPr="00F9522B">
              <w:rPr>
                <w:szCs w:val="21"/>
              </w:rPr>
              <w:t>0.68</w:t>
            </w:r>
          </w:p>
        </w:tc>
        <w:tc>
          <w:tcPr>
            <w:tcW w:w="366" w:type="pct"/>
            <w:tcBorders>
              <w:top w:val="single" w:sz="4" w:space="0" w:color="auto"/>
              <w:left w:val="single" w:sz="4" w:space="0" w:color="auto"/>
              <w:bottom w:val="single" w:sz="12" w:space="0" w:color="auto"/>
              <w:right w:val="single" w:sz="4" w:space="0" w:color="auto"/>
            </w:tcBorders>
            <w:vAlign w:val="center"/>
          </w:tcPr>
          <w:p w:rsidR="00E03AD9" w:rsidRPr="00F9522B" w:rsidRDefault="00E03AD9" w:rsidP="005510C6">
            <w:pPr>
              <w:jc w:val="center"/>
              <w:rPr>
                <w:szCs w:val="21"/>
              </w:rPr>
            </w:pPr>
            <w:r w:rsidRPr="00F9522B">
              <w:rPr>
                <w:szCs w:val="21"/>
              </w:rPr>
              <w:t>0.994</w:t>
            </w:r>
          </w:p>
        </w:tc>
        <w:tc>
          <w:tcPr>
            <w:tcW w:w="366" w:type="pct"/>
            <w:tcBorders>
              <w:top w:val="single" w:sz="4" w:space="0" w:color="auto"/>
              <w:left w:val="single" w:sz="4" w:space="0" w:color="auto"/>
              <w:bottom w:val="single" w:sz="12" w:space="0" w:color="auto"/>
              <w:right w:val="single" w:sz="4" w:space="0" w:color="auto"/>
            </w:tcBorders>
            <w:vAlign w:val="center"/>
          </w:tcPr>
          <w:p w:rsidR="00E03AD9" w:rsidRPr="00F9522B" w:rsidRDefault="00E03AD9" w:rsidP="005510C6">
            <w:pPr>
              <w:jc w:val="center"/>
              <w:rPr>
                <w:color w:val="FF0000"/>
                <w:szCs w:val="21"/>
              </w:rPr>
            </w:pPr>
            <w:r w:rsidRPr="00F9522B">
              <w:rPr>
                <w:color w:val="FF0000"/>
                <w:szCs w:val="21"/>
              </w:rPr>
              <w:t xml:space="preserve">2.268 </w:t>
            </w:r>
          </w:p>
        </w:tc>
        <w:tc>
          <w:tcPr>
            <w:tcW w:w="420" w:type="pct"/>
            <w:tcBorders>
              <w:top w:val="single" w:sz="4" w:space="0" w:color="auto"/>
              <w:left w:val="single" w:sz="4" w:space="0" w:color="auto"/>
              <w:bottom w:val="single" w:sz="12" w:space="0" w:color="auto"/>
              <w:right w:val="single" w:sz="4" w:space="0" w:color="auto"/>
            </w:tcBorders>
            <w:noWrap/>
            <w:vAlign w:val="center"/>
          </w:tcPr>
          <w:p w:rsidR="00E03AD9" w:rsidRPr="00F9522B" w:rsidRDefault="00E03AD9" w:rsidP="005510C6">
            <w:pPr>
              <w:jc w:val="center"/>
              <w:rPr>
                <w:szCs w:val="21"/>
              </w:rPr>
            </w:pPr>
            <w:r w:rsidRPr="00F9522B">
              <w:rPr>
                <w:szCs w:val="21"/>
              </w:rPr>
              <w:t>20.553</w:t>
            </w:r>
          </w:p>
        </w:tc>
        <w:tc>
          <w:tcPr>
            <w:tcW w:w="366" w:type="pct"/>
            <w:tcBorders>
              <w:top w:val="single" w:sz="4" w:space="0" w:color="auto"/>
              <w:left w:val="single" w:sz="4" w:space="0" w:color="auto"/>
              <w:bottom w:val="single" w:sz="12" w:space="0" w:color="auto"/>
              <w:right w:val="single" w:sz="4" w:space="0" w:color="auto"/>
            </w:tcBorders>
            <w:noWrap/>
            <w:vAlign w:val="center"/>
          </w:tcPr>
          <w:p w:rsidR="00E03AD9" w:rsidRPr="00F9522B" w:rsidRDefault="00E03AD9" w:rsidP="005510C6">
            <w:pPr>
              <w:jc w:val="center"/>
              <w:rPr>
                <w:szCs w:val="21"/>
              </w:rPr>
            </w:pPr>
            <w:r w:rsidRPr="00F9522B">
              <w:rPr>
                <w:szCs w:val="21"/>
              </w:rPr>
              <w:t>0.491</w:t>
            </w:r>
          </w:p>
        </w:tc>
        <w:tc>
          <w:tcPr>
            <w:tcW w:w="366" w:type="pct"/>
            <w:tcBorders>
              <w:top w:val="single" w:sz="4" w:space="0" w:color="auto"/>
              <w:left w:val="single" w:sz="4" w:space="0" w:color="auto"/>
              <w:bottom w:val="single" w:sz="12" w:space="0" w:color="auto"/>
              <w:right w:val="single" w:sz="4" w:space="0" w:color="auto"/>
            </w:tcBorders>
            <w:vAlign w:val="center"/>
          </w:tcPr>
          <w:p w:rsidR="00E03AD9" w:rsidRPr="00F9522B" w:rsidRDefault="00E03AD9" w:rsidP="005510C6">
            <w:pPr>
              <w:jc w:val="center"/>
              <w:rPr>
                <w:szCs w:val="21"/>
              </w:rPr>
            </w:pPr>
            <w:r w:rsidRPr="00F9522B">
              <w:rPr>
                <w:szCs w:val="21"/>
              </w:rPr>
              <w:t>0.718</w:t>
            </w:r>
          </w:p>
        </w:tc>
        <w:tc>
          <w:tcPr>
            <w:tcW w:w="366" w:type="pct"/>
            <w:tcBorders>
              <w:top w:val="single" w:sz="4" w:space="0" w:color="auto"/>
              <w:left w:val="single" w:sz="4" w:space="0" w:color="auto"/>
              <w:bottom w:val="single" w:sz="12" w:space="0" w:color="auto"/>
              <w:right w:val="single" w:sz="4" w:space="0" w:color="auto"/>
            </w:tcBorders>
            <w:vAlign w:val="center"/>
          </w:tcPr>
          <w:p w:rsidR="00E03AD9" w:rsidRPr="00F9522B" w:rsidRDefault="00E03AD9" w:rsidP="005510C6">
            <w:pPr>
              <w:jc w:val="center"/>
              <w:rPr>
                <w:color w:val="FF0000"/>
                <w:szCs w:val="21"/>
              </w:rPr>
            </w:pPr>
            <w:r w:rsidRPr="00F9522B">
              <w:rPr>
                <w:color w:val="FF0000"/>
                <w:szCs w:val="21"/>
              </w:rPr>
              <w:t xml:space="preserve">1.638 </w:t>
            </w:r>
          </w:p>
        </w:tc>
        <w:tc>
          <w:tcPr>
            <w:tcW w:w="402" w:type="pct"/>
            <w:tcBorders>
              <w:top w:val="single" w:sz="4" w:space="0" w:color="auto"/>
              <w:left w:val="single" w:sz="4" w:space="0" w:color="auto"/>
              <w:bottom w:val="single" w:sz="12" w:space="0" w:color="auto"/>
              <w:right w:val="single" w:sz="4" w:space="0" w:color="auto"/>
            </w:tcBorders>
            <w:noWrap/>
            <w:vAlign w:val="center"/>
          </w:tcPr>
          <w:p w:rsidR="00E03AD9" w:rsidRPr="00F9522B" w:rsidRDefault="00E03AD9" w:rsidP="005510C6">
            <w:pPr>
              <w:jc w:val="center"/>
              <w:rPr>
                <w:szCs w:val="21"/>
              </w:rPr>
            </w:pPr>
            <w:r w:rsidRPr="00F9522B">
              <w:rPr>
                <w:szCs w:val="21"/>
              </w:rPr>
              <w:t>-7.905</w:t>
            </w:r>
          </w:p>
        </w:tc>
        <w:tc>
          <w:tcPr>
            <w:tcW w:w="402" w:type="pct"/>
            <w:tcBorders>
              <w:top w:val="single" w:sz="4" w:space="0" w:color="auto"/>
              <w:left w:val="single" w:sz="4" w:space="0" w:color="auto"/>
              <w:bottom w:val="single" w:sz="12" w:space="0" w:color="auto"/>
              <w:right w:val="nil"/>
            </w:tcBorders>
            <w:noWrap/>
            <w:vAlign w:val="center"/>
          </w:tcPr>
          <w:p w:rsidR="00E03AD9" w:rsidRPr="00F9522B" w:rsidRDefault="00E03AD9" w:rsidP="005510C6">
            <w:pPr>
              <w:jc w:val="center"/>
              <w:rPr>
                <w:szCs w:val="21"/>
              </w:rPr>
            </w:pPr>
            <w:r w:rsidRPr="00F9522B">
              <w:rPr>
                <w:szCs w:val="21"/>
              </w:rPr>
              <w:t>-0.189</w:t>
            </w:r>
          </w:p>
        </w:tc>
        <w:tc>
          <w:tcPr>
            <w:tcW w:w="402" w:type="pct"/>
            <w:tcBorders>
              <w:top w:val="single" w:sz="4" w:space="0" w:color="auto"/>
              <w:left w:val="single" w:sz="4" w:space="0" w:color="auto"/>
              <w:bottom w:val="single" w:sz="12" w:space="0" w:color="auto"/>
              <w:right w:val="nil"/>
            </w:tcBorders>
            <w:vAlign w:val="center"/>
          </w:tcPr>
          <w:p w:rsidR="00E03AD9" w:rsidRPr="00F9522B" w:rsidRDefault="00E03AD9" w:rsidP="005510C6">
            <w:pPr>
              <w:jc w:val="center"/>
              <w:rPr>
                <w:szCs w:val="21"/>
              </w:rPr>
            </w:pPr>
            <w:r w:rsidRPr="00F9522B">
              <w:rPr>
                <w:szCs w:val="21"/>
              </w:rPr>
              <w:t>-0.276</w:t>
            </w:r>
          </w:p>
        </w:tc>
        <w:tc>
          <w:tcPr>
            <w:tcW w:w="233" w:type="pct"/>
            <w:tcBorders>
              <w:top w:val="single" w:sz="4" w:space="0" w:color="auto"/>
              <w:left w:val="single" w:sz="4" w:space="0" w:color="auto"/>
              <w:bottom w:val="single" w:sz="12" w:space="0" w:color="auto"/>
              <w:right w:val="nil"/>
            </w:tcBorders>
            <w:vAlign w:val="center"/>
          </w:tcPr>
          <w:p w:rsidR="00E03AD9" w:rsidRPr="00F9522B" w:rsidRDefault="00E03AD9" w:rsidP="005510C6">
            <w:pPr>
              <w:jc w:val="center"/>
              <w:rPr>
                <w:color w:val="FF0000"/>
                <w:szCs w:val="21"/>
              </w:rPr>
            </w:pPr>
            <w:r w:rsidRPr="00F9522B">
              <w:rPr>
                <w:color w:val="FF0000"/>
                <w:szCs w:val="21"/>
              </w:rPr>
              <w:t xml:space="preserve">-0.630 </w:t>
            </w:r>
          </w:p>
        </w:tc>
      </w:tr>
    </w:tbl>
    <w:p w:rsidR="002A5A5E" w:rsidRPr="00F9522B" w:rsidRDefault="00611CBA">
      <w:pPr>
        <w:spacing w:line="360" w:lineRule="auto"/>
        <w:ind w:firstLineChars="200" w:firstLine="480"/>
        <w:rPr>
          <w:rFonts w:eastAsiaTheme="minorEastAsia"/>
          <w:bCs/>
          <w:kern w:val="0"/>
          <w:sz w:val="24"/>
          <w:szCs w:val="21"/>
        </w:rPr>
      </w:pPr>
      <w:r w:rsidRPr="00F9522B">
        <w:rPr>
          <w:rFonts w:eastAsiaTheme="minorEastAsia"/>
          <w:sz w:val="24"/>
        </w:rPr>
        <w:t>根据章节</w:t>
      </w:r>
      <w:r w:rsidRPr="00F9522B">
        <w:rPr>
          <w:rFonts w:eastAsiaTheme="minorEastAsia"/>
          <w:sz w:val="24"/>
        </w:rPr>
        <w:t>4.2.2</w:t>
      </w:r>
      <w:r w:rsidRPr="00F9522B">
        <w:rPr>
          <w:rFonts w:eastAsiaTheme="minorEastAsia"/>
          <w:sz w:val="24"/>
        </w:rPr>
        <w:t>地表水现状评价内容，《</w:t>
      </w:r>
      <w:r w:rsidRPr="00F9522B">
        <w:rPr>
          <w:rFonts w:eastAsiaTheme="minorEastAsia"/>
          <w:sz w:val="24"/>
        </w:rPr>
        <w:t>2024</w:t>
      </w:r>
      <w:r w:rsidRPr="00F9522B">
        <w:rPr>
          <w:rFonts w:eastAsiaTheme="minorEastAsia"/>
          <w:sz w:val="24"/>
        </w:rPr>
        <w:t>年哈尔滨生态环境质量状况年报》及《</w:t>
      </w:r>
      <w:r w:rsidRPr="00F9522B">
        <w:rPr>
          <w:rFonts w:eastAsiaTheme="minorEastAsia"/>
          <w:bCs/>
          <w:sz w:val="24"/>
        </w:rPr>
        <w:t>哈尔滨市水环境质量月报</w:t>
      </w:r>
      <w:r w:rsidRPr="00F9522B">
        <w:rPr>
          <w:rFonts w:eastAsiaTheme="minorEastAsia"/>
          <w:sz w:val="24"/>
        </w:rPr>
        <w:t>》数据可以看出，少陵河桥断面</w:t>
      </w:r>
      <w:r w:rsidRPr="00F9522B">
        <w:rPr>
          <w:rFonts w:eastAsiaTheme="minorEastAsia"/>
          <w:bCs/>
          <w:kern w:val="0"/>
          <w:sz w:val="24"/>
          <w:szCs w:val="21"/>
        </w:rPr>
        <w:t>202</w:t>
      </w:r>
      <w:r w:rsidR="00A311C8" w:rsidRPr="00F9522B">
        <w:rPr>
          <w:rFonts w:eastAsiaTheme="minorEastAsia"/>
          <w:bCs/>
          <w:kern w:val="0"/>
          <w:sz w:val="24"/>
          <w:szCs w:val="21"/>
        </w:rPr>
        <w:t>5</w:t>
      </w:r>
      <w:r w:rsidRPr="00F9522B">
        <w:rPr>
          <w:rFonts w:eastAsiaTheme="minorEastAsia"/>
          <w:bCs/>
          <w:kern w:val="0"/>
          <w:sz w:val="24"/>
          <w:szCs w:val="21"/>
        </w:rPr>
        <w:t>年</w:t>
      </w:r>
      <w:r w:rsidRPr="00F9522B">
        <w:rPr>
          <w:rFonts w:eastAsiaTheme="minorEastAsia"/>
          <w:bCs/>
          <w:kern w:val="0"/>
          <w:sz w:val="24"/>
          <w:szCs w:val="21"/>
        </w:rPr>
        <w:t>5</w:t>
      </w:r>
      <w:r w:rsidRPr="00F9522B">
        <w:rPr>
          <w:rFonts w:eastAsiaTheme="minorEastAsia"/>
          <w:bCs/>
          <w:kern w:val="0"/>
          <w:sz w:val="24"/>
          <w:szCs w:val="21"/>
        </w:rPr>
        <w:t>月水质超标，</w:t>
      </w:r>
      <w:r w:rsidRPr="00F9522B">
        <w:rPr>
          <w:rFonts w:eastAsiaTheme="minorEastAsia"/>
          <w:sz w:val="24"/>
        </w:rPr>
        <w:t>本项目现有水田</w:t>
      </w:r>
      <w:r w:rsidRPr="00F9522B">
        <w:rPr>
          <w:rFonts w:eastAsiaTheme="minorEastAsia"/>
          <w:sz w:val="24"/>
        </w:rPr>
        <w:t>5</w:t>
      </w:r>
      <w:r w:rsidRPr="00F9522B">
        <w:rPr>
          <w:rFonts w:eastAsiaTheme="minorEastAsia"/>
          <w:sz w:val="24"/>
        </w:rPr>
        <w:t>月泡田期水田不施用农药化肥，</w:t>
      </w:r>
      <w:r w:rsidRPr="00F9522B">
        <w:rPr>
          <w:rFonts w:eastAsiaTheme="minorEastAsia"/>
          <w:bCs/>
          <w:kern w:val="0"/>
          <w:sz w:val="24"/>
          <w:szCs w:val="21"/>
        </w:rPr>
        <w:t>非本项目退水影响，</w:t>
      </w:r>
      <w:r w:rsidRPr="00F9522B">
        <w:rPr>
          <w:rFonts w:eastAsiaTheme="minorEastAsia"/>
          <w:sz w:val="24"/>
        </w:rPr>
        <w:t>退水期间与非退水期间水质变化不大。故本项目现有水田退水对</w:t>
      </w:r>
      <w:r w:rsidR="00A311C8" w:rsidRPr="00F9522B">
        <w:rPr>
          <w:rFonts w:eastAsiaTheme="minorEastAsia"/>
          <w:sz w:val="24"/>
        </w:rPr>
        <w:t>松花江</w:t>
      </w:r>
      <w:r w:rsidRPr="00F9522B">
        <w:rPr>
          <w:rFonts w:eastAsiaTheme="minorEastAsia"/>
          <w:sz w:val="24"/>
        </w:rPr>
        <w:t>、漂河造成影响较小。</w:t>
      </w:r>
    </w:p>
    <w:p w:rsidR="002A5A5E" w:rsidRPr="00F9522B" w:rsidRDefault="00611CBA">
      <w:pPr>
        <w:spacing w:line="360" w:lineRule="auto"/>
        <w:ind w:firstLineChars="200" w:firstLine="480"/>
        <w:rPr>
          <w:rFonts w:eastAsiaTheme="minorEastAsia"/>
          <w:sz w:val="24"/>
        </w:rPr>
      </w:pPr>
      <w:r w:rsidRPr="00F9522B">
        <w:rPr>
          <w:rFonts w:eastAsiaTheme="minorEastAsia"/>
          <w:bCs/>
          <w:kern w:val="0"/>
          <w:sz w:val="24"/>
          <w:szCs w:val="21"/>
        </w:rPr>
        <w:t>2</w:t>
      </w:r>
      <w:r w:rsidRPr="00F9522B">
        <w:rPr>
          <w:rFonts w:eastAsiaTheme="minorEastAsia"/>
          <w:bCs/>
          <w:kern w:val="0"/>
          <w:sz w:val="24"/>
          <w:szCs w:val="21"/>
        </w:rPr>
        <w:t>）地表水环境敏感目标</w:t>
      </w:r>
    </w:p>
    <w:p w:rsidR="002A5A5E" w:rsidRPr="00F9522B" w:rsidRDefault="00904BE7">
      <w:pPr>
        <w:spacing w:line="360" w:lineRule="auto"/>
        <w:ind w:firstLineChars="200" w:firstLine="480"/>
        <w:rPr>
          <w:rFonts w:eastAsiaTheme="minorEastAsia"/>
          <w:sz w:val="24"/>
        </w:rPr>
      </w:pPr>
      <w:r w:rsidRPr="00F9522B">
        <w:rPr>
          <w:rFonts w:eastAsiaTheme="minorEastAsia"/>
          <w:sz w:val="24"/>
        </w:rPr>
        <w:t>黑龙江呼兰河口湿地省级自然保护区为本项目地表水环境敏感目标，</w:t>
      </w:r>
      <w:r w:rsidRPr="00F9522B">
        <w:rPr>
          <w:rFonts w:eastAsiaTheme="minorEastAsia"/>
          <w:kern w:val="24"/>
          <w:sz w:val="24"/>
        </w:rPr>
        <w:t>大顶子山</w:t>
      </w:r>
      <w:r w:rsidRPr="00F9522B">
        <w:rPr>
          <w:rFonts w:eastAsiaTheme="minorEastAsia"/>
          <w:sz w:val="24"/>
        </w:rPr>
        <w:t>断面距离黑龙江呼兰河口湿地省级自然保护区约</w:t>
      </w:r>
      <w:r w:rsidRPr="00F9522B">
        <w:rPr>
          <w:rFonts w:eastAsiaTheme="minorEastAsia"/>
          <w:sz w:val="24"/>
        </w:rPr>
        <w:t>690m</w:t>
      </w:r>
      <w:r w:rsidRPr="00F9522B">
        <w:rPr>
          <w:rFonts w:eastAsiaTheme="minorEastAsia"/>
          <w:sz w:val="24"/>
        </w:rPr>
        <w:t>，参考该断面数据</w:t>
      </w:r>
      <w:r w:rsidR="00611CBA" w:rsidRPr="00F9522B">
        <w:rPr>
          <w:rFonts w:eastAsiaTheme="minorEastAsia"/>
          <w:sz w:val="24"/>
        </w:rPr>
        <w:t>。具体位置关系见图</w:t>
      </w:r>
      <w:r w:rsidR="00611CBA" w:rsidRPr="00F9522B">
        <w:rPr>
          <w:rFonts w:eastAsiaTheme="minorEastAsia"/>
          <w:sz w:val="24"/>
        </w:rPr>
        <w:t>4-2-</w:t>
      </w:r>
      <w:r w:rsidR="00967D9B" w:rsidRPr="00F9522B">
        <w:rPr>
          <w:rFonts w:eastAsiaTheme="minorEastAsia"/>
          <w:sz w:val="24"/>
        </w:rPr>
        <w:t>6</w:t>
      </w:r>
      <w:r w:rsidR="00611CBA" w:rsidRPr="00F9522B">
        <w:rPr>
          <w:rFonts w:eastAsiaTheme="minorEastAsia"/>
          <w:sz w:val="24"/>
        </w:rPr>
        <w:t>。</w:t>
      </w:r>
    </w:p>
    <w:p w:rsidR="002A5A5E" w:rsidRPr="00F9522B" w:rsidRDefault="00611CBA" w:rsidP="00611CBA">
      <w:pPr>
        <w:spacing w:line="360" w:lineRule="auto"/>
        <w:ind w:firstLineChars="182" w:firstLine="437"/>
        <w:rPr>
          <w:rFonts w:eastAsiaTheme="minorEastAsia"/>
          <w:sz w:val="24"/>
        </w:rPr>
      </w:pPr>
      <w:r w:rsidRPr="00F9522B">
        <w:rPr>
          <w:rFonts w:eastAsiaTheme="minorEastAsia"/>
          <w:sz w:val="24"/>
        </w:rPr>
        <w:t>黑龙江呼兰河口湿地省级自然保护区：</w:t>
      </w:r>
    </w:p>
    <w:p w:rsidR="002A5A5E" w:rsidRPr="00F9522B" w:rsidRDefault="00611CBA" w:rsidP="00611CBA">
      <w:pPr>
        <w:spacing w:line="360" w:lineRule="auto"/>
        <w:ind w:firstLineChars="182" w:firstLine="437"/>
        <w:rPr>
          <w:rFonts w:eastAsiaTheme="minorEastAsia"/>
          <w:sz w:val="24"/>
        </w:rPr>
      </w:pPr>
      <w:r w:rsidRPr="00F9522B">
        <w:rPr>
          <w:rFonts w:eastAsiaTheme="minorEastAsia"/>
          <w:sz w:val="24"/>
        </w:rPr>
        <w:t>根据黑龙江省哈尔滨生态环境监测中心出具的《</w:t>
      </w:r>
      <w:r w:rsidRPr="00F9522B">
        <w:rPr>
          <w:rFonts w:eastAsiaTheme="minorEastAsia"/>
          <w:bCs/>
          <w:sz w:val="24"/>
        </w:rPr>
        <w:t>哈尔滨市水环境质量月报</w:t>
      </w:r>
      <w:r w:rsidRPr="00F9522B">
        <w:rPr>
          <w:rFonts w:eastAsiaTheme="minorEastAsia"/>
          <w:sz w:val="24"/>
        </w:rPr>
        <w:t>》及哈尔滨市呼兰生态环境局对</w:t>
      </w:r>
      <w:r w:rsidR="00904BE7" w:rsidRPr="00F9522B">
        <w:rPr>
          <w:rFonts w:eastAsiaTheme="minorEastAsia"/>
          <w:kern w:val="24"/>
          <w:sz w:val="24"/>
        </w:rPr>
        <w:t>大顶子山</w:t>
      </w:r>
      <w:r w:rsidR="00904BE7" w:rsidRPr="00F9522B">
        <w:rPr>
          <w:rFonts w:eastAsiaTheme="minorEastAsia"/>
          <w:sz w:val="24"/>
        </w:rPr>
        <w:t>国控</w:t>
      </w:r>
      <w:r w:rsidRPr="00F9522B">
        <w:rPr>
          <w:rFonts w:eastAsiaTheme="minorEastAsia"/>
          <w:sz w:val="24"/>
        </w:rPr>
        <w:t>断面水质的例行监测情况，</w:t>
      </w:r>
      <w:r w:rsidRPr="00F9522B">
        <w:rPr>
          <w:rFonts w:eastAsiaTheme="minorEastAsia"/>
          <w:sz w:val="24"/>
        </w:rPr>
        <w:t>202</w:t>
      </w:r>
      <w:r w:rsidR="00B72B38" w:rsidRPr="00F9522B">
        <w:rPr>
          <w:rFonts w:eastAsiaTheme="minorEastAsia"/>
          <w:sz w:val="24"/>
        </w:rPr>
        <w:t>5</w:t>
      </w:r>
      <w:r w:rsidRPr="00F9522B">
        <w:rPr>
          <w:rFonts w:eastAsiaTheme="minorEastAsia"/>
          <w:sz w:val="24"/>
        </w:rPr>
        <w:t>年</w:t>
      </w:r>
      <w:r w:rsidRPr="00F9522B">
        <w:rPr>
          <w:rFonts w:eastAsiaTheme="minorEastAsia"/>
          <w:sz w:val="24"/>
        </w:rPr>
        <w:t>1</w:t>
      </w:r>
      <w:r w:rsidRPr="00F9522B">
        <w:rPr>
          <w:rFonts w:eastAsiaTheme="minorEastAsia"/>
          <w:sz w:val="24"/>
        </w:rPr>
        <w:lastRenderedPageBreak/>
        <w:t>月</w:t>
      </w:r>
      <w:r w:rsidRPr="00F9522B">
        <w:rPr>
          <w:rFonts w:eastAsiaTheme="minorEastAsia"/>
          <w:sz w:val="24"/>
        </w:rPr>
        <w:t>-202</w:t>
      </w:r>
      <w:r w:rsidR="00B72B38" w:rsidRPr="00F9522B">
        <w:rPr>
          <w:rFonts w:eastAsiaTheme="minorEastAsia"/>
          <w:sz w:val="24"/>
        </w:rPr>
        <w:t>6</w:t>
      </w:r>
      <w:r w:rsidRPr="00F9522B">
        <w:rPr>
          <w:rFonts w:eastAsiaTheme="minorEastAsia"/>
          <w:sz w:val="24"/>
        </w:rPr>
        <w:t>年</w:t>
      </w:r>
      <w:r w:rsidR="00B72B38" w:rsidRPr="00F9522B">
        <w:rPr>
          <w:rFonts w:eastAsiaTheme="minorEastAsia"/>
          <w:sz w:val="24"/>
        </w:rPr>
        <w:t>3</w:t>
      </w:r>
      <w:r w:rsidRPr="00F9522B">
        <w:rPr>
          <w:rFonts w:eastAsiaTheme="minorEastAsia"/>
          <w:sz w:val="24"/>
        </w:rPr>
        <w:t>月水质数据见下表。</w:t>
      </w:r>
    </w:p>
    <w:p w:rsidR="002A5A5E" w:rsidRPr="00F9522B" w:rsidRDefault="00611CBA">
      <w:pPr>
        <w:contextualSpacing/>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5-2-3</w:t>
      </w:r>
      <w:r w:rsidR="00B72B38" w:rsidRPr="00F9522B">
        <w:rPr>
          <w:rFonts w:eastAsiaTheme="minorEastAsia"/>
          <w:b/>
          <w:kern w:val="0"/>
          <w:szCs w:val="21"/>
        </w:rPr>
        <w:t>大顶子山</w:t>
      </w:r>
      <w:r w:rsidRPr="00F9522B">
        <w:rPr>
          <w:rFonts w:eastAsiaTheme="minorEastAsia"/>
          <w:b/>
          <w:kern w:val="0"/>
          <w:szCs w:val="21"/>
        </w:rPr>
        <w:t>（国控断面）水质监测数据一览表</w:t>
      </w:r>
    </w:p>
    <w:tbl>
      <w:tblPr>
        <w:tblW w:w="4800" w:type="pct"/>
        <w:jc w:val="center"/>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tblPr>
      <w:tblGrid>
        <w:gridCol w:w="430"/>
        <w:gridCol w:w="1139"/>
        <w:gridCol w:w="1628"/>
        <w:gridCol w:w="990"/>
        <w:gridCol w:w="1120"/>
        <w:gridCol w:w="897"/>
        <w:gridCol w:w="897"/>
        <w:gridCol w:w="896"/>
      </w:tblGrid>
      <w:tr w:rsidR="00AC0E6E" w:rsidRPr="00F9522B" w:rsidTr="00967D9B">
        <w:trPr>
          <w:trHeight w:val="255"/>
          <w:tblHeader/>
          <w:jc w:val="center"/>
        </w:trPr>
        <w:tc>
          <w:tcPr>
            <w:tcW w:w="269"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序号</w:t>
            </w:r>
          </w:p>
        </w:tc>
        <w:tc>
          <w:tcPr>
            <w:tcW w:w="712"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断面名称</w:t>
            </w:r>
          </w:p>
        </w:tc>
        <w:tc>
          <w:tcPr>
            <w:tcW w:w="1018"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时段</w:t>
            </w:r>
          </w:p>
        </w:tc>
        <w:tc>
          <w:tcPr>
            <w:tcW w:w="619"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pH</w:t>
            </w:r>
            <w:r w:rsidRPr="00F9522B">
              <w:rPr>
                <w:rFonts w:eastAsiaTheme="minorEastAsia"/>
                <w:kern w:val="0"/>
                <w:szCs w:val="21"/>
              </w:rPr>
              <w:t>（无量纲）</w:t>
            </w:r>
          </w:p>
        </w:tc>
        <w:tc>
          <w:tcPr>
            <w:tcW w:w="700" w:type="pct"/>
            <w:shd w:val="clear" w:color="auto" w:fill="auto"/>
            <w:tcMar>
              <w:top w:w="12" w:type="dxa"/>
              <w:left w:w="12" w:type="dxa"/>
              <w:right w:w="12" w:type="dxa"/>
            </w:tcMar>
            <w:vAlign w:val="center"/>
          </w:tcPr>
          <w:p w:rsidR="00AC0E6E" w:rsidRPr="00F9522B" w:rsidRDefault="00AC0E6E" w:rsidP="00AC0E6E">
            <w:pPr>
              <w:widowControl/>
              <w:spacing w:line="0" w:lineRule="atLeast"/>
              <w:jc w:val="center"/>
              <w:textAlignment w:val="center"/>
              <w:rPr>
                <w:rFonts w:eastAsiaTheme="minorEastAsia"/>
                <w:kern w:val="0"/>
                <w:szCs w:val="21"/>
              </w:rPr>
            </w:pPr>
            <w:r w:rsidRPr="00F9522B">
              <w:rPr>
                <w:rFonts w:eastAsiaTheme="minorEastAsia"/>
                <w:kern w:val="0"/>
                <w:szCs w:val="21"/>
              </w:rPr>
              <w:t>高锰酸盐指数</w:t>
            </w:r>
          </w:p>
        </w:tc>
        <w:tc>
          <w:tcPr>
            <w:tcW w:w="561"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化学需氧量</w:t>
            </w:r>
          </w:p>
        </w:tc>
        <w:tc>
          <w:tcPr>
            <w:tcW w:w="561"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氨氮</w:t>
            </w:r>
          </w:p>
        </w:tc>
        <w:tc>
          <w:tcPr>
            <w:tcW w:w="561"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总磷</w:t>
            </w:r>
          </w:p>
        </w:tc>
      </w:tr>
      <w:tr w:rsidR="00AC0E6E" w:rsidRPr="00F9522B" w:rsidTr="00967D9B">
        <w:trPr>
          <w:trHeight w:val="255"/>
          <w:tblHeader/>
          <w:jc w:val="center"/>
        </w:trPr>
        <w:tc>
          <w:tcPr>
            <w:tcW w:w="1998" w:type="pct"/>
            <w:gridSpan w:val="3"/>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执行标准</w:t>
            </w:r>
          </w:p>
        </w:tc>
        <w:tc>
          <w:tcPr>
            <w:tcW w:w="619"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6~9</w:t>
            </w:r>
          </w:p>
        </w:tc>
        <w:tc>
          <w:tcPr>
            <w:tcW w:w="700" w:type="pct"/>
            <w:shd w:val="clear" w:color="auto" w:fill="auto"/>
            <w:tcMar>
              <w:top w:w="12" w:type="dxa"/>
              <w:left w:w="12" w:type="dxa"/>
              <w:right w:w="12" w:type="dxa"/>
            </w:tcMar>
            <w:vAlign w:val="center"/>
          </w:tcPr>
          <w:p w:rsidR="00AC0E6E" w:rsidRPr="00F9522B" w:rsidRDefault="00AC0E6E" w:rsidP="00BB7E86">
            <w:pPr>
              <w:widowControl/>
              <w:spacing w:line="0" w:lineRule="atLeast"/>
              <w:jc w:val="center"/>
              <w:textAlignment w:val="center"/>
              <w:rPr>
                <w:rFonts w:eastAsiaTheme="minorEastAsia"/>
                <w:kern w:val="0"/>
                <w:szCs w:val="21"/>
              </w:rPr>
            </w:pPr>
            <w:r w:rsidRPr="00F9522B">
              <w:rPr>
                <w:rFonts w:eastAsiaTheme="minorEastAsia"/>
                <w:szCs w:val="21"/>
              </w:rPr>
              <w:t>≤</w:t>
            </w:r>
            <w:r w:rsidR="00BB7E86" w:rsidRPr="00F9522B">
              <w:rPr>
                <w:rFonts w:eastAsiaTheme="minorEastAsia"/>
                <w:kern w:val="0"/>
                <w:szCs w:val="21"/>
              </w:rPr>
              <w:t>6</w:t>
            </w:r>
          </w:p>
        </w:tc>
        <w:tc>
          <w:tcPr>
            <w:tcW w:w="561" w:type="pct"/>
            <w:shd w:val="clear" w:color="auto" w:fill="auto"/>
            <w:tcMar>
              <w:top w:w="12" w:type="dxa"/>
              <w:left w:w="12" w:type="dxa"/>
              <w:right w:w="12" w:type="dxa"/>
            </w:tcMar>
            <w:vAlign w:val="center"/>
          </w:tcPr>
          <w:p w:rsidR="00AC0E6E" w:rsidRPr="00F9522B" w:rsidRDefault="00AC0E6E" w:rsidP="009D380C">
            <w:pPr>
              <w:widowControl/>
              <w:spacing w:line="0" w:lineRule="atLeast"/>
              <w:jc w:val="center"/>
              <w:textAlignment w:val="center"/>
              <w:rPr>
                <w:rFonts w:eastAsiaTheme="minorEastAsia"/>
                <w:kern w:val="0"/>
                <w:szCs w:val="21"/>
              </w:rPr>
            </w:pPr>
            <w:r w:rsidRPr="00F9522B">
              <w:rPr>
                <w:rFonts w:eastAsiaTheme="minorEastAsia"/>
                <w:szCs w:val="21"/>
              </w:rPr>
              <w:t>≤</w:t>
            </w:r>
            <w:r w:rsidR="009D380C" w:rsidRPr="00F9522B">
              <w:rPr>
                <w:rFonts w:eastAsiaTheme="minorEastAsia"/>
                <w:kern w:val="0"/>
                <w:szCs w:val="21"/>
              </w:rPr>
              <w:t>20</w:t>
            </w:r>
          </w:p>
        </w:tc>
        <w:tc>
          <w:tcPr>
            <w:tcW w:w="561"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szCs w:val="21"/>
              </w:rPr>
              <w:t>≤</w:t>
            </w:r>
            <w:r w:rsidRPr="00F9522B">
              <w:rPr>
                <w:rFonts w:eastAsiaTheme="minorEastAsia"/>
                <w:kern w:val="0"/>
                <w:szCs w:val="21"/>
              </w:rPr>
              <w:t>1.</w:t>
            </w:r>
            <w:r w:rsidR="009D380C" w:rsidRPr="00F9522B">
              <w:rPr>
                <w:rFonts w:eastAsiaTheme="minorEastAsia"/>
                <w:kern w:val="0"/>
                <w:szCs w:val="21"/>
              </w:rPr>
              <w:t>0</w:t>
            </w:r>
          </w:p>
        </w:tc>
        <w:tc>
          <w:tcPr>
            <w:tcW w:w="561" w:type="pct"/>
            <w:shd w:val="clear" w:color="auto" w:fill="auto"/>
            <w:tcMar>
              <w:top w:w="12" w:type="dxa"/>
              <w:left w:w="12" w:type="dxa"/>
              <w:right w:w="12" w:type="dxa"/>
            </w:tcMar>
            <w:vAlign w:val="center"/>
          </w:tcPr>
          <w:p w:rsidR="00AC0E6E" w:rsidRPr="00F9522B" w:rsidRDefault="00AC0E6E" w:rsidP="00BB7E86">
            <w:pPr>
              <w:widowControl/>
              <w:spacing w:line="0" w:lineRule="atLeast"/>
              <w:jc w:val="center"/>
              <w:textAlignment w:val="center"/>
              <w:rPr>
                <w:rFonts w:eastAsiaTheme="minorEastAsia"/>
                <w:kern w:val="0"/>
                <w:szCs w:val="21"/>
              </w:rPr>
            </w:pPr>
            <w:r w:rsidRPr="00F9522B">
              <w:rPr>
                <w:rFonts w:eastAsiaTheme="minorEastAsia"/>
                <w:szCs w:val="21"/>
              </w:rPr>
              <w:t>≤</w:t>
            </w:r>
            <w:r w:rsidRPr="00F9522B">
              <w:rPr>
                <w:rFonts w:eastAsiaTheme="minorEastAsia"/>
                <w:kern w:val="0"/>
                <w:szCs w:val="21"/>
              </w:rPr>
              <w:t>0.</w:t>
            </w:r>
            <w:r w:rsidR="00BB7E86" w:rsidRPr="00F9522B">
              <w:rPr>
                <w:rFonts w:eastAsiaTheme="minorEastAsia"/>
                <w:kern w:val="0"/>
                <w:szCs w:val="21"/>
              </w:rPr>
              <w:t>2</w:t>
            </w:r>
          </w:p>
        </w:tc>
      </w:tr>
      <w:tr w:rsidR="00AC0E6E" w:rsidRPr="00F9522B" w:rsidTr="00967D9B">
        <w:trPr>
          <w:trHeight w:val="440"/>
          <w:jc w:val="center"/>
        </w:trPr>
        <w:tc>
          <w:tcPr>
            <w:tcW w:w="269"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1</w:t>
            </w:r>
          </w:p>
        </w:tc>
        <w:tc>
          <w:tcPr>
            <w:tcW w:w="712" w:type="pct"/>
            <w:vMerge w:val="restar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大顶子山</w:t>
            </w:r>
          </w:p>
        </w:tc>
        <w:tc>
          <w:tcPr>
            <w:tcW w:w="1018"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2025</w:t>
            </w:r>
            <w:r w:rsidRPr="00F9522B">
              <w:rPr>
                <w:rFonts w:eastAsiaTheme="minorEastAsia"/>
                <w:kern w:val="0"/>
                <w:szCs w:val="21"/>
              </w:rPr>
              <w:t>年</w:t>
            </w:r>
            <w:r w:rsidRPr="00F9522B">
              <w:rPr>
                <w:rFonts w:eastAsiaTheme="minorEastAsia"/>
                <w:kern w:val="0"/>
                <w:szCs w:val="21"/>
              </w:rPr>
              <w:t>1</w:t>
            </w:r>
            <w:r w:rsidRPr="00F9522B">
              <w:rPr>
                <w:rFonts w:eastAsiaTheme="minorEastAsia"/>
                <w:kern w:val="0"/>
                <w:szCs w:val="21"/>
              </w:rPr>
              <w:t>月</w:t>
            </w:r>
          </w:p>
        </w:tc>
        <w:tc>
          <w:tcPr>
            <w:tcW w:w="619" w:type="pct"/>
            <w:shd w:val="clear" w:color="auto" w:fill="auto"/>
            <w:tcMar>
              <w:top w:w="12" w:type="dxa"/>
              <w:left w:w="12" w:type="dxa"/>
              <w:right w:w="12" w:type="dxa"/>
            </w:tcMar>
            <w:vAlign w:val="center"/>
          </w:tcPr>
          <w:p w:rsidR="00AC0E6E" w:rsidRPr="00F9522B" w:rsidRDefault="00AC0E6E">
            <w:pPr>
              <w:widowControl/>
              <w:jc w:val="center"/>
              <w:textAlignment w:val="center"/>
              <w:rPr>
                <w:rFonts w:eastAsiaTheme="minorEastAsia"/>
                <w:kern w:val="0"/>
                <w:szCs w:val="21"/>
              </w:rPr>
            </w:pPr>
            <w:r w:rsidRPr="00F9522B">
              <w:rPr>
                <w:rFonts w:eastAsiaTheme="minorEastAsia"/>
                <w:kern w:val="0"/>
                <w:szCs w:val="21"/>
              </w:rPr>
              <w:t>8</w:t>
            </w:r>
          </w:p>
        </w:tc>
        <w:tc>
          <w:tcPr>
            <w:tcW w:w="700" w:type="pct"/>
            <w:shd w:val="clear" w:color="auto" w:fill="auto"/>
            <w:tcMar>
              <w:top w:w="12" w:type="dxa"/>
              <w:left w:w="12" w:type="dxa"/>
              <w:right w:w="12" w:type="dxa"/>
            </w:tcMar>
            <w:vAlign w:val="center"/>
          </w:tcPr>
          <w:p w:rsidR="00AC0E6E" w:rsidRPr="00F9522B" w:rsidRDefault="00AC0E6E">
            <w:pPr>
              <w:widowControl/>
              <w:jc w:val="center"/>
              <w:textAlignment w:val="center"/>
              <w:rPr>
                <w:rFonts w:eastAsiaTheme="minorEastAsia"/>
                <w:kern w:val="0"/>
                <w:szCs w:val="21"/>
              </w:rPr>
            </w:pPr>
            <w:r w:rsidRPr="00F9522B">
              <w:rPr>
                <w:rFonts w:eastAsiaTheme="minorEastAsia"/>
                <w:kern w:val="0"/>
                <w:szCs w:val="21"/>
              </w:rPr>
              <w:t>3.9</w:t>
            </w:r>
          </w:p>
        </w:tc>
        <w:tc>
          <w:tcPr>
            <w:tcW w:w="561" w:type="pct"/>
            <w:shd w:val="clear" w:color="auto" w:fill="auto"/>
            <w:tcMar>
              <w:top w:w="12" w:type="dxa"/>
              <w:left w:w="12" w:type="dxa"/>
              <w:right w:w="12" w:type="dxa"/>
            </w:tcMar>
            <w:vAlign w:val="center"/>
          </w:tcPr>
          <w:p w:rsidR="00AC0E6E" w:rsidRPr="00F9522B" w:rsidRDefault="00AC0E6E">
            <w:pPr>
              <w:widowControl/>
              <w:jc w:val="center"/>
              <w:textAlignment w:val="center"/>
              <w:rPr>
                <w:rFonts w:eastAsiaTheme="minorEastAsia"/>
                <w:kern w:val="0"/>
                <w:szCs w:val="21"/>
              </w:rPr>
            </w:pPr>
            <w:r w:rsidRPr="00F9522B">
              <w:rPr>
                <w:rFonts w:eastAsiaTheme="minorEastAsia"/>
                <w:kern w:val="0"/>
                <w:szCs w:val="21"/>
              </w:rPr>
              <w:t>13</w:t>
            </w:r>
          </w:p>
        </w:tc>
        <w:tc>
          <w:tcPr>
            <w:tcW w:w="561" w:type="pct"/>
            <w:shd w:val="clear" w:color="auto" w:fill="auto"/>
            <w:tcMar>
              <w:top w:w="12" w:type="dxa"/>
              <w:left w:w="12" w:type="dxa"/>
              <w:right w:w="12" w:type="dxa"/>
            </w:tcMar>
            <w:vAlign w:val="center"/>
          </w:tcPr>
          <w:p w:rsidR="00AC0E6E" w:rsidRPr="00F9522B" w:rsidRDefault="00AC0E6E" w:rsidP="00E12352">
            <w:pPr>
              <w:widowControl/>
              <w:jc w:val="center"/>
              <w:textAlignment w:val="center"/>
              <w:rPr>
                <w:rFonts w:eastAsiaTheme="minorEastAsia"/>
                <w:kern w:val="0"/>
                <w:szCs w:val="21"/>
              </w:rPr>
            </w:pPr>
            <w:r w:rsidRPr="00F9522B">
              <w:rPr>
                <w:rFonts w:eastAsiaTheme="minorEastAsia"/>
                <w:kern w:val="0"/>
                <w:szCs w:val="21"/>
              </w:rPr>
              <w:t>0.31</w:t>
            </w:r>
          </w:p>
        </w:tc>
        <w:tc>
          <w:tcPr>
            <w:tcW w:w="561" w:type="pct"/>
            <w:shd w:val="clear" w:color="auto" w:fill="auto"/>
            <w:tcMar>
              <w:top w:w="12" w:type="dxa"/>
              <w:left w:w="12" w:type="dxa"/>
              <w:right w:w="12" w:type="dxa"/>
            </w:tcMar>
            <w:vAlign w:val="center"/>
          </w:tcPr>
          <w:p w:rsidR="00AC0E6E" w:rsidRPr="00F9522B" w:rsidRDefault="00AC0E6E" w:rsidP="00E12352">
            <w:pPr>
              <w:widowControl/>
              <w:jc w:val="center"/>
              <w:textAlignment w:val="center"/>
              <w:rPr>
                <w:rFonts w:eastAsiaTheme="minorEastAsia"/>
                <w:kern w:val="0"/>
                <w:szCs w:val="21"/>
              </w:rPr>
            </w:pPr>
            <w:r w:rsidRPr="00F9522B">
              <w:rPr>
                <w:rFonts w:eastAsiaTheme="minorEastAsia"/>
                <w:kern w:val="0"/>
                <w:szCs w:val="21"/>
              </w:rPr>
              <w:t>0.065</w:t>
            </w:r>
          </w:p>
        </w:tc>
      </w:tr>
      <w:tr w:rsidR="00AC0E6E" w:rsidRPr="00F9522B" w:rsidTr="00967D9B">
        <w:trPr>
          <w:trHeight w:val="440"/>
          <w:jc w:val="center"/>
        </w:trPr>
        <w:tc>
          <w:tcPr>
            <w:tcW w:w="269"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2</w:t>
            </w:r>
          </w:p>
        </w:tc>
        <w:tc>
          <w:tcPr>
            <w:tcW w:w="712" w:type="pct"/>
            <w:vMerge/>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p>
        </w:tc>
        <w:tc>
          <w:tcPr>
            <w:tcW w:w="1018" w:type="pct"/>
            <w:shd w:val="clear" w:color="auto" w:fill="auto"/>
            <w:tcMar>
              <w:top w:w="12" w:type="dxa"/>
              <w:left w:w="12" w:type="dxa"/>
              <w:right w:w="12" w:type="dxa"/>
            </w:tcMar>
            <w:vAlign w:val="center"/>
          </w:tcPr>
          <w:p w:rsidR="00AC0E6E" w:rsidRPr="00F9522B" w:rsidRDefault="00AC0E6E" w:rsidP="00B72B38">
            <w:pPr>
              <w:widowControl/>
              <w:spacing w:line="0" w:lineRule="atLeast"/>
              <w:jc w:val="center"/>
              <w:textAlignment w:val="center"/>
              <w:rPr>
                <w:rFonts w:eastAsiaTheme="minorEastAsia"/>
                <w:kern w:val="0"/>
                <w:szCs w:val="21"/>
              </w:rPr>
            </w:pPr>
            <w:r w:rsidRPr="00F9522B">
              <w:rPr>
                <w:rFonts w:eastAsiaTheme="minorEastAsia"/>
                <w:kern w:val="0"/>
                <w:szCs w:val="21"/>
              </w:rPr>
              <w:t>2025</w:t>
            </w:r>
            <w:r w:rsidRPr="00F9522B">
              <w:rPr>
                <w:rFonts w:eastAsiaTheme="minorEastAsia"/>
                <w:kern w:val="0"/>
                <w:szCs w:val="21"/>
              </w:rPr>
              <w:t>年</w:t>
            </w:r>
            <w:r w:rsidRPr="00F9522B">
              <w:rPr>
                <w:rFonts w:eastAsiaTheme="minorEastAsia"/>
                <w:kern w:val="0"/>
                <w:szCs w:val="21"/>
              </w:rPr>
              <w:t>2</w:t>
            </w:r>
            <w:r w:rsidRPr="00F9522B">
              <w:rPr>
                <w:rFonts w:eastAsiaTheme="minorEastAsia"/>
                <w:kern w:val="0"/>
                <w:szCs w:val="21"/>
              </w:rPr>
              <w:t>月</w:t>
            </w:r>
          </w:p>
        </w:tc>
        <w:tc>
          <w:tcPr>
            <w:tcW w:w="619" w:type="pct"/>
            <w:shd w:val="clear" w:color="auto" w:fill="auto"/>
            <w:tcMar>
              <w:top w:w="12" w:type="dxa"/>
              <w:left w:w="12" w:type="dxa"/>
              <w:right w:w="12" w:type="dxa"/>
            </w:tcMar>
            <w:vAlign w:val="center"/>
          </w:tcPr>
          <w:p w:rsidR="00AC0E6E" w:rsidRPr="00F9522B" w:rsidRDefault="00AC0E6E">
            <w:pPr>
              <w:widowControl/>
              <w:jc w:val="center"/>
              <w:textAlignment w:val="center"/>
              <w:rPr>
                <w:rFonts w:eastAsiaTheme="minorEastAsia"/>
                <w:kern w:val="0"/>
                <w:szCs w:val="21"/>
              </w:rPr>
            </w:pPr>
            <w:r w:rsidRPr="00F9522B">
              <w:rPr>
                <w:rFonts w:eastAsiaTheme="minorEastAsia"/>
                <w:kern w:val="0"/>
                <w:szCs w:val="21"/>
              </w:rPr>
              <w:t>8</w:t>
            </w:r>
          </w:p>
        </w:tc>
        <w:tc>
          <w:tcPr>
            <w:tcW w:w="700" w:type="pct"/>
            <w:shd w:val="clear" w:color="auto" w:fill="auto"/>
            <w:tcMar>
              <w:top w:w="12" w:type="dxa"/>
              <w:left w:w="12" w:type="dxa"/>
              <w:right w:w="12" w:type="dxa"/>
            </w:tcMar>
            <w:vAlign w:val="center"/>
          </w:tcPr>
          <w:p w:rsidR="00AC0E6E" w:rsidRPr="00F9522B" w:rsidRDefault="00AC0E6E">
            <w:pPr>
              <w:widowControl/>
              <w:jc w:val="center"/>
              <w:textAlignment w:val="center"/>
              <w:rPr>
                <w:rFonts w:eastAsiaTheme="minorEastAsia"/>
                <w:kern w:val="0"/>
                <w:szCs w:val="21"/>
              </w:rPr>
            </w:pPr>
            <w:r w:rsidRPr="00F9522B">
              <w:rPr>
                <w:rFonts w:eastAsiaTheme="minorEastAsia"/>
                <w:kern w:val="0"/>
                <w:szCs w:val="21"/>
              </w:rPr>
              <w:t>3.9</w:t>
            </w:r>
          </w:p>
        </w:tc>
        <w:tc>
          <w:tcPr>
            <w:tcW w:w="561" w:type="pct"/>
            <w:shd w:val="clear" w:color="auto" w:fill="auto"/>
            <w:tcMar>
              <w:top w:w="12" w:type="dxa"/>
              <w:left w:w="12" w:type="dxa"/>
              <w:right w:w="12" w:type="dxa"/>
            </w:tcMar>
            <w:vAlign w:val="center"/>
          </w:tcPr>
          <w:p w:rsidR="00AC0E6E" w:rsidRPr="00F9522B" w:rsidRDefault="00AC0E6E">
            <w:pPr>
              <w:widowControl/>
              <w:jc w:val="center"/>
              <w:textAlignment w:val="center"/>
              <w:rPr>
                <w:rFonts w:eastAsiaTheme="minorEastAsia"/>
                <w:kern w:val="0"/>
                <w:szCs w:val="21"/>
              </w:rPr>
            </w:pPr>
            <w:r w:rsidRPr="00F9522B">
              <w:rPr>
                <w:rFonts w:eastAsiaTheme="minorEastAsia"/>
                <w:kern w:val="0"/>
                <w:szCs w:val="21"/>
              </w:rPr>
              <w:t>19</w:t>
            </w:r>
          </w:p>
        </w:tc>
        <w:tc>
          <w:tcPr>
            <w:tcW w:w="561" w:type="pct"/>
            <w:shd w:val="clear" w:color="auto" w:fill="auto"/>
            <w:tcMar>
              <w:top w:w="12" w:type="dxa"/>
              <w:left w:w="12" w:type="dxa"/>
              <w:right w:w="12" w:type="dxa"/>
            </w:tcMar>
            <w:vAlign w:val="center"/>
          </w:tcPr>
          <w:p w:rsidR="00AC0E6E" w:rsidRPr="00F9522B" w:rsidRDefault="00AC0E6E">
            <w:pPr>
              <w:widowControl/>
              <w:jc w:val="center"/>
              <w:textAlignment w:val="center"/>
              <w:rPr>
                <w:rFonts w:eastAsiaTheme="minorEastAsia"/>
                <w:kern w:val="0"/>
                <w:szCs w:val="21"/>
              </w:rPr>
            </w:pPr>
            <w:r w:rsidRPr="00F9522B">
              <w:rPr>
                <w:rFonts w:eastAsiaTheme="minorEastAsia"/>
                <w:kern w:val="0"/>
                <w:szCs w:val="21"/>
              </w:rPr>
              <w:t>0.24</w:t>
            </w:r>
          </w:p>
        </w:tc>
        <w:tc>
          <w:tcPr>
            <w:tcW w:w="561" w:type="pct"/>
            <w:shd w:val="clear" w:color="auto" w:fill="auto"/>
            <w:tcMar>
              <w:top w:w="12" w:type="dxa"/>
              <w:left w:w="12" w:type="dxa"/>
              <w:right w:w="12" w:type="dxa"/>
            </w:tcMar>
            <w:vAlign w:val="center"/>
          </w:tcPr>
          <w:p w:rsidR="00AC0E6E" w:rsidRPr="00F9522B" w:rsidRDefault="00AC0E6E" w:rsidP="00AC0E6E">
            <w:pPr>
              <w:widowControl/>
              <w:jc w:val="center"/>
              <w:textAlignment w:val="center"/>
              <w:rPr>
                <w:rFonts w:eastAsiaTheme="minorEastAsia"/>
                <w:kern w:val="0"/>
                <w:szCs w:val="21"/>
              </w:rPr>
            </w:pPr>
            <w:r w:rsidRPr="00F9522B">
              <w:rPr>
                <w:rFonts w:eastAsiaTheme="minorEastAsia"/>
                <w:kern w:val="0"/>
                <w:szCs w:val="21"/>
              </w:rPr>
              <w:t>0.065</w:t>
            </w:r>
          </w:p>
        </w:tc>
      </w:tr>
      <w:tr w:rsidR="00AC0E6E" w:rsidRPr="00F9522B" w:rsidTr="00967D9B">
        <w:trPr>
          <w:trHeight w:val="440"/>
          <w:jc w:val="center"/>
        </w:trPr>
        <w:tc>
          <w:tcPr>
            <w:tcW w:w="269"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3</w:t>
            </w:r>
          </w:p>
        </w:tc>
        <w:tc>
          <w:tcPr>
            <w:tcW w:w="712" w:type="pct"/>
            <w:vMerge/>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p>
        </w:tc>
        <w:tc>
          <w:tcPr>
            <w:tcW w:w="1018" w:type="pct"/>
            <w:shd w:val="clear" w:color="auto" w:fill="auto"/>
            <w:tcMar>
              <w:top w:w="12" w:type="dxa"/>
              <w:left w:w="12" w:type="dxa"/>
              <w:right w:w="12" w:type="dxa"/>
            </w:tcMar>
            <w:vAlign w:val="center"/>
          </w:tcPr>
          <w:p w:rsidR="00AC0E6E" w:rsidRPr="00F9522B" w:rsidRDefault="00AC0E6E" w:rsidP="00B72B38">
            <w:pPr>
              <w:widowControl/>
              <w:spacing w:line="0" w:lineRule="atLeast"/>
              <w:jc w:val="center"/>
              <w:textAlignment w:val="center"/>
              <w:rPr>
                <w:rFonts w:eastAsiaTheme="minorEastAsia"/>
                <w:kern w:val="0"/>
                <w:szCs w:val="21"/>
              </w:rPr>
            </w:pPr>
            <w:r w:rsidRPr="00F9522B">
              <w:rPr>
                <w:rFonts w:eastAsiaTheme="minorEastAsia"/>
                <w:kern w:val="0"/>
                <w:szCs w:val="21"/>
              </w:rPr>
              <w:t>2025</w:t>
            </w:r>
            <w:r w:rsidRPr="00F9522B">
              <w:rPr>
                <w:rFonts w:eastAsiaTheme="minorEastAsia"/>
                <w:kern w:val="0"/>
                <w:szCs w:val="21"/>
              </w:rPr>
              <w:t>年</w:t>
            </w:r>
            <w:r w:rsidRPr="00F9522B">
              <w:rPr>
                <w:rFonts w:eastAsiaTheme="minorEastAsia"/>
                <w:kern w:val="0"/>
                <w:szCs w:val="21"/>
              </w:rPr>
              <w:t>3</w:t>
            </w:r>
            <w:r w:rsidRPr="00F9522B">
              <w:rPr>
                <w:rFonts w:eastAsiaTheme="minorEastAsia"/>
                <w:kern w:val="0"/>
                <w:szCs w:val="21"/>
              </w:rPr>
              <w:t>月</w:t>
            </w:r>
          </w:p>
        </w:tc>
        <w:tc>
          <w:tcPr>
            <w:tcW w:w="619" w:type="pct"/>
            <w:shd w:val="clear" w:color="auto" w:fill="auto"/>
            <w:tcMar>
              <w:top w:w="12" w:type="dxa"/>
              <w:left w:w="12" w:type="dxa"/>
              <w:right w:w="12" w:type="dxa"/>
            </w:tcMar>
            <w:vAlign w:val="center"/>
          </w:tcPr>
          <w:p w:rsidR="00AC0E6E" w:rsidRPr="00F9522B" w:rsidRDefault="00AC0E6E">
            <w:pPr>
              <w:widowControl/>
              <w:spacing w:line="240" w:lineRule="exact"/>
              <w:jc w:val="center"/>
              <w:textAlignment w:val="center"/>
              <w:rPr>
                <w:rFonts w:eastAsiaTheme="minorEastAsia"/>
                <w:kern w:val="0"/>
                <w:szCs w:val="21"/>
              </w:rPr>
            </w:pPr>
            <w:r w:rsidRPr="00F9522B">
              <w:rPr>
                <w:rFonts w:eastAsiaTheme="minorEastAsia"/>
                <w:kern w:val="0"/>
                <w:szCs w:val="21"/>
              </w:rPr>
              <w:t>8</w:t>
            </w:r>
          </w:p>
        </w:tc>
        <w:tc>
          <w:tcPr>
            <w:tcW w:w="700" w:type="pct"/>
            <w:shd w:val="clear" w:color="auto" w:fill="auto"/>
            <w:tcMar>
              <w:top w:w="12" w:type="dxa"/>
              <w:left w:w="12" w:type="dxa"/>
              <w:right w:w="12" w:type="dxa"/>
            </w:tcMar>
            <w:vAlign w:val="center"/>
          </w:tcPr>
          <w:p w:rsidR="00AC0E6E" w:rsidRPr="00F9522B" w:rsidRDefault="00AC0E6E">
            <w:pPr>
              <w:widowControl/>
              <w:spacing w:line="240" w:lineRule="exact"/>
              <w:jc w:val="center"/>
              <w:textAlignment w:val="center"/>
              <w:rPr>
                <w:rFonts w:eastAsiaTheme="minorEastAsia"/>
                <w:kern w:val="0"/>
                <w:szCs w:val="21"/>
              </w:rPr>
            </w:pPr>
            <w:r w:rsidRPr="00F9522B">
              <w:rPr>
                <w:rFonts w:eastAsiaTheme="minorEastAsia"/>
                <w:kern w:val="0"/>
                <w:szCs w:val="21"/>
              </w:rPr>
              <w:t>3.9</w:t>
            </w:r>
          </w:p>
        </w:tc>
        <w:tc>
          <w:tcPr>
            <w:tcW w:w="561" w:type="pct"/>
            <w:shd w:val="clear" w:color="auto" w:fill="auto"/>
            <w:tcMar>
              <w:top w:w="12" w:type="dxa"/>
              <w:left w:w="12" w:type="dxa"/>
              <w:right w:w="12" w:type="dxa"/>
            </w:tcMar>
            <w:vAlign w:val="center"/>
          </w:tcPr>
          <w:p w:rsidR="00AC0E6E" w:rsidRPr="00F9522B" w:rsidRDefault="00AC0E6E">
            <w:pPr>
              <w:widowControl/>
              <w:spacing w:line="240" w:lineRule="exact"/>
              <w:jc w:val="center"/>
              <w:textAlignment w:val="center"/>
              <w:rPr>
                <w:rFonts w:eastAsiaTheme="minorEastAsia"/>
                <w:kern w:val="0"/>
                <w:szCs w:val="21"/>
              </w:rPr>
            </w:pPr>
            <w:r w:rsidRPr="00F9522B">
              <w:rPr>
                <w:rFonts w:eastAsiaTheme="minorEastAsia"/>
                <w:kern w:val="0"/>
                <w:szCs w:val="21"/>
              </w:rPr>
              <w:t>17.5</w:t>
            </w:r>
          </w:p>
        </w:tc>
        <w:tc>
          <w:tcPr>
            <w:tcW w:w="561" w:type="pct"/>
            <w:shd w:val="clear" w:color="auto" w:fill="auto"/>
            <w:tcMar>
              <w:top w:w="12" w:type="dxa"/>
              <w:left w:w="12" w:type="dxa"/>
              <w:right w:w="12" w:type="dxa"/>
            </w:tcMar>
            <w:vAlign w:val="center"/>
          </w:tcPr>
          <w:p w:rsidR="00AC0E6E" w:rsidRPr="00F9522B" w:rsidRDefault="00AC0E6E">
            <w:pPr>
              <w:widowControl/>
              <w:spacing w:line="240" w:lineRule="exact"/>
              <w:jc w:val="center"/>
              <w:textAlignment w:val="center"/>
              <w:rPr>
                <w:rFonts w:eastAsiaTheme="minorEastAsia"/>
                <w:kern w:val="0"/>
                <w:szCs w:val="21"/>
              </w:rPr>
            </w:pPr>
            <w:r w:rsidRPr="00F9522B">
              <w:rPr>
                <w:rFonts w:eastAsiaTheme="minorEastAsia"/>
                <w:kern w:val="0"/>
                <w:szCs w:val="21"/>
              </w:rPr>
              <w:t>0.22</w:t>
            </w:r>
          </w:p>
        </w:tc>
        <w:tc>
          <w:tcPr>
            <w:tcW w:w="561" w:type="pct"/>
            <w:shd w:val="clear" w:color="auto" w:fill="auto"/>
            <w:tcMar>
              <w:top w:w="12" w:type="dxa"/>
              <w:left w:w="12" w:type="dxa"/>
              <w:right w:w="12" w:type="dxa"/>
            </w:tcMar>
            <w:vAlign w:val="center"/>
          </w:tcPr>
          <w:p w:rsidR="00AC0E6E" w:rsidRPr="00F9522B" w:rsidRDefault="00AC0E6E">
            <w:pPr>
              <w:widowControl/>
              <w:spacing w:line="240" w:lineRule="exact"/>
              <w:jc w:val="center"/>
              <w:textAlignment w:val="center"/>
              <w:rPr>
                <w:rFonts w:eastAsiaTheme="minorEastAsia"/>
                <w:kern w:val="0"/>
                <w:szCs w:val="21"/>
              </w:rPr>
            </w:pPr>
            <w:r w:rsidRPr="00F9522B">
              <w:rPr>
                <w:rFonts w:eastAsiaTheme="minorEastAsia"/>
                <w:kern w:val="0"/>
                <w:szCs w:val="21"/>
              </w:rPr>
              <w:t>0.054</w:t>
            </w:r>
          </w:p>
        </w:tc>
      </w:tr>
      <w:tr w:rsidR="00AC0E6E" w:rsidRPr="00F9522B" w:rsidTr="00967D9B">
        <w:trPr>
          <w:trHeight w:val="440"/>
          <w:jc w:val="center"/>
        </w:trPr>
        <w:tc>
          <w:tcPr>
            <w:tcW w:w="269"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4</w:t>
            </w:r>
          </w:p>
        </w:tc>
        <w:tc>
          <w:tcPr>
            <w:tcW w:w="712" w:type="pct"/>
            <w:vMerge/>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p>
        </w:tc>
        <w:tc>
          <w:tcPr>
            <w:tcW w:w="1018" w:type="pct"/>
            <w:shd w:val="clear" w:color="auto" w:fill="auto"/>
            <w:tcMar>
              <w:top w:w="12" w:type="dxa"/>
              <w:left w:w="12" w:type="dxa"/>
              <w:right w:w="12" w:type="dxa"/>
            </w:tcMar>
            <w:vAlign w:val="center"/>
          </w:tcPr>
          <w:p w:rsidR="00AC0E6E" w:rsidRPr="00F9522B" w:rsidRDefault="00AC0E6E" w:rsidP="00B72B38">
            <w:pPr>
              <w:spacing w:line="0" w:lineRule="atLeast"/>
              <w:jc w:val="center"/>
              <w:rPr>
                <w:rFonts w:eastAsiaTheme="minorEastAsia"/>
                <w:szCs w:val="21"/>
              </w:rPr>
            </w:pPr>
            <w:r w:rsidRPr="00F9522B">
              <w:rPr>
                <w:rFonts w:eastAsiaTheme="minorEastAsia"/>
                <w:kern w:val="0"/>
                <w:szCs w:val="21"/>
              </w:rPr>
              <w:t>2025</w:t>
            </w:r>
            <w:r w:rsidRPr="00F9522B">
              <w:rPr>
                <w:rFonts w:eastAsiaTheme="minorEastAsia"/>
                <w:kern w:val="0"/>
                <w:szCs w:val="21"/>
              </w:rPr>
              <w:t>年</w:t>
            </w:r>
            <w:r w:rsidRPr="00F9522B">
              <w:rPr>
                <w:rFonts w:eastAsiaTheme="minorEastAsia"/>
                <w:kern w:val="0"/>
                <w:szCs w:val="21"/>
              </w:rPr>
              <w:t>4</w:t>
            </w:r>
            <w:r w:rsidRPr="00F9522B">
              <w:rPr>
                <w:rFonts w:eastAsiaTheme="minorEastAsia"/>
                <w:kern w:val="0"/>
                <w:szCs w:val="21"/>
              </w:rPr>
              <w:t>月</w:t>
            </w:r>
          </w:p>
        </w:tc>
        <w:tc>
          <w:tcPr>
            <w:tcW w:w="619" w:type="pct"/>
            <w:shd w:val="clear" w:color="auto" w:fill="auto"/>
            <w:tcMar>
              <w:top w:w="12" w:type="dxa"/>
              <w:left w:w="12" w:type="dxa"/>
              <w:right w:w="12" w:type="dxa"/>
            </w:tcMar>
            <w:vAlign w:val="center"/>
          </w:tcPr>
          <w:p w:rsidR="00AC0E6E" w:rsidRPr="00F9522B" w:rsidRDefault="00AC0E6E">
            <w:pPr>
              <w:widowControl/>
              <w:spacing w:line="240" w:lineRule="exact"/>
              <w:jc w:val="center"/>
              <w:textAlignment w:val="center"/>
              <w:rPr>
                <w:rFonts w:eastAsiaTheme="minorEastAsia"/>
                <w:kern w:val="0"/>
                <w:szCs w:val="21"/>
              </w:rPr>
            </w:pPr>
            <w:r w:rsidRPr="00F9522B">
              <w:rPr>
                <w:rFonts w:eastAsiaTheme="minorEastAsia"/>
                <w:kern w:val="0"/>
                <w:szCs w:val="21"/>
              </w:rPr>
              <w:t>8</w:t>
            </w:r>
          </w:p>
        </w:tc>
        <w:tc>
          <w:tcPr>
            <w:tcW w:w="700" w:type="pct"/>
            <w:shd w:val="clear" w:color="auto" w:fill="auto"/>
            <w:tcMar>
              <w:top w:w="12" w:type="dxa"/>
              <w:left w:w="12" w:type="dxa"/>
              <w:right w:w="12" w:type="dxa"/>
            </w:tcMar>
            <w:vAlign w:val="center"/>
          </w:tcPr>
          <w:p w:rsidR="00AC0E6E" w:rsidRPr="00F9522B" w:rsidRDefault="00AC0E6E">
            <w:pPr>
              <w:widowControl/>
              <w:spacing w:line="240" w:lineRule="exact"/>
              <w:jc w:val="center"/>
              <w:textAlignment w:val="center"/>
              <w:rPr>
                <w:rFonts w:eastAsiaTheme="minorEastAsia"/>
                <w:kern w:val="0"/>
                <w:szCs w:val="21"/>
              </w:rPr>
            </w:pPr>
            <w:r w:rsidRPr="00F9522B">
              <w:rPr>
                <w:rFonts w:eastAsiaTheme="minorEastAsia"/>
                <w:kern w:val="0"/>
                <w:szCs w:val="21"/>
              </w:rPr>
              <w:t>3.9</w:t>
            </w:r>
          </w:p>
        </w:tc>
        <w:tc>
          <w:tcPr>
            <w:tcW w:w="561" w:type="pct"/>
            <w:shd w:val="clear" w:color="auto" w:fill="auto"/>
            <w:tcMar>
              <w:top w:w="12" w:type="dxa"/>
              <w:left w:w="12" w:type="dxa"/>
              <w:right w:w="12" w:type="dxa"/>
            </w:tcMar>
            <w:vAlign w:val="center"/>
          </w:tcPr>
          <w:p w:rsidR="00AC0E6E" w:rsidRPr="00F9522B" w:rsidRDefault="00AC0E6E">
            <w:pPr>
              <w:widowControl/>
              <w:spacing w:line="240" w:lineRule="exact"/>
              <w:jc w:val="center"/>
              <w:textAlignment w:val="center"/>
              <w:rPr>
                <w:rFonts w:eastAsiaTheme="minorEastAsia"/>
                <w:kern w:val="0"/>
                <w:szCs w:val="21"/>
              </w:rPr>
            </w:pPr>
            <w:r w:rsidRPr="00F9522B">
              <w:rPr>
                <w:rFonts w:eastAsiaTheme="minorEastAsia"/>
                <w:kern w:val="0"/>
                <w:szCs w:val="21"/>
              </w:rPr>
              <w:t>7</w:t>
            </w:r>
          </w:p>
        </w:tc>
        <w:tc>
          <w:tcPr>
            <w:tcW w:w="561" w:type="pct"/>
            <w:shd w:val="clear" w:color="auto" w:fill="auto"/>
            <w:tcMar>
              <w:top w:w="12" w:type="dxa"/>
              <w:left w:w="12" w:type="dxa"/>
              <w:right w:w="12" w:type="dxa"/>
            </w:tcMar>
            <w:vAlign w:val="center"/>
          </w:tcPr>
          <w:p w:rsidR="00AC0E6E" w:rsidRPr="00F9522B" w:rsidRDefault="00AC0E6E">
            <w:pPr>
              <w:widowControl/>
              <w:spacing w:line="240" w:lineRule="exact"/>
              <w:jc w:val="center"/>
              <w:textAlignment w:val="center"/>
              <w:rPr>
                <w:rFonts w:eastAsiaTheme="minorEastAsia"/>
                <w:kern w:val="0"/>
                <w:szCs w:val="21"/>
              </w:rPr>
            </w:pPr>
            <w:r w:rsidRPr="00F9522B">
              <w:rPr>
                <w:rFonts w:eastAsiaTheme="minorEastAsia"/>
                <w:kern w:val="0"/>
                <w:szCs w:val="21"/>
              </w:rPr>
              <w:t>0.15</w:t>
            </w:r>
          </w:p>
        </w:tc>
        <w:tc>
          <w:tcPr>
            <w:tcW w:w="561" w:type="pct"/>
            <w:shd w:val="clear" w:color="auto" w:fill="auto"/>
            <w:tcMar>
              <w:top w:w="12" w:type="dxa"/>
              <w:left w:w="12" w:type="dxa"/>
              <w:right w:w="12" w:type="dxa"/>
            </w:tcMar>
            <w:vAlign w:val="center"/>
          </w:tcPr>
          <w:p w:rsidR="00AC0E6E" w:rsidRPr="00F9522B" w:rsidRDefault="00AC0E6E">
            <w:pPr>
              <w:widowControl/>
              <w:spacing w:line="240" w:lineRule="exact"/>
              <w:jc w:val="center"/>
              <w:textAlignment w:val="center"/>
              <w:rPr>
                <w:rFonts w:eastAsiaTheme="minorEastAsia"/>
                <w:kern w:val="0"/>
                <w:szCs w:val="21"/>
              </w:rPr>
            </w:pPr>
            <w:r w:rsidRPr="00F9522B">
              <w:rPr>
                <w:rFonts w:eastAsiaTheme="minorEastAsia"/>
                <w:kern w:val="0"/>
                <w:szCs w:val="21"/>
              </w:rPr>
              <w:t>0.06</w:t>
            </w:r>
          </w:p>
        </w:tc>
      </w:tr>
      <w:tr w:rsidR="00AC0E6E" w:rsidRPr="00F9522B" w:rsidTr="00967D9B">
        <w:trPr>
          <w:trHeight w:val="440"/>
          <w:jc w:val="center"/>
        </w:trPr>
        <w:tc>
          <w:tcPr>
            <w:tcW w:w="269"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5</w:t>
            </w:r>
          </w:p>
        </w:tc>
        <w:tc>
          <w:tcPr>
            <w:tcW w:w="712" w:type="pct"/>
            <w:vMerge/>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p>
        </w:tc>
        <w:tc>
          <w:tcPr>
            <w:tcW w:w="1018" w:type="pct"/>
            <w:shd w:val="clear" w:color="auto" w:fill="auto"/>
            <w:tcMar>
              <w:top w:w="12" w:type="dxa"/>
              <w:left w:w="12" w:type="dxa"/>
              <w:right w:w="12" w:type="dxa"/>
            </w:tcMar>
            <w:vAlign w:val="center"/>
          </w:tcPr>
          <w:p w:rsidR="00AC0E6E" w:rsidRPr="00F9522B" w:rsidRDefault="00AC0E6E">
            <w:pPr>
              <w:spacing w:line="0" w:lineRule="atLeast"/>
              <w:jc w:val="center"/>
              <w:rPr>
                <w:rFonts w:eastAsiaTheme="minorEastAsia"/>
                <w:szCs w:val="21"/>
              </w:rPr>
            </w:pPr>
            <w:r w:rsidRPr="00F9522B">
              <w:rPr>
                <w:rFonts w:eastAsiaTheme="minorEastAsia"/>
                <w:kern w:val="0"/>
                <w:szCs w:val="21"/>
              </w:rPr>
              <w:t>2025</w:t>
            </w:r>
            <w:r w:rsidRPr="00F9522B">
              <w:rPr>
                <w:rFonts w:eastAsiaTheme="minorEastAsia"/>
                <w:kern w:val="0"/>
                <w:szCs w:val="21"/>
              </w:rPr>
              <w:t>年</w:t>
            </w:r>
            <w:r w:rsidRPr="00F9522B">
              <w:rPr>
                <w:rFonts w:eastAsiaTheme="minorEastAsia"/>
                <w:kern w:val="0"/>
                <w:szCs w:val="21"/>
              </w:rPr>
              <w:t>5</w:t>
            </w:r>
            <w:r w:rsidRPr="00F9522B">
              <w:rPr>
                <w:rFonts w:eastAsiaTheme="minorEastAsia"/>
                <w:kern w:val="0"/>
                <w:szCs w:val="21"/>
              </w:rPr>
              <w:t>月</w:t>
            </w:r>
          </w:p>
        </w:tc>
        <w:tc>
          <w:tcPr>
            <w:tcW w:w="619" w:type="pct"/>
            <w:shd w:val="clear" w:color="auto" w:fill="auto"/>
            <w:tcMar>
              <w:top w:w="12" w:type="dxa"/>
              <w:left w:w="12" w:type="dxa"/>
              <w:right w:w="12" w:type="dxa"/>
            </w:tcMar>
            <w:vAlign w:val="center"/>
          </w:tcPr>
          <w:p w:rsidR="00AC0E6E" w:rsidRPr="00F9522B" w:rsidRDefault="00AC0E6E">
            <w:pPr>
              <w:widowControl/>
              <w:jc w:val="center"/>
              <w:textAlignment w:val="bottom"/>
              <w:rPr>
                <w:rFonts w:eastAsiaTheme="minorEastAsia"/>
                <w:kern w:val="0"/>
                <w:szCs w:val="21"/>
              </w:rPr>
            </w:pPr>
            <w:r w:rsidRPr="00F9522B">
              <w:rPr>
                <w:rFonts w:eastAsiaTheme="minorEastAsia"/>
                <w:kern w:val="0"/>
                <w:szCs w:val="21"/>
              </w:rPr>
              <w:t>8</w:t>
            </w:r>
          </w:p>
        </w:tc>
        <w:tc>
          <w:tcPr>
            <w:tcW w:w="700" w:type="pct"/>
            <w:shd w:val="clear" w:color="auto" w:fill="auto"/>
            <w:tcMar>
              <w:top w:w="12" w:type="dxa"/>
              <w:left w:w="12" w:type="dxa"/>
              <w:right w:w="12" w:type="dxa"/>
            </w:tcMar>
            <w:vAlign w:val="center"/>
          </w:tcPr>
          <w:p w:rsidR="00AC0E6E" w:rsidRPr="00F9522B" w:rsidRDefault="00AC0E6E">
            <w:pPr>
              <w:widowControl/>
              <w:jc w:val="center"/>
              <w:textAlignment w:val="bottom"/>
              <w:rPr>
                <w:rFonts w:eastAsiaTheme="minorEastAsia"/>
                <w:kern w:val="0"/>
                <w:szCs w:val="21"/>
              </w:rPr>
            </w:pPr>
            <w:r w:rsidRPr="00F9522B">
              <w:rPr>
                <w:rFonts w:eastAsiaTheme="minorEastAsia"/>
                <w:kern w:val="0"/>
                <w:szCs w:val="21"/>
              </w:rPr>
              <w:t>4.3</w:t>
            </w:r>
          </w:p>
        </w:tc>
        <w:tc>
          <w:tcPr>
            <w:tcW w:w="561" w:type="pct"/>
            <w:shd w:val="clear" w:color="auto" w:fill="auto"/>
            <w:tcMar>
              <w:top w:w="12" w:type="dxa"/>
              <w:left w:w="12" w:type="dxa"/>
              <w:right w:w="12" w:type="dxa"/>
            </w:tcMar>
            <w:vAlign w:val="center"/>
          </w:tcPr>
          <w:p w:rsidR="00AC0E6E" w:rsidRPr="00F9522B" w:rsidRDefault="00AC0E6E">
            <w:pPr>
              <w:widowControl/>
              <w:jc w:val="center"/>
              <w:textAlignment w:val="bottom"/>
              <w:rPr>
                <w:rFonts w:eastAsiaTheme="minorEastAsia"/>
                <w:kern w:val="0"/>
                <w:szCs w:val="21"/>
              </w:rPr>
            </w:pPr>
            <w:r w:rsidRPr="00F9522B">
              <w:rPr>
                <w:rFonts w:eastAsiaTheme="minorEastAsia"/>
                <w:kern w:val="0"/>
                <w:szCs w:val="21"/>
              </w:rPr>
              <w:t>14.3</w:t>
            </w:r>
          </w:p>
        </w:tc>
        <w:tc>
          <w:tcPr>
            <w:tcW w:w="561" w:type="pct"/>
            <w:shd w:val="clear" w:color="auto" w:fill="auto"/>
            <w:tcMar>
              <w:top w:w="12" w:type="dxa"/>
              <w:left w:w="12" w:type="dxa"/>
              <w:right w:w="12" w:type="dxa"/>
            </w:tcMar>
            <w:vAlign w:val="center"/>
          </w:tcPr>
          <w:p w:rsidR="00AC0E6E" w:rsidRPr="00F9522B" w:rsidRDefault="00AC0E6E">
            <w:pPr>
              <w:widowControl/>
              <w:jc w:val="center"/>
              <w:textAlignment w:val="bottom"/>
              <w:rPr>
                <w:rFonts w:eastAsiaTheme="minorEastAsia"/>
                <w:kern w:val="0"/>
                <w:szCs w:val="21"/>
              </w:rPr>
            </w:pPr>
            <w:r w:rsidRPr="00F9522B">
              <w:rPr>
                <w:rFonts w:eastAsiaTheme="minorEastAsia"/>
                <w:kern w:val="0"/>
                <w:szCs w:val="21"/>
              </w:rPr>
              <w:t>0.11</w:t>
            </w:r>
          </w:p>
        </w:tc>
        <w:tc>
          <w:tcPr>
            <w:tcW w:w="561"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0.075</w:t>
            </w:r>
          </w:p>
        </w:tc>
      </w:tr>
      <w:tr w:rsidR="00AC0E6E" w:rsidRPr="00F9522B" w:rsidTr="00967D9B">
        <w:trPr>
          <w:trHeight w:val="440"/>
          <w:jc w:val="center"/>
        </w:trPr>
        <w:tc>
          <w:tcPr>
            <w:tcW w:w="269"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6</w:t>
            </w:r>
          </w:p>
        </w:tc>
        <w:tc>
          <w:tcPr>
            <w:tcW w:w="712" w:type="pct"/>
            <w:vMerge/>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p>
        </w:tc>
        <w:tc>
          <w:tcPr>
            <w:tcW w:w="1018" w:type="pct"/>
            <w:shd w:val="clear" w:color="auto" w:fill="auto"/>
            <w:tcMar>
              <w:top w:w="12" w:type="dxa"/>
              <w:left w:w="12" w:type="dxa"/>
              <w:right w:w="12" w:type="dxa"/>
            </w:tcMar>
            <w:vAlign w:val="center"/>
          </w:tcPr>
          <w:p w:rsidR="00AC0E6E" w:rsidRPr="00F9522B" w:rsidRDefault="00AC0E6E" w:rsidP="00B72B38">
            <w:pPr>
              <w:spacing w:line="0" w:lineRule="atLeast"/>
              <w:jc w:val="center"/>
              <w:rPr>
                <w:rFonts w:eastAsiaTheme="minorEastAsia"/>
                <w:szCs w:val="21"/>
              </w:rPr>
            </w:pPr>
            <w:r w:rsidRPr="00F9522B">
              <w:rPr>
                <w:rFonts w:eastAsiaTheme="minorEastAsia"/>
                <w:kern w:val="0"/>
                <w:szCs w:val="21"/>
              </w:rPr>
              <w:t>2025</w:t>
            </w:r>
            <w:r w:rsidRPr="00F9522B">
              <w:rPr>
                <w:rFonts w:eastAsiaTheme="minorEastAsia"/>
                <w:kern w:val="0"/>
                <w:szCs w:val="21"/>
              </w:rPr>
              <w:t>年</w:t>
            </w:r>
            <w:r w:rsidRPr="00F9522B">
              <w:rPr>
                <w:rFonts w:eastAsiaTheme="minorEastAsia"/>
                <w:kern w:val="0"/>
                <w:szCs w:val="21"/>
              </w:rPr>
              <w:t>6</w:t>
            </w:r>
            <w:r w:rsidRPr="00F9522B">
              <w:rPr>
                <w:rFonts w:eastAsiaTheme="minorEastAsia"/>
                <w:kern w:val="0"/>
                <w:szCs w:val="21"/>
              </w:rPr>
              <w:t>月</w:t>
            </w:r>
          </w:p>
        </w:tc>
        <w:tc>
          <w:tcPr>
            <w:tcW w:w="619"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8</w:t>
            </w:r>
          </w:p>
        </w:tc>
        <w:tc>
          <w:tcPr>
            <w:tcW w:w="700"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4.2</w:t>
            </w:r>
          </w:p>
        </w:tc>
        <w:tc>
          <w:tcPr>
            <w:tcW w:w="561"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14</w:t>
            </w:r>
          </w:p>
        </w:tc>
        <w:tc>
          <w:tcPr>
            <w:tcW w:w="561"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0.14</w:t>
            </w:r>
          </w:p>
        </w:tc>
        <w:tc>
          <w:tcPr>
            <w:tcW w:w="561"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0.088</w:t>
            </w:r>
          </w:p>
        </w:tc>
      </w:tr>
      <w:tr w:rsidR="00AC0E6E" w:rsidRPr="00F9522B" w:rsidTr="00967D9B">
        <w:trPr>
          <w:trHeight w:val="440"/>
          <w:jc w:val="center"/>
        </w:trPr>
        <w:tc>
          <w:tcPr>
            <w:tcW w:w="269"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7</w:t>
            </w:r>
          </w:p>
        </w:tc>
        <w:tc>
          <w:tcPr>
            <w:tcW w:w="712" w:type="pct"/>
            <w:vMerge/>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p>
        </w:tc>
        <w:tc>
          <w:tcPr>
            <w:tcW w:w="1018" w:type="pct"/>
            <w:shd w:val="clear" w:color="auto" w:fill="auto"/>
            <w:tcMar>
              <w:top w:w="12" w:type="dxa"/>
              <w:left w:w="12" w:type="dxa"/>
              <w:right w:w="12" w:type="dxa"/>
            </w:tcMar>
            <w:vAlign w:val="center"/>
          </w:tcPr>
          <w:p w:rsidR="00AC0E6E" w:rsidRPr="00F9522B" w:rsidRDefault="00AC0E6E" w:rsidP="00B72B38">
            <w:pPr>
              <w:spacing w:line="0" w:lineRule="atLeast"/>
              <w:jc w:val="center"/>
              <w:rPr>
                <w:rFonts w:eastAsiaTheme="minorEastAsia"/>
                <w:szCs w:val="21"/>
              </w:rPr>
            </w:pPr>
            <w:r w:rsidRPr="00F9522B">
              <w:rPr>
                <w:rFonts w:eastAsiaTheme="minorEastAsia"/>
                <w:kern w:val="0"/>
                <w:szCs w:val="21"/>
              </w:rPr>
              <w:t>2025</w:t>
            </w:r>
            <w:r w:rsidRPr="00F9522B">
              <w:rPr>
                <w:rFonts w:eastAsiaTheme="minorEastAsia"/>
                <w:kern w:val="0"/>
                <w:szCs w:val="21"/>
              </w:rPr>
              <w:t>年</w:t>
            </w:r>
            <w:r w:rsidRPr="00F9522B">
              <w:rPr>
                <w:rFonts w:eastAsiaTheme="minorEastAsia"/>
                <w:kern w:val="0"/>
                <w:szCs w:val="21"/>
              </w:rPr>
              <w:t>7</w:t>
            </w:r>
            <w:r w:rsidRPr="00F9522B">
              <w:rPr>
                <w:rFonts w:eastAsiaTheme="minorEastAsia"/>
                <w:kern w:val="0"/>
                <w:szCs w:val="21"/>
              </w:rPr>
              <w:t>月</w:t>
            </w:r>
          </w:p>
        </w:tc>
        <w:tc>
          <w:tcPr>
            <w:tcW w:w="619" w:type="pct"/>
            <w:shd w:val="clear" w:color="auto" w:fill="auto"/>
            <w:tcMar>
              <w:top w:w="12" w:type="dxa"/>
              <w:left w:w="12" w:type="dxa"/>
              <w:right w:w="12" w:type="dxa"/>
            </w:tcMar>
            <w:vAlign w:val="center"/>
          </w:tcPr>
          <w:p w:rsidR="00AC0E6E" w:rsidRPr="00F9522B" w:rsidRDefault="00AC0E6E" w:rsidP="009D380C">
            <w:pPr>
              <w:widowControl/>
              <w:jc w:val="center"/>
              <w:textAlignment w:val="center"/>
              <w:rPr>
                <w:rFonts w:eastAsiaTheme="minorEastAsia"/>
                <w:kern w:val="0"/>
                <w:szCs w:val="21"/>
              </w:rPr>
            </w:pPr>
            <w:r w:rsidRPr="00F9522B">
              <w:rPr>
                <w:rFonts w:eastAsiaTheme="minorEastAsia"/>
                <w:kern w:val="0"/>
                <w:szCs w:val="21"/>
              </w:rPr>
              <w:t>7</w:t>
            </w:r>
          </w:p>
        </w:tc>
        <w:tc>
          <w:tcPr>
            <w:tcW w:w="700" w:type="pct"/>
            <w:shd w:val="clear" w:color="auto" w:fill="auto"/>
            <w:tcMar>
              <w:top w:w="12" w:type="dxa"/>
              <w:left w:w="12" w:type="dxa"/>
              <w:right w:w="12" w:type="dxa"/>
            </w:tcMar>
            <w:vAlign w:val="center"/>
          </w:tcPr>
          <w:p w:rsidR="00AC0E6E" w:rsidRPr="00F9522B" w:rsidRDefault="00AC0E6E" w:rsidP="009D380C">
            <w:pPr>
              <w:widowControl/>
              <w:jc w:val="center"/>
              <w:textAlignment w:val="center"/>
              <w:rPr>
                <w:rFonts w:eastAsiaTheme="minorEastAsia"/>
                <w:kern w:val="0"/>
                <w:szCs w:val="21"/>
              </w:rPr>
            </w:pPr>
            <w:r w:rsidRPr="00F9522B">
              <w:rPr>
                <w:rFonts w:eastAsiaTheme="minorEastAsia"/>
                <w:kern w:val="0"/>
                <w:szCs w:val="21"/>
              </w:rPr>
              <w:t>4.3</w:t>
            </w:r>
          </w:p>
        </w:tc>
        <w:tc>
          <w:tcPr>
            <w:tcW w:w="561" w:type="pct"/>
            <w:shd w:val="clear" w:color="auto" w:fill="auto"/>
            <w:tcMar>
              <w:top w:w="12" w:type="dxa"/>
              <w:left w:w="12" w:type="dxa"/>
              <w:right w:w="12" w:type="dxa"/>
            </w:tcMar>
            <w:vAlign w:val="center"/>
          </w:tcPr>
          <w:p w:rsidR="00AC0E6E" w:rsidRPr="00F9522B" w:rsidRDefault="00AC0E6E" w:rsidP="009D380C">
            <w:pPr>
              <w:widowControl/>
              <w:spacing w:line="0" w:lineRule="atLeast"/>
              <w:jc w:val="center"/>
              <w:textAlignment w:val="center"/>
              <w:rPr>
                <w:rFonts w:eastAsiaTheme="minorEastAsia"/>
                <w:kern w:val="0"/>
                <w:szCs w:val="21"/>
              </w:rPr>
            </w:pPr>
            <w:r w:rsidRPr="00F9522B">
              <w:rPr>
                <w:rFonts w:eastAsiaTheme="minorEastAsia"/>
                <w:kern w:val="0"/>
                <w:szCs w:val="21"/>
              </w:rPr>
              <w:t>14.3</w:t>
            </w:r>
          </w:p>
        </w:tc>
        <w:tc>
          <w:tcPr>
            <w:tcW w:w="561" w:type="pct"/>
            <w:shd w:val="clear" w:color="auto" w:fill="auto"/>
            <w:tcMar>
              <w:top w:w="12" w:type="dxa"/>
              <w:left w:w="12" w:type="dxa"/>
              <w:right w:w="12" w:type="dxa"/>
            </w:tcMar>
            <w:vAlign w:val="center"/>
          </w:tcPr>
          <w:p w:rsidR="00AC0E6E" w:rsidRPr="00F9522B" w:rsidRDefault="00AC0E6E" w:rsidP="009D380C">
            <w:pPr>
              <w:widowControl/>
              <w:spacing w:line="0" w:lineRule="atLeast"/>
              <w:jc w:val="center"/>
              <w:textAlignment w:val="center"/>
              <w:rPr>
                <w:rFonts w:eastAsiaTheme="minorEastAsia"/>
                <w:kern w:val="0"/>
                <w:szCs w:val="21"/>
              </w:rPr>
            </w:pPr>
            <w:r w:rsidRPr="00F9522B">
              <w:rPr>
                <w:rFonts w:eastAsiaTheme="minorEastAsia"/>
                <w:kern w:val="0"/>
                <w:szCs w:val="21"/>
              </w:rPr>
              <w:t>0.09</w:t>
            </w:r>
          </w:p>
        </w:tc>
        <w:tc>
          <w:tcPr>
            <w:tcW w:w="561" w:type="pct"/>
            <w:shd w:val="clear" w:color="auto" w:fill="auto"/>
            <w:tcMar>
              <w:top w:w="12" w:type="dxa"/>
              <w:left w:w="12" w:type="dxa"/>
              <w:right w:w="12" w:type="dxa"/>
            </w:tcMar>
            <w:vAlign w:val="center"/>
          </w:tcPr>
          <w:p w:rsidR="00AC0E6E" w:rsidRPr="00F9522B" w:rsidRDefault="00AC0E6E" w:rsidP="009D380C">
            <w:pPr>
              <w:widowControl/>
              <w:spacing w:line="0" w:lineRule="atLeast"/>
              <w:jc w:val="center"/>
              <w:textAlignment w:val="center"/>
              <w:rPr>
                <w:rFonts w:eastAsiaTheme="minorEastAsia"/>
                <w:kern w:val="0"/>
                <w:szCs w:val="21"/>
              </w:rPr>
            </w:pPr>
            <w:r w:rsidRPr="00F9522B">
              <w:rPr>
                <w:rFonts w:eastAsiaTheme="minorEastAsia"/>
                <w:kern w:val="0"/>
                <w:szCs w:val="21"/>
              </w:rPr>
              <w:t>0.12</w:t>
            </w:r>
          </w:p>
        </w:tc>
      </w:tr>
      <w:tr w:rsidR="00AC0E6E" w:rsidRPr="00F9522B" w:rsidTr="00967D9B">
        <w:trPr>
          <w:trHeight w:val="440"/>
          <w:jc w:val="center"/>
        </w:trPr>
        <w:tc>
          <w:tcPr>
            <w:tcW w:w="269"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8</w:t>
            </w:r>
          </w:p>
        </w:tc>
        <w:tc>
          <w:tcPr>
            <w:tcW w:w="712" w:type="pct"/>
            <w:vMerge/>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p>
        </w:tc>
        <w:tc>
          <w:tcPr>
            <w:tcW w:w="1018" w:type="pct"/>
            <w:shd w:val="clear" w:color="auto" w:fill="auto"/>
            <w:tcMar>
              <w:top w:w="12" w:type="dxa"/>
              <w:left w:w="12" w:type="dxa"/>
              <w:right w:w="12" w:type="dxa"/>
            </w:tcMar>
            <w:vAlign w:val="center"/>
          </w:tcPr>
          <w:p w:rsidR="00AC0E6E" w:rsidRPr="00F9522B" w:rsidRDefault="00AC0E6E" w:rsidP="00B72B38">
            <w:pPr>
              <w:spacing w:line="0" w:lineRule="atLeast"/>
              <w:jc w:val="center"/>
              <w:rPr>
                <w:rFonts w:eastAsiaTheme="minorEastAsia"/>
                <w:szCs w:val="21"/>
              </w:rPr>
            </w:pPr>
            <w:r w:rsidRPr="00F9522B">
              <w:rPr>
                <w:rFonts w:eastAsiaTheme="minorEastAsia"/>
                <w:kern w:val="0"/>
                <w:szCs w:val="21"/>
              </w:rPr>
              <w:t>2025</w:t>
            </w:r>
            <w:r w:rsidRPr="00F9522B">
              <w:rPr>
                <w:rFonts w:eastAsiaTheme="minorEastAsia"/>
                <w:kern w:val="0"/>
                <w:szCs w:val="21"/>
              </w:rPr>
              <w:t>年</w:t>
            </w:r>
            <w:r w:rsidRPr="00F9522B">
              <w:rPr>
                <w:rFonts w:eastAsiaTheme="minorEastAsia"/>
                <w:kern w:val="0"/>
                <w:szCs w:val="21"/>
              </w:rPr>
              <w:t>8</w:t>
            </w:r>
            <w:r w:rsidRPr="00F9522B">
              <w:rPr>
                <w:rFonts w:eastAsiaTheme="minorEastAsia"/>
                <w:kern w:val="0"/>
                <w:szCs w:val="21"/>
              </w:rPr>
              <w:t>月</w:t>
            </w:r>
          </w:p>
        </w:tc>
        <w:tc>
          <w:tcPr>
            <w:tcW w:w="619"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7</w:t>
            </w:r>
          </w:p>
        </w:tc>
        <w:tc>
          <w:tcPr>
            <w:tcW w:w="700"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4.1</w:t>
            </w:r>
          </w:p>
        </w:tc>
        <w:tc>
          <w:tcPr>
            <w:tcW w:w="561"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15.3</w:t>
            </w:r>
          </w:p>
        </w:tc>
        <w:tc>
          <w:tcPr>
            <w:tcW w:w="561"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0.05</w:t>
            </w:r>
          </w:p>
        </w:tc>
        <w:tc>
          <w:tcPr>
            <w:tcW w:w="561"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0.117</w:t>
            </w:r>
          </w:p>
        </w:tc>
      </w:tr>
      <w:tr w:rsidR="00AC0E6E" w:rsidRPr="00F9522B" w:rsidTr="00967D9B">
        <w:trPr>
          <w:trHeight w:val="440"/>
          <w:jc w:val="center"/>
        </w:trPr>
        <w:tc>
          <w:tcPr>
            <w:tcW w:w="269"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9</w:t>
            </w:r>
          </w:p>
        </w:tc>
        <w:tc>
          <w:tcPr>
            <w:tcW w:w="712" w:type="pct"/>
            <w:vMerge/>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p>
        </w:tc>
        <w:tc>
          <w:tcPr>
            <w:tcW w:w="1018" w:type="pct"/>
            <w:shd w:val="clear" w:color="auto" w:fill="auto"/>
            <w:tcMar>
              <w:top w:w="12" w:type="dxa"/>
              <w:left w:w="12" w:type="dxa"/>
              <w:right w:w="12" w:type="dxa"/>
            </w:tcMar>
            <w:vAlign w:val="center"/>
          </w:tcPr>
          <w:p w:rsidR="00AC0E6E" w:rsidRPr="00F9522B" w:rsidRDefault="00AC0E6E" w:rsidP="00B72B38">
            <w:pPr>
              <w:spacing w:line="0" w:lineRule="atLeast"/>
              <w:jc w:val="center"/>
              <w:rPr>
                <w:rFonts w:eastAsiaTheme="minorEastAsia"/>
                <w:szCs w:val="21"/>
              </w:rPr>
            </w:pPr>
            <w:r w:rsidRPr="00F9522B">
              <w:rPr>
                <w:rFonts w:eastAsiaTheme="minorEastAsia"/>
                <w:kern w:val="0"/>
                <w:szCs w:val="21"/>
              </w:rPr>
              <w:t>2025</w:t>
            </w:r>
            <w:r w:rsidRPr="00F9522B">
              <w:rPr>
                <w:rFonts w:eastAsiaTheme="minorEastAsia"/>
                <w:kern w:val="0"/>
                <w:szCs w:val="21"/>
              </w:rPr>
              <w:t>年</w:t>
            </w:r>
            <w:r w:rsidRPr="00F9522B">
              <w:rPr>
                <w:rFonts w:eastAsiaTheme="minorEastAsia"/>
                <w:kern w:val="0"/>
                <w:szCs w:val="21"/>
              </w:rPr>
              <w:t>9</w:t>
            </w:r>
            <w:r w:rsidRPr="00F9522B">
              <w:rPr>
                <w:rFonts w:eastAsiaTheme="minorEastAsia"/>
                <w:kern w:val="0"/>
                <w:szCs w:val="21"/>
              </w:rPr>
              <w:t>月</w:t>
            </w:r>
          </w:p>
        </w:tc>
        <w:tc>
          <w:tcPr>
            <w:tcW w:w="619"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8</w:t>
            </w:r>
          </w:p>
        </w:tc>
        <w:tc>
          <w:tcPr>
            <w:tcW w:w="700"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4.2</w:t>
            </w:r>
          </w:p>
        </w:tc>
        <w:tc>
          <w:tcPr>
            <w:tcW w:w="561"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15.5</w:t>
            </w:r>
          </w:p>
        </w:tc>
        <w:tc>
          <w:tcPr>
            <w:tcW w:w="561"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0.07</w:t>
            </w:r>
          </w:p>
        </w:tc>
        <w:tc>
          <w:tcPr>
            <w:tcW w:w="561"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0.114</w:t>
            </w:r>
          </w:p>
        </w:tc>
      </w:tr>
      <w:tr w:rsidR="00AC0E6E" w:rsidRPr="00F9522B" w:rsidTr="00967D9B">
        <w:trPr>
          <w:trHeight w:val="440"/>
          <w:jc w:val="center"/>
        </w:trPr>
        <w:tc>
          <w:tcPr>
            <w:tcW w:w="269"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11</w:t>
            </w:r>
          </w:p>
        </w:tc>
        <w:tc>
          <w:tcPr>
            <w:tcW w:w="712" w:type="pct"/>
            <w:vMerge/>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p>
        </w:tc>
        <w:tc>
          <w:tcPr>
            <w:tcW w:w="1018" w:type="pct"/>
            <w:shd w:val="clear" w:color="auto" w:fill="auto"/>
            <w:tcMar>
              <w:top w:w="12" w:type="dxa"/>
              <w:left w:w="12" w:type="dxa"/>
              <w:right w:w="12" w:type="dxa"/>
            </w:tcMar>
            <w:vAlign w:val="center"/>
          </w:tcPr>
          <w:p w:rsidR="00AC0E6E" w:rsidRPr="00F9522B" w:rsidRDefault="00AC0E6E" w:rsidP="00B72B38">
            <w:pPr>
              <w:spacing w:line="0" w:lineRule="atLeast"/>
              <w:jc w:val="center"/>
              <w:rPr>
                <w:rFonts w:eastAsiaTheme="minorEastAsia"/>
                <w:kern w:val="0"/>
                <w:szCs w:val="21"/>
              </w:rPr>
            </w:pPr>
            <w:r w:rsidRPr="00F9522B">
              <w:rPr>
                <w:rFonts w:eastAsiaTheme="minorEastAsia"/>
                <w:kern w:val="0"/>
                <w:szCs w:val="21"/>
              </w:rPr>
              <w:t>2025</w:t>
            </w:r>
            <w:r w:rsidRPr="00F9522B">
              <w:rPr>
                <w:rFonts w:eastAsiaTheme="minorEastAsia"/>
                <w:kern w:val="0"/>
                <w:szCs w:val="21"/>
              </w:rPr>
              <w:t>年</w:t>
            </w:r>
            <w:r w:rsidRPr="00F9522B">
              <w:rPr>
                <w:rFonts w:eastAsiaTheme="minorEastAsia"/>
                <w:kern w:val="0"/>
                <w:szCs w:val="21"/>
              </w:rPr>
              <w:t>10</w:t>
            </w:r>
            <w:r w:rsidRPr="00F9522B">
              <w:rPr>
                <w:rFonts w:eastAsiaTheme="minorEastAsia"/>
                <w:kern w:val="0"/>
                <w:szCs w:val="21"/>
              </w:rPr>
              <w:t>月</w:t>
            </w:r>
          </w:p>
        </w:tc>
        <w:tc>
          <w:tcPr>
            <w:tcW w:w="619"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8</w:t>
            </w:r>
          </w:p>
        </w:tc>
        <w:tc>
          <w:tcPr>
            <w:tcW w:w="700"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4.2</w:t>
            </w:r>
          </w:p>
        </w:tc>
        <w:tc>
          <w:tcPr>
            <w:tcW w:w="561"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11</w:t>
            </w:r>
          </w:p>
        </w:tc>
        <w:tc>
          <w:tcPr>
            <w:tcW w:w="561"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0.07</w:t>
            </w:r>
          </w:p>
        </w:tc>
        <w:tc>
          <w:tcPr>
            <w:tcW w:w="561"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0.084</w:t>
            </w:r>
          </w:p>
        </w:tc>
      </w:tr>
      <w:tr w:rsidR="00AC0E6E" w:rsidRPr="00F9522B" w:rsidTr="00967D9B">
        <w:trPr>
          <w:trHeight w:val="440"/>
          <w:jc w:val="center"/>
        </w:trPr>
        <w:tc>
          <w:tcPr>
            <w:tcW w:w="269"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12</w:t>
            </w:r>
          </w:p>
        </w:tc>
        <w:tc>
          <w:tcPr>
            <w:tcW w:w="712" w:type="pct"/>
            <w:vMerge/>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p>
        </w:tc>
        <w:tc>
          <w:tcPr>
            <w:tcW w:w="1018" w:type="pct"/>
            <w:shd w:val="clear" w:color="auto" w:fill="auto"/>
            <w:tcMar>
              <w:top w:w="12" w:type="dxa"/>
              <w:left w:w="12" w:type="dxa"/>
              <w:right w:w="12" w:type="dxa"/>
            </w:tcMar>
            <w:vAlign w:val="center"/>
          </w:tcPr>
          <w:p w:rsidR="00AC0E6E" w:rsidRPr="00F9522B" w:rsidRDefault="00AC0E6E" w:rsidP="00B72B38">
            <w:pPr>
              <w:spacing w:line="0" w:lineRule="atLeast"/>
              <w:jc w:val="center"/>
              <w:rPr>
                <w:rFonts w:eastAsiaTheme="minorEastAsia"/>
                <w:szCs w:val="21"/>
              </w:rPr>
            </w:pPr>
            <w:r w:rsidRPr="00F9522B">
              <w:rPr>
                <w:rFonts w:eastAsiaTheme="minorEastAsia"/>
                <w:kern w:val="0"/>
                <w:szCs w:val="21"/>
              </w:rPr>
              <w:t>2025</w:t>
            </w:r>
            <w:r w:rsidRPr="00F9522B">
              <w:rPr>
                <w:rFonts w:eastAsiaTheme="minorEastAsia"/>
                <w:kern w:val="0"/>
                <w:szCs w:val="21"/>
              </w:rPr>
              <w:t>年</w:t>
            </w:r>
            <w:r w:rsidRPr="00F9522B">
              <w:rPr>
                <w:rFonts w:eastAsiaTheme="minorEastAsia"/>
                <w:kern w:val="0"/>
                <w:szCs w:val="21"/>
              </w:rPr>
              <w:t>11</w:t>
            </w:r>
            <w:r w:rsidRPr="00F9522B">
              <w:rPr>
                <w:rFonts w:eastAsiaTheme="minorEastAsia"/>
                <w:kern w:val="0"/>
                <w:szCs w:val="21"/>
              </w:rPr>
              <w:t>月</w:t>
            </w:r>
          </w:p>
        </w:tc>
        <w:tc>
          <w:tcPr>
            <w:tcW w:w="619"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8</w:t>
            </w:r>
          </w:p>
        </w:tc>
        <w:tc>
          <w:tcPr>
            <w:tcW w:w="700"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4.5</w:t>
            </w:r>
          </w:p>
        </w:tc>
        <w:tc>
          <w:tcPr>
            <w:tcW w:w="561"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11.7</w:t>
            </w:r>
          </w:p>
        </w:tc>
        <w:tc>
          <w:tcPr>
            <w:tcW w:w="561"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0.03</w:t>
            </w:r>
          </w:p>
        </w:tc>
        <w:tc>
          <w:tcPr>
            <w:tcW w:w="561"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0.063</w:t>
            </w:r>
          </w:p>
        </w:tc>
      </w:tr>
      <w:tr w:rsidR="00AC0E6E" w:rsidRPr="00F9522B" w:rsidTr="00967D9B">
        <w:trPr>
          <w:trHeight w:val="440"/>
          <w:jc w:val="center"/>
        </w:trPr>
        <w:tc>
          <w:tcPr>
            <w:tcW w:w="269"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13</w:t>
            </w:r>
          </w:p>
        </w:tc>
        <w:tc>
          <w:tcPr>
            <w:tcW w:w="712" w:type="pct"/>
            <w:vMerge/>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p>
        </w:tc>
        <w:tc>
          <w:tcPr>
            <w:tcW w:w="1018" w:type="pct"/>
            <w:shd w:val="clear" w:color="auto" w:fill="auto"/>
            <w:tcMar>
              <w:top w:w="12" w:type="dxa"/>
              <w:left w:w="12" w:type="dxa"/>
              <w:right w:w="12" w:type="dxa"/>
            </w:tcMar>
            <w:vAlign w:val="center"/>
          </w:tcPr>
          <w:p w:rsidR="00AC0E6E" w:rsidRPr="00F9522B" w:rsidRDefault="00AC0E6E" w:rsidP="00B72B38">
            <w:pPr>
              <w:spacing w:line="0" w:lineRule="atLeast"/>
              <w:jc w:val="center"/>
              <w:rPr>
                <w:rFonts w:eastAsiaTheme="minorEastAsia"/>
                <w:szCs w:val="21"/>
              </w:rPr>
            </w:pPr>
            <w:r w:rsidRPr="00F9522B">
              <w:rPr>
                <w:rFonts w:eastAsiaTheme="minorEastAsia"/>
                <w:kern w:val="0"/>
                <w:szCs w:val="21"/>
              </w:rPr>
              <w:t>2025</w:t>
            </w:r>
            <w:r w:rsidRPr="00F9522B">
              <w:rPr>
                <w:rFonts w:eastAsiaTheme="minorEastAsia"/>
                <w:kern w:val="0"/>
                <w:szCs w:val="21"/>
              </w:rPr>
              <w:t>年</w:t>
            </w:r>
            <w:r w:rsidRPr="00F9522B">
              <w:rPr>
                <w:rFonts w:eastAsiaTheme="minorEastAsia"/>
                <w:kern w:val="0"/>
                <w:szCs w:val="21"/>
              </w:rPr>
              <w:t>12</w:t>
            </w:r>
            <w:r w:rsidRPr="00F9522B">
              <w:rPr>
                <w:rFonts w:eastAsiaTheme="minorEastAsia"/>
                <w:kern w:val="0"/>
                <w:szCs w:val="21"/>
              </w:rPr>
              <w:t>月</w:t>
            </w:r>
          </w:p>
        </w:tc>
        <w:tc>
          <w:tcPr>
            <w:tcW w:w="619"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8</w:t>
            </w:r>
          </w:p>
        </w:tc>
        <w:tc>
          <w:tcPr>
            <w:tcW w:w="700"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4.3</w:t>
            </w:r>
          </w:p>
        </w:tc>
        <w:tc>
          <w:tcPr>
            <w:tcW w:w="561"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18</w:t>
            </w:r>
          </w:p>
        </w:tc>
        <w:tc>
          <w:tcPr>
            <w:tcW w:w="561"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0.07</w:t>
            </w:r>
          </w:p>
        </w:tc>
        <w:tc>
          <w:tcPr>
            <w:tcW w:w="561"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0.05</w:t>
            </w:r>
          </w:p>
        </w:tc>
      </w:tr>
      <w:tr w:rsidR="00AC0E6E" w:rsidRPr="00F9522B" w:rsidTr="00967D9B">
        <w:trPr>
          <w:trHeight w:val="440"/>
          <w:jc w:val="center"/>
        </w:trPr>
        <w:tc>
          <w:tcPr>
            <w:tcW w:w="269"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14</w:t>
            </w:r>
          </w:p>
        </w:tc>
        <w:tc>
          <w:tcPr>
            <w:tcW w:w="712" w:type="pct"/>
            <w:vMerge/>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p>
        </w:tc>
        <w:tc>
          <w:tcPr>
            <w:tcW w:w="1018" w:type="pct"/>
            <w:shd w:val="clear" w:color="auto" w:fill="auto"/>
            <w:tcMar>
              <w:top w:w="12" w:type="dxa"/>
              <w:left w:w="12" w:type="dxa"/>
              <w:right w:w="12" w:type="dxa"/>
            </w:tcMar>
            <w:vAlign w:val="center"/>
          </w:tcPr>
          <w:p w:rsidR="00AC0E6E" w:rsidRPr="00F9522B" w:rsidRDefault="00AC0E6E" w:rsidP="00B72B38">
            <w:pPr>
              <w:spacing w:line="0" w:lineRule="atLeast"/>
              <w:jc w:val="center"/>
              <w:rPr>
                <w:rFonts w:eastAsiaTheme="minorEastAsia"/>
                <w:kern w:val="0"/>
                <w:szCs w:val="21"/>
              </w:rPr>
            </w:pPr>
            <w:r w:rsidRPr="00F9522B">
              <w:rPr>
                <w:rFonts w:eastAsiaTheme="minorEastAsia"/>
                <w:kern w:val="0"/>
                <w:szCs w:val="21"/>
              </w:rPr>
              <w:t>2026</w:t>
            </w:r>
            <w:r w:rsidRPr="00F9522B">
              <w:rPr>
                <w:rFonts w:eastAsiaTheme="minorEastAsia"/>
                <w:kern w:val="0"/>
                <w:szCs w:val="21"/>
              </w:rPr>
              <w:t>年</w:t>
            </w:r>
            <w:r w:rsidRPr="00F9522B">
              <w:rPr>
                <w:rFonts w:eastAsiaTheme="minorEastAsia"/>
                <w:kern w:val="0"/>
                <w:szCs w:val="21"/>
              </w:rPr>
              <w:t>1</w:t>
            </w:r>
            <w:r w:rsidRPr="00F9522B">
              <w:rPr>
                <w:rFonts w:eastAsiaTheme="minorEastAsia"/>
                <w:kern w:val="0"/>
                <w:szCs w:val="21"/>
              </w:rPr>
              <w:t>月</w:t>
            </w:r>
          </w:p>
        </w:tc>
        <w:tc>
          <w:tcPr>
            <w:tcW w:w="619" w:type="pct"/>
            <w:shd w:val="clear" w:color="auto" w:fill="auto"/>
            <w:tcMar>
              <w:top w:w="12" w:type="dxa"/>
              <w:left w:w="12" w:type="dxa"/>
              <w:right w:w="12" w:type="dxa"/>
            </w:tcMar>
            <w:vAlign w:val="center"/>
          </w:tcPr>
          <w:p w:rsidR="00AC0E6E" w:rsidRPr="00F9522B" w:rsidRDefault="00AC0E6E">
            <w:pPr>
              <w:widowControl/>
              <w:jc w:val="center"/>
              <w:textAlignment w:val="center"/>
              <w:rPr>
                <w:rFonts w:eastAsiaTheme="minorEastAsia"/>
                <w:kern w:val="0"/>
                <w:szCs w:val="21"/>
              </w:rPr>
            </w:pPr>
            <w:r w:rsidRPr="00F9522B">
              <w:rPr>
                <w:rFonts w:eastAsiaTheme="minorEastAsia"/>
                <w:kern w:val="0"/>
                <w:szCs w:val="21"/>
              </w:rPr>
              <w:t>7</w:t>
            </w:r>
          </w:p>
        </w:tc>
        <w:tc>
          <w:tcPr>
            <w:tcW w:w="700" w:type="pct"/>
            <w:shd w:val="clear" w:color="auto" w:fill="auto"/>
            <w:tcMar>
              <w:top w:w="12" w:type="dxa"/>
              <w:left w:w="12" w:type="dxa"/>
              <w:right w:w="12" w:type="dxa"/>
            </w:tcMar>
            <w:vAlign w:val="center"/>
          </w:tcPr>
          <w:p w:rsidR="00AC0E6E" w:rsidRPr="00F9522B" w:rsidRDefault="00AC0E6E">
            <w:pPr>
              <w:widowControl/>
              <w:jc w:val="center"/>
              <w:textAlignment w:val="center"/>
              <w:rPr>
                <w:rFonts w:eastAsiaTheme="minorEastAsia"/>
                <w:kern w:val="0"/>
                <w:szCs w:val="21"/>
              </w:rPr>
            </w:pPr>
            <w:r w:rsidRPr="00F9522B">
              <w:rPr>
                <w:rFonts w:eastAsiaTheme="minorEastAsia"/>
                <w:kern w:val="0"/>
                <w:szCs w:val="21"/>
              </w:rPr>
              <w:t>4.4</w:t>
            </w:r>
          </w:p>
        </w:tc>
        <w:tc>
          <w:tcPr>
            <w:tcW w:w="561"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20</w:t>
            </w:r>
          </w:p>
        </w:tc>
        <w:tc>
          <w:tcPr>
            <w:tcW w:w="561" w:type="pct"/>
            <w:shd w:val="clear" w:color="auto" w:fill="auto"/>
            <w:tcMar>
              <w:top w:w="12" w:type="dxa"/>
              <w:left w:w="12" w:type="dxa"/>
              <w:right w:w="12" w:type="dxa"/>
            </w:tcMar>
            <w:vAlign w:val="center"/>
          </w:tcPr>
          <w:p w:rsidR="00AC0E6E" w:rsidRPr="00F9522B" w:rsidRDefault="00AC0E6E" w:rsidP="00B72B38">
            <w:pPr>
              <w:widowControl/>
              <w:spacing w:line="0" w:lineRule="atLeast"/>
              <w:jc w:val="center"/>
              <w:textAlignment w:val="center"/>
              <w:rPr>
                <w:rFonts w:eastAsiaTheme="minorEastAsia"/>
                <w:kern w:val="0"/>
                <w:szCs w:val="21"/>
              </w:rPr>
            </w:pPr>
            <w:r w:rsidRPr="00F9522B">
              <w:rPr>
                <w:rFonts w:eastAsiaTheme="minorEastAsia"/>
                <w:kern w:val="0"/>
                <w:szCs w:val="21"/>
              </w:rPr>
              <w:t>0.15</w:t>
            </w:r>
          </w:p>
        </w:tc>
        <w:tc>
          <w:tcPr>
            <w:tcW w:w="561" w:type="pct"/>
            <w:shd w:val="clear" w:color="auto" w:fill="auto"/>
            <w:tcMar>
              <w:top w:w="12" w:type="dxa"/>
              <w:left w:w="12" w:type="dxa"/>
              <w:right w:w="12" w:type="dxa"/>
            </w:tcMar>
            <w:vAlign w:val="center"/>
          </w:tcPr>
          <w:p w:rsidR="00AC0E6E" w:rsidRPr="00F9522B" w:rsidRDefault="00AC0E6E" w:rsidP="00B72B38">
            <w:pPr>
              <w:widowControl/>
              <w:spacing w:line="0" w:lineRule="atLeast"/>
              <w:jc w:val="center"/>
              <w:textAlignment w:val="center"/>
              <w:rPr>
                <w:rFonts w:eastAsiaTheme="minorEastAsia"/>
                <w:kern w:val="0"/>
                <w:szCs w:val="21"/>
              </w:rPr>
            </w:pPr>
            <w:r w:rsidRPr="00F9522B">
              <w:rPr>
                <w:rFonts w:eastAsiaTheme="minorEastAsia"/>
                <w:kern w:val="0"/>
                <w:szCs w:val="21"/>
              </w:rPr>
              <w:t>0.04</w:t>
            </w:r>
          </w:p>
        </w:tc>
      </w:tr>
      <w:tr w:rsidR="00AC0E6E" w:rsidRPr="00F9522B" w:rsidTr="00967D9B">
        <w:trPr>
          <w:trHeight w:val="440"/>
          <w:jc w:val="center"/>
        </w:trPr>
        <w:tc>
          <w:tcPr>
            <w:tcW w:w="269"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15</w:t>
            </w:r>
          </w:p>
        </w:tc>
        <w:tc>
          <w:tcPr>
            <w:tcW w:w="712" w:type="pct"/>
            <w:vMerge/>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p>
        </w:tc>
        <w:tc>
          <w:tcPr>
            <w:tcW w:w="1018" w:type="pct"/>
            <w:shd w:val="clear" w:color="auto" w:fill="auto"/>
            <w:tcMar>
              <w:top w:w="12" w:type="dxa"/>
              <w:left w:w="12" w:type="dxa"/>
              <w:right w:w="12" w:type="dxa"/>
            </w:tcMar>
            <w:vAlign w:val="center"/>
          </w:tcPr>
          <w:p w:rsidR="00AC0E6E" w:rsidRPr="00F9522B" w:rsidRDefault="00AC0E6E" w:rsidP="00B72B38">
            <w:pPr>
              <w:spacing w:line="0" w:lineRule="atLeast"/>
              <w:jc w:val="center"/>
              <w:rPr>
                <w:rFonts w:eastAsiaTheme="minorEastAsia"/>
                <w:kern w:val="0"/>
                <w:szCs w:val="21"/>
              </w:rPr>
            </w:pPr>
            <w:r w:rsidRPr="00F9522B">
              <w:rPr>
                <w:rFonts w:eastAsiaTheme="minorEastAsia"/>
                <w:kern w:val="0"/>
                <w:szCs w:val="21"/>
              </w:rPr>
              <w:t>2026</w:t>
            </w:r>
            <w:r w:rsidRPr="00F9522B">
              <w:rPr>
                <w:rFonts w:eastAsiaTheme="minorEastAsia"/>
                <w:kern w:val="0"/>
                <w:szCs w:val="21"/>
              </w:rPr>
              <w:t>年</w:t>
            </w:r>
            <w:r w:rsidRPr="00F9522B">
              <w:rPr>
                <w:rFonts w:eastAsiaTheme="minorEastAsia"/>
                <w:kern w:val="0"/>
                <w:szCs w:val="21"/>
              </w:rPr>
              <w:t>2</w:t>
            </w:r>
            <w:r w:rsidRPr="00F9522B">
              <w:rPr>
                <w:rFonts w:eastAsiaTheme="minorEastAsia"/>
                <w:kern w:val="0"/>
                <w:szCs w:val="21"/>
              </w:rPr>
              <w:t>月</w:t>
            </w:r>
          </w:p>
        </w:tc>
        <w:tc>
          <w:tcPr>
            <w:tcW w:w="619" w:type="pct"/>
            <w:shd w:val="clear" w:color="auto" w:fill="auto"/>
            <w:tcMar>
              <w:top w:w="12" w:type="dxa"/>
              <w:left w:w="12" w:type="dxa"/>
              <w:right w:w="12" w:type="dxa"/>
            </w:tcMar>
            <w:vAlign w:val="center"/>
          </w:tcPr>
          <w:p w:rsidR="00AC0E6E" w:rsidRPr="00F9522B" w:rsidRDefault="00AC0E6E">
            <w:pPr>
              <w:widowControl/>
              <w:jc w:val="center"/>
              <w:textAlignment w:val="center"/>
              <w:rPr>
                <w:rFonts w:eastAsiaTheme="minorEastAsia"/>
                <w:kern w:val="0"/>
                <w:szCs w:val="21"/>
              </w:rPr>
            </w:pPr>
            <w:r w:rsidRPr="00F9522B">
              <w:rPr>
                <w:rFonts w:eastAsiaTheme="minorEastAsia"/>
                <w:kern w:val="0"/>
                <w:szCs w:val="21"/>
              </w:rPr>
              <w:t>7</w:t>
            </w:r>
          </w:p>
        </w:tc>
        <w:tc>
          <w:tcPr>
            <w:tcW w:w="700" w:type="pct"/>
            <w:shd w:val="clear" w:color="auto" w:fill="auto"/>
            <w:tcMar>
              <w:top w:w="12" w:type="dxa"/>
              <w:left w:w="12" w:type="dxa"/>
              <w:right w:w="12" w:type="dxa"/>
            </w:tcMar>
            <w:vAlign w:val="center"/>
          </w:tcPr>
          <w:p w:rsidR="00AC0E6E" w:rsidRPr="00F9522B" w:rsidRDefault="00AC0E6E">
            <w:pPr>
              <w:widowControl/>
              <w:jc w:val="center"/>
              <w:textAlignment w:val="center"/>
              <w:rPr>
                <w:rFonts w:eastAsiaTheme="minorEastAsia"/>
                <w:kern w:val="0"/>
                <w:szCs w:val="21"/>
              </w:rPr>
            </w:pPr>
            <w:r w:rsidRPr="00F9522B">
              <w:rPr>
                <w:rFonts w:eastAsiaTheme="minorEastAsia"/>
                <w:kern w:val="0"/>
                <w:szCs w:val="21"/>
              </w:rPr>
              <w:t>4.4</w:t>
            </w:r>
          </w:p>
        </w:tc>
        <w:tc>
          <w:tcPr>
            <w:tcW w:w="561"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w:t>
            </w:r>
          </w:p>
        </w:tc>
        <w:tc>
          <w:tcPr>
            <w:tcW w:w="561"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0.15</w:t>
            </w:r>
          </w:p>
        </w:tc>
        <w:tc>
          <w:tcPr>
            <w:tcW w:w="561"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0.02</w:t>
            </w:r>
          </w:p>
        </w:tc>
      </w:tr>
      <w:tr w:rsidR="00AC0E6E" w:rsidRPr="00F9522B" w:rsidTr="00967D9B">
        <w:trPr>
          <w:trHeight w:val="440"/>
          <w:jc w:val="center"/>
        </w:trPr>
        <w:tc>
          <w:tcPr>
            <w:tcW w:w="269"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16</w:t>
            </w:r>
          </w:p>
        </w:tc>
        <w:tc>
          <w:tcPr>
            <w:tcW w:w="712" w:type="pct"/>
            <w:vMerge/>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p>
        </w:tc>
        <w:tc>
          <w:tcPr>
            <w:tcW w:w="1018" w:type="pct"/>
            <w:shd w:val="clear" w:color="auto" w:fill="auto"/>
            <w:tcMar>
              <w:top w:w="12" w:type="dxa"/>
              <w:left w:w="12" w:type="dxa"/>
              <w:right w:w="12" w:type="dxa"/>
            </w:tcMar>
            <w:vAlign w:val="center"/>
          </w:tcPr>
          <w:p w:rsidR="00AC0E6E" w:rsidRPr="00F9522B" w:rsidRDefault="00AC0E6E" w:rsidP="00B72B38">
            <w:pPr>
              <w:spacing w:line="0" w:lineRule="atLeast"/>
              <w:jc w:val="center"/>
              <w:rPr>
                <w:rFonts w:eastAsiaTheme="minorEastAsia"/>
                <w:kern w:val="0"/>
                <w:szCs w:val="21"/>
              </w:rPr>
            </w:pPr>
            <w:r w:rsidRPr="00F9522B">
              <w:rPr>
                <w:rFonts w:eastAsiaTheme="minorEastAsia"/>
                <w:kern w:val="0"/>
                <w:szCs w:val="21"/>
              </w:rPr>
              <w:t>2026</w:t>
            </w:r>
            <w:r w:rsidRPr="00F9522B">
              <w:rPr>
                <w:rFonts w:eastAsiaTheme="minorEastAsia"/>
                <w:kern w:val="0"/>
                <w:szCs w:val="21"/>
              </w:rPr>
              <w:t>年</w:t>
            </w:r>
            <w:r w:rsidRPr="00F9522B">
              <w:rPr>
                <w:rFonts w:eastAsiaTheme="minorEastAsia"/>
                <w:kern w:val="0"/>
                <w:szCs w:val="21"/>
              </w:rPr>
              <w:t>3</w:t>
            </w:r>
            <w:r w:rsidRPr="00F9522B">
              <w:rPr>
                <w:rFonts w:eastAsiaTheme="minorEastAsia"/>
                <w:kern w:val="0"/>
                <w:szCs w:val="21"/>
              </w:rPr>
              <w:t>月</w:t>
            </w:r>
          </w:p>
        </w:tc>
        <w:tc>
          <w:tcPr>
            <w:tcW w:w="619" w:type="pct"/>
            <w:shd w:val="clear" w:color="auto" w:fill="auto"/>
            <w:tcMar>
              <w:top w:w="12" w:type="dxa"/>
              <w:left w:w="12" w:type="dxa"/>
              <w:right w:w="12" w:type="dxa"/>
            </w:tcMar>
            <w:vAlign w:val="center"/>
          </w:tcPr>
          <w:p w:rsidR="00AC0E6E" w:rsidRPr="00F9522B" w:rsidRDefault="00AC0E6E">
            <w:pPr>
              <w:widowControl/>
              <w:jc w:val="center"/>
              <w:textAlignment w:val="center"/>
              <w:rPr>
                <w:rFonts w:eastAsiaTheme="minorEastAsia"/>
                <w:kern w:val="0"/>
                <w:szCs w:val="21"/>
              </w:rPr>
            </w:pPr>
            <w:r w:rsidRPr="00F9522B">
              <w:rPr>
                <w:rFonts w:eastAsiaTheme="minorEastAsia"/>
                <w:kern w:val="0"/>
                <w:szCs w:val="21"/>
              </w:rPr>
              <w:t>7</w:t>
            </w:r>
          </w:p>
        </w:tc>
        <w:tc>
          <w:tcPr>
            <w:tcW w:w="700" w:type="pct"/>
            <w:shd w:val="clear" w:color="auto" w:fill="auto"/>
            <w:tcMar>
              <w:top w:w="12" w:type="dxa"/>
              <w:left w:w="12" w:type="dxa"/>
              <w:right w:w="12" w:type="dxa"/>
            </w:tcMar>
            <w:vAlign w:val="center"/>
          </w:tcPr>
          <w:p w:rsidR="00AC0E6E" w:rsidRPr="00F9522B" w:rsidRDefault="00AC0E6E">
            <w:pPr>
              <w:widowControl/>
              <w:jc w:val="center"/>
              <w:textAlignment w:val="center"/>
              <w:rPr>
                <w:rFonts w:eastAsiaTheme="minorEastAsia"/>
                <w:kern w:val="0"/>
                <w:szCs w:val="21"/>
              </w:rPr>
            </w:pPr>
            <w:r w:rsidRPr="00F9522B">
              <w:rPr>
                <w:rFonts w:eastAsiaTheme="minorEastAsia"/>
                <w:kern w:val="0"/>
                <w:szCs w:val="21"/>
              </w:rPr>
              <w:t>3.8</w:t>
            </w:r>
          </w:p>
        </w:tc>
        <w:tc>
          <w:tcPr>
            <w:tcW w:w="561"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w:t>
            </w:r>
          </w:p>
        </w:tc>
        <w:tc>
          <w:tcPr>
            <w:tcW w:w="561"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0.15</w:t>
            </w:r>
          </w:p>
        </w:tc>
        <w:tc>
          <w:tcPr>
            <w:tcW w:w="561" w:type="pct"/>
            <w:shd w:val="clear" w:color="auto" w:fill="auto"/>
            <w:tcMar>
              <w:top w:w="12" w:type="dxa"/>
              <w:left w:w="12" w:type="dxa"/>
              <w:right w:w="12" w:type="dxa"/>
            </w:tcMar>
            <w:vAlign w:val="center"/>
          </w:tcPr>
          <w:p w:rsidR="00AC0E6E" w:rsidRPr="00F9522B" w:rsidRDefault="00AC0E6E">
            <w:pPr>
              <w:widowControl/>
              <w:spacing w:line="0" w:lineRule="atLeast"/>
              <w:jc w:val="center"/>
              <w:textAlignment w:val="center"/>
              <w:rPr>
                <w:rFonts w:eastAsiaTheme="minorEastAsia"/>
                <w:kern w:val="0"/>
                <w:szCs w:val="21"/>
              </w:rPr>
            </w:pPr>
            <w:r w:rsidRPr="00F9522B">
              <w:rPr>
                <w:rFonts w:eastAsiaTheme="minorEastAsia"/>
                <w:kern w:val="0"/>
                <w:szCs w:val="21"/>
              </w:rPr>
              <w:t>0.016</w:t>
            </w:r>
          </w:p>
        </w:tc>
      </w:tr>
    </w:tbl>
    <w:p w:rsidR="002A5A5E" w:rsidRPr="00F9522B" w:rsidRDefault="00611CBA" w:rsidP="00611CBA">
      <w:pPr>
        <w:spacing w:line="360" w:lineRule="auto"/>
        <w:ind w:firstLineChars="182" w:firstLine="437"/>
        <w:rPr>
          <w:rFonts w:eastAsiaTheme="minorEastAsia"/>
          <w:sz w:val="24"/>
        </w:rPr>
      </w:pPr>
      <w:r w:rsidRPr="00F9522B">
        <w:rPr>
          <w:rFonts w:eastAsiaTheme="minorEastAsia"/>
          <w:sz w:val="24"/>
        </w:rPr>
        <w:t>根据上表可以看出，</w:t>
      </w:r>
      <w:r w:rsidR="00B774C1" w:rsidRPr="00F9522B">
        <w:rPr>
          <w:rFonts w:eastAsiaTheme="minorEastAsia"/>
          <w:sz w:val="24"/>
        </w:rPr>
        <w:t>大顶子山</w:t>
      </w:r>
      <w:r w:rsidR="00B774C1" w:rsidRPr="00F9522B">
        <w:rPr>
          <w:rFonts w:eastAsiaTheme="minorEastAsia"/>
          <w:bCs/>
          <w:kern w:val="0"/>
          <w:sz w:val="24"/>
          <w:szCs w:val="21"/>
        </w:rPr>
        <w:t>水质目标为</w:t>
      </w:r>
      <w:r w:rsidR="00B774C1" w:rsidRPr="00F9522B">
        <w:rPr>
          <w:rFonts w:eastAsiaTheme="minorEastAsia"/>
          <w:bCs/>
          <w:kern w:val="0"/>
          <w:sz w:val="24"/>
          <w:szCs w:val="21"/>
        </w:rPr>
        <w:t>Ⅲ</w:t>
      </w:r>
      <w:r w:rsidR="00B774C1" w:rsidRPr="00F9522B">
        <w:rPr>
          <w:rFonts w:eastAsiaTheme="minorEastAsia"/>
          <w:bCs/>
          <w:kern w:val="0"/>
          <w:sz w:val="24"/>
          <w:szCs w:val="21"/>
        </w:rPr>
        <w:t>类，</w:t>
      </w:r>
      <w:r w:rsidR="00B774C1" w:rsidRPr="00F9522B">
        <w:rPr>
          <w:rFonts w:eastAsiaTheme="minorEastAsia"/>
          <w:bCs/>
          <w:kern w:val="0"/>
          <w:sz w:val="24"/>
          <w:szCs w:val="21"/>
        </w:rPr>
        <w:t>2025</w:t>
      </w:r>
      <w:r w:rsidR="00B774C1" w:rsidRPr="00F9522B">
        <w:rPr>
          <w:rFonts w:eastAsiaTheme="minorEastAsia"/>
          <w:bCs/>
          <w:kern w:val="0"/>
          <w:sz w:val="24"/>
          <w:szCs w:val="21"/>
        </w:rPr>
        <w:t>年</w:t>
      </w:r>
      <w:r w:rsidR="00B774C1" w:rsidRPr="00F9522B">
        <w:rPr>
          <w:rFonts w:eastAsiaTheme="minorEastAsia"/>
          <w:bCs/>
          <w:kern w:val="0"/>
          <w:sz w:val="24"/>
          <w:szCs w:val="21"/>
        </w:rPr>
        <w:t>1</w:t>
      </w:r>
      <w:r w:rsidR="00B774C1" w:rsidRPr="00F9522B">
        <w:rPr>
          <w:rFonts w:eastAsiaTheme="minorEastAsia"/>
          <w:bCs/>
          <w:kern w:val="0"/>
          <w:sz w:val="24"/>
          <w:szCs w:val="21"/>
        </w:rPr>
        <w:t>月</w:t>
      </w:r>
      <w:r w:rsidR="00B774C1" w:rsidRPr="00F9522B">
        <w:rPr>
          <w:rFonts w:eastAsiaTheme="minorEastAsia"/>
          <w:bCs/>
          <w:kern w:val="0"/>
          <w:sz w:val="24"/>
          <w:szCs w:val="21"/>
        </w:rPr>
        <w:t>-2026</w:t>
      </w:r>
      <w:r w:rsidR="00B774C1" w:rsidRPr="00F9522B">
        <w:rPr>
          <w:rFonts w:eastAsiaTheme="minorEastAsia"/>
          <w:bCs/>
          <w:kern w:val="0"/>
          <w:sz w:val="24"/>
          <w:szCs w:val="21"/>
        </w:rPr>
        <w:t>年</w:t>
      </w:r>
      <w:r w:rsidR="00B774C1" w:rsidRPr="00F9522B">
        <w:rPr>
          <w:rFonts w:eastAsiaTheme="minorEastAsia"/>
          <w:bCs/>
          <w:kern w:val="0"/>
          <w:sz w:val="24"/>
          <w:szCs w:val="21"/>
        </w:rPr>
        <w:t>3</w:t>
      </w:r>
      <w:r w:rsidR="00B774C1" w:rsidRPr="00F9522B">
        <w:rPr>
          <w:rFonts w:eastAsiaTheme="minorEastAsia"/>
          <w:bCs/>
          <w:kern w:val="0"/>
          <w:sz w:val="24"/>
          <w:szCs w:val="21"/>
        </w:rPr>
        <w:t>月水质均达标，满足</w:t>
      </w:r>
      <w:r w:rsidR="00B774C1" w:rsidRPr="00F9522B">
        <w:rPr>
          <w:rFonts w:eastAsiaTheme="minorEastAsia"/>
          <w:bCs/>
          <w:kern w:val="0"/>
          <w:sz w:val="24"/>
          <w:szCs w:val="21"/>
        </w:rPr>
        <w:t>Ⅲ</w:t>
      </w:r>
      <w:r w:rsidR="00B774C1" w:rsidRPr="00F9522B">
        <w:rPr>
          <w:rFonts w:eastAsiaTheme="minorEastAsia"/>
          <w:bCs/>
          <w:kern w:val="0"/>
          <w:sz w:val="24"/>
          <w:szCs w:val="21"/>
        </w:rPr>
        <w:t>类</w:t>
      </w:r>
      <w:r w:rsidR="00B774C1" w:rsidRPr="00F9522B">
        <w:rPr>
          <w:rFonts w:eastAsiaTheme="minorEastAsia"/>
          <w:sz w:val="24"/>
        </w:rPr>
        <w:t>水体类别要求</w:t>
      </w:r>
      <w:r w:rsidRPr="000D2D13">
        <w:rPr>
          <w:rFonts w:eastAsiaTheme="minorEastAsia"/>
          <w:sz w:val="24"/>
          <w:highlight w:val="green"/>
        </w:rPr>
        <w:t>，退水期间与非退水期间水质变化不大。黑</w:t>
      </w:r>
      <w:r w:rsidRPr="00F9522B">
        <w:rPr>
          <w:rFonts w:eastAsiaTheme="minorEastAsia"/>
          <w:sz w:val="24"/>
        </w:rPr>
        <w:t>龙江呼兰河口湿地省级自然保护区近五年来生态保护成效通过了生态及林草部门的评估验收。故本项目现有水田退水对黑龙江呼兰河口湿地省级自然保护区及</w:t>
      </w:r>
      <w:r w:rsidR="00904BE7" w:rsidRPr="00F9522B">
        <w:rPr>
          <w:rFonts w:eastAsiaTheme="minorEastAsia"/>
          <w:kern w:val="24"/>
          <w:sz w:val="24"/>
        </w:rPr>
        <w:t>大顶子山</w:t>
      </w:r>
      <w:r w:rsidRPr="00F9522B">
        <w:rPr>
          <w:rFonts w:eastAsiaTheme="minorEastAsia"/>
          <w:sz w:val="24"/>
        </w:rPr>
        <w:t>断面造成影响较小。</w:t>
      </w:r>
    </w:p>
    <w:p w:rsidR="002A5A5E" w:rsidRPr="00F9522B" w:rsidRDefault="00611CBA">
      <w:pPr>
        <w:spacing w:line="360" w:lineRule="auto"/>
        <w:ind w:firstLineChars="200" w:firstLine="480"/>
        <w:rPr>
          <w:rFonts w:eastAsiaTheme="minorEastAsia"/>
          <w:snapToGrid w:val="0"/>
          <w:sz w:val="24"/>
        </w:rPr>
      </w:pPr>
      <w:r w:rsidRPr="00F9522B">
        <w:rPr>
          <w:rFonts w:eastAsiaTheme="minorEastAsia"/>
          <w:sz w:val="24"/>
        </w:rPr>
        <w:t>项目建成后灌区</w:t>
      </w:r>
      <w:r w:rsidR="00F25A84" w:rsidRPr="00F9522B">
        <w:rPr>
          <w:rFonts w:eastAsiaTheme="minorEastAsia"/>
          <w:sz w:val="24"/>
        </w:rPr>
        <w:t>松花江</w:t>
      </w:r>
      <w:r w:rsidRPr="00F9522B">
        <w:rPr>
          <w:rFonts w:eastAsiaTheme="minorEastAsia"/>
          <w:sz w:val="24"/>
        </w:rPr>
        <w:t>退水口年退水量与现状相比</w:t>
      </w:r>
      <w:r w:rsidR="00F25A84" w:rsidRPr="00F9522B">
        <w:rPr>
          <w:rFonts w:eastAsiaTheme="minorEastAsia"/>
          <w:sz w:val="24"/>
        </w:rPr>
        <w:t>减少</w:t>
      </w:r>
      <w:r w:rsidR="00F25A84" w:rsidRPr="00F9522B">
        <w:rPr>
          <w:rFonts w:eastAsiaTheme="minorEastAsia"/>
          <w:sz w:val="24"/>
        </w:rPr>
        <w:t>10.4</w:t>
      </w:r>
      <w:r w:rsidR="00F25A84" w:rsidRPr="00F9522B">
        <w:rPr>
          <w:rFonts w:eastAsiaTheme="minorEastAsia"/>
          <w:sz w:val="24"/>
        </w:rPr>
        <w:t>万</w:t>
      </w:r>
      <w:r w:rsidRPr="00F9522B">
        <w:rPr>
          <w:rFonts w:eastAsiaTheme="minorEastAsia"/>
          <w:sz w:val="24"/>
        </w:rPr>
        <w:t>m</w:t>
      </w:r>
      <w:r w:rsidRPr="00F9522B">
        <w:rPr>
          <w:rFonts w:eastAsiaTheme="minorEastAsia"/>
          <w:sz w:val="24"/>
          <w:vertAlign w:val="superscript"/>
        </w:rPr>
        <w:t>3</w:t>
      </w:r>
      <w:r w:rsidRPr="00F9522B">
        <w:rPr>
          <w:rFonts w:eastAsiaTheme="minorEastAsia"/>
          <w:sz w:val="24"/>
        </w:rPr>
        <w:t>。</w:t>
      </w:r>
      <w:r w:rsidR="00E03AD9" w:rsidRPr="00F9522B">
        <w:rPr>
          <w:rFonts w:eastAsiaTheme="minorEastAsia"/>
          <w:bCs/>
          <w:color w:val="FF0000"/>
          <w:sz w:val="24"/>
        </w:rPr>
        <w:t>COD</w:t>
      </w:r>
      <w:r w:rsidR="00E03AD9" w:rsidRPr="00F9522B">
        <w:rPr>
          <w:rFonts w:eastAsiaTheme="minorEastAsia"/>
          <w:bCs/>
          <w:color w:val="FF0000"/>
          <w:sz w:val="24"/>
        </w:rPr>
        <w:t>、氨氮、总磷及总氮排放量分别减少</w:t>
      </w:r>
      <w:r w:rsidR="00E03AD9" w:rsidRPr="00F9522B">
        <w:rPr>
          <w:rFonts w:eastAsiaTheme="minorEastAsia"/>
          <w:bCs/>
          <w:color w:val="FF0000"/>
          <w:sz w:val="24"/>
        </w:rPr>
        <w:t>5.462t/a</w:t>
      </w:r>
      <w:r w:rsidR="00E03AD9" w:rsidRPr="00F9522B">
        <w:rPr>
          <w:rFonts w:eastAsiaTheme="minorEastAsia"/>
          <w:bCs/>
          <w:color w:val="FF0000"/>
          <w:sz w:val="24"/>
        </w:rPr>
        <w:t>、</w:t>
      </w:r>
      <w:r w:rsidR="00E03AD9" w:rsidRPr="00F9522B">
        <w:rPr>
          <w:rFonts w:eastAsiaTheme="minorEastAsia"/>
          <w:bCs/>
          <w:color w:val="FF0000"/>
          <w:sz w:val="24"/>
        </w:rPr>
        <w:t>0.131t/a</w:t>
      </w:r>
      <w:r w:rsidR="00E03AD9" w:rsidRPr="00F9522B">
        <w:rPr>
          <w:rFonts w:eastAsiaTheme="minorEastAsia"/>
          <w:bCs/>
          <w:color w:val="FF0000"/>
          <w:sz w:val="24"/>
        </w:rPr>
        <w:t>、</w:t>
      </w:r>
      <w:r w:rsidR="00E03AD9" w:rsidRPr="00F9522B">
        <w:rPr>
          <w:rFonts w:eastAsiaTheme="minorEastAsia"/>
          <w:bCs/>
          <w:color w:val="FF0000"/>
          <w:sz w:val="24"/>
        </w:rPr>
        <w:t>0.191t/a</w:t>
      </w:r>
      <w:r w:rsidR="00E03AD9" w:rsidRPr="00F9522B">
        <w:rPr>
          <w:rFonts w:eastAsiaTheme="minorEastAsia"/>
          <w:bCs/>
          <w:color w:val="FF0000"/>
          <w:sz w:val="24"/>
        </w:rPr>
        <w:t>、</w:t>
      </w:r>
      <w:r w:rsidR="00E03AD9" w:rsidRPr="00F9522B">
        <w:rPr>
          <w:rFonts w:eastAsiaTheme="minorEastAsia"/>
          <w:bCs/>
          <w:color w:val="FF0000"/>
          <w:sz w:val="24"/>
        </w:rPr>
        <w:t>0.435t/a</w:t>
      </w:r>
      <w:r w:rsidR="00E03AD9" w:rsidRPr="00F9522B">
        <w:rPr>
          <w:rFonts w:eastAsiaTheme="minorEastAsia"/>
          <w:bCs/>
          <w:color w:val="FF0000"/>
          <w:sz w:val="24"/>
        </w:rPr>
        <w:t>。</w:t>
      </w:r>
      <w:r w:rsidRPr="00F9522B">
        <w:rPr>
          <w:rFonts w:eastAsiaTheme="minorEastAsia"/>
          <w:sz w:val="24"/>
          <w:szCs w:val="21"/>
        </w:rPr>
        <w:t>本项目对区域水文情势、鱼类栖息及繁殖、浮游生物、底栖动物、水生维管束植物产生有利影响。农田排水集中在</w:t>
      </w:r>
      <w:r w:rsidRPr="00F9522B">
        <w:rPr>
          <w:rFonts w:eastAsiaTheme="minorEastAsia"/>
          <w:sz w:val="24"/>
          <w:szCs w:val="21"/>
        </w:rPr>
        <w:t>5</w:t>
      </w:r>
      <w:r w:rsidRPr="00F9522B">
        <w:rPr>
          <w:rFonts w:eastAsiaTheme="minorEastAsia"/>
          <w:sz w:val="24"/>
          <w:szCs w:val="21"/>
        </w:rPr>
        <w:t>～</w:t>
      </w:r>
      <w:r w:rsidRPr="00F9522B">
        <w:rPr>
          <w:rFonts w:eastAsiaTheme="minorEastAsia"/>
          <w:sz w:val="24"/>
          <w:szCs w:val="21"/>
        </w:rPr>
        <w:t>9</w:t>
      </w:r>
      <w:r w:rsidRPr="00F9522B">
        <w:rPr>
          <w:rFonts w:eastAsiaTheme="minorEastAsia"/>
          <w:sz w:val="24"/>
          <w:szCs w:val="21"/>
        </w:rPr>
        <w:t>月份，正值丰水期，呼兰河及</w:t>
      </w:r>
      <w:r w:rsidRPr="00F9522B">
        <w:rPr>
          <w:rFonts w:eastAsiaTheme="minorEastAsia"/>
          <w:sz w:val="24"/>
        </w:rPr>
        <w:t>黑龙江呼兰河口湿地省级自然保护区</w:t>
      </w:r>
      <w:r w:rsidRPr="00F9522B">
        <w:rPr>
          <w:rFonts w:eastAsiaTheme="minorEastAsia"/>
          <w:sz w:val="24"/>
          <w:szCs w:val="21"/>
        </w:rPr>
        <w:t>水量充沛，进入水体的污染物将不同程度的被稀释和降解，对水质影响较小。</w:t>
      </w:r>
    </w:p>
    <w:p w:rsidR="002A5A5E" w:rsidRPr="00F9522B" w:rsidRDefault="00611CBA" w:rsidP="00611CBA">
      <w:pPr>
        <w:spacing w:line="360" w:lineRule="auto"/>
        <w:ind w:firstLineChars="182" w:firstLine="437"/>
        <w:rPr>
          <w:rFonts w:eastAsiaTheme="minorEastAsia"/>
          <w:kern w:val="0"/>
          <w:sz w:val="24"/>
        </w:rPr>
      </w:pPr>
      <w:r w:rsidRPr="00F9522B">
        <w:rPr>
          <w:rFonts w:eastAsiaTheme="minorEastAsia"/>
          <w:bCs/>
          <w:sz w:val="24"/>
        </w:rPr>
        <w:lastRenderedPageBreak/>
        <w:t>本次改造后，通过加强管理，</w:t>
      </w:r>
      <w:r w:rsidRPr="00F9522B">
        <w:rPr>
          <w:rFonts w:eastAsiaTheme="minorEastAsia"/>
          <w:sz w:val="24"/>
        </w:rPr>
        <w:t>施行</w:t>
      </w:r>
      <w:r w:rsidRPr="00F9522B">
        <w:rPr>
          <w:rFonts w:eastAsiaTheme="minorEastAsia"/>
          <w:sz w:val="24"/>
        </w:rPr>
        <w:t>“</w:t>
      </w:r>
      <w:r w:rsidRPr="00F9522B">
        <w:rPr>
          <w:rFonts w:eastAsiaTheme="minorEastAsia"/>
          <w:sz w:val="24"/>
        </w:rPr>
        <w:t>三减</w:t>
      </w:r>
      <w:r w:rsidRPr="00F9522B">
        <w:rPr>
          <w:rFonts w:eastAsiaTheme="minorEastAsia"/>
          <w:sz w:val="24"/>
        </w:rPr>
        <w:t>”</w:t>
      </w:r>
      <w:r w:rsidRPr="00F9522B">
        <w:rPr>
          <w:rFonts w:eastAsiaTheme="minorEastAsia"/>
          <w:sz w:val="24"/>
        </w:rPr>
        <w:t>行动，即减化肥、减农药、减除草剂，</w:t>
      </w:r>
      <w:r w:rsidRPr="00F9522B">
        <w:rPr>
          <w:rFonts w:eastAsiaTheme="minorEastAsia"/>
          <w:bCs/>
          <w:sz w:val="24"/>
        </w:rPr>
        <w:t>削减化肥和化学农药用量，增加有机肥、复合肥以及生物农药和高效低毒低残留农药的施用量。采取测土配方施肥、水肥一体化措施，减少农田退水中的农药、化肥含量，防止农药、化肥污染承泄区水体。合理安排施肥、施药时间，减轻对灌区下游水环境的污染。</w:t>
      </w:r>
      <w:r w:rsidRPr="00F9522B">
        <w:rPr>
          <w:rFonts w:eastAsiaTheme="minorEastAsia"/>
          <w:kern w:val="0"/>
          <w:sz w:val="24"/>
        </w:rPr>
        <w:t>故工程实施后对</w:t>
      </w:r>
      <w:r w:rsidR="00E93DD8" w:rsidRPr="00F9522B">
        <w:rPr>
          <w:rFonts w:eastAsiaTheme="minorEastAsia"/>
          <w:sz w:val="24"/>
        </w:rPr>
        <w:t>松花江及漂河、呼兰河口湿地自然保护区</w:t>
      </w:r>
      <w:r w:rsidRPr="00F9522B">
        <w:rPr>
          <w:rFonts w:eastAsiaTheme="minorEastAsia"/>
          <w:sz w:val="24"/>
        </w:rPr>
        <w:t>水质、野生动植物生境、水生生态</w:t>
      </w:r>
      <w:r w:rsidRPr="00F9522B">
        <w:rPr>
          <w:rFonts w:eastAsiaTheme="minorEastAsia"/>
          <w:kern w:val="0"/>
          <w:sz w:val="24"/>
        </w:rPr>
        <w:t>环境起到一定改善作用。无需建设退水水质提升设施。</w:t>
      </w:r>
    </w:p>
    <w:p w:rsidR="002A5A5E" w:rsidRPr="00F9522B" w:rsidRDefault="00611CBA">
      <w:pPr>
        <w:autoSpaceDE w:val="0"/>
        <w:autoSpaceDN w:val="0"/>
        <w:spacing w:before="100" w:beforeAutospacing="1" w:after="100" w:afterAutospacing="1"/>
        <w:outlineLvl w:val="3"/>
        <w:rPr>
          <w:rFonts w:eastAsiaTheme="minorEastAsia"/>
          <w:b/>
          <w:bCs/>
          <w:sz w:val="24"/>
        </w:rPr>
      </w:pPr>
      <w:r w:rsidRPr="00F9522B">
        <w:rPr>
          <w:rFonts w:eastAsiaTheme="minorEastAsia"/>
          <w:b/>
          <w:bCs/>
          <w:sz w:val="24"/>
        </w:rPr>
        <w:t>5.2.2.2</w:t>
      </w:r>
      <w:r w:rsidRPr="00F9522B">
        <w:rPr>
          <w:rFonts w:eastAsiaTheme="minorEastAsia"/>
          <w:b/>
          <w:bCs/>
          <w:sz w:val="24"/>
        </w:rPr>
        <w:t>地下水环境影响预测与分析</w:t>
      </w:r>
    </w:p>
    <w:p w:rsidR="002A5A5E" w:rsidRPr="00F9522B" w:rsidRDefault="003E5585">
      <w:pPr>
        <w:spacing w:line="360" w:lineRule="auto"/>
        <w:ind w:firstLineChars="200" w:firstLine="480"/>
        <w:contextualSpacing/>
        <w:rPr>
          <w:rFonts w:eastAsiaTheme="minorEastAsia"/>
          <w:kern w:val="0"/>
          <w:sz w:val="24"/>
        </w:rPr>
      </w:pPr>
      <w:r w:rsidRPr="00F9522B">
        <w:rPr>
          <w:rFonts w:eastAsiaTheme="minorEastAsia"/>
          <w:kern w:val="0"/>
          <w:sz w:val="24"/>
        </w:rPr>
        <w:t>（</w:t>
      </w:r>
      <w:r w:rsidRPr="00F9522B">
        <w:rPr>
          <w:rFonts w:eastAsiaTheme="minorEastAsia"/>
          <w:kern w:val="0"/>
          <w:sz w:val="24"/>
        </w:rPr>
        <w:t>1</w:t>
      </w:r>
      <w:r w:rsidRPr="00F9522B">
        <w:rPr>
          <w:rFonts w:eastAsiaTheme="minorEastAsia"/>
          <w:kern w:val="0"/>
          <w:sz w:val="24"/>
        </w:rPr>
        <w:t>）</w:t>
      </w:r>
      <w:r w:rsidR="00611CBA" w:rsidRPr="00F9522B">
        <w:rPr>
          <w:rFonts w:eastAsiaTheme="minorEastAsia"/>
          <w:bCs/>
          <w:sz w:val="24"/>
        </w:rPr>
        <w:t>地下水资源量分析</w:t>
      </w:r>
    </w:p>
    <w:p w:rsidR="002A5A5E" w:rsidRPr="00F9522B" w:rsidRDefault="00891513">
      <w:pPr>
        <w:spacing w:line="360" w:lineRule="auto"/>
        <w:ind w:firstLineChars="200" w:firstLine="480"/>
        <w:rPr>
          <w:rFonts w:eastAsiaTheme="minorEastAsia"/>
          <w:kern w:val="0"/>
          <w:sz w:val="24"/>
          <w:szCs w:val="22"/>
        </w:rPr>
      </w:pPr>
      <w:r w:rsidRPr="00F9522B">
        <w:rPr>
          <w:rFonts w:eastAsiaTheme="minorEastAsia"/>
          <w:sz w:val="24"/>
        </w:rPr>
        <w:t>根据已批复《呼兰区</w:t>
      </w:r>
      <w:r w:rsidRPr="00F9522B">
        <w:rPr>
          <w:rFonts w:eastAsiaTheme="minorEastAsia"/>
          <w:sz w:val="24"/>
        </w:rPr>
        <w:t>2026</w:t>
      </w:r>
      <w:r w:rsidRPr="00F9522B">
        <w:rPr>
          <w:rFonts w:eastAsiaTheme="minorEastAsia"/>
          <w:sz w:val="24"/>
        </w:rPr>
        <w:t>年高标准农田建设项目水资源论证报告书》可知，论证区地下水可开采量为</w:t>
      </w:r>
      <w:r w:rsidRPr="00F9522B">
        <w:rPr>
          <w:rFonts w:eastAsiaTheme="minorEastAsia"/>
          <w:sz w:val="24"/>
        </w:rPr>
        <w:t>1503.97</w:t>
      </w:r>
      <w:r w:rsidRPr="00F9522B">
        <w:rPr>
          <w:rFonts w:eastAsiaTheme="minorEastAsia"/>
          <w:sz w:val="24"/>
        </w:rPr>
        <w:t>万</w:t>
      </w:r>
      <w:r w:rsidRPr="00F9522B">
        <w:rPr>
          <w:rFonts w:eastAsiaTheme="minorEastAsia"/>
          <w:sz w:val="24"/>
        </w:rPr>
        <w:t>m³/a</w:t>
      </w:r>
      <w:r w:rsidRPr="00F9522B">
        <w:rPr>
          <w:rFonts w:eastAsiaTheme="minorEastAsia"/>
          <w:sz w:val="24"/>
        </w:rPr>
        <w:t>。总补给量为</w:t>
      </w:r>
      <w:r w:rsidRPr="00F9522B">
        <w:rPr>
          <w:rFonts w:eastAsiaTheme="minorEastAsia"/>
          <w:sz w:val="24"/>
        </w:rPr>
        <w:t>2506.61m³/a</w:t>
      </w:r>
      <w:r w:rsidRPr="00F9522B">
        <w:rPr>
          <w:rFonts w:eastAsiaTheme="minorEastAsia"/>
          <w:sz w:val="24"/>
        </w:rPr>
        <w:t>。项目实施后，最大年取水量为</w:t>
      </w:r>
      <w:r w:rsidRPr="00F9522B">
        <w:rPr>
          <w:rFonts w:eastAsiaTheme="minorEastAsia"/>
          <w:sz w:val="24"/>
        </w:rPr>
        <w:t>242.74</w:t>
      </w:r>
      <w:r w:rsidRPr="00F9522B">
        <w:rPr>
          <w:rFonts w:eastAsiaTheme="minorEastAsia"/>
          <w:sz w:val="24"/>
        </w:rPr>
        <w:t>万</w:t>
      </w:r>
      <w:r w:rsidRPr="00F9522B">
        <w:rPr>
          <w:rFonts w:eastAsiaTheme="minorEastAsia"/>
          <w:sz w:val="24"/>
        </w:rPr>
        <w:t>m</w:t>
      </w:r>
      <w:r w:rsidRPr="00F9522B">
        <w:rPr>
          <w:rFonts w:eastAsiaTheme="minorEastAsia"/>
          <w:sz w:val="24"/>
          <w:vertAlign w:val="superscript"/>
        </w:rPr>
        <w:t>3</w:t>
      </w:r>
      <w:r w:rsidRPr="00F9522B">
        <w:rPr>
          <w:rFonts w:eastAsiaTheme="minorEastAsia"/>
          <w:sz w:val="24"/>
        </w:rPr>
        <w:t>，占可开采量的</w:t>
      </w:r>
      <w:r w:rsidRPr="00F9522B">
        <w:rPr>
          <w:rFonts w:eastAsiaTheme="minorEastAsia"/>
          <w:sz w:val="24"/>
        </w:rPr>
        <w:t>16.14%</w:t>
      </w:r>
      <w:r w:rsidRPr="00F9522B">
        <w:rPr>
          <w:rFonts w:eastAsiaTheme="minorEastAsia"/>
          <w:sz w:val="24"/>
        </w:rPr>
        <w:t>，可以满足供水需求</w:t>
      </w:r>
      <w:r w:rsidR="00611CBA" w:rsidRPr="00F9522B">
        <w:rPr>
          <w:rFonts w:eastAsiaTheme="minorEastAsia"/>
          <w:sz w:val="24"/>
        </w:rPr>
        <w:t>。</w:t>
      </w:r>
    </w:p>
    <w:p w:rsidR="002A5A5E" w:rsidRPr="00F9522B" w:rsidRDefault="003E5585">
      <w:pPr>
        <w:spacing w:line="360" w:lineRule="auto"/>
        <w:ind w:firstLineChars="200" w:firstLine="480"/>
        <w:contextualSpacing/>
        <w:rPr>
          <w:rFonts w:eastAsiaTheme="minorEastAsia"/>
          <w:kern w:val="0"/>
          <w:sz w:val="24"/>
        </w:rPr>
      </w:pPr>
      <w:r w:rsidRPr="00F9522B">
        <w:rPr>
          <w:rFonts w:eastAsiaTheme="minorEastAsia"/>
          <w:kern w:val="0"/>
          <w:sz w:val="24"/>
        </w:rPr>
        <w:t>（</w:t>
      </w:r>
      <w:r w:rsidRPr="00F9522B">
        <w:rPr>
          <w:rFonts w:eastAsiaTheme="minorEastAsia"/>
          <w:kern w:val="0"/>
          <w:sz w:val="24"/>
        </w:rPr>
        <w:t>2</w:t>
      </w:r>
      <w:r w:rsidRPr="00F9522B">
        <w:rPr>
          <w:rFonts w:eastAsiaTheme="minorEastAsia"/>
          <w:kern w:val="0"/>
          <w:sz w:val="24"/>
        </w:rPr>
        <w:t>）</w:t>
      </w:r>
      <w:r w:rsidR="00611CBA" w:rsidRPr="00F9522B">
        <w:rPr>
          <w:rFonts w:eastAsiaTheme="minorEastAsia"/>
          <w:bCs/>
          <w:sz w:val="24"/>
        </w:rPr>
        <w:t>用水量分析</w:t>
      </w:r>
    </w:p>
    <w:p w:rsidR="002A5A5E" w:rsidRPr="00F9522B" w:rsidRDefault="00611CBA">
      <w:pPr>
        <w:autoSpaceDE w:val="0"/>
        <w:autoSpaceDN w:val="0"/>
        <w:spacing w:line="360" w:lineRule="auto"/>
        <w:ind w:firstLineChars="200" w:firstLine="480"/>
        <w:rPr>
          <w:rFonts w:eastAsiaTheme="minorEastAsia"/>
          <w:kern w:val="0"/>
          <w:sz w:val="24"/>
        </w:rPr>
      </w:pPr>
      <w:r w:rsidRPr="00F9522B">
        <w:rPr>
          <w:rFonts w:eastAsiaTheme="minorEastAsia"/>
          <w:kern w:val="0"/>
          <w:sz w:val="24"/>
        </w:rPr>
        <w:t>根据已批复《</w:t>
      </w:r>
      <w:r w:rsidR="003A7922" w:rsidRPr="00F9522B">
        <w:rPr>
          <w:rFonts w:eastAsiaTheme="minorEastAsia"/>
          <w:kern w:val="0"/>
          <w:sz w:val="24"/>
        </w:rPr>
        <w:t>呼兰区</w:t>
      </w:r>
      <w:r w:rsidR="003A7922" w:rsidRPr="00F9522B">
        <w:rPr>
          <w:rFonts w:eastAsiaTheme="minorEastAsia"/>
          <w:kern w:val="0"/>
          <w:sz w:val="24"/>
        </w:rPr>
        <w:t>2026</w:t>
      </w:r>
      <w:r w:rsidR="003A7922" w:rsidRPr="00F9522B">
        <w:rPr>
          <w:rFonts w:eastAsiaTheme="minorEastAsia"/>
          <w:kern w:val="0"/>
          <w:sz w:val="24"/>
        </w:rPr>
        <w:t>年高标准农田建设项目</w:t>
      </w:r>
      <w:r w:rsidRPr="00F9522B">
        <w:rPr>
          <w:rFonts w:eastAsiaTheme="minorEastAsia"/>
          <w:kern w:val="0"/>
          <w:sz w:val="24"/>
        </w:rPr>
        <w:t>水资源论证报告书》《节水灌溉工程技术规范》和</w:t>
      </w:r>
      <w:r w:rsidRPr="00F9522B">
        <w:rPr>
          <w:rFonts w:eastAsiaTheme="minorEastAsia"/>
          <w:bCs/>
          <w:sz w:val="24"/>
        </w:rPr>
        <w:t>《黑龙江：用水定额》（</w:t>
      </w:r>
      <w:r w:rsidRPr="00F9522B">
        <w:rPr>
          <w:rFonts w:eastAsiaTheme="minorEastAsia"/>
          <w:bCs/>
          <w:sz w:val="24"/>
        </w:rPr>
        <w:t>DB23/T 727-202</w:t>
      </w:r>
      <w:r w:rsidR="00175C36" w:rsidRPr="00F9522B">
        <w:rPr>
          <w:rFonts w:eastAsiaTheme="minorEastAsia"/>
          <w:bCs/>
          <w:sz w:val="24"/>
        </w:rPr>
        <w:t>5</w:t>
      </w:r>
      <w:r w:rsidRPr="00F9522B">
        <w:rPr>
          <w:rFonts w:eastAsiaTheme="minorEastAsia"/>
          <w:bCs/>
          <w:sz w:val="24"/>
        </w:rPr>
        <w:t>）</w:t>
      </w:r>
      <w:r w:rsidRPr="00F9522B">
        <w:rPr>
          <w:rFonts w:eastAsiaTheme="minorEastAsia"/>
          <w:kern w:val="0"/>
          <w:sz w:val="24"/>
        </w:rPr>
        <w:t>，水源为地下水，设计灌溉保证率为</w:t>
      </w:r>
      <w:r w:rsidRPr="00F9522B">
        <w:rPr>
          <w:rFonts w:eastAsiaTheme="minorEastAsia"/>
          <w:kern w:val="0"/>
          <w:sz w:val="24"/>
        </w:rPr>
        <w:t>90%</w:t>
      </w:r>
      <w:r w:rsidRPr="00F9522B">
        <w:rPr>
          <w:rFonts w:eastAsiaTheme="minorEastAsia"/>
          <w:kern w:val="0"/>
          <w:sz w:val="24"/>
        </w:rPr>
        <w:t>，坐水种灌溉净定额</w:t>
      </w:r>
      <w:r w:rsidRPr="00F9522B">
        <w:rPr>
          <w:rFonts w:eastAsiaTheme="minorEastAsia"/>
          <w:kern w:val="0"/>
          <w:sz w:val="24"/>
        </w:rPr>
        <w:t>6m</w:t>
      </w:r>
      <w:r w:rsidRPr="00F9522B">
        <w:rPr>
          <w:rFonts w:eastAsiaTheme="minorEastAsia"/>
          <w:kern w:val="0"/>
          <w:sz w:val="24"/>
          <w:vertAlign w:val="superscript"/>
        </w:rPr>
        <w:t>3</w:t>
      </w:r>
      <w:r w:rsidRPr="00F9522B">
        <w:rPr>
          <w:rFonts w:eastAsiaTheme="minorEastAsia"/>
          <w:kern w:val="0"/>
          <w:sz w:val="24"/>
        </w:rPr>
        <w:t>/</w:t>
      </w:r>
      <w:r w:rsidRPr="00F9522B">
        <w:rPr>
          <w:rFonts w:eastAsiaTheme="minorEastAsia"/>
          <w:kern w:val="0"/>
          <w:sz w:val="24"/>
        </w:rPr>
        <w:t>亩，灌溉水利用系数</w:t>
      </w:r>
      <w:r w:rsidRPr="00F9522B">
        <w:rPr>
          <w:rFonts w:eastAsiaTheme="minorEastAsia"/>
          <w:kern w:val="0"/>
          <w:sz w:val="24"/>
        </w:rPr>
        <w:t>0.</w:t>
      </w:r>
      <w:r w:rsidR="00DF41E3" w:rsidRPr="00F9522B">
        <w:rPr>
          <w:rFonts w:eastAsiaTheme="minorEastAsia"/>
          <w:kern w:val="0"/>
          <w:sz w:val="24"/>
        </w:rPr>
        <w:t>9</w:t>
      </w:r>
      <w:r w:rsidRPr="00F9522B">
        <w:rPr>
          <w:rFonts w:eastAsiaTheme="minorEastAsia"/>
          <w:kern w:val="0"/>
          <w:sz w:val="24"/>
        </w:rPr>
        <w:t>，滴灌净定额为</w:t>
      </w:r>
      <w:r w:rsidRPr="00F9522B">
        <w:rPr>
          <w:rFonts w:eastAsiaTheme="minorEastAsia"/>
          <w:kern w:val="0"/>
          <w:sz w:val="24"/>
        </w:rPr>
        <w:t>60m</w:t>
      </w:r>
      <w:r w:rsidRPr="00F9522B">
        <w:rPr>
          <w:rFonts w:eastAsiaTheme="minorEastAsia"/>
          <w:kern w:val="0"/>
          <w:sz w:val="24"/>
          <w:vertAlign w:val="superscript"/>
        </w:rPr>
        <w:t>3</w:t>
      </w:r>
      <w:r w:rsidRPr="00F9522B">
        <w:rPr>
          <w:rFonts w:eastAsiaTheme="minorEastAsia"/>
          <w:kern w:val="0"/>
          <w:sz w:val="24"/>
        </w:rPr>
        <w:t>/</w:t>
      </w:r>
      <w:r w:rsidRPr="00F9522B">
        <w:rPr>
          <w:rFonts w:eastAsiaTheme="minorEastAsia"/>
          <w:kern w:val="0"/>
          <w:sz w:val="24"/>
        </w:rPr>
        <w:t>亩，滴灌灌溉水利用系数取</w:t>
      </w:r>
      <w:r w:rsidRPr="00F9522B">
        <w:rPr>
          <w:rFonts w:eastAsiaTheme="minorEastAsia"/>
          <w:kern w:val="0"/>
          <w:sz w:val="24"/>
        </w:rPr>
        <w:t>0.9</w:t>
      </w:r>
      <w:r w:rsidR="00DF41E3" w:rsidRPr="00F9522B">
        <w:rPr>
          <w:rFonts w:eastAsiaTheme="minorEastAsia"/>
          <w:kern w:val="0"/>
          <w:sz w:val="24"/>
        </w:rPr>
        <w:t>3</w:t>
      </w:r>
      <w:r w:rsidRPr="00F9522B">
        <w:rPr>
          <w:rFonts w:eastAsiaTheme="minorEastAsia"/>
          <w:kern w:val="0"/>
          <w:sz w:val="24"/>
        </w:rPr>
        <w:t>。</w:t>
      </w:r>
    </w:p>
    <w:p w:rsidR="002A5A5E" w:rsidRPr="00F9522B" w:rsidRDefault="00611CBA">
      <w:pPr>
        <w:spacing w:line="360" w:lineRule="auto"/>
        <w:ind w:firstLineChars="200" w:firstLine="480"/>
        <w:contextualSpacing/>
        <w:rPr>
          <w:rFonts w:eastAsiaTheme="minorEastAsia"/>
          <w:kern w:val="0"/>
          <w:sz w:val="24"/>
        </w:rPr>
      </w:pPr>
      <w:r w:rsidRPr="00F9522B">
        <w:rPr>
          <w:rFonts w:eastAsiaTheme="minorEastAsia"/>
          <w:kern w:val="0"/>
          <w:sz w:val="24"/>
        </w:rPr>
        <w:t>本项目实现玉米</w:t>
      </w:r>
      <w:r w:rsidR="009F0766" w:rsidRPr="00F9522B">
        <w:rPr>
          <w:rFonts w:eastAsiaTheme="minorEastAsia"/>
          <w:kern w:val="0"/>
          <w:sz w:val="24"/>
        </w:rPr>
        <w:t>灌溉面积</w:t>
      </w:r>
      <w:r w:rsidR="009F0766" w:rsidRPr="00F9522B">
        <w:rPr>
          <w:rFonts w:eastAsiaTheme="minorEastAsia"/>
          <w:kern w:val="0"/>
          <w:sz w:val="24"/>
        </w:rPr>
        <w:t>122041.64</w:t>
      </w:r>
      <w:r w:rsidR="009F0766" w:rsidRPr="00F9522B">
        <w:rPr>
          <w:rFonts w:eastAsiaTheme="minorEastAsia"/>
          <w:kern w:val="0"/>
          <w:sz w:val="24"/>
        </w:rPr>
        <w:t>亩</w:t>
      </w:r>
      <w:r w:rsidRPr="00F9522B">
        <w:rPr>
          <w:rFonts w:eastAsiaTheme="minorEastAsia"/>
          <w:kern w:val="0"/>
          <w:sz w:val="24"/>
        </w:rPr>
        <w:t>，根据项目区的灌溉定额和灌溉水利用系数，灌溉总需水量为</w:t>
      </w:r>
      <w:r w:rsidR="009F0766" w:rsidRPr="00F9522B">
        <w:rPr>
          <w:rFonts w:eastAsiaTheme="minorEastAsia"/>
          <w:kern w:val="0"/>
          <w:sz w:val="24"/>
        </w:rPr>
        <w:t>242.74</w:t>
      </w:r>
      <w:r w:rsidR="009F0766" w:rsidRPr="00F9522B">
        <w:rPr>
          <w:rFonts w:eastAsiaTheme="minorEastAsia"/>
          <w:kern w:val="0"/>
          <w:sz w:val="24"/>
        </w:rPr>
        <w:t>万</w:t>
      </w:r>
      <w:r w:rsidRPr="00F9522B">
        <w:rPr>
          <w:rFonts w:eastAsiaTheme="minorEastAsia"/>
          <w:kern w:val="0"/>
          <w:sz w:val="24"/>
        </w:rPr>
        <w:t>m³/a</w:t>
      </w:r>
      <w:r w:rsidRPr="00F9522B">
        <w:rPr>
          <w:rFonts w:eastAsiaTheme="minorEastAsia"/>
          <w:kern w:val="0"/>
          <w:sz w:val="24"/>
        </w:rPr>
        <w:t>。</w:t>
      </w:r>
    </w:p>
    <w:p w:rsidR="002A5A5E" w:rsidRPr="00F9522B" w:rsidRDefault="003E5585">
      <w:pPr>
        <w:spacing w:line="360" w:lineRule="auto"/>
        <w:ind w:firstLineChars="200" w:firstLine="480"/>
        <w:contextualSpacing/>
        <w:rPr>
          <w:rFonts w:eastAsiaTheme="minorEastAsia"/>
          <w:bCs/>
          <w:kern w:val="0"/>
          <w:sz w:val="24"/>
        </w:rPr>
      </w:pPr>
      <w:r w:rsidRPr="00F9522B">
        <w:rPr>
          <w:rFonts w:eastAsiaTheme="minorEastAsia"/>
          <w:kern w:val="0"/>
          <w:sz w:val="24"/>
        </w:rPr>
        <w:t>（</w:t>
      </w:r>
      <w:r w:rsidRPr="00F9522B">
        <w:rPr>
          <w:rFonts w:eastAsiaTheme="minorEastAsia"/>
          <w:kern w:val="0"/>
          <w:sz w:val="24"/>
        </w:rPr>
        <w:t>3</w:t>
      </w:r>
      <w:r w:rsidRPr="00F9522B">
        <w:rPr>
          <w:rFonts w:eastAsiaTheme="minorEastAsia"/>
          <w:kern w:val="0"/>
          <w:sz w:val="24"/>
        </w:rPr>
        <w:t>）</w:t>
      </w:r>
      <w:r w:rsidR="00611CBA" w:rsidRPr="00F9522B">
        <w:rPr>
          <w:rFonts w:eastAsiaTheme="minorEastAsia"/>
          <w:bCs/>
          <w:kern w:val="0"/>
          <w:sz w:val="24"/>
        </w:rPr>
        <w:t>取水合理性分析</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根据项目开采井布置方案及开采量，参照</w:t>
      </w:r>
      <w:r w:rsidRPr="00F9522B">
        <w:rPr>
          <w:rFonts w:eastAsiaTheme="minorEastAsia"/>
          <w:sz w:val="24"/>
        </w:rPr>
        <w:t>“</w:t>
      </w:r>
      <w:r w:rsidRPr="00F9522B">
        <w:rPr>
          <w:rFonts w:eastAsiaTheme="minorEastAsia"/>
          <w:sz w:val="24"/>
        </w:rPr>
        <w:t>地下水动力学</w:t>
      </w:r>
      <w:r w:rsidRPr="00F9522B">
        <w:rPr>
          <w:rFonts w:eastAsiaTheme="minorEastAsia"/>
          <w:sz w:val="24"/>
        </w:rPr>
        <w:t>”</w:t>
      </w:r>
      <w:r w:rsidRPr="00F9522B">
        <w:rPr>
          <w:rFonts w:eastAsiaTheme="minorEastAsia"/>
          <w:sz w:val="24"/>
        </w:rPr>
        <w:t>计算公式，本项目地下水开采水位预测采用承压水完整井稳定干扰井群计算公式，选取有代表性的论证区进行计算。</w:t>
      </w:r>
    </w:p>
    <w:p w:rsidR="002A5A5E" w:rsidRPr="00F9522B" w:rsidRDefault="002A5A5E">
      <w:pPr>
        <w:spacing w:line="360" w:lineRule="auto"/>
        <w:ind w:firstLineChars="200" w:firstLine="480"/>
        <w:jc w:val="center"/>
        <w:rPr>
          <w:rFonts w:eastAsiaTheme="minorEastAsia"/>
          <w:sz w:val="24"/>
        </w:rPr>
      </w:pPr>
      <w:r w:rsidRPr="00F9522B">
        <w:rPr>
          <w:rFonts w:eastAsiaTheme="minorEastAsia"/>
          <w:position w:val="-30"/>
          <w:sz w:val="24"/>
        </w:rPr>
        <w:object w:dxaOrig="3080" w:dyaOrig="760">
          <v:shape id="_x0000_i1027" type="#_x0000_t75" style="width:151.55pt;height:35.15pt" o:ole="">
            <v:imagedata r:id="rId97" o:title=""/>
          </v:shape>
          <o:OLEObject Type="Embed" ProgID="Equation.3" ShapeID="_x0000_i1027" DrawAspect="Content" ObjectID="_1844521190" r:id="rId98"/>
        </w:object>
      </w:r>
    </w:p>
    <w:p w:rsidR="002A5A5E" w:rsidRPr="00F9522B" w:rsidRDefault="002A5A5E">
      <w:pPr>
        <w:spacing w:line="360" w:lineRule="auto"/>
        <w:ind w:firstLineChars="200" w:firstLine="480"/>
        <w:jc w:val="center"/>
        <w:rPr>
          <w:rFonts w:eastAsiaTheme="minorEastAsia"/>
          <w:sz w:val="24"/>
        </w:rPr>
      </w:pPr>
      <w:r w:rsidRPr="00F9522B">
        <w:rPr>
          <w:rFonts w:eastAsiaTheme="minorEastAsia"/>
          <w:position w:val="-24"/>
          <w:sz w:val="24"/>
        </w:rPr>
        <w:object w:dxaOrig="880" w:dyaOrig="720">
          <v:shape id="_x0000_i1028" type="#_x0000_t75" style="width:42.7pt;height:37.65pt" o:ole="">
            <v:imagedata r:id="rId99" o:title=""/>
          </v:shape>
          <o:OLEObject Type="Embed" ProgID="Equation.3" ShapeID="_x0000_i1028" DrawAspect="Content" ObjectID="_1844521191" r:id="rId100"/>
        </w:objec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式中：</w:t>
      </w:r>
      <w:r w:rsidRPr="00F9522B">
        <w:rPr>
          <w:rFonts w:eastAsiaTheme="minorEastAsia"/>
          <w:sz w:val="24"/>
        </w:rPr>
        <w:t>S—</w:t>
      </w:r>
      <w:r w:rsidRPr="00F9522B">
        <w:rPr>
          <w:rFonts w:eastAsiaTheme="minorEastAsia"/>
          <w:sz w:val="24"/>
        </w:rPr>
        <w:t>预测点水位下降值（</w:t>
      </w:r>
      <w:r w:rsidRPr="00F9522B">
        <w:rPr>
          <w:rFonts w:eastAsiaTheme="minorEastAsia"/>
          <w:sz w:val="24"/>
        </w:rPr>
        <w:t>m</w:t>
      </w:r>
      <w:r w:rsidRPr="00F9522B">
        <w:rPr>
          <w:rFonts w:eastAsiaTheme="minorEastAsia"/>
          <w:sz w:val="24"/>
        </w:rPr>
        <w:t>）；</w:t>
      </w:r>
    </w:p>
    <w:p w:rsidR="002A5A5E" w:rsidRPr="00F9522B" w:rsidRDefault="00611CBA">
      <w:pPr>
        <w:spacing w:line="360" w:lineRule="auto"/>
        <w:ind w:firstLineChars="500" w:firstLine="1200"/>
        <w:rPr>
          <w:rFonts w:eastAsiaTheme="minorEastAsia"/>
          <w:sz w:val="24"/>
        </w:rPr>
      </w:pPr>
      <w:r w:rsidRPr="00F9522B">
        <w:rPr>
          <w:rFonts w:eastAsiaTheme="minorEastAsia"/>
          <w:sz w:val="24"/>
        </w:rPr>
        <w:t>H—</w:t>
      </w:r>
      <w:r w:rsidRPr="00F9522B">
        <w:rPr>
          <w:rFonts w:eastAsiaTheme="minorEastAsia"/>
          <w:sz w:val="24"/>
        </w:rPr>
        <w:t>含水层平均厚度（</w:t>
      </w:r>
      <w:r w:rsidRPr="00F9522B">
        <w:rPr>
          <w:rFonts w:eastAsiaTheme="minorEastAsia"/>
          <w:sz w:val="24"/>
        </w:rPr>
        <w:t>m</w:t>
      </w:r>
      <w:r w:rsidRPr="00F9522B">
        <w:rPr>
          <w:rFonts w:eastAsiaTheme="minorEastAsia"/>
          <w:sz w:val="24"/>
        </w:rPr>
        <w:t>），</w:t>
      </w:r>
      <w:r w:rsidRPr="00F9522B">
        <w:rPr>
          <w:rFonts w:eastAsiaTheme="minorEastAsia"/>
          <w:sz w:val="24"/>
        </w:rPr>
        <w:t>30m</w:t>
      </w:r>
      <w:r w:rsidRPr="00F9522B">
        <w:rPr>
          <w:rFonts w:eastAsiaTheme="minorEastAsia"/>
          <w:sz w:val="24"/>
        </w:rPr>
        <w:t>；</w:t>
      </w:r>
    </w:p>
    <w:p w:rsidR="002A5A5E" w:rsidRPr="00F9522B" w:rsidRDefault="00611CBA">
      <w:pPr>
        <w:spacing w:line="360" w:lineRule="auto"/>
        <w:ind w:firstLineChars="500" w:firstLine="1200"/>
        <w:rPr>
          <w:rFonts w:eastAsiaTheme="minorEastAsia"/>
          <w:sz w:val="24"/>
        </w:rPr>
      </w:pPr>
      <w:r w:rsidRPr="00F9522B">
        <w:rPr>
          <w:rFonts w:eastAsiaTheme="minorEastAsia"/>
          <w:sz w:val="24"/>
        </w:rPr>
        <w:lastRenderedPageBreak/>
        <w:t>Q</w:t>
      </w:r>
      <w:r w:rsidRPr="00F9522B">
        <w:rPr>
          <w:rFonts w:eastAsiaTheme="minorEastAsia"/>
          <w:sz w:val="24"/>
          <w:vertAlign w:val="subscript"/>
        </w:rPr>
        <w:t>i</w:t>
      </w:r>
      <w:r w:rsidRPr="00F9522B">
        <w:rPr>
          <w:rFonts w:eastAsiaTheme="minorEastAsia"/>
          <w:sz w:val="24"/>
        </w:rPr>
        <w:t>—</w:t>
      </w:r>
      <w:r w:rsidRPr="00F9522B">
        <w:rPr>
          <w:rFonts w:eastAsiaTheme="minorEastAsia"/>
          <w:sz w:val="24"/>
        </w:rPr>
        <w:t>井流量（</w:t>
      </w:r>
      <w:r w:rsidRPr="00F9522B">
        <w:rPr>
          <w:rFonts w:eastAsiaTheme="minorEastAsia"/>
          <w:sz w:val="24"/>
        </w:rPr>
        <w:t>m</w:t>
      </w:r>
      <w:r w:rsidRPr="00F9522B">
        <w:rPr>
          <w:rFonts w:eastAsiaTheme="minorEastAsia"/>
          <w:sz w:val="24"/>
          <w:vertAlign w:val="superscript"/>
        </w:rPr>
        <w:t>3</w:t>
      </w:r>
      <w:r w:rsidRPr="00F9522B">
        <w:rPr>
          <w:rFonts w:eastAsiaTheme="minorEastAsia"/>
          <w:sz w:val="24"/>
        </w:rPr>
        <w:t>/d</w:t>
      </w:r>
      <w:r w:rsidRPr="00F9522B">
        <w:rPr>
          <w:rFonts w:eastAsiaTheme="minorEastAsia"/>
          <w:sz w:val="24"/>
        </w:rPr>
        <w:t>），</w:t>
      </w:r>
      <w:r w:rsidRPr="00F9522B">
        <w:rPr>
          <w:rFonts w:eastAsiaTheme="minorEastAsia"/>
          <w:sz w:val="24"/>
        </w:rPr>
        <w:t>30m</w:t>
      </w:r>
      <w:r w:rsidRPr="00F9522B">
        <w:rPr>
          <w:rFonts w:eastAsiaTheme="minorEastAsia"/>
          <w:sz w:val="24"/>
          <w:vertAlign w:val="superscript"/>
        </w:rPr>
        <w:t>3</w:t>
      </w:r>
      <w:r w:rsidRPr="00F9522B">
        <w:rPr>
          <w:rFonts w:eastAsiaTheme="minorEastAsia"/>
          <w:sz w:val="24"/>
        </w:rPr>
        <w:t>/h</w:t>
      </w:r>
      <w:r w:rsidRPr="00F9522B">
        <w:rPr>
          <w:rFonts w:eastAsiaTheme="minorEastAsia"/>
          <w:sz w:val="24"/>
        </w:rPr>
        <w:t>；</w:t>
      </w:r>
    </w:p>
    <w:p w:rsidR="002A5A5E" w:rsidRPr="00F9522B" w:rsidRDefault="00611CBA">
      <w:pPr>
        <w:spacing w:line="360" w:lineRule="auto"/>
        <w:ind w:firstLineChars="500" w:firstLine="1200"/>
        <w:rPr>
          <w:rFonts w:eastAsiaTheme="minorEastAsia"/>
          <w:sz w:val="24"/>
        </w:rPr>
      </w:pPr>
      <w:r w:rsidRPr="00F9522B">
        <w:rPr>
          <w:rFonts w:eastAsiaTheme="minorEastAsia"/>
          <w:sz w:val="24"/>
        </w:rPr>
        <w:t>K—</w:t>
      </w:r>
      <w:r w:rsidRPr="00F9522B">
        <w:rPr>
          <w:rFonts w:eastAsiaTheme="minorEastAsia"/>
          <w:sz w:val="24"/>
        </w:rPr>
        <w:t>渗透系数（</w:t>
      </w:r>
      <w:r w:rsidRPr="00F9522B">
        <w:rPr>
          <w:rFonts w:eastAsiaTheme="minorEastAsia"/>
          <w:sz w:val="24"/>
        </w:rPr>
        <w:t>m/d</w:t>
      </w:r>
      <w:r w:rsidRPr="00F9522B">
        <w:rPr>
          <w:rFonts w:eastAsiaTheme="minorEastAsia"/>
          <w:sz w:val="24"/>
        </w:rPr>
        <w:t>），</w:t>
      </w:r>
      <w:r w:rsidRPr="00F9522B">
        <w:rPr>
          <w:rFonts w:eastAsiaTheme="minorEastAsia"/>
          <w:sz w:val="24"/>
        </w:rPr>
        <w:t>25m/d</w:t>
      </w:r>
      <w:r w:rsidRPr="00F9522B">
        <w:rPr>
          <w:rFonts w:eastAsiaTheme="minorEastAsia"/>
          <w:sz w:val="24"/>
        </w:rPr>
        <w:t>；</w:t>
      </w:r>
    </w:p>
    <w:p w:rsidR="002A5A5E" w:rsidRPr="00F9522B" w:rsidRDefault="00611CBA">
      <w:pPr>
        <w:spacing w:line="360" w:lineRule="auto"/>
        <w:ind w:firstLineChars="500" w:firstLine="1200"/>
        <w:rPr>
          <w:rFonts w:eastAsiaTheme="minorEastAsia"/>
          <w:sz w:val="24"/>
        </w:rPr>
      </w:pPr>
      <w:r w:rsidRPr="00F9522B">
        <w:rPr>
          <w:rFonts w:eastAsiaTheme="minorEastAsia"/>
          <w:sz w:val="24"/>
        </w:rPr>
        <w:t>W</w:t>
      </w:r>
      <w:r w:rsidRPr="00F9522B">
        <w:rPr>
          <w:rFonts w:eastAsiaTheme="minorEastAsia"/>
          <w:sz w:val="24"/>
        </w:rPr>
        <w:t>（</w:t>
      </w:r>
      <w:r w:rsidRPr="00F9522B">
        <w:rPr>
          <w:rFonts w:eastAsiaTheme="minorEastAsia"/>
          <w:sz w:val="24"/>
        </w:rPr>
        <w:t>u</w:t>
      </w:r>
      <w:r w:rsidRPr="00F9522B">
        <w:rPr>
          <w:rFonts w:eastAsiaTheme="minorEastAsia"/>
          <w:sz w:val="24"/>
          <w:vertAlign w:val="subscript"/>
        </w:rPr>
        <w:t>i</w:t>
      </w:r>
      <w:r w:rsidRPr="00F9522B">
        <w:rPr>
          <w:rFonts w:eastAsiaTheme="minorEastAsia"/>
          <w:sz w:val="24"/>
        </w:rPr>
        <w:t>）</w:t>
      </w:r>
      <w:r w:rsidRPr="00F9522B">
        <w:rPr>
          <w:rFonts w:eastAsiaTheme="minorEastAsia"/>
          <w:sz w:val="24"/>
        </w:rPr>
        <w:t>—</w:t>
      </w:r>
      <w:r w:rsidRPr="00F9522B">
        <w:rPr>
          <w:rFonts w:eastAsiaTheme="minorEastAsia"/>
          <w:sz w:val="24"/>
        </w:rPr>
        <w:t>泰斯井函数；</w:t>
      </w:r>
    </w:p>
    <w:p w:rsidR="002A5A5E" w:rsidRPr="00F9522B" w:rsidRDefault="00611CBA">
      <w:pPr>
        <w:spacing w:line="360" w:lineRule="auto"/>
        <w:ind w:firstLineChars="500" w:firstLine="1200"/>
        <w:rPr>
          <w:rFonts w:eastAsiaTheme="minorEastAsia"/>
          <w:sz w:val="24"/>
        </w:rPr>
      </w:pPr>
      <w:r w:rsidRPr="00F9522B">
        <w:rPr>
          <w:rFonts w:eastAsiaTheme="minorEastAsia"/>
          <w:sz w:val="24"/>
        </w:rPr>
        <w:t>u</w:t>
      </w:r>
      <w:r w:rsidRPr="00F9522B">
        <w:rPr>
          <w:rFonts w:eastAsiaTheme="minorEastAsia"/>
          <w:sz w:val="24"/>
          <w:vertAlign w:val="subscript"/>
        </w:rPr>
        <w:t>i</w:t>
      </w:r>
      <w:r w:rsidRPr="00F9522B">
        <w:rPr>
          <w:rFonts w:eastAsiaTheme="minorEastAsia"/>
          <w:sz w:val="24"/>
        </w:rPr>
        <w:t>—</w:t>
      </w:r>
      <w:r w:rsidRPr="00F9522B">
        <w:rPr>
          <w:rFonts w:eastAsiaTheme="minorEastAsia"/>
          <w:sz w:val="24"/>
        </w:rPr>
        <w:t>井函数自变量；</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 xml:space="preserve">      r</w:t>
      </w:r>
      <w:r w:rsidRPr="00F9522B">
        <w:rPr>
          <w:rFonts w:eastAsiaTheme="minorEastAsia"/>
          <w:sz w:val="24"/>
          <w:vertAlign w:val="subscript"/>
        </w:rPr>
        <w:t>i</w:t>
      </w:r>
      <w:r w:rsidRPr="00F9522B">
        <w:rPr>
          <w:rFonts w:eastAsiaTheme="minorEastAsia"/>
          <w:sz w:val="24"/>
        </w:rPr>
        <w:t>—</w:t>
      </w:r>
      <w:r w:rsidRPr="00F9522B">
        <w:rPr>
          <w:rFonts w:eastAsiaTheme="minorEastAsia"/>
          <w:sz w:val="24"/>
        </w:rPr>
        <w:t>抽水井至水源井中心点的距离，</w:t>
      </w:r>
      <w:r w:rsidRPr="00F9522B">
        <w:rPr>
          <w:rFonts w:eastAsiaTheme="minorEastAsia"/>
          <w:sz w:val="24"/>
        </w:rPr>
        <w:t>m</w:t>
      </w:r>
      <w:r w:rsidRPr="00F9522B">
        <w:rPr>
          <w:rFonts w:eastAsiaTheme="minorEastAsia"/>
          <w:sz w:val="24"/>
        </w:rPr>
        <w:t>；</w:t>
      </w:r>
    </w:p>
    <w:p w:rsidR="002A5A5E" w:rsidRPr="00F9522B" w:rsidRDefault="00611CBA">
      <w:pPr>
        <w:spacing w:line="360" w:lineRule="auto"/>
        <w:ind w:firstLineChars="500" w:firstLine="1200"/>
        <w:rPr>
          <w:rFonts w:eastAsiaTheme="minorEastAsia"/>
          <w:sz w:val="24"/>
        </w:rPr>
      </w:pPr>
      <w:r w:rsidRPr="00F9522B">
        <w:rPr>
          <w:rFonts w:eastAsiaTheme="minorEastAsia"/>
          <w:sz w:val="24"/>
        </w:rPr>
        <w:t>a—</w:t>
      </w:r>
      <w:r w:rsidRPr="00F9522B">
        <w:rPr>
          <w:rFonts w:eastAsiaTheme="minorEastAsia"/>
          <w:sz w:val="24"/>
        </w:rPr>
        <w:t>压力传导系数</w:t>
      </w:r>
      <w:r w:rsidRPr="00F9522B">
        <w:rPr>
          <w:rFonts w:eastAsiaTheme="minorEastAsia"/>
          <w:sz w:val="24"/>
        </w:rPr>
        <w:t>(m</w:t>
      </w:r>
      <w:r w:rsidRPr="00F9522B">
        <w:rPr>
          <w:rFonts w:eastAsiaTheme="minorEastAsia"/>
          <w:sz w:val="24"/>
          <w:vertAlign w:val="superscript"/>
        </w:rPr>
        <w:t>2</w:t>
      </w:r>
      <w:r w:rsidRPr="00F9522B">
        <w:rPr>
          <w:rFonts w:eastAsiaTheme="minorEastAsia"/>
          <w:sz w:val="24"/>
        </w:rPr>
        <w:t>/d)</w:t>
      </w:r>
      <w:r w:rsidRPr="00F9522B">
        <w:rPr>
          <w:rFonts w:eastAsiaTheme="minorEastAsia"/>
          <w:sz w:val="24"/>
        </w:rPr>
        <w:t>；</w:t>
      </w:r>
      <m:oMath>
        <m:r>
          <m:rPr>
            <m:sty m:val="p"/>
          </m:rPr>
          <w:rPr>
            <w:rFonts w:ascii="Cambria Math" w:eastAsiaTheme="minorEastAsia" w:hAnsi="Cambria Math"/>
            <w:sz w:val="24"/>
          </w:rPr>
          <m:t>a=</m:t>
        </m:r>
        <m:f>
          <m:fPr>
            <m:ctrlPr>
              <w:rPr>
                <w:rFonts w:ascii="Cambria Math" w:eastAsiaTheme="minorEastAsia" w:hAnsi="Cambria Math"/>
                <w:sz w:val="24"/>
              </w:rPr>
            </m:ctrlPr>
          </m:fPr>
          <m:num>
            <m:r>
              <m:rPr>
                <m:sty m:val="p"/>
              </m:rPr>
              <w:rPr>
                <w:rFonts w:ascii="Cambria Math" w:eastAsiaTheme="minorEastAsia" w:hAnsi="Cambria Math"/>
                <w:sz w:val="24"/>
              </w:rPr>
              <m:t>kH</m:t>
            </m:r>
          </m:num>
          <m:den>
            <m:r>
              <m:rPr>
                <m:sty m:val="p"/>
              </m:rPr>
              <w:rPr>
                <w:rFonts w:ascii="Cambria Math" w:eastAsiaTheme="minorEastAsia" w:hAnsi="Cambria Math"/>
                <w:sz w:val="24"/>
              </w:rPr>
              <m:t>μ</m:t>
            </m:r>
          </m:den>
        </m:f>
      </m:oMath>
      <w:r w:rsidRPr="00F9522B">
        <w:rPr>
          <w:rFonts w:eastAsiaTheme="minorEastAsia"/>
          <w:sz w:val="24"/>
        </w:rPr>
        <w:t>，</w:t>
      </w:r>
      <w:r w:rsidRPr="00F9522B">
        <w:rPr>
          <w:rFonts w:eastAsiaTheme="minorEastAsia"/>
          <w:sz w:val="24"/>
        </w:rPr>
        <w:t>4667</w:t>
      </w:r>
      <w:r w:rsidRPr="00F9522B">
        <w:rPr>
          <w:rFonts w:eastAsiaTheme="minorEastAsia"/>
          <w:sz w:val="24"/>
        </w:rPr>
        <w:t>；</w:t>
      </w:r>
    </w:p>
    <w:p w:rsidR="002A5A5E" w:rsidRPr="00F9522B" w:rsidRDefault="002A5A5E">
      <w:pPr>
        <w:spacing w:line="360" w:lineRule="auto"/>
        <w:ind w:firstLineChars="450" w:firstLine="1080"/>
        <w:rPr>
          <w:rFonts w:eastAsiaTheme="minorEastAsia"/>
          <w:sz w:val="24"/>
        </w:rPr>
      </w:pPr>
      <w:r w:rsidRPr="00F9522B">
        <w:rPr>
          <w:rFonts w:eastAsiaTheme="minorEastAsia"/>
          <w:sz w:val="24"/>
        </w:rPr>
        <w:object w:dxaOrig="240" w:dyaOrig="260">
          <v:shape id="_x0000_i1029" type="#_x0000_t75" style="width:15.05pt;height:15.05pt" o:ole="">
            <v:imagedata r:id="rId101" o:title=""/>
          </v:shape>
          <o:OLEObject Type="Embed" ProgID="Equation.3" ShapeID="_x0000_i1029" DrawAspect="Content" ObjectID="_1844521192" r:id="rId102"/>
        </w:object>
      </w:r>
      <w:r w:rsidR="00611CBA" w:rsidRPr="00F9522B">
        <w:rPr>
          <w:rFonts w:eastAsiaTheme="minorEastAsia"/>
          <w:sz w:val="24"/>
        </w:rPr>
        <w:t>—</w:t>
      </w:r>
      <w:r w:rsidR="00611CBA" w:rsidRPr="00F9522B">
        <w:rPr>
          <w:rFonts w:eastAsiaTheme="minorEastAsia"/>
          <w:sz w:val="24"/>
        </w:rPr>
        <w:t>给水度（无因次），</w:t>
      </w:r>
      <w:r w:rsidR="00611CBA" w:rsidRPr="00F9522B">
        <w:rPr>
          <w:rFonts w:eastAsiaTheme="minorEastAsia"/>
          <w:sz w:val="24"/>
        </w:rPr>
        <w:t>0.15</w:t>
      </w:r>
      <w:r w:rsidR="00611CBA" w:rsidRPr="00F9522B">
        <w:rPr>
          <w:rFonts w:eastAsiaTheme="minorEastAsia"/>
          <w:sz w:val="24"/>
        </w:rPr>
        <w:t>。</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经计算，</w:t>
      </w:r>
      <w:r w:rsidRPr="00F9522B">
        <w:rPr>
          <w:rFonts w:eastAsiaTheme="minorEastAsia"/>
          <w:bCs/>
          <w:kern w:val="0"/>
          <w:sz w:val="24"/>
        </w:rPr>
        <w:t>井群连续开采最大水位降深为</w:t>
      </w:r>
      <w:r w:rsidR="00DF41E3" w:rsidRPr="00F9522B">
        <w:rPr>
          <w:rFonts w:eastAsiaTheme="minorEastAsia"/>
          <w:bCs/>
          <w:kern w:val="0"/>
          <w:sz w:val="24"/>
        </w:rPr>
        <w:t>1.315m</w:t>
      </w:r>
      <w:r w:rsidRPr="00F9522B">
        <w:rPr>
          <w:rFonts w:eastAsiaTheme="minorEastAsia"/>
          <w:bCs/>
          <w:kern w:val="0"/>
          <w:sz w:val="24"/>
        </w:rPr>
        <w:t>。</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区域地下水水位年内和年际变化较小，地下水流场较稳定。新增项目取水特点是井群集中开采，开采量均远小于单井允许开采量，根据单井出水量、布井数量、井距和布井范围的影响，井群中心水位受影响水位下降变化较小。水源井在开采状态下，降深小于</w:t>
      </w:r>
      <w:r w:rsidRPr="00F9522B">
        <w:rPr>
          <w:rFonts w:eastAsiaTheme="minorEastAsia"/>
          <w:sz w:val="24"/>
        </w:rPr>
        <w:t>2m</w:t>
      </w:r>
      <w:r w:rsidRPr="00F9522B">
        <w:rPr>
          <w:rFonts w:eastAsiaTheme="minorEastAsia"/>
          <w:sz w:val="24"/>
        </w:rPr>
        <w:t>，远小于含水层厚度的</w:t>
      </w:r>
      <w:r w:rsidRPr="00F9522B">
        <w:rPr>
          <w:rFonts w:eastAsiaTheme="minorEastAsia"/>
          <w:sz w:val="24"/>
        </w:rPr>
        <w:t>1/2</w:t>
      </w:r>
      <w:r w:rsidRPr="00F9522B">
        <w:rPr>
          <w:rFonts w:eastAsiaTheme="minorEastAsia"/>
          <w:sz w:val="24"/>
        </w:rPr>
        <w:t>，诱发环境地质问题的可能性小。</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本项目取水特点是灌溉期按周期取水。鉴于本区处于漫滩和阶地区，地下水资源丰富，地下水补给、径流、排泄条件通畅，</w:t>
      </w:r>
      <w:r w:rsidRPr="00F9522B">
        <w:rPr>
          <w:rFonts w:eastAsiaTheme="minorEastAsia"/>
          <w:bCs/>
          <w:sz w:val="24"/>
        </w:rPr>
        <w:t>项目实施后，论证区开采后地下水流场没有发生大的变化。受区域地形地貌、气候特征及土壤条件影响，项目区地下水含水层的大气降水垂直入渗补给条件较好，含水层调节能力强。因此，本项目取水不会引起论证区内的地下水水位持续下降，也不会产生严重的环境地质问题。</w:t>
      </w:r>
    </w:p>
    <w:p w:rsidR="002A5A5E" w:rsidRPr="00F9522B" w:rsidRDefault="00611CBA">
      <w:pPr>
        <w:spacing w:line="360" w:lineRule="auto"/>
        <w:ind w:firstLineChars="200" w:firstLine="480"/>
        <w:contextualSpacing/>
        <w:rPr>
          <w:rFonts w:eastAsiaTheme="minorEastAsia"/>
          <w:bCs/>
          <w:kern w:val="0"/>
          <w:sz w:val="24"/>
        </w:rPr>
      </w:pPr>
      <w:r w:rsidRPr="00F9522B">
        <w:rPr>
          <w:rFonts w:eastAsiaTheme="minorEastAsia"/>
          <w:bCs/>
          <w:kern w:val="0"/>
          <w:sz w:val="24"/>
        </w:rPr>
        <w:t>根据预测结果，井群连续开采最大水位降深为</w:t>
      </w:r>
      <w:r w:rsidR="00DF41E3" w:rsidRPr="00F9522B">
        <w:rPr>
          <w:rFonts w:eastAsiaTheme="minorEastAsia"/>
          <w:bCs/>
          <w:kern w:val="0"/>
          <w:sz w:val="24"/>
        </w:rPr>
        <w:t>1.315m</w:t>
      </w:r>
      <w:r w:rsidRPr="00F9522B">
        <w:rPr>
          <w:rFonts w:eastAsiaTheme="minorEastAsia"/>
          <w:bCs/>
          <w:kern w:val="0"/>
          <w:sz w:val="24"/>
        </w:rPr>
        <w:t>，小于</w:t>
      </w:r>
      <w:r w:rsidRPr="00F9522B">
        <w:rPr>
          <w:rFonts w:eastAsiaTheme="minorEastAsia"/>
          <w:bCs/>
          <w:kern w:val="0"/>
          <w:sz w:val="24"/>
        </w:rPr>
        <w:t>2.0m</w:t>
      </w:r>
      <w:r w:rsidRPr="00F9522B">
        <w:rPr>
          <w:rFonts w:eastAsiaTheme="minorEastAsia"/>
          <w:bCs/>
          <w:kern w:val="0"/>
          <w:sz w:val="24"/>
        </w:rPr>
        <w:t>，小于含水层厚度</w:t>
      </w:r>
      <w:r w:rsidRPr="00F9522B">
        <w:rPr>
          <w:rFonts w:eastAsiaTheme="minorEastAsia"/>
          <w:bCs/>
          <w:kern w:val="0"/>
          <w:sz w:val="24"/>
        </w:rPr>
        <w:t>30m</w:t>
      </w:r>
      <w:r w:rsidRPr="00F9522B">
        <w:rPr>
          <w:rFonts w:eastAsiaTheme="minorEastAsia"/>
          <w:bCs/>
          <w:kern w:val="0"/>
          <w:sz w:val="24"/>
        </w:rPr>
        <w:t>的三分之一，故项目取水造成的地下水水位降深在允许范围内。项目实际开采为非持续性，且开采期为每年的</w:t>
      </w:r>
      <w:r w:rsidRPr="00F9522B">
        <w:rPr>
          <w:rFonts w:eastAsiaTheme="minorEastAsia"/>
          <w:bCs/>
          <w:kern w:val="0"/>
          <w:sz w:val="24"/>
        </w:rPr>
        <w:t>5-7</w:t>
      </w:r>
      <w:r w:rsidRPr="00F9522B">
        <w:rPr>
          <w:rFonts w:eastAsiaTheme="minorEastAsia"/>
          <w:bCs/>
          <w:kern w:val="0"/>
          <w:sz w:val="24"/>
        </w:rPr>
        <w:t>月，随着</w:t>
      </w:r>
      <w:r w:rsidRPr="00F9522B">
        <w:rPr>
          <w:rFonts w:eastAsiaTheme="minorEastAsia"/>
          <w:bCs/>
          <w:kern w:val="0"/>
          <w:sz w:val="24"/>
        </w:rPr>
        <w:t>7</w:t>
      </w:r>
      <w:r w:rsidRPr="00F9522B">
        <w:rPr>
          <w:rFonts w:eastAsiaTheme="minorEastAsia"/>
          <w:bCs/>
          <w:kern w:val="0"/>
          <w:sz w:val="24"/>
        </w:rPr>
        <w:t>月份丰水期的到来，得益于对地下水良好的补给条件，以丰补歉，项目取水水源地所在区域含水层厚度较大，富水性较好，水量和水质条件均能够满足项目用水要求。同时项目取水对区域水资源状况影响较小。</w:t>
      </w:r>
    </w:p>
    <w:p w:rsidR="002A5A5E" w:rsidRPr="00F9522B" w:rsidRDefault="003E5585">
      <w:pPr>
        <w:spacing w:line="360" w:lineRule="auto"/>
        <w:ind w:firstLineChars="200" w:firstLine="480"/>
        <w:contextualSpacing/>
        <w:rPr>
          <w:rFonts w:eastAsiaTheme="minorEastAsia"/>
          <w:bCs/>
          <w:kern w:val="0"/>
          <w:sz w:val="24"/>
        </w:rPr>
      </w:pPr>
      <w:r w:rsidRPr="00F9522B">
        <w:rPr>
          <w:rFonts w:eastAsiaTheme="minorEastAsia"/>
          <w:bCs/>
          <w:kern w:val="0"/>
          <w:sz w:val="24"/>
        </w:rPr>
        <w:t>（</w:t>
      </w:r>
      <w:r w:rsidRPr="00F9522B">
        <w:rPr>
          <w:rFonts w:eastAsiaTheme="minorEastAsia"/>
          <w:bCs/>
          <w:kern w:val="0"/>
          <w:sz w:val="24"/>
        </w:rPr>
        <w:t>4</w:t>
      </w:r>
      <w:r w:rsidRPr="00F9522B">
        <w:rPr>
          <w:rFonts w:eastAsiaTheme="minorEastAsia"/>
          <w:bCs/>
          <w:kern w:val="0"/>
          <w:sz w:val="24"/>
        </w:rPr>
        <w:t>）</w:t>
      </w:r>
      <w:r w:rsidR="00611CBA" w:rsidRPr="00F9522B">
        <w:rPr>
          <w:rFonts w:eastAsiaTheme="minorEastAsia"/>
          <w:bCs/>
          <w:kern w:val="0"/>
          <w:sz w:val="24"/>
        </w:rPr>
        <w:t>地下水开采影响范围</w:t>
      </w:r>
    </w:p>
    <w:p w:rsidR="002A5A5E" w:rsidRPr="00F9522B" w:rsidRDefault="00611CBA">
      <w:pPr>
        <w:spacing w:line="360" w:lineRule="auto"/>
        <w:ind w:firstLineChars="200" w:firstLine="480"/>
        <w:contextualSpacing/>
        <w:rPr>
          <w:rFonts w:eastAsiaTheme="minorEastAsia"/>
          <w:bCs/>
          <w:kern w:val="0"/>
          <w:sz w:val="24"/>
        </w:rPr>
      </w:pPr>
      <w:r w:rsidRPr="00F9522B">
        <w:rPr>
          <w:rFonts w:eastAsiaTheme="minorEastAsia"/>
          <w:bCs/>
          <w:kern w:val="0"/>
          <w:sz w:val="24"/>
        </w:rPr>
        <w:t>将开采井群概化为一眼大井，以平均日取水量开采，以预测开采井中心水位降深为大井的降深，采用吉哈尔特公式预测拟建地块开采后的影响范围。</w:t>
      </w:r>
    </w:p>
    <w:p w:rsidR="002A5A5E" w:rsidRPr="00F9522B" w:rsidRDefault="00611CBA">
      <w:pPr>
        <w:spacing w:line="360" w:lineRule="auto"/>
        <w:ind w:firstLineChars="200" w:firstLine="480"/>
        <w:contextualSpacing/>
        <w:jc w:val="center"/>
        <w:rPr>
          <w:rFonts w:eastAsiaTheme="minorEastAsia"/>
          <w:bCs/>
          <w:kern w:val="0"/>
          <w:sz w:val="24"/>
        </w:rPr>
      </w:pPr>
      <w:r w:rsidRPr="00F9522B">
        <w:rPr>
          <w:rFonts w:eastAsiaTheme="minorEastAsia"/>
          <w:bCs/>
          <w:noProof/>
          <w:kern w:val="0"/>
          <w:sz w:val="24"/>
        </w:rPr>
        <w:lastRenderedPageBreak/>
        <w:drawing>
          <wp:inline distT="0" distB="0" distL="0" distR="0">
            <wp:extent cx="1118235" cy="390525"/>
            <wp:effectExtent l="19050" t="0" r="5168" b="0"/>
            <wp:docPr id="673"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 name="图片 30"/>
                    <pic:cNvPicPr>
                      <a:picLocks noChangeAspect="1" noChangeArrowheads="1"/>
                    </pic:cNvPicPr>
                  </pic:nvPicPr>
                  <pic:blipFill>
                    <a:blip r:embed="rId103"/>
                    <a:srcRect/>
                    <a:stretch>
                      <a:fillRect/>
                    </a:stretch>
                  </pic:blipFill>
                  <pic:spPr>
                    <a:xfrm>
                      <a:off x="0" y="0"/>
                      <a:ext cx="1127726" cy="393737"/>
                    </a:xfrm>
                    <a:prstGeom prst="rect">
                      <a:avLst/>
                    </a:prstGeom>
                    <a:noFill/>
                    <a:ln w="9525">
                      <a:noFill/>
                      <a:miter lim="800000"/>
                      <a:headEnd/>
                      <a:tailEnd/>
                    </a:ln>
                  </pic:spPr>
                </pic:pic>
              </a:graphicData>
            </a:graphic>
          </wp:inline>
        </w:drawing>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式中：</w:t>
      </w:r>
      <w:r w:rsidRPr="00F9522B">
        <w:rPr>
          <w:rFonts w:eastAsiaTheme="minorEastAsia"/>
          <w:sz w:val="24"/>
        </w:rPr>
        <w:t>R—</w:t>
      </w:r>
      <w:r w:rsidRPr="00F9522B">
        <w:rPr>
          <w:rFonts w:eastAsiaTheme="minorEastAsia"/>
          <w:sz w:val="24"/>
        </w:rPr>
        <w:t>影响半径（</w:t>
      </w:r>
      <w:r w:rsidRPr="00F9522B">
        <w:rPr>
          <w:rFonts w:eastAsiaTheme="minorEastAsia"/>
          <w:sz w:val="24"/>
        </w:rPr>
        <w:t>m</w:t>
      </w:r>
      <w:r w:rsidRPr="00F9522B">
        <w:rPr>
          <w:rFonts w:eastAsiaTheme="minorEastAsia"/>
          <w:sz w:val="24"/>
        </w:rPr>
        <w:t>）；</w:t>
      </w:r>
    </w:p>
    <w:p w:rsidR="002A5A5E" w:rsidRPr="00F9522B" w:rsidRDefault="00611CBA">
      <w:pPr>
        <w:spacing w:line="360" w:lineRule="auto"/>
        <w:ind w:firstLineChars="500" w:firstLine="1200"/>
        <w:rPr>
          <w:rFonts w:eastAsiaTheme="minorEastAsia"/>
          <w:sz w:val="24"/>
        </w:rPr>
      </w:pPr>
      <w:r w:rsidRPr="00F9522B">
        <w:rPr>
          <w:rFonts w:eastAsiaTheme="minorEastAsia"/>
          <w:sz w:val="24"/>
        </w:rPr>
        <w:t>S—</w:t>
      </w:r>
      <w:r w:rsidRPr="00F9522B">
        <w:rPr>
          <w:rFonts w:eastAsiaTheme="minorEastAsia"/>
          <w:sz w:val="24"/>
        </w:rPr>
        <w:t>水位降深（</w:t>
      </w:r>
      <w:r w:rsidRPr="00F9522B">
        <w:rPr>
          <w:rFonts w:eastAsiaTheme="minorEastAsia"/>
          <w:sz w:val="24"/>
        </w:rPr>
        <w:t>m</w:t>
      </w:r>
      <w:r w:rsidRPr="00F9522B">
        <w:rPr>
          <w:rFonts w:eastAsiaTheme="minorEastAsia"/>
          <w:sz w:val="24"/>
        </w:rPr>
        <w:t>），经前文计算取</w:t>
      </w:r>
      <w:r w:rsidR="00DF41E3" w:rsidRPr="00F9522B">
        <w:rPr>
          <w:rFonts w:eastAsiaTheme="minorEastAsia"/>
          <w:sz w:val="24"/>
        </w:rPr>
        <w:t>1.315m</w:t>
      </w:r>
      <w:r w:rsidRPr="00F9522B">
        <w:rPr>
          <w:rFonts w:eastAsiaTheme="minorEastAsia"/>
          <w:sz w:val="24"/>
        </w:rPr>
        <w:t>；</w:t>
      </w:r>
    </w:p>
    <w:p w:rsidR="002A5A5E" w:rsidRPr="00F9522B" w:rsidRDefault="00611CBA">
      <w:pPr>
        <w:spacing w:line="360" w:lineRule="auto"/>
        <w:ind w:firstLineChars="500" w:firstLine="1200"/>
        <w:rPr>
          <w:rFonts w:eastAsiaTheme="minorEastAsia"/>
          <w:sz w:val="24"/>
        </w:rPr>
      </w:pPr>
      <w:r w:rsidRPr="00F9522B">
        <w:rPr>
          <w:rFonts w:eastAsiaTheme="minorEastAsia"/>
          <w:sz w:val="24"/>
        </w:rPr>
        <w:t>K—</w:t>
      </w:r>
      <w:r w:rsidRPr="00F9522B">
        <w:rPr>
          <w:rFonts w:eastAsiaTheme="minorEastAsia"/>
          <w:sz w:val="24"/>
        </w:rPr>
        <w:t>渗透系数（</w:t>
      </w:r>
      <w:r w:rsidRPr="00F9522B">
        <w:rPr>
          <w:rFonts w:eastAsiaTheme="minorEastAsia"/>
          <w:sz w:val="24"/>
        </w:rPr>
        <w:t>m/d</w:t>
      </w:r>
      <w:r w:rsidRPr="00F9522B">
        <w:rPr>
          <w:rFonts w:eastAsiaTheme="minorEastAsia"/>
          <w:sz w:val="24"/>
        </w:rPr>
        <w:t>），</w:t>
      </w:r>
      <w:r w:rsidRPr="00F9522B">
        <w:rPr>
          <w:rFonts w:eastAsiaTheme="minorEastAsia"/>
          <w:sz w:val="24"/>
          <w:szCs w:val="22"/>
        </w:rPr>
        <w:t>数据来源</w:t>
      </w:r>
      <w:r w:rsidRPr="00F9522B">
        <w:rPr>
          <w:rFonts w:eastAsiaTheme="minorEastAsia"/>
          <w:sz w:val="24"/>
          <w:szCs w:val="22"/>
        </w:rPr>
        <w:t>“</w:t>
      </w:r>
      <w:r w:rsidRPr="00F9522B">
        <w:rPr>
          <w:rFonts w:eastAsiaTheme="minorEastAsia"/>
          <w:sz w:val="24"/>
          <w:szCs w:val="22"/>
        </w:rPr>
        <w:t>《</w:t>
      </w:r>
      <w:r w:rsidR="003A7922" w:rsidRPr="00F9522B">
        <w:rPr>
          <w:rFonts w:eastAsiaTheme="minorEastAsia"/>
          <w:sz w:val="24"/>
          <w:szCs w:val="22"/>
        </w:rPr>
        <w:t>呼兰区</w:t>
      </w:r>
      <w:r w:rsidR="003A7922" w:rsidRPr="00F9522B">
        <w:rPr>
          <w:rFonts w:eastAsiaTheme="minorEastAsia"/>
          <w:sz w:val="24"/>
          <w:szCs w:val="22"/>
        </w:rPr>
        <w:t>2026</w:t>
      </w:r>
      <w:r w:rsidR="003A7922" w:rsidRPr="00F9522B">
        <w:rPr>
          <w:rFonts w:eastAsiaTheme="minorEastAsia"/>
          <w:sz w:val="24"/>
          <w:szCs w:val="22"/>
        </w:rPr>
        <w:t>年高标准农田建设项目</w:t>
      </w:r>
      <w:r w:rsidRPr="00F9522B">
        <w:rPr>
          <w:rFonts w:eastAsiaTheme="minorEastAsia"/>
          <w:sz w:val="24"/>
          <w:szCs w:val="22"/>
        </w:rPr>
        <w:t>水资源论证报告书》</w:t>
      </w:r>
      <w:r w:rsidRPr="00F9522B">
        <w:rPr>
          <w:rFonts w:eastAsiaTheme="minorEastAsia"/>
          <w:sz w:val="24"/>
          <w:szCs w:val="22"/>
        </w:rPr>
        <w:t>”</w:t>
      </w:r>
      <w:r w:rsidRPr="00F9522B">
        <w:rPr>
          <w:rFonts w:eastAsiaTheme="minorEastAsia"/>
          <w:sz w:val="24"/>
        </w:rPr>
        <w:t>，</w:t>
      </w:r>
      <w:r w:rsidRPr="00F9522B">
        <w:rPr>
          <w:rFonts w:eastAsiaTheme="minorEastAsia"/>
          <w:sz w:val="24"/>
        </w:rPr>
        <w:t>25m/d</w:t>
      </w:r>
      <w:r w:rsidRPr="00F9522B">
        <w:rPr>
          <w:rFonts w:eastAsiaTheme="minorEastAsia"/>
          <w:sz w:val="24"/>
        </w:rPr>
        <w:t>；</w:t>
      </w:r>
    </w:p>
    <w:p w:rsidR="002A5A5E" w:rsidRPr="00F9522B" w:rsidRDefault="00611CBA">
      <w:pPr>
        <w:spacing w:line="360" w:lineRule="auto"/>
        <w:ind w:firstLineChars="200" w:firstLine="480"/>
        <w:contextualSpacing/>
        <w:rPr>
          <w:rFonts w:eastAsiaTheme="minorEastAsia"/>
          <w:bCs/>
          <w:kern w:val="0"/>
          <w:sz w:val="24"/>
        </w:rPr>
      </w:pPr>
      <w:r w:rsidRPr="00F9522B">
        <w:rPr>
          <w:rFonts w:eastAsiaTheme="minorEastAsia"/>
          <w:bCs/>
          <w:kern w:val="0"/>
          <w:sz w:val="24"/>
        </w:rPr>
        <w:t>经计算，本项目最远影响范围为约</w:t>
      </w:r>
      <w:r w:rsidRPr="00F9522B">
        <w:rPr>
          <w:rFonts w:eastAsiaTheme="minorEastAsia"/>
          <w:bCs/>
          <w:kern w:val="0"/>
          <w:sz w:val="24"/>
        </w:rPr>
        <w:t>6</w:t>
      </w:r>
      <w:r w:rsidR="00DF41E3" w:rsidRPr="00F9522B">
        <w:rPr>
          <w:rFonts w:eastAsiaTheme="minorEastAsia"/>
          <w:bCs/>
          <w:kern w:val="0"/>
          <w:sz w:val="24"/>
        </w:rPr>
        <w:t>6</w:t>
      </w:r>
      <w:r w:rsidRPr="00F9522B">
        <w:rPr>
          <w:rFonts w:eastAsiaTheme="minorEastAsia"/>
          <w:bCs/>
          <w:kern w:val="0"/>
          <w:sz w:val="24"/>
        </w:rPr>
        <w:t>m</w:t>
      </w:r>
      <w:r w:rsidRPr="00F9522B">
        <w:rPr>
          <w:rFonts w:eastAsiaTheme="minorEastAsia"/>
          <w:bCs/>
          <w:kern w:val="0"/>
          <w:sz w:val="24"/>
        </w:rPr>
        <w:t>，根据项目开采井布置方案，因项目取水造成的地下水位下降基本局限在项目地块内，对地块外的取水基本不产生影响</w:t>
      </w:r>
      <w:r w:rsidRPr="00F9522B">
        <w:rPr>
          <w:rFonts w:eastAsiaTheme="minorEastAsia"/>
          <w:kern w:val="0"/>
          <w:sz w:val="24"/>
        </w:rPr>
        <w:t>。</w:t>
      </w:r>
      <w:r w:rsidRPr="00F9522B">
        <w:rPr>
          <w:rFonts w:eastAsiaTheme="minorEastAsia"/>
          <w:bCs/>
          <w:kern w:val="0"/>
          <w:sz w:val="24"/>
        </w:rPr>
        <w:t>本项目用水方式属间歇式开采，水位降深可在停止开采后快速得到调节恢复，不会形成长时间大面积地下水超采区，能够保持项目区的地下水总体补给平衡。</w:t>
      </w:r>
    </w:p>
    <w:p w:rsidR="002A5A5E" w:rsidRPr="00F9522B" w:rsidRDefault="003E5585">
      <w:pPr>
        <w:spacing w:line="360" w:lineRule="auto"/>
        <w:ind w:firstLineChars="200" w:firstLine="480"/>
        <w:contextualSpacing/>
        <w:rPr>
          <w:rFonts w:eastAsiaTheme="minorEastAsia"/>
          <w:bCs/>
          <w:sz w:val="24"/>
        </w:rPr>
      </w:pPr>
      <w:r w:rsidRPr="00F9522B">
        <w:rPr>
          <w:rFonts w:eastAsiaTheme="minorEastAsia"/>
          <w:kern w:val="0"/>
          <w:sz w:val="24"/>
        </w:rPr>
        <w:t>（</w:t>
      </w:r>
      <w:r w:rsidRPr="00F9522B">
        <w:rPr>
          <w:rFonts w:eastAsiaTheme="minorEastAsia"/>
          <w:kern w:val="0"/>
          <w:sz w:val="24"/>
        </w:rPr>
        <w:t>5</w:t>
      </w:r>
      <w:r w:rsidRPr="00F9522B">
        <w:rPr>
          <w:rFonts w:eastAsiaTheme="minorEastAsia"/>
          <w:kern w:val="0"/>
          <w:sz w:val="24"/>
        </w:rPr>
        <w:t>）</w:t>
      </w:r>
      <w:r w:rsidR="00611CBA" w:rsidRPr="00F9522B">
        <w:rPr>
          <w:rFonts w:eastAsiaTheme="minorEastAsia"/>
          <w:bCs/>
          <w:sz w:val="24"/>
        </w:rPr>
        <w:t>取水、灌溉影响分析</w:t>
      </w:r>
    </w:p>
    <w:p w:rsidR="002A5A5E" w:rsidRPr="00F9522B" w:rsidRDefault="00611CBA">
      <w:pPr>
        <w:spacing w:line="360" w:lineRule="auto"/>
        <w:ind w:firstLineChars="200" w:firstLine="480"/>
        <w:contextualSpacing/>
        <w:rPr>
          <w:rFonts w:eastAsiaTheme="minorEastAsia"/>
          <w:bCs/>
          <w:kern w:val="0"/>
          <w:sz w:val="24"/>
        </w:rPr>
      </w:pPr>
      <w:r w:rsidRPr="00F9522B">
        <w:rPr>
          <w:rFonts w:eastAsiaTheme="minorEastAsia"/>
          <w:kern w:val="0"/>
          <w:sz w:val="24"/>
        </w:rPr>
        <w:t>1</w:t>
      </w:r>
      <w:r w:rsidRPr="00F9522B">
        <w:rPr>
          <w:rFonts w:eastAsiaTheme="minorEastAsia"/>
          <w:kern w:val="0"/>
          <w:sz w:val="24"/>
        </w:rPr>
        <w:t>）</w:t>
      </w:r>
      <w:r w:rsidRPr="00F9522B">
        <w:rPr>
          <w:rFonts w:eastAsiaTheme="minorEastAsia"/>
          <w:bCs/>
          <w:kern w:val="0"/>
          <w:sz w:val="24"/>
        </w:rPr>
        <w:t>对区域地下水环境的影响</w:t>
      </w:r>
    </w:p>
    <w:p w:rsidR="002A5A5E" w:rsidRPr="00F9522B" w:rsidRDefault="00611CBA">
      <w:pPr>
        <w:spacing w:line="360" w:lineRule="auto"/>
        <w:ind w:firstLineChars="200" w:firstLine="480"/>
        <w:rPr>
          <w:rFonts w:eastAsiaTheme="minorEastAsia"/>
          <w:kern w:val="0"/>
          <w:sz w:val="24"/>
          <w:szCs w:val="22"/>
        </w:rPr>
      </w:pPr>
      <w:r w:rsidRPr="00F9522B">
        <w:rPr>
          <w:rFonts w:eastAsiaTheme="minorEastAsia"/>
          <w:sz w:val="24"/>
        </w:rPr>
        <w:t>从长期对地下水资源量分析看，节水工程建设采用的是高效节水形式，用水量与常规灌溉方式比较用水量较小，同时可以通过开发利用区域地下水，可以增加降雨、湖泡、侧向的补给量，用水量对地下水资源以有利影响为主。</w:t>
      </w:r>
    </w:p>
    <w:p w:rsidR="002A5A5E" w:rsidRPr="00F9522B" w:rsidRDefault="00611CBA">
      <w:pPr>
        <w:spacing w:line="360" w:lineRule="auto"/>
        <w:ind w:firstLineChars="200" w:firstLine="480"/>
        <w:contextualSpacing/>
        <w:rPr>
          <w:rFonts w:eastAsiaTheme="minorEastAsia"/>
          <w:kern w:val="0"/>
          <w:sz w:val="24"/>
        </w:rPr>
      </w:pPr>
      <w:r w:rsidRPr="00F9522B">
        <w:rPr>
          <w:rFonts w:eastAsiaTheme="minorEastAsia"/>
          <w:kern w:val="0"/>
          <w:sz w:val="24"/>
        </w:rPr>
        <w:t>水资源论证报告对开采后地下水水位进行了预测，</w:t>
      </w:r>
      <w:r w:rsidRPr="00F9522B">
        <w:rPr>
          <w:rFonts w:eastAsiaTheme="minorEastAsia"/>
          <w:bCs/>
          <w:kern w:val="0"/>
          <w:sz w:val="24"/>
        </w:rPr>
        <w:t>论证区即使持续开采取水中心最大水位降深小于</w:t>
      </w:r>
      <w:r w:rsidRPr="00F9522B">
        <w:rPr>
          <w:rFonts w:eastAsiaTheme="minorEastAsia"/>
          <w:bCs/>
          <w:kern w:val="0"/>
          <w:sz w:val="24"/>
        </w:rPr>
        <w:t>2.0m</w:t>
      </w:r>
      <w:r w:rsidRPr="00F9522B">
        <w:rPr>
          <w:rFonts w:eastAsiaTheme="minorEastAsia"/>
          <w:kern w:val="0"/>
          <w:sz w:val="24"/>
        </w:rPr>
        <w:t>，小于合理降深</w:t>
      </w:r>
      <w:r w:rsidRPr="00F9522B">
        <w:rPr>
          <w:rFonts w:eastAsiaTheme="minorEastAsia"/>
          <w:kern w:val="0"/>
          <w:sz w:val="24"/>
        </w:rPr>
        <w:t>5m</w:t>
      </w:r>
      <w:r w:rsidRPr="00F9522B">
        <w:rPr>
          <w:rFonts w:eastAsiaTheme="minorEastAsia"/>
          <w:kern w:val="0"/>
          <w:sz w:val="24"/>
        </w:rPr>
        <w:t>的动水位要求</w:t>
      </w:r>
      <w:r w:rsidRPr="00F9522B">
        <w:rPr>
          <w:rFonts w:eastAsiaTheme="minorEastAsia"/>
          <w:bCs/>
          <w:kern w:val="0"/>
          <w:sz w:val="24"/>
        </w:rPr>
        <w:t>，</w:t>
      </w:r>
      <w:r w:rsidRPr="00F9522B">
        <w:rPr>
          <w:rFonts w:eastAsiaTheme="minorEastAsia"/>
          <w:kern w:val="0"/>
          <w:sz w:val="24"/>
        </w:rPr>
        <w:t>同时本工程为非持续性取水，基本分布于春季耕种和夏季防旱，本项目灌溉水除植物吸收外，基本以蒸发和下渗的方式回归自然，能够对地下水位的恢复起到正效益，同时在丰水期地下水得到充分的补给，地下水位可以得到充分恢复。</w:t>
      </w:r>
    </w:p>
    <w:p w:rsidR="002A5A5E" w:rsidRPr="00F9522B" w:rsidRDefault="00611CBA">
      <w:pPr>
        <w:spacing w:line="360" w:lineRule="auto"/>
        <w:ind w:firstLineChars="200" w:firstLine="480"/>
        <w:contextualSpacing/>
        <w:rPr>
          <w:rFonts w:eastAsiaTheme="minorEastAsia"/>
          <w:kern w:val="0"/>
          <w:sz w:val="24"/>
        </w:rPr>
      </w:pPr>
      <w:r w:rsidRPr="00F9522B">
        <w:rPr>
          <w:rFonts w:eastAsiaTheme="minorEastAsia"/>
          <w:bCs/>
          <w:sz w:val="24"/>
        </w:rPr>
        <w:t>本次改造后，通过加强管理，</w:t>
      </w:r>
      <w:r w:rsidRPr="00F9522B">
        <w:rPr>
          <w:rFonts w:eastAsiaTheme="minorEastAsia"/>
          <w:sz w:val="24"/>
        </w:rPr>
        <w:t>施行</w:t>
      </w:r>
      <w:r w:rsidRPr="00F9522B">
        <w:rPr>
          <w:rFonts w:eastAsiaTheme="minorEastAsia"/>
          <w:sz w:val="24"/>
        </w:rPr>
        <w:t>“</w:t>
      </w:r>
      <w:r w:rsidRPr="00F9522B">
        <w:rPr>
          <w:rFonts w:eastAsiaTheme="minorEastAsia"/>
          <w:sz w:val="24"/>
        </w:rPr>
        <w:t>三减</w:t>
      </w:r>
      <w:r w:rsidRPr="00F9522B">
        <w:rPr>
          <w:rFonts w:eastAsiaTheme="minorEastAsia"/>
          <w:sz w:val="24"/>
        </w:rPr>
        <w:t>”</w:t>
      </w:r>
      <w:r w:rsidRPr="00F9522B">
        <w:rPr>
          <w:rFonts w:eastAsiaTheme="minorEastAsia"/>
          <w:sz w:val="24"/>
        </w:rPr>
        <w:t>行动，即减化肥、减农药、减除草剂，</w:t>
      </w:r>
      <w:r w:rsidRPr="00F9522B">
        <w:rPr>
          <w:rFonts w:eastAsiaTheme="minorEastAsia"/>
          <w:bCs/>
          <w:sz w:val="24"/>
        </w:rPr>
        <w:t>削减化肥和化学农药用量，增加有机肥、复合肥以及生物农药和高效低毒低残留农药的施用量。采取测土配方施肥、水肥一体化措施，防止农药、化肥污染地下水体。合理安排施肥、施药时间，减轻对地下水环境的污染。</w:t>
      </w:r>
    </w:p>
    <w:p w:rsidR="002A5A5E" w:rsidRPr="00F9522B" w:rsidRDefault="00611CBA">
      <w:pPr>
        <w:spacing w:line="360" w:lineRule="auto"/>
        <w:ind w:firstLineChars="200" w:firstLine="480"/>
        <w:contextualSpacing/>
        <w:rPr>
          <w:rFonts w:eastAsiaTheme="minorEastAsia"/>
          <w:bCs/>
          <w:kern w:val="0"/>
          <w:sz w:val="24"/>
        </w:rPr>
      </w:pPr>
      <w:r w:rsidRPr="00F9522B">
        <w:rPr>
          <w:rFonts w:eastAsiaTheme="minorEastAsia"/>
          <w:kern w:val="0"/>
          <w:sz w:val="24"/>
        </w:rPr>
        <w:t>2</w:t>
      </w:r>
      <w:r w:rsidRPr="00F9522B">
        <w:rPr>
          <w:rFonts w:eastAsiaTheme="minorEastAsia"/>
          <w:kern w:val="0"/>
          <w:sz w:val="24"/>
        </w:rPr>
        <w:t>）</w:t>
      </w:r>
      <w:r w:rsidRPr="00F9522B">
        <w:rPr>
          <w:rFonts w:eastAsiaTheme="minorEastAsia"/>
          <w:bCs/>
          <w:kern w:val="0"/>
          <w:sz w:val="24"/>
        </w:rPr>
        <w:t>对其他取水户的影响</w:t>
      </w:r>
    </w:p>
    <w:p w:rsidR="002A5A5E" w:rsidRPr="00F9522B" w:rsidRDefault="00611CBA">
      <w:pPr>
        <w:spacing w:line="360" w:lineRule="auto"/>
        <w:ind w:firstLineChars="200" w:firstLine="480"/>
        <w:contextualSpacing/>
        <w:rPr>
          <w:rFonts w:eastAsiaTheme="minorEastAsia"/>
          <w:sz w:val="24"/>
          <w:szCs w:val="20"/>
        </w:rPr>
      </w:pPr>
      <w:r w:rsidRPr="00F9522B">
        <w:rPr>
          <w:rFonts w:eastAsiaTheme="minorEastAsia"/>
          <w:sz w:val="24"/>
        </w:rPr>
        <w:t>根据已批复《</w:t>
      </w:r>
      <w:r w:rsidR="003A7922" w:rsidRPr="00F9522B">
        <w:rPr>
          <w:rFonts w:eastAsiaTheme="minorEastAsia"/>
          <w:sz w:val="24"/>
        </w:rPr>
        <w:t>呼兰区</w:t>
      </w:r>
      <w:r w:rsidR="003A7922" w:rsidRPr="00F9522B">
        <w:rPr>
          <w:rFonts w:eastAsiaTheme="minorEastAsia"/>
          <w:sz w:val="24"/>
        </w:rPr>
        <w:t>2026</w:t>
      </w:r>
      <w:r w:rsidR="003A7922" w:rsidRPr="00F9522B">
        <w:rPr>
          <w:rFonts w:eastAsiaTheme="minorEastAsia"/>
          <w:sz w:val="24"/>
        </w:rPr>
        <w:t>年高标准农田建设项目</w:t>
      </w:r>
      <w:r w:rsidRPr="00F9522B">
        <w:rPr>
          <w:rFonts w:eastAsiaTheme="minorEastAsia"/>
          <w:sz w:val="24"/>
        </w:rPr>
        <w:t>水资源论证报告书》</w:t>
      </w:r>
      <w:r w:rsidRPr="00F9522B">
        <w:rPr>
          <w:rFonts w:eastAsiaTheme="minorEastAsia"/>
          <w:sz w:val="24"/>
          <w:szCs w:val="20"/>
        </w:rPr>
        <w:t>，项目区内主要用水户为农村居民生活和牲畜用水。项目建设后，已经考虑农村居民生活和牲畜用水的预留量，最大影响半径为</w:t>
      </w:r>
      <w:r w:rsidRPr="00F9522B">
        <w:rPr>
          <w:rFonts w:eastAsiaTheme="minorEastAsia"/>
          <w:sz w:val="24"/>
          <w:szCs w:val="20"/>
        </w:rPr>
        <w:t>6</w:t>
      </w:r>
      <w:r w:rsidR="00DF41E3" w:rsidRPr="00F9522B">
        <w:rPr>
          <w:rFonts w:eastAsiaTheme="minorEastAsia"/>
          <w:sz w:val="24"/>
          <w:szCs w:val="20"/>
        </w:rPr>
        <w:t>6</w:t>
      </w:r>
      <w:r w:rsidRPr="00F9522B">
        <w:rPr>
          <w:rFonts w:eastAsiaTheme="minorEastAsia"/>
          <w:sz w:val="24"/>
          <w:szCs w:val="20"/>
        </w:rPr>
        <w:t>m</w:t>
      </w:r>
      <w:r w:rsidRPr="00F9522B">
        <w:rPr>
          <w:rFonts w:eastAsiaTheme="minorEastAsia"/>
          <w:sz w:val="24"/>
          <w:szCs w:val="20"/>
        </w:rPr>
        <w:t>，而水井间距基本控制在</w:t>
      </w:r>
      <w:r w:rsidRPr="00F9522B">
        <w:rPr>
          <w:rFonts w:eastAsiaTheme="minorEastAsia"/>
          <w:sz w:val="24"/>
          <w:szCs w:val="20"/>
        </w:rPr>
        <w:t>602-1</w:t>
      </w:r>
      <w:r w:rsidR="005F6D50" w:rsidRPr="00F9522B">
        <w:rPr>
          <w:rFonts w:eastAsiaTheme="minorEastAsia"/>
          <w:sz w:val="24"/>
          <w:szCs w:val="20"/>
        </w:rPr>
        <w:t>914</w:t>
      </w:r>
      <w:r w:rsidRPr="00F9522B">
        <w:rPr>
          <w:rFonts w:eastAsiaTheme="minorEastAsia"/>
          <w:sz w:val="24"/>
          <w:szCs w:val="20"/>
        </w:rPr>
        <w:t>m</w:t>
      </w:r>
      <w:r w:rsidRPr="00F9522B">
        <w:rPr>
          <w:rFonts w:eastAsiaTheme="minorEastAsia"/>
          <w:sz w:val="24"/>
          <w:szCs w:val="20"/>
        </w:rPr>
        <w:t>之间，井群干扰系数</w:t>
      </w:r>
      <w:r w:rsidRPr="00F9522B">
        <w:rPr>
          <w:rFonts w:eastAsiaTheme="minorEastAsia"/>
          <w:sz w:val="24"/>
          <w:szCs w:val="20"/>
        </w:rPr>
        <w:t>0.02</w:t>
      </w:r>
      <w:r w:rsidRPr="00F9522B">
        <w:rPr>
          <w:rFonts w:eastAsiaTheme="minorEastAsia"/>
          <w:sz w:val="24"/>
          <w:szCs w:val="20"/>
        </w:rPr>
        <w:t>～</w:t>
      </w:r>
      <w:r w:rsidRPr="00F9522B">
        <w:rPr>
          <w:rFonts w:eastAsiaTheme="minorEastAsia"/>
          <w:sz w:val="24"/>
          <w:szCs w:val="20"/>
        </w:rPr>
        <w:t>0.05</w:t>
      </w:r>
      <w:r w:rsidRPr="00F9522B">
        <w:rPr>
          <w:rFonts w:eastAsiaTheme="minorEastAsia"/>
          <w:sz w:val="24"/>
          <w:szCs w:val="20"/>
        </w:rPr>
        <w:t>之间，故不会对其他用户造成影响。经对现状用水户用水情况调查和分析预测</w:t>
      </w:r>
      <w:r w:rsidRPr="00F9522B">
        <w:rPr>
          <w:rFonts w:eastAsiaTheme="minorEastAsia"/>
          <w:sz w:val="24"/>
          <w:szCs w:val="20"/>
        </w:rPr>
        <w:t>2030</w:t>
      </w:r>
      <w:r w:rsidRPr="00F9522B">
        <w:rPr>
          <w:rFonts w:eastAsiaTheme="minorEastAsia"/>
          <w:sz w:val="24"/>
          <w:szCs w:val="20"/>
        </w:rPr>
        <w:t>年各论证区需开现状及规划地下</w:t>
      </w:r>
      <w:r w:rsidRPr="00F9522B">
        <w:rPr>
          <w:rFonts w:eastAsiaTheme="minorEastAsia"/>
          <w:sz w:val="24"/>
          <w:szCs w:val="20"/>
        </w:rPr>
        <w:lastRenderedPageBreak/>
        <w:t>水开采率多年平均小于</w:t>
      </w:r>
      <w:r w:rsidRPr="00F9522B">
        <w:rPr>
          <w:rFonts w:eastAsiaTheme="minorEastAsia"/>
          <w:sz w:val="24"/>
          <w:szCs w:val="20"/>
        </w:rPr>
        <w:t>80%</w:t>
      </w:r>
      <w:r w:rsidRPr="00F9522B">
        <w:rPr>
          <w:rFonts w:eastAsiaTheme="minorEastAsia"/>
          <w:sz w:val="24"/>
          <w:szCs w:val="20"/>
        </w:rPr>
        <w:t>，不会形成较大的地下水降落漏斗，不会影响居民生活用水和其他用水户。</w:t>
      </w:r>
    </w:p>
    <w:p w:rsidR="002A5A5E" w:rsidRPr="00F9522B" w:rsidRDefault="00611CBA">
      <w:pPr>
        <w:spacing w:line="360" w:lineRule="auto"/>
        <w:ind w:firstLineChars="200" w:firstLine="480"/>
        <w:contextualSpacing/>
        <w:rPr>
          <w:rFonts w:eastAsiaTheme="minorEastAsia"/>
          <w:kern w:val="0"/>
          <w:sz w:val="24"/>
        </w:rPr>
      </w:pPr>
      <w:r w:rsidRPr="00F9522B">
        <w:rPr>
          <w:rFonts w:eastAsiaTheme="minorEastAsia"/>
          <w:kern w:val="0"/>
          <w:sz w:val="24"/>
        </w:rPr>
        <w:t>3</w:t>
      </w:r>
      <w:r w:rsidRPr="00F9522B">
        <w:rPr>
          <w:rFonts w:eastAsiaTheme="minorEastAsia"/>
          <w:kern w:val="0"/>
          <w:sz w:val="24"/>
        </w:rPr>
        <w:t>）对地下水保护目标（集中式饮用水源地）、居民饮用水</w:t>
      </w:r>
      <w:r w:rsidRPr="00F9522B">
        <w:rPr>
          <w:rFonts w:eastAsiaTheme="minorEastAsia"/>
          <w:bCs/>
          <w:kern w:val="0"/>
          <w:sz w:val="24"/>
        </w:rPr>
        <w:t>的影响</w:t>
      </w:r>
    </w:p>
    <w:p w:rsidR="002A5A5E" w:rsidRPr="00F9522B" w:rsidRDefault="00611CBA">
      <w:pPr>
        <w:spacing w:line="360" w:lineRule="auto"/>
        <w:ind w:firstLineChars="200" w:firstLine="480"/>
        <w:contextualSpacing/>
        <w:rPr>
          <w:rFonts w:eastAsiaTheme="minorEastAsia"/>
          <w:kern w:val="0"/>
          <w:sz w:val="24"/>
        </w:rPr>
      </w:pPr>
      <w:r w:rsidRPr="00F9522B">
        <w:rPr>
          <w:rFonts w:eastAsiaTheme="minorEastAsia"/>
          <w:kern w:val="0"/>
          <w:sz w:val="24"/>
        </w:rPr>
        <w:t>本项目</w:t>
      </w:r>
      <w:r w:rsidRPr="00F9522B">
        <w:rPr>
          <w:rFonts w:eastAsiaTheme="minorEastAsia"/>
          <w:snapToGrid w:val="0"/>
          <w:kern w:val="0"/>
          <w:sz w:val="24"/>
          <w:szCs w:val="22"/>
        </w:rPr>
        <w:t>灌溉井</w:t>
      </w:r>
      <w:r w:rsidRPr="00F9522B">
        <w:rPr>
          <w:rFonts w:eastAsiaTheme="minorEastAsia"/>
          <w:kern w:val="0"/>
          <w:sz w:val="24"/>
        </w:rPr>
        <w:t>距离集中式饮用水源地较远，均大于</w:t>
      </w:r>
      <w:r w:rsidR="00891513" w:rsidRPr="00F9522B">
        <w:rPr>
          <w:rFonts w:eastAsiaTheme="minorEastAsia"/>
          <w:kern w:val="0"/>
          <w:sz w:val="24"/>
        </w:rPr>
        <w:t>1</w:t>
      </w:r>
      <w:r w:rsidRPr="00F9522B">
        <w:rPr>
          <w:rFonts w:eastAsiaTheme="minorEastAsia"/>
          <w:kern w:val="0"/>
          <w:sz w:val="24"/>
        </w:rPr>
        <w:t>km</w:t>
      </w:r>
      <w:r w:rsidRPr="00F9522B">
        <w:rPr>
          <w:rFonts w:eastAsiaTheme="minorEastAsia"/>
          <w:kern w:val="0"/>
          <w:sz w:val="24"/>
        </w:rPr>
        <w:t>，不在其保护范围内，</w:t>
      </w:r>
      <w:r w:rsidRPr="00F9522B">
        <w:rPr>
          <w:rFonts w:eastAsiaTheme="minorEastAsia"/>
          <w:sz w:val="24"/>
        </w:rPr>
        <w:t>根据已批复《</w:t>
      </w:r>
      <w:r w:rsidR="003A7922" w:rsidRPr="00F9522B">
        <w:rPr>
          <w:rFonts w:eastAsiaTheme="minorEastAsia"/>
          <w:sz w:val="24"/>
        </w:rPr>
        <w:t>呼兰区</w:t>
      </w:r>
      <w:r w:rsidR="003A7922" w:rsidRPr="00F9522B">
        <w:rPr>
          <w:rFonts w:eastAsiaTheme="minorEastAsia"/>
          <w:sz w:val="24"/>
        </w:rPr>
        <w:t>2026</w:t>
      </w:r>
      <w:r w:rsidR="003A7922" w:rsidRPr="00F9522B">
        <w:rPr>
          <w:rFonts w:eastAsiaTheme="minorEastAsia"/>
          <w:sz w:val="24"/>
        </w:rPr>
        <w:t>年高标准农田建设项目</w:t>
      </w:r>
      <w:r w:rsidRPr="00F9522B">
        <w:rPr>
          <w:rFonts w:eastAsiaTheme="minorEastAsia"/>
          <w:sz w:val="24"/>
        </w:rPr>
        <w:t>水资源论证报告书》</w:t>
      </w:r>
      <w:r w:rsidRPr="00F9522B">
        <w:rPr>
          <w:rFonts w:eastAsiaTheme="minorEastAsia"/>
          <w:sz w:val="24"/>
          <w:szCs w:val="20"/>
        </w:rPr>
        <w:t>，</w:t>
      </w:r>
      <w:r w:rsidRPr="00F9522B">
        <w:rPr>
          <w:rFonts w:eastAsiaTheme="minorEastAsia"/>
          <w:bCs/>
          <w:kern w:val="0"/>
          <w:sz w:val="24"/>
        </w:rPr>
        <w:t>本项目水井开采地下水最远影响范围为约</w:t>
      </w:r>
      <w:r w:rsidRPr="00F9522B">
        <w:rPr>
          <w:rFonts w:eastAsiaTheme="minorEastAsia"/>
          <w:bCs/>
          <w:kern w:val="0"/>
          <w:sz w:val="24"/>
        </w:rPr>
        <w:t>6</w:t>
      </w:r>
      <w:r w:rsidR="00DF41E3" w:rsidRPr="00F9522B">
        <w:rPr>
          <w:rFonts w:eastAsiaTheme="minorEastAsia"/>
          <w:bCs/>
          <w:kern w:val="0"/>
          <w:sz w:val="24"/>
        </w:rPr>
        <w:t>6</w:t>
      </w:r>
      <w:r w:rsidRPr="00F9522B">
        <w:rPr>
          <w:rFonts w:eastAsiaTheme="minorEastAsia"/>
          <w:bCs/>
          <w:kern w:val="0"/>
          <w:sz w:val="24"/>
        </w:rPr>
        <w:t>m</w:t>
      </w:r>
      <w:r w:rsidRPr="00F9522B">
        <w:rPr>
          <w:rFonts w:eastAsiaTheme="minorEastAsia"/>
          <w:bCs/>
          <w:kern w:val="0"/>
          <w:sz w:val="24"/>
        </w:rPr>
        <w:t>，</w:t>
      </w:r>
      <w:r w:rsidRPr="00F9522B">
        <w:rPr>
          <w:rFonts w:eastAsiaTheme="minorEastAsia"/>
          <w:kern w:val="0"/>
          <w:sz w:val="24"/>
        </w:rPr>
        <w:t>并且本项目间歇性抽水，本项目灌溉水除植物吸收外，基本以蒸发和下渗的方式回归自然，能够对地下水位的恢复起到正效益，同时在丰水期地下水得到充分的补给，地下水位可以得到充分恢复，故对饮用水源地影响较小。</w:t>
      </w:r>
    </w:p>
    <w:p w:rsidR="002A5A5E" w:rsidRPr="00F9522B" w:rsidRDefault="00611CBA">
      <w:pPr>
        <w:spacing w:line="360" w:lineRule="auto"/>
        <w:ind w:firstLineChars="200" w:firstLine="480"/>
        <w:contextualSpacing/>
        <w:rPr>
          <w:rFonts w:eastAsiaTheme="minorEastAsia"/>
          <w:bCs/>
          <w:sz w:val="24"/>
        </w:rPr>
      </w:pPr>
      <w:r w:rsidRPr="00F9522B">
        <w:rPr>
          <w:rFonts w:eastAsiaTheme="minorEastAsia"/>
          <w:sz w:val="24"/>
        </w:rPr>
        <w:t>本项目合理开采地下水资源，严格执行灌溉制度，采取节水灌溉措施，提高水资源的利用率，通过管道输水、田间滴灌，最大限度的利用水资源。防止地下水超采，</w:t>
      </w:r>
      <w:r w:rsidRPr="00F9522B">
        <w:rPr>
          <w:rFonts w:eastAsiaTheme="minorEastAsia"/>
          <w:bCs/>
          <w:sz w:val="24"/>
        </w:rPr>
        <w:t>定期进行地下水水位监测（每年的丰、枯水期各监测</w:t>
      </w:r>
      <w:r w:rsidRPr="00F9522B">
        <w:rPr>
          <w:rFonts w:eastAsiaTheme="minorEastAsia"/>
          <w:bCs/>
          <w:sz w:val="24"/>
        </w:rPr>
        <w:t>1</w:t>
      </w:r>
      <w:r w:rsidRPr="00F9522B">
        <w:rPr>
          <w:rFonts w:eastAsiaTheme="minorEastAsia"/>
          <w:bCs/>
          <w:sz w:val="24"/>
        </w:rPr>
        <w:t>次），采取节水、降水措施。</w:t>
      </w:r>
    </w:p>
    <w:p w:rsidR="002A5A5E" w:rsidRPr="00F9522B" w:rsidRDefault="00611CBA">
      <w:pPr>
        <w:spacing w:line="360" w:lineRule="auto"/>
        <w:ind w:firstLineChars="200" w:firstLine="480"/>
        <w:contextualSpacing/>
        <w:rPr>
          <w:rFonts w:eastAsiaTheme="minorEastAsia"/>
          <w:bCs/>
          <w:sz w:val="24"/>
        </w:rPr>
      </w:pPr>
      <w:r w:rsidRPr="00F9522B">
        <w:rPr>
          <w:rFonts w:eastAsiaTheme="minorEastAsia"/>
          <w:bCs/>
          <w:sz w:val="24"/>
        </w:rPr>
        <w:t>4</w:t>
      </w:r>
      <w:r w:rsidRPr="00F9522B">
        <w:rPr>
          <w:rFonts w:eastAsiaTheme="minorEastAsia"/>
          <w:bCs/>
          <w:sz w:val="24"/>
        </w:rPr>
        <w:t>）对地下水补径排关系的影响</w:t>
      </w:r>
    </w:p>
    <w:p w:rsidR="002A5A5E" w:rsidRPr="00F9522B" w:rsidRDefault="00611CBA">
      <w:pPr>
        <w:spacing w:line="360" w:lineRule="auto"/>
        <w:ind w:firstLineChars="200" w:firstLine="480"/>
        <w:contextualSpacing/>
        <w:rPr>
          <w:rFonts w:eastAsiaTheme="minorEastAsia"/>
          <w:kern w:val="0"/>
          <w:sz w:val="24"/>
        </w:rPr>
      </w:pPr>
      <w:r w:rsidRPr="00F9522B">
        <w:rPr>
          <w:rFonts w:eastAsiaTheme="minorEastAsia"/>
          <w:kern w:val="0"/>
          <w:sz w:val="24"/>
        </w:rPr>
        <w:t>根据已批复《</w:t>
      </w:r>
      <w:r w:rsidR="003A7922" w:rsidRPr="00F9522B">
        <w:rPr>
          <w:rFonts w:eastAsiaTheme="minorEastAsia"/>
          <w:kern w:val="0"/>
          <w:sz w:val="24"/>
        </w:rPr>
        <w:t>呼兰区</w:t>
      </w:r>
      <w:r w:rsidR="003A7922" w:rsidRPr="00F9522B">
        <w:rPr>
          <w:rFonts w:eastAsiaTheme="minorEastAsia"/>
          <w:kern w:val="0"/>
          <w:sz w:val="24"/>
        </w:rPr>
        <w:t>2026</w:t>
      </w:r>
      <w:r w:rsidR="003A7922" w:rsidRPr="00F9522B">
        <w:rPr>
          <w:rFonts w:eastAsiaTheme="minorEastAsia"/>
          <w:kern w:val="0"/>
          <w:sz w:val="24"/>
        </w:rPr>
        <w:t>年高标准农田建设项目</w:t>
      </w:r>
      <w:r w:rsidRPr="00F9522B">
        <w:rPr>
          <w:rFonts w:eastAsiaTheme="minorEastAsia"/>
          <w:kern w:val="0"/>
          <w:sz w:val="24"/>
        </w:rPr>
        <w:t>水资源论证报告书》可知，论证区地下水可开采量为</w:t>
      </w:r>
      <w:r w:rsidRPr="00F9522B">
        <w:rPr>
          <w:rFonts w:eastAsiaTheme="minorEastAsia"/>
          <w:kern w:val="0"/>
          <w:sz w:val="24"/>
        </w:rPr>
        <w:t>15</w:t>
      </w:r>
      <w:r w:rsidR="00AB6F8D" w:rsidRPr="00F9522B">
        <w:rPr>
          <w:rFonts w:eastAsiaTheme="minorEastAsia"/>
          <w:kern w:val="0"/>
          <w:sz w:val="24"/>
        </w:rPr>
        <w:t>03.97</w:t>
      </w:r>
      <w:r w:rsidRPr="00F9522B">
        <w:rPr>
          <w:rFonts w:eastAsiaTheme="minorEastAsia"/>
          <w:kern w:val="0"/>
          <w:sz w:val="24"/>
        </w:rPr>
        <w:t>万</w:t>
      </w:r>
      <w:r w:rsidRPr="00F9522B">
        <w:rPr>
          <w:rFonts w:eastAsiaTheme="minorEastAsia"/>
          <w:kern w:val="0"/>
          <w:sz w:val="24"/>
        </w:rPr>
        <w:t>m³/a</w:t>
      </w:r>
      <w:r w:rsidRPr="00F9522B">
        <w:rPr>
          <w:rFonts w:eastAsiaTheme="minorEastAsia"/>
          <w:kern w:val="0"/>
          <w:sz w:val="24"/>
        </w:rPr>
        <w:t>。总补给量为</w:t>
      </w:r>
      <w:r w:rsidRPr="00F9522B">
        <w:rPr>
          <w:rFonts w:eastAsiaTheme="minorEastAsia"/>
          <w:kern w:val="0"/>
          <w:sz w:val="24"/>
        </w:rPr>
        <w:t>2</w:t>
      </w:r>
      <w:r w:rsidR="00AB6F8D" w:rsidRPr="00F9522B">
        <w:rPr>
          <w:rFonts w:eastAsiaTheme="minorEastAsia"/>
          <w:kern w:val="0"/>
          <w:sz w:val="24"/>
        </w:rPr>
        <w:t>506.61</w:t>
      </w:r>
      <w:r w:rsidRPr="00F9522B">
        <w:rPr>
          <w:rFonts w:eastAsiaTheme="minorEastAsia"/>
          <w:kern w:val="0"/>
          <w:sz w:val="24"/>
        </w:rPr>
        <w:t>m³/a</w:t>
      </w:r>
      <w:r w:rsidRPr="00F9522B">
        <w:rPr>
          <w:rFonts w:eastAsiaTheme="minorEastAsia"/>
          <w:kern w:val="0"/>
          <w:sz w:val="24"/>
        </w:rPr>
        <w:t>。项目实施后，最大年取水量为</w:t>
      </w:r>
      <w:r w:rsidR="009F0766" w:rsidRPr="00F9522B">
        <w:rPr>
          <w:rFonts w:eastAsiaTheme="minorEastAsia"/>
          <w:kern w:val="0"/>
          <w:sz w:val="24"/>
        </w:rPr>
        <w:t>242.74</w:t>
      </w:r>
      <w:r w:rsidR="009F0766" w:rsidRPr="00F9522B">
        <w:rPr>
          <w:rFonts w:eastAsiaTheme="minorEastAsia"/>
          <w:kern w:val="0"/>
          <w:sz w:val="24"/>
        </w:rPr>
        <w:t>万</w:t>
      </w:r>
      <w:r w:rsidRPr="00F9522B">
        <w:rPr>
          <w:rFonts w:eastAsiaTheme="minorEastAsia"/>
          <w:kern w:val="0"/>
          <w:sz w:val="24"/>
        </w:rPr>
        <w:t>m</w:t>
      </w:r>
      <w:r w:rsidRPr="00F9522B">
        <w:rPr>
          <w:rFonts w:eastAsiaTheme="minorEastAsia"/>
          <w:kern w:val="0"/>
          <w:sz w:val="24"/>
          <w:vertAlign w:val="superscript"/>
        </w:rPr>
        <w:t>3</w:t>
      </w:r>
      <w:r w:rsidRPr="00F9522B">
        <w:rPr>
          <w:rFonts w:eastAsiaTheme="minorEastAsia"/>
          <w:kern w:val="0"/>
          <w:sz w:val="24"/>
        </w:rPr>
        <w:t>，占可开采量的</w:t>
      </w:r>
      <w:r w:rsidR="00AB6F8D" w:rsidRPr="00F9522B">
        <w:rPr>
          <w:rFonts w:eastAsiaTheme="minorEastAsia"/>
          <w:kern w:val="0"/>
          <w:sz w:val="24"/>
        </w:rPr>
        <w:t>16.14</w:t>
      </w:r>
      <w:r w:rsidRPr="00F9522B">
        <w:rPr>
          <w:rFonts w:eastAsiaTheme="minorEastAsia"/>
          <w:kern w:val="0"/>
          <w:sz w:val="24"/>
        </w:rPr>
        <w:t>%</w:t>
      </w:r>
      <w:r w:rsidRPr="00F9522B">
        <w:rPr>
          <w:rFonts w:eastAsiaTheme="minorEastAsia"/>
          <w:kern w:val="0"/>
          <w:sz w:val="24"/>
        </w:rPr>
        <w:t>，可以满足供水需求。</w:t>
      </w:r>
    </w:p>
    <w:p w:rsidR="002A5A5E" w:rsidRPr="00F9522B" w:rsidRDefault="00611CBA">
      <w:pPr>
        <w:spacing w:line="360" w:lineRule="auto"/>
        <w:ind w:firstLineChars="200" w:firstLine="480"/>
        <w:contextualSpacing/>
        <w:rPr>
          <w:rFonts w:eastAsiaTheme="minorEastAsia"/>
          <w:bCs/>
          <w:kern w:val="0"/>
          <w:sz w:val="24"/>
        </w:rPr>
      </w:pPr>
      <w:r w:rsidRPr="00F9522B">
        <w:rPr>
          <w:rFonts w:eastAsiaTheme="minorEastAsia"/>
          <w:kern w:val="0"/>
          <w:sz w:val="24"/>
        </w:rPr>
        <w:t>本项目</w:t>
      </w:r>
      <w:r w:rsidRPr="00F9522B">
        <w:rPr>
          <w:rFonts w:eastAsiaTheme="minorEastAsia"/>
          <w:snapToGrid w:val="0"/>
          <w:kern w:val="0"/>
          <w:sz w:val="24"/>
          <w:szCs w:val="22"/>
        </w:rPr>
        <w:t>灌溉井取水导致水位下降，将导致地下水的补给范围缩小，原本通过地表水体、大气降水等方式补给地下水的量减少。</w:t>
      </w:r>
      <w:r w:rsidRPr="00F9522B">
        <w:rPr>
          <w:rFonts w:eastAsiaTheme="minorEastAsia"/>
          <w:bCs/>
          <w:kern w:val="0"/>
          <w:sz w:val="24"/>
        </w:rPr>
        <w:t>根据已批复《</w:t>
      </w:r>
      <w:r w:rsidR="003A7922" w:rsidRPr="00F9522B">
        <w:rPr>
          <w:rFonts w:eastAsiaTheme="minorEastAsia"/>
          <w:bCs/>
          <w:kern w:val="0"/>
          <w:sz w:val="24"/>
        </w:rPr>
        <w:t>呼兰区</w:t>
      </w:r>
      <w:r w:rsidR="003A7922" w:rsidRPr="00F9522B">
        <w:rPr>
          <w:rFonts w:eastAsiaTheme="minorEastAsia"/>
          <w:bCs/>
          <w:kern w:val="0"/>
          <w:sz w:val="24"/>
        </w:rPr>
        <w:t>2026</w:t>
      </w:r>
      <w:r w:rsidR="003A7922" w:rsidRPr="00F9522B">
        <w:rPr>
          <w:rFonts w:eastAsiaTheme="minorEastAsia"/>
          <w:bCs/>
          <w:kern w:val="0"/>
          <w:sz w:val="24"/>
        </w:rPr>
        <w:t>年高标准农田建设项目</w:t>
      </w:r>
      <w:r w:rsidRPr="00F9522B">
        <w:rPr>
          <w:rFonts w:eastAsiaTheme="minorEastAsia"/>
          <w:bCs/>
          <w:kern w:val="0"/>
          <w:sz w:val="24"/>
        </w:rPr>
        <w:t>水资源论证报告书》预测结果，井群连续开采最大水位降深为</w:t>
      </w:r>
      <w:r w:rsidR="00DF41E3" w:rsidRPr="00F9522B">
        <w:rPr>
          <w:rFonts w:eastAsiaTheme="minorEastAsia"/>
          <w:bCs/>
          <w:kern w:val="0"/>
          <w:sz w:val="24"/>
        </w:rPr>
        <w:t>1.315m</w:t>
      </w:r>
      <w:r w:rsidRPr="00F9522B">
        <w:rPr>
          <w:rFonts w:eastAsiaTheme="minorEastAsia"/>
          <w:bCs/>
          <w:kern w:val="0"/>
          <w:sz w:val="24"/>
        </w:rPr>
        <w:t>，小于</w:t>
      </w:r>
      <w:r w:rsidRPr="00F9522B">
        <w:rPr>
          <w:rFonts w:eastAsiaTheme="minorEastAsia"/>
          <w:bCs/>
          <w:kern w:val="0"/>
          <w:sz w:val="24"/>
        </w:rPr>
        <w:t>2.0m</w:t>
      </w:r>
      <w:r w:rsidRPr="00F9522B">
        <w:rPr>
          <w:rFonts w:eastAsiaTheme="minorEastAsia"/>
          <w:bCs/>
          <w:kern w:val="0"/>
          <w:sz w:val="24"/>
        </w:rPr>
        <w:t>，小于含水层厚度</w:t>
      </w:r>
      <w:r w:rsidRPr="00F9522B">
        <w:rPr>
          <w:rFonts w:eastAsiaTheme="minorEastAsia"/>
          <w:bCs/>
          <w:kern w:val="0"/>
          <w:sz w:val="24"/>
        </w:rPr>
        <w:t>30m</w:t>
      </w:r>
      <w:r w:rsidRPr="00F9522B">
        <w:rPr>
          <w:rFonts w:eastAsiaTheme="minorEastAsia"/>
          <w:bCs/>
          <w:kern w:val="0"/>
          <w:sz w:val="24"/>
        </w:rPr>
        <w:t>的三分之一，项目取水造成的地下水水位降深在允许范围内，对</w:t>
      </w:r>
      <w:r w:rsidRPr="00F9522B">
        <w:rPr>
          <w:rFonts w:eastAsiaTheme="minorEastAsia"/>
          <w:snapToGrid w:val="0"/>
          <w:kern w:val="0"/>
          <w:sz w:val="24"/>
          <w:szCs w:val="22"/>
        </w:rPr>
        <w:t>地下水补给范围影响较小</w:t>
      </w:r>
      <w:r w:rsidRPr="00F9522B">
        <w:rPr>
          <w:rFonts w:eastAsiaTheme="minorEastAsia"/>
          <w:bCs/>
          <w:kern w:val="0"/>
          <w:sz w:val="24"/>
        </w:rPr>
        <w:t>。项目为非持续性，开采期为每年的</w:t>
      </w:r>
      <w:r w:rsidRPr="00F9522B">
        <w:rPr>
          <w:rFonts w:eastAsiaTheme="minorEastAsia"/>
          <w:bCs/>
          <w:kern w:val="0"/>
          <w:sz w:val="24"/>
        </w:rPr>
        <w:t>5-7</w:t>
      </w:r>
      <w:r w:rsidRPr="00F9522B">
        <w:rPr>
          <w:rFonts w:eastAsiaTheme="minorEastAsia"/>
          <w:bCs/>
          <w:kern w:val="0"/>
          <w:sz w:val="24"/>
        </w:rPr>
        <w:t>月，随着</w:t>
      </w:r>
      <w:r w:rsidRPr="00F9522B">
        <w:rPr>
          <w:rFonts w:eastAsiaTheme="minorEastAsia"/>
          <w:bCs/>
          <w:kern w:val="0"/>
          <w:sz w:val="24"/>
        </w:rPr>
        <w:t>7</w:t>
      </w:r>
      <w:r w:rsidRPr="00F9522B">
        <w:rPr>
          <w:rFonts w:eastAsiaTheme="minorEastAsia"/>
          <w:bCs/>
          <w:kern w:val="0"/>
          <w:sz w:val="24"/>
        </w:rPr>
        <w:t>月份丰水期的到来，以丰补歉，项目取水所在区域处于漫滩和阶地区，地下水资源丰富，地下水补给、径流、排泄条件通畅，含水层厚度较大，富水性较好，含水层的大气降水垂直入渗补给条件较好，含水层调节能力强，故项目取水对区域</w:t>
      </w:r>
      <w:r w:rsidRPr="00F9522B">
        <w:rPr>
          <w:rFonts w:eastAsiaTheme="minorEastAsia"/>
          <w:bCs/>
          <w:sz w:val="24"/>
        </w:rPr>
        <w:t>地下水补径排</w:t>
      </w:r>
      <w:r w:rsidRPr="00F9522B">
        <w:rPr>
          <w:rFonts w:eastAsiaTheme="minorEastAsia"/>
          <w:bCs/>
          <w:kern w:val="0"/>
          <w:sz w:val="24"/>
        </w:rPr>
        <w:t>影响较小。</w:t>
      </w:r>
    </w:p>
    <w:p w:rsidR="002A5A5E" w:rsidRPr="00F9522B" w:rsidRDefault="003E5585">
      <w:pPr>
        <w:spacing w:line="360" w:lineRule="auto"/>
        <w:ind w:firstLineChars="200" w:firstLine="480"/>
        <w:contextualSpacing/>
        <w:rPr>
          <w:rFonts w:eastAsiaTheme="minorEastAsia"/>
          <w:bCs/>
          <w:kern w:val="0"/>
          <w:sz w:val="24"/>
        </w:rPr>
      </w:pPr>
      <w:r w:rsidRPr="00F9522B">
        <w:rPr>
          <w:rFonts w:eastAsiaTheme="minorEastAsia"/>
          <w:bCs/>
          <w:kern w:val="0"/>
          <w:sz w:val="24"/>
        </w:rPr>
        <w:t>（</w:t>
      </w:r>
      <w:r w:rsidRPr="00F9522B">
        <w:rPr>
          <w:rFonts w:eastAsiaTheme="minorEastAsia"/>
          <w:bCs/>
          <w:kern w:val="0"/>
          <w:sz w:val="24"/>
        </w:rPr>
        <w:t>6</w:t>
      </w:r>
      <w:r w:rsidRPr="00F9522B">
        <w:rPr>
          <w:rFonts w:eastAsiaTheme="minorEastAsia"/>
          <w:bCs/>
          <w:kern w:val="0"/>
          <w:sz w:val="24"/>
        </w:rPr>
        <w:t>）</w:t>
      </w:r>
      <w:r w:rsidR="00611CBA" w:rsidRPr="00F9522B">
        <w:rPr>
          <w:rFonts w:eastAsiaTheme="minorEastAsia"/>
          <w:bCs/>
          <w:kern w:val="0"/>
          <w:sz w:val="24"/>
        </w:rPr>
        <w:t>对地下水水质的影响分析</w:t>
      </w:r>
    </w:p>
    <w:p w:rsidR="002A5A5E" w:rsidRPr="00F9522B" w:rsidRDefault="00611CBA">
      <w:pPr>
        <w:spacing w:line="360" w:lineRule="auto"/>
        <w:ind w:firstLineChars="200" w:firstLine="480"/>
        <w:contextualSpacing/>
        <w:rPr>
          <w:rFonts w:eastAsiaTheme="minorEastAsia"/>
          <w:kern w:val="0"/>
          <w:sz w:val="24"/>
        </w:rPr>
      </w:pPr>
      <w:r w:rsidRPr="00F9522B">
        <w:rPr>
          <w:rFonts w:eastAsiaTheme="minorEastAsia"/>
          <w:kern w:val="0"/>
          <w:sz w:val="24"/>
        </w:rPr>
        <w:t>工程运行不改变区域地下水的补给、径流和排泄的基本条件，地下水在水质方面变化轻微，工程实施不会对地下水产生严重不利影响。</w:t>
      </w:r>
    </w:p>
    <w:p w:rsidR="002A5A5E" w:rsidRPr="00F9522B" w:rsidRDefault="00611CBA">
      <w:pPr>
        <w:spacing w:line="360" w:lineRule="auto"/>
        <w:ind w:firstLineChars="200" w:firstLine="480"/>
        <w:contextualSpacing/>
        <w:rPr>
          <w:rFonts w:eastAsiaTheme="minorEastAsia"/>
          <w:kern w:val="0"/>
          <w:sz w:val="24"/>
        </w:rPr>
      </w:pPr>
      <w:r w:rsidRPr="00F9522B">
        <w:rPr>
          <w:rFonts w:eastAsiaTheme="minorEastAsia"/>
          <w:kern w:val="0"/>
          <w:sz w:val="24"/>
        </w:rPr>
        <w:lastRenderedPageBreak/>
        <w:t>1</w:t>
      </w:r>
      <w:r w:rsidRPr="00F9522B">
        <w:rPr>
          <w:rFonts w:eastAsiaTheme="minorEastAsia"/>
          <w:kern w:val="0"/>
          <w:sz w:val="24"/>
        </w:rPr>
        <w:t>）预测范围</w:t>
      </w:r>
    </w:p>
    <w:p w:rsidR="002A5A5E" w:rsidRPr="00F9522B" w:rsidRDefault="00611CBA">
      <w:pPr>
        <w:spacing w:line="360" w:lineRule="auto"/>
        <w:ind w:firstLineChars="200" w:firstLine="480"/>
        <w:contextualSpacing/>
        <w:rPr>
          <w:rFonts w:eastAsiaTheme="minorEastAsia"/>
          <w:kern w:val="0"/>
          <w:sz w:val="24"/>
        </w:rPr>
      </w:pPr>
      <w:r w:rsidRPr="00F9522B">
        <w:rPr>
          <w:rFonts w:eastAsiaTheme="minorEastAsia"/>
          <w:kern w:val="0"/>
          <w:sz w:val="24"/>
        </w:rPr>
        <w:t>根据《环境影响评价技术导则</w:t>
      </w:r>
      <w:r w:rsidRPr="00F9522B">
        <w:rPr>
          <w:rFonts w:eastAsiaTheme="minorEastAsia"/>
          <w:kern w:val="0"/>
          <w:sz w:val="24"/>
        </w:rPr>
        <w:t xml:space="preserve"> </w:t>
      </w:r>
      <w:r w:rsidRPr="00F9522B">
        <w:rPr>
          <w:rFonts w:eastAsiaTheme="minorEastAsia"/>
          <w:kern w:val="0"/>
          <w:sz w:val="24"/>
        </w:rPr>
        <w:t>地下水环境》（</w:t>
      </w:r>
      <w:r w:rsidRPr="00F9522B">
        <w:rPr>
          <w:rFonts w:eastAsiaTheme="minorEastAsia"/>
          <w:kern w:val="0"/>
          <w:sz w:val="24"/>
        </w:rPr>
        <w:t>HJ610-2016</w:t>
      </w:r>
      <w:r w:rsidRPr="00F9522B">
        <w:rPr>
          <w:rFonts w:eastAsiaTheme="minorEastAsia"/>
          <w:kern w:val="0"/>
          <w:sz w:val="24"/>
        </w:rPr>
        <w:t>）中要求，地下水环境影响预测范围应与评价范围一致，本项目地下水预测范围为项目评价范围。预测层位为地下水的潜水含水层。</w:t>
      </w:r>
    </w:p>
    <w:p w:rsidR="002A5A5E" w:rsidRPr="000D2D13" w:rsidRDefault="00611CBA">
      <w:pPr>
        <w:spacing w:line="360" w:lineRule="auto"/>
        <w:ind w:firstLineChars="200" w:firstLine="480"/>
        <w:contextualSpacing/>
        <w:rPr>
          <w:rFonts w:eastAsiaTheme="minorEastAsia"/>
          <w:kern w:val="0"/>
          <w:sz w:val="24"/>
        </w:rPr>
      </w:pPr>
      <w:r w:rsidRPr="000D2D13">
        <w:rPr>
          <w:rFonts w:eastAsiaTheme="minorEastAsia"/>
          <w:kern w:val="0"/>
          <w:sz w:val="24"/>
        </w:rPr>
        <w:t>2</w:t>
      </w:r>
      <w:r w:rsidRPr="000D2D13">
        <w:rPr>
          <w:rFonts w:eastAsiaTheme="minorEastAsia"/>
          <w:kern w:val="0"/>
          <w:sz w:val="24"/>
        </w:rPr>
        <w:t>）预测时段</w:t>
      </w:r>
    </w:p>
    <w:p w:rsidR="002A5A5E" w:rsidRPr="00F9522B" w:rsidRDefault="00611CBA">
      <w:pPr>
        <w:spacing w:line="360" w:lineRule="auto"/>
        <w:ind w:firstLineChars="200" w:firstLine="480"/>
        <w:contextualSpacing/>
        <w:rPr>
          <w:rFonts w:eastAsiaTheme="minorEastAsia"/>
          <w:kern w:val="0"/>
          <w:sz w:val="24"/>
        </w:rPr>
      </w:pPr>
      <w:r w:rsidRPr="000D2D13">
        <w:rPr>
          <w:rFonts w:eastAsiaTheme="minorEastAsia"/>
          <w:kern w:val="0"/>
          <w:sz w:val="24"/>
        </w:rPr>
        <w:t>预测时段设定为发生泄漏后的</w:t>
      </w:r>
      <w:r w:rsidRPr="000D2D13">
        <w:rPr>
          <w:rFonts w:eastAsiaTheme="minorEastAsia"/>
          <w:kern w:val="0"/>
          <w:sz w:val="24"/>
        </w:rPr>
        <w:t>100</w:t>
      </w:r>
      <w:r w:rsidRPr="000D2D13">
        <w:rPr>
          <w:rFonts w:eastAsiaTheme="minorEastAsia"/>
          <w:kern w:val="0"/>
          <w:sz w:val="24"/>
        </w:rPr>
        <w:t>天、</w:t>
      </w:r>
      <w:r w:rsidRPr="000D2D13">
        <w:rPr>
          <w:rFonts w:eastAsiaTheme="minorEastAsia"/>
          <w:kern w:val="0"/>
          <w:sz w:val="24"/>
        </w:rPr>
        <w:t>1000</w:t>
      </w:r>
      <w:r w:rsidRPr="000D2D13">
        <w:rPr>
          <w:rFonts w:eastAsiaTheme="minorEastAsia"/>
          <w:kern w:val="0"/>
          <w:sz w:val="24"/>
        </w:rPr>
        <w:t>天。</w:t>
      </w:r>
      <w:r w:rsidR="000D2D13" w:rsidRPr="000D2D13">
        <w:rPr>
          <w:rFonts w:eastAsiaTheme="minorEastAsia"/>
          <w:color w:val="FF0000"/>
          <w:kern w:val="0"/>
          <w:sz w:val="24"/>
        </w:rPr>
        <w:t>本项目柴油机移动泵车无服务年限，无厂界范围，无反应迁移规律的其它重要时间节点。</w:t>
      </w:r>
    </w:p>
    <w:p w:rsidR="002A5A5E" w:rsidRPr="00F9522B" w:rsidRDefault="00611CBA">
      <w:pPr>
        <w:spacing w:line="360" w:lineRule="auto"/>
        <w:ind w:firstLineChars="200" w:firstLine="480"/>
        <w:contextualSpacing/>
        <w:rPr>
          <w:rFonts w:eastAsiaTheme="minorEastAsia"/>
          <w:kern w:val="0"/>
          <w:sz w:val="24"/>
        </w:rPr>
      </w:pPr>
      <w:r w:rsidRPr="00F9522B">
        <w:rPr>
          <w:rFonts w:eastAsiaTheme="minorEastAsia"/>
          <w:kern w:val="0"/>
          <w:sz w:val="24"/>
        </w:rPr>
        <w:t>3</w:t>
      </w:r>
      <w:r w:rsidRPr="00F9522B">
        <w:rPr>
          <w:rFonts w:eastAsiaTheme="minorEastAsia"/>
          <w:kern w:val="0"/>
          <w:sz w:val="24"/>
        </w:rPr>
        <w:t>）预测情景</w:t>
      </w:r>
    </w:p>
    <w:p w:rsidR="002A5A5E" w:rsidRPr="00F9522B" w:rsidRDefault="00611CBA">
      <w:pPr>
        <w:spacing w:line="360" w:lineRule="auto"/>
        <w:ind w:firstLineChars="200" w:firstLine="480"/>
        <w:contextualSpacing/>
        <w:rPr>
          <w:rFonts w:eastAsiaTheme="minorEastAsia"/>
          <w:kern w:val="0"/>
          <w:sz w:val="24"/>
        </w:rPr>
      </w:pPr>
      <w:r w:rsidRPr="00F9522B">
        <w:rPr>
          <w:rFonts w:eastAsiaTheme="minorEastAsia"/>
          <w:kern w:val="0"/>
          <w:sz w:val="24"/>
        </w:rPr>
        <w:t>正常状况：本项目运营期柴油机移动泵车油箱密闭，柴油机移动泵车运行过程油箱正常情况下会发生泄漏。不使用时于村内暂存，暂存处地面设置重点防渗，正常情况下不会泄漏。</w:t>
      </w:r>
    </w:p>
    <w:p w:rsidR="002A5A5E" w:rsidRPr="00F9522B" w:rsidRDefault="00611CBA">
      <w:pPr>
        <w:spacing w:line="360" w:lineRule="auto"/>
        <w:ind w:firstLineChars="200" w:firstLine="480"/>
        <w:contextualSpacing/>
        <w:rPr>
          <w:rFonts w:eastAsiaTheme="minorEastAsia"/>
          <w:kern w:val="0"/>
          <w:sz w:val="24"/>
        </w:rPr>
      </w:pPr>
      <w:r w:rsidRPr="00F9522B">
        <w:rPr>
          <w:rFonts w:eastAsiaTheme="minorEastAsia"/>
          <w:kern w:val="0"/>
          <w:sz w:val="24"/>
        </w:rPr>
        <w:t>非正常状况：非正常工况下，柴油机移动泵车油箱在使用和停放时发生泄漏事故，柴油渗漏对地下水水质造成影响。</w:t>
      </w:r>
    </w:p>
    <w:p w:rsidR="002A5A5E" w:rsidRPr="00F9522B" w:rsidRDefault="00611CBA">
      <w:pPr>
        <w:spacing w:line="360" w:lineRule="auto"/>
        <w:ind w:firstLineChars="200" w:firstLine="480"/>
        <w:contextualSpacing/>
        <w:rPr>
          <w:rFonts w:eastAsiaTheme="minorEastAsia"/>
          <w:kern w:val="0"/>
          <w:sz w:val="24"/>
        </w:rPr>
      </w:pPr>
      <w:r w:rsidRPr="00F9522B">
        <w:rPr>
          <w:rFonts w:eastAsiaTheme="minorEastAsia"/>
          <w:kern w:val="0"/>
          <w:sz w:val="24"/>
        </w:rPr>
        <w:t>4</w:t>
      </w:r>
      <w:r w:rsidRPr="00F9522B">
        <w:rPr>
          <w:rFonts w:eastAsiaTheme="minorEastAsia"/>
          <w:kern w:val="0"/>
          <w:sz w:val="24"/>
        </w:rPr>
        <w:t>）预测因子</w:t>
      </w:r>
    </w:p>
    <w:p w:rsidR="002A5A5E" w:rsidRPr="00F9522B" w:rsidRDefault="00611CBA">
      <w:pPr>
        <w:spacing w:line="360" w:lineRule="auto"/>
        <w:ind w:firstLineChars="200" w:firstLine="480"/>
        <w:contextualSpacing/>
        <w:rPr>
          <w:rFonts w:eastAsiaTheme="minorEastAsia"/>
          <w:sz w:val="24"/>
        </w:rPr>
      </w:pPr>
      <w:r w:rsidRPr="00F9522B">
        <w:rPr>
          <w:rFonts w:eastAsiaTheme="minorEastAsia"/>
          <w:sz w:val="24"/>
        </w:rPr>
        <w:t>选取石油类作为预测因子。</w:t>
      </w:r>
      <w:r w:rsidRPr="00F9522B">
        <w:rPr>
          <w:rFonts w:eastAsiaTheme="minorEastAsia"/>
          <w:color w:val="FF0000"/>
          <w:sz w:val="24"/>
        </w:rPr>
        <w:t>假设</w:t>
      </w:r>
      <w:r w:rsidR="004C7001" w:rsidRPr="00F9522B">
        <w:rPr>
          <w:rFonts w:eastAsiaTheme="minorEastAsia"/>
          <w:color w:val="FF0000"/>
          <w:sz w:val="24"/>
        </w:rPr>
        <w:t>柴油机移动泵车油箱全部</w:t>
      </w:r>
      <w:r w:rsidRPr="00F9522B">
        <w:rPr>
          <w:rFonts w:eastAsiaTheme="minorEastAsia"/>
          <w:color w:val="FF0000"/>
          <w:sz w:val="24"/>
        </w:rPr>
        <w:t>泄漏</w:t>
      </w:r>
      <w:r w:rsidR="004C7001" w:rsidRPr="00F9522B">
        <w:rPr>
          <w:rFonts w:eastAsiaTheme="minorEastAsia"/>
          <w:color w:val="FF0000"/>
          <w:sz w:val="24"/>
        </w:rPr>
        <w:t>，泄漏</w:t>
      </w:r>
      <w:r w:rsidRPr="00F9522B">
        <w:rPr>
          <w:rFonts w:eastAsiaTheme="minorEastAsia"/>
          <w:color w:val="FF0000"/>
          <w:sz w:val="24"/>
        </w:rPr>
        <w:t>量为</w:t>
      </w:r>
      <w:r w:rsidR="004C7001" w:rsidRPr="00F9522B">
        <w:rPr>
          <w:rFonts w:eastAsiaTheme="minorEastAsia"/>
          <w:color w:val="FF0000"/>
          <w:sz w:val="24"/>
        </w:rPr>
        <w:t>125</w:t>
      </w:r>
      <w:r w:rsidRPr="00F9522B">
        <w:rPr>
          <w:rFonts w:eastAsiaTheme="minorEastAsia"/>
          <w:color w:val="FF0000"/>
          <w:sz w:val="24"/>
        </w:rPr>
        <w:t>kg</w:t>
      </w:r>
      <w:r w:rsidRPr="00F9522B">
        <w:rPr>
          <w:rFonts w:eastAsiaTheme="minorEastAsia"/>
          <w:color w:val="FF0000"/>
          <w:sz w:val="24"/>
        </w:rPr>
        <w:t>。</w:t>
      </w:r>
    </w:p>
    <w:p w:rsidR="002A5A5E" w:rsidRPr="00F9522B" w:rsidRDefault="00611CBA">
      <w:pPr>
        <w:spacing w:line="360" w:lineRule="auto"/>
        <w:ind w:firstLineChars="200" w:firstLine="480"/>
        <w:contextualSpacing/>
        <w:rPr>
          <w:rFonts w:eastAsiaTheme="minorEastAsia"/>
          <w:sz w:val="24"/>
        </w:rPr>
      </w:pPr>
      <w:r w:rsidRPr="00F9522B">
        <w:rPr>
          <w:rFonts w:eastAsiaTheme="minorEastAsia"/>
          <w:sz w:val="24"/>
        </w:rPr>
        <w:t>5</w:t>
      </w:r>
      <w:r w:rsidRPr="00F9522B">
        <w:rPr>
          <w:rFonts w:eastAsiaTheme="minorEastAsia"/>
          <w:sz w:val="24"/>
        </w:rPr>
        <w:t>）执行标准</w:t>
      </w:r>
    </w:p>
    <w:p w:rsidR="002A5A5E" w:rsidRPr="00F9522B" w:rsidRDefault="00611CBA">
      <w:pPr>
        <w:spacing w:line="360" w:lineRule="auto"/>
        <w:ind w:firstLineChars="200" w:firstLine="480"/>
        <w:contextualSpacing/>
        <w:rPr>
          <w:rFonts w:eastAsiaTheme="minorEastAsia"/>
          <w:kern w:val="0"/>
          <w:sz w:val="24"/>
        </w:rPr>
      </w:pPr>
      <w:r w:rsidRPr="00F9522B">
        <w:rPr>
          <w:rFonts w:eastAsiaTheme="minorEastAsia"/>
          <w:kern w:val="0"/>
          <w:sz w:val="24"/>
        </w:rPr>
        <w:t>石油类参照《地表水环境质量标准》（</w:t>
      </w:r>
      <w:r w:rsidRPr="00F9522B">
        <w:rPr>
          <w:rFonts w:eastAsiaTheme="minorEastAsia"/>
          <w:kern w:val="0"/>
          <w:sz w:val="24"/>
        </w:rPr>
        <w:t>GB3838-2002</w:t>
      </w:r>
      <w:r w:rsidRPr="00F9522B">
        <w:rPr>
          <w:rFonts w:eastAsiaTheme="minorEastAsia"/>
          <w:kern w:val="0"/>
          <w:sz w:val="24"/>
        </w:rPr>
        <w:t>）</w:t>
      </w:r>
      <w:r w:rsidR="005273A1" w:rsidRPr="004B63C1">
        <w:rPr>
          <w:rFonts w:eastAsiaTheme="minorEastAsia"/>
          <w:bCs/>
          <w:sz w:val="24"/>
        </w:rPr>
        <w:fldChar w:fldCharType="begin"/>
      </w:r>
      <w:r w:rsidR="004B63C1" w:rsidRPr="004B63C1">
        <w:rPr>
          <w:rFonts w:eastAsiaTheme="minorEastAsia"/>
          <w:bCs/>
          <w:sz w:val="24"/>
        </w:rPr>
        <w:instrText xml:space="preserve"> </w:instrText>
      </w:r>
      <w:r w:rsidR="004B63C1" w:rsidRPr="004B63C1">
        <w:rPr>
          <w:rFonts w:eastAsiaTheme="minorEastAsia" w:hint="eastAsia"/>
          <w:bCs/>
          <w:sz w:val="24"/>
        </w:rPr>
        <w:instrText>= 2 \* ROMAN</w:instrText>
      </w:r>
      <w:r w:rsidR="004B63C1" w:rsidRPr="004B63C1">
        <w:rPr>
          <w:rFonts w:eastAsiaTheme="minorEastAsia"/>
          <w:bCs/>
          <w:sz w:val="24"/>
        </w:rPr>
        <w:instrText xml:space="preserve"> </w:instrText>
      </w:r>
      <w:r w:rsidR="005273A1" w:rsidRPr="004B63C1">
        <w:rPr>
          <w:rFonts w:eastAsiaTheme="minorEastAsia"/>
          <w:bCs/>
          <w:sz w:val="24"/>
        </w:rPr>
        <w:fldChar w:fldCharType="separate"/>
      </w:r>
      <w:r w:rsidR="004B63C1" w:rsidRPr="004B63C1">
        <w:rPr>
          <w:rFonts w:eastAsiaTheme="minorEastAsia"/>
          <w:bCs/>
          <w:sz w:val="24"/>
        </w:rPr>
        <w:t>II</w:t>
      </w:r>
      <w:r w:rsidR="005273A1" w:rsidRPr="004B63C1">
        <w:rPr>
          <w:rFonts w:eastAsiaTheme="minorEastAsia"/>
          <w:bCs/>
          <w:sz w:val="24"/>
        </w:rPr>
        <w:fldChar w:fldCharType="end"/>
      </w:r>
      <w:r w:rsidRPr="00F9522B">
        <w:rPr>
          <w:rFonts w:eastAsiaTheme="minorEastAsia"/>
          <w:kern w:val="0"/>
          <w:sz w:val="24"/>
        </w:rPr>
        <w:t>类标准。（</w:t>
      </w:r>
      <w:r w:rsidRPr="00F9522B">
        <w:rPr>
          <w:rFonts w:eastAsiaTheme="minorEastAsia"/>
          <w:kern w:val="0"/>
          <w:sz w:val="24"/>
        </w:rPr>
        <w:t>0.05</w:t>
      </w:r>
      <w:r w:rsidRPr="00F9522B">
        <w:rPr>
          <w:rFonts w:eastAsiaTheme="minorEastAsia"/>
          <w:kern w:val="0"/>
          <w:szCs w:val="21"/>
        </w:rPr>
        <w:t>mg/L</w:t>
      </w:r>
      <w:r w:rsidRPr="00F9522B">
        <w:rPr>
          <w:rFonts w:eastAsiaTheme="minorEastAsia"/>
          <w:kern w:val="0"/>
          <w:szCs w:val="21"/>
        </w:rPr>
        <w:t>）</w:t>
      </w:r>
    </w:p>
    <w:p w:rsidR="002A5A5E" w:rsidRPr="00F9522B" w:rsidRDefault="00611CBA">
      <w:pPr>
        <w:spacing w:line="360" w:lineRule="auto"/>
        <w:ind w:firstLineChars="200" w:firstLine="480"/>
        <w:contextualSpacing/>
        <w:rPr>
          <w:rFonts w:eastAsiaTheme="minorEastAsia"/>
          <w:kern w:val="0"/>
          <w:sz w:val="24"/>
        </w:rPr>
      </w:pPr>
      <w:r w:rsidRPr="00F9522B">
        <w:rPr>
          <w:rFonts w:eastAsiaTheme="minorEastAsia"/>
          <w:kern w:val="0"/>
          <w:sz w:val="24"/>
        </w:rPr>
        <w:t>6</w:t>
      </w:r>
      <w:r w:rsidRPr="00F9522B">
        <w:rPr>
          <w:rFonts w:eastAsiaTheme="minorEastAsia"/>
          <w:kern w:val="0"/>
          <w:sz w:val="24"/>
        </w:rPr>
        <w:t>）预测模型</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根据《环境影响评价技术导则</w:t>
      </w:r>
      <w:r w:rsidRPr="00F9522B">
        <w:rPr>
          <w:rFonts w:eastAsiaTheme="minorEastAsia"/>
          <w:sz w:val="24"/>
        </w:rPr>
        <w:t xml:space="preserve"> </w:t>
      </w:r>
      <w:r w:rsidRPr="00F9522B">
        <w:rPr>
          <w:rFonts w:eastAsiaTheme="minorEastAsia"/>
          <w:sz w:val="24"/>
        </w:rPr>
        <w:t>地下水环境》（</w:t>
      </w:r>
      <w:r w:rsidRPr="00F9522B">
        <w:rPr>
          <w:rFonts w:eastAsiaTheme="minorEastAsia"/>
          <w:sz w:val="24"/>
        </w:rPr>
        <w:t>HJ610-2016</w:t>
      </w:r>
      <w:r w:rsidRPr="00F9522B">
        <w:rPr>
          <w:rFonts w:eastAsiaTheme="minorEastAsia"/>
          <w:sz w:val="24"/>
        </w:rPr>
        <w:t>）要求，地下水环境影响评价三级评价预测方法可以选用解析法。根据本项目地下水的污染特性选用</w:t>
      </w:r>
      <w:r w:rsidRPr="00F9522B">
        <w:rPr>
          <w:rFonts w:eastAsiaTheme="minorEastAsia"/>
          <w:sz w:val="24"/>
        </w:rPr>
        <w:t>“</w:t>
      </w:r>
      <w:r w:rsidRPr="00F9522B">
        <w:rPr>
          <w:rFonts w:eastAsiaTheme="minorEastAsia"/>
          <w:sz w:val="24"/>
        </w:rPr>
        <w:t>一维无限长多孔介质柱体，示踪剂瞬时注入</w:t>
      </w:r>
      <w:r w:rsidRPr="00F9522B">
        <w:rPr>
          <w:rFonts w:eastAsiaTheme="minorEastAsia"/>
          <w:sz w:val="24"/>
        </w:rPr>
        <w:t>”</w:t>
      </w:r>
      <w:r w:rsidRPr="00F9522B">
        <w:rPr>
          <w:rFonts w:eastAsiaTheme="minorEastAsia"/>
          <w:sz w:val="24"/>
        </w:rPr>
        <w:t>，公式如下。</w:t>
      </w:r>
    </w:p>
    <w:p w:rsidR="002A5A5E" w:rsidRPr="00F9522B" w:rsidRDefault="00611CBA">
      <w:pPr>
        <w:spacing w:line="360" w:lineRule="auto"/>
        <w:ind w:firstLineChars="200" w:firstLine="480"/>
        <w:jc w:val="center"/>
        <w:rPr>
          <w:rFonts w:eastAsiaTheme="minorEastAsia"/>
          <w:sz w:val="24"/>
        </w:rPr>
      </w:pPr>
      <w:r w:rsidRPr="00F9522B">
        <w:rPr>
          <w:rFonts w:eastAsiaTheme="minorEastAsia"/>
          <w:noProof/>
          <w:sz w:val="24"/>
        </w:rPr>
        <w:drawing>
          <wp:inline distT="0" distB="0" distL="0" distR="0">
            <wp:extent cx="2115185" cy="588645"/>
            <wp:effectExtent l="0" t="0" r="18415" b="190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104" cstate="print"/>
                    <a:srcRect/>
                    <a:stretch>
                      <a:fillRect/>
                    </a:stretch>
                  </pic:blipFill>
                  <pic:spPr>
                    <a:xfrm>
                      <a:off x="0" y="0"/>
                      <a:ext cx="2115185" cy="588645"/>
                    </a:xfrm>
                    <a:prstGeom prst="rect">
                      <a:avLst/>
                    </a:prstGeom>
                    <a:noFill/>
                    <a:ln w="9525">
                      <a:noFill/>
                      <a:miter lim="800000"/>
                      <a:headEnd/>
                      <a:tailEnd/>
                    </a:ln>
                  </pic:spPr>
                </pic:pic>
              </a:graphicData>
            </a:graphic>
          </wp:inline>
        </w:drawing>
      </w:r>
    </w:p>
    <w:p w:rsidR="002A5A5E" w:rsidRPr="00F9522B" w:rsidRDefault="00611CBA">
      <w:pPr>
        <w:spacing w:line="360" w:lineRule="auto"/>
        <w:rPr>
          <w:rFonts w:eastAsiaTheme="minorEastAsia"/>
          <w:sz w:val="24"/>
        </w:rPr>
      </w:pPr>
      <w:r w:rsidRPr="00F9522B">
        <w:rPr>
          <w:rFonts w:eastAsiaTheme="minorEastAsia"/>
          <w:sz w:val="24"/>
        </w:rPr>
        <w:t>式中：</w:t>
      </w:r>
      <w:r w:rsidRPr="00F9522B">
        <w:rPr>
          <w:rFonts w:eastAsiaTheme="minorEastAsia"/>
          <w:sz w:val="24"/>
        </w:rPr>
        <w:t>x—</w:t>
      </w:r>
      <w:r w:rsidRPr="00F9522B">
        <w:rPr>
          <w:rFonts w:eastAsiaTheme="minorEastAsia"/>
          <w:sz w:val="24"/>
        </w:rPr>
        <w:t>距注入点的距离，</w:t>
      </w:r>
      <w:r w:rsidRPr="00F9522B">
        <w:rPr>
          <w:rFonts w:eastAsiaTheme="minorEastAsia"/>
          <w:sz w:val="24"/>
        </w:rPr>
        <w:t>m</w:t>
      </w:r>
      <w:r w:rsidRPr="00F9522B">
        <w:rPr>
          <w:rFonts w:eastAsiaTheme="minorEastAsia"/>
          <w:sz w:val="24"/>
        </w:rPr>
        <w:t>；</w:t>
      </w:r>
    </w:p>
    <w:p w:rsidR="002A5A5E" w:rsidRPr="00F9522B" w:rsidRDefault="00611CBA">
      <w:pPr>
        <w:spacing w:line="360" w:lineRule="auto"/>
        <w:ind w:firstLineChars="300" w:firstLine="720"/>
        <w:rPr>
          <w:rFonts w:eastAsiaTheme="minorEastAsia"/>
          <w:sz w:val="24"/>
        </w:rPr>
      </w:pPr>
      <w:r w:rsidRPr="00F9522B">
        <w:rPr>
          <w:rFonts w:eastAsiaTheme="minorEastAsia"/>
          <w:sz w:val="24"/>
        </w:rPr>
        <w:t>t—</w:t>
      </w:r>
      <w:r w:rsidRPr="00F9522B">
        <w:rPr>
          <w:rFonts w:eastAsiaTheme="minorEastAsia"/>
          <w:sz w:val="24"/>
        </w:rPr>
        <w:t>时间，</w:t>
      </w:r>
      <w:r w:rsidRPr="00F9522B">
        <w:rPr>
          <w:rFonts w:eastAsiaTheme="minorEastAsia"/>
          <w:sz w:val="24"/>
        </w:rPr>
        <w:t>d</w:t>
      </w:r>
      <w:r w:rsidRPr="00F9522B">
        <w:rPr>
          <w:rFonts w:eastAsiaTheme="minorEastAsia"/>
          <w:sz w:val="24"/>
        </w:rPr>
        <w:t>；</w:t>
      </w:r>
    </w:p>
    <w:p w:rsidR="002A5A5E" w:rsidRPr="00F9522B" w:rsidRDefault="00611CBA">
      <w:pPr>
        <w:spacing w:line="360" w:lineRule="auto"/>
        <w:ind w:firstLineChars="300" w:firstLine="720"/>
        <w:rPr>
          <w:rFonts w:eastAsiaTheme="minorEastAsia"/>
          <w:sz w:val="24"/>
        </w:rPr>
      </w:pPr>
      <w:r w:rsidRPr="00F9522B">
        <w:rPr>
          <w:rFonts w:eastAsiaTheme="minorEastAsia"/>
          <w:sz w:val="24"/>
        </w:rPr>
        <w:t>C(x,t)—t</w:t>
      </w:r>
      <w:r w:rsidRPr="00F9522B">
        <w:rPr>
          <w:rFonts w:eastAsiaTheme="minorEastAsia"/>
          <w:sz w:val="24"/>
        </w:rPr>
        <w:t>时刻点</w:t>
      </w:r>
      <w:r w:rsidRPr="00F9522B">
        <w:rPr>
          <w:rFonts w:eastAsiaTheme="minorEastAsia"/>
          <w:sz w:val="24"/>
        </w:rPr>
        <w:t>x</w:t>
      </w:r>
      <w:r w:rsidRPr="00F9522B">
        <w:rPr>
          <w:rFonts w:eastAsiaTheme="minorEastAsia"/>
          <w:sz w:val="24"/>
        </w:rPr>
        <w:t>处的示踪剂浓度，</w:t>
      </w:r>
      <w:r w:rsidRPr="00F9522B">
        <w:rPr>
          <w:rFonts w:eastAsiaTheme="minorEastAsia"/>
          <w:sz w:val="24"/>
        </w:rPr>
        <w:t>g/L</w:t>
      </w:r>
      <w:r w:rsidRPr="00F9522B">
        <w:rPr>
          <w:rFonts w:eastAsiaTheme="minorEastAsia"/>
          <w:sz w:val="24"/>
        </w:rPr>
        <w:t>；</w:t>
      </w:r>
    </w:p>
    <w:p w:rsidR="002A5A5E" w:rsidRPr="00F9522B" w:rsidRDefault="00611CBA">
      <w:pPr>
        <w:spacing w:line="360" w:lineRule="auto"/>
        <w:ind w:firstLineChars="300" w:firstLine="720"/>
        <w:rPr>
          <w:rFonts w:eastAsiaTheme="minorEastAsia"/>
          <w:sz w:val="24"/>
        </w:rPr>
      </w:pPr>
      <w:r w:rsidRPr="00F9522B">
        <w:rPr>
          <w:rFonts w:eastAsiaTheme="minorEastAsia"/>
          <w:sz w:val="24"/>
        </w:rPr>
        <w:t>m—</w:t>
      </w:r>
      <w:r w:rsidRPr="00F9522B">
        <w:rPr>
          <w:rFonts w:eastAsiaTheme="minorEastAsia"/>
          <w:sz w:val="24"/>
        </w:rPr>
        <w:t>注入的示踪剂质量，</w:t>
      </w:r>
      <w:r w:rsidRPr="00F9522B">
        <w:rPr>
          <w:rFonts w:eastAsiaTheme="minorEastAsia"/>
          <w:sz w:val="24"/>
        </w:rPr>
        <w:t>kg</w:t>
      </w:r>
      <w:r w:rsidRPr="00F9522B">
        <w:rPr>
          <w:rFonts w:eastAsiaTheme="minorEastAsia"/>
          <w:sz w:val="24"/>
        </w:rPr>
        <w:t>；</w:t>
      </w:r>
      <w:r w:rsidR="004B63C1">
        <w:rPr>
          <w:rFonts w:eastAsiaTheme="minorEastAsia" w:hint="eastAsia"/>
          <w:sz w:val="24"/>
        </w:rPr>
        <w:t>125</w:t>
      </w:r>
    </w:p>
    <w:p w:rsidR="002A5A5E" w:rsidRPr="00F9522B" w:rsidRDefault="00611CBA">
      <w:pPr>
        <w:spacing w:line="360" w:lineRule="auto"/>
        <w:ind w:firstLineChars="300" w:firstLine="720"/>
        <w:rPr>
          <w:rFonts w:eastAsiaTheme="minorEastAsia"/>
          <w:sz w:val="24"/>
        </w:rPr>
      </w:pPr>
      <w:r w:rsidRPr="00F9522B">
        <w:rPr>
          <w:rFonts w:eastAsiaTheme="minorEastAsia"/>
          <w:sz w:val="24"/>
        </w:rPr>
        <w:t>w—</w:t>
      </w:r>
      <w:r w:rsidRPr="00F9522B">
        <w:rPr>
          <w:rFonts w:eastAsiaTheme="minorEastAsia"/>
          <w:sz w:val="24"/>
        </w:rPr>
        <w:t>横截面面积，</w:t>
      </w:r>
      <w:r w:rsidRPr="00F9522B">
        <w:rPr>
          <w:rFonts w:eastAsiaTheme="minorEastAsia"/>
          <w:sz w:val="24"/>
        </w:rPr>
        <w:t>m</w:t>
      </w:r>
      <w:r w:rsidRPr="00F9522B">
        <w:rPr>
          <w:rFonts w:eastAsiaTheme="minorEastAsia"/>
          <w:sz w:val="24"/>
          <w:vertAlign w:val="superscript"/>
        </w:rPr>
        <w:t>2</w:t>
      </w:r>
      <w:r w:rsidRPr="00F9522B">
        <w:rPr>
          <w:rFonts w:eastAsiaTheme="minorEastAsia"/>
          <w:sz w:val="24"/>
        </w:rPr>
        <w:t>；</w:t>
      </w:r>
      <w:r w:rsidRPr="00F9522B">
        <w:rPr>
          <w:rFonts w:eastAsiaTheme="minorEastAsia"/>
          <w:sz w:val="24"/>
        </w:rPr>
        <w:t>0.0000785m</w:t>
      </w:r>
      <w:r w:rsidRPr="00F9522B">
        <w:rPr>
          <w:rFonts w:eastAsiaTheme="minorEastAsia"/>
          <w:sz w:val="24"/>
          <w:vertAlign w:val="superscript"/>
        </w:rPr>
        <w:t>2</w:t>
      </w:r>
    </w:p>
    <w:p w:rsidR="002A5A5E" w:rsidRPr="00F9522B" w:rsidRDefault="00611CBA">
      <w:pPr>
        <w:spacing w:line="360" w:lineRule="auto"/>
        <w:ind w:firstLineChars="300" w:firstLine="720"/>
        <w:rPr>
          <w:rFonts w:eastAsiaTheme="minorEastAsia"/>
          <w:sz w:val="24"/>
        </w:rPr>
      </w:pPr>
      <w:r w:rsidRPr="00F9522B">
        <w:rPr>
          <w:rFonts w:eastAsiaTheme="minorEastAsia"/>
          <w:sz w:val="24"/>
        </w:rPr>
        <w:lastRenderedPageBreak/>
        <w:t>u—</w:t>
      </w:r>
      <w:r w:rsidRPr="00F9522B">
        <w:rPr>
          <w:rFonts w:eastAsiaTheme="minorEastAsia"/>
          <w:sz w:val="24"/>
        </w:rPr>
        <w:t>水流速度，</w:t>
      </w:r>
      <w:r w:rsidRPr="00F9522B">
        <w:rPr>
          <w:rFonts w:eastAsiaTheme="minorEastAsia"/>
          <w:sz w:val="24"/>
        </w:rPr>
        <w:t>m/d</w:t>
      </w:r>
      <w:r w:rsidRPr="00F9522B">
        <w:rPr>
          <w:rFonts w:eastAsiaTheme="minorEastAsia"/>
          <w:sz w:val="24"/>
        </w:rPr>
        <w:t>；</w:t>
      </w:r>
      <w:r w:rsidRPr="00F9522B">
        <w:rPr>
          <w:rFonts w:eastAsiaTheme="minorEastAsia"/>
          <w:sz w:val="24"/>
        </w:rPr>
        <w:t>u=0.05m/d</w:t>
      </w:r>
    </w:p>
    <w:p w:rsidR="002A5A5E" w:rsidRPr="00F9522B" w:rsidRDefault="00611CBA">
      <w:pPr>
        <w:spacing w:line="360" w:lineRule="auto"/>
        <w:ind w:firstLineChars="300" w:firstLine="720"/>
        <w:rPr>
          <w:rFonts w:eastAsiaTheme="minorEastAsia"/>
          <w:sz w:val="24"/>
        </w:rPr>
      </w:pPr>
      <w:r w:rsidRPr="00F9522B">
        <w:rPr>
          <w:rFonts w:eastAsiaTheme="minorEastAsia"/>
          <w:sz w:val="24"/>
        </w:rPr>
        <w:t>n</w:t>
      </w:r>
      <w:r w:rsidRPr="00F9522B">
        <w:rPr>
          <w:rFonts w:eastAsiaTheme="minorEastAsia"/>
          <w:sz w:val="24"/>
          <w:vertAlign w:val="subscript"/>
        </w:rPr>
        <w:t>e</w:t>
      </w:r>
      <w:r w:rsidRPr="00F9522B">
        <w:rPr>
          <w:rFonts w:eastAsiaTheme="minorEastAsia"/>
          <w:sz w:val="24"/>
        </w:rPr>
        <w:t>—</w:t>
      </w:r>
      <w:r w:rsidRPr="00F9522B">
        <w:rPr>
          <w:rFonts w:eastAsiaTheme="minorEastAsia"/>
          <w:sz w:val="24"/>
        </w:rPr>
        <w:t>有效孔隙度，无量纲；</w:t>
      </w:r>
      <w:r w:rsidRPr="00F9522B">
        <w:rPr>
          <w:rFonts w:eastAsiaTheme="minorEastAsia"/>
          <w:sz w:val="24"/>
        </w:rPr>
        <w:t>n</w:t>
      </w:r>
      <w:r w:rsidRPr="00F9522B">
        <w:rPr>
          <w:rFonts w:eastAsiaTheme="minorEastAsia"/>
          <w:sz w:val="24"/>
          <w:vertAlign w:val="subscript"/>
        </w:rPr>
        <w:t>e</w:t>
      </w:r>
      <w:r w:rsidRPr="00F9522B">
        <w:rPr>
          <w:rFonts w:eastAsiaTheme="minorEastAsia"/>
          <w:sz w:val="24"/>
        </w:rPr>
        <w:t>=0.2</w:t>
      </w:r>
    </w:p>
    <w:p w:rsidR="002A5A5E" w:rsidRPr="00F9522B" w:rsidRDefault="00611CBA">
      <w:pPr>
        <w:spacing w:line="360" w:lineRule="auto"/>
        <w:ind w:firstLineChars="300" w:firstLine="720"/>
        <w:rPr>
          <w:rFonts w:eastAsiaTheme="minorEastAsia"/>
          <w:sz w:val="24"/>
        </w:rPr>
      </w:pPr>
      <w:r w:rsidRPr="00F9522B">
        <w:rPr>
          <w:rFonts w:eastAsiaTheme="minorEastAsia"/>
          <w:sz w:val="24"/>
        </w:rPr>
        <w:t>D</w:t>
      </w:r>
      <w:r w:rsidRPr="00F9522B">
        <w:rPr>
          <w:rFonts w:eastAsiaTheme="minorEastAsia"/>
          <w:sz w:val="24"/>
          <w:vertAlign w:val="subscript"/>
        </w:rPr>
        <w:t>L</w:t>
      </w:r>
      <w:r w:rsidRPr="00F9522B">
        <w:rPr>
          <w:rFonts w:eastAsiaTheme="minorEastAsia"/>
          <w:sz w:val="24"/>
        </w:rPr>
        <w:t>—</w:t>
      </w:r>
      <w:r w:rsidRPr="00F9522B">
        <w:rPr>
          <w:rFonts w:eastAsiaTheme="minorEastAsia"/>
          <w:sz w:val="24"/>
        </w:rPr>
        <w:t>纵向弥散系数，</w:t>
      </w:r>
      <w:r w:rsidRPr="00F9522B">
        <w:rPr>
          <w:rFonts w:eastAsiaTheme="minorEastAsia"/>
          <w:sz w:val="24"/>
        </w:rPr>
        <w:t>m</w:t>
      </w:r>
      <w:r w:rsidRPr="00F9522B">
        <w:rPr>
          <w:rFonts w:eastAsiaTheme="minorEastAsia"/>
          <w:sz w:val="24"/>
          <w:vertAlign w:val="superscript"/>
        </w:rPr>
        <w:t>2</w:t>
      </w:r>
      <w:r w:rsidRPr="00F9522B">
        <w:rPr>
          <w:rFonts w:eastAsiaTheme="minorEastAsia"/>
          <w:sz w:val="24"/>
        </w:rPr>
        <w:t>/d</w:t>
      </w:r>
      <w:r w:rsidRPr="00F9522B">
        <w:rPr>
          <w:rFonts w:eastAsiaTheme="minorEastAsia"/>
          <w:sz w:val="24"/>
        </w:rPr>
        <w:t>；</w:t>
      </w:r>
      <w:r w:rsidRPr="00F9522B">
        <w:rPr>
          <w:rFonts w:eastAsiaTheme="minorEastAsia"/>
          <w:sz w:val="24"/>
        </w:rPr>
        <w:t>D</w:t>
      </w:r>
      <w:r w:rsidRPr="00F9522B">
        <w:rPr>
          <w:rFonts w:eastAsiaTheme="minorEastAsia"/>
          <w:sz w:val="24"/>
          <w:vertAlign w:val="subscript"/>
        </w:rPr>
        <w:t>L</w:t>
      </w:r>
      <w:r w:rsidRPr="00F9522B">
        <w:rPr>
          <w:rFonts w:eastAsiaTheme="minorEastAsia"/>
          <w:sz w:val="24"/>
        </w:rPr>
        <w:t>=0.2m</w:t>
      </w:r>
      <w:r w:rsidRPr="00F9522B">
        <w:rPr>
          <w:rFonts w:eastAsiaTheme="minorEastAsia"/>
          <w:sz w:val="24"/>
          <w:vertAlign w:val="superscript"/>
        </w:rPr>
        <w:t>2</w:t>
      </w:r>
      <w:r w:rsidRPr="00F9522B">
        <w:rPr>
          <w:rFonts w:eastAsiaTheme="minorEastAsia"/>
          <w:sz w:val="24"/>
        </w:rPr>
        <w:t>/d</w:t>
      </w:r>
    </w:p>
    <w:p w:rsidR="002A5A5E" w:rsidRPr="00F9522B" w:rsidRDefault="00611CBA">
      <w:pPr>
        <w:spacing w:line="360" w:lineRule="auto"/>
        <w:ind w:firstLineChars="300" w:firstLine="720"/>
        <w:rPr>
          <w:rFonts w:eastAsiaTheme="minorEastAsia"/>
          <w:sz w:val="24"/>
        </w:rPr>
      </w:pPr>
      <w:r w:rsidRPr="00F9522B">
        <w:rPr>
          <w:rFonts w:eastAsiaTheme="minorEastAsia"/>
          <w:sz w:val="24"/>
        </w:rPr>
        <w:t>π—</w:t>
      </w:r>
      <w:r w:rsidRPr="00F9522B">
        <w:rPr>
          <w:rFonts w:eastAsiaTheme="minorEastAsia"/>
          <w:sz w:val="24"/>
        </w:rPr>
        <w:t>圆周率；</w:t>
      </w:r>
      <w:r w:rsidRPr="00F9522B">
        <w:rPr>
          <w:rFonts w:eastAsiaTheme="minorEastAsia"/>
          <w:sz w:val="24"/>
        </w:rPr>
        <w:t>π=3.14</w:t>
      </w:r>
      <w:r w:rsidRPr="00F9522B">
        <w:rPr>
          <w:rFonts w:eastAsiaTheme="minorEastAsia"/>
          <w:sz w:val="24"/>
        </w:rPr>
        <w:t>；</w:t>
      </w:r>
    </w:p>
    <w:p w:rsidR="002A5A5E" w:rsidRPr="00F9522B" w:rsidRDefault="00611CBA">
      <w:pPr>
        <w:spacing w:line="360" w:lineRule="auto"/>
        <w:rPr>
          <w:rFonts w:eastAsiaTheme="minorEastAsia"/>
          <w:sz w:val="24"/>
        </w:rPr>
      </w:pPr>
      <w:r w:rsidRPr="00F9522B">
        <w:rPr>
          <w:rFonts w:eastAsiaTheme="minorEastAsia"/>
          <w:sz w:val="24"/>
        </w:rPr>
        <w:t>模式中参数的确定：</w:t>
      </w:r>
    </w:p>
    <w:p w:rsidR="002A5A5E" w:rsidRPr="00F9522B" w:rsidRDefault="00611CBA">
      <w:pPr>
        <w:spacing w:line="360" w:lineRule="auto"/>
        <w:ind w:firstLine="495"/>
        <w:rPr>
          <w:rFonts w:eastAsiaTheme="minorEastAsia"/>
          <w:sz w:val="24"/>
        </w:rPr>
      </w:pPr>
      <w:r w:rsidRPr="00F9522B">
        <w:rPr>
          <w:rFonts w:eastAsiaTheme="minorEastAsia"/>
          <w:sz w:val="24"/>
        </w:rPr>
        <w:t>水流速度（</w:t>
      </w:r>
      <w:r w:rsidRPr="00F9522B">
        <w:rPr>
          <w:rFonts w:eastAsiaTheme="minorEastAsia"/>
          <w:sz w:val="24"/>
        </w:rPr>
        <w:t>u</w:t>
      </w:r>
      <w:r w:rsidRPr="00F9522B">
        <w:rPr>
          <w:rFonts w:eastAsiaTheme="minorEastAsia"/>
          <w:sz w:val="24"/>
        </w:rPr>
        <w:t>）：根据达西定律</w:t>
      </w:r>
      <w:r w:rsidRPr="00F9522B">
        <w:rPr>
          <w:rFonts w:eastAsiaTheme="minorEastAsia"/>
          <w:sz w:val="24"/>
        </w:rPr>
        <w:t>u=</w:t>
      </w:r>
      <w:r w:rsidRPr="00F9522B">
        <w:rPr>
          <w:rFonts w:eastAsiaTheme="minorEastAsia"/>
          <w:sz w:val="24"/>
        </w:rPr>
        <w:t>含水层渗透系数</w:t>
      </w:r>
      <w:r w:rsidRPr="00F9522B">
        <w:rPr>
          <w:rFonts w:eastAsiaTheme="minorEastAsia"/>
          <w:sz w:val="24"/>
        </w:rPr>
        <w:t>×</w:t>
      </w:r>
      <w:r w:rsidRPr="00F9522B">
        <w:rPr>
          <w:rFonts w:eastAsiaTheme="minorEastAsia"/>
          <w:sz w:val="24"/>
        </w:rPr>
        <w:t>地下水水力坡度，根据地下水概况分析，中砂石含水层渗透系数取（</w:t>
      </w:r>
      <w:r w:rsidRPr="00F9522B">
        <w:rPr>
          <w:rFonts w:eastAsiaTheme="minorEastAsia"/>
          <w:sz w:val="24"/>
        </w:rPr>
        <w:t>K=25m/d</w:t>
      </w:r>
      <w:r w:rsidRPr="00F9522B">
        <w:rPr>
          <w:rFonts w:eastAsiaTheme="minorEastAsia"/>
          <w:sz w:val="24"/>
        </w:rPr>
        <w:t>），水力坡度</w:t>
      </w:r>
      <w:r w:rsidRPr="00F9522B">
        <w:rPr>
          <w:rFonts w:eastAsiaTheme="minorEastAsia"/>
          <w:sz w:val="24"/>
        </w:rPr>
        <w:t>I=2‰</w:t>
      </w:r>
      <w:r w:rsidRPr="00F9522B">
        <w:rPr>
          <w:rFonts w:eastAsiaTheme="minorEastAsia"/>
          <w:sz w:val="24"/>
        </w:rPr>
        <w:t>，所以</w:t>
      </w:r>
      <w:r w:rsidRPr="00F9522B">
        <w:rPr>
          <w:rFonts w:eastAsiaTheme="minorEastAsia"/>
          <w:sz w:val="24"/>
        </w:rPr>
        <w:t>u=0.05m/d</w:t>
      </w:r>
      <w:r w:rsidRPr="00F9522B">
        <w:rPr>
          <w:rFonts w:eastAsiaTheme="minorEastAsia"/>
          <w:sz w:val="24"/>
        </w:rPr>
        <w:t>。有效孔隙度（</w:t>
      </w:r>
      <w:r w:rsidRPr="00F9522B">
        <w:rPr>
          <w:rFonts w:eastAsiaTheme="minorEastAsia"/>
          <w:sz w:val="24"/>
        </w:rPr>
        <w:t>n</w:t>
      </w:r>
      <w:r w:rsidRPr="00F9522B">
        <w:rPr>
          <w:rFonts w:eastAsiaTheme="minorEastAsia"/>
          <w:sz w:val="24"/>
        </w:rPr>
        <w:t>）：根据资料选取，</w:t>
      </w:r>
      <w:r w:rsidRPr="00F9522B">
        <w:rPr>
          <w:rFonts w:eastAsiaTheme="minorEastAsia"/>
          <w:sz w:val="24"/>
        </w:rPr>
        <w:t>0.2</w:t>
      </w:r>
      <w:r w:rsidRPr="00F9522B">
        <w:rPr>
          <w:rFonts w:eastAsiaTheme="minorEastAsia"/>
          <w:sz w:val="24"/>
        </w:rPr>
        <w:t>。</w:t>
      </w:r>
    </w:p>
    <w:p w:rsidR="002A5A5E" w:rsidRPr="00F9522B" w:rsidRDefault="00611CBA">
      <w:pPr>
        <w:spacing w:line="360" w:lineRule="auto"/>
        <w:ind w:firstLineChars="200" w:firstLine="480"/>
        <w:contextualSpacing/>
        <w:rPr>
          <w:rFonts w:eastAsiaTheme="minorEastAsia"/>
          <w:sz w:val="24"/>
        </w:rPr>
      </w:pPr>
      <w:r w:rsidRPr="00F9522B">
        <w:rPr>
          <w:rFonts w:eastAsiaTheme="minorEastAsia"/>
          <w:sz w:val="24"/>
        </w:rPr>
        <w:t>弥散系数：根据含水层岩性及渗透系数、水力坡度等因素，本项目参考《海岸工程》第</w:t>
      </w:r>
      <w:r w:rsidRPr="00F9522B">
        <w:rPr>
          <w:rFonts w:eastAsiaTheme="minorEastAsia"/>
          <w:sz w:val="24"/>
        </w:rPr>
        <w:t>17</w:t>
      </w:r>
      <w:r w:rsidRPr="00F9522B">
        <w:rPr>
          <w:rFonts w:eastAsiaTheme="minorEastAsia"/>
          <w:sz w:val="24"/>
        </w:rPr>
        <w:t>卷第</w:t>
      </w:r>
      <w:r w:rsidRPr="00F9522B">
        <w:rPr>
          <w:rFonts w:eastAsiaTheme="minorEastAsia"/>
          <w:sz w:val="24"/>
        </w:rPr>
        <w:t>3</w:t>
      </w:r>
      <w:r w:rsidRPr="00F9522B">
        <w:rPr>
          <w:rFonts w:eastAsiaTheme="minorEastAsia"/>
          <w:sz w:val="24"/>
        </w:rPr>
        <w:t>期</w:t>
      </w:r>
      <w:r w:rsidRPr="00F9522B">
        <w:rPr>
          <w:rFonts w:eastAsiaTheme="minorEastAsia"/>
          <w:sz w:val="24"/>
        </w:rPr>
        <w:t>-</w:t>
      </w:r>
      <w:r w:rsidRPr="00F9522B">
        <w:rPr>
          <w:rFonts w:eastAsiaTheme="minorEastAsia"/>
          <w:sz w:val="24"/>
        </w:rPr>
        <w:t>地下水弥散系数的测定中表</w:t>
      </w:r>
      <w:r w:rsidRPr="00F9522B">
        <w:rPr>
          <w:rFonts w:eastAsiaTheme="minorEastAsia"/>
          <w:sz w:val="24"/>
        </w:rPr>
        <w:t>5-2-5</w:t>
      </w:r>
      <w:r w:rsidRPr="00F9522B">
        <w:rPr>
          <w:rFonts w:eastAsiaTheme="minorEastAsia"/>
          <w:sz w:val="24"/>
        </w:rPr>
        <w:t>弥散系数参考表，取</w:t>
      </w:r>
      <w:r w:rsidRPr="00F9522B">
        <w:rPr>
          <w:rFonts w:eastAsiaTheme="minorEastAsia"/>
          <w:sz w:val="24"/>
        </w:rPr>
        <w:t>D</w:t>
      </w:r>
      <w:r w:rsidRPr="00F9522B">
        <w:rPr>
          <w:rFonts w:eastAsiaTheme="minorEastAsia"/>
          <w:sz w:val="24"/>
          <w:vertAlign w:val="subscript"/>
        </w:rPr>
        <w:t>L</w:t>
      </w:r>
      <w:r w:rsidRPr="00F9522B">
        <w:rPr>
          <w:rFonts w:eastAsiaTheme="minorEastAsia"/>
          <w:sz w:val="24"/>
        </w:rPr>
        <w:t>=0.2m</w:t>
      </w:r>
      <w:r w:rsidRPr="00F9522B">
        <w:rPr>
          <w:rFonts w:eastAsiaTheme="minorEastAsia"/>
          <w:sz w:val="24"/>
          <w:vertAlign w:val="superscript"/>
        </w:rPr>
        <w:t>2</w:t>
      </w:r>
      <w:r w:rsidRPr="00F9522B">
        <w:rPr>
          <w:rFonts w:eastAsiaTheme="minorEastAsia"/>
          <w:sz w:val="24"/>
        </w:rPr>
        <w:t>/d</w:t>
      </w:r>
      <w:r w:rsidRPr="00F9522B">
        <w:rPr>
          <w:rFonts w:eastAsiaTheme="minorEastAsia"/>
          <w:sz w:val="24"/>
        </w:rPr>
        <w:t>。</w:t>
      </w:r>
    </w:p>
    <w:p w:rsidR="002A5A5E" w:rsidRPr="00F9522B" w:rsidRDefault="00611CBA">
      <w:pPr>
        <w:contextualSpacing/>
        <w:jc w:val="center"/>
        <w:rPr>
          <w:rFonts w:eastAsiaTheme="minorEastAsia"/>
          <w:b/>
          <w:szCs w:val="21"/>
        </w:rPr>
      </w:pPr>
      <w:r w:rsidRPr="00F9522B">
        <w:rPr>
          <w:rFonts w:eastAsiaTheme="minorEastAsia"/>
          <w:b/>
          <w:szCs w:val="21"/>
        </w:rPr>
        <w:t>表</w:t>
      </w:r>
      <w:r w:rsidRPr="00F9522B">
        <w:rPr>
          <w:rFonts w:eastAsiaTheme="minorEastAsia"/>
          <w:b/>
          <w:szCs w:val="21"/>
        </w:rPr>
        <w:t>5-2-3</w:t>
      </w:r>
      <w:r w:rsidRPr="00F9522B">
        <w:rPr>
          <w:rFonts w:eastAsiaTheme="minorEastAsia"/>
          <w:b/>
          <w:szCs w:val="21"/>
        </w:rPr>
        <w:t>预测参数</w:t>
      </w:r>
    </w:p>
    <w:tbl>
      <w:tblPr>
        <w:tblW w:w="8522" w:type="dxa"/>
        <w:jc w:val="center"/>
        <w:tblBorders>
          <w:top w:val="single" w:sz="12" w:space="0" w:color="auto"/>
          <w:bottom w:val="single" w:sz="12" w:space="0" w:color="auto"/>
          <w:insideH w:val="single" w:sz="4" w:space="0" w:color="auto"/>
          <w:insideV w:val="single" w:sz="4" w:space="0" w:color="auto"/>
        </w:tblBorders>
        <w:tblLayout w:type="fixed"/>
        <w:tblLook w:val="04A0"/>
      </w:tblPr>
      <w:tblGrid>
        <w:gridCol w:w="2130"/>
        <w:gridCol w:w="2231"/>
        <w:gridCol w:w="2126"/>
        <w:gridCol w:w="2035"/>
      </w:tblGrid>
      <w:tr w:rsidR="002A5A5E" w:rsidRPr="00F9522B">
        <w:trPr>
          <w:trHeight w:val="40"/>
          <w:jc w:val="center"/>
        </w:trPr>
        <w:tc>
          <w:tcPr>
            <w:tcW w:w="2130" w:type="dxa"/>
            <w:vAlign w:val="center"/>
          </w:tcPr>
          <w:p w:rsidR="002A5A5E" w:rsidRPr="00F9522B" w:rsidRDefault="00611CBA">
            <w:pPr>
              <w:spacing w:line="0" w:lineRule="atLeast"/>
              <w:contextualSpacing/>
              <w:jc w:val="center"/>
              <w:rPr>
                <w:rFonts w:eastAsiaTheme="minorEastAsia"/>
                <w:szCs w:val="21"/>
              </w:rPr>
            </w:pPr>
            <w:bookmarkStart w:id="134" w:name="_Hlk522485953"/>
            <w:r w:rsidRPr="00F9522B">
              <w:rPr>
                <w:rFonts w:eastAsiaTheme="minorEastAsia"/>
                <w:szCs w:val="21"/>
              </w:rPr>
              <w:t>含水层参数</w:t>
            </w:r>
          </w:p>
        </w:tc>
        <w:tc>
          <w:tcPr>
            <w:tcW w:w="2231" w:type="dxa"/>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取值</w:t>
            </w:r>
          </w:p>
        </w:tc>
        <w:tc>
          <w:tcPr>
            <w:tcW w:w="2126" w:type="dxa"/>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含水层参数</w:t>
            </w:r>
          </w:p>
        </w:tc>
        <w:tc>
          <w:tcPr>
            <w:tcW w:w="2035" w:type="dxa"/>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取值</w:t>
            </w:r>
          </w:p>
        </w:tc>
      </w:tr>
      <w:tr w:rsidR="002A5A5E" w:rsidRPr="00F9522B">
        <w:trPr>
          <w:jc w:val="center"/>
        </w:trPr>
        <w:tc>
          <w:tcPr>
            <w:tcW w:w="2130" w:type="dxa"/>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渗透系数</w:t>
            </w:r>
          </w:p>
        </w:tc>
        <w:tc>
          <w:tcPr>
            <w:tcW w:w="2231" w:type="dxa"/>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25m/d</w:t>
            </w:r>
          </w:p>
        </w:tc>
        <w:tc>
          <w:tcPr>
            <w:tcW w:w="2126" w:type="dxa"/>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水利坡度</w:t>
            </w:r>
          </w:p>
        </w:tc>
        <w:tc>
          <w:tcPr>
            <w:tcW w:w="2035" w:type="dxa"/>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2‰</w:t>
            </w:r>
          </w:p>
        </w:tc>
      </w:tr>
      <w:tr w:rsidR="002A5A5E" w:rsidRPr="00F9522B">
        <w:trPr>
          <w:jc w:val="center"/>
        </w:trPr>
        <w:tc>
          <w:tcPr>
            <w:tcW w:w="2130" w:type="dxa"/>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有效孔隙率</w:t>
            </w:r>
          </w:p>
        </w:tc>
        <w:tc>
          <w:tcPr>
            <w:tcW w:w="2231" w:type="dxa"/>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0.2</w:t>
            </w:r>
          </w:p>
        </w:tc>
        <w:tc>
          <w:tcPr>
            <w:tcW w:w="2126" w:type="dxa"/>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弥散系数</w:t>
            </w:r>
          </w:p>
        </w:tc>
        <w:tc>
          <w:tcPr>
            <w:tcW w:w="2035" w:type="dxa"/>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0.2m</w:t>
            </w:r>
            <w:r w:rsidRPr="00F9522B">
              <w:rPr>
                <w:rFonts w:eastAsiaTheme="minorEastAsia"/>
                <w:szCs w:val="21"/>
                <w:vertAlign w:val="superscript"/>
              </w:rPr>
              <w:t>2</w:t>
            </w:r>
            <w:r w:rsidRPr="00F9522B">
              <w:rPr>
                <w:rFonts w:eastAsiaTheme="minorEastAsia"/>
                <w:szCs w:val="21"/>
              </w:rPr>
              <w:t>/d</w:t>
            </w:r>
          </w:p>
        </w:tc>
      </w:tr>
      <w:tr w:rsidR="002A5A5E" w:rsidRPr="00F9522B">
        <w:trPr>
          <w:trHeight w:val="69"/>
          <w:jc w:val="center"/>
        </w:trPr>
        <w:tc>
          <w:tcPr>
            <w:tcW w:w="2130" w:type="dxa"/>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流速</w:t>
            </w:r>
          </w:p>
        </w:tc>
        <w:tc>
          <w:tcPr>
            <w:tcW w:w="6392" w:type="dxa"/>
            <w:gridSpan w:val="3"/>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0.05m/d</w:t>
            </w:r>
          </w:p>
        </w:tc>
      </w:tr>
      <w:tr w:rsidR="002A5A5E" w:rsidRPr="00F9522B">
        <w:trPr>
          <w:jc w:val="center"/>
        </w:trPr>
        <w:tc>
          <w:tcPr>
            <w:tcW w:w="2130" w:type="dxa"/>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污染源参数</w:t>
            </w:r>
          </w:p>
        </w:tc>
        <w:tc>
          <w:tcPr>
            <w:tcW w:w="6392" w:type="dxa"/>
            <w:gridSpan w:val="3"/>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石油类</w:t>
            </w:r>
          </w:p>
        </w:tc>
      </w:tr>
      <w:tr w:rsidR="002A5A5E" w:rsidRPr="00F9522B">
        <w:trPr>
          <w:trHeight w:val="77"/>
          <w:jc w:val="center"/>
        </w:trPr>
        <w:tc>
          <w:tcPr>
            <w:tcW w:w="2130" w:type="dxa"/>
            <w:vAlign w:val="center"/>
          </w:tcPr>
          <w:p w:rsidR="002A5A5E" w:rsidRPr="004B63C1" w:rsidRDefault="00611CBA">
            <w:pPr>
              <w:spacing w:line="0" w:lineRule="atLeast"/>
              <w:contextualSpacing/>
              <w:jc w:val="center"/>
              <w:rPr>
                <w:rFonts w:eastAsiaTheme="minorEastAsia"/>
                <w:color w:val="FF0000"/>
                <w:szCs w:val="21"/>
              </w:rPr>
            </w:pPr>
            <w:r w:rsidRPr="004B63C1">
              <w:rPr>
                <w:rFonts w:eastAsiaTheme="minorEastAsia"/>
                <w:color w:val="FF0000"/>
                <w:szCs w:val="21"/>
              </w:rPr>
              <w:t>源强</w:t>
            </w:r>
          </w:p>
        </w:tc>
        <w:tc>
          <w:tcPr>
            <w:tcW w:w="6392" w:type="dxa"/>
            <w:gridSpan w:val="3"/>
            <w:vAlign w:val="center"/>
          </w:tcPr>
          <w:p w:rsidR="002A5A5E" w:rsidRPr="004B63C1" w:rsidRDefault="004B63C1">
            <w:pPr>
              <w:spacing w:line="0" w:lineRule="atLeast"/>
              <w:contextualSpacing/>
              <w:jc w:val="center"/>
              <w:rPr>
                <w:rFonts w:eastAsiaTheme="minorEastAsia"/>
                <w:color w:val="FF0000"/>
                <w:kern w:val="0"/>
                <w:szCs w:val="21"/>
              </w:rPr>
            </w:pPr>
            <w:r w:rsidRPr="004B63C1">
              <w:rPr>
                <w:rFonts w:eastAsiaTheme="minorEastAsia" w:hint="eastAsia"/>
                <w:color w:val="FF0000"/>
                <w:szCs w:val="21"/>
              </w:rPr>
              <w:t>125</w:t>
            </w:r>
            <w:r w:rsidR="00611CBA" w:rsidRPr="004B63C1">
              <w:rPr>
                <w:rFonts w:eastAsiaTheme="minorEastAsia"/>
                <w:color w:val="FF0000"/>
                <w:szCs w:val="21"/>
              </w:rPr>
              <w:t>kg</w:t>
            </w:r>
          </w:p>
        </w:tc>
      </w:tr>
    </w:tbl>
    <w:bookmarkEnd w:id="134"/>
    <w:p w:rsidR="002A5A5E" w:rsidRPr="00F9522B" w:rsidRDefault="00611CBA">
      <w:pPr>
        <w:spacing w:line="360" w:lineRule="auto"/>
        <w:ind w:firstLineChars="200" w:firstLine="480"/>
        <w:contextualSpacing/>
        <w:rPr>
          <w:rFonts w:eastAsiaTheme="minorEastAsia"/>
          <w:kern w:val="0"/>
          <w:sz w:val="24"/>
        </w:rPr>
      </w:pPr>
      <w:r w:rsidRPr="00F9522B">
        <w:rPr>
          <w:rFonts w:eastAsiaTheme="minorEastAsia"/>
          <w:kern w:val="0"/>
          <w:sz w:val="24"/>
        </w:rPr>
        <w:t>7</w:t>
      </w:r>
      <w:r w:rsidRPr="00F9522B">
        <w:rPr>
          <w:rFonts w:eastAsiaTheme="minorEastAsia"/>
          <w:kern w:val="0"/>
          <w:sz w:val="24"/>
        </w:rPr>
        <w:t>）预测结果</w:t>
      </w:r>
    </w:p>
    <w:p w:rsidR="002A5A5E" w:rsidRPr="00F9522B" w:rsidRDefault="00611CBA">
      <w:pPr>
        <w:spacing w:line="360" w:lineRule="auto"/>
        <w:ind w:firstLineChars="200" w:firstLine="480"/>
        <w:contextualSpacing/>
        <w:rPr>
          <w:rFonts w:eastAsiaTheme="minorEastAsia"/>
          <w:sz w:val="24"/>
        </w:rPr>
      </w:pPr>
      <w:r w:rsidRPr="00F9522B">
        <w:rPr>
          <w:rFonts w:eastAsiaTheme="minorEastAsia"/>
          <w:sz w:val="24"/>
        </w:rPr>
        <w:t>预测计算结果见表</w:t>
      </w:r>
      <w:r w:rsidRPr="00F9522B">
        <w:rPr>
          <w:rFonts w:eastAsiaTheme="minorEastAsia"/>
          <w:sz w:val="24"/>
        </w:rPr>
        <w:t>5-2-4</w:t>
      </w:r>
      <w:r w:rsidRPr="00F9522B">
        <w:rPr>
          <w:rFonts w:eastAsiaTheme="minorEastAsia"/>
          <w:sz w:val="24"/>
        </w:rPr>
        <w:t>。</w:t>
      </w:r>
    </w:p>
    <w:p w:rsidR="002A5A5E" w:rsidRPr="00F9522B" w:rsidRDefault="00611CBA">
      <w:pPr>
        <w:contextualSpacing/>
        <w:jc w:val="center"/>
        <w:rPr>
          <w:rFonts w:eastAsiaTheme="minorEastAsia"/>
          <w:b/>
          <w:szCs w:val="21"/>
        </w:rPr>
      </w:pPr>
      <w:r w:rsidRPr="00F9522B">
        <w:rPr>
          <w:rFonts w:eastAsiaTheme="minorEastAsia"/>
          <w:b/>
          <w:szCs w:val="21"/>
        </w:rPr>
        <w:t>表</w:t>
      </w:r>
      <w:r w:rsidRPr="00F9522B">
        <w:rPr>
          <w:rFonts w:eastAsiaTheme="minorEastAsia"/>
          <w:b/>
          <w:szCs w:val="21"/>
        </w:rPr>
        <w:t xml:space="preserve">5-2-4 </w:t>
      </w:r>
      <w:r w:rsidRPr="00F9522B">
        <w:rPr>
          <w:rFonts w:eastAsiaTheme="minorEastAsia"/>
          <w:b/>
          <w:szCs w:val="21"/>
        </w:rPr>
        <w:t>地下预测结果</w:t>
      </w:r>
    </w:p>
    <w:tbl>
      <w:tblPr>
        <w:tblW w:w="8296" w:type="dxa"/>
        <w:jc w:val="center"/>
        <w:tblBorders>
          <w:top w:val="single" w:sz="12" w:space="0" w:color="000000"/>
          <w:bottom w:val="single" w:sz="12" w:space="0" w:color="auto"/>
          <w:insideH w:val="single" w:sz="4" w:space="0" w:color="auto"/>
          <w:insideV w:val="single" w:sz="4" w:space="0" w:color="auto"/>
        </w:tblBorders>
        <w:tblCellMar>
          <w:left w:w="28" w:type="dxa"/>
          <w:right w:w="28" w:type="dxa"/>
        </w:tblCellMar>
        <w:tblLook w:val="04A0"/>
      </w:tblPr>
      <w:tblGrid>
        <w:gridCol w:w="1824"/>
        <w:gridCol w:w="2324"/>
        <w:gridCol w:w="1824"/>
        <w:gridCol w:w="2324"/>
      </w:tblGrid>
      <w:tr w:rsidR="002A5A5E" w:rsidRPr="00F9522B" w:rsidTr="00967D9B">
        <w:trPr>
          <w:cantSplit/>
          <w:trHeight w:val="324"/>
          <w:jc w:val="center"/>
        </w:trPr>
        <w:tc>
          <w:tcPr>
            <w:tcW w:w="0" w:type="auto"/>
            <w:gridSpan w:val="4"/>
            <w:vAlign w:val="center"/>
          </w:tcPr>
          <w:p w:rsidR="002A5A5E" w:rsidRPr="00F9522B" w:rsidRDefault="00611CBA">
            <w:pPr>
              <w:pStyle w:val="aff7"/>
              <w:spacing w:line="0" w:lineRule="atLeast"/>
              <w:contextualSpacing/>
              <w:rPr>
                <w:rFonts w:eastAsiaTheme="minorEastAsia" w:hAnsi="Times New Roman"/>
              </w:rPr>
            </w:pPr>
            <w:r w:rsidRPr="00F9522B">
              <w:rPr>
                <w:rFonts w:eastAsiaTheme="minorEastAsia" w:hAnsi="Times New Roman"/>
              </w:rPr>
              <w:t>石油类</w:t>
            </w:r>
          </w:p>
        </w:tc>
      </w:tr>
      <w:tr w:rsidR="002A5A5E" w:rsidRPr="00F9522B" w:rsidTr="00967D9B">
        <w:trPr>
          <w:cantSplit/>
          <w:trHeight w:val="324"/>
          <w:jc w:val="center"/>
        </w:trPr>
        <w:tc>
          <w:tcPr>
            <w:tcW w:w="0" w:type="auto"/>
            <w:gridSpan w:val="2"/>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100</w:t>
            </w:r>
            <w:r w:rsidRPr="00F9522B">
              <w:rPr>
                <w:rFonts w:eastAsiaTheme="minorEastAsia"/>
                <w:szCs w:val="21"/>
              </w:rPr>
              <w:t>天</w:t>
            </w:r>
          </w:p>
        </w:tc>
        <w:tc>
          <w:tcPr>
            <w:tcW w:w="0" w:type="auto"/>
            <w:gridSpan w:val="2"/>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1000</w:t>
            </w:r>
            <w:r w:rsidRPr="00F9522B">
              <w:rPr>
                <w:rFonts w:eastAsiaTheme="minorEastAsia"/>
                <w:szCs w:val="21"/>
              </w:rPr>
              <w:t>天</w:t>
            </w:r>
          </w:p>
        </w:tc>
      </w:tr>
      <w:tr w:rsidR="002A5A5E" w:rsidRPr="00F9522B" w:rsidTr="00967D9B">
        <w:trPr>
          <w:cantSplit/>
          <w:trHeight w:val="309"/>
          <w:jc w:val="center"/>
        </w:trPr>
        <w:tc>
          <w:tcPr>
            <w:tcW w:w="0" w:type="auto"/>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距离（</w:t>
            </w:r>
            <w:r w:rsidRPr="00F9522B">
              <w:rPr>
                <w:rFonts w:eastAsiaTheme="minorEastAsia"/>
                <w:szCs w:val="21"/>
              </w:rPr>
              <w:t>m</w:t>
            </w:r>
            <w:r w:rsidRPr="00F9522B">
              <w:rPr>
                <w:rFonts w:eastAsiaTheme="minorEastAsia"/>
                <w:szCs w:val="21"/>
              </w:rPr>
              <w:t>）</w:t>
            </w:r>
          </w:p>
        </w:tc>
        <w:tc>
          <w:tcPr>
            <w:tcW w:w="0" w:type="auto"/>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浓度（</w:t>
            </w:r>
            <w:r w:rsidRPr="00F9522B">
              <w:rPr>
                <w:rFonts w:eastAsiaTheme="minorEastAsia"/>
                <w:szCs w:val="21"/>
              </w:rPr>
              <w:t>mg/L</w:t>
            </w:r>
            <w:r w:rsidRPr="00F9522B">
              <w:rPr>
                <w:rFonts w:eastAsiaTheme="minorEastAsia"/>
                <w:szCs w:val="21"/>
              </w:rPr>
              <w:t>）</w:t>
            </w:r>
          </w:p>
        </w:tc>
        <w:tc>
          <w:tcPr>
            <w:tcW w:w="0" w:type="auto"/>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距离（</w:t>
            </w:r>
            <w:r w:rsidRPr="00F9522B">
              <w:rPr>
                <w:rFonts w:eastAsiaTheme="minorEastAsia"/>
                <w:szCs w:val="21"/>
              </w:rPr>
              <w:t>m</w:t>
            </w:r>
            <w:r w:rsidRPr="00F9522B">
              <w:rPr>
                <w:rFonts w:eastAsiaTheme="minorEastAsia"/>
                <w:szCs w:val="21"/>
              </w:rPr>
              <w:t>）</w:t>
            </w:r>
          </w:p>
        </w:tc>
        <w:tc>
          <w:tcPr>
            <w:tcW w:w="0" w:type="auto"/>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浓度（</w:t>
            </w:r>
            <w:r w:rsidRPr="00F9522B">
              <w:rPr>
                <w:rFonts w:eastAsiaTheme="minorEastAsia"/>
                <w:szCs w:val="21"/>
              </w:rPr>
              <w:t>mg/L</w:t>
            </w:r>
            <w:r w:rsidRPr="00F9522B">
              <w:rPr>
                <w:rFonts w:eastAsiaTheme="minorEastAsia"/>
                <w:szCs w:val="21"/>
              </w:rPr>
              <w:t>）</w:t>
            </w:r>
          </w:p>
        </w:tc>
      </w:tr>
      <w:tr w:rsidR="002A5A5E" w:rsidRPr="00F9522B" w:rsidTr="00967D9B">
        <w:trPr>
          <w:cantSplit/>
          <w:trHeight w:val="50"/>
          <w:jc w:val="center"/>
        </w:trPr>
        <w:tc>
          <w:tcPr>
            <w:tcW w:w="0" w:type="auto"/>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0</w:t>
            </w:r>
          </w:p>
        </w:tc>
        <w:tc>
          <w:tcPr>
            <w:tcW w:w="0" w:type="auto"/>
            <w:vAlign w:val="center"/>
          </w:tcPr>
          <w:p w:rsidR="002A5A5E" w:rsidRPr="000D2D13" w:rsidRDefault="000D2D13">
            <w:pPr>
              <w:widowControl/>
              <w:spacing w:line="0" w:lineRule="atLeast"/>
              <w:contextualSpacing/>
              <w:jc w:val="center"/>
              <w:textAlignment w:val="center"/>
              <w:rPr>
                <w:rFonts w:eastAsiaTheme="minorEastAsia"/>
                <w:color w:val="FF0000"/>
                <w:kern w:val="0"/>
                <w:szCs w:val="21"/>
              </w:rPr>
            </w:pPr>
            <w:r w:rsidRPr="000D2D13">
              <w:rPr>
                <w:rFonts w:eastAsiaTheme="minorEastAsia" w:hint="eastAsia"/>
                <w:color w:val="FF0000"/>
                <w:kern w:val="0"/>
                <w:szCs w:val="21"/>
              </w:rPr>
              <w:t>367428978</w:t>
            </w:r>
          </w:p>
        </w:tc>
        <w:tc>
          <w:tcPr>
            <w:tcW w:w="0" w:type="auto"/>
            <w:vAlign w:val="center"/>
          </w:tcPr>
          <w:p w:rsidR="002A5A5E" w:rsidRPr="00F9522B" w:rsidRDefault="00611CBA">
            <w:pPr>
              <w:widowControl/>
              <w:spacing w:line="0" w:lineRule="atLeast"/>
              <w:contextualSpacing/>
              <w:jc w:val="center"/>
              <w:textAlignment w:val="center"/>
              <w:rPr>
                <w:rFonts w:eastAsiaTheme="minorEastAsia"/>
                <w:kern w:val="0"/>
                <w:szCs w:val="21"/>
              </w:rPr>
            </w:pPr>
            <w:r w:rsidRPr="00F9522B">
              <w:rPr>
                <w:rFonts w:eastAsiaTheme="minorEastAsia"/>
                <w:kern w:val="0"/>
                <w:szCs w:val="21"/>
              </w:rPr>
              <w:t>0</w:t>
            </w:r>
          </w:p>
        </w:tc>
        <w:tc>
          <w:tcPr>
            <w:tcW w:w="0" w:type="auto"/>
            <w:vAlign w:val="center"/>
          </w:tcPr>
          <w:p w:rsidR="002A5A5E" w:rsidRPr="00783CDA" w:rsidRDefault="00783CDA">
            <w:pPr>
              <w:widowControl/>
              <w:spacing w:line="0" w:lineRule="atLeast"/>
              <w:contextualSpacing/>
              <w:jc w:val="center"/>
              <w:textAlignment w:val="center"/>
              <w:rPr>
                <w:rFonts w:eastAsiaTheme="minorEastAsia"/>
                <w:color w:val="FF0000"/>
                <w:kern w:val="0"/>
                <w:szCs w:val="21"/>
              </w:rPr>
            </w:pPr>
            <w:r w:rsidRPr="00783CDA">
              <w:rPr>
                <w:rFonts w:eastAsiaTheme="minorEastAsia" w:hint="eastAsia"/>
                <w:color w:val="FF0000"/>
                <w:kern w:val="0"/>
                <w:szCs w:val="21"/>
              </w:rPr>
              <w:t>6977827</w:t>
            </w:r>
          </w:p>
        </w:tc>
      </w:tr>
      <w:tr w:rsidR="002A5A5E" w:rsidRPr="00F9522B" w:rsidTr="00967D9B">
        <w:trPr>
          <w:cantSplit/>
          <w:trHeight w:val="255"/>
          <w:jc w:val="center"/>
        </w:trPr>
        <w:tc>
          <w:tcPr>
            <w:tcW w:w="0" w:type="auto"/>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10</w:t>
            </w:r>
          </w:p>
        </w:tc>
        <w:tc>
          <w:tcPr>
            <w:tcW w:w="0" w:type="auto"/>
            <w:vAlign w:val="center"/>
          </w:tcPr>
          <w:p w:rsidR="002A5A5E" w:rsidRPr="000D2D13" w:rsidRDefault="000D2D13">
            <w:pPr>
              <w:widowControl/>
              <w:spacing w:line="0" w:lineRule="atLeast"/>
              <w:contextualSpacing/>
              <w:jc w:val="center"/>
              <w:textAlignment w:val="center"/>
              <w:rPr>
                <w:rFonts w:eastAsiaTheme="minorEastAsia"/>
                <w:color w:val="FF0000"/>
                <w:szCs w:val="21"/>
              </w:rPr>
            </w:pPr>
            <w:r w:rsidRPr="000D2D13">
              <w:rPr>
                <w:rFonts w:eastAsiaTheme="minorEastAsia" w:hint="eastAsia"/>
                <w:color w:val="FF0000"/>
                <w:szCs w:val="21"/>
              </w:rPr>
              <w:t>367428978</w:t>
            </w:r>
          </w:p>
        </w:tc>
        <w:tc>
          <w:tcPr>
            <w:tcW w:w="0" w:type="auto"/>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10</w:t>
            </w:r>
          </w:p>
        </w:tc>
        <w:tc>
          <w:tcPr>
            <w:tcW w:w="0" w:type="auto"/>
            <w:vAlign w:val="center"/>
          </w:tcPr>
          <w:p w:rsidR="002A5A5E" w:rsidRPr="00783CDA" w:rsidRDefault="00783CDA">
            <w:pPr>
              <w:widowControl/>
              <w:spacing w:line="0" w:lineRule="atLeast"/>
              <w:contextualSpacing/>
              <w:jc w:val="center"/>
              <w:textAlignment w:val="center"/>
              <w:rPr>
                <w:rFonts w:eastAsiaTheme="minorEastAsia"/>
                <w:color w:val="FF0000"/>
                <w:szCs w:val="21"/>
              </w:rPr>
            </w:pPr>
            <w:r w:rsidRPr="00783CDA">
              <w:rPr>
                <w:rFonts w:eastAsiaTheme="minorEastAsia" w:hint="eastAsia"/>
                <w:color w:val="FF0000"/>
                <w:szCs w:val="21"/>
              </w:rPr>
              <w:t>21493219</w:t>
            </w:r>
          </w:p>
        </w:tc>
      </w:tr>
      <w:tr w:rsidR="002A5A5E" w:rsidRPr="00F9522B" w:rsidTr="00967D9B">
        <w:trPr>
          <w:cantSplit/>
          <w:trHeight w:val="50"/>
          <w:jc w:val="center"/>
        </w:trPr>
        <w:tc>
          <w:tcPr>
            <w:tcW w:w="0" w:type="auto"/>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20</w:t>
            </w:r>
          </w:p>
        </w:tc>
        <w:tc>
          <w:tcPr>
            <w:tcW w:w="0" w:type="auto"/>
            <w:vAlign w:val="center"/>
          </w:tcPr>
          <w:p w:rsidR="002A5A5E" w:rsidRPr="000D2D13" w:rsidRDefault="000D2D13">
            <w:pPr>
              <w:widowControl/>
              <w:spacing w:line="0" w:lineRule="atLeast"/>
              <w:contextualSpacing/>
              <w:jc w:val="center"/>
              <w:textAlignment w:val="center"/>
              <w:rPr>
                <w:rFonts w:eastAsiaTheme="minorEastAsia"/>
                <w:color w:val="FF0000"/>
                <w:szCs w:val="21"/>
              </w:rPr>
            </w:pPr>
            <w:r w:rsidRPr="000D2D13">
              <w:rPr>
                <w:rFonts w:eastAsiaTheme="minorEastAsia" w:hint="eastAsia"/>
                <w:color w:val="FF0000"/>
                <w:szCs w:val="21"/>
              </w:rPr>
              <w:t>30160407</w:t>
            </w:r>
          </w:p>
        </w:tc>
        <w:tc>
          <w:tcPr>
            <w:tcW w:w="0" w:type="auto"/>
            <w:vAlign w:val="center"/>
          </w:tcPr>
          <w:p w:rsidR="002A5A5E" w:rsidRPr="00F9522B" w:rsidRDefault="00783CDA">
            <w:pPr>
              <w:spacing w:line="0" w:lineRule="atLeast"/>
              <w:contextualSpacing/>
              <w:jc w:val="center"/>
              <w:rPr>
                <w:rFonts w:eastAsiaTheme="minorEastAsia"/>
                <w:szCs w:val="21"/>
              </w:rPr>
            </w:pPr>
            <w:r>
              <w:rPr>
                <w:rFonts w:eastAsiaTheme="minorEastAsia" w:hint="eastAsia"/>
                <w:szCs w:val="21"/>
              </w:rPr>
              <w:t>50</w:t>
            </w:r>
          </w:p>
        </w:tc>
        <w:tc>
          <w:tcPr>
            <w:tcW w:w="0" w:type="auto"/>
            <w:vAlign w:val="center"/>
          </w:tcPr>
          <w:p w:rsidR="002A5A5E" w:rsidRPr="00783CDA" w:rsidRDefault="00783CDA">
            <w:pPr>
              <w:widowControl/>
              <w:spacing w:line="0" w:lineRule="atLeast"/>
              <w:contextualSpacing/>
              <w:jc w:val="center"/>
              <w:textAlignment w:val="center"/>
              <w:rPr>
                <w:rFonts w:eastAsiaTheme="minorEastAsia"/>
                <w:color w:val="FF0000"/>
                <w:szCs w:val="21"/>
              </w:rPr>
            </w:pPr>
            <w:r w:rsidRPr="00783CDA">
              <w:rPr>
                <w:rFonts w:eastAsiaTheme="minorEastAsia" w:hint="eastAsia"/>
                <w:color w:val="FF0000"/>
                <w:szCs w:val="21"/>
              </w:rPr>
              <w:t>158814602</w:t>
            </w:r>
          </w:p>
        </w:tc>
      </w:tr>
      <w:tr w:rsidR="002A5A5E" w:rsidRPr="00F9522B" w:rsidTr="00967D9B">
        <w:trPr>
          <w:cantSplit/>
          <w:trHeight w:val="50"/>
          <w:jc w:val="center"/>
        </w:trPr>
        <w:tc>
          <w:tcPr>
            <w:tcW w:w="0" w:type="auto"/>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30</w:t>
            </w:r>
          </w:p>
        </w:tc>
        <w:tc>
          <w:tcPr>
            <w:tcW w:w="0" w:type="auto"/>
            <w:vAlign w:val="center"/>
          </w:tcPr>
          <w:p w:rsidR="002A5A5E" w:rsidRPr="000D2D13" w:rsidRDefault="000D2D13">
            <w:pPr>
              <w:widowControl/>
              <w:spacing w:line="0" w:lineRule="atLeast"/>
              <w:contextualSpacing/>
              <w:jc w:val="center"/>
              <w:textAlignment w:val="center"/>
              <w:rPr>
                <w:rFonts w:eastAsiaTheme="minorEastAsia"/>
                <w:color w:val="FF0000"/>
                <w:kern w:val="0"/>
                <w:szCs w:val="21"/>
              </w:rPr>
            </w:pPr>
            <w:r w:rsidRPr="000D2D13">
              <w:rPr>
                <w:rFonts w:eastAsiaTheme="minorEastAsia" w:hint="eastAsia"/>
                <w:color w:val="FF0000"/>
                <w:kern w:val="0"/>
                <w:szCs w:val="21"/>
              </w:rPr>
              <w:t>203219</w:t>
            </w:r>
          </w:p>
        </w:tc>
        <w:tc>
          <w:tcPr>
            <w:tcW w:w="0" w:type="auto"/>
            <w:vAlign w:val="center"/>
          </w:tcPr>
          <w:p w:rsidR="002A5A5E" w:rsidRPr="00F9522B" w:rsidRDefault="00783CDA">
            <w:pPr>
              <w:spacing w:line="0" w:lineRule="atLeast"/>
              <w:contextualSpacing/>
              <w:jc w:val="center"/>
              <w:rPr>
                <w:rFonts w:eastAsiaTheme="minorEastAsia"/>
                <w:bCs/>
                <w:szCs w:val="21"/>
              </w:rPr>
            </w:pPr>
            <w:r>
              <w:rPr>
                <w:rFonts w:eastAsiaTheme="minorEastAsia" w:hint="eastAsia"/>
                <w:szCs w:val="21"/>
              </w:rPr>
              <w:t>80</w:t>
            </w:r>
          </w:p>
        </w:tc>
        <w:tc>
          <w:tcPr>
            <w:tcW w:w="0" w:type="auto"/>
            <w:vAlign w:val="center"/>
          </w:tcPr>
          <w:p w:rsidR="002A5A5E" w:rsidRPr="00783CDA" w:rsidRDefault="00783CDA">
            <w:pPr>
              <w:widowControl/>
              <w:spacing w:line="0" w:lineRule="atLeast"/>
              <w:contextualSpacing/>
              <w:jc w:val="center"/>
              <w:textAlignment w:val="center"/>
              <w:rPr>
                <w:rFonts w:eastAsiaTheme="minorEastAsia"/>
                <w:bCs/>
                <w:color w:val="FF0000"/>
                <w:kern w:val="0"/>
                <w:szCs w:val="21"/>
              </w:rPr>
            </w:pPr>
            <w:r w:rsidRPr="00783CDA">
              <w:rPr>
                <w:rFonts w:eastAsiaTheme="minorEastAsia" w:hint="eastAsia"/>
                <w:bCs/>
                <w:color w:val="FF0000"/>
                <w:kern w:val="0"/>
                <w:szCs w:val="21"/>
              </w:rPr>
              <w:t>51559552</w:t>
            </w:r>
          </w:p>
        </w:tc>
      </w:tr>
      <w:tr w:rsidR="002A5A5E" w:rsidRPr="00F9522B" w:rsidTr="00967D9B">
        <w:trPr>
          <w:cantSplit/>
          <w:trHeight w:val="309"/>
          <w:jc w:val="center"/>
        </w:trPr>
        <w:tc>
          <w:tcPr>
            <w:tcW w:w="0" w:type="auto"/>
            <w:vAlign w:val="center"/>
          </w:tcPr>
          <w:p w:rsidR="002A5A5E" w:rsidRPr="00F9522B" w:rsidRDefault="000D2D13">
            <w:pPr>
              <w:spacing w:line="0" w:lineRule="atLeast"/>
              <w:contextualSpacing/>
              <w:jc w:val="center"/>
              <w:rPr>
                <w:rFonts w:eastAsiaTheme="minorEastAsia"/>
                <w:szCs w:val="21"/>
              </w:rPr>
            </w:pPr>
            <w:r>
              <w:rPr>
                <w:rFonts w:eastAsiaTheme="minorEastAsia" w:hint="eastAsia"/>
                <w:szCs w:val="21"/>
              </w:rPr>
              <w:t>40</w:t>
            </w:r>
          </w:p>
        </w:tc>
        <w:tc>
          <w:tcPr>
            <w:tcW w:w="0" w:type="auto"/>
            <w:vAlign w:val="center"/>
          </w:tcPr>
          <w:p w:rsidR="002A5A5E" w:rsidRPr="000D2D13" w:rsidRDefault="000D2D13">
            <w:pPr>
              <w:widowControl/>
              <w:spacing w:line="0" w:lineRule="atLeast"/>
              <w:contextualSpacing/>
              <w:jc w:val="center"/>
              <w:textAlignment w:val="center"/>
              <w:rPr>
                <w:rFonts w:eastAsiaTheme="minorEastAsia"/>
                <w:color w:val="FF0000"/>
                <w:szCs w:val="21"/>
              </w:rPr>
            </w:pPr>
            <w:r w:rsidRPr="000D2D13">
              <w:rPr>
                <w:rFonts w:eastAsiaTheme="minorEastAsia" w:hint="eastAsia"/>
                <w:color w:val="FF0000"/>
                <w:szCs w:val="21"/>
              </w:rPr>
              <w:t>112</w:t>
            </w:r>
          </w:p>
        </w:tc>
        <w:tc>
          <w:tcPr>
            <w:tcW w:w="0" w:type="auto"/>
            <w:vAlign w:val="center"/>
          </w:tcPr>
          <w:p w:rsidR="002A5A5E" w:rsidRPr="00F9522B" w:rsidRDefault="00783CDA">
            <w:pPr>
              <w:spacing w:line="0" w:lineRule="atLeast"/>
              <w:contextualSpacing/>
              <w:jc w:val="center"/>
              <w:rPr>
                <w:rFonts w:eastAsiaTheme="minorEastAsia"/>
                <w:szCs w:val="21"/>
              </w:rPr>
            </w:pPr>
            <w:r>
              <w:rPr>
                <w:rFonts w:eastAsiaTheme="minorEastAsia" w:hint="eastAsia"/>
                <w:szCs w:val="21"/>
              </w:rPr>
              <w:t>100</w:t>
            </w:r>
          </w:p>
        </w:tc>
        <w:tc>
          <w:tcPr>
            <w:tcW w:w="0" w:type="auto"/>
            <w:vAlign w:val="center"/>
          </w:tcPr>
          <w:p w:rsidR="002A5A5E" w:rsidRPr="00783CDA" w:rsidRDefault="00783CDA">
            <w:pPr>
              <w:widowControl/>
              <w:spacing w:line="0" w:lineRule="atLeast"/>
              <w:contextualSpacing/>
              <w:jc w:val="center"/>
              <w:textAlignment w:val="center"/>
              <w:rPr>
                <w:rFonts w:eastAsiaTheme="minorEastAsia"/>
                <w:color w:val="FF0000"/>
                <w:szCs w:val="21"/>
              </w:rPr>
            </w:pPr>
            <w:r w:rsidRPr="00783CDA">
              <w:rPr>
                <w:rFonts w:eastAsiaTheme="minorEastAsia" w:hint="eastAsia"/>
                <w:color w:val="FF0000"/>
                <w:szCs w:val="21"/>
              </w:rPr>
              <w:t>6977827</w:t>
            </w:r>
          </w:p>
        </w:tc>
      </w:tr>
      <w:tr w:rsidR="002A5A5E" w:rsidRPr="00F9522B" w:rsidTr="00967D9B">
        <w:trPr>
          <w:cantSplit/>
          <w:trHeight w:val="309"/>
          <w:jc w:val="center"/>
        </w:trPr>
        <w:tc>
          <w:tcPr>
            <w:tcW w:w="0" w:type="auto"/>
            <w:vAlign w:val="center"/>
          </w:tcPr>
          <w:p w:rsidR="002A5A5E" w:rsidRPr="00783CDA" w:rsidRDefault="00783CDA">
            <w:pPr>
              <w:spacing w:line="0" w:lineRule="atLeast"/>
              <w:contextualSpacing/>
              <w:jc w:val="center"/>
              <w:rPr>
                <w:rFonts w:eastAsiaTheme="minorEastAsia"/>
                <w:szCs w:val="21"/>
              </w:rPr>
            </w:pPr>
            <w:r w:rsidRPr="00783CDA">
              <w:rPr>
                <w:rFonts w:eastAsiaTheme="minorEastAsia" w:hint="eastAsia"/>
                <w:szCs w:val="21"/>
              </w:rPr>
              <w:t>47</w:t>
            </w:r>
          </w:p>
        </w:tc>
        <w:tc>
          <w:tcPr>
            <w:tcW w:w="0" w:type="auto"/>
            <w:vAlign w:val="center"/>
          </w:tcPr>
          <w:p w:rsidR="002A5A5E" w:rsidRPr="00783CDA" w:rsidRDefault="00783CDA">
            <w:pPr>
              <w:widowControl/>
              <w:spacing w:line="0" w:lineRule="atLeast"/>
              <w:contextualSpacing/>
              <w:jc w:val="center"/>
              <w:textAlignment w:val="center"/>
              <w:rPr>
                <w:rFonts w:eastAsiaTheme="minorEastAsia"/>
                <w:color w:val="FF0000"/>
                <w:kern w:val="0"/>
                <w:szCs w:val="21"/>
              </w:rPr>
            </w:pPr>
            <w:r w:rsidRPr="00783CDA">
              <w:rPr>
                <w:rFonts w:eastAsiaTheme="minorEastAsia" w:hint="eastAsia"/>
                <w:color w:val="FF0000"/>
                <w:kern w:val="0"/>
                <w:szCs w:val="21"/>
              </w:rPr>
              <w:t>0.133</w:t>
            </w:r>
          </w:p>
        </w:tc>
        <w:tc>
          <w:tcPr>
            <w:tcW w:w="0" w:type="auto"/>
            <w:vAlign w:val="center"/>
          </w:tcPr>
          <w:p w:rsidR="002A5A5E" w:rsidRPr="00F9522B" w:rsidRDefault="00783CDA">
            <w:pPr>
              <w:spacing w:line="0" w:lineRule="atLeast"/>
              <w:contextualSpacing/>
              <w:jc w:val="center"/>
              <w:rPr>
                <w:rFonts w:eastAsiaTheme="minorEastAsia"/>
                <w:szCs w:val="21"/>
              </w:rPr>
            </w:pPr>
            <w:r>
              <w:rPr>
                <w:rFonts w:eastAsiaTheme="minorEastAsia" w:hint="eastAsia"/>
                <w:szCs w:val="21"/>
              </w:rPr>
              <w:t>150</w:t>
            </w:r>
          </w:p>
        </w:tc>
        <w:tc>
          <w:tcPr>
            <w:tcW w:w="0" w:type="auto"/>
            <w:vAlign w:val="center"/>
          </w:tcPr>
          <w:p w:rsidR="002A5A5E" w:rsidRPr="00783CDA" w:rsidRDefault="00783CDA">
            <w:pPr>
              <w:widowControl/>
              <w:spacing w:line="0" w:lineRule="atLeast"/>
              <w:contextualSpacing/>
              <w:jc w:val="center"/>
              <w:textAlignment w:val="center"/>
              <w:rPr>
                <w:rFonts w:eastAsiaTheme="minorEastAsia"/>
                <w:color w:val="FF0000"/>
                <w:kern w:val="0"/>
                <w:szCs w:val="21"/>
              </w:rPr>
            </w:pPr>
            <w:r w:rsidRPr="00783CDA">
              <w:rPr>
                <w:rFonts w:eastAsiaTheme="minorEastAsia" w:hint="eastAsia"/>
                <w:color w:val="FF0000"/>
                <w:kern w:val="0"/>
                <w:szCs w:val="21"/>
              </w:rPr>
              <w:t>592</w:t>
            </w:r>
          </w:p>
        </w:tc>
      </w:tr>
      <w:tr w:rsidR="002A5A5E" w:rsidRPr="00F9522B" w:rsidTr="00967D9B">
        <w:trPr>
          <w:cantSplit/>
          <w:trHeight w:val="309"/>
          <w:jc w:val="center"/>
        </w:trPr>
        <w:tc>
          <w:tcPr>
            <w:tcW w:w="0" w:type="auto"/>
            <w:vAlign w:val="center"/>
          </w:tcPr>
          <w:p w:rsidR="002A5A5E" w:rsidRPr="00F9522B" w:rsidRDefault="00783CDA">
            <w:pPr>
              <w:spacing w:line="0" w:lineRule="atLeast"/>
              <w:contextualSpacing/>
              <w:jc w:val="center"/>
              <w:rPr>
                <w:rFonts w:eastAsiaTheme="minorEastAsia"/>
                <w:szCs w:val="21"/>
              </w:rPr>
            </w:pPr>
            <w:r>
              <w:rPr>
                <w:rFonts w:eastAsiaTheme="minorEastAsia" w:hint="eastAsia"/>
                <w:szCs w:val="21"/>
              </w:rPr>
              <w:t>48</w:t>
            </w:r>
          </w:p>
        </w:tc>
        <w:tc>
          <w:tcPr>
            <w:tcW w:w="0" w:type="auto"/>
            <w:vAlign w:val="center"/>
          </w:tcPr>
          <w:p w:rsidR="002A5A5E" w:rsidRPr="000D2D13" w:rsidRDefault="00783CDA">
            <w:pPr>
              <w:widowControl/>
              <w:spacing w:line="0" w:lineRule="atLeast"/>
              <w:contextualSpacing/>
              <w:jc w:val="center"/>
              <w:textAlignment w:val="center"/>
              <w:rPr>
                <w:rFonts w:eastAsiaTheme="minorEastAsia"/>
                <w:color w:val="FF0000"/>
                <w:kern w:val="0"/>
                <w:szCs w:val="21"/>
              </w:rPr>
            </w:pPr>
            <w:r>
              <w:rPr>
                <w:rFonts w:eastAsiaTheme="minorEastAsia" w:hint="eastAsia"/>
                <w:color w:val="FF0000"/>
                <w:kern w:val="0"/>
                <w:szCs w:val="21"/>
              </w:rPr>
              <w:t>0.046</w:t>
            </w:r>
          </w:p>
        </w:tc>
        <w:tc>
          <w:tcPr>
            <w:tcW w:w="0" w:type="auto"/>
            <w:vAlign w:val="center"/>
          </w:tcPr>
          <w:p w:rsidR="002A5A5E" w:rsidRPr="00F9522B" w:rsidRDefault="00783CDA">
            <w:pPr>
              <w:spacing w:line="0" w:lineRule="atLeast"/>
              <w:contextualSpacing/>
              <w:jc w:val="center"/>
              <w:rPr>
                <w:rFonts w:eastAsiaTheme="minorEastAsia"/>
                <w:szCs w:val="21"/>
              </w:rPr>
            </w:pPr>
            <w:r>
              <w:rPr>
                <w:rFonts w:eastAsiaTheme="minorEastAsia" w:hint="eastAsia"/>
                <w:szCs w:val="21"/>
              </w:rPr>
              <w:t>182</w:t>
            </w:r>
          </w:p>
        </w:tc>
        <w:tc>
          <w:tcPr>
            <w:tcW w:w="0" w:type="auto"/>
            <w:vAlign w:val="center"/>
          </w:tcPr>
          <w:p w:rsidR="002A5A5E" w:rsidRPr="00783CDA" w:rsidRDefault="00783CDA">
            <w:pPr>
              <w:widowControl/>
              <w:spacing w:line="0" w:lineRule="atLeast"/>
              <w:contextualSpacing/>
              <w:jc w:val="center"/>
              <w:textAlignment w:val="center"/>
              <w:rPr>
                <w:rFonts w:eastAsiaTheme="minorEastAsia"/>
                <w:color w:val="FF0000"/>
                <w:kern w:val="0"/>
                <w:szCs w:val="21"/>
              </w:rPr>
            </w:pPr>
            <w:r w:rsidRPr="00783CDA">
              <w:rPr>
                <w:rFonts w:eastAsiaTheme="minorEastAsia" w:hint="eastAsia"/>
                <w:color w:val="FF0000"/>
                <w:kern w:val="0"/>
                <w:szCs w:val="21"/>
              </w:rPr>
              <w:t>0.055</w:t>
            </w:r>
          </w:p>
        </w:tc>
      </w:tr>
      <w:tr w:rsidR="002A5A5E" w:rsidRPr="00F9522B" w:rsidTr="00967D9B">
        <w:trPr>
          <w:cantSplit/>
          <w:trHeight w:val="309"/>
          <w:jc w:val="center"/>
        </w:trPr>
        <w:tc>
          <w:tcPr>
            <w:tcW w:w="0" w:type="auto"/>
            <w:vAlign w:val="center"/>
          </w:tcPr>
          <w:p w:rsidR="002A5A5E" w:rsidRPr="00F9522B" w:rsidRDefault="000D2D13">
            <w:pPr>
              <w:spacing w:line="0" w:lineRule="atLeast"/>
              <w:contextualSpacing/>
              <w:jc w:val="center"/>
              <w:rPr>
                <w:rFonts w:eastAsiaTheme="minorEastAsia"/>
                <w:szCs w:val="21"/>
              </w:rPr>
            </w:pPr>
            <w:r>
              <w:rPr>
                <w:rFonts w:eastAsiaTheme="minorEastAsia" w:hint="eastAsia"/>
                <w:szCs w:val="21"/>
              </w:rPr>
              <w:t>59</w:t>
            </w:r>
          </w:p>
        </w:tc>
        <w:tc>
          <w:tcPr>
            <w:tcW w:w="0" w:type="auto"/>
            <w:vAlign w:val="center"/>
          </w:tcPr>
          <w:p w:rsidR="002A5A5E" w:rsidRPr="000D2D13" w:rsidRDefault="000D2D13">
            <w:pPr>
              <w:widowControl/>
              <w:spacing w:line="0" w:lineRule="atLeast"/>
              <w:contextualSpacing/>
              <w:jc w:val="center"/>
              <w:textAlignment w:val="center"/>
              <w:rPr>
                <w:rFonts w:eastAsiaTheme="minorEastAsia"/>
                <w:color w:val="FF0000"/>
                <w:kern w:val="0"/>
                <w:szCs w:val="21"/>
              </w:rPr>
            </w:pPr>
            <w:r w:rsidRPr="000D2D13">
              <w:rPr>
                <w:rFonts w:eastAsiaTheme="minorEastAsia" w:hint="eastAsia"/>
                <w:color w:val="FF0000"/>
                <w:szCs w:val="21"/>
              </w:rPr>
              <w:t>1</w:t>
            </w:r>
            <w:r w:rsidRPr="000D2D13">
              <w:rPr>
                <w:rFonts w:eastAsiaTheme="minorEastAsia"/>
                <w:color w:val="FF0000"/>
                <w:szCs w:val="21"/>
              </w:rPr>
              <w:t>E</w:t>
            </w:r>
            <w:r w:rsidRPr="000D2D13">
              <w:rPr>
                <w:rFonts w:eastAsiaTheme="minorEastAsia" w:hint="eastAsia"/>
                <w:color w:val="FF0000"/>
                <w:szCs w:val="21"/>
              </w:rPr>
              <w:t>-07</w:t>
            </w:r>
          </w:p>
        </w:tc>
        <w:tc>
          <w:tcPr>
            <w:tcW w:w="0" w:type="auto"/>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18</w:t>
            </w:r>
            <w:r w:rsidR="00783CDA">
              <w:rPr>
                <w:rFonts w:eastAsiaTheme="minorEastAsia" w:hint="eastAsia"/>
                <w:szCs w:val="21"/>
              </w:rPr>
              <w:t>3</w:t>
            </w:r>
          </w:p>
        </w:tc>
        <w:tc>
          <w:tcPr>
            <w:tcW w:w="0" w:type="auto"/>
            <w:vAlign w:val="center"/>
          </w:tcPr>
          <w:p w:rsidR="002A5A5E" w:rsidRPr="00783CDA" w:rsidRDefault="00783CDA">
            <w:pPr>
              <w:widowControl/>
              <w:spacing w:line="0" w:lineRule="atLeast"/>
              <w:contextualSpacing/>
              <w:jc w:val="center"/>
              <w:textAlignment w:val="center"/>
              <w:rPr>
                <w:rFonts w:eastAsiaTheme="minorEastAsia"/>
                <w:color w:val="FF0000"/>
                <w:kern w:val="0"/>
                <w:szCs w:val="21"/>
              </w:rPr>
            </w:pPr>
            <w:r w:rsidRPr="00783CDA">
              <w:rPr>
                <w:rFonts w:eastAsiaTheme="minorEastAsia" w:hint="eastAsia"/>
                <w:color w:val="FF0000"/>
                <w:kern w:val="0"/>
                <w:szCs w:val="21"/>
              </w:rPr>
              <w:t>0.04</w:t>
            </w:r>
          </w:p>
        </w:tc>
      </w:tr>
      <w:tr w:rsidR="002A5A5E" w:rsidRPr="00F9522B" w:rsidTr="00967D9B">
        <w:trPr>
          <w:cantSplit/>
          <w:trHeight w:val="309"/>
          <w:jc w:val="center"/>
        </w:trPr>
        <w:tc>
          <w:tcPr>
            <w:tcW w:w="0" w:type="auto"/>
            <w:vAlign w:val="center"/>
          </w:tcPr>
          <w:p w:rsidR="002A5A5E" w:rsidRPr="00F9522B" w:rsidRDefault="000D2D13">
            <w:pPr>
              <w:spacing w:line="0" w:lineRule="atLeast"/>
              <w:contextualSpacing/>
              <w:jc w:val="center"/>
              <w:rPr>
                <w:rFonts w:eastAsiaTheme="minorEastAsia"/>
                <w:szCs w:val="21"/>
              </w:rPr>
            </w:pPr>
            <w:r>
              <w:rPr>
                <w:rFonts w:eastAsiaTheme="minorEastAsia" w:hint="eastAsia"/>
                <w:szCs w:val="21"/>
              </w:rPr>
              <w:t>60</w:t>
            </w:r>
          </w:p>
        </w:tc>
        <w:tc>
          <w:tcPr>
            <w:tcW w:w="0" w:type="auto"/>
            <w:vAlign w:val="center"/>
          </w:tcPr>
          <w:p w:rsidR="002A5A5E" w:rsidRPr="000D2D13" w:rsidRDefault="00611CBA">
            <w:pPr>
              <w:widowControl/>
              <w:spacing w:line="0" w:lineRule="atLeast"/>
              <w:contextualSpacing/>
              <w:jc w:val="center"/>
              <w:textAlignment w:val="center"/>
              <w:rPr>
                <w:rFonts w:eastAsiaTheme="minorEastAsia"/>
                <w:color w:val="FF0000"/>
                <w:kern w:val="0"/>
                <w:szCs w:val="21"/>
              </w:rPr>
            </w:pPr>
            <w:r w:rsidRPr="000D2D13">
              <w:rPr>
                <w:rFonts w:eastAsiaTheme="minorEastAsia"/>
                <w:color w:val="FF0000"/>
                <w:kern w:val="0"/>
                <w:szCs w:val="21"/>
              </w:rPr>
              <w:t>0</w:t>
            </w:r>
          </w:p>
        </w:tc>
        <w:tc>
          <w:tcPr>
            <w:tcW w:w="0" w:type="auto"/>
            <w:vAlign w:val="center"/>
          </w:tcPr>
          <w:p w:rsidR="002A5A5E" w:rsidRPr="00F9522B" w:rsidRDefault="00783CDA">
            <w:pPr>
              <w:spacing w:line="0" w:lineRule="atLeast"/>
              <w:contextualSpacing/>
              <w:jc w:val="center"/>
              <w:rPr>
                <w:rFonts w:eastAsiaTheme="minorEastAsia"/>
                <w:szCs w:val="21"/>
              </w:rPr>
            </w:pPr>
            <w:r>
              <w:rPr>
                <w:rFonts w:eastAsiaTheme="minorEastAsia" w:hint="eastAsia"/>
                <w:szCs w:val="21"/>
              </w:rPr>
              <w:t>218</w:t>
            </w:r>
          </w:p>
        </w:tc>
        <w:tc>
          <w:tcPr>
            <w:tcW w:w="0" w:type="auto"/>
            <w:vAlign w:val="center"/>
          </w:tcPr>
          <w:p w:rsidR="002A5A5E" w:rsidRPr="00783CDA" w:rsidRDefault="00783CDA">
            <w:pPr>
              <w:widowControl/>
              <w:spacing w:line="0" w:lineRule="atLeast"/>
              <w:contextualSpacing/>
              <w:jc w:val="center"/>
              <w:textAlignment w:val="center"/>
              <w:rPr>
                <w:rFonts w:eastAsiaTheme="minorEastAsia"/>
                <w:color w:val="FF0000"/>
                <w:kern w:val="0"/>
                <w:szCs w:val="21"/>
              </w:rPr>
            </w:pPr>
            <w:r w:rsidRPr="00783CDA">
              <w:rPr>
                <w:rFonts w:eastAsiaTheme="minorEastAsia" w:hint="eastAsia"/>
                <w:color w:val="FF0000"/>
                <w:szCs w:val="21"/>
              </w:rPr>
              <w:t>1</w:t>
            </w:r>
            <w:r w:rsidRPr="00783CDA">
              <w:rPr>
                <w:rFonts w:eastAsiaTheme="minorEastAsia"/>
                <w:color w:val="FF0000"/>
                <w:szCs w:val="21"/>
              </w:rPr>
              <w:t>E</w:t>
            </w:r>
            <w:r w:rsidRPr="00783CDA">
              <w:rPr>
                <w:rFonts w:eastAsiaTheme="minorEastAsia" w:hint="eastAsia"/>
                <w:color w:val="FF0000"/>
                <w:szCs w:val="21"/>
              </w:rPr>
              <w:t>-07</w:t>
            </w:r>
          </w:p>
        </w:tc>
      </w:tr>
      <w:tr w:rsidR="002A5A5E" w:rsidRPr="00F9522B" w:rsidTr="00967D9B">
        <w:trPr>
          <w:cantSplit/>
          <w:trHeight w:val="309"/>
          <w:jc w:val="center"/>
        </w:trPr>
        <w:tc>
          <w:tcPr>
            <w:tcW w:w="0" w:type="auto"/>
            <w:vAlign w:val="center"/>
          </w:tcPr>
          <w:p w:rsidR="002A5A5E" w:rsidRPr="00F9522B" w:rsidRDefault="000D2D13" w:rsidP="000D2D13">
            <w:pPr>
              <w:spacing w:line="0" w:lineRule="atLeast"/>
              <w:contextualSpacing/>
              <w:jc w:val="center"/>
              <w:rPr>
                <w:rFonts w:eastAsiaTheme="minorEastAsia"/>
                <w:szCs w:val="21"/>
              </w:rPr>
            </w:pPr>
            <w:r>
              <w:rPr>
                <w:rFonts w:eastAsiaTheme="minorEastAsia" w:hint="eastAsia"/>
                <w:szCs w:val="21"/>
              </w:rPr>
              <w:t>100</w:t>
            </w:r>
          </w:p>
        </w:tc>
        <w:tc>
          <w:tcPr>
            <w:tcW w:w="0" w:type="auto"/>
            <w:vAlign w:val="center"/>
          </w:tcPr>
          <w:p w:rsidR="002A5A5E" w:rsidRPr="000D2D13" w:rsidRDefault="00611CBA">
            <w:pPr>
              <w:widowControl/>
              <w:spacing w:line="0" w:lineRule="atLeast"/>
              <w:contextualSpacing/>
              <w:jc w:val="center"/>
              <w:textAlignment w:val="center"/>
              <w:rPr>
                <w:rFonts w:eastAsiaTheme="minorEastAsia"/>
                <w:color w:val="FF0000"/>
                <w:kern w:val="0"/>
                <w:szCs w:val="21"/>
              </w:rPr>
            </w:pPr>
            <w:r w:rsidRPr="000D2D13">
              <w:rPr>
                <w:rFonts w:eastAsiaTheme="minorEastAsia"/>
                <w:color w:val="FF0000"/>
                <w:kern w:val="0"/>
                <w:szCs w:val="21"/>
              </w:rPr>
              <w:t>0</w:t>
            </w:r>
          </w:p>
        </w:tc>
        <w:tc>
          <w:tcPr>
            <w:tcW w:w="0" w:type="auto"/>
            <w:vAlign w:val="center"/>
          </w:tcPr>
          <w:p w:rsidR="002A5A5E" w:rsidRPr="00F9522B" w:rsidRDefault="00783CDA">
            <w:pPr>
              <w:spacing w:line="0" w:lineRule="atLeast"/>
              <w:contextualSpacing/>
              <w:jc w:val="center"/>
              <w:rPr>
                <w:rFonts w:eastAsiaTheme="minorEastAsia"/>
                <w:szCs w:val="21"/>
              </w:rPr>
            </w:pPr>
            <w:r>
              <w:rPr>
                <w:rFonts w:eastAsiaTheme="minorEastAsia" w:hint="eastAsia"/>
                <w:szCs w:val="21"/>
              </w:rPr>
              <w:t>219</w:t>
            </w:r>
          </w:p>
        </w:tc>
        <w:tc>
          <w:tcPr>
            <w:tcW w:w="0" w:type="auto"/>
            <w:vAlign w:val="center"/>
          </w:tcPr>
          <w:p w:rsidR="002A5A5E" w:rsidRPr="00783CDA" w:rsidRDefault="00783CDA">
            <w:pPr>
              <w:widowControl/>
              <w:spacing w:line="0" w:lineRule="atLeast"/>
              <w:contextualSpacing/>
              <w:jc w:val="center"/>
              <w:textAlignment w:val="center"/>
              <w:rPr>
                <w:rFonts w:eastAsiaTheme="minorEastAsia"/>
                <w:color w:val="FF0000"/>
                <w:kern w:val="0"/>
                <w:szCs w:val="21"/>
              </w:rPr>
            </w:pPr>
            <w:r w:rsidRPr="00783CDA">
              <w:rPr>
                <w:rFonts w:eastAsiaTheme="minorEastAsia" w:hint="eastAsia"/>
                <w:color w:val="FF0000"/>
                <w:kern w:val="0"/>
                <w:szCs w:val="21"/>
              </w:rPr>
              <w:t>0</w:t>
            </w:r>
          </w:p>
        </w:tc>
      </w:tr>
      <w:tr w:rsidR="002A5A5E" w:rsidRPr="00F9522B" w:rsidTr="00967D9B">
        <w:trPr>
          <w:cantSplit/>
          <w:trHeight w:val="309"/>
          <w:jc w:val="center"/>
        </w:trPr>
        <w:tc>
          <w:tcPr>
            <w:tcW w:w="0" w:type="auto"/>
            <w:vAlign w:val="center"/>
          </w:tcPr>
          <w:p w:rsidR="002A5A5E" w:rsidRPr="00F9522B" w:rsidRDefault="000D2D13" w:rsidP="000D2D13">
            <w:pPr>
              <w:spacing w:line="0" w:lineRule="atLeast"/>
              <w:contextualSpacing/>
              <w:jc w:val="center"/>
              <w:rPr>
                <w:rFonts w:eastAsiaTheme="minorEastAsia"/>
                <w:szCs w:val="21"/>
              </w:rPr>
            </w:pPr>
            <w:r>
              <w:rPr>
                <w:rFonts w:eastAsiaTheme="minorEastAsia" w:hint="eastAsia"/>
                <w:szCs w:val="21"/>
              </w:rPr>
              <w:t>120</w:t>
            </w:r>
          </w:p>
        </w:tc>
        <w:tc>
          <w:tcPr>
            <w:tcW w:w="0" w:type="auto"/>
            <w:vAlign w:val="center"/>
          </w:tcPr>
          <w:p w:rsidR="002A5A5E" w:rsidRPr="000D2D13" w:rsidRDefault="00611CBA">
            <w:pPr>
              <w:widowControl/>
              <w:spacing w:line="0" w:lineRule="atLeast"/>
              <w:contextualSpacing/>
              <w:jc w:val="center"/>
              <w:textAlignment w:val="center"/>
              <w:rPr>
                <w:rFonts w:eastAsiaTheme="minorEastAsia"/>
                <w:color w:val="FF0000"/>
                <w:kern w:val="0"/>
                <w:szCs w:val="21"/>
              </w:rPr>
            </w:pPr>
            <w:r w:rsidRPr="000D2D13">
              <w:rPr>
                <w:rFonts w:eastAsiaTheme="minorEastAsia"/>
                <w:color w:val="FF0000"/>
                <w:kern w:val="0"/>
                <w:szCs w:val="21"/>
              </w:rPr>
              <w:t>0</w:t>
            </w:r>
          </w:p>
        </w:tc>
        <w:tc>
          <w:tcPr>
            <w:tcW w:w="0" w:type="auto"/>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1000</w:t>
            </w:r>
          </w:p>
        </w:tc>
        <w:tc>
          <w:tcPr>
            <w:tcW w:w="0" w:type="auto"/>
            <w:vAlign w:val="center"/>
          </w:tcPr>
          <w:p w:rsidR="002A5A5E" w:rsidRPr="00783CDA" w:rsidRDefault="00611CBA">
            <w:pPr>
              <w:widowControl/>
              <w:spacing w:line="0" w:lineRule="atLeast"/>
              <w:contextualSpacing/>
              <w:jc w:val="center"/>
              <w:textAlignment w:val="center"/>
              <w:rPr>
                <w:rFonts w:eastAsiaTheme="minorEastAsia"/>
                <w:color w:val="FF0000"/>
                <w:kern w:val="0"/>
                <w:szCs w:val="21"/>
              </w:rPr>
            </w:pPr>
            <w:r w:rsidRPr="00783CDA">
              <w:rPr>
                <w:rFonts w:eastAsiaTheme="minorEastAsia"/>
                <w:color w:val="FF0000"/>
                <w:kern w:val="0"/>
                <w:szCs w:val="21"/>
              </w:rPr>
              <w:t>0</w:t>
            </w:r>
          </w:p>
        </w:tc>
      </w:tr>
    </w:tbl>
    <w:p w:rsidR="002A5A5E" w:rsidRPr="00F9522B" w:rsidRDefault="00611CBA">
      <w:pPr>
        <w:spacing w:line="360" w:lineRule="auto"/>
        <w:ind w:firstLineChars="200" w:firstLine="480"/>
        <w:contextualSpacing/>
        <w:rPr>
          <w:rFonts w:eastAsiaTheme="minorEastAsia"/>
          <w:kern w:val="0"/>
          <w:sz w:val="24"/>
        </w:rPr>
      </w:pPr>
      <w:r w:rsidRPr="000D2D13">
        <w:rPr>
          <w:rFonts w:eastAsiaTheme="minorEastAsia"/>
          <w:color w:val="FF0000"/>
          <w:kern w:val="0"/>
          <w:sz w:val="24"/>
        </w:rPr>
        <w:t>根据表</w:t>
      </w:r>
      <w:r w:rsidRPr="000D2D13">
        <w:rPr>
          <w:rFonts w:eastAsiaTheme="minorEastAsia"/>
          <w:color w:val="FF0000"/>
          <w:kern w:val="0"/>
          <w:sz w:val="24"/>
        </w:rPr>
        <w:t>5-2-2</w:t>
      </w:r>
      <w:r w:rsidRPr="000D2D13">
        <w:rPr>
          <w:rFonts w:eastAsiaTheme="minorEastAsia"/>
          <w:color w:val="FF0000"/>
          <w:kern w:val="0"/>
          <w:sz w:val="24"/>
        </w:rPr>
        <w:t>可知，本项目发生泄漏情况下，</w:t>
      </w:r>
      <w:r w:rsidRPr="000D2D13">
        <w:rPr>
          <w:rFonts w:eastAsiaTheme="minorEastAsia"/>
          <w:color w:val="FF0000"/>
          <w:sz w:val="24"/>
        </w:rPr>
        <w:t>石油类</w:t>
      </w:r>
      <w:r w:rsidRPr="000D2D13">
        <w:rPr>
          <w:rFonts w:eastAsiaTheme="minorEastAsia"/>
          <w:color w:val="FF0000"/>
          <w:kern w:val="0"/>
          <w:sz w:val="24"/>
        </w:rPr>
        <w:t>：</w:t>
      </w:r>
      <w:r w:rsidRPr="000D2D13">
        <w:rPr>
          <w:rFonts w:eastAsiaTheme="minorEastAsia"/>
          <w:color w:val="FF0000"/>
          <w:kern w:val="0"/>
          <w:sz w:val="24"/>
        </w:rPr>
        <w:t>100d</w:t>
      </w:r>
      <w:r w:rsidRPr="000D2D13">
        <w:rPr>
          <w:rFonts w:eastAsiaTheme="minorEastAsia"/>
          <w:color w:val="FF0000"/>
          <w:kern w:val="0"/>
          <w:sz w:val="24"/>
        </w:rPr>
        <w:t>，在下游</w:t>
      </w:r>
      <w:r w:rsidR="00783CDA">
        <w:rPr>
          <w:rFonts w:eastAsiaTheme="minorEastAsia" w:hint="eastAsia"/>
          <w:color w:val="FF0000"/>
          <w:kern w:val="0"/>
          <w:sz w:val="24"/>
        </w:rPr>
        <w:t>48</w:t>
      </w:r>
      <w:r w:rsidRPr="000D2D13">
        <w:rPr>
          <w:rFonts w:eastAsiaTheme="minorEastAsia"/>
          <w:color w:val="FF0000"/>
          <w:kern w:val="0"/>
          <w:sz w:val="24"/>
        </w:rPr>
        <w:t>m</w:t>
      </w:r>
      <w:r w:rsidRPr="000D2D13">
        <w:rPr>
          <w:rFonts w:eastAsiaTheme="minorEastAsia"/>
          <w:color w:val="FF0000"/>
          <w:kern w:val="0"/>
          <w:sz w:val="24"/>
        </w:rPr>
        <w:t>处达到标准值，影响范围为</w:t>
      </w:r>
      <w:r w:rsidR="000D2D13" w:rsidRPr="000D2D13">
        <w:rPr>
          <w:rFonts w:eastAsiaTheme="minorEastAsia" w:hint="eastAsia"/>
          <w:color w:val="FF0000"/>
          <w:kern w:val="0"/>
          <w:sz w:val="24"/>
        </w:rPr>
        <w:t>59</w:t>
      </w:r>
      <w:r w:rsidRPr="000D2D13">
        <w:rPr>
          <w:rFonts w:eastAsiaTheme="minorEastAsia"/>
          <w:color w:val="FF0000"/>
          <w:kern w:val="0"/>
          <w:sz w:val="24"/>
        </w:rPr>
        <w:t>m</w:t>
      </w:r>
      <w:r w:rsidRPr="000D2D13">
        <w:rPr>
          <w:rFonts w:eastAsiaTheme="minorEastAsia"/>
          <w:color w:val="FF0000"/>
          <w:kern w:val="0"/>
          <w:sz w:val="24"/>
        </w:rPr>
        <w:t>；</w:t>
      </w:r>
      <w:r w:rsidRPr="000D2D13">
        <w:rPr>
          <w:rFonts w:eastAsiaTheme="minorEastAsia"/>
          <w:color w:val="FF0000"/>
          <w:kern w:val="0"/>
          <w:sz w:val="24"/>
        </w:rPr>
        <w:t>1000d</w:t>
      </w:r>
      <w:r w:rsidRPr="000D2D13">
        <w:rPr>
          <w:rFonts w:eastAsiaTheme="minorEastAsia"/>
          <w:color w:val="FF0000"/>
          <w:kern w:val="0"/>
          <w:sz w:val="24"/>
        </w:rPr>
        <w:t>，在下游</w:t>
      </w:r>
      <w:r w:rsidRPr="000D2D13">
        <w:rPr>
          <w:rFonts w:eastAsiaTheme="minorEastAsia"/>
          <w:color w:val="FF0000"/>
          <w:kern w:val="0"/>
          <w:sz w:val="24"/>
        </w:rPr>
        <w:t>18</w:t>
      </w:r>
      <w:r w:rsidR="00783CDA">
        <w:rPr>
          <w:rFonts w:eastAsiaTheme="minorEastAsia" w:hint="eastAsia"/>
          <w:color w:val="FF0000"/>
          <w:kern w:val="0"/>
          <w:sz w:val="24"/>
        </w:rPr>
        <w:t>3</w:t>
      </w:r>
      <w:r w:rsidRPr="000D2D13">
        <w:rPr>
          <w:rFonts w:eastAsiaTheme="minorEastAsia"/>
          <w:color w:val="FF0000"/>
          <w:kern w:val="0"/>
          <w:sz w:val="24"/>
        </w:rPr>
        <w:t>m</w:t>
      </w:r>
      <w:r w:rsidRPr="000D2D13">
        <w:rPr>
          <w:rFonts w:eastAsiaTheme="minorEastAsia"/>
          <w:color w:val="FF0000"/>
          <w:kern w:val="0"/>
          <w:sz w:val="24"/>
        </w:rPr>
        <w:t>处达到标准值，影响范围</w:t>
      </w:r>
      <w:r w:rsidRPr="000D2D13">
        <w:rPr>
          <w:rFonts w:eastAsiaTheme="minorEastAsia"/>
          <w:color w:val="FF0000"/>
          <w:kern w:val="0"/>
          <w:sz w:val="24"/>
        </w:rPr>
        <w:lastRenderedPageBreak/>
        <w:t>为</w:t>
      </w:r>
      <w:r w:rsidR="00783CDA">
        <w:rPr>
          <w:rFonts w:eastAsiaTheme="minorEastAsia" w:hint="eastAsia"/>
          <w:color w:val="FF0000"/>
          <w:kern w:val="0"/>
          <w:sz w:val="24"/>
        </w:rPr>
        <w:t>218</w:t>
      </w:r>
      <w:r w:rsidRPr="000D2D13">
        <w:rPr>
          <w:rFonts w:eastAsiaTheme="minorEastAsia"/>
          <w:color w:val="FF0000"/>
          <w:kern w:val="0"/>
          <w:sz w:val="24"/>
        </w:rPr>
        <w:t>m</w:t>
      </w:r>
      <w:r w:rsidRPr="000D2D13">
        <w:rPr>
          <w:rFonts w:eastAsiaTheme="minorEastAsia"/>
          <w:color w:val="FF0000"/>
          <w:kern w:val="0"/>
          <w:sz w:val="24"/>
        </w:rPr>
        <w:t>。</w:t>
      </w:r>
      <w:r w:rsidRPr="00F9522B">
        <w:rPr>
          <w:rFonts w:eastAsiaTheme="minorEastAsia"/>
          <w:kern w:val="0"/>
          <w:sz w:val="24"/>
        </w:rPr>
        <w:t>石油类执行《地表水环境质量标准》（</w:t>
      </w:r>
      <w:r w:rsidRPr="00F9522B">
        <w:rPr>
          <w:rFonts w:eastAsiaTheme="minorEastAsia"/>
          <w:kern w:val="0"/>
          <w:sz w:val="24"/>
        </w:rPr>
        <w:t>GB3838-2002</w:t>
      </w:r>
      <w:r w:rsidRPr="00F9522B">
        <w:rPr>
          <w:rFonts w:eastAsiaTheme="minorEastAsia"/>
          <w:kern w:val="0"/>
          <w:sz w:val="24"/>
        </w:rPr>
        <w:t>）</w:t>
      </w:r>
      <w:r w:rsidR="005273A1" w:rsidRPr="004B63C1">
        <w:rPr>
          <w:rFonts w:eastAsiaTheme="minorEastAsia"/>
          <w:bCs/>
          <w:sz w:val="24"/>
        </w:rPr>
        <w:fldChar w:fldCharType="begin"/>
      </w:r>
      <w:r w:rsidR="004B63C1" w:rsidRPr="004B63C1">
        <w:rPr>
          <w:rFonts w:eastAsiaTheme="minorEastAsia"/>
          <w:bCs/>
          <w:sz w:val="24"/>
        </w:rPr>
        <w:instrText xml:space="preserve"> </w:instrText>
      </w:r>
      <w:r w:rsidR="004B63C1" w:rsidRPr="004B63C1">
        <w:rPr>
          <w:rFonts w:eastAsiaTheme="minorEastAsia" w:hint="eastAsia"/>
          <w:bCs/>
          <w:sz w:val="24"/>
        </w:rPr>
        <w:instrText>= 2 \* ROMAN</w:instrText>
      </w:r>
      <w:r w:rsidR="004B63C1" w:rsidRPr="004B63C1">
        <w:rPr>
          <w:rFonts w:eastAsiaTheme="minorEastAsia"/>
          <w:bCs/>
          <w:sz w:val="24"/>
        </w:rPr>
        <w:instrText xml:space="preserve"> </w:instrText>
      </w:r>
      <w:r w:rsidR="005273A1" w:rsidRPr="004B63C1">
        <w:rPr>
          <w:rFonts w:eastAsiaTheme="minorEastAsia"/>
          <w:bCs/>
          <w:sz w:val="24"/>
        </w:rPr>
        <w:fldChar w:fldCharType="separate"/>
      </w:r>
      <w:r w:rsidR="004B63C1" w:rsidRPr="004B63C1">
        <w:rPr>
          <w:rFonts w:eastAsiaTheme="minorEastAsia"/>
          <w:bCs/>
          <w:sz w:val="24"/>
        </w:rPr>
        <w:t>II</w:t>
      </w:r>
      <w:r w:rsidR="005273A1" w:rsidRPr="004B63C1">
        <w:rPr>
          <w:rFonts w:eastAsiaTheme="minorEastAsia"/>
          <w:bCs/>
          <w:sz w:val="24"/>
        </w:rPr>
        <w:fldChar w:fldCharType="end"/>
      </w:r>
      <w:r w:rsidRPr="00F9522B">
        <w:rPr>
          <w:rFonts w:eastAsiaTheme="minorEastAsia"/>
          <w:kern w:val="0"/>
          <w:sz w:val="24"/>
        </w:rPr>
        <w:t>类标准（</w:t>
      </w:r>
      <w:r w:rsidRPr="00F9522B">
        <w:rPr>
          <w:rFonts w:eastAsiaTheme="minorEastAsia"/>
          <w:kern w:val="0"/>
          <w:sz w:val="24"/>
        </w:rPr>
        <w:t>≤0.05</w:t>
      </w:r>
      <w:r w:rsidRPr="00F9522B">
        <w:rPr>
          <w:rFonts w:eastAsiaTheme="minorEastAsia"/>
          <w:szCs w:val="21"/>
        </w:rPr>
        <w:t>mg/L</w:t>
      </w:r>
      <w:r w:rsidRPr="00F9522B">
        <w:rPr>
          <w:rFonts w:eastAsiaTheme="minorEastAsia"/>
          <w:kern w:val="0"/>
          <w:sz w:val="24"/>
        </w:rPr>
        <w:t>）。在此范围内无地下水保护目标，事故造成部分区域浅层地下水污染。所以非正常工况下，污水渗漏不会对地下水流向下游居民点地下饮用水造成影响。项目建设对区域地下水环境影响较小。</w:t>
      </w:r>
    </w:p>
    <w:p w:rsidR="002A5A5E" w:rsidRPr="00F9522B" w:rsidRDefault="000D2D13">
      <w:pPr>
        <w:spacing w:line="360" w:lineRule="auto"/>
        <w:jc w:val="center"/>
        <w:rPr>
          <w:rFonts w:eastAsiaTheme="minorEastAsia"/>
          <w:snapToGrid w:val="0"/>
          <w:kern w:val="0"/>
          <w:sz w:val="24"/>
        </w:rPr>
      </w:pPr>
      <w:r>
        <w:rPr>
          <w:rFonts w:eastAsiaTheme="minorEastAsia"/>
          <w:noProof/>
          <w:kern w:val="0"/>
          <w:sz w:val="24"/>
        </w:rPr>
        <w:drawing>
          <wp:inline distT="0" distB="0" distL="0" distR="0">
            <wp:extent cx="4708525" cy="2620645"/>
            <wp:effectExtent l="19050" t="19050" r="15875" b="27305"/>
            <wp:docPr id="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5"/>
                    <a:srcRect/>
                    <a:stretch>
                      <a:fillRect/>
                    </a:stretch>
                  </pic:blipFill>
                  <pic:spPr bwMode="auto">
                    <a:xfrm>
                      <a:off x="0" y="0"/>
                      <a:ext cx="4708525" cy="2620645"/>
                    </a:xfrm>
                    <a:prstGeom prst="rect">
                      <a:avLst/>
                    </a:prstGeom>
                    <a:noFill/>
                    <a:ln w="9525">
                      <a:solidFill>
                        <a:schemeClr val="tx1"/>
                      </a:solidFill>
                      <a:miter lim="800000"/>
                      <a:headEnd/>
                      <a:tailEnd/>
                    </a:ln>
                  </pic:spPr>
                </pic:pic>
              </a:graphicData>
            </a:graphic>
          </wp:inline>
        </w:drawing>
      </w:r>
    </w:p>
    <w:p w:rsidR="002A5A5E" w:rsidRPr="004B63C1" w:rsidRDefault="00611CBA">
      <w:pPr>
        <w:contextualSpacing/>
        <w:jc w:val="center"/>
        <w:rPr>
          <w:rFonts w:eastAsiaTheme="minorEastAsia"/>
          <w:b/>
          <w:color w:val="FF0000"/>
          <w:szCs w:val="21"/>
        </w:rPr>
      </w:pPr>
      <w:r w:rsidRPr="004B63C1">
        <w:rPr>
          <w:rFonts w:eastAsiaTheme="minorEastAsia"/>
          <w:b/>
          <w:color w:val="FF0000"/>
          <w:szCs w:val="21"/>
        </w:rPr>
        <w:t>图</w:t>
      </w:r>
      <w:r w:rsidRPr="004B63C1">
        <w:rPr>
          <w:rFonts w:eastAsiaTheme="minorEastAsia"/>
          <w:b/>
          <w:color w:val="FF0000"/>
          <w:szCs w:val="21"/>
        </w:rPr>
        <w:t>5-2-2 100</w:t>
      </w:r>
      <w:r w:rsidRPr="004B63C1">
        <w:rPr>
          <w:rFonts w:eastAsiaTheme="minorEastAsia"/>
          <w:b/>
          <w:color w:val="FF0000"/>
          <w:szCs w:val="21"/>
        </w:rPr>
        <w:t>天石油类预测结果图</w:t>
      </w:r>
    </w:p>
    <w:p w:rsidR="002A5A5E" w:rsidRPr="00F9522B" w:rsidRDefault="000D2D13">
      <w:pPr>
        <w:spacing w:line="360" w:lineRule="auto"/>
        <w:jc w:val="center"/>
        <w:rPr>
          <w:rFonts w:eastAsiaTheme="minorEastAsia"/>
          <w:snapToGrid w:val="0"/>
          <w:kern w:val="0"/>
          <w:sz w:val="24"/>
        </w:rPr>
      </w:pPr>
      <w:r>
        <w:rPr>
          <w:rFonts w:eastAsiaTheme="minorEastAsia"/>
          <w:noProof/>
          <w:kern w:val="0"/>
          <w:sz w:val="24"/>
        </w:rPr>
        <w:drawing>
          <wp:inline distT="0" distB="0" distL="0" distR="0">
            <wp:extent cx="4710430" cy="2637155"/>
            <wp:effectExtent l="19050" t="19050" r="13970" b="10795"/>
            <wp:docPr id="4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6"/>
                    <a:srcRect/>
                    <a:stretch>
                      <a:fillRect/>
                    </a:stretch>
                  </pic:blipFill>
                  <pic:spPr bwMode="auto">
                    <a:xfrm>
                      <a:off x="0" y="0"/>
                      <a:ext cx="4710430" cy="2637155"/>
                    </a:xfrm>
                    <a:prstGeom prst="rect">
                      <a:avLst/>
                    </a:prstGeom>
                    <a:noFill/>
                    <a:ln w="9525">
                      <a:solidFill>
                        <a:schemeClr val="tx1"/>
                      </a:solidFill>
                      <a:miter lim="800000"/>
                      <a:headEnd/>
                      <a:tailEnd/>
                    </a:ln>
                  </pic:spPr>
                </pic:pic>
              </a:graphicData>
            </a:graphic>
          </wp:inline>
        </w:drawing>
      </w:r>
    </w:p>
    <w:p w:rsidR="002A5A5E" w:rsidRPr="000D2D13" w:rsidRDefault="00611CBA">
      <w:pPr>
        <w:contextualSpacing/>
        <w:jc w:val="center"/>
        <w:rPr>
          <w:rFonts w:eastAsiaTheme="minorEastAsia"/>
          <w:b/>
          <w:color w:val="FF0000"/>
          <w:szCs w:val="21"/>
        </w:rPr>
      </w:pPr>
      <w:r w:rsidRPr="000D2D13">
        <w:rPr>
          <w:rFonts w:eastAsiaTheme="minorEastAsia"/>
          <w:b/>
          <w:color w:val="FF0000"/>
          <w:szCs w:val="21"/>
        </w:rPr>
        <w:t>图</w:t>
      </w:r>
      <w:r w:rsidRPr="000D2D13">
        <w:rPr>
          <w:rFonts w:eastAsiaTheme="minorEastAsia"/>
          <w:b/>
          <w:color w:val="FF0000"/>
          <w:szCs w:val="21"/>
        </w:rPr>
        <w:t>5-2-3 1000</w:t>
      </w:r>
      <w:r w:rsidRPr="000D2D13">
        <w:rPr>
          <w:rFonts w:eastAsiaTheme="minorEastAsia"/>
          <w:b/>
          <w:color w:val="FF0000"/>
          <w:szCs w:val="21"/>
        </w:rPr>
        <w:t>天石油类预测结果图</w:t>
      </w:r>
    </w:p>
    <w:p w:rsidR="002A5A5E" w:rsidRPr="00F9522B" w:rsidRDefault="00611CBA">
      <w:pPr>
        <w:keepNext/>
        <w:keepLines/>
        <w:spacing w:before="100" w:beforeAutospacing="1" w:after="100" w:afterAutospacing="1"/>
        <w:outlineLvl w:val="2"/>
        <w:rPr>
          <w:rFonts w:eastAsiaTheme="minorEastAsia"/>
          <w:b/>
          <w:sz w:val="28"/>
          <w:szCs w:val="28"/>
        </w:rPr>
      </w:pPr>
      <w:r w:rsidRPr="00F9522B">
        <w:rPr>
          <w:rFonts w:eastAsiaTheme="minorEastAsia"/>
          <w:b/>
          <w:sz w:val="28"/>
          <w:szCs w:val="28"/>
        </w:rPr>
        <w:t>5.2.3</w:t>
      </w:r>
      <w:r w:rsidRPr="00F9522B">
        <w:rPr>
          <w:rFonts w:eastAsiaTheme="minorEastAsia"/>
          <w:b/>
          <w:sz w:val="28"/>
          <w:szCs w:val="28"/>
        </w:rPr>
        <w:t>声环境影响预测与分析</w:t>
      </w:r>
    </w:p>
    <w:p w:rsidR="002A5A5E" w:rsidRPr="00F9522B" w:rsidRDefault="00611CBA">
      <w:pPr>
        <w:autoSpaceDE w:val="0"/>
        <w:autoSpaceDN w:val="0"/>
        <w:spacing w:before="100" w:beforeAutospacing="1" w:after="100" w:afterAutospacing="1"/>
        <w:outlineLvl w:val="3"/>
        <w:rPr>
          <w:rFonts w:eastAsiaTheme="minorEastAsia"/>
          <w:b/>
          <w:sz w:val="24"/>
        </w:rPr>
      </w:pPr>
      <w:r w:rsidRPr="00F9522B">
        <w:rPr>
          <w:rFonts w:eastAsiaTheme="minorEastAsia"/>
          <w:b/>
          <w:sz w:val="24"/>
        </w:rPr>
        <w:t>5.2.3.1</w:t>
      </w:r>
      <w:r w:rsidRPr="00F9522B">
        <w:rPr>
          <w:rFonts w:eastAsiaTheme="minorEastAsia"/>
          <w:b/>
          <w:sz w:val="24"/>
        </w:rPr>
        <w:t>主要噪声源</w:t>
      </w:r>
      <w:r w:rsidRPr="00F9522B">
        <w:rPr>
          <w:rFonts w:eastAsiaTheme="minorEastAsia"/>
          <w:b/>
          <w:sz w:val="24"/>
        </w:rPr>
        <w:t xml:space="preserve"> </w:t>
      </w:r>
    </w:p>
    <w:p w:rsidR="002A5A5E" w:rsidRPr="00F9522B" w:rsidRDefault="00611CBA">
      <w:pPr>
        <w:pStyle w:val="afffffffff3"/>
        <w:spacing w:line="360" w:lineRule="auto"/>
        <w:ind w:firstLineChars="200" w:firstLine="480"/>
        <w:textAlignment w:val="center"/>
        <w:rPr>
          <w:rFonts w:eastAsiaTheme="minorEastAsia"/>
          <w:sz w:val="24"/>
        </w:rPr>
      </w:pPr>
      <w:r w:rsidRPr="00F9522B">
        <w:rPr>
          <w:rFonts w:eastAsiaTheme="minorEastAsia"/>
          <w:sz w:val="24"/>
          <w:szCs w:val="24"/>
        </w:rPr>
        <w:t>本项目运营期道路行驶车辆主要为农用机械，只是农忙季节的出入频繁，较项目建设前，车流量变化不大，区域受交通噪声影响的程度变化不大，</w:t>
      </w:r>
      <w:r w:rsidRPr="00F9522B">
        <w:rPr>
          <w:rFonts w:eastAsiaTheme="minorEastAsia"/>
          <w:sz w:val="24"/>
        </w:rPr>
        <w:t>临近敏感</w:t>
      </w:r>
      <w:r w:rsidRPr="00F9522B">
        <w:rPr>
          <w:rFonts w:eastAsiaTheme="minorEastAsia"/>
          <w:sz w:val="24"/>
        </w:rPr>
        <w:lastRenderedPageBreak/>
        <w:t>目标的道路处设置限速、禁鸣标识，能够有效降低机动车辆产生的噪声。</w:t>
      </w:r>
    </w:p>
    <w:p w:rsidR="002A5A5E" w:rsidRPr="00F9522B" w:rsidRDefault="00611CBA">
      <w:pPr>
        <w:pStyle w:val="afffffffff3"/>
        <w:spacing w:line="360" w:lineRule="auto"/>
        <w:ind w:firstLineChars="200" w:firstLine="480"/>
        <w:textAlignment w:val="center"/>
        <w:rPr>
          <w:rFonts w:eastAsiaTheme="minorEastAsia"/>
          <w:sz w:val="24"/>
          <w:szCs w:val="24"/>
        </w:rPr>
      </w:pPr>
      <w:r w:rsidRPr="00F9522B">
        <w:rPr>
          <w:rFonts w:eastAsiaTheme="minorEastAsia"/>
          <w:sz w:val="24"/>
          <w:szCs w:val="24"/>
        </w:rPr>
        <w:t>本项目运营期排水沟仅在降水无法排出情况下采用柴油机移动泵车进行排水，柴油机移动泵车及文丘里施肥机使用时间较短，且布局在耕地内，远离居民。变压器基础减振，产生影响较小。</w:t>
      </w:r>
    </w:p>
    <w:p w:rsidR="002A5A5E" w:rsidRPr="00F9522B" w:rsidRDefault="00611CBA">
      <w:pPr>
        <w:pStyle w:val="afffffffff3"/>
        <w:spacing w:line="360" w:lineRule="auto"/>
        <w:ind w:firstLineChars="200" w:firstLine="480"/>
        <w:textAlignment w:val="center"/>
        <w:rPr>
          <w:rFonts w:eastAsiaTheme="minorEastAsia"/>
          <w:sz w:val="24"/>
          <w:szCs w:val="24"/>
        </w:rPr>
      </w:pPr>
      <w:r w:rsidRPr="00F9522B">
        <w:rPr>
          <w:rFonts w:eastAsiaTheme="minorEastAsia"/>
          <w:sz w:val="24"/>
          <w:szCs w:val="24"/>
        </w:rPr>
        <w:t>故运营期主要噪声影响为灌溉井内泵类、</w:t>
      </w:r>
      <w:r w:rsidR="00A4540D" w:rsidRPr="00F9522B">
        <w:rPr>
          <w:rFonts w:eastAsiaTheme="minorEastAsia"/>
          <w:sz w:val="24"/>
          <w:szCs w:val="24"/>
        </w:rPr>
        <w:t>水肥一体化设备</w:t>
      </w:r>
      <w:r w:rsidRPr="00F9522B">
        <w:rPr>
          <w:rFonts w:eastAsiaTheme="minorEastAsia"/>
          <w:sz w:val="24"/>
          <w:szCs w:val="24"/>
        </w:rPr>
        <w:t>、文丘里施肥机噪声影响。潜水泵、</w:t>
      </w:r>
      <w:r w:rsidR="00A4540D" w:rsidRPr="00F9522B">
        <w:rPr>
          <w:rFonts w:eastAsiaTheme="minorEastAsia"/>
          <w:sz w:val="24"/>
          <w:szCs w:val="24"/>
        </w:rPr>
        <w:t>水肥一体化设备</w:t>
      </w:r>
      <w:r w:rsidRPr="00F9522B">
        <w:rPr>
          <w:rFonts w:eastAsiaTheme="minorEastAsia"/>
          <w:sz w:val="24"/>
          <w:szCs w:val="24"/>
        </w:rPr>
        <w:t>位于井房内，潜水泵位于地下，潜水泵、</w:t>
      </w:r>
      <w:r w:rsidR="00A4540D" w:rsidRPr="00F9522B">
        <w:rPr>
          <w:rFonts w:eastAsiaTheme="minorEastAsia"/>
          <w:sz w:val="24"/>
          <w:szCs w:val="24"/>
        </w:rPr>
        <w:t>水肥一体化设备</w:t>
      </w:r>
      <w:r w:rsidRPr="00F9522B">
        <w:rPr>
          <w:rFonts w:eastAsiaTheme="minorEastAsia"/>
          <w:sz w:val="24"/>
          <w:szCs w:val="24"/>
        </w:rPr>
        <w:t>采取减振措施，项目灌溉为间歇灌溉，且有抗旱作用，对周围居民影响可接受。因此本次运营期针对使用频繁的灌溉井泵类、</w:t>
      </w:r>
      <w:r w:rsidR="00A4540D" w:rsidRPr="00F9522B">
        <w:rPr>
          <w:rFonts w:eastAsiaTheme="minorEastAsia"/>
          <w:sz w:val="24"/>
          <w:szCs w:val="24"/>
        </w:rPr>
        <w:t>水肥一体化设备</w:t>
      </w:r>
      <w:r w:rsidRPr="00F9522B">
        <w:rPr>
          <w:rFonts w:eastAsiaTheme="minorEastAsia"/>
          <w:sz w:val="24"/>
          <w:szCs w:val="24"/>
        </w:rPr>
        <w:t>对周围声环境的影响进行预测，泵类声压级为</w:t>
      </w:r>
      <w:r w:rsidRPr="00F9522B">
        <w:rPr>
          <w:rFonts w:eastAsiaTheme="minorEastAsia"/>
          <w:sz w:val="24"/>
          <w:szCs w:val="24"/>
        </w:rPr>
        <w:t>70dB</w:t>
      </w:r>
      <w:r w:rsidRPr="00F9522B">
        <w:rPr>
          <w:rFonts w:eastAsiaTheme="minorEastAsia"/>
          <w:sz w:val="24"/>
          <w:szCs w:val="24"/>
        </w:rPr>
        <w:t>（</w:t>
      </w:r>
      <w:r w:rsidRPr="00F9522B">
        <w:rPr>
          <w:rFonts w:eastAsiaTheme="minorEastAsia"/>
          <w:sz w:val="24"/>
          <w:szCs w:val="24"/>
        </w:rPr>
        <w:t>A</w:t>
      </w:r>
      <w:r w:rsidRPr="00F9522B">
        <w:rPr>
          <w:rFonts w:eastAsiaTheme="minorEastAsia"/>
          <w:sz w:val="24"/>
          <w:szCs w:val="24"/>
        </w:rPr>
        <w:t>）。</w:t>
      </w:r>
    </w:p>
    <w:p w:rsidR="002A5A5E" w:rsidRPr="00F9522B" w:rsidRDefault="00611CBA">
      <w:pPr>
        <w:autoSpaceDE w:val="0"/>
        <w:autoSpaceDN w:val="0"/>
        <w:spacing w:before="100" w:beforeAutospacing="1" w:after="100" w:afterAutospacing="1"/>
        <w:outlineLvl w:val="3"/>
        <w:rPr>
          <w:rFonts w:eastAsiaTheme="minorEastAsia"/>
          <w:b/>
          <w:sz w:val="24"/>
        </w:rPr>
      </w:pPr>
      <w:r w:rsidRPr="00F9522B">
        <w:rPr>
          <w:rFonts w:eastAsiaTheme="minorEastAsia"/>
          <w:b/>
          <w:sz w:val="24"/>
        </w:rPr>
        <w:t>5.2.3.2</w:t>
      </w:r>
      <w:r w:rsidRPr="00F9522B">
        <w:rPr>
          <w:rFonts w:eastAsiaTheme="minorEastAsia"/>
          <w:b/>
          <w:sz w:val="24"/>
        </w:rPr>
        <w:t>预测模式</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w:t>
      </w:r>
      <w:r w:rsidRPr="00F9522B">
        <w:rPr>
          <w:rFonts w:eastAsiaTheme="minorEastAsia"/>
          <w:kern w:val="0"/>
          <w:sz w:val="24"/>
        </w:rPr>
        <w:t>1</w:t>
      </w:r>
      <w:r w:rsidRPr="00F9522B">
        <w:rPr>
          <w:rFonts w:eastAsiaTheme="minorEastAsia"/>
          <w:kern w:val="0"/>
          <w:sz w:val="24"/>
        </w:rPr>
        <w:t>）由建设项目自身声源在预测点产生的声级计算公式：</w:t>
      </w:r>
    </w:p>
    <w:p w:rsidR="002A5A5E" w:rsidRPr="00F9522B" w:rsidRDefault="00611CBA">
      <w:pPr>
        <w:spacing w:line="360" w:lineRule="auto"/>
        <w:ind w:firstLineChars="200" w:firstLine="480"/>
        <w:jc w:val="center"/>
        <w:rPr>
          <w:rFonts w:eastAsiaTheme="minorEastAsia"/>
          <w:kern w:val="0"/>
          <w:sz w:val="24"/>
        </w:rPr>
      </w:pPr>
      <w:r w:rsidRPr="00F9522B">
        <w:rPr>
          <w:rFonts w:eastAsiaTheme="minorEastAsia"/>
          <w:noProof/>
          <w:kern w:val="0"/>
          <w:sz w:val="24"/>
        </w:rPr>
        <w:drawing>
          <wp:inline distT="0" distB="0" distL="0" distR="0">
            <wp:extent cx="1838325" cy="466725"/>
            <wp:effectExtent l="0" t="0" r="0" b="0"/>
            <wp:docPr id="242"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61"/>
                    <pic:cNvPicPr>
                      <a:picLocks noChangeAspect="1" noChangeArrowheads="1"/>
                    </pic:cNvPicPr>
                  </pic:nvPicPr>
                  <pic:blipFill>
                    <a:blip r:embed="rId107"/>
                    <a:srcRect/>
                    <a:stretch>
                      <a:fillRect/>
                    </a:stretch>
                  </pic:blipFill>
                  <pic:spPr>
                    <a:xfrm>
                      <a:off x="0" y="0"/>
                      <a:ext cx="1838325" cy="466725"/>
                    </a:xfrm>
                    <a:prstGeom prst="rect">
                      <a:avLst/>
                    </a:prstGeom>
                    <a:noFill/>
                    <a:ln w="9525">
                      <a:noFill/>
                      <a:miter lim="800000"/>
                      <a:headEnd/>
                      <a:tailEnd/>
                    </a:ln>
                  </pic:spPr>
                </pic:pic>
              </a:graphicData>
            </a:graphic>
          </wp:inline>
        </w:drawing>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式中：</w:t>
      </w:r>
      <w:r w:rsidRPr="00F9522B">
        <w:rPr>
          <w:rFonts w:eastAsiaTheme="minorEastAsia"/>
          <w:kern w:val="0"/>
          <w:sz w:val="24"/>
        </w:rPr>
        <w:t>Leqg——</w:t>
      </w:r>
      <w:r w:rsidRPr="00F9522B">
        <w:rPr>
          <w:rFonts w:eastAsiaTheme="minorEastAsia"/>
          <w:kern w:val="0"/>
          <w:sz w:val="24"/>
        </w:rPr>
        <w:t>噪声贡献值，</w:t>
      </w:r>
      <w:r w:rsidRPr="00F9522B">
        <w:rPr>
          <w:rFonts w:eastAsiaTheme="minorEastAsia"/>
          <w:kern w:val="0"/>
          <w:sz w:val="24"/>
        </w:rPr>
        <w:t>dB</w:t>
      </w:r>
      <w:r w:rsidRPr="00F9522B">
        <w:rPr>
          <w:rFonts w:eastAsiaTheme="minorEastAsia"/>
          <w:kern w:val="0"/>
          <w:sz w:val="24"/>
        </w:rPr>
        <w:t>；</w:t>
      </w:r>
    </w:p>
    <w:p w:rsidR="002A5A5E" w:rsidRPr="00F9522B" w:rsidRDefault="00611CBA">
      <w:pPr>
        <w:spacing w:line="360" w:lineRule="auto"/>
        <w:ind w:firstLineChars="500" w:firstLine="1200"/>
        <w:jc w:val="left"/>
        <w:rPr>
          <w:rFonts w:eastAsiaTheme="minorEastAsia"/>
          <w:kern w:val="0"/>
          <w:sz w:val="24"/>
        </w:rPr>
      </w:pPr>
      <w:r w:rsidRPr="00F9522B">
        <w:rPr>
          <w:rFonts w:eastAsiaTheme="minorEastAsia"/>
          <w:kern w:val="0"/>
          <w:sz w:val="24"/>
        </w:rPr>
        <w:t>T——</w:t>
      </w:r>
      <w:r w:rsidRPr="00F9522B">
        <w:rPr>
          <w:rFonts w:eastAsiaTheme="minorEastAsia"/>
          <w:kern w:val="0"/>
          <w:sz w:val="24"/>
        </w:rPr>
        <w:t>预测计算的时间段，</w:t>
      </w:r>
      <w:r w:rsidRPr="00F9522B">
        <w:rPr>
          <w:rFonts w:eastAsiaTheme="minorEastAsia"/>
          <w:kern w:val="0"/>
          <w:sz w:val="24"/>
        </w:rPr>
        <w:t>s</w:t>
      </w:r>
      <w:r w:rsidRPr="00F9522B">
        <w:rPr>
          <w:rFonts w:eastAsiaTheme="minorEastAsia"/>
          <w:kern w:val="0"/>
          <w:sz w:val="24"/>
        </w:rPr>
        <w:t>；</w:t>
      </w:r>
    </w:p>
    <w:p w:rsidR="002A5A5E" w:rsidRPr="00F9522B" w:rsidRDefault="00611CBA">
      <w:pPr>
        <w:spacing w:line="360" w:lineRule="auto"/>
        <w:ind w:firstLineChars="500" w:firstLine="1200"/>
        <w:jc w:val="left"/>
        <w:rPr>
          <w:rFonts w:eastAsiaTheme="minorEastAsia"/>
          <w:kern w:val="0"/>
          <w:sz w:val="24"/>
        </w:rPr>
      </w:pPr>
      <w:r w:rsidRPr="00F9522B">
        <w:rPr>
          <w:rFonts w:eastAsiaTheme="minorEastAsia"/>
          <w:kern w:val="0"/>
          <w:sz w:val="24"/>
        </w:rPr>
        <w:t>ti——i</w:t>
      </w:r>
      <w:r w:rsidRPr="00F9522B">
        <w:rPr>
          <w:rFonts w:eastAsiaTheme="minorEastAsia"/>
          <w:kern w:val="0"/>
          <w:sz w:val="24"/>
        </w:rPr>
        <w:t>声源在</w:t>
      </w:r>
      <w:r w:rsidRPr="00F9522B">
        <w:rPr>
          <w:rFonts w:eastAsiaTheme="minorEastAsia"/>
          <w:kern w:val="0"/>
          <w:sz w:val="24"/>
        </w:rPr>
        <w:t>T</w:t>
      </w:r>
      <w:r w:rsidRPr="00F9522B">
        <w:rPr>
          <w:rFonts w:eastAsiaTheme="minorEastAsia"/>
          <w:kern w:val="0"/>
          <w:sz w:val="24"/>
        </w:rPr>
        <w:t>时段内的运行时间，</w:t>
      </w:r>
      <w:r w:rsidRPr="00F9522B">
        <w:rPr>
          <w:rFonts w:eastAsiaTheme="minorEastAsia"/>
          <w:kern w:val="0"/>
          <w:sz w:val="24"/>
        </w:rPr>
        <w:t>s</w:t>
      </w:r>
      <w:r w:rsidRPr="00F9522B">
        <w:rPr>
          <w:rFonts w:eastAsiaTheme="minorEastAsia"/>
          <w:kern w:val="0"/>
          <w:sz w:val="24"/>
        </w:rPr>
        <w:t>；</w:t>
      </w:r>
    </w:p>
    <w:p w:rsidR="002A5A5E" w:rsidRPr="00F9522B" w:rsidRDefault="00611CBA">
      <w:pPr>
        <w:spacing w:line="360" w:lineRule="auto"/>
        <w:ind w:firstLineChars="500" w:firstLine="1200"/>
        <w:jc w:val="left"/>
        <w:rPr>
          <w:rFonts w:eastAsiaTheme="minorEastAsia"/>
          <w:kern w:val="0"/>
          <w:sz w:val="24"/>
        </w:rPr>
      </w:pPr>
      <w:r w:rsidRPr="00F9522B">
        <w:rPr>
          <w:rFonts w:eastAsiaTheme="minorEastAsia"/>
          <w:kern w:val="0"/>
          <w:sz w:val="24"/>
        </w:rPr>
        <w:t>LAi——i</w:t>
      </w:r>
      <w:r w:rsidRPr="00F9522B">
        <w:rPr>
          <w:rFonts w:eastAsiaTheme="minorEastAsia"/>
          <w:kern w:val="0"/>
          <w:sz w:val="24"/>
        </w:rPr>
        <w:t>声源在预测点产生的等效连续</w:t>
      </w:r>
      <w:r w:rsidRPr="00F9522B">
        <w:rPr>
          <w:rFonts w:eastAsiaTheme="minorEastAsia"/>
          <w:kern w:val="0"/>
          <w:sz w:val="24"/>
        </w:rPr>
        <w:t>A</w:t>
      </w:r>
      <w:r w:rsidRPr="00F9522B">
        <w:rPr>
          <w:rFonts w:eastAsiaTheme="minorEastAsia"/>
          <w:kern w:val="0"/>
          <w:sz w:val="24"/>
        </w:rPr>
        <w:t>声级，</w:t>
      </w:r>
      <w:r w:rsidRPr="00F9522B">
        <w:rPr>
          <w:rFonts w:eastAsiaTheme="minorEastAsia"/>
          <w:kern w:val="0"/>
          <w:sz w:val="24"/>
        </w:rPr>
        <w:t>dB</w:t>
      </w:r>
      <w:r w:rsidRPr="00F9522B">
        <w:rPr>
          <w:rFonts w:eastAsiaTheme="minorEastAsia"/>
          <w:kern w:val="0"/>
          <w:sz w:val="24"/>
        </w:rPr>
        <w:t>。</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w:t>
      </w:r>
      <w:r w:rsidRPr="00F9522B">
        <w:rPr>
          <w:rFonts w:eastAsiaTheme="minorEastAsia"/>
          <w:kern w:val="0"/>
          <w:sz w:val="24"/>
        </w:rPr>
        <w:t>2</w:t>
      </w:r>
      <w:r w:rsidRPr="00F9522B">
        <w:rPr>
          <w:rFonts w:eastAsiaTheme="minorEastAsia"/>
          <w:kern w:val="0"/>
          <w:sz w:val="24"/>
        </w:rPr>
        <w:t>）预测点的贡献值和背景值按能量叠加方法计算得到的声级计算公式：</w:t>
      </w:r>
    </w:p>
    <w:p w:rsidR="002A5A5E" w:rsidRPr="00F9522B" w:rsidRDefault="00611CBA">
      <w:pPr>
        <w:spacing w:line="360" w:lineRule="auto"/>
        <w:ind w:firstLineChars="200" w:firstLine="480"/>
        <w:jc w:val="center"/>
        <w:rPr>
          <w:rFonts w:eastAsiaTheme="minorEastAsia"/>
          <w:kern w:val="0"/>
          <w:sz w:val="24"/>
        </w:rPr>
      </w:pPr>
      <w:r w:rsidRPr="00F9522B">
        <w:rPr>
          <w:rFonts w:eastAsiaTheme="minorEastAsia"/>
          <w:noProof/>
          <w:kern w:val="0"/>
          <w:sz w:val="24"/>
        </w:rPr>
        <w:drawing>
          <wp:inline distT="0" distB="0" distL="0" distR="0">
            <wp:extent cx="2085975" cy="285750"/>
            <wp:effectExtent l="0" t="0" r="0" b="0"/>
            <wp:docPr id="243"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62"/>
                    <pic:cNvPicPr>
                      <a:picLocks noChangeAspect="1" noChangeArrowheads="1"/>
                    </pic:cNvPicPr>
                  </pic:nvPicPr>
                  <pic:blipFill>
                    <a:blip r:embed="rId108"/>
                    <a:srcRect/>
                    <a:stretch>
                      <a:fillRect/>
                    </a:stretch>
                  </pic:blipFill>
                  <pic:spPr>
                    <a:xfrm>
                      <a:off x="0" y="0"/>
                      <a:ext cx="2085975" cy="285750"/>
                    </a:xfrm>
                    <a:prstGeom prst="rect">
                      <a:avLst/>
                    </a:prstGeom>
                    <a:noFill/>
                    <a:ln w="9525">
                      <a:noFill/>
                      <a:miter lim="800000"/>
                      <a:headEnd/>
                      <a:tailEnd/>
                    </a:ln>
                  </pic:spPr>
                </pic:pic>
              </a:graphicData>
            </a:graphic>
          </wp:inline>
        </w:drawing>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式中：</w:t>
      </w:r>
      <w:r w:rsidRPr="00F9522B">
        <w:rPr>
          <w:rFonts w:eastAsiaTheme="minorEastAsia"/>
          <w:kern w:val="0"/>
          <w:sz w:val="24"/>
        </w:rPr>
        <w:t>Leq——</w:t>
      </w:r>
      <w:r w:rsidRPr="00F9522B">
        <w:rPr>
          <w:rFonts w:eastAsiaTheme="minorEastAsia"/>
          <w:kern w:val="0"/>
          <w:sz w:val="24"/>
        </w:rPr>
        <w:t>预测点的噪声预测值，</w:t>
      </w:r>
      <w:r w:rsidRPr="00F9522B">
        <w:rPr>
          <w:rFonts w:eastAsiaTheme="minorEastAsia"/>
          <w:kern w:val="0"/>
          <w:sz w:val="24"/>
        </w:rPr>
        <w:t>dB</w:t>
      </w:r>
      <w:r w:rsidRPr="00F9522B">
        <w:rPr>
          <w:rFonts w:eastAsiaTheme="minorEastAsia"/>
          <w:kern w:val="0"/>
          <w:sz w:val="24"/>
        </w:rPr>
        <w:t>；</w:t>
      </w:r>
    </w:p>
    <w:p w:rsidR="002A5A5E" w:rsidRPr="00F9522B" w:rsidRDefault="00611CBA">
      <w:pPr>
        <w:spacing w:line="360" w:lineRule="auto"/>
        <w:ind w:firstLineChars="500" w:firstLine="1200"/>
        <w:jc w:val="left"/>
        <w:rPr>
          <w:rFonts w:eastAsiaTheme="minorEastAsia"/>
          <w:kern w:val="0"/>
          <w:sz w:val="24"/>
        </w:rPr>
      </w:pPr>
      <w:r w:rsidRPr="00F9522B">
        <w:rPr>
          <w:rFonts w:eastAsiaTheme="minorEastAsia"/>
          <w:kern w:val="0"/>
          <w:sz w:val="24"/>
        </w:rPr>
        <w:t>Leqg——</w:t>
      </w:r>
      <w:r w:rsidRPr="00F9522B">
        <w:rPr>
          <w:rFonts w:eastAsiaTheme="minorEastAsia"/>
          <w:kern w:val="0"/>
          <w:sz w:val="24"/>
        </w:rPr>
        <w:t>建设项目声源在预测点产生的噪声贡献值，</w:t>
      </w:r>
      <w:r w:rsidRPr="00F9522B">
        <w:rPr>
          <w:rFonts w:eastAsiaTheme="minorEastAsia"/>
          <w:kern w:val="0"/>
          <w:sz w:val="24"/>
        </w:rPr>
        <w:t>dB</w:t>
      </w:r>
      <w:r w:rsidRPr="00F9522B">
        <w:rPr>
          <w:rFonts w:eastAsiaTheme="minorEastAsia"/>
          <w:kern w:val="0"/>
          <w:sz w:val="24"/>
        </w:rPr>
        <w:t>。</w:t>
      </w:r>
    </w:p>
    <w:p w:rsidR="002A5A5E" w:rsidRPr="00F9522B" w:rsidRDefault="00611CBA">
      <w:pPr>
        <w:spacing w:line="360" w:lineRule="auto"/>
        <w:ind w:firstLineChars="500" w:firstLine="1200"/>
        <w:jc w:val="left"/>
        <w:rPr>
          <w:rFonts w:eastAsiaTheme="minorEastAsia"/>
          <w:kern w:val="0"/>
          <w:sz w:val="24"/>
        </w:rPr>
      </w:pPr>
      <w:r w:rsidRPr="00F9522B">
        <w:rPr>
          <w:rFonts w:eastAsiaTheme="minorEastAsia"/>
          <w:kern w:val="0"/>
          <w:sz w:val="24"/>
        </w:rPr>
        <w:t>Leqb——</w:t>
      </w:r>
      <w:r w:rsidRPr="00F9522B">
        <w:rPr>
          <w:rFonts w:eastAsiaTheme="minorEastAsia"/>
          <w:kern w:val="0"/>
          <w:sz w:val="24"/>
        </w:rPr>
        <w:t>预测点的背景噪声值，</w:t>
      </w:r>
      <w:r w:rsidRPr="00F9522B">
        <w:rPr>
          <w:rFonts w:eastAsiaTheme="minorEastAsia"/>
          <w:kern w:val="0"/>
          <w:sz w:val="24"/>
        </w:rPr>
        <w:t>dB</w:t>
      </w:r>
      <w:r w:rsidRPr="00F9522B">
        <w:rPr>
          <w:rFonts w:eastAsiaTheme="minorEastAsia"/>
          <w:kern w:val="0"/>
          <w:sz w:val="24"/>
        </w:rPr>
        <w:t>。</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w:t>
      </w:r>
      <w:r w:rsidRPr="00F9522B">
        <w:rPr>
          <w:rFonts w:eastAsiaTheme="minorEastAsia"/>
          <w:kern w:val="0"/>
          <w:sz w:val="24"/>
        </w:rPr>
        <w:t>3</w:t>
      </w:r>
      <w:r w:rsidRPr="00F9522B">
        <w:rPr>
          <w:rFonts w:eastAsiaTheme="minorEastAsia"/>
          <w:kern w:val="0"/>
          <w:sz w:val="24"/>
        </w:rPr>
        <w:t>）室内声源等效室外声源功率级计算</w:t>
      </w:r>
    </w:p>
    <w:p w:rsidR="002A5A5E" w:rsidRPr="00F9522B" w:rsidRDefault="00611CBA">
      <w:pPr>
        <w:spacing w:line="360" w:lineRule="auto"/>
        <w:ind w:firstLineChars="200" w:firstLine="480"/>
        <w:jc w:val="center"/>
        <w:rPr>
          <w:rFonts w:eastAsiaTheme="minorEastAsia"/>
          <w:kern w:val="0"/>
          <w:sz w:val="24"/>
        </w:rPr>
      </w:pPr>
      <w:r w:rsidRPr="00F9522B">
        <w:rPr>
          <w:rFonts w:eastAsiaTheme="minorEastAsia"/>
          <w:noProof/>
          <w:kern w:val="0"/>
          <w:sz w:val="24"/>
        </w:rPr>
        <w:drawing>
          <wp:inline distT="0" distB="0" distL="0" distR="0">
            <wp:extent cx="2628900" cy="447675"/>
            <wp:effectExtent l="19050" t="0" r="0" b="0"/>
            <wp:docPr id="244" name="图片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240"/>
                    <pic:cNvPicPr>
                      <a:picLocks noChangeAspect="1" noChangeArrowheads="1"/>
                    </pic:cNvPicPr>
                  </pic:nvPicPr>
                  <pic:blipFill>
                    <a:blip r:embed="rId109"/>
                    <a:srcRect/>
                    <a:stretch>
                      <a:fillRect/>
                    </a:stretch>
                  </pic:blipFill>
                  <pic:spPr>
                    <a:xfrm>
                      <a:off x="0" y="0"/>
                      <a:ext cx="2628900" cy="447675"/>
                    </a:xfrm>
                    <a:prstGeom prst="rect">
                      <a:avLst/>
                    </a:prstGeom>
                    <a:noFill/>
                    <a:ln w="9525">
                      <a:noFill/>
                      <a:miter lim="800000"/>
                      <a:headEnd/>
                      <a:tailEnd/>
                    </a:ln>
                  </pic:spPr>
                </pic:pic>
              </a:graphicData>
            </a:graphic>
          </wp:inline>
        </w:drawing>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式中：</w:t>
      </w:r>
      <w:r w:rsidRPr="00F9522B">
        <w:rPr>
          <w:rFonts w:eastAsiaTheme="minorEastAsia"/>
          <w:kern w:val="0"/>
          <w:sz w:val="24"/>
        </w:rPr>
        <w:t>L</w:t>
      </w:r>
      <w:r w:rsidRPr="00F9522B">
        <w:rPr>
          <w:rFonts w:eastAsiaTheme="minorEastAsia"/>
          <w:kern w:val="0"/>
          <w:sz w:val="24"/>
          <w:vertAlign w:val="subscript"/>
        </w:rPr>
        <w:t>p1</w:t>
      </w:r>
      <w:r w:rsidRPr="00F9522B">
        <w:rPr>
          <w:rFonts w:eastAsiaTheme="minorEastAsia"/>
          <w:kern w:val="0"/>
          <w:sz w:val="24"/>
        </w:rPr>
        <w:t>—</w:t>
      </w:r>
      <w:r w:rsidRPr="00F9522B">
        <w:rPr>
          <w:rFonts w:eastAsiaTheme="minorEastAsia"/>
          <w:kern w:val="0"/>
          <w:sz w:val="24"/>
        </w:rPr>
        <w:t>靠近开口处（或窗户）室内某倍频带的声压级或</w:t>
      </w:r>
      <w:r w:rsidRPr="00F9522B">
        <w:rPr>
          <w:rFonts w:eastAsiaTheme="minorEastAsia"/>
          <w:kern w:val="0"/>
          <w:sz w:val="24"/>
        </w:rPr>
        <w:t>A</w:t>
      </w:r>
      <w:r w:rsidRPr="00F9522B">
        <w:rPr>
          <w:rFonts w:eastAsiaTheme="minorEastAsia"/>
          <w:kern w:val="0"/>
          <w:sz w:val="24"/>
        </w:rPr>
        <w:t>声级，</w:t>
      </w:r>
      <w:r w:rsidRPr="00F9522B">
        <w:rPr>
          <w:rFonts w:eastAsiaTheme="minorEastAsia"/>
          <w:kern w:val="0"/>
          <w:sz w:val="24"/>
        </w:rPr>
        <w:t>dB</w:t>
      </w:r>
      <w:r w:rsidRPr="00F9522B">
        <w:rPr>
          <w:rFonts w:eastAsiaTheme="minorEastAsia"/>
          <w:kern w:val="0"/>
          <w:sz w:val="24"/>
        </w:rPr>
        <w:t>；</w:t>
      </w:r>
    </w:p>
    <w:p w:rsidR="002A5A5E" w:rsidRPr="00F9522B" w:rsidRDefault="00611CBA">
      <w:pPr>
        <w:spacing w:line="360" w:lineRule="auto"/>
        <w:ind w:firstLineChars="500" w:firstLine="1200"/>
        <w:jc w:val="left"/>
        <w:rPr>
          <w:rFonts w:eastAsiaTheme="minorEastAsia"/>
          <w:kern w:val="0"/>
          <w:sz w:val="24"/>
        </w:rPr>
      </w:pPr>
      <w:r w:rsidRPr="00F9522B">
        <w:rPr>
          <w:rFonts w:eastAsiaTheme="minorEastAsia"/>
          <w:kern w:val="0"/>
          <w:sz w:val="24"/>
        </w:rPr>
        <w:t>L</w:t>
      </w:r>
      <w:r w:rsidRPr="00F9522B">
        <w:rPr>
          <w:rFonts w:eastAsiaTheme="minorEastAsia"/>
          <w:kern w:val="0"/>
          <w:sz w:val="24"/>
          <w:vertAlign w:val="subscript"/>
        </w:rPr>
        <w:t>p2</w:t>
      </w:r>
      <w:r w:rsidRPr="00F9522B">
        <w:rPr>
          <w:rFonts w:eastAsiaTheme="minorEastAsia"/>
          <w:kern w:val="0"/>
          <w:sz w:val="24"/>
        </w:rPr>
        <w:t>——</w:t>
      </w:r>
      <w:r w:rsidRPr="00F9522B">
        <w:rPr>
          <w:rFonts w:eastAsiaTheme="minorEastAsia"/>
          <w:kern w:val="0"/>
          <w:sz w:val="24"/>
        </w:rPr>
        <w:t>靠近开口处（或窗户）室外某倍频带的声压级或</w:t>
      </w:r>
      <w:r w:rsidRPr="00F9522B">
        <w:rPr>
          <w:rFonts w:eastAsiaTheme="minorEastAsia"/>
          <w:kern w:val="0"/>
          <w:sz w:val="24"/>
        </w:rPr>
        <w:t>A</w:t>
      </w:r>
      <w:r w:rsidRPr="00F9522B">
        <w:rPr>
          <w:rFonts w:eastAsiaTheme="minorEastAsia"/>
          <w:kern w:val="0"/>
          <w:sz w:val="24"/>
        </w:rPr>
        <w:t>声级，</w:t>
      </w:r>
      <w:r w:rsidRPr="00F9522B">
        <w:rPr>
          <w:rFonts w:eastAsiaTheme="minorEastAsia"/>
          <w:kern w:val="0"/>
          <w:sz w:val="24"/>
        </w:rPr>
        <w:t>dB</w:t>
      </w:r>
      <w:r w:rsidRPr="00F9522B">
        <w:rPr>
          <w:rFonts w:eastAsiaTheme="minorEastAsia"/>
          <w:kern w:val="0"/>
          <w:sz w:val="24"/>
        </w:rPr>
        <w:t>；</w:t>
      </w:r>
    </w:p>
    <w:p w:rsidR="002A5A5E" w:rsidRPr="00F9522B" w:rsidRDefault="00611CBA">
      <w:pPr>
        <w:spacing w:line="360" w:lineRule="auto"/>
        <w:ind w:firstLineChars="500" w:firstLine="1200"/>
        <w:jc w:val="left"/>
        <w:rPr>
          <w:rFonts w:eastAsiaTheme="minorEastAsia"/>
          <w:kern w:val="0"/>
          <w:sz w:val="24"/>
        </w:rPr>
      </w:pPr>
      <w:r w:rsidRPr="00F9522B">
        <w:rPr>
          <w:rFonts w:eastAsiaTheme="minorEastAsia"/>
          <w:kern w:val="0"/>
          <w:sz w:val="24"/>
        </w:rPr>
        <w:t>TL——</w:t>
      </w:r>
      <w:r w:rsidRPr="00F9522B">
        <w:rPr>
          <w:rFonts w:eastAsiaTheme="minorEastAsia"/>
          <w:kern w:val="0"/>
          <w:sz w:val="24"/>
        </w:rPr>
        <w:t>隔墙（或窗户）倍频带或</w:t>
      </w:r>
      <w:r w:rsidRPr="00F9522B">
        <w:rPr>
          <w:rFonts w:eastAsiaTheme="minorEastAsia"/>
          <w:kern w:val="0"/>
          <w:sz w:val="24"/>
        </w:rPr>
        <w:t xml:space="preserve"> A </w:t>
      </w:r>
      <w:r w:rsidRPr="00F9522B">
        <w:rPr>
          <w:rFonts w:eastAsiaTheme="minorEastAsia"/>
          <w:kern w:val="0"/>
          <w:sz w:val="24"/>
        </w:rPr>
        <w:t>声级的隔声量，</w:t>
      </w:r>
      <w:r w:rsidRPr="00F9522B">
        <w:rPr>
          <w:rFonts w:eastAsiaTheme="minorEastAsia"/>
          <w:kern w:val="0"/>
          <w:sz w:val="24"/>
        </w:rPr>
        <w:t>dB</w:t>
      </w:r>
      <w:r w:rsidRPr="00F9522B">
        <w:rPr>
          <w:rFonts w:eastAsiaTheme="minorEastAsia"/>
          <w:kern w:val="0"/>
          <w:sz w:val="24"/>
        </w:rPr>
        <w:t>。</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lastRenderedPageBreak/>
        <w:t>然后计算出所有室内声源在围护结构处产生的</w:t>
      </w:r>
      <w:r w:rsidRPr="00F9522B">
        <w:rPr>
          <w:rFonts w:eastAsiaTheme="minorEastAsia"/>
          <w:kern w:val="0"/>
          <w:sz w:val="24"/>
        </w:rPr>
        <w:t>i</w:t>
      </w:r>
      <w:r w:rsidRPr="00F9522B">
        <w:rPr>
          <w:rFonts w:eastAsiaTheme="minorEastAsia"/>
          <w:kern w:val="0"/>
          <w:sz w:val="24"/>
        </w:rPr>
        <w:t>倍频带叠加声压级：</w:t>
      </w:r>
    </w:p>
    <w:p w:rsidR="002A5A5E" w:rsidRPr="00F9522B" w:rsidRDefault="00611CBA">
      <w:pPr>
        <w:spacing w:line="360" w:lineRule="auto"/>
        <w:ind w:firstLineChars="200" w:firstLine="480"/>
        <w:jc w:val="center"/>
        <w:rPr>
          <w:rFonts w:eastAsiaTheme="minorEastAsia"/>
          <w:kern w:val="0"/>
          <w:sz w:val="24"/>
        </w:rPr>
      </w:pPr>
      <w:r w:rsidRPr="00F9522B">
        <w:rPr>
          <w:rFonts w:eastAsiaTheme="minorEastAsia"/>
          <w:noProof/>
          <w:kern w:val="0"/>
          <w:sz w:val="24"/>
        </w:rPr>
        <w:drawing>
          <wp:inline distT="0" distB="0" distL="0" distR="0">
            <wp:extent cx="2562225" cy="590550"/>
            <wp:effectExtent l="19050" t="0" r="9525" b="0"/>
            <wp:docPr id="245" name="图片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241"/>
                    <pic:cNvPicPr>
                      <a:picLocks noChangeAspect="1" noChangeArrowheads="1"/>
                    </pic:cNvPicPr>
                  </pic:nvPicPr>
                  <pic:blipFill>
                    <a:blip r:embed="rId110"/>
                    <a:srcRect/>
                    <a:stretch>
                      <a:fillRect/>
                    </a:stretch>
                  </pic:blipFill>
                  <pic:spPr>
                    <a:xfrm>
                      <a:off x="0" y="0"/>
                      <a:ext cx="2562225" cy="590550"/>
                    </a:xfrm>
                    <a:prstGeom prst="rect">
                      <a:avLst/>
                    </a:prstGeom>
                    <a:noFill/>
                    <a:ln w="9525">
                      <a:noFill/>
                      <a:miter lim="800000"/>
                      <a:headEnd/>
                      <a:tailEnd/>
                    </a:ln>
                  </pic:spPr>
                </pic:pic>
              </a:graphicData>
            </a:graphic>
          </wp:inline>
        </w:drawing>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式中：</w:t>
      </w:r>
      <w:r w:rsidRPr="00F9522B">
        <w:rPr>
          <w:rFonts w:eastAsiaTheme="minorEastAsia"/>
          <w:kern w:val="0"/>
          <w:sz w:val="24"/>
        </w:rPr>
        <w:t>Lp1i</w:t>
      </w:r>
      <w:r w:rsidRPr="00F9522B">
        <w:rPr>
          <w:rFonts w:eastAsiaTheme="minorEastAsia"/>
          <w:kern w:val="0"/>
          <w:sz w:val="24"/>
        </w:rPr>
        <w:t>（</w:t>
      </w:r>
      <w:r w:rsidRPr="00F9522B">
        <w:rPr>
          <w:rFonts w:eastAsiaTheme="minorEastAsia"/>
          <w:kern w:val="0"/>
          <w:sz w:val="24"/>
        </w:rPr>
        <w:t>T</w:t>
      </w:r>
      <w:r w:rsidRPr="00F9522B">
        <w:rPr>
          <w:rFonts w:eastAsiaTheme="minorEastAsia"/>
          <w:kern w:val="0"/>
          <w:sz w:val="24"/>
        </w:rPr>
        <w:t>）</w:t>
      </w:r>
      <w:r w:rsidRPr="00F9522B">
        <w:rPr>
          <w:rFonts w:eastAsiaTheme="minorEastAsia"/>
          <w:kern w:val="0"/>
          <w:sz w:val="24"/>
        </w:rPr>
        <w:t>—</w:t>
      </w:r>
      <w:r w:rsidRPr="00F9522B">
        <w:rPr>
          <w:rFonts w:eastAsiaTheme="minorEastAsia"/>
          <w:kern w:val="0"/>
          <w:sz w:val="24"/>
        </w:rPr>
        <w:t>靠近围护结构处室内</w:t>
      </w:r>
      <w:r w:rsidRPr="00F9522B">
        <w:rPr>
          <w:rFonts w:eastAsiaTheme="minorEastAsia"/>
          <w:kern w:val="0"/>
          <w:sz w:val="24"/>
        </w:rPr>
        <w:t>N</w:t>
      </w:r>
      <w:r w:rsidRPr="00F9522B">
        <w:rPr>
          <w:rFonts w:eastAsiaTheme="minorEastAsia"/>
          <w:kern w:val="0"/>
          <w:sz w:val="24"/>
        </w:rPr>
        <w:t>个声源</w:t>
      </w:r>
      <w:r w:rsidRPr="00F9522B">
        <w:rPr>
          <w:rFonts w:eastAsiaTheme="minorEastAsia"/>
          <w:kern w:val="0"/>
          <w:sz w:val="24"/>
        </w:rPr>
        <w:t>i</w:t>
      </w:r>
      <w:r w:rsidRPr="00F9522B">
        <w:rPr>
          <w:rFonts w:eastAsiaTheme="minorEastAsia"/>
          <w:kern w:val="0"/>
          <w:sz w:val="24"/>
        </w:rPr>
        <w:t>倍频带的叠加声压级，</w:t>
      </w:r>
      <w:r w:rsidRPr="00F9522B">
        <w:rPr>
          <w:rFonts w:eastAsiaTheme="minorEastAsia"/>
          <w:kern w:val="0"/>
          <w:sz w:val="24"/>
        </w:rPr>
        <w:t>dB</w:t>
      </w:r>
      <w:r w:rsidRPr="00F9522B">
        <w:rPr>
          <w:rFonts w:eastAsiaTheme="minorEastAsia"/>
          <w:kern w:val="0"/>
          <w:sz w:val="24"/>
        </w:rPr>
        <w:t>；</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Lp1ij—</w:t>
      </w:r>
      <w:r w:rsidRPr="00F9522B">
        <w:rPr>
          <w:rFonts w:eastAsiaTheme="minorEastAsia"/>
          <w:kern w:val="0"/>
          <w:sz w:val="24"/>
        </w:rPr>
        <w:t>室内</w:t>
      </w:r>
      <w:r w:rsidRPr="00F9522B">
        <w:rPr>
          <w:rFonts w:eastAsiaTheme="minorEastAsia"/>
          <w:kern w:val="0"/>
          <w:sz w:val="24"/>
        </w:rPr>
        <w:t>j</w:t>
      </w:r>
      <w:r w:rsidRPr="00F9522B">
        <w:rPr>
          <w:rFonts w:eastAsiaTheme="minorEastAsia"/>
          <w:kern w:val="0"/>
          <w:sz w:val="24"/>
        </w:rPr>
        <w:t>声源</w:t>
      </w:r>
      <w:r w:rsidRPr="00F9522B">
        <w:rPr>
          <w:rFonts w:eastAsiaTheme="minorEastAsia"/>
          <w:kern w:val="0"/>
          <w:sz w:val="24"/>
        </w:rPr>
        <w:t>i</w:t>
      </w:r>
      <w:r w:rsidRPr="00F9522B">
        <w:rPr>
          <w:rFonts w:eastAsiaTheme="minorEastAsia"/>
          <w:kern w:val="0"/>
          <w:sz w:val="24"/>
        </w:rPr>
        <w:t>倍频带的声压级，</w:t>
      </w:r>
      <w:r w:rsidRPr="00F9522B">
        <w:rPr>
          <w:rFonts w:eastAsiaTheme="minorEastAsia"/>
          <w:kern w:val="0"/>
          <w:sz w:val="24"/>
        </w:rPr>
        <w:t>dB</w:t>
      </w:r>
      <w:r w:rsidRPr="00F9522B">
        <w:rPr>
          <w:rFonts w:eastAsiaTheme="minorEastAsia"/>
          <w:kern w:val="0"/>
          <w:sz w:val="24"/>
        </w:rPr>
        <w:t>；</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N—</w:t>
      </w:r>
      <w:r w:rsidRPr="00F9522B">
        <w:rPr>
          <w:rFonts w:eastAsiaTheme="minorEastAsia"/>
          <w:kern w:val="0"/>
          <w:sz w:val="24"/>
        </w:rPr>
        <w:t>室内声源总数。</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在室内近似为扩散声场时，计算出靠近室外围护结构处的声压级：</w:t>
      </w:r>
    </w:p>
    <w:p w:rsidR="002A5A5E" w:rsidRPr="00F9522B" w:rsidRDefault="00611CBA">
      <w:pPr>
        <w:spacing w:line="360" w:lineRule="auto"/>
        <w:ind w:firstLineChars="200" w:firstLine="480"/>
        <w:jc w:val="center"/>
        <w:rPr>
          <w:rFonts w:eastAsiaTheme="minorEastAsia"/>
          <w:kern w:val="0"/>
          <w:sz w:val="24"/>
        </w:rPr>
      </w:pPr>
      <w:r w:rsidRPr="00F9522B">
        <w:rPr>
          <w:rFonts w:eastAsiaTheme="minorEastAsia"/>
          <w:noProof/>
          <w:kern w:val="0"/>
          <w:sz w:val="24"/>
        </w:rPr>
        <w:drawing>
          <wp:inline distT="0" distB="0" distL="0" distR="0">
            <wp:extent cx="2914650" cy="333375"/>
            <wp:effectExtent l="19050" t="0" r="0" b="0"/>
            <wp:docPr id="246" name="图片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242"/>
                    <pic:cNvPicPr>
                      <a:picLocks noChangeAspect="1" noChangeArrowheads="1"/>
                    </pic:cNvPicPr>
                  </pic:nvPicPr>
                  <pic:blipFill>
                    <a:blip r:embed="rId111"/>
                    <a:srcRect/>
                    <a:stretch>
                      <a:fillRect/>
                    </a:stretch>
                  </pic:blipFill>
                  <pic:spPr>
                    <a:xfrm>
                      <a:off x="0" y="0"/>
                      <a:ext cx="2914650" cy="333375"/>
                    </a:xfrm>
                    <a:prstGeom prst="rect">
                      <a:avLst/>
                    </a:prstGeom>
                    <a:noFill/>
                    <a:ln w="9525">
                      <a:noFill/>
                      <a:miter lim="800000"/>
                      <a:headEnd/>
                      <a:tailEnd/>
                    </a:ln>
                  </pic:spPr>
                </pic:pic>
              </a:graphicData>
            </a:graphic>
          </wp:inline>
        </w:drawing>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式中：</w:t>
      </w:r>
      <w:r w:rsidRPr="00F9522B">
        <w:rPr>
          <w:rFonts w:eastAsiaTheme="minorEastAsia"/>
          <w:kern w:val="0"/>
          <w:sz w:val="24"/>
        </w:rPr>
        <w:t>L</w:t>
      </w:r>
      <w:r w:rsidRPr="00F9522B">
        <w:rPr>
          <w:rFonts w:eastAsiaTheme="minorEastAsia"/>
          <w:kern w:val="0"/>
          <w:sz w:val="24"/>
          <w:vertAlign w:val="subscript"/>
        </w:rPr>
        <w:t>2pi</w:t>
      </w:r>
      <w:r w:rsidRPr="00F9522B">
        <w:rPr>
          <w:rFonts w:eastAsiaTheme="minorEastAsia"/>
          <w:kern w:val="0"/>
          <w:sz w:val="24"/>
        </w:rPr>
        <w:t>（</w:t>
      </w:r>
      <w:r w:rsidRPr="00F9522B">
        <w:rPr>
          <w:rFonts w:eastAsiaTheme="minorEastAsia"/>
          <w:kern w:val="0"/>
          <w:sz w:val="24"/>
        </w:rPr>
        <w:t>T</w:t>
      </w:r>
      <w:r w:rsidRPr="00F9522B">
        <w:rPr>
          <w:rFonts w:eastAsiaTheme="minorEastAsia"/>
          <w:kern w:val="0"/>
          <w:sz w:val="24"/>
        </w:rPr>
        <w:t>）</w:t>
      </w:r>
      <w:r w:rsidRPr="00F9522B">
        <w:rPr>
          <w:rFonts w:eastAsiaTheme="minorEastAsia"/>
          <w:kern w:val="0"/>
          <w:sz w:val="24"/>
        </w:rPr>
        <w:t>—</w:t>
      </w:r>
      <w:r w:rsidRPr="00F9522B">
        <w:rPr>
          <w:rFonts w:eastAsiaTheme="minorEastAsia"/>
          <w:kern w:val="0"/>
          <w:sz w:val="24"/>
        </w:rPr>
        <w:t>靠近围护结构处室外</w:t>
      </w:r>
      <w:r w:rsidRPr="00F9522B">
        <w:rPr>
          <w:rFonts w:eastAsiaTheme="minorEastAsia"/>
          <w:kern w:val="0"/>
          <w:sz w:val="24"/>
        </w:rPr>
        <w:t>N</w:t>
      </w:r>
      <w:r w:rsidRPr="00F9522B">
        <w:rPr>
          <w:rFonts w:eastAsiaTheme="minorEastAsia"/>
          <w:kern w:val="0"/>
          <w:sz w:val="24"/>
        </w:rPr>
        <w:t>个声源</w:t>
      </w:r>
      <w:r w:rsidRPr="00F9522B">
        <w:rPr>
          <w:rFonts w:eastAsiaTheme="minorEastAsia"/>
          <w:kern w:val="0"/>
          <w:sz w:val="24"/>
        </w:rPr>
        <w:t>i</w:t>
      </w:r>
      <w:r w:rsidRPr="00F9522B">
        <w:rPr>
          <w:rFonts w:eastAsiaTheme="minorEastAsia"/>
          <w:kern w:val="0"/>
          <w:sz w:val="24"/>
        </w:rPr>
        <w:t>倍频带的叠加声压级，</w:t>
      </w:r>
      <w:r w:rsidRPr="00F9522B">
        <w:rPr>
          <w:rFonts w:eastAsiaTheme="minorEastAsia"/>
          <w:kern w:val="0"/>
          <w:sz w:val="24"/>
        </w:rPr>
        <w:t>dB</w:t>
      </w:r>
      <w:r w:rsidRPr="00F9522B">
        <w:rPr>
          <w:rFonts w:eastAsiaTheme="minorEastAsia"/>
          <w:kern w:val="0"/>
          <w:sz w:val="24"/>
        </w:rPr>
        <w:t>；</w:t>
      </w:r>
    </w:p>
    <w:p w:rsidR="002A5A5E" w:rsidRPr="00F9522B" w:rsidRDefault="00611CBA">
      <w:pPr>
        <w:spacing w:line="360" w:lineRule="auto"/>
        <w:ind w:firstLineChars="450" w:firstLine="1080"/>
        <w:jc w:val="left"/>
        <w:rPr>
          <w:rFonts w:eastAsiaTheme="minorEastAsia"/>
          <w:kern w:val="0"/>
          <w:sz w:val="24"/>
        </w:rPr>
      </w:pPr>
      <w:r w:rsidRPr="00F9522B">
        <w:rPr>
          <w:rFonts w:eastAsiaTheme="minorEastAsia"/>
          <w:kern w:val="0"/>
          <w:sz w:val="24"/>
        </w:rPr>
        <w:t>TLi—</w:t>
      </w:r>
      <w:r w:rsidRPr="00F9522B">
        <w:rPr>
          <w:rFonts w:eastAsiaTheme="minorEastAsia"/>
          <w:kern w:val="0"/>
          <w:sz w:val="24"/>
        </w:rPr>
        <w:t>围护结构</w:t>
      </w:r>
      <w:r w:rsidRPr="00F9522B">
        <w:rPr>
          <w:rFonts w:eastAsiaTheme="minorEastAsia"/>
          <w:kern w:val="0"/>
          <w:sz w:val="24"/>
        </w:rPr>
        <w:t>i</w:t>
      </w:r>
      <w:r w:rsidRPr="00F9522B">
        <w:rPr>
          <w:rFonts w:eastAsiaTheme="minorEastAsia"/>
          <w:kern w:val="0"/>
          <w:sz w:val="24"/>
        </w:rPr>
        <w:t>倍频带的隔声量，</w:t>
      </w:r>
      <w:r w:rsidRPr="00F9522B">
        <w:rPr>
          <w:rFonts w:eastAsiaTheme="minorEastAsia"/>
          <w:kern w:val="0"/>
          <w:sz w:val="24"/>
        </w:rPr>
        <w:t>dB</w:t>
      </w:r>
      <w:r w:rsidRPr="00F9522B">
        <w:rPr>
          <w:rFonts w:eastAsiaTheme="minorEastAsia"/>
          <w:kern w:val="0"/>
          <w:sz w:val="24"/>
        </w:rPr>
        <w:t>。</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然后将室外声源的声压级和透过面积换算成等效的室外声源，计算出中心位置位于透声面积（</w:t>
      </w:r>
      <w:r w:rsidRPr="00F9522B">
        <w:rPr>
          <w:rFonts w:eastAsiaTheme="minorEastAsia"/>
          <w:kern w:val="0"/>
          <w:sz w:val="24"/>
        </w:rPr>
        <w:t>S</w:t>
      </w:r>
      <w:r w:rsidRPr="00F9522B">
        <w:rPr>
          <w:rFonts w:eastAsiaTheme="minorEastAsia"/>
          <w:kern w:val="0"/>
          <w:sz w:val="24"/>
        </w:rPr>
        <w:t>）处的等效声源的倍频带声功率级。</w:t>
      </w:r>
    </w:p>
    <w:p w:rsidR="002A5A5E" w:rsidRPr="00F9522B" w:rsidRDefault="00611CBA">
      <w:pPr>
        <w:spacing w:line="360" w:lineRule="auto"/>
        <w:ind w:firstLineChars="200" w:firstLine="480"/>
        <w:jc w:val="center"/>
        <w:rPr>
          <w:rFonts w:eastAsiaTheme="minorEastAsia"/>
          <w:kern w:val="0"/>
          <w:sz w:val="24"/>
        </w:rPr>
      </w:pPr>
      <w:r w:rsidRPr="00F9522B">
        <w:rPr>
          <w:rFonts w:eastAsiaTheme="minorEastAsia"/>
          <w:noProof/>
          <w:kern w:val="0"/>
          <w:sz w:val="24"/>
        </w:rPr>
        <w:drawing>
          <wp:inline distT="0" distB="0" distL="0" distR="0">
            <wp:extent cx="2124075" cy="295275"/>
            <wp:effectExtent l="19050" t="0" r="9525" b="0"/>
            <wp:docPr id="247" name="图片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图片 243"/>
                    <pic:cNvPicPr>
                      <a:picLocks noChangeAspect="1" noChangeArrowheads="1"/>
                    </pic:cNvPicPr>
                  </pic:nvPicPr>
                  <pic:blipFill>
                    <a:blip r:embed="rId112"/>
                    <a:srcRect/>
                    <a:stretch>
                      <a:fillRect/>
                    </a:stretch>
                  </pic:blipFill>
                  <pic:spPr>
                    <a:xfrm>
                      <a:off x="0" y="0"/>
                      <a:ext cx="2124075" cy="295275"/>
                    </a:xfrm>
                    <a:prstGeom prst="rect">
                      <a:avLst/>
                    </a:prstGeom>
                    <a:noFill/>
                    <a:ln w="9525">
                      <a:noFill/>
                      <a:miter lim="800000"/>
                      <a:headEnd/>
                      <a:tailEnd/>
                    </a:ln>
                  </pic:spPr>
                </pic:pic>
              </a:graphicData>
            </a:graphic>
          </wp:inline>
        </w:drawing>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式中：</w:t>
      </w:r>
      <w:r w:rsidRPr="00F9522B">
        <w:rPr>
          <w:rFonts w:eastAsiaTheme="minorEastAsia"/>
          <w:kern w:val="0"/>
          <w:sz w:val="24"/>
        </w:rPr>
        <w:t>L</w:t>
      </w:r>
      <w:r w:rsidRPr="00F9522B">
        <w:rPr>
          <w:rFonts w:eastAsiaTheme="minorEastAsia"/>
          <w:kern w:val="0"/>
          <w:sz w:val="24"/>
          <w:vertAlign w:val="subscript"/>
        </w:rPr>
        <w:t>w</w:t>
      </w:r>
      <w:r w:rsidRPr="00F9522B">
        <w:rPr>
          <w:rFonts w:eastAsiaTheme="minorEastAsia"/>
          <w:kern w:val="0"/>
          <w:sz w:val="24"/>
        </w:rPr>
        <w:t>—</w:t>
      </w:r>
      <w:r w:rsidRPr="00F9522B">
        <w:rPr>
          <w:rFonts w:eastAsiaTheme="minorEastAsia"/>
          <w:kern w:val="0"/>
          <w:sz w:val="24"/>
        </w:rPr>
        <w:t>中心位置位于透声面积（</w:t>
      </w:r>
      <w:r w:rsidRPr="00F9522B">
        <w:rPr>
          <w:rFonts w:eastAsiaTheme="minorEastAsia"/>
          <w:kern w:val="0"/>
          <w:sz w:val="24"/>
        </w:rPr>
        <w:t>S</w:t>
      </w:r>
      <w:r w:rsidRPr="00F9522B">
        <w:rPr>
          <w:rFonts w:eastAsiaTheme="minorEastAsia"/>
          <w:kern w:val="0"/>
          <w:sz w:val="24"/>
        </w:rPr>
        <w:t>）处的等效声源的倍频带声功率级，</w:t>
      </w:r>
      <w:r w:rsidRPr="00F9522B">
        <w:rPr>
          <w:rFonts w:eastAsiaTheme="minorEastAsia"/>
          <w:kern w:val="0"/>
          <w:sz w:val="24"/>
        </w:rPr>
        <w:t>dB</w:t>
      </w:r>
      <w:r w:rsidRPr="00F9522B">
        <w:rPr>
          <w:rFonts w:eastAsiaTheme="minorEastAsia"/>
          <w:kern w:val="0"/>
          <w:sz w:val="24"/>
        </w:rPr>
        <w:t>；</w:t>
      </w:r>
    </w:p>
    <w:p w:rsidR="002A5A5E" w:rsidRPr="00F9522B" w:rsidRDefault="00611CBA">
      <w:pPr>
        <w:spacing w:line="360" w:lineRule="auto"/>
        <w:ind w:firstLineChars="500" w:firstLine="1200"/>
        <w:jc w:val="left"/>
        <w:rPr>
          <w:rFonts w:eastAsiaTheme="minorEastAsia"/>
          <w:kern w:val="0"/>
          <w:sz w:val="24"/>
        </w:rPr>
      </w:pPr>
      <w:r w:rsidRPr="00F9522B">
        <w:rPr>
          <w:rFonts w:eastAsiaTheme="minorEastAsia"/>
          <w:kern w:val="0"/>
          <w:sz w:val="24"/>
        </w:rPr>
        <w:t>L</w:t>
      </w:r>
      <w:r w:rsidRPr="00F9522B">
        <w:rPr>
          <w:rFonts w:eastAsiaTheme="minorEastAsia"/>
          <w:kern w:val="0"/>
          <w:sz w:val="24"/>
          <w:vertAlign w:val="subscript"/>
        </w:rPr>
        <w:t>p2</w:t>
      </w:r>
      <w:r w:rsidRPr="00F9522B">
        <w:rPr>
          <w:rFonts w:eastAsiaTheme="minorEastAsia"/>
          <w:kern w:val="0"/>
          <w:sz w:val="24"/>
        </w:rPr>
        <w:t>（</w:t>
      </w:r>
      <w:r w:rsidRPr="00F9522B">
        <w:rPr>
          <w:rFonts w:eastAsiaTheme="minorEastAsia"/>
          <w:kern w:val="0"/>
          <w:sz w:val="24"/>
        </w:rPr>
        <w:t>T</w:t>
      </w:r>
      <w:r w:rsidRPr="00F9522B">
        <w:rPr>
          <w:rFonts w:eastAsiaTheme="minorEastAsia"/>
          <w:kern w:val="0"/>
          <w:sz w:val="24"/>
        </w:rPr>
        <w:t>）</w:t>
      </w:r>
      <w:r w:rsidRPr="00F9522B">
        <w:rPr>
          <w:rFonts w:eastAsiaTheme="minorEastAsia"/>
          <w:kern w:val="0"/>
          <w:sz w:val="24"/>
        </w:rPr>
        <w:t>—</w:t>
      </w:r>
      <w:r w:rsidRPr="00F9522B">
        <w:rPr>
          <w:rFonts w:eastAsiaTheme="minorEastAsia"/>
          <w:kern w:val="0"/>
          <w:sz w:val="24"/>
        </w:rPr>
        <w:t>靠近围护结构处室外声源的声压级，</w:t>
      </w:r>
      <w:r w:rsidRPr="00F9522B">
        <w:rPr>
          <w:rFonts w:eastAsiaTheme="minorEastAsia"/>
          <w:kern w:val="0"/>
          <w:sz w:val="24"/>
        </w:rPr>
        <w:t>dB</w:t>
      </w:r>
      <w:r w:rsidRPr="00F9522B">
        <w:rPr>
          <w:rFonts w:eastAsiaTheme="minorEastAsia"/>
          <w:kern w:val="0"/>
          <w:sz w:val="24"/>
        </w:rPr>
        <w:t>；</w:t>
      </w:r>
    </w:p>
    <w:p w:rsidR="002A5A5E" w:rsidRPr="00F9522B" w:rsidRDefault="00611CBA">
      <w:pPr>
        <w:spacing w:line="360" w:lineRule="auto"/>
        <w:ind w:firstLineChars="500" w:firstLine="1200"/>
        <w:jc w:val="left"/>
        <w:rPr>
          <w:rFonts w:eastAsiaTheme="minorEastAsia"/>
          <w:kern w:val="0"/>
          <w:sz w:val="24"/>
        </w:rPr>
      </w:pPr>
      <w:r w:rsidRPr="00F9522B">
        <w:rPr>
          <w:rFonts w:eastAsiaTheme="minorEastAsia"/>
          <w:kern w:val="0"/>
          <w:sz w:val="24"/>
        </w:rPr>
        <w:t>S—</w:t>
      </w:r>
      <w:r w:rsidRPr="00F9522B">
        <w:rPr>
          <w:rFonts w:eastAsiaTheme="minorEastAsia"/>
          <w:kern w:val="0"/>
          <w:sz w:val="24"/>
        </w:rPr>
        <w:t>透声面积，</w:t>
      </w:r>
      <w:r w:rsidRPr="00F9522B">
        <w:rPr>
          <w:rFonts w:eastAsiaTheme="minorEastAsia"/>
          <w:kern w:val="0"/>
          <w:sz w:val="24"/>
        </w:rPr>
        <w:t>m</w:t>
      </w:r>
      <w:r w:rsidRPr="00F9522B">
        <w:rPr>
          <w:rFonts w:eastAsiaTheme="minorEastAsia"/>
          <w:kern w:val="0"/>
          <w:sz w:val="24"/>
          <w:vertAlign w:val="superscript"/>
        </w:rPr>
        <w:t>2</w:t>
      </w:r>
      <w:r w:rsidRPr="00F9522B">
        <w:rPr>
          <w:rFonts w:eastAsiaTheme="minorEastAsia"/>
          <w:kern w:val="0"/>
          <w:sz w:val="24"/>
        </w:rPr>
        <w:t>。</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w:t>
      </w:r>
      <w:r w:rsidRPr="00F9522B">
        <w:rPr>
          <w:rFonts w:eastAsiaTheme="minorEastAsia"/>
          <w:kern w:val="0"/>
          <w:sz w:val="24"/>
        </w:rPr>
        <w:t>4</w:t>
      </w:r>
      <w:r w:rsidRPr="00F9522B">
        <w:rPr>
          <w:rFonts w:eastAsiaTheme="minorEastAsia"/>
          <w:kern w:val="0"/>
          <w:sz w:val="24"/>
        </w:rPr>
        <w:t>）户外声传播衰减计算</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户外声传播衰减包括几何发散（</w:t>
      </w:r>
      <w:r w:rsidRPr="00F9522B">
        <w:rPr>
          <w:rFonts w:eastAsiaTheme="minorEastAsia"/>
          <w:kern w:val="0"/>
          <w:sz w:val="24"/>
        </w:rPr>
        <w:t>Adiv</w:t>
      </w:r>
      <w:r w:rsidRPr="00F9522B">
        <w:rPr>
          <w:rFonts w:eastAsiaTheme="minorEastAsia"/>
          <w:kern w:val="0"/>
          <w:sz w:val="24"/>
        </w:rPr>
        <w:t>）、大气吸收（</w:t>
      </w:r>
      <w:r w:rsidRPr="00F9522B">
        <w:rPr>
          <w:rFonts w:eastAsiaTheme="minorEastAsia"/>
          <w:kern w:val="0"/>
          <w:sz w:val="24"/>
        </w:rPr>
        <w:t>Aatm</w:t>
      </w:r>
      <w:r w:rsidRPr="00F9522B">
        <w:rPr>
          <w:rFonts w:eastAsiaTheme="minorEastAsia"/>
          <w:kern w:val="0"/>
          <w:sz w:val="24"/>
        </w:rPr>
        <w:t>）、地面效应（</w:t>
      </w:r>
      <w:r w:rsidRPr="00F9522B">
        <w:rPr>
          <w:rFonts w:eastAsiaTheme="minorEastAsia"/>
          <w:kern w:val="0"/>
          <w:sz w:val="24"/>
        </w:rPr>
        <w:t>Agr</w:t>
      </w:r>
      <w:r w:rsidRPr="00F9522B">
        <w:rPr>
          <w:rFonts w:eastAsiaTheme="minorEastAsia"/>
          <w:kern w:val="0"/>
          <w:sz w:val="24"/>
        </w:rPr>
        <w:t>）、屏障屏蔽（</w:t>
      </w:r>
      <w:r w:rsidRPr="00F9522B">
        <w:rPr>
          <w:rFonts w:eastAsiaTheme="minorEastAsia"/>
          <w:kern w:val="0"/>
          <w:sz w:val="24"/>
        </w:rPr>
        <w:t>Abar</w:t>
      </w:r>
      <w:r w:rsidRPr="00F9522B">
        <w:rPr>
          <w:rFonts w:eastAsiaTheme="minorEastAsia"/>
          <w:kern w:val="0"/>
          <w:sz w:val="24"/>
        </w:rPr>
        <w:t>）、其他多方面效应（</w:t>
      </w:r>
      <w:r w:rsidRPr="00F9522B">
        <w:rPr>
          <w:rFonts w:eastAsiaTheme="minorEastAsia"/>
          <w:kern w:val="0"/>
          <w:sz w:val="24"/>
        </w:rPr>
        <w:t>Amisc</w:t>
      </w:r>
      <w:r w:rsidRPr="00F9522B">
        <w:rPr>
          <w:rFonts w:eastAsiaTheme="minorEastAsia"/>
          <w:kern w:val="0"/>
          <w:sz w:val="24"/>
        </w:rPr>
        <w:t>）引起的衰减。</w:t>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距声源点</w:t>
      </w:r>
      <w:r w:rsidRPr="00F9522B">
        <w:rPr>
          <w:rFonts w:eastAsiaTheme="minorEastAsia"/>
          <w:kern w:val="0"/>
          <w:sz w:val="24"/>
        </w:rPr>
        <w:t>r</w:t>
      </w:r>
      <w:r w:rsidRPr="00F9522B">
        <w:rPr>
          <w:rFonts w:eastAsiaTheme="minorEastAsia"/>
          <w:kern w:val="0"/>
          <w:sz w:val="24"/>
        </w:rPr>
        <w:t>处的</w:t>
      </w:r>
      <w:r w:rsidRPr="00F9522B">
        <w:rPr>
          <w:rFonts w:eastAsiaTheme="minorEastAsia"/>
          <w:kern w:val="0"/>
          <w:sz w:val="24"/>
        </w:rPr>
        <w:t>A</w:t>
      </w:r>
      <w:r w:rsidRPr="00F9522B">
        <w:rPr>
          <w:rFonts w:eastAsiaTheme="minorEastAsia"/>
          <w:kern w:val="0"/>
          <w:sz w:val="24"/>
        </w:rPr>
        <w:t>声级按下式计算：</w:t>
      </w:r>
    </w:p>
    <w:p w:rsidR="002A5A5E" w:rsidRPr="00F9522B" w:rsidRDefault="00611CBA">
      <w:pPr>
        <w:spacing w:line="360" w:lineRule="auto"/>
        <w:ind w:firstLineChars="200" w:firstLine="480"/>
        <w:jc w:val="center"/>
        <w:rPr>
          <w:rFonts w:eastAsiaTheme="minorEastAsia"/>
          <w:kern w:val="0"/>
          <w:sz w:val="24"/>
        </w:rPr>
      </w:pPr>
      <w:r w:rsidRPr="00F9522B">
        <w:rPr>
          <w:rFonts w:eastAsiaTheme="minorEastAsia"/>
          <w:noProof/>
          <w:kern w:val="0"/>
          <w:sz w:val="24"/>
        </w:rPr>
        <w:drawing>
          <wp:inline distT="0" distB="0" distL="0" distR="0">
            <wp:extent cx="3924300" cy="333375"/>
            <wp:effectExtent l="19050" t="0" r="0" b="0"/>
            <wp:docPr id="248" name="图片 3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图片 3144"/>
                    <pic:cNvPicPr>
                      <a:picLocks noChangeAspect="1" noChangeArrowheads="1"/>
                    </pic:cNvPicPr>
                  </pic:nvPicPr>
                  <pic:blipFill>
                    <a:blip r:embed="rId113"/>
                    <a:srcRect/>
                    <a:stretch>
                      <a:fillRect/>
                    </a:stretch>
                  </pic:blipFill>
                  <pic:spPr>
                    <a:xfrm>
                      <a:off x="0" y="0"/>
                      <a:ext cx="3924300" cy="333375"/>
                    </a:xfrm>
                    <a:prstGeom prst="rect">
                      <a:avLst/>
                    </a:prstGeom>
                    <a:noFill/>
                    <a:ln w="9525">
                      <a:noFill/>
                      <a:miter lim="800000"/>
                      <a:headEnd/>
                      <a:tailEnd/>
                    </a:ln>
                  </pic:spPr>
                </pic:pic>
              </a:graphicData>
            </a:graphic>
          </wp:inline>
        </w:drawing>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w:t>
      </w:r>
      <w:r w:rsidRPr="00F9522B">
        <w:rPr>
          <w:rFonts w:eastAsiaTheme="minorEastAsia"/>
          <w:kern w:val="0"/>
          <w:sz w:val="24"/>
        </w:rPr>
        <w:t>5</w:t>
      </w:r>
      <w:r w:rsidRPr="00F9522B">
        <w:rPr>
          <w:rFonts w:eastAsiaTheme="minorEastAsia"/>
          <w:kern w:val="0"/>
          <w:sz w:val="24"/>
        </w:rPr>
        <w:t>）拟建工程声源对预测点产生的贡献值计算</w:t>
      </w:r>
    </w:p>
    <w:p w:rsidR="002A5A5E" w:rsidRPr="00F9522B" w:rsidRDefault="00611CBA">
      <w:pPr>
        <w:spacing w:line="360" w:lineRule="auto"/>
        <w:ind w:firstLineChars="200" w:firstLine="480"/>
        <w:jc w:val="center"/>
        <w:rPr>
          <w:rFonts w:eastAsiaTheme="minorEastAsia"/>
          <w:kern w:val="0"/>
          <w:sz w:val="24"/>
        </w:rPr>
      </w:pPr>
      <w:r w:rsidRPr="00F9522B">
        <w:rPr>
          <w:rFonts w:eastAsiaTheme="minorEastAsia"/>
          <w:noProof/>
          <w:kern w:val="0"/>
          <w:sz w:val="24"/>
        </w:rPr>
        <w:drawing>
          <wp:inline distT="0" distB="0" distL="0" distR="0">
            <wp:extent cx="3333750" cy="723900"/>
            <wp:effectExtent l="19050" t="0" r="0" b="0"/>
            <wp:docPr id="249"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图片 66"/>
                    <pic:cNvPicPr>
                      <a:picLocks noChangeAspect="1" noChangeArrowheads="1"/>
                    </pic:cNvPicPr>
                  </pic:nvPicPr>
                  <pic:blipFill>
                    <a:blip r:embed="rId114"/>
                    <a:srcRect/>
                    <a:stretch>
                      <a:fillRect/>
                    </a:stretch>
                  </pic:blipFill>
                  <pic:spPr>
                    <a:xfrm>
                      <a:off x="0" y="0"/>
                      <a:ext cx="3333750" cy="723900"/>
                    </a:xfrm>
                    <a:prstGeom prst="rect">
                      <a:avLst/>
                    </a:prstGeom>
                    <a:noFill/>
                    <a:ln w="9525">
                      <a:noFill/>
                      <a:miter lim="800000"/>
                      <a:headEnd/>
                      <a:tailEnd/>
                    </a:ln>
                  </pic:spPr>
                </pic:pic>
              </a:graphicData>
            </a:graphic>
          </wp:inline>
        </w:drawing>
      </w:r>
    </w:p>
    <w:p w:rsidR="002A5A5E" w:rsidRPr="00F9522B" w:rsidRDefault="00611CBA">
      <w:pPr>
        <w:spacing w:line="360" w:lineRule="auto"/>
        <w:ind w:firstLineChars="200" w:firstLine="480"/>
        <w:jc w:val="left"/>
        <w:rPr>
          <w:rFonts w:eastAsiaTheme="minorEastAsia"/>
          <w:kern w:val="0"/>
          <w:sz w:val="24"/>
        </w:rPr>
      </w:pPr>
      <w:r w:rsidRPr="00F9522B">
        <w:rPr>
          <w:rFonts w:eastAsiaTheme="minorEastAsia"/>
          <w:kern w:val="0"/>
          <w:sz w:val="24"/>
        </w:rPr>
        <w:t>式中：</w:t>
      </w:r>
      <w:r w:rsidRPr="00F9522B">
        <w:rPr>
          <w:rFonts w:eastAsiaTheme="minorEastAsia"/>
          <w:kern w:val="0"/>
          <w:sz w:val="24"/>
        </w:rPr>
        <w:t>Leqg—</w:t>
      </w:r>
      <w:r w:rsidRPr="00F9522B">
        <w:rPr>
          <w:rFonts w:eastAsiaTheme="minorEastAsia"/>
          <w:kern w:val="0"/>
          <w:sz w:val="24"/>
        </w:rPr>
        <w:t>建设项目声源在预测点产生的噪声贡献值，</w:t>
      </w:r>
      <w:r w:rsidRPr="00F9522B">
        <w:rPr>
          <w:rFonts w:eastAsiaTheme="minorEastAsia"/>
          <w:kern w:val="0"/>
          <w:sz w:val="24"/>
        </w:rPr>
        <w:t>dB</w:t>
      </w:r>
      <w:r w:rsidRPr="00F9522B">
        <w:rPr>
          <w:rFonts w:eastAsiaTheme="minorEastAsia"/>
          <w:kern w:val="0"/>
          <w:sz w:val="24"/>
        </w:rPr>
        <w:t>；</w:t>
      </w:r>
    </w:p>
    <w:p w:rsidR="002A5A5E" w:rsidRPr="00F9522B" w:rsidRDefault="00611CBA">
      <w:pPr>
        <w:spacing w:line="360" w:lineRule="auto"/>
        <w:ind w:firstLineChars="500" w:firstLine="1200"/>
        <w:jc w:val="left"/>
        <w:rPr>
          <w:rFonts w:eastAsiaTheme="minorEastAsia"/>
          <w:kern w:val="0"/>
          <w:sz w:val="24"/>
        </w:rPr>
      </w:pPr>
      <w:r w:rsidRPr="00F9522B">
        <w:rPr>
          <w:rFonts w:eastAsiaTheme="minorEastAsia"/>
          <w:kern w:val="0"/>
          <w:sz w:val="24"/>
        </w:rPr>
        <w:t>T—</w:t>
      </w:r>
      <w:r w:rsidRPr="00F9522B">
        <w:rPr>
          <w:rFonts w:eastAsiaTheme="minorEastAsia"/>
          <w:kern w:val="0"/>
          <w:sz w:val="24"/>
        </w:rPr>
        <w:t>用于计算等效声级的时间，</w:t>
      </w:r>
      <w:r w:rsidRPr="00F9522B">
        <w:rPr>
          <w:rFonts w:eastAsiaTheme="minorEastAsia"/>
          <w:kern w:val="0"/>
          <w:sz w:val="24"/>
        </w:rPr>
        <w:t>s</w:t>
      </w:r>
      <w:r w:rsidRPr="00F9522B">
        <w:rPr>
          <w:rFonts w:eastAsiaTheme="minorEastAsia"/>
          <w:kern w:val="0"/>
          <w:sz w:val="24"/>
        </w:rPr>
        <w:t>；</w:t>
      </w:r>
    </w:p>
    <w:p w:rsidR="002A5A5E" w:rsidRPr="00F9522B" w:rsidRDefault="00611CBA">
      <w:pPr>
        <w:spacing w:line="360" w:lineRule="auto"/>
        <w:ind w:firstLineChars="500" w:firstLine="1200"/>
        <w:jc w:val="left"/>
        <w:rPr>
          <w:rFonts w:eastAsiaTheme="minorEastAsia"/>
          <w:kern w:val="0"/>
          <w:sz w:val="24"/>
        </w:rPr>
      </w:pPr>
      <w:r w:rsidRPr="00F9522B">
        <w:rPr>
          <w:rFonts w:eastAsiaTheme="minorEastAsia"/>
          <w:kern w:val="0"/>
          <w:sz w:val="24"/>
        </w:rPr>
        <w:lastRenderedPageBreak/>
        <w:t>N—</w:t>
      </w:r>
      <w:r w:rsidRPr="00F9522B">
        <w:rPr>
          <w:rFonts w:eastAsiaTheme="minorEastAsia"/>
          <w:kern w:val="0"/>
          <w:sz w:val="24"/>
        </w:rPr>
        <w:t>室外声源个数；</w:t>
      </w:r>
    </w:p>
    <w:p w:rsidR="002A5A5E" w:rsidRPr="00F9522B" w:rsidRDefault="00611CBA">
      <w:pPr>
        <w:spacing w:line="360" w:lineRule="auto"/>
        <w:ind w:firstLineChars="500" w:firstLine="1200"/>
        <w:jc w:val="left"/>
        <w:rPr>
          <w:rFonts w:eastAsiaTheme="minorEastAsia"/>
          <w:kern w:val="0"/>
          <w:sz w:val="24"/>
        </w:rPr>
      </w:pPr>
      <w:r w:rsidRPr="00F9522B">
        <w:rPr>
          <w:rFonts w:eastAsiaTheme="minorEastAsia"/>
          <w:kern w:val="0"/>
          <w:sz w:val="24"/>
        </w:rPr>
        <w:t>t</w:t>
      </w:r>
      <w:r w:rsidRPr="00F9522B">
        <w:rPr>
          <w:rFonts w:eastAsiaTheme="minorEastAsia"/>
          <w:kern w:val="0"/>
          <w:sz w:val="24"/>
          <w:vertAlign w:val="subscript"/>
        </w:rPr>
        <w:t>i</w:t>
      </w:r>
      <w:r w:rsidRPr="00F9522B">
        <w:rPr>
          <w:rFonts w:eastAsiaTheme="minorEastAsia"/>
          <w:kern w:val="0"/>
          <w:sz w:val="24"/>
        </w:rPr>
        <w:t>—</w:t>
      </w:r>
      <w:r w:rsidRPr="00F9522B">
        <w:rPr>
          <w:rFonts w:eastAsiaTheme="minorEastAsia"/>
          <w:kern w:val="0"/>
          <w:sz w:val="24"/>
        </w:rPr>
        <w:t>在</w:t>
      </w:r>
      <w:r w:rsidRPr="00F9522B">
        <w:rPr>
          <w:rFonts w:eastAsiaTheme="minorEastAsia"/>
          <w:kern w:val="0"/>
          <w:sz w:val="24"/>
        </w:rPr>
        <w:t>T</w:t>
      </w:r>
      <w:r w:rsidRPr="00F9522B">
        <w:rPr>
          <w:rFonts w:eastAsiaTheme="minorEastAsia"/>
          <w:kern w:val="0"/>
          <w:sz w:val="24"/>
        </w:rPr>
        <w:t>时间内</w:t>
      </w:r>
      <w:r w:rsidRPr="00F9522B">
        <w:rPr>
          <w:rFonts w:eastAsiaTheme="minorEastAsia"/>
          <w:kern w:val="0"/>
          <w:sz w:val="24"/>
        </w:rPr>
        <w:t>i</w:t>
      </w:r>
      <w:r w:rsidRPr="00F9522B">
        <w:rPr>
          <w:rFonts w:eastAsiaTheme="minorEastAsia"/>
          <w:kern w:val="0"/>
          <w:sz w:val="24"/>
        </w:rPr>
        <w:t>声源工作时间，</w:t>
      </w:r>
      <w:r w:rsidRPr="00F9522B">
        <w:rPr>
          <w:rFonts w:eastAsiaTheme="minorEastAsia"/>
          <w:kern w:val="0"/>
          <w:sz w:val="24"/>
        </w:rPr>
        <w:t>s</w:t>
      </w:r>
      <w:r w:rsidRPr="00F9522B">
        <w:rPr>
          <w:rFonts w:eastAsiaTheme="minorEastAsia"/>
          <w:kern w:val="0"/>
          <w:sz w:val="24"/>
        </w:rPr>
        <w:t>；</w:t>
      </w:r>
    </w:p>
    <w:p w:rsidR="002A5A5E" w:rsidRPr="00F9522B" w:rsidRDefault="00611CBA">
      <w:pPr>
        <w:spacing w:line="360" w:lineRule="auto"/>
        <w:ind w:firstLineChars="500" w:firstLine="1200"/>
        <w:jc w:val="left"/>
        <w:rPr>
          <w:rFonts w:eastAsiaTheme="minorEastAsia"/>
          <w:kern w:val="0"/>
          <w:sz w:val="24"/>
        </w:rPr>
      </w:pPr>
      <w:r w:rsidRPr="00F9522B">
        <w:rPr>
          <w:rFonts w:eastAsiaTheme="minorEastAsia"/>
          <w:kern w:val="0"/>
          <w:sz w:val="24"/>
        </w:rPr>
        <w:t>M—</w:t>
      </w:r>
      <w:r w:rsidRPr="00F9522B">
        <w:rPr>
          <w:rFonts w:eastAsiaTheme="minorEastAsia"/>
          <w:kern w:val="0"/>
          <w:sz w:val="24"/>
        </w:rPr>
        <w:t>等效室外声源个数；</w:t>
      </w:r>
    </w:p>
    <w:p w:rsidR="002A5A5E" w:rsidRPr="00F9522B" w:rsidRDefault="00611CBA">
      <w:pPr>
        <w:pStyle w:val="00"/>
        <w:ind w:firstLineChars="500" w:firstLine="1200"/>
        <w:rPr>
          <w:rFonts w:hAnsi="Times New Roman"/>
          <w:color w:val="auto"/>
        </w:rPr>
      </w:pPr>
      <w:r w:rsidRPr="00F9522B">
        <w:rPr>
          <w:rFonts w:hAnsi="Times New Roman"/>
          <w:color w:val="auto"/>
        </w:rPr>
        <w:t>t</w:t>
      </w:r>
      <w:r w:rsidRPr="00F9522B">
        <w:rPr>
          <w:rFonts w:hAnsi="Times New Roman"/>
          <w:color w:val="auto"/>
          <w:vertAlign w:val="subscript"/>
        </w:rPr>
        <w:t>j</w:t>
      </w:r>
      <w:r w:rsidRPr="00F9522B">
        <w:rPr>
          <w:rFonts w:hAnsi="Times New Roman"/>
          <w:color w:val="auto"/>
        </w:rPr>
        <w:t>—</w:t>
      </w:r>
      <w:r w:rsidRPr="00F9522B">
        <w:rPr>
          <w:rFonts w:hAnsi="Times New Roman"/>
          <w:color w:val="auto"/>
        </w:rPr>
        <w:t>在</w:t>
      </w:r>
      <w:r w:rsidRPr="00F9522B">
        <w:rPr>
          <w:rFonts w:hAnsi="Times New Roman"/>
          <w:color w:val="auto"/>
        </w:rPr>
        <w:t>T</w:t>
      </w:r>
      <w:r w:rsidRPr="00F9522B">
        <w:rPr>
          <w:rFonts w:hAnsi="Times New Roman"/>
          <w:color w:val="auto"/>
        </w:rPr>
        <w:t>时间内</w:t>
      </w:r>
      <w:r w:rsidRPr="00F9522B">
        <w:rPr>
          <w:rFonts w:hAnsi="Times New Roman"/>
          <w:color w:val="auto"/>
        </w:rPr>
        <w:t>j</w:t>
      </w:r>
      <w:r w:rsidRPr="00F9522B">
        <w:rPr>
          <w:rFonts w:hAnsi="Times New Roman"/>
          <w:color w:val="auto"/>
        </w:rPr>
        <w:t>声源工作时间，</w:t>
      </w:r>
      <w:r w:rsidRPr="00F9522B">
        <w:rPr>
          <w:rFonts w:hAnsi="Times New Roman"/>
          <w:color w:val="auto"/>
        </w:rPr>
        <w:t>s</w:t>
      </w:r>
      <w:r w:rsidRPr="00F9522B">
        <w:rPr>
          <w:rFonts w:hAnsi="Times New Roman"/>
          <w:color w:val="auto"/>
        </w:rPr>
        <w:t>。</w:t>
      </w:r>
    </w:p>
    <w:p w:rsidR="002A5A5E" w:rsidRPr="00F9522B" w:rsidRDefault="00611CBA">
      <w:pPr>
        <w:autoSpaceDE w:val="0"/>
        <w:autoSpaceDN w:val="0"/>
        <w:spacing w:before="100" w:beforeAutospacing="1" w:after="100" w:afterAutospacing="1"/>
        <w:outlineLvl w:val="3"/>
        <w:rPr>
          <w:rFonts w:eastAsiaTheme="minorEastAsia"/>
          <w:b/>
          <w:sz w:val="24"/>
        </w:rPr>
      </w:pPr>
      <w:r w:rsidRPr="00F9522B">
        <w:rPr>
          <w:rFonts w:eastAsiaTheme="minorEastAsia"/>
          <w:b/>
          <w:sz w:val="24"/>
        </w:rPr>
        <w:t>5.2.3.3</w:t>
      </w:r>
      <w:r w:rsidRPr="00F9522B">
        <w:rPr>
          <w:rFonts w:eastAsiaTheme="minorEastAsia"/>
          <w:b/>
          <w:sz w:val="24"/>
        </w:rPr>
        <w:t>预测结果</w:t>
      </w:r>
    </w:p>
    <w:p w:rsidR="002A5A5E" w:rsidRPr="00F9522B" w:rsidRDefault="00611CBA">
      <w:pPr>
        <w:pStyle w:val="aff4"/>
        <w:adjustRightInd/>
        <w:snapToGrid/>
        <w:rPr>
          <w:rFonts w:ascii="Times New Roman" w:hAnsi="Times New Roman" w:cs="Times New Roman"/>
          <w:snapToGrid w:val="0"/>
        </w:rPr>
      </w:pPr>
      <w:r w:rsidRPr="00F9522B">
        <w:rPr>
          <w:rFonts w:ascii="Times New Roman" w:hAnsi="Times New Roman" w:cs="Times New Roman"/>
          <w:lang w:val="zh-CN"/>
        </w:rPr>
        <w:t>本次选取</w:t>
      </w:r>
      <w:r w:rsidR="003E2A9F" w:rsidRPr="00F9522B">
        <w:rPr>
          <w:rFonts w:ascii="Times New Roman" w:hAnsi="Times New Roman" w:cs="Times New Roman"/>
          <w:lang w:val="zh-CN"/>
        </w:rPr>
        <w:t>1</w:t>
      </w:r>
      <w:r w:rsidRPr="00F9522B">
        <w:rPr>
          <w:rFonts w:ascii="Times New Roman" w:hAnsi="Times New Roman" w:cs="Times New Roman"/>
          <w:lang w:val="zh-CN"/>
        </w:rPr>
        <w:t>口距离周围村屯（</w:t>
      </w:r>
      <w:r w:rsidR="003E2A9F" w:rsidRPr="00F9522B">
        <w:rPr>
          <w:rFonts w:ascii="Times New Roman" w:hAnsi="Times New Roman" w:cs="Times New Roman"/>
          <w:szCs w:val="21"/>
        </w:rPr>
        <w:t>碱草村</w:t>
      </w:r>
      <w:r w:rsidRPr="00F9522B">
        <w:rPr>
          <w:rFonts w:ascii="Times New Roman" w:hAnsi="Times New Roman" w:cs="Times New Roman"/>
          <w:lang w:val="zh-CN"/>
        </w:rPr>
        <w:t>）最近的机电井</w:t>
      </w:r>
      <w:r w:rsidRPr="00F9522B">
        <w:rPr>
          <w:rFonts w:ascii="Times New Roman" w:hAnsi="Times New Roman" w:cs="Times New Roman"/>
          <w:lang w:val="zh-CN"/>
        </w:rPr>
        <w:t>-</w:t>
      </w:r>
      <w:r w:rsidR="003E2A9F" w:rsidRPr="00F9522B">
        <w:rPr>
          <w:rFonts w:ascii="Times New Roman" w:hAnsi="Times New Roman" w:cs="Times New Roman"/>
          <w:lang w:val="zh-CN"/>
        </w:rPr>
        <w:t>7</w:t>
      </w:r>
      <w:r w:rsidRPr="00F9522B">
        <w:rPr>
          <w:rFonts w:ascii="Times New Roman" w:hAnsi="Times New Roman" w:cs="Times New Roman"/>
        </w:rPr>
        <w:t>及</w:t>
      </w:r>
      <w:r w:rsidR="003E2A9F" w:rsidRPr="00F9522B">
        <w:rPr>
          <w:rFonts w:ascii="Times New Roman" w:hAnsi="Times New Roman" w:cs="Times New Roman"/>
          <w:lang w:val="zh-CN"/>
        </w:rPr>
        <w:t>1</w:t>
      </w:r>
      <w:r w:rsidRPr="00F9522B">
        <w:rPr>
          <w:rFonts w:ascii="Times New Roman" w:hAnsi="Times New Roman" w:cs="Times New Roman"/>
          <w:lang w:val="zh-CN"/>
        </w:rPr>
        <w:t>口距离周围村屯（</w:t>
      </w:r>
      <w:r w:rsidR="003E2A9F" w:rsidRPr="00F9522B">
        <w:rPr>
          <w:rFonts w:ascii="Times New Roman" w:hAnsi="Times New Roman" w:cs="Times New Roman"/>
        </w:rPr>
        <w:t>厉井村</w:t>
      </w:r>
      <w:r w:rsidRPr="00F9522B">
        <w:rPr>
          <w:rFonts w:ascii="Times New Roman" w:hAnsi="Times New Roman" w:cs="Times New Roman"/>
          <w:lang w:val="zh-CN"/>
        </w:rPr>
        <w:t>）最近的</w:t>
      </w:r>
      <w:r w:rsidR="003E2A9F" w:rsidRPr="00F9522B">
        <w:rPr>
          <w:rFonts w:ascii="Times New Roman" w:hAnsi="Times New Roman" w:cs="Times New Roman"/>
        </w:rPr>
        <w:t>滴灌</w:t>
      </w:r>
      <w:r w:rsidRPr="00F9522B">
        <w:rPr>
          <w:rFonts w:ascii="Times New Roman" w:hAnsi="Times New Roman" w:cs="Times New Roman"/>
        </w:rPr>
        <w:t>井</w:t>
      </w:r>
      <w:r w:rsidRPr="00F9522B">
        <w:rPr>
          <w:rFonts w:ascii="Times New Roman" w:hAnsi="Times New Roman" w:cs="Times New Roman"/>
        </w:rPr>
        <w:t>-</w:t>
      </w:r>
      <w:r w:rsidR="003E2A9F" w:rsidRPr="00F9522B">
        <w:rPr>
          <w:rFonts w:ascii="Times New Roman" w:hAnsi="Times New Roman" w:cs="Times New Roman"/>
        </w:rPr>
        <w:t>24</w:t>
      </w:r>
      <w:r w:rsidRPr="00F9522B">
        <w:rPr>
          <w:rFonts w:ascii="Times New Roman" w:hAnsi="Times New Roman" w:cs="Times New Roman"/>
        </w:rPr>
        <w:t>（含水肥一体）进行预测，</w:t>
      </w:r>
      <w:r w:rsidRPr="00F9522B">
        <w:rPr>
          <w:rFonts w:ascii="Times New Roman" w:hAnsi="Times New Roman" w:cs="Times New Roman"/>
          <w:snapToGrid w:val="0"/>
        </w:rPr>
        <w:t>噪声</w:t>
      </w:r>
      <w:r w:rsidRPr="00F9522B">
        <w:rPr>
          <w:rFonts w:ascii="Times New Roman" w:hAnsi="Times New Roman" w:cs="Times New Roman"/>
          <w:iCs/>
          <w:snapToGrid w:val="0"/>
        </w:rPr>
        <w:t>预测结果见下表</w:t>
      </w:r>
      <w:r w:rsidRPr="00F9522B">
        <w:rPr>
          <w:rFonts w:ascii="Times New Roman" w:hAnsi="Times New Roman" w:cs="Times New Roman"/>
          <w:snapToGrid w:val="0"/>
        </w:rPr>
        <w:t>。</w:t>
      </w:r>
    </w:p>
    <w:p w:rsidR="002A5A5E" w:rsidRPr="00F9522B" w:rsidRDefault="00611CBA">
      <w:pPr>
        <w:contextualSpacing/>
        <w:jc w:val="center"/>
        <w:rPr>
          <w:rFonts w:eastAsiaTheme="minorEastAsia"/>
          <w:snapToGrid w:val="0"/>
          <w:sz w:val="24"/>
        </w:rPr>
      </w:pPr>
      <w:r w:rsidRPr="00F9522B">
        <w:rPr>
          <w:rFonts w:eastAsiaTheme="minorEastAsia"/>
          <w:b/>
          <w:kern w:val="0"/>
          <w:szCs w:val="21"/>
        </w:rPr>
        <w:t>表</w:t>
      </w:r>
      <w:r w:rsidRPr="00F9522B">
        <w:rPr>
          <w:rFonts w:eastAsiaTheme="minorEastAsia"/>
          <w:b/>
          <w:kern w:val="0"/>
          <w:szCs w:val="21"/>
        </w:rPr>
        <w:t>5-2-5</w:t>
      </w:r>
      <w:r w:rsidRPr="00F9522B">
        <w:rPr>
          <w:rFonts w:eastAsiaTheme="minorEastAsia"/>
          <w:b/>
          <w:kern w:val="0"/>
          <w:szCs w:val="21"/>
        </w:rPr>
        <w:t>机电井井房昼夜噪声预测结果</w:t>
      </w:r>
      <w:r w:rsidRPr="00F9522B">
        <w:rPr>
          <w:rFonts w:eastAsiaTheme="minorEastAsia"/>
          <w:b/>
          <w:kern w:val="0"/>
          <w:szCs w:val="21"/>
        </w:rPr>
        <w:t xml:space="preserve">    </w:t>
      </w:r>
      <w:r w:rsidRPr="00F9522B">
        <w:rPr>
          <w:rFonts w:eastAsiaTheme="minorEastAsia"/>
          <w:b/>
          <w:kern w:val="0"/>
          <w:szCs w:val="21"/>
        </w:rPr>
        <w:t>单位：</w:t>
      </w:r>
      <w:r w:rsidRPr="00F9522B">
        <w:rPr>
          <w:rFonts w:eastAsiaTheme="minorEastAsia"/>
          <w:b/>
          <w:kern w:val="0"/>
          <w:szCs w:val="21"/>
        </w:rPr>
        <w:t>dB(A)</w:t>
      </w:r>
    </w:p>
    <w:tbl>
      <w:tblPr>
        <w:tblW w:w="8231" w:type="dxa"/>
        <w:tblInd w:w="5" w:type="dxa"/>
        <w:tblBorders>
          <w:top w:val="single" w:sz="12" w:space="0" w:color="auto"/>
          <w:bottom w:val="single" w:sz="12" w:space="0" w:color="auto"/>
          <w:insideH w:val="single" w:sz="4" w:space="0" w:color="auto"/>
          <w:insideV w:val="single" w:sz="4" w:space="0" w:color="auto"/>
        </w:tblBorders>
        <w:tblLayout w:type="fixed"/>
        <w:tblLook w:val="04A0"/>
      </w:tblPr>
      <w:tblGrid>
        <w:gridCol w:w="1543"/>
        <w:gridCol w:w="1689"/>
        <w:gridCol w:w="1689"/>
        <w:gridCol w:w="1689"/>
        <w:gridCol w:w="1621"/>
      </w:tblGrid>
      <w:tr w:rsidR="002A5A5E" w:rsidRPr="00F9522B">
        <w:trPr>
          <w:trHeight w:val="73"/>
        </w:trPr>
        <w:tc>
          <w:tcPr>
            <w:tcW w:w="1543" w:type="dxa"/>
            <w:vMerge w:val="restart"/>
            <w:vAlign w:val="center"/>
          </w:tcPr>
          <w:p w:rsidR="002A5A5E" w:rsidRPr="00F9522B" w:rsidRDefault="00611CBA">
            <w:pPr>
              <w:ind w:firstLineChars="12" w:firstLine="25"/>
              <w:jc w:val="center"/>
              <w:rPr>
                <w:rFonts w:eastAsiaTheme="minorEastAsia"/>
                <w:kern w:val="0"/>
                <w:szCs w:val="21"/>
              </w:rPr>
            </w:pPr>
            <w:r w:rsidRPr="00F9522B">
              <w:rPr>
                <w:rFonts w:eastAsiaTheme="minorEastAsia"/>
                <w:kern w:val="0"/>
                <w:szCs w:val="21"/>
              </w:rPr>
              <w:t>预测指标</w:t>
            </w:r>
          </w:p>
        </w:tc>
        <w:tc>
          <w:tcPr>
            <w:tcW w:w="1689" w:type="dxa"/>
            <w:vAlign w:val="center"/>
          </w:tcPr>
          <w:p w:rsidR="002A5A5E" w:rsidRPr="00F9522B" w:rsidRDefault="00611CBA">
            <w:pPr>
              <w:ind w:firstLineChars="12" w:firstLine="25"/>
              <w:jc w:val="center"/>
              <w:rPr>
                <w:rFonts w:eastAsiaTheme="minorEastAsia"/>
                <w:kern w:val="0"/>
                <w:szCs w:val="21"/>
              </w:rPr>
            </w:pPr>
            <w:r w:rsidRPr="00F9522B">
              <w:rPr>
                <w:rFonts w:eastAsiaTheme="minorEastAsia"/>
                <w:kern w:val="0"/>
                <w:szCs w:val="21"/>
              </w:rPr>
              <w:t>厂界东</w:t>
            </w:r>
          </w:p>
        </w:tc>
        <w:tc>
          <w:tcPr>
            <w:tcW w:w="1689" w:type="dxa"/>
            <w:vAlign w:val="center"/>
          </w:tcPr>
          <w:p w:rsidR="002A5A5E" w:rsidRPr="00F9522B" w:rsidRDefault="00611CBA">
            <w:pPr>
              <w:ind w:firstLineChars="12" w:firstLine="25"/>
              <w:jc w:val="center"/>
              <w:rPr>
                <w:rFonts w:eastAsiaTheme="minorEastAsia"/>
                <w:kern w:val="0"/>
                <w:szCs w:val="21"/>
              </w:rPr>
            </w:pPr>
            <w:r w:rsidRPr="00F9522B">
              <w:rPr>
                <w:rFonts w:eastAsiaTheme="minorEastAsia"/>
                <w:kern w:val="0"/>
                <w:szCs w:val="21"/>
              </w:rPr>
              <w:t>厂界南</w:t>
            </w:r>
          </w:p>
        </w:tc>
        <w:tc>
          <w:tcPr>
            <w:tcW w:w="1689" w:type="dxa"/>
            <w:vAlign w:val="center"/>
          </w:tcPr>
          <w:p w:rsidR="002A5A5E" w:rsidRPr="00F9522B" w:rsidRDefault="00611CBA">
            <w:pPr>
              <w:ind w:firstLineChars="12" w:firstLine="25"/>
              <w:jc w:val="center"/>
              <w:rPr>
                <w:rFonts w:eastAsiaTheme="minorEastAsia"/>
                <w:kern w:val="0"/>
                <w:szCs w:val="21"/>
              </w:rPr>
            </w:pPr>
            <w:r w:rsidRPr="00F9522B">
              <w:rPr>
                <w:rFonts w:eastAsiaTheme="minorEastAsia"/>
                <w:kern w:val="0"/>
                <w:szCs w:val="21"/>
              </w:rPr>
              <w:t>厂界西</w:t>
            </w:r>
          </w:p>
        </w:tc>
        <w:tc>
          <w:tcPr>
            <w:tcW w:w="1621" w:type="dxa"/>
            <w:vAlign w:val="center"/>
          </w:tcPr>
          <w:p w:rsidR="002A5A5E" w:rsidRPr="00F9522B" w:rsidRDefault="00611CBA">
            <w:pPr>
              <w:ind w:firstLineChars="12" w:firstLine="25"/>
              <w:jc w:val="center"/>
              <w:rPr>
                <w:rFonts w:eastAsiaTheme="minorEastAsia"/>
                <w:kern w:val="0"/>
                <w:szCs w:val="21"/>
              </w:rPr>
            </w:pPr>
            <w:r w:rsidRPr="00F9522B">
              <w:rPr>
                <w:rFonts w:eastAsiaTheme="minorEastAsia"/>
                <w:kern w:val="0"/>
                <w:szCs w:val="21"/>
              </w:rPr>
              <w:t>厂界北</w:t>
            </w:r>
          </w:p>
        </w:tc>
      </w:tr>
      <w:tr w:rsidR="002A5A5E" w:rsidRPr="00F9522B">
        <w:trPr>
          <w:trHeight w:val="191"/>
        </w:trPr>
        <w:tc>
          <w:tcPr>
            <w:tcW w:w="1543" w:type="dxa"/>
            <w:vMerge/>
            <w:vAlign w:val="center"/>
          </w:tcPr>
          <w:p w:rsidR="002A5A5E" w:rsidRPr="00F9522B" w:rsidRDefault="002A5A5E">
            <w:pPr>
              <w:ind w:firstLineChars="12" w:firstLine="25"/>
              <w:jc w:val="center"/>
              <w:rPr>
                <w:rFonts w:eastAsiaTheme="minorEastAsia"/>
                <w:kern w:val="0"/>
                <w:szCs w:val="21"/>
              </w:rPr>
            </w:pPr>
          </w:p>
        </w:tc>
        <w:tc>
          <w:tcPr>
            <w:tcW w:w="1689" w:type="dxa"/>
            <w:vAlign w:val="center"/>
          </w:tcPr>
          <w:p w:rsidR="002A5A5E" w:rsidRPr="00F9522B" w:rsidRDefault="00611CBA">
            <w:pPr>
              <w:ind w:firstLineChars="12" w:firstLine="25"/>
              <w:jc w:val="center"/>
              <w:rPr>
                <w:rFonts w:eastAsiaTheme="minorEastAsia"/>
                <w:kern w:val="0"/>
                <w:szCs w:val="21"/>
              </w:rPr>
            </w:pPr>
            <w:r w:rsidRPr="00F9522B">
              <w:rPr>
                <w:rFonts w:eastAsiaTheme="minorEastAsia"/>
                <w:kern w:val="0"/>
                <w:szCs w:val="21"/>
              </w:rPr>
              <w:t>昼间</w:t>
            </w:r>
          </w:p>
        </w:tc>
        <w:tc>
          <w:tcPr>
            <w:tcW w:w="1689" w:type="dxa"/>
            <w:vAlign w:val="center"/>
          </w:tcPr>
          <w:p w:rsidR="002A5A5E" w:rsidRPr="00F9522B" w:rsidRDefault="00611CBA">
            <w:pPr>
              <w:ind w:firstLineChars="12" w:firstLine="25"/>
              <w:jc w:val="center"/>
              <w:rPr>
                <w:rFonts w:eastAsiaTheme="minorEastAsia"/>
                <w:kern w:val="0"/>
                <w:szCs w:val="21"/>
              </w:rPr>
            </w:pPr>
            <w:r w:rsidRPr="00F9522B">
              <w:rPr>
                <w:rFonts w:eastAsiaTheme="minorEastAsia"/>
                <w:kern w:val="0"/>
                <w:szCs w:val="21"/>
              </w:rPr>
              <w:t>昼间</w:t>
            </w:r>
          </w:p>
        </w:tc>
        <w:tc>
          <w:tcPr>
            <w:tcW w:w="1689" w:type="dxa"/>
            <w:vAlign w:val="center"/>
          </w:tcPr>
          <w:p w:rsidR="002A5A5E" w:rsidRPr="00F9522B" w:rsidRDefault="00611CBA">
            <w:pPr>
              <w:ind w:firstLineChars="12" w:firstLine="25"/>
              <w:jc w:val="center"/>
              <w:rPr>
                <w:rFonts w:eastAsiaTheme="minorEastAsia"/>
                <w:kern w:val="0"/>
                <w:szCs w:val="21"/>
              </w:rPr>
            </w:pPr>
            <w:r w:rsidRPr="00F9522B">
              <w:rPr>
                <w:rFonts w:eastAsiaTheme="minorEastAsia"/>
                <w:kern w:val="0"/>
                <w:szCs w:val="21"/>
              </w:rPr>
              <w:t>昼间</w:t>
            </w:r>
          </w:p>
        </w:tc>
        <w:tc>
          <w:tcPr>
            <w:tcW w:w="1621" w:type="dxa"/>
            <w:vAlign w:val="center"/>
          </w:tcPr>
          <w:p w:rsidR="002A5A5E" w:rsidRPr="00F9522B" w:rsidRDefault="00611CBA">
            <w:pPr>
              <w:ind w:firstLineChars="12" w:firstLine="25"/>
              <w:jc w:val="center"/>
              <w:rPr>
                <w:rFonts w:eastAsiaTheme="minorEastAsia"/>
                <w:kern w:val="0"/>
                <w:szCs w:val="21"/>
              </w:rPr>
            </w:pPr>
            <w:r w:rsidRPr="00F9522B">
              <w:rPr>
                <w:rFonts w:eastAsiaTheme="minorEastAsia"/>
                <w:kern w:val="0"/>
                <w:szCs w:val="21"/>
              </w:rPr>
              <w:t>昼间</w:t>
            </w:r>
          </w:p>
        </w:tc>
      </w:tr>
      <w:tr w:rsidR="002A5A5E" w:rsidRPr="00F9522B">
        <w:trPr>
          <w:trHeight w:val="141"/>
        </w:trPr>
        <w:tc>
          <w:tcPr>
            <w:tcW w:w="1543" w:type="dxa"/>
            <w:vAlign w:val="center"/>
          </w:tcPr>
          <w:p w:rsidR="002A5A5E" w:rsidRPr="00F9522B" w:rsidRDefault="00611CBA">
            <w:pPr>
              <w:ind w:firstLineChars="100" w:firstLine="210"/>
              <w:jc w:val="center"/>
              <w:rPr>
                <w:rFonts w:eastAsiaTheme="minorEastAsia"/>
                <w:kern w:val="0"/>
                <w:szCs w:val="21"/>
              </w:rPr>
            </w:pPr>
            <w:r w:rsidRPr="00F9522B">
              <w:rPr>
                <w:rFonts w:eastAsiaTheme="minorEastAsia"/>
                <w:kern w:val="0"/>
                <w:szCs w:val="21"/>
              </w:rPr>
              <w:t>贡献值</w:t>
            </w:r>
          </w:p>
        </w:tc>
        <w:tc>
          <w:tcPr>
            <w:tcW w:w="1689" w:type="dxa"/>
            <w:vAlign w:val="center"/>
          </w:tcPr>
          <w:p w:rsidR="002A5A5E" w:rsidRPr="00F9522B" w:rsidRDefault="001E7596" w:rsidP="00545139">
            <w:pPr>
              <w:jc w:val="center"/>
              <w:rPr>
                <w:rFonts w:eastAsiaTheme="minorEastAsia"/>
                <w:kern w:val="0"/>
                <w:szCs w:val="21"/>
              </w:rPr>
            </w:pPr>
            <w:r w:rsidRPr="00F9522B">
              <w:rPr>
                <w:rFonts w:eastAsiaTheme="minorEastAsia"/>
                <w:kern w:val="0"/>
                <w:szCs w:val="21"/>
              </w:rPr>
              <w:t>51</w:t>
            </w:r>
          </w:p>
        </w:tc>
        <w:tc>
          <w:tcPr>
            <w:tcW w:w="1689" w:type="dxa"/>
            <w:vAlign w:val="center"/>
          </w:tcPr>
          <w:p w:rsidR="002A5A5E" w:rsidRPr="00F9522B" w:rsidRDefault="001E7596">
            <w:pPr>
              <w:jc w:val="center"/>
              <w:rPr>
                <w:rFonts w:eastAsiaTheme="minorEastAsia"/>
                <w:kern w:val="0"/>
                <w:szCs w:val="21"/>
              </w:rPr>
            </w:pPr>
            <w:r w:rsidRPr="00F9522B">
              <w:rPr>
                <w:rFonts w:eastAsiaTheme="minorEastAsia"/>
                <w:kern w:val="0"/>
                <w:szCs w:val="21"/>
              </w:rPr>
              <w:t>5</w:t>
            </w:r>
            <w:r w:rsidR="00611CBA" w:rsidRPr="00F9522B">
              <w:rPr>
                <w:rFonts w:eastAsiaTheme="minorEastAsia"/>
                <w:kern w:val="0"/>
                <w:szCs w:val="21"/>
              </w:rPr>
              <w:t>1</w:t>
            </w:r>
          </w:p>
        </w:tc>
        <w:tc>
          <w:tcPr>
            <w:tcW w:w="1689" w:type="dxa"/>
            <w:vAlign w:val="center"/>
          </w:tcPr>
          <w:p w:rsidR="002A5A5E" w:rsidRPr="00F9522B" w:rsidRDefault="001E7596">
            <w:pPr>
              <w:jc w:val="center"/>
              <w:rPr>
                <w:rFonts w:eastAsiaTheme="minorEastAsia"/>
                <w:kern w:val="0"/>
                <w:szCs w:val="21"/>
              </w:rPr>
            </w:pPr>
            <w:r w:rsidRPr="00F9522B">
              <w:rPr>
                <w:rFonts w:eastAsiaTheme="minorEastAsia"/>
                <w:kern w:val="0"/>
                <w:szCs w:val="21"/>
              </w:rPr>
              <w:t>5</w:t>
            </w:r>
            <w:r w:rsidR="00611CBA" w:rsidRPr="00F9522B">
              <w:rPr>
                <w:rFonts w:eastAsiaTheme="minorEastAsia"/>
                <w:kern w:val="0"/>
                <w:szCs w:val="21"/>
              </w:rPr>
              <w:t>1</w:t>
            </w:r>
          </w:p>
        </w:tc>
        <w:tc>
          <w:tcPr>
            <w:tcW w:w="1621" w:type="dxa"/>
            <w:vAlign w:val="center"/>
          </w:tcPr>
          <w:p w:rsidR="002A5A5E" w:rsidRPr="00F9522B" w:rsidRDefault="001E7596" w:rsidP="005C57FA">
            <w:pPr>
              <w:jc w:val="center"/>
              <w:rPr>
                <w:rFonts w:eastAsiaTheme="minorEastAsia"/>
                <w:kern w:val="0"/>
                <w:szCs w:val="21"/>
              </w:rPr>
            </w:pPr>
            <w:r w:rsidRPr="00F9522B">
              <w:rPr>
                <w:rFonts w:eastAsiaTheme="minorEastAsia"/>
                <w:kern w:val="0"/>
                <w:szCs w:val="21"/>
              </w:rPr>
              <w:t>5</w:t>
            </w:r>
            <w:r w:rsidR="005C57FA" w:rsidRPr="00F9522B">
              <w:rPr>
                <w:rFonts w:eastAsiaTheme="minorEastAsia"/>
                <w:kern w:val="0"/>
                <w:szCs w:val="21"/>
              </w:rPr>
              <w:t>0</w:t>
            </w:r>
          </w:p>
        </w:tc>
      </w:tr>
      <w:tr w:rsidR="002A5A5E" w:rsidRPr="00F9522B">
        <w:trPr>
          <w:trHeight w:val="47"/>
        </w:trPr>
        <w:tc>
          <w:tcPr>
            <w:tcW w:w="1543" w:type="dxa"/>
          </w:tcPr>
          <w:p w:rsidR="002A5A5E" w:rsidRPr="00F9522B" w:rsidRDefault="00611CBA">
            <w:pPr>
              <w:ind w:firstLineChars="62" w:firstLine="130"/>
              <w:jc w:val="center"/>
              <w:rPr>
                <w:rFonts w:eastAsiaTheme="minorEastAsia"/>
                <w:kern w:val="0"/>
                <w:szCs w:val="21"/>
              </w:rPr>
            </w:pPr>
            <w:r w:rsidRPr="00F9522B">
              <w:rPr>
                <w:rFonts w:eastAsiaTheme="minorEastAsia"/>
                <w:kern w:val="0"/>
                <w:szCs w:val="21"/>
              </w:rPr>
              <w:t>标准限值</w:t>
            </w:r>
          </w:p>
        </w:tc>
        <w:tc>
          <w:tcPr>
            <w:tcW w:w="6688" w:type="dxa"/>
            <w:gridSpan w:val="4"/>
          </w:tcPr>
          <w:p w:rsidR="002A5A5E" w:rsidRPr="00F9522B" w:rsidRDefault="00611CBA">
            <w:pPr>
              <w:ind w:firstLineChars="12" w:firstLine="25"/>
              <w:jc w:val="center"/>
              <w:rPr>
                <w:rFonts w:eastAsiaTheme="minorEastAsia"/>
                <w:kern w:val="0"/>
                <w:szCs w:val="21"/>
              </w:rPr>
            </w:pPr>
            <w:r w:rsidRPr="00F9522B">
              <w:rPr>
                <w:rFonts w:eastAsiaTheme="minorEastAsia"/>
                <w:kern w:val="0"/>
                <w:szCs w:val="21"/>
              </w:rPr>
              <w:t>昼：</w:t>
            </w:r>
            <w:r w:rsidRPr="00F9522B">
              <w:rPr>
                <w:rFonts w:eastAsiaTheme="minorEastAsia"/>
                <w:kern w:val="0"/>
                <w:szCs w:val="21"/>
              </w:rPr>
              <w:t>55</w:t>
            </w:r>
            <w:r w:rsidRPr="00F9522B">
              <w:rPr>
                <w:rFonts w:eastAsiaTheme="minorEastAsia"/>
                <w:kern w:val="0"/>
                <w:szCs w:val="21"/>
              </w:rPr>
              <w:t>，夜：</w:t>
            </w:r>
            <w:r w:rsidRPr="00F9522B">
              <w:rPr>
                <w:rFonts w:eastAsiaTheme="minorEastAsia"/>
                <w:kern w:val="0"/>
                <w:szCs w:val="21"/>
              </w:rPr>
              <w:t>45</w:t>
            </w:r>
          </w:p>
        </w:tc>
      </w:tr>
    </w:tbl>
    <w:p w:rsidR="002A5A5E" w:rsidRPr="00F9522B" w:rsidRDefault="00611CBA">
      <w:pPr>
        <w:contextualSpacing/>
        <w:jc w:val="center"/>
        <w:rPr>
          <w:rFonts w:eastAsiaTheme="minorEastAsia"/>
          <w:b/>
          <w:kern w:val="0"/>
          <w:szCs w:val="21"/>
        </w:rPr>
      </w:pPr>
      <w:r w:rsidRPr="00F9522B">
        <w:rPr>
          <w:rFonts w:eastAsiaTheme="minorEastAsia"/>
          <w:b/>
          <w:kern w:val="0"/>
          <w:szCs w:val="21"/>
        </w:rPr>
        <w:t xml:space="preserve">  </w:t>
      </w:r>
      <w:r w:rsidRPr="00F9522B">
        <w:rPr>
          <w:rFonts w:eastAsiaTheme="minorEastAsia"/>
          <w:b/>
          <w:kern w:val="0"/>
          <w:szCs w:val="21"/>
        </w:rPr>
        <w:t>表</w:t>
      </w:r>
      <w:r w:rsidRPr="00F9522B">
        <w:rPr>
          <w:rFonts w:eastAsiaTheme="minorEastAsia"/>
          <w:b/>
          <w:kern w:val="0"/>
          <w:szCs w:val="21"/>
        </w:rPr>
        <w:t xml:space="preserve">5-2-6 </w:t>
      </w:r>
      <w:r w:rsidRPr="00F9522B">
        <w:rPr>
          <w:rFonts w:eastAsiaTheme="minorEastAsia"/>
          <w:b/>
          <w:kern w:val="0"/>
          <w:szCs w:val="21"/>
        </w:rPr>
        <w:t>距离机电井井房最近敏感点噪声预测结果</w:t>
      </w:r>
      <w:r w:rsidRPr="00F9522B">
        <w:rPr>
          <w:rFonts w:eastAsiaTheme="minorEastAsia"/>
          <w:b/>
          <w:kern w:val="0"/>
          <w:szCs w:val="21"/>
        </w:rPr>
        <w:t xml:space="preserve">    </w:t>
      </w:r>
      <w:r w:rsidRPr="00F9522B">
        <w:rPr>
          <w:rFonts w:eastAsiaTheme="minorEastAsia"/>
          <w:b/>
          <w:kern w:val="0"/>
          <w:szCs w:val="21"/>
        </w:rPr>
        <w:t>单位：</w:t>
      </w:r>
      <w:r w:rsidRPr="00F9522B">
        <w:rPr>
          <w:rFonts w:eastAsiaTheme="minorEastAsia"/>
          <w:b/>
          <w:kern w:val="0"/>
          <w:szCs w:val="21"/>
        </w:rPr>
        <w:t>dB</w:t>
      </w:r>
      <w:r w:rsidRPr="00F9522B">
        <w:rPr>
          <w:rFonts w:eastAsiaTheme="minorEastAsia"/>
          <w:b/>
          <w:kern w:val="0"/>
          <w:szCs w:val="21"/>
        </w:rPr>
        <w:t>（</w:t>
      </w:r>
      <w:r w:rsidRPr="00F9522B">
        <w:rPr>
          <w:rFonts w:eastAsiaTheme="minorEastAsia"/>
          <w:b/>
          <w:kern w:val="0"/>
          <w:szCs w:val="21"/>
        </w:rPr>
        <w:t>A</w:t>
      </w:r>
      <w:r w:rsidRPr="00F9522B">
        <w:rPr>
          <w:rFonts w:eastAsiaTheme="minorEastAsia"/>
          <w:b/>
          <w:kern w:val="0"/>
          <w:szCs w:val="21"/>
        </w:rPr>
        <w:t>）</w:t>
      </w:r>
    </w:p>
    <w:tbl>
      <w:tblPr>
        <w:tblW w:w="5000" w:type="pct"/>
        <w:jc w:val="center"/>
        <w:tblBorders>
          <w:top w:val="single" w:sz="12" w:space="0" w:color="auto"/>
          <w:bottom w:val="single" w:sz="12" w:space="0" w:color="auto"/>
          <w:insideH w:val="single" w:sz="4" w:space="0" w:color="auto"/>
          <w:insideV w:val="single" w:sz="4" w:space="0" w:color="auto"/>
        </w:tblBorders>
        <w:tblLayout w:type="fixed"/>
        <w:tblLook w:val="04A0"/>
      </w:tblPr>
      <w:tblGrid>
        <w:gridCol w:w="2080"/>
        <w:gridCol w:w="1780"/>
        <w:gridCol w:w="1554"/>
        <w:gridCol w:w="1554"/>
        <w:gridCol w:w="1554"/>
      </w:tblGrid>
      <w:tr w:rsidR="002A5A5E" w:rsidRPr="00F9522B">
        <w:trPr>
          <w:trHeight w:val="84"/>
          <w:jc w:val="center"/>
        </w:trPr>
        <w:tc>
          <w:tcPr>
            <w:tcW w:w="1220" w:type="pct"/>
            <w:shd w:val="clear" w:color="auto" w:fill="auto"/>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预测点位</w:t>
            </w:r>
          </w:p>
        </w:tc>
        <w:tc>
          <w:tcPr>
            <w:tcW w:w="1044" w:type="pct"/>
            <w:shd w:val="clear" w:color="auto" w:fill="auto"/>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预测时段</w:t>
            </w:r>
          </w:p>
        </w:tc>
        <w:tc>
          <w:tcPr>
            <w:tcW w:w="912" w:type="pct"/>
            <w:shd w:val="clear" w:color="auto" w:fill="auto"/>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贡献值</w:t>
            </w:r>
          </w:p>
        </w:tc>
        <w:tc>
          <w:tcPr>
            <w:tcW w:w="912" w:type="pct"/>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背景值</w:t>
            </w:r>
          </w:p>
        </w:tc>
        <w:tc>
          <w:tcPr>
            <w:tcW w:w="912" w:type="pct"/>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预测值</w:t>
            </w:r>
          </w:p>
        </w:tc>
      </w:tr>
      <w:tr w:rsidR="002A5A5E" w:rsidRPr="00F9522B">
        <w:trPr>
          <w:trHeight w:val="151"/>
          <w:jc w:val="center"/>
        </w:trPr>
        <w:tc>
          <w:tcPr>
            <w:tcW w:w="1220" w:type="pct"/>
            <w:shd w:val="clear" w:color="auto" w:fill="auto"/>
            <w:vAlign w:val="center"/>
          </w:tcPr>
          <w:p w:rsidR="002A5A5E" w:rsidRPr="00F9522B" w:rsidRDefault="003E2A9F">
            <w:pPr>
              <w:jc w:val="center"/>
              <w:rPr>
                <w:rFonts w:eastAsiaTheme="minorEastAsia"/>
                <w:bCs/>
                <w:kern w:val="0"/>
                <w:szCs w:val="21"/>
              </w:rPr>
            </w:pPr>
            <w:r w:rsidRPr="00F9522B">
              <w:rPr>
                <w:rFonts w:eastAsiaTheme="minorEastAsia"/>
                <w:szCs w:val="21"/>
              </w:rPr>
              <w:t>碱草村</w:t>
            </w:r>
          </w:p>
        </w:tc>
        <w:tc>
          <w:tcPr>
            <w:tcW w:w="1044" w:type="pct"/>
            <w:shd w:val="clear" w:color="auto" w:fill="auto"/>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昼</w:t>
            </w:r>
          </w:p>
        </w:tc>
        <w:tc>
          <w:tcPr>
            <w:tcW w:w="912" w:type="pct"/>
            <w:shd w:val="clear" w:color="auto" w:fill="auto"/>
            <w:vAlign w:val="center"/>
          </w:tcPr>
          <w:p w:rsidR="002A5A5E" w:rsidRPr="00F9522B" w:rsidRDefault="001E7596" w:rsidP="00D86A2B">
            <w:pPr>
              <w:jc w:val="center"/>
              <w:rPr>
                <w:rFonts w:eastAsiaTheme="minorEastAsia"/>
                <w:szCs w:val="21"/>
              </w:rPr>
            </w:pPr>
            <w:r w:rsidRPr="00F9522B">
              <w:rPr>
                <w:rFonts w:eastAsiaTheme="minorEastAsia"/>
                <w:szCs w:val="21"/>
              </w:rPr>
              <w:t>44</w:t>
            </w:r>
          </w:p>
        </w:tc>
        <w:tc>
          <w:tcPr>
            <w:tcW w:w="912" w:type="pct"/>
            <w:vAlign w:val="center"/>
          </w:tcPr>
          <w:p w:rsidR="002A5A5E" w:rsidRPr="00F9522B" w:rsidRDefault="00545139">
            <w:pPr>
              <w:jc w:val="center"/>
              <w:rPr>
                <w:rFonts w:eastAsiaTheme="minorEastAsia"/>
                <w:szCs w:val="21"/>
              </w:rPr>
            </w:pPr>
            <w:r w:rsidRPr="00F9522B">
              <w:rPr>
                <w:rFonts w:eastAsiaTheme="minorEastAsia"/>
                <w:szCs w:val="21"/>
              </w:rPr>
              <w:t>51</w:t>
            </w:r>
          </w:p>
        </w:tc>
        <w:tc>
          <w:tcPr>
            <w:tcW w:w="912" w:type="pct"/>
            <w:vAlign w:val="center"/>
          </w:tcPr>
          <w:p w:rsidR="002A5A5E" w:rsidRPr="00F9522B" w:rsidRDefault="00611CBA" w:rsidP="001E7596">
            <w:pPr>
              <w:jc w:val="center"/>
              <w:rPr>
                <w:rFonts w:eastAsiaTheme="minorEastAsia"/>
                <w:szCs w:val="21"/>
              </w:rPr>
            </w:pPr>
            <w:r w:rsidRPr="00F9522B">
              <w:rPr>
                <w:rFonts w:eastAsiaTheme="minorEastAsia"/>
                <w:szCs w:val="21"/>
              </w:rPr>
              <w:t>5</w:t>
            </w:r>
            <w:r w:rsidR="001E7596" w:rsidRPr="00F9522B">
              <w:rPr>
                <w:rFonts w:eastAsiaTheme="minorEastAsia"/>
                <w:szCs w:val="21"/>
              </w:rPr>
              <w:t>2</w:t>
            </w:r>
          </w:p>
        </w:tc>
      </w:tr>
    </w:tbl>
    <w:p w:rsidR="002A5A5E" w:rsidRPr="00F9522B" w:rsidRDefault="00611CBA">
      <w:pPr>
        <w:contextualSpacing/>
        <w:jc w:val="center"/>
        <w:rPr>
          <w:rFonts w:eastAsiaTheme="minorEastAsia"/>
          <w:snapToGrid w:val="0"/>
          <w:sz w:val="24"/>
        </w:rPr>
      </w:pPr>
      <w:r w:rsidRPr="00F9522B">
        <w:rPr>
          <w:rFonts w:eastAsiaTheme="minorEastAsia"/>
          <w:b/>
          <w:kern w:val="0"/>
          <w:szCs w:val="21"/>
        </w:rPr>
        <w:t>表</w:t>
      </w:r>
      <w:r w:rsidRPr="00F9522B">
        <w:rPr>
          <w:rFonts w:eastAsiaTheme="minorEastAsia"/>
          <w:b/>
          <w:kern w:val="0"/>
          <w:szCs w:val="21"/>
        </w:rPr>
        <w:t>5-2-7</w:t>
      </w:r>
      <w:r w:rsidR="003E2A9F" w:rsidRPr="00F9522B">
        <w:rPr>
          <w:rFonts w:eastAsiaTheme="minorEastAsia"/>
          <w:b/>
          <w:kern w:val="0"/>
          <w:szCs w:val="21"/>
        </w:rPr>
        <w:t>滴灌</w:t>
      </w:r>
      <w:r w:rsidRPr="00F9522B">
        <w:rPr>
          <w:rFonts w:eastAsiaTheme="minorEastAsia"/>
          <w:b/>
          <w:kern w:val="0"/>
          <w:szCs w:val="21"/>
        </w:rPr>
        <w:t>井（含水肥一体）井房昼夜噪声预测结果</w:t>
      </w:r>
      <w:r w:rsidRPr="00F9522B">
        <w:rPr>
          <w:rFonts w:eastAsiaTheme="minorEastAsia"/>
          <w:b/>
          <w:kern w:val="0"/>
          <w:szCs w:val="21"/>
        </w:rPr>
        <w:t xml:space="preserve">    </w:t>
      </w:r>
      <w:r w:rsidRPr="00F9522B">
        <w:rPr>
          <w:rFonts w:eastAsiaTheme="minorEastAsia"/>
          <w:b/>
          <w:kern w:val="0"/>
          <w:szCs w:val="21"/>
        </w:rPr>
        <w:t>单位：</w:t>
      </w:r>
      <w:r w:rsidRPr="00F9522B">
        <w:rPr>
          <w:rFonts w:eastAsiaTheme="minorEastAsia"/>
          <w:b/>
          <w:kern w:val="0"/>
          <w:szCs w:val="21"/>
        </w:rPr>
        <w:t>dB(A)</w:t>
      </w:r>
    </w:p>
    <w:tbl>
      <w:tblPr>
        <w:tblW w:w="8231" w:type="dxa"/>
        <w:tblInd w:w="5" w:type="dxa"/>
        <w:tblBorders>
          <w:top w:val="single" w:sz="12" w:space="0" w:color="auto"/>
          <w:bottom w:val="single" w:sz="12" w:space="0" w:color="auto"/>
          <w:insideH w:val="single" w:sz="4" w:space="0" w:color="auto"/>
          <w:insideV w:val="single" w:sz="4" w:space="0" w:color="auto"/>
        </w:tblBorders>
        <w:tblLayout w:type="fixed"/>
        <w:tblLook w:val="04A0"/>
      </w:tblPr>
      <w:tblGrid>
        <w:gridCol w:w="1543"/>
        <w:gridCol w:w="1689"/>
        <w:gridCol w:w="1689"/>
        <w:gridCol w:w="1689"/>
        <w:gridCol w:w="1621"/>
      </w:tblGrid>
      <w:tr w:rsidR="002A5A5E" w:rsidRPr="00F9522B">
        <w:trPr>
          <w:trHeight w:val="295"/>
        </w:trPr>
        <w:tc>
          <w:tcPr>
            <w:tcW w:w="1543" w:type="dxa"/>
            <w:vMerge w:val="restart"/>
            <w:vAlign w:val="center"/>
          </w:tcPr>
          <w:p w:rsidR="002A5A5E" w:rsidRPr="00F9522B" w:rsidRDefault="00611CBA">
            <w:pPr>
              <w:ind w:firstLineChars="12" w:firstLine="25"/>
              <w:jc w:val="center"/>
              <w:rPr>
                <w:rFonts w:eastAsiaTheme="minorEastAsia"/>
                <w:kern w:val="0"/>
                <w:szCs w:val="21"/>
              </w:rPr>
            </w:pPr>
            <w:r w:rsidRPr="00F9522B">
              <w:rPr>
                <w:rFonts w:eastAsiaTheme="minorEastAsia"/>
                <w:kern w:val="0"/>
                <w:szCs w:val="21"/>
              </w:rPr>
              <w:t>预测指标</w:t>
            </w:r>
          </w:p>
        </w:tc>
        <w:tc>
          <w:tcPr>
            <w:tcW w:w="1689" w:type="dxa"/>
            <w:vAlign w:val="center"/>
          </w:tcPr>
          <w:p w:rsidR="002A5A5E" w:rsidRPr="00F9522B" w:rsidRDefault="00611CBA">
            <w:pPr>
              <w:ind w:firstLineChars="12" w:firstLine="25"/>
              <w:jc w:val="center"/>
              <w:rPr>
                <w:rFonts w:eastAsiaTheme="minorEastAsia"/>
                <w:kern w:val="0"/>
                <w:szCs w:val="21"/>
              </w:rPr>
            </w:pPr>
            <w:r w:rsidRPr="00F9522B">
              <w:rPr>
                <w:rFonts w:eastAsiaTheme="minorEastAsia"/>
                <w:kern w:val="0"/>
                <w:szCs w:val="21"/>
              </w:rPr>
              <w:t>厂界东</w:t>
            </w:r>
          </w:p>
        </w:tc>
        <w:tc>
          <w:tcPr>
            <w:tcW w:w="1689" w:type="dxa"/>
            <w:vAlign w:val="center"/>
          </w:tcPr>
          <w:p w:rsidR="002A5A5E" w:rsidRPr="00F9522B" w:rsidRDefault="00611CBA">
            <w:pPr>
              <w:ind w:firstLineChars="12" w:firstLine="25"/>
              <w:jc w:val="center"/>
              <w:rPr>
                <w:rFonts w:eastAsiaTheme="minorEastAsia"/>
                <w:kern w:val="0"/>
                <w:szCs w:val="21"/>
              </w:rPr>
            </w:pPr>
            <w:r w:rsidRPr="00F9522B">
              <w:rPr>
                <w:rFonts w:eastAsiaTheme="minorEastAsia"/>
                <w:kern w:val="0"/>
                <w:szCs w:val="21"/>
              </w:rPr>
              <w:t>厂界南</w:t>
            </w:r>
          </w:p>
        </w:tc>
        <w:tc>
          <w:tcPr>
            <w:tcW w:w="1689" w:type="dxa"/>
            <w:vAlign w:val="center"/>
          </w:tcPr>
          <w:p w:rsidR="002A5A5E" w:rsidRPr="00F9522B" w:rsidRDefault="00611CBA">
            <w:pPr>
              <w:ind w:firstLineChars="12" w:firstLine="25"/>
              <w:jc w:val="center"/>
              <w:rPr>
                <w:rFonts w:eastAsiaTheme="minorEastAsia"/>
                <w:kern w:val="0"/>
                <w:szCs w:val="21"/>
              </w:rPr>
            </w:pPr>
            <w:r w:rsidRPr="00F9522B">
              <w:rPr>
                <w:rFonts w:eastAsiaTheme="minorEastAsia"/>
                <w:kern w:val="0"/>
                <w:szCs w:val="21"/>
              </w:rPr>
              <w:t>厂界西</w:t>
            </w:r>
          </w:p>
        </w:tc>
        <w:tc>
          <w:tcPr>
            <w:tcW w:w="1621" w:type="dxa"/>
            <w:vAlign w:val="center"/>
          </w:tcPr>
          <w:p w:rsidR="002A5A5E" w:rsidRPr="00F9522B" w:rsidRDefault="00611CBA">
            <w:pPr>
              <w:ind w:firstLineChars="12" w:firstLine="25"/>
              <w:jc w:val="center"/>
              <w:rPr>
                <w:rFonts w:eastAsiaTheme="minorEastAsia"/>
                <w:kern w:val="0"/>
                <w:szCs w:val="21"/>
              </w:rPr>
            </w:pPr>
            <w:r w:rsidRPr="00F9522B">
              <w:rPr>
                <w:rFonts w:eastAsiaTheme="minorEastAsia"/>
                <w:kern w:val="0"/>
                <w:szCs w:val="21"/>
              </w:rPr>
              <w:t>厂界北</w:t>
            </w:r>
          </w:p>
        </w:tc>
      </w:tr>
      <w:tr w:rsidR="002A5A5E" w:rsidRPr="00F9522B">
        <w:trPr>
          <w:trHeight w:val="191"/>
        </w:trPr>
        <w:tc>
          <w:tcPr>
            <w:tcW w:w="1543" w:type="dxa"/>
            <w:vMerge/>
            <w:vAlign w:val="center"/>
          </w:tcPr>
          <w:p w:rsidR="002A5A5E" w:rsidRPr="00F9522B" w:rsidRDefault="002A5A5E">
            <w:pPr>
              <w:ind w:firstLineChars="12" w:firstLine="25"/>
              <w:jc w:val="center"/>
              <w:rPr>
                <w:rFonts w:eastAsiaTheme="minorEastAsia"/>
                <w:kern w:val="0"/>
                <w:szCs w:val="21"/>
              </w:rPr>
            </w:pPr>
          </w:p>
        </w:tc>
        <w:tc>
          <w:tcPr>
            <w:tcW w:w="1689" w:type="dxa"/>
            <w:vAlign w:val="center"/>
          </w:tcPr>
          <w:p w:rsidR="002A5A5E" w:rsidRPr="00F9522B" w:rsidRDefault="00611CBA">
            <w:pPr>
              <w:ind w:firstLineChars="12" w:firstLine="25"/>
              <w:jc w:val="center"/>
              <w:rPr>
                <w:rFonts w:eastAsiaTheme="minorEastAsia"/>
                <w:kern w:val="0"/>
                <w:szCs w:val="21"/>
              </w:rPr>
            </w:pPr>
            <w:r w:rsidRPr="00F9522B">
              <w:rPr>
                <w:rFonts w:eastAsiaTheme="minorEastAsia"/>
                <w:kern w:val="0"/>
                <w:szCs w:val="21"/>
              </w:rPr>
              <w:t>昼间</w:t>
            </w:r>
          </w:p>
        </w:tc>
        <w:tc>
          <w:tcPr>
            <w:tcW w:w="1689" w:type="dxa"/>
            <w:vAlign w:val="center"/>
          </w:tcPr>
          <w:p w:rsidR="002A5A5E" w:rsidRPr="00F9522B" w:rsidRDefault="00611CBA">
            <w:pPr>
              <w:ind w:firstLineChars="12" w:firstLine="25"/>
              <w:jc w:val="center"/>
              <w:rPr>
                <w:rFonts w:eastAsiaTheme="minorEastAsia"/>
                <w:kern w:val="0"/>
                <w:szCs w:val="21"/>
              </w:rPr>
            </w:pPr>
            <w:r w:rsidRPr="00F9522B">
              <w:rPr>
                <w:rFonts w:eastAsiaTheme="minorEastAsia"/>
                <w:kern w:val="0"/>
                <w:szCs w:val="21"/>
              </w:rPr>
              <w:t>昼间</w:t>
            </w:r>
          </w:p>
        </w:tc>
        <w:tc>
          <w:tcPr>
            <w:tcW w:w="1689" w:type="dxa"/>
            <w:vAlign w:val="center"/>
          </w:tcPr>
          <w:p w:rsidR="002A5A5E" w:rsidRPr="00F9522B" w:rsidRDefault="00611CBA">
            <w:pPr>
              <w:ind w:firstLineChars="12" w:firstLine="25"/>
              <w:jc w:val="center"/>
              <w:rPr>
                <w:rFonts w:eastAsiaTheme="minorEastAsia"/>
                <w:kern w:val="0"/>
                <w:szCs w:val="21"/>
              </w:rPr>
            </w:pPr>
            <w:r w:rsidRPr="00F9522B">
              <w:rPr>
                <w:rFonts w:eastAsiaTheme="minorEastAsia"/>
                <w:kern w:val="0"/>
                <w:szCs w:val="21"/>
              </w:rPr>
              <w:t>昼间</w:t>
            </w:r>
          </w:p>
        </w:tc>
        <w:tc>
          <w:tcPr>
            <w:tcW w:w="1621" w:type="dxa"/>
            <w:vAlign w:val="center"/>
          </w:tcPr>
          <w:p w:rsidR="002A5A5E" w:rsidRPr="00F9522B" w:rsidRDefault="00611CBA">
            <w:pPr>
              <w:ind w:firstLineChars="12" w:firstLine="25"/>
              <w:jc w:val="center"/>
              <w:rPr>
                <w:rFonts w:eastAsiaTheme="minorEastAsia"/>
                <w:kern w:val="0"/>
                <w:szCs w:val="21"/>
              </w:rPr>
            </w:pPr>
            <w:r w:rsidRPr="00F9522B">
              <w:rPr>
                <w:rFonts w:eastAsiaTheme="minorEastAsia"/>
                <w:kern w:val="0"/>
                <w:szCs w:val="21"/>
              </w:rPr>
              <w:t>昼间</w:t>
            </w:r>
          </w:p>
        </w:tc>
      </w:tr>
      <w:tr w:rsidR="002A5A5E" w:rsidRPr="00F9522B">
        <w:trPr>
          <w:trHeight w:val="141"/>
        </w:trPr>
        <w:tc>
          <w:tcPr>
            <w:tcW w:w="1543" w:type="dxa"/>
            <w:vAlign w:val="center"/>
          </w:tcPr>
          <w:p w:rsidR="002A5A5E" w:rsidRPr="00F9522B" w:rsidRDefault="00611CBA">
            <w:pPr>
              <w:ind w:firstLineChars="100" w:firstLine="210"/>
              <w:jc w:val="center"/>
              <w:rPr>
                <w:rFonts w:eastAsiaTheme="minorEastAsia"/>
                <w:kern w:val="0"/>
                <w:szCs w:val="21"/>
              </w:rPr>
            </w:pPr>
            <w:r w:rsidRPr="00F9522B">
              <w:rPr>
                <w:rFonts w:eastAsiaTheme="minorEastAsia"/>
                <w:kern w:val="0"/>
                <w:szCs w:val="21"/>
              </w:rPr>
              <w:t>贡献值</w:t>
            </w:r>
          </w:p>
        </w:tc>
        <w:tc>
          <w:tcPr>
            <w:tcW w:w="1689" w:type="dxa"/>
            <w:vAlign w:val="center"/>
          </w:tcPr>
          <w:p w:rsidR="002A5A5E" w:rsidRPr="00F9522B" w:rsidRDefault="005C57FA">
            <w:pPr>
              <w:jc w:val="center"/>
              <w:rPr>
                <w:rFonts w:eastAsiaTheme="minorEastAsia"/>
                <w:kern w:val="0"/>
                <w:szCs w:val="21"/>
              </w:rPr>
            </w:pPr>
            <w:r w:rsidRPr="00F9522B">
              <w:rPr>
                <w:rFonts w:eastAsiaTheme="minorEastAsia"/>
                <w:kern w:val="0"/>
                <w:szCs w:val="21"/>
              </w:rPr>
              <w:t>51</w:t>
            </w:r>
          </w:p>
        </w:tc>
        <w:tc>
          <w:tcPr>
            <w:tcW w:w="1689" w:type="dxa"/>
            <w:vAlign w:val="center"/>
          </w:tcPr>
          <w:p w:rsidR="002A5A5E" w:rsidRPr="00F9522B" w:rsidRDefault="005C57FA" w:rsidP="00545139">
            <w:pPr>
              <w:jc w:val="center"/>
              <w:rPr>
                <w:rFonts w:eastAsiaTheme="minorEastAsia"/>
                <w:kern w:val="0"/>
                <w:szCs w:val="21"/>
              </w:rPr>
            </w:pPr>
            <w:r w:rsidRPr="00F9522B">
              <w:rPr>
                <w:rFonts w:eastAsiaTheme="minorEastAsia"/>
                <w:kern w:val="0"/>
                <w:szCs w:val="21"/>
              </w:rPr>
              <w:t>50</w:t>
            </w:r>
          </w:p>
        </w:tc>
        <w:tc>
          <w:tcPr>
            <w:tcW w:w="1689" w:type="dxa"/>
            <w:vAlign w:val="center"/>
          </w:tcPr>
          <w:p w:rsidR="002A5A5E" w:rsidRPr="00F9522B" w:rsidRDefault="005C57FA">
            <w:pPr>
              <w:jc w:val="center"/>
              <w:rPr>
                <w:rFonts w:eastAsiaTheme="minorEastAsia"/>
                <w:kern w:val="0"/>
                <w:szCs w:val="21"/>
              </w:rPr>
            </w:pPr>
            <w:r w:rsidRPr="00F9522B">
              <w:rPr>
                <w:rFonts w:eastAsiaTheme="minorEastAsia"/>
                <w:kern w:val="0"/>
                <w:szCs w:val="21"/>
              </w:rPr>
              <w:t>52</w:t>
            </w:r>
          </w:p>
        </w:tc>
        <w:tc>
          <w:tcPr>
            <w:tcW w:w="1621" w:type="dxa"/>
            <w:vAlign w:val="center"/>
          </w:tcPr>
          <w:p w:rsidR="002A5A5E" w:rsidRPr="00F9522B" w:rsidRDefault="005C57FA">
            <w:pPr>
              <w:jc w:val="center"/>
              <w:rPr>
                <w:rFonts w:eastAsiaTheme="minorEastAsia"/>
                <w:kern w:val="0"/>
                <w:szCs w:val="21"/>
              </w:rPr>
            </w:pPr>
            <w:r w:rsidRPr="00F9522B">
              <w:rPr>
                <w:rFonts w:eastAsiaTheme="minorEastAsia"/>
                <w:kern w:val="0"/>
                <w:szCs w:val="21"/>
              </w:rPr>
              <w:t>5</w:t>
            </w:r>
            <w:r w:rsidR="00611CBA" w:rsidRPr="00F9522B">
              <w:rPr>
                <w:rFonts w:eastAsiaTheme="minorEastAsia"/>
                <w:kern w:val="0"/>
                <w:szCs w:val="21"/>
              </w:rPr>
              <w:t>1</w:t>
            </w:r>
          </w:p>
        </w:tc>
      </w:tr>
      <w:tr w:rsidR="002A5A5E" w:rsidRPr="00F9522B">
        <w:trPr>
          <w:trHeight w:val="47"/>
        </w:trPr>
        <w:tc>
          <w:tcPr>
            <w:tcW w:w="1543" w:type="dxa"/>
          </w:tcPr>
          <w:p w:rsidR="002A5A5E" w:rsidRPr="00F9522B" w:rsidRDefault="00611CBA">
            <w:pPr>
              <w:ind w:firstLineChars="62" w:firstLine="130"/>
              <w:jc w:val="center"/>
              <w:rPr>
                <w:rFonts w:eastAsiaTheme="minorEastAsia"/>
                <w:kern w:val="0"/>
                <w:szCs w:val="21"/>
              </w:rPr>
            </w:pPr>
            <w:r w:rsidRPr="00F9522B">
              <w:rPr>
                <w:rFonts w:eastAsiaTheme="minorEastAsia"/>
                <w:kern w:val="0"/>
                <w:szCs w:val="21"/>
              </w:rPr>
              <w:t>标准限值</w:t>
            </w:r>
          </w:p>
        </w:tc>
        <w:tc>
          <w:tcPr>
            <w:tcW w:w="6688" w:type="dxa"/>
            <w:gridSpan w:val="4"/>
          </w:tcPr>
          <w:p w:rsidR="002A5A5E" w:rsidRPr="00F9522B" w:rsidRDefault="00611CBA">
            <w:pPr>
              <w:ind w:firstLineChars="12" w:firstLine="25"/>
              <w:jc w:val="center"/>
              <w:rPr>
                <w:rFonts w:eastAsiaTheme="minorEastAsia"/>
                <w:kern w:val="0"/>
                <w:szCs w:val="21"/>
              </w:rPr>
            </w:pPr>
            <w:r w:rsidRPr="00F9522B">
              <w:rPr>
                <w:rFonts w:eastAsiaTheme="minorEastAsia"/>
                <w:kern w:val="0"/>
                <w:szCs w:val="21"/>
              </w:rPr>
              <w:t>昼：</w:t>
            </w:r>
            <w:r w:rsidRPr="00F9522B">
              <w:rPr>
                <w:rFonts w:eastAsiaTheme="minorEastAsia"/>
                <w:kern w:val="0"/>
                <w:szCs w:val="21"/>
              </w:rPr>
              <w:t>55</w:t>
            </w:r>
            <w:r w:rsidRPr="00F9522B">
              <w:rPr>
                <w:rFonts w:eastAsiaTheme="minorEastAsia"/>
                <w:kern w:val="0"/>
                <w:szCs w:val="21"/>
              </w:rPr>
              <w:t>，夜：</w:t>
            </w:r>
            <w:r w:rsidRPr="00F9522B">
              <w:rPr>
                <w:rFonts w:eastAsiaTheme="minorEastAsia"/>
                <w:kern w:val="0"/>
                <w:szCs w:val="21"/>
              </w:rPr>
              <w:t>45</w:t>
            </w:r>
          </w:p>
        </w:tc>
      </w:tr>
    </w:tbl>
    <w:p w:rsidR="002A5A5E" w:rsidRPr="00F9522B" w:rsidRDefault="00611CBA">
      <w:pPr>
        <w:contextualSpacing/>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 xml:space="preserve">5-2-8 </w:t>
      </w:r>
      <w:r w:rsidRPr="00F9522B">
        <w:rPr>
          <w:rFonts w:eastAsiaTheme="minorEastAsia"/>
          <w:b/>
          <w:kern w:val="0"/>
          <w:szCs w:val="21"/>
        </w:rPr>
        <w:t>距离</w:t>
      </w:r>
      <w:r w:rsidR="003E2A9F" w:rsidRPr="00F9522B">
        <w:rPr>
          <w:rFonts w:eastAsiaTheme="minorEastAsia"/>
          <w:b/>
          <w:kern w:val="0"/>
          <w:szCs w:val="21"/>
        </w:rPr>
        <w:t>滴灌</w:t>
      </w:r>
      <w:r w:rsidRPr="00F9522B">
        <w:rPr>
          <w:rFonts w:eastAsiaTheme="minorEastAsia"/>
          <w:b/>
          <w:kern w:val="0"/>
          <w:szCs w:val="21"/>
        </w:rPr>
        <w:t>井（含水肥一体）井房最近敏感点噪声预测结果</w:t>
      </w:r>
      <w:r w:rsidRPr="00F9522B">
        <w:rPr>
          <w:rFonts w:eastAsiaTheme="minorEastAsia"/>
          <w:b/>
          <w:kern w:val="0"/>
          <w:szCs w:val="21"/>
        </w:rPr>
        <w:t xml:space="preserve">  </w:t>
      </w:r>
      <w:r w:rsidRPr="00F9522B">
        <w:rPr>
          <w:rFonts w:eastAsiaTheme="minorEastAsia"/>
          <w:b/>
          <w:kern w:val="0"/>
          <w:szCs w:val="21"/>
        </w:rPr>
        <w:t>单位：</w:t>
      </w:r>
      <w:r w:rsidRPr="00F9522B">
        <w:rPr>
          <w:rFonts w:eastAsiaTheme="minorEastAsia"/>
          <w:b/>
          <w:kern w:val="0"/>
          <w:szCs w:val="21"/>
        </w:rPr>
        <w:t>dB</w:t>
      </w:r>
      <w:r w:rsidRPr="00F9522B">
        <w:rPr>
          <w:rFonts w:eastAsiaTheme="minorEastAsia"/>
          <w:b/>
          <w:kern w:val="0"/>
          <w:szCs w:val="21"/>
        </w:rPr>
        <w:t>（</w:t>
      </w:r>
      <w:r w:rsidRPr="00F9522B">
        <w:rPr>
          <w:rFonts w:eastAsiaTheme="minorEastAsia"/>
          <w:b/>
          <w:kern w:val="0"/>
          <w:szCs w:val="21"/>
        </w:rPr>
        <w:t>A</w:t>
      </w:r>
      <w:r w:rsidRPr="00F9522B">
        <w:rPr>
          <w:rFonts w:eastAsiaTheme="minorEastAsia"/>
          <w:b/>
          <w:kern w:val="0"/>
          <w:szCs w:val="21"/>
        </w:rPr>
        <w:t>）</w:t>
      </w:r>
    </w:p>
    <w:tbl>
      <w:tblPr>
        <w:tblW w:w="5000" w:type="pct"/>
        <w:jc w:val="center"/>
        <w:tblBorders>
          <w:top w:val="single" w:sz="12" w:space="0" w:color="auto"/>
          <w:bottom w:val="single" w:sz="12" w:space="0" w:color="auto"/>
          <w:insideH w:val="single" w:sz="4" w:space="0" w:color="auto"/>
          <w:insideV w:val="single" w:sz="4" w:space="0" w:color="auto"/>
        </w:tblBorders>
        <w:tblLayout w:type="fixed"/>
        <w:tblLook w:val="04A0"/>
      </w:tblPr>
      <w:tblGrid>
        <w:gridCol w:w="2080"/>
        <w:gridCol w:w="1780"/>
        <w:gridCol w:w="1554"/>
        <w:gridCol w:w="1554"/>
        <w:gridCol w:w="1554"/>
      </w:tblGrid>
      <w:tr w:rsidR="002A5A5E" w:rsidRPr="00F9522B">
        <w:trPr>
          <w:trHeight w:val="84"/>
          <w:jc w:val="center"/>
        </w:trPr>
        <w:tc>
          <w:tcPr>
            <w:tcW w:w="1220" w:type="pct"/>
            <w:shd w:val="clear" w:color="auto" w:fill="auto"/>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预测点位</w:t>
            </w:r>
          </w:p>
        </w:tc>
        <w:tc>
          <w:tcPr>
            <w:tcW w:w="1044" w:type="pct"/>
            <w:shd w:val="clear" w:color="auto" w:fill="auto"/>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预测时段</w:t>
            </w:r>
          </w:p>
        </w:tc>
        <w:tc>
          <w:tcPr>
            <w:tcW w:w="912" w:type="pct"/>
            <w:shd w:val="clear" w:color="auto" w:fill="auto"/>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贡献值</w:t>
            </w:r>
          </w:p>
        </w:tc>
        <w:tc>
          <w:tcPr>
            <w:tcW w:w="912" w:type="pct"/>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背景值</w:t>
            </w:r>
          </w:p>
        </w:tc>
        <w:tc>
          <w:tcPr>
            <w:tcW w:w="912" w:type="pct"/>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预测值</w:t>
            </w:r>
          </w:p>
        </w:tc>
      </w:tr>
      <w:tr w:rsidR="002A5A5E" w:rsidRPr="00F9522B">
        <w:trPr>
          <w:trHeight w:val="223"/>
          <w:jc w:val="center"/>
        </w:trPr>
        <w:tc>
          <w:tcPr>
            <w:tcW w:w="1220" w:type="pct"/>
            <w:shd w:val="clear" w:color="auto" w:fill="auto"/>
            <w:vAlign w:val="center"/>
          </w:tcPr>
          <w:p w:rsidR="002A5A5E" w:rsidRPr="00F9522B" w:rsidRDefault="003E2A9F">
            <w:pPr>
              <w:jc w:val="center"/>
              <w:rPr>
                <w:rFonts w:eastAsiaTheme="minorEastAsia"/>
                <w:bCs/>
                <w:kern w:val="0"/>
                <w:szCs w:val="21"/>
              </w:rPr>
            </w:pPr>
            <w:r w:rsidRPr="00F9522B">
              <w:rPr>
                <w:rFonts w:eastAsiaTheme="minorEastAsia"/>
              </w:rPr>
              <w:t>厉井村</w:t>
            </w:r>
          </w:p>
        </w:tc>
        <w:tc>
          <w:tcPr>
            <w:tcW w:w="1044" w:type="pct"/>
            <w:shd w:val="clear" w:color="auto" w:fill="auto"/>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昼</w:t>
            </w:r>
          </w:p>
        </w:tc>
        <w:tc>
          <w:tcPr>
            <w:tcW w:w="912" w:type="pct"/>
            <w:shd w:val="clear" w:color="auto" w:fill="auto"/>
            <w:vAlign w:val="center"/>
          </w:tcPr>
          <w:p w:rsidR="002A5A5E" w:rsidRPr="00F9522B" w:rsidRDefault="00822CDA" w:rsidP="00D86A2B">
            <w:pPr>
              <w:jc w:val="center"/>
              <w:rPr>
                <w:rFonts w:eastAsiaTheme="minorEastAsia"/>
                <w:szCs w:val="21"/>
              </w:rPr>
            </w:pPr>
            <w:r w:rsidRPr="00F9522B">
              <w:rPr>
                <w:rFonts w:eastAsiaTheme="minorEastAsia"/>
                <w:szCs w:val="21"/>
              </w:rPr>
              <w:t>42</w:t>
            </w:r>
          </w:p>
        </w:tc>
        <w:tc>
          <w:tcPr>
            <w:tcW w:w="912" w:type="pct"/>
            <w:vAlign w:val="center"/>
          </w:tcPr>
          <w:p w:rsidR="002A5A5E" w:rsidRPr="00F9522B" w:rsidRDefault="00545139">
            <w:pPr>
              <w:jc w:val="center"/>
              <w:rPr>
                <w:rFonts w:eastAsiaTheme="minorEastAsia"/>
                <w:szCs w:val="21"/>
              </w:rPr>
            </w:pPr>
            <w:r w:rsidRPr="00F9522B">
              <w:rPr>
                <w:rFonts w:eastAsiaTheme="minorEastAsia"/>
                <w:szCs w:val="21"/>
              </w:rPr>
              <w:t>49</w:t>
            </w:r>
          </w:p>
        </w:tc>
        <w:tc>
          <w:tcPr>
            <w:tcW w:w="912" w:type="pct"/>
            <w:vAlign w:val="center"/>
          </w:tcPr>
          <w:p w:rsidR="002A5A5E" w:rsidRPr="00F9522B" w:rsidRDefault="00822CDA" w:rsidP="00D86A2B">
            <w:pPr>
              <w:jc w:val="center"/>
              <w:rPr>
                <w:rFonts w:eastAsiaTheme="minorEastAsia"/>
                <w:szCs w:val="21"/>
              </w:rPr>
            </w:pPr>
            <w:r w:rsidRPr="00F9522B">
              <w:rPr>
                <w:rFonts w:eastAsiaTheme="minorEastAsia"/>
                <w:szCs w:val="21"/>
              </w:rPr>
              <w:t>50</w:t>
            </w:r>
          </w:p>
        </w:tc>
      </w:tr>
    </w:tbl>
    <w:p w:rsidR="002A5A5E" w:rsidRPr="00F9522B" w:rsidRDefault="001E7596" w:rsidP="003E2A9F">
      <w:pPr>
        <w:spacing w:line="0" w:lineRule="atLeast"/>
        <w:jc w:val="center"/>
        <w:rPr>
          <w:rFonts w:eastAsiaTheme="minorEastAsia"/>
          <w:b/>
          <w:kern w:val="0"/>
          <w:szCs w:val="21"/>
        </w:rPr>
      </w:pPr>
      <w:r w:rsidRPr="00F9522B">
        <w:rPr>
          <w:rFonts w:eastAsiaTheme="minorEastAsia"/>
          <w:b/>
          <w:noProof/>
          <w:kern w:val="0"/>
          <w:szCs w:val="21"/>
        </w:rPr>
        <w:lastRenderedPageBreak/>
        <w:drawing>
          <wp:anchor distT="0" distB="0" distL="114300" distR="114300" simplePos="0" relativeHeight="251841536" behindDoc="0" locked="0" layoutInCell="1" allowOverlap="1">
            <wp:simplePos x="0" y="0"/>
            <wp:positionH relativeFrom="column">
              <wp:posOffset>4648835</wp:posOffset>
            </wp:positionH>
            <wp:positionV relativeFrom="paragraph">
              <wp:posOffset>19050</wp:posOffset>
            </wp:positionV>
            <wp:extent cx="650240" cy="2934335"/>
            <wp:effectExtent l="19050" t="0" r="0" b="0"/>
            <wp:wrapNone/>
            <wp:docPr id="2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5"/>
                    <a:srcRect/>
                    <a:stretch>
                      <a:fillRect/>
                    </a:stretch>
                  </pic:blipFill>
                  <pic:spPr bwMode="auto">
                    <a:xfrm>
                      <a:off x="0" y="0"/>
                      <a:ext cx="650240" cy="2934335"/>
                    </a:xfrm>
                    <a:prstGeom prst="rect">
                      <a:avLst/>
                    </a:prstGeom>
                    <a:noFill/>
                    <a:ln w="9525">
                      <a:noFill/>
                      <a:miter lim="800000"/>
                      <a:headEnd/>
                      <a:tailEnd/>
                    </a:ln>
                  </pic:spPr>
                </pic:pic>
              </a:graphicData>
            </a:graphic>
          </wp:anchor>
        </w:drawing>
      </w:r>
      <w:r w:rsidR="005273A1">
        <w:rPr>
          <w:rFonts w:eastAsiaTheme="minorEastAsia"/>
          <w:b/>
          <w:kern w:val="0"/>
          <w:szCs w:val="21"/>
        </w:rPr>
        <w:pict>
          <v:shape id="_x0000_s696771" type="#_x0000_t61" style="position:absolute;left:0;text-align:left;margin-left:136.2pt;margin-top:93.7pt;width:70.2pt;height:25.95pt;z-index:251706368;mso-position-horizontal-relative:text;mso-position-vertical-relative:text" adj="25077,95889" filled="f" strokecolor="red">
            <v:textbox>
              <w:txbxContent>
                <w:p w:rsidR="000D2D13" w:rsidRDefault="000D2D13">
                  <w:r w:rsidRPr="003E2A9F">
                    <w:rPr>
                      <w:bCs/>
                      <w:color w:val="FF0000"/>
                      <w:kern w:val="0"/>
                      <w:szCs w:val="21"/>
                    </w:rPr>
                    <w:t>碱草村</w:t>
                  </w:r>
                  <w:r>
                    <w:rPr>
                      <w:bCs/>
                      <w:color w:val="FF0000"/>
                      <w:kern w:val="0"/>
                      <w:szCs w:val="21"/>
                    </w:rPr>
                    <w:t>居民</w:t>
                  </w:r>
                </w:p>
              </w:txbxContent>
            </v:textbox>
          </v:shape>
        </w:pict>
      </w:r>
      <w:r w:rsidR="005273A1">
        <w:rPr>
          <w:rFonts w:eastAsiaTheme="minorEastAsia"/>
          <w:b/>
          <w:kern w:val="0"/>
          <w:szCs w:val="21"/>
        </w:rPr>
        <w:pict>
          <v:rect id="_x0000_s696772" style="position:absolute;left:0;text-align:left;margin-left:212.15pt;margin-top:209.8pt;width:12.85pt;height:7.1pt;rotation:9868242fd;z-index:251707392;mso-position-horizontal-relative:text;mso-position-vertical-relative:text" filled="f"/>
        </w:pict>
      </w:r>
      <w:r w:rsidRPr="00F9522B">
        <w:rPr>
          <w:rFonts w:eastAsiaTheme="minorEastAsia"/>
          <w:b/>
          <w:noProof/>
          <w:kern w:val="0"/>
          <w:szCs w:val="21"/>
        </w:rPr>
        <w:drawing>
          <wp:anchor distT="0" distB="0" distL="114300" distR="114300" simplePos="0" relativeHeight="251768832" behindDoc="0" locked="0" layoutInCell="1" allowOverlap="1">
            <wp:simplePos x="0" y="0"/>
            <wp:positionH relativeFrom="column">
              <wp:posOffset>34999</wp:posOffset>
            </wp:positionH>
            <wp:positionV relativeFrom="paragraph">
              <wp:posOffset>31898</wp:posOffset>
            </wp:positionV>
            <wp:extent cx="693332" cy="691116"/>
            <wp:effectExtent l="19050" t="0" r="0" b="0"/>
            <wp:wrapNone/>
            <wp:docPr id="71"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37"/>
                    <pic:cNvPicPr>
                      <a:picLocks noChangeAspect="1" noChangeArrowheads="1"/>
                    </pic:cNvPicPr>
                  </pic:nvPicPr>
                  <pic:blipFill>
                    <a:blip r:embed="rId25"/>
                    <a:srcRect/>
                    <a:stretch>
                      <a:fillRect/>
                    </a:stretch>
                  </pic:blipFill>
                  <pic:spPr>
                    <a:xfrm>
                      <a:off x="0" y="0"/>
                      <a:ext cx="693332" cy="691116"/>
                    </a:xfrm>
                    <a:prstGeom prst="rect">
                      <a:avLst/>
                    </a:prstGeom>
                    <a:noFill/>
                    <a:ln w="9525">
                      <a:noFill/>
                      <a:miter lim="800000"/>
                      <a:headEnd/>
                      <a:tailEnd/>
                    </a:ln>
                  </pic:spPr>
                </pic:pic>
              </a:graphicData>
            </a:graphic>
          </wp:anchor>
        </w:drawing>
      </w:r>
      <w:r w:rsidRPr="00F9522B">
        <w:rPr>
          <w:rFonts w:eastAsiaTheme="minorEastAsia"/>
          <w:b/>
          <w:noProof/>
          <w:kern w:val="0"/>
          <w:szCs w:val="21"/>
        </w:rPr>
        <w:drawing>
          <wp:inline distT="0" distB="0" distL="0" distR="0">
            <wp:extent cx="5274310" cy="3477395"/>
            <wp:effectExtent l="19050" t="19050" r="21590" b="27805"/>
            <wp:docPr id="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6"/>
                    <a:srcRect/>
                    <a:stretch>
                      <a:fillRect/>
                    </a:stretch>
                  </pic:blipFill>
                  <pic:spPr bwMode="auto">
                    <a:xfrm>
                      <a:off x="0" y="0"/>
                      <a:ext cx="5274310" cy="3477395"/>
                    </a:xfrm>
                    <a:prstGeom prst="rect">
                      <a:avLst/>
                    </a:prstGeom>
                    <a:noFill/>
                    <a:ln w="9525">
                      <a:solidFill>
                        <a:schemeClr val="tx1"/>
                      </a:solidFill>
                      <a:miter lim="800000"/>
                      <a:headEnd/>
                      <a:tailEnd/>
                    </a:ln>
                  </pic:spPr>
                </pic:pic>
              </a:graphicData>
            </a:graphic>
          </wp:inline>
        </w:drawing>
      </w:r>
    </w:p>
    <w:p w:rsidR="002A5A5E" w:rsidRPr="00F9522B" w:rsidRDefault="00611CBA" w:rsidP="003E2A9F">
      <w:pPr>
        <w:spacing w:line="0" w:lineRule="atLeast"/>
        <w:contextualSpacing/>
        <w:jc w:val="center"/>
        <w:rPr>
          <w:rFonts w:eastAsiaTheme="minorEastAsia"/>
          <w:b/>
          <w:kern w:val="0"/>
          <w:szCs w:val="21"/>
        </w:rPr>
      </w:pPr>
      <w:r w:rsidRPr="00F9522B">
        <w:rPr>
          <w:rFonts w:eastAsiaTheme="minorEastAsia"/>
          <w:b/>
          <w:kern w:val="0"/>
          <w:szCs w:val="21"/>
        </w:rPr>
        <w:t>图</w:t>
      </w:r>
      <w:r w:rsidRPr="00F9522B">
        <w:rPr>
          <w:rFonts w:eastAsiaTheme="minorEastAsia"/>
          <w:b/>
          <w:kern w:val="0"/>
          <w:szCs w:val="21"/>
        </w:rPr>
        <w:t xml:space="preserve">5-2-4 </w:t>
      </w:r>
      <w:r w:rsidRPr="00F9522B">
        <w:rPr>
          <w:rFonts w:eastAsiaTheme="minorEastAsia"/>
          <w:b/>
          <w:kern w:val="0"/>
          <w:szCs w:val="21"/>
        </w:rPr>
        <w:t>机电井声环境预测结果等值线图</w:t>
      </w:r>
    </w:p>
    <w:p w:rsidR="002A5A5E" w:rsidRPr="00F9522B" w:rsidRDefault="00822CDA" w:rsidP="003E2A9F">
      <w:pPr>
        <w:spacing w:line="0" w:lineRule="atLeast"/>
        <w:jc w:val="center"/>
        <w:rPr>
          <w:rFonts w:eastAsiaTheme="minorEastAsia"/>
          <w:b/>
          <w:kern w:val="0"/>
          <w:szCs w:val="21"/>
        </w:rPr>
      </w:pPr>
      <w:r w:rsidRPr="00F9522B">
        <w:rPr>
          <w:rFonts w:eastAsiaTheme="minorEastAsia"/>
          <w:b/>
          <w:noProof/>
          <w:kern w:val="0"/>
          <w:szCs w:val="21"/>
        </w:rPr>
        <w:drawing>
          <wp:anchor distT="0" distB="0" distL="114300" distR="114300" simplePos="0" relativeHeight="251751424" behindDoc="0" locked="0" layoutInCell="1" allowOverlap="1">
            <wp:simplePos x="0" y="0"/>
            <wp:positionH relativeFrom="column">
              <wp:posOffset>27956</wp:posOffset>
            </wp:positionH>
            <wp:positionV relativeFrom="paragraph">
              <wp:posOffset>20006</wp:posOffset>
            </wp:positionV>
            <wp:extent cx="634093" cy="629393"/>
            <wp:effectExtent l="19050" t="0" r="0" b="0"/>
            <wp:wrapNone/>
            <wp:docPr id="45"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7"/>
                    <pic:cNvPicPr>
                      <a:picLocks noChangeAspect="1" noChangeArrowheads="1"/>
                    </pic:cNvPicPr>
                  </pic:nvPicPr>
                  <pic:blipFill>
                    <a:blip r:embed="rId25"/>
                    <a:srcRect/>
                    <a:stretch>
                      <a:fillRect/>
                    </a:stretch>
                  </pic:blipFill>
                  <pic:spPr>
                    <a:xfrm>
                      <a:off x="0" y="0"/>
                      <a:ext cx="634093" cy="629393"/>
                    </a:xfrm>
                    <a:prstGeom prst="rect">
                      <a:avLst/>
                    </a:prstGeom>
                    <a:noFill/>
                    <a:ln w="9525">
                      <a:noFill/>
                      <a:miter lim="800000"/>
                      <a:headEnd/>
                      <a:tailEnd/>
                    </a:ln>
                  </pic:spPr>
                </pic:pic>
              </a:graphicData>
            </a:graphic>
          </wp:anchor>
        </w:drawing>
      </w:r>
      <w:r w:rsidRPr="00F9522B">
        <w:rPr>
          <w:rFonts w:eastAsiaTheme="minorEastAsia"/>
          <w:b/>
          <w:noProof/>
          <w:kern w:val="0"/>
          <w:szCs w:val="21"/>
        </w:rPr>
        <w:drawing>
          <wp:anchor distT="0" distB="0" distL="114300" distR="114300" simplePos="0" relativeHeight="251843584" behindDoc="0" locked="0" layoutInCell="1" allowOverlap="1">
            <wp:simplePos x="0" y="0"/>
            <wp:positionH relativeFrom="column">
              <wp:posOffset>4635582</wp:posOffset>
            </wp:positionH>
            <wp:positionV relativeFrom="paragraph">
              <wp:posOffset>8131</wp:posOffset>
            </wp:positionV>
            <wp:extent cx="637713" cy="2933205"/>
            <wp:effectExtent l="19050" t="0" r="0" b="0"/>
            <wp:wrapNone/>
            <wp:docPr id="2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5"/>
                    <a:srcRect/>
                    <a:stretch>
                      <a:fillRect/>
                    </a:stretch>
                  </pic:blipFill>
                  <pic:spPr bwMode="auto">
                    <a:xfrm>
                      <a:off x="0" y="0"/>
                      <a:ext cx="637713" cy="2933205"/>
                    </a:xfrm>
                    <a:prstGeom prst="rect">
                      <a:avLst/>
                    </a:prstGeom>
                    <a:noFill/>
                    <a:ln w="9525">
                      <a:noFill/>
                      <a:miter lim="800000"/>
                      <a:headEnd/>
                      <a:tailEnd/>
                    </a:ln>
                  </pic:spPr>
                </pic:pic>
              </a:graphicData>
            </a:graphic>
          </wp:anchor>
        </w:drawing>
      </w:r>
      <w:r w:rsidR="005273A1">
        <w:rPr>
          <w:rFonts w:eastAsiaTheme="minorEastAsia"/>
          <w:b/>
          <w:kern w:val="0"/>
          <w:szCs w:val="21"/>
        </w:rPr>
        <w:pict>
          <v:shape id="_x0000_s696820" type="#_x0000_t61" style="position:absolute;left:0;text-align:left;margin-left:130pt;margin-top:178.15pt;width:69.35pt;height:25.95pt;z-index:251708416;mso-position-horizontal-relative:text;mso-position-vertical-relative:text" adj="36441,-88148" filled="f" strokecolor="red">
            <v:textbox>
              <w:txbxContent>
                <w:p w:rsidR="000D2D13" w:rsidRDefault="000D2D13">
                  <w:r w:rsidRPr="003E2A9F">
                    <w:rPr>
                      <w:bCs/>
                      <w:color w:val="FF0000"/>
                      <w:kern w:val="0"/>
                      <w:szCs w:val="21"/>
                    </w:rPr>
                    <w:t>厉井村</w:t>
                  </w:r>
                  <w:r>
                    <w:rPr>
                      <w:bCs/>
                      <w:color w:val="FF0000"/>
                      <w:kern w:val="0"/>
                      <w:szCs w:val="21"/>
                    </w:rPr>
                    <w:t>居民</w:t>
                  </w:r>
                </w:p>
              </w:txbxContent>
            </v:textbox>
          </v:shape>
        </w:pict>
      </w:r>
      <w:r w:rsidR="005273A1">
        <w:rPr>
          <w:rFonts w:eastAsiaTheme="minorEastAsia"/>
          <w:b/>
          <w:kern w:val="0"/>
          <w:szCs w:val="21"/>
        </w:rPr>
        <w:pict>
          <v:rect id="_x0000_s696829" style="position:absolute;left:0;text-align:left;margin-left:241.05pt;margin-top:67pt;width:14.25pt;height:7.5pt;rotation:10111527fd;z-index:251709440;mso-position-horizontal-relative:text;mso-position-vertical-relative:text" filled="f"/>
        </w:pict>
      </w:r>
      <w:r w:rsidRPr="00F9522B">
        <w:rPr>
          <w:rFonts w:eastAsiaTheme="minorEastAsia"/>
          <w:b/>
          <w:noProof/>
          <w:kern w:val="0"/>
          <w:szCs w:val="21"/>
        </w:rPr>
        <w:drawing>
          <wp:inline distT="0" distB="0" distL="0" distR="0">
            <wp:extent cx="5274310" cy="3659389"/>
            <wp:effectExtent l="19050" t="19050" r="21590" b="17261"/>
            <wp:docPr id="2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7"/>
                    <a:srcRect/>
                    <a:stretch>
                      <a:fillRect/>
                    </a:stretch>
                  </pic:blipFill>
                  <pic:spPr bwMode="auto">
                    <a:xfrm>
                      <a:off x="0" y="0"/>
                      <a:ext cx="5274310" cy="3659389"/>
                    </a:xfrm>
                    <a:prstGeom prst="rect">
                      <a:avLst/>
                    </a:prstGeom>
                    <a:noFill/>
                    <a:ln w="9525">
                      <a:solidFill>
                        <a:schemeClr val="tx1"/>
                      </a:solidFill>
                      <a:miter lim="800000"/>
                      <a:headEnd/>
                      <a:tailEnd/>
                    </a:ln>
                  </pic:spPr>
                </pic:pic>
              </a:graphicData>
            </a:graphic>
          </wp:inline>
        </w:drawing>
      </w:r>
    </w:p>
    <w:p w:rsidR="002A5A5E" w:rsidRPr="00F9522B" w:rsidRDefault="00611CBA" w:rsidP="003E2A9F">
      <w:pPr>
        <w:contextualSpacing/>
        <w:jc w:val="center"/>
        <w:rPr>
          <w:rFonts w:eastAsiaTheme="minorEastAsia"/>
          <w:b/>
          <w:kern w:val="0"/>
          <w:szCs w:val="21"/>
        </w:rPr>
      </w:pPr>
      <w:r w:rsidRPr="00F9522B">
        <w:rPr>
          <w:rFonts w:eastAsiaTheme="minorEastAsia"/>
          <w:b/>
          <w:kern w:val="0"/>
          <w:szCs w:val="21"/>
        </w:rPr>
        <w:t>图</w:t>
      </w:r>
      <w:r w:rsidRPr="00F9522B">
        <w:rPr>
          <w:rFonts w:eastAsiaTheme="minorEastAsia"/>
          <w:b/>
          <w:kern w:val="0"/>
          <w:szCs w:val="21"/>
        </w:rPr>
        <w:t>5-2-5</w:t>
      </w:r>
      <w:r w:rsidR="003E2A9F" w:rsidRPr="00F9522B">
        <w:rPr>
          <w:rFonts w:eastAsiaTheme="minorEastAsia"/>
          <w:b/>
          <w:kern w:val="0"/>
          <w:szCs w:val="21"/>
        </w:rPr>
        <w:t>滴灌</w:t>
      </w:r>
      <w:r w:rsidRPr="00F9522B">
        <w:rPr>
          <w:rFonts w:eastAsiaTheme="minorEastAsia"/>
          <w:b/>
          <w:kern w:val="0"/>
          <w:szCs w:val="21"/>
        </w:rPr>
        <w:t>井（含水肥一体）声环境预测结果等值线图</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预测结果表明，机电井井房及机电井（水肥一体）井房厂界噪声能够满足《工业企业厂界环境噪声质量标准》</w:t>
      </w:r>
      <w:r w:rsidRPr="00F9522B">
        <w:rPr>
          <w:rFonts w:eastAsiaTheme="minorEastAsia"/>
          <w:sz w:val="24"/>
        </w:rPr>
        <w:t>(GB12348-2008)</w:t>
      </w:r>
      <w:r w:rsidRPr="00F9522B">
        <w:rPr>
          <w:rFonts w:eastAsiaTheme="minorEastAsia"/>
          <w:sz w:val="24"/>
        </w:rPr>
        <w:t>表</w:t>
      </w:r>
      <w:r w:rsidRPr="00F9522B">
        <w:rPr>
          <w:rFonts w:eastAsiaTheme="minorEastAsia"/>
          <w:sz w:val="24"/>
        </w:rPr>
        <w:t>1</w:t>
      </w:r>
      <w:r w:rsidRPr="00F9522B">
        <w:rPr>
          <w:rFonts w:eastAsiaTheme="minorEastAsia"/>
          <w:sz w:val="24"/>
        </w:rPr>
        <w:t>中</w:t>
      </w:r>
      <w:r w:rsidRPr="00F9522B">
        <w:rPr>
          <w:rFonts w:eastAsiaTheme="minorEastAsia"/>
          <w:sz w:val="24"/>
        </w:rPr>
        <w:t>1</w:t>
      </w:r>
      <w:r w:rsidRPr="00F9522B">
        <w:rPr>
          <w:rFonts w:eastAsiaTheme="minorEastAsia"/>
          <w:sz w:val="24"/>
        </w:rPr>
        <w:t>类标准要求。</w:t>
      </w:r>
      <w:r w:rsidR="003E2A9F" w:rsidRPr="00F9522B">
        <w:rPr>
          <w:rFonts w:eastAsiaTheme="minorEastAsia"/>
          <w:sz w:val="24"/>
        </w:rPr>
        <w:t>项目区</w:t>
      </w:r>
      <w:r w:rsidRPr="00F9522B">
        <w:rPr>
          <w:rFonts w:eastAsiaTheme="minorEastAsia"/>
          <w:sz w:val="24"/>
          <w:lang w:val="zh-CN"/>
        </w:rPr>
        <w:t>机电井</w:t>
      </w:r>
      <w:r w:rsidRPr="00F9522B">
        <w:rPr>
          <w:rFonts w:eastAsiaTheme="minorEastAsia"/>
          <w:sz w:val="24"/>
          <w:lang w:val="zh-CN"/>
        </w:rPr>
        <w:t>-</w:t>
      </w:r>
      <w:r w:rsidR="003E2A9F" w:rsidRPr="00F9522B">
        <w:rPr>
          <w:rFonts w:eastAsiaTheme="minorEastAsia"/>
          <w:sz w:val="24"/>
          <w:lang w:val="zh-CN"/>
        </w:rPr>
        <w:t>7</w:t>
      </w:r>
      <w:r w:rsidRPr="00F9522B">
        <w:rPr>
          <w:rFonts w:eastAsiaTheme="minorEastAsia"/>
          <w:sz w:val="24"/>
        </w:rPr>
        <w:t>距离最近居民</w:t>
      </w:r>
      <w:r w:rsidR="003E2A9F" w:rsidRPr="00F9522B">
        <w:rPr>
          <w:rFonts w:eastAsiaTheme="minorEastAsia"/>
          <w:bCs/>
          <w:sz w:val="24"/>
        </w:rPr>
        <w:t>碱草村</w:t>
      </w:r>
      <w:r w:rsidRPr="00F9522B">
        <w:rPr>
          <w:rFonts w:eastAsiaTheme="minorEastAsia"/>
          <w:sz w:val="24"/>
        </w:rPr>
        <w:t>（</w:t>
      </w:r>
      <w:r w:rsidR="003E2A9F" w:rsidRPr="00F9522B">
        <w:rPr>
          <w:rFonts w:eastAsiaTheme="minorEastAsia"/>
          <w:sz w:val="24"/>
        </w:rPr>
        <w:t>5</w:t>
      </w:r>
      <w:r w:rsidRPr="00F9522B">
        <w:rPr>
          <w:rFonts w:eastAsiaTheme="minorEastAsia"/>
          <w:sz w:val="24"/>
        </w:rPr>
        <w:t>m</w:t>
      </w:r>
      <w:r w:rsidRPr="00F9522B">
        <w:rPr>
          <w:rFonts w:eastAsiaTheme="minorEastAsia"/>
          <w:sz w:val="24"/>
        </w:rPr>
        <w:t>）及</w:t>
      </w:r>
      <w:r w:rsidR="003E2A9F" w:rsidRPr="00F9522B">
        <w:rPr>
          <w:rFonts w:eastAsiaTheme="minorEastAsia"/>
          <w:sz w:val="24"/>
        </w:rPr>
        <w:t>滴灌</w:t>
      </w:r>
      <w:r w:rsidRPr="00F9522B">
        <w:rPr>
          <w:rFonts w:eastAsiaTheme="minorEastAsia"/>
          <w:sz w:val="24"/>
        </w:rPr>
        <w:t>井</w:t>
      </w:r>
      <w:r w:rsidRPr="00F9522B">
        <w:rPr>
          <w:rFonts w:eastAsiaTheme="minorEastAsia"/>
          <w:sz w:val="24"/>
        </w:rPr>
        <w:t>-</w:t>
      </w:r>
      <w:r w:rsidR="003E2A9F" w:rsidRPr="00F9522B">
        <w:rPr>
          <w:rFonts w:eastAsiaTheme="minorEastAsia"/>
          <w:sz w:val="24"/>
        </w:rPr>
        <w:t>24</w:t>
      </w:r>
      <w:r w:rsidRPr="00F9522B">
        <w:rPr>
          <w:rFonts w:eastAsiaTheme="minorEastAsia"/>
          <w:sz w:val="24"/>
        </w:rPr>
        <w:t>（含水肥一体）距离最近居民</w:t>
      </w:r>
      <w:r w:rsidR="003E2A9F" w:rsidRPr="00F9522B">
        <w:rPr>
          <w:rFonts w:eastAsiaTheme="minorEastAsia"/>
          <w:sz w:val="24"/>
        </w:rPr>
        <w:t>厉井村</w:t>
      </w:r>
      <w:r w:rsidRPr="00F9522B">
        <w:rPr>
          <w:rFonts w:eastAsiaTheme="minorEastAsia"/>
          <w:sz w:val="24"/>
        </w:rPr>
        <w:t>（</w:t>
      </w:r>
      <w:r w:rsidR="003E2A9F" w:rsidRPr="00F9522B">
        <w:rPr>
          <w:rFonts w:eastAsiaTheme="minorEastAsia"/>
          <w:sz w:val="24"/>
        </w:rPr>
        <w:t>5</w:t>
      </w:r>
      <w:r w:rsidRPr="00F9522B">
        <w:rPr>
          <w:rFonts w:eastAsiaTheme="minorEastAsia"/>
          <w:sz w:val="24"/>
        </w:rPr>
        <w:t>m</w:t>
      </w:r>
      <w:r w:rsidRPr="00F9522B">
        <w:rPr>
          <w:rFonts w:eastAsiaTheme="minorEastAsia"/>
          <w:sz w:val="24"/>
        </w:rPr>
        <w:t>）噪声预测值能够满足《声环境质量标准》（</w:t>
      </w:r>
      <w:r w:rsidRPr="00F9522B">
        <w:rPr>
          <w:rFonts w:eastAsiaTheme="minorEastAsia"/>
          <w:sz w:val="24"/>
        </w:rPr>
        <w:t>GB3096-2008</w:t>
      </w:r>
      <w:r w:rsidRPr="00F9522B">
        <w:rPr>
          <w:rFonts w:eastAsiaTheme="minorEastAsia"/>
          <w:sz w:val="24"/>
        </w:rPr>
        <w:t>）中</w:t>
      </w:r>
      <w:r w:rsidRPr="00F9522B">
        <w:rPr>
          <w:rFonts w:eastAsiaTheme="minorEastAsia"/>
          <w:sz w:val="24"/>
        </w:rPr>
        <w:t>1</w:t>
      </w:r>
      <w:r w:rsidRPr="00F9522B">
        <w:rPr>
          <w:rFonts w:eastAsiaTheme="minorEastAsia"/>
          <w:sz w:val="24"/>
        </w:rPr>
        <w:t>类区</w:t>
      </w:r>
      <w:r w:rsidRPr="00F9522B">
        <w:rPr>
          <w:rFonts w:eastAsiaTheme="minorEastAsia"/>
          <w:sz w:val="24"/>
        </w:rPr>
        <w:lastRenderedPageBreak/>
        <w:t>标准要求。</w:t>
      </w:r>
    </w:p>
    <w:p w:rsidR="002A5A5E" w:rsidRPr="00F9522B" w:rsidRDefault="00611CBA">
      <w:pPr>
        <w:keepNext/>
        <w:keepLines/>
        <w:spacing w:before="100" w:beforeAutospacing="1" w:after="100" w:afterAutospacing="1"/>
        <w:outlineLvl w:val="2"/>
        <w:rPr>
          <w:rFonts w:eastAsiaTheme="minorEastAsia"/>
          <w:b/>
          <w:sz w:val="28"/>
          <w:szCs w:val="28"/>
        </w:rPr>
      </w:pPr>
      <w:r w:rsidRPr="00F9522B">
        <w:rPr>
          <w:rFonts w:eastAsiaTheme="minorEastAsia"/>
          <w:b/>
          <w:sz w:val="28"/>
          <w:szCs w:val="28"/>
        </w:rPr>
        <w:t>5.2.4</w:t>
      </w:r>
      <w:r w:rsidRPr="00F9522B">
        <w:rPr>
          <w:rFonts w:eastAsiaTheme="minorEastAsia"/>
          <w:b/>
          <w:sz w:val="28"/>
          <w:szCs w:val="28"/>
        </w:rPr>
        <w:t>固体废物环境影响分析</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本项目运营期产生固体废物主要为秸秆、</w:t>
      </w:r>
      <w:r w:rsidRPr="00F9522B">
        <w:rPr>
          <w:rFonts w:eastAsiaTheme="minorEastAsia"/>
          <w:bCs/>
          <w:sz w:val="24"/>
        </w:rPr>
        <w:t>农药包装物及废肥料包装袋</w:t>
      </w:r>
      <w:r w:rsidRPr="00F9522B">
        <w:rPr>
          <w:rFonts w:eastAsiaTheme="minorEastAsia"/>
          <w:sz w:val="24"/>
        </w:rPr>
        <w:t>。</w:t>
      </w:r>
    </w:p>
    <w:p w:rsidR="002A5A5E" w:rsidRPr="00F9522B" w:rsidRDefault="00611CBA">
      <w:pPr>
        <w:pStyle w:val="00"/>
        <w:rPr>
          <w:rFonts w:hAnsi="Times New Roman"/>
          <w:color w:val="auto"/>
        </w:rPr>
      </w:pPr>
      <w:r w:rsidRPr="00F9522B">
        <w:rPr>
          <w:rFonts w:hAnsi="Times New Roman"/>
          <w:bCs w:val="0"/>
          <w:color w:val="auto"/>
        </w:rPr>
        <w:t>高标准农田耕种过程中将会产生农药包装物及废肥料包装袋，依据《农药包装废弃物回收处理管理办法》（中华人民共和国农业农村部</w:t>
      </w:r>
      <w:r w:rsidRPr="00F9522B">
        <w:rPr>
          <w:rFonts w:hAnsi="Times New Roman"/>
          <w:bCs w:val="0"/>
          <w:color w:val="auto"/>
        </w:rPr>
        <w:t xml:space="preserve"> </w:t>
      </w:r>
      <w:r w:rsidRPr="00F9522B">
        <w:rPr>
          <w:rFonts w:hAnsi="Times New Roman"/>
          <w:bCs w:val="0"/>
          <w:color w:val="auto"/>
        </w:rPr>
        <w:t>生态环境部令</w:t>
      </w:r>
      <w:r w:rsidRPr="00F9522B">
        <w:rPr>
          <w:rFonts w:hAnsi="Times New Roman"/>
          <w:bCs w:val="0"/>
          <w:color w:val="auto"/>
        </w:rPr>
        <w:t>2020</w:t>
      </w:r>
      <w:r w:rsidRPr="00F9522B">
        <w:rPr>
          <w:rFonts w:hAnsi="Times New Roman"/>
          <w:bCs w:val="0"/>
          <w:color w:val="auto"/>
        </w:rPr>
        <w:t>年</w:t>
      </w:r>
      <w:r w:rsidRPr="00F9522B">
        <w:rPr>
          <w:rFonts w:hAnsi="Times New Roman"/>
          <w:bCs w:val="0"/>
          <w:color w:val="auto"/>
        </w:rPr>
        <w:t xml:space="preserve"> </w:t>
      </w:r>
      <w:r w:rsidRPr="00F9522B">
        <w:rPr>
          <w:rFonts w:hAnsi="Times New Roman"/>
          <w:bCs w:val="0"/>
          <w:color w:val="auto"/>
        </w:rPr>
        <w:t>第</w:t>
      </w:r>
      <w:r w:rsidRPr="00F9522B">
        <w:rPr>
          <w:rFonts w:hAnsi="Times New Roman"/>
          <w:bCs w:val="0"/>
          <w:color w:val="auto"/>
        </w:rPr>
        <w:t>6</w:t>
      </w:r>
      <w:r w:rsidRPr="00F9522B">
        <w:rPr>
          <w:rFonts w:hAnsi="Times New Roman"/>
          <w:bCs w:val="0"/>
          <w:color w:val="auto"/>
        </w:rPr>
        <w:t>号）以及《国家危险废物名录（</w:t>
      </w:r>
      <w:r w:rsidRPr="00F9522B">
        <w:rPr>
          <w:rFonts w:hAnsi="Times New Roman"/>
          <w:bCs w:val="0"/>
          <w:color w:val="auto"/>
        </w:rPr>
        <w:t>2025</w:t>
      </w:r>
      <w:r w:rsidRPr="00F9522B">
        <w:rPr>
          <w:rFonts w:hAnsi="Times New Roman"/>
          <w:bCs w:val="0"/>
          <w:color w:val="auto"/>
        </w:rPr>
        <w:t>年版）》危险废物豁免管理清单，农药包装物不按照危险废物管理。</w:t>
      </w:r>
      <w:r w:rsidR="00D33612" w:rsidRPr="00F9522B">
        <w:rPr>
          <w:rFonts w:hAnsi="Times New Roman"/>
        </w:rPr>
        <w:t>秸秆、</w:t>
      </w:r>
      <w:r w:rsidR="00D33612" w:rsidRPr="00F9522B">
        <w:rPr>
          <w:rFonts w:hAnsi="Times New Roman"/>
          <w:bCs w:val="0"/>
        </w:rPr>
        <w:t>废肥料包装袋由当地农民负责外售综合利用；农业使用者及时收集农药包装物，由并交回农药经营者或回收站。</w:t>
      </w:r>
    </w:p>
    <w:p w:rsidR="002A5A5E" w:rsidRPr="00F9522B" w:rsidRDefault="00611CBA">
      <w:pPr>
        <w:keepNext/>
        <w:keepLines/>
        <w:spacing w:before="100" w:beforeAutospacing="1" w:after="100" w:afterAutospacing="1"/>
        <w:outlineLvl w:val="2"/>
        <w:rPr>
          <w:rFonts w:eastAsiaTheme="minorEastAsia"/>
          <w:b/>
          <w:sz w:val="28"/>
          <w:szCs w:val="28"/>
        </w:rPr>
      </w:pPr>
      <w:r w:rsidRPr="00F9522B">
        <w:rPr>
          <w:rFonts w:eastAsiaTheme="minorEastAsia"/>
          <w:b/>
          <w:sz w:val="28"/>
          <w:szCs w:val="28"/>
        </w:rPr>
        <w:t>5.2.5</w:t>
      </w:r>
      <w:r w:rsidRPr="00F9522B">
        <w:rPr>
          <w:rFonts w:eastAsiaTheme="minorEastAsia"/>
          <w:b/>
          <w:sz w:val="28"/>
          <w:szCs w:val="28"/>
        </w:rPr>
        <w:t>土壤影响评价</w:t>
      </w:r>
    </w:p>
    <w:p w:rsidR="002A5A5E" w:rsidRPr="00F9522B" w:rsidRDefault="00611CBA">
      <w:pPr>
        <w:spacing w:line="360" w:lineRule="auto"/>
        <w:ind w:firstLineChars="196" w:firstLine="470"/>
        <w:rPr>
          <w:rFonts w:eastAsiaTheme="minorEastAsia"/>
          <w:sz w:val="24"/>
          <w:szCs w:val="21"/>
        </w:rPr>
      </w:pPr>
      <w:r w:rsidRPr="00F9522B">
        <w:rPr>
          <w:rFonts w:eastAsiaTheme="minorEastAsia"/>
          <w:sz w:val="24"/>
        </w:rPr>
        <w:t>本项目主要</w:t>
      </w:r>
      <w:r w:rsidR="00D61453" w:rsidRPr="00F9522B">
        <w:rPr>
          <w:rFonts w:eastAsiaTheme="minorEastAsia"/>
          <w:sz w:val="24"/>
        </w:rPr>
        <w:t>建设灌溉与排水工程、田间道路工程、农田输配电工程、田块整治工程</w:t>
      </w:r>
      <w:r w:rsidRPr="00F9522B">
        <w:rPr>
          <w:rFonts w:eastAsiaTheme="minorEastAsia"/>
          <w:sz w:val="24"/>
        </w:rPr>
        <w:t>。</w:t>
      </w:r>
      <w:r w:rsidRPr="00F9522B">
        <w:rPr>
          <w:rFonts w:eastAsiaTheme="minorEastAsia"/>
          <w:sz w:val="24"/>
          <w:szCs w:val="21"/>
        </w:rPr>
        <w:t>通过本工程建设，项目运行能减少因沟道长期淤积、渠道损毁堵塞等造成的雨水漫流、水土保持功能缺失、加剧水土流失等问题，可以有效控制新增水土流失量，提高植被覆盖度，也可以改善项目区及其周边生态环境，使区域水土流失得到有效治理，水土保持功能得到恢复。</w:t>
      </w:r>
    </w:p>
    <w:p w:rsidR="002A5A5E" w:rsidRPr="00F9522B" w:rsidRDefault="00611CBA">
      <w:pPr>
        <w:spacing w:line="360" w:lineRule="auto"/>
        <w:ind w:firstLine="482"/>
        <w:rPr>
          <w:rFonts w:eastAsiaTheme="minorEastAsia"/>
          <w:sz w:val="24"/>
        </w:rPr>
      </w:pPr>
      <w:r w:rsidRPr="00F9522B">
        <w:rPr>
          <w:rFonts w:eastAsiaTheme="minorEastAsia"/>
          <w:sz w:val="24"/>
        </w:rPr>
        <w:t>项目建成后灌溉井灌溉过程中，如进行过度灌溉将引起地下水位变化，从而产生区域土壤盐渍化的风险。水田灌溉对土壤潜育化影响。</w:t>
      </w:r>
    </w:p>
    <w:p w:rsidR="002A5A5E" w:rsidRPr="00F9522B" w:rsidRDefault="00611CBA">
      <w:pPr>
        <w:spacing w:line="360" w:lineRule="auto"/>
        <w:ind w:firstLine="482"/>
        <w:rPr>
          <w:rFonts w:eastAsiaTheme="minorEastAsia"/>
          <w:sz w:val="24"/>
        </w:rPr>
      </w:pPr>
      <w:r w:rsidRPr="00F9522B">
        <w:rPr>
          <w:rFonts w:eastAsiaTheme="minorEastAsia"/>
          <w:sz w:val="24"/>
        </w:rPr>
        <w:t>根据土壤现状监测，本项目区域土壤</w:t>
      </w:r>
      <w:r w:rsidRPr="00F9522B">
        <w:rPr>
          <w:rFonts w:eastAsiaTheme="minorEastAsia"/>
          <w:sz w:val="24"/>
          <w:szCs w:val="21"/>
        </w:rPr>
        <w:t>pH</w:t>
      </w:r>
      <w:r w:rsidRPr="00F9522B">
        <w:rPr>
          <w:rFonts w:eastAsiaTheme="minorEastAsia"/>
          <w:sz w:val="24"/>
          <w:szCs w:val="21"/>
        </w:rPr>
        <w:t>值在</w:t>
      </w:r>
      <w:r w:rsidR="00B42262" w:rsidRPr="00F9522B">
        <w:rPr>
          <w:rFonts w:eastAsiaTheme="minorEastAsia"/>
          <w:sz w:val="24"/>
          <w:szCs w:val="21"/>
        </w:rPr>
        <w:t>6.17-7.31</w:t>
      </w:r>
      <w:r w:rsidR="00B42262" w:rsidRPr="00F9522B">
        <w:rPr>
          <w:rFonts w:eastAsiaTheme="minorEastAsia"/>
          <w:snapToGrid w:val="0"/>
          <w:sz w:val="24"/>
          <w:szCs w:val="22"/>
        </w:rPr>
        <w:t>之间</w:t>
      </w:r>
      <w:r w:rsidRPr="00F9522B">
        <w:rPr>
          <w:rFonts w:eastAsiaTheme="minorEastAsia"/>
          <w:sz w:val="24"/>
          <w:szCs w:val="21"/>
        </w:rPr>
        <w:t>，含盐量为</w:t>
      </w:r>
      <w:r w:rsidR="00B42262" w:rsidRPr="00F9522B">
        <w:rPr>
          <w:rFonts w:eastAsiaTheme="minorEastAsia"/>
          <w:sz w:val="24"/>
          <w:szCs w:val="21"/>
        </w:rPr>
        <w:t>0.4-0.9</w:t>
      </w:r>
      <w:r w:rsidRPr="00F9522B">
        <w:rPr>
          <w:rFonts w:eastAsiaTheme="minorEastAsia"/>
          <w:sz w:val="24"/>
          <w:szCs w:val="21"/>
        </w:rPr>
        <w:t>g/kg</w:t>
      </w:r>
      <w:r w:rsidRPr="00F9522B">
        <w:rPr>
          <w:rFonts w:eastAsiaTheme="minorEastAsia"/>
          <w:sz w:val="24"/>
        </w:rPr>
        <w:t>，未出现土壤次生盐渍化现象。本项目建设完成后，对部分渠道进行衬砌，进一步降低灌区田间地下水入渗几率。本工程按照灌溉定额灌溉，考虑农作物灌溉制度、种植结构设计，实行节水型灌溉技术，以满足作物的灌溉需求，严禁过度灌溉，适度灌溉能够提升土壤肥力及农作物产量，土壤中的毛细血管上升幅度较小，不会引起土壤次生盐渍化。</w:t>
      </w:r>
    </w:p>
    <w:p w:rsidR="002A5A5E" w:rsidRPr="00F9522B" w:rsidRDefault="00611CBA">
      <w:pPr>
        <w:spacing w:line="360" w:lineRule="auto"/>
        <w:ind w:firstLine="482"/>
        <w:rPr>
          <w:rFonts w:eastAsiaTheme="minorEastAsia"/>
          <w:sz w:val="24"/>
        </w:rPr>
      </w:pPr>
      <w:r w:rsidRPr="00F9522B">
        <w:rPr>
          <w:rFonts w:eastAsiaTheme="minorEastAsia"/>
          <w:sz w:val="24"/>
        </w:rPr>
        <w:t>项目区地下水主要接受大气降水补给，灌区田间水与区内承压水之间水力联系微弱。</w:t>
      </w:r>
      <w:r w:rsidRPr="00F9522B">
        <w:rPr>
          <w:rFonts w:eastAsiaTheme="minorEastAsia"/>
          <w:bCs/>
          <w:kern w:val="0"/>
          <w:sz w:val="24"/>
        </w:rPr>
        <w:t>根据已批复《</w:t>
      </w:r>
      <w:r w:rsidR="003A7922" w:rsidRPr="00F9522B">
        <w:rPr>
          <w:rFonts w:eastAsiaTheme="minorEastAsia"/>
          <w:bCs/>
          <w:kern w:val="0"/>
          <w:sz w:val="24"/>
        </w:rPr>
        <w:t>呼兰区</w:t>
      </w:r>
      <w:r w:rsidR="003A7922" w:rsidRPr="00F9522B">
        <w:rPr>
          <w:rFonts w:eastAsiaTheme="minorEastAsia"/>
          <w:bCs/>
          <w:kern w:val="0"/>
          <w:sz w:val="24"/>
        </w:rPr>
        <w:t>2026</w:t>
      </w:r>
      <w:r w:rsidR="003A7922" w:rsidRPr="00F9522B">
        <w:rPr>
          <w:rFonts w:eastAsiaTheme="minorEastAsia"/>
          <w:bCs/>
          <w:kern w:val="0"/>
          <w:sz w:val="24"/>
        </w:rPr>
        <w:t>年高标准农田建设项目</w:t>
      </w:r>
      <w:r w:rsidRPr="00F9522B">
        <w:rPr>
          <w:rFonts w:eastAsiaTheme="minorEastAsia"/>
          <w:bCs/>
          <w:kern w:val="0"/>
          <w:sz w:val="24"/>
        </w:rPr>
        <w:t>水资源论证报告书》预测结果，井群连续开采最大水位降深为</w:t>
      </w:r>
      <w:r w:rsidR="00DF41E3" w:rsidRPr="00F9522B">
        <w:rPr>
          <w:rFonts w:eastAsiaTheme="minorEastAsia"/>
          <w:bCs/>
          <w:kern w:val="0"/>
          <w:sz w:val="24"/>
        </w:rPr>
        <w:t>1.315m</w:t>
      </w:r>
      <w:r w:rsidRPr="00F9522B">
        <w:rPr>
          <w:rFonts w:eastAsiaTheme="minorEastAsia"/>
          <w:bCs/>
          <w:kern w:val="0"/>
          <w:sz w:val="24"/>
        </w:rPr>
        <w:t>，小于</w:t>
      </w:r>
      <w:r w:rsidRPr="00F9522B">
        <w:rPr>
          <w:rFonts w:eastAsiaTheme="minorEastAsia"/>
          <w:bCs/>
          <w:kern w:val="0"/>
          <w:sz w:val="24"/>
        </w:rPr>
        <w:t>2.0m</w:t>
      </w:r>
      <w:r w:rsidRPr="00F9522B">
        <w:rPr>
          <w:rFonts w:eastAsiaTheme="minorEastAsia"/>
          <w:bCs/>
          <w:kern w:val="0"/>
          <w:sz w:val="24"/>
        </w:rPr>
        <w:t>，小于含水层厚度</w:t>
      </w:r>
      <w:r w:rsidRPr="00F9522B">
        <w:rPr>
          <w:rFonts w:eastAsiaTheme="minorEastAsia"/>
          <w:bCs/>
          <w:kern w:val="0"/>
          <w:sz w:val="24"/>
        </w:rPr>
        <w:t>30m</w:t>
      </w:r>
      <w:r w:rsidRPr="00F9522B">
        <w:rPr>
          <w:rFonts w:eastAsiaTheme="minorEastAsia"/>
          <w:bCs/>
          <w:kern w:val="0"/>
          <w:sz w:val="24"/>
        </w:rPr>
        <w:t>的三分之一，项目取水造成的地下水水位降深在允许范围内，对</w:t>
      </w:r>
      <w:r w:rsidRPr="00F9522B">
        <w:rPr>
          <w:rFonts w:eastAsiaTheme="minorEastAsia"/>
          <w:snapToGrid w:val="0"/>
          <w:kern w:val="0"/>
          <w:sz w:val="24"/>
          <w:szCs w:val="22"/>
        </w:rPr>
        <w:t>地下水补给</w:t>
      </w:r>
      <w:r w:rsidRPr="00F9522B">
        <w:rPr>
          <w:rFonts w:eastAsiaTheme="minorEastAsia"/>
          <w:snapToGrid w:val="0"/>
          <w:kern w:val="0"/>
          <w:sz w:val="24"/>
          <w:szCs w:val="22"/>
        </w:rPr>
        <w:lastRenderedPageBreak/>
        <w:t>范围影响较小</w:t>
      </w:r>
      <w:r w:rsidRPr="00F9522B">
        <w:rPr>
          <w:rFonts w:eastAsiaTheme="minorEastAsia"/>
          <w:bCs/>
          <w:kern w:val="0"/>
          <w:sz w:val="24"/>
        </w:rPr>
        <w:t>。项目为非持续性，开采期为每年的</w:t>
      </w:r>
      <w:r w:rsidRPr="00F9522B">
        <w:rPr>
          <w:rFonts w:eastAsiaTheme="minorEastAsia"/>
          <w:bCs/>
          <w:kern w:val="0"/>
          <w:sz w:val="24"/>
        </w:rPr>
        <w:t>5-7</w:t>
      </w:r>
      <w:r w:rsidRPr="00F9522B">
        <w:rPr>
          <w:rFonts w:eastAsiaTheme="minorEastAsia"/>
          <w:bCs/>
          <w:kern w:val="0"/>
          <w:sz w:val="24"/>
        </w:rPr>
        <w:t>月，随着</w:t>
      </w:r>
      <w:r w:rsidRPr="00F9522B">
        <w:rPr>
          <w:rFonts w:eastAsiaTheme="minorEastAsia"/>
          <w:bCs/>
          <w:kern w:val="0"/>
          <w:sz w:val="24"/>
        </w:rPr>
        <w:t>7</w:t>
      </w:r>
      <w:r w:rsidRPr="00F9522B">
        <w:rPr>
          <w:rFonts w:eastAsiaTheme="minorEastAsia"/>
          <w:bCs/>
          <w:kern w:val="0"/>
          <w:sz w:val="24"/>
        </w:rPr>
        <w:t>月份丰水期的到来，以丰补歉，项目取水所在区域处于漫滩和阶地区，地下水资源丰富，地下水补给、径流、排泄条件通畅，含水层厚度较大，富水性较好，含水层的大气降水垂直入渗补给条件较好，含水层调节能力强，故项目取水对区域</w:t>
      </w:r>
      <w:r w:rsidRPr="00F9522B">
        <w:rPr>
          <w:rFonts w:eastAsiaTheme="minorEastAsia"/>
          <w:bCs/>
          <w:sz w:val="24"/>
        </w:rPr>
        <w:t>地下水</w:t>
      </w:r>
      <w:r w:rsidRPr="00F9522B">
        <w:rPr>
          <w:rFonts w:eastAsiaTheme="minorEastAsia"/>
          <w:bCs/>
          <w:kern w:val="0"/>
          <w:sz w:val="24"/>
        </w:rPr>
        <w:t>影响较小。故不会对土壤结构造成破坏，不会引起干化、沙化等问题。</w:t>
      </w:r>
    </w:p>
    <w:p w:rsidR="002A5A5E" w:rsidRPr="00F9522B" w:rsidRDefault="00611CBA">
      <w:pPr>
        <w:spacing w:line="360" w:lineRule="auto"/>
        <w:ind w:firstLine="482"/>
        <w:rPr>
          <w:rFonts w:eastAsiaTheme="minorEastAsia"/>
          <w:sz w:val="24"/>
        </w:rPr>
      </w:pPr>
      <w:r w:rsidRPr="00F9522B">
        <w:rPr>
          <w:rFonts w:eastAsiaTheme="minorEastAsia"/>
          <w:sz w:val="24"/>
        </w:rPr>
        <w:t>我省种植水稻已有几十年的历史，至今未发生水田有沼泽化的现象，其原因是水稻不是沼泽植物，不会产生泥炭累积，由于每年耕翻水稻，根系很快能分解，北方的水稻一年一熟，淹水时间短，而且水稻淹水仅</w:t>
      </w:r>
      <w:r w:rsidRPr="00F9522B">
        <w:rPr>
          <w:rFonts w:eastAsiaTheme="minorEastAsia"/>
          <w:sz w:val="24"/>
        </w:rPr>
        <w:t>70</w:t>
      </w:r>
      <w:r w:rsidRPr="00F9522B">
        <w:rPr>
          <w:rFonts w:eastAsiaTheme="minorEastAsia"/>
          <w:sz w:val="24"/>
        </w:rPr>
        <w:t>天～</w:t>
      </w:r>
      <w:r w:rsidRPr="00F9522B">
        <w:rPr>
          <w:rFonts w:eastAsiaTheme="minorEastAsia"/>
          <w:sz w:val="24"/>
        </w:rPr>
        <w:t>80</w:t>
      </w:r>
      <w:r w:rsidRPr="00F9522B">
        <w:rPr>
          <w:rFonts w:eastAsiaTheme="minorEastAsia"/>
          <w:sz w:val="24"/>
        </w:rPr>
        <w:t>天，不是常年积水，所以不会产生沼泽化。</w:t>
      </w:r>
    </w:p>
    <w:p w:rsidR="002A5A5E" w:rsidRPr="00F9522B" w:rsidRDefault="00611CBA">
      <w:pPr>
        <w:spacing w:line="360" w:lineRule="auto"/>
        <w:ind w:firstLine="482"/>
        <w:rPr>
          <w:rFonts w:eastAsiaTheme="minorEastAsia"/>
          <w:sz w:val="24"/>
        </w:rPr>
      </w:pPr>
      <w:r w:rsidRPr="00F9522B">
        <w:rPr>
          <w:rFonts w:eastAsiaTheme="minorEastAsia"/>
          <w:sz w:val="24"/>
        </w:rPr>
        <w:t>本项目采用节水灌溉方式，配套健全灌排渠系系统，通过农民进行科学合理的耕作，将改良土壤结构，增加有机质含量，培肥地力，逐渐改善土壤板结状况，增进土壤的养分循环，土壤含水能力增强，这些变化将在一定程度上改善和提高土壤环境质量，使土壤生态系统稳定性增强，土地潜力得到充分发挥，农业生产水平将大幅度提高，土地资源得到合理利用。</w:t>
      </w:r>
    </w:p>
    <w:p w:rsidR="002A5A5E" w:rsidRPr="00F9522B" w:rsidRDefault="00611CBA">
      <w:pPr>
        <w:spacing w:line="360" w:lineRule="auto"/>
        <w:ind w:firstLine="482"/>
        <w:rPr>
          <w:rFonts w:eastAsiaTheme="minorEastAsia"/>
          <w:sz w:val="24"/>
        </w:rPr>
      </w:pPr>
      <w:r w:rsidRPr="00F9522B">
        <w:rPr>
          <w:rFonts w:eastAsiaTheme="minorEastAsia"/>
          <w:bCs/>
          <w:sz w:val="24"/>
        </w:rPr>
        <w:t>本次改造后，通过加强管理，</w:t>
      </w:r>
      <w:r w:rsidRPr="00F9522B">
        <w:rPr>
          <w:rFonts w:eastAsiaTheme="minorEastAsia"/>
          <w:sz w:val="24"/>
        </w:rPr>
        <w:t>施行</w:t>
      </w:r>
      <w:r w:rsidRPr="00F9522B">
        <w:rPr>
          <w:rFonts w:eastAsiaTheme="minorEastAsia"/>
          <w:sz w:val="24"/>
        </w:rPr>
        <w:t>“</w:t>
      </w:r>
      <w:r w:rsidRPr="00F9522B">
        <w:rPr>
          <w:rFonts w:eastAsiaTheme="minorEastAsia"/>
          <w:sz w:val="24"/>
        </w:rPr>
        <w:t>三减</w:t>
      </w:r>
      <w:r w:rsidRPr="00F9522B">
        <w:rPr>
          <w:rFonts w:eastAsiaTheme="minorEastAsia"/>
          <w:sz w:val="24"/>
        </w:rPr>
        <w:t>”</w:t>
      </w:r>
      <w:r w:rsidRPr="00F9522B">
        <w:rPr>
          <w:rFonts w:eastAsiaTheme="minorEastAsia"/>
          <w:sz w:val="24"/>
        </w:rPr>
        <w:t>行动，即减化肥、减农药、减除草剂，水稻亩施肥量</w:t>
      </w:r>
      <w:r w:rsidRPr="00F9522B">
        <w:rPr>
          <w:rFonts w:eastAsiaTheme="minorEastAsia"/>
          <w:sz w:val="24"/>
        </w:rPr>
        <w:t>50</w:t>
      </w:r>
      <w:r w:rsidRPr="00F9522B">
        <w:rPr>
          <w:rFonts w:eastAsiaTheme="minorEastAsia"/>
          <w:sz w:val="24"/>
        </w:rPr>
        <w:t>公斤，玉米亩施肥量</w:t>
      </w:r>
      <w:r w:rsidRPr="00F9522B">
        <w:rPr>
          <w:rFonts w:eastAsiaTheme="minorEastAsia"/>
          <w:sz w:val="24"/>
        </w:rPr>
        <w:t>65</w:t>
      </w:r>
      <w:r w:rsidRPr="00F9522B">
        <w:rPr>
          <w:rFonts w:eastAsiaTheme="minorEastAsia"/>
          <w:sz w:val="24"/>
        </w:rPr>
        <w:t>公斤；水稻亩施药量</w:t>
      </w:r>
      <w:r w:rsidRPr="00F9522B">
        <w:rPr>
          <w:rFonts w:eastAsiaTheme="minorEastAsia"/>
          <w:sz w:val="24"/>
        </w:rPr>
        <w:t>0.36</w:t>
      </w:r>
      <w:r w:rsidRPr="00F9522B">
        <w:rPr>
          <w:rFonts w:eastAsiaTheme="minorEastAsia"/>
          <w:sz w:val="24"/>
        </w:rPr>
        <w:t>公斤，玉米亩施药量</w:t>
      </w:r>
      <w:r w:rsidRPr="00F9522B">
        <w:rPr>
          <w:rFonts w:eastAsiaTheme="minorEastAsia"/>
          <w:sz w:val="24"/>
        </w:rPr>
        <w:t>0.31</w:t>
      </w:r>
      <w:r w:rsidRPr="00F9522B">
        <w:rPr>
          <w:rFonts w:eastAsiaTheme="minorEastAsia"/>
          <w:sz w:val="24"/>
        </w:rPr>
        <w:t>公斤，大豆亩施药量</w:t>
      </w:r>
      <w:r w:rsidRPr="00F9522B">
        <w:rPr>
          <w:rFonts w:eastAsiaTheme="minorEastAsia"/>
          <w:sz w:val="24"/>
        </w:rPr>
        <w:t>0.26</w:t>
      </w:r>
      <w:r w:rsidRPr="00F9522B">
        <w:rPr>
          <w:rFonts w:eastAsiaTheme="minorEastAsia"/>
          <w:sz w:val="24"/>
        </w:rPr>
        <w:t>公斤。</w:t>
      </w:r>
      <w:r w:rsidRPr="00F9522B">
        <w:rPr>
          <w:rFonts w:eastAsiaTheme="minorEastAsia"/>
          <w:bCs/>
          <w:sz w:val="24"/>
        </w:rPr>
        <w:t>削减化肥和化学农药用量，增加有机肥、复合肥以及生物农药和高效低毒低残留农药的施用量。采取测土配方施肥、水肥一体化措施，</w:t>
      </w:r>
      <w:r w:rsidRPr="00F9522B">
        <w:rPr>
          <w:rFonts w:eastAsiaTheme="minorEastAsia"/>
          <w:sz w:val="24"/>
        </w:rPr>
        <w:t>化肥和化学农药用量将会大量削减，土壤中化肥和化学农药残留量将会减少对土壤的污染。</w:t>
      </w:r>
    </w:p>
    <w:p w:rsidR="002A5A5E" w:rsidRPr="00F9522B" w:rsidRDefault="00611CBA">
      <w:pPr>
        <w:spacing w:line="360" w:lineRule="auto"/>
        <w:ind w:firstLine="482"/>
        <w:rPr>
          <w:rFonts w:eastAsiaTheme="minorEastAsia"/>
          <w:sz w:val="24"/>
        </w:rPr>
      </w:pPr>
      <w:r w:rsidRPr="00F9522B">
        <w:rPr>
          <w:rFonts w:eastAsiaTheme="minorEastAsia"/>
          <w:sz w:val="24"/>
        </w:rPr>
        <w:t>故本项目的建设对土壤环境影响不大。运营期建设单位定期对土壤环境进行监测。</w:t>
      </w:r>
    </w:p>
    <w:p w:rsidR="002A5A5E" w:rsidRPr="00F9522B" w:rsidRDefault="00611CBA">
      <w:pPr>
        <w:keepNext/>
        <w:keepLines/>
        <w:spacing w:before="100" w:beforeAutospacing="1" w:after="100" w:afterAutospacing="1"/>
        <w:outlineLvl w:val="2"/>
        <w:rPr>
          <w:rFonts w:eastAsiaTheme="minorEastAsia"/>
          <w:b/>
          <w:sz w:val="28"/>
          <w:szCs w:val="28"/>
        </w:rPr>
      </w:pPr>
      <w:r w:rsidRPr="00F9522B">
        <w:rPr>
          <w:rFonts w:eastAsiaTheme="minorEastAsia"/>
          <w:b/>
          <w:sz w:val="28"/>
          <w:szCs w:val="28"/>
        </w:rPr>
        <w:t>5.2.6</w:t>
      </w:r>
      <w:r w:rsidRPr="00F9522B">
        <w:rPr>
          <w:rFonts w:eastAsiaTheme="minorEastAsia"/>
          <w:b/>
          <w:sz w:val="28"/>
          <w:szCs w:val="28"/>
        </w:rPr>
        <w:t>农田输配电工程电磁辐射影响评价</w:t>
      </w:r>
    </w:p>
    <w:p w:rsidR="002A5A5E" w:rsidRPr="00F9522B" w:rsidRDefault="00611CBA">
      <w:pPr>
        <w:spacing w:line="360" w:lineRule="auto"/>
        <w:ind w:firstLine="482"/>
        <w:rPr>
          <w:rFonts w:eastAsiaTheme="minorEastAsia"/>
          <w:sz w:val="24"/>
        </w:rPr>
      </w:pPr>
      <w:r w:rsidRPr="00F9522B">
        <w:rPr>
          <w:rFonts w:eastAsiaTheme="minorEastAsia"/>
          <w:sz w:val="24"/>
        </w:rPr>
        <w:t>根据《电磁环境控制限值》（</w:t>
      </w:r>
      <w:r w:rsidRPr="00F9522B">
        <w:rPr>
          <w:rFonts w:eastAsiaTheme="minorEastAsia"/>
          <w:sz w:val="24"/>
        </w:rPr>
        <w:t>GB8702-2014</w:t>
      </w:r>
      <w:r w:rsidRPr="00F9522B">
        <w:rPr>
          <w:rFonts w:eastAsiaTheme="minorEastAsia"/>
          <w:sz w:val="24"/>
        </w:rPr>
        <w:t>）可知，</w:t>
      </w:r>
      <w:r w:rsidRPr="00F9522B">
        <w:rPr>
          <w:rFonts w:eastAsiaTheme="minorEastAsia"/>
          <w:sz w:val="24"/>
        </w:rPr>
        <w:t>100kV</w:t>
      </w:r>
      <w:r w:rsidRPr="00F9522B">
        <w:rPr>
          <w:rFonts w:eastAsiaTheme="minorEastAsia"/>
          <w:sz w:val="24"/>
        </w:rPr>
        <w:t>以下电压等级的交流输变电设施豁免管理，本项目高压线路为</w:t>
      </w:r>
      <w:r w:rsidRPr="00F9522B">
        <w:rPr>
          <w:rFonts w:eastAsiaTheme="minorEastAsia"/>
          <w:sz w:val="24"/>
        </w:rPr>
        <w:t>10kV</w:t>
      </w:r>
      <w:r w:rsidRPr="00F9522B">
        <w:rPr>
          <w:rFonts w:eastAsiaTheme="minorEastAsia"/>
          <w:sz w:val="24"/>
        </w:rPr>
        <w:t>，低压线路为</w:t>
      </w:r>
      <w:r w:rsidRPr="00F9522B">
        <w:rPr>
          <w:rFonts w:eastAsiaTheme="minorEastAsia"/>
          <w:sz w:val="24"/>
        </w:rPr>
        <w:t>0.4kV</w:t>
      </w:r>
      <w:r w:rsidRPr="00F9522B">
        <w:rPr>
          <w:rFonts w:eastAsiaTheme="minorEastAsia"/>
          <w:sz w:val="24"/>
        </w:rPr>
        <w:t>，</w:t>
      </w:r>
      <w:r w:rsidRPr="00F9522B">
        <w:rPr>
          <w:rFonts w:eastAsiaTheme="minorEastAsia"/>
          <w:bCs/>
          <w:sz w:val="24"/>
        </w:rPr>
        <w:t>变压器型号为</w:t>
      </w:r>
      <w:r w:rsidRPr="00F9522B">
        <w:rPr>
          <w:rFonts w:eastAsiaTheme="minorEastAsia"/>
          <w:sz w:val="24"/>
        </w:rPr>
        <w:t>S20-M-30kVA</w:t>
      </w:r>
      <w:r w:rsidRPr="00F9522B">
        <w:rPr>
          <w:rFonts w:eastAsiaTheme="minorEastAsia"/>
          <w:sz w:val="24"/>
        </w:rPr>
        <w:t>、</w:t>
      </w:r>
      <w:r w:rsidRPr="00F9522B">
        <w:rPr>
          <w:rFonts w:eastAsiaTheme="minorEastAsia"/>
          <w:sz w:val="24"/>
        </w:rPr>
        <w:t>S20-M-50kVA</w:t>
      </w:r>
      <w:r w:rsidRPr="00F9522B">
        <w:rPr>
          <w:rFonts w:eastAsiaTheme="minorEastAsia"/>
          <w:sz w:val="24"/>
        </w:rPr>
        <w:t>、</w:t>
      </w:r>
      <w:r w:rsidRPr="00F9522B">
        <w:rPr>
          <w:rFonts w:eastAsiaTheme="minorEastAsia"/>
          <w:sz w:val="24"/>
        </w:rPr>
        <w:t>S20-M-80kVA</w:t>
      </w:r>
      <w:r w:rsidRPr="00F9522B">
        <w:rPr>
          <w:rFonts w:eastAsiaTheme="minorEastAsia"/>
          <w:sz w:val="24"/>
        </w:rPr>
        <w:t>、</w:t>
      </w:r>
      <w:r w:rsidR="00DF6D38" w:rsidRPr="00F9522B">
        <w:rPr>
          <w:rFonts w:eastAsiaTheme="minorEastAsia"/>
          <w:sz w:val="24"/>
        </w:rPr>
        <w:t>S20-M-125kVA</w:t>
      </w:r>
      <w:r w:rsidRPr="00F9522B">
        <w:rPr>
          <w:rFonts w:eastAsiaTheme="minorEastAsia"/>
          <w:sz w:val="24"/>
        </w:rPr>
        <w:t>，属于豁免范畴，根据《中华人民共和国环境电磁波卫生标准》，适合人们长期居住的安全区环境电磁辐射值必须小于</w:t>
      </w:r>
      <w:r w:rsidRPr="00F9522B">
        <w:rPr>
          <w:rFonts w:eastAsiaTheme="minorEastAsia"/>
          <w:sz w:val="24"/>
        </w:rPr>
        <w:t>0.01kV/m</w:t>
      </w:r>
      <w:r w:rsidRPr="00F9522B">
        <w:rPr>
          <w:rFonts w:eastAsiaTheme="minorEastAsia"/>
          <w:sz w:val="24"/>
        </w:rPr>
        <w:t>。</w:t>
      </w:r>
      <w:r w:rsidRPr="00F9522B">
        <w:rPr>
          <w:rFonts w:eastAsiaTheme="minorEastAsia"/>
          <w:sz w:val="24"/>
        </w:rPr>
        <w:t>11-66</w:t>
      </w:r>
      <w:r w:rsidRPr="00F9522B">
        <w:rPr>
          <w:rFonts w:eastAsiaTheme="minorEastAsia"/>
          <w:sz w:val="24"/>
        </w:rPr>
        <w:t>千伏的高压线在十数米范围内</w:t>
      </w:r>
      <w:r w:rsidRPr="00F9522B">
        <w:rPr>
          <w:rFonts w:eastAsiaTheme="minorEastAsia"/>
          <w:sz w:val="24"/>
        </w:rPr>
        <w:lastRenderedPageBreak/>
        <w:t>的电磁辐射强度超过</w:t>
      </w:r>
      <w:r w:rsidRPr="00F9522B">
        <w:rPr>
          <w:rFonts w:eastAsiaTheme="minorEastAsia"/>
          <w:sz w:val="24"/>
        </w:rPr>
        <w:t>0.4</w:t>
      </w:r>
      <w:r w:rsidRPr="00F9522B">
        <w:rPr>
          <w:rFonts w:eastAsiaTheme="minorEastAsia"/>
          <w:sz w:val="24"/>
        </w:rPr>
        <w:t>微特斯拉，本项目</w:t>
      </w:r>
      <w:r w:rsidRPr="00F9522B">
        <w:rPr>
          <w:rFonts w:eastAsiaTheme="minorEastAsia"/>
          <w:sz w:val="24"/>
        </w:rPr>
        <w:t>10kV</w:t>
      </w:r>
      <w:r w:rsidRPr="00F9522B">
        <w:rPr>
          <w:rFonts w:eastAsiaTheme="minorEastAsia"/>
          <w:sz w:val="24"/>
        </w:rPr>
        <w:t>电磁辐射更小，故对周围影响不大。</w:t>
      </w:r>
    </w:p>
    <w:p w:rsidR="002A5A5E" w:rsidRPr="00F9522B" w:rsidRDefault="00611CBA">
      <w:pPr>
        <w:keepNext/>
        <w:keepLines/>
        <w:spacing w:before="100" w:beforeAutospacing="1" w:after="100" w:afterAutospacing="1"/>
        <w:outlineLvl w:val="2"/>
        <w:rPr>
          <w:rFonts w:eastAsiaTheme="minorEastAsia"/>
          <w:b/>
          <w:sz w:val="28"/>
          <w:szCs w:val="28"/>
        </w:rPr>
      </w:pPr>
      <w:r w:rsidRPr="00F9522B">
        <w:rPr>
          <w:rFonts w:eastAsiaTheme="minorEastAsia"/>
          <w:b/>
          <w:sz w:val="28"/>
          <w:szCs w:val="28"/>
        </w:rPr>
        <w:t>5.2.7</w:t>
      </w:r>
      <w:r w:rsidRPr="00F9522B">
        <w:rPr>
          <w:rFonts w:eastAsiaTheme="minorEastAsia"/>
          <w:b/>
          <w:sz w:val="28"/>
          <w:szCs w:val="28"/>
        </w:rPr>
        <w:t>风险影响评价</w:t>
      </w:r>
    </w:p>
    <w:p w:rsidR="002A5A5E" w:rsidRPr="00F9522B" w:rsidRDefault="00611CBA">
      <w:pPr>
        <w:widowControl/>
        <w:tabs>
          <w:tab w:val="left" w:leader="middleDot" w:pos="0"/>
        </w:tabs>
        <w:spacing w:line="360" w:lineRule="auto"/>
        <w:ind w:firstLineChars="200" w:firstLine="480"/>
        <w:rPr>
          <w:rFonts w:eastAsiaTheme="minorEastAsia"/>
          <w:sz w:val="24"/>
        </w:rPr>
      </w:pPr>
      <w:r w:rsidRPr="00F9522B">
        <w:rPr>
          <w:rFonts w:eastAsiaTheme="minorEastAsia"/>
          <w:sz w:val="24"/>
        </w:rPr>
        <w:t>根据工程分析结果，本项目危险物质数量与临界量比值</w:t>
      </w:r>
      <w:r w:rsidRPr="00F9522B">
        <w:rPr>
          <w:rFonts w:eastAsiaTheme="minorEastAsia"/>
          <w:sz w:val="24"/>
        </w:rPr>
        <w:t>Q</w:t>
      </w:r>
      <w:r w:rsidRPr="00F9522B">
        <w:rPr>
          <w:rFonts w:eastAsiaTheme="minorEastAsia"/>
          <w:sz w:val="24"/>
        </w:rPr>
        <w:t>小于</w:t>
      </w:r>
      <w:r w:rsidRPr="00F9522B">
        <w:rPr>
          <w:rFonts w:eastAsiaTheme="minorEastAsia"/>
          <w:sz w:val="24"/>
        </w:rPr>
        <w:t>1</w:t>
      </w:r>
      <w:r w:rsidRPr="00F9522B">
        <w:rPr>
          <w:rFonts w:eastAsiaTheme="minorEastAsia"/>
          <w:sz w:val="24"/>
        </w:rPr>
        <w:t>，环境风险潜势为</w:t>
      </w:r>
      <w:r w:rsidR="005273A1" w:rsidRPr="00F9522B">
        <w:rPr>
          <w:rFonts w:eastAsiaTheme="minorEastAsia"/>
          <w:sz w:val="24"/>
        </w:rPr>
        <w:fldChar w:fldCharType="begin"/>
      </w:r>
      <w:r w:rsidRPr="00F9522B">
        <w:rPr>
          <w:rFonts w:eastAsiaTheme="minorEastAsia"/>
          <w:sz w:val="24"/>
        </w:rPr>
        <w:instrText xml:space="preserve"> = 1 \* ROMAN </w:instrText>
      </w:r>
      <w:r w:rsidR="005273A1" w:rsidRPr="00F9522B">
        <w:rPr>
          <w:rFonts w:eastAsiaTheme="minorEastAsia"/>
          <w:sz w:val="24"/>
        </w:rPr>
        <w:fldChar w:fldCharType="separate"/>
      </w:r>
      <w:r w:rsidRPr="00F9522B">
        <w:rPr>
          <w:rFonts w:eastAsiaTheme="minorEastAsia"/>
          <w:sz w:val="24"/>
        </w:rPr>
        <w:t>I</w:t>
      </w:r>
      <w:r w:rsidR="005273A1" w:rsidRPr="00F9522B">
        <w:rPr>
          <w:rFonts w:eastAsiaTheme="minorEastAsia"/>
          <w:sz w:val="24"/>
        </w:rPr>
        <w:fldChar w:fldCharType="end"/>
      </w:r>
      <w:r w:rsidRPr="00F9522B">
        <w:rPr>
          <w:rFonts w:eastAsiaTheme="minorEastAsia"/>
          <w:sz w:val="24"/>
        </w:rPr>
        <w:t>，进行简单分析。</w:t>
      </w:r>
    </w:p>
    <w:p w:rsidR="002A5A5E" w:rsidRPr="00F9522B" w:rsidRDefault="00611CBA">
      <w:pPr>
        <w:autoSpaceDE w:val="0"/>
        <w:autoSpaceDN w:val="0"/>
        <w:spacing w:before="100" w:beforeAutospacing="1" w:after="100" w:afterAutospacing="1"/>
        <w:outlineLvl w:val="3"/>
        <w:rPr>
          <w:rFonts w:eastAsiaTheme="minorEastAsia"/>
          <w:b/>
          <w:sz w:val="24"/>
        </w:rPr>
      </w:pPr>
      <w:r w:rsidRPr="00F9522B">
        <w:rPr>
          <w:rFonts w:eastAsiaTheme="minorEastAsia"/>
          <w:b/>
          <w:sz w:val="24"/>
        </w:rPr>
        <w:t>5.2.7.1</w:t>
      </w:r>
      <w:r w:rsidRPr="00F9522B">
        <w:rPr>
          <w:rFonts w:eastAsiaTheme="minorEastAsia"/>
          <w:b/>
          <w:sz w:val="24"/>
        </w:rPr>
        <w:t>环境敏感目标概况</w:t>
      </w:r>
    </w:p>
    <w:p w:rsidR="002A5A5E" w:rsidRPr="00F9522B" w:rsidRDefault="00611CBA">
      <w:pPr>
        <w:spacing w:line="360" w:lineRule="auto"/>
        <w:ind w:firstLineChars="200" w:firstLine="480"/>
        <w:rPr>
          <w:rFonts w:eastAsiaTheme="minorEastAsia"/>
          <w:sz w:val="24"/>
        </w:rPr>
      </w:pPr>
      <w:r w:rsidRPr="00F9522B">
        <w:rPr>
          <w:rFonts w:eastAsiaTheme="minorEastAsia"/>
          <w:kern w:val="0"/>
          <w:sz w:val="24"/>
        </w:rPr>
        <w:t>根据风险潜势判断，本项目不设环境风险评价等级和评价范围，仅开展简单分析，环境敏感目标主要为高标准农田片区范围内村屯</w:t>
      </w:r>
      <w:r w:rsidRPr="00F9522B">
        <w:rPr>
          <w:rFonts w:eastAsiaTheme="minorEastAsia"/>
          <w:sz w:val="24"/>
        </w:rPr>
        <w:t>。</w:t>
      </w:r>
    </w:p>
    <w:p w:rsidR="002A5A5E" w:rsidRPr="00F9522B" w:rsidRDefault="00611CBA">
      <w:pPr>
        <w:autoSpaceDE w:val="0"/>
        <w:autoSpaceDN w:val="0"/>
        <w:spacing w:before="100" w:beforeAutospacing="1" w:after="100" w:afterAutospacing="1"/>
        <w:outlineLvl w:val="3"/>
        <w:rPr>
          <w:rFonts w:eastAsiaTheme="minorEastAsia"/>
          <w:b/>
          <w:sz w:val="24"/>
        </w:rPr>
      </w:pPr>
      <w:r w:rsidRPr="00F9522B">
        <w:rPr>
          <w:rFonts w:eastAsiaTheme="minorEastAsia"/>
          <w:b/>
          <w:sz w:val="24"/>
        </w:rPr>
        <w:t>5.2.7.2</w:t>
      </w:r>
      <w:r w:rsidRPr="00F9522B">
        <w:rPr>
          <w:rFonts w:eastAsiaTheme="minorEastAsia"/>
          <w:b/>
          <w:sz w:val="24"/>
        </w:rPr>
        <w:t>环境风险识别</w:t>
      </w:r>
    </w:p>
    <w:p w:rsidR="002A5A5E" w:rsidRPr="00F9522B" w:rsidRDefault="00611CBA">
      <w:pPr>
        <w:pStyle w:val="aff4"/>
        <w:adjustRightInd/>
        <w:snapToGrid/>
        <w:jc w:val="both"/>
        <w:rPr>
          <w:rFonts w:ascii="Times New Roman" w:hAnsi="Times New Roman" w:cs="Times New Roman"/>
          <w:snapToGrid w:val="0"/>
        </w:rPr>
      </w:pPr>
      <w:r w:rsidRPr="00F9522B">
        <w:rPr>
          <w:rFonts w:ascii="Times New Roman" w:hAnsi="Times New Roman" w:cs="Times New Roman"/>
          <w:bCs/>
        </w:rPr>
        <w:t>本项目风险事故发生的潜在因素主要为运营期柴油机移动泵车中柴油泄漏、变压器中变压器油泄漏，泄漏的主要原因为设备失修，管理不善，操作失误等</w:t>
      </w:r>
      <w:r w:rsidRPr="00F9522B">
        <w:rPr>
          <w:rFonts w:ascii="Times New Roman" w:hAnsi="Times New Roman" w:cs="Times New Roman"/>
        </w:rPr>
        <w:t>。一旦发生泄漏风险，将对</w:t>
      </w:r>
      <w:r w:rsidRPr="00F9522B">
        <w:rPr>
          <w:rFonts w:ascii="Times New Roman" w:hAnsi="Times New Roman" w:cs="Times New Roman"/>
          <w:bCs/>
        </w:rPr>
        <w:t>大气环境、</w:t>
      </w:r>
      <w:r w:rsidRPr="00F9522B">
        <w:rPr>
          <w:rFonts w:ascii="Times New Roman" w:hAnsi="Times New Roman" w:cs="Times New Roman"/>
        </w:rPr>
        <w:t>地下水造成影响。</w:t>
      </w:r>
    </w:p>
    <w:p w:rsidR="002A5A5E" w:rsidRPr="00F9522B" w:rsidRDefault="00611CBA">
      <w:pPr>
        <w:autoSpaceDE w:val="0"/>
        <w:autoSpaceDN w:val="0"/>
        <w:spacing w:before="100" w:beforeAutospacing="1" w:after="100" w:afterAutospacing="1"/>
        <w:outlineLvl w:val="3"/>
        <w:rPr>
          <w:rFonts w:eastAsiaTheme="minorEastAsia"/>
          <w:b/>
          <w:sz w:val="24"/>
        </w:rPr>
      </w:pPr>
      <w:r w:rsidRPr="00F9522B">
        <w:rPr>
          <w:rFonts w:eastAsiaTheme="minorEastAsia"/>
          <w:b/>
          <w:sz w:val="24"/>
        </w:rPr>
        <w:t>5.2.7.3</w:t>
      </w:r>
      <w:r w:rsidRPr="00F9522B">
        <w:rPr>
          <w:rFonts w:eastAsiaTheme="minorEastAsia"/>
          <w:b/>
          <w:sz w:val="24"/>
        </w:rPr>
        <w:t>环境风险分析</w:t>
      </w:r>
    </w:p>
    <w:p w:rsidR="002A5A5E" w:rsidRPr="00F9522B" w:rsidRDefault="00611CBA">
      <w:pPr>
        <w:pStyle w:val="aff4"/>
        <w:adjustRightInd/>
        <w:snapToGrid/>
        <w:rPr>
          <w:rFonts w:ascii="Times New Roman" w:hAnsi="Times New Roman" w:cs="Times New Roman"/>
        </w:rPr>
      </w:pPr>
      <w:r w:rsidRPr="00F9522B">
        <w:rPr>
          <w:rFonts w:ascii="Times New Roman" w:hAnsi="Times New Roman" w:cs="Times New Roman"/>
        </w:rPr>
        <w:t>项目发生泄漏等环境风险事故时，污染物的扩散途径有如下几种：</w:t>
      </w:r>
    </w:p>
    <w:p w:rsidR="002A5A5E" w:rsidRPr="00F9522B" w:rsidRDefault="00611CBA">
      <w:pPr>
        <w:pStyle w:val="aff4"/>
        <w:adjustRightInd/>
        <w:snapToGrid/>
        <w:rPr>
          <w:rFonts w:ascii="Times New Roman" w:hAnsi="Times New Roman" w:cs="Times New Roman"/>
        </w:rPr>
      </w:pPr>
      <w:r w:rsidRPr="00F9522B">
        <w:rPr>
          <w:rFonts w:ascii="Times New Roman" w:hAnsi="Times New Roman" w:cs="Times New Roman"/>
          <w:bCs/>
        </w:rPr>
        <w:t>柴油、变压器油</w:t>
      </w:r>
      <w:r w:rsidRPr="00F9522B">
        <w:rPr>
          <w:rFonts w:ascii="Times New Roman" w:hAnsi="Times New Roman" w:cs="Times New Roman"/>
        </w:rPr>
        <w:t>泄漏后，</w:t>
      </w:r>
      <w:r w:rsidRPr="00F9522B">
        <w:rPr>
          <w:rFonts w:ascii="Times New Roman" w:hAnsi="Times New Roman" w:cs="Times New Roman"/>
          <w:kern w:val="0"/>
        </w:rPr>
        <w:t>引发的火灾，火灾事故排放烟尘、二氧化硫、氮氧化物等有毒有害物质主要通过大气扩散</w:t>
      </w:r>
      <w:r w:rsidRPr="00F9522B">
        <w:rPr>
          <w:rFonts w:ascii="Times New Roman" w:hAnsi="Times New Roman" w:cs="Times New Roman"/>
        </w:rPr>
        <w:t>，在不利气象条件下可能对周围居民区等敏感目标造成不利影响。泄漏液体进入地下水，将对区域地下水造成影响。</w:t>
      </w:r>
    </w:p>
    <w:p w:rsidR="002A5A5E" w:rsidRPr="00F9522B" w:rsidRDefault="00611CBA">
      <w:pPr>
        <w:autoSpaceDE w:val="0"/>
        <w:autoSpaceDN w:val="0"/>
        <w:spacing w:before="100" w:beforeAutospacing="1" w:after="100" w:afterAutospacing="1"/>
        <w:outlineLvl w:val="3"/>
        <w:rPr>
          <w:rFonts w:eastAsiaTheme="minorEastAsia"/>
          <w:b/>
          <w:sz w:val="24"/>
        </w:rPr>
      </w:pPr>
      <w:r w:rsidRPr="00F9522B">
        <w:rPr>
          <w:rFonts w:eastAsiaTheme="minorEastAsia"/>
          <w:b/>
          <w:sz w:val="24"/>
        </w:rPr>
        <w:t>5.2.7.4</w:t>
      </w:r>
      <w:r w:rsidRPr="00F9522B">
        <w:rPr>
          <w:rFonts w:eastAsiaTheme="minorEastAsia"/>
          <w:b/>
          <w:sz w:val="24"/>
        </w:rPr>
        <w:t>风险防范措施及应急要求</w:t>
      </w:r>
    </w:p>
    <w:p w:rsidR="002A5A5E" w:rsidRPr="00F9522B" w:rsidRDefault="00611CBA">
      <w:pPr>
        <w:spacing w:line="360" w:lineRule="auto"/>
        <w:ind w:firstLineChars="200" w:firstLine="480"/>
        <w:rPr>
          <w:rFonts w:eastAsiaTheme="minorEastAsia"/>
          <w:sz w:val="24"/>
          <w:szCs w:val="20"/>
        </w:rPr>
      </w:pPr>
      <w:r w:rsidRPr="00F9522B">
        <w:rPr>
          <w:rFonts w:eastAsiaTheme="minorEastAsia"/>
          <w:sz w:val="24"/>
          <w:szCs w:val="20"/>
        </w:rPr>
        <w:t>本项目</w:t>
      </w:r>
      <w:r w:rsidRPr="00F9522B">
        <w:rPr>
          <w:rFonts w:eastAsiaTheme="minorEastAsia"/>
          <w:bCs/>
          <w:sz w:val="24"/>
          <w:szCs w:val="20"/>
        </w:rPr>
        <w:t>柴油机移动泵车</w:t>
      </w:r>
      <w:r w:rsidRPr="00F9522B">
        <w:rPr>
          <w:rFonts w:eastAsiaTheme="minorEastAsia"/>
          <w:sz w:val="24"/>
          <w:szCs w:val="20"/>
        </w:rPr>
        <w:t>油箱密闭，不使用时于村内暂存，暂存处地面设置重点防渗（等效黏土防渗层</w:t>
      </w:r>
      <w:r w:rsidRPr="00F9522B">
        <w:rPr>
          <w:rFonts w:eastAsiaTheme="minorEastAsia"/>
          <w:sz w:val="24"/>
          <w:szCs w:val="20"/>
        </w:rPr>
        <w:t>Mb≥6.0m</w:t>
      </w:r>
      <w:r w:rsidRPr="00F9522B">
        <w:rPr>
          <w:rFonts w:eastAsiaTheme="minorEastAsia"/>
          <w:sz w:val="24"/>
          <w:szCs w:val="20"/>
        </w:rPr>
        <w:t>，渗透系数</w:t>
      </w:r>
      <w:r w:rsidRPr="00F9522B">
        <w:rPr>
          <w:rFonts w:eastAsiaTheme="minorEastAsia"/>
          <w:sz w:val="24"/>
          <w:szCs w:val="20"/>
        </w:rPr>
        <w:t>K≤1.0×10</w:t>
      </w:r>
      <w:r w:rsidRPr="00F9522B">
        <w:rPr>
          <w:rFonts w:eastAsiaTheme="minorEastAsia"/>
          <w:sz w:val="24"/>
          <w:szCs w:val="20"/>
          <w:vertAlign w:val="superscript"/>
        </w:rPr>
        <w:t>-7</w:t>
      </w:r>
      <w:r w:rsidRPr="00F9522B">
        <w:rPr>
          <w:rFonts w:eastAsiaTheme="minorEastAsia"/>
          <w:sz w:val="24"/>
          <w:szCs w:val="20"/>
        </w:rPr>
        <w:t>cm/s</w:t>
      </w:r>
      <w:r w:rsidRPr="00F9522B">
        <w:rPr>
          <w:rFonts w:eastAsiaTheme="minorEastAsia"/>
          <w:sz w:val="24"/>
          <w:szCs w:val="20"/>
        </w:rPr>
        <w:t>），正常情况下不会泄漏，若发生泄漏事故，属于小范围污染，立即用沙土进行掩埋，产生的含油沙土交由资质单位运输和处置。</w:t>
      </w:r>
    </w:p>
    <w:p w:rsidR="002A5A5E" w:rsidRPr="00F9522B" w:rsidRDefault="00611CBA">
      <w:pPr>
        <w:widowControl/>
        <w:spacing w:line="360" w:lineRule="auto"/>
        <w:ind w:firstLineChars="200" w:firstLine="480"/>
        <w:jc w:val="left"/>
        <w:rPr>
          <w:rFonts w:eastAsiaTheme="minorEastAsia"/>
          <w:sz w:val="24"/>
        </w:rPr>
      </w:pPr>
      <w:r w:rsidRPr="00F9522B">
        <w:rPr>
          <w:rFonts w:eastAsiaTheme="minorEastAsia"/>
          <w:sz w:val="24"/>
        </w:rPr>
        <w:t>本项目变压器油箱采取全密封结构，采用真空注油工艺，防止进水、进气，延缓变压器老化，提高运行可靠性，无储油柜。变压器使用期间不换油、不补油，使用寿命结束后或出现设备故障时直接整体更换变压器，由设备厂家带走，正常</w:t>
      </w:r>
      <w:r w:rsidRPr="00F9522B">
        <w:rPr>
          <w:rFonts w:eastAsiaTheme="minorEastAsia"/>
          <w:sz w:val="24"/>
        </w:rPr>
        <w:lastRenderedPageBreak/>
        <w:t>情况下，变压器油不会泄漏，若受到外力因素如地震、台风或人为因素破坏等，变压器油有泄漏的风险，此种因素存在不可控性。</w:t>
      </w:r>
    </w:p>
    <w:p w:rsidR="002A5A5E" w:rsidRPr="00F9522B" w:rsidRDefault="0021317F">
      <w:pPr>
        <w:widowControl/>
        <w:spacing w:line="360" w:lineRule="auto"/>
        <w:ind w:firstLineChars="200" w:firstLine="480"/>
        <w:jc w:val="left"/>
        <w:rPr>
          <w:rFonts w:eastAsiaTheme="minorEastAsia"/>
          <w:sz w:val="24"/>
        </w:rPr>
      </w:pPr>
      <w:r w:rsidRPr="00F9522B">
        <w:rPr>
          <w:rFonts w:eastAsiaTheme="minorEastAsia"/>
          <w:color w:val="FF0000"/>
          <w:sz w:val="24"/>
        </w:rPr>
        <w:t>本项目变压器为杆上变压器，露天设置，</w:t>
      </w:r>
      <w:r w:rsidR="00611CBA" w:rsidRPr="00F9522B">
        <w:rPr>
          <w:rFonts w:eastAsiaTheme="minorEastAsia"/>
          <w:sz w:val="24"/>
        </w:rPr>
        <w:t>每个变压器箱内变压器油最大贮存量为</w:t>
      </w:r>
      <w:r w:rsidR="00611CBA" w:rsidRPr="00F9522B">
        <w:rPr>
          <w:rFonts w:eastAsiaTheme="minorEastAsia"/>
          <w:sz w:val="24"/>
        </w:rPr>
        <w:t>115kg</w:t>
      </w:r>
      <w:r w:rsidR="00611CBA" w:rsidRPr="00F9522B">
        <w:rPr>
          <w:rFonts w:eastAsiaTheme="minorEastAsia"/>
          <w:sz w:val="24"/>
        </w:rPr>
        <w:t>，定期巡检，重点检查变压器油箱密封性（有无裂缝、接口渗漏）、油位刻度（判断是否存在异常泄漏），发现变压器油泄漏应立即停止此变压器运行，</w:t>
      </w:r>
      <w:r w:rsidR="00611CBA" w:rsidRPr="00F9522B">
        <w:rPr>
          <w:rFonts w:eastAsiaTheme="minorEastAsia"/>
          <w:sz w:val="24"/>
          <w:szCs w:val="20"/>
        </w:rPr>
        <w:t>属于小范围污染，立即用沙土进行掩埋，产生的含油沙土及</w:t>
      </w:r>
      <w:r w:rsidR="00611CBA" w:rsidRPr="00F9522B">
        <w:rPr>
          <w:rFonts w:eastAsiaTheme="minorEastAsia"/>
          <w:sz w:val="24"/>
        </w:rPr>
        <w:t>泄漏物</w:t>
      </w:r>
      <w:r w:rsidR="00611CBA" w:rsidRPr="00F9522B">
        <w:rPr>
          <w:rFonts w:eastAsiaTheme="minorEastAsia"/>
          <w:sz w:val="24"/>
          <w:szCs w:val="20"/>
        </w:rPr>
        <w:t>交由资质单位处置进行运输和处置</w:t>
      </w:r>
      <w:r w:rsidR="00611CBA" w:rsidRPr="00F9522B">
        <w:rPr>
          <w:rFonts w:eastAsiaTheme="minorEastAsia"/>
          <w:sz w:val="24"/>
        </w:rPr>
        <w:t>，通过采取此应急措施后本项目环境风险影响可接受。</w:t>
      </w:r>
    </w:p>
    <w:p w:rsidR="002A5A5E" w:rsidRPr="00F9522B" w:rsidRDefault="00611CBA">
      <w:pPr>
        <w:spacing w:line="360" w:lineRule="auto"/>
        <w:ind w:firstLineChars="200" w:firstLine="480"/>
        <w:rPr>
          <w:rFonts w:eastAsiaTheme="minorEastAsia"/>
          <w:sz w:val="24"/>
          <w:szCs w:val="20"/>
        </w:rPr>
      </w:pPr>
      <w:r w:rsidRPr="00F9522B">
        <w:rPr>
          <w:rFonts w:eastAsiaTheme="minorEastAsia"/>
          <w:sz w:val="24"/>
          <w:szCs w:val="20"/>
        </w:rPr>
        <w:t>加强巡视及管理并制定环境风险应急预案。在严格落实应急措施后，可将风险发生的概率和影响后果降到最低限度。一旦发生事故，及时采取应急措施，可将对大气和地下水的影响降到最低限度，其风险水平可以被接受。</w:t>
      </w:r>
    </w:p>
    <w:p w:rsidR="002A5A5E" w:rsidRPr="00F9522B" w:rsidRDefault="00611CBA">
      <w:pPr>
        <w:autoSpaceDE w:val="0"/>
        <w:autoSpaceDN w:val="0"/>
        <w:spacing w:before="100" w:beforeAutospacing="1" w:after="100" w:afterAutospacing="1"/>
        <w:outlineLvl w:val="3"/>
        <w:rPr>
          <w:rFonts w:eastAsiaTheme="minorEastAsia"/>
          <w:b/>
          <w:sz w:val="24"/>
        </w:rPr>
      </w:pPr>
      <w:r w:rsidRPr="00F9522B">
        <w:rPr>
          <w:rFonts w:eastAsiaTheme="minorEastAsia"/>
          <w:b/>
          <w:sz w:val="24"/>
        </w:rPr>
        <w:t>5.2.7.5</w:t>
      </w:r>
      <w:r w:rsidRPr="00F9522B">
        <w:rPr>
          <w:rFonts w:eastAsiaTheme="minorEastAsia"/>
          <w:b/>
          <w:sz w:val="24"/>
        </w:rPr>
        <w:t>分析结论</w:t>
      </w:r>
    </w:p>
    <w:p w:rsidR="002A5A5E" w:rsidRPr="00F9522B" w:rsidRDefault="00611CBA">
      <w:pPr>
        <w:spacing w:line="360" w:lineRule="auto"/>
        <w:ind w:firstLine="482"/>
        <w:rPr>
          <w:rFonts w:eastAsiaTheme="minorEastAsia"/>
          <w:kern w:val="0"/>
          <w:sz w:val="24"/>
        </w:rPr>
      </w:pPr>
      <w:r w:rsidRPr="00F9522B">
        <w:rPr>
          <w:rFonts w:eastAsiaTheme="minorEastAsia"/>
          <w:kern w:val="0"/>
          <w:sz w:val="24"/>
        </w:rPr>
        <w:t>采取本项目提出的风险应急措施，可有效避免风险事故污染大气、地下水，可有效保护应急人员健康。</w:t>
      </w:r>
    </w:p>
    <w:p w:rsidR="002A5A5E" w:rsidRPr="00F9522B" w:rsidRDefault="00611CBA">
      <w:pPr>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5-2-9</w:t>
      </w:r>
      <w:r w:rsidRPr="00F9522B">
        <w:rPr>
          <w:rFonts w:eastAsiaTheme="minorEastAsia"/>
          <w:b/>
          <w:kern w:val="0"/>
          <w:szCs w:val="21"/>
        </w:rPr>
        <w:t>建设项目环境风险简单分析内容表</w:t>
      </w:r>
    </w:p>
    <w:tbl>
      <w:tblPr>
        <w:tblW w:w="0" w:type="auto"/>
        <w:jc w:val="center"/>
        <w:tblBorders>
          <w:top w:val="single" w:sz="12" w:space="0" w:color="000000"/>
          <w:bottom w:val="single" w:sz="12" w:space="0" w:color="000000"/>
          <w:insideH w:val="single" w:sz="6" w:space="0" w:color="000000"/>
          <w:insideV w:val="single" w:sz="6" w:space="0" w:color="000000"/>
        </w:tblBorders>
        <w:tblLayout w:type="fixed"/>
        <w:tblLook w:val="04A0"/>
      </w:tblPr>
      <w:tblGrid>
        <w:gridCol w:w="1526"/>
        <w:gridCol w:w="1276"/>
        <w:gridCol w:w="1275"/>
        <w:gridCol w:w="1134"/>
        <w:gridCol w:w="2268"/>
        <w:gridCol w:w="1043"/>
      </w:tblGrid>
      <w:tr w:rsidR="002A5A5E" w:rsidRPr="00F9522B" w:rsidTr="0088710B">
        <w:trPr>
          <w:trHeight w:val="225"/>
          <w:jc w:val="center"/>
        </w:trPr>
        <w:tc>
          <w:tcPr>
            <w:tcW w:w="1526" w:type="dxa"/>
            <w:vAlign w:val="center"/>
          </w:tcPr>
          <w:p w:rsidR="002A5A5E" w:rsidRPr="00F9522B" w:rsidRDefault="00611CBA">
            <w:pPr>
              <w:jc w:val="center"/>
              <w:rPr>
                <w:rFonts w:eastAsiaTheme="minorEastAsia"/>
                <w:szCs w:val="21"/>
              </w:rPr>
            </w:pPr>
            <w:r w:rsidRPr="00F9522B">
              <w:rPr>
                <w:rFonts w:eastAsiaTheme="minorEastAsia"/>
                <w:szCs w:val="21"/>
              </w:rPr>
              <w:t>建设项目名称</w:t>
            </w:r>
          </w:p>
        </w:tc>
        <w:tc>
          <w:tcPr>
            <w:tcW w:w="6996" w:type="dxa"/>
            <w:gridSpan w:val="5"/>
            <w:vAlign w:val="center"/>
          </w:tcPr>
          <w:p w:rsidR="002A5A5E" w:rsidRPr="00F9522B" w:rsidRDefault="003A7922">
            <w:pPr>
              <w:jc w:val="center"/>
              <w:rPr>
                <w:rFonts w:eastAsiaTheme="minorEastAsia"/>
                <w:szCs w:val="21"/>
              </w:rPr>
            </w:pPr>
            <w:r w:rsidRPr="00F9522B">
              <w:rPr>
                <w:rFonts w:eastAsiaTheme="minorEastAsia"/>
                <w:bCs/>
                <w:szCs w:val="21"/>
              </w:rPr>
              <w:t>呼兰区</w:t>
            </w:r>
            <w:r w:rsidRPr="00F9522B">
              <w:rPr>
                <w:rFonts w:eastAsiaTheme="minorEastAsia"/>
                <w:bCs/>
                <w:szCs w:val="21"/>
              </w:rPr>
              <w:t>2026</w:t>
            </w:r>
            <w:r w:rsidRPr="00F9522B">
              <w:rPr>
                <w:rFonts w:eastAsiaTheme="minorEastAsia"/>
                <w:bCs/>
                <w:szCs w:val="21"/>
              </w:rPr>
              <w:t>年高标准农田建设项目</w:t>
            </w:r>
          </w:p>
        </w:tc>
      </w:tr>
      <w:tr w:rsidR="002A5A5E" w:rsidRPr="00F9522B" w:rsidTr="00DF7E65">
        <w:trPr>
          <w:trHeight w:val="48"/>
          <w:jc w:val="center"/>
        </w:trPr>
        <w:tc>
          <w:tcPr>
            <w:tcW w:w="1526" w:type="dxa"/>
            <w:vAlign w:val="center"/>
          </w:tcPr>
          <w:p w:rsidR="002A5A5E" w:rsidRPr="00F9522B" w:rsidRDefault="00611CBA">
            <w:pPr>
              <w:jc w:val="center"/>
              <w:rPr>
                <w:rFonts w:eastAsiaTheme="minorEastAsia"/>
                <w:szCs w:val="21"/>
              </w:rPr>
            </w:pPr>
            <w:r w:rsidRPr="00F9522B">
              <w:rPr>
                <w:rFonts w:eastAsiaTheme="minorEastAsia"/>
                <w:szCs w:val="21"/>
              </w:rPr>
              <w:t>建设地点</w:t>
            </w:r>
          </w:p>
        </w:tc>
        <w:tc>
          <w:tcPr>
            <w:tcW w:w="1276" w:type="dxa"/>
            <w:vAlign w:val="center"/>
          </w:tcPr>
          <w:p w:rsidR="002A5A5E" w:rsidRPr="00F9522B" w:rsidRDefault="00611CBA">
            <w:pPr>
              <w:jc w:val="center"/>
              <w:rPr>
                <w:rFonts w:eastAsiaTheme="minorEastAsia"/>
                <w:szCs w:val="21"/>
              </w:rPr>
            </w:pPr>
            <w:r w:rsidRPr="00F9522B">
              <w:rPr>
                <w:rFonts w:eastAsiaTheme="minorEastAsia"/>
                <w:szCs w:val="21"/>
              </w:rPr>
              <w:t>（黑龙江）省</w:t>
            </w:r>
          </w:p>
        </w:tc>
        <w:tc>
          <w:tcPr>
            <w:tcW w:w="1275" w:type="dxa"/>
            <w:vAlign w:val="center"/>
          </w:tcPr>
          <w:p w:rsidR="002A5A5E" w:rsidRPr="00F9522B" w:rsidRDefault="00611CBA">
            <w:pPr>
              <w:jc w:val="center"/>
              <w:rPr>
                <w:rFonts w:eastAsiaTheme="minorEastAsia"/>
                <w:szCs w:val="21"/>
              </w:rPr>
            </w:pPr>
            <w:r w:rsidRPr="00F9522B">
              <w:rPr>
                <w:rFonts w:eastAsiaTheme="minorEastAsia"/>
                <w:szCs w:val="21"/>
              </w:rPr>
              <w:t>（哈尔滨）市</w:t>
            </w:r>
          </w:p>
        </w:tc>
        <w:tc>
          <w:tcPr>
            <w:tcW w:w="1134" w:type="dxa"/>
            <w:vAlign w:val="center"/>
          </w:tcPr>
          <w:p w:rsidR="002A5A5E" w:rsidRPr="00F9522B" w:rsidRDefault="00611CBA" w:rsidP="00DF7E65">
            <w:pPr>
              <w:jc w:val="center"/>
              <w:rPr>
                <w:rFonts w:eastAsiaTheme="minorEastAsia"/>
                <w:szCs w:val="21"/>
              </w:rPr>
            </w:pPr>
            <w:r w:rsidRPr="00F9522B">
              <w:rPr>
                <w:rFonts w:eastAsiaTheme="minorEastAsia"/>
                <w:szCs w:val="21"/>
              </w:rPr>
              <w:t>（呼兰）</w:t>
            </w:r>
            <w:r w:rsidR="00DF7E65" w:rsidRPr="00F9522B">
              <w:rPr>
                <w:rFonts w:eastAsiaTheme="minorEastAsia"/>
                <w:szCs w:val="21"/>
              </w:rPr>
              <w:t>区</w:t>
            </w:r>
          </w:p>
        </w:tc>
        <w:tc>
          <w:tcPr>
            <w:tcW w:w="2268" w:type="dxa"/>
            <w:vAlign w:val="center"/>
          </w:tcPr>
          <w:p w:rsidR="002A5A5E" w:rsidRPr="00F9522B" w:rsidRDefault="00861722" w:rsidP="00861722">
            <w:pPr>
              <w:jc w:val="center"/>
              <w:rPr>
                <w:rFonts w:eastAsiaTheme="minorEastAsia"/>
                <w:szCs w:val="21"/>
              </w:rPr>
            </w:pPr>
            <w:r w:rsidRPr="00F9522B">
              <w:rPr>
                <w:rFonts w:eastAsiaTheme="minorEastAsia"/>
                <w:szCs w:val="21"/>
              </w:rPr>
              <w:t>康金街道、方台镇、二八镇</w:t>
            </w:r>
            <w:r w:rsidR="00611CBA" w:rsidRPr="00F9522B">
              <w:rPr>
                <w:rFonts w:eastAsiaTheme="minorEastAsia"/>
                <w:szCs w:val="21"/>
              </w:rPr>
              <w:t>、石人镇</w:t>
            </w:r>
          </w:p>
        </w:tc>
        <w:tc>
          <w:tcPr>
            <w:tcW w:w="1043" w:type="dxa"/>
            <w:vAlign w:val="center"/>
          </w:tcPr>
          <w:p w:rsidR="002A5A5E" w:rsidRPr="00F9522B" w:rsidRDefault="00611CBA">
            <w:pPr>
              <w:jc w:val="center"/>
              <w:rPr>
                <w:rFonts w:eastAsiaTheme="minorEastAsia"/>
                <w:szCs w:val="21"/>
              </w:rPr>
            </w:pPr>
            <w:r w:rsidRPr="00F9522B">
              <w:rPr>
                <w:rFonts w:eastAsiaTheme="minorEastAsia"/>
                <w:szCs w:val="21"/>
              </w:rPr>
              <w:t>（</w:t>
            </w:r>
            <w:r w:rsidRPr="00F9522B">
              <w:rPr>
                <w:rFonts w:eastAsiaTheme="minorEastAsia"/>
                <w:szCs w:val="21"/>
              </w:rPr>
              <w:t>/</w:t>
            </w:r>
            <w:r w:rsidRPr="00F9522B">
              <w:rPr>
                <w:rFonts w:eastAsiaTheme="minorEastAsia"/>
                <w:szCs w:val="21"/>
              </w:rPr>
              <w:t>）园区</w:t>
            </w:r>
          </w:p>
        </w:tc>
      </w:tr>
      <w:tr w:rsidR="002A5A5E" w:rsidRPr="00F9522B" w:rsidTr="00DF7E65">
        <w:trPr>
          <w:trHeight w:val="50"/>
          <w:jc w:val="center"/>
        </w:trPr>
        <w:tc>
          <w:tcPr>
            <w:tcW w:w="1526" w:type="dxa"/>
            <w:vAlign w:val="center"/>
          </w:tcPr>
          <w:p w:rsidR="002A5A5E" w:rsidRPr="00F9522B" w:rsidRDefault="00611CBA">
            <w:pPr>
              <w:jc w:val="center"/>
              <w:rPr>
                <w:rFonts w:eastAsiaTheme="minorEastAsia"/>
                <w:szCs w:val="21"/>
              </w:rPr>
            </w:pPr>
            <w:r w:rsidRPr="00F9522B">
              <w:rPr>
                <w:rFonts w:eastAsiaTheme="minorEastAsia"/>
                <w:szCs w:val="21"/>
              </w:rPr>
              <w:t>地理坐标</w:t>
            </w:r>
          </w:p>
        </w:tc>
        <w:tc>
          <w:tcPr>
            <w:tcW w:w="1276" w:type="dxa"/>
            <w:vAlign w:val="center"/>
          </w:tcPr>
          <w:p w:rsidR="002A5A5E" w:rsidRPr="00F9522B" w:rsidRDefault="00611CBA">
            <w:pPr>
              <w:jc w:val="center"/>
              <w:rPr>
                <w:rFonts w:eastAsiaTheme="minorEastAsia"/>
                <w:szCs w:val="21"/>
              </w:rPr>
            </w:pPr>
            <w:r w:rsidRPr="00F9522B">
              <w:rPr>
                <w:rFonts w:eastAsiaTheme="minorEastAsia"/>
                <w:szCs w:val="21"/>
              </w:rPr>
              <w:t>经度</w:t>
            </w:r>
          </w:p>
        </w:tc>
        <w:tc>
          <w:tcPr>
            <w:tcW w:w="1275" w:type="dxa"/>
            <w:vAlign w:val="center"/>
          </w:tcPr>
          <w:p w:rsidR="002A5A5E" w:rsidRPr="00F9522B" w:rsidRDefault="003E6AA4" w:rsidP="0088710B">
            <w:pPr>
              <w:jc w:val="center"/>
              <w:rPr>
                <w:rFonts w:eastAsiaTheme="minorEastAsia"/>
                <w:bCs/>
                <w:szCs w:val="21"/>
              </w:rPr>
            </w:pPr>
            <w:r w:rsidRPr="00F9522B">
              <w:rPr>
                <w:rFonts w:eastAsiaTheme="minorEastAsia"/>
                <w:bCs/>
                <w:szCs w:val="21"/>
              </w:rPr>
              <w:t>126.8737</w:t>
            </w:r>
            <w:r w:rsidR="00611CBA" w:rsidRPr="00F9522B">
              <w:rPr>
                <w:rFonts w:eastAsiaTheme="minorEastAsia"/>
                <w:bCs/>
                <w:szCs w:val="21"/>
              </w:rPr>
              <w:t>~</w:t>
            </w:r>
            <w:r w:rsidRPr="00F9522B">
              <w:rPr>
                <w:rFonts w:eastAsiaTheme="minorEastAsia"/>
                <w:bCs/>
                <w:szCs w:val="21"/>
              </w:rPr>
              <w:t>127.0577</w:t>
            </w:r>
          </w:p>
        </w:tc>
        <w:tc>
          <w:tcPr>
            <w:tcW w:w="1134" w:type="dxa"/>
            <w:vAlign w:val="center"/>
          </w:tcPr>
          <w:p w:rsidR="002A5A5E" w:rsidRPr="00F9522B" w:rsidRDefault="00611CBA" w:rsidP="0088710B">
            <w:pPr>
              <w:jc w:val="center"/>
              <w:rPr>
                <w:rFonts w:eastAsiaTheme="minorEastAsia"/>
                <w:szCs w:val="21"/>
              </w:rPr>
            </w:pPr>
            <w:r w:rsidRPr="00F9522B">
              <w:rPr>
                <w:rFonts w:eastAsiaTheme="minorEastAsia"/>
                <w:szCs w:val="21"/>
              </w:rPr>
              <w:t>纬度</w:t>
            </w:r>
          </w:p>
        </w:tc>
        <w:tc>
          <w:tcPr>
            <w:tcW w:w="3311" w:type="dxa"/>
            <w:gridSpan w:val="2"/>
            <w:vAlign w:val="center"/>
          </w:tcPr>
          <w:p w:rsidR="002A5A5E" w:rsidRPr="00F9522B" w:rsidRDefault="003E6AA4" w:rsidP="0088710B">
            <w:pPr>
              <w:jc w:val="center"/>
              <w:rPr>
                <w:rFonts w:eastAsiaTheme="minorEastAsia"/>
                <w:bCs/>
                <w:szCs w:val="21"/>
              </w:rPr>
            </w:pPr>
            <w:r w:rsidRPr="00F9522B">
              <w:rPr>
                <w:rFonts w:eastAsiaTheme="minorEastAsia"/>
                <w:bCs/>
                <w:szCs w:val="21"/>
              </w:rPr>
              <w:t>46.3345</w:t>
            </w:r>
            <w:r w:rsidR="00611CBA" w:rsidRPr="00F9522B">
              <w:rPr>
                <w:rFonts w:eastAsiaTheme="minorEastAsia"/>
                <w:bCs/>
                <w:szCs w:val="21"/>
              </w:rPr>
              <w:t>~</w:t>
            </w:r>
            <w:r w:rsidRPr="00F9522B">
              <w:rPr>
                <w:rFonts w:eastAsiaTheme="minorEastAsia"/>
                <w:bCs/>
                <w:szCs w:val="21"/>
              </w:rPr>
              <w:t>46.0560</w:t>
            </w:r>
          </w:p>
        </w:tc>
      </w:tr>
      <w:tr w:rsidR="002A5A5E" w:rsidRPr="00F9522B" w:rsidTr="0088710B">
        <w:trPr>
          <w:trHeight w:val="436"/>
          <w:jc w:val="center"/>
        </w:trPr>
        <w:tc>
          <w:tcPr>
            <w:tcW w:w="1526" w:type="dxa"/>
            <w:vAlign w:val="center"/>
          </w:tcPr>
          <w:p w:rsidR="002A5A5E" w:rsidRPr="00F9522B" w:rsidRDefault="00611CBA">
            <w:pPr>
              <w:jc w:val="center"/>
              <w:rPr>
                <w:rFonts w:eastAsiaTheme="minorEastAsia"/>
                <w:szCs w:val="21"/>
              </w:rPr>
            </w:pPr>
            <w:r w:rsidRPr="00F9522B">
              <w:rPr>
                <w:rFonts w:eastAsiaTheme="minorEastAsia"/>
                <w:szCs w:val="21"/>
              </w:rPr>
              <w:t>主要危险物质及分布</w:t>
            </w:r>
          </w:p>
        </w:tc>
        <w:tc>
          <w:tcPr>
            <w:tcW w:w="6996" w:type="dxa"/>
            <w:gridSpan w:val="5"/>
            <w:vAlign w:val="center"/>
          </w:tcPr>
          <w:p w:rsidR="002A5A5E" w:rsidRPr="00F9522B" w:rsidRDefault="00611CBA">
            <w:pPr>
              <w:jc w:val="center"/>
              <w:rPr>
                <w:rFonts w:eastAsiaTheme="minorEastAsia"/>
                <w:szCs w:val="21"/>
              </w:rPr>
            </w:pPr>
            <w:r w:rsidRPr="00F9522B">
              <w:rPr>
                <w:rFonts w:eastAsiaTheme="minorEastAsia"/>
                <w:szCs w:val="21"/>
              </w:rPr>
              <w:t>柴油机移动泵车、变压器</w:t>
            </w:r>
          </w:p>
        </w:tc>
      </w:tr>
      <w:tr w:rsidR="002A5A5E" w:rsidRPr="00F9522B" w:rsidTr="0088710B">
        <w:trPr>
          <w:trHeight w:val="303"/>
          <w:jc w:val="center"/>
        </w:trPr>
        <w:tc>
          <w:tcPr>
            <w:tcW w:w="1526" w:type="dxa"/>
            <w:vAlign w:val="center"/>
          </w:tcPr>
          <w:p w:rsidR="002A5A5E" w:rsidRPr="00F9522B" w:rsidRDefault="00611CBA">
            <w:pPr>
              <w:jc w:val="center"/>
              <w:rPr>
                <w:rFonts w:eastAsiaTheme="minorEastAsia"/>
                <w:szCs w:val="21"/>
              </w:rPr>
            </w:pPr>
            <w:r w:rsidRPr="00F9522B">
              <w:rPr>
                <w:rFonts w:eastAsiaTheme="minorEastAsia"/>
                <w:szCs w:val="21"/>
              </w:rPr>
              <w:t>环境影响途径及危害后果（大气、地表水、地下水等）</w:t>
            </w:r>
          </w:p>
        </w:tc>
        <w:tc>
          <w:tcPr>
            <w:tcW w:w="6996" w:type="dxa"/>
            <w:gridSpan w:val="5"/>
            <w:vAlign w:val="center"/>
          </w:tcPr>
          <w:p w:rsidR="002A5A5E" w:rsidRPr="00F9522B" w:rsidRDefault="00611CBA">
            <w:pPr>
              <w:jc w:val="left"/>
              <w:rPr>
                <w:rFonts w:eastAsiaTheme="minorEastAsia"/>
                <w:szCs w:val="21"/>
              </w:rPr>
            </w:pPr>
            <w:r w:rsidRPr="00F9522B">
              <w:rPr>
                <w:rFonts w:eastAsiaTheme="minorEastAsia"/>
                <w:bCs/>
              </w:rPr>
              <w:t>本项目风险事故发生的潜在因素主要为运营期柴油机移动泵车中柴油泄漏及变压器油泄漏，泄漏的主要原因为设备失修，管理不善，操作失误等</w:t>
            </w:r>
            <w:r w:rsidRPr="00F9522B">
              <w:rPr>
                <w:rFonts w:eastAsiaTheme="minorEastAsia"/>
              </w:rPr>
              <w:t>。一旦发生泄漏风险，将对</w:t>
            </w:r>
            <w:r w:rsidRPr="00F9522B">
              <w:rPr>
                <w:rFonts w:eastAsiaTheme="minorEastAsia"/>
                <w:bCs/>
              </w:rPr>
              <w:t>大气环境、</w:t>
            </w:r>
            <w:r w:rsidRPr="00F9522B">
              <w:rPr>
                <w:rFonts w:eastAsiaTheme="minorEastAsia"/>
              </w:rPr>
              <w:t>地下水造成影响</w:t>
            </w:r>
            <w:r w:rsidRPr="00F9522B">
              <w:rPr>
                <w:rFonts w:eastAsiaTheme="minorEastAsia"/>
                <w:szCs w:val="21"/>
              </w:rPr>
              <w:t>。</w:t>
            </w:r>
          </w:p>
        </w:tc>
      </w:tr>
      <w:tr w:rsidR="002A5A5E" w:rsidRPr="00F9522B" w:rsidTr="0088710B">
        <w:trPr>
          <w:trHeight w:val="1392"/>
          <w:jc w:val="center"/>
        </w:trPr>
        <w:tc>
          <w:tcPr>
            <w:tcW w:w="1526" w:type="dxa"/>
            <w:vAlign w:val="center"/>
          </w:tcPr>
          <w:p w:rsidR="002A5A5E" w:rsidRPr="00F9522B" w:rsidRDefault="00611CBA">
            <w:pPr>
              <w:jc w:val="center"/>
              <w:rPr>
                <w:rFonts w:eastAsiaTheme="minorEastAsia"/>
                <w:szCs w:val="21"/>
              </w:rPr>
            </w:pPr>
            <w:r w:rsidRPr="00F9522B">
              <w:rPr>
                <w:rFonts w:eastAsiaTheme="minorEastAsia"/>
                <w:szCs w:val="21"/>
              </w:rPr>
              <w:t>风险防范</w:t>
            </w:r>
          </w:p>
          <w:p w:rsidR="002A5A5E" w:rsidRPr="00F9522B" w:rsidRDefault="00611CBA">
            <w:pPr>
              <w:jc w:val="center"/>
              <w:rPr>
                <w:rFonts w:eastAsiaTheme="minorEastAsia"/>
                <w:szCs w:val="21"/>
              </w:rPr>
            </w:pPr>
            <w:r w:rsidRPr="00F9522B">
              <w:rPr>
                <w:rFonts w:eastAsiaTheme="minorEastAsia"/>
                <w:szCs w:val="21"/>
              </w:rPr>
              <w:t>措施要求</w:t>
            </w:r>
          </w:p>
        </w:tc>
        <w:tc>
          <w:tcPr>
            <w:tcW w:w="6996" w:type="dxa"/>
            <w:gridSpan w:val="5"/>
            <w:vAlign w:val="center"/>
          </w:tcPr>
          <w:p w:rsidR="002A5A5E" w:rsidRPr="00F9522B" w:rsidRDefault="00611CBA">
            <w:pPr>
              <w:jc w:val="left"/>
              <w:rPr>
                <w:rFonts w:eastAsiaTheme="minorEastAsia"/>
                <w:szCs w:val="21"/>
              </w:rPr>
            </w:pPr>
            <w:r w:rsidRPr="00F9522B">
              <w:rPr>
                <w:rFonts w:eastAsiaTheme="minorEastAsia"/>
                <w:szCs w:val="21"/>
              </w:rPr>
              <w:t>本项目</w:t>
            </w:r>
            <w:r w:rsidRPr="00F9522B">
              <w:rPr>
                <w:rFonts w:eastAsiaTheme="minorEastAsia"/>
                <w:bCs/>
                <w:szCs w:val="21"/>
              </w:rPr>
              <w:t>柴油机移动泵车</w:t>
            </w:r>
            <w:r w:rsidRPr="00F9522B">
              <w:rPr>
                <w:rFonts w:eastAsiaTheme="minorEastAsia"/>
                <w:szCs w:val="21"/>
              </w:rPr>
              <w:t>油箱密闭，不使用时于村内暂存，暂存处地面设置重点防渗（等效黏土防渗层</w:t>
            </w:r>
            <w:r w:rsidRPr="00F9522B">
              <w:rPr>
                <w:rFonts w:eastAsiaTheme="minorEastAsia"/>
                <w:szCs w:val="21"/>
              </w:rPr>
              <w:t>Mb≥6.0m</w:t>
            </w:r>
            <w:r w:rsidRPr="00F9522B">
              <w:rPr>
                <w:rFonts w:eastAsiaTheme="minorEastAsia"/>
                <w:szCs w:val="21"/>
              </w:rPr>
              <w:t>，渗透系数</w:t>
            </w:r>
            <w:r w:rsidRPr="00F9522B">
              <w:rPr>
                <w:rFonts w:eastAsiaTheme="minorEastAsia"/>
                <w:szCs w:val="21"/>
              </w:rPr>
              <w:t>K≤1.0×10</w:t>
            </w:r>
            <w:r w:rsidRPr="00F9522B">
              <w:rPr>
                <w:rFonts w:eastAsiaTheme="minorEastAsia"/>
                <w:szCs w:val="21"/>
                <w:vertAlign w:val="superscript"/>
              </w:rPr>
              <w:t>-7</w:t>
            </w:r>
            <w:r w:rsidRPr="00F9522B">
              <w:rPr>
                <w:rFonts w:eastAsiaTheme="minorEastAsia"/>
                <w:szCs w:val="21"/>
              </w:rPr>
              <w:t>cm/s</w:t>
            </w:r>
            <w:r w:rsidRPr="00F9522B">
              <w:rPr>
                <w:rFonts w:eastAsiaTheme="minorEastAsia"/>
                <w:szCs w:val="21"/>
              </w:rPr>
              <w:t>），正常情况下不会泄漏，若发生泄漏事故，属于小范围污染，立即用沙土进行掩埋，产生的含油沙土交由资质单位运输和处置。</w:t>
            </w:r>
          </w:p>
          <w:p w:rsidR="002A5A5E" w:rsidRPr="00F9522B" w:rsidRDefault="00611CBA">
            <w:pPr>
              <w:jc w:val="left"/>
              <w:rPr>
                <w:rFonts w:eastAsiaTheme="minorEastAsia"/>
                <w:szCs w:val="21"/>
              </w:rPr>
            </w:pPr>
            <w:r w:rsidRPr="00F9522B">
              <w:rPr>
                <w:rFonts w:eastAsiaTheme="minorEastAsia"/>
                <w:szCs w:val="21"/>
              </w:rPr>
              <w:t>定期巡检，重点检查变压器油箱密封性（有无裂缝、接口渗漏）、油位刻度（判断是否存在异常泄漏），发现变压器油泄漏应立即停止此变压器运行，属于小范围污染，立即用沙土进行掩埋，产生的含油沙土及泄漏物交由资质单位处置进行运输和处置，通过采取此应急措施后本项目环境风险影响可接受。加强巡视及管理并制定环境风险应急预案。</w:t>
            </w:r>
          </w:p>
        </w:tc>
      </w:tr>
      <w:tr w:rsidR="002A5A5E" w:rsidRPr="00F9522B">
        <w:trPr>
          <w:trHeight w:val="127"/>
          <w:jc w:val="center"/>
        </w:trPr>
        <w:tc>
          <w:tcPr>
            <w:tcW w:w="8522" w:type="dxa"/>
            <w:gridSpan w:val="6"/>
            <w:vAlign w:val="center"/>
          </w:tcPr>
          <w:p w:rsidR="002A5A5E" w:rsidRPr="00F9522B" w:rsidRDefault="00611CBA">
            <w:pPr>
              <w:rPr>
                <w:rFonts w:eastAsiaTheme="minorEastAsia"/>
                <w:szCs w:val="21"/>
              </w:rPr>
            </w:pPr>
            <w:r w:rsidRPr="00F9522B">
              <w:rPr>
                <w:rFonts w:eastAsiaTheme="minorEastAsia"/>
                <w:szCs w:val="21"/>
              </w:rPr>
              <w:t>填表说明（列出项目相关信息及评价说明）</w:t>
            </w:r>
          </w:p>
        </w:tc>
      </w:tr>
    </w:tbl>
    <w:p w:rsidR="002A5A5E" w:rsidRPr="00F9522B" w:rsidRDefault="00611CBA">
      <w:pPr>
        <w:keepNext/>
        <w:keepLines/>
        <w:spacing w:before="100" w:beforeAutospacing="1" w:after="100" w:afterAutospacing="1"/>
        <w:outlineLvl w:val="2"/>
        <w:rPr>
          <w:rFonts w:eastAsiaTheme="minorEastAsia"/>
          <w:b/>
          <w:sz w:val="28"/>
          <w:szCs w:val="28"/>
        </w:rPr>
      </w:pPr>
      <w:r w:rsidRPr="00F9522B">
        <w:rPr>
          <w:rFonts w:eastAsiaTheme="minorEastAsia"/>
          <w:b/>
          <w:sz w:val="28"/>
          <w:szCs w:val="28"/>
        </w:rPr>
        <w:lastRenderedPageBreak/>
        <w:t>5.2.8</w:t>
      </w:r>
      <w:r w:rsidRPr="00F9522B">
        <w:rPr>
          <w:rFonts w:eastAsiaTheme="minorEastAsia"/>
          <w:b/>
          <w:sz w:val="28"/>
          <w:szCs w:val="28"/>
        </w:rPr>
        <w:t>生态环境影响预测与评价</w:t>
      </w:r>
    </w:p>
    <w:p w:rsidR="002A5A5E" w:rsidRPr="00F9522B" w:rsidRDefault="00611CBA">
      <w:pPr>
        <w:spacing w:line="360" w:lineRule="auto"/>
        <w:ind w:firstLineChars="200" w:firstLine="480"/>
        <w:contextualSpacing/>
        <w:rPr>
          <w:rFonts w:eastAsiaTheme="minorEastAsia"/>
          <w:bCs/>
          <w:kern w:val="0"/>
          <w:sz w:val="24"/>
        </w:rPr>
      </w:pPr>
      <w:r w:rsidRPr="00F9522B">
        <w:rPr>
          <w:rFonts w:eastAsiaTheme="minorEastAsia"/>
          <w:bCs/>
          <w:kern w:val="0"/>
          <w:sz w:val="24"/>
        </w:rPr>
        <w:t>（</w:t>
      </w:r>
      <w:r w:rsidRPr="00F9522B">
        <w:rPr>
          <w:rFonts w:eastAsiaTheme="minorEastAsia"/>
          <w:bCs/>
          <w:kern w:val="0"/>
          <w:sz w:val="24"/>
        </w:rPr>
        <w:t>1</w:t>
      </w:r>
      <w:r w:rsidRPr="00F9522B">
        <w:rPr>
          <w:rFonts w:eastAsiaTheme="minorEastAsia"/>
          <w:bCs/>
          <w:kern w:val="0"/>
          <w:sz w:val="24"/>
        </w:rPr>
        <w:t>）</w:t>
      </w:r>
      <w:r w:rsidRPr="00F9522B">
        <w:rPr>
          <w:rFonts w:eastAsiaTheme="minorEastAsia"/>
          <w:kern w:val="0"/>
          <w:sz w:val="24"/>
        </w:rPr>
        <w:t>对</w:t>
      </w:r>
      <w:r w:rsidRPr="00F9522B">
        <w:rPr>
          <w:rFonts w:eastAsiaTheme="minorEastAsia"/>
          <w:bCs/>
          <w:kern w:val="0"/>
          <w:sz w:val="24"/>
        </w:rPr>
        <w:t>陆生生态</w:t>
      </w:r>
      <w:r w:rsidRPr="00F9522B">
        <w:rPr>
          <w:rFonts w:eastAsiaTheme="minorEastAsia"/>
          <w:kern w:val="0"/>
          <w:sz w:val="24"/>
        </w:rPr>
        <w:t>影响分析</w:t>
      </w:r>
    </w:p>
    <w:p w:rsidR="002A5A5E" w:rsidRPr="00F9522B" w:rsidRDefault="00611CBA">
      <w:pPr>
        <w:spacing w:line="360" w:lineRule="auto"/>
        <w:ind w:firstLineChars="200" w:firstLine="480"/>
        <w:contextualSpacing/>
        <w:rPr>
          <w:rFonts w:eastAsiaTheme="minorEastAsia"/>
          <w:bCs/>
          <w:kern w:val="0"/>
          <w:sz w:val="24"/>
        </w:rPr>
      </w:pPr>
      <w:r w:rsidRPr="00F9522B">
        <w:rPr>
          <w:rFonts w:eastAsiaTheme="minorEastAsia"/>
          <w:smallCaps/>
          <w:sz w:val="24"/>
        </w:rPr>
        <w:t>项目区以农田生态系统为主，已形成多年，项目建成后区域仍以农田生态系统为主，经现状调查，人类活动频繁，项目区无大型兽类分布。鼠类等小型动物、植物已适应现有生境及生态系统。项目区无陆生重要物种、重要生境，工程运行期间，有效利用水肥资源，有利于农田生态系统健康发展，不会造成物种、生物量损失及生境变化，不会对区域</w:t>
      </w:r>
      <w:r w:rsidRPr="00F9522B">
        <w:rPr>
          <w:rFonts w:eastAsiaTheme="minorEastAsia"/>
          <w:bCs/>
          <w:kern w:val="0"/>
          <w:sz w:val="24"/>
        </w:rPr>
        <w:t>生物多样性产生较大影响。本项目为高标准农田建设项目，种植旱地作物可以增加植被覆盖率，农田生态系统依赖于人的管理，其主要功能为提供农产品，高标准农田建设有利于进一步发挥它的生态体系功能。本区域通过车辆一般为当地农用车，车速较慢、产生的尾气及扬尘较少，同时采取限速、禁鸣措施。灌溉井泵类位于地下，能够有效的阻隔声传播，柴油机移动泵车及文丘里施肥机使用时间较短，减少扬尘和噪声对动植物产生的影响。</w:t>
      </w:r>
    </w:p>
    <w:p w:rsidR="002A5A5E" w:rsidRPr="00F9522B" w:rsidRDefault="00611CBA">
      <w:pPr>
        <w:spacing w:line="360" w:lineRule="auto"/>
        <w:ind w:firstLineChars="200" w:firstLine="480"/>
        <w:contextualSpacing/>
        <w:rPr>
          <w:rFonts w:eastAsiaTheme="minorEastAsia"/>
          <w:bCs/>
          <w:kern w:val="0"/>
          <w:sz w:val="24"/>
        </w:rPr>
      </w:pPr>
      <w:r w:rsidRPr="00F9522B">
        <w:rPr>
          <w:rFonts w:eastAsiaTheme="minorEastAsia"/>
          <w:bCs/>
          <w:kern w:val="0"/>
          <w:sz w:val="24"/>
        </w:rPr>
        <w:t>根据已批复《</w:t>
      </w:r>
      <w:r w:rsidR="003A7922" w:rsidRPr="00F9522B">
        <w:rPr>
          <w:rFonts w:eastAsiaTheme="minorEastAsia"/>
          <w:bCs/>
          <w:kern w:val="0"/>
          <w:sz w:val="24"/>
        </w:rPr>
        <w:t>呼兰区</w:t>
      </w:r>
      <w:r w:rsidR="003A7922" w:rsidRPr="00F9522B">
        <w:rPr>
          <w:rFonts w:eastAsiaTheme="minorEastAsia"/>
          <w:bCs/>
          <w:kern w:val="0"/>
          <w:sz w:val="24"/>
        </w:rPr>
        <w:t>2026</w:t>
      </w:r>
      <w:r w:rsidR="003A7922" w:rsidRPr="00F9522B">
        <w:rPr>
          <w:rFonts w:eastAsiaTheme="minorEastAsia"/>
          <w:bCs/>
          <w:kern w:val="0"/>
          <w:sz w:val="24"/>
        </w:rPr>
        <w:t>年高标准农田建设项目</w:t>
      </w:r>
      <w:r w:rsidRPr="00F9522B">
        <w:rPr>
          <w:rFonts w:eastAsiaTheme="minorEastAsia"/>
          <w:bCs/>
          <w:kern w:val="0"/>
          <w:sz w:val="24"/>
        </w:rPr>
        <w:t>水资源论证报告书》预测结果，本项目灌溉井井群连续开采最大水位降深为</w:t>
      </w:r>
      <w:r w:rsidR="00DF41E3" w:rsidRPr="00F9522B">
        <w:rPr>
          <w:rFonts w:eastAsiaTheme="minorEastAsia"/>
          <w:bCs/>
          <w:kern w:val="0"/>
          <w:sz w:val="24"/>
        </w:rPr>
        <w:t>1.315m</w:t>
      </w:r>
      <w:r w:rsidRPr="00F9522B">
        <w:rPr>
          <w:rFonts w:eastAsiaTheme="minorEastAsia"/>
          <w:bCs/>
          <w:kern w:val="0"/>
          <w:sz w:val="24"/>
        </w:rPr>
        <w:t>，小于</w:t>
      </w:r>
      <w:r w:rsidRPr="00F9522B">
        <w:rPr>
          <w:rFonts w:eastAsiaTheme="minorEastAsia"/>
          <w:bCs/>
          <w:kern w:val="0"/>
          <w:sz w:val="24"/>
        </w:rPr>
        <w:t>2.0m</w:t>
      </w:r>
      <w:r w:rsidRPr="00F9522B">
        <w:rPr>
          <w:rFonts w:eastAsiaTheme="minorEastAsia"/>
          <w:bCs/>
          <w:kern w:val="0"/>
          <w:sz w:val="24"/>
        </w:rPr>
        <w:t>，小于含水层厚度</w:t>
      </w:r>
      <w:r w:rsidRPr="00F9522B">
        <w:rPr>
          <w:rFonts w:eastAsiaTheme="minorEastAsia"/>
          <w:bCs/>
          <w:kern w:val="0"/>
          <w:sz w:val="24"/>
        </w:rPr>
        <w:t>30m</w:t>
      </w:r>
      <w:r w:rsidRPr="00F9522B">
        <w:rPr>
          <w:rFonts w:eastAsiaTheme="minorEastAsia"/>
          <w:bCs/>
          <w:kern w:val="0"/>
          <w:sz w:val="24"/>
        </w:rPr>
        <w:t>的三分之一，故项目取水造成的地下水水位降深在允许范围内。项目实际开采为非持续性，且开采期为每年的</w:t>
      </w:r>
      <w:r w:rsidRPr="00F9522B">
        <w:rPr>
          <w:rFonts w:eastAsiaTheme="minorEastAsia"/>
          <w:bCs/>
          <w:kern w:val="0"/>
          <w:sz w:val="24"/>
        </w:rPr>
        <w:t>5-7</w:t>
      </w:r>
      <w:r w:rsidRPr="00F9522B">
        <w:rPr>
          <w:rFonts w:eastAsiaTheme="minorEastAsia"/>
          <w:bCs/>
          <w:kern w:val="0"/>
          <w:sz w:val="24"/>
        </w:rPr>
        <w:t>月，随着</w:t>
      </w:r>
      <w:r w:rsidRPr="00F9522B">
        <w:rPr>
          <w:rFonts w:eastAsiaTheme="minorEastAsia"/>
          <w:bCs/>
          <w:kern w:val="0"/>
          <w:sz w:val="24"/>
        </w:rPr>
        <w:t>7</w:t>
      </w:r>
      <w:r w:rsidRPr="00F9522B">
        <w:rPr>
          <w:rFonts w:eastAsiaTheme="minorEastAsia"/>
          <w:bCs/>
          <w:kern w:val="0"/>
          <w:sz w:val="24"/>
        </w:rPr>
        <w:t>月份丰水期的到来，以丰补歉，项目取水水源地所在区域含水层厚度较大，富水性较好，项目取水对区域</w:t>
      </w:r>
      <w:r w:rsidRPr="00F9522B">
        <w:rPr>
          <w:rFonts w:eastAsiaTheme="minorEastAsia"/>
          <w:bCs/>
          <w:sz w:val="24"/>
        </w:rPr>
        <w:t>地下水</w:t>
      </w:r>
      <w:r w:rsidRPr="00F9522B">
        <w:rPr>
          <w:rFonts w:eastAsiaTheme="minorEastAsia"/>
          <w:bCs/>
          <w:kern w:val="0"/>
          <w:sz w:val="24"/>
        </w:rPr>
        <w:t>影响较小。故不会对土壤结构造成破坏，不会引起干化、沙化等问题。对陆生生态产生影响较小。</w:t>
      </w:r>
    </w:p>
    <w:p w:rsidR="002A5A5E" w:rsidRPr="00F9522B" w:rsidRDefault="00611CBA">
      <w:pPr>
        <w:spacing w:line="360" w:lineRule="auto"/>
        <w:ind w:firstLineChars="200" w:firstLine="480"/>
        <w:contextualSpacing/>
        <w:rPr>
          <w:rFonts w:eastAsiaTheme="minorEastAsia"/>
          <w:bCs/>
          <w:kern w:val="0"/>
          <w:sz w:val="24"/>
        </w:rPr>
      </w:pPr>
      <w:r w:rsidRPr="00F9522B">
        <w:rPr>
          <w:rFonts w:eastAsiaTheme="minorEastAsia"/>
          <w:bCs/>
          <w:kern w:val="0"/>
          <w:sz w:val="24"/>
        </w:rPr>
        <w:t>（</w:t>
      </w:r>
      <w:r w:rsidRPr="00F9522B">
        <w:rPr>
          <w:rFonts w:eastAsiaTheme="minorEastAsia"/>
          <w:bCs/>
          <w:kern w:val="0"/>
          <w:sz w:val="24"/>
        </w:rPr>
        <w:t>2</w:t>
      </w:r>
      <w:r w:rsidRPr="00F9522B">
        <w:rPr>
          <w:rFonts w:eastAsiaTheme="minorEastAsia"/>
          <w:bCs/>
          <w:kern w:val="0"/>
          <w:sz w:val="24"/>
        </w:rPr>
        <w:t>）</w:t>
      </w:r>
      <w:r w:rsidRPr="00F9522B">
        <w:rPr>
          <w:rFonts w:eastAsiaTheme="minorEastAsia"/>
          <w:kern w:val="0"/>
          <w:sz w:val="24"/>
        </w:rPr>
        <w:t>对</w:t>
      </w:r>
      <w:r w:rsidRPr="00F9522B">
        <w:rPr>
          <w:rFonts w:eastAsiaTheme="minorEastAsia"/>
          <w:bCs/>
          <w:kern w:val="0"/>
          <w:sz w:val="24"/>
        </w:rPr>
        <w:t>水生生态</w:t>
      </w:r>
      <w:r w:rsidRPr="00F9522B">
        <w:rPr>
          <w:rFonts w:eastAsiaTheme="minorEastAsia"/>
          <w:kern w:val="0"/>
          <w:sz w:val="24"/>
        </w:rPr>
        <w:t>影响分析</w:t>
      </w:r>
    </w:p>
    <w:p w:rsidR="002A5A5E" w:rsidRPr="00F9522B" w:rsidRDefault="00A4540D">
      <w:pPr>
        <w:spacing w:line="360" w:lineRule="auto"/>
        <w:ind w:firstLineChars="200" w:firstLine="480"/>
        <w:contextualSpacing/>
        <w:rPr>
          <w:rFonts w:eastAsiaTheme="minorEastAsia"/>
          <w:kern w:val="0"/>
          <w:sz w:val="24"/>
        </w:rPr>
      </w:pPr>
      <w:r w:rsidRPr="00F9522B">
        <w:rPr>
          <w:rFonts w:eastAsiaTheme="minorEastAsia"/>
          <w:kern w:val="0"/>
          <w:sz w:val="24"/>
        </w:rPr>
        <w:t>根据</w:t>
      </w:r>
      <w:r w:rsidR="00611CBA" w:rsidRPr="00F9522B">
        <w:rPr>
          <w:rFonts w:eastAsiaTheme="minorEastAsia"/>
          <w:kern w:val="0"/>
          <w:sz w:val="24"/>
        </w:rPr>
        <w:t>我省灌溉目前的统计资料，灌区泡田期</w:t>
      </w:r>
      <w:r w:rsidR="00611CBA" w:rsidRPr="00F9522B">
        <w:rPr>
          <w:rFonts w:eastAsiaTheme="minorEastAsia"/>
          <w:kern w:val="0"/>
          <w:sz w:val="24"/>
        </w:rPr>
        <w:t>(5</w:t>
      </w:r>
      <w:r w:rsidR="00611CBA" w:rsidRPr="00F9522B">
        <w:rPr>
          <w:rFonts w:eastAsiaTheme="minorEastAsia"/>
          <w:kern w:val="0"/>
          <w:sz w:val="24"/>
        </w:rPr>
        <w:t>月中旬</w:t>
      </w:r>
      <w:r w:rsidR="00611CBA" w:rsidRPr="00F9522B">
        <w:rPr>
          <w:rFonts w:eastAsiaTheme="minorEastAsia"/>
          <w:kern w:val="0"/>
          <w:sz w:val="24"/>
        </w:rPr>
        <w:t>)</w:t>
      </w:r>
      <w:r w:rsidR="00611CBA" w:rsidRPr="00F9522B">
        <w:rPr>
          <w:rFonts w:eastAsiaTheme="minorEastAsia"/>
          <w:kern w:val="0"/>
          <w:sz w:val="24"/>
        </w:rPr>
        <w:t>后插秧前退水量占水田退水量的</w:t>
      </w:r>
      <w:r w:rsidR="00611CBA" w:rsidRPr="00F9522B">
        <w:rPr>
          <w:rFonts w:eastAsiaTheme="minorEastAsia"/>
          <w:kern w:val="0"/>
          <w:sz w:val="24"/>
        </w:rPr>
        <w:t>55%</w:t>
      </w:r>
      <w:r w:rsidR="00611CBA" w:rsidRPr="00F9522B">
        <w:rPr>
          <w:rFonts w:eastAsiaTheme="minorEastAsia"/>
          <w:kern w:val="0"/>
          <w:sz w:val="24"/>
        </w:rPr>
        <w:t>。由于泡田期水田不施用农药化肥，所以农田退水污染主要考虑有效分蘖临界期</w:t>
      </w:r>
      <w:r w:rsidR="00611CBA" w:rsidRPr="00F9522B">
        <w:rPr>
          <w:rFonts w:eastAsiaTheme="minorEastAsia"/>
          <w:kern w:val="0"/>
          <w:sz w:val="24"/>
        </w:rPr>
        <w:t>(</w:t>
      </w:r>
      <w:r w:rsidR="00B774C1" w:rsidRPr="00F9522B">
        <w:rPr>
          <w:rFonts w:eastAsiaTheme="minorEastAsia"/>
          <w:kern w:val="0"/>
          <w:sz w:val="24"/>
        </w:rPr>
        <w:t>6</w:t>
      </w:r>
      <w:r w:rsidR="00611CBA" w:rsidRPr="00F9522B">
        <w:rPr>
          <w:rFonts w:eastAsiaTheme="minorEastAsia"/>
          <w:kern w:val="0"/>
          <w:sz w:val="24"/>
        </w:rPr>
        <w:t>月末</w:t>
      </w:r>
      <w:r w:rsidR="00611CBA" w:rsidRPr="00F9522B">
        <w:rPr>
          <w:rFonts w:eastAsiaTheme="minorEastAsia"/>
          <w:kern w:val="0"/>
          <w:sz w:val="24"/>
        </w:rPr>
        <w:t>)</w:t>
      </w:r>
      <w:r w:rsidR="00611CBA" w:rsidRPr="00F9522B">
        <w:rPr>
          <w:rFonts w:eastAsiaTheme="minorEastAsia"/>
          <w:kern w:val="0"/>
          <w:sz w:val="24"/>
        </w:rPr>
        <w:t>，此阶段退水量占水田总退水量的</w:t>
      </w:r>
      <w:r w:rsidR="00611CBA" w:rsidRPr="00F9522B">
        <w:rPr>
          <w:rFonts w:eastAsiaTheme="minorEastAsia"/>
          <w:kern w:val="0"/>
          <w:sz w:val="24"/>
        </w:rPr>
        <w:t>25%</w:t>
      </w:r>
      <w:r w:rsidR="00611CBA" w:rsidRPr="00F9522B">
        <w:rPr>
          <w:rFonts w:eastAsiaTheme="minorEastAsia"/>
          <w:kern w:val="0"/>
          <w:sz w:val="24"/>
        </w:rPr>
        <w:t>，拔节孕穗期</w:t>
      </w:r>
      <w:r w:rsidR="00611CBA" w:rsidRPr="00F9522B">
        <w:rPr>
          <w:rFonts w:eastAsiaTheme="minorEastAsia"/>
          <w:kern w:val="0"/>
          <w:sz w:val="24"/>
        </w:rPr>
        <w:t>(7</w:t>
      </w:r>
      <w:r w:rsidR="00611CBA" w:rsidRPr="00F9522B">
        <w:rPr>
          <w:rFonts w:eastAsiaTheme="minorEastAsia"/>
          <w:kern w:val="0"/>
          <w:sz w:val="24"/>
        </w:rPr>
        <w:t>月下旬</w:t>
      </w:r>
      <w:r w:rsidR="00611CBA" w:rsidRPr="00F9522B">
        <w:rPr>
          <w:rFonts w:eastAsiaTheme="minorEastAsia"/>
          <w:kern w:val="0"/>
          <w:sz w:val="24"/>
        </w:rPr>
        <w:t>)</w:t>
      </w:r>
      <w:r w:rsidR="00611CBA" w:rsidRPr="00F9522B">
        <w:rPr>
          <w:rFonts w:eastAsiaTheme="minorEastAsia"/>
          <w:kern w:val="0"/>
          <w:sz w:val="24"/>
        </w:rPr>
        <w:t>，此阶段退水量占水田总退水量的</w:t>
      </w:r>
      <w:r w:rsidR="00611CBA" w:rsidRPr="00F9522B">
        <w:rPr>
          <w:rFonts w:eastAsiaTheme="minorEastAsia"/>
          <w:kern w:val="0"/>
          <w:sz w:val="24"/>
        </w:rPr>
        <w:t>5%</w:t>
      </w:r>
      <w:r w:rsidR="00611CBA" w:rsidRPr="00F9522B">
        <w:rPr>
          <w:rFonts w:eastAsiaTheme="minorEastAsia"/>
          <w:kern w:val="0"/>
          <w:sz w:val="24"/>
        </w:rPr>
        <w:t>，黄熟期</w:t>
      </w:r>
      <w:r w:rsidR="00611CBA" w:rsidRPr="00F9522B">
        <w:rPr>
          <w:rFonts w:eastAsiaTheme="minorEastAsia"/>
          <w:kern w:val="0"/>
          <w:sz w:val="24"/>
        </w:rPr>
        <w:t>(9</w:t>
      </w:r>
      <w:r w:rsidR="00611CBA" w:rsidRPr="00F9522B">
        <w:rPr>
          <w:rFonts w:eastAsiaTheme="minorEastAsia"/>
          <w:kern w:val="0"/>
          <w:sz w:val="24"/>
        </w:rPr>
        <w:t>月后</w:t>
      </w:r>
      <w:r w:rsidR="00611CBA" w:rsidRPr="00F9522B">
        <w:rPr>
          <w:rFonts w:eastAsiaTheme="minorEastAsia"/>
          <w:kern w:val="0"/>
          <w:sz w:val="24"/>
        </w:rPr>
        <w:t>)</w:t>
      </w:r>
      <w:r w:rsidR="00611CBA" w:rsidRPr="00F9522B">
        <w:rPr>
          <w:rFonts w:eastAsiaTheme="minorEastAsia"/>
          <w:kern w:val="0"/>
          <w:sz w:val="24"/>
        </w:rPr>
        <w:t>，此阶段退水量占水田总退水量的</w:t>
      </w:r>
      <w:r w:rsidR="00611CBA" w:rsidRPr="00F9522B">
        <w:rPr>
          <w:rFonts w:eastAsiaTheme="minorEastAsia"/>
          <w:kern w:val="0"/>
          <w:sz w:val="24"/>
        </w:rPr>
        <w:t>15%</w:t>
      </w:r>
      <w:r w:rsidR="00611CBA" w:rsidRPr="00F9522B">
        <w:rPr>
          <w:rFonts w:eastAsiaTheme="minorEastAsia"/>
          <w:kern w:val="0"/>
          <w:sz w:val="24"/>
        </w:rPr>
        <w:t>。每次退水持续时间约为</w:t>
      </w:r>
      <w:r w:rsidR="00611CBA" w:rsidRPr="00F9522B">
        <w:rPr>
          <w:rFonts w:eastAsiaTheme="minorEastAsia"/>
          <w:kern w:val="0"/>
          <w:sz w:val="24"/>
        </w:rPr>
        <w:t>20</w:t>
      </w:r>
      <w:r w:rsidR="00611CBA" w:rsidRPr="00F9522B">
        <w:rPr>
          <w:rFonts w:eastAsiaTheme="minorEastAsia"/>
          <w:kern w:val="0"/>
          <w:sz w:val="24"/>
        </w:rPr>
        <w:t>天。</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灌区退水中的有机污染物主要有颗粒有机物、溶解有机物、腐殖质等。这些有机物质在被微生物分解过程中消耗水体中的大量氧气，造成水体中溶解氧含量的降低。当有机物浓度过高时，甚至会发生缺氧现象。在缺氧条件下，厌氧微生物利用水体中的有机物大量生长与繁殖，同时生成一些有毒气体，如硫化氢和氨</w:t>
      </w:r>
      <w:r w:rsidRPr="00F9522B">
        <w:rPr>
          <w:rFonts w:eastAsiaTheme="minorEastAsia"/>
          <w:sz w:val="24"/>
        </w:rPr>
        <w:lastRenderedPageBreak/>
        <w:t>气等这些有毒气体会对鱼类产生毒害作用。悬浮有机物的消耗作用有可能造成相对低氧的水域，从而使鱼类产生回避反应。此外，缺氧条件下还会造成部分病原菌大量繁殖，可能会导致鱼类的死亡率上升。灌区在种植过程中会施加农药，因此退水中可能含有农药及其分解产物，属于结构复杂难于自然降解的有机物，随排水进入到</w:t>
      </w:r>
      <w:r w:rsidR="00861722" w:rsidRPr="00F9522B">
        <w:rPr>
          <w:rFonts w:eastAsiaTheme="minorEastAsia"/>
          <w:sz w:val="24"/>
        </w:rPr>
        <w:t>松花江</w:t>
      </w:r>
      <w:r w:rsidRPr="00F9522B">
        <w:rPr>
          <w:rFonts w:eastAsiaTheme="minorEastAsia"/>
          <w:sz w:val="24"/>
        </w:rPr>
        <w:t>及漂河中，可能会对鱼类的生理生化、生长和繁殖产生影响。</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营养盐主要是中水体中的含氮、磷的无机物质，主要水质指标是</w:t>
      </w:r>
      <w:r w:rsidRPr="00F9522B">
        <w:rPr>
          <w:rFonts w:eastAsiaTheme="minorEastAsia"/>
          <w:sz w:val="24"/>
        </w:rPr>
        <w:t>NH</w:t>
      </w:r>
      <w:r w:rsidRPr="00F9522B">
        <w:rPr>
          <w:rFonts w:eastAsiaTheme="minorEastAsia"/>
          <w:sz w:val="24"/>
          <w:vertAlign w:val="subscript"/>
        </w:rPr>
        <w:t>4</w:t>
      </w:r>
      <w:r w:rsidRPr="00F9522B">
        <w:rPr>
          <w:rFonts w:eastAsiaTheme="minorEastAsia"/>
          <w:sz w:val="24"/>
          <w:vertAlign w:val="superscript"/>
        </w:rPr>
        <w:t>+</w:t>
      </w:r>
      <w:r w:rsidRPr="00F9522B">
        <w:rPr>
          <w:rFonts w:eastAsiaTheme="minorEastAsia"/>
          <w:sz w:val="24"/>
        </w:rPr>
        <w:t>-N</w:t>
      </w:r>
      <w:r w:rsidRPr="00F9522B">
        <w:rPr>
          <w:rFonts w:eastAsiaTheme="minorEastAsia"/>
          <w:sz w:val="24"/>
        </w:rPr>
        <w:t>、</w:t>
      </w:r>
      <w:r w:rsidRPr="00F9522B">
        <w:rPr>
          <w:rFonts w:eastAsiaTheme="minorEastAsia"/>
          <w:sz w:val="24"/>
        </w:rPr>
        <w:t>TN</w:t>
      </w:r>
      <w:r w:rsidRPr="00F9522B">
        <w:rPr>
          <w:rFonts w:eastAsiaTheme="minorEastAsia"/>
          <w:sz w:val="24"/>
        </w:rPr>
        <w:t>和</w:t>
      </w:r>
      <w:r w:rsidRPr="00F9522B">
        <w:rPr>
          <w:rFonts w:eastAsiaTheme="minorEastAsia"/>
          <w:sz w:val="24"/>
        </w:rPr>
        <w:t>TP</w:t>
      </w:r>
      <w:r w:rsidRPr="00F9522B">
        <w:rPr>
          <w:rFonts w:eastAsiaTheme="minorEastAsia"/>
          <w:sz w:val="24"/>
        </w:rPr>
        <w:t>的含量。随着种植集约化程度的不断提高，灌区内大量化肥的施加，使大量氮、磷随农田退水或下渗进入排水沟渠，最终退入</w:t>
      </w:r>
      <w:r w:rsidR="00507669" w:rsidRPr="00F9522B">
        <w:rPr>
          <w:rFonts w:eastAsiaTheme="minorEastAsia"/>
          <w:sz w:val="24"/>
        </w:rPr>
        <w:t>松花江</w:t>
      </w:r>
      <w:r w:rsidRPr="00F9522B">
        <w:rPr>
          <w:rFonts w:eastAsiaTheme="minorEastAsia"/>
          <w:sz w:val="24"/>
        </w:rPr>
        <w:t>及漂河，对该水域的水质和地下水的饮用安全产生了严重影响，对农灌区的可持续发展和</w:t>
      </w:r>
      <w:r w:rsidR="00507669" w:rsidRPr="00F9522B">
        <w:rPr>
          <w:rFonts w:eastAsiaTheme="minorEastAsia"/>
          <w:sz w:val="24"/>
        </w:rPr>
        <w:t>松花江</w:t>
      </w:r>
      <w:r w:rsidRPr="00F9522B">
        <w:rPr>
          <w:rFonts w:eastAsiaTheme="minorEastAsia"/>
          <w:sz w:val="24"/>
        </w:rPr>
        <w:t>及漂河水环境及其流域生态安全构成极大挑战。当氮、磷的负荷量超过自然净化能力时，就出现富营养化问题。水体中的氮、磷含量过高，会引起藻类恶性繁殖、死亡、分解、水质恶化、水体中溶解氧下降。水体富营养化造成的环境污染，会引起鱼类及其它经济水生生物急速死亡，使水生态环境恶化。其造成鱼类死亡的原因主要有三点：一是水体溶解氧极低以窒息死亡，二是有毒藻华，释放的毒素致死，三是藻类分解产生非离子氨致毒死亡。在水体中以非离子氨和铵离子存在的氮称为氨氮，非离子氨对鱼类有毒害作用。鱼类对非离子氨非常敏感，即使水体中非离子氨的含量很低，也会影响到鱼鳃中氧的传递。</w:t>
      </w:r>
      <w:bookmarkStart w:id="135" w:name="_Toc448912404"/>
    </w:p>
    <w:bookmarkEnd w:id="135"/>
    <w:p w:rsidR="002A5A5E" w:rsidRPr="00F9522B" w:rsidRDefault="00611CBA">
      <w:pPr>
        <w:spacing w:line="360" w:lineRule="auto"/>
        <w:ind w:firstLineChars="200" w:firstLine="480"/>
        <w:rPr>
          <w:rFonts w:eastAsiaTheme="minorEastAsia"/>
          <w:sz w:val="24"/>
        </w:rPr>
      </w:pPr>
      <w:r w:rsidRPr="00F9522B">
        <w:rPr>
          <w:rFonts w:eastAsiaTheme="minorEastAsia"/>
          <w:sz w:val="24"/>
        </w:rPr>
        <w:t>退水对受纳水体中鱼类栖息地的影响主要体现在退水中的污染物质。当退水中污染物浓度未超过河水中水生生物生存阈值时，由于退水带来了额外的营养物质</w:t>
      </w:r>
      <w:r w:rsidRPr="00F9522B">
        <w:rPr>
          <w:rFonts w:eastAsiaTheme="minorEastAsia"/>
          <w:sz w:val="24"/>
        </w:rPr>
        <w:t>(</w:t>
      </w:r>
      <w:r w:rsidRPr="00F9522B">
        <w:rPr>
          <w:rFonts w:eastAsiaTheme="minorEastAsia"/>
          <w:sz w:val="24"/>
        </w:rPr>
        <w:t>氮素、有机物等</w:t>
      </w:r>
      <w:r w:rsidRPr="00F9522B">
        <w:rPr>
          <w:rFonts w:eastAsiaTheme="minorEastAsia"/>
          <w:sz w:val="24"/>
        </w:rPr>
        <w:t>)</w:t>
      </w:r>
      <w:r w:rsidRPr="00F9522B">
        <w:rPr>
          <w:rFonts w:eastAsiaTheme="minorEastAsia"/>
          <w:sz w:val="24"/>
        </w:rPr>
        <w:t>，水生生物生存环境将得到适当的改善，适宜的栖息地面积增大。当退水中的污染物浓度超过河水中水生生物生存阈值时，会造成水体污染，其中过量的悬浮物质、有机物和营养盐等会对鱼类的生存造成威胁，水生生物中毒，甚至致死，其生存环境恶化，导致鱼类栖息地的面积缩小。退水对下游沿岸带的水质影响较大，当污染物浓度超过其自净能力时，会对一些经济鱼类的栖息地造成影响，影响鱼类的产卵、索饵和洄游。</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水体富营养化对大型底栖动物群落产生了一定负面影响，底栖动物群落多样性随着富营养化程度的提高而相应降低，大型底栖动物多样性会相应降低。水体中总氮、氨氮、化学需氧量、五日生化需氧量和总磷的含量对底栖动物的密度均有较大影响。在高氮、磷营养盐水平下，会导致物理生境退化、敏感底栖动物物</w:t>
      </w:r>
      <w:r w:rsidRPr="00F9522B">
        <w:rPr>
          <w:rFonts w:eastAsiaTheme="minorEastAsia"/>
          <w:sz w:val="24"/>
        </w:rPr>
        <w:lastRenderedPageBreak/>
        <w:t>种减少、耐污物种个体密度上升等现象。灌区退水中的污染物质会降低植物种子的萌发率、萌发指数和活力指数，延长种子的萌发进程。</w:t>
      </w:r>
    </w:p>
    <w:p w:rsidR="002A5A5E" w:rsidRPr="00F9522B" w:rsidRDefault="00611CBA">
      <w:pPr>
        <w:spacing w:line="360" w:lineRule="auto"/>
        <w:ind w:firstLineChars="200" w:firstLine="480"/>
        <w:contextualSpacing/>
        <w:rPr>
          <w:rFonts w:eastAsiaTheme="minorEastAsia"/>
          <w:smallCaps/>
          <w:sz w:val="24"/>
        </w:rPr>
      </w:pPr>
      <w:r w:rsidRPr="00F9522B">
        <w:rPr>
          <w:rFonts w:eastAsiaTheme="minorEastAsia"/>
          <w:smallCaps/>
          <w:sz w:val="24"/>
        </w:rPr>
        <w:t>本项目灌区已建设多年，区域水生生态系统经过长时间的演替，已形成稳定的适合现有鱼类及水生生物生长繁殖的生境和生态系统。</w:t>
      </w:r>
    </w:p>
    <w:p w:rsidR="002A5A5E" w:rsidRPr="00F9522B" w:rsidRDefault="00142C81">
      <w:pPr>
        <w:spacing w:line="360" w:lineRule="auto"/>
        <w:ind w:firstLineChars="200" w:firstLine="480"/>
        <w:contextualSpacing/>
        <w:rPr>
          <w:rFonts w:eastAsiaTheme="minorEastAsia"/>
          <w:kern w:val="0"/>
          <w:sz w:val="24"/>
        </w:rPr>
      </w:pPr>
      <w:r w:rsidRPr="00F9522B">
        <w:rPr>
          <w:rFonts w:eastAsiaTheme="minorEastAsia"/>
          <w:sz w:val="24"/>
        </w:rPr>
        <w:t>项目区排水工程已基本形成规模，项目区西部排水通过原有沟汇入公家沟，最终汇入松花江，承泄区为松花江。项目区东部排水汇入原有沟，最终承泄区为漂河。片区内排水承泄区为松花江及漂河</w:t>
      </w:r>
      <w:r w:rsidR="00611CBA" w:rsidRPr="00F9522B">
        <w:rPr>
          <w:rFonts w:eastAsiaTheme="minorEastAsia"/>
          <w:kern w:val="0"/>
          <w:sz w:val="24"/>
        </w:rPr>
        <w:t>。</w:t>
      </w:r>
    </w:p>
    <w:p w:rsidR="002A5A5E" w:rsidRPr="00F9522B" w:rsidRDefault="00861722">
      <w:pPr>
        <w:spacing w:line="360" w:lineRule="auto"/>
        <w:ind w:firstLineChars="200" w:firstLine="480"/>
        <w:rPr>
          <w:rFonts w:eastAsiaTheme="minorEastAsia"/>
          <w:sz w:val="24"/>
        </w:rPr>
      </w:pPr>
      <w:r w:rsidRPr="00F9522B">
        <w:rPr>
          <w:rFonts w:eastAsiaTheme="minorEastAsia"/>
          <w:sz w:val="24"/>
        </w:rPr>
        <w:t>现状调查发现，目前松花江</w:t>
      </w:r>
      <w:r w:rsidR="00A4540D" w:rsidRPr="00F9522B">
        <w:rPr>
          <w:rFonts w:eastAsiaTheme="minorEastAsia"/>
          <w:sz w:val="24"/>
        </w:rPr>
        <w:t>及漂河评价区域以青鱼、鲤鱼、银鲫、鲢鱼、草鱼、黑龙江泥鳅等</w:t>
      </w:r>
      <w:r w:rsidR="00611CBA" w:rsidRPr="00F9522B">
        <w:rPr>
          <w:rFonts w:eastAsiaTheme="minorEastAsia"/>
          <w:sz w:val="24"/>
        </w:rPr>
        <w:t>常见鱼类为主。本区域灌区泡田期</w:t>
      </w:r>
      <w:r w:rsidR="00611CBA" w:rsidRPr="00F9522B">
        <w:rPr>
          <w:rFonts w:eastAsiaTheme="minorEastAsia"/>
          <w:sz w:val="24"/>
        </w:rPr>
        <w:t>(5</w:t>
      </w:r>
      <w:r w:rsidR="00611CBA" w:rsidRPr="00F9522B">
        <w:rPr>
          <w:rFonts w:eastAsiaTheme="minorEastAsia"/>
          <w:sz w:val="24"/>
        </w:rPr>
        <w:t>月中旬</w:t>
      </w:r>
      <w:r w:rsidR="00611CBA" w:rsidRPr="00F9522B">
        <w:rPr>
          <w:rFonts w:eastAsiaTheme="minorEastAsia"/>
          <w:sz w:val="24"/>
        </w:rPr>
        <w:t>)</w:t>
      </w:r>
      <w:r w:rsidR="00611CBA" w:rsidRPr="00F9522B">
        <w:rPr>
          <w:rFonts w:eastAsiaTheme="minorEastAsia"/>
          <w:sz w:val="24"/>
        </w:rPr>
        <w:t>后插秧前退水量约占水田退水量的</w:t>
      </w:r>
      <w:r w:rsidR="00611CBA" w:rsidRPr="00F9522B">
        <w:rPr>
          <w:rFonts w:eastAsiaTheme="minorEastAsia"/>
          <w:sz w:val="24"/>
        </w:rPr>
        <w:t>55%</w:t>
      </w:r>
      <w:r w:rsidR="00611CBA" w:rsidRPr="00F9522B">
        <w:rPr>
          <w:rFonts w:eastAsiaTheme="minorEastAsia"/>
          <w:sz w:val="24"/>
        </w:rPr>
        <w:t>，由于泡田期水田不施用农药化肥，所以这段时间退水对</w:t>
      </w:r>
      <w:r w:rsidRPr="00F9522B">
        <w:rPr>
          <w:rFonts w:eastAsiaTheme="minorEastAsia"/>
          <w:sz w:val="24"/>
        </w:rPr>
        <w:t>松花江</w:t>
      </w:r>
      <w:r w:rsidR="00611CBA" w:rsidRPr="00F9522B">
        <w:rPr>
          <w:rFonts w:eastAsiaTheme="minorEastAsia"/>
          <w:sz w:val="24"/>
        </w:rPr>
        <w:t>及漂河鱼类基本无影响。黄熟期退水量占水田总退水量的</w:t>
      </w:r>
      <w:r w:rsidR="00611CBA" w:rsidRPr="00F9522B">
        <w:rPr>
          <w:rFonts w:eastAsiaTheme="minorEastAsia"/>
          <w:sz w:val="24"/>
        </w:rPr>
        <w:t>15%</w:t>
      </w:r>
      <w:r w:rsidR="00611CBA" w:rsidRPr="00F9522B">
        <w:rPr>
          <w:rFonts w:eastAsiaTheme="minorEastAsia"/>
          <w:sz w:val="24"/>
        </w:rPr>
        <w:t>，由于</w:t>
      </w:r>
      <w:r w:rsidR="00611CBA" w:rsidRPr="00F9522B">
        <w:rPr>
          <w:rFonts w:eastAsiaTheme="minorEastAsia"/>
          <w:sz w:val="24"/>
        </w:rPr>
        <w:t>9</w:t>
      </w:r>
      <w:r w:rsidR="00611CBA" w:rsidRPr="00F9522B">
        <w:rPr>
          <w:rFonts w:eastAsiaTheme="minorEastAsia"/>
          <w:sz w:val="24"/>
        </w:rPr>
        <w:t>月底部分鱼类尚未开始越冬洄游，此时的灌区退水量较少，黄熟期退水对鱼类洄游产生影响不大。</w:t>
      </w:r>
    </w:p>
    <w:p w:rsidR="002A5A5E" w:rsidRPr="00F9522B" w:rsidRDefault="00611CBA">
      <w:pPr>
        <w:spacing w:line="360" w:lineRule="auto"/>
        <w:ind w:firstLineChars="200" w:firstLine="480"/>
        <w:contextualSpacing/>
        <w:rPr>
          <w:rFonts w:eastAsiaTheme="minorEastAsia"/>
          <w:kern w:val="0"/>
          <w:sz w:val="24"/>
        </w:rPr>
      </w:pPr>
      <w:r w:rsidRPr="00F9522B">
        <w:rPr>
          <w:rFonts w:eastAsiaTheme="minorEastAsia"/>
          <w:smallCaps/>
          <w:sz w:val="24"/>
        </w:rPr>
        <w:t>由于工程的实施，</w:t>
      </w:r>
      <w:r w:rsidRPr="00F9522B">
        <w:rPr>
          <w:rFonts w:eastAsiaTheme="minorEastAsia"/>
          <w:kern w:val="0"/>
          <w:sz w:val="24"/>
          <w:szCs w:val="21"/>
        </w:rPr>
        <w:t>减少渠道上的</w:t>
      </w:r>
      <w:r w:rsidRPr="00F9522B">
        <w:rPr>
          <w:rFonts w:eastAsiaTheme="minorEastAsia"/>
          <w:kern w:val="0"/>
          <w:sz w:val="24"/>
          <w:szCs w:val="21"/>
        </w:rPr>
        <w:t>“</w:t>
      </w:r>
      <w:r w:rsidRPr="00F9522B">
        <w:rPr>
          <w:rFonts w:eastAsiaTheme="minorEastAsia"/>
          <w:kern w:val="0"/>
          <w:sz w:val="24"/>
          <w:szCs w:val="21"/>
        </w:rPr>
        <w:t>跑、漏、冒</w:t>
      </w:r>
      <w:r w:rsidRPr="00F9522B">
        <w:rPr>
          <w:rFonts w:eastAsiaTheme="minorEastAsia"/>
          <w:kern w:val="0"/>
          <w:sz w:val="24"/>
          <w:szCs w:val="21"/>
        </w:rPr>
        <w:t>”</w:t>
      </w:r>
      <w:r w:rsidRPr="00F9522B">
        <w:rPr>
          <w:rFonts w:eastAsiaTheme="minorEastAsia"/>
          <w:kern w:val="0"/>
          <w:sz w:val="24"/>
          <w:szCs w:val="21"/>
        </w:rPr>
        <w:t>水现象，减少灌区引水量，</w:t>
      </w:r>
      <w:r w:rsidRPr="00F9522B">
        <w:rPr>
          <w:rFonts w:eastAsiaTheme="minorEastAsia"/>
          <w:sz w:val="24"/>
        </w:rPr>
        <w:t>节约了水资源，提升水资源利用效率，农田保水能力增强，</w:t>
      </w:r>
      <w:r w:rsidRPr="00F9522B">
        <w:rPr>
          <w:rFonts w:eastAsiaTheme="minorEastAsia"/>
          <w:smallCaps/>
          <w:sz w:val="24"/>
        </w:rPr>
        <w:t>工程实施前后取水量、退水量、</w:t>
      </w:r>
      <w:r w:rsidRPr="00F9522B">
        <w:rPr>
          <w:rFonts w:eastAsiaTheme="minorEastAsia"/>
          <w:kern w:val="0"/>
          <w:sz w:val="24"/>
          <w:szCs w:val="21"/>
        </w:rPr>
        <w:t>污染物入河量</w:t>
      </w:r>
      <w:r w:rsidRPr="00F9522B">
        <w:rPr>
          <w:rFonts w:eastAsiaTheme="minorEastAsia"/>
          <w:smallCaps/>
          <w:sz w:val="24"/>
        </w:rPr>
        <w:t>均减少，对区域水文情势、鱼类栖息及繁殖、浮游生物、底栖动物、水生维管束植物产生有利影响。</w:t>
      </w:r>
      <w:r w:rsidRPr="00F9522B">
        <w:rPr>
          <w:rFonts w:eastAsiaTheme="minorEastAsia"/>
          <w:snapToGrid w:val="0"/>
          <w:sz w:val="24"/>
        </w:rPr>
        <w:t>农田排水集中在</w:t>
      </w:r>
      <w:r w:rsidRPr="00F9522B">
        <w:rPr>
          <w:rFonts w:eastAsiaTheme="minorEastAsia"/>
          <w:snapToGrid w:val="0"/>
          <w:sz w:val="24"/>
        </w:rPr>
        <w:t>5</w:t>
      </w:r>
      <w:r w:rsidRPr="00F9522B">
        <w:rPr>
          <w:rFonts w:eastAsiaTheme="minorEastAsia"/>
          <w:snapToGrid w:val="0"/>
          <w:sz w:val="24"/>
        </w:rPr>
        <w:t>～</w:t>
      </w:r>
      <w:r w:rsidRPr="00F9522B">
        <w:rPr>
          <w:rFonts w:eastAsiaTheme="minorEastAsia"/>
          <w:snapToGrid w:val="0"/>
          <w:sz w:val="24"/>
        </w:rPr>
        <w:t>9</w:t>
      </w:r>
      <w:r w:rsidRPr="00F9522B">
        <w:rPr>
          <w:rFonts w:eastAsiaTheme="minorEastAsia"/>
          <w:snapToGrid w:val="0"/>
          <w:sz w:val="24"/>
        </w:rPr>
        <w:t>月份，正值丰水期，</w:t>
      </w:r>
      <w:r w:rsidR="00507669" w:rsidRPr="00F9522B">
        <w:rPr>
          <w:rFonts w:eastAsiaTheme="minorEastAsia"/>
          <w:sz w:val="24"/>
        </w:rPr>
        <w:t>松花江</w:t>
      </w:r>
      <w:r w:rsidRPr="00F9522B">
        <w:rPr>
          <w:rFonts w:eastAsiaTheme="minorEastAsia"/>
          <w:snapToGrid w:val="0"/>
          <w:sz w:val="24"/>
        </w:rPr>
        <w:t>、漂河水量充沛，进入水体的污染物将不同程度的被稀释和降解，对水质影响较小。</w:t>
      </w:r>
      <w:r w:rsidRPr="00F9522B">
        <w:rPr>
          <w:rFonts w:eastAsiaTheme="minorEastAsia"/>
          <w:sz w:val="24"/>
        </w:rPr>
        <w:t>项目施行</w:t>
      </w:r>
      <w:r w:rsidRPr="00F9522B">
        <w:rPr>
          <w:rFonts w:eastAsiaTheme="minorEastAsia"/>
          <w:sz w:val="24"/>
        </w:rPr>
        <w:t>“</w:t>
      </w:r>
      <w:r w:rsidRPr="00F9522B">
        <w:rPr>
          <w:rFonts w:eastAsiaTheme="minorEastAsia"/>
          <w:sz w:val="24"/>
        </w:rPr>
        <w:t>三减</w:t>
      </w:r>
      <w:r w:rsidRPr="00F9522B">
        <w:rPr>
          <w:rFonts w:eastAsiaTheme="minorEastAsia"/>
          <w:sz w:val="24"/>
        </w:rPr>
        <w:t>”</w:t>
      </w:r>
      <w:r w:rsidRPr="00F9522B">
        <w:rPr>
          <w:rFonts w:eastAsiaTheme="minorEastAsia"/>
          <w:sz w:val="24"/>
        </w:rPr>
        <w:t>行动，即减化肥、减农药、减除草剂，积极推广科学施肥，使化肥、农药实现减量化施用，实施测土配方施肥、水肥一体化等措施，控制农药、肥料施用种类及数量。项目建成后灌区年退水量与现状相比</w:t>
      </w:r>
      <w:r w:rsidR="004A0FF6" w:rsidRPr="00F9522B">
        <w:rPr>
          <w:rFonts w:eastAsiaTheme="minorEastAsia"/>
          <w:sz w:val="24"/>
        </w:rPr>
        <w:t>减少</w:t>
      </w:r>
      <w:r w:rsidR="004A0FF6" w:rsidRPr="00F9522B">
        <w:rPr>
          <w:rFonts w:eastAsiaTheme="minorEastAsia"/>
          <w:sz w:val="24"/>
        </w:rPr>
        <w:t>15</w:t>
      </w:r>
      <w:r w:rsidR="004A0FF6" w:rsidRPr="00F9522B">
        <w:rPr>
          <w:rFonts w:eastAsiaTheme="minorEastAsia"/>
          <w:sz w:val="24"/>
        </w:rPr>
        <w:t>万</w:t>
      </w:r>
      <w:r w:rsidRPr="00F9522B">
        <w:rPr>
          <w:rFonts w:eastAsiaTheme="minorEastAsia"/>
          <w:sz w:val="24"/>
        </w:rPr>
        <w:t>m</w:t>
      </w:r>
      <w:r w:rsidRPr="00F9522B">
        <w:rPr>
          <w:rFonts w:eastAsiaTheme="minorEastAsia"/>
          <w:sz w:val="24"/>
          <w:vertAlign w:val="superscript"/>
        </w:rPr>
        <w:t>3</w:t>
      </w:r>
      <w:r w:rsidRPr="00F9522B">
        <w:rPr>
          <w:rFonts w:eastAsiaTheme="minorEastAsia"/>
          <w:sz w:val="24"/>
        </w:rPr>
        <w:t>，</w:t>
      </w:r>
      <w:r w:rsidR="00E03AD9" w:rsidRPr="00F9522B">
        <w:rPr>
          <w:rFonts w:eastAsiaTheme="minorEastAsia"/>
          <w:bCs/>
          <w:sz w:val="24"/>
        </w:rPr>
        <w:t>COD</w:t>
      </w:r>
      <w:r w:rsidR="00E03AD9" w:rsidRPr="00F9522B">
        <w:rPr>
          <w:rFonts w:eastAsiaTheme="minorEastAsia"/>
          <w:bCs/>
          <w:sz w:val="24"/>
        </w:rPr>
        <w:t>、氨氮、总磷及总氮排放量分别减少</w:t>
      </w:r>
      <w:r w:rsidR="00E03AD9" w:rsidRPr="00F9522B">
        <w:rPr>
          <w:rFonts w:eastAsiaTheme="minorEastAsia"/>
          <w:bCs/>
          <w:sz w:val="24"/>
        </w:rPr>
        <w:t>7.905t/a</w:t>
      </w:r>
      <w:r w:rsidR="00E03AD9" w:rsidRPr="00F9522B">
        <w:rPr>
          <w:rFonts w:eastAsiaTheme="minorEastAsia"/>
          <w:bCs/>
          <w:sz w:val="24"/>
        </w:rPr>
        <w:t>、</w:t>
      </w:r>
      <w:r w:rsidR="00E03AD9" w:rsidRPr="00F9522B">
        <w:rPr>
          <w:rFonts w:eastAsiaTheme="minorEastAsia"/>
          <w:bCs/>
          <w:sz w:val="24"/>
        </w:rPr>
        <w:t>0.189t/a</w:t>
      </w:r>
      <w:r w:rsidR="00E03AD9" w:rsidRPr="00F9522B">
        <w:rPr>
          <w:rFonts w:eastAsiaTheme="minorEastAsia"/>
          <w:bCs/>
          <w:sz w:val="24"/>
        </w:rPr>
        <w:t>、</w:t>
      </w:r>
      <w:r w:rsidR="00E03AD9" w:rsidRPr="00F9522B">
        <w:rPr>
          <w:rFonts w:eastAsiaTheme="minorEastAsia"/>
          <w:bCs/>
          <w:sz w:val="24"/>
        </w:rPr>
        <w:t>0.276t/a</w:t>
      </w:r>
      <w:r w:rsidR="00E03AD9" w:rsidRPr="00F9522B">
        <w:rPr>
          <w:rFonts w:eastAsiaTheme="minorEastAsia"/>
          <w:bCs/>
          <w:sz w:val="24"/>
        </w:rPr>
        <w:t>、</w:t>
      </w:r>
      <w:r w:rsidR="00E03AD9" w:rsidRPr="00F9522B">
        <w:rPr>
          <w:rFonts w:eastAsiaTheme="minorEastAsia"/>
          <w:bCs/>
          <w:sz w:val="24"/>
        </w:rPr>
        <w:t>0.63t/a</w:t>
      </w:r>
      <w:r w:rsidRPr="00F9522B">
        <w:rPr>
          <w:rFonts w:eastAsiaTheme="minorEastAsia"/>
          <w:bCs/>
          <w:sz w:val="24"/>
        </w:rPr>
        <w:t>。</w:t>
      </w:r>
      <w:r w:rsidRPr="00F9522B">
        <w:rPr>
          <w:rFonts w:eastAsiaTheme="minorEastAsia"/>
          <w:kern w:val="0"/>
          <w:sz w:val="24"/>
        </w:rPr>
        <w:t>故工程实施后对</w:t>
      </w:r>
      <w:r w:rsidR="00507669" w:rsidRPr="00F9522B">
        <w:rPr>
          <w:rFonts w:eastAsiaTheme="minorEastAsia"/>
          <w:sz w:val="24"/>
        </w:rPr>
        <w:t>松花江</w:t>
      </w:r>
      <w:r w:rsidRPr="00F9522B">
        <w:rPr>
          <w:rFonts w:eastAsiaTheme="minorEastAsia"/>
          <w:sz w:val="24"/>
        </w:rPr>
        <w:t>及漂河水生生态</w:t>
      </w:r>
      <w:r w:rsidRPr="00F9522B">
        <w:rPr>
          <w:rFonts w:eastAsiaTheme="minorEastAsia"/>
          <w:kern w:val="0"/>
          <w:sz w:val="24"/>
        </w:rPr>
        <w:t>环境起到一定改善作用。</w:t>
      </w:r>
    </w:p>
    <w:p w:rsidR="002A5A5E" w:rsidRPr="00F9522B" w:rsidRDefault="00611CBA">
      <w:pPr>
        <w:spacing w:line="360" w:lineRule="auto"/>
        <w:ind w:firstLineChars="200" w:firstLine="480"/>
        <w:contextualSpacing/>
        <w:rPr>
          <w:rFonts w:eastAsiaTheme="minorEastAsia"/>
          <w:sz w:val="24"/>
        </w:rPr>
      </w:pPr>
      <w:r w:rsidRPr="00F9522B">
        <w:rPr>
          <w:rFonts w:eastAsiaTheme="minorEastAsia"/>
          <w:sz w:val="24"/>
        </w:rPr>
        <w:t>本项目水田灌溉取水依托现有取水井，</w:t>
      </w:r>
      <w:r w:rsidRPr="00F9522B">
        <w:rPr>
          <w:rFonts w:eastAsiaTheme="minorEastAsia"/>
          <w:smallCaps/>
          <w:sz w:val="24"/>
        </w:rPr>
        <w:t>由于工程的实施，</w:t>
      </w:r>
      <w:r w:rsidRPr="00F9522B">
        <w:rPr>
          <w:rFonts w:eastAsiaTheme="minorEastAsia"/>
          <w:kern w:val="0"/>
          <w:sz w:val="24"/>
          <w:szCs w:val="21"/>
        </w:rPr>
        <w:t>减少渠道上的</w:t>
      </w:r>
      <w:r w:rsidRPr="00F9522B">
        <w:rPr>
          <w:rFonts w:eastAsiaTheme="minorEastAsia"/>
          <w:kern w:val="0"/>
          <w:sz w:val="24"/>
          <w:szCs w:val="21"/>
        </w:rPr>
        <w:t>“</w:t>
      </w:r>
      <w:r w:rsidRPr="00F9522B">
        <w:rPr>
          <w:rFonts w:eastAsiaTheme="minorEastAsia"/>
          <w:kern w:val="0"/>
          <w:sz w:val="24"/>
          <w:szCs w:val="21"/>
        </w:rPr>
        <w:t>跑、漏、冒</w:t>
      </w:r>
      <w:r w:rsidRPr="00F9522B">
        <w:rPr>
          <w:rFonts w:eastAsiaTheme="minorEastAsia"/>
          <w:kern w:val="0"/>
          <w:sz w:val="24"/>
          <w:szCs w:val="21"/>
        </w:rPr>
        <w:t>”</w:t>
      </w:r>
      <w:r w:rsidRPr="00F9522B">
        <w:rPr>
          <w:rFonts w:eastAsiaTheme="minorEastAsia"/>
          <w:kern w:val="0"/>
          <w:sz w:val="24"/>
          <w:szCs w:val="21"/>
        </w:rPr>
        <w:t>水现象，减少灌区引水量，</w:t>
      </w:r>
      <w:r w:rsidRPr="00F9522B">
        <w:rPr>
          <w:rFonts w:eastAsiaTheme="minorEastAsia"/>
          <w:sz w:val="24"/>
        </w:rPr>
        <w:t>节约了水资源，提升水资源利用效率。</w:t>
      </w:r>
      <w:r w:rsidRPr="00F9522B">
        <w:rPr>
          <w:rFonts w:eastAsiaTheme="minorEastAsia"/>
          <w:smallCaps/>
          <w:sz w:val="24"/>
        </w:rPr>
        <w:t>工程实施前后取水量、退水量均减少，对区域水文情势、鱼类栖息及繁殖、浮游生物、底栖动物、水生维管束植物产生有利影响。</w:t>
      </w:r>
      <w:r w:rsidRPr="00F9522B">
        <w:rPr>
          <w:rFonts w:eastAsiaTheme="minorEastAsia"/>
          <w:sz w:val="24"/>
        </w:rPr>
        <w:t>灌区退水不会显著</w:t>
      </w:r>
      <w:r w:rsidRPr="00F9522B">
        <w:rPr>
          <w:rFonts w:eastAsia="MS Mincho"/>
          <w:sz w:val="24"/>
        </w:rPr>
        <w:t>‌</w:t>
      </w:r>
      <w:r w:rsidRPr="00F9522B">
        <w:rPr>
          <w:rFonts w:eastAsiaTheme="minorEastAsia"/>
          <w:sz w:val="24"/>
        </w:rPr>
        <w:t>影响河道的自然状态和生态平衡。</w:t>
      </w:r>
    </w:p>
    <w:p w:rsidR="002A5A5E" w:rsidRPr="00F9522B" w:rsidRDefault="00611CBA">
      <w:pPr>
        <w:spacing w:line="360" w:lineRule="auto"/>
        <w:ind w:firstLineChars="200" w:firstLine="480"/>
        <w:contextualSpacing/>
        <w:rPr>
          <w:rFonts w:eastAsiaTheme="minorEastAsia"/>
          <w:sz w:val="24"/>
        </w:rPr>
      </w:pPr>
      <w:r w:rsidRPr="00F9522B">
        <w:rPr>
          <w:rFonts w:eastAsiaTheme="minorEastAsia"/>
          <w:sz w:val="24"/>
        </w:rPr>
        <w:t>工程实施后，通过加强管理，发展绿色水稻生产，削减化肥和化学农药用量，</w:t>
      </w:r>
      <w:r w:rsidRPr="00F9522B">
        <w:rPr>
          <w:rFonts w:eastAsiaTheme="minorEastAsia"/>
          <w:sz w:val="24"/>
        </w:rPr>
        <w:lastRenderedPageBreak/>
        <w:t>增加有机肥、复合肥以及生物农药和高效低毒低残留农药的施用量，减少农田退水中的农药、化肥含量，退水中污染物浓度降低，污染物入河量减少，有利于受纳水体</w:t>
      </w:r>
      <w:r w:rsidR="00507669" w:rsidRPr="00F9522B">
        <w:rPr>
          <w:rFonts w:eastAsiaTheme="minorEastAsia"/>
          <w:sz w:val="24"/>
        </w:rPr>
        <w:t>松花江</w:t>
      </w:r>
      <w:r w:rsidRPr="00F9522B">
        <w:rPr>
          <w:rFonts w:eastAsiaTheme="minorEastAsia"/>
          <w:sz w:val="24"/>
        </w:rPr>
        <w:t>及漂河河流水质的维持和改善。</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从现状调查来看，评价区域存在重要经济鱼类</w:t>
      </w:r>
      <w:r w:rsidRPr="00F9522B">
        <w:rPr>
          <w:rFonts w:eastAsiaTheme="minorEastAsia"/>
          <w:sz w:val="24"/>
        </w:rPr>
        <w:t>“</w:t>
      </w:r>
      <w:r w:rsidRPr="00F9522B">
        <w:rPr>
          <w:rFonts w:eastAsiaTheme="minorEastAsia"/>
          <w:sz w:val="24"/>
        </w:rPr>
        <w:t>三场</w:t>
      </w:r>
      <w:r w:rsidRPr="00F9522B">
        <w:rPr>
          <w:rFonts w:eastAsiaTheme="minorEastAsia"/>
          <w:sz w:val="24"/>
        </w:rPr>
        <w:t>”</w:t>
      </w:r>
      <w:r w:rsidRPr="00F9522B">
        <w:rPr>
          <w:rFonts w:eastAsiaTheme="minorEastAsia"/>
          <w:sz w:val="24"/>
        </w:rPr>
        <w:t>分布。影响鱼类产卵的主要因素为水温、溶解氧、底质、氨氮浓度等。通过现状调查发现，评价水域产黏性卵鱼类产卵场较多，主要分布在</w:t>
      </w:r>
      <w:r w:rsidR="00F018EC" w:rsidRPr="00F9522B">
        <w:rPr>
          <w:rFonts w:eastAsiaTheme="minorEastAsia"/>
          <w:sz w:val="24"/>
        </w:rPr>
        <w:t>松花江</w:t>
      </w:r>
      <w:r w:rsidRPr="00F9522B">
        <w:rPr>
          <w:rFonts w:eastAsiaTheme="minorEastAsia"/>
          <w:sz w:val="24"/>
        </w:rPr>
        <w:t>下游及河口段、河湾、河汊等，水生维管植物分布广、密度多或陆生植物水体淹没范围较大的水域。集中分布于河口江心岛、浅滩浅水处。退水口下游分布有产黏性卵鱼类产卵场，无国家重点保护、珍稀濒危及产沉性和漂流性卵鱼类的产卵场。</w:t>
      </w:r>
    </w:p>
    <w:p w:rsidR="002A5A5E" w:rsidRPr="00F9522B" w:rsidRDefault="00611CBA">
      <w:pPr>
        <w:spacing w:line="360" w:lineRule="auto"/>
        <w:ind w:firstLineChars="200" w:firstLine="480"/>
        <w:contextualSpacing/>
        <w:rPr>
          <w:rFonts w:eastAsiaTheme="minorEastAsia"/>
          <w:sz w:val="24"/>
        </w:rPr>
      </w:pPr>
      <w:r w:rsidRPr="00F9522B">
        <w:rPr>
          <w:rFonts w:eastAsiaTheme="minorEastAsia"/>
          <w:sz w:val="24"/>
        </w:rPr>
        <w:t>项目建成后灌区年退水量与现状相比</w:t>
      </w:r>
      <w:r w:rsidR="004A0FF6" w:rsidRPr="00F9522B">
        <w:rPr>
          <w:rFonts w:eastAsiaTheme="minorEastAsia"/>
          <w:sz w:val="24"/>
        </w:rPr>
        <w:t>减少</w:t>
      </w:r>
      <w:r w:rsidR="004A0FF6" w:rsidRPr="00F9522B">
        <w:rPr>
          <w:rFonts w:eastAsiaTheme="minorEastAsia"/>
          <w:sz w:val="24"/>
        </w:rPr>
        <w:t>15</w:t>
      </w:r>
      <w:r w:rsidR="004A0FF6" w:rsidRPr="00F9522B">
        <w:rPr>
          <w:rFonts w:eastAsiaTheme="minorEastAsia"/>
          <w:sz w:val="24"/>
        </w:rPr>
        <w:t>万</w:t>
      </w:r>
      <w:r w:rsidRPr="00F9522B">
        <w:rPr>
          <w:rFonts w:eastAsiaTheme="minorEastAsia"/>
          <w:sz w:val="24"/>
        </w:rPr>
        <w:t>m</w:t>
      </w:r>
      <w:r w:rsidRPr="00F9522B">
        <w:rPr>
          <w:rFonts w:eastAsiaTheme="minorEastAsia"/>
          <w:sz w:val="24"/>
          <w:vertAlign w:val="superscript"/>
        </w:rPr>
        <w:t>3</w:t>
      </w:r>
      <w:r w:rsidRPr="00F9522B">
        <w:rPr>
          <w:rFonts w:eastAsiaTheme="minorEastAsia"/>
          <w:sz w:val="24"/>
        </w:rPr>
        <w:t>，</w:t>
      </w:r>
      <w:r w:rsidR="00E03AD9" w:rsidRPr="00F9522B">
        <w:rPr>
          <w:rFonts w:eastAsiaTheme="minorEastAsia"/>
          <w:bCs/>
          <w:color w:val="FF0000"/>
          <w:sz w:val="24"/>
        </w:rPr>
        <w:t>COD</w:t>
      </w:r>
      <w:r w:rsidR="00E03AD9" w:rsidRPr="00F9522B">
        <w:rPr>
          <w:rFonts w:eastAsiaTheme="minorEastAsia"/>
          <w:bCs/>
          <w:color w:val="FF0000"/>
          <w:sz w:val="24"/>
        </w:rPr>
        <w:t>、氨氮、总磷及总氮排放量分别减少</w:t>
      </w:r>
      <w:r w:rsidR="00E03AD9" w:rsidRPr="00F9522B">
        <w:rPr>
          <w:rFonts w:eastAsiaTheme="minorEastAsia"/>
          <w:bCs/>
          <w:color w:val="FF0000"/>
          <w:sz w:val="24"/>
        </w:rPr>
        <w:t>7.905t/a</w:t>
      </w:r>
      <w:r w:rsidR="00E03AD9" w:rsidRPr="00F9522B">
        <w:rPr>
          <w:rFonts w:eastAsiaTheme="minorEastAsia"/>
          <w:bCs/>
          <w:color w:val="FF0000"/>
          <w:sz w:val="24"/>
        </w:rPr>
        <w:t>、</w:t>
      </w:r>
      <w:r w:rsidR="00E03AD9" w:rsidRPr="00F9522B">
        <w:rPr>
          <w:rFonts w:eastAsiaTheme="minorEastAsia"/>
          <w:bCs/>
          <w:color w:val="FF0000"/>
          <w:sz w:val="24"/>
        </w:rPr>
        <w:t>0.189t/a</w:t>
      </w:r>
      <w:r w:rsidR="00E03AD9" w:rsidRPr="00F9522B">
        <w:rPr>
          <w:rFonts w:eastAsiaTheme="minorEastAsia"/>
          <w:bCs/>
          <w:color w:val="FF0000"/>
          <w:sz w:val="24"/>
        </w:rPr>
        <w:t>、</w:t>
      </w:r>
      <w:r w:rsidR="00E03AD9" w:rsidRPr="00F9522B">
        <w:rPr>
          <w:rFonts w:eastAsiaTheme="minorEastAsia"/>
          <w:bCs/>
          <w:color w:val="FF0000"/>
          <w:sz w:val="24"/>
        </w:rPr>
        <w:t>0.276t/a</w:t>
      </w:r>
      <w:r w:rsidR="00E03AD9" w:rsidRPr="00F9522B">
        <w:rPr>
          <w:rFonts w:eastAsiaTheme="minorEastAsia"/>
          <w:bCs/>
          <w:color w:val="FF0000"/>
          <w:sz w:val="24"/>
        </w:rPr>
        <w:t>、</w:t>
      </w:r>
      <w:r w:rsidR="00E03AD9" w:rsidRPr="00F9522B">
        <w:rPr>
          <w:rFonts w:eastAsiaTheme="minorEastAsia"/>
          <w:bCs/>
          <w:color w:val="FF0000"/>
          <w:sz w:val="24"/>
        </w:rPr>
        <w:t>0.63t/a</w:t>
      </w:r>
      <w:r w:rsidRPr="00F9522B">
        <w:rPr>
          <w:rFonts w:eastAsiaTheme="minorEastAsia"/>
          <w:bCs/>
          <w:sz w:val="24"/>
        </w:rPr>
        <w:t>。</w:t>
      </w:r>
      <w:r w:rsidRPr="00F9522B">
        <w:rPr>
          <w:rFonts w:eastAsiaTheme="minorEastAsia"/>
          <w:kern w:val="0"/>
          <w:sz w:val="24"/>
        </w:rPr>
        <w:t>对</w:t>
      </w:r>
      <w:r w:rsidR="00861722" w:rsidRPr="00F9522B">
        <w:rPr>
          <w:rFonts w:eastAsiaTheme="minorEastAsia"/>
          <w:sz w:val="24"/>
        </w:rPr>
        <w:t>松花江</w:t>
      </w:r>
      <w:r w:rsidRPr="00F9522B">
        <w:rPr>
          <w:rFonts w:eastAsiaTheme="minorEastAsia"/>
          <w:sz w:val="24"/>
        </w:rPr>
        <w:t>及漂河水生生态</w:t>
      </w:r>
      <w:r w:rsidRPr="00F9522B">
        <w:rPr>
          <w:rFonts w:eastAsiaTheme="minorEastAsia"/>
          <w:kern w:val="0"/>
          <w:sz w:val="24"/>
        </w:rPr>
        <w:t>环境起到一定改善作用。</w:t>
      </w:r>
      <w:r w:rsidRPr="00F9522B">
        <w:rPr>
          <w:rFonts w:eastAsiaTheme="minorEastAsia"/>
          <w:sz w:val="24"/>
        </w:rPr>
        <w:t>对产黏性卵鱼类产卵场产生有利影响，不会导致鱼类产卵量的显著降低，不会对国家重点保护水生野生动物</w:t>
      </w:r>
      <w:r w:rsidRPr="00F9522B">
        <w:rPr>
          <w:sz w:val="24"/>
        </w:rPr>
        <w:t>雷氏七鳃鳗等产生影响</w:t>
      </w:r>
      <w:r w:rsidRPr="00F9522B">
        <w:rPr>
          <w:rFonts w:eastAsiaTheme="minorEastAsia"/>
          <w:sz w:val="24"/>
        </w:rPr>
        <w:t>。项目运营后，</w:t>
      </w:r>
      <w:r w:rsidR="00861722" w:rsidRPr="00F9522B">
        <w:rPr>
          <w:rFonts w:eastAsiaTheme="minorEastAsia"/>
          <w:sz w:val="24"/>
        </w:rPr>
        <w:t>松花江</w:t>
      </w:r>
      <w:r w:rsidRPr="00F9522B">
        <w:rPr>
          <w:rFonts w:eastAsiaTheme="minorEastAsia"/>
          <w:sz w:val="24"/>
        </w:rPr>
        <w:t>水文情势变化较小，不会改变现有的水流条件，入河污染物减少。因此，总体来看本项目运营对鱼类的洄游基本无影响，对鱼类栖息地基本无影响。</w:t>
      </w:r>
    </w:p>
    <w:p w:rsidR="002A5A5E" w:rsidRPr="00F9522B" w:rsidRDefault="00611CBA">
      <w:pPr>
        <w:spacing w:line="360" w:lineRule="auto"/>
        <w:ind w:firstLineChars="200" w:firstLine="480"/>
        <w:contextualSpacing/>
        <w:rPr>
          <w:rFonts w:eastAsiaTheme="minorEastAsia"/>
          <w:bCs/>
          <w:kern w:val="0"/>
          <w:sz w:val="24"/>
        </w:rPr>
      </w:pPr>
      <w:r w:rsidRPr="00F9522B">
        <w:rPr>
          <w:rFonts w:eastAsiaTheme="minorEastAsia"/>
          <w:bCs/>
          <w:kern w:val="0"/>
          <w:sz w:val="24"/>
        </w:rPr>
        <w:t>（</w:t>
      </w:r>
      <w:r w:rsidRPr="00F9522B">
        <w:rPr>
          <w:rFonts w:eastAsiaTheme="minorEastAsia"/>
          <w:bCs/>
          <w:kern w:val="0"/>
          <w:sz w:val="24"/>
        </w:rPr>
        <w:t>3</w:t>
      </w:r>
      <w:r w:rsidRPr="00F9522B">
        <w:rPr>
          <w:rFonts w:eastAsiaTheme="minorEastAsia"/>
          <w:bCs/>
          <w:kern w:val="0"/>
          <w:sz w:val="24"/>
        </w:rPr>
        <w:t>）</w:t>
      </w:r>
      <w:r w:rsidRPr="00F9522B">
        <w:rPr>
          <w:rFonts w:eastAsiaTheme="minorEastAsia"/>
          <w:snapToGrid w:val="0"/>
          <w:sz w:val="24"/>
        </w:rPr>
        <w:t>黑龙江呼兰河口湿地省级自然保护区</w:t>
      </w:r>
    </w:p>
    <w:p w:rsidR="0088710B" w:rsidRPr="00F9522B" w:rsidRDefault="00160559" w:rsidP="0088710B">
      <w:pPr>
        <w:spacing w:line="360" w:lineRule="auto"/>
        <w:ind w:firstLineChars="200" w:firstLine="480"/>
        <w:contextualSpacing/>
        <w:rPr>
          <w:rFonts w:eastAsiaTheme="minorEastAsia"/>
          <w:snapToGrid w:val="0"/>
          <w:sz w:val="24"/>
        </w:rPr>
      </w:pPr>
      <w:r w:rsidRPr="00F9522B">
        <w:rPr>
          <w:rFonts w:eastAsiaTheme="minorEastAsia"/>
          <w:snapToGrid w:val="0"/>
          <w:sz w:val="24"/>
        </w:rPr>
        <w:t>本项目现有公家沟农田退水口距离黑龙江呼兰河口湿地省级自然保护区约</w:t>
      </w:r>
      <w:r w:rsidRPr="00F9522B">
        <w:rPr>
          <w:rFonts w:eastAsiaTheme="minorEastAsia"/>
          <w:snapToGrid w:val="0"/>
          <w:sz w:val="24"/>
        </w:rPr>
        <w:t>2</w:t>
      </w:r>
      <w:r w:rsidR="00C50480" w:rsidRPr="00F9522B">
        <w:rPr>
          <w:rFonts w:eastAsiaTheme="minorEastAsia"/>
          <w:snapToGrid w:val="0"/>
          <w:sz w:val="24"/>
        </w:rPr>
        <w:t>5</w:t>
      </w:r>
      <w:r w:rsidRPr="00F9522B">
        <w:rPr>
          <w:rFonts w:eastAsiaTheme="minorEastAsia"/>
          <w:snapToGrid w:val="0"/>
          <w:sz w:val="24"/>
        </w:rPr>
        <w:t>m</w:t>
      </w:r>
      <w:r w:rsidR="0088710B" w:rsidRPr="00F9522B">
        <w:rPr>
          <w:rFonts w:eastAsiaTheme="minorEastAsia"/>
          <w:snapToGrid w:val="0"/>
          <w:sz w:val="24"/>
        </w:rPr>
        <w:t>。位置关系见图</w:t>
      </w:r>
      <w:r w:rsidR="0088710B" w:rsidRPr="00F9522B">
        <w:rPr>
          <w:rFonts w:eastAsiaTheme="minorEastAsia"/>
          <w:snapToGrid w:val="0"/>
          <w:sz w:val="24"/>
        </w:rPr>
        <w:t>2-8-1</w:t>
      </w:r>
      <w:r w:rsidR="0088710B" w:rsidRPr="00F9522B">
        <w:rPr>
          <w:rFonts w:eastAsiaTheme="minorEastAsia"/>
          <w:snapToGrid w:val="0"/>
          <w:sz w:val="24"/>
        </w:rPr>
        <w:t>。</w:t>
      </w:r>
    </w:p>
    <w:p w:rsidR="002A5A5E" w:rsidRPr="00F9522B" w:rsidRDefault="00611CBA">
      <w:pPr>
        <w:spacing w:line="360" w:lineRule="auto"/>
        <w:ind w:firstLineChars="200" w:firstLine="480"/>
        <w:contextualSpacing/>
        <w:rPr>
          <w:rFonts w:eastAsiaTheme="minorEastAsia"/>
          <w:snapToGrid w:val="0"/>
          <w:sz w:val="24"/>
        </w:rPr>
      </w:pPr>
      <w:r w:rsidRPr="00F9522B">
        <w:rPr>
          <w:rFonts w:eastAsiaTheme="minorEastAsia"/>
          <w:snapToGrid w:val="0"/>
          <w:sz w:val="24"/>
        </w:rPr>
        <w:t>黑龙江呼兰河口湿地省级自然保护区是</w:t>
      </w:r>
      <w:r w:rsidRPr="00F9522B">
        <w:rPr>
          <w:rFonts w:eastAsiaTheme="minorEastAsia"/>
          <w:snapToGrid w:val="0"/>
          <w:sz w:val="24"/>
        </w:rPr>
        <w:t>2008</w:t>
      </w:r>
      <w:r w:rsidRPr="00F9522B">
        <w:rPr>
          <w:rFonts w:eastAsiaTheme="minorEastAsia"/>
          <w:snapToGrid w:val="0"/>
          <w:sz w:val="24"/>
        </w:rPr>
        <w:t>年</w:t>
      </w:r>
      <w:r w:rsidRPr="00F9522B">
        <w:rPr>
          <w:rFonts w:eastAsiaTheme="minorEastAsia"/>
          <w:snapToGrid w:val="0"/>
          <w:sz w:val="24"/>
        </w:rPr>
        <w:t>1</w:t>
      </w:r>
      <w:r w:rsidRPr="00F9522B">
        <w:rPr>
          <w:rFonts w:eastAsiaTheme="minorEastAsia"/>
          <w:snapToGrid w:val="0"/>
          <w:sz w:val="24"/>
        </w:rPr>
        <w:t>月经黑龙江省人民政府（黑政函</w:t>
      </w:r>
      <w:r w:rsidRPr="00F9522B">
        <w:rPr>
          <w:rFonts w:eastAsiaTheme="minorEastAsia"/>
          <w:snapToGrid w:val="0"/>
          <w:sz w:val="24"/>
        </w:rPr>
        <w:t>2008[5]</w:t>
      </w:r>
      <w:r w:rsidRPr="00F9522B">
        <w:rPr>
          <w:rFonts w:eastAsiaTheme="minorEastAsia"/>
          <w:snapToGrid w:val="0"/>
          <w:sz w:val="24"/>
        </w:rPr>
        <w:t>号）批准建立的省级自然保护区。区行政边界江北中环路。保护区沿松花江北岸东西带状延伸，保护区东西长</w:t>
      </w:r>
      <w:r w:rsidRPr="00F9522B">
        <w:rPr>
          <w:rFonts w:eastAsiaTheme="minorEastAsia"/>
          <w:snapToGrid w:val="0"/>
          <w:sz w:val="24"/>
        </w:rPr>
        <w:t>46.56</w:t>
      </w:r>
      <w:r w:rsidRPr="00F9522B">
        <w:rPr>
          <w:rFonts w:eastAsiaTheme="minorEastAsia"/>
          <w:snapToGrid w:val="0"/>
          <w:sz w:val="24"/>
        </w:rPr>
        <w:t>公里，南北宽</w:t>
      </w:r>
      <w:r w:rsidRPr="00F9522B">
        <w:rPr>
          <w:rFonts w:eastAsiaTheme="minorEastAsia"/>
          <w:snapToGrid w:val="0"/>
          <w:sz w:val="24"/>
        </w:rPr>
        <w:t>25.94</w:t>
      </w:r>
      <w:r w:rsidRPr="00F9522B">
        <w:rPr>
          <w:rFonts w:eastAsiaTheme="minorEastAsia"/>
          <w:snapToGrid w:val="0"/>
          <w:sz w:val="24"/>
        </w:rPr>
        <w:t>公里，面积为</w:t>
      </w:r>
      <w:r w:rsidRPr="00F9522B">
        <w:rPr>
          <w:rFonts w:eastAsiaTheme="minorEastAsia"/>
          <w:snapToGrid w:val="0"/>
          <w:sz w:val="24"/>
        </w:rPr>
        <w:t>15688.58</w:t>
      </w:r>
      <w:r w:rsidRPr="00F9522B">
        <w:rPr>
          <w:rFonts w:eastAsiaTheme="minorEastAsia"/>
          <w:snapToGrid w:val="0"/>
          <w:sz w:val="24"/>
        </w:rPr>
        <w:t>公顷（核心区面积</w:t>
      </w:r>
      <w:r w:rsidRPr="00F9522B">
        <w:rPr>
          <w:rFonts w:eastAsiaTheme="minorEastAsia"/>
          <w:snapToGrid w:val="0"/>
          <w:sz w:val="24"/>
        </w:rPr>
        <w:t xml:space="preserve">6712.14 </w:t>
      </w:r>
      <w:r w:rsidRPr="00F9522B">
        <w:rPr>
          <w:rFonts w:eastAsiaTheme="minorEastAsia"/>
          <w:snapToGrid w:val="0"/>
          <w:sz w:val="24"/>
        </w:rPr>
        <w:t>公顷，占总面积</w:t>
      </w:r>
      <w:r w:rsidRPr="00F9522B">
        <w:rPr>
          <w:rFonts w:eastAsiaTheme="minorEastAsia"/>
          <w:snapToGrid w:val="0"/>
          <w:sz w:val="24"/>
        </w:rPr>
        <w:t>42.8%</w:t>
      </w:r>
      <w:r w:rsidRPr="00F9522B">
        <w:rPr>
          <w:rFonts w:eastAsiaTheme="minorEastAsia"/>
          <w:snapToGrid w:val="0"/>
          <w:sz w:val="24"/>
        </w:rPr>
        <w:t>；缓冲区面积</w:t>
      </w:r>
      <w:r w:rsidRPr="00F9522B">
        <w:rPr>
          <w:rFonts w:eastAsiaTheme="minorEastAsia"/>
          <w:snapToGrid w:val="0"/>
          <w:sz w:val="24"/>
        </w:rPr>
        <w:t>5593</w:t>
      </w:r>
      <w:r w:rsidRPr="00F9522B">
        <w:rPr>
          <w:rFonts w:eastAsiaTheme="minorEastAsia"/>
          <w:snapToGrid w:val="0"/>
          <w:sz w:val="24"/>
        </w:rPr>
        <w:t>公顷，占总面积</w:t>
      </w:r>
      <w:r w:rsidRPr="00F9522B">
        <w:rPr>
          <w:rFonts w:eastAsiaTheme="minorEastAsia"/>
          <w:snapToGrid w:val="0"/>
          <w:sz w:val="24"/>
        </w:rPr>
        <w:t>35.6%</w:t>
      </w:r>
      <w:r w:rsidRPr="00F9522B">
        <w:rPr>
          <w:rFonts w:eastAsiaTheme="minorEastAsia"/>
          <w:snapToGrid w:val="0"/>
          <w:sz w:val="24"/>
        </w:rPr>
        <w:t>；实验区面积</w:t>
      </w:r>
      <w:r w:rsidRPr="00F9522B">
        <w:rPr>
          <w:rFonts w:eastAsiaTheme="minorEastAsia"/>
          <w:snapToGrid w:val="0"/>
          <w:sz w:val="24"/>
        </w:rPr>
        <w:t>3383.77</w:t>
      </w:r>
      <w:r w:rsidRPr="00F9522B">
        <w:rPr>
          <w:rFonts w:eastAsiaTheme="minorEastAsia"/>
          <w:snapToGrid w:val="0"/>
          <w:sz w:val="24"/>
        </w:rPr>
        <w:t>公顷，占总面积</w:t>
      </w:r>
      <w:r w:rsidRPr="00F9522B">
        <w:rPr>
          <w:rFonts w:eastAsiaTheme="minorEastAsia"/>
          <w:snapToGrid w:val="0"/>
          <w:sz w:val="24"/>
        </w:rPr>
        <w:t>21.6%</w:t>
      </w:r>
      <w:r w:rsidRPr="00F9522B">
        <w:rPr>
          <w:rFonts w:eastAsiaTheme="minorEastAsia"/>
          <w:snapToGrid w:val="0"/>
          <w:sz w:val="24"/>
        </w:rPr>
        <w:t>）。</w:t>
      </w:r>
    </w:p>
    <w:p w:rsidR="002A5A5E" w:rsidRPr="00F9522B" w:rsidRDefault="00611CBA">
      <w:pPr>
        <w:spacing w:line="360" w:lineRule="auto"/>
        <w:ind w:firstLineChars="200" w:firstLine="480"/>
        <w:contextualSpacing/>
        <w:rPr>
          <w:rFonts w:eastAsiaTheme="minorEastAsia"/>
          <w:snapToGrid w:val="0"/>
          <w:sz w:val="24"/>
        </w:rPr>
      </w:pPr>
      <w:r w:rsidRPr="00F9522B">
        <w:rPr>
          <w:rFonts w:eastAsiaTheme="minorEastAsia"/>
          <w:snapToGrid w:val="0"/>
          <w:sz w:val="24"/>
        </w:rPr>
        <w:t>自然保护区</w:t>
      </w:r>
      <w:r w:rsidRPr="00F9522B">
        <w:rPr>
          <w:rFonts w:eastAsiaTheme="minorEastAsia"/>
          <w:snapToGrid w:val="0"/>
          <w:sz w:val="24"/>
        </w:rPr>
        <w:t>90%</w:t>
      </w:r>
      <w:r w:rsidRPr="00F9522B">
        <w:rPr>
          <w:rFonts w:eastAsiaTheme="minorEastAsia"/>
          <w:snapToGrid w:val="0"/>
          <w:sz w:val="24"/>
        </w:rPr>
        <w:t>以上面积为内陆水域，包括河流水面（松花江）和坑塘水面。其湿地生态系统在典型性和代表性方面存在不足，沼泽湿地面积占比较小，湿地类型相对单一，并非典型的或具有代表性的自然生态系统区域。该保护区保护对象是松嫩平原湿地生态系统及其野生动植物，保护对象不具备典型性和集中性，保护区内野生动植物在本地区乃至黑龙江省范围内属普遍分布，并非集中分布区，</w:t>
      </w:r>
      <w:r w:rsidRPr="00F9522B">
        <w:rPr>
          <w:rFonts w:eastAsiaTheme="minorEastAsia"/>
          <w:snapToGrid w:val="0"/>
          <w:sz w:val="24"/>
        </w:rPr>
        <w:lastRenderedPageBreak/>
        <w:t>不具备特殊保护价值。黑龙江呼兰河口湿地保护区近五年来生态保护成效通过了生态及林草部门的评估验收。</w:t>
      </w:r>
    </w:p>
    <w:p w:rsidR="002A5A5E" w:rsidRPr="00F9522B" w:rsidRDefault="00397301" w:rsidP="00397301">
      <w:pPr>
        <w:spacing w:line="360" w:lineRule="auto"/>
        <w:ind w:firstLineChars="182" w:firstLine="437"/>
        <w:rPr>
          <w:rFonts w:eastAsiaTheme="minorEastAsia"/>
          <w:snapToGrid w:val="0"/>
          <w:sz w:val="24"/>
        </w:rPr>
      </w:pPr>
      <w:r w:rsidRPr="00F9522B">
        <w:rPr>
          <w:rFonts w:eastAsiaTheme="minorEastAsia"/>
          <w:sz w:val="24"/>
        </w:rPr>
        <w:t>黑龙江呼兰河口湿地省级自然保护区为本项目地表水环境敏感目标，</w:t>
      </w:r>
      <w:r w:rsidRPr="00F9522B">
        <w:rPr>
          <w:rFonts w:eastAsiaTheme="minorEastAsia"/>
          <w:kern w:val="24"/>
          <w:sz w:val="24"/>
        </w:rPr>
        <w:t>大顶子山</w:t>
      </w:r>
      <w:r w:rsidRPr="00F9522B">
        <w:rPr>
          <w:rFonts w:eastAsiaTheme="minorEastAsia"/>
          <w:sz w:val="24"/>
        </w:rPr>
        <w:t>断面距离黑龙江呼兰河口湿地省级自然保护区约</w:t>
      </w:r>
      <w:r w:rsidRPr="00F9522B">
        <w:rPr>
          <w:rFonts w:eastAsiaTheme="minorEastAsia"/>
          <w:sz w:val="24"/>
        </w:rPr>
        <w:t>690m</w:t>
      </w:r>
      <w:r w:rsidRPr="00F9522B">
        <w:rPr>
          <w:rFonts w:eastAsiaTheme="minorEastAsia"/>
          <w:sz w:val="24"/>
        </w:rPr>
        <w:t>，参考该断面数据。</w:t>
      </w:r>
      <w:r w:rsidR="00611CBA" w:rsidRPr="00F9522B">
        <w:rPr>
          <w:rFonts w:eastAsiaTheme="minorEastAsia"/>
          <w:snapToGrid w:val="0"/>
          <w:sz w:val="24"/>
        </w:rPr>
        <w:t>根据章节</w:t>
      </w:r>
      <w:r w:rsidR="00611CBA" w:rsidRPr="00F9522B">
        <w:rPr>
          <w:rFonts w:eastAsiaTheme="minorEastAsia"/>
          <w:snapToGrid w:val="0"/>
          <w:sz w:val="24"/>
        </w:rPr>
        <w:t>5.2.2.1</w:t>
      </w:r>
      <w:r w:rsidR="00611CBA" w:rsidRPr="00F9522B">
        <w:rPr>
          <w:rFonts w:eastAsiaTheme="minorEastAsia"/>
          <w:snapToGrid w:val="0"/>
          <w:sz w:val="24"/>
        </w:rPr>
        <w:t>地表水环境影响分析可知，</w:t>
      </w:r>
      <w:r w:rsidR="0088710B" w:rsidRPr="00F9522B">
        <w:rPr>
          <w:rFonts w:eastAsiaTheme="minorEastAsia"/>
          <w:sz w:val="24"/>
        </w:rPr>
        <w:t>大顶子山</w:t>
      </w:r>
      <w:r w:rsidR="0088710B" w:rsidRPr="00F9522B">
        <w:rPr>
          <w:rFonts w:eastAsiaTheme="minorEastAsia"/>
          <w:bCs/>
          <w:kern w:val="0"/>
          <w:sz w:val="24"/>
          <w:szCs w:val="21"/>
        </w:rPr>
        <w:t>水质目标为</w:t>
      </w:r>
      <w:r w:rsidR="0088710B" w:rsidRPr="00F9522B">
        <w:rPr>
          <w:rFonts w:eastAsiaTheme="minorEastAsia"/>
          <w:bCs/>
          <w:kern w:val="0"/>
          <w:sz w:val="24"/>
          <w:szCs w:val="21"/>
        </w:rPr>
        <w:t>Ⅲ</w:t>
      </w:r>
      <w:r w:rsidR="0088710B" w:rsidRPr="00F9522B">
        <w:rPr>
          <w:rFonts w:eastAsiaTheme="minorEastAsia"/>
          <w:bCs/>
          <w:kern w:val="0"/>
          <w:sz w:val="24"/>
          <w:szCs w:val="21"/>
        </w:rPr>
        <w:t>类，</w:t>
      </w:r>
      <w:r w:rsidR="0088710B" w:rsidRPr="00F9522B">
        <w:rPr>
          <w:rFonts w:eastAsiaTheme="minorEastAsia"/>
          <w:bCs/>
          <w:kern w:val="0"/>
          <w:sz w:val="24"/>
          <w:szCs w:val="21"/>
        </w:rPr>
        <w:t>2025</w:t>
      </w:r>
      <w:r w:rsidR="0088710B" w:rsidRPr="00F9522B">
        <w:rPr>
          <w:rFonts w:eastAsiaTheme="minorEastAsia"/>
          <w:bCs/>
          <w:kern w:val="0"/>
          <w:sz w:val="24"/>
          <w:szCs w:val="21"/>
        </w:rPr>
        <w:t>年</w:t>
      </w:r>
      <w:r w:rsidR="0088710B" w:rsidRPr="00F9522B">
        <w:rPr>
          <w:rFonts w:eastAsiaTheme="minorEastAsia"/>
          <w:bCs/>
          <w:kern w:val="0"/>
          <w:sz w:val="24"/>
          <w:szCs w:val="21"/>
        </w:rPr>
        <w:t>1</w:t>
      </w:r>
      <w:r w:rsidR="0088710B" w:rsidRPr="00F9522B">
        <w:rPr>
          <w:rFonts w:eastAsiaTheme="minorEastAsia"/>
          <w:bCs/>
          <w:kern w:val="0"/>
          <w:sz w:val="24"/>
          <w:szCs w:val="21"/>
        </w:rPr>
        <w:t>月</w:t>
      </w:r>
      <w:r w:rsidR="0088710B" w:rsidRPr="00F9522B">
        <w:rPr>
          <w:rFonts w:eastAsiaTheme="minorEastAsia"/>
          <w:bCs/>
          <w:kern w:val="0"/>
          <w:sz w:val="24"/>
          <w:szCs w:val="21"/>
        </w:rPr>
        <w:t>-2026</w:t>
      </w:r>
      <w:r w:rsidR="0088710B" w:rsidRPr="00F9522B">
        <w:rPr>
          <w:rFonts w:eastAsiaTheme="minorEastAsia"/>
          <w:bCs/>
          <w:kern w:val="0"/>
          <w:sz w:val="24"/>
          <w:szCs w:val="21"/>
        </w:rPr>
        <w:t>年</w:t>
      </w:r>
      <w:r w:rsidR="0088710B" w:rsidRPr="00F9522B">
        <w:rPr>
          <w:rFonts w:eastAsiaTheme="minorEastAsia"/>
          <w:bCs/>
          <w:kern w:val="0"/>
          <w:sz w:val="24"/>
          <w:szCs w:val="21"/>
        </w:rPr>
        <w:t>3</w:t>
      </w:r>
      <w:r w:rsidR="0088710B" w:rsidRPr="00F9522B">
        <w:rPr>
          <w:rFonts w:eastAsiaTheme="minorEastAsia"/>
          <w:bCs/>
          <w:kern w:val="0"/>
          <w:sz w:val="24"/>
          <w:szCs w:val="21"/>
        </w:rPr>
        <w:t>月水质均达标，满足</w:t>
      </w:r>
      <w:r w:rsidR="0088710B" w:rsidRPr="00F9522B">
        <w:rPr>
          <w:rFonts w:eastAsiaTheme="minorEastAsia"/>
          <w:bCs/>
          <w:kern w:val="0"/>
          <w:sz w:val="24"/>
          <w:szCs w:val="21"/>
        </w:rPr>
        <w:t>Ⅲ</w:t>
      </w:r>
      <w:r w:rsidR="0088710B" w:rsidRPr="00F9522B">
        <w:rPr>
          <w:rFonts w:eastAsiaTheme="minorEastAsia"/>
          <w:bCs/>
          <w:kern w:val="0"/>
          <w:sz w:val="24"/>
          <w:szCs w:val="21"/>
        </w:rPr>
        <w:t>类</w:t>
      </w:r>
      <w:r w:rsidR="0088710B" w:rsidRPr="00F9522B">
        <w:rPr>
          <w:rFonts w:eastAsiaTheme="minorEastAsia"/>
          <w:sz w:val="24"/>
        </w:rPr>
        <w:t>水体类别要求</w:t>
      </w:r>
      <w:r w:rsidR="00611CBA" w:rsidRPr="00F9522B">
        <w:rPr>
          <w:rFonts w:eastAsiaTheme="minorEastAsia"/>
          <w:sz w:val="24"/>
        </w:rPr>
        <w:t>，退水期间与非退水期间水质变化不大。故本项目现有水田退水对黑龙江呼兰河口湿地省级自然保护区及</w:t>
      </w:r>
      <w:r w:rsidR="00904BE7" w:rsidRPr="00F9522B">
        <w:rPr>
          <w:rFonts w:eastAsiaTheme="minorEastAsia"/>
          <w:kern w:val="24"/>
          <w:sz w:val="24"/>
        </w:rPr>
        <w:t>大顶子山</w:t>
      </w:r>
      <w:r w:rsidR="00611CBA" w:rsidRPr="00F9522B">
        <w:rPr>
          <w:rFonts w:eastAsiaTheme="minorEastAsia"/>
          <w:sz w:val="24"/>
        </w:rPr>
        <w:t>断面造成影响较小。</w:t>
      </w:r>
    </w:p>
    <w:p w:rsidR="002A5A5E" w:rsidRPr="00F9522B" w:rsidRDefault="00611CBA">
      <w:pPr>
        <w:spacing w:line="360" w:lineRule="auto"/>
        <w:ind w:firstLineChars="200" w:firstLine="480"/>
        <w:contextualSpacing/>
        <w:rPr>
          <w:rFonts w:eastAsiaTheme="minorEastAsia"/>
          <w:snapToGrid w:val="0"/>
          <w:sz w:val="24"/>
        </w:rPr>
      </w:pPr>
      <w:r w:rsidRPr="00F9522B">
        <w:rPr>
          <w:rFonts w:eastAsiaTheme="minorEastAsia"/>
          <w:sz w:val="24"/>
        </w:rPr>
        <w:t>项目的地表水退水口利用现有。</w:t>
      </w:r>
      <w:r w:rsidRPr="00F9522B">
        <w:rPr>
          <w:rFonts w:eastAsiaTheme="minorEastAsia"/>
          <w:snapToGrid w:val="0"/>
          <w:sz w:val="24"/>
        </w:rPr>
        <w:t>由于工程的实施，减少渠道上的</w:t>
      </w:r>
      <w:r w:rsidRPr="00F9522B">
        <w:rPr>
          <w:rFonts w:eastAsiaTheme="minorEastAsia"/>
          <w:snapToGrid w:val="0"/>
          <w:sz w:val="24"/>
        </w:rPr>
        <w:t>“</w:t>
      </w:r>
      <w:r w:rsidRPr="00F9522B">
        <w:rPr>
          <w:rFonts w:eastAsiaTheme="minorEastAsia"/>
          <w:snapToGrid w:val="0"/>
          <w:sz w:val="24"/>
        </w:rPr>
        <w:t>跑、漏、冒</w:t>
      </w:r>
      <w:r w:rsidRPr="00F9522B">
        <w:rPr>
          <w:rFonts w:eastAsiaTheme="minorEastAsia"/>
          <w:snapToGrid w:val="0"/>
          <w:sz w:val="24"/>
        </w:rPr>
        <w:t>”</w:t>
      </w:r>
      <w:r w:rsidRPr="00F9522B">
        <w:rPr>
          <w:rFonts w:eastAsiaTheme="minorEastAsia"/>
          <w:snapToGrid w:val="0"/>
          <w:sz w:val="24"/>
        </w:rPr>
        <w:t>水现象，减少灌区引水量，节约了水资源，提升水资源利用效率，农田保水能力增强，工程实施前后取水量、退水量、污染物入河量均减少，对区域水文情势、鱼类栖息及繁殖、浮游生物、底栖动物、水生维管束植物产生有利影响。农田排水集中在</w:t>
      </w:r>
      <w:r w:rsidRPr="00F9522B">
        <w:rPr>
          <w:rFonts w:eastAsiaTheme="minorEastAsia"/>
          <w:snapToGrid w:val="0"/>
          <w:sz w:val="24"/>
        </w:rPr>
        <w:t>5</w:t>
      </w:r>
      <w:r w:rsidRPr="00F9522B">
        <w:rPr>
          <w:rFonts w:eastAsiaTheme="minorEastAsia"/>
          <w:snapToGrid w:val="0"/>
          <w:sz w:val="24"/>
        </w:rPr>
        <w:t>～</w:t>
      </w:r>
      <w:r w:rsidRPr="00F9522B">
        <w:rPr>
          <w:rFonts w:eastAsiaTheme="minorEastAsia"/>
          <w:snapToGrid w:val="0"/>
          <w:sz w:val="24"/>
        </w:rPr>
        <w:t>9</w:t>
      </w:r>
      <w:r w:rsidRPr="00F9522B">
        <w:rPr>
          <w:rFonts w:eastAsiaTheme="minorEastAsia"/>
          <w:snapToGrid w:val="0"/>
          <w:sz w:val="24"/>
        </w:rPr>
        <w:t>月份，正值丰水期，</w:t>
      </w:r>
      <w:r w:rsidR="00861722" w:rsidRPr="00F9522B">
        <w:rPr>
          <w:rFonts w:eastAsiaTheme="minorEastAsia"/>
          <w:sz w:val="24"/>
        </w:rPr>
        <w:t>松花江</w:t>
      </w:r>
      <w:r w:rsidRPr="00F9522B">
        <w:rPr>
          <w:rFonts w:eastAsiaTheme="minorEastAsia"/>
          <w:sz w:val="24"/>
          <w:szCs w:val="21"/>
        </w:rPr>
        <w:t>及</w:t>
      </w:r>
      <w:r w:rsidRPr="00F9522B">
        <w:rPr>
          <w:rFonts w:eastAsiaTheme="minorEastAsia"/>
          <w:sz w:val="24"/>
        </w:rPr>
        <w:t>黑龙江呼兰河口湿地省级自然保护区</w:t>
      </w:r>
      <w:r w:rsidRPr="00F9522B">
        <w:rPr>
          <w:rFonts w:eastAsiaTheme="minorEastAsia"/>
          <w:sz w:val="24"/>
          <w:szCs w:val="21"/>
        </w:rPr>
        <w:t>水量充沛</w:t>
      </w:r>
      <w:r w:rsidRPr="00F9522B">
        <w:rPr>
          <w:rFonts w:eastAsiaTheme="minorEastAsia"/>
          <w:snapToGrid w:val="0"/>
          <w:sz w:val="24"/>
        </w:rPr>
        <w:t>，进入水体的污染物将不同程度的被稀释和降解，对水质影响较小。项目施行</w:t>
      </w:r>
      <w:r w:rsidRPr="00F9522B">
        <w:rPr>
          <w:rFonts w:eastAsiaTheme="minorEastAsia"/>
          <w:snapToGrid w:val="0"/>
          <w:sz w:val="24"/>
        </w:rPr>
        <w:t>“</w:t>
      </w:r>
      <w:r w:rsidRPr="00F9522B">
        <w:rPr>
          <w:rFonts w:eastAsiaTheme="minorEastAsia"/>
          <w:snapToGrid w:val="0"/>
          <w:sz w:val="24"/>
        </w:rPr>
        <w:t>三减</w:t>
      </w:r>
      <w:r w:rsidRPr="00F9522B">
        <w:rPr>
          <w:rFonts w:eastAsiaTheme="minorEastAsia"/>
          <w:snapToGrid w:val="0"/>
          <w:sz w:val="24"/>
        </w:rPr>
        <w:t>”</w:t>
      </w:r>
      <w:r w:rsidRPr="00F9522B">
        <w:rPr>
          <w:rFonts w:eastAsiaTheme="minorEastAsia"/>
          <w:snapToGrid w:val="0"/>
          <w:sz w:val="24"/>
        </w:rPr>
        <w:t>行动，即减化肥、减农药、减除草剂，积极推广科学施肥，使化肥、农药实现减量化施用，实施测土配方施肥、水肥一体化等措施，控制农药、肥料施用种类及数量。</w:t>
      </w:r>
      <w:r w:rsidRPr="00F9522B">
        <w:rPr>
          <w:rFonts w:eastAsiaTheme="minorEastAsia"/>
          <w:sz w:val="24"/>
        </w:rPr>
        <w:t>项目建成后灌区</w:t>
      </w:r>
      <w:r w:rsidR="00861722" w:rsidRPr="00F9522B">
        <w:rPr>
          <w:rFonts w:eastAsiaTheme="minorEastAsia"/>
          <w:sz w:val="24"/>
        </w:rPr>
        <w:t>松花江</w:t>
      </w:r>
      <w:r w:rsidRPr="00F9522B">
        <w:rPr>
          <w:rFonts w:eastAsiaTheme="minorEastAsia"/>
          <w:sz w:val="24"/>
        </w:rPr>
        <w:t>退水口年退水量与现状相比</w:t>
      </w:r>
      <w:r w:rsidR="00F25A84" w:rsidRPr="00F9522B">
        <w:rPr>
          <w:rFonts w:eastAsiaTheme="minorEastAsia"/>
          <w:sz w:val="24"/>
        </w:rPr>
        <w:t>减少</w:t>
      </w:r>
      <w:r w:rsidR="00F25A84" w:rsidRPr="00F9522B">
        <w:rPr>
          <w:rFonts w:eastAsiaTheme="minorEastAsia"/>
          <w:sz w:val="24"/>
        </w:rPr>
        <w:t>10.4</w:t>
      </w:r>
      <w:r w:rsidR="00F25A84" w:rsidRPr="00F9522B">
        <w:rPr>
          <w:rFonts w:eastAsiaTheme="minorEastAsia"/>
          <w:sz w:val="24"/>
        </w:rPr>
        <w:t>万</w:t>
      </w:r>
      <w:r w:rsidRPr="00F9522B">
        <w:rPr>
          <w:rFonts w:eastAsiaTheme="minorEastAsia"/>
          <w:sz w:val="24"/>
        </w:rPr>
        <w:t>m</w:t>
      </w:r>
      <w:r w:rsidRPr="00F9522B">
        <w:rPr>
          <w:rFonts w:eastAsiaTheme="minorEastAsia"/>
          <w:sz w:val="24"/>
          <w:vertAlign w:val="superscript"/>
        </w:rPr>
        <w:t>3</w:t>
      </w:r>
      <w:r w:rsidRPr="00F9522B">
        <w:rPr>
          <w:rFonts w:eastAsiaTheme="minorEastAsia"/>
          <w:sz w:val="24"/>
        </w:rPr>
        <w:t>。</w:t>
      </w:r>
      <w:r w:rsidR="00E03AD9" w:rsidRPr="00F9522B">
        <w:rPr>
          <w:rFonts w:eastAsiaTheme="minorEastAsia"/>
          <w:bCs/>
          <w:sz w:val="24"/>
        </w:rPr>
        <w:t>COD</w:t>
      </w:r>
      <w:r w:rsidR="00E03AD9" w:rsidRPr="00F9522B">
        <w:rPr>
          <w:rFonts w:eastAsiaTheme="minorEastAsia"/>
          <w:bCs/>
          <w:sz w:val="24"/>
        </w:rPr>
        <w:t>、氨氮、总磷及总氮排放量分别减少</w:t>
      </w:r>
      <w:r w:rsidR="00E03AD9" w:rsidRPr="00F9522B">
        <w:rPr>
          <w:rFonts w:eastAsiaTheme="minorEastAsia"/>
          <w:bCs/>
          <w:sz w:val="24"/>
        </w:rPr>
        <w:t>5.462t/a</w:t>
      </w:r>
      <w:r w:rsidR="00E03AD9" w:rsidRPr="00F9522B">
        <w:rPr>
          <w:rFonts w:eastAsiaTheme="minorEastAsia"/>
          <w:bCs/>
          <w:sz w:val="24"/>
        </w:rPr>
        <w:t>、</w:t>
      </w:r>
      <w:r w:rsidR="00E03AD9" w:rsidRPr="00F9522B">
        <w:rPr>
          <w:rFonts w:eastAsiaTheme="minorEastAsia"/>
          <w:bCs/>
          <w:sz w:val="24"/>
        </w:rPr>
        <w:t>0.131t/a</w:t>
      </w:r>
      <w:r w:rsidR="00E03AD9" w:rsidRPr="00F9522B">
        <w:rPr>
          <w:rFonts w:eastAsiaTheme="minorEastAsia"/>
          <w:bCs/>
          <w:sz w:val="24"/>
        </w:rPr>
        <w:t>、</w:t>
      </w:r>
      <w:r w:rsidR="00E03AD9" w:rsidRPr="00F9522B">
        <w:rPr>
          <w:rFonts w:eastAsiaTheme="minorEastAsia"/>
          <w:bCs/>
          <w:sz w:val="24"/>
        </w:rPr>
        <w:t>0.191t/a</w:t>
      </w:r>
      <w:r w:rsidR="00E03AD9" w:rsidRPr="00F9522B">
        <w:rPr>
          <w:rFonts w:eastAsiaTheme="minorEastAsia"/>
          <w:bCs/>
          <w:sz w:val="24"/>
        </w:rPr>
        <w:t>、</w:t>
      </w:r>
      <w:r w:rsidR="00E03AD9" w:rsidRPr="00F9522B">
        <w:rPr>
          <w:rFonts w:eastAsiaTheme="minorEastAsia"/>
          <w:bCs/>
          <w:sz w:val="24"/>
        </w:rPr>
        <w:t>0.435t/a</w:t>
      </w:r>
      <w:r w:rsidR="00E03AD9" w:rsidRPr="00F9522B">
        <w:rPr>
          <w:rFonts w:eastAsiaTheme="minorEastAsia"/>
          <w:bCs/>
          <w:sz w:val="24"/>
        </w:rPr>
        <w:t>。</w:t>
      </w:r>
      <w:r w:rsidRPr="00F9522B">
        <w:rPr>
          <w:rFonts w:eastAsiaTheme="minorEastAsia"/>
          <w:snapToGrid w:val="0"/>
          <w:sz w:val="24"/>
        </w:rPr>
        <w:t>故工程实施后</w:t>
      </w:r>
      <w:r w:rsidRPr="00F9522B">
        <w:rPr>
          <w:rFonts w:eastAsiaTheme="minorEastAsia"/>
          <w:bCs/>
          <w:kern w:val="0"/>
          <w:sz w:val="24"/>
        </w:rPr>
        <w:t>本项目退水</w:t>
      </w:r>
      <w:r w:rsidRPr="00F9522B">
        <w:rPr>
          <w:rFonts w:eastAsiaTheme="minorEastAsia"/>
          <w:snapToGrid w:val="0"/>
          <w:sz w:val="24"/>
        </w:rPr>
        <w:t>对</w:t>
      </w:r>
      <w:r w:rsidRPr="00F9522B">
        <w:rPr>
          <w:rFonts w:eastAsiaTheme="minorEastAsia"/>
          <w:bCs/>
          <w:kern w:val="0"/>
          <w:sz w:val="24"/>
        </w:rPr>
        <w:t>保护区野生动植物生境及</w:t>
      </w:r>
      <w:r w:rsidRPr="00F9522B">
        <w:rPr>
          <w:rFonts w:eastAsiaTheme="minorEastAsia"/>
          <w:snapToGrid w:val="0"/>
          <w:sz w:val="24"/>
        </w:rPr>
        <w:t>水生生态环境起到一定改善作用。无需建设退水水质提升设施。</w:t>
      </w:r>
    </w:p>
    <w:p w:rsidR="002A5A5E" w:rsidRPr="00F9522B" w:rsidRDefault="00611CBA">
      <w:pPr>
        <w:spacing w:line="360" w:lineRule="auto"/>
        <w:ind w:firstLineChars="200" w:firstLine="480"/>
        <w:contextualSpacing/>
        <w:rPr>
          <w:rFonts w:eastAsiaTheme="minorEastAsia"/>
          <w:kern w:val="0"/>
          <w:sz w:val="24"/>
        </w:rPr>
      </w:pPr>
      <w:r w:rsidRPr="00F9522B">
        <w:rPr>
          <w:rFonts w:eastAsiaTheme="minorEastAsia"/>
          <w:kern w:val="0"/>
          <w:sz w:val="24"/>
        </w:rPr>
        <w:t>（</w:t>
      </w:r>
      <w:r w:rsidR="00861722" w:rsidRPr="00F9522B">
        <w:rPr>
          <w:rFonts w:eastAsiaTheme="minorEastAsia"/>
          <w:kern w:val="0"/>
          <w:sz w:val="24"/>
        </w:rPr>
        <w:t>4</w:t>
      </w:r>
      <w:r w:rsidRPr="00F9522B">
        <w:rPr>
          <w:rFonts w:eastAsiaTheme="minorEastAsia"/>
          <w:kern w:val="0"/>
          <w:sz w:val="24"/>
        </w:rPr>
        <w:t>）水文情势影响</w:t>
      </w:r>
    </w:p>
    <w:p w:rsidR="002A5A5E" w:rsidRPr="00F9522B" w:rsidRDefault="00611CBA">
      <w:pPr>
        <w:spacing w:line="360" w:lineRule="auto"/>
        <w:ind w:firstLineChars="200" w:firstLine="480"/>
        <w:contextualSpacing/>
        <w:rPr>
          <w:rFonts w:eastAsiaTheme="minorEastAsia"/>
          <w:sz w:val="24"/>
        </w:rPr>
      </w:pPr>
      <w:r w:rsidRPr="00F9522B">
        <w:rPr>
          <w:rFonts w:eastAsiaTheme="minorEastAsia"/>
          <w:kern w:val="0"/>
          <w:sz w:val="24"/>
        </w:rPr>
        <w:t>项目实施后，农田退水</w:t>
      </w:r>
      <w:r w:rsidRPr="00F9522B">
        <w:rPr>
          <w:rFonts w:eastAsiaTheme="minorEastAsia"/>
          <w:sz w:val="24"/>
        </w:rPr>
        <w:t>与现状相比</w:t>
      </w:r>
      <w:r w:rsidR="004A0FF6" w:rsidRPr="00F9522B">
        <w:rPr>
          <w:rFonts w:eastAsiaTheme="minorEastAsia"/>
          <w:sz w:val="24"/>
        </w:rPr>
        <w:t>减少</w:t>
      </w:r>
      <w:r w:rsidR="004A0FF6" w:rsidRPr="00F9522B">
        <w:rPr>
          <w:rFonts w:eastAsiaTheme="minorEastAsia"/>
          <w:sz w:val="24"/>
        </w:rPr>
        <w:t>15</w:t>
      </w:r>
      <w:r w:rsidR="004A0FF6" w:rsidRPr="00F9522B">
        <w:rPr>
          <w:rFonts w:eastAsiaTheme="minorEastAsia"/>
          <w:sz w:val="24"/>
        </w:rPr>
        <w:t>万</w:t>
      </w:r>
      <w:r w:rsidRPr="00F9522B">
        <w:rPr>
          <w:rFonts w:eastAsiaTheme="minorEastAsia"/>
          <w:sz w:val="24"/>
        </w:rPr>
        <w:t>m</w:t>
      </w:r>
      <w:r w:rsidRPr="00F9522B">
        <w:rPr>
          <w:rFonts w:eastAsiaTheme="minorEastAsia"/>
          <w:sz w:val="24"/>
          <w:vertAlign w:val="superscript"/>
        </w:rPr>
        <w:t>3</w:t>
      </w:r>
      <w:r w:rsidRPr="00F9522B">
        <w:rPr>
          <w:rFonts w:eastAsiaTheme="minorEastAsia"/>
          <w:sz w:val="24"/>
        </w:rPr>
        <w:t>。本项目农田退水具有周期性，集中在</w:t>
      </w:r>
      <w:r w:rsidRPr="00F9522B">
        <w:rPr>
          <w:rFonts w:eastAsiaTheme="minorEastAsia"/>
          <w:sz w:val="24"/>
        </w:rPr>
        <w:t>5</w:t>
      </w:r>
      <w:r w:rsidRPr="00F9522B">
        <w:rPr>
          <w:rFonts w:eastAsiaTheme="minorEastAsia"/>
          <w:sz w:val="24"/>
        </w:rPr>
        <w:t>～</w:t>
      </w:r>
      <w:r w:rsidRPr="00F9522B">
        <w:rPr>
          <w:rFonts w:eastAsiaTheme="minorEastAsia"/>
          <w:sz w:val="24"/>
        </w:rPr>
        <w:t>9</w:t>
      </w:r>
      <w:r w:rsidRPr="00F9522B">
        <w:rPr>
          <w:rFonts w:eastAsiaTheme="minorEastAsia"/>
          <w:sz w:val="24"/>
        </w:rPr>
        <w:t>月份，退水量减少将会导致地表水流量、水温、水位等短时发生变化。</w:t>
      </w:r>
    </w:p>
    <w:p w:rsidR="002A5A5E" w:rsidRPr="00F9522B" w:rsidRDefault="00611CBA">
      <w:pPr>
        <w:spacing w:line="360" w:lineRule="auto"/>
        <w:ind w:firstLineChars="200" w:firstLine="480"/>
        <w:contextualSpacing/>
        <w:rPr>
          <w:rFonts w:eastAsiaTheme="minorEastAsia"/>
          <w:kern w:val="0"/>
          <w:sz w:val="24"/>
        </w:rPr>
      </w:pPr>
      <w:r w:rsidRPr="00F9522B">
        <w:rPr>
          <w:rFonts w:eastAsiaTheme="minorEastAsia"/>
          <w:kern w:val="0"/>
          <w:sz w:val="24"/>
        </w:rPr>
        <w:t>水位、流量、流速是鱼类生殖、索饵洄游的重要因素，尤其在繁殖期流量、流速对鱼类的繁殖</w:t>
      </w:r>
      <w:r w:rsidR="00A4540D" w:rsidRPr="00F9522B">
        <w:rPr>
          <w:rFonts w:eastAsiaTheme="minorEastAsia"/>
          <w:kern w:val="0"/>
          <w:sz w:val="24"/>
        </w:rPr>
        <w:t>尤</w:t>
      </w:r>
      <w:r w:rsidRPr="00F9522B">
        <w:rPr>
          <w:rFonts w:eastAsiaTheme="minorEastAsia"/>
          <w:kern w:val="0"/>
          <w:sz w:val="24"/>
        </w:rPr>
        <w:t>为重要。不同鱼类繁殖对流量、流速要求各有差异。流速、流量是鱼类繁殖的外在因素，通过流速的刺激可加速性腺成熟、刺激内分泌加大，促进繁殖。特别是对产漂流性、漂浮性鱼类更为重要，流速的大小直接影响鱼类繁殖、孵化效果和鱼苗成活率。一些鲤科鱼类的繁殖除对流速、流量有一定要求</w:t>
      </w:r>
      <w:r w:rsidRPr="00F9522B">
        <w:rPr>
          <w:rFonts w:eastAsiaTheme="minorEastAsia"/>
          <w:kern w:val="0"/>
          <w:sz w:val="24"/>
        </w:rPr>
        <w:lastRenderedPageBreak/>
        <w:t>外，水位的变化也是影响鱼类繁殖的重要因素，除了水位上涨带来的刺激外，沿岸带大量淹没的植物也是重要外界因素之一，为其提供了良好的产卵条件。水位降低使得产黏性卵、底质鱼类的产卵场丧失，同时由于水位降低，已经产在沿岸带黏在水生维管植物上、底质的鱼卵会因离水而死亡，从而影响鱼类繁殖效果和资源量。</w:t>
      </w:r>
    </w:p>
    <w:p w:rsidR="00A851F4" w:rsidRPr="00F9522B" w:rsidRDefault="00A851F4">
      <w:pPr>
        <w:spacing w:line="360" w:lineRule="auto"/>
        <w:ind w:firstLineChars="200" w:firstLine="480"/>
        <w:contextualSpacing/>
        <w:rPr>
          <w:rFonts w:eastAsiaTheme="minorEastAsia"/>
          <w:sz w:val="24"/>
        </w:rPr>
      </w:pPr>
      <w:r w:rsidRPr="00F9522B">
        <w:rPr>
          <w:rFonts w:eastAsiaTheme="minorEastAsia"/>
          <w:sz w:val="24"/>
        </w:rPr>
        <w:t>本项目农田退水集中在</w:t>
      </w:r>
      <w:r w:rsidRPr="00F9522B">
        <w:rPr>
          <w:rFonts w:eastAsiaTheme="minorEastAsia"/>
          <w:sz w:val="24"/>
        </w:rPr>
        <w:t>5</w:t>
      </w:r>
      <w:r w:rsidRPr="00F9522B">
        <w:rPr>
          <w:rFonts w:eastAsiaTheme="minorEastAsia"/>
          <w:sz w:val="24"/>
        </w:rPr>
        <w:t>～</w:t>
      </w:r>
      <w:r w:rsidRPr="00F9522B">
        <w:rPr>
          <w:rFonts w:eastAsiaTheme="minorEastAsia"/>
          <w:sz w:val="24"/>
        </w:rPr>
        <w:t>9</w:t>
      </w:r>
      <w:r w:rsidRPr="00F9522B">
        <w:rPr>
          <w:rFonts w:eastAsiaTheme="minorEastAsia"/>
          <w:sz w:val="24"/>
        </w:rPr>
        <w:t>月份，入松花江退水口年退水量与现状相比减少</w:t>
      </w:r>
      <w:r w:rsidRPr="00F9522B">
        <w:rPr>
          <w:rFonts w:eastAsiaTheme="minorEastAsia"/>
          <w:sz w:val="24"/>
        </w:rPr>
        <w:t>10.4</w:t>
      </w:r>
      <w:r w:rsidRPr="00F9522B">
        <w:rPr>
          <w:rFonts w:eastAsiaTheme="minorEastAsia"/>
          <w:sz w:val="24"/>
        </w:rPr>
        <w:t>万</w:t>
      </w:r>
      <w:r w:rsidRPr="00F9522B">
        <w:rPr>
          <w:rFonts w:eastAsiaTheme="minorEastAsia"/>
          <w:sz w:val="24"/>
        </w:rPr>
        <w:t>m</w:t>
      </w:r>
      <w:r w:rsidRPr="00F9522B">
        <w:rPr>
          <w:rFonts w:eastAsiaTheme="minorEastAsia"/>
          <w:sz w:val="24"/>
          <w:vertAlign w:val="superscript"/>
        </w:rPr>
        <w:t>3</w:t>
      </w:r>
      <w:r w:rsidRPr="00F9522B">
        <w:rPr>
          <w:rFonts w:eastAsiaTheme="minorEastAsia"/>
          <w:sz w:val="24"/>
        </w:rPr>
        <w:t>，松花江流域多年平均年径流量约为</w:t>
      </w:r>
      <w:r w:rsidRPr="00F9522B">
        <w:rPr>
          <w:rFonts w:eastAsiaTheme="minorEastAsia"/>
          <w:sz w:val="24"/>
        </w:rPr>
        <w:t> </w:t>
      </w:r>
      <w:r w:rsidRPr="00F9522B">
        <w:rPr>
          <w:rFonts w:eastAsiaTheme="minorEastAsia"/>
          <w:bCs/>
          <w:sz w:val="24"/>
        </w:rPr>
        <w:t>762</w:t>
      </w:r>
      <w:r w:rsidRPr="00F9522B">
        <w:rPr>
          <w:rFonts w:eastAsiaTheme="minorEastAsia"/>
          <w:bCs/>
          <w:sz w:val="24"/>
        </w:rPr>
        <w:t>亿</w:t>
      </w:r>
      <w:r w:rsidRPr="00F9522B">
        <w:rPr>
          <w:rFonts w:eastAsiaTheme="minorEastAsia"/>
          <w:sz w:val="24"/>
        </w:rPr>
        <w:t>m</w:t>
      </w:r>
      <w:r w:rsidRPr="00F9522B">
        <w:rPr>
          <w:rFonts w:eastAsiaTheme="minorEastAsia"/>
          <w:sz w:val="24"/>
          <w:vertAlign w:val="superscript"/>
        </w:rPr>
        <w:t>3</w:t>
      </w:r>
      <w:r w:rsidRPr="00F9522B">
        <w:rPr>
          <w:rFonts w:eastAsiaTheme="minorEastAsia"/>
          <w:sz w:val="24"/>
        </w:rPr>
        <w:t>，退水减少量占比约为</w:t>
      </w:r>
      <w:r w:rsidRPr="00F9522B">
        <w:rPr>
          <w:rFonts w:eastAsiaTheme="minorEastAsia"/>
          <w:sz w:val="24"/>
        </w:rPr>
        <w:t>0.00014%</w:t>
      </w:r>
      <w:r w:rsidRPr="00F9522B">
        <w:rPr>
          <w:rFonts w:eastAsiaTheme="minorEastAsia"/>
          <w:sz w:val="24"/>
        </w:rPr>
        <w:t>。漂河退水量与现状相比减少</w:t>
      </w:r>
      <w:r w:rsidRPr="00F9522B">
        <w:rPr>
          <w:rFonts w:eastAsiaTheme="minorEastAsia"/>
          <w:sz w:val="24"/>
        </w:rPr>
        <w:t>4.6</w:t>
      </w:r>
      <w:r w:rsidRPr="00F9522B">
        <w:rPr>
          <w:rFonts w:eastAsiaTheme="minorEastAsia"/>
          <w:sz w:val="24"/>
        </w:rPr>
        <w:t>万</w:t>
      </w:r>
      <w:r w:rsidRPr="00F9522B">
        <w:rPr>
          <w:rFonts w:eastAsiaTheme="minorEastAsia"/>
          <w:sz w:val="24"/>
        </w:rPr>
        <w:t>m</w:t>
      </w:r>
      <w:r w:rsidRPr="00F9522B">
        <w:rPr>
          <w:rFonts w:eastAsiaTheme="minorEastAsia"/>
          <w:sz w:val="24"/>
          <w:vertAlign w:val="superscript"/>
        </w:rPr>
        <w:t>3</w:t>
      </w:r>
      <w:r w:rsidRPr="00F9522B">
        <w:rPr>
          <w:rFonts w:eastAsiaTheme="minorEastAsia"/>
          <w:sz w:val="24"/>
        </w:rPr>
        <w:t>，漂河流域多年平均年径流量约为</w:t>
      </w:r>
      <w:r w:rsidRPr="00F9522B">
        <w:rPr>
          <w:rFonts w:eastAsiaTheme="minorEastAsia"/>
          <w:sz w:val="24"/>
        </w:rPr>
        <w:t> </w:t>
      </w:r>
      <w:r w:rsidRPr="00F9522B">
        <w:rPr>
          <w:rFonts w:eastAsiaTheme="minorEastAsia"/>
          <w:bCs/>
          <w:sz w:val="24"/>
        </w:rPr>
        <w:t>0.4</w:t>
      </w:r>
      <w:r w:rsidRPr="00F9522B">
        <w:rPr>
          <w:rFonts w:eastAsiaTheme="minorEastAsia"/>
          <w:bCs/>
          <w:sz w:val="24"/>
        </w:rPr>
        <w:t>亿</w:t>
      </w:r>
      <w:r w:rsidRPr="00F9522B">
        <w:rPr>
          <w:rFonts w:eastAsiaTheme="minorEastAsia"/>
          <w:sz w:val="24"/>
        </w:rPr>
        <w:t>m</w:t>
      </w:r>
      <w:r w:rsidRPr="00F9522B">
        <w:rPr>
          <w:rFonts w:eastAsiaTheme="minorEastAsia"/>
          <w:sz w:val="24"/>
          <w:vertAlign w:val="superscript"/>
        </w:rPr>
        <w:t>3</w:t>
      </w:r>
      <w:r w:rsidRPr="00F9522B">
        <w:rPr>
          <w:rFonts w:eastAsiaTheme="minorEastAsia"/>
          <w:sz w:val="24"/>
        </w:rPr>
        <w:t>，退水减少量占比约为</w:t>
      </w:r>
      <w:r w:rsidRPr="00F9522B">
        <w:rPr>
          <w:rFonts w:eastAsiaTheme="minorEastAsia"/>
          <w:sz w:val="24"/>
        </w:rPr>
        <w:t>0.1%</w:t>
      </w:r>
      <w:r w:rsidRPr="00F9522B">
        <w:rPr>
          <w:rFonts w:eastAsiaTheme="minorEastAsia"/>
          <w:sz w:val="24"/>
        </w:rPr>
        <w:t>。占比极小，故不会对已形成的现有的水域形态、径流条件、水力条件以及冲於条件等造成显著影响。</w:t>
      </w:r>
    </w:p>
    <w:p w:rsidR="002A5A5E" w:rsidRPr="00F9522B" w:rsidRDefault="00611CBA">
      <w:pPr>
        <w:spacing w:line="360" w:lineRule="auto"/>
        <w:ind w:firstLineChars="200" w:firstLine="480"/>
        <w:contextualSpacing/>
        <w:rPr>
          <w:rFonts w:eastAsiaTheme="minorEastAsia"/>
          <w:sz w:val="24"/>
        </w:rPr>
      </w:pPr>
      <w:r w:rsidRPr="00F9522B">
        <w:rPr>
          <w:rFonts w:eastAsiaTheme="minorEastAsia"/>
          <w:sz w:val="24"/>
        </w:rPr>
        <w:t>评价区域无国家重点保护、珍贵濒危水生野生动物和重要经济鱼类</w:t>
      </w:r>
      <w:r w:rsidRPr="00F9522B">
        <w:rPr>
          <w:rFonts w:eastAsiaTheme="minorEastAsia"/>
          <w:sz w:val="24"/>
        </w:rPr>
        <w:t>“</w:t>
      </w:r>
      <w:r w:rsidRPr="00F9522B">
        <w:rPr>
          <w:rFonts w:eastAsiaTheme="minorEastAsia"/>
          <w:sz w:val="24"/>
        </w:rPr>
        <w:t>三场</w:t>
      </w:r>
      <w:r w:rsidRPr="00F9522B">
        <w:rPr>
          <w:rFonts w:eastAsiaTheme="minorEastAsia"/>
          <w:sz w:val="24"/>
        </w:rPr>
        <w:t>”</w:t>
      </w:r>
      <w:r w:rsidRPr="00F9522B">
        <w:rPr>
          <w:rFonts w:eastAsiaTheme="minorEastAsia"/>
          <w:sz w:val="24"/>
        </w:rPr>
        <w:t>分布，因此退水减少对国家重点保护、珍贵濒危水生野生动物产卵繁殖无影响。</w:t>
      </w:r>
    </w:p>
    <w:p w:rsidR="002A5A5E" w:rsidRPr="00F9522B" w:rsidRDefault="00611CBA">
      <w:pPr>
        <w:spacing w:line="360" w:lineRule="auto"/>
        <w:ind w:firstLineChars="200" w:firstLine="480"/>
        <w:contextualSpacing/>
        <w:rPr>
          <w:rFonts w:eastAsiaTheme="minorEastAsia"/>
          <w:sz w:val="24"/>
        </w:rPr>
      </w:pPr>
      <w:r w:rsidRPr="00F9522B">
        <w:rPr>
          <w:rFonts w:eastAsiaTheme="minorEastAsia"/>
          <w:sz w:val="24"/>
        </w:rPr>
        <w:t>浮游生物是水体中鱼类等水生动物的重要的饵料基础，不同水体、环境的浮游生物无论种类、密度、生物量都有较大的差别。本项目依托现有退水口，退水减少量相对退水河流流域多年平均年径流量占比极小，河流整体形态仍然保持原始状态，浮游生物种类、密度、生物量没有发生较大的变化。不会导致沿岸带底栖动物死亡，整体而言底栖动物密度和生物量受到的影响较小。</w:t>
      </w:r>
    </w:p>
    <w:p w:rsidR="002A5A5E" w:rsidRPr="00F9522B" w:rsidRDefault="00611CBA">
      <w:pPr>
        <w:spacing w:line="360" w:lineRule="auto"/>
        <w:ind w:firstLineChars="200" w:firstLine="480"/>
        <w:contextualSpacing/>
        <w:rPr>
          <w:rFonts w:eastAsiaTheme="minorEastAsia"/>
          <w:kern w:val="0"/>
          <w:sz w:val="24"/>
        </w:rPr>
      </w:pPr>
      <w:r w:rsidRPr="00F9522B">
        <w:rPr>
          <w:rFonts w:eastAsiaTheme="minorEastAsia"/>
          <w:kern w:val="0"/>
          <w:sz w:val="24"/>
        </w:rPr>
        <w:t>（</w:t>
      </w:r>
      <w:r w:rsidRPr="00F9522B">
        <w:rPr>
          <w:rFonts w:eastAsiaTheme="minorEastAsia"/>
          <w:kern w:val="0"/>
          <w:sz w:val="24"/>
        </w:rPr>
        <w:t>6</w:t>
      </w:r>
      <w:r w:rsidRPr="00F9522B">
        <w:rPr>
          <w:rFonts w:eastAsiaTheme="minorEastAsia"/>
          <w:kern w:val="0"/>
          <w:sz w:val="24"/>
        </w:rPr>
        <w:t>）项目实施后现有生态问题的演变及发展趋势分析</w:t>
      </w:r>
    </w:p>
    <w:p w:rsidR="002A5A5E" w:rsidRPr="00F9522B" w:rsidRDefault="00611CBA">
      <w:pPr>
        <w:spacing w:line="360" w:lineRule="auto"/>
        <w:ind w:firstLineChars="200" w:firstLine="480"/>
        <w:contextualSpacing/>
        <w:rPr>
          <w:rFonts w:eastAsiaTheme="minorEastAsia"/>
          <w:sz w:val="24"/>
        </w:rPr>
      </w:pPr>
      <w:r w:rsidRPr="00F9522B">
        <w:rPr>
          <w:rFonts w:eastAsiaTheme="minorEastAsia"/>
          <w:sz w:val="24"/>
        </w:rPr>
        <w:t>根据评价区现有生态环境问题调查结果，灌区干渠上现有部分涵洞等渠系建筑物已到达合理使用年限，老化破损严重，年久失修，无法继续满足基本灌溉需求；渠道衬砌长度较短，渗漏损失大，导致渠道输水效率低，部分输水渠段跑、冒、漏严重，致使渠道沿程水损失较大，水资源浪费严重。项目区部分排水沟淤积严重，排水不畅。本</w:t>
      </w:r>
      <w:r w:rsidRPr="00F9522B">
        <w:rPr>
          <w:rFonts w:eastAsiaTheme="minorEastAsia"/>
          <w:kern w:val="0"/>
          <w:sz w:val="24"/>
        </w:rPr>
        <w:t>项目对</w:t>
      </w:r>
      <w:r w:rsidRPr="00F9522B">
        <w:rPr>
          <w:rFonts w:eastAsiaTheme="minorEastAsia"/>
          <w:sz w:val="24"/>
        </w:rPr>
        <w:t>渠道进行衬砌，对建筑物进行新建或拆除重建，对部分现有排水沟进行清淤、衬砌。</w:t>
      </w:r>
    </w:p>
    <w:p w:rsidR="002A5A5E" w:rsidRPr="00F9522B" w:rsidRDefault="00611CBA">
      <w:pPr>
        <w:spacing w:line="360" w:lineRule="auto"/>
        <w:ind w:firstLineChars="200" w:firstLine="480"/>
        <w:contextualSpacing/>
        <w:rPr>
          <w:rFonts w:eastAsiaTheme="minorEastAsia"/>
          <w:sz w:val="24"/>
        </w:rPr>
      </w:pPr>
      <w:r w:rsidRPr="00F9522B">
        <w:rPr>
          <w:rFonts w:eastAsiaTheme="minorEastAsia"/>
          <w:kern w:val="0"/>
          <w:sz w:val="24"/>
        </w:rPr>
        <w:t>项目实施后，水资源得到充分利用，减少渠道</w:t>
      </w:r>
      <w:r w:rsidRPr="00F9522B">
        <w:rPr>
          <w:rFonts w:eastAsiaTheme="minorEastAsia"/>
          <w:sz w:val="24"/>
        </w:rPr>
        <w:t>跑、冒、漏，</w:t>
      </w:r>
      <w:r w:rsidRPr="00F9522B">
        <w:rPr>
          <w:rFonts w:eastAsiaTheme="minorEastAsia"/>
          <w:kern w:val="0"/>
          <w:sz w:val="24"/>
          <w:szCs w:val="21"/>
        </w:rPr>
        <w:t>减轻水土流失，</w:t>
      </w:r>
      <w:r w:rsidRPr="00F9522B">
        <w:rPr>
          <w:rFonts w:eastAsiaTheme="minorEastAsia"/>
          <w:sz w:val="24"/>
        </w:rPr>
        <w:t>提高水资源利用效率，节约了水资源，满足灌溉需求，排水沟排水通畅。</w:t>
      </w:r>
      <w:r w:rsidRPr="00F9522B">
        <w:rPr>
          <w:rFonts w:eastAsiaTheme="minorEastAsia"/>
          <w:kern w:val="0"/>
          <w:sz w:val="24"/>
          <w:szCs w:val="21"/>
        </w:rPr>
        <w:t>使区域土壤保水保肥能力提升。</w:t>
      </w:r>
    </w:p>
    <w:p w:rsidR="002A5A5E" w:rsidRPr="00F9522B" w:rsidRDefault="00611CBA">
      <w:pPr>
        <w:spacing w:line="360" w:lineRule="auto"/>
        <w:ind w:firstLineChars="200" w:firstLine="480"/>
        <w:contextualSpacing/>
        <w:rPr>
          <w:rFonts w:eastAsiaTheme="minorEastAsia"/>
          <w:kern w:val="0"/>
          <w:sz w:val="24"/>
        </w:rPr>
      </w:pPr>
      <w:r w:rsidRPr="00F9522B">
        <w:rPr>
          <w:rFonts w:eastAsiaTheme="minorEastAsia"/>
          <w:sz w:val="24"/>
        </w:rPr>
        <w:t>农田退水对水环境产生一定的影响。运行期加强管理，科学、合理使用化肥，减少农药化肥的施用。</w:t>
      </w:r>
      <w:r w:rsidRPr="00F9522B">
        <w:rPr>
          <w:rFonts w:eastAsiaTheme="minorEastAsia"/>
          <w:smallCaps/>
          <w:sz w:val="24"/>
        </w:rPr>
        <w:t>由于工程的实施，</w:t>
      </w:r>
      <w:r w:rsidRPr="00F9522B">
        <w:rPr>
          <w:rFonts w:eastAsiaTheme="minorEastAsia"/>
          <w:kern w:val="0"/>
          <w:sz w:val="24"/>
          <w:szCs w:val="21"/>
        </w:rPr>
        <w:t>减少渠道上的</w:t>
      </w:r>
      <w:r w:rsidRPr="00F9522B">
        <w:rPr>
          <w:rFonts w:eastAsiaTheme="minorEastAsia"/>
          <w:kern w:val="0"/>
          <w:sz w:val="24"/>
          <w:szCs w:val="21"/>
        </w:rPr>
        <w:t>“</w:t>
      </w:r>
      <w:r w:rsidRPr="00F9522B">
        <w:rPr>
          <w:rFonts w:eastAsiaTheme="minorEastAsia"/>
          <w:kern w:val="0"/>
          <w:sz w:val="24"/>
          <w:szCs w:val="21"/>
        </w:rPr>
        <w:t>跑、漏、冒</w:t>
      </w:r>
      <w:r w:rsidRPr="00F9522B">
        <w:rPr>
          <w:rFonts w:eastAsiaTheme="minorEastAsia"/>
          <w:kern w:val="0"/>
          <w:sz w:val="24"/>
          <w:szCs w:val="21"/>
        </w:rPr>
        <w:t>”</w:t>
      </w:r>
      <w:r w:rsidRPr="00F9522B">
        <w:rPr>
          <w:rFonts w:eastAsiaTheme="minorEastAsia"/>
          <w:kern w:val="0"/>
          <w:sz w:val="24"/>
          <w:szCs w:val="21"/>
        </w:rPr>
        <w:t>水现象，减</w:t>
      </w:r>
      <w:r w:rsidRPr="00F9522B">
        <w:rPr>
          <w:rFonts w:eastAsiaTheme="minorEastAsia"/>
          <w:kern w:val="0"/>
          <w:sz w:val="24"/>
          <w:szCs w:val="21"/>
        </w:rPr>
        <w:lastRenderedPageBreak/>
        <w:t>少灌区取水量，</w:t>
      </w:r>
      <w:r w:rsidRPr="00F9522B">
        <w:rPr>
          <w:rFonts w:eastAsiaTheme="minorEastAsia"/>
          <w:sz w:val="24"/>
        </w:rPr>
        <w:t>节约了水资源，提升水资源利用效率。</w:t>
      </w:r>
      <w:r w:rsidRPr="00F9522B">
        <w:rPr>
          <w:rFonts w:eastAsiaTheme="minorEastAsia"/>
          <w:smallCaps/>
          <w:sz w:val="24"/>
        </w:rPr>
        <w:t>工程实施后取水量、退水量、</w:t>
      </w:r>
      <w:r w:rsidRPr="00F9522B">
        <w:rPr>
          <w:rFonts w:eastAsiaTheme="minorEastAsia"/>
          <w:kern w:val="0"/>
          <w:sz w:val="24"/>
          <w:szCs w:val="21"/>
        </w:rPr>
        <w:t>污染物入河量</w:t>
      </w:r>
      <w:r w:rsidRPr="00F9522B">
        <w:rPr>
          <w:rFonts w:eastAsiaTheme="minorEastAsia"/>
          <w:smallCaps/>
          <w:sz w:val="24"/>
        </w:rPr>
        <w:t>均减少</w:t>
      </w:r>
      <w:r w:rsidRPr="00F9522B">
        <w:rPr>
          <w:rFonts w:eastAsiaTheme="minorEastAsia"/>
          <w:kern w:val="0"/>
          <w:sz w:val="24"/>
          <w:szCs w:val="21"/>
        </w:rPr>
        <w:t>。</w:t>
      </w:r>
      <w:r w:rsidRPr="00F9522B">
        <w:rPr>
          <w:rFonts w:eastAsiaTheme="minorEastAsia"/>
          <w:kern w:val="0"/>
          <w:sz w:val="24"/>
        </w:rPr>
        <w:t>故工程实施后对</w:t>
      </w:r>
      <w:r w:rsidR="00E93DD8" w:rsidRPr="00F9522B">
        <w:rPr>
          <w:rFonts w:eastAsiaTheme="minorEastAsia"/>
          <w:sz w:val="24"/>
        </w:rPr>
        <w:t>松花江及漂河、呼兰河口湿地自然保护区</w:t>
      </w:r>
      <w:r w:rsidRPr="00F9522B">
        <w:rPr>
          <w:rFonts w:eastAsiaTheme="minorEastAsia"/>
          <w:sz w:val="24"/>
        </w:rPr>
        <w:t>水生生态</w:t>
      </w:r>
      <w:r w:rsidRPr="00F9522B">
        <w:rPr>
          <w:rFonts w:eastAsiaTheme="minorEastAsia"/>
          <w:kern w:val="0"/>
          <w:sz w:val="24"/>
        </w:rPr>
        <w:t>环境起到一定改善作用。</w:t>
      </w:r>
    </w:p>
    <w:p w:rsidR="002A5A5E" w:rsidRPr="00F9522B" w:rsidRDefault="00611CBA">
      <w:pPr>
        <w:spacing w:line="360" w:lineRule="auto"/>
        <w:ind w:firstLineChars="200" w:firstLine="480"/>
        <w:contextualSpacing/>
        <w:rPr>
          <w:rFonts w:eastAsiaTheme="minorEastAsia"/>
          <w:sz w:val="24"/>
        </w:rPr>
      </w:pPr>
      <w:r w:rsidRPr="00F9522B">
        <w:rPr>
          <w:rFonts w:eastAsiaTheme="minorEastAsia"/>
          <w:sz w:val="24"/>
        </w:rPr>
        <w:t>区域水生生态系统经过长时间的演替，已形成稳定的适合现有鱼类及水生生物生长繁殖的生境和生态系统。</w:t>
      </w:r>
    </w:p>
    <w:p w:rsidR="002A5A5E" w:rsidRPr="00F9522B" w:rsidRDefault="00611CBA">
      <w:pPr>
        <w:spacing w:line="360" w:lineRule="auto"/>
        <w:ind w:firstLineChars="200" w:firstLine="480"/>
        <w:contextualSpacing/>
        <w:rPr>
          <w:rFonts w:eastAsiaTheme="minorEastAsia"/>
          <w:bCs/>
          <w:kern w:val="0"/>
          <w:sz w:val="24"/>
        </w:rPr>
        <w:sectPr w:rsidR="002A5A5E" w:rsidRPr="00F9522B">
          <w:pgSz w:w="11906" w:h="16838"/>
          <w:pgMar w:top="1440" w:right="1800" w:bottom="1440" w:left="1800" w:header="851" w:footer="992" w:gutter="0"/>
          <w:cols w:space="425"/>
          <w:docGrid w:type="lines" w:linePitch="312"/>
        </w:sectPr>
      </w:pPr>
      <w:r w:rsidRPr="00F9522B">
        <w:rPr>
          <w:rFonts w:eastAsiaTheme="minorEastAsia"/>
          <w:bCs/>
          <w:kern w:val="0"/>
          <w:sz w:val="24"/>
        </w:rPr>
        <w:t>综上，项目实施对周边生态环境影响较小。</w:t>
      </w:r>
    </w:p>
    <w:p w:rsidR="002A5A5E" w:rsidRPr="00F9522B" w:rsidRDefault="00611CBA">
      <w:pPr>
        <w:widowControl/>
        <w:tabs>
          <w:tab w:val="left" w:leader="middleDot" w:pos="7371"/>
        </w:tabs>
        <w:spacing w:line="360" w:lineRule="auto"/>
        <w:jc w:val="left"/>
        <w:outlineLvl w:val="0"/>
        <w:rPr>
          <w:rFonts w:eastAsiaTheme="minorEastAsia"/>
          <w:b/>
          <w:kern w:val="0"/>
          <w:sz w:val="32"/>
          <w:szCs w:val="32"/>
        </w:rPr>
      </w:pPr>
      <w:bookmarkStart w:id="136" w:name="_Toc479252821"/>
      <w:bookmarkStart w:id="137" w:name="_Toc208906244"/>
      <w:bookmarkStart w:id="138" w:name="_Toc477954576"/>
      <w:r w:rsidRPr="00F9522B">
        <w:rPr>
          <w:rFonts w:eastAsiaTheme="minorEastAsia"/>
          <w:b/>
          <w:kern w:val="0"/>
          <w:sz w:val="32"/>
          <w:szCs w:val="32"/>
        </w:rPr>
        <w:lastRenderedPageBreak/>
        <w:t>6</w:t>
      </w:r>
      <w:r w:rsidRPr="00F9522B">
        <w:rPr>
          <w:rFonts w:eastAsiaTheme="minorEastAsia"/>
          <w:b/>
          <w:kern w:val="0"/>
          <w:sz w:val="32"/>
          <w:szCs w:val="32"/>
        </w:rPr>
        <w:t>环境保护措施及其可行性论证</w:t>
      </w:r>
      <w:bookmarkEnd w:id="136"/>
      <w:bookmarkEnd w:id="137"/>
      <w:bookmarkEnd w:id="138"/>
    </w:p>
    <w:p w:rsidR="002A5A5E" w:rsidRPr="00F9522B" w:rsidRDefault="00611CBA">
      <w:pPr>
        <w:keepNext/>
        <w:keepLines/>
        <w:spacing w:before="100" w:beforeAutospacing="1" w:after="100" w:afterAutospacing="1"/>
        <w:outlineLvl w:val="1"/>
        <w:rPr>
          <w:rFonts w:eastAsiaTheme="minorEastAsia"/>
          <w:b/>
          <w:sz w:val="30"/>
          <w:szCs w:val="30"/>
        </w:rPr>
      </w:pPr>
      <w:bookmarkStart w:id="139" w:name="_Toc494017094"/>
      <w:bookmarkStart w:id="140" w:name="_Toc493664702"/>
      <w:bookmarkStart w:id="141" w:name="_Toc208906245"/>
      <w:r w:rsidRPr="00F9522B">
        <w:rPr>
          <w:rFonts w:eastAsiaTheme="minorEastAsia"/>
          <w:b/>
          <w:sz w:val="30"/>
          <w:szCs w:val="30"/>
        </w:rPr>
        <w:t>6.1</w:t>
      </w:r>
      <w:r w:rsidRPr="00F9522B">
        <w:rPr>
          <w:rFonts w:eastAsiaTheme="minorEastAsia"/>
          <w:b/>
          <w:sz w:val="30"/>
          <w:szCs w:val="30"/>
        </w:rPr>
        <w:t>施工期环境保护措施及其可行性论证</w:t>
      </w:r>
      <w:bookmarkEnd w:id="139"/>
      <w:bookmarkEnd w:id="140"/>
      <w:bookmarkEnd w:id="141"/>
    </w:p>
    <w:p w:rsidR="002A5A5E" w:rsidRPr="00F9522B" w:rsidRDefault="00611CBA">
      <w:pPr>
        <w:keepNext/>
        <w:keepLines/>
        <w:spacing w:before="100" w:beforeAutospacing="1" w:after="100" w:afterAutospacing="1"/>
        <w:outlineLvl w:val="2"/>
        <w:rPr>
          <w:rFonts w:eastAsiaTheme="minorEastAsia"/>
          <w:b/>
          <w:sz w:val="28"/>
          <w:szCs w:val="28"/>
        </w:rPr>
      </w:pPr>
      <w:r w:rsidRPr="00F9522B">
        <w:rPr>
          <w:rFonts w:eastAsiaTheme="minorEastAsia"/>
          <w:b/>
          <w:sz w:val="28"/>
          <w:szCs w:val="28"/>
        </w:rPr>
        <w:t>6.1.1</w:t>
      </w:r>
      <w:r w:rsidRPr="00F9522B">
        <w:rPr>
          <w:rFonts w:eastAsiaTheme="minorEastAsia"/>
          <w:b/>
          <w:sz w:val="28"/>
          <w:szCs w:val="28"/>
        </w:rPr>
        <w:t>大气环境保护措施及其可行性论证</w:t>
      </w:r>
    </w:p>
    <w:p w:rsidR="002A5A5E" w:rsidRPr="00F9522B" w:rsidRDefault="00611CBA" w:rsidP="00611CBA">
      <w:pPr>
        <w:spacing w:line="360" w:lineRule="auto"/>
        <w:ind w:firstLineChars="177" w:firstLine="425"/>
        <w:rPr>
          <w:rFonts w:eastAsiaTheme="minorEastAsia"/>
          <w:sz w:val="24"/>
        </w:rPr>
      </w:pPr>
      <w:r w:rsidRPr="00F9522B">
        <w:rPr>
          <w:rFonts w:eastAsiaTheme="minorEastAsia"/>
          <w:sz w:val="24"/>
        </w:rPr>
        <w:t>（</w:t>
      </w:r>
      <w:r w:rsidRPr="00F9522B">
        <w:rPr>
          <w:rFonts w:eastAsiaTheme="minorEastAsia"/>
          <w:sz w:val="24"/>
        </w:rPr>
        <w:t>1</w:t>
      </w:r>
      <w:r w:rsidRPr="00F9522B">
        <w:rPr>
          <w:rFonts w:eastAsiaTheme="minorEastAsia"/>
          <w:sz w:val="24"/>
        </w:rPr>
        <w:t>）施工现场使用商品混凝土、预拌砂浆，严禁现场搅拌。</w:t>
      </w:r>
    </w:p>
    <w:p w:rsidR="002A5A5E" w:rsidRPr="00F9522B" w:rsidRDefault="00611CBA" w:rsidP="00611CBA">
      <w:pPr>
        <w:spacing w:line="360" w:lineRule="auto"/>
        <w:ind w:firstLineChars="177" w:firstLine="425"/>
        <w:rPr>
          <w:rFonts w:eastAsiaTheme="minorEastAsia"/>
          <w:sz w:val="24"/>
        </w:rPr>
      </w:pPr>
      <w:r w:rsidRPr="00F9522B">
        <w:rPr>
          <w:rFonts w:eastAsiaTheme="minorEastAsia"/>
          <w:sz w:val="24"/>
        </w:rPr>
        <w:t>（</w:t>
      </w:r>
      <w:r w:rsidRPr="00F9522B">
        <w:rPr>
          <w:rFonts w:eastAsiaTheme="minorEastAsia"/>
          <w:sz w:val="24"/>
        </w:rPr>
        <w:t>2</w:t>
      </w:r>
      <w:r w:rsidRPr="00F9522B">
        <w:rPr>
          <w:rFonts w:eastAsiaTheme="minorEastAsia"/>
          <w:sz w:val="24"/>
        </w:rPr>
        <w:t>）施工现场细颗粒建筑材料密闭存放或严密覆盖，严禁露天放置；余料及时回收。</w:t>
      </w:r>
    </w:p>
    <w:p w:rsidR="002A5A5E" w:rsidRPr="00F9522B" w:rsidRDefault="00611CBA" w:rsidP="00611CBA">
      <w:pPr>
        <w:spacing w:line="360" w:lineRule="auto"/>
        <w:ind w:firstLineChars="177" w:firstLine="425"/>
        <w:rPr>
          <w:rFonts w:eastAsiaTheme="minorEastAsia"/>
          <w:sz w:val="24"/>
        </w:rPr>
      </w:pPr>
      <w:r w:rsidRPr="00F9522B">
        <w:rPr>
          <w:rFonts w:eastAsiaTheme="minorEastAsia"/>
          <w:sz w:val="24"/>
        </w:rPr>
        <w:t>（</w:t>
      </w:r>
      <w:r w:rsidRPr="00F9522B">
        <w:rPr>
          <w:rFonts w:eastAsiaTheme="minorEastAsia"/>
          <w:sz w:val="24"/>
        </w:rPr>
        <w:t>3</w:t>
      </w:r>
      <w:r w:rsidRPr="00F9522B">
        <w:rPr>
          <w:rFonts w:eastAsiaTheme="minorEastAsia"/>
          <w:sz w:val="24"/>
        </w:rPr>
        <w:t>）施工期间，施工单位在非冬季时期制定洒水降尘制度，配套洒水车，专人负责，对施工场地及施工道路洒水抑尘；施工地面及时压实，天气干燥时增加洒水密度与频率。</w:t>
      </w:r>
    </w:p>
    <w:p w:rsidR="002A5A5E" w:rsidRPr="00F9522B" w:rsidRDefault="00611CBA" w:rsidP="00611CBA">
      <w:pPr>
        <w:spacing w:line="360" w:lineRule="auto"/>
        <w:ind w:firstLineChars="177" w:firstLine="425"/>
        <w:rPr>
          <w:rFonts w:eastAsiaTheme="minorEastAsia"/>
          <w:sz w:val="24"/>
        </w:rPr>
      </w:pPr>
      <w:r w:rsidRPr="00F9522B">
        <w:rPr>
          <w:rFonts w:eastAsiaTheme="minorEastAsia"/>
          <w:sz w:val="24"/>
        </w:rPr>
        <w:t>（</w:t>
      </w:r>
      <w:r w:rsidRPr="00F9522B">
        <w:rPr>
          <w:rFonts w:eastAsiaTheme="minorEastAsia"/>
          <w:sz w:val="24"/>
        </w:rPr>
        <w:t>4</w:t>
      </w:r>
      <w:r w:rsidRPr="00F9522B">
        <w:rPr>
          <w:rFonts w:eastAsiaTheme="minorEastAsia"/>
          <w:sz w:val="24"/>
        </w:rPr>
        <w:t>）施工现场集中堆放的土方和裸露场地采取覆盖措施，严禁裸露。土料运输过程严格采用密闭运输，运输途中的物料不得沿途泄漏、散落或者飞扬。</w:t>
      </w:r>
    </w:p>
    <w:p w:rsidR="002A5A5E" w:rsidRPr="00F9522B" w:rsidRDefault="00611CBA" w:rsidP="00611CBA">
      <w:pPr>
        <w:spacing w:line="360" w:lineRule="auto"/>
        <w:ind w:firstLineChars="177" w:firstLine="425"/>
        <w:rPr>
          <w:rFonts w:eastAsiaTheme="minorEastAsia"/>
          <w:sz w:val="24"/>
        </w:rPr>
      </w:pPr>
      <w:r w:rsidRPr="00F9522B">
        <w:rPr>
          <w:rFonts w:eastAsiaTheme="minorEastAsia"/>
          <w:sz w:val="24"/>
        </w:rPr>
        <w:t>（</w:t>
      </w:r>
      <w:r w:rsidRPr="00F9522B">
        <w:rPr>
          <w:rFonts w:eastAsiaTheme="minorEastAsia"/>
          <w:sz w:val="24"/>
        </w:rPr>
        <w:t>5</w:t>
      </w:r>
      <w:r w:rsidRPr="00F9522B">
        <w:rPr>
          <w:rFonts w:eastAsiaTheme="minorEastAsia"/>
          <w:sz w:val="24"/>
        </w:rPr>
        <w:t>）施工现场运送土方、渣土的车辆封闭或遮盖严密，严禁使用未办理相关手续的渣土等运输车辆，严禁沿路遗撒和随意倾倒。</w:t>
      </w:r>
    </w:p>
    <w:p w:rsidR="002A5A5E" w:rsidRPr="00F9522B" w:rsidRDefault="00611CBA" w:rsidP="00611CBA">
      <w:pPr>
        <w:spacing w:line="360" w:lineRule="auto"/>
        <w:ind w:firstLineChars="177" w:firstLine="425"/>
        <w:rPr>
          <w:rFonts w:eastAsiaTheme="minorEastAsia"/>
          <w:kern w:val="0"/>
          <w:sz w:val="24"/>
          <w:szCs w:val="20"/>
        </w:rPr>
      </w:pPr>
      <w:r w:rsidRPr="00F9522B">
        <w:rPr>
          <w:rFonts w:eastAsiaTheme="minorEastAsia"/>
          <w:sz w:val="24"/>
        </w:rPr>
        <w:t>（</w:t>
      </w:r>
      <w:r w:rsidRPr="00F9522B">
        <w:rPr>
          <w:rFonts w:eastAsiaTheme="minorEastAsia"/>
          <w:sz w:val="24"/>
        </w:rPr>
        <w:t>6</w:t>
      </w:r>
      <w:r w:rsidRPr="00F9522B">
        <w:rPr>
          <w:rFonts w:eastAsiaTheme="minorEastAsia"/>
          <w:sz w:val="24"/>
        </w:rPr>
        <w:t>）</w:t>
      </w:r>
      <w:r w:rsidRPr="00F9522B">
        <w:rPr>
          <w:rFonts w:eastAsiaTheme="minorEastAsia"/>
          <w:kern w:val="0"/>
          <w:sz w:val="24"/>
          <w:szCs w:val="20"/>
        </w:rPr>
        <w:t>加强运输车辆的维护、保养，避免尾气超标排放。</w:t>
      </w:r>
    </w:p>
    <w:p w:rsidR="002A5A5E" w:rsidRPr="00F9522B" w:rsidRDefault="00611CBA" w:rsidP="00611CBA">
      <w:pPr>
        <w:spacing w:line="360" w:lineRule="auto"/>
        <w:ind w:firstLineChars="177" w:firstLine="425"/>
        <w:rPr>
          <w:rFonts w:eastAsiaTheme="minorEastAsia"/>
          <w:kern w:val="0"/>
          <w:sz w:val="24"/>
          <w:szCs w:val="20"/>
        </w:rPr>
      </w:pPr>
      <w:r w:rsidRPr="00F9522B">
        <w:rPr>
          <w:rFonts w:eastAsiaTheme="minorEastAsia"/>
          <w:kern w:val="0"/>
          <w:sz w:val="24"/>
          <w:szCs w:val="20"/>
        </w:rPr>
        <w:t>（</w:t>
      </w:r>
      <w:r w:rsidRPr="00F9522B">
        <w:rPr>
          <w:rFonts w:eastAsiaTheme="minorEastAsia"/>
          <w:kern w:val="0"/>
          <w:sz w:val="24"/>
          <w:szCs w:val="20"/>
        </w:rPr>
        <w:t>7</w:t>
      </w:r>
      <w:r w:rsidRPr="00F9522B">
        <w:rPr>
          <w:rFonts w:eastAsiaTheme="minorEastAsia"/>
          <w:kern w:val="0"/>
          <w:sz w:val="24"/>
          <w:szCs w:val="20"/>
        </w:rPr>
        <w:t>）涵洞、田间道路工程建筑物拆除工程，气象预报风速达到</w:t>
      </w:r>
      <w:r w:rsidRPr="00F9522B">
        <w:rPr>
          <w:rFonts w:eastAsiaTheme="minorEastAsia"/>
          <w:kern w:val="0"/>
          <w:sz w:val="24"/>
          <w:szCs w:val="20"/>
        </w:rPr>
        <w:t>5</w:t>
      </w:r>
      <w:r w:rsidRPr="00F9522B">
        <w:rPr>
          <w:rFonts w:eastAsiaTheme="minorEastAsia"/>
          <w:kern w:val="0"/>
          <w:sz w:val="24"/>
          <w:szCs w:val="20"/>
        </w:rPr>
        <w:t>级时，应当停止拆除工程施工。拆除工程完工后</w:t>
      </w:r>
      <w:r w:rsidRPr="00F9522B">
        <w:rPr>
          <w:rFonts w:eastAsiaTheme="minorEastAsia"/>
          <w:kern w:val="0"/>
          <w:sz w:val="24"/>
          <w:szCs w:val="20"/>
        </w:rPr>
        <w:t>30</w:t>
      </w:r>
      <w:r w:rsidRPr="00F9522B">
        <w:rPr>
          <w:rFonts w:eastAsiaTheme="minorEastAsia"/>
          <w:kern w:val="0"/>
          <w:sz w:val="24"/>
          <w:szCs w:val="20"/>
        </w:rPr>
        <w:t>日内不能开工的建设用地，建设单位应当采取覆盖、地面硬化、简易绿化等措施。</w:t>
      </w:r>
    </w:p>
    <w:p w:rsidR="002A5A5E" w:rsidRPr="00F9522B" w:rsidRDefault="00611CBA" w:rsidP="00611CBA">
      <w:pPr>
        <w:spacing w:line="360" w:lineRule="auto"/>
        <w:ind w:firstLineChars="177" w:firstLine="425"/>
        <w:rPr>
          <w:rFonts w:eastAsiaTheme="minorEastAsia"/>
          <w:snapToGrid w:val="0"/>
          <w:sz w:val="24"/>
        </w:rPr>
      </w:pPr>
      <w:r w:rsidRPr="00F9522B">
        <w:rPr>
          <w:rFonts w:eastAsiaTheme="minorEastAsia"/>
          <w:sz w:val="24"/>
        </w:rPr>
        <w:t>（</w:t>
      </w:r>
      <w:r w:rsidRPr="00F9522B">
        <w:rPr>
          <w:rFonts w:eastAsiaTheme="minorEastAsia"/>
          <w:sz w:val="24"/>
        </w:rPr>
        <w:t>8</w:t>
      </w:r>
      <w:r w:rsidRPr="00F9522B">
        <w:rPr>
          <w:rFonts w:eastAsiaTheme="minorEastAsia"/>
          <w:sz w:val="24"/>
        </w:rPr>
        <w:t>）</w:t>
      </w:r>
      <w:r w:rsidRPr="00F9522B">
        <w:rPr>
          <w:rFonts w:eastAsiaTheme="minorEastAsia"/>
          <w:snapToGrid w:val="0"/>
          <w:sz w:val="24"/>
        </w:rPr>
        <w:t>途经施工区村屯干道的运输车辆，实行限速管理，时速应小于</w:t>
      </w:r>
      <w:r w:rsidRPr="00F9522B">
        <w:rPr>
          <w:rFonts w:eastAsiaTheme="minorEastAsia"/>
          <w:snapToGrid w:val="0"/>
          <w:sz w:val="24"/>
        </w:rPr>
        <w:t>20km/h</w:t>
      </w:r>
      <w:r w:rsidRPr="00F9522B">
        <w:rPr>
          <w:rFonts w:eastAsiaTheme="minorEastAsia"/>
          <w:snapToGrid w:val="0"/>
          <w:sz w:val="24"/>
        </w:rPr>
        <w:t>，</w:t>
      </w:r>
      <w:r w:rsidRPr="00F9522B">
        <w:rPr>
          <w:rFonts w:eastAsiaTheme="minorEastAsia"/>
          <w:sz w:val="24"/>
        </w:rPr>
        <w:t>非冬季</w:t>
      </w:r>
      <w:r w:rsidRPr="00F9522B">
        <w:rPr>
          <w:rFonts w:eastAsiaTheme="minorEastAsia"/>
          <w:snapToGrid w:val="0"/>
          <w:sz w:val="24"/>
        </w:rPr>
        <w:t>干旱、多风天气，路段每天洒水不少于两次，减少扬尘对附近居民和作物的影响。</w:t>
      </w:r>
    </w:p>
    <w:p w:rsidR="002A5A5E" w:rsidRPr="00F9522B" w:rsidRDefault="00611CBA" w:rsidP="00611CBA">
      <w:pPr>
        <w:spacing w:line="360" w:lineRule="auto"/>
        <w:ind w:firstLineChars="177" w:firstLine="425"/>
        <w:rPr>
          <w:rFonts w:eastAsiaTheme="minorEastAsia"/>
          <w:sz w:val="24"/>
        </w:rPr>
      </w:pPr>
      <w:r w:rsidRPr="00F9522B">
        <w:rPr>
          <w:rFonts w:eastAsiaTheme="minorEastAsia"/>
          <w:snapToGrid w:val="0"/>
          <w:sz w:val="24"/>
        </w:rPr>
        <w:t>（</w:t>
      </w:r>
      <w:r w:rsidRPr="00F9522B">
        <w:rPr>
          <w:rFonts w:eastAsiaTheme="minorEastAsia"/>
          <w:snapToGrid w:val="0"/>
          <w:sz w:val="24"/>
        </w:rPr>
        <w:t>9</w:t>
      </w:r>
      <w:r w:rsidRPr="00F9522B">
        <w:rPr>
          <w:rFonts w:eastAsiaTheme="minorEastAsia"/>
          <w:snapToGrid w:val="0"/>
          <w:sz w:val="24"/>
        </w:rPr>
        <w:t>）本环评要求灌溉井、田间道路、涵洞、变压器、排水沟清淤等工程在距离环境保护目标较近位置施工时（</w:t>
      </w:r>
      <w:r w:rsidR="00943455" w:rsidRPr="00943455">
        <w:rPr>
          <w:rFonts w:eastAsiaTheme="minorEastAsia"/>
          <w:snapToGrid w:val="0"/>
          <w:sz w:val="24"/>
        </w:rPr>
        <w:t>如八里荒、榆树村等村屯，具体村屯名称见表</w:t>
      </w:r>
      <w:r w:rsidR="00943455" w:rsidRPr="00943455">
        <w:rPr>
          <w:rFonts w:eastAsiaTheme="minorEastAsia"/>
          <w:snapToGrid w:val="0"/>
          <w:sz w:val="24"/>
        </w:rPr>
        <w:t>2-8-1</w:t>
      </w:r>
      <w:r w:rsidRPr="00F9522B">
        <w:rPr>
          <w:rFonts w:eastAsiaTheme="minorEastAsia"/>
          <w:snapToGrid w:val="0"/>
          <w:sz w:val="24"/>
        </w:rPr>
        <w:t>），应设置施工围挡，将施工场地及施工人员与居民分离开，保证施工安全、减少扬尘逸散，</w:t>
      </w:r>
      <w:r w:rsidRPr="00F9522B">
        <w:rPr>
          <w:rFonts w:eastAsiaTheme="minorEastAsia"/>
          <w:sz w:val="24"/>
        </w:rPr>
        <w:t>非冬季季节</w:t>
      </w:r>
      <w:r w:rsidRPr="00F9522B">
        <w:rPr>
          <w:rFonts w:eastAsiaTheme="minorEastAsia"/>
          <w:snapToGrid w:val="0"/>
          <w:sz w:val="24"/>
        </w:rPr>
        <w:t>同时还应采取洒水、喷淋等抑尘措施。</w:t>
      </w:r>
    </w:p>
    <w:p w:rsidR="004C69F2" w:rsidRDefault="00611CBA" w:rsidP="004C69F2">
      <w:pPr>
        <w:widowControl/>
        <w:spacing w:line="360" w:lineRule="auto"/>
        <w:ind w:firstLineChars="200" w:firstLine="480"/>
        <w:rPr>
          <w:rFonts w:eastAsiaTheme="minorEastAsia"/>
          <w:color w:val="FF0000"/>
          <w:sz w:val="24"/>
        </w:rPr>
      </w:pPr>
      <w:r w:rsidRPr="00F9522B">
        <w:rPr>
          <w:rFonts w:eastAsiaTheme="minorEastAsia"/>
          <w:snapToGrid w:val="0"/>
          <w:sz w:val="24"/>
        </w:rPr>
        <w:t>（</w:t>
      </w:r>
      <w:r w:rsidRPr="00F9522B">
        <w:rPr>
          <w:rFonts w:eastAsiaTheme="minorEastAsia"/>
          <w:snapToGrid w:val="0"/>
          <w:sz w:val="24"/>
        </w:rPr>
        <w:t>10</w:t>
      </w:r>
      <w:r w:rsidRPr="00F9522B">
        <w:rPr>
          <w:rFonts w:eastAsiaTheme="minorEastAsia"/>
          <w:snapToGrid w:val="0"/>
          <w:sz w:val="24"/>
        </w:rPr>
        <w:t>）</w:t>
      </w:r>
      <w:r w:rsidR="004C69F2" w:rsidRPr="00873083">
        <w:rPr>
          <w:color w:val="FF0000"/>
          <w:sz w:val="24"/>
        </w:rPr>
        <w:t>清淤施工期选定</w:t>
      </w:r>
      <w:r w:rsidR="004C69F2" w:rsidRPr="00873083">
        <w:rPr>
          <w:color w:val="FF0000"/>
          <w:sz w:val="24"/>
        </w:rPr>
        <w:t xml:space="preserve"> 2027</w:t>
      </w:r>
      <w:r w:rsidR="004C69F2" w:rsidRPr="00873083">
        <w:rPr>
          <w:color w:val="FF0000"/>
          <w:sz w:val="24"/>
        </w:rPr>
        <w:t>年</w:t>
      </w:r>
      <w:r w:rsidR="004C69F2" w:rsidRPr="00873083">
        <w:rPr>
          <w:color w:val="FF0000"/>
          <w:sz w:val="24"/>
        </w:rPr>
        <w:t>3</w:t>
      </w:r>
      <w:r w:rsidR="004C69F2" w:rsidRPr="00873083">
        <w:rPr>
          <w:rFonts w:eastAsiaTheme="minorEastAsia"/>
          <w:color w:val="FF0000"/>
          <w:kern w:val="0"/>
          <w:sz w:val="24"/>
        </w:rPr>
        <w:t>～</w:t>
      </w:r>
      <w:r w:rsidR="004C69F2" w:rsidRPr="00873083">
        <w:rPr>
          <w:color w:val="FF0000"/>
          <w:sz w:val="24"/>
        </w:rPr>
        <w:t>4</w:t>
      </w:r>
      <w:r w:rsidR="004C69F2" w:rsidRPr="00873083">
        <w:rPr>
          <w:color w:val="FF0000"/>
          <w:sz w:val="24"/>
        </w:rPr>
        <w:t>月河道枯水期开展</w:t>
      </w:r>
      <w:r w:rsidRPr="00F9522B">
        <w:rPr>
          <w:rFonts w:eastAsiaTheme="minorEastAsia"/>
          <w:snapToGrid w:val="0"/>
          <w:sz w:val="24"/>
        </w:rPr>
        <w:t>，喷洒微生物除臭剂。</w:t>
      </w:r>
      <w:r w:rsidR="004C69F2" w:rsidRPr="00873083">
        <w:rPr>
          <w:rFonts w:eastAsiaTheme="minorEastAsia"/>
          <w:color w:val="FF0000"/>
          <w:sz w:val="24"/>
        </w:rPr>
        <w:t>排水沟淤泥</w:t>
      </w:r>
      <w:r w:rsidR="004C69F2" w:rsidRPr="00873083">
        <w:rPr>
          <w:rFonts w:eastAsiaTheme="minorEastAsia"/>
          <w:bCs/>
          <w:color w:val="FF0000"/>
          <w:sz w:val="24"/>
        </w:rPr>
        <w:t>培至工程附近</w:t>
      </w:r>
      <w:r w:rsidR="004C69F2" w:rsidRPr="00873083">
        <w:rPr>
          <w:rFonts w:eastAsiaTheme="minorEastAsia"/>
          <w:bCs/>
          <w:color w:val="FF0000"/>
          <w:sz w:val="24"/>
        </w:rPr>
        <w:t>200</w:t>
      </w:r>
      <w:r w:rsidR="004C69F2" w:rsidRPr="00873083">
        <w:rPr>
          <w:rFonts w:eastAsiaTheme="minorEastAsia"/>
          <w:bCs/>
          <w:color w:val="FF0000"/>
          <w:sz w:val="24"/>
        </w:rPr>
        <w:t>米范围内无环境保护目标的排水沟两侧（避开</w:t>
      </w:r>
      <w:r w:rsidR="004C69F2" w:rsidRPr="00873083">
        <w:rPr>
          <w:rFonts w:eastAsiaTheme="minorEastAsia"/>
          <w:bCs/>
          <w:color w:val="FF0000"/>
          <w:sz w:val="24"/>
        </w:rPr>
        <w:lastRenderedPageBreak/>
        <w:t>南城李、方台镇、宋家村等</w:t>
      </w:r>
      <w:r w:rsidR="004C69F2" w:rsidRPr="00873083">
        <w:rPr>
          <w:rFonts w:eastAsiaTheme="minorEastAsia"/>
          <w:bCs/>
          <w:color w:val="FF0000"/>
          <w:sz w:val="24"/>
        </w:rPr>
        <w:t>33</w:t>
      </w:r>
      <w:r w:rsidR="004C69F2" w:rsidRPr="00873083">
        <w:rPr>
          <w:rFonts w:eastAsiaTheme="minorEastAsia"/>
          <w:bCs/>
          <w:color w:val="FF0000"/>
          <w:sz w:val="24"/>
        </w:rPr>
        <w:t>个村屯，具体见表</w:t>
      </w:r>
      <w:r w:rsidR="004C69F2" w:rsidRPr="00873083">
        <w:rPr>
          <w:rFonts w:eastAsiaTheme="minorEastAsia"/>
          <w:bCs/>
          <w:color w:val="FF0000"/>
          <w:sz w:val="24"/>
        </w:rPr>
        <w:t>2-8-2</w:t>
      </w:r>
      <w:r w:rsidR="004C69F2" w:rsidRPr="00873083">
        <w:rPr>
          <w:rFonts w:eastAsiaTheme="minorEastAsia"/>
          <w:bCs/>
          <w:color w:val="FF0000"/>
          <w:sz w:val="24"/>
        </w:rPr>
        <w:t>），</w:t>
      </w:r>
      <w:r w:rsidR="004C69F2">
        <w:rPr>
          <w:rFonts w:eastAsiaTheme="minorEastAsia"/>
          <w:color w:val="FF0000"/>
          <w:sz w:val="24"/>
        </w:rPr>
        <w:t>减少对附近环境保护目标的影响。</w:t>
      </w:r>
    </w:p>
    <w:p w:rsidR="002A5A5E" w:rsidRPr="00F9522B" w:rsidRDefault="00611CBA" w:rsidP="00611CBA">
      <w:pPr>
        <w:spacing w:line="360" w:lineRule="auto"/>
        <w:ind w:firstLineChars="177" w:firstLine="425"/>
        <w:rPr>
          <w:rFonts w:eastAsiaTheme="minorEastAsia"/>
          <w:sz w:val="24"/>
        </w:rPr>
      </w:pPr>
      <w:r w:rsidRPr="00F9522B">
        <w:rPr>
          <w:rFonts w:eastAsiaTheme="minorEastAsia"/>
          <w:sz w:val="24"/>
        </w:rPr>
        <w:t>采取以上措施后，</w:t>
      </w:r>
      <w:r w:rsidR="004C69F2">
        <w:rPr>
          <w:rFonts w:eastAsiaTheme="minorEastAsia" w:hint="eastAsia"/>
          <w:sz w:val="24"/>
        </w:rPr>
        <w:t>无组织</w:t>
      </w:r>
      <w:r w:rsidRPr="00F9522B">
        <w:rPr>
          <w:rFonts w:eastAsiaTheme="minorEastAsia"/>
          <w:sz w:val="24"/>
        </w:rPr>
        <w:t>颗粒物排放浓度满足《大气污染物综合排放标准》（</w:t>
      </w:r>
      <w:r w:rsidRPr="00F9522B">
        <w:rPr>
          <w:rFonts w:eastAsiaTheme="minorEastAsia"/>
          <w:sz w:val="24"/>
        </w:rPr>
        <w:t>GB16297-1996</w:t>
      </w:r>
      <w:r w:rsidRPr="00F9522B">
        <w:rPr>
          <w:rFonts w:eastAsiaTheme="minorEastAsia"/>
          <w:sz w:val="24"/>
        </w:rPr>
        <w:t>）表</w:t>
      </w:r>
      <w:r w:rsidRPr="00F9522B">
        <w:rPr>
          <w:rFonts w:eastAsiaTheme="minorEastAsia"/>
          <w:sz w:val="24"/>
        </w:rPr>
        <w:t>2</w:t>
      </w:r>
      <w:r w:rsidRPr="00F9522B">
        <w:rPr>
          <w:rFonts w:eastAsiaTheme="minorEastAsia"/>
          <w:sz w:val="24"/>
        </w:rPr>
        <w:t>中无组织排放监控浓度限值要求，</w:t>
      </w:r>
      <w:r w:rsidR="004C69F2">
        <w:rPr>
          <w:rFonts w:eastAsiaTheme="minorEastAsia" w:hint="eastAsia"/>
          <w:sz w:val="24"/>
        </w:rPr>
        <w:t>无组织</w:t>
      </w:r>
      <w:r w:rsidRPr="00F9522B">
        <w:rPr>
          <w:rFonts w:eastAsiaTheme="minorEastAsia"/>
          <w:sz w:val="24"/>
        </w:rPr>
        <w:t>臭气浓度满足《恶臭污染物排放标准》（</w:t>
      </w:r>
      <w:r w:rsidRPr="00F9522B">
        <w:rPr>
          <w:rFonts w:eastAsiaTheme="minorEastAsia"/>
          <w:sz w:val="24"/>
        </w:rPr>
        <w:t>GB14554-93</w:t>
      </w:r>
      <w:r w:rsidRPr="00F9522B">
        <w:rPr>
          <w:rFonts w:eastAsiaTheme="minorEastAsia"/>
          <w:sz w:val="24"/>
        </w:rPr>
        <w:t>）表</w:t>
      </w:r>
      <w:r w:rsidRPr="00F9522B">
        <w:rPr>
          <w:rFonts w:eastAsiaTheme="minorEastAsia"/>
          <w:sz w:val="24"/>
        </w:rPr>
        <w:t>1</w:t>
      </w:r>
      <w:r w:rsidRPr="00F9522B">
        <w:rPr>
          <w:rFonts w:eastAsiaTheme="minorEastAsia"/>
          <w:sz w:val="24"/>
        </w:rPr>
        <w:t>二级标准，移动式发电机废气排放满足《非道路移动机械用柴油机移动泵车污染物排放限值及测量方法（中国三、四阶段）》（</w:t>
      </w:r>
      <w:r w:rsidRPr="00F9522B">
        <w:rPr>
          <w:rFonts w:eastAsiaTheme="minorEastAsia"/>
          <w:sz w:val="24"/>
        </w:rPr>
        <w:t>GB20891-2014</w:t>
      </w:r>
      <w:r w:rsidRPr="00F9522B">
        <w:rPr>
          <w:rFonts w:eastAsiaTheme="minorEastAsia"/>
          <w:sz w:val="24"/>
        </w:rPr>
        <w:t>）中表</w:t>
      </w:r>
      <w:r w:rsidRPr="00F9522B">
        <w:rPr>
          <w:rFonts w:eastAsiaTheme="minorEastAsia"/>
          <w:sz w:val="24"/>
        </w:rPr>
        <w:t>2</w:t>
      </w:r>
      <w:r w:rsidRPr="00F9522B">
        <w:rPr>
          <w:rFonts w:eastAsiaTheme="minorEastAsia"/>
          <w:sz w:val="24"/>
        </w:rPr>
        <w:t>非道路移动机械用柴油机排气污染物排放限值要求。</w:t>
      </w:r>
    </w:p>
    <w:p w:rsidR="002A5A5E" w:rsidRPr="00F9522B" w:rsidRDefault="00611CBA" w:rsidP="00611CBA">
      <w:pPr>
        <w:spacing w:line="360" w:lineRule="auto"/>
        <w:ind w:firstLineChars="177" w:firstLine="425"/>
        <w:rPr>
          <w:rFonts w:eastAsiaTheme="minorEastAsia"/>
          <w:sz w:val="24"/>
        </w:rPr>
      </w:pPr>
      <w:r w:rsidRPr="00F9522B">
        <w:rPr>
          <w:rFonts w:eastAsiaTheme="minorEastAsia"/>
          <w:sz w:val="24"/>
        </w:rPr>
        <w:t>总之，项目只要在施工中加强管理、切实落实好这些措施，施工场地产生的扬尘、废气影响将大大降低，同时该空气影响将随施工的结束而消失。施工期大气环境保护措施可行。</w:t>
      </w:r>
    </w:p>
    <w:p w:rsidR="002A5A5E" w:rsidRPr="00F9522B" w:rsidRDefault="00611CBA">
      <w:pPr>
        <w:keepNext/>
        <w:keepLines/>
        <w:spacing w:before="100" w:beforeAutospacing="1" w:after="100" w:afterAutospacing="1"/>
        <w:outlineLvl w:val="2"/>
        <w:rPr>
          <w:rFonts w:eastAsiaTheme="minorEastAsia"/>
          <w:b/>
          <w:sz w:val="28"/>
          <w:szCs w:val="28"/>
        </w:rPr>
      </w:pPr>
      <w:r w:rsidRPr="00F9522B">
        <w:rPr>
          <w:rFonts w:eastAsiaTheme="minorEastAsia"/>
          <w:b/>
          <w:sz w:val="28"/>
          <w:szCs w:val="28"/>
        </w:rPr>
        <w:t>6.1.2</w:t>
      </w:r>
      <w:r w:rsidRPr="00F9522B">
        <w:rPr>
          <w:rFonts w:eastAsiaTheme="minorEastAsia"/>
          <w:b/>
          <w:sz w:val="28"/>
          <w:szCs w:val="28"/>
        </w:rPr>
        <w:t>水环境保护措施及其可行性论证</w:t>
      </w:r>
    </w:p>
    <w:p w:rsidR="002A5A5E" w:rsidRPr="00F9522B" w:rsidRDefault="00611CBA">
      <w:pPr>
        <w:spacing w:line="360" w:lineRule="auto"/>
        <w:ind w:firstLineChars="200" w:firstLine="480"/>
        <w:rPr>
          <w:rFonts w:eastAsiaTheme="minorEastAsia"/>
          <w:sz w:val="24"/>
          <w:szCs w:val="21"/>
        </w:rPr>
      </w:pPr>
      <w:r w:rsidRPr="00F9522B">
        <w:rPr>
          <w:rFonts w:eastAsiaTheme="minorEastAsia"/>
          <w:kern w:val="0"/>
          <w:sz w:val="24"/>
        </w:rPr>
        <w:t>施工废水主要污染因子为</w:t>
      </w:r>
      <w:r w:rsidRPr="00F9522B">
        <w:rPr>
          <w:rFonts w:eastAsiaTheme="minorEastAsia"/>
          <w:kern w:val="0"/>
          <w:sz w:val="24"/>
        </w:rPr>
        <w:t>SS</w:t>
      </w:r>
      <w:r w:rsidRPr="00F9522B">
        <w:rPr>
          <w:rFonts w:eastAsiaTheme="minorEastAsia"/>
          <w:kern w:val="0"/>
          <w:sz w:val="24"/>
        </w:rPr>
        <w:t>。</w:t>
      </w:r>
    </w:p>
    <w:p w:rsidR="002A5A5E" w:rsidRPr="00F9522B" w:rsidRDefault="00611CBA">
      <w:pPr>
        <w:spacing w:line="360" w:lineRule="auto"/>
        <w:ind w:firstLineChars="200" w:firstLine="480"/>
        <w:rPr>
          <w:rFonts w:eastAsiaTheme="minorEastAsia"/>
          <w:sz w:val="24"/>
          <w:szCs w:val="21"/>
        </w:rPr>
      </w:pPr>
      <w:r w:rsidRPr="00F9522B">
        <w:rPr>
          <w:rFonts w:eastAsiaTheme="minorEastAsia"/>
          <w:sz w:val="24"/>
          <w:szCs w:val="21"/>
        </w:rPr>
        <w:t>合理安排施工时序，选择</w:t>
      </w:r>
      <w:r w:rsidRPr="00F9522B">
        <w:rPr>
          <w:rFonts w:eastAsiaTheme="minorEastAsia"/>
          <w:sz w:val="24"/>
          <w:szCs w:val="21"/>
        </w:rPr>
        <w:t>3</w:t>
      </w:r>
      <w:r w:rsidRPr="00F9522B">
        <w:rPr>
          <w:rFonts w:eastAsiaTheme="minorEastAsia"/>
          <w:sz w:val="24"/>
          <w:szCs w:val="21"/>
        </w:rPr>
        <w:t>月至</w:t>
      </w:r>
      <w:r w:rsidRPr="00F9522B">
        <w:rPr>
          <w:rFonts w:eastAsiaTheme="minorEastAsia"/>
          <w:sz w:val="24"/>
          <w:szCs w:val="21"/>
        </w:rPr>
        <w:t>4</w:t>
      </w:r>
      <w:r w:rsidRPr="00F9522B">
        <w:rPr>
          <w:rFonts w:eastAsiaTheme="minorEastAsia"/>
          <w:sz w:val="24"/>
          <w:szCs w:val="21"/>
        </w:rPr>
        <w:t>月进行清淤，排水沟干涸，不涉水，避免对地表水体的影响。</w:t>
      </w:r>
    </w:p>
    <w:p w:rsidR="002A5A5E" w:rsidRPr="00F9522B" w:rsidRDefault="00611CBA">
      <w:pPr>
        <w:spacing w:line="360" w:lineRule="auto"/>
        <w:ind w:firstLineChars="200" w:firstLine="480"/>
        <w:rPr>
          <w:rFonts w:eastAsiaTheme="minorEastAsia"/>
          <w:sz w:val="24"/>
          <w:szCs w:val="21"/>
        </w:rPr>
      </w:pPr>
      <w:r w:rsidRPr="00F9522B">
        <w:rPr>
          <w:rFonts w:eastAsiaTheme="minorEastAsia"/>
          <w:sz w:val="24"/>
        </w:rPr>
        <w:t>项目施工人员均雇佣附近居民，大部分施工聚集区均距离附近村屯较近。</w:t>
      </w:r>
      <w:r w:rsidRPr="00F9522B">
        <w:rPr>
          <w:rFonts w:eastAsiaTheme="minorEastAsia"/>
          <w:sz w:val="24"/>
          <w:szCs w:val="21"/>
        </w:rPr>
        <w:t>施工期施工人员的生活污水排入依托附近民房防渗旱厕，定期清掏，外运堆肥，不外排。</w:t>
      </w:r>
    </w:p>
    <w:p w:rsidR="002A5A5E" w:rsidRPr="00F9522B" w:rsidRDefault="00611CBA">
      <w:pPr>
        <w:widowControl/>
        <w:spacing w:line="360" w:lineRule="auto"/>
        <w:ind w:firstLineChars="200" w:firstLine="480"/>
        <w:rPr>
          <w:rFonts w:eastAsiaTheme="minorEastAsia"/>
          <w:sz w:val="24"/>
          <w:szCs w:val="22"/>
        </w:rPr>
      </w:pPr>
      <w:r w:rsidRPr="00F9522B">
        <w:rPr>
          <w:rFonts w:eastAsiaTheme="minorEastAsia"/>
          <w:sz w:val="24"/>
        </w:rPr>
        <w:t>洗井废水用于洒水降尘。</w:t>
      </w:r>
      <w:r w:rsidRPr="00F9522B">
        <w:rPr>
          <w:rFonts w:eastAsiaTheme="minorEastAsia"/>
          <w:sz w:val="24"/>
          <w:szCs w:val="22"/>
        </w:rPr>
        <w:t>钻井泥浆可循环利用，废泥浆</w:t>
      </w:r>
      <w:r w:rsidRPr="00F9522B">
        <w:rPr>
          <w:rFonts w:eastAsiaTheme="minorEastAsia"/>
          <w:sz w:val="24"/>
        </w:rPr>
        <w:t>暂存于施工场地</w:t>
      </w:r>
      <w:r w:rsidR="0009673A" w:rsidRPr="00F9522B">
        <w:rPr>
          <w:rFonts w:eastAsiaTheme="minorEastAsia"/>
          <w:sz w:val="24"/>
        </w:rPr>
        <w:t>5</w:t>
      </w:r>
      <w:r w:rsidR="0009673A" w:rsidRPr="00F9522B">
        <w:rPr>
          <w:rFonts w:eastAsiaTheme="minorEastAsia"/>
          <w:sz w:val="24"/>
        </w:rPr>
        <w:t>个</w:t>
      </w:r>
      <w:r w:rsidR="0009673A" w:rsidRPr="00F9522B">
        <w:rPr>
          <w:rFonts w:eastAsiaTheme="minorEastAsia"/>
          <w:sz w:val="24"/>
        </w:rPr>
        <w:t>2</w:t>
      </w:r>
      <w:r w:rsidRPr="00F9522B">
        <w:rPr>
          <w:rFonts w:eastAsiaTheme="minorEastAsia"/>
          <w:sz w:val="24"/>
        </w:rPr>
        <w:t>0</w:t>
      </w:r>
      <w:r w:rsidRPr="00F9522B">
        <w:rPr>
          <w:rFonts w:eastAsiaTheme="minorEastAsia"/>
          <w:sz w:val="24"/>
          <w:szCs w:val="22"/>
        </w:rPr>
        <w:t>m</w:t>
      </w:r>
      <w:r w:rsidRPr="00F9522B">
        <w:rPr>
          <w:rFonts w:eastAsiaTheme="minorEastAsia"/>
          <w:sz w:val="24"/>
          <w:szCs w:val="22"/>
          <w:vertAlign w:val="superscript"/>
        </w:rPr>
        <w:t>3</w:t>
      </w:r>
      <w:r w:rsidRPr="00F9522B">
        <w:rPr>
          <w:rFonts w:eastAsiaTheme="minorEastAsia"/>
          <w:sz w:val="24"/>
        </w:rPr>
        <w:t>移动式不锈钢沉淀池内，沉淀后上层清水用于洒水降尘，下层钻井</w:t>
      </w:r>
      <w:r w:rsidRPr="00F9522B">
        <w:rPr>
          <w:rFonts w:eastAsiaTheme="minorEastAsia"/>
          <w:bCs/>
          <w:sz w:val="24"/>
          <w:szCs w:val="22"/>
        </w:rPr>
        <w:t>泥浆自然干化后用于周围道路平整。</w:t>
      </w:r>
    </w:p>
    <w:p w:rsidR="002A5A5E" w:rsidRPr="00F9522B" w:rsidRDefault="00611CBA">
      <w:pPr>
        <w:spacing w:line="360" w:lineRule="auto"/>
        <w:ind w:firstLineChars="200" w:firstLine="480"/>
        <w:rPr>
          <w:rFonts w:eastAsiaTheme="minorEastAsia"/>
          <w:sz w:val="24"/>
          <w:szCs w:val="21"/>
        </w:rPr>
      </w:pPr>
      <w:r w:rsidRPr="00F9522B">
        <w:rPr>
          <w:rFonts w:eastAsiaTheme="minorEastAsia"/>
          <w:bCs/>
          <w:kern w:val="0"/>
          <w:sz w:val="24"/>
          <w:szCs w:val="20"/>
        </w:rPr>
        <w:t>清淤工程在枯水期施工，污泥铺摊晾晒过程中可能会产生沥水，但由于在干槽时段进行清淤，污泥含水率较低，污泥沥水与排水沟内水质基本一致，故排至排水沟内不会对灌区水质产生不良影响。</w:t>
      </w:r>
    </w:p>
    <w:p w:rsidR="002A5A5E" w:rsidRPr="00F9522B" w:rsidRDefault="00611CBA">
      <w:pPr>
        <w:spacing w:line="360" w:lineRule="auto"/>
        <w:ind w:firstLineChars="200" w:firstLine="480"/>
        <w:rPr>
          <w:rFonts w:eastAsiaTheme="minorEastAsia"/>
          <w:sz w:val="24"/>
          <w:szCs w:val="21"/>
        </w:rPr>
      </w:pPr>
      <w:r w:rsidRPr="00F9522B">
        <w:rPr>
          <w:rFonts w:eastAsiaTheme="minorEastAsia"/>
          <w:sz w:val="24"/>
          <w:szCs w:val="21"/>
        </w:rPr>
        <w:t>本工程</w:t>
      </w:r>
      <w:r w:rsidRPr="00F9522B">
        <w:rPr>
          <w:rFonts w:eastAsiaTheme="minorEastAsia"/>
          <w:sz w:val="24"/>
        </w:rPr>
        <w:t>施工期无施工废水排放到环境水体。施工过程不会对周围环境及环境保护目标造成影响。</w:t>
      </w:r>
    </w:p>
    <w:p w:rsidR="002A5A5E" w:rsidRPr="00F9522B" w:rsidRDefault="00611CBA">
      <w:pPr>
        <w:keepNext/>
        <w:keepLines/>
        <w:spacing w:before="100" w:beforeAutospacing="1" w:after="100" w:afterAutospacing="1"/>
        <w:outlineLvl w:val="2"/>
        <w:rPr>
          <w:rFonts w:eastAsiaTheme="minorEastAsia"/>
          <w:b/>
          <w:sz w:val="28"/>
          <w:szCs w:val="28"/>
        </w:rPr>
      </w:pPr>
      <w:r w:rsidRPr="00F9522B">
        <w:rPr>
          <w:rFonts w:eastAsiaTheme="minorEastAsia"/>
          <w:b/>
          <w:sz w:val="28"/>
          <w:szCs w:val="28"/>
        </w:rPr>
        <w:lastRenderedPageBreak/>
        <w:t>6.1.3</w:t>
      </w:r>
      <w:r w:rsidRPr="00F9522B">
        <w:rPr>
          <w:rFonts w:eastAsiaTheme="minorEastAsia"/>
          <w:b/>
          <w:sz w:val="28"/>
          <w:szCs w:val="28"/>
        </w:rPr>
        <w:t>声环境保护措施及其可行性论证</w:t>
      </w:r>
    </w:p>
    <w:p w:rsidR="002A5A5E" w:rsidRPr="00F9522B" w:rsidRDefault="00611CBA" w:rsidP="00611CBA">
      <w:pPr>
        <w:spacing w:line="360" w:lineRule="auto"/>
        <w:ind w:firstLineChars="177" w:firstLine="425"/>
        <w:rPr>
          <w:rFonts w:eastAsiaTheme="minorEastAsia"/>
          <w:sz w:val="24"/>
        </w:rPr>
      </w:pPr>
      <w:r w:rsidRPr="00F9522B">
        <w:rPr>
          <w:rFonts w:eastAsiaTheme="minorEastAsia"/>
          <w:sz w:val="24"/>
        </w:rPr>
        <w:t>项目施工期噪声主要来源于施工机械噪声和运输车辆噪声，根据拟建项目所在区域环境敏感点情况和受影响的程度，建设单位应针对以上具体影响情况，采取以下防护措施来减轻噪声和振动的影响：</w:t>
      </w:r>
    </w:p>
    <w:p w:rsidR="002A5A5E" w:rsidRPr="00F9522B" w:rsidRDefault="00611CBA" w:rsidP="00611CBA">
      <w:pPr>
        <w:spacing w:line="360" w:lineRule="auto"/>
        <w:ind w:firstLineChars="177" w:firstLine="425"/>
        <w:rPr>
          <w:rFonts w:eastAsiaTheme="minorEastAsia"/>
          <w:sz w:val="24"/>
          <w:szCs w:val="21"/>
        </w:rPr>
      </w:pPr>
      <w:r w:rsidRPr="00F9522B">
        <w:rPr>
          <w:rFonts w:eastAsiaTheme="minorEastAsia"/>
          <w:sz w:val="24"/>
        </w:rPr>
        <w:t>（</w:t>
      </w:r>
      <w:r w:rsidRPr="00F9522B">
        <w:rPr>
          <w:rFonts w:eastAsiaTheme="minorEastAsia"/>
          <w:sz w:val="24"/>
        </w:rPr>
        <w:t>1</w:t>
      </w:r>
      <w:r w:rsidRPr="00F9522B">
        <w:rPr>
          <w:rFonts w:eastAsiaTheme="minorEastAsia"/>
          <w:sz w:val="24"/>
        </w:rPr>
        <w:t>）</w:t>
      </w:r>
      <w:r w:rsidRPr="00F9522B">
        <w:rPr>
          <w:rFonts w:eastAsiaTheme="minorEastAsia"/>
          <w:bCs/>
          <w:sz w:val="24"/>
        </w:rPr>
        <w:t>合理规划施工布置。</w:t>
      </w:r>
      <w:r w:rsidRPr="00F9522B">
        <w:rPr>
          <w:rFonts w:eastAsiaTheme="minorEastAsia"/>
          <w:sz w:val="24"/>
          <w:szCs w:val="21"/>
        </w:rPr>
        <w:t>移动式声屏障可拆卸重复使用，高度为</w:t>
      </w:r>
      <w:r w:rsidRPr="00F9522B">
        <w:rPr>
          <w:rFonts w:eastAsiaTheme="minorEastAsia"/>
          <w:sz w:val="24"/>
          <w:szCs w:val="21"/>
        </w:rPr>
        <w:t>2m</w:t>
      </w:r>
      <w:r w:rsidRPr="00F9522B">
        <w:rPr>
          <w:rFonts w:eastAsiaTheme="minorEastAsia"/>
          <w:sz w:val="24"/>
          <w:szCs w:val="21"/>
        </w:rPr>
        <w:t>。本次评价考虑距离工程</w:t>
      </w:r>
      <w:r w:rsidRPr="00F9522B">
        <w:rPr>
          <w:rFonts w:eastAsiaTheme="minorEastAsia"/>
          <w:sz w:val="24"/>
          <w:szCs w:val="21"/>
        </w:rPr>
        <w:t>10m</w:t>
      </w:r>
      <w:r w:rsidRPr="00F9522B">
        <w:rPr>
          <w:rFonts w:eastAsiaTheme="minorEastAsia"/>
          <w:sz w:val="24"/>
          <w:szCs w:val="21"/>
        </w:rPr>
        <w:t>以内的敏感保护目标设置芯材为玻璃棉等吸声材料的双层移动式隔声屏障，</w:t>
      </w:r>
      <w:r w:rsidRPr="00F9522B">
        <w:rPr>
          <w:rFonts w:eastAsiaTheme="minorEastAsia"/>
          <w:spacing w:val="-5"/>
          <w:sz w:val="24"/>
        </w:rPr>
        <w:t>双层</w:t>
      </w:r>
      <w:r w:rsidRPr="00F9522B">
        <w:rPr>
          <w:rFonts w:eastAsiaTheme="minorEastAsia"/>
          <w:sz w:val="24"/>
          <w:szCs w:val="21"/>
        </w:rPr>
        <w:t>声屏障降噪效果良好，可降噪</w:t>
      </w:r>
      <w:r w:rsidRPr="00F9522B">
        <w:rPr>
          <w:rFonts w:eastAsiaTheme="minorEastAsia"/>
          <w:sz w:val="24"/>
          <w:szCs w:val="21"/>
        </w:rPr>
        <w:t>25dB</w:t>
      </w:r>
      <w:r w:rsidRPr="00F9522B">
        <w:rPr>
          <w:rFonts w:eastAsiaTheme="minorEastAsia"/>
          <w:sz w:val="24"/>
          <w:szCs w:val="21"/>
        </w:rPr>
        <w:t>（</w:t>
      </w:r>
      <w:r w:rsidRPr="00F9522B">
        <w:rPr>
          <w:rFonts w:eastAsiaTheme="minorEastAsia"/>
          <w:sz w:val="24"/>
          <w:szCs w:val="21"/>
        </w:rPr>
        <w:t>A</w:t>
      </w:r>
      <w:r w:rsidRPr="00F9522B">
        <w:rPr>
          <w:rFonts w:eastAsiaTheme="minorEastAsia"/>
          <w:sz w:val="24"/>
          <w:szCs w:val="21"/>
        </w:rPr>
        <w:t>）。</w:t>
      </w:r>
    </w:p>
    <w:p w:rsidR="002A5A5E" w:rsidRPr="00F9522B" w:rsidRDefault="00611CBA">
      <w:pPr>
        <w:spacing w:line="360" w:lineRule="auto"/>
        <w:ind w:firstLineChars="200" w:firstLine="480"/>
        <w:rPr>
          <w:rFonts w:eastAsiaTheme="minorEastAsia"/>
          <w:sz w:val="24"/>
        </w:rPr>
      </w:pPr>
      <w:r w:rsidRPr="00F9522B">
        <w:rPr>
          <w:rFonts w:eastAsiaTheme="minorEastAsia"/>
          <w:sz w:val="24"/>
          <w:szCs w:val="21"/>
        </w:rPr>
        <w:t>合理布置施工现场，尽量让高噪声设备远离敏感点一侧布置；做好安全文明施工（严禁中午</w:t>
      </w:r>
      <w:r w:rsidRPr="00F9522B">
        <w:rPr>
          <w:rFonts w:eastAsiaTheme="minorEastAsia"/>
          <w:sz w:val="24"/>
          <w:szCs w:val="21"/>
        </w:rPr>
        <w:t>12:00</w:t>
      </w:r>
      <w:r w:rsidRPr="00F9522B">
        <w:rPr>
          <w:rFonts w:eastAsia="MS Mincho"/>
          <w:sz w:val="24"/>
          <w:szCs w:val="21"/>
        </w:rPr>
        <w:t>〜</w:t>
      </w:r>
      <w:r w:rsidRPr="00F9522B">
        <w:rPr>
          <w:rFonts w:eastAsiaTheme="minorEastAsia"/>
          <w:sz w:val="24"/>
          <w:szCs w:val="21"/>
        </w:rPr>
        <w:t>14:00</w:t>
      </w:r>
      <w:r w:rsidRPr="00F9522B">
        <w:rPr>
          <w:rFonts w:eastAsiaTheme="minorEastAsia"/>
          <w:sz w:val="24"/>
          <w:szCs w:val="21"/>
        </w:rPr>
        <w:t>进行高噪声施工活动），夜间不施工，在</w:t>
      </w:r>
      <w:r w:rsidRPr="00F9522B">
        <w:rPr>
          <w:rFonts w:eastAsiaTheme="minorEastAsia"/>
          <w:sz w:val="24"/>
          <w:szCs w:val="21"/>
        </w:rPr>
        <w:t>10m</w:t>
      </w:r>
      <w:r w:rsidRPr="00F9522B">
        <w:rPr>
          <w:rFonts w:eastAsiaTheme="minorEastAsia"/>
          <w:sz w:val="24"/>
          <w:szCs w:val="21"/>
        </w:rPr>
        <w:t>以内分布有居民（</w:t>
      </w:r>
      <w:r w:rsidR="007A5D2B" w:rsidRPr="00F9522B">
        <w:rPr>
          <w:rFonts w:eastAsiaTheme="minorEastAsia"/>
          <w:sz w:val="24"/>
          <w:szCs w:val="21"/>
        </w:rPr>
        <w:t>八里荒、榆树村、黄家窝堡等村屯，共</w:t>
      </w:r>
      <w:r w:rsidR="007A5D2B" w:rsidRPr="00F9522B">
        <w:rPr>
          <w:rFonts w:eastAsiaTheme="minorEastAsia"/>
          <w:sz w:val="24"/>
          <w:szCs w:val="21"/>
        </w:rPr>
        <w:t>25</w:t>
      </w:r>
      <w:r w:rsidR="007A5D2B" w:rsidRPr="00F9522B">
        <w:rPr>
          <w:rFonts w:eastAsiaTheme="minorEastAsia"/>
          <w:sz w:val="24"/>
          <w:szCs w:val="21"/>
        </w:rPr>
        <w:t>处</w:t>
      </w:r>
      <w:r w:rsidRPr="00F9522B">
        <w:rPr>
          <w:rFonts w:eastAsiaTheme="minorEastAsia"/>
          <w:sz w:val="24"/>
          <w:szCs w:val="21"/>
        </w:rPr>
        <w:t>，具体村屯名称</w:t>
      </w:r>
      <w:r w:rsidR="00660C23" w:rsidRPr="00F9522B">
        <w:rPr>
          <w:rFonts w:eastAsiaTheme="minorEastAsia"/>
          <w:sz w:val="24"/>
          <w:szCs w:val="21"/>
        </w:rPr>
        <w:t>见表</w:t>
      </w:r>
      <w:r w:rsidR="00660C23" w:rsidRPr="00F9522B">
        <w:rPr>
          <w:rFonts w:eastAsiaTheme="minorEastAsia"/>
          <w:sz w:val="24"/>
          <w:szCs w:val="21"/>
        </w:rPr>
        <w:t>2-8-1</w:t>
      </w:r>
      <w:r w:rsidRPr="00F9522B">
        <w:rPr>
          <w:rFonts w:eastAsiaTheme="minorEastAsia"/>
          <w:sz w:val="24"/>
          <w:szCs w:val="21"/>
        </w:rPr>
        <w:t>）的灌溉与排水、田间道路、涵洞等建筑物、</w:t>
      </w:r>
      <w:r w:rsidRPr="00F9522B">
        <w:rPr>
          <w:rFonts w:eastAsiaTheme="minorEastAsia"/>
          <w:bCs/>
          <w:sz w:val="24"/>
          <w:szCs w:val="21"/>
        </w:rPr>
        <w:t>输配电</w:t>
      </w:r>
      <w:r w:rsidRPr="00F9522B">
        <w:rPr>
          <w:rFonts w:eastAsiaTheme="minorEastAsia"/>
          <w:sz w:val="24"/>
          <w:szCs w:val="21"/>
        </w:rPr>
        <w:t>工程处设置</w:t>
      </w:r>
      <w:r w:rsidRPr="00F9522B">
        <w:rPr>
          <w:rFonts w:eastAsiaTheme="minorEastAsia"/>
          <w:spacing w:val="-5"/>
          <w:sz w:val="24"/>
        </w:rPr>
        <w:t>双层</w:t>
      </w:r>
      <w:r w:rsidRPr="00F9522B">
        <w:rPr>
          <w:rFonts w:eastAsiaTheme="minorEastAsia"/>
          <w:sz w:val="24"/>
          <w:szCs w:val="21"/>
        </w:rPr>
        <w:t>移动隔声屏障，高度为</w:t>
      </w:r>
      <w:r w:rsidRPr="00F9522B">
        <w:rPr>
          <w:rFonts w:eastAsiaTheme="minorEastAsia"/>
          <w:sz w:val="24"/>
          <w:szCs w:val="21"/>
        </w:rPr>
        <w:t>2m</w:t>
      </w:r>
      <w:r w:rsidRPr="00F9522B">
        <w:rPr>
          <w:rFonts w:eastAsiaTheme="minorEastAsia"/>
          <w:sz w:val="24"/>
          <w:szCs w:val="21"/>
        </w:rPr>
        <w:t>，长度能够覆盖敏感目标（长度超出敏感目标两侧各</w:t>
      </w:r>
      <w:r w:rsidRPr="00F9522B">
        <w:rPr>
          <w:rFonts w:eastAsiaTheme="minorEastAsia"/>
          <w:sz w:val="24"/>
          <w:szCs w:val="21"/>
        </w:rPr>
        <w:t>10m</w:t>
      </w:r>
      <w:r w:rsidRPr="00F9522B">
        <w:rPr>
          <w:rFonts w:eastAsiaTheme="minorEastAsia"/>
          <w:sz w:val="24"/>
          <w:szCs w:val="21"/>
        </w:rPr>
        <w:t>）。采取</w:t>
      </w:r>
      <w:r w:rsidRPr="00F9522B">
        <w:rPr>
          <w:rFonts w:eastAsiaTheme="minorEastAsia"/>
          <w:spacing w:val="-5"/>
          <w:sz w:val="24"/>
        </w:rPr>
        <w:t>双层</w:t>
      </w:r>
      <w:r w:rsidRPr="00F9522B">
        <w:rPr>
          <w:rFonts w:eastAsiaTheme="minorEastAsia"/>
          <w:sz w:val="24"/>
          <w:szCs w:val="21"/>
        </w:rPr>
        <w:t>声屏障措施后，施工厂界噪声值可满足</w:t>
      </w:r>
      <w:r w:rsidRPr="00F9522B">
        <w:rPr>
          <w:rFonts w:eastAsiaTheme="minorEastAsia"/>
          <w:bCs/>
          <w:sz w:val="24"/>
        </w:rPr>
        <w:t>《建筑施工噪声排放标准》</w:t>
      </w:r>
      <w:r w:rsidRPr="00F9522B">
        <w:rPr>
          <w:rFonts w:eastAsiaTheme="minorEastAsia"/>
          <w:bCs/>
          <w:sz w:val="24"/>
        </w:rPr>
        <w:t>(GB12523-2025)</w:t>
      </w:r>
      <w:r w:rsidRPr="00F9522B">
        <w:rPr>
          <w:rFonts w:eastAsiaTheme="minorEastAsia"/>
          <w:bCs/>
          <w:sz w:val="24"/>
        </w:rPr>
        <w:t>要求。</w:t>
      </w:r>
    </w:p>
    <w:p w:rsidR="002A5A5E" w:rsidRPr="00F9522B" w:rsidRDefault="00611CBA" w:rsidP="00611CBA">
      <w:pPr>
        <w:spacing w:line="360" w:lineRule="auto"/>
        <w:ind w:firstLineChars="177" w:firstLine="425"/>
        <w:rPr>
          <w:rFonts w:eastAsiaTheme="minorEastAsia"/>
          <w:sz w:val="24"/>
        </w:rPr>
      </w:pPr>
      <w:r w:rsidRPr="00F9522B">
        <w:rPr>
          <w:rFonts w:eastAsiaTheme="minorEastAsia"/>
          <w:sz w:val="24"/>
        </w:rPr>
        <w:t>（</w:t>
      </w:r>
      <w:r w:rsidRPr="00F9522B">
        <w:rPr>
          <w:rFonts w:eastAsiaTheme="minorEastAsia"/>
          <w:sz w:val="24"/>
        </w:rPr>
        <w:t>2</w:t>
      </w:r>
      <w:r w:rsidRPr="00F9522B">
        <w:rPr>
          <w:rFonts w:eastAsiaTheme="minorEastAsia"/>
          <w:sz w:val="24"/>
        </w:rPr>
        <w:t>）</w:t>
      </w:r>
      <w:r w:rsidRPr="00F9522B">
        <w:rPr>
          <w:rFonts w:eastAsiaTheme="minorEastAsia"/>
          <w:sz w:val="24"/>
          <w:szCs w:val="21"/>
        </w:rPr>
        <w:t>对施工机械和车辆进行维护保养</w:t>
      </w:r>
      <w:r w:rsidRPr="00F9522B">
        <w:rPr>
          <w:rFonts w:eastAsiaTheme="minorEastAsia"/>
          <w:sz w:val="24"/>
        </w:rPr>
        <w:t>。</w:t>
      </w:r>
    </w:p>
    <w:p w:rsidR="002A5A5E" w:rsidRPr="00F9522B" w:rsidRDefault="00611CBA" w:rsidP="00611CBA">
      <w:pPr>
        <w:spacing w:line="360" w:lineRule="auto"/>
        <w:ind w:firstLineChars="177" w:firstLine="425"/>
        <w:rPr>
          <w:rFonts w:eastAsiaTheme="minorEastAsia"/>
          <w:sz w:val="24"/>
        </w:rPr>
      </w:pPr>
      <w:r w:rsidRPr="00F9522B">
        <w:rPr>
          <w:rFonts w:eastAsiaTheme="minorEastAsia"/>
          <w:sz w:val="24"/>
        </w:rPr>
        <w:t>（</w:t>
      </w:r>
      <w:r w:rsidRPr="00F9522B">
        <w:rPr>
          <w:rFonts w:eastAsiaTheme="minorEastAsia"/>
          <w:sz w:val="24"/>
        </w:rPr>
        <w:t>3</w:t>
      </w:r>
      <w:r w:rsidRPr="00F9522B">
        <w:rPr>
          <w:rFonts w:eastAsiaTheme="minorEastAsia"/>
          <w:sz w:val="24"/>
        </w:rPr>
        <w:t>）</w:t>
      </w:r>
      <w:r w:rsidRPr="00F9522B">
        <w:rPr>
          <w:rFonts w:eastAsiaTheme="minorEastAsia"/>
          <w:bCs/>
          <w:smallCaps/>
          <w:sz w:val="24"/>
        </w:rPr>
        <w:t>施工单位应加强对施工队伍的管理，倡导文明施工；</w:t>
      </w:r>
      <w:r w:rsidRPr="00F9522B">
        <w:rPr>
          <w:rFonts w:eastAsiaTheme="minorEastAsia"/>
          <w:bCs/>
          <w:sz w:val="24"/>
        </w:rPr>
        <w:t>车辆经过居民区和噪声敏感点附近时应控制车速不超过</w:t>
      </w:r>
      <w:r w:rsidRPr="00F9522B">
        <w:rPr>
          <w:rFonts w:eastAsiaTheme="minorEastAsia"/>
          <w:bCs/>
          <w:sz w:val="24"/>
        </w:rPr>
        <w:t>20km/h</w:t>
      </w:r>
      <w:r w:rsidRPr="00F9522B">
        <w:rPr>
          <w:rFonts w:eastAsiaTheme="minorEastAsia"/>
          <w:bCs/>
          <w:sz w:val="24"/>
        </w:rPr>
        <w:t>，禁止鸣笛，同时，结合施工区所列的环境敏感目标设置警示牌限速牌</w:t>
      </w:r>
      <w:r w:rsidRPr="00F9522B">
        <w:rPr>
          <w:rFonts w:eastAsiaTheme="minorEastAsia"/>
          <w:sz w:val="24"/>
        </w:rPr>
        <w:t>。</w:t>
      </w:r>
    </w:p>
    <w:p w:rsidR="002A5A5E" w:rsidRPr="00F9522B" w:rsidRDefault="00611CBA" w:rsidP="00611CBA">
      <w:pPr>
        <w:spacing w:line="360" w:lineRule="auto"/>
        <w:ind w:firstLineChars="177" w:firstLine="425"/>
        <w:rPr>
          <w:rFonts w:eastAsiaTheme="minorEastAsia"/>
          <w:sz w:val="24"/>
        </w:rPr>
      </w:pPr>
      <w:r w:rsidRPr="00F9522B">
        <w:rPr>
          <w:rFonts w:eastAsiaTheme="minorEastAsia"/>
          <w:sz w:val="24"/>
        </w:rPr>
        <w:t>（</w:t>
      </w:r>
      <w:r w:rsidRPr="00F9522B">
        <w:rPr>
          <w:rFonts w:eastAsiaTheme="minorEastAsia"/>
          <w:sz w:val="24"/>
        </w:rPr>
        <w:t>4</w:t>
      </w:r>
      <w:r w:rsidRPr="00F9522B">
        <w:rPr>
          <w:rFonts w:eastAsiaTheme="minorEastAsia"/>
          <w:sz w:val="24"/>
        </w:rPr>
        <w:t>）</w:t>
      </w:r>
      <w:r w:rsidRPr="00F9522B">
        <w:rPr>
          <w:rFonts w:eastAsiaTheme="minorEastAsia"/>
          <w:sz w:val="24"/>
          <w:szCs w:val="21"/>
        </w:rPr>
        <w:t>加强施工期环境管理，尽量避免高噪声机械设备集中使用或几台声功率相同的设备同时、同点作业，以减少作业时的噪声声级</w:t>
      </w:r>
      <w:r w:rsidRPr="00F9522B">
        <w:rPr>
          <w:rFonts w:eastAsiaTheme="minorEastAsia"/>
          <w:sz w:val="24"/>
        </w:rPr>
        <w:t>。</w:t>
      </w:r>
    </w:p>
    <w:p w:rsidR="002A5A5E" w:rsidRPr="00F9522B" w:rsidRDefault="00611CBA" w:rsidP="00611CBA">
      <w:pPr>
        <w:spacing w:line="360" w:lineRule="auto"/>
        <w:ind w:firstLineChars="177" w:firstLine="425"/>
        <w:rPr>
          <w:rFonts w:eastAsiaTheme="minorEastAsia"/>
          <w:sz w:val="24"/>
        </w:rPr>
      </w:pPr>
      <w:r w:rsidRPr="00F9522B">
        <w:rPr>
          <w:rFonts w:eastAsiaTheme="minorEastAsia"/>
          <w:sz w:val="24"/>
        </w:rPr>
        <w:t>（</w:t>
      </w:r>
      <w:r w:rsidRPr="00F9522B">
        <w:rPr>
          <w:rFonts w:eastAsiaTheme="minorEastAsia"/>
          <w:sz w:val="24"/>
        </w:rPr>
        <w:t>5</w:t>
      </w:r>
      <w:r w:rsidRPr="00F9522B">
        <w:rPr>
          <w:rFonts w:eastAsiaTheme="minorEastAsia"/>
          <w:sz w:val="24"/>
        </w:rPr>
        <w:t>）</w:t>
      </w:r>
      <w:r w:rsidRPr="00F9522B">
        <w:rPr>
          <w:rFonts w:eastAsiaTheme="minorEastAsia"/>
          <w:sz w:val="24"/>
          <w:szCs w:val="21"/>
        </w:rPr>
        <w:t>合理安排施工作业时间，禁止夜间（</w:t>
      </w:r>
      <w:r w:rsidRPr="00F9522B">
        <w:rPr>
          <w:rFonts w:eastAsiaTheme="minorEastAsia"/>
          <w:sz w:val="24"/>
          <w:szCs w:val="21"/>
        </w:rPr>
        <w:t>22:00-6:00</w:t>
      </w:r>
      <w:r w:rsidRPr="00F9522B">
        <w:rPr>
          <w:rFonts w:eastAsiaTheme="minorEastAsia"/>
          <w:sz w:val="24"/>
          <w:szCs w:val="21"/>
        </w:rPr>
        <w:t>）施工</w:t>
      </w:r>
      <w:r w:rsidRPr="00F9522B">
        <w:rPr>
          <w:rFonts w:eastAsiaTheme="minorEastAsia"/>
          <w:sz w:val="24"/>
        </w:rPr>
        <w:t>。</w:t>
      </w:r>
    </w:p>
    <w:p w:rsidR="002A5A5E" w:rsidRPr="00F9522B" w:rsidRDefault="00611CBA" w:rsidP="00611CBA">
      <w:pPr>
        <w:spacing w:line="360" w:lineRule="auto"/>
        <w:ind w:firstLineChars="177" w:firstLine="425"/>
        <w:rPr>
          <w:rFonts w:eastAsiaTheme="minorEastAsia"/>
          <w:sz w:val="24"/>
        </w:rPr>
      </w:pPr>
      <w:r w:rsidRPr="00F9522B">
        <w:rPr>
          <w:rFonts w:eastAsiaTheme="minorEastAsia"/>
          <w:sz w:val="24"/>
        </w:rPr>
        <w:t>（</w:t>
      </w:r>
      <w:r w:rsidRPr="00F9522B">
        <w:rPr>
          <w:rFonts w:eastAsiaTheme="minorEastAsia"/>
          <w:sz w:val="24"/>
        </w:rPr>
        <w:t>6</w:t>
      </w:r>
      <w:r w:rsidRPr="00F9522B">
        <w:rPr>
          <w:rFonts w:eastAsiaTheme="minorEastAsia"/>
          <w:sz w:val="24"/>
        </w:rPr>
        <w:t>）建设管理部门应加强对施工工地的噪声管理，施工企业也应对施工进行自律，文明施工，避免因施工噪声产生纠纷。</w:t>
      </w:r>
    </w:p>
    <w:p w:rsidR="002A5A5E" w:rsidRPr="00F9522B" w:rsidRDefault="00611CBA" w:rsidP="00611CBA">
      <w:pPr>
        <w:spacing w:line="360" w:lineRule="auto"/>
        <w:ind w:firstLineChars="177" w:firstLine="425"/>
        <w:rPr>
          <w:rFonts w:eastAsiaTheme="minorEastAsia"/>
          <w:sz w:val="24"/>
        </w:rPr>
      </w:pPr>
      <w:r w:rsidRPr="00F9522B">
        <w:rPr>
          <w:rFonts w:eastAsiaTheme="minorEastAsia"/>
          <w:sz w:val="24"/>
        </w:rPr>
        <w:t>（</w:t>
      </w:r>
      <w:r w:rsidRPr="00F9522B">
        <w:rPr>
          <w:rFonts w:eastAsiaTheme="minorEastAsia"/>
          <w:sz w:val="24"/>
        </w:rPr>
        <w:t>7</w:t>
      </w:r>
      <w:r w:rsidRPr="00F9522B">
        <w:rPr>
          <w:rFonts w:eastAsiaTheme="minorEastAsia"/>
          <w:sz w:val="24"/>
        </w:rPr>
        <w:t>）</w:t>
      </w:r>
      <w:r w:rsidRPr="00F9522B">
        <w:rPr>
          <w:rFonts w:eastAsiaTheme="minorEastAsia"/>
          <w:bCs/>
          <w:sz w:val="24"/>
        </w:rPr>
        <w:t>加强施工期噪声监测，项目所在区域地势平坦，噪声影响范围大；施工期环境监测单位应加强对声环境敏感点的噪声监测，尤其是建筑物工程附近的敏感点的噪声监测，对于噪声超标的区域，及时反馈建设单位，督促施工单位加以规范，确保敏感点声环境功能区达标。</w:t>
      </w:r>
    </w:p>
    <w:p w:rsidR="002A5A5E" w:rsidRPr="00F9522B" w:rsidRDefault="00611CBA" w:rsidP="00611CBA">
      <w:pPr>
        <w:spacing w:line="360" w:lineRule="auto"/>
        <w:ind w:firstLineChars="177" w:firstLine="425"/>
        <w:rPr>
          <w:rFonts w:eastAsiaTheme="minorEastAsia"/>
          <w:sz w:val="24"/>
        </w:rPr>
      </w:pPr>
      <w:r w:rsidRPr="00F9522B">
        <w:rPr>
          <w:rFonts w:eastAsiaTheme="minorEastAsia"/>
          <w:bCs/>
          <w:sz w:val="24"/>
        </w:rPr>
        <w:t>综上分析，本项目施工期噪声具有阶段性、临时性和不固定性的特征。尽管施工噪声对周边环境有一定的不利影响，但是施工期噪声影响是短暂的，一旦施</w:t>
      </w:r>
      <w:r w:rsidRPr="00F9522B">
        <w:rPr>
          <w:rFonts w:eastAsiaTheme="minorEastAsia"/>
          <w:bCs/>
          <w:sz w:val="24"/>
        </w:rPr>
        <w:lastRenderedPageBreak/>
        <w:t>工活动结束，施工噪声影响也就随之结束，</w:t>
      </w:r>
      <w:r w:rsidRPr="00F9522B">
        <w:rPr>
          <w:rFonts w:eastAsiaTheme="minorEastAsia"/>
          <w:sz w:val="24"/>
        </w:rPr>
        <w:t>采取措施后厂界噪声符合《建筑施工噪声排放标准》（</w:t>
      </w:r>
      <w:r w:rsidRPr="00F9522B">
        <w:rPr>
          <w:rFonts w:eastAsiaTheme="minorEastAsia"/>
          <w:sz w:val="24"/>
        </w:rPr>
        <w:t>GB12523-2025</w:t>
      </w:r>
      <w:r w:rsidRPr="00F9522B">
        <w:rPr>
          <w:rFonts w:eastAsiaTheme="minorEastAsia"/>
          <w:sz w:val="24"/>
        </w:rPr>
        <w:t>）要求，施工期声环境保护措施可行。</w:t>
      </w:r>
    </w:p>
    <w:p w:rsidR="002A5A5E" w:rsidRPr="00F9522B" w:rsidRDefault="00611CBA">
      <w:pPr>
        <w:keepNext/>
        <w:keepLines/>
        <w:spacing w:before="100" w:beforeAutospacing="1" w:after="100" w:afterAutospacing="1"/>
        <w:outlineLvl w:val="2"/>
        <w:rPr>
          <w:rFonts w:eastAsiaTheme="minorEastAsia"/>
          <w:b/>
          <w:sz w:val="28"/>
          <w:szCs w:val="28"/>
        </w:rPr>
      </w:pPr>
      <w:r w:rsidRPr="00F9522B">
        <w:rPr>
          <w:rFonts w:eastAsiaTheme="minorEastAsia"/>
          <w:b/>
          <w:sz w:val="28"/>
          <w:szCs w:val="28"/>
        </w:rPr>
        <w:t>6.1.4</w:t>
      </w:r>
      <w:r w:rsidRPr="00F9522B">
        <w:rPr>
          <w:rFonts w:eastAsiaTheme="minorEastAsia"/>
          <w:b/>
          <w:sz w:val="28"/>
          <w:szCs w:val="28"/>
        </w:rPr>
        <w:t>固体废物处置措施及其可行性论证</w:t>
      </w:r>
    </w:p>
    <w:p w:rsidR="002A5A5E" w:rsidRPr="00F9522B" w:rsidRDefault="00611CBA">
      <w:pPr>
        <w:spacing w:line="360" w:lineRule="auto"/>
        <w:ind w:firstLineChars="200" w:firstLine="464"/>
        <w:rPr>
          <w:rFonts w:eastAsiaTheme="minorEastAsia"/>
          <w:spacing w:val="-4"/>
          <w:sz w:val="24"/>
          <w:szCs w:val="21"/>
        </w:rPr>
      </w:pPr>
      <w:r w:rsidRPr="00F9522B">
        <w:rPr>
          <w:rFonts w:eastAsiaTheme="minorEastAsia"/>
          <w:spacing w:val="-4"/>
          <w:sz w:val="24"/>
          <w:szCs w:val="21"/>
        </w:rPr>
        <w:t>施工期固体废物主要包括建筑垃圾、施工弃土、生活垃圾、淤泥、</w:t>
      </w:r>
      <w:r w:rsidRPr="00F9522B">
        <w:rPr>
          <w:rFonts w:eastAsiaTheme="minorEastAsia"/>
          <w:sz w:val="24"/>
        </w:rPr>
        <w:t>废肥料包装袋</w:t>
      </w:r>
      <w:r w:rsidRPr="00F9522B">
        <w:rPr>
          <w:rFonts w:eastAsiaTheme="minorEastAsia"/>
          <w:spacing w:val="-4"/>
          <w:sz w:val="24"/>
          <w:szCs w:val="21"/>
        </w:rPr>
        <w:t>。</w:t>
      </w:r>
    </w:p>
    <w:p w:rsidR="002A5A5E" w:rsidRPr="00F9522B" w:rsidRDefault="00611CBA">
      <w:pPr>
        <w:spacing w:line="360" w:lineRule="auto"/>
        <w:ind w:firstLineChars="200" w:firstLine="480"/>
        <w:rPr>
          <w:rFonts w:eastAsiaTheme="minorEastAsia"/>
          <w:spacing w:val="-4"/>
          <w:sz w:val="24"/>
          <w:szCs w:val="21"/>
        </w:rPr>
      </w:pPr>
      <w:r w:rsidRPr="00F9522B">
        <w:rPr>
          <w:rFonts w:eastAsiaTheme="minorEastAsia"/>
          <w:sz w:val="24"/>
        </w:rPr>
        <w:t>（</w:t>
      </w:r>
      <w:r w:rsidRPr="00F9522B">
        <w:rPr>
          <w:rFonts w:eastAsiaTheme="minorEastAsia"/>
          <w:sz w:val="24"/>
        </w:rPr>
        <w:t>1</w:t>
      </w:r>
      <w:r w:rsidRPr="00F9522B">
        <w:rPr>
          <w:rFonts w:eastAsiaTheme="minorEastAsia"/>
          <w:sz w:val="24"/>
        </w:rPr>
        <w:t>）</w:t>
      </w:r>
      <w:r w:rsidRPr="00F9522B">
        <w:rPr>
          <w:rFonts w:eastAsiaTheme="minorEastAsia"/>
          <w:spacing w:val="-4"/>
          <w:sz w:val="24"/>
          <w:szCs w:val="21"/>
        </w:rPr>
        <w:t>建筑垃圾有废建材、包装袋等。对可再利用的建筑废料，应进行回收利用，以节省资源。最大程度减小对环境的影响。建筑垃圾大部分用于田块整治工程，剩余及时送至建材公司回用。</w:t>
      </w:r>
    </w:p>
    <w:p w:rsidR="002A5A5E" w:rsidRPr="00F9522B" w:rsidRDefault="00611CBA">
      <w:pPr>
        <w:widowControl/>
        <w:spacing w:line="360" w:lineRule="auto"/>
        <w:ind w:firstLineChars="200" w:firstLine="480"/>
        <w:rPr>
          <w:rFonts w:eastAsiaTheme="minorEastAsia"/>
          <w:spacing w:val="-5"/>
          <w:sz w:val="24"/>
        </w:rPr>
      </w:pPr>
      <w:r w:rsidRPr="00F9522B">
        <w:rPr>
          <w:rFonts w:eastAsiaTheme="minorEastAsia"/>
          <w:sz w:val="24"/>
        </w:rPr>
        <w:t>（</w:t>
      </w:r>
      <w:r w:rsidRPr="00F9522B">
        <w:rPr>
          <w:rFonts w:eastAsiaTheme="minorEastAsia"/>
          <w:sz w:val="24"/>
        </w:rPr>
        <w:t>2</w:t>
      </w:r>
      <w:r w:rsidRPr="00F9522B">
        <w:rPr>
          <w:rFonts w:eastAsiaTheme="minorEastAsia"/>
          <w:sz w:val="24"/>
        </w:rPr>
        <w:t>）</w:t>
      </w:r>
      <w:r w:rsidRPr="00F9522B">
        <w:rPr>
          <w:rFonts w:eastAsiaTheme="minorEastAsia"/>
          <w:spacing w:val="-4"/>
          <w:sz w:val="24"/>
          <w:szCs w:val="21"/>
        </w:rPr>
        <w:t>本项目</w:t>
      </w:r>
      <w:r w:rsidRPr="00F9522B">
        <w:rPr>
          <w:rFonts w:eastAsiaTheme="minorEastAsia"/>
          <w:bCs/>
          <w:spacing w:val="-4"/>
          <w:sz w:val="24"/>
          <w:szCs w:val="21"/>
        </w:rPr>
        <w:t>泥浆不含有毒有害、油类等化学物质。</w:t>
      </w:r>
      <w:r w:rsidRPr="00F9522B">
        <w:rPr>
          <w:rFonts w:eastAsiaTheme="minorEastAsia"/>
          <w:sz w:val="24"/>
          <w:szCs w:val="22"/>
        </w:rPr>
        <w:t>钻井泥浆可循环利用，废泥浆</w:t>
      </w:r>
      <w:r w:rsidRPr="00F9522B">
        <w:rPr>
          <w:rFonts w:eastAsiaTheme="minorEastAsia"/>
          <w:sz w:val="24"/>
        </w:rPr>
        <w:t>暂存于施工场地</w:t>
      </w:r>
      <w:r w:rsidR="0009673A" w:rsidRPr="00F9522B">
        <w:rPr>
          <w:rFonts w:eastAsiaTheme="minorEastAsia"/>
          <w:sz w:val="24"/>
        </w:rPr>
        <w:t>5</w:t>
      </w:r>
      <w:r w:rsidR="0009673A" w:rsidRPr="00F9522B">
        <w:rPr>
          <w:rFonts w:eastAsiaTheme="minorEastAsia"/>
          <w:sz w:val="24"/>
        </w:rPr>
        <w:t>个</w:t>
      </w:r>
      <w:r w:rsidR="0009673A" w:rsidRPr="00F9522B">
        <w:rPr>
          <w:rFonts w:eastAsiaTheme="minorEastAsia"/>
          <w:sz w:val="24"/>
        </w:rPr>
        <w:t>2</w:t>
      </w:r>
      <w:r w:rsidRPr="00F9522B">
        <w:rPr>
          <w:rFonts w:eastAsiaTheme="minorEastAsia"/>
          <w:sz w:val="24"/>
        </w:rPr>
        <w:t>0</w:t>
      </w:r>
      <w:r w:rsidRPr="00F9522B">
        <w:rPr>
          <w:rFonts w:eastAsiaTheme="minorEastAsia"/>
          <w:sz w:val="24"/>
          <w:szCs w:val="22"/>
        </w:rPr>
        <w:t>m</w:t>
      </w:r>
      <w:r w:rsidRPr="00F9522B">
        <w:rPr>
          <w:rFonts w:eastAsiaTheme="minorEastAsia"/>
          <w:sz w:val="24"/>
          <w:szCs w:val="22"/>
          <w:vertAlign w:val="superscript"/>
        </w:rPr>
        <w:t>3</w:t>
      </w:r>
      <w:r w:rsidRPr="00F9522B">
        <w:rPr>
          <w:rFonts w:eastAsiaTheme="minorEastAsia"/>
          <w:sz w:val="24"/>
        </w:rPr>
        <w:t>移动式不锈钢沉淀池内，沉淀后上层清水用于洒水降尘，下层钻井</w:t>
      </w:r>
      <w:r w:rsidRPr="00F9522B">
        <w:rPr>
          <w:rFonts w:eastAsiaTheme="minorEastAsia"/>
          <w:bCs/>
          <w:sz w:val="24"/>
          <w:szCs w:val="22"/>
        </w:rPr>
        <w:t>泥浆自然干化后用于周围道路平整</w:t>
      </w:r>
      <w:r w:rsidRPr="00F9522B">
        <w:rPr>
          <w:rFonts w:eastAsiaTheme="minorEastAsia"/>
          <w:spacing w:val="-4"/>
          <w:sz w:val="24"/>
          <w:szCs w:val="21"/>
        </w:rPr>
        <w:t>。表土用于临时工程土地恢复及田块整治工程，土方能回填的及时回填。</w:t>
      </w:r>
    </w:p>
    <w:p w:rsidR="002A5A5E" w:rsidRPr="00F9522B" w:rsidRDefault="00611CBA" w:rsidP="00611CBA">
      <w:pPr>
        <w:spacing w:line="360" w:lineRule="auto"/>
        <w:ind w:firstLineChars="177" w:firstLine="425"/>
        <w:rPr>
          <w:rFonts w:eastAsiaTheme="minorEastAsia"/>
          <w:sz w:val="24"/>
        </w:rPr>
      </w:pPr>
      <w:r w:rsidRPr="00F9522B">
        <w:rPr>
          <w:rFonts w:eastAsiaTheme="minorEastAsia"/>
          <w:sz w:val="24"/>
        </w:rPr>
        <w:t>（</w:t>
      </w:r>
      <w:r w:rsidRPr="00F9522B">
        <w:rPr>
          <w:rFonts w:eastAsiaTheme="minorEastAsia"/>
          <w:sz w:val="24"/>
        </w:rPr>
        <w:t>3</w:t>
      </w:r>
      <w:r w:rsidRPr="00F9522B">
        <w:rPr>
          <w:rFonts w:eastAsiaTheme="minorEastAsia"/>
          <w:sz w:val="24"/>
        </w:rPr>
        <w:t>）</w:t>
      </w:r>
      <w:r w:rsidRPr="00F9522B">
        <w:rPr>
          <w:rFonts w:eastAsiaTheme="minorEastAsia"/>
          <w:spacing w:val="-4"/>
          <w:sz w:val="24"/>
          <w:szCs w:val="21"/>
        </w:rPr>
        <w:t>施工人员产生的生活垃圾集中收集后应由市政环卫部门统一清运处置</w:t>
      </w:r>
      <w:r w:rsidRPr="00F9522B">
        <w:rPr>
          <w:rFonts w:eastAsiaTheme="minorEastAsia"/>
          <w:sz w:val="24"/>
        </w:rPr>
        <w:t>。</w:t>
      </w:r>
    </w:p>
    <w:p w:rsidR="002A5A5E" w:rsidRPr="00F9522B" w:rsidRDefault="00611CBA" w:rsidP="00611CBA">
      <w:pPr>
        <w:spacing w:line="360" w:lineRule="auto"/>
        <w:ind w:firstLineChars="177" w:firstLine="425"/>
        <w:rPr>
          <w:rFonts w:eastAsiaTheme="minorEastAsia"/>
          <w:bCs/>
          <w:sz w:val="24"/>
        </w:rPr>
      </w:pPr>
      <w:r w:rsidRPr="00F9522B">
        <w:rPr>
          <w:rFonts w:eastAsiaTheme="minorEastAsia"/>
          <w:sz w:val="24"/>
        </w:rPr>
        <w:t>（</w:t>
      </w:r>
      <w:r w:rsidRPr="00F9522B">
        <w:rPr>
          <w:rFonts w:eastAsiaTheme="minorEastAsia"/>
          <w:sz w:val="24"/>
        </w:rPr>
        <w:t>4</w:t>
      </w:r>
      <w:r w:rsidRPr="00F9522B">
        <w:rPr>
          <w:rFonts w:eastAsiaTheme="minorEastAsia"/>
          <w:sz w:val="24"/>
        </w:rPr>
        <w:t>）</w:t>
      </w:r>
      <w:r w:rsidRPr="00F9522B">
        <w:rPr>
          <w:rFonts w:eastAsiaTheme="minorEastAsia"/>
          <w:bCs/>
          <w:sz w:val="24"/>
        </w:rPr>
        <w:t>本工程产生弃方淤泥</w:t>
      </w:r>
      <w:r w:rsidR="000037AB" w:rsidRPr="00F9522B">
        <w:rPr>
          <w:rFonts w:eastAsiaTheme="minorEastAsia"/>
          <w:bCs/>
          <w:sz w:val="24"/>
        </w:rPr>
        <w:t>0.255</w:t>
      </w:r>
      <w:r w:rsidR="000037AB" w:rsidRPr="00F9522B">
        <w:rPr>
          <w:rFonts w:eastAsiaTheme="minorEastAsia"/>
          <w:bCs/>
          <w:sz w:val="24"/>
        </w:rPr>
        <w:t>万</w:t>
      </w:r>
      <w:r w:rsidR="000037AB" w:rsidRPr="00F9522B">
        <w:rPr>
          <w:rFonts w:eastAsiaTheme="minorEastAsia"/>
          <w:bCs/>
          <w:sz w:val="24"/>
        </w:rPr>
        <w:t>m</w:t>
      </w:r>
      <w:r w:rsidRPr="00F9522B">
        <w:rPr>
          <w:rFonts w:eastAsiaTheme="minorEastAsia"/>
          <w:bCs/>
          <w:sz w:val="24"/>
          <w:vertAlign w:val="superscript"/>
        </w:rPr>
        <w:t>3</w:t>
      </w:r>
      <w:r w:rsidRPr="00F9522B">
        <w:rPr>
          <w:rFonts w:eastAsiaTheme="minorEastAsia"/>
          <w:bCs/>
          <w:sz w:val="24"/>
        </w:rPr>
        <w:t>，</w:t>
      </w:r>
      <w:r w:rsidRPr="00F9522B">
        <w:rPr>
          <w:rFonts w:eastAsiaTheme="minorEastAsia"/>
          <w:spacing w:val="-5"/>
          <w:sz w:val="24"/>
        </w:rPr>
        <w:t>根据污泥的来源和区域内污染源情况调查确定项目产生的清淤污泥属于一般固体废物。</w:t>
      </w:r>
      <w:r w:rsidR="00730492" w:rsidRPr="00730492">
        <w:rPr>
          <w:rFonts w:eastAsiaTheme="minorEastAsia" w:hint="eastAsia"/>
          <w:bCs/>
          <w:sz w:val="24"/>
        </w:rPr>
        <w:t>排水沟淤泥培至工程附近</w:t>
      </w:r>
      <w:r w:rsidR="00730492" w:rsidRPr="00730492">
        <w:rPr>
          <w:rFonts w:eastAsiaTheme="minorEastAsia" w:hint="eastAsia"/>
          <w:bCs/>
          <w:sz w:val="24"/>
        </w:rPr>
        <w:t>200</w:t>
      </w:r>
      <w:r w:rsidR="00730492" w:rsidRPr="00730492">
        <w:rPr>
          <w:rFonts w:eastAsiaTheme="minorEastAsia" w:hint="eastAsia"/>
          <w:bCs/>
          <w:sz w:val="24"/>
        </w:rPr>
        <w:t>米范围内无环境保护目标的排水沟两侧（避开南城李、方台镇、宋家村等</w:t>
      </w:r>
      <w:r w:rsidR="00730492" w:rsidRPr="00730492">
        <w:rPr>
          <w:rFonts w:eastAsiaTheme="minorEastAsia" w:hint="eastAsia"/>
          <w:bCs/>
          <w:sz w:val="24"/>
        </w:rPr>
        <w:t>33</w:t>
      </w:r>
      <w:r w:rsidR="00730492" w:rsidRPr="00730492">
        <w:rPr>
          <w:rFonts w:eastAsiaTheme="minorEastAsia" w:hint="eastAsia"/>
          <w:bCs/>
          <w:sz w:val="24"/>
        </w:rPr>
        <w:t>个村屯，具体见表</w:t>
      </w:r>
      <w:r w:rsidR="00730492" w:rsidRPr="00730492">
        <w:rPr>
          <w:rFonts w:eastAsiaTheme="minorEastAsia" w:hint="eastAsia"/>
          <w:bCs/>
          <w:sz w:val="24"/>
        </w:rPr>
        <w:t>2-8-2</w:t>
      </w:r>
      <w:r w:rsidR="00730492" w:rsidRPr="00730492">
        <w:rPr>
          <w:rFonts w:eastAsiaTheme="minorEastAsia" w:hint="eastAsia"/>
          <w:bCs/>
          <w:sz w:val="24"/>
        </w:rPr>
        <w:t>）</w:t>
      </w:r>
      <w:r w:rsidRPr="00F9522B">
        <w:rPr>
          <w:rFonts w:eastAsiaTheme="minorEastAsia"/>
          <w:bCs/>
          <w:sz w:val="24"/>
        </w:rPr>
        <w:t>。</w:t>
      </w:r>
    </w:p>
    <w:p w:rsidR="002A5A5E" w:rsidRPr="00F9522B" w:rsidRDefault="00611CBA" w:rsidP="00611CBA">
      <w:pPr>
        <w:spacing w:line="360" w:lineRule="auto"/>
        <w:ind w:firstLineChars="177" w:firstLine="425"/>
        <w:rPr>
          <w:rFonts w:eastAsiaTheme="minorEastAsia"/>
          <w:spacing w:val="-4"/>
          <w:sz w:val="24"/>
        </w:rPr>
      </w:pPr>
      <w:r w:rsidRPr="00F9522B">
        <w:rPr>
          <w:rFonts w:eastAsiaTheme="minorEastAsia"/>
          <w:bCs/>
          <w:sz w:val="24"/>
        </w:rPr>
        <w:t>（</w:t>
      </w:r>
      <w:r w:rsidRPr="00F9522B">
        <w:rPr>
          <w:rFonts w:eastAsiaTheme="minorEastAsia"/>
          <w:bCs/>
          <w:sz w:val="24"/>
        </w:rPr>
        <w:t>5</w:t>
      </w:r>
      <w:r w:rsidRPr="00F9522B">
        <w:rPr>
          <w:rFonts w:eastAsiaTheme="minorEastAsia"/>
          <w:bCs/>
          <w:sz w:val="24"/>
        </w:rPr>
        <w:t>）</w:t>
      </w:r>
      <w:r w:rsidRPr="00F9522B">
        <w:rPr>
          <w:rFonts w:eastAsiaTheme="minorEastAsia"/>
          <w:sz w:val="24"/>
        </w:rPr>
        <w:t>施工期</w:t>
      </w:r>
      <w:r w:rsidR="00D61453" w:rsidRPr="00F9522B">
        <w:rPr>
          <w:rFonts w:eastAsiaTheme="minorEastAsia"/>
          <w:bCs/>
          <w:sz w:val="24"/>
        </w:rPr>
        <w:t>田块整治</w:t>
      </w:r>
      <w:r w:rsidRPr="00F9522B">
        <w:rPr>
          <w:rFonts w:eastAsiaTheme="minorEastAsia"/>
          <w:bCs/>
          <w:sz w:val="24"/>
        </w:rPr>
        <w:t>工程</w:t>
      </w:r>
      <w:r w:rsidRPr="00F9522B">
        <w:rPr>
          <w:rFonts w:eastAsiaTheme="minorEastAsia"/>
          <w:sz w:val="24"/>
        </w:rPr>
        <w:t>将会产生少量的废肥料包装袋，产生量约为</w:t>
      </w:r>
      <w:r w:rsidRPr="00F9522B">
        <w:rPr>
          <w:rFonts w:eastAsiaTheme="minorEastAsia"/>
          <w:sz w:val="24"/>
        </w:rPr>
        <w:t>0.01t/a</w:t>
      </w:r>
      <w:r w:rsidRPr="00F9522B">
        <w:rPr>
          <w:rFonts w:eastAsiaTheme="minorEastAsia"/>
          <w:sz w:val="24"/>
        </w:rPr>
        <w:t>，外售废品收购站。</w:t>
      </w:r>
    </w:p>
    <w:p w:rsidR="002A5A5E" w:rsidRPr="00F9522B" w:rsidRDefault="00611CBA" w:rsidP="00611CBA">
      <w:pPr>
        <w:spacing w:line="360" w:lineRule="auto"/>
        <w:ind w:firstLineChars="177" w:firstLine="425"/>
        <w:rPr>
          <w:rFonts w:eastAsiaTheme="minorEastAsia"/>
          <w:sz w:val="24"/>
        </w:rPr>
      </w:pPr>
      <w:r w:rsidRPr="00F9522B">
        <w:rPr>
          <w:rFonts w:eastAsiaTheme="minorEastAsia"/>
          <w:sz w:val="24"/>
        </w:rPr>
        <w:t>采取上述措施，本项目施工期产生的固废处置率</w:t>
      </w:r>
      <w:r w:rsidRPr="00F9522B">
        <w:rPr>
          <w:rFonts w:eastAsiaTheme="minorEastAsia"/>
          <w:sz w:val="24"/>
        </w:rPr>
        <w:t>100%</w:t>
      </w:r>
      <w:r w:rsidRPr="00F9522B">
        <w:rPr>
          <w:rFonts w:eastAsiaTheme="minorEastAsia"/>
          <w:sz w:val="24"/>
        </w:rPr>
        <w:t>，不会对环境产生明显影响，施工期固体废物处置措施可行。</w:t>
      </w:r>
    </w:p>
    <w:p w:rsidR="002A5A5E" w:rsidRPr="00F9522B" w:rsidRDefault="00611CBA">
      <w:pPr>
        <w:keepNext/>
        <w:keepLines/>
        <w:spacing w:before="100" w:beforeAutospacing="1" w:after="100" w:afterAutospacing="1"/>
        <w:outlineLvl w:val="2"/>
        <w:rPr>
          <w:rFonts w:eastAsiaTheme="minorEastAsia"/>
          <w:b/>
          <w:sz w:val="28"/>
          <w:szCs w:val="28"/>
        </w:rPr>
      </w:pPr>
      <w:r w:rsidRPr="00F9522B">
        <w:rPr>
          <w:rFonts w:eastAsiaTheme="minorEastAsia"/>
          <w:b/>
          <w:sz w:val="28"/>
          <w:szCs w:val="28"/>
        </w:rPr>
        <w:t>6.1.5</w:t>
      </w:r>
      <w:r w:rsidRPr="00F9522B">
        <w:rPr>
          <w:rFonts w:eastAsiaTheme="minorEastAsia"/>
          <w:b/>
          <w:sz w:val="28"/>
          <w:szCs w:val="28"/>
        </w:rPr>
        <w:t>生态保护减缓措施</w:t>
      </w:r>
    </w:p>
    <w:p w:rsidR="002A5A5E" w:rsidRPr="00F9522B" w:rsidRDefault="00611CBA">
      <w:pPr>
        <w:pStyle w:val="aff4"/>
        <w:adjustRightInd/>
        <w:snapToGrid/>
        <w:jc w:val="both"/>
        <w:rPr>
          <w:rFonts w:ascii="Times New Roman" w:hAnsi="Times New Roman" w:cs="Times New Roman"/>
          <w:snapToGrid w:val="0"/>
        </w:rPr>
      </w:pPr>
      <w:r w:rsidRPr="00F9522B">
        <w:rPr>
          <w:rFonts w:ascii="Times New Roman" w:hAnsi="Times New Roman" w:cs="Times New Roman"/>
          <w:kern w:val="24"/>
        </w:rPr>
        <w:t>项目施工期对生态环境的影响主要体现为占用土地、扰动土层、生物量减少、土地利用类型改变、影响</w:t>
      </w:r>
      <w:r w:rsidRPr="00F9522B">
        <w:rPr>
          <w:rFonts w:ascii="Times New Roman" w:hAnsi="Times New Roman" w:cs="Times New Roman"/>
          <w:szCs w:val="21"/>
        </w:rPr>
        <w:t>景观完整性</w:t>
      </w:r>
      <w:r w:rsidRPr="00F9522B">
        <w:rPr>
          <w:rFonts w:ascii="Times New Roman" w:hAnsi="Times New Roman" w:cs="Times New Roman"/>
          <w:kern w:val="24"/>
        </w:rPr>
        <w:t>、加剧水土流失</w:t>
      </w:r>
      <w:r w:rsidRPr="00F9522B">
        <w:rPr>
          <w:rFonts w:ascii="Times New Roman" w:hAnsi="Times New Roman" w:cs="Times New Roman"/>
          <w:snapToGrid w:val="0"/>
        </w:rPr>
        <w:t>。</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为减轻拟建项目运营期对生态环境带来的不利影响，拟采取以下生态保护措施：</w:t>
      </w:r>
    </w:p>
    <w:p w:rsidR="002A5A5E" w:rsidRPr="00F9522B" w:rsidRDefault="00A4540D">
      <w:pPr>
        <w:spacing w:line="360" w:lineRule="auto"/>
        <w:ind w:firstLineChars="200" w:firstLine="480"/>
        <w:contextualSpacing/>
        <w:rPr>
          <w:rFonts w:eastAsiaTheme="minorEastAsia"/>
          <w:snapToGrid w:val="0"/>
          <w:kern w:val="0"/>
          <w:sz w:val="24"/>
        </w:rPr>
      </w:pPr>
      <w:r w:rsidRPr="00F9522B">
        <w:rPr>
          <w:rFonts w:eastAsiaTheme="minorEastAsia"/>
          <w:snapToGrid w:val="0"/>
          <w:kern w:val="0"/>
          <w:sz w:val="24"/>
        </w:rPr>
        <w:lastRenderedPageBreak/>
        <w:t>（</w:t>
      </w:r>
      <w:r w:rsidRPr="00F9522B">
        <w:rPr>
          <w:rFonts w:eastAsiaTheme="minorEastAsia"/>
          <w:snapToGrid w:val="0"/>
          <w:kern w:val="0"/>
          <w:sz w:val="24"/>
        </w:rPr>
        <w:t>1</w:t>
      </w:r>
      <w:r w:rsidRPr="00F9522B">
        <w:rPr>
          <w:rFonts w:eastAsiaTheme="minorEastAsia"/>
          <w:snapToGrid w:val="0"/>
          <w:kern w:val="0"/>
          <w:sz w:val="24"/>
        </w:rPr>
        <w:t>）</w:t>
      </w:r>
      <w:r w:rsidR="00611CBA" w:rsidRPr="00F9522B">
        <w:rPr>
          <w:rFonts w:eastAsiaTheme="minorEastAsia"/>
          <w:snapToGrid w:val="0"/>
          <w:kern w:val="0"/>
          <w:sz w:val="24"/>
        </w:rPr>
        <w:t>陆生生态、水生生态保护措施</w:t>
      </w:r>
    </w:p>
    <w:p w:rsidR="002A5A5E" w:rsidRPr="00F9522B" w:rsidRDefault="00611CBA">
      <w:pPr>
        <w:spacing w:line="360" w:lineRule="auto"/>
        <w:ind w:firstLineChars="200" w:firstLine="480"/>
        <w:contextualSpacing/>
        <w:rPr>
          <w:rFonts w:eastAsiaTheme="minorEastAsia"/>
          <w:snapToGrid w:val="0"/>
          <w:kern w:val="0"/>
          <w:sz w:val="24"/>
        </w:rPr>
      </w:pPr>
      <w:r w:rsidRPr="00F9522B">
        <w:rPr>
          <w:rFonts w:eastAsiaTheme="minorEastAsia"/>
          <w:snapToGrid w:val="0"/>
          <w:kern w:val="0"/>
          <w:sz w:val="24"/>
        </w:rPr>
        <w:t>严格控制占地范围，减少植被破坏、禁止动物的捕猎，加强对施工人员生态环境方面知识的教育，加强管理，增强对生态环境保护的意识和观念，并使施工人员变为自觉行为。</w:t>
      </w:r>
    </w:p>
    <w:p w:rsidR="002A5A5E" w:rsidRPr="00F9522B" w:rsidRDefault="00611CBA">
      <w:pPr>
        <w:spacing w:line="360" w:lineRule="auto"/>
        <w:ind w:firstLineChars="200" w:firstLine="480"/>
        <w:contextualSpacing/>
        <w:rPr>
          <w:rFonts w:eastAsiaTheme="minorEastAsia"/>
          <w:snapToGrid w:val="0"/>
          <w:kern w:val="0"/>
          <w:sz w:val="24"/>
        </w:rPr>
      </w:pPr>
      <w:r w:rsidRPr="00F9522B">
        <w:rPr>
          <w:rFonts w:eastAsiaTheme="minorEastAsia"/>
          <w:snapToGrid w:val="0"/>
          <w:kern w:val="0"/>
          <w:sz w:val="24"/>
        </w:rPr>
        <w:t>施工单位优化施工工艺和施工时序，尽量减少对动物惊扰应采用先进的施工工艺和优良设备，严格按规范施工，特别注意减少施工噪声对鸟类和兽类的惊扰。鉴于鸟类对噪声、振动和施工灯光的特殊要求，施工均在白天进行，晚上不施工。不在野生动物繁殖季节施工，减轻施工噪声和振动对野生动物的影响。</w:t>
      </w:r>
      <w:r w:rsidRPr="00F9522B">
        <w:rPr>
          <w:rFonts w:eastAsiaTheme="minorEastAsia"/>
          <w:sz w:val="24"/>
          <w:szCs w:val="21"/>
        </w:rPr>
        <w:t>合理安排施工时序，选择</w:t>
      </w:r>
      <w:r w:rsidRPr="00F9522B">
        <w:rPr>
          <w:rFonts w:eastAsiaTheme="minorEastAsia"/>
          <w:sz w:val="24"/>
          <w:szCs w:val="21"/>
        </w:rPr>
        <w:t>3</w:t>
      </w:r>
      <w:r w:rsidRPr="00F9522B">
        <w:rPr>
          <w:rFonts w:eastAsiaTheme="minorEastAsia"/>
          <w:sz w:val="24"/>
          <w:szCs w:val="21"/>
        </w:rPr>
        <w:t>月至</w:t>
      </w:r>
      <w:r w:rsidRPr="00F9522B">
        <w:rPr>
          <w:rFonts w:eastAsiaTheme="minorEastAsia"/>
          <w:sz w:val="24"/>
          <w:szCs w:val="21"/>
        </w:rPr>
        <w:t>4</w:t>
      </w:r>
      <w:r w:rsidRPr="00F9522B">
        <w:rPr>
          <w:rFonts w:eastAsiaTheme="minorEastAsia"/>
          <w:sz w:val="24"/>
          <w:szCs w:val="21"/>
        </w:rPr>
        <w:t>月进行排水沟清淤及涵洞等建筑物、护砌工程施工，沟渠干涸，不涉水，避免对地表水体的影响。施工废水洒水降尘，不会对沟渠水质、水生动植物产生影响。</w:t>
      </w:r>
      <w:r w:rsidRPr="00F9522B">
        <w:rPr>
          <w:rFonts w:eastAsiaTheme="minorEastAsia"/>
          <w:bCs/>
          <w:sz w:val="24"/>
        </w:rPr>
        <w:t>沟道清淤后，底质环境及水质的改善，对水生生态有益。</w:t>
      </w:r>
    </w:p>
    <w:p w:rsidR="002A5A5E" w:rsidRPr="00F9522B" w:rsidRDefault="00611CBA">
      <w:pPr>
        <w:spacing w:line="360" w:lineRule="auto"/>
        <w:ind w:firstLineChars="200" w:firstLine="480"/>
        <w:rPr>
          <w:rFonts w:eastAsiaTheme="minorEastAsia"/>
          <w:sz w:val="24"/>
          <w:szCs w:val="21"/>
        </w:rPr>
      </w:pPr>
      <w:r w:rsidRPr="00F9522B">
        <w:rPr>
          <w:rFonts w:eastAsiaTheme="minorEastAsia"/>
          <w:snapToGrid w:val="0"/>
          <w:kern w:val="0"/>
          <w:sz w:val="24"/>
        </w:rPr>
        <w:t>合理安排施工时间，避免雨天及大风天施工，防止在暴雨及大风期间造成大量水土流失。</w:t>
      </w:r>
    </w:p>
    <w:p w:rsidR="002A5A5E" w:rsidRPr="00F9522B" w:rsidRDefault="00611CBA">
      <w:pPr>
        <w:spacing w:line="360" w:lineRule="auto"/>
        <w:ind w:firstLineChars="200" w:firstLine="480"/>
        <w:rPr>
          <w:rFonts w:eastAsiaTheme="minorEastAsia"/>
          <w:snapToGrid w:val="0"/>
          <w:kern w:val="0"/>
          <w:sz w:val="24"/>
        </w:rPr>
      </w:pPr>
      <w:r w:rsidRPr="00F9522B">
        <w:rPr>
          <w:rFonts w:eastAsiaTheme="minorEastAsia"/>
          <w:snapToGrid w:val="0"/>
          <w:kern w:val="0"/>
          <w:sz w:val="24"/>
        </w:rPr>
        <w:t>施工期应把剥离的表层腐殖土集中妥善处理，并采取密目网苫盖措施，对挖方进行妥善的临时堆置，并及时进行弃方的清运，避免随意排放，以确保挖填裸露堆土，不被雨水冲刷，避免造成水土流失。</w:t>
      </w:r>
    </w:p>
    <w:p w:rsidR="002A5A5E" w:rsidRPr="00F9522B" w:rsidRDefault="00611CBA">
      <w:pPr>
        <w:spacing w:line="360" w:lineRule="auto"/>
        <w:ind w:firstLineChars="200" w:firstLine="480"/>
        <w:rPr>
          <w:rFonts w:eastAsiaTheme="minorEastAsia"/>
          <w:smallCaps/>
          <w:sz w:val="24"/>
        </w:rPr>
      </w:pPr>
      <w:r w:rsidRPr="00F9522B">
        <w:rPr>
          <w:rFonts w:eastAsiaTheme="minorEastAsia"/>
          <w:snapToGrid w:val="0"/>
          <w:kern w:val="0"/>
          <w:sz w:val="24"/>
        </w:rPr>
        <w:t>保护工程施工区域的水生生物资源。涵洞等建筑物施工过程</w:t>
      </w:r>
      <w:r w:rsidRPr="00F9522B">
        <w:rPr>
          <w:rFonts w:eastAsiaTheme="minorEastAsia"/>
          <w:smallCaps/>
          <w:sz w:val="24"/>
        </w:rPr>
        <w:t>禁止施工生产废水排放至沟渠内。</w:t>
      </w:r>
    </w:p>
    <w:p w:rsidR="002A5A5E" w:rsidRPr="00F9522B" w:rsidRDefault="00611CBA">
      <w:pPr>
        <w:spacing w:line="360" w:lineRule="auto"/>
        <w:ind w:firstLineChars="200" w:firstLine="480"/>
        <w:rPr>
          <w:rFonts w:eastAsiaTheme="minorEastAsia"/>
          <w:smallCaps/>
          <w:sz w:val="24"/>
        </w:rPr>
      </w:pPr>
      <w:r w:rsidRPr="00F9522B">
        <w:rPr>
          <w:rFonts w:eastAsiaTheme="minorEastAsia"/>
          <w:smallCaps/>
          <w:sz w:val="24"/>
        </w:rPr>
        <w:t>施工工区等在施工结束后，应立即恢复地表绿化，且尽可能恢复为原有物种，尽量不改变当地生态系统构成。</w:t>
      </w:r>
    </w:p>
    <w:p w:rsidR="002A5A5E" w:rsidRPr="00F9522B" w:rsidRDefault="00611CBA">
      <w:pPr>
        <w:spacing w:line="360" w:lineRule="auto"/>
        <w:ind w:firstLineChars="200" w:firstLine="480"/>
        <w:rPr>
          <w:rFonts w:eastAsiaTheme="minorEastAsia"/>
          <w:smallCaps/>
          <w:sz w:val="24"/>
        </w:rPr>
      </w:pPr>
      <w:r w:rsidRPr="00F9522B">
        <w:rPr>
          <w:rFonts w:eastAsiaTheme="minorEastAsia"/>
          <w:smallCaps/>
          <w:sz w:val="24"/>
        </w:rPr>
        <w:t>加强管理，严格控制施工作业范围，优化施工时序，进行</w:t>
      </w:r>
      <w:r w:rsidRPr="00F9522B">
        <w:rPr>
          <w:rFonts w:eastAsiaTheme="minorEastAsia"/>
          <w:smallCaps/>
          <w:sz w:val="24"/>
        </w:rPr>
        <w:t>“</w:t>
      </w:r>
      <w:r w:rsidRPr="00F9522B">
        <w:rPr>
          <w:rFonts w:eastAsiaTheme="minorEastAsia"/>
          <w:smallCaps/>
          <w:sz w:val="24"/>
        </w:rPr>
        <w:t>边施工、边修复</w:t>
      </w:r>
      <w:r w:rsidRPr="00F9522B">
        <w:rPr>
          <w:rFonts w:eastAsiaTheme="minorEastAsia"/>
          <w:smallCaps/>
          <w:sz w:val="24"/>
        </w:rPr>
        <w:t>”</w:t>
      </w:r>
      <w:r w:rsidRPr="00F9522B">
        <w:rPr>
          <w:rFonts w:eastAsiaTheme="minorEastAsia"/>
          <w:smallCaps/>
          <w:sz w:val="24"/>
        </w:rPr>
        <w:t>。</w:t>
      </w:r>
    </w:p>
    <w:p w:rsidR="002A5A5E" w:rsidRPr="00F9522B" w:rsidRDefault="00611CBA">
      <w:pPr>
        <w:spacing w:line="360" w:lineRule="auto"/>
        <w:ind w:firstLineChars="200" w:firstLine="480"/>
        <w:rPr>
          <w:rFonts w:eastAsiaTheme="minorEastAsia"/>
          <w:smallCaps/>
          <w:sz w:val="24"/>
        </w:rPr>
      </w:pPr>
      <w:r w:rsidRPr="00F9522B">
        <w:rPr>
          <w:rFonts w:eastAsiaTheme="minorEastAsia"/>
          <w:smallCaps/>
          <w:sz w:val="24"/>
        </w:rPr>
        <w:t>本项目田间道路工程在现有道路基</w:t>
      </w:r>
      <w:r w:rsidR="00D61453" w:rsidRPr="00F9522B">
        <w:rPr>
          <w:rFonts w:eastAsiaTheme="minorEastAsia"/>
          <w:smallCaps/>
          <w:sz w:val="24"/>
        </w:rPr>
        <w:t>础上修建，现有灌溉渠道衬砌，现有排水沟清淤、衬砌，田块整治工程</w:t>
      </w:r>
      <w:r w:rsidRPr="00F9522B">
        <w:rPr>
          <w:rFonts w:eastAsiaTheme="minorEastAsia"/>
          <w:bCs/>
          <w:smallCaps/>
          <w:sz w:val="24"/>
        </w:rPr>
        <w:t>在永久占地范围内</w:t>
      </w:r>
      <w:r w:rsidRPr="00F9522B">
        <w:rPr>
          <w:rFonts w:eastAsiaTheme="minorEastAsia"/>
          <w:smallCaps/>
          <w:sz w:val="24"/>
        </w:rPr>
        <w:t>，不新增临时占地，尽量减少占地。</w:t>
      </w:r>
    </w:p>
    <w:p w:rsidR="002A5A5E" w:rsidRPr="00F9522B" w:rsidRDefault="00A4540D">
      <w:pPr>
        <w:spacing w:line="360" w:lineRule="auto"/>
        <w:ind w:firstLineChars="200" w:firstLine="480"/>
        <w:rPr>
          <w:rFonts w:eastAsiaTheme="minorEastAsia"/>
          <w:smallCaps/>
          <w:sz w:val="24"/>
        </w:rPr>
      </w:pPr>
      <w:r w:rsidRPr="00F9522B">
        <w:rPr>
          <w:rFonts w:eastAsiaTheme="minorEastAsia"/>
          <w:smallCaps/>
          <w:sz w:val="24"/>
        </w:rPr>
        <w:t>（</w:t>
      </w:r>
      <w:r w:rsidRPr="00F9522B">
        <w:rPr>
          <w:rFonts w:eastAsiaTheme="minorEastAsia"/>
          <w:smallCaps/>
          <w:sz w:val="24"/>
        </w:rPr>
        <w:t>2</w:t>
      </w:r>
      <w:r w:rsidRPr="00F9522B">
        <w:rPr>
          <w:rFonts w:eastAsiaTheme="minorEastAsia"/>
          <w:smallCaps/>
          <w:sz w:val="24"/>
        </w:rPr>
        <w:t>）</w:t>
      </w:r>
      <w:r w:rsidR="00611CBA" w:rsidRPr="00F9522B">
        <w:rPr>
          <w:rFonts w:eastAsiaTheme="minorEastAsia"/>
          <w:smallCaps/>
          <w:sz w:val="24"/>
        </w:rPr>
        <w:t>表土堆存方式及生态保护措施</w:t>
      </w:r>
    </w:p>
    <w:p w:rsidR="002A5A5E" w:rsidRPr="00F9522B" w:rsidRDefault="00611CBA">
      <w:pPr>
        <w:spacing w:line="360" w:lineRule="auto"/>
        <w:ind w:firstLineChars="200" w:firstLine="480"/>
        <w:rPr>
          <w:rFonts w:eastAsiaTheme="minorEastAsia"/>
          <w:snapToGrid w:val="0"/>
          <w:kern w:val="0"/>
          <w:sz w:val="24"/>
        </w:rPr>
      </w:pPr>
      <w:r w:rsidRPr="00F9522B">
        <w:rPr>
          <w:rFonts w:eastAsiaTheme="minorEastAsia"/>
          <w:kern w:val="0"/>
          <w:sz w:val="24"/>
          <w:szCs w:val="20"/>
        </w:rPr>
        <w:t>本项目灌溉井工程、</w:t>
      </w:r>
      <w:r w:rsidRPr="00F9522B">
        <w:rPr>
          <w:rFonts w:eastAsiaTheme="minorEastAsia"/>
          <w:bCs/>
          <w:kern w:val="0"/>
          <w:sz w:val="24"/>
          <w:szCs w:val="20"/>
        </w:rPr>
        <w:t>建筑物工程</w:t>
      </w:r>
      <w:r w:rsidRPr="00F9522B">
        <w:rPr>
          <w:rFonts w:eastAsiaTheme="minorEastAsia"/>
          <w:kern w:val="0"/>
          <w:sz w:val="24"/>
          <w:szCs w:val="20"/>
        </w:rPr>
        <w:t>永久占地在工程建设前对表土进行剥离，剥离厚度约</w:t>
      </w:r>
      <w:r w:rsidRPr="00F9522B">
        <w:rPr>
          <w:rFonts w:eastAsiaTheme="minorEastAsia"/>
          <w:kern w:val="0"/>
          <w:sz w:val="24"/>
          <w:szCs w:val="20"/>
        </w:rPr>
        <w:t>30cm</w:t>
      </w:r>
      <w:r w:rsidRPr="00F9522B">
        <w:rPr>
          <w:rFonts w:eastAsiaTheme="minorEastAsia"/>
          <w:kern w:val="0"/>
          <w:sz w:val="24"/>
          <w:szCs w:val="20"/>
        </w:rPr>
        <w:t>。剥离后的表土在施工现场贮存，作为表土暂存场，</w:t>
      </w:r>
      <w:r w:rsidRPr="00F9522B">
        <w:rPr>
          <w:rFonts w:eastAsiaTheme="minorEastAsia"/>
          <w:bCs/>
          <w:kern w:val="0"/>
          <w:sz w:val="24"/>
          <w:szCs w:val="20"/>
        </w:rPr>
        <w:t>田块整治工程</w:t>
      </w:r>
      <w:r w:rsidRPr="00F9522B">
        <w:rPr>
          <w:rFonts w:eastAsiaTheme="minorEastAsia"/>
          <w:sz w:val="24"/>
        </w:rPr>
        <w:t>根据平整地块所在村的平均土壤厚度确定表土剥离厚度约</w:t>
      </w:r>
      <w:r w:rsidRPr="00F9522B">
        <w:rPr>
          <w:rFonts w:eastAsiaTheme="minorEastAsia"/>
          <w:sz w:val="24"/>
        </w:rPr>
        <w:t>25cm</w:t>
      </w:r>
      <w:r w:rsidRPr="00F9522B">
        <w:rPr>
          <w:rFonts w:eastAsiaTheme="minorEastAsia"/>
          <w:sz w:val="24"/>
        </w:rPr>
        <w:t>，</w:t>
      </w:r>
      <w:r w:rsidRPr="00F9522B">
        <w:rPr>
          <w:rFonts w:eastAsiaTheme="minorEastAsia"/>
          <w:kern w:val="0"/>
          <w:sz w:val="24"/>
          <w:szCs w:val="20"/>
        </w:rPr>
        <w:t>剥离后的表土在施工现场贮存，</w:t>
      </w:r>
      <w:r w:rsidRPr="00F9522B">
        <w:rPr>
          <w:rFonts w:eastAsiaTheme="minorEastAsia"/>
          <w:snapToGrid w:val="0"/>
          <w:kern w:val="0"/>
          <w:sz w:val="24"/>
        </w:rPr>
        <w:t>设置临时拦挡并采用密目网苫盖</w:t>
      </w:r>
      <w:r w:rsidRPr="00F9522B">
        <w:rPr>
          <w:rFonts w:eastAsiaTheme="minorEastAsia"/>
          <w:kern w:val="0"/>
          <w:sz w:val="24"/>
          <w:szCs w:val="20"/>
        </w:rPr>
        <w:t>，贮存过程严格按照表土贮</w:t>
      </w:r>
      <w:r w:rsidRPr="00F9522B">
        <w:rPr>
          <w:rFonts w:eastAsiaTheme="minorEastAsia"/>
          <w:kern w:val="0"/>
          <w:sz w:val="24"/>
          <w:szCs w:val="20"/>
        </w:rPr>
        <w:lastRenderedPageBreak/>
        <w:t>存要求。项目施工过程中会设置施工场地、施工道路，为临时占地，需要对表土进行剥离，剥离厚度约</w:t>
      </w:r>
      <w:r w:rsidRPr="00F9522B">
        <w:rPr>
          <w:rFonts w:eastAsiaTheme="minorEastAsia"/>
          <w:kern w:val="0"/>
          <w:sz w:val="24"/>
          <w:szCs w:val="20"/>
        </w:rPr>
        <w:t>30cm</w:t>
      </w:r>
      <w:r w:rsidRPr="00F9522B">
        <w:rPr>
          <w:rFonts w:eastAsiaTheme="minorEastAsia"/>
          <w:kern w:val="0"/>
          <w:sz w:val="24"/>
          <w:szCs w:val="20"/>
        </w:rPr>
        <w:t>，临时占地的表土分层剥离，分别堆放在输配电工程、灌溉井、建筑物等施工场地内，并加盖苫布，表土暂存场</w:t>
      </w:r>
      <w:r w:rsidRPr="00F9522B">
        <w:rPr>
          <w:rFonts w:eastAsiaTheme="minorEastAsia"/>
          <w:bCs/>
          <w:kern w:val="0"/>
          <w:sz w:val="24"/>
          <w:szCs w:val="20"/>
        </w:rPr>
        <w:t>堆高在</w:t>
      </w:r>
      <w:r w:rsidRPr="00F9522B">
        <w:rPr>
          <w:rFonts w:eastAsiaTheme="minorEastAsia"/>
          <w:bCs/>
          <w:kern w:val="0"/>
          <w:sz w:val="24"/>
          <w:szCs w:val="20"/>
        </w:rPr>
        <w:t>3m</w:t>
      </w:r>
      <w:r w:rsidRPr="00F9522B">
        <w:rPr>
          <w:rFonts w:eastAsiaTheme="minorEastAsia"/>
          <w:bCs/>
          <w:kern w:val="0"/>
          <w:sz w:val="24"/>
          <w:szCs w:val="20"/>
        </w:rPr>
        <w:t>以内，坡比</w:t>
      </w:r>
      <w:r w:rsidRPr="00F9522B">
        <w:rPr>
          <w:rFonts w:eastAsiaTheme="minorEastAsia"/>
          <w:bCs/>
          <w:kern w:val="0"/>
          <w:sz w:val="24"/>
          <w:szCs w:val="20"/>
        </w:rPr>
        <w:t>1</w:t>
      </w:r>
      <w:r w:rsidRPr="00F9522B">
        <w:rPr>
          <w:rFonts w:eastAsiaTheme="minorEastAsia"/>
          <w:bCs/>
          <w:kern w:val="0"/>
          <w:sz w:val="24"/>
          <w:szCs w:val="20"/>
        </w:rPr>
        <w:t>：</w:t>
      </w:r>
      <w:r w:rsidRPr="00F9522B">
        <w:rPr>
          <w:rFonts w:eastAsiaTheme="minorEastAsia"/>
          <w:bCs/>
          <w:kern w:val="0"/>
          <w:sz w:val="24"/>
          <w:szCs w:val="20"/>
        </w:rPr>
        <w:t>1</w:t>
      </w:r>
      <w:r w:rsidRPr="00F9522B">
        <w:rPr>
          <w:rFonts w:eastAsiaTheme="minorEastAsia"/>
          <w:bCs/>
          <w:kern w:val="0"/>
          <w:sz w:val="24"/>
          <w:szCs w:val="20"/>
        </w:rPr>
        <w:t>，可以保证堆土的稳定性及安全性。堆放地宜相对低凹、周围相对平缓，并设置排水设施。</w:t>
      </w:r>
      <w:r w:rsidRPr="00F9522B">
        <w:rPr>
          <w:rFonts w:eastAsiaTheme="minorEastAsia"/>
          <w:kern w:val="0"/>
          <w:sz w:val="24"/>
          <w:szCs w:val="20"/>
        </w:rPr>
        <w:t>施工结束后，进行表土分层回填措施，使其逐渐恢复其原有生态系统。</w:t>
      </w:r>
    </w:p>
    <w:p w:rsidR="002A5A5E" w:rsidRPr="00F9522B" w:rsidRDefault="00A4540D">
      <w:pPr>
        <w:spacing w:line="360" w:lineRule="auto"/>
        <w:ind w:firstLineChars="200" w:firstLine="480"/>
        <w:rPr>
          <w:rFonts w:eastAsiaTheme="minorEastAsia"/>
          <w:snapToGrid w:val="0"/>
          <w:kern w:val="0"/>
          <w:sz w:val="24"/>
        </w:rPr>
      </w:pPr>
      <w:r w:rsidRPr="00F9522B">
        <w:rPr>
          <w:rFonts w:eastAsiaTheme="minorEastAsia"/>
          <w:snapToGrid w:val="0"/>
          <w:kern w:val="0"/>
          <w:sz w:val="24"/>
        </w:rPr>
        <w:t>（</w:t>
      </w:r>
      <w:r w:rsidRPr="00F9522B">
        <w:rPr>
          <w:rFonts w:eastAsiaTheme="minorEastAsia"/>
          <w:snapToGrid w:val="0"/>
          <w:kern w:val="0"/>
          <w:sz w:val="24"/>
        </w:rPr>
        <w:t>3</w:t>
      </w:r>
      <w:r w:rsidRPr="00F9522B">
        <w:rPr>
          <w:rFonts w:eastAsiaTheme="minorEastAsia"/>
          <w:snapToGrid w:val="0"/>
          <w:kern w:val="0"/>
          <w:sz w:val="24"/>
        </w:rPr>
        <w:t>）</w:t>
      </w:r>
      <w:r w:rsidR="00611CBA" w:rsidRPr="00F9522B">
        <w:rPr>
          <w:rFonts w:eastAsiaTheme="minorEastAsia"/>
          <w:snapToGrid w:val="0"/>
          <w:kern w:val="0"/>
          <w:sz w:val="24"/>
        </w:rPr>
        <w:t>临时占地生态恢复措施</w:t>
      </w:r>
    </w:p>
    <w:p w:rsidR="002A5A5E" w:rsidRPr="00F9522B" w:rsidRDefault="00611CBA">
      <w:pPr>
        <w:spacing w:line="360" w:lineRule="auto"/>
        <w:ind w:firstLineChars="200" w:firstLine="480"/>
        <w:rPr>
          <w:rFonts w:eastAsiaTheme="minorEastAsia"/>
          <w:snapToGrid w:val="0"/>
          <w:kern w:val="0"/>
          <w:sz w:val="24"/>
        </w:rPr>
      </w:pPr>
      <w:r w:rsidRPr="00F9522B">
        <w:rPr>
          <w:rFonts w:eastAsiaTheme="minorEastAsia"/>
          <w:snapToGrid w:val="0"/>
          <w:kern w:val="0"/>
          <w:sz w:val="24"/>
        </w:rPr>
        <w:t>本项目工程临时占地包括施工场地、临时道路、表土堆场、堆料场等，工程结束后均进行土地复垦和植被恢复。</w:t>
      </w:r>
    </w:p>
    <w:p w:rsidR="002A5A5E" w:rsidRPr="00F9522B" w:rsidRDefault="00611CBA">
      <w:pPr>
        <w:spacing w:line="360" w:lineRule="auto"/>
        <w:ind w:firstLineChars="200" w:firstLine="480"/>
        <w:rPr>
          <w:rFonts w:eastAsiaTheme="minorEastAsia"/>
          <w:snapToGrid w:val="0"/>
          <w:kern w:val="0"/>
          <w:sz w:val="24"/>
        </w:rPr>
      </w:pPr>
      <w:r w:rsidRPr="00F9522B">
        <w:rPr>
          <w:rFonts w:eastAsiaTheme="minorEastAsia"/>
          <w:snapToGrid w:val="0"/>
          <w:kern w:val="0"/>
          <w:sz w:val="24"/>
        </w:rPr>
        <w:t>1</w:t>
      </w:r>
      <w:r w:rsidRPr="00F9522B">
        <w:rPr>
          <w:rFonts w:eastAsiaTheme="minorEastAsia"/>
          <w:snapToGrid w:val="0"/>
          <w:kern w:val="0"/>
          <w:sz w:val="24"/>
        </w:rPr>
        <w:t>）施工生产生活区、弃土场</w:t>
      </w:r>
    </w:p>
    <w:p w:rsidR="002A5A5E" w:rsidRPr="00F9522B" w:rsidRDefault="00611CBA">
      <w:pPr>
        <w:spacing w:line="360" w:lineRule="auto"/>
        <w:ind w:firstLineChars="200" w:firstLine="480"/>
        <w:rPr>
          <w:rFonts w:eastAsiaTheme="minorEastAsia"/>
          <w:spacing w:val="-4"/>
          <w:sz w:val="24"/>
          <w:szCs w:val="21"/>
        </w:rPr>
      </w:pPr>
      <w:r w:rsidRPr="00F9522B">
        <w:rPr>
          <w:rFonts w:eastAsiaTheme="minorEastAsia"/>
          <w:snapToGrid w:val="0"/>
          <w:kern w:val="0"/>
          <w:sz w:val="24"/>
        </w:rPr>
        <w:t>施工生产生活区为租赁村屯现有民房。工程拆除</w:t>
      </w:r>
      <w:r w:rsidRPr="00F9522B">
        <w:rPr>
          <w:rFonts w:eastAsiaTheme="minorEastAsia"/>
          <w:spacing w:val="-4"/>
          <w:sz w:val="24"/>
          <w:szCs w:val="21"/>
        </w:rPr>
        <w:t>建筑垃圾大部分用于田块整治工程，剩余及时送至建材公司回用。</w:t>
      </w:r>
      <w:r w:rsidRPr="00F9522B">
        <w:rPr>
          <w:rFonts w:eastAsiaTheme="minorEastAsia"/>
          <w:bCs/>
          <w:spacing w:val="-4"/>
          <w:sz w:val="24"/>
          <w:szCs w:val="21"/>
        </w:rPr>
        <w:t>废泥浆</w:t>
      </w:r>
      <w:r w:rsidRPr="00F9522B">
        <w:rPr>
          <w:rFonts w:eastAsiaTheme="minorEastAsia"/>
          <w:spacing w:val="-4"/>
          <w:sz w:val="24"/>
          <w:szCs w:val="21"/>
        </w:rPr>
        <w:t>风干后用于周围道路平整。表土用于临时工程土地恢复及田块整治工程，土方能回填的及时回填。本工程产生弃方淤泥</w:t>
      </w:r>
      <w:r w:rsidR="000037AB" w:rsidRPr="00F9522B">
        <w:rPr>
          <w:rFonts w:eastAsiaTheme="minorEastAsia"/>
          <w:spacing w:val="-4"/>
          <w:sz w:val="24"/>
          <w:szCs w:val="21"/>
        </w:rPr>
        <w:t>0.255</w:t>
      </w:r>
      <w:r w:rsidR="000037AB" w:rsidRPr="00F9522B">
        <w:rPr>
          <w:rFonts w:eastAsiaTheme="minorEastAsia"/>
          <w:spacing w:val="-4"/>
          <w:sz w:val="24"/>
          <w:szCs w:val="21"/>
        </w:rPr>
        <w:t>万</w:t>
      </w:r>
      <w:r w:rsidR="000037AB" w:rsidRPr="00F9522B">
        <w:rPr>
          <w:rFonts w:eastAsiaTheme="minorEastAsia"/>
          <w:spacing w:val="-4"/>
          <w:sz w:val="24"/>
          <w:szCs w:val="21"/>
        </w:rPr>
        <w:t>m</w:t>
      </w:r>
      <w:r w:rsidRPr="00F9522B">
        <w:rPr>
          <w:rFonts w:eastAsiaTheme="minorEastAsia"/>
          <w:spacing w:val="-4"/>
          <w:sz w:val="24"/>
          <w:szCs w:val="21"/>
          <w:vertAlign w:val="superscript"/>
        </w:rPr>
        <w:t>3</w:t>
      </w:r>
      <w:r w:rsidRPr="00F9522B">
        <w:rPr>
          <w:rFonts w:eastAsiaTheme="minorEastAsia"/>
          <w:spacing w:val="-4"/>
          <w:sz w:val="24"/>
          <w:szCs w:val="21"/>
        </w:rPr>
        <w:t>，</w:t>
      </w:r>
      <w:r w:rsidR="00730492" w:rsidRPr="00730492">
        <w:rPr>
          <w:rFonts w:eastAsiaTheme="minorEastAsia" w:hint="eastAsia"/>
          <w:bCs/>
          <w:sz w:val="24"/>
        </w:rPr>
        <w:t>排水沟淤泥培至工程附近</w:t>
      </w:r>
      <w:r w:rsidR="00730492" w:rsidRPr="00730492">
        <w:rPr>
          <w:rFonts w:eastAsiaTheme="minorEastAsia" w:hint="eastAsia"/>
          <w:bCs/>
          <w:sz w:val="24"/>
        </w:rPr>
        <w:t>200</w:t>
      </w:r>
      <w:r w:rsidR="00730492" w:rsidRPr="00730492">
        <w:rPr>
          <w:rFonts w:eastAsiaTheme="minorEastAsia" w:hint="eastAsia"/>
          <w:bCs/>
          <w:sz w:val="24"/>
        </w:rPr>
        <w:t>米范围内无环境保护目标的排水沟两侧（避开南城李、方台镇、宋家村等</w:t>
      </w:r>
      <w:r w:rsidR="00730492" w:rsidRPr="00730492">
        <w:rPr>
          <w:rFonts w:eastAsiaTheme="minorEastAsia" w:hint="eastAsia"/>
          <w:bCs/>
          <w:sz w:val="24"/>
        </w:rPr>
        <w:t>33</w:t>
      </w:r>
      <w:r w:rsidR="00730492" w:rsidRPr="00730492">
        <w:rPr>
          <w:rFonts w:eastAsiaTheme="minorEastAsia" w:hint="eastAsia"/>
          <w:bCs/>
          <w:sz w:val="24"/>
        </w:rPr>
        <w:t>个村屯，具体见表</w:t>
      </w:r>
      <w:r w:rsidR="00730492" w:rsidRPr="00730492">
        <w:rPr>
          <w:rFonts w:eastAsiaTheme="minorEastAsia" w:hint="eastAsia"/>
          <w:bCs/>
          <w:sz w:val="24"/>
        </w:rPr>
        <w:t>2-8-2</w:t>
      </w:r>
      <w:r w:rsidR="00730492" w:rsidRPr="00730492">
        <w:rPr>
          <w:rFonts w:eastAsiaTheme="minorEastAsia" w:hint="eastAsia"/>
          <w:bCs/>
          <w:sz w:val="24"/>
        </w:rPr>
        <w:t>）</w:t>
      </w:r>
      <w:r w:rsidRPr="00F9522B">
        <w:rPr>
          <w:rFonts w:eastAsiaTheme="minorEastAsia"/>
          <w:spacing w:val="-4"/>
          <w:sz w:val="24"/>
          <w:szCs w:val="21"/>
        </w:rPr>
        <w:t>。不设置弃土场。</w:t>
      </w:r>
    </w:p>
    <w:p w:rsidR="002A5A5E" w:rsidRPr="00F9522B" w:rsidRDefault="00611CBA">
      <w:pPr>
        <w:spacing w:line="360" w:lineRule="auto"/>
        <w:ind w:firstLineChars="200" w:firstLine="480"/>
        <w:rPr>
          <w:rFonts w:eastAsiaTheme="minorEastAsia"/>
          <w:snapToGrid w:val="0"/>
          <w:kern w:val="0"/>
          <w:sz w:val="24"/>
        </w:rPr>
      </w:pPr>
      <w:r w:rsidRPr="00F9522B">
        <w:rPr>
          <w:rFonts w:eastAsiaTheme="minorEastAsia"/>
          <w:snapToGrid w:val="0"/>
          <w:kern w:val="0"/>
          <w:sz w:val="24"/>
        </w:rPr>
        <w:t>2</w:t>
      </w:r>
      <w:r w:rsidRPr="00F9522B">
        <w:rPr>
          <w:rFonts w:eastAsiaTheme="minorEastAsia"/>
          <w:snapToGrid w:val="0"/>
          <w:kern w:val="0"/>
          <w:sz w:val="24"/>
        </w:rPr>
        <w:t>）项目施工场地、临时道路、堆料场、表土堆场</w:t>
      </w:r>
    </w:p>
    <w:p w:rsidR="002A5A5E" w:rsidRPr="00F9522B" w:rsidRDefault="00611CBA">
      <w:pPr>
        <w:spacing w:line="360" w:lineRule="auto"/>
        <w:ind w:firstLineChars="200" w:firstLine="480"/>
        <w:rPr>
          <w:rFonts w:eastAsiaTheme="minorEastAsia"/>
          <w:snapToGrid w:val="0"/>
          <w:kern w:val="0"/>
          <w:sz w:val="24"/>
        </w:rPr>
      </w:pPr>
      <w:r w:rsidRPr="00F9522B">
        <w:rPr>
          <w:rFonts w:eastAsiaTheme="minorEastAsia"/>
          <w:snapToGrid w:val="0"/>
          <w:kern w:val="0"/>
          <w:sz w:val="24"/>
        </w:rPr>
        <w:t>项目施工场地、临时道路、堆料场、表土堆场在相应工程结束后需对开挖地面平整覆土，并尽快恢复原状，防止遭受降雨侵蚀。</w:t>
      </w:r>
    </w:p>
    <w:p w:rsidR="002A5A5E" w:rsidRPr="00F9522B" w:rsidRDefault="00F41A00">
      <w:pPr>
        <w:spacing w:line="360" w:lineRule="auto"/>
        <w:ind w:firstLineChars="200" w:firstLine="480"/>
        <w:rPr>
          <w:rFonts w:eastAsiaTheme="minorEastAsia"/>
          <w:snapToGrid w:val="0"/>
          <w:kern w:val="0"/>
          <w:sz w:val="24"/>
        </w:rPr>
      </w:pPr>
      <w:r w:rsidRPr="00F9522B">
        <w:rPr>
          <w:rFonts w:eastAsiaTheme="minorEastAsia"/>
          <w:snapToGrid w:val="0"/>
          <w:kern w:val="0"/>
          <w:sz w:val="24"/>
        </w:rPr>
        <w:t>输配电工程表土及土方临时堆存在施工沿线，分区存放，设置临时拦挡并采用密目网苫盖，施工结束后分层回填，</w:t>
      </w:r>
      <w:r w:rsidR="00617138">
        <w:rPr>
          <w:rFonts w:eastAsiaTheme="minorEastAsia"/>
          <w:snapToGrid w:val="0"/>
          <w:kern w:val="0"/>
          <w:sz w:val="24"/>
        </w:rPr>
        <w:t>施工场地恢复现状草地，播撒草籽面积</w:t>
      </w:r>
      <w:r w:rsidR="00617138">
        <w:rPr>
          <w:rFonts w:eastAsiaTheme="minorEastAsia"/>
          <w:snapToGrid w:val="0"/>
          <w:kern w:val="0"/>
          <w:sz w:val="24"/>
        </w:rPr>
        <w:t>224662</w:t>
      </w:r>
      <w:r w:rsidRPr="00F9522B">
        <w:rPr>
          <w:rFonts w:eastAsiaTheme="minorEastAsia"/>
          <w:snapToGrid w:val="0"/>
          <w:kern w:val="0"/>
          <w:sz w:val="24"/>
        </w:rPr>
        <w:t>m</w:t>
      </w:r>
      <w:r w:rsidRPr="00F9522B">
        <w:rPr>
          <w:rFonts w:eastAsiaTheme="minorEastAsia"/>
          <w:snapToGrid w:val="0"/>
          <w:kern w:val="0"/>
          <w:sz w:val="24"/>
          <w:vertAlign w:val="superscript"/>
        </w:rPr>
        <w:t>2</w:t>
      </w:r>
      <w:r w:rsidRPr="00F9522B">
        <w:rPr>
          <w:rFonts w:eastAsiaTheme="minorEastAsia"/>
          <w:snapToGrid w:val="0"/>
          <w:kern w:val="0"/>
          <w:sz w:val="24"/>
        </w:rPr>
        <w:t>，草籽选用紫花苜蓿等，种草密度</w:t>
      </w:r>
      <w:r w:rsidRPr="00F9522B">
        <w:rPr>
          <w:rFonts w:eastAsiaTheme="minorEastAsia"/>
          <w:snapToGrid w:val="0"/>
          <w:kern w:val="0"/>
          <w:sz w:val="24"/>
        </w:rPr>
        <w:t>80kg/</w:t>
      </w:r>
      <w:r w:rsidRPr="00F9522B">
        <w:rPr>
          <w:rFonts w:eastAsiaTheme="minorEastAsia"/>
          <w:snapToGrid w:val="0"/>
          <w:kern w:val="0"/>
          <w:sz w:val="24"/>
        </w:rPr>
        <w:t>公顷，恢复旱地</w:t>
      </w:r>
      <w:r w:rsidRPr="00F9522B">
        <w:rPr>
          <w:rFonts w:eastAsiaTheme="minorEastAsia"/>
          <w:snapToGrid w:val="0"/>
          <w:kern w:val="0"/>
          <w:sz w:val="24"/>
        </w:rPr>
        <w:t>32558m</w:t>
      </w:r>
      <w:r w:rsidRPr="00F9522B">
        <w:rPr>
          <w:rFonts w:eastAsiaTheme="minorEastAsia"/>
          <w:snapToGrid w:val="0"/>
          <w:kern w:val="0"/>
          <w:sz w:val="24"/>
          <w:vertAlign w:val="superscript"/>
        </w:rPr>
        <w:t>2</w:t>
      </w:r>
      <w:r w:rsidRPr="00F9522B">
        <w:rPr>
          <w:rFonts w:eastAsiaTheme="minorEastAsia"/>
          <w:snapToGrid w:val="0"/>
          <w:kern w:val="0"/>
          <w:sz w:val="24"/>
        </w:rPr>
        <w:t>；灌溉井工程剥离表土、开挖土方暂存于施工场地内，分区存放，设置临时拦挡并采用密目网苫盖，施工结束后施工场地、临时道路恢复为旱地，恢复面积</w:t>
      </w:r>
      <w:r w:rsidRPr="00F9522B">
        <w:rPr>
          <w:rFonts w:eastAsiaTheme="minorEastAsia"/>
          <w:snapToGrid w:val="0"/>
          <w:kern w:val="0"/>
          <w:sz w:val="24"/>
        </w:rPr>
        <w:t>7920m</w:t>
      </w:r>
      <w:r w:rsidRPr="00F9522B">
        <w:rPr>
          <w:rFonts w:eastAsiaTheme="minorEastAsia"/>
          <w:snapToGrid w:val="0"/>
          <w:kern w:val="0"/>
          <w:sz w:val="24"/>
          <w:vertAlign w:val="superscript"/>
        </w:rPr>
        <w:t>2</w:t>
      </w:r>
      <w:r w:rsidRPr="00F9522B">
        <w:rPr>
          <w:rFonts w:eastAsiaTheme="minorEastAsia"/>
          <w:snapToGrid w:val="0"/>
          <w:kern w:val="0"/>
          <w:sz w:val="24"/>
        </w:rPr>
        <w:t>；涵洞等建筑物工程剥离表土、开挖土方暂存于施工场地内，分区存放，设置临时拦挡并采用密目网苫盖，施工结束后施工场地恢复为草地，播撒草籽面积</w:t>
      </w:r>
      <w:r w:rsidRPr="00F9522B">
        <w:rPr>
          <w:rFonts w:eastAsiaTheme="minorEastAsia"/>
          <w:sz w:val="24"/>
        </w:rPr>
        <w:t>18500</w:t>
      </w:r>
      <w:r w:rsidRPr="00F9522B">
        <w:rPr>
          <w:rFonts w:eastAsiaTheme="minorEastAsia"/>
          <w:snapToGrid w:val="0"/>
          <w:kern w:val="0"/>
          <w:sz w:val="24"/>
        </w:rPr>
        <w:t>m</w:t>
      </w:r>
      <w:r w:rsidRPr="00F9522B">
        <w:rPr>
          <w:rFonts w:eastAsiaTheme="minorEastAsia"/>
          <w:snapToGrid w:val="0"/>
          <w:kern w:val="0"/>
          <w:sz w:val="24"/>
          <w:vertAlign w:val="superscript"/>
        </w:rPr>
        <w:t>2</w:t>
      </w:r>
      <w:r w:rsidRPr="00F9522B">
        <w:rPr>
          <w:rFonts w:eastAsiaTheme="minorEastAsia"/>
          <w:snapToGrid w:val="0"/>
          <w:kern w:val="0"/>
          <w:sz w:val="24"/>
        </w:rPr>
        <w:t>，草籽选用紫花苜蓿等，种草密度</w:t>
      </w:r>
      <w:r w:rsidRPr="00F9522B">
        <w:rPr>
          <w:rFonts w:eastAsiaTheme="minorEastAsia"/>
          <w:snapToGrid w:val="0"/>
          <w:kern w:val="0"/>
          <w:sz w:val="24"/>
        </w:rPr>
        <w:t>80kg/</w:t>
      </w:r>
      <w:r w:rsidRPr="00F9522B">
        <w:rPr>
          <w:rFonts w:eastAsiaTheme="minorEastAsia"/>
          <w:snapToGrid w:val="0"/>
          <w:kern w:val="0"/>
          <w:sz w:val="24"/>
        </w:rPr>
        <w:t>公顷，恢复旱地</w:t>
      </w:r>
      <w:r w:rsidRPr="00F9522B">
        <w:rPr>
          <w:rFonts w:eastAsiaTheme="minorEastAsia"/>
          <w:snapToGrid w:val="0"/>
          <w:kern w:val="0"/>
          <w:sz w:val="24"/>
        </w:rPr>
        <w:t>10500m</w:t>
      </w:r>
      <w:r w:rsidRPr="00F9522B">
        <w:rPr>
          <w:rFonts w:eastAsiaTheme="minorEastAsia"/>
          <w:snapToGrid w:val="0"/>
          <w:kern w:val="0"/>
          <w:sz w:val="24"/>
          <w:vertAlign w:val="superscript"/>
        </w:rPr>
        <w:t>2</w:t>
      </w:r>
      <w:r w:rsidRPr="00F9522B">
        <w:rPr>
          <w:rFonts w:eastAsiaTheme="minorEastAsia"/>
          <w:snapToGrid w:val="0"/>
          <w:kern w:val="0"/>
          <w:sz w:val="24"/>
        </w:rPr>
        <w:t>。</w:t>
      </w:r>
      <w:r w:rsidR="00611CBA" w:rsidRPr="00F9522B">
        <w:rPr>
          <w:rFonts w:eastAsiaTheme="minorEastAsia"/>
          <w:snapToGrid w:val="0"/>
          <w:kern w:val="0"/>
          <w:sz w:val="24"/>
        </w:rPr>
        <w:t>使临时占地土地利用类型、植被覆盖度、生物量等恢复为原有水平。减少由于工程施工对其景观、生态、水土保持等方面的不利影响。</w:t>
      </w:r>
      <w:r w:rsidR="00611CBA" w:rsidRPr="00F9522B">
        <w:rPr>
          <w:rFonts w:eastAsiaTheme="minorEastAsia"/>
          <w:kern w:val="0"/>
          <w:sz w:val="24"/>
          <w:szCs w:val="20"/>
        </w:rPr>
        <w:t>表土暂存场</w:t>
      </w:r>
      <w:r w:rsidR="00611CBA" w:rsidRPr="00F9522B">
        <w:rPr>
          <w:rFonts w:eastAsiaTheme="minorEastAsia"/>
          <w:bCs/>
          <w:kern w:val="0"/>
          <w:sz w:val="24"/>
          <w:szCs w:val="20"/>
        </w:rPr>
        <w:t>堆高在</w:t>
      </w:r>
      <w:r w:rsidR="00611CBA" w:rsidRPr="00F9522B">
        <w:rPr>
          <w:rFonts w:eastAsiaTheme="minorEastAsia"/>
          <w:bCs/>
          <w:kern w:val="0"/>
          <w:sz w:val="24"/>
          <w:szCs w:val="20"/>
        </w:rPr>
        <w:t>3m</w:t>
      </w:r>
      <w:r w:rsidR="00611CBA" w:rsidRPr="00F9522B">
        <w:rPr>
          <w:rFonts w:eastAsiaTheme="minorEastAsia"/>
          <w:bCs/>
          <w:kern w:val="0"/>
          <w:sz w:val="24"/>
          <w:szCs w:val="20"/>
        </w:rPr>
        <w:t>以内，</w:t>
      </w:r>
      <w:r w:rsidR="00611CBA" w:rsidRPr="00F9522B">
        <w:rPr>
          <w:rFonts w:eastAsiaTheme="minorEastAsia"/>
          <w:bCs/>
          <w:kern w:val="0"/>
          <w:sz w:val="24"/>
          <w:szCs w:val="20"/>
        </w:rPr>
        <w:lastRenderedPageBreak/>
        <w:t>坡比</w:t>
      </w:r>
      <w:r w:rsidR="00611CBA" w:rsidRPr="00F9522B">
        <w:rPr>
          <w:rFonts w:eastAsiaTheme="minorEastAsia"/>
          <w:bCs/>
          <w:kern w:val="0"/>
          <w:sz w:val="24"/>
          <w:szCs w:val="20"/>
        </w:rPr>
        <w:t>1</w:t>
      </w:r>
      <w:r w:rsidR="00611CBA" w:rsidRPr="00F9522B">
        <w:rPr>
          <w:rFonts w:eastAsiaTheme="minorEastAsia"/>
          <w:bCs/>
          <w:kern w:val="0"/>
          <w:sz w:val="24"/>
          <w:szCs w:val="20"/>
        </w:rPr>
        <w:t>：</w:t>
      </w:r>
      <w:r w:rsidR="00611CBA" w:rsidRPr="00F9522B">
        <w:rPr>
          <w:rFonts w:eastAsiaTheme="minorEastAsia"/>
          <w:bCs/>
          <w:kern w:val="0"/>
          <w:sz w:val="24"/>
          <w:szCs w:val="20"/>
        </w:rPr>
        <w:t>1</w:t>
      </w:r>
      <w:r w:rsidR="00611CBA" w:rsidRPr="00F9522B">
        <w:rPr>
          <w:rFonts w:eastAsiaTheme="minorEastAsia"/>
          <w:bCs/>
          <w:kern w:val="0"/>
          <w:sz w:val="24"/>
          <w:szCs w:val="20"/>
        </w:rPr>
        <w:t>，可以保证堆土的稳定性及安全性。堆放地宜相对低凹、周围相对平缓，并设置排水设施。</w:t>
      </w:r>
      <w:r w:rsidR="00611CBA" w:rsidRPr="00F9522B">
        <w:rPr>
          <w:rFonts w:eastAsiaTheme="minorEastAsia"/>
          <w:sz w:val="24"/>
        </w:rPr>
        <w:t>建设单位为生态恢复工程实施责任主体。</w:t>
      </w:r>
    </w:p>
    <w:p w:rsidR="002A5A5E" w:rsidRPr="00F9522B" w:rsidRDefault="00611CBA">
      <w:pPr>
        <w:spacing w:line="360" w:lineRule="auto"/>
        <w:ind w:firstLineChars="200" w:firstLine="480"/>
        <w:contextualSpacing/>
        <w:rPr>
          <w:rFonts w:eastAsiaTheme="minorEastAsia"/>
          <w:snapToGrid w:val="0"/>
          <w:kern w:val="0"/>
          <w:sz w:val="24"/>
        </w:rPr>
      </w:pPr>
      <w:r w:rsidRPr="00F9522B">
        <w:rPr>
          <w:rFonts w:eastAsiaTheme="minorEastAsia"/>
          <w:snapToGrid w:val="0"/>
          <w:kern w:val="0"/>
          <w:sz w:val="24"/>
        </w:rPr>
        <w:t>随着采取有效的人工措施，以及植物的自我恢复能力，项目周边被影响或破坏的植物逐渐得到恢复</w:t>
      </w:r>
      <w:r w:rsidRPr="00F9522B">
        <w:rPr>
          <w:rFonts w:eastAsiaTheme="minorEastAsia"/>
          <w:sz w:val="24"/>
        </w:rPr>
        <w:t>。综上，本项目采取的生态保护措施可行</w:t>
      </w:r>
      <w:r w:rsidRPr="00F9522B">
        <w:rPr>
          <w:rFonts w:eastAsiaTheme="minorEastAsia"/>
          <w:snapToGrid w:val="0"/>
          <w:kern w:val="0"/>
          <w:sz w:val="24"/>
        </w:rPr>
        <w:t>。</w:t>
      </w:r>
    </w:p>
    <w:p w:rsidR="002A5A5E" w:rsidRPr="00F9522B" w:rsidRDefault="00611CBA">
      <w:pPr>
        <w:keepNext/>
        <w:keepLines/>
        <w:spacing w:before="100" w:beforeAutospacing="1" w:after="100" w:afterAutospacing="1"/>
        <w:outlineLvl w:val="2"/>
        <w:rPr>
          <w:rFonts w:eastAsiaTheme="minorEastAsia"/>
          <w:b/>
          <w:sz w:val="28"/>
          <w:szCs w:val="28"/>
        </w:rPr>
      </w:pPr>
      <w:r w:rsidRPr="00F9522B">
        <w:rPr>
          <w:rFonts w:eastAsiaTheme="minorEastAsia"/>
          <w:b/>
          <w:sz w:val="28"/>
          <w:szCs w:val="28"/>
        </w:rPr>
        <w:t>6.1.6</w:t>
      </w:r>
      <w:r w:rsidRPr="00F9522B">
        <w:rPr>
          <w:rFonts w:eastAsiaTheme="minorEastAsia"/>
          <w:b/>
          <w:sz w:val="28"/>
          <w:szCs w:val="28"/>
        </w:rPr>
        <w:t>地下水环境保护措施及其可行性论证</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项目施工期灌溉井工程打井过程中，不使用有毒有害及油类物质，泥浆部分循环使用，妥善收集，施工过程中产生的废水经静置后用于场地洒水降尘，施工过程加强环境管理，杜绝油品跑冒滴漏事故。</w:t>
      </w:r>
      <w:r w:rsidRPr="00F9522B">
        <w:rPr>
          <w:rFonts w:eastAsiaTheme="minorEastAsia"/>
          <w:kern w:val="0"/>
          <w:sz w:val="24"/>
        </w:rPr>
        <w:t>本项目</w:t>
      </w:r>
      <w:r w:rsidRPr="00F9522B">
        <w:rPr>
          <w:rFonts w:eastAsiaTheme="minorEastAsia"/>
          <w:snapToGrid w:val="0"/>
          <w:kern w:val="0"/>
          <w:sz w:val="24"/>
          <w:szCs w:val="22"/>
        </w:rPr>
        <w:t>灌溉井</w:t>
      </w:r>
      <w:r w:rsidRPr="00F9522B">
        <w:rPr>
          <w:rFonts w:eastAsiaTheme="minorEastAsia"/>
          <w:kern w:val="0"/>
          <w:sz w:val="24"/>
        </w:rPr>
        <w:t>距离饮用水源地较远，均大于</w:t>
      </w:r>
      <w:r w:rsidR="00861722" w:rsidRPr="00F9522B">
        <w:rPr>
          <w:rFonts w:eastAsiaTheme="minorEastAsia"/>
          <w:kern w:val="0"/>
          <w:sz w:val="24"/>
        </w:rPr>
        <w:t>1</w:t>
      </w:r>
      <w:r w:rsidRPr="00F9522B">
        <w:rPr>
          <w:rFonts w:eastAsiaTheme="minorEastAsia"/>
          <w:kern w:val="0"/>
          <w:sz w:val="24"/>
        </w:rPr>
        <w:t>km</w:t>
      </w:r>
      <w:r w:rsidRPr="00F9522B">
        <w:rPr>
          <w:rFonts w:eastAsiaTheme="minorEastAsia"/>
          <w:kern w:val="0"/>
          <w:sz w:val="24"/>
        </w:rPr>
        <w:t>，</w:t>
      </w:r>
      <w:r w:rsidRPr="00F9522B">
        <w:rPr>
          <w:rFonts w:eastAsiaTheme="minorEastAsia"/>
          <w:sz w:val="24"/>
        </w:rPr>
        <w:t>不在其保护区范围内。不会对评价范围内最近饮用水源地等地下水保护目标水质及水量产生影响。</w:t>
      </w:r>
    </w:p>
    <w:p w:rsidR="002A5A5E" w:rsidRPr="00F9522B" w:rsidRDefault="00611CBA">
      <w:pPr>
        <w:spacing w:line="360" w:lineRule="auto"/>
        <w:ind w:firstLineChars="200" w:firstLine="480"/>
        <w:rPr>
          <w:rFonts w:eastAsiaTheme="minorEastAsia"/>
          <w:sz w:val="24"/>
        </w:rPr>
      </w:pPr>
      <w:r w:rsidRPr="00F9522B">
        <w:rPr>
          <w:rFonts w:eastAsiaTheme="minorEastAsia"/>
          <w:sz w:val="24"/>
          <w:szCs w:val="21"/>
        </w:rPr>
        <w:t>合理安排施工时序，选择</w:t>
      </w:r>
      <w:r w:rsidRPr="00F9522B">
        <w:rPr>
          <w:rFonts w:eastAsiaTheme="minorEastAsia"/>
          <w:sz w:val="24"/>
          <w:szCs w:val="21"/>
        </w:rPr>
        <w:t>3</w:t>
      </w:r>
      <w:r w:rsidRPr="00F9522B">
        <w:rPr>
          <w:rFonts w:eastAsiaTheme="minorEastAsia"/>
          <w:sz w:val="24"/>
          <w:szCs w:val="21"/>
        </w:rPr>
        <w:t>月至</w:t>
      </w:r>
      <w:r w:rsidRPr="00F9522B">
        <w:rPr>
          <w:rFonts w:eastAsiaTheme="minorEastAsia"/>
          <w:sz w:val="24"/>
          <w:szCs w:val="21"/>
        </w:rPr>
        <w:t>4</w:t>
      </w:r>
      <w:r w:rsidRPr="00F9522B">
        <w:rPr>
          <w:rFonts w:eastAsiaTheme="minorEastAsia"/>
          <w:sz w:val="24"/>
          <w:szCs w:val="21"/>
        </w:rPr>
        <w:t>月进行排水沟清淤及涵洞等建筑物、护砌工程施工，沟渠干涸，不涉水，不产生基坑废水。</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施工期不会对地下水产生明显污染影响。因此，施工期地下水环境保护措施可行。</w:t>
      </w:r>
    </w:p>
    <w:p w:rsidR="002A5A5E" w:rsidRPr="00F9522B" w:rsidRDefault="00611CBA">
      <w:pPr>
        <w:keepNext/>
        <w:keepLines/>
        <w:spacing w:before="100" w:beforeAutospacing="1" w:after="100" w:afterAutospacing="1"/>
        <w:outlineLvl w:val="2"/>
        <w:rPr>
          <w:rFonts w:eastAsiaTheme="minorEastAsia"/>
          <w:b/>
          <w:sz w:val="28"/>
          <w:szCs w:val="28"/>
        </w:rPr>
      </w:pPr>
      <w:r w:rsidRPr="00F9522B">
        <w:rPr>
          <w:rFonts w:eastAsiaTheme="minorEastAsia"/>
          <w:b/>
          <w:sz w:val="28"/>
          <w:szCs w:val="28"/>
        </w:rPr>
        <w:t>6.1.7</w:t>
      </w:r>
      <w:r w:rsidRPr="00F9522B">
        <w:rPr>
          <w:rFonts w:eastAsiaTheme="minorEastAsia"/>
          <w:b/>
          <w:sz w:val="28"/>
          <w:szCs w:val="28"/>
        </w:rPr>
        <w:t>黑土地及基本农田环境保护措施及其可行性论证</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施工期由于机械碾压以及施工人员的践踏，在施工作业区域的土壤将被严重压实，丧失其涵养水分的功能，部分施工区域的表土将被铲去，还可能被填埋，从而使土壤失去肥力，不利于植物的生长和恢复。</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在工程建设过程中，如果施工安排不合理或操作不当，会使机械的机油等废弃油对黑土地造成污染；施工材料乱丢乱放也会造成土壤的污染；扬尘及冲刷物质进入农田，而且这些物质多为生土，有机质含量低，过多进入农田将会影响土壤的组成和结构，使土壤肥力下降，影响作物产量。</w:t>
      </w:r>
    </w:p>
    <w:p w:rsidR="002A5A5E" w:rsidRPr="00F9522B" w:rsidRDefault="00611CBA">
      <w:pPr>
        <w:spacing w:line="360" w:lineRule="auto"/>
        <w:ind w:firstLineChars="200" w:firstLine="480"/>
        <w:rPr>
          <w:rFonts w:eastAsiaTheme="minorEastAsia"/>
          <w:sz w:val="24"/>
        </w:rPr>
      </w:pPr>
      <w:r w:rsidRPr="00F9522B">
        <w:rPr>
          <w:rFonts w:eastAsiaTheme="minorEastAsia"/>
          <w:snapToGrid w:val="0"/>
          <w:kern w:val="0"/>
          <w:sz w:val="24"/>
        </w:rPr>
        <w:t>本项目施工期临时占地不占用基本农田。</w:t>
      </w:r>
      <w:r w:rsidRPr="00F9522B">
        <w:rPr>
          <w:rFonts w:eastAsiaTheme="minorEastAsia"/>
          <w:bCs/>
          <w:snapToGrid w:val="0"/>
          <w:sz w:val="24"/>
        </w:rPr>
        <w:t>本项目为高标准农田建设项目，田块整治工程在现状农田上建设，永久占地不可避免将占用基本农田，占用面积约为</w:t>
      </w:r>
      <w:r w:rsidRPr="00F9522B">
        <w:rPr>
          <w:rFonts w:eastAsiaTheme="minorEastAsia"/>
          <w:bCs/>
          <w:snapToGrid w:val="0"/>
          <w:sz w:val="24"/>
        </w:rPr>
        <w:t>0.03</w:t>
      </w:r>
      <w:r w:rsidRPr="00F9522B">
        <w:rPr>
          <w:rFonts w:eastAsiaTheme="minorEastAsia"/>
          <w:bCs/>
          <w:snapToGrid w:val="0"/>
          <w:sz w:val="24"/>
        </w:rPr>
        <w:t>平方公里。</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施工期主要采取的保护措施如下：</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lastRenderedPageBreak/>
        <w:t>（</w:t>
      </w:r>
      <w:r w:rsidRPr="00F9522B">
        <w:rPr>
          <w:rFonts w:eastAsiaTheme="minorEastAsia"/>
          <w:sz w:val="24"/>
        </w:rPr>
        <w:t>1</w:t>
      </w:r>
      <w:r w:rsidRPr="00F9522B">
        <w:rPr>
          <w:rFonts w:eastAsiaTheme="minorEastAsia"/>
          <w:sz w:val="24"/>
        </w:rPr>
        <w:t>）施工生产生活用地等临时占地，施工过程中临时占用破坏的部分植被，工程结束后需对其进行生态恢复。</w:t>
      </w:r>
    </w:p>
    <w:p w:rsidR="002A5A5E" w:rsidRPr="00F9522B" w:rsidRDefault="00611CBA">
      <w:pPr>
        <w:spacing w:line="360" w:lineRule="auto"/>
        <w:ind w:firstLine="482"/>
        <w:rPr>
          <w:rFonts w:eastAsiaTheme="minorEastAsia"/>
          <w:sz w:val="24"/>
        </w:rPr>
      </w:pPr>
      <w:r w:rsidRPr="00F9522B">
        <w:rPr>
          <w:rFonts w:eastAsiaTheme="minorEastAsia"/>
          <w:sz w:val="24"/>
        </w:rPr>
        <w:t>（</w:t>
      </w:r>
      <w:r w:rsidRPr="00F9522B">
        <w:rPr>
          <w:rFonts w:eastAsiaTheme="minorEastAsia"/>
          <w:sz w:val="24"/>
        </w:rPr>
        <w:t>2</w:t>
      </w:r>
      <w:r w:rsidRPr="00F9522B">
        <w:rPr>
          <w:rFonts w:eastAsiaTheme="minorEastAsia"/>
          <w:sz w:val="24"/>
        </w:rPr>
        <w:t>）规范建筑垃圾和粉质材料的临时堆放，规范其他垃圾的收集和临时堆放，防止粉尘等进入农田。在土壤剥离及运输过程中，采取了水土保持和扬尘防治措施，防止了黑土地、基本农田和环境污染。</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w:t>
      </w:r>
      <w:r w:rsidRPr="00F9522B">
        <w:rPr>
          <w:rFonts w:eastAsiaTheme="minorEastAsia"/>
          <w:sz w:val="24"/>
        </w:rPr>
        <w:t>3</w:t>
      </w:r>
      <w:r w:rsidRPr="00F9522B">
        <w:rPr>
          <w:rFonts w:eastAsiaTheme="minorEastAsia"/>
          <w:sz w:val="24"/>
        </w:rPr>
        <w:t>）在工程施工中，将对表层土壤产生直接的破坏作用，表层土壤含有丰富的有机质和植物种子、块根、块茎等繁殖体，是可利用的宝贵资源，本项目按照《黑龙江省人民政府办公厅关于建设占用耕地耕作层土壤剥离利用工作的指导意见（试行）》黑政办规【</w:t>
      </w:r>
      <w:r w:rsidRPr="00F9522B">
        <w:rPr>
          <w:rFonts w:eastAsiaTheme="minorEastAsia"/>
          <w:sz w:val="24"/>
        </w:rPr>
        <w:t>2021</w:t>
      </w:r>
      <w:r w:rsidRPr="00F9522B">
        <w:rPr>
          <w:rFonts w:eastAsiaTheme="minorEastAsia"/>
          <w:sz w:val="24"/>
        </w:rPr>
        <w:t>】</w:t>
      </w:r>
      <w:r w:rsidRPr="00F9522B">
        <w:rPr>
          <w:rFonts w:eastAsiaTheme="minorEastAsia"/>
          <w:sz w:val="24"/>
        </w:rPr>
        <w:t>18</w:t>
      </w:r>
      <w:r w:rsidRPr="00F9522B">
        <w:rPr>
          <w:rFonts w:eastAsiaTheme="minorEastAsia"/>
          <w:sz w:val="24"/>
        </w:rPr>
        <w:t>号、黑龙江省地方标准《建设占用耕地耕作层土壤剥离利用技术规范》（</w:t>
      </w:r>
      <w:r w:rsidRPr="00F9522B">
        <w:rPr>
          <w:rFonts w:eastAsiaTheme="minorEastAsia"/>
          <w:sz w:val="24"/>
        </w:rPr>
        <w:t>DB23/T2913-2021</w:t>
      </w:r>
      <w:r w:rsidRPr="00F9522B">
        <w:rPr>
          <w:rFonts w:eastAsiaTheme="minorEastAsia"/>
          <w:sz w:val="24"/>
        </w:rPr>
        <w:t>）要求进行土壤剥离。本项目施工前对占用的土地进行表土剥离，临时占地耕地剥离厚度为</w:t>
      </w:r>
      <w:r w:rsidRPr="00F9522B">
        <w:rPr>
          <w:rFonts w:eastAsiaTheme="minorEastAsia"/>
          <w:sz w:val="24"/>
        </w:rPr>
        <w:t>30cm</w:t>
      </w:r>
      <w:r w:rsidRPr="00F9522B">
        <w:rPr>
          <w:rFonts w:eastAsiaTheme="minorEastAsia"/>
          <w:sz w:val="24"/>
        </w:rPr>
        <w:t>，田块整治工程根据平整地块所在村的平均土壤厚度确定表土剥离厚度约</w:t>
      </w:r>
      <w:r w:rsidRPr="00F9522B">
        <w:rPr>
          <w:rFonts w:eastAsiaTheme="minorEastAsia"/>
          <w:sz w:val="24"/>
        </w:rPr>
        <w:t>25cm</w:t>
      </w:r>
      <w:r w:rsidRPr="00F9522B">
        <w:rPr>
          <w:rFonts w:eastAsiaTheme="minorEastAsia"/>
          <w:sz w:val="24"/>
        </w:rPr>
        <w:t>，将剥离的表层土单独堆放，表土剥离后存储于项目施工场地表土堆场内。表土储存时</w:t>
      </w:r>
      <w:r w:rsidRPr="00F9522B">
        <w:rPr>
          <w:rFonts w:eastAsiaTheme="minorEastAsia"/>
          <w:bCs/>
          <w:sz w:val="24"/>
        </w:rPr>
        <w:t>表土堆场设置临时拦挡，采用密目网苫盖，</w:t>
      </w:r>
      <w:r w:rsidRPr="00F9522B">
        <w:rPr>
          <w:rFonts w:eastAsiaTheme="minorEastAsia"/>
          <w:sz w:val="24"/>
        </w:rPr>
        <w:t>在项目施工结束后，剥离的表土优先用于临时占地生态恢复，其余用于本项目田块整治工程。</w:t>
      </w:r>
    </w:p>
    <w:p w:rsidR="002A5A5E" w:rsidRPr="00F9522B" w:rsidRDefault="00611CBA">
      <w:pPr>
        <w:spacing w:line="360" w:lineRule="auto"/>
        <w:ind w:firstLine="482"/>
        <w:rPr>
          <w:rFonts w:eastAsiaTheme="minorEastAsia"/>
          <w:sz w:val="24"/>
        </w:rPr>
      </w:pPr>
      <w:r w:rsidRPr="00F9522B">
        <w:rPr>
          <w:rFonts w:eastAsiaTheme="minorEastAsia"/>
          <w:sz w:val="24"/>
        </w:rPr>
        <w:t>（</w:t>
      </w:r>
      <w:r w:rsidRPr="00F9522B">
        <w:rPr>
          <w:rFonts w:eastAsiaTheme="minorEastAsia"/>
          <w:sz w:val="24"/>
        </w:rPr>
        <w:t>4</w:t>
      </w:r>
      <w:r w:rsidRPr="00F9522B">
        <w:rPr>
          <w:rFonts w:eastAsiaTheme="minorEastAsia"/>
          <w:sz w:val="24"/>
        </w:rPr>
        <w:t>）施工期各类废污水、固体废弃物按照要求进行处理和处置，避免污染工程周边黑土地、基本农田。施工期加强管理，杜绝油品跑冒滴漏事故，不会对黑土地及基本农田造成污染。</w:t>
      </w:r>
    </w:p>
    <w:p w:rsidR="002A5A5E" w:rsidRPr="00F9522B" w:rsidRDefault="00611CBA">
      <w:pPr>
        <w:spacing w:line="360" w:lineRule="auto"/>
        <w:ind w:firstLine="482"/>
        <w:rPr>
          <w:rFonts w:eastAsiaTheme="minorEastAsia"/>
          <w:sz w:val="24"/>
        </w:rPr>
      </w:pPr>
      <w:r w:rsidRPr="00F9522B">
        <w:rPr>
          <w:rFonts w:eastAsiaTheme="minorEastAsia"/>
          <w:sz w:val="24"/>
        </w:rPr>
        <w:t>（</w:t>
      </w:r>
      <w:r w:rsidRPr="00F9522B">
        <w:rPr>
          <w:rFonts w:eastAsiaTheme="minorEastAsia"/>
          <w:sz w:val="24"/>
        </w:rPr>
        <w:t>5</w:t>
      </w:r>
      <w:r w:rsidRPr="00F9522B">
        <w:rPr>
          <w:rFonts w:eastAsiaTheme="minorEastAsia"/>
          <w:sz w:val="24"/>
        </w:rPr>
        <w:t>）严格执行项目的水土保持方案，合理施工减少土壤的翻动、开挖对土地肥力产生破坏等，防止和减轻施工造成的水土流失。</w:t>
      </w:r>
    </w:p>
    <w:p w:rsidR="002A5A5E" w:rsidRPr="00F9522B" w:rsidRDefault="00611CBA">
      <w:pPr>
        <w:spacing w:line="360" w:lineRule="auto"/>
        <w:ind w:firstLine="482"/>
        <w:rPr>
          <w:rFonts w:eastAsiaTheme="minorEastAsia"/>
          <w:sz w:val="24"/>
        </w:rPr>
      </w:pPr>
      <w:r w:rsidRPr="00F9522B">
        <w:rPr>
          <w:rFonts w:eastAsiaTheme="minorEastAsia"/>
          <w:sz w:val="24"/>
        </w:rPr>
        <w:t>（</w:t>
      </w:r>
      <w:r w:rsidRPr="00F9522B">
        <w:rPr>
          <w:rFonts w:eastAsiaTheme="minorEastAsia"/>
          <w:sz w:val="24"/>
        </w:rPr>
        <w:t>6</w:t>
      </w:r>
      <w:r w:rsidRPr="00F9522B">
        <w:rPr>
          <w:rFonts w:eastAsiaTheme="minorEastAsia"/>
          <w:sz w:val="24"/>
        </w:rPr>
        <w:t>）</w:t>
      </w:r>
      <w:r w:rsidRPr="00F9522B">
        <w:rPr>
          <w:rFonts w:eastAsiaTheme="minorEastAsia"/>
          <w:bCs/>
          <w:sz w:val="24"/>
        </w:rPr>
        <w:t>加强施工期工人培训工作，禁止盗挖、滥挖和非法买卖黑土；施工时应建设围挡措施，减少粉尘对周围黑土的影响；工程开挖应尽量避免在雨季进行。</w:t>
      </w:r>
    </w:p>
    <w:p w:rsidR="002A5A5E" w:rsidRPr="00F9522B" w:rsidRDefault="00611CBA">
      <w:pPr>
        <w:spacing w:line="360" w:lineRule="auto"/>
        <w:ind w:firstLine="482"/>
        <w:rPr>
          <w:rFonts w:eastAsiaTheme="minorEastAsia"/>
          <w:sz w:val="24"/>
        </w:rPr>
      </w:pPr>
      <w:r w:rsidRPr="00F9522B">
        <w:rPr>
          <w:rFonts w:eastAsiaTheme="minorEastAsia"/>
          <w:sz w:val="24"/>
        </w:rPr>
        <w:t>（</w:t>
      </w:r>
      <w:r w:rsidRPr="00F9522B">
        <w:rPr>
          <w:rFonts w:eastAsiaTheme="minorEastAsia"/>
          <w:sz w:val="24"/>
        </w:rPr>
        <w:t>7</w:t>
      </w:r>
      <w:r w:rsidRPr="00F9522B">
        <w:rPr>
          <w:rFonts w:eastAsiaTheme="minorEastAsia"/>
          <w:sz w:val="24"/>
        </w:rPr>
        <w:t>）</w:t>
      </w:r>
      <w:r w:rsidRPr="00F9522B">
        <w:rPr>
          <w:rFonts w:eastAsiaTheme="minorEastAsia"/>
          <w:bCs/>
          <w:sz w:val="24"/>
        </w:rPr>
        <w:t>本项目应严格执行《中华人民共和国土地管理法》《基本农田保护条例》等文件要求，制定基本农田环境保护方案：</w:t>
      </w:r>
      <w:r w:rsidRPr="00F9522B">
        <w:rPr>
          <w:rFonts w:ascii="宋体" w:hAnsi="宋体" w:cs="宋体" w:hint="eastAsia"/>
          <w:bCs/>
          <w:sz w:val="24"/>
        </w:rPr>
        <w:t>①</w:t>
      </w:r>
      <w:r w:rsidRPr="00F9522B">
        <w:rPr>
          <w:rFonts w:eastAsiaTheme="minorEastAsia"/>
          <w:bCs/>
          <w:sz w:val="24"/>
        </w:rPr>
        <w:t>建设前期须优化道路选线、合理安排施工期；</w:t>
      </w:r>
      <w:r w:rsidRPr="00F9522B">
        <w:rPr>
          <w:rFonts w:ascii="宋体" w:hAnsi="宋体" w:cs="宋体" w:hint="eastAsia"/>
          <w:bCs/>
          <w:sz w:val="24"/>
        </w:rPr>
        <w:t>②</w:t>
      </w:r>
      <w:r w:rsidRPr="00F9522B">
        <w:rPr>
          <w:rFonts w:eastAsiaTheme="minorEastAsia"/>
          <w:bCs/>
          <w:sz w:val="24"/>
        </w:rPr>
        <w:t>施工期须按照报告书要求对临时占地采取耕作层的剥离和暂存、妥善处理、及时清运废弃物等方式做好基本农田的保护工作。</w:t>
      </w:r>
    </w:p>
    <w:p w:rsidR="002A5A5E" w:rsidRPr="00F9522B" w:rsidRDefault="00611CBA">
      <w:pPr>
        <w:spacing w:line="360" w:lineRule="auto"/>
        <w:ind w:firstLine="482"/>
        <w:rPr>
          <w:rFonts w:eastAsiaTheme="minorEastAsia"/>
          <w:sz w:val="24"/>
        </w:rPr>
      </w:pPr>
      <w:r w:rsidRPr="00F9522B">
        <w:rPr>
          <w:rFonts w:eastAsiaTheme="minorEastAsia"/>
          <w:sz w:val="24"/>
        </w:rPr>
        <w:t>采取以上措施后，将会有效减少项目施工对黑土地及基本农田的不利影响。</w:t>
      </w:r>
    </w:p>
    <w:p w:rsidR="002A5A5E" w:rsidRPr="00F9522B" w:rsidRDefault="00611CBA">
      <w:pPr>
        <w:spacing w:before="100" w:beforeAutospacing="1" w:after="100" w:afterAutospacing="1"/>
        <w:contextualSpacing/>
        <w:jc w:val="left"/>
        <w:outlineLvl w:val="1"/>
        <w:rPr>
          <w:rFonts w:eastAsiaTheme="minorEastAsia"/>
          <w:b/>
          <w:bCs/>
          <w:kern w:val="44"/>
          <w:sz w:val="30"/>
          <w:szCs w:val="30"/>
        </w:rPr>
      </w:pPr>
      <w:bookmarkStart w:id="142" w:name="_Toc208906246"/>
      <w:r w:rsidRPr="00F9522B">
        <w:rPr>
          <w:rFonts w:eastAsiaTheme="minorEastAsia"/>
          <w:b/>
          <w:bCs/>
          <w:kern w:val="44"/>
          <w:sz w:val="30"/>
          <w:szCs w:val="30"/>
        </w:rPr>
        <w:t>6.2</w:t>
      </w:r>
      <w:r w:rsidRPr="00F9522B">
        <w:rPr>
          <w:rFonts w:eastAsiaTheme="minorEastAsia"/>
          <w:b/>
          <w:bCs/>
          <w:kern w:val="44"/>
          <w:sz w:val="30"/>
          <w:szCs w:val="30"/>
        </w:rPr>
        <w:t>运营期环境保护措施及其可行性论证</w:t>
      </w:r>
      <w:bookmarkEnd w:id="142"/>
    </w:p>
    <w:p w:rsidR="002A5A5E" w:rsidRPr="00F9522B" w:rsidRDefault="00611CBA">
      <w:pPr>
        <w:keepNext/>
        <w:keepLines/>
        <w:spacing w:before="100" w:beforeAutospacing="1" w:after="100" w:afterAutospacing="1"/>
        <w:outlineLvl w:val="2"/>
        <w:rPr>
          <w:rFonts w:eastAsiaTheme="minorEastAsia"/>
          <w:b/>
          <w:sz w:val="28"/>
          <w:szCs w:val="28"/>
        </w:rPr>
      </w:pPr>
      <w:r w:rsidRPr="00F9522B">
        <w:rPr>
          <w:rFonts w:eastAsiaTheme="minorEastAsia"/>
          <w:b/>
          <w:sz w:val="28"/>
          <w:szCs w:val="28"/>
        </w:rPr>
        <w:lastRenderedPageBreak/>
        <w:t>6.2.1</w:t>
      </w:r>
      <w:r w:rsidRPr="00F9522B">
        <w:rPr>
          <w:rFonts w:eastAsiaTheme="minorEastAsia"/>
          <w:b/>
          <w:sz w:val="28"/>
          <w:szCs w:val="28"/>
        </w:rPr>
        <w:t>大气环境保护措施及其可行性论证</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本项目无冬季供暖，田间道路主要在春、秋农忙季节有少量农机车辆行驶，其他时段基本无车辆通过，车辆通过会产生少量汽车尾气，本区域通过车辆一般为当地农用车，车速较慢、产生的尾气及扬尘较少，同时通过对过往车辆采取限速措施后，对周围环境空气影响不大。</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本项目排水工程设置</w:t>
      </w:r>
      <w:r w:rsidR="005E3027" w:rsidRPr="00F9522B">
        <w:rPr>
          <w:rFonts w:eastAsiaTheme="minorEastAsia"/>
          <w:sz w:val="24"/>
        </w:rPr>
        <w:t>78</w:t>
      </w:r>
      <w:r w:rsidR="005E3027" w:rsidRPr="00F9522B">
        <w:rPr>
          <w:rFonts w:eastAsiaTheme="minorEastAsia"/>
          <w:sz w:val="24"/>
        </w:rPr>
        <w:t>台</w:t>
      </w:r>
      <w:r w:rsidRPr="00F9522B">
        <w:rPr>
          <w:rFonts w:eastAsiaTheme="minorEastAsia"/>
          <w:sz w:val="24"/>
        </w:rPr>
        <w:t>柴油机移动泵车，采用轻质柴油，减少使用过程中产生的废气影响，鉴于项目的特殊性，泵车分布较分散，使用时间较短，位于田间，距离敏感点较远，田间空旷有利于柴油机移动泵车废气的稀释扩散，柴油机移动泵车废气排放满足《非道路移动机械用柴油机移动泵车污染物排放限值及测量方法（中国三、四阶段）》（</w:t>
      </w:r>
      <w:r w:rsidRPr="00F9522B">
        <w:rPr>
          <w:rFonts w:eastAsiaTheme="minorEastAsia"/>
          <w:sz w:val="24"/>
        </w:rPr>
        <w:t>GB20891-2014</w:t>
      </w:r>
      <w:r w:rsidRPr="00F9522B">
        <w:rPr>
          <w:rFonts w:eastAsiaTheme="minorEastAsia"/>
          <w:sz w:val="24"/>
        </w:rPr>
        <w:t>）中表</w:t>
      </w:r>
      <w:r w:rsidRPr="00F9522B">
        <w:rPr>
          <w:rFonts w:eastAsiaTheme="minorEastAsia"/>
          <w:sz w:val="24"/>
        </w:rPr>
        <w:t>2</w:t>
      </w:r>
      <w:r w:rsidRPr="00F9522B">
        <w:rPr>
          <w:rFonts w:eastAsiaTheme="minorEastAsia"/>
          <w:sz w:val="24"/>
        </w:rPr>
        <w:t>非道路移动机械用柴油机排气污染物排放限值要求。</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综上所述，该项目大气污染物治理措施可行，污染物经治理和大气稀释扩散后对当地的环境空气质量影响很小，大气环境质量可维持现状水平。</w:t>
      </w:r>
    </w:p>
    <w:p w:rsidR="002A5A5E" w:rsidRPr="00F9522B" w:rsidRDefault="00611CBA">
      <w:pPr>
        <w:keepNext/>
        <w:keepLines/>
        <w:spacing w:before="100" w:beforeAutospacing="1" w:after="100" w:afterAutospacing="1"/>
        <w:outlineLvl w:val="2"/>
        <w:rPr>
          <w:rFonts w:eastAsiaTheme="minorEastAsia"/>
          <w:b/>
          <w:sz w:val="28"/>
          <w:szCs w:val="28"/>
        </w:rPr>
      </w:pPr>
      <w:r w:rsidRPr="00F9522B">
        <w:rPr>
          <w:rFonts w:eastAsiaTheme="minorEastAsia"/>
          <w:b/>
          <w:sz w:val="28"/>
          <w:szCs w:val="28"/>
        </w:rPr>
        <w:t>6.2.2</w:t>
      </w:r>
      <w:r w:rsidRPr="00F9522B">
        <w:rPr>
          <w:rFonts w:eastAsiaTheme="minorEastAsia"/>
          <w:b/>
          <w:sz w:val="28"/>
          <w:szCs w:val="28"/>
        </w:rPr>
        <w:t>水环境保护措施及其可行性论证</w:t>
      </w:r>
    </w:p>
    <w:p w:rsidR="002A5A5E" w:rsidRPr="00F9522B" w:rsidRDefault="00A4540D">
      <w:pPr>
        <w:pStyle w:val="aff4"/>
        <w:adjustRightInd/>
        <w:snapToGrid/>
        <w:rPr>
          <w:rFonts w:ascii="Times New Roman" w:hAnsi="Times New Roman" w:cs="Times New Roman"/>
          <w:szCs w:val="22"/>
        </w:rPr>
      </w:pPr>
      <w:r w:rsidRPr="00F9522B">
        <w:rPr>
          <w:rFonts w:ascii="Times New Roman" w:hAnsi="Times New Roman" w:cs="Times New Roman"/>
          <w:szCs w:val="22"/>
        </w:rPr>
        <w:t>（</w:t>
      </w:r>
      <w:r w:rsidRPr="00F9522B">
        <w:rPr>
          <w:rFonts w:ascii="Times New Roman" w:hAnsi="Times New Roman" w:cs="Times New Roman"/>
          <w:szCs w:val="22"/>
        </w:rPr>
        <w:t>1</w:t>
      </w:r>
      <w:r w:rsidRPr="00F9522B">
        <w:rPr>
          <w:rFonts w:ascii="Times New Roman" w:hAnsi="Times New Roman" w:cs="Times New Roman"/>
          <w:szCs w:val="22"/>
        </w:rPr>
        <w:t>）</w:t>
      </w:r>
      <w:r w:rsidR="00611CBA" w:rsidRPr="00F9522B">
        <w:rPr>
          <w:rFonts w:ascii="Times New Roman" w:hAnsi="Times New Roman" w:cs="Times New Roman"/>
          <w:szCs w:val="22"/>
        </w:rPr>
        <w:t>地表水</w:t>
      </w:r>
    </w:p>
    <w:p w:rsidR="002A5A5E" w:rsidRPr="00F9522B" w:rsidRDefault="00611CBA">
      <w:pPr>
        <w:pStyle w:val="aff4"/>
        <w:adjustRightInd/>
        <w:snapToGrid/>
        <w:rPr>
          <w:rFonts w:ascii="Times New Roman" w:hAnsi="Times New Roman" w:cs="Times New Roman"/>
          <w:kern w:val="0"/>
        </w:rPr>
      </w:pPr>
      <w:r w:rsidRPr="00F9522B">
        <w:rPr>
          <w:rFonts w:ascii="Times New Roman" w:hAnsi="Times New Roman" w:cs="Times New Roman"/>
          <w:szCs w:val="22"/>
        </w:rPr>
        <w:t>根据</w:t>
      </w:r>
      <w:r w:rsidRPr="00F9522B">
        <w:rPr>
          <w:rFonts w:ascii="Times New Roman" w:hAnsi="Times New Roman" w:cs="Times New Roman"/>
        </w:rPr>
        <w:t>本工程已批复水资源论证报告书</w:t>
      </w:r>
      <w:r w:rsidRPr="00F9522B">
        <w:rPr>
          <w:rFonts w:ascii="Times New Roman" w:hAnsi="Times New Roman" w:cs="Times New Roman"/>
          <w:kern w:val="0"/>
          <w:szCs w:val="22"/>
        </w:rPr>
        <w:t>可知</w:t>
      </w:r>
      <w:r w:rsidRPr="00F9522B">
        <w:rPr>
          <w:rFonts w:ascii="Times New Roman" w:hAnsi="Times New Roman" w:cs="Times New Roman"/>
          <w:szCs w:val="20"/>
        </w:rPr>
        <w:t>，</w:t>
      </w:r>
      <w:r w:rsidRPr="00F9522B">
        <w:rPr>
          <w:rFonts w:ascii="Times New Roman" w:hAnsi="Times New Roman" w:cs="Times New Roman"/>
          <w:szCs w:val="22"/>
        </w:rPr>
        <w:t>新增灌溉井区域均为旱田，无水田，属于高标准农田建设项目，采取节水灌溉措施，地下水经作物吸收等充分利用，用水效率较高，不会产生退水</w:t>
      </w:r>
      <w:r w:rsidRPr="00F9522B">
        <w:rPr>
          <w:rFonts w:ascii="Times New Roman" w:hAnsi="Times New Roman" w:cs="Times New Roman"/>
          <w:kern w:val="0"/>
        </w:rPr>
        <w:t>。</w:t>
      </w:r>
    </w:p>
    <w:p w:rsidR="002A5A5E" w:rsidRPr="00F9522B" w:rsidRDefault="00611CBA">
      <w:pPr>
        <w:pStyle w:val="aff4"/>
        <w:adjustRightInd/>
        <w:snapToGrid/>
        <w:rPr>
          <w:rFonts w:ascii="Times New Roman" w:hAnsi="Times New Roman" w:cs="Times New Roman"/>
          <w:szCs w:val="22"/>
        </w:rPr>
      </w:pPr>
      <w:r w:rsidRPr="00F9522B">
        <w:rPr>
          <w:rFonts w:ascii="Times New Roman" w:hAnsi="Times New Roman" w:cs="Times New Roman"/>
          <w:szCs w:val="22"/>
        </w:rPr>
        <w:t>本项目实施后，由于灌溉水利用系数的提升、农田保水能力增强以及渠系配套系统的完善，地表水退水量减少，相应污染物入河量与现状相比也有一定程度的削减，项目建成后灌区年退水量与现状相比</w:t>
      </w:r>
      <w:r w:rsidR="004A0FF6" w:rsidRPr="00F9522B">
        <w:rPr>
          <w:rFonts w:ascii="Times New Roman" w:hAnsi="Times New Roman" w:cs="Times New Roman"/>
          <w:szCs w:val="22"/>
        </w:rPr>
        <w:t>减少</w:t>
      </w:r>
      <w:r w:rsidR="004A0FF6" w:rsidRPr="00F9522B">
        <w:rPr>
          <w:rFonts w:ascii="Times New Roman" w:hAnsi="Times New Roman" w:cs="Times New Roman"/>
          <w:szCs w:val="22"/>
        </w:rPr>
        <w:t>15</w:t>
      </w:r>
      <w:r w:rsidR="004A0FF6" w:rsidRPr="00F9522B">
        <w:rPr>
          <w:rFonts w:ascii="Times New Roman" w:hAnsi="Times New Roman" w:cs="Times New Roman"/>
          <w:szCs w:val="22"/>
        </w:rPr>
        <w:t>万</w:t>
      </w:r>
      <w:r w:rsidRPr="00F9522B">
        <w:rPr>
          <w:rFonts w:ascii="Times New Roman" w:hAnsi="Times New Roman" w:cs="Times New Roman"/>
          <w:szCs w:val="22"/>
        </w:rPr>
        <w:t>m</w:t>
      </w:r>
      <w:r w:rsidRPr="00F9522B">
        <w:rPr>
          <w:rFonts w:ascii="Times New Roman" w:hAnsi="Times New Roman" w:cs="Times New Roman"/>
          <w:szCs w:val="22"/>
          <w:vertAlign w:val="superscript"/>
        </w:rPr>
        <w:t>3</w:t>
      </w:r>
      <w:r w:rsidRPr="00F9522B">
        <w:rPr>
          <w:rFonts w:ascii="Times New Roman" w:hAnsi="Times New Roman" w:cs="Times New Roman"/>
          <w:szCs w:val="22"/>
        </w:rPr>
        <w:t>。</w:t>
      </w:r>
      <w:r w:rsidR="00E03AD9" w:rsidRPr="00F9522B">
        <w:rPr>
          <w:rFonts w:ascii="Times New Roman" w:hAnsi="Times New Roman" w:cs="Times New Roman"/>
          <w:bCs/>
          <w:szCs w:val="22"/>
        </w:rPr>
        <w:t>COD</w:t>
      </w:r>
      <w:r w:rsidR="00E03AD9" w:rsidRPr="00F9522B">
        <w:rPr>
          <w:rFonts w:ascii="Times New Roman" w:hAnsi="Times New Roman" w:cs="Times New Roman"/>
          <w:bCs/>
          <w:szCs w:val="22"/>
        </w:rPr>
        <w:t>、氨氮、总磷及总氮排放量分别减少</w:t>
      </w:r>
      <w:r w:rsidR="00E03AD9" w:rsidRPr="00F9522B">
        <w:rPr>
          <w:rFonts w:ascii="Times New Roman" w:hAnsi="Times New Roman" w:cs="Times New Roman"/>
          <w:bCs/>
          <w:szCs w:val="22"/>
        </w:rPr>
        <w:t>7.905t/a</w:t>
      </w:r>
      <w:r w:rsidR="00E03AD9" w:rsidRPr="00F9522B">
        <w:rPr>
          <w:rFonts w:ascii="Times New Roman" w:hAnsi="Times New Roman" w:cs="Times New Roman"/>
          <w:bCs/>
          <w:szCs w:val="22"/>
        </w:rPr>
        <w:t>、</w:t>
      </w:r>
      <w:r w:rsidR="00E03AD9" w:rsidRPr="00F9522B">
        <w:rPr>
          <w:rFonts w:ascii="Times New Roman" w:hAnsi="Times New Roman" w:cs="Times New Roman"/>
          <w:bCs/>
          <w:szCs w:val="22"/>
        </w:rPr>
        <w:t>0.189t/a</w:t>
      </w:r>
      <w:r w:rsidR="00E03AD9" w:rsidRPr="00F9522B">
        <w:rPr>
          <w:rFonts w:ascii="Times New Roman" w:hAnsi="Times New Roman" w:cs="Times New Roman"/>
          <w:bCs/>
          <w:szCs w:val="22"/>
        </w:rPr>
        <w:t>、</w:t>
      </w:r>
      <w:r w:rsidR="00E03AD9" w:rsidRPr="00F9522B">
        <w:rPr>
          <w:rFonts w:ascii="Times New Roman" w:hAnsi="Times New Roman" w:cs="Times New Roman"/>
          <w:bCs/>
          <w:szCs w:val="22"/>
        </w:rPr>
        <w:t>0.276t/a</w:t>
      </w:r>
      <w:r w:rsidR="00E03AD9" w:rsidRPr="00F9522B">
        <w:rPr>
          <w:rFonts w:ascii="Times New Roman" w:hAnsi="Times New Roman" w:cs="Times New Roman"/>
          <w:bCs/>
          <w:szCs w:val="22"/>
        </w:rPr>
        <w:t>、</w:t>
      </w:r>
      <w:r w:rsidR="00E03AD9" w:rsidRPr="00F9522B">
        <w:rPr>
          <w:rFonts w:ascii="Times New Roman" w:hAnsi="Times New Roman" w:cs="Times New Roman"/>
          <w:bCs/>
          <w:szCs w:val="22"/>
        </w:rPr>
        <w:t>0.63t/a</w:t>
      </w:r>
      <w:r w:rsidRPr="00F9522B">
        <w:rPr>
          <w:rFonts w:ascii="Times New Roman" w:hAnsi="Times New Roman" w:cs="Times New Roman"/>
          <w:bCs/>
          <w:szCs w:val="22"/>
        </w:rPr>
        <w:t>。</w:t>
      </w:r>
      <w:r w:rsidRPr="00F9522B">
        <w:rPr>
          <w:rFonts w:ascii="Times New Roman" w:hAnsi="Times New Roman" w:cs="Times New Roman"/>
          <w:kern w:val="0"/>
        </w:rPr>
        <w:t>故工程实施后对地表水环境起到一定改善作用。</w:t>
      </w:r>
    </w:p>
    <w:p w:rsidR="002A5A5E" w:rsidRPr="00F9522B" w:rsidRDefault="00611CBA" w:rsidP="00611CBA">
      <w:pPr>
        <w:spacing w:line="360" w:lineRule="auto"/>
        <w:ind w:firstLineChars="182" w:firstLine="437"/>
        <w:rPr>
          <w:rFonts w:eastAsiaTheme="minorEastAsia"/>
          <w:kern w:val="0"/>
          <w:sz w:val="24"/>
        </w:rPr>
      </w:pPr>
      <w:r w:rsidRPr="00F9522B">
        <w:rPr>
          <w:rFonts w:eastAsiaTheme="minorEastAsia"/>
          <w:kern w:val="0"/>
          <w:sz w:val="24"/>
        </w:rPr>
        <w:t>项目施行</w:t>
      </w:r>
      <w:r w:rsidRPr="00F9522B">
        <w:rPr>
          <w:rFonts w:eastAsiaTheme="minorEastAsia"/>
          <w:kern w:val="0"/>
          <w:sz w:val="24"/>
        </w:rPr>
        <w:t>“</w:t>
      </w:r>
      <w:r w:rsidRPr="00F9522B">
        <w:rPr>
          <w:rFonts w:eastAsiaTheme="minorEastAsia"/>
          <w:kern w:val="0"/>
          <w:sz w:val="24"/>
        </w:rPr>
        <w:t>三减</w:t>
      </w:r>
      <w:r w:rsidRPr="00F9522B">
        <w:rPr>
          <w:rFonts w:eastAsiaTheme="minorEastAsia"/>
          <w:kern w:val="0"/>
          <w:sz w:val="24"/>
        </w:rPr>
        <w:t>”</w:t>
      </w:r>
      <w:r w:rsidRPr="00F9522B">
        <w:rPr>
          <w:rFonts w:eastAsiaTheme="minorEastAsia"/>
          <w:kern w:val="0"/>
          <w:sz w:val="24"/>
        </w:rPr>
        <w:t>行动，即减化肥、减农药、减除草剂，积极推广科学施肥，使化肥、农药实现减量化施用，增加有机肥的施用，优化调整农药施用结构，控制农药施用量，采取测土配方施肥、水肥一体化措施。故工程实施后对</w:t>
      </w:r>
      <w:r w:rsidR="00E93DD8" w:rsidRPr="00F9522B">
        <w:rPr>
          <w:rFonts w:eastAsiaTheme="minorEastAsia"/>
          <w:sz w:val="24"/>
        </w:rPr>
        <w:t>松花江及漂河、呼兰河口湿地自然保护区</w:t>
      </w:r>
      <w:r w:rsidRPr="00F9522B">
        <w:rPr>
          <w:rFonts w:eastAsiaTheme="minorEastAsia"/>
          <w:sz w:val="24"/>
        </w:rPr>
        <w:t>水生生态</w:t>
      </w:r>
      <w:r w:rsidRPr="00F9522B">
        <w:rPr>
          <w:rFonts w:eastAsiaTheme="minorEastAsia"/>
          <w:kern w:val="0"/>
          <w:sz w:val="24"/>
        </w:rPr>
        <w:t>环境起到一定改善作用。</w:t>
      </w:r>
    </w:p>
    <w:p w:rsidR="002A5A5E" w:rsidRPr="00F9522B" w:rsidRDefault="00A4540D">
      <w:pPr>
        <w:spacing w:line="360" w:lineRule="auto"/>
        <w:ind w:firstLineChars="200" w:firstLine="480"/>
        <w:rPr>
          <w:rFonts w:eastAsiaTheme="minorEastAsia"/>
          <w:sz w:val="24"/>
        </w:rPr>
      </w:pPr>
      <w:r w:rsidRPr="00F9522B">
        <w:rPr>
          <w:rFonts w:eastAsiaTheme="minorEastAsia"/>
          <w:kern w:val="0"/>
          <w:sz w:val="24"/>
        </w:rPr>
        <w:lastRenderedPageBreak/>
        <w:t>（</w:t>
      </w:r>
      <w:r w:rsidRPr="00F9522B">
        <w:rPr>
          <w:rFonts w:eastAsiaTheme="minorEastAsia"/>
          <w:kern w:val="0"/>
          <w:sz w:val="24"/>
        </w:rPr>
        <w:t>2</w:t>
      </w:r>
      <w:r w:rsidRPr="00F9522B">
        <w:rPr>
          <w:rFonts w:eastAsiaTheme="minorEastAsia"/>
          <w:kern w:val="0"/>
          <w:sz w:val="24"/>
        </w:rPr>
        <w:t>）</w:t>
      </w:r>
      <w:r w:rsidR="00611CBA" w:rsidRPr="00F9522B">
        <w:rPr>
          <w:rFonts w:eastAsiaTheme="minorEastAsia"/>
          <w:kern w:val="0"/>
          <w:sz w:val="24"/>
        </w:rPr>
        <w:t>地下水</w:t>
      </w:r>
    </w:p>
    <w:p w:rsidR="002A5A5E" w:rsidRPr="00F9522B" w:rsidRDefault="00611CBA">
      <w:pPr>
        <w:spacing w:line="360" w:lineRule="auto"/>
        <w:ind w:firstLine="482"/>
        <w:rPr>
          <w:rFonts w:eastAsiaTheme="minorEastAsia"/>
          <w:sz w:val="24"/>
        </w:rPr>
      </w:pPr>
      <w:r w:rsidRPr="00F9522B">
        <w:rPr>
          <w:rFonts w:eastAsiaTheme="minorEastAsia"/>
          <w:sz w:val="24"/>
        </w:rPr>
        <w:t>1</w:t>
      </w:r>
      <w:r w:rsidRPr="00F9522B">
        <w:rPr>
          <w:rFonts w:eastAsiaTheme="minorEastAsia"/>
          <w:sz w:val="24"/>
        </w:rPr>
        <w:t>）非正常工况下，柴油机移动泵车油箱在使用和停放时发生泄漏事故，柴油渗漏对地下水水质造成影响。本项目设置</w:t>
      </w:r>
      <w:r w:rsidRPr="00F9522B">
        <w:rPr>
          <w:rFonts w:eastAsiaTheme="minorEastAsia"/>
          <w:sz w:val="24"/>
        </w:rPr>
        <w:t>3</w:t>
      </w:r>
      <w:r w:rsidRPr="00F9522B">
        <w:rPr>
          <w:rFonts w:eastAsiaTheme="minorEastAsia"/>
          <w:sz w:val="24"/>
        </w:rPr>
        <w:t>口地下水跟踪监测井（</w:t>
      </w:r>
      <w:r w:rsidR="00123CA8" w:rsidRPr="00F9522B">
        <w:rPr>
          <w:rFonts w:eastAsiaTheme="minorEastAsia"/>
          <w:sz w:val="24"/>
        </w:rPr>
        <w:t>榆林</w:t>
      </w:r>
      <w:r w:rsidR="00123CA8" w:rsidRPr="00F9522B">
        <w:rPr>
          <w:rFonts w:eastAsiaTheme="minorEastAsia"/>
          <w:sz w:val="24"/>
        </w:rPr>
        <w:t>2#</w:t>
      </w:r>
      <w:r w:rsidR="00123CA8" w:rsidRPr="00F9522B">
        <w:rPr>
          <w:rFonts w:eastAsiaTheme="minorEastAsia"/>
          <w:sz w:val="24"/>
        </w:rPr>
        <w:t>灌溉井、傅井</w:t>
      </w:r>
      <w:r w:rsidR="00123CA8" w:rsidRPr="00F9522B">
        <w:rPr>
          <w:rFonts w:eastAsiaTheme="minorEastAsia"/>
          <w:sz w:val="24"/>
        </w:rPr>
        <w:t>2#</w:t>
      </w:r>
      <w:r w:rsidR="00123CA8" w:rsidRPr="00F9522B">
        <w:rPr>
          <w:rFonts w:eastAsiaTheme="minorEastAsia"/>
          <w:sz w:val="24"/>
        </w:rPr>
        <w:t>灌溉井、永胜</w:t>
      </w:r>
      <w:r w:rsidR="00123CA8" w:rsidRPr="00F9522B">
        <w:rPr>
          <w:rFonts w:eastAsiaTheme="minorEastAsia"/>
          <w:sz w:val="24"/>
        </w:rPr>
        <w:t>1#</w:t>
      </w:r>
      <w:r w:rsidR="00123CA8" w:rsidRPr="00F9522B">
        <w:rPr>
          <w:rFonts w:eastAsiaTheme="minorEastAsia"/>
          <w:sz w:val="24"/>
        </w:rPr>
        <w:t>灌溉井</w:t>
      </w:r>
      <w:r w:rsidRPr="00F9522B">
        <w:rPr>
          <w:rFonts w:eastAsiaTheme="minorEastAsia"/>
          <w:sz w:val="24"/>
        </w:rPr>
        <w:t>），制定地下水跟踪监测计划及信息公开计划，防止对区域地下水环境造成影响。以柴油机移动泵车油箱泄漏对地下水影响进行预测，泄漏发生后</w:t>
      </w:r>
      <w:r w:rsidRPr="00F9522B">
        <w:rPr>
          <w:rFonts w:eastAsiaTheme="minorEastAsia"/>
          <w:sz w:val="24"/>
        </w:rPr>
        <w:t>100</w:t>
      </w:r>
      <w:r w:rsidRPr="00F9522B">
        <w:rPr>
          <w:rFonts w:eastAsiaTheme="minorEastAsia"/>
          <w:sz w:val="24"/>
        </w:rPr>
        <w:t>天时，石油类预测达标距离为</w:t>
      </w:r>
      <w:r w:rsidRPr="00F9522B">
        <w:rPr>
          <w:rFonts w:eastAsiaTheme="minorEastAsia"/>
          <w:sz w:val="24"/>
        </w:rPr>
        <w:t>48</w:t>
      </w:r>
      <w:r w:rsidRPr="00F9522B">
        <w:rPr>
          <w:rFonts w:eastAsiaTheme="minorEastAsia"/>
          <w:sz w:val="24"/>
        </w:rPr>
        <w:t>米，泄漏发生后</w:t>
      </w:r>
      <w:r w:rsidRPr="00F9522B">
        <w:rPr>
          <w:rFonts w:eastAsiaTheme="minorEastAsia"/>
          <w:sz w:val="24"/>
        </w:rPr>
        <w:t>1000</w:t>
      </w:r>
      <w:r w:rsidRPr="00F9522B">
        <w:rPr>
          <w:rFonts w:eastAsiaTheme="minorEastAsia"/>
          <w:sz w:val="24"/>
        </w:rPr>
        <w:t>天时，石油类预测达标距离为</w:t>
      </w:r>
      <w:r w:rsidRPr="00F9522B">
        <w:rPr>
          <w:rFonts w:eastAsiaTheme="minorEastAsia"/>
          <w:sz w:val="24"/>
        </w:rPr>
        <w:t>180</w:t>
      </w:r>
      <w:r w:rsidRPr="00F9522B">
        <w:rPr>
          <w:rFonts w:eastAsiaTheme="minorEastAsia"/>
          <w:sz w:val="24"/>
        </w:rPr>
        <w:t>米。本项目柴油机移动泵车油箱密闭，设置固定暂存场所，暂存场所地面采取防渗措施，在使用过程中若发生泄漏事故，立即用沙土进行掩埋，产生的含油沙土交由资质单位运输和处置。定期巡检，重点检查变压器油箱密封性（有无裂缝、接口渗漏）、油位刻度（判断是否存在异常泄漏），发现变压器油泄漏应立即停止此变压器运行，</w:t>
      </w:r>
      <w:r w:rsidRPr="00F9522B">
        <w:rPr>
          <w:rFonts w:eastAsiaTheme="minorEastAsia"/>
          <w:sz w:val="24"/>
          <w:szCs w:val="20"/>
        </w:rPr>
        <w:t>属于小范围污染，立即用沙土进行掩埋，产生的含油沙土及</w:t>
      </w:r>
      <w:r w:rsidRPr="00F9522B">
        <w:rPr>
          <w:rFonts w:eastAsiaTheme="minorEastAsia"/>
          <w:sz w:val="24"/>
        </w:rPr>
        <w:t>泄漏物</w:t>
      </w:r>
      <w:r w:rsidRPr="00F9522B">
        <w:rPr>
          <w:rFonts w:eastAsiaTheme="minorEastAsia"/>
          <w:sz w:val="24"/>
          <w:szCs w:val="20"/>
        </w:rPr>
        <w:t>交由资质单位处置进行运输和处置。</w:t>
      </w:r>
      <w:r w:rsidRPr="00F9522B">
        <w:rPr>
          <w:rFonts w:eastAsiaTheme="minorEastAsia"/>
          <w:sz w:val="24"/>
        </w:rPr>
        <w:t>不会对地下水环境产生污染。</w:t>
      </w:r>
    </w:p>
    <w:p w:rsidR="002A5A5E" w:rsidRPr="00F9522B" w:rsidRDefault="00611CBA">
      <w:pPr>
        <w:spacing w:line="360" w:lineRule="auto"/>
        <w:ind w:firstLine="482"/>
        <w:rPr>
          <w:rFonts w:eastAsiaTheme="minorEastAsia"/>
          <w:sz w:val="24"/>
        </w:rPr>
      </w:pPr>
      <w:r w:rsidRPr="00F9522B">
        <w:rPr>
          <w:rFonts w:eastAsiaTheme="minorEastAsia"/>
          <w:sz w:val="24"/>
        </w:rPr>
        <w:t>2</w:t>
      </w:r>
      <w:r w:rsidRPr="00F9522B">
        <w:rPr>
          <w:rFonts w:eastAsiaTheme="minorEastAsia"/>
          <w:sz w:val="24"/>
        </w:rPr>
        <w:t>）本项目合理开采地下水资源，严格执行灌溉制度，采取节水灌溉措施，提高水资源的利用率，通过管道输水、田间滴灌，最大限度的利用水资源。防止地下水超采。</w:t>
      </w:r>
      <w:r w:rsidRPr="00F9522B">
        <w:rPr>
          <w:rFonts w:eastAsiaTheme="minorEastAsia"/>
          <w:bCs/>
          <w:sz w:val="24"/>
        </w:rPr>
        <w:t>本次改造后，通过加强管理，</w:t>
      </w:r>
      <w:r w:rsidRPr="00F9522B">
        <w:rPr>
          <w:rFonts w:eastAsiaTheme="minorEastAsia"/>
          <w:sz w:val="24"/>
        </w:rPr>
        <w:t>施行</w:t>
      </w:r>
      <w:r w:rsidRPr="00F9522B">
        <w:rPr>
          <w:rFonts w:eastAsiaTheme="minorEastAsia"/>
          <w:sz w:val="24"/>
        </w:rPr>
        <w:t>“</w:t>
      </w:r>
      <w:r w:rsidRPr="00F9522B">
        <w:rPr>
          <w:rFonts w:eastAsiaTheme="minorEastAsia"/>
          <w:sz w:val="24"/>
        </w:rPr>
        <w:t>三减</w:t>
      </w:r>
      <w:r w:rsidRPr="00F9522B">
        <w:rPr>
          <w:rFonts w:eastAsiaTheme="minorEastAsia"/>
          <w:sz w:val="24"/>
        </w:rPr>
        <w:t>”</w:t>
      </w:r>
      <w:r w:rsidRPr="00F9522B">
        <w:rPr>
          <w:rFonts w:eastAsiaTheme="minorEastAsia"/>
          <w:sz w:val="24"/>
        </w:rPr>
        <w:t>行动，即减化肥、减农药、减除草剂，</w:t>
      </w:r>
      <w:r w:rsidRPr="00F9522B">
        <w:rPr>
          <w:rFonts w:eastAsiaTheme="minorEastAsia"/>
          <w:bCs/>
          <w:sz w:val="24"/>
        </w:rPr>
        <w:t>削减化肥和化学农药用量，增加有机肥、复合肥以及生物农药和高效低毒低残留农药的施用量。采取测土配方施肥、水肥一体化措施，防止农药、化肥污染地下水体。合理安排施肥、施药时间，减轻对地下水环境的污染。</w:t>
      </w:r>
    </w:p>
    <w:p w:rsidR="002A5A5E" w:rsidRPr="00F9522B" w:rsidRDefault="00611CBA">
      <w:pPr>
        <w:spacing w:line="360" w:lineRule="auto"/>
        <w:ind w:firstLine="482"/>
        <w:rPr>
          <w:rFonts w:eastAsiaTheme="minorEastAsia"/>
          <w:sz w:val="24"/>
        </w:rPr>
      </w:pPr>
      <w:r w:rsidRPr="00F9522B">
        <w:rPr>
          <w:rFonts w:eastAsiaTheme="minorEastAsia"/>
          <w:sz w:val="24"/>
        </w:rPr>
        <w:t>综上所述，项目对地表水、地下水环境产生影响较小。</w:t>
      </w:r>
    </w:p>
    <w:p w:rsidR="002A5A5E" w:rsidRPr="00F9522B" w:rsidRDefault="00611CBA">
      <w:pPr>
        <w:keepNext/>
        <w:keepLines/>
        <w:spacing w:before="100" w:beforeAutospacing="1" w:after="100" w:afterAutospacing="1"/>
        <w:outlineLvl w:val="2"/>
        <w:rPr>
          <w:rFonts w:eastAsiaTheme="minorEastAsia"/>
          <w:b/>
          <w:sz w:val="28"/>
          <w:szCs w:val="28"/>
        </w:rPr>
      </w:pPr>
      <w:r w:rsidRPr="00F9522B">
        <w:rPr>
          <w:rFonts w:eastAsiaTheme="minorEastAsia"/>
          <w:b/>
          <w:sz w:val="28"/>
          <w:szCs w:val="28"/>
        </w:rPr>
        <w:t>6.2.3</w:t>
      </w:r>
      <w:r w:rsidRPr="00F9522B">
        <w:rPr>
          <w:rFonts w:eastAsiaTheme="minorEastAsia"/>
          <w:b/>
          <w:sz w:val="28"/>
          <w:szCs w:val="28"/>
        </w:rPr>
        <w:t>声环境保护措施及其可行性论证</w:t>
      </w:r>
    </w:p>
    <w:p w:rsidR="002A5A5E" w:rsidRPr="00F9522B" w:rsidRDefault="00611CBA">
      <w:pPr>
        <w:spacing w:line="360" w:lineRule="auto"/>
        <w:ind w:firstLineChars="200" w:firstLine="480"/>
        <w:contextualSpacing/>
        <w:rPr>
          <w:rFonts w:eastAsiaTheme="minorEastAsia"/>
          <w:bCs/>
          <w:sz w:val="24"/>
        </w:rPr>
      </w:pPr>
      <w:r w:rsidRPr="00F9522B">
        <w:rPr>
          <w:rFonts w:eastAsiaTheme="minorEastAsia"/>
          <w:bCs/>
          <w:sz w:val="24"/>
        </w:rPr>
        <w:t>（</w:t>
      </w:r>
      <w:r w:rsidRPr="00F9522B">
        <w:rPr>
          <w:rFonts w:eastAsiaTheme="minorEastAsia"/>
          <w:bCs/>
          <w:sz w:val="24"/>
        </w:rPr>
        <w:t>1</w:t>
      </w:r>
      <w:r w:rsidRPr="00F9522B">
        <w:rPr>
          <w:rFonts w:eastAsiaTheme="minorEastAsia"/>
          <w:bCs/>
          <w:sz w:val="24"/>
        </w:rPr>
        <w:t>）灌溉井泵类等噪声</w:t>
      </w:r>
    </w:p>
    <w:p w:rsidR="002A5A5E" w:rsidRPr="00F9522B" w:rsidRDefault="00611CBA">
      <w:pPr>
        <w:pStyle w:val="afffffffff3"/>
        <w:spacing w:line="360" w:lineRule="auto"/>
        <w:ind w:firstLineChars="200" w:firstLine="480"/>
        <w:textAlignment w:val="center"/>
        <w:rPr>
          <w:rFonts w:eastAsiaTheme="minorEastAsia"/>
          <w:sz w:val="24"/>
          <w:szCs w:val="24"/>
        </w:rPr>
      </w:pPr>
      <w:r w:rsidRPr="00F9522B">
        <w:rPr>
          <w:rFonts w:eastAsiaTheme="minorEastAsia"/>
          <w:sz w:val="24"/>
          <w:szCs w:val="24"/>
        </w:rPr>
        <w:t>潜水泵、</w:t>
      </w:r>
      <w:r w:rsidR="00A4540D" w:rsidRPr="00F9522B">
        <w:rPr>
          <w:rFonts w:eastAsiaTheme="minorEastAsia"/>
          <w:sz w:val="24"/>
          <w:szCs w:val="24"/>
        </w:rPr>
        <w:t>水肥一体化设备</w:t>
      </w:r>
      <w:r w:rsidRPr="00F9522B">
        <w:rPr>
          <w:rFonts w:eastAsiaTheme="minorEastAsia"/>
          <w:sz w:val="24"/>
          <w:szCs w:val="24"/>
        </w:rPr>
        <w:t>位于井房内，</w:t>
      </w:r>
      <w:r w:rsidRPr="00F9522B">
        <w:rPr>
          <w:rFonts w:eastAsiaTheme="minorEastAsia"/>
          <w:sz w:val="24"/>
        </w:rPr>
        <w:t>能够有效的阻隔声传播，</w:t>
      </w:r>
      <w:r w:rsidRPr="00F9522B">
        <w:rPr>
          <w:rFonts w:eastAsiaTheme="minorEastAsia"/>
          <w:sz w:val="24"/>
          <w:szCs w:val="24"/>
        </w:rPr>
        <w:t>潜水泵位于地下，潜水泵、</w:t>
      </w:r>
      <w:r w:rsidR="00A4540D" w:rsidRPr="00F9522B">
        <w:rPr>
          <w:rFonts w:eastAsiaTheme="minorEastAsia"/>
          <w:sz w:val="24"/>
          <w:szCs w:val="24"/>
        </w:rPr>
        <w:t>水肥一体化设备</w:t>
      </w:r>
      <w:r w:rsidRPr="00F9522B">
        <w:rPr>
          <w:rFonts w:eastAsiaTheme="minorEastAsia"/>
          <w:sz w:val="24"/>
          <w:szCs w:val="24"/>
        </w:rPr>
        <w:t>采取减振措施，项目灌溉为间歇灌溉，且有抗旱作用，对周围居民影响可接受。</w:t>
      </w:r>
      <w:r w:rsidRPr="00F9522B">
        <w:rPr>
          <w:rFonts w:eastAsiaTheme="minorEastAsia"/>
          <w:sz w:val="24"/>
        </w:rPr>
        <w:t>喷灌设备一般设置于耕地内，距离居民较远，再经距离衰减，能够有效的降低泵类对周围环境影响。排水沟仅在降水无法排出情况下采用柴油机移动泵车进行排水，柴油机移动泵车及文丘里施肥机使用时间较短，且布局在耕地内，远离居民，影响较小。</w:t>
      </w:r>
      <w:r w:rsidRPr="00F9522B">
        <w:rPr>
          <w:rFonts w:eastAsiaTheme="minorEastAsia"/>
          <w:sz w:val="24"/>
          <w:szCs w:val="24"/>
        </w:rPr>
        <w:t>变压器基础减振，产生影响较小。</w:t>
      </w:r>
    </w:p>
    <w:p w:rsidR="002A5A5E" w:rsidRPr="00F9522B" w:rsidRDefault="00611CBA">
      <w:pPr>
        <w:spacing w:line="360" w:lineRule="auto"/>
        <w:ind w:firstLineChars="200" w:firstLine="480"/>
        <w:contextualSpacing/>
        <w:rPr>
          <w:rFonts w:eastAsiaTheme="minorEastAsia"/>
          <w:bCs/>
          <w:sz w:val="24"/>
        </w:rPr>
      </w:pPr>
      <w:r w:rsidRPr="00F9522B">
        <w:rPr>
          <w:rFonts w:eastAsiaTheme="minorEastAsia"/>
          <w:bCs/>
          <w:sz w:val="24"/>
        </w:rPr>
        <w:lastRenderedPageBreak/>
        <w:t>（</w:t>
      </w:r>
      <w:r w:rsidRPr="00F9522B">
        <w:rPr>
          <w:rFonts w:eastAsiaTheme="minorEastAsia"/>
          <w:bCs/>
          <w:sz w:val="24"/>
        </w:rPr>
        <w:t>2</w:t>
      </w:r>
      <w:r w:rsidRPr="00F9522B">
        <w:rPr>
          <w:rFonts w:eastAsiaTheme="minorEastAsia"/>
          <w:bCs/>
          <w:sz w:val="24"/>
        </w:rPr>
        <w:t>）机动车辆产生的交通噪声</w:t>
      </w:r>
    </w:p>
    <w:p w:rsidR="002A5A5E" w:rsidRPr="00F9522B" w:rsidRDefault="00611CBA">
      <w:pPr>
        <w:spacing w:line="360" w:lineRule="auto"/>
        <w:ind w:firstLineChars="200" w:firstLine="480"/>
        <w:contextualSpacing/>
        <w:rPr>
          <w:rFonts w:eastAsiaTheme="minorEastAsia"/>
          <w:sz w:val="24"/>
        </w:rPr>
      </w:pPr>
      <w:r w:rsidRPr="00F9522B">
        <w:rPr>
          <w:rFonts w:eastAsiaTheme="minorEastAsia"/>
          <w:sz w:val="24"/>
        </w:rPr>
        <w:t>机动车辆产生的噪声为流动不稳态声源，临近敏感目标的道路处设置限速、禁鸣标识，能够有效降低机动车辆产生的噪声。</w:t>
      </w:r>
    </w:p>
    <w:p w:rsidR="002A5A5E" w:rsidRPr="00F9522B" w:rsidRDefault="00611CBA">
      <w:pPr>
        <w:spacing w:line="360" w:lineRule="auto"/>
        <w:ind w:firstLineChars="200" w:firstLine="480"/>
        <w:contextualSpacing/>
        <w:rPr>
          <w:rFonts w:eastAsiaTheme="minorEastAsia"/>
          <w:sz w:val="24"/>
        </w:rPr>
      </w:pPr>
      <w:r w:rsidRPr="00F9522B">
        <w:rPr>
          <w:rFonts w:eastAsiaTheme="minorEastAsia"/>
          <w:sz w:val="24"/>
        </w:rPr>
        <w:t>综上所述，本项目采取上述防噪措施后，噪声对周围环境影响较小，井房厂界噪声能够满足《工业企业厂界环境噪声质量标准》</w:t>
      </w:r>
      <w:r w:rsidRPr="00F9522B">
        <w:rPr>
          <w:rFonts w:eastAsiaTheme="minorEastAsia"/>
          <w:sz w:val="24"/>
        </w:rPr>
        <w:t>(GB12348-2008)</w:t>
      </w:r>
      <w:r w:rsidRPr="00F9522B">
        <w:rPr>
          <w:rFonts w:eastAsiaTheme="minorEastAsia"/>
          <w:sz w:val="24"/>
        </w:rPr>
        <w:t>表</w:t>
      </w:r>
      <w:r w:rsidRPr="00F9522B">
        <w:rPr>
          <w:rFonts w:eastAsiaTheme="minorEastAsia"/>
          <w:sz w:val="24"/>
        </w:rPr>
        <w:t>1</w:t>
      </w:r>
      <w:r w:rsidRPr="00F9522B">
        <w:rPr>
          <w:rFonts w:eastAsiaTheme="minorEastAsia"/>
          <w:sz w:val="24"/>
        </w:rPr>
        <w:t>中</w:t>
      </w:r>
      <w:r w:rsidRPr="00F9522B">
        <w:rPr>
          <w:rFonts w:eastAsiaTheme="minorEastAsia"/>
          <w:sz w:val="24"/>
        </w:rPr>
        <w:t>1</w:t>
      </w:r>
      <w:r w:rsidRPr="00F9522B">
        <w:rPr>
          <w:rFonts w:eastAsiaTheme="minorEastAsia"/>
          <w:sz w:val="24"/>
        </w:rPr>
        <w:t>类标准要求。敏感点叠加值满足《声环境质量标准》（</w:t>
      </w:r>
      <w:r w:rsidRPr="00F9522B">
        <w:rPr>
          <w:rFonts w:eastAsiaTheme="minorEastAsia"/>
          <w:sz w:val="24"/>
        </w:rPr>
        <w:t>GB3096-2008</w:t>
      </w:r>
      <w:r w:rsidRPr="00F9522B">
        <w:rPr>
          <w:rFonts w:eastAsiaTheme="minorEastAsia"/>
          <w:sz w:val="24"/>
        </w:rPr>
        <w:t>）中</w:t>
      </w:r>
      <w:r w:rsidRPr="00F9522B">
        <w:rPr>
          <w:rFonts w:eastAsiaTheme="minorEastAsia"/>
          <w:sz w:val="24"/>
        </w:rPr>
        <w:t>1</w:t>
      </w:r>
      <w:r w:rsidRPr="00F9522B">
        <w:rPr>
          <w:rFonts w:eastAsiaTheme="minorEastAsia"/>
          <w:sz w:val="24"/>
        </w:rPr>
        <w:t>类标准。</w:t>
      </w:r>
    </w:p>
    <w:p w:rsidR="002A5A5E" w:rsidRPr="00F9522B" w:rsidRDefault="00611CBA">
      <w:pPr>
        <w:keepNext/>
        <w:keepLines/>
        <w:spacing w:before="100" w:beforeAutospacing="1" w:after="100" w:afterAutospacing="1"/>
        <w:outlineLvl w:val="2"/>
        <w:rPr>
          <w:rFonts w:eastAsiaTheme="minorEastAsia"/>
          <w:b/>
          <w:sz w:val="28"/>
          <w:szCs w:val="28"/>
        </w:rPr>
      </w:pPr>
      <w:r w:rsidRPr="00F9522B">
        <w:rPr>
          <w:rFonts w:eastAsiaTheme="minorEastAsia"/>
          <w:b/>
          <w:sz w:val="28"/>
          <w:szCs w:val="28"/>
        </w:rPr>
        <w:t>6.2.4</w:t>
      </w:r>
      <w:r w:rsidRPr="00F9522B">
        <w:rPr>
          <w:rFonts w:eastAsiaTheme="minorEastAsia"/>
          <w:b/>
          <w:sz w:val="28"/>
          <w:szCs w:val="28"/>
        </w:rPr>
        <w:t>固体废物污染防治措施及其可行性论证</w:t>
      </w:r>
    </w:p>
    <w:p w:rsidR="002A5A5E" w:rsidRPr="00F9522B" w:rsidRDefault="00611CBA">
      <w:pPr>
        <w:spacing w:line="360" w:lineRule="auto"/>
        <w:ind w:firstLineChars="200" w:firstLine="480"/>
        <w:contextualSpacing/>
        <w:rPr>
          <w:rFonts w:eastAsiaTheme="minorEastAsia"/>
          <w:sz w:val="24"/>
        </w:rPr>
      </w:pPr>
      <w:r w:rsidRPr="00F9522B">
        <w:rPr>
          <w:rFonts w:eastAsiaTheme="minorEastAsia"/>
          <w:sz w:val="24"/>
        </w:rPr>
        <w:t>本项目运营期产生固体废物主要为秸秆、</w:t>
      </w:r>
      <w:r w:rsidRPr="00F9522B">
        <w:rPr>
          <w:rFonts w:eastAsiaTheme="minorEastAsia"/>
          <w:bCs/>
          <w:sz w:val="24"/>
        </w:rPr>
        <w:t>农药包装物及废肥料包装袋</w:t>
      </w:r>
      <w:r w:rsidRPr="00F9522B">
        <w:rPr>
          <w:rFonts w:eastAsiaTheme="minorEastAsia"/>
          <w:sz w:val="24"/>
        </w:rPr>
        <w:t>。</w:t>
      </w:r>
    </w:p>
    <w:p w:rsidR="002A5A5E" w:rsidRPr="00F9522B" w:rsidRDefault="00611CBA">
      <w:pPr>
        <w:spacing w:line="360" w:lineRule="auto"/>
        <w:ind w:firstLineChars="200" w:firstLine="480"/>
        <w:contextualSpacing/>
        <w:rPr>
          <w:rFonts w:eastAsiaTheme="minorEastAsia"/>
          <w:sz w:val="24"/>
        </w:rPr>
      </w:pPr>
      <w:r w:rsidRPr="00F9522B">
        <w:rPr>
          <w:rFonts w:eastAsiaTheme="minorEastAsia"/>
          <w:bCs/>
          <w:sz w:val="24"/>
        </w:rPr>
        <w:t>高标准农田耕种过程中将会产生农药包装物及废肥料包装袋，依据《农药包装废弃物回收处理管理办法》（中华人民共和国农业农村部</w:t>
      </w:r>
      <w:r w:rsidRPr="00F9522B">
        <w:rPr>
          <w:rFonts w:eastAsiaTheme="minorEastAsia"/>
          <w:bCs/>
          <w:sz w:val="24"/>
        </w:rPr>
        <w:t xml:space="preserve"> </w:t>
      </w:r>
      <w:r w:rsidRPr="00F9522B">
        <w:rPr>
          <w:rFonts w:eastAsiaTheme="minorEastAsia"/>
          <w:bCs/>
          <w:sz w:val="24"/>
        </w:rPr>
        <w:t>生态环境部令</w:t>
      </w:r>
      <w:r w:rsidRPr="00F9522B">
        <w:rPr>
          <w:rFonts w:eastAsiaTheme="minorEastAsia"/>
          <w:bCs/>
          <w:sz w:val="24"/>
        </w:rPr>
        <w:t>2020</w:t>
      </w:r>
      <w:r w:rsidRPr="00F9522B">
        <w:rPr>
          <w:rFonts w:eastAsiaTheme="minorEastAsia"/>
          <w:bCs/>
          <w:sz w:val="24"/>
        </w:rPr>
        <w:t>年</w:t>
      </w:r>
      <w:r w:rsidRPr="00F9522B">
        <w:rPr>
          <w:rFonts w:eastAsiaTheme="minorEastAsia"/>
          <w:bCs/>
          <w:sz w:val="24"/>
        </w:rPr>
        <w:t xml:space="preserve"> </w:t>
      </w:r>
      <w:r w:rsidRPr="00F9522B">
        <w:rPr>
          <w:rFonts w:eastAsiaTheme="minorEastAsia"/>
          <w:bCs/>
          <w:sz w:val="24"/>
        </w:rPr>
        <w:t>第</w:t>
      </w:r>
      <w:r w:rsidRPr="00F9522B">
        <w:rPr>
          <w:rFonts w:eastAsiaTheme="minorEastAsia"/>
          <w:bCs/>
          <w:sz w:val="24"/>
        </w:rPr>
        <w:t>6</w:t>
      </w:r>
      <w:r w:rsidRPr="00F9522B">
        <w:rPr>
          <w:rFonts w:eastAsiaTheme="minorEastAsia"/>
          <w:bCs/>
          <w:sz w:val="24"/>
        </w:rPr>
        <w:t>号）以及《国家危险废物名录（</w:t>
      </w:r>
      <w:r w:rsidRPr="00F9522B">
        <w:rPr>
          <w:rFonts w:eastAsiaTheme="minorEastAsia"/>
          <w:bCs/>
          <w:sz w:val="24"/>
        </w:rPr>
        <w:t>2025</w:t>
      </w:r>
      <w:r w:rsidRPr="00F9522B">
        <w:rPr>
          <w:rFonts w:eastAsiaTheme="minorEastAsia"/>
          <w:bCs/>
          <w:sz w:val="24"/>
        </w:rPr>
        <w:t>年版）》危险废物豁免管理清单，农药包装物不按照危险废物管理。</w:t>
      </w:r>
      <w:r w:rsidR="00D33612" w:rsidRPr="00F9522B">
        <w:rPr>
          <w:rFonts w:eastAsiaTheme="minorEastAsia"/>
          <w:sz w:val="24"/>
        </w:rPr>
        <w:t>秸秆、</w:t>
      </w:r>
      <w:r w:rsidR="00D33612" w:rsidRPr="00F9522B">
        <w:rPr>
          <w:rFonts w:eastAsiaTheme="minorEastAsia"/>
          <w:bCs/>
          <w:sz w:val="24"/>
        </w:rPr>
        <w:t>废肥料包装袋由当地农民负责外售综合利用；</w:t>
      </w:r>
      <w:r w:rsidR="00D33612" w:rsidRPr="00F9522B">
        <w:rPr>
          <w:rFonts w:eastAsiaTheme="minorEastAsia"/>
          <w:bCs/>
          <w:color w:val="FF0000"/>
          <w:sz w:val="24"/>
        </w:rPr>
        <w:t>农业使用者及时收集农药包装物，由并交回农药经营者或回收站。</w:t>
      </w:r>
    </w:p>
    <w:p w:rsidR="002A5A5E" w:rsidRPr="00F9522B" w:rsidRDefault="00611CBA">
      <w:pPr>
        <w:keepNext/>
        <w:keepLines/>
        <w:spacing w:before="100" w:beforeAutospacing="1" w:after="100" w:afterAutospacing="1"/>
        <w:outlineLvl w:val="2"/>
        <w:rPr>
          <w:rFonts w:eastAsiaTheme="minorEastAsia"/>
          <w:b/>
          <w:sz w:val="28"/>
          <w:szCs w:val="28"/>
        </w:rPr>
      </w:pPr>
      <w:r w:rsidRPr="00F9522B">
        <w:rPr>
          <w:rFonts w:eastAsiaTheme="minorEastAsia"/>
          <w:b/>
          <w:sz w:val="28"/>
          <w:szCs w:val="28"/>
        </w:rPr>
        <w:t>6.2.5</w:t>
      </w:r>
      <w:r w:rsidRPr="00F9522B">
        <w:rPr>
          <w:rFonts w:eastAsiaTheme="minorEastAsia"/>
          <w:b/>
          <w:sz w:val="28"/>
          <w:szCs w:val="28"/>
        </w:rPr>
        <w:t>电磁环境保护措施及其可行性论证</w:t>
      </w:r>
    </w:p>
    <w:p w:rsidR="002A5A5E" w:rsidRPr="00F9522B" w:rsidRDefault="00611CBA">
      <w:pPr>
        <w:spacing w:line="360" w:lineRule="auto"/>
        <w:ind w:firstLineChars="200" w:firstLine="480"/>
        <w:contextualSpacing/>
        <w:rPr>
          <w:rFonts w:eastAsiaTheme="minorEastAsia"/>
          <w:sz w:val="24"/>
        </w:rPr>
      </w:pPr>
      <w:r w:rsidRPr="00F9522B">
        <w:rPr>
          <w:rFonts w:eastAsiaTheme="minorEastAsia"/>
          <w:sz w:val="24"/>
        </w:rPr>
        <w:t>在满足变压器设计要求的前提下，保障公众健康，保护周围电磁环境。通过采用防护措施，本项目运营期间，将变压器、配电装置产生的电磁辐射降到最低水平，最大限度的保障公众身体健康。</w:t>
      </w:r>
    </w:p>
    <w:p w:rsidR="002A5A5E" w:rsidRPr="00F9522B" w:rsidRDefault="00611CBA">
      <w:pPr>
        <w:keepNext/>
        <w:keepLines/>
        <w:spacing w:before="100" w:beforeAutospacing="1" w:after="100" w:afterAutospacing="1"/>
        <w:outlineLvl w:val="2"/>
        <w:rPr>
          <w:rFonts w:eastAsiaTheme="minorEastAsia"/>
          <w:b/>
          <w:sz w:val="28"/>
          <w:szCs w:val="28"/>
        </w:rPr>
      </w:pPr>
      <w:r w:rsidRPr="00F9522B">
        <w:rPr>
          <w:rFonts w:eastAsiaTheme="minorEastAsia"/>
          <w:b/>
          <w:sz w:val="28"/>
          <w:szCs w:val="28"/>
        </w:rPr>
        <w:t>6.2.6</w:t>
      </w:r>
      <w:r w:rsidRPr="00F9522B">
        <w:rPr>
          <w:rFonts w:eastAsiaTheme="minorEastAsia"/>
          <w:b/>
          <w:sz w:val="28"/>
          <w:szCs w:val="28"/>
        </w:rPr>
        <w:t>土壤环境保护措施及其可行性论证</w:t>
      </w:r>
    </w:p>
    <w:p w:rsidR="002A5A5E" w:rsidRPr="00F9522B" w:rsidRDefault="00611CBA">
      <w:pPr>
        <w:spacing w:line="360" w:lineRule="auto"/>
        <w:ind w:firstLineChars="200" w:firstLine="480"/>
        <w:contextualSpacing/>
        <w:rPr>
          <w:rFonts w:eastAsiaTheme="minorEastAsia"/>
          <w:sz w:val="24"/>
        </w:rPr>
      </w:pPr>
      <w:r w:rsidRPr="00F9522B">
        <w:rPr>
          <w:rFonts w:eastAsiaTheme="minorEastAsia"/>
          <w:sz w:val="24"/>
        </w:rPr>
        <w:t>本项目为</w:t>
      </w:r>
      <w:r w:rsidRPr="00F9522B">
        <w:rPr>
          <w:rFonts w:eastAsiaTheme="minorEastAsia"/>
          <w:bCs/>
          <w:kern w:val="0"/>
          <w:sz w:val="24"/>
        </w:rPr>
        <w:t>高标准农田建设项目</w:t>
      </w:r>
      <w:r w:rsidRPr="00F9522B">
        <w:rPr>
          <w:rFonts w:eastAsiaTheme="minorEastAsia"/>
          <w:sz w:val="24"/>
        </w:rPr>
        <w:t>，实施后项目区的农业生产条件将大大改善，抵御自然灾害的能力将大幅度提高。</w:t>
      </w:r>
      <w:r w:rsidRPr="00F9522B">
        <w:rPr>
          <w:rFonts w:eastAsiaTheme="minorEastAsia"/>
          <w:bCs/>
          <w:sz w:val="24"/>
        </w:rPr>
        <w:t>本项目合理开采地下水资源，严格执行灌溉制度，采取节水灌溉措施，提高水资源的利用率。</w:t>
      </w:r>
      <w:r w:rsidRPr="00F9522B">
        <w:rPr>
          <w:rFonts w:eastAsiaTheme="minorEastAsia"/>
          <w:sz w:val="24"/>
        </w:rPr>
        <w:t>适度灌溉能够提升土壤肥力及农作物产量，不会造成土壤盐化问题。实施本项目后，对项目区发展生态农业提供了有利条件，能为环境所接受。运营期建设单位定期对土壤环境进行监测。</w:t>
      </w:r>
    </w:p>
    <w:p w:rsidR="002A5A5E" w:rsidRPr="00F9522B" w:rsidRDefault="00611CBA">
      <w:pPr>
        <w:spacing w:line="360" w:lineRule="auto"/>
        <w:ind w:firstLineChars="200" w:firstLine="480"/>
        <w:contextualSpacing/>
        <w:rPr>
          <w:rFonts w:eastAsiaTheme="minorEastAsia"/>
          <w:sz w:val="24"/>
        </w:rPr>
      </w:pPr>
      <w:r w:rsidRPr="00F9522B">
        <w:rPr>
          <w:rFonts w:eastAsiaTheme="minorEastAsia"/>
          <w:sz w:val="24"/>
        </w:rPr>
        <w:t>项目区地力培肥、土壤保水保肥能力提升措施：优化耕作制度，减少土壤扰动，大力推广有机肥料及生物肥的使用，采用喷灌和滴灌技术，提高水肥利用效</w:t>
      </w:r>
      <w:r w:rsidRPr="00F9522B">
        <w:rPr>
          <w:rFonts w:eastAsiaTheme="minorEastAsia"/>
          <w:sz w:val="24"/>
        </w:rPr>
        <w:lastRenderedPageBreak/>
        <w:t>率，减少化学肥料对土壤环境产生的不利影响。</w:t>
      </w:r>
    </w:p>
    <w:p w:rsidR="002A5A5E" w:rsidRPr="00F9522B" w:rsidRDefault="00611CBA">
      <w:pPr>
        <w:spacing w:line="360" w:lineRule="auto"/>
        <w:ind w:firstLineChars="200" w:firstLine="480"/>
        <w:contextualSpacing/>
        <w:rPr>
          <w:rFonts w:eastAsiaTheme="minorEastAsia"/>
          <w:sz w:val="24"/>
        </w:rPr>
      </w:pPr>
      <w:r w:rsidRPr="00F9522B">
        <w:rPr>
          <w:rFonts w:eastAsiaTheme="minorEastAsia"/>
          <w:sz w:val="24"/>
        </w:rPr>
        <w:t>科学、合理使用化肥方式方法：</w:t>
      </w:r>
      <w:r w:rsidRPr="00F9522B">
        <w:rPr>
          <w:rFonts w:eastAsiaTheme="minorEastAsia"/>
          <w:bCs/>
          <w:sz w:val="24"/>
        </w:rPr>
        <w:t>避免盲目、过量、单用、连用化肥，进行平衡施肥，以及根据不同作物和生长季节合理施肥。根据不同区域、不同地块的土壤情况，合理搭配化肥种类和用量，实现平衡施肥。</w:t>
      </w:r>
      <w:r w:rsidRPr="00F9522B">
        <w:rPr>
          <w:rFonts w:eastAsiaTheme="minorEastAsia"/>
          <w:sz w:val="24"/>
        </w:rPr>
        <w:t>大力推广有机肥料及生物肥的使用。</w:t>
      </w:r>
    </w:p>
    <w:p w:rsidR="002A5A5E" w:rsidRPr="00F9522B" w:rsidRDefault="00611CBA">
      <w:pPr>
        <w:keepNext/>
        <w:keepLines/>
        <w:spacing w:before="100" w:beforeAutospacing="1" w:after="100" w:afterAutospacing="1"/>
        <w:outlineLvl w:val="2"/>
        <w:rPr>
          <w:rFonts w:eastAsiaTheme="minorEastAsia"/>
          <w:b/>
          <w:sz w:val="28"/>
          <w:szCs w:val="28"/>
        </w:rPr>
      </w:pPr>
      <w:bookmarkStart w:id="143" w:name="_Toc15991704"/>
      <w:r w:rsidRPr="00F9522B">
        <w:rPr>
          <w:rFonts w:eastAsiaTheme="minorEastAsia"/>
          <w:b/>
          <w:sz w:val="28"/>
          <w:szCs w:val="28"/>
        </w:rPr>
        <w:t>6.2.7</w:t>
      </w:r>
      <w:r w:rsidRPr="00F9522B">
        <w:rPr>
          <w:rFonts w:eastAsiaTheme="minorEastAsia"/>
          <w:b/>
          <w:sz w:val="28"/>
          <w:szCs w:val="28"/>
        </w:rPr>
        <w:t>风险防范措施</w:t>
      </w:r>
      <w:bookmarkEnd w:id="143"/>
    </w:p>
    <w:p w:rsidR="002A5A5E" w:rsidRPr="00F9522B" w:rsidRDefault="00611CBA">
      <w:pPr>
        <w:spacing w:line="360" w:lineRule="auto"/>
        <w:ind w:firstLineChars="200" w:firstLine="480"/>
        <w:rPr>
          <w:rFonts w:eastAsiaTheme="minorEastAsia"/>
          <w:sz w:val="24"/>
          <w:szCs w:val="20"/>
        </w:rPr>
      </w:pPr>
      <w:r w:rsidRPr="00F9522B">
        <w:rPr>
          <w:rFonts w:eastAsiaTheme="minorEastAsia"/>
          <w:sz w:val="24"/>
          <w:szCs w:val="20"/>
        </w:rPr>
        <w:t>本项目</w:t>
      </w:r>
      <w:r w:rsidRPr="00F9522B">
        <w:rPr>
          <w:rFonts w:eastAsiaTheme="minorEastAsia"/>
          <w:bCs/>
          <w:sz w:val="24"/>
          <w:szCs w:val="20"/>
        </w:rPr>
        <w:t>柴油机移动泵车</w:t>
      </w:r>
      <w:r w:rsidRPr="00F9522B">
        <w:rPr>
          <w:rFonts w:eastAsiaTheme="minorEastAsia"/>
          <w:sz w:val="24"/>
          <w:szCs w:val="20"/>
        </w:rPr>
        <w:t>油箱密闭，不使用时于村内暂存，暂存处地面设置重点防渗（等效黏土防渗层</w:t>
      </w:r>
      <w:r w:rsidRPr="00F9522B">
        <w:rPr>
          <w:rFonts w:eastAsiaTheme="minorEastAsia"/>
          <w:sz w:val="24"/>
          <w:szCs w:val="20"/>
        </w:rPr>
        <w:t>Mb≥6.0m</w:t>
      </w:r>
      <w:r w:rsidRPr="00F9522B">
        <w:rPr>
          <w:rFonts w:eastAsiaTheme="minorEastAsia"/>
          <w:sz w:val="24"/>
          <w:szCs w:val="20"/>
        </w:rPr>
        <w:t>，渗透系数</w:t>
      </w:r>
      <w:r w:rsidRPr="00F9522B">
        <w:rPr>
          <w:rFonts w:eastAsiaTheme="minorEastAsia"/>
          <w:sz w:val="24"/>
          <w:szCs w:val="20"/>
        </w:rPr>
        <w:t>K≤1.0×10</w:t>
      </w:r>
      <w:r w:rsidRPr="00F9522B">
        <w:rPr>
          <w:rFonts w:eastAsiaTheme="minorEastAsia"/>
          <w:sz w:val="24"/>
          <w:szCs w:val="20"/>
          <w:vertAlign w:val="superscript"/>
        </w:rPr>
        <w:t>-7</w:t>
      </w:r>
      <w:r w:rsidRPr="00F9522B">
        <w:rPr>
          <w:rFonts w:eastAsiaTheme="minorEastAsia"/>
          <w:sz w:val="24"/>
          <w:szCs w:val="20"/>
        </w:rPr>
        <w:t>cm/s</w:t>
      </w:r>
      <w:r w:rsidRPr="00F9522B">
        <w:rPr>
          <w:rFonts w:eastAsiaTheme="minorEastAsia"/>
          <w:sz w:val="24"/>
          <w:szCs w:val="20"/>
        </w:rPr>
        <w:t>），正常情况下不会泄漏，若发生泄漏事故，属于小范围污染，立即用沙土进行掩埋，产生的含油沙土送有资质单位。</w:t>
      </w:r>
    </w:p>
    <w:p w:rsidR="002A5A5E" w:rsidRPr="00F9522B" w:rsidRDefault="00611CBA">
      <w:pPr>
        <w:spacing w:line="360" w:lineRule="auto"/>
        <w:ind w:firstLineChars="200" w:firstLine="480"/>
        <w:rPr>
          <w:rFonts w:eastAsiaTheme="minorEastAsia"/>
          <w:sz w:val="24"/>
          <w:szCs w:val="20"/>
        </w:rPr>
      </w:pPr>
      <w:r w:rsidRPr="00F9522B">
        <w:rPr>
          <w:rFonts w:eastAsiaTheme="minorEastAsia"/>
          <w:sz w:val="24"/>
        </w:rPr>
        <w:t>定期巡检，重点检查变压器油箱密封性（有无裂缝、接口渗漏）、油位刻度（判断是否存在异常泄漏），发现变压器油泄漏应立即停止此变压器运行，</w:t>
      </w:r>
      <w:r w:rsidRPr="00F9522B">
        <w:rPr>
          <w:rFonts w:eastAsiaTheme="minorEastAsia"/>
          <w:sz w:val="24"/>
          <w:szCs w:val="20"/>
        </w:rPr>
        <w:t>属于小范围污染，立即用沙土进行掩埋，产生的含油沙土及</w:t>
      </w:r>
      <w:r w:rsidRPr="00F9522B">
        <w:rPr>
          <w:rFonts w:eastAsiaTheme="minorEastAsia"/>
          <w:sz w:val="24"/>
        </w:rPr>
        <w:t>泄漏物</w:t>
      </w:r>
      <w:r w:rsidRPr="00F9522B">
        <w:rPr>
          <w:rFonts w:eastAsiaTheme="minorEastAsia"/>
          <w:sz w:val="24"/>
          <w:szCs w:val="20"/>
        </w:rPr>
        <w:t>交由资质单位处置进行运输和处置。</w:t>
      </w:r>
    </w:p>
    <w:p w:rsidR="002A5A5E" w:rsidRPr="00F9522B" w:rsidRDefault="00611CBA">
      <w:pPr>
        <w:spacing w:line="360" w:lineRule="auto"/>
        <w:ind w:firstLineChars="200" w:firstLine="480"/>
        <w:rPr>
          <w:rFonts w:eastAsiaTheme="minorEastAsia"/>
          <w:sz w:val="24"/>
          <w:szCs w:val="20"/>
        </w:rPr>
      </w:pPr>
      <w:r w:rsidRPr="00F9522B">
        <w:rPr>
          <w:rFonts w:eastAsiaTheme="minorEastAsia"/>
          <w:sz w:val="24"/>
          <w:szCs w:val="20"/>
        </w:rPr>
        <w:t>通过采取应急措施后本项目环境风险影响可接受。加强巡视及管理并制定环境风险应急预案。</w:t>
      </w:r>
    </w:p>
    <w:p w:rsidR="002A5A5E" w:rsidRPr="00F9522B" w:rsidRDefault="00611CBA">
      <w:pPr>
        <w:keepNext/>
        <w:keepLines/>
        <w:spacing w:before="100" w:beforeAutospacing="1" w:after="100" w:afterAutospacing="1"/>
        <w:outlineLvl w:val="2"/>
        <w:rPr>
          <w:rFonts w:eastAsiaTheme="minorEastAsia"/>
          <w:b/>
          <w:sz w:val="28"/>
          <w:szCs w:val="28"/>
        </w:rPr>
      </w:pPr>
      <w:r w:rsidRPr="00F9522B">
        <w:rPr>
          <w:rFonts w:eastAsiaTheme="minorEastAsia"/>
          <w:b/>
          <w:sz w:val="28"/>
          <w:szCs w:val="28"/>
        </w:rPr>
        <w:t>6.2.8</w:t>
      </w:r>
      <w:r w:rsidRPr="00F9522B">
        <w:rPr>
          <w:rFonts w:eastAsiaTheme="minorEastAsia"/>
          <w:b/>
          <w:sz w:val="28"/>
          <w:szCs w:val="28"/>
        </w:rPr>
        <w:t>生态环境保护措施及其可行性论证</w:t>
      </w:r>
    </w:p>
    <w:p w:rsidR="002A5A5E" w:rsidRPr="00F9522B" w:rsidRDefault="00611CBA">
      <w:pPr>
        <w:spacing w:line="360" w:lineRule="auto"/>
        <w:ind w:firstLineChars="200" w:firstLine="480"/>
        <w:rPr>
          <w:rFonts w:eastAsiaTheme="minorEastAsia"/>
          <w:bCs/>
          <w:kern w:val="0"/>
          <w:sz w:val="24"/>
        </w:rPr>
      </w:pPr>
      <w:r w:rsidRPr="00F9522B">
        <w:rPr>
          <w:rFonts w:eastAsiaTheme="minorEastAsia"/>
          <w:bCs/>
          <w:kern w:val="0"/>
          <w:sz w:val="24"/>
        </w:rPr>
        <w:t>本项目为高标准农田建设项目，农田生态系统依赖于人的管理，其主要功能为提供农产品，高标准农田建设有利于进一步发挥它的生态体系功能。</w:t>
      </w:r>
    </w:p>
    <w:p w:rsidR="002A5A5E" w:rsidRPr="00F9522B" w:rsidRDefault="00611CBA">
      <w:pPr>
        <w:spacing w:line="360" w:lineRule="auto"/>
        <w:ind w:firstLineChars="200" w:firstLine="480"/>
        <w:rPr>
          <w:rFonts w:eastAsiaTheme="minorEastAsia"/>
          <w:bCs/>
          <w:kern w:val="0"/>
          <w:sz w:val="24"/>
        </w:rPr>
      </w:pPr>
      <w:r w:rsidRPr="00F9522B">
        <w:rPr>
          <w:rFonts w:eastAsiaTheme="minorEastAsia"/>
          <w:bCs/>
          <w:kern w:val="0"/>
          <w:sz w:val="24"/>
        </w:rPr>
        <w:t>根据已批复《</w:t>
      </w:r>
      <w:r w:rsidR="003A7922" w:rsidRPr="00F9522B">
        <w:rPr>
          <w:rFonts w:eastAsiaTheme="minorEastAsia"/>
          <w:bCs/>
          <w:kern w:val="0"/>
          <w:sz w:val="24"/>
        </w:rPr>
        <w:t>呼兰区</w:t>
      </w:r>
      <w:r w:rsidR="003A7922" w:rsidRPr="00F9522B">
        <w:rPr>
          <w:rFonts w:eastAsiaTheme="minorEastAsia"/>
          <w:bCs/>
          <w:kern w:val="0"/>
          <w:sz w:val="24"/>
        </w:rPr>
        <w:t>2026</w:t>
      </w:r>
      <w:r w:rsidR="003A7922" w:rsidRPr="00F9522B">
        <w:rPr>
          <w:rFonts w:eastAsiaTheme="minorEastAsia"/>
          <w:bCs/>
          <w:kern w:val="0"/>
          <w:sz w:val="24"/>
        </w:rPr>
        <w:t>年高标准农田建设项目</w:t>
      </w:r>
      <w:r w:rsidRPr="00F9522B">
        <w:rPr>
          <w:rFonts w:eastAsiaTheme="minorEastAsia"/>
          <w:bCs/>
          <w:kern w:val="0"/>
          <w:sz w:val="24"/>
        </w:rPr>
        <w:t>水资源论证报告书》预测结果，本项目灌溉井井群连续开采最大水位降深为</w:t>
      </w:r>
      <w:r w:rsidR="00DF41E3" w:rsidRPr="00F9522B">
        <w:rPr>
          <w:rFonts w:eastAsiaTheme="minorEastAsia"/>
          <w:bCs/>
          <w:kern w:val="0"/>
          <w:sz w:val="24"/>
        </w:rPr>
        <w:t>1.315m</w:t>
      </w:r>
      <w:r w:rsidRPr="00F9522B">
        <w:rPr>
          <w:rFonts w:eastAsiaTheme="minorEastAsia"/>
          <w:bCs/>
          <w:kern w:val="0"/>
          <w:sz w:val="24"/>
        </w:rPr>
        <w:t>，小于</w:t>
      </w:r>
      <w:r w:rsidRPr="00F9522B">
        <w:rPr>
          <w:rFonts w:eastAsiaTheme="minorEastAsia"/>
          <w:bCs/>
          <w:kern w:val="0"/>
          <w:sz w:val="24"/>
        </w:rPr>
        <w:t>2.0m</w:t>
      </w:r>
      <w:r w:rsidRPr="00F9522B">
        <w:rPr>
          <w:rFonts w:eastAsiaTheme="minorEastAsia"/>
          <w:bCs/>
          <w:kern w:val="0"/>
          <w:sz w:val="24"/>
        </w:rPr>
        <w:t>，小于含水层厚度</w:t>
      </w:r>
      <w:r w:rsidRPr="00F9522B">
        <w:rPr>
          <w:rFonts w:eastAsiaTheme="minorEastAsia"/>
          <w:bCs/>
          <w:kern w:val="0"/>
          <w:sz w:val="24"/>
        </w:rPr>
        <w:t>30m</w:t>
      </w:r>
      <w:r w:rsidRPr="00F9522B">
        <w:rPr>
          <w:rFonts w:eastAsiaTheme="minorEastAsia"/>
          <w:bCs/>
          <w:kern w:val="0"/>
          <w:sz w:val="24"/>
        </w:rPr>
        <w:t>的三分之一，故项目取水造成的地下水水位降深在允许范围内。项目实际开采为非持续性，且开采期为每年的</w:t>
      </w:r>
      <w:r w:rsidRPr="00F9522B">
        <w:rPr>
          <w:rFonts w:eastAsiaTheme="minorEastAsia"/>
          <w:bCs/>
          <w:kern w:val="0"/>
          <w:sz w:val="24"/>
        </w:rPr>
        <w:t>5-7</w:t>
      </w:r>
      <w:r w:rsidRPr="00F9522B">
        <w:rPr>
          <w:rFonts w:eastAsiaTheme="minorEastAsia"/>
          <w:bCs/>
          <w:kern w:val="0"/>
          <w:sz w:val="24"/>
        </w:rPr>
        <w:t>月，随着</w:t>
      </w:r>
      <w:r w:rsidRPr="00F9522B">
        <w:rPr>
          <w:rFonts w:eastAsiaTheme="minorEastAsia"/>
          <w:bCs/>
          <w:kern w:val="0"/>
          <w:sz w:val="24"/>
        </w:rPr>
        <w:t>7</w:t>
      </w:r>
      <w:r w:rsidRPr="00F9522B">
        <w:rPr>
          <w:rFonts w:eastAsiaTheme="minorEastAsia"/>
          <w:bCs/>
          <w:kern w:val="0"/>
          <w:sz w:val="24"/>
        </w:rPr>
        <w:t>月份丰水期的到来，以丰补歉，项目取水水源地所在区域含水层厚度较大，富水性较好，项目取水对区域地下水影响较小。故不会对土壤结构造成破坏，不会引起干化、沙化等问题。对陆生生态产生影响较小。</w:t>
      </w:r>
    </w:p>
    <w:p w:rsidR="002A5A5E" w:rsidRPr="00F9522B" w:rsidRDefault="00611CBA">
      <w:pPr>
        <w:spacing w:line="360" w:lineRule="auto"/>
        <w:ind w:firstLineChars="200" w:firstLine="480"/>
        <w:rPr>
          <w:rFonts w:eastAsiaTheme="minorEastAsia"/>
          <w:smallCaps/>
          <w:sz w:val="24"/>
        </w:rPr>
      </w:pPr>
      <w:r w:rsidRPr="00F9522B">
        <w:rPr>
          <w:rFonts w:eastAsiaTheme="minorEastAsia"/>
          <w:smallCaps/>
          <w:sz w:val="24"/>
        </w:rPr>
        <w:lastRenderedPageBreak/>
        <w:t>项目区以农田生态系统为主，已形成多年，本项目不新增农田面积，不新开垦林地、草地、湿地等，项目建成后区域仍以农田生态系统为主。灌区建设多年，区域水生生态系统经过长时间的演替，已形成稳定的适合现有鱼类及水生生物生长繁殖的生境和生态系统。</w:t>
      </w:r>
    </w:p>
    <w:p w:rsidR="002A5A5E" w:rsidRPr="00F9522B" w:rsidRDefault="00611CBA">
      <w:pPr>
        <w:spacing w:line="360" w:lineRule="auto"/>
        <w:ind w:firstLineChars="200" w:firstLine="480"/>
        <w:contextualSpacing/>
        <w:rPr>
          <w:rFonts w:eastAsiaTheme="minorEastAsia"/>
          <w:sz w:val="24"/>
        </w:rPr>
      </w:pPr>
      <w:r w:rsidRPr="00F9522B">
        <w:rPr>
          <w:rFonts w:eastAsiaTheme="minorEastAsia"/>
          <w:smallCaps/>
          <w:sz w:val="24"/>
        </w:rPr>
        <w:t>由于工程的实施，</w:t>
      </w:r>
      <w:r w:rsidRPr="00F9522B">
        <w:rPr>
          <w:rFonts w:eastAsiaTheme="minorEastAsia"/>
          <w:kern w:val="0"/>
          <w:sz w:val="24"/>
          <w:szCs w:val="21"/>
        </w:rPr>
        <w:t>减少渠道上的</w:t>
      </w:r>
      <w:r w:rsidRPr="00F9522B">
        <w:rPr>
          <w:rFonts w:eastAsiaTheme="minorEastAsia"/>
          <w:kern w:val="0"/>
          <w:sz w:val="24"/>
          <w:szCs w:val="21"/>
        </w:rPr>
        <w:t>“</w:t>
      </w:r>
      <w:r w:rsidRPr="00F9522B">
        <w:rPr>
          <w:rFonts w:eastAsiaTheme="minorEastAsia"/>
          <w:kern w:val="0"/>
          <w:sz w:val="24"/>
          <w:szCs w:val="21"/>
        </w:rPr>
        <w:t>跑、漏、冒</w:t>
      </w:r>
      <w:r w:rsidRPr="00F9522B">
        <w:rPr>
          <w:rFonts w:eastAsiaTheme="minorEastAsia"/>
          <w:kern w:val="0"/>
          <w:sz w:val="24"/>
          <w:szCs w:val="21"/>
        </w:rPr>
        <w:t>”</w:t>
      </w:r>
      <w:r w:rsidRPr="00F9522B">
        <w:rPr>
          <w:rFonts w:eastAsiaTheme="minorEastAsia"/>
          <w:kern w:val="0"/>
          <w:sz w:val="24"/>
          <w:szCs w:val="21"/>
        </w:rPr>
        <w:t>水现象，减少灌区引水量，</w:t>
      </w:r>
      <w:r w:rsidRPr="00F9522B">
        <w:rPr>
          <w:rFonts w:eastAsiaTheme="minorEastAsia"/>
          <w:sz w:val="24"/>
        </w:rPr>
        <w:t>节约了水资源，提升水资源利用效率。</w:t>
      </w:r>
      <w:r w:rsidRPr="00F9522B">
        <w:rPr>
          <w:rFonts w:eastAsiaTheme="minorEastAsia"/>
          <w:smallCaps/>
          <w:sz w:val="24"/>
        </w:rPr>
        <w:t>工程实施前后取水量、退水量、</w:t>
      </w:r>
      <w:r w:rsidRPr="00F9522B">
        <w:rPr>
          <w:rFonts w:eastAsiaTheme="minorEastAsia"/>
          <w:kern w:val="0"/>
          <w:sz w:val="24"/>
          <w:szCs w:val="21"/>
        </w:rPr>
        <w:t>污染物入河量</w:t>
      </w:r>
      <w:r w:rsidRPr="00F9522B">
        <w:rPr>
          <w:rFonts w:eastAsiaTheme="minorEastAsia"/>
          <w:smallCaps/>
          <w:sz w:val="24"/>
        </w:rPr>
        <w:t>均减少，对区域水文情势、鱼类栖息及繁殖、浮游生物、底栖动物、水生维管束植物产生有利影响。</w:t>
      </w:r>
      <w:r w:rsidRPr="00F9522B">
        <w:rPr>
          <w:rFonts w:eastAsiaTheme="minorEastAsia"/>
          <w:snapToGrid w:val="0"/>
          <w:sz w:val="24"/>
        </w:rPr>
        <w:t>农田排水集中在</w:t>
      </w:r>
      <w:r w:rsidRPr="00F9522B">
        <w:rPr>
          <w:rFonts w:eastAsiaTheme="minorEastAsia"/>
          <w:snapToGrid w:val="0"/>
          <w:sz w:val="24"/>
        </w:rPr>
        <w:t>5</w:t>
      </w:r>
      <w:r w:rsidRPr="00F9522B">
        <w:rPr>
          <w:rFonts w:eastAsiaTheme="minorEastAsia"/>
          <w:snapToGrid w:val="0"/>
          <w:sz w:val="24"/>
        </w:rPr>
        <w:t>～</w:t>
      </w:r>
      <w:r w:rsidRPr="00F9522B">
        <w:rPr>
          <w:rFonts w:eastAsiaTheme="minorEastAsia"/>
          <w:snapToGrid w:val="0"/>
          <w:sz w:val="24"/>
        </w:rPr>
        <w:t>9</w:t>
      </w:r>
      <w:r w:rsidRPr="00F9522B">
        <w:rPr>
          <w:rFonts w:eastAsiaTheme="minorEastAsia"/>
          <w:snapToGrid w:val="0"/>
          <w:sz w:val="24"/>
        </w:rPr>
        <w:t>月份，正值丰水期，</w:t>
      </w:r>
      <w:r w:rsidR="00507669" w:rsidRPr="00F9522B">
        <w:rPr>
          <w:rFonts w:eastAsiaTheme="minorEastAsia"/>
          <w:sz w:val="24"/>
        </w:rPr>
        <w:t>松花江</w:t>
      </w:r>
      <w:r w:rsidRPr="00F9522B">
        <w:rPr>
          <w:rFonts w:eastAsiaTheme="minorEastAsia"/>
          <w:snapToGrid w:val="0"/>
          <w:sz w:val="24"/>
        </w:rPr>
        <w:t>、漂河水量充沛，进入水体的污染物将不同程度的被稀释和降解，对水质影响较小。</w:t>
      </w:r>
      <w:r w:rsidRPr="00F9522B">
        <w:rPr>
          <w:rFonts w:eastAsiaTheme="minorEastAsia"/>
          <w:sz w:val="24"/>
        </w:rPr>
        <w:t>项目施行</w:t>
      </w:r>
      <w:r w:rsidRPr="00F9522B">
        <w:rPr>
          <w:rFonts w:eastAsiaTheme="minorEastAsia"/>
          <w:sz w:val="24"/>
        </w:rPr>
        <w:t>“</w:t>
      </w:r>
      <w:r w:rsidRPr="00F9522B">
        <w:rPr>
          <w:rFonts w:eastAsiaTheme="minorEastAsia"/>
          <w:sz w:val="24"/>
        </w:rPr>
        <w:t>三减</w:t>
      </w:r>
      <w:r w:rsidRPr="00F9522B">
        <w:rPr>
          <w:rFonts w:eastAsiaTheme="minorEastAsia"/>
          <w:sz w:val="24"/>
        </w:rPr>
        <w:t>”</w:t>
      </w:r>
      <w:r w:rsidRPr="00F9522B">
        <w:rPr>
          <w:rFonts w:eastAsiaTheme="minorEastAsia"/>
          <w:sz w:val="24"/>
        </w:rPr>
        <w:t>行动，即减化肥、减农药、减除草剂，积极推广科学施肥，使化肥、农药实现减量化施用，提出测土配方施肥、水肥一体化、控制农药与化肥施用种类及数量措施，</w:t>
      </w:r>
      <w:r w:rsidRPr="00F9522B">
        <w:rPr>
          <w:rFonts w:eastAsiaTheme="minorEastAsia"/>
          <w:kern w:val="0"/>
          <w:sz w:val="24"/>
        </w:rPr>
        <w:t>故工程实施后对</w:t>
      </w:r>
      <w:r w:rsidR="00E93DD8" w:rsidRPr="00F9522B">
        <w:rPr>
          <w:rFonts w:eastAsiaTheme="minorEastAsia"/>
          <w:sz w:val="24"/>
        </w:rPr>
        <w:t>松花江及漂河、呼兰河口湿地自然保护区</w:t>
      </w:r>
      <w:r w:rsidRPr="00F9522B">
        <w:rPr>
          <w:rFonts w:eastAsiaTheme="minorEastAsia"/>
          <w:sz w:val="24"/>
        </w:rPr>
        <w:t>水生生态</w:t>
      </w:r>
      <w:r w:rsidRPr="00F9522B">
        <w:rPr>
          <w:rFonts w:eastAsiaTheme="minorEastAsia"/>
          <w:kern w:val="0"/>
          <w:sz w:val="24"/>
        </w:rPr>
        <w:t>环境起到一定改善作用</w:t>
      </w:r>
      <w:r w:rsidRPr="00F9522B">
        <w:rPr>
          <w:rFonts w:eastAsiaTheme="minorEastAsia"/>
          <w:sz w:val="24"/>
        </w:rPr>
        <w:t>。</w:t>
      </w:r>
    </w:p>
    <w:p w:rsidR="002A5A5E" w:rsidRPr="00F9522B" w:rsidRDefault="00611CBA">
      <w:pPr>
        <w:spacing w:line="360" w:lineRule="auto"/>
        <w:ind w:firstLineChars="200" w:firstLine="480"/>
        <w:contextualSpacing/>
        <w:rPr>
          <w:rFonts w:eastAsiaTheme="minorEastAsia"/>
          <w:bCs/>
          <w:kern w:val="0"/>
          <w:sz w:val="24"/>
        </w:rPr>
      </w:pPr>
      <w:r w:rsidRPr="00F9522B">
        <w:rPr>
          <w:rFonts w:eastAsiaTheme="minorEastAsia"/>
          <w:bCs/>
          <w:kern w:val="0"/>
          <w:sz w:val="24"/>
        </w:rPr>
        <w:t>本项目依托现有退水口，退水减少量相对退水河流流域多年平均年径流量占比极小，不会对已形成的现有的水域形态、径流条件、水力条件以及冲於条件等造成显著影响。</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本区域通过车辆一般为当地农用车，车速较慢、产生的尾气及扬尘较少，同时采取限速、禁鸣措施。灌溉井泵类位于地下，能够有效的阻隔声传播，柴油机移动泵车及文丘里施肥机使用时间较短，减少扬尘和噪声对</w:t>
      </w:r>
      <w:r w:rsidRPr="00F9522B">
        <w:rPr>
          <w:rFonts w:eastAsiaTheme="minorEastAsia"/>
          <w:bCs/>
          <w:kern w:val="0"/>
          <w:sz w:val="24"/>
        </w:rPr>
        <w:t>动植物</w:t>
      </w:r>
      <w:r w:rsidRPr="00F9522B">
        <w:rPr>
          <w:rFonts w:eastAsiaTheme="minorEastAsia"/>
          <w:sz w:val="24"/>
        </w:rPr>
        <w:t>产生的影响。</w:t>
      </w:r>
      <w:r w:rsidRPr="00F9522B">
        <w:rPr>
          <w:rFonts w:eastAsiaTheme="minorEastAsia"/>
          <w:bCs/>
          <w:kern w:val="0"/>
          <w:sz w:val="24"/>
        </w:rPr>
        <w:t>因此，项目实施对周边生态环境影响较小。</w:t>
      </w:r>
    </w:p>
    <w:p w:rsidR="002A5A5E" w:rsidRPr="00F9522B" w:rsidRDefault="00611CBA">
      <w:pPr>
        <w:keepNext/>
        <w:keepLines/>
        <w:spacing w:before="100" w:beforeAutospacing="1" w:after="100" w:afterAutospacing="1"/>
        <w:outlineLvl w:val="1"/>
        <w:rPr>
          <w:rFonts w:eastAsiaTheme="minorEastAsia"/>
          <w:b/>
          <w:sz w:val="30"/>
          <w:szCs w:val="30"/>
        </w:rPr>
      </w:pPr>
      <w:bookmarkStart w:id="144" w:name="_Toc480447676"/>
      <w:bookmarkStart w:id="145" w:name="_Toc15991705"/>
      <w:bookmarkStart w:id="146" w:name="_Toc208906247"/>
      <w:bookmarkStart w:id="147" w:name="_Toc527121414"/>
      <w:r w:rsidRPr="00F9522B">
        <w:rPr>
          <w:rFonts w:eastAsiaTheme="minorEastAsia"/>
          <w:b/>
          <w:sz w:val="30"/>
          <w:szCs w:val="30"/>
        </w:rPr>
        <w:t>6.3</w:t>
      </w:r>
      <w:r w:rsidRPr="00F9522B">
        <w:rPr>
          <w:rFonts w:eastAsiaTheme="minorEastAsia"/>
          <w:b/>
          <w:sz w:val="30"/>
          <w:szCs w:val="30"/>
        </w:rPr>
        <w:t>环境保护投资估算</w:t>
      </w:r>
      <w:bookmarkEnd w:id="144"/>
      <w:bookmarkEnd w:id="145"/>
      <w:bookmarkEnd w:id="146"/>
      <w:bookmarkEnd w:id="147"/>
    </w:p>
    <w:p w:rsidR="002A5A5E" w:rsidRPr="00F9522B" w:rsidRDefault="00611CBA">
      <w:pPr>
        <w:spacing w:line="360" w:lineRule="auto"/>
        <w:contextualSpacing/>
        <w:rPr>
          <w:rFonts w:eastAsiaTheme="minorEastAsia"/>
          <w:snapToGrid w:val="0"/>
          <w:kern w:val="0"/>
          <w:sz w:val="24"/>
        </w:rPr>
      </w:pPr>
      <w:r w:rsidRPr="00F9522B">
        <w:rPr>
          <w:rFonts w:eastAsiaTheme="minorEastAsia"/>
          <w:snapToGrid w:val="0"/>
          <w:kern w:val="0"/>
          <w:sz w:val="24"/>
        </w:rPr>
        <w:t>环保投资比按下式计算：</w:t>
      </w:r>
    </w:p>
    <w:p w:rsidR="002A5A5E" w:rsidRPr="00F9522B" w:rsidRDefault="00611CBA">
      <w:pPr>
        <w:jc w:val="center"/>
        <w:rPr>
          <w:rFonts w:eastAsiaTheme="minorEastAsia"/>
          <w:snapToGrid w:val="0"/>
          <w:kern w:val="0"/>
          <w:sz w:val="24"/>
        </w:rPr>
      </w:pPr>
      <w:r w:rsidRPr="00F9522B">
        <w:rPr>
          <w:rFonts w:eastAsiaTheme="minorEastAsia"/>
          <w:noProof/>
          <w:kern w:val="0"/>
          <w:sz w:val="24"/>
        </w:rPr>
        <w:drawing>
          <wp:inline distT="0" distB="0" distL="0" distR="0">
            <wp:extent cx="1132840" cy="409575"/>
            <wp:effectExtent l="19050" t="0" r="0" b="0"/>
            <wp:docPr id="16"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1"/>
                    <pic:cNvPicPr>
                      <a:picLocks noChangeAspect="1" noChangeArrowheads="1"/>
                    </pic:cNvPicPr>
                  </pic:nvPicPr>
                  <pic:blipFill>
                    <a:blip r:embed="rId118" cstate="print"/>
                    <a:srcRect/>
                    <a:stretch>
                      <a:fillRect/>
                    </a:stretch>
                  </pic:blipFill>
                  <pic:spPr>
                    <a:xfrm>
                      <a:off x="0" y="0"/>
                      <a:ext cx="1132840" cy="409575"/>
                    </a:xfrm>
                    <a:prstGeom prst="rect">
                      <a:avLst/>
                    </a:prstGeom>
                    <a:noFill/>
                    <a:ln w="9525">
                      <a:noFill/>
                      <a:miter lim="800000"/>
                      <a:headEnd/>
                      <a:tailEnd/>
                    </a:ln>
                  </pic:spPr>
                </pic:pic>
              </a:graphicData>
            </a:graphic>
          </wp:inline>
        </w:drawing>
      </w:r>
    </w:p>
    <w:p w:rsidR="002A5A5E" w:rsidRPr="00F9522B" w:rsidRDefault="00611CBA">
      <w:pPr>
        <w:spacing w:line="360" w:lineRule="auto"/>
        <w:rPr>
          <w:rFonts w:eastAsiaTheme="minorEastAsia"/>
          <w:snapToGrid w:val="0"/>
          <w:kern w:val="0"/>
          <w:sz w:val="24"/>
        </w:rPr>
      </w:pPr>
      <w:r w:rsidRPr="00F9522B">
        <w:rPr>
          <w:rFonts w:eastAsiaTheme="minorEastAsia"/>
          <w:snapToGrid w:val="0"/>
          <w:kern w:val="0"/>
          <w:sz w:val="24"/>
        </w:rPr>
        <w:t>式中：</w:t>
      </w:r>
      <w:r w:rsidRPr="00F9522B">
        <w:rPr>
          <w:rFonts w:eastAsiaTheme="minorEastAsia"/>
          <w:i/>
          <w:snapToGrid w:val="0"/>
          <w:kern w:val="0"/>
          <w:sz w:val="24"/>
        </w:rPr>
        <w:t>HJ</w:t>
      </w:r>
      <w:r w:rsidRPr="00F9522B">
        <w:rPr>
          <w:rFonts w:eastAsiaTheme="minorEastAsia"/>
          <w:snapToGrid w:val="0"/>
          <w:kern w:val="0"/>
          <w:sz w:val="24"/>
        </w:rPr>
        <w:t>—</w:t>
      </w:r>
      <w:r w:rsidRPr="00F9522B">
        <w:rPr>
          <w:rFonts w:eastAsiaTheme="minorEastAsia"/>
          <w:snapToGrid w:val="0"/>
          <w:kern w:val="0"/>
          <w:sz w:val="24"/>
        </w:rPr>
        <w:t>环保费用投资比，</w:t>
      </w:r>
      <w:r w:rsidRPr="00F9522B">
        <w:rPr>
          <w:rFonts w:eastAsiaTheme="minorEastAsia"/>
          <w:snapToGrid w:val="0"/>
          <w:kern w:val="0"/>
          <w:sz w:val="24"/>
        </w:rPr>
        <w:t>100%</w:t>
      </w:r>
      <w:r w:rsidRPr="00F9522B">
        <w:rPr>
          <w:rFonts w:eastAsiaTheme="minorEastAsia"/>
          <w:snapToGrid w:val="0"/>
          <w:kern w:val="0"/>
          <w:sz w:val="24"/>
        </w:rPr>
        <w:t>；</w:t>
      </w:r>
    </w:p>
    <w:p w:rsidR="002A5A5E" w:rsidRPr="00F9522B" w:rsidRDefault="00611CBA">
      <w:pPr>
        <w:spacing w:line="360" w:lineRule="auto"/>
        <w:rPr>
          <w:rFonts w:eastAsiaTheme="minorEastAsia"/>
          <w:snapToGrid w:val="0"/>
          <w:kern w:val="0"/>
          <w:sz w:val="24"/>
        </w:rPr>
      </w:pPr>
      <w:r w:rsidRPr="00F9522B">
        <w:rPr>
          <w:rFonts w:eastAsiaTheme="minorEastAsia"/>
          <w:i/>
          <w:snapToGrid w:val="0"/>
          <w:kern w:val="0"/>
          <w:sz w:val="24"/>
        </w:rPr>
        <w:t>HT</w:t>
      </w:r>
      <w:r w:rsidRPr="00F9522B">
        <w:rPr>
          <w:rFonts w:eastAsiaTheme="minorEastAsia"/>
          <w:snapToGrid w:val="0"/>
          <w:kern w:val="0"/>
          <w:sz w:val="24"/>
        </w:rPr>
        <w:t>—</w:t>
      </w:r>
      <w:r w:rsidRPr="00F9522B">
        <w:rPr>
          <w:rFonts w:eastAsiaTheme="minorEastAsia"/>
          <w:snapToGrid w:val="0"/>
          <w:kern w:val="0"/>
          <w:sz w:val="24"/>
        </w:rPr>
        <w:t>环保投资，万元；</w:t>
      </w:r>
    </w:p>
    <w:p w:rsidR="002A5A5E" w:rsidRPr="00F9522B" w:rsidRDefault="00611CBA">
      <w:pPr>
        <w:spacing w:line="360" w:lineRule="auto"/>
        <w:rPr>
          <w:rFonts w:eastAsiaTheme="minorEastAsia"/>
          <w:snapToGrid w:val="0"/>
          <w:kern w:val="0"/>
          <w:sz w:val="24"/>
        </w:rPr>
      </w:pPr>
      <w:r w:rsidRPr="00F9522B">
        <w:rPr>
          <w:rFonts w:eastAsiaTheme="minorEastAsia"/>
          <w:i/>
          <w:snapToGrid w:val="0"/>
          <w:kern w:val="0"/>
          <w:sz w:val="24"/>
        </w:rPr>
        <w:t>JI</w:t>
      </w:r>
      <w:r w:rsidRPr="00F9522B">
        <w:rPr>
          <w:rFonts w:eastAsiaTheme="minorEastAsia"/>
          <w:snapToGrid w:val="0"/>
          <w:kern w:val="0"/>
          <w:sz w:val="24"/>
        </w:rPr>
        <w:t>—</w:t>
      </w:r>
      <w:r w:rsidRPr="00F9522B">
        <w:rPr>
          <w:rFonts w:eastAsiaTheme="minorEastAsia"/>
          <w:snapToGrid w:val="0"/>
          <w:kern w:val="0"/>
          <w:sz w:val="24"/>
        </w:rPr>
        <w:t>项目总投资，万元。</w:t>
      </w:r>
    </w:p>
    <w:p w:rsidR="002A5A5E" w:rsidRPr="00F9522B" w:rsidRDefault="00611CBA">
      <w:pPr>
        <w:spacing w:line="360" w:lineRule="auto"/>
        <w:ind w:firstLineChars="200" w:firstLine="480"/>
        <w:rPr>
          <w:rFonts w:eastAsiaTheme="minorEastAsia"/>
          <w:snapToGrid w:val="0"/>
          <w:kern w:val="0"/>
          <w:sz w:val="24"/>
        </w:rPr>
      </w:pPr>
      <w:r w:rsidRPr="00F9522B">
        <w:rPr>
          <w:rFonts w:eastAsiaTheme="minorEastAsia"/>
          <w:snapToGrid w:val="0"/>
          <w:kern w:val="0"/>
          <w:sz w:val="24"/>
        </w:rPr>
        <w:t>根据工程分析和环境影响预测及评价结果，本项目产生的污水、固废、废气、</w:t>
      </w:r>
      <w:r w:rsidRPr="00F9522B">
        <w:rPr>
          <w:rFonts w:eastAsiaTheme="minorEastAsia"/>
          <w:snapToGrid w:val="0"/>
          <w:kern w:val="0"/>
          <w:sz w:val="24"/>
        </w:rPr>
        <w:lastRenderedPageBreak/>
        <w:t>噪声等对周围环境将会产生一定的影响，因此，必须采取相应的环境保护措施加以控制，并保证相应环保投资的投入，以使项目建成后生产过程中产生的各类污染物对周围环境的影响降低到最低程度。根据初步估算，本项目的环保投资见表</w:t>
      </w:r>
      <w:r w:rsidRPr="00F9522B">
        <w:rPr>
          <w:rFonts w:eastAsiaTheme="minorEastAsia"/>
          <w:snapToGrid w:val="0"/>
          <w:kern w:val="0"/>
          <w:sz w:val="24"/>
        </w:rPr>
        <w:t>6-3-1</w:t>
      </w:r>
      <w:r w:rsidRPr="00F9522B">
        <w:rPr>
          <w:rFonts w:eastAsiaTheme="minorEastAsia"/>
          <w:snapToGrid w:val="0"/>
          <w:kern w:val="0"/>
          <w:sz w:val="24"/>
        </w:rPr>
        <w:t>。</w:t>
      </w:r>
    </w:p>
    <w:p w:rsidR="002A5A5E" w:rsidRPr="00F9522B" w:rsidRDefault="00611CBA">
      <w:pPr>
        <w:spacing w:line="360" w:lineRule="auto"/>
        <w:ind w:firstLineChars="200" w:firstLine="480"/>
        <w:rPr>
          <w:rFonts w:eastAsiaTheme="minorEastAsia"/>
          <w:snapToGrid w:val="0"/>
          <w:kern w:val="0"/>
        </w:rPr>
        <w:sectPr w:rsidR="002A5A5E" w:rsidRPr="00F9522B">
          <w:pgSz w:w="11906" w:h="16838"/>
          <w:pgMar w:top="1440" w:right="1800" w:bottom="1440" w:left="1800" w:header="851" w:footer="992" w:gutter="0"/>
          <w:cols w:space="425"/>
          <w:docGrid w:type="lines" w:linePitch="312"/>
        </w:sectPr>
      </w:pPr>
      <w:r w:rsidRPr="00F9522B">
        <w:rPr>
          <w:rFonts w:eastAsiaTheme="minorEastAsia"/>
          <w:snapToGrid w:val="0"/>
          <w:kern w:val="0"/>
          <w:sz w:val="24"/>
        </w:rPr>
        <w:t>本工程总投资为</w:t>
      </w:r>
      <w:r w:rsidR="00140B49" w:rsidRPr="00F9522B">
        <w:rPr>
          <w:rFonts w:eastAsiaTheme="minorEastAsia"/>
          <w:snapToGrid w:val="0"/>
          <w:kern w:val="0"/>
          <w:sz w:val="24"/>
        </w:rPr>
        <w:t>78948</w:t>
      </w:r>
      <w:r w:rsidR="00140B49" w:rsidRPr="00F9522B">
        <w:rPr>
          <w:rFonts w:eastAsiaTheme="minorEastAsia"/>
          <w:snapToGrid w:val="0"/>
          <w:kern w:val="0"/>
          <w:sz w:val="24"/>
        </w:rPr>
        <w:t>万元</w:t>
      </w:r>
      <w:r w:rsidRPr="00F9522B">
        <w:rPr>
          <w:rFonts w:eastAsiaTheme="minorEastAsia"/>
          <w:snapToGrid w:val="0"/>
          <w:kern w:val="0"/>
          <w:sz w:val="24"/>
        </w:rPr>
        <w:t>，环保投资估算为</w:t>
      </w:r>
      <w:r w:rsidRPr="00F9522B">
        <w:rPr>
          <w:rFonts w:eastAsiaTheme="minorEastAsia"/>
          <w:snapToGrid w:val="0"/>
          <w:kern w:val="0"/>
          <w:sz w:val="24"/>
        </w:rPr>
        <w:t>168.0</w:t>
      </w:r>
      <w:r w:rsidRPr="00F9522B">
        <w:rPr>
          <w:rFonts w:eastAsiaTheme="minorEastAsia"/>
          <w:snapToGrid w:val="0"/>
          <w:kern w:val="0"/>
          <w:sz w:val="24"/>
        </w:rPr>
        <w:t>万元，占总投资的</w:t>
      </w:r>
      <w:r w:rsidRPr="00F9522B">
        <w:rPr>
          <w:rFonts w:eastAsiaTheme="minorEastAsia"/>
          <w:snapToGrid w:val="0"/>
          <w:kern w:val="0"/>
          <w:sz w:val="24"/>
        </w:rPr>
        <w:t>0.2</w:t>
      </w:r>
      <w:r w:rsidR="00DF7E65" w:rsidRPr="00F9522B">
        <w:rPr>
          <w:rFonts w:eastAsiaTheme="minorEastAsia"/>
          <w:snapToGrid w:val="0"/>
          <w:kern w:val="0"/>
          <w:sz w:val="24"/>
        </w:rPr>
        <w:t>1</w:t>
      </w:r>
      <w:r w:rsidRPr="00F9522B">
        <w:rPr>
          <w:rFonts w:eastAsiaTheme="minorEastAsia"/>
          <w:snapToGrid w:val="0"/>
          <w:kern w:val="0"/>
          <w:sz w:val="24"/>
        </w:rPr>
        <w:t>%</w:t>
      </w:r>
      <w:r w:rsidRPr="00F9522B">
        <w:rPr>
          <w:rFonts w:eastAsiaTheme="minorEastAsia"/>
          <w:snapToGrid w:val="0"/>
          <w:kern w:val="0"/>
          <w:sz w:val="24"/>
        </w:rPr>
        <w:t>。</w:t>
      </w:r>
    </w:p>
    <w:p w:rsidR="002A5A5E" w:rsidRPr="00F9522B" w:rsidRDefault="00611CBA">
      <w:pPr>
        <w:contextualSpacing/>
        <w:jc w:val="center"/>
        <w:rPr>
          <w:rFonts w:eastAsiaTheme="minorEastAsia"/>
          <w:b/>
          <w:kern w:val="0"/>
          <w:szCs w:val="21"/>
        </w:rPr>
      </w:pPr>
      <w:bookmarkStart w:id="148" w:name="_Hlk480428871"/>
      <w:r w:rsidRPr="00F9522B">
        <w:rPr>
          <w:rFonts w:eastAsiaTheme="minorEastAsia"/>
          <w:b/>
          <w:kern w:val="0"/>
          <w:szCs w:val="21"/>
        </w:rPr>
        <w:lastRenderedPageBreak/>
        <w:t>表</w:t>
      </w:r>
      <w:r w:rsidRPr="00F9522B">
        <w:rPr>
          <w:rFonts w:eastAsiaTheme="minorEastAsia"/>
          <w:b/>
          <w:kern w:val="0"/>
          <w:szCs w:val="21"/>
        </w:rPr>
        <w:t>6-3-1</w:t>
      </w:r>
      <w:r w:rsidRPr="00F9522B">
        <w:rPr>
          <w:rFonts w:eastAsiaTheme="minorEastAsia"/>
          <w:b/>
          <w:kern w:val="0"/>
          <w:szCs w:val="21"/>
        </w:rPr>
        <w:t>环保投资明细表</w:t>
      </w:r>
    </w:p>
    <w:tbl>
      <w:tblPr>
        <w:tblW w:w="8613" w:type="dxa"/>
        <w:tblBorders>
          <w:top w:val="single" w:sz="12" w:space="0" w:color="auto"/>
          <w:bottom w:val="single" w:sz="12" w:space="0" w:color="auto"/>
          <w:insideH w:val="single" w:sz="4" w:space="0" w:color="auto"/>
          <w:insideV w:val="single" w:sz="4" w:space="0" w:color="auto"/>
        </w:tblBorders>
        <w:tblLayout w:type="fixed"/>
        <w:tblLook w:val="04A0"/>
      </w:tblPr>
      <w:tblGrid>
        <w:gridCol w:w="394"/>
        <w:gridCol w:w="990"/>
        <w:gridCol w:w="5954"/>
        <w:gridCol w:w="1275"/>
      </w:tblGrid>
      <w:tr w:rsidR="002A5A5E" w:rsidRPr="00F9522B">
        <w:tc>
          <w:tcPr>
            <w:tcW w:w="1384" w:type="dxa"/>
            <w:gridSpan w:val="2"/>
            <w:shd w:val="clear" w:color="auto" w:fill="auto"/>
            <w:vAlign w:val="center"/>
          </w:tcPr>
          <w:p w:rsidR="002A5A5E" w:rsidRPr="00F9522B" w:rsidRDefault="00611CBA">
            <w:pPr>
              <w:spacing w:line="0" w:lineRule="atLeast"/>
              <w:jc w:val="center"/>
              <w:rPr>
                <w:rFonts w:eastAsiaTheme="minorEastAsia"/>
                <w:snapToGrid w:val="0"/>
                <w:kern w:val="0"/>
                <w:lang w:val="zh-CN"/>
              </w:rPr>
            </w:pPr>
            <w:r w:rsidRPr="00F9522B">
              <w:rPr>
                <w:rFonts w:eastAsiaTheme="minorEastAsia"/>
                <w:snapToGrid w:val="0"/>
                <w:kern w:val="0"/>
                <w:lang w:val="zh-CN"/>
              </w:rPr>
              <w:t>项目</w:t>
            </w:r>
          </w:p>
        </w:tc>
        <w:tc>
          <w:tcPr>
            <w:tcW w:w="5954" w:type="dxa"/>
            <w:shd w:val="clear" w:color="auto" w:fill="auto"/>
            <w:vAlign w:val="center"/>
          </w:tcPr>
          <w:p w:rsidR="002A5A5E" w:rsidRPr="00F9522B" w:rsidRDefault="00611CBA">
            <w:pPr>
              <w:spacing w:line="0" w:lineRule="atLeast"/>
              <w:jc w:val="center"/>
              <w:rPr>
                <w:rFonts w:eastAsiaTheme="minorEastAsia"/>
                <w:snapToGrid w:val="0"/>
                <w:kern w:val="0"/>
                <w:lang w:val="zh-CN"/>
              </w:rPr>
            </w:pPr>
            <w:r w:rsidRPr="00F9522B">
              <w:rPr>
                <w:rFonts w:eastAsiaTheme="minorEastAsia"/>
                <w:snapToGrid w:val="0"/>
                <w:kern w:val="0"/>
                <w:lang w:val="zh-CN"/>
              </w:rPr>
              <w:t>治理设施内容</w:t>
            </w:r>
          </w:p>
        </w:tc>
        <w:tc>
          <w:tcPr>
            <w:tcW w:w="1275" w:type="dxa"/>
            <w:shd w:val="clear" w:color="auto" w:fill="auto"/>
            <w:vAlign w:val="center"/>
          </w:tcPr>
          <w:p w:rsidR="002A5A5E" w:rsidRPr="00F9522B" w:rsidRDefault="00611CBA">
            <w:pPr>
              <w:spacing w:line="0" w:lineRule="atLeast"/>
              <w:jc w:val="center"/>
              <w:rPr>
                <w:rFonts w:eastAsiaTheme="minorEastAsia"/>
                <w:snapToGrid w:val="0"/>
                <w:kern w:val="0"/>
                <w:lang w:val="zh-CN"/>
              </w:rPr>
            </w:pPr>
            <w:r w:rsidRPr="00F9522B">
              <w:rPr>
                <w:rFonts w:eastAsiaTheme="minorEastAsia"/>
                <w:snapToGrid w:val="0"/>
                <w:kern w:val="0"/>
                <w:lang w:val="zh-CN"/>
              </w:rPr>
              <w:t>金额（万元）</w:t>
            </w:r>
          </w:p>
        </w:tc>
      </w:tr>
      <w:tr w:rsidR="002A5A5E" w:rsidRPr="00F9522B">
        <w:tc>
          <w:tcPr>
            <w:tcW w:w="394" w:type="dxa"/>
            <w:vMerge w:val="restart"/>
            <w:shd w:val="clear" w:color="auto" w:fill="auto"/>
            <w:vAlign w:val="center"/>
          </w:tcPr>
          <w:p w:rsidR="002A5A5E" w:rsidRPr="00F9522B" w:rsidRDefault="00611CBA">
            <w:pPr>
              <w:spacing w:line="0" w:lineRule="atLeast"/>
              <w:jc w:val="center"/>
              <w:rPr>
                <w:rFonts w:eastAsiaTheme="minorEastAsia"/>
                <w:snapToGrid w:val="0"/>
                <w:kern w:val="0"/>
                <w:lang w:val="zh-CN"/>
              </w:rPr>
            </w:pPr>
            <w:r w:rsidRPr="00F9522B">
              <w:rPr>
                <w:rFonts w:eastAsiaTheme="minorEastAsia"/>
                <w:snapToGrid w:val="0"/>
                <w:kern w:val="0"/>
                <w:lang w:val="zh-CN"/>
              </w:rPr>
              <w:t>施工期</w:t>
            </w:r>
          </w:p>
        </w:tc>
        <w:tc>
          <w:tcPr>
            <w:tcW w:w="990" w:type="dxa"/>
            <w:shd w:val="clear" w:color="auto" w:fill="auto"/>
            <w:vAlign w:val="center"/>
          </w:tcPr>
          <w:p w:rsidR="002A5A5E" w:rsidRPr="00F9522B" w:rsidRDefault="00611CBA">
            <w:pPr>
              <w:adjustRightInd w:val="0"/>
              <w:snapToGrid w:val="0"/>
              <w:jc w:val="center"/>
              <w:rPr>
                <w:rFonts w:eastAsiaTheme="minorEastAsia"/>
              </w:rPr>
            </w:pPr>
            <w:r w:rsidRPr="00F9522B">
              <w:rPr>
                <w:rFonts w:eastAsiaTheme="minorEastAsia"/>
                <w:szCs w:val="20"/>
              </w:rPr>
              <w:t>废气</w:t>
            </w:r>
          </w:p>
        </w:tc>
        <w:tc>
          <w:tcPr>
            <w:tcW w:w="5954" w:type="dxa"/>
            <w:shd w:val="clear" w:color="auto" w:fill="auto"/>
            <w:vAlign w:val="center"/>
          </w:tcPr>
          <w:p w:rsidR="002A5A5E" w:rsidRPr="00F9522B" w:rsidRDefault="00611CBA">
            <w:pPr>
              <w:spacing w:line="0" w:lineRule="atLeast"/>
              <w:jc w:val="center"/>
              <w:rPr>
                <w:rFonts w:eastAsiaTheme="minorEastAsia"/>
                <w:snapToGrid w:val="0"/>
                <w:kern w:val="0"/>
                <w:lang w:val="zh-CN"/>
              </w:rPr>
            </w:pPr>
            <w:r w:rsidRPr="00F9522B">
              <w:rPr>
                <w:rFonts w:eastAsiaTheme="minorEastAsia"/>
                <w:snapToGrid w:val="0"/>
                <w:kern w:val="0"/>
                <w:lang w:val="zh-CN"/>
              </w:rPr>
              <w:t>建筑材料密闭存放或严密覆盖，严禁露天放置、非冬季时期洒水降尘、运输车辆遮盖严密、加强运输车辆的维护、保养；</w:t>
            </w:r>
            <w:r w:rsidRPr="00F9522B">
              <w:rPr>
                <w:rFonts w:eastAsiaTheme="minorEastAsia"/>
                <w:snapToGrid w:val="0"/>
                <w:kern w:val="0"/>
              </w:rPr>
              <w:t>在距离环境保护目标较近位置施工时（</w:t>
            </w:r>
            <w:r w:rsidR="00943455" w:rsidRPr="00943455">
              <w:rPr>
                <w:rFonts w:eastAsiaTheme="minorEastAsia"/>
                <w:color w:val="FF0000"/>
              </w:rPr>
              <w:t>如八里荒、榆树村等村屯，具体村屯名称见表</w:t>
            </w:r>
            <w:r w:rsidR="00943455" w:rsidRPr="00943455">
              <w:rPr>
                <w:rFonts w:eastAsiaTheme="minorEastAsia"/>
                <w:color w:val="FF0000"/>
              </w:rPr>
              <w:t>2-8-1</w:t>
            </w:r>
            <w:r w:rsidRPr="00F9522B">
              <w:rPr>
                <w:rFonts w:eastAsiaTheme="minorEastAsia"/>
                <w:snapToGrid w:val="0"/>
                <w:kern w:val="0"/>
              </w:rPr>
              <w:t>）设置施工围挡；</w:t>
            </w:r>
            <w:r w:rsidRPr="00F9522B">
              <w:rPr>
                <w:rFonts w:eastAsiaTheme="minorEastAsia"/>
              </w:rPr>
              <w:t>合理安排清淤时间，喷洒微生物除臭剂</w:t>
            </w:r>
          </w:p>
        </w:tc>
        <w:tc>
          <w:tcPr>
            <w:tcW w:w="1275" w:type="dxa"/>
            <w:shd w:val="clear" w:color="auto" w:fill="auto"/>
            <w:vAlign w:val="center"/>
          </w:tcPr>
          <w:p w:rsidR="002A5A5E" w:rsidRPr="00F9522B" w:rsidRDefault="00611CBA">
            <w:pPr>
              <w:spacing w:line="0" w:lineRule="atLeast"/>
              <w:jc w:val="center"/>
              <w:rPr>
                <w:rFonts w:eastAsiaTheme="minorEastAsia"/>
                <w:snapToGrid w:val="0"/>
                <w:kern w:val="0"/>
                <w:lang w:val="zh-CN"/>
              </w:rPr>
            </w:pPr>
            <w:r w:rsidRPr="00F9522B">
              <w:rPr>
                <w:rFonts w:eastAsiaTheme="minorEastAsia"/>
                <w:snapToGrid w:val="0"/>
                <w:kern w:val="0"/>
                <w:lang w:val="zh-CN"/>
              </w:rPr>
              <w:t>20.5</w:t>
            </w:r>
          </w:p>
        </w:tc>
      </w:tr>
      <w:tr w:rsidR="002A5A5E" w:rsidRPr="00F9522B">
        <w:tc>
          <w:tcPr>
            <w:tcW w:w="394" w:type="dxa"/>
            <w:vMerge/>
            <w:shd w:val="clear" w:color="auto" w:fill="auto"/>
            <w:vAlign w:val="center"/>
          </w:tcPr>
          <w:p w:rsidR="002A5A5E" w:rsidRPr="00F9522B" w:rsidRDefault="002A5A5E">
            <w:pPr>
              <w:spacing w:line="0" w:lineRule="atLeast"/>
              <w:jc w:val="center"/>
              <w:rPr>
                <w:rFonts w:eastAsiaTheme="minorEastAsia"/>
                <w:snapToGrid w:val="0"/>
                <w:kern w:val="0"/>
                <w:lang w:val="zh-CN"/>
              </w:rPr>
            </w:pPr>
          </w:p>
        </w:tc>
        <w:tc>
          <w:tcPr>
            <w:tcW w:w="990" w:type="dxa"/>
            <w:shd w:val="clear" w:color="auto" w:fill="auto"/>
            <w:vAlign w:val="center"/>
          </w:tcPr>
          <w:p w:rsidR="002A5A5E" w:rsidRPr="00F9522B" w:rsidRDefault="00611CBA">
            <w:pPr>
              <w:adjustRightInd w:val="0"/>
              <w:snapToGrid w:val="0"/>
              <w:jc w:val="center"/>
              <w:rPr>
                <w:rFonts w:eastAsiaTheme="minorEastAsia"/>
              </w:rPr>
            </w:pPr>
            <w:r w:rsidRPr="00F9522B">
              <w:rPr>
                <w:rFonts w:eastAsiaTheme="minorEastAsia"/>
                <w:szCs w:val="20"/>
              </w:rPr>
              <w:t>废水</w:t>
            </w:r>
          </w:p>
        </w:tc>
        <w:tc>
          <w:tcPr>
            <w:tcW w:w="5954" w:type="dxa"/>
            <w:shd w:val="clear" w:color="auto" w:fill="auto"/>
            <w:vAlign w:val="center"/>
          </w:tcPr>
          <w:p w:rsidR="002A5A5E" w:rsidRPr="00F9522B" w:rsidRDefault="0009673A">
            <w:pPr>
              <w:spacing w:line="0" w:lineRule="atLeast"/>
              <w:jc w:val="center"/>
              <w:rPr>
                <w:rFonts w:eastAsiaTheme="minorEastAsia"/>
                <w:snapToGrid w:val="0"/>
                <w:color w:val="FF0000"/>
                <w:kern w:val="0"/>
                <w:lang w:val="zh-CN"/>
              </w:rPr>
            </w:pPr>
            <w:r w:rsidRPr="00F9522B">
              <w:rPr>
                <w:rFonts w:eastAsiaTheme="minorEastAsia"/>
                <w:snapToGrid w:val="0"/>
                <w:color w:val="FF0000"/>
                <w:kern w:val="0"/>
                <w:lang w:val="zh-CN"/>
              </w:rPr>
              <w:t>5</w:t>
            </w:r>
            <w:r w:rsidRPr="00F9522B">
              <w:rPr>
                <w:rFonts w:eastAsiaTheme="minorEastAsia"/>
                <w:snapToGrid w:val="0"/>
                <w:color w:val="FF0000"/>
                <w:kern w:val="0"/>
                <w:lang w:val="zh-CN"/>
              </w:rPr>
              <w:t>个</w:t>
            </w:r>
            <w:r w:rsidRPr="00F9522B">
              <w:rPr>
                <w:rFonts w:eastAsiaTheme="minorEastAsia"/>
                <w:snapToGrid w:val="0"/>
                <w:color w:val="FF0000"/>
                <w:kern w:val="0"/>
                <w:lang w:val="zh-CN"/>
              </w:rPr>
              <w:t>2</w:t>
            </w:r>
            <w:r w:rsidR="00611CBA" w:rsidRPr="00F9522B">
              <w:rPr>
                <w:rFonts w:eastAsiaTheme="minorEastAsia"/>
                <w:snapToGrid w:val="0"/>
                <w:color w:val="FF0000"/>
                <w:kern w:val="0"/>
                <w:lang w:val="zh-CN"/>
              </w:rPr>
              <w:t>0</w:t>
            </w:r>
            <w:r w:rsidR="00611CBA" w:rsidRPr="00F9522B">
              <w:rPr>
                <w:rFonts w:eastAsiaTheme="minorEastAsia"/>
                <w:snapToGrid w:val="0"/>
                <w:color w:val="FF0000"/>
                <w:kern w:val="0"/>
                <w:szCs w:val="21"/>
              </w:rPr>
              <w:t>m</w:t>
            </w:r>
            <w:r w:rsidR="00611CBA" w:rsidRPr="00F9522B">
              <w:rPr>
                <w:rFonts w:eastAsiaTheme="minorEastAsia"/>
                <w:snapToGrid w:val="0"/>
                <w:color w:val="FF0000"/>
                <w:kern w:val="0"/>
                <w:szCs w:val="21"/>
                <w:vertAlign w:val="superscript"/>
              </w:rPr>
              <w:t>2</w:t>
            </w:r>
            <w:r w:rsidR="00660C23" w:rsidRPr="00F9522B">
              <w:rPr>
                <w:rFonts w:eastAsiaTheme="minorEastAsia"/>
                <w:snapToGrid w:val="0"/>
                <w:color w:val="FF0000"/>
                <w:kern w:val="0"/>
                <w:lang w:val="zh-CN"/>
              </w:rPr>
              <w:t>移动式不锈钢沉淀池</w:t>
            </w:r>
          </w:p>
        </w:tc>
        <w:tc>
          <w:tcPr>
            <w:tcW w:w="1275" w:type="dxa"/>
            <w:shd w:val="clear" w:color="auto" w:fill="auto"/>
            <w:vAlign w:val="center"/>
          </w:tcPr>
          <w:p w:rsidR="002A5A5E" w:rsidRPr="00F9522B" w:rsidRDefault="0009673A">
            <w:pPr>
              <w:spacing w:line="0" w:lineRule="atLeast"/>
              <w:jc w:val="center"/>
              <w:rPr>
                <w:rFonts w:eastAsiaTheme="minorEastAsia"/>
                <w:snapToGrid w:val="0"/>
                <w:kern w:val="0"/>
                <w:lang w:val="zh-CN"/>
              </w:rPr>
            </w:pPr>
            <w:r w:rsidRPr="00F9522B">
              <w:rPr>
                <w:rFonts w:eastAsiaTheme="minorEastAsia"/>
                <w:snapToGrid w:val="0"/>
                <w:kern w:val="0"/>
                <w:lang w:val="zh-CN"/>
              </w:rPr>
              <w:t>3.0</w:t>
            </w:r>
          </w:p>
        </w:tc>
      </w:tr>
      <w:tr w:rsidR="002A5A5E" w:rsidRPr="00F9522B">
        <w:tc>
          <w:tcPr>
            <w:tcW w:w="394" w:type="dxa"/>
            <w:vMerge/>
            <w:shd w:val="clear" w:color="auto" w:fill="auto"/>
            <w:vAlign w:val="center"/>
          </w:tcPr>
          <w:p w:rsidR="002A5A5E" w:rsidRPr="00F9522B" w:rsidRDefault="002A5A5E">
            <w:pPr>
              <w:spacing w:line="0" w:lineRule="atLeast"/>
              <w:jc w:val="center"/>
              <w:rPr>
                <w:rFonts w:eastAsiaTheme="minorEastAsia"/>
                <w:snapToGrid w:val="0"/>
                <w:kern w:val="0"/>
                <w:lang w:val="zh-CN"/>
              </w:rPr>
            </w:pPr>
          </w:p>
        </w:tc>
        <w:tc>
          <w:tcPr>
            <w:tcW w:w="990" w:type="dxa"/>
            <w:shd w:val="clear" w:color="auto" w:fill="auto"/>
            <w:vAlign w:val="center"/>
          </w:tcPr>
          <w:p w:rsidR="002A5A5E" w:rsidRPr="00F9522B" w:rsidRDefault="00611CBA">
            <w:pPr>
              <w:adjustRightInd w:val="0"/>
              <w:snapToGrid w:val="0"/>
              <w:jc w:val="center"/>
              <w:rPr>
                <w:rFonts w:eastAsiaTheme="minorEastAsia"/>
              </w:rPr>
            </w:pPr>
            <w:r w:rsidRPr="00F9522B">
              <w:rPr>
                <w:rFonts w:eastAsiaTheme="minorEastAsia"/>
                <w:szCs w:val="20"/>
              </w:rPr>
              <w:t>噪声</w:t>
            </w:r>
          </w:p>
        </w:tc>
        <w:tc>
          <w:tcPr>
            <w:tcW w:w="5954" w:type="dxa"/>
            <w:shd w:val="clear" w:color="auto" w:fill="auto"/>
            <w:vAlign w:val="center"/>
          </w:tcPr>
          <w:p w:rsidR="002A5A5E" w:rsidRPr="00F9522B" w:rsidRDefault="00611CBA">
            <w:pPr>
              <w:spacing w:line="0" w:lineRule="atLeast"/>
              <w:jc w:val="center"/>
              <w:rPr>
                <w:rFonts w:eastAsiaTheme="minorEastAsia"/>
                <w:snapToGrid w:val="0"/>
                <w:kern w:val="0"/>
                <w:lang w:val="zh-CN"/>
              </w:rPr>
            </w:pPr>
            <w:r w:rsidRPr="00F9522B">
              <w:rPr>
                <w:rFonts w:eastAsiaTheme="minorEastAsia"/>
                <w:bCs/>
                <w:szCs w:val="21"/>
              </w:rPr>
              <w:t>选用低噪声设备、定期保养施工设备、</w:t>
            </w:r>
            <w:r w:rsidRPr="00F9522B">
              <w:rPr>
                <w:rFonts w:eastAsiaTheme="minorEastAsia"/>
              </w:rPr>
              <w:t>在</w:t>
            </w:r>
            <w:r w:rsidRPr="00F9522B">
              <w:rPr>
                <w:rFonts w:eastAsiaTheme="minorEastAsia"/>
              </w:rPr>
              <w:t>10m</w:t>
            </w:r>
            <w:r w:rsidRPr="00F9522B">
              <w:rPr>
                <w:rFonts w:eastAsiaTheme="minorEastAsia"/>
              </w:rPr>
              <w:t>以内分布有居民（</w:t>
            </w:r>
            <w:r w:rsidR="007A5D2B" w:rsidRPr="00F9522B">
              <w:rPr>
                <w:rFonts w:eastAsiaTheme="minorEastAsia"/>
              </w:rPr>
              <w:t>八里荒、榆树村、黄家窝堡等村屯，共</w:t>
            </w:r>
            <w:r w:rsidR="007A5D2B" w:rsidRPr="00F9522B">
              <w:rPr>
                <w:rFonts w:eastAsiaTheme="minorEastAsia"/>
              </w:rPr>
              <w:t>25</w:t>
            </w:r>
            <w:r w:rsidR="007A5D2B" w:rsidRPr="00F9522B">
              <w:rPr>
                <w:rFonts w:eastAsiaTheme="minorEastAsia"/>
              </w:rPr>
              <w:t>处</w:t>
            </w:r>
            <w:r w:rsidRPr="00F9522B">
              <w:rPr>
                <w:rFonts w:eastAsiaTheme="minorEastAsia"/>
              </w:rPr>
              <w:t>，具体村屯名称</w:t>
            </w:r>
            <w:r w:rsidR="00660C23" w:rsidRPr="00F9522B">
              <w:rPr>
                <w:rFonts w:eastAsiaTheme="minorEastAsia"/>
              </w:rPr>
              <w:t>见表</w:t>
            </w:r>
            <w:r w:rsidR="00660C23" w:rsidRPr="00F9522B">
              <w:rPr>
                <w:rFonts w:eastAsiaTheme="minorEastAsia"/>
              </w:rPr>
              <w:t>2-8-1</w:t>
            </w:r>
            <w:r w:rsidRPr="00F9522B">
              <w:rPr>
                <w:rFonts w:eastAsiaTheme="minorEastAsia"/>
              </w:rPr>
              <w:t>）的灌溉与排水、田间道路、涵洞等建筑物、</w:t>
            </w:r>
            <w:r w:rsidRPr="00F9522B">
              <w:rPr>
                <w:rFonts w:eastAsiaTheme="minorEastAsia"/>
                <w:bCs/>
              </w:rPr>
              <w:t>输配电</w:t>
            </w:r>
            <w:r w:rsidRPr="00F9522B">
              <w:rPr>
                <w:rFonts w:eastAsiaTheme="minorEastAsia"/>
              </w:rPr>
              <w:t>工程处设置双层移动隔声屏障，高度为</w:t>
            </w:r>
            <w:r w:rsidRPr="00F9522B">
              <w:rPr>
                <w:rFonts w:eastAsiaTheme="minorEastAsia"/>
              </w:rPr>
              <w:t>2m</w:t>
            </w:r>
            <w:r w:rsidRPr="00F9522B">
              <w:rPr>
                <w:rFonts w:eastAsiaTheme="minorEastAsia"/>
              </w:rPr>
              <w:t>，长度超出敏感目标两侧各</w:t>
            </w:r>
            <w:r w:rsidRPr="00F9522B">
              <w:rPr>
                <w:rFonts w:eastAsiaTheme="minorEastAsia"/>
              </w:rPr>
              <w:t>10m</w:t>
            </w:r>
          </w:p>
        </w:tc>
        <w:tc>
          <w:tcPr>
            <w:tcW w:w="1275" w:type="dxa"/>
            <w:shd w:val="clear" w:color="auto" w:fill="auto"/>
            <w:vAlign w:val="center"/>
          </w:tcPr>
          <w:p w:rsidR="002A5A5E" w:rsidRPr="00F9522B" w:rsidRDefault="00611CBA">
            <w:pPr>
              <w:spacing w:line="0" w:lineRule="atLeast"/>
              <w:jc w:val="center"/>
              <w:rPr>
                <w:rFonts w:eastAsiaTheme="minorEastAsia"/>
                <w:snapToGrid w:val="0"/>
                <w:kern w:val="0"/>
                <w:lang w:val="zh-CN"/>
              </w:rPr>
            </w:pPr>
            <w:r w:rsidRPr="00F9522B">
              <w:rPr>
                <w:rFonts w:eastAsiaTheme="minorEastAsia"/>
                <w:snapToGrid w:val="0"/>
                <w:kern w:val="0"/>
                <w:lang w:val="zh-CN"/>
              </w:rPr>
              <w:t>20.0</w:t>
            </w:r>
          </w:p>
        </w:tc>
      </w:tr>
      <w:tr w:rsidR="002A5A5E" w:rsidRPr="00F9522B">
        <w:tc>
          <w:tcPr>
            <w:tcW w:w="394" w:type="dxa"/>
            <w:vMerge/>
            <w:shd w:val="clear" w:color="auto" w:fill="auto"/>
            <w:vAlign w:val="center"/>
          </w:tcPr>
          <w:p w:rsidR="002A5A5E" w:rsidRPr="00F9522B" w:rsidRDefault="002A5A5E">
            <w:pPr>
              <w:spacing w:line="0" w:lineRule="atLeast"/>
              <w:jc w:val="center"/>
              <w:rPr>
                <w:rFonts w:eastAsiaTheme="minorEastAsia"/>
                <w:snapToGrid w:val="0"/>
                <w:kern w:val="0"/>
                <w:lang w:val="zh-CN"/>
              </w:rPr>
            </w:pPr>
          </w:p>
        </w:tc>
        <w:tc>
          <w:tcPr>
            <w:tcW w:w="990" w:type="dxa"/>
            <w:shd w:val="clear" w:color="auto" w:fill="auto"/>
            <w:vAlign w:val="center"/>
          </w:tcPr>
          <w:p w:rsidR="002A5A5E" w:rsidRPr="00F9522B" w:rsidRDefault="00611CBA">
            <w:pPr>
              <w:adjustRightInd w:val="0"/>
              <w:snapToGrid w:val="0"/>
              <w:jc w:val="center"/>
              <w:rPr>
                <w:rFonts w:eastAsiaTheme="minorEastAsia"/>
                <w:szCs w:val="21"/>
              </w:rPr>
            </w:pPr>
            <w:r w:rsidRPr="00F9522B">
              <w:rPr>
                <w:rFonts w:eastAsiaTheme="minorEastAsia"/>
                <w:szCs w:val="21"/>
              </w:rPr>
              <w:t>生态</w:t>
            </w:r>
          </w:p>
        </w:tc>
        <w:tc>
          <w:tcPr>
            <w:tcW w:w="5954" w:type="dxa"/>
            <w:shd w:val="clear" w:color="auto" w:fill="auto"/>
            <w:vAlign w:val="center"/>
          </w:tcPr>
          <w:p w:rsidR="002A5A5E" w:rsidRPr="00F9522B" w:rsidRDefault="00F41A00">
            <w:pPr>
              <w:spacing w:line="0" w:lineRule="atLeast"/>
              <w:jc w:val="center"/>
              <w:rPr>
                <w:rFonts w:eastAsiaTheme="minorEastAsia"/>
                <w:snapToGrid w:val="0"/>
                <w:kern w:val="0"/>
                <w:szCs w:val="21"/>
                <w:lang w:val="zh-CN"/>
              </w:rPr>
            </w:pPr>
            <w:r w:rsidRPr="00F9522B">
              <w:rPr>
                <w:rFonts w:eastAsiaTheme="minorEastAsia"/>
                <w:snapToGrid w:val="0"/>
                <w:kern w:val="0"/>
                <w:szCs w:val="21"/>
              </w:rPr>
              <w:t>输配电工程表土及土方临时堆存在施工沿线，分区存放，设置临时拦挡并采用密目网苫盖，施工结束后分层回填，</w:t>
            </w:r>
            <w:r w:rsidR="00617138">
              <w:rPr>
                <w:rFonts w:eastAsiaTheme="minorEastAsia"/>
                <w:snapToGrid w:val="0"/>
                <w:kern w:val="0"/>
                <w:szCs w:val="21"/>
              </w:rPr>
              <w:t>施工场地恢复现状草地，播撒草籽面积</w:t>
            </w:r>
            <w:r w:rsidR="00617138">
              <w:rPr>
                <w:rFonts w:eastAsiaTheme="minorEastAsia"/>
                <w:snapToGrid w:val="0"/>
                <w:kern w:val="0"/>
                <w:szCs w:val="21"/>
              </w:rPr>
              <w:t>224662</w:t>
            </w:r>
            <w:r w:rsidRPr="00F9522B">
              <w:rPr>
                <w:rFonts w:eastAsiaTheme="minorEastAsia"/>
                <w:snapToGrid w:val="0"/>
                <w:kern w:val="0"/>
                <w:szCs w:val="21"/>
              </w:rPr>
              <w:t>m</w:t>
            </w:r>
            <w:r w:rsidRPr="00F9522B">
              <w:rPr>
                <w:rFonts w:eastAsiaTheme="minorEastAsia"/>
                <w:snapToGrid w:val="0"/>
                <w:kern w:val="0"/>
                <w:szCs w:val="21"/>
                <w:vertAlign w:val="superscript"/>
              </w:rPr>
              <w:t>2</w:t>
            </w:r>
            <w:r w:rsidRPr="00F9522B">
              <w:rPr>
                <w:rFonts w:eastAsiaTheme="minorEastAsia"/>
                <w:snapToGrid w:val="0"/>
                <w:kern w:val="0"/>
                <w:szCs w:val="21"/>
              </w:rPr>
              <w:t>，草籽选用紫花苜蓿等，种草密度</w:t>
            </w:r>
            <w:r w:rsidRPr="00F9522B">
              <w:rPr>
                <w:rFonts w:eastAsiaTheme="minorEastAsia"/>
                <w:snapToGrid w:val="0"/>
                <w:kern w:val="0"/>
                <w:szCs w:val="21"/>
              </w:rPr>
              <w:t>80kg/</w:t>
            </w:r>
            <w:r w:rsidRPr="00F9522B">
              <w:rPr>
                <w:rFonts w:eastAsiaTheme="minorEastAsia"/>
                <w:snapToGrid w:val="0"/>
                <w:kern w:val="0"/>
                <w:szCs w:val="21"/>
              </w:rPr>
              <w:t>公顷，恢复旱地</w:t>
            </w:r>
            <w:r w:rsidRPr="00F9522B">
              <w:rPr>
                <w:rFonts w:eastAsiaTheme="minorEastAsia"/>
                <w:snapToGrid w:val="0"/>
                <w:kern w:val="0"/>
                <w:szCs w:val="21"/>
              </w:rPr>
              <w:t>32558m</w:t>
            </w:r>
            <w:r w:rsidRPr="00F9522B">
              <w:rPr>
                <w:rFonts w:eastAsiaTheme="minorEastAsia"/>
                <w:snapToGrid w:val="0"/>
                <w:kern w:val="0"/>
                <w:szCs w:val="21"/>
                <w:vertAlign w:val="superscript"/>
              </w:rPr>
              <w:t>2</w:t>
            </w:r>
            <w:r w:rsidRPr="00F9522B">
              <w:rPr>
                <w:rFonts w:eastAsiaTheme="minorEastAsia"/>
                <w:snapToGrid w:val="0"/>
                <w:kern w:val="0"/>
                <w:szCs w:val="21"/>
              </w:rPr>
              <w:t>；灌溉井工程剥离表土、开挖土方暂存于施工场地内，分区存放，设置临时拦挡并采用密目网苫盖，施工结束后施工场地、临时道路恢复为旱地，恢复面积</w:t>
            </w:r>
            <w:r w:rsidRPr="00F9522B">
              <w:rPr>
                <w:rFonts w:eastAsiaTheme="minorEastAsia"/>
                <w:snapToGrid w:val="0"/>
                <w:kern w:val="0"/>
                <w:szCs w:val="21"/>
              </w:rPr>
              <w:t>7920m</w:t>
            </w:r>
            <w:r w:rsidRPr="00F9522B">
              <w:rPr>
                <w:rFonts w:eastAsiaTheme="minorEastAsia"/>
                <w:snapToGrid w:val="0"/>
                <w:kern w:val="0"/>
                <w:szCs w:val="21"/>
                <w:vertAlign w:val="superscript"/>
              </w:rPr>
              <w:t>2</w:t>
            </w:r>
            <w:r w:rsidRPr="00F9522B">
              <w:rPr>
                <w:rFonts w:eastAsiaTheme="minorEastAsia"/>
                <w:snapToGrid w:val="0"/>
                <w:kern w:val="0"/>
                <w:szCs w:val="21"/>
              </w:rPr>
              <w:t>；涵洞等建筑物工程剥离表土、开挖土方暂存于施工场地内，分区存放，设置临时拦挡并采用密目网苫盖，施工结束后施工场地恢复为草地，播撒草籽面积</w:t>
            </w:r>
            <w:r w:rsidRPr="00F9522B">
              <w:rPr>
                <w:rFonts w:eastAsiaTheme="minorEastAsia"/>
                <w:snapToGrid w:val="0"/>
                <w:kern w:val="0"/>
                <w:szCs w:val="21"/>
              </w:rPr>
              <w:t>18500m</w:t>
            </w:r>
            <w:r w:rsidRPr="00F9522B">
              <w:rPr>
                <w:rFonts w:eastAsiaTheme="minorEastAsia"/>
                <w:snapToGrid w:val="0"/>
                <w:kern w:val="0"/>
                <w:szCs w:val="21"/>
                <w:vertAlign w:val="superscript"/>
              </w:rPr>
              <w:t>2</w:t>
            </w:r>
            <w:r w:rsidRPr="00F9522B">
              <w:rPr>
                <w:rFonts w:eastAsiaTheme="minorEastAsia"/>
                <w:snapToGrid w:val="0"/>
                <w:kern w:val="0"/>
                <w:szCs w:val="21"/>
              </w:rPr>
              <w:t>，草籽选用紫花苜蓿等，种草密度</w:t>
            </w:r>
            <w:r w:rsidRPr="00F9522B">
              <w:rPr>
                <w:rFonts w:eastAsiaTheme="minorEastAsia"/>
                <w:snapToGrid w:val="0"/>
                <w:kern w:val="0"/>
                <w:szCs w:val="21"/>
              </w:rPr>
              <w:t>80kg/</w:t>
            </w:r>
            <w:r w:rsidRPr="00F9522B">
              <w:rPr>
                <w:rFonts w:eastAsiaTheme="minorEastAsia"/>
                <w:snapToGrid w:val="0"/>
                <w:kern w:val="0"/>
                <w:szCs w:val="21"/>
              </w:rPr>
              <w:t>公顷，恢复旱地</w:t>
            </w:r>
            <w:r w:rsidRPr="00F9522B">
              <w:rPr>
                <w:rFonts w:eastAsiaTheme="minorEastAsia"/>
                <w:snapToGrid w:val="0"/>
                <w:kern w:val="0"/>
                <w:szCs w:val="21"/>
              </w:rPr>
              <w:t>10500m</w:t>
            </w:r>
            <w:r w:rsidRPr="00F9522B">
              <w:rPr>
                <w:rFonts w:eastAsiaTheme="minorEastAsia"/>
                <w:snapToGrid w:val="0"/>
                <w:kern w:val="0"/>
                <w:szCs w:val="21"/>
                <w:vertAlign w:val="superscript"/>
              </w:rPr>
              <w:t>2</w:t>
            </w:r>
            <w:r w:rsidRPr="00F9522B">
              <w:rPr>
                <w:rFonts w:eastAsiaTheme="minorEastAsia"/>
                <w:snapToGrid w:val="0"/>
                <w:kern w:val="0"/>
                <w:szCs w:val="21"/>
              </w:rPr>
              <w:t>。</w:t>
            </w:r>
            <w:r w:rsidR="00611CBA" w:rsidRPr="00F9522B">
              <w:rPr>
                <w:rFonts w:eastAsiaTheme="minorEastAsia"/>
                <w:snapToGrid w:val="0"/>
                <w:kern w:val="0"/>
                <w:szCs w:val="21"/>
              </w:rPr>
              <w:t>使临时占地土地利用类型、植被覆盖度、生物量等恢复为原有水平。减少由于工程施工对其景观、生态、水土保持等方面的不利影响。表土暂存场</w:t>
            </w:r>
            <w:r w:rsidR="00611CBA" w:rsidRPr="00F9522B">
              <w:rPr>
                <w:rFonts w:eastAsiaTheme="minorEastAsia"/>
                <w:bCs/>
                <w:kern w:val="0"/>
                <w:szCs w:val="21"/>
              </w:rPr>
              <w:t>堆高在</w:t>
            </w:r>
            <w:r w:rsidR="00611CBA" w:rsidRPr="00F9522B">
              <w:rPr>
                <w:rFonts w:eastAsiaTheme="minorEastAsia"/>
                <w:bCs/>
                <w:kern w:val="0"/>
                <w:szCs w:val="21"/>
              </w:rPr>
              <w:t>3m</w:t>
            </w:r>
            <w:r w:rsidR="00611CBA" w:rsidRPr="00F9522B">
              <w:rPr>
                <w:rFonts w:eastAsiaTheme="minorEastAsia"/>
                <w:bCs/>
                <w:kern w:val="0"/>
                <w:szCs w:val="21"/>
              </w:rPr>
              <w:t>以内，坡比</w:t>
            </w:r>
            <w:r w:rsidR="00611CBA" w:rsidRPr="00F9522B">
              <w:rPr>
                <w:rFonts w:eastAsiaTheme="minorEastAsia"/>
                <w:bCs/>
                <w:kern w:val="0"/>
                <w:szCs w:val="21"/>
              </w:rPr>
              <w:t>1</w:t>
            </w:r>
            <w:r w:rsidR="00611CBA" w:rsidRPr="00F9522B">
              <w:rPr>
                <w:rFonts w:eastAsiaTheme="minorEastAsia"/>
                <w:bCs/>
                <w:kern w:val="0"/>
                <w:szCs w:val="21"/>
              </w:rPr>
              <w:t>：</w:t>
            </w:r>
            <w:r w:rsidR="00611CBA" w:rsidRPr="00F9522B">
              <w:rPr>
                <w:rFonts w:eastAsiaTheme="minorEastAsia"/>
                <w:bCs/>
                <w:kern w:val="0"/>
                <w:szCs w:val="21"/>
              </w:rPr>
              <w:t>1</w:t>
            </w:r>
            <w:r w:rsidR="00611CBA" w:rsidRPr="00F9522B">
              <w:rPr>
                <w:rFonts w:eastAsiaTheme="minorEastAsia"/>
                <w:bCs/>
                <w:kern w:val="0"/>
                <w:szCs w:val="21"/>
              </w:rPr>
              <w:t>，可以保证堆土的稳定性及安全性。堆放地宜相对低凹、周围相对平缓，并设置排水设施。</w:t>
            </w:r>
            <w:r w:rsidR="00611CBA" w:rsidRPr="00F9522B">
              <w:rPr>
                <w:rFonts w:eastAsiaTheme="minorEastAsia"/>
                <w:szCs w:val="21"/>
              </w:rPr>
              <w:t>建设单位为生态恢复工程实施责任主体</w:t>
            </w:r>
          </w:p>
        </w:tc>
        <w:tc>
          <w:tcPr>
            <w:tcW w:w="1275" w:type="dxa"/>
            <w:shd w:val="clear" w:color="auto" w:fill="auto"/>
            <w:vAlign w:val="center"/>
          </w:tcPr>
          <w:p w:rsidR="002A5A5E" w:rsidRPr="00F9522B" w:rsidRDefault="0009673A">
            <w:pPr>
              <w:spacing w:line="0" w:lineRule="atLeast"/>
              <w:jc w:val="center"/>
              <w:rPr>
                <w:rFonts w:eastAsiaTheme="minorEastAsia"/>
                <w:snapToGrid w:val="0"/>
                <w:kern w:val="0"/>
                <w:lang w:val="zh-CN"/>
              </w:rPr>
            </w:pPr>
            <w:r w:rsidRPr="00F9522B">
              <w:rPr>
                <w:rFonts w:eastAsiaTheme="minorEastAsia"/>
                <w:snapToGrid w:val="0"/>
                <w:kern w:val="0"/>
                <w:lang w:val="zh-CN"/>
              </w:rPr>
              <w:t>78</w:t>
            </w:r>
            <w:r w:rsidR="00611CBA" w:rsidRPr="00F9522B">
              <w:rPr>
                <w:rFonts w:eastAsiaTheme="minorEastAsia"/>
                <w:snapToGrid w:val="0"/>
                <w:kern w:val="0"/>
                <w:lang w:val="zh-CN"/>
              </w:rPr>
              <w:t>.0</w:t>
            </w:r>
          </w:p>
        </w:tc>
      </w:tr>
      <w:tr w:rsidR="002A5A5E" w:rsidRPr="00F9522B">
        <w:tc>
          <w:tcPr>
            <w:tcW w:w="394" w:type="dxa"/>
            <w:vMerge/>
            <w:shd w:val="clear" w:color="auto" w:fill="auto"/>
            <w:vAlign w:val="center"/>
          </w:tcPr>
          <w:p w:rsidR="002A5A5E" w:rsidRPr="00F9522B" w:rsidRDefault="002A5A5E">
            <w:pPr>
              <w:spacing w:line="0" w:lineRule="atLeast"/>
              <w:jc w:val="center"/>
              <w:rPr>
                <w:rFonts w:eastAsiaTheme="minorEastAsia"/>
                <w:snapToGrid w:val="0"/>
                <w:kern w:val="0"/>
                <w:lang w:val="zh-CN"/>
              </w:rPr>
            </w:pPr>
          </w:p>
        </w:tc>
        <w:tc>
          <w:tcPr>
            <w:tcW w:w="990" w:type="dxa"/>
            <w:shd w:val="clear" w:color="auto" w:fill="auto"/>
            <w:vAlign w:val="center"/>
          </w:tcPr>
          <w:p w:rsidR="002A5A5E" w:rsidRPr="00F9522B" w:rsidRDefault="00611CBA">
            <w:pPr>
              <w:adjustRightInd w:val="0"/>
              <w:snapToGrid w:val="0"/>
              <w:jc w:val="center"/>
              <w:rPr>
                <w:rFonts w:eastAsiaTheme="minorEastAsia"/>
              </w:rPr>
            </w:pPr>
            <w:r w:rsidRPr="00F9522B">
              <w:rPr>
                <w:rFonts w:eastAsiaTheme="minorEastAsia"/>
                <w:szCs w:val="20"/>
              </w:rPr>
              <w:t>固废</w:t>
            </w:r>
          </w:p>
        </w:tc>
        <w:tc>
          <w:tcPr>
            <w:tcW w:w="5954" w:type="dxa"/>
            <w:shd w:val="clear" w:color="auto" w:fill="auto"/>
            <w:vAlign w:val="center"/>
          </w:tcPr>
          <w:p w:rsidR="002A5A5E" w:rsidRPr="00F9522B" w:rsidRDefault="00611CBA">
            <w:pPr>
              <w:spacing w:line="0" w:lineRule="atLeast"/>
              <w:jc w:val="center"/>
              <w:rPr>
                <w:rFonts w:eastAsiaTheme="minorEastAsia"/>
                <w:snapToGrid w:val="0"/>
                <w:kern w:val="0"/>
              </w:rPr>
            </w:pPr>
            <w:r w:rsidRPr="00F9522B">
              <w:rPr>
                <w:rFonts w:eastAsiaTheme="minorEastAsia"/>
                <w:szCs w:val="21"/>
                <w:lang w:val="zh-CN"/>
              </w:rPr>
              <w:t>淤泥清除</w:t>
            </w:r>
            <w:r w:rsidRPr="00F9522B">
              <w:rPr>
                <w:rFonts w:eastAsiaTheme="minorEastAsia"/>
                <w:snapToGrid w:val="0"/>
                <w:kern w:val="0"/>
                <w:lang w:val="zh-CN"/>
              </w:rPr>
              <w:t>、垃圾桶</w:t>
            </w:r>
          </w:p>
        </w:tc>
        <w:tc>
          <w:tcPr>
            <w:tcW w:w="1275" w:type="dxa"/>
            <w:shd w:val="clear" w:color="auto" w:fill="auto"/>
            <w:vAlign w:val="center"/>
          </w:tcPr>
          <w:p w:rsidR="002A5A5E" w:rsidRPr="00F9522B" w:rsidRDefault="00611CBA">
            <w:pPr>
              <w:spacing w:line="0" w:lineRule="atLeast"/>
              <w:jc w:val="center"/>
              <w:rPr>
                <w:rFonts w:eastAsiaTheme="minorEastAsia"/>
                <w:snapToGrid w:val="0"/>
                <w:kern w:val="0"/>
                <w:lang w:val="zh-CN"/>
              </w:rPr>
            </w:pPr>
            <w:r w:rsidRPr="00F9522B">
              <w:rPr>
                <w:rFonts w:eastAsiaTheme="minorEastAsia"/>
                <w:snapToGrid w:val="0"/>
                <w:kern w:val="0"/>
                <w:lang w:val="zh-CN"/>
              </w:rPr>
              <w:t>4.0</w:t>
            </w:r>
          </w:p>
        </w:tc>
      </w:tr>
      <w:tr w:rsidR="002A5A5E" w:rsidRPr="00F9522B">
        <w:tc>
          <w:tcPr>
            <w:tcW w:w="394" w:type="dxa"/>
            <w:vMerge/>
            <w:shd w:val="clear" w:color="auto" w:fill="auto"/>
            <w:vAlign w:val="center"/>
          </w:tcPr>
          <w:p w:rsidR="002A5A5E" w:rsidRPr="00F9522B" w:rsidRDefault="002A5A5E">
            <w:pPr>
              <w:spacing w:line="0" w:lineRule="atLeast"/>
              <w:jc w:val="center"/>
              <w:rPr>
                <w:rFonts w:eastAsiaTheme="minorEastAsia"/>
                <w:snapToGrid w:val="0"/>
                <w:kern w:val="0"/>
                <w:lang w:val="zh-CN"/>
              </w:rPr>
            </w:pPr>
          </w:p>
        </w:tc>
        <w:tc>
          <w:tcPr>
            <w:tcW w:w="990" w:type="dxa"/>
            <w:shd w:val="clear" w:color="auto" w:fill="auto"/>
            <w:vAlign w:val="center"/>
          </w:tcPr>
          <w:p w:rsidR="002A5A5E" w:rsidRPr="00F9522B" w:rsidRDefault="00611CBA">
            <w:pPr>
              <w:adjustRightInd w:val="0"/>
              <w:snapToGrid w:val="0"/>
              <w:jc w:val="center"/>
              <w:rPr>
                <w:rFonts w:eastAsiaTheme="minorEastAsia"/>
                <w:szCs w:val="20"/>
              </w:rPr>
            </w:pPr>
            <w:r w:rsidRPr="00F9522B">
              <w:rPr>
                <w:rFonts w:eastAsiaTheme="minorEastAsia"/>
                <w:szCs w:val="21"/>
                <w:lang w:val="zh-CN"/>
              </w:rPr>
              <w:t>环境管理与监测</w:t>
            </w:r>
          </w:p>
        </w:tc>
        <w:tc>
          <w:tcPr>
            <w:tcW w:w="5954" w:type="dxa"/>
            <w:shd w:val="clear" w:color="auto" w:fill="auto"/>
            <w:vAlign w:val="center"/>
          </w:tcPr>
          <w:p w:rsidR="002A5A5E" w:rsidRPr="00F9522B" w:rsidRDefault="00611CBA">
            <w:pPr>
              <w:spacing w:line="0" w:lineRule="atLeast"/>
              <w:jc w:val="center"/>
              <w:rPr>
                <w:rFonts w:eastAsiaTheme="minorEastAsia"/>
                <w:szCs w:val="21"/>
                <w:lang w:val="zh-CN"/>
              </w:rPr>
            </w:pPr>
            <w:r w:rsidRPr="00F9522B">
              <w:rPr>
                <w:rFonts w:eastAsiaTheme="minorEastAsia"/>
                <w:szCs w:val="21"/>
              </w:rPr>
              <w:t>环境管理档案、施工期环境监测</w:t>
            </w:r>
          </w:p>
        </w:tc>
        <w:tc>
          <w:tcPr>
            <w:tcW w:w="1275" w:type="dxa"/>
            <w:shd w:val="clear" w:color="auto" w:fill="auto"/>
            <w:vAlign w:val="center"/>
          </w:tcPr>
          <w:p w:rsidR="002A5A5E" w:rsidRPr="00F9522B" w:rsidRDefault="00611CBA">
            <w:pPr>
              <w:spacing w:line="0" w:lineRule="atLeast"/>
              <w:jc w:val="center"/>
              <w:rPr>
                <w:rFonts w:eastAsiaTheme="minorEastAsia"/>
                <w:snapToGrid w:val="0"/>
                <w:kern w:val="0"/>
                <w:lang w:val="zh-CN"/>
              </w:rPr>
            </w:pPr>
            <w:r w:rsidRPr="00F9522B">
              <w:rPr>
                <w:rFonts w:eastAsiaTheme="minorEastAsia"/>
                <w:snapToGrid w:val="0"/>
                <w:kern w:val="0"/>
                <w:lang w:val="zh-CN"/>
              </w:rPr>
              <w:t>10.0</w:t>
            </w:r>
          </w:p>
        </w:tc>
      </w:tr>
      <w:tr w:rsidR="002A5A5E" w:rsidRPr="00F9522B">
        <w:trPr>
          <w:trHeight w:val="287"/>
        </w:trPr>
        <w:tc>
          <w:tcPr>
            <w:tcW w:w="394" w:type="dxa"/>
            <w:vMerge w:val="restart"/>
            <w:shd w:val="clear" w:color="auto" w:fill="auto"/>
            <w:vAlign w:val="center"/>
          </w:tcPr>
          <w:p w:rsidR="002A5A5E" w:rsidRPr="00F9522B" w:rsidRDefault="00611CBA">
            <w:pPr>
              <w:spacing w:line="0" w:lineRule="atLeast"/>
              <w:jc w:val="center"/>
              <w:rPr>
                <w:rFonts w:eastAsiaTheme="minorEastAsia"/>
                <w:snapToGrid w:val="0"/>
                <w:kern w:val="0"/>
                <w:lang w:val="zh-CN"/>
              </w:rPr>
            </w:pPr>
            <w:r w:rsidRPr="00F9522B">
              <w:rPr>
                <w:rFonts w:eastAsiaTheme="minorEastAsia"/>
                <w:snapToGrid w:val="0"/>
                <w:kern w:val="0"/>
                <w:lang w:val="zh-CN"/>
              </w:rPr>
              <w:t>运营期</w:t>
            </w:r>
          </w:p>
        </w:tc>
        <w:tc>
          <w:tcPr>
            <w:tcW w:w="990" w:type="dxa"/>
            <w:shd w:val="clear" w:color="auto" w:fill="auto"/>
            <w:vAlign w:val="center"/>
          </w:tcPr>
          <w:p w:rsidR="002A5A5E" w:rsidRPr="00F9522B" w:rsidRDefault="00611CBA">
            <w:pPr>
              <w:spacing w:line="0" w:lineRule="atLeast"/>
              <w:jc w:val="center"/>
              <w:rPr>
                <w:rFonts w:eastAsiaTheme="minorEastAsia"/>
                <w:snapToGrid w:val="0"/>
                <w:kern w:val="0"/>
                <w:lang w:val="zh-CN"/>
              </w:rPr>
            </w:pPr>
            <w:r w:rsidRPr="00F9522B">
              <w:rPr>
                <w:rFonts w:eastAsiaTheme="minorEastAsia"/>
                <w:snapToGrid w:val="0"/>
                <w:kern w:val="0"/>
                <w:lang w:val="zh-CN"/>
              </w:rPr>
              <w:t>废气</w:t>
            </w:r>
          </w:p>
        </w:tc>
        <w:tc>
          <w:tcPr>
            <w:tcW w:w="5954" w:type="dxa"/>
            <w:shd w:val="clear" w:color="auto" w:fill="auto"/>
            <w:vAlign w:val="center"/>
          </w:tcPr>
          <w:p w:rsidR="002A5A5E" w:rsidRPr="00F9522B" w:rsidRDefault="00611CBA">
            <w:pPr>
              <w:spacing w:line="0" w:lineRule="atLeast"/>
              <w:jc w:val="center"/>
              <w:rPr>
                <w:rFonts w:eastAsiaTheme="minorEastAsia"/>
                <w:snapToGrid w:val="0"/>
                <w:kern w:val="0"/>
                <w:lang w:val="zh-CN"/>
              </w:rPr>
            </w:pPr>
            <w:r w:rsidRPr="00F9522B">
              <w:rPr>
                <w:rFonts w:eastAsiaTheme="minorEastAsia"/>
                <w:szCs w:val="21"/>
              </w:rPr>
              <w:t>车辆减速慢行、采用轻质柴油</w:t>
            </w:r>
          </w:p>
        </w:tc>
        <w:tc>
          <w:tcPr>
            <w:tcW w:w="1275" w:type="dxa"/>
            <w:shd w:val="clear" w:color="auto" w:fill="auto"/>
            <w:vAlign w:val="center"/>
          </w:tcPr>
          <w:p w:rsidR="002A5A5E" w:rsidRPr="00F9522B" w:rsidRDefault="0061289D">
            <w:pPr>
              <w:spacing w:line="0" w:lineRule="atLeast"/>
              <w:jc w:val="center"/>
              <w:rPr>
                <w:rFonts w:eastAsiaTheme="minorEastAsia"/>
                <w:snapToGrid w:val="0"/>
                <w:kern w:val="0"/>
                <w:lang w:val="zh-CN"/>
              </w:rPr>
            </w:pPr>
            <w:r w:rsidRPr="00F9522B">
              <w:rPr>
                <w:rFonts w:eastAsiaTheme="minorEastAsia"/>
                <w:snapToGrid w:val="0"/>
                <w:kern w:val="0"/>
                <w:lang w:val="zh-CN"/>
              </w:rPr>
              <w:t>0.5</w:t>
            </w:r>
          </w:p>
        </w:tc>
      </w:tr>
      <w:tr w:rsidR="002A5A5E" w:rsidRPr="00F9522B">
        <w:tc>
          <w:tcPr>
            <w:tcW w:w="394" w:type="dxa"/>
            <w:vMerge/>
            <w:shd w:val="clear" w:color="auto" w:fill="auto"/>
            <w:vAlign w:val="center"/>
          </w:tcPr>
          <w:p w:rsidR="002A5A5E" w:rsidRPr="00F9522B" w:rsidRDefault="002A5A5E">
            <w:pPr>
              <w:spacing w:line="0" w:lineRule="atLeast"/>
              <w:jc w:val="center"/>
              <w:rPr>
                <w:rFonts w:eastAsiaTheme="minorEastAsia"/>
                <w:snapToGrid w:val="0"/>
                <w:kern w:val="0"/>
                <w:lang w:val="zh-CN"/>
              </w:rPr>
            </w:pPr>
          </w:p>
        </w:tc>
        <w:tc>
          <w:tcPr>
            <w:tcW w:w="990" w:type="dxa"/>
            <w:shd w:val="clear" w:color="auto" w:fill="auto"/>
            <w:vAlign w:val="center"/>
          </w:tcPr>
          <w:p w:rsidR="002A5A5E" w:rsidRPr="00F9522B" w:rsidRDefault="00611CBA">
            <w:pPr>
              <w:spacing w:line="0" w:lineRule="atLeast"/>
              <w:jc w:val="center"/>
              <w:rPr>
                <w:rFonts w:eastAsiaTheme="minorEastAsia"/>
                <w:snapToGrid w:val="0"/>
                <w:kern w:val="0"/>
                <w:lang w:val="zh-CN"/>
              </w:rPr>
            </w:pPr>
            <w:r w:rsidRPr="00F9522B">
              <w:rPr>
                <w:rFonts w:eastAsiaTheme="minorEastAsia"/>
                <w:snapToGrid w:val="0"/>
                <w:kern w:val="0"/>
                <w:lang w:val="zh-CN"/>
              </w:rPr>
              <w:t>噪声</w:t>
            </w:r>
          </w:p>
        </w:tc>
        <w:tc>
          <w:tcPr>
            <w:tcW w:w="5954" w:type="dxa"/>
            <w:shd w:val="clear" w:color="auto" w:fill="auto"/>
            <w:vAlign w:val="center"/>
          </w:tcPr>
          <w:p w:rsidR="002A5A5E" w:rsidRPr="00F9522B" w:rsidRDefault="00611CBA">
            <w:pPr>
              <w:spacing w:line="0" w:lineRule="atLeast"/>
              <w:jc w:val="center"/>
              <w:rPr>
                <w:rFonts w:eastAsiaTheme="minorEastAsia"/>
                <w:snapToGrid w:val="0"/>
                <w:kern w:val="0"/>
                <w:lang w:val="zh-CN"/>
              </w:rPr>
            </w:pPr>
            <w:r w:rsidRPr="00F9522B">
              <w:rPr>
                <w:rFonts w:eastAsiaTheme="minorEastAsia"/>
                <w:szCs w:val="21"/>
              </w:rPr>
              <w:t>水泵等设备采取基础减振等措施；井房；限速和禁鸣标识</w:t>
            </w:r>
          </w:p>
        </w:tc>
        <w:tc>
          <w:tcPr>
            <w:tcW w:w="1275" w:type="dxa"/>
            <w:shd w:val="clear" w:color="auto" w:fill="auto"/>
            <w:vAlign w:val="center"/>
          </w:tcPr>
          <w:p w:rsidR="002A5A5E" w:rsidRPr="00F9522B" w:rsidRDefault="00611CBA">
            <w:pPr>
              <w:spacing w:line="0" w:lineRule="atLeast"/>
              <w:jc w:val="center"/>
              <w:rPr>
                <w:rFonts w:eastAsiaTheme="minorEastAsia"/>
                <w:snapToGrid w:val="0"/>
                <w:kern w:val="0"/>
                <w:lang w:val="zh-CN"/>
              </w:rPr>
            </w:pPr>
            <w:r w:rsidRPr="00F9522B">
              <w:rPr>
                <w:rFonts w:eastAsiaTheme="minorEastAsia"/>
                <w:snapToGrid w:val="0"/>
                <w:kern w:val="0"/>
                <w:lang w:val="zh-CN"/>
              </w:rPr>
              <w:t>5.0</w:t>
            </w:r>
          </w:p>
        </w:tc>
      </w:tr>
      <w:tr w:rsidR="002A5A5E" w:rsidRPr="00F9522B">
        <w:trPr>
          <w:trHeight w:val="456"/>
        </w:trPr>
        <w:tc>
          <w:tcPr>
            <w:tcW w:w="394" w:type="dxa"/>
            <w:vMerge/>
            <w:shd w:val="clear" w:color="auto" w:fill="auto"/>
            <w:vAlign w:val="center"/>
          </w:tcPr>
          <w:p w:rsidR="002A5A5E" w:rsidRPr="00F9522B" w:rsidRDefault="002A5A5E">
            <w:pPr>
              <w:spacing w:line="0" w:lineRule="atLeast"/>
              <w:jc w:val="center"/>
              <w:rPr>
                <w:rFonts w:eastAsiaTheme="minorEastAsia"/>
                <w:snapToGrid w:val="0"/>
                <w:kern w:val="0"/>
                <w:lang w:val="zh-CN"/>
              </w:rPr>
            </w:pPr>
          </w:p>
        </w:tc>
        <w:tc>
          <w:tcPr>
            <w:tcW w:w="990" w:type="dxa"/>
            <w:shd w:val="clear" w:color="auto" w:fill="auto"/>
            <w:vAlign w:val="center"/>
          </w:tcPr>
          <w:p w:rsidR="002A5A5E" w:rsidRPr="00F9522B" w:rsidRDefault="00611CBA">
            <w:pPr>
              <w:adjustRightInd w:val="0"/>
              <w:snapToGrid w:val="0"/>
              <w:jc w:val="center"/>
              <w:rPr>
                <w:rFonts w:eastAsiaTheme="minorEastAsia"/>
                <w:szCs w:val="20"/>
              </w:rPr>
            </w:pPr>
            <w:r w:rsidRPr="00F9522B">
              <w:rPr>
                <w:rFonts w:eastAsiaTheme="minorEastAsia"/>
                <w:szCs w:val="20"/>
              </w:rPr>
              <w:t>风险</w:t>
            </w:r>
          </w:p>
        </w:tc>
        <w:tc>
          <w:tcPr>
            <w:tcW w:w="5954" w:type="dxa"/>
            <w:shd w:val="clear" w:color="auto" w:fill="auto"/>
            <w:vAlign w:val="center"/>
          </w:tcPr>
          <w:p w:rsidR="002A5A5E" w:rsidRPr="00F9522B" w:rsidRDefault="00611CBA">
            <w:pPr>
              <w:adjustRightInd w:val="0"/>
              <w:snapToGrid w:val="0"/>
              <w:jc w:val="center"/>
              <w:rPr>
                <w:rFonts w:eastAsiaTheme="minorEastAsia"/>
                <w:szCs w:val="21"/>
              </w:rPr>
            </w:pPr>
            <w:r w:rsidRPr="00F9522B">
              <w:rPr>
                <w:rFonts w:eastAsiaTheme="minorEastAsia"/>
              </w:rPr>
              <w:t>项目</w:t>
            </w:r>
            <w:r w:rsidRPr="00F9522B">
              <w:rPr>
                <w:rFonts w:eastAsiaTheme="minorEastAsia"/>
                <w:bCs/>
              </w:rPr>
              <w:t>柴油机移动泵车</w:t>
            </w:r>
            <w:r w:rsidRPr="00F9522B">
              <w:rPr>
                <w:rFonts w:eastAsiaTheme="minorEastAsia"/>
              </w:rPr>
              <w:t>油箱密闭，不使用于村内暂存，暂存处地面设置重点防渗（等效黏土防渗层</w:t>
            </w:r>
            <w:r w:rsidRPr="00F9522B">
              <w:rPr>
                <w:rFonts w:eastAsiaTheme="minorEastAsia"/>
              </w:rPr>
              <w:t>Mb≥6.0m</w:t>
            </w:r>
            <w:r w:rsidRPr="00F9522B">
              <w:rPr>
                <w:rFonts w:eastAsiaTheme="minorEastAsia"/>
              </w:rPr>
              <w:t>，渗透系数</w:t>
            </w:r>
            <w:r w:rsidRPr="00F9522B">
              <w:rPr>
                <w:rFonts w:eastAsiaTheme="minorEastAsia"/>
              </w:rPr>
              <w:t>K≤1.0×10</w:t>
            </w:r>
            <w:r w:rsidRPr="00F9522B">
              <w:rPr>
                <w:rFonts w:eastAsiaTheme="minorEastAsia"/>
                <w:vertAlign w:val="superscript"/>
              </w:rPr>
              <w:t>-7</w:t>
            </w:r>
            <w:r w:rsidRPr="00F9522B">
              <w:rPr>
                <w:rFonts w:eastAsiaTheme="minorEastAsia"/>
              </w:rPr>
              <w:t>cm/s</w:t>
            </w:r>
            <w:r w:rsidRPr="00F9522B">
              <w:rPr>
                <w:rFonts w:eastAsiaTheme="minorEastAsia"/>
              </w:rPr>
              <w:t>）；泄漏物交由资质单位处置进行运输和处置；制定应急预案并根据应急预案补充相应物资</w:t>
            </w:r>
          </w:p>
        </w:tc>
        <w:tc>
          <w:tcPr>
            <w:tcW w:w="1275" w:type="dxa"/>
            <w:shd w:val="clear" w:color="auto" w:fill="auto"/>
            <w:vAlign w:val="center"/>
          </w:tcPr>
          <w:p w:rsidR="002A5A5E" w:rsidRPr="00F9522B" w:rsidRDefault="00611CBA">
            <w:pPr>
              <w:spacing w:line="0" w:lineRule="atLeast"/>
              <w:jc w:val="center"/>
              <w:rPr>
                <w:rFonts w:eastAsiaTheme="minorEastAsia"/>
                <w:snapToGrid w:val="0"/>
                <w:kern w:val="0"/>
                <w:lang w:val="zh-CN"/>
              </w:rPr>
            </w:pPr>
            <w:r w:rsidRPr="00F9522B">
              <w:rPr>
                <w:rFonts w:eastAsiaTheme="minorEastAsia"/>
                <w:snapToGrid w:val="0"/>
                <w:kern w:val="0"/>
                <w:lang w:val="zh-CN"/>
              </w:rPr>
              <w:t>5.0</w:t>
            </w:r>
          </w:p>
        </w:tc>
      </w:tr>
      <w:tr w:rsidR="002A5A5E" w:rsidRPr="00F9522B">
        <w:tc>
          <w:tcPr>
            <w:tcW w:w="394" w:type="dxa"/>
            <w:vMerge/>
            <w:shd w:val="clear" w:color="auto" w:fill="auto"/>
            <w:vAlign w:val="center"/>
          </w:tcPr>
          <w:p w:rsidR="002A5A5E" w:rsidRPr="00F9522B" w:rsidRDefault="002A5A5E">
            <w:pPr>
              <w:spacing w:line="0" w:lineRule="atLeast"/>
              <w:jc w:val="center"/>
              <w:rPr>
                <w:rFonts w:eastAsiaTheme="minorEastAsia"/>
                <w:snapToGrid w:val="0"/>
                <w:kern w:val="0"/>
                <w:lang w:val="zh-CN"/>
              </w:rPr>
            </w:pPr>
          </w:p>
        </w:tc>
        <w:tc>
          <w:tcPr>
            <w:tcW w:w="990" w:type="dxa"/>
            <w:shd w:val="clear" w:color="auto" w:fill="auto"/>
            <w:vAlign w:val="center"/>
          </w:tcPr>
          <w:p w:rsidR="002A5A5E" w:rsidRPr="00F9522B" w:rsidRDefault="00611CBA">
            <w:pPr>
              <w:spacing w:line="0" w:lineRule="atLeast"/>
              <w:jc w:val="center"/>
              <w:rPr>
                <w:rFonts w:eastAsiaTheme="minorEastAsia"/>
                <w:snapToGrid w:val="0"/>
                <w:kern w:val="0"/>
                <w:lang w:val="zh-CN"/>
              </w:rPr>
            </w:pPr>
            <w:r w:rsidRPr="00F9522B">
              <w:rPr>
                <w:rFonts w:eastAsiaTheme="minorEastAsia"/>
                <w:szCs w:val="21"/>
              </w:rPr>
              <w:t>运行维护</w:t>
            </w:r>
          </w:p>
        </w:tc>
        <w:tc>
          <w:tcPr>
            <w:tcW w:w="5954" w:type="dxa"/>
            <w:shd w:val="clear" w:color="auto" w:fill="auto"/>
            <w:vAlign w:val="center"/>
          </w:tcPr>
          <w:p w:rsidR="002A5A5E" w:rsidRPr="00F9522B" w:rsidRDefault="00611CBA">
            <w:pPr>
              <w:spacing w:line="0" w:lineRule="atLeast"/>
              <w:jc w:val="center"/>
              <w:rPr>
                <w:rFonts w:eastAsiaTheme="minorEastAsia"/>
                <w:snapToGrid w:val="0"/>
                <w:kern w:val="0"/>
                <w:lang w:val="zh-CN"/>
              </w:rPr>
            </w:pPr>
            <w:r w:rsidRPr="00F9522B">
              <w:rPr>
                <w:rFonts w:eastAsiaTheme="minorEastAsia"/>
                <w:szCs w:val="21"/>
              </w:rPr>
              <w:t>设备设施定期运行维护</w:t>
            </w:r>
          </w:p>
        </w:tc>
        <w:tc>
          <w:tcPr>
            <w:tcW w:w="1275" w:type="dxa"/>
            <w:shd w:val="clear" w:color="auto" w:fill="auto"/>
            <w:vAlign w:val="center"/>
          </w:tcPr>
          <w:p w:rsidR="002A5A5E" w:rsidRPr="00F9522B" w:rsidRDefault="00611CBA">
            <w:pPr>
              <w:spacing w:line="0" w:lineRule="atLeast"/>
              <w:jc w:val="center"/>
              <w:rPr>
                <w:rFonts w:eastAsiaTheme="minorEastAsia"/>
                <w:snapToGrid w:val="0"/>
                <w:kern w:val="0"/>
                <w:lang w:val="zh-CN"/>
              </w:rPr>
            </w:pPr>
            <w:r w:rsidRPr="00F9522B">
              <w:rPr>
                <w:rFonts w:eastAsiaTheme="minorEastAsia"/>
                <w:snapToGrid w:val="0"/>
                <w:kern w:val="0"/>
                <w:lang w:val="zh-CN"/>
              </w:rPr>
              <w:t>2.0</w:t>
            </w:r>
          </w:p>
        </w:tc>
      </w:tr>
      <w:tr w:rsidR="002A5A5E" w:rsidRPr="00F9522B">
        <w:tc>
          <w:tcPr>
            <w:tcW w:w="394" w:type="dxa"/>
            <w:vMerge/>
            <w:shd w:val="clear" w:color="auto" w:fill="auto"/>
            <w:vAlign w:val="center"/>
          </w:tcPr>
          <w:p w:rsidR="002A5A5E" w:rsidRPr="00F9522B" w:rsidRDefault="002A5A5E">
            <w:pPr>
              <w:spacing w:line="0" w:lineRule="atLeast"/>
              <w:jc w:val="center"/>
              <w:rPr>
                <w:rFonts w:eastAsiaTheme="minorEastAsia"/>
                <w:snapToGrid w:val="0"/>
                <w:kern w:val="0"/>
                <w:lang w:val="zh-CN"/>
              </w:rPr>
            </w:pPr>
          </w:p>
        </w:tc>
        <w:tc>
          <w:tcPr>
            <w:tcW w:w="990" w:type="dxa"/>
            <w:shd w:val="clear" w:color="auto" w:fill="auto"/>
            <w:vAlign w:val="center"/>
          </w:tcPr>
          <w:p w:rsidR="002A5A5E" w:rsidRPr="00F9522B" w:rsidRDefault="00611CBA">
            <w:pPr>
              <w:tabs>
                <w:tab w:val="left" w:pos="10260"/>
              </w:tabs>
              <w:autoSpaceDE w:val="0"/>
              <w:autoSpaceDN w:val="0"/>
              <w:adjustRightInd w:val="0"/>
              <w:jc w:val="center"/>
              <w:rPr>
                <w:rFonts w:eastAsiaTheme="minorEastAsia"/>
                <w:szCs w:val="21"/>
              </w:rPr>
            </w:pPr>
            <w:r w:rsidRPr="00F9522B">
              <w:rPr>
                <w:rFonts w:eastAsiaTheme="minorEastAsia"/>
                <w:szCs w:val="21"/>
                <w:lang w:val="zh-CN"/>
              </w:rPr>
              <w:t>环境管理与监测</w:t>
            </w:r>
          </w:p>
        </w:tc>
        <w:tc>
          <w:tcPr>
            <w:tcW w:w="5954" w:type="dxa"/>
            <w:shd w:val="clear" w:color="auto" w:fill="auto"/>
            <w:vAlign w:val="center"/>
          </w:tcPr>
          <w:p w:rsidR="002A5A5E" w:rsidRPr="00F9522B" w:rsidRDefault="00611CBA">
            <w:pPr>
              <w:tabs>
                <w:tab w:val="left" w:pos="10260"/>
              </w:tabs>
              <w:autoSpaceDE w:val="0"/>
              <w:autoSpaceDN w:val="0"/>
              <w:adjustRightInd w:val="0"/>
              <w:jc w:val="center"/>
              <w:rPr>
                <w:rFonts w:eastAsiaTheme="minorEastAsia"/>
                <w:szCs w:val="21"/>
              </w:rPr>
            </w:pPr>
            <w:r w:rsidRPr="00F9522B">
              <w:rPr>
                <w:rFonts w:eastAsiaTheme="minorEastAsia"/>
                <w:szCs w:val="21"/>
              </w:rPr>
              <w:t>环境管理档案、运营期环境监测、竣工环境保护验收监测</w:t>
            </w:r>
          </w:p>
        </w:tc>
        <w:tc>
          <w:tcPr>
            <w:tcW w:w="1275" w:type="dxa"/>
            <w:shd w:val="clear" w:color="auto" w:fill="auto"/>
            <w:vAlign w:val="center"/>
          </w:tcPr>
          <w:p w:rsidR="002A5A5E" w:rsidRPr="00F9522B" w:rsidRDefault="00611CBA">
            <w:pPr>
              <w:spacing w:line="0" w:lineRule="atLeast"/>
              <w:jc w:val="center"/>
              <w:rPr>
                <w:rFonts w:eastAsiaTheme="minorEastAsia"/>
                <w:snapToGrid w:val="0"/>
                <w:kern w:val="0"/>
                <w:lang w:val="zh-CN"/>
              </w:rPr>
            </w:pPr>
            <w:r w:rsidRPr="00F9522B">
              <w:rPr>
                <w:rFonts w:eastAsiaTheme="minorEastAsia"/>
                <w:snapToGrid w:val="0"/>
                <w:kern w:val="0"/>
                <w:lang w:val="zh-CN"/>
              </w:rPr>
              <w:t>20.0</w:t>
            </w:r>
          </w:p>
        </w:tc>
      </w:tr>
      <w:tr w:rsidR="002A5A5E" w:rsidRPr="00F9522B">
        <w:tc>
          <w:tcPr>
            <w:tcW w:w="1384" w:type="dxa"/>
            <w:gridSpan w:val="2"/>
            <w:shd w:val="clear" w:color="auto" w:fill="auto"/>
            <w:vAlign w:val="center"/>
          </w:tcPr>
          <w:p w:rsidR="002A5A5E" w:rsidRPr="00F9522B" w:rsidRDefault="00611CBA">
            <w:pPr>
              <w:spacing w:line="0" w:lineRule="atLeast"/>
              <w:jc w:val="center"/>
              <w:rPr>
                <w:rFonts w:eastAsiaTheme="minorEastAsia"/>
                <w:snapToGrid w:val="0"/>
                <w:kern w:val="0"/>
                <w:lang w:val="zh-CN"/>
              </w:rPr>
            </w:pPr>
            <w:r w:rsidRPr="00F9522B">
              <w:rPr>
                <w:rFonts w:eastAsiaTheme="minorEastAsia"/>
                <w:snapToGrid w:val="0"/>
                <w:kern w:val="0"/>
                <w:lang w:val="zh-CN"/>
              </w:rPr>
              <w:t>合计</w:t>
            </w:r>
          </w:p>
        </w:tc>
        <w:tc>
          <w:tcPr>
            <w:tcW w:w="5954" w:type="dxa"/>
            <w:shd w:val="clear" w:color="auto" w:fill="auto"/>
            <w:vAlign w:val="center"/>
          </w:tcPr>
          <w:p w:rsidR="002A5A5E" w:rsidRPr="00F9522B" w:rsidRDefault="00611CBA">
            <w:pPr>
              <w:spacing w:line="0" w:lineRule="atLeast"/>
              <w:jc w:val="center"/>
              <w:rPr>
                <w:rFonts w:eastAsiaTheme="minorEastAsia"/>
                <w:snapToGrid w:val="0"/>
                <w:kern w:val="0"/>
                <w:lang w:val="zh-CN"/>
              </w:rPr>
            </w:pPr>
            <w:r w:rsidRPr="00F9522B">
              <w:rPr>
                <w:rFonts w:eastAsiaTheme="minorEastAsia"/>
                <w:snapToGrid w:val="0"/>
                <w:kern w:val="0"/>
                <w:lang w:val="zh-CN"/>
              </w:rPr>
              <w:t>/</w:t>
            </w:r>
          </w:p>
        </w:tc>
        <w:tc>
          <w:tcPr>
            <w:tcW w:w="1275" w:type="dxa"/>
            <w:shd w:val="clear" w:color="auto" w:fill="auto"/>
            <w:vAlign w:val="center"/>
          </w:tcPr>
          <w:p w:rsidR="002A5A5E" w:rsidRPr="00F9522B" w:rsidRDefault="00611CBA">
            <w:pPr>
              <w:spacing w:line="0" w:lineRule="atLeast"/>
              <w:jc w:val="center"/>
              <w:rPr>
                <w:rFonts w:eastAsiaTheme="minorEastAsia"/>
                <w:snapToGrid w:val="0"/>
                <w:kern w:val="0"/>
                <w:lang w:val="zh-CN"/>
              </w:rPr>
            </w:pPr>
            <w:r w:rsidRPr="00F9522B">
              <w:rPr>
                <w:rFonts w:eastAsiaTheme="minorEastAsia"/>
                <w:snapToGrid w:val="0"/>
                <w:kern w:val="0"/>
                <w:lang w:val="zh-CN"/>
              </w:rPr>
              <w:t>168.0</w:t>
            </w:r>
          </w:p>
        </w:tc>
      </w:tr>
      <w:bookmarkEnd w:id="148"/>
    </w:tbl>
    <w:p w:rsidR="002A5A5E" w:rsidRPr="00F9522B" w:rsidRDefault="002A5A5E">
      <w:pPr>
        <w:spacing w:line="360" w:lineRule="auto"/>
        <w:rPr>
          <w:rFonts w:eastAsiaTheme="minorEastAsia"/>
          <w:sz w:val="24"/>
        </w:rPr>
        <w:sectPr w:rsidR="002A5A5E" w:rsidRPr="00F9522B">
          <w:pgSz w:w="11906" w:h="16838"/>
          <w:pgMar w:top="1440" w:right="1800" w:bottom="1440" w:left="1800" w:header="851" w:footer="992" w:gutter="0"/>
          <w:cols w:space="425"/>
          <w:docGrid w:type="lines" w:linePitch="312"/>
        </w:sectPr>
      </w:pPr>
    </w:p>
    <w:p w:rsidR="002A5A5E" w:rsidRPr="00F9522B" w:rsidRDefault="00611CBA">
      <w:pPr>
        <w:widowControl/>
        <w:tabs>
          <w:tab w:val="left" w:leader="middleDot" w:pos="7371"/>
        </w:tabs>
        <w:spacing w:before="100" w:beforeAutospacing="1" w:after="100" w:afterAutospacing="1"/>
        <w:contextualSpacing/>
        <w:jc w:val="left"/>
        <w:outlineLvl w:val="0"/>
        <w:rPr>
          <w:rFonts w:eastAsiaTheme="minorEastAsia"/>
          <w:b/>
          <w:kern w:val="0"/>
          <w:sz w:val="32"/>
          <w:szCs w:val="32"/>
        </w:rPr>
      </w:pPr>
      <w:bookmarkStart w:id="149" w:name="_Toc477954582"/>
      <w:bookmarkStart w:id="150" w:name="_Toc208906248"/>
      <w:r w:rsidRPr="00F9522B">
        <w:rPr>
          <w:rFonts w:eastAsiaTheme="minorEastAsia"/>
          <w:b/>
          <w:kern w:val="0"/>
          <w:sz w:val="32"/>
          <w:szCs w:val="32"/>
        </w:rPr>
        <w:lastRenderedPageBreak/>
        <w:t>7</w:t>
      </w:r>
      <w:r w:rsidRPr="00F9522B">
        <w:rPr>
          <w:rFonts w:eastAsiaTheme="minorEastAsia"/>
          <w:b/>
          <w:kern w:val="0"/>
          <w:sz w:val="32"/>
          <w:szCs w:val="32"/>
        </w:rPr>
        <w:t>环境影响经济损益分析</w:t>
      </w:r>
      <w:bookmarkEnd w:id="149"/>
      <w:bookmarkEnd w:id="150"/>
    </w:p>
    <w:p w:rsidR="002A5A5E" w:rsidRPr="00F9522B" w:rsidRDefault="00611CBA">
      <w:pPr>
        <w:spacing w:before="100" w:beforeAutospacing="1" w:after="100" w:afterAutospacing="1"/>
        <w:contextualSpacing/>
        <w:jc w:val="left"/>
        <w:outlineLvl w:val="1"/>
        <w:rPr>
          <w:rFonts w:eastAsiaTheme="minorEastAsia"/>
          <w:b/>
          <w:bCs/>
          <w:kern w:val="44"/>
          <w:sz w:val="30"/>
          <w:szCs w:val="30"/>
        </w:rPr>
      </w:pPr>
      <w:bookmarkStart w:id="151" w:name="_Toc369009159"/>
      <w:bookmarkStart w:id="152" w:name="_Toc477954583"/>
      <w:bookmarkStart w:id="153" w:name="_Toc208906249"/>
      <w:r w:rsidRPr="00F9522B">
        <w:rPr>
          <w:rFonts w:eastAsiaTheme="minorEastAsia"/>
          <w:b/>
          <w:bCs/>
          <w:kern w:val="44"/>
          <w:sz w:val="30"/>
          <w:szCs w:val="30"/>
        </w:rPr>
        <w:t>7.1</w:t>
      </w:r>
      <w:bookmarkEnd w:id="151"/>
      <w:bookmarkEnd w:id="152"/>
      <w:r w:rsidRPr="00F9522B">
        <w:rPr>
          <w:rFonts w:eastAsiaTheme="minorEastAsia"/>
          <w:b/>
          <w:bCs/>
          <w:kern w:val="44"/>
          <w:sz w:val="30"/>
          <w:szCs w:val="30"/>
        </w:rPr>
        <w:t>社会经济效益分析</w:t>
      </w:r>
      <w:bookmarkEnd w:id="153"/>
    </w:p>
    <w:p w:rsidR="002A5A5E" w:rsidRPr="00F9522B" w:rsidRDefault="00611CBA">
      <w:pPr>
        <w:spacing w:line="360" w:lineRule="auto"/>
        <w:ind w:firstLineChars="196" w:firstLine="470"/>
        <w:rPr>
          <w:rFonts w:eastAsiaTheme="minorEastAsia"/>
          <w:sz w:val="24"/>
        </w:rPr>
      </w:pPr>
      <w:r w:rsidRPr="00F9522B">
        <w:rPr>
          <w:rFonts w:eastAsiaTheme="minorEastAsia"/>
          <w:sz w:val="24"/>
        </w:rPr>
        <w:t>项目区建设高标准农田面积</w:t>
      </w:r>
      <w:r w:rsidRPr="00F9522B">
        <w:rPr>
          <w:rFonts w:eastAsiaTheme="minorEastAsia"/>
          <w:sz w:val="24"/>
        </w:rPr>
        <w:t>3</w:t>
      </w:r>
      <w:r w:rsidR="00326F8B" w:rsidRPr="00F9522B">
        <w:rPr>
          <w:rFonts w:eastAsiaTheme="minorEastAsia"/>
          <w:sz w:val="24"/>
        </w:rPr>
        <w:t>2</w:t>
      </w:r>
      <w:r w:rsidRPr="00F9522B">
        <w:rPr>
          <w:rFonts w:eastAsiaTheme="minorEastAsia"/>
          <w:sz w:val="24"/>
        </w:rPr>
        <w:t>万亩，其中：玉米</w:t>
      </w:r>
      <w:r w:rsidR="00326F8B" w:rsidRPr="00F9522B">
        <w:rPr>
          <w:rFonts w:eastAsiaTheme="minorEastAsia"/>
          <w:sz w:val="24"/>
        </w:rPr>
        <w:t>31.53</w:t>
      </w:r>
      <w:r w:rsidRPr="00F9522B">
        <w:rPr>
          <w:rFonts w:eastAsiaTheme="minorEastAsia"/>
          <w:sz w:val="24"/>
        </w:rPr>
        <w:t>万亩，水稻</w:t>
      </w:r>
      <w:r w:rsidR="00326F8B" w:rsidRPr="00F9522B">
        <w:rPr>
          <w:rFonts w:eastAsiaTheme="minorEastAsia"/>
          <w:sz w:val="24"/>
        </w:rPr>
        <w:t>0.47</w:t>
      </w:r>
      <w:r w:rsidRPr="00F9522B">
        <w:rPr>
          <w:rFonts w:eastAsiaTheme="minorEastAsia"/>
          <w:sz w:val="24"/>
        </w:rPr>
        <w:t>万亩。目前，玉米亩产</w:t>
      </w:r>
      <w:r w:rsidR="00326F8B" w:rsidRPr="00F9522B">
        <w:rPr>
          <w:rFonts w:eastAsiaTheme="minorEastAsia"/>
          <w:sz w:val="24"/>
        </w:rPr>
        <w:t>7</w:t>
      </w:r>
      <w:r w:rsidRPr="00F9522B">
        <w:rPr>
          <w:rFonts w:eastAsiaTheme="minorEastAsia"/>
          <w:sz w:val="24"/>
        </w:rPr>
        <w:t>00kg</w:t>
      </w:r>
      <w:r w:rsidRPr="00F9522B">
        <w:rPr>
          <w:rFonts w:eastAsiaTheme="minorEastAsia"/>
          <w:sz w:val="24"/>
        </w:rPr>
        <w:t>，水稻亩产</w:t>
      </w:r>
      <w:r w:rsidRPr="00F9522B">
        <w:rPr>
          <w:rFonts w:eastAsiaTheme="minorEastAsia"/>
          <w:sz w:val="24"/>
        </w:rPr>
        <w:t>500kg</w:t>
      </w:r>
      <w:r w:rsidRPr="00F9522B">
        <w:rPr>
          <w:rFonts w:eastAsiaTheme="minorEastAsia"/>
          <w:sz w:val="24"/>
        </w:rPr>
        <w:t>，项目建成达产后，玉米亩产</w:t>
      </w:r>
      <w:r w:rsidR="00326F8B" w:rsidRPr="00F9522B">
        <w:rPr>
          <w:rFonts w:eastAsiaTheme="minorEastAsia"/>
          <w:sz w:val="24"/>
        </w:rPr>
        <w:t>7</w:t>
      </w:r>
      <w:r w:rsidRPr="00F9522B">
        <w:rPr>
          <w:rFonts w:eastAsiaTheme="minorEastAsia"/>
          <w:sz w:val="24"/>
        </w:rPr>
        <w:t>60kg</w:t>
      </w:r>
      <w:r w:rsidRPr="00F9522B">
        <w:rPr>
          <w:rFonts w:eastAsiaTheme="minorEastAsia"/>
          <w:sz w:val="24"/>
        </w:rPr>
        <w:t>，水稻亩产</w:t>
      </w:r>
      <w:r w:rsidRPr="00F9522B">
        <w:rPr>
          <w:rFonts w:eastAsiaTheme="minorEastAsia"/>
          <w:sz w:val="24"/>
        </w:rPr>
        <w:t>550kg</w:t>
      </w:r>
      <w:r w:rsidRPr="00F9522B">
        <w:rPr>
          <w:rFonts w:eastAsiaTheme="minorEastAsia"/>
          <w:sz w:val="24"/>
        </w:rPr>
        <w:t>。玉米亩增产</w:t>
      </w:r>
      <w:r w:rsidRPr="00F9522B">
        <w:rPr>
          <w:rFonts w:eastAsiaTheme="minorEastAsia"/>
          <w:sz w:val="24"/>
        </w:rPr>
        <w:t>60kg</w:t>
      </w:r>
      <w:r w:rsidRPr="00F9522B">
        <w:rPr>
          <w:rFonts w:eastAsiaTheme="minorEastAsia"/>
          <w:sz w:val="24"/>
        </w:rPr>
        <w:t>，水稻亩增产</w:t>
      </w:r>
      <w:r w:rsidRPr="00F9522B">
        <w:rPr>
          <w:rFonts w:eastAsiaTheme="minorEastAsia"/>
          <w:sz w:val="24"/>
        </w:rPr>
        <w:t>50kg</w:t>
      </w:r>
      <w:r w:rsidRPr="00F9522B">
        <w:rPr>
          <w:rFonts w:eastAsiaTheme="minorEastAsia"/>
          <w:sz w:val="24"/>
        </w:rPr>
        <w:t>，粮食年增加产量</w:t>
      </w:r>
      <w:r w:rsidRPr="00F9522B">
        <w:rPr>
          <w:rFonts w:eastAsiaTheme="minorEastAsia"/>
          <w:sz w:val="24"/>
        </w:rPr>
        <w:t>1</w:t>
      </w:r>
      <w:r w:rsidR="00326F8B" w:rsidRPr="00F9522B">
        <w:rPr>
          <w:rFonts w:eastAsiaTheme="minorEastAsia"/>
          <w:sz w:val="24"/>
        </w:rPr>
        <w:t>915.3</w:t>
      </w:r>
      <w:r w:rsidRPr="00F9522B">
        <w:rPr>
          <w:rFonts w:eastAsiaTheme="minorEastAsia"/>
          <w:sz w:val="24"/>
        </w:rPr>
        <w:t>万</w:t>
      </w:r>
      <w:r w:rsidRPr="00F9522B">
        <w:rPr>
          <w:rFonts w:eastAsiaTheme="minorEastAsia"/>
          <w:sz w:val="24"/>
        </w:rPr>
        <w:t>kg</w:t>
      </w:r>
      <w:r w:rsidRPr="00F9522B">
        <w:rPr>
          <w:rFonts w:eastAsiaTheme="minorEastAsia"/>
          <w:sz w:val="24"/>
        </w:rPr>
        <w:t>，年新增主营业收入</w:t>
      </w:r>
      <w:r w:rsidR="00326F8B" w:rsidRPr="00F9522B">
        <w:rPr>
          <w:rFonts w:eastAsiaTheme="minorEastAsia"/>
          <w:sz w:val="24"/>
        </w:rPr>
        <w:t>3877.6</w:t>
      </w:r>
      <w:r w:rsidRPr="00F9522B">
        <w:rPr>
          <w:rFonts w:eastAsiaTheme="minorEastAsia"/>
          <w:sz w:val="24"/>
        </w:rPr>
        <w:t>万元，年增利润总额为</w:t>
      </w:r>
      <w:r w:rsidR="00326F8B" w:rsidRPr="00F9522B">
        <w:rPr>
          <w:rFonts w:eastAsiaTheme="minorEastAsia"/>
          <w:sz w:val="24"/>
        </w:rPr>
        <w:t>8362.3</w:t>
      </w:r>
      <w:r w:rsidRPr="00F9522B">
        <w:rPr>
          <w:rFonts w:eastAsiaTheme="minorEastAsia"/>
          <w:sz w:val="24"/>
        </w:rPr>
        <w:t>万元。</w:t>
      </w:r>
    </w:p>
    <w:p w:rsidR="002A5A5E" w:rsidRPr="00F9522B" w:rsidRDefault="00611CBA">
      <w:pPr>
        <w:spacing w:line="360" w:lineRule="auto"/>
        <w:ind w:firstLineChars="196" w:firstLine="470"/>
        <w:rPr>
          <w:rFonts w:eastAsiaTheme="minorEastAsia"/>
          <w:sz w:val="24"/>
        </w:rPr>
      </w:pPr>
      <w:r w:rsidRPr="00F9522B">
        <w:rPr>
          <w:rFonts w:eastAsiaTheme="minorEastAsia"/>
          <w:sz w:val="24"/>
        </w:rPr>
        <w:t>农田道路等的建设，主要完善了当地的农业交通条件，为当地农业机械化作业提供了便利的条件，提高了农业生产效率。便利的交通运输条件能够减少人力的投入，减少运输损耗，实现间接促进增产的目的。</w:t>
      </w:r>
    </w:p>
    <w:p w:rsidR="002A5A5E" w:rsidRPr="00F9522B" w:rsidRDefault="00611CBA">
      <w:pPr>
        <w:spacing w:line="360" w:lineRule="auto"/>
        <w:ind w:firstLineChars="200" w:firstLine="480"/>
        <w:contextualSpacing/>
        <w:rPr>
          <w:rFonts w:eastAsiaTheme="minorEastAsia"/>
          <w:sz w:val="24"/>
        </w:rPr>
      </w:pPr>
      <w:r w:rsidRPr="00F9522B">
        <w:rPr>
          <w:rFonts w:eastAsiaTheme="minorEastAsia"/>
          <w:sz w:val="24"/>
        </w:rPr>
        <w:t>项目建成后，可充分合理地利用当地资源，实现资源的科学配置，全面启动市场农业，不仅促进农民增收，而且可有力的促进哈尔滨市农业的可持续发展，具有一定的社会正效益。</w:t>
      </w:r>
    </w:p>
    <w:p w:rsidR="002A5A5E" w:rsidRPr="00F9522B" w:rsidRDefault="00611CBA">
      <w:pPr>
        <w:spacing w:before="100" w:beforeAutospacing="1" w:after="100" w:afterAutospacing="1"/>
        <w:contextualSpacing/>
        <w:jc w:val="left"/>
        <w:outlineLvl w:val="1"/>
        <w:rPr>
          <w:rFonts w:eastAsiaTheme="minorEastAsia"/>
          <w:b/>
          <w:bCs/>
          <w:kern w:val="44"/>
          <w:sz w:val="30"/>
          <w:szCs w:val="30"/>
        </w:rPr>
      </w:pPr>
      <w:bookmarkStart w:id="154" w:name="_Toc528847181"/>
      <w:bookmarkStart w:id="155" w:name="_Toc208906250"/>
      <w:bookmarkStart w:id="156" w:name="_Toc15991709"/>
      <w:r w:rsidRPr="00F9522B">
        <w:rPr>
          <w:rFonts w:eastAsiaTheme="minorEastAsia"/>
          <w:b/>
          <w:bCs/>
          <w:kern w:val="44"/>
          <w:sz w:val="30"/>
          <w:szCs w:val="30"/>
        </w:rPr>
        <w:t>7.2</w:t>
      </w:r>
      <w:r w:rsidRPr="00F9522B">
        <w:rPr>
          <w:rFonts w:eastAsiaTheme="minorEastAsia"/>
          <w:b/>
          <w:bCs/>
          <w:kern w:val="44"/>
          <w:sz w:val="30"/>
          <w:szCs w:val="30"/>
        </w:rPr>
        <w:t>环境效益分析</w:t>
      </w:r>
      <w:bookmarkEnd w:id="154"/>
      <w:bookmarkEnd w:id="155"/>
      <w:bookmarkEnd w:id="156"/>
    </w:p>
    <w:p w:rsidR="002A5A5E" w:rsidRPr="00F9522B" w:rsidRDefault="00611CBA">
      <w:pPr>
        <w:widowControl/>
        <w:spacing w:line="360" w:lineRule="auto"/>
        <w:ind w:firstLineChars="200" w:firstLine="480"/>
        <w:jc w:val="left"/>
        <w:rPr>
          <w:rFonts w:eastAsiaTheme="minorEastAsia"/>
          <w:kern w:val="0"/>
          <w:sz w:val="24"/>
        </w:rPr>
      </w:pPr>
      <w:r w:rsidRPr="00F9522B">
        <w:rPr>
          <w:rFonts w:eastAsiaTheme="minorEastAsia"/>
          <w:kern w:val="0"/>
          <w:sz w:val="24"/>
        </w:rPr>
        <w:t>本项目为</w:t>
      </w:r>
      <w:r w:rsidRPr="00F9522B">
        <w:rPr>
          <w:rFonts w:eastAsiaTheme="minorEastAsia"/>
          <w:sz w:val="24"/>
        </w:rPr>
        <w:t>高标准农田建设</w:t>
      </w:r>
      <w:r w:rsidRPr="00F9522B">
        <w:rPr>
          <w:rFonts w:eastAsiaTheme="minorEastAsia"/>
          <w:kern w:val="0"/>
          <w:sz w:val="24"/>
        </w:rPr>
        <w:t>项目，改善了各项目区整体生态环境，土地提高了保水保肥的能力，对调节区域气候、保护环境都有积极的影响；完善了建设区域的涵洞、道路等农田配套建设，提高了农业综合生产能力，减少道路扬尘产生。通过田间基础建设，使基本农田得到很好的保护，水、能、气、热更加协调。</w:t>
      </w:r>
    </w:p>
    <w:p w:rsidR="002A5A5E" w:rsidRPr="00F9522B" w:rsidRDefault="00611CBA">
      <w:pPr>
        <w:keepNext/>
        <w:keepLines/>
        <w:spacing w:before="100" w:beforeAutospacing="1" w:after="100" w:afterAutospacing="1"/>
        <w:outlineLvl w:val="2"/>
        <w:rPr>
          <w:rFonts w:eastAsiaTheme="minorEastAsia"/>
          <w:b/>
          <w:sz w:val="28"/>
          <w:szCs w:val="28"/>
        </w:rPr>
      </w:pPr>
      <w:bookmarkStart w:id="157" w:name="_Toc15991712"/>
      <w:bookmarkStart w:id="158" w:name="_Toc528847184"/>
      <w:r w:rsidRPr="00F9522B">
        <w:rPr>
          <w:rFonts w:eastAsiaTheme="minorEastAsia"/>
          <w:b/>
          <w:sz w:val="28"/>
          <w:szCs w:val="28"/>
        </w:rPr>
        <w:t>7.2.1</w:t>
      </w:r>
      <w:r w:rsidRPr="00F9522B">
        <w:rPr>
          <w:rFonts w:eastAsiaTheme="minorEastAsia"/>
          <w:b/>
          <w:sz w:val="28"/>
          <w:szCs w:val="28"/>
        </w:rPr>
        <w:t>环境损失分析</w:t>
      </w:r>
      <w:bookmarkEnd w:id="157"/>
      <w:bookmarkEnd w:id="158"/>
    </w:p>
    <w:p w:rsidR="002A5A5E" w:rsidRPr="00F9522B" w:rsidRDefault="00611CBA">
      <w:pPr>
        <w:widowControl/>
        <w:spacing w:line="360" w:lineRule="auto"/>
        <w:ind w:firstLineChars="200" w:firstLine="480"/>
        <w:jc w:val="left"/>
        <w:rPr>
          <w:rFonts w:eastAsiaTheme="minorEastAsia"/>
          <w:kern w:val="0"/>
          <w:sz w:val="24"/>
        </w:rPr>
      </w:pPr>
      <w:r w:rsidRPr="00F9522B">
        <w:rPr>
          <w:rFonts w:eastAsiaTheme="minorEastAsia"/>
          <w:kern w:val="0"/>
          <w:sz w:val="24"/>
        </w:rPr>
        <w:t>根据环境经济学理论，如果建设项目引起环境质量下降，则恢复环境质量或生产性资产所花费的费用可作为环境效益损失的最低估价。工程以减免工程对环境不利影响或恢复、补偿环境效益所采取的保护和补偿措施费用作为反映工程影响损失大小的尺度，计算损失值。</w:t>
      </w:r>
    </w:p>
    <w:p w:rsidR="002A5A5E" w:rsidRPr="00F9522B" w:rsidRDefault="00611CBA">
      <w:pPr>
        <w:widowControl/>
        <w:spacing w:line="360" w:lineRule="auto"/>
        <w:ind w:firstLineChars="200" w:firstLine="480"/>
        <w:jc w:val="left"/>
        <w:rPr>
          <w:rFonts w:eastAsiaTheme="minorEastAsia"/>
          <w:kern w:val="0"/>
          <w:sz w:val="24"/>
        </w:rPr>
      </w:pPr>
      <w:r w:rsidRPr="00F9522B">
        <w:rPr>
          <w:rFonts w:eastAsiaTheme="minorEastAsia"/>
          <w:kern w:val="0"/>
          <w:sz w:val="24"/>
        </w:rPr>
        <w:t>根据本项目环境特点，为减免、恢复或补偿不利环境影响所采取的环境保护措施主要包括以下内容：大气污染控制措施、固体废弃物处理措施、噪声</w:t>
      </w:r>
    </w:p>
    <w:p w:rsidR="002A5A5E" w:rsidRPr="00F9522B" w:rsidRDefault="00611CBA">
      <w:pPr>
        <w:widowControl/>
        <w:spacing w:line="360" w:lineRule="auto"/>
        <w:jc w:val="left"/>
        <w:rPr>
          <w:rFonts w:eastAsiaTheme="minorEastAsia"/>
          <w:kern w:val="0"/>
          <w:sz w:val="24"/>
        </w:rPr>
      </w:pPr>
      <w:r w:rsidRPr="00F9522B">
        <w:rPr>
          <w:rFonts w:eastAsiaTheme="minorEastAsia"/>
          <w:kern w:val="0"/>
          <w:sz w:val="24"/>
        </w:rPr>
        <w:t>及生态环保及恢复措施等。工程环境保护措施总费用</w:t>
      </w:r>
      <w:r w:rsidRPr="00F9522B">
        <w:rPr>
          <w:rFonts w:eastAsiaTheme="minorEastAsia"/>
          <w:kern w:val="0"/>
          <w:sz w:val="24"/>
        </w:rPr>
        <w:t>168.0</w:t>
      </w:r>
      <w:r w:rsidRPr="00F9522B">
        <w:rPr>
          <w:rFonts w:eastAsiaTheme="minorEastAsia"/>
          <w:kern w:val="0"/>
          <w:sz w:val="24"/>
        </w:rPr>
        <w:t>万元。</w:t>
      </w:r>
    </w:p>
    <w:p w:rsidR="002A5A5E" w:rsidRPr="00F9522B" w:rsidRDefault="00611CBA">
      <w:pPr>
        <w:keepNext/>
        <w:keepLines/>
        <w:spacing w:before="100" w:beforeAutospacing="1" w:after="100" w:afterAutospacing="1"/>
        <w:outlineLvl w:val="2"/>
        <w:rPr>
          <w:rFonts w:eastAsiaTheme="minorEastAsia"/>
          <w:b/>
          <w:sz w:val="28"/>
          <w:szCs w:val="28"/>
        </w:rPr>
      </w:pPr>
      <w:bookmarkStart w:id="159" w:name="_Toc528847185"/>
      <w:bookmarkStart w:id="160" w:name="_Toc15991713"/>
      <w:r w:rsidRPr="00F9522B">
        <w:rPr>
          <w:rFonts w:eastAsiaTheme="minorEastAsia"/>
          <w:b/>
          <w:sz w:val="28"/>
          <w:szCs w:val="28"/>
        </w:rPr>
        <w:lastRenderedPageBreak/>
        <w:t>7.2.</w:t>
      </w:r>
      <w:bookmarkEnd w:id="159"/>
      <w:bookmarkEnd w:id="160"/>
      <w:r w:rsidRPr="00F9522B">
        <w:rPr>
          <w:rFonts w:eastAsiaTheme="minorEastAsia"/>
          <w:b/>
          <w:sz w:val="28"/>
          <w:szCs w:val="28"/>
        </w:rPr>
        <w:t>2</w:t>
      </w:r>
      <w:r w:rsidRPr="00F9522B">
        <w:rPr>
          <w:rFonts w:eastAsiaTheme="minorEastAsia"/>
          <w:b/>
          <w:sz w:val="28"/>
          <w:szCs w:val="28"/>
        </w:rPr>
        <w:t>环境经济损益分析结论</w:t>
      </w:r>
    </w:p>
    <w:p w:rsidR="002A5A5E" w:rsidRPr="00F9522B" w:rsidRDefault="00611CBA">
      <w:pPr>
        <w:spacing w:line="360" w:lineRule="auto"/>
        <w:ind w:firstLineChars="200" w:firstLine="480"/>
        <w:contextualSpacing/>
        <w:rPr>
          <w:rFonts w:eastAsiaTheme="minorEastAsia"/>
          <w:sz w:val="24"/>
        </w:rPr>
      </w:pPr>
      <w:r w:rsidRPr="00F9522B">
        <w:rPr>
          <w:rFonts w:eastAsiaTheme="minorEastAsia"/>
          <w:kern w:val="0"/>
          <w:sz w:val="24"/>
        </w:rPr>
        <w:t>本项目服务期每年总利润为</w:t>
      </w:r>
      <w:r w:rsidR="00326F8B" w:rsidRPr="00F9522B">
        <w:rPr>
          <w:rFonts w:eastAsiaTheme="minorEastAsia"/>
          <w:bCs/>
          <w:kern w:val="0"/>
          <w:sz w:val="24"/>
        </w:rPr>
        <w:t>8362.3</w:t>
      </w:r>
      <w:r w:rsidRPr="00F9522B">
        <w:rPr>
          <w:rFonts w:eastAsiaTheme="minorEastAsia"/>
          <w:kern w:val="0"/>
          <w:sz w:val="24"/>
        </w:rPr>
        <w:t>万元，工程为减免不利环境影响所采取的环保措施费用共计约</w:t>
      </w:r>
      <w:r w:rsidRPr="00F9522B">
        <w:rPr>
          <w:rFonts w:eastAsiaTheme="minorEastAsia"/>
          <w:bCs/>
          <w:kern w:val="0"/>
          <w:sz w:val="24"/>
        </w:rPr>
        <w:t>168</w:t>
      </w:r>
      <w:r w:rsidRPr="00F9522B">
        <w:rPr>
          <w:rFonts w:eastAsiaTheme="minorEastAsia"/>
          <w:kern w:val="0"/>
          <w:sz w:val="24"/>
        </w:rPr>
        <w:t>万元，产生的效益大于环保投资。因此，总体来看，本工程产生的经济环境效益大于环境损失工程具有正效益</w:t>
      </w:r>
      <w:r w:rsidRPr="00F9522B">
        <w:rPr>
          <w:rFonts w:eastAsiaTheme="minorEastAsia"/>
          <w:sz w:val="24"/>
        </w:rPr>
        <w:t>。</w:t>
      </w:r>
    </w:p>
    <w:p w:rsidR="002A5A5E" w:rsidRPr="00F9522B" w:rsidRDefault="00611CBA">
      <w:pPr>
        <w:spacing w:line="360" w:lineRule="auto"/>
        <w:ind w:firstLineChars="200" w:firstLine="480"/>
        <w:contextualSpacing/>
        <w:rPr>
          <w:rFonts w:eastAsiaTheme="minorEastAsia"/>
          <w:sz w:val="24"/>
        </w:rPr>
        <w:sectPr w:rsidR="002A5A5E" w:rsidRPr="00F9522B">
          <w:pgSz w:w="11906" w:h="16838"/>
          <w:pgMar w:top="1440" w:right="1797" w:bottom="1440" w:left="1797" w:header="851" w:footer="992" w:gutter="0"/>
          <w:cols w:space="425"/>
          <w:docGrid w:type="linesAndChars" w:linePitch="326"/>
        </w:sectPr>
      </w:pPr>
      <w:r w:rsidRPr="00F9522B">
        <w:rPr>
          <w:rFonts w:eastAsiaTheme="minorEastAsia"/>
          <w:sz w:val="24"/>
        </w:rPr>
        <w:t>综上所述，由环境影响导致的经济损失较拟建项目带来的环境效益和经济效益要小得多，工程的建设将产生广泛的经济效益，</w:t>
      </w:r>
      <w:r w:rsidRPr="00F9522B">
        <w:rPr>
          <w:rFonts w:eastAsiaTheme="minorEastAsia"/>
          <w:kern w:val="0"/>
          <w:sz w:val="24"/>
        </w:rPr>
        <w:t>提高粮食产量，</w:t>
      </w:r>
      <w:r w:rsidRPr="00F9522B">
        <w:rPr>
          <w:rFonts w:eastAsiaTheme="minorEastAsia"/>
          <w:sz w:val="24"/>
        </w:rPr>
        <w:t>拉动地区经济增长和社会发展，同时在环境保护方面也是可以接受的。</w:t>
      </w:r>
    </w:p>
    <w:p w:rsidR="002A5A5E" w:rsidRPr="00F9522B" w:rsidRDefault="00611CBA">
      <w:pPr>
        <w:widowControl/>
        <w:tabs>
          <w:tab w:val="left" w:leader="middleDot" w:pos="7371"/>
        </w:tabs>
        <w:spacing w:before="100" w:beforeAutospacing="1" w:after="100" w:afterAutospacing="1"/>
        <w:contextualSpacing/>
        <w:jc w:val="left"/>
        <w:outlineLvl w:val="0"/>
        <w:rPr>
          <w:rFonts w:eastAsiaTheme="minorEastAsia"/>
          <w:b/>
          <w:kern w:val="0"/>
          <w:sz w:val="32"/>
          <w:szCs w:val="32"/>
        </w:rPr>
      </w:pPr>
      <w:bookmarkStart w:id="161" w:name="_Toc477954588"/>
      <w:bookmarkStart w:id="162" w:name="_Toc208906251"/>
      <w:r w:rsidRPr="00F9522B">
        <w:rPr>
          <w:rFonts w:eastAsiaTheme="minorEastAsia"/>
          <w:b/>
          <w:kern w:val="0"/>
          <w:sz w:val="32"/>
          <w:szCs w:val="32"/>
        </w:rPr>
        <w:lastRenderedPageBreak/>
        <w:t>8</w:t>
      </w:r>
      <w:r w:rsidRPr="00F9522B">
        <w:rPr>
          <w:rFonts w:eastAsiaTheme="minorEastAsia"/>
          <w:b/>
          <w:kern w:val="0"/>
          <w:sz w:val="32"/>
          <w:szCs w:val="32"/>
        </w:rPr>
        <w:t>环境管理与监测计划</w:t>
      </w:r>
      <w:bookmarkEnd w:id="161"/>
      <w:bookmarkEnd w:id="162"/>
    </w:p>
    <w:p w:rsidR="002A5A5E" w:rsidRPr="00F9522B" w:rsidRDefault="00611CBA">
      <w:pPr>
        <w:spacing w:before="100" w:beforeAutospacing="1" w:after="100" w:afterAutospacing="1"/>
        <w:contextualSpacing/>
        <w:jc w:val="left"/>
        <w:outlineLvl w:val="1"/>
        <w:rPr>
          <w:rFonts w:eastAsiaTheme="minorEastAsia"/>
          <w:b/>
          <w:bCs/>
          <w:kern w:val="44"/>
          <w:sz w:val="30"/>
          <w:szCs w:val="30"/>
        </w:rPr>
      </w:pPr>
      <w:bookmarkStart w:id="163" w:name="_Toc208906252"/>
      <w:bookmarkStart w:id="164" w:name="_Toc477954589"/>
      <w:r w:rsidRPr="00F9522B">
        <w:rPr>
          <w:rFonts w:eastAsiaTheme="minorEastAsia"/>
          <w:b/>
          <w:bCs/>
          <w:kern w:val="44"/>
          <w:sz w:val="30"/>
          <w:szCs w:val="30"/>
        </w:rPr>
        <w:t>8.1</w:t>
      </w:r>
      <w:r w:rsidRPr="00F9522B">
        <w:rPr>
          <w:rFonts w:eastAsiaTheme="minorEastAsia"/>
          <w:b/>
          <w:bCs/>
          <w:kern w:val="44"/>
          <w:sz w:val="30"/>
          <w:szCs w:val="30"/>
        </w:rPr>
        <w:t>环境管理</w:t>
      </w:r>
      <w:bookmarkEnd w:id="163"/>
      <w:bookmarkEnd w:id="164"/>
    </w:p>
    <w:p w:rsidR="002A5A5E" w:rsidRPr="00F9522B" w:rsidRDefault="00611CBA">
      <w:pPr>
        <w:spacing w:line="360" w:lineRule="auto"/>
        <w:ind w:firstLineChars="200" w:firstLine="480"/>
        <w:contextualSpacing/>
        <w:rPr>
          <w:rFonts w:eastAsiaTheme="minorEastAsia"/>
          <w:sz w:val="24"/>
        </w:rPr>
      </w:pPr>
      <w:r w:rsidRPr="00F9522B">
        <w:rPr>
          <w:rFonts w:eastAsiaTheme="minorEastAsia"/>
          <w:sz w:val="24"/>
        </w:rPr>
        <w:t>环境管理是以环境科学理论为基础，运用经济、法律、技术、行政、教育等手段对经济、社会发展过程中施加给环境的污染和破坏影响进行调节控制，实现经济、社会和环境效益的和谐统一。</w:t>
      </w:r>
    </w:p>
    <w:p w:rsidR="002A5A5E" w:rsidRPr="00F9522B" w:rsidRDefault="00611CBA">
      <w:pPr>
        <w:spacing w:line="360" w:lineRule="auto"/>
        <w:ind w:firstLineChars="200" w:firstLine="480"/>
        <w:contextualSpacing/>
        <w:rPr>
          <w:rFonts w:eastAsiaTheme="minorEastAsia"/>
          <w:sz w:val="24"/>
        </w:rPr>
      </w:pPr>
      <w:r w:rsidRPr="00F9522B">
        <w:rPr>
          <w:rFonts w:eastAsiaTheme="minorEastAsia"/>
          <w:sz w:val="24"/>
        </w:rPr>
        <w:t>为全面贯彻和落实国家及地方环保法律法规，加强企业内部污染物排放监督控制，本项目将环境保护纳入企业管理和生产计划之中，企业内部必须建立相应的环境管理机构及监控计划。</w:t>
      </w:r>
    </w:p>
    <w:p w:rsidR="002A5A5E" w:rsidRPr="00F9522B" w:rsidRDefault="00A4540D">
      <w:pPr>
        <w:spacing w:line="360" w:lineRule="auto"/>
        <w:ind w:firstLineChars="200" w:firstLine="480"/>
        <w:contextualSpacing/>
        <w:rPr>
          <w:rFonts w:eastAsiaTheme="minorEastAsia"/>
          <w:sz w:val="24"/>
        </w:rPr>
      </w:pPr>
      <w:bookmarkStart w:id="165" w:name="_Toc342462534"/>
      <w:bookmarkStart w:id="166" w:name="_Toc477954590"/>
      <w:r w:rsidRPr="00F9522B">
        <w:rPr>
          <w:rFonts w:eastAsiaTheme="minorEastAsia"/>
          <w:sz w:val="24"/>
        </w:rPr>
        <w:t>（</w:t>
      </w:r>
      <w:r w:rsidRPr="00F9522B">
        <w:rPr>
          <w:rFonts w:eastAsiaTheme="minorEastAsia"/>
          <w:sz w:val="24"/>
        </w:rPr>
        <w:t>1</w:t>
      </w:r>
      <w:r w:rsidRPr="00F9522B">
        <w:rPr>
          <w:rFonts w:eastAsiaTheme="minorEastAsia"/>
          <w:sz w:val="24"/>
        </w:rPr>
        <w:t>）</w:t>
      </w:r>
      <w:r w:rsidR="00611CBA" w:rsidRPr="00F9522B">
        <w:rPr>
          <w:rFonts w:eastAsiaTheme="minorEastAsia"/>
          <w:sz w:val="24"/>
        </w:rPr>
        <w:t>环境管理体系</w:t>
      </w:r>
    </w:p>
    <w:p w:rsidR="002A5A5E" w:rsidRPr="00F9522B" w:rsidRDefault="00611CBA">
      <w:pPr>
        <w:spacing w:line="360" w:lineRule="auto"/>
        <w:ind w:firstLineChars="200" w:firstLine="480"/>
        <w:contextualSpacing/>
        <w:rPr>
          <w:rFonts w:eastAsiaTheme="minorEastAsia"/>
          <w:sz w:val="24"/>
        </w:rPr>
      </w:pPr>
      <w:r w:rsidRPr="00F9522B">
        <w:rPr>
          <w:rFonts w:eastAsiaTheme="minorEastAsia"/>
          <w:sz w:val="24"/>
        </w:rPr>
        <w:t>本工程环境管理体系由建设单位环境管理办公室、环境监理机构、承包商环境管理办公室组成，并由政府职能部门参与管理。为了使工程环境保护措施得以切实有效的实施，达到工程建设与环境保护协调发展，工程环境管理除实行环境管理机构统一管理、各承包商、环保项目实施部门分级管理和政府环境保护部门宏观监督外，必须建立工程建设环境监理制度，形成完整的环境管理体系，以确保工程建设环境保护总体目标的实现。</w:t>
      </w:r>
    </w:p>
    <w:p w:rsidR="002A5A5E" w:rsidRPr="00F9522B" w:rsidRDefault="00A4540D">
      <w:pPr>
        <w:pStyle w:val="aff4"/>
        <w:adjustRightInd/>
        <w:snapToGrid/>
        <w:contextualSpacing/>
        <w:jc w:val="both"/>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2</w:t>
      </w:r>
      <w:r w:rsidRPr="00F9522B">
        <w:rPr>
          <w:rFonts w:ascii="Times New Roman" w:hAnsi="Times New Roman" w:cs="Times New Roman"/>
        </w:rPr>
        <w:t>）</w:t>
      </w:r>
      <w:r w:rsidR="00611CBA" w:rsidRPr="00F9522B">
        <w:rPr>
          <w:rFonts w:ascii="Times New Roman" w:hAnsi="Times New Roman" w:cs="Times New Roman"/>
        </w:rPr>
        <w:t>环境管理机构职能及职责</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1</w:t>
      </w:r>
      <w:r w:rsidRPr="00F9522B">
        <w:rPr>
          <w:rFonts w:ascii="Times New Roman" w:hAnsi="Times New Roman" w:cs="Times New Roman"/>
        </w:rPr>
        <w:t>）基本职能</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根据国家环境保护管理的规定，应设置工程环境保护管理机构。环境保护管理机构是工程管理机构的重要组成部分，在业务上接受当地生态环境主管部门的指导。</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2</w:t>
      </w:r>
      <w:r w:rsidRPr="00F9522B">
        <w:rPr>
          <w:rFonts w:ascii="Times New Roman" w:hAnsi="Times New Roman" w:cs="Times New Roman"/>
        </w:rPr>
        <w:t>）主要工作职责</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a.</w:t>
      </w:r>
      <w:r w:rsidRPr="00F9522B">
        <w:rPr>
          <w:rFonts w:ascii="Times New Roman" w:hAnsi="Times New Roman" w:cs="Times New Roman"/>
        </w:rPr>
        <w:t>督促、检查本企业执行国家环境保护方针、政策、法规及本企业环境保护制度；</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b.</w:t>
      </w:r>
      <w:r w:rsidRPr="00F9522B">
        <w:rPr>
          <w:rFonts w:ascii="Times New Roman" w:hAnsi="Times New Roman" w:cs="Times New Roman"/>
        </w:rPr>
        <w:t>拟定本企业环境管理办法，按照国家和地区的规定制定本企业污染物排放指标和污染综合防治的经济技术原则，做好企业升级环保考核工作；</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c.</w:t>
      </w:r>
      <w:r w:rsidRPr="00F9522B">
        <w:rPr>
          <w:rFonts w:ascii="Times New Roman" w:hAnsi="Times New Roman" w:cs="Times New Roman"/>
        </w:rPr>
        <w:t>负责组织污染源调查，填写环保报表；</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d.</w:t>
      </w:r>
      <w:r w:rsidRPr="00F9522B">
        <w:rPr>
          <w:rFonts w:ascii="Times New Roman" w:hAnsi="Times New Roman" w:cs="Times New Roman"/>
        </w:rPr>
        <w:t>组织推动本企业在基本建设、技术改造中，贯彻执行</w:t>
      </w:r>
      <w:r w:rsidRPr="00F9522B">
        <w:rPr>
          <w:rFonts w:ascii="Times New Roman" w:hAnsi="Times New Roman" w:cs="Times New Roman"/>
        </w:rPr>
        <w:t>“</w:t>
      </w:r>
      <w:r w:rsidRPr="00F9522B">
        <w:rPr>
          <w:rFonts w:ascii="Times New Roman" w:hAnsi="Times New Roman" w:cs="Times New Roman"/>
        </w:rPr>
        <w:t>三同时</w:t>
      </w:r>
      <w:r w:rsidRPr="00F9522B">
        <w:rPr>
          <w:rFonts w:ascii="Times New Roman" w:hAnsi="Times New Roman" w:cs="Times New Roman"/>
        </w:rPr>
        <w:t>”</w:t>
      </w:r>
      <w:r w:rsidRPr="00F9522B">
        <w:rPr>
          <w:rFonts w:ascii="Times New Roman" w:hAnsi="Times New Roman" w:cs="Times New Roman"/>
        </w:rPr>
        <w:t>的规定，并参加有关方案的审定及竣工验收工作；</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lastRenderedPageBreak/>
        <w:t>e.</w:t>
      </w:r>
      <w:r w:rsidRPr="00F9522B">
        <w:rPr>
          <w:rFonts w:ascii="Times New Roman" w:hAnsi="Times New Roman" w:cs="Times New Roman"/>
        </w:rPr>
        <w:t>加强与主管环保部门的联系，会同有关单位做好环境预测，制定企业环境保护长远规划和年度计划，并督促实施；</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f.</w:t>
      </w:r>
      <w:r w:rsidRPr="00F9522B">
        <w:rPr>
          <w:rFonts w:ascii="Times New Roman" w:hAnsi="Times New Roman" w:cs="Times New Roman"/>
        </w:rPr>
        <w:t>组织有关部门和人员，检查企业环境质量状况及发展趋势；</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g.</w:t>
      </w:r>
      <w:r w:rsidRPr="00F9522B">
        <w:rPr>
          <w:rFonts w:ascii="Times New Roman" w:hAnsi="Times New Roman" w:cs="Times New Roman"/>
        </w:rPr>
        <w:t>负责组织本企业污染事故的调查与处理；</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h.</w:t>
      </w:r>
      <w:r w:rsidRPr="00F9522B">
        <w:rPr>
          <w:rFonts w:ascii="Times New Roman" w:hAnsi="Times New Roman" w:cs="Times New Roman"/>
        </w:rPr>
        <w:t>做好企业环境统计工作，建立环境保护档案；</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i.</w:t>
      </w:r>
      <w:r w:rsidRPr="00F9522B">
        <w:rPr>
          <w:rFonts w:ascii="Times New Roman" w:hAnsi="Times New Roman" w:cs="Times New Roman"/>
        </w:rPr>
        <w:t>会同有关单位组织开展清洁生产活动，负责广泛开展环境宣传教育活动，普及环境科学知识，推动清洁生产活动的深度开展。</w:t>
      </w:r>
    </w:p>
    <w:p w:rsidR="002A5A5E" w:rsidRPr="00F9522B" w:rsidRDefault="00A4540D">
      <w:pPr>
        <w:pStyle w:val="aff4"/>
        <w:adjustRightInd/>
        <w:snapToGrid/>
        <w:contextualSpacing/>
        <w:jc w:val="both"/>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3</w:t>
      </w:r>
      <w:r w:rsidRPr="00F9522B">
        <w:rPr>
          <w:rFonts w:ascii="Times New Roman" w:hAnsi="Times New Roman" w:cs="Times New Roman"/>
        </w:rPr>
        <w:t>）</w:t>
      </w:r>
      <w:r w:rsidR="00611CBA" w:rsidRPr="00F9522B">
        <w:rPr>
          <w:rFonts w:ascii="Times New Roman" w:hAnsi="Times New Roman" w:cs="Times New Roman"/>
        </w:rPr>
        <w:t>企业管理</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1</w:t>
      </w:r>
      <w:r w:rsidRPr="00F9522B">
        <w:rPr>
          <w:rFonts w:ascii="Times New Roman" w:hAnsi="Times New Roman" w:cs="Times New Roman"/>
        </w:rPr>
        <w:t>）确保各项环保设施的正常运转，负责日常维护，并制定事故的应急处理方法；</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2</w:t>
      </w:r>
      <w:r w:rsidRPr="00F9522B">
        <w:rPr>
          <w:rFonts w:ascii="Times New Roman" w:hAnsi="Times New Roman" w:cs="Times New Roman"/>
        </w:rPr>
        <w:t>）负责企业的日常环境监测工作。</w:t>
      </w:r>
    </w:p>
    <w:p w:rsidR="002A5A5E" w:rsidRPr="00F9522B" w:rsidRDefault="00A4540D">
      <w:pPr>
        <w:pStyle w:val="aff4"/>
        <w:adjustRightInd/>
        <w:snapToGrid/>
        <w:contextualSpacing/>
        <w:jc w:val="both"/>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4</w:t>
      </w:r>
      <w:r w:rsidRPr="00F9522B">
        <w:rPr>
          <w:rFonts w:ascii="Times New Roman" w:hAnsi="Times New Roman" w:cs="Times New Roman"/>
        </w:rPr>
        <w:t>）</w:t>
      </w:r>
      <w:r w:rsidR="00611CBA" w:rsidRPr="00F9522B">
        <w:rPr>
          <w:rFonts w:ascii="Times New Roman" w:hAnsi="Times New Roman" w:cs="Times New Roman"/>
        </w:rPr>
        <w:t>农业科技应用与配套的管理要求</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1</w:t>
      </w:r>
      <w:r w:rsidRPr="00F9522B">
        <w:rPr>
          <w:rFonts w:ascii="Times New Roman" w:hAnsi="Times New Roman" w:cs="Times New Roman"/>
        </w:rPr>
        <w:t>）高标准农田建设应开展绿色</w:t>
      </w:r>
      <w:r w:rsidRPr="00F9522B">
        <w:rPr>
          <w:rFonts w:ascii="Times New Roman" w:hAnsi="Times New Roman" w:cs="Times New Roman"/>
        </w:rPr>
        <w:t>(</w:t>
      </w:r>
      <w:r w:rsidRPr="00F9522B">
        <w:rPr>
          <w:rFonts w:ascii="Times New Roman" w:hAnsi="Times New Roman" w:cs="Times New Roman"/>
        </w:rPr>
        <w:t>新</w:t>
      </w:r>
      <w:r w:rsidRPr="00F9522B">
        <w:rPr>
          <w:rFonts w:ascii="Times New Roman" w:hAnsi="Times New Roman" w:cs="Times New Roman"/>
        </w:rPr>
        <w:t>)</w:t>
      </w:r>
      <w:r w:rsidRPr="00F9522B">
        <w:rPr>
          <w:rFonts w:ascii="Times New Roman" w:hAnsi="Times New Roman" w:cs="Times New Roman"/>
        </w:rPr>
        <w:t>工艺、产品、技术、装备、模式的综合集成及示范推广应用。</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2</w:t>
      </w:r>
      <w:r w:rsidRPr="00F9522B">
        <w:rPr>
          <w:rFonts w:ascii="Times New Roman" w:hAnsi="Times New Roman" w:cs="Times New Roman"/>
        </w:rPr>
        <w:t>）高标准农田建成后，应加强农业科技配套与应用，推广良种良法。机械化耕种收综合作业水平、优良品种覆盖率、病虫害统防统治覆盖率应超过全国平均水平。有条件的地方应推广病虫害绿色防控保护性耕作和科学用水用肥用药技术及物联网、大数据、移动互联网、智能控制、卫星定位等信息技术。</w:t>
      </w:r>
    </w:p>
    <w:p w:rsidR="002A5A5E" w:rsidRPr="00F9522B" w:rsidRDefault="00611CBA">
      <w:pPr>
        <w:keepNext/>
        <w:keepLines/>
        <w:spacing w:before="100" w:beforeAutospacing="1" w:after="100" w:afterAutospacing="1"/>
        <w:outlineLvl w:val="2"/>
        <w:rPr>
          <w:rFonts w:eastAsiaTheme="minorEastAsia"/>
          <w:b/>
          <w:sz w:val="28"/>
          <w:szCs w:val="28"/>
        </w:rPr>
      </w:pPr>
      <w:bookmarkStart w:id="167" w:name="_Toc15991718"/>
      <w:r w:rsidRPr="00F9522B">
        <w:rPr>
          <w:rFonts w:eastAsiaTheme="minorEastAsia"/>
          <w:b/>
          <w:sz w:val="28"/>
          <w:szCs w:val="28"/>
        </w:rPr>
        <w:t>8.1.1</w:t>
      </w:r>
      <w:r w:rsidRPr="00F9522B">
        <w:rPr>
          <w:rFonts w:eastAsiaTheme="minorEastAsia"/>
          <w:b/>
          <w:sz w:val="28"/>
          <w:szCs w:val="28"/>
        </w:rPr>
        <w:t>施工期环境管理</w:t>
      </w:r>
      <w:bookmarkEnd w:id="167"/>
      <w:r w:rsidRPr="00F9522B">
        <w:rPr>
          <w:rFonts w:eastAsiaTheme="minorEastAsia"/>
          <w:b/>
          <w:sz w:val="28"/>
          <w:szCs w:val="28"/>
        </w:rPr>
        <w:t>要求</w:t>
      </w:r>
    </w:p>
    <w:p w:rsidR="002A5A5E" w:rsidRPr="00F9522B" w:rsidRDefault="00A4540D">
      <w:pPr>
        <w:pStyle w:val="aff4"/>
        <w:adjustRightInd/>
        <w:snapToGrid/>
        <w:contextualSpacing/>
        <w:jc w:val="both"/>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1</w:t>
      </w:r>
      <w:r w:rsidRPr="00F9522B">
        <w:rPr>
          <w:rFonts w:ascii="Times New Roman" w:hAnsi="Times New Roman" w:cs="Times New Roman"/>
        </w:rPr>
        <w:t>）</w:t>
      </w:r>
      <w:r w:rsidR="00611CBA" w:rsidRPr="00F9522B">
        <w:rPr>
          <w:rFonts w:ascii="Times New Roman" w:hAnsi="Times New Roman" w:cs="Times New Roman"/>
        </w:rPr>
        <w:t>环境管理机构对施工期环境保护工作全面负责，履行施工期各阶段环境管理职责。</w:t>
      </w:r>
    </w:p>
    <w:p w:rsidR="002A5A5E" w:rsidRPr="00F9522B" w:rsidRDefault="00A4540D">
      <w:pPr>
        <w:pStyle w:val="aff4"/>
        <w:adjustRightInd/>
        <w:snapToGrid/>
        <w:contextualSpacing/>
        <w:jc w:val="both"/>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2</w:t>
      </w:r>
      <w:r w:rsidRPr="00F9522B">
        <w:rPr>
          <w:rFonts w:ascii="Times New Roman" w:hAnsi="Times New Roman" w:cs="Times New Roman"/>
        </w:rPr>
        <w:t>）</w:t>
      </w:r>
      <w:r w:rsidR="00611CBA" w:rsidRPr="00F9522B">
        <w:rPr>
          <w:rFonts w:ascii="Times New Roman" w:hAnsi="Times New Roman" w:cs="Times New Roman"/>
        </w:rPr>
        <w:t>对施工队伍实行职责管理，要求施工队伍按要求文明施工，并做好监督、检查和教育工作。</w:t>
      </w:r>
    </w:p>
    <w:p w:rsidR="002A5A5E" w:rsidRPr="00F9522B" w:rsidRDefault="00A4540D">
      <w:pPr>
        <w:pStyle w:val="aff4"/>
        <w:adjustRightInd/>
        <w:snapToGrid/>
        <w:contextualSpacing/>
        <w:jc w:val="both"/>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3</w:t>
      </w:r>
      <w:r w:rsidRPr="00F9522B">
        <w:rPr>
          <w:rFonts w:ascii="Times New Roman" w:hAnsi="Times New Roman" w:cs="Times New Roman"/>
        </w:rPr>
        <w:t>）</w:t>
      </w:r>
      <w:r w:rsidR="00611CBA" w:rsidRPr="00F9522B">
        <w:rPr>
          <w:rFonts w:ascii="Times New Roman" w:hAnsi="Times New Roman" w:cs="Times New Roman"/>
        </w:rPr>
        <w:t>按照环保主管部门的要求和本报告书中有关环境保护对策措施对施工程序和场地布置实施统一安排。</w:t>
      </w:r>
    </w:p>
    <w:p w:rsidR="002A5A5E" w:rsidRPr="00F9522B" w:rsidRDefault="00611CBA">
      <w:pPr>
        <w:keepNext/>
        <w:keepLines/>
        <w:spacing w:before="100" w:beforeAutospacing="1" w:after="100" w:afterAutospacing="1"/>
        <w:outlineLvl w:val="2"/>
        <w:rPr>
          <w:rFonts w:eastAsiaTheme="minorEastAsia"/>
          <w:b/>
          <w:sz w:val="28"/>
          <w:szCs w:val="28"/>
        </w:rPr>
      </w:pPr>
      <w:bookmarkStart w:id="168" w:name="_Toc15991719"/>
      <w:r w:rsidRPr="00F9522B">
        <w:rPr>
          <w:rFonts w:eastAsiaTheme="minorEastAsia"/>
          <w:b/>
          <w:sz w:val="28"/>
          <w:szCs w:val="28"/>
        </w:rPr>
        <w:lastRenderedPageBreak/>
        <w:t>8.1.2</w:t>
      </w:r>
      <w:r w:rsidRPr="00F9522B">
        <w:rPr>
          <w:rFonts w:eastAsiaTheme="minorEastAsia"/>
          <w:b/>
          <w:sz w:val="28"/>
          <w:szCs w:val="28"/>
        </w:rPr>
        <w:t>运营期环境管理</w:t>
      </w:r>
      <w:bookmarkEnd w:id="168"/>
      <w:r w:rsidRPr="00F9522B">
        <w:rPr>
          <w:rFonts w:eastAsiaTheme="minorEastAsia"/>
          <w:b/>
          <w:sz w:val="28"/>
          <w:szCs w:val="28"/>
        </w:rPr>
        <w:t>要求</w:t>
      </w:r>
    </w:p>
    <w:p w:rsidR="002A5A5E" w:rsidRPr="00F9522B" w:rsidRDefault="00A4540D">
      <w:pPr>
        <w:pStyle w:val="aff4"/>
        <w:adjustRightInd/>
        <w:snapToGrid/>
        <w:contextualSpacing/>
        <w:jc w:val="both"/>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1</w:t>
      </w:r>
      <w:r w:rsidRPr="00F9522B">
        <w:rPr>
          <w:rFonts w:ascii="Times New Roman" w:hAnsi="Times New Roman" w:cs="Times New Roman"/>
        </w:rPr>
        <w:t>）</w:t>
      </w:r>
      <w:r w:rsidR="00611CBA" w:rsidRPr="00F9522B">
        <w:rPr>
          <w:rFonts w:ascii="Times New Roman" w:hAnsi="Times New Roman" w:cs="Times New Roman"/>
        </w:rPr>
        <w:t>“</w:t>
      </w:r>
      <w:r w:rsidR="00611CBA" w:rsidRPr="00F9522B">
        <w:rPr>
          <w:rFonts w:ascii="Times New Roman" w:hAnsi="Times New Roman" w:cs="Times New Roman"/>
        </w:rPr>
        <w:t>三同时</w:t>
      </w:r>
      <w:r w:rsidR="00611CBA" w:rsidRPr="00F9522B">
        <w:rPr>
          <w:rFonts w:ascii="Times New Roman" w:hAnsi="Times New Roman" w:cs="Times New Roman"/>
        </w:rPr>
        <w:t>”</w:t>
      </w:r>
      <w:r w:rsidR="00611CBA" w:rsidRPr="00F9522B">
        <w:rPr>
          <w:rFonts w:ascii="Times New Roman" w:hAnsi="Times New Roman" w:cs="Times New Roman"/>
        </w:rPr>
        <w:t>验收</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我国环境保护法规强调，建设项目竣工后，建设单位向当地环境保护部门申请对项目配套建设的环保治理设施与主体工程竣工验收，然后本工程方可正式投产运行。</w:t>
      </w:r>
    </w:p>
    <w:p w:rsidR="002A5A5E" w:rsidRPr="00F9522B" w:rsidRDefault="00A4540D">
      <w:pPr>
        <w:pStyle w:val="aff4"/>
        <w:adjustRightInd/>
        <w:snapToGrid/>
        <w:contextualSpacing/>
        <w:jc w:val="both"/>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2</w:t>
      </w:r>
      <w:r w:rsidRPr="00F9522B">
        <w:rPr>
          <w:rFonts w:ascii="Times New Roman" w:hAnsi="Times New Roman" w:cs="Times New Roman"/>
        </w:rPr>
        <w:t>）</w:t>
      </w:r>
      <w:r w:rsidR="00611CBA" w:rsidRPr="00F9522B">
        <w:rPr>
          <w:rFonts w:ascii="Times New Roman" w:hAnsi="Times New Roman" w:cs="Times New Roman"/>
        </w:rPr>
        <w:t>教育培训</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定期组织对职工的环境教育与培训，提高全体职工的环保意识。推广应用环境保护先进技术和经验，开展有关环境保护的科研工作。</w:t>
      </w:r>
    </w:p>
    <w:p w:rsidR="002A5A5E" w:rsidRPr="00F9522B" w:rsidRDefault="00A4540D">
      <w:pPr>
        <w:pStyle w:val="aff4"/>
        <w:adjustRightInd/>
        <w:snapToGrid/>
        <w:contextualSpacing/>
        <w:jc w:val="both"/>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3</w:t>
      </w:r>
      <w:r w:rsidRPr="00F9522B">
        <w:rPr>
          <w:rFonts w:ascii="Times New Roman" w:hAnsi="Times New Roman" w:cs="Times New Roman"/>
        </w:rPr>
        <w:t>）</w:t>
      </w:r>
      <w:r w:rsidR="00611CBA" w:rsidRPr="00F9522B">
        <w:rPr>
          <w:rFonts w:ascii="Times New Roman" w:hAnsi="Times New Roman" w:cs="Times New Roman"/>
        </w:rPr>
        <w:t>加强监管</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县级以上人民政府农业农村主管部门鼓励和引导生产经营者依法收集、贮存、运输、利用处置农业固体废物，加强监督管理，防止污染环境。</w:t>
      </w:r>
    </w:p>
    <w:p w:rsidR="002A5A5E" w:rsidRPr="00F9522B" w:rsidRDefault="00611CBA">
      <w:pPr>
        <w:keepNext/>
        <w:keepLines/>
        <w:spacing w:before="100" w:beforeAutospacing="1" w:after="100" w:afterAutospacing="1"/>
        <w:outlineLvl w:val="2"/>
        <w:rPr>
          <w:rFonts w:eastAsiaTheme="minorEastAsia"/>
          <w:b/>
          <w:sz w:val="28"/>
          <w:szCs w:val="28"/>
        </w:rPr>
      </w:pPr>
      <w:bookmarkStart w:id="169" w:name="_Toc15991720"/>
      <w:bookmarkStart w:id="170" w:name="_Toc527121434"/>
      <w:r w:rsidRPr="00F9522B">
        <w:rPr>
          <w:rFonts w:eastAsiaTheme="minorEastAsia"/>
          <w:b/>
          <w:sz w:val="28"/>
          <w:szCs w:val="28"/>
        </w:rPr>
        <w:t>8.1.3</w:t>
      </w:r>
      <w:r w:rsidRPr="00F9522B">
        <w:rPr>
          <w:rFonts w:eastAsiaTheme="minorEastAsia"/>
          <w:b/>
          <w:sz w:val="28"/>
          <w:szCs w:val="28"/>
        </w:rPr>
        <w:t>污染物排放清单及管理要求</w:t>
      </w:r>
      <w:bookmarkEnd w:id="169"/>
      <w:bookmarkEnd w:id="170"/>
    </w:p>
    <w:p w:rsidR="002A5A5E" w:rsidRPr="00F9522B" w:rsidRDefault="00611CBA">
      <w:pPr>
        <w:spacing w:line="360" w:lineRule="auto"/>
        <w:rPr>
          <w:rFonts w:eastAsiaTheme="minorEastAsia"/>
          <w:snapToGrid w:val="0"/>
          <w:kern w:val="0"/>
          <w:sz w:val="24"/>
        </w:rPr>
        <w:sectPr w:rsidR="002A5A5E" w:rsidRPr="00F9522B">
          <w:pgSz w:w="11906" w:h="16838"/>
          <w:pgMar w:top="1440" w:right="1797" w:bottom="1440" w:left="1797" w:header="851" w:footer="992" w:gutter="0"/>
          <w:cols w:space="425"/>
          <w:docGrid w:type="linesAndChars" w:linePitch="326"/>
        </w:sectPr>
      </w:pPr>
      <w:r w:rsidRPr="00F9522B">
        <w:rPr>
          <w:rFonts w:eastAsiaTheme="minorEastAsia"/>
          <w:snapToGrid w:val="0"/>
          <w:kern w:val="0"/>
          <w:sz w:val="24"/>
        </w:rPr>
        <w:t>本项目污染物排放清单及管理要求详见表</w:t>
      </w:r>
      <w:r w:rsidRPr="00F9522B">
        <w:rPr>
          <w:rFonts w:eastAsiaTheme="minorEastAsia"/>
          <w:snapToGrid w:val="0"/>
          <w:kern w:val="0"/>
          <w:sz w:val="24"/>
        </w:rPr>
        <w:t>8-1-1</w:t>
      </w:r>
      <w:r w:rsidRPr="00F9522B">
        <w:rPr>
          <w:rFonts w:eastAsiaTheme="minorEastAsia"/>
          <w:snapToGrid w:val="0"/>
          <w:kern w:val="0"/>
          <w:sz w:val="24"/>
        </w:rPr>
        <w:t>。</w:t>
      </w:r>
    </w:p>
    <w:p w:rsidR="002A5A5E" w:rsidRPr="00F9522B" w:rsidRDefault="00611CBA">
      <w:pPr>
        <w:contextualSpacing/>
        <w:jc w:val="center"/>
        <w:rPr>
          <w:rFonts w:eastAsiaTheme="minorEastAsia"/>
          <w:b/>
          <w:kern w:val="0"/>
          <w:szCs w:val="21"/>
        </w:rPr>
      </w:pPr>
      <w:r w:rsidRPr="00F9522B">
        <w:rPr>
          <w:rFonts w:eastAsiaTheme="minorEastAsia"/>
          <w:b/>
          <w:kern w:val="0"/>
          <w:szCs w:val="21"/>
        </w:rPr>
        <w:lastRenderedPageBreak/>
        <w:t>表</w:t>
      </w:r>
      <w:r w:rsidRPr="00F9522B">
        <w:rPr>
          <w:rFonts w:eastAsiaTheme="minorEastAsia"/>
          <w:b/>
          <w:kern w:val="0"/>
          <w:szCs w:val="21"/>
        </w:rPr>
        <w:t>8-1-1</w:t>
      </w:r>
      <w:r w:rsidRPr="00F9522B">
        <w:rPr>
          <w:rFonts w:eastAsiaTheme="minorEastAsia"/>
          <w:b/>
          <w:kern w:val="0"/>
          <w:szCs w:val="21"/>
        </w:rPr>
        <w:t>污染物排放清单一览表</w:t>
      </w:r>
    </w:p>
    <w:tbl>
      <w:tblPr>
        <w:tblW w:w="14530" w:type="dxa"/>
        <w:jc w:val="center"/>
        <w:tblBorders>
          <w:top w:val="single" w:sz="12" w:space="0" w:color="auto"/>
          <w:bottom w:val="single" w:sz="12" w:space="0" w:color="auto"/>
          <w:insideH w:val="single" w:sz="4" w:space="0" w:color="auto"/>
          <w:insideV w:val="single" w:sz="4" w:space="0" w:color="auto"/>
        </w:tblBorders>
        <w:tblCellMar>
          <w:left w:w="23" w:type="dxa"/>
          <w:right w:w="23" w:type="dxa"/>
        </w:tblCellMar>
        <w:tblLook w:val="04A0"/>
      </w:tblPr>
      <w:tblGrid>
        <w:gridCol w:w="1401"/>
        <w:gridCol w:w="1075"/>
        <w:gridCol w:w="6130"/>
        <w:gridCol w:w="981"/>
        <w:gridCol w:w="1408"/>
        <w:gridCol w:w="1773"/>
        <w:gridCol w:w="1762"/>
      </w:tblGrid>
      <w:tr w:rsidR="002A5A5E" w:rsidRPr="00F9522B" w:rsidTr="00730492">
        <w:trPr>
          <w:trHeight w:val="208"/>
          <w:jc w:val="center"/>
        </w:trPr>
        <w:tc>
          <w:tcPr>
            <w:tcW w:w="1409" w:type="dxa"/>
            <w:tcBorders>
              <w:top w:val="single" w:sz="12" w:space="0" w:color="auto"/>
              <w:bottom w:val="single" w:sz="4" w:space="0" w:color="auto"/>
            </w:tcBorders>
            <w:shd w:val="clear" w:color="auto" w:fill="DDD9C3" w:themeFill="background2" w:themeFillShade="E6"/>
            <w:vAlign w:val="center"/>
          </w:tcPr>
          <w:p w:rsidR="002A5A5E" w:rsidRPr="00F9522B" w:rsidRDefault="00611CBA">
            <w:pPr>
              <w:tabs>
                <w:tab w:val="left" w:pos="360"/>
              </w:tabs>
              <w:autoSpaceDE w:val="0"/>
              <w:autoSpaceDN w:val="0"/>
              <w:spacing w:line="0" w:lineRule="atLeast"/>
              <w:jc w:val="center"/>
              <w:rPr>
                <w:rFonts w:eastAsiaTheme="minorEastAsia"/>
                <w:b/>
                <w:bCs/>
                <w:szCs w:val="21"/>
              </w:rPr>
            </w:pPr>
            <w:r w:rsidRPr="00F9522B">
              <w:rPr>
                <w:rFonts w:eastAsiaTheme="minorEastAsia"/>
                <w:b/>
                <w:bCs/>
                <w:szCs w:val="21"/>
              </w:rPr>
              <w:t>类别</w:t>
            </w:r>
          </w:p>
        </w:tc>
        <w:tc>
          <w:tcPr>
            <w:tcW w:w="1075" w:type="dxa"/>
            <w:tcBorders>
              <w:top w:val="single" w:sz="12" w:space="0" w:color="auto"/>
              <w:bottom w:val="single" w:sz="4" w:space="0" w:color="auto"/>
            </w:tcBorders>
            <w:shd w:val="clear" w:color="auto" w:fill="DDD9C3" w:themeFill="background2" w:themeFillShade="E6"/>
            <w:vAlign w:val="center"/>
          </w:tcPr>
          <w:p w:rsidR="002A5A5E" w:rsidRPr="00F9522B" w:rsidRDefault="00611CBA">
            <w:pPr>
              <w:tabs>
                <w:tab w:val="left" w:pos="360"/>
              </w:tabs>
              <w:autoSpaceDE w:val="0"/>
              <w:autoSpaceDN w:val="0"/>
              <w:spacing w:line="0" w:lineRule="atLeast"/>
              <w:jc w:val="center"/>
              <w:rPr>
                <w:rFonts w:eastAsiaTheme="minorEastAsia"/>
                <w:b/>
                <w:bCs/>
                <w:szCs w:val="21"/>
              </w:rPr>
            </w:pPr>
            <w:r w:rsidRPr="00F9522B">
              <w:rPr>
                <w:rFonts w:eastAsiaTheme="minorEastAsia"/>
                <w:b/>
                <w:bCs/>
                <w:szCs w:val="21"/>
              </w:rPr>
              <w:t>污染因子</w:t>
            </w:r>
          </w:p>
        </w:tc>
        <w:tc>
          <w:tcPr>
            <w:tcW w:w="6171" w:type="dxa"/>
            <w:tcBorders>
              <w:top w:val="single" w:sz="12" w:space="0" w:color="auto"/>
              <w:bottom w:val="single" w:sz="4" w:space="0" w:color="auto"/>
            </w:tcBorders>
            <w:shd w:val="clear" w:color="auto" w:fill="DDD9C3" w:themeFill="background2" w:themeFillShade="E6"/>
            <w:vAlign w:val="center"/>
          </w:tcPr>
          <w:p w:rsidR="002A5A5E" w:rsidRPr="00F9522B" w:rsidRDefault="00611CBA">
            <w:pPr>
              <w:tabs>
                <w:tab w:val="left" w:pos="360"/>
              </w:tabs>
              <w:autoSpaceDE w:val="0"/>
              <w:autoSpaceDN w:val="0"/>
              <w:spacing w:line="0" w:lineRule="atLeast"/>
              <w:jc w:val="center"/>
              <w:rPr>
                <w:rFonts w:eastAsiaTheme="minorEastAsia"/>
                <w:b/>
                <w:bCs/>
                <w:szCs w:val="21"/>
              </w:rPr>
            </w:pPr>
            <w:r w:rsidRPr="00F9522B">
              <w:rPr>
                <w:rFonts w:eastAsiaTheme="minorEastAsia"/>
                <w:b/>
                <w:bCs/>
                <w:szCs w:val="21"/>
              </w:rPr>
              <w:t>污染防治措施</w:t>
            </w:r>
          </w:p>
        </w:tc>
        <w:tc>
          <w:tcPr>
            <w:tcW w:w="987" w:type="dxa"/>
            <w:tcBorders>
              <w:top w:val="single" w:sz="12" w:space="0" w:color="auto"/>
              <w:bottom w:val="single" w:sz="4" w:space="0" w:color="auto"/>
            </w:tcBorders>
            <w:shd w:val="clear" w:color="auto" w:fill="DDD9C3" w:themeFill="background2" w:themeFillShade="E6"/>
            <w:vAlign w:val="center"/>
          </w:tcPr>
          <w:p w:rsidR="002A5A5E" w:rsidRPr="00F9522B" w:rsidRDefault="00611CBA">
            <w:pPr>
              <w:tabs>
                <w:tab w:val="left" w:pos="360"/>
              </w:tabs>
              <w:autoSpaceDE w:val="0"/>
              <w:autoSpaceDN w:val="0"/>
              <w:spacing w:line="0" w:lineRule="atLeast"/>
              <w:jc w:val="center"/>
              <w:rPr>
                <w:rFonts w:eastAsiaTheme="minorEastAsia"/>
                <w:b/>
                <w:bCs/>
                <w:szCs w:val="21"/>
              </w:rPr>
            </w:pPr>
            <w:r w:rsidRPr="00F9522B">
              <w:rPr>
                <w:rFonts w:eastAsiaTheme="minorEastAsia"/>
                <w:b/>
                <w:bCs/>
                <w:szCs w:val="21"/>
              </w:rPr>
              <w:t>排放浓度</w:t>
            </w:r>
          </w:p>
        </w:tc>
        <w:tc>
          <w:tcPr>
            <w:tcW w:w="1417" w:type="dxa"/>
            <w:tcBorders>
              <w:top w:val="single" w:sz="12" w:space="0" w:color="auto"/>
              <w:bottom w:val="single" w:sz="4" w:space="0" w:color="auto"/>
            </w:tcBorders>
            <w:shd w:val="clear" w:color="auto" w:fill="DDD9C3" w:themeFill="background2" w:themeFillShade="E6"/>
            <w:vAlign w:val="center"/>
          </w:tcPr>
          <w:p w:rsidR="002A5A5E" w:rsidRPr="00F9522B" w:rsidRDefault="00611CBA">
            <w:pPr>
              <w:tabs>
                <w:tab w:val="left" w:pos="360"/>
              </w:tabs>
              <w:autoSpaceDE w:val="0"/>
              <w:autoSpaceDN w:val="0"/>
              <w:spacing w:line="0" w:lineRule="atLeast"/>
              <w:jc w:val="center"/>
              <w:rPr>
                <w:rFonts w:eastAsiaTheme="minorEastAsia"/>
                <w:b/>
                <w:bCs/>
                <w:szCs w:val="21"/>
              </w:rPr>
            </w:pPr>
            <w:r w:rsidRPr="00F9522B">
              <w:rPr>
                <w:rFonts w:eastAsiaTheme="minorEastAsia"/>
                <w:b/>
                <w:bCs/>
                <w:szCs w:val="21"/>
              </w:rPr>
              <w:t>总量指标</w:t>
            </w:r>
          </w:p>
        </w:tc>
        <w:tc>
          <w:tcPr>
            <w:tcW w:w="1701" w:type="dxa"/>
            <w:tcBorders>
              <w:top w:val="single" w:sz="12" w:space="0" w:color="auto"/>
              <w:bottom w:val="single" w:sz="4" w:space="0" w:color="auto"/>
            </w:tcBorders>
            <w:shd w:val="clear" w:color="auto" w:fill="DDD9C3" w:themeFill="background2" w:themeFillShade="E6"/>
            <w:vAlign w:val="center"/>
          </w:tcPr>
          <w:p w:rsidR="002A5A5E" w:rsidRPr="00F9522B" w:rsidRDefault="00611CBA">
            <w:pPr>
              <w:tabs>
                <w:tab w:val="left" w:pos="360"/>
              </w:tabs>
              <w:autoSpaceDE w:val="0"/>
              <w:autoSpaceDN w:val="0"/>
              <w:spacing w:line="0" w:lineRule="atLeast"/>
              <w:jc w:val="center"/>
              <w:rPr>
                <w:rFonts w:eastAsiaTheme="minorEastAsia"/>
                <w:b/>
                <w:bCs/>
                <w:szCs w:val="21"/>
              </w:rPr>
            </w:pPr>
            <w:r w:rsidRPr="00F9522B">
              <w:rPr>
                <w:rFonts w:eastAsiaTheme="minorEastAsia"/>
                <w:b/>
                <w:bCs/>
                <w:szCs w:val="21"/>
              </w:rPr>
              <w:t>排放标准</w:t>
            </w:r>
          </w:p>
        </w:tc>
        <w:tc>
          <w:tcPr>
            <w:tcW w:w="1770" w:type="dxa"/>
            <w:tcBorders>
              <w:top w:val="single" w:sz="12" w:space="0" w:color="auto"/>
              <w:bottom w:val="single" w:sz="4" w:space="0" w:color="auto"/>
            </w:tcBorders>
            <w:shd w:val="clear" w:color="auto" w:fill="DDD9C3" w:themeFill="background2" w:themeFillShade="E6"/>
            <w:vAlign w:val="center"/>
          </w:tcPr>
          <w:p w:rsidR="002A5A5E" w:rsidRPr="00F9522B" w:rsidRDefault="00611CBA">
            <w:pPr>
              <w:tabs>
                <w:tab w:val="left" w:pos="360"/>
              </w:tabs>
              <w:autoSpaceDE w:val="0"/>
              <w:autoSpaceDN w:val="0"/>
              <w:spacing w:line="0" w:lineRule="atLeast"/>
              <w:jc w:val="center"/>
              <w:rPr>
                <w:rFonts w:eastAsiaTheme="minorEastAsia"/>
                <w:b/>
                <w:bCs/>
                <w:szCs w:val="21"/>
              </w:rPr>
            </w:pPr>
            <w:r w:rsidRPr="00F9522B">
              <w:rPr>
                <w:rFonts w:eastAsiaTheme="minorEastAsia"/>
                <w:b/>
                <w:bCs/>
                <w:szCs w:val="21"/>
              </w:rPr>
              <w:t>排放口信息</w:t>
            </w:r>
          </w:p>
        </w:tc>
      </w:tr>
      <w:tr w:rsidR="002A5A5E" w:rsidRPr="00F9522B" w:rsidTr="00730492">
        <w:trPr>
          <w:trHeight w:val="919"/>
          <w:jc w:val="center"/>
        </w:trPr>
        <w:tc>
          <w:tcPr>
            <w:tcW w:w="1409" w:type="dxa"/>
            <w:tcBorders>
              <w:top w:val="single" w:sz="4" w:space="0" w:color="auto"/>
            </w:tcBorders>
            <w:shd w:val="clear" w:color="auto" w:fill="auto"/>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施工期废气</w:t>
            </w:r>
          </w:p>
        </w:tc>
        <w:tc>
          <w:tcPr>
            <w:tcW w:w="1075" w:type="dxa"/>
            <w:tcBorders>
              <w:top w:val="single" w:sz="4" w:space="0" w:color="auto"/>
            </w:tcBorders>
            <w:shd w:val="clear" w:color="auto" w:fill="auto"/>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TSP</w:t>
            </w:r>
            <w:r w:rsidRPr="00F9522B">
              <w:rPr>
                <w:rFonts w:eastAsiaTheme="minorEastAsia"/>
                <w:szCs w:val="21"/>
              </w:rPr>
              <w:t>、</w:t>
            </w:r>
            <w:r w:rsidRPr="00F9522B">
              <w:rPr>
                <w:rFonts w:eastAsiaTheme="minorEastAsia"/>
                <w:szCs w:val="21"/>
              </w:rPr>
              <w:t>CO</w:t>
            </w:r>
            <w:r w:rsidRPr="00F9522B">
              <w:rPr>
                <w:rFonts w:eastAsiaTheme="minorEastAsia"/>
                <w:szCs w:val="21"/>
              </w:rPr>
              <w:t>、</w:t>
            </w:r>
            <w:r w:rsidRPr="00F9522B">
              <w:rPr>
                <w:rFonts w:eastAsiaTheme="minorEastAsia"/>
                <w:szCs w:val="21"/>
              </w:rPr>
              <w:t>HC+NOx</w:t>
            </w:r>
            <w:r w:rsidRPr="00F9522B">
              <w:rPr>
                <w:rFonts w:eastAsiaTheme="minorEastAsia"/>
                <w:szCs w:val="21"/>
              </w:rPr>
              <w:t>、</w:t>
            </w:r>
            <w:r w:rsidRPr="00F9522B">
              <w:rPr>
                <w:rFonts w:eastAsiaTheme="minorEastAsia"/>
                <w:szCs w:val="21"/>
              </w:rPr>
              <w:t>THC</w:t>
            </w:r>
            <w:r w:rsidRPr="00F9522B">
              <w:rPr>
                <w:rFonts w:eastAsiaTheme="minorEastAsia"/>
                <w:szCs w:val="21"/>
              </w:rPr>
              <w:t>、臭气浓度</w:t>
            </w:r>
          </w:p>
        </w:tc>
        <w:tc>
          <w:tcPr>
            <w:tcW w:w="6171" w:type="dxa"/>
            <w:tcBorders>
              <w:top w:val="single" w:sz="4" w:space="0" w:color="auto"/>
            </w:tcBorders>
            <w:shd w:val="clear" w:color="auto" w:fill="auto"/>
            <w:vAlign w:val="center"/>
          </w:tcPr>
          <w:p w:rsidR="002A5A5E" w:rsidRPr="00F9522B" w:rsidRDefault="00611CBA">
            <w:pPr>
              <w:spacing w:line="0" w:lineRule="atLeast"/>
              <w:jc w:val="center"/>
              <w:rPr>
                <w:rFonts w:eastAsiaTheme="minorEastAsia"/>
                <w:szCs w:val="21"/>
              </w:rPr>
            </w:pPr>
            <w:r w:rsidRPr="00F9522B">
              <w:rPr>
                <w:rFonts w:eastAsiaTheme="minorEastAsia"/>
              </w:rPr>
              <w:t>施工期施工现场使用商品混凝土、预拌砂浆，严禁现场搅拌；建筑材料密闭存放或严密覆盖，严禁露天放置；余料及时回收；施工期间，施工单位非冬季时期制定洒水降尘制度，配套洒水车，专人负责，对施工场地及施工道路洒水抑尘；施工地面及时压实并及时采取洒水降尘措施，天气干燥时增加洒水密度与频率；施工现场运送土方、渣土的车辆封闭或遮盖严密，严禁使用未办理相关手续的渣土等运输车辆，严禁沿路遗撒和随意倾倒；途经施工区村屯干道的运输车辆，实行限速管理，时速应小于</w:t>
            </w:r>
            <w:r w:rsidRPr="00F9522B">
              <w:rPr>
                <w:rFonts w:eastAsiaTheme="minorEastAsia"/>
              </w:rPr>
              <w:t>20km/h</w:t>
            </w:r>
            <w:r w:rsidRPr="00F9522B">
              <w:rPr>
                <w:rFonts w:eastAsiaTheme="minorEastAsia"/>
              </w:rPr>
              <w:t>，非冬季干旱、多风天气，路段每天洒水不少于两次；加强运输车辆的维护、保养，避免尾气超标排放；灌溉井、田间道路、涵洞、变压器、排水沟清淤等工程在距离环境保护目标较近位置施工时（</w:t>
            </w:r>
            <w:r w:rsidR="00943455" w:rsidRPr="00943455">
              <w:rPr>
                <w:rFonts w:eastAsiaTheme="minorEastAsia"/>
                <w:color w:val="FF0000"/>
              </w:rPr>
              <w:t>如八里荒、榆树村等村屯，具体村屯名称见表</w:t>
            </w:r>
            <w:r w:rsidR="00943455" w:rsidRPr="00943455">
              <w:rPr>
                <w:rFonts w:eastAsiaTheme="minorEastAsia"/>
                <w:color w:val="FF0000"/>
              </w:rPr>
              <w:t>2-8-1</w:t>
            </w:r>
            <w:r w:rsidRPr="00F9522B">
              <w:rPr>
                <w:rFonts w:eastAsiaTheme="minorEastAsia"/>
              </w:rPr>
              <w:t>），应设置施工围挡，将施工场地及施工人员与居民分离开，保证施工安全、减少扬尘逸散；合理安排清淤时间，喷洒微生物除臭剂</w:t>
            </w:r>
            <w:r w:rsidR="00730492">
              <w:rPr>
                <w:rFonts w:eastAsiaTheme="minorEastAsia"/>
              </w:rPr>
              <w:t>，</w:t>
            </w:r>
            <w:r w:rsidR="00730492" w:rsidRPr="004C69F2">
              <w:rPr>
                <w:rFonts w:eastAsiaTheme="minorEastAsia"/>
                <w:color w:val="FF0000"/>
              </w:rPr>
              <w:t>排水沟淤泥</w:t>
            </w:r>
            <w:r w:rsidR="00730492" w:rsidRPr="004C69F2">
              <w:rPr>
                <w:rFonts w:eastAsiaTheme="minorEastAsia"/>
                <w:bCs/>
                <w:color w:val="FF0000"/>
              </w:rPr>
              <w:t>培至工程附近</w:t>
            </w:r>
            <w:r w:rsidR="00730492" w:rsidRPr="004C69F2">
              <w:rPr>
                <w:rFonts w:eastAsiaTheme="minorEastAsia"/>
                <w:bCs/>
                <w:color w:val="FF0000"/>
              </w:rPr>
              <w:t>200</w:t>
            </w:r>
            <w:r w:rsidR="00730492" w:rsidRPr="004C69F2">
              <w:rPr>
                <w:rFonts w:eastAsiaTheme="minorEastAsia"/>
                <w:bCs/>
                <w:color w:val="FF0000"/>
              </w:rPr>
              <w:t>米范围内无环境保护目标的排水沟两侧（避开南城李、方台镇、宋家村等</w:t>
            </w:r>
            <w:r w:rsidR="00730492" w:rsidRPr="004C69F2">
              <w:rPr>
                <w:rFonts w:eastAsiaTheme="minorEastAsia"/>
                <w:bCs/>
                <w:color w:val="FF0000"/>
              </w:rPr>
              <w:t>33</w:t>
            </w:r>
            <w:r w:rsidR="00730492" w:rsidRPr="004C69F2">
              <w:rPr>
                <w:rFonts w:eastAsiaTheme="minorEastAsia"/>
                <w:bCs/>
                <w:color w:val="FF0000"/>
              </w:rPr>
              <w:t>个村屯，具体见表</w:t>
            </w:r>
            <w:r w:rsidR="00730492" w:rsidRPr="004C69F2">
              <w:rPr>
                <w:rFonts w:eastAsiaTheme="minorEastAsia"/>
                <w:bCs/>
                <w:color w:val="FF0000"/>
              </w:rPr>
              <w:t>2-8-2</w:t>
            </w:r>
            <w:r w:rsidR="00730492" w:rsidRPr="004C69F2">
              <w:rPr>
                <w:rFonts w:eastAsiaTheme="minorEastAsia"/>
                <w:bCs/>
                <w:color w:val="FF0000"/>
              </w:rPr>
              <w:t>）</w:t>
            </w:r>
          </w:p>
        </w:tc>
        <w:tc>
          <w:tcPr>
            <w:tcW w:w="987" w:type="dxa"/>
            <w:tcBorders>
              <w:top w:val="single" w:sz="4" w:space="0" w:color="auto"/>
            </w:tcBorders>
            <w:shd w:val="clear" w:color="auto" w:fill="auto"/>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w:t>
            </w:r>
          </w:p>
        </w:tc>
        <w:tc>
          <w:tcPr>
            <w:tcW w:w="1417" w:type="dxa"/>
            <w:tcBorders>
              <w:top w:val="single" w:sz="4" w:space="0" w:color="auto"/>
            </w:tcBorders>
            <w:shd w:val="clear" w:color="auto" w:fill="auto"/>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w:t>
            </w:r>
          </w:p>
        </w:tc>
        <w:tc>
          <w:tcPr>
            <w:tcW w:w="1701" w:type="dxa"/>
            <w:tcBorders>
              <w:top w:val="single" w:sz="4" w:space="0" w:color="auto"/>
            </w:tcBorders>
            <w:shd w:val="clear" w:color="auto" w:fill="auto"/>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《大气污染物综合排放标准》（</w:t>
            </w:r>
            <w:r w:rsidRPr="00F9522B">
              <w:rPr>
                <w:rFonts w:eastAsiaTheme="minorEastAsia"/>
                <w:szCs w:val="21"/>
              </w:rPr>
              <w:t>GB16297-1996</w:t>
            </w:r>
            <w:r w:rsidRPr="00F9522B">
              <w:rPr>
                <w:rFonts w:eastAsiaTheme="minorEastAsia"/>
                <w:szCs w:val="21"/>
              </w:rPr>
              <w:t>）表</w:t>
            </w:r>
            <w:r w:rsidRPr="00F9522B">
              <w:rPr>
                <w:rFonts w:eastAsiaTheme="minorEastAsia"/>
                <w:szCs w:val="21"/>
              </w:rPr>
              <w:t>2</w:t>
            </w:r>
            <w:r w:rsidRPr="00F9522B">
              <w:rPr>
                <w:rFonts w:eastAsiaTheme="minorEastAsia"/>
                <w:szCs w:val="21"/>
              </w:rPr>
              <w:t>中无组织排放监控浓度限值；</w:t>
            </w:r>
            <w:r w:rsidRPr="00F9522B">
              <w:rPr>
                <w:rFonts w:eastAsiaTheme="minorEastAsia"/>
                <w:szCs w:val="21"/>
              </w:rPr>
              <w:t>GB20891-2014</w:t>
            </w:r>
            <w:r w:rsidRPr="00F9522B">
              <w:rPr>
                <w:rFonts w:eastAsiaTheme="minorEastAsia"/>
                <w:szCs w:val="21"/>
              </w:rPr>
              <w:t>《非道路移动机械用柴油机排气污染物排放限值及测量方法（中国三、四阶段）》中第四阶段（</w:t>
            </w:r>
            <w:r w:rsidRPr="00F9522B">
              <w:rPr>
                <w:rFonts w:eastAsiaTheme="minorEastAsia"/>
                <w:szCs w:val="21"/>
              </w:rPr>
              <w:t>130</w:t>
            </w:r>
            <w:r w:rsidRPr="00F9522B">
              <w:rPr>
                <w:rFonts w:eastAsiaTheme="minorEastAsia"/>
                <w:szCs w:val="21"/>
              </w:rPr>
              <w:t>＜额定功率＜</w:t>
            </w:r>
            <w:r w:rsidRPr="00F9522B">
              <w:rPr>
                <w:rFonts w:eastAsiaTheme="minorEastAsia"/>
                <w:szCs w:val="21"/>
              </w:rPr>
              <w:t>560kW</w:t>
            </w:r>
            <w:r w:rsidRPr="00F9522B">
              <w:rPr>
                <w:rFonts w:eastAsiaTheme="minorEastAsia"/>
                <w:szCs w:val="21"/>
              </w:rPr>
              <w:t>）；《恶臭污染物排放标准》（</w:t>
            </w:r>
            <w:r w:rsidRPr="00F9522B">
              <w:rPr>
                <w:rFonts w:eastAsiaTheme="minorEastAsia"/>
                <w:szCs w:val="21"/>
              </w:rPr>
              <w:t>GB14554-93</w:t>
            </w:r>
            <w:r w:rsidRPr="00F9522B">
              <w:rPr>
                <w:rFonts w:eastAsiaTheme="minorEastAsia"/>
                <w:szCs w:val="21"/>
              </w:rPr>
              <w:t>）表</w:t>
            </w:r>
            <w:r w:rsidRPr="00F9522B">
              <w:rPr>
                <w:rFonts w:eastAsiaTheme="minorEastAsia"/>
                <w:szCs w:val="21"/>
              </w:rPr>
              <w:t>1</w:t>
            </w:r>
            <w:r w:rsidRPr="00F9522B">
              <w:rPr>
                <w:rFonts w:eastAsiaTheme="minorEastAsia"/>
                <w:szCs w:val="21"/>
              </w:rPr>
              <w:t>二级标准</w:t>
            </w:r>
          </w:p>
        </w:tc>
        <w:tc>
          <w:tcPr>
            <w:tcW w:w="1770" w:type="dxa"/>
            <w:tcBorders>
              <w:top w:val="single" w:sz="4" w:space="0" w:color="auto"/>
            </w:tcBorders>
            <w:shd w:val="clear" w:color="auto" w:fill="auto"/>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w:t>
            </w:r>
          </w:p>
        </w:tc>
      </w:tr>
      <w:tr w:rsidR="002A5A5E" w:rsidRPr="00F9522B" w:rsidTr="00730492">
        <w:trPr>
          <w:trHeight w:val="362"/>
          <w:jc w:val="center"/>
        </w:trPr>
        <w:tc>
          <w:tcPr>
            <w:tcW w:w="1409" w:type="dxa"/>
            <w:vMerge w:val="restart"/>
            <w:shd w:val="clear" w:color="auto" w:fill="auto"/>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施工期废水</w:t>
            </w:r>
          </w:p>
        </w:tc>
        <w:tc>
          <w:tcPr>
            <w:tcW w:w="1075" w:type="dxa"/>
            <w:shd w:val="clear" w:color="auto" w:fill="auto"/>
            <w:vAlign w:val="center"/>
          </w:tcPr>
          <w:p w:rsidR="002A5A5E" w:rsidRPr="00F9522B" w:rsidRDefault="00611CBA">
            <w:pPr>
              <w:jc w:val="center"/>
              <w:rPr>
                <w:rFonts w:eastAsiaTheme="minorEastAsia"/>
                <w:szCs w:val="21"/>
              </w:rPr>
            </w:pPr>
            <w:r w:rsidRPr="00F9522B">
              <w:rPr>
                <w:rFonts w:eastAsiaTheme="minorEastAsia"/>
                <w:szCs w:val="21"/>
              </w:rPr>
              <w:t>生活污水</w:t>
            </w:r>
          </w:p>
        </w:tc>
        <w:tc>
          <w:tcPr>
            <w:tcW w:w="8575" w:type="dxa"/>
            <w:gridSpan w:val="3"/>
            <w:shd w:val="clear" w:color="auto" w:fill="auto"/>
            <w:vAlign w:val="center"/>
          </w:tcPr>
          <w:p w:rsidR="002A5A5E" w:rsidRPr="00F9522B" w:rsidRDefault="00611CBA">
            <w:pPr>
              <w:jc w:val="center"/>
              <w:rPr>
                <w:rFonts w:eastAsiaTheme="minorEastAsia"/>
                <w:szCs w:val="21"/>
              </w:rPr>
            </w:pPr>
            <w:r w:rsidRPr="00F9522B">
              <w:rPr>
                <w:rFonts w:eastAsiaTheme="minorEastAsia"/>
                <w:bCs/>
                <w:szCs w:val="21"/>
              </w:rPr>
              <w:t>依托附近民</w:t>
            </w:r>
            <w:r w:rsidRPr="00F9522B">
              <w:rPr>
                <w:rFonts w:eastAsiaTheme="minorEastAsia"/>
                <w:szCs w:val="21"/>
              </w:rPr>
              <w:t>防渗旱厕，定期清掏，外运堆肥，不外排</w:t>
            </w:r>
          </w:p>
        </w:tc>
        <w:tc>
          <w:tcPr>
            <w:tcW w:w="1701" w:type="dxa"/>
            <w:shd w:val="clear" w:color="auto" w:fill="auto"/>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w:t>
            </w:r>
          </w:p>
        </w:tc>
        <w:tc>
          <w:tcPr>
            <w:tcW w:w="1770" w:type="dxa"/>
            <w:shd w:val="clear" w:color="auto" w:fill="auto"/>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w:t>
            </w:r>
          </w:p>
        </w:tc>
      </w:tr>
      <w:tr w:rsidR="002A5A5E" w:rsidRPr="00F9522B" w:rsidTr="00730492">
        <w:trPr>
          <w:trHeight w:val="415"/>
          <w:jc w:val="center"/>
        </w:trPr>
        <w:tc>
          <w:tcPr>
            <w:tcW w:w="1409" w:type="dxa"/>
            <w:vMerge/>
            <w:shd w:val="clear" w:color="auto" w:fill="auto"/>
            <w:vAlign w:val="center"/>
          </w:tcPr>
          <w:p w:rsidR="002A5A5E" w:rsidRPr="00F9522B" w:rsidRDefault="002A5A5E">
            <w:pPr>
              <w:spacing w:line="0" w:lineRule="atLeast"/>
              <w:jc w:val="center"/>
              <w:rPr>
                <w:rFonts w:eastAsiaTheme="minorEastAsia"/>
                <w:szCs w:val="21"/>
              </w:rPr>
            </w:pPr>
          </w:p>
        </w:tc>
        <w:tc>
          <w:tcPr>
            <w:tcW w:w="1075" w:type="dxa"/>
            <w:shd w:val="clear" w:color="auto" w:fill="auto"/>
            <w:vAlign w:val="center"/>
          </w:tcPr>
          <w:p w:rsidR="002A5A5E" w:rsidRPr="00F9522B" w:rsidRDefault="00611CBA">
            <w:pPr>
              <w:jc w:val="center"/>
              <w:rPr>
                <w:rFonts w:eastAsiaTheme="minorEastAsia"/>
                <w:szCs w:val="21"/>
              </w:rPr>
            </w:pPr>
            <w:r w:rsidRPr="00F9522B">
              <w:rPr>
                <w:rFonts w:eastAsiaTheme="minorEastAsia"/>
                <w:szCs w:val="21"/>
              </w:rPr>
              <w:t>施工废水</w:t>
            </w:r>
          </w:p>
        </w:tc>
        <w:tc>
          <w:tcPr>
            <w:tcW w:w="8575" w:type="dxa"/>
            <w:gridSpan w:val="3"/>
            <w:shd w:val="clear" w:color="auto" w:fill="auto"/>
            <w:vAlign w:val="center"/>
          </w:tcPr>
          <w:p w:rsidR="002A5A5E" w:rsidRPr="00F9522B" w:rsidRDefault="00611CBA" w:rsidP="0061289D">
            <w:pPr>
              <w:tabs>
                <w:tab w:val="left" w:pos="360"/>
              </w:tabs>
              <w:autoSpaceDE w:val="0"/>
              <w:autoSpaceDN w:val="0"/>
              <w:jc w:val="center"/>
              <w:rPr>
                <w:rFonts w:eastAsiaTheme="minorEastAsia"/>
                <w:bCs/>
                <w:szCs w:val="21"/>
              </w:rPr>
            </w:pPr>
            <w:r w:rsidRPr="00F9522B">
              <w:rPr>
                <w:rFonts w:eastAsiaTheme="minorEastAsia"/>
                <w:bCs/>
                <w:szCs w:val="21"/>
              </w:rPr>
              <w:t>洗井废水用于洒水降尘；</w:t>
            </w:r>
            <w:r w:rsidRPr="00F9522B">
              <w:rPr>
                <w:rFonts w:eastAsiaTheme="minorEastAsia"/>
              </w:rPr>
              <w:t>钻井泥浆循环利用，</w:t>
            </w:r>
            <w:r w:rsidRPr="00F9522B">
              <w:rPr>
                <w:rFonts w:eastAsiaTheme="minorEastAsia"/>
                <w:color w:val="FF0000"/>
                <w:szCs w:val="22"/>
              </w:rPr>
              <w:t>废泥浆</w:t>
            </w:r>
            <w:r w:rsidRPr="00F9522B">
              <w:rPr>
                <w:rFonts w:eastAsiaTheme="minorEastAsia"/>
                <w:color w:val="FF0000"/>
              </w:rPr>
              <w:t>暂存于施工场地</w:t>
            </w:r>
            <w:r w:rsidR="0009673A" w:rsidRPr="00F9522B">
              <w:rPr>
                <w:rFonts w:eastAsiaTheme="minorEastAsia"/>
                <w:color w:val="FF0000"/>
              </w:rPr>
              <w:t>5</w:t>
            </w:r>
            <w:r w:rsidR="0009673A" w:rsidRPr="00F9522B">
              <w:rPr>
                <w:rFonts w:eastAsiaTheme="minorEastAsia"/>
                <w:color w:val="FF0000"/>
              </w:rPr>
              <w:t>个</w:t>
            </w:r>
            <w:r w:rsidR="0009673A" w:rsidRPr="00F9522B">
              <w:rPr>
                <w:rFonts w:eastAsiaTheme="minorEastAsia"/>
                <w:color w:val="FF0000"/>
              </w:rPr>
              <w:t>2</w:t>
            </w:r>
            <w:r w:rsidRPr="00F9522B">
              <w:rPr>
                <w:rFonts w:eastAsiaTheme="minorEastAsia"/>
                <w:color w:val="FF0000"/>
              </w:rPr>
              <w:t>0</w:t>
            </w:r>
            <w:r w:rsidRPr="00F9522B">
              <w:rPr>
                <w:rFonts w:eastAsiaTheme="minorEastAsia"/>
                <w:color w:val="FF0000"/>
                <w:szCs w:val="22"/>
              </w:rPr>
              <w:t>m</w:t>
            </w:r>
            <w:r w:rsidRPr="00F9522B">
              <w:rPr>
                <w:rFonts w:eastAsiaTheme="minorEastAsia"/>
                <w:color w:val="FF0000"/>
                <w:szCs w:val="22"/>
                <w:vertAlign w:val="superscript"/>
              </w:rPr>
              <w:t>3</w:t>
            </w:r>
            <w:r w:rsidRPr="00F9522B">
              <w:rPr>
                <w:rFonts w:eastAsiaTheme="minorEastAsia"/>
                <w:color w:val="FF0000"/>
              </w:rPr>
              <w:t>移动式不锈钢沉淀池内，</w:t>
            </w:r>
            <w:r w:rsidRPr="00F9522B">
              <w:rPr>
                <w:rFonts w:eastAsiaTheme="minorEastAsia"/>
              </w:rPr>
              <w:t>沉淀后上层清水用于洒水降尘，下层钻井</w:t>
            </w:r>
            <w:r w:rsidRPr="00F9522B">
              <w:rPr>
                <w:rFonts w:eastAsiaTheme="minorEastAsia"/>
                <w:bCs/>
              </w:rPr>
              <w:t>泥浆自然干化后用于周围路面平整</w:t>
            </w:r>
            <w:r w:rsidRPr="00F9522B">
              <w:rPr>
                <w:rFonts w:eastAsiaTheme="minorEastAsia"/>
                <w:bCs/>
                <w:szCs w:val="21"/>
              </w:rPr>
              <w:t>；清淤工程污泥沥水与排水沟内水质基本一致，排入排水沟内</w:t>
            </w:r>
          </w:p>
        </w:tc>
        <w:tc>
          <w:tcPr>
            <w:tcW w:w="1701" w:type="dxa"/>
            <w:shd w:val="clear" w:color="auto" w:fill="auto"/>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w:t>
            </w:r>
          </w:p>
        </w:tc>
        <w:tc>
          <w:tcPr>
            <w:tcW w:w="1770" w:type="dxa"/>
            <w:shd w:val="clear" w:color="auto" w:fill="auto"/>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w:t>
            </w:r>
          </w:p>
        </w:tc>
      </w:tr>
      <w:tr w:rsidR="002A5A5E" w:rsidRPr="00F9522B" w:rsidTr="00730492">
        <w:trPr>
          <w:trHeight w:val="919"/>
          <w:jc w:val="center"/>
        </w:trPr>
        <w:tc>
          <w:tcPr>
            <w:tcW w:w="1409" w:type="dxa"/>
            <w:shd w:val="clear" w:color="auto" w:fill="auto"/>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施工期噪声</w:t>
            </w:r>
          </w:p>
        </w:tc>
        <w:tc>
          <w:tcPr>
            <w:tcW w:w="1075" w:type="dxa"/>
            <w:shd w:val="clear" w:color="auto" w:fill="auto"/>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施工设备、运输车</w:t>
            </w:r>
          </w:p>
        </w:tc>
        <w:tc>
          <w:tcPr>
            <w:tcW w:w="8575" w:type="dxa"/>
            <w:gridSpan w:val="3"/>
            <w:shd w:val="clear" w:color="auto" w:fill="auto"/>
            <w:vAlign w:val="center"/>
          </w:tcPr>
          <w:p w:rsidR="002A5A5E" w:rsidRPr="00F9522B" w:rsidRDefault="00611CBA">
            <w:pPr>
              <w:spacing w:line="0" w:lineRule="atLeast"/>
              <w:jc w:val="center"/>
              <w:rPr>
                <w:rFonts w:eastAsiaTheme="minorEastAsia"/>
                <w:szCs w:val="21"/>
              </w:rPr>
            </w:pPr>
            <w:r w:rsidRPr="00F9522B">
              <w:rPr>
                <w:rFonts w:eastAsiaTheme="minorEastAsia"/>
              </w:rPr>
              <w:t>在</w:t>
            </w:r>
            <w:r w:rsidRPr="00F9522B">
              <w:rPr>
                <w:rFonts w:eastAsiaTheme="minorEastAsia"/>
              </w:rPr>
              <w:t>10m</w:t>
            </w:r>
            <w:r w:rsidRPr="00F9522B">
              <w:rPr>
                <w:rFonts w:eastAsiaTheme="minorEastAsia"/>
              </w:rPr>
              <w:t>以内分布有居民（</w:t>
            </w:r>
            <w:r w:rsidR="007A5D2B" w:rsidRPr="00F9522B">
              <w:rPr>
                <w:rFonts w:eastAsiaTheme="minorEastAsia"/>
              </w:rPr>
              <w:t>八里荒、榆树村、黄家窝堡等村屯，共</w:t>
            </w:r>
            <w:r w:rsidR="007A5D2B" w:rsidRPr="00F9522B">
              <w:rPr>
                <w:rFonts w:eastAsiaTheme="minorEastAsia"/>
              </w:rPr>
              <w:t>25</w:t>
            </w:r>
            <w:r w:rsidR="007A5D2B" w:rsidRPr="00F9522B">
              <w:rPr>
                <w:rFonts w:eastAsiaTheme="minorEastAsia"/>
              </w:rPr>
              <w:t>处</w:t>
            </w:r>
            <w:r w:rsidRPr="00F9522B">
              <w:rPr>
                <w:rFonts w:eastAsiaTheme="minorEastAsia"/>
              </w:rPr>
              <w:t>，具体村屯名称</w:t>
            </w:r>
            <w:r w:rsidR="00660C23" w:rsidRPr="00F9522B">
              <w:rPr>
                <w:rFonts w:eastAsiaTheme="minorEastAsia"/>
              </w:rPr>
              <w:t>见表</w:t>
            </w:r>
            <w:r w:rsidR="00660C23" w:rsidRPr="00F9522B">
              <w:rPr>
                <w:rFonts w:eastAsiaTheme="minorEastAsia"/>
              </w:rPr>
              <w:t>2-8-1</w:t>
            </w:r>
            <w:r w:rsidRPr="00F9522B">
              <w:rPr>
                <w:rFonts w:eastAsiaTheme="minorEastAsia"/>
              </w:rPr>
              <w:t>）的灌溉与排水、田间道路、涵洞等建筑物、</w:t>
            </w:r>
            <w:r w:rsidRPr="00F9522B">
              <w:rPr>
                <w:rFonts w:eastAsiaTheme="minorEastAsia"/>
                <w:bCs/>
              </w:rPr>
              <w:t>输配电</w:t>
            </w:r>
            <w:r w:rsidRPr="00F9522B">
              <w:rPr>
                <w:rFonts w:eastAsiaTheme="minorEastAsia"/>
              </w:rPr>
              <w:t>工程处设置双层移动隔声屏障，高度为</w:t>
            </w:r>
            <w:r w:rsidRPr="00F9522B">
              <w:rPr>
                <w:rFonts w:eastAsiaTheme="minorEastAsia"/>
              </w:rPr>
              <w:t>2m</w:t>
            </w:r>
            <w:r w:rsidRPr="00F9522B">
              <w:rPr>
                <w:rFonts w:eastAsiaTheme="minorEastAsia"/>
              </w:rPr>
              <w:t>，长度超出敏感目标两侧各</w:t>
            </w:r>
            <w:r w:rsidRPr="00F9522B">
              <w:rPr>
                <w:rFonts w:eastAsiaTheme="minorEastAsia"/>
              </w:rPr>
              <w:t>10m</w:t>
            </w:r>
            <w:r w:rsidRPr="00F9522B">
              <w:rPr>
                <w:rFonts w:eastAsiaTheme="minorEastAsia"/>
                <w:szCs w:val="21"/>
              </w:rPr>
              <w:t>；对施工机械和车辆进行维护保养；运输车辆在经过沿线村屯时采取减速慢行、禁止鸣笛等管理措施，</w:t>
            </w:r>
            <w:r w:rsidRPr="00F9522B">
              <w:rPr>
                <w:rFonts w:eastAsiaTheme="minorEastAsia"/>
                <w:bCs/>
                <w:szCs w:val="21"/>
              </w:rPr>
              <w:t>控制车速不超过</w:t>
            </w:r>
            <w:r w:rsidRPr="00F9522B">
              <w:rPr>
                <w:rFonts w:eastAsiaTheme="minorEastAsia"/>
                <w:bCs/>
                <w:szCs w:val="21"/>
              </w:rPr>
              <w:t>20km/h</w:t>
            </w:r>
            <w:r w:rsidRPr="00F9522B">
              <w:rPr>
                <w:rFonts w:eastAsiaTheme="minorEastAsia"/>
                <w:szCs w:val="21"/>
              </w:rPr>
              <w:t>；合理布置施工现场，尽量让高噪声设备远离敏感点一侧布置。加强施工期环境管理，尽量避免高噪声机械设备集中使用或几台声功率相同的设备同时、同点作业，以减少作业时的噪声声级。合理安排施工作业时间，禁止夜间（</w:t>
            </w:r>
            <w:r w:rsidRPr="00F9522B">
              <w:rPr>
                <w:rFonts w:eastAsiaTheme="minorEastAsia"/>
                <w:szCs w:val="21"/>
              </w:rPr>
              <w:t>22:00-6:00</w:t>
            </w:r>
            <w:r w:rsidRPr="00F9522B">
              <w:rPr>
                <w:rFonts w:eastAsiaTheme="minorEastAsia"/>
                <w:szCs w:val="21"/>
              </w:rPr>
              <w:t>）施工；</w:t>
            </w:r>
            <w:r w:rsidRPr="00F9522B">
              <w:rPr>
                <w:rFonts w:eastAsiaTheme="minorEastAsia"/>
                <w:bCs/>
                <w:szCs w:val="21"/>
              </w:rPr>
              <w:t>加强施工期噪声监测，确保声环境功能区达标</w:t>
            </w:r>
          </w:p>
        </w:tc>
        <w:tc>
          <w:tcPr>
            <w:tcW w:w="1701" w:type="dxa"/>
            <w:shd w:val="clear" w:color="auto" w:fill="auto"/>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《建筑施工噪声排放标准》（</w:t>
            </w:r>
            <w:r w:rsidRPr="00F9522B">
              <w:rPr>
                <w:rFonts w:eastAsiaTheme="minorEastAsia"/>
                <w:szCs w:val="21"/>
              </w:rPr>
              <w:t>GB12523-2025)</w:t>
            </w:r>
          </w:p>
        </w:tc>
        <w:tc>
          <w:tcPr>
            <w:tcW w:w="1770" w:type="dxa"/>
            <w:shd w:val="clear" w:color="auto" w:fill="auto"/>
            <w:vAlign w:val="center"/>
          </w:tcPr>
          <w:p w:rsidR="002A5A5E" w:rsidRPr="00F9522B" w:rsidRDefault="005273A1">
            <w:pPr>
              <w:spacing w:line="300" w:lineRule="atLeast"/>
              <w:jc w:val="center"/>
              <w:rPr>
                <w:rFonts w:eastAsiaTheme="minorEastAsia"/>
                <w:sz w:val="18"/>
                <w:szCs w:val="18"/>
              </w:rPr>
            </w:pPr>
            <w:r w:rsidRPr="005273A1">
              <w:rPr>
                <w:rFonts w:eastAsiaTheme="minorEastAsia"/>
                <w:szCs w:val="21"/>
              </w:rPr>
              <w:pict>
                <v:shape id="图片 441" o:spid="_x0000_s696754" type="#_x0000_t75" style="position:absolute;left:0;text-align:left;margin-left:22.3pt;margin-top:2.45pt;width:35.7pt;height:31.05pt;z-index:251705344;mso-position-horizontal-relative:text;mso-position-vertical-relative:text">
                  <v:imagedata r:id="rId119" o:title=""/>
                </v:shape>
              </w:pict>
            </w:r>
          </w:p>
          <w:p w:rsidR="002A5A5E" w:rsidRPr="00F9522B" w:rsidRDefault="002A5A5E">
            <w:pPr>
              <w:spacing w:line="0" w:lineRule="atLeast"/>
              <w:jc w:val="center"/>
              <w:rPr>
                <w:rFonts w:eastAsiaTheme="minorEastAsia"/>
                <w:b/>
                <w:bCs/>
                <w:sz w:val="18"/>
                <w:szCs w:val="18"/>
              </w:rPr>
            </w:pPr>
          </w:p>
          <w:p w:rsidR="00730492" w:rsidRDefault="00730492">
            <w:pPr>
              <w:spacing w:line="0" w:lineRule="atLeast"/>
              <w:jc w:val="center"/>
              <w:rPr>
                <w:rFonts w:eastAsiaTheme="minorEastAsia"/>
                <w:b/>
                <w:bCs/>
                <w:sz w:val="18"/>
                <w:szCs w:val="18"/>
              </w:rPr>
            </w:pPr>
          </w:p>
          <w:p w:rsidR="002A5A5E" w:rsidRPr="00F9522B" w:rsidRDefault="00611CBA">
            <w:pPr>
              <w:spacing w:line="0" w:lineRule="atLeast"/>
              <w:jc w:val="center"/>
              <w:rPr>
                <w:rFonts w:eastAsiaTheme="minorEastAsia"/>
                <w:sz w:val="18"/>
                <w:szCs w:val="18"/>
              </w:rPr>
            </w:pPr>
            <w:r w:rsidRPr="00F9522B">
              <w:rPr>
                <w:rFonts w:eastAsiaTheme="minorEastAsia"/>
                <w:b/>
                <w:bCs/>
                <w:sz w:val="18"/>
                <w:szCs w:val="18"/>
              </w:rPr>
              <w:t>提示图形符号</w:t>
            </w:r>
          </w:p>
          <w:p w:rsidR="002A5A5E" w:rsidRPr="00F9522B" w:rsidRDefault="000D2D13">
            <w:pPr>
              <w:spacing w:line="0" w:lineRule="atLeast"/>
              <w:jc w:val="center"/>
              <w:rPr>
                <w:rFonts w:eastAsiaTheme="minorEastAsia"/>
                <w:sz w:val="18"/>
                <w:szCs w:val="18"/>
              </w:rPr>
            </w:pPr>
            <w:r w:rsidRPr="005273A1">
              <w:rPr>
                <w:rFonts w:eastAsiaTheme="minorEastAsia"/>
                <w:sz w:val="18"/>
                <w:szCs w:val="18"/>
              </w:rPr>
              <w:pict>
                <v:shape id="_x0000_i1030" type="#_x0000_t75" style="width:36.85pt;height:31pt">
                  <v:imagedata r:id="rId120" o:title=""/>
                </v:shape>
              </w:pict>
            </w:r>
          </w:p>
          <w:p w:rsidR="002A5A5E" w:rsidRPr="00F9522B" w:rsidRDefault="00611CBA">
            <w:pPr>
              <w:spacing w:line="300" w:lineRule="atLeast"/>
              <w:jc w:val="center"/>
              <w:rPr>
                <w:rFonts w:eastAsiaTheme="minorEastAsia"/>
                <w:sz w:val="18"/>
                <w:szCs w:val="18"/>
              </w:rPr>
            </w:pPr>
            <w:r w:rsidRPr="00F9522B">
              <w:rPr>
                <w:rFonts w:eastAsiaTheme="minorEastAsia"/>
                <w:b/>
                <w:bCs/>
                <w:sz w:val="18"/>
                <w:szCs w:val="18"/>
              </w:rPr>
              <w:t>警告图形符号</w:t>
            </w:r>
          </w:p>
        </w:tc>
      </w:tr>
    </w:tbl>
    <w:p w:rsidR="002A5A5E" w:rsidRPr="00F9522B" w:rsidRDefault="00611CBA">
      <w:pPr>
        <w:contextualSpacing/>
        <w:jc w:val="center"/>
        <w:rPr>
          <w:rFonts w:eastAsiaTheme="minorEastAsia"/>
          <w:b/>
          <w:kern w:val="0"/>
          <w:szCs w:val="21"/>
        </w:rPr>
      </w:pPr>
      <w:r w:rsidRPr="00F9522B">
        <w:rPr>
          <w:rFonts w:eastAsiaTheme="minorEastAsia"/>
          <w:b/>
          <w:kern w:val="0"/>
          <w:szCs w:val="21"/>
        </w:rPr>
        <w:lastRenderedPageBreak/>
        <w:t>续表</w:t>
      </w:r>
      <w:r w:rsidRPr="00F9522B">
        <w:rPr>
          <w:rFonts w:eastAsiaTheme="minorEastAsia"/>
          <w:b/>
          <w:kern w:val="0"/>
          <w:szCs w:val="21"/>
        </w:rPr>
        <w:t>8-1-1</w:t>
      </w:r>
      <w:r w:rsidRPr="00F9522B">
        <w:rPr>
          <w:rFonts w:eastAsiaTheme="minorEastAsia"/>
          <w:b/>
          <w:kern w:val="0"/>
          <w:szCs w:val="21"/>
        </w:rPr>
        <w:t>污染物排放清单一览表</w:t>
      </w:r>
    </w:p>
    <w:tbl>
      <w:tblPr>
        <w:tblW w:w="14531" w:type="dxa"/>
        <w:jc w:val="center"/>
        <w:tblBorders>
          <w:top w:val="single" w:sz="12" w:space="0" w:color="auto"/>
          <w:bottom w:val="single" w:sz="12" w:space="0" w:color="auto"/>
          <w:insideH w:val="single" w:sz="4" w:space="0" w:color="auto"/>
          <w:insideV w:val="single" w:sz="4" w:space="0" w:color="auto"/>
        </w:tblBorders>
        <w:tblCellMar>
          <w:left w:w="23" w:type="dxa"/>
          <w:right w:w="23" w:type="dxa"/>
        </w:tblCellMar>
        <w:tblLook w:val="04A0"/>
      </w:tblPr>
      <w:tblGrid>
        <w:gridCol w:w="1483"/>
        <w:gridCol w:w="1075"/>
        <w:gridCol w:w="6611"/>
        <w:gridCol w:w="3592"/>
        <w:gridCol w:w="1770"/>
      </w:tblGrid>
      <w:tr w:rsidR="002A5A5E" w:rsidRPr="00F9522B" w:rsidTr="00730492">
        <w:trPr>
          <w:trHeight w:val="919"/>
          <w:jc w:val="center"/>
        </w:trPr>
        <w:tc>
          <w:tcPr>
            <w:tcW w:w="1483" w:type="dxa"/>
            <w:vMerge w:val="restart"/>
            <w:shd w:val="clear" w:color="auto" w:fill="auto"/>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施工期固废</w:t>
            </w:r>
          </w:p>
        </w:tc>
        <w:tc>
          <w:tcPr>
            <w:tcW w:w="1075" w:type="dxa"/>
            <w:shd w:val="clear" w:color="auto" w:fill="auto"/>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建筑垃圾、弃方、表土、淤泥、</w:t>
            </w:r>
            <w:r w:rsidRPr="00F9522B">
              <w:rPr>
                <w:rFonts w:eastAsiaTheme="minorEastAsia"/>
              </w:rPr>
              <w:t>废肥料包装袋</w:t>
            </w:r>
          </w:p>
        </w:tc>
        <w:tc>
          <w:tcPr>
            <w:tcW w:w="6611" w:type="dxa"/>
            <w:shd w:val="clear" w:color="auto" w:fill="auto"/>
            <w:vAlign w:val="center"/>
          </w:tcPr>
          <w:p w:rsidR="002A5A5E" w:rsidRPr="00F9522B" w:rsidRDefault="00611CBA" w:rsidP="0061289D">
            <w:pPr>
              <w:spacing w:line="0" w:lineRule="atLeast"/>
              <w:jc w:val="center"/>
              <w:rPr>
                <w:rFonts w:eastAsiaTheme="minorEastAsia"/>
                <w:bCs/>
                <w:szCs w:val="21"/>
              </w:rPr>
            </w:pPr>
            <w:r w:rsidRPr="00F9522B">
              <w:rPr>
                <w:rFonts w:eastAsiaTheme="minorEastAsia"/>
                <w:szCs w:val="21"/>
              </w:rPr>
              <w:t>建筑垃圾大部分用于</w:t>
            </w:r>
            <w:r w:rsidRPr="00F9522B">
              <w:rPr>
                <w:rFonts w:eastAsiaTheme="minorEastAsia"/>
                <w:snapToGrid w:val="0"/>
                <w:kern w:val="0"/>
              </w:rPr>
              <w:t>田块整治工程，剩余</w:t>
            </w:r>
            <w:r w:rsidRPr="00F9522B">
              <w:rPr>
                <w:rFonts w:eastAsiaTheme="minorEastAsia"/>
                <w:szCs w:val="21"/>
              </w:rPr>
              <w:t>及时送至建材公司回用。</w:t>
            </w:r>
            <w:r w:rsidRPr="00F9522B">
              <w:rPr>
                <w:rFonts w:eastAsiaTheme="minorEastAsia"/>
              </w:rPr>
              <w:t>钻井泥浆循环利用，</w:t>
            </w:r>
            <w:r w:rsidRPr="00F9522B">
              <w:rPr>
                <w:rFonts w:eastAsiaTheme="minorEastAsia"/>
                <w:szCs w:val="22"/>
              </w:rPr>
              <w:t>废泥浆</w:t>
            </w:r>
            <w:r w:rsidRPr="00F9522B">
              <w:rPr>
                <w:rFonts w:eastAsiaTheme="minorEastAsia"/>
              </w:rPr>
              <w:t>暂存于施工场地</w:t>
            </w:r>
            <w:r w:rsidR="0009673A" w:rsidRPr="00F9522B">
              <w:rPr>
                <w:rFonts w:eastAsiaTheme="minorEastAsia"/>
              </w:rPr>
              <w:t>5</w:t>
            </w:r>
            <w:r w:rsidR="0009673A" w:rsidRPr="00F9522B">
              <w:rPr>
                <w:rFonts w:eastAsiaTheme="minorEastAsia"/>
              </w:rPr>
              <w:t>个</w:t>
            </w:r>
            <w:r w:rsidR="0009673A" w:rsidRPr="00F9522B">
              <w:rPr>
                <w:rFonts w:eastAsiaTheme="minorEastAsia"/>
              </w:rPr>
              <w:t>2</w:t>
            </w:r>
            <w:r w:rsidRPr="00F9522B">
              <w:rPr>
                <w:rFonts w:eastAsiaTheme="minorEastAsia"/>
              </w:rPr>
              <w:t>0</w:t>
            </w:r>
            <w:r w:rsidRPr="00F9522B">
              <w:rPr>
                <w:rFonts w:eastAsiaTheme="minorEastAsia"/>
                <w:szCs w:val="22"/>
              </w:rPr>
              <w:t>m</w:t>
            </w:r>
            <w:r w:rsidRPr="00F9522B">
              <w:rPr>
                <w:rFonts w:eastAsiaTheme="minorEastAsia"/>
                <w:szCs w:val="22"/>
                <w:vertAlign w:val="superscript"/>
              </w:rPr>
              <w:t>3</w:t>
            </w:r>
            <w:r w:rsidRPr="00F9522B">
              <w:rPr>
                <w:rFonts w:eastAsiaTheme="minorEastAsia"/>
              </w:rPr>
              <w:t>移动式不锈钢沉淀池内，沉淀后上层清水用于洒水降尘，下层钻井</w:t>
            </w:r>
            <w:r w:rsidRPr="00F9522B">
              <w:rPr>
                <w:rFonts w:eastAsiaTheme="minorEastAsia"/>
                <w:bCs/>
              </w:rPr>
              <w:t>泥浆自然干化后用于周围路面平整</w:t>
            </w:r>
            <w:r w:rsidRPr="00F9522B">
              <w:rPr>
                <w:rFonts w:eastAsiaTheme="minorEastAsia"/>
                <w:szCs w:val="21"/>
              </w:rPr>
              <w:t>；表土全部用于临时工程土地恢复及田块整治工程，土方能回填的及时回填，</w:t>
            </w:r>
            <w:r w:rsidR="00730492" w:rsidRPr="00730492">
              <w:rPr>
                <w:rFonts w:eastAsiaTheme="minorEastAsia" w:hint="eastAsia"/>
                <w:bCs/>
                <w:color w:val="FF0000"/>
              </w:rPr>
              <w:t>排水沟淤泥培至工程附近</w:t>
            </w:r>
            <w:r w:rsidR="00730492" w:rsidRPr="00730492">
              <w:rPr>
                <w:rFonts w:eastAsiaTheme="minorEastAsia" w:hint="eastAsia"/>
                <w:bCs/>
                <w:color w:val="FF0000"/>
              </w:rPr>
              <w:t>200</w:t>
            </w:r>
            <w:r w:rsidR="00730492" w:rsidRPr="00730492">
              <w:rPr>
                <w:rFonts w:eastAsiaTheme="minorEastAsia" w:hint="eastAsia"/>
                <w:bCs/>
                <w:color w:val="FF0000"/>
              </w:rPr>
              <w:t>米范围内无环境保护目标的排水沟两侧（避开南城李、方台镇、宋家村等</w:t>
            </w:r>
            <w:r w:rsidR="00730492" w:rsidRPr="00730492">
              <w:rPr>
                <w:rFonts w:eastAsiaTheme="minorEastAsia" w:hint="eastAsia"/>
                <w:bCs/>
                <w:color w:val="FF0000"/>
              </w:rPr>
              <w:t>33</w:t>
            </w:r>
            <w:r w:rsidR="00730492" w:rsidRPr="00730492">
              <w:rPr>
                <w:rFonts w:eastAsiaTheme="minorEastAsia" w:hint="eastAsia"/>
                <w:bCs/>
                <w:color w:val="FF0000"/>
              </w:rPr>
              <w:t>个村屯，具体见表</w:t>
            </w:r>
            <w:r w:rsidR="00730492" w:rsidRPr="00730492">
              <w:rPr>
                <w:rFonts w:eastAsiaTheme="minorEastAsia" w:hint="eastAsia"/>
                <w:bCs/>
                <w:color w:val="FF0000"/>
              </w:rPr>
              <w:t>2-8-2</w:t>
            </w:r>
            <w:r w:rsidR="00730492" w:rsidRPr="00730492">
              <w:rPr>
                <w:rFonts w:eastAsiaTheme="minorEastAsia" w:hint="eastAsia"/>
                <w:bCs/>
                <w:color w:val="FF0000"/>
              </w:rPr>
              <w:t>）</w:t>
            </w:r>
            <w:r w:rsidRPr="00F9522B">
              <w:rPr>
                <w:rFonts w:eastAsiaTheme="minorEastAsia"/>
                <w:bCs/>
                <w:szCs w:val="21"/>
              </w:rPr>
              <w:t>；</w:t>
            </w:r>
            <w:r w:rsidRPr="00F9522B">
              <w:rPr>
                <w:rFonts w:eastAsiaTheme="minorEastAsia"/>
              </w:rPr>
              <w:t>废肥料包装袋外售废品收购站</w:t>
            </w:r>
          </w:p>
        </w:tc>
        <w:tc>
          <w:tcPr>
            <w:tcW w:w="3592" w:type="dxa"/>
            <w:shd w:val="clear" w:color="auto" w:fill="auto"/>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100%</w:t>
            </w:r>
            <w:r w:rsidRPr="00F9522B">
              <w:rPr>
                <w:rFonts w:eastAsiaTheme="minorEastAsia"/>
                <w:szCs w:val="21"/>
              </w:rPr>
              <w:t>处置</w:t>
            </w:r>
          </w:p>
        </w:tc>
        <w:tc>
          <w:tcPr>
            <w:tcW w:w="1770" w:type="dxa"/>
            <w:shd w:val="clear" w:color="auto" w:fill="auto"/>
            <w:vAlign w:val="center"/>
          </w:tcPr>
          <w:p w:rsidR="002A5A5E" w:rsidRPr="00F9522B" w:rsidRDefault="00611CBA">
            <w:pPr>
              <w:jc w:val="center"/>
              <w:rPr>
                <w:rFonts w:eastAsiaTheme="minorEastAsia"/>
                <w:szCs w:val="21"/>
              </w:rPr>
            </w:pPr>
            <w:r w:rsidRPr="00F9522B">
              <w:rPr>
                <w:rFonts w:eastAsiaTheme="minorEastAsia"/>
                <w:noProof/>
                <w:szCs w:val="21"/>
              </w:rPr>
              <w:drawing>
                <wp:inline distT="0" distB="0" distL="0" distR="0">
                  <wp:extent cx="695325" cy="619125"/>
                  <wp:effectExtent l="19050" t="0" r="9525" b="0"/>
                  <wp:docPr id="27"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81"/>
                          <pic:cNvPicPr>
                            <a:picLocks noChangeAspect="1" noChangeArrowheads="1"/>
                          </pic:cNvPicPr>
                        </pic:nvPicPr>
                        <pic:blipFill>
                          <a:blip r:embed="rId121"/>
                          <a:srcRect/>
                          <a:stretch>
                            <a:fillRect/>
                          </a:stretch>
                        </pic:blipFill>
                        <pic:spPr>
                          <a:xfrm>
                            <a:off x="0" y="0"/>
                            <a:ext cx="695325" cy="619125"/>
                          </a:xfrm>
                          <a:prstGeom prst="rect">
                            <a:avLst/>
                          </a:prstGeom>
                          <a:noFill/>
                          <a:ln w="9525">
                            <a:noFill/>
                            <a:miter lim="800000"/>
                            <a:headEnd/>
                            <a:tailEnd/>
                          </a:ln>
                        </pic:spPr>
                      </pic:pic>
                    </a:graphicData>
                  </a:graphic>
                </wp:inline>
              </w:drawing>
            </w:r>
          </w:p>
          <w:p w:rsidR="002A5A5E" w:rsidRPr="00F9522B" w:rsidRDefault="00611CBA">
            <w:pPr>
              <w:spacing w:line="0" w:lineRule="atLeast"/>
              <w:jc w:val="center"/>
              <w:rPr>
                <w:rFonts w:eastAsiaTheme="minorEastAsia"/>
                <w:szCs w:val="21"/>
              </w:rPr>
            </w:pPr>
            <w:r w:rsidRPr="00F9522B">
              <w:rPr>
                <w:rFonts w:eastAsiaTheme="minorEastAsia"/>
                <w:b/>
                <w:bCs/>
                <w:szCs w:val="21"/>
              </w:rPr>
              <w:t>一般固体废物</w:t>
            </w:r>
          </w:p>
        </w:tc>
      </w:tr>
      <w:tr w:rsidR="002A5A5E" w:rsidRPr="00F9522B" w:rsidTr="00730492">
        <w:trPr>
          <w:trHeight w:val="85"/>
          <w:jc w:val="center"/>
        </w:trPr>
        <w:tc>
          <w:tcPr>
            <w:tcW w:w="1483" w:type="dxa"/>
            <w:vMerge/>
            <w:shd w:val="clear" w:color="auto" w:fill="auto"/>
            <w:vAlign w:val="center"/>
          </w:tcPr>
          <w:p w:rsidR="002A5A5E" w:rsidRPr="00F9522B" w:rsidRDefault="002A5A5E">
            <w:pPr>
              <w:spacing w:line="0" w:lineRule="atLeast"/>
              <w:jc w:val="center"/>
              <w:rPr>
                <w:rFonts w:eastAsiaTheme="minorEastAsia"/>
                <w:szCs w:val="21"/>
              </w:rPr>
            </w:pPr>
          </w:p>
        </w:tc>
        <w:tc>
          <w:tcPr>
            <w:tcW w:w="1075" w:type="dxa"/>
            <w:shd w:val="clear" w:color="auto" w:fill="auto"/>
            <w:vAlign w:val="center"/>
          </w:tcPr>
          <w:p w:rsidR="002A5A5E" w:rsidRPr="00F9522B" w:rsidRDefault="00611CBA">
            <w:pPr>
              <w:jc w:val="center"/>
              <w:rPr>
                <w:rFonts w:eastAsiaTheme="minorEastAsia"/>
                <w:szCs w:val="21"/>
              </w:rPr>
            </w:pPr>
            <w:r w:rsidRPr="00F9522B">
              <w:rPr>
                <w:rFonts w:eastAsiaTheme="minorEastAsia"/>
                <w:szCs w:val="21"/>
              </w:rPr>
              <w:t>生活垃圾</w:t>
            </w:r>
          </w:p>
        </w:tc>
        <w:tc>
          <w:tcPr>
            <w:tcW w:w="6611" w:type="dxa"/>
            <w:shd w:val="clear" w:color="auto" w:fill="auto"/>
            <w:vAlign w:val="center"/>
          </w:tcPr>
          <w:p w:rsidR="002A5A5E" w:rsidRPr="00F9522B" w:rsidRDefault="00611CBA">
            <w:pPr>
              <w:jc w:val="center"/>
              <w:rPr>
                <w:rFonts w:eastAsiaTheme="minorEastAsia"/>
                <w:szCs w:val="21"/>
              </w:rPr>
            </w:pPr>
            <w:r w:rsidRPr="00F9522B">
              <w:rPr>
                <w:rFonts w:eastAsiaTheme="minorEastAsia"/>
                <w:bCs/>
                <w:szCs w:val="21"/>
              </w:rPr>
              <w:t>当地环卫部门统一处理</w:t>
            </w:r>
          </w:p>
        </w:tc>
        <w:tc>
          <w:tcPr>
            <w:tcW w:w="3592" w:type="dxa"/>
            <w:shd w:val="clear" w:color="auto" w:fill="auto"/>
            <w:vAlign w:val="center"/>
          </w:tcPr>
          <w:p w:rsidR="002A5A5E" w:rsidRPr="00F9522B" w:rsidRDefault="00611CBA">
            <w:pPr>
              <w:jc w:val="center"/>
              <w:rPr>
                <w:rFonts w:eastAsiaTheme="minorEastAsia"/>
                <w:szCs w:val="21"/>
              </w:rPr>
            </w:pPr>
            <w:r w:rsidRPr="00F9522B">
              <w:rPr>
                <w:rFonts w:eastAsiaTheme="minorEastAsia"/>
                <w:szCs w:val="21"/>
              </w:rPr>
              <w:t>/</w:t>
            </w:r>
          </w:p>
        </w:tc>
        <w:tc>
          <w:tcPr>
            <w:tcW w:w="1770" w:type="dxa"/>
            <w:shd w:val="clear" w:color="auto" w:fill="auto"/>
            <w:vAlign w:val="center"/>
          </w:tcPr>
          <w:p w:rsidR="002A5A5E" w:rsidRPr="00F9522B" w:rsidRDefault="00611CBA">
            <w:pPr>
              <w:jc w:val="center"/>
              <w:rPr>
                <w:rFonts w:eastAsiaTheme="minorEastAsia"/>
                <w:szCs w:val="21"/>
              </w:rPr>
            </w:pPr>
            <w:r w:rsidRPr="00F9522B">
              <w:rPr>
                <w:rFonts w:eastAsiaTheme="minorEastAsia"/>
                <w:szCs w:val="21"/>
              </w:rPr>
              <w:t>/</w:t>
            </w:r>
          </w:p>
        </w:tc>
      </w:tr>
      <w:tr w:rsidR="002A5A5E" w:rsidRPr="00F9522B" w:rsidTr="00730492">
        <w:trPr>
          <w:trHeight w:val="919"/>
          <w:jc w:val="center"/>
        </w:trPr>
        <w:tc>
          <w:tcPr>
            <w:tcW w:w="1483" w:type="dxa"/>
            <w:shd w:val="clear" w:color="auto" w:fill="auto"/>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运营期废气</w:t>
            </w:r>
          </w:p>
        </w:tc>
        <w:tc>
          <w:tcPr>
            <w:tcW w:w="1075" w:type="dxa"/>
            <w:shd w:val="clear" w:color="auto" w:fill="auto"/>
            <w:vAlign w:val="center"/>
          </w:tcPr>
          <w:p w:rsidR="002A5A5E" w:rsidRPr="00F9522B" w:rsidRDefault="00611CBA">
            <w:pPr>
              <w:pStyle w:val="aff7"/>
              <w:rPr>
                <w:rFonts w:eastAsiaTheme="minorEastAsia" w:hAnsi="Times New Roman"/>
                <w:snapToGrid w:val="0"/>
              </w:rPr>
            </w:pPr>
            <w:r w:rsidRPr="00F9522B">
              <w:rPr>
                <w:rFonts w:eastAsiaTheme="minorEastAsia" w:hAnsi="Times New Roman"/>
                <w:bCs/>
                <w:snapToGrid w:val="0"/>
              </w:rPr>
              <w:t>CO</w:t>
            </w:r>
            <w:r w:rsidRPr="00F9522B">
              <w:rPr>
                <w:rFonts w:eastAsiaTheme="minorEastAsia" w:hAnsi="Times New Roman"/>
                <w:bCs/>
                <w:snapToGrid w:val="0"/>
              </w:rPr>
              <w:t>、</w:t>
            </w:r>
            <w:r w:rsidRPr="00F9522B">
              <w:rPr>
                <w:rFonts w:eastAsiaTheme="minorEastAsia" w:hAnsi="Times New Roman"/>
                <w:bCs/>
                <w:snapToGrid w:val="0"/>
              </w:rPr>
              <w:t>HC+NOx</w:t>
            </w:r>
            <w:r w:rsidRPr="00F9522B">
              <w:rPr>
                <w:rFonts w:eastAsiaTheme="minorEastAsia" w:hAnsi="Times New Roman"/>
                <w:bCs/>
                <w:snapToGrid w:val="0"/>
              </w:rPr>
              <w:t>、</w:t>
            </w:r>
            <w:r w:rsidRPr="00F9522B">
              <w:rPr>
                <w:rFonts w:eastAsiaTheme="minorEastAsia" w:hAnsi="Times New Roman"/>
                <w:bCs/>
                <w:snapToGrid w:val="0"/>
              </w:rPr>
              <w:t>THC</w:t>
            </w:r>
          </w:p>
        </w:tc>
        <w:tc>
          <w:tcPr>
            <w:tcW w:w="6611" w:type="dxa"/>
            <w:shd w:val="clear" w:color="auto" w:fill="auto"/>
            <w:vAlign w:val="center"/>
          </w:tcPr>
          <w:p w:rsidR="002A5A5E" w:rsidRPr="00F9522B" w:rsidRDefault="00611CBA">
            <w:pPr>
              <w:pStyle w:val="aff7"/>
              <w:rPr>
                <w:rFonts w:eastAsiaTheme="minorEastAsia" w:hAnsi="Times New Roman"/>
                <w:b/>
              </w:rPr>
            </w:pPr>
            <w:r w:rsidRPr="00F9522B">
              <w:rPr>
                <w:rFonts w:eastAsiaTheme="minorEastAsia" w:hAnsi="Times New Roman"/>
                <w:kern w:val="0"/>
              </w:rPr>
              <w:t>田间道路</w:t>
            </w:r>
            <w:r w:rsidRPr="00F9522B">
              <w:rPr>
                <w:rFonts w:eastAsiaTheme="minorEastAsia" w:hAnsi="Times New Roman"/>
              </w:rPr>
              <w:t>车辆通过会产生少量汽车尾气，采取限速措施；排水沟仅在降水无法排出情况下采用柴油机移动泵车进行排水，使用时间较短，采用轻质柴油，减少柴油机移动泵车废气影响</w:t>
            </w:r>
          </w:p>
        </w:tc>
        <w:tc>
          <w:tcPr>
            <w:tcW w:w="3592" w:type="dxa"/>
            <w:shd w:val="clear" w:color="auto" w:fill="auto"/>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GB20891-2014</w:t>
            </w:r>
            <w:r w:rsidRPr="00F9522B">
              <w:rPr>
                <w:rFonts w:eastAsiaTheme="minorEastAsia"/>
                <w:szCs w:val="21"/>
              </w:rPr>
              <w:t>《非道路移动机械用柴油机排气污染物排放限值及测量方法（中国三、四阶段）》中第四阶段（</w:t>
            </w:r>
            <w:r w:rsidRPr="00F9522B">
              <w:rPr>
                <w:rFonts w:eastAsiaTheme="minorEastAsia"/>
                <w:szCs w:val="21"/>
              </w:rPr>
              <w:t>130</w:t>
            </w:r>
            <w:r w:rsidRPr="00F9522B">
              <w:rPr>
                <w:rFonts w:eastAsiaTheme="minorEastAsia"/>
                <w:szCs w:val="21"/>
              </w:rPr>
              <w:t>＜额定功率＜</w:t>
            </w:r>
            <w:r w:rsidRPr="00F9522B">
              <w:rPr>
                <w:rFonts w:eastAsiaTheme="minorEastAsia"/>
                <w:szCs w:val="21"/>
              </w:rPr>
              <w:t>560kW</w:t>
            </w:r>
            <w:r w:rsidRPr="00F9522B">
              <w:rPr>
                <w:rFonts w:eastAsiaTheme="minorEastAsia"/>
                <w:szCs w:val="21"/>
              </w:rPr>
              <w:t>）</w:t>
            </w:r>
          </w:p>
        </w:tc>
        <w:tc>
          <w:tcPr>
            <w:tcW w:w="1770" w:type="dxa"/>
            <w:shd w:val="clear" w:color="auto" w:fill="auto"/>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w:t>
            </w:r>
          </w:p>
        </w:tc>
      </w:tr>
      <w:tr w:rsidR="00D33612" w:rsidRPr="00F9522B" w:rsidTr="00730492">
        <w:trPr>
          <w:trHeight w:val="623"/>
          <w:jc w:val="center"/>
        </w:trPr>
        <w:tc>
          <w:tcPr>
            <w:tcW w:w="1483" w:type="dxa"/>
            <w:vMerge w:val="restart"/>
            <w:shd w:val="clear" w:color="auto" w:fill="auto"/>
            <w:vAlign w:val="center"/>
          </w:tcPr>
          <w:p w:rsidR="00D33612" w:rsidRPr="00F9522B" w:rsidRDefault="00D33612">
            <w:pPr>
              <w:pStyle w:val="aff7"/>
              <w:rPr>
                <w:rFonts w:eastAsiaTheme="minorEastAsia" w:hAnsi="Times New Roman"/>
              </w:rPr>
            </w:pPr>
            <w:r w:rsidRPr="00F9522B">
              <w:rPr>
                <w:rFonts w:eastAsiaTheme="minorEastAsia" w:hAnsi="Times New Roman"/>
              </w:rPr>
              <w:t>运营期固体废物</w:t>
            </w:r>
          </w:p>
        </w:tc>
        <w:tc>
          <w:tcPr>
            <w:tcW w:w="1075" w:type="dxa"/>
            <w:shd w:val="clear" w:color="auto" w:fill="auto"/>
            <w:vAlign w:val="center"/>
          </w:tcPr>
          <w:p w:rsidR="00D33612" w:rsidRPr="00F9522B" w:rsidRDefault="00D33612" w:rsidP="00D33612">
            <w:pPr>
              <w:spacing w:line="0" w:lineRule="atLeast"/>
              <w:jc w:val="center"/>
              <w:rPr>
                <w:rFonts w:eastAsiaTheme="minorEastAsia"/>
                <w:szCs w:val="21"/>
              </w:rPr>
            </w:pPr>
            <w:r w:rsidRPr="00F9522B">
              <w:rPr>
                <w:rFonts w:eastAsiaTheme="minorEastAsia"/>
                <w:szCs w:val="21"/>
              </w:rPr>
              <w:t>秸秆、</w:t>
            </w:r>
            <w:r w:rsidRPr="00F9522B">
              <w:rPr>
                <w:rFonts w:eastAsiaTheme="minorEastAsia"/>
                <w:bCs/>
                <w:szCs w:val="21"/>
              </w:rPr>
              <w:t>废肥料包装袋</w:t>
            </w:r>
          </w:p>
        </w:tc>
        <w:tc>
          <w:tcPr>
            <w:tcW w:w="6611" w:type="dxa"/>
            <w:shd w:val="clear" w:color="auto" w:fill="auto"/>
            <w:vAlign w:val="center"/>
          </w:tcPr>
          <w:p w:rsidR="00D33612" w:rsidRPr="00F9522B" w:rsidRDefault="00D33612">
            <w:pPr>
              <w:pStyle w:val="aff7"/>
              <w:rPr>
                <w:rFonts w:eastAsiaTheme="minorEastAsia" w:hAnsi="Times New Roman"/>
              </w:rPr>
            </w:pPr>
            <w:r w:rsidRPr="00F9522B">
              <w:rPr>
                <w:rFonts w:hAnsi="Times New Roman"/>
                <w:bCs/>
              </w:rPr>
              <w:t>由当地农民负责外售综合利用</w:t>
            </w:r>
          </w:p>
        </w:tc>
        <w:tc>
          <w:tcPr>
            <w:tcW w:w="3592" w:type="dxa"/>
            <w:vMerge w:val="restart"/>
            <w:shd w:val="clear" w:color="auto" w:fill="auto"/>
            <w:vAlign w:val="center"/>
          </w:tcPr>
          <w:p w:rsidR="00D33612" w:rsidRPr="00F9522B" w:rsidRDefault="00D33612">
            <w:pPr>
              <w:spacing w:line="0" w:lineRule="atLeast"/>
              <w:jc w:val="center"/>
              <w:rPr>
                <w:rFonts w:eastAsiaTheme="minorEastAsia"/>
              </w:rPr>
            </w:pPr>
            <w:r w:rsidRPr="00F9522B">
              <w:rPr>
                <w:rFonts w:eastAsiaTheme="minorEastAsia"/>
                <w:szCs w:val="21"/>
              </w:rPr>
              <w:t>100%</w:t>
            </w:r>
            <w:r w:rsidRPr="00F9522B">
              <w:rPr>
                <w:rFonts w:eastAsiaTheme="minorEastAsia"/>
                <w:szCs w:val="21"/>
              </w:rPr>
              <w:t>处置</w:t>
            </w:r>
          </w:p>
        </w:tc>
        <w:tc>
          <w:tcPr>
            <w:tcW w:w="1770" w:type="dxa"/>
            <w:vMerge w:val="restart"/>
            <w:shd w:val="clear" w:color="auto" w:fill="auto"/>
            <w:vAlign w:val="center"/>
          </w:tcPr>
          <w:p w:rsidR="00D33612" w:rsidRPr="00F9522B" w:rsidRDefault="00D33612">
            <w:pPr>
              <w:jc w:val="center"/>
              <w:rPr>
                <w:rFonts w:eastAsiaTheme="minorEastAsia"/>
                <w:szCs w:val="21"/>
              </w:rPr>
            </w:pPr>
            <w:r w:rsidRPr="00F9522B">
              <w:rPr>
                <w:rFonts w:eastAsiaTheme="minorEastAsia"/>
                <w:noProof/>
                <w:szCs w:val="21"/>
              </w:rPr>
              <w:drawing>
                <wp:inline distT="0" distB="0" distL="0" distR="0">
                  <wp:extent cx="695325" cy="619125"/>
                  <wp:effectExtent l="19050" t="0" r="9525" b="0"/>
                  <wp:docPr id="63"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81"/>
                          <pic:cNvPicPr>
                            <a:picLocks noChangeAspect="1" noChangeArrowheads="1"/>
                          </pic:cNvPicPr>
                        </pic:nvPicPr>
                        <pic:blipFill>
                          <a:blip r:embed="rId121"/>
                          <a:srcRect/>
                          <a:stretch>
                            <a:fillRect/>
                          </a:stretch>
                        </pic:blipFill>
                        <pic:spPr>
                          <a:xfrm>
                            <a:off x="0" y="0"/>
                            <a:ext cx="695325" cy="619125"/>
                          </a:xfrm>
                          <a:prstGeom prst="rect">
                            <a:avLst/>
                          </a:prstGeom>
                          <a:noFill/>
                          <a:ln w="9525">
                            <a:noFill/>
                            <a:miter lim="800000"/>
                            <a:headEnd/>
                            <a:tailEnd/>
                          </a:ln>
                        </pic:spPr>
                      </pic:pic>
                    </a:graphicData>
                  </a:graphic>
                </wp:inline>
              </w:drawing>
            </w:r>
          </w:p>
          <w:p w:rsidR="00D33612" w:rsidRPr="00F9522B" w:rsidRDefault="00D33612">
            <w:pPr>
              <w:spacing w:line="0" w:lineRule="atLeast"/>
              <w:jc w:val="center"/>
              <w:rPr>
                <w:rFonts w:eastAsiaTheme="minorEastAsia"/>
                <w:szCs w:val="21"/>
              </w:rPr>
            </w:pPr>
            <w:r w:rsidRPr="00F9522B">
              <w:rPr>
                <w:rFonts w:eastAsiaTheme="minorEastAsia"/>
                <w:b/>
                <w:bCs/>
                <w:szCs w:val="21"/>
              </w:rPr>
              <w:t>一般固体废物</w:t>
            </w:r>
          </w:p>
        </w:tc>
      </w:tr>
      <w:tr w:rsidR="00D33612" w:rsidRPr="00F9522B" w:rsidTr="00730492">
        <w:trPr>
          <w:trHeight w:val="622"/>
          <w:jc w:val="center"/>
        </w:trPr>
        <w:tc>
          <w:tcPr>
            <w:tcW w:w="1483" w:type="dxa"/>
            <w:vMerge/>
            <w:shd w:val="clear" w:color="auto" w:fill="auto"/>
            <w:vAlign w:val="center"/>
          </w:tcPr>
          <w:p w:rsidR="00D33612" w:rsidRPr="00F9522B" w:rsidRDefault="00D33612">
            <w:pPr>
              <w:pStyle w:val="aff7"/>
              <w:rPr>
                <w:rFonts w:eastAsiaTheme="minorEastAsia" w:hAnsi="Times New Roman"/>
              </w:rPr>
            </w:pPr>
          </w:p>
        </w:tc>
        <w:tc>
          <w:tcPr>
            <w:tcW w:w="1075" w:type="dxa"/>
            <w:shd w:val="clear" w:color="auto" w:fill="auto"/>
            <w:vAlign w:val="center"/>
          </w:tcPr>
          <w:p w:rsidR="00D33612" w:rsidRPr="00F9522B" w:rsidRDefault="00D33612">
            <w:pPr>
              <w:spacing w:line="0" w:lineRule="atLeast"/>
              <w:jc w:val="center"/>
              <w:rPr>
                <w:rFonts w:eastAsiaTheme="minorEastAsia"/>
                <w:color w:val="FF0000"/>
                <w:szCs w:val="21"/>
              </w:rPr>
            </w:pPr>
            <w:r w:rsidRPr="00F9522B">
              <w:rPr>
                <w:rFonts w:eastAsiaTheme="minorEastAsia"/>
                <w:bCs/>
                <w:color w:val="FF0000"/>
                <w:szCs w:val="21"/>
              </w:rPr>
              <w:t>农药包装物</w:t>
            </w:r>
          </w:p>
        </w:tc>
        <w:tc>
          <w:tcPr>
            <w:tcW w:w="6611" w:type="dxa"/>
            <w:shd w:val="clear" w:color="auto" w:fill="auto"/>
            <w:vAlign w:val="center"/>
          </w:tcPr>
          <w:p w:rsidR="00D33612" w:rsidRPr="00F9522B" w:rsidRDefault="00D33612">
            <w:pPr>
              <w:pStyle w:val="aff7"/>
              <w:rPr>
                <w:rFonts w:hAnsi="Times New Roman"/>
                <w:bCs/>
                <w:color w:val="FF0000"/>
              </w:rPr>
            </w:pPr>
            <w:r w:rsidRPr="00F9522B">
              <w:rPr>
                <w:rFonts w:hAnsi="Times New Roman"/>
                <w:bCs/>
                <w:color w:val="FF0000"/>
              </w:rPr>
              <w:t>农业使用者及时收集农药包装物，由并交回农药经营者或回收站</w:t>
            </w:r>
          </w:p>
        </w:tc>
        <w:tc>
          <w:tcPr>
            <w:tcW w:w="3592" w:type="dxa"/>
            <w:vMerge/>
            <w:shd w:val="clear" w:color="auto" w:fill="auto"/>
            <w:vAlign w:val="center"/>
          </w:tcPr>
          <w:p w:rsidR="00D33612" w:rsidRPr="00F9522B" w:rsidRDefault="00D33612">
            <w:pPr>
              <w:spacing w:line="0" w:lineRule="atLeast"/>
              <w:jc w:val="center"/>
              <w:rPr>
                <w:rFonts w:eastAsiaTheme="minorEastAsia"/>
                <w:szCs w:val="21"/>
              </w:rPr>
            </w:pPr>
          </w:p>
        </w:tc>
        <w:tc>
          <w:tcPr>
            <w:tcW w:w="1770" w:type="dxa"/>
            <w:vMerge/>
            <w:shd w:val="clear" w:color="auto" w:fill="auto"/>
            <w:vAlign w:val="center"/>
          </w:tcPr>
          <w:p w:rsidR="00D33612" w:rsidRPr="00F9522B" w:rsidRDefault="00D33612">
            <w:pPr>
              <w:jc w:val="center"/>
              <w:rPr>
                <w:rFonts w:eastAsiaTheme="minorEastAsia"/>
                <w:noProof/>
                <w:szCs w:val="21"/>
              </w:rPr>
            </w:pPr>
          </w:p>
        </w:tc>
      </w:tr>
      <w:tr w:rsidR="002A5A5E" w:rsidRPr="00F9522B" w:rsidTr="00730492">
        <w:trPr>
          <w:trHeight w:val="2646"/>
          <w:jc w:val="center"/>
        </w:trPr>
        <w:tc>
          <w:tcPr>
            <w:tcW w:w="1483" w:type="dxa"/>
            <w:shd w:val="clear" w:color="auto" w:fill="auto"/>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运营期噪声</w:t>
            </w:r>
          </w:p>
        </w:tc>
        <w:tc>
          <w:tcPr>
            <w:tcW w:w="1075" w:type="dxa"/>
            <w:shd w:val="clear" w:color="auto" w:fill="auto"/>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水泵等</w:t>
            </w:r>
            <w:r w:rsidRPr="00F9522B">
              <w:rPr>
                <w:rFonts w:eastAsiaTheme="minorEastAsia"/>
                <w:szCs w:val="21"/>
              </w:rPr>
              <w:t xml:space="preserve"> </w:t>
            </w:r>
          </w:p>
        </w:tc>
        <w:tc>
          <w:tcPr>
            <w:tcW w:w="6611" w:type="dxa"/>
            <w:shd w:val="clear" w:color="auto" w:fill="auto"/>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运营期潜水泵、</w:t>
            </w:r>
            <w:r w:rsidR="00A4540D" w:rsidRPr="00F9522B">
              <w:rPr>
                <w:rFonts w:eastAsiaTheme="minorEastAsia"/>
                <w:szCs w:val="21"/>
              </w:rPr>
              <w:t>水肥一体化设备</w:t>
            </w:r>
            <w:r w:rsidRPr="00F9522B">
              <w:rPr>
                <w:rFonts w:eastAsiaTheme="minorEastAsia"/>
                <w:szCs w:val="21"/>
              </w:rPr>
              <w:t>位于井房内，潜水泵位于地下，潜水泵、</w:t>
            </w:r>
            <w:r w:rsidR="00A4540D" w:rsidRPr="00F9522B">
              <w:rPr>
                <w:rFonts w:eastAsiaTheme="minorEastAsia"/>
                <w:szCs w:val="21"/>
              </w:rPr>
              <w:t>水肥一体化设备</w:t>
            </w:r>
            <w:r w:rsidRPr="00F9522B">
              <w:rPr>
                <w:rFonts w:eastAsiaTheme="minorEastAsia"/>
                <w:szCs w:val="21"/>
              </w:rPr>
              <w:t>采取减振措施；变压器基础减振；临近敏感目标的道路处设置限速、禁鸣标识</w:t>
            </w:r>
          </w:p>
        </w:tc>
        <w:tc>
          <w:tcPr>
            <w:tcW w:w="3592" w:type="dxa"/>
            <w:shd w:val="clear" w:color="auto" w:fill="auto"/>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井房厂界</w:t>
            </w:r>
            <w:r w:rsidRPr="00F9522B">
              <w:rPr>
                <w:rFonts w:eastAsiaTheme="minorEastAsia"/>
                <w:bCs/>
                <w:szCs w:val="21"/>
              </w:rPr>
              <w:t>噪声执行《工业企业厂界环境噪声排放标准》（</w:t>
            </w:r>
            <w:r w:rsidRPr="00F9522B">
              <w:rPr>
                <w:rFonts w:eastAsiaTheme="minorEastAsia"/>
                <w:bCs/>
                <w:szCs w:val="21"/>
              </w:rPr>
              <w:t>GB12348-2008</w:t>
            </w:r>
            <w:r w:rsidRPr="00F9522B">
              <w:rPr>
                <w:rFonts w:eastAsiaTheme="minorEastAsia"/>
                <w:bCs/>
                <w:szCs w:val="21"/>
              </w:rPr>
              <w:t>）表</w:t>
            </w:r>
            <w:r w:rsidRPr="00F9522B">
              <w:rPr>
                <w:rFonts w:eastAsiaTheme="minorEastAsia"/>
                <w:bCs/>
                <w:szCs w:val="21"/>
              </w:rPr>
              <w:t>1</w:t>
            </w:r>
            <w:r w:rsidRPr="00F9522B">
              <w:rPr>
                <w:rFonts w:eastAsiaTheme="minorEastAsia"/>
                <w:bCs/>
                <w:szCs w:val="21"/>
              </w:rPr>
              <w:t>中</w:t>
            </w:r>
            <w:r w:rsidRPr="00F9522B">
              <w:rPr>
                <w:rFonts w:eastAsiaTheme="minorEastAsia"/>
                <w:bCs/>
                <w:szCs w:val="21"/>
              </w:rPr>
              <w:t>1</w:t>
            </w:r>
            <w:r w:rsidRPr="00F9522B">
              <w:rPr>
                <w:rFonts w:eastAsiaTheme="minorEastAsia"/>
                <w:bCs/>
                <w:szCs w:val="21"/>
              </w:rPr>
              <w:t>类标准</w:t>
            </w:r>
          </w:p>
        </w:tc>
        <w:tc>
          <w:tcPr>
            <w:tcW w:w="1770" w:type="dxa"/>
            <w:shd w:val="clear" w:color="auto" w:fill="auto"/>
            <w:vAlign w:val="center"/>
          </w:tcPr>
          <w:p w:rsidR="002A5A5E" w:rsidRPr="00F9522B" w:rsidRDefault="00611CBA">
            <w:pPr>
              <w:spacing w:line="0" w:lineRule="atLeast"/>
              <w:jc w:val="center"/>
              <w:rPr>
                <w:rFonts w:eastAsiaTheme="minorEastAsia"/>
                <w:szCs w:val="21"/>
              </w:rPr>
            </w:pPr>
            <w:r w:rsidRPr="00F9522B">
              <w:rPr>
                <w:rFonts w:eastAsiaTheme="minorEastAsia"/>
                <w:noProof/>
                <w:szCs w:val="21"/>
              </w:rPr>
              <w:drawing>
                <wp:anchor distT="0" distB="0" distL="114300" distR="114300" simplePos="0" relativeHeight="251814912" behindDoc="0" locked="0" layoutInCell="1" allowOverlap="1">
                  <wp:simplePos x="0" y="0"/>
                  <wp:positionH relativeFrom="column">
                    <wp:posOffset>283845</wp:posOffset>
                  </wp:positionH>
                  <wp:positionV relativeFrom="paragraph">
                    <wp:posOffset>46355</wp:posOffset>
                  </wp:positionV>
                  <wp:extent cx="561975" cy="495300"/>
                  <wp:effectExtent l="19050" t="0" r="9525" b="0"/>
                  <wp:wrapNone/>
                  <wp:docPr id="59" name="图片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441"/>
                          <pic:cNvPicPr>
                            <a:picLocks noChangeAspect="1" noChangeArrowheads="1"/>
                          </pic:cNvPicPr>
                        </pic:nvPicPr>
                        <pic:blipFill>
                          <a:blip r:embed="rId122" cstate="print"/>
                          <a:srcRect/>
                          <a:stretch>
                            <a:fillRect/>
                          </a:stretch>
                        </pic:blipFill>
                        <pic:spPr>
                          <a:xfrm>
                            <a:off x="0" y="0"/>
                            <a:ext cx="561975" cy="495300"/>
                          </a:xfrm>
                          <a:prstGeom prst="rect">
                            <a:avLst/>
                          </a:prstGeom>
                          <a:noFill/>
                          <a:ln w="9525">
                            <a:noFill/>
                            <a:miter lim="800000"/>
                            <a:headEnd/>
                            <a:tailEnd/>
                          </a:ln>
                        </pic:spPr>
                      </pic:pic>
                    </a:graphicData>
                  </a:graphic>
                </wp:anchor>
              </w:drawing>
            </w:r>
          </w:p>
          <w:p w:rsidR="002A5A5E" w:rsidRPr="00F9522B" w:rsidRDefault="002A5A5E">
            <w:pPr>
              <w:spacing w:line="0" w:lineRule="atLeast"/>
              <w:jc w:val="center"/>
              <w:rPr>
                <w:rFonts w:eastAsiaTheme="minorEastAsia"/>
                <w:szCs w:val="21"/>
              </w:rPr>
            </w:pPr>
          </w:p>
          <w:p w:rsidR="002A5A5E" w:rsidRPr="00F9522B" w:rsidRDefault="002A5A5E">
            <w:pPr>
              <w:spacing w:line="0" w:lineRule="atLeast"/>
              <w:jc w:val="center"/>
              <w:rPr>
                <w:rFonts w:eastAsiaTheme="minorEastAsia"/>
                <w:szCs w:val="21"/>
              </w:rPr>
            </w:pPr>
          </w:p>
          <w:p w:rsidR="002A5A5E" w:rsidRPr="00F9522B" w:rsidRDefault="002A5A5E">
            <w:pPr>
              <w:spacing w:line="0" w:lineRule="atLeast"/>
              <w:jc w:val="center"/>
              <w:rPr>
                <w:rFonts w:eastAsiaTheme="minorEastAsia"/>
                <w:b/>
                <w:bCs/>
                <w:szCs w:val="21"/>
              </w:rPr>
            </w:pPr>
          </w:p>
          <w:p w:rsidR="002A5A5E" w:rsidRPr="00F9522B" w:rsidRDefault="00611CBA">
            <w:pPr>
              <w:spacing w:line="0" w:lineRule="atLeast"/>
              <w:jc w:val="center"/>
              <w:rPr>
                <w:rFonts w:eastAsiaTheme="minorEastAsia"/>
                <w:szCs w:val="21"/>
              </w:rPr>
            </w:pPr>
            <w:r w:rsidRPr="00F9522B">
              <w:rPr>
                <w:rFonts w:eastAsiaTheme="minorEastAsia"/>
                <w:b/>
                <w:bCs/>
                <w:szCs w:val="21"/>
              </w:rPr>
              <w:t>提示图形符号</w:t>
            </w:r>
          </w:p>
          <w:p w:rsidR="002A5A5E" w:rsidRPr="00F9522B" w:rsidRDefault="00611CBA">
            <w:pPr>
              <w:spacing w:line="0" w:lineRule="atLeast"/>
              <w:jc w:val="center"/>
              <w:rPr>
                <w:rFonts w:eastAsiaTheme="minorEastAsia"/>
                <w:szCs w:val="21"/>
              </w:rPr>
            </w:pPr>
            <w:r w:rsidRPr="00F9522B">
              <w:rPr>
                <w:rFonts w:eastAsiaTheme="minorEastAsia"/>
                <w:noProof/>
                <w:szCs w:val="21"/>
              </w:rPr>
              <w:drawing>
                <wp:inline distT="0" distB="0" distL="0" distR="0">
                  <wp:extent cx="592207" cy="523875"/>
                  <wp:effectExtent l="19050" t="0" r="0" b="0"/>
                  <wp:docPr id="91"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80"/>
                          <pic:cNvPicPr>
                            <a:picLocks noChangeAspect="1" noChangeArrowheads="1"/>
                          </pic:cNvPicPr>
                        </pic:nvPicPr>
                        <pic:blipFill>
                          <a:blip r:embed="rId123" cstate="print"/>
                          <a:srcRect/>
                          <a:stretch>
                            <a:fillRect/>
                          </a:stretch>
                        </pic:blipFill>
                        <pic:spPr>
                          <a:xfrm>
                            <a:off x="0" y="0"/>
                            <a:ext cx="591609" cy="523346"/>
                          </a:xfrm>
                          <a:prstGeom prst="rect">
                            <a:avLst/>
                          </a:prstGeom>
                          <a:noFill/>
                          <a:ln w="9525">
                            <a:noFill/>
                            <a:miter lim="800000"/>
                            <a:headEnd/>
                            <a:tailEnd/>
                          </a:ln>
                        </pic:spPr>
                      </pic:pic>
                    </a:graphicData>
                  </a:graphic>
                </wp:inline>
              </w:drawing>
            </w:r>
          </w:p>
          <w:p w:rsidR="002A5A5E" w:rsidRPr="00F9522B" w:rsidRDefault="00611CBA">
            <w:pPr>
              <w:spacing w:line="0" w:lineRule="atLeast"/>
              <w:jc w:val="center"/>
              <w:rPr>
                <w:rFonts w:eastAsiaTheme="minorEastAsia"/>
                <w:szCs w:val="21"/>
              </w:rPr>
            </w:pPr>
            <w:r w:rsidRPr="00F9522B">
              <w:rPr>
                <w:rFonts w:eastAsiaTheme="minorEastAsia"/>
                <w:b/>
                <w:bCs/>
                <w:szCs w:val="21"/>
              </w:rPr>
              <w:t>警告图形符号</w:t>
            </w:r>
          </w:p>
        </w:tc>
      </w:tr>
    </w:tbl>
    <w:p w:rsidR="002A5A5E" w:rsidRPr="00F9522B" w:rsidRDefault="002A5A5E"/>
    <w:p w:rsidR="002A5A5E" w:rsidRPr="00F9522B" w:rsidRDefault="002A5A5E"/>
    <w:p w:rsidR="002A5A5E" w:rsidRPr="00F9522B" w:rsidRDefault="00611CBA">
      <w:pPr>
        <w:contextualSpacing/>
        <w:jc w:val="center"/>
        <w:rPr>
          <w:rFonts w:eastAsiaTheme="minorEastAsia"/>
          <w:b/>
          <w:kern w:val="0"/>
          <w:szCs w:val="21"/>
        </w:rPr>
      </w:pPr>
      <w:r w:rsidRPr="00F9522B">
        <w:rPr>
          <w:rFonts w:eastAsiaTheme="minorEastAsia"/>
          <w:b/>
          <w:kern w:val="0"/>
          <w:szCs w:val="21"/>
        </w:rPr>
        <w:lastRenderedPageBreak/>
        <w:t>续表</w:t>
      </w:r>
      <w:r w:rsidRPr="00F9522B">
        <w:rPr>
          <w:rFonts w:eastAsiaTheme="minorEastAsia"/>
          <w:b/>
          <w:kern w:val="0"/>
          <w:szCs w:val="21"/>
        </w:rPr>
        <w:t>8-1-1</w:t>
      </w:r>
      <w:r w:rsidRPr="00F9522B">
        <w:rPr>
          <w:rFonts w:eastAsiaTheme="minorEastAsia"/>
          <w:b/>
          <w:kern w:val="0"/>
          <w:szCs w:val="21"/>
        </w:rPr>
        <w:t>污染物排放清单一览表</w:t>
      </w:r>
    </w:p>
    <w:tbl>
      <w:tblPr>
        <w:tblW w:w="14675" w:type="dxa"/>
        <w:jc w:val="center"/>
        <w:tblBorders>
          <w:top w:val="single" w:sz="12" w:space="0" w:color="auto"/>
          <w:bottom w:val="single" w:sz="12" w:space="0" w:color="auto"/>
          <w:insideH w:val="single" w:sz="6" w:space="0" w:color="auto"/>
          <w:insideV w:val="single" w:sz="6" w:space="0" w:color="auto"/>
        </w:tblBorders>
        <w:tblCellMar>
          <w:left w:w="23" w:type="dxa"/>
          <w:right w:w="23" w:type="dxa"/>
        </w:tblCellMar>
        <w:tblLook w:val="04A0"/>
      </w:tblPr>
      <w:tblGrid>
        <w:gridCol w:w="1483"/>
        <w:gridCol w:w="1075"/>
        <w:gridCol w:w="12117"/>
      </w:tblGrid>
      <w:tr w:rsidR="002A5A5E" w:rsidRPr="00F9522B">
        <w:trPr>
          <w:trHeight w:val="180"/>
          <w:jc w:val="center"/>
        </w:trPr>
        <w:tc>
          <w:tcPr>
            <w:tcW w:w="1483" w:type="dxa"/>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风险防范措施</w:t>
            </w:r>
          </w:p>
        </w:tc>
        <w:tc>
          <w:tcPr>
            <w:tcW w:w="1075" w:type="dxa"/>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环境风险</w:t>
            </w:r>
          </w:p>
        </w:tc>
        <w:tc>
          <w:tcPr>
            <w:tcW w:w="12117" w:type="dxa"/>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本项目</w:t>
            </w:r>
            <w:r w:rsidRPr="00F9522B">
              <w:rPr>
                <w:rFonts w:eastAsiaTheme="minorEastAsia"/>
                <w:bCs/>
                <w:szCs w:val="21"/>
              </w:rPr>
              <w:t>柴油机移动泵车</w:t>
            </w:r>
            <w:r w:rsidRPr="00F9522B">
              <w:rPr>
                <w:rFonts w:eastAsiaTheme="minorEastAsia"/>
                <w:szCs w:val="21"/>
              </w:rPr>
              <w:t>油箱密闭，不使用时于村内暂存，暂存处地面设置重点防渗（等效黏土防渗层</w:t>
            </w:r>
            <w:r w:rsidRPr="00F9522B">
              <w:rPr>
                <w:rFonts w:eastAsiaTheme="minorEastAsia"/>
                <w:szCs w:val="21"/>
              </w:rPr>
              <w:t>Mb≥6.0m</w:t>
            </w:r>
            <w:r w:rsidRPr="00F9522B">
              <w:rPr>
                <w:rFonts w:eastAsiaTheme="minorEastAsia"/>
                <w:szCs w:val="21"/>
              </w:rPr>
              <w:t>，渗透系数</w:t>
            </w:r>
            <w:r w:rsidRPr="00F9522B">
              <w:rPr>
                <w:rFonts w:eastAsiaTheme="minorEastAsia"/>
                <w:szCs w:val="21"/>
              </w:rPr>
              <w:t>K≤1.0×10</w:t>
            </w:r>
            <w:r w:rsidRPr="00F9522B">
              <w:rPr>
                <w:rFonts w:eastAsiaTheme="minorEastAsia"/>
                <w:szCs w:val="21"/>
                <w:vertAlign w:val="superscript"/>
              </w:rPr>
              <w:t>-7</w:t>
            </w:r>
            <w:r w:rsidRPr="00F9522B">
              <w:rPr>
                <w:rFonts w:eastAsiaTheme="minorEastAsia"/>
                <w:szCs w:val="21"/>
              </w:rPr>
              <w:t>cm/s</w:t>
            </w:r>
            <w:r w:rsidRPr="00F9522B">
              <w:rPr>
                <w:rFonts w:eastAsiaTheme="minorEastAsia"/>
                <w:szCs w:val="21"/>
              </w:rPr>
              <w:t>），正常情况下不会泄漏，若发生泄漏事故，属于小范围污染，立即用沙土进行掩埋，产生的含油沙土送有资质单位。定期巡检，重点检查变压器油箱密封性（有无裂缝、接口渗漏）、油位刻度（判断是否存在异常泄漏），发现变压器油泄漏应立即停止此变压器运行，属于小范围污染，立即用沙土进行掩埋，产生的含油沙土及泄漏物交由资质单位处置进行运输和处置，通过采取此应急措施后本项目环境风险影响可接受。加强巡视及管理并制定环境风险应急预案</w:t>
            </w:r>
          </w:p>
        </w:tc>
      </w:tr>
      <w:tr w:rsidR="002A5A5E" w:rsidRPr="00F9522B">
        <w:trPr>
          <w:trHeight w:val="180"/>
          <w:jc w:val="center"/>
        </w:trPr>
        <w:tc>
          <w:tcPr>
            <w:tcW w:w="1483" w:type="dxa"/>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总量指标</w:t>
            </w:r>
          </w:p>
        </w:tc>
        <w:tc>
          <w:tcPr>
            <w:tcW w:w="13192" w:type="dxa"/>
            <w:gridSpan w:val="2"/>
            <w:vAlign w:val="center"/>
          </w:tcPr>
          <w:p w:rsidR="002A5A5E" w:rsidRPr="00F9522B" w:rsidRDefault="00611CBA">
            <w:pPr>
              <w:spacing w:line="0" w:lineRule="atLeast"/>
              <w:jc w:val="center"/>
              <w:rPr>
                <w:rFonts w:eastAsiaTheme="minorEastAsia"/>
                <w:b/>
                <w:bCs/>
                <w:szCs w:val="21"/>
              </w:rPr>
            </w:pPr>
            <w:r w:rsidRPr="00F9522B">
              <w:rPr>
                <w:rFonts w:eastAsiaTheme="minorEastAsia"/>
                <w:szCs w:val="21"/>
              </w:rPr>
              <w:t>/</w:t>
            </w:r>
          </w:p>
        </w:tc>
      </w:tr>
    </w:tbl>
    <w:p w:rsidR="002A5A5E" w:rsidRPr="00F9522B" w:rsidRDefault="002A5A5E">
      <w:pPr>
        <w:spacing w:line="500" w:lineRule="exact"/>
        <w:rPr>
          <w:rFonts w:eastAsiaTheme="minorEastAsia"/>
          <w:snapToGrid w:val="0"/>
          <w:kern w:val="0"/>
        </w:rPr>
        <w:sectPr w:rsidR="002A5A5E" w:rsidRPr="00F9522B">
          <w:pgSz w:w="16838" w:h="11906" w:orient="landscape"/>
          <w:pgMar w:top="1797" w:right="1440" w:bottom="1797" w:left="1440" w:header="851" w:footer="992" w:gutter="0"/>
          <w:cols w:space="425"/>
          <w:docGrid w:type="linesAndChars" w:linePitch="326"/>
        </w:sectPr>
      </w:pPr>
    </w:p>
    <w:p w:rsidR="002A5A5E" w:rsidRPr="00F9522B" w:rsidRDefault="00611CBA">
      <w:pPr>
        <w:spacing w:before="100" w:beforeAutospacing="1" w:after="100" w:afterAutospacing="1"/>
        <w:contextualSpacing/>
        <w:jc w:val="left"/>
        <w:outlineLvl w:val="1"/>
        <w:rPr>
          <w:rFonts w:eastAsiaTheme="minorEastAsia"/>
          <w:b/>
          <w:bCs/>
          <w:kern w:val="44"/>
          <w:sz w:val="30"/>
          <w:szCs w:val="30"/>
        </w:rPr>
      </w:pPr>
      <w:bookmarkStart w:id="171" w:name="_Toc208906253"/>
      <w:r w:rsidRPr="00F9522B">
        <w:rPr>
          <w:rFonts w:eastAsiaTheme="minorEastAsia"/>
          <w:b/>
          <w:bCs/>
          <w:kern w:val="44"/>
          <w:sz w:val="30"/>
          <w:szCs w:val="30"/>
        </w:rPr>
        <w:lastRenderedPageBreak/>
        <w:t>8.2</w:t>
      </w:r>
      <w:r w:rsidRPr="00F9522B">
        <w:rPr>
          <w:rFonts w:eastAsiaTheme="minorEastAsia"/>
          <w:b/>
          <w:bCs/>
          <w:kern w:val="44"/>
          <w:sz w:val="30"/>
          <w:szCs w:val="30"/>
        </w:rPr>
        <w:t>环境监测</w:t>
      </w:r>
      <w:bookmarkEnd w:id="165"/>
      <w:bookmarkEnd w:id="166"/>
      <w:bookmarkEnd w:id="171"/>
    </w:p>
    <w:p w:rsidR="002A5A5E" w:rsidRPr="00F9522B" w:rsidRDefault="00611CBA">
      <w:pPr>
        <w:spacing w:line="360" w:lineRule="auto"/>
        <w:ind w:firstLineChars="200" w:firstLine="480"/>
        <w:contextualSpacing/>
        <w:rPr>
          <w:rFonts w:eastAsiaTheme="minorEastAsia"/>
          <w:sz w:val="24"/>
        </w:rPr>
      </w:pPr>
      <w:r w:rsidRPr="00F9522B">
        <w:rPr>
          <w:rFonts w:eastAsiaTheme="minorEastAsia"/>
          <w:sz w:val="24"/>
        </w:rPr>
        <w:t>环境监测是项目环境保护的</w:t>
      </w:r>
      <w:r w:rsidRPr="00F9522B">
        <w:rPr>
          <w:rFonts w:eastAsiaTheme="minorEastAsia"/>
          <w:sz w:val="24"/>
        </w:rPr>
        <w:t>“</w:t>
      </w:r>
      <w:r w:rsidRPr="00F9522B">
        <w:rPr>
          <w:rFonts w:eastAsiaTheme="minorEastAsia"/>
          <w:sz w:val="24"/>
        </w:rPr>
        <w:t>眼睛</w:t>
      </w:r>
      <w:r w:rsidRPr="00F9522B">
        <w:rPr>
          <w:rFonts w:eastAsiaTheme="minorEastAsia"/>
          <w:sz w:val="24"/>
        </w:rPr>
        <w:t>”</w:t>
      </w:r>
      <w:r w:rsidRPr="00F9522B">
        <w:rPr>
          <w:rFonts w:eastAsiaTheme="minorEastAsia"/>
          <w:sz w:val="24"/>
        </w:rPr>
        <w:t>，是基本的手段和信息基础，环境监测的特点是以样品的监测结果来推断总体环境质量。因此，必须把握好各个技术环节，包括确定环境监测的项目的范围，采样的位置和数量，采样的时间和方法，样品的分析和数据处理等及其质量保证工作。保证监测数据具有完整的质量特征，准确性、精密性、完整性、代表性和可比性。</w:t>
      </w:r>
    </w:p>
    <w:p w:rsidR="002A5A5E" w:rsidRPr="00F9522B" w:rsidRDefault="00611CBA">
      <w:pPr>
        <w:keepNext/>
        <w:keepLines/>
        <w:spacing w:before="100" w:beforeAutospacing="1" w:after="100" w:afterAutospacing="1"/>
        <w:outlineLvl w:val="2"/>
        <w:rPr>
          <w:rFonts w:eastAsiaTheme="minorEastAsia"/>
          <w:b/>
          <w:sz w:val="28"/>
          <w:szCs w:val="28"/>
        </w:rPr>
      </w:pPr>
      <w:r w:rsidRPr="00F9522B">
        <w:rPr>
          <w:rFonts w:eastAsiaTheme="minorEastAsia"/>
          <w:b/>
          <w:sz w:val="28"/>
          <w:szCs w:val="28"/>
        </w:rPr>
        <w:t>8.2.1</w:t>
      </w:r>
      <w:r w:rsidRPr="00F9522B">
        <w:rPr>
          <w:rFonts w:eastAsiaTheme="minorEastAsia"/>
          <w:b/>
          <w:sz w:val="28"/>
          <w:szCs w:val="28"/>
        </w:rPr>
        <w:t>环境监测的必要性</w:t>
      </w:r>
    </w:p>
    <w:p w:rsidR="002A5A5E" w:rsidRPr="00F9522B" w:rsidRDefault="00611CBA">
      <w:pPr>
        <w:spacing w:line="360" w:lineRule="auto"/>
        <w:ind w:firstLineChars="200" w:firstLine="480"/>
        <w:contextualSpacing/>
        <w:rPr>
          <w:rFonts w:eastAsiaTheme="minorEastAsia"/>
          <w:sz w:val="24"/>
        </w:rPr>
      </w:pPr>
      <w:r w:rsidRPr="00F9522B">
        <w:rPr>
          <w:rFonts w:eastAsiaTheme="minorEastAsia"/>
          <w:sz w:val="24"/>
        </w:rPr>
        <w:t>环境监测既是项目执行管理的需要，也是环保部门了解项目执行情况、研究对策，实行宏观指导的依据。通过现场监测，能及时发现问题和了解运行数据是否理想，达到总结经验、解决问题、改善管理的目的，以确保项目顺利实现预期目的。</w:t>
      </w:r>
    </w:p>
    <w:p w:rsidR="002A5A5E" w:rsidRPr="00F9522B" w:rsidRDefault="00611CBA">
      <w:pPr>
        <w:keepNext/>
        <w:keepLines/>
        <w:spacing w:before="100" w:beforeAutospacing="1" w:after="100" w:afterAutospacing="1"/>
        <w:outlineLvl w:val="2"/>
        <w:rPr>
          <w:rFonts w:eastAsiaTheme="minorEastAsia"/>
          <w:b/>
          <w:sz w:val="28"/>
          <w:szCs w:val="28"/>
        </w:rPr>
      </w:pPr>
      <w:r w:rsidRPr="00F9522B">
        <w:rPr>
          <w:rFonts w:eastAsiaTheme="minorEastAsia"/>
          <w:b/>
          <w:sz w:val="28"/>
          <w:szCs w:val="28"/>
        </w:rPr>
        <w:t>8.2.2</w:t>
      </w:r>
      <w:r w:rsidRPr="00F9522B">
        <w:rPr>
          <w:rFonts w:eastAsiaTheme="minorEastAsia"/>
          <w:b/>
          <w:sz w:val="28"/>
          <w:szCs w:val="28"/>
        </w:rPr>
        <w:t>环境监测机构设置</w:t>
      </w:r>
    </w:p>
    <w:p w:rsidR="002A5A5E" w:rsidRPr="00F9522B" w:rsidRDefault="00611CBA">
      <w:pPr>
        <w:spacing w:line="360" w:lineRule="auto"/>
        <w:ind w:firstLineChars="200" w:firstLine="480"/>
        <w:contextualSpacing/>
        <w:rPr>
          <w:rFonts w:eastAsiaTheme="minorEastAsia"/>
          <w:sz w:val="24"/>
        </w:rPr>
      </w:pPr>
      <w:r w:rsidRPr="00F9522B">
        <w:rPr>
          <w:rFonts w:eastAsiaTheme="minorEastAsia"/>
          <w:sz w:val="24"/>
        </w:rPr>
        <w:t>为了及时准确地了解项目的污染物排放情况和污染物治理设施的运行状况，企业应委托有资质的监测机构进行常规监测。</w:t>
      </w:r>
    </w:p>
    <w:p w:rsidR="002A5A5E" w:rsidRPr="00F9522B" w:rsidRDefault="00611CBA">
      <w:pPr>
        <w:keepNext/>
        <w:keepLines/>
        <w:spacing w:before="100" w:beforeAutospacing="1" w:after="100" w:afterAutospacing="1"/>
        <w:outlineLvl w:val="2"/>
        <w:rPr>
          <w:rFonts w:eastAsiaTheme="minorEastAsia"/>
          <w:b/>
          <w:sz w:val="28"/>
          <w:szCs w:val="28"/>
        </w:rPr>
      </w:pPr>
      <w:bookmarkStart w:id="172" w:name="_Toc11758578"/>
      <w:r w:rsidRPr="00F9522B">
        <w:rPr>
          <w:rFonts w:eastAsiaTheme="minorEastAsia"/>
          <w:b/>
          <w:sz w:val="28"/>
          <w:szCs w:val="28"/>
        </w:rPr>
        <w:t>8.2.3</w:t>
      </w:r>
      <w:r w:rsidRPr="00F9522B">
        <w:rPr>
          <w:rFonts w:eastAsiaTheme="minorEastAsia"/>
          <w:b/>
          <w:sz w:val="28"/>
          <w:szCs w:val="28"/>
        </w:rPr>
        <w:t>环境监测计划</w:t>
      </w:r>
      <w:bookmarkEnd w:id="172"/>
    </w:p>
    <w:p w:rsidR="002A5A5E" w:rsidRPr="00F9522B" w:rsidRDefault="00611CBA">
      <w:pPr>
        <w:spacing w:line="360" w:lineRule="auto"/>
        <w:ind w:firstLineChars="200" w:firstLine="480"/>
        <w:contextualSpacing/>
        <w:rPr>
          <w:rFonts w:eastAsiaTheme="minorEastAsia"/>
          <w:sz w:val="24"/>
        </w:rPr>
      </w:pPr>
      <w:r w:rsidRPr="00F9522B">
        <w:rPr>
          <w:rFonts w:eastAsiaTheme="minorEastAsia"/>
          <w:sz w:val="24"/>
        </w:rPr>
        <w:t>《环境保护法》第四十二条明确提出</w:t>
      </w:r>
      <w:r w:rsidRPr="00F9522B">
        <w:rPr>
          <w:rFonts w:eastAsiaTheme="minorEastAsia"/>
          <w:sz w:val="24"/>
        </w:rPr>
        <w:t>“</w:t>
      </w:r>
      <w:r w:rsidRPr="00F9522B">
        <w:rPr>
          <w:rFonts w:eastAsiaTheme="minorEastAsia"/>
          <w:sz w:val="24"/>
        </w:rPr>
        <w:t>重点排污单位应当按照国家有关规定和监测规范安装使用监测设备，保证监测设备正常运行，保存原始监测记录</w:t>
      </w:r>
      <w:r w:rsidRPr="00F9522B">
        <w:rPr>
          <w:rFonts w:eastAsiaTheme="minorEastAsia"/>
          <w:sz w:val="24"/>
        </w:rPr>
        <w:t>”</w:t>
      </w:r>
      <w:r w:rsidRPr="00F9522B">
        <w:rPr>
          <w:rFonts w:eastAsiaTheme="minorEastAsia"/>
          <w:sz w:val="24"/>
        </w:rPr>
        <w:t>；第五十五条要求</w:t>
      </w:r>
      <w:r w:rsidRPr="00F9522B">
        <w:rPr>
          <w:rFonts w:eastAsiaTheme="minorEastAsia"/>
          <w:sz w:val="24"/>
        </w:rPr>
        <w:t>“</w:t>
      </w:r>
      <w:r w:rsidRPr="00F9522B">
        <w:rPr>
          <w:rFonts w:eastAsiaTheme="minorEastAsia"/>
          <w:sz w:val="24"/>
        </w:rPr>
        <w:t>重点排污单位应当如实向社会公开其主要污染物的名称、排放方式、排放浓度和总量、超标排放情况，以及防治污染设施的建设和运行情况，接受社会监督</w:t>
      </w:r>
      <w:r w:rsidRPr="00F9522B">
        <w:rPr>
          <w:rFonts w:eastAsiaTheme="minorEastAsia"/>
          <w:sz w:val="24"/>
        </w:rPr>
        <w:t>”</w:t>
      </w:r>
      <w:r w:rsidRPr="00F9522B">
        <w:rPr>
          <w:rFonts w:eastAsiaTheme="minorEastAsia"/>
          <w:sz w:val="24"/>
        </w:rPr>
        <w:t>。根据《排污单位自行监测技术指南</w:t>
      </w:r>
      <w:r w:rsidRPr="00F9522B">
        <w:rPr>
          <w:rFonts w:eastAsiaTheme="minorEastAsia"/>
          <w:sz w:val="24"/>
        </w:rPr>
        <w:t xml:space="preserve"> </w:t>
      </w:r>
      <w:r w:rsidRPr="00F9522B">
        <w:rPr>
          <w:rFonts w:eastAsiaTheme="minorEastAsia"/>
          <w:sz w:val="24"/>
        </w:rPr>
        <w:t>总则》（</w:t>
      </w:r>
      <w:r w:rsidRPr="00F9522B">
        <w:rPr>
          <w:rFonts w:eastAsiaTheme="minorEastAsia"/>
          <w:sz w:val="24"/>
        </w:rPr>
        <w:t>HJ819-2017</w:t>
      </w:r>
      <w:r w:rsidRPr="00F9522B">
        <w:rPr>
          <w:rFonts w:eastAsiaTheme="minorEastAsia"/>
          <w:sz w:val="24"/>
        </w:rPr>
        <w:t>），排污单位应掌握本单位的污染排放状况及其对周边环境质量的影响，对污染物排放、周边环境质量影响进行监测。</w:t>
      </w:r>
    </w:p>
    <w:p w:rsidR="002A5A5E" w:rsidRPr="00F9522B" w:rsidRDefault="00611CBA">
      <w:pPr>
        <w:spacing w:line="360" w:lineRule="auto"/>
        <w:ind w:firstLineChars="200" w:firstLine="476"/>
        <w:contextualSpacing/>
        <w:rPr>
          <w:rFonts w:eastAsiaTheme="minorEastAsia"/>
          <w:snapToGrid w:val="0"/>
          <w:kern w:val="0"/>
          <w:sz w:val="24"/>
        </w:rPr>
      </w:pPr>
      <w:r w:rsidRPr="00F9522B">
        <w:rPr>
          <w:rFonts w:eastAsiaTheme="minorEastAsia"/>
          <w:spacing w:val="-1"/>
          <w:sz w:val="24"/>
        </w:rPr>
        <w:t>项目分布范围广，施工战线长，施工区多数分布在农村地段，对环境影响</w:t>
      </w:r>
      <w:r w:rsidRPr="00F9522B">
        <w:rPr>
          <w:rFonts w:eastAsiaTheme="minorEastAsia"/>
          <w:spacing w:val="-1"/>
          <w:sz w:val="24"/>
        </w:rPr>
        <w:lastRenderedPageBreak/>
        <w:t>相对较小，故根据工程特点，制定施工期环境监测计划</w:t>
      </w:r>
      <w:r w:rsidRPr="00F9522B">
        <w:rPr>
          <w:rFonts w:eastAsiaTheme="minorEastAsia"/>
          <w:snapToGrid w:val="0"/>
          <w:kern w:val="0"/>
          <w:sz w:val="24"/>
        </w:rPr>
        <w:t>。企业委托有资质的监测单位进行污染源监测，并将监测报告存档。建设单位根据监测评估结果优化环境保护措施。</w:t>
      </w:r>
    </w:p>
    <w:p w:rsidR="002A5A5E" w:rsidRPr="00F9522B" w:rsidRDefault="00611CBA">
      <w:pPr>
        <w:spacing w:line="360" w:lineRule="auto"/>
        <w:ind w:firstLineChars="200" w:firstLine="480"/>
        <w:contextualSpacing/>
        <w:rPr>
          <w:rFonts w:eastAsiaTheme="minorEastAsia"/>
          <w:snapToGrid w:val="0"/>
          <w:kern w:val="0"/>
          <w:sz w:val="24"/>
        </w:rPr>
      </w:pPr>
      <w:r w:rsidRPr="00F9522B">
        <w:rPr>
          <w:rFonts w:eastAsiaTheme="minorEastAsia"/>
          <w:snapToGrid w:val="0"/>
          <w:kern w:val="0"/>
          <w:sz w:val="24"/>
        </w:rPr>
        <w:t>（</w:t>
      </w:r>
      <w:r w:rsidRPr="00F9522B">
        <w:rPr>
          <w:rFonts w:eastAsiaTheme="minorEastAsia"/>
          <w:snapToGrid w:val="0"/>
          <w:kern w:val="0"/>
          <w:sz w:val="24"/>
        </w:rPr>
        <w:t>1</w:t>
      </w:r>
      <w:r w:rsidRPr="00F9522B">
        <w:rPr>
          <w:rFonts w:eastAsiaTheme="minorEastAsia"/>
          <w:snapToGrid w:val="0"/>
          <w:kern w:val="0"/>
          <w:sz w:val="24"/>
        </w:rPr>
        <w:t>）施工期</w:t>
      </w:r>
    </w:p>
    <w:p w:rsidR="002A5A5E" w:rsidRPr="00F9522B" w:rsidRDefault="00611CBA">
      <w:pPr>
        <w:spacing w:line="360" w:lineRule="auto"/>
        <w:ind w:firstLineChars="200" w:firstLine="476"/>
        <w:contextualSpacing/>
        <w:rPr>
          <w:rFonts w:eastAsiaTheme="minorEastAsia"/>
          <w:snapToGrid w:val="0"/>
          <w:kern w:val="0"/>
          <w:sz w:val="24"/>
        </w:rPr>
      </w:pPr>
      <w:r w:rsidRPr="00F9522B">
        <w:rPr>
          <w:rFonts w:eastAsiaTheme="minorEastAsia"/>
          <w:spacing w:val="-1"/>
          <w:sz w:val="24"/>
        </w:rPr>
        <w:t>根据工程特点，确定环境监测要素为地表水、生态环境、环境空气和声环境等，监测重点为地表水和生态环境，施工期环境监测周期与项目建设周期同步。</w:t>
      </w:r>
    </w:p>
    <w:p w:rsidR="002A5A5E" w:rsidRPr="00F9522B" w:rsidRDefault="00611CBA">
      <w:pPr>
        <w:contextualSpacing/>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8-2-1</w:t>
      </w:r>
      <w:r w:rsidRPr="00F9522B">
        <w:rPr>
          <w:rFonts w:eastAsiaTheme="minorEastAsia"/>
          <w:b/>
          <w:kern w:val="0"/>
          <w:szCs w:val="21"/>
        </w:rPr>
        <w:t>施工期环境监测计划一览表</w:t>
      </w:r>
    </w:p>
    <w:tbl>
      <w:tblPr>
        <w:tblW w:w="8528" w:type="dxa"/>
        <w:tblBorders>
          <w:top w:val="single" w:sz="12" w:space="0" w:color="auto"/>
          <w:bottom w:val="single" w:sz="12" w:space="0" w:color="auto"/>
          <w:insideH w:val="single" w:sz="8" w:space="0" w:color="auto"/>
          <w:insideV w:val="single" w:sz="8" w:space="0" w:color="auto"/>
        </w:tblBorders>
        <w:tblLayout w:type="fixed"/>
        <w:tblCellMar>
          <w:left w:w="57" w:type="dxa"/>
          <w:right w:w="57" w:type="dxa"/>
        </w:tblCellMar>
        <w:tblLook w:val="04A0"/>
      </w:tblPr>
      <w:tblGrid>
        <w:gridCol w:w="947"/>
        <w:gridCol w:w="3221"/>
        <w:gridCol w:w="1037"/>
        <w:gridCol w:w="1830"/>
        <w:gridCol w:w="804"/>
        <w:gridCol w:w="689"/>
      </w:tblGrid>
      <w:tr w:rsidR="002A5A5E" w:rsidRPr="00F9522B">
        <w:trPr>
          <w:trHeight w:val="214"/>
        </w:trPr>
        <w:tc>
          <w:tcPr>
            <w:tcW w:w="947" w:type="dxa"/>
            <w:tcBorders>
              <w:tl2br w:val="nil"/>
              <w:tr2bl w:val="nil"/>
            </w:tcBorders>
            <w:vAlign w:val="center"/>
          </w:tcPr>
          <w:p w:rsidR="002A5A5E" w:rsidRPr="00F9522B" w:rsidRDefault="00611CBA">
            <w:pPr>
              <w:jc w:val="center"/>
              <w:rPr>
                <w:rFonts w:eastAsiaTheme="minorEastAsia"/>
                <w:kern w:val="0"/>
                <w:szCs w:val="20"/>
              </w:rPr>
            </w:pPr>
            <w:r w:rsidRPr="00F9522B">
              <w:rPr>
                <w:rFonts w:eastAsiaTheme="minorEastAsia"/>
                <w:kern w:val="0"/>
                <w:szCs w:val="20"/>
              </w:rPr>
              <w:t>环境</w:t>
            </w:r>
          </w:p>
          <w:p w:rsidR="002A5A5E" w:rsidRPr="00F9522B" w:rsidRDefault="00611CBA">
            <w:pPr>
              <w:jc w:val="center"/>
              <w:rPr>
                <w:rFonts w:eastAsiaTheme="minorEastAsia"/>
                <w:kern w:val="0"/>
                <w:szCs w:val="20"/>
              </w:rPr>
            </w:pPr>
            <w:r w:rsidRPr="00F9522B">
              <w:rPr>
                <w:rFonts w:eastAsiaTheme="minorEastAsia"/>
                <w:kern w:val="0"/>
                <w:szCs w:val="20"/>
              </w:rPr>
              <w:t>要素</w:t>
            </w:r>
          </w:p>
        </w:tc>
        <w:tc>
          <w:tcPr>
            <w:tcW w:w="3221" w:type="dxa"/>
            <w:tcBorders>
              <w:tl2br w:val="nil"/>
              <w:tr2bl w:val="nil"/>
            </w:tcBorders>
            <w:vAlign w:val="center"/>
          </w:tcPr>
          <w:p w:rsidR="002A5A5E" w:rsidRPr="00F9522B" w:rsidRDefault="00611CBA">
            <w:pPr>
              <w:jc w:val="center"/>
              <w:rPr>
                <w:rFonts w:eastAsiaTheme="minorEastAsia"/>
                <w:kern w:val="0"/>
                <w:szCs w:val="20"/>
              </w:rPr>
            </w:pPr>
            <w:r w:rsidRPr="00F9522B">
              <w:rPr>
                <w:rFonts w:eastAsiaTheme="minorEastAsia"/>
                <w:kern w:val="0"/>
                <w:szCs w:val="20"/>
              </w:rPr>
              <w:t>监测地点</w:t>
            </w:r>
          </w:p>
        </w:tc>
        <w:tc>
          <w:tcPr>
            <w:tcW w:w="1037" w:type="dxa"/>
            <w:tcBorders>
              <w:tl2br w:val="nil"/>
              <w:tr2bl w:val="nil"/>
            </w:tcBorders>
            <w:vAlign w:val="center"/>
          </w:tcPr>
          <w:p w:rsidR="002A5A5E" w:rsidRPr="00F9522B" w:rsidRDefault="00611CBA">
            <w:pPr>
              <w:jc w:val="center"/>
              <w:rPr>
                <w:rFonts w:eastAsiaTheme="minorEastAsia"/>
                <w:kern w:val="0"/>
                <w:szCs w:val="20"/>
              </w:rPr>
            </w:pPr>
            <w:r w:rsidRPr="00F9522B">
              <w:rPr>
                <w:rFonts w:eastAsiaTheme="minorEastAsia"/>
                <w:kern w:val="0"/>
                <w:szCs w:val="20"/>
              </w:rPr>
              <w:t>监测项目</w:t>
            </w:r>
          </w:p>
        </w:tc>
        <w:tc>
          <w:tcPr>
            <w:tcW w:w="1830" w:type="dxa"/>
            <w:tcBorders>
              <w:tl2br w:val="nil"/>
              <w:tr2bl w:val="nil"/>
            </w:tcBorders>
            <w:vAlign w:val="center"/>
          </w:tcPr>
          <w:p w:rsidR="002A5A5E" w:rsidRPr="00F9522B" w:rsidRDefault="00611CBA">
            <w:pPr>
              <w:jc w:val="center"/>
              <w:rPr>
                <w:rFonts w:eastAsiaTheme="minorEastAsia"/>
                <w:kern w:val="0"/>
                <w:szCs w:val="20"/>
              </w:rPr>
            </w:pPr>
            <w:r w:rsidRPr="00F9522B">
              <w:rPr>
                <w:rFonts w:eastAsiaTheme="minorEastAsia"/>
                <w:kern w:val="0"/>
                <w:szCs w:val="20"/>
              </w:rPr>
              <w:t>监测时间及频率</w:t>
            </w:r>
          </w:p>
        </w:tc>
        <w:tc>
          <w:tcPr>
            <w:tcW w:w="804" w:type="dxa"/>
            <w:tcBorders>
              <w:tl2br w:val="nil"/>
              <w:tr2bl w:val="nil"/>
            </w:tcBorders>
            <w:vAlign w:val="center"/>
          </w:tcPr>
          <w:p w:rsidR="002A5A5E" w:rsidRPr="00F9522B" w:rsidRDefault="00611CBA">
            <w:pPr>
              <w:jc w:val="center"/>
              <w:rPr>
                <w:rFonts w:eastAsiaTheme="minorEastAsia"/>
                <w:kern w:val="0"/>
                <w:szCs w:val="20"/>
              </w:rPr>
            </w:pPr>
            <w:r w:rsidRPr="00F9522B">
              <w:rPr>
                <w:rFonts w:eastAsiaTheme="minorEastAsia"/>
                <w:kern w:val="0"/>
                <w:szCs w:val="20"/>
              </w:rPr>
              <w:t>实施机构</w:t>
            </w:r>
          </w:p>
        </w:tc>
        <w:tc>
          <w:tcPr>
            <w:tcW w:w="689" w:type="dxa"/>
            <w:tcBorders>
              <w:tl2br w:val="nil"/>
              <w:tr2bl w:val="nil"/>
            </w:tcBorders>
            <w:vAlign w:val="center"/>
          </w:tcPr>
          <w:p w:rsidR="002A5A5E" w:rsidRPr="00F9522B" w:rsidRDefault="00611CBA">
            <w:pPr>
              <w:jc w:val="center"/>
              <w:rPr>
                <w:rFonts w:eastAsiaTheme="minorEastAsia"/>
                <w:kern w:val="0"/>
                <w:szCs w:val="20"/>
              </w:rPr>
            </w:pPr>
            <w:r w:rsidRPr="00F9522B">
              <w:rPr>
                <w:rFonts w:eastAsiaTheme="minorEastAsia"/>
                <w:kern w:val="0"/>
                <w:szCs w:val="20"/>
              </w:rPr>
              <w:t>监督机构</w:t>
            </w:r>
          </w:p>
        </w:tc>
      </w:tr>
      <w:tr w:rsidR="002A5A5E" w:rsidRPr="00F9522B">
        <w:trPr>
          <w:trHeight w:val="667"/>
        </w:trPr>
        <w:tc>
          <w:tcPr>
            <w:tcW w:w="947" w:type="dxa"/>
            <w:tcBorders>
              <w:tl2br w:val="nil"/>
              <w:tr2bl w:val="nil"/>
            </w:tcBorders>
            <w:vAlign w:val="center"/>
          </w:tcPr>
          <w:p w:rsidR="002A5A5E" w:rsidRPr="00F9522B" w:rsidRDefault="00611CBA">
            <w:pPr>
              <w:jc w:val="center"/>
              <w:rPr>
                <w:rFonts w:eastAsiaTheme="minorEastAsia"/>
                <w:kern w:val="0"/>
                <w:szCs w:val="20"/>
              </w:rPr>
            </w:pPr>
            <w:r w:rsidRPr="00F9522B">
              <w:rPr>
                <w:rFonts w:eastAsiaTheme="minorEastAsia"/>
                <w:kern w:val="0"/>
                <w:szCs w:val="20"/>
              </w:rPr>
              <w:t>大气</w:t>
            </w:r>
          </w:p>
          <w:p w:rsidR="002A5A5E" w:rsidRPr="00F9522B" w:rsidRDefault="00611CBA">
            <w:pPr>
              <w:jc w:val="center"/>
              <w:rPr>
                <w:rFonts w:eastAsiaTheme="minorEastAsia"/>
                <w:kern w:val="0"/>
                <w:szCs w:val="20"/>
              </w:rPr>
            </w:pPr>
            <w:r w:rsidRPr="00F9522B">
              <w:rPr>
                <w:rFonts w:eastAsiaTheme="minorEastAsia"/>
                <w:kern w:val="0"/>
                <w:szCs w:val="20"/>
              </w:rPr>
              <w:t>环境</w:t>
            </w:r>
          </w:p>
        </w:tc>
        <w:tc>
          <w:tcPr>
            <w:tcW w:w="3221" w:type="dxa"/>
            <w:tcBorders>
              <w:tl2br w:val="nil"/>
              <w:tr2bl w:val="nil"/>
            </w:tcBorders>
            <w:vAlign w:val="center"/>
          </w:tcPr>
          <w:p w:rsidR="002A5A5E" w:rsidRPr="00F9522B" w:rsidRDefault="00611CBA" w:rsidP="002D7E70">
            <w:pPr>
              <w:jc w:val="center"/>
              <w:rPr>
                <w:rFonts w:eastAsiaTheme="minorEastAsia"/>
                <w:kern w:val="0"/>
                <w:szCs w:val="20"/>
              </w:rPr>
            </w:pPr>
            <w:r w:rsidRPr="00F9522B">
              <w:rPr>
                <w:rFonts w:eastAsiaTheme="minorEastAsia"/>
                <w:szCs w:val="21"/>
              </w:rPr>
              <w:t>选择项目典型施工区（灌溉井、建筑物、输配电、田间道路、排水沟清淤等工程较集中施工区）沿线居民点（</w:t>
            </w:r>
            <w:r w:rsidR="00C70BD5" w:rsidRPr="00F9522B">
              <w:rPr>
                <w:rFonts w:eastAsiaTheme="minorEastAsia"/>
                <w:szCs w:val="21"/>
              </w:rPr>
              <w:t>方台镇、二八镇、王牛村、杨木村、城子村</w:t>
            </w:r>
            <w:r w:rsidRPr="00F9522B">
              <w:rPr>
                <w:rFonts w:eastAsiaTheme="minorEastAsia"/>
                <w:szCs w:val="21"/>
              </w:rPr>
              <w:t>）布设</w:t>
            </w:r>
            <w:r w:rsidRPr="00F9522B">
              <w:rPr>
                <w:rFonts w:eastAsiaTheme="minorEastAsia"/>
                <w:szCs w:val="21"/>
              </w:rPr>
              <w:t>1</w:t>
            </w:r>
            <w:r w:rsidRPr="00F9522B">
              <w:rPr>
                <w:rFonts w:eastAsiaTheme="minorEastAsia"/>
                <w:szCs w:val="21"/>
              </w:rPr>
              <w:t>个监测点，共</w:t>
            </w:r>
            <w:r w:rsidR="002D7E70" w:rsidRPr="00F9522B">
              <w:rPr>
                <w:rFonts w:eastAsiaTheme="minorEastAsia"/>
                <w:szCs w:val="21"/>
              </w:rPr>
              <w:t>5</w:t>
            </w:r>
            <w:r w:rsidRPr="00F9522B">
              <w:rPr>
                <w:rFonts w:eastAsiaTheme="minorEastAsia"/>
                <w:szCs w:val="21"/>
              </w:rPr>
              <w:t>个</w:t>
            </w:r>
          </w:p>
        </w:tc>
        <w:tc>
          <w:tcPr>
            <w:tcW w:w="1037" w:type="dxa"/>
            <w:tcBorders>
              <w:tl2br w:val="nil"/>
              <w:tr2bl w:val="nil"/>
            </w:tcBorders>
            <w:vAlign w:val="center"/>
          </w:tcPr>
          <w:p w:rsidR="002A5A5E" w:rsidRPr="00F9522B" w:rsidRDefault="00611CBA">
            <w:pPr>
              <w:jc w:val="center"/>
              <w:rPr>
                <w:rFonts w:eastAsiaTheme="minorEastAsia"/>
                <w:kern w:val="0"/>
                <w:szCs w:val="20"/>
              </w:rPr>
            </w:pPr>
            <w:r w:rsidRPr="00F9522B">
              <w:rPr>
                <w:rFonts w:eastAsiaTheme="minorEastAsia"/>
                <w:kern w:val="0"/>
                <w:szCs w:val="20"/>
              </w:rPr>
              <w:t>TSP</w:t>
            </w:r>
            <w:r w:rsidRPr="00F9522B">
              <w:rPr>
                <w:rFonts w:eastAsiaTheme="minorEastAsia"/>
                <w:kern w:val="0"/>
                <w:szCs w:val="20"/>
              </w:rPr>
              <w:t>、臭气浓度</w:t>
            </w:r>
          </w:p>
        </w:tc>
        <w:tc>
          <w:tcPr>
            <w:tcW w:w="1830" w:type="dxa"/>
            <w:tcBorders>
              <w:tl2br w:val="nil"/>
              <w:tr2bl w:val="nil"/>
            </w:tcBorders>
            <w:vAlign w:val="center"/>
          </w:tcPr>
          <w:p w:rsidR="002A5A5E" w:rsidRPr="00F9522B" w:rsidRDefault="00611CBA">
            <w:pPr>
              <w:jc w:val="center"/>
              <w:rPr>
                <w:rFonts w:eastAsiaTheme="minorEastAsia"/>
                <w:kern w:val="0"/>
                <w:szCs w:val="20"/>
              </w:rPr>
            </w:pPr>
            <w:r w:rsidRPr="00F9522B">
              <w:rPr>
                <w:rFonts w:eastAsiaTheme="minorEastAsia"/>
                <w:kern w:val="0"/>
                <w:szCs w:val="20"/>
              </w:rPr>
              <w:t>施工高峰期监测一次，连续</w:t>
            </w:r>
            <w:r w:rsidRPr="00F9522B">
              <w:rPr>
                <w:rFonts w:eastAsiaTheme="minorEastAsia"/>
                <w:kern w:val="0"/>
                <w:szCs w:val="20"/>
              </w:rPr>
              <w:t>3</w:t>
            </w:r>
            <w:r w:rsidRPr="00F9522B">
              <w:rPr>
                <w:rFonts w:eastAsiaTheme="minorEastAsia"/>
                <w:kern w:val="0"/>
                <w:szCs w:val="20"/>
              </w:rPr>
              <w:t>天，每天</w:t>
            </w:r>
            <w:r w:rsidRPr="00F9522B">
              <w:rPr>
                <w:rFonts w:eastAsiaTheme="minorEastAsia"/>
                <w:kern w:val="0"/>
                <w:szCs w:val="20"/>
              </w:rPr>
              <w:t>4</w:t>
            </w:r>
            <w:r w:rsidRPr="00F9522B">
              <w:rPr>
                <w:rFonts w:eastAsiaTheme="minorEastAsia"/>
                <w:kern w:val="0"/>
                <w:szCs w:val="20"/>
              </w:rPr>
              <w:t>次</w:t>
            </w:r>
          </w:p>
        </w:tc>
        <w:tc>
          <w:tcPr>
            <w:tcW w:w="804" w:type="dxa"/>
            <w:vMerge w:val="restart"/>
            <w:tcBorders>
              <w:tl2br w:val="nil"/>
              <w:tr2bl w:val="nil"/>
            </w:tcBorders>
            <w:vAlign w:val="center"/>
          </w:tcPr>
          <w:p w:rsidR="002A5A5E" w:rsidRPr="00F9522B" w:rsidRDefault="00611CBA">
            <w:pPr>
              <w:jc w:val="center"/>
              <w:rPr>
                <w:rFonts w:eastAsiaTheme="minorEastAsia"/>
                <w:kern w:val="0"/>
                <w:szCs w:val="20"/>
              </w:rPr>
            </w:pPr>
            <w:r w:rsidRPr="00F9522B">
              <w:rPr>
                <w:rFonts w:eastAsiaTheme="minorEastAsia"/>
                <w:kern w:val="0"/>
                <w:szCs w:val="20"/>
              </w:rPr>
              <w:t>有资质监测部门</w:t>
            </w:r>
          </w:p>
        </w:tc>
        <w:tc>
          <w:tcPr>
            <w:tcW w:w="689" w:type="dxa"/>
            <w:vMerge w:val="restart"/>
            <w:tcBorders>
              <w:tl2br w:val="nil"/>
              <w:tr2bl w:val="nil"/>
            </w:tcBorders>
            <w:vAlign w:val="center"/>
          </w:tcPr>
          <w:p w:rsidR="002A5A5E" w:rsidRPr="00F9522B" w:rsidRDefault="00611CBA">
            <w:pPr>
              <w:jc w:val="center"/>
              <w:rPr>
                <w:rFonts w:eastAsiaTheme="minorEastAsia"/>
                <w:kern w:val="0"/>
                <w:szCs w:val="20"/>
              </w:rPr>
            </w:pPr>
            <w:r w:rsidRPr="00F9522B">
              <w:rPr>
                <w:rFonts w:eastAsiaTheme="minorEastAsia"/>
                <w:kern w:val="0"/>
                <w:szCs w:val="20"/>
              </w:rPr>
              <w:t>哈尔滨市呼兰生态环境局</w:t>
            </w:r>
          </w:p>
        </w:tc>
      </w:tr>
      <w:tr w:rsidR="002A5A5E" w:rsidRPr="00F9522B">
        <w:trPr>
          <w:trHeight w:val="993"/>
        </w:trPr>
        <w:tc>
          <w:tcPr>
            <w:tcW w:w="947" w:type="dxa"/>
            <w:tcBorders>
              <w:tl2br w:val="nil"/>
              <w:tr2bl w:val="nil"/>
            </w:tcBorders>
            <w:vAlign w:val="center"/>
          </w:tcPr>
          <w:p w:rsidR="002A5A5E" w:rsidRPr="00F9522B" w:rsidRDefault="00611CBA">
            <w:pPr>
              <w:jc w:val="center"/>
              <w:rPr>
                <w:rFonts w:eastAsiaTheme="minorEastAsia"/>
                <w:kern w:val="0"/>
                <w:szCs w:val="20"/>
              </w:rPr>
            </w:pPr>
            <w:r w:rsidRPr="00F9522B">
              <w:rPr>
                <w:rFonts w:eastAsiaTheme="minorEastAsia"/>
                <w:kern w:val="0"/>
                <w:szCs w:val="20"/>
              </w:rPr>
              <w:t>声环境</w:t>
            </w:r>
          </w:p>
        </w:tc>
        <w:tc>
          <w:tcPr>
            <w:tcW w:w="3221" w:type="dxa"/>
            <w:tcBorders>
              <w:tl2br w:val="nil"/>
              <w:tr2bl w:val="nil"/>
            </w:tcBorders>
            <w:vAlign w:val="center"/>
          </w:tcPr>
          <w:p w:rsidR="002A5A5E" w:rsidRPr="00F9522B" w:rsidRDefault="00611CBA" w:rsidP="00C70BD5">
            <w:pPr>
              <w:adjustRightInd w:val="0"/>
              <w:snapToGrid w:val="0"/>
              <w:jc w:val="center"/>
              <w:rPr>
                <w:rFonts w:eastAsiaTheme="minorEastAsia"/>
                <w:kern w:val="0"/>
                <w:szCs w:val="20"/>
              </w:rPr>
            </w:pPr>
            <w:r w:rsidRPr="00F9522B">
              <w:rPr>
                <w:rFonts w:eastAsiaTheme="minorEastAsia"/>
                <w:szCs w:val="21"/>
              </w:rPr>
              <w:t>选择项目典型施工区（灌溉井、建筑物、输配电、田间道路、排水沟清淤等工程较集中施工区）沿线居民点（</w:t>
            </w:r>
            <w:r w:rsidR="00C70BD5" w:rsidRPr="00F9522B">
              <w:rPr>
                <w:rFonts w:eastAsiaTheme="minorEastAsia"/>
                <w:szCs w:val="21"/>
              </w:rPr>
              <w:t>方台镇</w:t>
            </w:r>
            <w:r w:rsidRPr="00F9522B">
              <w:rPr>
                <w:rFonts w:eastAsiaTheme="minorEastAsia"/>
                <w:szCs w:val="21"/>
              </w:rPr>
              <w:t>、</w:t>
            </w:r>
            <w:r w:rsidR="00C70BD5" w:rsidRPr="00F9522B">
              <w:rPr>
                <w:rFonts w:eastAsiaTheme="minorEastAsia"/>
                <w:szCs w:val="21"/>
              </w:rPr>
              <w:t>二八镇</w:t>
            </w:r>
            <w:r w:rsidRPr="00F9522B">
              <w:rPr>
                <w:rFonts w:eastAsiaTheme="minorEastAsia"/>
                <w:szCs w:val="21"/>
              </w:rPr>
              <w:t>、</w:t>
            </w:r>
            <w:r w:rsidR="00C70BD5" w:rsidRPr="00F9522B">
              <w:rPr>
                <w:rFonts w:eastAsiaTheme="minorEastAsia"/>
                <w:szCs w:val="21"/>
              </w:rPr>
              <w:t>王牛村</w:t>
            </w:r>
            <w:r w:rsidRPr="00F9522B">
              <w:rPr>
                <w:rFonts w:eastAsiaTheme="minorEastAsia"/>
                <w:szCs w:val="21"/>
              </w:rPr>
              <w:t>、</w:t>
            </w:r>
            <w:r w:rsidR="00C70BD5" w:rsidRPr="00F9522B">
              <w:rPr>
                <w:rFonts w:eastAsiaTheme="minorEastAsia"/>
                <w:szCs w:val="21"/>
              </w:rPr>
              <w:t>杨木村、城子村</w:t>
            </w:r>
            <w:r w:rsidRPr="00F9522B">
              <w:rPr>
                <w:rFonts w:eastAsiaTheme="minorEastAsia"/>
                <w:szCs w:val="21"/>
              </w:rPr>
              <w:t>）布设</w:t>
            </w:r>
            <w:r w:rsidRPr="00F9522B">
              <w:rPr>
                <w:rFonts w:eastAsiaTheme="minorEastAsia"/>
                <w:szCs w:val="21"/>
              </w:rPr>
              <w:t>1</w:t>
            </w:r>
            <w:r w:rsidRPr="00F9522B">
              <w:rPr>
                <w:rFonts w:eastAsiaTheme="minorEastAsia"/>
                <w:szCs w:val="21"/>
              </w:rPr>
              <w:t>个监测点，共</w:t>
            </w:r>
            <w:r w:rsidRPr="00F9522B">
              <w:rPr>
                <w:rFonts w:eastAsiaTheme="minorEastAsia"/>
                <w:szCs w:val="21"/>
              </w:rPr>
              <w:t>5</w:t>
            </w:r>
            <w:r w:rsidRPr="00F9522B">
              <w:rPr>
                <w:rFonts w:eastAsiaTheme="minorEastAsia"/>
                <w:szCs w:val="21"/>
              </w:rPr>
              <w:t>个</w:t>
            </w:r>
          </w:p>
        </w:tc>
        <w:tc>
          <w:tcPr>
            <w:tcW w:w="1037" w:type="dxa"/>
            <w:tcBorders>
              <w:tl2br w:val="nil"/>
              <w:tr2bl w:val="nil"/>
            </w:tcBorders>
            <w:vAlign w:val="center"/>
          </w:tcPr>
          <w:p w:rsidR="002A5A5E" w:rsidRPr="00F9522B" w:rsidRDefault="00611CBA">
            <w:pPr>
              <w:jc w:val="center"/>
              <w:rPr>
                <w:rFonts w:eastAsiaTheme="minorEastAsia"/>
                <w:kern w:val="0"/>
                <w:szCs w:val="20"/>
              </w:rPr>
            </w:pPr>
            <w:r w:rsidRPr="00F9522B">
              <w:rPr>
                <w:rFonts w:eastAsiaTheme="minorEastAsia"/>
                <w:kern w:val="0"/>
                <w:szCs w:val="20"/>
              </w:rPr>
              <w:t>等效连续</w:t>
            </w:r>
            <w:r w:rsidRPr="00F9522B">
              <w:rPr>
                <w:rFonts w:eastAsiaTheme="minorEastAsia"/>
                <w:kern w:val="0"/>
                <w:szCs w:val="20"/>
              </w:rPr>
              <w:t>A</w:t>
            </w:r>
            <w:r w:rsidRPr="00F9522B">
              <w:rPr>
                <w:rFonts w:eastAsiaTheme="minorEastAsia"/>
                <w:kern w:val="0"/>
                <w:szCs w:val="20"/>
              </w:rPr>
              <w:t>声级</w:t>
            </w:r>
          </w:p>
        </w:tc>
        <w:tc>
          <w:tcPr>
            <w:tcW w:w="1830" w:type="dxa"/>
            <w:tcBorders>
              <w:tl2br w:val="nil"/>
              <w:tr2bl w:val="nil"/>
            </w:tcBorders>
            <w:vAlign w:val="center"/>
          </w:tcPr>
          <w:p w:rsidR="002A5A5E" w:rsidRPr="00F9522B" w:rsidRDefault="00611CBA">
            <w:pPr>
              <w:jc w:val="center"/>
              <w:rPr>
                <w:rFonts w:eastAsiaTheme="minorEastAsia"/>
                <w:kern w:val="0"/>
                <w:szCs w:val="20"/>
              </w:rPr>
            </w:pPr>
            <w:r w:rsidRPr="00F9522B">
              <w:rPr>
                <w:rFonts w:eastAsiaTheme="minorEastAsia"/>
                <w:kern w:val="0"/>
                <w:szCs w:val="20"/>
              </w:rPr>
              <w:t>施工高峰期</w:t>
            </w:r>
            <w:r w:rsidRPr="00F9522B">
              <w:rPr>
                <w:rFonts w:eastAsiaTheme="minorEastAsia"/>
                <w:kern w:val="0"/>
                <w:szCs w:val="20"/>
              </w:rPr>
              <w:t>2</w:t>
            </w:r>
            <w:r w:rsidRPr="00F9522B">
              <w:rPr>
                <w:rFonts w:eastAsiaTheme="minorEastAsia"/>
                <w:kern w:val="0"/>
                <w:szCs w:val="20"/>
              </w:rPr>
              <w:t>次，每次监测</w:t>
            </w:r>
            <w:r w:rsidRPr="00F9522B">
              <w:rPr>
                <w:rFonts w:eastAsiaTheme="minorEastAsia"/>
                <w:kern w:val="0"/>
                <w:szCs w:val="20"/>
              </w:rPr>
              <w:t>2</w:t>
            </w:r>
            <w:r w:rsidRPr="00F9522B">
              <w:rPr>
                <w:rFonts w:eastAsiaTheme="minorEastAsia"/>
                <w:kern w:val="0"/>
                <w:szCs w:val="20"/>
              </w:rPr>
              <w:t>天，每天监测</w:t>
            </w:r>
            <w:r w:rsidRPr="00F9522B">
              <w:rPr>
                <w:rFonts w:eastAsiaTheme="minorEastAsia"/>
                <w:kern w:val="0"/>
                <w:szCs w:val="20"/>
              </w:rPr>
              <w:t>2</w:t>
            </w:r>
            <w:r w:rsidRPr="00F9522B">
              <w:rPr>
                <w:rFonts w:eastAsiaTheme="minorEastAsia"/>
                <w:kern w:val="0"/>
                <w:szCs w:val="20"/>
              </w:rPr>
              <w:t>次</w:t>
            </w:r>
          </w:p>
        </w:tc>
        <w:tc>
          <w:tcPr>
            <w:tcW w:w="804" w:type="dxa"/>
            <w:vMerge/>
            <w:tcBorders>
              <w:tl2br w:val="nil"/>
              <w:tr2bl w:val="nil"/>
            </w:tcBorders>
            <w:vAlign w:val="center"/>
          </w:tcPr>
          <w:p w:rsidR="002A5A5E" w:rsidRPr="00F9522B" w:rsidRDefault="002A5A5E">
            <w:pPr>
              <w:jc w:val="center"/>
              <w:rPr>
                <w:rFonts w:eastAsiaTheme="minorEastAsia"/>
                <w:kern w:val="0"/>
                <w:szCs w:val="20"/>
              </w:rPr>
            </w:pPr>
          </w:p>
        </w:tc>
        <w:tc>
          <w:tcPr>
            <w:tcW w:w="689" w:type="dxa"/>
            <w:vMerge/>
            <w:tcBorders>
              <w:tl2br w:val="nil"/>
              <w:tr2bl w:val="nil"/>
            </w:tcBorders>
            <w:vAlign w:val="center"/>
          </w:tcPr>
          <w:p w:rsidR="002A5A5E" w:rsidRPr="00F9522B" w:rsidRDefault="002A5A5E">
            <w:pPr>
              <w:jc w:val="center"/>
              <w:rPr>
                <w:rFonts w:eastAsiaTheme="minorEastAsia"/>
                <w:kern w:val="0"/>
                <w:szCs w:val="20"/>
              </w:rPr>
            </w:pPr>
          </w:p>
        </w:tc>
      </w:tr>
      <w:tr w:rsidR="002A5A5E" w:rsidRPr="00F9522B">
        <w:trPr>
          <w:trHeight w:val="808"/>
        </w:trPr>
        <w:tc>
          <w:tcPr>
            <w:tcW w:w="947" w:type="dxa"/>
            <w:tcBorders>
              <w:tl2br w:val="nil"/>
              <w:tr2bl w:val="nil"/>
            </w:tcBorders>
            <w:vAlign w:val="center"/>
          </w:tcPr>
          <w:p w:rsidR="002A5A5E" w:rsidRPr="00F9522B" w:rsidRDefault="00611CBA">
            <w:pPr>
              <w:jc w:val="center"/>
              <w:rPr>
                <w:rFonts w:eastAsiaTheme="minorEastAsia"/>
                <w:kern w:val="0"/>
                <w:szCs w:val="20"/>
              </w:rPr>
            </w:pPr>
            <w:r w:rsidRPr="00F9522B">
              <w:rPr>
                <w:rFonts w:eastAsiaTheme="minorEastAsia"/>
                <w:kern w:val="0"/>
                <w:szCs w:val="20"/>
              </w:rPr>
              <w:t>地下水环境</w:t>
            </w:r>
          </w:p>
        </w:tc>
        <w:tc>
          <w:tcPr>
            <w:tcW w:w="3221" w:type="dxa"/>
            <w:tcBorders>
              <w:tl2br w:val="nil"/>
              <w:tr2bl w:val="nil"/>
            </w:tcBorders>
            <w:vAlign w:val="center"/>
          </w:tcPr>
          <w:p w:rsidR="002A5A5E" w:rsidRPr="00F9522B" w:rsidRDefault="00611CBA" w:rsidP="003E49C4">
            <w:pPr>
              <w:jc w:val="center"/>
              <w:rPr>
                <w:rFonts w:eastAsiaTheme="minorEastAsia"/>
                <w:kern w:val="0"/>
                <w:szCs w:val="20"/>
              </w:rPr>
            </w:pPr>
            <w:r w:rsidRPr="00F9522B">
              <w:rPr>
                <w:rFonts w:eastAsiaTheme="minorEastAsia"/>
                <w:kern w:val="0"/>
                <w:szCs w:val="20"/>
              </w:rPr>
              <w:t>选取</w:t>
            </w:r>
            <w:r w:rsidRPr="00F9522B">
              <w:rPr>
                <w:rFonts w:eastAsiaTheme="minorEastAsia"/>
                <w:kern w:val="0"/>
                <w:szCs w:val="20"/>
              </w:rPr>
              <w:t>3</w:t>
            </w:r>
            <w:r w:rsidRPr="00F9522B">
              <w:rPr>
                <w:rFonts w:eastAsiaTheme="minorEastAsia"/>
                <w:kern w:val="0"/>
                <w:szCs w:val="20"/>
              </w:rPr>
              <w:t>口集中式饮用水源井（</w:t>
            </w:r>
            <w:r w:rsidRPr="00F9522B">
              <w:rPr>
                <w:rFonts w:eastAsiaTheme="minorEastAsia"/>
                <w:szCs w:val="21"/>
              </w:rPr>
              <w:t>沈家街道供水工程</w:t>
            </w:r>
            <w:r w:rsidRPr="00F9522B">
              <w:rPr>
                <w:rFonts w:eastAsiaTheme="minorEastAsia"/>
                <w:szCs w:val="21"/>
              </w:rPr>
              <w:t>1#</w:t>
            </w:r>
            <w:r w:rsidRPr="00F9522B">
              <w:rPr>
                <w:rFonts w:eastAsiaTheme="minorEastAsia"/>
                <w:kern w:val="0"/>
                <w:szCs w:val="20"/>
              </w:rPr>
              <w:t>水源井、</w:t>
            </w:r>
            <w:r w:rsidRPr="00F9522B">
              <w:rPr>
                <w:rFonts w:eastAsiaTheme="minorEastAsia"/>
                <w:szCs w:val="21"/>
              </w:rPr>
              <w:t>二八镇长山村供水</w:t>
            </w:r>
            <w:r w:rsidRPr="00F9522B">
              <w:rPr>
                <w:rFonts w:eastAsiaTheme="minorEastAsia"/>
                <w:kern w:val="0"/>
                <w:szCs w:val="20"/>
              </w:rPr>
              <w:t>工程水源井</w:t>
            </w:r>
            <w:r w:rsidR="003E49C4" w:rsidRPr="00F9522B">
              <w:rPr>
                <w:rFonts w:eastAsiaTheme="minorEastAsia"/>
                <w:kern w:val="0"/>
                <w:szCs w:val="20"/>
              </w:rPr>
              <w:t>、方台镇东沈村供水工程水源井</w:t>
            </w:r>
            <w:r w:rsidRPr="00F9522B">
              <w:rPr>
                <w:rFonts w:eastAsiaTheme="minorEastAsia"/>
                <w:kern w:val="0"/>
                <w:szCs w:val="20"/>
              </w:rPr>
              <w:t>）</w:t>
            </w:r>
          </w:p>
        </w:tc>
        <w:tc>
          <w:tcPr>
            <w:tcW w:w="1037" w:type="dxa"/>
            <w:tcBorders>
              <w:tl2br w:val="nil"/>
              <w:tr2bl w:val="nil"/>
            </w:tcBorders>
            <w:vAlign w:val="center"/>
          </w:tcPr>
          <w:p w:rsidR="002A5A5E" w:rsidRPr="00F9522B" w:rsidRDefault="00611CBA">
            <w:pPr>
              <w:jc w:val="center"/>
              <w:rPr>
                <w:rFonts w:eastAsiaTheme="minorEastAsia"/>
                <w:kern w:val="0"/>
                <w:szCs w:val="20"/>
              </w:rPr>
            </w:pPr>
            <w:r w:rsidRPr="00F9522B">
              <w:rPr>
                <w:rFonts w:eastAsiaTheme="minorEastAsia"/>
                <w:kern w:val="0"/>
                <w:szCs w:val="20"/>
              </w:rPr>
              <w:t>石油类、</w:t>
            </w:r>
            <w:r w:rsidRPr="00F9522B">
              <w:rPr>
                <w:rFonts w:eastAsiaTheme="minorEastAsia"/>
                <w:szCs w:val="21"/>
              </w:rPr>
              <w:t>水位、</w:t>
            </w:r>
            <w:r w:rsidRPr="00F9522B">
              <w:rPr>
                <w:rFonts w:eastAsiaTheme="minorEastAsia"/>
                <w:szCs w:val="21"/>
              </w:rPr>
              <w:t>pH</w:t>
            </w:r>
            <w:r w:rsidRPr="00F9522B">
              <w:rPr>
                <w:rFonts w:eastAsiaTheme="minorEastAsia"/>
                <w:szCs w:val="21"/>
              </w:rPr>
              <w:t>、氨氮、耗氧量</w:t>
            </w:r>
          </w:p>
        </w:tc>
        <w:tc>
          <w:tcPr>
            <w:tcW w:w="1830" w:type="dxa"/>
            <w:tcBorders>
              <w:tl2br w:val="nil"/>
              <w:tr2bl w:val="nil"/>
            </w:tcBorders>
            <w:vAlign w:val="center"/>
          </w:tcPr>
          <w:p w:rsidR="002A5A5E" w:rsidRPr="00F9522B" w:rsidRDefault="00611CBA">
            <w:pPr>
              <w:jc w:val="center"/>
              <w:rPr>
                <w:rFonts w:eastAsiaTheme="minorEastAsia"/>
                <w:kern w:val="0"/>
                <w:szCs w:val="20"/>
              </w:rPr>
            </w:pPr>
            <w:r w:rsidRPr="00F9522B">
              <w:rPr>
                <w:rFonts w:eastAsiaTheme="minorEastAsia"/>
                <w:kern w:val="0"/>
                <w:szCs w:val="20"/>
              </w:rPr>
              <w:t>施工期调查</w:t>
            </w:r>
            <w:r w:rsidRPr="00F9522B">
              <w:rPr>
                <w:rFonts w:eastAsiaTheme="minorEastAsia"/>
                <w:kern w:val="0"/>
                <w:szCs w:val="20"/>
              </w:rPr>
              <w:t>1</w:t>
            </w:r>
            <w:r w:rsidRPr="00F9522B">
              <w:rPr>
                <w:rFonts w:eastAsiaTheme="minorEastAsia"/>
                <w:kern w:val="0"/>
                <w:szCs w:val="20"/>
              </w:rPr>
              <w:t>次</w:t>
            </w:r>
          </w:p>
        </w:tc>
        <w:tc>
          <w:tcPr>
            <w:tcW w:w="804" w:type="dxa"/>
            <w:vMerge/>
            <w:tcBorders>
              <w:tl2br w:val="nil"/>
              <w:tr2bl w:val="nil"/>
            </w:tcBorders>
            <w:vAlign w:val="center"/>
          </w:tcPr>
          <w:p w:rsidR="002A5A5E" w:rsidRPr="00F9522B" w:rsidRDefault="002A5A5E">
            <w:pPr>
              <w:jc w:val="center"/>
              <w:rPr>
                <w:rFonts w:eastAsiaTheme="minorEastAsia"/>
                <w:kern w:val="0"/>
                <w:szCs w:val="20"/>
              </w:rPr>
            </w:pPr>
          </w:p>
        </w:tc>
        <w:tc>
          <w:tcPr>
            <w:tcW w:w="689" w:type="dxa"/>
            <w:vMerge/>
            <w:tcBorders>
              <w:tl2br w:val="nil"/>
              <w:tr2bl w:val="nil"/>
            </w:tcBorders>
            <w:vAlign w:val="center"/>
          </w:tcPr>
          <w:p w:rsidR="002A5A5E" w:rsidRPr="00F9522B" w:rsidRDefault="002A5A5E">
            <w:pPr>
              <w:jc w:val="center"/>
              <w:rPr>
                <w:rFonts w:eastAsiaTheme="minorEastAsia"/>
                <w:kern w:val="0"/>
                <w:szCs w:val="20"/>
              </w:rPr>
            </w:pPr>
          </w:p>
        </w:tc>
      </w:tr>
      <w:tr w:rsidR="002A5A5E" w:rsidRPr="00F9522B">
        <w:trPr>
          <w:trHeight w:val="214"/>
        </w:trPr>
        <w:tc>
          <w:tcPr>
            <w:tcW w:w="8528" w:type="dxa"/>
            <w:gridSpan w:val="6"/>
            <w:tcBorders>
              <w:tl2br w:val="nil"/>
              <w:tr2bl w:val="nil"/>
            </w:tcBorders>
            <w:vAlign w:val="center"/>
          </w:tcPr>
          <w:p w:rsidR="002A5A5E" w:rsidRPr="00F9522B" w:rsidRDefault="00611CBA">
            <w:pPr>
              <w:jc w:val="left"/>
              <w:rPr>
                <w:rFonts w:eastAsiaTheme="minorEastAsia"/>
                <w:kern w:val="0"/>
                <w:szCs w:val="20"/>
              </w:rPr>
            </w:pPr>
            <w:r w:rsidRPr="00F9522B">
              <w:rPr>
                <w:rFonts w:eastAsiaTheme="minorEastAsia"/>
                <w:kern w:val="0"/>
                <w:szCs w:val="18"/>
              </w:rPr>
              <w:t>注：监测时间可根据施工强度的不同灵活掌握</w:t>
            </w:r>
          </w:p>
        </w:tc>
      </w:tr>
    </w:tbl>
    <w:p w:rsidR="002A5A5E" w:rsidRPr="00F9522B" w:rsidRDefault="00611CBA">
      <w:pPr>
        <w:spacing w:line="360" w:lineRule="auto"/>
        <w:ind w:firstLineChars="200" w:firstLine="480"/>
        <w:contextualSpacing/>
        <w:rPr>
          <w:rFonts w:eastAsiaTheme="minorEastAsia"/>
          <w:snapToGrid w:val="0"/>
          <w:kern w:val="0"/>
          <w:sz w:val="24"/>
        </w:rPr>
      </w:pPr>
      <w:r w:rsidRPr="00F9522B">
        <w:rPr>
          <w:rFonts w:eastAsiaTheme="minorEastAsia"/>
          <w:snapToGrid w:val="0"/>
          <w:kern w:val="0"/>
          <w:sz w:val="24"/>
        </w:rPr>
        <w:t>（</w:t>
      </w:r>
      <w:r w:rsidRPr="00F9522B">
        <w:rPr>
          <w:rFonts w:eastAsiaTheme="minorEastAsia"/>
          <w:snapToGrid w:val="0"/>
          <w:kern w:val="0"/>
          <w:sz w:val="24"/>
        </w:rPr>
        <w:t>2</w:t>
      </w:r>
      <w:r w:rsidRPr="00F9522B">
        <w:rPr>
          <w:rFonts w:eastAsiaTheme="minorEastAsia"/>
          <w:snapToGrid w:val="0"/>
          <w:kern w:val="0"/>
          <w:sz w:val="24"/>
        </w:rPr>
        <w:t>）运营期</w:t>
      </w:r>
    </w:p>
    <w:p w:rsidR="002A5A5E" w:rsidRPr="00F9522B" w:rsidRDefault="00611CBA">
      <w:pPr>
        <w:spacing w:line="360" w:lineRule="auto"/>
        <w:ind w:firstLineChars="200" w:firstLine="480"/>
        <w:contextualSpacing/>
        <w:rPr>
          <w:rFonts w:eastAsiaTheme="minorEastAsia"/>
          <w:snapToGrid w:val="0"/>
          <w:kern w:val="0"/>
          <w:sz w:val="24"/>
        </w:rPr>
      </w:pPr>
      <w:r w:rsidRPr="00F9522B">
        <w:rPr>
          <w:rFonts w:eastAsiaTheme="minorEastAsia"/>
          <w:snapToGrid w:val="0"/>
          <w:kern w:val="0"/>
          <w:sz w:val="24"/>
        </w:rPr>
        <w:t>为了掌握灌区退水水质、灌区地下水位、土壤质地等变化情况，避免灌区地下水水质、土壤受到污染，保护</w:t>
      </w:r>
      <w:r w:rsidR="002D7E70" w:rsidRPr="00F9522B">
        <w:rPr>
          <w:rFonts w:eastAsiaTheme="minorEastAsia"/>
          <w:snapToGrid w:val="0"/>
          <w:kern w:val="0"/>
          <w:sz w:val="24"/>
        </w:rPr>
        <w:t>松花江</w:t>
      </w:r>
      <w:r w:rsidRPr="00F9522B">
        <w:rPr>
          <w:rFonts w:eastAsiaTheme="minorEastAsia"/>
          <w:snapToGrid w:val="0"/>
          <w:kern w:val="0"/>
          <w:sz w:val="24"/>
        </w:rPr>
        <w:t>、漂河免受农田排水的影响，本次布设灌区退水水质侧断面</w:t>
      </w:r>
      <w:r w:rsidRPr="00F9522B">
        <w:rPr>
          <w:rFonts w:eastAsiaTheme="minorEastAsia"/>
          <w:snapToGrid w:val="0"/>
          <w:kern w:val="0"/>
          <w:sz w:val="24"/>
        </w:rPr>
        <w:t>3</w:t>
      </w:r>
      <w:r w:rsidRPr="00F9522B">
        <w:rPr>
          <w:rFonts w:eastAsiaTheme="minorEastAsia"/>
          <w:snapToGrid w:val="0"/>
          <w:kern w:val="0"/>
          <w:sz w:val="24"/>
        </w:rPr>
        <w:t>个；布设灌区地下水位及水质监测点</w:t>
      </w:r>
      <w:r w:rsidRPr="00F9522B">
        <w:rPr>
          <w:rFonts w:eastAsiaTheme="minorEastAsia"/>
          <w:snapToGrid w:val="0"/>
          <w:kern w:val="0"/>
          <w:sz w:val="24"/>
        </w:rPr>
        <w:t>3</w:t>
      </w:r>
      <w:r w:rsidRPr="00F9522B">
        <w:rPr>
          <w:rFonts w:eastAsiaTheme="minorEastAsia"/>
          <w:snapToGrid w:val="0"/>
          <w:kern w:val="0"/>
          <w:sz w:val="24"/>
        </w:rPr>
        <w:t>个；土壤监测点</w:t>
      </w:r>
      <w:r w:rsidRPr="00F9522B">
        <w:rPr>
          <w:rFonts w:eastAsiaTheme="minorEastAsia"/>
          <w:snapToGrid w:val="0"/>
          <w:kern w:val="0"/>
          <w:sz w:val="24"/>
        </w:rPr>
        <w:t>3</w:t>
      </w:r>
      <w:r w:rsidRPr="00F9522B">
        <w:rPr>
          <w:rFonts w:eastAsiaTheme="minorEastAsia"/>
          <w:snapToGrid w:val="0"/>
          <w:kern w:val="0"/>
          <w:sz w:val="24"/>
        </w:rPr>
        <w:t>个。</w:t>
      </w:r>
    </w:p>
    <w:p w:rsidR="002D7E70" w:rsidRPr="00F9522B" w:rsidRDefault="002D7E70">
      <w:pPr>
        <w:contextualSpacing/>
        <w:jc w:val="center"/>
        <w:rPr>
          <w:rFonts w:eastAsiaTheme="minorEastAsia"/>
          <w:b/>
          <w:kern w:val="0"/>
          <w:szCs w:val="21"/>
        </w:rPr>
      </w:pPr>
    </w:p>
    <w:p w:rsidR="002D7E70" w:rsidRPr="00F9522B" w:rsidRDefault="002D7E70">
      <w:pPr>
        <w:contextualSpacing/>
        <w:jc w:val="center"/>
        <w:rPr>
          <w:rFonts w:eastAsiaTheme="minorEastAsia"/>
          <w:b/>
          <w:kern w:val="0"/>
          <w:szCs w:val="21"/>
        </w:rPr>
      </w:pPr>
    </w:p>
    <w:p w:rsidR="002D7E70" w:rsidRPr="00F9522B" w:rsidRDefault="002D7E70">
      <w:pPr>
        <w:contextualSpacing/>
        <w:jc w:val="center"/>
        <w:rPr>
          <w:rFonts w:eastAsiaTheme="minorEastAsia"/>
          <w:b/>
          <w:kern w:val="0"/>
          <w:szCs w:val="21"/>
        </w:rPr>
      </w:pPr>
    </w:p>
    <w:p w:rsidR="002D7E70" w:rsidRPr="00F9522B" w:rsidRDefault="002D7E70">
      <w:pPr>
        <w:contextualSpacing/>
        <w:jc w:val="center"/>
        <w:rPr>
          <w:rFonts w:eastAsiaTheme="minorEastAsia"/>
          <w:b/>
          <w:kern w:val="0"/>
          <w:szCs w:val="21"/>
        </w:rPr>
      </w:pPr>
    </w:p>
    <w:p w:rsidR="002D7E70" w:rsidRPr="00F9522B" w:rsidRDefault="002D7E70">
      <w:pPr>
        <w:contextualSpacing/>
        <w:jc w:val="center"/>
        <w:rPr>
          <w:rFonts w:eastAsiaTheme="minorEastAsia"/>
          <w:b/>
          <w:kern w:val="0"/>
          <w:szCs w:val="21"/>
        </w:rPr>
      </w:pPr>
    </w:p>
    <w:p w:rsidR="002A5A5E" w:rsidRPr="00F9522B" w:rsidRDefault="00611CBA">
      <w:pPr>
        <w:contextualSpacing/>
        <w:jc w:val="center"/>
        <w:rPr>
          <w:rFonts w:eastAsiaTheme="minorEastAsia"/>
          <w:b/>
          <w:kern w:val="0"/>
          <w:szCs w:val="21"/>
        </w:rPr>
      </w:pPr>
      <w:r w:rsidRPr="00F9522B">
        <w:rPr>
          <w:rFonts w:eastAsiaTheme="minorEastAsia"/>
          <w:b/>
          <w:kern w:val="0"/>
          <w:szCs w:val="21"/>
        </w:rPr>
        <w:lastRenderedPageBreak/>
        <w:t>表</w:t>
      </w:r>
      <w:r w:rsidRPr="00F9522B">
        <w:rPr>
          <w:rFonts w:eastAsiaTheme="minorEastAsia"/>
          <w:b/>
          <w:kern w:val="0"/>
          <w:szCs w:val="21"/>
        </w:rPr>
        <w:t>8-2-2</w:t>
      </w:r>
      <w:r w:rsidRPr="00F9522B">
        <w:rPr>
          <w:rFonts w:eastAsiaTheme="minorEastAsia"/>
          <w:b/>
          <w:kern w:val="0"/>
          <w:szCs w:val="21"/>
        </w:rPr>
        <w:t>运营期环境监测计划一览表</w:t>
      </w:r>
    </w:p>
    <w:tbl>
      <w:tblPr>
        <w:tblStyle w:val="affffffffc"/>
        <w:tblW w:w="8273" w:type="dxa"/>
        <w:tblInd w:w="114" w:type="dxa"/>
        <w:tblLayout w:type="fixed"/>
        <w:tblLook w:val="04A0"/>
      </w:tblPr>
      <w:tblGrid>
        <w:gridCol w:w="642"/>
        <w:gridCol w:w="770"/>
        <w:gridCol w:w="1276"/>
        <w:gridCol w:w="1984"/>
        <w:gridCol w:w="1727"/>
        <w:gridCol w:w="863"/>
        <w:gridCol w:w="1011"/>
      </w:tblGrid>
      <w:tr w:rsidR="002A5A5E" w:rsidRPr="00F9522B">
        <w:trPr>
          <w:trHeight w:val="614"/>
        </w:trPr>
        <w:tc>
          <w:tcPr>
            <w:tcW w:w="642" w:type="dxa"/>
          </w:tcPr>
          <w:p w:rsidR="002A5A5E" w:rsidRPr="00F9522B" w:rsidRDefault="00611CBA">
            <w:pPr>
              <w:rPr>
                <w:rFonts w:eastAsiaTheme="minorEastAsia"/>
                <w:kern w:val="0"/>
                <w:szCs w:val="21"/>
                <w:lang w:val="zh-CN"/>
              </w:rPr>
            </w:pPr>
            <w:r w:rsidRPr="00F9522B">
              <w:rPr>
                <w:rFonts w:eastAsiaTheme="minorEastAsia"/>
                <w:kern w:val="0"/>
                <w:szCs w:val="21"/>
                <w:lang w:val="zh-CN"/>
              </w:rPr>
              <w:t>项目</w:t>
            </w:r>
          </w:p>
        </w:tc>
        <w:tc>
          <w:tcPr>
            <w:tcW w:w="770" w:type="dxa"/>
          </w:tcPr>
          <w:p w:rsidR="002A5A5E" w:rsidRPr="00F9522B" w:rsidRDefault="00611CBA">
            <w:pPr>
              <w:rPr>
                <w:rFonts w:eastAsiaTheme="minorEastAsia"/>
                <w:kern w:val="0"/>
                <w:szCs w:val="21"/>
                <w:lang w:val="zh-CN"/>
              </w:rPr>
            </w:pPr>
            <w:r w:rsidRPr="00F9522B">
              <w:rPr>
                <w:rFonts w:eastAsiaTheme="minorEastAsia"/>
                <w:kern w:val="0"/>
                <w:szCs w:val="21"/>
                <w:lang w:val="zh-CN"/>
              </w:rPr>
              <w:t>污染源</w:t>
            </w:r>
          </w:p>
        </w:tc>
        <w:tc>
          <w:tcPr>
            <w:tcW w:w="1276" w:type="dxa"/>
          </w:tcPr>
          <w:p w:rsidR="002A5A5E" w:rsidRPr="00F9522B" w:rsidRDefault="00611CBA">
            <w:pPr>
              <w:rPr>
                <w:rFonts w:eastAsiaTheme="minorEastAsia"/>
                <w:kern w:val="0"/>
                <w:szCs w:val="21"/>
                <w:lang w:val="zh-CN"/>
              </w:rPr>
            </w:pPr>
            <w:r w:rsidRPr="00F9522B">
              <w:rPr>
                <w:rFonts w:eastAsiaTheme="minorEastAsia"/>
                <w:kern w:val="0"/>
                <w:szCs w:val="21"/>
                <w:lang w:val="zh-CN"/>
              </w:rPr>
              <w:t>监测指标</w:t>
            </w:r>
          </w:p>
        </w:tc>
        <w:tc>
          <w:tcPr>
            <w:tcW w:w="1984" w:type="dxa"/>
          </w:tcPr>
          <w:p w:rsidR="002A5A5E" w:rsidRPr="00F9522B" w:rsidRDefault="00611CBA">
            <w:pPr>
              <w:rPr>
                <w:rFonts w:eastAsiaTheme="minorEastAsia"/>
                <w:kern w:val="0"/>
                <w:szCs w:val="21"/>
                <w:lang w:val="zh-CN"/>
              </w:rPr>
            </w:pPr>
            <w:r w:rsidRPr="00F9522B">
              <w:rPr>
                <w:rFonts w:eastAsiaTheme="minorEastAsia"/>
                <w:kern w:val="0"/>
                <w:szCs w:val="21"/>
                <w:lang w:val="zh-CN"/>
              </w:rPr>
              <w:t>监测点位</w:t>
            </w:r>
          </w:p>
        </w:tc>
        <w:tc>
          <w:tcPr>
            <w:tcW w:w="1727" w:type="dxa"/>
          </w:tcPr>
          <w:p w:rsidR="002A5A5E" w:rsidRPr="00F9522B" w:rsidRDefault="00611CBA">
            <w:pPr>
              <w:rPr>
                <w:rFonts w:eastAsiaTheme="minorEastAsia"/>
                <w:kern w:val="0"/>
                <w:szCs w:val="21"/>
                <w:lang w:val="zh-CN"/>
              </w:rPr>
            </w:pPr>
            <w:r w:rsidRPr="00F9522B">
              <w:rPr>
                <w:rFonts w:eastAsiaTheme="minorEastAsia"/>
                <w:kern w:val="0"/>
                <w:szCs w:val="21"/>
                <w:lang w:val="zh-CN"/>
              </w:rPr>
              <w:t>执行标准</w:t>
            </w:r>
          </w:p>
        </w:tc>
        <w:tc>
          <w:tcPr>
            <w:tcW w:w="863" w:type="dxa"/>
          </w:tcPr>
          <w:p w:rsidR="002A5A5E" w:rsidRPr="00F9522B" w:rsidRDefault="00611CBA">
            <w:pPr>
              <w:rPr>
                <w:rFonts w:eastAsiaTheme="minorEastAsia"/>
                <w:kern w:val="0"/>
                <w:szCs w:val="21"/>
                <w:lang w:val="zh-CN"/>
              </w:rPr>
            </w:pPr>
            <w:r w:rsidRPr="00F9522B">
              <w:rPr>
                <w:rFonts w:eastAsiaTheme="minorEastAsia"/>
                <w:kern w:val="0"/>
                <w:szCs w:val="21"/>
                <w:lang w:val="zh-CN"/>
              </w:rPr>
              <w:t>监测频次</w:t>
            </w:r>
          </w:p>
        </w:tc>
        <w:tc>
          <w:tcPr>
            <w:tcW w:w="1011" w:type="dxa"/>
          </w:tcPr>
          <w:p w:rsidR="002A5A5E" w:rsidRPr="00F9522B" w:rsidRDefault="00611CBA">
            <w:pPr>
              <w:rPr>
                <w:rFonts w:eastAsiaTheme="minorEastAsia"/>
                <w:kern w:val="0"/>
                <w:szCs w:val="21"/>
                <w:lang w:val="zh-CN"/>
              </w:rPr>
            </w:pPr>
            <w:r w:rsidRPr="00F9522B">
              <w:rPr>
                <w:rFonts w:eastAsiaTheme="minorEastAsia"/>
                <w:kern w:val="0"/>
                <w:szCs w:val="21"/>
                <w:lang w:val="zh-CN"/>
              </w:rPr>
              <w:t>监测技术</w:t>
            </w:r>
          </w:p>
        </w:tc>
      </w:tr>
      <w:tr w:rsidR="002A5A5E" w:rsidRPr="00F9522B">
        <w:trPr>
          <w:trHeight w:val="614"/>
        </w:trPr>
        <w:tc>
          <w:tcPr>
            <w:tcW w:w="642" w:type="dxa"/>
          </w:tcPr>
          <w:p w:rsidR="002A5A5E" w:rsidRPr="00F9522B" w:rsidRDefault="00611CBA">
            <w:pPr>
              <w:rPr>
                <w:rFonts w:eastAsiaTheme="minorEastAsia"/>
                <w:kern w:val="0"/>
                <w:szCs w:val="21"/>
                <w:lang w:val="zh-CN"/>
              </w:rPr>
            </w:pPr>
            <w:r w:rsidRPr="00F9522B">
              <w:rPr>
                <w:rFonts w:eastAsiaTheme="minorEastAsia"/>
                <w:kern w:val="0"/>
                <w:szCs w:val="21"/>
              </w:rPr>
              <w:t>井房</w:t>
            </w:r>
            <w:r w:rsidRPr="00F9522B">
              <w:rPr>
                <w:rFonts w:eastAsiaTheme="minorEastAsia"/>
                <w:kern w:val="0"/>
                <w:szCs w:val="21"/>
                <w:lang w:val="zh-CN"/>
              </w:rPr>
              <w:t>厂界噪声</w:t>
            </w:r>
          </w:p>
        </w:tc>
        <w:tc>
          <w:tcPr>
            <w:tcW w:w="770" w:type="dxa"/>
          </w:tcPr>
          <w:p w:rsidR="002A5A5E" w:rsidRPr="00F9522B" w:rsidRDefault="00611CBA">
            <w:pPr>
              <w:rPr>
                <w:rFonts w:eastAsiaTheme="minorEastAsia"/>
                <w:kern w:val="0"/>
                <w:szCs w:val="21"/>
                <w:lang w:val="zh-CN"/>
              </w:rPr>
            </w:pPr>
            <w:r w:rsidRPr="00F9522B">
              <w:rPr>
                <w:rFonts w:eastAsiaTheme="minorEastAsia"/>
                <w:kern w:val="0"/>
                <w:szCs w:val="21"/>
                <w:lang w:val="zh-CN"/>
              </w:rPr>
              <w:t>厂界</w:t>
            </w:r>
          </w:p>
        </w:tc>
        <w:tc>
          <w:tcPr>
            <w:tcW w:w="1276" w:type="dxa"/>
          </w:tcPr>
          <w:p w:rsidR="002A5A5E" w:rsidRPr="00F9522B" w:rsidRDefault="00611CBA">
            <w:pPr>
              <w:rPr>
                <w:rFonts w:eastAsiaTheme="minorEastAsia"/>
                <w:kern w:val="0"/>
                <w:szCs w:val="21"/>
                <w:lang w:val="zh-CN"/>
              </w:rPr>
            </w:pPr>
            <w:r w:rsidRPr="00F9522B">
              <w:rPr>
                <w:rFonts w:eastAsiaTheme="minorEastAsia"/>
                <w:kern w:val="0"/>
                <w:szCs w:val="21"/>
                <w:lang w:val="zh-CN"/>
              </w:rPr>
              <w:t>昼夜噪声等效</w:t>
            </w:r>
            <w:r w:rsidRPr="00F9522B">
              <w:rPr>
                <w:rFonts w:eastAsiaTheme="minorEastAsia"/>
                <w:kern w:val="0"/>
                <w:szCs w:val="21"/>
                <w:lang w:val="zh-CN"/>
              </w:rPr>
              <w:t>A</w:t>
            </w:r>
            <w:r w:rsidRPr="00F9522B">
              <w:rPr>
                <w:rFonts w:eastAsiaTheme="minorEastAsia"/>
                <w:kern w:val="0"/>
                <w:szCs w:val="21"/>
                <w:lang w:val="zh-CN"/>
              </w:rPr>
              <w:t>声级</w:t>
            </w:r>
          </w:p>
        </w:tc>
        <w:tc>
          <w:tcPr>
            <w:tcW w:w="1984" w:type="dxa"/>
          </w:tcPr>
          <w:p w:rsidR="002A5A5E" w:rsidRPr="00F9522B" w:rsidRDefault="00611CBA">
            <w:pPr>
              <w:rPr>
                <w:rFonts w:eastAsiaTheme="minorEastAsia"/>
                <w:kern w:val="0"/>
                <w:szCs w:val="21"/>
                <w:lang w:val="zh-CN"/>
              </w:rPr>
            </w:pPr>
            <w:r w:rsidRPr="00F9522B">
              <w:rPr>
                <w:rFonts w:eastAsiaTheme="minorEastAsia"/>
                <w:kern w:val="0"/>
                <w:szCs w:val="21"/>
                <w:lang w:val="zh-CN"/>
              </w:rPr>
              <w:t>厂界外</w:t>
            </w:r>
            <w:r w:rsidRPr="00F9522B">
              <w:rPr>
                <w:rFonts w:eastAsiaTheme="minorEastAsia"/>
                <w:kern w:val="0"/>
                <w:szCs w:val="21"/>
                <w:lang w:val="zh-CN"/>
              </w:rPr>
              <w:t>1m</w:t>
            </w:r>
            <w:r w:rsidRPr="00F9522B">
              <w:rPr>
                <w:rFonts w:eastAsiaTheme="minorEastAsia"/>
                <w:kern w:val="0"/>
                <w:szCs w:val="21"/>
                <w:lang w:val="zh-CN"/>
              </w:rPr>
              <w:t>，高度</w:t>
            </w:r>
            <w:r w:rsidRPr="00F9522B">
              <w:rPr>
                <w:rFonts w:eastAsiaTheme="minorEastAsia"/>
                <w:kern w:val="0"/>
                <w:szCs w:val="21"/>
                <w:lang w:val="zh-CN"/>
              </w:rPr>
              <w:t>1.2m</w:t>
            </w:r>
            <w:r w:rsidRPr="00F9522B">
              <w:rPr>
                <w:rFonts w:eastAsiaTheme="minorEastAsia"/>
                <w:kern w:val="0"/>
                <w:szCs w:val="21"/>
                <w:lang w:val="zh-CN"/>
              </w:rPr>
              <w:t>以上</w:t>
            </w:r>
          </w:p>
        </w:tc>
        <w:tc>
          <w:tcPr>
            <w:tcW w:w="1727" w:type="dxa"/>
          </w:tcPr>
          <w:p w:rsidR="002A5A5E" w:rsidRPr="00F9522B" w:rsidRDefault="00611CBA">
            <w:pPr>
              <w:rPr>
                <w:rFonts w:eastAsiaTheme="minorEastAsia"/>
                <w:kern w:val="0"/>
                <w:szCs w:val="21"/>
                <w:lang w:val="zh-CN"/>
              </w:rPr>
            </w:pPr>
            <w:r w:rsidRPr="00F9522B">
              <w:rPr>
                <w:rFonts w:eastAsiaTheme="minorEastAsia"/>
                <w:kern w:val="0"/>
                <w:szCs w:val="21"/>
              </w:rPr>
              <w:t>厂界</w:t>
            </w:r>
            <w:r w:rsidRPr="00F9522B">
              <w:rPr>
                <w:rFonts w:eastAsiaTheme="minorEastAsia"/>
                <w:bCs/>
                <w:kern w:val="0"/>
                <w:szCs w:val="21"/>
              </w:rPr>
              <w:t>噪声执行《工业企业厂界环境噪声排放标准》（</w:t>
            </w:r>
            <w:r w:rsidRPr="00F9522B">
              <w:rPr>
                <w:rFonts w:eastAsiaTheme="minorEastAsia"/>
                <w:bCs/>
                <w:kern w:val="0"/>
                <w:szCs w:val="21"/>
              </w:rPr>
              <w:t>GB12348-2008</w:t>
            </w:r>
            <w:r w:rsidRPr="00F9522B">
              <w:rPr>
                <w:rFonts w:eastAsiaTheme="minorEastAsia"/>
                <w:bCs/>
                <w:kern w:val="0"/>
                <w:szCs w:val="21"/>
              </w:rPr>
              <w:t>）表</w:t>
            </w:r>
            <w:r w:rsidRPr="00F9522B">
              <w:rPr>
                <w:rFonts w:eastAsiaTheme="minorEastAsia"/>
                <w:bCs/>
                <w:kern w:val="0"/>
                <w:szCs w:val="21"/>
              </w:rPr>
              <w:t>1</w:t>
            </w:r>
            <w:r w:rsidRPr="00F9522B">
              <w:rPr>
                <w:rFonts w:eastAsiaTheme="minorEastAsia"/>
                <w:bCs/>
                <w:kern w:val="0"/>
                <w:szCs w:val="21"/>
              </w:rPr>
              <w:t>中</w:t>
            </w:r>
            <w:r w:rsidRPr="00F9522B">
              <w:rPr>
                <w:rFonts w:eastAsiaTheme="minorEastAsia"/>
                <w:bCs/>
                <w:kern w:val="0"/>
                <w:szCs w:val="21"/>
              </w:rPr>
              <w:t>1</w:t>
            </w:r>
            <w:r w:rsidRPr="00F9522B">
              <w:rPr>
                <w:rFonts w:eastAsiaTheme="minorEastAsia"/>
                <w:bCs/>
                <w:kern w:val="0"/>
                <w:szCs w:val="21"/>
              </w:rPr>
              <w:t>类标准</w:t>
            </w:r>
          </w:p>
        </w:tc>
        <w:tc>
          <w:tcPr>
            <w:tcW w:w="863" w:type="dxa"/>
          </w:tcPr>
          <w:p w:rsidR="002A5A5E" w:rsidRPr="00F9522B" w:rsidRDefault="00611CBA">
            <w:pPr>
              <w:rPr>
                <w:rFonts w:eastAsiaTheme="minorEastAsia"/>
                <w:kern w:val="0"/>
                <w:szCs w:val="21"/>
                <w:lang w:val="zh-CN"/>
              </w:rPr>
            </w:pPr>
            <w:r w:rsidRPr="00F9522B">
              <w:rPr>
                <w:rFonts w:eastAsiaTheme="minorEastAsia"/>
                <w:kern w:val="0"/>
                <w:szCs w:val="21"/>
                <w:lang w:val="zh-CN"/>
              </w:rPr>
              <w:t>1</w:t>
            </w:r>
            <w:r w:rsidRPr="00F9522B">
              <w:rPr>
                <w:rFonts w:eastAsiaTheme="minorEastAsia"/>
                <w:kern w:val="0"/>
                <w:szCs w:val="21"/>
                <w:lang w:val="zh-CN"/>
              </w:rPr>
              <w:t>次</w:t>
            </w:r>
            <w:r w:rsidRPr="00F9522B">
              <w:rPr>
                <w:rFonts w:eastAsiaTheme="minorEastAsia"/>
                <w:kern w:val="0"/>
                <w:szCs w:val="21"/>
                <w:lang w:val="zh-CN"/>
              </w:rPr>
              <w:t>/</w:t>
            </w:r>
            <w:r w:rsidRPr="00F9522B">
              <w:rPr>
                <w:rFonts w:eastAsiaTheme="minorEastAsia"/>
                <w:kern w:val="0"/>
                <w:szCs w:val="21"/>
                <w:lang w:val="zh-CN"/>
              </w:rPr>
              <w:t>季度</w:t>
            </w:r>
          </w:p>
        </w:tc>
        <w:tc>
          <w:tcPr>
            <w:tcW w:w="1011" w:type="dxa"/>
          </w:tcPr>
          <w:p w:rsidR="002A5A5E" w:rsidRPr="00F9522B" w:rsidRDefault="00611CBA">
            <w:pPr>
              <w:rPr>
                <w:rFonts w:eastAsiaTheme="minorEastAsia"/>
                <w:kern w:val="0"/>
                <w:szCs w:val="21"/>
                <w:lang w:val="zh-CN"/>
              </w:rPr>
            </w:pPr>
            <w:r w:rsidRPr="00F9522B">
              <w:rPr>
                <w:rFonts w:eastAsiaTheme="minorEastAsia"/>
                <w:kern w:val="0"/>
                <w:szCs w:val="21"/>
                <w:lang w:val="zh-CN"/>
              </w:rPr>
              <w:t>手工监测技术</w:t>
            </w:r>
          </w:p>
        </w:tc>
      </w:tr>
      <w:tr w:rsidR="002A5A5E" w:rsidRPr="00F9522B">
        <w:trPr>
          <w:trHeight w:val="614"/>
        </w:trPr>
        <w:tc>
          <w:tcPr>
            <w:tcW w:w="642" w:type="dxa"/>
          </w:tcPr>
          <w:p w:rsidR="002A5A5E" w:rsidRPr="00F9522B" w:rsidRDefault="00611CBA">
            <w:pPr>
              <w:rPr>
                <w:rFonts w:eastAsiaTheme="minorEastAsia"/>
                <w:kern w:val="0"/>
                <w:szCs w:val="21"/>
                <w:lang w:val="zh-CN"/>
              </w:rPr>
            </w:pPr>
            <w:r w:rsidRPr="00F9522B">
              <w:rPr>
                <w:rFonts w:eastAsiaTheme="minorEastAsia"/>
                <w:kern w:val="0"/>
                <w:szCs w:val="21"/>
                <w:lang w:val="zh-CN"/>
              </w:rPr>
              <w:t>地下水</w:t>
            </w:r>
          </w:p>
        </w:tc>
        <w:tc>
          <w:tcPr>
            <w:tcW w:w="770" w:type="dxa"/>
          </w:tcPr>
          <w:p w:rsidR="002A5A5E" w:rsidRPr="00F9522B" w:rsidRDefault="00611CBA">
            <w:pPr>
              <w:rPr>
                <w:rFonts w:eastAsiaTheme="minorEastAsia"/>
                <w:b/>
                <w:kern w:val="0"/>
                <w:szCs w:val="21"/>
                <w:lang w:val="zh-CN"/>
              </w:rPr>
            </w:pPr>
            <w:r w:rsidRPr="00F9522B">
              <w:rPr>
                <w:rFonts w:eastAsiaTheme="minorEastAsia"/>
                <w:kern w:val="0"/>
                <w:szCs w:val="21"/>
                <w:lang w:val="zh-CN"/>
              </w:rPr>
              <w:t>设置跟踪监测井</w:t>
            </w:r>
          </w:p>
        </w:tc>
        <w:tc>
          <w:tcPr>
            <w:tcW w:w="1276" w:type="dxa"/>
          </w:tcPr>
          <w:p w:rsidR="002A5A5E" w:rsidRPr="00F9522B" w:rsidRDefault="00611CBA">
            <w:pPr>
              <w:rPr>
                <w:rFonts w:eastAsiaTheme="minorEastAsia"/>
                <w:kern w:val="0"/>
                <w:szCs w:val="21"/>
                <w:lang w:val="zh-CN"/>
              </w:rPr>
            </w:pPr>
            <w:r w:rsidRPr="00F9522B">
              <w:rPr>
                <w:rFonts w:eastAsiaTheme="minorEastAsia"/>
                <w:kern w:val="0"/>
                <w:szCs w:val="21"/>
              </w:rPr>
              <w:t>水位、</w:t>
            </w:r>
            <w:r w:rsidRPr="00F9522B">
              <w:rPr>
                <w:rFonts w:eastAsiaTheme="minorEastAsia"/>
                <w:kern w:val="0"/>
                <w:szCs w:val="21"/>
              </w:rPr>
              <w:t>pH</w:t>
            </w:r>
            <w:r w:rsidRPr="00F9522B">
              <w:rPr>
                <w:rFonts w:eastAsiaTheme="minorEastAsia"/>
                <w:kern w:val="0"/>
                <w:szCs w:val="21"/>
              </w:rPr>
              <w:t>、氨氮、耗氧量</w:t>
            </w:r>
          </w:p>
        </w:tc>
        <w:tc>
          <w:tcPr>
            <w:tcW w:w="1984" w:type="dxa"/>
          </w:tcPr>
          <w:p w:rsidR="002A5A5E" w:rsidRPr="00F9522B" w:rsidRDefault="00611CBA">
            <w:pPr>
              <w:rPr>
                <w:rFonts w:eastAsiaTheme="minorEastAsia"/>
                <w:kern w:val="0"/>
                <w:szCs w:val="21"/>
                <w:lang w:val="zh-CN"/>
              </w:rPr>
            </w:pPr>
            <w:r w:rsidRPr="00F9522B">
              <w:rPr>
                <w:rFonts w:eastAsiaTheme="minorEastAsia"/>
                <w:kern w:val="0"/>
                <w:szCs w:val="21"/>
                <w:lang w:val="zh-CN"/>
              </w:rPr>
              <w:t>设置</w:t>
            </w:r>
            <w:r w:rsidRPr="00F9522B">
              <w:rPr>
                <w:rFonts w:eastAsiaTheme="minorEastAsia"/>
                <w:kern w:val="0"/>
                <w:szCs w:val="21"/>
                <w:lang w:val="zh-CN"/>
              </w:rPr>
              <w:t>3</w:t>
            </w:r>
            <w:r w:rsidRPr="00F9522B">
              <w:rPr>
                <w:rFonts w:eastAsiaTheme="minorEastAsia"/>
                <w:kern w:val="0"/>
                <w:szCs w:val="21"/>
                <w:lang w:val="zh-CN"/>
              </w:rPr>
              <w:t>口跟踪监测井（</w:t>
            </w:r>
            <w:r w:rsidR="00123CA8" w:rsidRPr="00F9522B">
              <w:rPr>
                <w:rFonts w:eastAsiaTheme="minorEastAsia"/>
                <w:kern w:val="0"/>
                <w:szCs w:val="21"/>
              </w:rPr>
              <w:t>榆林</w:t>
            </w:r>
            <w:r w:rsidR="00123CA8" w:rsidRPr="00F9522B">
              <w:rPr>
                <w:rFonts w:eastAsiaTheme="minorEastAsia"/>
                <w:kern w:val="0"/>
                <w:szCs w:val="21"/>
              </w:rPr>
              <w:t>2#</w:t>
            </w:r>
            <w:r w:rsidR="00123CA8" w:rsidRPr="00F9522B">
              <w:rPr>
                <w:rFonts w:eastAsiaTheme="minorEastAsia"/>
                <w:kern w:val="0"/>
                <w:szCs w:val="21"/>
              </w:rPr>
              <w:t>灌溉井、傅井</w:t>
            </w:r>
            <w:r w:rsidR="00123CA8" w:rsidRPr="00F9522B">
              <w:rPr>
                <w:rFonts w:eastAsiaTheme="minorEastAsia"/>
                <w:kern w:val="0"/>
                <w:szCs w:val="21"/>
              </w:rPr>
              <w:t>2#</w:t>
            </w:r>
            <w:r w:rsidR="00123CA8" w:rsidRPr="00F9522B">
              <w:rPr>
                <w:rFonts w:eastAsiaTheme="minorEastAsia"/>
                <w:kern w:val="0"/>
                <w:szCs w:val="21"/>
              </w:rPr>
              <w:t>灌溉井、永胜</w:t>
            </w:r>
            <w:r w:rsidR="00123CA8" w:rsidRPr="00F9522B">
              <w:rPr>
                <w:rFonts w:eastAsiaTheme="minorEastAsia"/>
                <w:kern w:val="0"/>
                <w:szCs w:val="21"/>
              </w:rPr>
              <w:t>1#</w:t>
            </w:r>
            <w:r w:rsidR="00123CA8" w:rsidRPr="00F9522B">
              <w:rPr>
                <w:rFonts w:eastAsiaTheme="minorEastAsia"/>
                <w:kern w:val="0"/>
                <w:szCs w:val="21"/>
              </w:rPr>
              <w:t>灌溉井</w:t>
            </w:r>
            <w:r w:rsidRPr="00F9522B">
              <w:rPr>
                <w:rFonts w:eastAsiaTheme="minorEastAsia"/>
                <w:kern w:val="0"/>
                <w:szCs w:val="21"/>
                <w:lang w:val="zh-CN"/>
              </w:rPr>
              <w:t>）</w:t>
            </w:r>
          </w:p>
        </w:tc>
        <w:tc>
          <w:tcPr>
            <w:tcW w:w="1727" w:type="dxa"/>
          </w:tcPr>
          <w:p w:rsidR="002A5A5E" w:rsidRPr="00F9522B" w:rsidRDefault="00611CBA">
            <w:pPr>
              <w:rPr>
                <w:rFonts w:eastAsiaTheme="minorEastAsia"/>
                <w:kern w:val="0"/>
                <w:szCs w:val="21"/>
                <w:lang w:val="zh-CN"/>
              </w:rPr>
            </w:pPr>
            <w:r w:rsidRPr="00F9522B">
              <w:rPr>
                <w:rFonts w:eastAsiaTheme="minorEastAsia"/>
                <w:kern w:val="0"/>
                <w:szCs w:val="21"/>
              </w:rPr>
              <w:t>《地下水质量标准》</w:t>
            </w:r>
            <w:r w:rsidRPr="00F9522B">
              <w:rPr>
                <w:rFonts w:eastAsiaTheme="minorEastAsia"/>
                <w:kern w:val="0"/>
                <w:szCs w:val="21"/>
              </w:rPr>
              <w:t>(GB/T14848-2017)Ⅲ</w:t>
            </w:r>
            <w:r w:rsidRPr="00F9522B">
              <w:rPr>
                <w:rFonts w:eastAsiaTheme="minorEastAsia"/>
                <w:kern w:val="0"/>
                <w:szCs w:val="21"/>
              </w:rPr>
              <w:t>类标准</w:t>
            </w:r>
          </w:p>
        </w:tc>
        <w:tc>
          <w:tcPr>
            <w:tcW w:w="863" w:type="dxa"/>
          </w:tcPr>
          <w:p w:rsidR="002A5A5E" w:rsidRPr="00F9522B" w:rsidRDefault="00611CBA">
            <w:pPr>
              <w:rPr>
                <w:rFonts w:eastAsiaTheme="minorEastAsia"/>
                <w:kern w:val="0"/>
                <w:szCs w:val="21"/>
                <w:lang w:val="zh-CN"/>
              </w:rPr>
            </w:pPr>
            <w:r w:rsidRPr="00F9522B">
              <w:rPr>
                <w:rFonts w:eastAsiaTheme="minorEastAsia"/>
                <w:kern w:val="0"/>
                <w:szCs w:val="21"/>
              </w:rPr>
              <w:t>每年的丰、枯水期各监测</w:t>
            </w:r>
            <w:r w:rsidRPr="00F9522B">
              <w:rPr>
                <w:rFonts w:eastAsiaTheme="minorEastAsia"/>
                <w:kern w:val="0"/>
                <w:szCs w:val="21"/>
              </w:rPr>
              <w:t>1</w:t>
            </w:r>
            <w:r w:rsidRPr="00F9522B">
              <w:rPr>
                <w:rFonts w:eastAsiaTheme="minorEastAsia"/>
                <w:kern w:val="0"/>
                <w:szCs w:val="21"/>
              </w:rPr>
              <w:t>次</w:t>
            </w:r>
          </w:p>
        </w:tc>
        <w:tc>
          <w:tcPr>
            <w:tcW w:w="1011" w:type="dxa"/>
          </w:tcPr>
          <w:p w:rsidR="002A5A5E" w:rsidRPr="00F9522B" w:rsidRDefault="00611CBA">
            <w:pPr>
              <w:rPr>
                <w:rFonts w:eastAsiaTheme="minorEastAsia"/>
                <w:kern w:val="0"/>
                <w:szCs w:val="21"/>
                <w:lang w:val="zh-CN"/>
              </w:rPr>
            </w:pPr>
            <w:r w:rsidRPr="00F9522B">
              <w:rPr>
                <w:rFonts w:eastAsiaTheme="minorEastAsia"/>
                <w:kern w:val="0"/>
                <w:szCs w:val="21"/>
                <w:lang w:val="zh-CN"/>
              </w:rPr>
              <w:t>手工监测技术</w:t>
            </w:r>
          </w:p>
        </w:tc>
      </w:tr>
      <w:tr w:rsidR="002A5A5E" w:rsidRPr="00F9522B">
        <w:trPr>
          <w:trHeight w:val="614"/>
        </w:trPr>
        <w:tc>
          <w:tcPr>
            <w:tcW w:w="642" w:type="dxa"/>
          </w:tcPr>
          <w:p w:rsidR="002A5A5E" w:rsidRPr="00F9522B" w:rsidRDefault="00611CBA">
            <w:pPr>
              <w:rPr>
                <w:rFonts w:eastAsiaTheme="minorEastAsia"/>
                <w:kern w:val="0"/>
                <w:szCs w:val="21"/>
                <w:lang w:val="zh-CN"/>
              </w:rPr>
            </w:pPr>
            <w:r w:rsidRPr="00F9522B">
              <w:rPr>
                <w:rFonts w:eastAsiaTheme="minorEastAsia"/>
                <w:kern w:val="0"/>
                <w:szCs w:val="21"/>
                <w:lang w:val="zh-CN"/>
              </w:rPr>
              <w:t>土壤</w:t>
            </w:r>
          </w:p>
        </w:tc>
        <w:tc>
          <w:tcPr>
            <w:tcW w:w="770" w:type="dxa"/>
          </w:tcPr>
          <w:p w:rsidR="002A5A5E" w:rsidRPr="00F9522B" w:rsidRDefault="00611CBA">
            <w:pPr>
              <w:rPr>
                <w:rFonts w:eastAsiaTheme="minorEastAsia"/>
                <w:kern w:val="0"/>
                <w:szCs w:val="21"/>
                <w:lang w:val="zh-CN"/>
              </w:rPr>
            </w:pPr>
            <w:r w:rsidRPr="00F9522B">
              <w:rPr>
                <w:rFonts w:eastAsiaTheme="minorEastAsia"/>
                <w:kern w:val="0"/>
                <w:szCs w:val="21"/>
                <w:lang w:val="zh-CN"/>
              </w:rPr>
              <w:t>灌溉区</w:t>
            </w:r>
          </w:p>
        </w:tc>
        <w:tc>
          <w:tcPr>
            <w:tcW w:w="1276" w:type="dxa"/>
          </w:tcPr>
          <w:p w:rsidR="002A5A5E" w:rsidRPr="00F9522B" w:rsidRDefault="00611CBA">
            <w:pPr>
              <w:rPr>
                <w:rFonts w:eastAsiaTheme="minorEastAsia"/>
                <w:kern w:val="0"/>
                <w:szCs w:val="21"/>
              </w:rPr>
            </w:pPr>
            <w:r w:rsidRPr="00F9522B">
              <w:rPr>
                <w:rFonts w:eastAsiaTheme="minorEastAsia"/>
                <w:kern w:val="0"/>
                <w:szCs w:val="21"/>
              </w:rPr>
              <w:t>pH</w:t>
            </w:r>
            <w:r w:rsidRPr="00F9522B">
              <w:rPr>
                <w:rFonts w:eastAsiaTheme="minorEastAsia"/>
                <w:kern w:val="0"/>
                <w:szCs w:val="21"/>
              </w:rPr>
              <w:t>、有机质、全氮、镉、汞、砷、铜、铅、铬、锌、镍、全盐量共</w:t>
            </w:r>
            <w:r w:rsidRPr="00F9522B">
              <w:rPr>
                <w:rFonts w:eastAsiaTheme="minorEastAsia"/>
                <w:kern w:val="0"/>
                <w:szCs w:val="21"/>
              </w:rPr>
              <w:t>12</w:t>
            </w:r>
            <w:r w:rsidRPr="00F9522B">
              <w:rPr>
                <w:rFonts w:eastAsiaTheme="minorEastAsia"/>
                <w:kern w:val="0"/>
                <w:szCs w:val="21"/>
              </w:rPr>
              <w:t>项</w:t>
            </w:r>
          </w:p>
        </w:tc>
        <w:tc>
          <w:tcPr>
            <w:tcW w:w="1984" w:type="dxa"/>
          </w:tcPr>
          <w:p w:rsidR="002A5A5E" w:rsidRPr="00F9522B" w:rsidRDefault="00611CBA">
            <w:pPr>
              <w:rPr>
                <w:rFonts w:eastAsiaTheme="minorEastAsia"/>
                <w:kern w:val="0"/>
                <w:szCs w:val="21"/>
                <w:lang w:val="zh-CN"/>
              </w:rPr>
            </w:pPr>
            <w:r w:rsidRPr="00F9522B">
              <w:rPr>
                <w:rFonts w:eastAsiaTheme="minorEastAsia"/>
                <w:kern w:val="0"/>
                <w:szCs w:val="21"/>
                <w:lang w:val="zh-CN"/>
              </w:rPr>
              <w:t>设置</w:t>
            </w:r>
            <w:r w:rsidRPr="00F9522B">
              <w:rPr>
                <w:rFonts w:eastAsiaTheme="minorEastAsia"/>
                <w:kern w:val="0"/>
                <w:szCs w:val="21"/>
                <w:lang w:val="zh-CN"/>
              </w:rPr>
              <w:t>3</w:t>
            </w:r>
            <w:r w:rsidRPr="00F9522B">
              <w:rPr>
                <w:rFonts w:eastAsiaTheme="minorEastAsia"/>
                <w:kern w:val="0"/>
                <w:szCs w:val="21"/>
                <w:lang w:val="zh-CN"/>
              </w:rPr>
              <w:t>个土壤监测点（旱田灌溉井附近设置</w:t>
            </w:r>
            <w:r w:rsidRPr="00F9522B">
              <w:rPr>
                <w:rFonts w:eastAsiaTheme="minorEastAsia"/>
                <w:kern w:val="0"/>
                <w:szCs w:val="21"/>
                <w:lang w:val="zh-CN"/>
              </w:rPr>
              <w:t>1</w:t>
            </w:r>
            <w:r w:rsidRPr="00F9522B">
              <w:rPr>
                <w:rFonts w:eastAsiaTheme="minorEastAsia"/>
                <w:kern w:val="0"/>
                <w:szCs w:val="21"/>
                <w:lang w:val="zh-CN"/>
              </w:rPr>
              <w:t>个、水田设置</w:t>
            </w:r>
            <w:r w:rsidRPr="00F9522B">
              <w:rPr>
                <w:rFonts w:eastAsiaTheme="minorEastAsia"/>
                <w:kern w:val="0"/>
                <w:szCs w:val="21"/>
                <w:lang w:val="zh-CN"/>
              </w:rPr>
              <w:t>1</w:t>
            </w:r>
            <w:r w:rsidRPr="00F9522B">
              <w:rPr>
                <w:rFonts w:eastAsiaTheme="minorEastAsia"/>
                <w:kern w:val="0"/>
                <w:szCs w:val="21"/>
                <w:lang w:val="zh-CN"/>
              </w:rPr>
              <w:t>个、饮用水源地附近设置</w:t>
            </w:r>
            <w:r w:rsidRPr="00F9522B">
              <w:rPr>
                <w:rFonts w:eastAsiaTheme="minorEastAsia"/>
                <w:kern w:val="0"/>
                <w:szCs w:val="21"/>
                <w:lang w:val="zh-CN"/>
              </w:rPr>
              <w:t>1</w:t>
            </w:r>
            <w:r w:rsidRPr="00F9522B">
              <w:rPr>
                <w:rFonts w:eastAsiaTheme="minorEastAsia"/>
                <w:kern w:val="0"/>
                <w:szCs w:val="21"/>
                <w:lang w:val="zh-CN"/>
              </w:rPr>
              <w:t>个；土壤类型为：黑土；采样深度为：表层样</w:t>
            </w:r>
            <w:r w:rsidRPr="00F9522B">
              <w:rPr>
                <w:rFonts w:eastAsiaTheme="minorEastAsia"/>
                <w:kern w:val="0"/>
                <w:szCs w:val="21"/>
                <w:lang w:val="zh-CN"/>
              </w:rPr>
              <w:t>0~0.2m</w:t>
            </w:r>
            <w:r w:rsidRPr="00F9522B">
              <w:rPr>
                <w:rFonts w:eastAsiaTheme="minorEastAsia"/>
                <w:kern w:val="0"/>
                <w:szCs w:val="21"/>
                <w:lang w:val="zh-CN"/>
              </w:rPr>
              <w:t>）</w:t>
            </w:r>
          </w:p>
        </w:tc>
        <w:tc>
          <w:tcPr>
            <w:tcW w:w="1727" w:type="dxa"/>
          </w:tcPr>
          <w:p w:rsidR="002A5A5E" w:rsidRPr="00F9522B" w:rsidRDefault="00611CBA">
            <w:pPr>
              <w:rPr>
                <w:rFonts w:eastAsiaTheme="minorEastAsia"/>
                <w:kern w:val="0"/>
                <w:szCs w:val="21"/>
                <w:lang w:val="zh-CN"/>
              </w:rPr>
            </w:pPr>
            <w:r w:rsidRPr="00F9522B">
              <w:rPr>
                <w:rFonts w:eastAsiaTheme="minorEastAsia"/>
                <w:kern w:val="0"/>
                <w:szCs w:val="21"/>
              </w:rPr>
              <w:t>《土壤环境质量农用地土壤污染风险管控标准（试行）》（</w:t>
            </w:r>
            <w:r w:rsidRPr="00F9522B">
              <w:rPr>
                <w:rFonts w:eastAsiaTheme="minorEastAsia"/>
                <w:kern w:val="0"/>
                <w:szCs w:val="21"/>
              </w:rPr>
              <w:t>GB15618-2018</w:t>
            </w:r>
            <w:r w:rsidRPr="00F9522B">
              <w:rPr>
                <w:rFonts w:eastAsiaTheme="minorEastAsia"/>
                <w:kern w:val="0"/>
                <w:szCs w:val="21"/>
              </w:rPr>
              <w:t>）中筛选值</w:t>
            </w:r>
          </w:p>
        </w:tc>
        <w:tc>
          <w:tcPr>
            <w:tcW w:w="863" w:type="dxa"/>
          </w:tcPr>
          <w:p w:rsidR="002A5A5E" w:rsidRPr="00F9522B" w:rsidRDefault="00611CBA">
            <w:pPr>
              <w:rPr>
                <w:rFonts w:eastAsiaTheme="minorEastAsia"/>
                <w:kern w:val="0"/>
                <w:szCs w:val="21"/>
              </w:rPr>
            </w:pPr>
            <w:r w:rsidRPr="00F9522B">
              <w:rPr>
                <w:rStyle w:val="CharChar"/>
                <w:rFonts w:eastAsiaTheme="minorEastAsia" w:hAnsi="Times New Roman"/>
                <w:smallCaps/>
                <w:kern w:val="0"/>
              </w:rPr>
              <w:t>每两年春季灌溉前期监测</w:t>
            </w:r>
            <w:r w:rsidRPr="00F9522B">
              <w:rPr>
                <w:rStyle w:val="CharChar"/>
                <w:rFonts w:eastAsiaTheme="minorEastAsia" w:hAnsi="Times New Roman"/>
                <w:smallCaps/>
                <w:kern w:val="0"/>
              </w:rPr>
              <w:t>1</w:t>
            </w:r>
            <w:r w:rsidRPr="00F9522B">
              <w:rPr>
                <w:rStyle w:val="CharChar"/>
                <w:rFonts w:eastAsiaTheme="minorEastAsia" w:hAnsi="Times New Roman"/>
                <w:smallCaps/>
                <w:kern w:val="0"/>
              </w:rPr>
              <w:t>次</w:t>
            </w:r>
          </w:p>
        </w:tc>
        <w:tc>
          <w:tcPr>
            <w:tcW w:w="1011" w:type="dxa"/>
          </w:tcPr>
          <w:p w:rsidR="002A5A5E" w:rsidRPr="00F9522B" w:rsidRDefault="00611CBA">
            <w:pPr>
              <w:rPr>
                <w:rFonts w:eastAsiaTheme="minorEastAsia"/>
                <w:kern w:val="0"/>
                <w:szCs w:val="21"/>
                <w:lang w:val="zh-CN"/>
              </w:rPr>
            </w:pPr>
            <w:r w:rsidRPr="00F9522B">
              <w:rPr>
                <w:rFonts w:eastAsiaTheme="minorEastAsia"/>
                <w:kern w:val="0"/>
                <w:szCs w:val="21"/>
                <w:lang w:val="zh-CN"/>
              </w:rPr>
              <w:t>手工监测技术</w:t>
            </w:r>
          </w:p>
        </w:tc>
      </w:tr>
      <w:tr w:rsidR="002A5A5E" w:rsidRPr="00F9522B">
        <w:trPr>
          <w:trHeight w:val="614"/>
        </w:trPr>
        <w:tc>
          <w:tcPr>
            <w:tcW w:w="642" w:type="dxa"/>
          </w:tcPr>
          <w:p w:rsidR="002A5A5E" w:rsidRPr="00F9522B" w:rsidRDefault="00611CBA">
            <w:pPr>
              <w:rPr>
                <w:rFonts w:eastAsiaTheme="minorEastAsia"/>
                <w:kern w:val="0"/>
                <w:szCs w:val="21"/>
                <w:lang w:val="zh-CN"/>
              </w:rPr>
            </w:pPr>
            <w:r w:rsidRPr="00F9522B">
              <w:rPr>
                <w:rFonts w:eastAsiaTheme="minorEastAsia"/>
                <w:kern w:val="0"/>
                <w:szCs w:val="21"/>
              </w:rPr>
              <w:t>地表水</w:t>
            </w:r>
          </w:p>
        </w:tc>
        <w:tc>
          <w:tcPr>
            <w:tcW w:w="770" w:type="dxa"/>
          </w:tcPr>
          <w:p w:rsidR="002A5A5E" w:rsidRPr="00F9522B" w:rsidRDefault="00611CBA">
            <w:pPr>
              <w:rPr>
                <w:rFonts w:eastAsiaTheme="minorEastAsia"/>
                <w:kern w:val="0"/>
                <w:szCs w:val="21"/>
                <w:lang w:val="zh-CN"/>
              </w:rPr>
            </w:pPr>
            <w:r w:rsidRPr="00F9522B">
              <w:rPr>
                <w:rFonts w:eastAsiaTheme="minorEastAsia"/>
                <w:kern w:val="0"/>
                <w:szCs w:val="21"/>
                <w:lang w:val="zh-CN"/>
              </w:rPr>
              <w:t>水田灌溉区</w:t>
            </w:r>
          </w:p>
        </w:tc>
        <w:tc>
          <w:tcPr>
            <w:tcW w:w="1276" w:type="dxa"/>
          </w:tcPr>
          <w:p w:rsidR="002A5A5E" w:rsidRPr="00F9522B" w:rsidRDefault="00611CBA">
            <w:pPr>
              <w:rPr>
                <w:rFonts w:eastAsiaTheme="minorEastAsia"/>
                <w:kern w:val="0"/>
                <w:szCs w:val="21"/>
              </w:rPr>
            </w:pPr>
            <w:r w:rsidRPr="00F9522B">
              <w:rPr>
                <w:rFonts w:eastAsiaTheme="minorEastAsia"/>
                <w:kern w:val="0"/>
                <w:szCs w:val="20"/>
              </w:rPr>
              <w:t>pH</w:t>
            </w:r>
            <w:r w:rsidRPr="00F9522B">
              <w:rPr>
                <w:rFonts w:eastAsiaTheme="minorEastAsia"/>
                <w:kern w:val="0"/>
                <w:szCs w:val="20"/>
              </w:rPr>
              <w:t>、</w:t>
            </w:r>
            <w:r w:rsidRPr="00F9522B">
              <w:rPr>
                <w:rFonts w:eastAsiaTheme="minorEastAsia"/>
                <w:kern w:val="0"/>
                <w:szCs w:val="20"/>
              </w:rPr>
              <w:t>SS</w:t>
            </w:r>
            <w:r w:rsidRPr="00F9522B">
              <w:rPr>
                <w:rFonts w:eastAsiaTheme="minorEastAsia"/>
                <w:kern w:val="0"/>
                <w:szCs w:val="20"/>
              </w:rPr>
              <w:t>、高锰酸盐指数、</w:t>
            </w:r>
            <w:r w:rsidRPr="00F9522B">
              <w:rPr>
                <w:rFonts w:eastAsiaTheme="minorEastAsia"/>
                <w:kern w:val="0"/>
                <w:szCs w:val="20"/>
              </w:rPr>
              <w:t>COD</w:t>
            </w:r>
            <w:r w:rsidRPr="00F9522B">
              <w:rPr>
                <w:rFonts w:eastAsiaTheme="minorEastAsia"/>
                <w:kern w:val="0"/>
                <w:szCs w:val="20"/>
              </w:rPr>
              <w:t>、氨氮、总磷、</w:t>
            </w:r>
            <w:r w:rsidRPr="00F9522B">
              <w:rPr>
                <w:rFonts w:eastAsiaTheme="minorEastAsia"/>
                <w:bCs/>
                <w:kern w:val="0"/>
                <w:szCs w:val="20"/>
              </w:rPr>
              <w:t>BOD</w:t>
            </w:r>
            <w:r w:rsidRPr="00F9522B">
              <w:rPr>
                <w:rFonts w:eastAsiaTheme="minorEastAsia"/>
                <w:bCs/>
                <w:kern w:val="0"/>
                <w:szCs w:val="20"/>
                <w:vertAlign w:val="subscript"/>
              </w:rPr>
              <w:t>5</w:t>
            </w:r>
          </w:p>
        </w:tc>
        <w:tc>
          <w:tcPr>
            <w:tcW w:w="1984" w:type="dxa"/>
          </w:tcPr>
          <w:p w:rsidR="002A5A5E" w:rsidRPr="00F9522B" w:rsidRDefault="00611CBA">
            <w:pPr>
              <w:rPr>
                <w:rFonts w:eastAsiaTheme="minorEastAsia"/>
                <w:kern w:val="0"/>
                <w:szCs w:val="21"/>
                <w:lang w:val="zh-CN"/>
              </w:rPr>
            </w:pPr>
            <w:r w:rsidRPr="00F9522B">
              <w:rPr>
                <w:rFonts w:eastAsiaTheme="minorEastAsia"/>
                <w:kern w:val="0"/>
                <w:szCs w:val="21"/>
              </w:rPr>
              <w:t>承泄区：</w:t>
            </w:r>
            <w:r w:rsidR="002D7E70" w:rsidRPr="00F9522B">
              <w:rPr>
                <w:rFonts w:eastAsiaTheme="minorEastAsia"/>
                <w:kern w:val="0"/>
                <w:szCs w:val="21"/>
              </w:rPr>
              <w:t>公家沟</w:t>
            </w:r>
            <w:r w:rsidRPr="00F9522B">
              <w:rPr>
                <w:rFonts w:eastAsiaTheme="minorEastAsia"/>
                <w:kern w:val="0"/>
                <w:szCs w:val="21"/>
              </w:rPr>
              <w:t>退水口、</w:t>
            </w:r>
            <w:r w:rsidR="002D7E70" w:rsidRPr="00F9522B">
              <w:rPr>
                <w:rFonts w:eastAsiaTheme="minorEastAsia"/>
                <w:kern w:val="0"/>
                <w:szCs w:val="21"/>
              </w:rPr>
              <w:t>退水入松花江河口</w:t>
            </w:r>
            <w:r w:rsidRPr="00F9522B">
              <w:rPr>
                <w:rFonts w:eastAsiaTheme="minorEastAsia"/>
                <w:kern w:val="0"/>
                <w:szCs w:val="21"/>
              </w:rPr>
              <w:t>、漂河退水口</w:t>
            </w:r>
          </w:p>
        </w:tc>
        <w:tc>
          <w:tcPr>
            <w:tcW w:w="1727" w:type="dxa"/>
          </w:tcPr>
          <w:p w:rsidR="002A5A5E" w:rsidRPr="00F9522B" w:rsidRDefault="00611CBA">
            <w:pPr>
              <w:rPr>
                <w:rFonts w:eastAsiaTheme="minorEastAsia"/>
                <w:kern w:val="0"/>
                <w:szCs w:val="21"/>
              </w:rPr>
            </w:pPr>
            <w:r w:rsidRPr="00F9522B">
              <w:rPr>
                <w:rFonts w:eastAsiaTheme="minorEastAsia"/>
                <w:kern w:val="0"/>
                <w:szCs w:val="21"/>
              </w:rPr>
              <w:t>执行《地表水环境质量标准》（</w:t>
            </w:r>
            <w:r w:rsidRPr="00F9522B">
              <w:rPr>
                <w:rFonts w:eastAsiaTheme="minorEastAsia"/>
                <w:kern w:val="0"/>
                <w:szCs w:val="21"/>
              </w:rPr>
              <w:t>GB3838-2002</w:t>
            </w:r>
            <w:r w:rsidRPr="00F9522B">
              <w:rPr>
                <w:rFonts w:eastAsiaTheme="minorEastAsia"/>
                <w:kern w:val="0"/>
                <w:szCs w:val="21"/>
              </w:rPr>
              <w:t>）中</w:t>
            </w:r>
            <w:r w:rsidRPr="00F9522B">
              <w:rPr>
                <w:rFonts w:eastAsiaTheme="minorEastAsia"/>
                <w:kern w:val="0"/>
                <w:szCs w:val="21"/>
              </w:rPr>
              <w:t>Ⅲ</w:t>
            </w:r>
            <w:r w:rsidRPr="00F9522B">
              <w:rPr>
                <w:rFonts w:eastAsiaTheme="minorEastAsia"/>
                <w:kern w:val="0"/>
                <w:szCs w:val="21"/>
              </w:rPr>
              <w:t>类标准要求</w:t>
            </w:r>
          </w:p>
        </w:tc>
        <w:tc>
          <w:tcPr>
            <w:tcW w:w="863" w:type="dxa"/>
          </w:tcPr>
          <w:p w:rsidR="002A5A5E" w:rsidRPr="00F9522B" w:rsidRDefault="00611CBA">
            <w:pPr>
              <w:rPr>
                <w:rStyle w:val="CharChar"/>
                <w:rFonts w:eastAsiaTheme="minorEastAsia" w:hAnsi="Times New Roman"/>
                <w:smallCaps/>
                <w:kern w:val="0"/>
              </w:rPr>
            </w:pPr>
            <w:r w:rsidRPr="00F9522B">
              <w:rPr>
                <w:rFonts w:eastAsiaTheme="minorEastAsia"/>
                <w:kern w:val="0"/>
                <w:szCs w:val="21"/>
              </w:rPr>
              <w:t>3</w:t>
            </w:r>
            <w:r w:rsidRPr="00F9522B">
              <w:rPr>
                <w:rFonts w:eastAsiaTheme="minorEastAsia"/>
                <w:kern w:val="0"/>
                <w:szCs w:val="21"/>
              </w:rPr>
              <w:t>个断面，每年抽样</w:t>
            </w:r>
            <w:r w:rsidRPr="00F9522B">
              <w:rPr>
                <w:rFonts w:eastAsiaTheme="minorEastAsia"/>
                <w:kern w:val="0"/>
                <w:szCs w:val="21"/>
              </w:rPr>
              <w:t>5~8</w:t>
            </w:r>
            <w:r w:rsidRPr="00F9522B">
              <w:rPr>
                <w:rFonts w:eastAsiaTheme="minorEastAsia"/>
                <w:kern w:val="0"/>
                <w:szCs w:val="21"/>
              </w:rPr>
              <w:t>月退水期监测一次</w:t>
            </w:r>
          </w:p>
        </w:tc>
        <w:tc>
          <w:tcPr>
            <w:tcW w:w="1011" w:type="dxa"/>
          </w:tcPr>
          <w:p w:rsidR="002A5A5E" w:rsidRPr="00F9522B" w:rsidRDefault="00611CBA">
            <w:pPr>
              <w:rPr>
                <w:rFonts w:eastAsiaTheme="minorEastAsia"/>
                <w:kern w:val="0"/>
                <w:szCs w:val="21"/>
                <w:lang w:val="zh-CN"/>
              </w:rPr>
            </w:pPr>
            <w:r w:rsidRPr="00F9522B">
              <w:rPr>
                <w:rFonts w:eastAsiaTheme="minorEastAsia"/>
                <w:kern w:val="0"/>
                <w:szCs w:val="21"/>
                <w:lang w:val="zh-CN"/>
              </w:rPr>
              <w:t>手工监测技术</w:t>
            </w:r>
          </w:p>
        </w:tc>
      </w:tr>
    </w:tbl>
    <w:p w:rsidR="002A5A5E" w:rsidRPr="00F9522B" w:rsidRDefault="00611CBA">
      <w:pPr>
        <w:keepNext/>
        <w:keepLines/>
        <w:spacing w:before="100" w:beforeAutospacing="1" w:after="100" w:afterAutospacing="1"/>
        <w:outlineLvl w:val="2"/>
        <w:rPr>
          <w:rFonts w:eastAsiaTheme="minorEastAsia"/>
          <w:b/>
          <w:sz w:val="28"/>
          <w:szCs w:val="28"/>
        </w:rPr>
      </w:pPr>
      <w:r w:rsidRPr="00F9522B">
        <w:rPr>
          <w:rFonts w:eastAsiaTheme="minorEastAsia"/>
          <w:b/>
          <w:sz w:val="28"/>
          <w:szCs w:val="28"/>
        </w:rPr>
        <w:t>8.2.4</w:t>
      </w:r>
      <w:r w:rsidRPr="00F9522B">
        <w:rPr>
          <w:rFonts w:eastAsiaTheme="minorEastAsia"/>
          <w:b/>
          <w:sz w:val="28"/>
          <w:szCs w:val="28"/>
        </w:rPr>
        <w:t>生态环境监测计划</w:t>
      </w:r>
    </w:p>
    <w:p w:rsidR="002A5A5E" w:rsidRPr="00F9522B" w:rsidRDefault="00611CBA">
      <w:pPr>
        <w:autoSpaceDE w:val="0"/>
        <w:autoSpaceDN w:val="0"/>
        <w:spacing w:before="100" w:beforeAutospacing="1" w:after="100" w:afterAutospacing="1"/>
        <w:outlineLvl w:val="3"/>
        <w:rPr>
          <w:rFonts w:eastAsiaTheme="minorEastAsia"/>
          <w:b/>
          <w:bCs/>
          <w:sz w:val="24"/>
        </w:rPr>
      </w:pPr>
      <w:r w:rsidRPr="00F9522B">
        <w:rPr>
          <w:rFonts w:eastAsiaTheme="minorEastAsia"/>
          <w:b/>
          <w:bCs/>
          <w:sz w:val="24"/>
        </w:rPr>
        <w:t>8.2.4.1</w:t>
      </w:r>
      <w:r w:rsidRPr="00F9522B">
        <w:rPr>
          <w:rFonts w:eastAsiaTheme="minorEastAsia"/>
          <w:b/>
          <w:bCs/>
          <w:sz w:val="24"/>
        </w:rPr>
        <w:t>监测方法</w:t>
      </w:r>
    </w:p>
    <w:p w:rsidR="002A5A5E" w:rsidRPr="00F9522B" w:rsidRDefault="00611CBA">
      <w:pPr>
        <w:pStyle w:val="M"/>
        <w:kinsoku/>
        <w:ind w:firstLine="480"/>
        <w:jc w:val="both"/>
        <w:rPr>
          <w:rFonts w:eastAsiaTheme="minorEastAsia"/>
          <w:color w:val="auto"/>
          <w:lang w:eastAsia="zh-CN"/>
        </w:rPr>
      </w:pPr>
      <w:r w:rsidRPr="00F9522B">
        <w:rPr>
          <w:rFonts w:eastAsiaTheme="minorEastAsia"/>
          <w:color w:val="auto"/>
          <w:lang w:eastAsia="zh-CN"/>
        </w:rPr>
        <w:t>（</w:t>
      </w:r>
      <w:r w:rsidRPr="00F9522B">
        <w:rPr>
          <w:rFonts w:eastAsiaTheme="minorEastAsia"/>
          <w:color w:val="auto"/>
          <w:lang w:eastAsia="zh-CN"/>
        </w:rPr>
        <w:t>1</w:t>
      </w:r>
      <w:r w:rsidRPr="00F9522B">
        <w:rPr>
          <w:rFonts w:eastAsiaTheme="minorEastAsia"/>
          <w:color w:val="auto"/>
          <w:lang w:eastAsia="zh-CN"/>
        </w:rPr>
        <w:t>）遥感监测</w:t>
      </w:r>
      <w:r w:rsidRPr="00F9522B">
        <w:rPr>
          <w:rFonts w:eastAsiaTheme="minorEastAsia"/>
          <w:color w:val="auto"/>
          <w:lang w:eastAsia="zh-CN"/>
        </w:rPr>
        <w:t xml:space="preserve"> </w:t>
      </w:r>
    </w:p>
    <w:p w:rsidR="002A5A5E" w:rsidRPr="00F9522B" w:rsidRDefault="00611CBA">
      <w:pPr>
        <w:pStyle w:val="M"/>
        <w:kinsoku/>
        <w:ind w:firstLine="480"/>
        <w:jc w:val="both"/>
        <w:rPr>
          <w:rFonts w:eastAsiaTheme="minorEastAsia"/>
          <w:color w:val="auto"/>
          <w:lang w:eastAsia="zh-CN"/>
        </w:rPr>
      </w:pPr>
      <w:r w:rsidRPr="00F9522B">
        <w:rPr>
          <w:rFonts w:eastAsiaTheme="minorEastAsia"/>
          <w:color w:val="auto"/>
          <w:lang w:eastAsia="zh-CN"/>
        </w:rPr>
        <w:t>利用</w:t>
      </w:r>
      <w:r w:rsidRPr="00F9522B">
        <w:rPr>
          <w:rFonts w:eastAsiaTheme="minorEastAsia"/>
          <w:color w:val="auto"/>
          <w:lang w:eastAsia="zh-CN"/>
        </w:rPr>
        <w:t>ArcGIS Engine</w:t>
      </w:r>
      <w:r w:rsidRPr="00F9522B">
        <w:rPr>
          <w:rFonts w:eastAsiaTheme="minorEastAsia"/>
          <w:color w:val="auto"/>
          <w:lang w:eastAsia="zh-CN"/>
        </w:rPr>
        <w:t>技术和</w:t>
      </w:r>
      <w:r w:rsidRPr="00F9522B">
        <w:rPr>
          <w:rFonts w:eastAsiaTheme="minorEastAsia"/>
          <w:color w:val="auto"/>
          <w:lang w:eastAsia="zh-CN"/>
        </w:rPr>
        <w:t>Visual Basic</w:t>
      </w:r>
      <w:r w:rsidRPr="00F9522B">
        <w:rPr>
          <w:rFonts w:eastAsiaTheme="minorEastAsia"/>
          <w:color w:val="auto"/>
          <w:lang w:eastAsia="zh-CN"/>
        </w:rPr>
        <w:t>开发平台，以基础地理信息、生态专业数据和属性信息为基础建立数据库，依托</w:t>
      </w:r>
      <w:r w:rsidRPr="00F9522B">
        <w:rPr>
          <w:rFonts w:eastAsiaTheme="minorEastAsia"/>
          <w:color w:val="auto"/>
          <w:lang w:eastAsia="zh-CN"/>
        </w:rPr>
        <w:t>GIS</w:t>
      </w:r>
      <w:r w:rsidRPr="00F9522B">
        <w:rPr>
          <w:rFonts w:eastAsiaTheme="minorEastAsia"/>
          <w:color w:val="auto"/>
          <w:lang w:eastAsia="zh-CN"/>
        </w:rPr>
        <w:t>的空间分析性能进行监测成果的分析，得到生物丰度指数、植物盖度指数、景观多样性值和优势度值等，来判断植物和植被的变化。</w:t>
      </w:r>
    </w:p>
    <w:p w:rsidR="002A5A5E" w:rsidRPr="00F9522B" w:rsidRDefault="00611CBA">
      <w:pPr>
        <w:pStyle w:val="M"/>
        <w:kinsoku/>
        <w:ind w:firstLine="480"/>
        <w:jc w:val="both"/>
        <w:rPr>
          <w:rFonts w:eastAsiaTheme="minorEastAsia"/>
          <w:color w:val="auto"/>
          <w:lang w:eastAsia="zh-CN"/>
        </w:rPr>
      </w:pPr>
      <w:r w:rsidRPr="00F9522B">
        <w:rPr>
          <w:rFonts w:eastAsiaTheme="minorEastAsia"/>
          <w:color w:val="auto"/>
          <w:lang w:eastAsia="zh-CN"/>
        </w:rPr>
        <w:t>（</w:t>
      </w:r>
      <w:r w:rsidRPr="00F9522B">
        <w:rPr>
          <w:rFonts w:eastAsiaTheme="minorEastAsia"/>
          <w:color w:val="auto"/>
          <w:lang w:eastAsia="zh-CN"/>
        </w:rPr>
        <w:t>2</w:t>
      </w:r>
      <w:r w:rsidRPr="00F9522B">
        <w:rPr>
          <w:rFonts w:eastAsiaTheme="minorEastAsia"/>
          <w:color w:val="auto"/>
          <w:lang w:eastAsia="zh-CN"/>
        </w:rPr>
        <w:t>）植物监测</w:t>
      </w:r>
    </w:p>
    <w:p w:rsidR="002A5A5E" w:rsidRPr="00F9522B" w:rsidRDefault="00611CBA">
      <w:pPr>
        <w:pStyle w:val="M"/>
        <w:kinsoku/>
        <w:ind w:firstLine="480"/>
        <w:jc w:val="both"/>
        <w:rPr>
          <w:rFonts w:eastAsiaTheme="minorEastAsia"/>
          <w:color w:val="auto"/>
          <w:lang w:eastAsia="zh-CN"/>
        </w:rPr>
      </w:pPr>
      <w:r w:rsidRPr="00F9522B">
        <w:rPr>
          <w:rFonts w:ascii="宋体" w:hAnsi="宋体" w:cs="宋体" w:hint="eastAsia"/>
          <w:color w:val="auto"/>
          <w:lang w:eastAsia="zh-CN"/>
        </w:rPr>
        <w:t>①</w:t>
      </w:r>
      <w:r w:rsidRPr="00F9522B">
        <w:rPr>
          <w:rFonts w:eastAsiaTheme="minorEastAsia"/>
          <w:color w:val="auto"/>
          <w:lang w:eastAsia="zh-CN"/>
        </w:rPr>
        <w:t>植被：调查区域内的植被类型及其优势种、建群种、植被覆盖率，应采用样地调查法对各生态系统分别调查</w:t>
      </w:r>
      <w:r w:rsidRPr="00F9522B">
        <w:rPr>
          <w:rFonts w:eastAsiaTheme="minorEastAsia"/>
          <w:color w:val="auto"/>
          <w:lang w:eastAsia="zh-CN"/>
        </w:rPr>
        <w:t>1~2</w:t>
      </w:r>
      <w:r w:rsidRPr="00F9522B">
        <w:rPr>
          <w:rFonts w:eastAsiaTheme="minorEastAsia"/>
          <w:color w:val="auto"/>
          <w:lang w:eastAsia="zh-CN"/>
        </w:rPr>
        <w:t>个样地，样方面积可按乔木群落</w:t>
      </w:r>
      <w:r w:rsidRPr="00F9522B">
        <w:rPr>
          <w:rFonts w:eastAsiaTheme="minorEastAsia"/>
          <w:color w:val="auto"/>
          <w:lang w:eastAsia="zh-CN"/>
        </w:rPr>
        <w:t xml:space="preserve"> </w:t>
      </w:r>
      <w:r w:rsidRPr="00F9522B">
        <w:rPr>
          <w:rFonts w:eastAsiaTheme="minorEastAsia"/>
          <w:color w:val="auto"/>
          <w:lang w:eastAsia="zh-CN"/>
        </w:rPr>
        <w:lastRenderedPageBreak/>
        <w:t>20m×20m</w:t>
      </w:r>
      <w:r w:rsidRPr="00F9522B">
        <w:rPr>
          <w:rFonts w:eastAsiaTheme="minorEastAsia"/>
          <w:color w:val="auto"/>
          <w:lang w:eastAsia="zh-CN"/>
        </w:rPr>
        <w:t>、灌木群落</w:t>
      </w:r>
      <w:r w:rsidRPr="00F9522B">
        <w:rPr>
          <w:rFonts w:eastAsiaTheme="minorEastAsia"/>
          <w:color w:val="auto"/>
          <w:lang w:eastAsia="zh-CN"/>
        </w:rPr>
        <w:t>5m×5m</w:t>
      </w:r>
      <w:r w:rsidRPr="00F9522B">
        <w:rPr>
          <w:rFonts w:eastAsiaTheme="minorEastAsia"/>
          <w:color w:val="auto"/>
          <w:lang w:eastAsia="zh-CN"/>
        </w:rPr>
        <w:t>、草本群落</w:t>
      </w:r>
      <w:r w:rsidRPr="00F9522B">
        <w:rPr>
          <w:rFonts w:eastAsiaTheme="minorEastAsia"/>
          <w:color w:val="auto"/>
          <w:lang w:eastAsia="zh-CN"/>
        </w:rPr>
        <w:t>1m×lm</w:t>
      </w:r>
      <w:r w:rsidRPr="00F9522B">
        <w:rPr>
          <w:rFonts w:eastAsiaTheme="minorEastAsia"/>
          <w:color w:val="auto"/>
          <w:lang w:eastAsia="zh-CN"/>
        </w:rPr>
        <w:t>。主要在重点调查范围内采集样方。样方数量视群落面积大小而定，一般取</w:t>
      </w:r>
      <w:r w:rsidRPr="00F9522B">
        <w:rPr>
          <w:rFonts w:eastAsiaTheme="minorEastAsia"/>
          <w:color w:val="auto"/>
          <w:lang w:eastAsia="zh-CN"/>
        </w:rPr>
        <w:t>3~5</w:t>
      </w:r>
      <w:r w:rsidRPr="00F9522B">
        <w:rPr>
          <w:rFonts w:eastAsiaTheme="minorEastAsia"/>
          <w:color w:val="auto"/>
          <w:lang w:eastAsia="zh-CN"/>
        </w:rPr>
        <w:t>个样方。</w:t>
      </w:r>
    </w:p>
    <w:p w:rsidR="002A5A5E" w:rsidRPr="00F9522B" w:rsidRDefault="00611CBA">
      <w:pPr>
        <w:spacing w:line="360" w:lineRule="auto"/>
        <w:ind w:firstLineChars="200" w:firstLine="480"/>
        <w:contextualSpacing/>
        <w:rPr>
          <w:rFonts w:eastAsiaTheme="minorEastAsia"/>
          <w:snapToGrid w:val="0"/>
          <w:kern w:val="0"/>
          <w:sz w:val="24"/>
        </w:rPr>
      </w:pPr>
      <w:r w:rsidRPr="00F9522B">
        <w:rPr>
          <w:rFonts w:ascii="宋体" w:hAnsi="宋体" w:cs="宋体" w:hint="eastAsia"/>
          <w:snapToGrid w:val="0"/>
          <w:kern w:val="0"/>
          <w:sz w:val="24"/>
        </w:rPr>
        <w:t>②</w:t>
      </w:r>
      <w:r w:rsidRPr="00F9522B">
        <w:rPr>
          <w:rFonts w:eastAsiaTheme="minorEastAsia"/>
          <w:snapToGrid w:val="0"/>
          <w:kern w:val="0"/>
          <w:sz w:val="24"/>
        </w:rPr>
        <w:t>植物多样性：调查区域内的主要植物资源及其分布特点。</w:t>
      </w:r>
    </w:p>
    <w:p w:rsidR="002A5A5E" w:rsidRPr="00F9522B" w:rsidRDefault="00611CBA">
      <w:pPr>
        <w:spacing w:line="360" w:lineRule="auto"/>
        <w:ind w:firstLineChars="200" w:firstLine="480"/>
        <w:contextualSpacing/>
        <w:rPr>
          <w:rFonts w:eastAsiaTheme="minorEastAsia"/>
          <w:snapToGrid w:val="0"/>
          <w:kern w:val="0"/>
          <w:sz w:val="24"/>
        </w:rPr>
      </w:pPr>
      <w:r w:rsidRPr="00F9522B">
        <w:rPr>
          <w:rFonts w:ascii="宋体" w:hAnsi="宋体" w:cs="宋体" w:hint="eastAsia"/>
          <w:snapToGrid w:val="0"/>
          <w:kern w:val="0"/>
          <w:sz w:val="24"/>
        </w:rPr>
        <w:t>③</w:t>
      </w:r>
      <w:r w:rsidRPr="00F9522B">
        <w:rPr>
          <w:rFonts w:eastAsiaTheme="minorEastAsia"/>
          <w:snapToGrid w:val="0"/>
          <w:kern w:val="0"/>
          <w:sz w:val="24"/>
        </w:rPr>
        <w:t>土地利用现状：根据遥感卫星影像判读植被类型和土地利用类型，结合现场调查结果进行核实。</w:t>
      </w:r>
    </w:p>
    <w:p w:rsidR="002A5A5E" w:rsidRPr="00F9522B" w:rsidRDefault="00611CBA">
      <w:pPr>
        <w:spacing w:line="360" w:lineRule="auto"/>
        <w:ind w:firstLineChars="200" w:firstLine="480"/>
        <w:contextualSpacing/>
        <w:rPr>
          <w:rFonts w:eastAsiaTheme="minorEastAsia"/>
          <w:snapToGrid w:val="0"/>
          <w:kern w:val="0"/>
          <w:sz w:val="24"/>
        </w:rPr>
      </w:pPr>
      <w:r w:rsidRPr="00F9522B">
        <w:rPr>
          <w:rFonts w:eastAsiaTheme="minorEastAsia"/>
          <w:snapToGrid w:val="0"/>
          <w:kern w:val="0"/>
          <w:sz w:val="24"/>
        </w:rPr>
        <w:t>（</w:t>
      </w:r>
      <w:r w:rsidRPr="00F9522B">
        <w:rPr>
          <w:rFonts w:eastAsiaTheme="minorEastAsia"/>
          <w:snapToGrid w:val="0"/>
          <w:kern w:val="0"/>
          <w:sz w:val="24"/>
        </w:rPr>
        <w:t>3</w:t>
      </w:r>
      <w:r w:rsidRPr="00F9522B">
        <w:rPr>
          <w:rFonts w:eastAsiaTheme="minorEastAsia"/>
          <w:snapToGrid w:val="0"/>
          <w:kern w:val="0"/>
          <w:sz w:val="24"/>
        </w:rPr>
        <w:t>）动物监测</w:t>
      </w:r>
    </w:p>
    <w:p w:rsidR="002A5A5E" w:rsidRPr="00F9522B" w:rsidRDefault="00611CBA">
      <w:pPr>
        <w:spacing w:line="360" w:lineRule="auto"/>
        <w:ind w:firstLineChars="200" w:firstLine="480"/>
        <w:contextualSpacing/>
        <w:rPr>
          <w:rFonts w:eastAsiaTheme="minorEastAsia"/>
          <w:snapToGrid w:val="0"/>
          <w:kern w:val="0"/>
          <w:sz w:val="24"/>
        </w:rPr>
      </w:pPr>
      <w:r w:rsidRPr="00F9522B">
        <w:rPr>
          <w:rFonts w:eastAsiaTheme="minorEastAsia"/>
          <w:snapToGrid w:val="0"/>
          <w:kern w:val="0"/>
          <w:sz w:val="24"/>
        </w:rPr>
        <w:t>两栖类和爬行类样方：采用抓捕法、陷阱法、访问法调查两栖类和爬行类动物种类、数量、分布特征等。</w:t>
      </w:r>
    </w:p>
    <w:p w:rsidR="002A5A5E" w:rsidRPr="00F9522B" w:rsidRDefault="00611CBA">
      <w:pPr>
        <w:spacing w:line="360" w:lineRule="auto"/>
        <w:ind w:firstLineChars="200" w:firstLine="480"/>
        <w:contextualSpacing/>
        <w:rPr>
          <w:rFonts w:eastAsiaTheme="minorEastAsia"/>
          <w:snapToGrid w:val="0"/>
          <w:kern w:val="0"/>
          <w:sz w:val="24"/>
        </w:rPr>
      </w:pPr>
      <w:r w:rsidRPr="00F9522B">
        <w:rPr>
          <w:rFonts w:eastAsiaTheme="minorEastAsia"/>
          <w:snapToGrid w:val="0"/>
          <w:kern w:val="0"/>
          <w:sz w:val="24"/>
        </w:rPr>
        <w:t>小型兽类样方：采用夹日法、夹夜法、陷阱法调查小型兽类动物种类、数量、分布特征等。</w:t>
      </w:r>
    </w:p>
    <w:p w:rsidR="002A5A5E" w:rsidRPr="00F9522B" w:rsidRDefault="00611CBA">
      <w:pPr>
        <w:spacing w:line="360" w:lineRule="auto"/>
        <w:ind w:firstLineChars="200" w:firstLine="480"/>
        <w:contextualSpacing/>
        <w:rPr>
          <w:rFonts w:eastAsiaTheme="minorEastAsia"/>
          <w:snapToGrid w:val="0"/>
          <w:kern w:val="0"/>
          <w:sz w:val="24"/>
        </w:rPr>
      </w:pPr>
      <w:r w:rsidRPr="00F9522B">
        <w:rPr>
          <w:rFonts w:eastAsiaTheme="minorEastAsia"/>
          <w:snapToGrid w:val="0"/>
          <w:kern w:val="0"/>
          <w:sz w:val="24"/>
        </w:rPr>
        <w:t>鸟类样方：采用样线法和样点法、同时针对鸡形目鸟类采用社区访问法调查鸟类种类、数量、分布特征等。</w:t>
      </w:r>
    </w:p>
    <w:p w:rsidR="002A5A5E" w:rsidRPr="00F9522B" w:rsidRDefault="00611CBA">
      <w:pPr>
        <w:autoSpaceDE w:val="0"/>
        <w:autoSpaceDN w:val="0"/>
        <w:spacing w:before="100" w:beforeAutospacing="1" w:after="100" w:afterAutospacing="1"/>
        <w:outlineLvl w:val="3"/>
        <w:rPr>
          <w:rFonts w:eastAsiaTheme="minorEastAsia"/>
          <w:b/>
          <w:bCs/>
          <w:sz w:val="24"/>
        </w:rPr>
      </w:pPr>
      <w:r w:rsidRPr="00F9522B">
        <w:rPr>
          <w:rFonts w:eastAsiaTheme="minorEastAsia"/>
          <w:b/>
          <w:bCs/>
          <w:sz w:val="24"/>
        </w:rPr>
        <w:t>8.2.4.2</w:t>
      </w:r>
      <w:r w:rsidRPr="00F9522B">
        <w:rPr>
          <w:rFonts w:eastAsiaTheme="minorEastAsia"/>
          <w:b/>
          <w:bCs/>
          <w:sz w:val="24"/>
        </w:rPr>
        <w:t>监测内容</w:t>
      </w:r>
    </w:p>
    <w:p w:rsidR="002A5A5E" w:rsidRPr="00F9522B" w:rsidRDefault="00611CBA">
      <w:pPr>
        <w:spacing w:line="360" w:lineRule="auto"/>
        <w:ind w:firstLineChars="200" w:firstLine="480"/>
        <w:contextualSpacing/>
        <w:rPr>
          <w:rFonts w:eastAsiaTheme="minorEastAsia"/>
          <w:snapToGrid w:val="0"/>
          <w:kern w:val="0"/>
          <w:sz w:val="24"/>
        </w:rPr>
      </w:pPr>
      <w:r w:rsidRPr="00F9522B">
        <w:rPr>
          <w:rFonts w:eastAsiaTheme="minorEastAsia"/>
          <w:snapToGrid w:val="0"/>
          <w:kern w:val="0"/>
          <w:sz w:val="24"/>
        </w:rPr>
        <w:t>根据《环境影响评价技术导则</w:t>
      </w:r>
      <w:r w:rsidRPr="00F9522B">
        <w:rPr>
          <w:rFonts w:eastAsiaTheme="minorEastAsia"/>
          <w:snapToGrid w:val="0"/>
          <w:kern w:val="0"/>
          <w:sz w:val="24"/>
        </w:rPr>
        <w:t xml:space="preserve"> </w:t>
      </w:r>
      <w:r w:rsidRPr="00F9522B">
        <w:rPr>
          <w:rFonts w:eastAsiaTheme="minorEastAsia"/>
          <w:snapToGrid w:val="0"/>
          <w:kern w:val="0"/>
          <w:sz w:val="24"/>
        </w:rPr>
        <w:t>生态影响》</w:t>
      </w:r>
      <w:r w:rsidRPr="00F9522B">
        <w:rPr>
          <w:rFonts w:eastAsiaTheme="minorEastAsia"/>
          <w:snapToGrid w:val="0"/>
          <w:kern w:val="0"/>
          <w:sz w:val="24"/>
        </w:rPr>
        <w:t>(HJ19-2022)</w:t>
      </w:r>
      <w:r w:rsidRPr="00F9522B">
        <w:rPr>
          <w:rFonts w:eastAsiaTheme="minorEastAsia"/>
          <w:snapToGrid w:val="0"/>
          <w:kern w:val="0"/>
          <w:sz w:val="24"/>
        </w:rPr>
        <w:t>制定生态检测计划，见下表。施工期重点监测施工活动干扰下生态保护目标的受影响状况，植物群落变化、重要物种的活动、分布变化、生境质量变化等；运行期重点监测对生态保护目标的实际影响、生态保护对策措施的有效性以及生态修复效果等。</w:t>
      </w:r>
    </w:p>
    <w:p w:rsidR="002A5A5E" w:rsidRPr="00F9522B" w:rsidRDefault="002A5A5E">
      <w:pPr>
        <w:spacing w:line="360" w:lineRule="auto"/>
        <w:ind w:firstLineChars="200" w:firstLine="480"/>
        <w:contextualSpacing/>
        <w:rPr>
          <w:rFonts w:eastAsiaTheme="minorEastAsia"/>
          <w:snapToGrid w:val="0"/>
          <w:kern w:val="0"/>
          <w:sz w:val="24"/>
        </w:rPr>
      </w:pPr>
    </w:p>
    <w:p w:rsidR="002A5A5E" w:rsidRPr="00F9522B" w:rsidRDefault="002A5A5E">
      <w:pPr>
        <w:spacing w:line="360" w:lineRule="auto"/>
        <w:ind w:firstLineChars="200" w:firstLine="480"/>
        <w:contextualSpacing/>
        <w:rPr>
          <w:rFonts w:eastAsiaTheme="minorEastAsia"/>
          <w:snapToGrid w:val="0"/>
          <w:kern w:val="0"/>
          <w:sz w:val="24"/>
        </w:rPr>
      </w:pPr>
    </w:p>
    <w:p w:rsidR="002D7E70" w:rsidRPr="00F9522B" w:rsidRDefault="002D7E70">
      <w:pPr>
        <w:spacing w:line="360" w:lineRule="auto"/>
        <w:ind w:firstLineChars="200" w:firstLine="480"/>
        <w:contextualSpacing/>
        <w:rPr>
          <w:rFonts w:eastAsiaTheme="minorEastAsia"/>
          <w:snapToGrid w:val="0"/>
          <w:kern w:val="0"/>
          <w:sz w:val="24"/>
        </w:rPr>
      </w:pPr>
    </w:p>
    <w:p w:rsidR="002D7E70" w:rsidRPr="00F9522B" w:rsidRDefault="002D7E70">
      <w:pPr>
        <w:spacing w:line="360" w:lineRule="auto"/>
        <w:ind w:firstLineChars="200" w:firstLine="480"/>
        <w:contextualSpacing/>
        <w:rPr>
          <w:rFonts w:eastAsiaTheme="minorEastAsia"/>
          <w:snapToGrid w:val="0"/>
          <w:kern w:val="0"/>
          <w:sz w:val="24"/>
        </w:rPr>
      </w:pPr>
    </w:p>
    <w:p w:rsidR="002D7E70" w:rsidRPr="00F9522B" w:rsidRDefault="002D7E70">
      <w:pPr>
        <w:spacing w:line="360" w:lineRule="auto"/>
        <w:ind w:firstLineChars="200" w:firstLine="480"/>
        <w:contextualSpacing/>
        <w:rPr>
          <w:rFonts w:eastAsiaTheme="minorEastAsia"/>
          <w:snapToGrid w:val="0"/>
          <w:kern w:val="0"/>
          <w:sz w:val="24"/>
        </w:rPr>
      </w:pPr>
    </w:p>
    <w:p w:rsidR="002D7E70" w:rsidRPr="00F9522B" w:rsidRDefault="002D7E70">
      <w:pPr>
        <w:spacing w:line="360" w:lineRule="auto"/>
        <w:ind w:firstLineChars="200" w:firstLine="480"/>
        <w:contextualSpacing/>
        <w:rPr>
          <w:rFonts w:eastAsiaTheme="minorEastAsia"/>
          <w:snapToGrid w:val="0"/>
          <w:kern w:val="0"/>
          <w:sz w:val="24"/>
        </w:rPr>
      </w:pPr>
    </w:p>
    <w:p w:rsidR="002D7E70" w:rsidRPr="00F9522B" w:rsidRDefault="002D7E70">
      <w:pPr>
        <w:spacing w:line="360" w:lineRule="auto"/>
        <w:ind w:firstLineChars="200" w:firstLine="480"/>
        <w:contextualSpacing/>
        <w:rPr>
          <w:rFonts w:eastAsiaTheme="minorEastAsia"/>
          <w:snapToGrid w:val="0"/>
          <w:kern w:val="0"/>
          <w:sz w:val="24"/>
        </w:rPr>
      </w:pPr>
    </w:p>
    <w:p w:rsidR="002A5A5E" w:rsidRPr="00F9522B" w:rsidRDefault="002A5A5E">
      <w:pPr>
        <w:spacing w:line="360" w:lineRule="auto"/>
        <w:ind w:firstLineChars="200" w:firstLine="480"/>
        <w:contextualSpacing/>
        <w:rPr>
          <w:rFonts w:eastAsiaTheme="minorEastAsia"/>
          <w:snapToGrid w:val="0"/>
          <w:kern w:val="0"/>
          <w:sz w:val="24"/>
        </w:rPr>
      </w:pPr>
    </w:p>
    <w:p w:rsidR="002A5A5E" w:rsidRPr="00F9522B" w:rsidRDefault="002A5A5E">
      <w:pPr>
        <w:spacing w:line="360" w:lineRule="auto"/>
        <w:ind w:firstLineChars="200" w:firstLine="480"/>
        <w:contextualSpacing/>
        <w:rPr>
          <w:rFonts w:eastAsiaTheme="minorEastAsia"/>
          <w:snapToGrid w:val="0"/>
          <w:kern w:val="0"/>
          <w:sz w:val="24"/>
        </w:rPr>
      </w:pPr>
    </w:p>
    <w:p w:rsidR="002A5A5E" w:rsidRPr="00F9522B" w:rsidRDefault="002A5A5E">
      <w:pPr>
        <w:spacing w:line="360" w:lineRule="auto"/>
        <w:ind w:firstLineChars="200" w:firstLine="480"/>
        <w:contextualSpacing/>
        <w:rPr>
          <w:rFonts w:eastAsiaTheme="minorEastAsia"/>
          <w:snapToGrid w:val="0"/>
          <w:kern w:val="0"/>
          <w:sz w:val="24"/>
        </w:rPr>
      </w:pPr>
    </w:p>
    <w:p w:rsidR="002A5A5E" w:rsidRPr="00F9522B" w:rsidRDefault="002A5A5E">
      <w:pPr>
        <w:spacing w:line="360" w:lineRule="auto"/>
        <w:ind w:firstLineChars="200" w:firstLine="480"/>
        <w:contextualSpacing/>
        <w:rPr>
          <w:rFonts w:eastAsiaTheme="minorEastAsia"/>
          <w:snapToGrid w:val="0"/>
          <w:kern w:val="0"/>
          <w:sz w:val="24"/>
        </w:rPr>
      </w:pPr>
    </w:p>
    <w:p w:rsidR="002A5A5E" w:rsidRPr="00F9522B" w:rsidRDefault="00611CBA">
      <w:pPr>
        <w:contextualSpacing/>
        <w:jc w:val="center"/>
        <w:rPr>
          <w:rFonts w:eastAsiaTheme="minorEastAsia"/>
          <w:b/>
          <w:kern w:val="0"/>
          <w:szCs w:val="21"/>
        </w:rPr>
      </w:pPr>
      <w:r w:rsidRPr="00F9522B">
        <w:rPr>
          <w:rFonts w:eastAsiaTheme="minorEastAsia"/>
          <w:b/>
          <w:kern w:val="0"/>
          <w:szCs w:val="21"/>
        </w:rPr>
        <w:lastRenderedPageBreak/>
        <w:t>表</w:t>
      </w:r>
      <w:r w:rsidRPr="00F9522B">
        <w:rPr>
          <w:rFonts w:eastAsiaTheme="minorEastAsia"/>
          <w:b/>
          <w:kern w:val="0"/>
          <w:szCs w:val="21"/>
        </w:rPr>
        <w:t>8-2-3</w:t>
      </w:r>
      <w:r w:rsidRPr="00F9522B">
        <w:rPr>
          <w:rFonts w:eastAsiaTheme="minorEastAsia"/>
          <w:b/>
          <w:kern w:val="0"/>
          <w:szCs w:val="21"/>
        </w:rPr>
        <w:t>生态监测一览表</w:t>
      </w:r>
    </w:p>
    <w:tbl>
      <w:tblPr>
        <w:tblW w:w="5000" w:type="pct"/>
        <w:jc w:val="center"/>
        <w:tblBorders>
          <w:top w:val="single" w:sz="12" w:space="0" w:color="auto"/>
          <w:bottom w:val="single" w:sz="12" w:space="0" w:color="auto"/>
          <w:insideH w:val="single" w:sz="4" w:space="0" w:color="auto"/>
          <w:insideV w:val="single" w:sz="4" w:space="0" w:color="auto"/>
        </w:tblBorders>
        <w:tblLook w:val="04A0"/>
      </w:tblPr>
      <w:tblGrid>
        <w:gridCol w:w="585"/>
        <w:gridCol w:w="1220"/>
        <w:gridCol w:w="2604"/>
        <w:gridCol w:w="841"/>
        <w:gridCol w:w="1521"/>
        <w:gridCol w:w="1757"/>
      </w:tblGrid>
      <w:tr w:rsidR="002A5A5E" w:rsidRPr="00F9522B">
        <w:trPr>
          <w:trHeight w:val="186"/>
          <w:jc w:val="center"/>
        </w:trPr>
        <w:tc>
          <w:tcPr>
            <w:tcW w:w="343" w:type="pct"/>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时期</w:t>
            </w:r>
          </w:p>
        </w:tc>
        <w:tc>
          <w:tcPr>
            <w:tcW w:w="715" w:type="pct"/>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受影响对象</w:t>
            </w:r>
          </w:p>
        </w:tc>
        <w:tc>
          <w:tcPr>
            <w:tcW w:w="1527" w:type="pct"/>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监测因子</w:t>
            </w:r>
          </w:p>
        </w:tc>
        <w:tc>
          <w:tcPr>
            <w:tcW w:w="493" w:type="pct"/>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监测方法</w:t>
            </w:r>
          </w:p>
        </w:tc>
        <w:tc>
          <w:tcPr>
            <w:tcW w:w="892" w:type="pct"/>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监测点位</w:t>
            </w:r>
          </w:p>
        </w:tc>
        <w:tc>
          <w:tcPr>
            <w:tcW w:w="1030" w:type="pct"/>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监测频次</w:t>
            </w:r>
          </w:p>
        </w:tc>
      </w:tr>
      <w:tr w:rsidR="002A5A5E" w:rsidRPr="00F9522B">
        <w:trPr>
          <w:trHeight w:val="2199"/>
          <w:jc w:val="center"/>
        </w:trPr>
        <w:tc>
          <w:tcPr>
            <w:tcW w:w="343" w:type="pct"/>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施工期</w:t>
            </w:r>
          </w:p>
        </w:tc>
        <w:tc>
          <w:tcPr>
            <w:tcW w:w="2242" w:type="pct"/>
            <w:gridSpan w:val="2"/>
            <w:vAlign w:val="center"/>
          </w:tcPr>
          <w:p w:rsidR="002A5A5E" w:rsidRPr="00F9522B" w:rsidRDefault="00611CBA">
            <w:pPr>
              <w:widowControl/>
              <w:autoSpaceDE w:val="0"/>
              <w:autoSpaceDN w:val="0"/>
              <w:adjustRightInd w:val="0"/>
              <w:snapToGrid w:val="0"/>
              <w:jc w:val="center"/>
              <w:textAlignment w:val="baseline"/>
              <w:rPr>
                <w:rFonts w:eastAsiaTheme="minorEastAsia"/>
                <w:snapToGrid w:val="0"/>
                <w:kern w:val="0"/>
                <w:szCs w:val="15"/>
              </w:rPr>
            </w:pPr>
            <w:r w:rsidRPr="00F9522B">
              <w:rPr>
                <w:rFonts w:eastAsiaTheme="minorEastAsia"/>
                <w:snapToGrid w:val="0"/>
                <w:kern w:val="0"/>
                <w:szCs w:val="15"/>
              </w:rPr>
              <w:t>植物监测：陆生植物的群落组成、</w:t>
            </w:r>
            <w:r w:rsidRPr="00F9522B">
              <w:rPr>
                <w:rFonts w:eastAsiaTheme="minorEastAsia"/>
                <w:snapToGrid w:val="0"/>
                <w:kern w:val="0"/>
                <w:szCs w:val="15"/>
              </w:rPr>
              <w:t xml:space="preserve"> </w:t>
            </w:r>
            <w:r w:rsidRPr="00F9522B">
              <w:rPr>
                <w:rFonts w:eastAsiaTheme="minorEastAsia"/>
                <w:snapToGrid w:val="0"/>
                <w:kern w:val="0"/>
                <w:szCs w:val="15"/>
              </w:rPr>
              <w:t>种群密度、覆盖度、外来种、重点保护野生植物、生物多样性和生境质量的变化；</w:t>
            </w:r>
          </w:p>
          <w:p w:rsidR="002A5A5E" w:rsidRPr="00F9522B" w:rsidRDefault="00611CBA">
            <w:pPr>
              <w:spacing w:line="0" w:lineRule="atLeast"/>
              <w:contextualSpacing/>
              <w:jc w:val="center"/>
              <w:rPr>
                <w:rFonts w:eastAsiaTheme="minorEastAsia"/>
                <w:szCs w:val="21"/>
              </w:rPr>
            </w:pPr>
            <w:r w:rsidRPr="00F9522B">
              <w:rPr>
                <w:rFonts w:eastAsiaTheme="minorEastAsia"/>
                <w:snapToGrid w:val="0"/>
                <w:kern w:val="0"/>
                <w:szCs w:val="15"/>
              </w:rPr>
              <w:t>动物监测：陆生动物的种类、分布、密度和季节动态变化</w:t>
            </w:r>
          </w:p>
        </w:tc>
        <w:tc>
          <w:tcPr>
            <w:tcW w:w="493" w:type="pct"/>
            <w:vMerge w:val="restart"/>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rPr>
              <w:t>对植被进行样方调查，同时对周边爬行类两栖类及鸟类等野生动物进行观测记录</w:t>
            </w:r>
          </w:p>
        </w:tc>
        <w:tc>
          <w:tcPr>
            <w:tcW w:w="892" w:type="pct"/>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选取距离饮用水源地周围较近的代表性施工场地</w:t>
            </w:r>
            <w:r w:rsidRPr="00F9522B">
              <w:rPr>
                <w:rFonts w:eastAsiaTheme="minorEastAsia"/>
                <w:szCs w:val="21"/>
              </w:rPr>
              <w:t>3</w:t>
            </w:r>
            <w:r w:rsidRPr="00F9522B">
              <w:rPr>
                <w:rFonts w:eastAsiaTheme="minorEastAsia"/>
                <w:szCs w:val="21"/>
              </w:rPr>
              <w:t>处</w:t>
            </w:r>
            <w:r w:rsidRPr="00F9522B">
              <w:rPr>
                <w:rFonts w:eastAsiaTheme="minorEastAsia"/>
                <w:kern w:val="0"/>
                <w:szCs w:val="15"/>
              </w:rPr>
              <w:t>；永久基本农田</w:t>
            </w:r>
            <w:r w:rsidRPr="00F9522B">
              <w:rPr>
                <w:rFonts w:eastAsiaTheme="minorEastAsia"/>
                <w:szCs w:val="21"/>
              </w:rPr>
              <w:t>1</w:t>
            </w:r>
            <w:r w:rsidRPr="00F9522B">
              <w:rPr>
                <w:rFonts w:eastAsiaTheme="minorEastAsia"/>
                <w:szCs w:val="21"/>
              </w:rPr>
              <w:t>处</w:t>
            </w:r>
            <w:r w:rsidRPr="00F9522B">
              <w:rPr>
                <w:rFonts w:eastAsiaTheme="minorEastAsia"/>
                <w:kern w:val="0"/>
                <w:szCs w:val="15"/>
              </w:rPr>
              <w:t>；黑土地</w:t>
            </w:r>
            <w:r w:rsidRPr="00F9522B">
              <w:rPr>
                <w:rFonts w:eastAsiaTheme="minorEastAsia"/>
                <w:szCs w:val="21"/>
              </w:rPr>
              <w:t>1</w:t>
            </w:r>
            <w:r w:rsidRPr="00F9522B">
              <w:rPr>
                <w:rFonts w:eastAsiaTheme="minorEastAsia"/>
                <w:szCs w:val="21"/>
              </w:rPr>
              <w:t>处</w:t>
            </w:r>
          </w:p>
        </w:tc>
        <w:tc>
          <w:tcPr>
            <w:tcW w:w="1030" w:type="pct"/>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施工前</w:t>
            </w:r>
            <w:r w:rsidRPr="00F9522B">
              <w:rPr>
                <w:rFonts w:eastAsiaTheme="minorEastAsia"/>
                <w:szCs w:val="21"/>
              </w:rPr>
              <w:t>/</w:t>
            </w:r>
            <w:r w:rsidRPr="00F9522B">
              <w:rPr>
                <w:rFonts w:eastAsiaTheme="minorEastAsia"/>
                <w:szCs w:val="21"/>
              </w:rPr>
              <w:t>次</w:t>
            </w:r>
          </w:p>
          <w:p w:rsidR="002A5A5E" w:rsidRPr="00F9522B" w:rsidRDefault="00611CBA">
            <w:pPr>
              <w:spacing w:line="0" w:lineRule="atLeast"/>
              <w:contextualSpacing/>
              <w:jc w:val="center"/>
              <w:rPr>
                <w:rFonts w:eastAsiaTheme="minorEastAsia"/>
                <w:szCs w:val="21"/>
              </w:rPr>
            </w:pPr>
            <w:r w:rsidRPr="00F9522B">
              <w:rPr>
                <w:rFonts w:eastAsiaTheme="minorEastAsia"/>
                <w:szCs w:val="21"/>
              </w:rPr>
              <w:t>施工结束后</w:t>
            </w:r>
            <w:r w:rsidRPr="00F9522B">
              <w:rPr>
                <w:rFonts w:eastAsiaTheme="minorEastAsia"/>
                <w:szCs w:val="21"/>
              </w:rPr>
              <w:t>/</w:t>
            </w:r>
            <w:r w:rsidRPr="00F9522B">
              <w:rPr>
                <w:rFonts w:eastAsiaTheme="minorEastAsia"/>
                <w:szCs w:val="21"/>
              </w:rPr>
              <w:t>次</w:t>
            </w:r>
          </w:p>
        </w:tc>
      </w:tr>
      <w:tr w:rsidR="002A5A5E" w:rsidRPr="00F9522B">
        <w:trPr>
          <w:trHeight w:val="2471"/>
          <w:jc w:val="center"/>
        </w:trPr>
        <w:tc>
          <w:tcPr>
            <w:tcW w:w="343" w:type="pct"/>
            <w:vMerge w:val="restart"/>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运营期</w:t>
            </w:r>
          </w:p>
        </w:tc>
        <w:tc>
          <w:tcPr>
            <w:tcW w:w="2242" w:type="pct"/>
            <w:gridSpan w:val="2"/>
            <w:vAlign w:val="center"/>
          </w:tcPr>
          <w:p w:rsidR="002A5A5E" w:rsidRPr="00F9522B" w:rsidRDefault="00611CBA">
            <w:pPr>
              <w:widowControl/>
              <w:autoSpaceDE w:val="0"/>
              <w:autoSpaceDN w:val="0"/>
              <w:adjustRightInd w:val="0"/>
              <w:snapToGrid w:val="0"/>
              <w:jc w:val="center"/>
              <w:textAlignment w:val="baseline"/>
              <w:rPr>
                <w:rFonts w:eastAsiaTheme="minorEastAsia"/>
                <w:snapToGrid w:val="0"/>
                <w:kern w:val="0"/>
                <w:szCs w:val="15"/>
              </w:rPr>
            </w:pPr>
            <w:r w:rsidRPr="00F9522B">
              <w:rPr>
                <w:rFonts w:eastAsiaTheme="minorEastAsia"/>
                <w:snapToGrid w:val="0"/>
                <w:kern w:val="0"/>
                <w:szCs w:val="15"/>
              </w:rPr>
              <w:t>植物监测：陆生植物的群落组成、</w:t>
            </w:r>
            <w:r w:rsidRPr="00F9522B">
              <w:rPr>
                <w:rFonts w:eastAsiaTheme="minorEastAsia"/>
                <w:snapToGrid w:val="0"/>
                <w:kern w:val="0"/>
                <w:szCs w:val="15"/>
              </w:rPr>
              <w:t xml:space="preserve"> </w:t>
            </w:r>
            <w:r w:rsidRPr="00F9522B">
              <w:rPr>
                <w:rFonts w:eastAsiaTheme="minorEastAsia"/>
                <w:snapToGrid w:val="0"/>
                <w:kern w:val="0"/>
                <w:szCs w:val="15"/>
              </w:rPr>
              <w:t>种群密度、覆盖度、外来种、重点保护野生植物、生物多样性和生境质量的变化；</w:t>
            </w:r>
          </w:p>
          <w:p w:rsidR="002A5A5E" w:rsidRPr="00F9522B" w:rsidRDefault="00611CBA">
            <w:pPr>
              <w:widowControl/>
              <w:autoSpaceDE w:val="0"/>
              <w:autoSpaceDN w:val="0"/>
              <w:adjustRightInd w:val="0"/>
              <w:snapToGrid w:val="0"/>
              <w:jc w:val="center"/>
              <w:textAlignment w:val="baseline"/>
              <w:rPr>
                <w:rFonts w:eastAsiaTheme="minorEastAsia"/>
                <w:snapToGrid w:val="0"/>
                <w:kern w:val="0"/>
                <w:szCs w:val="15"/>
              </w:rPr>
            </w:pPr>
            <w:r w:rsidRPr="00F9522B">
              <w:rPr>
                <w:rFonts w:eastAsiaTheme="minorEastAsia"/>
                <w:snapToGrid w:val="0"/>
                <w:kern w:val="0"/>
                <w:szCs w:val="15"/>
              </w:rPr>
              <w:t>动物监测：陆生动物的种类、分布、密度和季节动态变化</w:t>
            </w:r>
          </w:p>
          <w:p w:rsidR="002A5A5E" w:rsidRPr="00F9522B" w:rsidRDefault="00611CBA">
            <w:pPr>
              <w:widowControl/>
              <w:autoSpaceDE w:val="0"/>
              <w:autoSpaceDN w:val="0"/>
              <w:adjustRightInd w:val="0"/>
              <w:snapToGrid w:val="0"/>
              <w:jc w:val="center"/>
              <w:textAlignment w:val="baseline"/>
              <w:rPr>
                <w:rFonts w:eastAsiaTheme="minorEastAsia"/>
                <w:szCs w:val="21"/>
              </w:rPr>
            </w:pPr>
            <w:r w:rsidRPr="00F9522B">
              <w:rPr>
                <w:rFonts w:eastAsiaTheme="minorEastAsia"/>
                <w:snapToGrid w:val="0"/>
                <w:kern w:val="0"/>
                <w:szCs w:val="15"/>
              </w:rPr>
              <w:t>生态保护措施：避让、减缓、恢复措施的有效性</w:t>
            </w:r>
          </w:p>
        </w:tc>
        <w:tc>
          <w:tcPr>
            <w:tcW w:w="493" w:type="pct"/>
            <w:vMerge/>
            <w:vAlign w:val="center"/>
          </w:tcPr>
          <w:p w:rsidR="002A5A5E" w:rsidRPr="00F9522B" w:rsidRDefault="002A5A5E">
            <w:pPr>
              <w:spacing w:line="0" w:lineRule="atLeast"/>
              <w:contextualSpacing/>
              <w:jc w:val="center"/>
              <w:rPr>
                <w:rFonts w:eastAsiaTheme="minorEastAsia"/>
                <w:szCs w:val="21"/>
              </w:rPr>
            </w:pPr>
          </w:p>
        </w:tc>
        <w:tc>
          <w:tcPr>
            <w:tcW w:w="892" w:type="pct"/>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选取距离饮用水源地周围较近的代表性灌溉井附近</w:t>
            </w:r>
            <w:r w:rsidRPr="00F9522B">
              <w:rPr>
                <w:rFonts w:eastAsiaTheme="minorEastAsia"/>
                <w:szCs w:val="21"/>
              </w:rPr>
              <w:t>3</w:t>
            </w:r>
            <w:r w:rsidRPr="00F9522B">
              <w:rPr>
                <w:rFonts w:eastAsiaTheme="minorEastAsia"/>
                <w:szCs w:val="21"/>
              </w:rPr>
              <w:t>处</w:t>
            </w:r>
            <w:r w:rsidRPr="00F9522B">
              <w:rPr>
                <w:rFonts w:eastAsiaTheme="minorEastAsia"/>
                <w:kern w:val="0"/>
                <w:szCs w:val="15"/>
              </w:rPr>
              <w:t>；永久基本农田</w:t>
            </w:r>
            <w:r w:rsidRPr="00F9522B">
              <w:rPr>
                <w:rFonts w:eastAsiaTheme="minorEastAsia"/>
                <w:szCs w:val="21"/>
              </w:rPr>
              <w:t>1</w:t>
            </w:r>
            <w:r w:rsidRPr="00F9522B">
              <w:rPr>
                <w:rFonts w:eastAsiaTheme="minorEastAsia"/>
                <w:szCs w:val="21"/>
              </w:rPr>
              <w:t>处</w:t>
            </w:r>
            <w:r w:rsidRPr="00F9522B">
              <w:rPr>
                <w:rFonts w:eastAsiaTheme="minorEastAsia"/>
                <w:kern w:val="0"/>
                <w:szCs w:val="15"/>
              </w:rPr>
              <w:t>；黑土地</w:t>
            </w:r>
            <w:r w:rsidRPr="00F9522B">
              <w:rPr>
                <w:rFonts w:eastAsiaTheme="minorEastAsia"/>
                <w:szCs w:val="21"/>
              </w:rPr>
              <w:t>1</w:t>
            </w:r>
            <w:r w:rsidRPr="00F9522B">
              <w:rPr>
                <w:rFonts w:eastAsiaTheme="minorEastAsia"/>
                <w:szCs w:val="21"/>
              </w:rPr>
              <w:t>处</w:t>
            </w:r>
          </w:p>
        </w:tc>
        <w:tc>
          <w:tcPr>
            <w:tcW w:w="1030" w:type="pct"/>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1</w:t>
            </w:r>
            <w:r w:rsidRPr="00F9522B">
              <w:rPr>
                <w:rFonts w:eastAsiaTheme="minorEastAsia"/>
                <w:szCs w:val="21"/>
              </w:rPr>
              <w:t>次</w:t>
            </w:r>
            <w:r w:rsidRPr="00F9522B">
              <w:rPr>
                <w:rFonts w:eastAsiaTheme="minorEastAsia"/>
                <w:szCs w:val="21"/>
              </w:rPr>
              <w:t>/</w:t>
            </w:r>
            <w:r w:rsidRPr="00F9522B">
              <w:rPr>
                <w:rFonts w:eastAsiaTheme="minorEastAsia"/>
                <w:szCs w:val="21"/>
              </w:rPr>
              <w:t>年</w:t>
            </w:r>
          </w:p>
        </w:tc>
      </w:tr>
      <w:tr w:rsidR="002A5A5E" w:rsidRPr="00F9522B">
        <w:trPr>
          <w:trHeight w:val="170"/>
          <w:jc w:val="center"/>
        </w:trPr>
        <w:tc>
          <w:tcPr>
            <w:tcW w:w="343" w:type="pct"/>
            <w:vMerge/>
            <w:vAlign w:val="center"/>
          </w:tcPr>
          <w:p w:rsidR="002A5A5E" w:rsidRPr="00F9522B" w:rsidRDefault="002A5A5E">
            <w:pPr>
              <w:spacing w:line="0" w:lineRule="atLeast"/>
              <w:contextualSpacing/>
              <w:jc w:val="center"/>
              <w:rPr>
                <w:rFonts w:eastAsiaTheme="minorEastAsia"/>
                <w:szCs w:val="21"/>
              </w:rPr>
            </w:pPr>
          </w:p>
        </w:tc>
        <w:tc>
          <w:tcPr>
            <w:tcW w:w="715" w:type="pct"/>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饮用水源地</w:t>
            </w:r>
          </w:p>
        </w:tc>
        <w:tc>
          <w:tcPr>
            <w:tcW w:w="1527" w:type="pct"/>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水位</w:t>
            </w:r>
          </w:p>
        </w:tc>
        <w:tc>
          <w:tcPr>
            <w:tcW w:w="493" w:type="pct"/>
            <w:vMerge/>
            <w:vAlign w:val="center"/>
          </w:tcPr>
          <w:p w:rsidR="002A5A5E" w:rsidRPr="00F9522B" w:rsidRDefault="002A5A5E">
            <w:pPr>
              <w:spacing w:line="0" w:lineRule="atLeast"/>
              <w:contextualSpacing/>
              <w:jc w:val="center"/>
              <w:rPr>
                <w:rFonts w:eastAsiaTheme="minorEastAsia"/>
                <w:szCs w:val="21"/>
              </w:rPr>
            </w:pPr>
          </w:p>
        </w:tc>
        <w:tc>
          <w:tcPr>
            <w:tcW w:w="892" w:type="pct"/>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选取饮用水源地</w:t>
            </w:r>
            <w:r w:rsidRPr="00F9522B">
              <w:rPr>
                <w:rFonts w:eastAsiaTheme="minorEastAsia"/>
                <w:szCs w:val="21"/>
              </w:rPr>
              <w:t>3</w:t>
            </w:r>
            <w:r w:rsidRPr="00F9522B">
              <w:rPr>
                <w:rFonts w:eastAsiaTheme="minorEastAsia"/>
                <w:szCs w:val="21"/>
              </w:rPr>
              <w:t>处</w:t>
            </w:r>
          </w:p>
        </w:tc>
        <w:tc>
          <w:tcPr>
            <w:tcW w:w="1030" w:type="pct"/>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1</w:t>
            </w:r>
            <w:r w:rsidRPr="00F9522B">
              <w:rPr>
                <w:rFonts w:eastAsiaTheme="minorEastAsia"/>
                <w:szCs w:val="21"/>
              </w:rPr>
              <w:t>次</w:t>
            </w:r>
            <w:r w:rsidRPr="00F9522B">
              <w:rPr>
                <w:rFonts w:eastAsiaTheme="minorEastAsia"/>
                <w:szCs w:val="21"/>
              </w:rPr>
              <w:t>/</w:t>
            </w:r>
            <w:r w:rsidRPr="00F9522B">
              <w:rPr>
                <w:rFonts w:eastAsiaTheme="minorEastAsia"/>
                <w:szCs w:val="21"/>
              </w:rPr>
              <w:t>年</w:t>
            </w:r>
          </w:p>
        </w:tc>
      </w:tr>
      <w:tr w:rsidR="002A5A5E" w:rsidRPr="00F9522B">
        <w:trPr>
          <w:trHeight w:val="170"/>
          <w:jc w:val="center"/>
        </w:trPr>
        <w:tc>
          <w:tcPr>
            <w:tcW w:w="343" w:type="pct"/>
            <w:vMerge w:val="restart"/>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bCs/>
                <w:szCs w:val="21"/>
                <w:lang w:bidi="en-US"/>
              </w:rPr>
              <w:t>复垦植被恢复后</w:t>
            </w:r>
          </w:p>
        </w:tc>
        <w:tc>
          <w:tcPr>
            <w:tcW w:w="2242" w:type="pct"/>
            <w:gridSpan w:val="2"/>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土壤肥力</w:t>
            </w:r>
          </w:p>
        </w:tc>
        <w:tc>
          <w:tcPr>
            <w:tcW w:w="493" w:type="pct"/>
            <w:vMerge/>
            <w:vAlign w:val="center"/>
          </w:tcPr>
          <w:p w:rsidR="002A5A5E" w:rsidRPr="00F9522B" w:rsidRDefault="002A5A5E">
            <w:pPr>
              <w:spacing w:line="0" w:lineRule="atLeast"/>
              <w:contextualSpacing/>
              <w:jc w:val="center"/>
              <w:rPr>
                <w:rFonts w:eastAsiaTheme="minorEastAsia"/>
                <w:szCs w:val="21"/>
              </w:rPr>
            </w:pPr>
          </w:p>
        </w:tc>
        <w:tc>
          <w:tcPr>
            <w:tcW w:w="892" w:type="pct"/>
            <w:vMerge w:val="restart"/>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选取</w:t>
            </w:r>
            <w:r w:rsidRPr="00F9522B">
              <w:rPr>
                <w:rFonts w:eastAsiaTheme="minorEastAsia"/>
                <w:szCs w:val="21"/>
              </w:rPr>
              <w:t>3</w:t>
            </w:r>
            <w:r w:rsidRPr="00F9522B">
              <w:rPr>
                <w:rFonts w:eastAsiaTheme="minorEastAsia"/>
                <w:szCs w:val="21"/>
              </w:rPr>
              <w:t>处代表性土地复垦地块</w:t>
            </w:r>
          </w:p>
        </w:tc>
        <w:tc>
          <w:tcPr>
            <w:tcW w:w="1030" w:type="pct"/>
            <w:vMerge w:val="restart"/>
            <w:vAlign w:val="center"/>
          </w:tcPr>
          <w:p w:rsidR="002A5A5E" w:rsidRPr="00F9522B" w:rsidRDefault="00611CBA">
            <w:pPr>
              <w:spacing w:line="0" w:lineRule="atLeast"/>
              <w:contextualSpacing/>
              <w:jc w:val="center"/>
              <w:rPr>
                <w:rFonts w:eastAsiaTheme="minorEastAsia"/>
                <w:szCs w:val="21"/>
              </w:rPr>
            </w:pPr>
            <w:r w:rsidRPr="00F9522B">
              <w:rPr>
                <w:rFonts w:eastAsiaTheme="minorEastAsia"/>
                <w:szCs w:val="21"/>
              </w:rPr>
              <w:t>1</w:t>
            </w:r>
            <w:r w:rsidRPr="00F9522B">
              <w:rPr>
                <w:rFonts w:eastAsiaTheme="minorEastAsia"/>
                <w:szCs w:val="21"/>
              </w:rPr>
              <w:t>次</w:t>
            </w:r>
            <w:r w:rsidRPr="00F9522B">
              <w:rPr>
                <w:rFonts w:eastAsiaTheme="minorEastAsia"/>
                <w:szCs w:val="21"/>
              </w:rPr>
              <w:t>/</w:t>
            </w:r>
            <w:r w:rsidRPr="00F9522B">
              <w:rPr>
                <w:rFonts w:eastAsiaTheme="minorEastAsia"/>
                <w:szCs w:val="21"/>
              </w:rPr>
              <w:t>年</w:t>
            </w:r>
          </w:p>
        </w:tc>
      </w:tr>
      <w:tr w:rsidR="002A5A5E" w:rsidRPr="00F9522B">
        <w:trPr>
          <w:trHeight w:val="170"/>
          <w:jc w:val="center"/>
        </w:trPr>
        <w:tc>
          <w:tcPr>
            <w:tcW w:w="343" w:type="pct"/>
            <w:vMerge/>
            <w:vAlign w:val="center"/>
          </w:tcPr>
          <w:p w:rsidR="002A5A5E" w:rsidRPr="00F9522B" w:rsidRDefault="002A5A5E">
            <w:pPr>
              <w:spacing w:line="0" w:lineRule="atLeast"/>
              <w:contextualSpacing/>
              <w:jc w:val="center"/>
              <w:rPr>
                <w:rFonts w:eastAsiaTheme="minorEastAsia"/>
                <w:szCs w:val="21"/>
              </w:rPr>
            </w:pPr>
          </w:p>
        </w:tc>
        <w:tc>
          <w:tcPr>
            <w:tcW w:w="2242" w:type="pct"/>
            <w:gridSpan w:val="2"/>
            <w:vAlign w:val="center"/>
          </w:tcPr>
          <w:p w:rsidR="002A5A5E" w:rsidRPr="00F9522B" w:rsidRDefault="00611CBA">
            <w:pPr>
              <w:pStyle w:val="affff2"/>
              <w:adjustRightInd/>
              <w:snapToGrid/>
              <w:spacing w:before="48" w:line="0" w:lineRule="atLeast"/>
              <w:ind w:firstLineChars="0" w:firstLine="0"/>
              <w:rPr>
                <w:rFonts w:ascii="Times New Roman" w:eastAsiaTheme="minorEastAsia" w:hAnsi="Times New Roman"/>
                <w:color w:val="auto"/>
                <w:sz w:val="21"/>
                <w:szCs w:val="21"/>
              </w:rPr>
            </w:pPr>
            <w:r w:rsidRPr="00F9522B">
              <w:rPr>
                <w:rFonts w:ascii="Times New Roman" w:eastAsiaTheme="minorEastAsia" w:hAnsi="Times New Roman"/>
                <w:color w:val="auto"/>
                <w:sz w:val="21"/>
                <w:szCs w:val="21"/>
              </w:rPr>
              <w:t>植物生长势</w:t>
            </w:r>
          </w:p>
        </w:tc>
        <w:tc>
          <w:tcPr>
            <w:tcW w:w="493" w:type="pct"/>
            <w:vMerge/>
            <w:vAlign w:val="center"/>
          </w:tcPr>
          <w:p w:rsidR="002A5A5E" w:rsidRPr="00F9522B" w:rsidRDefault="002A5A5E">
            <w:pPr>
              <w:spacing w:line="0" w:lineRule="atLeast"/>
              <w:contextualSpacing/>
              <w:jc w:val="center"/>
              <w:rPr>
                <w:rFonts w:eastAsiaTheme="minorEastAsia"/>
                <w:szCs w:val="21"/>
              </w:rPr>
            </w:pPr>
          </w:p>
        </w:tc>
        <w:tc>
          <w:tcPr>
            <w:tcW w:w="892" w:type="pct"/>
            <w:vMerge/>
            <w:vAlign w:val="center"/>
          </w:tcPr>
          <w:p w:rsidR="002A5A5E" w:rsidRPr="00F9522B" w:rsidRDefault="002A5A5E">
            <w:pPr>
              <w:spacing w:line="0" w:lineRule="atLeast"/>
              <w:contextualSpacing/>
              <w:jc w:val="center"/>
              <w:rPr>
                <w:rFonts w:eastAsiaTheme="minorEastAsia"/>
                <w:szCs w:val="21"/>
              </w:rPr>
            </w:pPr>
          </w:p>
        </w:tc>
        <w:tc>
          <w:tcPr>
            <w:tcW w:w="1030" w:type="pct"/>
            <w:vMerge/>
            <w:vAlign w:val="center"/>
          </w:tcPr>
          <w:p w:rsidR="002A5A5E" w:rsidRPr="00F9522B" w:rsidRDefault="002A5A5E">
            <w:pPr>
              <w:spacing w:line="0" w:lineRule="atLeast"/>
              <w:contextualSpacing/>
              <w:jc w:val="center"/>
              <w:rPr>
                <w:rFonts w:eastAsiaTheme="minorEastAsia"/>
                <w:szCs w:val="21"/>
              </w:rPr>
            </w:pPr>
          </w:p>
        </w:tc>
      </w:tr>
      <w:tr w:rsidR="002A5A5E" w:rsidRPr="00F9522B">
        <w:trPr>
          <w:trHeight w:val="170"/>
          <w:jc w:val="center"/>
        </w:trPr>
        <w:tc>
          <w:tcPr>
            <w:tcW w:w="343" w:type="pct"/>
            <w:vMerge/>
            <w:vAlign w:val="center"/>
          </w:tcPr>
          <w:p w:rsidR="002A5A5E" w:rsidRPr="00F9522B" w:rsidRDefault="002A5A5E">
            <w:pPr>
              <w:spacing w:line="0" w:lineRule="atLeast"/>
              <w:contextualSpacing/>
              <w:jc w:val="center"/>
              <w:rPr>
                <w:rFonts w:eastAsiaTheme="minorEastAsia"/>
                <w:szCs w:val="21"/>
              </w:rPr>
            </w:pPr>
          </w:p>
        </w:tc>
        <w:tc>
          <w:tcPr>
            <w:tcW w:w="2242" w:type="pct"/>
            <w:gridSpan w:val="2"/>
            <w:vAlign w:val="center"/>
          </w:tcPr>
          <w:p w:rsidR="002A5A5E" w:rsidRPr="00F9522B" w:rsidRDefault="00611CBA">
            <w:pPr>
              <w:pStyle w:val="affff2"/>
              <w:adjustRightInd/>
              <w:snapToGrid/>
              <w:spacing w:before="48" w:line="0" w:lineRule="atLeast"/>
              <w:ind w:firstLineChars="0" w:firstLine="0"/>
              <w:rPr>
                <w:rFonts w:ascii="Times New Roman" w:eastAsiaTheme="minorEastAsia" w:hAnsi="Times New Roman"/>
                <w:color w:val="auto"/>
                <w:sz w:val="21"/>
                <w:szCs w:val="21"/>
              </w:rPr>
            </w:pPr>
            <w:r w:rsidRPr="00F9522B">
              <w:rPr>
                <w:rFonts w:ascii="Times New Roman" w:eastAsiaTheme="minorEastAsia" w:hAnsi="Times New Roman"/>
                <w:color w:val="auto"/>
                <w:sz w:val="21"/>
                <w:szCs w:val="21"/>
              </w:rPr>
              <w:t>高度</w:t>
            </w:r>
          </w:p>
        </w:tc>
        <w:tc>
          <w:tcPr>
            <w:tcW w:w="493" w:type="pct"/>
            <w:vMerge/>
            <w:vAlign w:val="center"/>
          </w:tcPr>
          <w:p w:rsidR="002A5A5E" w:rsidRPr="00F9522B" w:rsidRDefault="002A5A5E">
            <w:pPr>
              <w:spacing w:line="0" w:lineRule="atLeast"/>
              <w:contextualSpacing/>
              <w:jc w:val="center"/>
              <w:rPr>
                <w:rFonts w:eastAsiaTheme="minorEastAsia"/>
                <w:szCs w:val="21"/>
              </w:rPr>
            </w:pPr>
          </w:p>
        </w:tc>
        <w:tc>
          <w:tcPr>
            <w:tcW w:w="892" w:type="pct"/>
            <w:vMerge/>
            <w:vAlign w:val="center"/>
          </w:tcPr>
          <w:p w:rsidR="002A5A5E" w:rsidRPr="00F9522B" w:rsidRDefault="002A5A5E">
            <w:pPr>
              <w:spacing w:line="0" w:lineRule="atLeast"/>
              <w:contextualSpacing/>
              <w:jc w:val="center"/>
              <w:rPr>
                <w:rFonts w:eastAsiaTheme="minorEastAsia"/>
                <w:szCs w:val="21"/>
              </w:rPr>
            </w:pPr>
          </w:p>
        </w:tc>
        <w:tc>
          <w:tcPr>
            <w:tcW w:w="1030" w:type="pct"/>
            <w:vMerge/>
            <w:vAlign w:val="center"/>
          </w:tcPr>
          <w:p w:rsidR="002A5A5E" w:rsidRPr="00F9522B" w:rsidRDefault="002A5A5E">
            <w:pPr>
              <w:spacing w:line="0" w:lineRule="atLeast"/>
              <w:contextualSpacing/>
              <w:jc w:val="center"/>
              <w:rPr>
                <w:rFonts w:eastAsiaTheme="minorEastAsia"/>
                <w:szCs w:val="21"/>
              </w:rPr>
            </w:pPr>
          </w:p>
        </w:tc>
      </w:tr>
      <w:tr w:rsidR="002A5A5E" w:rsidRPr="00F9522B">
        <w:trPr>
          <w:trHeight w:val="170"/>
          <w:jc w:val="center"/>
        </w:trPr>
        <w:tc>
          <w:tcPr>
            <w:tcW w:w="343" w:type="pct"/>
            <w:vMerge/>
            <w:vAlign w:val="center"/>
          </w:tcPr>
          <w:p w:rsidR="002A5A5E" w:rsidRPr="00F9522B" w:rsidRDefault="002A5A5E">
            <w:pPr>
              <w:spacing w:line="0" w:lineRule="atLeast"/>
              <w:contextualSpacing/>
              <w:jc w:val="center"/>
              <w:rPr>
                <w:rFonts w:eastAsiaTheme="minorEastAsia"/>
                <w:szCs w:val="21"/>
              </w:rPr>
            </w:pPr>
          </w:p>
        </w:tc>
        <w:tc>
          <w:tcPr>
            <w:tcW w:w="2242" w:type="pct"/>
            <w:gridSpan w:val="2"/>
            <w:vAlign w:val="center"/>
          </w:tcPr>
          <w:p w:rsidR="002A5A5E" w:rsidRPr="00F9522B" w:rsidRDefault="00611CBA">
            <w:pPr>
              <w:pStyle w:val="affff2"/>
              <w:adjustRightInd/>
              <w:snapToGrid/>
              <w:spacing w:before="48" w:line="0" w:lineRule="atLeast"/>
              <w:ind w:firstLineChars="0" w:firstLine="0"/>
              <w:rPr>
                <w:rFonts w:ascii="Times New Roman" w:eastAsiaTheme="minorEastAsia" w:hAnsi="Times New Roman"/>
                <w:color w:val="auto"/>
                <w:sz w:val="21"/>
                <w:szCs w:val="21"/>
              </w:rPr>
            </w:pPr>
            <w:r w:rsidRPr="00F9522B">
              <w:rPr>
                <w:rFonts w:ascii="Times New Roman" w:eastAsiaTheme="minorEastAsia" w:hAnsi="Times New Roman"/>
                <w:color w:val="auto"/>
                <w:sz w:val="21"/>
                <w:szCs w:val="21"/>
              </w:rPr>
              <w:t>成活率</w:t>
            </w:r>
          </w:p>
        </w:tc>
        <w:tc>
          <w:tcPr>
            <w:tcW w:w="493" w:type="pct"/>
            <w:vMerge/>
            <w:vAlign w:val="center"/>
          </w:tcPr>
          <w:p w:rsidR="002A5A5E" w:rsidRPr="00F9522B" w:rsidRDefault="002A5A5E">
            <w:pPr>
              <w:spacing w:line="0" w:lineRule="atLeast"/>
              <w:contextualSpacing/>
              <w:jc w:val="center"/>
              <w:rPr>
                <w:rFonts w:eastAsiaTheme="minorEastAsia"/>
                <w:szCs w:val="21"/>
              </w:rPr>
            </w:pPr>
          </w:p>
        </w:tc>
        <w:tc>
          <w:tcPr>
            <w:tcW w:w="892" w:type="pct"/>
            <w:vMerge/>
            <w:vAlign w:val="center"/>
          </w:tcPr>
          <w:p w:rsidR="002A5A5E" w:rsidRPr="00F9522B" w:rsidRDefault="002A5A5E">
            <w:pPr>
              <w:spacing w:line="0" w:lineRule="atLeast"/>
              <w:contextualSpacing/>
              <w:jc w:val="center"/>
              <w:rPr>
                <w:rFonts w:eastAsiaTheme="minorEastAsia"/>
                <w:szCs w:val="21"/>
              </w:rPr>
            </w:pPr>
          </w:p>
        </w:tc>
        <w:tc>
          <w:tcPr>
            <w:tcW w:w="1030" w:type="pct"/>
            <w:vMerge/>
            <w:vAlign w:val="center"/>
          </w:tcPr>
          <w:p w:rsidR="002A5A5E" w:rsidRPr="00F9522B" w:rsidRDefault="002A5A5E">
            <w:pPr>
              <w:spacing w:line="0" w:lineRule="atLeast"/>
              <w:contextualSpacing/>
              <w:jc w:val="center"/>
              <w:rPr>
                <w:rFonts w:eastAsiaTheme="minorEastAsia"/>
                <w:szCs w:val="21"/>
              </w:rPr>
            </w:pPr>
          </w:p>
        </w:tc>
      </w:tr>
      <w:tr w:rsidR="002A5A5E" w:rsidRPr="00F9522B">
        <w:trPr>
          <w:trHeight w:val="170"/>
          <w:jc w:val="center"/>
        </w:trPr>
        <w:tc>
          <w:tcPr>
            <w:tcW w:w="343" w:type="pct"/>
            <w:vMerge/>
            <w:vAlign w:val="center"/>
          </w:tcPr>
          <w:p w:rsidR="002A5A5E" w:rsidRPr="00F9522B" w:rsidRDefault="002A5A5E">
            <w:pPr>
              <w:spacing w:line="0" w:lineRule="atLeast"/>
              <w:contextualSpacing/>
              <w:jc w:val="center"/>
              <w:rPr>
                <w:rFonts w:eastAsiaTheme="minorEastAsia"/>
                <w:szCs w:val="21"/>
              </w:rPr>
            </w:pPr>
          </w:p>
        </w:tc>
        <w:tc>
          <w:tcPr>
            <w:tcW w:w="2242" w:type="pct"/>
            <w:gridSpan w:val="2"/>
            <w:vAlign w:val="center"/>
          </w:tcPr>
          <w:p w:rsidR="002A5A5E" w:rsidRPr="00F9522B" w:rsidRDefault="00611CBA">
            <w:pPr>
              <w:pStyle w:val="affff2"/>
              <w:adjustRightInd/>
              <w:snapToGrid/>
              <w:spacing w:before="48" w:line="0" w:lineRule="atLeast"/>
              <w:ind w:firstLineChars="0" w:firstLine="0"/>
              <w:rPr>
                <w:rFonts w:ascii="Times New Roman" w:eastAsiaTheme="minorEastAsia" w:hAnsi="Times New Roman"/>
                <w:color w:val="auto"/>
                <w:sz w:val="21"/>
                <w:szCs w:val="21"/>
              </w:rPr>
            </w:pPr>
            <w:r w:rsidRPr="00F9522B">
              <w:rPr>
                <w:rFonts w:ascii="Times New Roman" w:eastAsiaTheme="minorEastAsia" w:hAnsi="Times New Roman"/>
                <w:color w:val="auto"/>
                <w:sz w:val="21"/>
                <w:szCs w:val="21"/>
              </w:rPr>
              <w:t>植被覆盖率</w:t>
            </w:r>
          </w:p>
        </w:tc>
        <w:tc>
          <w:tcPr>
            <w:tcW w:w="493" w:type="pct"/>
            <w:vMerge/>
            <w:vAlign w:val="center"/>
          </w:tcPr>
          <w:p w:rsidR="002A5A5E" w:rsidRPr="00F9522B" w:rsidRDefault="002A5A5E">
            <w:pPr>
              <w:spacing w:line="0" w:lineRule="atLeast"/>
              <w:contextualSpacing/>
              <w:jc w:val="center"/>
              <w:rPr>
                <w:rFonts w:eastAsiaTheme="minorEastAsia"/>
                <w:szCs w:val="21"/>
              </w:rPr>
            </w:pPr>
          </w:p>
        </w:tc>
        <w:tc>
          <w:tcPr>
            <w:tcW w:w="892" w:type="pct"/>
            <w:vMerge/>
            <w:vAlign w:val="center"/>
          </w:tcPr>
          <w:p w:rsidR="002A5A5E" w:rsidRPr="00F9522B" w:rsidRDefault="002A5A5E">
            <w:pPr>
              <w:spacing w:line="0" w:lineRule="atLeast"/>
              <w:contextualSpacing/>
              <w:jc w:val="center"/>
              <w:rPr>
                <w:rFonts w:eastAsiaTheme="minorEastAsia"/>
                <w:szCs w:val="21"/>
              </w:rPr>
            </w:pPr>
          </w:p>
        </w:tc>
        <w:tc>
          <w:tcPr>
            <w:tcW w:w="1030" w:type="pct"/>
            <w:vMerge/>
            <w:vAlign w:val="center"/>
          </w:tcPr>
          <w:p w:rsidR="002A5A5E" w:rsidRPr="00F9522B" w:rsidRDefault="002A5A5E">
            <w:pPr>
              <w:spacing w:line="0" w:lineRule="atLeast"/>
              <w:contextualSpacing/>
              <w:jc w:val="center"/>
              <w:rPr>
                <w:rFonts w:eastAsiaTheme="minorEastAsia"/>
                <w:szCs w:val="21"/>
              </w:rPr>
            </w:pPr>
          </w:p>
        </w:tc>
      </w:tr>
    </w:tbl>
    <w:p w:rsidR="002A5A5E" w:rsidRPr="00F9522B" w:rsidRDefault="00611CBA">
      <w:pPr>
        <w:contextualSpacing/>
        <w:jc w:val="center"/>
        <w:rPr>
          <w:rFonts w:eastAsiaTheme="minorEastAsia"/>
          <w:b/>
          <w:kern w:val="0"/>
          <w:szCs w:val="21"/>
        </w:rPr>
      </w:pPr>
      <w:r w:rsidRPr="00F9522B">
        <w:rPr>
          <w:rFonts w:eastAsiaTheme="minorEastAsia"/>
          <w:b/>
          <w:kern w:val="0"/>
          <w:szCs w:val="21"/>
        </w:rPr>
        <w:t>表</w:t>
      </w:r>
      <w:r w:rsidRPr="00F9522B">
        <w:rPr>
          <w:rFonts w:eastAsiaTheme="minorEastAsia"/>
          <w:b/>
          <w:kern w:val="0"/>
          <w:szCs w:val="21"/>
        </w:rPr>
        <w:t>8-2-4</w:t>
      </w:r>
      <w:r w:rsidRPr="00F9522B">
        <w:rPr>
          <w:rFonts w:eastAsiaTheme="minorEastAsia"/>
          <w:b/>
          <w:kern w:val="0"/>
          <w:szCs w:val="21"/>
        </w:rPr>
        <w:t>水生生态监测</w:t>
      </w:r>
    </w:p>
    <w:tbl>
      <w:tblPr>
        <w:tblStyle w:val="TableNormal"/>
        <w:tblW w:w="4997" w:type="pct"/>
        <w:tblInd w:w="0" w:type="dxa"/>
        <w:tblBorders>
          <w:top w:val="single" w:sz="12" w:space="0" w:color="000000"/>
          <w:bottom w:val="single" w:sz="12" w:space="0" w:color="000000"/>
          <w:insideH w:val="single" w:sz="2" w:space="0" w:color="000000"/>
          <w:insideV w:val="single" w:sz="2" w:space="0" w:color="000000"/>
        </w:tblBorders>
        <w:tblLook w:val="04A0"/>
      </w:tblPr>
      <w:tblGrid>
        <w:gridCol w:w="645"/>
        <w:gridCol w:w="1765"/>
        <w:gridCol w:w="2277"/>
        <w:gridCol w:w="1969"/>
        <w:gridCol w:w="805"/>
        <w:gridCol w:w="846"/>
      </w:tblGrid>
      <w:tr w:rsidR="002A5A5E" w:rsidRPr="00F9522B" w:rsidTr="004F0AAC">
        <w:trPr>
          <w:trHeight w:val="340"/>
        </w:trPr>
        <w:tc>
          <w:tcPr>
            <w:tcW w:w="645" w:type="dxa"/>
            <w:tcBorders>
              <w:tl2br w:val="nil"/>
              <w:tr2bl w:val="nil"/>
            </w:tcBorders>
            <w:vAlign w:val="center"/>
          </w:tcPr>
          <w:p w:rsidR="002A5A5E" w:rsidRPr="00F9522B" w:rsidRDefault="00611CBA">
            <w:pPr>
              <w:widowControl/>
              <w:autoSpaceDE w:val="0"/>
              <w:autoSpaceDN w:val="0"/>
              <w:adjustRightInd w:val="0"/>
              <w:snapToGrid w:val="0"/>
              <w:jc w:val="center"/>
              <w:textAlignment w:val="baseline"/>
              <w:rPr>
                <w:rFonts w:eastAsiaTheme="minorEastAsia"/>
                <w:snapToGrid w:val="0"/>
                <w:spacing w:val="6"/>
                <w:kern w:val="0"/>
                <w:szCs w:val="21"/>
                <w:lang w:eastAsia="en-US"/>
              </w:rPr>
            </w:pPr>
            <w:r w:rsidRPr="00F9522B">
              <w:rPr>
                <w:rFonts w:eastAsiaTheme="minorEastAsia"/>
                <w:snapToGrid w:val="0"/>
                <w:spacing w:val="6"/>
                <w:kern w:val="0"/>
                <w:szCs w:val="21"/>
                <w:lang w:eastAsia="en-US"/>
              </w:rPr>
              <w:t>环境</w:t>
            </w:r>
          </w:p>
          <w:p w:rsidR="002A5A5E" w:rsidRPr="00F9522B" w:rsidRDefault="00611CBA">
            <w:pPr>
              <w:widowControl/>
              <w:autoSpaceDE w:val="0"/>
              <w:autoSpaceDN w:val="0"/>
              <w:adjustRightInd w:val="0"/>
              <w:snapToGrid w:val="0"/>
              <w:jc w:val="center"/>
              <w:textAlignment w:val="baseline"/>
              <w:rPr>
                <w:rFonts w:eastAsiaTheme="minorEastAsia"/>
                <w:snapToGrid w:val="0"/>
                <w:spacing w:val="4"/>
                <w:kern w:val="0"/>
                <w:szCs w:val="21"/>
              </w:rPr>
            </w:pPr>
            <w:r w:rsidRPr="00F9522B">
              <w:rPr>
                <w:rFonts w:eastAsiaTheme="minorEastAsia"/>
                <w:snapToGrid w:val="0"/>
                <w:spacing w:val="6"/>
                <w:kern w:val="0"/>
                <w:szCs w:val="21"/>
                <w:lang w:eastAsia="en-US"/>
              </w:rPr>
              <w:t>要</w:t>
            </w:r>
            <w:r w:rsidRPr="00F9522B">
              <w:rPr>
                <w:rFonts w:eastAsiaTheme="minorEastAsia"/>
                <w:snapToGrid w:val="0"/>
                <w:kern w:val="0"/>
                <w:szCs w:val="21"/>
                <w:lang w:eastAsia="en-US"/>
              </w:rPr>
              <w:t>素</w:t>
            </w:r>
          </w:p>
        </w:tc>
        <w:tc>
          <w:tcPr>
            <w:tcW w:w="1765" w:type="dxa"/>
            <w:tcBorders>
              <w:tl2br w:val="nil"/>
              <w:tr2bl w:val="nil"/>
            </w:tcBorders>
            <w:vAlign w:val="center"/>
          </w:tcPr>
          <w:p w:rsidR="002A5A5E" w:rsidRPr="00F9522B" w:rsidRDefault="00611CBA">
            <w:pPr>
              <w:widowControl/>
              <w:autoSpaceDE w:val="0"/>
              <w:autoSpaceDN w:val="0"/>
              <w:adjustRightInd w:val="0"/>
              <w:snapToGrid w:val="0"/>
              <w:jc w:val="center"/>
              <w:textAlignment w:val="baseline"/>
              <w:rPr>
                <w:rFonts w:eastAsiaTheme="minorEastAsia"/>
                <w:snapToGrid w:val="0"/>
                <w:spacing w:val="9"/>
                <w:kern w:val="0"/>
                <w:szCs w:val="21"/>
                <w:lang w:eastAsia="en-US"/>
              </w:rPr>
            </w:pPr>
            <w:r w:rsidRPr="00F9522B">
              <w:rPr>
                <w:rFonts w:eastAsiaTheme="minorEastAsia"/>
                <w:snapToGrid w:val="0"/>
                <w:spacing w:val="7"/>
                <w:kern w:val="0"/>
                <w:szCs w:val="21"/>
                <w:lang w:eastAsia="en-US"/>
              </w:rPr>
              <w:t>监测地点</w:t>
            </w:r>
          </w:p>
        </w:tc>
        <w:tc>
          <w:tcPr>
            <w:tcW w:w="2277" w:type="dxa"/>
            <w:tcBorders>
              <w:tl2br w:val="nil"/>
              <w:tr2bl w:val="nil"/>
            </w:tcBorders>
            <w:vAlign w:val="center"/>
          </w:tcPr>
          <w:p w:rsidR="002A5A5E" w:rsidRPr="00F9522B" w:rsidRDefault="00611CBA">
            <w:pPr>
              <w:widowControl/>
              <w:autoSpaceDE w:val="0"/>
              <w:autoSpaceDN w:val="0"/>
              <w:adjustRightInd w:val="0"/>
              <w:snapToGrid w:val="0"/>
              <w:jc w:val="center"/>
              <w:textAlignment w:val="baseline"/>
              <w:rPr>
                <w:rFonts w:eastAsiaTheme="minorEastAsia"/>
                <w:snapToGrid w:val="0"/>
                <w:spacing w:val="-10"/>
                <w:kern w:val="0"/>
                <w:szCs w:val="21"/>
              </w:rPr>
            </w:pPr>
            <w:r w:rsidRPr="00F9522B">
              <w:rPr>
                <w:rFonts w:eastAsiaTheme="minorEastAsia"/>
                <w:snapToGrid w:val="0"/>
                <w:spacing w:val="7"/>
                <w:kern w:val="0"/>
                <w:szCs w:val="21"/>
                <w:lang w:eastAsia="en-US"/>
              </w:rPr>
              <w:t>监测项目</w:t>
            </w:r>
          </w:p>
        </w:tc>
        <w:tc>
          <w:tcPr>
            <w:tcW w:w="1969" w:type="dxa"/>
            <w:tcBorders>
              <w:tl2br w:val="nil"/>
              <w:tr2bl w:val="nil"/>
            </w:tcBorders>
            <w:vAlign w:val="center"/>
          </w:tcPr>
          <w:p w:rsidR="002A5A5E" w:rsidRPr="00F9522B" w:rsidRDefault="00611CBA">
            <w:pPr>
              <w:widowControl/>
              <w:autoSpaceDE w:val="0"/>
              <w:autoSpaceDN w:val="0"/>
              <w:adjustRightInd w:val="0"/>
              <w:snapToGrid w:val="0"/>
              <w:jc w:val="center"/>
              <w:textAlignment w:val="baseline"/>
              <w:rPr>
                <w:rFonts w:eastAsiaTheme="minorEastAsia"/>
                <w:snapToGrid w:val="0"/>
                <w:spacing w:val="9"/>
                <w:kern w:val="0"/>
                <w:szCs w:val="21"/>
                <w:lang w:eastAsia="en-US"/>
              </w:rPr>
            </w:pPr>
            <w:r w:rsidRPr="00F9522B">
              <w:rPr>
                <w:rFonts w:eastAsiaTheme="minorEastAsia"/>
                <w:snapToGrid w:val="0"/>
                <w:spacing w:val="8"/>
                <w:kern w:val="0"/>
                <w:szCs w:val="21"/>
                <w:lang w:eastAsia="en-US"/>
              </w:rPr>
              <w:t>监测时间及频率</w:t>
            </w:r>
          </w:p>
        </w:tc>
        <w:tc>
          <w:tcPr>
            <w:tcW w:w="805" w:type="dxa"/>
            <w:tcBorders>
              <w:tl2br w:val="nil"/>
              <w:tr2bl w:val="nil"/>
            </w:tcBorders>
            <w:vAlign w:val="center"/>
          </w:tcPr>
          <w:p w:rsidR="002A5A5E" w:rsidRPr="00F9522B" w:rsidRDefault="00611CBA">
            <w:pPr>
              <w:widowControl/>
              <w:autoSpaceDE w:val="0"/>
              <w:autoSpaceDN w:val="0"/>
              <w:adjustRightInd w:val="0"/>
              <w:snapToGrid w:val="0"/>
              <w:jc w:val="center"/>
              <w:textAlignment w:val="baseline"/>
              <w:rPr>
                <w:rFonts w:eastAsiaTheme="minorEastAsia"/>
                <w:snapToGrid w:val="0"/>
                <w:spacing w:val="6"/>
                <w:kern w:val="0"/>
                <w:szCs w:val="21"/>
                <w:lang w:eastAsia="en-US"/>
              </w:rPr>
            </w:pPr>
            <w:r w:rsidRPr="00F9522B">
              <w:rPr>
                <w:rFonts w:eastAsiaTheme="minorEastAsia"/>
                <w:snapToGrid w:val="0"/>
                <w:spacing w:val="5"/>
                <w:kern w:val="0"/>
                <w:szCs w:val="21"/>
                <w:lang w:eastAsia="en-US"/>
              </w:rPr>
              <w:t>实施机</w:t>
            </w:r>
            <w:r w:rsidRPr="00F9522B">
              <w:rPr>
                <w:rFonts w:eastAsiaTheme="minorEastAsia"/>
                <w:snapToGrid w:val="0"/>
                <w:kern w:val="0"/>
                <w:szCs w:val="21"/>
                <w:lang w:eastAsia="en-US"/>
              </w:rPr>
              <w:t>构</w:t>
            </w:r>
          </w:p>
        </w:tc>
        <w:tc>
          <w:tcPr>
            <w:tcW w:w="846" w:type="dxa"/>
            <w:tcBorders>
              <w:tl2br w:val="nil"/>
              <w:tr2bl w:val="nil"/>
            </w:tcBorders>
            <w:vAlign w:val="center"/>
          </w:tcPr>
          <w:p w:rsidR="002A5A5E" w:rsidRPr="00F9522B" w:rsidRDefault="00611CBA">
            <w:pPr>
              <w:widowControl/>
              <w:autoSpaceDE w:val="0"/>
              <w:autoSpaceDN w:val="0"/>
              <w:adjustRightInd w:val="0"/>
              <w:snapToGrid w:val="0"/>
              <w:jc w:val="center"/>
              <w:textAlignment w:val="baseline"/>
              <w:rPr>
                <w:rFonts w:eastAsiaTheme="minorEastAsia"/>
                <w:snapToGrid w:val="0"/>
                <w:spacing w:val="6"/>
                <w:kern w:val="0"/>
                <w:szCs w:val="21"/>
                <w:lang w:eastAsia="en-US"/>
              </w:rPr>
            </w:pPr>
            <w:r w:rsidRPr="00F9522B">
              <w:rPr>
                <w:rFonts w:eastAsiaTheme="minorEastAsia"/>
                <w:snapToGrid w:val="0"/>
                <w:spacing w:val="7"/>
                <w:kern w:val="0"/>
                <w:szCs w:val="21"/>
                <w:lang w:eastAsia="en-US"/>
              </w:rPr>
              <w:t>监督机构</w:t>
            </w:r>
          </w:p>
        </w:tc>
      </w:tr>
      <w:tr w:rsidR="002A5A5E" w:rsidRPr="00F9522B" w:rsidTr="004F0AAC">
        <w:trPr>
          <w:trHeight w:val="340"/>
        </w:trPr>
        <w:tc>
          <w:tcPr>
            <w:tcW w:w="645" w:type="dxa"/>
            <w:tcBorders>
              <w:tl2br w:val="nil"/>
              <w:tr2bl w:val="nil"/>
            </w:tcBorders>
            <w:vAlign w:val="center"/>
          </w:tcPr>
          <w:p w:rsidR="002A5A5E" w:rsidRPr="00F9522B" w:rsidRDefault="00611CBA">
            <w:pPr>
              <w:widowControl/>
              <w:autoSpaceDE w:val="0"/>
              <w:autoSpaceDN w:val="0"/>
              <w:adjustRightInd w:val="0"/>
              <w:snapToGrid w:val="0"/>
              <w:jc w:val="center"/>
              <w:textAlignment w:val="baseline"/>
              <w:rPr>
                <w:rFonts w:eastAsiaTheme="minorEastAsia"/>
                <w:snapToGrid w:val="0"/>
                <w:spacing w:val="4"/>
                <w:kern w:val="0"/>
                <w:szCs w:val="21"/>
              </w:rPr>
            </w:pPr>
            <w:r w:rsidRPr="00F9522B">
              <w:rPr>
                <w:rFonts w:eastAsiaTheme="minorEastAsia"/>
                <w:snapToGrid w:val="0"/>
                <w:spacing w:val="4"/>
                <w:kern w:val="0"/>
                <w:szCs w:val="21"/>
              </w:rPr>
              <w:t>水生生态</w:t>
            </w:r>
          </w:p>
        </w:tc>
        <w:tc>
          <w:tcPr>
            <w:tcW w:w="1765" w:type="dxa"/>
            <w:tcBorders>
              <w:tl2br w:val="nil"/>
              <w:tr2bl w:val="nil"/>
            </w:tcBorders>
            <w:vAlign w:val="center"/>
          </w:tcPr>
          <w:p w:rsidR="002A5A5E" w:rsidRPr="00F9522B" w:rsidRDefault="002D7E70">
            <w:pPr>
              <w:widowControl/>
              <w:autoSpaceDE w:val="0"/>
              <w:autoSpaceDN w:val="0"/>
              <w:adjustRightInd w:val="0"/>
              <w:snapToGrid w:val="0"/>
              <w:jc w:val="center"/>
              <w:textAlignment w:val="baseline"/>
              <w:rPr>
                <w:rFonts w:eastAsiaTheme="minorEastAsia"/>
                <w:snapToGrid w:val="0"/>
                <w:spacing w:val="9"/>
                <w:kern w:val="0"/>
                <w:szCs w:val="21"/>
              </w:rPr>
            </w:pPr>
            <w:r w:rsidRPr="00F9522B">
              <w:rPr>
                <w:rFonts w:eastAsiaTheme="minorEastAsia"/>
                <w:kern w:val="0"/>
                <w:szCs w:val="21"/>
              </w:rPr>
              <w:t>公家沟退水口、退水入松花江河口、漂河退水口</w:t>
            </w:r>
          </w:p>
        </w:tc>
        <w:tc>
          <w:tcPr>
            <w:tcW w:w="2277" w:type="dxa"/>
            <w:tcBorders>
              <w:tl2br w:val="nil"/>
              <w:tr2bl w:val="nil"/>
            </w:tcBorders>
            <w:vAlign w:val="center"/>
          </w:tcPr>
          <w:p w:rsidR="002A5A5E" w:rsidRPr="00F9522B" w:rsidRDefault="00611CBA">
            <w:pPr>
              <w:widowControl/>
              <w:autoSpaceDE w:val="0"/>
              <w:autoSpaceDN w:val="0"/>
              <w:adjustRightInd w:val="0"/>
              <w:snapToGrid w:val="0"/>
              <w:jc w:val="left"/>
              <w:textAlignment w:val="baseline"/>
              <w:rPr>
                <w:rFonts w:eastAsiaTheme="minorEastAsia"/>
                <w:snapToGrid w:val="0"/>
                <w:spacing w:val="7"/>
                <w:kern w:val="0"/>
                <w:szCs w:val="21"/>
              </w:rPr>
            </w:pPr>
            <w:r w:rsidRPr="00F9522B">
              <w:rPr>
                <w:rFonts w:eastAsiaTheme="minorEastAsia"/>
                <w:snapToGrid w:val="0"/>
                <w:spacing w:val="7"/>
                <w:kern w:val="0"/>
                <w:szCs w:val="21"/>
              </w:rPr>
              <w:t>水文情势监测：</w:t>
            </w:r>
          </w:p>
          <w:p w:rsidR="002A5A5E" w:rsidRPr="00F9522B" w:rsidRDefault="00611CBA">
            <w:pPr>
              <w:widowControl/>
              <w:autoSpaceDE w:val="0"/>
              <w:autoSpaceDN w:val="0"/>
              <w:adjustRightInd w:val="0"/>
              <w:snapToGrid w:val="0"/>
              <w:jc w:val="left"/>
              <w:textAlignment w:val="baseline"/>
              <w:rPr>
                <w:rFonts w:eastAsiaTheme="minorEastAsia"/>
                <w:snapToGrid w:val="0"/>
                <w:spacing w:val="7"/>
                <w:kern w:val="0"/>
                <w:szCs w:val="21"/>
              </w:rPr>
            </w:pPr>
            <w:r w:rsidRPr="00F9522B">
              <w:rPr>
                <w:rFonts w:eastAsiaTheme="minorEastAsia"/>
                <w:snapToGrid w:val="0"/>
                <w:spacing w:val="7"/>
                <w:kern w:val="0"/>
                <w:szCs w:val="21"/>
              </w:rPr>
              <w:t>来水量、流量、流速、水位、水温等；</w:t>
            </w:r>
          </w:p>
          <w:p w:rsidR="002A5A5E" w:rsidRPr="00F9522B" w:rsidRDefault="00611CBA">
            <w:pPr>
              <w:widowControl/>
              <w:kinsoku w:val="0"/>
              <w:autoSpaceDE w:val="0"/>
              <w:autoSpaceDN w:val="0"/>
              <w:adjustRightInd w:val="0"/>
              <w:snapToGrid w:val="0"/>
              <w:jc w:val="left"/>
              <w:textAlignment w:val="baseline"/>
              <w:rPr>
                <w:rFonts w:eastAsiaTheme="minorEastAsia"/>
                <w:kern w:val="0"/>
                <w:szCs w:val="21"/>
              </w:rPr>
            </w:pPr>
            <w:r w:rsidRPr="00F9522B">
              <w:rPr>
                <w:rFonts w:eastAsiaTheme="minorEastAsia"/>
                <w:kern w:val="0"/>
                <w:szCs w:val="21"/>
              </w:rPr>
              <w:t>水生生物监测：</w:t>
            </w:r>
          </w:p>
          <w:p w:rsidR="002A5A5E" w:rsidRPr="00F9522B" w:rsidRDefault="00611CBA">
            <w:pPr>
              <w:widowControl/>
              <w:kinsoku w:val="0"/>
              <w:autoSpaceDE w:val="0"/>
              <w:autoSpaceDN w:val="0"/>
              <w:adjustRightInd w:val="0"/>
              <w:snapToGrid w:val="0"/>
              <w:jc w:val="left"/>
              <w:textAlignment w:val="baseline"/>
              <w:rPr>
                <w:rFonts w:eastAsiaTheme="minorEastAsia"/>
                <w:kern w:val="0"/>
                <w:szCs w:val="21"/>
              </w:rPr>
            </w:pPr>
            <w:r w:rsidRPr="00F9522B">
              <w:rPr>
                <w:rFonts w:eastAsiaTheme="minorEastAsia"/>
                <w:kern w:val="0"/>
                <w:szCs w:val="21"/>
              </w:rPr>
              <w:t>叶绿素</w:t>
            </w:r>
            <w:r w:rsidRPr="00F9522B">
              <w:rPr>
                <w:rFonts w:eastAsiaTheme="minorEastAsia"/>
                <w:kern w:val="0"/>
                <w:szCs w:val="21"/>
              </w:rPr>
              <w:t>a</w:t>
            </w:r>
            <w:r w:rsidRPr="00F9522B">
              <w:rPr>
                <w:rFonts w:eastAsiaTheme="minorEastAsia"/>
                <w:kern w:val="0"/>
                <w:szCs w:val="21"/>
              </w:rPr>
              <w:t>、浮游植物、浮游动物、底栖动物和水生维管束植物的种类和数量；</w:t>
            </w:r>
          </w:p>
          <w:p w:rsidR="002A5A5E" w:rsidRPr="00F9522B" w:rsidRDefault="00611CBA">
            <w:pPr>
              <w:widowControl/>
              <w:kinsoku w:val="0"/>
              <w:autoSpaceDE w:val="0"/>
              <w:autoSpaceDN w:val="0"/>
              <w:adjustRightInd w:val="0"/>
              <w:snapToGrid w:val="0"/>
              <w:jc w:val="left"/>
              <w:textAlignment w:val="baseline"/>
              <w:rPr>
                <w:rFonts w:eastAsiaTheme="minorEastAsia"/>
                <w:kern w:val="0"/>
                <w:szCs w:val="21"/>
              </w:rPr>
            </w:pPr>
            <w:r w:rsidRPr="00F9522B">
              <w:rPr>
                <w:rFonts w:eastAsiaTheme="minorEastAsia"/>
                <w:kern w:val="0"/>
                <w:szCs w:val="21"/>
              </w:rPr>
              <w:t>鱼类种群监测：</w:t>
            </w:r>
          </w:p>
          <w:p w:rsidR="002A5A5E" w:rsidRPr="00F9522B" w:rsidRDefault="00611CBA">
            <w:pPr>
              <w:widowControl/>
              <w:kinsoku w:val="0"/>
              <w:autoSpaceDE w:val="0"/>
              <w:autoSpaceDN w:val="0"/>
              <w:adjustRightInd w:val="0"/>
              <w:snapToGrid w:val="0"/>
              <w:jc w:val="left"/>
              <w:textAlignment w:val="baseline"/>
              <w:rPr>
                <w:rFonts w:eastAsiaTheme="minorEastAsia"/>
                <w:kern w:val="0"/>
                <w:szCs w:val="21"/>
              </w:rPr>
            </w:pPr>
            <w:r w:rsidRPr="00F9522B">
              <w:rPr>
                <w:rFonts w:eastAsiaTheme="minorEastAsia"/>
                <w:kern w:val="0"/>
                <w:szCs w:val="21"/>
              </w:rPr>
              <w:t>鱼类种类组成、种群结构和鱼类资源量；</w:t>
            </w:r>
          </w:p>
          <w:p w:rsidR="002A5A5E" w:rsidRPr="00F9522B" w:rsidRDefault="00611CBA">
            <w:pPr>
              <w:widowControl/>
              <w:autoSpaceDE w:val="0"/>
              <w:autoSpaceDN w:val="0"/>
              <w:adjustRightInd w:val="0"/>
              <w:snapToGrid w:val="0"/>
              <w:jc w:val="left"/>
              <w:textAlignment w:val="baseline"/>
              <w:rPr>
                <w:rFonts w:eastAsiaTheme="minorEastAsia"/>
                <w:snapToGrid w:val="0"/>
                <w:spacing w:val="-10"/>
                <w:kern w:val="0"/>
                <w:szCs w:val="21"/>
              </w:rPr>
            </w:pPr>
            <w:r w:rsidRPr="00F9522B">
              <w:rPr>
                <w:rFonts w:eastAsiaTheme="minorEastAsia"/>
                <w:kern w:val="0"/>
                <w:szCs w:val="21"/>
              </w:rPr>
              <w:t>鱼类产卵场和繁殖生态监测：鱼类组种类、资源量变化、时空分布、繁殖量、产卵场的水文要素条件</w:t>
            </w:r>
          </w:p>
        </w:tc>
        <w:tc>
          <w:tcPr>
            <w:tcW w:w="1969" w:type="dxa"/>
            <w:tcBorders>
              <w:tl2br w:val="nil"/>
              <w:tr2bl w:val="nil"/>
            </w:tcBorders>
            <w:vAlign w:val="center"/>
          </w:tcPr>
          <w:p w:rsidR="002A5A5E" w:rsidRPr="00F9522B" w:rsidRDefault="00611CBA">
            <w:pPr>
              <w:widowControl/>
              <w:kinsoku w:val="0"/>
              <w:autoSpaceDE w:val="0"/>
              <w:autoSpaceDN w:val="0"/>
              <w:adjustRightInd w:val="0"/>
              <w:snapToGrid w:val="0"/>
              <w:jc w:val="center"/>
              <w:textAlignment w:val="baseline"/>
              <w:rPr>
                <w:rFonts w:eastAsiaTheme="minorEastAsia"/>
                <w:snapToGrid w:val="0"/>
                <w:spacing w:val="9"/>
                <w:kern w:val="0"/>
                <w:szCs w:val="21"/>
                <w:lang w:eastAsia="en-US"/>
              </w:rPr>
            </w:pPr>
            <w:r w:rsidRPr="00F9522B">
              <w:rPr>
                <w:rFonts w:eastAsiaTheme="minorEastAsia"/>
                <w:kern w:val="0"/>
                <w:szCs w:val="21"/>
                <w:lang w:eastAsia="en-US"/>
              </w:rPr>
              <w:t>运营期每年观测</w:t>
            </w:r>
            <w:r w:rsidRPr="00F9522B">
              <w:rPr>
                <w:rFonts w:eastAsiaTheme="minorEastAsia"/>
                <w:kern w:val="0"/>
                <w:szCs w:val="21"/>
                <w:lang w:eastAsia="en-US"/>
              </w:rPr>
              <w:t>1</w:t>
            </w:r>
            <w:r w:rsidRPr="00F9522B">
              <w:rPr>
                <w:rFonts w:eastAsiaTheme="minorEastAsia"/>
                <w:kern w:val="0"/>
                <w:szCs w:val="21"/>
                <w:lang w:eastAsia="en-US"/>
              </w:rPr>
              <w:t>次</w:t>
            </w:r>
          </w:p>
        </w:tc>
        <w:tc>
          <w:tcPr>
            <w:tcW w:w="805" w:type="dxa"/>
            <w:tcBorders>
              <w:tl2br w:val="nil"/>
              <w:tr2bl w:val="nil"/>
            </w:tcBorders>
            <w:vAlign w:val="center"/>
          </w:tcPr>
          <w:p w:rsidR="002A5A5E" w:rsidRPr="00F9522B" w:rsidRDefault="00611CBA">
            <w:pPr>
              <w:widowControl/>
              <w:autoSpaceDE w:val="0"/>
              <w:autoSpaceDN w:val="0"/>
              <w:adjustRightInd w:val="0"/>
              <w:snapToGrid w:val="0"/>
              <w:jc w:val="center"/>
              <w:textAlignment w:val="baseline"/>
              <w:rPr>
                <w:rFonts w:eastAsiaTheme="minorEastAsia"/>
                <w:snapToGrid w:val="0"/>
                <w:spacing w:val="6"/>
                <w:kern w:val="0"/>
                <w:szCs w:val="21"/>
                <w:lang w:eastAsia="en-US"/>
              </w:rPr>
            </w:pPr>
            <w:r w:rsidRPr="00F9522B">
              <w:rPr>
                <w:rFonts w:eastAsiaTheme="minorEastAsia"/>
                <w:snapToGrid w:val="0"/>
                <w:spacing w:val="6"/>
                <w:kern w:val="0"/>
                <w:szCs w:val="21"/>
                <w:lang w:eastAsia="en-US"/>
              </w:rPr>
              <w:t>有资质</w:t>
            </w:r>
            <w:r w:rsidRPr="00F9522B">
              <w:rPr>
                <w:rFonts w:eastAsiaTheme="minorEastAsia"/>
                <w:snapToGrid w:val="0"/>
                <w:spacing w:val="1"/>
                <w:kern w:val="0"/>
                <w:szCs w:val="21"/>
                <w:lang w:eastAsia="en-US"/>
              </w:rPr>
              <w:t>的监测</w:t>
            </w:r>
            <w:r w:rsidRPr="00F9522B">
              <w:rPr>
                <w:rFonts w:eastAsiaTheme="minorEastAsia"/>
                <w:snapToGrid w:val="0"/>
                <w:spacing w:val="3"/>
                <w:kern w:val="0"/>
                <w:szCs w:val="21"/>
                <w:lang w:eastAsia="en-US"/>
              </w:rPr>
              <w:t>部门</w:t>
            </w:r>
          </w:p>
        </w:tc>
        <w:tc>
          <w:tcPr>
            <w:tcW w:w="846" w:type="dxa"/>
            <w:tcBorders>
              <w:tl2br w:val="nil"/>
              <w:tr2bl w:val="nil"/>
            </w:tcBorders>
            <w:vAlign w:val="center"/>
          </w:tcPr>
          <w:p w:rsidR="002A5A5E" w:rsidRPr="00F9522B" w:rsidRDefault="00611CBA">
            <w:pPr>
              <w:widowControl/>
              <w:autoSpaceDE w:val="0"/>
              <w:autoSpaceDN w:val="0"/>
              <w:adjustRightInd w:val="0"/>
              <w:snapToGrid w:val="0"/>
              <w:jc w:val="center"/>
              <w:textAlignment w:val="baseline"/>
              <w:rPr>
                <w:rFonts w:eastAsiaTheme="minorEastAsia"/>
                <w:snapToGrid w:val="0"/>
                <w:spacing w:val="6"/>
                <w:kern w:val="0"/>
                <w:szCs w:val="21"/>
              </w:rPr>
            </w:pPr>
            <w:r w:rsidRPr="00F9522B">
              <w:rPr>
                <w:rFonts w:eastAsiaTheme="minorEastAsia"/>
                <w:snapToGrid w:val="0"/>
                <w:spacing w:val="6"/>
                <w:kern w:val="0"/>
                <w:szCs w:val="21"/>
              </w:rPr>
              <w:t>哈尔滨市呼兰生态环境局</w:t>
            </w:r>
          </w:p>
        </w:tc>
      </w:tr>
    </w:tbl>
    <w:p w:rsidR="002A5A5E" w:rsidRPr="00F9522B" w:rsidRDefault="002A5A5E">
      <w:pPr>
        <w:spacing w:line="360" w:lineRule="auto"/>
        <w:ind w:firstLineChars="200" w:firstLine="480"/>
        <w:jc w:val="center"/>
        <w:rPr>
          <w:rFonts w:eastAsiaTheme="minorEastAsia"/>
          <w:snapToGrid w:val="0"/>
          <w:kern w:val="0"/>
          <w:sz w:val="24"/>
        </w:rPr>
        <w:sectPr w:rsidR="002A5A5E" w:rsidRPr="00F9522B">
          <w:pgSz w:w="11906" w:h="16838"/>
          <w:pgMar w:top="1440" w:right="1797" w:bottom="1440" w:left="1797" w:header="851" w:footer="992" w:gutter="0"/>
          <w:cols w:space="425"/>
          <w:docGrid w:type="linesAndChars" w:linePitch="326"/>
        </w:sectPr>
      </w:pPr>
    </w:p>
    <w:p w:rsidR="002A5A5E" w:rsidRPr="00F9522B" w:rsidRDefault="00611CBA">
      <w:pPr>
        <w:spacing w:before="100" w:beforeAutospacing="1" w:after="100" w:afterAutospacing="1"/>
        <w:contextualSpacing/>
        <w:jc w:val="left"/>
        <w:outlineLvl w:val="1"/>
        <w:rPr>
          <w:rFonts w:eastAsiaTheme="minorEastAsia"/>
          <w:b/>
          <w:bCs/>
          <w:kern w:val="44"/>
          <w:sz w:val="30"/>
          <w:szCs w:val="30"/>
        </w:rPr>
      </w:pPr>
      <w:bookmarkStart w:id="173" w:name="_Toc11758579"/>
      <w:bookmarkStart w:id="174" w:name="_Toc208906254"/>
      <w:r w:rsidRPr="00F9522B">
        <w:rPr>
          <w:rFonts w:eastAsiaTheme="minorEastAsia"/>
          <w:b/>
          <w:bCs/>
          <w:kern w:val="44"/>
          <w:sz w:val="30"/>
          <w:szCs w:val="30"/>
        </w:rPr>
        <w:lastRenderedPageBreak/>
        <w:t>8.3</w:t>
      </w:r>
      <w:r w:rsidRPr="00F9522B">
        <w:rPr>
          <w:rFonts w:eastAsiaTheme="minorEastAsia"/>
          <w:b/>
          <w:bCs/>
          <w:kern w:val="44"/>
          <w:sz w:val="30"/>
          <w:szCs w:val="30"/>
        </w:rPr>
        <w:t>环境保护竣工验收</w:t>
      </w:r>
      <w:bookmarkEnd w:id="173"/>
      <w:bookmarkEnd w:id="174"/>
    </w:p>
    <w:p w:rsidR="002A5A5E" w:rsidRPr="00F9522B" w:rsidRDefault="00611CBA">
      <w:pPr>
        <w:spacing w:line="360" w:lineRule="auto"/>
        <w:ind w:firstLineChars="200" w:firstLine="480"/>
        <w:contextualSpacing/>
        <w:rPr>
          <w:rFonts w:eastAsiaTheme="minorEastAsia"/>
          <w:snapToGrid w:val="0"/>
          <w:kern w:val="0"/>
          <w:sz w:val="24"/>
        </w:rPr>
      </w:pPr>
      <w:r w:rsidRPr="00F9522B">
        <w:rPr>
          <w:rFonts w:eastAsiaTheme="minorEastAsia"/>
          <w:snapToGrid w:val="0"/>
          <w:kern w:val="0"/>
          <w:sz w:val="24"/>
        </w:rPr>
        <w:t>本项目中的污染防治措施必须与主体工程同时设计、同时施工、同时投产使用。防治污染的设施必须经原审批环境影响报告书的环境保护行政主管部门验收合格后，项目方可投入生产和使用。涉及生态恢复的验收内容需要保留本项目建设前后的影像资料。</w:t>
      </w:r>
    </w:p>
    <w:p w:rsidR="002A5A5E" w:rsidRPr="00F9522B" w:rsidRDefault="00611CBA">
      <w:pPr>
        <w:spacing w:line="360" w:lineRule="auto"/>
        <w:ind w:firstLineChars="200" w:firstLine="480"/>
        <w:contextualSpacing/>
        <w:rPr>
          <w:rFonts w:eastAsiaTheme="minorEastAsia"/>
          <w:snapToGrid w:val="0"/>
          <w:kern w:val="0"/>
          <w:sz w:val="24"/>
        </w:rPr>
        <w:sectPr w:rsidR="002A5A5E" w:rsidRPr="00F9522B">
          <w:pgSz w:w="11906" w:h="16838"/>
          <w:pgMar w:top="1440" w:right="1797" w:bottom="1440" w:left="1797" w:header="851" w:footer="992" w:gutter="0"/>
          <w:cols w:space="425"/>
          <w:docGrid w:type="linesAndChars" w:linePitch="326"/>
        </w:sectPr>
      </w:pPr>
      <w:r w:rsidRPr="00F9522B">
        <w:rPr>
          <w:rFonts w:eastAsiaTheme="minorEastAsia"/>
          <w:snapToGrid w:val="0"/>
          <w:kern w:val="0"/>
          <w:sz w:val="24"/>
        </w:rPr>
        <w:t>拟建项目建成后，环境保护措施竣工验收情况详见表</w:t>
      </w:r>
      <w:r w:rsidRPr="00F9522B">
        <w:rPr>
          <w:rFonts w:eastAsiaTheme="minorEastAsia"/>
          <w:snapToGrid w:val="0"/>
          <w:kern w:val="0"/>
          <w:sz w:val="24"/>
        </w:rPr>
        <w:t>8-3-1</w:t>
      </w:r>
      <w:r w:rsidRPr="00F9522B">
        <w:rPr>
          <w:rFonts w:eastAsiaTheme="minorEastAsia"/>
          <w:snapToGrid w:val="0"/>
          <w:kern w:val="0"/>
          <w:sz w:val="24"/>
        </w:rPr>
        <w:t>。</w:t>
      </w:r>
    </w:p>
    <w:p w:rsidR="002A5A5E" w:rsidRPr="00F9522B" w:rsidRDefault="00611CBA">
      <w:pPr>
        <w:contextualSpacing/>
        <w:jc w:val="center"/>
        <w:rPr>
          <w:rFonts w:eastAsiaTheme="minorEastAsia"/>
          <w:b/>
          <w:snapToGrid w:val="0"/>
          <w:kern w:val="0"/>
          <w:szCs w:val="21"/>
          <w:lang w:val="zh-CN"/>
        </w:rPr>
      </w:pPr>
      <w:r w:rsidRPr="00F9522B">
        <w:rPr>
          <w:rFonts w:eastAsiaTheme="minorEastAsia"/>
          <w:b/>
          <w:snapToGrid w:val="0"/>
          <w:kern w:val="0"/>
          <w:szCs w:val="21"/>
          <w:lang w:val="zh-CN"/>
        </w:rPr>
        <w:lastRenderedPageBreak/>
        <w:t>表</w:t>
      </w:r>
      <w:r w:rsidRPr="00F9522B">
        <w:rPr>
          <w:rFonts w:eastAsiaTheme="minorEastAsia"/>
          <w:b/>
          <w:snapToGrid w:val="0"/>
          <w:kern w:val="0"/>
          <w:szCs w:val="21"/>
          <w:lang w:val="zh-CN"/>
        </w:rPr>
        <w:t>8-3-1</w:t>
      </w:r>
      <w:r w:rsidRPr="00F9522B">
        <w:rPr>
          <w:rFonts w:eastAsiaTheme="minorEastAsia"/>
          <w:b/>
          <w:snapToGrid w:val="0"/>
          <w:kern w:val="0"/>
          <w:szCs w:val="21"/>
          <w:lang w:val="zh-CN"/>
        </w:rPr>
        <w:t>建设项目竣工环境保护验收一览表</w:t>
      </w:r>
    </w:p>
    <w:tbl>
      <w:tblPr>
        <w:tblW w:w="13803" w:type="dxa"/>
        <w:jc w:val="center"/>
        <w:tblBorders>
          <w:top w:val="single" w:sz="12" w:space="0" w:color="auto"/>
          <w:bottom w:val="single" w:sz="12" w:space="0" w:color="auto"/>
          <w:insideH w:val="single" w:sz="4" w:space="0" w:color="auto"/>
          <w:insideV w:val="single" w:sz="4" w:space="0" w:color="auto"/>
        </w:tblBorders>
        <w:tblLayout w:type="fixed"/>
        <w:tblLook w:val="04A0"/>
      </w:tblPr>
      <w:tblGrid>
        <w:gridCol w:w="632"/>
        <w:gridCol w:w="851"/>
        <w:gridCol w:w="1275"/>
        <w:gridCol w:w="8931"/>
        <w:gridCol w:w="2055"/>
        <w:gridCol w:w="59"/>
      </w:tblGrid>
      <w:tr w:rsidR="002A5A5E" w:rsidRPr="00F9522B" w:rsidTr="00DF4161">
        <w:trPr>
          <w:trHeight w:val="25"/>
          <w:jc w:val="center"/>
        </w:trPr>
        <w:tc>
          <w:tcPr>
            <w:tcW w:w="632" w:type="dxa"/>
            <w:tcMar>
              <w:left w:w="0" w:type="dxa"/>
              <w:right w:w="0" w:type="dxa"/>
            </w:tcMar>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时序</w:t>
            </w:r>
          </w:p>
        </w:tc>
        <w:tc>
          <w:tcPr>
            <w:tcW w:w="851" w:type="dxa"/>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污染源</w:t>
            </w:r>
          </w:p>
        </w:tc>
        <w:tc>
          <w:tcPr>
            <w:tcW w:w="1275" w:type="dxa"/>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项目</w:t>
            </w:r>
          </w:p>
        </w:tc>
        <w:tc>
          <w:tcPr>
            <w:tcW w:w="8931" w:type="dxa"/>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治理措施</w:t>
            </w:r>
          </w:p>
        </w:tc>
        <w:tc>
          <w:tcPr>
            <w:tcW w:w="2114" w:type="dxa"/>
            <w:gridSpan w:val="2"/>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验收标准</w:t>
            </w:r>
          </w:p>
        </w:tc>
      </w:tr>
      <w:tr w:rsidR="002A5A5E" w:rsidRPr="00F9522B" w:rsidTr="00DF4161">
        <w:trPr>
          <w:trHeight w:val="25"/>
          <w:jc w:val="center"/>
        </w:trPr>
        <w:tc>
          <w:tcPr>
            <w:tcW w:w="632" w:type="dxa"/>
            <w:vMerge w:val="restart"/>
            <w:tcMar>
              <w:left w:w="0" w:type="dxa"/>
              <w:right w:w="0" w:type="dxa"/>
            </w:tcMar>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施工期</w:t>
            </w:r>
          </w:p>
        </w:tc>
        <w:tc>
          <w:tcPr>
            <w:tcW w:w="851" w:type="dxa"/>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生活污水</w:t>
            </w:r>
          </w:p>
        </w:tc>
        <w:tc>
          <w:tcPr>
            <w:tcW w:w="1275" w:type="dxa"/>
            <w:vAlign w:val="center"/>
          </w:tcPr>
          <w:p w:rsidR="002A5A5E" w:rsidRPr="00F9522B" w:rsidRDefault="00611CBA">
            <w:pPr>
              <w:spacing w:line="0" w:lineRule="atLeast"/>
              <w:jc w:val="center"/>
              <w:rPr>
                <w:rFonts w:eastAsiaTheme="minorEastAsia"/>
                <w:szCs w:val="21"/>
              </w:rPr>
            </w:pPr>
            <w:r w:rsidRPr="00F9522B">
              <w:rPr>
                <w:rFonts w:eastAsiaTheme="minorEastAsia"/>
                <w:bCs/>
                <w:szCs w:val="21"/>
              </w:rPr>
              <w:t>COD</w:t>
            </w:r>
            <w:r w:rsidRPr="00F9522B">
              <w:rPr>
                <w:rFonts w:eastAsiaTheme="minorEastAsia"/>
                <w:bCs/>
                <w:szCs w:val="21"/>
              </w:rPr>
              <w:t>、氨氮、</w:t>
            </w:r>
            <w:r w:rsidRPr="00F9522B">
              <w:rPr>
                <w:rFonts w:eastAsiaTheme="minorEastAsia"/>
                <w:bCs/>
                <w:szCs w:val="21"/>
              </w:rPr>
              <w:t>pH</w:t>
            </w:r>
            <w:r w:rsidRPr="00F9522B">
              <w:rPr>
                <w:rFonts w:eastAsiaTheme="minorEastAsia"/>
                <w:bCs/>
                <w:szCs w:val="21"/>
              </w:rPr>
              <w:t>、</w:t>
            </w:r>
            <w:r w:rsidRPr="00F9522B">
              <w:rPr>
                <w:rFonts w:eastAsiaTheme="minorEastAsia"/>
                <w:bCs/>
                <w:szCs w:val="21"/>
              </w:rPr>
              <w:t>SS</w:t>
            </w:r>
            <w:r w:rsidRPr="00F9522B">
              <w:rPr>
                <w:rFonts w:eastAsiaTheme="minorEastAsia"/>
                <w:bCs/>
                <w:szCs w:val="21"/>
              </w:rPr>
              <w:t>、</w:t>
            </w:r>
            <w:r w:rsidRPr="00F9522B">
              <w:rPr>
                <w:rFonts w:eastAsiaTheme="minorEastAsia"/>
                <w:bCs/>
                <w:szCs w:val="21"/>
              </w:rPr>
              <w:t>BOD</w:t>
            </w:r>
            <w:r w:rsidRPr="00F9522B">
              <w:rPr>
                <w:rFonts w:eastAsiaTheme="minorEastAsia"/>
                <w:bCs/>
                <w:szCs w:val="21"/>
                <w:vertAlign w:val="subscript"/>
              </w:rPr>
              <w:t>5</w:t>
            </w:r>
          </w:p>
        </w:tc>
        <w:tc>
          <w:tcPr>
            <w:tcW w:w="8931" w:type="dxa"/>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生活污水排入依托民房防渗旱厕，定期清掏，外运堆肥，不外排</w:t>
            </w:r>
          </w:p>
        </w:tc>
        <w:tc>
          <w:tcPr>
            <w:tcW w:w="2114" w:type="dxa"/>
            <w:gridSpan w:val="2"/>
            <w:vAlign w:val="center"/>
          </w:tcPr>
          <w:p w:rsidR="002A5A5E" w:rsidRPr="00F9522B" w:rsidRDefault="00611CBA">
            <w:pPr>
              <w:spacing w:line="0" w:lineRule="atLeast"/>
              <w:jc w:val="center"/>
              <w:rPr>
                <w:rFonts w:eastAsiaTheme="minorEastAsia"/>
                <w:szCs w:val="21"/>
              </w:rPr>
            </w:pPr>
            <w:r w:rsidRPr="00F9522B">
              <w:rPr>
                <w:rFonts w:eastAsiaTheme="minorEastAsia"/>
                <w:bCs/>
                <w:szCs w:val="21"/>
              </w:rPr>
              <w:t>/</w:t>
            </w:r>
          </w:p>
        </w:tc>
      </w:tr>
      <w:tr w:rsidR="002A5A5E" w:rsidRPr="00F9522B" w:rsidTr="00DF4161">
        <w:trPr>
          <w:trHeight w:val="25"/>
          <w:jc w:val="center"/>
        </w:trPr>
        <w:tc>
          <w:tcPr>
            <w:tcW w:w="632" w:type="dxa"/>
            <w:vMerge/>
            <w:tcMar>
              <w:left w:w="0" w:type="dxa"/>
              <w:right w:w="0" w:type="dxa"/>
            </w:tcMar>
            <w:vAlign w:val="center"/>
          </w:tcPr>
          <w:p w:rsidR="002A5A5E" w:rsidRPr="00F9522B" w:rsidRDefault="002A5A5E">
            <w:pPr>
              <w:spacing w:line="0" w:lineRule="atLeast"/>
              <w:jc w:val="center"/>
              <w:rPr>
                <w:rFonts w:eastAsiaTheme="minorEastAsia"/>
                <w:szCs w:val="21"/>
              </w:rPr>
            </w:pPr>
          </w:p>
        </w:tc>
        <w:tc>
          <w:tcPr>
            <w:tcW w:w="851" w:type="dxa"/>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施工废水</w:t>
            </w:r>
          </w:p>
        </w:tc>
        <w:tc>
          <w:tcPr>
            <w:tcW w:w="1275" w:type="dxa"/>
            <w:vAlign w:val="center"/>
          </w:tcPr>
          <w:p w:rsidR="002A5A5E" w:rsidRPr="00F9522B" w:rsidRDefault="00611CBA">
            <w:pPr>
              <w:spacing w:line="0" w:lineRule="atLeast"/>
              <w:jc w:val="center"/>
              <w:rPr>
                <w:rFonts w:eastAsiaTheme="minorEastAsia"/>
                <w:bCs/>
                <w:szCs w:val="21"/>
              </w:rPr>
            </w:pPr>
            <w:r w:rsidRPr="00F9522B">
              <w:rPr>
                <w:rFonts w:eastAsiaTheme="minorEastAsia"/>
                <w:szCs w:val="21"/>
              </w:rPr>
              <w:t>SS</w:t>
            </w:r>
          </w:p>
        </w:tc>
        <w:tc>
          <w:tcPr>
            <w:tcW w:w="8931" w:type="dxa"/>
            <w:vAlign w:val="center"/>
          </w:tcPr>
          <w:p w:rsidR="002A5A5E" w:rsidRPr="00F9522B" w:rsidRDefault="00611CBA" w:rsidP="0061289D">
            <w:pPr>
              <w:spacing w:line="0" w:lineRule="atLeast"/>
              <w:jc w:val="center"/>
              <w:rPr>
                <w:rFonts w:eastAsiaTheme="minorEastAsia"/>
                <w:szCs w:val="21"/>
              </w:rPr>
            </w:pPr>
            <w:r w:rsidRPr="00F9522B">
              <w:rPr>
                <w:rFonts w:eastAsiaTheme="minorEastAsia"/>
                <w:szCs w:val="21"/>
              </w:rPr>
              <w:t>洗井废水用于洒水降尘；</w:t>
            </w:r>
            <w:r w:rsidRPr="00F9522B">
              <w:rPr>
                <w:rFonts w:eastAsiaTheme="minorEastAsia"/>
              </w:rPr>
              <w:t>钻井泥浆循环利用，</w:t>
            </w:r>
            <w:r w:rsidRPr="00F9522B">
              <w:rPr>
                <w:rFonts w:eastAsiaTheme="minorEastAsia"/>
                <w:color w:val="FF0000"/>
                <w:szCs w:val="22"/>
              </w:rPr>
              <w:t>废泥浆</w:t>
            </w:r>
            <w:r w:rsidRPr="00F9522B">
              <w:rPr>
                <w:rFonts w:eastAsiaTheme="minorEastAsia"/>
                <w:color w:val="FF0000"/>
              </w:rPr>
              <w:t>暂存于施工场地</w:t>
            </w:r>
            <w:r w:rsidR="0009673A" w:rsidRPr="00F9522B">
              <w:rPr>
                <w:rFonts w:eastAsiaTheme="minorEastAsia"/>
                <w:color w:val="FF0000"/>
              </w:rPr>
              <w:t>5</w:t>
            </w:r>
            <w:r w:rsidR="0009673A" w:rsidRPr="00F9522B">
              <w:rPr>
                <w:rFonts w:eastAsiaTheme="minorEastAsia"/>
                <w:color w:val="FF0000"/>
              </w:rPr>
              <w:t>个</w:t>
            </w:r>
            <w:r w:rsidR="0009673A" w:rsidRPr="00F9522B">
              <w:rPr>
                <w:rFonts w:eastAsiaTheme="minorEastAsia"/>
                <w:color w:val="FF0000"/>
              </w:rPr>
              <w:t>2</w:t>
            </w:r>
            <w:r w:rsidRPr="00F9522B">
              <w:rPr>
                <w:rFonts w:eastAsiaTheme="minorEastAsia"/>
                <w:color w:val="FF0000"/>
              </w:rPr>
              <w:t>0</w:t>
            </w:r>
            <w:r w:rsidRPr="00F9522B">
              <w:rPr>
                <w:rFonts w:eastAsiaTheme="minorEastAsia"/>
                <w:color w:val="FF0000"/>
                <w:szCs w:val="22"/>
              </w:rPr>
              <w:t>m</w:t>
            </w:r>
            <w:r w:rsidRPr="00F9522B">
              <w:rPr>
                <w:rFonts w:eastAsiaTheme="minorEastAsia"/>
                <w:color w:val="FF0000"/>
                <w:szCs w:val="22"/>
                <w:vertAlign w:val="superscript"/>
              </w:rPr>
              <w:t>3</w:t>
            </w:r>
            <w:r w:rsidRPr="00F9522B">
              <w:rPr>
                <w:rFonts w:eastAsiaTheme="minorEastAsia"/>
                <w:color w:val="FF0000"/>
              </w:rPr>
              <w:t>移动式不锈钢沉淀池内</w:t>
            </w:r>
            <w:r w:rsidRPr="00F9522B">
              <w:rPr>
                <w:rFonts w:eastAsiaTheme="minorEastAsia"/>
              </w:rPr>
              <w:t>，沉淀后上层清水用于洒水降尘，下层钻井</w:t>
            </w:r>
            <w:r w:rsidRPr="00F9522B">
              <w:rPr>
                <w:rFonts w:eastAsiaTheme="minorEastAsia"/>
                <w:bCs/>
              </w:rPr>
              <w:t>泥浆自然干化后用于周围路面平整</w:t>
            </w:r>
            <w:r w:rsidRPr="00F9522B">
              <w:rPr>
                <w:rFonts w:eastAsiaTheme="minorEastAsia"/>
                <w:szCs w:val="21"/>
              </w:rPr>
              <w:t>；</w:t>
            </w:r>
            <w:r w:rsidRPr="00F9522B">
              <w:rPr>
                <w:rFonts w:eastAsiaTheme="minorEastAsia"/>
                <w:bCs/>
                <w:szCs w:val="21"/>
              </w:rPr>
              <w:t>清淤工程污泥沥水与排水沟内水质基本一致，排入排水沟内</w:t>
            </w:r>
          </w:p>
        </w:tc>
        <w:tc>
          <w:tcPr>
            <w:tcW w:w="2114" w:type="dxa"/>
            <w:gridSpan w:val="2"/>
            <w:vAlign w:val="center"/>
          </w:tcPr>
          <w:p w:rsidR="002A5A5E" w:rsidRPr="00F9522B" w:rsidRDefault="00611CBA">
            <w:pPr>
              <w:spacing w:line="0" w:lineRule="atLeast"/>
              <w:jc w:val="center"/>
              <w:rPr>
                <w:rFonts w:eastAsiaTheme="minorEastAsia"/>
                <w:bCs/>
                <w:szCs w:val="21"/>
              </w:rPr>
            </w:pPr>
            <w:r w:rsidRPr="00F9522B">
              <w:rPr>
                <w:rFonts w:eastAsiaTheme="minorEastAsia"/>
                <w:bCs/>
                <w:szCs w:val="21"/>
              </w:rPr>
              <w:t>/</w:t>
            </w:r>
          </w:p>
        </w:tc>
      </w:tr>
      <w:tr w:rsidR="002A5A5E" w:rsidRPr="00F9522B" w:rsidTr="00DF4161">
        <w:trPr>
          <w:trHeight w:val="25"/>
          <w:jc w:val="center"/>
        </w:trPr>
        <w:tc>
          <w:tcPr>
            <w:tcW w:w="632" w:type="dxa"/>
            <w:vMerge/>
            <w:tcMar>
              <w:left w:w="0" w:type="dxa"/>
              <w:right w:w="0" w:type="dxa"/>
            </w:tcMar>
            <w:vAlign w:val="center"/>
          </w:tcPr>
          <w:p w:rsidR="002A5A5E" w:rsidRPr="00F9522B" w:rsidRDefault="002A5A5E">
            <w:pPr>
              <w:spacing w:line="0" w:lineRule="atLeast"/>
              <w:jc w:val="center"/>
              <w:rPr>
                <w:rFonts w:eastAsiaTheme="minorEastAsia"/>
                <w:szCs w:val="21"/>
              </w:rPr>
            </w:pPr>
          </w:p>
        </w:tc>
        <w:tc>
          <w:tcPr>
            <w:tcW w:w="851" w:type="dxa"/>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噪声</w:t>
            </w:r>
          </w:p>
        </w:tc>
        <w:tc>
          <w:tcPr>
            <w:tcW w:w="1275" w:type="dxa"/>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施工</w:t>
            </w:r>
            <w:r w:rsidRPr="00F9522B">
              <w:rPr>
                <w:rFonts w:eastAsiaTheme="minorEastAsia"/>
                <w:snapToGrid w:val="0"/>
                <w:szCs w:val="21"/>
                <w:lang w:val="zh-CN"/>
              </w:rPr>
              <w:t>机械</w:t>
            </w:r>
            <w:r w:rsidRPr="00F9522B">
              <w:rPr>
                <w:rFonts w:eastAsiaTheme="minorEastAsia"/>
                <w:szCs w:val="21"/>
              </w:rPr>
              <w:t>噪声、运输噪声</w:t>
            </w:r>
          </w:p>
        </w:tc>
        <w:tc>
          <w:tcPr>
            <w:tcW w:w="8931" w:type="dxa"/>
            <w:vAlign w:val="center"/>
          </w:tcPr>
          <w:p w:rsidR="002A5A5E" w:rsidRPr="00F9522B" w:rsidRDefault="00611CBA">
            <w:pPr>
              <w:adjustRightInd w:val="0"/>
              <w:snapToGrid w:val="0"/>
              <w:jc w:val="center"/>
              <w:rPr>
                <w:rFonts w:eastAsiaTheme="minorEastAsia"/>
                <w:snapToGrid w:val="0"/>
                <w:kern w:val="0"/>
                <w:szCs w:val="21"/>
              </w:rPr>
            </w:pPr>
            <w:r w:rsidRPr="00F9522B">
              <w:rPr>
                <w:rFonts w:eastAsiaTheme="minorEastAsia"/>
              </w:rPr>
              <w:t>在</w:t>
            </w:r>
            <w:r w:rsidRPr="00F9522B">
              <w:rPr>
                <w:rFonts w:eastAsiaTheme="minorEastAsia"/>
              </w:rPr>
              <w:t>10m</w:t>
            </w:r>
            <w:r w:rsidRPr="00F9522B">
              <w:rPr>
                <w:rFonts w:eastAsiaTheme="minorEastAsia"/>
              </w:rPr>
              <w:t>以内分布有居民（</w:t>
            </w:r>
            <w:r w:rsidR="007A5D2B" w:rsidRPr="00F9522B">
              <w:rPr>
                <w:rFonts w:eastAsiaTheme="minorEastAsia"/>
              </w:rPr>
              <w:t>八里荒、榆树村、黄家窝堡等村屯，共</w:t>
            </w:r>
            <w:r w:rsidR="007A5D2B" w:rsidRPr="00F9522B">
              <w:rPr>
                <w:rFonts w:eastAsiaTheme="minorEastAsia"/>
              </w:rPr>
              <w:t>25</w:t>
            </w:r>
            <w:r w:rsidR="007A5D2B" w:rsidRPr="00F9522B">
              <w:rPr>
                <w:rFonts w:eastAsiaTheme="minorEastAsia"/>
              </w:rPr>
              <w:t>处</w:t>
            </w:r>
            <w:r w:rsidRPr="00F9522B">
              <w:rPr>
                <w:rFonts w:eastAsiaTheme="minorEastAsia"/>
              </w:rPr>
              <w:t>，具体村屯名称</w:t>
            </w:r>
            <w:r w:rsidR="00660C23" w:rsidRPr="00F9522B">
              <w:rPr>
                <w:rFonts w:eastAsiaTheme="minorEastAsia"/>
              </w:rPr>
              <w:t>见表</w:t>
            </w:r>
            <w:r w:rsidR="00660C23" w:rsidRPr="00F9522B">
              <w:rPr>
                <w:rFonts w:eastAsiaTheme="minorEastAsia"/>
              </w:rPr>
              <w:t>2-8-1</w:t>
            </w:r>
            <w:r w:rsidRPr="00F9522B">
              <w:rPr>
                <w:rFonts w:eastAsiaTheme="minorEastAsia"/>
              </w:rPr>
              <w:t>）的灌溉与排水、田间道路、涵洞等建筑物、</w:t>
            </w:r>
            <w:r w:rsidRPr="00F9522B">
              <w:rPr>
                <w:rFonts w:eastAsiaTheme="minorEastAsia"/>
                <w:bCs/>
              </w:rPr>
              <w:t>输配电</w:t>
            </w:r>
            <w:r w:rsidRPr="00F9522B">
              <w:rPr>
                <w:rFonts w:eastAsiaTheme="minorEastAsia"/>
              </w:rPr>
              <w:t>工程处设置双层移动隔声屏障，高度为</w:t>
            </w:r>
            <w:r w:rsidRPr="00F9522B">
              <w:rPr>
                <w:rFonts w:eastAsiaTheme="minorEastAsia"/>
              </w:rPr>
              <w:t>2m</w:t>
            </w:r>
            <w:r w:rsidRPr="00F9522B">
              <w:rPr>
                <w:rFonts w:eastAsiaTheme="minorEastAsia"/>
              </w:rPr>
              <w:t>，长度超出敏感目标两侧各</w:t>
            </w:r>
            <w:r w:rsidRPr="00F9522B">
              <w:rPr>
                <w:rFonts w:eastAsiaTheme="minorEastAsia"/>
              </w:rPr>
              <w:t>10m</w:t>
            </w:r>
            <w:r w:rsidRPr="00F9522B">
              <w:rPr>
                <w:rFonts w:eastAsiaTheme="minorEastAsia"/>
                <w:szCs w:val="21"/>
              </w:rPr>
              <w:t>；施工机械和车辆进行维护保养；运输车辆在经过沿线村屯时采取减速慢行、禁止鸣笛等管理措施，</w:t>
            </w:r>
            <w:r w:rsidRPr="00F9522B">
              <w:rPr>
                <w:rFonts w:eastAsiaTheme="minorEastAsia"/>
                <w:bCs/>
                <w:szCs w:val="21"/>
              </w:rPr>
              <w:t>控制车速不超过</w:t>
            </w:r>
            <w:r w:rsidRPr="00F9522B">
              <w:rPr>
                <w:rFonts w:eastAsiaTheme="minorEastAsia"/>
                <w:bCs/>
                <w:szCs w:val="21"/>
              </w:rPr>
              <w:t>20km/h</w:t>
            </w:r>
            <w:r w:rsidRPr="00F9522B">
              <w:rPr>
                <w:rFonts w:eastAsiaTheme="minorEastAsia"/>
                <w:szCs w:val="21"/>
              </w:rPr>
              <w:t>；合理布置施工现场，尽量让高噪声设备远离敏感点一侧布置。加强施工期环境管理，尽量避免高噪声机械设备集中使用或几台声功率相同的设备同时、同点作业，以减少作业时的噪声声级。合理安排施工作业时间，禁止夜间（</w:t>
            </w:r>
            <w:r w:rsidRPr="00F9522B">
              <w:rPr>
                <w:rFonts w:eastAsiaTheme="minorEastAsia"/>
                <w:szCs w:val="21"/>
              </w:rPr>
              <w:t>22:00-6:00</w:t>
            </w:r>
            <w:r w:rsidRPr="00F9522B">
              <w:rPr>
                <w:rFonts w:eastAsiaTheme="minorEastAsia"/>
                <w:szCs w:val="21"/>
              </w:rPr>
              <w:t>）施工；</w:t>
            </w:r>
            <w:r w:rsidRPr="00F9522B">
              <w:rPr>
                <w:rFonts w:eastAsiaTheme="minorEastAsia"/>
                <w:bCs/>
                <w:szCs w:val="21"/>
              </w:rPr>
              <w:t>加强施工期噪声监测，确保声环境功能区达标</w:t>
            </w:r>
          </w:p>
        </w:tc>
        <w:tc>
          <w:tcPr>
            <w:tcW w:w="2114" w:type="dxa"/>
            <w:gridSpan w:val="2"/>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《建筑施工噪声排放标准》（</w:t>
            </w:r>
            <w:r w:rsidRPr="00F9522B">
              <w:rPr>
                <w:rFonts w:eastAsiaTheme="minorEastAsia"/>
                <w:szCs w:val="21"/>
              </w:rPr>
              <w:t>GB12523-2025</w:t>
            </w:r>
            <w:r w:rsidRPr="00F9522B">
              <w:rPr>
                <w:rFonts w:eastAsiaTheme="minorEastAsia"/>
                <w:szCs w:val="21"/>
              </w:rPr>
              <w:t>）</w:t>
            </w:r>
          </w:p>
        </w:tc>
      </w:tr>
      <w:tr w:rsidR="002A5A5E" w:rsidRPr="00F9522B" w:rsidTr="00DF4161">
        <w:trPr>
          <w:trHeight w:val="25"/>
          <w:jc w:val="center"/>
        </w:trPr>
        <w:tc>
          <w:tcPr>
            <w:tcW w:w="632" w:type="dxa"/>
            <w:vMerge/>
            <w:tcMar>
              <w:left w:w="0" w:type="dxa"/>
              <w:right w:w="0" w:type="dxa"/>
            </w:tcMar>
            <w:vAlign w:val="center"/>
          </w:tcPr>
          <w:p w:rsidR="002A5A5E" w:rsidRPr="00F9522B" w:rsidRDefault="002A5A5E">
            <w:pPr>
              <w:spacing w:line="0" w:lineRule="atLeast"/>
              <w:jc w:val="center"/>
              <w:rPr>
                <w:rFonts w:eastAsiaTheme="minorEastAsia"/>
                <w:szCs w:val="21"/>
              </w:rPr>
            </w:pPr>
          </w:p>
        </w:tc>
        <w:tc>
          <w:tcPr>
            <w:tcW w:w="851" w:type="dxa"/>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固废</w:t>
            </w:r>
          </w:p>
        </w:tc>
        <w:tc>
          <w:tcPr>
            <w:tcW w:w="1275" w:type="dxa"/>
            <w:vAlign w:val="center"/>
          </w:tcPr>
          <w:p w:rsidR="002A5A5E" w:rsidRPr="00F9522B" w:rsidRDefault="00611CBA">
            <w:pPr>
              <w:pStyle w:val="aff7"/>
              <w:spacing w:line="0" w:lineRule="atLeast"/>
              <w:rPr>
                <w:rFonts w:eastAsiaTheme="minorEastAsia" w:hAnsi="Times New Roman"/>
                <w:snapToGrid w:val="0"/>
                <w:kern w:val="0"/>
              </w:rPr>
            </w:pPr>
            <w:r w:rsidRPr="00F9522B">
              <w:rPr>
                <w:rFonts w:eastAsiaTheme="minorEastAsia" w:hAnsi="Times New Roman"/>
                <w:snapToGrid w:val="0"/>
                <w:kern w:val="0"/>
              </w:rPr>
              <w:t>建筑废物、生活垃圾、土石方、淤泥、</w:t>
            </w:r>
            <w:r w:rsidRPr="00F9522B">
              <w:rPr>
                <w:rFonts w:eastAsiaTheme="minorEastAsia" w:hAnsi="Times New Roman"/>
              </w:rPr>
              <w:t>废肥料包装袋</w:t>
            </w:r>
          </w:p>
        </w:tc>
        <w:tc>
          <w:tcPr>
            <w:tcW w:w="8931" w:type="dxa"/>
            <w:vAlign w:val="center"/>
          </w:tcPr>
          <w:p w:rsidR="002A5A5E" w:rsidRPr="00F9522B" w:rsidRDefault="00611CBA" w:rsidP="004C69F2">
            <w:pPr>
              <w:pStyle w:val="aff7"/>
              <w:spacing w:line="0" w:lineRule="atLeast"/>
              <w:rPr>
                <w:rFonts w:eastAsiaTheme="minorEastAsia" w:hAnsi="Times New Roman"/>
                <w:bCs/>
              </w:rPr>
            </w:pPr>
            <w:r w:rsidRPr="00F9522B">
              <w:rPr>
                <w:rFonts w:eastAsiaTheme="minorEastAsia" w:hAnsi="Times New Roman"/>
              </w:rPr>
              <w:t>建筑垃圾大部分用于</w:t>
            </w:r>
            <w:r w:rsidRPr="00F9522B">
              <w:rPr>
                <w:rFonts w:eastAsiaTheme="minorEastAsia" w:hAnsi="Times New Roman"/>
                <w:snapToGrid w:val="0"/>
                <w:kern w:val="0"/>
              </w:rPr>
              <w:t>田块整治工程，剩余送至建筑公司回用</w:t>
            </w:r>
            <w:r w:rsidRPr="00F9522B">
              <w:rPr>
                <w:rFonts w:eastAsiaTheme="minorEastAsia" w:hAnsi="Times New Roman"/>
              </w:rPr>
              <w:t>；钻井泥浆循环利用，</w:t>
            </w:r>
            <w:r w:rsidRPr="00F9522B">
              <w:rPr>
                <w:rFonts w:eastAsiaTheme="minorEastAsia" w:hAnsi="Times New Roman"/>
                <w:szCs w:val="22"/>
              </w:rPr>
              <w:t>废泥浆</w:t>
            </w:r>
            <w:r w:rsidRPr="00F9522B">
              <w:rPr>
                <w:rFonts w:eastAsiaTheme="minorEastAsia" w:hAnsi="Times New Roman"/>
              </w:rPr>
              <w:t>暂存于施工场地</w:t>
            </w:r>
            <w:r w:rsidR="0009673A" w:rsidRPr="00F9522B">
              <w:rPr>
                <w:rFonts w:eastAsiaTheme="minorEastAsia" w:hAnsi="Times New Roman"/>
              </w:rPr>
              <w:t>5</w:t>
            </w:r>
            <w:r w:rsidR="0009673A" w:rsidRPr="00F9522B">
              <w:rPr>
                <w:rFonts w:eastAsiaTheme="minorEastAsia" w:hAnsi="Times New Roman"/>
              </w:rPr>
              <w:t>个</w:t>
            </w:r>
            <w:r w:rsidR="0009673A" w:rsidRPr="00F9522B">
              <w:rPr>
                <w:rFonts w:eastAsiaTheme="minorEastAsia" w:hAnsi="Times New Roman"/>
              </w:rPr>
              <w:t>2</w:t>
            </w:r>
            <w:r w:rsidRPr="00F9522B">
              <w:rPr>
                <w:rFonts w:eastAsiaTheme="minorEastAsia" w:hAnsi="Times New Roman"/>
              </w:rPr>
              <w:t>0</w:t>
            </w:r>
            <w:r w:rsidRPr="00F9522B">
              <w:rPr>
                <w:rFonts w:eastAsiaTheme="minorEastAsia" w:hAnsi="Times New Roman"/>
                <w:szCs w:val="22"/>
              </w:rPr>
              <w:t>m</w:t>
            </w:r>
            <w:r w:rsidRPr="00F9522B">
              <w:rPr>
                <w:rFonts w:eastAsiaTheme="minorEastAsia" w:hAnsi="Times New Roman"/>
                <w:szCs w:val="22"/>
                <w:vertAlign w:val="superscript"/>
              </w:rPr>
              <w:t>3</w:t>
            </w:r>
            <w:r w:rsidRPr="00F9522B">
              <w:rPr>
                <w:rFonts w:eastAsiaTheme="minorEastAsia" w:hAnsi="Times New Roman"/>
              </w:rPr>
              <w:t>移动式不锈钢沉淀池内，沉淀后上层清水用于洒水降尘，下层钻井</w:t>
            </w:r>
            <w:r w:rsidRPr="00F9522B">
              <w:rPr>
                <w:rFonts w:eastAsiaTheme="minorEastAsia" w:hAnsi="Times New Roman"/>
                <w:bCs/>
              </w:rPr>
              <w:t>泥浆自然干化后用于周围路面平整</w:t>
            </w:r>
            <w:r w:rsidRPr="00F9522B">
              <w:rPr>
                <w:rFonts w:eastAsiaTheme="minorEastAsia" w:hAnsi="Times New Roman"/>
              </w:rPr>
              <w:t>；</w:t>
            </w:r>
            <w:r w:rsidRPr="00F9522B">
              <w:rPr>
                <w:rFonts w:eastAsiaTheme="minorEastAsia" w:hAnsi="Times New Roman"/>
                <w:snapToGrid w:val="0"/>
                <w:kern w:val="0"/>
              </w:rPr>
              <w:t>表土全部用于临时工程土地恢复及田块整治工程；施工人员产生的生活垃圾集中收集后由市政环卫部门统一清运处置</w:t>
            </w:r>
            <w:r w:rsidRPr="00F9522B">
              <w:rPr>
                <w:rFonts w:eastAsiaTheme="minorEastAsia" w:hAnsi="Times New Roman"/>
              </w:rPr>
              <w:t>；</w:t>
            </w:r>
            <w:r w:rsidR="004C69F2" w:rsidRPr="004C69F2">
              <w:rPr>
                <w:rFonts w:eastAsiaTheme="minorEastAsia" w:hAnsi="Times New Roman"/>
                <w:color w:val="FF0000"/>
              </w:rPr>
              <w:t>排水沟淤泥</w:t>
            </w:r>
            <w:r w:rsidR="004C69F2" w:rsidRPr="004C69F2">
              <w:rPr>
                <w:rFonts w:eastAsiaTheme="minorEastAsia" w:hAnsi="Times New Roman"/>
                <w:bCs/>
                <w:color w:val="FF0000"/>
              </w:rPr>
              <w:t>培至工程附近</w:t>
            </w:r>
            <w:r w:rsidR="004C69F2" w:rsidRPr="004C69F2">
              <w:rPr>
                <w:rFonts w:eastAsiaTheme="minorEastAsia" w:hAnsi="Times New Roman"/>
                <w:bCs/>
                <w:color w:val="FF0000"/>
              </w:rPr>
              <w:t>200</w:t>
            </w:r>
            <w:r w:rsidR="004C69F2" w:rsidRPr="004C69F2">
              <w:rPr>
                <w:rFonts w:eastAsiaTheme="minorEastAsia" w:hAnsi="Times New Roman"/>
                <w:bCs/>
                <w:color w:val="FF0000"/>
              </w:rPr>
              <w:t>米范围内无环境保护目标的排水沟两侧（避开南城李、方台镇、宋家村等</w:t>
            </w:r>
            <w:r w:rsidR="004C69F2" w:rsidRPr="004C69F2">
              <w:rPr>
                <w:rFonts w:eastAsiaTheme="minorEastAsia" w:hAnsi="Times New Roman"/>
                <w:bCs/>
                <w:color w:val="FF0000"/>
              </w:rPr>
              <w:t>33</w:t>
            </w:r>
            <w:r w:rsidR="004C69F2" w:rsidRPr="004C69F2">
              <w:rPr>
                <w:rFonts w:eastAsiaTheme="minorEastAsia" w:hAnsi="Times New Roman"/>
                <w:bCs/>
                <w:color w:val="FF0000"/>
              </w:rPr>
              <w:t>个村屯，具体见表</w:t>
            </w:r>
            <w:r w:rsidR="004C69F2" w:rsidRPr="004C69F2">
              <w:rPr>
                <w:rFonts w:eastAsiaTheme="minorEastAsia" w:hAnsi="Times New Roman"/>
                <w:bCs/>
                <w:color w:val="FF0000"/>
              </w:rPr>
              <w:t>2-8-2</w:t>
            </w:r>
            <w:r w:rsidR="004C69F2" w:rsidRPr="004C69F2">
              <w:rPr>
                <w:rFonts w:eastAsiaTheme="minorEastAsia" w:hAnsi="Times New Roman"/>
                <w:bCs/>
                <w:color w:val="FF0000"/>
              </w:rPr>
              <w:t>）</w:t>
            </w:r>
            <w:r w:rsidRPr="00F9522B">
              <w:rPr>
                <w:rFonts w:eastAsiaTheme="minorEastAsia" w:hAnsi="Times New Roman"/>
                <w:bCs/>
              </w:rPr>
              <w:t>；</w:t>
            </w:r>
            <w:r w:rsidRPr="00F9522B">
              <w:rPr>
                <w:rFonts w:eastAsiaTheme="minorEastAsia" w:hAnsi="Times New Roman"/>
              </w:rPr>
              <w:t>废肥料包装袋外售废品收购站</w:t>
            </w:r>
          </w:p>
        </w:tc>
        <w:tc>
          <w:tcPr>
            <w:tcW w:w="2114" w:type="dxa"/>
            <w:gridSpan w:val="2"/>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100%</w:t>
            </w:r>
            <w:r w:rsidRPr="00F9522B">
              <w:rPr>
                <w:rFonts w:eastAsiaTheme="minorEastAsia"/>
                <w:szCs w:val="21"/>
              </w:rPr>
              <w:t>处置</w:t>
            </w:r>
          </w:p>
        </w:tc>
      </w:tr>
      <w:tr w:rsidR="002A5A5E" w:rsidRPr="00F9522B" w:rsidTr="00DF4161">
        <w:trPr>
          <w:trHeight w:val="25"/>
          <w:jc w:val="center"/>
        </w:trPr>
        <w:tc>
          <w:tcPr>
            <w:tcW w:w="632" w:type="dxa"/>
            <w:vMerge/>
            <w:tcMar>
              <w:left w:w="0" w:type="dxa"/>
              <w:right w:w="0" w:type="dxa"/>
            </w:tcMar>
            <w:vAlign w:val="center"/>
          </w:tcPr>
          <w:p w:rsidR="002A5A5E" w:rsidRPr="00F9522B" w:rsidRDefault="002A5A5E">
            <w:pPr>
              <w:spacing w:line="0" w:lineRule="atLeast"/>
              <w:jc w:val="center"/>
              <w:rPr>
                <w:rFonts w:eastAsiaTheme="minorEastAsia"/>
                <w:szCs w:val="21"/>
              </w:rPr>
            </w:pPr>
          </w:p>
        </w:tc>
        <w:tc>
          <w:tcPr>
            <w:tcW w:w="851" w:type="dxa"/>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施工扬尘、燃油废气</w:t>
            </w:r>
          </w:p>
        </w:tc>
        <w:tc>
          <w:tcPr>
            <w:tcW w:w="1275" w:type="dxa"/>
            <w:vAlign w:val="center"/>
          </w:tcPr>
          <w:p w:rsidR="002A5A5E" w:rsidRPr="00F9522B" w:rsidRDefault="00611CBA">
            <w:pPr>
              <w:spacing w:line="0" w:lineRule="atLeast"/>
              <w:jc w:val="center"/>
              <w:rPr>
                <w:rFonts w:eastAsiaTheme="minorEastAsia"/>
                <w:bCs/>
                <w:szCs w:val="21"/>
              </w:rPr>
            </w:pPr>
            <w:r w:rsidRPr="00F9522B">
              <w:rPr>
                <w:rFonts w:eastAsiaTheme="minorEastAsia"/>
                <w:snapToGrid w:val="0"/>
                <w:szCs w:val="21"/>
                <w:lang w:val="zh-CN"/>
              </w:rPr>
              <w:t>TSP</w:t>
            </w:r>
            <w:r w:rsidRPr="00F9522B">
              <w:rPr>
                <w:rFonts w:eastAsiaTheme="minorEastAsia"/>
                <w:snapToGrid w:val="0"/>
                <w:szCs w:val="21"/>
                <w:lang w:val="zh-CN"/>
              </w:rPr>
              <w:t>、</w:t>
            </w:r>
            <w:r w:rsidRPr="00F9522B">
              <w:rPr>
                <w:rFonts w:eastAsiaTheme="minorEastAsia"/>
                <w:snapToGrid w:val="0"/>
                <w:szCs w:val="21"/>
                <w:lang w:val="zh-CN"/>
              </w:rPr>
              <w:t>CO</w:t>
            </w:r>
            <w:r w:rsidRPr="00F9522B">
              <w:rPr>
                <w:rFonts w:eastAsiaTheme="minorEastAsia"/>
                <w:snapToGrid w:val="0"/>
                <w:szCs w:val="21"/>
                <w:lang w:val="zh-CN"/>
              </w:rPr>
              <w:t>、</w:t>
            </w:r>
            <w:r w:rsidRPr="00F9522B">
              <w:rPr>
                <w:rFonts w:eastAsiaTheme="minorEastAsia"/>
                <w:snapToGrid w:val="0"/>
                <w:szCs w:val="21"/>
                <w:lang w:val="zh-CN"/>
              </w:rPr>
              <w:t>HC+NOx</w:t>
            </w:r>
            <w:r w:rsidRPr="00F9522B">
              <w:rPr>
                <w:rFonts w:eastAsiaTheme="minorEastAsia"/>
                <w:snapToGrid w:val="0"/>
                <w:szCs w:val="21"/>
                <w:lang w:val="zh-CN"/>
              </w:rPr>
              <w:t>、</w:t>
            </w:r>
            <w:r w:rsidRPr="00F9522B">
              <w:rPr>
                <w:rFonts w:eastAsiaTheme="minorEastAsia"/>
                <w:snapToGrid w:val="0"/>
                <w:szCs w:val="21"/>
                <w:lang w:val="zh-CN"/>
              </w:rPr>
              <w:t>THC</w:t>
            </w:r>
            <w:r w:rsidRPr="00F9522B">
              <w:rPr>
                <w:rFonts w:eastAsiaTheme="minorEastAsia"/>
                <w:snapToGrid w:val="0"/>
                <w:szCs w:val="21"/>
                <w:lang w:val="zh-CN"/>
              </w:rPr>
              <w:t>、臭气浓度</w:t>
            </w:r>
          </w:p>
        </w:tc>
        <w:tc>
          <w:tcPr>
            <w:tcW w:w="8931" w:type="dxa"/>
            <w:vAlign w:val="center"/>
          </w:tcPr>
          <w:p w:rsidR="002A5A5E" w:rsidRPr="00F9522B" w:rsidRDefault="00611CBA" w:rsidP="004C69F2">
            <w:pPr>
              <w:pStyle w:val="aff7"/>
              <w:spacing w:line="0" w:lineRule="atLeast"/>
              <w:rPr>
                <w:rFonts w:eastAsiaTheme="minorEastAsia" w:hAnsi="Times New Roman"/>
                <w:bCs/>
              </w:rPr>
            </w:pPr>
            <w:r w:rsidRPr="00F9522B">
              <w:rPr>
                <w:rFonts w:eastAsiaTheme="minorEastAsia" w:hAnsi="Times New Roman"/>
              </w:rPr>
              <w:t>施工期施工现场使用商品混凝土、预拌砂浆，严禁现场搅拌；建筑材料密闭存放或严密覆盖，严禁露天放置；余料及时回收；施工期间，施工单位非冬季时期制定洒水降尘制度，配套洒水车，专人负责，对施工场地及施工道路洒水抑尘；施工地面及时压实并及时采取洒水降尘措施，天气干燥时增加洒水密度与频率；施工现场运送土方、渣土的车辆封闭或遮盖严密，严禁使用未办理相关手续的渣土等运输车辆，严禁沿路遗撒和随意倾倒；途经施工区村屯干道的运输车辆，实行限速管理，时速应小于</w:t>
            </w:r>
            <w:r w:rsidRPr="00F9522B">
              <w:rPr>
                <w:rFonts w:eastAsiaTheme="minorEastAsia" w:hAnsi="Times New Roman"/>
              </w:rPr>
              <w:t>20km/h</w:t>
            </w:r>
            <w:r w:rsidRPr="00F9522B">
              <w:rPr>
                <w:rFonts w:eastAsiaTheme="minorEastAsia" w:hAnsi="Times New Roman"/>
              </w:rPr>
              <w:t>，非冬季干旱、多风天气，路段每天洒水不少于两次；加强运输车辆的维护、保养，避免尾气超标排放；灌溉井、田间道路、涵洞、变压器、排水沟清淤等工程在距离环境保护目标较近位置施工时（</w:t>
            </w:r>
            <w:r w:rsidR="00943455" w:rsidRPr="00943455">
              <w:rPr>
                <w:rFonts w:eastAsiaTheme="minorEastAsia"/>
                <w:color w:val="FF0000"/>
              </w:rPr>
              <w:t>如八里荒、榆树村等村屯</w:t>
            </w:r>
            <w:r w:rsidR="00943455" w:rsidRPr="00943455">
              <w:rPr>
                <w:rFonts w:eastAsiaTheme="minorEastAsia" w:hAnsi="Times New Roman"/>
                <w:color w:val="FF0000"/>
              </w:rPr>
              <w:t>，具体村屯名称见表</w:t>
            </w:r>
            <w:r w:rsidR="00943455" w:rsidRPr="00943455">
              <w:rPr>
                <w:rFonts w:eastAsiaTheme="minorEastAsia" w:hAnsi="Times New Roman"/>
                <w:color w:val="FF0000"/>
              </w:rPr>
              <w:t>2-8-1</w:t>
            </w:r>
            <w:r w:rsidRPr="00F9522B">
              <w:rPr>
                <w:rFonts w:eastAsiaTheme="minorEastAsia" w:hAnsi="Times New Roman"/>
              </w:rPr>
              <w:t>），应设置施工围挡，将施工场地及施工人员与居民分离开，保证施工安全、减少扬尘逸散；合理安排</w:t>
            </w:r>
            <w:r w:rsidRPr="00F9522B">
              <w:rPr>
                <w:rFonts w:eastAsiaTheme="minorEastAsia" w:hAnsi="Times New Roman"/>
              </w:rPr>
              <w:lastRenderedPageBreak/>
              <w:t>清淤时间，喷洒微生物除臭剂</w:t>
            </w:r>
            <w:r w:rsidR="004C69F2">
              <w:rPr>
                <w:rFonts w:eastAsiaTheme="minorEastAsia" w:hAnsi="Times New Roman"/>
              </w:rPr>
              <w:t>，</w:t>
            </w:r>
            <w:r w:rsidR="004C69F2" w:rsidRPr="004C69F2">
              <w:rPr>
                <w:rFonts w:eastAsiaTheme="minorEastAsia" w:hAnsi="Times New Roman"/>
                <w:color w:val="FF0000"/>
              </w:rPr>
              <w:t>排水沟淤泥</w:t>
            </w:r>
            <w:r w:rsidR="004C69F2" w:rsidRPr="004C69F2">
              <w:rPr>
                <w:rFonts w:eastAsiaTheme="minorEastAsia" w:hAnsi="Times New Roman"/>
                <w:bCs/>
                <w:color w:val="FF0000"/>
              </w:rPr>
              <w:t>培至工程附近</w:t>
            </w:r>
            <w:r w:rsidR="004C69F2" w:rsidRPr="004C69F2">
              <w:rPr>
                <w:rFonts w:eastAsiaTheme="minorEastAsia" w:hAnsi="Times New Roman"/>
                <w:bCs/>
                <w:color w:val="FF0000"/>
              </w:rPr>
              <w:t>200</w:t>
            </w:r>
            <w:r w:rsidR="004C69F2" w:rsidRPr="004C69F2">
              <w:rPr>
                <w:rFonts w:eastAsiaTheme="minorEastAsia" w:hAnsi="Times New Roman"/>
                <w:bCs/>
                <w:color w:val="FF0000"/>
              </w:rPr>
              <w:t>米范围内无环境保护目标的排水沟两侧（避开南城李、方台镇、宋家村等</w:t>
            </w:r>
            <w:r w:rsidR="004C69F2" w:rsidRPr="004C69F2">
              <w:rPr>
                <w:rFonts w:eastAsiaTheme="minorEastAsia" w:hAnsi="Times New Roman"/>
                <w:bCs/>
                <w:color w:val="FF0000"/>
              </w:rPr>
              <w:t>33</w:t>
            </w:r>
            <w:r w:rsidR="004C69F2" w:rsidRPr="004C69F2">
              <w:rPr>
                <w:rFonts w:eastAsiaTheme="minorEastAsia" w:hAnsi="Times New Roman"/>
                <w:bCs/>
                <w:color w:val="FF0000"/>
              </w:rPr>
              <w:t>个村屯，具体见表</w:t>
            </w:r>
            <w:r w:rsidR="004C69F2" w:rsidRPr="004C69F2">
              <w:rPr>
                <w:rFonts w:eastAsiaTheme="minorEastAsia" w:hAnsi="Times New Roman"/>
                <w:bCs/>
                <w:color w:val="FF0000"/>
              </w:rPr>
              <w:t>2-8-2</w:t>
            </w:r>
            <w:r w:rsidR="004C69F2" w:rsidRPr="004C69F2">
              <w:rPr>
                <w:rFonts w:eastAsiaTheme="minorEastAsia" w:hAnsi="Times New Roman"/>
                <w:bCs/>
                <w:color w:val="FF0000"/>
              </w:rPr>
              <w:t>）</w:t>
            </w:r>
          </w:p>
        </w:tc>
        <w:tc>
          <w:tcPr>
            <w:tcW w:w="2114" w:type="dxa"/>
            <w:gridSpan w:val="2"/>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lastRenderedPageBreak/>
              <w:t>《大气污染物综合排放标准》（</w:t>
            </w:r>
            <w:r w:rsidRPr="00F9522B">
              <w:rPr>
                <w:rFonts w:eastAsiaTheme="minorEastAsia"/>
                <w:szCs w:val="21"/>
              </w:rPr>
              <w:t>GB16297-1996</w:t>
            </w:r>
            <w:r w:rsidRPr="00F9522B">
              <w:rPr>
                <w:rFonts w:eastAsiaTheme="minorEastAsia"/>
                <w:szCs w:val="21"/>
              </w:rPr>
              <w:t>）表</w:t>
            </w:r>
            <w:r w:rsidRPr="00F9522B">
              <w:rPr>
                <w:rFonts w:eastAsiaTheme="minorEastAsia"/>
                <w:szCs w:val="21"/>
              </w:rPr>
              <w:t>2</w:t>
            </w:r>
            <w:r w:rsidRPr="00F9522B">
              <w:rPr>
                <w:rFonts w:eastAsiaTheme="minorEastAsia"/>
                <w:szCs w:val="21"/>
              </w:rPr>
              <w:t>无组织排放浓度；</w:t>
            </w:r>
            <w:r w:rsidRPr="00F9522B">
              <w:rPr>
                <w:rFonts w:eastAsiaTheme="minorEastAsia"/>
                <w:szCs w:val="21"/>
              </w:rPr>
              <w:t>GB20891-2014</w:t>
            </w:r>
            <w:r w:rsidRPr="00F9522B">
              <w:rPr>
                <w:rFonts w:eastAsiaTheme="minorEastAsia"/>
                <w:szCs w:val="21"/>
              </w:rPr>
              <w:t>中第四阶段（</w:t>
            </w:r>
            <w:r w:rsidRPr="00F9522B">
              <w:rPr>
                <w:rFonts w:eastAsiaTheme="minorEastAsia"/>
                <w:szCs w:val="21"/>
              </w:rPr>
              <w:t>130</w:t>
            </w:r>
            <w:r w:rsidRPr="00F9522B">
              <w:rPr>
                <w:rFonts w:eastAsiaTheme="minorEastAsia"/>
                <w:szCs w:val="21"/>
              </w:rPr>
              <w:t>＜额定功率＜</w:t>
            </w:r>
            <w:r w:rsidRPr="00F9522B">
              <w:rPr>
                <w:rFonts w:eastAsiaTheme="minorEastAsia"/>
                <w:szCs w:val="21"/>
              </w:rPr>
              <w:t>560kW</w:t>
            </w:r>
            <w:r w:rsidRPr="00F9522B">
              <w:rPr>
                <w:rFonts w:eastAsiaTheme="minorEastAsia"/>
                <w:szCs w:val="21"/>
              </w:rPr>
              <w:t>）；《恶臭污染物排放标准》（</w:t>
            </w:r>
            <w:r w:rsidRPr="00F9522B">
              <w:rPr>
                <w:rFonts w:eastAsiaTheme="minorEastAsia"/>
                <w:szCs w:val="21"/>
              </w:rPr>
              <w:t>GB14554-93</w:t>
            </w:r>
            <w:r w:rsidRPr="00F9522B">
              <w:rPr>
                <w:rFonts w:eastAsiaTheme="minorEastAsia"/>
                <w:szCs w:val="21"/>
              </w:rPr>
              <w:t>）表</w:t>
            </w:r>
            <w:r w:rsidRPr="00F9522B">
              <w:rPr>
                <w:rFonts w:eastAsiaTheme="minorEastAsia"/>
                <w:szCs w:val="21"/>
              </w:rPr>
              <w:t>1</w:t>
            </w:r>
            <w:r w:rsidRPr="00F9522B">
              <w:rPr>
                <w:rFonts w:eastAsiaTheme="minorEastAsia"/>
                <w:szCs w:val="21"/>
              </w:rPr>
              <w:lastRenderedPageBreak/>
              <w:t>二级标准</w:t>
            </w:r>
          </w:p>
        </w:tc>
      </w:tr>
      <w:tr w:rsidR="002A5A5E" w:rsidRPr="00F9522B" w:rsidTr="00DF4161">
        <w:trPr>
          <w:gridAfter w:val="1"/>
          <w:wAfter w:w="59" w:type="dxa"/>
          <w:trHeight w:val="38"/>
          <w:jc w:val="center"/>
        </w:trPr>
        <w:tc>
          <w:tcPr>
            <w:tcW w:w="632" w:type="dxa"/>
            <w:tcMar>
              <w:left w:w="0" w:type="dxa"/>
              <w:right w:w="0" w:type="dxa"/>
            </w:tcMar>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lastRenderedPageBreak/>
              <w:t>施工期</w:t>
            </w:r>
          </w:p>
        </w:tc>
        <w:tc>
          <w:tcPr>
            <w:tcW w:w="851" w:type="dxa"/>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生态</w:t>
            </w:r>
          </w:p>
        </w:tc>
        <w:tc>
          <w:tcPr>
            <w:tcW w:w="1275" w:type="dxa"/>
            <w:vAlign w:val="center"/>
          </w:tcPr>
          <w:p w:rsidR="002A5A5E" w:rsidRPr="00F9522B" w:rsidRDefault="00611CBA">
            <w:pPr>
              <w:spacing w:line="0" w:lineRule="atLeast"/>
              <w:jc w:val="center"/>
              <w:rPr>
                <w:rFonts w:eastAsiaTheme="minorEastAsia"/>
                <w:bCs/>
                <w:szCs w:val="21"/>
              </w:rPr>
            </w:pPr>
            <w:r w:rsidRPr="00F9522B">
              <w:rPr>
                <w:rFonts w:eastAsiaTheme="minorEastAsia"/>
                <w:bCs/>
                <w:szCs w:val="21"/>
              </w:rPr>
              <w:t>生态保护</w:t>
            </w:r>
          </w:p>
        </w:tc>
        <w:tc>
          <w:tcPr>
            <w:tcW w:w="8931" w:type="dxa"/>
            <w:vAlign w:val="center"/>
          </w:tcPr>
          <w:p w:rsidR="002A5A5E" w:rsidRPr="00F9522B" w:rsidRDefault="00F41A00">
            <w:pPr>
              <w:pStyle w:val="aff7"/>
              <w:spacing w:line="0" w:lineRule="atLeast"/>
              <w:rPr>
                <w:rFonts w:eastAsiaTheme="minorEastAsia" w:hAnsi="Times New Roman"/>
                <w:bCs/>
              </w:rPr>
            </w:pPr>
            <w:r w:rsidRPr="00F9522B">
              <w:rPr>
                <w:rFonts w:eastAsiaTheme="minorEastAsia" w:hAnsi="Times New Roman"/>
                <w:snapToGrid w:val="0"/>
                <w:kern w:val="0"/>
              </w:rPr>
              <w:t>输配电工程表土及土方临时堆存在施工沿线，分区存放，设置临时拦挡并采用密目网苫盖，施工结束后分层回填，</w:t>
            </w:r>
            <w:r w:rsidR="00617138">
              <w:rPr>
                <w:rFonts w:eastAsiaTheme="minorEastAsia" w:hAnsi="Times New Roman"/>
                <w:snapToGrid w:val="0"/>
                <w:kern w:val="0"/>
              </w:rPr>
              <w:t>施工场地恢复现状草地，播撒草籽面积</w:t>
            </w:r>
            <w:r w:rsidR="00617138">
              <w:rPr>
                <w:rFonts w:eastAsiaTheme="minorEastAsia" w:hAnsi="Times New Roman"/>
                <w:snapToGrid w:val="0"/>
                <w:kern w:val="0"/>
              </w:rPr>
              <w:t>224662</w:t>
            </w:r>
            <w:r w:rsidRPr="00F9522B">
              <w:rPr>
                <w:rFonts w:eastAsiaTheme="minorEastAsia" w:hAnsi="Times New Roman"/>
                <w:snapToGrid w:val="0"/>
                <w:kern w:val="0"/>
              </w:rPr>
              <w:t>m</w:t>
            </w:r>
            <w:r w:rsidRPr="00F9522B">
              <w:rPr>
                <w:rFonts w:eastAsiaTheme="minorEastAsia" w:hAnsi="Times New Roman"/>
                <w:snapToGrid w:val="0"/>
                <w:kern w:val="0"/>
                <w:vertAlign w:val="superscript"/>
              </w:rPr>
              <w:t>2</w:t>
            </w:r>
            <w:r w:rsidRPr="00F9522B">
              <w:rPr>
                <w:rFonts w:eastAsiaTheme="minorEastAsia" w:hAnsi="Times New Roman"/>
                <w:snapToGrid w:val="0"/>
                <w:kern w:val="0"/>
              </w:rPr>
              <w:t>，草籽选用紫花苜蓿等，种草密度</w:t>
            </w:r>
            <w:r w:rsidRPr="00F9522B">
              <w:rPr>
                <w:rFonts w:eastAsiaTheme="minorEastAsia" w:hAnsi="Times New Roman"/>
                <w:snapToGrid w:val="0"/>
                <w:kern w:val="0"/>
              </w:rPr>
              <w:t>80kg/</w:t>
            </w:r>
            <w:r w:rsidRPr="00F9522B">
              <w:rPr>
                <w:rFonts w:eastAsiaTheme="minorEastAsia" w:hAnsi="Times New Roman"/>
                <w:snapToGrid w:val="0"/>
                <w:kern w:val="0"/>
              </w:rPr>
              <w:t>公顷，恢复旱地</w:t>
            </w:r>
            <w:r w:rsidRPr="00F9522B">
              <w:rPr>
                <w:rFonts w:eastAsiaTheme="minorEastAsia" w:hAnsi="Times New Roman"/>
                <w:snapToGrid w:val="0"/>
                <w:kern w:val="0"/>
              </w:rPr>
              <w:t>32558m</w:t>
            </w:r>
            <w:r w:rsidRPr="00F9522B">
              <w:rPr>
                <w:rFonts w:eastAsiaTheme="minorEastAsia" w:hAnsi="Times New Roman"/>
                <w:snapToGrid w:val="0"/>
                <w:kern w:val="0"/>
                <w:vertAlign w:val="superscript"/>
              </w:rPr>
              <w:t>2</w:t>
            </w:r>
            <w:r w:rsidRPr="00F9522B">
              <w:rPr>
                <w:rFonts w:eastAsiaTheme="minorEastAsia" w:hAnsi="Times New Roman"/>
                <w:snapToGrid w:val="0"/>
                <w:kern w:val="0"/>
              </w:rPr>
              <w:t>；灌溉井工程剥离表土、开挖土方暂存于施工场地内，分区存放，设置临时拦挡并采用密目网苫盖，施工结束后施工场地、临时道路恢复为旱地，恢复面积</w:t>
            </w:r>
            <w:r w:rsidRPr="00F9522B">
              <w:rPr>
                <w:rFonts w:eastAsiaTheme="minorEastAsia" w:hAnsi="Times New Roman"/>
                <w:snapToGrid w:val="0"/>
                <w:kern w:val="0"/>
              </w:rPr>
              <w:t>7920m</w:t>
            </w:r>
            <w:r w:rsidRPr="00F9522B">
              <w:rPr>
                <w:rFonts w:eastAsiaTheme="minorEastAsia" w:hAnsi="Times New Roman"/>
                <w:snapToGrid w:val="0"/>
                <w:kern w:val="0"/>
                <w:vertAlign w:val="superscript"/>
              </w:rPr>
              <w:t>2</w:t>
            </w:r>
            <w:r w:rsidRPr="00F9522B">
              <w:rPr>
                <w:rFonts w:eastAsiaTheme="minorEastAsia" w:hAnsi="Times New Roman"/>
                <w:snapToGrid w:val="0"/>
                <w:kern w:val="0"/>
              </w:rPr>
              <w:t>；涵洞等建筑物工程剥离表土、开挖土方暂存于施工场地内，分区存放，设置临时拦挡并采用密目网苫盖，施工结束后施工场地恢复为草地，播撒草籽面积</w:t>
            </w:r>
            <w:r w:rsidRPr="00F9522B">
              <w:rPr>
                <w:rFonts w:eastAsiaTheme="minorEastAsia" w:hAnsi="Times New Roman"/>
                <w:snapToGrid w:val="0"/>
                <w:kern w:val="0"/>
              </w:rPr>
              <w:t>18500m</w:t>
            </w:r>
            <w:r w:rsidRPr="00F9522B">
              <w:rPr>
                <w:rFonts w:eastAsiaTheme="minorEastAsia" w:hAnsi="Times New Roman"/>
                <w:snapToGrid w:val="0"/>
                <w:kern w:val="0"/>
                <w:vertAlign w:val="superscript"/>
              </w:rPr>
              <w:t>2</w:t>
            </w:r>
            <w:r w:rsidRPr="00F9522B">
              <w:rPr>
                <w:rFonts w:eastAsiaTheme="minorEastAsia" w:hAnsi="Times New Roman"/>
                <w:snapToGrid w:val="0"/>
                <w:kern w:val="0"/>
              </w:rPr>
              <w:t>，草籽选用紫花苜蓿等，种草密度</w:t>
            </w:r>
            <w:r w:rsidRPr="00F9522B">
              <w:rPr>
                <w:rFonts w:eastAsiaTheme="minorEastAsia" w:hAnsi="Times New Roman"/>
                <w:snapToGrid w:val="0"/>
                <w:kern w:val="0"/>
              </w:rPr>
              <w:t>80kg/</w:t>
            </w:r>
            <w:r w:rsidRPr="00F9522B">
              <w:rPr>
                <w:rFonts w:eastAsiaTheme="minorEastAsia" w:hAnsi="Times New Roman"/>
                <w:snapToGrid w:val="0"/>
                <w:kern w:val="0"/>
              </w:rPr>
              <w:t>公顷，恢复旱地</w:t>
            </w:r>
            <w:r w:rsidRPr="00F9522B">
              <w:rPr>
                <w:rFonts w:eastAsiaTheme="minorEastAsia" w:hAnsi="Times New Roman"/>
                <w:snapToGrid w:val="0"/>
                <w:kern w:val="0"/>
              </w:rPr>
              <w:t>10500m</w:t>
            </w:r>
            <w:r w:rsidRPr="00F9522B">
              <w:rPr>
                <w:rFonts w:eastAsiaTheme="minorEastAsia" w:hAnsi="Times New Roman"/>
                <w:snapToGrid w:val="0"/>
                <w:kern w:val="0"/>
                <w:vertAlign w:val="superscript"/>
              </w:rPr>
              <w:t>2</w:t>
            </w:r>
            <w:r w:rsidRPr="00F9522B">
              <w:rPr>
                <w:rFonts w:eastAsiaTheme="minorEastAsia" w:hAnsi="Times New Roman"/>
                <w:snapToGrid w:val="0"/>
                <w:kern w:val="0"/>
              </w:rPr>
              <w:t>。</w:t>
            </w:r>
            <w:r w:rsidR="00611CBA" w:rsidRPr="00F9522B">
              <w:rPr>
                <w:rFonts w:eastAsiaTheme="minorEastAsia" w:hAnsi="Times New Roman"/>
                <w:snapToGrid w:val="0"/>
                <w:kern w:val="0"/>
              </w:rPr>
              <w:t>使临时占地土地利用类型、植被覆盖度、生物量等恢复为原有水平。减少由于工程施工对其景观、生态、水土保持等方面的不利影响。表土暂存场</w:t>
            </w:r>
            <w:r w:rsidR="00611CBA" w:rsidRPr="00F9522B">
              <w:rPr>
                <w:rFonts w:eastAsiaTheme="minorEastAsia" w:hAnsi="Times New Roman"/>
                <w:bCs/>
                <w:kern w:val="0"/>
              </w:rPr>
              <w:t>堆高在</w:t>
            </w:r>
            <w:r w:rsidR="00611CBA" w:rsidRPr="00F9522B">
              <w:rPr>
                <w:rFonts w:eastAsiaTheme="minorEastAsia" w:hAnsi="Times New Roman"/>
                <w:bCs/>
                <w:kern w:val="0"/>
              </w:rPr>
              <w:t>3m</w:t>
            </w:r>
            <w:r w:rsidR="00611CBA" w:rsidRPr="00F9522B">
              <w:rPr>
                <w:rFonts w:eastAsiaTheme="minorEastAsia" w:hAnsi="Times New Roman"/>
                <w:bCs/>
                <w:kern w:val="0"/>
              </w:rPr>
              <w:t>以内，坡比</w:t>
            </w:r>
            <w:r w:rsidR="00611CBA" w:rsidRPr="00F9522B">
              <w:rPr>
                <w:rFonts w:eastAsiaTheme="minorEastAsia" w:hAnsi="Times New Roman"/>
                <w:bCs/>
                <w:kern w:val="0"/>
              </w:rPr>
              <w:t>1</w:t>
            </w:r>
            <w:r w:rsidR="00611CBA" w:rsidRPr="00F9522B">
              <w:rPr>
                <w:rFonts w:eastAsiaTheme="minorEastAsia" w:hAnsi="Times New Roman"/>
                <w:bCs/>
                <w:kern w:val="0"/>
              </w:rPr>
              <w:t>：</w:t>
            </w:r>
            <w:r w:rsidR="00611CBA" w:rsidRPr="00F9522B">
              <w:rPr>
                <w:rFonts w:eastAsiaTheme="minorEastAsia" w:hAnsi="Times New Roman"/>
                <w:bCs/>
                <w:kern w:val="0"/>
              </w:rPr>
              <w:t>1</w:t>
            </w:r>
            <w:r w:rsidR="00611CBA" w:rsidRPr="00F9522B">
              <w:rPr>
                <w:rFonts w:eastAsiaTheme="minorEastAsia" w:hAnsi="Times New Roman"/>
                <w:bCs/>
                <w:kern w:val="0"/>
              </w:rPr>
              <w:t>，可以保证堆土的稳定性及安全性。堆放地宜相对低凹、周围相对平缓，并设置排水设施。</w:t>
            </w:r>
            <w:r w:rsidR="00611CBA" w:rsidRPr="00F9522B">
              <w:rPr>
                <w:rFonts w:eastAsiaTheme="minorEastAsia" w:hAnsi="Times New Roman"/>
              </w:rPr>
              <w:t>建设单位为生态恢复工程实施责任主体</w:t>
            </w:r>
            <w:r w:rsidR="00611CBA" w:rsidRPr="00F9522B">
              <w:rPr>
                <w:rFonts w:eastAsiaTheme="minorEastAsia" w:hAnsi="Times New Roman"/>
                <w:snapToGrid w:val="0"/>
                <w:kern w:val="0"/>
              </w:rPr>
              <w:t>；严格控制施工范围，对施工人员进行生态保护教育；施工单位优化施工工艺和施工时序，夜间、雨天及大风天不施工；涵洞等建筑物工程施工过程禁止施工生产废水排放至沟渠内；施工过程中采取</w:t>
            </w:r>
            <w:r w:rsidR="00611CBA" w:rsidRPr="00F9522B">
              <w:rPr>
                <w:rFonts w:eastAsiaTheme="minorEastAsia" w:hAnsi="Times New Roman"/>
                <w:snapToGrid w:val="0"/>
                <w:kern w:val="0"/>
              </w:rPr>
              <w:t>“</w:t>
            </w:r>
            <w:r w:rsidR="00611CBA" w:rsidRPr="00F9522B">
              <w:rPr>
                <w:rFonts w:eastAsiaTheme="minorEastAsia" w:hAnsi="Times New Roman"/>
                <w:snapToGrid w:val="0"/>
                <w:kern w:val="0"/>
              </w:rPr>
              <w:t>边施工、边修复</w:t>
            </w:r>
            <w:r w:rsidR="00611CBA" w:rsidRPr="00F9522B">
              <w:rPr>
                <w:rFonts w:eastAsiaTheme="minorEastAsia" w:hAnsi="Times New Roman"/>
                <w:snapToGrid w:val="0"/>
                <w:kern w:val="0"/>
              </w:rPr>
              <w:t>”</w:t>
            </w:r>
            <w:r w:rsidR="00611CBA" w:rsidRPr="00F9522B">
              <w:rPr>
                <w:rFonts w:eastAsiaTheme="minorEastAsia" w:hAnsi="Times New Roman"/>
                <w:snapToGrid w:val="0"/>
                <w:kern w:val="0"/>
              </w:rPr>
              <w:t>措施</w:t>
            </w:r>
          </w:p>
        </w:tc>
        <w:tc>
          <w:tcPr>
            <w:tcW w:w="2055" w:type="dxa"/>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w:t>
            </w:r>
          </w:p>
        </w:tc>
      </w:tr>
      <w:tr w:rsidR="00D33612" w:rsidRPr="00F9522B" w:rsidTr="00DF4161">
        <w:trPr>
          <w:gridAfter w:val="1"/>
          <w:wAfter w:w="59" w:type="dxa"/>
          <w:trHeight w:val="38"/>
          <w:jc w:val="center"/>
        </w:trPr>
        <w:tc>
          <w:tcPr>
            <w:tcW w:w="632" w:type="dxa"/>
            <w:vMerge w:val="restart"/>
            <w:tcMar>
              <w:left w:w="0" w:type="dxa"/>
              <w:right w:w="0" w:type="dxa"/>
            </w:tcMar>
            <w:vAlign w:val="center"/>
          </w:tcPr>
          <w:p w:rsidR="00D33612" w:rsidRPr="00F9522B" w:rsidRDefault="00D33612">
            <w:pPr>
              <w:spacing w:line="0" w:lineRule="atLeast"/>
              <w:jc w:val="center"/>
              <w:rPr>
                <w:rFonts w:eastAsiaTheme="minorEastAsia"/>
                <w:szCs w:val="21"/>
              </w:rPr>
            </w:pPr>
            <w:r w:rsidRPr="00F9522B">
              <w:rPr>
                <w:rFonts w:eastAsiaTheme="minorEastAsia"/>
                <w:szCs w:val="21"/>
              </w:rPr>
              <w:t>运营期</w:t>
            </w:r>
          </w:p>
        </w:tc>
        <w:tc>
          <w:tcPr>
            <w:tcW w:w="851" w:type="dxa"/>
            <w:vAlign w:val="center"/>
          </w:tcPr>
          <w:p w:rsidR="00D33612" w:rsidRPr="00F9522B" w:rsidRDefault="00D33612">
            <w:pPr>
              <w:spacing w:line="0" w:lineRule="atLeast"/>
              <w:jc w:val="center"/>
              <w:rPr>
                <w:rFonts w:eastAsiaTheme="minorEastAsia"/>
                <w:szCs w:val="21"/>
              </w:rPr>
            </w:pPr>
            <w:r w:rsidRPr="00F9522B">
              <w:rPr>
                <w:rFonts w:eastAsiaTheme="minorEastAsia"/>
                <w:szCs w:val="21"/>
              </w:rPr>
              <w:t>噪声</w:t>
            </w:r>
          </w:p>
        </w:tc>
        <w:tc>
          <w:tcPr>
            <w:tcW w:w="1275" w:type="dxa"/>
            <w:vAlign w:val="center"/>
          </w:tcPr>
          <w:p w:rsidR="00D33612" w:rsidRPr="00F9522B" w:rsidRDefault="00D33612">
            <w:pPr>
              <w:spacing w:line="0" w:lineRule="atLeast"/>
              <w:jc w:val="center"/>
              <w:rPr>
                <w:rFonts w:eastAsiaTheme="minorEastAsia"/>
                <w:szCs w:val="21"/>
              </w:rPr>
            </w:pPr>
            <w:r w:rsidRPr="00F9522B">
              <w:rPr>
                <w:rFonts w:eastAsiaTheme="minorEastAsia"/>
                <w:szCs w:val="21"/>
              </w:rPr>
              <w:t>厂界噪声</w:t>
            </w:r>
          </w:p>
        </w:tc>
        <w:tc>
          <w:tcPr>
            <w:tcW w:w="8931" w:type="dxa"/>
            <w:vAlign w:val="center"/>
          </w:tcPr>
          <w:p w:rsidR="00D33612" w:rsidRPr="00F9522B" w:rsidRDefault="00D33612">
            <w:pPr>
              <w:spacing w:line="0" w:lineRule="atLeast"/>
              <w:jc w:val="center"/>
              <w:rPr>
                <w:rFonts w:eastAsiaTheme="minorEastAsia"/>
                <w:szCs w:val="21"/>
              </w:rPr>
            </w:pPr>
            <w:r w:rsidRPr="00F9522B">
              <w:rPr>
                <w:rFonts w:eastAsiaTheme="minorEastAsia"/>
                <w:szCs w:val="21"/>
              </w:rPr>
              <w:t>运营期潜水泵、水肥一体化设备位于井房内，潜水泵位于地下，潜水泵、水肥一体化设备采取减振措施；变压器基础减振；临近敏感目标的道路处设置限速、禁鸣标识</w:t>
            </w:r>
          </w:p>
        </w:tc>
        <w:tc>
          <w:tcPr>
            <w:tcW w:w="2055" w:type="dxa"/>
            <w:vAlign w:val="center"/>
          </w:tcPr>
          <w:p w:rsidR="00D33612" w:rsidRPr="00F9522B" w:rsidRDefault="00D33612">
            <w:pPr>
              <w:spacing w:line="0" w:lineRule="atLeast"/>
              <w:jc w:val="center"/>
              <w:rPr>
                <w:rFonts w:eastAsiaTheme="minorEastAsia"/>
                <w:szCs w:val="21"/>
              </w:rPr>
            </w:pPr>
            <w:r w:rsidRPr="00F9522B">
              <w:rPr>
                <w:rFonts w:eastAsiaTheme="minorEastAsia"/>
                <w:szCs w:val="21"/>
              </w:rPr>
              <w:t>井房厂界</w:t>
            </w:r>
            <w:r w:rsidRPr="00F9522B">
              <w:rPr>
                <w:rFonts w:eastAsiaTheme="minorEastAsia"/>
                <w:bCs/>
                <w:szCs w:val="21"/>
              </w:rPr>
              <w:t>噪声执行《工业企业厂界环境噪声排放标准》（</w:t>
            </w:r>
            <w:r w:rsidRPr="00F9522B">
              <w:rPr>
                <w:rFonts w:eastAsiaTheme="minorEastAsia"/>
                <w:bCs/>
                <w:szCs w:val="21"/>
              </w:rPr>
              <w:t>GB12348-2008</w:t>
            </w:r>
            <w:r w:rsidRPr="00F9522B">
              <w:rPr>
                <w:rFonts w:eastAsiaTheme="minorEastAsia"/>
                <w:bCs/>
                <w:szCs w:val="21"/>
              </w:rPr>
              <w:t>）表</w:t>
            </w:r>
            <w:r w:rsidRPr="00F9522B">
              <w:rPr>
                <w:rFonts w:eastAsiaTheme="minorEastAsia"/>
                <w:bCs/>
                <w:szCs w:val="21"/>
              </w:rPr>
              <w:t>1</w:t>
            </w:r>
            <w:r w:rsidRPr="00F9522B">
              <w:rPr>
                <w:rFonts w:eastAsiaTheme="minorEastAsia"/>
                <w:bCs/>
                <w:szCs w:val="21"/>
              </w:rPr>
              <w:t>中</w:t>
            </w:r>
            <w:r w:rsidRPr="00F9522B">
              <w:rPr>
                <w:rFonts w:eastAsiaTheme="minorEastAsia"/>
                <w:bCs/>
                <w:szCs w:val="21"/>
              </w:rPr>
              <w:t>1</w:t>
            </w:r>
            <w:r w:rsidRPr="00F9522B">
              <w:rPr>
                <w:rFonts w:eastAsiaTheme="minorEastAsia"/>
                <w:bCs/>
                <w:szCs w:val="21"/>
              </w:rPr>
              <w:t>类标准</w:t>
            </w:r>
          </w:p>
        </w:tc>
      </w:tr>
      <w:tr w:rsidR="00D33612" w:rsidRPr="00F9522B" w:rsidTr="00DF4161">
        <w:trPr>
          <w:gridAfter w:val="1"/>
          <w:wAfter w:w="59" w:type="dxa"/>
          <w:trHeight w:val="38"/>
          <w:jc w:val="center"/>
        </w:trPr>
        <w:tc>
          <w:tcPr>
            <w:tcW w:w="632" w:type="dxa"/>
            <w:vMerge/>
            <w:tcMar>
              <w:left w:w="0" w:type="dxa"/>
              <w:right w:w="0" w:type="dxa"/>
            </w:tcMar>
            <w:vAlign w:val="center"/>
          </w:tcPr>
          <w:p w:rsidR="00D33612" w:rsidRPr="00F9522B" w:rsidRDefault="00D33612">
            <w:pPr>
              <w:spacing w:line="0" w:lineRule="atLeast"/>
              <w:jc w:val="center"/>
              <w:rPr>
                <w:rFonts w:eastAsiaTheme="minorEastAsia"/>
                <w:szCs w:val="21"/>
              </w:rPr>
            </w:pPr>
          </w:p>
        </w:tc>
        <w:tc>
          <w:tcPr>
            <w:tcW w:w="851" w:type="dxa"/>
            <w:vAlign w:val="center"/>
          </w:tcPr>
          <w:p w:rsidR="00D33612" w:rsidRPr="00F9522B" w:rsidRDefault="00D33612">
            <w:pPr>
              <w:pStyle w:val="aff7"/>
              <w:rPr>
                <w:rFonts w:eastAsiaTheme="minorEastAsia" w:hAnsi="Times New Roman"/>
                <w:snapToGrid w:val="0"/>
              </w:rPr>
            </w:pPr>
            <w:r w:rsidRPr="00F9522B">
              <w:rPr>
                <w:rFonts w:eastAsiaTheme="minorEastAsia" w:hAnsi="Times New Roman"/>
              </w:rPr>
              <w:t>环境风险</w:t>
            </w:r>
          </w:p>
        </w:tc>
        <w:tc>
          <w:tcPr>
            <w:tcW w:w="1275" w:type="dxa"/>
            <w:vAlign w:val="center"/>
          </w:tcPr>
          <w:p w:rsidR="00D33612" w:rsidRPr="00F9522B" w:rsidRDefault="00D33612">
            <w:pPr>
              <w:spacing w:line="0" w:lineRule="atLeast"/>
              <w:jc w:val="center"/>
              <w:rPr>
                <w:rFonts w:eastAsiaTheme="minorEastAsia"/>
                <w:szCs w:val="21"/>
              </w:rPr>
            </w:pPr>
            <w:r w:rsidRPr="00F9522B">
              <w:rPr>
                <w:rFonts w:eastAsiaTheme="minorEastAsia"/>
                <w:szCs w:val="21"/>
              </w:rPr>
              <w:t>应急预案</w:t>
            </w:r>
          </w:p>
        </w:tc>
        <w:tc>
          <w:tcPr>
            <w:tcW w:w="8931" w:type="dxa"/>
            <w:vAlign w:val="center"/>
          </w:tcPr>
          <w:p w:rsidR="00D33612" w:rsidRPr="00F9522B" w:rsidRDefault="00D33612">
            <w:pPr>
              <w:pStyle w:val="aff7"/>
              <w:rPr>
                <w:rFonts w:eastAsiaTheme="minorEastAsia" w:hAnsi="Times New Roman"/>
              </w:rPr>
            </w:pPr>
            <w:r w:rsidRPr="00F9522B">
              <w:rPr>
                <w:rFonts w:eastAsiaTheme="minorEastAsia" w:hAnsi="Times New Roman"/>
              </w:rPr>
              <w:t>本项目</w:t>
            </w:r>
            <w:r w:rsidRPr="00F9522B">
              <w:rPr>
                <w:rFonts w:eastAsiaTheme="minorEastAsia" w:hAnsi="Times New Roman"/>
                <w:bCs/>
              </w:rPr>
              <w:t>柴油机移动泵车</w:t>
            </w:r>
            <w:r w:rsidRPr="00F9522B">
              <w:rPr>
                <w:rFonts w:eastAsiaTheme="minorEastAsia" w:hAnsi="Times New Roman"/>
              </w:rPr>
              <w:t>油箱密闭，不使用于村内暂存，暂存处地面设置重点防渗（等效黏土防渗层</w:t>
            </w:r>
            <w:r w:rsidRPr="00F9522B">
              <w:rPr>
                <w:rFonts w:eastAsiaTheme="minorEastAsia" w:hAnsi="Times New Roman"/>
              </w:rPr>
              <w:t>Mb≥6.0m</w:t>
            </w:r>
            <w:r w:rsidRPr="00F9522B">
              <w:rPr>
                <w:rFonts w:eastAsiaTheme="minorEastAsia" w:hAnsi="Times New Roman"/>
              </w:rPr>
              <w:t>，渗透系数</w:t>
            </w:r>
            <w:r w:rsidRPr="00F9522B">
              <w:rPr>
                <w:rFonts w:eastAsiaTheme="minorEastAsia" w:hAnsi="Times New Roman"/>
              </w:rPr>
              <w:t>K≤1.0×10</w:t>
            </w:r>
            <w:r w:rsidRPr="00F9522B">
              <w:rPr>
                <w:rFonts w:eastAsiaTheme="minorEastAsia" w:hAnsi="Times New Roman"/>
                <w:vertAlign w:val="superscript"/>
              </w:rPr>
              <w:t>-7</w:t>
            </w:r>
            <w:r w:rsidRPr="00F9522B">
              <w:rPr>
                <w:rFonts w:eastAsiaTheme="minorEastAsia" w:hAnsi="Times New Roman"/>
              </w:rPr>
              <w:t>cm/s</w:t>
            </w:r>
            <w:r w:rsidRPr="00F9522B">
              <w:rPr>
                <w:rFonts w:eastAsiaTheme="minorEastAsia" w:hAnsi="Times New Roman"/>
              </w:rPr>
              <w:t>）；定期巡检，重点检查变压器油箱密封性（有无裂缝、接口渗漏）、油位刻度（判断是否存在异常泄漏），发现变压器油泄漏应立即停止此变压器运行，属于小范围污染，立即用沙土进行掩埋，产生的含油沙土及泄漏物交由资质单位处置进行运输和处置；制定突发环境事件应急预案，说明各种可能发生的突发环境事件情景及应急处置措施</w:t>
            </w:r>
          </w:p>
        </w:tc>
        <w:tc>
          <w:tcPr>
            <w:tcW w:w="2055" w:type="dxa"/>
            <w:vAlign w:val="center"/>
          </w:tcPr>
          <w:p w:rsidR="00D33612" w:rsidRPr="00F9522B" w:rsidRDefault="00D33612">
            <w:pPr>
              <w:spacing w:line="0" w:lineRule="atLeast"/>
              <w:jc w:val="center"/>
              <w:rPr>
                <w:rFonts w:eastAsiaTheme="minorEastAsia"/>
              </w:rPr>
            </w:pPr>
            <w:r w:rsidRPr="00F9522B">
              <w:rPr>
                <w:rFonts w:eastAsiaTheme="minorEastAsia"/>
              </w:rPr>
              <w:t>/</w:t>
            </w:r>
          </w:p>
        </w:tc>
      </w:tr>
      <w:tr w:rsidR="00D33612" w:rsidRPr="00F9522B" w:rsidTr="00DF4161">
        <w:trPr>
          <w:gridAfter w:val="1"/>
          <w:wAfter w:w="59" w:type="dxa"/>
          <w:trHeight w:val="405"/>
          <w:jc w:val="center"/>
        </w:trPr>
        <w:tc>
          <w:tcPr>
            <w:tcW w:w="632" w:type="dxa"/>
            <w:vMerge/>
            <w:tcMar>
              <w:left w:w="0" w:type="dxa"/>
              <w:right w:w="0" w:type="dxa"/>
            </w:tcMar>
            <w:vAlign w:val="center"/>
          </w:tcPr>
          <w:p w:rsidR="00D33612" w:rsidRPr="00F9522B" w:rsidRDefault="00D33612">
            <w:pPr>
              <w:spacing w:line="0" w:lineRule="atLeast"/>
              <w:jc w:val="center"/>
              <w:rPr>
                <w:rFonts w:eastAsiaTheme="minorEastAsia"/>
                <w:szCs w:val="21"/>
              </w:rPr>
            </w:pPr>
          </w:p>
        </w:tc>
        <w:tc>
          <w:tcPr>
            <w:tcW w:w="851" w:type="dxa"/>
            <w:vMerge w:val="restart"/>
            <w:vAlign w:val="center"/>
          </w:tcPr>
          <w:p w:rsidR="00D33612" w:rsidRPr="00F9522B" w:rsidRDefault="00D33612">
            <w:pPr>
              <w:pStyle w:val="aff7"/>
              <w:rPr>
                <w:rFonts w:eastAsiaTheme="minorEastAsia" w:hAnsi="Times New Roman"/>
              </w:rPr>
            </w:pPr>
            <w:r w:rsidRPr="00F9522B">
              <w:rPr>
                <w:rFonts w:eastAsiaTheme="minorEastAsia" w:hAnsi="Times New Roman"/>
              </w:rPr>
              <w:t>固体废物</w:t>
            </w:r>
          </w:p>
        </w:tc>
        <w:tc>
          <w:tcPr>
            <w:tcW w:w="1275" w:type="dxa"/>
            <w:vAlign w:val="center"/>
          </w:tcPr>
          <w:p w:rsidR="00D33612" w:rsidRPr="00F9522B" w:rsidRDefault="00D33612" w:rsidP="00D33612">
            <w:pPr>
              <w:spacing w:line="0" w:lineRule="atLeast"/>
              <w:jc w:val="center"/>
              <w:rPr>
                <w:rFonts w:eastAsiaTheme="minorEastAsia"/>
                <w:szCs w:val="21"/>
              </w:rPr>
            </w:pPr>
            <w:r w:rsidRPr="00F9522B">
              <w:rPr>
                <w:rFonts w:eastAsiaTheme="minorEastAsia"/>
                <w:szCs w:val="21"/>
              </w:rPr>
              <w:t>秸秆、</w:t>
            </w:r>
            <w:r w:rsidRPr="00F9522B">
              <w:rPr>
                <w:rFonts w:eastAsiaTheme="minorEastAsia"/>
                <w:bCs/>
                <w:szCs w:val="21"/>
              </w:rPr>
              <w:t>废肥料包装袋</w:t>
            </w:r>
          </w:p>
        </w:tc>
        <w:tc>
          <w:tcPr>
            <w:tcW w:w="8931" w:type="dxa"/>
            <w:vAlign w:val="center"/>
          </w:tcPr>
          <w:p w:rsidR="00D33612" w:rsidRPr="00F9522B" w:rsidRDefault="00D33612">
            <w:pPr>
              <w:pStyle w:val="aff7"/>
              <w:rPr>
                <w:rFonts w:eastAsiaTheme="minorEastAsia" w:hAnsi="Times New Roman"/>
              </w:rPr>
            </w:pPr>
            <w:r w:rsidRPr="00F9522B">
              <w:rPr>
                <w:rFonts w:hAnsi="Times New Roman"/>
                <w:bCs/>
              </w:rPr>
              <w:t>由当地农民负责外售综合利用</w:t>
            </w:r>
          </w:p>
        </w:tc>
        <w:tc>
          <w:tcPr>
            <w:tcW w:w="2055" w:type="dxa"/>
            <w:vMerge w:val="restart"/>
            <w:vAlign w:val="center"/>
          </w:tcPr>
          <w:p w:rsidR="00D33612" w:rsidRPr="00F9522B" w:rsidRDefault="00D33612">
            <w:pPr>
              <w:spacing w:line="0" w:lineRule="atLeast"/>
              <w:jc w:val="center"/>
              <w:rPr>
                <w:rFonts w:eastAsiaTheme="minorEastAsia"/>
              </w:rPr>
            </w:pPr>
            <w:r w:rsidRPr="00F9522B">
              <w:rPr>
                <w:rFonts w:eastAsiaTheme="minorEastAsia"/>
                <w:szCs w:val="21"/>
              </w:rPr>
              <w:t>100%</w:t>
            </w:r>
            <w:r w:rsidRPr="00F9522B">
              <w:rPr>
                <w:rFonts w:eastAsiaTheme="minorEastAsia"/>
                <w:szCs w:val="21"/>
              </w:rPr>
              <w:t>处置</w:t>
            </w:r>
          </w:p>
        </w:tc>
      </w:tr>
      <w:tr w:rsidR="00D33612" w:rsidRPr="00F9522B" w:rsidTr="00DF4161">
        <w:trPr>
          <w:gridAfter w:val="1"/>
          <w:wAfter w:w="59" w:type="dxa"/>
          <w:trHeight w:val="405"/>
          <w:jc w:val="center"/>
        </w:trPr>
        <w:tc>
          <w:tcPr>
            <w:tcW w:w="632" w:type="dxa"/>
            <w:vMerge/>
            <w:tcMar>
              <w:left w:w="0" w:type="dxa"/>
              <w:right w:w="0" w:type="dxa"/>
            </w:tcMar>
            <w:vAlign w:val="center"/>
          </w:tcPr>
          <w:p w:rsidR="00D33612" w:rsidRPr="00F9522B" w:rsidRDefault="00D33612">
            <w:pPr>
              <w:spacing w:line="0" w:lineRule="atLeast"/>
              <w:jc w:val="center"/>
              <w:rPr>
                <w:rFonts w:eastAsiaTheme="minorEastAsia"/>
                <w:szCs w:val="21"/>
              </w:rPr>
            </w:pPr>
          </w:p>
        </w:tc>
        <w:tc>
          <w:tcPr>
            <w:tcW w:w="851" w:type="dxa"/>
            <w:vMerge/>
            <w:vAlign w:val="center"/>
          </w:tcPr>
          <w:p w:rsidR="00D33612" w:rsidRPr="00F9522B" w:rsidRDefault="00D33612">
            <w:pPr>
              <w:pStyle w:val="aff7"/>
              <w:rPr>
                <w:rFonts w:eastAsiaTheme="minorEastAsia" w:hAnsi="Times New Roman"/>
              </w:rPr>
            </w:pPr>
          </w:p>
        </w:tc>
        <w:tc>
          <w:tcPr>
            <w:tcW w:w="1275" w:type="dxa"/>
            <w:vAlign w:val="center"/>
          </w:tcPr>
          <w:p w:rsidR="00D33612" w:rsidRPr="00F9522B" w:rsidRDefault="00D33612">
            <w:pPr>
              <w:spacing w:line="0" w:lineRule="atLeast"/>
              <w:jc w:val="center"/>
              <w:rPr>
                <w:rFonts w:eastAsiaTheme="minorEastAsia"/>
                <w:color w:val="FF0000"/>
                <w:szCs w:val="21"/>
              </w:rPr>
            </w:pPr>
            <w:r w:rsidRPr="00F9522B">
              <w:rPr>
                <w:rFonts w:eastAsiaTheme="minorEastAsia"/>
                <w:bCs/>
                <w:color w:val="FF0000"/>
                <w:szCs w:val="21"/>
              </w:rPr>
              <w:t>农药包装物</w:t>
            </w:r>
          </w:p>
        </w:tc>
        <w:tc>
          <w:tcPr>
            <w:tcW w:w="8931" w:type="dxa"/>
            <w:vAlign w:val="center"/>
          </w:tcPr>
          <w:p w:rsidR="00D33612" w:rsidRPr="00F9522B" w:rsidRDefault="00D33612" w:rsidP="00D33612">
            <w:pPr>
              <w:pStyle w:val="aff7"/>
              <w:rPr>
                <w:rFonts w:hAnsi="Times New Roman"/>
                <w:bCs/>
                <w:color w:val="FF0000"/>
              </w:rPr>
            </w:pPr>
            <w:r w:rsidRPr="00F9522B">
              <w:rPr>
                <w:rFonts w:hAnsi="Times New Roman"/>
                <w:bCs/>
                <w:color w:val="FF0000"/>
              </w:rPr>
              <w:t>农业使用者及时收集农药包装物，由并交回农药经营者或回收站</w:t>
            </w:r>
          </w:p>
        </w:tc>
        <w:tc>
          <w:tcPr>
            <w:tcW w:w="2055" w:type="dxa"/>
            <w:vMerge/>
            <w:vAlign w:val="center"/>
          </w:tcPr>
          <w:p w:rsidR="00D33612" w:rsidRPr="00F9522B" w:rsidRDefault="00D33612">
            <w:pPr>
              <w:spacing w:line="0" w:lineRule="atLeast"/>
              <w:jc w:val="center"/>
              <w:rPr>
                <w:rFonts w:eastAsiaTheme="minorEastAsia"/>
                <w:szCs w:val="21"/>
              </w:rPr>
            </w:pPr>
          </w:p>
        </w:tc>
      </w:tr>
    </w:tbl>
    <w:p w:rsidR="002A5A5E" w:rsidRPr="00F9522B" w:rsidRDefault="00611CBA">
      <w:pPr>
        <w:contextualSpacing/>
        <w:jc w:val="center"/>
        <w:rPr>
          <w:rFonts w:eastAsiaTheme="minorEastAsia"/>
          <w:b/>
          <w:snapToGrid w:val="0"/>
          <w:kern w:val="0"/>
          <w:szCs w:val="21"/>
          <w:lang w:val="zh-CN"/>
        </w:rPr>
      </w:pPr>
      <w:r w:rsidRPr="00F9522B">
        <w:rPr>
          <w:rFonts w:eastAsiaTheme="minorEastAsia"/>
          <w:b/>
          <w:snapToGrid w:val="0"/>
          <w:kern w:val="0"/>
          <w:szCs w:val="21"/>
          <w:lang w:val="zh-CN"/>
        </w:rPr>
        <w:lastRenderedPageBreak/>
        <w:t>续表</w:t>
      </w:r>
      <w:r w:rsidRPr="00F9522B">
        <w:rPr>
          <w:rFonts w:eastAsiaTheme="minorEastAsia"/>
          <w:b/>
          <w:snapToGrid w:val="0"/>
          <w:kern w:val="0"/>
          <w:szCs w:val="21"/>
          <w:lang w:val="zh-CN"/>
        </w:rPr>
        <w:t>8-3-1</w:t>
      </w:r>
      <w:r w:rsidRPr="00F9522B">
        <w:rPr>
          <w:rFonts w:eastAsiaTheme="minorEastAsia"/>
          <w:b/>
          <w:snapToGrid w:val="0"/>
          <w:kern w:val="0"/>
          <w:szCs w:val="21"/>
          <w:lang w:val="zh-CN"/>
        </w:rPr>
        <w:t>建设项目竣工环境保护验收一览表</w:t>
      </w:r>
    </w:p>
    <w:tbl>
      <w:tblPr>
        <w:tblW w:w="13744" w:type="dxa"/>
        <w:jc w:val="center"/>
        <w:tblBorders>
          <w:top w:val="single" w:sz="12" w:space="0" w:color="auto"/>
          <w:bottom w:val="single" w:sz="12" w:space="0" w:color="auto"/>
          <w:insideH w:val="single" w:sz="4" w:space="0" w:color="auto"/>
          <w:insideV w:val="single" w:sz="4" w:space="0" w:color="auto"/>
        </w:tblBorders>
        <w:tblLayout w:type="fixed"/>
        <w:tblLook w:val="04A0"/>
      </w:tblPr>
      <w:tblGrid>
        <w:gridCol w:w="602"/>
        <w:gridCol w:w="851"/>
        <w:gridCol w:w="1275"/>
        <w:gridCol w:w="8931"/>
        <w:gridCol w:w="2085"/>
      </w:tblGrid>
      <w:tr w:rsidR="002A5A5E" w:rsidRPr="00F9522B">
        <w:trPr>
          <w:trHeight w:val="402"/>
          <w:jc w:val="center"/>
        </w:trPr>
        <w:tc>
          <w:tcPr>
            <w:tcW w:w="602" w:type="dxa"/>
            <w:vMerge w:val="restart"/>
            <w:tcMar>
              <w:left w:w="0" w:type="dxa"/>
              <w:right w:w="0" w:type="dxa"/>
            </w:tcMar>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运营期</w:t>
            </w:r>
          </w:p>
        </w:tc>
        <w:tc>
          <w:tcPr>
            <w:tcW w:w="851" w:type="dxa"/>
            <w:vAlign w:val="center"/>
          </w:tcPr>
          <w:p w:rsidR="002A5A5E" w:rsidRPr="00F9522B" w:rsidRDefault="00611CBA">
            <w:pPr>
              <w:pStyle w:val="aff7"/>
              <w:rPr>
                <w:rFonts w:eastAsiaTheme="minorEastAsia" w:hAnsi="Times New Roman"/>
                <w:snapToGrid w:val="0"/>
              </w:rPr>
            </w:pPr>
            <w:r w:rsidRPr="00F9522B">
              <w:rPr>
                <w:rFonts w:eastAsiaTheme="minorEastAsia" w:hAnsi="Times New Roman"/>
                <w:snapToGrid w:val="0"/>
              </w:rPr>
              <w:t>地下水</w:t>
            </w:r>
          </w:p>
        </w:tc>
        <w:tc>
          <w:tcPr>
            <w:tcW w:w="1275" w:type="dxa"/>
            <w:vAlign w:val="center"/>
          </w:tcPr>
          <w:p w:rsidR="002A5A5E" w:rsidRPr="00F9522B" w:rsidRDefault="00611CBA">
            <w:pPr>
              <w:pStyle w:val="aff7"/>
              <w:rPr>
                <w:rFonts w:eastAsiaTheme="minorEastAsia" w:hAnsi="Times New Roman"/>
                <w:snapToGrid w:val="0"/>
              </w:rPr>
            </w:pPr>
            <w:r w:rsidRPr="00F9522B">
              <w:rPr>
                <w:rFonts w:eastAsiaTheme="minorEastAsia" w:hAnsi="Times New Roman"/>
              </w:rPr>
              <w:t>水位、</w:t>
            </w:r>
            <w:r w:rsidRPr="00F9522B">
              <w:rPr>
                <w:rFonts w:eastAsiaTheme="minorEastAsia" w:hAnsi="Times New Roman"/>
              </w:rPr>
              <w:t>pH</w:t>
            </w:r>
            <w:r w:rsidRPr="00F9522B">
              <w:rPr>
                <w:rFonts w:eastAsiaTheme="minorEastAsia" w:hAnsi="Times New Roman"/>
              </w:rPr>
              <w:t>、氨氮、耗氧量</w:t>
            </w:r>
          </w:p>
        </w:tc>
        <w:tc>
          <w:tcPr>
            <w:tcW w:w="8931" w:type="dxa"/>
            <w:vAlign w:val="center"/>
          </w:tcPr>
          <w:p w:rsidR="002A5A5E" w:rsidRPr="00F9522B" w:rsidRDefault="00611CBA">
            <w:pPr>
              <w:pStyle w:val="aff7"/>
              <w:rPr>
                <w:rFonts w:eastAsiaTheme="minorEastAsia" w:hAnsi="Times New Roman"/>
                <w:snapToGrid w:val="0"/>
              </w:rPr>
            </w:pPr>
            <w:r w:rsidRPr="00F9522B">
              <w:rPr>
                <w:rFonts w:eastAsiaTheme="minorEastAsia" w:hAnsi="Times New Roman"/>
              </w:rPr>
              <w:t>分布均匀选取本项目</w:t>
            </w:r>
            <w:r w:rsidRPr="00F9522B">
              <w:rPr>
                <w:rFonts w:eastAsiaTheme="minorEastAsia" w:hAnsi="Times New Roman"/>
              </w:rPr>
              <w:t>3</w:t>
            </w:r>
            <w:r w:rsidRPr="00F9522B">
              <w:rPr>
                <w:rFonts w:eastAsiaTheme="minorEastAsia" w:hAnsi="Times New Roman"/>
              </w:rPr>
              <w:t>口灌溉井</w:t>
            </w:r>
            <w:r w:rsidRPr="00F9522B">
              <w:rPr>
                <w:rFonts w:eastAsiaTheme="minorEastAsia" w:hAnsi="Times New Roman"/>
                <w:lang w:val="zh-CN"/>
              </w:rPr>
              <w:t>（</w:t>
            </w:r>
            <w:r w:rsidR="00123CA8" w:rsidRPr="00F9522B">
              <w:rPr>
                <w:rFonts w:eastAsiaTheme="minorEastAsia" w:hAnsi="Times New Roman"/>
              </w:rPr>
              <w:t>榆林</w:t>
            </w:r>
            <w:r w:rsidR="00123CA8" w:rsidRPr="00F9522B">
              <w:rPr>
                <w:rFonts w:eastAsiaTheme="minorEastAsia" w:hAnsi="Times New Roman"/>
              </w:rPr>
              <w:t>2#</w:t>
            </w:r>
            <w:r w:rsidR="00123CA8" w:rsidRPr="00F9522B">
              <w:rPr>
                <w:rFonts w:eastAsiaTheme="minorEastAsia" w:hAnsi="Times New Roman"/>
              </w:rPr>
              <w:t>灌溉井、傅井</w:t>
            </w:r>
            <w:r w:rsidR="00123CA8" w:rsidRPr="00F9522B">
              <w:rPr>
                <w:rFonts w:eastAsiaTheme="minorEastAsia" w:hAnsi="Times New Roman"/>
              </w:rPr>
              <w:t>2#</w:t>
            </w:r>
            <w:r w:rsidR="00123CA8" w:rsidRPr="00F9522B">
              <w:rPr>
                <w:rFonts w:eastAsiaTheme="minorEastAsia" w:hAnsi="Times New Roman"/>
              </w:rPr>
              <w:t>灌溉井、永胜</w:t>
            </w:r>
            <w:r w:rsidR="00123CA8" w:rsidRPr="00F9522B">
              <w:rPr>
                <w:rFonts w:eastAsiaTheme="minorEastAsia" w:hAnsi="Times New Roman"/>
              </w:rPr>
              <w:t>1#</w:t>
            </w:r>
            <w:r w:rsidR="00123CA8" w:rsidRPr="00F9522B">
              <w:rPr>
                <w:rFonts w:eastAsiaTheme="minorEastAsia" w:hAnsi="Times New Roman"/>
              </w:rPr>
              <w:t>灌溉井</w:t>
            </w:r>
            <w:r w:rsidRPr="00F9522B">
              <w:rPr>
                <w:rFonts w:eastAsiaTheme="minorEastAsia" w:hAnsi="Times New Roman"/>
                <w:lang w:val="zh-CN"/>
              </w:rPr>
              <w:t>）</w:t>
            </w:r>
            <w:r w:rsidRPr="00F9522B">
              <w:rPr>
                <w:rFonts w:eastAsiaTheme="minorEastAsia" w:hAnsi="Times New Roman"/>
              </w:rPr>
              <w:t>作为跟踪监测井</w:t>
            </w:r>
          </w:p>
        </w:tc>
        <w:tc>
          <w:tcPr>
            <w:tcW w:w="2085" w:type="dxa"/>
            <w:vAlign w:val="center"/>
          </w:tcPr>
          <w:p w:rsidR="002A5A5E" w:rsidRPr="00F9522B" w:rsidRDefault="00611CBA">
            <w:pPr>
              <w:spacing w:line="0" w:lineRule="atLeast"/>
              <w:jc w:val="center"/>
              <w:rPr>
                <w:rFonts w:eastAsiaTheme="minorEastAsia"/>
              </w:rPr>
            </w:pPr>
            <w:r w:rsidRPr="00F9522B">
              <w:rPr>
                <w:rFonts w:eastAsiaTheme="minorEastAsia"/>
                <w:szCs w:val="21"/>
              </w:rPr>
              <w:t>《地下水质量标准》</w:t>
            </w:r>
            <w:r w:rsidRPr="00F9522B">
              <w:rPr>
                <w:rFonts w:eastAsiaTheme="minorEastAsia"/>
                <w:szCs w:val="21"/>
              </w:rPr>
              <w:t>(GB/T14848-2017)Ⅲ</w:t>
            </w:r>
            <w:r w:rsidRPr="00F9522B">
              <w:rPr>
                <w:rFonts w:eastAsiaTheme="minorEastAsia"/>
                <w:szCs w:val="21"/>
              </w:rPr>
              <w:t>类标准</w:t>
            </w:r>
          </w:p>
        </w:tc>
      </w:tr>
      <w:tr w:rsidR="002A5A5E" w:rsidRPr="00F9522B">
        <w:trPr>
          <w:trHeight w:val="430"/>
          <w:jc w:val="center"/>
        </w:trPr>
        <w:tc>
          <w:tcPr>
            <w:tcW w:w="602" w:type="dxa"/>
            <w:vMerge/>
            <w:tcMar>
              <w:left w:w="0" w:type="dxa"/>
              <w:right w:w="0" w:type="dxa"/>
            </w:tcMar>
            <w:vAlign w:val="center"/>
          </w:tcPr>
          <w:p w:rsidR="002A5A5E" w:rsidRPr="00F9522B" w:rsidRDefault="002A5A5E">
            <w:pPr>
              <w:spacing w:line="0" w:lineRule="atLeast"/>
              <w:jc w:val="center"/>
              <w:rPr>
                <w:rFonts w:eastAsiaTheme="minorEastAsia"/>
                <w:szCs w:val="21"/>
              </w:rPr>
            </w:pPr>
          </w:p>
        </w:tc>
        <w:tc>
          <w:tcPr>
            <w:tcW w:w="851" w:type="dxa"/>
            <w:vAlign w:val="center"/>
          </w:tcPr>
          <w:p w:rsidR="002A5A5E" w:rsidRPr="00F9522B" w:rsidRDefault="00611CBA">
            <w:pPr>
              <w:pStyle w:val="aff7"/>
              <w:rPr>
                <w:rFonts w:eastAsiaTheme="minorEastAsia" w:hAnsi="Times New Roman"/>
                <w:snapToGrid w:val="0"/>
              </w:rPr>
            </w:pPr>
            <w:r w:rsidRPr="00F9522B">
              <w:rPr>
                <w:rFonts w:eastAsiaTheme="minorEastAsia" w:hAnsi="Times New Roman"/>
                <w:snapToGrid w:val="0"/>
              </w:rPr>
              <w:t>废气</w:t>
            </w:r>
          </w:p>
        </w:tc>
        <w:tc>
          <w:tcPr>
            <w:tcW w:w="1275" w:type="dxa"/>
            <w:vAlign w:val="center"/>
          </w:tcPr>
          <w:p w:rsidR="002A5A5E" w:rsidRPr="00F9522B" w:rsidRDefault="00611CBA">
            <w:pPr>
              <w:pStyle w:val="aff7"/>
              <w:rPr>
                <w:rFonts w:eastAsiaTheme="minorEastAsia" w:hAnsi="Times New Roman"/>
                <w:snapToGrid w:val="0"/>
              </w:rPr>
            </w:pPr>
            <w:r w:rsidRPr="00F9522B">
              <w:rPr>
                <w:rFonts w:eastAsiaTheme="minorEastAsia" w:hAnsi="Times New Roman"/>
                <w:bCs/>
                <w:snapToGrid w:val="0"/>
              </w:rPr>
              <w:t>CO</w:t>
            </w:r>
            <w:r w:rsidRPr="00F9522B">
              <w:rPr>
                <w:rFonts w:eastAsiaTheme="minorEastAsia" w:hAnsi="Times New Roman"/>
                <w:bCs/>
                <w:snapToGrid w:val="0"/>
              </w:rPr>
              <w:t>、</w:t>
            </w:r>
            <w:r w:rsidRPr="00F9522B">
              <w:rPr>
                <w:rFonts w:eastAsiaTheme="minorEastAsia" w:hAnsi="Times New Roman"/>
                <w:bCs/>
                <w:snapToGrid w:val="0"/>
              </w:rPr>
              <w:t>HC+NOx</w:t>
            </w:r>
            <w:r w:rsidRPr="00F9522B">
              <w:rPr>
                <w:rFonts w:eastAsiaTheme="minorEastAsia" w:hAnsi="Times New Roman"/>
                <w:bCs/>
                <w:snapToGrid w:val="0"/>
              </w:rPr>
              <w:t>、</w:t>
            </w:r>
            <w:r w:rsidRPr="00F9522B">
              <w:rPr>
                <w:rFonts w:eastAsiaTheme="minorEastAsia" w:hAnsi="Times New Roman"/>
                <w:bCs/>
                <w:snapToGrid w:val="0"/>
              </w:rPr>
              <w:t>THC</w:t>
            </w:r>
          </w:p>
        </w:tc>
        <w:tc>
          <w:tcPr>
            <w:tcW w:w="8931" w:type="dxa"/>
            <w:vAlign w:val="center"/>
          </w:tcPr>
          <w:p w:rsidR="002A5A5E" w:rsidRPr="00F9522B" w:rsidRDefault="00611CBA">
            <w:pPr>
              <w:pStyle w:val="aff7"/>
              <w:rPr>
                <w:rFonts w:eastAsiaTheme="minorEastAsia" w:hAnsi="Times New Roman"/>
              </w:rPr>
            </w:pPr>
            <w:r w:rsidRPr="00F9522B">
              <w:rPr>
                <w:rFonts w:eastAsiaTheme="minorEastAsia" w:hAnsi="Times New Roman"/>
                <w:kern w:val="0"/>
              </w:rPr>
              <w:t>田间道路</w:t>
            </w:r>
            <w:r w:rsidRPr="00F9522B">
              <w:rPr>
                <w:rFonts w:eastAsiaTheme="minorEastAsia" w:hAnsi="Times New Roman"/>
              </w:rPr>
              <w:t>车辆通过会产生少量汽车尾气，采取限速措施；排水沟仅在降水无法排出情况下采用柴油机移动泵车进行排水，使用时间较短，采用轻质柴油，减少柴油机移动泵车废气影响</w:t>
            </w:r>
          </w:p>
        </w:tc>
        <w:tc>
          <w:tcPr>
            <w:tcW w:w="2085" w:type="dxa"/>
            <w:vAlign w:val="center"/>
          </w:tcPr>
          <w:p w:rsidR="002A5A5E" w:rsidRPr="00F9522B" w:rsidRDefault="00611CBA">
            <w:pPr>
              <w:spacing w:line="0" w:lineRule="atLeast"/>
              <w:jc w:val="center"/>
              <w:rPr>
                <w:rFonts w:eastAsiaTheme="minorEastAsia"/>
                <w:szCs w:val="21"/>
              </w:rPr>
            </w:pPr>
            <w:r w:rsidRPr="00F9522B">
              <w:rPr>
                <w:rFonts w:eastAsiaTheme="minorEastAsia"/>
                <w:szCs w:val="21"/>
              </w:rPr>
              <w:t>GB20891-2014</w:t>
            </w:r>
            <w:r w:rsidRPr="00F9522B">
              <w:rPr>
                <w:rFonts w:eastAsiaTheme="minorEastAsia"/>
                <w:szCs w:val="21"/>
              </w:rPr>
              <w:t>《非道路移动机械用柴油机排气污染物排放限值及测量方法（中国三、四阶段）》中第四阶段（</w:t>
            </w:r>
            <w:r w:rsidRPr="00F9522B">
              <w:rPr>
                <w:rFonts w:eastAsiaTheme="minorEastAsia"/>
                <w:szCs w:val="21"/>
              </w:rPr>
              <w:t>130</w:t>
            </w:r>
            <w:r w:rsidRPr="00F9522B">
              <w:rPr>
                <w:rFonts w:eastAsiaTheme="minorEastAsia"/>
                <w:szCs w:val="21"/>
              </w:rPr>
              <w:t>＜额定功率＜</w:t>
            </w:r>
            <w:r w:rsidRPr="00F9522B">
              <w:rPr>
                <w:rFonts w:eastAsiaTheme="minorEastAsia"/>
                <w:szCs w:val="21"/>
              </w:rPr>
              <w:t>560kW</w:t>
            </w:r>
            <w:r w:rsidRPr="00F9522B">
              <w:rPr>
                <w:rFonts w:eastAsiaTheme="minorEastAsia"/>
                <w:szCs w:val="21"/>
              </w:rPr>
              <w:t>）</w:t>
            </w:r>
          </w:p>
        </w:tc>
      </w:tr>
    </w:tbl>
    <w:p w:rsidR="002A5A5E" w:rsidRPr="00F9522B" w:rsidRDefault="002A5A5E">
      <w:pPr>
        <w:widowControl/>
        <w:jc w:val="left"/>
        <w:rPr>
          <w:rFonts w:eastAsiaTheme="minorEastAsia"/>
          <w:kern w:val="0"/>
          <w:sz w:val="24"/>
        </w:rPr>
      </w:pPr>
    </w:p>
    <w:p w:rsidR="002A5A5E" w:rsidRPr="00F9522B" w:rsidRDefault="002A5A5E">
      <w:pPr>
        <w:widowControl/>
        <w:jc w:val="left"/>
        <w:rPr>
          <w:rFonts w:eastAsiaTheme="minorEastAsia"/>
          <w:kern w:val="0"/>
          <w:sz w:val="24"/>
        </w:rPr>
        <w:sectPr w:rsidR="002A5A5E" w:rsidRPr="00F9522B">
          <w:pgSz w:w="16838" w:h="11906" w:orient="landscape"/>
          <w:pgMar w:top="1800" w:right="1440" w:bottom="1800" w:left="1440" w:header="851" w:footer="992" w:gutter="0"/>
          <w:cols w:space="720"/>
          <w:docGrid w:type="lines" w:linePitch="326"/>
        </w:sectPr>
      </w:pPr>
    </w:p>
    <w:p w:rsidR="002A5A5E" w:rsidRPr="00F9522B" w:rsidRDefault="00611CBA">
      <w:pPr>
        <w:spacing w:before="100" w:beforeAutospacing="1" w:after="100" w:afterAutospacing="1"/>
        <w:contextualSpacing/>
        <w:jc w:val="left"/>
        <w:outlineLvl w:val="1"/>
        <w:rPr>
          <w:rFonts w:eastAsiaTheme="minorEastAsia"/>
          <w:b/>
          <w:bCs/>
          <w:kern w:val="44"/>
          <w:sz w:val="30"/>
          <w:szCs w:val="30"/>
        </w:rPr>
      </w:pPr>
      <w:bookmarkStart w:id="175" w:name="_Toc208906255"/>
      <w:bookmarkStart w:id="176" w:name="_Toc15991728"/>
      <w:bookmarkStart w:id="177" w:name="_Toc454962811"/>
      <w:bookmarkStart w:id="178" w:name="_Toc477954592"/>
      <w:r w:rsidRPr="00F9522B">
        <w:rPr>
          <w:rFonts w:eastAsiaTheme="minorEastAsia"/>
          <w:b/>
          <w:bCs/>
          <w:kern w:val="44"/>
          <w:sz w:val="30"/>
          <w:szCs w:val="30"/>
        </w:rPr>
        <w:lastRenderedPageBreak/>
        <w:t>8.4</w:t>
      </w:r>
      <w:r w:rsidRPr="00F9522B">
        <w:rPr>
          <w:rFonts w:eastAsiaTheme="minorEastAsia"/>
          <w:b/>
          <w:bCs/>
          <w:kern w:val="44"/>
          <w:sz w:val="30"/>
          <w:szCs w:val="30"/>
        </w:rPr>
        <w:t>总量控制</w:t>
      </w:r>
      <w:bookmarkEnd w:id="175"/>
      <w:bookmarkEnd w:id="176"/>
    </w:p>
    <w:p w:rsidR="002A5A5E" w:rsidRPr="00F9522B" w:rsidRDefault="00611CBA">
      <w:pPr>
        <w:keepNext/>
        <w:keepLines/>
        <w:spacing w:before="100" w:beforeAutospacing="1" w:after="100" w:afterAutospacing="1"/>
        <w:outlineLvl w:val="2"/>
        <w:rPr>
          <w:rFonts w:eastAsiaTheme="minorEastAsia"/>
          <w:b/>
          <w:sz w:val="28"/>
          <w:szCs w:val="28"/>
        </w:rPr>
      </w:pPr>
      <w:bookmarkStart w:id="179" w:name="_Toc15991729"/>
      <w:r w:rsidRPr="00F9522B">
        <w:rPr>
          <w:rFonts w:eastAsiaTheme="minorEastAsia"/>
          <w:b/>
          <w:sz w:val="28"/>
          <w:szCs w:val="28"/>
        </w:rPr>
        <w:t>8.4.1</w:t>
      </w:r>
      <w:r w:rsidRPr="00F9522B">
        <w:rPr>
          <w:rFonts w:eastAsiaTheme="minorEastAsia"/>
          <w:b/>
          <w:sz w:val="28"/>
          <w:szCs w:val="28"/>
        </w:rPr>
        <w:t>总量控制的意义和原则</w:t>
      </w:r>
      <w:bookmarkEnd w:id="179"/>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实施总量控制将促进资源、能源的合理利用和优化配置，加速产业结构的调整，实现经济增长方式的根本转变；实施总量控制可以较好地协调经济发展与环境保护之间的关系，推动可持续发展战略的实行。</w:t>
      </w:r>
    </w:p>
    <w:p w:rsidR="002A5A5E" w:rsidRPr="00F9522B" w:rsidRDefault="00611CBA">
      <w:pPr>
        <w:keepNext/>
        <w:keepLines/>
        <w:spacing w:before="100" w:beforeAutospacing="1" w:after="100" w:afterAutospacing="1"/>
        <w:outlineLvl w:val="2"/>
        <w:rPr>
          <w:rFonts w:eastAsiaTheme="minorEastAsia"/>
          <w:b/>
          <w:sz w:val="28"/>
          <w:szCs w:val="28"/>
        </w:rPr>
      </w:pPr>
      <w:bookmarkStart w:id="180" w:name="_Toc15991730"/>
      <w:r w:rsidRPr="00F9522B">
        <w:rPr>
          <w:rFonts w:eastAsiaTheme="minorEastAsia"/>
          <w:b/>
          <w:sz w:val="28"/>
          <w:szCs w:val="28"/>
        </w:rPr>
        <w:t>8.4.2</w:t>
      </w:r>
      <w:r w:rsidRPr="00F9522B">
        <w:rPr>
          <w:rFonts w:eastAsiaTheme="minorEastAsia"/>
          <w:b/>
          <w:sz w:val="28"/>
          <w:szCs w:val="28"/>
        </w:rPr>
        <w:t>总量控制因子</w:t>
      </w:r>
      <w:bookmarkEnd w:id="180"/>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本项目无总量控制因子。</w:t>
      </w:r>
      <w:bookmarkEnd w:id="177"/>
      <w:bookmarkEnd w:id="178"/>
    </w:p>
    <w:p w:rsidR="002A5A5E" w:rsidRPr="00F9522B" w:rsidRDefault="002A5A5E">
      <w:pPr>
        <w:widowControl/>
        <w:spacing w:line="360" w:lineRule="auto"/>
        <w:jc w:val="left"/>
        <w:rPr>
          <w:rFonts w:eastAsiaTheme="minorEastAsia"/>
          <w:b/>
          <w:szCs w:val="22"/>
        </w:rPr>
        <w:sectPr w:rsidR="002A5A5E" w:rsidRPr="00F9522B">
          <w:pgSz w:w="11906" w:h="16838"/>
          <w:pgMar w:top="1440" w:right="1800" w:bottom="1440" w:left="1800" w:header="851" w:footer="992" w:gutter="0"/>
          <w:cols w:space="720"/>
          <w:docGrid w:type="lines" w:linePitch="312"/>
        </w:sectPr>
      </w:pPr>
    </w:p>
    <w:p w:rsidR="002A5A5E" w:rsidRPr="00F9522B" w:rsidRDefault="00611CBA">
      <w:pPr>
        <w:widowControl/>
        <w:tabs>
          <w:tab w:val="left" w:leader="middleDot" w:pos="7371"/>
        </w:tabs>
        <w:spacing w:before="100" w:beforeAutospacing="1" w:after="100" w:afterAutospacing="1"/>
        <w:contextualSpacing/>
        <w:jc w:val="left"/>
        <w:outlineLvl w:val="0"/>
        <w:rPr>
          <w:rFonts w:eastAsiaTheme="minorEastAsia"/>
          <w:b/>
          <w:kern w:val="0"/>
          <w:sz w:val="32"/>
          <w:szCs w:val="32"/>
        </w:rPr>
      </w:pPr>
      <w:bookmarkStart w:id="181" w:name="_Toc477954594"/>
      <w:bookmarkStart w:id="182" w:name="_Toc484077219"/>
      <w:bookmarkStart w:id="183" w:name="_Toc208906256"/>
      <w:r w:rsidRPr="00F9522B">
        <w:rPr>
          <w:rFonts w:eastAsiaTheme="minorEastAsia"/>
          <w:b/>
          <w:kern w:val="0"/>
          <w:sz w:val="32"/>
          <w:szCs w:val="32"/>
        </w:rPr>
        <w:lastRenderedPageBreak/>
        <w:t>9</w:t>
      </w:r>
      <w:r w:rsidRPr="00F9522B">
        <w:rPr>
          <w:rFonts w:eastAsiaTheme="minorEastAsia"/>
          <w:b/>
          <w:kern w:val="0"/>
          <w:sz w:val="32"/>
          <w:szCs w:val="32"/>
        </w:rPr>
        <w:t>环境影响评价结论</w:t>
      </w:r>
      <w:bookmarkEnd w:id="181"/>
      <w:bookmarkEnd w:id="182"/>
      <w:bookmarkEnd w:id="183"/>
    </w:p>
    <w:p w:rsidR="002A5A5E" w:rsidRPr="00F9522B" w:rsidRDefault="00611CBA">
      <w:pPr>
        <w:spacing w:before="100" w:beforeAutospacing="1" w:after="100" w:afterAutospacing="1"/>
        <w:contextualSpacing/>
        <w:jc w:val="left"/>
        <w:outlineLvl w:val="1"/>
        <w:rPr>
          <w:rFonts w:eastAsiaTheme="minorEastAsia"/>
          <w:b/>
          <w:bCs/>
          <w:kern w:val="44"/>
          <w:sz w:val="30"/>
          <w:szCs w:val="30"/>
        </w:rPr>
      </w:pPr>
      <w:bookmarkStart w:id="184" w:name="_Toc15991734"/>
      <w:bookmarkStart w:id="185" w:name="_Toc477368706"/>
      <w:bookmarkStart w:id="186" w:name="_Toc457030108"/>
      <w:bookmarkStart w:id="187" w:name="_Toc208906257"/>
      <w:r w:rsidRPr="00F9522B">
        <w:rPr>
          <w:rFonts w:eastAsiaTheme="minorEastAsia"/>
          <w:b/>
          <w:bCs/>
          <w:kern w:val="44"/>
          <w:sz w:val="30"/>
          <w:szCs w:val="30"/>
        </w:rPr>
        <w:t>9.1</w:t>
      </w:r>
      <w:r w:rsidRPr="00F9522B">
        <w:rPr>
          <w:rFonts w:eastAsiaTheme="minorEastAsia"/>
          <w:b/>
          <w:bCs/>
          <w:kern w:val="44"/>
          <w:sz w:val="30"/>
          <w:szCs w:val="30"/>
        </w:rPr>
        <w:t>评价结论</w:t>
      </w:r>
      <w:bookmarkEnd w:id="184"/>
      <w:bookmarkEnd w:id="185"/>
      <w:bookmarkEnd w:id="186"/>
      <w:bookmarkEnd w:id="187"/>
    </w:p>
    <w:p w:rsidR="002A5A5E" w:rsidRPr="00F9522B" w:rsidRDefault="00611CBA">
      <w:pPr>
        <w:keepNext/>
        <w:keepLines/>
        <w:spacing w:before="100" w:beforeAutospacing="1" w:after="100" w:afterAutospacing="1"/>
        <w:outlineLvl w:val="2"/>
        <w:rPr>
          <w:rFonts w:eastAsiaTheme="minorEastAsia"/>
          <w:b/>
          <w:sz w:val="28"/>
          <w:szCs w:val="28"/>
        </w:rPr>
      </w:pPr>
      <w:bookmarkStart w:id="188" w:name="_Toc15991735"/>
      <w:r w:rsidRPr="00F9522B">
        <w:rPr>
          <w:rFonts w:eastAsiaTheme="minorEastAsia"/>
          <w:b/>
          <w:sz w:val="28"/>
          <w:szCs w:val="28"/>
        </w:rPr>
        <w:t>9.1.1</w:t>
      </w:r>
      <w:r w:rsidRPr="00F9522B">
        <w:rPr>
          <w:rFonts w:eastAsiaTheme="minorEastAsia"/>
          <w:b/>
          <w:sz w:val="28"/>
          <w:szCs w:val="28"/>
        </w:rPr>
        <w:t>建设概况</w:t>
      </w:r>
      <w:bookmarkEnd w:id="188"/>
    </w:p>
    <w:p w:rsidR="002A5A5E" w:rsidRPr="00F9522B" w:rsidRDefault="00611CBA">
      <w:pPr>
        <w:spacing w:line="360" w:lineRule="auto"/>
        <w:ind w:firstLineChars="200" w:firstLine="480"/>
        <w:contextualSpacing/>
        <w:rPr>
          <w:rFonts w:eastAsiaTheme="minorEastAsia"/>
          <w:sz w:val="24"/>
        </w:rPr>
      </w:pPr>
      <w:bookmarkStart w:id="189" w:name="_Toc15991736"/>
      <w:r w:rsidRPr="00F9522B">
        <w:rPr>
          <w:rFonts w:eastAsiaTheme="minorEastAsia"/>
          <w:sz w:val="24"/>
        </w:rPr>
        <w:t>本项目为</w:t>
      </w:r>
      <w:r w:rsidR="003A7922" w:rsidRPr="00F9522B">
        <w:rPr>
          <w:rFonts w:eastAsiaTheme="minorEastAsia"/>
          <w:sz w:val="24"/>
        </w:rPr>
        <w:t>呼兰区</w:t>
      </w:r>
      <w:r w:rsidR="003A7922" w:rsidRPr="00F9522B">
        <w:rPr>
          <w:rFonts w:eastAsiaTheme="minorEastAsia"/>
          <w:sz w:val="24"/>
        </w:rPr>
        <w:t>2026</w:t>
      </w:r>
      <w:r w:rsidR="003A7922" w:rsidRPr="00F9522B">
        <w:rPr>
          <w:rFonts w:eastAsiaTheme="minorEastAsia"/>
          <w:sz w:val="24"/>
        </w:rPr>
        <w:t>年高标准农田建设项目</w:t>
      </w:r>
      <w:r w:rsidRPr="00F9522B">
        <w:rPr>
          <w:rFonts w:eastAsiaTheme="minorEastAsia"/>
          <w:sz w:val="24"/>
        </w:rPr>
        <w:t>，位于</w:t>
      </w:r>
      <w:r w:rsidR="00140308" w:rsidRPr="00F9522B">
        <w:rPr>
          <w:rFonts w:eastAsiaTheme="minorEastAsia"/>
          <w:sz w:val="24"/>
        </w:rPr>
        <w:t>黑龙江省哈尔滨市呼兰区二八镇阿堡村、鲍堡村、二八村、傅井村、头屯村、王柱村、元宝村、长山村；方台镇的方台村、高家村、宋家村、榆林村；康金街道的金城村、永胜村、历井村、孟井村、双合村、苏德村、王牛村、王佩村、东井村、西井村、杨木村、东腰村、历井农场、新农村；石人镇的城子村、古城村、金星村、石人村、永发村、永平村、于家村、双宝村、站前村</w:t>
      </w:r>
      <w:r w:rsidRPr="00F9522B">
        <w:rPr>
          <w:rFonts w:eastAsiaTheme="minorEastAsia"/>
          <w:sz w:val="24"/>
        </w:rPr>
        <w:t>。</w:t>
      </w:r>
    </w:p>
    <w:p w:rsidR="002A5A5E" w:rsidRPr="00F9522B" w:rsidRDefault="00611CBA">
      <w:pPr>
        <w:spacing w:line="360" w:lineRule="auto"/>
        <w:ind w:firstLineChars="200" w:firstLine="480"/>
        <w:contextualSpacing/>
        <w:rPr>
          <w:rFonts w:eastAsiaTheme="minorEastAsia"/>
          <w:sz w:val="24"/>
        </w:rPr>
      </w:pPr>
      <w:r w:rsidRPr="00F9522B">
        <w:rPr>
          <w:rFonts w:eastAsiaTheme="minorEastAsia"/>
          <w:sz w:val="24"/>
        </w:rPr>
        <w:t>主要建设田块整治工程：</w:t>
      </w:r>
      <w:r w:rsidR="003E49C4" w:rsidRPr="00F9522B">
        <w:rPr>
          <w:rFonts w:eastAsiaTheme="minorEastAsia"/>
          <w:sz w:val="24"/>
        </w:rPr>
        <w:t>旱田田块平整面积</w:t>
      </w:r>
      <w:r w:rsidR="003E49C4" w:rsidRPr="00F9522B">
        <w:rPr>
          <w:rFonts w:eastAsiaTheme="minorEastAsia"/>
          <w:sz w:val="24"/>
        </w:rPr>
        <w:t>1351.29</w:t>
      </w:r>
      <w:r w:rsidR="003E49C4" w:rsidRPr="00F9522B">
        <w:rPr>
          <w:rFonts w:eastAsiaTheme="minorEastAsia"/>
          <w:sz w:val="24"/>
        </w:rPr>
        <w:t>亩，客土回填面积</w:t>
      </w:r>
      <w:r w:rsidR="003E49C4" w:rsidRPr="00F9522B">
        <w:rPr>
          <w:rFonts w:eastAsiaTheme="minorEastAsia"/>
          <w:sz w:val="24"/>
        </w:rPr>
        <w:t>1659.91</w:t>
      </w:r>
      <w:r w:rsidR="003E49C4" w:rsidRPr="00F9522B">
        <w:rPr>
          <w:rFonts w:eastAsiaTheme="minorEastAsia"/>
          <w:sz w:val="24"/>
        </w:rPr>
        <w:t>亩；水田格田改造面积</w:t>
      </w:r>
      <w:r w:rsidR="003E49C4" w:rsidRPr="00F9522B">
        <w:rPr>
          <w:rFonts w:eastAsiaTheme="minorEastAsia"/>
          <w:sz w:val="24"/>
        </w:rPr>
        <w:t>428.89</w:t>
      </w:r>
      <w:r w:rsidR="003E49C4" w:rsidRPr="00F9522B">
        <w:rPr>
          <w:rFonts w:eastAsiaTheme="minorEastAsia"/>
          <w:sz w:val="24"/>
        </w:rPr>
        <w:t>亩；旱田障碍土层消除</w:t>
      </w:r>
      <w:r w:rsidR="003E49C4" w:rsidRPr="00F9522B">
        <w:rPr>
          <w:rFonts w:eastAsiaTheme="minorEastAsia"/>
          <w:sz w:val="24"/>
        </w:rPr>
        <w:t>47888</w:t>
      </w:r>
      <w:r w:rsidR="003E49C4" w:rsidRPr="00F9522B">
        <w:rPr>
          <w:rFonts w:eastAsiaTheme="minorEastAsia"/>
          <w:sz w:val="24"/>
        </w:rPr>
        <w:t>亩；沟头防护</w:t>
      </w:r>
      <w:r w:rsidR="003E49C4" w:rsidRPr="00F9522B">
        <w:rPr>
          <w:rFonts w:eastAsiaTheme="minorEastAsia"/>
          <w:sz w:val="24"/>
        </w:rPr>
        <w:t>200</w:t>
      </w:r>
      <w:r w:rsidR="003E49C4" w:rsidRPr="00F9522B">
        <w:rPr>
          <w:rFonts w:eastAsiaTheme="minorEastAsia"/>
          <w:sz w:val="24"/>
        </w:rPr>
        <w:t>座；岸坡防护</w:t>
      </w:r>
      <w:r w:rsidR="003E49C4" w:rsidRPr="00F9522B">
        <w:rPr>
          <w:rFonts w:eastAsiaTheme="minorEastAsia"/>
          <w:sz w:val="24"/>
        </w:rPr>
        <w:t>15.558</w:t>
      </w:r>
      <w:r w:rsidR="003E49C4" w:rsidRPr="00F9522B">
        <w:rPr>
          <w:rFonts w:eastAsiaTheme="minorEastAsia"/>
          <w:sz w:val="24"/>
        </w:rPr>
        <w:t>公里</w:t>
      </w:r>
      <w:r w:rsidRPr="00F9522B">
        <w:rPr>
          <w:rFonts w:eastAsiaTheme="minorEastAsia"/>
          <w:sz w:val="24"/>
        </w:rPr>
        <w:t>。灌溉与排水工程：</w:t>
      </w:r>
      <w:r w:rsidR="003E49C4" w:rsidRPr="00F9522B">
        <w:rPr>
          <w:rFonts w:eastAsiaTheme="minorEastAsia"/>
          <w:sz w:val="24"/>
        </w:rPr>
        <w:t>新打机电井</w:t>
      </w:r>
      <w:r w:rsidR="003E49C4" w:rsidRPr="00F9522B">
        <w:rPr>
          <w:rFonts w:eastAsiaTheme="minorEastAsia"/>
          <w:sz w:val="24"/>
        </w:rPr>
        <w:t>264</w:t>
      </w:r>
      <w:r w:rsidR="003E49C4" w:rsidRPr="00F9522B">
        <w:rPr>
          <w:rFonts w:eastAsiaTheme="minorEastAsia"/>
          <w:sz w:val="24"/>
        </w:rPr>
        <w:t>眼，配套井房</w:t>
      </w:r>
      <w:r w:rsidR="003E49C4" w:rsidRPr="00F9522B">
        <w:rPr>
          <w:rFonts w:eastAsiaTheme="minorEastAsia"/>
          <w:sz w:val="24"/>
        </w:rPr>
        <w:t>264</w:t>
      </w:r>
      <w:r w:rsidR="003E49C4" w:rsidRPr="00F9522B">
        <w:rPr>
          <w:rFonts w:eastAsiaTheme="minorEastAsia"/>
          <w:sz w:val="24"/>
        </w:rPr>
        <w:t>座、井泵</w:t>
      </w:r>
      <w:r w:rsidR="003E49C4" w:rsidRPr="00F9522B">
        <w:rPr>
          <w:rFonts w:eastAsiaTheme="minorEastAsia"/>
          <w:sz w:val="24"/>
        </w:rPr>
        <w:t>264</w:t>
      </w:r>
      <w:r w:rsidR="003E49C4" w:rsidRPr="00F9522B">
        <w:rPr>
          <w:rFonts w:eastAsiaTheme="minorEastAsia"/>
          <w:sz w:val="24"/>
        </w:rPr>
        <w:t>台，水肥一体灌溉面积</w:t>
      </w:r>
      <w:r w:rsidR="003E49C4" w:rsidRPr="00F9522B">
        <w:rPr>
          <w:rFonts w:eastAsiaTheme="minorEastAsia"/>
          <w:sz w:val="24"/>
        </w:rPr>
        <w:t>1.63</w:t>
      </w:r>
      <w:r w:rsidR="003E49C4" w:rsidRPr="00F9522B">
        <w:rPr>
          <w:rFonts w:eastAsiaTheme="minorEastAsia"/>
          <w:sz w:val="24"/>
        </w:rPr>
        <w:t>万亩；渠道衬砌</w:t>
      </w:r>
      <w:r w:rsidR="003E49C4" w:rsidRPr="00F9522B">
        <w:rPr>
          <w:rFonts w:eastAsiaTheme="minorEastAsia"/>
          <w:sz w:val="24"/>
        </w:rPr>
        <w:t>1.368km</w:t>
      </w:r>
      <w:r w:rsidR="003E49C4" w:rsidRPr="00F9522B">
        <w:rPr>
          <w:rFonts w:eastAsiaTheme="minorEastAsia"/>
          <w:sz w:val="24"/>
        </w:rPr>
        <w:t>；购置移动泵车</w:t>
      </w:r>
      <w:r w:rsidR="003E49C4" w:rsidRPr="00F9522B">
        <w:rPr>
          <w:rFonts w:eastAsiaTheme="minorEastAsia"/>
          <w:sz w:val="24"/>
        </w:rPr>
        <w:t>78</w:t>
      </w:r>
      <w:r w:rsidR="003E49C4" w:rsidRPr="00F9522B">
        <w:rPr>
          <w:rFonts w:eastAsiaTheme="minorEastAsia"/>
          <w:sz w:val="24"/>
        </w:rPr>
        <w:t>台；排水沟清淤</w:t>
      </w:r>
      <w:r w:rsidR="003E49C4" w:rsidRPr="00F9522B">
        <w:rPr>
          <w:rFonts w:eastAsiaTheme="minorEastAsia"/>
          <w:sz w:val="24"/>
        </w:rPr>
        <w:t>14.073km</w:t>
      </w:r>
      <w:r w:rsidR="003E49C4" w:rsidRPr="00F9522B">
        <w:rPr>
          <w:rFonts w:eastAsiaTheme="minorEastAsia"/>
          <w:sz w:val="24"/>
        </w:rPr>
        <w:t>，排水沟护砌</w:t>
      </w:r>
      <w:r w:rsidR="003E49C4" w:rsidRPr="00F9522B">
        <w:rPr>
          <w:rFonts w:eastAsiaTheme="minorEastAsia"/>
          <w:sz w:val="24"/>
        </w:rPr>
        <w:t>78.697km</w:t>
      </w:r>
      <w:r w:rsidR="003E49C4" w:rsidRPr="00F9522B">
        <w:rPr>
          <w:rFonts w:eastAsiaTheme="minorEastAsia"/>
          <w:sz w:val="24"/>
        </w:rPr>
        <w:t>；新建建筑物</w:t>
      </w:r>
      <w:r w:rsidR="003E49C4" w:rsidRPr="00F9522B">
        <w:rPr>
          <w:rFonts w:eastAsiaTheme="minorEastAsia"/>
          <w:sz w:val="24"/>
        </w:rPr>
        <w:t>1450</w:t>
      </w:r>
      <w:r w:rsidR="003E49C4" w:rsidRPr="00F9522B">
        <w:rPr>
          <w:rFonts w:eastAsiaTheme="minorEastAsia"/>
          <w:sz w:val="24"/>
        </w:rPr>
        <w:t>座，其中：涵洞</w:t>
      </w:r>
      <w:r w:rsidR="003E49C4" w:rsidRPr="00F9522B">
        <w:rPr>
          <w:rFonts w:eastAsiaTheme="minorEastAsia"/>
          <w:sz w:val="24"/>
        </w:rPr>
        <w:t>707</w:t>
      </w:r>
      <w:r w:rsidR="003E49C4" w:rsidRPr="00F9522B">
        <w:rPr>
          <w:rFonts w:eastAsiaTheme="minorEastAsia"/>
          <w:sz w:val="24"/>
        </w:rPr>
        <w:t>座，过水路面</w:t>
      </w:r>
      <w:r w:rsidR="003E49C4" w:rsidRPr="00F9522B">
        <w:rPr>
          <w:rFonts w:eastAsiaTheme="minorEastAsia"/>
          <w:sz w:val="24"/>
        </w:rPr>
        <w:t>742</w:t>
      </w:r>
      <w:r w:rsidR="003E49C4" w:rsidRPr="00F9522B">
        <w:rPr>
          <w:rFonts w:eastAsiaTheme="minorEastAsia"/>
          <w:sz w:val="24"/>
        </w:rPr>
        <w:t>座，渡槽</w:t>
      </w:r>
      <w:r w:rsidR="003E49C4" w:rsidRPr="00F9522B">
        <w:rPr>
          <w:rFonts w:eastAsiaTheme="minorEastAsia"/>
          <w:sz w:val="24"/>
        </w:rPr>
        <w:t>1</w:t>
      </w:r>
      <w:r w:rsidR="003E49C4" w:rsidRPr="00F9522B">
        <w:rPr>
          <w:rFonts w:eastAsiaTheme="minorEastAsia"/>
          <w:sz w:val="24"/>
        </w:rPr>
        <w:t>座</w:t>
      </w:r>
      <w:r w:rsidRPr="00F9522B">
        <w:rPr>
          <w:rFonts w:eastAsiaTheme="minorEastAsia"/>
          <w:sz w:val="24"/>
        </w:rPr>
        <w:t>。田间道路工程：</w:t>
      </w:r>
      <w:r w:rsidR="003E49C4" w:rsidRPr="00F9522B">
        <w:rPr>
          <w:rFonts w:eastAsiaTheme="minorEastAsia"/>
          <w:sz w:val="24"/>
        </w:rPr>
        <w:t>修缮道路</w:t>
      </w:r>
      <w:r w:rsidR="003E49C4" w:rsidRPr="00F9522B">
        <w:rPr>
          <w:rFonts w:eastAsiaTheme="minorEastAsia"/>
          <w:sz w:val="24"/>
        </w:rPr>
        <w:t>792</w:t>
      </w:r>
      <w:r w:rsidR="003E49C4" w:rsidRPr="00F9522B">
        <w:rPr>
          <w:rFonts w:eastAsiaTheme="minorEastAsia"/>
          <w:sz w:val="24"/>
        </w:rPr>
        <w:t>条，共</w:t>
      </w:r>
      <w:r w:rsidR="003E49C4" w:rsidRPr="00F9522B">
        <w:rPr>
          <w:rFonts w:eastAsiaTheme="minorEastAsia"/>
          <w:sz w:val="24"/>
        </w:rPr>
        <w:t>537.512km</w:t>
      </w:r>
      <w:r w:rsidR="003E49C4" w:rsidRPr="00F9522B">
        <w:rPr>
          <w:rFonts w:eastAsiaTheme="minorEastAsia"/>
          <w:sz w:val="24"/>
        </w:rPr>
        <w:t>，其中：机耕路（混凝土路面）</w:t>
      </w:r>
      <w:r w:rsidR="003E49C4" w:rsidRPr="00F9522B">
        <w:rPr>
          <w:rFonts w:eastAsiaTheme="minorEastAsia"/>
          <w:sz w:val="24"/>
        </w:rPr>
        <w:t>157</w:t>
      </w:r>
      <w:r w:rsidR="003E49C4" w:rsidRPr="00F9522B">
        <w:rPr>
          <w:rFonts w:eastAsiaTheme="minorEastAsia"/>
          <w:sz w:val="24"/>
        </w:rPr>
        <w:t>条，共</w:t>
      </w:r>
      <w:r w:rsidR="003E49C4" w:rsidRPr="00F9522B">
        <w:rPr>
          <w:rFonts w:eastAsiaTheme="minorEastAsia"/>
          <w:sz w:val="24"/>
        </w:rPr>
        <w:t>129.289km</w:t>
      </w:r>
      <w:r w:rsidR="003E49C4" w:rsidRPr="00F9522B">
        <w:rPr>
          <w:rFonts w:eastAsiaTheme="minorEastAsia"/>
          <w:sz w:val="24"/>
        </w:rPr>
        <w:t>；生产路（砂石路面）</w:t>
      </w:r>
      <w:r w:rsidR="003E49C4" w:rsidRPr="00F9522B">
        <w:rPr>
          <w:rFonts w:eastAsiaTheme="minorEastAsia"/>
          <w:sz w:val="24"/>
        </w:rPr>
        <w:t>635</w:t>
      </w:r>
      <w:r w:rsidR="003E49C4" w:rsidRPr="00F9522B">
        <w:rPr>
          <w:rFonts w:eastAsiaTheme="minorEastAsia"/>
          <w:sz w:val="24"/>
        </w:rPr>
        <w:t>条，共</w:t>
      </w:r>
      <w:r w:rsidR="003E49C4" w:rsidRPr="00F9522B">
        <w:rPr>
          <w:rFonts w:eastAsiaTheme="minorEastAsia"/>
          <w:sz w:val="24"/>
        </w:rPr>
        <w:t>408.223km</w:t>
      </w:r>
      <w:r w:rsidRPr="00F9522B">
        <w:rPr>
          <w:rFonts w:eastAsiaTheme="minorEastAsia"/>
          <w:sz w:val="24"/>
        </w:rPr>
        <w:t>。农田输配电工程：</w:t>
      </w:r>
      <w:r w:rsidR="003E49C4" w:rsidRPr="00F9522B">
        <w:rPr>
          <w:rFonts w:eastAsiaTheme="minorEastAsia"/>
          <w:sz w:val="24"/>
        </w:rPr>
        <w:t>新建</w:t>
      </w:r>
      <w:r w:rsidR="003E49C4" w:rsidRPr="00F9522B">
        <w:rPr>
          <w:rFonts w:eastAsiaTheme="minorEastAsia"/>
          <w:sz w:val="24"/>
        </w:rPr>
        <w:t>10kV</w:t>
      </w:r>
      <w:r w:rsidR="003E49C4" w:rsidRPr="00F9522B">
        <w:rPr>
          <w:rFonts w:eastAsiaTheme="minorEastAsia"/>
          <w:sz w:val="24"/>
        </w:rPr>
        <w:t>高压电缆线路</w:t>
      </w:r>
      <w:r w:rsidR="003E49C4" w:rsidRPr="00F9522B">
        <w:rPr>
          <w:rFonts w:eastAsiaTheme="minorEastAsia"/>
          <w:sz w:val="24"/>
        </w:rPr>
        <w:t>97.31km</w:t>
      </w:r>
      <w:r w:rsidR="003E49C4" w:rsidRPr="00F9522B">
        <w:rPr>
          <w:rFonts w:eastAsiaTheme="minorEastAsia"/>
          <w:sz w:val="24"/>
        </w:rPr>
        <w:t>，其中</w:t>
      </w:r>
      <w:r w:rsidR="003E49C4" w:rsidRPr="00F9522B">
        <w:rPr>
          <w:rFonts w:eastAsiaTheme="minorEastAsia"/>
          <w:sz w:val="24"/>
        </w:rPr>
        <w:t>10kV</w:t>
      </w:r>
      <w:r w:rsidR="003E49C4" w:rsidRPr="00F9522B">
        <w:rPr>
          <w:rFonts w:eastAsiaTheme="minorEastAsia"/>
          <w:sz w:val="24"/>
        </w:rPr>
        <w:t>高压架空线路</w:t>
      </w:r>
      <w:r w:rsidR="003E49C4" w:rsidRPr="00F9522B">
        <w:rPr>
          <w:rFonts w:eastAsiaTheme="minorEastAsia"/>
          <w:sz w:val="24"/>
        </w:rPr>
        <w:t>48.086km</w:t>
      </w:r>
      <w:r w:rsidR="003E49C4" w:rsidRPr="00F9522B">
        <w:rPr>
          <w:rFonts w:eastAsiaTheme="minorEastAsia"/>
          <w:sz w:val="24"/>
        </w:rPr>
        <w:t>、地埋线路</w:t>
      </w:r>
      <w:r w:rsidR="003E49C4" w:rsidRPr="00F9522B">
        <w:rPr>
          <w:rFonts w:eastAsiaTheme="minorEastAsia"/>
          <w:sz w:val="24"/>
        </w:rPr>
        <w:t>49.224km</w:t>
      </w:r>
      <w:r w:rsidR="003E49C4" w:rsidRPr="00F9522B">
        <w:rPr>
          <w:rFonts w:eastAsiaTheme="minorEastAsia"/>
          <w:sz w:val="24"/>
        </w:rPr>
        <w:t>；新建</w:t>
      </w:r>
      <w:r w:rsidR="003E49C4" w:rsidRPr="00F9522B">
        <w:rPr>
          <w:rFonts w:eastAsiaTheme="minorEastAsia"/>
          <w:sz w:val="24"/>
        </w:rPr>
        <w:t>0.4kV</w:t>
      </w:r>
      <w:r w:rsidR="003E49C4" w:rsidRPr="00F9522B">
        <w:rPr>
          <w:rFonts w:eastAsiaTheme="minorEastAsia"/>
          <w:sz w:val="24"/>
        </w:rPr>
        <w:t>低压地埋线路</w:t>
      </w:r>
      <w:r w:rsidR="003E49C4" w:rsidRPr="00F9522B">
        <w:rPr>
          <w:rFonts w:eastAsiaTheme="minorEastAsia"/>
          <w:sz w:val="24"/>
        </w:rPr>
        <w:t>29.676km</w:t>
      </w:r>
      <w:r w:rsidR="003E49C4" w:rsidRPr="00F9522B">
        <w:rPr>
          <w:rFonts w:eastAsiaTheme="minorEastAsia"/>
          <w:sz w:val="24"/>
        </w:rPr>
        <w:t>。</w:t>
      </w:r>
      <w:r w:rsidRPr="00F9522B">
        <w:rPr>
          <w:rFonts w:eastAsiaTheme="minorEastAsia"/>
          <w:sz w:val="24"/>
        </w:rPr>
        <w:t>配套</w:t>
      </w:r>
      <w:r w:rsidR="003D06B8" w:rsidRPr="00F9522B">
        <w:rPr>
          <w:rFonts w:eastAsiaTheme="minorEastAsia"/>
          <w:sz w:val="24"/>
        </w:rPr>
        <w:t>变压器</w:t>
      </w:r>
      <w:r w:rsidR="003D06B8" w:rsidRPr="00F9522B">
        <w:rPr>
          <w:rFonts w:eastAsiaTheme="minorEastAsia"/>
          <w:sz w:val="24"/>
        </w:rPr>
        <w:t>256</w:t>
      </w:r>
      <w:r w:rsidR="003D06B8" w:rsidRPr="00F9522B">
        <w:rPr>
          <w:rFonts w:eastAsiaTheme="minorEastAsia"/>
          <w:sz w:val="24"/>
        </w:rPr>
        <w:t>台</w:t>
      </w:r>
      <w:r w:rsidRPr="00F9522B">
        <w:rPr>
          <w:rFonts w:eastAsiaTheme="minorEastAsia"/>
          <w:sz w:val="24"/>
        </w:rPr>
        <w:t>。</w:t>
      </w:r>
      <w:r w:rsidR="00140B49" w:rsidRPr="00F9522B">
        <w:rPr>
          <w:rFonts w:eastAsiaTheme="minorEastAsia"/>
          <w:sz w:val="24"/>
        </w:rPr>
        <w:t>建设</w:t>
      </w:r>
      <w:r w:rsidR="00140B49" w:rsidRPr="00F9522B">
        <w:rPr>
          <w:rFonts w:eastAsiaTheme="minorEastAsia"/>
          <w:sz w:val="24"/>
        </w:rPr>
        <w:t>32</w:t>
      </w:r>
      <w:r w:rsidR="00140B49" w:rsidRPr="00F9522B">
        <w:rPr>
          <w:rFonts w:eastAsiaTheme="minorEastAsia"/>
          <w:sz w:val="24"/>
        </w:rPr>
        <w:t>万亩高标准农田（旱田</w:t>
      </w:r>
      <w:r w:rsidR="00140B49" w:rsidRPr="00F9522B">
        <w:rPr>
          <w:rFonts w:eastAsiaTheme="minorEastAsia"/>
          <w:sz w:val="24"/>
        </w:rPr>
        <w:t>31.53</w:t>
      </w:r>
      <w:r w:rsidR="00140B49" w:rsidRPr="00F9522B">
        <w:rPr>
          <w:rFonts w:eastAsiaTheme="minorEastAsia"/>
          <w:sz w:val="24"/>
        </w:rPr>
        <w:t>万亩，水田</w:t>
      </w:r>
      <w:r w:rsidR="00140B49" w:rsidRPr="00F9522B">
        <w:rPr>
          <w:rFonts w:eastAsiaTheme="minorEastAsia"/>
          <w:sz w:val="24"/>
        </w:rPr>
        <w:t>0.47</w:t>
      </w:r>
      <w:r w:rsidR="00140B49" w:rsidRPr="00F9522B">
        <w:rPr>
          <w:rFonts w:eastAsiaTheme="minorEastAsia"/>
          <w:sz w:val="24"/>
        </w:rPr>
        <w:t>万亩）</w:t>
      </w:r>
      <w:r w:rsidRPr="00F9522B">
        <w:rPr>
          <w:rFonts w:eastAsiaTheme="minorEastAsia"/>
          <w:sz w:val="24"/>
        </w:rPr>
        <w:t>。</w:t>
      </w:r>
    </w:p>
    <w:p w:rsidR="002A5A5E" w:rsidRPr="00F9522B" w:rsidRDefault="00611CBA">
      <w:pPr>
        <w:keepNext/>
        <w:keepLines/>
        <w:spacing w:before="100" w:beforeAutospacing="1" w:after="100" w:afterAutospacing="1"/>
        <w:outlineLvl w:val="2"/>
        <w:rPr>
          <w:rFonts w:eastAsiaTheme="minorEastAsia"/>
          <w:b/>
          <w:sz w:val="28"/>
          <w:szCs w:val="28"/>
        </w:rPr>
      </w:pPr>
      <w:r w:rsidRPr="00F9522B">
        <w:rPr>
          <w:rFonts w:eastAsiaTheme="minorEastAsia"/>
          <w:b/>
          <w:sz w:val="28"/>
          <w:szCs w:val="28"/>
        </w:rPr>
        <w:t>9.1.2</w:t>
      </w:r>
      <w:r w:rsidRPr="00F9522B">
        <w:rPr>
          <w:rFonts w:eastAsiaTheme="minorEastAsia"/>
          <w:b/>
          <w:sz w:val="28"/>
          <w:szCs w:val="28"/>
        </w:rPr>
        <w:t>项目符合性结论</w:t>
      </w:r>
      <w:bookmarkEnd w:id="189"/>
    </w:p>
    <w:p w:rsidR="002A5A5E" w:rsidRPr="00F9522B" w:rsidRDefault="00611CBA">
      <w:pPr>
        <w:autoSpaceDE w:val="0"/>
        <w:autoSpaceDN w:val="0"/>
        <w:spacing w:before="100" w:beforeAutospacing="1" w:after="100" w:afterAutospacing="1"/>
        <w:outlineLvl w:val="3"/>
        <w:rPr>
          <w:rFonts w:eastAsiaTheme="minorEastAsia"/>
          <w:b/>
          <w:bCs/>
          <w:sz w:val="24"/>
        </w:rPr>
      </w:pPr>
      <w:r w:rsidRPr="00F9522B">
        <w:rPr>
          <w:rFonts w:eastAsiaTheme="minorEastAsia"/>
          <w:b/>
          <w:bCs/>
          <w:sz w:val="24"/>
        </w:rPr>
        <w:t>9.1.2.1</w:t>
      </w:r>
      <w:r w:rsidRPr="00F9522B">
        <w:rPr>
          <w:rFonts w:eastAsiaTheme="minorEastAsia"/>
          <w:b/>
          <w:bCs/>
          <w:sz w:val="24"/>
        </w:rPr>
        <w:t>产业政策符合性结论</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本项目为高标准农田建设项目，根据《产业结构调整指导目录（</w:t>
      </w:r>
      <w:r w:rsidRPr="00F9522B">
        <w:rPr>
          <w:rFonts w:ascii="Times New Roman" w:hAnsi="Times New Roman" w:cs="Times New Roman"/>
        </w:rPr>
        <w:t>2024</w:t>
      </w:r>
      <w:r w:rsidRPr="00F9522B">
        <w:rPr>
          <w:rFonts w:ascii="Times New Roman" w:hAnsi="Times New Roman" w:cs="Times New Roman"/>
        </w:rPr>
        <w:t>年本）》，本项目属于第一类鼓励类、第一项</w:t>
      </w:r>
      <w:r w:rsidRPr="00F9522B">
        <w:rPr>
          <w:rFonts w:ascii="Times New Roman" w:hAnsi="Times New Roman" w:cs="Times New Roman"/>
        </w:rPr>
        <w:t>“</w:t>
      </w:r>
      <w:r w:rsidRPr="00F9522B">
        <w:rPr>
          <w:rFonts w:ascii="Times New Roman" w:hAnsi="Times New Roman" w:cs="Times New Roman"/>
        </w:rPr>
        <w:t>农林业</w:t>
      </w:r>
      <w:r w:rsidRPr="00F9522B">
        <w:rPr>
          <w:rFonts w:ascii="Times New Roman" w:hAnsi="Times New Roman" w:cs="Times New Roman"/>
        </w:rPr>
        <w:t>”</w:t>
      </w:r>
      <w:r w:rsidRPr="00F9522B">
        <w:rPr>
          <w:rFonts w:ascii="Times New Roman" w:hAnsi="Times New Roman" w:cs="Times New Roman"/>
        </w:rPr>
        <w:t>中</w:t>
      </w:r>
      <w:r w:rsidRPr="00F9522B">
        <w:rPr>
          <w:rFonts w:ascii="Times New Roman" w:hAnsi="Times New Roman" w:cs="Times New Roman"/>
        </w:rPr>
        <w:t>“1</w:t>
      </w:r>
      <w:r w:rsidRPr="00F9522B">
        <w:rPr>
          <w:rFonts w:ascii="Times New Roman" w:hAnsi="Times New Roman" w:cs="Times New Roman"/>
        </w:rPr>
        <w:t>、农田建设与保护工程（含高标准农田建设、农田水利建设、高效节水灌溉、农田整治等），土地综合整治</w:t>
      </w:r>
      <w:r w:rsidRPr="00F9522B">
        <w:rPr>
          <w:rFonts w:ascii="Times New Roman" w:hAnsi="Times New Roman" w:cs="Times New Roman"/>
        </w:rPr>
        <w:t>”</w:t>
      </w:r>
      <w:r w:rsidRPr="00F9522B">
        <w:rPr>
          <w:rFonts w:ascii="Times New Roman" w:hAnsi="Times New Roman" w:cs="Times New Roman"/>
        </w:rPr>
        <w:t>及鼓</w:t>
      </w:r>
      <w:r w:rsidRPr="00F9522B">
        <w:rPr>
          <w:rFonts w:ascii="Times New Roman" w:hAnsi="Times New Roman" w:cs="Times New Roman"/>
        </w:rPr>
        <w:lastRenderedPageBreak/>
        <w:t>励类二、水利中</w:t>
      </w:r>
      <w:r w:rsidRPr="00F9522B">
        <w:rPr>
          <w:rFonts w:ascii="Times New Roman" w:hAnsi="Times New Roman" w:cs="Times New Roman"/>
        </w:rPr>
        <w:t>2.</w:t>
      </w:r>
      <w:r w:rsidRPr="00F9522B">
        <w:rPr>
          <w:rFonts w:ascii="Times New Roman" w:hAnsi="Times New Roman" w:cs="Times New Roman"/>
        </w:rPr>
        <w:t>节水供水工程：灌区及配套设施建设、改造，属于鼓励类项目，符合国家现行产业政策要求。</w:t>
      </w:r>
    </w:p>
    <w:p w:rsidR="002A5A5E" w:rsidRPr="00F9522B" w:rsidRDefault="00611CBA">
      <w:pPr>
        <w:keepNext/>
        <w:keepLines/>
        <w:spacing w:before="100" w:beforeAutospacing="1" w:after="100" w:afterAutospacing="1"/>
        <w:outlineLvl w:val="2"/>
        <w:rPr>
          <w:rFonts w:eastAsiaTheme="minorEastAsia"/>
          <w:b/>
          <w:sz w:val="28"/>
          <w:szCs w:val="28"/>
        </w:rPr>
      </w:pPr>
      <w:bookmarkStart w:id="190" w:name="_Toc15991737"/>
      <w:r w:rsidRPr="00F9522B">
        <w:rPr>
          <w:rFonts w:eastAsiaTheme="minorEastAsia"/>
          <w:b/>
          <w:sz w:val="28"/>
          <w:szCs w:val="28"/>
        </w:rPr>
        <w:t>9.1.3</w:t>
      </w:r>
      <w:r w:rsidRPr="00F9522B">
        <w:rPr>
          <w:rFonts w:eastAsiaTheme="minorEastAsia"/>
          <w:b/>
          <w:sz w:val="28"/>
          <w:szCs w:val="28"/>
        </w:rPr>
        <w:t>环境质量现状评价结论</w:t>
      </w:r>
      <w:bookmarkEnd w:id="190"/>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1</w:t>
      </w:r>
      <w:r w:rsidRPr="00F9522B">
        <w:rPr>
          <w:rFonts w:ascii="Times New Roman" w:hAnsi="Times New Roman" w:cs="Times New Roman"/>
        </w:rPr>
        <w:t>）大气环境质量现状评价结论</w:t>
      </w:r>
    </w:p>
    <w:p w:rsidR="002A5A5E" w:rsidRPr="00F9522B" w:rsidRDefault="00611CBA">
      <w:pPr>
        <w:spacing w:line="360" w:lineRule="auto"/>
        <w:ind w:firstLineChars="200" w:firstLine="480"/>
        <w:contextualSpacing/>
        <w:rPr>
          <w:rFonts w:eastAsiaTheme="minorEastAsia"/>
        </w:rPr>
      </w:pPr>
      <w:r w:rsidRPr="00F9522B">
        <w:rPr>
          <w:rFonts w:eastAsiaTheme="minorEastAsia"/>
          <w:sz w:val="24"/>
        </w:rPr>
        <w:t>根据《</w:t>
      </w:r>
      <w:r w:rsidRPr="00F9522B">
        <w:rPr>
          <w:rFonts w:eastAsiaTheme="minorEastAsia"/>
          <w:sz w:val="24"/>
        </w:rPr>
        <w:t>2024</w:t>
      </w:r>
      <w:r w:rsidRPr="00F9522B">
        <w:rPr>
          <w:rFonts w:eastAsiaTheme="minorEastAsia"/>
          <w:sz w:val="24"/>
        </w:rPr>
        <w:t>年哈尔滨生态环境质量状况年报》，评价区环境空气质量不能够满足环境空气二类功能区要求，项目所在区域为不达标区，细颗粒物年评价指标超过《环境空气质量标准》（</w:t>
      </w:r>
      <w:r w:rsidR="00C07A9E" w:rsidRPr="00F9522B">
        <w:rPr>
          <w:rFonts w:eastAsiaTheme="minorEastAsia"/>
          <w:sz w:val="24"/>
        </w:rPr>
        <w:t>GB3095-2026</w:t>
      </w:r>
      <w:r w:rsidRPr="00F9522B">
        <w:rPr>
          <w:rFonts w:eastAsiaTheme="minorEastAsia"/>
          <w:sz w:val="24"/>
        </w:rPr>
        <w:t>）二级标准</w:t>
      </w:r>
      <w:r w:rsidRPr="00F9522B">
        <w:rPr>
          <w:rFonts w:eastAsiaTheme="minorEastAsia"/>
        </w:rPr>
        <w:t>。</w:t>
      </w:r>
    </w:p>
    <w:p w:rsidR="002A5A5E" w:rsidRPr="00F9522B" w:rsidRDefault="00EE4CB5">
      <w:pPr>
        <w:pStyle w:val="aff4"/>
        <w:adjustRightInd/>
        <w:snapToGrid/>
        <w:contextualSpacing/>
        <w:jc w:val="both"/>
        <w:rPr>
          <w:rFonts w:ascii="Times New Roman" w:hAnsi="Times New Roman" w:cs="Times New Roman"/>
        </w:rPr>
      </w:pPr>
      <w:r w:rsidRPr="00F9522B">
        <w:rPr>
          <w:rFonts w:ascii="Times New Roman" w:hAnsi="Times New Roman" w:cs="Times New Roman"/>
          <w:snapToGrid w:val="0"/>
          <w:lang w:val="en-GB"/>
        </w:rPr>
        <w:t>本项目补充监测的</w:t>
      </w:r>
      <w:r w:rsidRPr="00F9522B">
        <w:rPr>
          <w:rFonts w:ascii="Times New Roman" w:eastAsia="宋体" w:hAnsi="Times New Roman" w:cs="Times New Roman"/>
          <w:bCs/>
        </w:rPr>
        <w:t>NOx</w:t>
      </w:r>
      <w:r w:rsidRPr="00F9522B">
        <w:rPr>
          <w:rFonts w:ascii="Times New Roman" w:eastAsia="宋体" w:hAnsi="Times New Roman" w:cs="Times New Roman"/>
          <w:bCs/>
        </w:rPr>
        <w:t>满足《环境空气质量标准》（</w:t>
      </w:r>
      <w:r w:rsidRPr="00F9522B">
        <w:rPr>
          <w:rFonts w:ascii="Times New Roman" w:eastAsia="宋体" w:hAnsi="Times New Roman" w:cs="Times New Roman"/>
          <w:bCs/>
        </w:rPr>
        <w:t>GB3095</w:t>
      </w:r>
      <w:r w:rsidRPr="00F9522B">
        <w:rPr>
          <w:rFonts w:ascii="Times New Roman" w:eastAsia="宋体" w:hAnsi="Times New Roman" w:cs="Times New Roman"/>
          <w:bCs/>
        </w:rPr>
        <w:sym w:font="Symbol" w:char="F02D"/>
      </w:r>
      <w:r w:rsidRPr="00F9522B">
        <w:rPr>
          <w:rFonts w:ascii="Times New Roman" w:eastAsia="宋体" w:hAnsi="Times New Roman" w:cs="Times New Roman"/>
          <w:bCs/>
        </w:rPr>
        <w:t>2026</w:t>
      </w:r>
      <w:r w:rsidRPr="00F9522B">
        <w:rPr>
          <w:rFonts w:ascii="Times New Roman" w:eastAsia="宋体" w:hAnsi="Times New Roman" w:cs="Times New Roman"/>
          <w:bCs/>
        </w:rPr>
        <w:t>）表</w:t>
      </w:r>
      <w:r w:rsidRPr="00F9522B">
        <w:rPr>
          <w:rFonts w:ascii="Times New Roman" w:eastAsia="宋体" w:hAnsi="Times New Roman" w:cs="Times New Roman"/>
          <w:bCs/>
        </w:rPr>
        <w:t>2</w:t>
      </w:r>
      <w:r w:rsidRPr="00F9522B">
        <w:rPr>
          <w:rFonts w:ascii="Times New Roman" w:eastAsia="宋体" w:hAnsi="Times New Roman" w:cs="Times New Roman"/>
          <w:bCs/>
        </w:rPr>
        <w:t>过渡阶段二级标准浓度限值，</w:t>
      </w:r>
      <w:r w:rsidRPr="00F9522B">
        <w:rPr>
          <w:rFonts w:ascii="Times New Roman" w:eastAsia="宋体" w:hAnsi="Times New Roman" w:cs="Times New Roman"/>
          <w:bCs/>
        </w:rPr>
        <w:t>TSP</w:t>
      </w:r>
      <w:r w:rsidRPr="00F9522B">
        <w:rPr>
          <w:rFonts w:ascii="Times New Roman" w:eastAsia="宋体" w:hAnsi="Times New Roman" w:cs="Times New Roman"/>
          <w:bCs/>
        </w:rPr>
        <w:t>满足表</w:t>
      </w:r>
      <w:r w:rsidRPr="00F9522B">
        <w:rPr>
          <w:rFonts w:ascii="Times New Roman" w:eastAsia="宋体" w:hAnsi="Times New Roman" w:cs="Times New Roman"/>
          <w:bCs/>
        </w:rPr>
        <w:t>2</w:t>
      </w:r>
      <w:r w:rsidRPr="00F9522B">
        <w:rPr>
          <w:rFonts w:ascii="Times New Roman" w:eastAsia="宋体" w:hAnsi="Times New Roman" w:cs="Times New Roman"/>
          <w:bCs/>
        </w:rPr>
        <w:t>二级标准浓度限值要求</w:t>
      </w:r>
      <w:r w:rsidR="00611CBA" w:rsidRPr="00F9522B">
        <w:rPr>
          <w:rFonts w:ascii="Times New Roman" w:hAnsi="Times New Roman" w:cs="Times New Roman"/>
        </w:rPr>
        <w:t>。</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2</w:t>
      </w:r>
      <w:r w:rsidRPr="00F9522B">
        <w:rPr>
          <w:rFonts w:ascii="Times New Roman" w:hAnsi="Times New Roman" w:cs="Times New Roman"/>
        </w:rPr>
        <w:t>）地表水环境质量现状评价结论</w:t>
      </w:r>
    </w:p>
    <w:p w:rsidR="002A5A5E" w:rsidRPr="00F9522B" w:rsidRDefault="00611CBA">
      <w:pPr>
        <w:spacing w:line="360" w:lineRule="auto"/>
        <w:ind w:firstLineChars="200" w:firstLine="480"/>
        <w:rPr>
          <w:rFonts w:eastAsiaTheme="minorEastAsia"/>
          <w:bCs/>
          <w:kern w:val="0"/>
          <w:sz w:val="24"/>
          <w:szCs w:val="21"/>
        </w:rPr>
      </w:pPr>
      <w:r w:rsidRPr="00F9522B">
        <w:rPr>
          <w:rFonts w:eastAsiaTheme="minorEastAsia"/>
          <w:sz w:val="24"/>
        </w:rPr>
        <w:t>根据《</w:t>
      </w:r>
      <w:r w:rsidRPr="00F9522B">
        <w:rPr>
          <w:rFonts w:eastAsiaTheme="minorEastAsia"/>
          <w:sz w:val="24"/>
        </w:rPr>
        <w:t>2024</w:t>
      </w:r>
      <w:r w:rsidRPr="00F9522B">
        <w:rPr>
          <w:rFonts w:eastAsiaTheme="minorEastAsia"/>
          <w:sz w:val="24"/>
        </w:rPr>
        <w:t>年哈尔滨生态环境质量状况年报》及《</w:t>
      </w:r>
      <w:r w:rsidRPr="00F9522B">
        <w:rPr>
          <w:rFonts w:eastAsiaTheme="minorEastAsia"/>
          <w:bCs/>
          <w:sz w:val="24"/>
        </w:rPr>
        <w:t>哈尔滨市水环境质量月报</w:t>
      </w:r>
      <w:r w:rsidR="00C27FC4" w:rsidRPr="00F9522B">
        <w:rPr>
          <w:rFonts w:eastAsiaTheme="minorEastAsia"/>
          <w:sz w:val="24"/>
        </w:rPr>
        <w:t>》</w:t>
      </w:r>
      <w:r w:rsidRPr="00F9522B">
        <w:rPr>
          <w:rFonts w:eastAsiaTheme="minorEastAsia"/>
          <w:sz w:val="24"/>
        </w:rPr>
        <w:t>可知，少陵河桥</w:t>
      </w:r>
      <w:r w:rsidRPr="00F9522B">
        <w:rPr>
          <w:rFonts w:eastAsiaTheme="minorEastAsia"/>
          <w:bCs/>
          <w:kern w:val="0"/>
          <w:sz w:val="24"/>
          <w:szCs w:val="21"/>
        </w:rPr>
        <w:t>断面水质为</w:t>
      </w:r>
      <w:r w:rsidR="005273A1" w:rsidRPr="00F9522B">
        <w:rPr>
          <w:rFonts w:eastAsiaTheme="minorEastAsia"/>
          <w:bCs/>
          <w:kern w:val="0"/>
          <w:sz w:val="24"/>
          <w:szCs w:val="21"/>
        </w:rPr>
        <w:fldChar w:fldCharType="begin"/>
      </w:r>
      <w:r w:rsidRPr="00F9522B">
        <w:rPr>
          <w:rFonts w:eastAsiaTheme="minorEastAsia"/>
          <w:bCs/>
          <w:kern w:val="0"/>
          <w:sz w:val="24"/>
          <w:szCs w:val="21"/>
        </w:rPr>
        <w:instrText xml:space="preserve"> = 5 \* ROMAN </w:instrText>
      </w:r>
      <w:r w:rsidR="005273A1" w:rsidRPr="00F9522B">
        <w:rPr>
          <w:rFonts w:eastAsiaTheme="minorEastAsia"/>
          <w:bCs/>
          <w:kern w:val="0"/>
          <w:sz w:val="24"/>
          <w:szCs w:val="21"/>
        </w:rPr>
        <w:fldChar w:fldCharType="separate"/>
      </w:r>
      <w:r w:rsidRPr="00F9522B">
        <w:rPr>
          <w:rFonts w:eastAsiaTheme="minorEastAsia"/>
          <w:bCs/>
          <w:kern w:val="0"/>
          <w:sz w:val="24"/>
          <w:szCs w:val="21"/>
        </w:rPr>
        <w:t>V</w:t>
      </w:r>
      <w:r w:rsidR="005273A1" w:rsidRPr="00F9522B">
        <w:rPr>
          <w:rFonts w:eastAsiaTheme="minorEastAsia"/>
          <w:bCs/>
          <w:kern w:val="0"/>
          <w:sz w:val="24"/>
          <w:szCs w:val="21"/>
        </w:rPr>
        <w:fldChar w:fldCharType="end"/>
      </w:r>
      <w:r w:rsidRPr="00F9522B">
        <w:rPr>
          <w:rFonts w:eastAsiaTheme="minorEastAsia"/>
          <w:bCs/>
          <w:kern w:val="0"/>
          <w:sz w:val="24"/>
          <w:szCs w:val="21"/>
        </w:rPr>
        <w:t>类，</w:t>
      </w:r>
      <w:r w:rsidRPr="00F9522B">
        <w:rPr>
          <w:rFonts w:eastAsiaTheme="minorEastAsia"/>
          <w:bCs/>
          <w:kern w:val="0"/>
          <w:sz w:val="24"/>
          <w:szCs w:val="21"/>
        </w:rPr>
        <w:t>202</w:t>
      </w:r>
      <w:r w:rsidR="0079103B" w:rsidRPr="00F9522B">
        <w:rPr>
          <w:rFonts w:eastAsiaTheme="minorEastAsia"/>
          <w:bCs/>
          <w:kern w:val="0"/>
          <w:sz w:val="24"/>
          <w:szCs w:val="21"/>
        </w:rPr>
        <w:t>5</w:t>
      </w:r>
      <w:r w:rsidRPr="00F9522B">
        <w:rPr>
          <w:rFonts w:eastAsiaTheme="minorEastAsia"/>
          <w:bCs/>
          <w:kern w:val="0"/>
          <w:sz w:val="24"/>
          <w:szCs w:val="21"/>
        </w:rPr>
        <w:t>年</w:t>
      </w:r>
      <w:r w:rsidRPr="00F9522B">
        <w:rPr>
          <w:rFonts w:eastAsiaTheme="minorEastAsia"/>
          <w:bCs/>
          <w:kern w:val="0"/>
          <w:sz w:val="24"/>
          <w:szCs w:val="21"/>
        </w:rPr>
        <w:t>5</w:t>
      </w:r>
      <w:r w:rsidRPr="00F9522B">
        <w:rPr>
          <w:rFonts w:eastAsiaTheme="minorEastAsia"/>
          <w:bCs/>
          <w:kern w:val="0"/>
          <w:sz w:val="24"/>
          <w:szCs w:val="21"/>
        </w:rPr>
        <w:t>月水质超标，其他月份均达标，满足</w:t>
      </w:r>
      <w:r w:rsidR="005273A1" w:rsidRPr="00F9522B">
        <w:rPr>
          <w:rFonts w:eastAsiaTheme="minorEastAsia"/>
          <w:bCs/>
          <w:kern w:val="0"/>
          <w:sz w:val="24"/>
          <w:szCs w:val="21"/>
        </w:rPr>
        <w:fldChar w:fldCharType="begin"/>
      </w:r>
      <w:r w:rsidRPr="00F9522B">
        <w:rPr>
          <w:rFonts w:eastAsiaTheme="minorEastAsia"/>
          <w:bCs/>
          <w:kern w:val="0"/>
          <w:sz w:val="24"/>
          <w:szCs w:val="21"/>
        </w:rPr>
        <w:instrText xml:space="preserve"> = 5 \* ROMAN </w:instrText>
      </w:r>
      <w:r w:rsidR="005273A1" w:rsidRPr="00F9522B">
        <w:rPr>
          <w:rFonts w:eastAsiaTheme="minorEastAsia"/>
          <w:bCs/>
          <w:kern w:val="0"/>
          <w:sz w:val="24"/>
          <w:szCs w:val="21"/>
        </w:rPr>
        <w:fldChar w:fldCharType="separate"/>
      </w:r>
      <w:r w:rsidRPr="00F9522B">
        <w:rPr>
          <w:rFonts w:eastAsiaTheme="minorEastAsia"/>
          <w:bCs/>
          <w:kern w:val="0"/>
          <w:sz w:val="24"/>
          <w:szCs w:val="21"/>
        </w:rPr>
        <w:t>V</w:t>
      </w:r>
      <w:r w:rsidR="005273A1" w:rsidRPr="00F9522B">
        <w:rPr>
          <w:rFonts w:eastAsiaTheme="minorEastAsia"/>
          <w:bCs/>
          <w:kern w:val="0"/>
          <w:sz w:val="24"/>
          <w:szCs w:val="21"/>
        </w:rPr>
        <w:fldChar w:fldCharType="end"/>
      </w:r>
      <w:r w:rsidRPr="00F9522B">
        <w:rPr>
          <w:rFonts w:eastAsiaTheme="minorEastAsia"/>
          <w:sz w:val="24"/>
        </w:rPr>
        <w:t>类水体类别要求。</w:t>
      </w:r>
      <w:r w:rsidR="0079103B" w:rsidRPr="00F9522B">
        <w:rPr>
          <w:rFonts w:eastAsiaTheme="minorEastAsia"/>
          <w:sz w:val="24"/>
        </w:rPr>
        <w:t>大顶子山断面</w:t>
      </w:r>
      <w:r w:rsidRPr="00F9522B">
        <w:rPr>
          <w:rFonts w:eastAsiaTheme="minorEastAsia"/>
          <w:bCs/>
          <w:kern w:val="0"/>
          <w:sz w:val="24"/>
          <w:szCs w:val="21"/>
        </w:rPr>
        <w:t>水质为</w:t>
      </w:r>
      <w:r w:rsidR="0079103B" w:rsidRPr="00F9522B">
        <w:rPr>
          <w:rFonts w:eastAsiaTheme="minorEastAsia"/>
          <w:bCs/>
          <w:kern w:val="0"/>
          <w:sz w:val="24"/>
          <w:szCs w:val="21"/>
        </w:rPr>
        <w:t>Ⅲ</w:t>
      </w:r>
      <w:r w:rsidRPr="00F9522B">
        <w:rPr>
          <w:rFonts w:eastAsiaTheme="minorEastAsia"/>
          <w:bCs/>
          <w:kern w:val="0"/>
          <w:sz w:val="24"/>
          <w:szCs w:val="21"/>
        </w:rPr>
        <w:t>类，满足</w:t>
      </w:r>
      <w:r w:rsidR="0079103B" w:rsidRPr="00F9522B">
        <w:rPr>
          <w:rFonts w:eastAsiaTheme="minorEastAsia"/>
          <w:bCs/>
          <w:kern w:val="0"/>
          <w:sz w:val="24"/>
          <w:szCs w:val="21"/>
        </w:rPr>
        <w:t>Ⅲ</w:t>
      </w:r>
      <w:r w:rsidRPr="00F9522B">
        <w:rPr>
          <w:rFonts w:eastAsiaTheme="minorEastAsia"/>
          <w:bCs/>
          <w:kern w:val="0"/>
          <w:sz w:val="24"/>
          <w:szCs w:val="21"/>
        </w:rPr>
        <w:t>类</w:t>
      </w:r>
      <w:r w:rsidRPr="00F9522B">
        <w:rPr>
          <w:rFonts w:eastAsiaTheme="minorEastAsia"/>
          <w:sz w:val="24"/>
        </w:rPr>
        <w:t>水体类别要求。</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3</w:t>
      </w:r>
      <w:r w:rsidRPr="00F9522B">
        <w:rPr>
          <w:rFonts w:ascii="Times New Roman" w:hAnsi="Times New Roman" w:cs="Times New Roman"/>
        </w:rPr>
        <w:t>）声环境质量现状评价结论</w:t>
      </w:r>
    </w:p>
    <w:p w:rsidR="002A5A5E" w:rsidRPr="00F9522B" w:rsidRDefault="00611CBA">
      <w:pPr>
        <w:spacing w:line="360" w:lineRule="auto"/>
        <w:ind w:firstLineChars="200" w:firstLine="480"/>
        <w:contextualSpacing/>
        <w:rPr>
          <w:rFonts w:eastAsiaTheme="minorEastAsia"/>
          <w:sz w:val="24"/>
        </w:rPr>
      </w:pPr>
      <w:r w:rsidRPr="00F9522B">
        <w:rPr>
          <w:rFonts w:eastAsiaTheme="minorEastAsia"/>
          <w:sz w:val="24"/>
        </w:rPr>
        <w:t>评价区临近</w:t>
      </w:r>
      <w:r w:rsidRPr="00F9522B">
        <w:rPr>
          <w:rFonts w:eastAsiaTheme="minorEastAsia"/>
          <w:sz w:val="24"/>
        </w:rPr>
        <w:t>G102</w:t>
      </w:r>
      <w:r w:rsidRPr="00F9522B">
        <w:rPr>
          <w:rFonts w:eastAsiaTheme="minorEastAsia"/>
          <w:sz w:val="24"/>
        </w:rPr>
        <w:t>噪声敏感点</w:t>
      </w:r>
      <w:r w:rsidR="0079103B" w:rsidRPr="00F9522B">
        <w:rPr>
          <w:rFonts w:eastAsiaTheme="minorEastAsia"/>
          <w:sz w:val="24"/>
        </w:rPr>
        <w:t>宋</w:t>
      </w:r>
      <w:r w:rsidRPr="00F9522B">
        <w:rPr>
          <w:rFonts w:eastAsiaTheme="minorEastAsia"/>
          <w:sz w:val="24"/>
        </w:rPr>
        <w:t>家村现状值满足《声环境质量标准》（</w:t>
      </w:r>
      <w:r w:rsidRPr="00F9522B">
        <w:rPr>
          <w:rFonts w:eastAsiaTheme="minorEastAsia"/>
          <w:sz w:val="24"/>
        </w:rPr>
        <w:t>GB3096-2008</w:t>
      </w:r>
      <w:r w:rsidRPr="00F9522B">
        <w:rPr>
          <w:rFonts w:eastAsiaTheme="minorEastAsia"/>
          <w:sz w:val="24"/>
        </w:rPr>
        <w:t>）</w:t>
      </w:r>
      <w:r w:rsidRPr="00F9522B">
        <w:rPr>
          <w:rFonts w:eastAsiaTheme="minorEastAsia"/>
          <w:sz w:val="24"/>
        </w:rPr>
        <w:t>2</w:t>
      </w:r>
      <w:r w:rsidRPr="00F9522B">
        <w:rPr>
          <w:rFonts w:eastAsiaTheme="minorEastAsia"/>
          <w:sz w:val="24"/>
        </w:rPr>
        <w:t>类标准，其余噪声敏感点满足</w:t>
      </w:r>
      <w:r w:rsidRPr="00F9522B">
        <w:rPr>
          <w:rFonts w:eastAsiaTheme="minorEastAsia"/>
          <w:sz w:val="24"/>
        </w:rPr>
        <w:t>1</w:t>
      </w:r>
      <w:r w:rsidRPr="00F9522B">
        <w:rPr>
          <w:rFonts w:eastAsiaTheme="minorEastAsia"/>
          <w:sz w:val="24"/>
        </w:rPr>
        <w:t>类标准。</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4</w:t>
      </w:r>
      <w:r w:rsidRPr="00F9522B">
        <w:rPr>
          <w:rFonts w:ascii="Times New Roman" w:hAnsi="Times New Roman" w:cs="Times New Roman"/>
        </w:rPr>
        <w:t>）地下水环境质量现状评价结论</w:t>
      </w:r>
    </w:p>
    <w:p w:rsidR="002A5A5E" w:rsidRPr="00F9522B" w:rsidRDefault="00902F59" w:rsidP="00902F59">
      <w:pPr>
        <w:spacing w:line="360" w:lineRule="auto"/>
        <w:ind w:firstLineChars="200" w:firstLine="480"/>
        <w:contextualSpacing/>
        <w:rPr>
          <w:rFonts w:eastAsiaTheme="minorEastAsia"/>
          <w:sz w:val="24"/>
        </w:rPr>
      </w:pPr>
      <w:r w:rsidRPr="00F9522B">
        <w:rPr>
          <w:sz w:val="24"/>
        </w:rPr>
        <w:t>监测点锰超标，由于原生地质条件导致，其余监测因子均符合《地下水质量标准》（</w:t>
      </w:r>
      <w:r w:rsidRPr="00F9522B">
        <w:rPr>
          <w:sz w:val="24"/>
        </w:rPr>
        <w:t>GB/T14848-2017</w:t>
      </w:r>
      <w:r w:rsidRPr="00F9522B">
        <w:rPr>
          <w:sz w:val="24"/>
        </w:rPr>
        <w:t>）中</w:t>
      </w:r>
      <w:r w:rsidRPr="00F9522B">
        <w:rPr>
          <w:sz w:val="24"/>
        </w:rPr>
        <w:t>Ⅲ</w:t>
      </w:r>
      <w:r w:rsidRPr="00F9522B">
        <w:rPr>
          <w:sz w:val="24"/>
        </w:rPr>
        <w:t>类标准。石油类未检出，满足《地表水环境质量标准》（</w:t>
      </w:r>
      <w:r w:rsidRPr="00F9522B">
        <w:rPr>
          <w:sz w:val="24"/>
        </w:rPr>
        <w:t>GB3838-2002</w:t>
      </w:r>
      <w:r w:rsidRPr="00F9522B">
        <w:rPr>
          <w:sz w:val="24"/>
        </w:rPr>
        <w:t>）</w:t>
      </w:r>
      <w:r w:rsidR="005273A1" w:rsidRPr="004B63C1">
        <w:rPr>
          <w:rFonts w:eastAsiaTheme="minorEastAsia"/>
          <w:bCs/>
          <w:sz w:val="24"/>
        </w:rPr>
        <w:fldChar w:fldCharType="begin"/>
      </w:r>
      <w:r w:rsidR="004B63C1" w:rsidRPr="004B63C1">
        <w:rPr>
          <w:rFonts w:eastAsiaTheme="minorEastAsia"/>
          <w:bCs/>
          <w:sz w:val="24"/>
        </w:rPr>
        <w:instrText xml:space="preserve"> </w:instrText>
      </w:r>
      <w:r w:rsidR="004B63C1" w:rsidRPr="004B63C1">
        <w:rPr>
          <w:rFonts w:eastAsiaTheme="minorEastAsia" w:hint="eastAsia"/>
          <w:bCs/>
          <w:sz w:val="24"/>
        </w:rPr>
        <w:instrText>= 2 \* ROMAN</w:instrText>
      </w:r>
      <w:r w:rsidR="004B63C1" w:rsidRPr="004B63C1">
        <w:rPr>
          <w:rFonts w:eastAsiaTheme="minorEastAsia"/>
          <w:bCs/>
          <w:sz w:val="24"/>
        </w:rPr>
        <w:instrText xml:space="preserve"> </w:instrText>
      </w:r>
      <w:r w:rsidR="005273A1" w:rsidRPr="004B63C1">
        <w:rPr>
          <w:rFonts w:eastAsiaTheme="minorEastAsia"/>
          <w:bCs/>
          <w:sz w:val="24"/>
        </w:rPr>
        <w:fldChar w:fldCharType="separate"/>
      </w:r>
      <w:r w:rsidR="004B63C1" w:rsidRPr="004B63C1">
        <w:rPr>
          <w:rFonts w:eastAsiaTheme="minorEastAsia"/>
          <w:bCs/>
          <w:sz w:val="24"/>
        </w:rPr>
        <w:t>II</w:t>
      </w:r>
      <w:r w:rsidR="005273A1" w:rsidRPr="004B63C1">
        <w:rPr>
          <w:rFonts w:eastAsiaTheme="minorEastAsia"/>
          <w:bCs/>
          <w:sz w:val="24"/>
        </w:rPr>
        <w:fldChar w:fldCharType="end"/>
      </w:r>
      <w:r w:rsidR="004B63C1" w:rsidRPr="00F9522B">
        <w:rPr>
          <w:rFonts w:eastAsiaTheme="minorEastAsia"/>
          <w:sz w:val="24"/>
        </w:rPr>
        <w:t>类标准</w:t>
      </w:r>
      <w:r w:rsidR="00426ACF" w:rsidRPr="00F9522B">
        <w:rPr>
          <w:rFonts w:eastAsiaTheme="minorEastAsia"/>
          <w:sz w:val="24"/>
        </w:rPr>
        <w:t>。</w:t>
      </w:r>
      <w:r w:rsidR="005D4635" w:rsidRPr="00F9522B">
        <w:rPr>
          <w:rFonts w:ascii="宋体" w:hAnsi="宋体" w:cs="宋体" w:hint="eastAsia"/>
          <w:sz w:val="24"/>
        </w:rPr>
        <w:t>☆</w:t>
      </w:r>
      <w:r w:rsidR="005D4635" w:rsidRPr="00F9522B">
        <w:rPr>
          <w:rFonts w:eastAsiaTheme="minorEastAsia"/>
          <w:sz w:val="24"/>
        </w:rPr>
        <w:t>01</w:t>
      </w:r>
      <w:r w:rsidR="005D4635" w:rsidRPr="00F9522B">
        <w:rPr>
          <w:rFonts w:eastAsiaTheme="minorEastAsia"/>
          <w:sz w:val="24"/>
        </w:rPr>
        <w:t>、</w:t>
      </w:r>
      <w:r w:rsidR="005D4635" w:rsidRPr="00F9522B">
        <w:rPr>
          <w:rFonts w:ascii="宋体" w:hAnsi="宋体" w:cs="宋体" w:hint="eastAsia"/>
          <w:sz w:val="24"/>
        </w:rPr>
        <w:t>☆</w:t>
      </w:r>
      <w:r w:rsidR="005D4635" w:rsidRPr="00F9522B">
        <w:rPr>
          <w:rFonts w:eastAsiaTheme="minorEastAsia"/>
          <w:sz w:val="24"/>
        </w:rPr>
        <w:t>02</w:t>
      </w:r>
      <w:r w:rsidR="005D4635" w:rsidRPr="00F9522B">
        <w:rPr>
          <w:rFonts w:eastAsiaTheme="minorEastAsia"/>
          <w:sz w:val="24"/>
        </w:rPr>
        <w:t>、</w:t>
      </w:r>
      <w:r w:rsidR="005D4635" w:rsidRPr="00F9522B">
        <w:rPr>
          <w:rFonts w:ascii="宋体" w:hAnsi="宋体" w:cs="宋体" w:hint="eastAsia"/>
          <w:sz w:val="24"/>
        </w:rPr>
        <w:t>☆</w:t>
      </w:r>
      <w:r w:rsidR="005D4635" w:rsidRPr="00F9522B">
        <w:rPr>
          <w:rFonts w:eastAsiaTheme="minorEastAsia"/>
          <w:sz w:val="24"/>
        </w:rPr>
        <w:t>03</w:t>
      </w:r>
      <w:r w:rsidR="005D4635" w:rsidRPr="00F9522B">
        <w:rPr>
          <w:rFonts w:eastAsiaTheme="minorEastAsia"/>
          <w:sz w:val="24"/>
        </w:rPr>
        <w:t>监测点的地下水均为</w:t>
      </w:r>
      <w:r w:rsidR="005D4635" w:rsidRPr="00F9522B">
        <w:rPr>
          <w:rFonts w:eastAsiaTheme="minorEastAsia"/>
          <w:sz w:val="24"/>
        </w:rPr>
        <w:t>2-A</w:t>
      </w:r>
      <w:r w:rsidR="005D4635" w:rsidRPr="00F9522B">
        <w:rPr>
          <w:rFonts w:eastAsiaTheme="minorEastAsia"/>
          <w:sz w:val="24"/>
        </w:rPr>
        <w:t>型，表示矿化度小于</w:t>
      </w:r>
      <w:r w:rsidR="005D4635" w:rsidRPr="00F9522B">
        <w:rPr>
          <w:rFonts w:eastAsiaTheme="minorEastAsia"/>
          <w:sz w:val="24"/>
        </w:rPr>
        <w:t>1.5g/L</w:t>
      </w:r>
      <w:r w:rsidR="005D4635" w:rsidRPr="00F9522B">
        <w:rPr>
          <w:rFonts w:eastAsiaTheme="minorEastAsia"/>
          <w:sz w:val="24"/>
        </w:rPr>
        <w:t>的</w:t>
      </w:r>
      <w:r w:rsidR="005D4635" w:rsidRPr="00F9522B">
        <w:rPr>
          <w:rFonts w:eastAsiaTheme="minorEastAsia"/>
          <w:sz w:val="24"/>
        </w:rPr>
        <w:t>HCO</w:t>
      </w:r>
      <w:r w:rsidR="005D4635" w:rsidRPr="00F9522B">
        <w:rPr>
          <w:rFonts w:eastAsiaTheme="minorEastAsia"/>
          <w:sz w:val="24"/>
          <w:vertAlign w:val="subscript"/>
        </w:rPr>
        <w:t>3</w:t>
      </w:r>
      <w:r w:rsidR="005D4635" w:rsidRPr="00F9522B">
        <w:rPr>
          <w:rFonts w:eastAsiaTheme="minorEastAsia"/>
          <w:sz w:val="24"/>
          <w:vertAlign w:val="superscript"/>
        </w:rPr>
        <w:t>-</w:t>
      </w:r>
      <w:r w:rsidR="005D4635" w:rsidRPr="00F9522B">
        <w:rPr>
          <w:rFonts w:eastAsiaTheme="minorEastAsia"/>
          <w:sz w:val="24"/>
        </w:rPr>
        <w:t>-Ca</w:t>
      </w:r>
      <w:r w:rsidR="005D4635" w:rsidRPr="00F9522B">
        <w:rPr>
          <w:rFonts w:eastAsiaTheme="minorEastAsia"/>
          <w:sz w:val="24"/>
          <w:vertAlign w:val="superscript"/>
        </w:rPr>
        <w:t>2+</w:t>
      </w:r>
      <w:r w:rsidR="005D4635" w:rsidRPr="00F9522B">
        <w:rPr>
          <w:rFonts w:eastAsiaTheme="minorEastAsia"/>
          <w:sz w:val="24"/>
        </w:rPr>
        <w:t>-Mg</w:t>
      </w:r>
      <w:r w:rsidR="005D4635" w:rsidRPr="00F9522B">
        <w:rPr>
          <w:rFonts w:eastAsiaTheme="minorEastAsia"/>
          <w:sz w:val="24"/>
          <w:vertAlign w:val="superscript"/>
        </w:rPr>
        <w:t>2+</w:t>
      </w:r>
      <w:r w:rsidR="005D4635" w:rsidRPr="00F9522B">
        <w:rPr>
          <w:rFonts w:eastAsiaTheme="minorEastAsia"/>
          <w:sz w:val="24"/>
        </w:rPr>
        <w:t>型水，</w:t>
      </w:r>
      <w:r w:rsidR="005D4635" w:rsidRPr="00F9522B">
        <w:rPr>
          <w:rFonts w:ascii="宋体" w:hAnsi="宋体" w:cs="宋体" w:hint="eastAsia"/>
          <w:sz w:val="24"/>
        </w:rPr>
        <w:t>☆</w:t>
      </w:r>
      <w:r w:rsidR="005D4635" w:rsidRPr="00F9522B">
        <w:rPr>
          <w:rFonts w:eastAsiaTheme="minorEastAsia"/>
          <w:sz w:val="24"/>
        </w:rPr>
        <w:t>04</w:t>
      </w:r>
      <w:r w:rsidR="005D4635" w:rsidRPr="00F9522B">
        <w:rPr>
          <w:rFonts w:eastAsiaTheme="minorEastAsia"/>
          <w:sz w:val="24"/>
        </w:rPr>
        <w:t>监测点为</w:t>
      </w:r>
      <w:r w:rsidR="005D4635" w:rsidRPr="00F9522B">
        <w:rPr>
          <w:rFonts w:eastAsiaTheme="minorEastAsia"/>
          <w:sz w:val="24"/>
        </w:rPr>
        <w:t>16-A</w:t>
      </w:r>
      <w:r w:rsidR="005D4635" w:rsidRPr="00F9522B">
        <w:rPr>
          <w:rFonts w:eastAsiaTheme="minorEastAsia"/>
          <w:sz w:val="24"/>
        </w:rPr>
        <w:t>型，表示矿化度小于</w:t>
      </w:r>
      <w:r w:rsidR="005D4635" w:rsidRPr="00F9522B">
        <w:rPr>
          <w:rFonts w:eastAsiaTheme="minorEastAsia"/>
          <w:sz w:val="24"/>
        </w:rPr>
        <w:t>1.5g/L</w:t>
      </w:r>
      <w:r w:rsidR="005D4635" w:rsidRPr="00F9522B">
        <w:rPr>
          <w:rFonts w:eastAsiaTheme="minorEastAsia"/>
          <w:sz w:val="24"/>
        </w:rPr>
        <w:t>的</w:t>
      </w:r>
      <w:r w:rsidR="005D4635" w:rsidRPr="00F9522B">
        <w:rPr>
          <w:rFonts w:eastAsiaTheme="minorEastAsia"/>
          <w:sz w:val="24"/>
        </w:rPr>
        <w:t>HCO</w:t>
      </w:r>
      <w:r w:rsidR="005D4635" w:rsidRPr="00F9522B">
        <w:rPr>
          <w:rFonts w:eastAsiaTheme="minorEastAsia"/>
          <w:sz w:val="24"/>
          <w:vertAlign w:val="subscript"/>
        </w:rPr>
        <w:t>3</w:t>
      </w:r>
      <w:r w:rsidR="005D4635" w:rsidRPr="00F9522B">
        <w:rPr>
          <w:rFonts w:eastAsiaTheme="minorEastAsia"/>
          <w:sz w:val="24"/>
          <w:vertAlign w:val="superscript"/>
        </w:rPr>
        <w:t>-</w:t>
      </w:r>
      <w:r w:rsidR="005D4635" w:rsidRPr="00F9522B">
        <w:rPr>
          <w:rFonts w:eastAsiaTheme="minorEastAsia"/>
          <w:sz w:val="24"/>
        </w:rPr>
        <w:t>-SO</w:t>
      </w:r>
      <w:r w:rsidR="005D4635" w:rsidRPr="00F9522B">
        <w:rPr>
          <w:rFonts w:eastAsiaTheme="minorEastAsia"/>
          <w:sz w:val="24"/>
          <w:vertAlign w:val="subscript"/>
        </w:rPr>
        <w:t>4</w:t>
      </w:r>
      <w:r w:rsidR="005D4635" w:rsidRPr="00F9522B">
        <w:rPr>
          <w:rFonts w:eastAsiaTheme="minorEastAsia"/>
          <w:sz w:val="24"/>
          <w:vertAlign w:val="superscript"/>
        </w:rPr>
        <w:t>2-</w:t>
      </w:r>
      <w:r w:rsidR="005D4635" w:rsidRPr="00F9522B">
        <w:rPr>
          <w:rFonts w:eastAsiaTheme="minorEastAsia"/>
          <w:sz w:val="24"/>
        </w:rPr>
        <w:t>-Cl</w:t>
      </w:r>
      <w:r w:rsidR="005D4635" w:rsidRPr="00F9522B">
        <w:rPr>
          <w:rFonts w:eastAsiaTheme="minorEastAsia"/>
          <w:sz w:val="24"/>
          <w:vertAlign w:val="superscript"/>
        </w:rPr>
        <w:t>-</w:t>
      </w:r>
      <w:r w:rsidR="005D4635" w:rsidRPr="00F9522B">
        <w:rPr>
          <w:rFonts w:eastAsiaTheme="minorEastAsia"/>
          <w:sz w:val="24"/>
        </w:rPr>
        <w:t>Ca</w:t>
      </w:r>
      <w:r w:rsidR="005D4635" w:rsidRPr="00F9522B">
        <w:rPr>
          <w:rFonts w:eastAsiaTheme="minorEastAsia"/>
          <w:sz w:val="24"/>
          <w:vertAlign w:val="superscript"/>
        </w:rPr>
        <w:t>2+</w:t>
      </w:r>
      <w:r w:rsidR="005D4635" w:rsidRPr="00F9522B">
        <w:rPr>
          <w:rFonts w:eastAsiaTheme="minorEastAsia"/>
          <w:sz w:val="24"/>
        </w:rPr>
        <w:t>-Mg</w:t>
      </w:r>
      <w:r w:rsidR="005D4635" w:rsidRPr="00F9522B">
        <w:rPr>
          <w:rFonts w:eastAsiaTheme="minorEastAsia"/>
          <w:sz w:val="24"/>
          <w:vertAlign w:val="superscript"/>
        </w:rPr>
        <w:t>2+</w:t>
      </w:r>
      <w:r w:rsidR="005D4635" w:rsidRPr="00F9522B">
        <w:rPr>
          <w:rFonts w:eastAsiaTheme="minorEastAsia"/>
          <w:sz w:val="24"/>
        </w:rPr>
        <w:t>型水</w:t>
      </w:r>
      <w:r w:rsidR="00611CBA" w:rsidRPr="00F9522B">
        <w:rPr>
          <w:rFonts w:eastAsiaTheme="minorEastAsia"/>
          <w:sz w:val="24"/>
        </w:rPr>
        <w:t>。</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5</w:t>
      </w:r>
      <w:r w:rsidRPr="00F9522B">
        <w:rPr>
          <w:rFonts w:ascii="Times New Roman" w:hAnsi="Times New Roman" w:cs="Times New Roman"/>
        </w:rPr>
        <w:t>）土壤现状评价结论</w:t>
      </w:r>
    </w:p>
    <w:p w:rsidR="002A5A5E" w:rsidRPr="00F9522B" w:rsidRDefault="00A93CEB">
      <w:pPr>
        <w:spacing w:line="360" w:lineRule="auto"/>
        <w:ind w:firstLine="482"/>
        <w:rPr>
          <w:rFonts w:eastAsiaTheme="minorEastAsia"/>
          <w:sz w:val="24"/>
          <w:szCs w:val="21"/>
        </w:rPr>
      </w:pPr>
      <w:r w:rsidRPr="00F9522B">
        <w:rPr>
          <w:rFonts w:eastAsiaTheme="minorEastAsia"/>
          <w:sz w:val="24"/>
          <w:szCs w:val="21"/>
        </w:rPr>
        <w:t>根据土壤现状监测结果，</w:t>
      </w:r>
      <w:r w:rsidRPr="00F9522B">
        <w:rPr>
          <w:rFonts w:eastAsiaTheme="minorEastAsia"/>
          <w:sz w:val="24"/>
          <w:szCs w:val="21"/>
        </w:rPr>
        <w:t>3</w:t>
      </w:r>
      <w:r w:rsidRPr="00F9522B">
        <w:rPr>
          <w:rFonts w:eastAsiaTheme="minorEastAsia"/>
          <w:sz w:val="24"/>
          <w:szCs w:val="21"/>
        </w:rPr>
        <w:t>个监测点</w:t>
      </w:r>
      <w:r w:rsidRPr="00F9522B">
        <w:rPr>
          <w:rFonts w:eastAsiaTheme="minorEastAsia"/>
          <w:sz w:val="24"/>
          <w:szCs w:val="21"/>
        </w:rPr>
        <w:t>pH</w:t>
      </w:r>
      <w:r w:rsidRPr="00F9522B">
        <w:rPr>
          <w:rFonts w:eastAsiaTheme="minorEastAsia"/>
          <w:sz w:val="24"/>
          <w:szCs w:val="21"/>
        </w:rPr>
        <w:t>值在</w:t>
      </w:r>
      <w:r w:rsidRPr="00F9522B">
        <w:rPr>
          <w:rFonts w:eastAsiaTheme="minorEastAsia"/>
          <w:sz w:val="24"/>
          <w:szCs w:val="21"/>
        </w:rPr>
        <w:t>6.17-7.31</w:t>
      </w:r>
      <w:r w:rsidRPr="00F9522B">
        <w:rPr>
          <w:rFonts w:eastAsiaTheme="minorEastAsia"/>
          <w:sz w:val="24"/>
          <w:szCs w:val="21"/>
        </w:rPr>
        <w:t>之间，含盐量为</w:t>
      </w:r>
      <w:r w:rsidRPr="00F9522B">
        <w:rPr>
          <w:rFonts w:eastAsiaTheme="minorEastAsia"/>
          <w:sz w:val="24"/>
          <w:szCs w:val="21"/>
        </w:rPr>
        <w:t>0.4-0.9g/kg</w:t>
      </w:r>
      <w:r w:rsidRPr="00F9522B">
        <w:rPr>
          <w:rFonts w:eastAsiaTheme="minorEastAsia"/>
          <w:sz w:val="24"/>
        </w:rPr>
        <w:t>。均</w:t>
      </w:r>
      <w:r w:rsidRPr="00F9522B">
        <w:rPr>
          <w:rFonts w:eastAsiaTheme="minorEastAsia"/>
          <w:sz w:val="24"/>
          <w:szCs w:val="21"/>
        </w:rPr>
        <w:t>满足《土壤环境质量</w:t>
      </w:r>
      <w:r w:rsidRPr="00F9522B">
        <w:rPr>
          <w:rFonts w:eastAsiaTheme="minorEastAsia"/>
          <w:sz w:val="24"/>
          <w:szCs w:val="21"/>
        </w:rPr>
        <w:t xml:space="preserve"> </w:t>
      </w:r>
      <w:r w:rsidRPr="00F9522B">
        <w:rPr>
          <w:rFonts w:eastAsiaTheme="minorEastAsia"/>
          <w:sz w:val="24"/>
          <w:szCs w:val="21"/>
        </w:rPr>
        <w:t>农用地土壤污染风险管控标准（试行）》（</w:t>
      </w:r>
      <w:r w:rsidRPr="00F9522B">
        <w:rPr>
          <w:rFonts w:eastAsiaTheme="minorEastAsia"/>
          <w:sz w:val="24"/>
          <w:szCs w:val="21"/>
        </w:rPr>
        <w:t>GB15618-2018</w:t>
      </w:r>
      <w:r w:rsidRPr="00F9522B">
        <w:rPr>
          <w:rFonts w:eastAsiaTheme="minorEastAsia"/>
          <w:sz w:val="24"/>
          <w:szCs w:val="21"/>
        </w:rPr>
        <w:t>）表</w:t>
      </w:r>
      <w:r w:rsidRPr="00F9522B">
        <w:rPr>
          <w:rFonts w:eastAsiaTheme="minorEastAsia"/>
          <w:sz w:val="24"/>
          <w:szCs w:val="21"/>
        </w:rPr>
        <w:t>1</w:t>
      </w:r>
      <w:r w:rsidRPr="00F9522B">
        <w:rPr>
          <w:rFonts w:eastAsiaTheme="minorEastAsia"/>
          <w:sz w:val="24"/>
          <w:szCs w:val="21"/>
        </w:rPr>
        <w:t>中标准限值</w:t>
      </w:r>
      <w:r w:rsidR="00611CBA" w:rsidRPr="00F9522B">
        <w:rPr>
          <w:rFonts w:eastAsiaTheme="minorEastAsia"/>
          <w:sz w:val="24"/>
          <w:szCs w:val="21"/>
        </w:rPr>
        <w:t>。</w:t>
      </w:r>
    </w:p>
    <w:p w:rsidR="002A5A5E" w:rsidRPr="00F9522B" w:rsidRDefault="00611CBA">
      <w:pPr>
        <w:keepNext/>
        <w:keepLines/>
        <w:spacing w:before="100" w:beforeAutospacing="1" w:after="100" w:afterAutospacing="1"/>
        <w:outlineLvl w:val="2"/>
        <w:rPr>
          <w:rFonts w:eastAsiaTheme="minorEastAsia"/>
          <w:b/>
          <w:sz w:val="28"/>
          <w:szCs w:val="28"/>
        </w:rPr>
      </w:pPr>
      <w:bookmarkStart w:id="191" w:name="_Toc15991738"/>
      <w:r w:rsidRPr="00F9522B">
        <w:rPr>
          <w:rFonts w:eastAsiaTheme="minorEastAsia"/>
          <w:b/>
          <w:sz w:val="28"/>
          <w:szCs w:val="28"/>
        </w:rPr>
        <w:lastRenderedPageBreak/>
        <w:t>9.1.4</w:t>
      </w:r>
      <w:r w:rsidRPr="00F9522B">
        <w:rPr>
          <w:rFonts w:eastAsiaTheme="minorEastAsia"/>
          <w:b/>
          <w:sz w:val="28"/>
          <w:szCs w:val="28"/>
        </w:rPr>
        <w:t>污染防治措施可行性结论</w:t>
      </w:r>
      <w:bookmarkEnd w:id="191"/>
    </w:p>
    <w:p w:rsidR="002A5A5E" w:rsidRPr="00F9522B" w:rsidRDefault="00611CBA">
      <w:pPr>
        <w:autoSpaceDE w:val="0"/>
        <w:autoSpaceDN w:val="0"/>
        <w:spacing w:before="100" w:beforeAutospacing="1" w:after="100" w:afterAutospacing="1"/>
        <w:outlineLvl w:val="3"/>
        <w:rPr>
          <w:rFonts w:eastAsiaTheme="minorEastAsia"/>
          <w:b/>
          <w:sz w:val="24"/>
        </w:rPr>
      </w:pPr>
      <w:r w:rsidRPr="00F9522B">
        <w:rPr>
          <w:rFonts w:eastAsiaTheme="minorEastAsia"/>
          <w:b/>
          <w:sz w:val="24"/>
        </w:rPr>
        <w:t>9.1.4.1</w:t>
      </w:r>
      <w:r w:rsidRPr="00F9522B">
        <w:rPr>
          <w:rFonts w:eastAsiaTheme="minorEastAsia"/>
          <w:b/>
          <w:sz w:val="24"/>
        </w:rPr>
        <w:t>施工期污染防治措施可行性结论</w:t>
      </w:r>
    </w:p>
    <w:p w:rsidR="002A5A5E" w:rsidRPr="00F9522B" w:rsidRDefault="00284B4D">
      <w:pPr>
        <w:spacing w:line="360" w:lineRule="auto"/>
        <w:ind w:firstLineChars="200" w:firstLine="480"/>
        <w:contextualSpacing/>
        <w:rPr>
          <w:rFonts w:eastAsiaTheme="minorEastAsia"/>
          <w:sz w:val="24"/>
        </w:rPr>
      </w:pPr>
      <w:r w:rsidRPr="00F9522B">
        <w:rPr>
          <w:rFonts w:eastAsiaTheme="minorEastAsia"/>
          <w:sz w:val="24"/>
        </w:rPr>
        <w:t>（</w:t>
      </w:r>
      <w:r w:rsidRPr="00F9522B">
        <w:rPr>
          <w:rFonts w:eastAsiaTheme="minorEastAsia"/>
          <w:sz w:val="24"/>
        </w:rPr>
        <w:t>1</w:t>
      </w:r>
      <w:r w:rsidRPr="00F9522B">
        <w:rPr>
          <w:rFonts w:eastAsiaTheme="minorEastAsia"/>
          <w:sz w:val="24"/>
        </w:rPr>
        <w:t>）</w:t>
      </w:r>
      <w:r w:rsidR="00611CBA" w:rsidRPr="00F9522B">
        <w:rPr>
          <w:rFonts w:eastAsiaTheme="minorEastAsia"/>
          <w:sz w:val="24"/>
        </w:rPr>
        <w:t>大气</w:t>
      </w:r>
    </w:p>
    <w:p w:rsidR="002A5A5E" w:rsidRPr="00F9522B" w:rsidRDefault="00611CBA" w:rsidP="00611CBA">
      <w:pPr>
        <w:spacing w:line="360" w:lineRule="auto"/>
        <w:ind w:firstLineChars="177" w:firstLine="425"/>
        <w:rPr>
          <w:rFonts w:eastAsiaTheme="minorEastAsia"/>
          <w:sz w:val="24"/>
        </w:rPr>
      </w:pPr>
      <w:r w:rsidRPr="00F9522B">
        <w:rPr>
          <w:rFonts w:eastAsiaTheme="minorEastAsia"/>
          <w:sz w:val="24"/>
        </w:rPr>
        <w:t>施工现场使用商品混凝土、预拌砂浆，严禁现场搅拌。</w:t>
      </w:r>
    </w:p>
    <w:p w:rsidR="002A5A5E" w:rsidRPr="00F9522B" w:rsidRDefault="00611CBA" w:rsidP="00611CBA">
      <w:pPr>
        <w:spacing w:line="360" w:lineRule="auto"/>
        <w:ind w:firstLineChars="177" w:firstLine="425"/>
        <w:rPr>
          <w:rFonts w:eastAsiaTheme="minorEastAsia"/>
          <w:sz w:val="24"/>
        </w:rPr>
      </w:pPr>
      <w:r w:rsidRPr="00F9522B">
        <w:rPr>
          <w:rFonts w:eastAsiaTheme="minorEastAsia"/>
          <w:sz w:val="24"/>
        </w:rPr>
        <w:t>施工现场细颗粒建筑材料密闭存放或严密覆盖，严禁露天放置；余料及时回收。</w:t>
      </w:r>
    </w:p>
    <w:p w:rsidR="002A5A5E" w:rsidRPr="00F9522B" w:rsidRDefault="00611CBA" w:rsidP="00611CBA">
      <w:pPr>
        <w:spacing w:line="360" w:lineRule="auto"/>
        <w:ind w:firstLineChars="177" w:firstLine="425"/>
        <w:rPr>
          <w:rFonts w:eastAsiaTheme="minorEastAsia"/>
          <w:sz w:val="24"/>
        </w:rPr>
      </w:pPr>
      <w:r w:rsidRPr="00F9522B">
        <w:rPr>
          <w:rFonts w:eastAsiaTheme="minorEastAsia"/>
          <w:sz w:val="24"/>
        </w:rPr>
        <w:t>施工期间，施工单位在非冬季时期制定洒水降尘制度，配套洒水车，专人负责，对施工场地及施工道路洒水抑尘；施工地面及时压实，天气干燥时增加洒水密度与频率。</w:t>
      </w:r>
    </w:p>
    <w:p w:rsidR="002A5A5E" w:rsidRPr="00F9522B" w:rsidRDefault="00611CBA" w:rsidP="00611CBA">
      <w:pPr>
        <w:spacing w:line="360" w:lineRule="auto"/>
        <w:ind w:firstLineChars="177" w:firstLine="425"/>
        <w:rPr>
          <w:rFonts w:eastAsiaTheme="minorEastAsia"/>
          <w:sz w:val="24"/>
        </w:rPr>
      </w:pPr>
      <w:r w:rsidRPr="00F9522B">
        <w:rPr>
          <w:rFonts w:eastAsiaTheme="minorEastAsia"/>
          <w:sz w:val="24"/>
        </w:rPr>
        <w:t>施工现场集中堆放的土方和裸露场地采取覆盖措施，严禁裸露。土料运输过程严格采用密闭运输，运输途中的物料不得沿途泄漏、散落或者飞扬。</w:t>
      </w:r>
    </w:p>
    <w:p w:rsidR="002A5A5E" w:rsidRPr="00F9522B" w:rsidRDefault="00611CBA" w:rsidP="00611CBA">
      <w:pPr>
        <w:spacing w:line="360" w:lineRule="auto"/>
        <w:ind w:firstLineChars="177" w:firstLine="425"/>
        <w:rPr>
          <w:rFonts w:eastAsiaTheme="minorEastAsia"/>
          <w:sz w:val="24"/>
        </w:rPr>
      </w:pPr>
      <w:r w:rsidRPr="00F9522B">
        <w:rPr>
          <w:rFonts w:eastAsiaTheme="minorEastAsia"/>
          <w:sz w:val="24"/>
        </w:rPr>
        <w:t>施工现场运送土方、渣土的车辆封闭或遮盖严密，严禁使用未办理相关手续的渣土等运输车辆，严禁沿路遗撒和随意倾倒。</w:t>
      </w:r>
    </w:p>
    <w:p w:rsidR="002A5A5E" w:rsidRPr="00F9522B" w:rsidRDefault="00611CBA" w:rsidP="00611CBA">
      <w:pPr>
        <w:spacing w:line="360" w:lineRule="auto"/>
        <w:ind w:firstLineChars="177" w:firstLine="425"/>
        <w:rPr>
          <w:rFonts w:eastAsiaTheme="minorEastAsia"/>
          <w:kern w:val="0"/>
          <w:sz w:val="24"/>
          <w:szCs w:val="20"/>
        </w:rPr>
      </w:pPr>
      <w:r w:rsidRPr="00F9522B">
        <w:rPr>
          <w:rFonts w:eastAsiaTheme="minorEastAsia"/>
          <w:kern w:val="0"/>
          <w:sz w:val="24"/>
          <w:szCs w:val="20"/>
        </w:rPr>
        <w:t>加强运输车辆的维护、保养，避免尾气超标排放。</w:t>
      </w:r>
    </w:p>
    <w:p w:rsidR="002A5A5E" w:rsidRPr="00F9522B" w:rsidRDefault="00611CBA" w:rsidP="00611CBA">
      <w:pPr>
        <w:spacing w:line="360" w:lineRule="auto"/>
        <w:ind w:firstLineChars="177" w:firstLine="425"/>
        <w:rPr>
          <w:rFonts w:eastAsiaTheme="minorEastAsia"/>
          <w:kern w:val="0"/>
          <w:sz w:val="24"/>
          <w:szCs w:val="20"/>
        </w:rPr>
      </w:pPr>
      <w:r w:rsidRPr="00F9522B">
        <w:rPr>
          <w:rFonts w:eastAsiaTheme="minorEastAsia"/>
          <w:kern w:val="0"/>
          <w:sz w:val="24"/>
          <w:szCs w:val="20"/>
        </w:rPr>
        <w:t>涵洞、田间道路工程建筑物拆除工程，气象预报风速达到</w:t>
      </w:r>
      <w:r w:rsidRPr="00F9522B">
        <w:rPr>
          <w:rFonts w:eastAsiaTheme="minorEastAsia"/>
          <w:kern w:val="0"/>
          <w:sz w:val="24"/>
          <w:szCs w:val="20"/>
        </w:rPr>
        <w:t>5</w:t>
      </w:r>
      <w:r w:rsidRPr="00F9522B">
        <w:rPr>
          <w:rFonts w:eastAsiaTheme="minorEastAsia"/>
          <w:kern w:val="0"/>
          <w:sz w:val="24"/>
          <w:szCs w:val="20"/>
        </w:rPr>
        <w:t>级时，应当停止拆除工程施工。拆除工程完工后</w:t>
      </w:r>
      <w:r w:rsidRPr="00F9522B">
        <w:rPr>
          <w:rFonts w:eastAsiaTheme="minorEastAsia"/>
          <w:kern w:val="0"/>
          <w:sz w:val="24"/>
          <w:szCs w:val="20"/>
        </w:rPr>
        <w:t>30</w:t>
      </w:r>
      <w:r w:rsidRPr="00F9522B">
        <w:rPr>
          <w:rFonts w:eastAsiaTheme="minorEastAsia"/>
          <w:kern w:val="0"/>
          <w:sz w:val="24"/>
          <w:szCs w:val="20"/>
        </w:rPr>
        <w:t>日内不能开工的建设用地，建设单位应当采取覆盖、地面硬化、简易绿化等措施。</w:t>
      </w:r>
    </w:p>
    <w:p w:rsidR="002A5A5E" w:rsidRPr="00F9522B" w:rsidRDefault="00611CBA" w:rsidP="00611CBA">
      <w:pPr>
        <w:spacing w:line="360" w:lineRule="auto"/>
        <w:ind w:firstLineChars="177" w:firstLine="425"/>
        <w:rPr>
          <w:rFonts w:eastAsiaTheme="minorEastAsia"/>
          <w:snapToGrid w:val="0"/>
          <w:sz w:val="24"/>
        </w:rPr>
      </w:pPr>
      <w:r w:rsidRPr="00F9522B">
        <w:rPr>
          <w:rFonts w:eastAsiaTheme="minorEastAsia"/>
          <w:snapToGrid w:val="0"/>
          <w:sz w:val="24"/>
        </w:rPr>
        <w:t>途经施工区村屯干道的运输车辆，实行限速管理，时速应小于</w:t>
      </w:r>
      <w:r w:rsidRPr="00F9522B">
        <w:rPr>
          <w:rFonts w:eastAsiaTheme="minorEastAsia"/>
          <w:snapToGrid w:val="0"/>
          <w:sz w:val="24"/>
        </w:rPr>
        <w:t>20km/h</w:t>
      </w:r>
      <w:r w:rsidRPr="00F9522B">
        <w:rPr>
          <w:rFonts w:eastAsiaTheme="minorEastAsia"/>
          <w:snapToGrid w:val="0"/>
          <w:sz w:val="24"/>
        </w:rPr>
        <w:t>，</w:t>
      </w:r>
      <w:r w:rsidRPr="00F9522B">
        <w:rPr>
          <w:rFonts w:eastAsiaTheme="minorEastAsia"/>
          <w:sz w:val="24"/>
        </w:rPr>
        <w:t>非冬季</w:t>
      </w:r>
      <w:r w:rsidRPr="00F9522B">
        <w:rPr>
          <w:rFonts w:eastAsiaTheme="minorEastAsia"/>
          <w:snapToGrid w:val="0"/>
          <w:sz w:val="24"/>
        </w:rPr>
        <w:t>干旱、多风天气，路段每天洒水不少于两次，减少扬尘对附近居民和作物的影响。</w:t>
      </w:r>
    </w:p>
    <w:p w:rsidR="002A5A5E" w:rsidRPr="00F9522B" w:rsidRDefault="00611CBA" w:rsidP="00611CBA">
      <w:pPr>
        <w:spacing w:line="360" w:lineRule="auto"/>
        <w:ind w:firstLineChars="177" w:firstLine="425"/>
        <w:rPr>
          <w:rFonts w:eastAsiaTheme="minorEastAsia"/>
          <w:sz w:val="24"/>
        </w:rPr>
      </w:pPr>
      <w:r w:rsidRPr="00F9522B">
        <w:rPr>
          <w:rFonts w:eastAsiaTheme="minorEastAsia"/>
          <w:snapToGrid w:val="0"/>
          <w:sz w:val="24"/>
        </w:rPr>
        <w:t>本环评要求灌溉井、田间道路、涵洞、变压器、排水沟清淤等工程在距离环境保护目标较近位置施工时（</w:t>
      </w:r>
      <w:r w:rsidR="00943455" w:rsidRPr="00943455">
        <w:rPr>
          <w:rFonts w:eastAsiaTheme="minorEastAsia"/>
          <w:snapToGrid w:val="0"/>
          <w:sz w:val="24"/>
        </w:rPr>
        <w:t>如八里荒、榆树村等村屯，具体村屯名称见表</w:t>
      </w:r>
      <w:r w:rsidR="00943455" w:rsidRPr="00943455">
        <w:rPr>
          <w:rFonts w:eastAsiaTheme="minorEastAsia"/>
          <w:snapToGrid w:val="0"/>
          <w:sz w:val="24"/>
        </w:rPr>
        <w:t>2-8-1</w:t>
      </w:r>
      <w:r w:rsidRPr="00F9522B">
        <w:rPr>
          <w:rFonts w:eastAsiaTheme="minorEastAsia"/>
          <w:snapToGrid w:val="0"/>
          <w:sz w:val="24"/>
        </w:rPr>
        <w:t>），应设置施工围挡，将施工场地及施工人员与居民分离开，保证施工安全、减少扬尘逸散，</w:t>
      </w:r>
      <w:r w:rsidRPr="00F9522B">
        <w:rPr>
          <w:rFonts w:eastAsiaTheme="minorEastAsia"/>
          <w:sz w:val="24"/>
        </w:rPr>
        <w:t>非冬季季节</w:t>
      </w:r>
      <w:r w:rsidRPr="00F9522B">
        <w:rPr>
          <w:rFonts w:eastAsiaTheme="minorEastAsia"/>
          <w:snapToGrid w:val="0"/>
          <w:sz w:val="24"/>
        </w:rPr>
        <w:t>同时还应采取洒水、喷淋等抑尘措施。</w:t>
      </w:r>
    </w:p>
    <w:p w:rsidR="002A5A5E" w:rsidRPr="00F9522B" w:rsidRDefault="00611CBA" w:rsidP="00611CBA">
      <w:pPr>
        <w:spacing w:line="360" w:lineRule="auto"/>
        <w:ind w:firstLineChars="177" w:firstLine="425"/>
        <w:rPr>
          <w:rFonts w:eastAsiaTheme="minorEastAsia"/>
          <w:sz w:val="24"/>
        </w:rPr>
      </w:pPr>
      <w:r w:rsidRPr="00F9522B">
        <w:rPr>
          <w:rFonts w:eastAsiaTheme="minorEastAsia"/>
          <w:snapToGrid w:val="0"/>
          <w:sz w:val="24"/>
        </w:rPr>
        <w:t>合理安排清淤时间，</w:t>
      </w:r>
      <w:r w:rsidR="004C69F2" w:rsidRPr="00873083">
        <w:rPr>
          <w:rFonts w:eastAsiaTheme="minorEastAsia"/>
          <w:color w:val="FF0000"/>
          <w:sz w:val="24"/>
        </w:rPr>
        <w:t>排水沟淤泥</w:t>
      </w:r>
      <w:r w:rsidR="004C69F2" w:rsidRPr="00873083">
        <w:rPr>
          <w:rFonts w:eastAsiaTheme="minorEastAsia"/>
          <w:bCs/>
          <w:color w:val="FF0000"/>
          <w:sz w:val="24"/>
        </w:rPr>
        <w:t>培至工程附近</w:t>
      </w:r>
      <w:r w:rsidR="004C69F2" w:rsidRPr="00873083">
        <w:rPr>
          <w:rFonts w:eastAsiaTheme="minorEastAsia"/>
          <w:bCs/>
          <w:color w:val="FF0000"/>
          <w:sz w:val="24"/>
        </w:rPr>
        <w:t>200</w:t>
      </w:r>
      <w:r w:rsidR="004C69F2" w:rsidRPr="00873083">
        <w:rPr>
          <w:rFonts w:eastAsiaTheme="minorEastAsia"/>
          <w:bCs/>
          <w:color w:val="FF0000"/>
          <w:sz w:val="24"/>
        </w:rPr>
        <w:t>米范围内无环境保护目标的排水沟两侧（避开南城李、方台镇、宋家村等</w:t>
      </w:r>
      <w:r w:rsidR="004C69F2" w:rsidRPr="00873083">
        <w:rPr>
          <w:rFonts w:eastAsiaTheme="minorEastAsia"/>
          <w:bCs/>
          <w:color w:val="FF0000"/>
          <w:sz w:val="24"/>
        </w:rPr>
        <w:t>33</w:t>
      </w:r>
      <w:r w:rsidR="004C69F2" w:rsidRPr="00873083">
        <w:rPr>
          <w:rFonts w:eastAsiaTheme="minorEastAsia"/>
          <w:bCs/>
          <w:color w:val="FF0000"/>
          <w:sz w:val="24"/>
        </w:rPr>
        <w:t>个村屯，具体见表</w:t>
      </w:r>
      <w:r w:rsidR="004C69F2" w:rsidRPr="00873083">
        <w:rPr>
          <w:rFonts w:eastAsiaTheme="minorEastAsia"/>
          <w:bCs/>
          <w:color w:val="FF0000"/>
          <w:sz w:val="24"/>
        </w:rPr>
        <w:t>2-8-2</w:t>
      </w:r>
      <w:r w:rsidR="004C69F2" w:rsidRPr="00873083">
        <w:rPr>
          <w:rFonts w:eastAsiaTheme="minorEastAsia"/>
          <w:bCs/>
          <w:color w:val="FF0000"/>
          <w:sz w:val="24"/>
        </w:rPr>
        <w:t>），</w:t>
      </w:r>
      <w:r w:rsidR="004C69F2">
        <w:rPr>
          <w:rFonts w:eastAsiaTheme="minorEastAsia"/>
          <w:color w:val="FF0000"/>
          <w:sz w:val="24"/>
        </w:rPr>
        <w:t>减少对附近环境保护目标的影响</w:t>
      </w:r>
      <w:r w:rsidRPr="00F9522B">
        <w:rPr>
          <w:rFonts w:eastAsiaTheme="minorEastAsia"/>
          <w:snapToGrid w:val="0"/>
          <w:sz w:val="24"/>
        </w:rPr>
        <w:t>。</w:t>
      </w:r>
    </w:p>
    <w:p w:rsidR="002A5A5E" w:rsidRPr="00F9522B" w:rsidRDefault="00611CBA" w:rsidP="00611CBA">
      <w:pPr>
        <w:spacing w:line="360" w:lineRule="auto"/>
        <w:ind w:firstLineChars="177" w:firstLine="425"/>
        <w:rPr>
          <w:rFonts w:eastAsiaTheme="minorEastAsia"/>
          <w:sz w:val="24"/>
        </w:rPr>
      </w:pPr>
      <w:r w:rsidRPr="00F9522B">
        <w:rPr>
          <w:rFonts w:eastAsiaTheme="minorEastAsia"/>
          <w:sz w:val="24"/>
        </w:rPr>
        <w:t>采取以上措施后，厂界颗粒物排放浓度满足《大气污染物综合排放标准》</w:t>
      </w:r>
      <w:r w:rsidRPr="00F9522B">
        <w:rPr>
          <w:rFonts w:eastAsiaTheme="minorEastAsia"/>
          <w:sz w:val="24"/>
        </w:rPr>
        <w:lastRenderedPageBreak/>
        <w:t>（</w:t>
      </w:r>
      <w:r w:rsidRPr="00F9522B">
        <w:rPr>
          <w:rFonts w:eastAsiaTheme="minorEastAsia"/>
          <w:sz w:val="24"/>
        </w:rPr>
        <w:t>GB16297-1996</w:t>
      </w:r>
      <w:r w:rsidRPr="00F9522B">
        <w:rPr>
          <w:rFonts w:eastAsiaTheme="minorEastAsia"/>
          <w:sz w:val="24"/>
        </w:rPr>
        <w:t>）表</w:t>
      </w:r>
      <w:r w:rsidRPr="00F9522B">
        <w:rPr>
          <w:rFonts w:eastAsiaTheme="minorEastAsia"/>
          <w:sz w:val="24"/>
        </w:rPr>
        <w:t>2</w:t>
      </w:r>
      <w:r w:rsidRPr="00F9522B">
        <w:rPr>
          <w:rFonts w:eastAsiaTheme="minorEastAsia"/>
          <w:sz w:val="24"/>
        </w:rPr>
        <w:t>中无组织排放监控浓度限值要求，厂界臭气浓度满足《恶臭污染物排放标准》（</w:t>
      </w:r>
      <w:r w:rsidRPr="00F9522B">
        <w:rPr>
          <w:rFonts w:eastAsiaTheme="minorEastAsia"/>
          <w:sz w:val="24"/>
        </w:rPr>
        <w:t>GB14554-93</w:t>
      </w:r>
      <w:r w:rsidRPr="00F9522B">
        <w:rPr>
          <w:rFonts w:eastAsiaTheme="minorEastAsia"/>
          <w:sz w:val="24"/>
        </w:rPr>
        <w:t>）表</w:t>
      </w:r>
      <w:r w:rsidRPr="00F9522B">
        <w:rPr>
          <w:rFonts w:eastAsiaTheme="minorEastAsia"/>
          <w:sz w:val="24"/>
        </w:rPr>
        <w:t>1</w:t>
      </w:r>
      <w:r w:rsidRPr="00F9522B">
        <w:rPr>
          <w:rFonts w:eastAsiaTheme="minorEastAsia"/>
          <w:sz w:val="24"/>
        </w:rPr>
        <w:t>二级标准，移动式发电机废气排放满足《非道路移动机械用柴油机移动泵车污染物排放限值及测量方法（中国三、四阶段）》（</w:t>
      </w:r>
      <w:r w:rsidRPr="00F9522B">
        <w:rPr>
          <w:rFonts w:eastAsiaTheme="minorEastAsia"/>
          <w:sz w:val="24"/>
        </w:rPr>
        <w:t>GB20891-2014</w:t>
      </w:r>
      <w:r w:rsidRPr="00F9522B">
        <w:rPr>
          <w:rFonts w:eastAsiaTheme="minorEastAsia"/>
          <w:sz w:val="24"/>
        </w:rPr>
        <w:t>）中表</w:t>
      </w:r>
      <w:r w:rsidRPr="00F9522B">
        <w:rPr>
          <w:rFonts w:eastAsiaTheme="minorEastAsia"/>
          <w:sz w:val="24"/>
        </w:rPr>
        <w:t>2</w:t>
      </w:r>
      <w:r w:rsidRPr="00F9522B">
        <w:rPr>
          <w:rFonts w:eastAsiaTheme="minorEastAsia"/>
          <w:sz w:val="24"/>
        </w:rPr>
        <w:t>非道路移动机械用柴油机排气污染物排放限值要求。</w:t>
      </w:r>
    </w:p>
    <w:p w:rsidR="002A5A5E" w:rsidRPr="00F9522B" w:rsidRDefault="00284B4D">
      <w:pPr>
        <w:spacing w:line="360" w:lineRule="auto"/>
        <w:ind w:firstLineChars="200" w:firstLine="480"/>
        <w:contextualSpacing/>
        <w:rPr>
          <w:rFonts w:eastAsiaTheme="minorEastAsia"/>
          <w:kern w:val="0"/>
          <w:sz w:val="24"/>
        </w:rPr>
      </w:pPr>
      <w:r w:rsidRPr="00F9522B">
        <w:rPr>
          <w:rFonts w:eastAsiaTheme="minorEastAsia"/>
          <w:kern w:val="0"/>
          <w:sz w:val="24"/>
        </w:rPr>
        <w:t>（</w:t>
      </w:r>
      <w:r w:rsidRPr="00F9522B">
        <w:rPr>
          <w:rFonts w:eastAsiaTheme="minorEastAsia"/>
          <w:kern w:val="0"/>
          <w:sz w:val="24"/>
        </w:rPr>
        <w:t>1</w:t>
      </w:r>
      <w:r w:rsidRPr="00F9522B">
        <w:rPr>
          <w:rFonts w:eastAsiaTheme="minorEastAsia"/>
          <w:kern w:val="0"/>
          <w:sz w:val="24"/>
        </w:rPr>
        <w:t>）</w:t>
      </w:r>
      <w:r w:rsidR="00611CBA" w:rsidRPr="00F9522B">
        <w:rPr>
          <w:rFonts w:eastAsiaTheme="minorEastAsia"/>
          <w:kern w:val="0"/>
          <w:sz w:val="24"/>
        </w:rPr>
        <w:t>废水</w:t>
      </w:r>
    </w:p>
    <w:p w:rsidR="002A5A5E" w:rsidRPr="00F9522B" w:rsidRDefault="00611CBA">
      <w:pPr>
        <w:widowControl/>
        <w:spacing w:line="360" w:lineRule="auto"/>
        <w:ind w:firstLineChars="200" w:firstLine="480"/>
        <w:rPr>
          <w:rFonts w:eastAsiaTheme="minorEastAsia"/>
          <w:sz w:val="24"/>
          <w:szCs w:val="22"/>
        </w:rPr>
      </w:pPr>
      <w:r w:rsidRPr="00F9522B">
        <w:rPr>
          <w:rFonts w:eastAsiaTheme="minorEastAsia"/>
          <w:kern w:val="0"/>
          <w:sz w:val="24"/>
        </w:rPr>
        <w:t>施工废水主要污染因子为</w:t>
      </w:r>
      <w:r w:rsidRPr="00F9522B">
        <w:rPr>
          <w:rFonts w:eastAsiaTheme="minorEastAsia"/>
          <w:kern w:val="0"/>
          <w:sz w:val="24"/>
        </w:rPr>
        <w:t>SS</w:t>
      </w:r>
      <w:r w:rsidRPr="00F9522B">
        <w:rPr>
          <w:rFonts w:eastAsiaTheme="minorEastAsia"/>
          <w:kern w:val="0"/>
          <w:sz w:val="24"/>
        </w:rPr>
        <w:t>。</w:t>
      </w:r>
      <w:r w:rsidRPr="00F9522B">
        <w:rPr>
          <w:rFonts w:eastAsiaTheme="minorEastAsia"/>
          <w:sz w:val="24"/>
        </w:rPr>
        <w:t>洗井废水用于洒水降尘</w:t>
      </w:r>
      <w:r w:rsidRPr="00F9522B">
        <w:rPr>
          <w:rFonts w:eastAsiaTheme="minorEastAsia"/>
          <w:sz w:val="24"/>
          <w:szCs w:val="21"/>
        </w:rPr>
        <w:t>。</w:t>
      </w:r>
      <w:r w:rsidRPr="00F9522B">
        <w:rPr>
          <w:rFonts w:eastAsiaTheme="minorEastAsia"/>
          <w:sz w:val="24"/>
          <w:szCs w:val="22"/>
        </w:rPr>
        <w:t>钻井泥浆可循环利用，废泥浆</w:t>
      </w:r>
      <w:r w:rsidRPr="00F9522B">
        <w:rPr>
          <w:rFonts w:eastAsiaTheme="minorEastAsia"/>
          <w:sz w:val="24"/>
        </w:rPr>
        <w:t>暂存于施工场地</w:t>
      </w:r>
      <w:r w:rsidR="0009673A" w:rsidRPr="00F9522B">
        <w:rPr>
          <w:rFonts w:eastAsiaTheme="minorEastAsia"/>
          <w:color w:val="FF0000"/>
          <w:sz w:val="24"/>
        </w:rPr>
        <w:t>5</w:t>
      </w:r>
      <w:r w:rsidR="0009673A" w:rsidRPr="00F9522B">
        <w:rPr>
          <w:rFonts w:eastAsiaTheme="minorEastAsia"/>
          <w:color w:val="FF0000"/>
          <w:sz w:val="24"/>
        </w:rPr>
        <w:t>个</w:t>
      </w:r>
      <w:r w:rsidR="0009673A" w:rsidRPr="00F9522B">
        <w:rPr>
          <w:rFonts w:eastAsiaTheme="minorEastAsia"/>
          <w:color w:val="FF0000"/>
          <w:sz w:val="24"/>
        </w:rPr>
        <w:t>2</w:t>
      </w:r>
      <w:r w:rsidRPr="00F9522B">
        <w:rPr>
          <w:rFonts w:eastAsiaTheme="minorEastAsia"/>
          <w:color w:val="FF0000"/>
          <w:sz w:val="24"/>
        </w:rPr>
        <w:t>0</w:t>
      </w:r>
      <w:r w:rsidRPr="00F9522B">
        <w:rPr>
          <w:rFonts w:eastAsiaTheme="minorEastAsia"/>
          <w:color w:val="FF0000"/>
          <w:sz w:val="24"/>
          <w:szCs w:val="22"/>
        </w:rPr>
        <w:t>m</w:t>
      </w:r>
      <w:r w:rsidRPr="00F9522B">
        <w:rPr>
          <w:rFonts w:eastAsiaTheme="minorEastAsia"/>
          <w:color w:val="FF0000"/>
          <w:sz w:val="24"/>
          <w:szCs w:val="22"/>
          <w:vertAlign w:val="superscript"/>
        </w:rPr>
        <w:t>3</w:t>
      </w:r>
      <w:r w:rsidRPr="00F9522B">
        <w:rPr>
          <w:rFonts w:eastAsiaTheme="minorEastAsia"/>
          <w:color w:val="FF0000"/>
          <w:sz w:val="24"/>
        </w:rPr>
        <w:t>移动式不锈钢沉淀池内，</w:t>
      </w:r>
      <w:r w:rsidRPr="00F9522B">
        <w:rPr>
          <w:rFonts w:eastAsiaTheme="minorEastAsia"/>
          <w:sz w:val="24"/>
        </w:rPr>
        <w:t>沉淀后上层清水用于洒水降尘，下层钻井</w:t>
      </w:r>
      <w:r w:rsidRPr="00F9522B">
        <w:rPr>
          <w:rFonts w:eastAsiaTheme="minorEastAsia"/>
          <w:bCs/>
          <w:sz w:val="24"/>
          <w:szCs w:val="22"/>
        </w:rPr>
        <w:t>泥浆自然干化后用于周围道路平整。</w:t>
      </w:r>
      <w:r w:rsidRPr="00F9522B">
        <w:rPr>
          <w:rFonts w:eastAsiaTheme="minorEastAsia"/>
          <w:sz w:val="24"/>
          <w:szCs w:val="21"/>
        </w:rPr>
        <w:t>施工期施工人员的生活污水排入依托附近民房防渗旱厕，定期清掏，外运堆肥，不外排。合理安排施工时序，选择</w:t>
      </w:r>
      <w:r w:rsidRPr="00F9522B">
        <w:rPr>
          <w:rFonts w:eastAsiaTheme="minorEastAsia"/>
          <w:sz w:val="24"/>
          <w:szCs w:val="21"/>
        </w:rPr>
        <w:t>3</w:t>
      </w:r>
      <w:r w:rsidRPr="00F9522B">
        <w:rPr>
          <w:rFonts w:eastAsiaTheme="minorEastAsia"/>
          <w:sz w:val="24"/>
          <w:szCs w:val="21"/>
        </w:rPr>
        <w:t>月至</w:t>
      </w:r>
      <w:r w:rsidRPr="00F9522B">
        <w:rPr>
          <w:rFonts w:eastAsiaTheme="minorEastAsia"/>
          <w:sz w:val="24"/>
          <w:szCs w:val="21"/>
        </w:rPr>
        <w:t>4</w:t>
      </w:r>
      <w:r w:rsidRPr="00F9522B">
        <w:rPr>
          <w:rFonts w:eastAsiaTheme="minorEastAsia"/>
          <w:sz w:val="24"/>
          <w:szCs w:val="21"/>
        </w:rPr>
        <w:t>月进行清淤，排水沟干涸，不涉水，避免对地表水体的影响。</w:t>
      </w:r>
      <w:r w:rsidRPr="00F9522B">
        <w:rPr>
          <w:rFonts w:eastAsiaTheme="minorEastAsia"/>
          <w:bCs/>
          <w:kern w:val="0"/>
          <w:sz w:val="24"/>
          <w:szCs w:val="20"/>
        </w:rPr>
        <w:t>清淤工程污泥铺摊晾晒过程中可能会产生沥水，排入排水沟内，污泥沥水与排水沟内水质基本一致，故排至排水沟内不会对灌区水质产生不良影响。</w:t>
      </w:r>
    </w:p>
    <w:p w:rsidR="002A5A5E" w:rsidRPr="00F9522B" w:rsidRDefault="00611CBA">
      <w:pPr>
        <w:spacing w:line="360" w:lineRule="auto"/>
        <w:ind w:firstLineChars="200" w:firstLine="480"/>
        <w:rPr>
          <w:rFonts w:eastAsiaTheme="minorEastAsia"/>
          <w:sz w:val="24"/>
        </w:rPr>
      </w:pPr>
      <w:r w:rsidRPr="00F9522B">
        <w:rPr>
          <w:rFonts w:eastAsiaTheme="minorEastAsia"/>
          <w:sz w:val="24"/>
          <w:szCs w:val="21"/>
        </w:rPr>
        <w:t>本工程</w:t>
      </w:r>
      <w:r w:rsidRPr="00F9522B">
        <w:rPr>
          <w:rFonts w:eastAsiaTheme="minorEastAsia"/>
          <w:sz w:val="24"/>
        </w:rPr>
        <w:t>施工期无施工废水排放到环境水体。施工过程不会对周围环境造成影响。</w:t>
      </w:r>
    </w:p>
    <w:p w:rsidR="002A5A5E" w:rsidRPr="00F9522B" w:rsidRDefault="00284B4D">
      <w:pPr>
        <w:spacing w:line="360" w:lineRule="auto"/>
        <w:ind w:firstLineChars="200" w:firstLine="480"/>
        <w:contextualSpacing/>
        <w:rPr>
          <w:rFonts w:eastAsiaTheme="minorEastAsia"/>
          <w:kern w:val="0"/>
          <w:sz w:val="24"/>
        </w:rPr>
      </w:pPr>
      <w:r w:rsidRPr="00F9522B">
        <w:rPr>
          <w:rFonts w:eastAsiaTheme="minorEastAsia"/>
          <w:kern w:val="0"/>
          <w:sz w:val="24"/>
        </w:rPr>
        <w:t>（</w:t>
      </w:r>
      <w:r w:rsidRPr="00F9522B">
        <w:rPr>
          <w:rFonts w:eastAsiaTheme="minorEastAsia"/>
          <w:kern w:val="0"/>
          <w:sz w:val="24"/>
        </w:rPr>
        <w:t>3</w:t>
      </w:r>
      <w:r w:rsidRPr="00F9522B">
        <w:rPr>
          <w:rFonts w:eastAsiaTheme="minorEastAsia"/>
          <w:kern w:val="0"/>
          <w:sz w:val="24"/>
        </w:rPr>
        <w:t>）</w:t>
      </w:r>
      <w:r w:rsidR="00611CBA" w:rsidRPr="00F9522B">
        <w:rPr>
          <w:rFonts w:eastAsiaTheme="minorEastAsia"/>
          <w:kern w:val="0"/>
          <w:sz w:val="24"/>
        </w:rPr>
        <w:t>噪声</w:t>
      </w:r>
    </w:p>
    <w:p w:rsidR="002A5A5E" w:rsidRPr="00F9522B" w:rsidRDefault="00611CBA" w:rsidP="00611CBA">
      <w:pPr>
        <w:spacing w:line="360" w:lineRule="auto"/>
        <w:ind w:firstLineChars="177" w:firstLine="425"/>
        <w:rPr>
          <w:rFonts w:eastAsiaTheme="minorEastAsia"/>
          <w:sz w:val="24"/>
          <w:szCs w:val="21"/>
        </w:rPr>
      </w:pPr>
      <w:r w:rsidRPr="00F9522B">
        <w:rPr>
          <w:rFonts w:eastAsiaTheme="minorEastAsia"/>
          <w:bCs/>
          <w:sz w:val="24"/>
        </w:rPr>
        <w:t>合理规划施工布置。</w:t>
      </w:r>
      <w:r w:rsidRPr="00F9522B">
        <w:rPr>
          <w:rFonts w:eastAsiaTheme="minorEastAsia"/>
          <w:sz w:val="24"/>
          <w:szCs w:val="21"/>
        </w:rPr>
        <w:t>移动式声屏障可拆卸重复使用，高度为</w:t>
      </w:r>
      <w:r w:rsidRPr="00F9522B">
        <w:rPr>
          <w:rFonts w:eastAsiaTheme="minorEastAsia"/>
          <w:sz w:val="24"/>
          <w:szCs w:val="21"/>
        </w:rPr>
        <w:t>2m</w:t>
      </w:r>
      <w:r w:rsidRPr="00F9522B">
        <w:rPr>
          <w:rFonts w:eastAsiaTheme="minorEastAsia"/>
          <w:sz w:val="24"/>
          <w:szCs w:val="21"/>
        </w:rPr>
        <w:t>。本次评价考虑距离工程</w:t>
      </w:r>
      <w:r w:rsidRPr="00F9522B">
        <w:rPr>
          <w:rFonts w:eastAsiaTheme="minorEastAsia"/>
          <w:sz w:val="24"/>
          <w:szCs w:val="21"/>
        </w:rPr>
        <w:t>10m</w:t>
      </w:r>
      <w:r w:rsidRPr="00F9522B">
        <w:rPr>
          <w:rFonts w:eastAsiaTheme="minorEastAsia"/>
          <w:sz w:val="24"/>
          <w:szCs w:val="21"/>
        </w:rPr>
        <w:t>以内的敏感保护目标设置芯材为玻璃棉等吸声材料的双层移动式隔声屏障，</w:t>
      </w:r>
      <w:r w:rsidRPr="00F9522B">
        <w:rPr>
          <w:rFonts w:eastAsiaTheme="minorEastAsia"/>
          <w:spacing w:val="-5"/>
          <w:sz w:val="24"/>
        </w:rPr>
        <w:t>双层</w:t>
      </w:r>
      <w:r w:rsidRPr="00F9522B">
        <w:rPr>
          <w:rFonts w:eastAsiaTheme="minorEastAsia"/>
          <w:sz w:val="24"/>
          <w:szCs w:val="21"/>
        </w:rPr>
        <w:t>声屏障降噪效果良好，可降噪</w:t>
      </w:r>
      <w:r w:rsidRPr="00F9522B">
        <w:rPr>
          <w:rFonts w:eastAsiaTheme="minorEastAsia"/>
          <w:sz w:val="24"/>
          <w:szCs w:val="21"/>
        </w:rPr>
        <w:t>25dB</w:t>
      </w:r>
      <w:r w:rsidRPr="00F9522B">
        <w:rPr>
          <w:rFonts w:eastAsiaTheme="minorEastAsia"/>
          <w:sz w:val="24"/>
          <w:szCs w:val="21"/>
        </w:rPr>
        <w:t>（</w:t>
      </w:r>
      <w:r w:rsidRPr="00F9522B">
        <w:rPr>
          <w:rFonts w:eastAsiaTheme="minorEastAsia"/>
          <w:sz w:val="24"/>
          <w:szCs w:val="21"/>
        </w:rPr>
        <w:t>A</w:t>
      </w:r>
      <w:r w:rsidRPr="00F9522B">
        <w:rPr>
          <w:rFonts w:eastAsiaTheme="minorEastAsia"/>
          <w:sz w:val="24"/>
          <w:szCs w:val="21"/>
        </w:rPr>
        <w:t>）。</w:t>
      </w:r>
    </w:p>
    <w:p w:rsidR="002A5A5E" w:rsidRPr="00F9522B" w:rsidRDefault="00611CBA">
      <w:pPr>
        <w:spacing w:line="360" w:lineRule="auto"/>
        <w:ind w:firstLineChars="200" w:firstLine="480"/>
        <w:rPr>
          <w:rFonts w:eastAsiaTheme="minorEastAsia"/>
          <w:sz w:val="24"/>
        </w:rPr>
      </w:pPr>
      <w:r w:rsidRPr="00F9522B">
        <w:rPr>
          <w:rFonts w:eastAsiaTheme="minorEastAsia"/>
          <w:sz w:val="24"/>
          <w:szCs w:val="21"/>
        </w:rPr>
        <w:t>合理布置施工现场，尽量让高噪声设备远离敏感点一侧布置；做好安全文明施工（严禁中午</w:t>
      </w:r>
      <w:r w:rsidRPr="00F9522B">
        <w:rPr>
          <w:rFonts w:eastAsiaTheme="minorEastAsia"/>
          <w:sz w:val="24"/>
          <w:szCs w:val="21"/>
        </w:rPr>
        <w:t>12:00</w:t>
      </w:r>
      <w:r w:rsidRPr="00F9522B">
        <w:rPr>
          <w:rFonts w:eastAsia="MS Mincho"/>
          <w:sz w:val="24"/>
          <w:szCs w:val="21"/>
        </w:rPr>
        <w:t>〜</w:t>
      </w:r>
      <w:r w:rsidRPr="00F9522B">
        <w:rPr>
          <w:rFonts w:eastAsiaTheme="minorEastAsia"/>
          <w:sz w:val="24"/>
          <w:szCs w:val="21"/>
        </w:rPr>
        <w:t xml:space="preserve">14:00 </w:t>
      </w:r>
      <w:r w:rsidRPr="00F9522B">
        <w:rPr>
          <w:rFonts w:eastAsiaTheme="minorEastAsia"/>
          <w:sz w:val="24"/>
          <w:szCs w:val="21"/>
        </w:rPr>
        <w:t>进行高噪声施工活动），夜间不施工，在</w:t>
      </w:r>
      <w:r w:rsidRPr="00F9522B">
        <w:rPr>
          <w:rFonts w:eastAsiaTheme="minorEastAsia"/>
          <w:sz w:val="24"/>
          <w:szCs w:val="21"/>
        </w:rPr>
        <w:t>10m</w:t>
      </w:r>
      <w:r w:rsidRPr="00F9522B">
        <w:rPr>
          <w:rFonts w:eastAsiaTheme="minorEastAsia"/>
          <w:sz w:val="24"/>
          <w:szCs w:val="21"/>
        </w:rPr>
        <w:t>以内分布有居民（</w:t>
      </w:r>
      <w:r w:rsidR="007A5D2B" w:rsidRPr="00F9522B">
        <w:rPr>
          <w:rFonts w:eastAsiaTheme="minorEastAsia"/>
          <w:sz w:val="24"/>
          <w:szCs w:val="21"/>
        </w:rPr>
        <w:t>八里荒、榆树村、黄家窝堡等村屯，共</w:t>
      </w:r>
      <w:r w:rsidR="007A5D2B" w:rsidRPr="00F9522B">
        <w:rPr>
          <w:rFonts w:eastAsiaTheme="minorEastAsia"/>
          <w:sz w:val="24"/>
          <w:szCs w:val="21"/>
        </w:rPr>
        <w:t>25</w:t>
      </w:r>
      <w:r w:rsidR="007A5D2B" w:rsidRPr="00F9522B">
        <w:rPr>
          <w:rFonts w:eastAsiaTheme="minorEastAsia"/>
          <w:sz w:val="24"/>
          <w:szCs w:val="21"/>
        </w:rPr>
        <w:t>处</w:t>
      </w:r>
      <w:r w:rsidRPr="00F9522B">
        <w:rPr>
          <w:rFonts w:eastAsiaTheme="minorEastAsia"/>
          <w:sz w:val="24"/>
          <w:szCs w:val="21"/>
        </w:rPr>
        <w:t>，具体村屯名称</w:t>
      </w:r>
      <w:r w:rsidR="00660C23" w:rsidRPr="00F9522B">
        <w:rPr>
          <w:rFonts w:eastAsiaTheme="minorEastAsia"/>
          <w:sz w:val="24"/>
          <w:szCs w:val="21"/>
        </w:rPr>
        <w:t>见表</w:t>
      </w:r>
      <w:r w:rsidR="00660C23" w:rsidRPr="00F9522B">
        <w:rPr>
          <w:rFonts w:eastAsiaTheme="minorEastAsia"/>
          <w:sz w:val="24"/>
          <w:szCs w:val="21"/>
        </w:rPr>
        <w:t>2-8-1</w:t>
      </w:r>
      <w:r w:rsidRPr="00F9522B">
        <w:rPr>
          <w:rFonts w:eastAsiaTheme="minorEastAsia"/>
          <w:sz w:val="24"/>
          <w:szCs w:val="21"/>
        </w:rPr>
        <w:t>）的灌溉与排水、田间道路、涵洞等建筑物、</w:t>
      </w:r>
      <w:r w:rsidRPr="00F9522B">
        <w:rPr>
          <w:rFonts w:eastAsiaTheme="minorEastAsia"/>
          <w:bCs/>
          <w:sz w:val="24"/>
          <w:szCs w:val="21"/>
        </w:rPr>
        <w:t>输配电</w:t>
      </w:r>
      <w:r w:rsidRPr="00F9522B">
        <w:rPr>
          <w:rFonts w:eastAsiaTheme="minorEastAsia"/>
          <w:sz w:val="24"/>
          <w:szCs w:val="21"/>
        </w:rPr>
        <w:t>工程处设置</w:t>
      </w:r>
      <w:r w:rsidRPr="00F9522B">
        <w:rPr>
          <w:rFonts w:eastAsiaTheme="minorEastAsia"/>
          <w:spacing w:val="-5"/>
          <w:sz w:val="24"/>
        </w:rPr>
        <w:t>双层</w:t>
      </w:r>
      <w:r w:rsidRPr="00F9522B">
        <w:rPr>
          <w:rFonts w:eastAsiaTheme="minorEastAsia"/>
          <w:sz w:val="24"/>
          <w:szCs w:val="21"/>
        </w:rPr>
        <w:t>移动隔声屏障，高度为</w:t>
      </w:r>
      <w:r w:rsidRPr="00F9522B">
        <w:rPr>
          <w:rFonts w:eastAsiaTheme="minorEastAsia"/>
          <w:sz w:val="24"/>
          <w:szCs w:val="21"/>
        </w:rPr>
        <w:t>2m</w:t>
      </w:r>
      <w:r w:rsidRPr="00F9522B">
        <w:rPr>
          <w:rFonts w:eastAsiaTheme="minorEastAsia"/>
          <w:sz w:val="24"/>
          <w:szCs w:val="21"/>
        </w:rPr>
        <w:t>，长度超出敏感目标两侧各</w:t>
      </w:r>
      <w:r w:rsidRPr="00F9522B">
        <w:rPr>
          <w:rFonts w:eastAsiaTheme="minorEastAsia"/>
          <w:sz w:val="24"/>
          <w:szCs w:val="21"/>
        </w:rPr>
        <w:t>10m</w:t>
      </w:r>
      <w:r w:rsidRPr="00F9522B">
        <w:rPr>
          <w:rFonts w:eastAsiaTheme="minorEastAsia"/>
          <w:sz w:val="24"/>
          <w:szCs w:val="21"/>
        </w:rPr>
        <w:t>。</w:t>
      </w:r>
    </w:p>
    <w:p w:rsidR="002A5A5E" w:rsidRPr="00F9522B" w:rsidRDefault="00611CBA" w:rsidP="00611CBA">
      <w:pPr>
        <w:spacing w:line="360" w:lineRule="auto"/>
        <w:ind w:firstLineChars="177" w:firstLine="425"/>
        <w:rPr>
          <w:rFonts w:eastAsiaTheme="minorEastAsia"/>
          <w:sz w:val="24"/>
        </w:rPr>
      </w:pPr>
      <w:r w:rsidRPr="00F9522B">
        <w:rPr>
          <w:rFonts w:eastAsiaTheme="minorEastAsia"/>
          <w:sz w:val="24"/>
          <w:szCs w:val="21"/>
        </w:rPr>
        <w:t>对施工机械和车辆进行维护保养</w:t>
      </w:r>
      <w:r w:rsidRPr="00F9522B">
        <w:rPr>
          <w:rFonts w:eastAsiaTheme="minorEastAsia"/>
          <w:sz w:val="24"/>
        </w:rPr>
        <w:t>。</w:t>
      </w:r>
    </w:p>
    <w:p w:rsidR="002A5A5E" w:rsidRPr="00F9522B" w:rsidRDefault="00611CBA" w:rsidP="00611CBA">
      <w:pPr>
        <w:spacing w:line="360" w:lineRule="auto"/>
        <w:ind w:firstLineChars="177" w:firstLine="425"/>
        <w:rPr>
          <w:rFonts w:eastAsiaTheme="minorEastAsia"/>
          <w:sz w:val="24"/>
        </w:rPr>
      </w:pPr>
      <w:r w:rsidRPr="00F9522B">
        <w:rPr>
          <w:rFonts w:eastAsiaTheme="minorEastAsia"/>
          <w:bCs/>
          <w:smallCaps/>
          <w:sz w:val="24"/>
        </w:rPr>
        <w:t>施工单位应加强对施工队伍的管理，倡导文明施工；</w:t>
      </w:r>
      <w:r w:rsidRPr="00F9522B">
        <w:rPr>
          <w:rFonts w:eastAsiaTheme="minorEastAsia"/>
          <w:bCs/>
          <w:sz w:val="24"/>
        </w:rPr>
        <w:t>车辆经过居民区和噪声敏感点附近时应控制车速不超过</w:t>
      </w:r>
      <w:r w:rsidRPr="00F9522B">
        <w:rPr>
          <w:rFonts w:eastAsiaTheme="minorEastAsia"/>
          <w:bCs/>
          <w:sz w:val="24"/>
        </w:rPr>
        <w:t>20km/h</w:t>
      </w:r>
      <w:r w:rsidRPr="00F9522B">
        <w:rPr>
          <w:rFonts w:eastAsiaTheme="minorEastAsia"/>
          <w:bCs/>
          <w:sz w:val="24"/>
        </w:rPr>
        <w:t>，禁止鸣笛，同时，结合施工区所列的环境敏感目标设置警示牌限速牌</w:t>
      </w:r>
      <w:r w:rsidRPr="00F9522B">
        <w:rPr>
          <w:rFonts w:eastAsiaTheme="minorEastAsia"/>
          <w:sz w:val="24"/>
        </w:rPr>
        <w:t>。</w:t>
      </w:r>
    </w:p>
    <w:p w:rsidR="002A5A5E" w:rsidRPr="00F9522B" w:rsidRDefault="00611CBA" w:rsidP="00611CBA">
      <w:pPr>
        <w:spacing w:line="360" w:lineRule="auto"/>
        <w:ind w:firstLineChars="177" w:firstLine="425"/>
        <w:rPr>
          <w:rFonts w:eastAsiaTheme="minorEastAsia"/>
          <w:sz w:val="24"/>
        </w:rPr>
      </w:pPr>
      <w:r w:rsidRPr="00F9522B">
        <w:rPr>
          <w:rFonts w:eastAsiaTheme="minorEastAsia"/>
          <w:sz w:val="24"/>
          <w:szCs w:val="21"/>
        </w:rPr>
        <w:t>加强施工期环境管理，尽量避免高噪声机械设备集中使用或几台声功率相同</w:t>
      </w:r>
      <w:r w:rsidRPr="00F9522B">
        <w:rPr>
          <w:rFonts w:eastAsiaTheme="minorEastAsia"/>
          <w:sz w:val="24"/>
          <w:szCs w:val="21"/>
        </w:rPr>
        <w:lastRenderedPageBreak/>
        <w:t>的设备同时、同点作业，以减少作业时的噪声声级</w:t>
      </w:r>
      <w:r w:rsidRPr="00F9522B">
        <w:rPr>
          <w:rFonts w:eastAsiaTheme="minorEastAsia"/>
          <w:sz w:val="24"/>
        </w:rPr>
        <w:t>。</w:t>
      </w:r>
    </w:p>
    <w:p w:rsidR="002A5A5E" w:rsidRPr="00F9522B" w:rsidRDefault="00611CBA" w:rsidP="00611CBA">
      <w:pPr>
        <w:spacing w:line="360" w:lineRule="auto"/>
        <w:ind w:firstLineChars="177" w:firstLine="425"/>
        <w:rPr>
          <w:rFonts w:eastAsiaTheme="minorEastAsia"/>
          <w:sz w:val="24"/>
        </w:rPr>
      </w:pPr>
      <w:r w:rsidRPr="00F9522B">
        <w:rPr>
          <w:rFonts w:eastAsiaTheme="minorEastAsia"/>
          <w:sz w:val="24"/>
          <w:szCs w:val="21"/>
        </w:rPr>
        <w:t>合理安排施工作业时间，禁止夜间（</w:t>
      </w:r>
      <w:r w:rsidRPr="00F9522B">
        <w:rPr>
          <w:rFonts w:eastAsiaTheme="minorEastAsia"/>
          <w:sz w:val="24"/>
          <w:szCs w:val="21"/>
        </w:rPr>
        <w:t>22:00-6:00</w:t>
      </w:r>
      <w:r w:rsidRPr="00F9522B">
        <w:rPr>
          <w:rFonts w:eastAsiaTheme="minorEastAsia"/>
          <w:sz w:val="24"/>
          <w:szCs w:val="21"/>
        </w:rPr>
        <w:t>）施工</w:t>
      </w:r>
      <w:r w:rsidRPr="00F9522B">
        <w:rPr>
          <w:rFonts w:eastAsiaTheme="minorEastAsia"/>
          <w:sz w:val="24"/>
        </w:rPr>
        <w:t>。</w:t>
      </w:r>
    </w:p>
    <w:p w:rsidR="002A5A5E" w:rsidRPr="00F9522B" w:rsidRDefault="00611CBA" w:rsidP="00611CBA">
      <w:pPr>
        <w:spacing w:line="360" w:lineRule="auto"/>
        <w:ind w:firstLineChars="177" w:firstLine="425"/>
        <w:rPr>
          <w:rFonts w:eastAsiaTheme="minorEastAsia"/>
          <w:sz w:val="24"/>
        </w:rPr>
      </w:pPr>
      <w:r w:rsidRPr="00F9522B">
        <w:rPr>
          <w:rFonts w:eastAsiaTheme="minorEastAsia"/>
          <w:sz w:val="24"/>
        </w:rPr>
        <w:t>建设管理部门应加强对施工工地的噪声管理，施工企业也应对施工进行自律，文明施工，避免因施工噪声产生纠纷。</w:t>
      </w:r>
    </w:p>
    <w:p w:rsidR="002A5A5E" w:rsidRPr="00F9522B" w:rsidRDefault="00611CBA" w:rsidP="00611CBA">
      <w:pPr>
        <w:spacing w:line="360" w:lineRule="auto"/>
        <w:ind w:firstLineChars="177" w:firstLine="425"/>
        <w:rPr>
          <w:rFonts w:eastAsiaTheme="minorEastAsia"/>
          <w:sz w:val="24"/>
        </w:rPr>
      </w:pPr>
      <w:r w:rsidRPr="00F9522B">
        <w:rPr>
          <w:rFonts w:eastAsiaTheme="minorEastAsia"/>
          <w:bCs/>
          <w:sz w:val="24"/>
        </w:rPr>
        <w:t>加强施工期噪声监测，项目所在区域地势平坦，噪声影响范围大；施工期环境监测单位应加强对声环境敏感点的噪声监测，尤其是建筑物工程附近的敏感点的噪声监测，对于噪声超标的区域，及时反馈建设单位，督促施工单位加以规范，确保敏感点声环境功能区达标。</w:t>
      </w:r>
    </w:p>
    <w:p w:rsidR="002A5A5E" w:rsidRPr="00F9522B" w:rsidRDefault="00611CBA">
      <w:pPr>
        <w:spacing w:line="360" w:lineRule="auto"/>
        <w:ind w:firstLineChars="200" w:firstLine="480"/>
        <w:rPr>
          <w:rFonts w:eastAsiaTheme="minorEastAsia"/>
          <w:sz w:val="24"/>
        </w:rPr>
      </w:pPr>
      <w:r w:rsidRPr="00F9522B">
        <w:rPr>
          <w:rFonts w:eastAsiaTheme="minorEastAsia"/>
          <w:bCs/>
          <w:sz w:val="24"/>
        </w:rPr>
        <w:t>综上分析，本项目施工期噪声具有阶段性、临时性和不固定性的特征。尽管施工噪声对周边环境有一定的不利影响，但是施工期噪声影响是短暂的，一旦施工活动结束，施工噪声影响也就随之结束，</w:t>
      </w:r>
      <w:r w:rsidRPr="00F9522B">
        <w:rPr>
          <w:rFonts w:eastAsiaTheme="minorEastAsia"/>
          <w:sz w:val="24"/>
        </w:rPr>
        <w:t>采取措施后厂界噪声符合《建筑施工噪声排放标准》（</w:t>
      </w:r>
      <w:r w:rsidRPr="00F9522B">
        <w:rPr>
          <w:rFonts w:eastAsiaTheme="minorEastAsia"/>
          <w:sz w:val="24"/>
        </w:rPr>
        <w:t>GB12523-2025</w:t>
      </w:r>
      <w:r w:rsidRPr="00F9522B">
        <w:rPr>
          <w:rFonts w:eastAsiaTheme="minorEastAsia"/>
          <w:sz w:val="24"/>
        </w:rPr>
        <w:t>）要求，施工期声环境保护措施可行。</w:t>
      </w:r>
    </w:p>
    <w:p w:rsidR="002A5A5E" w:rsidRPr="00F9522B" w:rsidRDefault="00284B4D">
      <w:pPr>
        <w:spacing w:line="360" w:lineRule="auto"/>
        <w:ind w:firstLineChars="200" w:firstLine="480"/>
        <w:contextualSpacing/>
        <w:rPr>
          <w:rFonts w:eastAsiaTheme="minorEastAsia"/>
          <w:sz w:val="24"/>
        </w:rPr>
      </w:pPr>
      <w:r w:rsidRPr="00F9522B">
        <w:rPr>
          <w:rFonts w:eastAsiaTheme="minorEastAsia"/>
          <w:sz w:val="24"/>
        </w:rPr>
        <w:t>（</w:t>
      </w:r>
      <w:r w:rsidRPr="00F9522B">
        <w:rPr>
          <w:rFonts w:eastAsiaTheme="minorEastAsia"/>
          <w:sz w:val="24"/>
        </w:rPr>
        <w:t>4</w:t>
      </w:r>
      <w:r w:rsidRPr="00F9522B">
        <w:rPr>
          <w:rFonts w:eastAsiaTheme="minorEastAsia"/>
          <w:sz w:val="24"/>
        </w:rPr>
        <w:t>）</w:t>
      </w:r>
      <w:r w:rsidR="00611CBA" w:rsidRPr="00F9522B">
        <w:rPr>
          <w:rFonts w:eastAsiaTheme="minorEastAsia"/>
          <w:sz w:val="24"/>
        </w:rPr>
        <w:t>固废</w:t>
      </w:r>
    </w:p>
    <w:p w:rsidR="002A5A5E" w:rsidRPr="00F9522B" w:rsidRDefault="00611CBA">
      <w:pPr>
        <w:spacing w:line="360" w:lineRule="auto"/>
        <w:ind w:firstLineChars="200" w:firstLine="464"/>
        <w:rPr>
          <w:rFonts w:eastAsiaTheme="minorEastAsia"/>
          <w:spacing w:val="-4"/>
          <w:sz w:val="24"/>
          <w:szCs w:val="21"/>
        </w:rPr>
      </w:pPr>
      <w:r w:rsidRPr="00F9522B">
        <w:rPr>
          <w:rFonts w:eastAsiaTheme="minorEastAsia"/>
          <w:spacing w:val="-4"/>
          <w:sz w:val="24"/>
          <w:szCs w:val="21"/>
        </w:rPr>
        <w:t>施工期固体废物主要包括建筑垃圾、施工弃土、生活垃圾、淤泥、废肥料包装袋。</w:t>
      </w:r>
    </w:p>
    <w:p w:rsidR="002A5A5E" w:rsidRPr="00F9522B" w:rsidRDefault="00611CBA" w:rsidP="00284B4D">
      <w:pPr>
        <w:spacing w:line="360" w:lineRule="auto"/>
        <w:ind w:firstLineChars="200" w:firstLine="464"/>
        <w:rPr>
          <w:rFonts w:eastAsiaTheme="minorEastAsia"/>
          <w:spacing w:val="-4"/>
          <w:sz w:val="24"/>
          <w:szCs w:val="21"/>
        </w:rPr>
      </w:pPr>
      <w:r w:rsidRPr="00F9522B">
        <w:rPr>
          <w:rFonts w:eastAsiaTheme="minorEastAsia"/>
          <w:spacing w:val="-4"/>
          <w:sz w:val="24"/>
          <w:szCs w:val="21"/>
        </w:rPr>
        <w:t>建筑垃圾大部分用于田块整治工程，剩余送至建筑公司回用。</w:t>
      </w:r>
    </w:p>
    <w:p w:rsidR="002A5A5E" w:rsidRPr="00F9522B" w:rsidRDefault="00611CBA">
      <w:pPr>
        <w:widowControl/>
        <w:spacing w:line="360" w:lineRule="auto"/>
        <w:ind w:firstLineChars="200" w:firstLine="480"/>
        <w:rPr>
          <w:rFonts w:eastAsiaTheme="minorEastAsia"/>
          <w:sz w:val="24"/>
          <w:szCs w:val="22"/>
        </w:rPr>
      </w:pPr>
      <w:r w:rsidRPr="00F9522B">
        <w:rPr>
          <w:rFonts w:eastAsiaTheme="minorEastAsia"/>
          <w:sz w:val="24"/>
          <w:szCs w:val="22"/>
        </w:rPr>
        <w:t>钻井泥浆可循环利用，废泥浆</w:t>
      </w:r>
      <w:r w:rsidRPr="00F9522B">
        <w:rPr>
          <w:rFonts w:eastAsiaTheme="minorEastAsia"/>
          <w:sz w:val="24"/>
        </w:rPr>
        <w:t>暂存于施工场地</w:t>
      </w:r>
      <w:r w:rsidRPr="00F9522B">
        <w:rPr>
          <w:rFonts w:eastAsiaTheme="minorEastAsia"/>
          <w:sz w:val="24"/>
        </w:rPr>
        <w:t>1</w:t>
      </w:r>
      <w:r w:rsidRPr="00F9522B">
        <w:rPr>
          <w:rFonts w:eastAsiaTheme="minorEastAsia"/>
          <w:sz w:val="24"/>
        </w:rPr>
        <w:t>个</w:t>
      </w:r>
      <w:r w:rsidRPr="00F9522B">
        <w:rPr>
          <w:rFonts w:eastAsiaTheme="minorEastAsia"/>
          <w:sz w:val="24"/>
        </w:rPr>
        <w:t>20</w:t>
      </w:r>
      <w:r w:rsidRPr="00F9522B">
        <w:rPr>
          <w:rFonts w:eastAsiaTheme="minorEastAsia"/>
          <w:sz w:val="24"/>
          <w:szCs w:val="22"/>
        </w:rPr>
        <w:t>m</w:t>
      </w:r>
      <w:r w:rsidRPr="00F9522B">
        <w:rPr>
          <w:rFonts w:eastAsiaTheme="minorEastAsia"/>
          <w:sz w:val="24"/>
          <w:szCs w:val="22"/>
          <w:vertAlign w:val="superscript"/>
        </w:rPr>
        <w:t>3</w:t>
      </w:r>
      <w:r w:rsidRPr="00F9522B">
        <w:rPr>
          <w:rFonts w:eastAsiaTheme="minorEastAsia"/>
          <w:sz w:val="24"/>
        </w:rPr>
        <w:t>移动式不锈钢沉淀池内，沉淀后上层清水用于洒水降尘，下层钻井</w:t>
      </w:r>
      <w:r w:rsidRPr="00F9522B">
        <w:rPr>
          <w:rFonts w:eastAsiaTheme="minorEastAsia"/>
          <w:bCs/>
          <w:sz w:val="24"/>
          <w:szCs w:val="22"/>
        </w:rPr>
        <w:t>泥浆自然干化后用于周围道路平整</w:t>
      </w:r>
      <w:r w:rsidRPr="00F9522B">
        <w:rPr>
          <w:rFonts w:eastAsiaTheme="minorEastAsia"/>
          <w:spacing w:val="-4"/>
          <w:sz w:val="24"/>
          <w:szCs w:val="21"/>
        </w:rPr>
        <w:t>。表土用于临时工程土地恢复及田块整治工程，土方能回填的及时回填。</w:t>
      </w:r>
    </w:p>
    <w:p w:rsidR="002A5A5E" w:rsidRPr="00F9522B" w:rsidRDefault="00611CBA" w:rsidP="00284B4D">
      <w:pPr>
        <w:spacing w:line="360" w:lineRule="auto"/>
        <w:ind w:firstLineChars="177" w:firstLine="411"/>
        <w:rPr>
          <w:rFonts w:eastAsiaTheme="minorEastAsia"/>
          <w:sz w:val="24"/>
        </w:rPr>
      </w:pPr>
      <w:r w:rsidRPr="00F9522B">
        <w:rPr>
          <w:rFonts w:eastAsiaTheme="minorEastAsia"/>
          <w:spacing w:val="-4"/>
          <w:sz w:val="24"/>
          <w:szCs w:val="21"/>
        </w:rPr>
        <w:t>施工人员产生的生活垃圾集中收集后应由市政环卫部门统一清运处置</w:t>
      </w:r>
      <w:r w:rsidRPr="00F9522B">
        <w:rPr>
          <w:rFonts w:eastAsiaTheme="minorEastAsia"/>
          <w:sz w:val="24"/>
        </w:rPr>
        <w:t>。</w:t>
      </w:r>
    </w:p>
    <w:p w:rsidR="002A5A5E" w:rsidRPr="00F9522B" w:rsidRDefault="00611CBA" w:rsidP="00611CBA">
      <w:pPr>
        <w:spacing w:line="360" w:lineRule="auto"/>
        <w:ind w:firstLineChars="177" w:firstLine="425"/>
        <w:rPr>
          <w:rFonts w:eastAsiaTheme="minorEastAsia"/>
          <w:bCs/>
          <w:sz w:val="24"/>
        </w:rPr>
      </w:pPr>
      <w:r w:rsidRPr="00F9522B">
        <w:rPr>
          <w:rFonts w:eastAsiaTheme="minorEastAsia"/>
          <w:bCs/>
          <w:sz w:val="24"/>
        </w:rPr>
        <w:t>本工程产生弃方淤泥</w:t>
      </w:r>
      <w:r w:rsidR="000037AB" w:rsidRPr="00F9522B">
        <w:rPr>
          <w:rFonts w:eastAsiaTheme="minorEastAsia"/>
          <w:bCs/>
          <w:sz w:val="24"/>
        </w:rPr>
        <w:t>0.255</w:t>
      </w:r>
      <w:r w:rsidR="000037AB" w:rsidRPr="00F9522B">
        <w:rPr>
          <w:rFonts w:eastAsiaTheme="minorEastAsia"/>
          <w:bCs/>
          <w:sz w:val="24"/>
        </w:rPr>
        <w:t>万</w:t>
      </w:r>
      <w:r w:rsidR="000037AB" w:rsidRPr="00F9522B">
        <w:rPr>
          <w:rFonts w:eastAsiaTheme="minorEastAsia"/>
          <w:bCs/>
          <w:sz w:val="24"/>
        </w:rPr>
        <w:t>m</w:t>
      </w:r>
      <w:r w:rsidRPr="00F9522B">
        <w:rPr>
          <w:rFonts w:eastAsiaTheme="minorEastAsia"/>
          <w:bCs/>
          <w:sz w:val="24"/>
          <w:vertAlign w:val="superscript"/>
        </w:rPr>
        <w:t>3</w:t>
      </w:r>
      <w:r w:rsidRPr="00F9522B">
        <w:rPr>
          <w:rFonts w:eastAsiaTheme="minorEastAsia"/>
          <w:bCs/>
          <w:sz w:val="24"/>
        </w:rPr>
        <w:t>，铺设在排水沟两侧。</w:t>
      </w:r>
    </w:p>
    <w:p w:rsidR="002A5A5E" w:rsidRPr="00F9522B" w:rsidRDefault="00611CBA" w:rsidP="00611CBA">
      <w:pPr>
        <w:spacing w:line="360" w:lineRule="auto"/>
        <w:ind w:firstLineChars="177" w:firstLine="411"/>
        <w:rPr>
          <w:rFonts w:eastAsiaTheme="minorEastAsia"/>
          <w:spacing w:val="-4"/>
          <w:sz w:val="24"/>
        </w:rPr>
      </w:pPr>
      <w:r w:rsidRPr="00F9522B">
        <w:rPr>
          <w:rFonts w:eastAsiaTheme="minorEastAsia"/>
          <w:spacing w:val="-4"/>
          <w:sz w:val="24"/>
        </w:rPr>
        <w:t>施工期</w:t>
      </w:r>
      <w:r w:rsidR="00D61453" w:rsidRPr="00F9522B">
        <w:rPr>
          <w:rFonts w:eastAsiaTheme="minorEastAsia"/>
          <w:bCs/>
          <w:spacing w:val="-4"/>
          <w:sz w:val="24"/>
        </w:rPr>
        <w:t>田块整治</w:t>
      </w:r>
      <w:r w:rsidRPr="00F9522B">
        <w:rPr>
          <w:rFonts w:eastAsiaTheme="minorEastAsia"/>
          <w:bCs/>
          <w:spacing w:val="-4"/>
          <w:sz w:val="24"/>
        </w:rPr>
        <w:t>工程</w:t>
      </w:r>
      <w:r w:rsidRPr="00F9522B">
        <w:rPr>
          <w:rFonts w:eastAsiaTheme="minorEastAsia"/>
          <w:spacing w:val="-4"/>
          <w:sz w:val="24"/>
        </w:rPr>
        <w:t>将会产生少量的废肥料包装袋，外售废品收购站。</w:t>
      </w:r>
    </w:p>
    <w:p w:rsidR="002A5A5E" w:rsidRPr="00F9522B" w:rsidRDefault="00611CBA" w:rsidP="00611CBA">
      <w:pPr>
        <w:spacing w:line="360" w:lineRule="auto"/>
        <w:ind w:firstLineChars="177" w:firstLine="425"/>
        <w:rPr>
          <w:rFonts w:eastAsiaTheme="minorEastAsia"/>
          <w:sz w:val="24"/>
        </w:rPr>
      </w:pPr>
      <w:r w:rsidRPr="00F9522B">
        <w:rPr>
          <w:rFonts w:eastAsiaTheme="minorEastAsia"/>
          <w:sz w:val="24"/>
        </w:rPr>
        <w:t>采取上述措施，本项目施工期产生的固废处置率</w:t>
      </w:r>
      <w:r w:rsidRPr="00F9522B">
        <w:rPr>
          <w:rFonts w:eastAsiaTheme="minorEastAsia"/>
          <w:sz w:val="24"/>
        </w:rPr>
        <w:t>100%</w:t>
      </w:r>
      <w:r w:rsidRPr="00F9522B">
        <w:rPr>
          <w:rFonts w:eastAsiaTheme="minorEastAsia"/>
          <w:sz w:val="24"/>
        </w:rPr>
        <w:t>，不会对环境产生明显影响，施工期固体废物处置措施可行。</w:t>
      </w:r>
    </w:p>
    <w:p w:rsidR="002A5A5E" w:rsidRPr="00F9522B" w:rsidRDefault="00284B4D" w:rsidP="00611CBA">
      <w:pPr>
        <w:spacing w:line="360" w:lineRule="auto"/>
        <w:ind w:firstLineChars="177" w:firstLine="425"/>
        <w:rPr>
          <w:rFonts w:eastAsiaTheme="minorEastAsia"/>
          <w:sz w:val="24"/>
        </w:rPr>
      </w:pPr>
      <w:r w:rsidRPr="00F9522B">
        <w:rPr>
          <w:rFonts w:eastAsiaTheme="minorEastAsia"/>
          <w:sz w:val="24"/>
        </w:rPr>
        <w:t>（</w:t>
      </w:r>
      <w:r w:rsidRPr="00F9522B">
        <w:rPr>
          <w:rFonts w:eastAsiaTheme="minorEastAsia"/>
          <w:sz w:val="24"/>
        </w:rPr>
        <w:t>5</w:t>
      </w:r>
      <w:r w:rsidRPr="00F9522B">
        <w:rPr>
          <w:rFonts w:eastAsiaTheme="minorEastAsia"/>
          <w:sz w:val="24"/>
        </w:rPr>
        <w:t>）</w:t>
      </w:r>
      <w:r w:rsidR="00611CBA" w:rsidRPr="00F9522B">
        <w:rPr>
          <w:rFonts w:eastAsiaTheme="minorEastAsia"/>
          <w:sz w:val="24"/>
        </w:rPr>
        <w:t>生态</w:t>
      </w:r>
    </w:p>
    <w:p w:rsidR="002A5A5E" w:rsidRPr="00F9522B" w:rsidRDefault="00611CBA">
      <w:pPr>
        <w:pStyle w:val="aff4"/>
        <w:adjustRightInd/>
        <w:snapToGrid/>
        <w:jc w:val="both"/>
        <w:rPr>
          <w:rFonts w:ascii="Times New Roman" w:hAnsi="Times New Roman" w:cs="Times New Roman"/>
          <w:snapToGrid w:val="0"/>
        </w:rPr>
      </w:pPr>
      <w:r w:rsidRPr="00F9522B">
        <w:rPr>
          <w:rFonts w:ascii="Times New Roman" w:hAnsi="Times New Roman" w:cs="Times New Roman"/>
          <w:kern w:val="24"/>
        </w:rPr>
        <w:t>项目施工期对生态环境的影响主要体现为占用土地、扰动土层、生物量减少、土地利用类型改变、影响</w:t>
      </w:r>
      <w:r w:rsidRPr="00F9522B">
        <w:rPr>
          <w:rFonts w:ascii="Times New Roman" w:hAnsi="Times New Roman" w:cs="Times New Roman"/>
          <w:szCs w:val="21"/>
        </w:rPr>
        <w:t>景观完整性</w:t>
      </w:r>
      <w:r w:rsidRPr="00F9522B">
        <w:rPr>
          <w:rFonts w:ascii="Times New Roman" w:hAnsi="Times New Roman" w:cs="Times New Roman"/>
          <w:kern w:val="24"/>
        </w:rPr>
        <w:t>、加剧水土流失</w:t>
      </w:r>
      <w:r w:rsidRPr="00F9522B">
        <w:rPr>
          <w:rFonts w:ascii="Times New Roman" w:hAnsi="Times New Roman" w:cs="Times New Roman"/>
          <w:snapToGrid w:val="0"/>
        </w:rPr>
        <w:t>。</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为减轻拟建项目运营期对生态环境带来的不利影响，拟采取以下生态保护措施：</w:t>
      </w:r>
    </w:p>
    <w:p w:rsidR="002A5A5E" w:rsidRPr="00F9522B" w:rsidRDefault="00284B4D">
      <w:pPr>
        <w:spacing w:line="360" w:lineRule="auto"/>
        <w:ind w:firstLineChars="200" w:firstLine="480"/>
        <w:contextualSpacing/>
        <w:rPr>
          <w:rFonts w:eastAsiaTheme="minorEastAsia"/>
          <w:snapToGrid w:val="0"/>
          <w:kern w:val="0"/>
          <w:sz w:val="24"/>
        </w:rPr>
      </w:pPr>
      <w:r w:rsidRPr="00F9522B">
        <w:rPr>
          <w:rFonts w:eastAsiaTheme="minorEastAsia"/>
          <w:snapToGrid w:val="0"/>
          <w:kern w:val="0"/>
          <w:sz w:val="24"/>
        </w:rPr>
        <w:lastRenderedPageBreak/>
        <w:t>1</w:t>
      </w:r>
      <w:r w:rsidRPr="00F9522B">
        <w:rPr>
          <w:rFonts w:eastAsiaTheme="minorEastAsia"/>
          <w:snapToGrid w:val="0"/>
          <w:kern w:val="0"/>
          <w:sz w:val="24"/>
        </w:rPr>
        <w:t>）</w:t>
      </w:r>
      <w:r w:rsidR="00611CBA" w:rsidRPr="00F9522B">
        <w:rPr>
          <w:rFonts w:eastAsiaTheme="minorEastAsia"/>
          <w:snapToGrid w:val="0"/>
          <w:kern w:val="0"/>
          <w:sz w:val="24"/>
        </w:rPr>
        <w:t>陆生生态、水生生态保护措施</w:t>
      </w:r>
    </w:p>
    <w:p w:rsidR="002A5A5E" w:rsidRPr="00F9522B" w:rsidRDefault="00611CBA">
      <w:pPr>
        <w:spacing w:line="360" w:lineRule="auto"/>
        <w:ind w:firstLineChars="200" w:firstLine="480"/>
        <w:contextualSpacing/>
        <w:rPr>
          <w:rFonts w:eastAsiaTheme="minorEastAsia"/>
          <w:snapToGrid w:val="0"/>
          <w:kern w:val="0"/>
          <w:sz w:val="24"/>
        </w:rPr>
      </w:pPr>
      <w:r w:rsidRPr="00F9522B">
        <w:rPr>
          <w:rFonts w:eastAsiaTheme="minorEastAsia"/>
          <w:snapToGrid w:val="0"/>
          <w:kern w:val="0"/>
          <w:sz w:val="24"/>
        </w:rPr>
        <w:t>严格控制占地范围，减少植被破坏、禁止动物的捕猎，加强对施工人员生态环境方面知识的教育，加强管理，增强对生态环境保护的意识和观念，并使施工人员变为自觉行为。</w:t>
      </w:r>
    </w:p>
    <w:p w:rsidR="002A5A5E" w:rsidRPr="00F9522B" w:rsidRDefault="00611CBA">
      <w:pPr>
        <w:spacing w:line="360" w:lineRule="auto"/>
        <w:ind w:firstLineChars="200" w:firstLine="480"/>
        <w:rPr>
          <w:rFonts w:eastAsiaTheme="minorEastAsia"/>
          <w:sz w:val="24"/>
          <w:szCs w:val="21"/>
        </w:rPr>
      </w:pPr>
      <w:r w:rsidRPr="00F9522B">
        <w:rPr>
          <w:rFonts w:eastAsiaTheme="minorEastAsia"/>
          <w:snapToGrid w:val="0"/>
          <w:kern w:val="0"/>
          <w:sz w:val="24"/>
        </w:rPr>
        <w:t>施工单位优化施工工艺和施工时序，尽量减少对动物惊扰应采用先进的施工工艺和优良设备，严格按规范施工，特别注意减少施工噪声对鸟类和兽类的惊扰。鉴于鸟类对噪声、振动和施工灯光的特殊要求，施工均在白天进行，晚上不施工。不在野生动物繁殖季节施工，减轻施工噪声和振动对野生动物的影响。</w:t>
      </w:r>
      <w:r w:rsidRPr="00F9522B">
        <w:rPr>
          <w:rFonts w:eastAsiaTheme="minorEastAsia"/>
          <w:sz w:val="24"/>
          <w:szCs w:val="21"/>
        </w:rPr>
        <w:t>合理安排施工时序，选择</w:t>
      </w:r>
      <w:r w:rsidRPr="00F9522B">
        <w:rPr>
          <w:rFonts w:eastAsiaTheme="minorEastAsia"/>
          <w:sz w:val="24"/>
          <w:szCs w:val="21"/>
        </w:rPr>
        <w:t>3</w:t>
      </w:r>
      <w:r w:rsidRPr="00F9522B">
        <w:rPr>
          <w:rFonts w:eastAsiaTheme="minorEastAsia"/>
          <w:sz w:val="24"/>
          <w:szCs w:val="21"/>
        </w:rPr>
        <w:t>月至</w:t>
      </w:r>
      <w:r w:rsidRPr="00F9522B">
        <w:rPr>
          <w:rFonts w:eastAsiaTheme="minorEastAsia"/>
          <w:sz w:val="24"/>
          <w:szCs w:val="21"/>
        </w:rPr>
        <w:t>4</w:t>
      </w:r>
      <w:r w:rsidRPr="00F9522B">
        <w:rPr>
          <w:rFonts w:eastAsiaTheme="minorEastAsia"/>
          <w:sz w:val="24"/>
          <w:szCs w:val="21"/>
        </w:rPr>
        <w:t>月进行排水沟清淤及涵洞等建筑物、护砌工程施工，沟渠干涸，不涉水，避免对地表水体的影响。施工废水洒水降尘，不会对沟渠水质、水生动植物产生影响。</w:t>
      </w:r>
      <w:r w:rsidRPr="00F9522B">
        <w:rPr>
          <w:rFonts w:eastAsiaTheme="minorEastAsia"/>
          <w:bCs/>
          <w:sz w:val="24"/>
        </w:rPr>
        <w:t>沟道清淤后，底质环境及水质的改善，对水生生态有益</w:t>
      </w:r>
      <w:r w:rsidRPr="00F9522B">
        <w:rPr>
          <w:rFonts w:eastAsiaTheme="minorEastAsia"/>
          <w:sz w:val="24"/>
          <w:szCs w:val="21"/>
        </w:rPr>
        <w:t>。</w:t>
      </w:r>
    </w:p>
    <w:p w:rsidR="002A5A5E" w:rsidRPr="00F9522B" w:rsidRDefault="00611CBA">
      <w:pPr>
        <w:spacing w:line="360" w:lineRule="auto"/>
        <w:ind w:firstLineChars="200" w:firstLine="480"/>
        <w:rPr>
          <w:rFonts w:eastAsiaTheme="minorEastAsia"/>
          <w:snapToGrid w:val="0"/>
          <w:kern w:val="0"/>
          <w:sz w:val="24"/>
        </w:rPr>
      </w:pPr>
      <w:r w:rsidRPr="00F9522B">
        <w:rPr>
          <w:rFonts w:eastAsiaTheme="minorEastAsia"/>
          <w:snapToGrid w:val="0"/>
          <w:kern w:val="0"/>
          <w:sz w:val="24"/>
        </w:rPr>
        <w:t>合理安排施工时间，避免雨天及大风天施工，防止在暴雨及大风期间造成大量水土流失。</w:t>
      </w:r>
    </w:p>
    <w:p w:rsidR="002A5A5E" w:rsidRPr="00F9522B" w:rsidRDefault="00611CBA">
      <w:pPr>
        <w:spacing w:line="360" w:lineRule="auto"/>
        <w:ind w:firstLineChars="200" w:firstLine="480"/>
        <w:rPr>
          <w:rFonts w:eastAsiaTheme="minorEastAsia"/>
          <w:snapToGrid w:val="0"/>
          <w:kern w:val="0"/>
          <w:sz w:val="24"/>
        </w:rPr>
      </w:pPr>
      <w:r w:rsidRPr="00F9522B">
        <w:rPr>
          <w:rFonts w:eastAsiaTheme="minorEastAsia"/>
          <w:snapToGrid w:val="0"/>
          <w:kern w:val="0"/>
          <w:sz w:val="24"/>
        </w:rPr>
        <w:t>施工期应把剥离的表层腐殖土集中妥善处理，并采取密目网苫盖措施，对挖方进行妥善的临时堆置，并及时进行弃方的清运，避免随意排放，以确保挖填裸露堆土，不被雨水冲刷，避免造成水土流失。</w:t>
      </w:r>
    </w:p>
    <w:p w:rsidR="002A5A5E" w:rsidRPr="00F9522B" w:rsidRDefault="00611CBA">
      <w:pPr>
        <w:spacing w:line="360" w:lineRule="auto"/>
        <w:ind w:firstLineChars="200" w:firstLine="480"/>
        <w:rPr>
          <w:rFonts w:eastAsiaTheme="minorEastAsia"/>
          <w:smallCaps/>
          <w:sz w:val="24"/>
        </w:rPr>
      </w:pPr>
      <w:r w:rsidRPr="00F9522B">
        <w:rPr>
          <w:rFonts w:eastAsiaTheme="minorEastAsia"/>
          <w:snapToGrid w:val="0"/>
          <w:kern w:val="0"/>
          <w:sz w:val="24"/>
        </w:rPr>
        <w:t>保护工程施工区域的水生生物资源。涵洞施工过程</w:t>
      </w:r>
      <w:r w:rsidRPr="00F9522B">
        <w:rPr>
          <w:rFonts w:eastAsiaTheme="minorEastAsia"/>
          <w:smallCaps/>
          <w:sz w:val="24"/>
        </w:rPr>
        <w:t>禁止施工生产废水排放至沟渠内。</w:t>
      </w:r>
    </w:p>
    <w:p w:rsidR="002A5A5E" w:rsidRPr="00F9522B" w:rsidRDefault="00611CBA">
      <w:pPr>
        <w:spacing w:line="360" w:lineRule="auto"/>
        <w:ind w:firstLineChars="200" w:firstLine="480"/>
        <w:rPr>
          <w:rFonts w:eastAsiaTheme="minorEastAsia"/>
          <w:smallCaps/>
          <w:sz w:val="24"/>
        </w:rPr>
      </w:pPr>
      <w:r w:rsidRPr="00F9522B">
        <w:rPr>
          <w:rFonts w:eastAsiaTheme="minorEastAsia"/>
          <w:smallCaps/>
          <w:sz w:val="24"/>
        </w:rPr>
        <w:t>施工工区等在施工结束后，应立即恢复地表绿化，且尽可能恢复为原有物种，尽量不改变当地生态系统构成。</w:t>
      </w:r>
    </w:p>
    <w:p w:rsidR="002A5A5E" w:rsidRPr="00F9522B" w:rsidRDefault="00611CBA">
      <w:pPr>
        <w:spacing w:line="360" w:lineRule="auto"/>
        <w:ind w:firstLineChars="200" w:firstLine="480"/>
        <w:rPr>
          <w:rFonts w:eastAsiaTheme="minorEastAsia"/>
          <w:smallCaps/>
          <w:sz w:val="24"/>
        </w:rPr>
      </w:pPr>
      <w:r w:rsidRPr="00F9522B">
        <w:rPr>
          <w:rFonts w:eastAsiaTheme="minorEastAsia"/>
          <w:smallCaps/>
          <w:sz w:val="24"/>
        </w:rPr>
        <w:t>加强管理，严格控制施工作业范围，优化施工时序，进行</w:t>
      </w:r>
      <w:r w:rsidRPr="00F9522B">
        <w:rPr>
          <w:rFonts w:eastAsiaTheme="minorEastAsia"/>
          <w:smallCaps/>
          <w:sz w:val="24"/>
        </w:rPr>
        <w:t>“</w:t>
      </w:r>
      <w:r w:rsidRPr="00F9522B">
        <w:rPr>
          <w:rFonts w:eastAsiaTheme="minorEastAsia"/>
          <w:smallCaps/>
          <w:sz w:val="24"/>
        </w:rPr>
        <w:t>边施工、边修复</w:t>
      </w:r>
      <w:r w:rsidRPr="00F9522B">
        <w:rPr>
          <w:rFonts w:eastAsiaTheme="minorEastAsia"/>
          <w:smallCaps/>
          <w:sz w:val="24"/>
        </w:rPr>
        <w:t>”</w:t>
      </w:r>
      <w:r w:rsidRPr="00F9522B">
        <w:rPr>
          <w:rFonts w:eastAsiaTheme="minorEastAsia"/>
          <w:smallCaps/>
          <w:sz w:val="24"/>
        </w:rPr>
        <w:t>。</w:t>
      </w:r>
    </w:p>
    <w:p w:rsidR="002A5A5E" w:rsidRPr="00F9522B" w:rsidRDefault="00284B4D">
      <w:pPr>
        <w:spacing w:line="360" w:lineRule="auto"/>
        <w:ind w:firstLineChars="200" w:firstLine="480"/>
        <w:rPr>
          <w:rFonts w:eastAsiaTheme="minorEastAsia"/>
          <w:snapToGrid w:val="0"/>
          <w:kern w:val="0"/>
          <w:sz w:val="24"/>
        </w:rPr>
      </w:pPr>
      <w:r w:rsidRPr="00F9522B">
        <w:rPr>
          <w:rFonts w:eastAsiaTheme="minorEastAsia"/>
          <w:snapToGrid w:val="0"/>
          <w:kern w:val="0"/>
          <w:sz w:val="24"/>
        </w:rPr>
        <w:t>2</w:t>
      </w:r>
      <w:r w:rsidRPr="00F9522B">
        <w:rPr>
          <w:rFonts w:eastAsiaTheme="minorEastAsia"/>
          <w:snapToGrid w:val="0"/>
          <w:kern w:val="0"/>
          <w:sz w:val="24"/>
        </w:rPr>
        <w:t>）</w:t>
      </w:r>
      <w:r w:rsidR="00611CBA" w:rsidRPr="00F9522B">
        <w:rPr>
          <w:rFonts w:eastAsiaTheme="minorEastAsia"/>
          <w:snapToGrid w:val="0"/>
          <w:kern w:val="0"/>
          <w:sz w:val="24"/>
        </w:rPr>
        <w:t>临时占地生态恢复措施</w:t>
      </w:r>
    </w:p>
    <w:p w:rsidR="002A5A5E" w:rsidRPr="00F9522B" w:rsidRDefault="00611CBA">
      <w:pPr>
        <w:spacing w:line="360" w:lineRule="auto"/>
        <w:ind w:firstLineChars="200" w:firstLine="480"/>
        <w:rPr>
          <w:rFonts w:eastAsiaTheme="minorEastAsia"/>
          <w:snapToGrid w:val="0"/>
          <w:kern w:val="0"/>
          <w:sz w:val="24"/>
        </w:rPr>
      </w:pPr>
      <w:r w:rsidRPr="00F9522B">
        <w:rPr>
          <w:rFonts w:eastAsiaTheme="minorEastAsia"/>
          <w:snapToGrid w:val="0"/>
          <w:kern w:val="0"/>
          <w:sz w:val="24"/>
        </w:rPr>
        <w:t>项目施工场地、临时道路、堆料场、表土堆场在相应工程结束后需对开挖地面平整覆土，并尽快恢复原状，防止遭受降雨侵蚀。</w:t>
      </w:r>
    </w:p>
    <w:p w:rsidR="002A5A5E" w:rsidRPr="00F9522B" w:rsidRDefault="00F41A00">
      <w:pPr>
        <w:spacing w:line="360" w:lineRule="auto"/>
        <w:ind w:firstLineChars="200" w:firstLine="480"/>
        <w:rPr>
          <w:rFonts w:eastAsiaTheme="minorEastAsia"/>
          <w:snapToGrid w:val="0"/>
          <w:kern w:val="0"/>
          <w:sz w:val="24"/>
        </w:rPr>
      </w:pPr>
      <w:r w:rsidRPr="00F9522B">
        <w:rPr>
          <w:rFonts w:eastAsiaTheme="minorEastAsia"/>
          <w:snapToGrid w:val="0"/>
          <w:kern w:val="0"/>
          <w:sz w:val="24"/>
        </w:rPr>
        <w:t>输配电工程表土及土方临时堆存在施工沿线，分区存放，设置临时拦挡并采用密目网苫盖，施工结束后分层回填，</w:t>
      </w:r>
      <w:r w:rsidR="00617138">
        <w:rPr>
          <w:rFonts w:eastAsiaTheme="minorEastAsia"/>
          <w:snapToGrid w:val="0"/>
          <w:kern w:val="0"/>
          <w:sz w:val="24"/>
        </w:rPr>
        <w:t>施工场地恢复现状草地，播撒草籽面积</w:t>
      </w:r>
      <w:r w:rsidR="00617138">
        <w:rPr>
          <w:rFonts w:eastAsiaTheme="minorEastAsia"/>
          <w:snapToGrid w:val="0"/>
          <w:kern w:val="0"/>
          <w:sz w:val="24"/>
        </w:rPr>
        <w:t>224662</w:t>
      </w:r>
      <w:r w:rsidRPr="00F9522B">
        <w:rPr>
          <w:rFonts w:eastAsiaTheme="minorEastAsia"/>
          <w:snapToGrid w:val="0"/>
          <w:kern w:val="0"/>
          <w:sz w:val="24"/>
        </w:rPr>
        <w:t>m</w:t>
      </w:r>
      <w:r w:rsidRPr="00F9522B">
        <w:rPr>
          <w:rFonts w:eastAsiaTheme="minorEastAsia"/>
          <w:snapToGrid w:val="0"/>
          <w:kern w:val="0"/>
          <w:sz w:val="24"/>
          <w:vertAlign w:val="superscript"/>
        </w:rPr>
        <w:t>2</w:t>
      </w:r>
      <w:r w:rsidRPr="00F9522B">
        <w:rPr>
          <w:rFonts w:eastAsiaTheme="minorEastAsia"/>
          <w:snapToGrid w:val="0"/>
          <w:kern w:val="0"/>
          <w:sz w:val="24"/>
        </w:rPr>
        <w:t>，草籽选用紫花苜蓿等，种草密度</w:t>
      </w:r>
      <w:r w:rsidRPr="00F9522B">
        <w:rPr>
          <w:rFonts w:eastAsiaTheme="minorEastAsia"/>
          <w:snapToGrid w:val="0"/>
          <w:kern w:val="0"/>
          <w:sz w:val="24"/>
        </w:rPr>
        <w:t>80kg/</w:t>
      </w:r>
      <w:r w:rsidRPr="00F9522B">
        <w:rPr>
          <w:rFonts w:eastAsiaTheme="minorEastAsia"/>
          <w:snapToGrid w:val="0"/>
          <w:kern w:val="0"/>
          <w:sz w:val="24"/>
        </w:rPr>
        <w:t>公顷，恢复旱地</w:t>
      </w:r>
      <w:r w:rsidRPr="00F9522B">
        <w:rPr>
          <w:rFonts w:eastAsiaTheme="minorEastAsia"/>
          <w:snapToGrid w:val="0"/>
          <w:kern w:val="0"/>
          <w:sz w:val="24"/>
        </w:rPr>
        <w:t>32558m</w:t>
      </w:r>
      <w:r w:rsidRPr="00F9522B">
        <w:rPr>
          <w:rFonts w:eastAsiaTheme="minorEastAsia"/>
          <w:snapToGrid w:val="0"/>
          <w:kern w:val="0"/>
          <w:sz w:val="24"/>
          <w:vertAlign w:val="superscript"/>
        </w:rPr>
        <w:t>2</w:t>
      </w:r>
      <w:r w:rsidRPr="00F9522B">
        <w:rPr>
          <w:rFonts w:eastAsiaTheme="minorEastAsia"/>
          <w:snapToGrid w:val="0"/>
          <w:kern w:val="0"/>
          <w:sz w:val="24"/>
        </w:rPr>
        <w:t>；灌溉井工程剥离表土、开挖土方暂存于施工场地内，分区存放，设置临时拦挡并采用密目网苫盖，施工结束后施工场地、临时道路恢复为旱地，恢复面积</w:t>
      </w:r>
      <w:r w:rsidRPr="00F9522B">
        <w:rPr>
          <w:rFonts w:eastAsiaTheme="minorEastAsia"/>
          <w:snapToGrid w:val="0"/>
          <w:kern w:val="0"/>
          <w:sz w:val="24"/>
        </w:rPr>
        <w:t>7920m</w:t>
      </w:r>
      <w:r w:rsidRPr="00F9522B">
        <w:rPr>
          <w:rFonts w:eastAsiaTheme="minorEastAsia"/>
          <w:snapToGrid w:val="0"/>
          <w:kern w:val="0"/>
          <w:sz w:val="24"/>
          <w:vertAlign w:val="superscript"/>
        </w:rPr>
        <w:t>2</w:t>
      </w:r>
      <w:r w:rsidRPr="00F9522B">
        <w:rPr>
          <w:rFonts w:eastAsiaTheme="minorEastAsia"/>
          <w:snapToGrid w:val="0"/>
          <w:kern w:val="0"/>
          <w:sz w:val="24"/>
        </w:rPr>
        <w:t>；</w:t>
      </w:r>
      <w:r w:rsidRPr="00F9522B">
        <w:rPr>
          <w:rFonts w:eastAsiaTheme="minorEastAsia"/>
          <w:snapToGrid w:val="0"/>
          <w:kern w:val="0"/>
          <w:sz w:val="24"/>
        </w:rPr>
        <w:lastRenderedPageBreak/>
        <w:t>涵洞等建筑物工程剥离表土、开挖土方暂存于施工场地内，分区存放，设置临时拦挡并采用密目网苫盖，施工结束后施工场地恢复为草地，播撒草籽面积</w:t>
      </w:r>
      <w:r w:rsidRPr="00F9522B">
        <w:rPr>
          <w:rFonts w:eastAsiaTheme="minorEastAsia"/>
          <w:sz w:val="24"/>
        </w:rPr>
        <w:t>18500</w:t>
      </w:r>
      <w:r w:rsidRPr="00F9522B">
        <w:rPr>
          <w:rFonts w:eastAsiaTheme="minorEastAsia"/>
          <w:snapToGrid w:val="0"/>
          <w:kern w:val="0"/>
          <w:sz w:val="24"/>
        </w:rPr>
        <w:t>m</w:t>
      </w:r>
      <w:r w:rsidRPr="00F9522B">
        <w:rPr>
          <w:rFonts w:eastAsiaTheme="minorEastAsia"/>
          <w:snapToGrid w:val="0"/>
          <w:kern w:val="0"/>
          <w:sz w:val="24"/>
          <w:vertAlign w:val="superscript"/>
        </w:rPr>
        <w:t>2</w:t>
      </w:r>
      <w:r w:rsidRPr="00F9522B">
        <w:rPr>
          <w:rFonts w:eastAsiaTheme="minorEastAsia"/>
          <w:snapToGrid w:val="0"/>
          <w:kern w:val="0"/>
          <w:sz w:val="24"/>
        </w:rPr>
        <w:t>，草籽选用紫花苜蓿等，种草密度</w:t>
      </w:r>
      <w:r w:rsidRPr="00F9522B">
        <w:rPr>
          <w:rFonts w:eastAsiaTheme="minorEastAsia"/>
          <w:snapToGrid w:val="0"/>
          <w:kern w:val="0"/>
          <w:sz w:val="24"/>
        </w:rPr>
        <w:t>80kg/</w:t>
      </w:r>
      <w:r w:rsidRPr="00F9522B">
        <w:rPr>
          <w:rFonts w:eastAsiaTheme="minorEastAsia"/>
          <w:snapToGrid w:val="0"/>
          <w:kern w:val="0"/>
          <w:sz w:val="24"/>
        </w:rPr>
        <w:t>公顷，恢复旱地</w:t>
      </w:r>
      <w:r w:rsidRPr="00F9522B">
        <w:rPr>
          <w:rFonts w:eastAsiaTheme="minorEastAsia"/>
          <w:snapToGrid w:val="0"/>
          <w:kern w:val="0"/>
          <w:sz w:val="24"/>
        </w:rPr>
        <w:t>10500m</w:t>
      </w:r>
      <w:r w:rsidRPr="00F9522B">
        <w:rPr>
          <w:rFonts w:eastAsiaTheme="minorEastAsia"/>
          <w:snapToGrid w:val="0"/>
          <w:kern w:val="0"/>
          <w:sz w:val="24"/>
          <w:vertAlign w:val="superscript"/>
        </w:rPr>
        <w:t>2</w:t>
      </w:r>
      <w:r w:rsidRPr="00F9522B">
        <w:rPr>
          <w:rFonts w:eastAsiaTheme="minorEastAsia"/>
          <w:snapToGrid w:val="0"/>
          <w:kern w:val="0"/>
          <w:sz w:val="24"/>
        </w:rPr>
        <w:t>。</w:t>
      </w:r>
      <w:r w:rsidR="00611CBA" w:rsidRPr="00F9522B">
        <w:rPr>
          <w:rFonts w:eastAsiaTheme="minorEastAsia"/>
          <w:snapToGrid w:val="0"/>
          <w:kern w:val="0"/>
          <w:sz w:val="24"/>
        </w:rPr>
        <w:t>使临时占地土地利用类型、植被覆盖度、生物量等恢复为原有水平。减少由于工程施工对其景观、生态、水土保持等方面的不利影响。表土暂存场</w:t>
      </w:r>
      <w:r w:rsidR="00611CBA" w:rsidRPr="00F9522B">
        <w:rPr>
          <w:rFonts w:eastAsiaTheme="minorEastAsia"/>
          <w:bCs/>
          <w:kern w:val="0"/>
          <w:sz w:val="24"/>
          <w:szCs w:val="20"/>
        </w:rPr>
        <w:t>堆高在</w:t>
      </w:r>
      <w:r w:rsidR="00611CBA" w:rsidRPr="00F9522B">
        <w:rPr>
          <w:rFonts w:eastAsiaTheme="minorEastAsia"/>
          <w:bCs/>
          <w:kern w:val="0"/>
          <w:sz w:val="24"/>
          <w:szCs w:val="20"/>
        </w:rPr>
        <w:t>3m</w:t>
      </w:r>
      <w:r w:rsidR="00611CBA" w:rsidRPr="00F9522B">
        <w:rPr>
          <w:rFonts w:eastAsiaTheme="minorEastAsia"/>
          <w:bCs/>
          <w:kern w:val="0"/>
          <w:sz w:val="24"/>
          <w:szCs w:val="20"/>
        </w:rPr>
        <w:t>以内，坡比</w:t>
      </w:r>
      <w:r w:rsidR="00611CBA" w:rsidRPr="00F9522B">
        <w:rPr>
          <w:rFonts w:eastAsiaTheme="minorEastAsia"/>
          <w:bCs/>
          <w:kern w:val="0"/>
          <w:sz w:val="24"/>
          <w:szCs w:val="20"/>
        </w:rPr>
        <w:t>1</w:t>
      </w:r>
      <w:r w:rsidR="00611CBA" w:rsidRPr="00F9522B">
        <w:rPr>
          <w:rFonts w:eastAsiaTheme="minorEastAsia"/>
          <w:bCs/>
          <w:kern w:val="0"/>
          <w:sz w:val="24"/>
          <w:szCs w:val="20"/>
        </w:rPr>
        <w:t>：</w:t>
      </w:r>
      <w:r w:rsidR="00611CBA" w:rsidRPr="00F9522B">
        <w:rPr>
          <w:rFonts w:eastAsiaTheme="minorEastAsia"/>
          <w:bCs/>
          <w:kern w:val="0"/>
          <w:sz w:val="24"/>
          <w:szCs w:val="20"/>
        </w:rPr>
        <w:t>1</w:t>
      </w:r>
      <w:r w:rsidR="00611CBA" w:rsidRPr="00F9522B">
        <w:rPr>
          <w:rFonts w:eastAsiaTheme="minorEastAsia"/>
          <w:bCs/>
          <w:kern w:val="0"/>
          <w:sz w:val="24"/>
          <w:szCs w:val="20"/>
        </w:rPr>
        <w:t>，可以保证堆土的稳定性及安全性。堆放地宜相对低凹、周围相对平缓，并设置排水设施。</w:t>
      </w:r>
      <w:r w:rsidR="00611CBA" w:rsidRPr="00F9522B">
        <w:rPr>
          <w:rFonts w:eastAsiaTheme="minorEastAsia"/>
          <w:sz w:val="24"/>
        </w:rPr>
        <w:t>建设单位为生态恢复工程实施责任主体</w:t>
      </w:r>
      <w:r w:rsidR="00611CBA" w:rsidRPr="00F9522B">
        <w:rPr>
          <w:rFonts w:eastAsiaTheme="minorEastAsia"/>
          <w:snapToGrid w:val="0"/>
          <w:kern w:val="0"/>
          <w:sz w:val="24"/>
        </w:rPr>
        <w:t>；严格控制施工范围，对施工人员进行生态保护教育；施工单位优化施工工艺和施工时序，夜间、雨天及大风天不施工；涵洞等建筑物工程施工过程禁止施工生产废水排放至沟渠内</w:t>
      </w:r>
      <w:r w:rsidR="00611CBA" w:rsidRPr="00F9522B">
        <w:rPr>
          <w:rFonts w:eastAsiaTheme="minorEastAsia"/>
          <w:sz w:val="24"/>
        </w:rPr>
        <w:t>。</w:t>
      </w:r>
    </w:p>
    <w:p w:rsidR="002A5A5E" w:rsidRPr="00F9522B" w:rsidRDefault="00611CBA" w:rsidP="00611CBA">
      <w:pPr>
        <w:spacing w:line="360" w:lineRule="auto"/>
        <w:ind w:firstLineChars="177" w:firstLine="425"/>
        <w:rPr>
          <w:rFonts w:eastAsiaTheme="minorEastAsia"/>
          <w:snapToGrid w:val="0"/>
          <w:kern w:val="0"/>
          <w:sz w:val="24"/>
        </w:rPr>
      </w:pPr>
      <w:r w:rsidRPr="00F9522B">
        <w:rPr>
          <w:rFonts w:eastAsiaTheme="minorEastAsia"/>
          <w:snapToGrid w:val="0"/>
          <w:kern w:val="0"/>
          <w:sz w:val="24"/>
        </w:rPr>
        <w:t>随着采取有效的人工措施，以及植物的自我恢复能力，项目周边被影响或破坏的植物逐渐得到恢复</w:t>
      </w:r>
      <w:r w:rsidRPr="00F9522B">
        <w:rPr>
          <w:rFonts w:eastAsiaTheme="minorEastAsia"/>
          <w:sz w:val="24"/>
        </w:rPr>
        <w:t>。综上，本项目采取的生态保护措施可行</w:t>
      </w:r>
      <w:r w:rsidRPr="00F9522B">
        <w:rPr>
          <w:rFonts w:eastAsiaTheme="minorEastAsia"/>
          <w:snapToGrid w:val="0"/>
          <w:kern w:val="0"/>
          <w:sz w:val="24"/>
        </w:rPr>
        <w:t>。</w:t>
      </w:r>
    </w:p>
    <w:p w:rsidR="002A5A5E" w:rsidRPr="00F9522B" w:rsidRDefault="00284B4D" w:rsidP="00611CBA">
      <w:pPr>
        <w:spacing w:line="360" w:lineRule="auto"/>
        <w:ind w:firstLineChars="177" w:firstLine="425"/>
        <w:rPr>
          <w:rFonts w:eastAsiaTheme="minorEastAsia"/>
          <w:snapToGrid w:val="0"/>
          <w:kern w:val="0"/>
          <w:sz w:val="24"/>
        </w:rPr>
      </w:pPr>
      <w:r w:rsidRPr="00F9522B">
        <w:rPr>
          <w:rFonts w:eastAsiaTheme="minorEastAsia"/>
          <w:snapToGrid w:val="0"/>
          <w:kern w:val="0"/>
          <w:sz w:val="24"/>
        </w:rPr>
        <w:t>（</w:t>
      </w:r>
      <w:r w:rsidRPr="00F9522B">
        <w:rPr>
          <w:rFonts w:eastAsiaTheme="minorEastAsia"/>
          <w:snapToGrid w:val="0"/>
          <w:kern w:val="0"/>
          <w:sz w:val="24"/>
        </w:rPr>
        <w:t>6</w:t>
      </w:r>
      <w:r w:rsidRPr="00F9522B">
        <w:rPr>
          <w:rFonts w:eastAsiaTheme="minorEastAsia"/>
          <w:snapToGrid w:val="0"/>
          <w:kern w:val="0"/>
          <w:sz w:val="24"/>
        </w:rPr>
        <w:t>）</w:t>
      </w:r>
      <w:r w:rsidR="00611CBA" w:rsidRPr="00F9522B">
        <w:rPr>
          <w:rFonts w:eastAsiaTheme="minorEastAsia"/>
          <w:snapToGrid w:val="0"/>
          <w:kern w:val="0"/>
          <w:sz w:val="24"/>
        </w:rPr>
        <w:t>地下水</w:t>
      </w:r>
    </w:p>
    <w:p w:rsidR="002A5A5E" w:rsidRPr="00F9522B" w:rsidRDefault="00611CBA" w:rsidP="00611CBA">
      <w:pPr>
        <w:spacing w:line="360" w:lineRule="auto"/>
        <w:ind w:firstLineChars="177" w:firstLine="425"/>
        <w:rPr>
          <w:rFonts w:eastAsiaTheme="minorEastAsia"/>
          <w:snapToGrid w:val="0"/>
          <w:kern w:val="0"/>
          <w:sz w:val="24"/>
        </w:rPr>
      </w:pPr>
      <w:r w:rsidRPr="00F9522B">
        <w:rPr>
          <w:rFonts w:eastAsiaTheme="minorEastAsia"/>
          <w:sz w:val="24"/>
        </w:rPr>
        <w:t>项目施工期灌溉井工程打井过程中，不使用有毒有害物质，泥浆循环使用，妥善收集，施工过程中产生的废水经静置后用于场地洒水降尘，施工过程加强环境管理，杜绝油品跑冒滴漏事故，施工期不会对地下水产生明显污染影响。因此，施工期地下水环境保护措施可行。</w:t>
      </w:r>
    </w:p>
    <w:p w:rsidR="002A5A5E" w:rsidRPr="00F9522B" w:rsidRDefault="00284B4D" w:rsidP="00611CBA">
      <w:pPr>
        <w:spacing w:line="360" w:lineRule="auto"/>
        <w:ind w:firstLineChars="177" w:firstLine="425"/>
        <w:rPr>
          <w:rFonts w:eastAsiaTheme="minorEastAsia"/>
          <w:snapToGrid w:val="0"/>
          <w:kern w:val="0"/>
          <w:sz w:val="24"/>
        </w:rPr>
      </w:pPr>
      <w:r w:rsidRPr="00F9522B">
        <w:rPr>
          <w:rFonts w:eastAsiaTheme="minorEastAsia"/>
          <w:snapToGrid w:val="0"/>
          <w:kern w:val="0"/>
          <w:sz w:val="24"/>
        </w:rPr>
        <w:t>（</w:t>
      </w:r>
      <w:r w:rsidRPr="00F9522B">
        <w:rPr>
          <w:rFonts w:eastAsiaTheme="minorEastAsia"/>
          <w:snapToGrid w:val="0"/>
          <w:kern w:val="0"/>
          <w:sz w:val="24"/>
        </w:rPr>
        <w:t>7</w:t>
      </w:r>
      <w:r w:rsidRPr="00F9522B">
        <w:rPr>
          <w:rFonts w:eastAsiaTheme="minorEastAsia"/>
          <w:snapToGrid w:val="0"/>
          <w:kern w:val="0"/>
          <w:sz w:val="24"/>
        </w:rPr>
        <w:t>）</w:t>
      </w:r>
      <w:r w:rsidR="00611CBA" w:rsidRPr="00F9522B">
        <w:rPr>
          <w:rFonts w:eastAsiaTheme="minorEastAsia"/>
          <w:snapToGrid w:val="0"/>
          <w:kern w:val="0"/>
          <w:sz w:val="24"/>
        </w:rPr>
        <w:t>黑土地及基本农田</w:t>
      </w:r>
    </w:p>
    <w:p w:rsidR="002A5A5E" w:rsidRPr="00F9522B" w:rsidRDefault="00611CBA">
      <w:pPr>
        <w:spacing w:line="360" w:lineRule="auto"/>
        <w:ind w:firstLine="482"/>
        <w:rPr>
          <w:rFonts w:eastAsiaTheme="minorEastAsia"/>
          <w:sz w:val="24"/>
        </w:rPr>
      </w:pPr>
      <w:r w:rsidRPr="00F9522B">
        <w:rPr>
          <w:rFonts w:eastAsiaTheme="minorEastAsia"/>
          <w:sz w:val="24"/>
        </w:rPr>
        <w:t>本项目施工期临时占地不占用基本农田。</w:t>
      </w:r>
      <w:r w:rsidRPr="00F9522B">
        <w:rPr>
          <w:rFonts w:eastAsiaTheme="minorEastAsia"/>
          <w:bCs/>
          <w:sz w:val="24"/>
        </w:rPr>
        <w:t>本项目为高标准农田建设项目，田块整治工程在现状农田上建设，永久占地不可避免将占用基本农田，占用面积约为</w:t>
      </w:r>
      <w:r w:rsidRPr="00F9522B">
        <w:rPr>
          <w:rFonts w:eastAsiaTheme="minorEastAsia"/>
          <w:bCs/>
          <w:sz w:val="24"/>
        </w:rPr>
        <w:t>0.03</w:t>
      </w:r>
      <w:r w:rsidRPr="00F9522B">
        <w:rPr>
          <w:rFonts w:eastAsiaTheme="minorEastAsia"/>
          <w:bCs/>
          <w:sz w:val="24"/>
        </w:rPr>
        <w:t>平方公里。</w:t>
      </w:r>
      <w:r w:rsidRPr="00F9522B">
        <w:rPr>
          <w:rFonts w:eastAsiaTheme="minorEastAsia"/>
          <w:sz w:val="24"/>
        </w:rPr>
        <w:t>本项目施工期加强管理，不会对土壤造成污染。项目临时占地表土剥离会破坏黑土地，但在项目施工结束后，剥离表土重新用于本项目的土地复垦，恢复原有农田耕作层结构，故影响较小。</w:t>
      </w:r>
    </w:p>
    <w:p w:rsidR="002A5A5E" w:rsidRPr="00F9522B" w:rsidRDefault="00611CBA">
      <w:pPr>
        <w:autoSpaceDE w:val="0"/>
        <w:autoSpaceDN w:val="0"/>
        <w:spacing w:before="100" w:beforeAutospacing="1" w:after="100" w:afterAutospacing="1"/>
        <w:outlineLvl w:val="3"/>
        <w:rPr>
          <w:rFonts w:eastAsiaTheme="minorEastAsia"/>
          <w:b/>
          <w:sz w:val="24"/>
        </w:rPr>
      </w:pPr>
      <w:r w:rsidRPr="00F9522B">
        <w:rPr>
          <w:rFonts w:eastAsiaTheme="minorEastAsia"/>
          <w:b/>
          <w:sz w:val="24"/>
        </w:rPr>
        <w:t>9.1.4.2</w:t>
      </w:r>
      <w:r w:rsidRPr="00F9522B">
        <w:rPr>
          <w:rFonts w:eastAsiaTheme="minorEastAsia"/>
          <w:b/>
          <w:sz w:val="24"/>
        </w:rPr>
        <w:t>运营期污染防治措施可行性结论</w:t>
      </w:r>
    </w:p>
    <w:p w:rsidR="002A5A5E" w:rsidRPr="00F9522B" w:rsidRDefault="00611CBA">
      <w:pPr>
        <w:pStyle w:val="aff4"/>
        <w:adjustRightInd/>
        <w:snapToGrid/>
        <w:contextualSpacing/>
        <w:jc w:val="both"/>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1</w:t>
      </w:r>
      <w:r w:rsidRPr="00F9522B">
        <w:rPr>
          <w:rFonts w:ascii="Times New Roman" w:hAnsi="Times New Roman" w:cs="Times New Roman"/>
        </w:rPr>
        <w:t>）大气</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本项目无冬季供暖，田间道路主要在春、秋农忙季节有少量农机车辆行驶，其他时段基本无车辆通过，车辆通过会产生少量汽车尾气，本区域通过车辆一般为当地农用车，车速较慢、产生的尾气及扬尘较少，同时通过对过往车辆采取限速措施后，对周围环境空气影响不大。</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lastRenderedPageBreak/>
        <w:t>本项目排水工程设置</w:t>
      </w:r>
      <w:r w:rsidR="005E3027" w:rsidRPr="00F9522B">
        <w:rPr>
          <w:rFonts w:eastAsiaTheme="minorEastAsia"/>
          <w:sz w:val="24"/>
        </w:rPr>
        <w:t>78</w:t>
      </w:r>
      <w:r w:rsidR="005E3027" w:rsidRPr="00F9522B">
        <w:rPr>
          <w:rFonts w:eastAsiaTheme="minorEastAsia"/>
          <w:sz w:val="24"/>
        </w:rPr>
        <w:t>台</w:t>
      </w:r>
      <w:r w:rsidRPr="00F9522B">
        <w:rPr>
          <w:rFonts w:eastAsiaTheme="minorEastAsia"/>
          <w:sz w:val="24"/>
        </w:rPr>
        <w:t>柴油机移动泵车，采用轻质柴油，减少使用过程中产生的废气影响，鉴于项目的特殊性，泵车分布较分散，使用时间较短，位于田间，距离敏感点较远，田间空旷有利于柴油机移动泵车废气的稀释扩散，柴油机移动泵车废气排放满足《非道路移动机械用柴油机移动泵车污染物排放限值及测量方法（中国三、四阶段）》（</w:t>
      </w:r>
      <w:r w:rsidRPr="00F9522B">
        <w:rPr>
          <w:rFonts w:eastAsiaTheme="minorEastAsia"/>
          <w:sz w:val="24"/>
        </w:rPr>
        <w:t>GB20891-2014</w:t>
      </w:r>
      <w:r w:rsidRPr="00F9522B">
        <w:rPr>
          <w:rFonts w:eastAsiaTheme="minorEastAsia"/>
          <w:sz w:val="24"/>
        </w:rPr>
        <w:t>）中表</w:t>
      </w:r>
      <w:r w:rsidRPr="00F9522B">
        <w:rPr>
          <w:rFonts w:eastAsiaTheme="minorEastAsia"/>
          <w:sz w:val="24"/>
        </w:rPr>
        <w:t>2</w:t>
      </w:r>
      <w:r w:rsidRPr="00F9522B">
        <w:rPr>
          <w:rFonts w:eastAsiaTheme="minorEastAsia"/>
          <w:sz w:val="24"/>
        </w:rPr>
        <w:t>非道路移动机械用柴油机排气污染物排放限值要求。</w:t>
      </w:r>
    </w:p>
    <w:p w:rsidR="002A5A5E" w:rsidRPr="00F9522B" w:rsidRDefault="00611CBA">
      <w:pPr>
        <w:pStyle w:val="aff4"/>
        <w:adjustRightInd/>
        <w:snapToGrid/>
        <w:contextualSpacing/>
        <w:rPr>
          <w:rFonts w:ascii="Times New Roman" w:hAnsi="Times New Roman" w:cs="Times New Roman"/>
        </w:rPr>
      </w:pPr>
      <w:r w:rsidRPr="00F9522B">
        <w:rPr>
          <w:rFonts w:ascii="Times New Roman" w:hAnsi="Times New Roman" w:cs="Times New Roman"/>
        </w:rPr>
        <w:t>综上所述，该项目大气污染物治理措施可行，污染物经治理和大气稀释扩散后对当地的环境空气质量影响很小，大气环境质量可维持现状水平。</w:t>
      </w:r>
    </w:p>
    <w:p w:rsidR="002A5A5E" w:rsidRPr="00F9522B" w:rsidRDefault="00611CBA">
      <w:pPr>
        <w:pStyle w:val="aff4"/>
        <w:adjustRightInd/>
        <w:snapToGrid/>
        <w:contextualSpacing/>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2</w:t>
      </w:r>
      <w:r w:rsidRPr="00F9522B">
        <w:rPr>
          <w:rFonts w:ascii="Times New Roman" w:hAnsi="Times New Roman" w:cs="Times New Roman"/>
        </w:rPr>
        <w:t>）地表水</w:t>
      </w:r>
    </w:p>
    <w:p w:rsidR="002A5A5E" w:rsidRPr="00F9522B" w:rsidRDefault="00611CBA">
      <w:pPr>
        <w:pStyle w:val="aff4"/>
        <w:adjustRightInd/>
        <w:snapToGrid/>
        <w:rPr>
          <w:rFonts w:ascii="Times New Roman" w:hAnsi="Times New Roman" w:cs="Times New Roman"/>
          <w:kern w:val="0"/>
        </w:rPr>
      </w:pPr>
      <w:r w:rsidRPr="00F9522B">
        <w:rPr>
          <w:rFonts w:ascii="Times New Roman" w:hAnsi="Times New Roman" w:cs="Times New Roman"/>
          <w:szCs w:val="22"/>
        </w:rPr>
        <w:t>根据</w:t>
      </w:r>
      <w:r w:rsidRPr="00F9522B">
        <w:rPr>
          <w:rFonts w:ascii="Times New Roman" w:hAnsi="Times New Roman" w:cs="Times New Roman"/>
        </w:rPr>
        <w:t>本工程已批复水资源论证报告书</w:t>
      </w:r>
      <w:r w:rsidRPr="00F9522B">
        <w:rPr>
          <w:rFonts w:ascii="Times New Roman" w:hAnsi="Times New Roman" w:cs="Times New Roman"/>
          <w:kern w:val="0"/>
          <w:szCs w:val="22"/>
        </w:rPr>
        <w:t>可知</w:t>
      </w:r>
      <w:r w:rsidRPr="00F9522B">
        <w:rPr>
          <w:rFonts w:ascii="Times New Roman" w:hAnsi="Times New Roman" w:cs="Times New Roman"/>
          <w:szCs w:val="20"/>
        </w:rPr>
        <w:t>，</w:t>
      </w:r>
      <w:r w:rsidRPr="00F9522B">
        <w:rPr>
          <w:rFonts w:ascii="Times New Roman" w:hAnsi="Times New Roman" w:cs="Times New Roman"/>
          <w:szCs w:val="22"/>
        </w:rPr>
        <w:t>新增灌溉井区域均为旱田，无水田，属于高标准农田建设项目，采取节水灌溉措施，地下水经作物吸收等充分利用，用水效率较高，不会产生退水</w:t>
      </w:r>
      <w:r w:rsidRPr="00F9522B">
        <w:rPr>
          <w:rFonts w:ascii="Times New Roman" w:hAnsi="Times New Roman" w:cs="Times New Roman"/>
          <w:kern w:val="0"/>
        </w:rPr>
        <w:t>。</w:t>
      </w:r>
    </w:p>
    <w:p w:rsidR="002A5A5E" w:rsidRPr="00F9522B" w:rsidRDefault="00611CBA">
      <w:pPr>
        <w:pStyle w:val="aff4"/>
        <w:adjustRightInd/>
        <w:snapToGrid/>
        <w:rPr>
          <w:rFonts w:ascii="Times New Roman" w:hAnsi="Times New Roman" w:cs="Times New Roman"/>
          <w:szCs w:val="22"/>
        </w:rPr>
      </w:pPr>
      <w:r w:rsidRPr="00F9522B">
        <w:rPr>
          <w:rFonts w:ascii="Times New Roman" w:hAnsi="Times New Roman" w:cs="Times New Roman"/>
          <w:szCs w:val="22"/>
        </w:rPr>
        <w:t>本项目实施后，由于灌溉水利用系数的提升、农田保水能力增强以及渠系配套系统的完善，地表水退水量减少，相应污染物入河量与现状相比也有一定程度的削减，项目建成后灌区年退水量与现状相比</w:t>
      </w:r>
      <w:r w:rsidR="004A0FF6" w:rsidRPr="00F9522B">
        <w:rPr>
          <w:rFonts w:ascii="Times New Roman" w:hAnsi="Times New Roman" w:cs="Times New Roman"/>
          <w:szCs w:val="22"/>
        </w:rPr>
        <w:t>减少</w:t>
      </w:r>
      <w:r w:rsidR="004A0FF6" w:rsidRPr="00F9522B">
        <w:rPr>
          <w:rFonts w:ascii="Times New Roman" w:hAnsi="Times New Roman" w:cs="Times New Roman"/>
          <w:szCs w:val="22"/>
        </w:rPr>
        <w:t>15</w:t>
      </w:r>
      <w:r w:rsidR="004A0FF6" w:rsidRPr="00F9522B">
        <w:rPr>
          <w:rFonts w:ascii="Times New Roman" w:hAnsi="Times New Roman" w:cs="Times New Roman"/>
          <w:szCs w:val="22"/>
        </w:rPr>
        <w:t>万</w:t>
      </w:r>
      <w:r w:rsidRPr="00F9522B">
        <w:rPr>
          <w:rFonts w:ascii="Times New Roman" w:hAnsi="Times New Roman" w:cs="Times New Roman"/>
          <w:szCs w:val="22"/>
        </w:rPr>
        <w:t>m</w:t>
      </w:r>
      <w:r w:rsidRPr="00F9522B">
        <w:rPr>
          <w:rFonts w:ascii="Times New Roman" w:hAnsi="Times New Roman" w:cs="Times New Roman"/>
          <w:szCs w:val="22"/>
          <w:vertAlign w:val="superscript"/>
        </w:rPr>
        <w:t>3</w:t>
      </w:r>
      <w:r w:rsidRPr="00F9522B">
        <w:rPr>
          <w:rFonts w:ascii="Times New Roman" w:hAnsi="Times New Roman" w:cs="Times New Roman"/>
          <w:szCs w:val="22"/>
        </w:rPr>
        <w:t>。</w:t>
      </w:r>
      <w:r w:rsidR="00E03AD9" w:rsidRPr="00F9522B">
        <w:rPr>
          <w:rFonts w:ascii="Times New Roman" w:hAnsi="Times New Roman" w:cs="Times New Roman"/>
          <w:bCs/>
          <w:szCs w:val="22"/>
        </w:rPr>
        <w:t>COD</w:t>
      </w:r>
      <w:r w:rsidR="00E03AD9" w:rsidRPr="00F9522B">
        <w:rPr>
          <w:rFonts w:ascii="Times New Roman" w:hAnsi="Times New Roman" w:cs="Times New Roman"/>
          <w:bCs/>
          <w:szCs w:val="22"/>
        </w:rPr>
        <w:t>、氨氮、总磷及总氮排放量分别减少</w:t>
      </w:r>
      <w:r w:rsidR="00E03AD9" w:rsidRPr="00F9522B">
        <w:rPr>
          <w:rFonts w:ascii="Times New Roman" w:hAnsi="Times New Roman" w:cs="Times New Roman"/>
          <w:bCs/>
          <w:szCs w:val="22"/>
        </w:rPr>
        <w:t>7.905t/a</w:t>
      </w:r>
      <w:r w:rsidR="00E03AD9" w:rsidRPr="00F9522B">
        <w:rPr>
          <w:rFonts w:ascii="Times New Roman" w:hAnsi="Times New Roman" w:cs="Times New Roman"/>
          <w:bCs/>
          <w:szCs w:val="22"/>
        </w:rPr>
        <w:t>、</w:t>
      </w:r>
      <w:r w:rsidR="00E03AD9" w:rsidRPr="00F9522B">
        <w:rPr>
          <w:rFonts w:ascii="Times New Roman" w:hAnsi="Times New Roman" w:cs="Times New Roman"/>
          <w:bCs/>
          <w:szCs w:val="22"/>
        </w:rPr>
        <w:t>0.189t/a</w:t>
      </w:r>
      <w:r w:rsidR="00E03AD9" w:rsidRPr="00F9522B">
        <w:rPr>
          <w:rFonts w:ascii="Times New Roman" w:hAnsi="Times New Roman" w:cs="Times New Roman"/>
          <w:bCs/>
          <w:szCs w:val="22"/>
        </w:rPr>
        <w:t>、</w:t>
      </w:r>
      <w:r w:rsidR="00E03AD9" w:rsidRPr="00F9522B">
        <w:rPr>
          <w:rFonts w:ascii="Times New Roman" w:hAnsi="Times New Roman" w:cs="Times New Roman"/>
          <w:bCs/>
          <w:szCs w:val="22"/>
        </w:rPr>
        <w:t>0.276t/a</w:t>
      </w:r>
      <w:r w:rsidR="00E03AD9" w:rsidRPr="00F9522B">
        <w:rPr>
          <w:rFonts w:ascii="Times New Roman" w:hAnsi="Times New Roman" w:cs="Times New Roman"/>
          <w:bCs/>
          <w:szCs w:val="22"/>
        </w:rPr>
        <w:t>、</w:t>
      </w:r>
      <w:r w:rsidR="00E03AD9" w:rsidRPr="00F9522B">
        <w:rPr>
          <w:rFonts w:ascii="Times New Roman" w:hAnsi="Times New Roman" w:cs="Times New Roman"/>
          <w:bCs/>
          <w:szCs w:val="22"/>
        </w:rPr>
        <w:t>0.63t/a</w:t>
      </w:r>
      <w:r w:rsidRPr="00F9522B">
        <w:rPr>
          <w:rFonts w:ascii="Times New Roman" w:hAnsi="Times New Roman" w:cs="Times New Roman"/>
          <w:bCs/>
          <w:szCs w:val="22"/>
        </w:rPr>
        <w:t>。</w:t>
      </w:r>
      <w:r w:rsidRPr="00F9522B">
        <w:rPr>
          <w:rFonts w:ascii="Times New Roman" w:hAnsi="Times New Roman" w:cs="Times New Roman"/>
          <w:kern w:val="0"/>
        </w:rPr>
        <w:t>故工程实施后对地表水环境起到一定改善作用。</w:t>
      </w:r>
    </w:p>
    <w:p w:rsidR="002A5A5E" w:rsidRPr="00F9522B" w:rsidRDefault="00611CBA" w:rsidP="00611CBA">
      <w:pPr>
        <w:spacing w:line="360" w:lineRule="auto"/>
        <w:ind w:firstLineChars="182" w:firstLine="437"/>
        <w:rPr>
          <w:rFonts w:eastAsiaTheme="minorEastAsia"/>
          <w:kern w:val="0"/>
          <w:sz w:val="24"/>
        </w:rPr>
      </w:pPr>
      <w:r w:rsidRPr="00F9522B">
        <w:rPr>
          <w:rFonts w:eastAsiaTheme="minorEastAsia"/>
          <w:sz w:val="24"/>
        </w:rPr>
        <w:t>项目施行</w:t>
      </w:r>
      <w:r w:rsidRPr="00F9522B">
        <w:rPr>
          <w:rFonts w:eastAsiaTheme="minorEastAsia"/>
          <w:sz w:val="24"/>
        </w:rPr>
        <w:t>“</w:t>
      </w:r>
      <w:r w:rsidRPr="00F9522B">
        <w:rPr>
          <w:rFonts w:eastAsiaTheme="minorEastAsia"/>
          <w:sz w:val="24"/>
        </w:rPr>
        <w:t>三减</w:t>
      </w:r>
      <w:r w:rsidRPr="00F9522B">
        <w:rPr>
          <w:rFonts w:eastAsiaTheme="minorEastAsia"/>
          <w:sz w:val="24"/>
        </w:rPr>
        <w:t>”</w:t>
      </w:r>
      <w:r w:rsidRPr="00F9522B">
        <w:rPr>
          <w:rFonts w:eastAsiaTheme="minorEastAsia"/>
          <w:sz w:val="24"/>
        </w:rPr>
        <w:t>行动，即减化肥、减农药、减除草剂，积极推广科学施肥，使化肥、农药实现减量化施用，提出测土配方施肥、水肥一体化、控制农药与化肥施用种类及数量措施，</w:t>
      </w:r>
      <w:r w:rsidRPr="00F9522B">
        <w:rPr>
          <w:rFonts w:eastAsiaTheme="minorEastAsia"/>
          <w:kern w:val="0"/>
          <w:sz w:val="24"/>
        </w:rPr>
        <w:t>故工程实施后对</w:t>
      </w:r>
      <w:r w:rsidR="00E93DD8" w:rsidRPr="00F9522B">
        <w:rPr>
          <w:rFonts w:eastAsiaTheme="minorEastAsia"/>
          <w:sz w:val="24"/>
        </w:rPr>
        <w:t>松花江及漂河、呼兰河口湿地自然保护区</w:t>
      </w:r>
      <w:r w:rsidRPr="00F9522B">
        <w:rPr>
          <w:rFonts w:eastAsiaTheme="minorEastAsia"/>
          <w:sz w:val="24"/>
        </w:rPr>
        <w:t>水生生态</w:t>
      </w:r>
      <w:r w:rsidRPr="00F9522B">
        <w:rPr>
          <w:rFonts w:eastAsiaTheme="minorEastAsia"/>
          <w:kern w:val="0"/>
          <w:sz w:val="24"/>
        </w:rPr>
        <w:t>环境起到一定改善作用。</w:t>
      </w:r>
      <w:r w:rsidRPr="00F9522B">
        <w:rPr>
          <w:rFonts w:eastAsiaTheme="minorEastAsia"/>
          <w:kern w:val="0"/>
          <w:sz w:val="24"/>
        </w:rPr>
        <w:t xml:space="preserve"> </w:t>
      </w:r>
    </w:p>
    <w:p w:rsidR="002A5A5E" w:rsidRPr="00F9522B" w:rsidRDefault="00611CBA">
      <w:pPr>
        <w:spacing w:line="360" w:lineRule="auto"/>
        <w:ind w:firstLine="482"/>
        <w:rPr>
          <w:rFonts w:eastAsiaTheme="minorEastAsia"/>
          <w:sz w:val="24"/>
        </w:rPr>
      </w:pPr>
      <w:r w:rsidRPr="00F9522B">
        <w:rPr>
          <w:rFonts w:eastAsiaTheme="minorEastAsia"/>
          <w:sz w:val="24"/>
        </w:rPr>
        <w:t>综上所述，项目对地表水环境产生影响较小。</w:t>
      </w:r>
    </w:p>
    <w:p w:rsidR="002A5A5E" w:rsidRPr="00F9522B" w:rsidRDefault="00611CBA">
      <w:pPr>
        <w:pStyle w:val="aff4"/>
        <w:adjustRightInd/>
        <w:snapToGrid/>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3</w:t>
      </w:r>
      <w:r w:rsidRPr="00F9522B">
        <w:rPr>
          <w:rFonts w:ascii="Times New Roman" w:hAnsi="Times New Roman" w:cs="Times New Roman"/>
        </w:rPr>
        <w:t>）噪声</w:t>
      </w:r>
    </w:p>
    <w:p w:rsidR="002A5A5E" w:rsidRPr="00F9522B" w:rsidRDefault="005273A1">
      <w:pPr>
        <w:spacing w:line="360" w:lineRule="auto"/>
        <w:ind w:firstLineChars="200" w:firstLine="480"/>
        <w:contextualSpacing/>
        <w:rPr>
          <w:rFonts w:eastAsiaTheme="minorEastAsia"/>
          <w:bCs/>
          <w:sz w:val="24"/>
        </w:rPr>
      </w:pPr>
      <w:r w:rsidRPr="00F9522B">
        <w:rPr>
          <w:rFonts w:eastAsiaTheme="minorEastAsia"/>
          <w:bCs/>
          <w:sz w:val="24"/>
        </w:rPr>
        <w:fldChar w:fldCharType="begin"/>
      </w:r>
      <w:r w:rsidR="00611CBA" w:rsidRPr="00F9522B">
        <w:rPr>
          <w:rFonts w:eastAsiaTheme="minorEastAsia"/>
          <w:bCs/>
          <w:sz w:val="24"/>
        </w:rPr>
        <w:instrText xml:space="preserve"> = 1 \* GB3 </w:instrText>
      </w:r>
      <w:r w:rsidRPr="00F9522B">
        <w:rPr>
          <w:rFonts w:eastAsiaTheme="minorEastAsia"/>
          <w:bCs/>
          <w:sz w:val="24"/>
        </w:rPr>
        <w:fldChar w:fldCharType="separate"/>
      </w:r>
      <w:r w:rsidR="00611CBA" w:rsidRPr="00F9522B">
        <w:rPr>
          <w:rFonts w:ascii="宋体" w:hAnsi="宋体" w:cs="宋体" w:hint="eastAsia"/>
          <w:bCs/>
          <w:sz w:val="24"/>
        </w:rPr>
        <w:t>①</w:t>
      </w:r>
      <w:r w:rsidRPr="00F9522B">
        <w:rPr>
          <w:rFonts w:eastAsiaTheme="minorEastAsia"/>
          <w:bCs/>
          <w:sz w:val="24"/>
        </w:rPr>
        <w:fldChar w:fldCharType="end"/>
      </w:r>
      <w:r w:rsidR="00611CBA" w:rsidRPr="00F9522B">
        <w:rPr>
          <w:rFonts w:eastAsiaTheme="minorEastAsia"/>
          <w:bCs/>
          <w:sz w:val="24"/>
        </w:rPr>
        <w:t>灌溉井泵类噪声</w:t>
      </w:r>
    </w:p>
    <w:p w:rsidR="002A5A5E" w:rsidRPr="00F9522B" w:rsidRDefault="00611CBA">
      <w:pPr>
        <w:spacing w:line="360" w:lineRule="auto"/>
        <w:ind w:firstLineChars="200" w:firstLine="480"/>
        <w:contextualSpacing/>
        <w:rPr>
          <w:rFonts w:eastAsiaTheme="minorEastAsia"/>
          <w:bCs/>
          <w:sz w:val="24"/>
        </w:rPr>
      </w:pPr>
      <w:r w:rsidRPr="00F9522B">
        <w:rPr>
          <w:rFonts w:eastAsiaTheme="minorEastAsia"/>
          <w:sz w:val="24"/>
        </w:rPr>
        <w:t>潜水泵、</w:t>
      </w:r>
      <w:r w:rsidR="00A4540D" w:rsidRPr="00F9522B">
        <w:rPr>
          <w:rFonts w:eastAsiaTheme="minorEastAsia"/>
          <w:sz w:val="24"/>
        </w:rPr>
        <w:t>水肥一体化设备</w:t>
      </w:r>
      <w:r w:rsidRPr="00F9522B">
        <w:rPr>
          <w:rFonts w:eastAsiaTheme="minorEastAsia"/>
          <w:sz w:val="24"/>
        </w:rPr>
        <w:t>位于井房内，能够有效的阻隔声传播，潜水泵位于地下，潜水泵、</w:t>
      </w:r>
      <w:r w:rsidR="00A4540D" w:rsidRPr="00F9522B">
        <w:rPr>
          <w:rFonts w:eastAsiaTheme="minorEastAsia"/>
          <w:sz w:val="24"/>
        </w:rPr>
        <w:t>水肥一体化设备</w:t>
      </w:r>
      <w:r w:rsidRPr="00F9522B">
        <w:rPr>
          <w:rFonts w:eastAsiaTheme="minorEastAsia"/>
          <w:sz w:val="24"/>
        </w:rPr>
        <w:t>采取减振措施，项目灌溉为间歇灌溉，且有抗旱作用，对周围居民影响可接受。喷灌设备一般设置于耕地内，距离居民较远，再经距离衰减，能够有效的降低泵类对周围环境影响。排水沟仅在降水无法排出情况下采用柴油机移动泵车进行排水，柴油机移动泵车及文丘里施肥机使用时间较</w:t>
      </w:r>
      <w:r w:rsidRPr="00F9522B">
        <w:rPr>
          <w:rFonts w:eastAsiaTheme="minorEastAsia"/>
          <w:sz w:val="24"/>
        </w:rPr>
        <w:lastRenderedPageBreak/>
        <w:t>短，且布局在耕地内，远离居民，影响较小。变压器基础减振，产生影响较小。</w:t>
      </w:r>
    </w:p>
    <w:p w:rsidR="002A5A5E" w:rsidRPr="00F9522B" w:rsidRDefault="005273A1">
      <w:pPr>
        <w:spacing w:line="360" w:lineRule="auto"/>
        <w:ind w:firstLineChars="200" w:firstLine="480"/>
        <w:contextualSpacing/>
        <w:rPr>
          <w:rFonts w:eastAsiaTheme="minorEastAsia"/>
          <w:bCs/>
          <w:sz w:val="24"/>
        </w:rPr>
      </w:pPr>
      <w:r w:rsidRPr="00F9522B">
        <w:rPr>
          <w:rFonts w:eastAsiaTheme="minorEastAsia"/>
          <w:bCs/>
          <w:sz w:val="24"/>
        </w:rPr>
        <w:fldChar w:fldCharType="begin"/>
      </w:r>
      <w:r w:rsidR="00611CBA" w:rsidRPr="00F9522B">
        <w:rPr>
          <w:rFonts w:eastAsiaTheme="minorEastAsia"/>
          <w:bCs/>
          <w:sz w:val="24"/>
        </w:rPr>
        <w:instrText xml:space="preserve"> = 2 \* GB3 </w:instrText>
      </w:r>
      <w:r w:rsidRPr="00F9522B">
        <w:rPr>
          <w:rFonts w:eastAsiaTheme="minorEastAsia"/>
          <w:bCs/>
          <w:sz w:val="24"/>
        </w:rPr>
        <w:fldChar w:fldCharType="separate"/>
      </w:r>
      <w:r w:rsidR="00611CBA" w:rsidRPr="00F9522B">
        <w:rPr>
          <w:rFonts w:ascii="宋体" w:hAnsi="宋体" w:cs="宋体" w:hint="eastAsia"/>
          <w:bCs/>
          <w:sz w:val="24"/>
        </w:rPr>
        <w:t>②</w:t>
      </w:r>
      <w:r w:rsidRPr="00F9522B">
        <w:rPr>
          <w:rFonts w:eastAsiaTheme="minorEastAsia"/>
          <w:bCs/>
          <w:sz w:val="24"/>
        </w:rPr>
        <w:fldChar w:fldCharType="end"/>
      </w:r>
      <w:r w:rsidR="00611CBA" w:rsidRPr="00F9522B">
        <w:rPr>
          <w:rFonts w:eastAsiaTheme="minorEastAsia"/>
          <w:bCs/>
          <w:sz w:val="24"/>
        </w:rPr>
        <w:t>机动车辆产生的交通噪声</w:t>
      </w:r>
    </w:p>
    <w:p w:rsidR="002A5A5E" w:rsidRPr="00F9522B" w:rsidRDefault="00611CBA">
      <w:pPr>
        <w:spacing w:line="360" w:lineRule="auto"/>
        <w:ind w:firstLineChars="200" w:firstLine="480"/>
        <w:contextualSpacing/>
        <w:rPr>
          <w:rFonts w:eastAsiaTheme="minorEastAsia"/>
          <w:sz w:val="24"/>
        </w:rPr>
      </w:pPr>
      <w:r w:rsidRPr="00F9522B">
        <w:rPr>
          <w:rFonts w:eastAsiaTheme="minorEastAsia"/>
          <w:sz w:val="24"/>
        </w:rPr>
        <w:t>机动车辆产生的噪声为流动不稳态声源，采取限速、禁鸣等措施后，能够有效降低机动车辆产生的噪声。</w:t>
      </w:r>
    </w:p>
    <w:p w:rsidR="002A5A5E" w:rsidRPr="00F9522B" w:rsidRDefault="00611CBA">
      <w:pPr>
        <w:pStyle w:val="aff4"/>
        <w:adjustRightInd/>
        <w:snapToGrid/>
        <w:jc w:val="both"/>
        <w:rPr>
          <w:rFonts w:ascii="Times New Roman" w:hAnsi="Times New Roman" w:cs="Times New Roman"/>
        </w:rPr>
      </w:pPr>
      <w:r w:rsidRPr="00F9522B">
        <w:rPr>
          <w:rFonts w:ascii="Times New Roman" w:hAnsi="Times New Roman" w:cs="Times New Roman"/>
        </w:rPr>
        <w:t>综上所述，本项目采取上述防噪措施后，噪声对周围环境影响较小，井房厂界噪声能够满足《工业企业厂界环境噪声质量标准》</w:t>
      </w:r>
      <w:r w:rsidRPr="00F9522B">
        <w:rPr>
          <w:rFonts w:ascii="Times New Roman" w:hAnsi="Times New Roman" w:cs="Times New Roman"/>
        </w:rPr>
        <w:t>(GB12348-2008)</w:t>
      </w:r>
      <w:r w:rsidRPr="00F9522B">
        <w:rPr>
          <w:rFonts w:ascii="Times New Roman" w:hAnsi="Times New Roman" w:cs="Times New Roman"/>
        </w:rPr>
        <w:t>表</w:t>
      </w:r>
      <w:r w:rsidRPr="00F9522B">
        <w:rPr>
          <w:rFonts w:ascii="Times New Roman" w:hAnsi="Times New Roman" w:cs="Times New Roman"/>
        </w:rPr>
        <w:t>1</w:t>
      </w:r>
      <w:r w:rsidRPr="00F9522B">
        <w:rPr>
          <w:rFonts w:ascii="Times New Roman" w:hAnsi="Times New Roman" w:cs="Times New Roman"/>
        </w:rPr>
        <w:t>中</w:t>
      </w:r>
      <w:r w:rsidRPr="00F9522B">
        <w:rPr>
          <w:rFonts w:ascii="Times New Roman" w:hAnsi="Times New Roman" w:cs="Times New Roman"/>
        </w:rPr>
        <w:t>1</w:t>
      </w:r>
      <w:r w:rsidRPr="00F9522B">
        <w:rPr>
          <w:rFonts w:ascii="Times New Roman" w:hAnsi="Times New Roman" w:cs="Times New Roman"/>
        </w:rPr>
        <w:t>类标准要求。敏感点叠加值</w:t>
      </w:r>
      <w:r w:rsidRPr="00F9522B">
        <w:rPr>
          <w:rFonts w:ascii="Times New Roman" w:hAnsi="Times New Roman" w:cs="Times New Roman"/>
          <w:bCs/>
        </w:rPr>
        <w:t>满足《声环境质量标准》（</w:t>
      </w:r>
      <w:r w:rsidRPr="00F9522B">
        <w:rPr>
          <w:rFonts w:ascii="Times New Roman" w:hAnsi="Times New Roman" w:cs="Times New Roman"/>
          <w:bCs/>
        </w:rPr>
        <w:t>GB3096-2008</w:t>
      </w:r>
      <w:r w:rsidRPr="00F9522B">
        <w:rPr>
          <w:rFonts w:ascii="Times New Roman" w:hAnsi="Times New Roman" w:cs="Times New Roman"/>
          <w:bCs/>
        </w:rPr>
        <w:t>）中</w:t>
      </w:r>
      <w:r w:rsidRPr="00F9522B">
        <w:rPr>
          <w:rFonts w:ascii="Times New Roman" w:hAnsi="Times New Roman" w:cs="Times New Roman"/>
          <w:bCs/>
        </w:rPr>
        <w:t>1</w:t>
      </w:r>
      <w:r w:rsidRPr="00F9522B">
        <w:rPr>
          <w:rFonts w:ascii="Times New Roman" w:hAnsi="Times New Roman" w:cs="Times New Roman"/>
          <w:bCs/>
        </w:rPr>
        <w:t>类标准</w:t>
      </w:r>
      <w:r w:rsidRPr="00F9522B">
        <w:rPr>
          <w:rFonts w:ascii="Times New Roman" w:hAnsi="Times New Roman" w:cs="Times New Roman"/>
        </w:rPr>
        <w:t>。</w:t>
      </w:r>
    </w:p>
    <w:p w:rsidR="002A5A5E" w:rsidRPr="00F9522B" w:rsidRDefault="00611CBA">
      <w:pPr>
        <w:pStyle w:val="aff4"/>
        <w:adjustRightInd/>
        <w:snapToGrid/>
        <w:jc w:val="both"/>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4</w:t>
      </w:r>
      <w:r w:rsidRPr="00F9522B">
        <w:rPr>
          <w:rFonts w:ascii="Times New Roman" w:hAnsi="Times New Roman" w:cs="Times New Roman"/>
        </w:rPr>
        <w:t>）固体废物</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本项目运营期产生固体废物主要为秸秆、</w:t>
      </w:r>
      <w:r w:rsidRPr="00F9522B">
        <w:rPr>
          <w:rFonts w:eastAsiaTheme="minorEastAsia"/>
          <w:bCs/>
          <w:sz w:val="24"/>
        </w:rPr>
        <w:t>农药包装物及废肥料包装袋</w:t>
      </w:r>
      <w:r w:rsidRPr="00F9522B">
        <w:rPr>
          <w:rFonts w:eastAsiaTheme="minorEastAsia"/>
          <w:sz w:val="24"/>
        </w:rPr>
        <w:t>。</w:t>
      </w:r>
    </w:p>
    <w:p w:rsidR="002A5A5E" w:rsidRPr="00F9522B" w:rsidRDefault="00611CBA">
      <w:pPr>
        <w:pStyle w:val="aff4"/>
        <w:adjustRightInd/>
        <w:snapToGrid/>
        <w:jc w:val="both"/>
        <w:rPr>
          <w:rFonts w:ascii="Times New Roman" w:hAnsi="Times New Roman" w:cs="Times New Roman"/>
        </w:rPr>
      </w:pPr>
      <w:r w:rsidRPr="00F9522B">
        <w:rPr>
          <w:rFonts w:ascii="Times New Roman" w:hAnsi="Times New Roman" w:cs="Times New Roman"/>
          <w:bCs/>
        </w:rPr>
        <w:t>高标准农田耕种过程中将会产生农药包装物及废肥料包装袋，依据《农药包装废弃物回收处理管理办法》（中华人民共和国农业农村部</w:t>
      </w:r>
      <w:r w:rsidRPr="00F9522B">
        <w:rPr>
          <w:rFonts w:ascii="Times New Roman" w:hAnsi="Times New Roman" w:cs="Times New Roman"/>
          <w:bCs/>
        </w:rPr>
        <w:t xml:space="preserve"> </w:t>
      </w:r>
      <w:r w:rsidRPr="00F9522B">
        <w:rPr>
          <w:rFonts w:ascii="Times New Roman" w:hAnsi="Times New Roman" w:cs="Times New Roman"/>
          <w:bCs/>
        </w:rPr>
        <w:t>生态环境部令</w:t>
      </w:r>
      <w:r w:rsidRPr="00F9522B">
        <w:rPr>
          <w:rFonts w:ascii="Times New Roman" w:hAnsi="Times New Roman" w:cs="Times New Roman"/>
          <w:bCs/>
        </w:rPr>
        <w:t>2020</w:t>
      </w:r>
      <w:r w:rsidRPr="00F9522B">
        <w:rPr>
          <w:rFonts w:ascii="Times New Roman" w:hAnsi="Times New Roman" w:cs="Times New Roman"/>
          <w:bCs/>
        </w:rPr>
        <w:t>年</w:t>
      </w:r>
      <w:r w:rsidRPr="00F9522B">
        <w:rPr>
          <w:rFonts w:ascii="Times New Roman" w:hAnsi="Times New Roman" w:cs="Times New Roman"/>
          <w:bCs/>
        </w:rPr>
        <w:t xml:space="preserve"> </w:t>
      </w:r>
      <w:r w:rsidRPr="00F9522B">
        <w:rPr>
          <w:rFonts w:ascii="Times New Roman" w:hAnsi="Times New Roman" w:cs="Times New Roman"/>
          <w:bCs/>
        </w:rPr>
        <w:t>第</w:t>
      </w:r>
      <w:r w:rsidRPr="00F9522B">
        <w:rPr>
          <w:rFonts w:ascii="Times New Roman" w:hAnsi="Times New Roman" w:cs="Times New Roman"/>
          <w:bCs/>
        </w:rPr>
        <w:t>6</w:t>
      </w:r>
      <w:r w:rsidRPr="00F9522B">
        <w:rPr>
          <w:rFonts w:ascii="Times New Roman" w:hAnsi="Times New Roman" w:cs="Times New Roman"/>
          <w:bCs/>
        </w:rPr>
        <w:t>号）以及《国家危险废物名录（</w:t>
      </w:r>
      <w:r w:rsidRPr="00F9522B">
        <w:rPr>
          <w:rFonts w:ascii="Times New Roman" w:hAnsi="Times New Roman" w:cs="Times New Roman"/>
          <w:bCs/>
        </w:rPr>
        <w:t>2025</w:t>
      </w:r>
      <w:r w:rsidRPr="00F9522B">
        <w:rPr>
          <w:rFonts w:ascii="Times New Roman" w:hAnsi="Times New Roman" w:cs="Times New Roman"/>
          <w:bCs/>
        </w:rPr>
        <w:t>年版）》危险废物豁免管理清单，农药包装物不按照危险废物管理。</w:t>
      </w:r>
      <w:r w:rsidR="00D33612" w:rsidRPr="00F9522B">
        <w:rPr>
          <w:rFonts w:ascii="Times New Roman" w:hAnsi="Times New Roman" w:cs="Times New Roman"/>
        </w:rPr>
        <w:t>秸秆、</w:t>
      </w:r>
      <w:r w:rsidR="00D33612" w:rsidRPr="00F9522B">
        <w:rPr>
          <w:rFonts w:ascii="Times New Roman" w:hAnsi="Times New Roman" w:cs="Times New Roman"/>
          <w:bCs/>
        </w:rPr>
        <w:t>废肥料包装袋由当地农民负责外售综合利用；</w:t>
      </w:r>
      <w:r w:rsidR="00D33612" w:rsidRPr="00F9522B">
        <w:rPr>
          <w:rFonts w:ascii="Times New Roman" w:hAnsi="Times New Roman" w:cs="Times New Roman"/>
          <w:bCs/>
          <w:color w:val="FF0000"/>
        </w:rPr>
        <w:t>农业使用者及时收集农药包装物，由并交回农药经营者或回收站。</w:t>
      </w:r>
    </w:p>
    <w:p w:rsidR="002A5A5E" w:rsidRPr="00F9522B" w:rsidRDefault="00611CBA">
      <w:pPr>
        <w:pStyle w:val="aff4"/>
        <w:adjustRightInd/>
        <w:snapToGrid/>
        <w:contextualSpacing/>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5</w:t>
      </w:r>
      <w:r w:rsidRPr="00F9522B">
        <w:rPr>
          <w:rFonts w:ascii="Times New Roman" w:hAnsi="Times New Roman" w:cs="Times New Roman"/>
        </w:rPr>
        <w:t>）地下水</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非正常工况下，柴油机移动泵车油箱在使用和停放时发生泄漏事故，柴油渗漏对地下水水质造成影响。本项目设置</w:t>
      </w:r>
      <w:r w:rsidRPr="00F9522B">
        <w:rPr>
          <w:rFonts w:eastAsiaTheme="minorEastAsia"/>
          <w:sz w:val="24"/>
        </w:rPr>
        <w:t>3</w:t>
      </w:r>
      <w:r w:rsidRPr="00F9522B">
        <w:rPr>
          <w:rFonts w:eastAsiaTheme="minorEastAsia"/>
          <w:sz w:val="24"/>
        </w:rPr>
        <w:t>口地下水跟踪监测井（</w:t>
      </w:r>
      <w:r w:rsidR="00123CA8" w:rsidRPr="00F9522B">
        <w:rPr>
          <w:rFonts w:eastAsiaTheme="minorEastAsia"/>
          <w:sz w:val="24"/>
        </w:rPr>
        <w:t>榆林</w:t>
      </w:r>
      <w:r w:rsidR="00123CA8" w:rsidRPr="00F9522B">
        <w:rPr>
          <w:rFonts w:eastAsiaTheme="minorEastAsia"/>
          <w:sz w:val="24"/>
        </w:rPr>
        <w:t>2#</w:t>
      </w:r>
      <w:r w:rsidR="00123CA8" w:rsidRPr="00F9522B">
        <w:rPr>
          <w:rFonts w:eastAsiaTheme="minorEastAsia"/>
          <w:sz w:val="24"/>
        </w:rPr>
        <w:t>灌溉井、傅井</w:t>
      </w:r>
      <w:r w:rsidR="00123CA8" w:rsidRPr="00F9522B">
        <w:rPr>
          <w:rFonts w:eastAsiaTheme="minorEastAsia"/>
          <w:sz w:val="24"/>
        </w:rPr>
        <w:t>2#</w:t>
      </w:r>
      <w:r w:rsidR="00123CA8" w:rsidRPr="00F9522B">
        <w:rPr>
          <w:rFonts w:eastAsiaTheme="minorEastAsia"/>
          <w:sz w:val="24"/>
        </w:rPr>
        <w:t>灌溉井、永胜</w:t>
      </w:r>
      <w:r w:rsidR="00123CA8" w:rsidRPr="00F9522B">
        <w:rPr>
          <w:rFonts w:eastAsiaTheme="minorEastAsia"/>
          <w:sz w:val="24"/>
        </w:rPr>
        <w:t>1#</w:t>
      </w:r>
      <w:r w:rsidR="00123CA8" w:rsidRPr="00F9522B">
        <w:rPr>
          <w:rFonts w:eastAsiaTheme="minorEastAsia"/>
          <w:sz w:val="24"/>
        </w:rPr>
        <w:t>灌溉井</w:t>
      </w:r>
      <w:r w:rsidRPr="00F9522B">
        <w:rPr>
          <w:rFonts w:eastAsiaTheme="minorEastAsia"/>
          <w:sz w:val="24"/>
        </w:rPr>
        <w:t>），制定地下水跟踪监测计划及信息公开计划，防止对区域地下水环境造成影响。以柴油机移动泵车油箱泄漏对地下水影响进行预测，泄漏发生后</w:t>
      </w:r>
      <w:r w:rsidRPr="00F9522B">
        <w:rPr>
          <w:rFonts w:eastAsiaTheme="minorEastAsia"/>
          <w:sz w:val="24"/>
        </w:rPr>
        <w:t>100</w:t>
      </w:r>
      <w:r w:rsidRPr="00F9522B">
        <w:rPr>
          <w:rFonts w:eastAsiaTheme="minorEastAsia"/>
          <w:sz w:val="24"/>
        </w:rPr>
        <w:t>天时，石油类预测达标距离为</w:t>
      </w:r>
      <w:r w:rsidRPr="00F9522B">
        <w:rPr>
          <w:rFonts w:eastAsiaTheme="minorEastAsia"/>
          <w:sz w:val="24"/>
        </w:rPr>
        <w:t>48</w:t>
      </w:r>
      <w:r w:rsidRPr="00F9522B">
        <w:rPr>
          <w:rFonts w:eastAsiaTheme="minorEastAsia"/>
          <w:sz w:val="24"/>
        </w:rPr>
        <w:t>米，泄漏发生后</w:t>
      </w:r>
      <w:r w:rsidRPr="00F9522B">
        <w:rPr>
          <w:rFonts w:eastAsiaTheme="minorEastAsia"/>
          <w:sz w:val="24"/>
        </w:rPr>
        <w:t>1000</w:t>
      </w:r>
      <w:r w:rsidRPr="00F9522B">
        <w:rPr>
          <w:rFonts w:eastAsiaTheme="minorEastAsia"/>
          <w:sz w:val="24"/>
        </w:rPr>
        <w:t>天时，石油类预测达标距离为</w:t>
      </w:r>
      <w:r w:rsidRPr="00F9522B">
        <w:rPr>
          <w:rFonts w:eastAsiaTheme="minorEastAsia"/>
          <w:sz w:val="24"/>
        </w:rPr>
        <w:t>180</w:t>
      </w:r>
      <w:r w:rsidRPr="00F9522B">
        <w:rPr>
          <w:rFonts w:eastAsiaTheme="minorEastAsia"/>
          <w:sz w:val="24"/>
        </w:rPr>
        <w:t>米。本项目柴油机移动泵车油箱密闭，设置固定暂存场所，暂存场所地面采取防渗措施，在使用过程中若发生泄漏事故，立即用沙土进行掩埋，产生的含油沙土交由资质单位运输和处置。定期巡检，重点检查变压器油箱密封性（有无裂缝、接口渗漏）、油位刻度（判断是否存在异常泄漏），发现变压器油泄漏应立即停止此变压器运行，</w:t>
      </w:r>
      <w:r w:rsidRPr="00F9522B">
        <w:rPr>
          <w:rFonts w:eastAsiaTheme="minorEastAsia"/>
          <w:sz w:val="24"/>
          <w:szCs w:val="20"/>
        </w:rPr>
        <w:t>属于小范围污染，立即用沙土进行掩埋，产生的含油沙土及</w:t>
      </w:r>
      <w:r w:rsidRPr="00F9522B">
        <w:rPr>
          <w:rFonts w:eastAsiaTheme="minorEastAsia"/>
          <w:sz w:val="24"/>
        </w:rPr>
        <w:t>泄漏物</w:t>
      </w:r>
      <w:r w:rsidRPr="00F9522B">
        <w:rPr>
          <w:rFonts w:eastAsiaTheme="minorEastAsia"/>
          <w:sz w:val="24"/>
          <w:szCs w:val="20"/>
        </w:rPr>
        <w:t>交由资质单位处置进行运输和处置。</w:t>
      </w:r>
      <w:r w:rsidRPr="00F9522B">
        <w:rPr>
          <w:rFonts w:eastAsiaTheme="minorEastAsia"/>
          <w:sz w:val="24"/>
        </w:rPr>
        <w:t>不会对地下水环境产生污染。定期巡检，重点检查变压器油箱密封性（有无裂缝、接口渗漏）、油位刻度（判断是否存在异常泄漏），发现变压器油泄漏应立即停止此变压器运行，</w:t>
      </w:r>
      <w:r w:rsidRPr="00F9522B">
        <w:rPr>
          <w:rFonts w:eastAsiaTheme="minorEastAsia"/>
          <w:sz w:val="24"/>
          <w:szCs w:val="20"/>
        </w:rPr>
        <w:t>属于小范围污染，立即用沙土进行掩埋，产生的含油沙土及</w:t>
      </w:r>
      <w:r w:rsidRPr="00F9522B">
        <w:rPr>
          <w:rFonts w:eastAsiaTheme="minorEastAsia"/>
          <w:sz w:val="24"/>
        </w:rPr>
        <w:t>泄漏物</w:t>
      </w:r>
      <w:r w:rsidRPr="00F9522B">
        <w:rPr>
          <w:rFonts w:eastAsiaTheme="minorEastAsia"/>
          <w:sz w:val="24"/>
          <w:szCs w:val="20"/>
        </w:rPr>
        <w:t>交由资质</w:t>
      </w:r>
      <w:r w:rsidRPr="00F9522B">
        <w:rPr>
          <w:rFonts w:eastAsiaTheme="minorEastAsia"/>
          <w:sz w:val="24"/>
          <w:szCs w:val="20"/>
        </w:rPr>
        <w:lastRenderedPageBreak/>
        <w:t>单位处置进行运输和处置。</w:t>
      </w:r>
      <w:r w:rsidRPr="00F9522B">
        <w:rPr>
          <w:rFonts w:eastAsiaTheme="minorEastAsia"/>
          <w:sz w:val="24"/>
        </w:rPr>
        <w:t>不会对地下水环境产生污染。</w:t>
      </w:r>
    </w:p>
    <w:p w:rsidR="002A5A5E" w:rsidRPr="00F9522B" w:rsidRDefault="00611CBA">
      <w:pPr>
        <w:spacing w:line="360" w:lineRule="auto"/>
        <w:ind w:firstLineChars="200" w:firstLine="480"/>
        <w:rPr>
          <w:rFonts w:eastAsiaTheme="minorEastAsia"/>
          <w:sz w:val="24"/>
        </w:rPr>
      </w:pPr>
      <w:r w:rsidRPr="00F9522B">
        <w:rPr>
          <w:rFonts w:eastAsiaTheme="minorEastAsia"/>
          <w:sz w:val="24"/>
        </w:rPr>
        <w:t>本项目合理开采地下水资源，严格执行灌溉制度，采取节水灌溉措施，提高水资源的利用率，通过管道输水、田间滴灌，最大限度的利用水资源。防止地下水超采。</w:t>
      </w:r>
    </w:p>
    <w:p w:rsidR="002A5A5E" w:rsidRPr="00F9522B" w:rsidRDefault="00611CBA">
      <w:pPr>
        <w:spacing w:line="360" w:lineRule="auto"/>
        <w:ind w:firstLine="482"/>
        <w:rPr>
          <w:rFonts w:eastAsiaTheme="minorEastAsia"/>
          <w:sz w:val="24"/>
        </w:rPr>
      </w:pPr>
      <w:r w:rsidRPr="00F9522B">
        <w:rPr>
          <w:rFonts w:eastAsiaTheme="minorEastAsia"/>
          <w:sz w:val="24"/>
        </w:rPr>
        <w:t>综上所述，项目对地下水环境产生影响较小。</w:t>
      </w:r>
    </w:p>
    <w:p w:rsidR="002A5A5E" w:rsidRPr="00F9522B" w:rsidRDefault="00611CBA">
      <w:pPr>
        <w:pStyle w:val="aff4"/>
        <w:adjustRightInd/>
        <w:snapToGrid/>
        <w:jc w:val="both"/>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6</w:t>
      </w:r>
      <w:r w:rsidRPr="00F9522B">
        <w:rPr>
          <w:rFonts w:ascii="Times New Roman" w:hAnsi="Times New Roman" w:cs="Times New Roman"/>
        </w:rPr>
        <w:t>）电磁环境</w:t>
      </w:r>
    </w:p>
    <w:p w:rsidR="002A5A5E" w:rsidRPr="00F9522B" w:rsidRDefault="00611CBA">
      <w:pPr>
        <w:pStyle w:val="aff4"/>
        <w:adjustRightInd/>
        <w:snapToGrid/>
        <w:jc w:val="both"/>
        <w:rPr>
          <w:rFonts w:ascii="Times New Roman" w:hAnsi="Times New Roman" w:cs="Times New Roman"/>
        </w:rPr>
      </w:pPr>
      <w:r w:rsidRPr="00F9522B">
        <w:rPr>
          <w:rFonts w:ascii="Times New Roman" w:hAnsi="Times New Roman" w:cs="Times New Roman"/>
        </w:rPr>
        <w:t>在满足变压器设计要求的前提下，保障公众健康，保护周围电磁环境。通过采用防护措施，本项目运营期间，将变压器、配电装置产生的电磁辐射降到最低水平，最大限度的保障公众身体健康。</w:t>
      </w:r>
    </w:p>
    <w:p w:rsidR="002A5A5E" w:rsidRPr="00F9522B" w:rsidRDefault="00611CBA">
      <w:pPr>
        <w:pStyle w:val="aff4"/>
        <w:adjustRightInd/>
        <w:snapToGrid/>
        <w:jc w:val="both"/>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7</w:t>
      </w:r>
      <w:r w:rsidRPr="00F9522B">
        <w:rPr>
          <w:rFonts w:ascii="Times New Roman" w:hAnsi="Times New Roman" w:cs="Times New Roman"/>
        </w:rPr>
        <w:t>）土壤</w:t>
      </w:r>
    </w:p>
    <w:p w:rsidR="002A5A5E" w:rsidRPr="00F9522B" w:rsidRDefault="00611CBA">
      <w:pPr>
        <w:pStyle w:val="aff4"/>
        <w:adjustRightInd/>
        <w:snapToGrid/>
        <w:jc w:val="both"/>
        <w:rPr>
          <w:rFonts w:ascii="Times New Roman" w:hAnsi="Times New Roman" w:cs="Times New Roman"/>
        </w:rPr>
      </w:pPr>
      <w:r w:rsidRPr="00F9522B">
        <w:rPr>
          <w:rFonts w:ascii="Times New Roman" w:hAnsi="Times New Roman" w:cs="Times New Roman"/>
        </w:rPr>
        <w:t>本项目为</w:t>
      </w:r>
      <w:r w:rsidRPr="00F9522B">
        <w:rPr>
          <w:rFonts w:ascii="Times New Roman" w:hAnsi="Times New Roman" w:cs="Times New Roman"/>
          <w:bCs/>
          <w:kern w:val="0"/>
        </w:rPr>
        <w:t>高标准农田建设项目</w:t>
      </w:r>
      <w:r w:rsidRPr="00F9522B">
        <w:rPr>
          <w:rFonts w:ascii="Times New Roman" w:hAnsi="Times New Roman" w:cs="Times New Roman"/>
        </w:rPr>
        <w:t>，实施后项目区的农业生产条件将大大改善，抵御自然灾害的能力将大幅度提高。</w:t>
      </w:r>
      <w:r w:rsidRPr="00F9522B">
        <w:rPr>
          <w:rFonts w:ascii="Times New Roman" w:hAnsi="Times New Roman" w:cs="Times New Roman"/>
          <w:bCs/>
        </w:rPr>
        <w:t>本项目合理开采地下水资源，严格执行灌溉制度，采取节水灌溉措施，提高水资源的利用率，</w:t>
      </w:r>
      <w:r w:rsidRPr="00F9522B">
        <w:rPr>
          <w:rFonts w:ascii="Times New Roman" w:hAnsi="Times New Roman" w:cs="Times New Roman"/>
        </w:rPr>
        <w:t>适度灌溉能够提升土壤肥力及农作物产量，不会造成土壤盐碱化问题。实施本项目后，对项目区发展生态农业提供了有利条件，能为环境所接受。</w:t>
      </w:r>
    </w:p>
    <w:p w:rsidR="002A5A5E" w:rsidRPr="00F9522B" w:rsidRDefault="00611CBA">
      <w:pPr>
        <w:pStyle w:val="aff4"/>
        <w:adjustRightInd/>
        <w:snapToGrid/>
        <w:jc w:val="both"/>
        <w:rPr>
          <w:rFonts w:ascii="Times New Roman" w:hAnsi="Times New Roman" w:cs="Times New Roman"/>
        </w:rPr>
      </w:pPr>
      <w:r w:rsidRPr="00F9522B">
        <w:rPr>
          <w:rFonts w:ascii="Times New Roman" w:hAnsi="Times New Roman" w:cs="Times New Roman"/>
        </w:rPr>
        <w:t>（</w:t>
      </w:r>
      <w:r w:rsidRPr="00F9522B">
        <w:rPr>
          <w:rFonts w:ascii="Times New Roman" w:hAnsi="Times New Roman" w:cs="Times New Roman"/>
        </w:rPr>
        <w:t>8</w:t>
      </w:r>
      <w:r w:rsidRPr="00F9522B">
        <w:rPr>
          <w:rFonts w:ascii="Times New Roman" w:hAnsi="Times New Roman" w:cs="Times New Roman"/>
        </w:rPr>
        <w:t>）环境风险</w:t>
      </w:r>
    </w:p>
    <w:p w:rsidR="002A5A5E" w:rsidRPr="00F9522B" w:rsidRDefault="00611CBA">
      <w:pPr>
        <w:spacing w:line="360" w:lineRule="auto"/>
        <w:ind w:firstLineChars="200" w:firstLine="480"/>
        <w:rPr>
          <w:rFonts w:eastAsiaTheme="minorEastAsia"/>
          <w:sz w:val="24"/>
          <w:szCs w:val="20"/>
        </w:rPr>
      </w:pPr>
      <w:r w:rsidRPr="00F9522B">
        <w:rPr>
          <w:rFonts w:eastAsiaTheme="minorEastAsia"/>
          <w:sz w:val="24"/>
          <w:szCs w:val="20"/>
        </w:rPr>
        <w:t>本项目</w:t>
      </w:r>
      <w:r w:rsidRPr="00F9522B">
        <w:rPr>
          <w:rFonts w:eastAsiaTheme="minorEastAsia"/>
          <w:bCs/>
          <w:sz w:val="24"/>
          <w:szCs w:val="20"/>
        </w:rPr>
        <w:t>柴油机移动泵车</w:t>
      </w:r>
      <w:r w:rsidRPr="00F9522B">
        <w:rPr>
          <w:rFonts w:eastAsiaTheme="minorEastAsia"/>
          <w:sz w:val="24"/>
          <w:szCs w:val="20"/>
        </w:rPr>
        <w:t>油箱密闭，不使用于村内暂存，暂存处地面设置重点防渗（等效黏土防渗层</w:t>
      </w:r>
      <w:r w:rsidRPr="00F9522B">
        <w:rPr>
          <w:rFonts w:eastAsiaTheme="minorEastAsia"/>
          <w:sz w:val="24"/>
          <w:szCs w:val="20"/>
        </w:rPr>
        <w:t>Mb≥6.0m</w:t>
      </w:r>
      <w:r w:rsidRPr="00F9522B">
        <w:rPr>
          <w:rFonts w:eastAsiaTheme="minorEastAsia"/>
          <w:sz w:val="24"/>
          <w:szCs w:val="20"/>
        </w:rPr>
        <w:t>，渗透系数</w:t>
      </w:r>
      <w:r w:rsidRPr="00F9522B">
        <w:rPr>
          <w:rFonts w:eastAsiaTheme="minorEastAsia"/>
          <w:sz w:val="24"/>
          <w:szCs w:val="20"/>
        </w:rPr>
        <w:t>K≤1.0×10</w:t>
      </w:r>
      <w:r w:rsidRPr="00F9522B">
        <w:rPr>
          <w:rFonts w:eastAsiaTheme="minorEastAsia"/>
          <w:sz w:val="24"/>
          <w:szCs w:val="20"/>
          <w:vertAlign w:val="superscript"/>
        </w:rPr>
        <w:t>-7</w:t>
      </w:r>
      <w:r w:rsidRPr="00F9522B">
        <w:rPr>
          <w:rFonts w:eastAsiaTheme="minorEastAsia"/>
          <w:sz w:val="24"/>
          <w:szCs w:val="20"/>
        </w:rPr>
        <w:t>cm/s</w:t>
      </w:r>
      <w:r w:rsidRPr="00F9522B">
        <w:rPr>
          <w:rFonts w:eastAsiaTheme="minorEastAsia"/>
          <w:sz w:val="24"/>
          <w:szCs w:val="20"/>
        </w:rPr>
        <w:t>）；定期巡检，重点检查变压器油箱密封性（有无裂缝、接口渗漏）、油位刻度（判断是否存在异常泄漏），发现变压器油泄漏应立即停止此变压器运行，属于小范围污染，立即用沙土进行掩埋，产生的含油沙土及泄漏物交由资质单位处置进行运输和处置；</w:t>
      </w:r>
    </w:p>
    <w:p w:rsidR="002A5A5E" w:rsidRPr="00F9522B" w:rsidRDefault="00611CBA">
      <w:pPr>
        <w:spacing w:line="360" w:lineRule="auto"/>
        <w:ind w:firstLineChars="200" w:firstLine="480"/>
        <w:rPr>
          <w:rFonts w:eastAsiaTheme="minorEastAsia"/>
          <w:sz w:val="24"/>
          <w:szCs w:val="20"/>
        </w:rPr>
      </w:pPr>
      <w:r w:rsidRPr="00F9522B">
        <w:rPr>
          <w:rFonts w:eastAsiaTheme="minorEastAsia"/>
          <w:sz w:val="24"/>
          <w:szCs w:val="20"/>
        </w:rPr>
        <w:t>制定突发环境事件应急预案，说明各种可能发生的突发环境事件情景及应急处置措施。</w:t>
      </w:r>
    </w:p>
    <w:p w:rsidR="002A5A5E" w:rsidRPr="00F9522B" w:rsidRDefault="00611CBA">
      <w:pPr>
        <w:spacing w:line="360" w:lineRule="auto"/>
        <w:ind w:firstLineChars="200" w:firstLine="480"/>
        <w:rPr>
          <w:rFonts w:eastAsiaTheme="minorEastAsia"/>
          <w:sz w:val="24"/>
          <w:szCs w:val="20"/>
        </w:rPr>
      </w:pPr>
      <w:r w:rsidRPr="00F9522B">
        <w:rPr>
          <w:rFonts w:eastAsiaTheme="minorEastAsia"/>
          <w:sz w:val="24"/>
          <w:szCs w:val="20"/>
        </w:rPr>
        <w:t>（</w:t>
      </w:r>
      <w:r w:rsidRPr="00F9522B">
        <w:rPr>
          <w:rFonts w:eastAsiaTheme="minorEastAsia"/>
          <w:sz w:val="24"/>
          <w:szCs w:val="20"/>
        </w:rPr>
        <w:t>9</w:t>
      </w:r>
      <w:r w:rsidRPr="00F9522B">
        <w:rPr>
          <w:rFonts w:eastAsiaTheme="minorEastAsia"/>
          <w:sz w:val="24"/>
          <w:szCs w:val="20"/>
        </w:rPr>
        <w:t>）生态环境</w:t>
      </w:r>
    </w:p>
    <w:p w:rsidR="002A5A5E" w:rsidRPr="00F9522B" w:rsidRDefault="00611CBA">
      <w:pPr>
        <w:spacing w:line="360" w:lineRule="auto"/>
        <w:ind w:firstLineChars="200" w:firstLine="480"/>
        <w:rPr>
          <w:rFonts w:eastAsiaTheme="minorEastAsia"/>
          <w:bCs/>
          <w:kern w:val="0"/>
          <w:sz w:val="24"/>
        </w:rPr>
      </w:pPr>
      <w:r w:rsidRPr="00F9522B">
        <w:rPr>
          <w:rFonts w:eastAsiaTheme="minorEastAsia"/>
          <w:bCs/>
          <w:kern w:val="0"/>
          <w:sz w:val="24"/>
        </w:rPr>
        <w:t>本项目为高标准农田建设项目，农田生态系统依赖于人的管理，其主要功能为提供农产品，高标准农田建设有利于进一步发挥它的生态体系功能。</w:t>
      </w:r>
    </w:p>
    <w:p w:rsidR="002A5A5E" w:rsidRPr="00F9522B" w:rsidRDefault="00611CBA">
      <w:pPr>
        <w:spacing w:line="360" w:lineRule="auto"/>
        <w:ind w:firstLineChars="200" w:firstLine="480"/>
        <w:rPr>
          <w:rFonts w:eastAsiaTheme="minorEastAsia"/>
          <w:smallCaps/>
          <w:sz w:val="24"/>
        </w:rPr>
      </w:pPr>
      <w:r w:rsidRPr="00F9522B">
        <w:rPr>
          <w:rFonts w:eastAsiaTheme="minorEastAsia"/>
          <w:smallCaps/>
          <w:sz w:val="24"/>
        </w:rPr>
        <w:t>项目区以农田生态系统为主，已形成多年，本项目不新增农田面积，不新开垦林地、草地、湿地等，项目建成后区域仍以农田生态系统为主。灌区建设多年，区域水生生态系统经过长时间的演替，已形成稳定的适合现有鱼类及水生生物生</w:t>
      </w:r>
      <w:r w:rsidRPr="00F9522B">
        <w:rPr>
          <w:rFonts w:eastAsiaTheme="minorEastAsia"/>
          <w:smallCaps/>
          <w:sz w:val="24"/>
        </w:rPr>
        <w:lastRenderedPageBreak/>
        <w:t>长繁殖的生境和生态系统。</w:t>
      </w:r>
    </w:p>
    <w:p w:rsidR="002A5A5E" w:rsidRPr="00F9522B" w:rsidRDefault="00611CBA">
      <w:pPr>
        <w:spacing w:line="360" w:lineRule="auto"/>
        <w:ind w:firstLineChars="200" w:firstLine="480"/>
        <w:contextualSpacing/>
        <w:rPr>
          <w:rFonts w:eastAsiaTheme="minorEastAsia"/>
          <w:kern w:val="0"/>
          <w:sz w:val="24"/>
        </w:rPr>
      </w:pPr>
      <w:r w:rsidRPr="00F9522B">
        <w:rPr>
          <w:rFonts w:eastAsiaTheme="minorEastAsia"/>
          <w:smallCaps/>
          <w:sz w:val="24"/>
        </w:rPr>
        <w:t>由于工程的实施，</w:t>
      </w:r>
      <w:r w:rsidRPr="00F9522B">
        <w:rPr>
          <w:rFonts w:eastAsiaTheme="minorEastAsia"/>
          <w:kern w:val="0"/>
          <w:sz w:val="24"/>
          <w:szCs w:val="21"/>
        </w:rPr>
        <w:t>减少渠道上的</w:t>
      </w:r>
      <w:r w:rsidRPr="00F9522B">
        <w:rPr>
          <w:rFonts w:eastAsiaTheme="minorEastAsia"/>
          <w:kern w:val="0"/>
          <w:sz w:val="24"/>
          <w:szCs w:val="21"/>
        </w:rPr>
        <w:t>“</w:t>
      </w:r>
      <w:r w:rsidRPr="00F9522B">
        <w:rPr>
          <w:rFonts w:eastAsiaTheme="minorEastAsia"/>
          <w:kern w:val="0"/>
          <w:sz w:val="24"/>
          <w:szCs w:val="21"/>
        </w:rPr>
        <w:t>跑、漏、冒</w:t>
      </w:r>
      <w:r w:rsidRPr="00F9522B">
        <w:rPr>
          <w:rFonts w:eastAsiaTheme="minorEastAsia"/>
          <w:kern w:val="0"/>
          <w:sz w:val="24"/>
          <w:szCs w:val="21"/>
        </w:rPr>
        <w:t>”</w:t>
      </w:r>
      <w:r w:rsidRPr="00F9522B">
        <w:rPr>
          <w:rFonts w:eastAsiaTheme="minorEastAsia"/>
          <w:kern w:val="0"/>
          <w:sz w:val="24"/>
          <w:szCs w:val="21"/>
        </w:rPr>
        <w:t>水现象，减少灌区引水量，</w:t>
      </w:r>
      <w:r w:rsidRPr="00F9522B">
        <w:rPr>
          <w:rFonts w:eastAsiaTheme="minorEastAsia"/>
          <w:sz w:val="24"/>
        </w:rPr>
        <w:t>节约了水资源，提升水资源利用效率。</w:t>
      </w:r>
      <w:r w:rsidRPr="00F9522B">
        <w:rPr>
          <w:rFonts w:eastAsiaTheme="minorEastAsia"/>
          <w:smallCaps/>
          <w:sz w:val="24"/>
        </w:rPr>
        <w:t>工程实施前后取水量、退水量、</w:t>
      </w:r>
      <w:r w:rsidRPr="00F9522B">
        <w:rPr>
          <w:rFonts w:eastAsiaTheme="minorEastAsia"/>
          <w:kern w:val="0"/>
          <w:sz w:val="24"/>
          <w:szCs w:val="21"/>
        </w:rPr>
        <w:t>污染物入河量</w:t>
      </w:r>
      <w:r w:rsidRPr="00F9522B">
        <w:rPr>
          <w:rFonts w:eastAsiaTheme="minorEastAsia"/>
          <w:smallCaps/>
          <w:sz w:val="24"/>
        </w:rPr>
        <w:t>均减少，对区域水文情势、鱼类栖息及繁殖、浮游生物、底栖动物、水生维管束植物产生有利影响。</w:t>
      </w:r>
      <w:r w:rsidRPr="00F9522B">
        <w:rPr>
          <w:rFonts w:eastAsiaTheme="minorEastAsia"/>
          <w:snapToGrid w:val="0"/>
          <w:sz w:val="24"/>
        </w:rPr>
        <w:t>农田排水集中在</w:t>
      </w:r>
      <w:r w:rsidRPr="00F9522B">
        <w:rPr>
          <w:rFonts w:eastAsiaTheme="minorEastAsia"/>
          <w:snapToGrid w:val="0"/>
          <w:sz w:val="24"/>
        </w:rPr>
        <w:t>5</w:t>
      </w:r>
      <w:r w:rsidRPr="00F9522B">
        <w:rPr>
          <w:rFonts w:eastAsiaTheme="minorEastAsia"/>
          <w:snapToGrid w:val="0"/>
          <w:sz w:val="24"/>
        </w:rPr>
        <w:t>～</w:t>
      </w:r>
      <w:r w:rsidRPr="00F9522B">
        <w:rPr>
          <w:rFonts w:eastAsiaTheme="minorEastAsia"/>
          <w:snapToGrid w:val="0"/>
          <w:sz w:val="24"/>
        </w:rPr>
        <w:t>9</w:t>
      </w:r>
      <w:r w:rsidR="00507669" w:rsidRPr="00F9522B">
        <w:rPr>
          <w:rFonts w:eastAsiaTheme="minorEastAsia"/>
          <w:snapToGrid w:val="0"/>
          <w:sz w:val="24"/>
        </w:rPr>
        <w:t>月份，正值丰水期，</w:t>
      </w:r>
      <w:r w:rsidR="00507669" w:rsidRPr="00F9522B">
        <w:rPr>
          <w:rFonts w:eastAsiaTheme="minorEastAsia"/>
          <w:sz w:val="24"/>
        </w:rPr>
        <w:t>松花江</w:t>
      </w:r>
      <w:r w:rsidRPr="00F9522B">
        <w:rPr>
          <w:rFonts w:eastAsiaTheme="minorEastAsia"/>
          <w:snapToGrid w:val="0"/>
          <w:sz w:val="24"/>
        </w:rPr>
        <w:t>、漂河水量充沛，进入水体的污染物将不同程度的被稀释和降解，对水质影响较小。</w:t>
      </w:r>
      <w:r w:rsidRPr="00F9522B">
        <w:rPr>
          <w:rFonts w:eastAsiaTheme="minorEastAsia"/>
          <w:sz w:val="24"/>
        </w:rPr>
        <w:t>项目施行</w:t>
      </w:r>
      <w:r w:rsidRPr="00F9522B">
        <w:rPr>
          <w:rFonts w:eastAsiaTheme="minorEastAsia"/>
          <w:sz w:val="24"/>
        </w:rPr>
        <w:t>“</w:t>
      </w:r>
      <w:r w:rsidRPr="00F9522B">
        <w:rPr>
          <w:rFonts w:eastAsiaTheme="minorEastAsia"/>
          <w:sz w:val="24"/>
        </w:rPr>
        <w:t>三减</w:t>
      </w:r>
      <w:r w:rsidRPr="00F9522B">
        <w:rPr>
          <w:rFonts w:eastAsiaTheme="minorEastAsia"/>
          <w:sz w:val="24"/>
        </w:rPr>
        <w:t>”</w:t>
      </w:r>
      <w:r w:rsidRPr="00F9522B">
        <w:rPr>
          <w:rFonts w:eastAsiaTheme="minorEastAsia"/>
          <w:sz w:val="24"/>
        </w:rPr>
        <w:t>行动，即减化肥、减农药、减除草剂，积极推广科学施肥，使化肥、农药实现减量化施用，提出测土配方施肥、水肥一体化、控制农药与化肥施用种类及数量措施，</w:t>
      </w:r>
      <w:r w:rsidRPr="00F9522B">
        <w:rPr>
          <w:rFonts w:eastAsiaTheme="minorEastAsia"/>
          <w:kern w:val="0"/>
          <w:sz w:val="24"/>
        </w:rPr>
        <w:t>故工程实施后对</w:t>
      </w:r>
      <w:r w:rsidR="00E93DD8" w:rsidRPr="00F9522B">
        <w:rPr>
          <w:rFonts w:eastAsiaTheme="minorEastAsia"/>
          <w:sz w:val="24"/>
        </w:rPr>
        <w:t>松花江及漂河、呼兰河口湿地自然保护区</w:t>
      </w:r>
      <w:r w:rsidRPr="00F9522B">
        <w:rPr>
          <w:rFonts w:eastAsiaTheme="minorEastAsia"/>
          <w:sz w:val="24"/>
        </w:rPr>
        <w:t>水生生态</w:t>
      </w:r>
      <w:r w:rsidRPr="00F9522B">
        <w:rPr>
          <w:rFonts w:eastAsiaTheme="minorEastAsia"/>
          <w:kern w:val="0"/>
          <w:sz w:val="24"/>
        </w:rPr>
        <w:t>环境起到一定改善作用。</w:t>
      </w:r>
    </w:p>
    <w:p w:rsidR="002A5A5E" w:rsidRPr="00F9522B" w:rsidRDefault="00611CBA">
      <w:pPr>
        <w:spacing w:line="360" w:lineRule="auto"/>
        <w:ind w:firstLineChars="200" w:firstLine="480"/>
        <w:contextualSpacing/>
        <w:rPr>
          <w:rFonts w:eastAsiaTheme="minorEastAsia"/>
          <w:bCs/>
          <w:kern w:val="0"/>
          <w:sz w:val="24"/>
        </w:rPr>
      </w:pPr>
      <w:r w:rsidRPr="00F9522B">
        <w:rPr>
          <w:rFonts w:eastAsiaTheme="minorEastAsia"/>
          <w:bCs/>
          <w:kern w:val="0"/>
          <w:sz w:val="24"/>
        </w:rPr>
        <w:t>本项目依托现有退水口，退水减少量相对退水河流流域多年平均年径流量占比极小，不会对已形成的现有的水域形态、径流条件、水力条件以及冲於条件等造成显著影响。</w:t>
      </w:r>
    </w:p>
    <w:p w:rsidR="002A5A5E" w:rsidRPr="00F9522B" w:rsidRDefault="00611CBA">
      <w:pPr>
        <w:spacing w:line="360" w:lineRule="auto"/>
        <w:ind w:firstLineChars="200" w:firstLine="480"/>
        <w:rPr>
          <w:rFonts w:eastAsiaTheme="minorEastAsia"/>
          <w:sz w:val="24"/>
          <w:szCs w:val="20"/>
        </w:rPr>
      </w:pPr>
      <w:r w:rsidRPr="00F9522B">
        <w:rPr>
          <w:rFonts w:eastAsiaTheme="minorEastAsia"/>
          <w:sz w:val="24"/>
        </w:rPr>
        <w:t>本区域通过车辆一般为当地农用车，车速较慢、产生的尾气及扬尘较少，同时采取限速、禁鸣措施。灌溉井泵类位于地下，能够有效的阻隔声传播，柴油机移动泵车及文丘里施肥机使用时间较短，减少扬尘和噪声对</w:t>
      </w:r>
      <w:r w:rsidRPr="00F9522B">
        <w:rPr>
          <w:rFonts w:eastAsiaTheme="minorEastAsia"/>
          <w:bCs/>
          <w:kern w:val="0"/>
          <w:sz w:val="24"/>
        </w:rPr>
        <w:t>动植物</w:t>
      </w:r>
      <w:r w:rsidRPr="00F9522B">
        <w:rPr>
          <w:rFonts w:eastAsiaTheme="minorEastAsia"/>
          <w:sz w:val="24"/>
        </w:rPr>
        <w:t>产生的影响。</w:t>
      </w:r>
      <w:r w:rsidRPr="00F9522B">
        <w:rPr>
          <w:rFonts w:eastAsiaTheme="minorEastAsia"/>
          <w:bCs/>
          <w:kern w:val="0"/>
          <w:sz w:val="24"/>
        </w:rPr>
        <w:t>因此，项目实施对周边生态环境影响较小。</w:t>
      </w:r>
    </w:p>
    <w:p w:rsidR="002A5A5E" w:rsidRPr="00F9522B" w:rsidRDefault="00611CBA">
      <w:pPr>
        <w:keepNext/>
        <w:keepLines/>
        <w:spacing w:before="100" w:beforeAutospacing="1" w:after="100" w:afterAutospacing="1"/>
        <w:outlineLvl w:val="2"/>
        <w:rPr>
          <w:rFonts w:eastAsiaTheme="minorEastAsia"/>
          <w:b/>
          <w:sz w:val="28"/>
          <w:szCs w:val="28"/>
        </w:rPr>
      </w:pPr>
      <w:bookmarkStart w:id="192" w:name="_Toc15991739"/>
      <w:r w:rsidRPr="00F9522B">
        <w:rPr>
          <w:rFonts w:eastAsiaTheme="minorEastAsia"/>
          <w:b/>
          <w:sz w:val="28"/>
          <w:szCs w:val="28"/>
        </w:rPr>
        <w:t>9.1.5</w:t>
      </w:r>
      <w:r w:rsidRPr="00F9522B">
        <w:rPr>
          <w:rFonts w:eastAsiaTheme="minorEastAsia"/>
          <w:b/>
          <w:sz w:val="28"/>
          <w:szCs w:val="28"/>
        </w:rPr>
        <w:t>经济损益分析结论</w:t>
      </w:r>
      <w:bookmarkEnd w:id="192"/>
    </w:p>
    <w:p w:rsidR="002A5A5E" w:rsidRPr="00F9522B" w:rsidRDefault="00611CBA">
      <w:pPr>
        <w:pStyle w:val="aff4"/>
        <w:adjustRightInd/>
        <w:snapToGrid/>
        <w:jc w:val="both"/>
        <w:rPr>
          <w:rFonts w:ascii="Times New Roman" w:hAnsi="Times New Roman" w:cs="Times New Roman"/>
        </w:rPr>
      </w:pPr>
      <w:r w:rsidRPr="00F9522B">
        <w:rPr>
          <w:rFonts w:ascii="Times New Roman" w:hAnsi="Times New Roman" w:cs="Times New Roman"/>
        </w:rPr>
        <w:t>本项目的建设具有良好的社会效益和经济效益，不会对当地环境产生明显不利影响，因此该项目的实施做到了社会效益、经济效益和环境效益的同步发展。</w:t>
      </w:r>
    </w:p>
    <w:p w:rsidR="002A5A5E" w:rsidRPr="00F9522B" w:rsidRDefault="00611CBA">
      <w:pPr>
        <w:keepNext/>
        <w:keepLines/>
        <w:spacing w:before="100" w:beforeAutospacing="1" w:after="100" w:afterAutospacing="1"/>
        <w:outlineLvl w:val="2"/>
        <w:rPr>
          <w:rFonts w:eastAsiaTheme="minorEastAsia"/>
          <w:b/>
          <w:sz w:val="28"/>
          <w:szCs w:val="28"/>
        </w:rPr>
      </w:pPr>
      <w:bookmarkStart w:id="193" w:name="_Toc486255152"/>
      <w:bookmarkStart w:id="194" w:name="_Toc15991740"/>
      <w:r w:rsidRPr="00F9522B">
        <w:rPr>
          <w:rFonts w:eastAsiaTheme="minorEastAsia"/>
          <w:b/>
          <w:sz w:val="28"/>
          <w:szCs w:val="28"/>
        </w:rPr>
        <w:t>9.1.6</w:t>
      </w:r>
      <w:r w:rsidRPr="00F9522B">
        <w:rPr>
          <w:rFonts w:eastAsiaTheme="minorEastAsia"/>
          <w:b/>
          <w:sz w:val="28"/>
          <w:szCs w:val="28"/>
        </w:rPr>
        <w:t>环境管理与监测结论</w:t>
      </w:r>
      <w:bookmarkEnd w:id="193"/>
      <w:bookmarkEnd w:id="194"/>
    </w:p>
    <w:p w:rsidR="002A5A5E" w:rsidRPr="00F9522B" w:rsidRDefault="00611CBA">
      <w:pPr>
        <w:spacing w:line="360" w:lineRule="auto"/>
        <w:ind w:firstLineChars="200" w:firstLine="480"/>
        <w:rPr>
          <w:rFonts w:eastAsiaTheme="minorEastAsia"/>
          <w:snapToGrid w:val="0"/>
          <w:kern w:val="0"/>
          <w:sz w:val="24"/>
        </w:rPr>
      </w:pPr>
      <w:r w:rsidRPr="00F9522B">
        <w:rPr>
          <w:rFonts w:eastAsiaTheme="minorEastAsia"/>
          <w:snapToGrid w:val="0"/>
          <w:kern w:val="0"/>
          <w:sz w:val="24"/>
        </w:rPr>
        <w:t>本次工程实施后，建设单位将按照环评要求制定环境管理制度，划分环境管理职责，定期委托第三方监测机构按照监测计划对本项目其他污染源及区域环境质量进行监测。</w:t>
      </w:r>
    </w:p>
    <w:p w:rsidR="002A5A5E" w:rsidRPr="00F9522B" w:rsidRDefault="00611CBA">
      <w:pPr>
        <w:keepNext/>
        <w:keepLines/>
        <w:spacing w:before="100" w:beforeAutospacing="1" w:after="100" w:afterAutospacing="1"/>
        <w:outlineLvl w:val="2"/>
        <w:rPr>
          <w:rFonts w:eastAsiaTheme="minorEastAsia"/>
          <w:b/>
          <w:sz w:val="28"/>
          <w:szCs w:val="28"/>
        </w:rPr>
      </w:pPr>
      <w:bookmarkStart w:id="195" w:name="_Toc486255150"/>
      <w:bookmarkStart w:id="196" w:name="_Toc15991741"/>
      <w:r w:rsidRPr="00F9522B">
        <w:rPr>
          <w:rFonts w:eastAsiaTheme="minorEastAsia"/>
          <w:b/>
          <w:sz w:val="28"/>
          <w:szCs w:val="28"/>
        </w:rPr>
        <w:lastRenderedPageBreak/>
        <w:t>9.1.7</w:t>
      </w:r>
      <w:r w:rsidRPr="00F9522B">
        <w:rPr>
          <w:rFonts w:eastAsiaTheme="minorEastAsia"/>
          <w:b/>
          <w:sz w:val="28"/>
          <w:szCs w:val="28"/>
        </w:rPr>
        <w:t>公众意见采纳情况</w:t>
      </w:r>
      <w:bookmarkEnd w:id="195"/>
      <w:bookmarkEnd w:id="196"/>
    </w:p>
    <w:p w:rsidR="002A5A5E" w:rsidRPr="00F9522B" w:rsidRDefault="00611CBA">
      <w:pPr>
        <w:pStyle w:val="aff4"/>
        <w:adjustRightInd/>
        <w:snapToGrid/>
        <w:jc w:val="both"/>
        <w:rPr>
          <w:rFonts w:ascii="Times New Roman" w:hAnsi="Times New Roman" w:cs="Times New Roman"/>
          <w:b/>
          <w:bCs/>
        </w:rPr>
      </w:pPr>
      <w:bookmarkStart w:id="197" w:name="_Toc15991742"/>
      <w:bookmarkStart w:id="198" w:name="_Toc285188950"/>
      <w:bookmarkStart w:id="199" w:name="_Toc342462538"/>
      <w:r w:rsidRPr="00F9522B">
        <w:rPr>
          <w:rFonts w:ascii="Times New Roman" w:hAnsi="Times New Roman" w:cs="Times New Roman"/>
        </w:rPr>
        <w:t>本项目在公示期间，建设单位未接到公众反馈意见。通过对公众问卷调查表的调查结果了解，项目区公众对项目建设的总体意见是赞成的，项目投产后公众最关心的环境问题主要是噪声对环境的影响，建设单位要充分重视，切实落实各项污染防治措施，加强环境管理，把本工程环境污染降低到最低限度。从总体上看，公众对建设项目的意见是支持项目建设，同意项目选址。</w:t>
      </w:r>
    </w:p>
    <w:p w:rsidR="002A5A5E" w:rsidRPr="00F9522B" w:rsidRDefault="00611CBA">
      <w:pPr>
        <w:keepNext/>
        <w:keepLines/>
        <w:spacing w:before="100" w:beforeAutospacing="1" w:after="100" w:afterAutospacing="1"/>
        <w:outlineLvl w:val="2"/>
        <w:rPr>
          <w:rFonts w:eastAsiaTheme="minorEastAsia"/>
          <w:b/>
          <w:sz w:val="28"/>
          <w:szCs w:val="28"/>
        </w:rPr>
      </w:pPr>
      <w:r w:rsidRPr="00F9522B">
        <w:rPr>
          <w:rFonts w:eastAsiaTheme="minorEastAsia"/>
          <w:b/>
          <w:sz w:val="28"/>
          <w:szCs w:val="28"/>
        </w:rPr>
        <w:t>9.1.8</w:t>
      </w:r>
      <w:r w:rsidRPr="00F9522B">
        <w:rPr>
          <w:rFonts w:eastAsiaTheme="minorEastAsia"/>
          <w:b/>
          <w:sz w:val="28"/>
          <w:szCs w:val="28"/>
        </w:rPr>
        <w:t>总结论</w:t>
      </w:r>
      <w:bookmarkEnd w:id="197"/>
      <w:bookmarkEnd w:id="198"/>
      <w:bookmarkEnd w:id="199"/>
    </w:p>
    <w:p w:rsidR="002A5A5E" w:rsidRPr="00F9522B" w:rsidRDefault="00611CBA">
      <w:pPr>
        <w:pStyle w:val="aff4"/>
        <w:adjustRightInd/>
        <w:snapToGrid/>
        <w:contextualSpacing/>
        <w:jc w:val="both"/>
        <w:rPr>
          <w:rFonts w:ascii="Times New Roman" w:hAnsi="Times New Roman" w:cs="Times New Roman"/>
        </w:rPr>
        <w:sectPr w:rsidR="002A5A5E" w:rsidRPr="00F9522B">
          <w:headerReference w:type="even" r:id="rId124"/>
          <w:headerReference w:type="default" r:id="rId125"/>
          <w:footerReference w:type="even" r:id="rId126"/>
          <w:footerReference w:type="default" r:id="rId127"/>
          <w:headerReference w:type="first" r:id="rId128"/>
          <w:footerReference w:type="first" r:id="rId129"/>
          <w:pgSz w:w="11906" w:h="16838"/>
          <w:pgMar w:top="1440" w:right="1800" w:bottom="1440" w:left="1800" w:header="851" w:footer="992" w:gutter="0"/>
          <w:cols w:space="720"/>
          <w:docGrid w:type="lines" w:linePitch="312"/>
        </w:sectPr>
      </w:pPr>
      <w:r w:rsidRPr="00F9522B">
        <w:rPr>
          <w:rFonts w:ascii="Times New Roman" w:hAnsi="Times New Roman" w:cs="Times New Roman"/>
        </w:rPr>
        <w:t>本项目建设符合国家产业政策，工程建设以有利影响为主，工程建设完成后，将改善农业生产条件和农村生态环境，促进农业经济的发展，其社会效益、经济效益、环境效益显著。在认真贯彻落实报告书所提出的治理措施并确保其正常运行的前提下，通过强化环境管理和环境监测，项目产生的环境问题可被周围的环境所接受，因此评价认为，本项目的建设从环境保护角度分析是可行的。</w:t>
      </w:r>
    </w:p>
    <w:p w:rsidR="002A5A5E" w:rsidRPr="00F9522B" w:rsidRDefault="00611CBA">
      <w:pPr>
        <w:tabs>
          <w:tab w:val="left" w:pos="720"/>
        </w:tabs>
        <w:spacing w:before="50" w:after="50" w:line="360" w:lineRule="auto"/>
        <w:jc w:val="center"/>
        <w:rPr>
          <w:rFonts w:eastAsiaTheme="minorEastAsia"/>
          <w:b/>
          <w:sz w:val="24"/>
        </w:rPr>
      </w:pPr>
      <w:r w:rsidRPr="00F9522B">
        <w:rPr>
          <w:rFonts w:eastAsiaTheme="minorEastAsia"/>
          <w:b/>
          <w:sz w:val="24"/>
        </w:rPr>
        <w:lastRenderedPageBreak/>
        <w:t>建设项目大气环境影响评价自查表</w:t>
      </w:r>
    </w:p>
    <w:tbl>
      <w:tblPr>
        <w:tblW w:w="92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51"/>
        <w:gridCol w:w="1798"/>
        <w:gridCol w:w="940"/>
        <w:gridCol w:w="287"/>
        <w:gridCol w:w="134"/>
        <w:gridCol w:w="178"/>
        <w:gridCol w:w="19"/>
        <w:gridCol w:w="46"/>
        <w:gridCol w:w="608"/>
        <w:gridCol w:w="433"/>
        <w:gridCol w:w="802"/>
        <w:gridCol w:w="332"/>
        <w:gridCol w:w="802"/>
        <w:gridCol w:w="598"/>
        <w:gridCol w:w="142"/>
        <w:gridCol w:w="287"/>
        <w:gridCol w:w="1083"/>
      </w:tblGrid>
      <w:tr w:rsidR="002A5A5E" w:rsidRPr="00F9522B">
        <w:trPr>
          <w:jc w:val="center"/>
        </w:trPr>
        <w:tc>
          <w:tcPr>
            <w:tcW w:w="2549" w:type="dxa"/>
            <w:gridSpan w:val="2"/>
            <w:tcBorders>
              <w:top w:val="single" w:sz="12" w:space="0" w:color="000000"/>
              <w:left w:val="single" w:sz="12"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工作内容</w:t>
            </w:r>
          </w:p>
        </w:tc>
        <w:tc>
          <w:tcPr>
            <w:tcW w:w="6691" w:type="dxa"/>
            <w:gridSpan w:val="15"/>
            <w:tcBorders>
              <w:top w:val="single" w:sz="12" w:space="0" w:color="000000"/>
              <w:left w:val="single" w:sz="4" w:space="0" w:color="000000"/>
              <w:bottom w:val="single" w:sz="4" w:space="0" w:color="000000"/>
              <w:right w:val="single" w:sz="12"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自查项目</w:t>
            </w:r>
          </w:p>
        </w:tc>
      </w:tr>
      <w:tr w:rsidR="002A5A5E" w:rsidRPr="00F9522B">
        <w:trPr>
          <w:jc w:val="center"/>
        </w:trPr>
        <w:tc>
          <w:tcPr>
            <w:tcW w:w="751" w:type="dxa"/>
            <w:vMerge w:val="restart"/>
            <w:tcBorders>
              <w:top w:val="single" w:sz="4" w:space="0" w:color="000000"/>
              <w:left w:val="single" w:sz="12"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评价等级与范围</w:t>
            </w:r>
          </w:p>
        </w:tc>
        <w:tc>
          <w:tcPr>
            <w:tcW w:w="1798" w:type="dxa"/>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评价等级</w:t>
            </w:r>
          </w:p>
        </w:tc>
        <w:tc>
          <w:tcPr>
            <w:tcW w:w="1558" w:type="dxa"/>
            <w:gridSpan w:val="5"/>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一级</w:t>
            </w:r>
            <w:r w:rsidRPr="00F9522B">
              <w:rPr>
                <w:rFonts w:eastAsiaTheme="minorEastAsia"/>
                <w:bCs/>
                <w:kern w:val="0"/>
                <w:szCs w:val="21"/>
              </w:rPr>
              <w:t>□</w:t>
            </w:r>
          </w:p>
        </w:tc>
        <w:tc>
          <w:tcPr>
            <w:tcW w:w="3023" w:type="dxa"/>
            <w:gridSpan w:val="6"/>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二级</w:t>
            </w:r>
            <w:r w:rsidRPr="00F9522B">
              <w:rPr>
                <w:rFonts w:eastAsiaTheme="minorEastAsia"/>
                <w:bCs/>
                <w:kern w:val="0"/>
                <w:szCs w:val="21"/>
              </w:rPr>
              <w:t>□</w:t>
            </w:r>
          </w:p>
        </w:tc>
        <w:tc>
          <w:tcPr>
            <w:tcW w:w="2110" w:type="dxa"/>
            <w:gridSpan w:val="4"/>
            <w:tcBorders>
              <w:top w:val="single" w:sz="4" w:space="0" w:color="000000"/>
              <w:left w:val="single" w:sz="4" w:space="0" w:color="000000"/>
              <w:bottom w:val="single" w:sz="4" w:space="0" w:color="000000"/>
              <w:right w:val="single" w:sz="12"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三级</w:t>
            </w:r>
            <w:r w:rsidR="00660C23" w:rsidRPr="00F9522B">
              <w:rPr>
                <w:rFonts w:eastAsiaTheme="minorEastAsia"/>
                <w:bCs/>
                <w:kern w:val="0"/>
                <w:szCs w:val="21"/>
              </w:rPr>
              <w:t>√</w:t>
            </w:r>
          </w:p>
        </w:tc>
      </w:tr>
      <w:tr w:rsidR="002A5A5E" w:rsidRPr="00F9522B">
        <w:trPr>
          <w:trHeight w:val="332"/>
          <w:jc w:val="center"/>
        </w:trPr>
        <w:tc>
          <w:tcPr>
            <w:tcW w:w="751" w:type="dxa"/>
            <w:vMerge/>
            <w:tcBorders>
              <w:top w:val="single" w:sz="4" w:space="0" w:color="000000"/>
              <w:left w:val="single" w:sz="12" w:space="0" w:color="000000"/>
              <w:bottom w:val="single" w:sz="4" w:space="0" w:color="000000"/>
              <w:right w:val="single" w:sz="4" w:space="0" w:color="000000"/>
            </w:tcBorders>
            <w:vAlign w:val="center"/>
          </w:tcPr>
          <w:p w:rsidR="002A5A5E" w:rsidRPr="00F9522B" w:rsidRDefault="002A5A5E">
            <w:pPr>
              <w:widowControl/>
              <w:jc w:val="left"/>
              <w:rPr>
                <w:rFonts w:eastAsiaTheme="minorEastAsia"/>
                <w:bCs/>
                <w:kern w:val="0"/>
                <w:szCs w:val="21"/>
              </w:rPr>
            </w:pPr>
          </w:p>
        </w:tc>
        <w:tc>
          <w:tcPr>
            <w:tcW w:w="1798" w:type="dxa"/>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评价范围</w:t>
            </w:r>
          </w:p>
        </w:tc>
        <w:tc>
          <w:tcPr>
            <w:tcW w:w="1558" w:type="dxa"/>
            <w:gridSpan w:val="5"/>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边长</w:t>
            </w:r>
            <w:r w:rsidRPr="00F9522B">
              <w:rPr>
                <w:rFonts w:eastAsiaTheme="minorEastAsia"/>
                <w:bCs/>
                <w:kern w:val="0"/>
                <w:szCs w:val="21"/>
              </w:rPr>
              <w:t>=50km□</w:t>
            </w:r>
          </w:p>
        </w:tc>
        <w:tc>
          <w:tcPr>
            <w:tcW w:w="3023" w:type="dxa"/>
            <w:gridSpan w:val="6"/>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边长</w:t>
            </w:r>
            <w:r w:rsidRPr="00F9522B">
              <w:rPr>
                <w:rFonts w:eastAsiaTheme="minorEastAsia"/>
                <w:bCs/>
                <w:kern w:val="0"/>
                <w:szCs w:val="21"/>
              </w:rPr>
              <w:t>5~50km□</w:t>
            </w:r>
          </w:p>
        </w:tc>
        <w:tc>
          <w:tcPr>
            <w:tcW w:w="2110" w:type="dxa"/>
            <w:gridSpan w:val="4"/>
            <w:tcBorders>
              <w:top w:val="single" w:sz="4" w:space="0" w:color="000000"/>
              <w:left w:val="single" w:sz="4" w:space="0" w:color="000000"/>
              <w:bottom w:val="single" w:sz="4" w:space="0" w:color="000000"/>
              <w:right w:val="single" w:sz="12"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边长</w:t>
            </w:r>
            <w:r w:rsidRPr="00F9522B">
              <w:rPr>
                <w:rFonts w:eastAsiaTheme="minorEastAsia"/>
                <w:bCs/>
                <w:kern w:val="0"/>
                <w:szCs w:val="21"/>
              </w:rPr>
              <w:t>=5km□</w:t>
            </w:r>
          </w:p>
        </w:tc>
      </w:tr>
      <w:tr w:rsidR="002A5A5E" w:rsidRPr="00F9522B">
        <w:trPr>
          <w:jc w:val="center"/>
        </w:trPr>
        <w:tc>
          <w:tcPr>
            <w:tcW w:w="751" w:type="dxa"/>
            <w:vMerge w:val="restart"/>
            <w:tcBorders>
              <w:top w:val="single" w:sz="4" w:space="0" w:color="000000"/>
              <w:left w:val="single" w:sz="12"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评价因子</w:t>
            </w:r>
          </w:p>
        </w:tc>
        <w:tc>
          <w:tcPr>
            <w:tcW w:w="1798" w:type="dxa"/>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SO</w:t>
            </w:r>
            <w:r w:rsidRPr="00F9522B">
              <w:rPr>
                <w:rFonts w:eastAsiaTheme="minorEastAsia"/>
                <w:bCs/>
                <w:kern w:val="0"/>
                <w:szCs w:val="21"/>
                <w:vertAlign w:val="subscript"/>
              </w:rPr>
              <w:t>2</w:t>
            </w:r>
            <w:r w:rsidRPr="00F9522B">
              <w:rPr>
                <w:rFonts w:eastAsiaTheme="minorEastAsia"/>
                <w:bCs/>
                <w:kern w:val="0"/>
                <w:szCs w:val="21"/>
              </w:rPr>
              <w:t>+NO</w:t>
            </w:r>
            <w:r w:rsidRPr="00F9522B">
              <w:rPr>
                <w:rFonts w:eastAsiaTheme="minorEastAsia"/>
                <w:bCs/>
                <w:kern w:val="0"/>
                <w:szCs w:val="21"/>
                <w:vertAlign w:val="subscript"/>
              </w:rPr>
              <w:t>X</w:t>
            </w:r>
            <w:r w:rsidRPr="00F9522B">
              <w:rPr>
                <w:rFonts w:eastAsiaTheme="minorEastAsia"/>
                <w:bCs/>
                <w:kern w:val="0"/>
                <w:szCs w:val="21"/>
              </w:rPr>
              <w:t>排放量</w:t>
            </w:r>
          </w:p>
        </w:tc>
        <w:tc>
          <w:tcPr>
            <w:tcW w:w="1558" w:type="dxa"/>
            <w:gridSpan w:val="5"/>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≥2000t/a□</w:t>
            </w:r>
          </w:p>
        </w:tc>
        <w:tc>
          <w:tcPr>
            <w:tcW w:w="3023" w:type="dxa"/>
            <w:gridSpan w:val="6"/>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500~2000t/a□</w:t>
            </w:r>
          </w:p>
        </w:tc>
        <w:tc>
          <w:tcPr>
            <w:tcW w:w="2110" w:type="dxa"/>
            <w:gridSpan w:val="4"/>
            <w:tcBorders>
              <w:top w:val="single" w:sz="4" w:space="0" w:color="000000"/>
              <w:left w:val="single" w:sz="4" w:space="0" w:color="000000"/>
              <w:bottom w:val="single" w:sz="4" w:space="0" w:color="000000"/>
              <w:right w:val="single" w:sz="12"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&lt;500t/a□</w:t>
            </w:r>
          </w:p>
        </w:tc>
      </w:tr>
      <w:tr w:rsidR="002A5A5E" w:rsidRPr="00F9522B">
        <w:trPr>
          <w:jc w:val="center"/>
        </w:trPr>
        <w:tc>
          <w:tcPr>
            <w:tcW w:w="751" w:type="dxa"/>
            <w:vMerge/>
            <w:tcBorders>
              <w:top w:val="single" w:sz="4" w:space="0" w:color="000000"/>
              <w:left w:val="single" w:sz="12" w:space="0" w:color="000000"/>
              <w:bottom w:val="single" w:sz="4" w:space="0" w:color="000000"/>
              <w:right w:val="single" w:sz="4" w:space="0" w:color="000000"/>
            </w:tcBorders>
            <w:vAlign w:val="center"/>
          </w:tcPr>
          <w:p w:rsidR="002A5A5E" w:rsidRPr="00F9522B" w:rsidRDefault="002A5A5E">
            <w:pPr>
              <w:widowControl/>
              <w:jc w:val="left"/>
              <w:rPr>
                <w:rFonts w:eastAsiaTheme="minorEastAsia"/>
                <w:bCs/>
                <w:kern w:val="0"/>
                <w:szCs w:val="21"/>
              </w:rPr>
            </w:pPr>
          </w:p>
        </w:tc>
        <w:tc>
          <w:tcPr>
            <w:tcW w:w="1798" w:type="dxa"/>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评价因子</w:t>
            </w:r>
          </w:p>
        </w:tc>
        <w:tc>
          <w:tcPr>
            <w:tcW w:w="4581" w:type="dxa"/>
            <w:gridSpan w:val="11"/>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基本污染物（</w:t>
            </w:r>
            <w:r w:rsidRPr="00F9522B">
              <w:rPr>
                <w:rFonts w:eastAsiaTheme="minorEastAsia"/>
                <w:bCs/>
                <w:kern w:val="0"/>
                <w:szCs w:val="21"/>
              </w:rPr>
              <w:t>PM</w:t>
            </w:r>
            <w:r w:rsidRPr="00F9522B">
              <w:rPr>
                <w:rFonts w:eastAsiaTheme="minorEastAsia"/>
                <w:bCs/>
                <w:kern w:val="0"/>
                <w:szCs w:val="21"/>
                <w:vertAlign w:val="subscript"/>
              </w:rPr>
              <w:t>10</w:t>
            </w:r>
            <w:r w:rsidRPr="00F9522B">
              <w:rPr>
                <w:rFonts w:eastAsiaTheme="minorEastAsia"/>
                <w:bCs/>
                <w:kern w:val="0"/>
                <w:szCs w:val="21"/>
              </w:rPr>
              <w:t>、</w:t>
            </w:r>
            <w:r w:rsidRPr="00F9522B">
              <w:rPr>
                <w:rFonts w:eastAsiaTheme="minorEastAsia"/>
                <w:bCs/>
                <w:kern w:val="0"/>
                <w:szCs w:val="21"/>
              </w:rPr>
              <w:t>PM</w:t>
            </w:r>
            <w:r w:rsidRPr="00F9522B">
              <w:rPr>
                <w:rFonts w:eastAsiaTheme="minorEastAsia"/>
                <w:bCs/>
                <w:kern w:val="0"/>
                <w:szCs w:val="21"/>
                <w:vertAlign w:val="subscript"/>
              </w:rPr>
              <w:t>2.5</w:t>
            </w:r>
            <w:r w:rsidRPr="00F9522B">
              <w:rPr>
                <w:rFonts w:eastAsiaTheme="minorEastAsia"/>
                <w:bCs/>
                <w:kern w:val="0"/>
                <w:szCs w:val="21"/>
              </w:rPr>
              <w:t>、</w:t>
            </w:r>
            <w:r w:rsidRPr="00F9522B">
              <w:rPr>
                <w:rFonts w:eastAsiaTheme="minorEastAsia"/>
                <w:bCs/>
                <w:kern w:val="0"/>
                <w:szCs w:val="21"/>
              </w:rPr>
              <w:t>SO</w:t>
            </w:r>
            <w:r w:rsidRPr="00F9522B">
              <w:rPr>
                <w:rFonts w:eastAsiaTheme="minorEastAsia"/>
                <w:bCs/>
                <w:kern w:val="0"/>
                <w:szCs w:val="21"/>
                <w:vertAlign w:val="subscript"/>
              </w:rPr>
              <w:t>2</w:t>
            </w:r>
            <w:r w:rsidRPr="00F9522B">
              <w:rPr>
                <w:rFonts w:eastAsiaTheme="minorEastAsia"/>
                <w:bCs/>
                <w:kern w:val="0"/>
                <w:szCs w:val="21"/>
              </w:rPr>
              <w:t>、</w:t>
            </w:r>
            <w:r w:rsidRPr="00F9522B">
              <w:rPr>
                <w:rFonts w:eastAsiaTheme="minorEastAsia"/>
                <w:bCs/>
                <w:kern w:val="0"/>
                <w:szCs w:val="21"/>
              </w:rPr>
              <w:t>NO</w:t>
            </w:r>
            <w:r w:rsidRPr="00F9522B">
              <w:rPr>
                <w:rFonts w:eastAsiaTheme="minorEastAsia"/>
                <w:bCs/>
                <w:kern w:val="0"/>
                <w:szCs w:val="21"/>
                <w:vertAlign w:val="subscript"/>
              </w:rPr>
              <w:t>2</w:t>
            </w:r>
            <w:r w:rsidRPr="00F9522B">
              <w:rPr>
                <w:rFonts w:eastAsiaTheme="minorEastAsia"/>
                <w:bCs/>
                <w:kern w:val="0"/>
                <w:szCs w:val="21"/>
              </w:rPr>
              <w:t>、</w:t>
            </w:r>
            <w:r w:rsidRPr="00F9522B">
              <w:rPr>
                <w:rFonts w:eastAsiaTheme="minorEastAsia"/>
                <w:bCs/>
                <w:kern w:val="0"/>
                <w:szCs w:val="21"/>
              </w:rPr>
              <w:t>CO</w:t>
            </w:r>
            <w:r w:rsidRPr="00F9522B">
              <w:rPr>
                <w:rFonts w:eastAsiaTheme="minorEastAsia"/>
                <w:bCs/>
                <w:kern w:val="0"/>
                <w:szCs w:val="21"/>
              </w:rPr>
              <w:t>、</w:t>
            </w:r>
            <w:r w:rsidRPr="00F9522B">
              <w:rPr>
                <w:rFonts w:eastAsiaTheme="minorEastAsia"/>
                <w:bCs/>
                <w:kern w:val="0"/>
                <w:szCs w:val="21"/>
              </w:rPr>
              <w:t>O</w:t>
            </w:r>
            <w:r w:rsidRPr="00F9522B">
              <w:rPr>
                <w:rFonts w:eastAsiaTheme="minorEastAsia"/>
                <w:bCs/>
                <w:kern w:val="0"/>
                <w:szCs w:val="21"/>
                <w:vertAlign w:val="subscript"/>
              </w:rPr>
              <w:t>3</w:t>
            </w:r>
            <w:r w:rsidRPr="00F9522B">
              <w:rPr>
                <w:rFonts w:eastAsiaTheme="minorEastAsia"/>
                <w:bCs/>
                <w:kern w:val="0"/>
                <w:szCs w:val="21"/>
              </w:rPr>
              <w:t>）其他污染物（</w:t>
            </w:r>
            <w:r w:rsidRPr="00F9522B">
              <w:rPr>
                <w:rFonts w:eastAsiaTheme="minorEastAsia"/>
                <w:bCs/>
                <w:kern w:val="0"/>
                <w:szCs w:val="21"/>
              </w:rPr>
              <w:t>TSP</w:t>
            </w:r>
            <w:r w:rsidRPr="00F9522B">
              <w:rPr>
                <w:rFonts w:eastAsiaTheme="minorEastAsia"/>
                <w:bCs/>
                <w:kern w:val="0"/>
                <w:szCs w:val="21"/>
              </w:rPr>
              <w:t>、</w:t>
            </w:r>
            <w:r w:rsidRPr="00F9522B">
              <w:rPr>
                <w:rFonts w:eastAsiaTheme="minorEastAsia"/>
                <w:bCs/>
                <w:kern w:val="0"/>
                <w:szCs w:val="21"/>
              </w:rPr>
              <w:t>NO</w:t>
            </w:r>
            <w:r w:rsidRPr="00F9522B">
              <w:rPr>
                <w:rFonts w:eastAsiaTheme="minorEastAsia"/>
                <w:bCs/>
                <w:kern w:val="0"/>
                <w:szCs w:val="21"/>
                <w:vertAlign w:val="subscript"/>
              </w:rPr>
              <w:t>X</w:t>
            </w:r>
            <w:r w:rsidRPr="00F9522B">
              <w:rPr>
                <w:rFonts w:eastAsiaTheme="minorEastAsia"/>
                <w:snapToGrid w:val="0"/>
                <w:kern w:val="0"/>
              </w:rPr>
              <w:t>、</w:t>
            </w:r>
            <w:r w:rsidRPr="00F9522B">
              <w:rPr>
                <w:rFonts w:eastAsiaTheme="minorEastAsia"/>
                <w:snapToGrid w:val="0"/>
                <w:kern w:val="0"/>
              </w:rPr>
              <w:t>CO</w:t>
            </w:r>
            <w:r w:rsidRPr="00F9522B">
              <w:rPr>
                <w:rFonts w:eastAsiaTheme="minorEastAsia"/>
                <w:snapToGrid w:val="0"/>
                <w:kern w:val="0"/>
              </w:rPr>
              <w:t>、</w:t>
            </w:r>
            <w:r w:rsidRPr="00F9522B">
              <w:rPr>
                <w:rFonts w:eastAsiaTheme="minorEastAsia"/>
                <w:spacing w:val="22"/>
                <w:kern w:val="0"/>
                <w:szCs w:val="21"/>
              </w:rPr>
              <w:t>HC+NO</w:t>
            </w:r>
            <w:r w:rsidRPr="00F9522B">
              <w:rPr>
                <w:rFonts w:eastAsiaTheme="minorEastAsia"/>
                <w:spacing w:val="22"/>
                <w:kern w:val="0"/>
                <w:szCs w:val="21"/>
                <w:vertAlign w:val="subscript"/>
              </w:rPr>
              <w:t>x</w:t>
            </w:r>
            <w:r w:rsidRPr="00F9522B">
              <w:rPr>
                <w:rFonts w:eastAsiaTheme="minorEastAsia"/>
                <w:bCs/>
                <w:kern w:val="0"/>
                <w:szCs w:val="21"/>
              </w:rPr>
              <w:t>）</w:t>
            </w:r>
          </w:p>
        </w:tc>
        <w:tc>
          <w:tcPr>
            <w:tcW w:w="2110" w:type="dxa"/>
            <w:gridSpan w:val="4"/>
            <w:tcBorders>
              <w:top w:val="single" w:sz="4" w:space="0" w:color="000000"/>
              <w:left w:val="single" w:sz="4" w:space="0" w:color="auto"/>
              <w:bottom w:val="single" w:sz="4" w:space="0" w:color="000000"/>
              <w:right w:val="single" w:sz="12"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 xml:space="preserve">  </w:t>
            </w:r>
            <w:r w:rsidRPr="00F9522B">
              <w:rPr>
                <w:rFonts w:eastAsiaTheme="minorEastAsia"/>
                <w:bCs/>
                <w:kern w:val="0"/>
                <w:szCs w:val="21"/>
              </w:rPr>
              <w:t>包括二次</w:t>
            </w:r>
            <w:r w:rsidRPr="00F9522B">
              <w:rPr>
                <w:rFonts w:eastAsiaTheme="minorEastAsia"/>
                <w:bCs/>
                <w:kern w:val="0"/>
                <w:szCs w:val="21"/>
              </w:rPr>
              <w:t>PM</w:t>
            </w:r>
            <w:r w:rsidRPr="00F9522B">
              <w:rPr>
                <w:rFonts w:eastAsiaTheme="minorEastAsia"/>
                <w:bCs/>
                <w:kern w:val="0"/>
                <w:szCs w:val="21"/>
                <w:vertAlign w:val="subscript"/>
              </w:rPr>
              <w:t>2.5</w:t>
            </w:r>
            <w:r w:rsidRPr="00F9522B">
              <w:rPr>
                <w:rFonts w:eastAsiaTheme="minorEastAsia"/>
                <w:bCs/>
                <w:kern w:val="0"/>
                <w:szCs w:val="21"/>
              </w:rPr>
              <w:t>□</w:t>
            </w:r>
          </w:p>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不包括二次</w:t>
            </w:r>
            <w:r w:rsidRPr="00F9522B">
              <w:rPr>
                <w:rFonts w:eastAsiaTheme="minorEastAsia"/>
                <w:bCs/>
                <w:kern w:val="0"/>
                <w:szCs w:val="21"/>
              </w:rPr>
              <w:t>PM</w:t>
            </w:r>
            <w:r w:rsidRPr="00F9522B">
              <w:rPr>
                <w:rFonts w:eastAsiaTheme="minorEastAsia"/>
                <w:bCs/>
                <w:kern w:val="0"/>
                <w:szCs w:val="21"/>
                <w:vertAlign w:val="subscript"/>
              </w:rPr>
              <w:t>2.5</w:t>
            </w:r>
            <w:r w:rsidRPr="00F9522B">
              <w:rPr>
                <w:rFonts w:eastAsiaTheme="minorEastAsia"/>
                <w:bCs/>
                <w:kern w:val="0"/>
                <w:szCs w:val="21"/>
              </w:rPr>
              <w:t>√</w:t>
            </w:r>
          </w:p>
        </w:tc>
      </w:tr>
      <w:tr w:rsidR="002A5A5E" w:rsidRPr="00F9522B">
        <w:trPr>
          <w:jc w:val="center"/>
        </w:trPr>
        <w:tc>
          <w:tcPr>
            <w:tcW w:w="751" w:type="dxa"/>
            <w:tcBorders>
              <w:top w:val="single" w:sz="4" w:space="0" w:color="000000"/>
              <w:left w:val="single" w:sz="12"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评价标准</w:t>
            </w:r>
          </w:p>
        </w:tc>
        <w:tc>
          <w:tcPr>
            <w:tcW w:w="1798" w:type="dxa"/>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评价标准</w:t>
            </w:r>
          </w:p>
        </w:tc>
        <w:tc>
          <w:tcPr>
            <w:tcW w:w="1227" w:type="dxa"/>
            <w:gridSpan w:val="2"/>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国家标准</w:t>
            </w:r>
            <w:r w:rsidRPr="00F9522B">
              <w:rPr>
                <w:rFonts w:eastAsiaTheme="minorEastAsia"/>
                <w:bCs/>
                <w:kern w:val="0"/>
                <w:szCs w:val="21"/>
              </w:rPr>
              <w:t>√</w:t>
            </w:r>
          </w:p>
        </w:tc>
        <w:tc>
          <w:tcPr>
            <w:tcW w:w="2220" w:type="dxa"/>
            <w:gridSpan w:val="7"/>
            <w:tcBorders>
              <w:top w:val="single" w:sz="4" w:space="0" w:color="000000"/>
              <w:left w:val="single" w:sz="4" w:space="0" w:color="auto"/>
              <w:bottom w:val="single" w:sz="4" w:space="0" w:color="000000"/>
              <w:right w:val="single" w:sz="4" w:space="0" w:color="auto"/>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地方标准</w:t>
            </w:r>
            <w:r w:rsidRPr="00F9522B">
              <w:rPr>
                <w:rFonts w:eastAsiaTheme="minorEastAsia"/>
                <w:bCs/>
                <w:kern w:val="0"/>
                <w:szCs w:val="21"/>
              </w:rPr>
              <w:t>□</w:t>
            </w:r>
          </w:p>
        </w:tc>
        <w:tc>
          <w:tcPr>
            <w:tcW w:w="1732" w:type="dxa"/>
            <w:gridSpan w:val="3"/>
            <w:tcBorders>
              <w:top w:val="single" w:sz="4" w:space="0" w:color="000000"/>
              <w:left w:val="single" w:sz="4" w:space="0" w:color="auto"/>
              <w:bottom w:val="single" w:sz="4" w:space="0" w:color="000000"/>
              <w:right w:val="single" w:sz="4" w:space="0" w:color="auto"/>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附录</w:t>
            </w:r>
            <w:r w:rsidRPr="00F9522B">
              <w:rPr>
                <w:rFonts w:eastAsiaTheme="minorEastAsia"/>
                <w:bCs/>
                <w:kern w:val="0"/>
                <w:szCs w:val="21"/>
              </w:rPr>
              <w:t>D□</w:t>
            </w:r>
          </w:p>
        </w:tc>
        <w:tc>
          <w:tcPr>
            <w:tcW w:w="1512" w:type="dxa"/>
            <w:gridSpan w:val="3"/>
            <w:tcBorders>
              <w:top w:val="single" w:sz="4" w:space="0" w:color="000000"/>
              <w:left w:val="single" w:sz="4" w:space="0" w:color="auto"/>
              <w:bottom w:val="single" w:sz="4" w:space="0" w:color="000000"/>
              <w:right w:val="single" w:sz="12"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其他标准</w:t>
            </w:r>
            <w:r w:rsidRPr="00F9522B">
              <w:rPr>
                <w:rFonts w:eastAsiaTheme="minorEastAsia"/>
                <w:bCs/>
                <w:kern w:val="0"/>
                <w:szCs w:val="21"/>
              </w:rPr>
              <w:t>□</w:t>
            </w:r>
          </w:p>
        </w:tc>
      </w:tr>
      <w:tr w:rsidR="002A5A5E" w:rsidRPr="00F9522B">
        <w:trPr>
          <w:jc w:val="center"/>
        </w:trPr>
        <w:tc>
          <w:tcPr>
            <w:tcW w:w="751" w:type="dxa"/>
            <w:vMerge w:val="restart"/>
            <w:tcBorders>
              <w:top w:val="single" w:sz="4" w:space="0" w:color="000000"/>
              <w:left w:val="single" w:sz="12"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现状评价</w:t>
            </w:r>
          </w:p>
        </w:tc>
        <w:tc>
          <w:tcPr>
            <w:tcW w:w="1798" w:type="dxa"/>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环境功能区</w:t>
            </w:r>
          </w:p>
        </w:tc>
        <w:tc>
          <w:tcPr>
            <w:tcW w:w="1558" w:type="dxa"/>
            <w:gridSpan w:val="5"/>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一类区</w:t>
            </w:r>
            <w:r w:rsidRPr="00F9522B">
              <w:rPr>
                <w:rFonts w:eastAsiaTheme="minorEastAsia"/>
                <w:bCs/>
                <w:kern w:val="0"/>
                <w:szCs w:val="21"/>
              </w:rPr>
              <w:t>□</w:t>
            </w:r>
          </w:p>
        </w:tc>
        <w:tc>
          <w:tcPr>
            <w:tcW w:w="3023" w:type="dxa"/>
            <w:gridSpan w:val="6"/>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二类区</w:t>
            </w:r>
            <w:r w:rsidRPr="00F9522B">
              <w:rPr>
                <w:rFonts w:eastAsiaTheme="minorEastAsia"/>
                <w:bCs/>
                <w:kern w:val="0"/>
                <w:szCs w:val="21"/>
              </w:rPr>
              <w:t>√</w:t>
            </w:r>
          </w:p>
        </w:tc>
        <w:tc>
          <w:tcPr>
            <w:tcW w:w="2110" w:type="dxa"/>
            <w:gridSpan w:val="4"/>
            <w:tcBorders>
              <w:top w:val="single" w:sz="4" w:space="0" w:color="000000"/>
              <w:left w:val="single" w:sz="4" w:space="0" w:color="000000"/>
              <w:bottom w:val="single" w:sz="4" w:space="0" w:color="000000"/>
              <w:right w:val="single" w:sz="12"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一类区和二类区</w:t>
            </w:r>
            <w:r w:rsidRPr="00F9522B">
              <w:rPr>
                <w:rFonts w:eastAsiaTheme="minorEastAsia"/>
                <w:bCs/>
                <w:kern w:val="0"/>
                <w:szCs w:val="21"/>
              </w:rPr>
              <w:t>□</w:t>
            </w:r>
          </w:p>
        </w:tc>
      </w:tr>
      <w:tr w:rsidR="002A5A5E" w:rsidRPr="00F9522B">
        <w:trPr>
          <w:jc w:val="center"/>
        </w:trPr>
        <w:tc>
          <w:tcPr>
            <w:tcW w:w="751" w:type="dxa"/>
            <w:vMerge/>
            <w:tcBorders>
              <w:top w:val="single" w:sz="4" w:space="0" w:color="000000"/>
              <w:left w:val="single" w:sz="12" w:space="0" w:color="000000"/>
              <w:bottom w:val="single" w:sz="4" w:space="0" w:color="000000"/>
              <w:right w:val="single" w:sz="4" w:space="0" w:color="000000"/>
            </w:tcBorders>
            <w:vAlign w:val="center"/>
          </w:tcPr>
          <w:p w:rsidR="002A5A5E" w:rsidRPr="00F9522B" w:rsidRDefault="002A5A5E">
            <w:pPr>
              <w:widowControl/>
              <w:jc w:val="left"/>
              <w:rPr>
                <w:rFonts w:eastAsiaTheme="minorEastAsia"/>
                <w:bCs/>
                <w:kern w:val="0"/>
                <w:szCs w:val="21"/>
              </w:rPr>
            </w:pPr>
          </w:p>
        </w:tc>
        <w:tc>
          <w:tcPr>
            <w:tcW w:w="1798" w:type="dxa"/>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评价基准年</w:t>
            </w:r>
          </w:p>
        </w:tc>
        <w:tc>
          <w:tcPr>
            <w:tcW w:w="6691" w:type="dxa"/>
            <w:gridSpan w:val="15"/>
            <w:tcBorders>
              <w:top w:val="single" w:sz="4" w:space="0" w:color="000000"/>
              <w:left w:val="single" w:sz="4" w:space="0" w:color="000000"/>
              <w:bottom w:val="single" w:sz="4" w:space="0" w:color="000000"/>
              <w:right w:val="single" w:sz="12"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w:t>
            </w:r>
            <w:r w:rsidRPr="00F9522B">
              <w:rPr>
                <w:rFonts w:eastAsiaTheme="minorEastAsia"/>
                <w:bCs/>
                <w:kern w:val="0"/>
                <w:szCs w:val="21"/>
              </w:rPr>
              <w:t>2024</w:t>
            </w:r>
            <w:r w:rsidRPr="00F9522B">
              <w:rPr>
                <w:rFonts w:eastAsiaTheme="minorEastAsia"/>
                <w:bCs/>
                <w:kern w:val="0"/>
                <w:szCs w:val="21"/>
              </w:rPr>
              <w:t>）年</w:t>
            </w:r>
          </w:p>
        </w:tc>
      </w:tr>
      <w:tr w:rsidR="002A5A5E" w:rsidRPr="00F9522B">
        <w:trPr>
          <w:jc w:val="center"/>
        </w:trPr>
        <w:tc>
          <w:tcPr>
            <w:tcW w:w="751" w:type="dxa"/>
            <w:vMerge/>
            <w:tcBorders>
              <w:top w:val="single" w:sz="4" w:space="0" w:color="000000"/>
              <w:left w:val="single" w:sz="12" w:space="0" w:color="000000"/>
              <w:bottom w:val="single" w:sz="4" w:space="0" w:color="000000"/>
              <w:right w:val="single" w:sz="4" w:space="0" w:color="000000"/>
            </w:tcBorders>
            <w:vAlign w:val="center"/>
          </w:tcPr>
          <w:p w:rsidR="002A5A5E" w:rsidRPr="00F9522B" w:rsidRDefault="002A5A5E">
            <w:pPr>
              <w:widowControl/>
              <w:jc w:val="left"/>
              <w:rPr>
                <w:rFonts w:eastAsiaTheme="minorEastAsia"/>
                <w:bCs/>
                <w:kern w:val="0"/>
                <w:szCs w:val="21"/>
              </w:rPr>
            </w:pPr>
          </w:p>
        </w:tc>
        <w:tc>
          <w:tcPr>
            <w:tcW w:w="1798" w:type="dxa"/>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环境空气质量现状调查数据来源</w:t>
            </w:r>
          </w:p>
        </w:tc>
        <w:tc>
          <w:tcPr>
            <w:tcW w:w="1558" w:type="dxa"/>
            <w:gridSpan w:val="5"/>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长期例行监测数据</w:t>
            </w:r>
            <w:r w:rsidRPr="00F9522B">
              <w:rPr>
                <w:rFonts w:eastAsiaTheme="minorEastAsia"/>
                <w:bCs/>
                <w:kern w:val="0"/>
                <w:szCs w:val="21"/>
              </w:rPr>
              <w:t>□</w:t>
            </w:r>
          </w:p>
        </w:tc>
        <w:tc>
          <w:tcPr>
            <w:tcW w:w="3023" w:type="dxa"/>
            <w:gridSpan w:val="6"/>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主管部门发布的数据</w:t>
            </w:r>
            <w:r w:rsidRPr="00F9522B">
              <w:rPr>
                <w:rFonts w:eastAsiaTheme="minorEastAsia"/>
                <w:bCs/>
                <w:kern w:val="0"/>
                <w:szCs w:val="21"/>
              </w:rPr>
              <w:t>√</w:t>
            </w:r>
          </w:p>
        </w:tc>
        <w:tc>
          <w:tcPr>
            <w:tcW w:w="2110" w:type="dxa"/>
            <w:gridSpan w:val="4"/>
            <w:tcBorders>
              <w:top w:val="single" w:sz="4" w:space="0" w:color="000000"/>
              <w:left w:val="single" w:sz="4" w:space="0" w:color="000000"/>
              <w:bottom w:val="single" w:sz="4" w:space="0" w:color="000000"/>
              <w:right w:val="single" w:sz="12"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现状补充监测</w:t>
            </w:r>
            <w:r w:rsidRPr="00F9522B">
              <w:rPr>
                <w:rFonts w:eastAsiaTheme="minorEastAsia"/>
                <w:bCs/>
                <w:kern w:val="0"/>
                <w:szCs w:val="21"/>
              </w:rPr>
              <w:t>√</w:t>
            </w:r>
          </w:p>
        </w:tc>
      </w:tr>
      <w:tr w:rsidR="002A5A5E" w:rsidRPr="00F9522B">
        <w:trPr>
          <w:jc w:val="center"/>
        </w:trPr>
        <w:tc>
          <w:tcPr>
            <w:tcW w:w="751" w:type="dxa"/>
            <w:vMerge/>
            <w:tcBorders>
              <w:top w:val="single" w:sz="4" w:space="0" w:color="000000"/>
              <w:left w:val="single" w:sz="12" w:space="0" w:color="000000"/>
              <w:bottom w:val="single" w:sz="4" w:space="0" w:color="000000"/>
              <w:right w:val="single" w:sz="4" w:space="0" w:color="000000"/>
            </w:tcBorders>
            <w:vAlign w:val="center"/>
          </w:tcPr>
          <w:p w:rsidR="002A5A5E" w:rsidRPr="00F9522B" w:rsidRDefault="002A5A5E">
            <w:pPr>
              <w:widowControl/>
              <w:jc w:val="left"/>
              <w:rPr>
                <w:rFonts w:eastAsiaTheme="minorEastAsia"/>
                <w:bCs/>
                <w:kern w:val="0"/>
                <w:szCs w:val="21"/>
              </w:rPr>
            </w:pPr>
          </w:p>
        </w:tc>
        <w:tc>
          <w:tcPr>
            <w:tcW w:w="1798" w:type="dxa"/>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现状评价</w:t>
            </w:r>
          </w:p>
        </w:tc>
        <w:tc>
          <w:tcPr>
            <w:tcW w:w="3447" w:type="dxa"/>
            <w:gridSpan w:val="9"/>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达标区</w:t>
            </w:r>
            <w:r w:rsidRPr="00F9522B">
              <w:rPr>
                <w:rFonts w:eastAsiaTheme="minorEastAsia"/>
                <w:bCs/>
                <w:kern w:val="0"/>
                <w:szCs w:val="21"/>
              </w:rPr>
              <w:t>□</w:t>
            </w:r>
          </w:p>
        </w:tc>
        <w:tc>
          <w:tcPr>
            <w:tcW w:w="3244" w:type="dxa"/>
            <w:gridSpan w:val="6"/>
            <w:tcBorders>
              <w:top w:val="single" w:sz="4" w:space="0" w:color="000000"/>
              <w:left w:val="single" w:sz="4" w:space="0" w:color="auto"/>
              <w:bottom w:val="single" w:sz="4" w:space="0" w:color="000000"/>
              <w:right w:val="single" w:sz="12"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不达标区</w:t>
            </w:r>
            <w:r w:rsidRPr="00F9522B">
              <w:rPr>
                <w:rFonts w:eastAsiaTheme="minorEastAsia"/>
                <w:bCs/>
                <w:kern w:val="0"/>
                <w:szCs w:val="21"/>
              </w:rPr>
              <w:t>√</w:t>
            </w:r>
          </w:p>
        </w:tc>
      </w:tr>
      <w:tr w:rsidR="002A5A5E" w:rsidRPr="00F9522B">
        <w:trPr>
          <w:jc w:val="center"/>
        </w:trPr>
        <w:tc>
          <w:tcPr>
            <w:tcW w:w="751" w:type="dxa"/>
            <w:tcBorders>
              <w:top w:val="single" w:sz="4" w:space="0" w:color="000000"/>
              <w:left w:val="single" w:sz="12"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污染源调查</w:t>
            </w:r>
          </w:p>
        </w:tc>
        <w:tc>
          <w:tcPr>
            <w:tcW w:w="1798" w:type="dxa"/>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调查内容</w:t>
            </w:r>
          </w:p>
        </w:tc>
        <w:tc>
          <w:tcPr>
            <w:tcW w:w="1604" w:type="dxa"/>
            <w:gridSpan w:val="6"/>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本项目正常排放源</w:t>
            </w:r>
            <w:r w:rsidRPr="00F9522B">
              <w:rPr>
                <w:rFonts w:eastAsiaTheme="minorEastAsia"/>
                <w:bCs/>
                <w:kern w:val="0"/>
                <w:szCs w:val="21"/>
              </w:rPr>
              <w:t>√</w:t>
            </w:r>
          </w:p>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本项目非正常排放源</w:t>
            </w:r>
            <w:r w:rsidRPr="00F9522B">
              <w:rPr>
                <w:rFonts w:eastAsiaTheme="minorEastAsia"/>
                <w:bCs/>
                <w:kern w:val="0"/>
                <w:szCs w:val="21"/>
              </w:rPr>
              <w:t>□</w:t>
            </w:r>
          </w:p>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现有污染源</w:t>
            </w:r>
            <w:r w:rsidRPr="00F9522B">
              <w:rPr>
                <w:rFonts w:eastAsiaTheme="minorEastAsia"/>
                <w:bCs/>
                <w:kern w:val="0"/>
                <w:szCs w:val="21"/>
              </w:rPr>
              <w:t>□</w:t>
            </w:r>
          </w:p>
        </w:tc>
        <w:tc>
          <w:tcPr>
            <w:tcW w:w="1843" w:type="dxa"/>
            <w:gridSpan w:val="3"/>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拟替代的污染源</w:t>
            </w:r>
            <w:r w:rsidRPr="00F9522B">
              <w:rPr>
                <w:rFonts w:eastAsiaTheme="minorEastAsia"/>
                <w:bCs/>
                <w:kern w:val="0"/>
                <w:szCs w:val="21"/>
              </w:rPr>
              <w:t>□</w:t>
            </w:r>
          </w:p>
        </w:tc>
        <w:tc>
          <w:tcPr>
            <w:tcW w:w="1874" w:type="dxa"/>
            <w:gridSpan w:val="4"/>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其他在建、拟建项目污染源</w:t>
            </w:r>
            <w:r w:rsidRPr="00F9522B">
              <w:rPr>
                <w:rFonts w:eastAsiaTheme="minorEastAsia"/>
                <w:bCs/>
                <w:kern w:val="0"/>
                <w:szCs w:val="21"/>
              </w:rPr>
              <w:t>□</w:t>
            </w:r>
          </w:p>
        </w:tc>
        <w:tc>
          <w:tcPr>
            <w:tcW w:w="1370" w:type="dxa"/>
            <w:gridSpan w:val="2"/>
            <w:tcBorders>
              <w:top w:val="single" w:sz="4" w:space="0" w:color="000000"/>
              <w:left w:val="single" w:sz="4" w:space="0" w:color="000000"/>
              <w:bottom w:val="single" w:sz="4" w:space="0" w:color="000000"/>
              <w:right w:val="single" w:sz="12"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区域污染源</w:t>
            </w:r>
            <w:r w:rsidRPr="00F9522B">
              <w:rPr>
                <w:rFonts w:eastAsiaTheme="minorEastAsia"/>
                <w:bCs/>
                <w:kern w:val="0"/>
                <w:szCs w:val="21"/>
              </w:rPr>
              <w:t>□</w:t>
            </w:r>
          </w:p>
        </w:tc>
      </w:tr>
      <w:tr w:rsidR="002A5A5E" w:rsidRPr="00F9522B">
        <w:trPr>
          <w:jc w:val="center"/>
        </w:trPr>
        <w:tc>
          <w:tcPr>
            <w:tcW w:w="751" w:type="dxa"/>
            <w:vMerge w:val="restart"/>
            <w:tcBorders>
              <w:top w:val="single" w:sz="4" w:space="0" w:color="000000"/>
              <w:left w:val="single" w:sz="12"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大气环境影响预测与评价</w:t>
            </w:r>
          </w:p>
        </w:tc>
        <w:tc>
          <w:tcPr>
            <w:tcW w:w="1798" w:type="dxa"/>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预测模型</w:t>
            </w:r>
          </w:p>
        </w:tc>
        <w:tc>
          <w:tcPr>
            <w:tcW w:w="940" w:type="dxa"/>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AERMOD□</w:t>
            </w:r>
          </w:p>
        </w:tc>
        <w:tc>
          <w:tcPr>
            <w:tcW w:w="664" w:type="dxa"/>
            <w:gridSpan w:val="5"/>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ADMS□</w:t>
            </w:r>
          </w:p>
        </w:tc>
        <w:tc>
          <w:tcPr>
            <w:tcW w:w="1041" w:type="dxa"/>
            <w:gridSpan w:val="2"/>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AUSTAL2000□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EDMS/AEDT□</w:t>
            </w:r>
          </w:p>
        </w:tc>
        <w:tc>
          <w:tcPr>
            <w:tcW w:w="802" w:type="dxa"/>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CALPUFF□</w:t>
            </w:r>
          </w:p>
        </w:tc>
        <w:tc>
          <w:tcPr>
            <w:tcW w:w="1027" w:type="dxa"/>
            <w:gridSpan w:val="3"/>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网格模型</w:t>
            </w:r>
            <w:r w:rsidRPr="00F9522B">
              <w:rPr>
                <w:rFonts w:eastAsiaTheme="minorEastAsia"/>
                <w:bCs/>
                <w:kern w:val="0"/>
                <w:szCs w:val="21"/>
              </w:rPr>
              <w:t>□</w:t>
            </w:r>
          </w:p>
        </w:tc>
        <w:tc>
          <w:tcPr>
            <w:tcW w:w="1083" w:type="dxa"/>
            <w:tcBorders>
              <w:top w:val="single" w:sz="4" w:space="0" w:color="000000"/>
              <w:left w:val="single" w:sz="4" w:space="0" w:color="000000"/>
              <w:bottom w:val="single" w:sz="4" w:space="0" w:color="000000"/>
              <w:right w:val="single" w:sz="12"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其他</w:t>
            </w:r>
            <w:r w:rsidRPr="00F9522B">
              <w:rPr>
                <w:rFonts w:eastAsiaTheme="minorEastAsia"/>
                <w:bCs/>
                <w:kern w:val="0"/>
                <w:szCs w:val="21"/>
              </w:rPr>
              <w:t>□</w:t>
            </w:r>
          </w:p>
        </w:tc>
      </w:tr>
      <w:tr w:rsidR="002A5A5E" w:rsidRPr="00F9522B">
        <w:trPr>
          <w:jc w:val="center"/>
        </w:trPr>
        <w:tc>
          <w:tcPr>
            <w:tcW w:w="751" w:type="dxa"/>
            <w:vMerge/>
            <w:tcBorders>
              <w:top w:val="single" w:sz="4" w:space="0" w:color="000000"/>
              <w:left w:val="single" w:sz="12" w:space="0" w:color="000000"/>
              <w:bottom w:val="single" w:sz="4" w:space="0" w:color="000000"/>
              <w:right w:val="single" w:sz="4" w:space="0" w:color="000000"/>
            </w:tcBorders>
            <w:vAlign w:val="center"/>
          </w:tcPr>
          <w:p w:rsidR="002A5A5E" w:rsidRPr="00F9522B" w:rsidRDefault="002A5A5E">
            <w:pPr>
              <w:widowControl/>
              <w:jc w:val="left"/>
              <w:rPr>
                <w:rFonts w:eastAsiaTheme="minorEastAsia"/>
                <w:bCs/>
                <w:kern w:val="0"/>
                <w:szCs w:val="21"/>
              </w:rPr>
            </w:pPr>
          </w:p>
        </w:tc>
        <w:tc>
          <w:tcPr>
            <w:tcW w:w="1798" w:type="dxa"/>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预测范围</w:t>
            </w:r>
          </w:p>
        </w:tc>
        <w:tc>
          <w:tcPr>
            <w:tcW w:w="1604" w:type="dxa"/>
            <w:gridSpan w:val="6"/>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边长</w:t>
            </w:r>
            <w:r w:rsidRPr="00F9522B">
              <w:rPr>
                <w:rFonts w:eastAsiaTheme="minorEastAsia"/>
                <w:bCs/>
                <w:kern w:val="0"/>
                <w:szCs w:val="21"/>
              </w:rPr>
              <w:t>≥50km□</w:t>
            </w:r>
          </w:p>
        </w:tc>
        <w:tc>
          <w:tcPr>
            <w:tcW w:w="2977" w:type="dxa"/>
            <w:gridSpan w:val="5"/>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边长</w:t>
            </w:r>
            <w:r w:rsidRPr="00F9522B">
              <w:rPr>
                <w:rFonts w:eastAsiaTheme="minorEastAsia"/>
                <w:bCs/>
                <w:kern w:val="0"/>
                <w:szCs w:val="21"/>
              </w:rPr>
              <w:t>5~50km□</w:t>
            </w:r>
          </w:p>
        </w:tc>
        <w:tc>
          <w:tcPr>
            <w:tcW w:w="2110" w:type="dxa"/>
            <w:gridSpan w:val="4"/>
            <w:tcBorders>
              <w:top w:val="single" w:sz="4" w:space="0" w:color="000000"/>
              <w:left w:val="single" w:sz="4" w:space="0" w:color="000000"/>
              <w:bottom w:val="single" w:sz="4" w:space="0" w:color="000000"/>
              <w:right w:val="single" w:sz="12"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边长</w:t>
            </w:r>
            <w:r w:rsidRPr="00F9522B">
              <w:rPr>
                <w:rFonts w:eastAsiaTheme="minorEastAsia"/>
                <w:bCs/>
                <w:kern w:val="0"/>
                <w:szCs w:val="21"/>
              </w:rPr>
              <w:t>=5km□</w:t>
            </w:r>
          </w:p>
        </w:tc>
      </w:tr>
      <w:tr w:rsidR="002A5A5E" w:rsidRPr="00F9522B">
        <w:trPr>
          <w:jc w:val="center"/>
        </w:trPr>
        <w:tc>
          <w:tcPr>
            <w:tcW w:w="751" w:type="dxa"/>
            <w:vMerge/>
            <w:tcBorders>
              <w:top w:val="single" w:sz="4" w:space="0" w:color="000000"/>
              <w:left w:val="single" w:sz="12" w:space="0" w:color="000000"/>
              <w:bottom w:val="single" w:sz="4" w:space="0" w:color="000000"/>
              <w:right w:val="single" w:sz="4" w:space="0" w:color="000000"/>
            </w:tcBorders>
            <w:vAlign w:val="center"/>
          </w:tcPr>
          <w:p w:rsidR="002A5A5E" w:rsidRPr="00F9522B" w:rsidRDefault="002A5A5E">
            <w:pPr>
              <w:widowControl/>
              <w:jc w:val="left"/>
              <w:rPr>
                <w:rFonts w:eastAsiaTheme="minorEastAsia"/>
                <w:bCs/>
                <w:kern w:val="0"/>
                <w:szCs w:val="21"/>
              </w:rPr>
            </w:pPr>
          </w:p>
        </w:tc>
        <w:tc>
          <w:tcPr>
            <w:tcW w:w="1798" w:type="dxa"/>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预测因子</w:t>
            </w:r>
          </w:p>
        </w:tc>
        <w:tc>
          <w:tcPr>
            <w:tcW w:w="3447" w:type="dxa"/>
            <w:gridSpan w:val="9"/>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预测因子（）</w:t>
            </w:r>
          </w:p>
        </w:tc>
        <w:tc>
          <w:tcPr>
            <w:tcW w:w="3244" w:type="dxa"/>
            <w:gridSpan w:val="6"/>
            <w:tcBorders>
              <w:top w:val="single" w:sz="4" w:space="0" w:color="000000"/>
              <w:left w:val="single" w:sz="4" w:space="0" w:color="auto"/>
              <w:bottom w:val="single" w:sz="4" w:space="0" w:color="000000"/>
              <w:right w:val="single" w:sz="12"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 xml:space="preserve">  </w:t>
            </w:r>
            <w:r w:rsidRPr="00F9522B">
              <w:rPr>
                <w:rFonts w:eastAsiaTheme="minorEastAsia"/>
                <w:bCs/>
                <w:kern w:val="0"/>
                <w:szCs w:val="21"/>
              </w:rPr>
              <w:t>包括二次</w:t>
            </w:r>
            <w:r w:rsidRPr="00F9522B">
              <w:rPr>
                <w:rFonts w:eastAsiaTheme="minorEastAsia"/>
                <w:bCs/>
                <w:kern w:val="0"/>
                <w:szCs w:val="21"/>
              </w:rPr>
              <w:t>PM</w:t>
            </w:r>
            <w:r w:rsidRPr="00F9522B">
              <w:rPr>
                <w:rFonts w:eastAsiaTheme="minorEastAsia"/>
                <w:bCs/>
                <w:kern w:val="0"/>
                <w:szCs w:val="21"/>
                <w:vertAlign w:val="subscript"/>
              </w:rPr>
              <w:t>2.5</w:t>
            </w:r>
            <w:r w:rsidRPr="00F9522B">
              <w:rPr>
                <w:rFonts w:eastAsiaTheme="minorEastAsia"/>
                <w:bCs/>
                <w:kern w:val="0"/>
                <w:szCs w:val="21"/>
              </w:rPr>
              <w:t>□</w:t>
            </w:r>
          </w:p>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不包括二次</w:t>
            </w:r>
            <w:r w:rsidRPr="00F9522B">
              <w:rPr>
                <w:rFonts w:eastAsiaTheme="minorEastAsia"/>
                <w:bCs/>
                <w:kern w:val="0"/>
                <w:szCs w:val="21"/>
              </w:rPr>
              <w:t>PM</w:t>
            </w:r>
            <w:r w:rsidRPr="00F9522B">
              <w:rPr>
                <w:rFonts w:eastAsiaTheme="minorEastAsia"/>
                <w:bCs/>
                <w:kern w:val="0"/>
                <w:szCs w:val="21"/>
                <w:vertAlign w:val="subscript"/>
              </w:rPr>
              <w:t>2.5</w:t>
            </w:r>
            <w:r w:rsidRPr="00F9522B">
              <w:rPr>
                <w:rFonts w:eastAsiaTheme="minorEastAsia"/>
                <w:bCs/>
                <w:kern w:val="0"/>
                <w:szCs w:val="21"/>
              </w:rPr>
              <w:t>□</w:t>
            </w:r>
          </w:p>
        </w:tc>
      </w:tr>
      <w:tr w:rsidR="002A5A5E" w:rsidRPr="00F9522B">
        <w:trPr>
          <w:jc w:val="center"/>
        </w:trPr>
        <w:tc>
          <w:tcPr>
            <w:tcW w:w="751" w:type="dxa"/>
            <w:vMerge/>
            <w:tcBorders>
              <w:top w:val="single" w:sz="4" w:space="0" w:color="000000"/>
              <w:left w:val="single" w:sz="12" w:space="0" w:color="000000"/>
              <w:bottom w:val="single" w:sz="4" w:space="0" w:color="000000"/>
              <w:right w:val="single" w:sz="4" w:space="0" w:color="000000"/>
            </w:tcBorders>
            <w:vAlign w:val="center"/>
          </w:tcPr>
          <w:p w:rsidR="002A5A5E" w:rsidRPr="00F9522B" w:rsidRDefault="002A5A5E">
            <w:pPr>
              <w:widowControl/>
              <w:jc w:val="left"/>
              <w:rPr>
                <w:rFonts w:eastAsiaTheme="minorEastAsia"/>
                <w:bCs/>
                <w:kern w:val="0"/>
                <w:szCs w:val="21"/>
              </w:rPr>
            </w:pPr>
          </w:p>
        </w:tc>
        <w:tc>
          <w:tcPr>
            <w:tcW w:w="1798" w:type="dxa"/>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正常排放短期浓度贡献值</w:t>
            </w:r>
          </w:p>
        </w:tc>
        <w:tc>
          <w:tcPr>
            <w:tcW w:w="3447" w:type="dxa"/>
            <w:gridSpan w:val="9"/>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C</w:t>
            </w:r>
            <w:r w:rsidRPr="00F9522B">
              <w:rPr>
                <w:rFonts w:eastAsiaTheme="minorEastAsia"/>
                <w:bCs/>
                <w:kern w:val="0"/>
                <w:szCs w:val="21"/>
                <w:vertAlign w:val="subscript"/>
              </w:rPr>
              <w:t>本项目</w:t>
            </w:r>
            <w:r w:rsidRPr="00F9522B">
              <w:rPr>
                <w:rFonts w:eastAsiaTheme="minorEastAsia"/>
                <w:bCs/>
                <w:kern w:val="0"/>
                <w:szCs w:val="21"/>
              </w:rPr>
              <w:t>最大占标率</w:t>
            </w:r>
            <w:r w:rsidRPr="00F9522B">
              <w:rPr>
                <w:rFonts w:eastAsiaTheme="minorEastAsia"/>
                <w:bCs/>
                <w:kern w:val="0"/>
                <w:szCs w:val="21"/>
              </w:rPr>
              <w:t>≤100%□</w:t>
            </w:r>
          </w:p>
        </w:tc>
        <w:tc>
          <w:tcPr>
            <w:tcW w:w="3244" w:type="dxa"/>
            <w:gridSpan w:val="6"/>
            <w:tcBorders>
              <w:top w:val="single" w:sz="4" w:space="0" w:color="000000"/>
              <w:left w:val="single" w:sz="4" w:space="0" w:color="auto"/>
              <w:bottom w:val="single" w:sz="4" w:space="0" w:color="000000"/>
              <w:right w:val="single" w:sz="12"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C</w:t>
            </w:r>
            <w:r w:rsidRPr="00F9522B">
              <w:rPr>
                <w:rFonts w:eastAsiaTheme="minorEastAsia"/>
                <w:bCs/>
                <w:kern w:val="0"/>
                <w:szCs w:val="21"/>
                <w:vertAlign w:val="subscript"/>
              </w:rPr>
              <w:t>本项目</w:t>
            </w:r>
            <w:r w:rsidRPr="00F9522B">
              <w:rPr>
                <w:rFonts w:eastAsiaTheme="minorEastAsia"/>
                <w:bCs/>
                <w:kern w:val="0"/>
                <w:szCs w:val="21"/>
              </w:rPr>
              <w:t>最大占标率</w:t>
            </w:r>
            <w:r w:rsidRPr="00F9522B">
              <w:rPr>
                <w:rFonts w:eastAsiaTheme="minorEastAsia"/>
                <w:bCs/>
                <w:kern w:val="0"/>
                <w:szCs w:val="21"/>
              </w:rPr>
              <w:t>&gt;100%□</w:t>
            </w:r>
          </w:p>
        </w:tc>
      </w:tr>
      <w:tr w:rsidR="002A5A5E" w:rsidRPr="00F9522B">
        <w:trPr>
          <w:jc w:val="center"/>
        </w:trPr>
        <w:tc>
          <w:tcPr>
            <w:tcW w:w="751" w:type="dxa"/>
            <w:vMerge/>
            <w:tcBorders>
              <w:top w:val="single" w:sz="4" w:space="0" w:color="000000"/>
              <w:left w:val="single" w:sz="12" w:space="0" w:color="000000"/>
              <w:bottom w:val="single" w:sz="4" w:space="0" w:color="000000"/>
              <w:right w:val="single" w:sz="4" w:space="0" w:color="000000"/>
            </w:tcBorders>
            <w:vAlign w:val="center"/>
          </w:tcPr>
          <w:p w:rsidR="002A5A5E" w:rsidRPr="00F9522B" w:rsidRDefault="002A5A5E">
            <w:pPr>
              <w:widowControl/>
              <w:jc w:val="left"/>
              <w:rPr>
                <w:rFonts w:eastAsiaTheme="minorEastAsia"/>
                <w:bCs/>
                <w:kern w:val="0"/>
                <w:szCs w:val="21"/>
              </w:rPr>
            </w:pPr>
          </w:p>
        </w:tc>
        <w:tc>
          <w:tcPr>
            <w:tcW w:w="1798" w:type="dxa"/>
            <w:vMerge w:val="restart"/>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正常排放年均浓度贡献值</w:t>
            </w:r>
          </w:p>
        </w:tc>
        <w:tc>
          <w:tcPr>
            <w:tcW w:w="940" w:type="dxa"/>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一类区</w:t>
            </w:r>
          </w:p>
        </w:tc>
        <w:tc>
          <w:tcPr>
            <w:tcW w:w="2507" w:type="dxa"/>
            <w:gridSpan w:val="8"/>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C</w:t>
            </w:r>
            <w:r w:rsidRPr="00F9522B">
              <w:rPr>
                <w:rFonts w:eastAsiaTheme="minorEastAsia"/>
                <w:bCs/>
                <w:kern w:val="0"/>
                <w:szCs w:val="21"/>
                <w:vertAlign w:val="subscript"/>
              </w:rPr>
              <w:t>本项目</w:t>
            </w:r>
            <w:r w:rsidRPr="00F9522B">
              <w:rPr>
                <w:rFonts w:eastAsiaTheme="minorEastAsia"/>
                <w:bCs/>
                <w:kern w:val="0"/>
                <w:szCs w:val="21"/>
              </w:rPr>
              <w:t>最大占标率</w:t>
            </w:r>
            <w:r w:rsidRPr="00F9522B">
              <w:rPr>
                <w:rFonts w:eastAsiaTheme="minorEastAsia"/>
                <w:bCs/>
                <w:kern w:val="0"/>
                <w:szCs w:val="21"/>
              </w:rPr>
              <w:t>≤10%□</w:t>
            </w:r>
          </w:p>
        </w:tc>
        <w:tc>
          <w:tcPr>
            <w:tcW w:w="3244" w:type="dxa"/>
            <w:gridSpan w:val="6"/>
            <w:tcBorders>
              <w:top w:val="single" w:sz="4" w:space="0" w:color="000000"/>
              <w:left w:val="single" w:sz="4" w:space="0" w:color="000000"/>
              <w:bottom w:val="single" w:sz="4" w:space="0" w:color="000000"/>
              <w:right w:val="single" w:sz="12"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C</w:t>
            </w:r>
            <w:r w:rsidRPr="00F9522B">
              <w:rPr>
                <w:rFonts w:eastAsiaTheme="minorEastAsia"/>
                <w:bCs/>
                <w:kern w:val="0"/>
                <w:szCs w:val="21"/>
                <w:vertAlign w:val="subscript"/>
              </w:rPr>
              <w:t>本项目</w:t>
            </w:r>
            <w:r w:rsidRPr="00F9522B">
              <w:rPr>
                <w:rFonts w:eastAsiaTheme="minorEastAsia"/>
                <w:bCs/>
                <w:kern w:val="0"/>
                <w:szCs w:val="21"/>
              </w:rPr>
              <w:t>最大占标率</w:t>
            </w:r>
            <w:r w:rsidRPr="00F9522B">
              <w:rPr>
                <w:rFonts w:eastAsiaTheme="minorEastAsia"/>
                <w:bCs/>
                <w:kern w:val="0"/>
                <w:szCs w:val="21"/>
              </w:rPr>
              <w:t>&gt;10%□</w:t>
            </w:r>
          </w:p>
        </w:tc>
      </w:tr>
      <w:tr w:rsidR="002A5A5E" w:rsidRPr="00F9522B">
        <w:trPr>
          <w:jc w:val="center"/>
        </w:trPr>
        <w:tc>
          <w:tcPr>
            <w:tcW w:w="751" w:type="dxa"/>
            <w:vMerge/>
            <w:tcBorders>
              <w:top w:val="single" w:sz="4" w:space="0" w:color="000000"/>
              <w:left w:val="single" w:sz="12" w:space="0" w:color="000000"/>
              <w:bottom w:val="single" w:sz="4" w:space="0" w:color="000000"/>
              <w:right w:val="single" w:sz="4" w:space="0" w:color="000000"/>
            </w:tcBorders>
            <w:vAlign w:val="center"/>
          </w:tcPr>
          <w:p w:rsidR="002A5A5E" w:rsidRPr="00F9522B" w:rsidRDefault="002A5A5E">
            <w:pPr>
              <w:widowControl/>
              <w:jc w:val="left"/>
              <w:rPr>
                <w:rFonts w:eastAsiaTheme="minorEastAsia"/>
                <w:bCs/>
                <w:kern w:val="0"/>
                <w:szCs w:val="21"/>
              </w:rPr>
            </w:pPr>
          </w:p>
        </w:tc>
        <w:tc>
          <w:tcPr>
            <w:tcW w:w="1798" w:type="dxa"/>
            <w:vMerge/>
            <w:tcBorders>
              <w:top w:val="single" w:sz="4" w:space="0" w:color="000000"/>
              <w:left w:val="single" w:sz="4" w:space="0" w:color="000000"/>
              <w:bottom w:val="single" w:sz="4" w:space="0" w:color="000000"/>
              <w:right w:val="single" w:sz="4" w:space="0" w:color="000000"/>
            </w:tcBorders>
            <w:vAlign w:val="center"/>
          </w:tcPr>
          <w:p w:rsidR="002A5A5E" w:rsidRPr="00F9522B" w:rsidRDefault="002A5A5E">
            <w:pPr>
              <w:widowControl/>
              <w:jc w:val="left"/>
              <w:rPr>
                <w:rFonts w:eastAsiaTheme="minorEastAsia"/>
                <w:bCs/>
                <w:kern w:val="0"/>
                <w:szCs w:val="21"/>
              </w:rPr>
            </w:pPr>
          </w:p>
        </w:tc>
        <w:tc>
          <w:tcPr>
            <w:tcW w:w="940" w:type="dxa"/>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二类区</w:t>
            </w:r>
          </w:p>
        </w:tc>
        <w:tc>
          <w:tcPr>
            <w:tcW w:w="2507" w:type="dxa"/>
            <w:gridSpan w:val="8"/>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C</w:t>
            </w:r>
            <w:r w:rsidRPr="00F9522B">
              <w:rPr>
                <w:rFonts w:eastAsiaTheme="minorEastAsia"/>
                <w:bCs/>
                <w:kern w:val="0"/>
                <w:szCs w:val="21"/>
                <w:vertAlign w:val="subscript"/>
              </w:rPr>
              <w:t>本项目</w:t>
            </w:r>
            <w:r w:rsidRPr="00F9522B">
              <w:rPr>
                <w:rFonts w:eastAsiaTheme="minorEastAsia"/>
                <w:bCs/>
                <w:kern w:val="0"/>
                <w:szCs w:val="21"/>
              </w:rPr>
              <w:t>最大占标率</w:t>
            </w:r>
            <w:r w:rsidRPr="00F9522B">
              <w:rPr>
                <w:rFonts w:eastAsiaTheme="minorEastAsia"/>
                <w:bCs/>
                <w:kern w:val="0"/>
                <w:szCs w:val="21"/>
              </w:rPr>
              <w:t>≤30%□</w:t>
            </w:r>
          </w:p>
        </w:tc>
        <w:tc>
          <w:tcPr>
            <w:tcW w:w="3244" w:type="dxa"/>
            <w:gridSpan w:val="6"/>
            <w:tcBorders>
              <w:top w:val="single" w:sz="4" w:space="0" w:color="000000"/>
              <w:left w:val="single" w:sz="4" w:space="0" w:color="000000"/>
              <w:bottom w:val="single" w:sz="4" w:space="0" w:color="000000"/>
              <w:right w:val="single" w:sz="12"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C</w:t>
            </w:r>
            <w:r w:rsidRPr="00F9522B">
              <w:rPr>
                <w:rFonts w:eastAsiaTheme="minorEastAsia"/>
                <w:bCs/>
                <w:kern w:val="0"/>
                <w:szCs w:val="21"/>
                <w:vertAlign w:val="subscript"/>
              </w:rPr>
              <w:t>本项目</w:t>
            </w:r>
            <w:r w:rsidRPr="00F9522B">
              <w:rPr>
                <w:rFonts w:eastAsiaTheme="minorEastAsia"/>
                <w:bCs/>
                <w:kern w:val="0"/>
                <w:szCs w:val="21"/>
              </w:rPr>
              <w:t>最大占标率</w:t>
            </w:r>
            <w:r w:rsidRPr="00F9522B">
              <w:rPr>
                <w:rFonts w:eastAsiaTheme="minorEastAsia"/>
                <w:bCs/>
                <w:kern w:val="0"/>
                <w:szCs w:val="21"/>
              </w:rPr>
              <w:t>&gt;30%□</w:t>
            </w:r>
          </w:p>
        </w:tc>
      </w:tr>
      <w:tr w:rsidR="002A5A5E" w:rsidRPr="00F9522B">
        <w:trPr>
          <w:jc w:val="center"/>
        </w:trPr>
        <w:tc>
          <w:tcPr>
            <w:tcW w:w="751" w:type="dxa"/>
            <w:vMerge/>
            <w:tcBorders>
              <w:top w:val="single" w:sz="4" w:space="0" w:color="000000"/>
              <w:left w:val="single" w:sz="12" w:space="0" w:color="000000"/>
              <w:bottom w:val="single" w:sz="4" w:space="0" w:color="000000"/>
              <w:right w:val="single" w:sz="4" w:space="0" w:color="000000"/>
            </w:tcBorders>
            <w:vAlign w:val="center"/>
          </w:tcPr>
          <w:p w:rsidR="002A5A5E" w:rsidRPr="00F9522B" w:rsidRDefault="002A5A5E">
            <w:pPr>
              <w:widowControl/>
              <w:jc w:val="left"/>
              <w:rPr>
                <w:rFonts w:eastAsiaTheme="minorEastAsia"/>
                <w:bCs/>
                <w:kern w:val="0"/>
                <w:szCs w:val="21"/>
              </w:rPr>
            </w:pPr>
          </w:p>
        </w:tc>
        <w:tc>
          <w:tcPr>
            <w:tcW w:w="1798" w:type="dxa"/>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非正常排放</w:t>
            </w:r>
            <w:r w:rsidRPr="00F9522B">
              <w:rPr>
                <w:rFonts w:eastAsiaTheme="minorEastAsia"/>
                <w:bCs/>
                <w:kern w:val="0"/>
                <w:szCs w:val="21"/>
              </w:rPr>
              <w:t>1h</w:t>
            </w:r>
            <w:r w:rsidRPr="00F9522B">
              <w:rPr>
                <w:rFonts w:eastAsiaTheme="minorEastAsia"/>
                <w:bCs/>
                <w:kern w:val="0"/>
                <w:szCs w:val="21"/>
              </w:rPr>
              <w:t>浓度贡献值</w:t>
            </w:r>
          </w:p>
        </w:tc>
        <w:tc>
          <w:tcPr>
            <w:tcW w:w="1361" w:type="dxa"/>
            <w:gridSpan w:val="3"/>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非正常持续时长（）</w:t>
            </w:r>
            <w:r w:rsidRPr="00F9522B">
              <w:rPr>
                <w:rFonts w:eastAsiaTheme="minorEastAsia"/>
                <w:bCs/>
                <w:kern w:val="0"/>
                <w:szCs w:val="21"/>
              </w:rPr>
              <w:t>h</w:t>
            </w:r>
          </w:p>
        </w:tc>
        <w:tc>
          <w:tcPr>
            <w:tcW w:w="2086" w:type="dxa"/>
            <w:gridSpan w:val="6"/>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C</w:t>
            </w:r>
            <w:r w:rsidRPr="00F9522B">
              <w:rPr>
                <w:rFonts w:eastAsiaTheme="minorEastAsia"/>
                <w:bCs/>
                <w:kern w:val="0"/>
                <w:szCs w:val="21"/>
                <w:vertAlign w:val="subscript"/>
              </w:rPr>
              <w:t>非正常</w:t>
            </w:r>
            <w:r w:rsidRPr="00F9522B">
              <w:rPr>
                <w:rFonts w:eastAsiaTheme="minorEastAsia"/>
                <w:bCs/>
                <w:kern w:val="0"/>
                <w:szCs w:val="21"/>
              </w:rPr>
              <w:t>占标率</w:t>
            </w:r>
            <w:r w:rsidRPr="00F9522B">
              <w:rPr>
                <w:rFonts w:eastAsiaTheme="minorEastAsia"/>
                <w:bCs/>
                <w:kern w:val="0"/>
                <w:szCs w:val="21"/>
              </w:rPr>
              <w:t>≤100%□</w:t>
            </w:r>
          </w:p>
        </w:tc>
        <w:tc>
          <w:tcPr>
            <w:tcW w:w="3244" w:type="dxa"/>
            <w:gridSpan w:val="6"/>
            <w:tcBorders>
              <w:top w:val="single" w:sz="4" w:space="0" w:color="000000"/>
              <w:left w:val="single" w:sz="4" w:space="0" w:color="000000"/>
              <w:bottom w:val="single" w:sz="4" w:space="0" w:color="000000"/>
              <w:right w:val="single" w:sz="12"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C</w:t>
            </w:r>
            <w:r w:rsidRPr="00F9522B">
              <w:rPr>
                <w:rFonts w:eastAsiaTheme="minorEastAsia"/>
                <w:bCs/>
                <w:kern w:val="0"/>
                <w:szCs w:val="21"/>
                <w:vertAlign w:val="subscript"/>
              </w:rPr>
              <w:t>非正常</w:t>
            </w:r>
            <w:r w:rsidRPr="00F9522B">
              <w:rPr>
                <w:rFonts w:eastAsiaTheme="minorEastAsia"/>
                <w:bCs/>
                <w:kern w:val="0"/>
                <w:szCs w:val="21"/>
              </w:rPr>
              <w:t>占标率</w:t>
            </w:r>
            <w:r w:rsidRPr="00F9522B">
              <w:rPr>
                <w:rFonts w:eastAsiaTheme="minorEastAsia"/>
                <w:bCs/>
                <w:kern w:val="0"/>
                <w:szCs w:val="21"/>
              </w:rPr>
              <w:t>&gt;100%□</w:t>
            </w:r>
          </w:p>
        </w:tc>
      </w:tr>
      <w:tr w:rsidR="002A5A5E" w:rsidRPr="00F9522B">
        <w:trPr>
          <w:jc w:val="center"/>
        </w:trPr>
        <w:tc>
          <w:tcPr>
            <w:tcW w:w="751" w:type="dxa"/>
            <w:vMerge/>
            <w:tcBorders>
              <w:top w:val="single" w:sz="4" w:space="0" w:color="000000"/>
              <w:left w:val="single" w:sz="12" w:space="0" w:color="000000"/>
              <w:bottom w:val="single" w:sz="4" w:space="0" w:color="000000"/>
              <w:right w:val="single" w:sz="4" w:space="0" w:color="000000"/>
            </w:tcBorders>
            <w:vAlign w:val="center"/>
          </w:tcPr>
          <w:p w:rsidR="002A5A5E" w:rsidRPr="00F9522B" w:rsidRDefault="002A5A5E">
            <w:pPr>
              <w:widowControl/>
              <w:jc w:val="left"/>
              <w:rPr>
                <w:rFonts w:eastAsiaTheme="minorEastAsia"/>
                <w:bCs/>
                <w:kern w:val="0"/>
                <w:szCs w:val="21"/>
              </w:rPr>
            </w:pPr>
          </w:p>
        </w:tc>
        <w:tc>
          <w:tcPr>
            <w:tcW w:w="1798" w:type="dxa"/>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保证率日平均浓度和年平均浓度叠加值</w:t>
            </w:r>
          </w:p>
        </w:tc>
        <w:tc>
          <w:tcPr>
            <w:tcW w:w="3447" w:type="dxa"/>
            <w:gridSpan w:val="9"/>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C</w:t>
            </w:r>
            <w:r w:rsidRPr="00F9522B">
              <w:rPr>
                <w:rFonts w:eastAsiaTheme="minorEastAsia"/>
                <w:bCs/>
                <w:kern w:val="0"/>
                <w:szCs w:val="21"/>
                <w:vertAlign w:val="subscript"/>
              </w:rPr>
              <w:t>叠加</w:t>
            </w:r>
            <w:r w:rsidRPr="00F9522B">
              <w:rPr>
                <w:rFonts w:eastAsiaTheme="minorEastAsia"/>
                <w:bCs/>
                <w:kern w:val="0"/>
                <w:szCs w:val="21"/>
              </w:rPr>
              <w:t>达标</w:t>
            </w:r>
            <w:r w:rsidRPr="00F9522B">
              <w:rPr>
                <w:rFonts w:eastAsiaTheme="minorEastAsia"/>
                <w:bCs/>
                <w:kern w:val="0"/>
                <w:szCs w:val="21"/>
              </w:rPr>
              <w:t>□</w:t>
            </w:r>
          </w:p>
        </w:tc>
        <w:tc>
          <w:tcPr>
            <w:tcW w:w="3244" w:type="dxa"/>
            <w:gridSpan w:val="6"/>
            <w:tcBorders>
              <w:top w:val="single" w:sz="4" w:space="0" w:color="000000"/>
              <w:left w:val="single" w:sz="4" w:space="0" w:color="000000"/>
              <w:bottom w:val="single" w:sz="4" w:space="0" w:color="000000"/>
              <w:right w:val="single" w:sz="12"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C</w:t>
            </w:r>
            <w:r w:rsidRPr="00F9522B">
              <w:rPr>
                <w:rFonts w:eastAsiaTheme="minorEastAsia"/>
                <w:bCs/>
                <w:kern w:val="0"/>
                <w:szCs w:val="21"/>
                <w:vertAlign w:val="subscript"/>
              </w:rPr>
              <w:t>叠加</w:t>
            </w:r>
            <w:r w:rsidRPr="00F9522B">
              <w:rPr>
                <w:rFonts w:eastAsiaTheme="minorEastAsia"/>
                <w:bCs/>
                <w:kern w:val="0"/>
                <w:szCs w:val="21"/>
              </w:rPr>
              <w:t>不达标</w:t>
            </w:r>
            <w:r w:rsidRPr="00F9522B">
              <w:rPr>
                <w:rFonts w:eastAsiaTheme="minorEastAsia"/>
                <w:bCs/>
                <w:kern w:val="0"/>
                <w:szCs w:val="21"/>
              </w:rPr>
              <w:t>□</w:t>
            </w:r>
          </w:p>
        </w:tc>
      </w:tr>
      <w:tr w:rsidR="002A5A5E" w:rsidRPr="00F9522B">
        <w:trPr>
          <w:jc w:val="center"/>
        </w:trPr>
        <w:tc>
          <w:tcPr>
            <w:tcW w:w="751" w:type="dxa"/>
            <w:vMerge/>
            <w:tcBorders>
              <w:top w:val="single" w:sz="4" w:space="0" w:color="000000"/>
              <w:left w:val="single" w:sz="12" w:space="0" w:color="000000"/>
              <w:bottom w:val="single" w:sz="4" w:space="0" w:color="000000"/>
              <w:right w:val="single" w:sz="4" w:space="0" w:color="000000"/>
            </w:tcBorders>
            <w:vAlign w:val="center"/>
          </w:tcPr>
          <w:p w:rsidR="002A5A5E" w:rsidRPr="00F9522B" w:rsidRDefault="002A5A5E">
            <w:pPr>
              <w:widowControl/>
              <w:jc w:val="left"/>
              <w:rPr>
                <w:rFonts w:eastAsiaTheme="minorEastAsia"/>
                <w:bCs/>
                <w:kern w:val="0"/>
                <w:szCs w:val="21"/>
              </w:rPr>
            </w:pPr>
          </w:p>
        </w:tc>
        <w:tc>
          <w:tcPr>
            <w:tcW w:w="1798" w:type="dxa"/>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区域环境质量的整体变化情况</w:t>
            </w:r>
          </w:p>
        </w:tc>
        <w:tc>
          <w:tcPr>
            <w:tcW w:w="3447" w:type="dxa"/>
            <w:gridSpan w:val="9"/>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k≤-20%□</w:t>
            </w:r>
          </w:p>
        </w:tc>
        <w:tc>
          <w:tcPr>
            <w:tcW w:w="3244" w:type="dxa"/>
            <w:gridSpan w:val="6"/>
            <w:tcBorders>
              <w:top w:val="single" w:sz="4" w:space="0" w:color="000000"/>
              <w:left w:val="single" w:sz="4" w:space="0" w:color="000000"/>
              <w:bottom w:val="single" w:sz="4" w:space="0" w:color="000000"/>
              <w:right w:val="single" w:sz="12"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k&gt;-20%□</w:t>
            </w:r>
          </w:p>
        </w:tc>
      </w:tr>
      <w:tr w:rsidR="002A5A5E" w:rsidRPr="00F9522B">
        <w:trPr>
          <w:jc w:val="center"/>
        </w:trPr>
        <w:tc>
          <w:tcPr>
            <w:tcW w:w="751" w:type="dxa"/>
            <w:vMerge w:val="restart"/>
            <w:tcBorders>
              <w:top w:val="single" w:sz="4" w:space="0" w:color="000000"/>
              <w:left w:val="single" w:sz="12"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环境监测计划</w:t>
            </w:r>
          </w:p>
        </w:tc>
        <w:tc>
          <w:tcPr>
            <w:tcW w:w="1798" w:type="dxa"/>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污染源监测</w:t>
            </w:r>
          </w:p>
        </w:tc>
        <w:tc>
          <w:tcPr>
            <w:tcW w:w="2212" w:type="dxa"/>
            <w:gridSpan w:val="7"/>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监测因子：（）</w:t>
            </w:r>
          </w:p>
        </w:tc>
        <w:tc>
          <w:tcPr>
            <w:tcW w:w="2369" w:type="dxa"/>
            <w:gridSpan w:val="4"/>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有组织废气监测</w:t>
            </w:r>
            <w:r w:rsidRPr="00F9522B">
              <w:rPr>
                <w:rFonts w:eastAsiaTheme="minorEastAsia"/>
                <w:bCs/>
                <w:kern w:val="0"/>
                <w:szCs w:val="21"/>
              </w:rPr>
              <w:t>□</w:t>
            </w:r>
          </w:p>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无组织废气监测</w:t>
            </w:r>
            <w:r w:rsidRPr="00F9522B">
              <w:rPr>
                <w:rFonts w:eastAsiaTheme="minorEastAsia"/>
                <w:bCs/>
                <w:kern w:val="0"/>
                <w:szCs w:val="21"/>
              </w:rPr>
              <w:t>□</w:t>
            </w:r>
          </w:p>
        </w:tc>
        <w:tc>
          <w:tcPr>
            <w:tcW w:w="2110" w:type="dxa"/>
            <w:gridSpan w:val="4"/>
            <w:tcBorders>
              <w:top w:val="single" w:sz="4" w:space="0" w:color="000000"/>
              <w:left w:val="single" w:sz="4" w:space="0" w:color="000000"/>
              <w:bottom w:val="single" w:sz="4" w:space="0" w:color="000000"/>
              <w:right w:val="single" w:sz="12"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无监测</w:t>
            </w:r>
            <w:r w:rsidRPr="00F9522B">
              <w:rPr>
                <w:rFonts w:eastAsiaTheme="minorEastAsia"/>
                <w:bCs/>
                <w:kern w:val="0"/>
                <w:szCs w:val="21"/>
              </w:rPr>
              <w:t>√</w:t>
            </w:r>
          </w:p>
        </w:tc>
      </w:tr>
      <w:tr w:rsidR="002A5A5E" w:rsidRPr="00F9522B">
        <w:trPr>
          <w:jc w:val="center"/>
        </w:trPr>
        <w:tc>
          <w:tcPr>
            <w:tcW w:w="751" w:type="dxa"/>
            <w:vMerge/>
            <w:tcBorders>
              <w:top w:val="single" w:sz="4" w:space="0" w:color="000000"/>
              <w:left w:val="single" w:sz="12" w:space="0" w:color="000000"/>
              <w:bottom w:val="single" w:sz="4" w:space="0" w:color="000000"/>
              <w:right w:val="single" w:sz="4" w:space="0" w:color="000000"/>
            </w:tcBorders>
            <w:vAlign w:val="center"/>
          </w:tcPr>
          <w:p w:rsidR="002A5A5E" w:rsidRPr="00F9522B" w:rsidRDefault="002A5A5E">
            <w:pPr>
              <w:widowControl/>
              <w:jc w:val="left"/>
              <w:rPr>
                <w:rFonts w:eastAsiaTheme="minorEastAsia"/>
                <w:bCs/>
                <w:kern w:val="0"/>
                <w:szCs w:val="21"/>
              </w:rPr>
            </w:pPr>
          </w:p>
        </w:tc>
        <w:tc>
          <w:tcPr>
            <w:tcW w:w="1798" w:type="dxa"/>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环境质量监测</w:t>
            </w:r>
          </w:p>
        </w:tc>
        <w:tc>
          <w:tcPr>
            <w:tcW w:w="2212" w:type="dxa"/>
            <w:gridSpan w:val="7"/>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监测因子：（</w:t>
            </w:r>
            <w:r w:rsidRPr="00F9522B">
              <w:rPr>
                <w:rFonts w:eastAsiaTheme="minorEastAsia"/>
                <w:bCs/>
                <w:kern w:val="0"/>
                <w:szCs w:val="21"/>
                <w:lang w:val="zh-CN"/>
              </w:rPr>
              <w:t>颗粒物</w:t>
            </w:r>
            <w:r w:rsidRPr="00F9522B">
              <w:rPr>
                <w:rFonts w:eastAsiaTheme="minorEastAsia"/>
                <w:bCs/>
                <w:kern w:val="0"/>
                <w:szCs w:val="21"/>
              </w:rPr>
              <w:t>）</w:t>
            </w:r>
          </w:p>
        </w:tc>
        <w:tc>
          <w:tcPr>
            <w:tcW w:w="2369" w:type="dxa"/>
            <w:gridSpan w:val="4"/>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监测点位数（</w:t>
            </w:r>
            <w:r w:rsidRPr="00F9522B">
              <w:rPr>
                <w:rFonts w:eastAsiaTheme="minorEastAsia"/>
                <w:bCs/>
                <w:kern w:val="0"/>
                <w:szCs w:val="21"/>
              </w:rPr>
              <w:t>5</w:t>
            </w:r>
            <w:r w:rsidRPr="00F9522B">
              <w:rPr>
                <w:rFonts w:eastAsiaTheme="minorEastAsia"/>
                <w:bCs/>
                <w:kern w:val="0"/>
                <w:szCs w:val="21"/>
              </w:rPr>
              <w:t>）</w:t>
            </w:r>
          </w:p>
        </w:tc>
        <w:tc>
          <w:tcPr>
            <w:tcW w:w="2110" w:type="dxa"/>
            <w:gridSpan w:val="4"/>
            <w:tcBorders>
              <w:top w:val="single" w:sz="4" w:space="0" w:color="000000"/>
              <w:left w:val="single" w:sz="4" w:space="0" w:color="000000"/>
              <w:bottom w:val="single" w:sz="4" w:space="0" w:color="000000"/>
              <w:right w:val="single" w:sz="12"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无监测</w:t>
            </w:r>
            <w:r w:rsidRPr="00F9522B">
              <w:rPr>
                <w:rFonts w:eastAsiaTheme="minorEastAsia"/>
                <w:bCs/>
                <w:kern w:val="0"/>
                <w:szCs w:val="21"/>
              </w:rPr>
              <w:t>□</w:t>
            </w:r>
          </w:p>
        </w:tc>
      </w:tr>
      <w:tr w:rsidR="002A5A5E" w:rsidRPr="00F9522B">
        <w:trPr>
          <w:jc w:val="center"/>
        </w:trPr>
        <w:tc>
          <w:tcPr>
            <w:tcW w:w="751" w:type="dxa"/>
            <w:tcBorders>
              <w:top w:val="single" w:sz="4" w:space="0" w:color="000000"/>
              <w:left w:val="single" w:sz="12"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评价结论</w:t>
            </w:r>
          </w:p>
        </w:tc>
        <w:tc>
          <w:tcPr>
            <w:tcW w:w="1798" w:type="dxa"/>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环境影响</w:t>
            </w:r>
          </w:p>
        </w:tc>
        <w:tc>
          <w:tcPr>
            <w:tcW w:w="6691" w:type="dxa"/>
            <w:gridSpan w:val="15"/>
            <w:tcBorders>
              <w:top w:val="single" w:sz="4" w:space="0" w:color="000000"/>
              <w:left w:val="single" w:sz="4" w:space="0" w:color="000000"/>
              <w:bottom w:val="single" w:sz="4" w:space="0" w:color="000000"/>
              <w:right w:val="single" w:sz="12"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可以接受</w:t>
            </w:r>
            <w:r w:rsidRPr="00F9522B">
              <w:rPr>
                <w:rFonts w:eastAsiaTheme="minorEastAsia"/>
                <w:bCs/>
                <w:kern w:val="0"/>
                <w:szCs w:val="21"/>
              </w:rPr>
              <w:t xml:space="preserve">√       </w:t>
            </w:r>
            <w:r w:rsidRPr="00F9522B">
              <w:rPr>
                <w:rFonts w:eastAsiaTheme="minorEastAsia"/>
                <w:bCs/>
                <w:kern w:val="0"/>
                <w:szCs w:val="21"/>
              </w:rPr>
              <w:t>不可以接受</w:t>
            </w:r>
            <w:r w:rsidRPr="00F9522B">
              <w:rPr>
                <w:rFonts w:eastAsiaTheme="minorEastAsia"/>
                <w:bCs/>
                <w:kern w:val="0"/>
                <w:szCs w:val="21"/>
              </w:rPr>
              <w:t>□</w:t>
            </w:r>
          </w:p>
        </w:tc>
      </w:tr>
      <w:tr w:rsidR="002A5A5E" w:rsidRPr="00F9522B">
        <w:trPr>
          <w:jc w:val="center"/>
        </w:trPr>
        <w:tc>
          <w:tcPr>
            <w:tcW w:w="751" w:type="dxa"/>
            <w:vMerge w:val="restart"/>
            <w:tcBorders>
              <w:top w:val="single" w:sz="4" w:space="0" w:color="000000"/>
              <w:left w:val="single" w:sz="12"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评价结论</w:t>
            </w:r>
          </w:p>
        </w:tc>
        <w:tc>
          <w:tcPr>
            <w:tcW w:w="1798" w:type="dxa"/>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大气环境防护距离</w:t>
            </w:r>
          </w:p>
        </w:tc>
        <w:tc>
          <w:tcPr>
            <w:tcW w:w="6691" w:type="dxa"/>
            <w:gridSpan w:val="15"/>
            <w:tcBorders>
              <w:top w:val="single" w:sz="4" w:space="0" w:color="000000"/>
              <w:left w:val="single" w:sz="4" w:space="0" w:color="000000"/>
              <w:bottom w:val="single" w:sz="4" w:space="0" w:color="000000"/>
              <w:right w:val="single" w:sz="12"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距（</w:t>
            </w:r>
            <w:r w:rsidRPr="00F9522B">
              <w:rPr>
                <w:rFonts w:eastAsiaTheme="minorEastAsia"/>
                <w:bCs/>
                <w:kern w:val="0"/>
                <w:szCs w:val="21"/>
              </w:rPr>
              <w:t xml:space="preserve">   </w:t>
            </w:r>
            <w:r w:rsidRPr="00F9522B">
              <w:rPr>
                <w:rFonts w:eastAsiaTheme="minorEastAsia"/>
                <w:bCs/>
                <w:kern w:val="0"/>
                <w:szCs w:val="21"/>
              </w:rPr>
              <w:t>）厂界最远（</w:t>
            </w:r>
            <w:r w:rsidRPr="00F9522B">
              <w:rPr>
                <w:rFonts w:eastAsiaTheme="minorEastAsia"/>
                <w:bCs/>
                <w:kern w:val="0"/>
                <w:szCs w:val="21"/>
              </w:rPr>
              <w:t xml:space="preserve">    </w:t>
            </w:r>
            <w:r w:rsidRPr="00F9522B">
              <w:rPr>
                <w:rFonts w:eastAsiaTheme="minorEastAsia"/>
                <w:bCs/>
                <w:kern w:val="0"/>
                <w:szCs w:val="21"/>
              </w:rPr>
              <w:t>）</w:t>
            </w:r>
            <w:r w:rsidRPr="00F9522B">
              <w:rPr>
                <w:rFonts w:eastAsiaTheme="minorEastAsia"/>
                <w:bCs/>
                <w:kern w:val="0"/>
                <w:szCs w:val="21"/>
              </w:rPr>
              <w:t>m</w:t>
            </w:r>
          </w:p>
        </w:tc>
      </w:tr>
      <w:tr w:rsidR="002A5A5E" w:rsidRPr="00F9522B">
        <w:trPr>
          <w:jc w:val="center"/>
        </w:trPr>
        <w:tc>
          <w:tcPr>
            <w:tcW w:w="751" w:type="dxa"/>
            <w:vMerge/>
            <w:tcBorders>
              <w:top w:val="single" w:sz="4" w:space="0" w:color="000000"/>
              <w:left w:val="single" w:sz="12" w:space="0" w:color="000000"/>
              <w:bottom w:val="single" w:sz="4" w:space="0" w:color="000000"/>
              <w:right w:val="single" w:sz="4" w:space="0" w:color="000000"/>
            </w:tcBorders>
            <w:vAlign w:val="center"/>
          </w:tcPr>
          <w:p w:rsidR="002A5A5E" w:rsidRPr="00F9522B" w:rsidRDefault="002A5A5E">
            <w:pPr>
              <w:widowControl/>
              <w:jc w:val="left"/>
              <w:rPr>
                <w:rFonts w:eastAsiaTheme="minorEastAsia"/>
                <w:bCs/>
                <w:kern w:val="0"/>
                <w:szCs w:val="21"/>
              </w:rPr>
            </w:pPr>
          </w:p>
        </w:tc>
        <w:tc>
          <w:tcPr>
            <w:tcW w:w="1798" w:type="dxa"/>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污染源年排放量</w:t>
            </w:r>
          </w:p>
        </w:tc>
        <w:tc>
          <w:tcPr>
            <w:tcW w:w="1539" w:type="dxa"/>
            <w:gridSpan w:val="4"/>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SO</w:t>
            </w:r>
            <w:r w:rsidRPr="00F9522B">
              <w:rPr>
                <w:rFonts w:eastAsiaTheme="minorEastAsia"/>
                <w:bCs/>
                <w:kern w:val="0"/>
                <w:szCs w:val="21"/>
                <w:vertAlign w:val="subscript"/>
              </w:rPr>
              <w:t>2</w:t>
            </w:r>
            <w:r w:rsidRPr="00F9522B">
              <w:rPr>
                <w:rFonts w:eastAsiaTheme="minorEastAsia"/>
                <w:bCs/>
                <w:kern w:val="0"/>
                <w:szCs w:val="21"/>
              </w:rPr>
              <w:t>：（）</w:t>
            </w:r>
            <w:r w:rsidRPr="00F9522B">
              <w:rPr>
                <w:rFonts w:eastAsiaTheme="minorEastAsia"/>
                <w:bCs/>
                <w:kern w:val="0"/>
                <w:szCs w:val="21"/>
              </w:rPr>
              <w:t>t/a</w:t>
            </w:r>
          </w:p>
        </w:tc>
        <w:tc>
          <w:tcPr>
            <w:tcW w:w="1908" w:type="dxa"/>
            <w:gridSpan w:val="5"/>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NO</w:t>
            </w:r>
            <w:r w:rsidRPr="00F9522B">
              <w:rPr>
                <w:rFonts w:eastAsiaTheme="minorEastAsia"/>
                <w:bCs/>
                <w:kern w:val="0"/>
                <w:szCs w:val="21"/>
                <w:vertAlign w:val="subscript"/>
              </w:rPr>
              <w:t>X</w:t>
            </w:r>
            <w:r w:rsidRPr="00F9522B">
              <w:rPr>
                <w:rFonts w:eastAsiaTheme="minorEastAsia"/>
                <w:bCs/>
                <w:kern w:val="0"/>
                <w:szCs w:val="21"/>
              </w:rPr>
              <w:t>：（）</w:t>
            </w:r>
            <w:r w:rsidRPr="00F9522B">
              <w:rPr>
                <w:rFonts w:eastAsiaTheme="minorEastAsia"/>
                <w:bCs/>
                <w:kern w:val="0"/>
                <w:szCs w:val="21"/>
              </w:rPr>
              <w:t>t/a</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颗粒物：（）</w:t>
            </w:r>
            <w:r w:rsidRPr="00F9522B">
              <w:rPr>
                <w:rFonts w:eastAsiaTheme="minorEastAsia"/>
                <w:bCs/>
                <w:kern w:val="0"/>
                <w:szCs w:val="21"/>
              </w:rPr>
              <w:t>t/a</w:t>
            </w:r>
          </w:p>
        </w:tc>
        <w:tc>
          <w:tcPr>
            <w:tcW w:w="2110" w:type="dxa"/>
            <w:gridSpan w:val="4"/>
            <w:tcBorders>
              <w:top w:val="single" w:sz="4" w:space="0" w:color="000000"/>
              <w:left w:val="single" w:sz="4" w:space="0" w:color="000000"/>
              <w:bottom w:val="single" w:sz="4" w:space="0" w:color="000000"/>
              <w:right w:val="single" w:sz="12" w:space="0" w:color="000000"/>
            </w:tcBorders>
            <w:vAlign w:val="center"/>
          </w:tcPr>
          <w:p w:rsidR="002A5A5E" w:rsidRPr="00F9522B" w:rsidRDefault="00611CBA">
            <w:pPr>
              <w:spacing w:line="0" w:lineRule="atLeast"/>
              <w:jc w:val="center"/>
              <w:rPr>
                <w:rFonts w:eastAsiaTheme="minorEastAsia"/>
                <w:bCs/>
                <w:kern w:val="0"/>
                <w:szCs w:val="21"/>
              </w:rPr>
            </w:pPr>
            <w:r w:rsidRPr="00F9522B">
              <w:rPr>
                <w:rFonts w:eastAsiaTheme="minorEastAsia"/>
                <w:bCs/>
                <w:kern w:val="0"/>
                <w:szCs w:val="21"/>
              </w:rPr>
              <w:t>VOCs</w:t>
            </w:r>
            <w:r w:rsidRPr="00F9522B">
              <w:rPr>
                <w:rFonts w:eastAsiaTheme="minorEastAsia"/>
                <w:bCs/>
                <w:kern w:val="0"/>
                <w:szCs w:val="21"/>
              </w:rPr>
              <w:t>：（）</w:t>
            </w:r>
            <w:r w:rsidRPr="00F9522B">
              <w:rPr>
                <w:rFonts w:eastAsiaTheme="minorEastAsia"/>
                <w:bCs/>
                <w:kern w:val="0"/>
                <w:szCs w:val="21"/>
              </w:rPr>
              <w:t>t/a</w:t>
            </w:r>
          </w:p>
        </w:tc>
      </w:tr>
      <w:tr w:rsidR="002A5A5E" w:rsidRPr="00F9522B">
        <w:trPr>
          <w:trHeight w:val="85"/>
          <w:jc w:val="center"/>
        </w:trPr>
        <w:tc>
          <w:tcPr>
            <w:tcW w:w="9240" w:type="dxa"/>
            <w:gridSpan w:val="17"/>
            <w:tcBorders>
              <w:top w:val="single" w:sz="4" w:space="0" w:color="000000"/>
              <w:left w:val="single" w:sz="12" w:space="0" w:color="000000"/>
              <w:bottom w:val="single" w:sz="12" w:space="0" w:color="000000"/>
              <w:right w:val="single" w:sz="12" w:space="0" w:color="000000"/>
            </w:tcBorders>
            <w:vAlign w:val="center"/>
          </w:tcPr>
          <w:p w:rsidR="002A5A5E" w:rsidRPr="00F9522B" w:rsidRDefault="00611CBA">
            <w:pPr>
              <w:spacing w:line="0" w:lineRule="atLeast"/>
              <w:rPr>
                <w:rFonts w:eastAsiaTheme="minorEastAsia"/>
                <w:bCs/>
                <w:kern w:val="0"/>
                <w:szCs w:val="21"/>
              </w:rPr>
            </w:pPr>
            <w:r w:rsidRPr="00F9522B">
              <w:rPr>
                <w:rFonts w:eastAsiaTheme="minorEastAsia"/>
                <w:bCs/>
                <w:kern w:val="0"/>
                <w:szCs w:val="21"/>
              </w:rPr>
              <w:t>注：</w:t>
            </w:r>
            <w:r w:rsidRPr="00F9522B">
              <w:rPr>
                <w:rFonts w:eastAsiaTheme="minorEastAsia"/>
                <w:bCs/>
                <w:kern w:val="0"/>
                <w:szCs w:val="21"/>
              </w:rPr>
              <w:t>“□”</w:t>
            </w:r>
            <w:r w:rsidRPr="00F9522B">
              <w:rPr>
                <w:rFonts w:eastAsiaTheme="minorEastAsia"/>
                <w:bCs/>
                <w:kern w:val="0"/>
                <w:szCs w:val="21"/>
              </w:rPr>
              <w:t>为勾选项，填</w:t>
            </w:r>
            <w:r w:rsidRPr="00F9522B">
              <w:rPr>
                <w:rFonts w:eastAsiaTheme="minorEastAsia"/>
                <w:bCs/>
                <w:kern w:val="0"/>
                <w:szCs w:val="21"/>
              </w:rPr>
              <w:t>“√”</w:t>
            </w:r>
            <w:r w:rsidRPr="00F9522B">
              <w:rPr>
                <w:rFonts w:eastAsiaTheme="minorEastAsia"/>
                <w:bCs/>
                <w:kern w:val="0"/>
                <w:szCs w:val="21"/>
              </w:rPr>
              <w:t>；</w:t>
            </w:r>
            <w:r w:rsidRPr="00F9522B">
              <w:rPr>
                <w:rFonts w:eastAsiaTheme="minorEastAsia"/>
                <w:bCs/>
                <w:kern w:val="0"/>
                <w:szCs w:val="21"/>
              </w:rPr>
              <w:t>“</w:t>
            </w:r>
            <w:r w:rsidRPr="00F9522B">
              <w:rPr>
                <w:rFonts w:eastAsiaTheme="minorEastAsia"/>
                <w:bCs/>
                <w:kern w:val="0"/>
                <w:szCs w:val="21"/>
              </w:rPr>
              <w:t>（</w:t>
            </w:r>
            <w:r w:rsidRPr="00F9522B">
              <w:rPr>
                <w:rFonts w:eastAsiaTheme="minorEastAsia"/>
                <w:bCs/>
                <w:kern w:val="0"/>
                <w:szCs w:val="21"/>
              </w:rPr>
              <w:t xml:space="preserve"> </w:t>
            </w:r>
            <w:r w:rsidRPr="00F9522B">
              <w:rPr>
                <w:rFonts w:eastAsiaTheme="minorEastAsia"/>
                <w:bCs/>
                <w:kern w:val="0"/>
                <w:szCs w:val="21"/>
              </w:rPr>
              <w:t>）</w:t>
            </w:r>
            <w:r w:rsidRPr="00F9522B">
              <w:rPr>
                <w:rFonts w:eastAsiaTheme="minorEastAsia"/>
                <w:bCs/>
                <w:kern w:val="0"/>
                <w:szCs w:val="21"/>
              </w:rPr>
              <w:t>”</w:t>
            </w:r>
            <w:r w:rsidRPr="00F9522B">
              <w:rPr>
                <w:rFonts w:eastAsiaTheme="minorEastAsia"/>
                <w:bCs/>
                <w:kern w:val="0"/>
                <w:szCs w:val="21"/>
              </w:rPr>
              <w:t>为内容填写项</w:t>
            </w:r>
          </w:p>
        </w:tc>
      </w:tr>
    </w:tbl>
    <w:p w:rsidR="002A5A5E" w:rsidRPr="00F9522B" w:rsidRDefault="002A5A5E">
      <w:pPr>
        <w:widowControl/>
        <w:spacing w:line="360" w:lineRule="auto"/>
        <w:jc w:val="left"/>
        <w:rPr>
          <w:rFonts w:eastAsiaTheme="minorEastAsia"/>
          <w:sz w:val="24"/>
        </w:rPr>
        <w:sectPr w:rsidR="002A5A5E" w:rsidRPr="00F9522B">
          <w:pgSz w:w="11906" w:h="16838"/>
          <w:pgMar w:top="1440" w:right="1800" w:bottom="1440" w:left="1800" w:header="851" w:footer="992" w:gutter="0"/>
          <w:cols w:space="720"/>
          <w:docGrid w:type="lines" w:linePitch="312"/>
        </w:sectPr>
      </w:pPr>
    </w:p>
    <w:p w:rsidR="002A5A5E" w:rsidRPr="00F9522B" w:rsidRDefault="00611CBA">
      <w:pPr>
        <w:jc w:val="center"/>
        <w:rPr>
          <w:rFonts w:eastAsiaTheme="minorEastAsia"/>
          <w:b/>
          <w:sz w:val="24"/>
        </w:rPr>
      </w:pPr>
      <w:r w:rsidRPr="00F9522B">
        <w:rPr>
          <w:rFonts w:eastAsiaTheme="minorEastAsia"/>
          <w:b/>
          <w:sz w:val="24"/>
        </w:rPr>
        <w:lastRenderedPageBreak/>
        <w:t>地表水环境影响评价自查表</w:t>
      </w:r>
    </w:p>
    <w:tbl>
      <w:tblPr>
        <w:tblStyle w:val="aff6"/>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Look w:val="04A0"/>
      </w:tblPr>
      <w:tblGrid>
        <w:gridCol w:w="389"/>
        <w:gridCol w:w="2529"/>
        <w:gridCol w:w="2389"/>
        <w:gridCol w:w="2670"/>
        <w:gridCol w:w="6075"/>
      </w:tblGrid>
      <w:tr w:rsidR="002A5A5E" w:rsidRPr="00F9522B">
        <w:trPr>
          <w:trHeight w:val="337"/>
        </w:trPr>
        <w:tc>
          <w:tcPr>
            <w:tcW w:w="2918" w:type="dxa"/>
            <w:gridSpan w:val="2"/>
            <w:tcBorders>
              <w:top w:val="single" w:sz="12"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工作内容</w:t>
            </w:r>
          </w:p>
        </w:tc>
        <w:tc>
          <w:tcPr>
            <w:tcW w:w="11134" w:type="dxa"/>
            <w:gridSpan w:val="3"/>
            <w:tcBorders>
              <w:top w:val="single" w:sz="12"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自查项目</w:t>
            </w:r>
          </w:p>
        </w:tc>
      </w:tr>
      <w:tr w:rsidR="002A5A5E" w:rsidRPr="00F9522B">
        <w:trPr>
          <w:trHeight w:val="337"/>
        </w:trPr>
        <w:tc>
          <w:tcPr>
            <w:tcW w:w="389" w:type="dxa"/>
            <w:vMerge w:val="restart"/>
            <w:tcBorders>
              <w:top w:val="single" w:sz="6"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影响识别</w:t>
            </w:r>
          </w:p>
        </w:tc>
        <w:tc>
          <w:tcPr>
            <w:tcW w:w="25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影响类型</w:t>
            </w:r>
          </w:p>
        </w:tc>
        <w:tc>
          <w:tcPr>
            <w:tcW w:w="11134" w:type="dxa"/>
            <w:gridSpan w:val="3"/>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jc w:val="left"/>
              <w:rPr>
                <w:rFonts w:eastAsiaTheme="minorEastAsia"/>
                <w:kern w:val="0"/>
                <w:szCs w:val="21"/>
              </w:rPr>
            </w:pPr>
            <w:r w:rsidRPr="00F9522B">
              <w:rPr>
                <w:rFonts w:eastAsiaTheme="minorEastAsia"/>
                <w:kern w:val="0"/>
                <w:szCs w:val="21"/>
              </w:rPr>
              <w:t>水污染影响型</w:t>
            </w:r>
            <w:r w:rsidRPr="00F9522B">
              <w:rPr>
                <w:rFonts w:eastAsiaTheme="minorEastAsia"/>
                <w:kern w:val="0"/>
                <w:szCs w:val="21"/>
              </w:rPr>
              <w:t>√</w:t>
            </w:r>
            <w:r w:rsidRPr="00F9522B">
              <w:rPr>
                <w:rFonts w:eastAsiaTheme="minorEastAsia"/>
                <w:kern w:val="0"/>
                <w:szCs w:val="21"/>
              </w:rPr>
              <w:t>；水文要素影响型</w:t>
            </w:r>
            <w:r w:rsidR="00660C23" w:rsidRPr="00F9522B">
              <w:rPr>
                <w:rFonts w:eastAsiaTheme="minorEastAsia"/>
                <w:kern w:val="0"/>
                <w:szCs w:val="21"/>
              </w:rPr>
              <w:t>□</w:t>
            </w:r>
          </w:p>
        </w:tc>
      </w:tr>
      <w:tr w:rsidR="002A5A5E" w:rsidRPr="00F9522B">
        <w:trPr>
          <w:trHeight w:val="995"/>
        </w:trPr>
        <w:tc>
          <w:tcPr>
            <w:tcW w:w="389" w:type="dxa"/>
            <w:vMerge/>
            <w:tcBorders>
              <w:top w:val="single" w:sz="6"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kern w:val="0"/>
                <w:szCs w:val="21"/>
              </w:rPr>
            </w:pPr>
          </w:p>
        </w:tc>
        <w:tc>
          <w:tcPr>
            <w:tcW w:w="25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水环境保护目标</w:t>
            </w:r>
          </w:p>
        </w:tc>
        <w:tc>
          <w:tcPr>
            <w:tcW w:w="11134" w:type="dxa"/>
            <w:gridSpan w:val="3"/>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jc w:val="left"/>
              <w:rPr>
                <w:rFonts w:eastAsiaTheme="minorEastAsia"/>
                <w:kern w:val="0"/>
                <w:szCs w:val="21"/>
              </w:rPr>
            </w:pPr>
            <w:r w:rsidRPr="00F9522B">
              <w:rPr>
                <w:rFonts w:eastAsiaTheme="minorEastAsia"/>
                <w:kern w:val="0"/>
                <w:szCs w:val="21"/>
              </w:rPr>
              <w:t>饮用水水源保护区</w:t>
            </w:r>
            <w:r w:rsidR="00660C23" w:rsidRPr="00F9522B">
              <w:rPr>
                <w:rFonts w:eastAsiaTheme="minorEastAsia"/>
                <w:kern w:val="0"/>
                <w:szCs w:val="21"/>
              </w:rPr>
              <w:t>□</w:t>
            </w:r>
            <w:r w:rsidRPr="00F9522B">
              <w:rPr>
                <w:rFonts w:eastAsiaTheme="minorEastAsia"/>
                <w:kern w:val="0"/>
                <w:szCs w:val="21"/>
              </w:rPr>
              <w:t>；饮用水取水</w:t>
            </w:r>
            <w:r w:rsidRPr="00F9522B">
              <w:rPr>
                <w:rFonts w:eastAsiaTheme="minorEastAsia"/>
                <w:kern w:val="0"/>
                <w:szCs w:val="21"/>
              </w:rPr>
              <w:t>□</w:t>
            </w:r>
            <w:r w:rsidRPr="00F9522B">
              <w:rPr>
                <w:rFonts w:eastAsiaTheme="minorEastAsia"/>
                <w:kern w:val="0"/>
                <w:szCs w:val="21"/>
              </w:rPr>
              <w:t>；涉水的自然保护区</w:t>
            </w:r>
            <w:r w:rsidRPr="00F9522B">
              <w:rPr>
                <w:rFonts w:eastAsiaTheme="minorEastAsia"/>
                <w:kern w:val="0"/>
                <w:szCs w:val="21"/>
              </w:rPr>
              <w:t>√</w:t>
            </w:r>
            <w:r w:rsidRPr="00F9522B">
              <w:rPr>
                <w:rFonts w:eastAsiaTheme="minorEastAsia"/>
                <w:kern w:val="0"/>
                <w:szCs w:val="21"/>
              </w:rPr>
              <w:t>；重要湿地</w:t>
            </w:r>
            <w:r w:rsidRPr="00F9522B">
              <w:rPr>
                <w:rFonts w:eastAsiaTheme="minorEastAsia"/>
                <w:kern w:val="0"/>
                <w:szCs w:val="21"/>
              </w:rPr>
              <w:t>□</w:t>
            </w:r>
            <w:r w:rsidRPr="00F9522B">
              <w:rPr>
                <w:rFonts w:eastAsiaTheme="minorEastAsia"/>
                <w:kern w:val="0"/>
                <w:szCs w:val="21"/>
              </w:rPr>
              <w:t>；</w:t>
            </w:r>
          </w:p>
          <w:p w:rsidR="002A5A5E" w:rsidRPr="00F9522B" w:rsidRDefault="00611CBA">
            <w:pPr>
              <w:jc w:val="left"/>
              <w:rPr>
                <w:rFonts w:eastAsiaTheme="minorEastAsia"/>
                <w:kern w:val="0"/>
                <w:szCs w:val="21"/>
              </w:rPr>
            </w:pPr>
            <w:r w:rsidRPr="00F9522B">
              <w:rPr>
                <w:rFonts w:eastAsiaTheme="minorEastAsia"/>
                <w:kern w:val="0"/>
                <w:szCs w:val="21"/>
              </w:rPr>
              <w:t>重点保护与珍稀水生生物的栖息地</w:t>
            </w:r>
            <w:r w:rsidRPr="00F9522B">
              <w:rPr>
                <w:rFonts w:eastAsiaTheme="minorEastAsia"/>
                <w:kern w:val="0"/>
                <w:szCs w:val="21"/>
              </w:rPr>
              <w:t>□</w:t>
            </w:r>
            <w:r w:rsidRPr="00F9522B">
              <w:rPr>
                <w:rFonts w:eastAsiaTheme="minorEastAsia"/>
                <w:kern w:val="0"/>
                <w:szCs w:val="21"/>
              </w:rPr>
              <w:t>；重要水生生物的自然产卵场及索饵场、越冬场和洄游通道、天然渔场等渔业水体</w:t>
            </w:r>
            <w:r w:rsidRPr="00F9522B">
              <w:rPr>
                <w:rFonts w:eastAsiaTheme="minorEastAsia"/>
                <w:kern w:val="0"/>
                <w:szCs w:val="21"/>
              </w:rPr>
              <w:t>□</w:t>
            </w:r>
            <w:r w:rsidRPr="00F9522B">
              <w:rPr>
                <w:rFonts w:eastAsiaTheme="minorEastAsia"/>
                <w:kern w:val="0"/>
                <w:szCs w:val="21"/>
              </w:rPr>
              <w:t>；涉水的风景名胜区</w:t>
            </w:r>
            <w:r w:rsidRPr="00F9522B">
              <w:rPr>
                <w:rFonts w:eastAsiaTheme="minorEastAsia"/>
                <w:kern w:val="0"/>
                <w:szCs w:val="21"/>
              </w:rPr>
              <w:t>□</w:t>
            </w:r>
            <w:r w:rsidRPr="00F9522B">
              <w:rPr>
                <w:rFonts w:eastAsiaTheme="minorEastAsia"/>
                <w:kern w:val="0"/>
                <w:szCs w:val="21"/>
              </w:rPr>
              <w:t>；其他</w:t>
            </w:r>
            <w:r w:rsidRPr="00F9522B">
              <w:rPr>
                <w:rFonts w:eastAsiaTheme="minorEastAsia"/>
                <w:kern w:val="0"/>
                <w:szCs w:val="21"/>
              </w:rPr>
              <w:t>√</w:t>
            </w:r>
          </w:p>
        </w:tc>
      </w:tr>
      <w:tr w:rsidR="002A5A5E" w:rsidRPr="00F9522B">
        <w:trPr>
          <w:trHeight w:val="337"/>
        </w:trPr>
        <w:tc>
          <w:tcPr>
            <w:tcW w:w="389" w:type="dxa"/>
            <w:vMerge/>
            <w:tcBorders>
              <w:top w:val="single" w:sz="6"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kern w:val="0"/>
                <w:szCs w:val="21"/>
              </w:rPr>
            </w:pPr>
          </w:p>
        </w:tc>
        <w:tc>
          <w:tcPr>
            <w:tcW w:w="2529"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影响途径</w:t>
            </w:r>
          </w:p>
        </w:tc>
        <w:tc>
          <w:tcPr>
            <w:tcW w:w="505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水污染影响型</w:t>
            </w:r>
          </w:p>
        </w:tc>
        <w:tc>
          <w:tcPr>
            <w:tcW w:w="6075"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水文要素影响型</w:t>
            </w:r>
          </w:p>
        </w:tc>
      </w:tr>
      <w:tr w:rsidR="002A5A5E" w:rsidRPr="00F9522B">
        <w:trPr>
          <w:trHeight w:val="337"/>
        </w:trPr>
        <w:tc>
          <w:tcPr>
            <w:tcW w:w="389" w:type="dxa"/>
            <w:vMerge/>
            <w:tcBorders>
              <w:top w:val="single" w:sz="6"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kern w:val="0"/>
                <w:szCs w:val="21"/>
              </w:rPr>
            </w:pPr>
          </w:p>
        </w:tc>
        <w:tc>
          <w:tcPr>
            <w:tcW w:w="2529"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kern w:val="0"/>
                <w:szCs w:val="21"/>
              </w:rPr>
            </w:pPr>
          </w:p>
        </w:tc>
        <w:tc>
          <w:tcPr>
            <w:tcW w:w="505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jc w:val="left"/>
              <w:rPr>
                <w:rFonts w:eastAsiaTheme="minorEastAsia"/>
                <w:kern w:val="0"/>
                <w:szCs w:val="21"/>
              </w:rPr>
            </w:pPr>
            <w:r w:rsidRPr="00F9522B">
              <w:rPr>
                <w:rFonts w:eastAsiaTheme="minorEastAsia"/>
                <w:kern w:val="0"/>
                <w:szCs w:val="21"/>
              </w:rPr>
              <w:t>直接排放</w:t>
            </w:r>
            <w:r w:rsidRPr="00F9522B">
              <w:rPr>
                <w:rFonts w:eastAsiaTheme="minorEastAsia"/>
                <w:kern w:val="0"/>
                <w:szCs w:val="21"/>
              </w:rPr>
              <w:t>□</w:t>
            </w:r>
            <w:r w:rsidRPr="00F9522B">
              <w:rPr>
                <w:rFonts w:eastAsiaTheme="minorEastAsia"/>
                <w:kern w:val="0"/>
                <w:szCs w:val="21"/>
              </w:rPr>
              <w:t>；间接排放</w:t>
            </w:r>
            <w:r w:rsidRPr="00F9522B">
              <w:rPr>
                <w:rFonts w:eastAsiaTheme="minorEastAsia"/>
                <w:kern w:val="0"/>
                <w:szCs w:val="21"/>
              </w:rPr>
              <w:t>□</w:t>
            </w:r>
            <w:r w:rsidRPr="00F9522B">
              <w:rPr>
                <w:rFonts w:eastAsiaTheme="minorEastAsia"/>
                <w:kern w:val="0"/>
                <w:szCs w:val="21"/>
              </w:rPr>
              <w:t>；其他</w:t>
            </w:r>
            <w:r w:rsidRPr="00F9522B">
              <w:rPr>
                <w:rFonts w:eastAsiaTheme="minorEastAsia"/>
                <w:kern w:val="0"/>
                <w:szCs w:val="21"/>
              </w:rPr>
              <w:t>√</w:t>
            </w:r>
          </w:p>
        </w:tc>
        <w:tc>
          <w:tcPr>
            <w:tcW w:w="6075"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jc w:val="left"/>
              <w:rPr>
                <w:rFonts w:eastAsiaTheme="minorEastAsia"/>
                <w:kern w:val="0"/>
                <w:szCs w:val="21"/>
              </w:rPr>
            </w:pPr>
            <w:r w:rsidRPr="00F9522B">
              <w:rPr>
                <w:rFonts w:eastAsiaTheme="minorEastAsia"/>
                <w:kern w:val="0"/>
                <w:szCs w:val="21"/>
              </w:rPr>
              <w:t>水温</w:t>
            </w:r>
            <w:r w:rsidRPr="00F9522B">
              <w:rPr>
                <w:rFonts w:eastAsiaTheme="minorEastAsia"/>
                <w:kern w:val="0"/>
                <w:szCs w:val="21"/>
              </w:rPr>
              <w:t>□</w:t>
            </w:r>
            <w:r w:rsidRPr="00F9522B">
              <w:rPr>
                <w:rFonts w:eastAsiaTheme="minorEastAsia"/>
                <w:kern w:val="0"/>
                <w:szCs w:val="21"/>
              </w:rPr>
              <w:t>；径流</w:t>
            </w:r>
            <w:r w:rsidRPr="00F9522B">
              <w:rPr>
                <w:rFonts w:eastAsiaTheme="minorEastAsia"/>
                <w:kern w:val="0"/>
                <w:szCs w:val="21"/>
              </w:rPr>
              <w:t>□</w:t>
            </w:r>
            <w:r w:rsidRPr="00F9522B">
              <w:rPr>
                <w:rFonts w:eastAsiaTheme="minorEastAsia"/>
                <w:kern w:val="0"/>
                <w:szCs w:val="21"/>
              </w:rPr>
              <w:t>；水域面积</w:t>
            </w:r>
            <w:r w:rsidRPr="00F9522B">
              <w:rPr>
                <w:rFonts w:eastAsiaTheme="minorEastAsia"/>
                <w:kern w:val="0"/>
                <w:szCs w:val="21"/>
              </w:rPr>
              <w:t>□</w:t>
            </w:r>
          </w:p>
        </w:tc>
      </w:tr>
      <w:tr w:rsidR="002A5A5E" w:rsidRPr="00F9522B">
        <w:trPr>
          <w:trHeight w:val="980"/>
        </w:trPr>
        <w:tc>
          <w:tcPr>
            <w:tcW w:w="389" w:type="dxa"/>
            <w:vMerge/>
            <w:tcBorders>
              <w:top w:val="single" w:sz="6"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kern w:val="0"/>
                <w:szCs w:val="21"/>
              </w:rPr>
            </w:pPr>
          </w:p>
        </w:tc>
        <w:tc>
          <w:tcPr>
            <w:tcW w:w="25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影响因子</w:t>
            </w:r>
          </w:p>
        </w:tc>
        <w:tc>
          <w:tcPr>
            <w:tcW w:w="505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jc w:val="left"/>
              <w:rPr>
                <w:rFonts w:eastAsiaTheme="minorEastAsia"/>
                <w:kern w:val="0"/>
                <w:szCs w:val="21"/>
              </w:rPr>
            </w:pPr>
            <w:r w:rsidRPr="00F9522B">
              <w:rPr>
                <w:rFonts w:eastAsiaTheme="minorEastAsia"/>
                <w:kern w:val="0"/>
                <w:szCs w:val="21"/>
              </w:rPr>
              <w:t>持久性污染物</w:t>
            </w:r>
            <w:r w:rsidRPr="00F9522B">
              <w:rPr>
                <w:rFonts w:eastAsiaTheme="minorEastAsia"/>
                <w:kern w:val="0"/>
                <w:szCs w:val="21"/>
              </w:rPr>
              <w:t>□</w:t>
            </w:r>
            <w:r w:rsidRPr="00F9522B">
              <w:rPr>
                <w:rFonts w:eastAsiaTheme="minorEastAsia"/>
                <w:kern w:val="0"/>
                <w:szCs w:val="21"/>
              </w:rPr>
              <w:t>；有毒有害污染物</w:t>
            </w:r>
            <w:r w:rsidRPr="00F9522B">
              <w:rPr>
                <w:rFonts w:eastAsiaTheme="minorEastAsia"/>
                <w:kern w:val="0"/>
                <w:szCs w:val="21"/>
              </w:rPr>
              <w:t>□</w:t>
            </w:r>
            <w:r w:rsidRPr="00F9522B">
              <w:rPr>
                <w:rFonts w:eastAsiaTheme="minorEastAsia"/>
                <w:kern w:val="0"/>
                <w:szCs w:val="21"/>
              </w:rPr>
              <w:t>；非持久性污染物</w:t>
            </w:r>
            <w:r w:rsidRPr="00F9522B">
              <w:rPr>
                <w:rFonts w:eastAsiaTheme="minorEastAsia"/>
                <w:kern w:val="0"/>
                <w:szCs w:val="21"/>
              </w:rPr>
              <w:t>√</w:t>
            </w:r>
            <w:r w:rsidRPr="00F9522B">
              <w:rPr>
                <w:rFonts w:eastAsiaTheme="minorEastAsia"/>
                <w:kern w:val="0"/>
                <w:szCs w:val="21"/>
              </w:rPr>
              <w:t>；</w:t>
            </w:r>
          </w:p>
          <w:p w:rsidR="002A5A5E" w:rsidRPr="00F9522B" w:rsidRDefault="00611CBA">
            <w:pPr>
              <w:jc w:val="left"/>
              <w:rPr>
                <w:rFonts w:eastAsiaTheme="minorEastAsia"/>
                <w:kern w:val="0"/>
                <w:szCs w:val="21"/>
              </w:rPr>
            </w:pPr>
            <w:r w:rsidRPr="00F9522B">
              <w:rPr>
                <w:rFonts w:eastAsiaTheme="minorEastAsia"/>
                <w:kern w:val="0"/>
                <w:szCs w:val="21"/>
              </w:rPr>
              <w:t>pH</w:t>
            </w:r>
            <w:r w:rsidRPr="00F9522B">
              <w:rPr>
                <w:rFonts w:eastAsiaTheme="minorEastAsia"/>
                <w:kern w:val="0"/>
                <w:szCs w:val="21"/>
              </w:rPr>
              <w:t>值</w:t>
            </w:r>
            <w:r w:rsidRPr="00F9522B">
              <w:rPr>
                <w:rFonts w:eastAsiaTheme="minorEastAsia"/>
                <w:kern w:val="0"/>
                <w:szCs w:val="21"/>
              </w:rPr>
              <w:t>□</w:t>
            </w:r>
            <w:r w:rsidRPr="00F9522B">
              <w:rPr>
                <w:rFonts w:eastAsiaTheme="minorEastAsia"/>
                <w:kern w:val="0"/>
                <w:szCs w:val="21"/>
              </w:rPr>
              <w:t>；热污染</w:t>
            </w:r>
            <w:r w:rsidRPr="00F9522B">
              <w:rPr>
                <w:rFonts w:eastAsiaTheme="minorEastAsia"/>
                <w:kern w:val="0"/>
                <w:szCs w:val="21"/>
              </w:rPr>
              <w:t>□</w:t>
            </w:r>
            <w:r w:rsidRPr="00F9522B">
              <w:rPr>
                <w:rFonts w:eastAsiaTheme="minorEastAsia"/>
                <w:kern w:val="0"/>
                <w:szCs w:val="21"/>
              </w:rPr>
              <w:t>；富营养化</w:t>
            </w:r>
            <w:r w:rsidRPr="00F9522B">
              <w:rPr>
                <w:rFonts w:eastAsiaTheme="minorEastAsia"/>
                <w:kern w:val="0"/>
                <w:szCs w:val="21"/>
              </w:rPr>
              <w:t>□</w:t>
            </w:r>
            <w:r w:rsidRPr="00F9522B">
              <w:rPr>
                <w:rFonts w:eastAsiaTheme="minorEastAsia"/>
                <w:kern w:val="0"/>
                <w:szCs w:val="21"/>
              </w:rPr>
              <w:t>；其他</w:t>
            </w:r>
            <w:r w:rsidRPr="00F9522B">
              <w:rPr>
                <w:rFonts w:eastAsiaTheme="minorEastAsia"/>
                <w:kern w:val="0"/>
                <w:szCs w:val="21"/>
              </w:rPr>
              <w:t>□</w:t>
            </w:r>
          </w:p>
        </w:tc>
        <w:tc>
          <w:tcPr>
            <w:tcW w:w="6075"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jc w:val="left"/>
              <w:rPr>
                <w:rFonts w:eastAsiaTheme="minorEastAsia"/>
                <w:kern w:val="0"/>
                <w:szCs w:val="21"/>
              </w:rPr>
            </w:pPr>
            <w:r w:rsidRPr="00F9522B">
              <w:rPr>
                <w:rFonts w:eastAsiaTheme="minorEastAsia"/>
                <w:kern w:val="0"/>
                <w:szCs w:val="21"/>
              </w:rPr>
              <w:t>水温</w:t>
            </w:r>
            <w:r w:rsidRPr="00F9522B">
              <w:rPr>
                <w:rFonts w:eastAsiaTheme="minorEastAsia"/>
                <w:kern w:val="0"/>
                <w:szCs w:val="21"/>
              </w:rPr>
              <w:t>□</w:t>
            </w:r>
            <w:r w:rsidRPr="00F9522B">
              <w:rPr>
                <w:rFonts w:eastAsiaTheme="minorEastAsia"/>
                <w:kern w:val="0"/>
                <w:szCs w:val="21"/>
              </w:rPr>
              <w:t>；水位（水深</w:t>
            </w:r>
            <w:r w:rsidRPr="00F9522B">
              <w:rPr>
                <w:rFonts w:eastAsiaTheme="minorEastAsia"/>
                <w:kern w:val="0"/>
                <w:szCs w:val="21"/>
              </w:rPr>
              <w:t>□</w:t>
            </w:r>
            <w:r w:rsidRPr="00F9522B">
              <w:rPr>
                <w:rFonts w:eastAsiaTheme="minorEastAsia"/>
                <w:kern w:val="0"/>
                <w:szCs w:val="21"/>
              </w:rPr>
              <w:t>）；流速</w:t>
            </w:r>
            <w:r w:rsidRPr="00F9522B">
              <w:rPr>
                <w:rFonts w:eastAsiaTheme="minorEastAsia"/>
                <w:kern w:val="0"/>
                <w:szCs w:val="21"/>
              </w:rPr>
              <w:t>□</w:t>
            </w:r>
            <w:r w:rsidRPr="00F9522B">
              <w:rPr>
                <w:rFonts w:eastAsiaTheme="minorEastAsia"/>
                <w:kern w:val="0"/>
                <w:szCs w:val="21"/>
              </w:rPr>
              <w:t>；流量</w:t>
            </w:r>
            <w:r w:rsidRPr="00F9522B">
              <w:rPr>
                <w:rFonts w:eastAsiaTheme="minorEastAsia"/>
                <w:kern w:val="0"/>
                <w:szCs w:val="21"/>
              </w:rPr>
              <w:t>□</w:t>
            </w:r>
            <w:r w:rsidRPr="00F9522B">
              <w:rPr>
                <w:rFonts w:eastAsiaTheme="minorEastAsia"/>
                <w:kern w:val="0"/>
                <w:szCs w:val="21"/>
              </w:rPr>
              <w:t>；其他</w:t>
            </w:r>
            <w:r w:rsidRPr="00F9522B">
              <w:rPr>
                <w:rFonts w:eastAsiaTheme="minorEastAsia"/>
                <w:kern w:val="0"/>
                <w:szCs w:val="21"/>
              </w:rPr>
              <w:t>□</w:t>
            </w:r>
          </w:p>
        </w:tc>
      </w:tr>
      <w:tr w:rsidR="002A5A5E" w:rsidRPr="00F9522B">
        <w:trPr>
          <w:trHeight w:val="322"/>
        </w:trPr>
        <w:tc>
          <w:tcPr>
            <w:tcW w:w="2918" w:type="dxa"/>
            <w:gridSpan w:val="2"/>
            <w:vMerge w:val="restart"/>
            <w:tcBorders>
              <w:top w:val="single" w:sz="6"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评价等级</w:t>
            </w:r>
          </w:p>
        </w:tc>
        <w:tc>
          <w:tcPr>
            <w:tcW w:w="505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水污染影响型</w:t>
            </w:r>
          </w:p>
        </w:tc>
        <w:tc>
          <w:tcPr>
            <w:tcW w:w="6075"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水文要素影响型</w:t>
            </w:r>
          </w:p>
        </w:tc>
      </w:tr>
      <w:tr w:rsidR="002A5A5E" w:rsidRPr="00F9522B">
        <w:trPr>
          <w:trHeight w:val="170"/>
        </w:trPr>
        <w:tc>
          <w:tcPr>
            <w:tcW w:w="2918" w:type="dxa"/>
            <w:gridSpan w:val="2"/>
            <w:vMerge/>
            <w:tcBorders>
              <w:top w:val="single" w:sz="6"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kern w:val="0"/>
                <w:szCs w:val="21"/>
              </w:rPr>
            </w:pPr>
          </w:p>
        </w:tc>
        <w:tc>
          <w:tcPr>
            <w:tcW w:w="505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jc w:val="left"/>
              <w:rPr>
                <w:rFonts w:eastAsiaTheme="minorEastAsia"/>
                <w:kern w:val="0"/>
                <w:szCs w:val="21"/>
              </w:rPr>
            </w:pPr>
            <w:r w:rsidRPr="00F9522B">
              <w:rPr>
                <w:rFonts w:eastAsiaTheme="minorEastAsia"/>
                <w:kern w:val="0"/>
                <w:szCs w:val="21"/>
              </w:rPr>
              <w:t>一级</w:t>
            </w:r>
            <w:r w:rsidRPr="00F9522B">
              <w:rPr>
                <w:rFonts w:eastAsiaTheme="minorEastAsia"/>
                <w:kern w:val="0"/>
                <w:szCs w:val="21"/>
              </w:rPr>
              <w:t>□</w:t>
            </w:r>
            <w:r w:rsidRPr="00F9522B">
              <w:rPr>
                <w:rFonts w:eastAsiaTheme="minorEastAsia"/>
                <w:kern w:val="0"/>
                <w:szCs w:val="21"/>
              </w:rPr>
              <w:t>；二级</w:t>
            </w:r>
            <w:r w:rsidRPr="00F9522B">
              <w:rPr>
                <w:rFonts w:eastAsiaTheme="minorEastAsia"/>
                <w:kern w:val="0"/>
                <w:szCs w:val="21"/>
              </w:rPr>
              <w:t>□</w:t>
            </w:r>
            <w:r w:rsidRPr="00F9522B">
              <w:rPr>
                <w:rFonts w:eastAsiaTheme="minorEastAsia"/>
                <w:kern w:val="0"/>
                <w:szCs w:val="21"/>
              </w:rPr>
              <w:t>；三级</w:t>
            </w:r>
            <w:r w:rsidRPr="00F9522B">
              <w:rPr>
                <w:rFonts w:eastAsiaTheme="minorEastAsia"/>
                <w:kern w:val="0"/>
                <w:szCs w:val="21"/>
              </w:rPr>
              <w:t>A□</w:t>
            </w:r>
            <w:r w:rsidRPr="00F9522B">
              <w:rPr>
                <w:rFonts w:eastAsiaTheme="minorEastAsia"/>
                <w:kern w:val="0"/>
                <w:szCs w:val="21"/>
              </w:rPr>
              <w:t>；三级</w:t>
            </w:r>
            <w:r w:rsidRPr="00F9522B">
              <w:rPr>
                <w:rFonts w:eastAsiaTheme="minorEastAsia"/>
                <w:kern w:val="0"/>
                <w:szCs w:val="21"/>
              </w:rPr>
              <w:t>B√</w:t>
            </w:r>
          </w:p>
        </w:tc>
        <w:tc>
          <w:tcPr>
            <w:tcW w:w="6075"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jc w:val="left"/>
              <w:rPr>
                <w:rFonts w:eastAsiaTheme="minorEastAsia"/>
                <w:kern w:val="0"/>
                <w:szCs w:val="21"/>
              </w:rPr>
            </w:pPr>
            <w:r w:rsidRPr="00F9522B">
              <w:rPr>
                <w:rFonts w:eastAsiaTheme="minorEastAsia"/>
                <w:kern w:val="0"/>
                <w:szCs w:val="21"/>
              </w:rPr>
              <w:t>一级</w:t>
            </w:r>
            <w:r w:rsidRPr="00F9522B">
              <w:rPr>
                <w:rFonts w:eastAsiaTheme="minorEastAsia"/>
                <w:kern w:val="0"/>
                <w:szCs w:val="21"/>
              </w:rPr>
              <w:t>□</w:t>
            </w:r>
            <w:r w:rsidRPr="00F9522B">
              <w:rPr>
                <w:rFonts w:eastAsiaTheme="minorEastAsia"/>
                <w:kern w:val="0"/>
                <w:szCs w:val="21"/>
              </w:rPr>
              <w:t>；二级</w:t>
            </w:r>
            <w:r w:rsidRPr="00F9522B">
              <w:rPr>
                <w:rFonts w:eastAsiaTheme="minorEastAsia"/>
                <w:kern w:val="0"/>
                <w:szCs w:val="21"/>
              </w:rPr>
              <w:t>□</w:t>
            </w:r>
            <w:r w:rsidRPr="00F9522B">
              <w:rPr>
                <w:rFonts w:eastAsiaTheme="minorEastAsia"/>
                <w:kern w:val="0"/>
                <w:szCs w:val="21"/>
              </w:rPr>
              <w:t>；三级</w:t>
            </w:r>
            <w:r w:rsidRPr="00F9522B">
              <w:rPr>
                <w:rFonts w:eastAsiaTheme="minorEastAsia"/>
                <w:kern w:val="0"/>
                <w:szCs w:val="21"/>
              </w:rPr>
              <w:t>□</w:t>
            </w:r>
          </w:p>
        </w:tc>
      </w:tr>
      <w:tr w:rsidR="002A5A5E" w:rsidRPr="00F9522B">
        <w:trPr>
          <w:trHeight w:val="322"/>
        </w:trPr>
        <w:tc>
          <w:tcPr>
            <w:tcW w:w="389" w:type="dxa"/>
            <w:vMerge w:val="restart"/>
            <w:tcBorders>
              <w:top w:val="single" w:sz="6" w:space="0" w:color="000000" w:themeColor="text1"/>
              <w:left w:val="single" w:sz="12" w:space="0" w:color="000000" w:themeColor="text1"/>
              <w:bottom w:val="single" w:sz="12"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现状调查</w:t>
            </w:r>
          </w:p>
        </w:tc>
        <w:tc>
          <w:tcPr>
            <w:tcW w:w="2529"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区域污染源</w:t>
            </w:r>
          </w:p>
        </w:tc>
        <w:tc>
          <w:tcPr>
            <w:tcW w:w="505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调查项目</w:t>
            </w:r>
          </w:p>
        </w:tc>
        <w:tc>
          <w:tcPr>
            <w:tcW w:w="6075"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数据起源</w:t>
            </w:r>
          </w:p>
        </w:tc>
      </w:tr>
      <w:tr w:rsidR="002A5A5E" w:rsidRPr="00F9522B">
        <w:trPr>
          <w:trHeight w:val="675"/>
        </w:trPr>
        <w:tc>
          <w:tcPr>
            <w:tcW w:w="389" w:type="dxa"/>
            <w:vMerge/>
            <w:tcBorders>
              <w:top w:val="single" w:sz="6" w:space="0" w:color="000000" w:themeColor="text1"/>
              <w:left w:val="single" w:sz="12" w:space="0" w:color="000000" w:themeColor="text1"/>
              <w:bottom w:val="single" w:sz="12" w:space="0" w:color="000000" w:themeColor="text1"/>
              <w:right w:val="single" w:sz="6" w:space="0" w:color="000000" w:themeColor="text1"/>
            </w:tcBorders>
          </w:tcPr>
          <w:p w:rsidR="002A5A5E" w:rsidRPr="00F9522B" w:rsidRDefault="002A5A5E">
            <w:pPr>
              <w:widowControl/>
              <w:jc w:val="left"/>
              <w:rPr>
                <w:rFonts w:eastAsiaTheme="minorEastAsia"/>
                <w:kern w:val="0"/>
                <w:szCs w:val="21"/>
              </w:rPr>
            </w:pPr>
          </w:p>
        </w:tc>
        <w:tc>
          <w:tcPr>
            <w:tcW w:w="2529"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kern w:val="0"/>
                <w:szCs w:val="21"/>
              </w:rPr>
            </w:pPr>
          </w:p>
        </w:tc>
        <w:tc>
          <w:tcPr>
            <w:tcW w:w="238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已建</w:t>
            </w:r>
            <w:r w:rsidRPr="00F9522B">
              <w:rPr>
                <w:rFonts w:eastAsiaTheme="minorEastAsia"/>
                <w:kern w:val="0"/>
                <w:szCs w:val="21"/>
              </w:rPr>
              <w:t>√</w:t>
            </w:r>
            <w:r w:rsidRPr="00F9522B">
              <w:rPr>
                <w:rFonts w:eastAsiaTheme="minorEastAsia"/>
                <w:kern w:val="0"/>
                <w:szCs w:val="21"/>
              </w:rPr>
              <w:t>；在建</w:t>
            </w:r>
            <w:r w:rsidRPr="00F9522B">
              <w:rPr>
                <w:rFonts w:eastAsiaTheme="minorEastAsia"/>
                <w:kern w:val="0"/>
                <w:szCs w:val="21"/>
              </w:rPr>
              <w:t>□</w:t>
            </w:r>
            <w:r w:rsidRPr="00F9522B">
              <w:rPr>
                <w:rFonts w:eastAsiaTheme="minorEastAsia"/>
                <w:kern w:val="0"/>
                <w:szCs w:val="21"/>
              </w:rPr>
              <w:t>；拟建</w:t>
            </w:r>
            <w:r w:rsidRPr="00F9522B">
              <w:rPr>
                <w:rFonts w:eastAsiaTheme="minorEastAsia"/>
                <w:kern w:val="0"/>
                <w:szCs w:val="21"/>
              </w:rPr>
              <w:t>□</w:t>
            </w:r>
            <w:r w:rsidRPr="00F9522B">
              <w:rPr>
                <w:rFonts w:eastAsiaTheme="minorEastAsia"/>
                <w:kern w:val="0"/>
                <w:szCs w:val="21"/>
              </w:rPr>
              <w:t>；其他</w:t>
            </w:r>
            <w:r w:rsidRPr="00F9522B">
              <w:rPr>
                <w:rFonts w:eastAsiaTheme="minorEastAsia"/>
                <w:kern w:val="0"/>
                <w:szCs w:val="21"/>
              </w:rPr>
              <w:t>□</w:t>
            </w:r>
          </w:p>
        </w:tc>
        <w:tc>
          <w:tcPr>
            <w:tcW w:w="26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拟替代的污染源</w:t>
            </w:r>
            <w:r w:rsidRPr="00F9522B">
              <w:rPr>
                <w:rFonts w:eastAsiaTheme="minorEastAsia"/>
                <w:kern w:val="0"/>
                <w:szCs w:val="21"/>
              </w:rPr>
              <w:t>□</w:t>
            </w:r>
          </w:p>
        </w:tc>
        <w:tc>
          <w:tcPr>
            <w:tcW w:w="6075"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排污许可证</w:t>
            </w:r>
            <w:r w:rsidRPr="00F9522B">
              <w:rPr>
                <w:rFonts w:eastAsiaTheme="minorEastAsia"/>
                <w:kern w:val="0"/>
                <w:szCs w:val="21"/>
              </w:rPr>
              <w:t>□</w:t>
            </w:r>
            <w:r w:rsidRPr="00F9522B">
              <w:rPr>
                <w:rFonts w:eastAsiaTheme="minorEastAsia"/>
                <w:kern w:val="0"/>
                <w:szCs w:val="21"/>
              </w:rPr>
              <w:t>；环评</w:t>
            </w:r>
            <w:r w:rsidRPr="00F9522B">
              <w:rPr>
                <w:rFonts w:eastAsiaTheme="minorEastAsia"/>
                <w:kern w:val="0"/>
                <w:szCs w:val="21"/>
              </w:rPr>
              <w:t>□</w:t>
            </w:r>
            <w:r w:rsidRPr="00F9522B">
              <w:rPr>
                <w:rFonts w:eastAsiaTheme="minorEastAsia"/>
                <w:kern w:val="0"/>
                <w:szCs w:val="21"/>
              </w:rPr>
              <w:t>；环保验收</w:t>
            </w:r>
            <w:r w:rsidRPr="00F9522B">
              <w:rPr>
                <w:rFonts w:eastAsiaTheme="minorEastAsia"/>
                <w:kern w:val="0"/>
                <w:szCs w:val="21"/>
              </w:rPr>
              <w:t>□</w:t>
            </w:r>
            <w:r w:rsidRPr="00F9522B">
              <w:rPr>
                <w:rFonts w:eastAsiaTheme="minorEastAsia"/>
                <w:kern w:val="0"/>
                <w:szCs w:val="21"/>
              </w:rPr>
              <w:t>；既有实测</w:t>
            </w:r>
            <w:r w:rsidRPr="00F9522B">
              <w:rPr>
                <w:rFonts w:eastAsiaTheme="minorEastAsia"/>
                <w:kern w:val="0"/>
                <w:szCs w:val="21"/>
              </w:rPr>
              <w:t>□</w:t>
            </w:r>
            <w:r w:rsidRPr="00F9522B">
              <w:rPr>
                <w:rFonts w:eastAsiaTheme="minorEastAsia"/>
                <w:kern w:val="0"/>
                <w:szCs w:val="21"/>
              </w:rPr>
              <w:t>；现场监测</w:t>
            </w:r>
            <w:r w:rsidRPr="00F9522B">
              <w:rPr>
                <w:rFonts w:eastAsiaTheme="minorEastAsia"/>
                <w:kern w:val="0"/>
                <w:szCs w:val="21"/>
              </w:rPr>
              <w:t>□</w:t>
            </w:r>
            <w:r w:rsidRPr="00F9522B">
              <w:rPr>
                <w:rFonts w:eastAsiaTheme="minorEastAsia"/>
                <w:kern w:val="0"/>
                <w:szCs w:val="21"/>
              </w:rPr>
              <w:t>；入河排放口数据</w:t>
            </w:r>
            <w:r w:rsidR="00660C23" w:rsidRPr="00F9522B">
              <w:rPr>
                <w:rFonts w:eastAsiaTheme="minorEastAsia"/>
                <w:kern w:val="0"/>
                <w:szCs w:val="21"/>
              </w:rPr>
              <w:t>□</w:t>
            </w:r>
            <w:r w:rsidRPr="00F9522B">
              <w:rPr>
                <w:rFonts w:eastAsiaTheme="minorEastAsia"/>
                <w:kern w:val="0"/>
                <w:szCs w:val="21"/>
              </w:rPr>
              <w:t>；其他</w:t>
            </w:r>
            <w:r w:rsidRPr="00F9522B">
              <w:rPr>
                <w:rFonts w:eastAsiaTheme="minorEastAsia"/>
                <w:kern w:val="0"/>
                <w:szCs w:val="21"/>
              </w:rPr>
              <w:t>□</w:t>
            </w:r>
          </w:p>
        </w:tc>
      </w:tr>
      <w:tr w:rsidR="002A5A5E" w:rsidRPr="00F9522B">
        <w:trPr>
          <w:trHeight w:val="369"/>
        </w:trPr>
        <w:tc>
          <w:tcPr>
            <w:tcW w:w="389" w:type="dxa"/>
            <w:vMerge/>
            <w:tcBorders>
              <w:top w:val="single" w:sz="6" w:space="0" w:color="000000" w:themeColor="text1"/>
              <w:left w:val="single" w:sz="12" w:space="0" w:color="000000" w:themeColor="text1"/>
              <w:bottom w:val="single" w:sz="12" w:space="0" w:color="000000" w:themeColor="text1"/>
              <w:right w:val="single" w:sz="6" w:space="0" w:color="000000" w:themeColor="text1"/>
            </w:tcBorders>
          </w:tcPr>
          <w:p w:rsidR="002A5A5E" w:rsidRPr="00F9522B" w:rsidRDefault="002A5A5E">
            <w:pPr>
              <w:widowControl/>
              <w:jc w:val="left"/>
              <w:rPr>
                <w:rFonts w:eastAsiaTheme="minorEastAsia"/>
                <w:kern w:val="0"/>
                <w:szCs w:val="21"/>
              </w:rPr>
            </w:pPr>
          </w:p>
        </w:tc>
        <w:tc>
          <w:tcPr>
            <w:tcW w:w="2529"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受影响水体环境质量</w:t>
            </w:r>
          </w:p>
        </w:tc>
        <w:tc>
          <w:tcPr>
            <w:tcW w:w="505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调查时期</w:t>
            </w:r>
          </w:p>
        </w:tc>
        <w:tc>
          <w:tcPr>
            <w:tcW w:w="6075"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数据起源</w:t>
            </w:r>
          </w:p>
        </w:tc>
      </w:tr>
      <w:tr w:rsidR="002A5A5E" w:rsidRPr="00F9522B">
        <w:trPr>
          <w:trHeight w:val="675"/>
        </w:trPr>
        <w:tc>
          <w:tcPr>
            <w:tcW w:w="389" w:type="dxa"/>
            <w:vMerge/>
            <w:tcBorders>
              <w:top w:val="single" w:sz="6" w:space="0" w:color="000000" w:themeColor="text1"/>
              <w:left w:val="single" w:sz="12" w:space="0" w:color="000000" w:themeColor="text1"/>
              <w:bottom w:val="single" w:sz="12" w:space="0" w:color="000000" w:themeColor="text1"/>
              <w:right w:val="single" w:sz="6" w:space="0" w:color="000000" w:themeColor="text1"/>
            </w:tcBorders>
          </w:tcPr>
          <w:p w:rsidR="002A5A5E" w:rsidRPr="00F9522B" w:rsidRDefault="002A5A5E">
            <w:pPr>
              <w:widowControl/>
              <w:jc w:val="left"/>
              <w:rPr>
                <w:rFonts w:eastAsiaTheme="minorEastAsia"/>
                <w:kern w:val="0"/>
                <w:szCs w:val="21"/>
              </w:rPr>
            </w:pPr>
          </w:p>
        </w:tc>
        <w:tc>
          <w:tcPr>
            <w:tcW w:w="2529"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kern w:val="0"/>
                <w:szCs w:val="21"/>
              </w:rPr>
            </w:pPr>
          </w:p>
        </w:tc>
        <w:tc>
          <w:tcPr>
            <w:tcW w:w="505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jc w:val="left"/>
              <w:rPr>
                <w:rFonts w:eastAsiaTheme="minorEastAsia"/>
                <w:kern w:val="0"/>
                <w:szCs w:val="21"/>
              </w:rPr>
            </w:pPr>
            <w:r w:rsidRPr="00F9522B">
              <w:rPr>
                <w:rFonts w:eastAsiaTheme="minorEastAsia"/>
                <w:kern w:val="0"/>
                <w:szCs w:val="21"/>
              </w:rPr>
              <w:t>丰水期</w:t>
            </w:r>
            <w:r w:rsidRPr="00F9522B">
              <w:rPr>
                <w:rFonts w:eastAsiaTheme="minorEastAsia"/>
                <w:kern w:val="0"/>
                <w:szCs w:val="21"/>
              </w:rPr>
              <w:t>□</w:t>
            </w:r>
            <w:r w:rsidRPr="00F9522B">
              <w:rPr>
                <w:rFonts w:eastAsiaTheme="minorEastAsia"/>
                <w:kern w:val="0"/>
                <w:szCs w:val="21"/>
              </w:rPr>
              <w:t>；平水期</w:t>
            </w:r>
            <w:r w:rsidRPr="00F9522B">
              <w:rPr>
                <w:rFonts w:eastAsiaTheme="minorEastAsia"/>
                <w:kern w:val="0"/>
                <w:szCs w:val="21"/>
              </w:rPr>
              <w:t>□</w:t>
            </w:r>
            <w:r w:rsidRPr="00F9522B">
              <w:rPr>
                <w:rFonts w:eastAsiaTheme="minorEastAsia"/>
                <w:kern w:val="0"/>
                <w:szCs w:val="21"/>
              </w:rPr>
              <w:t>；枯水期</w:t>
            </w:r>
            <w:r w:rsidRPr="00F9522B">
              <w:rPr>
                <w:rFonts w:eastAsiaTheme="minorEastAsia"/>
                <w:kern w:val="0"/>
                <w:szCs w:val="21"/>
              </w:rPr>
              <w:t>□</w:t>
            </w:r>
            <w:r w:rsidRPr="00F9522B">
              <w:rPr>
                <w:rFonts w:eastAsiaTheme="minorEastAsia"/>
                <w:kern w:val="0"/>
                <w:szCs w:val="21"/>
              </w:rPr>
              <w:t>；冰封期</w:t>
            </w:r>
            <w:r w:rsidRPr="00F9522B">
              <w:rPr>
                <w:rFonts w:eastAsiaTheme="minorEastAsia"/>
                <w:kern w:val="0"/>
                <w:szCs w:val="21"/>
              </w:rPr>
              <w:t>□</w:t>
            </w:r>
          </w:p>
          <w:p w:rsidR="002A5A5E" w:rsidRPr="00F9522B" w:rsidRDefault="00611CBA">
            <w:pPr>
              <w:jc w:val="left"/>
              <w:rPr>
                <w:rFonts w:eastAsiaTheme="minorEastAsia"/>
                <w:kern w:val="0"/>
                <w:szCs w:val="21"/>
              </w:rPr>
            </w:pPr>
            <w:r w:rsidRPr="00F9522B">
              <w:rPr>
                <w:rFonts w:eastAsiaTheme="minorEastAsia"/>
                <w:kern w:val="0"/>
                <w:szCs w:val="21"/>
              </w:rPr>
              <w:t>春季</w:t>
            </w:r>
            <w:r w:rsidRPr="00F9522B">
              <w:rPr>
                <w:rFonts w:eastAsiaTheme="minorEastAsia"/>
                <w:kern w:val="0"/>
                <w:szCs w:val="21"/>
              </w:rPr>
              <w:t>√</w:t>
            </w:r>
            <w:r w:rsidRPr="00F9522B">
              <w:rPr>
                <w:rFonts w:eastAsiaTheme="minorEastAsia"/>
                <w:kern w:val="0"/>
                <w:szCs w:val="21"/>
              </w:rPr>
              <w:t>；夏季</w:t>
            </w:r>
            <w:r w:rsidRPr="00F9522B">
              <w:rPr>
                <w:rFonts w:eastAsiaTheme="minorEastAsia"/>
                <w:kern w:val="0"/>
                <w:szCs w:val="21"/>
              </w:rPr>
              <w:t>√</w:t>
            </w:r>
            <w:r w:rsidRPr="00F9522B">
              <w:rPr>
                <w:rFonts w:eastAsiaTheme="minorEastAsia"/>
                <w:kern w:val="0"/>
                <w:szCs w:val="21"/>
              </w:rPr>
              <w:t>；秋季</w:t>
            </w:r>
            <w:r w:rsidRPr="00F9522B">
              <w:rPr>
                <w:rFonts w:eastAsiaTheme="minorEastAsia"/>
                <w:kern w:val="0"/>
                <w:szCs w:val="21"/>
              </w:rPr>
              <w:t>√</w:t>
            </w:r>
            <w:r w:rsidRPr="00F9522B">
              <w:rPr>
                <w:rFonts w:eastAsiaTheme="minorEastAsia"/>
                <w:kern w:val="0"/>
                <w:szCs w:val="21"/>
              </w:rPr>
              <w:t>；冬季</w:t>
            </w:r>
            <w:r w:rsidRPr="00F9522B">
              <w:rPr>
                <w:rFonts w:eastAsiaTheme="minorEastAsia"/>
                <w:kern w:val="0"/>
                <w:szCs w:val="21"/>
              </w:rPr>
              <w:t>√</w:t>
            </w:r>
          </w:p>
        </w:tc>
        <w:tc>
          <w:tcPr>
            <w:tcW w:w="6075"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生态环境保护主管部门</w:t>
            </w:r>
            <w:r w:rsidRPr="00F9522B">
              <w:rPr>
                <w:rFonts w:eastAsiaTheme="minorEastAsia"/>
                <w:kern w:val="0"/>
                <w:szCs w:val="21"/>
              </w:rPr>
              <w:t>□</w:t>
            </w:r>
            <w:r w:rsidRPr="00F9522B">
              <w:rPr>
                <w:rFonts w:eastAsiaTheme="minorEastAsia"/>
                <w:kern w:val="0"/>
                <w:szCs w:val="21"/>
              </w:rPr>
              <w:t>；补充监测</w:t>
            </w:r>
            <w:r w:rsidRPr="00F9522B">
              <w:rPr>
                <w:rFonts w:eastAsiaTheme="minorEastAsia"/>
                <w:kern w:val="0"/>
                <w:szCs w:val="21"/>
              </w:rPr>
              <w:t>□</w:t>
            </w:r>
            <w:r w:rsidRPr="00F9522B">
              <w:rPr>
                <w:rFonts w:eastAsiaTheme="minorEastAsia"/>
                <w:kern w:val="0"/>
                <w:szCs w:val="21"/>
              </w:rPr>
              <w:t>；其他</w:t>
            </w:r>
            <w:r w:rsidRPr="00F9522B">
              <w:rPr>
                <w:rFonts w:eastAsiaTheme="minorEastAsia"/>
                <w:kern w:val="0"/>
                <w:szCs w:val="21"/>
              </w:rPr>
              <w:t>□</w:t>
            </w:r>
          </w:p>
        </w:tc>
      </w:tr>
      <w:tr w:rsidR="002A5A5E" w:rsidRPr="00F9522B">
        <w:trPr>
          <w:trHeight w:val="353"/>
        </w:trPr>
        <w:tc>
          <w:tcPr>
            <w:tcW w:w="389" w:type="dxa"/>
            <w:vMerge/>
            <w:tcBorders>
              <w:top w:val="single" w:sz="6" w:space="0" w:color="000000" w:themeColor="text1"/>
              <w:left w:val="single" w:sz="12" w:space="0" w:color="000000" w:themeColor="text1"/>
              <w:bottom w:val="single" w:sz="12" w:space="0" w:color="000000" w:themeColor="text1"/>
              <w:right w:val="single" w:sz="6" w:space="0" w:color="000000" w:themeColor="text1"/>
            </w:tcBorders>
          </w:tcPr>
          <w:p w:rsidR="002A5A5E" w:rsidRPr="00F9522B" w:rsidRDefault="002A5A5E">
            <w:pPr>
              <w:widowControl/>
              <w:jc w:val="left"/>
              <w:rPr>
                <w:rFonts w:eastAsiaTheme="minorEastAsia"/>
                <w:kern w:val="0"/>
                <w:szCs w:val="21"/>
              </w:rPr>
            </w:pPr>
          </w:p>
        </w:tc>
        <w:tc>
          <w:tcPr>
            <w:tcW w:w="25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区域水资源开发利用状况</w:t>
            </w:r>
          </w:p>
        </w:tc>
        <w:tc>
          <w:tcPr>
            <w:tcW w:w="11134" w:type="dxa"/>
            <w:gridSpan w:val="3"/>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jc w:val="left"/>
              <w:rPr>
                <w:rFonts w:eastAsiaTheme="minorEastAsia"/>
                <w:kern w:val="0"/>
                <w:szCs w:val="21"/>
              </w:rPr>
            </w:pPr>
            <w:r w:rsidRPr="00F9522B">
              <w:rPr>
                <w:rFonts w:eastAsiaTheme="minorEastAsia"/>
                <w:kern w:val="0"/>
                <w:szCs w:val="21"/>
              </w:rPr>
              <w:t>未开发</w:t>
            </w:r>
            <w:r w:rsidRPr="00F9522B">
              <w:rPr>
                <w:rFonts w:eastAsiaTheme="minorEastAsia"/>
                <w:kern w:val="0"/>
                <w:szCs w:val="21"/>
              </w:rPr>
              <w:t>□</w:t>
            </w:r>
            <w:r w:rsidRPr="00F9522B">
              <w:rPr>
                <w:rFonts w:eastAsiaTheme="minorEastAsia"/>
                <w:kern w:val="0"/>
                <w:szCs w:val="21"/>
              </w:rPr>
              <w:t>；开发量</w:t>
            </w:r>
            <w:r w:rsidRPr="00F9522B">
              <w:rPr>
                <w:rFonts w:eastAsiaTheme="minorEastAsia"/>
                <w:kern w:val="0"/>
                <w:szCs w:val="21"/>
              </w:rPr>
              <w:t>40%</w:t>
            </w:r>
            <w:r w:rsidRPr="00F9522B">
              <w:rPr>
                <w:rFonts w:eastAsiaTheme="minorEastAsia"/>
                <w:kern w:val="0"/>
                <w:szCs w:val="21"/>
              </w:rPr>
              <w:t>以下</w:t>
            </w:r>
            <w:r w:rsidRPr="00F9522B">
              <w:rPr>
                <w:rFonts w:eastAsiaTheme="minorEastAsia"/>
                <w:kern w:val="0"/>
                <w:szCs w:val="21"/>
              </w:rPr>
              <w:t>□</w:t>
            </w:r>
            <w:r w:rsidRPr="00F9522B">
              <w:rPr>
                <w:rFonts w:eastAsiaTheme="minorEastAsia"/>
                <w:kern w:val="0"/>
                <w:szCs w:val="21"/>
              </w:rPr>
              <w:t>；开发量</w:t>
            </w:r>
            <w:r w:rsidRPr="00F9522B">
              <w:rPr>
                <w:rFonts w:eastAsiaTheme="minorEastAsia"/>
                <w:kern w:val="0"/>
                <w:szCs w:val="21"/>
              </w:rPr>
              <w:t>40%</w:t>
            </w:r>
            <w:r w:rsidRPr="00F9522B">
              <w:rPr>
                <w:rFonts w:eastAsiaTheme="minorEastAsia"/>
                <w:kern w:val="0"/>
                <w:szCs w:val="21"/>
              </w:rPr>
              <w:t>以上</w:t>
            </w:r>
            <w:r w:rsidRPr="00F9522B">
              <w:rPr>
                <w:rFonts w:eastAsiaTheme="minorEastAsia"/>
                <w:kern w:val="0"/>
                <w:szCs w:val="21"/>
              </w:rPr>
              <w:t>□</w:t>
            </w:r>
          </w:p>
        </w:tc>
      </w:tr>
      <w:tr w:rsidR="002A5A5E" w:rsidRPr="00F9522B">
        <w:trPr>
          <w:trHeight w:val="353"/>
        </w:trPr>
        <w:tc>
          <w:tcPr>
            <w:tcW w:w="389" w:type="dxa"/>
            <w:vMerge/>
            <w:tcBorders>
              <w:top w:val="single" w:sz="6" w:space="0" w:color="000000" w:themeColor="text1"/>
              <w:left w:val="single" w:sz="12" w:space="0" w:color="000000" w:themeColor="text1"/>
              <w:bottom w:val="single" w:sz="12" w:space="0" w:color="000000" w:themeColor="text1"/>
              <w:right w:val="single" w:sz="6" w:space="0" w:color="000000" w:themeColor="text1"/>
            </w:tcBorders>
          </w:tcPr>
          <w:p w:rsidR="002A5A5E" w:rsidRPr="00F9522B" w:rsidRDefault="002A5A5E">
            <w:pPr>
              <w:widowControl/>
              <w:jc w:val="left"/>
              <w:rPr>
                <w:rFonts w:eastAsiaTheme="minorEastAsia"/>
                <w:kern w:val="0"/>
                <w:szCs w:val="21"/>
              </w:rPr>
            </w:pPr>
          </w:p>
        </w:tc>
        <w:tc>
          <w:tcPr>
            <w:tcW w:w="2529" w:type="dxa"/>
            <w:vMerge w:val="restart"/>
            <w:tcBorders>
              <w:top w:val="single" w:sz="6" w:space="0" w:color="000000" w:themeColor="text1"/>
              <w:left w:val="single" w:sz="6" w:space="0" w:color="000000" w:themeColor="text1"/>
              <w:bottom w:val="single" w:sz="12"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水文情势调查</w:t>
            </w:r>
          </w:p>
        </w:tc>
        <w:tc>
          <w:tcPr>
            <w:tcW w:w="505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调查时期</w:t>
            </w:r>
          </w:p>
        </w:tc>
        <w:tc>
          <w:tcPr>
            <w:tcW w:w="6075"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数据来源</w:t>
            </w:r>
          </w:p>
        </w:tc>
      </w:tr>
      <w:tr w:rsidR="002A5A5E" w:rsidRPr="00F9522B">
        <w:trPr>
          <w:trHeight w:val="690"/>
        </w:trPr>
        <w:tc>
          <w:tcPr>
            <w:tcW w:w="389" w:type="dxa"/>
            <w:vMerge/>
            <w:tcBorders>
              <w:top w:val="single" w:sz="6" w:space="0" w:color="000000" w:themeColor="text1"/>
              <w:left w:val="single" w:sz="12" w:space="0" w:color="000000" w:themeColor="text1"/>
              <w:bottom w:val="single" w:sz="12" w:space="0" w:color="000000" w:themeColor="text1"/>
              <w:right w:val="single" w:sz="6" w:space="0" w:color="000000" w:themeColor="text1"/>
            </w:tcBorders>
          </w:tcPr>
          <w:p w:rsidR="002A5A5E" w:rsidRPr="00F9522B" w:rsidRDefault="002A5A5E">
            <w:pPr>
              <w:widowControl/>
              <w:jc w:val="left"/>
              <w:rPr>
                <w:rFonts w:eastAsiaTheme="minorEastAsia"/>
                <w:kern w:val="0"/>
                <w:szCs w:val="21"/>
              </w:rPr>
            </w:pPr>
          </w:p>
        </w:tc>
        <w:tc>
          <w:tcPr>
            <w:tcW w:w="2529" w:type="dxa"/>
            <w:vMerge/>
            <w:tcBorders>
              <w:top w:val="single" w:sz="6" w:space="0" w:color="000000" w:themeColor="text1"/>
              <w:left w:val="single" w:sz="6" w:space="0" w:color="000000" w:themeColor="text1"/>
              <w:bottom w:val="single" w:sz="12" w:space="0" w:color="000000" w:themeColor="text1"/>
              <w:right w:val="single" w:sz="6" w:space="0" w:color="000000" w:themeColor="text1"/>
            </w:tcBorders>
          </w:tcPr>
          <w:p w:rsidR="002A5A5E" w:rsidRPr="00F9522B" w:rsidRDefault="002A5A5E">
            <w:pPr>
              <w:widowControl/>
              <w:jc w:val="left"/>
              <w:rPr>
                <w:rFonts w:eastAsiaTheme="minorEastAsia"/>
                <w:kern w:val="0"/>
                <w:szCs w:val="21"/>
              </w:rPr>
            </w:pPr>
          </w:p>
        </w:tc>
        <w:tc>
          <w:tcPr>
            <w:tcW w:w="5059" w:type="dxa"/>
            <w:gridSpan w:val="2"/>
            <w:tcBorders>
              <w:top w:val="single" w:sz="6" w:space="0" w:color="000000" w:themeColor="text1"/>
              <w:left w:val="single" w:sz="6" w:space="0" w:color="000000" w:themeColor="text1"/>
              <w:bottom w:val="single" w:sz="12" w:space="0" w:color="000000" w:themeColor="text1"/>
              <w:right w:val="single" w:sz="6" w:space="0" w:color="000000" w:themeColor="text1"/>
            </w:tcBorders>
          </w:tcPr>
          <w:p w:rsidR="002A5A5E" w:rsidRPr="00F9522B" w:rsidRDefault="00611CBA">
            <w:pPr>
              <w:jc w:val="left"/>
              <w:rPr>
                <w:rFonts w:eastAsiaTheme="minorEastAsia"/>
                <w:kern w:val="0"/>
                <w:szCs w:val="21"/>
              </w:rPr>
            </w:pPr>
            <w:r w:rsidRPr="00F9522B">
              <w:rPr>
                <w:rFonts w:eastAsiaTheme="minorEastAsia"/>
                <w:kern w:val="0"/>
                <w:szCs w:val="21"/>
              </w:rPr>
              <w:t>丰水期</w:t>
            </w:r>
            <w:r w:rsidRPr="00F9522B">
              <w:rPr>
                <w:rFonts w:eastAsiaTheme="minorEastAsia"/>
                <w:kern w:val="0"/>
                <w:szCs w:val="21"/>
              </w:rPr>
              <w:t>□</w:t>
            </w:r>
            <w:r w:rsidRPr="00F9522B">
              <w:rPr>
                <w:rFonts w:eastAsiaTheme="minorEastAsia"/>
                <w:kern w:val="0"/>
                <w:szCs w:val="21"/>
              </w:rPr>
              <w:t>；平水期</w:t>
            </w:r>
            <w:r w:rsidRPr="00F9522B">
              <w:rPr>
                <w:rFonts w:eastAsiaTheme="minorEastAsia"/>
                <w:kern w:val="0"/>
                <w:szCs w:val="21"/>
              </w:rPr>
              <w:t>□</w:t>
            </w:r>
            <w:r w:rsidRPr="00F9522B">
              <w:rPr>
                <w:rFonts w:eastAsiaTheme="minorEastAsia"/>
                <w:kern w:val="0"/>
                <w:szCs w:val="21"/>
              </w:rPr>
              <w:t>；枯水期</w:t>
            </w:r>
            <w:r w:rsidRPr="00F9522B">
              <w:rPr>
                <w:rFonts w:eastAsiaTheme="minorEastAsia"/>
                <w:kern w:val="0"/>
                <w:szCs w:val="21"/>
              </w:rPr>
              <w:t>□</w:t>
            </w:r>
            <w:r w:rsidRPr="00F9522B">
              <w:rPr>
                <w:rFonts w:eastAsiaTheme="minorEastAsia"/>
                <w:kern w:val="0"/>
                <w:szCs w:val="21"/>
              </w:rPr>
              <w:t>；冰封期</w:t>
            </w:r>
            <w:r w:rsidRPr="00F9522B">
              <w:rPr>
                <w:rFonts w:eastAsiaTheme="minorEastAsia"/>
                <w:kern w:val="0"/>
                <w:szCs w:val="21"/>
              </w:rPr>
              <w:t>□</w:t>
            </w:r>
          </w:p>
          <w:p w:rsidR="002A5A5E" w:rsidRPr="00F9522B" w:rsidRDefault="00611CBA">
            <w:pPr>
              <w:jc w:val="left"/>
              <w:rPr>
                <w:rFonts w:eastAsiaTheme="minorEastAsia"/>
                <w:kern w:val="0"/>
                <w:szCs w:val="21"/>
              </w:rPr>
            </w:pPr>
            <w:r w:rsidRPr="00F9522B">
              <w:rPr>
                <w:rFonts w:eastAsiaTheme="minorEastAsia"/>
                <w:kern w:val="0"/>
                <w:szCs w:val="21"/>
              </w:rPr>
              <w:t>春季</w:t>
            </w:r>
            <w:r w:rsidRPr="00F9522B">
              <w:rPr>
                <w:rFonts w:eastAsiaTheme="minorEastAsia"/>
                <w:kern w:val="0"/>
                <w:szCs w:val="21"/>
              </w:rPr>
              <w:t>□</w:t>
            </w:r>
            <w:r w:rsidRPr="00F9522B">
              <w:rPr>
                <w:rFonts w:eastAsiaTheme="minorEastAsia"/>
                <w:kern w:val="0"/>
                <w:szCs w:val="21"/>
              </w:rPr>
              <w:t>；夏季</w:t>
            </w:r>
            <w:r w:rsidRPr="00F9522B">
              <w:rPr>
                <w:rFonts w:eastAsiaTheme="minorEastAsia"/>
                <w:kern w:val="0"/>
                <w:szCs w:val="21"/>
              </w:rPr>
              <w:t>□</w:t>
            </w:r>
            <w:r w:rsidRPr="00F9522B">
              <w:rPr>
                <w:rFonts w:eastAsiaTheme="minorEastAsia"/>
                <w:kern w:val="0"/>
                <w:szCs w:val="21"/>
              </w:rPr>
              <w:t>；秋季</w:t>
            </w:r>
            <w:r w:rsidRPr="00F9522B">
              <w:rPr>
                <w:rFonts w:eastAsiaTheme="minorEastAsia"/>
                <w:kern w:val="0"/>
                <w:szCs w:val="21"/>
              </w:rPr>
              <w:t>□</w:t>
            </w:r>
            <w:r w:rsidRPr="00F9522B">
              <w:rPr>
                <w:rFonts w:eastAsiaTheme="minorEastAsia"/>
                <w:kern w:val="0"/>
                <w:szCs w:val="21"/>
              </w:rPr>
              <w:t>；冬季</w:t>
            </w:r>
            <w:r w:rsidRPr="00F9522B">
              <w:rPr>
                <w:rFonts w:eastAsiaTheme="minorEastAsia"/>
                <w:kern w:val="0"/>
                <w:szCs w:val="21"/>
              </w:rPr>
              <w:t>□</w:t>
            </w:r>
          </w:p>
        </w:tc>
        <w:tc>
          <w:tcPr>
            <w:tcW w:w="6075" w:type="dxa"/>
            <w:tcBorders>
              <w:top w:val="single" w:sz="6" w:space="0" w:color="000000" w:themeColor="text1"/>
              <w:left w:val="single" w:sz="6" w:space="0" w:color="000000" w:themeColor="text1"/>
              <w:bottom w:val="single" w:sz="12" w:space="0" w:color="000000" w:themeColor="text1"/>
              <w:right w:val="single" w:sz="12" w:space="0" w:color="000000" w:themeColor="text1"/>
            </w:tcBorders>
          </w:tcPr>
          <w:p w:rsidR="002A5A5E" w:rsidRPr="00F9522B" w:rsidRDefault="00611CBA">
            <w:pPr>
              <w:jc w:val="left"/>
              <w:rPr>
                <w:rFonts w:eastAsiaTheme="minorEastAsia"/>
                <w:kern w:val="0"/>
                <w:szCs w:val="21"/>
              </w:rPr>
            </w:pPr>
            <w:r w:rsidRPr="00F9522B">
              <w:rPr>
                <w:rFonts w:eastAsiaTheme="minorEastAsia"/>
                <w:kern w:val="0"/>
                <w:szCs w:val="21"/>
              </w:rPr>
              <w:t>水行政主管部门</w:t>
            </w:r>
            <w:r w:rsidRPr="00F9522B">
              <w:rPr>
                <w:rFonts w:eastAsiaTheme="minorEastAsia"/>
                <w:kern w:val="0"/>
                <w:szCs w:val="21"/>
              </w:rPr>
              <w:t>□</w:t>
            </w:r>
            <w:r w:rsidRPr="00F9522B">
              <w:rPr>
                <w:rFonts w:eastAsiaTheme="minorEastAsia"/>
                <w:kern w:val="0"/>
                <w:szCs w:val="21"/>
              </w:rPr>
              <w:t>；补充监测</w:t>
            </w:r>
            <w:r w:rsidRPr="00F9522B">
              <w:rPr>
                <w:rFonts w:eastAsiaTheme="minorEastAsia"/>
                <w:kern w:val="0"/>
                <w:szCs w:val="21"/>
              </w:rPr>
              <w:t>□</w:t>
            </w:r>
            <w:r w:rsidRPr="00F9522B">
              <w:rPr>
                <w:rFonts w:eastAsiaTheme="minorEastAsia"/>
                <w:kern w:val="0"/>
                <w:szCs w:val="21"/>
              </w:rPr>
              <w:t>；其他</w:t>
            </w:r>
            <w:r w:rsidRPr="00F9522B">
              <w:rPr>
                <w:rFonts w:eastAsiaTheme="minorEastAsia"/>
                <w:kern w:val="0"/>
                <w:szCs w:val="21"/>
              </w:rPr>
              <w:t>□</w:t>
            </w:r>
          </w:p>
        </w:tc>
      </w:tr>
    </w:tbl>
    <w:p w:rsidR="002A5A5E" w:rsidRPr="00F9522B" w:rsidRDefault="00611CBA">
      <w:pPr>
        <w:jc w:val="right"/>
        <w:rPr>
          <w:rFonts w:eastAsiaTheme="minorEastAsia"/>
          <w:b/>
        </w:rPr>
      </w:pPr>
      <w:r w:rsidRPr="00F9522B">
        <w:rPr>
          <w:rFonts w:eastAsiaTheme="minorEastAsia"/>
          <w:b/>
        </w:rPr>
        <w:lastRenderedPageBreak/>
        <w:t>续表</w:t>
      </w:r>
    </w:p>
    <w:tbl>
      <w:tblPr>
        <w:tblStyle w:val="aff6"/>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Look w:val="04A0"/>
      </w:tblPr>
      <w:tblGrid>
        <w:gridCol w:w="390"/>
        <w:gridCol w:w="2539"/>
        <w:gridCol w:w="5588"/>
        <w:gridCol w:w="2794"/>
        <w:gridCol w:w="1211"/>
        <w:gridCol w:w="1584"/>
      </w:tblGrid>
      <w:tr w:rsidR="002A5A5E" w:rsidRPr="00F9522B">
        <w:trPr>
          <w:trHeight w:val="92"/>
        </w:trPr>
        <w:tc>
          <w:tcPr>
            <w:tcW w:w="2929" w:type="dxa"/>
            <w:gridSpan w:val="2"/>
            <w:tcBorders>
              <w:top w:val="single" w:sz="12"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工作内容</w:t>
            </w:r>
          </w:p>
        </w:tc>
        <w:tc>
          <w:tcPr>
            <w:tcW w:w="11177" w:type="dxa"/>
            <w:gridSpan w:val="4"/>
            <w:tcBorders>
              <w:top w:val="single" w:sz="12"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自查项目</w:t>
            </w:r>
          </w:p>
        </w:tc>
      </w:tr>
      <w:tr w:rsidR="002A5A5E" w:rsidRPr="00F9522B">
        <w:trPr>
          <w:trHeight w:val="71"/>
        </w:trPr>
        <w:tc>
          <w:tcPr>
            <w:tcW w:w="390" w:type="dxa"/>
            <w:vMerge w:val="restart"/>
            <w:tcBorders>
              <w:top w:val="single" w:sz="6"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现状调查</w:t>
            </w:r>
          </w:p>
        </w:tc>
        <w:tc>
          <w:tcPr>
            <w:tcW w:w="2539"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补充监测</w:t>
            </w:r>
          </w:p>
        </w:tc>
        <w:tc>
          <w:tcPr>
            <w:tcW w:w="558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监测时期</w:t>
            </w:r>
          </w:p>
        </w:tc>
        <w:tc>
          <w:tcPr>
            <w:tcW w:w="27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监测因子</w:t>
            </w:r>
          </w:p>
        </w:tc>
        <w:tc>
          <w:tcPr>
            <w:tcW w:w="2795" w:type="dxa"/>
            <w:gridSpan w:val="2"/>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监测断面或点位</w:t>
            </w:r>
          </w:p>
        </w:tc>
      </w:tr>
      <w:tr w:rsidR="002A5A5E" w:rsidRPr="00F9522B">
        <w:trPr>
          <w:trHeight w:val="640"/>
        </w:trPr>
        <w:tc>
          <w:tcPr>
            <w:tcW w:w="390" w:type="dxa"/>
            <w:vMerge/>
            <w:tcBorders>
              <w:top w:val="single" w:sz="6"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kern w:val="0"/>
                <w:szCs w:val="21"/>
              </w:rPr>
            </w:pPr>
          </w:p>
        </w:tc>
        <w:tc>
          <w:tcPr>
            <w:tcW w:w="2539"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kern w:val="0"/>
                <w:szCs w:val="21"/>
              </w:rPr>
            </w:pPr>
          </w:p>
        </w:tc>
        <w:tc>
          <w:tcPr>
            <w:tcW w:w="558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jc w:val="left"/>
              <w:rPr>
                <w:rFonts w:eastAsiaTheme="minorEastAsia"/>
                <w:kern w:val="0"/>
                <w:szCs w:val="21"/>
              </w:rPr>
            </w:pPr>
            <w:r w:rsidRPr="00F9522B">
              <w:rPr>
                <w:rFonts w:eastAsiaTheme="minorEastAsia"/>
                <w:kern w:val="0"/>
                <w:szCs w:val="21"/>
              </w:rPr>
              <w:t>丰水期</w:t>
            </w:r>
            <w:r w:rsidRPr="00F9522B">
              <w:rPr>
                <w:rFonts w:eastAsiaTheme="minorEastAsia"/>
                <w:kern w:val="0"/>
                <w:szCs w:val="21"/>
              </w:rPr>
              <w:t>□</w:t>
            </w:r>
            <w:r w:rsidRPr="00F9522B">
              <w:rPr>
                <w:rFonts w:eastAsiaTheme="minorEastAsia"/>
                <w:kern w:val="0"/>
                <w:szCs w:val="21"/>
              </w:rPr>
              <w:t>；平水期</w:t>
            </w:r>
            <w:r w:rsidRPr="00F9522B">
              <w:rPr>
                <w:rFonts w:eastAsiaTheme="minorEastAsia"/>
                <w:kern w:val="0"/>
                <w:szCs w:val="21"/>
              </w:rPr>
              <w:t>□</w:t>
            </w:r>
            <w:r w:rsidRPr="00F9522B">
              <w:rPr>
                <w:rFonts w:eastAsiaTheme="minorEastAsia"/>
                <w:kern w:val="0"/>
                <w:szCs w:val="21"/>
              </w:rPr>
              <w:t>；枯水期</w:t>
            </w:r>
            <w:r w:rsidRPr="00F9522B">
              <w:rPr>
                <w:rFonts w:eastAsiaTheme="minorEastAsia"/>
                <w:kern w:val="0"/>
                <w:szCs w:val="21"/>
              </w:rPr>
              <w:t>□</w:t>
            </w:r>
            <w:r w:rsidRPr="00F9522B">
              <w:rPr>
                <w:rFonts w:eastAsiaTheme="minorEastAsia"/>
                <w:kern w:val="0"/>
                <w:szCs w:val="21"/>
              </w:rPr>
              <w:t>；冰封期</w:t>
            </w:r>
            <w:r w:rsidRPr="00F9522B">
              <w:rPr>
                <w:rFonts w:eastAsiaTheme="minorEastAsia"/>
                <w:kern w:val="0"/>
                <w:szCs w:val="21"/>
              </w:rPr>
              <w:t>□</w:t>
            </w:r>
          </w:p>
          <w:p w:rsidR="002A5A5E" w:rsidRPr="00F9522B" w:rsidRDefault="00611CBA">
            <w:pPr>
              <w:jc w:val="left"/>
              <w:rPr>
                <w:rFonts w:eastAsiaTheme="minorEastAsia"/>
                <w:kern w:val="0"/>
                <w:szCs w:val="21"/>
              </w:rPr>
            </w:pPr>
            <w:r w:rsidRPr="00F9522B">
              <w:rPr>
                <w:rFonts w:eastAsiaTheme="minorEastAsia"/>
                <w:kern w:val="0"/>
                <w:szCs w:val="21"/>
              </w:rPr>
              <w:t>春季</w:t>
            </w:r>
            <w:r w:rsidRPr="00F9522B">
              <w:rPr>
                <w:rFonts w:eastAsiaTheme="minorEastAsia"/>
                <w:kern w:val="0"/>
                <w:szCs w:val="21"/>
              </w:rPr>
              <w:t>□</w:t>
            </w:r>
            <w:r w:rsidRPr="00F9522B">
              <w:rPr>
                <w:rFonts w:eastAsiaTheme="minorEastAsia"/>
                <w:kern w:val="0"/>
                <w:szCs w:val="21"/>
              </w:rPr>
              <w:t>；夏季</w:t>
            </w:r>
            <w:r w:rsidRPr="00F9522B">
              <w:rPr>
                <w:rFonts w:eastAsiaTheme="minorEastAsia"/>
                <w:kern w:val="0"/>
                <w:szCs w:val="21"/>
              </w:rPr>
              <w:t>□</w:t>
            </w:r>
            <w:r w:rsidRPr="00F9522B">
              <w:rPr>
                <w:rFonts w:eastAsiaTheme="minorEastAsia"/>
                <w:kern w:val="0"/>
                <w:szCs w:val="21"/>
              </w:rPr>
              <w:t>；秋季</w:t>
            </w:r>
            <w:r w:rsidRPr="00F9522B">
              <w:rPr>
                <w:rFonts w:eastAsiaTheme="minorEastAsia"/>
                <w:kern w:val="0"/>
                <w:szCs w:val="21"/>
              </w:rPr>
              <w:t>□</w:t>
            </w:r>
            <w:r w:rsidRPr="00F9522B">
              <w:rPr>
                <w:rFonts w:eastAsiaTheme="minorEastAsia"/>
                <w:kern w:val="0"/>
                <w:szCs w:val="21"/>
              </w:rPr>
              <w:t>；冬季</w:t>
            </w:r>
            <w:r w:rsidRPr="00F9522B">
              <w:rPr>
                <w:rFonts w:eastAsiaTheme="minorEastAsia"/>
                <w:kern w:val="0"/>
                <w:szCs w:val="21"/>
              </w:rPr>
              <w:t>□</w:t>
            </w:r>
          </w:p>
        </w:tc>
        <w:tc>
          <w:tcPr>
            <w:tcW w:w="27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w:t>
            </w:r>
          </w:p>
        </w:tc>
        <w:tc>
          <w:tcPr>
            <w:tcW w:w="2795" w:type="dxa"/>
            <w:gridSpan w:val="2"/>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监测断面或点位个数（）个</w:t>
            </w:r>
          </w:p>
        </w:tc>
      </w:tr>
      <w:tr w:rsidR="002A5A5E" w:rsidRPr="00F9522B">
        <w:trPr>
          <w:trHeight w:val="421"/>
        </w:trPr>
        <w:tc>
          <w:tcPr>
            <w:tcW w:w="390" w:type="dxa"/>
            <w:vMerge w:val="restart"/>
            <w:tcBorders>
              <w:top w:val="single" w:sz="6" w:space="0" w:color="000000" w:themeColor="text1"/>
              <w:left w:val="single" w:sz="12" w:space="0" w:color="000000" w:themeColor="text1"/>
              <w:bottom w:val="single" w:sz="12"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现状评价</w:t>
            </w:r>
          </w:p>
        </w:tc>
        <w:tc>
          <w:tcPr>
            <w:tcW w:w="253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评价范围</w:t>
            </w:r>
          </w:p>
        </w:tc>
        <w:tc>
          <w:tcPr>
            <w:tcW w:w="11177" w:type="dxa"/>
            <w:gridSpan w:val="4"/>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rsidP="00397301">
            <w:pPr>
              <w:jc w:val="left"/>
              <w:rPr>
                <w:rFonts w:eastAsiaTheme="minorEastAsia"/>
                <w:kern w:val="0"/>
                <w:szCs w:val="21"/>
              </w:rPr>
            </w:pPr>
            <w:r w:rsidRPr="00F9522B">
              <w:rPr>
                <w:rFonts w:eastAsiaTheme="minorEastAsia"/>
                <w:kern w:val="0"/>
                <w:szCs w:val="21"/>
              </w:rPr>
              <w:t>河流：长度（</w:t>
            </w:r>
            <w:r w:rsidR="00397301" w:rsidRPr="00F9522B">
              <w:rPr>
                <w:rFonts w:eastAsiaTheme="minorEastAsia"/>
                <w:kern w:val="0"/>
                <w:szCs w:val="21"/>
              </w:rPr>
              <w:t>38.1</w:t>
            </w:r>
            <w:r w:rsidRPr="00F9522B">
              <w:rPr>
                <w:rFonts w:eastAsiaTheme="minorEastAsia"/>
                <w:kern w:val="0"/>
                <w:szCs w:val="21"/>
              </w:rPr>
              <w:t>）</w:t>
            </w:r>
            <w:r w:rsidRPr="00F9522B">
              <w:rPr>
                <w:rFonts w:eastAsiaTheme="minorEastAsia"/>
                <w:kern w:val="0"/>
                <w:szCs w:val="21"/>
              </w:rPr>
              <w:t>km</w:t>
            </w:r>
            <w:r w:rsidRPr="00F9522B">
              <w:rPr>
                <w:rFonts w:eastAsiaTheme="minorEastAsia"/>
                <w:kern w:val="0"/>
                <w:szCs w:val="21"/>
              </w:rPr>
              <w:t>；湖库、河口及近岸海域：面积（）</w:t>
            </w:r>
            <w:r w:rsidRPr="00F9522B">
              <w:rPr>
                <w:rFonts w:eastAsiaTheme="minorEastAsia"/>
                <w:kern w:val="0"/>
                <w:szCs w:val="21"/>
              </w:rPr>
              <w:t>km</w:t>
            </w:r>
            <w:r w:rsidRPr="00F9522B">
              <w:rPr>
                <w:rFonts w:eastAsiaTheme="minorEastAsia"/>
                <w:kern w:val="0"/>
                <w:szCs w:val="21"/>
                <w:vertAlign w:val="superscript"/>
              </w:rPr>
              <w:t>2</w:t>
            </w:r>
          </w:p>
        </w:tc>
      </w:tr>
      <w:tr w:rsidR="002A5A5E" w:rsidRPr="00F9522B">
        <w:trPr>
          <w:trHeight w:val="213"/>
        </w:trPr>
        <w:tc>
          <w:tcPr>
            <w:tcW w:w="390" w:type="dxa"/>
            <w:vMerge/>
            <w:tcBorders>
              <w:top w:val="single" w:sz="6" w:space="0" w:color="000000" w:themeColor="text1"/>
              <w:left w:val="single" w:sz="12" w:space="0" w:color="000000" w:themeColor="text1"/>
              <w:bottom w:val="single" w:sz="12" w:space="0" w:color="000000" w:themeColor="text1"/>
              <w:right w:val="single" w:sz="6" w:space="0" w:color="000000" w:themeColor="text1"/>
            </w:tcBorders>
          </w:tcPr>
          <w:p w:rsidR="002A5A5E" w:rsidRPr="00F9522B" w:rsidRDefault="002A5A5E">
            <w:pPr>
              <w:widowControl/>
              <w:jc w:val="left"/>
              <w:rPr>
                <w:rFonts w:eastAsiaTheme="minorEastAsia"/>
                <w:kern w:val="0"/>
                <w:szCs w:val="21"/>
              </w:rPr>
            </w:pPr>
          </w:p>
        </w:tc>
        <w:tc>
          <w:tcPr>
            <w:tcW w:w="253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评价因子</w:t>
            </w:r>
          </w:p>
        </w:tc>
        <w:tc>
          <w:tcPr>
            <w:tcW w:w="11177" w:type="dxa"/>
            <w:gridSpan w:val="4"/>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jc w:val="left"/>
              <w:rPr>
                <w:rFonts w:eastAsiaTheme="minorEastAsia"/>
                <w:kern w:val="0"/>
                <w:szCs w:val="21"/>
              </w:rPr>
            </w:pPr>
            <w:r w:rsidRPr="00F9522B">
              <w:rPr>
                <w:rFonts w:eastAsiaTheme="minorEastAsia"/>
                <w:kern w:val="0"/>
                <w:szCs w:val="21"/>
              </w:rPr>
              <w:t>（</w:t>
            </w:r>
            <w:r w:rsidRPr="00F9522B">
              <w:rPr>
                <w:rFonts w:eastAsiaTheme="minorEastAsia"/>
                <w:bCs/>
                <w:kern w:val="0"/>
                <w:szCs w:val="21"/>
              </w:rPr>
              <w:t>COD</w:t>
            </w:r>
            <w:r w:rsidRPr="00F9522B">
              <w:rPr>
                <w:rFonts w:eastAsiaTheme="minorEastAsia"/>
                <w:bCs/>
                <w:kern w:val="0"/>
                <w:szCs w:val="21"/>
              </w:rPr>
              <w:t>、氨氮、</w:t>
            </w:r>
            <w:r w:rsidRPr="00F9522B">
              <w:rPr>
                <w:rFonts w:eastAsiaTheme="minorEastAsia"/>
                <w:bCs/>
                <w:kern w:val="0"/>
                <w:szCs w:val="21"/>
              </w:rPr>
              <w:t>pH</w:t>
            </w:r>
            <w:r w:rsidRPr="00F9522B">
              <w:rPr>
                <w:rFonts w:eastAsiaTheme="minorEastAsia"/>
                <w:bCs/>
                <w:kern w:val="0"/>
                <w:szCs w:val="21"/>
              </w:rPr>
              <w:t>、</w:t>
            </w:r>
            <w:r w:rsidRPr="00F9522B">
              <w:rPr>
                <w:rFonts w:eastAsiaTheme="minorEastAsia"/>
                <w:bCs/>
                <w:kern w:val="0"/>
                <w:szCs w:val="21"/>
              </w:rPr>
              <w:t>BOD</w:t>
            </w:r>
            <w:r w:rsidRPr="00F9522B">
              <w:rPr>
                <w:rFonts w:eastAsiaTheme="minorEastAsia"/>
                <w:bCs/>
                <w:kern w:val="0"/>
                <w:szCs w:val="21"/>
                <w:vertAlign w:val="subscript"/>
              </w:rPr>
              <w:t>5</w:t>
            </w:r>
            <w:r w:rsidRPr="00F9522B">
              <w:rPr>
                <w:rFonts w:eastAsiaTheme="minorEastAsia"/>
                <w:bCs/>
                <w:kern w:val="0"/>
                <w:szCs w:val="21"/>
              </w:rPr>
              <w:t>、</w:t>
            </w:r>
            <w:r w:rsidRPr="00F9522B">
              <w:rPr>
                <w:rFonts w:eastAsiaTheme="minorEastAsia"/>
                <w:bCs/>
                <w:kern w:val="0"/>
                <w:szCs w:val="21"/>
              </w:rPr>
              <w:t>SS</w:t>
            </w:r>
            <w:r w:rsidRPr="00F9522B">
              <w:rPr>
                <w:rFonts w:eastAsiaTheme="minorEastAsia"/>
                <w:bCs/>
                <w:kern w:val="0"/>
                <w:szCs w:val="21"/>
              </w:rPr>
              <w:t>、总磷、</w:t>
            </w:r>
            <w:r w:rsidRPr="00F9522B">
              <w:rPr>
                <w:rFonts w:eastAsiaTheme="minorEastAsia"/>
                <w:kern w:val="0"/>
                <w:szCs w:val="20"/>
              </w:rPr>
              <w:t>高锰酸盐指数</w:t>
            </w:r>
            <w:r w:rsidRPr="00F9522B">
              <w:rPr>
                <w:rFonts w:eastAsiaTheme="minorEastAsia"/>
                <w:kern w:val="0"/>
                <w:szCs w:val="21"/>
              </w:rPr>
              <w:t>）</w:t>
            </w:r>
          </w:p>
        </w:tc>
      </w:tr>
      <w:tr w:rsidR="002A5A5E" w:rsidRPr="00F9522B">
        <w:trPr>
          <w:trHeight w:val="213"/>
        </w:trPr>
        <w:tc>
          <w:tcPr>
            <w:tcW w:w="390" w:type="dxa"/>
            <w:vMerge/>
            <w:tcBorders>
              <w:top w:val="single" w:sz="6" w:space="0" w:color="000000" w:themeColor="text1"/>
              <w:left w:val="single" w:sz="12" w:space="0" w:color="000000" w:themeColor="text1"/>
              <w:bottom w:val="single" w:sz="12" w:space="0" w:color="000000" w:themeColor="text1"/>
              <w:right w:val="single" w:sz="6" w:space="0" w:color="000000" w:themeColor="text1"/>
            </w:tcBorders>
          </w:tcPr>
          <w:p w:rsidR="002A5A5E" w:rsidRPr="00F9522B" w:rsidRDefault="002A5A5E">
            <w:pPr>
              <w:widowControl/>
              <w:jc w:val="left"/>
              <w:rPr>
                <w:rFonts w:eastAsiaTheme="minorEastAsia"/>
                <w:kern w:val="0"/>
                <w:szCs w:val="21"/>
              </w:rPr>
            </w:pPr>
          </w:p>
        </w:tc>
        <w:tc>
          <w:tcPr>
            <w:tcW w:w="253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评价标准</w:t>
            </w:r>
          </w:p>
        </w:tc>
        <w:tc>
          <w:tcPr>
            <w:tcW w:w="11177" w:type="dxa"/>
            <w:gridSpan w:val="4"/>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jc w:val="left"/>
              <w:rPr>
                <w:rFonts w:eastAsiaTheme="minorEastAsia"/>
                <w:kern w:val="0"/>
                <w:szCs w:val="21"/>
              </w:rPr>
            </w:pPr>
            <w:r w:rsidRPr="00F9522B">
              <w:rPr>
                <w:rFonts w:eastAsiaTheme="minorEastAsia"/>
                <w:kern w:val="0"/>
                <w:szCs w:val="21"/>
              </w:rPr>
              <w:t>河流、湖库、河口：</w:t>
            </w:r>
            <w:r w:rsidRPr="00F9522B">
              <w:rPr>
                <w:rFonts w:eastAsiaTheme="minorEastAsia"/>
                <w:kern w:val="0"/>
                <w:szCs w:val="21"/>
              </w:rPr>
              <w:t>Ⅰ</w:t>
            </w:r>
            <w:r w:rsidRPr="00F9522B">
              <w:rPr>
                <w:rFonts w:eastAsiaTheme="minorEastAsia"/>
                <w:kern w:val="0"/>
                <w:szCs w:val="21"/>
              </w:rPr>
              <w:t>类</w:t>
            </w:r>
            <w:r w:rsidRPr="00F9522B">
              <w:rPr>
                <w:rFonts w:eastAsiaTheme="minorEastAsia"/>
                <w:kern w:val="0"/>
                <w:szCs w:val="21"/>
              </w:rPr>
              <w:t>□</w:t>
            </w:r>
            <w:r w:rsidRPr="00F9522B">
              <w:rPr>
                <w:rFonts w:eastAsiaTheme="minorEastAsia"/>
                <w:kern w:val="0"/>
                <w:szCs w:val="21"/>
              </w:rPr>
              <w:t>；</w:t>
            </w:r>
            <w:r w:rsidRPr="00F9522B">
              <w:rPr>
                <w:rFonts w:eastAsiaTheme="minorEastAsia"/>
                <w:kern w:val="0"/>
                <w:szCs w:val="21"/>
              </w:rPr>
              <w:t>Ⅱ</w:t>
            </w:r>
            <w:r w:rsidRPr="00F9522B">
              <w:rPr>
                <w:rFonts w:eastAsiaTheme="minorEastAsia"/>
                <w:kern w:val="0"/>
                <w:szCs w:val="21"/>
              </w:rPr>
              <w:t>类</w:t>
            </w:r>
            <w:r w:rsidRPr="00F9522B">
              <w:rPr>
                <w:rFonts w:eastAsiaTheme="minorEastAsia"/>
                <w:kern w:val="0"/>
                <w:szCs w:val="21"/>
              </w:rPr>
              <w:t>□</w:t>
            </w:r>
            <w:r w:rsidRPr="00F9522B">
              <w:rPr>
                <w:rFonts w:eastAsiaTheme="minorEastAsia"/>
                <w:kern w:val="0"/>
                <w:szCs w:val="21"/>
              </w:rPr>
              <w:t>；</w:t>
            </w:r>
            <w:r w:rsidRPr="00F9522B">
              <w:rPr>
                <w:rFonts w:eastAsiaTheme="minorEastAsia"/>
                <w:kern w:val="0"/>
                <w:szCs w:val="21"/>
              </w:rPr>
              <w:t>Ⅲ</w:t>
            </w:r>
            <w:r w:rsidRPr="00F9522B">
              <w:rPr>
                <w:rFonts w:eastAsiaTheme="minorEastAsia"/>
                <w:kern w:val="0"/>
                <w:szCs w:val="21"/>
              </w:rPr>
              <w:t>类</w:t>
            </w:r>
            <w:r w:rsidRPr="00F9522B">
              <w:rPr>
                <w:rFonts w:eastAsiaTheme="minorEastAsia"/>
                <w:kern w:val="0"/>
                <w:szCs w:val="21"/>
              </w:rPr>
              <w:t>√</w:t>
            </w:r>
            <w:r w:rsidRPr="00F9522B">
              <w:rPr>
                <w:rFonts w:eastAsiaTheme="minorEastAsia"/>
                <w:kern w:val="0"/>
                <w:szCs w:val="21"/>
              </w:rPr>
              <w:t>；</w:t>
            </w:r>
            <w:r w:rsidRPr="00F9522B">
              <w:rPr>
                <w:rFonts w:eastAsiaTheme="minorEastAsia"/>
                <w:kern w:val="0"/>
                <w:szCs w:val="21"/>
              </w:rPr>
              <w:t>Ⅳ</w:t>
            </w:r>
            <w:r w:rsidRPr="00F9522B">
              <w:rPr>
                <w:rFonts w:eastAsiaTheme="minorEastAsia"/>
                <w:kern w:val="0"/>
                <w:szCs w:val="21"/>
              </w:rPr>
              <w:t>类</w:t>
            </w:r>
            <w:r w:rsidR="004246A4" w:rsidRPr="00F9522B">
              <w:rPr>
                <w:rFonts w:eastAsiaTheme="minorEastAsia"/>
                <w:kern w:val="0"/>
                <w:szCs w:val="21"/>
              </w:rPr>
              <w:t>□</w:t>
            </w:r>
            <w:r w:rsidRPr="00F9522B">
              <w:rPr>
                <w:rFonts w:eastAsiaTheme="minorEastAsia"/>
                <w:kern w:val="0"/>
                <w:szCs w:val="21"/>
              </w:rPr>
              <w:t>；</w:t>
            </w:r>
            <w:r w:rsidRPr="00F9522B">
              <w:rPr>
                <w:rFonts w:eastAsiaTheme="minorEastAsia"/>
                <w:kern w:val="0"/>
                <w:szCs w:val="21"/>
              </w:rPr>
              <w:t>Ⅴ</w:t>
            </w:r>
            <w:r w:rsidRPr="00F9522B">
              <w:rPr>
                <w:rFonts w:eastAsiaTheme="minorEastAsia"/>
                <w:kern w:val="0"/>
                <w:szCs w:val="21"/>
              </w:rPr>
              <w:t>类</w:t>
            </w:r>
            <w:r w:rsidRPr="00F9522B">
              <w:rPr>
                <w:rFonts w:eastAsiaTheme="minorEastAsia"/>
                <w:kern w:val="0"/>
                <w:szCs w:val="21"/>
              </w:rPr>
              <w:t>√</w:t>
            </w:r>
          </w:p>
          <w:p w:rsidR="002A5A5E" w:rsidRPr="00F9522B" w:rsidRDefault="00611CBA">
            <w:pPr>
              <w:jc w:val="left"/>
              <w:rPr>
                <w:rFonts w:eastAsiaTheme="minorEastAsia"/>
                <w:kern w:val="0"/>
                <w:szCs w:val="21"/>
              </w:rPr>
            </w:pPr>
            <w:r w:rsidRPr="00F9522B">
              <w:rPr>
                <w:rFonts w:eastAsiaTheme="minorEastAsia"/>
                <w:kern w:val="0"/>
                <w:szCs w:val="21"/>
              </w:rPr>
              <w:t>近岸海域：第一类</w:t>
            </w:r>
            <w:r w:rsidRPr="00F9522B">
              <w:rPr>
                <w:rFonts w:eastAsiaTheme="minorEastAsia"/>
                <w:kern w:val="0"/>
                <w:szCs w:val="21"/>
              </w:rPr>
              <w:t>□</w:t>
            </w:r>
            <w:r w:rsidRPr="00F9522B">
              <w:rPr>
                <w:rFonts w:eastAsiaTheme="minorEastAsia"/>
                <w:kern w:val="0"/>
                <w:szCs w:val="21"/>
              </w:rPr>
              <w:t>；第二类</w:t>
            </w:r>
            <w:r w:rsidRPr="00F9522B">
              <w:rPr>
                <w:rFonts w:eastAsiaTheme="minorEastAsia"/>
                <w:kern w:val="0"/>
                <w:szCs w:val="21"/>
              </w:rPr>
              <w:t>□</w:t>
            </w:r>
            <w:r w:rsidRPr="00F9522B">
              <w:rPr>
                <w:rFonts w:eastAsiaTheme="minorEastAsia"/>
                <w:kern w:val="0"/>
                <w:szCs w:val="21"/>
              </w:rPr>
              <w:t>；第三类</w:t>
            </w:r>
            <w:r w:rsidRPr="00F9522B">
              <w:rPr>
                <w:rFonts w:eastAsiaTheme="minorEastAsia"/>
                <w:kern w:val="0"/>
                <w:szCs w:val="21"/>
              </w:rPr>
              <w:t>□</w:t>
            </w:r>
            <w:r w:rsidRPr="00F9522B">
              <w:rPr>
                <w:rFonts w:eastAsiaTheme="minorEastAsia"/>
                <w:kern w:val="0"/>
                <w:szCs w:val="21"/>
              </w:rPr>
              <w:t>；第四类</w:t>
            </w:r>
            <w:r w:rsidRPr="00F9522B">
              <w:rPr>
                <w:rFonts w:eastAsiaTheme="minorEastAsia"/>
                <w:kern w:val="0"/>
                <w:szCs w:val="21"/>
              </w:rPr>
              <w:t>□</w:t>
            </w:r>
          </w:p>
          <w:p w:rsidR="002A5A5E" w:rsidRPr="00F9522B" w:rsidRDefault="00611CBA">
            <w:pPr>
              <w:jc w:val="left"/>
              <w:rPr>
                <w:rFonts w:eastAsiaTheme="minorEastAsia"/>
                <w:kern w:val="0"/>
                <w:szCs w:val="21"/>
              </w:rPr>
            </w:pPr>
            <w:r w:rsidRPr="00F9522B">
              <w:rPr>
                <w:rFonts w:eastAsiaTheme="minorEastAsia"/>
                <w:kern w:val="0"/>
                <w:szCs w:val="21"/>
              </w:rPr>
              <w:t>规划年评价标准（</w:t>
            </w:r>
            <w:r w:rsidRPr="00F9522B">
              <w:rPr>
                <w:rFonts w:eastAsiaTheme="minorEastAsia"/>
                <w:kern w:val="0"/>
                <w:szCs w:val="21"/>
              </w:rPr>
              <w:t>2024</w:t>
            </w:r>
            <w:r w:rsidRPr="00F9522B">
              <w:rPr>
                <w:rFonts w:eastAsiaTheme="minorEastAsia"/>
                <w:kern w:val="0"/>
                <w:szCs w:val="21"/>
              </w:rPr>
              <w:t>）</w:t>
            </w:r>
          </w:p>
        </w:tc>
      </w:tr>
      <w:tr w:rsidR="002A5A5E" w:rsidRPr="00F9522B">
        <w:trPr>
          <w:trHeight w:val="213"/>
        </w:trPr>
        <w:tc>
          <w:tcPr>
            <w:tcW w:w="390" w:type="dxa"/>
            <w:vMerge/>
            <w:tcBorders>
              <w:top w:val="single" w:sz="6" w:space="0" w:color="000000" w:themeColor="text1"/>
              <w:left w:val="single" w:sz="12" w:space="0" w:color="000000" w:themeColor="text1"/>
              <w:bottom w:val="single" w:sz="12" w:space="0" w:color="000000" w:themeColor="text1"/>
              <w:right w:val="single" w:sz="6" w:space="0" w:color="000000" w:themeColor="text1"/>
            </w:tcBorders>
          </w:tcPr>
          <w:p w:rsidR="002A5A5E" w:rsidRPr="00F9522B" w:rsidRDefault="002A5A5E">
            <w:pPr>
              <w:widowControl/>
              <w:jc w:val="left"/>
              <w:rPr>
                <w:rFonts w:eastAsiaTheme="minorEastAsia"/>
                <w:kern w:val="0"/>
                <w:szCs w:val="21"/>
              </w:rPr>
            </w:pPr>
          </w:p>
        </w:tc>
        <w:tc>
          <w:tcPr>
            <w:tcW w:w="253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评价时期</w:t>
            </w:r>
          </w:p>
        </w:tc>
        <w:tc>
          <w:tcPr>
            <w:tcW w:w="11177" w:type="dxa"/>
            <w:gridSpan w:val="4"/>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jc w:val="left"/>
              <w:rPr>
                <w:rFonts w:eastAsiaTheme="minorEastAsia"/>
                <w:kern w:val="0"/>
                <w:szCs w:val="21"/>
              </w:rPr>
            </w:pPr>
            <w:r w:rsidRPr="00F9522B">
              <w:rPr>
                <w:rFonts w:eastAsiaTheme="minorEastAsia"/>
                <w:kern w:val="0"/>
                <w:szCs w:val="21"/>
              </w:rPr>
              <w:t>丰水期</w:t>
            </w:r>
            <w:r w:rsidRPr="00F9522B">
              <w:rPr>
                <w:rFonts w:eastAsiaTheme="minorEastAsia"/>
                <w:kern w:val="0"/>
                <w:szCs w:val="21"/>
              </w:rPr>
              <w:t>□</w:t>
            </w:r>
            <w:r w:rsidRPr="00F9522B">
              <w:rPr>
                <w:rFonts w:eastAsiaTheme="minorEastAsia"/>
                <w:kern w:val="0"/>
                <w:szCs w:val="21"/>
              </w:rPr>
              <w:t>；平水期</w:t>
            </w:r>
            <w:r w:rsidRPr="00F9522B">
              <w:rPr>
                <w:rFonts w:eastAsiaTheme="minorEastAsia"/>
                <w:kern w:val="0"/>
                <w:szCs w:val="21"/>
              </w:rPr>
              <w:t>□</w:t>
            </w:r>
            <w:r w:rsidRPr="00F9522B">
              <w:rPr>
                <w:rFonts w:eastAsiaTheme="minorEastAsia"/>
                <w:kern w:val="0"/>
                <w:szCs w:val="21"/>
              </w:rPr>
              <w:t>；枯水期</w:t>
            </w:r>
            <w:r w:rsidRPr="00F9522B">
              <w:rPr>
                <w:rFonts w:eastAsiaTheme="minorEastAsia"/>
                <w:kern w:val="0"/>
                <w:szCs w:val="21"/>
              </w:rPr>
              <w:t>□</w:t>
            </w:r>
            <w:r w:rsidRPr="00F9522B">
              <w:rPr>
                <w:rFonts w:eastAsiaTheme="minorEastAsia"/>
                <w:kern w:val="0"/>
                <w:szCs w:val="21"/>
              </w:rPr>
              <w:t>；冰封期</w:t>
            </w:r>
            <w:r w:rsidRPr="00F9522B">
              <w:rPr>
                <w:rFonts w:eastAsiaTheme="minorEastAsia"/>
                <w:kern w:val="0"/>
                <w:szCs w:val="21"/>
              </w:rPr>
              <w:t>□</w:t>
            </w:r>
          </w:p>
          <w:p w:rsidR="002A5A5E" w:rsidRPr="00F9522B" w:rsidRDefault="00611CBA">
            <w:pPr>
              <w:jc w:val="left"/>
              <w:rPr>
                <w:rFonts w:eastAsiaTheme="minorEastAsia"/>
                <w:kern w:val="0"/>
                <w:szCs w:val="21"/>
              </w:rPr>
            </w:pPr>
            <w:r w:rsidRPr="00F9522B">
              <w:rPr>
                <w:rFonts w:eastAsiaTheme="minorEastAsia"/>
                <w:kern w:val="0"/>
                <w:szCs w:val="21"/>
              </w:rPr>
              <w:t>春季</w:t>
            </w:r>
            <w:r w:rsidRPr="00F9522B">
              <w:rPr>
                <w:rFonts w:eastAsiaTheme="minorEastAsia"/>
                <w:kern w:val="0"/>
                <w:szCs w:val="21"/>
              </w:rPr>
              <w:t>√</w:t>
            </w:r>
            <w:r w:rsidRPr="00F9522B">
              <w:rPr>
                <w:rFonts w:eastAsiaTheme="minorEastAsia"/>
                <w:kern w:val="0"/>
                <w:szCs w:val="21"/>
              </w:rPr>
              <w:t>；夏季</w:t>
            </w:r>
            <w:r w:rsidRPr="00F9522B">
              <w:rPr>
                <w:rFonts w:eastAsiaTheme="minorEastAsia"/>
                <w:kern w:val="0"/>
                <w:szCs w:val="21"/>
              </w:rPr>
              <w:t>√</w:t>
            </w:r>
            <w:r w:rsidRPr="00F9522B">
              <w:rPr>
                <w:rFonts w:eastAsiaTheme="minorEastAsia"/>
                <w:kern w:val="0"/>
                <w:szCs w:val="21"/>
              </w:rPr>
              <w:t>；秋季</w:t>
            </w:r>
            <w:r w:rsidRPr="00F9522B">
              <w:rPr>
                <w:rFonts w:eastAsiaTheme="minorEastAsia"/>
                <w:kern w:val="0"/>
                <w:szCs w:val="21"/>
              </w:rPr>
              <w:t>√</w:t>
            </w:r>
            <w:r w:rsidRPr="00F9522B">
              <w:rPr>
                <w:rFonts w:eastAsiaTheme="minorEastAsia"/>
                <w:kern w:val="0"/>
                <w:szCs w:val="21"/>
              </w:rPr>
              <w:t>；冬季</w:t>
            </w:r>
            <w:r w:rsidRPr="00F9522B">
              <w:rPr>
                <w:rFonts w:eastAsiaTheme="minorEastAsia"/>
                <w:kern w:val="0"/>
                <w:szCs w:val="21"/>
              </w:rPr>
              <w:t>√</w:t>
            </w:r>
          </w:p>
        </w:tc>
      </w:tr>
      <w:tr w:rsidR="002A5A5E" w:rsidRPr="00F9522B">
        <w:trPr>
          <w:trHeight w:val="213"/>
        </w:trPr>
        <w:tc>
          <w:tcPr>
            <w:tcW w:w="390" w:type="dxa"/>
            <w:vMerge/>
            <w:tcBorders>
              <w:top w:val="single" w:sz="6"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kern w:val="0"/>
                <w:szCs w:val="21"/>
              </w:rPr>
            </w:pPr>
          </w:p>
        </w:tc>
        <w:tc>
          <w:tcPr>
            <w:tcW w:w="253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评价结论</w:t>
            </w:r>
          </w:p>
        </w:tc>
        <w:tc>
          <w:tcPr>
            <w:tcW w:w="9593"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jc w:val="left"/>
              <w:rPr>
                <w:rFonts w:eastAsiaTheme="minorEastAsia"/>
                <w:kern w:val="0"/>
                <w:szCs w:val="21"/>
              </w:rPr>
            </w:pPr>
            <w:r w:rsidRPr="00F9522B">
              <w:rPr>
                <w:rFonts w:eastAsiaTheme="minorEastAsia"/>
                <w:kern w:val="0"/>
                <w:szCs w:val="21"/>
              </w:rPr>
              <w:t>水环境功能区或水功能区、近岸海域环境功能区水质达标状况：达标</w:t>
            </w:r>
            <w:r w:rsidRPr="00F9522B">
              <w:rPr>
                <w:rFonts w:eastAsiaTheme="minorEastAsia"/>
                <w:kern w:val="0"/>
                <w:szCs w:val="21"/>
              </w:rPr>
              <w:t>√</w:t>
            </w:r>
            <w:r w:rsidRPr="00F9522B">
              <w:rPr>
                <w:rFonts w:eastAsiaTheme="minorEastAsia"/>
                <w:kern w:val="0"/>
                <w:szCs w:val="21"/>
              </w:rPr>
              <w:t>；不达标</w:t>
            </w:r>
            <w:r w:rsidRPr="00F9522B">
              <w:rPr>
                <w:rFonts w:eastAsiaTheme="minorEastAsia"/>
                <w:kern w:val="0"/>
                <w:szCs w:val="21"/>
              </w:rPr>
              <w:t>□</w:t>
            </w:r>
          </w:p>
          <w:p w:rsidR="002A5A5E" w:rsidRPr="00F9522B" w:rsidRDefault="00611CBA">
            <w:pPr>
              <w:jc w:val="left"/>
              <w:rPr>
                <w:rFonts w:eastAsiaTheme="minorEastAsia"/>
                <w:kern w:val="0"/>
                <w:szCs w:val="21"/>
              </w:rPr>
            </w:pPr>
            <w:r w:rsidRPr="00F9522B">
              <w:rPr>
                <w:rFonts w:eastAsiaTheme="minorEastAsia"/>
                <w:kern w:val="0"/>
                <w:szCs w:val="21"/>
              </w:rPr>
              <w:t>水环境控制单元或断面水质达标状况：达标</w:t>
            </w:r>
            <w:r w:rsidRPr="00F9522B">
              <w:rPr>
                <w:rFonts w:eastAsiaTheme="minorEastAsia"/>
                <w:kern w:val="0"/>
                <w:szCs w:val="21"/>
              </w:rPr>
              <w:t>□</w:t>
            </w:r>
            <w:r w:rsidRPr="00F9522B">
              <w:rPr>
                <w:rFonts w:eastAsiaTheme="minorEastAsia"/>
                <w:kern w:val="0"/>
                <w:szCs w:val="21"/>
              </w:rPr>
              <w:t>；不达标</w:t>
            </w:r>
            <w:r w:rsidRPr="00F9522B">
              <w:rPr>
                <w:rFonts w:eastAsiaTheme="minorEastAsia"/>
                <w:kern w:val="0"/>
                <w:szCs w:val="21"/>
              </w:rPr>
              <w:t>□</w:t>
            </w:r>
          </w:p>
          <w:p w:rsidR="002A5A5E" w:rsidRPr="00F9522B" w:rsidRDefault="00611CBA">
            <w:pPr>
              <w:jc w:val="left"/>
              <w:rPr>
                <w:rFonts w:eastAsiaTheme="minorEastAsia"/>
                <w:kern w:val="0"/>
                <w:szCs w:val="21"/>
              </w:rPr>
            </w:pPr>
            <w:r w:rsidRPr="00F9522B">
              <w:rPr>
                <w:rFonts w:eastAsiaTheme="minorEastAsia"/>
                <w:kern w:val="0"/>
                <w:szCs w:val="21"/>
              </w:rPr>
              <w:t>水环境保护目标质量状况：达标</w:t>
            </w:r>
            <w:r w:rsidRPr="00F9522B">
              <w:rPr>
                <w:rFonts w:eastAsiaTheme="minorEastAsia"/>
                <w:kern w:val="0"/>
                <w:szCs w:val="21"/>
              </w:rPr>
              <w:t>□</w:t>
            </w:r>
            <w:r w:rsidRPr="00F9522B">
              <w:rPr>
                <w:rFonts w:eastAsiaTheme="minorEastAsia"/>
                <w:kern w:val="0"/>
                <w:szCs w:val="21"/>
              </w:rPr>
              <w:t>；不达标</w:t>
            </w:r>
            <w:r w:rsidRPr="00F9522B">
              <w:rPr>
                <w:rFonts w:eastAsiaTheme="minorEastAsia"/>
                <w:kern w:val="0"/>
                <w:szCs w:val="21"/>
              </w:rPr>
              <w:t>□</w:t>
            </w:r>
          </w:p>
          <w:p w:rsidR="002A5A5E" w:rsidRPr="00F9522B" w:rsidRDefault="00611CBA">
            <w:pPr>
              <w:jc w:val="left"/>
              <w:rPr>
                <w:rFonts w:eastAsiaTheme="minorEastAsia"/>
                <w:kern w:val="0"/>
                <w:szCs w:val="21"/>
              </w:rPr>
            </w:pPr>
            <w:r w:rsidRPr="00F9522B">
              <w:rPr>
                <w:rFonts w:eastAsiaTheme="minorEastAsia"/>
                <w:kern w:val="0"/>
                <w:szCs w:val="21"/>
              </w:rPr>
              <w:t>对照断面、控制断面等代表性断面的水质状况；达标</w:t>
            </w:r>
            <w:r w:rsidRPr="00F9522B">
              <w:rPr>
                <w:rFonts w:eastAsiaTheme="minorEastAsia"/>
                <w:kern w:val="0"/>
                <w:szCs w:val="21"/>
              </w:rPr>
              <w:t>□</w:t>
            </w:r>
            <w:r w:rsidRPr="00F9522B">
              <w:rPr>
                <w:rFonts w:eastAsiaTheme="minorEastAsia"/>
                <w:kern w:val="0"/>
                <w:szCs w:val="21"/>
              </w:rPr>
              <w:t>；不达标</w:t>
            </w:r>
            <w:r w:rsidRPr="00F9522B">
              <w:rPr>
                <w:rFonts w:eastAsiaTheme="minorEastAsia"/>
                <w:kern w:val="0"/>
                <w:szCs w:val="21"/>
              </w:rPr>
              <w:t>□</w:t>
            </w:r>
          </w:p>
          <w:p w:rsidR="002A5A5E" w:rsidRPr="00F9522B" w:rsidRDefault="00611CBA">
            <w:pPr>
              <w:jc w:val="left"/>
              <w:rPr>
                <w:rFonts w:eastAsiaTheme="minorEastAsia"/>
                <w:kern w:val="0"/>
                <w:szCs w:val="21"/>
              </w:rPr>
            </w:pPr>
            <w:r w:rsidRPr="00F9522B">
              <w:rPr>
                <w:rFonts w:eastAsiaTheme="minorEastAsia"/>
                <w:kern w:val="0"/>
                <w:szCs w:val="21"/>
              </w:rPr>
              <w:t>底泥污染评价</w:t>
            </w:r>
            <w:r w:rsidRPr="00F9522B">
              <w:rPr>
                <w:rFonts w:eastAsiaTheme="minorEastAsia"/>
                <w:kern w:val="0"/>
                <w:szCs w:val="21"/>
              </w:rPr>
              <w:t>□</w:t>
            </w:r>
          </w:p>
          <w:p w:rsidR="002A5A5E" w:rsidRPr="00F9522B" w:rsidRDefault="00611CBA">
            <w:pPr>
              <w:jc w:val="left"/>
              <w:rPr>
                <w:rFonts w:eastAsiaTheme="minorEastAsia"/>
                <w:kern w:val="0"/>
                <w:szCs w:val="21"/>
              </w:rPr>
            </w:pPr>
            <w:r w:rsidRPr="00F9522B">
              <w:rPr>
                <w:rFonts w:eastAsiaTheme="minorEastAsia"/>
                <w:kern w:val="0"/>
                <w:szCs w:val="21"/>
              </w:rPr>
              <w:t>水资源与开发利用程度及其水文情势评价</w:t>
            </w:r>
            <w:r w:rsidRPr="00F9522B">
              <w:rPr>
                <w:rFonts w:eastAsiaTheme="minorEastAsia"/>
                <w:kern w:val="0"/>
                <w:szCs w:val="21"/>
              </w:rPr>
              <w:t>□</w:t>
            </w:r>
          </w:p>
          <w:p w:rsidR="002A5A5E" w:rsidRPr="00F9522B" w:rsidRDefault="00611CBA">
            <w:pPr>
              <w:jc w:val="left"/>
              <w:rPr>
                <w:rFonts w:eastAsiaTheme="minorEastAsia"/>
                <w:kern w:val="0"/>
                <w:szCs w:val="21"/>
              </w:rPr>
            </w:pPr>
            <w:r w:rsidRPr="00F9522B">
              <w:rPr>
                <w:rFonts w:eastAsiaTheme="minorEastAsia"/>
                <w:kern w:val="0"/>
                <w:szCs w:val="21"/>
              </w:rPr>
              <w:t>水环境质量回顾评价</w:t>
            </w:r>
            <w:r w:rsidRPr="00F9522B">
              <w:rPr>
                <w:rFonts w:eastAsiaTheme="minorEastAsia"/>
                <w:kern w:val="0"/>
                <w:szCs w:val="21"/>
              </w:rPr>
              <w:t>□</w:t>
            </w:r>
          </w:p>
          <w:p w:rsidR="002A5A5E" w:rsidRPr="00F9522B" w:rsidRDefault="00611CBA">
            <w:pPr>
              <w:jc w:val="left"/>
              <w:rPr>
                <w:rFonts w:eastAsiaTheme="minorEastAsia"/>
                <w:kern w:val="0"/>
                <w:szCs w:val="21"/>
              </w:rPr>
            </w:pPr>
            <w:r w:rsidRPr="00F9522B">
              <w:rPr>
                <w:rFonts w:eastAsiaTheme="minorEastAsia"/>
                <w:kern w:val="0"/>
                <w:szCs w:val="21"/>
              </w:rPr>
              <w:t>流域（区域）水资源（包括水能资源）与开发利用总体状况、生态流量管理要求与现状满足程度、建设项目占用水域空间的水流状况与河湖演变状况</w:t>
            </w:r>
            <w:r w:rsidRPr="00F9522B">
              <w:rPr>
                <w:rFonts w:eastAsiaTheme="minorEastAsia"/>
                <w:kern w:val="0"/>
                <w:szCs w:val="21"/>
              </w:rPr>
              <w:t>□</w:t>
            </w:r>
          </w:p>
        </w:tc>
        <w:tc>
          <w:tcPr>
            <w:tcW w:w="1584"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jc w:val="left"/>
              <w:rPr>
                <w:rFonts w:eastAsiaTheme="minorEastAsia"/>
                <w:kern w:val="0"/>
                <w:szCs w:val="21"/>
              </w:rPr>
            </w:pPr>
            <w:r w:rsidRPr="00F9522B">
              <w:rPr>
                <w:rFonts w:eastAsiaTheme="minorEastAsia"/>
                <w:kern w:val="0"/>
                <w:szCs w:val="21"/>
              </w:rPr>
              <w:t>达标区</w:t>
            </w:r>
            <w:r w:rsidRPr="00F9522B">
              <w:rPr>
                <w:rFonts w:eastAsiaTheme="minorEastAsia"/>
                <w:kern w:val="0"/>
                <w:szCs w:val="21"/>
              </w:rPr>
              <w:t>√</w:t>
            </w:r>
          </w:p>
          <w:p w:rsidR="002A5A5E" w:rsidRPr="00F9522B" w:rsidRDefault="00611CBA">
            <w:pPr>
              <w:jc w:val="left"/>
              <w:rPr>
                <w:rFonts w:eastAsiaTheme="minorEastAsia"/>
                <w:kern w:val="0"/>
                <w:szCs w:val="21"/>
              </w:rPr>
            </w:pPr>
            <w:r w:rsidRPr="00F9522B">
              <w:rPr>
                <w:rFonts w:eastAsiaTheme="minorEastAsia"/>
                <w:kern w:val="0"/>
                <w:szCs w:val="21"/>
              </w:rPr>
              <w:t>不达标区</w:t>
            </w:r>
            <w:r w:rsidRPr="00F9522B">
              <w:rPr>
                <w:rFonts w:eastAsiaTheme="minorEastAsia"/>
                <w:kern w:val="0"/>
                <w:szCs w:val="21"/>
              </w:rPr>
              <w:t>□</w:t>
            </w:r>
          </w:p>
        </w:tc>
      </w:tr>
      <w:tr w:rsidR="002A5A5E" w:rsidRPr="00F9522B">
        <w:trPr>
          <w:trHeight w:val="213"/>
        </w:trPr>
        <w:tc>
          <w:tcPr>
            <w:tcW w:w="390" w:type="dxa"/>
            <w:vMerge w:val="restart"/>
            <w:tcBorders>
              <w:top w:val="single" w:sz="6" w:space="0" w:color="000000" w:themeColor="text1"/>
              <w:left w:val="single" w:sz="12" w:space="0" w:color="000000" w:themeColor="text1"/>
              <w:right w:val="single" w:sz="6" w:space="0" w:color="000000" w:themeColor="text1"/>
            </w:tcBorders>
          </w:tcPr>
          <w:p w:rsidR="002A5A5E" w:rsidRPr="00F9522B" w:rsidRDefault="00611CBA">
            <w:pPr>
              <w:widowControl/>
              <w:jc w:val="left"/>
              <w:rPr>
                <w:rFonts w:eastAsiaTheme="minorEastAsia"/>
                <w:kern w:val="0"/>
                <w:szCs w:val="21"/>
              </w:rPr>
            </w:pPr>
            <w:r w:rsidRPr="00F9522B">
              <w:rPr>
                <w:rFonts w:eastAsiaTheme="minorEastAsia"/>
                <w:kern w:val="0"/>
                <w:szCs w:val="21"/>
              </w:rPr>
              <w:t>影响预测</w:t>
            </w:r>
          </w:p>
        </w:tc>
        <w:tc>
          <w:tcPr>
            <w:tcW w:w="253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预测范围</w:t>
            </w:r>
          </w:p>
        </w:tc>
        <w:tc>
          <w:tcPr>
            <w:tcW w:w="11177" w:type="dxa"/>
            <w:gridSpan w:val="4"/>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jc w:val="left"/>
              <w:rPr>
                <w:rFonts w:eastAsiaTheme="minorEastAsia"/>
                <w:kern w:val="0"/>
                <w:szCs w:val="21"/>
              </w:rPr>
            </w:pPr>
            <w:r w:rsidRPr="00F9522B">
              <w:rPr>
                <w:rFonts w:eastAsiaTheme="minorEastAsia"/>
                <w:kern w:val="0"/>
                <w:szCs w:val="21"/>
              </w:rPr>
              <w:t>河流：长度（）</w:t>
            </w:r>
            <w:r w:rsidRPr="00F9522B">
              <w:rPr>
                <w:rFonts w:eastAsiaTheme="minorEastAsia"/>
                <w:kern w:val="0"/>
                <w:szCs w:val="21"/>
              </w:rPr>
              <w:t>km</w:t>
            </w:r>
            <w:r w:rsidRPr="00F9522B">
              <w:rPr>
                <w:rFonts w:eastAsiaTheme="minorEastAsia"/>
                <w:kern w:val="0"/>
                <w:szCs w:val="21"/>
              </w:rPr>
              <w:t>；湖库、河口及近岸海域：面积（）</w:t>
            </w:r>
            <w:r w:rsidRPr="00F9522B">
              <w:rPr>
                <w:rFonts w:eastAsiaTheme="minorEastAsia"/>
                <w:kern w:val="0"/>
                <w:szCs w:val="21"/>
              </w:rPr>
              <w:t>km</w:t>
            </w:r>
            <w:r w:rsidRPr="00F9522B">
              <w:rPr>
                <w:rFonts w:eastAsiaTheme="minorEastAsia"/>
                <w:kern w:val="0"/>
                <w:szCs w:val="21"/>
                <w:vertAlign w:val="superscript"/>
              </w:rPr>
              <w:t>2</w:t>
            </w:r>
          </w:p>
        </w:tc>
      </w:tr>
      <w:tr w:rsidR="002A5A5E" w:rsidRPr="00F9522B">
        <w:trPr>
          <w:trHeight w:val="213"/>
        </w:trPr>
        <w:tc>
          <w:tcPr>
            <w:tcW w:w="390" w:type="dxa"/>
            <w:vMerge/>
            <w:tcBorders>
              <w:left w:val="single" w:sz="12" w:space="0" w:color="000000" w:themeColor="text1"/>
              <w:right w:val="single" w:sz="6" w:space="0" w:color="000000" w:themeColor="text1"/>
            </w:tcBorders>
          </w:tcPr>
          <w:p w:rsidR="002A5A5E" w:rsidRPr="00F9522B" w:rsidRDefault="002A5A5E">
            <w:pPr>
              <w:widowControl/>
              <w:jc w:val="left"/>
              <w:rPr>
                <w:rFonts w:eastAsiaTheme="minorEastAsia"/>
                <w:kern w:val="0"/>
                <w:szCs w:val="21"/>
              </w:rPr>
            </w:pPr>
          </w:p>
        </w:tc>
        <w:tc>
          <w:tcPr>
            <w:tcW w:w="253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预测因子</w:t>
            </w:r>
          </w:p>
        </w:tc>
        <w:tc>
          <w:tcPr>
            <w:tcW w:w="11177" w:type="dxa"/>
            <w:gridSpan w:val="4"/>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jc w:val="left"/>
              <w:rPr>
                <w:rFonts w:eastAsiaTheme="minorEastAsia"/>
                <w:kern w:val="0"/>
                <w:szCs w:val="21"/>
              </w:rPr>
            </w:pPr>
            <w:r w:rsidRPr="00F9522B">
              <w:rPr>
                <w:rFonts w:eastAsiaTheme="minorEastAsia"/>
                <w:kern w:val="0"/>
                <w:szCs w:val="21"/>
              </w:rPr>
              <w:t>（）</w:t>
            </w:r>
          </w:p>
        </w:tc>
      </w:tr>
      <w:tr w:rsidR="002A5A5E" w:rsidRPr="00F9522B">
        <w:trPr>
          <w:trHeight w:val="213"/>
        </w:trPr>
        <w:tc>
          <w:tcPr>
            <w:tcW w:w="390" w:type="dxa"/>
            <w:vMerge/>
            <w:tcBorders>
              <w:left w:val="single" w:sz="12" w:space="0" w:color="000000" w:themeColor="text1"/>
              <w:bottom w:val="single" w:sz="12" w:space="0" w:color="000000" w:themeColor="text1"/>
              <w:right w:val="single" w:sz="6" w:space="0" w:color="000000" w:themeColor="text1"/>
            </w:tcBorders>
          </w:tcPr>
          <w:p w:rsidR="002A5A5E" w:rsidRPr="00F9522B" w:rsidRDefault="002A5A5E">
            <w:pPr>
              <w:widowControl/>
              <w:jc w:val="left"/>
              <w:rPr>
                <w:rFonts w:eastAsiaTheme="minorEastAsia"/>
                <w:kern w:val="0"/>
                <w:szCs w:val="21"/>
              </w:rPr>
            </w:pPr>
          </w:p>
        </w:tc>
        <w:tc>
          <w:tcPr>
            <w:tcW w:w="2539" w:type="dxa"/>
            <w:tcBorders>
              <w:top w:val="single" w:sz="6" w:space="0" w:color="000000" w:themeColor="text1"/>
              <w:left w:val="single" w:sz="6" w:space="0" w:color="000000" w:themeColor="text1"/>
              <w:bottom w:val="single" w:sz="12"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预测时期</w:t>
            </w:r>
          </w:p>
        </w:tc>
        <w:tc>
          <w:tcPr>
            <w:tcW w:w="11177" w:type="dxa"/>
            <w:gridSpan w:val="4"/>
            <w:tcBorders>
              <w:top w:val="single" w:sz="6" w:space="0" w:color="000000" w:themeColor="text1"/>
              <w:left w:val="single" w:sz="6" w:space="0" w:color="000000" w:themeColor="text1"/>
              <w:bottom w:val="single" w:sz="12" w:space="0" w:color="000000" w:themeColor="text1"/>
              <w:right w:val="single" w:sz="12" w:space="0" w:color="000000" w:themeColor="text1"/>
            </w:tcBorders>
          </w:tcPr>
          <w:p w:rsidR="002A5A5E" w:rsidRPr="00F9522B" w:rsidRDefault="00611CBA">
            <w:pPr>
              <w:jc w:val="left"/>
              <w:rPr>
                <w:rFonts w:eastAsiaTheme="minorEastAsia"/>
                <w:kern w:val="0"/>
                <w:szCs w:val="21"/>
              </w:rPr>
            </w:pPr>
            <w:r w:rsidRPr="00F9522B">
              <w:rPr>
                <w:rFonts w:eastAsiaTheme="minorEastAsia"/>
                <w:kern w:val="0"/>
                <w:szCs w:val="21"/>
              </w:rPr>
              <w:t>丰水期</w:t>
            </w:r>
            <w:r w:rsidRPr="00F9522B">
              <w:rPr>
                <w:rFonts w:eastAsiaTheme="minorEastAsia"/>
                <w:kern w:val="0"/>
                <w:szCs w:val="21"/>
              </w:rPr>
              <w:t>□</w:t>
            </w:r>
            <w:r w:rsidRPr="00F9522B">
              <w:rPr>
                <w:rFonts w:eastAsiaTheme="minorEastAsia"/>
                <w:kern w:val="0"/>
                <w:szCs w:val="21"/>
              </w:rPr>
              <w:t>；平水期</w:t>
            </w:r>
            <w:r w:rsidRPr="00F9522B">
              <w:rPr>
                <w:rFonts w:eastAsiaTheme="minorEastAsia"/>
                <w:kern w:val="0"/>
                <w:szCs w:val="21"/>
              </w:rPr>
              <w:t>□</w:t>
            </w:r>
            <w:r w:rsidRPr="00F9522B">
              <w:rPr>
                <w:rFonts w:eastAsiaTheme="minorEastAsia"/>
                <w:kern w:val="0"/>
                <w:szCs w:val="21"/>
              </w:rPr>
              <w:t>；枯水期</w:t>
            </w:r>
            <w:r w:rsidRPr="00F9522B">
              <w:rPr>
                <w:rFonts w:eastAsiaTheme="minorEastAsia"/>
                <w:kern w:val="0"/>
                <w:szCs w:val="21"/>
              </w:rPr>
              <w:t>□</w:t>
            </w:r>
            <w:r w:rsidRPr="00F9522B">
              <w:rPr>
                <w:rFonts w:eastAsiaTheme="minorEastAsia"/>
                <w:kern w:val="0"/>
                <w:szCs w:val="21"/>
              </w:rPr>
              <w:t>；冰封期</w:t>
            </w:r>
            <w:r w:rsidRPr="00F9522B">
              <w:rPr>
                <w:rFonts w:eastAsiaTheme="minorEastAsia"/>
                <w:kern w:val="0"/>
                <w:szCs w:val="21"/>
              </w:rPr>
              <w:t>□</w:t>
            </w:r>
          </w:p>
          <w:p w:rsidR="002A5A5E" w:rsidRPr="00F9522B" w:rsidRDefault="00611CBA">
            <w:pPr>
              <w:jc w:val="left"/>
              <w:rPr>
                <w:rFonts w:eastAsiaTheme="minorEastAsia"/>
                <w:kern w:val="0"/>
                <w:szCs w:val="21"/>
              </w:rPr>
            </w:pPr>
            <w:r w:rsidRPr="00F9522B">
              <w:rPr>
                <w:rFonts w:eastAsiaTheme="minorEastAsia"/>
                <w:kern w:val="0"/>
                <w:szCs w:val="21"/>
              </w:rPr>
              <w:t>春季</w:t>
            </w:r>
            <w:r w:rsidRPr="00F9522B">
              <w:rPr>
                <w:rFonts w:eastAsiaTheme="minorEastAsia"/>
                <w:kern w:val="0"/>
                <w:szCs w:val="21"/>
              </w:rPr>
              <w:t>□</w:t>
            </w:r>
            <w:r w:rsidRPr="00F9522B">
              <w:rPr>
                <w:rFonts w:eastAsiaTheme="minorEastAsia"/>
                <w:kern w:val="0"/>
                <w:szCs w:val="21"/>
              </w:rPr>
              <w:t>；夏季</w:t>
            </w:r>
            <w:r w:rsidRPr="00F9522B">
              <w:rPr>
                <w:rFonts w:eastAsiaTheme="minorEastAsia"/>
                <w:kern w:val="0"/>
                <w:szCs w:val="21"/>
              </w:rPr>
              <w:t>□</w:t>
            </w:r>
            <w:r w:rsidRPr="00F9522B">
              <w:rPr>
                <w:rFonts w:eastAsiaTheme="minorEastAsia"/>
                <w:kern w:val="0"/>
                <w:szCs w:val="21"/>
              </w:rPr>
              <w:t>；秋季</w:t>
            </w:r>
            <w:r w:rsidRPr="00F9522B">
              <w:rPr>
                <w:rFonts w:eastAsiaTheme="minorEastAsia"/>
                <w:kern w:val="0"/>
                <w:szCs w:val="21"/>
              </w:rPr>
              <w:t>□</w:t>
            </w:r>
            <w:r w:rsidRPr="00F9522B">
              <w:rPr>
                <w:rFonts w:eastAsiaTheme="minorEastAsia"/>
                <w:kern w:val="0"/>
                <w:szCs w:val="21"/>
              </w:rPr>
              <w:t>；冬季</w:t>
            </w:r>
            <w:r w:rsidRPr="00F9522B">
              <w:rPr>
                <w:rFonts w:eastAsiaTheme="minorEastAsia"/>
                <w:kern w:val="0"/>
                <w:szCs w:val="21"/>
              </w:rPr>
              <w:t>□</w:t>
            </w:r>
          </w:p>
          <w:p w:rsidR="002A5A5E" w:rsidRPr="00F9522B" w:rsidRDefault="00611CBA">
            <w:pPr>
              <w:jc w:val="left"/>
              <w:rPr>
                <w:rFonts w:eastAsiaTheme="minorEastAsia"/>
                <w:kern w:val="0"/>
                <w:szCs w:val="21"/>
              </w:rPr>
            </w:pPr>
            <w:r w:rsidRPr="00F9522B">
              <w:rPr>
                <w:rFonts w:eastAsiaTheme="minorEastAsia"/>
                <w:kern w:val="0"/>
                <w:szCs w:val="21"/>
              </w:rPr>
              <w:t>设计水文条件</w:t>
            </w:r>
            <w:r w:rsidRPr="00F9522B">
              <w:rPr>
                <w:rFonts w:eastAsiaTheme="minorEastAsia"/>
                <w:kern w:val="0"/>
                <w:szCs w:val="21"/>
              </w:rPr>
              <w:t>□</w:t>
            </w:r>
          </w:p>
        </w:tc>
      </w:tr>
    </w:tbl>
    <w:p w:rsidR="002A5A5E" w:rsidRPr="00F9522B" w:rsidRDefault="002A5A5E">
      <w:pPr>
        <w:jc w:val="right"/>
        <w:rPr>
          <w:rFonts w:eastAsiaTheme="minorEastAsia"/>
          <w:b/>
          <w:szCs w:val="22"/>
        </w:rPr>
      </w:pPr>
    </w:p>
    <w:p w:rsidR="002A5A5E" w:rsidRPr="00F9522B" w:rsidRDefault="00611CBA">
      <w:pPr>
        <w:jc w:val="right"/>
        <w:rPr>
          <w:rFonts w:eastAsiaTheme="minorEastAsia"/>
          <w:b/>
        </w:rPr>
      </w:pPr>
      <w:r w:rsidRPr="00F9522B">
        <w:rPr>
          <w:rFonts w:eastAsiaTheme="minorEastAsia"/>
          <w:b/>
        </w:rPr>
        <w:lastRenderedPageBreak/>
        <w:t>续表</w:t>
      </w:r>
    </w:p>
    <w:tbl>
      <w:tblPr>
        <w:tblStyle w:val="aff6"/>
        <w:tblW w:w="1402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Look w:val="04A0"/>
      </w:tblPr>
      <w:tblGrid>
        <w:gridCol w:w="387"/>
        <w:gridCol w:w="2525"/>
        <w:gridCol w:w="2076"/>
        <w:gridCol w:w="1369"/>
        <w:gridCol w:w="1016"/>
        <w:gridCol w:w="2516"/>
        <w:gridCol w:w="709"/>
        <w:gridCol w:w="1417"/>
        <w:gridCol w:w="2009"/>
      </w:tblGrid>
      <w:tr w:rsidR="002A5A5E" w:rsidRPr="00F9522B">
        <w:trPr>
          <w:trHeight w:val="342"/>
        </w:trPr>
        <w:tc>
          <w:tcPr>
            <w:tcW w:w="2912" w:type="dxa"/>
            <w:gridSpan w:val="2"/>
            <w:tcBorders>
              <w:top w:val="single" w:sz="12"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工作内容</w:t>
            </w:r>
          </w:p>
        </w:tc>
        <w:tc>
          <w:tcPr>
            <w:tcW w:w="11112" w:type="dxa"/>
            <w:gridSpan w:val="7"/>
            <w:tcBorders>
              <w:top w:val="single" w:sz="12"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自查项目</w:t>
            </w:r>
          </w:p>
        </w:tc>
      </w:tr>
      <w:tr w:rsidR="002A5A5E" w:rsidRPr="00F9522B">
        <w:trPr>
          <w:trHeight w:val="1006"/>
        </w:trPr>
        <w:tc>
          <w:tcPr>
            <w:tcW w:w="387" w:type="dxa"/>
            <w:vMerge w:val="restart"/>
            <w:tcBorders>
              <w:top w:val="single" w:sz="6"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611CBA">
            <w:pPr>
              <w:widowControl/>
              <w:jc w:val="left"/>
              <w:rPr>
                <w:rFonts w:eastAsiaTheme="minorEastAsia"/>
                <w:kern w:val="0"/>
                <w:szCs w:val="21"/>
              </w:rPr>
            </w:pPr>
            <w:r w:rsidRPr="00F9522B">
              <w:rPr>
                <w:rFonts w:eastAsiaTheme="minorEastAsia"/>
                <w:kern w:val="0"/>
                <w:szCs w:val="21"/>
              </w:rPr>
              <w:t>影响预测</w:t>
            </w:r>
          </w:p>
        </w:tc>
        <w:tc>
          <w:tcPr>
            <w:tcW w:w="25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预测情景</w:t>
            </w:r>
          </w:p>
        </w:tc>
        <w:tc>
          <w:tcPr>
            <w:tcW w:w="11112" w:type="dxa"/>
            <w:gridSpan w:val="7"/>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jc w:val="left"/>
              <w:rPr>
                <w:rFonts w:eastAsiaTheme="minorEastAsia"/>
                <w:kern w:val="0"/>
                <w:szCs w:val="21"/>
              </w:rPr>
            </w:pPr>
            <w:r w:rsidRPr="00F9522B">
              <w:rPr>
                <w:rFonts w:eastAsiaTheme="minorEastAsia"/>
                <w:kern w:val="0"/>
                <w:szCs w:val="21"/>
              </w:rPr>
              <w:t>建设期</w:t>
            </w:r>
            <w:r w:rsidRPr="00F9522B">
              <w:rPr>
                <w:rFonts w:eastAsiaTheme="minorEastAsia"/>
                <w:kern w:val="0"/>
                <w:szCs w:val="21"/>
              </w:rPr>
              <w:t>□</w:t>
            </w:r>
            <w:r w:rsidRPr="00F9522B">
              <w:rPr>
                <w:rFonts w:eastAsiaTheme="minorEastAsia"/>
                <w:kern w:val="0"/>
                <w:szCs w:val="21"/>
              </w:rPr>
              <w:t>；生产运营期</w:t>
            </w:r>
            <w:r w:rsidRPr="00F9522B">
              <w:rPr>
                <w:rFonts w:eastAsiaTheme="minorEastAsia"/>
                <w:kern w:val="0"/>
                <w:szCs w:val="21"/>
              </w:rPr>
              <w:t>□</w:t>
            </w:r>
            <w:r w:rsidRPr="00F9522B">
              <w:rPr>
                <w:rFonts w:eastAsiaTheme="minorEastAsia"/>
                <w:kern w:val="0"/>
                <w:szCs w:val="21"/>
              </w:rPr>
              <w:t>；服务期满后</w:t>
            </w:r>
            <w:r w:rsidRPr="00F9522B">
              <w:rPr>
                <w:rFonts w:eastAsiaTheme="minorEastAsia"/>
                <w:kern w:val="0"/>
                <w:szCs w:val="21"/>
              </w:rPr>
              <w:t>□</w:t>
            </w:r>
          </w:p>
          <w:p w:rsidR="002A5A5E" w:rsidRPr="00F9522B" w:rsidRDefault="00611CBA">
            <w:pPr>
              <w:jc w:val="left"/>
              <w:rPr>
                <w:rFonts w:eastAsiaTheme="minorEastAsia"/>
                <w:kern w:val="0"/>
                <w:szCs w:val="21"/>
              </w:rPr>
            </w:pPr>
            <w:r w:rsidRPr="00F9522B">
              <w:rPr>
                <w:rFonts w:eastAsiaTheme="minorEastAsia"/>
                <w:kern w:val="0"/>
                <w:szCs w:val="21"/>
              </w:rPr>
              <w:t>正常工况</w:t>
            </w:r>
            <w:r w:rsidRPr="00F9522B">
              <w:rPr>
                <w:rFonts w:eastAsiaTheme="minorEastAsia"/>
                <w:kern w:val="0"/>
                <w:szCs w:val="21"/>
              </w:rPr>
              <w:t>□</w:t>
            </w:r>
            <w:r w:rsidRPr="00F9522B">
              <w:rPr>
                <w:rFonts w:eastAsiaTheme="minorEastAsia"/>
                <w:kern w:val="0"/>
                <w:szCs w:val="21"/>
              </w:rPr>
              <w:t>；非正常工况</w:t>
            </w:r>
            <w:r w:rsidRPr="00F9522B">
              <w:rPr>
                <w:rFonts w:eastAsiaTheme="minorEastAsia"/>
                <w:kern w:val="0"/>
                <w:szCs w:val="21"/>
              </w:rPr>
              <w:t>□</w:t>
            </w:r>
          </w:p>
          <w:p w:rsidR="002A5A5E" w:rsidRPr="00F9522B" w:rsidRDefault="00611CBA">
            <w:pPr>
              <w:jc w:val="left"/>
              <w:rPr>
                <w:rFonts w:eastAsiaTheme="minorEastAsia"/>
                <w:kern w:val="0"/>
                <w:szCs w:val="21"/>
              </w:rPr>
            </w:pPr>
            <w:r w:rsidRPr="00F9522B">
              <w:rPr>
                <w:rFonts w:eastAsiaTheme="minorEastAsia"/>
                <w:kern w:val="0"/>
                <w:szCs w:val="21"/>
              </w:rPr>
              <w:t>污染控制和减缓措施方案</w:t>
            </w:r>
            <w:r w:rsidRPr="00F9522B">
              <w:rPr>
                <w:rFonts w:eastAsiaTheme="minorEastAsia"/>
                <w:kern w:val="0"/>
                <w:szCs w:val="21"/>
              </w:rPr>
              <w:t>□</w:t>
            </w:r>
          </w:p>
          <w:p w:rsidR="002A5A5E" w:rsidRPr="00F9522B" w:rsidRDefault="00611CBA">
            <w:pPr>
              <w:jc w:val="left"/>
              <w:rPr>
                <w:rFonts w:eastAsiaTheme="minorEastAsia"/>
                <w:kern w:val="0"/>
                <w:szCs w:val="21"/>
              </w:rPr>
            </w:pPr>
            <w:r w:rsidRPr="00F9522B">
              <w:rPr>
                <w:rFonts w:eastAsiaTheme="minorEastAsia"/>
                <w:kern w:val="0"/>
                <w:szCs w:val="21"/>
              </w:rPr>
              <w:t>区（流）域水环境质量改善目标要求情景</w:t>
            </w:r>
            <w:r w:rsidRPr="00F9522B">
              <w:rPr>
                <w:rFonts w:eastAsiaTheme="minorEastAsia"/>
                <w:kern w:val="0"/>
                <w:szCs w:val="21"/>
              </w:rPr>
              <w:t>□</w:t>
            </w:r>
          </w:p>
        </w:tc>
      </w:tr>
      <w:tr w:rsidR="002A5A5E" w:rsidRPr="00F9522B">
        <w:trPr>
          <w:trHeight w:val="468"/>
        </w:trPr>
        <w:tc>
          <w:tcPr>
            <w:tcW w:w="387" w:type="dxa"/>
            <w:vMerge/>
            <w:tcBorders>
              <w:top w:val="single" w:sz="6"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kern w:val="0"/>
                <w:szCs w:val="21"/>
              </w:rPr>
            </w:pPr>
          </w:p>
        </w:tc>
        <w:tc>
          <w:tcPr>
            <w:tcW w:w="25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预测方法</w:t>
            </w:r>
          </w:p>
        </w:tc>
        <w:tc>
          <w:tcPr>
            <w:tcW w:w="11112" w:type="dxa"/>
            <w:gridSpan w:val="7"/>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jc w:val="left"/>
              <w:rPr>
                <w:rFonts w:eastAsiaTheme="minorEastAsia"/>
                <w:kern w:val="0"/>
                <w:szCs w:val="21"/>
              </w:rPr>
            </w:pPr>
            <w:r w:rsidRPr="00F9522B">
              <w:rPr>
                <w:rFonts w:eastAsiaTheme="minorEastAsia"/>
                <w:kern w:val="0"/>
                <w:szCs w:val="21"/>
              </w:rPr>
              <w:t>数值解</w:t>
            </w:r>
            <w:r w:rsidRPr="00F9522B">
              <w:rPr>
                <w:rFonts w:eastAsiaTheme="minorEastAsia"/>
                <w:kern w:val="0"/>
                <w:szCs w:val="21"/>
              </w:rPr>
              <w:t>□</w:t>
            </w:r>
            <w:r w:rsidRPr="00F9522B">
              <w:rPr>
                <w:rFonts w:eastAsiaTheme="minorEastAsia"/>
                <w:kern w:val="0"/>
                <w:szCs w:val="21"/>
              </w:rPr>
              <w:t>；解析解</w:t>
            </w:r>
            <w:r w:rsidRPr="00F9522B">
              <w:rPr>
                <w:rFonts w:eastAsiaTheme="minorEastAsia"/>
                <w:kern w:val="0"/>
                <w:szCs w:val="21"/>
              </w:rPr>
              <w:t>□</w:t>
            </w:r>
            <w:r w:rsidRPr="00F9522B">
              <w:rPr>
                <w:rFonts w:eastAsiaTheme="minorEastAsia"/>
                <w:kern w:val="0"/>
                <w:szCs w:val="21"/>
              </w:rPr>
              <w:t>；其他</w:t>
            </w:r>
            <w:r w:rsidRPr="00F9522B">
              <w:rPr>
                <w:rFonts w:eastAsiaTheme="minorEastAsia"/>
                <w:kern w:val="0"/>
                <w:szCs w:val="21"/>
              </w:rPr>
              <w:t>□</w:t>
            </w:r>
          </w:p>
          <w:p w:rsidR="002A5A5E" w:rsidRPr="00F9522B" w:rsidRDefault="00611CBA">
            <w:pPr>
              <w:jc w:val="left"/>
              <w:rPr>
                <w:rFonts w:eastAsiaTheme="minorEastAsia"/>
                <w:kern w:val="0"/>
                <w:szCs w:val="21"/>
              </w:rPr>
            </w:pPr>
            <w:r w:rsidRPr="00F9522B">
              <w:rPr>
                <w:rFonts w:eastAsiaTheme="minorEastAsia"/>
                <w:kern w:val="0"/>
                <w:szCs w:val="21"/>
              </w:rPr>
              <w:t>导则推荐模式</w:t>
            </w:r>
            <w:r w:rsidRPr="00F9522B">
              <w:rPr>
                <w:rFonts w:eastAsiaTheme="minorEastAsia"/>
                <w:kern w:val="0"/>
                <w:szCs w:val="21"/>
              </w:rPr>
              <w:t>□</w:t>
            </w:r>
            <w:r w:rsidRPr="00F9522B">
              <w:rPr>
                <w:rFonts w:eastAsiaTheme="minorEastAsia"/>
                <w:kern w:val="0"/>
                <w:szCs w:val="21"/>
              </w:rPr>
              <w:t>；其他</w:t>
            </w:r>
            <w:r w:rsidRPr="00F9522B">
              <w:rPr>
                <w:rFonts w:eastAsiaTheme="minorEastAsia"/>
                <w:kern w:val="0"/>
                <w:szCs w:val="21"/>
              </w:rPr>
              <w:t>□</w:t>
            </w:r>
          </w:p>
        </w:tc>
      </w:tr>
      <w:tr w:rsidR="002A5A5E" w:rsidRPr="00F9522B">
        <w:trPr>
          <w:trHeight w:val="333"/>
        </w:trPr>
        <w:tc>
          <w:tcPr>
            <w:tcW w:w="387" w:type="dxa"/>
            <w:vMerge w:val="restart"/>
            <w:tcBorders>
              <w:top w:val="single" w:sz="6" w:space="0" w:color="000000" w:themeColor="text1"/>
              <w:left w:val="single" w:sz="12"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影响评价</w:t>
            </w:r>
          </w:p>
        </w:tc>
        <w:tc>
          <w:tcPr>
            <w:tcW w:w="25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水污染控制和水环境影响减缓措施有效性评价</w:t>
            </w:r>
          </w:p>
        </w:tc>
        <w:tc>
          <w:tcPr>
            <w:tcW w:w="11112" w:type="dxa"/>
            <w:gridSpan w:val="7"/>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jc w:val="left"/>
              <w:rPr>
                <w:rFonts w:eastAsiaTheme="minorEastAsia"/>
                <w:kern w:val="0"/>
                <w:szCs w:val="21"/>
              </w:rPr>
            </w:pPr>
            <w:r w:rsidRPr="00F9522B">
              <w:rPr>
                <w:rFonts w:eastAsiaTheme="minorEastAsia"/>
                <w:kern w:val="0"/>
                <w:szCs w:val="21"/>
              </w:rPr>
              <w:t>区（流）域水环境质量改善目标</w:t>
            </w:r>
            <w:r w:rsidRPr="00F9522B">
              <w:rPr>
                <w:rFonts w:eastAsiaTheme="minorEastAsia"/>
                <w:kern w:val="0"/>
                <w:szCs w:val="21"/>
              </w:rPr>
              <w:t>□</w:t>
            </w:r>
            <w:r w:rsidRPr="00F9522B">
              <w:rPr>
                <w:rFonts w:eastAsiaTheme="minorEastAsia"/>
                <w:kern w:val="0"/>
                <w:szCs w:val="21"/>
              </w:rPr>
              <w:t>；替代削减源</w:t>
            </w:r>
            <w:r w:rsidRPr="00F9522B">
              <w:rPr>
                <w:rFonts w:eastAsiaTheme="minorEastAsia"/>
                <w:kern w:val="0"/>
                <w:szCs w:val="21"/>
              </w:rPr>
              <w:t>□</w:t>
            </w:r>
          </w:p>
        </w:tc>
      </w:tr>
      <w:tr w:rsidR="002A5A5E" w:rsidRPr="00F9522B">
        <w:trPr>
          <w:trHeight w:val="2609"/>
        </w:trPr>
        <w:tc>
          <w:tcPr>
            <w:tcW w:w="387" w:type="dxa"/>
            <w:vMerge/>
            <w:tcBorders>
              <w:left w:val="single" w:sz="12" w:space="0" w:color="000000" w:themeColor="text1"/>
              <w:right w:val="single" w:sz="6" w:space="0" w:color="000000" w:themeColor="text1"/>
            </w:tcBorders>
          </w:tcPr>
          <w:p w:rsidR="002A5A5E" w:rsidRPr="00F9522B" w:rsidRDefault="002A5A5E">
            <w:pPr>
              <w:widowControl/>
              <w:jc w:val="left"/>
              <w:rPr>
                <w:rFonts w:eastAsiaTheme="minorEastAsia"/>
                <w:kern w:val="0"/>
                <w:szCs w:val="21"/>
              </w:rPr>
            </w:pPr>
          </w:p>
        </w:tc>
        <w:tc>
          <w:tcPr>
            <w:tcW w:w="25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水环境影响评价</w:t>
            </w:r>
          </w:p>
        </w:tc>
        <w:tc>
          <w:tcPr>
            <w:tcW w:w="11112" w:type="dxa"/>
            <w:gridSpan w:val="7"/>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jc w:val="left"/>
              <w:rPr>
                <w:rFonts w:eastAsiaTheme="minorEastAsia"/>
                <w:kern w:val="0"/>
                <w:szCs w:val="21"/>
              </w:rPr>
            </w:pPr>
            <w:r w:rsidRPr="00F9522B">
              <w:rPr>
                <w:rFonts w:eastAsiaTheme="minorEastAsia"/>
                <w:kern w:val="0"/>
                <w:szCs w:val="21"/>
              </w:rPr>
              <w:t>排放口混合区外满足水环境管理要求</w:t>
            </w:r>
            <w:r w:rsidRPr="00F9522B">
              <w:rPr>
                <w:rFonts w:eastAsiaTheme="minorEastAsia"/>
                <w:kern w:val="0"/>
                <w:szCs w:val="21"/>
              </w:rPr>
              <w:t>□</w:t>
            </w:r>
          </w:p>
          <w:p w:rsidR="002A5A5E" w:rsidRPr="00F9522B" w:rsidRDefault="00611CBA">
            <w:pPr>
              <w:jc w:val="left"/>
              <w:rPr>
                <w:rFonts w:eastAsiaTheme="minorEastAsia"/>
                <w:kern w:val="0"/>
                <w:szCs w:val="21"/>
              </w:rPr>
            </w:pPr>
            <w:r w:rsidRPr="00F9522B">
              <w:rPr>
                <w:rFonts w:eastAsiaTheme="minorEastAsia"/>
                <w:kern w:val="0"/>
                <w:szCs w:val="21"/>
              </w:rPr>
              <w:t>水环境功能区或水功能区、近岸海域环境功能区水质达标</w:t>
            </w:r>
            <w:r w:rsidRPr="00F9522B">
              <w:rPr>
                <w:rFonts w:eastAsiaTheme="minorEastAsia"/>
                <w:snapToGrid w:val="0"/>
                <w:kern w:val="0"/>
                <w:sz w:val="18"/>
                <w:szCs w:val="18"/>
              </w:rPr>
              <w:t>√</w:t>
            </w:r>
          </w:p>
          <w:p w:rsidR="002A5A5E" w:rsidRPr="00F9522B" w:rsidRDefault="00611CBA">
            <w:pPr>
              <w:jc w:val="left"/>
              <w:rPr>
                <w:rFonts w:eastAsiaTheme="minorEastAsia"/>
                <w:kern w:val="0"/>
                <w:szCs w:val="21"/>
              </w:rPr>
            </w:pPr>
            <w:r w:rsidRPr="00F9522B">
              <w:rPr>
                <w:rFonts w:eastAsiaTheme="minorEastAsia"/>
                <w:kern w:val="0"/>
                <w:szCs w:val="21"/>
              </w:rPr>
              <w:t>满足水环境保护目标水域水环境质量要求</w:t>
            </w:r>
            <w:r w:rsidRPr="00F9522B">
              <w:rPr>
                <w:rFonts w:eastAsiaTheme="minorEastAsia"/>
                <w:snapToGrid w:val="0"/>
                <w:kern w:val="0"/>
                <w:sz w:val="18"/>
                <w:szCs w:val="18"/>
              </w:rPr>
              <w:t>√</w:t>
            </w:r>
          </w:p>
          <w:p w:rsidR="002A5A5E" w:rsidRPr="00F9522B" w:rsidRDefault="00611CBA">
            <w:pPr>
              <w:jc w:val="left"/>
              <w:rPr>
                <w:rFonts w:eastAsiaTheme="minorEastAsia"/>
                <w:kern w:val="0"/>
                <w:szCs w:val="21"/>
              </w:rPr>
            </w:pPr>
            <w:r w:rsidRPr="00F9522B">
              <w:rPr>
                <w:rFonts w:eastAsiaTheme="minorEastAsia"/>
                <w:kern w:val="0"/>
                <w:szCs w:val="21"/>
              </w:rPr>
              <w:t>水环境控制单元或断面水质达标</w:t>
            </w:r>
            <w:r w:rsidRPr="00F9522B">
              <w:rPr>
                <w:rFonts w:eastAsiaTheme="minorEastAsia"/>
                <w:kern w:val="0"/>
                <w:szCs w:val="21"/>
              </w:rPr>
              <w:t xml:space="preserve"> □</w:t>
            </w:r>
          </w:p>
          <w:p w:rsidR="002A5A5E" w:rsidRPr="00F9522B" w:rsidRDefault="00611CBA">
            <w:pPr>
              <w:jc w:val="left"/>
              <w:rPr>
                <w:rFonts w:eastAsiaTheme="minorEastAsia"/>
                <w:kern w:val="0"/>
                <w:szCs w:val="21"/>
              </w:rPr>
            </w:pPr>
            <w:r w:rsidRPr="00F9522B">
              <w:rPr>
                <w:rFonts w:eastAsiaTheme="minorEastAsia"/>
                <w:kern w:val="0"/>
                <w:szCs w:val="21"/>
              </w:rPr>
              <w:t>满足重点水污染物排放总量控制指标要求，重点行业建设项目，主要污染物排放满足等量或减量替代要求</w:t>
            </w:r>
            <w:r w:rsidRPr="00F9522B">
              <w:rPr>
                <w:rFonts w:eastAsiaTheme="minorEastAsia"/>
                <w:kern w:val="0"/>
                <w:szCs w:val="21"/>
              </w:rPr>
              <w:t xml:space="preserve"> □</w:t>
            </w:r>
          </w:p>
          <w:p w:rsidR="002A5A5E" w:rsidRPr="00F9522B" w:rsidRDefault="00611CBA">
            <w:pPr>
              <w:jc w:val="left"/>
              <w:rPr>
                <w:rFonts w:eastAsiaTheme="minorEastAsia"/>
                <w:kern w:val="0"/>
                <w:szCs w:val="21"/>
              </w:rPr>
            </w:pPr>
            <w:r w:rsidRPr="00F9522B">
              <w:rPr>
                <w:rFonts w:eastAsiaTheme="minorEastAsia"/>
                <w:kern w:val="0"/>
                <w:szCs w:val="21"/>
              </w:rPr>
              <w:t>满足区（流）域水环境质量改善目标要求</w:t>
            </w:r>
            <w:r w:rsidRPr="00F9522B">
              <w:rPr>
                <w:rFonts w:eastAsiaTheme="minorEastAsia"/>
                <w:kern w:val="0"/>
                <w:szCs w:val="21"/>
              </w:rPr>
              <w:t xml:space="preserve"> □</w:t>
            </w:r>
          </w:p>
          <w:p w:rsidR="002A5A5E" w:rsidRPr="00F9522B" w:rsidRDefault="00611CBA">
            <w:pPr>
              <w:jc w:val="left"/>
              <w:rPr>
                <w:rFonts w:eastAsiaTheme="minorEastAsia"/>
                <w:kern w:val="0"/>
                <w:szCs w:val="21"/>
              </w:rPr>
            </w:pPr>
            <w:r w:rsidRPr="00F9522B">
              <w:rPr>
                <w:rFonts w:eastAsiaTheme="minorEastAsia"/>
                <w:kern w:val="0"/>
                <w:szCs w:val="21"/>
              </w:rPr>
              <w:t>水文要素影响型建设项目同时应包括水文情势变化评价、主要水文特征值影响评价、生态流量符合性评价</w:t>
            </w:r>
            <w:r w:rsidRPr="00F9522B">
              <w:rPr>
                <w:rFonts w:eastAsiaTheme="minorEastAsia"/>
                <w:kern w:val="0"/>
                <w:szCs w:val="21"/>
              </w:rPr>
              <w:t>□</w:t>
            </w:r>
          </w:p>
          <w:p w:rsidR="002A5A5E" w:rsidRPr="00F9522B" w:rsidRDefault="00611CBA">
            <w:pPr>
              <w:jc w:val="left"/>
              <w:rPr>
                <w:rFonts w:eastAsiaTheme="minorEastAsia"/>
                <w:kern w:val="0"/>
                <w:szCs w:val="21"/>
              </w:rPr>
            </w:pPr>
            <w:r w:rsidRPr="00F9522B">
              <w:rPr>
                <w:rFonts w:eastAsiaTheme="minorEastAsia"/>
                <w:kern w:val="0"/>
                <w:szCs w:val="21"/>
              </w:rPr>
              <w:t>对于新设或调整入河（湖库、近岸海域）排放口的建设项目，应包括排放口设置的环境合理性评价</w:t>
            </w:r>
            <w:r w:rsidRPr="00F9522B">
              <w:rPr>
                <w:rFonts w:eastAsiaTheme="minorEastAsia"/>
                <w:kern w:val="0"/>
                <w:szCs w:val="21"/>
              </w:rPr>
              <w:t>□</w:t>
            </w:r>
          </w:p>
          <w:p w:rsidR="002A5A5E" w:rsidRPr="00F9522B" w:rsidRDefault="00611CBA">
            <w:pPr>
              <w:jc w:val="left"/>
              <w:rPr>
                <w:rFonts w:eastAsiaTheme="minorEastAsia"/>
                <w:kern w:val="0"/>
                <w:szCs w:val="21"/>
              </w:rPr>
            </w:pPr>
            <w:r w:rsidRPr="00F9522B">
              <w:rPr>
                <w:rFonts w:eastAsiaTheme="minorEastAsia"/>
                <w:kern w:val="0"/>
                <w:szCs w:val="21"/>
              </w:rPr>
              <w:t>满足生态保护红线、水环境质量底线、资源利用上线和环境准入清单管理要求</w:t>
            </w:r>
            <w:r w:rsidRPr="00F9522B">
              <w:rPr>
                <w:rFonts w:eastAsiaTheme="minorEastAsia"/>
                <w:snapToGrid w:val="0"/>
                <w:kern w:val="0"/>
                <w:sz w:val="18"/>
                <w:szCs w:val="18"/>
              </w:rPr>
              <w:t>√</w:t>
            </w:r>
          </w:p>
        </w:tc>
      </w:tr>
      <w:tr w:rsidR="002A5A5E" w:rsidRPr="00F9522B">
        <w:trPr>
          <w:trHeight w:val="203"/>
        </w:trPr>
        <w:tc>
          <w:tcPr>
            <w:tcW w:w="387" w:type="dxa"/>
            <w:vMerge/>
            <w:tcBorders>
              <w:left w:val="single" w:sz="12" w:space="0" w:color="000000" w:themeColor="text1"/>
              <w:right w:val="single" w:sz="6" w:space="0" w:color="000000" w:themeColor="text1"/>
            </w:tcBorders>
          </w:tcPr>
          <w:p w:rsidR="002A5A5E" w:rsidRPr="00F9522B" w:rsidRDefault="002A5A5E">
            <w:pPr>
              <w:widowControl/>
              <w:jc w:val="left"/>
              <w:rPr>
                <w:rFonts w:eastAsiaTheme="minorEastAsia"/>
                <w:kern w:val="0"/>
                <w:szCs w:val="21"/>
              </w:rPr>
            </w:pPr>
          </w:p>
        </w:tc>
        <w:tc>
          <w:tcPr>
            <w:tcW w:w="2525" w:type="dxa"/>
            <w:vMerge w:val="restart"/>
            <w:tcBorders>
              <w:top w:val="single" w:sz="6" w:space="0" w:color="000000" w:themeColor="text1"/>
              <w:left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污染物排放量核算</w:t>
            </w:r>
          </w:p>
        </w:tc>
        <w:tc>
          <w:tcPr>
            <w:tcW w:w="3445" w:type="dxa"/>
            <w:gridSpan w:val="2"/>
            <w:tcBorders>
              <w:top w:val="single" w:sz="6" w:space="0" w:color="000000" w:themeColor="text1"/>
              <w:left w:val="single" w:sz="6" w:space="0" w:color="000000" w:themeColor="text1"/>
              <w:bottom w:val="single" w:sz="2" w:space="0" w:color="auto"/>
              <w:right w:val="single" w:sz="2" w:space="0" w:color="auto"/>
            </w:tcBorders>
          </w:tcPr>
          <w:p w:rsidR="002A5A5E" w:rsidRPr="00F9522B" w:rsidRDefault="00611CBA">
            <w:pPr>
              <w:rPr>
                <w:rFonts w:eastAsiaTheme="minorEastAsia"/>
                <w:kern w:val="0"/>
                <w:szCs w:val="21"/>
              </w:rPr>
            </w:pPr>
            <w:r w:rsidRPr="00F9522B">
              <w:rPr>
                <w:rFonts w:eastAsiaTheme="minorEastAsia"/>
                <w:kern w:val="0"/>
                <w:szCs w:val="21"/>
              </w:rPr>
              <w:t>污染物名称</w:t>
            </w:r>
          </w:p>
        </w:tc>
        <w:tc>
          <w:tcPr>
            <w:tcW w:w="4241" w:type="dxa"/>
            <w:gridSpan w:val="3"/>
            <w:tcBorders>
              <w:top w:val="single" w:sz="6" w:space="0" w:color="000000" w:themeColor="text1"/>
              <w:left w:val="single" w:sz="2" w:space="0" w:color="auto"/>
              <w:bottom w:val="single" w:sz="2" w:space="0" w:color="auto"/>
              <w:right w:val="single" w:sz="2" w:space="0" w:color="auto"/>
            </w:tcBorders>
          </w:tcPr>
          <w:p w:rsidR="002A5A5E" w:rsidRPr="00F9522B" w:rsidRDefault="00611CBA">
            <w:pPr>
              <w:rPr>
                <w:rFonts w:eastAsiaTheme="minorEastAsia"/>
                <w:kern w:val="0"/>
                <w:szCs w:val="21"/>
              </w:rPr>
            </w:pPr>
            <w:r w:rsidRPr="00F9522B">
              <w:rPr>
                <w:rFonts w:eastAsiaTheme="minorEastAsia"/>
                <w:kern w:val="0"/>
                <w:szCs w:val="21"/>
              </w:rPr>
              <w:t>排放量</w:t>
            </w:r>
            <w:r w:rsidRPr="00F9522B">
              <w:rPr>
                <w:rFonts w:eastAsiaTheme="minorEastAsia"/>
                <w:kern w:val="0"/>
                <w:szCs w:val="21"/>
              </w:rPr>
              <w:t>/</w:t>
            </w:r>
            <w:r w:rsidRPr="00F9522B">
              <w:rPr>
                <w:rFonts w:eastAsiaTheme="minorEastAsia"/>
                <w:kern w:val="0"/>
                <w:szCs w:val="21"/>
              </w:rPr>
              <w:t>（</w:t>
            </w:r>
            <w:r w:rsidRPr="00F9522B">
              <w:rPr>
                <w:rFonts w:eastAsiaTheme="minorEastAsia"/>
                <w:kern w:val="0"/>
                <w:szCs w:val="21"/>
              </w:rPr>
              <w:t>t/a</w:t>
            </w:r>
            <w:r w:rsidRPr="00F9522B">
              <w:rPr>
                <w:rFonts w:eastAsiaTheme="minorEastAsia"/>
                <w:kern w:val="0"/>
                <w:szCs w:val="21"/>
              </w:rPr>
              <w:t>）</w:t>
            </w:r>
          </w:p>
        </w:tc>
        <w:tc>
          <w:tcPr>
            <w:tcW w:w="3426" w:type="dxa"/>
            <w:gridSpan w:val="2"/>
            <w:tcBorders>
              <w:top w:val="single" w:sz="6" w:space="0" w:color="000000" w:themeColor="text1"/>
              <w:left w:val="single" w:sz="2" w:space="0" w:color="auto"/>
              <w:bottom w:val="single" w:sz="2" w:space="0" w:color="auto"/>
              <w:right w:val="single" w:sz="12"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排放浓度</w:t>
            </w:r>
            <w:r w:rsidRPr="00F9522B">
              <w:rPr>
                <w:rFonts w:eastAsiaTheme="minorEastAsia"/>
                <w:kern w:val="0"/>
                <w:szCs w:val="21"/>
              </w:rPr>
              <w:t>/</w:t>
            </w:r>
            <w:r w:rsidRPr="00F9522B">
              <w:rPr>
                <w:rFonts w:eastAsiaTheme="minorEastAsia"/>
                <w:kern w:val="0"/>
                <w:szCs w:val="21"/>
              </w:rPr>
              <w:t>（</w:t>
            </w:r>
            <w:r w:rsidRPr="00F9522B">
              <w:rPr>
                <w:rFonts w:eastAsiaTheme="minorEastAsia"/>
                <w:kern w:val="0"/>
                <w:szCs w:val="21"/>
              </w:rPr>
              <w:t>mg/L</w:t>
            </w:r>
            <w:r w:rsidRPr="00F9522B">
              <w:rPr>
                <w:rFonts w:eastAsiaTheme="minorEastAsia"/>
                <w:kern w:val="0"/>
                <w:szCs w:val="21"/>
              </w:rPr>
              <w:t>）</w:t>
            </w:r>
          </w:p>
        </w:tc>
      </w:tr>
      <w:tr w:rsidR="002A5A5E" w:rsidRPr="00F9522B">
        <w:trPr>
          <w:trHeight w:val="62"/>
        </w:trPr>
        <w:tc>
          <w:tcPr>
            <w:tcW w:w="387" w:type="dxa"/>
            <w:vMerge/>
            <w:tcBorders>
              <w:left w:val="single" w:sz="12" w:space="0" w:color="000000" w:themeColor="text1"/>
              <w:right w:val="single" w:sz="6" w:space="0" w:color="000000" w:themeColor="text1"/>
            </w:tcBorders>
          </w:tcPr>
          <w:p w:rsidR="002A5A5E" w:rsidRPr="00F9522B" w:rsidRDefault="002A5A5E">
            <w:pPr>
              <w:widowControl/>
              <w:jc w:val="left"/>
              <w:rPr>
                <w:rFonts w:eastAsiaTheme="minorEastAsia"/>
                <w:kern w:val="0"/>
                <w:szCs w:val="21"/>
              </w:rPr>
            </w:pPr>
          </w:p>
        </w:tc>
        <w:tc>
          <w:tcPr>
            <w:tcW w:w="2525" w:type="dxa"/>
            <w:vMerge/>
            <w:tcBorders>
              <w:top w:val="single" w:sz="6" w:space="0" w:color="000000" w:themeColor="text1"/>
              <w:left w:val="single" w:sz="6" w:space="0" w:color="000000" w:themeColor="text1"/>
              <w:bottom w:val="single" w:sz="2" w:space="0" w:color="auto"/>
              <w:right w:val="single" w:sz="6" w:space="0" w:color="000000" w:themeColor="text1"/>
            </w:tcBorders>
          </w:tcPr>
          <w:p w:rsidR="002A5A5E" w:rsidRPr="00F9522B" w:rsidRDefault="002A5A5E">
            <w:pPr>
              <w:rPr>
                <w:rFonts w:eastAsiaTheme="minorEastAsia"/>
                <w:kern w:val="0"/>
                <w:szCs w:val="21"/>
              </w:rPr>
            </w:pPr>
          </w:p>
        </w:tc>
        <w:tc>
          <w:tcPr>
            <w:tcW w:w="3445" w:type="dxa"/>
            <w:gridSpan w:val="2"/>
            <w:tcBorders>
              <w:top w:val="single" w:sz="2" w:space="0" w:color="auto"/>
              <w:left w:val="single" w:sz="6" w:space="0" w:color="000000" w:themeColor="text1"/>
              <w:bottom w:val="single" w:sz="2" w:space="0" w:color="auto"/>
              <w:right w:val="single" w:sz="2" w:space="0" w:color="auto"/>
            </w:tcBorders>
          </w:tcPr>
          <w:p w:rsidR="002A5A5E" w:rsidRPr="00F9522B" w:rsidRDefault="00611CBA">
            <w:pPr>
              <w:rPr>
                <w:rFonts w:eastAsiaTheme="minorEastAsia"/>
                <w:kern w:val="0"/>
                <w:szCs w:val="21"/>
              </w:rPr>
            </w:pPr>
            <w:r w:rsidRPr="00F9522B">
              <w:rPr>
                <w:rFonts w:eastAsiaTheme="minorEastAsia"/>
                <w:kern w:val="0"/>
                <w:szCs w:val="21"/>
              </w:rPr>
              <w:t>（</w:t>
            </w:r>
            <w:r w:rsidRPr="00F9522B">
              <w:rPr>
                <w:rFonts w:eastAsiaTheme="minorEastAsia"/>
                <w:kern w:val="0"/>
                <w:szCs w:val="21"/>
              </w:rPr>
              <w:t>COD</w:t>
            </w:r>
            <w:r w:rsidRPr="00F9522B">
              <w:rPr>
                <w:rFonts w:eastAsiaTheme="minorEastAsia"/>
                <w:kern w:val="0"/>
                <w:szCs w:val="21"/>
              </w:rPr>
              <w:t>、氨氮、总磷）</w:t>
            </w:r>
          </w:p>
        </w:tc>
        <w:tc>
          <w:tcPr>
            <w:tcW w:w="4241" w:type="dxa"/>
            <w:gridSpan w:val="3"/>
            <w:tcBorders>
              <w:top w:val="single" w:sz="2" w:space="0" w:color="auto"/>
              <w:left w:val="single" w:sz="2" w:space="0" w:color="auto"/>
              <w:bottom w:val="single" w:sz="2" w:space="0" w:color="auto"/>
              <w:right w:val="single" w:sz="2" w:space="0" w:color="auto"/>
            </w:tcBorders>
          </w:tcPr>
          <w:p w:rsidR="002A5A5E" w:rsidRPr="00F9522B" w:rsidRDefault="00611CBA" w:rsidP="00904BE7">
            <w:pPr>
              <w:rPr>
                <w:rFonts w:eastAsiaTheme="minorEastAsia"/>
                <w:kern w:val="0"/>
                <w:szCs w:val="21"/>
              </w:rPr>
            </w:pPr>
            <w:r w:rsidRPr="00F9522B">
              <w:rPr>
                <w:rFonts w:eastAsiaTheme="minorEastAsia"/>
                <w:kern w:val="0"/>
                <w:szCs w:val="21"/>
              </w:rPr>
              <w:t>（</w:t>
            </w:r>
            <w:r w:rsidR="00904BE7" w:rsidRPr="00F9522B">
              <w:rPr>
                <w:szCs w:val="21"/>
              </w:rPr>
              <w:t>20.553</w:t>
            </w:r>
            <w:r w:rsidRPr="00F9522B">
              <w:rPr>
                <w:rFonts w:eastAsiaTheme="minorEastAsia"/>
                <w:kern w:val="0"/>
                <w:szCs w:val="21"/>
              </w:rPr>
              <w:t>、</w:t>
            </w:r>
            <w:r w:rsidR="00904BE7" w:rsidRPr="00F9522B">
              <w:rPr>
                <w:rFonts w:eastAsiaTheme="minorEastAsia"/>
                <w:bCs/>
                <w:kern w:val="0"/>
                <w:szCs w:val="21"/>
              </w:rPr>
              <w:t>0.491</w:t>
            </w:r>
            <w:r w:rsidRPr="00F9522B">
              <w:rPr>
                <w:rFonts w:eastAsiaTheme="minorEastAsia"/>
                <w:bCs/>
                <w:kern w:val="0"/>
                <w:szCs w:val="21"/>
              </w:rPr>
              <w:t>、</w:t>
            </w:r>
            <w:r w:rsidR="00904BE7" w:rsidRPr="00F9522B">
              <w:rPr>
                <w:rFonts w:eastAsiaTheme="minorEastAsia"/>
                <w:bCs/>
                <w:kern w:val="0"/>
                <w:szCs w:val="21"/>
              </w:rPr>
              <w:t>0.718</w:t>
            </w:r>
            <w:r w:rsidRPr="00F9522B">
              <w:rPr>
                <w:rFonts w:eastAsiaTheme="minorEastAsia"/>
                <w:kern w:val="0"/>
                <w:szCs w:val="21"/>
              </w:rPr>
              <w:t>）</w:t>
            </w:r>
          </w:p>
        </w:tc>
        <w:tc>
          <w:tcPr>
            <w:tcW w:w="3426" w:type="dxa"/>
            <w:gridSpan w:val="2"/>
            <w:tcBorders>
              <w:top w:val="single" w:sz="2" w:space="0" w:color="auto"/>
              <w:left w:val="single" w:sz="2" w:space="0" w:color="auto"/>
              <w:bottom w:val="single" w:sz="2" w:space="0" w:color="auto"/>
              <w:right w:val="single" w:sz="12"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w:t>
            </w:r>
            <w:r w:rsidRPr="00F9522B">
              <w:rPr>
                <w:rFonts w:eastAsiaTheme="minorEastAsia"/>
                <w:bCs/>
                <w:kern w:val="0"/>
                <w:szCs w:val="21"/>
              </w:rPr>
              <w:t>52.7</w:t>
            </w:r>
            <w:r w:rsidRPr="00F9522B">
              <w:rPr>
                <w:rFonts w:eastAsiaTheme="minorEastAsia"/>
                <w:kern w:val="0"/>
                <w:szCs w:val="21"/>
              </w:rPr>
              <w:t>、</w:t>
            </w:r>
            <w:r w:rsidRPr="00F9522B">
              <w:rPr>
                <w:rFonts w:eastAsiaTheme="minorEastAsia"/>
                <w:bCs/>
                <w:kern w:val="0"/>
                <w:szCs w:val="21"/>
              </w:rPr>
              <w:t>1.26</w:t>
            </w:r>
            <w:r w:rsidRPr="00F9522B">
              <w:rPr>
                <w:rFonts w:eastAsiaTheme="minorEastAsia"/>
                <w:bCs/>
                <w:kern w:val="0"/>
                <w:szCs w:val="21"/>
              </w:rPr>
              <w:t>、</w:t>
            </w:r>
            <w:r w:rsidRPr="00F9522B">
              <w:rPr>
                <w:rFonts w:eastAsiaTheme="minorEastAsia"/>
                <w:bCs/>
                <w:kern w:val="0"/>
                <w:szCs w:val="21"/>
              </w:rPr>
              <w:t>1.84</w:t>
            </w:r>
            <w:r w:rsidRPr="00F9522B">
              <w:rPr>
                <w:rFonts w:eastAsiaTheme="minorEastAsia"/>
                <w:kern w:val="0"/>
                <w:szCs w:val="21"/>
              </w:rPr>
              <w:t>）</w:t>
            </w:r>
          </w:p>
        </w:tc>
      </w:tr>
      <w:tr w:rsidR="002A5A5E" w:rsidRPr="00F9522B">
        <w:trPr>
          <w:trHeight w:val="132"/>
        </w:trPr>
        <w:tc>
          <w:tcPr>
            <w:tcW w:w="387" w:type="dxa"/>
            <w:vMerge/>
            <w:tcBorders>
              <w:left w:val="single" w:sz="12" w:space="0" w:color="000000" w:themeColor="text1"/>
              <w:right w:val="single" w:sz="6" w:space="0" w:color="000000" w:themeColor="text1"/>
            </w:tcBorders>
          </w:tcPr>
          <w:p w:rsidR="002A5A5E" w:rsidRPr="00F9522B" w:rsidRDefault="002A5A5E">
            <w:pPr>
              <w:widowControl/>
              <w:jc w:val="left"/>
              <w:rPr>
                <w:rFonts w:eastAsiaTheme="minorEastAsia"/>
                <w:kern w:val="0"/>
                <w:szCs w:val="21"/>
              </w:rPr>
            </w:pPr>
          </w:p>
        </w:tc>
        <w:tc>
          <w:tcPr>
            <w:tcW w:w="2525" w:type="dxa"/>
            <w:vMerge w:val="restart"/>
            <w:tcBorders>
              <w:top w:val="single" w:sz="2" w:space="0" w:color="auto"/>
              <w:left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替代源排放情况</w:t>
            </w:r>
          </w:p>
        </w:tc>
        <w:tc>
          <w:tcPr>
            <w:tcW w:w="2076" w:type="dxa"/>
            <w:tcBorders>
              <w:top w:val="single" w:sz="2" w:space="0" w:color="auto"/>
              <w:left w:val="single" w:sz="6" w:space="0" w:color="000000" w:themeColor="text1"/>
              <w:bottom w:val="single" w:sz="2" w:space="0" w:color="auto"/>
              <w:right w:val="single" w:sz="2" w:space="0" w:color="auto"/>
            </w:tcBorders>
          </w:tcPr>
          <w:p w:rsidR="002A5A5E" w:rsidRPr="00F9522B" w:rsidRDefault="00611CBA">
            <w:pPr>
              <w:rPr>
                <w:rFonts w:eastAsiaTheme="minorEastAsia"/>
                <w:kern w:val="0"/>
                <w:szCs w:val="21"/>
              </w:rPr>
            </w:pPr>
            <w:r w:rsidRPr="00F9522B">
              <w:rPr>
                <w:rFonts w:eastAsiaTheme="minorEastAsia"/>
                <w:kern w:val="0"/>
                <w:szCs w:val="21"/>
              </w:rPr>
              <w:t>污染源名称</w:t>
            </w:r>
          </w:p>
        </w:tc>
        <w:tc>
          <w:tcPr>
            <w:tcW w:w="2385" w:type="dxa"/>
            <w:gridSpan w:val="2"/>
            <w:tcBorders>
              <w:top w:val="single" w:sz="2" w:space="0" w:color="auto"/>
              <w:left w:val="single" w:sz="2" w:space="0" w:color="auto"/>
              <w:bottom w:val="single" w:sz="2" w:space="0" w:color="auto"/>
              <w:right w:val="single" w:sz="2" w:space="0" w:color="auto"/>
            </w:tcBorders>
          </w:tcPr>
          <w:p w:rsidR="002A5A5E" w:rsidRPr="00F9522B" w:rsidRDefault="00611CBA">
            <w:pPr>
              <w:rPr>
                <w:rFonts w:eastAsiaTheme="minorEastAsia"/>
                <w:kern w:val="0"/>
                <w:szCs w:val="21"/>
              </w:rPr>
            </w:pPr>
            <w:r w:rsidRPr="00F9522B">
              <w:rPr>
                <w:rFonts w:eastAsiaTheme="minorEastAsia"/>
                <w:kern w:val="0"/>
                <w:szCs w:val="21"/>
              </w:rPr>
              <w:t>排污许可证编号</w:t>
            </w:r>
          </w:p>
        </w:tc>
        <w:tc>
          <w:tcPr>
            <w:tcW w:w="2516" w:type="dxa"/>
            <w:tcBorders>
              <w:top w:val="single" w:sz="2" w:space="0" w:color="auto"/>
              <w:left w:val="single" w:sz="2" w:space="0" w:color="auto"/>
              <w:bottom w:val="single" w:sz="2" w:space="0" w:color="auto"/>
              <w:right w:val="single" w:sz="2" w:space="0" w:color="auto"/>
            </w:tcBorders>
          </w:tcPr>
          <w:p w:rsidR="002A5A5E" w:rsidRPr="00F9522B" w:rsidRDefault="00611CBA">
            <w:pPr>
              <w:rPr>
                <w:rFonts w:eastAsiaTheme="minorEastAsia"/>
                <w:kern w:val="0"/>
                <w:szCs w:val="21"/>
              </w:rPr>
            </w:pPr>
            <w:r w:rsidRPr="00F9522B">
              <w:rPr>
                <w:rFonts w:eastAsiaTheme="minorEastAsia"/>
                <w:kern w:val="0"/>
                <w:szCs w:val="21"/>
              </w:rPr>
              <w:t>污染物名称</w:t>
            </w:r>
          </w:p>
        </w:tc>
        <w:tc>
          <w:tcPr>
            <w:tcW w:w="2126" w:type="dxa"/>
            <w:gridSpan w:val="2"/>
            <w:tcBorders>
              <w:top w:val="single" w:sz="2" w:space="0" w:color="auto"/>
              <w:left w:val="single" w:sz="2" w:space="0" w:color="auto"/>
              <w:bottom w:val="single" w:sz="2" w:space="0" w:color="auto"/>
              <w:right w:val="single" w:sz="2" w:space="0" w:color="auto"/>
            </w:tcBorders>
          </w:tcPr>
          <w:p w:rsidR="002A5A5E" w:rsidRPr="00F9522B" w:rsidRDefault="00611CBA">
            <w:pPr>
              <w:rPr>
                <w:rFonts w:eastAsiaTheme="minorEastAsia"/>
                <w:kern w:val="0"/>
                <w:szCs w:val="21"/>
              </w:rPr>
            </w:pPr>
            <w:r w:rsidRPr="00F9522B">
              <w:rPr>
                <w:rFonts w:eastAsiaTheme="minorEastAsia"/>
                <w:kern w:val="0"/>
                <w:szCs w:val="21"/>
              </w:rPr>
              <w:t>排放量</w:t>
            </w:r>
            <w:r w:rsidRPr="00F9522B">
              <w:rPr>
                <w:rFonts w:eastAsiaTheme="minorEastAsia"/>
                <w:kern w:val="0"/>
                <w:szCs w:val="21"/>
              </w:rPr>
              <w:t>/</w:t>
            </w:r>
            <w:r w:rsidRPr="00F9522B">
              <w:rPr>
                <w:rFonts w:eastAsiaTheme="minorEastAsia"/>
                <w:kern w:val="0"/>
                <w:szCs w:val="21"/>
              </w:rPr>
              <w:t>（</w:t>
            </w:r>
            <w:r w:rsidRPr="00F9522B">
              <w:rPr>
                <w:rFonts w:eastAsiaTheme="minorEastAsia"/>
                <w:kern w:val="0"/>
                <w:szCs w:val="21"/>
              </w:rPr>
              <w:t>t/a</w:t>
            </w:r>
            <w:r w:rsidRPr="00F9522B">
              <w:rPr>
                <w:rFonts w:eastAsiaTheme="minorEastAsia"/>
                <w:kern w:val="0"/>
                <w:szCs w:val="21"/>
              </w:rPr>
              <w:t>）</w:t>
            </w:r>
          </w:p>
        </w:tc>
        <w:tc>
          <w:tcPr>
            <w:tcW w:w="2009" w:type="dxa"/>
            <w:tcBorders>
              <w:top w:val="single" w:sz="2" w:space="0" w:color="auto"/>
              <w:left w:val="single" w:sz="2" w:space="0" w:color="auto"/>
              <w:bottom w:val="single" w:sz="2" w:space="0" w:color="auto"/>
              <w:right w:val="single" w:sz="12"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排放浓度</w:t>
            </w:r>
            <w:r w:rsidRPr="00F9522B">
              <w:rPr>
                <w:rFonts w:eastAsiaTheme="minorEastAsia"/>
                <w:kern w:val="0"/>
                <w:szCs w:val="21"/>
              </w:rPr>
              <w:t>/</w:t>
            </w:r>
            <w:r w:rsidRPr="00F9522B">
              <w:rPr>
                <w:rFonts w:eastAsiaTheme="minorEastAsia"/>
                <w:kern w:val="0"/>
                <w:szCs w:val="21"/>
              </w:rPr>
              <w:t>（</w:t>
            </w:r>
            <w:r w:rsidRPr="00F9522B">
              <w:rPr>
                <w:rFonts w:eastAsiaTheme="minorEastAsia"/>
                <w:kern w:val="0"/>
                <w:szCs w:val="21"/>
              </w:rPr>
              <w:t>mg/L</w:t>
            </w:r>
            <w:r w:rsidRPr="00F9522B">
              <w:rPr>
                <w:rFonts w:eastAsiaTheme="minorEastAsia"/>
                <w:kern w:val="0"/>
                <w:szCs w:val="21"/>
              </w:rPr>
              <w:t>）</w:t>
            </w:r>
          </w:p>
        </w:tc>
      </w:tr>
      <w:tr w:rsidR="002A5A5E" w:rsidRPr="00F9522B">
        <w:trPr>
          <w:trHeight w:val="106"/>
        </w:trPr>
        <w:tc>
          <w:tcPr>
            <w:tcW w:w="387" w:type="dxa"/>
            <w:vMerge/>
            <w:tcBorders>
              <w:left w:val="single" w:sz="12" w:space="0" w:color="000000" w:themeColor="text1"/>
              <w:right w:val="single" w:sz="6" w:space="0" w:color="000000" w:themeColor="text1"/>
            </w:tcBorders>
          </w:tcPr>
          <w:p w:rsidR="002A5A5E" w:rsidRPr="00F9522B" w:rsidRDefault="002A5A5E">
            <w:pPr>
              <w:widowControl/>
              <w:jc w:val="left"/>
              <w:rPr>
                <w:rFonts w:eastAsiaTheme="minorEastAsia"/>
                <w:kern w:val="0"/>
                <w:szCs w:val="21"/>
              </w:rPr>
            </w:pPr>
          </w:p>
        </w:tc>
        <w:tc>
          <w:tcPr>
            <w:tcW w:w="2525" w:type="dxa"/>
            <w:vMerge/>
            <w:tcBorders>
              <w:left w:val="single" w:sz="6" w:space="0" w:color="000000" w:themeColor="text1"/>
              <w:right w:val="single" w:sz="6" w:space="0" w:color="000000" w:themeColor="text1"/>
            </w:tcBorders>
          </w:tcPr>
          <w:p w:rsidR="002A5A5E" w:rsidRPr="00F9522B" w:rsidRDefault="002A5A5E">
            <w:pPr>
              <w:rPr>
                <w:rFonts w:eastAsiaTheme="minorEastAsia"/>
                <w:kern w:val="0"/>
                <w:szCs w:val="21"/>
              </w:rPr>
            </w:pPr>
          </w:p>
        </w:tc>
        <w:tc>
          <w:tcPr>
            <w:tcW w:w="2076" w:type="dxa"/>
            <w:tcBorders>
              <w:top w:val="single" w:sz="2" w:space="0" w:color="auto"/>
              <w:left w:val="single" w:sz="6" w:space="0" w:color="000000" w:themeColor="text1"/>
              <w:bottom w:val="single" w:sz="2" w:space="0" w:color="auto"/>
              <w:right w:val="single" w:sz="2" w:space="0" w:color="auto"/>
            </w:tcBorders>
          </w:tcPr>
          <w:p w:rsidR="002A5A5E" w:rsidRPr="00F9522B" w:rsidRDefault="00611CBA">
            <w:pPr>
              <w:rPr>
                <w:rFonts w:eastAsiaTheme="minorEastAsia"/>
                <w:kern w:val="0"/>
                <w:szCs w:val="21"/>
              </w:rPr>
            </w:pPr>
            <w:r w:rsidRPr="00F9522B">
              <w:rPr>
                <w:rFonts w:eastAsiaTheme="minorEastAsia"/>
                <w:kern w:val="0"/>
                <w:szCs w:val="21"/>
              </w:rPr>
              <w:t>（）</w:t>
            </w:r>
          </w:p>
        </w:tc>
        <w:tc>
          <w:tcPr>
            <w:tcW w:w="2385" w:type="dxa"/>
            <w:gridSpan w:val="2"/>
            <w:tcBorders>
              <w:top w:val="single" w:sz="2" w:space="0" w:color="auto"/>
              <w:left w:val="single" w:sz="2" w:space="0" w:color="auto"/>
              <w:bottom w:val="single" w:sz="2" w:space="0" w:color="auto"/>
              <w:right w:val="single" w:sz="2" w:space="0" w:color="auto"/>
            </w:tcBorders>
          </w:tcPr>
          <w:p w:rsidR="002A5A5E" w:rsidRPr="00F9522B" w:rsidRDefault="00611CBA">
            <w:pPr>
              <w:rPr>
                <w:rFonts w:eastAsiaTheme="minorEastAsia"/>
                <w:kern w:val="0"/>
                <w:szCs w:val="21"/>
              </w:rPr>
            </w:pPr>
            <w:r w:rsidRPr="00F9522B">
              <w:rPr>
                <w:rFonts w:eastAsiaTheme="minorEastAsia"/>
                <w:kern w:val="0"/>
                <w:szCs w:val="21"/>
              </w:rPr>
              <w:t>（）</w:t>
            </w:r>
          </w:p>
        </w:tc>
        <w:tc>
          <w:tcPr>
            <w:tcW w:w="2516" w:type="dxa"/>
            <w:tcBorders>
              <w:top w:val="single" w:sz="2" w:space="0" w:color="auto"/>
              <w:left w:val="single" w:sz="2" w:space="0" w:color="auto"/>
              <w:bottom w:val="single" w:sz="2" w:space="0" w:color="auto"/>
              <w:right w:val="single" w:sz="2" w:space="0" w:color="auto"/>
            </w:tcBorders>
          </w:tcPr>
          <w:p w:rsidR="002A5A5E" w:rsidRPr="00F9522B" w:rsidRDefault="00611CBA">
            <w:pPr>
              <w:rPr>
                <w:rFonts w:eastAsiaTheme="minorEastAsia"/>
                <w:kern w:val="0"/>
                <w:szCs w:val="21"/>
              </w:rPr>
            </w:pPr>
            <w:r w:rsidRPr="00F9522B">
              <w:rPr>
                <w:rFonts w:eastAsiaTheme="minorEastAsia"/>
                <w:kern w:val="0"/>
                <w:szCs w:val="21"/>
              </w:rPr>
              <w:t>（）</w:t>
            </w:r>
          </w:p>
        </w:tc>
        <w:tc>
          <w:tcPr>
            <w:tcW w:w="2126" w:type="dxa"/>
            <w:gridSpan w:val="2"/>
            <w:tcBorders>
              <w:top w:val="single" w:sz="2" w:space="0" w:color="auto"/>
              <w:left w:val="single" w:sz="2" w:space="0" w:color="auto"/>
              <w:bottom w:val="single" w:sz="2" w:space="0" w:color="auto"/>
              <w:right w:val="single" w:sz="2" w:space="0" w:color="auto"/>
            </w:tcBorders>
          </w:tcPr>
          <w:p w:rsidR="002A5A5E" w:rsidRPr="00F9522B" w:rsidRDefault="00611CBA">
            <w:pPr>
              <w:rPr>
                <w:rFonts w:eastAsiaTheme="minorEastAsia"/>
                <w:kern w:val="0"/>
                <w:szCs w:val="21"/>
              </w:rPr>
            </w:pPr>
            <w:r w:rsidRPr="00F9522B">
              <w:rPr>
                <w:rFonts w:eastAsiaTheme="minorEastAsia"/>
                <w:kern w:val="0"/>
                <w:szCs w:val="21"/>
              </w:rPr>
              <w:t>（）</w:t>
            </w:r>
          </w:p>
        </w:tc>
        <w:tc>
          <w:tcPr>
            <w:tcW w:w="2009" w:type="dxa"/>
            <w:tcBorders>
              <w:top w:val="single" w:sz="2" w:space="0" w:color="auto"/>
              <w:left w:val="single" w:sz="2" w:space="0" w:color="auto"/>
              <w:bottom w:val="single" w:sz="2" w:space="0" w:color="auto"/>
              <w:right w:val="single" w:sz="12"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w:t>
            </w:r>
          </w:p>
        </w:tc>
      </w:tr>
      <w:tr w:rsidR="002A5A5E" w:rsidRPr="00F9522B">
        <w:trPr>
          <w:trHeight w:val="106"/>
        </w:trPr>
        <w:tc>
          <w:tcPr>
            <w:tcW w:w="387" w:type="dxa"/>
            <w:vMerge/>
            <w:tcBorders>
              <w:left w:val="single" w:sz="12" w:space="0" w:color="000000" w:themeColor="text1"/>
              <w:right w:val="single" w:sz="6" w:space="0" w:color="000000" w:themeColor="text1"/>
            </w:tcBorders>
          </w:tcPr>
          <w:p w:rsidR="002A5A5E" w:rsidRPr="00F9522B" w:rsidRDefault="002A5A5E">
            <w:pPr>
              <w:widowControl/>
              <w:jc w:val="left"/>
              <w:rPr>
                <w:rFonts w:eastAsiaTheme="minorEastAsia"/>
                <w:kern w:val="0"/>
                <w:szCs w:val="21"/>
              </w:rPr>
            </w:pPr>
          </w:p>
        </w:tc>
        <w:tc>
          <w:tcPr>
            <w:tcW w:w="2525" w:type="dxa"/>
            <w:tcBorders>
              <w:left w:val="single" w:sz="6" w:space="0" w:color="000000" w:themeColor="text1"/>
              <w:bottom w:val="single" w:sz="12" w:space="0" w:color="auto"/>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生态流量确定</w:t>
            </w:r>
          </w:p>
        </w:tc>
        <w:tc>
          <w:tcPr>
            <w:tcW w:w="11112" w:type="dxa"/>
            <w:gridSpan w:val="7"/>
            <w:tcBorders>
              <w:top w:val="single" w:sz="2" w:space="0" w:color="auto"/>
              <w:left w:val="single" w:sz="6" w:space="0" w:color="000000" w:themeColor="text1"/>
              <w:bottom w:val="single" w:sz="12" w:space="0" w:color="auto"/>
              <w:right w:val="single" w:sz="12" w:space="0" w:color="000000" w:themeColor="text1"/>
            </w:tcBorders>
          </w:tcPr>
          <w:p w:rsidR="002A5A5E" w:rsidRPr="00F9522B" w:rsidRDefault="00611CBA">
            <w:pPr>
              <w:jc w:val="left"/>
              <w:rPr>
                <w:rFonts w:eastAsiaTheme="minorEastAsia"/>
                <w:kern w:val="0"/>
                <w:szCs w:val="21"/>
              </w:rPr>
            </w:pPr>
            <w:r w:rsidRPr="00F9522B">
              <w:rPr>
                <w:rFonts w:eastAsiaTheme="minorEastAsia"/>
                <w:kern w:val="0"/>
                <w:szCs w:val="21"/>
              </w:rPr>
              <w:t>生态流量：一般水期（）</w:t>
            </w:r>
            <w:r w:rsidRPr="00F9522B">
              <w:rPr>
                <w:rFonts w:eastAsiaTheme="minorEastAsia"/>
                <w:kern w:val="0"/>
                <w:szCs w:val="21"/>
              </w:rPr>
              <w:t>m</w:t>
            </w:r>
            <w:r w:rsidRPr="00F9522B">
              <w:rPr>
                <w:rFonts w:eastAsiaTheme="minorEastAsia"/>
                <w:kern w:val="0"/>
                <w:szCs w:val="21"/>
                <w:vertAlign w:val="superscript"/>
              </w:rPr>
              <w:t>3</w:t>
            </w:r>
            <w:r w:rsidRPr="00F9522B">
              <w:rPr>
                <w:rFonts w:eastAsiaTheme="minorEastAsia"/>
                <w:kern w:val="0"/>
                <w:szCs w:val="21"/>
              </w:rPr>
              <w:t>/s</w:t>
            </w:r>
            <w:r w:rsidRPr="00F9522B">
              <w:rPr>
                <w:rFonts w:eastAsiaTheme="minorEastAsia"/>
                <w:kern w:val="0"/>
                <w:szCs w:val="21"/>
              </w:rPr>
              <w:t>；鱼类繁殖期（）</w:t>
            </w:r>
            <w:r w:rsidRPr="00F9522B">
              <w:rPr>
                <w:rFonts w:eastAsiaTheme="minorEastAsia"/>
                <w:kern w:val="0"/>
                <w:szCs w:val="21"/>
              </w:rPr>
              <w:t>m</w:t>
            </w:r>
            <w:r w:rsidRPr="00F9522B">
              <w:rPr>
                <w:rFonts w:eastAsiaTheme="minorEastAsia"/>
                <w:kern w:val="0"/>
                <w:szCs w:val="21"/>
                <w:vertAlign w:val="superscript"/>
              </w:rPr>
              <w:t>3</w:t>
            </w:r>
            <w:r w:rsidRPr="00F9522B">
              <w:rPr>
                <w:rFonts w:eastAsiaTheme="minorEastAsia"/>
                <w:kern w:val="0"/>
                <w:szCs w:val="21"/>
              </w:rPr>
              <w:t>/s</w:t>
            </w:r>
            <w:r w:rsidRPr="00F9522B">
              <w:rPr>
                <w:rFonts w:eastAsiaTheme="minorEastAsia"/>
                <w:kern w:val="0"/>
                <w:szCs w:val="21"/>
              </w:rPr>
              <w:t>；其他（）</w:t>
            </w:r>
            <w:r w:rsidRPr="00F9522B">
              <w:rPr>
                <w:rFonts w:eastAsiaTheme="minorEastAsia"/>
                <w:kern w:val="0"/>
                <w:szCs w:val="21"/>
              </w:rPr>
              <w:t>m</w:t>
            </w:r>
            <w:r w:rsidRPr="00F9522B">
              <w:rPr>
                <w:rFonts w:eastAsiaTheme="minorEastAsia"/>
                <w:kern w:val="0"/>
                <w:szCs w:val="21"/>
                <w:vertAlign w:val="superscript"/>
              </w:rPr>
              <w:t>3</w:t>
            </w:r>
            <w:r w:rsidRPr="00F9522B">
              <w:rPr>
                <w:rFonts w:eastAsiaTheme="minorEastAsia"/>
                <w:kern w:val="0"/>
                <w:szCs w:val="21"/>
              </w:rPr>
              <w:t>/s</w:t>
            </w:r>
          </w:p>
          <w:p w:rsidR="002A5A5E" w:rsidRPr="00F9522B" w:rsidRDefault="00611CBA">
            <w:pPr>
              <w:jc w:val="left"/>
              <w:rPr>
                <w:rFonts w:eastAsiaTheme="minorEastAsia"/>
                <w:kern w:val="0"/>
                <w:szCs w:val="21"/>
              </w:rPr>
            </w:pPr>
            <w:r w:rsidRPr="00F9522B">
              <w:rPr>
                <w:rFonts w:eastAsiaTheme="minorEastAsia"/>
                <w:kern w:val="0"/>
                <w:szCs w:val="21"/>
              </w:rPr>
              <w:t>生态水位：一般水期（）</w:t>
            </w:r>
            <w:r w:rsidRPr="00F9522B">
              <w:rPr>
                <w:rFonts w:eastAsiaTheme="minorEastAsia"/>
                <w:kern w:val="0"/>
                <w:szCs w:val="21"/>
              </w:rPr>
              <w:t>m</w:t>
            </w:r>
            <w:r w:rsidRPr="00F9522B">
              <w:rPr>
                <w:rFonts w:eastAsiaTheme="minorEastAsia"/>
                <w:kern w:val="0"/>
                <w:szCs w:val="21"/>
              </w:rPr>
              <w:t>；鱼类繁殖期（）</w:t>
            </w:r>
            <w:r w:rsidRPr="00F9522B">
              <w:rPr>
                <w:rFonts w:eastAsiaTheme="minorEastAsia"/>
                <w:kern w:val="0"/>
                <w:szCs w:val="21"/>
              </w:rPr>
              <w:t>m</w:t>
            </w:r>
            <w:r w:rsidRPr="00F9522B">
              <w:rPr>
                <w:rFonts w:eastAsiaTheme="minorEastAsia"/>
                <w:kern w:val="0"/>
                <w:szCs w:val="21"/>
              </w:rPr>
              <w:t>；其他（）</w:t>
            </w:r>
            <w:r w:rsidRPr="00F9522B">
              <w:rPr>
                <w:rFonts w:eastAsiaTheme="minorEastAsia"/>
                <w:kern w:val="0"/>
                <w:szCs w:val="21"/>
              </w:rPr>
              <w:t>m</w:t>
            </w:r>
          </w:p>
        </w:tc>
      </w:tr>
    </w:tbl>
    <w:p w:rsidR="002A5A5E" w:rsidRPr="00F9522B" w:rsidRDefault="002A5A5E">
      <w:pPr>
        <w:jc w:val="right"/>
        <w:rPr>
          <w:rFonts w:eastAsiaTheme="minorEastAsia"/>
          <w:b/>
        </w:rPr>
      </w:pPr>
    </w:p>
    <w:p w:rsidR="002A5A5E" w:rsidRPr="00F9522B" w:rsidRDefault="002A5A5E">
      <w:pPr>
        <w:jc w:val="right"/>
        <w:rPr>
          <w:rFonts w:eastAsiaTheme="minorEastAsia"/>
          <w:b/>
        </w:rPr>
      </w:pPr>
    </w:p>
    <w:p w:rsidR="002A5A5E" w:rsidRPr="00F9522B" w:rsidRDefault="002A5A5E">
      <w:pPr>
        <w:jc w:val="right"/>
        <w:rPr>
          <w:rFonts w:eastAsiaTheme="minorEastAsia"/>
          <w:b/>
        </w:rPr>
      </w:pPr>
    </w:p>
    <w:p w:rsidR="002A5A5E" w:rsidRPr="00F9522B" w:rsidRDefault="00611CBA">
      <w:pPr>
        <w:jc w:val="right"/>
        <w:rPr>
          <w:rFonts w:eastAsiaTheme="minorEastAsia"/>
          <w:b/>
          <w:szCs w:val="22"/>
        </w:rPr>
      </w:pPr>
      <w:r w:rsidRPr="00F9522B">
        <w:rPr>
          <w:rFonts w:eastAsiaTheme="minorEastAsia"/>
          <w:b/>
        </w:rPr>
        <w:lastRenderedPageBreak/>
        <w:t>续表</w:t>
      </w:r>
    </w:p>
    <w:tbl>
      <w:tblPr>
        <w:tblStyle w:val="aff6"/>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Look w:val="04A0"/>
      </w:tblPr>
      <w:tblGrid>
        <w:gridCol w:w="392"/>
        <w:gridCol w:w="2551"/>
        <w:gridCol w:w="3743"/>
        <w:gridCol w:w="3744"/>
        <w:gridCol w:w="3744"/>
      </w:tblGrid>
      <w:tr w:rsidR="002A5A5E" w:rsidRPr="00F9522B">
        <w:tc>
          <w:tcPr>
            <w:tcW w:w="2943" w:type="dxa"/>
            <w:gridSpan w:val="2"/>
            <w:tcBorders>
              <w:top w:val="single" w:sz="12"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工作内容</w:t>
            </w:r>
          </w:p>
        </w:tc>
        <w:tc>
          <w:tcPr>
            <w:tcW w:w="11231" w:type="dxa"/>
            <w:gridSpan w:val="3"/>
            <w:tcBorders>
              <w:top w:val="single" w:sz="12"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自查项目</w:t>
            </w:r>
          </w:p>
        </w:tc>
      </w:tr>
      <w:tr w:rsidR="002A5A5E" w:rsidRPr="00F9522B">
        <w:tc>
          <w:tcPr>
            <w:tcW w:w="392" w:type="dxa"/>
            <w:vMerge w:val="restart"/>
            <w:tcBorders>
              <w:top w:val="single" w:sz="6"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防治措施</w:t>
            </w:r>
          </w:p>
        </w:tc>
        <w:tc>
          <w:tcPr>
            <w:tcW w:w="255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环保措施</w:t>
            </w:r>
          </w:p>
        </w:tc>
        <w:tc>
          <w:tcPr>
            <w:tcW w:w="11231" w:type="dxa"/>
            <w:gridSpan w:val="3"/>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jc w:val="left"/>
              <w:rPr>
                <w:rFonts w:eastAsiaTheme="minorEastAsia"/>
                <w:kern w:val="0"/>
                <w:szCs w:val="21"/>
              </w:rPr>
            </w:pPr>
            <w:r w:rsidRPr="00F9522B">
              <w:rPr>
                <w:rFonts w:eastAsiaTheme="minorEastAsia"/>
                <w:kern w:val="0"/>
                <w:szCs w:val="21"/>
              </w:rPr>
              <w:t>污水处理设施</w:t>
            </w:r>
            <w:r w:rsidRPr="00F9522B">
              <w:rPr>
                <w:rFonts w:eastAsiaTheme="minorEastAsia"/>
                <w:kern w:val="0"/>
                <w:szCs w:val="21"/>
              </w:rPr>
              <w:t>□</w:t>
            </w:r>
            <w:r w:rsidRPr="00F9522B">
              <w:rPr>
                <w:rFonts w:eastAsiaTheme="minorEastAsia"/>
                <w:kern w:val="0"/>
                <w:szCs w:val="21"/>
              </w:rPr>
              <w:t>；水文减缓设施</w:t>
            </w:r>
            <w:r w:rsidRPr="00F9522B">
              <w:rPr>
                <w:rFonts w:eastAsiaTheme="minorEastAsia"/>
                <w:kern w:val="0"/>
                <w:szCs w:val="21"/>
              </w:rPr>
              <w:t>□</w:t>
            </w:r>
            <w:r w:rsidRPr="00F9522B">
              <w:rPr>
                <w:rFonts w:eastAsiaTheme="minorEastAsia"/>
                <w:kern w:val="0"/>
                <w:szCs w:val="21"/>
              </w:rPr>
              <w:t>；生态流量保障措施</w:t>
            </w:r>
            <w:r w:rsidRPr="00F9522B">
              <w:rPr>
                <w:rFonts w:eastAsiaTheme="minorEastAsia"/>
                <w:kern w:val="0"/>
                <w:szCs w:val="21"/>
              </w:rPr>
              <w:t>□</w:t>
            </w:r>
            <w:r w:rsidRPr="00F9522B">
              <w:rPr>
                <w:rFonts w:eastAsiaTheme="minorEastAsia"/>
                <w:kern w:val="0"/>
                <w:szCs w:val="21"/>
              </w:rPr>
              <w:t>；区域削减</w:t>
            </w:r>
            <w:r w:rsidRPr="00F9522B">
              <w:rPr>
                <w:rFonts w:eastAsiaTheme="minorEastAsia"/>
                <w:kern w:val="0"/>
                <w:szCs w:val="21"/>
              </w:rPr>
              <w:t>□</w:t>
            </w:r>
            <w:r w:rsidRPr="00F9522B">
              <w:rPr>
                <w:rFonts w:eastAsiaTheme="minorEastAsia"/>
                <w:kern w:val="0"/>
                <w:szCs w:val="21"/>
              </w:rPr>
              <w:t>；依托其他工程措施</w:t>
            </w:r>
            <w:r w:rsidRPr="00F9522B">
              <w:rPr>
                <w:rFonts w:eastAsiaTheme="minorEastAsia"/>
                <w:kern w:val="0"/>
                <w:szCs w:val="21"/>
              </w:rPr>
              <w:t>□</w:t>
            </w:r>
            <w:r w:rsidRPr="00F9522B">
              <w:rPr>
                <w:rFonts w:eastAsiaTheme="minorEastAsia"/>
                <w:kern w:val="0"/>
                <w:szCs w:val="21"/>
              </w:rPr>
              <w:t>；其他</w:t>
            </w:r>
            <w:r w:rsidRPr="00F9522B">
              <w:rPr>
                <w:rFonts w:eastAsiaTheme="minorEastAsia"/>
                <w:snapToGrid w:val="0"/>
                <w:kern w:val="0"/>
                <w:sz w:val="18"/>
                <w:szCs w:val="18"/>
              </w:rPr>
              <w:t>√</w:t>
            </w:r>
          </w:p>
        </w:tc>
      </w:tr>
      <w:tr w:rsidR="002A5A5E" w:rsidRPr="00F9522B">
        <w:tc>
          <w:tcPr>
            <w:tcW w:w="392" w:type="dxa"/>
            <w:vMerge/>
            <w:tcBorders>
              <w:top w:val="single" w:sz="6"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kern w:val="0"/>
                <w:szCs w:val="21"/>
              </w:rPr>
            </w:pPr>
          </w:p>
        </w:tc>
        <w:tc>
          <w:tcPr>
            <w:tcW w:w="2551"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监测计划</w:t>
            </w:r>
          </w:p>
        </w:tc>
        <w:tc>
          <w:tcPr>
            <w:tcW w:w="374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2A5A5E">
            <w:pPr>
              <w:rPr>
                <w:rFonts w:eastAsiaTheme="minorEastAsia"/>
                <w:kern w:val="0"/>
                <w:szCs w:val="21"/>
              </w:rPr>
            </w:pPr>
          </w:p>
        </w:tc>
        <w:tc>
          <w:tcPr>
            <w:tcW w:w="37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环境质量</w:t>
            </w:r>
          </w:p>
        </w:tc>
        <w:tc>
          <w:tcPr>
            <w:tcW w:w="3744"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污染源</w:t>
            </w:r>
          </w:p>
        </w:tc>
      </w:tr>
      <w:tr w:rsidR="002A5A5E" w:rsidRPr="00F9522B">
        <w:tc>
          <w:tcPr>
            <w:tcW w:w="392" w:type="dxa"/>
            <w:vMerge/>
            <w:tcBorders>
              <w:top w:val="single" w:sz="6"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kern w:val="0"/>
                <w:szCs w:val="21"/>
              </w:rPr>
            </w:pPr>
          </w:p>
        </w:tc>
        <w:tc>
          <w:tcPr>
            <w:tcW w:w="2551"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kern w:val="0"/>
                <w:szCs w:val="21"/>
              </w:rPr>
            </w:pPr>
          </w:p>
        </w:tc>
        <w:tc>
          <w:tcPr>
            <w:tcW w:w="374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监测方式</w:t>
            </w:r>
          </w:p>
        </w:tc>
        <w:tc>
          <w:tcPr>
            <w:tcW w:w="37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手动</w:t>
            </w:r>
            <w:r w:rsidRPr="00F9522B">
              <w:rPr>
                <w:rFonts w:eastAsiaTheme="minorEastAsia"/>
                <w:snapToGrid w:val="0"/>
                <w:kern w:val="0"/>
                <w:sz w:val="18"/>
                <w:szCs w:val="18"/>
              </w:rPr>
              <w:t>√</w:t>
            </w:r>
            <w:r w:rsidRPr="00F9522B">
              <w:rPr>
                <w:rFonts w:eastAsiaTheme="minorEastAsia"/>
                <w:kern w:val="0"/>
                <w:szCs w:val="21"/>
              </w:rPr>
              <w:t>；自动</w:t>
            </w:r>
            <w:r w:rsidRPr="00F9522B">
              <w:rPr>
                <w:rFonts w:eastAsiaTheme="minorEastAsia"/>
                <w:kern w:val="0"/>
                <w:szCs w:val="21"/>
              </w:rPr>
              <w:t>□</w:t>
            </w:r>
            <w:r w:rsidRPr="00F9522B">
              <w:rPr>
                <w:rFonts w:eastAsiaTheme="minorEastAsia"/>
                <w:kern w:val="0"/>
                <w:szCs w:val="21"/>
              </w:rPr>
              <w:t>；无监测</w:t>
            </w:r>
            <w:r w:rsidRPr="00F9522B">
              <w:rPr>
                <w:rFonts w:eastAsiaTheme="minorEastAsia"/>
                <w:kern w:val="0"/>
                <w:szCs w:val="21"/>
              </w:rPr>
              <w:t>□</w:t>
            </w:r>
          </w:p>
        </w:tc>
        <w:tc>
          <w:tcPr>
            <w:tcW w:w="3744"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手动</w:t>
            </w:r>
            <w:r w:rsidRPr="00F9522B">
              <w:rPr>
                <w:rFonts w:eastAsiaTheme="minorEastAsia"/>
                <w:kern w:val="0"/>
                <w:szCs w:val="21"/>
              </w:rPr>
              <w:t>□</w:t>
            </w:r>
            <w:r w:rsidRPr="00F9522B">
              <w:rPr>
                <w:rFonts w:eastAsiaTheme="minorEastAsia"/>
                <w:kern w:val="0"/>
                <w:szCs w:val="21"/>
              </w:rPr>
              <w:t>；自动</w:t>
            </w:r>
            <w:r w:rsidRPr="00F9522B">
              <w:rPr>
                <w:rFonts w:eastAsiaTheme="minorEastAsia"/>
                <w:kern w:val="0"/>
                <w:szCs w:val="21"/>
              </w:rPr>
              <w:t>□</w:t>
            </w:r>
            <w:r w:rsidRPr="00F9522B">
              <w:rPr>
                <w:rFonts w:eastAsiaTheme="minorEastAsia"/>
                <w:kern w:val="0"/>
                <w:szCs w:val="21"/>
              </w:rPr>
              <w:t>；无监测</w:t>
            </w:r>
            <w:r w:rsidRPr="00F9522B">
              <w:rPr>
                <w:rFonts w:eastAsiaTheme="minorEastAsia"/>
                <w:kern w:val="0"/>
                <w:szCs w:val="21"/>
              </w:rPr>
              <w:t>□</w:t>
            </w:r>
          </w:p>
        </w:tc>
      </w:tr>
      <w:tr w:rsidR="002A5A5E" w:rsidRPr="00F9522B">
        <w:tc>
          <w:tcPr>
            <w:tcW w:w="392" w:type="dxa"/>
            <w:vMerge/>
            <w:tcBorders>
              <w:top w:val="single" w:sz="6"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kern w:val="0"/>
                <w:szCs w:val="21"/>
              </w:rPr>
            </w:pPr>
          </w:p>
        </w:tc>
        <w:tc>
          <w:tcPr>
            <w:tcW w:w="2551"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kern w:val="0"/>
                <w:szCs w:val="21"/>
              </w:rPr>
            </w:pPr>
          </w:p>
        </w:tc>
        <w:tc>
          <w:tcPr>
            <w:tcW w:w="374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监测点位</w:t>
            </w:r>
          </w:p>
        </w:tc>
        <w:tc>
          <w:tcPr>
            <w:tcW w:w="37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w:t>
            </w:r>
            <w:r w:rsidRPr="00F9522B">
              <w:rPr>
                <w:rFonts w:eastAsiaTheme="minorEastAsia"/>
                <w:kern w:val="0"/>
                <w:szCs w:val="21"/>
              </w:rPr>
              <w:t>3</w:t>
            </w:r>
            <w:r w:rsidRPr="00F9522B">
              <w:rPr>
                <w:rFonts w:eastAsiaTheme="minorEastAsia"/>
                <w:kern w:val="0"/>
                <w:szCs w:val="21"/>
              </w:rPr>
              <w:t>）</w:t>
            </w:r>
          </w:p>
        </w:tc>
        <w:tc>
          <w:tcPr>
            <w:tcW w:w="3744"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w:t>
            </w:r>
          </w:p>
        </w:tc>
      </w:tr>
      <w:tr w:rsidR="002A5A5E" w:rsidRPr="00F9522B">
        <w:tc>
          <w:tcPr>
            <w:tcW w:w="392" w:type="dxa"/>
            <w:vMerge/>
            <w:tcBorders>
              <w:top w:val="single" w:sz="6"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kern w:val="0"/>
                <w:szCs w:val="21"/>
              </w:rPr>
            </w:pPr>
          </w:p>
        </w:tc>
        <w:tc>
          <w:tcPr>
            <w:tcW w:w="2551"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kern w:val="0"/>
                <w:szCs w:val="21"/>
              </w:rPr>
            </w:pPr>
          </w:p>
        </w:tc>
        <w:tc>
          <w:tcPr>
            <w:tcW w:w="374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监测因子</w:t>
            </w:r>
          </w:p>
        </w:tc>
        <w:tc>
          <w:tcPr>
            <w:tcW w:w="37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0"/>
              </w:rPr>
              <w:t>（</w:t>
            </w:r>
            <w:r w:rsidRPr="00F9522B">
              <w:rPr>
                <w:rFonts w:eastAsiaTheme="minorEastAsia"/>
                <w:kern w:val="0"/>
                <w:szCs w:val="20"/>
              </w:rPr>
              <w:t>pH</w:t>
            </w:r>
            <w:r w:rsidRPr="00F9522B">
              <w:rPr>
                <w:rFonts w:eastAsiaTheme="minorEastAsia"/>
                <w:kern w:val="0"/>
                <w:szCs w:val="20"/>
              </w:rPr>
              <w:t>、</w:t>
            </w:r>
            <w:r w:rsidRPr="00F9522B">
              <w:rPr>
                <w:rFonts w:eastAsiaTheme="minorEastAsia"/>
                <w:kern w:val="0"/>
                <w:szCs w:val="20"/>
              </w:rPr>
              <w:t>SS</w:t>
            </w:r>
            <w:r w:rsidRPr="00F9522B">
              <w:rPr>
                <w:rFonts w:eastAsiaTheme="minorEastAsia"/>
                <w:kern w:val="0"/>
                <w:szCs w:val="20"/>
              </w:rPr>
              <w:t>、高锰酸盐指数、</w:t>
            </w:r>
            <w:r w:rsidRPr="00F9522B">
              <w:rPr>
                <w:rFonts w:eastAsiaTheme="minorEastAsia"/>
                <w:kern w:val="0"/>
                <w:szCs w:val="20"/>
              </w:rPr>
              <w:t>COD</w:t>
            </w:r>
            <w:r w:rsidRPr="00F9522B">
              <w:rPr>
                <w:rFonts w:eastAsiaTheme="minorEastAsia"/>
                <w:kern w:val="0"/>
                <w:szCs w:val="20"/>
              </w:rPr>
              <w:t>、氨氮、总磷、</w:t>
            </w:r>
            <w:r w:rsidRPr="00F9522B">
              <w:rPr>
                <w:rFonts w:eastAsiaTheme="minorEastAsia"/>
                <w:bCs/>
                <w:kern w:val="0"/>
                <w:szCs w:val="20"/>
              </w:rPr>
              <w:t>BOD</w:t>
            </w:r>
            <w:r w:rsidRPr="00F9522B">
              <w:rPr>
                <w:rFonts w:eastAsiaTheme="minorEastAsia"/>
                <w:bCs/>
                <w:kern w:val="0"/>
                <w:szCs w:val="20"/>
                <w:vertAlign w:val="subscript"/>
              </w:rPr>
              <w:t>5</w:t>
            </w:r>
            <w:r w:rsidRPr="00F9522B">
              <w:rPr>
                <w:rFonts w:eastAsiaTheme="minorEastAsia"/>
                <w:kern w:val="0"/>
                <w:szCs w:val="20"/>
              </w:rPr>
              <w:t>）</w:t>
            </w:r>
          </w:p>
        </w:tc>
        <w:tc>
          <w:tcPr>
            <w:tcW w:w="3744"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w:t>
            </w:r>
          </w:p>
        </w:tc>
      </w:tr>
      <w:tr w:rsidR="002A5A5E" w:rsidRPr="00F9522B">
        <w:tc>
          <w:tcPr>
            <w:tcW w:w="392" w:type="dxa"/>
            <w:vMerge/>
            <w:tcBorders>
              <w:top w:val="single" w:sz="6"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kern w:val="0"/>
                <w:szCs w:val="21"/>
              </w:rPr>
            </w:pPr>
          </w:p>
        </w:tc>
        <w:tc>
          <w:tcPr>
            <w:tcW w:w="255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污染物排放清单</w:t>
            </w:r>
          </w:p>
        </w:tc>
        <w:tc>
          <w:tcPr>
            <w:tcW w:w="11231" w:type="dxa"/>
            <w:gridSpan w:val="3"/>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jc w:val="left"/>
              <w:rPr>
                <w:rFonts w:eastAsiaTheme="minorEastAsia"/>
                <w:kern w:val="0"/>
                <w:szCs w:val="21"/>
              </w:rPr>
            </w:pPr>
            <w:r w:rsidRPr="00F9522B">
              <w:rPr>
                <w:rFonts w:eastAsiaTheme="minorEastAsia"/>
                <w:kern w:val="0"/>
                <w:szCs w:val="21"/>
              </w:rPr>
              <w:t>□</w:t>
            </w:r>
          </w:p>
        </w:tc>
      </w:tr>
      <w:tr w:rsidR="002A5A5E" w:rsidRPr="00F9522B">
        <w:tc>
          <w:tcPr>
            <w:tcW w:w="392" w:type="dxa"/>
            <w:vMerge/>
            <w:tcBorders>
              <w:top w:val="single" w:sz="6"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kern w:val="0"/>
                <w:szCs w:val="21"/>
              </w:rPr>
            </w:pPr>
          </w:p>
        </w:tc>
        <w:tc>
          <w:tcPr>
            <w:tcW w:w="255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kern w:val="0"/>
                <w:szCs w:val="21"/>
              </w:rPr>
            </w:pPr>
            <w:r w:rsidRPr="00F9522B">
              <w:rPr>
                <w:rFonts w:eastAsiaTheme="minorEastAsia"/>
                <w:kern w:val="0"/>
                <w:szCs w:val="21"/>
              </w:rPr>
              <w:t>评价结论</w:t>
            </w:r>
          </w:p>
        </w:tc>
        <w:tc>
          <w:tcPr>
            <w:tcW w:w="11231" w:type="dxa"/>
            <w:gridSpan w:val="3"/>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jc w:val="left"/>
              <w:rPr>
                <w:rFonts w:eastAsiaTheme="minorEastAsia"/>
                <w:kern w:val="0"/>
                <w:szCs w:val="21"/>
              </w:rPr>
            </w:pPr>
            <w:r w:rsidRPr="00F9522B">
              <w:rPr>
                <w:rFonts w:eastAsiaTheme="minorEastAsia"/>
                <w:kern w:val="0"/>
                <w:szCs w:val="21"/>
              </w:rPr>
              <w:t>可以接受</w:t>
            </w:r>
            <w:r w:rsidRPr="00F9522B">
              <w:rPr>
                <w:rFonts w:eastAsiaTheme="minorEastAsia"/>
                <w:snapToGrid w:val="0"/>
                <w:kern w:val="0"/>
                <w:sz w:val="18"/>
                <w:szCs w:val="18"/>
              </w:rPr>
              <w:t>√</w:t>
            </w:r>
            <w:r w:rsidRPr="00F9522B">
              <w:rPr>
                <w:rFonts w:eastAsiaTheme="minorEastAsia"/>
                <w:kern w:val="0"/>
                <w:szCs w:val="21"/>
              </w:rPr>
              <w:t>；不可以接受</w:t>
            </w:r>
            <w:r w:rsidRPr="00F9522B">
              <w:rPr>
                <w:rFonts w:eastAsiaTheme="minorEastAsia"/>
                <w:kern w:val="0"/>
                <w:szCs w:val="21"/>
              </w:rPr>
              <w:t>□</w:t>
            </w:r>
          </w:p>
        </w:tc>
      </w:tr>
      <w:tr w:rsidR="002A5A5E" w:rsidRPr="00F9522B">
        <w:tc>
          <w:tcPr>
            <w:tcW w:w="14174" w:type="dxa"/>
            <w:gridSpan w:val="5"/>
            <w:tcBorders>
              <w:top w:val="single" w:sz="6" w:space="0" w:color="000000" w:themeColor="text1"/>
              <w:left w:val="single" w:sz="12" w:space="0" w:color="000000" w:themeColor="text1"/>
              <w:bottom w:val="single" w:sz="12" w:space="0" w:color="000000" w:themeColor="text1"/>
              <w:right w:val="single" w:sz="12" w:space="0" w:color="000000" w:themeColor="text1"/>
            </w:tcBorders>
          </w:tcPr>
          <w:p w:rsidR="002A5A5E" w:rsidRPr="00F9522B" w:rsidRDefault="00611CBA">
            <w:pPr>
              <w:jc w:val="left"/>
              <w:rPr>
                <w:rFonts w:eastAsiaTheme="minorEastAsia"/>
                <w:kern w:val="0"/>
                <w:szCs w:val="21"/>
              </w:rPr>
            </w:pPr>
            <w:r w:rsidRPr="00F9522B">
              <w:rPr>
                <w:rFonts w:eastAsiaTheme="minorEastAsia"/>
                <w:kern w:val="0"/>
                <w:szCs w:val="21"/>
              </w:rPr>
              <w:t>注：</w:t>
            </w:r>
            <w:r w:rsidRPr="00F9522B">
              <w:rPr>
                <w:rFonts w:eastAsiaTheme="minorEastAsia"/>
                <w:kern w:val="0"/>
                <w:szCs w:val="21"/>
              </w:rPr>
              <w:t>“□”</w:t>
            </w:r>
            <w:r w:rsidRPr="00F9522B">
              <w:rPr>
                <w:rFonts w:eastAsiaTheme="minorEastAsia"/>
                <w:kern w:val="0"/>
                <w:szCs w:val="21"/>
              </w:rPr>
              <w:t>为勾选项，可</w:t>
            </w:r>
            <w:r w:rsidRPr="00F9522B">
              <w:rPr>
                <w:rFonts w:eastAsiaTheme="minorEastAsia"/>
                <w:kern w:val="0"/>
                <w:szCs w:val="21"/>
              </w:rPr>
              <w:t>√</w:t>
            </w:r>
            <w:r w:rsidRPr="00F9522B">
              <w:rPr>
                <w:rFonts w:eastAsiaTheme="minorEastAsia"/>
                <w:kern w:val="0"/>
                <w:szCs w:val="21"/>
              </w:rPr>
              <w:t>；</w:t>
            </w:r>
            <w:r w:rsidRPr="00F9522B">
              <w:rPr>
                <w:rFonts w:eastAsiaTheme="minorEastAsia"/>
                <w:kern w:val="0"/>
                <w:szCs w:val="21"/>
              </w:rPr>
              <w:t>“</w:t>
            </w:r>
            <w:r w:rsidRPr="00F9522B">
              <w:rPr>
                <w:rFonts w:eastAsiaTheme="minorEastAsia"/>
                <w:kern w:val="0"/>
                <w:szCs w:val="21"/>
              </w:rPr>
              <w:t>（）</w:t>
            </w:r>
            <w:r w:rsidRPr="00F9522B">
              <w:rPr>
                <w:rFonts w:eastAsiaTheme="minorEastAsia"/>
                <w:kern w:val="0"/>
                <w:szCs w:val="21"/>
              </w:rPr>
              <w:t>”</w:t>
            </w:r>
            <w:r w:rsidRPr="00F9522B">
              <w:rPr>
                <w:rFonts w:eastAsiaTheme="minorEastAsia"/>
                <w:kern w:val="0"/>
                <w:szCs w:val="21"/>
              </w:rPr>
              <w:t>为内容填写项；</w:t>
            </w:r>
            <w:r w:rsidRPr="00F9522B">
              <w:rPr>
                <w:rFonts w:eastAsiaTheme="minorEastAsia"/>
                <w:kern w:val="0"/>
                <w:szCs w:val="21"/>
              </w:rPr>
              <w:t>“</w:t>
            </w:r>
            <w:r w:rsidRPr="00F9522B">
              <w:rPr>
                <w:rFonts w:eastAsiaTheme="minorEastAsia"/>
                <w:kern w:val="0"/>
                <w:szCs w:val="21"/>
              </w:rPr>
              <w:t>备注</w:t>
            </w:r>
            <w:r w:rsidRPr="00F9522B">
              <w:rPr>
                <w:rFonts w:eastAsiaTheme="minorEastAsia"/>
                <w:kern w:val="0"/>
                <w:szCs w:val="21"/>
              </w:rPr>
              <w:t>”</w:t>
            </w:r>
            <w:r w:rsidRPr="00F9522B">
              <w:rPr>
                <w:rFonts w:eastAsiaTheme="minorEastAsia"/>
                <w:kern w:val="0"/>
                <w:szCs w:val="21"/>
              </w:rPr>
              <w:t>为其他补充内容。</w:t>
            </w:r>
          </w:p>
        </w:tc>
      </w:tr>
    </w:tbl>
    <w:p w:rsidR="002A5A5E" w:rsidRPr="00F9522B" w:rsidRDefault="002A5A5E">
      <w:pPr>
        <w:jc w:val="center"/>
        <w:rPr>
          <w:rFonts w:eastAsiaTheme="minorEastAsia"/>
          <w:b/>
          <w:sz w:val="24"/>
          <w:szCs w:val="22"/>
        </w:rPr>
      </w:pPr>
    </w:p>
    <w:p w:rsidR="002A5A5E" w:rsidRPr="00F9522B" w:rsidRDefault="002A5A5E">
      <w:pPr>
        <w:widowControl/>
        <w:adjustRightInd w:val="0"/>
        <w:snapToGrid w:val="0"/>
        <w:spacing w:after="200" w:line="360" w:lineRule="auto"/>
        <w:jc w:val="center"/>
        <w:rPr>
          <w:rFonts w:eastAsiaTheme="minorEastAsia"/>
          <w:kern w:val="0"/>
          <w:sz w:val="24"/>
        </w:rPr>
      </w:pPr>
    </w:p>
    <w:p w:rsidR="002A5A5E" w:rsidRPr="00F9522B" w:rsidRDefault="002A5A5E">
      <w:pPr>
        <w:spacing w:line="360" w:lineRule="auto"/>
        <w:jc w:val="left"/>
        <w:rPr>
          <w:rFonts w:eastAsiaTheme="minorEastAsia"/>
          <w:sz w:val="24"/>
        </w:rPr>
      </w:pPr>
    </w:p>
    <w:p w:rsidR="002A5A5E" w:rsidRPr="00F9522B" w:rsidRDefault="002A5A5E">
      <w:pPr>
        <w:widowControl/>
        <w:jc w:val="left"/>
        <w:rPr>
          <w:rFonts w:eastAsiaTheme="minorEastAsia"/>
          <w:b/>
          <w:szCs w:val="22"/>
        </w:rPr>
        <w:sectPr w:rsidR="002A5A5E" w:rsidRPr="00F9522B">
          <w:pgSz w:w="16838" w:h="11906" w:orient="landscape"/>
          <w:pgMar w:top="1800" w:right="1440" w:bottom="1800" w:left="1440" w:header="851" w:footer="992" w:gutter="0"/>
          <w:cols w:space="720"/>
          <w:docGrid w:type="lines" w:linePitch="312"/>
        </w:sectPr>
      </w:pPr>
    </w:p>
    <w:p w:rsidR="002A5A5E" w:rsidRPr="00F9522B" w:rsidRDefault="00611CBA">
      <w:pPr>
        <w:jc w:val="center"/>
        <w:rPr>
          <w:rFonts w:eastAsiaTheme="minorEastAsia"/>
          <w:b/>
          <w:sz w:val="24"/>
        </w:rPr>
      </w:pPr>
      <w:r w:rsidRPr="00F9522B">
        <w:rPr>
          <w:rFonts w:eastAsiaTheme="minorEastAsia"/>
          <w:b/>
          <w:sz w:val="24"/>
        </w:rPr>
        <w:lastRenderedPageBreak/>
        <w:t>环境风险评价自查表</w:t>
      </w:r>
    </w:p>
    <w:tbl>
      <w:tblPr>
        <w:tblStyle w:val="aff6"/>
        <w:tblW w:w="9075" w:type="dxa"/>
        <w:tblInd w:w="-318"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Look w:val="04A0"/>
      </w:tblPr>
      <w:tblGrid>
        <w:gridCol w:w="426"/>
        <w:gridCol w:w="1276"/>
        <w:gridCol w:w="1276"/>
        <w:gridCol w:w="508"/>
        <w:gridCol w:w="342"/>
        <w:gridCol w:w="253"/>
        <w:gridCol w:w="881"/>
        <w:gridCol w:w="309"/>
        <w:gridCol w:w="426"/>
        <w:gridCol w:w="287"/>
        <w:gridCol w:w="341"/>
        <w:gridCol w:w="135"/>
        <w:gridCol w:w="441"/>
        <w:gridCol w:w="52"/>
        <w:gridCol w:w="102"/>
        <w:gridCol w:w="357"/>
        <w:gridCol w:w="170"/>
        <w:gridCol w:w="629"/>
        <w:gridCol w:w="864"/>
      </w:tblGrid>
      <w:tr w:rsidR="002A5A5E" w:rsidRPr="00F9522B">
        <w:trPr>
          <w:trHeight w:val="279"/>
        </w:trPr>
        <w:tc>
          <w:tcPr>
            <w:tcW w:w="1702" w:type="dxa"/>
            <w:gridSpan w:val="2"/>
            <w:tcBorders>
              <w:top w:val="single" w:sz="12"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工作内容</w:t>
            </w:r>
          </w:p>
        </w:tc>
        <w:tc>
          <w:tcPr>
            <w:tcW w:w="7373" w:type="dxa"/>
            <w:gridSpan w:val="17"/>
            <w:tcBorders>
              <w:top w:val="single" w:sz="12"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rPr>
                <w:rFonts w:eastAsiaTheme="minorEastAsia"/>
                <w:szCs w:val="21"/>
              </w:rPr>
            </w:pPr>
            <w:r w:rsidRPr="00F9522B">
              <w:rPr>
                <w:rFonts w:eastAsiaTheme="minorEastAsia"/>
                <w:kern w:val="0"/>
                <w:szCs w:val="21"/>
              </w:rPr>
              <w:t>完成情况</w:t>
            </w:r>
          </w:p>
        </w:tc>
      </w:tr>
      <w:tr w:rsidR="002A5A5E" w:rsidRPr="00F9522B">
        <w:trPr>
          <w:trHeight w:val="279"/>
        </w:trPr>
        <w:tc>
          <w:tcPr>
            <w:tcW w:w="426" w:type="dxa"/>
            <w:vMerge w:val="restart"/>
            <w:tcBorders>
              <w:top w:val="single" w:sz="6"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风险调查</w:t>
            </w:r>
          </w:p>
        </w:tc>
        <w:tc>
          <w:tcPr>
            <w:tcW w:w="1276"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危险物质</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名称</w:t>
            </w:r>
          </w:p>
        </w:tc>
        <w:tc>
          <w:tcPr>
            <w:tcW w:w="85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bCs/>
                <w:szCs w:val="21"/>
              </w:rPr>
              <w:t>柴油</w:t>
            </w:r>
          </w:p>
        </w:tc>
        <w:tc>
          <w:tcPr>
            <w:tcW w:w="113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szCs w:val="21"/>
              </w:rPr>
              <w:t>变压器油</w:t>
            </w:r>
          </w:p>
        </w:tc>
        <w:tc>
          <w:tcPr>
            <w:tcW w:w="73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2A5A5E">
            <w:pPr>
              <w:rPr>
                <w:rFonts w:eastAsiaTheme="minorEastAsia"/>
                <w:szCs w:val="21"/>
              </w:rPr>
            </w:pPr>
          </w:p>
        </w:tc>
        <w:tc>
          <w:tcPr>
            <w:tcW w:w="62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2A5A5E">
            <w:pPr>
              <w:rPr>
                <w:rFonts w:eastAsiaTheme="minorEastAsia"/>
                <w:szCs w:val="21"/>
              </w:rPr>
            </w:pPr>
          </w:p>
        </w:tc>
        <w:tc>
          <w:tcPr>
            <w:tcW w:w="628"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2A5A5E">
            <w:pPr>
              <w:rPr>
                <w:rFonts w:eastAsiaTheme="minorEastAsia"/>
                <w:szCs w:val="21"/>
              </w:rPr>
            </w:pPr>
          </w:p>
        </w:tc>
        <w:tc>
          <w:tcPr>
            <w:tcW w:w="629"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2A5A5E">
            <w:pPr>
              <w:rPr>
                <w:rFonts w:eastAsiaTheme="minorEastAsia"/>
                <w:szCs w:val="21"/>
              </w:rPr>
            </w:pPr>
          </w:p>
        </w:tc>
        <w:tc>
          <w:tcPr>
            <w:tcW w:w="6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2A5A5E">
            <w:pPr>
              <w:rPr>
                <w:rFonts w:eastAsiaTheme="minorEastAsia"/>
                <w:szCs w:val="21"/>
              </w:rPr>
            </w:pPr>
          </w:p>
        </w:tc>
        <w:tc>
          <w:tcPr>
            <w:tcW w:w="864"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2A5A5E">
            <w:pPr>
              <w:rPr>
                <w:rFonts w:eastAsiaTheme="minorEastAsia"/>
                <w:szCs w:val="21"/>
              </w:rPr>
            </w:pPr>
          </w:p>
        </w:tc>
      </w:tr>
      <w:tr w:rsidR="002A5A5E" w:rsidRPr="00F9522B">
        <w:trPr>
          <w:trHeight w:val="268"/>
        </w:trPr>
        <w:tc>
          <w:tcPr>
            <w:tcW w:w="426" w:type="dxa"/>
            <w:vMerge/>
            <w:tcBorders>
              <w:top w:val="single" w:sz="6"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szCs w:val="21"/>
              </w:rPr>
            </w:pPr>
          </w:p>
        </w:tc>
        <w:tc>
          <w:tcPr>
            <w:tcW w:w="1276"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szCs w:val="21"/>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存在总量</w:t>
            </w:r>
            <w:r w:rsidRPr="00F9522B">
              <w:rPr>
                <w:rFonts w:eastAsiaTheme="minorEastAsia"/>
                <w:kern w:val="0"/>
                <w:szCs w:val="21"/>
              </w:rPr>
              <w:t>/t</w:t>
            </w:r>
          </w:p>
        </w:tc>
        <w:tc>
          <w:tcPr>
            <w:tcW w:w="85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0.125</w:t>
            </w:r>
          </w:p>
        </w:tc>
        <w:tc>
          <w:tcPr>
            <w:tcW w:w="113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szCs w:val="21"/>
              </w:rPr>
              <w:t>0.115</w:t>
            </w:r>
          </w:p>
        </w:tc>
        <w:tc>
          <w:tcPr>
            <w:tcW w:w="73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2A5A5E">
            <w:pPr>
              <w:rPr>
                <w:rFonts w:eastAsiaTheme="minorEastAsia"/>
                <w:szCs w:val="21"/>
              </w:rPr>
            </w:pPr>
          </w:p>
        </w:tc>
        <w:tc>
          <w:tcPr>
            <w:tcW w:w="62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2A5A5E">
            <w:pPr>
              <w:rPr>
                <w:rFonts w:eastAsiaTheme="minorEastAsia"/>
                <w:szCs w:val="21"/>
              </w:rPr>
            </w:pPr>
          </w:p>
        </w:tc>
        <w:tc>
          <w:tcPr>
            <w:tcW w:w="628"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2A5A5E">
            <w:pPr>
              <w:rPr>
                <w:rFonts w:eastAsiaTheme="minorEastAsia"/>
                <w:szCs w:val="21"/>
              </w:rPr>
            </w:pPr>
          </w:p>
        </w:tc>
        <w:tc>
          <w:tcPr>
            <w:tcW w:w="629"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2A5A5E">
            <w:pPr>
              <w:rPr>
                <w:rFonts w:eastAsiaTheme="minorEastAsia"/>
                <w:szCs w:val="21"/>
              </w:rPr>
            </w:pPr>
          </w:p>
        </w:tc>
        <w:tc>
          <w:tcPr>
            <w:tcW w:w="6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2A5A5E">
            <w:pPr>
              <w:rPr>
                <w:rFonts w:eastAsiaTheme="minorEastAsia"/>
                <w:szCs w:val="21"/>
              </w:rPr>
            </w:pPr>
          </w:p>
        </w:tc>
        <w:tc>
          <w:tcPr>
            <w:tcW w:w="864"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2A5A5E">
            <w:pPr>
              <w:rPr>
                <w:rFonts w:eastAsiaTheme="minorEastAsia"/>
                <w:szCs w:val="21"/>
              </w:rPr>
            </w:pPr>
          </w:p>
        </w:tc>
      </w:tr>
      <w:tr w:rsidR="002A5A5E" w:rsidRPr="00F9522B">
        <w:trPr>
          <w:trHeight w:val="279"/>
        </w:trPr>
        <w:tc>
          <w:tcPr>
            <w:tcW w:w="426" w:type="dxa"/>
            <w:vMerge/>
            <w:tcBorders>
              <w:top w:val="single" w:sz="6"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szCs w:val="21"/>
              </w:rPr>
            </w:pPr>
          </w:p>
        </w:tc>
        <w:tc>
          <w:tcPr>
            <w:tcW w:w="1276"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环境敏感性</w:t>
            </w:r>
          </w:p>
        </w:tc>
        <w:tc>
          <w:tcPr>
            <w:tcW w:w="1276"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大气</w:t>
            </w:r>
          </w:p>
        </w:tc>
        <w:tc>
          <w:tcPr>
            <w:tcW w:w="3347" w:type="dxa"/>
            <w:gridSpan w:val="8"/>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rsidP="00D20748">
            <w:pPr>
              <w:rPr>
                <w:rFonts w:eastAsiaTheme="minorEastAsia"/>
                <w:szCs w:val="21"/>
              </w:rPr>
            </w:pPr>
            <w:r w:rsidRPr="00F9522B">
              <w:rPr>
                <w:rFonts w:eastAsiaTheme="minorEastAsia"/>
                <w:kern w:val="0"/>
                <w:szCs w:val="21"/>
              </w:rPr>
              <w:t>500m</w:t>
            </w:r>
            <w:r w:rsidRPr="00F9522B">
              <w:rPr>
                <w:rFonts w:eastAsiaTheme="minorEastAsia"/>
                <w:kern w:val="0"/>
                <w:szCs w:val="21"/>
              </w:rPr>
              <w:t>范围内人口数</w:t>
            </w:r>
            <w:r w:rsidR="00D20748" w:rsidRPr="00F9522B">
              <w:rPr>
                <w:rFonts w:eastAsiaTheme="minorEastAsia"/>
                <w:kern w:val="0"/>
                <w:szCs w:val="21"/>
                <w:u w:val="single"/>
              </w:rPr>
              <w:t xml:space="preserve">  </w:t>
            </w:r>
            <w:r w:rsidRPr="00F9522B">
              <w:rPr>
                <w:rFonts w:eastAsiaTheme="minorEastAsia"/>
                <w:kern w:val="0"/>
                <w:szCs w:val="21"/>
              </w:rPr>
              <w:t>人</w:t>
            </w:r>
          </w:p>
        </w:tc>
        <w:tc>
          <w:tcPr>
            <w:tcW w:w="2750" w:type="dxa"/>
            <w:gridSpan w:val="8"/>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rPr>
                <w:rFonts w:eastAsiaTheme="minorEastAsia"/>
                <w:szCs w:val="21"/>
              </w:rPr>
            </w:pPr>
            <w:r w:rsidRPr="00F9522B">
              <w:rPr>
                <w:rFonts w:eastAsiaTheme="minorEastAsia"/>
                <w:kern w:val="0"/>
                <w:szCs w:val="21"/>
              </w:rPr>
              <w:t>5km</w:t>
            </w:r>
            <w:r w:rsidRPr="00F9522B">
              <w:rPr>
                <w:rFonts w:eastAsiaTheme="minorEastAsia"/>
                <w:kern w:val="0"/>
                <w:szCs w:val="21"/>
              </w:rPr>
              <w:t>范围内人口数</w:t>
            </w:r>
            <w:r w:rsidR="00D20748" w:rsidRPr="00F9522B">
              <w:rPr>
                <w:rFonts w:eastAsiaTheme="minorEastAsia"/>
                <w:kern w:val="0"/>
                <w:szCs w:val="21"/>
                <w:u w:val="single"/>
              </w:rPr>
              <w:t xml:space="preserve">  </w:t>
            </w:r>
            <w:r w:rsidRPr="00F9522B">
              <w:rPr>
                <w:rFonts w:eastAsiaTheme="minorEastAsia"/>
                <w:kern w:val="0"/>
                <w:szCs w:val="21"/>
              </w:rPr>
              <w:t>人</w:t>
            </w:r>
          </w:p>
        </w:tc>
      </w:tr>
      <w:tr w:rsidR="002A5A5E" w:rsidRPr="00F9522B">
        <w:trPr>
          <w:trHeight w:val="279"/>
        </w:trPr>
        <w:tc>
          <w:tcPr>
            <w:tcW w:w="426" w:type="dxa"/>
            <w:vMerge/>
            <w:tcBorders>
              <w:top w:val="single" w:sz="6"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szCs w:val="21"/>
              </w:rPr>
            </w:pPr>
          </w:p>
        </w:tc>
        <w:tc>
          <w:tcPr>
            <w:tcW w:w="1276"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szCs w:val="21"/>
              </w:rPr>
            </w:pPr>
          </w:p>
        </w:tc>
        <w:tc>
          <w:tcPr>
            <w:tcW w:w="1276"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szCs w:val="21"/>
              </w:rPr>
            </w:pPr>
          </w:p>
        </w:tc>
        <w:tc>
          <w:tcPr>
            <w:tcW w:w="4604" w:type="dxa"/>
            <w:gridSpan w:val="14"/>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每公里管段周边</w:t>
            </w:r>
            <w:r w:rsidRPr="00F9522B">
              <w:rPr>
                <w:rFonts w:eastAsiaTheme="minorEastAsia"/>
                <w:kern w:val="0"/>
                <w:szCs w:val="21"/>
              </w:rPr>
              <w:t>200m</w:t>
            </w:r>
            <w:r w:rsidRPr="00F9522B">
              <w:rPr>
                <w:rFonts w:eastAsiaTheme="minorEastAsia"/>
                <w:kern w:val="0"/>
                <w:szCs w:val="21"/>
              </w:rPr>
              <w:t>范围内人口数（最大）</w:t>
            </w:r>
          </w:p>
        </w:tc>
        <w:tc>
          <w:tcPr>
            <w:tcW w:w="1493" w:type="dxa"/>
            <w:gridSpan w:val="2"/>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rPr>
                <w:rFonts w:eastAsiaTheme="minorEastAsia"/>
                <w:szCs w:val="21"/>
              </w:rPr>
            </w:pPr>
            <w:r w:rsidRPr="00F9522B">
              <w:rPr>
                <w:rFonts w:eastAsiaTheme="minorEastAsia"/>
                <w:kern w:val="0"/>
                <w:szCs w:val="21"/>
              </w:rPr>
              <w:t>人</w:t>
            </w:r>
          </w:p>
        </w:tc>
      </w:tr>
      <w:tr w:rsidR="002A5A5E" w:rsidRPr="00F9522B">
        <w:trPr>
          <w:trHeight w:val="268"/>
        </w:trPr>
        <w:tc>
          <w:tcPr>
            <w:tcW w:w="426" w:type="dxa"/>
            <w:vMerge/>
            <w:tcBorders>
              <w:top w:val="single" w:sz="6"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szCs w:val="21"/>
              </w:rPr>
            </w:pPr>
          </w:p>
        </w:tc>
        <w:tc>
          <w:tcPr>
            <w:tcW w:w="1276"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szCs w:val="21"/>
              </w:rPr>
            </w:pPr>
          </w:p>
        </w:tc>
        <w:tc>
          <w:tcPr>
            <w:tcW w:w="1276"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地表水</w:t>
            </w:r>
          </w:p>
        </w:tc>
        <w:tc>
          <w:tcPr>
            <w:tcW w:w="1984"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地表水功能敏感性</w:t>
            </w:r>
          </w:p>
        </w:tc>
        <w:tc>
          <w:tcPr>
            <w:tcW w:w="1363"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F1□</w:t>
            </w:r>
          </w:p>
        </w:tc>
        <w:tc>
          <w:tcPr>
            <w:tcW w:w="1257"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F2□</w:t>
            </w:r>
          </w:p>
        </w:tc>
        <w:tc>
          <w:tcPr>
            <w:tcW w:w="1493" w:type="dxa"/>
            <w:gridSpan w:val="2"/>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rPr>
                <w:rFonts w:eastAsiaTheme="minorEastAsia"/>
                <w:szCs w:val="21"/>
              </w:rPr>
            </w:pPr>
            <w:r w:rsidRPr="00F9522B">
              <w:rPr>
                <w:rFonts w:eastAsiaTheme="minorEastAsia"/>
                <w:kern w:val="0"/>
                <w:szCs w:val="21"/>
              </w:rPr>
              <w:t>F3□</w:t>
            </w:r>
          </w:p>
        </w:tc>
      </w:tr>
      <w:tr w:rsidR="002A5A5E" w:rsidRPr="00F9522B">
        <w:trPr>
          <w:trHeight w:val="279"/>
        </w:trPr>
        <w:tc>
          <w:tcPr>
            <w:tcW w:w="426" w:type="dxa"/>
            <w:vMerge/>
            <w:tcBorders>
              <w:top w:val="single" w:sz="6"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szCs w:val="21"/>
              </w:rPr>
            </w:pPr>
          </w:p>
        </w:tc>
        <w:tc>
          <w:tcPr>
            <w:tcW w:w="1276"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szCs w:val="21"/>
              </w:rPr>
            </w:pPr>
          </w:p>
        </w:tc>
        <w:tc>
          <w:tcPr>
            <w:tcW w:w="1276"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szCs w:val="21"/>
              </w:rPr>
            </w:pPr>
          </w:p>
        </w:tc>
        <w:tc>
          <w:tcPr>
            <w:tcW w:w="1984"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环境敏感目标分级</w:t>
            </w:r>
          </w:p>
        </w:tc>
        <w:tc>
          <w:tcPr>
            <w:tcW w:w="1363"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S1□</w:t>
            </w:r>
          </w:p>
        </w:tc>
        <w:tc>
          <w:tcPr>
            <w:tcW w:w="1257"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S2□</w:t>
            </w:r>
          </w:p>
        </w:tc>
        <w:tc>
          <w:tcPr>
            <w:tcW w:w="1493" w:type="dxa"/>
            <w:gridSpan w:val="2"/>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rPr>
                <w:rFonts w:eastAsiaTheme="minorEastAsia"/>
                <w:szCs w:val="21"/>
              </w:rPr>
            </w:pPr>
            <w:r w:rsidRPr="00F9522B">
              <w:rPr>
                <w:rFonts w:eastAsiaTheme="minorEastAsia"/>
                <w:kern w:val="0"/>
                <w:szCs w:val="21"/>
              </w:rPr>
              <w:t>S3□</w:t>
            </w:r>
          </w:p>
        </w:tc>
      </w:tr>
      <w:tr w:rsidR="002A5A5E" w:rsidRPr="00F9522B">
        <w:trPr>
          <w:trHeight w:val="288"/>
        </w:trPr>
        <w:tc>
          <w:tcPr>
            <w:tcW w:w="426" w:type="dxa"/>
            <w:vMerge/>
            <w:tcBorders>
              <w:top w:val="single" w:sz="6"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szCs w:val="21"/>
              </w:rPr>
            </w:pPr>
          </w:p>
        </w:tc>
        <w:tc>
          <w:tcPr>
            <w:tcW w:w="1276"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szCs w:val="21"/>
              </w:rPr>
            </w:pPr>
          </w:p>
        </w:tc>
        <w:tc>
          <w:tcPr>
            <w:tcW w:w="1276"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地下水</w:t>
            </w:r>
          </w:p>
        </w:tc>
        <w:tc>
          <w:tcPr>
            <w:tcW w:w="1984"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地下水功能敏感性</w:t>
            </w:r>
          </w:p>
        </w:tc>
        <w:tc>
          <w:tcPr>
            <w:tcW w:w="1363"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G1□</w:t>
            </w:r>
          </w:p>
        </w:tc>
        <w:tc>
          <w:tcPr>
            <w:tcW w:w="1257"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G2□</w:t>
            </w:r>
          </w:p>
        </w:tc>
        <w:tc>
          <w:tcPr>
            <w:tcW w:w="1493" w:type="dxa"/>
            <w:gridSpan w:val="2"/>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rPr>
                <w:rFonts w:eastAsiaTheme="minorEastAsia"/>
                <w:szCs w:val="21"/>
              </w:rPr>
            </w:pPr>
            <w:r w:rsidRPr="00F9522B">
              <w:rPr>
                <w:rFonts w:eastAsiaTheme="minorEastAsia"/>
                <w:kern w:val="0"/>
                <w:szCs w:val="21"/>
              </w:rPr>
              <w:t>G3□</w:t>
            </w:r>
          </w:p>
        </w:tc>
      </w:tr>
      <w:tr w:rsidR="002A5A5E" w:rsidRPr="00F9522B">
        <w:trPr>
          <w:trHeight w:val="288"/>
        </w:trPr>
        <w:tc>
          <w:tcPr>
            <w:tcW w:w="426" w:type="dxa"/>
            <w:vMerge/>
            <w:tcBorders>
              <w:top w:val="single" w:sz="6"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szCs w:val="21"/>
              </w:rPr>
            </w:pPr>
          </w:p>
        </w:tc>
        <w:tc>
          <w:tcPr>
            <w:tcW w:w="1276"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szCs w:val="21"/>
              </w:rPr>
            </w:pPr>
          </w:p>
        </w:tc>
        <w:tc>
          <w:tcPr>
            <w:tcW w:w="1276"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szCs w:val="21"/>
              </w:rPr>
            </w:pPr>
          </w:p>
        </w:tc>
        <w:tc>
          <w:tcPr>
            <w:tcW w:w="1984"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包气带防污性能</w:t>
            </w:r>
          </w:p>
        </w:tc>
        <w:tc>
          <w:tcPr>
            <w:tcW w:w="1363"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D1□</w:t>
            </w:r>
          </w:p>
        </w:tc>
        <w:tc>
          <w:tcPr>
            <w:tcW w:w="1257"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D2□</w:t>
            </w:r>
          </w:p>
        </w:tc>
        <w:tc>
          <w:tcPr>
            <w:tcW w:w="1493" w:type="dxa"/>
            <w:gridSpan w:val="2"/>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rPr>
                <w:rFonts w:eastAsiaTheme="minorEastAsia"/>
                <w:szCs w:val="21"/>
              </w:rPr>
            </w:pPr>
            <w:r w:rsidRPr="00F9522B">
              <w:rPr>
                <w:rFonts w:eastAsiaTheme="minorEastAsia"/>
                <w:kern w:val="0"/>
                <w:szCs w:val="21"/>
              </w:rPr>
              <w:t>D2□</w:t>
            </w:r>
          </w:p>
        </w:tc>
      </w:tr>
      <w:tr w:rsidR="002A5A5E" w:rsidRPr="00F9522B">
        <w:trPr>
          <w:trHeight w:val="288"/>
        </w:trPr>
        <w:tc>
          <w:tcPr>
            <w:tcW w:w="1702" w:type="dxa"/>
            <w:gridSpan w:val="2"/>
            <w:vMerge w:val="restart"/>
            <w:tcBorders>
              <w:top w:val="single" w:sz="6"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物质及工艺系统危险性</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Q</w:t>
            </w:r>
            <w:r w:rsidRPr="00F9522B">
              <w:rPr>
                <w:rFonts w:eastAsiaTheme="minorEastAsia"/>
                <w:kern w:val="0"/>
                <w:szCs w:val="21"/>
              </w:rPr>
              <w:t>值</w:t>
            </w:r>
          </w:p>
        </w:tc>
        <w:tc>
          <w:tcPr>
            <w:tcW w:w="1984"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Q</w:t>
            </w:r>
            <w:r w:rsidRPr="00F9522B">
              <w:rPr>
                <w:rFonts w:eastAsiaTheme="minorEastAsia"/>
                <w:kern w:val="0"/>
                <w:szCs w:val="21"/>
              </w:rPr>
              <w:t>＜</w:t>
            </w:r>
            <w:r w:rsidRPr="00F9522B">
              <w:rPr>
                <w:rFonts w:eastAsiaTheme="minorEastAsia"/>
                <w:kern w:val="0"/>
                <w:szCs w:val="21"/>
              </w:rPr>
              <w:t>1√</w:t>
            </w:r>
          </w:p>
        </w:tc>
        <w:tc>
          <w:tcPr>
            <w:tcW w:w="1363"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1≤Q</w:t>
            </w:r>
            <w:r w:rsidRPr="00F9522B">
              <w:rPr>
                <w:rFonts w:eastAsiaTheme="minorEastAsia"/>
                <w:kern w:val="0"/>
                <w:szCs w:val="21"/>
              </w:rPr>
              <w:t>＜</w:t>
            </w:r>
            <w:r w:rsidRPr="00F9522B">
              <w:rPr>
                <w:rFonts w:eastAsiaTheme="minorEastAsia"/>
                <w:kern w:val="0"/>
                <w:szCs w:val="21"/>
              </w:rPr>
              <w:t>10□</w:t>
            </w:r>
          </w:p>
        </w:tc>
        <w:tc>
          <w:tcPr>
            <w:tcW w:w="1257"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10≤Q</w:t>
            </w:r>
            <w:r w:rsidRPr="00F9522B">
              <w:rPr>
                <w:rFonts w:eastAsiaTheme="minorEastAsia"/>
                <w:kern w:val="0"/>
                <w:szCs w:val="21"/>
              </w:rPr>
              <w:t>＜</w:t>
            </w:r>
            <w:r w:rsidRPr="00F9522B">
              <w:rPr>
                <w:rFonts w:eastAsiaTheme="minorEastAsia"/>
                <w:kern w:val="0"/>
                <w:szCs w:val="21"/>
              </w:rPr>
              <w:t>100□</w:t>
            </w:r>
          </w:p>
        </w:tc>
        <w:tc>
          <w:tcPr>
            <w:tcW w:w="1493" w:type="dxa"/>
            <w:gridSpan w:val="2"/>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rPr>
                <w:rFonts w:eastAsiaTheme="minorEastAsia"/>
                <w:szCs w:val="21"/>
              </w:rPr>
            </w:pPr>
            <w:r w:rsidRPr="00F9522B">
              <w:rPr>
                <w:rFonts w:eastAsiaTheme="minorEastAsia"/>
                <w:kern w:val="0"/>
                <w:szCs w:val="21"/>
              </w:rPr>
              <w:t>Q</w:t>
            </w:r>
            <w:r w:rsidRPr="00F9522B">
              <w:rPr>
                <w:rFonts w:eastAsiaTheme="minorEastAsia"/>
                <w:kern w:val="0"/>
                <w:szCs w:val="21"/>
              </w:rPr>
              <w:t>＞</w:t>
            </w:r>
            <w:r w:rsidRPr="00F9522B">
              <w:rPr>
                <w:rFonts w:eastAsiaTheme="minorEastAsia"/>
                <w:kern w:val="0"/>
                <w:szCs w:val="21"/>
              </w:rPr>
              <w:t>100□</w:t>
            </w:r>
          </w:p>
        </w:tc>
      </w:tr>
      <w:tr w:rsidR="002A5A5E" w:rsidRPr="00F9522B">
        <w:trPr>
          <w:trHeight w:val="288"/>
        </w:trPr>
        <w:tc>
          <w:tcPr>
            <w:tcW w:w="1702" w:type="dxa"/>
            <w:gridSpan w:val="2"/>
            <w:vMerge/>
            <w:tcBorders>
              <w:top w:val="single" w:sz="6"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szCs w:val="21"/>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M</w:t>
            </w:r>
            <w:r w:rsidRPr="00F9522B">
              <w:rPr>
                <w:rFonts w:eastAsiaTheme="minorEastAsia"/>
                <w:kern w:val="0"/>
                <w:szCs w:val="21"/>
              </w:rPr>
              <w:t>值</w:t>
            </w:r>
          </w:p>
        </w:tc>
        <w:tc>
          <w:tcPr>
            <w:tcW w:w="1984"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M1□</w:t>
            </w:r>
          </w:p>
        </w:tc>
        <w:tc>
          <w:tcPr>
            <w:tcW w:w="1363"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M2□</w:t>
            </w:r>
          </w:p>
        </w:tc>
        <w:tc>
          <w:tcPr>
            <w:tcW w:w="1257"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M3□</w:t>
            </w:r>
          </w:p>
        </w:tc>
        <w:tc>
          <w:tcPr>
            <w:tcW w:w="1493" w:type="dxa"/>
            <w:gridSpan w:val="2"/>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rPr>
                <w:rFonts w:eastAsiaTheme="minorEastAsia"/>
                <w:szCs w:val="21"/>
              </w:rPr>
            </w:pPr>
            <w:r w:rsidRPr="00F9522B">
              <w:rPr>
                <w:rFonts w:eastAsiaTheme="minorEastAsia"/>
                <w:kern w:val="0"/>
                <w:szCs w:val="21"/>
              </w:rPr>
              <w:t>M4□</w:t>
            </w:r>
          </w:p>
        </w:tc>
      </w:tr>
      <w:tr w:rsidR="002A5A5E" w:rsidRPr="00F9522B">
        <w:trPr>
          <w:trHeight w:val="288"/>
        </w:trPr>
        <w:tc>
          <w:tcPr>
            <w:tcW w:w="1702" w:type="dxa"/>
            <w:gridSpan w:val="2"/>
            <w:vMerge/>
            <w:tcBorders>
              <w:top w:val="single" w:sz="6"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szCs w:val="21"/>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P</w:t>
            </w:r>
            <w:r w:rsidRPr="00F9522B">
              <w:rPr>
                <w:rFonts w:eastAsiaTheme="minorEastAsia"/>
                <w:kern w:val="0"/>
                <w:szCs w:val="21"/>
              </w:rPr>
              <w:t>值</w:t>
            </w:r>
          </w:p>
        </w:tc>
        <w:tc>
          <w:tcPr>
            <w:tcW w:w="1984"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P1□</w:t>
            </w:r>
          </w:p>
        </w:tc>
        <w:tc>
          <w:tcPr>
            <w:tcW w:w="1363"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P2□</w:t>
            </w:r>
          </w:p>
        </w:tc>
        <w:tc>
          <w:tcPr>
            <w:tcW w:w="1257"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P3□</w:t>
            </w:r>
          </w:p>
        </w:tc>
        <w:tc>
          <w:tcPr>
            <w:tcW w:w="1493" w:type="dxa"/>
            <w:gridSpan w:val="2"/>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rPr>
                <w:rFonts w:eastAsiaTheme="minorEastAsia"/>
                <w:szCs w:val="21"/>
              </w:rPr>
            </w:pPr>
            <w:r w:rsidRPr="00F9522B">
              <w:rPr>
                <w:rFonts w:eastAsiaTheme="minorEastAsia"/>
                <w:kern w:val="0"/>
                <w:szCs w:val="21"/>
              </w:rPr>
              <w:t>P4□</w:t>
            </w:r>
          </w:p>
        </w:tc>
      </w:tr>
      <w:tr w:rsidR="002A5A5E" w:rsidRPr="00F9522B">
        <w:trPr>
          <w:trHeight w:val="288"/>
        </w:trPr>
        <w:tc>
          <w:tcPr>
            <w:tcW w:w="1702" w:type="dxa"/>
            <w:gridSpan w:val="2"/>
            <w:vMerge w:val="restart"/>
            <w:tcBorders>
              <w:top w:val="single" w:sz="6"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环境敏感程度</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大气</w:t>
            </w:r>
          </w:p>
        </w:tc>
        <w:tc>
          <w:tcPr>
            <w:tcW w:w="1984"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E1□</w:t>
            </w:r>
          </w:p>
        </w:tc>
        <w:tc>
          <w:tcPr>
            <w:tcW w:w="1939"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E2□</w:t>
            </w:r>
          </w:p>
        </w:tc>
        <w:tc>
          <w:tcPr>
            <w:tcW w:w="2174" w:type="dxa"/>
            <w:gridSpan w:val="6"/>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rPr>
                <w:rFonts w:eastAsiaTheme="minorEastAsia"/>
                <w:szCs w:val="21"/>
              </w:rPr>
            </w:pPr>
            <w:r w:rsidRPr="00F9522B">
              <w:rPr>
                <w:rFonts w:eastAsiaTheme="minorEastAsia"/>
                <w:kern w:val="0"/>
                <w:szCs w:val="21"/>
              </w:rPr>
              <w:t>E3□</w:t>
            </w:r>
          </w:p>
        </w:tc>
      </w:tr>
      <w:tr w:rsidR="002A5A5E" w:rsidRPr="00F9522B">
        <w:trPr>
          <w:trHeight w:val="288"/>
        </w:trPr>
        <w:tc>
          <w:tcPr>
            <w:tcW w:w="1702" w:type="dxa"/>
            <w:gridSpan w:val="2"/>
            <w:vMerge/>
            <w:tcBorders>
              <w:top w:val="single" w:sz="6"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szCs w:val="21"/>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地表水</w:t>
            </w:r>
          </w:p>
        </w:tc>
        <w:tc>
          <w:tcPr>
            <w:tcW w:w="1984"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E1□</w:t>
            </w:r>
          </w:p>
        </w:tc>
        <w:tc>
          <w:tcPr>
            <w:tcW w:w="1939"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E2□</w:t>
            </w:r>
          </w:p>
        </w:tc>
        <w:tc>
          <w:tcPr>
            <w:tcW w:w="2174" w:type="dxa"/>
            <w:gridSpan w:val="6"/>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rPr>
                <w:rFonts w:eastAsiaTheme="minorEastAsia"/>
                <w:szCs w:val="21"/>
              </w:rPr>
            </w:pPr>
            <w:r w:rsidRPr="00F9522B">
              <w:rPr>
                <w:rFonts w:eastAsiaTheme="minorEastAsia"/>
                <w:kern w:val="0"/>
                <w:szCs w:val="21"/>
              </w:rPr>
              <w:t>E3□</w:t>
            </w:r>
          </w:p>
        </w:tc>
      </w:tr>
      <w:tr w:rsidR="002A5A5E" w:rsidRPr="00F9522B">
        <w:trPr>
          <w:trHeight w:val="288"/>
        </w:trPr>
        <w:tc>
          <w:tcPr>
            <w:tcW w:w="1702" w:type="dxa"/>
            <w:gridSpan w:val="2"/>
            <w:vMerge/>
            <w:tcBorders>
              <w:top w:val="single" w:sz="6"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szCs w:val="21"/>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地下水</w:t>
            </w:r>
          </w:p>
        </w:tc>
        <w:tc>
          <w:tcPr>
            <w:tcW w:w="1984"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E1□</w:t>
            </w:r>
          </w:p>
        </w:tc>
        <w:tc>
          <w:tcPr>
            <w:tcW w:w="1939"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E2□</w:t>
            </w:r>
          </w:p>
        </w:tc>
        <w:tc>
          <w:tcPr>
            <w:tcW w:w="2174" w:type="dxa"/>
            <w:gridSpan w:val="6"/>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rPr>
                <w:rFonts w:eastAsiaTheme="minorEastAsia"/>
                <w:szCs w:val="21"/>
              </w:rPr>
            </w:pPr>
            <w:r w:rsidRPr="00F9522B">
              <w:rPr>
                <w:rFonts w:eastAsiaTheme="minorEastAsia"/>
                <w:kern w:val="0"/>
                <w:szCs w:val="21"/>
              </w:rPr>
              <w:t>E3□</w:t>
            </w:r>
          </w:p>
        </w:tc>
      </w:tr>
      <w:tr w:rsidR="002A5A5E" w:rsidRPr="00F9522B">
        <w:trPr>
          <w:trHeight w:val="288"/>
        </w:trPr>
        <w:tc>
          <w:tcPr>
            <w:tcW w:w="1702" w:type="dxa"/>
            <w:gridSpan w:val="2"/>
            <w:tcBorders>
              <w:top w:val="single" w:sz="6"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环境风险潜势</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Ⅳ</w:t>
            </w:r>
            <w:r w:rsidRPr="00F9522B">
              <w:rPr>
                <w:rFonts w:eastAsiaTheme="minorEastAsia"/>
                <w:kern w:val="0"/>
                <w:szCs w:val="21"/>
                <w:vertAlign w:val="superscript"/>
              </w:rPr>
              <w:t>+</w:t>
            </w:r>
            <w:r w:rsidRPr="00F9522B">
              <w:rPr>
                <w:rFonts w:eastAsiaTheme="minorEastAsia"/>
                <w:kern w:val="0"/>
                <w:szCs w:val="21"/>
              </w:rPr>
              <w:t>□</w:t>
            </w:r>
          </w:p>
        </w:tc>
        <w:tc>
          <w:tcPr>
            <w:tcW w:w="1984"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Ⅳ□</w:t>
            </w:r>
          </w:p>
        </w:tc>
        <w:tc>
          <w:tcPr>
            <w:tcW w:w="1022"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Ⅲ□</w:t>
            </w:r>
          </w:p>
        </w:tc>
        <w:tc>
          <w:tcPr>
            <w:tcW w:w="1428"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Ⅱ□</w:t>
            </w:r>
          </w:p>
        </w:tc>
        <w:tc>
          <w:tcPr>
            <w:tcW w:w="1663" w:type="dxa"/>
            <w:gridSpan w:val="3"/>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rPr>
                <w:rFonts w:eastAsiaTheme="minorEastAsia"/>
                <w:szCs w:val="21"/>
              </w:rPr>
            </w:pPr>
            <w:r w:rsidRPr="00F9522B">
              <w:rPr>
                <w:rFonts w:eastAsiaTheme="minorEastAsia"/>
                <w:kern w:val="0"/>
                <w:szCs w:val="21"/>
              </w:rPr>
              <w:t>Ⅰ√</w:t>
            </w:r>
          </w:p>
        </w:tc>
      </w:tr>
      <w:tr w:rsidR="002A5A5E" w:rsidRPr="00F9522B">
        <w:trPr>
          <w:trHeight w:val="288"/>
        </w:trPr>
        <w:tc>
          <w:tcPr>
            <w:tcW w:w="1702" w:type="dxa"/>
            <w:gridSpan w:val="2"/>
            <w:tcBorders>
              <w:top w:val="single" w:sz="6"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评价等级</w:t>
            </w:r>
          </w:p>
        </w:tc>
        <w:tc>
          <w:tcPr>
            <w:tcW w:w="3260"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一级</w:t>
            </w:r>
            <w:r w:rsidRPr="00F9522B">
              <w:rPr>
                <w:rFonts w:eastAsiaTheme="minorEastAsia"/>
                <w:kern w:val="0"/>
                <w:szCs w:val="21"/>
              </w:rPr>
              <w:t>□</w:t>
            </w:r>
          </w:p>
        </w:tc>
        <w:tc>
          <w:tcPr>
            <w:tcW w:w="1022"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二级</w:t>
            </w:r>
            <w:r w:rsidRPr="00F9522B">
              <w:rPr>
                <w:rFonts w:eastAsiaTheme="minorEastAsia"/>
                <w:kern w:val="0"/>
                <w:szCs w:val="21"/>
              </w:rPr>
              <w:t>□</w:t>
            </w:r>
          </w:p>
        </w:tc>
        <w:tc>
          <w:tcPr>
            <w:tcW w:w="1428"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三级</w:t>
            </w:r>
            <w:r w:rsidRPr="00F9522B">
              <w:rPr>
                <w:rFonts w:eastAsiaTheme="minorEastAsia"/>
                <w:kern w:val="0"/>
                <w:szCs w:val="21"/>
              </w:rPr>
              <w:t>□</w:t>
            </w:r>
          </w:p>
        </w:tc>
        <w:tc>
          <w:tcPr>
            <w:tcW w:w="1663" w:type="dxa"/>
            <w:gridSpan w:val="3"/>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rPr>
                <w:rFonts w:eastAsiaTheme="minorEastAsia"/>
                <w:szCs w:val="21"/>
              </w:rPr>
            </w:pPr>
            <w:r w:rsidRPr="00F9522B">
              <w:rPr>
                <w:rFonts w:eastAsiaTheme="minorEastAsia"/>
                <w:kern w:val="0"/>
                <w:szCs w:val="21"/>
              </w:rPr>
              <w:t>简单分析</w:t>
            </w:r>
            <w:r w:rsidRPr="00F9522B">
              <w:rPr>
                <w:rFonts w:eastAsiaTheme="minorEastAsia"/>
                <w:kern w:val="0"/>
                <w:szCs w:val="21"/>
              </w:rPr>
              <w:t>√</w:t>
            </w:r>
          </w:p>
        </w:tc>
      </w:tr>
      <w:tr w:rsidR="002A5A5E" w:rsidRPr="00F9522B">
        <w:trPr>
          <w:trHeight w:val="288"/>
        </w:trPr>
        <w:tc>
          <w:tcPr>
            <w:tcW w:w="426" w:type="dxa"/>
            <w:vMerge w:val="restart"/>
            <w:tcBorders>
              <w:top w:val="single" w:sz="6"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风险识别</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物质危险性</w:t>
            </w:r>
          </w:p>
        </w:tc>
        <w:tc>
          <w:tcPr>
            <w:tcW w:w="3260"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有毒有害</w:t>
            </w:r>
            <w:r w:rsidRPr="00F9522B">
              <w:rPr>
                <w:rFonts w:eastAsiaTheme="minorEastAsia"/>
                <w:kern w:val="0"/>
                <w:szCs w:val="21"/>
              </w:rPr>
              <w:t>√</w:t>
            </w:r>
          </w:p>
        </w:tc>
        <w:tc>
          <w:tcPr>
            <w:tcW w:w="4113" w:type="dxa"/>
            <w:gridSpan w:val="12"/>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rPr>
                <w:rFonts w:eastAsiaTheme="minorEastAsia"/>
                <w:szCs w:val="21"/>
              </w:rPr>
            </w:pPr>
            <w:r w:rsidRPr="00F9522B">
              <w:rPr>
                <w:rFonts w:eastAsiaTheme="minorEastAsia"/>
                <w:kern w:val="0"/>
                <w:szCs w:val="21"/>
              </w:rPr>
              <w:t>易燃易爆</w:t>
            </w:r>
            <w:r w:rsidRPr="00F9522B">
              <w:rPr>
                <w:rFonts w:eastAsiaTheme="minorEastAsia"/>
                <w:kern w:val="0"/>
                <w:szCs w:val="21"/>
              </w:rPr>
              <w:t>√</w:t>
            </w:r>
          </w:p>
        </w:tc>
      </w:tr>
      <w:tr w:rsidR="002A5A5E" w:rsidRPr="00F9522B">
        <w:trPr>
          <w:trHeight w:val="288"/>
        </w:trPr>
        <w:tc>
          <w:tcPr>
            <w:tcW w:w="426" w:type="dxa"/>
            <w:vMerge/>
            <w:tcBorders>
              <w:top w:val="single" w:sz="6"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szCs w:val="21"/>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环境风险类型</w:t>
            </w:r>
          </w:p>
        </w:tc>
        <w:tc>
          <w:tcPr>
            <w:tcW w:w="3260"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泄漏</w:t>
            </w:r>
            <w:r w:rsidRPr="00F9522B">
              <w:rPr>
                <w:rFonts w:eastAsiaTheme="minorEastAsia"/>
                <w:kern w:val="0"/>
                <w:szCs w:val="21"/>
              </w:rPr>
              <w:t>√</w:t>
            </w:r>
          </w:p>
        </w:tc>
        <w:tc>
          <w:tcPr>
            <w:tcW w:w="4113" w:type="dxa"/>
            <w:gridSpan w:val="12"/>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rPr>
                <w:rFonts w:eastAsiaTheme="minorEastAsia"/>
                <w:szCs w:val="21"/>
              </w:rPr>
            </w:pPr>
            <w:r w:rsidRPr="00F9522B">
              <w:rPr>
                <w:rFonts w:eastAsiaTheme="minorEastAsia"/>
                <w:kern w:val="0"/>
                <w:szCs w:val="21"/>
              </w:rPr>
              <w:t>火灾、爆炸引发伴生</w:t>
            </w:r>
            <w:r w:rsidRPr="00F9522B">
              <w:rPr>
                <w:rFonts w:eastAsiaTheme="minorEastAsia"/>
                <w:kern w:val="0"/>
                <w:szCs w:val="21"/>
              </w:rPr>
              <w:t>/</w:t>
            </w:r>
            <w:r w:rsidRPr="00F9522B">
              <w:rPr>
                <w:rFonts w:eastAsiaTheme="minorEastAsia"/>
                <w:kern w:val="0"/>
                <w:szCs w:val="21"/>
              </w:rPr>
              <w:t>次生污染物排放</w:t>
            </w:r>
            <w:r w:rsidRPr="00F9522B">
              <w:rPr>
                <w:rFonts w:eastAsiaTheme="minorEastAsia"/>
                <w:kern w:val="0"/>
                <w:szCs w:val="21"/>
              </w:rPr>
              <w:t>√</w:t>
            </w:r>
          </w:p>
        </w:tc>
      </w:tr>
      <w:tr w:rsidR="002A5A5E" w:rsidRPr="00F9522B">
        <w:trPr>
          <w:trHeight w:val="288"/>
        </w:trPr>
        <w:tc>
          <w:tcPr>
            <w:tcW w:w="426" w:type="dxa"/>
            <w:vMerge/>
            <w:tcBorders>
              <w:top w:val="single" w:sz="6"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szCs w:val="21"/>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影响途径</w:t>
            </w:r>
          </w:p>
        </w:tc>
        <w:tc>
          <w:tcPr>
            <w:tcW w:w="2379"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大气</w:t>
            </w:r>
            <w:r w:rsidRPr="00F9522B">
              <w:rPr>
                <w:rFonts w:eastAsiaTheme="minorEastAsia"/>
                <w:kern w:val="0"/>
                <w:szCs w:val="21"/>
              </w:rPr>
              <w:t>√</w:t>
            </w:r>
          </w:p>
        </w:tc>
        <w:tc>
          <w:tcPr>
            <w:tcW w:w="2379"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地表水</w:t>
            </w:r>
            <w:r w:rsidRPr="00F9522B">
              <w:rPr>
                <w:rFonts w:eastAsiaTheme="minorEastAsia"/>
                <w:kern w:val="0"/>
                <w:szCs w:val="21"/>
              </w:rPr>
              <w:t>□</w:t>
            </w:r>
          </w:p>
        </w:tc>
        <w:tc>
          <w:tcPr>
            <w:tcW w:w="2615" w:type="dxa"/>
            <w:gridSpan w:val="7"/>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rPr>
                <w:rFonts w:eastAsiaTheme="minorEastAsia"/>
                <w:szCs w:val="21"/>
              </w:rPr>
            </w:pPr>
            <w:r w:rsidRPr="00F9522B">
              <w:rPr>
                <w:rFonts w:eastAsiaTheme="minorEastAsia"/>
                <w:kern w:val="0"/>
                <w:szCs w:val="21"/>
              </w:rPr>
              <w:t>地下水</w:t>
            </w:r>
            <w:r w:rsidRPr="00F9522B">
              <w:rPr>
                <w:rFonts w:eastAsiaTheme="minorEastAsia"/>
                <w:kern w:val="0"/>
                <w:szCs w:val="21"/>
              </w:rPr>
              <w:t>√</w:t>
            </w:r>
          </w:p>
        </w:tc>
      </w:tr>
      <w:tr w:rsidR="002A5A5E" w:rsidRPr="00F9522B">
        <w:trPr>
          <w:trHeight w:val="288"/>
        </w:trPr>
        <w:tc>
          <w:tcPr>
            <w:tcW w:w="1702" w:type="dxa"/>
            <w:gridSpan w:val="2"/>
            <w:tcBorders>
              <w:top w:val="single" w:sz="6"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事故情形分析</w:t>
            </w:r>
          </w:p>
        </w:tc>
        <w:tc>
          <w:tcPr>
            <w:tcW w:w="178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源强设定方法</w:t>
            </w:r>
          </w:p>
        </w:tc>
        <w:tc>
          <w:tcPr>
            <w:tcW w:w="1785"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计算法</w:t>
            </w:r>
            <w:r w:rsidRPr="00F9522B">
              <w:rPr>
                <w:rFonts w:eastAsiaTheme="minorEastAsia"/>
                <w:kern w:val="0"/>
                <w:szCs w:val="21"/>
              </w:rPr>
              <w:t>□</w:t>
            </w:r>
          </w:p>
        </w:tc>
        <w:tc>
          <w:tcPr>
            <w:tcW w:w="1784"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经验估算法</w:t>
            </w:r>
            <w:r w:rsidRPr="00F9522B">
              <w:rPr>
                <w:rFonts w:eastAsiaTheme="minorEastAsia"/>
                <w:kern w:val="0"/>
                <w:szCs w:val="21"/>
              </w:rPr>
              <w:t>□</w:t>
            </w:r>
          </w:p>
        </w:tc>
        <w:tc>
          <w:tcPr>
            <w:tcW w:w="2020" w:type="dxa"/>
            <w:gridSpan w:val="4"/>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rPr>
                <w:rFonts w:eastAsiaTheme="minorEastAsia"/>
                <w:szCs w:val="21"/>
              </w:rPr>
            </w:pPr>
            <w:r w:rsidRPr="00F9522B">
              <w:rPr>
                <w:rFonts w:eastAsiaTheme="minorEastAsia"/>
                <w:kern w:val="0"/>
                <w:szCs w:val="21"/>
              </w:rPr>
              <w:t>其他估算法</w:t>
            </w:r>
            <w:r w:rsidRPr="00F9522B">
              <w:rPr>
                <w:rFonts w:eastAsiaTheme="minorEastAsia"/>
                <w:kern w:val="0"/>
                <w:szCs w:val="21"/>
              </w:rPr>
              <w:t>□</w:t>
            </w:r>
          </w:p>
        </w:tc>
      </w:tr>
      <w:tr w:rsidR="002A5A5E" w:rsidRPr="00F9522B">
        <w:trPr>
          <w:trHeight w:val="288"/>
        </w:trPr>
        <w:tc>
          <w:tcPr>
            <w:tcW w:w="426" w:type="dxa"/>
            <w:vMerge w:val="restart"/>
            <w:tcBorders>
              <w:top w:val="single" w:sz="6"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风险预测与评价</w:t>
            </w:r>
          </w:p>
        </w:tc>
        <w:tc>
          <w:tcPr>
            <w:tcW w:w="1276"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大气</w:t>
            </w:r>
          </w:p>
        </w:tc>
        <w:tc>
          <w:tcPr>
            <w:tcW w:w="178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预测模型</w:t>
            </w:r>
          </w:p>
        </w:tc>
        <w:tc>
          <w:tcPr>
            <w:tcW w:w="1785"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SLAB□</w:t>
            </w:r>
          </w:p>
        </w:tc>
        <w:tc>
          <w:tcPr>
            <w:tcW w:w="1784"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AFTOX□</w:t>
            </w:r>
          </w:p>
        </w:tc>
        <w:tc>
          <w:tcPr>
            <w:tcW w:w="2020" w:type="dxa"/>
            <w:gridSpan w:val="4"/>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rPr>
                <w:rFonts w:eastAsiaTheme="minorEastAsia"/>
                <w:szCs w:val="21"/>
              </w:rPr>
            </w:pPr>
            <w:r w:rsidRPr="00F9522B">
              <w:rPr>
                <w:rFonts w:eastAsiaTheme="minorEastAsia"/>
                <w:kern w:val="0"/>
                <w:szCs w:val="21"/>
              </w:rPr>
              <w:t>其他</w:t>
            </w:r>
            <w:r w:rsidRPr="00F9522B">
              <w:rPr>
                <w:rFonts w:eastAsiaTheme="minorEastAsia"/>
                <w:kern w:val="0"/>
                <w:szCs w:val="21"/>
              </w:rPr>
              <w:t>□</w:t>
            </w:r>
          </w:p>
        </w:tc>
      </w:tr>
      <w:tr w:rsidR="002A5A5E" w:rsidRPr="00F9522B">
        <w:trPr>
          <w:trHeight w:val="288"/>
        </w:trPr>
        <w:tc>
          <w:tcPr>
            <w:tcW w:w="426" w:type="dxa"/>
            <w:vMerge/>
            <w:tcBorders>
              <w:top w:val="single" w:sz="6"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szCs w:val="21"/>
              </w:rPr>
            </w:pPr>
          </w:p>
        </w:tc>
        <w:tc>
          <w:tcPr>
            <w:tcW w:w="1276"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szCs w:val="21"/>
              </w:rPr>
            </w:pPr>
          </w:p>
        </w:tc>
        <w:tc>
          <w:tcPr>
            <w:tcW w:w="1784" w:type="dxa"/>
            <w:gridSpan w:val="2"/>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预测结果</w:t>
            </w:r>
          </w:p>
        </w:tc>
        <w:tc>
          <w:tcPr>
            <w:tcW w:w="5589" w:type="dxa"/>
            <w:gridSpan w:val="15"/>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rPr>
                <w:rFonts w:eastAsiaTheme="minorEastAsia"/>
                <w:szCs w:val="21"/>
              </w:rPr>
            </w:pPr>
            <w:r w:rsidRPr="00F9522B">
              <w:rPr>
                <w:rFonts w:eastAsiaTheme="minorEastAsia"/>
                <w:kern w:val="0"/>
                <w:szCs w:val="21"/>
              </w:rPr>
              <w:t>大气毒性终点浓度</w:t>
            </w:r>
            <w:r w:rsidRPr="00F9522B">
              <w:rPr>
                <w:rFonts w:eastAsiaTheme="minorEastAsia"/>
                <w:kern w:val="0"/>
                <w:szCs w:val="21"/>
              </w:rPr>
              <w:t xml:space="preserve">-1 </w:t>
            </w:r>
            <w:r w:rsidRPr="00F9522B">
              <w:rPr>
                <w:rFonts w:eastAsiaTheme="minorEastAsia"/>
                <w:kern w:val="0"/>
                <w:szCs w:val="21"/>
              </w:rPr>
              <w:t>最大影响范围</w:t>
            </w:r>
            <w:r w:rsidR="00D20748" w:rsidRPr="00F9522B">
              <w:rPr>
                <w:rFonts w:eastAsiaTheme="minorEastAsia"/>
                <w:kern w:val="0"/>
                <w:szCs w:val="21"/>
                <w:u w:val="single"/>
              </w:rPr>
              <w:t xml:space="preserve">  </w:t>
            </w:r>
            <w:r w:rsidR="00D20748" w:rsidRPr="00F9522B">
              <w:rPr>
                <w:rFonts w:eastAsiaTheme="minorEastAsia"/>
                <w:kern w:val="0"/>
                <w:szCs w:val="21"/>
              </w:rPr>
              <w:t xml:space="preserve"> </w:t>
            </w:r>
            <w:r w:rsidRPr="00F9522B">
              <w:rPr>
                <w:rFonts w:eastAsiaTheme="minorEastAsia"/>
                <w:kern w:val="0"/>
                <w:szCs w:val="21"/>
              </w:rPr>
              <w:t>m</w:t>
            </w:r>
          </w:p>
        </w:tc>
      </w:tr>
      <w:tr w:rsidR="002A5A5E" w:rsidRPr="00F9522B">
        <w:trPr>
          <w:trHeight w:val="288"/>
        </w:trPr>
        <w:tc>
          <w:tcPr>
            <w:tcW w:w="426" w:type="dxa"/>
            <w:vMerge/>
            <w:tcBorders>
              <w:top w:val="single" w:sz="6"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szCs w:val="21"/>
              </w:rPr>
            </w:pPr>
          </w:p>
        </w:tc>
        <w:tc>
          <w:tcPr>
            <w:tcW w:w="1276"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szCs w:val="21"/>
              </w:rPr>
            </w:pPr>
          </w:p>
        </w:tc>
        <w:tc>
          <w:tcPr>
            <w:tcW w:w="1784" w:type="dxa"/>
            <w:gridSpan w:val="2"/>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szCs w:val="21"/>
              </w:rPr>
            </w:pPr>
          </w:p>
        </w:tc>
        <w:tc>
          <w:tcPr>
            <w:tcW w:w="5589" w:type="dxa"/>
            <w:gridSpan w:val="15"/>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rPr>
                <w:rFonts w:eastAsiaTheme="minorEastAsia"/>
                <w:szCs w:val="21"/>
              </w:rPr>
            </w:pPr>
            <w:r w:rsidRPr="00F9522B">
              <w:rPr>
                <w:rFonts w:eastAsiaTheme="minorEastAsia"/>
                <w:kern w:val="0"/>
                <w:szCs w:val="21"/>
              </w:rPr>
              <w:t>大气毒性终点浓度</w:t>
            </w:r>
            <w:r w:rsidRPr="00F9522B">
              <w:rPr>
                <w:rFonts w:eastAsiaTheme="minorEastAsia"/>
                <w:kern w:val="0"/>
                <w:szCs w:val="21"/>
              </w:rPr>
              <w:t xml:space="preserve">-2 </w:t>
            </w:r>
            <w:r w:rsidRPr="00F9522B">
              <w:rPr>
                <w:rFonts w:eastAsiaTheme="minorEastAsia"/>
                <w:kern w:val="0"/>
                <w:szCs w:val="21"/>
              </w:rPr>
              <w:t>最大影响范围</w:t>
            </w:r>
            <w:r w:rsidR="00D20748" w:rsidRPr="00F9522B">
              <w:rPr>
                <w:rFonts w:eastAsiaTheme="minorEastAsia"/>
                <w:kern w:val="0"/>
                <w:szCs w:val="21"/>
                <w:u w:val="single"/>
              </w:rPr>
              <w:t xml:space="preserve">  </w:t>
            </w:r>
            <w:r w:rsidR="00D20748" w:rsidRPr="00F9522B">
              <w:rPr>
                <w:rFonts w:eastAsiaTheme="minorEastAsia"/>
                <w:kern w:val="0"/>
                <w:szCs w:val="21"/>
              </w:rPr>
              <w:t xml:space="preserve"> </w:t>
            </w:r>
            <w:r w:rsidRPr="00F9522B">
              <w:rPr>
                <w:rFonts w:eastAsiaTheme="minorEastAsia"/>
                <w:kern w:val="0"/>
                <w:szCs w:val="21"/>
              </w:rPr>
              <w:t>m</w:t>
            </w:r>
          </w:p>
        </w:tc>
      </w:tr>
      <w:tr w:rsidR="002A5A5E" w:rsidRPr="00F9522B">
        <w:trPr>
          <w:trHeight w:val="288"/>
        </w:trPr>
        <w:tc>
          <w:tcPr>
            <w:tcW w:w="426" w:type="dxa"/>
            <w:vMerge/>
            <w:tcBorders>
              <w:top w:val="single" w:sz="6"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szCs w:val="21"/>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地表水</w:t>
            </w:r>
          </w:p>
        </w:tc>
        <w:tc>
          <w:tcPr>
            <w:tcW w:w="7373" w:type="dxa"/>
            <w:gridSpan w:val="17"/>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rPr>
                <w:rFonts w:eastAsiaTheme="minorEastAsia"/>
                <w:szCs w:val="21"/>
              </w:rPr>
            </w:pPr>
            <w:r w:rsidRPr="00F9522B">
              <w:rPr>
                <w:rFonts w:eastAsiaTheme="minorEastAsia"/>
                <w:kern w:val="0"/>
                <w:szCs w:val="21"/>
              </w:rPr>
              <w:t>最近环境敏感目标，到达时间</w:t>
            </w:r>
            <w:r w:rsidR="00D20748" w:rsidRPr="00F9522B">
              <w:rPr>
                <w:rFonts w:eastAsiaTheme="minorEastAsia"/>
                <w:kern w:val="0"/>
                <w:szCs w:val="21"/>
                <w:u w:val="single"/>
              </w:rPr>
              <w:t xml:space="preserve">  </w:t>
            </w:r>
            <w:r w:rsidR="00D20748" w:rsidRPr="00F9522B">
              <w:rPr>
                <w:rFonts w:eastAsiaTheme="minorEastAsia"/>
                <w:kern w:val="0"/>
                <w:szCs w:val="21"/>
              </w:rPr>
              <w:t xml:space="preserve"> </w:t>
            </w:r>
            <w:r w:rsidRPr="00F9522B">
              <w:rPr>
                <w:rFonts w:eastAsiaTheme="minorEastAsia"/>
                <w:kern w:val="0"/>
                <w:szCs w:val="21"/>
              </w:rPr>
              <w:t>h</w:t>
            </w:r>
          </w:p>
        </w:tc>
      </w:tr>
      <w:tr w:rsidR="002A5A5E" w:rsidRPr="00F9522B">
        <w:trPr>
          <w:trHeight w:val="288"/>
        </w:trPr>
        <w:tc>
          <w:tcPr>
            <w:tcW w:w="426" w:type="dxa"/>
            <w:vMerge/>
            <w:tcBorders>
              <w:top w:val="single" w:sz="6"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szCs w:val="21"/>
              </w:rPr>
            </w:pPr>
          </w:p>
        </w:tc>
        <w:tc>
          <w:tcPr>
            <w:tcW w:w="1276"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地下水</w:t>
            </w:r>
          </w:p>
        </w:tc>
        <w:tc>
          <w:tcPr>
            <w:tcW w:w="7373" w:type="dxa"/>
            <w:gridSpan w:val="17"/>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rPr>
                <w:rFonts w:eastAsiaTheme="minorEastAsia"/>
                <w:szCs w:val="21"/>
              </w:rPr>
            </w:pPr>
            <w:r w:rsidRPr="00F9522B">
              <w:rPr>
                <w:rFonts w:eastAsiaTheme="minorEastAsia"/>
                <w:kern w:val="0"/>
                <w:szCs w:val="21"/>
              </w:rPr>
              <w:t>下游厂区边界到达时间</w:t>
            </w:r>
            <w:r w:rsidR="00D20748" w:rsidRPr="00F9522B">
              <w:rPr>
                <w:rFonts w:eastAsiaTheme="minorEastAsia"/>
                <w:kern w:val="0"/>
                <w:szCs w:val="21"/>
                <w:u w:val="single"/>
              </w:rPr>
              <w:t xml:space="preserve">  </w:t>
            </w:r>
            <w:r w:rsidR="00D20748" w:rsidRPr="00F9522B">
              <w:rPr>
                <w:rFonts w:eastAsiaTheme="minorEastAsia"/>
                <w:kern w:val="0"/>
                <w:szCs w:val="21"/>
              </w:rPr>
              <w:t xml:space="preserve"> </w:t>
            </w:r>
            <w:r w:rsidRPr="00F9522B">
              <w:rPr>
                <w:rFonts w:eastAsiaTheme="minorEastAsia"/>
                <w:kern w:val="0"/>
                <w:szCs w:val="21"/>
              </w:rPr>
              <w:t>h</w:t>
            </w:r>
          </w:p>
        </w:tc>
      </w:tr>
      <w:tr w:rsidR="002A5A5E" w:rsidRPr="00F9522B">
        <w:trPr>
          <w:trHeight w:val="306"/>
        </w:trPr>
        <w:tc>
          <w:tcPr>
            <w:tcW w:w="426" w:type="dxa"/>
            <w:vMerge/>
            <w:tcBorders>
              <w:top w:val="single" w:sz="6"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szCs w:val="21"/>
              </w:rPr>
            </w:pPr>
          </w:p>
        </w:tc>
        <w:tc>
          <w:tcPr>
            <w:tcW w:w="1276"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A5A5E" w:rsidRPr="00F9522B" w:rsidRDefault="002A5A5E">
            <w:pPr>
              <w:widowControl/>
              <w:jc w:val="left"/>
              <w:rPr>
                <w:rFonts w:eastAsiaTheme="minorEastAsia"/>
                <w:szCs w:val="21"/>
              </w:rPr>
            </w:pPr>
          </w:p>
        </w:tc>
        <w:tc>
          <w:tcPr>
            <w:tcW w:w="7373" w:type="dxa"/>
            <w:gridSpan w:val="17"/>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pPr>
              <w:rPr>
                <w:rFonts w:eastAsiaTheme="minorEastAsia"/>
                <w:szCs w:val="21"/>
              </w:rPr>
            </w:pPr>
            <w:r w:rsidRPr="00F9522B">
              <w:rPr>
                <w:rFonts w:eastAsiaTheme="minorEastAsia"/>
                <w:kern w:val="0"/>
                <w:szCs w:val="21"/>
              </w:rPr>
              <w:t>最近环境敏感目标，到达时间</w:t>
            </w:r>
            <w:r w:rsidR="00D20748" w:rsidRPr="00F9522B">
              <w:rPr>
                <w:rFonts w:eastAsiaTheme="minorEastAsia"/>
                <w:kern w:val="0"/>
                <w:szCs w:val="21"/>
                <w:u w:val="single"/>
              </w:rPr>
              <w:t xml:space="preserve">  </w:t>
            </w:r>
            <w:r w:rsidR="00D20748" w:rsidRPr="00F9522B">
              <w:rPr>
                <w:rFonts w:eastAsiaTheme="minorEastAsia"/>
                <w:kern w:val="0"/>
                <w:szCs w:val="21"/>
              </w:rPr>
              <w:t xml:space="preserve"> </w:t>
            </w:r>
            <w:r w:rsidRPr="00F9522B">
              <w:rPr>
                <w:rFonts w:eastAsiaTheme="minorEastAsia"/>
                <w:kern w:val="0"/>
                <w:szCs w:val="21"/>
              </w:rPr>
              <w:t>h</w:t>
            </w:r>
          </w:p>
        </w:tc>
      </w:tr>
      <w:tr w:rsidR="002A5A5E" w:rsidRPr="00F9522B">
        <w:trPr>
          <w:trHeight w:val="1264"/>
        </w:trPr>
        <w:tc>
          <w:tcPr>
            <w:tcW w:w="1702" w:type="dxa"/>
            <w:gridSpan w:val="2"/>
            <w:tcBorders>
              <w:top w:val="single" w:sz="6" w:space="0" w:color="000000" w:themeColor="text1"/>
              <w:left w:val="single" w:sz="12" w:space="0" w:color="000000" w:themeColor="text1"/>
              <w:bottom w:val="single" w:sz="6"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重点风险防范措施</w:t>
            </w:r>
          </w:p>
        </w:tc>
        <w:tc>
          <w:tcPr>
            <w:tcW w:w="7373" w:type="dxa"/>
            <w:gridSpan w:val="17"/>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2A5A5E" w:rsidRPr="00F9522B" w:rsidRDefault="00611CBA" w:rsidP="00D20748">
            <w:pPr>
              <w:rPr>
                <w:rFonts w:eastAsiaTheme="minorEastAsia"/>
                <w:szCs w:val="21"/>
              </w:rPr>
            </w:pPr>
            <w:r w:rsidRPr="00F9522B">
              <w:rPr>
                <w:rFonts w:eastAsiaTheme="minorEastAsia"/>
                <w:szCs w:val="21"/>
              </w:rPr>
              <w:t>本项目</w:t>
            </w:r>
            <w:r w:rsidRPr="00F9522B">
              <w:rPr>
                <w:rFonts w:eastAsiaTheme="minorEastAsia"/>
                <w:bCs/>
                <w:szCs w:val="21"/>
              </w:rPr>
              <w:t>柴油机移动泵车</w:t>
            </w:r>
            <w:r w:rsidRPr="00F9522B">
              <w:rPr>
                <w:rFonts w:eastAsiaTheme="minorEastAsia"/>
                <w:szCs w:val="21"/>
              </w:rPr>
              <w:t>油箱密闭，不使用时于村内暂存，暂存处地面设置重点防渗（等效黏土防渗层</w:t>
            </w:r>
            <w:r w:rsidRPr="00F9522B">
              <w:rPr>
                <w:rFonts w:eastAsiaTheme="minorEastAsia"/>
                <w:szCs w:val="21"/>
              </w:rPr>
              <w:t>Mb≥6.0m</w:t>
            </w:r>
            <w:r w:rsidRPr="00F9522B">
              <w:rPr>
                <w:rFonts w:eastAsiaTheme="minorEastAsia"/>
                <w:szCs w:val="21"/>
              </w:rPr>
              <w:t>，渗透系数</w:t>
            </w:r>
            <w:r w:rsidRPr="00F9522B">
              <w:rPr>
                <w:rFonts w:eastAsiaTheme="minorEastAsia"/>
                <w:szCs w:val="21"/>
              </w:rPr>
              <w:t>K≤1.0×10</w:t>
            </w:r>
            <w:r w:rsidRPr="00F9522B">
              <w:rPr>
                <w:rFonts w:eastAsiaTheme="minorEastAsia"/>
                <w:szCs w:val="21"/>
                <w:vertAlign w:val="superscript"/>
              </w:rPr>
              <w:t>-7</w:t>
            </w:r>
            <w:r w:rsidRPr="00F9522B">
              <w:rPr>
                <w:rFonts w:eastAsiaTheme="minorEastAsia"/>
                <w:szCs w:val="21"/>
              </w:rPr>
              <w:t>cm/s</w:t>
            </w:r>
            <w:r w:rsidRPr="00F9522B">
              <w:rPr>
                <w:rFonts w:eastAsiaTheme="minorEastAsia"/>
                <w:szCs w:val="21"/>
              </w:rPr>
              <w:t>），正常情况下不会泄漏，若发生泄漏事故，属于小范围污染，立即用沙土进行掩埋，产生的含油沙土交由资质单位运输和处置。</w:t>
            </w:r>
          </w:p>
          <w:p w:rsidR="002A5A5E" w:rsidRPr="00F9522B" w:rsidRDefault="00611CBA" w:rsidP="00D20748">
            <w:pPr>
              <w:spacing w:line="0" w:lineRule="atLeast"/>
              <w:rPr>
                <w:rFonts w:eastAsiaTheme="minorEastAsia"/>
                <w:b/>
                <w:kern w:val="0"/>
                <w:szCs w:val="21"/>
              </w:rPr>
            </w:pPr>
            <w:r w:rsidRPr="00F9522B">
              <w:rPr>
                <w:rFonts w:eastAsiaTheme="minorEastAsia"/>
                <w:szCs w:val="21"/>
              </w:rPr>
              <w:t>定期巡检，重点检查变压器油箱密封性（有无裂缝、接口渗漏）、油位刻度（判断是否存在异常泄漏），发现变压器油泄漏应立即停止此变压器运行，属于小范围污染，立即用沙土进行掩埋，产生的含油沙土及泄漏物交由资质单位处置进行运输和处置，通过采取此应急措施后本项目环境风险影响可接受。加强巡视及管理并制定环境风险应急预案。</w:t>
            </w:r>
          </w:p>
        </w:tc>
      </w:tr>
      <w:tr w:rsidR="002A5A5E" w:rsidRPr="00F9522B">
        <w:trPr>
          <w:trHeight w:val="1365"/>
        </w:trPr>
        <w:tc>
          <w:tcPr>
            <w:tcW w:w="1702" w:type="dxa"/>
            <w:gridSpan w:val="2"/>
            <w:tcBorders>
              <w:top w:val="single" w:sz="6" w:space="0" w:color="000000" w:themeColor="text1"/>
              <w:left w:val="single" w:sz="12" w:space="0" w:color="000000" w:themeColor="text1"/>
              <w:bottom w:val="single" w:sz="2" w:space="0" w:color="000000" w:themeColor="text1"/>
              <w:right w:val="single" w:sz="6" w:space="0" w:color="000000" w:themeColor="text1"/>
            </w:tcBorders>
          </w:tcPr>
          <w:p w:rsidR="002A5A5E" w:rsidRPr="00F9522B" w:rsidRDefault="00611CBA">
            <w:pPr>
              <w:rPr>
                <w:rFonts w:eastAsiaTheme="minorEastAsia"/>
                <w:szCs w:val="21"/>
              </w:rPr>
            </w:pPr>
            <w:r w:rsidRPr="00F9522B">
              <w:rPr>
                <w:rFonts w:eastAsiaTheme="minorEastAsia"/>
                <w:kern w:val="0"/>
                <w:szCs w:val="21"/>
              </w:rPr>
              <w:t>评价结论与建议</w:t>
            </w:r>
          </w:p>
        </w:tc>
        <w:tc>
          <w:tcPr>
            <w:tcW w:w="7373" w:type="dxa"/>
            <w:gridSpan w:val="17"/>
            <w:tcBorders>
              <w:top w:val="single" w:sz="6" w:space="0" w:color="000000" w:themeColor="text1"/>
              <w:left w:val="single" w:sz="6" w:space="0" w:color="000000" w:themeColor="text1"/>
              <w:bottom w:val="single" w:sz="2" w:space="0" w:color="000000" w:themeColor="text1"/>
              <w:right w:val="single" w:sz="12" w:space="0" w:color="000000" w:themeColor="text1"/>
            </w:tcBorders>
          </w:tcPr>
          <w:p w:rsidR="002A5A5E" w:rsidRPr="00F9522B" w:rsidRDefault="00611CBA" w:rsidP="00D20748">
            <w:pPr>
              <w:rPr>
                <w:rFonts w:eastAsiaTheme="minorEastAsia"/>
                <w:szCs w:val="21"/>
              </w:rPr>
            </w:pPr>
            <w:r w:rsidRPr="00F9522B">
              <w:rPr>
                <w:rFonts w:eastAsiaTheme="minorEastAsia"/>
                <w:kern w:val="0"/>
                <w:szCs w:val="21"/>
              </w:rPr>
              <w:t>采取本项目提出的风险应急措施，可有效避免风险事故污染大气、地下水，可有效保护应急人员健康</w:t>
            </w:r>
          </w:p>
        </w:tc>
      </w:tr>
      <w:tr w:rsidR="002A5A5E" w:rsidRPr="00F9522B">
        <w:trPr>
          <w:trHeight w:val="421"/>
        </w:trPr>
        <w:tc>
          <w:tcPr>
            <w:tcW w:w="9075" w:type="dxa"/>
            <w:gridSpan w:val="19"/>
            <w:tcBorders>
              <w:top w:val="single" w:sz="2" w:space="0" w:color="000000" w:themeColor="text1"/>
              <w:left w:val="single" w:sz="12" w:space="0" w:color="000000" w:themeColor="text1"/>
              <w:bottom w:val="single" w:sz="12" w:space="0" w:color="000000" w:themeColor="text1"/>
              <w:right w:val="single" w:sz="12" w:space="0" w:color="000000" w:themeColor="text1"/>
            </w:tcBorders>
            <w:vAlign w:val="top"/>
          </w:tcPr>
          <w:p w:rsidR="002A5A5E" w:rsidRPr="00F9522B" w:rsidRDefault="00611CBA">
            <w:pPr>
              <w:rPr>
                <w:rFonts w:eastAsiaTheme="minorEastAsia"/>
                <w:kern w:val="0"/>
                <w:szCs w:val="21"/>
              </w:rPr>
            </w:pPr>
            <w:r w:rsidRPr="00F9522B">
              <w:rPr>
                <w:rFonts w:eastAsiaTheme="minorEastAsia"/>
                <w:kern w:val="0"/>
                <w:szCs w:val="21"/>
              </w:rPr>
              <w:t>注：</w:t>
            </w:r>
            <w:r w:rsidRPr="00F9522B">
              <w:rPr>
                <w:rFonts w:eastAsiaTheme="minorEastAsia"/>
                <w:kern w:val="0"/>
                <w:szCs w:val="21"/>
              </w:rPr>
              <w:t>“□”</w:t>
            </w:r>
            <w:r w:rsidRPr="00F9522B">
              <w:rPr>
                <w:rFonts w:eastAsiaTheme="minorEastAsia"/>
                <w:kern w:val="0"/>
                <w:szCs w:val="21"/>
              </w:rPr>
              <w:t>为勾选项，</w:t>
            </w:r>
            <w:r w:rsidRPr="00F9522B">
              <w:rPr>
                <w:rFonts w:eastAsiaTheme="minorEastAsia"/>
                <w:kern w:val="0"/>
                <w:szCs w:val="21"/>
              </w:rPr>
              <w:t>“”</w:t>
            </w:r>
            <w:r w:rsidRPr="00F9522B">
              <w:rPr>
                <w:rFonts w:eastAsiaTheme="minorEastAsia"/>
                <w:kern w:val="0"/>
                <w:szCs w:val="21"/>
              </w:rPr>
              <w:t>为填写项。</w:t>
            </w:r>
          </w:p>
          <w:p w:rsidR="002A5A5E" w:rsidRPr="00F9522B" w:rsidRDefault="002A5A5E">
            <w:pPr>
              <w:rPr>
                <w:rFonts w:eastAsiaTheme="minorEastAsia"/>
                <w:szCs w:val="21"/>
              </w:rPr>
            </w:pPr>
          </w:p>
        </w:tc>
      </w:tr>
    </w:tbl>
    <w:p w:rsidR="002A5A5E" w:rsidRPr="00F9522B" w:rsidRDefault="002A5A5E">
      <w:pPr>
        <w:spacing w:line="360" w:lineRule="auto"/>
        <w:jc w:val="center"/>
        <w:rPr>
          <w:rFonts w:eastAsiaTheme="minorEastAsia"/>
          <w:b/>
          <w:sz w:val="28"/>
          <w:szCs w:val="28"/>
        </w:rPr>
      </w:pPr>
    </w:p>
    <w:p w:rsidR="002A5A5E" w:rsidRPr="00F9522B" w:rsidRDefault="00611CBA">
      <w:pPr>
        <w:jc w:val="center"/>
        <w:rPr>
          <w:rFonts w:eastAsiaTheme="minorEastAsia"/>
          <w:b/>
          <w:sz w:val="24"/>
        </w:rPr>
      </w:pPr>
      <w:r w:rsidRPr="00F9522B">
        <w:rPr>
          <w:rFonts w:eastAsiaTheme="minorEastAsia"/>
          <w:b/>
          <w:sz w:val="24"/>
        </w:rPr>
        <w:lastRenderedPageBreak/>
        <w:t>生态影响评价自查表</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839"/>
        <w:gridCol w:w="1303"/>
        <w:gridCol w:w="6380"/>
      </w:tblGrid>
      <w:tr w:rsidR="002A5A5E" w:rsidRPr="00F9522B">
        <w:trPr>
          <w:jc w:val="center"/>
        </w:trPr>
        <w:tc>
          <w:tcPr>
            <w:tcW w:w="2143" w:type="dxa"/>
            <w:gridSpan w:val="2"/>
            <w:vAlign w:val="center"/>
          </w:tcPr>
          <w:p w:rsidR="002A5A5E" w:rsidRPr="00F9522B" w:rsidRDefault="00611CBA">
            <w:pPr>
              <w:jc w:val="center"/>
              <w:rPr>
                <w:rFonts w:eastAsiaTheme="minorEastAsia"/>
                <w:szCs w:val="21"/>
              </w:rPr>
            </w:pPr>
            <w:r w:rsidRPr="00F9522B">
              <w:rPr>
                <w:rFonts w:eastAsiaTheme="minorEastAsia"/>
                <w:szCs w:val="21"/>
              </w:rPr>
              <w:t>工作内容</w:t>
            </w:r>
          </w:p>
        </w:tc>
        <w:tc>
          <w:tcPr>
            <w:tcW w:w="6385" w:type="dxa"/>
            <w:vAlign w:val="center"/>
          </w:tcPr>
          <w:p w:rsidR="002A5A5E" w:rsidRPr="00F9522B" w:rsidRDefault="00611CBA">
            <w:pPr>
              <w:jc w:val="center"/>
              <w:rPr>
                <w:rFonts w:eastAsiaTheme="minorEastAsia"/>
                <w:szCs w:val="21"/>
              </w:rPr>
            </w:pPr>
            <w:r w:rsidRPr="00F9522B">
              <w:rPr>
                <w:rFonts w:eastAsiaTheme="minorEastAsia"/>
                <w:szCs w:val="21"/>
              </w:rPr>
              <w:t>自查项目</w:t>
            </w:r>
          </w:p>
        </w:tc>
      </w:tr>
      <w:tr w:rsidR="002A5A5E" w:rsidRPr="00F9522B">
        <w:trPr>
          <w:jc w:val="center"/>
        </w:trPr>
        <w:tc>
          <w:tcPr>
            <w:tcW w:w="839" w:type="dxa"/>
            <w:vMerge w:val="restart"/>
            <w:vAlign w:val="center"/>
          </w:tcPr>
          <w:p w:rsidR="002A5A5E" w:rsidRPr="00F9522B" w:rsidRDefault="00611CBA">
            <w:pPr>
              <w:jc w:val="center"/>
              <w:rPr>
                <w:rFonts w:eastAsiaTheme="minorEastAsia"/>
                <w:szCs w:val="21"/>
              </w:rPr>
            </w:pPr>
            <w:r w:rsidRPr="00F9522B">
              <w:rPr>
                <w:rFonts w:eastAsiaTheme="minorEastAsia"/>
                <w:szCs w:val="21"/>
              </w:rPr>
              <w:t>生态影响识别</w:t>
            </w:r>
          </w:p>
        </w:tc>
        <w:tc>
          <w:tcPr>
            <w:tcW w:w="1304" w:type="dxa"/>
            <w:vAlign w:val="center"/>
          </w:tcPr>
          <w:p w:rsidR="002A5A5E" w:rsidRPr="00F9522B" w:rsidRDefault="00611CBA">
            <w:pPr>
              <w:jc w:val="center"/>
              <w:rPr>
                <w:rFonts w:eastAsiaTheme="minorEastAsia"/>
                <w:szCs w:val="21"/>
              </w:rPr>
            </w:pPr>
            <w:r w:rsidRPr="00F9522B">
              <w:rPr>
                <w:rFonts w:eastAsiaTheme="minorEastAsia"/>
                <w:szCs w:val="21"/>
              </w:rPr>
              <w:t>生态保护目标</w:t>
            </w:r>
          </w:p>
        </w:tc>
        <w:tc>
          <w:tcPr>
            <w:tcW w:w="6385" w:type="dxa"/>
            <w:vAlign w:val="center"/>
          </w:tcPr>
          <w:p w:rsidR="002A5A5E" w:rsidRPr="00F9522B" w:rsidRDefault="00611CBA">
            <w:pPr>
              <w:rPr>
                <w:rFonts w:eastAsiaTheme="minorEastAsia"/>
                <w:szCs w:val="21"/>
              </w:rPr>
            </w:pPr>
            <w:r w:rsidRPr="00F9522B">
              <w:rPr>
                <w:rFonts w:eastAsiaTheme="minorEastAsia"/>
                <w:szCs w:val="21"/>
              </w:rPr>
              <w:t>重要物种</w:t>
            </w:r>
            <w:r w:rsidRPr="00F9522B">
              <w:rPr>
                <w:rFonts w:ascii="MS Mincho" w:eastAsia="MS Mincho" w:hAnsi="MS Mincho" w:cs="MS Mincho" w:hint="eastAsia"/>
                <w:szCs w:val="21"/>
              </w:rPr>
              <w:t>☑</w:t>
            </w:r>
            <w:r w:rsidRPr="00F9522B">
              <w:rPr>
                <w:rFonts w:eastAsiaTheme="minorEastAsia"/>
                <w:szCs w:val="21"/>
              </w:rPr>
              <w:t>；国家公园</w:t>
            </w:r>
            <w:r w:rsidRPr="00F9522B">
              <w:rPr>
                <w:rFonts w:eastAsiaTheme="minorEastAsia"/>
                <w:szCs w:val="21"/>
              </w:rPr>
              <w:t>□</w:t>
            </w:r>
            <w:r w:rsidRPr="00F9522B">
              <w:rPr>
                <w:rFonts w:eastAsiaTheme="minorEastAsia"/>
                <w:szCs w:val="21"/>
              </w:rPr>
              <w:t>；自然保护区</w:t>
            </w:r>
            <w:r w:rsidRPr="00F9522B">
              <w:rPr>
                <w:rFonts w:ascii="MS Mincho" w:eastAsia="MS Mincho" w:hAnsi="MS Mincho" w:cs="MS Mincho" w:hint="eastAsia"/>
                <w:szCs w:val="21"/>
              </w:rPr>
              <w:t>☑</w:t>
            </w:r>
            <w:r w:rsidRPr="00F9522B">
              <w:rPr>
                <w:rFonts w:eastAsiaTheme="minorEastAsia"/>
                <w:szCs w:val="21"/>
              </w:rPr>
              <w:t>；自然公园</w:t>
            </w:r>
            <w:r w:rsidRPr="00F9522B">
              <w:rPr>
                <w:rFonts w:eastAsiaTheme="minorEastAsia"/>
                <w:szCs w:val="21"/>
              </w:rPr>
              <w:t>□</w:t>
            </w:r>
            <w:r w:rsidRPr="00F9522B">
              <w:rPr>
                <w:rFonts w:eastAsiaTheme="minorEastAsia"/>
                <w:szCs w:val="21"/>
              </w:rPr>
              <w:t>；世界自然遗产</w:t>
            </w:r>
            <w:r w:rsidRPr="00F9522B">
              <w:rPr>
                <w:rFonts w:eastAsiaTheme="minorEastAsia"/>
                <w:szCs w:val="21"/>
              </w:rPr>
              <w:t>□</w:t>
            </w:r>
            <w:r w:rsidRPr="00F9522B">
              <w:rPr>
                <w:rFonts w:eastAsiaTheme="minorEastAsia"/>
                <w:szCs w:val="21"/>
              </w:rPr>
              <w:t>；生态保护红线</w:t>
            </w:r>
            <w:r w:rsidRPr="00F9522B">
              <w:rPr>
                <w:rFonts w:eastAsiaTheme="minorEastAsia"/>
                <w:szCs w:val="21"/>
              </w:rPr>
              <w:t>□</w:t>
            </w:r>
            <w:r w:rsidRPr="00F9522B">
              <w:rPr>
                <w:rFonts w:eastAsiaTheme="minorEastAsia"/>
                <w:szCs w:val="21"/>
              </w:rPr>
              <w:t>；重要生境</w:t>
            </w:r>
            <w:r w:rsidRPr="00F9522B">
              <w:rPr>
                <w:rFonts w:eastAsiaTheme="minorEastAsia"/>
                <w:szCs w:val="21"/>
              </w:rPr>
              <w:t>□</w:t>
            </w:r>
            <w:r w:rsidRPr="00F9522B">
              <w:rPr>
                <w:rFonts w:eastAsiaTheme="minorEastAsia"/>
                <w:szCs w:val="21"/>
              </w:rPr>
              <w:t>；其他具有重要生态功能、对保护生物多样性具有重要意义的区域</w:t>
            </w:r>
            <w:r w:rsidRPr="00F9522B">
              <w:rPr>
                <w:rFonts w:eastAsiaTheme="minorEastAsia"/>
                <w:szCs w:val="21"/>
              </w:rPr>
              <w:t>□</w:t>
            </w:r>
            <w:r w:rsidRPr="00F9522B">
              <w:rPr>
                <w:rFonts w:eastAsiaTheme="minorEastAsia"/>
                <w:szCs w:val="21"/>
              </w:rPr>
              <w:t>；其他</w:t>
            </w:r>
            <w:r w:rsidRPr="00F9522B">
              <w:rPr>
                <w:rFonts w:ascii="MS Mincho" w:eastAsia="MS Mincho" w:hAnsi="MS Mincho" w:cs="MS Mincho" w:hint="eastAsia"/>
                <w:szCs w:val="21"/>
              </w:rPr>
              <w:t>☑</w:t>
            </w:r>
          </w:p>
        </w:tc>
      </w:tr>
      <w:tr w:rsidR="002A5A5E" w:rsidRPr="00F9522B">
        <w:trPr>
          <w:jc w:val="center"/>
        </w:trPr>
        <w:tc>
          <w:tcPr>
            <w:tcW w:w="839" w:type="dxa"/>
            <w:vMerge/>
            <w:vAlign w:val="center"/>
          </w:tcPr>
          <w:p w:rsidR="002A5A5E" w:rsidRPr="00F9522B" w:rsidRDefault="002A5A5E">
            <w:pPr>
              <w:jc w:val="center"/>
              <w:rPr>
                <w:rFonts w:eastAsiaTheme="minorEastAsia"/>
                <w:szCs w:val="21"/>
              </w:rPr>
            </w:pPr>
          </w:p>
        </w:tc>
        <w:tc>
          <w:tcPr>
            <w:tcW w:w="1304" w:type="dxa"/>
            <w:vAlign w:val="center"/>
          </w:tcPr>
          <w:p w:rsidR="002A5A5E" w:rsidRPr="00F9522B" w:rsidRDefault="00611CBA">
            <w:pPr>
              <w:jc w:val="center"/>
              <w:rPr>
                <w:rFonts w:eastAsiaTheme="minorEastAsia"/>
                <w:szCs w:val="21"/>
              </w:rPr>
            </w:pPr>
            <w:r w:rsidRPr="00F9522B">
              <w:rPr>
                <w:rFonts w:eastAsiaTheme="minorEastAsia"/>
                <w:szCs w:val="21"/>
              </w:rPr>
              <w:t>影响方式</w:t>
            </w:r>
          </w:p>
        </w:tc>
        <w:tc>
          <w:tcPr>
            <w:tcW w:w="6385" w:type="dxa"/>
            <w:vAlign w:val="center"/>
          </w:tcPr>
          <w:p w:rsidR="002A5A5E" w:rsidRPr="00F9522B" w:rsidRDefault="00611CBA">
            <w:pPr>
              <w:rPr>
                <w:rFonts w:eastAsiaTheme="minorEastAsia"/>
                <w:szCs w:val="21"/>
              </w:rPr>
            </w:pPr>
            <w:r w:rsidRPr="00F9522B">
              <w:rPr>
                <w:rFonts w:eastAsiaTheme="minorEastAsia"/>
                <w:szCs w:val="21"/>
              </w:rPr>
              <w:t>工程占用</w:t>
            </w:r>
            <w:r w:rsidRPr="00F9522B">
              <w:rPr>
                <w:rFonts w:ascii="MS Mincho" w:eastAsia="MS Mincho" w:hAnsi="MS Mincho" w:cs="MS Mincho" w:hint="eastAsia"/>
                <w:szCs w:val="21"/>
              </w:rPr>
              <w:t>☑</w:t>
            </w:r>
            <w:r w:rsidRPr="00F9522B">
              <w:rPr>
                <w:rFonts w:eastAsiaTheme="minorEastAsia"/>
                <w:szCs w:val="21"/>
              </w:rPr>
              <w:t>；施工活动干扰</w:t>
            </w:r>
            <w:r w:rsidRPr="00F9522B">
              <w:rPr>
                <w:rFonts w:ascii="MS Mincho" w:eastAsia="MS Mincho" w:hAnsi="MS Mincho" w:cs="MS Mincho" w:hint="eastAsia"/>
                <w:szCs w:val="21"/>
              </w:rPr>
              <w:t>☑</w:t>
            </w:r>
            <w:r w:rsidRPr="00F9522B">
              <w:rPr>
                <w:rFonts w:eastAsiaTheme="minorEastAsia"/>
                <w:szCs w:val="21"/>
              </w:rPr>
              <w:t>；改变环境条件</w:t>
            </w:r>
            <w:r w:rsidRPr="00F9522B">
              <w:rPr>
                <w:rFonts w:ascii="MS Mincho" w:eastAsia="MS Mincho" w:hAnsi="MS Mincho" w:cs="MS Mincho" w:hint="eastAsia"/>
                <w:szCs w:val="21"/>
              </w:rPr>
              <w:t>☑</w:t>
            </w:r>
            <w:r w:rsidRPr="00F9522B">
              <w:rPr>
                <w:rFonts w:eastAsiaTheme="minorEastAsia"/>
                <w:szCs w:val="21"/>
              </w:rPr>
              <w:t>；其他</w:t>
            </w:r>
            <w:r w:rsidRPr="00F9522B">
              <w:rPr>
                <w:rFonts w:eastAsiaTheme="minorEastAsia"/>
                <w:szCs w:val="21"/>
              </w:rPr>
              <w:t>□</w:t>
            </w:r>
          </w:p>
        </w:tc>
      </w:tr>
      <w:tr w:rsidR="002A5A5E" w:rsidRPr="00F9522B">
        <w:trPr>
          <w:jc w:val="center"/>
        </w:trPr>
        <w:tc>
          <w:tcPr>
            <w:tcW w:w="839" w:type="dxa"/>
            <w:vMerge/>
            <w:vAlign w:val="center"/>
          </w:tcPr>
          <w:p w:rsidR="002A5A5E" w:rsidRPr="00F9522B" w:rsidRDefault="002A5A5E">
            <w:pPr>
              <w:jc w:val="center"/>
              <w:rPr>
                <w:rFonts w:eastAsiaTheme="minorEastAsia"/>
                <w:szCs w:val="21"/>
              </w:rPr>
            </w:pPr>
          </w:p>
        </w:tc>
        <w:tc>
          <w:tcPr>
            <w:tcW w:w="1304" w:type="dxa"/>
            <w:vAlign w:val="center"/>
          </w:tcPr>
          <w:p w:rsidR="002A5A5E" w:rsidRPr="00F9522B" w:rsidRDefault="00611CBA">
            <w:pPr>
              <w:jc w:val="center"/>
              <w:rPr>
                <w:rFonts w:eastAsiaTheme="minorEastAsia"/>
                <w:szCs w:val="21"/>
              </w:rPr>
            </w:pPr>
            <w:r w:rsidRPr="00F9522B">
              <w:rPr>
                <w:rFonts w:eastAsiaTheme="minorEastAsia"/>
                <w:szCs w:val="21"/>
              </w:rPr>
              <w:t>评价因子</w:t>
            </w:r>
          </w:p>
        </w:tc>
        <w:tc>
          <w:tcPr>
            <w:tcW w:w="6385" w:type="dxa"/>
            <w:vAlign w:val="center"/>
          </w:tcPr>
          <w:p w:rsidR="002A5A5E" w:rsidRPr="00F9522B" w:rsidRDefault="00611CBA">
            <w:pPr>
              <w:rPr>
                <w:rFonts w:eastAsiaTheme="minorEastAsia"/>
                <w:szCs w:val="21"/>
              </w:rPr>
            </w:pPr>
            <w:r w:rsidRPr="00F9522B">
              <w:rPr>
                <w:rFonts w:eastAsiaTheme="minorEastAsia"/>
                <w:szCs w:val="21"/>
              </w:rPr>
              <w:t>物种</w:t>
            </w:r>
            <w:r w:rsidRPr="00F9522B">
              <w:rPr>
                <w:rFonts w:ascii="MS Mincho" w:eastAsia="MS Mincho" w:hAnsi="MS Mincho" w:cs="MS Mincho" w:hint="eastAsia"/>
                <w:szCs w:val="21"/>
              </w:rPr>
              <w:t>☑</w:t>
            </w:r>
            <w:r w:rsidRPr="00F9522B">
              <w:rPr>
                <w:rFonts w:eastAsiaTheme="minorEastAsia"/>
                <w:szCs w:val="21"/>
              </w:rPr>
              <w:t>（分布范围、种群数量、种群结构、行为）</w:t>
            </w:r>
          </w:p>
          <w:p w:rsidR="002A5A5E" w:rsidRPr="00F9522B" w:rsidRDefault="00611CBA">
            <w:pPr>
              <w:rPr>
                <w:rFonts w:eastAsiaTheme="minorEastAsia"/>
                <w:szCs w:val="21"/>
              </w:rPr>
            </w:pPr>
            <w:r w:rsidRPr="00F9522B">
              <w:rPr>
                <w:rFonts w:eastAsiaTheme="minorEastAsia"/>
                <w:szCs w:val="21"/>
              </w:rPr>
              <w:t>生境</w:t>
            </w:r>
            <w:r w:rsidRPr="00F9522B">
              <w:rPr>
                <w:rFonts w:ascii="MS Mincho" w:eastAsia="MS Mincho" w:hAnsi="MS Mincho" w:cs="MS Mincho" w:hint="eastAsia"/>
                <w:szCs w:val="21"/>
              </w:rPr>
              <w:t>☑</w:t>
            </w:r>
            <w:r w:rsidRPr="00F9522B">
              <w:rPr>
                <w:rFonts w:eastAsiaTheme="minorEastAsia"/>
                <w:szCs w:val="21"/>
              </w:rPr>
              <w:t>（生境质量）</w:t>
            </w:r>
          </w:p>
          <w:p w:rsidR="002A5A5E" w:rsidRPr="00F9522B" w:rsidRDefault="00611CBA">
            <w:pPr>
              <w:rPr>
                <w:rFonts w:eastAsiaTheme="minorEastAsia"/>
                <w:szCs w:val="21"/>
              </w:rPr>
            </w:pPr>
            <w:r w:rsidRPr="00F9522B">
              <w:rPr>
                <w:rFonts w:eastAsiaTheme="minorEastAsia"/>
                <w:szCs w:val="21"/>
              </w:rPr>
              <w:t>生物群落</w:t>
            </w:r>
            <w:r w:rsidRPr="00F9522B">
              <w:rPr>
                <w:rFonts w:ascii="MS Mincho" w:eastAsia="MS Mincho" w:hAnsi="MS Mincho" w:cs="MS Mincho" w:hint="eastAsia"/>
                <w:szCs w:val="21"/>
              </w:rPr>
              <w:t>☑</w:t>
            </w:r>
            <w:r w:rsidRPr="00F9522B">
              <w:rPr>
                <w:rFonts w:eastAsiaTheme="minorEastAsia"/>
                <w:szCs w:val="21"/>
              </w:rPr>
              <w:t>（物种组成）</w:t>
            </w:r>
          </w:p>
          <w:p w:rsidR="002A5A5E" w:rsidRPr="00F9522B" w:rsidRDefault="00611CBA">
            <w:pPr>
              <w:rPr>
                <w:rFonts w:eastAsiaTheme="minorEastAsia"/>
                <w:szCs w:val="21"/>
              </w:rPr>
            </w:pPr>
            <w:r w:rsidRPr="00F9522B">
              <w:rPr>
                <w:rFonts w:eastAsiaTheme="minorEastAsia"/>
                <w:szCs w:val="21"/>
              </w:rPr>
              <w:t>生态系统</w:t>
            </w:r>
            <w:r w:rsidRPr="00F9522B">
              <w:rPr>
                <w:rFonts w:ascii="MS Mincho" w:eastAsia="MS Mincho" w:hAnsi="MS Mincho" w:cs="MS Mincho" w:hint="eastAsia"/>
                <w:szCs w:val="21"/>
              </w:rPr>
              <w:t>☑</w:t>
            </w:r>
            <w:r w:rsidRPr="00F9522B">
              <w:rPr>
                <w:rFonts w:eastAsiaTheme="minorEastAsia"/>
                <w:szCs w:val="21"/>
              </w:rPr>
              <w:t>（生物量、生态系统功能）</w:t>
            </w:r>
          </w:p>
          <w:p w:rsidR="002A5A5E" w:rsidRPr="00F9522B" w:rsidRDefault="00611CBA">
            <w:pPr>
              <w:rPr>
                <w:rFonts w:eastAsiaTheme="minorEastAsia"/>
                <w:szCs w:val="21"/>
              </w:rPr>
            </w:pPr>
            <w:r w:rsidRPr="00F9522B">
              <w:rPr>
                <w:rFonts w:eastAsiaTheme="minorEastAsia"/>
                <w:szCs w:val="21"/>
              </w:rPr>
              <w:t>生物多样性</w:t>
            </w:r>
            <w:r w:rsidRPr="00F9522B">
              <w:rPr>
                <w:rFonts w:ascii="MS Mincho" w:eastAsia="MS Mincho" w:hAnsi="MS Mincho" w:cs="MS Mincho" w:hint="eastAsia"/>
                <w:szCs w:val="21"/>
              </w:rPr>
              <w:t>☑</w:t>
            </w:r>
            <w:r w:rsidRPr="00F9522B">
              <w:rPr>
                <w:rFonts w:eastAsiaTheme="minorEastAsia"/>
                <w:szCs w:val="21"/>
              </w:rPr>
              <w:t>（）</w:t>
            </w:r>
          </w:p>
          <w:p w:rsidR="002A5A5E" w:rsidRPr="00F9522B" w:rsidRDefault="00611CBA">
            <w:pPr>
              <w:rPr>
                <w:rFonts w:eastAsiaTheme="minorEastAsia"/>
                <w:szCs w:val="21"/>
              </w:rPr>
            </w:pPr>
            <w:r w:rsidRPr="00F9522B">
              <w:rPr>
                <w:rFonts w:eastAsiaTheme="minorEastAsia"/>
                <w:szCs w:val="21"/>
              </w:rPr>
              <w:t>生态敏感区</w:t>
            </w:r>
            <w:r w:rsidRPr="00F9522B">
              <w:rPr>
                <w:rFonts w:eastAsiaTheme="minorEastAsia"/>
                <w:szCs w:val="21"/>
              </w:rPr>
              <w:t>□</w:t>
            </w:r>
            <w:r w:rsidRPr="00F9522B">
              <w:rPr>
                <w:rFonts w:eastAsiaTheme="minorEastAsia"/>
                <w:szCs w:val="21"/>
              </w:rPr>
              <w:t>（）</w:t>
            </w:r>
          </w:p>
          <w:p w:rsidR="002A5A5E" w:rsidRPr="00F9522B" w:rsidRDefault="00611CBA">
            <w:pPr>
              <w:rPr>
                <w:rFonts w:eastAsiaTheme="minorEastAsia"/>
                <w:szCs w:val="21"/>
              </w:rPr>
            </w:pPr>
            <w:r w:rsidRPr="00F9522B">
              <w:rPr>
                <w:rFonts w:eastAsiaTheme="minorEastAsia"/>
                <w:szCs w:val="21"/>
              </w:rPr>
              <w:t>自然景观</w:t>
            </w:r>
            <w:r w:rsidRPr="00F9522B">
              <w:rPr>
                <w:rFonts w:ascii="MS Mincho" w:eastAsia="MS Mincho" w:hAnsi="MS Mincho" w:cs="MS Mincho" w:hint="eastAsia"/>
                <w:szCs w:val="21"/>
              </w:rPr>
              <w:t>☑</w:t>
            </w:r>
            <w:r w:rsidRPr="00F9522B">
              <w:rPr>
                <w:rFonts w:eastAsiaTheme="minorEastAsia"/>
                <w:szCs w:val="21"/>
              </w:rPr>
              <w:t>（完整性）</w:t>
            </w:r>
          </w:p>
          <w:p w:rsidR="002A5A5E" w:rsidRPr="00F9522B" w:rsidRDefault="00611CBA">
            <w:pPr>
              <w:rPr>
                <w:rFonts w:eastAsiaTheme="minorEastAsia"/>
                <w:szCs w:val="21"/>
              </w:rPr>
            </w:pPr>
            <w:r w:rsidRPr="00F9522B">
              <w:rPr>
                <w:rFonts w:eastAsiaTheme="minorEastAsia"/>
                <w:szCs w:val="21"/>
              </w:rPr>
              <w:t>自然遗迹</w:t>
            </w:r>
            <w:r w:rsidRPr="00F9522B">
              <w:rPr>
                <w:rFonts w:eastAsiaTheme="minorEastAsia"/>
                <w:szCs w:val="21"/>
              </w:rPr>
              <w:t>□</w:t>
            </w:r>
            <w:r w:rsidRPr="00F9522B">
              <w:rPr>
                <w:rFonts w:eastAsiaTheme="minorEastAsia"/>
                <w:szCs w:val="21"/>
              </w:rPr>
              <w:t>（）</w:t>
            </w:r>
          </w:p>
          <w:p w:rsidR="002A5A5E" w:rsidRPr="00F9522B" w:rsidRDefault="00611CBA">
            <w:pPr>
              <w:rPr>
                <w:rFonts w:eastAsiaTheme="minorEastAsia"/>
                <w:szCs w:val="21"/>
              </w:rPr>
            </w:pPr>
            <w:r w:rsidRPr="00F9522B">
              <w:rPr>
                <w:rFonts w:eastAsiaTheme="minorEastAsia"/>
                <w:szCs w:val="21"/>
              </w:rPr>
              <w:t>其他</w:t>
            </w:r>
            <w:r w:rsidRPr="00F9522B">
              <w:rPr>
                <w:rFonts w:eastAsiaTheme="minorEastAsia"/>
                <w:szCs w:val="21"/>
              </w:rPr>
              <w:t>□</w:t>
            </w:r>
            <w:r w:rsidRPr="00F9522B">
              <w:rPr>
                <w:rFonts w:eastAsiaTheme="minorEastAsia"/>
                <w:szCs w:val="21"/>
              </w:rPr>
              <w:t>（）</w:t>
            </w:r>
          </w:p>
        </w:tc>
      </w:tr>
      <w:tr w:rsidR="002A5A5E" w:rsidRPr="00F9522B">
        <w:trPr>
          <w:jc w:val="center"/>
        </w:trPr>
        <w:tc>
          <w:tcPr>
            <w:tcW w:w="2143" w:type="dxa"/>
            <w:gridSpan w:val="2"/>
            <w:vAlign w:val="center"/>
          </w:tcPr>
          <w:p w:rsidR="002A5A5E" w:rsidRPr="00F9522B" w:rsidRDefault="00611CBA">
            <w:pPr>
              <w:jc w:val="center"/>
              <w:rPr>
                <w:rFonts w:eastAsiaTheme="minorEastAsia"/>
                <w:szCs w:val="21"/>
              </w:rPr>
            </w:pPr>
            <w:r w:rsidRPr="00F9522B">
              <w:rPr>
                <w:rFonts w:eastAsiaTheme="minorEastAsia"/>
                <w:szCs w:val="21"/>
              </w:rPr>
              <w:t>评价等级</w:t>
            </w:r>
          </w:p>
        </w:tc>
        <w:tc>
          <w:tcPr>
            <w:tcW w:w="6385" w:type="dxa"/>
            <w:vAlign w:val="center"/>
          </w:tcPr>
          <w:p w:rsidR="002A5A5E" w:rsidRPr="00F9522B" w:rsidRDefault="00611CBA">
            <w:pPr>
              <w:rPr>
                <w:rFonts w:eastAsiaTheme="minorEastAsia"/>
                <w:szCs w:val="21"/>
              </w:rPr>
            </w:pPr>
            <w:r w:rsidRPr="00F9522B">
              <w:rPr>
                <w:rFonts w:eastAsiaTheme="minorEastAsia"/>
                <w:szCs w:val="21"/>
              </w:rPr>
              <w:t>一级</w:t>
            </w:r>
            <w:r w:rsidRPr="00F9522B">
              <w:rPr>
                <w:rFonts w:ascii="MS Mincho" w:eastAsia="MS Mincho" w:hAnsi="MS Mincho" w:cs="MS Mincho" w:hint="eastAsia"/>
                <w:szCs w:val="21"/>
              </w:rPr>
              <w:t>☑</w:t>
            </w:r>
            <w:r w:rsidRPr="00F9522B">
              <w:rPr>
                <w:rFonts w:eastAsiaTheme="minorEastAsia"/>
                <w:szCs w:val="21"/>
              </w:rPr>
              <w:t xml:space="preserve">        </w:t>
            </w:r>
            <w:r w:rsidRPr="00F9522B">
              <w:rPr>
                <w:rFonts w:eastAsiaTheme="minorEastAsia"/>
                <w:szCs w:val="21"/>
              </w:rPr>
              <w:t>二级</w:t>
            </w:r>
            <w:r w:rsidRPr="00F9522B">
              <w:rPr>
                <w:rFonts w:eastAsiaTheme="minorEastAsia"/>
                <w:szCs w:val="21"/>
              </w:rPr>
              <w:t xml:space="preserve">□        </w:t>
            </w:r>
            <w:r w:rsidRPr="00F9522B">
              <w:rPr>
                <w:rFonts w:eastAsiaTheme="minorEastAsia"/>
                <w:szCs w:val="21"/>
              </w:rPr>
              <w:t>三级</w:t>
            </w:r>
            <w:r w:rsidRPr="00F9522B">
              <w:rPr>
                <w:rFonts w:ascii="MS Mincho" w:eastAsia="MS Mincho" w:hAnsi="MS Mincho" w:cs="MS Mincho" w:hint="eastAsia"/>
                <w:szCs w:val="21"/>
              </w:rPr>
              <w:t>☑</w:t>
            </w:r>
            <w:r w:rsidRPr="00F9522B">
              <w:rPr>
                <w:rFonts w:eastAsiaTheme="minorEastAsia"/>
                <w:szCs w:val="21"/>
              </w:rPr>
              <w:t xml:space="preserve">     </w:t>
            </w:r>
            <w:r w:rsidRPr="00F9522B">
              <w:rPr>
                <w:rFonts w:eastAsiaTheme="minorEastAsia"/>
                <w:szCs w:val="21"/>
              </w:rPr>
              <w:t>生态影响简单分析</w:t>
            </w:r>
            <w:r w:rsidRPr="00F9522B">
              <w:rPr>
                <w:rFonts w:eastAsiaTheme="minorEastAsia"/>
                <w:szCs w:val="21"/>
              </w:rPr>
              <w:t>□</w:t>
            </w:r>
          </w:p>
        </w:tc>
      </w:tr>
      <w:tr w:rsidR="002A5A5E" w:rsidRPr="00F9522B">
        <w:trPr>
          <w:jc w:val="center"/>
        </w:trPr>
        <w:tc>
          <w:tcPr>
            <w:tcW w:w="2143" w:type="dxa"/>
            <w:gridSpan w:val="2"/>
            <w:vAlign w:val="center"/>
          </w:tcPr>
          <w:p w:rsidR="002A5A5E" w:rsidRPr="00F9522B" w:rsidRDefault="00611CBA">
            <w:pPr>
              <w:jc w:val="center"/>
              <w:rPr>
                <w:rFonts w:eastAsiaTheme="minorEastAsia"/>
                <w:szCs w:val="21"/>
              </w:rPr>
            </w:pPr>
            <w:r w:rsidRPr="00F9522B">
              <w:rPr>
                <w:rFonts w:eastAsiaTheme="minorEastAsia"/>
                <w:szCs w:val="21"/>
              </w:rPr>
              <w:t>评价范围</w:t>
            </w:r>
          </w:p>
        </w:tc>
        <w:tc>
          <w:tcPr>
            <w:tcW w:w="6385" w:type="dxa"/>
            <w:vAlign w:val="center"/>
          </w:tcPr>
          <w:p w:rsidR="002A5A5E" w:rsidRPr="00F9522B" w:rsidRDefault="00611CBA" w:rsidP="00EF0505">
            <w:pPr>
              <w:rPr>
                <w:rFonts w:eastAsiaTheme="minorEastAsia"/>
                <w:szCs w:val="21"/>
              </w:rPr>
            </w:pPr>
            <w:r w:rsidRPr="00F9522B">
              <w:rPr>
                <w:rFonts w:eastAsiaTheme="minorEastAsia"/>
                <w:szCs w:val="21"/>
              </w:rPr>
              <w:t>陆域面积：（</w:t>
            </w:r>
            <w:r w:rsidR="00EF0505" w:rsidRPr="00F9522B">
              <w:rPr>
                <w:rFonts w:eastAsiaTheme="minorEastAsia"/>
                <w:szCs w:val="21"/>
              </w:rPr>
              <w:t>350.03</w:t>
            </w:r>
            <w:r w:rsidRPr="00F9522B">
              <w:rPr>
                <w:rFonts w:eastAsiaTheme="minorEastAsia"/>
                <w:szCs w:val="21"/>
              </w:rPr>
              <w:t>）</w:t>
            </w:r>
            <w:r w:rsidRPr="00F9522B">
              <w:rPr>
                <w:rFonts w:eastAsiaTheme="minorEastAsia"/>
                <w:szCs w:val="21"/>
              </w:rPr>
              <w:t>km</w:t>
            </w:r>
            <w:r w:rsidRPr="00F9522B">
              <w:rPr>
                <w:rFonts w:eastAsiaTheme="minorEastAsia"/>
                <w:szCs w:val="21"/>
                <w:vertAlign w:val="superscript"/>
              </w:rPr>
              <w:t>2</w:t>
            </w:r>
            <w:r w:rsidRPr="00F9522B">
              <w:rPr>
                <w:rFonts w:eastAsiaTheme="minorEastAsia"/>
                <w:szCs w:val="21"/>
              </w:rPr>
              <w:t>；水域面积：（</w:t>
            </w:r>
            <w:r w:rsidR="00EF0505" w:rsidRPr="00F9522B">
              <w:rPr>
                <w:rFonts w:eastAsiaTheme="minorEastAsia"/>
                <w:szCs w:val="21"/>
              </w:rPr>
              <w:t>0.287</w:t>
            </w:r>
            <w:r w:rsidRPr="00F9522B">
              <w:rPr>
                <w:rFonts w:eastAsiaTheme="minorEastAsia"/>
                <w:szCs w:val="21"/>
              </w:rPr>
              <w:t>）</w:t>
            </w:r>
            <w:r w:rsidRPr="00F9522B">
              <w:rPr>
                <w:rFonts w:eastAsiaTheme="minorEastAsia"/>
                <w:szCs w:val="21"/>
              </w:rPr>
              <w:t>km</w:t>
            </w:r>
            <w:r w:rsidRPr="00F9522B">
              <w:rPr>
                <w:rFonts w:eastAsiaTheme="minorEastAsia"/>
                <w:szCs w:val="21"/>
                <w:vertAlign w:val="superscript"/>
              </w:rPr>
              <w:t>2</w:t>
            </w:r>
          </w:p>
        </w:tc>
      </w:tr>
      <w:tr w:rsidR="002A5A5E" w:rsidRPr="00F9522B">
        <w:trPr>
          <w:jc w:val="center"/>
        </w:trPr>
        <w:tc>
          <w:tcPr>
            <w:tcW w:w="839" w:type="dxa"/>
            <w:vMerge w:val="restart"/>
            <w:vAlign w:val="center"/>
          </w:tcPr>
          <w:p w:rsidR="002A5A5E" w:rsidRPr="00F9522B" w:rsidRDefault="00611CBA">
            <w:pPr>
              <w:jc w:val="center"/>
              <w:rPr>
                <w:rFonts w:eastAsiaTheme="minorEastAsia"/>
                <w:szCs w:val="21"/>
              </w:rPr>
            </w:pPr>
            <w:r w:rsidRPr="00F9522B">
              <w:rPr>
                <w:rFonts w:eastAsiaTheme="minorEastAsia"/>
                <w:szCs w:val="21"/>
              </w:rPr>
              <w:t>生态现状调查与评价</w:t>
            </w:r>
          </w:p>
        </w:tc>
        <w:tc>
          <w:tcPr>
            <w:tcW w:w="1304" w:type="dxa"/>
            <w:vAlign w:val="center"/>
          </w:tcPr>
          <w:p w:rsidR="002A5A5E" w:rsidRPr="00F9522B" w:rsidRDefault="00611CBA">
            <w:pPr>
              <w:jc w:val="center"/>
              <w:rPr>
                <w:rFonts w:eastAsiaTheme="minorEastAsia"/>
                <w:szCs w:val="21"/>
              </w:rPr>
            </w:pPr>
            <w:r w:rsidRPr="00F9522B">
              <w:rPr>
                <w:rFonts w:eastAsiaTheme="minorEastAsia"/>
                <w:szCs w:val="21"/>
              </w:rPr>
              <w:t>调查方法</w:t>
            </w:r>
          </w:p>
        </w:tc>
        <w:tc>
          <w:tcPr>
            <w:tcW w:w="6385" w:type="dxa"/>
            <w:vAlign w:val="center"/>
          </w:tcPr>
          <w:p w:rsidR="002A5A5E" w:rsidRPr="00F9522B" w:rsidRDefault="00611CBA">
            <w:pPr>
              <w:rPr>
                <w:rFonts w:eastAsiaTheme="minorEastAsia"/>
                <w:szCs w:val="21"/>
              </w:rPr>
            </w:pPr>
            <w:r w:rsidRPr="00F9522B">
              <w:rPr>
                <w:rFonts w:eastAsiaTheme="minorEastAsia"/>
                <w:szCs w:val="21"/>
              </w:rPr>
              <w:t>资料收集</w:t>
            </w:r>
            <w:r w:rsidRPr="00F9522B">
              <w:rPr>
                <w:rFonts w:ascii="MS Mincho" w:eastAsia="MS Mincho" w:hAnsi="MS Mincho" w:cs="MS Mincho" w:hint="eastAsia"/>
                <w:szCs w:val="21"/>
              </w:rPr>
              <w:t>☑</w:t>
            </w:r>
            <w:r w:rsidRPr="00F9522B">
              <w:rPr>
                <w:rFonts w:eastAsiaTheme="minorEastAsia"/>
                <w:szCs w:val="21"/>
              </w:rPr>
              <w:t>；遥感调查</w:t>
            </w:r>
            <w:r w:rsidRPr="00F9522B">
              <w:rPr>
                <w:rFonts w:eastAsiaTheme="minorEastAsia"/>
                <w:szCs w:val="21"/>
              </w:rPr>
              <w:t>□</w:t>
            </w:r>
            <w:r w:rsidRPr="00F9522B">
              <w:rPr>
                <w:rFonts w:eastAsiaTheme="minorEastAsia"/>
                <w:szCs w:val="21"/>
              </w:rPr>
              <w:t>；调查样方、样线</w:t>
            </w:r>
            <w:r w:rsidRPr="00F9522B">
              <w:rPr>
                <w:rFonts w:eastAsiaTheme="minorEastAsia"/>
                <w:szCs w:val="21"/>
              </w:rPr>
              <w:t>□</w:t>
            </w:r>
            <w:r w:rsidRPr="00F9522B">
              <w:rPr>
                <w:rFonts w:eastAsiaTheme="minorEastAsia"/>
                <w:szCs w:val="21"/>
              </w:rPr>
              <w:t>；调查点位、断面</w:t>
            </w:r>
            <w:r w:rsidRPr="00F9522B">
              <w:rPr>
                <w:rFonts w:ascii="MS Mincho" w:eastAsia="MS Mincho" w:hAnsi="MS Mincho" w:cs="MS Mincho" w:hint="eastAsia"/>
                <w:szCs w:val="21"/>
              </w:rPr>
              <w:t>☑</w:t>
            </w:r>
            <w:r w:rsidRPr="00F9522B">
              <w:rPr>
                <w:rFonts w:eastAsiaTheme="minorEastAsia"/>
                <w:szCs w:val="21"/>
              </w:rPr>
              <w:t>；专家和公众咨询法</w:t>
            </w:r>
            <w:r w:rsidRPr="00F9522B">
              <w:rPr>
                <w:rFonts w:eastAsiaTheme="minorEastAsia"/>
                <w:szCs w:val="21"/>
              </w:rPr>
              <w:t>□</w:t>
            </w:r>
            <w:r w:rsidRPr="00F9522B">
              <w:rPr>
                <w:rFonts w:eastAsiaTheme="minorEastAsia"/>
                <w:szCs w:val="21"/>
              </w:rPr>
              <w:t>；其他</w:t>
            </w:r>
            <w:r w:rsidRPr="00F9522B">
              <w:rPr>
                <w:rFonts w:eastAsiaTheme="minorEastAsia"/>
                <w:szCs w:val="21"/>
              </w:rPr>
              <w:t>□</w:t>
            </w:r>
          </w:p>
        </w:tc>
      </w:tr>
      <w:tr w:rsidR="002A5A5E" w:rsidRPr="00F9522B">
        <w:trPr>
          <w:jc w:val="center"/>
        </w:trPr>
        <w:tc>
          <w:tcPr>
            <w:tcW w:w="839" w:type="dxa"/>
            <w:vMerge/>
            <w:vAlign w:val="center"/>
          </w:tcPr>
          <w:p w:rsidR="002A5A5E" w:rsidRPr="00F9522B" w:rsidRDefault="002A5A5E">
            <w:pPr>
              <w:jc w:val="center"/>
              <w:rPr>
                <w:rFonts w:eastAsiaTheme="minorEastAsia"/>
                <w:szCs w:val="21"/>
              </w:rPr>
            </w:pPr>
          </w:p>
        </w:tc>
        <w:tc>
          <w:tcPr>
            <w:tcW w:w="1304" w:type="dxa"/>
            <w:vAlign w:val="center"/>
          </w:tcPr>
          <w:p w:rsidR="002A5A5E" w:rsidRPr="00F9522B" w:rsidRDefault="00611CBA">
            <w:pPr>
              <w:jc w:val="center"/>
              <w:rPr>
                <w:rFonts w:eastAsiaTheme="minorEastAsia"/>
                <w:szCs w:val="21"/>
              </w:rPr>
            </w:pPr>
            <w:r w:rsidRPr="00F9522B">
              <w:rPr>
                <w:rFonts w:eastAsiaTheme="minorEastAsia"/>
                <w:szCs w:val="21"/>
              </w:rPr>
              <w:t>调查时间</w:t>
            </w:r>
          </w:p>
        </w:tc>
        <w:tc>
          <w:tcPr>
            <w:tcW w:w="6385" w:type="dxa"/>
            <w:vAlign w:val="center"/>
          </w:tcPr>
          <w:p w:rsidR="002A5A5E" w:rsidRPr="00F9522B" w:rsidRDefault="00611CBA">
            <w:pPr>
              <w:rPr>
                <w:rFonts w:eastAsiaTheme="minorEastAsia"/>
                <w:szCs w:val="21"/>
              </w:rPr>
            </w:pPr>
            <w:r w:rsidRPr="00F9522B">
              <w:rPr>
                <w:rFonts w:eastAsiaTheme="minorEastAsia"/>
                <w:szCs w:val="21"/>
              </w:rPr>
              <w:t>春季</w:t>
            </w:r>
            <w:r w:rsidRPr="00F9522B">
              <w:rPr>
                <w:rFonts w:ascii="MS Mincho" w:eastAsia="MS Mincho" w:hAnsi="MS Mincho" w:cs="MS Mincho" w:hint="eastAsia"/>
                <w:szCs w:val="21"/>
              </w:rPr>
              <w:t>☑</w:t>
            </w:r>
            <w:r w:rsidRPr="00F9522B">
              <w:rPr>
                <w:rFonts w:eastAsiaTheme="minorEastAsia"/>
                <w:szCs w:val="21"/>
              </w:rPr>
              <w:t>；夏季</w:t>
            </w:r>
            <w:r w:rsidRPr="00F9522B">
              <w:rPr>
                <w:rFonts w:ascii="MS Mincho" w:eastAsia="MS Mincho" w:hAnsi="MS Mincho" w:cs="MS Mincho" w:hint="eastAsia"/>
                <w:szCs w:val="21"/>
              </w:rPr>
              <w:t>☑</w:t>
            </w:r>
            <w:r w:rsidRPr="00F9522B">
              <w:rPr>
                <w:rFonts w:eastAsiaTheme="minorEastAsia"/>
                <w:szCs w:val="21"/>
              </w:rPr>
              <w:t>；秋季</w:t>
            </w:r>
            <w:r w:rsidRPr="00F9522B">
              <w:rPr>
                <w:rFonts w:ascii="MS Mincho" w:eastAsia="MS Mincho" w:hAnsi="MS Mincho" w:cs="MS Mincho" w:hint="eastAsia"/>
                <w:szCs w:val="21"/>
              </w:rPr>
              <w:t>☑</w:t>
            </w:r>
            <w:r w:rsidRPr="00F9522B">
              <w:rPr>
                <w:rFonts w:eastAsiaTheme="minorEastAsia"/>
                <w:szCs w:val="21"/>
              </w:rPr>
              <w:t>；冬季</w:t>
            </w:r>
            <w:r w:rsidRPr="00F9522B">
              <w:rPr>
                <w:rFonts w:ascii="MS Mincho" w:eastAsia="MS Mincho" w:hAnsi="MS Mincho" w:cs="MS Mincho" w:hint="eastAsia"/>
                <w:szCs w:val="21"/>
              </w:rPr>
              <w:t>☑</w:t>
            </w:r>
          </w:p>
          <w:p w:rsidR="002A5A5E" w:rsidRPr="00F9522B" w:rsidRDefault="00611CBA">
            <w:pPr>
              <w:rPr>
                <w:rFonts w:eastAsiaTheme="minorEastAsia"/>
                <w:szCs w:val="21"/>
              </w:rPr>
            </w:pPr>
            <w:r w:rsidRPr="00F9522B">
              <w:rPr>
                <w:rFonts w:eastAsiaTheme="minorEastAsia"/>
                <w:szCs w:val="21"/>
              </w:rPr>
              <w:t>丰水期</w:t>
            </w:r>
            <w:r w:rsidRPr="00F9522B">
              <w:rPr>
                <w:rFonts w:eastAsiaTheme="minorEastAsia"/>
                <w:szCs w:val="21"/>
              </w:rPr>
              <w:t>□</w:t>
            </w:r>
            <w:r w:rsidRPr="00F9522B">
              <w:rPr>
                <w:rFonts w:eastAsiaTheme="minorEastAsia"/>
                <w:szCs w:val="21"/>
              </w:rPr>
              <w:t>；枯水期</w:t>
            </w:r>
            <w:r w:rsidRPr="00F9522B">
              <w:rPr>
                <w:rFonts w:eastAsiaTheme="minorEastAsia"/>
                <w:szCs w:val="21"/>
              </w:rPr>
              <w:t>□</w:t>
            </w:r>
            <w:r w:rsidRPr="00F9522B">
              <w:rPr>
                <w:rFonts w:eastAsiaTheme="minorEastAsia"/>
                <w:szCs w:val="21"/>
              </w:rPr>
              <w:t>；平水期</w:t>
            </w:r>
            <w:r w:rsidRPr="00F9522B">
              <w:rPr>
                <w:rFonts w:eastAsiaTheme="minorEastAsia"/>
                <w:szCs w:val="21"/>
              </w:rPr>
              <w:t>□</w:t>
            </w:r>
          </w:p>
        </w:tc>
      </w:tr>
      <w:tr w:rsidR="002A5A5E" w:rsidRPr="00F9522B">
        <w:trPr>
          <w:jc w:val="center"/>
        </w:trPr>
        <w:tc>
          <w:tcPr>
            <w:tcW w:w="839" w:type="dxa"/>
            <w:vMerge/>
            <w:vAlign w:val="center"/>
          </w:tcPr>
          <w:p w:rsidR="002A5A5E" w:rsidRPr="00F9522B" w:rsidRDefault="002A5A5E">
            <w:pPr>
              <w:jc w:val="center"/>
              <w:rPr>
                <w:rFonts w:eastAsiaTheme="minorEastAsia"/>
                <w:szCs w:val="21"/>
              </w:rPr>
            </w:pPr>
          </w:p>
        </w:tc>
        <w:tc>
          <w:tcPr>
            <w:tcW w:w="1304" w:type="dxa"/>
            <w:vAlign w:val="center"/>
          </w:tcPr>
          <w:p w:rsidR="002A5A5E" w:rsidRPr="00F9522B" w:rsidRDefault="00611CBA">
            <w:pPr>
              <w:jc w:val="center"/>
              <w:rPr>
                <w:rFonts w:eastAsiaTheme="minorEastAsia"/>
                <w:szCs w:val="21"/>
              </w:rPr>
            </w:pPr>
            <w:r w:rsidRPr="00F9522B">
              <w:rPr>
                <w:rFonts w:eastAsiaTheme="minorEastAsia"/>
                <w:szCs w:val="21"/>
              </w:rPr>
              <w:t>所在区域的生态问题</w:t>
            </w:r>
          </w:p>
        </w:tc>
        <w:tc>
          <w:tcPr>
            <w:tcW w:w="6385" w:type="dxa"/>
            <w:vAlign w:val="center"/>
          </w:tcPr>
          <w:p w:rsidR="002A5A5E" w:rsidRPr="00F9522B" w:rsidRDefault="00611CBA">
            <w:pPr>
              <w:rPr>
                <w:rFonts w:eastAsiaTheme="minorEastAsia"/>
                <w:szCs w:val="21"/>
              </w:rPr>
            </w:pPr>
            <w:r w:rsidRPr="00F9522B">
              <w:rPr>
                <w:rFonts w:eastAsiaTheme="minorEastAsia"/>
                <w:szCs w:val="21"/>
              </w:rPr>
              <w:t>水土流失</w:t>
            </w:r>
            <w:r w:rsidRPr="00F9522B">
              <w:rPr>
                <w:rFonts w:ascii="MS Mincho" w:eastAsia="MS Mincho" w:hAnsi="MS Mincho" w:cs="MS Mincho" w:hint="eastAsia"/>
                <w:szCs w:val="21"/>
              </w:rPr>
              <w:t>☑</w:t>
            </w:r>
            <w:r w:rsidRPr="00F9522B">
              <w:rPr>
                <w:rFonts w:eastAsiaTheme="minorEastAsia"/>
                <w:szCs w:val="21"/>
              </w:rPr>
              <w:t>；沙漠化</w:t>
            </w:r>
            <w:r w:rsidRPr="00F9522B">
              <w:rPr>
                <w:rFonts w:eastAsiaTheme="minorEastAsia"/>
                <w:szCs w:val="21"/>
              </w:rPr>
              <w:t>□</w:t>
            </w:r>
            <w:r w:rsidRPr="00F9522B">
              <w:rPr>
                <w:rFonts w:eastAsiaTheme="minorEastAsia"/>
                <w:szCs w:val="21"/>
              </w:rPr>
              <w:t>；石漠化</w:t>
            </w:r>
            <w:r w:rsidRPr="00F9522B">
              <w:rPr>
                <w:rFonts w:eastAsiaTheme="minorEastAsia"/>
                <w:szCs w:val="21"/>
              </w:rPr>
              <w:t>□</w:t>
            </w:r>
            <w:r w:rsidRPr="00F9522B">
              <w:rPr>
                <w:rFonts w:eastAsiaTheme="minorEastAsia"/>
                <w:szCs w:val="21"/>
              </w:rPr>
              <w:t>；盐渍化</w:t>
            </w:r>
            <w:r w:rsidRPr="00F9522B">
              <w:rPr>
                <w:rFonts w:eastAsiaTheme="minorEastAsia"/>
                <w:szCs w:val="21"/>
              </w:rPr>
              <w:t>□</w:t>
            </w:r>
            <w:r w:rsidRPr="00F9522B">
              <w:rPr>
                <w:rFonts w:eastAsiaTheme="minorEastAsia"/>
                <w:szCs w:val="21"/>
              </w:rPr>
              <w:t>；生物入侵</w:t>
            </w:r>
            <w:r w:rsidRPr="00F9522B">
              <w:rPr>
                <w:rFonts w:eastAsiaTheme="minorEastAsia"/>
                <w:szCs w:val="21"/>
              </w:rPr>
              <w:t>□</w:t>
            </w:r>
            <w:r w:rsidRPr="00F9522B">
              <w:rPr>
                <w:rFonts w:eastAsiaTheme="minorEastAsia"/>
                <w:szCs w:val="21"/>
              </w:rPr>
              <w:t>；污染危害</w:t>
            </w:r>
            <w:r w:rsidRPr="00F9522B">
              <w:rPr>
                <w:rFonts w:eastAsiaTheme="minorEastAsia"/>
                <w:szCs w:val="21"/>
              </w:rPr>
              <w:t>□</w:t>
            </w:r>
            <w:r w:rsidRPr="00F9522B">
              <w:rPr>
                <w:rFonts w:eastAsiaTheme="minorEastAsia"/>
                <w:szCs w:val="21"/>
              </w:rPr>
              <w:t>；其他</w:t>
            </w:r>
            <w:r w:rsidRPr="00F9522B">
              <w:rPr>
                <w:rFonts w:eastAsiaTheme="minorEastAsia"/>
                <w:szCs w:val="21"/>
              </w:rPr>
              <w:t>□</w:t>
            </w:r>
          </w:p>
        </w:tc>
      </w:tr>
      <w:tr w:rsidR="002A5A5E" w:rsidRPr="00F9522B">
        <w:trPr>
          <w:jc w:val="center"/>
        </w:trPr>
        <w:tc>
          <w:tcPr>
            <w:tcW w:w="839" w:type="dxa"/>
            <w:vMerge/>
            <w:vAlign w:val="center"/>
          </w:tcPr>
          <w:p w:rsidR="002A5A5E" w:rsidRPr="00F9522B" w:rsidRDefault="002A5A5E">
            <w:pPr>
              <w:jc w:val="center"/>
              <w:rPr>
                <w:rFonts w:eastAsiaTheme="minorEastAsia"/>
                <w:szCs w:val="21"/>
              </w:rPr>
            </w:pPr>
          </w:p>
        </w:tc>
        <w:tc>
          <w:tcPr>
            <w:tcW w:w="1304" w:type="dxa"/>
            <w:vAlign w:val="center"/>
          </w:tcPr>
          <w:p w:rsidR="002A5A5E" w:rsidRPr="00F9522B" w:rsidRDefault="00611CBA">
            <w:pPr>
              <w:jc w:val="center"/>
              <w:rPr>
                <w:rFonts w:eastAsiaTheme="minorEastAsia"/>
                <w:szCs w:val="21"/>
              </w:rPr>
            </w:pPr>
            <w:r w:rsidRPr="00F9522B">
              <w:rPr>
                <w:rFonts w:eastAsiaTheme="minorEastAsia"/>
                <w:szCs w:val="21"/>
              </w:rPr>
              <w:t>评价内容</w:t>
            </w:r>
          </w:p>
        </w:tc>
        <w:tc>
          <w:tcPr>
            <w:tcW w:w="6385" w:type="dxa"/>
            <w:vAlign w:val="center"/>
          </w:tcPr>
          <w:p w:rsidR="002A5A5E" w:rsidRPr="00F9522B" w:rsidRDefault="00611CBA">
            <w:pPr>
              <w:rPr>
                <w:rFonts w:eastAsiaTheme="minorEastAsia"/>
                <w:szCs w:val="21"/>
              </w:rPr>
            </w:pPr>
            <w:r w:rsidRPr="00F9522B">
              <w:rPr>
                <w:rFonts w:eastAsiaTheme="minorEastAsia"/>
                <w:szCs w:val="21"/>
              </w:rPr>
              <w:t>植被</w:t>
            </w:r>
            <w:r w:rsidRPr="00F9522B">
              <w:rPr>
                <w:rFonts w:eastAsiaTheme="minorEastAsia"/>
                <w:szCs w:val="21"/>
              </w:rPr>
              <w:t>/</w:t>
            </w:r>
            <w:r w:rsidRPr="00F9522B">
              <w:rPr>
                <w:rFonts w:eastAsiaTheme="minorEastAsia"/>
                <w:szCs w:val="21"/>
              </w:rPr>
              <w:t>植物群落</w:t>
            </w:r>
            <w:r w:rsidRPr="00F9522B">
              <w:rPr>
                <w:rFonts w:ascii="MS Mincho" w:eastAsia="MS Mincho" w:hAnsi="MS Mincho" w:cs="MS Mincho" w:hint="eastAsia"/>
                <w:szCs w:val="21"/>
              </w:rPr>
              <w:t>☑</w:t>
            </w:r>
            <w:r w:rsidRPr="00F9522B">
              <w:rPr>
                <w:rFonts w:eastAsiaTheme="minorEastAsia"/>
                <w:szCs w:val="21"/>
              </w:rPr>
              <w:t>；土地利用</w:t>
            </w:r>
            <w:r w:rsidRPr="00F9522B">
              <w:rPr>
                <w:rFonts w:ascii="MS Mincho" w:eastAsia="MS Mincho" w:hAnsi="MS Mincho" w:cs="MS Mincho" w:hint="eastAsia"/>
                <w:szCs w:val="21"/>
              </w:rPr>
              <w:t>☑</w:t>
            </w:r>
            <w:r w:rsidRPr="00F9522B">
              <w:rPr>
                <w:rFonts w:eastAsiaTheme="minorEastAsia"/>
                <w:szCs w:val="21"/>
              </w:rPr>
              <w:t>；生态系统</w:t>
            </w:r>
            <w:r w:rsidRPr="00F9522B">
              <w:rPr>
                <w:rFonts w:ascii="MS Mincho" w:eastAsia="MS Mincho" w:hAnsi="MS Mincho" w:cs="MS Mincho" w:hint="eastAsia"/>
              </w:rPr>
              <w:t>☑</w:t>
            </w:r>
            <w:r w:rsidRPr="00F9522B">
              <w:rPr>
                <w:rFonts w:eastAsiaTheme="minorEastAsia"/>
                <w:szCs w:val="21"/>
              </w:rPr>
              <w:t>；生物多样性</w:t>
            </w:r>
            <w:r w:rsidRPr="00F9522B">
              <w:rPr>
                <w:rFonts w:ascii="MS Mincho" w:eastAsia="MS Mincho" w:hAnsi="MS Mincho" w:cs="MS Mincho" w:hint="eastAsia"/>
              </w:rPr>
              <w:t>☑</w:t>
            </w:r>
            <w:r w:rsidRPr="00F9522B">
              <w:rPr>
                <w:rFonts w:eastAsiaTheme="minorEastAsia"/>
                <w:szCs w:val="21"/>
              </w:rPr>
              <w:t>；重要物种</w:t>
            </w:r>
            <w:r w:rsidRPr="00F9522B">
              <w:rPr>
                <w:rFonts w:ascii="MS Mincho" w:eastAsia="MS Mincho" w:hAnsi="MS Mincho" w:cs="MS Mincho" w:hint="eastAsia"/>
                <w:szCs w:val="21"/>
              </w:rPr>
              <w:t>☑</w:t>
            </w:r>
            <w:r w:rsidRPr="00F9522B">
              <w:rPr>
                <w:rFonts w:eastAsiaTheme="minorEastAsia"/>
                <w:szCs w:val="21"/>
              </w:rPr>
              <w:t>；生态敏感区</w:t>
            </w:r>
            <w:r w:rsidRPr="00F9522B">
              <w:rPr>
                <w:rFonts w:eastAsiaTheme="minorEastAsia"/>
                <w:szCs w:val="21"/>
              </w:rPr>
              <w:t>□</w:t>
            </w:r>
            <w:r w:rsidRPr="00F9522B">
              <w:rPr>
                <w:rFonts w:eastAsiaTheme="minorEastAsia"/>
                <w:szCs w:val="21"/>
              </w:rPr>
              <w:t>；其他</w:t>
            </w:r>
            <w:r w:rsidRPr="00F9522B">
              <w:rPr>
                <w:rFonts w:ascii="MS Mincho" w:eastAsia="MS Mincho" w:hAnsi="MS Mincho" w:cs="MS Mincho" w:hint="eastAsia"/>
                <w:szCs w:val="21"/>
              </w:rPr>
              <w:t>☑</w:t>
            </w:r>
          </w:p>
        </w:tc>
      </w:tr>
      <w:tr w:rsidR="002A5A5E" w:rsidRPr="00F9522B">
        <w:trPr>
          <w:jc w:val="center"/>
        </w:trPr>
        <w:tc>
          <w:tcPr>
            <w:tcW w:w="839" w:type="dxa"/>
            <w:vMerge w:val="restart"/>
            <w:vAlign w:val="center"/>
          </w:tcPr>
          <w:p w:rsidR="002A5A5E" w:rsidRPr="00F9522B" w:rsidRDefault="00611CBA">
            <w:pPr>
              <w:jc w:val="center"/>
              <w:rPr>
                <w:rFonts w:eastAsiaTheme="minorEastAsia"/>
                <w:szCs w:val="21"/>
              </w:rPr>
            </w:pPr>
            <w:r w:rsidRPr="00F9522B">
              <w:rPr>
                <w:rFonts w:eastAsiaTheme="minorEastAsia"/>
                <w:szCs w:val="21"/>
              </w:rPr>
              <w:t>生态影响预测与评价</w:t>
            </w:r>
          </w:p>
        </w:tc>
        <w:tc>
          <w:tcPr>
            <w:tcW w:w="1304" w:type="dxa"/>
            <w:vAlign w:val="center"/>
          </w:tcPr>
          <w:p w:rsidR="002A5A5E" w:rsidRPr="00F9522B" w:rsidRDefault="00611CBA">
            <w:pPr>
              <w:jc w:val="center"/>
              <w:rPr>
                <w:rFonts w:eastAsiaTheme="minorEastAsia"/>
                <w:szCs w:val="21"/>
              </w:rPr>
            </w:pPr>
            <w:r w:rsidRPr="00F9522B">
              <w:rPr>
                <w:rFonts w:eastAsiaTheme="minorEastAsia"/>
                <w:szCs w:val="21"/>
              </w:rPr>
              <w:t>评价方法</w:t>
            </w:r>
          </w:p>
        </w:tc>
        <w:tc>
          <w:tcPr>
            <w:tcW w:w="6385" w:type="dxa"/>
            <w:vAlign w:val="center"/>
          </w:tcPr>
          <w:p w:rsidR="002A5A5E" w:rsidRPr="00F9522B" w:rsidRDefault="00611CBA">
            <w:pPr>
              <w:rPr>
                <w:rFonts w:eastAsiaTheme="minorEastAsia"/>
                <w:szCs w:val="21"/>
              </w:rPr>
            </w:pPr>
            <w:r w:rsidRPr="00F9522B">
              <w:rPr>
                <w:rFonts w:eastAsiaTheme="minorEastAsia"/>
                <w:szCs w:val="21"/>
              </w:rPr>
              <w:t>定性</w:t>
            </w:r>
            <w:r w:rsidRPr="00F9522B">
              <w:rPr>
                <w:rFonts w:ascii="MS Mincho" w:eastAsia="MS Mincho" w:hAnsi="MS Mincho" w:cs="MS Mincho" w:hint="eastAsia"/>
                <w:szCs w:val="21"/>
              </w:rPr>
              <w:t>☑</w:t>
            </w:r>
            <w:r w:rsidRPr="00F9522B">
              <w:rPr>
                <w:rFonts w:eastAsiaTheme="minorEastAsia"/>
                <w:szCs w:val="21"/>
              </w:rPr>
              <w:t>；定性和定量</w:t>
            </w:r>
            <w:r w:rsidRPr="00F9522B">
              <w:rPr>
                <w:rFonts w:eastAsiaTheme="minorEastAsia"/>
                <w:szCs w:val="21"/>
              </w:rPr>
              <w:t>□</w:t>
            </w:r>
          </w:p>
        </w:tc>
      </w:tr>
      <w:tr w:rsidR="002A5A5E" w:rsidRPr="00F9522B">
        <w:trPr>
          <w:jc w:val="center"/>
        </w:trPr>
        <w:tc>
          <w:tcPr>
            <w:tcW w:w="839" w:type="dxa"/>
            <w:vMerge/>
            <w:vAlign w:val="center"/>
          </w:tcPr>
          <w:p w:rsidR="002A5A5E" w:rsidRPr="00F9522B" w:rsidRDefault="002A5A5E">
            <w:pPr>
              <w:jc w:val="center"/>
              <w:rPr>
                <w:rFonts w:eastAsiaTheme="minorEastAsia"/>
                <w:szCs w:val="21"/>
              </w:rPr>
            </w:pPr>
          </w:p>
        </w:tc>
        <w:tc>
          <w:tcPr>
            <w:tcW w:w="1304" w:type="dxa"/>
            <w:vAlign w:val="center"/>
          </w:tcPr>
          <w:p w:rsidR="002A5A5E" w:rsidRPr="00F9522B" w:rsidRDefault="00611CBA">
            <w:pPr>
              <w:jc w:val="center"/>
              <w:rPr>
                <w:rFonts w:eastAsiaTheme="minorEastAsia"/>
                <w:szCs w:val="21"/>
              </w:rPr>
            </w:pPr>
            <w:r w:rsidRPr="00F9522B">
              <w:rPr>
                <w:rFonts w:eastAsiaTheme="minorEastAsia"/>
                <w:szCs w:val="21"/>
              </w:rPr>
              <w:t>评价内容</w:t>
            </w:r>
          </w:p>
        </w:tc>
        <w:tc>
          <w:tcPr>
            <w:tcW w:w="6385" w:type="dxa"/>
            <w:vAlign w:val="center"/>
          </w:tcPr>
          <w:p w:rsidR="002A5A5E" w:rsidRPr="00F9522B" w:rsidRDefault="00611CBA">
            <w:pPr>
              <w:rPr>
                <w:rFonts w:eastAsiaTheme="minorEastAsia"/>
                <w:szCs w:val="21"/>
              </w:rPr>
            </w:pPr>
            <w:r w:rsidRPr="00F9522B">
              <w:rPr>
                <w:rFonts w:eastAsiaTheme="minorEastAsia"/>
                <w:szCs w:val="21"/>
              </w:rPr>
              <w:t>植被</w:t>
            </w:r>
            <w:r w:rsidRPr="00F9522B">
              <w:rPr>
                <w:rFonts w:eastAsiaTheme="minorEastAsia"/>
                <w:szCs w:val="21"/>
              </w:rPr>
              <w:t>/</w:t>
            </w:r>
            <w:r w:rsidRPr="00F9522B">
              <w:rPr>
                <w:rFonts w:eastAsiaTheme="minorEastAsia"/>
                <w:szCs w:val="21"/>
              </w:rPr>
              <w:t>植物群落</w:t>
            </w:r>
            <w:r w:rsidRPr="00F9522B">
              <w:rPr>
                <w:rFonts w:ascii="MS Mincho" w:eastAsia="MS Mincho" w:hAnsi="MS Mincho" w:cs="MS Mincho" w:hint="eastAsia"/>
                <w:szCs w:val="21"/>
              </w:rPr>
              <w:t>☑</w:t>
            </w:r>
            <w:r w:rsidRPr="00F9522B">
              <w:rPr>
                <w:rFonts w:eastAsiaTheme="minorEastAsia"/>
                <w:szCs w:val="21"/>
              </w:rPr>
              <w:t>；土地利用</w:t>
            </w:r>
            <w:r w:rsidRPr="00F9522B">
              <w:rPr>
                <w:rFonts w:ascii="MS Mincho" w:eastAsia="MS Mincho" w:hAnsi="MS Mincho" w:cs="MS Mincho" w:hint="eastAsia"/>
                <w:szCs w:val="21"/>
              </w:rPr>
              <w:t>☑</w:t>
            </w:r>
            <w:r w:rsidRPr="00F9522B">
              <w:rPr>
                <w:rFonts w:eastAsiaTheme="minorEastAsia"/>
                <w:szCs w:val="21"/>
              </w:rPr>
              <w:t>；生态系统</w:t>
            </w:r>
            <w:r w:rsidRPr="00F9522B">
              <w:rPr>
                <w:rFonts w:ascii="MS Mincho" w:eastAsia="MS Mincho" w:hAnsi="MS Mincho" w:cs="MS Mincho" w:hint="eastAsia"/>
                <w:szCs w:val="21"/>
              </w:rPr>
              <w:t>☑</w:t>
            </w:r>
            <w:r w:rsidRPr="00F9522B">
              <w:rPr>
                <w:rFonts w:eastAsiaTheme="minorEastAsia"/>
                <w:szCs w:val="21"/>
              </w:rPr>
              <w:t>；生物多样性</w:t>
            </w:r>
            <w:r w:rsidRPr="00F9522B">
              <w:rPr>
                <w:rFonts w:ascii="MS Mincho" w:eastAsia="MS Mincho" w:hAnsi="MS Mincho" w:cs="MS Mincho" w:hint="eastAsia"/>
                <w:szCs w:val="21"/>
              </w:rPr>
              <w:t>☑</w:t>
            </w:r>
            <w:r w:rsidRPr="00F9522B">
              <w:rPr>
                <w:rFonts w:eastAsiaTheme="minorEastAsia"/>
                <w:szCs w:val="21"/>
              </w:rPr>
              <w:t>；重要物种</w:t>
            </w:r>
            <w:r w:rsidRPr="00F9522B">
              <w:rPr>
                <w:rFonts w:ascii="MS Mincho" w:eastAsia="MS Mincho" w:hAnsi="MS Mincho" w:cs="MS Mincho" w:hint="eastAsia"/>
                <w:szCs w:val="21"/>
              </w:rPr>
              <w:t>☑</w:t>
            </w:r>
            <w:r w:rsidRPr="00F9522B">
              <w:rPr>
                <w:rFonts w:eastAsiaTheme="minorEastAsia"/>
                <w:szCs w:val="21"/>
              </w:rPr>
              <w:t>；生态敏感区</w:t>
            </w:r>
            <w:r w:rsidRPr="00F9522B">
              <w:rPr>
                <w:rFonts w:eastAsiaTheme="minorEastAsia"/>
                <w:szCs w:val="21"/>
              </w:rPr>
              <w:t>□</w:t>
            </w:r>
            <w:r w:rsidRPr="00F9522B">
              <w:rPr>
                <w:rFonts w:eastAsiaTheme="minorEastAsia"/>
                <w:szCs w:val="21"/>
              </w:rPr>
              <w:t>；生物入侵风险</w:t>
            </w:r>
            <w:r w:rsidRPr="00F9522B">
              <w:rPr>
                <w:rFonts w:eastAsiaTheme="minorEastAsia"/>
                <w:szCs w:val="21"/>
              </w:rPr>
              <w:t>□</w:t>
            </w:r>
            <w:r w:rsidRPr="00F9522B">
              <w:rPr>
                <w:rFonts w:eastAsiaTheme="minorEastAsia"/>
                <w:szCs w:val="21"/>
              </w:rPr>
              <w:t>；其他</w:t>
            </w:r>
            <w:r w:rsidRPr="00F9522B">
              <w:rPr>
                <w:rFonts w:ascii="MS Mincho" w:eastAsia="MS Mincho" w:hAnsi="MS Mincho" w:cs="MS Mincho" w:hint="eastAsia"/>
                <w:szCs w:val="21"/>
              </w:rPr>
              <w:t>☑</w:t>
            </w:r>
          </w:p>
        </w:tc>
      </w:tr>
      <w:tr w:rsidR="002A5A5E" w:rsidRPr="00F9522B">
        <w:trPr>
          <w:jc w:val="center"/>
        </w:trPr>
        <w:tc>
          <w:tcPr>
            <w:tcW w:w="839" w:type="dxa"/>
            <w:vMerge w:val="restart"/>
            <w:vAlign w:val="center"/>
          </w:tcPr>
          <w:p w:rsidR="002A5A5E" w:rsidRPr="00F9522B" w:rsidRDefault="00611CBA">
            <w:pPr>
              <w:jc w:val="center"/>
              <w:rPr>
                <w:rFonts w:eastAsiaTheme="minorEastAsia"/>
                <w:szCs w:val="21"/>
              </w:rPr>
            </w:pPr>
            <w:r w:rsidRPr="00F9522B">
              <w:rPr>
                <w:rFonts w:eastAsiaTheme="minorEastAsia"/>
                <w:szCs w:val="21"/>
              </w:rPr>
              <w:t>生态保护对策措施</w:t>
            </w:r>
          </w:p>
        </w:tc>
        <w:tc>
          <w:tcPr>
            <w:tcW w:w="1304" w:type="dxa"/>
            <w:vAlign w:val="center"/>
          </w:tcPr>
          <w:p w:rsidR="002A5A5E" w:rsidRPr="00F9522B" w:rsidRDefault="00611CBA">
            <w:pPr>
              <w:jc w:val="center"/>
              <w:rPr>
                <w:rFonts w:eastAsiaTheme="minorEastAsia"/>
                <w:szCs w:val="21"/>
              </w:rPr>
            </w:pPr>
            <w:r w:rsidRPr="00F9522B">
              <w:rPr>
                <w:rFonts w:eastAsiaTheme="minorEastAsia"/>
                <w:szCs w:val="21"/>
              </w:rPr>
              <w:t>对策措施</w:t>
            </w:r>
          </w:p>
        </w:tc>
        <w:tc>
          <w:tcPr>
            <w:tcW w:w="6385" w:type="dxa"/>
            <w:vAlign w:val="center"/>
          </w:tcPr>
          <w:p w:rsidR="002A5A5E" w:rsidRPr="00F9522B" w:rsidRDefault="00611CBA">
            <w:pPr>
              <w:rPr>
                <w:rFonts w:eastAsiaTheme="minorEastAsia"/>
                <w:szCs w:val="21"/>
              </w:rPr>
            </w:pPr>
            <w:r w:rsidRPr="00F9522B">
              <w:rPr>
                <w:rFonts w:eastAsiaTheme="minorEastAsia"/>
                <w:szCs w:val="21"/>
              </w:rPr>
              <w:t>避让</w:t>
            </w:r>
            <w:r w:rsidRPr="00F9522B">
              <w:rPr>
                <w:rFonts w:eastAsiaTheme="minorEastAsia"/>
                <w:szCs w:val="21"/>
              </w:rPr>
              <w:t>□</w:t>
            </w:r>
            <w:r w:rsidRPr="00F9522B">
              <w:rPr>
                <w:rFonts w:eastAsiaTheme="minorEastAsia"/>
                <w:szCs w:val="21"/>
              </w:rPr>
              <w:t>；减缓</w:t>
            </w:r>
            <w:r w:rsidRPr="00F9522B">
              <w:rPr>
                <w:rFonts w:ascii="MS Mincho" w:eastAsia="MS Mincho" w:hAnsi="MS Mincho" w:cs="MS Mincho" w:hint="eastAsia"/>
                <w:szCs w:val="21"/>
              </w:rPr>
              <w:t>☑</w:t>
            </w:r>
            <w:r w:rsidRPr="00F9522B">
              <w:rPr>
                <w:rFonts w:eastAsiaTheme="minorEastAsia"/>
                <w:szCs w:val="21"/>
              </w:rPr>
              <w:t>；生态修复</w:t>
            </w:r>
            <w:r w:rsidRPr="00F9522B">
              <w:rPr>
                <w:rFonts w:ascii="MS Mincho" w:eastAsia="MS Mincho" w:hAnsi="MS Mincho" w:cs="MS Mincho" w:hint="eastAsia"/>
                <w:szCs w:val="21"/>
              </w:rPr>
              <w:t>☑</w:t>
            </w:r>
            <w:r w:rsidRPr="00F9522B">
              <w:rPr>
                <w:rFonts w:eastAsiaTheme="minorEastAsia"/>
                <w:szCs w:val="21"/>
              </w:rPr>
              <w:t>；生态补偿</w:t>
            </w:r>
            <w:r w:rsidRPr="00F9522B">
              <w:rPr>
                <w:rFonts w:eastAsiaTheme="minorEastAsia"/>
                <w:szCs w:val="21"/>
              </w:rPr>
              <w:t>□</w:t>
            </w:r>
            <w:r w:rsidRPr="00F9522B">
              <w:rPr>
                <w:rFonts w:eastAsiaTheme="minorEastAsia"/>
                <w:szCs w:val="21"/>
              </w:rPr>
              <w:t>；科研</w:t>
            </w:r>
            <w:r w:rsidRPr="00F9522B">
              <w:rPr>
                <w:rFonts w:eastAsiaTheme="minorEastAsia"/>
                <w:szCs w:val="21"/>
              </w:rPr>
              <w:t>□</w:t>
            </w:r>
            <w:r w:rsidRPr="00F9522B">
              <w:rPr>
                <w:rFonts w:eastAsiaTheme="minorEastAsia"/>
                <w:szCs w:val="21"/>
              </w:rPr>
              <w:t>；其他</w:t>
            </w:r>
            <w:r w:rsidRPr="00F9522B">
              <w:rPr>
                <w:rFonts w:eastAsiaTheme="minorEastAsia"/>
                <w:szCs w:val="21"/>
              </w:rPr>
              <w:t>□</w:t>
            </w:r>
          </w:p>
        </w:tc>
      </w:tr>
      <w:tr w:rsidR="002A5A5E" w:rsidRPr="00F9522B">
        <w:trPr>
          <w:jc w:val="center"/>
        </w:trPr>
        <w:tc>
          <w:tcPr>
            <w:tcW w:w="839" w:type="dxa"/>
            <w:vMerge/>
            <w:vAlign w:val="center"/>
          </w:tcPr>
          <w:p w:rsidR="002A5A5E" w:rsidRPr="00F9522B" w:rsidRDefault="002A5A5E">
            <w:pPr>
              <w:jc w:val="center"/>
              <w:rPr>
                <w:rFonts w:eastAsiaTheme="minorEastAsia"/>
                <w:szCs w:val="21"/>
              </w:rPr>
            </w:pPr>
          </w:p>
        </w:tc>
        <w:tc>
          <w:tcPr>
            <w:tcW w:w="1304" w:type="dxa"/>
            <w:vAlign w:val="center"/>
          </w:tcPr>
          <w:p w:rsidR="002A5A5E" w:rsidRPr="00F9522B" w:rsidRDefault="00611CBA">
            <w:pPr>
              <w:jc w:val="center"/>
              <w:rPr>
                <w:rFonts w:eastAsiaTheme="minorEastAsia"/>
                <w:szCs w:val="21"/>
              </w:rPr>
            </w:pPr>
            <w:r w:rsidRPr="00F9522B">
              <w:rPr>
                <w:rFonts w:eastAsiaTheme="minorEastAsia"/>
                <w:szCs w:val="21"/>
              </w:rPr>
              <w:t>生态监测</w:t>
            </w:r>
          </w:p>
          <w:p w:rsidR="002A5A5E" w:rsidRPr="00F9522B" w:rsidRDefault="00611CBA">
            <w:pPr>
              <w:jc w:val="center"/>
              <w:rPr>
                <w:rFonts w:eastAsiaTheme="minorEastAsia"/>
                <w:szCs w:val="21"/>
              </w:rPr>
            </w:pPr>
            <w:r w:rsidRPr="00F9522B">
              <w:rPr>
                <w:rFonts w:eastAsiaTheme="minorEastAsia"/>
                <w:szCs w:val="21"/>
              </w:rPr>
              <w:t>计划</w:t>
            </w:r>
          </w:p>
        </w:tc>
        <w:tc>
          <w:tcPr>
            <w:tcW w:w="6385" w:type="dxa"/>
            <w:vAlign w:val="center"/>
          </w:tcPr>
          <w:p w:rsidR="002A5A5E" w:rsidRPr="00F9522B" w:rsidRDefault="00611CBA">
            <w:pPr>
              <w:rPr>
                <w:rFonts w:eastAsiaTheme="minorEastAsia"/>
                <w:szCs w:val="21"/>
              </w:rPr>
            </w:pPr>
            <w:r w:rsidRPr="00F9522B">
              <w:rPr>
                <w:rFonts w:eastAsiaTheme="minorEastAsia"/>
                <w:szCs w:val="21"/>
              </w:rPr>
              <w:t>全生命周期</w:t>
            </w:r>
            <w:r w:rsidRPr="00F9522B">
              <w:rPr>
                <w:rFonts w:eastAsiaTheme="minorEastAsia"/>
                <w:szCs w:val="21"/>
              </w:rPr>
              <w:t>□</w:t>
            </w:r>
            <w:r w:rsidRPr="00F9522B">
              <w:rPr>
                <w:rFonts w:eastAsiaTheme="minorEastAsia"/>
                <w:szCs w:val="21"/>
              </w:rPr>
              <w:t>；长期跟踪</w:t>
            </w:r>
            <w:r w:rsidRPr="00F9522B">
              <w:rPr>
                <w:rFonts w:eastAsiaTheme="minorEastAsia"/>
                <w:szCs w:val="21"/>
              </w:rPr>
              <w:t>□</w:t>
            </w:r>
            <w:r w:rsidRPr="00F9522B">
              <w:rPr>
                <w:rFonts w:eastAsiaTheme="minorEastAsia"/>
                <w:szCs w:val="21"/>
              </w:rPr>
              <w:t>；常规</w:t>
            </w:r>
            <w:r w:rsidRPr="00F9522B">
              <w:rPr>
                <w:rFonts w:ascii="MS Mincho" w:eastAsia="MS Mincho" w:hAnsi="MS Mincho" w:cs="MS Mincho" w:hint="eastAsia"/>
                <w:szCs w:val="21"/>
              </w:rPr>
              <w:t>☑</w:t>
            </w:r>
            <w:r w:rsidRPr="00F9522B">
              <w:rPr>
                <w:rFonts w:eastAsiaTheme="minorEastAsia"/>
                <w:szCs w:val="21"/>
              </w:rPr>
              <w:t>；无</w:t>
            </w:r>
            <w:r w:rsidRPr="00F9522B">
              <w:rPr>
                <w:rFonts w:eastAsiaTheme="minorEastAsia"/>
                <w:szCs w:val="21"/>
              </w:rPr>
              <w:t>□</w:t>
            </w:r>
          </w:p>
        </w:tc>
      </w:tr>
      <w:tr w:rsidR="002A5A5E" w:rsidRPr="00F9522B">
        <w:trPr>
          <w:jc w:val="center"/>
        </w:trPr>
        <w:tc>
          <w:tcPr>
            <w:tcW w:w="839" w:type="dxa"/>
            <w:vMerge/>
            <w:vAlign w:val="center"/>
          </w:tcPr>
          <w:p w:rsidR="002A5A5E" w:rsidRPr="00F9522B" w:rsidRDefault="002A5A5E">
            <w:pPr>
              <w:jc w:val="center"/>
              <w:rPr>
                <w:rFonts w:eastAsiaTheme="minorEastAsia"/>
                <w:szCs w:val="21"/>
              </w:rPr>
            </w:pPr>
          </w:p>
        </w:tc>
        <w:tc>
          <w:tcPr>
            <w:tcW w:w="1304" w:type="dxa"/>
            <w:vAlign w:val="center"/>
          </w:tcPr>
          <w:p w:rsidR="002A5A5E" w:rsidRPr="00F9522B" w:rsidRDefault="00611CBA">
            <w:pPr>
              <w:jc w:val="center"/>
              <w:rPr>
                <w:rFonts w:eastAsiaTheme="minorEastAsia"/>
                <w:szCs w:val="21"/>
              </w:rPr>
            </w:pPr>
            <w:r w:rsidRPr="00F9522B">
              <w:rPr>
                <w:rFonts w:eastAsiaTheme="minorEastAsia"/>
                <w:szCs w:val="21"/>
              </w:rPr>
              <w:t>环境管理</w:t>
            </w:r>
          </w:p>
        </w:tc>
        <w:tc>
          <w:tcPr>
            <w:tcW w:w="6385" w:type="dxa"/>
            <w:vAlign w:val="center"/>
          </w:tcPr>
          <w:p w:rsidR="002A5A5E" w:rsidRPr="00F9522B" w:rsidRDefault="00611CBA">
            <w:pPr>
              <w:rPr>
                <w:rFonts w:eastAsiaTheme="minorEastAsia"/>
                <w:szCs w:val="21"/>
              </w:rPr>
            </w:pPr>
            <w:r w:rsidRPr="00F9522B">
              <w:rPr>
                <w:rFonts w:eastAsiaTheme="minorEastAsia"/>
                <w:szCs w:val="21"/>
              </w:rPr>
              <w:t>环境监理</w:t>
            </w:r>
            <w:r w:rsidRPr="00F9522B">
              <w:rPr>
                <w:rFonts w:ascii="MS Mincho" w:eastAsia="MS Mincho" w:hAnsi="MS Mincho" w:cs="MS Mincho" w:hint="eastAsia"/>
                <w:szCs w:val="21"/>
              </w:rPr>
              <w:t>☑</w:t>
            </w:r>
            <w:r w:rsidRPr="00F9522B">
              <w:rPr>
                <w:rFonts w:eastAsiaTheme="minorEastAsia"/>
                <w:szCs w:val="21"/>
              </w:rPr>
              <w:t>；环境影响后评价</w:t>
            </w:r>
            <w:r w:rsidRPr="00F9522B">
              <w:rPr>
                <w:rFonts w:eastAsiaTheme="minorEastAsia"/>
                <w:szCs w:val="21"/>
              </w:rPr>
              <w:t>□</w:t>
            </w:r>
            <w:r w:rsidRPr="00F9522B">
              <w:rPr>
                <w:rFonts w:eastAsiaTheme="minorEastAsia"/>
                <w:szCs w:val="21"/>
              </w:rPr>
              <w:t>；其他</w:t>
            </w:r>
            <w:r w:rsidRPr="00F9522B">
              <w:rPr>
                <w:rFonts w:eastAsiaTheme="minorEastAsia"/>
                <w:szCs w:val="21"/>
              </w:rPr>
              <w:t>□</w:t>
            </w:r>
          </w:p>
        </w:tc>
      </w:tr>
      <w:tr w:rsidR="002A5A5E" w:rsidRPr="00F9522B">
        <w:trPr>
          <w:jc w:val="center"/>
        </w:trPr>
        <w:tc>
          <w:tcPr>
            <w:tcW w:w="839" w:type="dxa"/>
            <w:vAlign w:val="center"/>
          </w:tcPr>
          <w:p w:rsidR="002A5A5E" w:rsidRPr="00F9522B" w:rsidRDefault="00611CBA">
            <w:pPr>
              <w:jc w:val="center"/>
              <w:rPr>
                <w:rFonts w:eastAsiaTheme="minorEastAsia"/>
                <w:szCs w:val="21"/>
              </w:rPr>
            </w:pPr>
            <w:r w:rsidRPr="00F9522B">
              <w:rPr>
                <w:rFonts w:eastAsiaTheme="minorEastAsia"/>
                <w:szCs w:val="21"/>
              </w:rPr>
              <w:t>评价</w:t>
            </w:r>
          </w:p>
          <w:p w:rsidR="002A5A5E" w:rsidRPr="00F9522B" w:rsidRDefault="00611CBA">
            <w:pPr>
              <w:jc w:val="center"/>
              <w:rPr>
                <w:rFonts w:eastAsiaTheme="minorEastAsia"/>
                <w:szCs w:val="21"/>
              </w:rPr>
            </w:pPr>
            <w:r w:rsidRPr="00F9522B">
              <w:rPr>
                <w:rFonts w:eastAsiaTheme="minorEastAsia"/>
                <w:szCs w:val="21"/>
              </w:rPr>
              <w:t>结论</w:t>
            </w:r>
          </w:p>
        </w:tc>
        <w:tc>
          <w:tcPr>
            <w:tcW w:w="1304" w:type="dxa"/>
            <w:vAlign w:val="center"/>
          </w:tcPr>
          <w:p w:rsidR="002A5A5E" w:rsidRPr="00F9522B" w:rsidRDefault="00611CBA">
            <w:pPr>
              <w:jc w:val="center"/>
              <w:rPr>
                <w:rFonts w:eastAsiaTheme="minorEastAsia"/>
                <w:szCs w:val="21"/>
              </w:rPr>
            </w:pPr>
            <w:r w:rsidRPr="00F9522B">
              <w:rPr>
                <w:rFonts w:eastAsiaTheme="minorEastAsia"/>
                <w:szCs w:val="21"/>
              </w:rPr>
              <w:t>生态影响</w:t>
            </w:r>
          </w:p>
        </w:tc>
        <w:tc>
          <w:tcPr>
            <w:tcW w:w="6385" w:type="dxa"/>
            <w:vAlign w:val="center"/>
          </w:tcPr>
          <w:p w:rsidR="002A5A5E" w:rsidRPr="00F9522B" w:rsidRDefault="00611CBA">
            <w:pPr>
              <w:rPr>
                <w:rFonts w:eastAsiaTheme="minorEastAsia"/>
                <w:szCs w:val="21"/>
              </w:rPr>
            </w:pPr>
            <w:r w:rsidRPr="00F9522B">
              <w:rPr>
                <w:rFonts w:eastAsiaTheme="minorEastAsia"/>
                <w:szCs w:val="21"/>
              </w:rPr>
              <w:t>可行</w:t>
            </w:r>
            <w:r w:rsidRPr="00F9522B">
              <w:rPr>
                <w:rFonts w:ascii="MS Mincho" w:eastAsia="MS Mincho" w:hAnsi="MS Mincho" w:cs="MS Mincho" w:hint="eastAsia"/>
                <w:szCs w:val="21"/>
              </w:rPr>
              <w:t>☑</w:t>
            </w:r>
            <w:r w:rsidRPr="00F9522B">
              <w:rPr>
                <w:rFonts w:eastAsiaTheme="minorEastAsia"/>
                <w:szCs w:val="21"/>
              </w:rPr>
              <w:t>；不可行</w:t>
            </w:r>
            <w:r w:rsidRPr="00F9522B">
              <w:rPr>
                <w:rFonts w:eastAsiaTheme="minorEastAsia"/>
                <w:szCs w:val="21"/>
              </w:rPr>
              <w:t>□</w:t>
            </w:r>
          </w:p>
        </w:tc>
      </w:tr>
      <w:tr w:rsidR="002A5A5E" w:rsidRPr="00F9522B">
        <w:trPr>
          <w:jc w:val="center"/>
        </w:trPr>
        <w:tc>
          <w:tcPr>
            <w:tcW w:w="8528" w:type="dxa"/>
            <w:gridSpan w:val="3"/>
            <w:vAlign w:val="center"/>
          </w:tcPr>
          <w:p w:rsidR="002A5A5E" w:rsidRPr="00F9522B" w:rsidRDefault="00611CBA">
            <w:pPr>
              <w:rPr>
                <w:rFonts w:eastAsiaTheme="minorEastAsia"/>
                <w:szCs w:val="21"/>
              </w:rPr>
            </w:pPr>
            <w:r w:rsidRPr="00F9522B">
              <w:rPr>
                <w:rFonts w:eastAsiaTheme="minorEastAsia"/>
                <w:szCs w:val="21"/>
              </w:rPr>
              <w:t>注：</w:t>
            </w:r>
            <w:r w:rsidRPr="00F9522B">
              <w:rPr>
                <w:rFonts w:eastAsiaTheme="minorEastAsia"/>
                <w:szCs w:val="21"/>
              </w:rPr>
              <w:t>“□”</w:t>
            </w:r>
            <w:r w:rsidRPr="00F9522B">
              <w:rPr>
                <w:rFonts w:eastAsiaTheme="minorEastAsia"/>
                <w:szCs w:val="21"/>
              </w:rPr>
              <w:t>为勾选项，可</w:t>
            </w:r>
            <w:r w:rsidRPr="00F9522B">
              <w:rPr>
                <w:rFonts w:eastAsiaTheme="minorEastAsia"/>
                <w:szCs w:val="21"/>
              </w:rPr>
              <w:t>√</w:t>
            </w:r>
            <w:r w:rsidRPr="00F9522B">
              <w:rPr>
                <w:rFonts w:eastAsiaTheme="minorEastAsia"/>
                <w:szCs w:val="21"/>
              </w:rPr>
              <w:t>；</w:t>
            </w:r>
            <w:r w:rsidRPr="00F9522B">
              <w:rPr>
                <w:rFonts w:eastAsiaTheme="minorEastAsia"/>
                <w:szCs w:val="21"/>
              </w:rPr>
              <w:t>“</w:t>
            </w:r>
            <w:r w:rsidRPr="00F9522B">
              <w:rPr>
                <w:rFonts w:eastAsiaTheme="minorEastAsia"/>
                <w:szCs w:val="21"/>
              </w:rPr>
              <w:t>（</w:t>
            </w:r>
            <w:r w:rsidRPr="00F9522B">
              <w:rPr>
                <w:rFonts w:eastAsiaTheme="minorEastAsia"/>
                <w:szCs w:val="21"/>
              </w:rPr>
              <w:t xml:space="preserve">  </w:t>
            </w:r>
            <w:r w:rsidRPr="00F9522B">
              <w:rPr>
                <w:rFonts w:eastAsiaTheme="minorEastAsia"/>
                <w:szCs w:val="21"/>
              </w:rPr>
              <w:t>）</w:t>
            </w:r>
            <w:r w:rsidRPr="00F9522B">
              <w:rPr>
                <w:rFonts w:eastAsiaTheme="minorEastAsia"/>
                <w:szCs w:val="21"/>
              </w:rPr>
              <w:t>”</w:t>
            </w:r>
            <w:r w:rsidRPr="00F9522B">
              <w:rPr>
                <w:rFonts w:eastAsiaTheme="minorEastAsia"/>
                <w:szCs w:val="21"/>
              </w:rPr>
              <w:t>为内容填写项</w:t>
            </w:r>
          </w:p>
        </w:tc>
      </w:tr>
    </w:tbl>
    <w:p w:rsidR="002A5A5E" w:rsidRPr="00F9522B" w:rsidRDefault="002A5A5E">
      <w:pPr>
        <w:spacing w:line="360" w:lineRule="auto"/>
        <w:ind w:firstLineChars="200" w:firstLine="482"/>
        <w:jc w:val="center"/>
        <w:rPr>
          <w:rFonts w:eastAsiaTheme="minorEastAsia"/>
          <w:b/>
          <w:sz w:val="24"/>
        </w:rPr>
      </w:pPr>
    </w:p>
    <w:p w:rsidR="002A5A5E" w:rsidRPr="00F9522B" w:rsidRDefault="002A5A5E">
      <w:pPr>
        <w:spacing w:line="360" w:lineRule="auto"/>
        <w:ind w:firstLineChars="200" w:firstLine="482"/>
        <w:jc w:val="center"/>
        <w:rPr>
          <w:rFonts w:eastAsiaTheme="minorEastAsia"/>
          <w:b/>
          <w:sz w:val="24"/>
        </w:rPr>
      </w:pPr>
    </w:p>
    <w:p w:rsidR="002A5A5E" w:rsidRPr="00F9522B" w:rsidRDefault="002A5A5E">
      <w:pPr>
        <w:spacing w:line="360" w:lineRule="auto"/>
        <w:ind w:firstLineChars="200" w:firstLine="482"/>
        <w:jc w:val="center"/>
        <w:rPr>
          <w:rFonts w:eastAsiaTheme="minorEastAsia"/>
          <w:b/>
          <w:sz w:val="24"/>
        </w:rPr>
      </w:pPr>
    </w:p>
    <w:p w:rsidR="002A5A5E" w:rsidRPr="00F9522B" w:rsidRDefault="002A5A5E">
      <w:pPr>
        <w:spacing w:line="360" w:lineRule="auto"/>
        <w:ind w:firstLineChars="200" w:firstLine="482"/>
        <w:jc w:val="center"/>
        <w:rPr>
          <w:rFonts w:eastAsiaTheme="minorEastAsia"/>
          <w:b/>
          <w:sz w:val="24"/>
        </w:rPr>
      </w:pPr>
    </w:p>
    <w:p w:rsidR="002A5A5E" w:rsidRPr="00F9522B" w:rsidRDefault="00611CBA">
      <w:pPr>
        <w:spacing w:line="360" w:lineRule="auto"/>
        <w:ind w:firstLineChars="200" w:firstLine="482"/>
        <w:jc w:val="center"/>
        <w:rPr>
          <w:rFonts w:eastAsiaTheme="minorEastAsia"/>
          <w:b/>
          <w:sz w:val="24"/>
        </w:rPr>
      </w:pPr>
      <w:r w:rsidRPr="00F9522B">
        <w:rPr>
          <w:rFonts w:eastAsiaTheme="minorEastAsia"/>
          <w:b/>
          <w:sz w:val="24"/>
        </w:rPr>
        <w:lastRenderedPageBreak/>
        <w:t>声环境影响评价自查表</w:t>
      </w:r>
    </w:p>
    <w:tbl>
      <w:tblPr>
        <w:tblW w:w="840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891"/>
        <w:gridCol w:w="1275"/>
        <w:gridCol w:w="993"/>
        <w:gridCol w:w="1011"/>
        <w:gridCol w:w="831"/>
        <w:gridCol w:w="142"/>
        <w:gridCol w:w="992"/>
        <w:gridCol w:w="993"/>
        <w:gridCol w:w="1275"/>
      </w:tblGrid>
      <w:tr w:rsidR="002A5A5E" w:rsidRPr="00F9522B">
        <w:trPr>
          <w:jc w:val="center"/>
        </w:trPr>
        <w:tc>
          <w:tcPr>
            <w:tcW w:w="2166" w:type="dxa"/>
            <w:gridSpan w:val="2"/>
            <w:vAlign w:val="center"/>
          </w:tcPr>
          <w:p w:rsidR="002A5A5E" w:rsidRPr="00F9522B" w:rsidRDefault="00611CBA">
            <w:pPr>
              <w:jc w:val="center"/>
              <w:rPr>
                <w:rFonts w:eastAsiaTheme="minorEastAsia"/>
                <w:szCs w:val="21"/>
              </w:rPr>
            </w:pPr>
            <w:r w:rsidRPr="00F9522B">
              <w:rPr>
                <w:rFonts w:eastAsiaTheme="minorEastAsia"/>
                <w:szCs w:val="21"/>
              </w:rPr>
              <w:t>工作内容</w:t>
            </w:r>
          </w:p>
        </w:tc>
        <w:tc>
          <w:tcPr>
            <w:tcW w:w="6237" w:type="dxa"/>
            <w:gridSpan w:val="7"/>
            <w:vAlign w:val="center"/>
          </w:tcPr>
          <w:p w:rsidR="002A5A5E" w:rsidRPr="00F9522B" w:rsidRDefault="00611CBA">
            <w:pPr>
              <w:jc w:val="center"/>
              <w:rPr>
                <w:rFonts w:eastAsiaTheme="minorEastAsia"/>
                <w:szCs w:val="21"/>
              </w:rPr>
            </w:pPr>
            <w:r w:rsidRPr="00F9522B">
              <w:rPr>
                <w:rFonts w:eastAsiaTheme="minorEastAsia"/>
                <w:szCs w:val="21"/>
              </w:rPr>
              <w:t>自查项目</w:t>
            </w:r>
          </w:p>
        </w:tc>
      </w:tr>
      <w:tr w:rsidR="002A5A5E" w:rsidRPr="00F9522B">
        <w:trPr>
          <w:jc w:val="center"/>
        </w:trPr>
        <w:tc>
          <w:tcPr>
            <w:tcW w:w="891" w:type="dxa"/>
            <w:vMerge w:val="restart"/>
            <w:vAlign w:val="center"/>
          </w:tcPr>
          <w:p w:rsidR="002A5A5E" w:rsidRPr="00F9522B" w:rsidRDefault="00611CBA">
            <w:pPr>
              <w:jc w:val="center"/>
              <w:rPr>
                <w:rFonts w:eastAsiaTheme="minorEastAsia"/>
                <w:szCs w:val="21"/>
              </w:rPr>
            </w:pPr>
            <w:r w:rsidRPr="00F9522B">
              <w:rPr>
                <w:rFonts w:eastAsiaTheme="minorEastAsia"/>
                <w:szCs w:val="21"/>
              </w:rPr>
              <w:t>评价等级与范围</w:t>
            </w:r>
          </w:p>
        </w:tc>
        <w:tc>
          <w:tcPr>
            <w:tcW w:w="1275" w:type="dxa"/>
            <w:vAlign w:val="center"/>
          </w:tcPr>
          <w:p w:rsidR="002A5A5E" w:rsidRPr="00F9522B" w:rsidRDefault="00611CBA">
            <w:pPr>
              <w:jc w:val="center"/>
              <w:rPr>
                <w:rFonts w:eastAsiaTheme="minorEastAsia"/>
                <w:szCs w:val="21"/>
              </w:rPr>
            </w:pPr>
            <w:r w:rsidRPr="00F9522B">
              <w:rPr>
                <w:rFonts w:eastAsiaTheme="minorEastAsia"/>
                <w:szCs w:val="21"/>
              </w:rPr>
              <w:t>评价等级</w:t>
            </w:r>
          </w:p>
        </w:tc>
        <w:tc>
          <w:tcPr>
            <w:tcW w:w="6237" w:type="dxa"/>
            <w:gridSpan w:val="7"/>
            <w:vAlign w:val="center"/>
          </w:tcPr>
          <w:p w:rsidR="002A5A5E" w:rsidRPr="00F9522B" w:rsidRDefault="00611CBA">
            <w:pPr>
              <w:jc w:val="center"/>
              <w:rPr>
                <w:rFonts w:eastAsiaTheme="minorEastAsia"/>
                <w:szCs w:val="21"/>
              </w:rPr>
            </w:pPr>
            <w:r w:rsidRPr="00F9522B">
              <w:rPr>
                <w:rFonts w:eastAsiaTheme="minorEastAsia"/>
                <w:szCs w:val="21"/>
              </w:rPr>
              <w:t>一级</w:t>
            </w:r>
            <w:r w:rsidRPr="00F9522B">
              <w:rPr>
                <w:rFonts w:eastAsiaTheme="minorEastAsia"/>
                <w:szCs w:val="21"/>
              </w:rPr>
              <w:t xml:space="preserve">□ </w:t>
            </w:r>
            <w:r w:rsidRPr="00F9522B">
              <w:rPr>
                <w:rFonts w:eastAsiaTheme="minorEastAsia"/>
                <w:szCs w:val="21"/>
              </w:rPr>
              <w:t>二级</w:t>
            </w:r>
            <w:r w:rsidRPr="00F9522B">
              <w:rPr>
                <w:rFonts w:eastAsiaTheme="minorEastAsia"/>
                <w:szCs w:val="21"/>
              </w:rPr>
              <w:t xml:space="preserve">√ </w:t>
            </w:r>
            <w:r w:rsidRPr="00F9522B">
              <w:rPr>
                <w:rFonts w:eastAsiaTheme="minorEastAsia"/>
                <w:szCs w:val="21"/>
              </w:rPr>
              <w:t>三级</w:t>
            </w:r>
            <w:r w:rsidRPr="00F9522B">
              <w:rPr>
                <w:rFonts w:eastAsiaTheme="minorEastAsia"/>
                <w:szCs w:val="21"/>
              </w:rPr>
              <w:t>□</w:t>
            </w:r>
          </w:p>
        </w:tc>
      </w:tr>
      <w:tr w:rsidR="002A5A5E" w:rsidRPr="00F9522B">
        <w:trPr>
          <w:jc w:val="center"/>
        </w:trPr>
        <w:tc>
          <w:tcPr>
            <w:tcW w:w="891" w:type="dxa"/>
            <w:vMerge/>
            <w:vAlign w:val="center"/>
          </w:tcPr>
          <w:p w:rsidR="002A5A5E" w:rsidRPr="00F9522B" w:rsidRDefault="002A5A5E">
            <w:pPr>
              <w:jc w:val="center"/>
              <w:rPr>
                <w:rFonts w:eastAsiaTheme="minorEastAsia"/>
                <w:szCs w:val="21"/>
              </w:rPr>
            </w:pPr>
          </w:p>
        </w:tc>
        <w:tc>
          <w:tcPr>
            <w:tcW w:w="1275" w:type="dxa"/>
            <w:vAlign w:val="center"/>
          </w:tcPr>
          <w:p w:rsidR="002A5A5E" w:rsidRPr="00F9522B" w:rsidRDefault="00611CBA">
            <w:pPr>
              <w:jc w:val="center"/>
              <w:rPr>
                <w:rFonts w:eastAsiaTheme="minorEastAsia"/>
                <w:szCs w:val="21"/>
              </w:rPr>
            </w:pPr>
            <w:r w:rsidRPr="00F9522B">
              <w:rPr>
                <w:rFonts w:eastAsiaTheme="minorEastAsia"/>
                <w:szCs w:val="21"/>
              </w:rPr>
              <w:t>评价范围</w:t>
            </w:r>
          </w:p>
        </w:tc>
        <w:tc>
          <w:tcPr>
            <w:tcW w:w="6237" w:type="dxa"/>
            <w:gridSpan w:val="7"/>
            <w:vAlign w:val="center"/>
          </w:tcPr>
          <w:p w:rsidR="002A5A5E" w:rsidRPr="00F9522B" w:rsidRDefault="00611CBA">
            <w:pPr>
              <w:jc w:val="center"/>
              <w:rPr>
                <w:rFonts w:eastAsiaTheme="minorEastAsia"/>
                <w:szCs w:val="21"/>
              </w:rPr>
            </w:pPr>
            <w:r w:rsidRPr="00F9522B">
              <w:rPr>
                <w:rFonts w:eastAsiaTheme="minorEastAsia"/>
                <w:szCs w:val="21"/>
              </w:rPr>
              <w:t>等效连续</w:t>
            </w:r>
            <w:r w:rsidRPr="00F9522B">
              <w:rPr>
                <w:rFonts w:eastAsiaTheme="minorEastAsia"/>
                <w:szCs w:val="21"/>
              </w:rPr>
              <w:t>A</w:t>
            </w:r>
            <w:r w:rsidRPr="00F9522B">
              <w:rPr>
                <w:rFonts w:eastAsiaTheme="minorEastAsia"/>
                <w:szCs w:val="21"/>
              </w:rPr>
              <w:t>声级</w:t>
            </w:r>
            <w:r w:rsidRPr="00F9522B">
              <w:rPr>
                <w:rFonts w:eastAsiaTheme="minorEastAsia"/>
                <w:szCs w:val="21"/>
              </w:rPr>
              <w:t xml:space="preserve">√  </w:t>
            </w:r>
            <w:r w:rsidRPr="00F9522B">
              <w:rPr>
                <w:rFonts w:eastAsiaTheme="minorEastAsia"/>
                <w:szCs w:val="21"/>
              </w:rPr>
              <w:t>最大</w:t>
            </w:r>
            <w:r w:rsidRPr="00F9522B">
              <w:rPr>
                <w:rFonts w:eastAsiaTheme="minorEastAsia"/>
                <w:szCs w:val="21"/>
              </w:rPr>
              <w:t>A</w:t>
            </w:r>
            <w:r w:rsidRPr="00F9522B">
              <w:rPr>
                <w:rFonts w:eastAsiaTheme="minorEastAsia"/>
                <w:szCs w:val="21"/>
              </w:rPr>
              <w:t>声级</w:t>
            </w:r>
            <w:r w:rsidRPr="00F9522B">
              <w:rPr>
                <w:rFonts w:eastAsiaTheme="minorEastAsia"/>
                <w:szCs w:val="21"/>
              </w:rPr>
              <w:t xml:space="preserve">□  </w:t>
            </w:r>
            <w:r w:rsidRPr="00F9522B">
              <w:rPr>
                <w:rFonts w:eastAsiaTheme="minorEastAsia"/>
                <w:szCs w:val="21"/>
              </w:rPr>
              <w:t>计权等效连续感觉噪声级</w:t>
            </w:r>
            <w:r w:rsidRPr="00F9522B">
              <w:rPr>
                <w:rFonts w:eastAsiaTheme="minorEastAsia"/>
                <w:szCs w:val="21"/>
              </w:rPr>
              <w:t>□</w:t>
            </w:r>
          </w:p>
        </w:tc>
      </w:tr>
      <w:tr w:rsidR="002A5A5E" w:rsidRPr="00F9522B">
        <w:trPr>
          <w:jc w:val="center"/>
        </w:trPr>
        <w:tc>
          <w:tcPr>
            <w:tcW w:w="891" w:type="dxa"/>
            <w:vAlign w:val="center"/>
          </w:tcPr>
          <w:p w:rsidR="002A5A5E" w:rsidRPr="00F9522B" w:rsidRDefault="00611CBA">
            <w:pPr>
              <w:jc w:val="center"/>
              <w:rPr>
                <w:rFonts w:eastAsiaTheme="minorEastAsia"/>
                <w:szCs w:val="21"/>
              </w:rPr>
            </w:pPr>
            <w:r w:rsidRPr="00F9522B">
              <w:rPr>
                <w:rFonts w:eastAsiaTheme="minorEastAsia"/>
                <w:szCs w:val="21"/>
              </w:rPr>
              <w:t>评价因子</w:t>
            </w:r>
          </w:p>
        </w:tc>
        <w:tc>
          <w:tcPr>
            <w:tcW w:w="1275" w:type="dxa"/>
            <w:vAlign w:val="center"/>
          </w:tcPr>
          <w:p w:rsidR="002A5A5E" w:rsidRPr="00F9522B" w:rsidRDefault="00611CBA">
            <w:pPr>
              <w:jc w:val="center"/>
              <w:rPr>
                <w:rFonts w:eastAsiaTheme="minorEastAsia"/>
                <w:szCs w:val="21"/>
              </w:rPr>
            </w:pPr>
            <w:r w:rsidRPr="00F9522B">
              <w:rPr>
                <w:rFonts w:eastAsiaTheme="minorEastAsia"/>
                <w:szCs w:val="21"/>
              </w:rPr>
              <w:t>评价因子</w:t>
            </w:r>
          </w:p>
        </w:tc>
        <w:tc>
          <w:tcPr>
            <w:tcW w:w="6237" w:type="dxa"/>
            <w:gridSpan w:val="7"/>
            <w:vAlign w:val="center"/>
          </w:tcPr>
          <w:p w:rsidR="002A5A5E" w:rsidRPr="00F9522B" w:rsidRDefault="00611CBA">
            <w:pPr>
              <w:jc w:val="center"/>
              <w:rPr>
                <w:rFonts w:eastAsiaTheme="minorEastAsia"/>
                <w:szCs w:val="21"/>
              </w:rPr>
            </w:pPr>
            <w:r w:rsidRPr="00F9522B">
              <w:rPr>
                <w:rFonts w:eastAsiaTheme="minorEastAsia"/>
                <w:szCs w:val="21"/>
              </w:rPr>
              <w:t>国家标准</w:t>
            </w:r>
            <w:r w:rsidRPr="00F9522B">
              <w:rPr>
                <w:rFonts w:eastAsiaTheme="minorEastAsia"/>
                <w:szCs w:val="21"/>
              </w:rPr>
              <w:t xml:space="preserve">√  </w:t>
            </w:r>
            <w:r w:rsidRPr="00F9522B">
              <w:rPr>
                <w:rFonts w:eastAsiaTheme="minorEastAsia"/>
                <w:szCs w:val="21"/>
              </w:rPr>
              <w:t>地方标准</w:t>
            </w:r>
            <w:r w:rsidRPr="00F9522B">
              <w:rPr>
                <w:rFonts w:eastAsiaTheme="minorEastAsia"/>
                <w:szCs w:val="21"/>
              </w:rPr>
              <w:t xml:space="preserve">□  </w:t>
            </w:r>
            <w:r w:rsidRPr="00F9522B">
              <w:rPr>
                <w:rFonts w:eastAsiaTheme="minorEastAsia"/>
                <w:szCs w:val="21"/>
              </w:rPr>
              <w:t>国外标准</w:t>
            </w:r>
            <w:r w:rsidRPr="00F9522B">
              <w:rPr>
                <w:rFonts w:eastAsiaTheme="minorEastAsia"/>
                <w:szCs w:val="21"/>
              </w:rPr>
              <w:t>□</w:t>
            </w:r>
          </w:p>
        </w:tc>
      </w:tr>
      <w:tr w:rsidR="002A5A5E" w:rsidRPr="00F9522B">
        <w:trPr>
          <w:jc w:val="center"/>
        </w:trPr>
        <w:tc>
          <w:tcPr>
            <w:tcW w:w="891" w:type="dxa"/>
            <w:vMerge w:val="restart"/>
            <w:vAlign w:val="center"/>
          </w:tcPr>
          <w:p w:rsidR="002A5A5E" w:rsidRPr="00F9522B" w:rsidRDefault="00611CBA">
            <w:pPr>
              <w:jc w:val="center"/>
              <w:rPr>
                <w:rFonts w:eastAsiaTheme="minorEastAsia"/>
                <w:szCs w:val="21"/>
              </w:rPr>
            </w:pPr>
            <w:r w:rsidRPr="00F9522B">
              <w:rPr>
                <w:rFonts w:eastAsiaTheme="minorEastAsia"/>
                <w:szCs w:val="21"/>
              </w:rPr>
              <w:t>现状评价</w:t>
            </w:r>
          </w:p>
        </w:tc>
        <w:tc>
          <w:tcPr>
            <w:tcW w:w="1275" w:type="dxa"/>
            <w:vAlign w:val="center"/>
          </w:tcPr>
          <w:p w:rsidR="002A5A5E" w:rsidRPr="00F9522B" w:rsidRDefault="00611CBA">
            <w:pPr>
              <w:jc w:val="center"/>
              <w:rPr>
                <w:rFonts w:eastAsiaTheme="minorEastAsia"/>
                <w:szCs w:val="21"/>
              </w:rPr>
            </w:pPr>
            <w:r w:rsidRPr="00F9522B">
              <w:rPr>
                <w:rFonts w:eastAsiaTheme="minorEastAsia"/>
                <w:szCs w:val="21"/>
              </w:rPr>
              <w:t>环境功能区</w:t>
            </w:r>
          </w:p>
        </w:tc>
        <w:tc>
          <w:tcPr>
            <w:tcW w:w="993" w:type="dxa"/>
            <w:vAlign w:val="center"/>
          </w:tcPr>
          <w:p w:rsidR="002A5A5E" w:rsidRPr="00F9522B" w:rsidRDefault="00611CBA">
            <w:pPr>
              <w:jc w:val="center"/>
              <w:rPr>
                <w:rFonts w:eastAsiaTheme="minorEastAsia"/>
                <w:szCs w:val="21"/>
              </w:rPr>
            </w:pPr>
            <w:r w:rsidRPr="00F9522B">
              <w:rPr>
                <w:rFonts w:eastAsiaTheme="minorEastAsia"/>
                <w:szCs w:val="21"/>
              </w:rPr>
              <w:t>0</w:t>
            </w:r>
            <w:r w:rsidRPr="00F9522B">
              <w:rPr>
                <w:rFonts w:eastAsiaTheme="minorEastAsia"/>
                <w:szCs w:val="21"/>
              </w:rPr>
              <w:t>类区</w:t>
            </w:r>
            <w:r w:rsidRPr="00F9522B">
              <w:rPr>
                <w:rFonts w:eastAsiaTheme="minorEastAsia"/>
                <w:szCs w:val="21"/>
              </w:rPr>
              <w:t>□</w:t>
            </w:r>
          </w:p>
        </w:tc>
        <w:tc>
          <w:tcPr>
            <w:tcW w:w="1011" w:type="dxa"/>
            <w:vAlign w:val="center"/>
          </w:tcPr>
          <w:p w:rsidR="002A5A5E" w:rsidRPr="00F9522B" w:rsidRDefault="00611CBA">
            <w:pPr>
              <w:jc w:val="center"/>
              <w:rPr>
                <w:rFonts w:eastAsiaTheme="minorEastAsia"/>
                <w:szCs w:val="21"/>
              </w:rPr>
            </w:pPr>
            <w:r w:rsidRPr="00F9522B">
              <w:rPr>
                <w:rFonts w:eastAsiaTheme="minorEastAsia"/>
                <w:szCs w:val="21"/>
              </w:rPr>
              <w:t>1</w:t>
            </w:r>
            <w:r w:rsidRPr="00F9522B">
              <w:rPr>
                <w:rFonts w:eastAsiaTheme="minorEastAsia"/>
                <w:szCs w:val="21"/>
              </w:rPr>
              <w:t>类区</w:t>
            </w:r>
            <w:r w:rsidRPr="00F9522B">
              <w:rPr>
                <w:rFonts w:eastAsiaTheme="minorEastAsia"/>
                <w:szCs w:val="21"/>
              </w:rPr>
              <w:t>√</w:t>
            </w:r>
          </w:p>
        </w:tc>
        <w:tc>
          <w:tcPr>
            <w:tcW w:w="973" w:type="dxa"/>
            <w:gridSpan w:val="2"/>
            <w:vAlign w:val="center"/>
          </w:tcPr>
          <w:p w:rsidR="002A5A5E" w:rsidRPr="00F9522B" w:rsidRDefault="00611CBA">
            <w:pPr>
              <w:jc w:val="center"/>
              <w:rPr>
                <w:rFonts w:eastAsiaTheme="minorEastAsia"/>
                <w:szCs w:val="21"/>
              </w:rPr>
            </w:pPr>
            <w:r w:rsidRPr="00F9522B">
              <w:rPr>
                <w:rFonts w:eastAsiaTheme="minorEastAsia"/>
                <w:szCs w:val="21"/>
              </w:rPr>
              <w:t>2</w:t>
            </w:r>
            <w:r w:rsidRPr="00F9522B">
              <w:rPr>
                <w:rFonts w:eastAsiaTheme="minorEastAsia"/>
                <w:szCs w:val="21"/>
              </w:rPr>
              <w:t>类区</w:t>
            </w:r>
            <w:r w:rsidRPr="00F9522B">
              <w:rPr>
                <w:rFonts w:eastAsiaTheme="minorEastAsia"/>
                <w:szCs w:val="21"/>
              </w:rPr>
              <w:t>√</w:t>
            </w:r>
          </w:p>
        </w:tc>
        <w:tc>
          <w:tcPr>
            <w:tcW w:w="992" w:type="dxa"/>
            <w:vAlign w:val="center"/>
          </w:tcPr>
          <w:p w:rsidR="002A5A5E" w:rsidRPr="00F9522B" w:rsidRDefault="00611CBA">
            <w:pPr>
              <w:jc w:val="center"/>
              <w:rPr>
                <w:rFonts w:eastAsiaTheme="minorEastAsia"/>
                <w:szCs w:val="21"/>
              </w:rPr>
            </w:pPr>
            <w:r w:rsidRPr="00F9522B">
              <w:rPr>
                <w:rFonts w:eastAsiaTheme="minorEastAsia"/>
                <w:szCs w:val="21"/>
              </w:rPr>
              <w:t>3</w:t>
            </w:r>
            <w:r w:rsidRPr="00F9522B">
              <w:rPr>
                <w:rFonts w:eastAsiaTheme="minorEastAsia"/>
                <w:szCs w:val="21"/>
              </w:rPr>
              <w:t>类区</w:t>
            </w:r>
            <w:r w:rsidRPr="00F9522B">
              <w:rPr>
                <w:rFonts w:eastAsiaTheme="minorEastAsia"/>
                <w:szCs w:val="21"/>
              </w:rPr>
              <w:t>□</w:t>
            </w:r>
          </w:p>
        </w:tc>
        <w:tc>
          <w:tcPr>
            <w:tcW w:w="993" w:type="dxa"/>
            <w:vAlign w:val="center"/>
          </w:tcPr>
          <w:p w:rsidR="002A5A5E" w:rsidRPr="00F9522B" w:rsidRDefault="00611CBA">
            <w:pPr>
              <w:jc w:val="center"/>
              <w:rPr>
                <w:rFonts w:eastAsiaTheme="minorEastAsia"/>
                <w:szCs w:val="21"/>
              </w:rPr>
            </w:pPr>
            <w:r w:rsidRPr="00F9522B">
              <w:rPr>
                <w:rFonts w:eastAsiaTheme="minorEastAsia"/>
                <w:szCs w:val="21"/>
              </w:rPr>
              <w:t>4a</w:t>
            </w:r>
            <w:r w:rsidRPr="00F9522B">
              <w:rPr>
                <w:rFonts w:eastAsiaTheme="minorEastAsia"/>
                <w:szCs w:val="21"/>
              </w:rPr>
              <w:t>类区</w:t>
            </w:r>
            <w:r w:rsidRPr="00F9522B">
              <w:rPr>
                <w:rFonts w:eastAsiaTheme="minorEastAsia"/>
                <w:szCs w:val="21"/>
              </w:rPr>
              <w:t>□</w:t>
            </w:r>
          </w:p>
        </w:tc>
        <w:tc>
          <w:tcPr>
            <w:tcW w:w="1275" w:type="dxa"/>
            <w:vAlign w:val="center"/>
          </w:tcPr>
          <w:p w:rsidR="002A5A5E" w:rsidRPr="00F9522B" w:rsidRDefault="00611CBA">
            <w:pPr>
              <w:jc w:val="center"/>
              <w:rPr>
                <w:rFonts w:eastAsiaTheme="minorEastAsia"/>
                <w:szCs w:val="21"/>
              </w:rPr>
            </w:pPr>
            <w:r w:rsidRPr="00F9522B">
              <w:rPr>
                <w:rFonts w:eastAsiaTheme="minorEastAsia"/>
                <w:szCs w:val="21"/>
              </w:rPr>
              <w:t>4b</w:t>
            </w:r>
            <w:r w:rsidRPr="00F9522B">
              <w:rPr>
                <w:rFonts w:eastAsiaTheme="minorEastAsia"/>
                <w:szCs w:val="21"/>
              </w:rPr>
              <w:t>类区</w:t>
            </w:r>
            <w:r w:rsidRPr="00F9522B">
              <w:rPr>
                <w:rFonts w:eastAsiaTheme="minorEastAsia"/>
                <w:szCs w:val="21"/>
              </w:rPr>
              <w:t>□</w:t>
            </w:r>
          </w:p>
        </w:tc>
      </w:tr>
      <w:tr w:rsidR="002A5A5E" w:rsidRPr="00F9522B">
        <w:trPr>
          <w:jc w:val="center"/>
        </w:trPr>
        <w:tc>
          <w:tcPr>
            <w:tcW w:w="891" w:type="dxa"/>
            <w:vMerge/>
            <w:vAlign w:val="center"/>
          </w:tcPr>
          <w:p w:rsidR="002A5A5E" w:rsidRPr="00F9522B" w:rsidRDefault="002A5A5E">
            <w:pPr>
              <w:jc w:val="center"/>
              <w:rPr>
                <w:rFonts w:eastAsiaTheme="minorEastAsia"/>
                <w:szCs w:val="21"/>
              </w:rPr>
            </w:pPr>
          </w:p>
        </w:tc>
        <w:tc>
          <w:tcPr>
            <w:tcW w:w="1275" w:type="dxa"/>
            <w:vAlign w:val="center"/>
          </w:tcPr>
          <w:p w:rsidR="002A5A5E" w:rsidRPr="00F9522B" w:rsidRDefault="00611CBA">
            <w:pPr>
              <w:jc w:val="center"/>
              <w:rPr>
                <w:rFonts w:eastAsiaTheme="minorEastAsia"/>
                <w:szCs w:val="21"/>
              </w:rPr>
            </w:pPr>
            <w:r w:rsidRPr="00F9522B">
              <w:rPr>
                <w:rFonts w:eastAsiaTheme="minorEastAsia"/>
                <w:szCs w:val="21"/>
              </w:rPr>
              <w:t>评价年度</w:t>
            </w:r>
          </w:p>
        </w:tc>
        <w:tc>
          <w:tcPr>
            <w:tcW w:w="2004" w:type="dxa"/>
            <w:gridSpan w:val="2"/>
            <w:vAlign w:val="center"/>
          </w:tcPr>
          <w:p w:rsidR="002A5A5E" w:rsidRPr="00F9522B" w:rsidRDefault="00611CBA">
            <w:pPr>
              <w:jc w:val="center"/>
              <w:rPr>
                <w:rFonts w:eastAsiaTheme="minorEastAsia"/>
                <w:szCs w:val="21"/>
              </w:rPr>
            </w:pPr>
            <w:r w:rsidRPr="00F9522B">
              <w:rPr>
                <w:rFonts w:eastAsiaTheme="minorEastAsia"/>
                <w:szCs w:val="21"/>
              </w:rPr>
              <w:t>初期</w:t>
            </w:r>
            <w:r w:rsidRPr="00F9522B">
              <w:rPr>
                <w:rFonts w:eastAsiaTheme="minorEastAsia"/>
                <w:szCs w:val="21"/>
              </w:rPr>
              <w:t>□</w:t>
            </w:r>
          </w:p>
        </w:tc>
        <w:tc>
          <w:tcPr>
            <w:tcW w:w="973" w:type="dxa"/>
            <w:gridSpan w:val="2"/>
            <w:vAlign w:val="center"/>
          </w:tcPr>
          <w:p w:rsidR="002A5A5E" w:rsidRPr="00F9522B" w:rsidRDefault="00611CBA">
            <w:pPr>
              <w:jc w:val="center"/>
              <w:rPr>
                <w:rFonts w:eastAsiaTheme="minorEastAsia"/>
                <w:szCs w:val="21"/>
              </w:rPr>
            </w:pPr>
            <w:r w:rsidRPr="00F9522B">
              <w:rPr>
                <w:rFonts w:eastAsiaTheme="minorEastAsia"/>
                <w:szCs w:val="21"/>
              </w:rPr>
              <w:t>近期</w:t>
            </w:r>
            <w:r w:rsidRPr="00F9522B">
              <w:rPr>
                <w:rFonts w:eastAsiaTheme="minorEastAsia"/>
                <w:szCs w:val="21"/>
              </w:rPr>
              <w:t>√</w:t>
            </w:r>
          </w:p>
        </w:tc>
        <w:tc>
          <w:tcPr>
            <w:tcW w:w="992" w:type="dxa"/>
            <w:vAlign w:val="center"/>
          </w:tcPr>
          <w:p w:rsidR="002A5A5E" w:rsidRPr="00F9522B" w:rsidRDefault="00611CBA">
            <w:pPr>
              <w:jc w:val="center"/>
              <w:rPr>
                <w:rFonts w:eastAsiaTheme="minorEastAsia"/>
                <w:szCs w:val="21"/>
              </w:rPr>
            </w:pPr>
            <w:r w:rsidRPr="00F9522B">
              <w:rPr>
                <w:rFonts w:eastAsiaTheme="minorEastAsia"/>
                <w:szCs w:val="21"/>
              </w:rPr>
              <w:t>中期</w:t>
            </w:r>
            <w:r w:rsidRPr="00F9522B">
              <w:rPr>
                <w:rFonts w:eastAsiaTheme="minorEastAsia"/>
                <w:szCs w:val="21"/>
              </w:rPr>
              <w:t>□</w:t>
            </w:r>
          </w:p>
        </w:tc>
        <w:tc>
          <w:tcPr>
            <w:tcW w:w="2268" w:type="dxa"/>
            <w:gridSpan w:val="2"/>
            <w:vAlign w:val="center"/>
          </w:tcPr>
          <w:p w:rsidR="002A5A5E" w:rsidRPr="00F9522B" w:rsidRDefault="00611CBA">
            <w:pPr>
              <w:jc w:val="center"/>
              <w:rPr>
                <w:rFonts w:eastAsiaTheme="minorEastAsia"/>
                <w:szCs w:val="21"/>
              </w:rPr>
            </w:pPr>
            <w:r w:rsidRPr="00F9522B">
              <w:rPr>
                <w:rFonts w:eastAsiaTheme="minorEastAsia"/>
                <w:szCs w:val="21"/>
              </w:rPr>
              <w:t>远期</w:t>
            </w:r>
            <w:r w:rsidRPr="00F9522B">
              <w:rPr>
                <w:rFonts w:eastAsiaTheme="minorEastAsia"/>
                <w:szCs w:val="21"/>
              </w:rPr>
              <w:t>□</w:t>
            </w:r>
          </w:p>
        </w:tc>
      </w:tr>
      <w:tr w:rsidR="002A5A5E" w:rsidRPr="00F9522B">
        <w:trPr>
          <w:jc w:val="center"/>
        </w:trPr>
        <w:tc>
          <w:tcPr>
            <w:tcW w:w="891" w:type="dxa"/>
            <w:vMerge/>
            <w:vAlign w:val="center"/>
          </w:tcPr>
          <w:p w:rsidR="002A5A5E" w:rsidRPr="00F9522B" w:rsidRDefault="002A5A5E">
            <w:pPr>
              <w:jc w:val="center"/>
              <w:rPr>
                <w:rFonts w:eastAsiaTheme="minorEastAsia"/>
                <w:szCs w:val="21"/>
              </w:rPr>
            </w:pPr>
          </w:p>
        </w:tc>
        <w:tc>
          <w:tcPr>
            <w:tcW w:w="1275" w:type="dxa"/>
            <w:vAlign w:val="center"/>
          </w:tcPr>
          <w:p w:rsidR="002A5A5E" w:rsidRPr="00F9522B" w:rsidRDefault="00611CBA">
            <w:pPr>
              <w:jc w:val="center"/>
              <w:rPr>
                <w:rFonts w:eastAsiaTheme="minorEastAsia"/>
                <w:szCs w:val="21"/>
              </w:rPr>
            </w:pPr>
            <w:r w:rsidRPr="00F9522B">
              <w:rPr>
                <w:rFonts w:eastAsiaTheme="minorEastAsia"/>
                <w:szCs w:val="21"/>
              </w:rPr>
              <w:t>现状调查</w:t>
            </w:r>
          </w:p>
          <w:p w:rsidR="002A5A5E" w:rsidRPr="00F9522B" w:rsidRDefault="00611CBA">
            <w:pPr>
              <w:jc w:val="center"/>
              <w:rPr>
                <w:rFonts w:eastAsiaTheme="minorEastAsia"/>
                <w:szCs w:val="21"/>
              </w:rPr>
            </w:pPr>
            <w:r w:rsidRPr="00F9522B">
              <w:rPr>
                <w:rFonts w:eastAsiaTheme="minorEastAsia"/>
                <w:szCs w:val="21"/>
              </w:rPr>
              <w:t>方法</w:t>
            </w:r>
          </w:p>
        </w:tc>
        <w:tc>
          <w:tcPr>
            <w:tcW w:w="6237" w:type="dxa"/>
            <w:gridSpan w:val="7"/>
            <w:vAlign w:val="center"/>
          </w:tcPr>
          <w:p w:rsidR="002A5A5E" w:rsidRPr="00F9522B" w:rsidRDefault="00611CBA">
            <w:pPr>
              <w:jc w:val="center"/>
              <w:rPr>
                <w:rFonts w:eastAsiaTheme="minorEastAsia"/>
                <w:szCs w:val="21"/>
              </w:rPr>
            </w:pPr>
            <w:r w:rsidRPr="00F9522B">
              <w:rPr>
                <w:rFonts w:eastAsiaTheme="minorEastAsia"/>
                <w:szCs w:val="21"/>
              </w:rPr>
              <w:t>现场实测法</w:t>
            </w:r>
            <w:r w:rsidRPr="00F9522B">
              <w:rPr>
                <w:rFonts w:eastAsiaTheme="minorEastAsia"/>
                <w:szCs w:val="21"/>
              </w:rPr>
              <w:t xml:space="preserve">√  </w:t>
            </w:r>
            <w:r w:rsidRPr="00F9522B">
              <w:rPr>
                <w:rFonts w:eastAsiaTheme="minorEastAsia"/>
                <w:szCs w:val="21"/>
              </w:rPr>
              <w:t>现场实测加模型计算法</w:t>
            </w:r>
            <w:r w:rsidRPr="00F9522B">
              <w:rPr>
                <w:rFonts w:eastAsiaTheme="minorEastAsia"/>
                <w:szCs w:val="21"/>
              </w:rPr>
              <w:t xml:space="preserve">□  </w:t>
            </w:r>
            <w:r w:rsidRPr="00F9522B">
              <w:rPr>
                <w:rFonts w:eastAsiaTheme="minorEastAsia"/>
                <w:szCs w:val="21"/>
              </w:rPr>
              <w:t>收集资料</w:t>
            </w:r>
            <w:r w:rsidRPr="00F9522B">
              <w:rPr>
                <w:rFonts w:eastAsiaTheme="minorEastAsia"/>
                <w:szCs w:val="21"/>
              </w:rPr>
              <w:t>√</w:t>
            </w:r>
          </w:p>
        </w:tc>
      </w:tr>
      <w:tr w:rsidR="002A5A5E" w:rsidRPr="00F9522B">
        <w:trPr>
          <w:jc w:val="center"/>
        </w:trPr>
        <w:tc>
          <w:tcPr>
            <w:tcW w:w="891" w:type="dxa"/>
            <w:vMerge/>
            <w:vAlign w:val="center"/>
          </w:tcPr>
          <w:p w:rsidR="002A5A5E" w:rsidRPr="00F9522B" w:rsidRDefault="002A5A5E">
            <w:pPr>
              <w:jc w:val="center"/>
              <w:rPr>
                <w:rFonts w:eastAsiaTheme="minorEastAsia"/>
                <w:szCs w:val="21"/>
              </w:rPr>
            </w:pPr>
          </w:p>
        </w:tc>
        <w:tc>
          <w:tcPr>
            <w:tcW w:w="1275" w:type="dxa"/>
            <w:vAlign w:val="center"/>
          </w:tcPr>
          <w:p w:rsidR="002A5A5E" w:rsidRPr="00F9522B" w:rsidRDefault="00611CBA">
            <w:pPr>
              <w:jc w:val="center"/>
              <w:rPr>
                <w:rFonts w:eastAsiaTheme="minorEastAsia"/>
                <w:szCs w:val="21"/>
              </w:rPr>
            </w:pPr>
            <w:r w:rsidRPr="00F9522B">
              <w:rPr>
                <w:rFonts w:eastAsiaTheme="minorEastAsia"/>
                <w:szCs w:val="21"/>
              </w:rPr>
              <w:t>现状评价</w:t>
            </w:r>
          </w:p>
        </w:tc>
        <w:tc>
          <w:tcPr>
            <w:tcW w:w="2004" w:type="dxa"/>
            <w:gridSpan w:val="2"/>
            <w:vAlign w:val="center"/>
          </w:tcPr>
          <w:p w:rsidR="002A5A5E" w:rsidRPr="00F9522B" w:rsidRDefault="00611CBA">
            <w:pPr>
              <w:jc w:val="center"/>
              <w:rPr>
                <w:rFonts w:eastAsiaTheme="minorEastAsia"/>
                <w:szCs w:val="21"/>
              </w:rPr>
            </w:pPr>
            <w:r w:rsidRPr="00F9522B">
              <w:rPr>
                <w:rFonts w:eastAsiaTheme="minorEastAsia"/>
                <w:szCs w:val="21"/>
              </w:rPr>
              <w:t>达标百分比</w:t>
            </w:r>
          </w:p>
        </w:tc>
        <w:tc>
          <w:tcPr>
            <w:tcW w:w="4233" w:type="dxa"/>
            <w:gridSpan w:val="5"/>
            <w:vAlign w:val="center"/>
          </w:tcPr>
          <w:p w:rsidR="002A5A5E" w:rsidRPr="00F9522B" w:rsidRDefault="00611CBA">
            <w:pPr>
              <w:jc w:val="center"/>
              <w:rPr>
                <w:rFonts w:eastAsiaTheme="minorEastAsia"/>
                <w:szCs w:val="21"/>
              </w:rPr>
            </w:pPr>
            <w:r w:rsidRPr="00F9522B">
              <w:rPr>
                <w:rFonts w:eastAsiaTheme="minorEastAsia"/>
                <w:szCs w:val="21"/>
              </w:rPr>
              <w:t>100%</w:t>
            </w:r>
          </w:p>
        </w:tc>
      </w:tr>
      <w:tr w:rsidR="002A5A5E" w:rsidRPr="00F9522B">
        <w:trPr>
          <w:jc w:val="center"/>
        </w:trPr>
        <w:tc>
          <w:tcPr>
            <w:tcW w:w="891" w:type="dxa"/>
            <w:vAlign w:val="center"/>
          </w:tcPr>
          <w:p w:rsidR="002A5A5E" w:rsidRPr="00F9522B" w:rsidRDefault="00611CBA">
            <w:pPr>
              <w:jc w:val="center"/>
              <w:rPr>
                <w:rFonts w:eastAsiaTheme="minorEastAsia"/>
                <w:szCs w:val="21"/>
              </w:rPr>
            </w:pPr>
            <w:r w:rsidRPr="00F9522B">
              <w:rPr>
                <w:rFonts w:eastAsiaTheme="minorEastAsia"/>
                <w:szCs w:val="21"/>
              </w:rPr>
              <w:t>噪声源</w:t>
            </w:r>
          </w:p>
          <w:p w:rsidR="002A5A5E" w:rsidRPr="00F9522B" w:rsidRDefault="00611CBA">
            <w:pPr>
              <w:jc w:val="center"/>
              <w:rPr>
                <w:rFonts w:eastAsiaTheme="minorEastAsia"/>
                <w:szCs w:val="21"/>
              </w:rPr>
            </w:pPr>
            <w:r w:rsidRPr="00F9522B">
              <w:rPr>
                <w:rFonts w:eastAsiaTheme="minorEastAsia"/>
                <w:szCs w:val="21"/>
              </w:rPr>
              <w:t>调查</w:t>
            </w:r>
          </w:p>
        </w:tc>
        <w:tc>
          <w:tcPr>
            <w:tcW w:w="1275" w:type="dxa"/>
            <w:vAlign w:val="center"/>
          </w:tcPr>
          <w:p w:rsidR="002A5A5E" w:rsidRPr="00F9522B" w:rsidRDefault="00611CBA">
            <w:pPr>
              <w:jc w:val="center"/>
              <w:rPr>
                <w:rFonts w:eastAsiaTheme="minorEastAsia"/>
                <w:szCs w:val="21"/>
              </w:rPr>
            </w:pPr>
            <w:r w:rsidRPr="00F9522B">
              <w:rPr>
                <w:rFonts w:eastAsiaTheme="minorEastAsia"/>
                <w:szCs w:val="21"/>
              </w:rPr>
              <w:t>噪声源调查方法</w:t>
            </w:r>
          </w:p>
        </w:tc>
        <w:tc>
          <w:tcPr>
            <w:tcW w:w="6237" w:type="dxa"/>
            <w:gridSpan w:val="7"/>
            <w:vAlign w:val="center"/>
          </w:tcPr>
          <w:p w:rsidR="002A5A5E" w:rsidRPr="00F9522B" w:rsidRDefault="00611CBA">
            <w:pPr>
              <w:jc w:val="center"/>
              <w:rPr>
                <w:rFonts w:eastAsiaTheme="minorEastAsia"/>
                <w:szCs w:val="21"/>
              </w:rPr>
            </w:pPr>
            <w:r w:rsidRPr="00F9522B">
              <w:rPr>
                <w:rFonts w:eastAsiaTheme="minorEastAsia"/>
                <w:szCs w:val="21"/>
              </w:rPr>
              <w:t>现场实测</w:t>
            </w:r>
            <w:r w:rsidRPr="00F9522B">
              <w:rPr>
                <w:rFonts w:eastAsiaTheme="minorEastAsia"/>
                <w:szCs w:val="21"/>
              </w:rPr>
              <w:t xml:space="preserve">□  </w:t>
            </w:r>
            <w:r w:rsidRPr="00F9522B">
              <w:rPr>
                <w:rFonts w:eastAsiaTheme="minorEastAsia"/>
                <w:szCs w:val="21"/>
              </w:rPr>
              <w:t>已有资料</w:t>
            </w:r>
            <w:r w:rsidRPr="00F9522B">
              <w:rPr>
                <w:rFonts w:eastAsiaTheme="minorEastAsia"/>
                <w:szCs w:val="21"/>
              </w:rPr>
              <w:t xml:space="preserve">√  </w:t>
            </w:r>
            <w:r w:rsidRPr="00F9522B">
              <w:rPr>
                <w:rFonts w:eastAsiaTheme="minorEastAsia"/>
                <w:szCs w:val="21"/>
              </w:rPr>
              <w:t>研究成果</w:t>
            </w:r>
            <w:r w:rsidRPr="00F9522B">
              <w:rPr>
                <w:rFonts w:eastAsiaTheme="minorEastAsia"/>
                <w:szCs w:val="21"/>
              </w:rPr>
              <w:t>□</w:t>
            </w:r>
          </w:p>
        </w:tc>
      </w:tr>
      <w:tr w:rsidR="002A5A5E" w:rsidRPr="00F9522B">
        <w:trPr>
          <w:jc w:val="center"/>
        </w:trPr>
        <w:tc>
          <w:tcPr>
            <w:tcW w:w="891" w:type="dxa"/>
            <w:vMerge w:val="restart"/>
            <w:vAlign w:val="center"/>
          </w:tcPr>
          <w:p w:rsidR="002A5A5E" w:rsidRPr="00F9522B" w:rsidRDefault="00611CBA">
            <w:pPr>
              <w:jc w:val="center"/>
              <w:rPr>
                <w:rFonts w:eastAsiaTheme="minorEastAsia"/>
                <w:szCs w:val="21"/>
              </w:rPr>
            </w:pPr>
            <w:r w:rsidRPr="00F9522B">
              <w:rPr>
                <w:rFonts w:eastAsiaTheme="minorEastAsia"/>
                <w:szCs w:val="21"/>
              </w:rPr>
              <w:t>声环境影响预测与评价</w:t>
            </w:r>
          </w:p>
        </w:tc>
        <w:tc>
          <w:tcPr>
            <w:tcW w:w="1275" w:type="dxa"/>
            <w:vAlign w:val="center"/>
          </w:tcPr>
          <w:p w:rsidR="002A5A5E" w:rsidRPr="00F9522B" w:rsidRDefault="00611CBA">
            <w:pPr>
              <w:jc w:val="center"/>
              <w:rPr>
                <w:rFonts w:eastAsiaTheme="minorEastAsia"/>
                <w:szCs w:val="21"/>
              </w:rPr>
            </w:pPr>
            <w:r w:rsidRPr="00F9522B">
              <w:rPr>
                <w:rFonts w:eastAsiaTheme="minorEastAsia"/>
                <w:szCs w:val="21"/>
              </w:rPr>
              <w:t>预测模型</w:t>
            </w:r>
          </w:p>
        </w:tc>
        <w:tc>
          <w:tcPr>
            <w:tcW w:w="6237" w:type="dxa"/>
            <w:gridSpan w:val="7"/>
            <w:vAlign w:val="center"/>
          </w:tcPr>
          <w:p w:rsidR="002A5A5E" w:rsidRPr="00F9522B" w:rsidRDefault="00611CBA">
            <w:pPr>
              <w:jc w:val="center"/>
              <w:rPr>
                <w:rFonts w:eastAsiaTheme="minorEastAsia"/>
                <w:szCs w:val="21"/>
              </w:rPr>
            </w:pPr>
            <w:r w:rsidRPr="00F9522B">
              <w:rPr>
                <w:rFonts w:eastAsiaTheme="minorEastAsia"/>
                <w:szCs w:val="21"/>
              </w:rPr>
              <w:t>导则推荐模型</w:t>
            </w:r>
            <w:r w:rsidRPr="00F9522B">
              <w:rPr>
                <w:rFonts w:eastAsiaTheme="minorEastAsia"/>
                <w:szCs w:val="21"/>
              </w:rPr>
              <w:t xml:space="preserve">√           </w:t>
            </w:r>
            <w:r w:rsidRPr="00F9522B">
              <w:rPr>
                <w:rFonts w:eastAsiaTheme="minorEastAsia"/>
                <w:szCs w:val="21"/>
              </w:rPr>
              <w:t>其他</w:t>
            </w:r>
            <w:r w:rsidRPr="00F9522B">
              <w:rPr>
                <w:rFonts w:eastAsiaTheme="minorEastAsia"/>
                <w:szCs w:val="21"/>
              </w:rPr>
              <w:t>□—</w:t>
            </w:r>
          </w:p>
        </w:tc>
      </w:tr>
      <w:tr w:rsidR="002A5A5E" w:rsidRPr="00F9522B">
        <w:trPr>
          <w:jc w:val="center"/>
        </w:trPr>
        <w:tc>
          <w:tcPr>
            <w:tcW w:w="891" w:type="dxa"/>
            <w:vMerge/>
            <w:vAlign w:val="center"/>
          </w:tcPr>
          <w:p w:rsidR="002A5A5E" w:rsidRPr="00F9522B" w:rsidRDefault="002A5A5E">
            <w:pPr>
              <w:jc w:val="center"/>
              <w:rPr>
                <w:rFonts w:eastAsiaTheme="minorEastAsia"/>
                <w:szCs w:val="21"/>
              </w:rPr>
            </w:pPr>
          </w:p>
        </w:tc>
        <w:tc>
          <w:tcPr>
            <w:tcW w:w="1275" w:type="dxa"/>
            <w:vAlign w:val="center"/>
          </w:tcPr>
          <w:p w:rsidR="002A5A5E" w:rsidRPr="00F9522B" w:rsidRDefault="00611CBA">
            <w:pPr>
              <w:jc w:val="center"/>
              <w:rPr>
                <w:rFonts w:eastAsiaTheme="minorEastAsia"/>
                <w:szCs w:val="21"/>
              </w:rPr>
            </w:pPr>
            <w:r w:rsidRPr="00F9522B">
              <w:rPr>
                <w:rFonts w:eastAsiaTheme="minorEastAsia"/>
                <w:szCs w:val="21"/>
              </w:rPr>
              <w:t>预测范围</w:t>
            </w:r>
          </w:p>
        </w:tc>
        <w:tc>
          <w:tcPr>
            <w:tcW w:w="6237" w:type="dxa"/>
            <w:gridSpan w:val="7"/>
            <w:vAlign w:val="center"/>
          </w:tcPr>
          <w:p w:rsidR="002A5A5E" w:rsidRPr="00F9522B" w:rsidRDefault="00611CBA">
            <w:pPr>
              <w:jc w:val="center"/>
              <w:rPr>
                <w:rFonts w:eastAsiaTheme="minorEastAsia"/>
                <w:szCs w:val="21"/>
              </w:rPr>
            </w:pPr>
            <w:r w:rsidRPr="00F9522B">
              <w:rPr>
                <w:rFonts w:eastAsiaTheme="minorEastAsia"/>
                <w:szCs w:val="21"/>
              </w:rPr>
              <w:t xml:space="preserve">200m√  </w:t>
            </w:r>
            <w:r w:rsidRPr="00F9522B">
              <w:rPr>
                <w:rFonts w:eastAsiaTheme="minorEastAsia"/>
                <w:szCs w:val="21"/>
              </w:rPr>
              <w:t>大于</w:t>
            </w:r>
            <w:r w:rsidRPr="00F9522B">
              <w:rPr>
                <w:rFonts w:eastAsiaTheme="minorEastAsia"/>
                <w:szCs w:val="21"/>
              </w:rPr>
              <w:t xml:space="preserve">200m□  </w:t>
            </w:r>
            <w:r w:rsidRPr="00F9522B">
              <w:rPr>
                <w:rFonts w:eastAsiaTheme="minorEastAsia"/>
                <w:szCs w:val="21"/>
              </w:rPr>
              <w:t>小于</w:t>
            </w:r>
            <w:r w:rsidRPr="00F9522B">
              <w:rPr>
                <w:rFonts w:eastAsiaTheme="minorEastAsia"/>
                <w:szCs w:val="21"/>
              </w:rPr>
              <w:t>200m□</w:t>
            </w:r>
          </w:p>
        </w:tc>
      </w:tr>
      <w:tr w:rsidR="002A5A5E" w:rsidRPr="00F9522B">
        <w:trPr>
          <w:jc w:val="center"/>
        </w:trPr>
        <w:tc>
          <w:tcPr>
            <w:tcW w:w="891" w:type="dxa"/>
            <w:vMerge/>
            <w:vAlign w:val="center"/>
          </w:tcPr>
          <w:p w:rsidR="002A5A5E" w:rsidRPr="00F9522B" w:rsidRDefault="002A5A5E">
            <w:pPr>
              <w:pStyle w:val="23"/>
              <w:spacing w:before="0" w:line="240" w:lineRule="auto"/>
              <w:ind w:left="0" w:firstLineChars="0" w:firstLine="0"/>
              <w:jc w:val="center"/>
              <w:rPr>
                <w:rFonts w:eastAsiaTheme="minorEastAsia"/>
                <w:b w:val="0"/>
                <w:color w:val="auto"/>
                <w:sz w:val="21"/>
                <w:szCs w:val="21"/>
              </w:rPr>
            </w:pPr>
          </w:p>
        </w:tc>
        <w:tc>
          <w:tcPr>
            <w:tcW w:w="1275" w:type="dxa"/>
            <w:vAlign w:val="center"/>
          </w:tcPr>
          <w:p w:rsidR="002A5A5E" w:rsidRPr="00F9522B" w:rsidRDefault="00611CBA">
            <w:pPr>
              <w:pStyle w:val="23"/>
              <w:spacing w:before="0" w:line="240" w:lineRule="auto"/>
              <w:ind w:left="0" w:firstLineChars="0" w:firstLine="0"/>
              <w:jc w:val="center"/>
              <w:rPr>
                <w:rFonts w:eastAsiaTheme="minorEastAsia"/>
                <w:b w:val="0"/>
                <w:color w:val="auto"/>
                <w:sz w:val="21"/>
                <w:szCs w:val="21"/>
              </w:rPr>
            </w:pPr>
            <w:r w:rsidRPr="00F9522B">
              <w:rPr>
                <w:rFonts w:eastAsiaTheme="minorEastAsia"/>
                <w:b w:val="0"/>
                <w:color w:val="auto"/>
                <w:sz w:val="21"/>
                <w:szCs w:val="21"/>
              </w:rPr>
              <w:t>预测因子</w:t>
            </w:r>
          </w:p>
        </w:tc>
        <w:tc>
          <w:tcPr>
            <w:tcW w:w="6237" w:type="dxa"/>
            <w:gridSpan w:val="7"/>
            <w:vAlign w:val="center"/>
          </w:tcPr>
          <w:p w:rsidR="002A5A5E" w:rsidRPr="00F9522B" w:rsidRDefault="00611CBA">
            <w:pPr>
              <w:pStyle w:val="23"/>
              <w:spacing w:before="0" w:line="240" w:lineRule="auto"/>
              <w:ind w:left="0" w:firstLineChars="0" w:firstLine="0"/>
              <w:jc w:val="center"/>
              <w:rPr>
                <w:rFonts w:eastAsiaTheme="minorEastAsia"/>
                <w:b w:val="0"/>
                <w:color w:val="auto"/>
                <w:sz w:val="21"/>
                <w:szCs w:val="21"/>
              </w:rPr>
            </w:pPr>
            <w:r w:rsidRPr="00F9522B">
              <w:rPr>
                <w:rFonts w:eastAsiaTheme="minorEastAsia"/>
                <w:b w:val="0"/>
                <w:color w:val="auto"/>
                <w:sz w:val="21"/>
                <w:szCs w:val="21"/>
              </w:rPr>
              <w:t>等效连续</w:t>
            </w:r>
            <w:r w:rsidRPr="00F9522B">
              <w:rPr>
                <w:rFonts w:eastAsiaTheme="minorEastAsia"/>
                <w:b w:val="0"/>
                <w:color w:val="auto"/>
                <w:sz w:val="21"/>
                <w:szCs w:val="21"/>
              </w:rPr>
              <w:t>A</w:t>
            </w:r>
            <w:r w:rsidRPr="00F9522B">
              <w:rPr>
                <w:rFonts w:eastAsiaTheme="minorEastAsia"/>
                <w:b w:val="0"/>
                <w:color w:val="auto"/>
                <w:sz w:val="21"/>
                <w:szCs w:val="21"/>
              </w:rPr>
              <w:t>声级</w:t>
            </w:r>
            <w:r w:rsidRPr="00F9522B">
              <w:rPr>
                <w:rFonts w:eastAsiaTheme="minorEastAsia"/>
                <w:b w:val="0"/>
                <w:color w:val="auto"/>
                <w:sz w:val="21"/>
                <w:szCs w:val="21"/>
              </w:rPr>
              <w:t xml:space="preserve">√  </w:t>
            </w:r>
            <w:r w:rsidRPr="00F9522B">
              <w:rPr>
                <w:rFonts w:eastAsiaTheme="minorEastAsia"/>
                <w:b w:val="0"/>
                <w:color w:val="auto"/>
                <w:sz w:val="21"/>
                <w:szCs w:val="21"/>
              </w:rPr>
              <w:t>最大</w:t>
            </w:r>
            <w:r w:rsidRPr="00F9522B">
              <w:rPr>
                <w:rFonts w:eastAsiaTheme="minorEastAsia"/>
                <w:b w:val="0"/>
                <w:color w:val="auto"/>
                <w:sz w:val="21"/>
                <w:szCs w:val="21"/>
              </w:rPr>
              <w:t>A</w:t>
            </w:r>
            <w:r w:rsidRPr="00F9522B">
              <w:rPr>
                <w:rFonts w:eastAsiaTheme="minorEastAsia"/>
                <w:b w:val="0"/>
                <w:color w:val="auto"/>
                <w:sz w:val="21"/>
                <w:szCs w:val="21"/>
              </w:rPr>
              <w:t>声级</w:t>
            </w:r>
            <w:r w:rsidRPr="00F9522B">
              <w:rPr>
                <w:rFonts w:eastAsiaTheme="minorEastAsia"/>
                <w:b w:val="0"/>
                <w:color w:val="auto"/>
                <w:sz w:val="21"/>
                <w:szCs w:val="21"/>
              </w:rPr>
              <w:t xml:space="preserve">□  </w:t>
            </w:r>
            <w:r w:rsidRPr="00F9522B">
              <w:rPr>
                <w:rFonts w:eastAsiaTheme="minorEastAsia"/>
                <w:b w:val="0"/>
                <w:color w:val="auto"/>
                <w:sz w:val="21"/>
                <w:szCs w:val="21"/>
              </w:rPr>
              <w:t>计权等效连续感觉噪声级</w:t>
            </w:r>
            <w:r w:rsidRPr="00F9522B">
              <w:rPr>
                <w:rFonts w:eastAsiaTheme="minorEastAsia"/>
                <w:b w:val="0"/>
                <w:color w:val="auto"/>
                <w:sz w:val="21"/>
                <w:szCs w:val="21"/>
              </w:rPr>
              <w:t>□</w:t>
            </w:r>
          </w:p>
        </w:tc>
      </w:tr>
      <w:tr w:rsidR="002A5A5E" w:rsidRPr="00F9522B">
        <w:trPr>
          <w:jc w:val="center"/>
        </w:trPr>
        <w:tc>
          <w:tcPr>
            <w:tcW w:w="891" w:type="dxa"/>
            <w:vMerge/>
            <w:vAlign w:val="center"/>
          </w:tcPr>
          <w:p w:rsidR="002A5A5E" w:rsidRPr="00F9522B" w:rsidRDefault="002A5A5E">
            <w:pPr>
              <w:pStyle w:val="23"/>
              <w:spacing w:before="0" w:line="240" w:lineRule="auto"/>
              <w:ind w:left="0" w:firstLineChars="0" w:firstLine="0"/>
              <w:jc w:val="center"/>
              <w:rPr>
                <w:rFonts w:eastAsiaTheme="minorEastAsia"/>
                <w:b w:val="0"/>
                <w:color w:val="auto"/>
                <w:sz w:val="21"/>
                <w:szCs w:val="21"/>
              </w:rPr>
            </w:pPr>
          </w:p>
        </w:tc>
        <w:tc>
          <w:tcPr>
            <w:tcW w:w="1275" w:type="dxa"/>
            <w:vAlign w:val="center"/>
          </w:tcPr>
          <w:p w:rsidR="002A5A5E" w:rsidRPr="00F9522B" w:rsidRDefault="00611CBA">
            <w:pPr>
              <w:pStyle w:val="23"/>
              <w:spacing w:before="0" w:line="240" w:lineRule="auto"/>
              <w:ind w:left="0" w:firstLineChars="0" w:firstLine="0"/>
              <w:jc w:val="center"/>
              <w:rPr>
                <w:rFonts w:eastAsiaTheme="minorEastAsia"/>
                <w:b w:val="0"/>
                <w:color w:val="auto"/>
                <w:sz w:val="21"/>
                <w:szCs w:val="21"/>
              </w:rPr>
            </w:pPr>
            <w:r w:rsidRPr="00F9522B">
              <w:rPr>
                <w:rFonts w:eastAsiaTheme="minorEastAsia"/>
                <w:b w:val="0"/>
                <w:color w:val="auto"/>
                <w:sz w:val="21"/>
                <w:szCs w:val="21"/>
              </w:rPr>
              <w:t>厂界噪声贡献值</w:t>
            </w:r>
          </w:p>
        </w:tc>
        <w:tc>
          <w:tcPr>
            <w:tcW w:w="6237" w:type="dxa"/>
            <w:gridSpan w:val="7"/>
            <w:vAlign w:val="center"/>
          </w:tcPr>
          <w:p w:rsidR="002A5A5E" w:rsidRPr="00F9522B" w:rsidRDefault="00611CBA">
            <w:pPr>
              <w:pStyle w:val="23"/>
              <w:spacing w:before="0" w:line="240" w:lineRule="auto"/>
              <w:ind w:left="0" w:firstLineChars="0" w:firstLine="0"/>
              <w:jc w:val="center"/>
              <w:rPr>
                <w:rFonts w:eastAsiaTheme="minorEastAsia"/>
                <w:b w:val="0"/>
                <w:color w:val="auto"/>
                <w:sz w:val="21"/>
                <w:szCs w:val="21"/>
              </w:rPr>
            </w:pPr>
            <w:r w:rsidRPr="00F9522B">
              <w:rPr>
                <w:rFonts w:eastAsiaTheme="minorEastAsia"/>
                <w:b w:val="0"/>
                <w:color w:val="auto"/>
                <w:sz w:val="21"/>
                <w:szCs w:val="21"/>
              </w:rPr>
              <w:t>达标</w:t>
            </w:r>
            <w:r w:rsidRPr="00F9522B">
              <w:rPr>
                <w:rFonts w:eastAsiaTheme="minorEastAsia"/>
                <w:b w:val="0"/>
                <w:color w:val="auto"/>
                <w:sz w:val="21"/>
                <w:szCs w:val="21"/>
              </w:rPr>
              <w:t xml:space="preserve">√  </w:t>
            </w:r>
            <w:r w:rsidRPr="00F9522B">
              <w:rPr>
                <w:rFonts w:eastAsiaTheme="minorEastAsia"/>
                <w:b w:val="0"/>
                <w:color w:val="auto"/>
                <w:sz w:val="21"/>
                <w:szCs w:val="21"/>
              </w:rPr>
              <w:t>不达标</w:t>
            </w:r>
            <w:r w:rsidRPr="00F9522B">
              <w:rPr>
                <w:rFonts w:eastAsiaTheme="minorEastAsia"/>
                <w:b w:val="0"/>
                <w:color w:val="auto"/>
                <w:sz w:val="21"/>
                <w:szCs w:val="21"/>
              </w:rPr>
              <w:t>□</w:t>
            </w:r>
          </w:p>
        </w:tc>
      </w:tr>
      <w:tr w:rsidR="002A5A5E" w:rsidRPr="00F9522B">
        <w:trPr>
          <w:jc w:val="center"/>
        </w:trPr>
        <w:tc>
          <w:tcPr>
            <w:tcW w:w="891" w:type="dxa"/>
            <w:vMerge/>
            <w:vAlign w:val="center"/>
          </w:tcPr>
          <w:p w:rsidR="002A5A5E" w:rsidRPr="00F9522B" w:rsidRDefault="002A5A5E">
            <w:pPr>
              <w:pStyle w:val="23"/>
              <w:spacing w:before="0" w:line="240" w:lineRule="auto"/>
              <w:ind w:left="0" w:firstLineChars="0" w:firstLine="0"/>
              <w:jc w:val="center"/>
              <w:rPr>
                <w:rFonts w:eastAsiaTheme="minorEastAsia"/>
                <w:b w:val="0"/>
                <w:color w:val="auto"/>
                <w:sz w:val="21"/>
                <w:szCs w:val="21"/>
              </w:rPr>
            </w:pPr>
          </w:p>
        </w:tc>
        <w:tc>
          <w:tcPr>
            <w:tcW w:w="1275" w:type="dxa"/>
            <w:vAlign w:val="center"/>
          </w:tcPr>
          <w:p w:rsidR="002A5A5E" w:rsidRPr="00F9522B" w:rsidRDefault="00611CBA">
            <w:pPr>
              <w:pStyle w:val="23"/>
              <w:spacing w:before="0" w:line="240" w:lineRule="auto"/>
              <w:ind w:left="0" w:firstLineChars="0" w:firstLine="0"/>
              <w:jc w:val="center"/>
              <w:rPr>
                <w:rFonts w:eastAsiaTheme="minorEastAsia"/>
                <w:b w:val="0"/>
                <w:color w:val="auto"/>
                <w:sz w:val="21"/>
                <w:szCs w:val="21"/>
              </w:rPr>
            </w:pPr>
            <w:r w:rsidRPr="00F9522B">
              <w:rPr>
                <w:rFonts w:eastAsiaTheme="minorEastAsia"/>
                <w:b w:val="0"/>
                <w:color w:val="auto"/>
                <w:sz w:val="21"/>
                <w:szCs w:val="21"/>
              </w:rPr>
              <w:t>声环境保护目标处噪声值</w:t>
            </w:r>
          </w:p>
        </w:tc>
        <w:tc>
          <w:tcPr>
            <w:tcW w:w="6237" w:type="dxa"/>
            <w:gridSpan w:val="7"/>
            <w:vAlign w:val="center"/>
          </w:tcPr>
          <w:p w:rsidR="002A5A5E" w:rsidRPr="00F9522B" w:rsidRDefault="00611CBA">
            <w:pPr>
              <w:pStyle w:val="23"/>
              <w:spacing w:before="0" w:line="240" w:lineRule="auto"/>
              <w:ind w:left="0" w:firstLineChars="0" w:firstLine="0"/>
              <w:jc w:val="center"/>
              <w:rPr>
                <w:rFonts w:eastAsiaTheme="minorEastAsia"/>
                <w:b w:val="0"/>
                <w:color w:val="auto"/>
                <w:sz w:val="21"/>
                <w:szCs w:val="21"/>
              </w:rPr>
            </w:pPr>
            <w:r w:rsidRPr="00F9522B">
              <w:rPr>
                <w:rFonts w:eastAsiaTheme="minorEastAsia"/>
                <w:b w:val="0"/>
                <w:color w:val="auto"/>
                <w:sz w:val="21"/>
                <w:szCs w:val="21"/>
              </w:rPr>
              <w:t>达标</w:t>
            </w:r>
            <w:r w:rsidRPr="00F9522B">
              <w:rPr>
                <w:rFonts w:eastAsiaTheme="minorEastAsia"/>
                <w:b w:val="0"/>
                <w:color w:val="auto"/>
                <w:sz w:val="21"/>
                <w:szCs w:val="21"/>
              </w:rPr>
              <w:t xml:space="preserve">√  </w:t>
            </w:r>
            <w:r w:rsidRPr="00F9522B">
              <w:rPr>
                <w:rFonts w:eastAsiaTheme="minorEastAsia"/>
                <w:b w:val="0"/>
                <w:color w:val="auto"/>
                <w:sz w:val="21"/>
                <w:szCs w:val="21"/>
              </w:rPr>
              <w:t>不达标</w:t>
            </w:r>
            <w:r w:rsidRPr="00F9522B">
              <w:rPr>
                <w:rFonts w:eastAsiaTheme="minorEastAsia"/>
                <w:b w:val="0"/>
                <w:color w:val="auto"/>
                <w:sz w:val="21"/>
                <w:szCs w:val="21"/>
              </w:rPr>
              <w:t>□</w:t>
            </w:r>
          </w:p>
        </w:tc>
      </w:tr>
      <w:tr w:rsidR="002A5A5E" w:rsidRPr="00F9522B">
        <w:trPr>
          <w:jc w:val="center"/>
        </w:trPr>
        <w:tc>
          <w:tcPr>
            <w:tcW w:w="891" w:type="dxa"/>
            <w:vMerge w:val="restart"/>
            <w:vAlign w:val="center"/>
          </w:tcPr>
          <w:p w:rsidR="002A5A5E" w:rsidRPr="00F9522B" w:rsidRDefault="00611CBA">
            <w:pPr>
              <w:pStyle w:val="23"/>
              <w:spacing w:before="0" w:line="240" w:lineRule="auto"/>
              <w:ind w:left="0" w:firstLineChars="0" w:firstLine="0"/>
              <w:jc w:val="center"/>
              <w:rPr>
                <w:rFonts w:eastAsiaTheme="minorEastAsia"/>
                <w:b w:val="0"/>
                <w:color w:val="auto"/>
                <w:sz w:val="21"/>
                <w:szCs w:val="21"/>
              </w:rPr>
            </w:pPr>
            <w:r w:rsidRPr="00F9522B">
              <w:rPr>
                <w:rFonts w:eastAsiaTheme="minorEastAsia"/>
                <w:b w:val="0"/>
                <w:color w:val="auto"/>
                <w:sz w:val="21"/>
                <w:szCs w:val="21"/>
              </w:rPr>
              <w:t>环境监测计划</w:t>
            </w:r>
          </w:p>
        </w:tc>
        <w:tc>
          <w:tcPr>
            <w:tcW w:w="1275" w:type="dxa"/>
            <w:vAlign w:val="center"/>
          </w:tcPr>
          <w:p w:rsidR="002A5A5E" w:rsidRPr="00F9522B" w:rsidRDefault="00611CBA">
            <w:pPr>
              <w:pStyle w:val="23"/>
              <w:spacing w:before="0" w:line="240" w:lineRule="auto"/>
              <w:ind w:left="0" w:firstLineChars="0" w:firstLine="0"/>
              <w:jc w:val="center"/>
              <w:rPr>
                <w:rFonts w:eastAsiaTheme="minorEastAsia"/>
                <w:b w:val="0"/>
                <w:color w:val="auto"/>
                <w:sz w:val="21"/>
                <w:szCs w:val="21"/>
              </w:rPr>
            </w:pPr>
            <w:r w:rsidRPr="00F9522B">
              <w:rPr>
                <w:rFonts w:eastAsiaTheme="minorEastAsia"/>
                <w:b w:val="0"/>
                <w:color w:val="auto"/>
                <w:sz w:val="21"/>
                <w:szCs w:val="21"/>
              </w:rPr>
              <w:t>排放监测</w:t>
            </w:r>
          </w:p>
        </w:tc>
        <w:tc>
          <w:tcPr>
            <w:tcW w:w="6237" w:type="dxa"/>
            <w:gridSpan w:val="7"/>
            <w:vAlign w:val="center"/>
          </w:tcPr>
          <w:p w:rsidR="002A5A5E" w:rsidRPr="00F9522B" w:rsidRDefault="00611CBA">
            <w:pPr>
              <w:pStyle w:val="23"/>
              <w:spacing w:before="0" w:line="240" w:lineRule="auto"/>
              <w:ind w:left="0" w:firstLineChars="0" w:firstLine="0"/>
              <w:jc w:val="center"/>
              <w:rPr>
                <w:rFonts w:eastAsiaTheme="minorEastAsia"/>
                <w:b w:val="0"/>
                <w:color w:val="auto"/>
                <w:sz w:val="21"/>
                <w:szCs w:val="21"/>
              </w:rPr>
            </w:pPr>
            <w:r w:rsidRPr="00F9522B">
              <w:rPr>
                <w:rFonts w:eastAsiaTheme="minorEastAsia"/>
                <w:b w:val="0"/>
                <w:color w:val="auto"/>
                <w:sz w:val="21"/>
                <w:szCs w:val="21"/>
              </w:rPr>
              <w:t>厂界监测</w:t>
            </w:r>
            <w:r w:rsidRPr="00F9522B">
              <w:rPr>
                <w:rFonts w:eastAsiaTheme="minorEastAsia"/>
                <w:b w:val="0"/>
                <w:color w:val="auto"/>
                <w:sz w:val="21"/>
                <w:szCs w:val="21"/>
              </w:rPr>
              <w:t xml:space="preserve">√ </w:t>
            </w:r>
            <w:r w:rsidRPr="00F9522B">
              <w:rPr>
                <w:rFonts w:eastAsiaTheme="minorEastAsia"/>
                <w:b w:val="0"/>
                <w:color w:val="auto"/>
                <w:sz w:val="21"/>
                <w:szCs w:val="21"/>
              </w:rPr>
              <w:t>固定位置监测</w:t>
            </w:r>
            <w:r w:rsidRPr="00F9522B">
              <w:rPr>
                <w:rFonts w:eastAsiaTheme="minorEastAsia"/>
                <w:b w:val="0"/>
                <w:color w:val="auto"/>
                <w:sz w:val="21"/>
                <w:szCs w:val="21"/>
              </w:rPr>
              <w:t xml:space="preserve">□  </w:t>
            </w:r>
            <w:r w:rsidRPr="00F9522B">
              <w:rPr>
                <w:rFonts w:eastAsiaTheme="minorEastAsia"/>
                <w:b w:val="0"/>
                <w:color w:val="auto"/>
                <w:sz w:val="21"/>
                <w:szCs w:val="21"/>
              </w:rPr>
              <w:t>自动监测</w:t>
            </w:r>
            <w:r w:rsidRPr="00F9522B">
              <w:rPr>
                <w:rFonts w:eastAsiaTheme="minorEastAsia"/>
                <w:b w:val="0"/>
                <w:color w:val="auto"/>
                <w:sz w:val="21"/>
                <w:szCs w:val="21"/>
              </w:rPr>
              <w:t xml:space="preserve">□ </w:t>
            </w:r>
            <w:r w:rsidRPr="00F9522B">
              <w:rPr>
                <w:rFonts w:eastAsiaTheme="minorEastAsia"/>
                <w:b w:val="0"/>
                <w:color w:val="auto"/>
                <w:sz w:val="21"/>
                <w:szCs w:val="21"/>
              </w:rPr>
              <w:t>手动监测</w:t>
            </w:r>
            <w:r w:rsidRPr="00F9522B">
              <w:rPr>
                <w:rFonts w:eastAsiaTheme="minorEastAsia"/>
                <w:b w:val="0"/>
                <w:color w:val="auto"/>
                <w:sz w:val="21"/>
                <w:szCs w:val="21"/>
              </w:rPr>
              <w:t xml:space="preserve">√  </w:t>
            </w:r>
            <w:r w:rsidRPr="00F9522B">
              <w:rPr>
                <w:rFonts w:eastAsiaTheme="minorEastAsia"/>
                <w:b w:val="0"/>
                <w:color w:val="auto"/>
                <w:sz w:val="21"/>
                <w:szCs w:val="21"/>
              </w:rPr>
              <w:t>无监测</w:t>
            </w:r>
            <w:r w:rsidRPr="00F9522B">
              <w:rPr>
                <w:rFonts w:eastAsiaTheme="minorEastAsia"/>
                <w:b w:val="0"/>
                <w:color w:val="auto"/>
                <w:sz w:val="21"/>
                <w:szCs w:val="21"/>
              </w:rPr>
              <w:t>□</w:t>
            </w:r>
          </w:p>
        </w:tc>
      </w:tr>
      <w:tr w:rsidR="002A5A5E" w:rsidRPr="00F9522B">
        <w:trPr>
          <w:jc w:val="center"/>
        </w:trPr>
        <w:tc>
          <w:tcPr>
            <w:tcW w:w="891" w:type="dxa"/>
            <w:vMerge/>
            <w:vAlign w:val="center"/>
          </w:tcPr>
          <w:p w:rsidR="002A5A5E" w:rsidRPr="00F9522B" w:rsidRDefault="002A5A5E">
            <w:pPr>
              <w:pStyle w:val="23"/>
              <w:spacing w:before="0" w:line="240" w:lineRule="auto"/>
              <w:ind w:left="0" w:firstLineChars="0" w:firstLine="0"/>
              <w:jc w:val="center"/>
              <w:rPr>
                <w:rFonts w:eastAsiaTheme="minorEastAsia"/>
                <w:b w:val="0"/>
                <w:color w:val="auto"/>
                <w:sz w:val="21"/>
                <w:szCs w:val="21"/>
              </w:rPr>
            </w:pPr>
          </w:p>
        </w:tc>
        <w:tc>
          <w:tcPr>
            <w:tcW w:w="1275" w:type="dxa"/>
            <w:vAlign w:val="center"/>
          </w:tcPr>
          <w:p w:rsidR="002A5A5E" w:rsidRPr="00F9522B" w:rsidRDefault="00611CBA">
            <w:pPr>
              <w:pStyle w:val="23"/>
              <w:spacing w:before="0" w:line="240" w:lineRule="auto"/>
              <w:ind w:left="0" w:firstLineChars="0" w:firstLine="0"/>
              <w:jc w:val="center"/>
              <w:rPr>
                <w:rFonts w:eastAsiaTheme="minorEastAsia"/>
                <w:b w:val="0"/>
                <w:color w:val="auto"/>
                <w:sz w:val="21"/>
                <w:szCs w:val="21"/>
              </w:rPr>
            </w:pPr>
            <w:r w:rsidRPr="00F9522B">
              <w:rPr>
                <w:rFonts w:eastAsiaTheme="minorEastAsia"/>
                <w:b w:val="0"/>
                <w:color w:val="auto"/>
                <w:sz w:val="21"/>
                <w:szCs w:val="21"/>
              </w:rPr>
              <w:t>声环境保护目标处噪声监测</w:t>
            </w:r>
          </w:p>
        </w:tc>
        <w:tc>
          <w:tcPr>
            <w:tcW w:w="2835" w:type="dxa"/>
            <w:gridSpan w:val="3"/>
            <w:vAlign w:val="center"/>
          </w:tcPr>
          <w:p w:rsidR="002A5A5E" w:rsidRPr="00F9522B" w:rsidRDefault="00611CBA">
            <w:pPr>
              <w:pStyle w:val="23"/>
              <w:spacing w:before="0" w:line="240" w:lineRule="auto"/>
              <w:ind w:left="0" w:firstLineChars="0" w:firstLine="0"/>
              <w:jc w:val="center"/>
              <w:rPr>
                <w:rFonts w:eastAsiaTheme="minorEastAsia"/>
                <w:b w:val="0"/>
                <w:color w:val="auto"/>
                <w:sz w:val="21"/>
                <w:szCs w:val="21"/>
              </w:rPr>
            </w:pPr>
            <w:r w:rsidRPr="00F9522B">
              <w:rPr>
                <w:rFonts w:eastAsiaTheme="minorEastAsia"/>
                <w:b w:val="0"/>
                <w:color w:val="auto"/>
                <w:sz w:val="21"/>
                <w:szCs w:val="21"/>
              </w:rPr>
              <w:t>监测因子：（等效</w:t>
            </w:r>
            <w:r w:rsidRPr="00F9522B">
              <w:rPr>
                <w:rFonts w:eastAsiaTheme="minorEastAsia"/>
                <w:b w:val="0"/>
                <w:color w:val="auto"/>
                <w:sz w:val="21"/>
                <w:szCs w:val="21"/>
              </w:rPr>
              <w:t>A</w:t>
            </w:r>
            <w:r w:rsidRPr="00F9522B">
              <w:rPr>
                <w:rFonts w:eastAsiaTheme="minorEastAsia"/>
                <w:b w:val="0"/>
                <w:color w:val="auto"/>
                <w:sz w:val="21"/>
                <w:szCs w:val="21"/>
              </w:rPr>
              <w:t>声级）</w:t>
            </w:r>
          </w:p>
        </w:tc>
        <w:tc>
          <w:tcPr>
            <w:tcW w:w="2127" w:type="dxa"/>
            <w:gridSpan w:val="3"/>
            <w:vAlign w:val="center"/>
          </w:tcPr>
          <w:p w:rsidR="002A5A5E" w:rsidRPr="00F9522B" w:rsidRDefault="00611CBA">
            <w:pPr>
              <w:pStyle w:val="23"/>
              <w:spacing w:before="0" w:line="240" w:lineRule="auto"/>
              <w:ind w:left="0" w:firstLineChars="0" w:firstLine="0"/>
              <w:jc w:val="center"/>
              <w:rPr>
                <w:rFonts w:eastAsiaTheme="minorEastAsia"/>
                <w:b w:val="0"/>
                <w:color w:val="auto"/>
                <w:sz w:val="21"/>
                <w:szCs w:val="21"/>
              </w:rPr>
            </w:pPr>
            <w:r w:rsidRPr="00F9522B">
              <w:rPr>
                <w:rFonts w:eastAsiaTheme="minorEastAsia"/>
                <w:b w:val="0"/>
                <w:color w:val="auto"/>
                <w:sz w:val="21"/>
                <w:szCs w:val="21"/>
              </w:rPr>
              <w:t>监测点位数（</w:t>
            </w:r>
            <w:r w:rsidRPr="00F9522B">
              <w:rPr>
                <w:rFonts w:eastAsiaTheme="minorEastAsia"/>
                <w:b w:val="0"/>
                <w:color w:val="auto"/>
                <w:sz w:val="21"/>
                <w:szCs w:val="21"/>
              </w:rPr>
              <w:t>5</w:t>
            </w:r>
            <w:r w:rsidRPr="00F9522B">
              <w:rPr>
                <w:rFonts w:eastAsiaTheme="minorEastAsia"/>
                <w:b w:val="0"/>
                <w:color w:val="auto"/>
                <w:sz w:val="21"/>
                <w:szCs w:val="21"/>
              </w:rPr>
              <w:t>）</w:t>
            </w:r>
          </w:p>
        </w:tc>
        <w:tc>
          <w:tcPr>
            <w:tcW w:w="1275" w:type="dxa"/>
            <w:vAlign w:val="center"/>
          </w:tcPr>
          <w:p w:rsidR="002A5A5E" w:rsidRPr="00F9522B" w:rsidRDefault="00611CBA">
            <w:pPr>
              <w:pStyle w:val="23"/>
              <w:spacing w:before="0" w:line="240" w:lineRule="auto"/>
              <w:ind w:left="0" w:firstLineChars="0" w:firstLine="0"/>
              <w:jc w:val="center"/>
              <w:rPr>
                <w:rFonts w:eastAsiaTheme="minorEastAsia"/>
                <w:b w:val="0"/>
                <w:color w:val="auto"/>
                <w:sz w:val="21"/>
                <w:szCs w:val="21"/>
              </w:rPr>
            </w:pPr>
            <w:r w:rsidRPr="00F9522B">
              <w:rPr>
                <w:rFonts w:eastAsiaTheme="minorEastAsia"/>
                <w:b w:val="0"/>
                <w:color w:val="auto"/>
                <w:sz w:val="21"/>
                <w:szCs w:val="21"/>
              </w:rPr>
              <w:t>无监测</w:t>
            </w:r>
            <w:r w:rsidRPr="00F9522B">
              <w:rPr>
                <w:rFonts w:eastAsiaTheme="minorEastAsia"/>
                <w:b w:val="0"/>
                <w:color w:val="auto"/>
                <w:sz w:val="21"/>
                <w:szCs w:val="21"/>
              </w:rPr>
              <w:t>□</w:t>
            </w:r>
          </w:p>
        </w:tc>
      </w:tr>
      <w:tr w:rsidR="002A5A5E" w:rsidRPr="00F9522B">
        <w:trPr>
          <w:jc w:val="center"/>
        </w:trPr>
        <w:tc>
          <w:tcPr>
            <w:tcW w:w="891" w:type="dxa"/>
            <w:vAlign w:val="center"/>
          </w:tcPr>
          <w:p w:rsidR="002A5A5E" w:rsidRPr="00F9522B" w:rsidRDefault="00611CBA">
            <w:pPr>
              <w:pStyle w:val="23"/>
              <w:spacing w:before="0" w:line="240" w:lineRule="auto"/>
              <w:ind w:left="0" w:firstLineChars="0" w:firstLine="0"/>
              <w:jc w:val="center"/>
              <w:rPr>
                <w:rFonts w:eastAsiaTheme="minorEastAsia"/>
                <w:b w:val="0"/>
                <w:color w:val="auto"/>
                <w:sz w:val="21"/>
                <w:szCs w:val="21"/>
              </w:rPr>
            </w:pPr>
            <w:r w:rsidRPr="00F9522B">
              <w:rPr>
                <w:rFonts w:eastAsiaTheme="minorEastAsia"/>
                <w:b w:val="0"/>
                <w:color w:val="auto"/>
                <w:sz w:val="21"/>
                <w:szCs w:val="21"/>
              </w:rPr>
              <w:t>评价</w:t>
            </w:r>
          </w:p>
          <w:p w:rsidR="002A5A5E" w:rsidRPr="00F9522B" w:rsidRDefault="00611CBA">
            <w:pPr>
              <w:pStyle w:val="23"/>
              <w:spacing w:before="0" w:line="240" w:lineRule="auto"/>
              <w:ind w:left="0" w:firstLineChars="0" w:firstLine="0"/>
              <w:jc w:val="center"/>
              <w:rPr>
                <w:rFonts w:eastAsiaTheme="minorEastAsia"/>
                <w:b w:val="0"/>
                <w:color w:val="auto"/>
                <w:sz w:val="21"/>
                <w:szCs w:val="21"/>
              </w:rPr>
            </w:pPr>
            <w:r w:rsidRPr="00F9522B">
              <w:rPr>
                <w:rFonts w:eastAsiaTheme="minorEastAsia"/>
                <w:b w:val="0"/>
                <w:color w:val="auto"/>
                <w:sz w:val="21"/>
                <w:szCs w:val="21"/>
              </w:rPr>
              <w:t>结论</w:t>
            </w:r>
          </w:p>
        </w:tc>
        <w:tc>
          <w:tcPr>
            <w:tcW w:w="1275" w:type="dxa"/>
            <w:vAlign w:val="center"/>
          </w:tcPr>
          <w:p w:rsidR="002A5A5E" w:rsidRPr="00F9522B" w:rsidRDefault="00611CBA">
            <w:pPr>
              <w:pStyle w:val="23"/>
              <w:spacing w:before="0" w:line="240" w:lineRule="auto"/>
              <w:ind w:left="0" w:firstLineChars="0" w:firstLine="0"/>
              <w:jc w:val="center"/>
              <w:rPr>
                <w:rFonts w:eastAsiaTheme="minorEastAsia"/>
                <w:b w:val="0"/>
                <w:color w:val="auto"/>
                <w:sz w:val="21"/>
                <w:szCs w:val="21"/>
              </w:rPr>
            </w:pPr>
            <w:r w:rsidRPr="00F9522B">
              <w:rPr>
                <w:rFonts w:eastAsiaTheme="minorEastAsia"/>
                <w:b w:val="0"/>
                <w:color w:val="auto"/>
                <w:sz w:val="21"/>
                <w:szCs w:val="21"/>
              </w:rPr>
              <w:t>环境影响</w:t>
            </w:r>
          </w:p>
        </w:tc>
        <w:tc>
          <w:tcPr>
            <w:tcW w:w="6237" w:type="dxa"/>
            <w:gridSpan w:val="7"/>
            <w:vAlign w:val="center"/>
          </w:tcPr>
          <w:p w:rsidR="002A5A5E" w:rsidRPr="00F9522B" w:rsidRDefault="00611CBA">
            <w:pPr>
              <w:pStyle w:val="23"/>
              <w:spacing w:before="0" w:line="240" w:lineRule="auto"/>
              <w:ind w:left="0" w:firstLineChars="0" w:firstLine="0"/>
              <w:jc w:val="center"/>
              <w:rPr>
                <w:rFonts w:eastAsiaTheme="minorEastAsia"/>
                <w:b w:val="0"/>
                <w:color w:val="auto"/>
                <w:sz w:val="21"/>
                <w:szCs w:val="21"/>
              </w:rPr>
            </w:pPr>
            <w:r w:rsidRPr="00F9522B">
              <w:rPr>
                <w:rFonts w:eastAsiaTheme="minorEastAsia"/>
                <w:b w:val="0"/>
                <w:color w:val="auto"/>
                <w:sz w:val="21"/>
                <w:szCs w:val="21"/>
              </w:rPr>
              <w:t>可行</w:t>
            </w:r>
            <w:r w:rsidRPr="00F9522B">
              <w:rPr>
                <w:rFonts w:eastAsiaTheme="minorEastAsia"/>
                <w:b w:val="0"/>
                <w:color w:val="auto"/>
                <w:sz w:val="21"/>
                <w:szCs w:val="21"/>
              </w:rPr>
              <w:t xml:space="preserve">√ </w:t>
            </w:r>
            <w:r w:rsidRPr="00F9522B">
              <w:rPr>
                <w:rFonts w:eastAsiaTheme="minorEastAsia"/>
                <w:b w:val="0"/>
                <w:color w:val="auto"/>
                <w:sz w:val="21"/>
                <w:szCs w:val="21"/>
              </w:rPr>
              <w:t>不可行</w:t>
            </w:r>
            <w:r w:rsidRPr="00F9522B">
              <w:rPr>
                <w:rFonts w:eastAsiaTheme="minorEastAsia"/>
                <w:b w:val="0"/>
                <w:color w:val="auto"/>
                <w:sz w:val="21"/>
                <w:szCs w:val="21"/>
              </w:rPr>
              <w:t>□</w:t>
            </w:r>
          </w:p>
        </w:tc>
      </w:tr>
      <w:tr w:rsidR="002A5A5E" w:rsidRPr="00F9522B">
        <w:trPr>
          <w:jc w:val="center"/>
        </w:trPr>
        <w:tc>
          <w:tcPr>
            <w:tcW w:w="8403" w:type="dxa"/>
            <w:gridSpan w:val="9"/>
            <w:vAlign w:val="center"/>
          </w:tcPr>
          <w:p w:rsidR="002A5A5E" w:rsidRPr="00F9522B" w:rsidRDefault="00611CBA">
            <w:pPr>
              <w:pStyle w:val="23"/>
              <w:spacing w:before="0" w:line="240" w:lineRule="auto"/>
              <w:ind w:left="0" w:firstLineChars="0" w:firstLine="0"/>
              <w:jc w:val="center"/>
              <w:rPr>
                <w:rFonts w:eastAsiaTheme="minorEastAsia"/>
                <w:b w:val="0"/>
                <w:color w:val="auto"/>
                <w:sz w:val="21"/>
                <w:szCs w:val="21"/>
              </w:rPr>
            </w:pPr>
            <w:r w:rsidRPr="00F9522B">
              <w:rPr>
                <w:rFonts w:eastAsiaTheme="minorEastAsia"/>
                <w:b w:val="0"/>
                <w:color w:val="auto"/>
                <w:sz w:val="21"/>
                <w:szCs w:val="21"/>
              </w:rPr>
              <w:t>注：</w:t>
            </w:r>
            <w:r w:rsidRPr="00F9522B">
              <w:rPr>
                <w:rFonts w:eastAsiaTheme="minorEastAsia"/>
                <w:b w:val="0"/>
                <w:color w:val="auto"/>
                <w:sz w:val="21"/>
                <w:szCs w:val="21"/>
              </w:rPr>
              <w:t xml:space="preserve">“□” </w:t>
            </w:r>
            <w:r w:rsidRPr="00F9522B">
              <w:rPr>
                <w:rFonts w:eastAsiaTheme="minorEastAsia"/>
                <w:b w:val="0"/>
                <w:color w:val="auto"/>
                <w:sz w:val="21"/>
                <w:szCs w:val="21"/>
              </w:rPr>
              <w:t>为勾选项</w:t>
            </w:r>
            <w:r w:rsidRPr="00F9522B">
              <w:rPr>
                <w:rFonts w:eastAsiaTheme="minorEastAsia"/>
                <w:b w:val="0"/>
                <w:color w:val="auto"/>
                <w:sz w:val="21"/>
                <w:szCs w:val="21"/>
              </w:rPr>
              <w:t xml:space="preserve"> </w:t>
            </w:r>
            <w:r w:rsidRPr="00F9522B">
              <w:rPr>
                <w:rFonts w:eastAsiaTheme="minorEastAsia"/>
                <w:b w:val="0"/>
                <w:color w:val="auto"/>
                <w:sz w:val="21"/>
                <w:szCs w:val="21"/>
              </w:rPr>
              <w:t>，可</w:t>
            </w:r>
            <w:r w:rsidRPr="00F9522B">
              <w:rPr>
                <w:rFonts w:eastAsiaTheme="minorEastAsia"/>
                <w:b w:val="0"/>
                <w:color w:val="auto"/>
                <w:sz w:val="21"/>
                <w:szCs w:val="21"/>
              </w:rPr>
              <w:t xml:space="preserve">√ </w:t>
            </w:r>
            <w:r w:rsidRPr="00F9522B">
              <w:rPr>
                <w:rFonts w:eastAsiaTheme="minorEastAsia"/>
                <w:b w:val="0"/>
                <w:color w:val="auto"/>
                <w:sz w:val="21"/>
                <w:szCs w:val="21"/>
              </w:rPr>
              <w:t>；</w:t>
            </w:r>
            <w:r w:rsidRPr="00F9522B">
              <w:rPr>
                <w:rFonts w:eastAsiaTheme="minorEastAsia"/>
                <w:b w:val="0"/>
                <w:color w:val="auto"/>
                <w:sz w:val="21"/>
                <w:szCs w:val="21"/>
              </w:rPr>
              <w:t>“</w:t>
            </w:r>
            <w:r w:rsidRPr="00F9522B">
              <w:rPr>
                <w:rFonts w:eastAsiaTheme="minorEastAsia"/>
                <w:b w:val="0"/>
                <w:color w:val="auto"/>
                <w:sz w:val="21"/>
                <w:szCs w:val="21"/>
              </w:rPr>
              <w:t>（</w:t>
            </w:r>
            <w:r w:rsidRPr="00F9522B">
              <w:rPr>
                <w:rFonts w:eastAsiaTheme="minorEastAsia"/>
                <w:b w:val="0"/>
                <w:color w:val="auto"/>
                <w:sz w:val="21"/>
                <w:szCs w:val="21"/>
              </w:rPr>
              <w:t xml:space="preserve"> </w:t>
            </w:r>
            <w:r w:rsidRPr="00F9522B">
              <w:rPr>
                <w:rFonts w:eastAsiaTheme="minorEastAsia"/>
                <w:b w:val="0"/>
                <w:color w:val="auto"/>
                <w:sz w:val="21"/>
                <w:szCs w:val="21"/>
              </w:rPr>
              <w:t>）</w:t>
            </w:r>
            <w:r w:rsidRPr="00F9522B">
              <w:rPr>
                <w:rFonts w:eastAsiaTheme="minorEastAsia"/>
                <w:b w:val="0"/>
                <w:color w:val="auto"/>
                <w:sz w:val="21"/>
                <w:szCs w:val="21"/>
              </w:rPr>
              <w:t xml:space="preserve">” </w:t>
            </w:r>
            <w:r w:rsidRPr="00F9522B">
              <w:rPr>
                <w:rFonts w:eastAsiaTheme="minorEastAsia"/>
                <w:b w:val="0"/>
                <w:color w:val="auto"/>
                <w:sz w:val="21"/>
                <w:szCs w:val="21"/>
              </w:rPr>
              <w:t>为内容填写项。</w:t>
            </w:r>
          </w:p>
        </w:tc>
      </w:tr>
    </w:tbl>
    <w:p w:rsidR="002A5A5E" w:rsidRPr="00F9522B" w:rsidRDefault="002A5A5E">
      <w:pPr>
        <w:pStyle w:val="23"/>
        <w:ind w:firstLineChars="176" w:firstLine="424"/>
        <w:rPr>
          <w:rFonts w:eastAsiaTheme="minorEastAsia"/>
          <w:color w:val="auto"/>
        </w:rPr>
      </w:pPr>
    </w:p>
    <w:p w:rsidR="002A5A5E" w:rsidRPr="00F9522B" w:rsidRDefault="002A5A5E">
      <w:pPr>
        <w:spacing w:after="316" w:line="1" w:lineRule="exact"/>
        <w:rPr>
          <w:rFonts w:eastAsiaTheme="minorEastAsia"/>
        </w:rPr>
      </w:pPr>
    </w:p>
    <w:p w:rsidR="002A5A5E" w:rsidRPr="00F9522B" w:rsidRDefault="002A5A5E">
      <w:pPr>
        <w:spacing w:after="316" w:line="1" w:lineRule="exact"/>
        <w:rPr>
          <w:rFonts w:eastAsiaTheme="minorEastAsia"/>
        </w:rPr>
      </w:pPr>
    </w:p>
    <w:p w:rsidR="002A5A5E" w:rsidRPr="00F9522B" w:rsidRDefault="002A5A5E">
      <w:pPr>
        <w:spacing w:after="316" w:line="1" w:lineRule="exact"/>
        <w:rPr>
          <w:rFonts w:eastAsiaTheme="minorEastAsia"/>
        </w:rPr>
      </w:pPr>
    </w:p>
    <w:p w:rsidR="002A5A5E" w:rsidRPr="00F9522B" w:rsidRDefault="002A5A5E">
      <w:pPr>
        <w:spacing w:line="360" w:lineRule="auto"/>
        <w:ind w:firstLineChars="200" w:firstLine="480"/>
        <w:rPr>
          <w:rFonts w:eastAsiaTheme="minorEastAsia"/>
          <w:kern w:val="18"/>
          <w:sz w:val="24"/>
          <w:szCs w:val="21"/>
        </w:rPr>
      </w:pPr>
    </w:p>
    <w:p w:rsidR="002A5A5E" w:rsidRPr="00F9522B" w:rsidRDefault="002A5A5E">
      <w:pPr>
        <w:spacing w:line="360" w:lineRule="auto"/>
        <w:ind w:firstLineChars="200" w:firstLine="480"/>
        <w:rPr>
          <w:rFonts w:eastAsiaTheme="minorEastAsia"/>
          <w:kern w:val="18"/>
          <w:sz w:val="24"/>
          <w:szCs w:val="21"/>
        </w:rPr>
      </w:pPr>
    </w:p>
    <w:p w:rsidR="002A5A5E" w:rsidRPr="00F9522B" w:rsidRDefault="002A5A5E">
      <w:pPr>
        <w:spacing w:line="360" w:lineRule="auto"/>
        <w:ind w:firstLineChars="200" w:firstLine="480"/>
        <w:rPr>
          <w:rFonts w:eastAsiaTheme="minorEastAsia"/>
          <w:kern w:val="18"/>
          <w:sz w:val="24"/>
          <w:szCs w:val="21"/>
        </w:rPr>
      </w:pPr>
    </w:p>
    <w:p w:rsidR="00E9283F" w:rsidRPr="00F9522B" w:rsidRDefault="00E9283F">
      <w:pPr>
        <w:spacing w:line="360" w:lineRule="auto"/>
        <w:ind w:firstLineChars="200" w:firstLine="480"/>
        <w:rPr>
          <w:rFonts w:eastAsiaTheme="minorEastAsia"/>
          <w:kern w:val="18"/>
          <w:sz w:val="24"/>
          <w:szCs w:val="21"/>
        </w:rPr>
      </w:pPr>
    </w:p>
    <w:sectPr w:rsidR="00E9283F" w:rsidRPr="00F9522B" w:rsidSect="002A5A5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196C" w:rsidRDefault="00CA196C" w:rsidP="002A5A5E">
      <w:r>
        <w:separator/>
      </w:r>
    </w:p>
  </w:endnote>
  <w:endnote w:type="continuationSeparator" w:id="1">
    <w:p w:rsidR="00CA196C" w:rsidRDefault="00CA196C" w:rsidP="002A5A5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FangSong_GB2312">
    <w:panose1 w:val="02010609060101010101"/>
    <w:charset w:val="00"/>
    <w:family w:val="roman"/>
    <w:notTrueType/>
    <w:pitch w:val="default"/>
    <w:sig w:usb0="00000000" w:usb1="00000000" w:usb2="00000000" w:usb3="00000000" w:csb0="00000000" w:csb1="00000000"/>
  </w:font>
  <w:font w:name="楷体_GB2312">
    <w:altName w:val="楷体"/>
    <w:charset w:val="86"/>
    <w:family w:val="modern"/>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TimesNewRomanPSMT">
    <w:altName w:val="等线"/>
    <w:charset w:val="86"/>
    <w:family w:val="auto"/>
    <w:pitch w:val="default"/>
    <w:sig w:usb0="00000000" w:usb1="00000000" w:usb2="00000000" w:usb3="00000000" w:csb0="00040000" w:csb1="00000000"/>
  </w:font>
  <w:font w:name="昆仑仿宋">
    <w:altName w:val="宋体"/>
    <w:charset w:val="86"/>
    <w:family w:val="modern"/>
    <w:pitch w:val="default"/>
    <w:sig w:usb0="00000000" w:usb1="00000000" w:usb2="00000010" w:usb3="00000000" w:csb0="00040000" w:csb1="00000000"/>
  </w:font>
  <w:font w:name="幼圆">
    <w:panose1 w:val="02010509060101010101"/>
    <w:charset w:val="86"/>
    <w:family w:val="modern"/>
    <w:pitch w:val="fixed"/>
    <w:sig w:usb0="00000001" w:usb1="080E0000" w:usb2="00000010" w:usb3="00000000" w:csb0="00040000" w:csb1="00000000"/>
  </w:font>
  <w:font w:name="MingLiU">
    <w:altName w:val="細明體"/>
    <w:panose1 w:val="02010609000101010101"/>
    <w:charset w:val="88"/>
    <w:family w:val="modern"/>
    <w:notTrueType/>
    <w:pitch w:val="fixed"/>
    <w:sig w:usb0="00000001" w:usb1="08080000" w:usb2="00000010" w:usb3="00000000" w:csb0="00100000" w:csb1="00000000"/>
  </w:font>
  <w:font w:name="Arial Black">
    <w:panose1 w:val="020B0A04020102020204"/>
    <w:charset w:val="00"/>
    <w:family w:val="swiss"/>
    <w:pitch w:val="variable"/>
    <w:sig w:usb0="A00002AF" w:usb1="400078FB" w:usb2="00000000" w:usb3="00000000" w:csb0="0000009F" w:csb1="00000000"/>
  </w:font>
  <w:font w:name="Financial  (MF)">
    <w:altName w:val="Times New Roman"/>
    <w:charset w:val="00"/>
    <w:family w:val="roman"/>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
    <w:altName w:val="Times New Roman"/>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仿宋体">
    <w:altName w:val="宋体"/>
    <w:charset w:val="86"/>
    <w:family w:val="roma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MS Shell Dlg">
    <w:altName w:val="Microsoft Sans Serif"/>
    <w:panose1 w:val="020B0604020202020204"/>
    <w:charset w:val="00"/>
    <w:family w:val="swiss"/>
    <w:pitch w:val="default"/>
    <w:sig w:usb0="00000000" w:usb1="00000000" w:usb2="00000029" w:usb3="00000000" w:csb0="000101FF" w:csb1="00000000"/>
  </w:font>
  <w:font w:name="汉鼎简书宋">
    <w:altName w:val="宋体"/>
    <w:charset w:val="86"/>
    <w:family w:val="modern"/>
    <w:pitch w:val="default"/>
    <w:sig w:usb0="00000000" w:usb1="00000000" w:usb2="00000010" w:usb3="00000000" w:csb0="00040000" w:csb1="00000000"/>
  </w:font>
  <w:font w:name="TimesNewRomanPS-ItalicMT">
    <w:altName w:val="Times New Roman"/>
    <w:charset w:val="00"/>
    <w:family w:val="roman"/>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SymbolMT">
    <w:altName w:val="Yu Gothic"/>
    <w:charset w:val="80"/>
    <w:family w:val="auto"/>
    <w:pitch w:val="default"/>
    <w:sig w:usb0="00000000" w:usb1="00000000" w:usb2="00000010" w:usb3="00000000" w:csb0="00020000"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瀹嬩綋">
    <w:altName w:val="宋体"/>
    <w:charset w:val="86"/>
    <w:family w:val="roman"/>
    <w:pitch w:val="default"/>
    <w:sig w:usb0="00000000" w:usb1="00000000" w:usb2="00000010" w:usb3="00000000" w:csb0="00040000" w:csb1="00000000"/>
  </w:font>
  <w:font w:name="MS Mincho">
    <w:altName w:val="ＭＳ 明朝"/>
    <w:panose1 w:val="02020609040205080304"/>
    <w:charset w:val="80"/>
    <w:family w:val="modern"/>
    <w:pitch w:val="fixed"/>
    <w:sig w:usb0="A00002BF" w:usb1="68C7FCFB" w:usb2="00000010" w:usb3="00000000" w:csb0="0002009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087410"/>
    </w:sdtPr>
    <w:sdtContent>
      <w:p w:rsidR="000D2D13" w:rsidRDefault="000D2D13">
        <w:pPr>
          <w:pStyle w:val="af2"/>
          <w:jc w:val="center"/>
        </w:pPr>
        <w:r w:rsidRPr="005273A1">
          <w:fldChar w:fldCharType="begin"/>
        </w:r>
        <w:r>
          <w:instrText xml:space="preserve"> PAGE   \* MERGEFORMAT </w:instrText>
        </w:r>
        <w:r w:rsidRPr="005273A1">
          <w:fldChar w:fldCharType="separate"/>
        </w:r>
        <w:r w:rsidR="002D040C" w:rsidRPr="002D040C">
          <w:rPr>
            <w:noProof/>
            <w:lang w:val="zh-CN"/>
          </w:rPr>
          <w:t>159</w:t>
        </w:r>
        <w:r>
          <w:rPr>
            <w:lang w:val="zh-CN"/>
          </w:rPr>
          <w:fldChar w:fldCharType="end"/>
        </w:r>
      </w:p>
    </w:sdtContent>
  </w:sdt>
  <w:p w:rsidR="000D2D13" w:rsidRDefault="000D2D13">
    <w:pPr>
      <w:pStyle w:val="af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D13" w:rsidRDefault="000D2D13">
    <w:pPr>
      <w:pStyle w:val="af2"/>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D13" w:rsidRDefault="000D2D13">
    <w:pPr>
      <w:pStyle w:val="af2"/>
      <w:ind w:firstLine="360"/>
      <w:jc w:val="center"/>
    </w:pPr>
    <w:r w:rsidRPr="005273A1">
      <w:fldChar w:fldCharType="begin"/>
    </w:r>
    <w:r>
      <w:instrText>PAGE   \* MERGEFORMAT</w:instrText>
    </w:r>
    <w:r w:rsidRPr="005273A1">
      <w:fldChar w:fldCharType="separate"/>
    </w:r>
    <w:r w:rsidR="002D040C" w:rsidRPr="002D040C">
      <w:rPr>
        <w:noProof/>
        <w:lang w:val="zh-CN"/>
      </w:rPr>
      <w:t>321</w:t>
    </w:r>
    <w:r>
      <w:rPr>
        <w:lang w:val="zh-CN"/>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D13" w:rsidRDefault="000D2D13">
    <w:pPr>
      <w:pStyle w:val="af2"/>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196C" w:rsidRDefault="00CA196C" w:rsidP="002A5A5E">
      <w:r>
        <w:separator/>
      </w:r>
    </w:p>
  </w:footnote>
  <w:footnote w:type="continuationSeparator" w:id="1">
    <w:p w:rsidR="00CA196C" w:rsidRDefault="00CA196C" w:rsidP="002A5A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D13" w:rsidRDefault="000D2D13">
    <w:pPr>
      <w:pBdr>
        <w:bottom w:val="single" w:sz="4" w:space="0" w:color="auto"/>
      </w:pBdr>
      <w:jc w:val="center"/>
      <w:outlineLvl w:val="0"/>
      <w:rPr>
        <w:rFonts w:ascii="黑体" w:eastAsia="黑体" w:hAnsi="宋体"/>
        <w:sz w:val="18"/>
        <w:szCs w:val="18"/>
      </w:rPr>
    </w:pPr>
    <w:r>
      <w:rPr>
        <w:rFonts w:ascii="黑体" w:eastAsia="黑体" w:hAnsi="宋体" w:hint="eastAsia"/>
        <w:sz w:val="18"/>
        <w:szCs w:val="18"/>
      </w:rPr>
      <w:t>呼兰区2026年高标准农田建设项目环境影响报告书</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D13" w:rsidRDefault="000D2D13">
    <w:pPr>
      <w:pStyle w:val="af3"/>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D13" w:rsidRDefault="000D2D13">
    <w:pPr>
      <w:pBdr>
        <w:bottom w:val="single" w:sz="4" w:space="0" w:color="auto"/>
      </w:pBdr>
      <w:jc w:val="center"/>
      <w:outlineLvl w:val="0"/>
      <w:rPr>
        <w:rFonts w:ascii="黑体" w:eastAsia="黑体" w:hAnsi="宋体"/>
        <w:sz w:val="18"/>
        <w:szCs w:val="18"/>
      </w:rPr>
    </w:pPr>
    <w:r>
      <w:rPr>
        <w:rFonts w:ascii="黑体" w:eastAsia="黑体" w:hAnsi="宋体" w:hint="eastAsia"/>
        <w:sz w:val="18"/>
        <w:szCs w:val="18"/>
      </w:rPr>
      <w:t>呼兰区2026年高标准农田建设项目环境影响报告书</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D13" w:rsidRDefault="000D2D13">
    <w:pPr>
      <w:pStyle w:val="af3"/>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A480E55"/>
    <w:multiLevelType w:val="singleLevel"/>
    <w:tmpl w:val="BA480E55"/>
    <w:lvl w:ilvl="0">
      <w:start w:val="1"/>
      <w:numFmt w:val="bullet"/>
      <w:pStyle w:val="a"/>
      <w:lvlText w:val=""/>
      <w:lvlJc w:val="left"/>
      <w:pPr>
        <w:tabs>
          <w:tab w:val="left" w:pos="360"/>
        </w:tabs>
        <w:ind w:left="360" w:hanging="360"/>
      </w:pPr>
      <w:rPr>
        <w:rFonts w:ascii="Wingdings" w:hAnsi="Wingdings" w:hint="default"/>
      </w:rPr>
    </w:lvl>
  </w:abstractNum>
  <w:abstractNum w:abstractNumId="1">
    <w:nsid w:val="189F5310"/>
    <w:multiLevelType w:val="multilevel"/>
    <w:tmpl w:val="189F5310"/>
    <w:lvl w:ilvl="0">
      <w:start w:val="1"/>
      <w:numFmt w:val="decimal"/>
      <w:suff w:val="space"/>
      <w:lvlText w:val="第%1章"/>
      <w:lvlJc w:val="center"/>
      <w:pPr>
        <w:ind w:left="0" w:firstLine="0"/>
      </w:pPr>
      <w:rPr>
        <w:rFonts w:ascii="Times New Roman" w:eastAsia="黑体" w:hAnsi="Times New Roman" w:hint="default"/>
        <w:b w:val="0"/>
        <w:i w:val="0"/>
        <w:sz w:val="36"/>
      </w:rPr>
    </w:lvl>
    <w:lvl w:ilvl="1">
      <w:start w:val="1"/>
      <w:numFmt w:val="decimal"/>
      <w:suff w:val="space"/>
      <w:lvlText w:val="%1.%2"/>
      <w:lvlJc w:val="left"/>
      <w:pPr>
        <w:ind w:left="0" w:firstLine="0"/>
      </w:pPr>
      <w:rPr>
        <w:rFonts w:ascii="Times New Roman" w:eastAsia="宋体" w:hAnsi="Times New Roman" w:hint="default"/>
        <w:b w:val="0"/>
        <w:i w:val="0"/>
        <w:sz w:val="32"/>
      </w:rPr>
    </w:lvl>
    <w:lvl w:ilvl="2">
      <w:start w:val="1"/>
      <w:numFmt w:val="decimal"/>
      <w:suff w:val="space"/>
      <w:lvlText w:val="%1.%2.%3"/>
      <w:lvlJc w:val="left"/>
      <w:pPr>
        <w:ind w:left="0" w:firstLine="0"/>
      </w:pPr>
      <w:rPr>
        <w:rFonts w:ascii="Times New Roman" w:eastAsia="黑体" w:hAnsi="Times New Roman" w:hint="default"/>
        <w:b w:val="0"/>
        <w:i w:val="0"/>
        <w:sz w:val="30"/>
      </w:rPr>
    </w:lvl>
    <w:lvl w:ilvl="3">
      <w:start w:val="1"/>
      <w:numFmt w:val="decimal"/>
      <w:suff w:val="space"/>
      <w:lvlText w:val="%1.%2.%3.%4"/>
      <w:lvlJc w:val="left"/>
      <w:pPr>
        <w:ind w:left="0" w:firstLine="0"/>
      </w:pPr>
      <w:rPr>
        <w:rFonts w:ascii="Times New Roman" w:eastAsia="黑体" w:hAnsi="Times New Roman" w:hint="default"/>
        <w:b w:val="0"/>
        <w:i w:val="0"/>
        <w:sz w:val="28"/>
      </w:rPr>
    </w:lvl>
    <w:lvl w:ilvl="4">
      <w:start w:val="1"/>
      <w:numFmt w:val="decimal"/>
      <w:suff w:val="nothing"/>
      <w:lvlText w:val="（%5）"/>
      <w:lvlJc w:val="left"/>
      <w:pPr>
        <w:ind w:left="-87" w:firstLine="567"/>
      </w:pPr>
      <w:rPr>
        <w:rFonts w:ascii="Times New Roman" w:eastAsia="宋体" w:hAnsi="Times New Roman" w:hint="default"/>
        <w:b w:val="0"/>
        <w:i w:val="0"/>
        <w:sz w:val="24"/>
      </w:rPr>
    </w:lvl>
    <w:lvl w:ilvl="5">
      <w:start w:val="1"/>
      <w:numFmt w:val="upperLetter"/>
      <w:suff w:val="nothing"/>
      <w:lvlText w:val="%6."/>
      <w:lvlJc w:val="left"/>
      <w:pPr>
        <w:ind w:left="0" w:firstLine="0"/>
      </w:pPr>
      <w:rPr>
        <w:rFonts w:ascii="Times New Roman" w:eastAsia="宋体" w:hAnsi="Times New Roman" w:hint="default"/>
        <w:sz w:val="24"/>
      </w:rPr>
    </w:lvl>
    <w:lvl w:ilvl="6">
      <w:start w:val="1"/>
      <w:numFmt w:val="lowerRoman"/>
      <w:pStyle w:val="7"/>
      <w:suff w:val="space"/>
      <w:lvlText w:val="%7."/>
      <w:lvlJc w:val="left"/>
      <w:pPr>
        <w:ind w:left="0" w:firstLine="567"/>
      </w:pPr>
      <w:rPr>
        <w:rFonts w:ascii="Times New Roman" w:eastAsia="宋体" w:hAnsi="Times New Roman" w:hint="default"/>
        <w:b w:val="0"/>
        <w:i w:val="0"/>
        <w:sz w:val="28"/>
      </w:rPr>
    </w:lvl>
    <w:lvl w:ilvl="7">
      <w:start w:val="1"/>
      <w:numFmt w:val="decimal"/>
      <w:lvlRestart w:val="0"/>
      <w:suff w:val="space"/>
      <w:lvlText w:val="表%8"/>
      <w:lvlJc w:val="center"/>
      <w:pPr>
        <w:ind w:left="0" w:firstLine="288"/>
      </w:pPr>
      <w:rPr>
        <w:rFonts w:ascii="Times New Roman" w:eastAsia="黑体" w:hAnsi="Times New Roman" w:hint="default"/>
        <w:sz w:val="24"/>
      </w:rPr>
    </w:lvl>
    <w:lvl w:ilvl="8">
      <w:start w:val="1"/>
      <w:numFmt w:val="decimal"/>
      <w:lvlRestart w:val="0"/>
      <w:suff w:val="space"/>
      <w:lvlText w:val="图%9"/>
      <w:lvlJc w:val="center"/>
      <w:pPr>
        <w:ind w:left="0" w:firstLine="0"/>
      </w:pPr>
      <w:rPr>
        <w:rFonts w:ascii="Times New Roman" w:eastAsia="黑体" w:hAnsi="Times New Roman" w:hint="default"/>
        <w:b w:val="0"/>
        <w:i w:val="0"/>
        <w:sz w:val="24"/>
      </w:rPr>
    </w:lvl>
  </w:abstractNum>
  <w:abstractNum w:abstractNumId="2">
    <w:nsid w:val="264679D1"/>
    <w:multiLevelType w:val="multilevel"/>
    <w:tmpl w:val="264679D1"/>
    <w:lvl w:ilvl="0">
      <w:start w:val="1"/>
      <w:numFmt w:val="decimal"/>
      <w:suff w:val="space"/>
      <w:lvlText w:val="%1"/>
      <w:lvlJc w:val="left"/>
      <w:pPr>
        <w:ind w:left="0" w:firstLine="0"/>
      </w:pPr>
      <w:rPr>
        <w:rFonts w:ascii="Times New Roman" w:eastAsia="宋体" w:hAnsi="Times New Roman" w:hint="default"/>
        <w:b w:val="0"/>
        <w:i w:val="0"/>
        <w:sz w:val="36"/>
      </w:rPr>
    </w:lvl>
    <w:lvl w:ilvl="1">
      <w:start w:val="1"/>
      <w:numFmt w:val="decimal"/>
      <w:suff w:val="space"/>
      <w:lvlText w:val="%1.%2"/>
      <w:lvlJc w:val="left"/>
      <w:pPr>
        <w:ind w:left="0" w:firstLine="0"/>
      </w:pPr>
      <w:rPr>
        <w:rFonts w:ascii="Times New Roman" w:eastAsia="宋体" w:hAnsi="Times New Roman" w:hint="default"/>
        <w:b w:val="0"/>
        <w:i w:val="0"/>
        <w:sz w:val="32"/>
      </w:rPr>
    </w:lvl>
    <w:lvl w:ilvl="2">
      <w:start w:val="1"/>
      <w:numFmt w:val="decimal"/>
      <w:suff w:val="space"/>
      <w:lvlText w:val="%1.%2.%3"/>
      <w:lvlJc w:val="left"/>
      <w:pPr>
        <w:ind w:left="0" w:firstLine="0"/>
      </w:pPr>
      <w:rPr>
        <w:rFonts w:ascii="Times New Roman" w:eastAsia="黑体" w:hAnsi="Times New Roman" w:hint="default"/>
        <w:b w:val="0"/>
        <w:i w:val="0"/>
        <w:sz w:val="30"/>
      </w:rPr>
    </w:lvl>
    <w:lvl w:ilvl="3">
      <w:start w:val="1"/>
      <w:numFmt w:val="decimal"/>
      <w:suff w:val="space"/>
      <w:lvlText w:val="%1.%2.%3.%4"/>
      <w:lvlJc w:val="left"/>
      <w:pPr>
        <w:ind w:left="0" w:firstLine="0"/>
      </w:pPr>
      <w:rPr>
        <w:rFonts w:ascii="Times New Roman" w:eastAsia="黑体" w:hAnsi="Times New Roman" w:hint="default"/>
        <w:b w:val="0"/>
        <w:i w:val="0"/>
        <w:sz w:val="28"/>
      </w:rPr>
    </w:lvl>
    <w:lvl w:ilvl="4">
      <w:start w:val="1"/>
      <w:numFmt w:val="decimal"/>
      <w:pStyle w:val="5"/>
      <w:suff w:val="nothing"/>
      <w:lvlText w:val="（%5）"/>
      <w:lvlJc w:val="left"/>
      <w:pPr>
        <w:ind w:left="0" w:firstLine="851"/>
      </w:pPr>
      <w:rPr>
        <w:rFonts w:ascii="Times New Roman" w:eastAsia="宋体" w:hAnsi="Times New Roman" w:hint="default"/>
        <w:b w:val="0"/>
        <w:i w:val="0"/>
        <w:sz w:val="24"/>
      </w:rPr>
    </w:lvl>
    <w:lvl w:ilvl="5">
      <w:start w:val="1"/>
      <w:numFmt w:val="upperLetter"/>
      <w:pStyle w:val="6"/>
      <w:suff w:val="nothing"/>
      <w:lvlText w:val="%6."/>
      <w:lvlJc w:val="left"/>
      <w:pPr>
        <w:ind w:left="0" w:firstLine="851"/>
      </w:pPr>
      <w:rPr>
        <w:rFonts w:ascii="Times New Roman" w:eastAsia="宋体" w:hAnsi="Times New Roman" w:hint="default"/>
        <w:sz w:val="30"/>
        <w:szCs w:val="30"/>
      </w:rPr>
    </w:lvl>
    <w:lvl w:ilvl="6">
      <w:start w:val="1"/>
      <w:numFmt w:val="none"/>
      <w:lvlRestart w:val="0"/>
      <w:suff w:val="space"/>
      <w:lvlText w:val=""/>
      <w:lvlJc w:val="left"/>
      <w:pPr>
        <w:ind w:left="0" w:firstLine="567"/>
      </w:pPr>
      <w:rPr>
        <w:rFonts w:ascii="Times New Roman" w:eastAsia="黑体" w:hAnsi="Times New Roman" w:hint="default"/>
        <w:b w:val="0"/>
        <w:i w:val="0"/>
        <w:sz w:val="24"/>
      </w:rPr>
    </w:lvl>
    <w:lvl w:ilvl="7">
      <w:start w:val="1"/>
      <w:numFmt w:val="decimal"/>
      <w:lvlRestart w:val="0"/>
      <w:pStyle w:val="8"/>
      <w:suff w:val="space"/>
      <w:lvlText w:val="表%8"/>
      <w:lvlJc w:val="center"/>
      <w:pPr>
        <w:ind w:left="0" w:firstLine="288"/>
      </w:pPr>
      <w:rPr>
        <w:rFonts w:ascii="Times New Roman" w:eastAsia="黑体" w:hAnsi="Times New Roman" w:hint="default"/>
        <w:sz w:val="24"/>
      </w:rPr>
    </w:lvl>
    <w:lvl w:ilvl="8">
      <w:start w:val="1"/>
      <w:numFmt w:val="decimal"/>
      <w:lvlRestart w:val="0"/>
      <w:pStyle w:val="9"/>
      <w:suff w:val="space"/>
      <w:lvlText w:val="图%9"/>
      <w:lvlJc w:val="center"/>
      <w:pPr>
        <w:ind w:left="0" w:firstLine="0"/>
      </w:pPr>
      <w:rPr>
        <w:rFonts w:ascii="Times New Roman" w:eastAsia="黑体" w:hAnsi="Times New Roman" w:hint="default"/>
        <w:b w:val="0"/>
        <w:i w:val="0"/>
        <w:sz w:val="28"/>
        <w:szCs w:val="28"/>
      </w:rPr>
    </w:lvl>
  </w:abstractNum>
  <w:abstractNum w:abstractNumId="3">
    <w:nsid w:val="2A554106"/>
    <w:multiLevelType w:val="singleLevel"/>
    <w:tmpl w:val="2A554106"/>
    <w:lvl w:ilvl="0">
      <w:start w:val="1"/>
      <w:numFmt w:val="bullet"/>
      <w:pStyle w:val="3025"/>
      <w:lvlText w:val=""/>
      <w:lvlJc w:val="left"/>
      <w:pPr>
        <w:tabs>
          <w:tab w:val="left" w:pos="360"/>
        </w:tabs>
        <w:ind w:left="340" w:hanging="340"/>
      </w:pPr>
      <w:rPr>
        <w:rFonts w:ascii="Wingdings" w:hAnsi="Wingdings" w:hint="default"/>
        <w:sz w:val="21"/>
      </w:rPr>
    </w:lvl>
  </w:abstractNum>
  <w:abstractNum w:abstractNumId="4">
    <w:nsid w:val="2BC15394"/>
    <w:multiLevelType w:val="singleLevel"/>
    <w:tmpl w:val="2BC15394"/>
    <w:lvl w:ilvl="0">
      <w:numFmt w:val="none"/>
      <w:pStyle w:val="textstyle1"/>
      <w:lvlText w:val=""/>
      <w:lvlJc w:val="left"/>
      <w:pPr>
        <w:tabs>
          <w:tab w:val="left" w:pos="0"/>
        </w:tabs>
        <w:ind w:left="0" w:firstLine="0"/>
      </w:pPr>
      <w:rPr>
        <w:rFonts w:ascii="Wingdings" w:hAnsi="Wingdings" w:hint="default"/>
        <w:sz w:val="13"/>
      </w:rPr>
    </w:lvl>
  </w:abstractNum>
  <w:abstractNum w:abstractNumId="5">
    <w:nsid w:val="3991358E"/>
    <w:multiLevelType w:val="multilevel"/>
    <w:tmpl w:val="3991358E"/>
    <w:lvl w:ilvl="0">
      <w:start w:val="1"/>
      <w:numFmt w:val="japaneseCounting"/>
      <w:pStyle w:val="IDCA-Head2ndLine"/>
      <w:lvlText w:val="%1、"/>
      <w:lvlJc w:val="left"/>
      <w:pPr>
        <w:tabs>
          <w:tab w:val="left" w:pos="360"/>
        </w:tabs>
        <w:ind w:left="36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pStyle w:val="a0"/>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nsid w:val="48DB4020"/>
    <w:multiLevelType w:val="singleLevel"/>
    <w:tmpl w:val="48DB4020"/>
    <w:lvl w:ilvl="0">
      <w:start w:val="1"/>
      <w:numFmt w:val="bullet"/>
      <w:pStyle w:val="60"/>
      <w:lvlText w:val=""/>
      <w:lvlJc w:val="left"/>
      <w:pPr>
        <w:tabs>
          <w:tab w:val="left" w:pos="567"/>
        </w:tabs>
        <w:ind w:left="0" w:firstLine="567"/>
      </w:pPr>
      <w:rPr>
        <w:rFonts w:ascii="Symbol" w:hAnsi="Symbol" w:hint="default"/>
      </w:rPr>
    </w:lvl>
  </w:abstractNum>
  <w:abstractNum w:abstractNumId="7">
    <w:nsid w:val="4A141456"/>
    <w:multiLevelType w:val="multilevel"/>
    <w:tmpl w:val="4A141456"/>
    <w:lvl w:ilvl="0">
      <w:start w:val="1"/>
      <w:numFmt w:val="decimalEnclosedCircle"/>
      <w:lvlText w:val="%1"/>
      <w:lvlJc w:val="left"/>
      <w:pPr>
        <w:ind w:left="840" w:hanging="360"/>
      </w:pPr>
      <w:rPr>
        <w:rFonts w:ascii="宋体" w:hAnsi="宋体" w:cs="宋体"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8">
    <w:nsid w:val="56094615"/>
    <w:multiLevelType w:val="singleLevel"/>
    <w:tmpl w:val="56094615"/>
    <w:lvl w:ilvl="0">
      <w:start w:val="1"/>
      <w:numFmt w:val="bullet"/>
      <w:pStyle w:val="ltext2"/>
      <w:lvlText w:val=""/>
      <w:legacy w:legacy="1" w:legacySpace="0" w:legacyIndent="170"/>
      <w:lvlJc w:val="left"/>
      <w:pPr>
        <w:ind w:left="454" w:hanging="170"/>
      </w:pPr>
      <w:rPr>
        <w:rFonts w:ascii="Symbol" w:hAnsi="Symbol" w:hint="default"/>
      </w:rPr>
    </w:lvl>
  </w:abstractNum>
  <w:abstractNum w:abstractNumId="9">
    <w:nsid w:val="62CD1855"/>
    <w:multiLevelType w:val="multilevel"/>
    <w:tmpl w:val="62CD1855"/>
    <w:lvl w:ilvl="0">
      <w:start w:val="1"/>
      <w:numFmt w:val="decimal"/>
      <w:pStyle w:val="1"/>
      <w:suff w:val="space"/>
      <w:lvlText w:val="第%1章"/>
      <w:lvlJc w:val="center"/>
      <w:pPr>
        <w:ind w:left="0" w:firstLine="288"/>
      </w:pPr>
      <w:rPr>
        <w:rFonts w:ascii="黑体" w:eastAsia="黑体" w:hAnsi="黑体" w:hint="default"/>
        <w:b w:val="0"/>
        <w:i w:val="0"/>
        <w:sz w:val="32"/>
        <w:szCs w:val="32"/>
      </w:rPr>
    </w:lvl>
    <w:lvl w:ilvl="1">
      <w:start w:val="1"/>
      <w:numFmt w:val="decimal"/>
      <w:pStyle w:val="2"/>
      <w:suff w:val="space"/>
      <w:lvlText w:val="%1.%2"/>
      <w:lvlJc w:val="left"/>
      <w:pPr>
        <w:ind w:left="0" w:firstLine="0"/>
      </w:pPr>
      <w:rPr>
        <w:rFonts w:ascii="黑体" w:eastAsia="黑体" w:hAnsi="黑体" w:hint="default"/>
        <w:b w:val="0"/>
        <w:bCs w:val="0"/>
        <w:i w:val="0"/>
        <w:iCs w:val="0"/>
        <w:caps w:val="0"/>
        <w:smallCaps w:val="0"/>
        <w:strike w:val="0"/>
        <w:dstrike w:val="0"/>
        <w:vanish w:val="0"/>
        <w:color w:val="000000"/>
        <w:spacing w:val="0"/>
        <w:position w:val="0"/>
        <w:sz w:val="30"/>
        <w:szCs w:val="30"/>
        <w:u w:val="none"/>
        <w:vertAlign w:val="baseline"/>
      </w:rPr>
    </w:lvl>
    <w:lvl w:ilvl="2">
      <w:start w:val="1"/>
      <w:numFmt w:val="decimal"/>
      <w:pStyle w:val="3"/>
      <w:suff w:val="space"/>
      <w:lvlText w:val="%1.%2.%3"/>
      <w:lvlJc w:val="left"/>
      <w:pPr>
        <w:ind w:left="0" w:firstLine="0"/>
      </w:pPr>
      <w:rPr>
        <w:rFonts w:ascii="黑体" w:eastAsia="黑体" w:hAnsi="黑体" w:hint="default"/>
        <w:b w:val="0"/>
        <w:i w:val="0"/>
        <w:sz w:val="28"/>
        <w:szCs w:val="28"/>
      </w:rPr>
    </w:lvl>
    <w:lvl w:ilvl="3">
      <w:start w:val="1"/>
      <w:numFmt w:val="decimal"/>
      <w:suff w:val="space"/>
      <w:lvlText w:val="%1.%2.%3.%4"/>
      <w:lvlJc w:val="left"/>
      <w:pPr>
        <w:ind w:left="0" w:firstLine="0"/>
      </w:pPr>
      <w:rPr>
        <w:rFonts w:ascii="黑体" w:eastAsia="黑体" w:hAnsi="黑体" w:hint="eastAsia"/>
        <w:b w:val="0"/>
        <w:i w:val="0"/>
        <w:sz w:val="24"/>
      </w:rPr>
    </w:lvl>
    <w:lvl w:ilvl="4">
      <w:start w:val="1"/>
      <w:numFmt w:val="decimal"/>
      <w:lvlRestart w:val="2"/>
      <w:pStyle w:val="61"/>
      <w:suff w:val="space"/>
      <w:lvlText w:val="表%1.%2-%5"/>
      <w:lvlJc w:val="left"/>
      <w:pPr>
        <w:ind w:left="1050" w:firstLine="0"/>
      </w:pPr>
      <w:rPr>
        <w:rFonts w:ascii="黑体" w:eastAsia="黑体" w:hAnsi="黑体" w:hint="eastAsia"/>
        <w:b w:val="0"/>
        <w:i w:val="0"/>
        <w:sz w:val="24"/>
        <w:vertAlign w:val="baseline"/>
      </w:rPr>
    </w:lvl>
    <w:lvl w:ilvl="5">
      <w:start w:val="1"/>
      <w:numFmt w:val="decimal"/>
      <w:lvlRestart w:val="2"/>
      <w:pStyle w:val="80"/>
      <w:suff w:val="space"/>
      <w:lvlText w:val="图%1.%2-%6"/>
      <w:lvlJc w:val="left"/>
      <w:pPr>
        <w:ind w:left="0" w:firstLine="0"/>
      </w:pPr>
      <w:rPr>
        <w:rFonts w:ascii="黑体" w:eastAsia="黑体" w:hAnsi="黑体" w:hint="eastAsia"/>
        <w:b w:val="0"/>
        <w:i w:val="0"/>
        <w:sz w:val="24"/>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nsid w:val="79482247"/>
    <w:multiLevelType w:val="multilevel"/>
    <w:tmpl w:val="79482247"/>
    <w:lvl w:ilvl="0">
      <w:start w:val="1"/>
      <w:numFmt w:val="decimal"/>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 w:numId="2">
    <w:abstractNumId w:val="5"/>
  </w:num>
  <w:num w:numId="3">
    <w:abstractNumId w:val="6"/>
  </w:num>
  <w:num w:numId="4">
    <w:abstractNumId w:val="8"/>
  </w:num>
  <w:num w:numId="5">
    <w:abstractNumId w:val="4"/>
  </w:num>
  <w:num w:numId="6">
    <w:abstractNumId w:val="3"/>
  </w:num>
  <w:num w:numId="7">
    <w:abstractNumId w:val="9"/>
  </w:num>
  <w:num w:numId="8">
    <w:abstractNumId w:val="2"/>
  </w:num>
  <w:num w:numId="9">
    <w:abstractNumId w:val="1"/>
  </w:num>
  <w:num w:numId="10">
    <w:abstractNumId w:val="7"/>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784386" fillcolor="white">
      <v:fill color="white"/>
      <o:colormru v:ext="edit" colors="#b81ee8,#07c93a,#bd5703"/>
      <o:colormenu v:ext="edit" fillcolor="none [3212]" strokecolor="none [1609]"/>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D6827"/>
    <w:rsid w:val="00000138"/>
    <w:rsid w:val="0000023D"/>
    <w:rsid w:val="00000280"/>
    <w:rsid w:val="00000325"/>
    <w:rsid w:val="0000041D"/>
    <w:rsid w:val="000004A7"/>
    <w:rsid w:val="0000059B"/>
    <w:rsid w:val="00000B2D"/>
    <w:rsid w:val="00000C49"/>
    <w:rsid w:val="000011D1"/>
    <w:rsid w:val="0000146A"/>
    <w:rsid w:val="00001804"/>
    <w:rsid w:val="00001DAD"/>
    <w:rsid w:val="00001DD1"/>
    <w:rsid w:val="00001DF9"/>
    <w:rsid w:val="00002043"/>
    <w:rsid w:val="000020FF"/>
    <w:rsid w:val="0000228D"/>
    <w:rsid w:val="00002389"/>
    <w:rsid w:val="0000255E"/>
    <w:rsid w:val="000025FF"/>
    <w:rsid w:val="0000279D"/>
    <w:rsid w:val="0000279E"/>
    <w:rsid w:val="00002951"/>
    <w:rsid w:val="00002ABF"/>
    <w:rsid w:val="00002B07"/>
    <w:rsid w:val="00002FD9"/>
    <w:rsid w:val="000037AB"/>
    <w:rsid w:val="000039AE"/>
    <w:rsid w:val="00003A27"/>
    <w:rsid w:val="00003DF8"/>
    <w:rsid w:val="000043CF"/>
    <w:rsid w:val="000047FC"/>
    <w:rsid w:val="00005401"/>
    <w:rsid w:val="00005447"/>
    <w:rsid w:val="00005A05"/>
    <w:rsid w:val="00005A28"/>
    <w:rsid w:val="0000625F"/>
    <w:rsid w:val="00006C8A"/>
    <w:rsid w:val="00006EFC"/>
    <w:rsid w:val="00007413"/>
    <w:rsid w:val="0000789A"/>
    <w:rsid w:val="00007D2B"/>
    <w:rsid w:val="000101EE"/>
    <w:rsid w:val="00010C02"/>
    <w:rsid w:val="00011032"/>
    <w:rsid w:val="000111F4"/>
    <w:rsid w:val="00011363"/>
    <w:rsid w:val="000114CE"/>
    <w:rsid w:val="00011BCC"/>
    <w:rsid w:val="00011C2B"/>
    <w:rsid w:val="00011DDF"/>
    <w:rsid w:val="00011EA4"/>
    <w:rsid w:val="00012020"/>
    <w:rsid w:val="00012808"/>
    <w:rsid w:val="000129D5"/>
    <w:rsid w:val="00012C34"/>
    <w:rsid w:val="00013473"/>
    <w:rsid w:val="00013845"/>
    <w:rsid w:val="00013C21"/>
    <w:rsid w:val="00013F25"/>
    <w:rsid w:val="0001426C"/>
    <w:rsid w:val="000143D8"/>
    <w:rsid w:val="00014BB4"/>
    <w:rsid w:val="00014D1E"/>
    <w:rsid w:val="00015172"/>
    <w:rsid w:val="00015263"/>
    <w:rsid w:val="00015584"/>
    <w:rsid w:val="000160FE"/>
    <w:rsid w:val="0001621E"/>
    <w:rsid w:val="00016396"/>
    <w:rsid w:val="00016541"/>
    <w:rsid w:val="00016B71"/>
    <w:rsid w:val="00016F39"/>
    <w:rsid w:val="000172AA"/>
    <w:rsid w:val="000173EF"/>
    <w:rsid w:val="000174CC"/>
    <w:rsid w:val="00017560"/>
    <w:rsid w:val="0001796B"/>
    <w:rsid w:val="00017C0F"/>
    <w:rsid w:val="00017FC3"/>
    <w:rsid w:val="00020152"/>
    <w:rsid w:val="000201FD"/>
    <w:rsid w:val="00020E53"/>
    <w:rsid w:val="00021096"/>
    <w:rsid w:val="0002114A"/>
    <w:rsid w:val="000215D2"/>
    <w:rsid w:val="00021748"/>
    <w:rsid w:val="00021834"/>
    <w:rsid w:val="00021A9D"/>
    <w:rsid w:val="00022016"/>
    <w:rsid w:val="000222BC"/>
    <w:rsid w:val="000222EA"/>
    <w:rsid w:val="00022A4B"/>
    <w:rsid w:val="00022BFB"/>
    <w:rsid w:val="00023080"/>
    <w:rsid w:val="000231C9"/>
    <w:rsid w:val="0002322C"/>
    <w:rsid w:val="000232FC"/>
    <w:rsid w:val="0002369F"/>
    <w:rsid w:val="00023756"/>
    <w:rsid w:val="000238E0"/>
    <w:rsid w:val="000241AE"/>
    <w:rsid w:val="00024747"/>
    <w:rsid w:val="000247BA"/>
    <w:rsid w:val="00024B36"/>
    <w:rsid w:val="00024EC0"/>
    <w:rsid w:val="000250DC"/>
    <w:rsid w:val="00025D42"/>
    <w:rsid w:val="00026021"/>
    <w:rsid w:val="0002647E"/>
    <w:rsid w:val="00026977"/>
    <w:rsid w:val="000270F5"/>
    <w:rsid w:val="000273BA"/>
    <w:rsid w:val="00027449"/>
    <w:rsid w:val="000277EC"/>
    <w:rsid w:val="0002782B"/>
    <w:rsid w:val="00027852"/>
    <w:rsid w:val="00027AD9"/>
    <w:rsid w:val="00027E1C"/>
    <w:rsid w:val="00027E2A"/>
    <w:rsid w:val="00030273"/>
    <w:rsid w:val="000303AD"/>
    <w:rsid w:val="000303F5"/>
    <w:rsid w:val="00030488"/>
    <w:rsid w:val="00030826"/>
    <w:rsid w:val="00030A5D"/>
    <w:rsid w:val="00030D5B"/>
    <w:rsid w:val="00030F6B"/>
    <w:rsid w:val="00031053"/>
    <w:rsid w:val="00031138"/>
    <w:rsid w:val="0003196C"/>
    <w:rsid w:val="00031A14"/>
    <w:rsid w:val="00031BFF"/>
    <w:rsid w:val="00031DC9"/>
    <w:rsid w:val="00032101"/>
    <w:rsid w:val="0003253D"/>
    <w:rsid w:val="0003272A"/>
    <w:rsid w:val="00032846"/>
    <w:rsid w:val="0003286C"/>
    <w:rsid w:val="000329E2"/>
    <w:rsid w:val="00032C20"/>
    <w:rsid w:val="00032DB4"/>
    <w:rsid w:val="00033011"/>
    <w:rsid w:val="000331C1"/>
    <w:rsid w:val="000336C1"/>
    <w:rsid w:val="000336F1"/>
    <w:rsid w:val="00033858"/>
    <w:rsid w:val="00033915"/>
    <w:rsid w:val="00033B98"/>
    <w:rsid w:val="00033CC7"/>
    <w:rsid w:val="0003420D"/>
    <w:rsid w:val="000342C8"/>
    <w:rsid w:val="0003457C"/>
    <w:rsid w:val="0003482F"/>
    <w:rsid w:val="00034929"/>
    <w:rsid w:val="00034D30"/>
    <w:rsid w:val="000352F1"/>
    <w:rsid w:val="000353EE"/>
    <w:rsid w:val="00035641"/>
    <w:rsid w:val="000356AB"/>
    <w:rsid w:val="000358ED"/>
    <w:rsid w:val="00035B48"/>
    <w:rsid w:val="00035D0D"/>
    <w:rsid w:val="00035D5E"/>
    <w:rsid w:val="00035E01"/>
    <w:rsid w:val="00036345"/>
    <w:rsid w:val="000363FC"/>
    <w:rsid w:val="00036865"/>
    <w:rsid w:val="00036C22"/>
    <w:rsid w:val="00036EE4"/>
    <w:rsid w:val="00037035"/>
    <w:rsid w:val="000372B7"/>
    <w:rsid w:val="0003773C"/>
    <w:rsid w:val="0003775C"/>
    <w:rsid w:val="0004079E"/>
    <w:rsid w:val="00040BA1"/>
    <w:rsid w:val="00041009"/>
    <w:rsid w:val="0004103D"/>
    <w:rsid w:val="000416C4"/>
    <w:rsid w:val="000416FD"/>
    <w:rsid w:val="00041C73"/>
    <w:rsid w:val="00042035"/>
    <w:rsid w:val="0004203C"/>
    <w:rsid w:val="00042041"/>
    <w:rsid w:val="000428E9"/>
    <w:rsid w:val="00042A3C"/>
    <w:rsid w:val="00042BAF"/>
    <w:rsid w:val="0004325E"/>
    <w:rsid w:val="000436A0"/>
    <w:rsid w:val="0004390C"/>
    <w:rsid w:val="00043913"/>
    <w:rsid w:val="00043E42"/>
    <w:rsid w:val="00043E6C"/>
    <w:rsid w:val="00044D3F"/>
    <w:rsid w:val="0004506F"/>
    <w:rsid w:val="00045145"/>
    <w:rsid w:val="00045254"/>
    <w:rsid w:val="00045A7C"/>
    <w:rsid w:val="00045F3F"/>
    <w:rsid w:val="00046128"/>
    <w:rsid w:val="00046208"/>
    <w:rsid w:val="0004643E"/>
    <w:rsid w:val="00046565"/>
    <w:rsid w:val="00046893"/>
    <w:rsid w:val="000469B5"/>
    <w:rsid w:val="00046F32"/>
    <w:rsid w:val="000470D6"/>
    <w:rsid w:val="00047325"/>
    <w:rsid w:val="0004754A"/>
    <w:rsid w:val="000477BF"/>
    <w:rsid w:val="000500AA"/>
    <w:rsid w:val="00050290"/>
    <w:rsid w:val="0005050B"/>
    <w:rsid w:val="000506D1"/>
    <w:rsid w:val="00050923"/>
    <w:rsid w:val="000509C9"/>
    <w:rsid w:val="000509ED"/>
    <w:rsid w:val="00050C00"/>
    <w:rsid w:val="00050FB5"/>
    <w:rsid w:val="00050FED"/>
    <w:rsid w:val="00051029"/>
    <w:rsid w:val="00051111"/>
    <w:rsid w:val="0005131D"/>
    <w:rsid w:val="0005134C"/>
    <w:rsid w:val="0005181C"/>
    <w:rsid w:val="00051A7F"/>
    <w:rsid w:val="00051AB6"/>
    <w:rsid w:val="000520E3"/>
    <w:rsid w:val="00052183"/>
    <w:rsid w:val="00052279"/>
    <w:rsid w:val="000523EC"/>
    <w:rsid w:val="00052487"/>
    <w:rsid w:val="000524AC"/>
    <w:rsid w:val="000525AE"/>
    <w:rsid w:val="00052B64"/>
    <w:rsid w:val="00052CC6"/>
    <w:rsid w:val="00052EFE"/>
    <w:rsid w:val="00052F7E"/>
    <w:rsid w:val="00053BC1"/>
    <w:rsid w:val="00053DB3"/>
    <w:rsid w:val="00053EF7"/>
    <w:rsid w:val="0005436B"/>
    <w:rsid w:val="000549CA"/>
    <w:rsid w:val="000550A4"/>
    <w:rsid w:val="00055BCB"/>
    <w:rsid w:val="00055E78"/>
    <w:rsid w:val="00056056"/>
    <w:rsid w:val="00056337"/>
    <w:rsid w:val="00056DEE"/>
    <w:rsid w:val="000571D5"/>
    <w:rsid w:val="000572BE"/>
    <w:rsid w:val="0005780A"/>
    <w:rsid w:val="00057845"/>
    <w:rsid w:val="00057A10"/>
    <w:rsid w:val="00057B49"/>
    <w:rsid w:val="00057CF1"/>
    <w:rsid w:val="00060092"/>
    <w:rsid w:val="000601CB"/>
    <w:rsid w:val="00060256"/>
    <w:rsid w:val="00060462"/>
    <w:rsid w:val="00060A97"/>
    <w:rsid w:val="00060EAF"/>
    <w:rsid w:val="000610E9"/>
    <w:rsid w:val="00061164"/>
    <w:rsid w:val="00061256"/>
    <w:rsid w:val="00061750"/>
    <w:rsid w:val="00061A30"/>
    <w:rsid w:val="00061B56"/>
    <w:rsid w:val="00061B8D"/>
    <w:rsid w:val="000622E0"/>
    <w:rsid w:val="0006254D"/>
    <w:rsid w:val="0006275E"/>
    <w:rsid w:val="000628C2"/>
    <w:rsid w:val="00063148"/>
    <w:rsid w:val="0006320E"/>
    <w:rsid w:val="0006340E"/>
    <w:rsid w:val="00063573"/>
    <w:rsid w:val="00063778"/>
    <w:rsid w:val="000639C7"/>
    <w:rsid w:val="00063B0A"/>
    <w:rsid w:val="00063D30"/>
    <w:rsid w:val="00063DF0"/>
    <w:rsid w:val="00063E03"/>
    <w:rsid w:val="00063E58"/>
    <w:rsid w:val="0006440C"/>
    <w:rsid w:val="000649EB"/>
    <w:rsid w:val="00064B0E"/>
    <w:rsid w:val="00064FA9"/>
    <w:rsid w:val="00064FFC"/>
    <w:rsid w:val="0006550D"/>
    <w:rsid w:val="00065583"/>
    <w:rsid w:val="00065961"/>
    <w:rsid w:val="000659F4"/>
    <w:rsid w:val="00065A50"/>
    <w:rsid w:val="00065AA6"/>
    <w:rsid w:val="00066131"/>
    <w:rsid w:val="0006616E"/>
    <w:rsid w:val="00066515"/>
    <w:rsid w:val="00067D3A"/>
    <w:rsid w:val="00067E42"/>
    <w:rsid w:val="0007026A"/>
    <w:rsid w:val="00070348"/>
    <w:rsid w:val="00070496"/>
    <w:rsid w:val="00070832"/>
    <w:rsid w:val="00070C13"/>
    <w:rsid w:val="00070F53"/>
    <w:rsid w:val="00070FBC"/>
    <w:rsid w:val="00071346"/>
    <w:rsid w:val="00071654"/>
    <w:rsid w:val="000716BA"/>
    <w:rsid w:val="0007176B"/>
    <w:rsid w:val="00071C44"/>
    <w:rsid w:val="00071F26"/>
    <w:rsid w:val="000727C9"/>
    <w:rsid w:val="00072AA6"/>
    <w:rsid w:val="00072AC1"/>
    <w:rsid w:val="00072E7C"/>
    <w:rsid w:val="00073012"/>
    <w:rsid w:val="00073380"/>
    <w:rsid w:val="000734A1"/>
    <w:rsid w:val="00073724"/>
    <w:rsid w:val="0007389A"/>
    <w:rsid w:val="0007392C"/>
    <w:rsid w:val="00073C12"/>
    <w:rsid w:val="00074FC2"/>
    <w:rsid w:val="00075196"/>
    <w:rsid w:val="00075464"/>
    <w:rsid w:val="000759A8"/>
    <w:rsid w:val="00075B14"/>
    <w:rsid w:val="00076532"/>
    <w:rsid w:val="000766A3"/>
    <w:rsid w:val="00076BC9"/>
    <w:rsid w:val="00076DD0"/>
    <w:rsid w:val="0007715B"/>
    <w:rsid w:val="000776C3"/>
    <w:rsid w:val="00077938"/>
    <w:rsid w:val="00077CDA"/>
    <w:rsid w:val="00077D4B"/>
    <w:rsid w:val="00077D71"/>
    <w:rsid w:val="00077FEB"/>
    <w:rsid w:val="000806A9"/>
    <w:rsid w:val="0008087A"/>
    <w:rsid w:val="00080DB3"/>
    <w:rsid w:val="00081101"/>
    <w:rsid w:val="000819BF"/>
    <w:rsid w:val="00081B67"/>
    <w:rsid w:val="00081FA1"/>
    <w:rsid w:val="00082472"/>
    <w:rsid w:val="0008298B"/>
    <w:rsid w:val="00082BF2"/>
    <w:rsid w:val="00082D0E"/>
    <w:rsid w:val="00083097"/>
    <w:rsid w:val="000830FD"/>
    <w:rsid w:val="0008339D"/>
    <w:rsid w:val="000835CA"/>
    <w:rsid w:val="0008363C"/>
    <w:rsid w:val="00083C7B"/>
    <w:rsid w:val="00084497"/>
    <w:rsid w:val="00084BDF"/>
    <w:rsid w:val="00084C2D"/>
    <w:rsid w:val="00084DB6"/>
    <w:rsid w:val="00085CC3"/>
    <w:rsid w:val="00085E4C"/>
    <w:rsid w:val="00086151"/>
    <w:rsid w:val="000861B9"/>
    <w:rsid w:val="00086BFE"/>
    <w:rsid w:val="00086DE1"/>
    <w:rsid w:val="00086EC3"/>
    <w:rsid w:val="00086F5A"/>
    <w:rsid w:val="00087075"/>
    <w:rsid w:val="000876C3"/>
    <w:rsid w:val="00087CA4"/>
    <w:rsid w:val="00087DDC"/>
    <w:rsid w:val="00090000"/>
    <w:rsid w:val="0009000F"/>
    <w:rsid w:val="000901A4"/>
    <w:rsid w:val="00090386"/>
    <w:rsid w:val="0009067E"/>
    <w:rsid w:val="000906A3"/>
    <w:rsid w:val="00090945"/>
    <w:rsid w:val="000909F1"/>
    <w:rsid w:val="00090F5F"/>
    <w:rsid w:val="00090FAA"/>
    <w:rsid w:val="00091510"/>
    <w:rsid w:val="00091797"/>
    <w:rsid w:val="00091B76"/>
    <w:rsid w:val="00091B93"/>
    <w:rsid w:val="00091DB8"/>
    <w:rsid w:val="00091ED6"/>
    <w:rsid w:val="00092048"/>
    <w:rsid w:val="00092189"/>
    <w:rsid w:val="00092387"/>
    <w:rsid w:val="00092452"/>
    <w:rsid w:val="00092636"/>
    <w:rsid w:val="0009271C"/>
    <w:rsid w:val="00092727"/>
    <w:rsid w:val="00092B87"/>
    <w:rsid w:val="00092B8F"/>
    <w:rsid w:val="00092C45"/>
    <w:rsid w:val="00092F65"/>
    <w:rsid w:val="000930EC"/>
    <w:rsid w:val="00093291"/>
    <w:rsid w:val="00093A4E"/>
    <w:rsid w:val="00093E46"/>
    <w:rsid w:val="00093FC0"/>
    <w:rsid w:val="000942E4"/>
    <w:rsid w:val="0009459C"/>
    <w:rsid w:val="00094C0E"/>
    <w:rsid w:val="00094C2F"/>
    <w:rsid w:val="00094D73"/>
    <w:rsid w:val="00094EC1"/>
    <w:rsid w:val="00095252"/>
    <w:rsid w:val="00095382"/>
    <w:rsid w:val="000953DB"/>
    <w:rsid w:val="000957E4"/>
    <w:rsid w:val="00095ACD"/>
    <w:rsid w:val="00095B73"/>
    <w:rsid w:val="00095CD2"/>
    <w:rsid w:val="000960D4"/>
    <w:rsid w:val="0009673A"/>
    <w:rsid w:val="000969F7"/>
    <w:rsid w:val="00096B30"/>
    <w:rsid w:val="00096B7C"/>
    <w:rsid w:val="00096C51"/>
    <w:rsid w:val="00096DE0"/>
    <w:rsid w:val="00096EB8"/>
    <w:rsid w:val="000A0594"/>
    <w:rsid w:val="000A073D"/>
    <w:rsid w:val="000A0811"/>
    <w:rsid w:val="000A0890"/>
    <w:rsid w:val="000A0B15"/>
    <w:rsid w:val="000A0D1F"/>
    <w:rsid w:val="000A117A"/>
    <w:rsid w:val="000A1391"/>
    <w:rsid w:val="000A1439"/>
    <w:rsid w:val="000A15E0"/>
    <w:rsid w:val="000A1646"/>
    <w:rsid w:val="000A1965"/>
    <w:rsid w:val="000A1C74"/>
    <w:rsid w:val="000A1C7C"/>
    <w:rsid w:val="000A1DAD"/>
    <w:rsid w:val="000A1DE3"/>
    <w:rsid w:val="000A1FA7"/>
    <w:rsid w:val="000A1FAE"/>
    <w:rsid w:val="000A273D"/>
    <w:rsid w:val="000A27F3"/>
    <w:rsid w:val="000A2AC2"/>
    <w:rsid w:val="000A2DA7"/>
    <w:rsid w:val="000A33B9"/>
    <w:rsid w:val="000A3798"/>
    <w:rsid w:val="000A3C9A"/>
    <w:rsid w:val="000A3D6F"/>
    <w:rsid w:val="000A4E0D"/>
    <w:rsid w:val="000A4EC6"/>
    <w:rsid w:val="000A4F3D"/>
    <w:rsid w:val="000A52AA"/>
    <w:rsid w:val="000A53A1"/>
    <w:rsid w:val="000A56DD"/>
    <w:rsid w:val="000A6D5A"/>
    <w:rsid w:val="000A6F40"/>
    <w:rsid w:val="000A6F47"/>
    <w:rsid w:val="000A6FED"/>
    <w:rsid w:val="000A7315"/>
    <w:rsid w:val="000A73F6"/>
    <w:rsid w:val="000B0170"/>
    <w:rsid w:val="000B0187"/>
    <w:rsid w:val="000B028F"/>
    <w:rsid w:val="000B056B"/>
    <w:rsid w:val="000B0571"/>
    <w:rsid w:val="000B0978"/>
    <w:rsid w:val="000B1189"/>
    <w:rsid w:val="000B1522"/>
    <w:rsid w:val="000B154E"/>
    <w:rsid w:val="000B1554"/>
    <w:rsid w:val="000B15EA"/>
    <w:rsid w:val="000B196E"/>
    <w:rsid w:val="000B2355"/>
    <w:rsid w:val="000B2372"/>
    <w:rsid w:val="000B254E"/>
    <w:rsid w:val="000B259F"/>
    <w:rsid w:val="000B28A5"/>
    <w:rsid w:val="000B2DE4"/>
    <w:rsid w:val="000B3112"/>
    <w:rsid w:val="000B32BA"/>
    <w:rsid w:val="000B36F1"/>
    <w:rsid w:val="000B38E2"/>
    <w:rsid w:val="000B39F9"/>
    <w:rsid w:val="000B3D75"/>
    <w:rsid w:val="000B3DC2"/>
    <w:rsid w:val="000B3FB5"/>
    <w:rsid w:val="000B4326"/>
    <w:rsid w:val="000B4A09"/>
    <w:rsid w:val="000B4BC2"/>
    <w:rsid w:val="000B4CA8"/>
    <w:rsid w:val="000B55F6"/>
    <w:rsid w:val="000B569B"/>
    <w:rsid w:val="000B6195"/>
    <w:rsid w:val="000B63AF"/>
    <w:rsid w:val="000B63E6"/>
    <w:rsid w:val="000B6701"/>
    <w:rsid w:val="000B6A4C"/>
    <w:rsid w:val="000B6B56"/>
    <w:rsid w:val="000B6C91"/>
    <w:rsid w:val="000B73B4"/>
    <w:rsid w:val="000B74D2"/>
    <w:rsid w:val="000B7576"/>
    <w:rsid w:val="000B77F1"/>
    <w:rsid w:val="000B7A26"/>
    <w:rsid w:val="000B7F44"/>
    <w:rsid w:val="000C0571"/>
    <w:rsid w:val="000C0676"/>
    <w:rsid w:val="000C07EA"/>
    <w:rsid w:val="000C08C7"/>
    <w:rsid w:val="000C08DD"/>
    <w:rsid w:val="000C0CAD"/>
    <w:rsid w:val="000C0FA3"/>
    <w:rsid w:val="000C138C"/>
    <w:rsid w:val="000C1396"/>
    <w:rsid w:val="000C13A2"/>
    <w:rsid w:val="000C144B"/>
    <w:rsid w:val="000C1761"/>
    <w:rsid w:val="000C18AA"/>
    <w:rsid w:val="000C1C26"/>
    <w:rsid w:val="000C23A4"/>
    <w:rsid w:val="000C25D6"/>
    <w:rsid w:val="000C2BA9"/>
    <w:rsid w:val="000C2C47"/>
    <w:rsid w:val="000C2FC4"/>
    <w:rsid w:val="000C30D2"/>
    <w:rsid w:val="000C3266"/>
    <w:rsid w:val="000C3595"/>
    <w:rsid w:val="000C3AB5"/>
    <w:rsid w:val="000C3F41"/>
    <w:rsid w:val="000C3FD6"/>
    <w:rsid w:val="000C413E"/>
    <w:rsid w:val="000C42D8"/>
    <w:rsid w:val="000C4550"/>
    <w:rsid w:val="000C4964"/>
    <w:rsid w:val="000C4A6B"/>
    <w:rsid w:val="000C4C13"/>
    <w:rsid w:val="000C4D9A"/>
    <w:rsid w:val="000C4DA9"/>
    <w:rsid w:val="000C4DED"/>
    <w:rsid w:val="000C5070"/>
    <w:rsid w:val="000C51C9"/>
    <w:rsid w:val="000C5327"/>
    <w:rsid w:val="000C557D"/>
    <w:rsid w:val="000C5EB0"/>
    <w:rsid w:val="000C639B"/>
    <w:rsid w:val="000C659C"/>
    <w:rsid w:val="000C65D0"/>
    <w:rsid w:val="000C67B7"/>
    <w:rsid w:val="000C699C"/>
    <w:rsid w:val="000C6AA1"/>
    <w:rsid w:val="000C6AEB"/>
    <w:rsid w:val="000C6E94"/>
    <w:rsid w:val="000C6FE2"/>
    <w:rsid w:val="000C700B"/>
    <w:rsid w:val="000C70E8"/>
    <w:rsid w:val="000C75C0"/>
    <w:rsid w:val="000C7738"/>
    <w:rsid w:val="000D0234"/>
    <w:rsid w:val="000D0361"/>
    <w:rsid w:val="000D0455"/>
    <w:rsid w:val="000D080D"/>
    <w:rsid w:val="000D0937"/>
    <w:rsid w:val="000D0ADA"/>
    <w:rsid w:val="000D0C36"/>
    <w:rsid w:val="000D0D22"/>
    <w:rsid w:val="000D0ED6"/>
    <w:rsid w:val="000D0F7E"/>
    <w:rsid w:val="000D109D"/>
    <w:rsid w:val="000D1164"/>
    <w:rsid w:val="000D12D5"/>
    <w:rsid w:val="000D1508"/>
    <w:rsid w:val="000D18A5"/>
    <w:rsid w:val="000D18F5"/>
    <w:rsid w:val="000D1DD1"/>
    <w:rsid w:val="000D1E5D"/>
    <w:rsid w:val="000D1F95"/>
    <w:rsid w:val="000D2272"/>
    <w:rsid w:val="000D286F"/>
    <w:rsid w:val="000D298E"/>
    <w:rsid w:val="000D2CFC"/>
    <w:rsid w:val="000D2D13"/>
    <w:rsid w:val="000D2EF0"/>
    <w:rsid w:val="000D2F79"/>
    <w:rsid w:val="000D3313"/>
    <w:rsid w:val="000D3457"/>
    <w:rsid w:val="000D35E2"/>
    <w:rsid w:val="000D3721"/>
    <w:rsid w:val="000D38E0"/>
    <w:rsid w:val="000D3ADD"/>
    <w:rsid w:val="000D3E7D"/>
    <w:rsid w:val="000D3E98"/>
    <w:rsid w:val="000D4159"/>
    <w:rsid w:val="000D43DB"/>
    <w:rsid w:val="000D43F2"/>
    <w:rsid w:val="000D474B"/>
    <w:rsid w:val="000D4927"/>
    <w:rsid w:val="000D49DE"/>
    <w:rsid w:val="000D4F27"/>
    <w:rsid w:val="000D4F7D"/>
    <w:rsid w:val="000D546D"/>
    <w:rsid w:val="000D5A4D"/>
    <w:rsid w:val="000D5FF6"/>
    <w:rsid w:val="000D606F"/>
    <w:rsid w:val="000D61B3"/>
    <w:rsid w:val="000D6344"/>
    <w:rsid w:val="000D686C"/>
    <w:rsid w:val="000D6A30"/>
    <w:rsid w:val="000D6A4B"/>
    <w:rsid w:val="000D6A98"/>
    <w:rsid w:val="000D6B75"/>
    <w:rsid w:val="000D6F44"/>
    <w:rsid w:val="000D71B8"/>
    <w:rsid w:val="000D76C9"/>
    <w:rsid w:val="000D7D91"/>
    <w:rsid w:val="000E0247"/>
    <w:rsid w:val="000E06ED"/>
    <w:rsid w:val="000E06F9"/>
    <w:rsid w:val="000E0A51"/>
    <w:rsid w:val="000E0AAC"/>
    <w:rsid w:val="000E0FA1"/>
    <w:rsid w:val="000E1386"/>
    <w:rsid w:val="000E18B9"/>
    <w:rsid w:val="000E1B7B"/>
    <w:rsid w:val="000E1EC3"/>
    <w:rsid w:val="000E2211"/>
    <w:rsid w:val="000E22F4"/>
    <w:rsid w:val="000E22F6"/>
    <w:rsid w:val="000E2415"/>
    <w:rsid w:val="000E25DA"/>
    <w:rsid w:val="000E25F0"/>
    <w:rsid w:val="000E26D9"/>
    <w:rsid w:val="000E2C5A"/>
    <w:rsid w:val="000E343C"/>
    <w:rsid w:val="000E36F2"/>
    <w:rsid w:val="000E3738"/>
    <w:rsid w:val="000E3B67"/>
    <w:rsid w:val="000E3D13"/>
    <w:rsid w:val="000E3FE8"/>
    <w:rsid w:val="000E410F"/>
    <w:rsid w:val="000E421E"/>
    <w:rsid w:val="000E4C0B"/>
    <w:rsid w:val="000E4C1C"/>
    <w:rsid w:val="000E4E90"/>
    <w:rsid w:val="000E4EE1"/>
    <w:rsid w:val="000E4FDD"/>
    <w:rsid w:val="000E50F6"/>
    <w:rsid w:val="000E5267"/>
    <w:rsid w:val="000E5414"/>
    <w:rsid w:val="000E587C"/>
    <w:rsid w:val="000E59D7"/>
    <w:rsid w:val="000E5FCC"/>
    <w:rsid w:val="000E608D"/>
    <w:rsid w:val="000E6174"/>
    <w:rsid w:val="000E6A05"/>
    <w:rsid w:val="000E6EC4"/>
    <w:rsid w:val="000E6F4D"/>
    <w:rsid w:val="000E7232"/>
    <w:rsid w:val="000E728A"/>
    <w:rsid w:val="000E735B"/>
    <w:rsid w:val="000E74D6"/>
    <w:rsid w:val="000E754A"/>
    <w:rsid w:val="000E75FF"/>
    <w:rsid w:val="000E7A74"/>
    <w:rsid w:val="000E7A9C"/>
    <w:rsid w:val="000E7DF9"/>
    <w:rsid w:val="000F0070"/>
    <w:rsid w:val="000F0959"/>
    <w:rsid w:val="000F0A84"/>
    <w:rsid w:val="000F0AFC"/>
    <w:rsid w:val="000F0CA4"/>
    <w:rsid w:val="000F1002"/>
    <w:rsid w:val="000F14D3"/>
    <w:rsid w:val="000F15EF"/>
    <w:rsid w:val="000F193C"/>
    <w:rsid w:val="000F1A53"/>
    <w:rsid w:val="000F2080"/>
    <w:rsid w:val="000F2234"/>
    <w:rsid w:val="000F235C"/>
    <w:rsid w:val="000F2785"/>
    <w:rsid w:val="000F27A4"/>
    <w:rsid w:val="000F2D39"/>
    <w:rsid w:val="000F2D4A"/>
    <w:rsid w:val="000F2DBC"/>
    <w:rsid w:val="000F355E"/>
    <w:rsid w:val="000F3D43"/>
    <w:rsid w:val="000F419A"/>
    <w:rsid w:val="000F4234"/>
    <w:rsid w:val="000F433F"/>
    <w:rsid w:val="000F44B4"/>
    <w:rsid w:val="000F46A0"/>
    <w:rsid w:val="000F4C4F"/>
    <w:rsid w:val="000F4E28"/>
    <w:rsid w:val="000F54A1"/>
    <w:rsid w:val="000F578F"/>
    <w:rsid w:val="000F58A2"/>
    <w:rsid w:val="000F58C5"/>
    <w:rsid w:val="000F5E09"/>
    <w:rsid w:val="000F5FCE"/>
    <w:rsid w:val="000F619A"/>
    <w:rsid w:val="000F62F3"/>
    <w:rsid w:val="000F6389"/>
    <w:rsid w:val="000F63A1"/>
    <w:rsid w:val="000F673D"/>
    <w:rsid w:val="000F6755"/>
    <w:rsid w:val="000F682A"/>
    <w:rsid w:val="000F68D9"/>
    <w:rsid w:val="000F6A1F"/>
    <w:rsid w:val="000F6E03"/>
    <w:rsid w:val="000F6FAC"/>
    <w:rsid w:val="000F7548"/>
    <w:rsid w:val="000F76EC"/>
    <w:rsid w:val="000F7C0F"/>
    <w:rsid w:val="000F7E90"/>
    <w:rsid w:val="001001BA"/>
    <w:rsid w:val="00100371"/>
    <w:rsid w:val="001003CD"/>
    <w:rsid w:val="001003E4"/>
    <w:rsid w:val="00100506"/>
    <w:rsid w:val="00100B11"/>
    <w:rsid w:val="00100B24"/>
    <w:rsid w:val="00100CF0"/>
    <w:rsid w:val="00100E23"/>
    <w:rsid w:val="00101396"/>
    <w:rsid w:val="001014F7"/>
    <w:rsid w:val="00101618"/>
    <w:rsid w:val="00101B59"/>
    <w:rsid w:val="00101E2A"/>
    <w:rsid w:val="00101F11"/>
    <w:rsid w:val="00101F85"/>
    <w:rsid w:val="001023FC"/>
    <w:rsid w:val="0010259F"/>
    <w:rsid w:val="0010323A"/>
    <w:rsid w:val="001036CC"/>
    <w:rsid w:val="00103750"/>
    <w:rsid w:val="0010387F"/>
    <w:rsid w:val="00103BAD"/>
    <w:rsid w:val="00103D17"/>
    <w:rsid w:val="00103D38"/>
    <w:rsid w:val="00103D46"/>
    <w:rsid w:val="00103F59"/>
    <w:rsid w:val="001040C8"/>
    <w:rsid w:val="00104326"/>
    <w:rsid w:val="00104ADB"/>
    <w:rsid w:val="00104CE7"/>
    <w:rsid w:val="00105C26"/>
    <w:rsid w:val="00105DC0"/>
    <w:rsid w:val="00106072"/>
    <w:rsid w:val="001062DE"/>
    <w:rsid w:val="00106419"/>
    <w:rsid w:val="0010669F"/>
    <w:rsid w:val="0010670C"/>
    <w:rsid w:val="00106DE5"/>
    <w:rsid w:val="00107216"/>
    <w:rsid w:val="001075B2"/>
    <w:rsid w:val="001078C0"/>
    <w:rsid w:val="00107BAA"/>
    <w:rsid w:val="00107D0D"/>
    <w:rsid w:val="00107ED6"/>
    <w:rsid w:val="001101B1"/>
    <w:rsid w:val="00110396"/>
    <w:rsid w:val="001108A3"/>
    <w:rsid w:val="00110949"/>
    <w:rsid w:val="001109B3"/>
    <w:rsid w:val="00110D9D"/>
    <w:rsid w:val="00110DDA"/>
    <w:rsid w:val="00111010"/>
    <w:rsid w:val="00111075"/>
    <w:rsid w:val="00111461"/>
    <w:rsid w:val="001114E2"/>
    <w:rsid w:val="001114FC"/>
    <w:rsid w:val="001116D6"/>
    <w:rsid w:val="001117C4"/>
    <w:rsid w:val="001119EE"/>
    <w:rsid w:val="00111A63"/>
    <w:rsid w:val="0011201D"/>
    <w:rsid w:val="00112084"/>
    <w:rsid w:val="00112289"/>
    <w:rsid w:val="0011257C"/>
    <w:rsid w:val="00112942"/>
    <w:rsid w:val="00112963"/>
    <w:rsid w:val="00112E4E"/>
    <w:rsid w:val="00112F1A"/>
    <w:rsid w:val="00112FCC"/>
    <w:rsid w:val="001131A2"/>
    <w:rsid w:val="00113B5B"/>
    <w:rsid w:val="00113D78"/>
    <w:rsid w:val="00114251"/>
    <w:rsid w:val="0011444B"/>
    <w:rsid w:val="00114679"/>
    <w:rsid w:val="001146DE"/>
    <w:rsid w:val="00114792"/>
    <w:rsid w:val="00114D00"/>
    <w:rsid w:val="00114E6C"/>
    <w:rsid w:val="00115494"/>
    <w:rsid w:val="00115680"/>
    <w:rsid w:val="0011573E"/>
    <w:rsid w:val="00115AB6"/>
    <w:rsid w:val="0011636C"/>
    <w:rsid w:val="0011643F"/>
    <w:rsid w:val="00116608"/>
    <w:rsid w:val="00116A80"/>
    <w:rsid w:val="00116E2F"/>
    <w:rsid w:val="00116EDC"/>
    <w:rsid w:val="00117AFE"/>
    <w:rsid w:val="00117B98"/>
    <w:rsid w:val="00117E0F"/>
    <w:rsid w:val="00117F4E"/>
    <w:rsid w:val="00120243"/>
    <w:rsid w:val="001202FE"/>
    <w:rsid w:val="001204F8"/>
    <w:rsid w:val="0012069B"/>
    <w:rsid w:val="001213C9"/>
    <w:rsid w:val="0012143D"/>
    <w:rsid w:val="0012182D"/>
    <w:rsid w:val="00121DFD"/>
    <w:rsid w:val="00122281"/>
    <w:rsid w:val="00122321"/>
    <w:rsid w:val="001223FB"/>
    <w:rsid w:val="00122487"/>
    <w:rsid w:val="00122593"/>
    <w:rsid w:val="001225C7"/>
    <w:rsid w:val="001225E0"/>
    <w:rsid w:val="001229C0"/>
    <w:rsid w:val="00122DE8"/>
    <w:rsid w:val="00123207"/>
    <w:rsid w:val="0012347F"/>
    <w:rsid w:val="001237EB"/>
    <w:rsid w:val="00123B5A"/>
    <w:rsid w:val="00123CA8"/>
    <w:rsid w:val="00123CBE"/>
    <w:rsid w:val="00123CD1"/>
    <w:rsid w:val="00123EA0"/>
    <w:rsid w:val="00123FBA"/>
    <w:rsid w:val="00124257"/>
    <w:rsid w:val="0012437C"/>
    <w:rsid w:val="001247BC"/>
    <w:rsid w:val="00124BC5"/>
    <w:rsid w:val="00124C85"/>
    <w:rsid w:val="00124D47"/>
    <w:rsid w:val="00124DEF"/>
    <w:rsid w:val="00125199"/>
    <w:rsid w:val="001253E2"/>
    <w:rsid w:val="0012554B"/>
    <w:rsid w:val="00125741"/>
    <w:rsid w:val="001258E7"/>
    <w:rsid w:val="00125C01"/>
    <w:rsid w:val="00125E3B"/>
    <w:rsid w:val="001261BC"/>
    <w:rsid w:val="001268A4"/>
    <w:rsid w:val="0012716A"/>
    <w:rsid w:val="001272D6"/>
    <w:rsid w:val="0012757D"/>
    <w:rsid w:val="001277B0"/>
    <w:rsid w:val="001279E7"/>
    <w:rsid w:val="00127AA6"/>
    <w:rsid w:val="00127AB6"/>
    <w:rsid w:val="00127CDF"/>
    <w:rsid w:val="0013029F"/>
    <w:rsid w:val="001302DD"/>
    <w:rsid w:val="00130508"/>
    <w:rsid w:val="001306E5"/>
    <w:rsid w:val="001307EE"/>
    <w:rsid w:val="00130AC0"/>
    <w:rsid w:val="00130B6A"/>
    <w:rsid w:val="00130FE8"/>
    <w:rsid w:val="0013151E"/>
    <w:rsid w:val="001316C0"/>
    <w:rsid w:val="001318F6"/>
    <w:rsid w:val="00131B73"/>
    <w:rsid w:val="00131FF1"/>
    <w:rsid w:val="00132A53"/>
    <w:rsid w:val="00132CCC"/>
    <w:rsid w:val="00132CFA"/>
    <w:rsid w:val="00132D3B"/>
    <w:rsid w:val="00132DF9"/>
    <w:rsid w:val="00132F54"/>
    <w:rsid w:val="0013352E"/>
    <w:rsid w:val="001338ED"/>
    <w:rsid w:val="00133B55"/>
    <w:rsid w:val="00133CC8"/>
    <w:rsid w:val="001340AA"/>
    <w:rsid w:val="00134867"/>
    <w:rsid w:val="001348DB"/>
    <w:rsid w:val="001349D5"/>
    <w:rsid w:val="00134A19"/>
    <w:rsid w:val="00134BC1"/>
    <w:rsid w:val="00135021"/>
    <w:rsid w:val="00135075"/>
    <w:rsid w:val="001353CB"/>
    <w:rsid w:val="001354D3"/>
    <w:rsid w:val="0013559D"/>
    <w:rsid w:val="00135839"/>
    <w:rsid w:val="00135D3C"/>
    <w:rsid w:val="00135D78"/>
    <w:rsid w:val="00135E4C"/>
    <w:rsid w:val="00135EB6"/>
    <w:rsid w:val="00135FDE"/>
    <w:rsid w:val="001361B0"/>
    <w:rsid w:val="001361BB"/>
    <w:rsid w:val="0013623A"/>
    <w:rsid w:val="00136544"/>
    <w:rsid w:val="00136EE1"/>
    <w:rsid w:val="00136F44"/>
    <w:rsid w:val="0013760C"/>
    <w:rsid w:val="001377B7"/>
    <w:rsid w:val="00137A73"/>
    <w:rsid w:val="001402EB"/>
    <w:rsid w:val="00140308"/>
    <w:rsid w:val="00140361"/>
    <w:rsid w:val="0014064E"/>
    <w:rsid w:val="00140AF9"/>
    <w:rsid w:val="00140B49"/>
    <w:rsid w:val="001412C0"/>
    <w:rsid w:val="00141407"/>
    <w:rsid w:val="001414C0"/>
    <w:rsid w:val="00141817"/>
    <w:rsid w:val="001418AA"/>
    <w:rsid w:val="00141C8E"/>
    <w:rsid w:val="00141FB1"/>
    <w:rsid w:val="00142615"/>
    <w:rsid w:val="00142BE7"/>
    <w:rsid w:val="00142C81"/>
    <w:rsid w:val="001434CD"/>
    <w:rsid w:val="00143523"/>
    <w:rsid w:val="001435A8"/>
    <w:rsid w:val="0014365B"/>
    <w:rsid w:val="00143C21"/>
    <w:rsid w:val="00143D67"/>
    <w:rsid w:val="00143F4D"/>
    <w:rsid w:val="001442D0"/>
    <w:rsid w:val="001448B6"/>
    <w:rsid w:val="00144BD4"/>
    <w:rsid w:val="00144C2F"/>
    <w:rsid w:val="00144FA2"/>
    <w:rsid w:val="0014509A"/>
    <w:rsid w:val="00145118"/>
    <w:rsid w:val="00145239"/>
    <w:rsid w:val="00145284"/>
    <w:rsid w:val="001453AC"/>
    <w:rsid w:val="00145467"/>
    <w:rsid w:val="001456F8"/>
    <w:rsid w:val="00145B43"/>
    <w:rsid w:val="00146209"/>
    <w:rsid w:val="001464BE"/>
    <w:rsid w:val="0014659D"/>
    <w:rsid w:val="00146875"/>
    <w:rsid w:val="001469A5"/>
    <w:rsid w:val="001469E3"/>
    <w:rsid w:val="001469EC"/>
    <w:rsid w:val="00146FA3"/>
    <w:rsid w:val="001478EC"/>
    <w:rsid w:val="00150690"/>
    <w:rsid w:val="00150783"/>
    <w:rsid w:val="00150C74"/>
    <w:rsid w:val="00150D31"/>
    <w:rsid w:val="00150E9E"/>
    <w:rsid w:val="00151546"/>
    <w:rsid w:val="00151BC2"/>
    <w:rsid w:val="00151CD9"/>
    <w:rsid w:val="00151EAD"/>
    <w:rsid w:val="001523A8"/>
    <w:rsid w:val="001524E6"/>
    <w:rsid w:val="001526E3"/>
    <w:rsid w:val="0015271D"/>
    <w:rsid w:val="00152854"/>
    <w:rsid w:val="00152A03"/>
    <w:rsid w:val="00152EAB"/>
    <w:rsid w:val="00152F4C"/>
    <w:rsid w:val="0015341E"/>
    <w:rsid w:val="001534BC"/>
    <w:rsid w:val="0015365C"/>
    <w:rsid w:val="0015366D"/>
    <w:rsid w:val="001537EE"/>
    <w:rsid w:val="001538E4"/>
    <w:rsid w:val="00153A9A"/>
    <w:rsid w:val="00153CC4"/>
    <w:rsid w:val="0015410E"/>
    <w:rsid w:val="00154144"/>
    <w:rsid w:val="001544D3"/>
    <w:rsid w:val="001544FD"/>
    <w:rsid w:val="00154A07"/>
    <w:rsid w:val="00155408"/>
    <w:rsid w:val="00155967"/>
    <w:rsid w:val="00155C67"/>
    <w:rsid w:val="001564FA"/>
    <w:rsid w:val="00156561"/>
    <w:rsid w:val="001568FD"/>
    <w:rsid w:val="0015692B"/>
    <w:rsid w:val="00156CCD"/>
    <w:rsid w:val="001577BE"/>
    <w:rsid w:val="00157825"/>
    <w:rsid w:val="00157A6D"/>
    <w:rsid w:val="00160559"/>
    <w:rsid w:val="0016058D"/>
    <w:rsid w:val="00160753"/>
    <w:rsid w:val="0016099C"/>
    <w:rsid w:val="001609A0"/>
    <w:rsid w:val="001610F7"/>
    <w:rsid w:val="001611EF"/>
    <w:rsid w:val="00161412"/>
    <w:rsid w:val="0016152B"/>
    <w:rsid w:val="001617CC"/>
    <w:rsid w:val="00161C2E"/>
    <w:rsid w:val="00161EBD"/>
    <w:rsid w:val="0016217A"/>
    <w:rsid w:val="00162193"/>
    <w:rsid w:val="001623C6"/>
    <w:rsid w:val="0016245E"/>
    <w:rsid w:val="0016249A"/>
    <w:rsid w:val="0016292E"/>
    <w:rsid w:val="00162943"/>
    <w:rsid w:val="00162988"/>
    <w:rsid w:val="0016298B"/>
    <w:rsid w:val="0016303D"/>
    <w:rsid w:val="001631C5"/>
    <w:rsid w:val="001632E6"/>
    <w:rsid w:val="0016344D"/>
    <w:rsid w:val="00163484"/>
    <w:rsid w:val="001636AE"/>
    <w:rsid w:val="0016384E"/>
    <w:rsid w:val="0016396A"/>
    <w:rsid w:val="00163976"/>
    <w:rsid w:val="0016399E"/>
    <w:rsid w:val="00163DEA"/>
    <w:rsid w:val="00164868"/>
    <w:rsid w:val="001648DE"/>
    <w:rsid w:val="001649DF"/>
    <w:rsid w:val="001649F4"/>
    <w:rsid w:val="0016559D"/>
    <w:rsid w:val="00165D60"/>
    <w:rsid w:val="00165FA3"/>
    <w:rsid w:val="001662C6"/>
    <w:rsid w:val="00166DDB"/>
    <w:rsid w:val="00166E3E"/>
    <w:rsid w:val="001670A5"/>
    <w:rsid w:val="001673CB"/>
    <w:rsid w:val="00167709"/>
    <w:rsid w:val="00167BE3"/>
    <w:rsid w:val="00167C8B"/>
    <w:rsid w:val="00167F3A"/>
    <w:rsid w:val="0017013B"/>
    <w:rsid w:val="00170263"/>
    <w:rsid w:val="0017035E"/>
    <w:rsid w:val="001703FB"/>
    <w:rsid w:val="00170566"/>
    <w:rsid w:val="0017096E"/>
    <w:rsid w:val="00170C31"/>
    <w:rsid w:val="00170F4A"/>
    <w:rsid w:val="0017124E"/>
    <w:rsid w:val="001713FD"/>
    <w:rsid w:val="00172191"/>
    <w:rsid w:val="001722A2"/>
    <w:rsid w:val="0017245D"/>
    <w:rsid w:val="00172585"/>
    <w:rsid w:val="00172594"/>
    <w:rsid w:val="00172818"/>
    <w:rsid w:val="0017285D"/>
    <w:rsid w:val="0017298A"/>
    <w:rsid w:val="00172EA5"/>
    <w:rsid w:val="00172F95"/>
    <w:rsid w:val="001731D8"/>
    <w:rsid w:val="00173253"/>
    <w:rsid w:val="001732BB"/>
    <w:rsid w:val="0017334E"/>
    <w:rsid w:val="0017349B"/>
    <w:rsid w:val="001737B1"/>
    <w:rsid w:val="0017380B"/>
    <w:rsid w:val="0017392A"/>
    <w:rsid w:val="00173E7C"/>
    <w:rsid w:val="001740FF"/>
    <w:rsid w:val="0017428C"/>
    <w:rsid w:val="00174543"/>
    <w:rsid w:val="001746FE"/>
    <w:rsid w:val="00174968"/>
    <w:rsid w:val="00174AED"/>
    <w:rsid w:val="0017526A"/>
    <w:rsid w:val="00175283"/>
    <w:rsid w:val="0017557C"/>
    <w:rsid w:val="001756D1"/>
    <w:rsid w:val="0017589B"/>
    <w:rsid w:val="00175C36"/>
    <w:rsid w:val="00175DAD"/>
    <w:rsid w:val="00175EC1"/>
    <w:rsid w:val="001766F8"/>
    <w:rsid w:val="00176A6F"/>
    <w:rsid w:val="00176DA1"/>
    <w:rsid w:val="00176F17"/>
    <w:rsid w:val="0017756E"/>
    <w:rsid w:val="001777ED"/>
    <w:rsid w:val="00177C13"/>
    <w:rsid w:val="00177C63"/>
    <w:rsid w:val="00177D40"/>
    <w:rsid w:val="00177E43"/>
    <w:rsid w:val="00180291"/>
    <w:rsid w:val="001807D4"/>
    <w:rsid w:val="00180C8B"/>
    <w:rsid w:val="00180D7E"/>
    <w:rsid w:val="00180F95"/>
    <w:rsid w:val="00181096"/>
    <w:rsid w:val="0018124B"/>
    <w:rsid w:val="001812B5"/>
    <w:rsid w:val="001814F4"/>
    <w:rsid w:val="001815BB"/>
    <w:rsid w:val="00181E68"/>
    <w:rsid w:val="0018278C"/>
    <w:rsid w:val="00182C63"/>
    <w:rsid w:val="00182DC5"/>
    <w:rsid w:val="001831FE"/>
    <w:rsid w:val="00183374"/>
    <w:rsid w:val="00183736"/>
    <w:rsid w:val="0018377C"/>
    <w:rsid w:val="00183798"/>
    <w:rsid w:val="00183867"/>
    <w:rsid w:val="0018390A"/>
    <w:rsid w:val="00183D71"/>
    <w:rsid w:val="00183E04"/>
    <w:rsid w:val="00183E1C"/>
    <w:rsid w:val="00183E73"/>
    <w:rsid w:val="00183EA7"/>
    <w:rsid w:val="00183F3B"/>
    <w:rsid w:val="00184226"/>
    <w:rsid w:val="001843D6"/>
    <w:rsid w:val="001844E6"/>
    <w:rsid w:val="00184730"/>
    <w:rsid w:val="0018481A"/>
    <w:rsid w:val="00184C50"/>
    <w:rsid w:val="00184D0D"/>
    <w:rsid w:val="00184EF1"/>
    <w:rsid w:val="00184F48"/>
    <w:rsid w:val="0018567F"/>
    <w:rsid w:val="001857A6"/>
    <w:rsid w:val="00185B94"/>
    <w:rsid w:val="00185BD2"/>
    <w:rsid w:val="00185D08"/>
    <w:rsid w:val="00185E36"/>
    <w:rsid w:val="00186453"/>
    <w:rsid w:val="00186548"/>
    <w:rsid w:val="0018741C"/>
    <w:rsid w:val="001874F0"/>
    <w:rsid w:val="001875B2"/>
    <w:rsid w:val="00187936"/>
    <w:rsid w:val="0018796A"/>
    <w:rsid w:val="001879E1"/>
    <w:rsid w:val="001879F6"/>
    <w:rsid w:val="00190463"/>
    <w:rsid w:val="00190497"/>
    <w:rsid w:val="0019076E"/>
    <w:rsid w:val="00190B21"/>
    <w:rsid w:val="00191175"/>
    <w:rsid w:val="00191445"/>
    <w:rsid w:val="001914AF"/>
    <w:rsid w:val="001916DD"/>
    <w:rsid w:val="00191802"/>
    <w:rsid w:val="00191A62"/>
    <w:rsid w:val="00191B99"/>
    <w:rsid w:val="00191D50"/>
    <w:rsid w:val="00191DA2"/>
    <w:rsid w:val="0019259E"/>
    <w:rsid w:val="001925EE"/>
    <w:rsid w:val="001928B1"/>
    <w:rsid w:val="00192A66"/>
    <w:rsid w:val="00192BB2"/>
    <w:rsid w:val="00193469"/>
    <w:rsid w:val="001938F4"/>
    <w:rsid w:val="00193AFB"/>
    <w:rsid w:val="00193E44"/>
    <w:rsid w:val="00194139"/>
    <w:rsid w:val="0019418A"/>
    <w:rsid w:val="00194487"/>
    <w:rsid w:val="001949FE"/>
    <w:rsid w:val="00194F2D"/>
    <w:rsid w:val="00194F6D"/>
    <w:rsid w:val="001951AF"/>
    <w:rsid w:val="00195243"/>
    <w:rsid w:val="00195609"/>
    <w:rsid w:val="00195B72"/>
    <w:rsid w:val="00195B8B"/>
    <w:rsid w:val="00195BF7"/>
    <w:rsid w:val="00195C77"/>
    <w:rsid w:val="00195D3B"/>
    <w:rsid w:val="00195D85"/>
    <w:rsid w:val="00195EB4"/>
    <w:rsid w:val="00196241"/>
    <w:rsid w:val="00196336"/>
    <w:rsid w:val="00196356"/>
    <w:rsid w:val="0019646E"/>
    <w:rsid w:val="001969E5"/>
    <w:rsid w:val="00196CBC"/>
    <w:rsid w:val="001976B7"/>
    <w:rsid w:val="001977CA"/>
    <w:rsid w:val="00197905"/>
    <w:rsid w:val="00197921"/>
    <w:rsid w:val="00197990"/>
    <w:rsid w:val="00197A80"/>
    <w:rsid w:val="00197CAB"/>
    <w:rsid w:val="00197CBF"/>
    <w:rsid w:val="00197D40"/>
    <w:rsid w:val="00197FC6"/>
    <w:rsid w:val="001A0278"/>
    <w:rsid w:val="001A08E5"/>
    <w:rsid w:val="001A0A29"/>
    <w:rsid w:val="001A0FBC"/>
    <w:rsid w:val="001A10E7"/>
    <w:rsid w:val="001A1192"/>
    <w:rsid w:val="001A11F5"/>
    <w:rsid w:val="001A1358"/>
    <w:rsid w:val="001A1536"/>
    <w:rsid w:val="001A1C91"/>
    <w:rsid w:val="001A1E76"/>
    <w:rsid w:val="001A1E87"/>
    <w:rsid w:val="001A1F0E"/>
    <w:rsid w:val="001A2021"/>
    <w:rsid w:val="001A255F"/>
    <w:rsid w:val="001A2BE8"/>
    <w:rsid w:val="001A3636"/>
    <w:rsid w:val="001A37F5"/>
    <w:rsid w:val="001A39C0"/>
    <w:rsid w:val="001A3AA1"/>
    <w:rsid w:val="001A3C7B"/>
    <w:rsid w:val="001A3D30"/>
    <w:rsid w:val="001A3EE7"/>
    <w:rsid w:val="001A3EE9"/>
    <w:rsid w:val="001A4210"/>
    <w:rsid w:val="001A44DE"/>
    <w:rsid w:val="001A4900"/>
    <w:rsid w:val="001A494E"/>
    <w:rsid w:val="001A4C76"/>
    <w:rsid w:val="001A4FC1"/>
    <w:rsid w:val="001A541C"/>
    <w:rsid w:val="001A545D"/>
    <w:rsid w:val="001A59EB"/>
    <w:rsid w:val="001A5A19"/>
    <w:rsid w:val="001A5E86"/>
    <w:rsid w:val="001A614C"/>
    <w:rsid w:val="001A6356"/>
    <w:rsid w:val="001A6431"/>
    <w:rsid w:val="001A6B16"/>
    <w:rsid w:val="001A7215"/>
    <w:rsid w:val="001A72C0"/>
    <w:rsid w:val="001A7594"/>
    <w:rsid w:val="001A7F86"/>
    <w:rsid w:val="001B033B"/>
    <w:rsid w:val="001B0407"/>
    <w:rsid w:val="001B056E"/>
    <w:rsid w:val="001B0974"/>
    <w:rsid w:val="001B0BFA"/>
    <w:rsid w:val="001B1473"/>
    <w:rsid w:val="001B15AC"/>
    <w:rsid w:val="001B15B9"/>
    <w:rsid w:val="001B198B"/>
    <w:rsid w:val="001B1CEF"/>
    <w:rsid w:val="001B2491"/>
    <w:rsid w:val="001B249A"/>
    <w:rsid w:val="001B26DD"/>
    <w:rsid w:val="001B2875"/>
    <w:rsid w:val="001B2A44"/>
    <w:rsid w:val="001B2FB7"/>
    <w:rsid w:val="001B3111"/>
    <w:rsid w:val="001B3259"/>
    <w:rsid w:val="001B3AA3"/>
    <w:rsid w:val="001B3AC9"/>
    <w:rsid w:val="001B3D5D"/>
    <w:rsid w:val="001B45E2"/>
    <w:rsid w:val="001B48E7"/>
    <w:rsid w:val="001B491A"/>
    <w:rsid w:val="001B4957"/>
    <w:rsid w:val="001B4A90"/>
    <w:rsid w:val="001B4B4F"/>
    <w:rsid w:val="001B4C4A"/>
    <w:rsid w:val="001B4EC7"/>
    <w:rsid w:val="001B4EDB"/>
    <w:rsid w:val="001B5250"/>
    <w:rsid w:val="001B540E"/>
    <w:rsid w:val="001B56A0"/>
    <w:rsid w:val="001B5780"/>
    <w:rsid w:val="001B5A4A"/>
    <w:rsid w:val="001B5E3D"/>
    <w:rsid w:val="001B6196"/>
    <w:rsid w:val="001B6388"/>
    <w:rsid w:val="001B64E9"/>
    <w:rsid w:val="001B6CD6"/>
    <w:rsid w:val="001B6FAE"/>
    <w:rsid w:val="001B6FD8"/>
    <w:rsid w:val="001B7492"/>
    <w:rsid w:val="001B75F2"/>
    <w:rsid w:val="001B7696"/>
    <w:rsid w:val="001B7D2F"/>
    <w:rsid w:val="001B7E2E"/>
    <w:rsid w:val="001B7F25"/>
    <w:rsid w:val="001B7FF7"/>
    <w:rsid w:val="001C02E3"/>
    <w:rsid w:val="001C034B"/>
    <w:rsid w:val="001C038D"/>
    <w:rsid w:val="001C0445"/>
    <w:rsid w:val="001C08B6"/>
    <w:rsid w:val="001C0B10"/>
    <w:rsid w:val="001C1622"/>
    <w:rsid w:val="001C1624"/>
    <w:rsid w:val="001C1A9B"/>
    <w:rsid w:val="001C1B9C"/>
    <w:rsid w:val="001C1BD9"/>
    <w:rsid w:val="001C1C38"/>
    <w:rsid w:val="001C1C90"/>
    <w:rsid w:val="001C1E63"/>
    <w:rsid w:val="001C2232"/>
    <w:rsid w:val="001C233C"/>
    <w:rsid w:val="001C23FE"/>
    <w:rsid w:val="001C2485"/>
    <w:rsid w:val="001C2EDB"/>
    <w:rsid w:val="001C33CB"/>
    <w:rsid w:val="001C3493"/>
    <w:rsid w:val="001C36EF"/>
    <w:rsid w:val="001C3AF7"/>
    <w:rsid w:val="001C3B41"/>
    <w:rsid w:val="001C3DDA"/>
    <w:rsid w:val="001C4329"/>
    <w:rsid w:val="001C4747"/>
    <w:rsid w:val="001C4A2A"/>
    <w:rsid w:val="001C4D7F"/>
    <w:rsid w:val="001C4D9E"/>
    <w:rsid w:val="001C4E47"/>
    <w:rsid w:val="001C514C"/>
    <w:rsid w:val="001C5737"/>
    <w:rsid w:val="001C5ACA"/>
    <w:rsid w:val="001C5AE5"/>
    <w:rsid w:val="001C5B6D"/>
    <w:rsid w:val="001C5B74"/>
    <w:rsid w:val="001C5FFA"/>
    <w:rsid w:val="001C6156"/>
    <w:rsid w:val="001C627C"/>
    <w:rsid w:val="001C65BB"/>
    <w:rsid w:val="001C683E"/>
    <w:rsid w:val="001C6863"/>
    <w:rsid w:val="001C69B2"/>
    <w:rsid w:val="001C69F7"/>
    <w:rsid w:val="001C6B5A"/>
    <w:rsid w:val="001C6C5E"/>
    <w:rsid w:val="001C6E4E"/>
    <w:rsid w:val="001C7349"/>
    <w:rsid w:val="001D0489"/>
    <w:rsid w:val="001D0547"/>
    <w:rsid w:val="001D0D6B"/>
    <w:rsid w:val="001D1362"/>
    <w:rsid w:val="001D1729"/>
    <w:rsid w:val="001D1846"/>
    <w:rsid w:val="001D1BA7"/>
    <w:rsid w:val="001D1D52"/>
    <w:rsid w:val="001D1E3E"/>
    <w:rsid w:val="001D2390"/>
    <w:rsid w:val="001D2407"/>
    <w:rsid w:val="001D2971"/>
    <w:rsid w:val="001D2E94"/>
    <w:rsid w:val="001D2F1C"/>
    <w:rsid w:val="001D2F76"/>
    <w:rsid w:val="001D2FB1"/>
    <w:rsid w:val="001D31FC"/>
    <w:rsid w:val="001D3235"/>
    <w:rsid w:val="001D33DC"/>
    <w:rsid w:val="001D340D"/>
    <w:rsid w:val="001D3468"/>
    <w:rsid w:val="001D36FE"/>
    <w:rsid w:val="001D38B6"/>
    <w:rsid w:val="001D3AAA"/>
    <w:rsid w:val="001D3D1E"/>
    <w:rsid w:val="001D40E5"/>
    <w:rsid w:val="001D4569"/>
    <w:rsid w:val="001D479E"/>
    <w:rsid w:val="001D47B8"/>
    <w:rsid w:val="001D47CC"/>
    <w:rsid w:val="001D480F"/>
    <w:rsid w:val="001D4938"/>
    <w:rsid w:val="001D49D3"/>
    <w:rsid w:val="001D4DE1"/>
    <w:rsid w:val="001D504C"/>
    <w:rsid w:val="001D5958"/>
    <w:rsid w:val="001D5978"/>
    <w:rsid w:val="001D5ED1"/>
    <w:rsid w:val="001D6357"/>
    <w:rsid w:val="001D65A9"/>
    <w:rsid w:val="001D66D0"/>
    <w:rsid w:val="001D6754"/>
    <w:rsid w:val="001D6AF3"/>
    <w:rsid w:val="001D70AF"/>
    <w:rsid w:val="001D7246"/>
    <w:rsid w:val="001D7830"/>
    <w:rsid w:val="001D7A77"/>
    <w:rsid w:val="001D7A9D"/>
    <w:rsid w:val="001E0175"/>
    <w:rsid w:val="001E03FC"/>
    <w:rsid w:val="001E0607"/>
    <w:rsid w:val="001E080E"/>
    <w:rsid w:val="001E087C"/>
    <w:rsid w:val="001E08AC"/>
    <w:rsid w:val="001E0A28"/>
    <w:rsid w:val="001E1309"/>
    <w:rsid w:val="001E133B"/>
    <w:rsid w:val="001E165D"/>
    <w:rsid w:val="001E17F3"/>
    <w:rsid w:val="001E197F"/>
    <w:rsid w:val="001E1C8A"/>
    <w:rsid w:val="001E1CF0"/>
    <w:rsid w:val="001E1FF4"/>
    <w:rsid w:val="001E201A"/>
    <w:rsid w:val="001E2052"/>
    <w:rsid w:val="001E20B2"/>
    <w:rsid w:val="001E2126"/>
    <w:rsid w:val="001E2177"/>
    <w:rsid w:val="001E2365"/>
    <w:rsid w:val="001E2391"/>
    <w:rsid w:val="001E24FE"/>
    <w:rsid w:val="001E25BF"/>
    <w:rsid w:val="001E2673"/>
    <w:rsid w:val="001E268E"/>
    <w:rsid w:val="001E2990"/>
    <w:rsid w:val="001E2B4A"/>
    <w:rsid w:val="001E2BDB"/>
    <w:rsid w:val="001E2F72"/>
    <w:rsid w:val="001E300C"/>
    <w:rsid w:val="001E32D2"/>
    <w:rsid w:val="001E34AD"/>
    <w:rsid w:val="001E35EE"/>
    <w:rsid w:val="001E3821"/>
    <w:rsid w:val="001E3829"/>
    <w:rsid w:val="001E3B5C"/>
    <w:rsid w:val="001E3C5B"/>
    <w:rsid w:val="001E3C6D"/>
    <w:rsid w:val="001E3D9F"/>
    <w:rsid w:val="001E441F"/>
    <w:rsid w:val="001E454C"/>
    <w:rsid w:val="001E4649"/>
    <w:rsid w:val="001E4B1E"/>
    <w:rsid w:val="001E4B9B"/>
    <w:rsid w:val="001E504E"/>
    <w:rsid w:val="001E53E6"/>
    <w:rsid w:val="001E540B"/>
    <w:rsid w:val="001E558B"/>
    <w:rsid w:val="001E5C14"/>
    <w:rsid w:val="001E5CC4"/>
    <w:rsid w:val="001E5E0E"/>
    <w:rsid w:val="001E5FB5"/>
    <w:rsid w:val="001E6A2B"/>
    <w:rsid w:val="001E6EA8"/>
    <w:rsid w:val="001E72A3"/>
    <w:rsid w:val="001E7596"/>
    <w:rsid w:val="001E7A80"/>
    <w:rsid w:val="001F0259"/>
    <w:rsid w:val="001F0425"/>
    <w:rsid w:val="001F04DE"/>
    <w:rsid w:val="001F093A"/>
    <w:rsid w:val="001F0CAB"/>
    <w:rsid w:val="001F0D17"/>
    <w:rsid w:val="001F0DC8"/>
    <w:rsid w:val="001F101E"/>
    <w:rsid w:val="001F12E0"/>
    <w:rsid w:val="001F13D3"/>
    <w:rsid w:val="001F1BE7"/>
    <w:rsid w:val="001F1DEA"/>
    <w:rsid w:val="001F1F4A"/>
    <w:rsid w:val="001F1FD1"/>
    <w:rsid w:val="001F227F"/>
    <w:rsid w:val="001F2740"/>
    <w:rsid w:val="001F2A71"/>
    <w:rsid w:val="001F2A90"/>
    <w:rsid w:val="001F2D1F"/>
    <w:rsid w:val="001F2E0E"/>
    <w:rsid w:val="001F2EB4"/>
    <w:rsid w:val="001F307A"/>
    <w:rsid w:val="001F36C8"/>
    <w:rsid w:val="001F37C1"/>
    <w:rsid w:val="001F3C17"/>
    <w:rsid w:val="001F42D9"/>
    <w:rsid w:val="001F4857"/>
    <w:rsid w:val="001F4A40"/>
    <w:rsid w:val="001F537F"/>
    <w:rsid w:val="001F5472"/>
    <w:rsid w:val="001F566C"/>
    <w:rsid w:val="001F5D40"/>
    <w:rsid w:val="001F62A4"/>
    <w:rsid w:val="001F662A"/>
    <w:rsid w:val="001F69A7"/>
    <w:rsid w:val="001F6EE9"/>
    <w:rsid w:val="001F7653"/>
    <w:rsid w:val="001F7666"/>
    <w:rsid w:val="001F782A"/>
    <w:rsid w:val="001F7A38"/>
    <w:rsid w:val="001F7D7C"/>
    <w:rsid w:val="00200016"/>
    <w:rsid w:val="0020040C"/>
    <w:rsid w:val="002004A8"/>
    <w:rsid w:val="002004FE"/>
    <w:rsid w:val="002009F8"/>
    <w:rsid w:val="00200ED6"/>
    <w:rsid w:val="00201834"/>
    <w:rsid w:val="00201F63"/>
    <w:rsid w:val="0020203E"/>
    <w:rsid w:val="002024EB"/>
    <w:rsid w:val="00202545"/>
    <w:rsid w:val="00202C4C"/>
    <w:rsid w:val="00202D59"/>
    <w:rsid w:val="00202F3A"/>
    <w:rsid w:val="0020351D"/>
    <w:rsid w:val="002038E4"/>
    <w:rsid w:val="0020391D"/>
    <w:rsid w:val="00203D39"/>
    <w:rsid w:val="00203E67"/>
    <w:rsid w:val="00203F6A"/>
    <w:rsid w:val="00203FE8"/>
    <w:rsid w:val="002040F3"/>
    <w:rsid w:val="0020411D"/>
    <w:rsid w:val="002047F5"/>
    <w:rsid w:val="00204A9E"/>
    <w:rsid w:val="00204B1A"/>
    <w:rsid w:val="00204B41"/>
    <w:rsid w:val="00204D19"/>
    <w:rsid w:val="00205180"/>
    <w:rsid w:val="002052C3"/>
    <w:rsid w:val="002053D9"/>
    <w:rsid w:val="00205429"/>
    <w:rsid w:val="00205A63"/>
    <w:rsid w:val="00206464"/>
    <w:rsid w:val="00206952"/>
    <w:rsid w:val="002069A2"/>
    <w:rsid w:val="00206A21"/>
    <w:rsid w:val="00207230"/>
    <w:rsid w:val="002073AB"/>
    <w:rsid w:val="002079B4"/>
    <w:rsid w:val="00207A1F"/>
    <w:rsid w:val="00207A76"/>
    <w:rsid w:val="00207B30"/>
    <w:rsid w:val="00207BDA"/>
    <w:rsid w:val="002104E5"/>
    <w:rsid w:val="002108B1"/>
    <w:rsid w:val="00210A2E"/>
    <w:rsid w:val="00210B05"/>
    <w:rsid w:val="00210CAA"/>
    <w:rsid w:val="00211234"/>
    <w:rsid w:val="00211265"/>
    <w:rsid w:val="002114E6"/>
    <w:rsid w:val="002117C3"/>
    <w:rsid w:val="002117FE"/>
    <w:rsid w:val="0021183D"/>
    <w:rsid w:val="00211903"/>
    <w:rsid w:val="00211D80"/>
    <w:rsid w:val="00212008"/>
    <w:rsid w:val="0021201B"/>
    <w:rsid w:val="002122D0"/>
    <w:rsid w:val="00212556"/>
    <w:rsid w:val="002127B3"/>
    <w:rsid w:val="002128B1"/>
    <w:rsid w:val="00212B32"/>
    <w:rsid w:val="00212BE0"/>
    <w:rsid w:val="00212E92"/>
    <w:rsid w:val="0021317F"/>
    <w:rsid w:val="002132FD"/>
    <w:rsid w:val="002134CD"/>
    <w:rsid w:val="002137E0"/>
    <w:rsid w:val="00213D9A"/>
    <w:rsid w:val="00213E4F"/>
    <w:rsid w:val="00214901"/>
    <w:rsid w:val="00214968"/>
    <w:rsid w:val="00214D97"/>
    <w:rsid w:val="00214F4F"/>
    <w:rsid w:val="002151A7"/>
    <w:rsid w:val="002159ED"/>
    <w:rsid w:val="00215A9E"/>
    <w:rsid w:val="00215FB3"/>
    <w:rsid w:val="00216B78"/>
    <w:rsid w:val="00216F53"/>
    <w:rsid w:val="00217063"/>
    <w:rsid w:val="002171CA"/>
    <w:rsid w:val="00217223"/>
    <w:rsid w:val="002174AC"/>
    <w:rsid w:val="0021761E"/>
    <w:rsid w:val="00217888"/>
    <w:rsid w:val="00217ACE"/>
    <w:rsid w:val="00217B2F"/>
    <w:rsid w:val="00217CFA"/>
    <w:rsid w:val="002203DA"/>
    <w:rsid w:val="00220425"/>
    <w:rsid w:val="002204AA"/>
    <w:rsid w:val="002205EE"/>
    <w:rsid w:val="00220758"/>
    <w:rsid w:val="00220940"/>
    <w:rsid w:val="00220AD4"/>
    <w:rsid w:val="00220EE1"/>
    <w:rsid w:val="00221035"/>
    <w:rsid w:val="002214E5"/>
    <w:rsid w:val="00221802"/>
    <w:rsid w:val="00221CAF"/>
    <w:rsid w:val="00221D04"/>
    <w:rsid w:val="00221D50"/>
    <w:rsid w:val="00221FB1"/>
    <w:rsid w:val="00221FE7"/>
    <w:rsid w:val="00222068"/>
    <w:rsid w:val="00222211"/>
    <w:rsid w:val="00222291"/>
    <w:rsid w:val="00222778"/>
    <w:rsid w:val="002227D8"/>
    <w:rsid w:val="002227EB"/>
    <w:rsid w:val="00222F37"/>
    <w:rsid w:val="00223037"/>
    <w:rsid w:val="002230B4"/>
    <w:rsid w:val="00223110"/>
    <w:rsid w:val="002235FE"/>
    <w:rsid w:val="00223625"/>
    <w:rsid w:val="00223659"/>
    <w:rsid w:val="00223711"/>
    <w:rsid w:val="00223949"/>
    <w:rsid w:val="00224506"/>
    <w:rsid w:val="0022460B"/>
    <w:rsid w:val="002247A0"/>
    <w:rsid w:val="00224984"/>
    <w:rsid w:val="00224CBA"/>
    <w:rsid w:val="00224F43"/>
    <w:rsid w:val="00224F8B"/>
    <w:rsid w:val="0022589D"/>
    <w:rsid w:val="00225EE2"/>
    <w:rsid w:val="00226095"/>
    <w:rsid w:val="002262BA"/>
    <w:rsid w:val="00226537"/>
    <w:rsid w:val="00226DA3"/>
    <w:rsid w:val="00227345"/>
    <w:rsid w:val="00227729"/>
    <w:rsid w:val="0023005B"/>
    <w:rsid w:val="002302B2"/>
    <w:rsid w:val="002302C3"/>
    <w:rsid w:val="0023036A"/>
    <w:rsid w:val="002303E0"/>
    <w:rsid w:val="00230738"/>
    <w:rsid w:val="002308CF"/>
    <w:rsid w:val="00231197"/>
    <w:rsid w:val="002317E8"/>
    <w:rsid w:val="002319ED"/>
    <w:rsid w:val="00231C56"/>
    <w:rsid w:val="00231F14"/>
    <w:rsid w:val="0023206C"/>
    <w:rsid w:val="00232771"/>
    <w:rsid w:val="00232887"/>
    <w:rsid w:val="00232977"/>
    <w:rsid w:val="00232A61"/>
    <w:rsid w:val="00232E03"/>
    <w:rsid w:val="0023309C"/>
    <w:rsid w:val="002332F7"/>
    <w:rsid w:val="0023339E"/>
    <w:rsid w:val="00233A2B"/>
    <w:rsid w:val="00233C45"/>
    <w:rsid w:val="00233E50"/>
    <w:rsid w:val="002341B7"/>
    <w:rsid w:val="00234843"/>
    <w:rsid w:val="00234893"/>
    <w:rsid w:val="002348B6"/>
    <w:rsid w:val="00235414"/>
    <w:rsid w:val="002356FA"/>
    <w:rsid w:val="00235E80"/>
    <w:rsid w:val="00235EE0"/>
    <w:rsid w:val="002361AA"/>
    <w:rsid w:val="00236276"/>
    <w:rsid w:val="002366F9"/>
    <w:rsid w:val="00236A75"/>
    <w:rsid w:val="00236B50"/>
    <w:rsid w:val="00236B8F"/>
    <w:rsid w:val="002375B8"/>
    <w:rsid w:val="00237903"/>
    <w:rsid w:val="00237DD3"/>
    <w:rsid w:val="00237F5C"/>
    <w:rsid w:val="00240037"/>
    <w:rsid w:val="0024045F"/>
    <w:rsid w:val="002404B9"/>
    <w:rsid w:val="00240529"/>
    <w:rsid w:val="00240980"/>
    <w:rsid w:val="00240C00"/>
    <w:rsid w:val="00241113"/>
    <w:rsid w:val="00241372"/>
    <w:rsid w:val="00241499"/>
    <w:rsid w:val="00241B33"/>
    <w:rsid w:val="00241E08"/>
    <w:rsid w:val="0024201F"/>
    <w:rsid w:val="00242281"/>
    <w:rsid w:val="002423FA"/>
    <w:rsid w:val="00242629"/>
    <w:rsid w:val="00242B27"/>
    <w:rsid w:val="002432B6"/>
    <w:rsid w:val="002435A8"/>
    <w:rsid w:val="00243775"/>
    <w:rsid w:val="00243AF7"/>
    <w:rsid w:val="00243CBE"/>
    <w:rsid w:val="00243FFE"/>
    <w:rsid w:val="0024429E"/>
    <w:rsid w:val="002446A3"/>
    <w:rsid w:val="00244773"/>
    <w:rsid w:val="00244FAE"/>
    <w:rsid w:val="0024507D"/>
    <w:rsid w:val="00245314"/>
    <w:rsid w:val="002455F0"/>
    <w:rsid w:val="002457A1"/>
    <w:rsid w:val="00245917"/>
    <w:rsid w:val="00245ABE"/>
    <w:rsid w:val="00245C15"/>
    <w:rsid w:val="00245C51"/>
    <w:rsid w:val="00245CBB"/>
    <w:rsid w:val="00245D69"/>
    <w:rsid w:val="00245F17"/>
    <w:rsid w:val="002460D7"/>
    <w:rsid w:val="00246600"/>
    <w:rsid w:val="00246C35"/>
    <w:rsid w:val="00246C48"/>
    <w:rsid w:val="00246FA9"/>
    <w:rsid w:val="00247372"/>
    <w:rsid w:val="002478E2"/>
    <w:rsid w:val="0024792B"/>
    <w:rsid w:val="00247C4B"/>
    <w:rsid w:val="002500F4"/>
    <w:rsid w:val="00250283"/>
    <w:rsid w:val="002502EA"/>
    <w:rsid w:val="0025048D"/>
    <w:rsid w:val="00250540"/>
    <w:rsid w:val="002509DE"/>
    <w:rsid w:val="00250B22"/>
    <w:rsid w:val="00250C31"/>
    <w:rsid w:val="00250E46"/>
    <w:rsid w:val="002513BD"/>
    <w:rsid w:val="002514E4"/>
    <w:rsid w:val="00251661"/>
    <w:rsid w:val="002519B1"/>
    <w:rsid w:val="00251B79"/>
    <w:rsid w:val="00251C80"/>
    <w:rsid w:val="00251CF5"/>
    <w:rsid w:val="00251F74"/>
    <w:rsid w:val="00252068"/>
    <w:rsid w:val="00252182"/>
    <w:rsid w:val="002529CB"/>
    <w:rsid w:val="00252C0F"/>
    <w:rsid w:val="00252D45"/>
    <w:rsid w:val="002532CF"/>
    <w:rsid w:val="00253491"/>
    <w:rsid w:val="00253494"/>
    <w:rsid w:val="00253A95"/>
    <w:rsid w:val="00253E0A"/>
    <w:rsid w:val="00253F39"/>
    <w:rsid w:val="00253FE7"/>
    <w:rsid w:val="0025427F"/>
    <w:rsid w:val="00254628"/>
    <w:rsid w:val="0025480C"/>
    <w:rsid w:val="00254C1B"/>
    <w:rsid w:val="00254FCA"/>
    <w:rsid w:val="00255153"/>
    <w:rsid w:val="00255168"/>
    <w:rsid w:val="00255496"/>
    <w:rsid w:val="002559F7"/>
    <w:rsid w:val="00255AE1"/>
    <w:rsid w:val="002560E3"/>
    <w:rsid w:val="002561CD"/>
    <w:rsid w:val="002567C3"/>
    <w:rsid w:val="00256AFA"/>
    <w:rsid w:val="00256B0A"/>
    <w:rsid w:val="00256E0F"/>
    <w:rsid w:val="00256E7E"/>
    <w:rsid w:val="00256EBB"/>
    <w:rsid w:val="0025703F"/>
    <w:rsid w:val="00257192"/>
    <w:rsid w:val="002571A5"/>
    <w:rsid w:val="002574C4"/>
    <w:rsid w:val="00257798"/>
    <w:rsid w:val="002577B1"/>
    <w:rsid w:val="00257887"/>
    <w:rsid w:val="0025796E"/>
    <w:rsid w:val="00257986"/>
    <w:rsid w:val="00257C5B"/>
    <w:rsid w:val="00257E78"/>
    <w:rsid w:val="00257F77"/>
    <w:rsid w:val="002601A8"/>
    <w:rsid w:val="0026057A"/>
    <w:rsid w:val="00260DA9"/>
    <w:rsid w:val="00260E19"/>
    <w:rsid w:val="00260F2B"/>
    <w:rsid w:val="0026101F"/>
    <w:rsid w:val="002612AA"/>
    <w:rsid w:val="00261514"/>
    <w:rsid w:val="00261CAE"/>
    <w:rsid w:val="00261D0B"/>
    <w:rsid w:val="00261D52"/>
    <w:rsid w:val="00261E32"/>
    <w:rsid w:val="00261F17"/>
    <w:rsid w:val="00261F89"/>
    <w:rsid w:val="002625DD"/>
    <w:rsid w:val="002626F3"/>
    <w:rsid w:val="00262A03"/>
    <w:rsid w:val="00263234"/>
    <w:rsid w:val="002632DC"/>
    <w:rsid w:val="00263553"/>
    <w:rsid w:val="002635C7"/>
    <w:rsid w:val="002637A0"/>
    <w:rsid w:val="00263B85"/>
    <w:rsid w:val="00263DDA"/>
    <w:rsid w:val="00263E3A"/>
    <w:rsid w:val="00264389"/>
    <w:rsid w:val="00264449"/>
    <w:rsid w:val="0026460B"/>
    <w:rsid w:val="00264807"/>
    <w:rsid w:val="00264980"/>
    <w:rsid w:val="00264CFD"/>
    <w:rsid w:val="00265004"/>
    <w:rsid w:val="002655B4"/>
    <w:rsid w:val="0026588C"/>
    <w:rsid w:val="00266636"/>
    <w:rsid w:val="002666E4"/>
    <w:rsid w:val="002668F0"/>
    <w:rsid w:val="00266BD2"/>
    <w:rsid w:val="0026764F"/>
    <w:rsid w:val="00267CB5"/>
    <w:rsid w:val="002700EF"/>
    <w:rsid w:val="00270858"/>
    <w:rsid w:val="002708BE"/>
    <w:rsid w:val="00270EBC"/>
    <w:rsid w:val="0027155D"/>
    <w:rsid w:val="00271656"/>
    <w:rsid w:val="002716A8"/>
    <w:rsid w:val="00271891"/>
    <w:rsid w:val="002721A7"/>
    <w:rsid w:val="002721F3"/>
    <w:rsid w:val="002723AD"/>
    <w:rsid w:val="002723E3"/>
    <w:rsid w:val="00272511"/>
    <w:rsid w:val="002729FC"/>
    <w:rsid w:val="00272F08"/>
    <w:rsid w:val="00272F2C"/>
    <w:rsid w:val="00273492"/>
    <w:rsid w:val="002736A2"/>
    <w:rsid w:val="00273C3E"/>
    <w:rsid w:val="00273F8B"/>
    <w:rsid w:val="00274562"/>
    <w:rsid w:val="00274C3B"/>
    <w:rsid w:val="00274DD8"/>
    <w:rsid w:val="00274F20"/>
    <w:rsid w:val="00275094"/>
    <w:rsid w:val="002752CA"/>
    <w:rsid w:val="002752CB"/>
    <w:rsid w:val="002753A5"/>
    <w:rsid w:val="002755D3"/>
    <w:rsid w:val="002757F1"/>
    <w:rsid w:val="00275C16"/>
    <w:rsid w:val="00275C85"/>
    <w:rsid w:val="00275CBB"/>
    <w:rsid w:val="00275FF6"/>
    <w:rsid w:val="00276F08"/>
    <w:rsid w:val="0027750D"/>
    <w:rsid w:val="002777F7"/>
    <w:rsid w:val="0027786A"/>
    <w:rsid w:val="002778D3"/>
    <w:rsid w:val="00277914"/>
    <w:rsid w:val="00277B01"/>
    <w:rsid w:val="002802BC"/>
    <w:rsid w:val="00280D84"/>
    <w:rsid w:val="00281780"/>
    <w:rsid w:val="002818C2"/>
    <w:rsid w:val="00281996"/>
    <w:rsid w:val="00281AFF"/>
    <w:rsid w:val="00282385"/>
    <w:rsid w:val="0028243F"/>
    <w:rsid w:val="002824E2"/>
    <w:rsid w:val="002824EB"/>
    <w:rsid w:val="00282532"/>
    <w:rsid w:val="00282748"/>
    <w:rsid w:val="0028276A"/>
    <w:rsid w:val="00282792"/>
    <w:rsid w:val="002828F6"/>
    <w:rsid w:val="00282C84"/>
    <w:rsid w:val="00282DCD"/>
    <w:rsid w:val="00283888"/>
    <w:rsid w:val="002838E2"/>
    <w:rsid w:val="00283ACC"/>
    <w:rsid w:val="00283B05"/>
    <w:rsid w:val="00283C49"/>
    <w:rsid w:val="00284122"/>
    <w:rsid w:val="002841EF"/>
    <w:rsid w:val="00284458"/>
    <w:rsid w:val="002845F7"/>
    <w:rsid w:val="00284853"/>
    <w:rsid w:val="002849A3"/>
    <w:rsid w:val="00284B4D"/>
    <w:rsid w:val="00284DFF"/>
    <w:rsid w:val="00284F6B"/>
    <w:rsid w:val="00284FEF"/>
    <w:rsid w:val="0028558A"/>
    <w:rsid w:val="002855A1"/>
    <w:rsid w:val="002864D5"/>
    <w:rsid w:val="00286D84"/>
    <w:rsid w:val="00286F19"/>
    <w:rsid w:val="0028710F"/>
    <w:rsid w:val="002877B9"/>
    <w:rsid w:val="00287F49"/>
    <w:rsid w:val="00287FAE"/>
    <w:rsid w:val="002901EE"/>
    <w:rsid w:val="002902B9"/>
    <w:rsid w:val="002904A5"/>
    <w:rsid w:val="00290DBD"/>
    <w:rsid w:val="00290ED1"/>
    <w:rsid w:val="00291114"/>
    <w:rsid w:val="002912CD"/>
    <w:rsid w:val="00291479"/>
    <w:rsid w:val="00292263"/>
    <w:rsid w:val="00292401"/>
    <w:rsid w:val="00292794"/>
    <w:rsid w:val="0029291E"/>
    <w:rsid w:val="0029297C"/>
    <w:rsid w:val="002929C4"/>
    <w:rsid w:val="00292E11"/>
    <w:rsid w:val="00293390"/>
    <w:rsid w:val="00293565"/>
    <w:rsid w:val="002935E4"/>
    <w:rsid w:val="00293704"/>
    <w:rsid w:val="00293D54"/>
    <w:rsid w:val="00293E85"/>
    <w:rsid w:val="00293EDB"/>
    <w:rsid w:val="0029442F"/>
    <w:rsid w:val="002947E7"/>
    <w:rsid w:val="002949EB"/>
    <w:rsid w:val="00294C04"/>
    <w:rsid w:val="00294E97"/>
    <w:rsid w:val="00295CE3"/>
    <w:rsid w:val="00295D36"/>
    <w:rsid w:val="0029671C"/>
    <w:rsid w:val="002967CD"/>
    <w:rsid w:val="0029684F"/>
    <w:rsid w:val="00296B00"/>
    <w:rsid w:val="00296D8C"/>
    <w:rsid w:val="00297734"/>
    <w:rsid w:val="00297A67"/>
    <w:rsid w:val="00297C04"/>
    <w:rsid w:val="00297C54"/>
    <w:rsid w:val="00297DC0"/>
    <w:rsid w:val="002A0734"/>
    <w:rsid w:val="002A09B8"/>
    <w:rsid w:val="002A0BB1"/>
    <w:rsid w:val="002A0CF4"/>
    <w:rsid w:val="002A0FB1"/>
    <w:rsid w:val="002A1643"/>
    <w:rsid w:val="002A1B27"/>
    <w:rsid w:val="002A2027"/>
    <w:rsid w:val="002A2131"/>
    <w:rsid w:val="002A2727"/>
    <w:rsid w:val="002A296E"/>
    <w:rsid w:val="002A2C22"/>
    <w:rsid w:val="002A300F"/>
    <w:rsid w:val="002A3217"/>
    <w:rsid w:val="002A32E5"/>
    <w:rsid w:val="002A3343"/>
    <w:rsid w:val="002A337C"/>
    <w:rsid w:val="002A33A0"/>
    <w:rsid w:val="002A3605"/>
    <w:rsid w:val="002A3895"/>
    <w:rsid w:val="002A39D1"/>
    <w:rsid w:val="002A3C0B"/>
    <w:rsid w:val="002A3DFB"/>
    <w:rsid w:val="002A408C"/>
    <w:rsid w:val="002A41CD"/>
    <w:rsid w:val="002A421B"/>
    <w:rsid w:val="002A4428"/>
    <w:rsid w:val="002A445E"/>
    <w:rsid w:val="002A4607"/>
    <w:rsid w:val="002A4710"/>
    <w:rsid w:val="002A48D1"/>
    <w:rsid w:val="002A4B55"/>
    <w:rsid w:val="002A4EE4"/>
    <w:rsid w:val="002A50CF"/>
    <w:rsid w:val="002A5289"/>
    <w:rsid w:val="002A52D1"/>
    <w:rsid w:val="002A5606"/>
    <w:rsid w:val="002A58EF"/>
    <w:rsid w:val="002A5A5E"/>
    <w:rsid w:val="002A5A6C"/>
    <w:rsid w:val="002A5D81"/>
    <w:rsid w:val="002A6116"/>
    <w:rsid w:val="002A61DE"/>
    <w:rsid w:val="002A6E48"/>
    <w:rsid w:val="002A71F6"/>
    <w:rsid w:val="002A76A3"/>
    <w:rsid w:val="002A7786"/>
    <w:rsid w:val="002A7C8C"/>
    <w:rsid w:val="002A7ED3"/>
    <w:rsid w:val="002B04D5"/>
    <w:rsid w:val="002B0818"/>
    <w:rsid w:val="002B0A82"/>
    <w:rsid w:val="002B0D6C"/>
    <w:rsid w:val="002B0FD8"/>
    <w:rsid w:val="002B1756"/>
    <w:rsid w:val="002B1AD7"/>
    <w:rsid w:val="002B1F66"/>
    <w:rsid w:val="002B2206"/>
    <w:rsid w:val="002B2AB5"/>
    <w:rsid w:val="002B2C9E"/>
    <w:rsid w:val="002B2D23"/>
    <w:rsid w:val="002B2D98"/>
    <w:rsid w:val="002B3234"/>
    <w:rsid w:val="002B37BF"/>
    <w:rsid w:val="002B3828"/>
    <w:rsid w:val="002B39CA"/>
    <w:rsid w:val="002B3B8B"/>
    <w:rsid w:val="002B3C19"/>
    <w:rsid w:val="002B3CA2"/>
    <w:rsid w:val="002B3ECE"/>
    <w:rsid w:val="002B4376"/>
    <w:rsid w:val="002B43C9"/>
    <w:rsid w:val="002B4462"/>
    <w:rsid w:val="002B568C"/>
    <w:rsid w:val="002B5979"/>
    <w:rsid w:val="002B5C13"/>
    <w:rsid w:val="002B5ED8"/>
    <w:rsid w:val="002B5F9D"/>
    <w:rsid w:val="002B5FA0"/>
    <w:rsid w:val="002B60C9"/>
    <w:rsid w:val="002B6591"/>
    <w:rsid w:val="002B68B4"/>
    <w:rsid w:val="002B69A2"/>
    <w:rsid w:val="002B6AFA"/>
    <w:rsid w:val="002B6FA1"/>
    <w:rsid w:val="002B751B"/>
    <w:rsid w:val="002B77CC"/>
    <w:rsid w:val="002B78FE"/>
    <w:rsid w:val="002C0200"/>
    <w:rsid w:val="002C02A8"/>
    <w:rsid w:val="002C0455"/>
    <w:rsid w:val="002C056C"/>
    <w:rsid w:val="002C05F8"/>
    <w:rsid w:val="002C06EE"/>
    <w:rsid w:val="002C1220"/>
    <w:rsid w:val="002C12FE"/>
    <w:rsid w:val="002C1315"/>
    <w:rsid w:val="002C13DA"/>
    <w:rsid w:val="002C1478"/>
    <w:rsid w:val="002C1898"/>
    <w:rsid w:val="002C1A87"/>
    <w:rsid w:val="002C1C18"/>
    <w:rsid w:val="002C1C58"/>
    <w:rsid w:val="002C1CDE"/>
    <w:rsid w:val="002C1D2B"/>
    <w:rsid w:val="002C1E4C"/>
    <w:rsid w:val="002C1EE3"/>
    <w:rsid w:val="002C1FE9"/>
    <w:rsid w:val="002C2403"/>
    <w:rsid w:val="002C2CF8"/>
    <w:rsid w:val="002C2D28"/>
    <w:rsid w:val="002C305A"/>
    <w:rsid w:val="002C310A"/>
    <w:rsid w:val="002C3270"/>
    <w:rsid w:val="002C32D7"/>
    <w:rsid w:val="002C395C"/>
    <w:rsid w:val="002C4187"/>
    <w:rsid w:val="002C4842"/>
    <w:rsid w:val="002C4A3E"/>
    <w:rsid w:val="002C4A8B"/>
    <w:rsid w:val="002C4B4C"/>
    <w:rsid w:val="002C4B6A"/>
    <w:rsid w:val="002C4C4F"/>
    <w:rsid w:val="002C4CD6"/>
    <w:rsid w:val="002C4E2A"/>
    <w:rsid w:val="002C4E98"/>
    <w:rsid w:val="002C50E3"/>
    <w:rsid w:val="002C53F5"/>
    <w:rsid w:val="002C5E5A"/>
    <w:rsid w:val="002C62B3"/>
    <w:rsid w:val="002C677E"/>
    <w:rsid w:val="002C69F6"/>
    <w:rsid w:val="002C6E84"/>
    <w:rsid w:val="002C6FA5"/>
    <w:rsid w:val="002C703B"/>
    <w:rsid w:val="002C749B"/>
    <w:rsid w:val="002C78D4"/>
    <w:rsid w:val="002C7BE1"/>
    <w:rsid w:val="002C7D95"/>
    <w:rsid w:val="002C7EB9"/>
    <w:rsid w:val="002C7F07"/>
    <w:rsid w:val="002D040C"/>
    <w:rsid w:val="002D0732"/>
    <w:rsid w:val="002D078F"/>
    <w:rsid w:val="002D0F31"/>
    <w:rsid w:val="002D1110"/>
    <w:rsid w:val="002D12C4"/>
    <w:rsid w:val="002D134E"/>
    <w:rsid w:val="002D1456"/>
    <w:rsid w:val="002D1673"/>
    <w:rsid w:val="002D16C1"/>
    <w:rsid w:val="002D1792"/>
    <w:rsid w:val="002D17FF"/>
    <w:rsid w:val="002D1957"/>
    <w:rsid w:val="002D1E67"/>
    <w:rsid w:val="002D20E3"/>
    <w:rsid w:val="002D21DE"/>
    <w:rsid w:val="002D22CE"/>
    <w:rsid w:val="002D2338"/>
    <w:rsid w:val="002D28EB"/>
    <w:rsid w:val="002D2C65"/>
    <w:rsid w:val="002D3308"/>
    <w:rsid w:val="002D347C"/>
    <w:rsid w:val="002D36A5"/>
    <w:rsid w:val="002D377E"/>
    <w:rsid w:val="002D38AC"/>
    <w:rsid w:val="002D47AE"/>
    <w:rsid w:val="002D4ED3"/>
    <w:rsid w:val="002D540D"/>
    <w:rsid w:val="002D5710"/>
    <w:rsid w:val="002D5901"/>
    <w:rsid w:val="002D5DF5"/>
    <w:rsid w:val="002D5F71"/>
    <w:rsid w:val="002D6093"/>
    <w:rsid w:val="002D650A"/>
    <w:rsid w:val="002D65D5"/>
    <w:rsid w:val="002D6E70"/>
    <w:rsid w:val="002D6F5D"/>
    <w:rsid w:val="002D7267"/>
    <w:rsid w:val="002D7274"/>
    <w:rsid w:val="002D74F7"/>
    <w:rsid w:val="002D7E70"/>
    <w:rsid w:val="002E03F5"/>
    <w:rsid w:val="002E0468"/>
    <w:rsid w:val="002E0CD4"/>
    <w:rsid w:val="002E0DC7"/>
    <w:rsid w:val="002E0DFE"/>
    <w:rsid w:val="002E10E5"/>
    <w:rsid w:val="002E1402"/>
    <w:rsid w:val="002E1B2E"/>
    <w:rsid w:val="002E2181"/>
    <w:rsid w:val="002E23A3"/>
    <w:rsid w:val="002E2407"/>
    <w:rsid w:val="002E2542"/>
    <w:rsid w:val="002E29CC"/>
    <w:rsid w:val="002E2A88"/>
    <w:rsid w:val="002E2B05"/>
    <w:rsid w:val="002E2E5F"/>
    <w:rsid w:val="002E2F8E"/>
    <w:rsid w:val="002E3B89"/>
    <w:rsid w:val="002E3C2D"/>
    <w:rsid w:val="002E443B"/>
    <w:rsid w:val="002E48DD"/>
    <w:rsid w:val="002E4970"/>
    <w:rsid w:val="002E4D18"/>
    <w:rsid w:val="002E4F7A"/>
    <w:rsid w:val="002E51BE"/>
    <w:rsid w:val="002E593F"/>
    <w:rsid w:val="002E5CCE"/>
    <w:rsid w:val="002E5F9E"/>
    <w:rsid w:val="002E618C"/>
    <w:rsid w:val="002E683C"/>
    <w:rsid w:val="002E691B"/>
    <w:rsid w:val="002E6D58"/>
    <w:rsid w:val="002E6F43"/>
    <w:rsid w:val="002E7106"/>
    <w:rsid w:val="002E7311"/>
    <w:rsid w:val="002E754A"/>
    <w:rsid w:val="002E77D3"/>
    <w:rsid w:val="002E7AAD"/>
    <w:rsid w:val="002E7F18"/>
    <w:rsid w:val="002F07A9"/>
    <w:rsid w:val="002F0994"/>
    <w:rsid w:val="002F0B37"/>
    <w:rsid w:val="002F0C3A"/>
    <w:rsid w:val="002F0E7A"/>
    <w:rsid w:val="002F0EC9"/>
    <w:rsid w:val="002F0EF2"/>
    <w:rsid w:val="002F110B"/>
    <w:rsid w:val="002F119A"/>
    <w:rsid w:val="002F165C"/>
    <w:rsid w:val="002F1828"/>
    <w:rsid w:val="002F202A"/>
    <w:rsid w:val="002F2084"/>
    <w:rsid w:val="002F20AE"/>
    <w:rsid w:val="002F21FB"/>
    <w:rsid w:val="002F24A3"/>
    <w:rsid w:val="002F2740"/>
    <w:rsid w:val="002F2CA9"/>
    <w:rsid w:val="002F2CE9"/>
    <w:rsid w:val="002F30BD"/>
    <w:rsid w:val="002F30EB"/>
    <w:rsid w:val="002F3179"/>
    <w:rsid w:val="002F330A"/>
    <w:rsid w:val="002F3828"/>
    <w:rsid w:val="002F3915"/>
    <w:rsid w:val="002F3F65"/>
    <w:rsid w:val="002F4102"/>
    <w:rsid w:val="002F46C4"/>
    <w:rsid w:val="002F471C"/>
    <w:rsid w:val="002F4957"/>
    <w:rsid w:val="002F4DEF"/>
    <w:rsid w:val="002F5263"/>
    <w:rsid w:val="002F53F6"/>
    <w:rsid w:val="002F546C"/>
    <w:rsid w:val="002F5482"/>
    <w:rsid w:val="002F54C4"/>
    <w:rsid w:val="002F5F24"/>
    <w:rsid w:val="002F6300"/>
    <w:rsid w:val="002F67A6"/>
    <w:rsid w:val="002F681A"/>
    <w:rsid w:val="002F68D9"/>
    <w:rsid w:val="002F7BF5"/>
    <w:rsid w:val="00300629"/>
    <w:rsid w:val="00300744"/>
    <w:rsid w:val="003008EF"/>
    <w:rsid w:val="00300A7A"/>
    <w:rsid w:val="00300AC5"/>
    <w:rsid w:val="00300B29"/>
    <w:rsid w:val="00300BE2"/>
    <w:rsid w:val="00300BEF"/>
    <w:rsid w:val="00300E75"/>
    <w:rsid w:val="0030103A"/>
    <w:rsid w:val="00301138"/>
    <w:rsid w:val="003019BE"/>
    <w:rsid w:val="003019D7"/>
    <w:rsid w:val="00301B2A"/>
    <w:rsid w:val="00301C60"/>
    <w:rsid w:val="00301F5C"/>
    <w:rsid w:val="00302011"/>
    <w:rsid w:val="003021BB"/>
    <w:rsid w:val="003021E9"/>
    <w:rsid w:val="003025E6"/>
    <w:rsid w:val="00302728"/>
    <w:rsid w:val="00302AAE"/>
    <w:rsid w:val="00303561"/>
    <w:rsid w:val="00303D24"/>
    <w:rsid w:val="00304363"/>
    <w:rsid w:val="003046B6"/>
    <w:rsid w:val="003047E8"/>
    <w:rsid w:val="00304981"/>
    <w:rsid w:val="00304D66"/>
    <w:rsid w:val="00304E3C"/>
    <w:rsid w:val="00305B9C"/>
    <w:rsid w:val="00305DE2"/>
    <w:rsid w:val="00306953"/>
    <w:rsid w:val="00306A0F"/>
    <w:rsid w:val="00306AD6"/>
    <w:rsid w:val="00306B9A"/>
    <w:rsid w:val="00307AFD"/>
    <w:rsid w:val="00307D2C"/>
    <w:rsid w:val="00307D59"/>
    <w:rsid w:val="00307E5E"/>
    <w:rsid w:val="00307F7D"/>
    <w:rsid w:val="003101A3"/>
    <w:rsid w:val="0031079E"/>
    <w:rsid w:val="00310834"/>
    <w:rsid w:val="00310856"/>
    <w:rsid w:val="00310E18"/>
    <w:rsid w:val="00310E67"/>
    <w:rsid w:val="00311030"/>
    <w:rsid w:val="003114DE"/>
    <w:rsid w:val="00311756"/>
    <w:rsid w:val="0031199C"/>
    <w:rsid w:val="003121C7"/>
    <w:rsid w:val="003124EF"/>
    <w:rsid w:val="00312656"/>
    <w:rsid w:val="00312925"/>
    <w:rsid w:val="00312B55"/>
    <w:rsid w:val="00313094"/>
    <w:rsid w:val="00313198"/>
    <w:rsid w:val="003131A0"/>
    <w:rsid w:val="003134E2"/>
    <w:rsid w:val="00313654"/>
    <w:rsid w:val="003138D3"/>
    <w:rsid w:val="003139FD"/>
    <w:rsid w:val="00313ACB"/>
    <w:rsid w:val="00313AFB"/>
    <w:rsid w:val="003140E6"/>
    <w:rsid w:val="0031412A"/>
    <w:rsid w:val="003146BD"/>
    <w:rsid w:val="00314941"/>
    <w:rsid w:val="00314A03"/>
    <w:rsid w:val="00314BDC"/>
    <w:rsid w:val="00314C80"/>
    <w:rsid w:val="00314D6F"/>
    <w:rsid w:val="00314F44"/>
    <w:rsid w:val="003152C4"/>
    <w:rsid w:val="003153A6"/>
    <w:rsid w:val="003155C6"/>
    <w:rsid w:val="003158D3"/>
    <w:rsid w:val="00315CB0"/>
    <w:rsid w:val="003161C2"/>
    <w:rsid w:val="003163FC"/>
    <w:rsid w:val="003163FD"/>
    <w:rsid w:val="00316F60"/>
    <w:rsid w:val="003170A6"/>
    <w:rsid w:val="00317418"/>
    <w:rsid w:val="00317631"/>
    <w:rsid w:val="00317C42"/>
    <w:rsid w:val="00317D16"/>
    <w:rsid w:val="00317F6E"/>
    <w:rsid w:val="00317FFA"/>
    <w:rsid w:val="00320134"/>
    <w:rsid w:val="0032038E"/>
    <w:rsid w:val="00320754"/>
    <w:rsid w:val="00320785"/>
    <w:rsid w:val="00321115"/>
    <w:rsid w:val="00321181"/>
    <w:rsid w:val="003212CD"/>
    <w:rsid w:val="003214FE"/>
    <w:rsid w:val="0032180B"/>
    <w:rsid w:val="003219DE"/>
    <w:rsid w:val="00321A5B"/>
    <w:rsid w:val="00321BEF"/>
    <w:rsid w:val="00321E40"/>
    <w:rsid w:val="0032209E"/>
    <w:rsid w:val="003222D8"/>
    <w:rsid w:val="00322320"/>
    <w:rsid w:val="00322382"/>
    <w:rsid w:val="0032267E"/>
    <w:rsid w:val="00322962"/>
    <w:rsid w:val="00322BB3"/>
    <w:rsid w:val="00322C90"/>
    <w:rsid w:val="00322D7F"/>
    <w:rsid w:val="00322EB7"/>
    <w:rsid w:val="003230B8"/>
    <w:rsid w:val="003230BF"/>
    <w:rsid w:val="003235DF"/>
    <w:rsid w:val="00323732"/>
    <w:rsid w:val="00323A2E"/>
    <w:rsid w:val="00323AF3"/>
    <w:rsid w:val="00323BD5"/>
    <w:rsid w:val="00323CE3"/>
    <w:rsid w:val="00323CF9"/>
    <w:rsid w:val="00323D2C"/>
    <w:rsid w:val="00323DC0"/>
    <w:rsid w:val="00323F8F"/>
    <w:rsid w:val="003240B0"/>
    <w:rsid w:val="00324160"/>
    <w:rsid w:val="003243C9"/>
    <w:rsid w:val="00324765"/>
    <w:rsid w:val="003247B0"/>
    <w:rsid w:val="0032482F"/>
    <w:rsid w:val="003249F7"/>
    <w:rsid w:val="00324F51"/>
    <w:rsid w:val="00325080"/>
    <w:rsid w:val="00325589"/>
    <w:rsid w:val="003259E7"/>
    <w:rsid w:val="00325F27"/>
    <w:rsid w:val="00325FFB"/>
    <w:rsid w:val="003265A2"/>
    <w:rsid w:val="00326C78"/>
    <w:rsid w:val="00326F8B"/>
    <w:rsid w:val="003270DF"/>
    <w:rsid w:val="00327B7A"/>
    <w:rsid w:val="00327FD4"/>
    <w:rsid w:val="0033044B"/>
    <w:rsid w:val="00330551"/>
    <w:rsid w:val="003305B1"/>
    <w:rsid w:val="003305D8"/>
    <w:rsid w:val="003306E5"/>
    <w:rsid w:val="00330A23"/>
    <w:rsid w:val="00330B17"/>
    <w:rsid w:val="00331389"/>
    <w:rsid w:val="003314C7"/>
    <w:rsid w:val="00331578"/>
    <w:rsid w:val="00331851"/>
    <w:rsid w:val="00331A29"/>
    <w:rsid w:val="00331B79"/>
    <w:rsid w:val="00331C04"/>
    <w:rsid w:val="00331C78"/>
    <w:rsid w:val="00331FE2"/>
    <w:rsid w:val="0033210D"/>
    <w:rsid w:val="00332456"/>
    <w:rsid w:val="003324BD"/>
    <w:rsid w:val="003325BD"/>
    <w:rsid w:val="0033289A"/>
    <w:rsid w:val="00332945"/>
    <w:rsid w:val="00332C85"/>
    <w:rsid w:val="00332E89"/>
    <w:rsid w:val="003331DD"/>
    <w:rsid w:val="00333789"/>
    <w:rsid w:val="00333951"/>
    <w:rsid w:val="00333A11"/>
    <w:rsid w:val="00334254"/>
    <w:rsid w:val="00334268"/>
    <w:rsid w:val="00334C1D"/>
    <w:rsid w:val="00334C7B"/>
    <w:rsid w:val="00334DDA"/>
    <w:rsid w:val="0033510A"/>
    <w:rsid w:val="0033537A"/>
    <w:rsid w:val="003354BF"/>
    <w:rsid w:val="003358B6"/>
    <w:rsid w:val="00335D35"/>
    <w:rsid w:val="00336336"/>
    <w:rsid w:val="00336450"/>
    <w:rsid w:val="0033654F"/>
    <w:rsid w:val="00336770"/>
    <w:rsid w:val="00336AC4"/>
    <w:rsid w:val="00336BD7"/>
    <w:rsid w:val="00336BFB"/>
    <w:rsid w:val="00336D01"/>
    <w:rsid w:val="00336E4D"/>
    <w:rsid w:val="00337241"/>
    <w:rsid w:val="00337258"/>
    <w:rsid w:val="00337E64"/>
    <w:rsid w:val="00337ED9"/>
    <w:rsid w:val="00340446"/>
    <w:rsid w:val="00340510"/>
    <w:rsid w:val="00340841"/>
    <w:rsid w:val="0034099A"/>
    <w:rsid w:val="00340D92"/>
    <w:rsid w:val="00340EA2"/>
    <w:rsid w:val="003413A3"/>
    <w:rsid w:val="00341438"/>
    <w:rsid w:val="00341BC6"/>
    <w:rsid w:val="00341F02"/>
    <w:rsid w:val="003421C7"/>
    <w:rsid w:val="0034261C"/>
    <w:rsid w:val="0034290E"/>
    <w:rsid w:val="00342B5C"/>
    <w:rsid w:val="00343046"/>
    <w:rsid w:val="003430A9"/>
    <w:rsid w:val="003432F4"/>
    <w:rsid w:val="00343433"/>
    <w:rsid w:val="00343526"/>
    <w:rsid w:val="00343EA8"/>
    <w:rsid w:val="00343F17"/>
    <w:rsid w:val="00344455"/>
    <w:rsid w:val="00344800"/>
    <w:rsid w:val="00344A8D"/>
    <w:rsid w:val="00344DBF"/>
    <w:rsid w:val="0034590B"/>
    <w:rsid w:val="003459EA"/>
    <w:rsid w:val="00345A09"/>
    <w:rsid w:val="00346046"/>
    <w:rsid w:val="003462AF"/>
    <w:rsid w:val="00346479"/>
    <w:rsid w:val="003465F3"/>
    <w:rsid w:val="00346687"/>
    <w:rsid w:val="00346EF4"/>
    <w:rsid w:val="00347090"/>
    <w:rsid w:val="00347251"/>
    <w:rsid w:val="003474A1"/>
    <w:rsid w:val="003478EF"/>
    <w:rsid w:val="00347C79"/>
    <w:rsid w:val="00347D5E"/>
    <w:rsid w:val="00347ED3"/>
    <w:rsid w:val="00350004"/>
    <w:rsid w:val="00350022"/>
    <w:rsid w:val="0035072D"/>
    <w:rsid w:val="00350BD7"/>
    <w:rsid w:val="0035155F"/>
    <w:rsid w:val="00351954"/>
    <w:rsid w:val="00351988"/>
    <w:rsid w:val="00351B1D"/>
    <w:rsid w:val="00351B2B"/>
    <w:rsid w:val="003521AD"/>
    <w:rsid w:val="00352415"/>
    <w:rsid w:val="00352495"/>
    <w:rsid w:val="003526CA"/>
    <w:rsid w:val="0035291B"/>
    <w:rsid w:val="003529BB"/>
    <w:rsid w:val="00352B9F"/>
    <w:rsid w:val="00352DC0"/>
    <w:rsid w:val="00353174"/>
    <w:rsid w:val="0035380E"/>
    <w:rsid w:val="0035391A"/>
    <w:rsid w:val="00353948"/>
    <w:rsid w:val="00353A7E"/>
    <w:rsid w:val="00353CF5"/>
    <w:rsid w:val="0035404E"/>
    <w:rsid w:val="00354095"/>
    <w:rsid w:val="003540E8"/>
    <w:rsid w:val="003541A5"/>
    <w:rsid w:val="003541F0"/>
    <w:rsid w:val="00354301"/>
    <w:rsid w:val="0035465C"/>
    <w:rsid w:val="00354817"/>
    <w:rsid w:val="00354C5E"/>
    <w:rsid w:val="00354D32"/>
    <w:rsid w:val="00354FCA"/>
    <w:rsid w:val="003550E8"/>
    <w:rsid w:val="00355471"/>
    <w:rsid w:val="00355649"/>
    <w:rsid w:val="003559D6"/>
    <w:rsid w:val="00355AA9"/>
    <w:rsid w:val="00355D18"/>
    <w:rsid w:val="00355F66"/>
    <w:rsid w:val="0035666F"/>
    <w:rsid w:val="003566BA"/>
    <w:rsid w:val="00356729"/>
    <w:rsid w:val="003569D8"/>
    <w:rsid w:val="00356AF4"/>
    <w:rsid w:val="00356B34"/>
    <w:rsid w:val="00356BE5"/>
    <w:rsid w:val="00357045"/>
    <w:rsid w:val="003571D2"/>
    <w:rsid w:val="00357222"/>
    <w:rsid w:val="00357393"/>
    <w:rsid w:val="003573F8"/>
    <w:rsid w:val="00357432"/>
    <w:rsid w:val="003574A7"/>
    <w:rsid w:val="0035753D"/>
    <w:rsid w:val="00357556"/>
    <w:rsid w:val="003575A9"/>
    <w:rsid w:val="00357830"/>
    <w:rsid w:val="0036001A"/>
    <w:rsid w:val="00360071"/>
    <w:rsid w:val="003606B6"/>
    <w:rsid w:val="00360925"/>
    <w:rsid w:val="00360ABB"/>
    <w:rsid w:val="00360CB6"/>
    <w:rsid w:val="00360E0D"/>
    <w:rsid w:val="0036100F"/>
    <w:rsid w:val="0036133C"/>
    <w:rsid w:val="0036137C"/>
    <w:rsid w:val="003613C2"/>
    <w:rsid w:val="003614A9"/>
    <w:rsid w:val="0036184B"/>
    <w:rsid w:val="003618B2"/>
    <w:rsid w:val="00361FD6"/>
    <w:rsid w:val="00362031"/>
    <w:rsid w:val="00362040"/>
    <w:rsid w:val="003622BB"/>
    <w:rsid w:val="0036243A"/>
    <w:rsid w:val="00362622"/>
    <w:rsid w:val="003629C7"/>
    <w:rsid w:val="00362C1F"/>
    <w:rsid w:val="00362C24"/>
    <w:rsid w:val="00362C6C"/>
    <w:rsid w:val="00362FFE"/>
    <w:rsid w:val="003634E8"/>
    <w:rsid w:val="003636EF"/>
    <w:rsid w:val="00363827"/>
    <w:rsid w:val="0036382E"/>
    <w:rsid w:val="003638B9"/>
    <w:rsid w:val="00363A04"/>
    <w:rsid w:val="00363C8D"/>
    <w:rsid w:val="00364327"/>
    <w:rsid w:val="003643A0"/>
    <w:rsid w:val="00364442"/>
    <w:rsid w:val="00364DC1"/>
    <w:rsid w:val="00364F34"/>
    <w:rsid w:val="003656D0"/>
    <w:rsid w:val="003657BD"/>
    <w:rsid w:val="003659C1"/>
    <w:rsid w:val="00365C87"/>
    <w:rsid w:val="00366548"/>
    <w:rsid w:val="00366580"/>
    <w:rsid w:val="00366673"/>
    <w:rsid w:val="003666B2"/>
    <w:rsid w:val="00366BB8"/>
    <w:rsid w:val="00366D6A"/>
    <w:rsid w:val="00366E74"/>
    <w:rsid w:val="0036763A"/>
    <w:rsid w:val="0036789A"/>
    <w:rsid w:val="00367C71"/>
    <w:rsid w:val="00367F2A"/>
    <w:rsid w:val="003701CE"/>
    <w:rsid w:val="003702B0"/>
    <w:rsid w:val="0037065C"/>
    <w:rsid w:val="00370E0E"/>
    <w:rsid w:val="003718F5"/>
    <w:rsid w:val="0037192A"/>
    <w:rsid w:val="00371AF9"/>
    <w:rsid w:val="00371DDC"/>
    <w:rsid w:val="00371DF8"/>
    <w:rsid w:val="00371FE5"/>
    <w:rsid w:val="00372168"/>
    <w:rsid w:val="003722CC"/>
    <w:rsid w:val="00372605"/>
    <w:rsid w:val="00372925"/>
    <w:rsid w:val="003731C5"/>
    <w:rsid w:val="00373295"/>
    <w:rsid w:val="0037329C"/>
    <w:rsid w:val="003736AE"/>
    <w:rsid w:val="003736B4"/>
    <w:rsid w:val="0037375A"/>
    <w:rsid w:val="003737B9"/>
    <w:rsid w:val="003738F6"/>
    <w:rsid w:val="00373AD7"/>
    <w:rsid w:val="003742FB"/>
    <w:rsid w:val="00374301"/>
    <w:rsid w:val="0037474A"/>
    <w:rsid w:val="00374951"/>
    <w:rsid w:val="00375155"/>
    <w:rsid w:val="003754A9"/>
    <w:rsid w:val="00375677"/>
    <w:rsid w:val="00375816"/>
    <w:rsid w:val="00375887"/>
    <w:rsid w:val="00375932"/>
    <w:rsid w:val="003759B2"/>
    <w:rsid w:val="00375E53"/>
    <w:rsid w:val="00375F80"/>
    <w:rsid w:val="00376BFC"/>
    <w:rsid w:val="00376F73"/>
    <w:rsid w:val="00377117"/>
    <w:rsid w:val="00377528"/>
    <w:rsid w:val="00377AD7"/>
    <w:rsid w:val="00380193"/>
    <w:rsid w:val="003801D1"/>
    <w:rsid w:val="00380283"/>
    <w:rsid w:val="00380755"/>
    <w:rsid w:val="003807FB"/>
    <w:rsid w:val="0038083F"/>
    <w:rsid w:val="00380A8B"/>
    <w:rsid w:val="00380D12"/>
    <w:rsid w:val="00380DF8"/>
    <w:rsid w:val="00381402"/>
    <w:rsid w:val="0038172A"/>
    <w:rsid w:val="00381839"/>
    <w:rsid w:val="00381854"/>
    <w:rsid w:val="00381C03"/>
    <w:rsid w:val="00381D89"/>
    <w:rsid w:val="003820B2"/>
    <w:rsid w:val="003829EA"/>
    <w:rsid w:val="00382C48"/>
    <w:rsid w:val="00382D2A"/>
    <w:rsid w:val="00382F3F"/>
    <w:rsid w:val="00382FA0"/>
    <w:rsid w:val="0038303D"/>
    <w:rsid w:val="00383281"/>
    <w:rsid w:val="00383459"/>
    <w:rsid w:val="003835DA"/>
    <w:rsid w:val="00383805"/>
    <w:rsid w:val="00383B2E"/>
    <w:rsid w:val="00383DCA"/>
    <w:rsid w:val="00383DE2"/>
    <w:rsid w:val="00384398"/>
    <w:rsid w:val="0038450E"/>
    <w:rsid w:val="0038451E"/>
    <w:rsid w:val="003846E8"/>
    <w:rsid w:val="00384AEC"/>
    <w:rsid w:val="00384C71"/>
    <w:rsid w:val="00384ED9"/>
    <w:rsid w:val="003854DA"/>
    <w:rsid w:val="003856DB"/>
    <w:rsid w:val="00385A31"/>
    <w:rsid w:val="00385A3C"/>
    <w:rsid w:val="00385ECD"/>
    <w:rsid w:val="0038670A"/>
    <w:rsid w:val="0038678E"/>
    <w:rsid w:val="00386841"/>
    <w:rsid w:val="00386CE8"/>
    <w:rsid w:val="00386EA4"/>
    <w:rsid w:val="00386EE4"/>
    <w:rsid w:val="003874B7"/>
    <w:rsid w:val="00387E24"/>
    <w:rsid w:val="00390161"/>
    <w:rsid w:val="00390AC3"/>
    <w:rsid w:val="0039159A"/>
    <w:rsid w:val="00391738"/>
    <w:rsid w:val="00391A5F"/>
    <w:rsid w:val="00391B35"/>
    <w:rsid w:val="00391CD8"/>
    <w:rsid w:val="00391CF4"/>
    <w:rsid w:val="00391D49"/>
    <w:rsid w:val="00391E55"/>
    <w:rsid w:val="00391F02"/>
    <w:rsid w:val="00391FA8"/>
    <w:rsid w:val="00392129"/>
    <w:rsid w:val="00392A78"/>
    <w:rsid w:val="00392D57"/>
    <w:rsid w:val="00392FD0"/>
    <w:rsid w:val="00393F7C"/>
    <w:rsid w:val="003944E9"/>
    <w:rsid w:val="00394612"/>
    <w:rsid w:val="00395215"/>
    <w:rsid w:val="003959A9"/>
    <w:rsid w:val="00395B83"/>
    <w:rsid w:val="00395D0F"/>
    <w:rsid w:val="003963B7"/>
    <w:rsid w:val="003963FB"/>
    <w:rsid w:val="00396583"/>
    <w:rsid w:val="003965FB"/>
    <w:rsid w:val="00396683"/>
    <w:rsid w:val="00396727"/>
    <w:rsid w:val="003972E0"/>
    <w:rsid w:val="00397301"/>
    <w:rsid w:val="00397D32"/>
    <w:rsid w:val="00397DAB"/>
    <w:rsid w:val="00397FF9"/>
    <w:rsid w:val="003A0300"/>
    <w:rsid w:val="003A0519"/>
    <w:rsid w:val="003A07AF"/>
    <w:rsid w:val="003A09C9"/>
    <w:rsid w:val="003A0ECE"/>
    <w:rsid w:val="003A14D3"/>
    <w:rsid w:val="003A1578"/>
    <w:rsid w:val="003A1913"/>
    <w:rsid w:val="003A1BF1"/>
    <w:rsid w:val="003A22CA"/>
    <w:rsid w:val="003A253B"/>
    <w:rsid w:val="003A271C"/>
    <w:rsid w:val="003A2878"/>
    <w:rsid w:val="003A3150"/>
    <w:rsid w:val="003A31B3"/>
    <w:rsid w:val="003A332A"/>
    <w:rsid w:val="003A3831"/>
    <w:rsid w:val="003A3D5B"/>
    <w:rsid w:val="003A3E8B"/>
    <w:rsid w:val="003A42CE"/>
    <w:rsid w:val="003A435A"/>
    <w:rsid w:val="003A4DCB"/>
    <w:rsid w:val="003A5395"/>
    <w:rsid w:val="003A543A"/>
    <w:rsid w:val="003A551D"/>
    <w:rsid w:val="003A55A0"/>
    <w:rsid w:val="003A5819"/>
    <w:rsid w:val="003A583C"/>
    <w:rsid w:val="003A584F"/>
    <w:rsid w:val="003A5B00"/>
    <w:rsid w:val="003A5B83"/>
    <w:rsid w:val="003A6A1F"/>
    <w:rsid w:val="003A7377"/>
    <w:rsid w:val="003A7393"/>
    <w:rsid w:val="003A74B0"/>
    <w:rsid w:val="003A78C5"/>
    <w:rsid w:val="003A7922"/>
    <w:rsid w:val="003A7A0C"/>
    <w:rsid w:val="003A7DBA"/>
    <w:rsid w:val="003A7E40"/>
    <w:rsid w:val="003A7F72"/>
    <w:rsid w:val="003A7FC8"/>
    <w:rsid w:val="003B0209"/>
    <w:rsid w:val="003B0391"/>
    <w:rsid w:val="003B0594"/>
    <w:rsid w:val="003B05A6"/>
    <w:rsid w:val="003B0815"/>
    <w:rsid w:val="003B0B20"/>
    <w:rsid w:val="003B0E65"/>
    <w:rsid w:val="003B10CA"/>
    <w:rsid w:val="003B10FF"/>
    <w:rsid w:val="003B1303"/>
    <w:rsid w:val="003B13DD"/>
    <w:rsid w:val="003B1700"/>
    <w:rsid w:val="003B186B"/>
    <w:rsid w:val="003B1A39"/>
    <w:rsid w:val="003B1B51"/>
    <w:rsid w:val="003B1BBF"/>
    <w:rsid w:val="003B1DCC"/>
    <w:rsid w:val="003B1F34"/>
    <w:rsid w:val="003B1FF4"/>
    <w:rsid w:val="003B23A4"/>
    <w:rsid w:val="003B23F2"/>
    <w:rsid w:val="003B2774"/>
    <w:rsid w:val="003B27E4"/>
    <w:rsid w:val="003B2C5D"/>
    <w:rsid w:val="003B2C88"/>
    <w:rsid w:val="003B3008"/>
    <w:rsid w:val="003B395F"/>
    <w:rsid w:val="003B3EEB"/>
    <w:rsid w:val="003B4585"/>
    <w:rsid w:val="003B482D"/>
    <w:rsid w:val="003B485B"/>
    <w:rsid w:val="003B48AD"/>
    <w:rsid w:val="003B4A12"/>
    <w:rsid w:val="003B4AEB"/>
    <w:rsid w:val="003B4CCC"/>
    <w:rsid w:val="003B4F1F"/>
    <w:rsid w:val="003B51EE"/>
    <w:rsid w:val="003B55B0"/>
    <w:rsid w:val="003B5929"/>
    <w:rsid w:val="003B5A0A"/>
    <w:rsid w:val="003B5A19"/>
    <w:rsid w:val="003B5BD8"/>
    <w:rsid w:val="003B5C41"/>
    <w:rsid w:val="003B5CD2"/>
    <w:rsid w:val="003B615B"/>
    <w:rsid w:val="003B6360"/>
    <w:rsid w:val="003B64AB"/>
    <w:rsid w:val="003B687C"/>
    <w:rsid w:val="003B688F"/>
    <w:rsid w:val="003B68AA"/>
    <w:rsid w:val="003B6998"/>
    <w:rsid w:val="003B6D2C"/>
    <w:rsid w:val="003B6D30"/>
    <w:rsid w:val="003B750C"/>
    <w:rsid w:val="003B7717"/>
    <w:rsid w:val="003B778D"/>
    <w:rsid w:val="003B78E2"/>
    <w:rsid w:val="003B7936"/>
    <w:rsid w:val="003B7B22"/>
    <w:rsid w:val="003B7C2F"/>
    <w:rsid w:val="003C00A6"/>
    <w:rsid w:val="003C0470"/>
    <w:rsid w:val="003C0808"/>
    <w:rsid w:val="003C09B8"/>
    <w:rsid w:val="003C0BB2"/>
    <w:rsid w:val="003C0DA9"/>
    <w:rsid w:val="003C104B"/>
    <w:rsid w:val="003C128A"/>
    <w:rsid w:val="003C12C1"/>
    <w:rsid w:val="003C1337"/>
    <w:rsid w:val="003C13CC"/>
    <w:rsid w:val="003C1855"/>
    <w:rsid w:val="003C18ED"/>
    <w:rsid w:val="003C19BA"/>
    <w:rsid w:val="003C19FD"/>
    <w:rsid w:val="003C1E1A"/>
    <w:rsid w:val="003C2227"/>
    <w:rsid w:val="003C24F5"/>
    <w:rsid w:val="003C25FB"/>
    <w:rsid w:val="003C2717"/>
    <w:rsid w:val="003C2D1F"/>
    <w:rsid w:val="003C2E11"/>
    <w:rsid w:val="003C32D4"/>
    <w:rsid w:val="003C37AE"/>
    <w:rsid w:val="003C39AE"/>
    <w:rsid w:val="003C3E31"/>
    <w:rsid w:val="003C3E84"/>
    <w:rsid w:val="003C3F8F"/>
    <w:rsid w:val="003C4178"/>
    <w:rsid w:val="003C43C5"/>
    <w:rsid w:val="003C49E2"/>
    <w:rsid w:val="003C4B79"/>
    <w:rsid w:val="003C4E0C"/>
    <w:rsid w:val="003C51EA"/>
    <w:rsid w:val="003C5532"/>
    <w:rsid w:val="003C56CC"/>
    <w:rsid w:val="003C5DDB"/>
    <w:rsid w:val="003C682E"/>
    <w:rsid w:val="003C6A08"/>
    <w:rsid w:val="003C6BC7"/>
    <w:rsid w:val="003C6DAF"/>
    <w:rsid w:val="003C75E8"/>
    <w:rsid w:val="003C795C"/>
    <w:rsid w:val="003C797B"/>
    <w:rsid w:val="003C798B"/>
    <w:rsid w:val="003C7A62"/>
    <w:rsid w:val="003C7C7F"/>
    <w:rsid w:val="003C7F12"/>
    <w:rsid w:val="003D02B1"/>
    <w:rsid w:val="003D06B8"/>
    <w:rsid w:val="003D07DD"/>
    <w:rsid w:val="003D09C6"/>
    <w:rsid w:val="003D1627"/>
    <w:rsid w:val="003D178C"/>
    <w:rsid w:val="003D1905"/>
    <w:rsid w:val="003D1952"/>
    <w:rsid w:val="003D19B0"/>
    <w:rsid w:val="003D1B50"/>
    <w:rsid w:val="003D1CEF"/>
    <w:rsid w:val="003D1D66"/>
    <w:rsid w:val="003D284C"/>
    <w:rsid w:val="003D2C32"/>
    <w:rsid w:val="003D32A5"/>
    <w:rsid w:val="003D3C2A"/>
    <w:rsid w:val="003D3FAB"/>
    <w:rsid w:val="003D44F7"/>
    <w:rsid w:val="003D4727"/>
    <w:rsid w:val="003D4821"/>
    <w:rsid w:val="003D49B2"/>
    <w:rsid w:val="003D4CD5"/>
    <w:rsid w:val="003D503A"/>
    <w:rsid w:val="003D558C"/>
    <w:rsid w:val="003D5770"/>
    <w:rsid w:val="003D584E"/>
    <w:rsid w:val="003D5A51"/>
    <w:rsid w:val="003D5D76"/>
    <w:rsid w:val="003D5F60"/>
    <w:rsid w:val="003D5F7D"/>
    <w:rsid w:val="003D6325"/>
    <w:rsid w:val="003D6412"/>
    <w:rsid w:val="003D648D"/>
    <w:rsid w:val="003D67F9"/>
    <w:rsid w:val="003D6950"/>
    <w:rsid w:val="003D6993"/>
    <w:rsid w:val="003D6C94"/>
    <w:rsid w:val="003D705E"/>
    <w:rsid w:val="003D78B8"/>
    <w:rsid w:val="003D7945"/>
    <w:rsid w:val="003D7A1F"/>
    <w:rsid w:val="003D7A5C"/>
    <w:rsid w:val="003D7C6C"/>
    <w:rsid w:val="003D7DBD"/>
    <w:rsid w:val="003E00D9"/>
    <w:rsid w:val="003E03CB"/>
    <w:rsid w:val="003E0480"/>
    <w:rsid w:val="003E0693"/>
    <w:rsid w:val="003E0C49"/>
    <w:rsid w:val="003E1232"/>
    <w:rsid w:val="003E12E6"/>
    <w:rsid w:val="003E1B19"/>
    <w:rsid w:val="003E1CDE"/>
    <w:rsid w:val="003E1D8C"/>
    <w:rsid w:val="003E1D91"/>
    <w:rsid w:val="003E1F48"/>
    <w:rsid w:val="003E2690"/>
    <w:rsid w:val="003E26E0"/>
    <w:rsid w:val="003E2873"/>
    <w:rsid w:val="003E2A9F"/>
    <w:rsid w:val="003E2C7C"/>
    <w:rsid w:val="003E35AE"/>
    <w:rsid w:val="003E3AB4"/>
    <w:rsid w:val="003E3AC0"/>
    <w:rsid w:val="003E3B11"/>
    <w:rsid w:val="003E3BD5"/>
    <w:rsid w:val="003E3CC4"/>
    <w:rsid w:val="003E3D0D"/>
    <w:rsid w:val="003E3E79"/>
    <w:rsid w:val="003E4549"/>
    <w:rsid w:val="003E4563"/>
    <w:rsid w:val="003E4934"/>
    <w:rsid w:val="003E49C4"/>
    <w:rsid w:val="003E5585"/>
    <w:rsid w:val="003E559B"/>
    <w:rsid w:val="003E56E4"/>
    <w:rsid w:val="003E57DC"/>
    <w:rsid w:val="003E5B2E"/>
    <w:rsid w:val="003E5C4E"/>
    <w:rsid w:val="003E6179"/>
    <w:rsid w:val="003E636A"/>
    <w:rsid w:val="003E64EB"/>
    <w:rsid w:val="003E67D0"/>
    <w:rsid w:val="003E6873"/>
    <w:rsid w:val="003E6980"/>
    <w:rsid w:val="003E6AA4"/>
    <w:rsid w:val="003E6BB0"/>
    <w:rsid w:val="003E6EF9"/>
    <w:rsid w:val="003E795A"/>
    <w:rsid w:val="003E7AED"/>
    <w:rsid w:val="003E7FE5"/>
    <w:rsid w:val="003F0647"/>
    <w:rsid w:val="003F0EED"/>
    <w:rsid w:val="003F0F57"/>
    <w:rsid w:val="003F1B7B"/>
    <w:rsid w:val="003F1BEF"/>
    <w:rsid w:val="003F1D73"/>
    <w:rsid w:val="003F2167"/>
    <w:rsid w:val="003F21C6"/>
    <w:rsid w:val="003F231D"/>
    <w:rsid w:val="003F259A"/>
    <w:rsid w:val="003F28DE"/>
    <w:rsid w:val="003F292F"/>
    <w:rsid w:val="003F2E8F"/>
    <w:rsid w:val="003F34D5"/>
    <w:rsid w:val="003F39C9"/>
    <w:rsid w:val="003F3FDF"/>
    <w:rsid w:val="003F44AD"/>
    <w:rsid w:val="003F59D2"/>
    <w:rsid w:val="003F5F9A"/>
    <w:rsid w:val="003F5FC2"/>
    <w:rsid w:val="003F61DE"/>
    <w:rsid w:val="003F61FA"/>
    <w:rsid w:val="003F6227"/>
    <w:rsid w:val="003F696E"/>
    <w:rsid w:val="003F6BC4"/>
    <w:rsid w:val="003F6C4F"/>
    <w:rsid w:val="003F6F37"/>
    <w:rsid w:val="003F7302"/>
    <w:rsid w:val="003F7388"/>
    <w:rsid w:val="003F7613"/>
    <w:rsid w:val="003F7676"/>
    <w:rsid w:val="003F7A52"/>
    <w:rsid w:val="003F7ACA"/>
    <w:rsid w:val="003F7D6D"/>
    <w:rsid w:val="003F7EBD"/>
    <w:rsid w:val="003F7F25"/>
    <w:rsid w:val="0040036E"/>
    <w:rsid w:val="004003D2"/>
    <w:rsid w:val="0040091E"/>
    <w:rsid w:val="00400D51"/>
    <w:rsid w:val="00400D5B"/>
    <w:rsid w:val="00401273"/>
    <w:rsid w:val="004016D8"/>
    <w:rsid w:val="00401918"/>
    <w:rsid w:val="004019A9"/>
    <w:rsid w:val="00401C48"/>
    <w:rsid w:val="00401CC2"/>
    <w:rsid w:val="00401CFF"/>
    <w:rsid w:val="0040207A"/>
    <w:rsid w:val="00402366"/>
    <w:rsid w:val="004029CF"/>
    <w:rsid w:val="004029E6"/>
    <w:rsid w:val="004029E7"/>
    <w:rsid w:val="00402BB0"/>
    <w:rsid w:val="00402FD3"/>
    <w:rsid w:val="00403074"/>
    <w:rsid w:val="004031B8"/>
    <w:rsid w:val="004031CB"/>
    <w:rsid w:val="0040373B"/>
    <w:rsid w:val="00403C07"/>
    <w:rsid w:val="00403EB3"/>
    <w:rsid w:val="004041B5"/>
    <w:rsid w:val="00404273"/>
    <w:rsid w:val="00404403"/>
    <w:rsid w:val="00404AEC"/>
    <w:rsid w:val="004051FF"/>
    <w:rsid w:val="004053E2"/>
    <w:rsid w:val="00405400"/>
    <w:rsid w:val="0040563B"/>
    <w:rsid w:val="00405743"/>
    <w:rsid w:val="004057EE"/>
    <w:rsid w:val="00405947"/>
    <w:rsid w:val="004059AD"/>
    <w:rsid w:val="00406184"/>
    <w:rsid w:val="004063C6"/>
    <w:rsid w:val="00406417"/>
    <w:rsid w:val="00406671"/>
    <w:rsid w:val="00406B31"/>
    <w:rsid w:val="00406C0E"/>
    <w:rsid w:val="00406ED0"/>
    <w:rsid w:val="0040709C"/>
    <w:rsid w:val="0040730E"/>
    <w:rsid w:val="004076E6"/>
    <w:rsid w:val="00407906"/>
    <w:rsid w:val="00407A6A"/>
    <w:rsid w:val="00407D1E"/>
    <w:rsid w:val="00407EE2"/>
    <w:rsid w:val="00410122"/>
    <w:rsid w:val="004104DE"/>
    <w:rsid w:val="00410556"/>
    <w:rsid w:val="004107ED"/>
    <w:rsid w:val="00410872"/>
    <w:rsid w:val="00410F69"/>
    <w:rsid w:val="00411081"/>
    <w:rsid w:val="0041130D"/>
    <w:rsid w:val="004113AD"/>
    <w:rsid w:val="004116EB"/>
    <w:rsid w:val="0041172F"/>
    <w:rsid w:val="00411C8B"/>
    <w:rsid w:val="00411DE8"/>
    <w:rsid w:val="00411EF5"/>
    <w:rsid w:val="004120A9"/>
    <w:rsid w:val="0041258C"/>
    <w:rsid w:val="0041287D"/>
    <w:rsid w:val="004129AA"/>
    <w:rsid w:val="00412C80"/>
    <w:rsid w:val="00412DD8"/>
    <w:rsid w:val="00413308"/>
    <w:rsid w:val="00413AB2"/>
    <w:rsid w:val="00414049"/>
    <w:rsid w:val="0041410D"/>
    <w:rsid w:val="00414BC6"/>
    <w:rsid w:val="00414DD8"/>
    <w:rsid w:val="004150EC"/>
    <w:rsid w:val="00415AA0"/>
    <w:rsid w:val="00415C07"/>
    <w:rsid w:val="00415C65"/>
    <w:rsid w:val="00415DA0"/>
    <w:rsid w:val="00415EEC"/>
    <w:rsid w:val="00416014"/>
    <w:rsid w:val="00416180"/>
    <w:rsid w:val="00416312"/>
    <w:rsid w:val="00416518"/>
    <w:rsid w:val="00416A06"/>
    <w:rsid w:val="00416AAB"/>
    <w:rsid w:val="00416FB8"/>
    <w:rsid w:val="00417A55"/>
    <w:rsid w:val="00420307"/>
    <w:rsid w:val="0042054F"/>
    <w:rsid w:val="00420B94"/>
    <w:rsid w:val="00420CD6"/>
    <w:rsid w:val="00420E89"/>
    <w:rsid w:val="004214E5"/>
    <w:rsid w:val="004214FB"/>
    <w:rsid w:val="0042166B"/>
    <w:rsid w:val="00421BC1"/>
    <w:rsid w:val="00421C71"/>
    <w:rsid w:val="00421CF2"/>
    <w:rsid w:val="00422996"/>
    <w:rsid w:val="00422E37"/>
    <w:rsid w:val="00423079"/>
    <w:rsid w:val="0042314C"/>
    <w:rsid w:val="004232E9"/>
    <w:rsid w:val="00423A98"/>
    <w:rsid w:val="004246A4"/>
    <w:rsid w:val="004248ED"/>
    <w:rsid w:val="00424926"/>
    <w:rsid w:val="00424B4F"/>
    <w:rsid w:val="00424C20"/>
    <w:rsid w:val="00424DAE"/>
    <w:rsid w:val="00425039"/>
    <w:rsid w:val="00425045"/>
    <w:rsid w:val="004253B3"/>
    <w:rsid w:val="00425CC9"/>
    <w:rsid w:val="00425D28"/>
    <w:rsid w:val="00425FC2"/>
    <w:rsid w:val="00426040"/>
    <w:rsid w:val="004267C8"/>
    <w:rsid w:val="004267DA"/>
    <w:rsid w:val="00426805"/>
    <w:rsid w:val="00426ACF"/>
    <w:rsid w:val="00426C74"/>
    <w:rsid w:val="00426CF4"/>
    <w:rsid w:val="00426E16"/>
    <w:rsid w:val="0042720D"/>
    <w:rsid w:val="00427578"/>
    <w:rsid w:val="0042763A"/>
    <w:rsid w:val="00427769"/>
    <w:rsid w:val="0042789A"/>
    <w:rsid w:val="00427988"/>
    <w:rsid w:val="00427A0B"/>
    <w:rsid w:val="00427A88"/>
    <w:rsid w:val="00427DA9"/>
    <w:rsid w:val="00427EFD"/>
    <w:rsid w:val="0043025E"/>
    <w:rsid w:val="00430298"/>
    <w:rsid w:val="004304F2"/>
    <w:rsid w:val="00430524"/>
    <w:rsid w:val="004306EB"/>
    <w:rsid w:val="004307CA"/>
    <w:rsid w:val="00430B87"/>
    <w:rsid w:val="00431EAD"/>
    <w:rsid w:val="004320C3"/>
    <w:rsid w:val="00432235"/>
    <w:rsid w:val="00432248"/>
    <w:rsid w:val="004322F9"/>
    <w:rsid w:val="004324C7"/>
    <w:rsid w:val="00432518"/>
    <w:rsid w:val="00432AD0"/>
    <w:rsid w:val="00432D0C"/>
    <w:rsid w:val="00433337"/>
    <w:rsid w:val="0043349C"/>
    <w:rsid w:val="004339AE"/>
    <w:rsid w:val="00433B80"/>
    <w:rsid w:val="00433BDD"/>
    <w:rsid w:val="00433D25"/>
    <w:rsid w:val="00433D38"/>
    <w:rsid w:val="00433E9F"/>
    <w:rsid w:val="00433F9E"/>
    <w:rsid w:val="00434209"/>
    <w:rsid w:val="0043420D"/>
    <w:rsid w:val="004349BE"/>
    <w:rsid w:val="00434ADE"/>
    <w:rsid w:val="00434CCF"/>
    <w:rsid w:val="00435010"/>
    <w:rsid w:val="00435016"/>
    <w:rsid w:val="00435131"/>
    <w:rsid w:val="00435493"/>
    <w:rsid w:val="0043559E"/>
    <w:rsid w:val="00435749"/>
    <w:rsid w:val="00435822"/>
    <w:rsid w:val="00435915"/>
    <w:rsid w:val="00435B99"/>
    <w:rsid w:val="00435CAA"/>
    <w:rsid w:val="00435D28"/>
    <w:rsid w:val="00435E7A"/>
    <w:rsid w:val="00435F45"/>
    <w:rsid w:val="00436513"/>
    <w:rsid w:val="004365EE"/>
    <w:rsid w:val="0043677E"/>
    <w:rsid w:val="004367D2"/>
    <w:rsid w:val="00436833"/>
    <w:rsid w:val="00436EA4"/>
    <w:rsid w:val="00436FA8"/>
    <w:rsid w:val="0043711B"/>
    <w:rsid w:val="004372E9"/>
    <w:rsid w:val="004376AF"/>
    <w:rsid w:val="0043784F"/>
    <w:rsid w:val="004378EA"/>
    <w:rsid w:val="00437A35"/>
    <w:rsid w:val="00437CB2"/>
    <w:rsid w:val="00437F20"/>
    <w:rsid w:val="004403AE"/>
    <w:rsid w:val="004409D4"/>
    <w:rsid w:val="00440ABB"/>
    <w:rsid w:val="004419B8"/>
    <w:rsid w:val="00441A09"/>
    <w:rsid w:val="00441B33"/>
    <w:rsid w:val="00441B7B"/>
    <w:rsid w:val="00441B7E"/>
    <w:rsid w:val="00441CF0"/>
    <w:rsid w:val="00441E5E"/>
    <w:rsid w:val="00441FF2"/>
    <w:rsid w:val="004420AB"/>
    <w:rsid w:val="004422BD"/>
    <w:rsid w:val="004428C9"/>
    <w:rsid w:val="00442A7D"/>
    <w:rsid w:val="00442EC5"/>
    <w:rsid w:val="00443071"/>
    <w:rsid w:val="004433A4"/>
    <w:rsid w:val="00443789"/>
    <w:rsid w:val="004439CE"/>
    <w:rsid w:val="00444613"/>
    <w:rsid w:val="0044479B"/>
    <w:rsid w:val="004449E6"/>
    <w:rsid w:val="00444B1D"/>
    <w:rsid w:val="00444E9D"/>
    <w:rsid w:val="00444FF1"/>
    <w:rsid w:val="004451AD"/>
    <w:rsid w:val="00445238"/>
    <w:rsid w:val="00445543"/>
    <w:rsid w:val="00445891"/>
    <w:rsid w:val="004458FB"/>
    <w:rsid w:val="00445D9D"/>
    <w:rsid w:val="00446106"/>
    <w:rsid w:val="00446405"/>
    <w:rsid w:val="00446591"/>
    <w:rsid w:val="00446950"/>
    <w:rsid w:val="004469E2"/>
    <w:rsid w:val="00446A18"/>
    <w:rsid w:val="00446ACD"/>
    <w:rsid w:val="00446B51"/>
    <w:rsid w:val="00446CFC"/>
    <w:rsid w:val="00446ED4"/>
    <w:rsid w:val="004470B7"/>
    <w:rsid w:val="004475BB"/>
    <w:rsid w:val="00447601"/>
    <w:rsid w:val="00447703"/>
    <w:rsid w:val="004500B8"/>
    <w:rsid w:val="0045050B"/>
    <w:rsid w:val="0045065C"/>
    <w:rsid w:val="004506A4"/>
    <w:rsid w:val="004509FC"/>
    <w:rsid w:val="00450B25"/>
    <w:rsid w:val="00451338"/>
    <w:rsid w:val="00451430"/>
    <w:rsid w:val="004518FD"/>
    <w:rsid w:val="00452224"/>
    <w:rsid w:val="00452439"/>
    <w:rsid w:val="0045243B"/>
    <w:rsid w:val="004524C3"/>
    <w:rsid w:val="00452AC0"/>
    <w:rsid w:val="00452F6F"/>
    <w:rsid w:val="0045385B"/>
    <w:rsid w:val="0045391C"/>
    <w:rsid w:val="0045435D"/>
    <w:rsid w:val="00454688"/>
    <w:rsid w:val="00454901"/>
    <w:rsid w:val="00454954"/>
    <w:rsid w:val="00454BE4"/>
    <w:rsid w:val="00454CC8"/>
    <w:rsid w:val="00454E55"/>
    <w:rsid w:val="00455109"/>
    <w:rsid w:val="004555C3"/>
    <w:rsid w:val="00455765"/>
    <w:rsid w:val="00455CCF"/>
    <w:rsid w:val="004566E9"/>
    <w:rsid w:val="0045684C"/>
    <w:rsid w:val="00456856"/>
    <w:rsid w:val="00456F70"/>
    <w:rsid w:val="004570A2"/>
    <w:rsid w:val="00457165"/>
    <w:rsid w:val="0045724C"/>
    <w:rsid w:val="0045729F"/>
    <w:rsid w:val="0045732C"/>
    <w:rsid w:val="004575AF"/>
    <w:rsid w:val="00457651"/>
    <w:rsid w:val="004577C7"/>
    <w:rsid w:val="004579B3"/>
    <w:rsid w:val="00460001"/>
    <w:rsid w:val="004602B9"/>
    <w:rsid w:val="0046071A"/>
    <w:rsid w:val="00460884"/>
    <w:rsid w:val="004609F7"/>
    <w:rsid w:val="00460A39"/>
    <w:rsid w:val="00460A78"/>
    <w:rsid w:val="00460A9A"/>
    <w:rsid w:val="00460D72"/>
    <w:rsid w:val="00460EBE"/>
    <w:rsid w:val="00460F53"/>
    <w:rsid w:val="00461050"/>
    <w:rsid w:val="0046158C"/>
    <w:rsid w:val="00461772"/>
    <w:rsid w:val="00461787"/>
    <w:rsid w:val="00461803"/>
    <w:rsid w:val="00461A23"/>
    <w:rsid w:val="00461EB7"/>
    <w:rsid w:val="004620E3"/>
    <w:rsid w:val="00462126"/>
    <w:rsid w:val="00462512"/>
    <w:rsid w:val="004628CD"/>
    <w:rsid w:val="00462F4F"/>
    <w:rsid w:val="0046309F"/>
    <w:rsid w:val="0046345F"/>
    <w:rsid w:val="0046381F"/>
    <w:rsid w:val="00463873"/>
    <w:rsid w:val="00463BAB"/>
    <w:rsid w:val="00463C52"/>
    <w:rsid w:val="00463C80"/>
    <w:rsid w:val="00463EB0"/>
    <w:rsid w:val="00464019"/>
    <w:rsid w:val="004644C6"/>
    <w:rsid w:val="00464B29"/>
    <w:rsid w:val="00464D3A"/>
    <w:rsid w:val="00464DF4"/>
    <w:rsid w:val="00464FA9"/>
    <w:rsid w:val="004654E6"/>
    <w:rsid w:val="00465620"/>
    <w:rsid w:val="004658A0"/>
    <w:rsid w:val="00465E93"/>
    <w:rsid w:val="00465F2E"/>
    <w:rsid w:val="0046618B"/>
    <w:rsid w:val="004667B7"/>
    <w:rsid w:val="004668BA"/>
    <w:rsid w:val="00466C66"/>
    <w:rsid w:val="00466E89"/>
    <w:rsid w:val="004670E9"/>
    <w:rsid w:val="00467157"/>
    <w:rsid w:val="0046772B"/>
    <w:rsid w:val="00467A50"/>
    <w:rsid w:val="00467BD8"/>
    <w:rsid w:val="00467E4C"/>
    <w:rsid w:val="00470558"/>
    <w:rsid w:val="00470654"/>
    <w:rsid w:val="004708BB"/>
    <w:rsid w:val="00470ABB"/>
    <w:rsid w:val="00470E62"/>
    <w:rsid w:val="00470EF7"/>
    <w:rsid w:val="00470FDB"/>
    <w:rsid w:val="00471852"/>
    <w:rsid w:val="004718E6"/>
    <w:rsid w:val="00471CB2"/>
    <w:rsid w:val="00471D4B"/>
    <w:rsid w:val="00471F5B"/>
    <w:rsid w:val="00471FE6"/>
    <w:rsid w:val="00472D41"/>
    <w:rsid w:val="00473734"/>
    <w:rsid w:val="00473B82"/>
    <w:rsid w:val="00473DCA"/>
    <w:rsid w:val="00474140"/>
    <w:rsid w:val="0047414E"/>
    <w:rsid w:val="0047442C"/>
    <w:rsid w:val="00474520"/>
    <w:rsid w:val="004746D8"/>
    <w:rsid w:val="004749A5"/>
    <w:rsid w:val="00474AD3"/>
    <w:rsid w:val="00474CF8"/>
    <w:rsid w:val="00474E9A"/>
    <w:rsid w:val="004755E1"/>
    <w:rsid w:val="00475FBC"/>
    <w:rsid w:val="0047618B"/>
    <w:rsid w:val="0047667D"/>
    <w:rsid w:val="004766DB"/>
    <w:rsid w:val="00476995"/>
    <w:rsid w:val="00476A3A"/>
    <w:rsid w:val="00476BB9"/>
    <w:rsid w:val="00476C79"/>
    <w:rsid w:val="00477435"/>
    <w:rsid w:val="0047760C"/>
    <w:rsid w:val="00477B8A"/>
    <w:rsid w:val="00477D38"/>
    <w:rsid w:val="00477E26"/>
    <w:rsid w:val="00477E8B"/>
    <w:rsid w:val="00480066"/>
    <w:rsid w:val="0048024A"/>
    <w:rsid w:val="0048034E"/>
    <w:rsid w:val="0048058B"/>
    <w:rsid w:val="004806A0"/>
    <w:rsid w:val="00480DA3"/>
    <w:rsid w:val="004810D4"/>
    <w:rsid w:val="00481670"/>
    <w:rsid w:val="00481F57"/>
    <w:rsid w:val="004823D8"/>
    <w:rsid w:val="004826CE"/>
    <w:rsid w:val="004826E9"/>
    <w:rsid w:val="00482A6B"/>
    <w:rsid w:val="004833B5"/>
    <w:rsid w:val="00483522"/>
    <w:rsid w:val="0048373F"/>
    <w:rsid w:val="004837C1"/>
    <w:rsid w:val="00483815"/>
    <w:rsid w:val="0048385C"/>
    <w:rsid w:val="00483917"/>
    <w:rsid w:val="0048394C"/>
    <w:rsid w:val="0048468D"/>
    <w:rsid w:val="00484742"/>
    <w:rsid w:val="00484C02"/>
    <w:rsid w:val="00484DEA"/>
    <w:rsid w:val="00484E4F"/>
    <w:rsid w:val="00485483"/>
    <w:rsid w:val="00485777"/>
    <w:rsid w:val="004857AE"/>
    <w:rsid w:val="00485DE0"/>
    <w:rsid w:val="004862ED"/>
    <w:rsid w:val="00486380"/>
    <w:rsid w:val="004868AE"/>
    <w:rsid w:val="00486971"/>
    <w:rsid w:val="00486A57"/>
    <w:rsid w:val="00486C61"/>
    <w:rsid w:val="0048731B"/>
    <w:rsid w:val="00487394"/>
    <w:rsid w:val="00487494"/>
    <w:rsid w:val="00487984"/>
    <w:rsid w:val="00487AE4"/>
    <w:rsid w:val="00487B08"/>
    <w:rsid w:val="00487E49"/>
    <w:rsid w:val="00487FF4"/>
    <w:rsid w:val="00490181"/>
    <w:rsid w:val="004903CD"/>
    <w:rsid w:val="0049064A"/>
    <w:rsid w:val="004913A6"/>
    <w:rsid w:val="00491770"/>
    <w:rsid w:val="00491B2A"/>
    <w:rsid w:val="00491F31"/>
    <w:rsid w:val="004928DF"/>
    <w:rsid w:val="0049290D"/>
    <w:rsid w:val="00492923"/>
    <w:rsid w:val="00492BC9"/>
    <w:rsid w:val="00493BB6"/>
    <w:rsid w:val="00494091"/>
    <w:rsid w:val="0049448C"/>
    <w:rsid w:val="00494491"/>
    <w:rsid w:val="00494570"/>
    <w:rsid w:val="00494769"/>
    <w:rsid w:val="0049479A"/>
    <w:rsid w:val="00494959"/>
    <w:rsid w:val="004949C7"/>
    <w:rsid w:val="00494A2C"/>
    <w:rsid w:val="00494B05"/>
    <w:rsid w:val="00494C6A"/>
    <w:rsid w:val="004951B9"/>
    <w:rsid w:val="00495709"/>
    <w:rsid w:val="004958CE"/>
    <w:rsid w:val="00495F03"/>
    <w:rsid w:val="00496382"/>
    <w:rsid w:val="00496572"/>
    <w:rsid w:val="00496B1E"/>
    <w:rsid w:val="00496E7D"/>
    <w:rsid w:val="004974CA"/>
    <w:rsid w:val="0049793E"/>
    <w:rsid w:val="00497CA2"/>
    <w:rsid w:val="00497F50"/>
    <w:rsid w:val="004A021F"/>
    <w:rsid w:val="004A0411"/>
    <w:rsid w:val="004A0C13"/>
    <w:rsid w:val="004A0DB7"/>
    <w:rsid w:val="004A0FA4"/>
    <w:rsid w:val="004A0FF6"/>
    <w:rsid w:val="004A18DD"/>
    <w:rsid w:val="004A1C2B"/>
    <w:rsid w:val="004A1D6D"/>
    <w:rsid w:val="004A1F41"/>
    <w:rsid w:val="004A20E8"/>
    <w:rsid w:val="004A2160"/>
    <w:rsid w:val="004A2183"/>
    <w:rsid w:val="004A2690"/>
    <w:rsid w:val="004A2A7F"/>
    <w:rsid w:val="004A2D15"/>
    <w:rsid w:val="004A31CF"/>
    <w:rsid w:val="004A3617"/>
    <w:rsid w:val="004A36DE"/>
    <w:rsid w:val="004A3816"/>
    <w:rsid w:val="004A3CA0"/>
    <w:rsid w:val="004A3D70"/>
    <w:rsid w:val="004A4676"/>
    <w:rsid w:val="004A4772"/>
    <w:rsid w:val="004A480C"/>
    <w:rsid w:val="004A4990"/>
    <w:rsid w:val="004A49E5"/>
    <w:rsid w:val="004A5000"/>
    <w:rsid w:val="004A505C"/>
    <w:rsid w:val="004A540F"/>
    <w:rsid w:val="004A5866"/>
    <w:rsid w:val="004A591C"/>
    <w:rsid w:val="004A592D"/>
    <w:rsid w:val="004A5AEC"/>
    <w:rsid w:val="004A5E33"/>
    <w:rsid w:val="004A5F7E"/>
    <w:rsid w:val="004A6054"/>
    <w:rsid w:val="004A60D8"/>
    <w:rsid w:val="004A6B4D"/>
    <w:rsid w:val="004A6EA4"/>
    <w:rsid w:val="004A71C9"/>
    <w:rsid w:val="004A770C"/>
    <w:rsid w:val="004A79CC"/>
    <w:rsid w:val="004A7A69"/>
    <w:rsid w:val="004A7BEC"/>
    <w:rsid w:val="004B010A"/>
    <w:rsid w:val="004B05F5"/>
    <w:rsid w:val="004B06DB"/>
    <w:rsid w:val="004B0815"/>
    <w:rsid w:val="004B0874"/>
    <w:rsid w:val="004B0D2D"/>
    <w:rsid w:val="004B0EF0"/>
    <w:rsid w:val="004B1044"/>
    <w:rsid w:val="004B10D6"/>
    <w:rsid w:val="004B138A"/>
    <w:rsid w:val="004B147C"/>
    <w:rsid w:val="004B1684"/>
    <w:rsid w:val="004B1DAC"/>
    <w:rsid w:val="004B1EE0"/>
    <w:rsid w:val="004B20BE"/>
    <w:rsid w:val="004B2503"/>
    <w:rsid w:val="004B304D"/>
    <w:rsid w:val="004B3488"/>
    <w:rsid w:val="004B3510"/>
    <w:rsid w:val="004B36FA"/>
    <w:rsid w:val="004B3B8C"/>
    <w:rsid w:val="004B3ED7"/>
    <w:rsid w:val="004B4016"/>
    <w:rsid w:val="004B4558"/>
    <w:rsid w:val="004B455F"/>
    <w:rsid w:val="004B47F6"/>
    <w:rsid w:val="004B4A4B"/>
    <w:rsid w:val="004B4C9C"/>
    <w:rsid w:val="004B513A"/>
    <w:rsid w:val="004B5B9D"/>
    <w:rsid w:val="004B609F"/>
    <w:rsid w:val="004B63C1"/>
    <w:rsid w:val="004B6CA3"/>
    <w:rsid w:val="004B6CDC"/>
    <w:rsid w:val="004B6DC7"/>
    <w:rsid w:val="004B70E5"/>
    <w:rsid w:val="004B793C"/>
    <w:rsid w:val="004B7DF0"/>
    <w:rsid w:val="004C03A5"/>
    <w:rsid w:val="004C0566"/>
    <w:rsid w:val="004C0766"/>
    <w:rsid w:val="004C09DD"/>
    <w:rsid w:val="004C0FE3"/>
    <w:rsid w:val="004C1163"/>
    <w:rsid w:val="004C119C"/>
    <w:rsid w:val="004C1246"/>
    <w:rsid w:val="004C1286"/>
    <w:rsid w:val="004C1533"/>
    <w:rsid w:val="004C19B3"/>
    <w:rsid w:val="004C1DBF"/>
    <w:rsid w:val="004C1DC3"/>
    <w:rsid w:val="004C1F54"/>
    <w:rsid w:val="004C1FB1"/>
    <w:rsid w:val="004C258F"/>
    <w:rsid w:val="004C278C"/>
    <w:rsid w:val="004C2957"/>
    <w:rsid w:val="004C2D88"/>
    <w:rsid w:val="004C2E4D"/>
    <w:rsid w:val="004C2F9F"/>
    <w:rsid w:val="004C32A0"/>
    <w:rsid w:val="004C364C"/>
    <w:rsid w:val="004C3BAC"/>
    <w:rsid w:val="004C41D0"/>
    <w:rsid w:val="004C466E"/>
    <w:rsid w:val="004C4AA9"/>
    <w:rsid w:val="004C4D65"/>
    <w:rsid w:val="004C4E7F"/>
    <w:rsid w:val="004C4EDA"/>
    <w:rsid w:val="004C4FB3"/>
    <w:rsid w:val="004C4FCD"/>
    <w:rsid w:val="004C50FF"/>
    <w:rsid w:val="004C526E"/>
    <w:rsid w:val="004C5679"/>
    <w:rsid w:val="004C576F"/>
    <w:rsid w:val="004C5A48"/>
    <w:rsid w:val="004C5FBF"/>
    <w:rsid w:val="004C6168"/>
    <w:rsid w:val="004C6218"/>
    <w:rsid w:val="004C6670"/>
    <w:rsid w:val="004C67BF"/>
    <w:rsid w:val="004C69F2"/>
    <w:rsid w:val="004C6BFB"/>
    <w:rsid w:val="004C7001"/>
    <w:rsid w:val="004C726C"/>
    <w:rsid w:val="004C7345"/>
    <w:rsid w:val="004C7650"/>
    <w:rsid w:val="004C78E4"/>
    <w:rsid w:val="004C7937"/>
    <w:rsid w:val="004C7F39"/>
    <w:rsid w:val="004D0118"/>
    <w:rsid w:val="004D05C7"/>
    <w:rsid w:val="004D0C51"/>
    <w:rsid w:val="004D0D92"/>
    <w:rsid w:val="004D107C"/>
    <w:rsid w:val="004D10AB"/>
    <w:rsid w:val="004D10FE"/>
    <w:rsid w:val="004D11FA"/>
    <w:rsid w:val="004D1C03"/>
    <w:rsid w:val="004D1CD6"/>
    <w:rsid w:val="004D1DC1"/>
    <w:rsid w:val="004D1F4A"/>
    <w:rsid w:val="004D263F"/>
    <w:rsid w:val="004D274D"/>
    <w:rsid w:val="004D2D03"/>
    <w:rsid w:val="004D2E5F"/>
    <w:rsid w:val="004D305A"/>
    <w:rsid w:val="004D3385"/>
    <w:rsid w:val="004D3CEE"/>
    <w:rsid w:val="004D41A6"/>
    <w:rsid w:val="004D4912"/>
    <w:rsid w:val="004D4C1B"/>
    <w:rsid w:val="004D501A"/>
    <w:rsid w:val="004D52FB"/>
    <w:rsid w:val="004D53FA"/>
    <w:rsid w:val="004D54C5"/>
    <w:rsid w:val="004D56F0"/>
    <w:rsid w:val="004D58F1"/>
    <w:rsid w:val="004D67D9"/>
    <w:rsid w:val="004D680B"/>
    <w:rsid w:val="004D6C3A"/>
    <w:rsid w:val="004D6E88"/>
    <w:rsid w:val="004E0162"/>
    <w:rsid w:val="004E08F5"/>
    <w:rsid w:val="004E0A7C"/>
    <w:rsid w:val="004E0B05"/>
    <w:rsid w:val="004E0FFB"/>
    <w:rsid w:val="004E10A3"/>
    <w:rsid w:val="004E10B0"/>
    <w:rsid w:val="004E15D6"/>
    <w:rsid w:val="004E16AE"/>
    <w:rsid w:val="004E1A70"/>
    <w:rsid w:val="004E1B52"/>
    <w:rsid w:val="004E1B5B"/>
    <w:rsid w:val="004E1F25"/>
    <w:rsid w:val="004E213D"/>
    <w:rsid w:val="004E26F5"/>
    <w:rsid w:val="004E2951"/>
    <w:rsid w:val="004E2CB1"/>
    <w:rsid w:val="004E3028"/>
    <w:rsid w:val="004E34A9"/>
    <w:rsid w:val="004E3912"/>
    <w:rsid w:val="004E3F02"/>
    <w:rsid w:val="004E3F12"/>
    <w:rsid w:val="004E476D"/>
    <w:rsid w:val="004E48FE"/>
    <w:rsid w:val="004E4912"/>
    <w:rsid w:val="004E4979"/>
    <w:rsid w:val="004E4CC6"/>
    <w:rsid w:val="004E50BF"/>
    <w:rsid w:val="004E53B6"/>
    <w:rsid w:val="004E54B9"/>
    <w:rsid w:val="004E5847"/>
    <w:rsid w:val="004E59CF"/>
    <w:rsid w:val="004E5B95"/>
    <w:rsid w:val="004E5E74"/>
    <w:rsid w:val="004E5F5F"/>
    <w:rsid w:val="004E6011"/>
    <w:rsid w:val="004E60C8"/>
    <w:rsid w:val="004E6397"/>
    <w:rsid w:val="004E6FFF"/>
    <w:rsid w:val="004E7410"/>
    <w:rsid w:val="004F00B8"/>
    <w:rsid w:val="004F02C5"/>
    <w:rsid w:val="004F07CD"/>
    <w:rsid w:val="004F07DE"/>
    <w:rsid w:val="004F0AAC"/>
    <w:rsid w:val="004F0B07"/>
    <w:rsid w:val="004F0EED"/>
    <w:rsid w:val="004F13A1"/>
    <w:rsid w:val="004F1511"/>
    <w:rsid w:val="004F1A64"/>
    <w:rsid w:val="004F1BC9"/>
    <w:rsid w:val="004F33C2"/>
    <w:rsid w:val="004F3545"/>
    <w:rsid w:val="004F3826"/>
    <w:rsid w:val="004F3ADD"/>
    <w:rsid w:val="004F3CBB"/>
    <w:rsid w:val="004F4284"/>
    <w:rsid w:val="004F4523"/>
    <w:rsid w:val="004F4566"/>
    <w:rsid w:val="004F4A27"/>
    <w:rsid w:val="004F4A2D"/>
    <w:rsid w:val="004F4AF6"/>
    <w:rsid w:val="004F4FFB"/>
    <w:rsid w:val="004F5298"/>
    <w:rsid w:val="004F5655"/>
    <w:rsid w:val="004F56E1"/>
    <w:rsid w:val="004F571A"/>
    <w:rsid w:val="004F5986"/>
    <w:rsid w:val="004F6095"/>
    <w:rsid w:val="004F622C"/>
    <w:rsid w:val="004F6376"/>
    <w:rsid w:val="004F6B7B"/>
    <w:rsid w:val="004F717A"/>
    <w:rsid w:val="004F7241"/>
    <w:rsid w:val="004F78AE"/>
    <w:rsid w:val="004F7B49"/>
    <w:rsid w:val="004F7C6B"/>
    <w:rsid w:val="004F7D33"/>
    <w:rsid w:val="004F7F50"/>
    <w:rsid w:val="005002B7"/>
    <w:rsid w:val="0050056B"/>
    <w:rsid w:val="0050065A"/>
    <w:rsid w:val="00500850"/>
    <w:rsid w:val="00500971"/>
    <w:rsid w:val="00500B77"/>
    <w:rsid w:val="00500C50"/>
    <w:rsid w:val="0050115A"/>
    <w:rsid w:val="00501521"/>
    <w:rsid w:val="005017C0"/>
    <w:rsid w:val="00501D8F"/>
    <w:rsid w:val="005027F5"/>
    <w:rsid w:val="00502F71"/>
    <w:rsid w:val="0050318D"/>
    <w:rsid w:val="0050324B"/>
    <w:rsid w:val="00503452"/>
    <w:rsid w:val="0050362E"/>
    <w:rsid w:val="00503B12"/>
    <w:rsid w:val="00503D1D"/>
    <w:rsid w:val="00503DD8"/>
    <w:rsid w:val="00503EC2"/>
    <w:rsid w:val="00503FFC"/>
    <w:rsid w:val="0050413A"/>
    <w:rsid w:val="0050424F"/>
    <w:rsid w:val="005042A7"/>
    <w:rsid w:val="00504961"/>
    <w:rsid w:val="00504D5B"/>
    <w:rsid w:val="00504E19"/>
    <w:rsid w:val="005050DE"/>
    <w:rsid w:val="00505621"/>
    <w:rsid w:val="005056EB"/>
    <w:rsid w:val="005058B3"/>
    <w:rsid w:val="00506007"/>
    <w:rsid w:val="005060C1"/>
    <w:rsid w:val="0050611F"/>
    <w:rsid w:val="00506151"/>
    <w:rsid w:val="00506C11"/>
    <w:rsid w:val="00506CE1"/>
    <w:rsid w:val="00506DDC"/>
    <w:rsid w:val="0050741D"/>
    <w:rsid w:val="00507593"/>
    <w:rsid w:val="00507669"/>
    <w:rsid w:val="005078CC"/>
    <w:rsid w:val="00507978"/>
    <w:rsid w:val="005079DF"/>
    <w:rsid w:val="00507AAB"/>
    <w:rsid w:val="00507BE2"/>
    <w:rsid w:val="00507D72"/>
    <w:rsid w:val="00507E54"/>
    <w:rsid w:val="00507F9D"/>
    <w:rsid w:val="0051017C"/>
    <w:rsid w:val="00510182"/>
    <w:rsid w:val="00510340"/>
    <w:rsid w:val="0051040D"/>
    <w:rsid w:val="0051081D"/>
    <w:rsid w:val="00510A6D"/>
    <w:rsid w:val="00510C5E"/>
    <w:rsid w:val="00510DE8"/>
    <w:rsid w:val="00510E40"/>
    <w:rsid w:val="00510F6C"/>
    <w:rsid w:val="00511476"/>
    <w:rsid w:val="0051190E"/>
    <w:rsid w:val="00511B91"/>
    <w:rsid w:val="00511CFC"/>
    <w:rsid w:val="0051228B"/>
    <w:rsid w:val="00512572"/>
    <w:rsid w:val="00512BF8"/>
    <w:rsid w:val="00512C17"/>
    <w:rsid w:val="00513014"/>
    <w:rsid w:val="00513406"/>
    <w:rsid w:val="00513F20"/>
    <w:rsid w:val="0051404E"/>
    <w:rsid w:val="0051479E"/>
    <w:rsid w:val="00514814"/>
    <w:rsid w:val="005148D6"/>
    <w:rsid w:val="00514A55"/>
    <w:rsid w:val="00514E00"/>
    <w:rsid w:val="00514EDD"/>
    <w:rsid w:val="00514F20"/>
    <w:rsid w:val="0051518A"/>
    <w:rsid w:val="00515511"/>
    <w:rsid w:val="005157EA"/>
    <w:rsid w:val="00515831"/>
    <w:rsid w:val="005158F8"/>
    <w:rsid w:val="00515A30"/>
    <w:rsid w:val="00515DF5"/>
    <w:rsid w:val="00516B72"/>
    <w:rsid w:val="00517B45"/>
    <w:rsid w:val="00517DE3"/>
    <w:rsid w:val="00520084"/>
    <w:rsid w:val="005211E0"/>
    <w:rsid w:val="00521542"/>
    <w:rsid w:val="005215A9"/>
    <w:rsid w:val="00521966"/>
    <w:rsid w:val="00522025"/>
    <w:rsid w:val="005220DF"/>
    <w:rsid w:val="00522950"/>
    <w:rsid w:val="00522956"/>
    <w:rsid w:val="0052299C"/>
    <w:rsid w:val="00522C06"/>
    <w:rsid w:val="00522C4A"/>
    <w:rsid w:val="00522CF3"/>
    <w:rsid w:val="005231AE"/>
    <w:rsid w:val="005238FF"/>
    <w:rsid w:val="00523A64"/>
    <w:rsid w:val="00523D4B"/>
    <w:rsid w:val="00523EE8"/>
    <w:rsid w:val="00524515"/>
    <w:rsid w:val="00524675"/>
    <w:rsid w:val="0052472F"/>
    <w:rsid w:val="00524D22"/>
    <w:rsid w:val="00524E21"/>
    <w:rsid w:val="005255B4"/>
    <w:rsid w:val="00525671"/>
    <w:rsid w:val="00525CA6"/>
    <w:rsid w:val="00526131"/>
    <w:rsid w:val="00526591"/>
    <w:rsid w:val="0052675A"/>
    <w:rsid w:val="005267AD"/>
    <w:rsid w:val="0052692A"/>
    <w:rsid w:val="00526C60"/>
    <w:rsid w:val="00526CF6"/>
    <w:rsid w:val="00526F0F"/>
    <w:rsid w:val="00527278"/>
    <w:rsid w:val="00527392"/>
    <w:rsid w:val="005273A1"/>
    <w:rsid w:val="005273FD"/>
    <w:rsid w:val="00527C86"/>
    <w:rsid w:val="00527D90"/>
    <w:rsid w:val="00527F8E"/>
    <w:rsid w:val="005301EA"/>
    <w:rsid w:val="00530D07"/>
    <w:rsid w:val="00530E79"/>
    <w:rsid w:val="00530FA9"/>
    <w:rsid w:val="00531354"/>
    <w:rsid w:val="00531503"/>
    <w:rsid w:val="00531796"/>
    <w:rsid w:val="00531AD7"/>
    <w:rsid w:val="00531CEB"/>
    <w:rsid w:val="00531D71"/>
    <w:rsid w:val="00531E50"/>
    <w:rsid w:val="00532B8D"/>
    <w:rsid w:val="00532DA2"/>
    <w:rsid w:val="00532EC4"/>
    <w:rsid w:val="00532F72"/>
    <w:rsid w:val="00533020"/>
    <w:rsid w:val="005332ED"/>
    <w:rsid w:val="0053364F"/>
    <w:rsid w:val="00533781"/>
    <w:rsid w:val="00533975"/>
    <w:rsid w:val="00533AA6"/>
    <w:rsid w:val="00534285"/>
    <w:rsid w:val="0053445B"/>
    <w:rsid w:val="00534B64"/>
    <w:rsid w:val="00535256"/>
    <w:rsid w:val="00535282"/>
    <w:rsid w:val="00535942"/>
    <w:rsid w:val="00535AFA"/>
    <w:rsid w:val="00535CFF"/>
    <w:rsid w:val="00535E03"/>
    <w:rsid w:val="00535F68"/>
    <w:rsid w:val="00536405"/>
    <w:rsid w:val="00536468"/>
    <w:rsid w:val="00536C05"/>
    <w:rsid w:val="0053703A"/>
    <w:rsid w:val="00537252"/>
    <w:rsid w:val="0053734F"/>
    <w:rsid w:val="0053740D"/>
    <w:rsid w:val="005374A4"/>
    <w:rsid w:val="005375C7"/>
    <w:rsid w:val="005378BA"/>
    <w:rsid w:val="005378C3"/>
    <w:rsid w:val="005378F9"/>
    <w:rsid w:val="00537916"/>
    <w:rsid w:val="00537C72"/>
    <w:rsid w:val="00537F09"/>
    <w:rsid w:val="0054005C"/>
    <w:rsid w:val="005400CE"/>
    <w:rsid w:val="00540106"/>
    <w:rsid w:val="005407B5"/>
    <w:rsid w:val="0054086C"/>
    <w:rsid w:val="00540B21"/>
    <w:rsid w:val="00540C65"/>
    <w:rsid w:val="00541227"/>
    <w:rsid w:val="00541389"/>
    <w:rsid w:val="00541455"/>
    <w:rsid w:val="0054145A"/>
    <w:rsid w:val="00541A85"/>
    <w:rsid w:val="00541FF0"/>
    <w:rsid w:val="005420E3"/>
    <w:rsid w:val="00542483"/>
    <w:rsid w:val="005428D2"/>
    <w:rsid w:val="00542CC6"/>
    <w:rsid w:val="00542DC5"/>
    <w:rsid w:val="00542DDE"/>
    <w:rsid w:val="00542E00"/>
    <w:rsid w:val="00543205"/>
    <w:rsid w:val="005435D7"/>
    <w:rsid w:val="005436DE"/>
    <w:rsid w:val="00544538"/>
    <w:rsid w:val="00544DDB"/>
    <w:rsid w:val="00545139"/>
    <w:rsid w:val="00545484"/>
    <w:rsid w:val="0054570B"/>
    <w:rsid w:val="00545F36"/>
    <w:rsid w:val="0054612C"/>
    <w:rsid w:val="00546263"/>
    <w:rsid w:val="005462D0"/>
    <w:rsid w:val="00546724"/>
    <w:rsid w:val="00546B88"/>
    <w:rsid w:val="00547235"/>
    <w:rsid w:val="00547300"/>
    <w:rsid w:val="00547397"/>
    <w:rsid w:val="005473D2"/>
    <w:rsid w:val="00547423"/>
    <w:rsid w:val="005477E5"/>
    <w:rsid w:val="0054798E"/>
    <w:rsid w:val="005503C0"/>
    <w:rsid w:val="00550576"/>
    <w:rsid w:val="005507ED"/>
    <w:rsid w:val="00550BE3"/>
    <w:rsid w:val="005510C6"/>
    <w:rsid w:val="005513A5"/>
    <w:rsid w:val="00551D4D"/>
    <w:rsid w:val="00551FAF"/>
    <w:rsid w:val="0055214C"/>
    <w:rsid w:val="0055244D"/>
    <w:rsid w:val="00552696"/>
    <w:rsid w:val="00552BAE"/>
    <w:rsid w:val="00552CB1"/>
    <w:rsid w:val="005536FF"/>
    <w:rsid w:val="00553A97"/>
    <w:rsid w:val="00553CA0"/>
    <w:rsid w:val="00554921"/>
    <w:rsid w:val="00554A81"/>
    <w:rsid w:val="005550AA"/>
    <w:rsid w:val="0055542C"/>
    <w:rsid w:val="005554AD"/>
    <w:rsid w:val="0055654E"/>
    <w:rsid w:val="005566F8"/>
    <w:rsid w:val="00557362"/>
    <w:rsid w:val="00557373"/>
    <w:rsid w:val="0055753B"/>
    <w:rsid w:val="0055755B"/>
    <w:rsid w:val="005577BB"/>
    <w:rsid w:val="00557EA7"/>
    <w:rsid w:val="005601A1"/>
    <w:rsid w:val="005602AF"/>
    <w:rsid w:val="0056070D"/>
    <w:rsid w:val="0056090D"/>
    <w:rsid w:val="00560AA5"/>
    <w:rsid w:val="00560CAE"/>
    <w:rsid w:val="00560FEE"/>
    <w:rsid w:val="0056114C"/>
    <w:rsid w:val="00561274"/>
    <w:rsid w:val="00561522"/>
    <w:rsid w:val="00561568"/>
    <w:rsid w:val="00561CFD"/>
    <w:rsid w:val="00562537"/>
    <w:rsid w:val="00562603"/>
    <w:rsid w:val="0056273F"/>
    <w:rsid w:val="005628F4"/>
    <w:rsid w:val="005629BC"/>
    <w:rsid w:val="00562B80"/>
    <w:rsid w:val="00562D4E"/>
    <w:rsid w:val="0056335E"/>
    <w:rsid w:val="00563384"/>
    <w:rsid w:val="00563A0E"/>
    <w:rsid w:val="00563C3F"/>
    <w:rsid w:val="00563DE3"/>
    <w:rsid w:val="005642C4"/>
    <w:rsid w:val="0056430D"/>
    <w:rsid w:val="005643F2"/>
    <w:rsid w:val="0056481E"/>
    <w:rsid w:val="00564E89"/>
    <w:rsid w:val="0056508A"/>
    <w:rsid w:val="0056527A"/>
    <w:rsid w:val="005656A4"/>
    <w:rsid w:val="00565957"/>
    <w:rsid w:val="00565A50"/>
    <w:rsid w:val="00565F10"/>
    <w:rsid w:val="00565F51"/>
    <w:rsid w:val="00565FE1"/>
    <w:rsid w:val="00566051"/>
    <w:rsid w:val="00566353"/>
    <w:rsid w:val="00566699"/>
    <w:rsid w:val="00566735"/>
    <w:rsid w:val="00566C89"/>
    <w:rsid w:val="00566D4D"/>
    <w:rsid w:val="005671AE"/>
    <w:rsid w:val="0056744D"/>
    <w:rsid w:val="00567AE6"/>
    <w:rsid w:val="00567B60"/>
    <w:rsid w:val="00570B8F"/>
    <w:rsid w:val="00570CF9"/>
    <w:rsid w:val="005712BD"/>
    <w:rsid w:val="0057163F"/>
    <w:rsid w:val="00571684"/>
    <w:rsid w:val="0057179F"/>
    <w:rsid w:val="00571A8A"/>
    <w:rsid w:val="00571B71"/>
    <w:rsid w:val="00571F1E"/>
    <w:rsid w:val="0057202F"/>
    <w:rsid w:val="0057275D"/>
    <w:rsid w:val="00572792"/>
    <w:rsid w:val="005729A3"/>
    <w:rsid w:val="00572FA0"/>
    <w:rsid w:val="005731AB"/>
    <w:rsid w:val="0057375A"/>
    <w:rsid w:val="005738CD"/>
    <w:rsid w:val="00573982"/>
    <w:rsid w:val="00573A4C"/>
    <w:rsid w:val="00573F1D"/>
    <w:rsid w:val="005745D9"/>
    <w:rsid w:val="0057497E"/>
    <w:rsid w:val="00574982"/>
    <w:rsid w:val="00574CC3"/>
    <w:rsid w:val="00574FFB"/>
    <w:rsid w:val="00575118"/>
    <w:rsid w:val="005752C5"/>
    <w:rsid w:val="00575404"/>
    <w:rsid w:val="00575616"/>
    <w:rsid w:val="00575639"/>
    <w:rsid w:val="0057587B"/>
    <w:rsid w:val="005758A9"/>
    <w:rsid w:val="005759C8"/>
    <w:rsid w:val="00575E79"/>
    <w:rsid w:val="005767BB"/>
    <w:rsid w:val="0057682B"/>
    <w:rsid w:val="00576861"/>
    <w:rsid w:val="00576C8E"/>
    <w:rsid w:val="00576FCD"/>
    <w:rsid w:val="005777FF"/>
    <w:rsid w:val="00577BCB"/>
    <w:rsid w:val="00577EA2"/>
    <w:rsid w:val="00577F59"/>
    <w:rsid w:val="0058007F"/>
    <w:rsid w:val="00580E88"/>
    <w:rsid w:val="00581192"/>
    <w:rsid w:val="0058132D"/>
    <w:rsid w:val="00581977"/>
    <w:rsid w:val="00581BB2"/>
    <w:rsid w:val="00581FE3"/>
    <w:rsid w:val="0058215F"/>
    <w:rsid w:val="005822CB"/>
    <w:rsid w:val="00582B82"/>
    <w:rsid w:val="00582E6D"/>
    <w:rsid w:val="005830A1"/>
    <w:rsid w:val="005837BC"/>
    <w:rsid w:val="005838CF"/>
    <w:rsid w:val="00583B18"/>
    <w:rsid w:val="00583B5B"/>
    <w:rsid w:val="0058434B"/>
    <w:rsid w:val="00584988"/>
    <w:rsid w:val="00584F41"/>
    <w:rsid w:val="0058505F"/>
    <w:rsid w:val="0058507F"/>
    <w:rsid w:val="00585394"/>
    <w:rsid w:val="00585732"/>
    <w:rsid w:val="00585856"/>
    <w:rsid w:val="00585E38"/>
    <w:rsid w:val="0058608D"/>
    <w:rsid w:val="0058625C"/>
    <w:rsid w:val="005868CF"/>
    <w:rsid w:val="00586B1A"/>
    <w:rsid w:val="00586CF5"/>
    <w:rsid w:val="005871EC"/>
    <w:rsid w:val="005873E1"/>
    <w:rsid w:val="00587672"/>
    <w:rsid w:val="00587754"/>
    <w:rsid w:val="005878F6"/>
    <w:rsid w:val="00587A2B"/>
    <w:rsid w:val="00587EF3"/>
    <w:rsid w:val="005900BE"/>
    <w:rsid w:val="00590203"/>
    <w:rsid w:val="0059031B"/>
    <w:rsid w:val="0059033A"/>
    <w:rsid w:val="0059036D"/>
    <w:rsid w:val="00590491"/>
    <w:rsid w:val="00590706"/>
    <w:rsid w:val="005907C3"/>
    <w:rsid w:val="00590A8F"/>
    <w:rsid w:val="00590ED0"/>
    <w:rsid w:val="00591101"/>
    <w:rsid w:val="00591158"/>
    <w:rsid w:val="00591842"/>
    <w:rsid w:val="0059188B"/>
    <w:rsid w:val="00591DC4"/>
    <w:rsid w:val="00592039"/>
    <w:rsid w:val="005920A6"/>
    <w:rsid w:val="005920EE"/>
    <w:rsid w:val="00592431"/>
    <w:rsid w:val="00592519"/>
    <w:rsid w:val="00592631"/>
    <w:rsid w:val="005927DB"/>
    <w:rsid w:val="00592ADD"/>
    <w:rsid w:val="00592BCE"/>
    <w:rsid w:val="00592C34"/>
    <w:rsid w:val="00592EA0"/>
    <w:rsid w:val="005930E0"/>
    <w:rsid w:val="005933AB"/>
    <w:rsid w:val="00593B78"/>
    <w:rsid w:val="00593DB2"/>
    <w:rsid w:val="00593E30"/>
    <w:rsid w:val="00593EDE"/>
    <w:rsid w:val="0059406A"/>
    <w:rsid w:val="00594080"/>
    <w:rsid w:val="00594245"/>
    <w:rsid w:val="005945E0"/>
    <w:rsid w:val="00594D59"/>
    <w:rsid w:val="00595012"/>
    <w:rsid w:val="005951CD"/>
    <w:rsid w:val="005954A2"/>
    <w:rsid w:val="005957D0"/>
    <w:rsid w:val="00596C27"/>
    <w:rsid w:val="00596FF0"/>
    <w:rsid w:val="005970DC"/>
    <w:rsid w:val="00597125"/>
    <w:rsid w:val="00597355"/>
    <w:rsid w:val="005973EE"/>
    <w:rsid w:val="00597462"/>
    <w:rsid w:val="005974BC"/>
    <w:rsid w:val="0059787E"/>
    <w:rsid w:val="0059798A"/>
    <w:rsid w:val="005979D7"/>
    <w:rsid w:val="00597FD4"/>
    <w:rsid w:val="005A02AD"/>
    <w:rsid w:val="005A06C4"/>
    <w:rsid w:val="005A07E7"/>
    <w:rsid w:val="005A0BA2"/>
    <w:rsid w:val="005A0DED"/>
    <w:rsid w:val="005A1A40"/>
    <w:rsid w:val="005A1A6A"/>
    <w:rsid w:val="005A1D71"/>
    <w:rsid w:val="005A21DC"/>
    <w:rsid w:val="005A2400"/>
    <w:rsid w:val="005A287D"/>
    <w:rsid w:val="005A2B46"/>
    <w:rsid w:val="005A3BC5"/>
    <w:rsid w:val="005A3E0C"/>
    <w:rsid w:val="005A3E8C"/>
    <w:rsid w:val="005A3ED2"/>
    <w:rsid w:val="005A4014"/>
    <w:rsid w:val="005A550F"/>
    <w:rsid w:val="005A5596"/>
    <w:rsid w:val="005A5678"/>
    <w:rsid w:val="005A56E5"/>
    <w:rsid w:val="005A5B31"/>
    <w:rsid w:val="005A5C74"/>
    <w:rsid w:val="005A6097"/>
    <w:rsid w:val="005A6606"/>
    <w:rsid w:val="005A6C41"/>
    <w:rsid w:val="005A6E92"/>
    <w:rsid w:val="005A7AFA"/>
    <w:rsid w:val="005A7AFC"/>
    <w:rsid w:val="005A7B07"/>
    <w:rsid w:val="005A7CAA"/>
    <w:rsid w:val="005A7CEB"/>
    <w:rsid w:val="005A7DD1"/>
    <w:rsid w:val="005A7DFC"/>
    <w:rsid w:val="005A7E50"/>
    <w:rsid w:val="005B03D9"/>
    <w:rsid w:val="005B051B"/>
    <w:rsid w:val="005B054B"/>
    <w:rsid w:val="005B0757"/>
    <w:rsid w:val="005B0AA3"/>
    <w:rsid w:val="005B0AFA"/>
    <w:rsid w:val="005B0E47"/>
    <w:rsid w:val="005B110B"/>
    <w:rsid w:val="005B12EB"/>
    <w:rsid w:val="005B1396"/>
    <w:rsid w:val="005B147A"/>
    <w:rsid w:val="005B1759"/>
    <w:rsid w:val="005B1A41"/>
    <w:rsid w:val="005B1B48"/>
    <w:rsid w:val="005B1CE0"/>
    <w:rsid w:val="005B1D67"/>
    <w:rsid w:val="005B202B"/>
    <w:rsid w:val="005B24A9"/>
    <w:rsid w:val="005B2505"/>
    <w:rsid w:val="005B2914"/>
    <w:rsid w:val="005B2D3F"/>
    <w:rsid w:val="005B2E9F"/>
    <w:rsid w:val="005B35E0"/>
    <w:rsid w:val="005B368B"/>
    <w:rsid w:val="005B36F0"/>
    <w:rsid w:val="005B3A69"/>
    <w:rsid w:val="005B3CD8"/>
    <w:rsid w:val="005B3D3B"/>
    <w:rsid w:val="005B4957"/>
    <w:rsid w:val="005B4F87"/>
    <w:rsid w:val="005B514E"/>
    <w:rsid w:val="005B5283"/>
    <w:rsid w:val="005B5576"/>
    <w:rsid w:val="005B560A"/>
    <w:rsid w:val="005B579C"/>
    <w:rsid w:val="005B5A25"/>
    <w:rsid w:val="005B65CA"/>
    <w:rsid w:val="005B65E5"/>
    <w:rsid w:val="005B67E1"/>
    <w:rsid w:val="005B6A5F"/>
    <w:rsid w:val="005B6B40"/>
    <w:rsid w:val="005B6D7B"/>
    <w:rsid w:val="005B7330"/>
    <w:rsid w:val="005B7395"/>
    <w:rsid w:val="005B73FA"/>
    <w:rsid w:val="005B7A33"/>
    <w:rsid w:val="005B7F0D"/>
    <w:rsid w:val="005C02F9"/>
    <w:rsid w:val="005C05ED"/>
    <w:rsid w:val="005C084A"/>
    <w:rsid w:val="005C093E"/>
    <w:rsid w:val="005C0AF5"/>
    <w:rsid w:val="005C0C9B"/>
    <w:rsid w:val="005C143D"/>
    <w:rsid w:val="005C1568"/>
    <w:rsid w:val="005C1613"/>
    <w:rsid w:val="005C19BE"/>
    <w:rsid w:val="005C1A5F"/>
    <w:rsid w:val="005C1BAD"/>
    <w:rsid w:val="005C1FB7"/>
    <w:rsid w:val="005C1FBB"/>
    <w:rsid w:val="005C2134"/>
    <w:rsid w:val="005C2596"/>
    <w:rsid w:val="005C2868"/>
    <w:rsid w:val="005C28ED"/>
    <w:rsid w:val="005C28F1"/>
    <w:rsid w:val="005C2AAF"/>
    <w:rsid w:val="005C2AB0"/>
    <w:rsid w:val="005C2E26"/>
    <w:rsid w:val="005C3028"/>
    <w:rsid w:val="005C32F9"/>
    <w:rsid w:val="005C3644"/>
    <w:rsid w:val="005C3AAC"/>
    <w:rsid w:val="005C4442"/>
    <w:rsid w:val="005C4931"/>
    <w:rsid w:val="005C49A5"/>
    <w:rsid w:val="005C50C6"/>
    <w:rsid w:val="005C57FA"/>
    <w:rsid w:val="005C5B33"/>
    <w:rsid w:val="005C5D0F"/>
    <w:rsid w:val="005C5D93"/>
    <w:rsid w:val="005C5DBB"/>
    <w:rsid w:val="005C5E21"/>
    <w:rsid w:val="005C6411"/>
    <w:rsid w:val="005C6B39"/>
    <w:rsid w:val="005C6CC4"/>
    <w:rsid w:val="005C6DFD"/>
    <w:rsid w:val="005C73DE"/>
    <w:rsid w:val="005C7684"/>
    <w:rsid w:val="005C769A"/>
    <w:rsid w:val="005C7705"/>
    <w:rsid w:val="005C775B"/>
    <w:rsid w:val="005C7BDE"/>
    <w:rsid w:val="005C7CD5"/>
    <w:rsid w:val="005C7D4B"/>
    <w:rsid w:val="005C7FD5"/>
    <w:rsid w:val="005C7FEB"/>
    <w:rsid w:val="005C7FEF"/>
    <w:rsid w:val="005D015F"/>
    <w:rsid w:val="005D046E"/>
    <w:rsid w:val="005D0721"/>
    <w:rsid w:val="005D083E"/>
    <w:rsid w:val="005D0CE2"/>
    <w:rsid w:val="005D0FFF"/>
    <w:rsid w:val="005D10ED"/>
    <w:rsid w:val="005D1B1E"/>
    <w:rsid w:val="005D1CB7"/>
    <w:rsid w:val="005D1E09"/>
    <w:rsid w:val="005D22DB"/>
    <w:rsid w:val="005D2391"/>
    <w:rsid w:val="005D26B6"/>
    <w:rsid w:val="005D2AB8"/>
    <w:rsid w:val="005D2D7E"/>
    <w:rsid w:val="005D2DB2"/>
    <w:rsid w:val="005D2DDE"/>
    <w:rsid w:val="005D2F02"/>
    <w:rsid w:val="005D3238"/>
    <w:rsid w:val="005D3366"/>
    <w:rsid w:val="005D3461"/>
    <w:rsid w:val="005D3800"/>
    <w:rsid w:val="005D4077"/>
    <w:rsid w:val="005D4635"/>
    <w:rsid w:val="005D49E1"/>
    <w:rsid w:val="005D4C70"/>
    <w:rsid w:val="005D54D6"/>
    <w:rsid w:val="005D5631"/>
    <w:rsid w:val="005D5938"/>
    <w:rsid w:val="005D5B9D"/>
    <w:rsid w:val="005D5DB5"/>
    <w:rsid w:val="005D5EF5"/>
    <w:rsid w:val="005D5F2B"/>
    <w:rsid w:val="005D5FF3"/>
    <w:rsid w:val="005D6030"/>
    <w:rsid w:val="005D6352"/>
    <w:rsid w:val="005D63D9"/>
    <w:rsid w:val="005D63F6"/>
    <w:rsid w:val="005D659B"/>
    <w:rsid w:val="005D65E5"/>
    <w:rsid w:val="005D6651"/>
    <w:rsid w:val="005D66AE"/>
    <w:rsid w:val="005D6AC2"/>
    <w:rsid w:val="005D6B4D"/>
    <w:rsid w:val="005D6CC8"/>
    <w:rsid w:val="005D7137"/>
    <w:rsid w:val="005D72D0"/>
    <w:rsid w:val="005D730E"/>
    <w:rsid w:val="005D7423"/>
    <w:rsid w:val="005D74AA"/>
    <w:rsid w:val="005D7CE1"/>
    <w:rsid w:val="005D7FB1"/>
    <w:rsid w:val="005E005C"/>
    <w:rsid w:val="005E02EE"/>
    <w:rsid w:val="005E0632"/>
    <w:rsid w:val="005E0696"/>
    <w:rsid w:val="005E110A"/>
    <w:rsid w:val="005E17D6"/>
    <w:rsid w:val="005E18A9"/>
    <w:rsid w:val="005E1B28"/>
    <w:rsid w:val="005E2110"/>
    <w:rsid w:val="005E21ED"/>
    <w:rsid w:val="005E28CB"/>
    <w:rsid w:val="005E2F05"/>
    <w:rsid w:val="005E2F38"/>
    <w:rsid w:val="005E3027"/>
    <w:rsid w:val="005E3054"/>
    <w:rsid w:val="005E311D"/>
    <w:rsid w:val="005E3121"/>
    <w:rsid w:val="005E3481"/>
    <w:rsid w:val="005E372F"/>
    <w:rsid w:val="005E3BAC"/>
    <w:rsid w:val="005E3F2F"/>
    <w:rsid w:val="005E40B3"/>
    <w:rsid w:val="005E4A79"/>
    <w:rsid w:val="005E4C70"/>
    <w:rsid w:val="005E50CF"/>
    <w:rsid w:val="005E52C7"/>
    <w:rsid w:val="005E593D"/>
    <w:rsid w:val="005E5B02"/>
    <w:rsid w:val="005E5CCD"/>
    <w:rsid w:val="005E5F0A"/>
    <w:rsid w:val="005E6001"/>
    <w:rsid w:val="005E639A"/>
    <w:rsid w:val="005E648B"/>
    <w:rsid w:val="005E669E"/>
    <w:rsid w:val="005E67DA"/>
    <w:rsid w:val="005E689F"/>
    <w:rsid w:val="005E6904"/>
    <w:rsid w:val="005E6A4B"/>
    <w:rsid w:val="005E6B4E"/>
    <w:rsid w:val="005E70C0"/>
    <w:rsid w:val="005E750B"/>
    <w:rsid w:val="005E76B7"/>
    <w:rsid w:val="005E7C73"/>
    <w:rsid w:val="005F00A0"/>
    <w:rsid w:val="005F01CB"/>
    <w:rsid w:val="005F053D"/>
    <w:rsid w:val="005F05A1"/>
    <w:rsid w:val="005F05CC"/>
    <w:rsid w:val="005F0A4D"/>
    <w:rsid w:val="005F152C"/>
    <w:rsid w:val="005F16CB"/>
    <w:rsid w:val="005F1CBE"/>
    <w:rsid w:val="005F21AE"/>
    <w:rsid w:val="005F22D3"/>
    <w:rsid w:val="005F240A"/>
    <w:rsid w:val="005F2421"/>
    <w:rsid w:val="005F27F5"/>
    <w:rsid w:val="005F2C1A"/>
    <w:rsid w:val="005F3263"/>
    <w:rsid w:val="005F34A8"/>
    <w:rsid w:val="005F364A"/>
    <w:rsid w:val="005F36C6"/>
    <w:rsid w:val="005F39D3"/>
    <w:rsid w:val="005F3EB9"/>
    <w:rsid w:val="005F3F20"/>
    <w:rsid w:val="005F4543"/>
    <w:rsid w:val="005F47A6"/>
    <w:rsid w:val="005F497B"/>
    <w:rsid w:val="005F4B02"/>
    <w:rsid w:val="005F4B4F"/>
    <w:rsid w:val="005F4DBB"/>
    <w:rsid w:val="005F4E9E"/>
    <w:rsid w:val="005F4ECB"/>
    <w:rsid w:val="005F4F1B"/>
    <w:rsid w:val="005F51E5"/>
    <w:rsid w:val="005F54D9"/>
    <w:rsid w:val="005F5E9B"/>
    <w:rsid w:val="005F6474"/>
    <w:rsid w:val="005F670C"/>
    <w:rsid w:val="005F6C05"/>
    <w:rsid w:val="005F6C3E"/>
    <w:rsid w:val="005F6D50"/>
    <w:rsid w:val="005F6D7D"/>
    <w:rsid w:val="005F6DF2"/>
    <w:rsid w:val="005F6E43"/>
    <w:rsid w:val="005F75D7"/>
    <w:rsid w:val="005F75ED"/>
    <w:rsid w:val="005F76EB"/>
    <w:rsid w:val="005F7FFB"/>
    <w:rsid w:val="00600084"/>
    <w:rsid w:val="0060009A"/>
    <w:rsid w:val="006003CA"/>
    <w:rsid w:val="006004AD"/>
    <w:rsid w:val="0060083C"/>
    <w:rsid w:val="00600C12"/>
    <w:rsid w:val="006011EE"/>
    <w:rsid w:val="006014CB"/>
    <w:rsid w:val="006016EC"/>
    <w:rsid w:val="00601C0A"/>
    <w:rsid w:val="00601DAF"/>
    <w:rsid w:val="00601E4B"/>
    <w:rsid w:val="00601FC5"/>
    <w:rsid w:val="0060244D"/>
    <w:rsid w:val="006025B9"/>
    <w:rsid w:val="006026A2"/>
    <w:rsid w:val="00602811"/>
    <w:rsid w:val="00602D12"/>
    <w:rsid w:val="0060317D"/>
    <w:rsid w:val="00603360"/>
    <w:rsid w:val="006033D7"/>
    <w:rsid w:val="006034CA"/>
    <w:rsid w:val="006036ED"/>
    <w:rsid w:val="00603CFD"/>
    <w:rsid w:val="006043B1"/>
    <w:rsid w:val="00604BA8"/>
    <w:rsid w:val="00604C02"/>
    <w:rsid w:val="00604E2F"/>
    <w:rsid w:val="00605148"/>
    <w:rsid w:val="0060540B"/>
    <w:rsid w:val="00605596"/>
    <w:rsid w:val="00605969"/>
    <w:rsid w:val="00605C9D"/>
    <w:rsid w:val="00605E8E"/>
    <w:rsid w:val="00605FFD"/>
    <w:rsid w:val="006066DB"/>
    <w:rsid w:val="00606724"/>
    <w:rsid w:val="006067B9"/>
    <w:rsid w:val="006068CD"/>
    <w:rsid w:val="00606948"/>
    <w:rsid w:val="0060699C"/>
    <w:rsid w:val="00606BD4"/>
    <w:rsid w:val="00606C0A"/>
    <w:rsid w:val="00606F9A"/>
    <w:rsid w:val="0060703B"/>
    <w:rsid w:val="00607ABF"/>
    <w:rsid w:val="00607B38"/>
    <w:rsid w:val="00607C10"/>
    <w:rsid w:val="00607E1B"/>
    <w:rsid w:val="00607E91"/>
    <w:rsid w:val="00607EDE"/>
    <w:rsid w:val="0061008A"/>
    <w:rsid w:val="006101F4"/>
    <w:rsid w:val="006106CF"/>
    <w:rsid w:val="006108B8"/>
    <w:rsid w:val="006108C8"/>
    <w:rsid w:val="0061095B"/>
    <w:rsid w:val="00610D8D"/>
    <w:rsid w:val="00610DC0"/>
    <w:rsid w:val="006113AC"/>
    <w:rsid w:val="006115D3"/>
    <w:rsid w:val="00611CBA"/>
    <w:rsid w:val="00611D6A"/>
    <w:rsid w:val="00611DEB"/>
    <w:rsid w:val="00611E5B"/>
    <w:rsid w:val="0061200D"/>
    <w:rsid w:val="0061240A"/>
    <w:rsid w:val="0061265E"/>
    <w:rsid w:val="0061289D"/>
    <w:rsid w:val="006128EB"/>
    <w:rsid w:val="00613057"/>
    <w:rsid w:val="0061306F"/>
    <w:rsid w:val="006130F9"/>
    <w:rsid w:val="0061315F"/>
    <w:rsid w:val="0061326A"/>
    <w:rsid w:val="00613C26"/>
    <w:rsid w:val="00613F72"/>
    <w:rsid w:val="00614184"/>
    <w:rsid w:val="006141D0"/>
    <w:rsid w:val="00614514"/>
    <w:rsid w:val="00614716"/>
    <w:rsid w:val="00614CA5"/>
    <w:rsid w:val="00614EAC"/>
    <w:rsid w:val="0061504B"/>
    <w:rsid w:val="006153A2"/>
    <w:rsid w:val="006154B8"/>
    <w:rsid w:val="00615625"/>
    <w:rsid w:val="00615642"/>
    <w:rsid w:val="006157AA"/>
    <w:rsid w:val="00615848"/>
    <w:rsid w:val="00615984"/>
    <w:rsid w:val="00615C76"/>
    <w:rsid w:val="00615F55"/>
    <w:rsid w:val="00616118"/>
    <w:rsid w:val="00616ACB"/>
    <w:rsid w:val="00616BD8"/>
    <w:rsid w:val="00616CE8"/>
    <w:rsid w:val="00617138"/>
    <w:rsid w:val="006177A6"/>
    <w:rsid w:val="00617B7A"/>
    <w:rsid w:val="00617BF3"/>
    <w:rsid w:val="00617C6A"/>
    <w:rsid w:val="00617C79"/>
    <w:rsid w:val="00617F30"/>
    <w:rsid w:val="00620033"/>
    <w:rsid w:val="00620357"/>
    <w:rsid w:val="0062053B"/>
    <w:rsid w:val="00621144"/>
    <w:rsid w:val="00621E05"/>
    <w:rsid w:val="006221A3"/>
    <w:rsid w:val="00622371"/>
    <w:rsid w:val="0062258B"/>
    <w:rsid w:val="0062280D"/>
    <w:rsid w:val="00622A40"/>
    <w:rsid w:val="00622A76"/>
    <w:rsid w:val="00622A9E"/>
    <w:rsid w:val="00622F0E"/>
    <w:rsid w:val="00622F81"/>
    <w:rsid w:val="00623204"/>
    <w:rsid w:val="0062329F"/>
    <w:rsid w:val="0062334F"/>
    <w:rsid w:val="006237BE"/>
    <w:rsid w:val="006237EE"/>
    <w:rsid w:val="006239CD"/>
    <w:rsid w:val="00623B64"/>
    <w:rsid w:val="00623CCB"/>
    <w:rsid w:val="00623D7F"/>
    <w:rsid w:val="00623F4D"/>
    <w:rsid w:val="006240C6"/>
    <w:rsid w:val="00624297"/>
    <w:rsid w:val="00624620"/>
    <w:rsid w:val="006246C1"/>
    <w:rsid w:val="00624D67"/>
    <w:rsid w:val="00624E0D"/>
    <w:rsid w:val="006252AA"/>
    <w:rsid w:val="00625729"/>
    <w:rsid w:val="00625929"/>
    <w:rsid w:val="0062596F"/>
    <w:rsid w:val="00625A6C"/>
    <w:rsid w:val="00625C80"/>
    <w:rsid w:val="0062683B"/>
    <w:rsid w:val="0062688C"/>
    <w:rsid w:val="00626A33"/>
    <w:rsid w:val="00626BA9"/>
    <w:rsid w:val="00626C54"/>
    <w:rsid w:val="006271E6"/>
    <w:rsid w:val="006278D9"/>
    <w:rsid w:val="00627CAC"/>
    <w:rsid w:val="00627CE7"/>
    <w:rsid w:val="00627E7B"/>
    <w:rsid w:val="00627F08"/>
    <w:rsid w:val="00630202"/>
    <w:rsid w:val="00630237"/>
    <w:rsid w:val="006303F0"/>
    <w:rsid w:val="00630B66"/>
    <w:rsid w:val="00630BB8"/>
    <w:rsid w:val="00630F09"/>
    <w:rsid w:val="0063146C"/>
    <w:rsid w:val="00631554"/>
    <w:rsid w:val="00631600"/>
    <w:rsid w:val="00631824"/>
    <w:rsid w:val="0063192F"/>
    <w:rsid w:val="00631BF2"/>
    <w:rsid w:val="00631D60"/>
    <w:rsid w:val="00631E40"/>
    <w:rsid w:val="0063202B"/>
    <w:rsid w:val="0063208F"/>
    <w:rsid w:val="00632398"/>
    <w:rsid w:val="00632473"/>
    <w:rsid w:val="00632504"/>
    <w:rsid w:val="006326EE"/>
    <w:rsid w:val="00632724"/>
    <w:rsid w:val="00632CA3"/>
    <w:rsid w:val="00633291"/>
    <w:rsid w:val="00633392"/>
    <w:rsid w:val="006333E0"/>
    <w:rsid w:val="00633A89"/>
    <w:rsid w:val="00633AE4"/>
    <w:rsid w:val="00633E63"/>
    <w:rsid w:val="00634096"/>
    <w:rsid w:val="006345AC"/>
    <w:rsid w:val="0063464A"/>
    <w:rsid w:val="006349B0"/>
    <w:rsid w:val="00634A78"/>
    <w:rsid w:val="00634B93"/>
    <w:rsid w:val="00635208"/>
    <w:rsid w:val="006358E9"/>
    <w:rsid w:val="0063602A"/>
    <w:rsid w:val="0063635F"/>
    <w:rsid w:val="006364CE"/>
    <w:rsid w:val="006368ED"/>
    <w:rsid w:val="006369E4"/>
    <w:rsid w:val="00636C88"/>
    <w:rsid w:val="00636F44"/>
    <w:rsid w:val="006374E7"/>
    <w:rsid w:val="0063777C"/>
    <w:rsid w:val="006378AF"/>
    <w:rsid w:val="00637BF6"/>
    <w:rsid w:val="00637D09"/>
    <w:rsid w:val="0064032B"/>
    <w:rsid w:val="00640634"/>
    <w:rsid w:val="00640713"/>
    <w:rsid w:val="0064072B"/>
    <w:rsid w:val="00640E36"/>
    <w:rsid w:val="00640EA6"/>
    <w:rsid w:val="006416E3"/>
    <w:rsid w:val="00641950"/>
    <w:rsid w:val="00641C9B"/>
    <w:rsid w:val="0064200E"/>
    <w:rsid w:val="0064210C"/>
    <w:rsid w:val="00642327"/>
    <w:rsid w:val="0064242B"/>
    <w:rsid w:val="00642661"/>
    <w:rsid w:val="006429AD"/>
    <w:rsid w:val="00642CCE"/>
    <w:rsid w:val="00642EF3"/>
    <w:rsid w:val="006431AB"/>
    <w:rsid w:val="0064365E"/>
    <w:rsid w:val="00643670"/>
    <w:rsid w:val="00644295"/>
    <w:rsid w:val="0064430D"/>
    <w:rsid w:val="006444D3"/>
    <w:rsid w:val="006453CC"/>
    <w:rsid w:val="00646080"/>
    <w:rsid w:val="0064643E"/>
    <w:rsid w:val="006466B5"/>
    <w:rsid w:val="00646A70"/>
    <w:rsid w:val="00646D57"/>
    <w:rsid w:val="00647174"/>
    <w:rsid w:val="006474ED"/>
    <w:rsid w:val="0064760F"/>
    <w:rsid w:val="00647948"/>
    <w:rsid w:val="00647ACF"/>
    <w:rsid w:val="00647BE2"/>
    <w:rsid w:val="00647C1C"/>
    <w:rsid w:val="0065035E"/>
    <w:rsid w:val="0065053E"/>
    <w:rsid w:val="0065057D"/>
    <w:rsid w:val="0065062F"/>
    <w:rsid w:val="006509EE"/>
    <w:rsid w:val="006511FE"/>
    <w:rsid w:val="006512D0"/>
    <w:rsid w:val="00651385"/>
    <w:rsid w:val="00651542"/>
    <w:rsid w:val="00651855"/>
    <w:rsid w:val="00651BA2"/>
    <w:rsid w:val="00651BD1"/>
    <w:rsid w:val="00651F86"/>
    <w:rsid w:val="006524D8"/>
    <w:rsid w:val="006525C8"/>
    <w:rsid w:val="00652664"/>
    <w:rsid w:val="00652675"/>
    <w:rsid w:val="00652806"/>
    <w:rsid w:val="00652A20"/>
    <w:rsid w:val="00652A48"/>
    <w:rsid w:val="00652C38"/>
    <w:rsid w:val="00652F25"/>
    <w:rsid w:val="006535FD"/>
    <w:rsid w:val="0065385F"/>
    <w:rsid w:val="0065393E"/>
    <w:rsid w:val="006539DB"/>
    <w:rsid w:val="006549B7"/>
    <w:rsid w:val="006549B8"/>
    <w:rsid w:val="00655008"/>
    <w:rsid w:val="0065514E"/>
    <w:rsid w:val="006552A1"/>
    <w:rsid w:val="0065547B"/>
    <w:rsid w:val="00655825"/>
    <w:rsid w:val="00655B30"/>
    <w:rsid w:val="00655E83"/>
    <w:rsid w:val="00655FA4"/>
    <w:rsid w:val="006568BE"/>
    <w:rsid w:val="00656C02"/>
    <w:rsid w:val="00657059"/>
    <w:rsid w:val="0065708F"/>
    <w:rsid w:val="0065744C"/>
    <w:rsid w:val="00657977"/>
    <w:rsid w:val="00657DF1"/>
    <w:rsid w:val="0066039D"/>
    <w:rsid w:val="006604F6"/>
    <w:rsid w:val="0066061E"/>
    <w:rsid w:val="00660704"/>
    <w:rsid w:val="00660C23"/>
    <w:rsid w:val="00660CA4"/>
    <w:rsid w:val="00661265"/>
    <w:rsid w:val="0066173E"/>
    <w:rsid w:val="00661D78"/>
    <w:rsid w:val="00661FDF"/>
    <w:rsid w:val="00662098"/>
    <w:rsid w:val="00662738"/>
    <w:rsid w:val="0066293D"/>
    <w:rsid w:val="00662A07"/>
    <w:rsid w:val="00662C5F"/>
    <w:rsid w:val="0066309D"/>
    <w:rsid w:val="006633F1"/>
    <w:rsid w:val="0066341D"/>
    <w:rsid w:val="0066348B"/>
    <w:rsid w:val="00663832"/>
    <w:rsid w:val="006648C3"/>
    <w:rsid w:val="006649C4"/>
    <w:rsid w:val="00664D31"/>
    <w:rsid w:val="00664F6F"/>
    <w:rsid w:val="006651C0"/>
    <w:rsid w:val="006659C7"/>
    <w:rsid w:val="00665CC9"/>
    <w:rsid w:val="00665DDF"/>
    <w:rsid w:val="00665DE7"/>
    <w:rsid w:val="00666565"/>
    <w:rsid w:val="00667144"/>
    <w:rsid w:val="0066718F"/>
    <w:rsid w:val="00667555"/>
    <w:rsid w:val="0066761C"/>
    <w:rsid w:val="0066777D"/>
    <w:rsid w:val="00670405"/>
    <w:rsid w:val="006704F7"/>
    <w:rsid w:val="00670DC1"/>
    <w:rsid w:val="00671093"/>
    <w:rsid w:val="00671323"/>
    <w:rsid w:val="006716F6"/>
    <w:rsid w:val="00671A8E"/>
    <w:rsid w:val="00671B51"/>
    <w:rsid w:val="00671BD3"/>
    <w:rsid w:val="00672626"/>
    <w:rsid w:val="00672746"/>
    <w:rsid w:val="006727E5"/>
    <w:rsid w:val="00672862"/>
    <w:rsid w:val="006728C1"/>
    <w:rsid w:val="00672C74"/>
    <w:rsid w:val="00672DFA"/>
    <w:rsid w:val="00672E31"/>
    <w:rsid w:val="00673C48"/>
    <w:rsid w:val="006740E9"/>
    <w:rsid w:val="0067444C"/>
    <w:rsid w:val="00674579"/>
    <w:rsid w:val="00674903"/>
    <w:rsid w:val="0067491B"/>
    <w:rsid w:val="0067496A"/>
    <w:rsid w:val="00674D31"/>
    <w:rsid w:val="00674ED2"/>
    <w:rsid w:val="00674FD5"/>
    <w:rsid w:val="0067501C"/>
    <w:rsid w:val="006751CF"/>
    <w:rsid w:val="00675664"/>
    <w:rsid w:val="006767CC"/>
    <w:rsid w:val="00676973"/>
    <w:rsid w:val="006769C3"/>
    <w:rsid w:val="00677193"/>
    <w:rsid w:val="00677864"/>
    <w:rsid w:val="00677AE9"/>
    <w:rsid w:val="006811C6"/>
    <w:rsid w:val="0068122B"/>
    <w:rsid w:val="0068144C"/>
    <w:rsid w:val="006819FF"/>
    <w:rsid w:val="00681A48"/>
    <w:rsid w:val="00682139"/>
    <w:rsid w:val="0068234A"/>
    <w:rsid w:val="0068286B"/>
    <w:rsid w:val="00682A90"/>
    <w:rsid w:val="00682C04"/>
    <w:rsid w:val="00682DBC"/>
    <w:rsid w:val="00683223"/>
    <w:rsid w:val="00683323"/>
    <w:rsid w:val="00683571"/>
    <w:rsid w:val="006836DA"/>
    <w:rsid w:val="00683D4A"/>
    <w:rsid w:val="00683D4B"/>
    <w:rsid w:val="00684A02"/>
    <w:rsid w:val="00684D9B"/>
    <w:rsid w:val="00684F5D"/>
    <w:rsid w:val="00684F6A"/>
    <w:rsid w:val="0068581D"/>
    <w:rsid w:val="006858EA"/>
    <w:rsid w:val="00685992"/>
    <w:rsid w:val="006859C7"/>
    <w:rsid w:val="00686343"/>
    <w:rsid w:val="0068638E"/>
    <w:rsid w:val="006864FD"/>
    <w:rsid w:val="006865D4"/>
    <w:rsid w:val="00686710"/>
    <w:rsid w:val="00686BA5"/>
    <w:rsid w:val="00686D82"/>
    <w:rsid w:val="00686DF8"/>
    <w:rsid w:val="00686E1E"/>
    <w:rsid w:val="0068772F"/>
    <w:rsid w:val="00687806"/>
    <w:rsid w:val="00687851"/>
    <w:rsid w:val="00690563"/>
    <w:rsid w:val="00690795"/>
    <w:rsid w:val="006907C3"/>
    <w:rsid w:val="006908C5"/>
    <w:rsid w:val="00690969"/>
    <w:rsid w:val="00690C12"/>
    <w:rsid w:val="00690F37"/>
    <w:rsid w:val="00691C83"/>
    <w:rsid w:val="006925EC"/>
    <w:rsid w:val="00692B3B"/>
    <w:rsid w:val="00692DF1"/>
    <w:rsid w:val="00692E26"/>
    <w:rsid w:val="00693067"/>
    <w:rsid w:val="0069325F"/>
    <w:rsid w:val="00693360"/>
    <w:rsid w:val="006933E4"/>
    <w:rsid w:val="00693A62"/>
    <w:rsid w:val="00693D70"/>
    <w:rsid w:val="00693F4C"/>
    <w:rsid w:val="00694156"/>
    <w:rsid w:val="006942AC"/>
    <w:rsid w:val="006948FE"/>
    <w:rsid w:val="00694B38"/>
    <w:rsid w:val="00694D98"/>
    <w:rsid w:val="00695127"/>
    <w:rsid w:val="0069520D"/>
    <w:rsid w:val="006954D2"/>
    <w:rsid w:val="00695911"/>
    <w:rsid w:val="00695B03"/>
    <w:rsid w:val="00695CF4"/>
    <w:rsid w:val="00695F58"/>
    <w:rsid w:val="006965CB"/>
    <w:rsid w:val="006966B2"/>
    <w:rsid w:val="00696902"/>
    <w:rsid w:val="00696B25"/>
    <w:rsid w:val="00696D25"/>
    <w:rsid w:val="0069715C"/>
    <w:rsid w:val="0069766D"/>
    <w:rsid w:val="006976A9"/>
    <w:rsid w:val="00697993"/>
    <w:rsid w:val="006979B0"/>
    <w:rsid w:val="00697D80"/>
    <w:rsid w:val="00697E09"/>
    <w:rsid w:val="006A02F1"/>
    <w:rsid w:val="006A0727"/>
    <w:rsid w:val="006A0ADC"/>
    <w:rsid w:val="006A0B06"/>
    <w:rsid w:val="006A0C81"/>
    <w:rsid w:val="006A0FE2"/>
    <w:rsid w:val="006A10B1"/>
    <w:rsid w:val="006A10E6"/>
    <w:rsid w:val="006A1212"/>
    <w:rsid w:val="006A1479"/>
    <w:rsid w:val="006A15E4"/>
    <w:rsid w:val="006A18B7"/>
    <w:rsid w:val="006A1AD3"/>
    <w:rsid w:val="006A1B7B"/>
    <w:rsid w:val="006A1DA7"/>
    <w:rsid w:val="006A2407"/>
    <w:rsid w:val="006A28E7"/>
    <w:rsid w:val="006A2ADC"/>
    <w:rsid w:val="006A35DD"/>
    <w:rsid w:val="006A3939"/>
    <w:rsid w:val="006A39E3"/>
    <w:rsid w:val="006A3BFC"/>
    <w:rsid w:val="006A3DD7"/>
    <w:rsid w:val="006A47B8"/>
    <w:rsid w:val="006A48C3"/>
    <w:rsid w:val="006A4D25"/>
    <w:rsid w:val="006A4F2D"/>
    <w:rsid w:val="006A51A3"/>
    <w:rsid w:val="006A5693"/>
    <w:rsid w:val="006A5756"/>
    <w:rsid w:val="006A5B37"/>
    <w:rsid w:val="006A5B68"/>
    <w:rsid w:val="006A6043"/>
    <w:rsid w:val="006A620F"/>
    <w:rsid w:val="006A6A55"/>
    <w:rsid w:val="006A6DBA"/>
    <w:rsid w:val="006A6ECF"/>
    <w:rsid w:val="006A7000"/>
    <w:rsid w:val="006A70A6"/>
    <w:rsid w:val="006A7624"/>
    <w:rsid w:val="006A76D4"/>
    <w:rsid w:val="006A778B"/>
    <w:rsid w:val="006A7C5E"/>
    <w:rsid w:val="006A7D0C"/>
    <w:rsid w:val="006B0337"/>
    <w:rsid w:val="006B043C"/>
    <w:rsid w:val="006B05B5"/>
    <w:rsid w:val="006B0691"/>
    <w:rsid w:val="006B084A"/>
    <w:rsid w:val="006B0DB3"/>
    <w:rsid w:val="006B15F7"/>
    <w:rsid w:val="006B19D4"/>
    <w:rsid w:val="006B1BF9"/>
    <w:rsid w:val="006B2269"/>
    <w:rsid w:val="006B25D4"/>
    <w:rsid w:val="006B26A5"/>
    <w:rsid w:val="006B2A27"/>
    <w:rsid w:val="006B2A97"/>
    <w:rsid w:val="006B2A9C"/>
    <w:rsid w:val="006B2AF1"/>
    <w:rsid w:val="006B2C15"/>
    <w:rsid w:val="006B2E3A"/>
    <w:rsid w:val="006B349A"/>
    <w:rsid w:val="006B3709"/>
    <w:rsid w:val="006B3D62"/>
    <w:rsid w:val="006B3E41"/>
    <w:rsid w:val="006B3EFA"/>
    <w:rsid w:val="006B3FB3"/>
    <w:rsid w:val="006B422E"/>
    <w:rsid w:val="006B4817"/>
    <w:rsid w:val="006B490E"/>
    <w:rsid w:val="006B497C"/>
    <w:rsid w:val="006B4B2F"/>
    <w:rsid w:val="006B4E27"/>
    <w:rsid w:val="006B4EF0"/>
    <w:rsid w:val="006B54A8"/>
    <w:rsid w:val="006B57D8"/>
    <w:rsid w:val="006B5E7C"/>
    <w:rsid w:val="006B6074"/>
    <w:rsid w:val="006B61D7"/>
    <w:rsid w:val="006B6862"/>
    <w:rsid w:val="006B6877"/>
    <w:rsid w:val="006B69A6"/>
    <w:rsid w:val="006B6D53"/>
    <w:rsid w:val="006B6DE3"/>
    <w:rsid w:val="006B705C"/>
    <w:rsid w:val="006B7349"/>
    <w:rsid w:val="006B7367"/>
    <w:rsid w:val="006B7B33"/>
    <w:rsid w:val="006B7E5D"/>
    <w:rsid w:val="006B7EF1"/>
    <w:rsid w:val="006C00BD"/>
    <w:rsid w:val="006C0A11"/>
    <w:rsid w:val="006C0A76"/>
    <w:rsid w:val="006C0C0B"/>
    <w:rsid w:val="006C0CCF"/>
    <w:rsid w:val="006C1160"/>
    <w:rsid w:val="006C1862"/>
    <w:rsid w:val="006C18A9"/>
    <w:rsid w:val="006C1DD0"/>
    <w:rsid w:val="006C22D5"/>
    <w:rsid w:val="006C25DE"/>
    <w:rsid w:val="006C2798"/>
    <w:rsid w:val="006C30CE"/>
    <w:rsid w:val="006C3208"/>
    <w:rsid w:val="006C327A"/>
    <w:rsid w:val="006C3504"/>
    <w:rsid w:val="006C37A5"/>
    <w:rsid w:val="006C37D0"/>
    <w:rsid w:val="006C3A96"/>
    <w:rsid w:val="006C3AFD"/>
    <w:rsid w:val="006C3BF7"/>
    <w:rsid w:val="006C3ED7"/>
    <w:rsid w:val="006C447B"/>
    <w:rsid w:val="006C4538"/>
    <w:rsid w:val="006C4B00"/>
    <w:rsid w:val="006C4BDA"/>
    <w:rsid w:val="006C4CF5"/>
    <w:rsid w:val="006C4F52"/>
    <w:rsid w:val="006C5351"/>
    <w:rsid w:val="006C544C"/>
    <w:rsid w:val="006C55C8"/>
    <w:rsid w:val="006C5767"/>
    <w:rsid w:val="006C5A35"/>
    <w:rsid w:val="006C5A39"/>
    <w:rsid w:val="006C5B97"/>
    <w:rsid w:val="006C5FBE"/>
    <w:rsid w:val="006C60D5"/>
    <w:rsid w:val="006C6706"/>
    <w:rsid w:val="006C6913"/>
    <w:rsid w:val="006C699E"/>
    <w:rsid w:val="006C6BFC"/>
    <w:rsid w:val="006C7686"/>
    <w:rsid w:val="006D02CB"/>
    <w:rsid w:val="006D0394"/>
    <w:rsid w:val="006D03CD"/>
    <w:rsid w:val="006D04B6"/>
    <w:rsid w:val="006D0639"/>
    <w:rsid w:val="006D075B"/>
    <w:rsid w:val="006D0797"/>
    <w:rsid w:val="006D0CDB"/>
    <w:rsid w:val="006D0D3A"/>
    <w:rsid w:val="006D10C6"/>
    <w:rsid w:val="006D125B"/>
    <w:rsid w:val="006D14BF"/>
    <w:rsid w:val="006D1731"/>
    <w:rsid w:val="006D175C"/>
    <w:rsid w:val="006D26AE"/>
    <w:rsid w:val="006D321A"/>
    <w:rsid w:val="006D322D"/>
    <w:rsid w:val="006D34C1"/>
    <w:rsid w:val="006D367B"/>
    <w:rsid w:val="006D3757"/>
    <w:rsid w:val="006D377D"/>
    <w:rsid w:val="006D3A52"/>
    <w:rsid w:val="006D3D71"/>
    <w:rsid w:val="006D3E20"/>
    <w:rsid w:val="006D416D"/>
    <w:rsid w:val="006D4189"/>
    <w:rsid w:val="006D41EF"/>
    <w:rsid w:val="006D4422"/>
    <w:rsid w:val="006D4433"/>
    <w:rsid w:val="006D4456"/>
    <w:rsid w:val="006D4587"/>
    <w:rsid w:val="006D4CAD"/>
    <w:rsid w:val="006D4DA0"/>
    <w:rsid w:val="006D4E51"/>
    <w:rsid w:val="006D4F64"/>
    <w:rsid w:val="006D5162"/>
    <w:rsid w:val="006D5664"/>
    <w:rsid w:val="006D56A8"/>
    <w:rsid w:val="006D5722"/>
    <w:rsid w:val="006D5950"/>
    <w:rsid w:val="006D6044"/>
    <w:rsid w:val="006D60C0"/>
    <w:rsid w:val="006D62A5"/>
    <w:rsid w:val="006D6516"/>
    <w:rsid w:val="006D6A3A"/>
    <w:rsid w:val="006D6DC3"/>
    <w:rsid w:val="006D6ED8"/>
    <w:rsid w:val="006D6F5C"/>
    <w:rsid w:val="006D6FFE"/>
    <w:rsid w:val="006D701E"/>
    <w:rsid w:val="006D73FD"/>
    <w:rsid w:val="006D7414"/>
    <w:rsid w:val="006D746C"/>
    <w:rsid w:val="006D7B8C"/>
    <w:rsid w:val="006E0010"/>
    <w:rsid w:val="006E01F7"/>
    <w:rsid w:val="006E020C"/>
    <w:rsid w:val="006E0AB1"/>
    <w:rsid w:val="006E0BA1"/>
    <w:rsid w:val="006E139C"/>
    <w:rsid w:val="006E1501"/>
    <w:rsid w:val="006E17AC"/>
    <w:rsid w:val="006E216F"/>
    <w:rsid w:val="006E2448"/>
    <w:rsid w:val="006E2899"/>
    <w:rsid w:val="006E28C9"/>
    <w:rsid w:val="006E2C68"/>
    <w:rsid w:val="006E2F3F"/>
    <w:rsid w:val="006E31BF"/>
    <w:rsid w:val="006E3427"/>
    <w:rsid w:val="006E3B2B"/>
    <w:rsid w:val="006E4368"/>
    <w:rsid w:val="006E4479"/>
    <w:rsid w:val="006E4AB2"/>
    <w:rsid w:val="006E4C24"/>
    <w:rsid w:val="006E4CE1"/>
    <w:rsid w:val="006E4F9F"/>
    <w:rsid w:val="006E5462"/>
    <w:rsid w:val="006E5825"/>
    <w:rsid w:val="006E5B56"/>
    <w:rsid w:val="006E5C06"/>
    <w:rsid w:val="006E5C2B"/>
    <w:rsid w:val="006E5C54"/>
    <w:rsid w:val="006E5E77"/>
    <w:rsid w:val="006E65E7"/>
    <w:rsid w:val="006E682C"/>
    <w:rsid w:val="006E684E"/>
    <w:rsid w:val="006E6B92"/>
    <w:rsid w:val="006E6BFF"/>
    <w:rsid w:val="006E6F65"/>
    <w:rsid w:val="006E70B9"/>
    <w:rsid w:val="006E72E4"/>
    <w:rsid w:val="006E7B10"/>
    <w:rsid w:val="006E7B78"/>
    <w:rsid w:val="006E7D16"/>
    <w:rsid w:val="006E7F67"/>
    <w:rsid w:val="006F016E"/>
    <w:rsid w:val="006F034B"/>
    <w:rsid w:val="006F0854"/>
    <w:rsid w:val="006F0D34"/>
    <w:rsid w:val="006F0D8C"/>
    <w:rsid w:val="006F0F99"/>
    <w:rsid w:val="006F1643"/>
    <w:rsid w:val="006F1B7D"/>
    <w:rsid w:val="006F1BDF"/>
    <w:rsid w:val="006F1E1D"/>
    <w:rsid w:val="006F25FD"/>
    <w:rsid w:val="006F2ED7"/>
    <w:rsid w:val="006F308D"/>
    <w:rsid w:val="006F3282"/>
    <w:rsid w:val="006F368A"/>
    <w:rsid w:val="006F3A06"/>
    <w:rsid w:val="006F3A57"/>
    <w:rsid w:val="006F3B5B"/>
    <w:rsid w:val="006F3C1A"/>
    <w:rsid w:val="006F3C38"/>
    <w:rsid w:val="006F3D34"/>
    <w:rsid w:val="006F3D3A"/>
    <w:rsid w:val="006F41AA"/>
    <w:rsid w:val="006F42FF"/>
    <w:rsid w:val="006F4412"/>
    <w:rsid w:val="006F4F45"/>
    <w:rsid w:val="006F4FCA"/>
    <w:rsid w:val="006F5904"/>
    <w:rsid w:val="006F59FC"/>
    <w:rsid w:val="006F5E14"/>
    <w:rsid w:val="006F5E82"/>
    <w:rsid w:val="006F65B1"/>
    <w:rsid w:val="006F6748"/>
    <w:rsid w:val="006F684B"/>
    <w:rsid w:val="006F6A12"/>
    <w:rsid w:val="006F6C3D"/>
    <w:rsid w:val="006F6F1B"/>
    <w:rsid w:val="006F7027"/>
    <w:rsid w:val="006F709C"/>
    <w:rsid w:val="006F72A9"/>
    <w:rsid w:val="006F7317"/>
    <w:rsid w:val="006F773C"/>
    <w:rsid w:val="006F7830"/>
    <w:rsid w:val="006F7A2F"/>
    <w:rsid w:val="0070001D"/>
    <w:rsid w:val="00700244"/>
    <w:rsid w:val="00700435"/>
    <w:rsid w:val="00701397"/>
    <w:rsid w:val="007013E5"/>
    <w:rsid w:val="00701D16"/>
    <w:rsid w:val="00702160"/>
    <w:rsid w:val="00702D20"/>
    <w:rsid w:val="00702ED9"/>
    <w:rsid w:val="0070316A"/>
    <w:rsid w:val="00703628"/>
    <w:rsid w:val="007037CD"/>
    <w:rsid w:val="0070389E"/>
    <w:rsid w:val="00703D11"/>
    <w:rsid w:val="007040D9"/>
    <w:rsid w:val="007040E2"/>
    <w:rsid w:val="007043F5"/>
    <w:rsid w:val="007048D7"/>
    <w:rsid w:val="00704BF7"/>
    <w:rsid w:val="00704F0C"/>
    <w:rsid w:val="00704F9B"/>
    <w:rsid w:val="00705143"/>
    <w:rsid w:val="007052C5"/>
    <w:rsid w:val="0070531A"/>
    <w:rsid w:val="00705767"/>
    <w:rsid w:val="007059B1"/>
    <w:rsid w:val="00705B67"/>
    <w:rsid w:val="00705FA9"/>
    <w:rsid w:val="0070615D"/>
    <w:rsid w:val="00706835"/>
    <w:rsid w:val="00706895"/>
    <w:rsid w:val="007069E7"/>
    <w:rsid w:val="00706C01"/>
    <w:rsid w:val="00706C64"/>
    <w:rsid w:val="00706DE4"/>
    <w:rsid w:val="007070C2"/>
    <w:rsid w:val="0070779E"/>
    <w:rsid w:val="00707CC8"/>
    <w:rsid w:val="00710014"/>
    <w:rsid w:val="00710230"/>
    <w:rsid w:val="00710B12"/>
    <w:rsid w:val="00710D21"/>
    <w:rsid w:val="00710DB8"/>
    <w:rsid w:val="00710F4A"/>
    <w:rsid w:val="0071113A"/>
    <w:rsid w:val="00711582"/>
    <w:rsid w:val="007115AE"/>
    <w:rsid w:val="00712179"/>
    <w:rsid w:val="0071219C"/>
    <w:rsid w:val="007125F5"/>
    <w:rsid w:val="00712F82"/>
    <w:rsid w:val="00713444"/>
    <w:rsid w:val="00713800"/>
    <w:rsid w:val="00714326"/>
    <w:rsid w:val="00714B90"/>
    <w:rsid w:val="00714C44"/>
    <w:rsid w:val="00714DF8"/>
    <w:rsid w:val="00715342"/>
    <w:rsid w:val="0071585C"/>
    <w:rsid w:val="00715E69"/>
    <w:rsid w:val="00716487"/>
    <w:rsid w:val="00716776"/>
    <w:rsid w:val="00716830"/>
    <w:rsid w:val="00716866"/>
    <w:rsid w:val="007168F6"/>
    <w:rsid w:val="00716A42"/>
    <w:rsid w:val="00716AC7"/>
    <w:rsid w:val="00716C62"/>
    <w:rsid w:val="00716DDA"/>
    <w:rsid w:val="007170A5"/>
    <w:rsid w:val="007171F1"/>
    <w:rsid w:val="00717206"/>
    <w:rsid w:val="00717401"/>
    <w:rsid w:val="00717C25"/>
    <w:rsid w:val="0072010D"/>
    <w:rsid w:val="00720318"/>
    <w:rsid w:val="007208D2"/>
    <w:rsid w:val="0072091F"/>
    <w:rsid w:val="007213DC"/>
    <w:rsid w:val="007218AE"/>
    <w:rsid w:val="00721E5C"/>
    <w:rsid w:val="007222B1"/>
    <w:rsid w:val="0072251E"/>
    <w:rsid w:val="00722642"/>
    <w:rsid w:val="007228F0"/>
    <w:rsid w:val="00722903"/>
    <w:rsid w:val="00722A37"/>
    <w:rsid w:val="00722AE1"/>
    <w:rsid w:val="00722C6E"/>
    <w:rsid w:val="00723DCC"/>
    <w:rsid w:val="00723E6E"/>
    <w:rsid w:val="0072424D"/>
    <w:rsid w:val="007244FD"/>
    <w:rsid w:val="00724732"/>
    <w:rsid w:val="007248C0"/>
    <w:rsid w:val="00724C12"/>
    <w:rsid w:val="00724D5E"/>
    <w:rsid w:val="00724F59"/>
    <w:rsid w:val="00725001"/>
    <w:rsid w:val="00725190"/>
    <w:rsid w:val="007253BF"/>
    <w:rsid w:val="007254A4"/>
    <w:rsid w:val="007257D7"/>
    <w:rsid w:val="0072591A"/>
    <w:rsid w:val="00725953"/>
    <w:rsid w:val="00725B4E"/>
    <w:rsid w:val="00725C53"/>
    <w:rsid w:val="00725D30"/>
    <w:rsid w:val="007260D3"/>
    <w:rsid w:val="007260F1"/>
    <w:rsid w:val="0072618A"/>
    <w:rsid w:val="0072622B"/>
    <w:rsid w:val="007263AD"/>
    <w:rsid w:val="00726609"/>
    <w:rsid w:val="007266D4"/>
    <w:rsid w:val="0072680D"/>
    <w:rsid w:val="00726CAC"/>
    <w:rsid w:val="00727013"/>
    <w:rsid w:val="00727222"/>
    <w:rsid w:val="0072766D"/>
    <w:rsid w:val="00727A8D"/>
    <w:rsid w:val="0073010A"/>
    <w:rsid w:val="007303BA"/>
    <w:rsid w:val="00730492"/>
    <w:rsid w:val="0073091B"/>
    <w:rsid w:val="00730D7A"/>
    <w:rsid w:val="00731053"/>
    <w:rsid w:val="007312AB"/>
    <w:rsid w:val="00731759"/>
    <w:rsid w:val="00731DE0"/>
    <w:rsid w:val="00732079"/>
    <w:rsid w:val="00732087"/>
    <w:rsid w:val="00732530"/>
    <w:rsid w:val="00732863"/>
    <w:rsid w:val="00732A86"/>
    <w:rsid w:val="00732CF1"/>
    <w:rsid w:val="00732EF1"/>
    <w:rsid w:val="007331F5"/>
    <w:rsid w:val="00733201"/>
    <w:rsid w:val="00733356"/>
    <w:rsid w:val="00733386"/>
    <w:rsid w:val="007333A9"/>
    <w:rsid w:val="007334E6"/>
    <w:rsid w:val="00733860"/>
    <w:rsid w:val="00733AE0"/>
    <w:rsid w:val="00733CD9"/>
    <w:rsid w:val="007343D1"/>
    <w:rsid w:val="00734A74"/>
    <w:rsid w:val="00734CDD"/>
    <w:rsid w:val="00734D8B"/>
    <w:rsid w:val="00734FCE"/>
    <w:rsid w:val="00735045"/>
    <w:rsid w:val="007350D1"/>
    <w:rsid w:val="0073531F"/>
    <w:rsid w:val="00735582"/>
    <w:rsid w:val="007356EC"/>
    <w:rsid w:val="007358AA"/>
    <w:rsid w:val="00735B6E"/>
    <w:rsid w:val="00735F3A"/>
    <w:rsid w:val="007360AC"/>
    <w:rsid w:val="00736335"/>
    <w:rsid w:val="0073682D"/>
    <w:rsid w:val="0073699D"/>
    <w:rsid w:val="00736A2B"/>
    <w:rsid w:val="00736A69"/>
    <w:rsid w:val="00736AE5"/>
    <w:rsid w:val="00737107"/>
    <w:rsid w:val="00737221"/>
    <w:rsid w:val="00737408"/>
    <w:rsid w:val="007375FF"/>
    <w:rsid w:val="0073767D"/>
    <w:rsid w:val="00737BB2"/>
    <w:rsid w:val="00737C7D"/>
    <w:rsid w:val="007405C7"/>
    <w:rsid w:val="00740881"/>
    <w:rsid w:val="00740B7D"/>
    <w:rsid w:val="00740DBD"/>
    <w:rsid w:val="00740F1E"/>
    <w:rsid w:val="00740FFC"/>
    <w:rsid w:val="007410CE"/>
    <w:rsid w:val="007417DC"/>
    <w:rsid w:val="0074181A"/>
    <w:rsid w:val="00741BBE"/>
    <w:rsid w:val="00741D80"/>
    <w:rsid w:val="00741EFA"/>
    <w:rsid w:val="00741F7E"/>
    <w:rsid w:val="00741FCC"/>
    <w:rsid w:val="007420AF"/>
    <w:rsid w:val="00742138"/>
    <w:rsid w:val="00742213"/>
    <w:rsid w:val="00742372"/>
    <w:rsid w:val="00742452"/>
    <w:rsid w:val="00743234"/>
    <w:rsid w:val="007436C2"/>
    <w:rsid w:val="007438A7"/>
    <w:rsid w:val="00743C7D"/>
    <w:rsid w:val="00743FDD"/>
    <w:rsid w:val="00744038"/>
    <w:rsid w:val="007445D0"/>
    <w:rsid w:val="007448A5"/>
    <w:rsid w:val="00744D45"/>
    <w:rsid w:val="00744F07"/>
    <w:rsid w:val="00745437"/>
    <w:rsid w:val="0074590F"/>
    <w:rsid w:val="00745972"/>
    <w:rsid w:val="00745AD1"/>
    <w:rsid w:val="00745C36"/>
    <w:rsid w:val="00745E49"/>
    <w:rsid w:val="007463B0"/>
    <w:rsid w:val="007469B9"/>
    <w:rsid w:val="007469F2"/>
    <w:rsid w:val="00746D39"/>
    <w:rsid w:val="00746F14"/>
    <w:rsid w:val="007471D8"/>
    <w:rsid w:val="0074770D"/>
    <w:rsid w:val="00747D04"/>
    <w:rsid w:val="00747FB9"/>
    <w:rsid w:val="00750065"/>
    <w:rsid w:val="007502F3"/>
    <w:rsid w:val="007506B0"/>
    <w:rsid w:val="00750929"/>
    <w:rsid w:val="00750CCA"/>
    <w:rsid w:val="00750E11"/>
    <w:rsid w:val="00751158"/>
    <w:rsid w:val="0075132C"/>
    <w:rsid w:val="00751412"/>
    <w:rsid w:val="00751462"/>
    <w:rsid w:val="0075147F"/>
    <w:rsid w:val="007518BF"/>
    <w:rsid w:val="007518C9"/>
    <w:rsid w:val="007519CD"/>
    <w:rsid w:val="00751A02"/>
    <w:rsid w:val="00751B10"/>
    <w:rsid w:val="00751EB4"/>
    <w:rsid w:val="00752151"/>
    <w:rsid w:val="00752B8B"/>
    <w:rsid w:val="00753095"/>
    <w:rsid w:val="00753526"/>
    <w:rsid w:val="00753835"/>
    <w:rsid w:val="00753D11"/>
    <w:rsid w:val="00753D81"/>
    <w:rsid w:val="00753E16"/>
    <w:rsid w:val="00754149"/>
    <w:rsid w:val="00754260"/>
    <w:rsid w:val="00754A0E"/>
    <w:rsid w:val="00754C38"/>
    <w:rsid w:val="00754D75"/>
    <w:rsid w:val="007552C3"/>
    <w:rsid w:val="007554A7"/>
    <w:rsid w:val="007555B0"/>
    <w:rsid w:val="00755631"/>
    <w:rsid w:val="00755667"/>
    <w:rsid w:val="00755870"/>
    <w:rsid w:val="00755921"/>
    <w:rsid w:val="00755A68"/>
    <w:rsid w:val="00755E33"/>
    <w:rsid w:val="007560C4"/>
    <w:rsid w:val="007560F2"/>
    <w:rsid w:val="007560F3"/>
    <w:rsid w:val="0075668C"/>
    <w:rsid w:val="0075738E"/>
    <w:rsid w:val="00757526"/>
    <w:rsid w:val="00757E90"/>
    <w:rsid w:val="00760048"/>
    <w:rsid w:val="00760255"/>
    <w:rsid w:val="007603CD"/>
    <w:rsid w:val="00760586"/>
    <w:rsid w:val="00760752"/>
    <w:rsid w:val="0076075C"/>
    <w:rsid w:val="00760B9F"/>
    <w:rsid w:val="00760E2B"/>
    <w:rsid w:val="00761970"/>
    <w:rsid w:val="00761B82"/>
    <w:rsid w:val="007620B7"/>
    <w:rsid w:val="0076250D"/>
    <w:rsid w:val="0076291D"/>
    <w:rsid w:val="007629B6"/>
    <w:rsid w:val="00762A3B"/>
    <w:rsid w:val="0076315B"/>
    <w:rsid w:val="00763415"/>
    <w:rsid w:val="007636D9"/>
    <w:rsid w:val="007637F7"/>
    <w:rsid w:val="007638E0"/>
    <w:rsid w:val="007640D1"/>
    <w:rsid w:val="00764159"/>
    <w:rsid w:val="0076423B"/>
    <w:rsid w:val="00764347"/>
    <w:rsid w:val="00764654"/>
    <w:rsid w:val="00764958"/>
    <w:rsid w:val="00764CEB"/>
    <w:rsid w:val="00764D86"/>
    <w:rsid w:val="0076500E"/>
    <w:rsid w:val="0076515C"/>
    <w:rsid w:val="00765412"/>
    <w:rsid w:val="007655D0"/>
    <w:rsid w:val="007658BC"/>
    <w:rsid w:val="00765AC6"/>
    <w:rsid w:val="00765E00"/>
    <w:rsid w:val="00766192"/>
    <w:rsid w:val="0076681A"/>
    <w:rsid w:val="0076687C"/>
    <w:rsid w:val="007668DC"/>
    <w:rsid w:val="00766933"/>
    <w:rsid w:val="007669A0"/>
    <w:rsid w:val="00766A3F"/>
    <w:rsid w:val="00766CE8"/>
    <w:rsid w:val="00766D0F"/>
    <w:rsid w:val="00766DCE"/>
    <w:rsid w:val="007674FA"/>
    <w:rsid w:val="0076754A"/>
    <w:rsid w:val="00767A8B"/>
    <w:rsid w:val="00767B07"/>
    <w:rsid w:val="00767DA0"/>
    <w:rsid w:val="00770271"/>
    <w:rsid w:val="007704BB"/>
    <w:rsid w:val="007705C8"/>
    <w:rsid w:val="00770A55"/>
    <w:rsid w:val="00770CC2"/>
    <w:rsid w:val="00770DE7"/>
    <w:rsid w:val="00770F79"/>
    <w:rsid w:val="00770FEF"/>
    <w:rsid w:val="00771411"/>
    <w:rsid w:val="00771AC6"/>
    <w:rsid w:val="00771C4C"/>
    <w:rsid w:val="00771E02"/>
    <w:rsid w:val="00771ED6"/>
    <w:rsid w:val="00772445"/>
    <w:rsid w:val="00772BA6"/>
    <w:rsid w:val="00772BB1"/>
    <w:rsid w:val="00772E18"/>
    <w:rsid w:val="00773236"/>
    <w:rsid w:val="00773330"/>
    <w:rsid w:val="007733B1"/>
    <w:rsid w:val="007733E4"/>
    <w:rsid w:val="007736DF"/>
    <w:rsid w:val="00774276"/>
    <w:rsid w:val="0077461C"/>
    <w:rsid w:val="0077482F"/>
    <w:rsid w:val="00774A01"/>
    <w:rsid w:val="00774BAB"/>
    <w:rsid w:val="00774CB4"/>
    <w:rsid w:val="00774E4F"/>
    <w:rsid w:val="00775146"/>
    <w:rsid w:val="00775190"/>
    <w:rsid w:val="00775511"/>
    <w:rsid w:val="00775632"/>
    <w:rsid w:val="00775689"/>
    <w:rsid w:val="007756A8"/>
    <w:rsid w:val="00775813"/>
    <w:rsid w:val="00775A70"/>
    <w:rsid w:val="00776196"/>
    <w:rsid w:val="00776249"/>
    <w:rsid w:val="0077631F"/>
    <w:rsid w:val="00776D9E"/>
    <w:rsid w:val="00776ED2"/>
    <w:rsid w:val="00777413"/>
    <w:rsid w:val="00777538"/>
    <w:rsid w:val="00777853"/>
    <w:rsid w:val="0077785E"/>
    <w:rsid w:val="00777F5F"/>
    <w:rsid w:val="00780207"/>
    <w:rsid w:val="00780268"/>
    <w:rsid w:val="00780533"/>
    <w:rsid w:val="00780553"/>
    <w:rsid w:val="00780C11"/>
    <w:rsid w:val="00780C65"/>
    <w:rsid w:val="00780D46"/>
    <w:rsid w:val="00780F3F"/>
    <w:rsid w:val="007813C0"/>
    <w:rsid w:val="0078198B"/>
    <w:rsid w:val="00781BD3"/>
    <w:rsid w:val="0078212E"/>
    <w:rsid w:val="007828D7"/>
    <w:rsid w:val="00782FC3"/>
    <w:rsid w:val="00783270"/>
    <w:rsid w:val="0078387B"/>
    <w:rsid w:val="00783978"/>
    <w:rsid w:val="00783B46"/>
    <w:rsid w:val="00783CDA"/>
    <w:rsid w:val="00783E41"/>
    <w:rsid w:val="00783FE7"/>
    <w:rsid w:val="007840FD"/>
    <w:rsid w:val="00784115"/>
    <w:rsid w:val="007843D4"/>
    <w:rsid w:val="00784826"/>
    <w:rsid w:val="0078500E"/>
    <w:rsid w:val="00785366"/>
    <w:rsid w:val="007857F9"/>
    <w:rsid w:val="00785B5E"/>
    <w:rsid w:val="00785D0F"/>
    <w:rsid w:val="007862B5"/>
    <w:rsid w:val="00786339"/>
    <w:rsid w:val="0078696E"/>
    <w:rsid w:val="00786A78"/>
    <w:rsid w:val="00786ACB"/>
    <w:rsid w:val="007873B1"/>
    <w:rsid w:val="00787423"/>
    <w:rsid w:val="007874A1"/>
    <w:rsid w:val="007874E4"/>
    <w:rsid w:val="0078764F"/>
    <w:rsid w:val="00790138"/>
    <w:rsid w:val="00790587"/>
    <w:rsid w:val="007906D1"/>
    <w:rsid w:val="007906D6"/>
    <w:rsid w:val="0079103B"/>
    <w:rsid w:val="0079178B"/>
    <w:rsid w:val="007917BB"/>
    <w:rsid w:val="0079199B"/>
    <w:rsid w:val="00791DF2"/>
    <w:rsid w:val="007920D8"/>
    <w:rsid w:val="007922B1"/>
    <w:rsid w:val="007924CF"/>
    <w:rsid w:val="00792620"/>
    <w:rsid w:val="00793513"/>
    <w:rsid w:val="00793637"/>
    <w:rsid w:val="007938E5"/>
    <w:rsid w:val="00793B01"/>
    <w:rsid w:val="00793E67"/>
    <w:rsid w:val="007949F0"/>
    <w:rsid w:val="00794A77"/>
    <w:rsid w:val="00794AE6"/>
    <w:rsid w:val="00794FC0"/>
    <w:rsid w:val="007953B0"/>
    <w:rsid w:val="00795474"/>
    <w:rsid w:val="007954EC"/>
    <w:rsid w:val="00795561"/>
    <w:rsid w:val="007955C9"/>
    <w:rsid w:val="00795A77"/>
    <w:rsid w:val="00795B0F"/>
    <w:rsid w:val="00795B81"/>
    <w:rsid w:val="00795C5F"/>
    <w:rsid w:val="00796373"/>
    <w:rsid w:val="007967BA"/>
    <w:rsid w:val="00796EFB"/>
    <w:rsid w:val="00796F14"/>
    <w:rsid w:val="00796F60"/>
    <w:rsid w:val="00796FE2"/>
    <w:rsid w:val="00797152"/>
    <w:rsid w:val="00797378"/>
    <w:rsid w:val="007973E9"/>
    <w:rsid w:val="007975B3"/>
    <w:rsid w:val="007979DC"/>
    <w:rsid w:val="007979F4"/>
    <w:rsid w:val="00797A95"/>
    <w:rsid w:val="00797BB1"/>
    <w:rsid w:val="00797E27"/>
    <w:rsid w:val="007A0011"/>
    <w:rsid w:val="007A015D"/>
    <w:rsid w:val="007A01EE"/>
    <w:rsid w:val="007A0530"/>
    <w:rsid w:val="007A0540"/>
    <w:rsid w:val="007A0552"/>
    <w:rsid w:val="007A058F"/>
    <w:rsid w:val="007A0BC5"/>
    <w:rsid w:val="007A152A"/>
    <w:rsid w:val="007A1F1B"/>
    <w:rsid w:val="007A2548"/>
    <w:rsid w:val="007A2E3E"/>
    <w:rsid w:val="007A3765"/>
    <w:rsid w:val="007A3857"/>
    <w:rsid w:val="007A3982"/>
    <w:rsid w:val="007A3995"/>
    <w:rsid w:val="007A3E58"/>
    <w:rsid w:val="007A4337"/>
    <w:rsid w:val="007A434C"/>
    <w:rsid w:val="007A5AA2"/>
    <w:rsid w:val="007A5D2B"/>
    <w:rsid w:val="007A6110"/>
    <w:rsid w:val="007A6145"/>
    <w:rsid w:val="007A61FF"/>
    <w:rsid w:val="007A62F9"/>
    <w:rsid w:val="007A64EC"/>
    <w:rsid w:val="007A6AB8"/>
    <w:rsid w:val="007A6B4D"/>
    <w:rsid w:val="007A6B6A"/>
    <w:rsid w:val="007A6D5F"/>
    <w:rsid w:val="007A7288"/>
    <w:rsid w:val="007A7512"/>
    <w:rsid w:val="007A78C4"/>
    <w:rsid w:val="007A7BC7"/>
    <w:rsid w:val="007B00DF"/>
    <w:rsid w:val="007B02F4"/>
    <w:rsid w:val="007B05CD"/>
    <w:rsid w:val="007B0949"/>
    <w:rsid w:val="007B0A8A"/>
    <w:rsid w:val="007B0B39"/>
    <w:rsid w:val="007B0ED7"/>
    <w:rsid w:val="007B0F06"/>
    <w:rsid w:val="007B124B"/>
    <w:rsid w:val="007B146A"/>
    <w:rsid w:val="007B1855"/>
    <w:rsid w:val="007B1A25"/>
    <w:rsid w:val="007B1C7B"/>
    <w:rsid w:val="007B1C7C"/>
    <w:rsid w:val="007B1CBC"/>
    <w:rsid w:val="007B1FEA"/>
    <w:rsid w:val="007B2103"/>
    <w:rsid w:val="007B22AD"/>
    <w:rsid w:val="007B23C0"/>
    <w:rsid w:val="007B246E"/>
    <w:rsid w:val="007B25D8"/>
    <w:rsid w:val="007B2706"/>
    <w:rsid w:val="007B2AB9"/>
    <w:rsid w:val="007B2AC4"/>
    <w:rsid w:val="007B2D48"/>
    <w:rsid w:val="007B2D77"/>
    <w:rsid w:val="007B2DD7"/>
    <w:rsid w:val="007B2FA8"/>
    <w:rsid w:val="007B2FE7"/>
    <w:rsid w:val="007B3012"/>
    <w:rsid w:val="007B3700"/>
    <w:rsid w:val="007B3C0F"/>
    <w:rsid w:val="007B3FD3"/>
    <w:rsid w:val="007B4153"/>
    <w:rsid w:val="007B4200"/>
    <w:rsid w:val="007B45B0"/>
    <w:rsid w:val="007B4AB8"/>
    <w:rsid w:val="007B4AD9"/>
    <w:rsid w:val="007B5080"/>
    <w:rsid w:val="007B570B"/>
    <w:rsid w:val="007B59A9"/>
    <w:rsid w:val="007B5A96"/>
    <w:rsid w:val="007B5F09"/>
    <w:rsid w:val="007B5F6E"/>
    <w:rsid w:val="007B6029"/>
    <w:rsid w:val="007B6085"/>
    <w:rsid w:val="007B6382"/>
    <w:rsid w:val="007B63CC"/>
    <w:rsid w:val="007B6513"/>
    <w:rsid w:val="007B671E"/>
    <w:rsid w:val="007B6B9C"/>
    <w:rsid w:val="007B7AA1"/>
    <w:rsid w:val="007B7BCD"/>
    <w:rsid w:val="007C0528"/>
    <w:rsid w:val="007C0555"/>
    <w:rsid w:val="007C0685"/>
    <w:rsid w:val="007C073D"/>
    <w:rsid w:val="007C0786"/>
    <w:rsid w:val="007C0C04"/>
    <w:rsid w:val="007C1428"/>
    <w:rsid w:val="007C1627"/>
    <w:rsid w:val="007C1C57"/>
    <w:rsid w:val="007C1D90"/>
    <w:rsid w:val="007C2100"/>
    <w:rsid w:val="007C2959"/>
    <w:rsid w:val="007C2BC1"/>
    <w:rsid w:val="007C30DB"/>
    <w:rsid w:val="007C310C"/>
    <w:rsid w:val="007C3229"/>
    <w:rsid w:val="007C325D"/>
    <w:rsid w:val="007C327C"/>
    <w:rsid w:val="007C38F3"/>
    <w:rsid w:val="007C3D6E"/>
    <w:rsid w:val="007C3E2B"/>
    <w:rsid w:val="007C3FDC"/>
    <w:rsid w:val="007C40ED"/>
    <w:rsid w:val="007C45EF"/>
    <w:rsid w:val="007C4B31"/>
    <w:rsid w:val="007C4BEB"/>
    <w:rsid w:val="007C4C08"/>
    <w:rsid w:val="007C4C9C"/>
    <w:rsid w:val="007C4ED4"/>
    <w:rsid w:val="007C5626"/>
    <w:rsid w:val="007C59DC"/>
    <w:rsid w:val="007C5C54"/>
    <w:rsid w:val="007C5D4D"/>
    <w:rsid w:val="007C61F9"/>
    <w:rsid w:val="007C657D"/>
    <w:rsid w:val="007C6853"/>
    <w:rsid w:val="007C69B9"/>
    <w:rsid w:val="007C71E9"/>
    <w:rsid w:val="007C7893"/>
    <w:rsid w:val="007C7B70"/>
    <w:rsid w:val="007C7FB9"/>
    <w:rsid w:val="007D0610"/>
    <w:rsid w:val="007D0801"/>
    <w:rsid w:val="007D115F"/>
    <w:rsid w:val="007D118E"/>
    <w:rsid w:val="007D19C1"/>
    <w:rsid w:val="007D1BCC"/>
    <w:rsid w:val="007D1BD4"/>
    <w:rsid w:val="007D1CF2"/>
    <w:rsid w:val="007D2038"/>
    <w:rsid w:val="007D283A"/>
    <w:rsid w:val="007D2F96"/>
    <w:rsid w:val="007D33CD"/>
    <w:rsid w:val="007D36A2"/>
    <w:rsid w:val="007D372D"/>
    <w:rsid w:val="007D37DD"/>
    <w:rsid w:val="007D3A46"/>
    <w:rsid w:val="007D3DA4"/>
    <w:rsid w:val="007D44F9"/>
    <w:rsid w:val="007D4B73"/>
    <w:rsid w:val="007D4D60"/>
    <w:rsid w:val="007D4EDF"/>
    <w:rsid w:val="007D51EF"/>
    <w:rsid w:val="007D5448"/>
    <w:rsid w:val="007D5477"/>
    <w:rsid w:val="007D5BFB"/>
    <w:rsid w:val="007D5C03"/>
    <w:rsid w:val="007D5C7A"/>
    <w:rsid w:val="007D5EFC"/>
    <w:rsid w:val="007D629A"/>
    <w:rsid w:val="007D681F"/>
    <w:rsid w:val="007D69E5"/>
    <w:rsid w:val="007D6B13"/>
    <w:rsid w:val="007D6DA0"/>
    <w:rsid w:val="007D7124"/>
    <w:rsid w:val="007D7B2E"/>
    <w:rsid w:val="007E0046"/>
    <w:rsid w:val="007E0336"/>
    <w:rsid w:val="007E0713"/>
    <w:rsid w:val="007E0739"/>
    <w:rsid w:val="007E0D74"/>
    <w:rsid w:val="007E0F94"/>
    <w:rsid w:val="007E1271"/>
    <w:rsid w:val="007E12A4"/>
    <w:rsid w:val="007E1547"/>
    <w:rsid w:val="007E174B"/>
    <w:rsid w:val="007E19CF"/>
    <w:rsid w:val="007E1AB0"/>
    <w:rsid w:val="007E1ADF"/>
    <w:rsid w:val="007E1E6E"/>
    <w:rsid w:val="007E1EF6"/>
    <w:rsid w:val="007E29B9"/>
    <w:rsid w:val="007E2BB2"/>
    <w:rsid w:val="007E2C0B"/>
    <w:rsid w:val="007E343D"/>
    <w:rsid w:val="007E34E0"/>
    <w:rsid w:val="007E3774"/>
    <w:rsid w:val="007E39DA"/>
    <w:rsid w:val="007E3C40"/>
    <w:rsid w:val="007E43F2"/>
    <w:rsid w:val="007E4644"/>
    <w:rsid w:val="007E47FB"/>
    <w:rsid w:val="007E50F3"/>
    <w:rsid w:val="007E5F42"/>
    <w:rsid w:val="007E5F66"/>
    <w:rsid w:val="007E63A2"/>
    <w:rsid w:val="007E68F0"/>
    <w:rsid w:val="007E6EA5"/>
    <w:rsid w:val="007E719C"/>
    <w:rsid w:val="007E7A47"/>
    <w:rsid w:val="007E7AB1"/>
    <w:rsid w:val="007E7B65"/>
    <w:rsid w:val="007E7CFC"/>
    <w:rsid w:val="007F0083"/>
    <w:rsid w:val="007F0462"/>
    <w:rsid w:val="007F0995"/>
    <w:rsid w:val="007F0A80"/>
    <w:rsid w:val="007F0B64"/>
    <w:rsid w:val="007F0E4E"/>
    <w:rsid w:val="007F106C"/>
    <w:rsid w:val="007F1312"/>
    <w:rsid w:val="007F1391"/>
    <w:rsid w:val="007F1567"/>
    <w:rsid w:val="007F16C9"/>
    <w:rsid w:val="007F1A46"/>
    <w:rsid w:val="007F1C01"/>
    <w:rsid w:val="007F2091"/>
    <w:rsid w:val="007F2429"/>
    <w:rsid w:val="007F28BD"/>
    <w:rsid w:val="007F2FE9"/>
    <w:rsid w:val="007F3002"/>
    <w:rsid w:val="007F30CD"/>
    <w:rsid w:val="007F31E5"/>
    <w:rsid w:val="007F3709"/>
    <w:rsid w:val="007F3BAA"/>
    <w:rsid w:val="007F3CCC"/>
    <w:rsid w:val="007F3E5C"/>
    <w:rsid w:val="007F3F0F"/>
    <w:rsid w:val="007F47A1"/>
    <w:rsid w:val="007F48A8"/>
    <w:rsid w:val="007F4C19"/>
    <w:rsid w:val="007F4DA3"/>
    <w:rsid w:val="007F4DDC"/>
    <w:rsid w:val="007F5814"/>
    <w:rsid w:val="007F5A6E"/>
    <w:rsid w:val="007F5A94"/>
    <w:rsid w:val="007F5E0F"/>
    <w:rsid w:val="007F5EF3"/>
    <w:rsid w:val="007F5F72"/>
    <w:rsid w:val="007F632C"/>
    <w:rsid w:val="007F63ED"/>
    <w:rsid w:val="007F647C"/>
    <w:rsid w:val="007F6AC0"/>
    <w:rsid w:val="007F6D10"/>
    <w:rsid w:val="007F6DC8"/>
    <w:rsid w:val="007F716A"/>
    <w:rsid w:val="007F78EC"/>
    <w:rsid w:val="007F7D74"/>
    <w:rsid w:val="007F7E60"/>
    <w:rsid w:val="008001C9"/>
    <w:rsid w:val="008004FE"/>
    <w:rsid w:val="00800A57"/>
    <w:rsid w:val="00800C15"/>
    <w:rsid w:val="00800C5F"/>
    <w:rsid w:val="00800CBC"/>
    <w:rsid w:val="00800D11"/>
    <w:rsid w:val="00800E39"/>
    <w:rsid w:val="00800ED5"/>
    <w:rsid w:val="00800FEB"/>
    <w:rsid w:val="008014BC"/>
    <w:rsid w:val="00801728"/>
    <w:rsid w:val="008017A0"/>
    <w:rsid w:val="008019CD"/>
    <w:rsid w:val="00801F4E"/>
    <w:rsid w:val="00802217"/>
    <w:rsid w:val="0080299E"/>
    <w:rsid w:val="00802DDF"/>
    <w:rsid w:val="00802DE9"/>
    <w:rsid w:val="00802FA5"/>
    <w:rsid w:val="00803034"/>
    <w:rsid w:val="00803129"/>
    <w:rsid w:val="008032E0"/>
    <w:rsid w:val="008032E3"/>
    <w:rsid w:val="00803548"/>
    <w:rsid w:val="00803788"/>
    <w:rsid w:val="008038FF"/>
    <w:rsid w:val="00803958"/>
    <w:rsid w:val="00803996"/>
    <w:rsid w:val="008039CA"/>
    <w:rsid w:val="00803D99"/>
    <w:rsid w:val="008043C1"/>
    <w:rsid w:val="008044F7"/>
    <w:rsid w:val="00804857"/>
    <w:rsid w:val="008048A8"/>
    <w:rsid w:val="00804C24"/>
    <w:rsid w:val="00805258"/>
    <w:rsid w:val="00805325"/>
    <w:rsid w:val="0080544B"/>
    <w:rsid w:val="00805591"/>
    <w:rsid w:val="0080569C"/>
    <w:rsid w:val="00805ACC"/>
    <w:rsid w:val="00805B87"/>
    <w:rsid w:val="00805D3F"/>
    <w:rsid w:val="00805F0C"/>
    <w:rsid w:val="008062C6"/>
    <w:rsid w:val="008062DD"/>
    <w:rsid w:val="00806353"/>
    <w:rsid w:val="0080636A"/>
    <w:rsid w:val="0080672F"/>
    <w:rsid w:val="008067E8"/>
    <w:rsid w:val="00806900"/>
    <w:rsid w:val="00806B25"/>
    <w:rsid w:val="00806CC6"/>
    <w:rsid w:val="00806CF8"/>
    <w:rsid w:val="00806D62"/>
    <w:rsid w:val="00806E3B"/>
    <w:rsid w:val="008078A7"/>
    <w:rsid w:val="008078D1"/>
    <w:rsid w:val="00807C17"/>
    <w:rsid w:val="00810114"/>
    <w:rsid w:val="00810A68"/>
    <w:rsid w:val="00810AC9"/>
    <w:rsid w:val="00810CF6"/>
    <w:rsid w:val="00810FEF"/>
    <w:rsid w:val="0081161A"/>
    <w:rsid w:val="008116C3"/>
    <w:rsid w:val="00811E3D"/>
    <w:rsid w:val="00812183"/>
    <w:rsid w:val="008124D4"/>
    <w:rsid w:val="00812706"/>
    <w:rsid w:val="00812C85"/>
    <w:rsid w:val="00813495"/>
    <w:rsid w:val="0081376F"/>
    <w:rsid w:val="008138B8"/>
    <w:rsid w:val="0081395B"/>
    <w:rsid w:val="00813E09"/>
    <w:rsid w:val="00813FA6"/>
    <w:rsid w:val="0081437E"/>
    <w:rsid w:val="00814488"/>
    <w:rsid w:val="00814A56"/>
    <w:rsid w:val="00814D5F"/>
    <w:rsid w:val="0081510C"/>
    <w:rsid w:val="00815142"/>
    <w:rsid w:val="00815233"/>
    <w:rsid w:val="0081613C"/>
    <w:rsid w:val="008165D7"/>
    <w:rsid w:val="00816871"/>
    <w:rsid w:val="00816D72"/>
    <w:rsid w:val="0081729A"/>
    <w:rsid w:val="00817E2E"/>
    <w:rsid w:val="00817F68"/>
    <w:rsid w:val="00820478"/>
    <w:rsid w:val="00820677"/>
    <w:rsid w:val="0082085B"/>
    <w:rsid w:val="00820910"/>
    <w:rsid w:val="008211A4"/>
    <w:rsid w:val="0082145A"/>
    <w:rsid w:val="0082149A"/>
    <w:rsid w:val="00821506"/>
    <w:rsid w:val="008216BE"/>
    <w:rsid w:val="00821824"/>
    <w:rsid w:val="008218B1"/>
    <w:rsid w:val="00821AE6"/>
    <w:rsid w:val="00821C05"/>
    <w:rsid w:val="00821CD3"/>
    <w:rsid w:val="0082226E"/>
    <w:rsid w:val="008222F1"/>
    <w:rsid w:val="00822300"/>
    <w:rsid w:val="0082263C"/>
    <w:rsid w:val="00822AE8"/>
    <w:rsid w:val="00822CDA"/>
    <w:rsid w:val="00822E0C"/>
    <w:rsid w:val="00822FD5"/>
    <w:rsid w:val="00823087"/>
    <w:rsid w:val="00823360"/>
    <w:rsid w:val="008234C1"/>
    <w:rsid w:val="00823533"/>
    <w:rsid w:val="0082364A"/>
    <w:rsid w:val="008237D6"/>
    <w:rsid w:val="008239DC"/>
    <w:rsid w:val="00823A49"/>
    <w:rsid w:val="00823B17"/>
    <w:rsid w:val="00823D79"/>
    <w:rsid w:val="00823DF3"/>
    <w:rsid w:val="008244C8"/>
    <w:rsid w:val="00825146"/>
    <w:rsid w:val="0082514C"/>
    <w:rsid w:val="00825649"/>
    <w:rsid w:val="00825678"/>
    <w:rsid w:val="00825D31"/>
    <w:rsid w:val="00825D67"/>
    <w:rsid w:val="00825F71"/>
    <w:rsid w:val="00826A28"/>
    <w:rsid w:val="00826DD4"/>
    <w:rsid w:val="00826E94"/>
    <w:rsid w:val="008270C5"/>
    <w:rsid w:val="00827387"/>
    <w:rsid w:val="00827408"/>
    <w:rsid w:val="0082757B"/>
    <w:rsid w:val="008278F8"/>
    <w:rsid w:val="008279E9"/>
    <w:rsid w:val="0083083A"/>
    <w:rsid w:val="0083095C"/>
    <w:rsid w:val="00830E71"/>
    <w:rsid w:val="00830FC3"/>
    <w:rsid w:val="00831142"/>
    <w:rsid w:val="008312DE"/>
    <w:rsid w:val="008317E6"/>
    <w:rsid w:val="00831B04"/>
    <w:rsid w:val="00832692"/>
    <w:rsid w:val="00832849"/>
    <w:rsid w:val="00832A23"/>
    <w:rsid w:val="00832B9F"/>
    <w:rsid w:val="0083309B"/>
    <w:rsid w:val="00833179"/>
    <w:rsid w:val="00833298"/>
    <w:rsid w:val="00833AE9"/>
    <w:rsid w:val="00833C8A"/>
    <w:rsid w:val="00833D72"/>
    <w:rsid w:val="00833E36"/>
    <w:rsid w:val="0083413B"/>
    <w:rsid w:val="008343F8"/>
    <w:rsid w:val="0083448B"/>
    <w:rsid w:val="0083527B"/>
    <w:rsid w:val="008356DB"/>
    <w:rsid w:val="00835727"/>
    <w:rsid w:val="0083578C"/>
    <w:rsid w:val="008358B2"/>
    <w:rsid w:val="00835AF1"/>
    <w:rsid w:val="008364B5"/>
    <w:rsid w:val="00836704"/>
    <w:rsid w:val="00836949"/>
    <w:rsid w:val="00836B1A"/>
    <w:rsid w:val="00837003"/>
    <w:rsid w:val="008370BC"/>
    <w:rsid w:val="0083738D"/>
    <w:rsid w:val="008375C5"/>
    <w:rsid w:val="008377E9"/>
    <w:rsid w:val="0083792A"/>
    <w:rsid w:val="008400E9"/>
    <w:rsid w:val="0084012E"/>
    <w:rsid w:val="008403E6"/>
    <w:rsid w:val="008404A6"/>
    <w:rsid w:val="00840719"/>
    <w:rsid w:val="008408C5"/>
    <w:rsid w:val="00840A5C"/>
    <w:rsid w:val="00840EAE"/>
    <w:rsid w:val="00841458"/>
    <w:rsid w:val="0084179A"/>
    <w:rsid w:val="0084187C"/>
    <w:rsid w:val="008419CD"/>
    <w:rsid w:val="00841D13"/>
    <w:rsid w:val="00841D67"/>
    <w:rsid w:val="00841E49"/>
    <w:rsid w:val="00842375"/>
    <w:rsid w:val="00842468"/>
    <w:rsid w:val="0084274A"/>
    <w:rsid w:val="008428C8"/>
    <w:rsid w:val="00842A2E"/>
    <w:rsid w:val="00842F19"/>
    <w:rsid w:val="008438C4"/>
    <w:rsid w:val="00843A80"/>
    <w:rsid w:val="00843C82"/>
    <w:rsid w:val="00843F57"/>
    <w:rsid w:val="00843F7D"/>
    <w:rsid w:val="008444B9"/>
    <w:rsid w:val="0084498A"/>
    <w:rsid w:val="00844C86"/>
    <w:rsid w:val="00845484"/>
    <w:rsid w:val="008459CC"/>
    <w:rsid w:val="00845D6C"/>
    <w:rsid w:val="00846049"/>
    <w:rsid w:val="00846178"/>
    <w:rsid w:val="00846369"/>
    <w:rsid w:val="0084667D"/>
    <w:rsid w:val="00846945"/>
    <w:rsid w:val="008469D4"/>
    <w:rsid w:val="00846B8E"/>
    <w:rsid w:val="00846DCF"/>
    <w:rsid w:val="00846DE7"/>
    <w:rsid w:val="00847342"/>
    <w:rsid w:val="008479AF"/>
    <w:rsid w:val="00847D04"/>
    <w:rsid w:val="00847EBF"/>
    <w:rsid w:val="00850554"/>
    <w:rsid w:val="00850895"/>
    <w:rsid w:val="00850975"/>
    <w:rsid w:val="00850CD0"/>
    <w:rsid w:val="00851052"/>
    <w:rsid w:val="008510CF"/>
    <w:rsid w:val="00851675"/>
    <w:rsid w:val="00851945"/>
    <w:rsid w:val="008524D9"/>
    <w:rsid w:val="0085250A"/>
    <w:rsid w:val="008525D2"/>
    <w:rsid w:val="00852710"/>
    <w:rsid w:val="00852B3E"/>
    <w:rsid w:val="008531DC"/>
    <w:rsid w:val="00853266"/>
    <w:rsid w:val="0085334F"/>
    <w:rsid w:val="0085352E"/>
    <w:rsid w:val="00853A7D"/>
    <w:rsid w:val="0085401F"/>
    <w:rsid w:val="00854188"/>
    <w:rsid w:val="008549E0"/>
    <w:rsid w:val="00854BC2"/>
    <w:rsid w:val="00854DA5"/>
    <w:rsid w:val="00854E34"/>
    <w:rsid w:val="008552BC"/>
    <w:rsid w:val="00855830"/>
    <w:rsid w:val="00855A7F"/>
    <w:rsid w:val="00855BA7"/>
    <w:rsid w:val="00855BD0"/>
    <w:rsid w:val="00855DCD"/>
    <w:rsid w:val="00856704"/>
    <w:rsid w:val="00856AFD"/>
    <w:rsid w:val="00856C9A"/>
    <w:rsid w:val="00856F95"/>
    <w:rsid w:val="00857120"/>
    <w:rsid w:val="008576D2"/>
    <w:rsid w:val="00857AF4"/>
    <w:rsid w:val="008604E6"/>
    <w:rsid w:val="00860547"/>
    <w:rsid w:val="008607CE"/>
    <w:rsid w:val="00860B7E"/>
    <w:rsid w:val="00860D33"/>
    <w:rsid w:val="00860D4F"/>
    <w:rsid w:val="00860EC2"/>
    <w:rsid w:val="00860ECB"/>
    <w:rsid w:val="0086120A"/>
    <w:rsid w:val="0086139B"/>
    <w:rsid w:val="00861657"/>
    <w:rsid w:val="00861722"/>
    <w:rsid w:val="00861757"/>
    <w:rsid w:val="00861797"/>
    <w:rsid w:val="008619E4"/>
    <w:rsid w:val="00861BAF"/>
    <w:rsid w:val="00861FEF"/>
    <w:rsid w:val="00862110"/>
    <w:rsid w:val="00862128"/>
    <w:rsid w:val="008622D0"/>
    <w:rsid w:val="008627A2"/>
    <w:rsid w:val="00862902"/>
    <w:rsid w:val="00863107"/>
    <w:rsid w:val="00863109"/>
    <w:rsid w:val="0086311D"/>
    <w:rsid w:val="008632A0"/>
    <w:rsid w:val="00863B46"/>
    <w:rsid w:val="00863C4B"/>
    <w:rsid w:val="00863CE5"/>
    <w:rsid w:val="00863E5B"/>
    <w:rsid w:val="00863F31"/>
    <w:rsid w:val="008642E3"/>
    <w:rsid w:val="0086446E"/>
    <w:rsid w:val="008644B9"/>
    <w:rsid w:val="00864B40"/>
    <w:rsid w:val="00864BA4"/>
    <w:rsid w:val="00864ED0"/>
    <w:rsid w:val="00864EFF"/>
    <w:rsid w:val="008659E5"/>
    <w:rsid w:val="00865DBA"/>
    <w:rsid w:val="008664F5"/>
    <w:rsid w:val="008669CF"/>
    <w:rsid w:val="00867672"/>
    <w:rsid w:val="00867762"/>
    <w:rsid w:val="00867EA9"/>
    <w:rsid w:val="008700D3"/>
    <w:rsid w:val="008703B4"/>
    <w:rsid w:val="008706C1"/>
    <w:rsid w:val="008708AF"/>
    <w:rsid w:val="00870932"/>
    <w:rsid w:val="00870CAA"/>
    <w:rsid w:val="00870CE0"/>
    <w:rsid w:val="00870E9F"/>
    <w:rsid w:val="00871048"/>
    <w:rsid w:val="00871197"/>
    <w:rsid w:val="008711BC"/>
    <w:rsid w:val="008718AB"/>
    <w:rsid w:val="00871C4C"/>
    <w:rsid w:val="00871EE8"/>
    <w:rsid w:val="00871FC8"/>
    <w:rsid w:val="00872015"/>
    <w:rsid w:val="00872132"/>
    <w:rsid w:val="00872404"/>
    <w:rsid w:val="00872557"/>
    <w:rsid w:val="00872816"/>
    <w:rsid w:val="00872BD6"/>
    <w:rsid w:val="00873083"/>
    <w:rsid w:val="008730D9"/>
    <w:rsid w:val="00873921"/>
    <w:rsid w:val="00873C25"/>
    <w:rsid w:val="00873E8D"/>
    <w:rsid w:val="008743CE"/>
    <w:rsid w:val="00874489"/>
    <w:rsid w:val="008744F0"/>
    <w:rsid w:val="0087475F"/>
    <w:rsid w:val="00874ACA"/>
    <w:rsid w:val="00874B57"/>
    <w:rsid w:val="00874B89"/>
    <w:rsid w:val="0087526D"/>
    <w:rsid w:val="0087548B"/>
    <w:rsid w:val="00875B62"/>
    <w:rsid w:val="00875F46"/>
    <w:rsid w:val="008762FF"/>
    <w:rsid w:val="008764DF"/>
    <w:rsid w:val="00876A80"/>
    <w:rsid w:val="00876BDE"/>
    <w:rsid w:val="00876D2C"/>
    <w:rsid w:val="00876E50"/>
    <w:rsid w:val="00876FA5"/>
    <w:rsid w:val="008770B4"/>
    <w:rsid w:val="0087720B"/>
    <w:rsid w:val="0087752C"/>
    <w:rsid w:val="008775C2"/>
    <w:rsid w:val="008775F7"/>
    <w:rsid w:val="00877CDE"/>
    <w:rsid w:val="00877E4B"/>
    <w:rsid w:val="008801F2"/>
    <w:rsid w:val="008803D4"/>
    <w:rsid w:val="008806AE"/>
    <w:rsid w:val="00880A90"/>
    <w:rsid w:val="00880EAB"/>
    <w:rsid w:val="0088155F"/>
    <w:rsid w:val="00881638"/>
    <w:rsid w:val="00881689"/>
    <w:rsid w:val="00881D23"/>
    <w:rsid w:val="00881F3B"/>
    <w:rsid w:val="008821B3"/>
    <w:rsid w:val="00882226"/>
    <w:rsid w:val="008828D4"/>
    <w:rsid w:val="00882C49"/>
    <w:rsid w:val="00882D4E"/>
    <w:rsid w:val="00882EB0"/>
    <w:rsid w:val="0088313C"/>
    <w:rsid w:val="00883829"/>
    <w:rsid w:val="008839F1"/>
    <w:rsid w:val="0088415F"/>
    <w:rsid w:val="008847B5"/>
    <w:rsid w:val="00884A7A"/>
    <w:rsid w:val="00884E16"/>
    <w:rsid w:val="00885718"/>
    <w:rsid w:val="00885719"/>
    <w:rsid w:val="008858AF"/>
    <w:rsid w:val="008858B1"/>
    <w:rsid w:val="00885BB1"/>
    <w:rsid w:val="00885CAE"/>
    <w:rsid w:val="008860F1"/>
    <w:rsid w:val="008861A0"/>
    <w:rsid w:val="008864CA"/>
    <w:rsid w:val="0088710B"/>
    <w:rsid w:val="00887252"/>
    <w:rsid w:val="00887468"/>
    <w:rsid w:val="00887934"/>
    <w:rsid w:val="00887D49"/>
    <w:rsid w:val="00887DE1"/>
    <w:rsid w:val="00887F3B"/>
    <w:rsid w:val="00887FF0"/>
    <w:rsid w:val="0089054A"/>
    <w:rsid w:val="008906CE"/>
    <w:rsid w:val="0089081F"/>
    <w:rsid w:val="00890CCA"/>
    <w:rsid w:val="00890D83"/>
    <w:rsid w:val="00890ED7"/>
    <w:rsid w:val="00891513"/>
    <w:rsid w:val="00891AF3"/>
    <w:rsid w:val="00891CCB"/>
    <w:rsid w:val="00891F8F"/>
    <w:rsid w:val="0089202B"/>
    <w:rsid w:val="00892323"/>
    <w:rsid w:val="00892844"/>
    <w:rsid w:val="00892967"/>
    <w:rsid w:val="008929D7"/>
    <w:rsid w:val="00892C6A"/>
    <w:rsid w:val="00892D65"/>
    <w:rsid w:val="00892F52"/>
    <w:rsid w:val="0089315B"/>
    <w:rsid w:val="008932D7"/>
    <w:rsid w:val="008933F4"/>
    <w:rsid w:val="00893593"/>
    <w:rsid w:val="00893990"/>
    <w:rsid w:val="00893A5A"/>
    <w:rsid w:val="00893BAB"/>
    <w:rsid w:val="00893EB8"/>
    <w:rsid w:val="00893FC9"/>
    <w:rsid w:val="0089428B"/>
    <w:rsid w:val="00894617"/>
    <w:rsid w:val="00894D62"/>
    <w:rsid w:val="00894E89"/>
    <w:rsid w:val="008950EE"/>
    <w:rsid w:val="0089541B"/>
    <w:rsid w:val="0089582F"/>
    <w:rsid w:val="00895A52"/>
    <w:rsid w:val="00895A8F"/>
    <w:rsid w:val="00895CA9"/>
    <w:rsid w:val="00895FBA"/>
    <w:rsid w:val="00896467"/>
    <w:rsid w:val="00896799"/>
    <w:rsid w:val="008967BE"/>
    <w:rsid w:val="008969A2"/>
    <w:rsid w:val="00896A4F"/>
    <w:rsid w:val="00896C96"/>
    <w:rsid w:val="00896CE2"/>
    <w:rsid w:val="00896F49"/>
    <w:rsid w:val="00897159"/>
    <w:rsid w:val="008974C0"/>
    <w:rsid w:val="008977F1"/>
    <w:rsid w:val="00897E24"/>
    <w:rsid w:val="008A00B4"/>
    <w:rsid w:val="008A00B5"/>
    <w:rsid w:val="008A0139"/>
    <w:rsid w:val="008A01EB"/>
    <w:rsid w:val="008A03C7"/>
    <w:rsid w:val="008A0740"/>
    <w:rsid w:val="008A0D94"/>
    <w:rsid w:val="008A0EAB"/>
    <w:rsid w:val="008A1171"/>
    <w:rsid w:val="008A1274"/>
    <w:rsid w:val="008A12FD"/>
    <w:rsid w:val="008A1726"/>
    <w:rsid w:val="008A2110"/>
    <w:rsid w:val="008A22F8"/>
    <w:rsid w:val="008A23E4"/>
    <w:rsid w:val="008A2757"/>
    <w:rsid w:val="008A2B9C"/>
    <w:rsid w:val="008A2BBE"/>
    <w:rsid w:val="008A2D74"/>
    <w:rsid w:val="008A3132"/>
    <w:rsid w:val="008A35F4"/>
    <w:rsid w:val="008A3796"/>
    <w:rsid w:val="008A3A56"/>
    <w:rsid w:val="008A3A95"/>
    <w:rsid w:val="008A3C21"/>
    <w:rsid w:val="008A3EEF"/>
    <w:rsid w:val="008A3FEF"/>
    <w:rsid w:val="008A4031"/>
    <w:rsid w:val="008A40EF"/>
    <w:rsid w:val="008A4274"/>
    <w:rsid w:val="008A4372"/>
    <w:rsid w:val="008A43EE"/>
    <w:rsid w:val="008A44F1"/>
    <w:rsid w:val="008A4556"/>
    <w:rsid w:val="008A4653"/>
    <w:rsid w:val="008A46E0"/>
    <w:rsid w:val="008A4885"/>
    <w:rsid w:val="008A4B30"/>
    <w:rsid w:val="008A50B6"/>
    <w:rsid w:val="008A5296"/>
    <w:rsid w:val="008A54F8"/>
    <w:rsid w:val="008A57C8"/>
    <w:rsid w:val="008A5E0F"/>
    <w:rsid w:val="008A5E94"/>
    <w:rsid w:val="008A610D"/>
    <w:rsid w:val="008A62FE"/>
    <w:rsid w:val="008A6696"/>
    <w:rsid w:val="008A66D5"/>
    <w:rsid w:val="008A6E6E"/>
    <w:rsid w:val="008A73A5"/>
    <w:rsid w:val="008A7552"/>
    <w:rsid w:val="008A756B"/>
    <w:rsid w:val="008A76C4"/>
    <w:rsid w:val="008A76E2"/>
    <w:rsid w:val="008A78D1"/>
    <w:rsid w:val="008A7AA0"/>
    <w:rsid w:val="008A7DEF"/>
    <w:rsid w:val="008B0028"/>
    <w:rsid w:val="008B0104"/>
    <w:rsid w:val="008B013A"/>
    <w:rsid w:val="008B0171"/>
    <w:rsid w:val="008B0472"/>
    <w:rsid w:val="008B0552"/>
    <w:rsid w:val="008B0559"/>
    <w:rsid w:val="008B05BF"/>
    <w:rsid w:val="008B0A60"/>
    <w:rsid w:val="008B0CE6"/>
    <w:rsid w:val="008B18F3"/>
    <w:rsid w:val="008B20F6"/>
    <w:rsid w:val="008B2324"/>
    <w:rsid w:val="008B2406"/>
    <w:rsid w:val="008B264F"/>
    <w:rsid w:val="008B26C8"/>
    <w:rsid w:val="008B27E9"/>
    <w:rsid w:val="008B2889"/>
    <w:rsid w:val="008B28AA"/>
    <w:rsid w:val="008B2EA6"/>
    <w:rsid w:val="008B36C6"/>
    <w:rsid w:val="008B3783"/>
    <w:rsid w:val="008B37BA"/>
    <w:rsid w:val="008B380C"/>
    <w:rsid w:val="008B41C4"/>
    <w:rsid w:val="008B42F7"/>
    <w:rsid w:val="008B43FF"/>
    <w:rsid w:val="008B497D"/>
    <w:rsid w:val="008B4DF0"/>
    <w:rsid w:val="008B51C9"/>
    <w:rsid w:val="008B5D05"/>
    <w:rsid w:val="008B5ED7"/>
    <w:rsid w:val="008B619E"/>
    <w:rsid w:val="008B6593"/>
    <w:rsid w:val="008B6900"/>
    <w:rsid w:val="008B6CF8"/>
    <w:rsid w:val="008B6E39"/>
    <w:rsid w:val="008B738A"/>
    <w:rsid w:val="008B73D6"/>
    <w:rsid w:val="008B76B1"/>
    <w:rsid w:val="008B792C"/>
    <w:rsid w:val="008B7A58"/>
    <w:rsid w:val="008B7CAA"/>
    <w:rsid w:val="008C0172"/>
    <w:rsid w:val="008C037D"/>
    <w:rsid w:val="008C05C3"/>
    <w:rsid w:val="008C0615"/>
    <w:rsid w:val="008C087C"/>
    <w:rsid w:val="008C08CA"/>
    <w:rsid w:val="008C0AB4"/>
    <w:rsid w:val="008C0B36"/>
    <w:rsid w:val="008C0B38"/>
    <w:rsid w:val="008C0B5C"/>
    <w:rsid w:val="008C1226"/>
    <w:rsid w:val="008C14AE"/>
    <w:rsid w:val="008C1935"/>
    <w:rsid w:val="008C1DE2"/>
    <w:rsid w:val="008C1FE7"/>
    <w:rsid w:val="008C21C8"/>
    <w:rsid w:val="008C24F2"/>
    <w:rsid w:val="008C295C"/>
    <w:rsid w:val="008C2B74"/>
    <w:rsid w:val="008C2D5E"/>
    <w:rsid w:val="008C2E99"/>
    <w:rsid w:val="008C2F39"/>
    <w:rsid w:val="008C30B7"/>
    <w:rsid w:val="008C3325"/>
    <w:rsid w:val="008C351B"/>
    <w:rsid w:val="008C3552"/>
    <w:rsid w:val="008C3578"/>
    <w:rsid w:val="008C388E"/>
    <w:rsid w:val="008C3C84"/>
    <w:rsid w:val="008C3D62"/>
    <w:rsid w:val="008C4356"/>
    <w:rsid w:val="008C4825"/>
    <w:rsid w:val="008C4A6B"/>
    <w:rsid w:val="008C51B9"/>
    <w:rsid w:val="008C51BA"/>
    <w:rsid w:val="008C542B"/>
    <w:rsid w:val="008C5603"/>
    <w:rsid w:val="008C57D1"/>
    <w:rsid w:val="008C5A1E"/>
    <w:rsid w:val="008C5AD5"/>
    <w:rsid w:val="008C5DE2"/>
    <w:rsid w:val="008C5E8E"/>
    <w:rsid w:val="008C6279"/>
    <w:rsid w:val="008C65FD"/>
    <w:rsid w:val="008C6ED6"/>
    <w:rsid w:val="008C71B0"/>
    <w:rsid w:val="008C7347"/>
    <w:rsid w:val="008C736A"/>
    <w:rsid w:val="008C73DD"/>
    <w:rsid w:val="008C74AE"/>
    <w:rsid w:val="008C74DE"/>
    <w:rsid w:val="008C78FE"/>
    <w:rsid w:val="008C7D8F"/>
    <w:rsid w:val="008C7F71"/>
    <w:rsid w:val="008D0147"/>
    <w:rsid w:val="008D0323"/>
    <w:rsid w:val="008D03F0"/>
    <w:rsid w:val="008D05FF"/>
    <w:rsid w:val="008D0E7E"/>
    <w:rsid w:val="008D0F2E"/>
    <w:rsid w:val="008D14F9"/>
    <w:rsid w:val="008D15FF"/>
    <w:rsid w:val="008D1747"/>
    <w:rsid w:val="008D1CD0"/>
    <w:rsid w:val="008D1E2B"/>
    <w:rsid w:val="008D2033"/>
    <w:rsid w:val="008D204F"/>
    <w:rsid w:val="008D2055"/>
    <w:rsid w:val="008D2450"/>
    <w:rsid w:val="008D288E"/>
    <w:rsid w:val="008D2A6F"/>
    <w:rsid w:val="008D2F7E"/>
    <w:rsid w:val="008D3198"/>
    <w:rsid w:val="008D35A3"/>
    <w:rsid w:val="008D38C4"/>
    <w:rsid w:val="008D3ACA"/>
    <w:rsid w:val="008D3B15"/>
    <w:rsid w:val="008D42C5"/>
    <w:rsid w:val="008D4377"/>
    <w:rsid w:val="008D46CE"/>
    <w:rsid w:val="008D4D64"/>
    <w:rsid w:val="008D4F0F"/>
    <w:rsid w:val="008D509E"/>
    <w:rsid w:val="008D5728"/>
    <w:rsid w:val="008D5804"/>
    <w:rsid w:val="008D5BC2"/>
    <w:rsid w:val="008D5C13"/>
    <w:rsid w:val="008D5CB9"/>
    <w:rsid w:val="008D5F13"/>
    <w:rsid w:val="008D61B7"/>
    <w:rsid w:val="008D6337"/>
    <w:rsid w:val="008D64CB"/>
    <w:rsid w:val="008D6899"/>
    <w:rsid w:val="008D68A6"/>
    <w:rsid w:val="008D69BC"/>
    <w:rsid w:val="008D6EE6"/>
    <w:rsid w:val="008D6F31"/>
    <w:rsid w:val="008D7104"/>
    <w:rsid w:val="008D7177"/>
    <w:rsid w:val="008D7251"/>
    <w:rsid w:val="008D7330"/>
    <w:rsid w:val="008D76E7"/>
    <w:rsid w:val="008D7830"/>
    <w:rsid w:val="008D798D"/>
    <w:rsid w:val="008D7E3B"/>
    <w:rsid w:val="008D7FA6"/>
    <w:rsid w:val="008E07F5"/>
    <w:rsid w:val="008E08D6"/>
    <w:rsid w:val="008E0BE6"/>
    <w:rsid w:val="008E1079"/>
    <w:rsid w:val="008E11B4"/>
    <w:rsid w:val="008E1914"/>
    <w:rsid w:val="008E1E41"/>
    <w:rsid w:val="008E1E89"/>
    <w:rsid w:val="008E2068"/>
    <w:rsid w:val="008E2213"/>
    <w:rsid w:val="008E23C7"/>
    <w:rsid w:val="008E26D9"/>
    <w:rsid w:val="008E3505"/>
    <w:rsid w:val="008E3BF4"/>
    <w:rsid w:val="008E3D9E"/>
    <w:rsid w:val="008E45D5"/>
    <w:rsid w:val="008E48A9"/>
    <w:rsid w:val="008E4BCB"/>
    <w:rsid w:val="008E4D25"/>
    <w:rsid w:val="008E4F5A"/>
    <w:rsid w:val="008E5A16"/>
    <w:rsid w:val="008E5C5A"/>
    <w:rsid w:val="008E5EEF"/>
    <w:rsid w:val="008E6268"/>
    <w:rsid w:val="008E638F"/>
    <w:rsid w:val="008E672F"/>
    <w:rsid w:val="008E6752"/>
    <w:rsid w:val="008E6888"/>
    <w:rsid w:val="008E68B5"/>
    <w:rsid w:val="008E6D07"/>
    <w:rsid w:val="008E70E9"/>
    <w:rsid w:val="008E7332"/>
    <w:rsid w:val="008E795A"/>
    <w:rsid w:val="008E7BD9"/>
    <w:rsid w:val="008E7CD5"/>
    <w:rsid w:val="008E7F14"/>
    <w:rsid w:val="008F0230"/>
    <w:rsid w:val="008F0326"/>
    <w:rsid w:val="008F0B47"/>
    <w:rsid w:val="008F0C90"/>
    <w:rsid w:val="008F0E4C"/>
    <w:rsid w:val="008F0E8D"/>
    <w:rsid w:val="008F1086"/>
    <w:rsid w:val="008F15D7"/>
    <w:rsid w:val="008F1D16"/>
    <w:rsid w:val="008F219B"/>
    <w:rsid w:val="008F21B0"/>
    <w:rsid w:val="008F26A5"/>
    <w:rsid w:val="008F2749"/>
    <w:rsid w:val="008F2821"/>
    <w:rsid w:val="008F28FA"/>
    <w:rsid w:val="008F2F72"/>
    <w:rsid w:val="008F30A7"/>
    <w:rsid w:val="008F3229"/>
    <w:rsid w:val="008F34A4"/>
    <w:rsid w:val="008F374F"/>
    <w:rsid w:val="008F4376"/>
    <w:rsid w:val="008F47C9"/>
    <w:rsid w:val="008F4D50"/>
    <w:rsid w:val="008F4F84"/>
    <w:rsid w:val="008F50F8"/>
    <w:rsid w:val="008F5522"/>
    <w:rsid w:val="008F5684"/>
    <w:rsid w:val="008F5BD9"/>
    <w:rsid w:val="008F5BFF"/>
    <w:rsid w:val="008F5D3F"/>
    <w:rsid w:val="008F6177"/>
    <w:rsid w:val="008F629F"/>
    <w:rsid w:val="008F68A7"/>
    <w:rsid w:val="008F69F2"/>
    <w:rsid w:val="008F69FA"/>
    <w:rsid w:val="008F6A11"/>
    <w:rsid w:val="008F6C6A"/>
    <w:rsid w:val="008F72D2"/>
    <w:rsid w:val="008F74CE"/>
    <w:rsid w:val="008F7544"/>
    <w:rsid w:val="008F78D6"/>
    <w:rsid w:val="008F79AC"/>
    <w:rsid w:val="008F7BF6"/>
    <w:rsid w:val="008F7E87"/>
    <w:rsid w:val="009001C8"/>
    <w:rsid w:val="00900623"/>
    <w:rsid w:val="00900656"/>
    <w:rsid w:val="00900998"/>
    <w:rsid w:val="00900A35"/>
    <w:rsid w:val="00900B9C"/>
    <w:rsid w:val="00900CAE"/>
    <w:rsid w:val="00900D2B"/>
    <w:rsid w:val="00900F4A"/>
    <w:rsid w:val="00901271"/>
    <w:rsid w:val="009016CD"/>
    <w:rsid w:val="009016F9"/>
    <w:rsid w:val="0090172E"/>
    <w:rsid w:val="00901B85"/>
    <w:rsid w:val="00901F1D"/>
    <w:rsid w:val="00902015"/>
    <w:rsid w:val="0090245C"/>
    <w:rsid w:val="0090250F"/>
    <w:rsid w:val="00902909"/>
    <w:rsid w:val="00902B80"/>
    <w:rsid w:val="00902C8B"/>
    <w:rsid w:val="00902D5C"/>
    <w:rsid w:val="00902F12"/>
    <w:rsid w:val="00902F59"/>
    <w:rsid w:val="0090307F"/>
    <w:rsid w:val="00903284"/>
    <w:rsid w:val="009033FA"/>
    <w:rsid w:val="009034B7"/>
    <w:rsid w:val="0090372C"/>
    <w:rsid w:val="009038EA"/>
    <w:rsid w:val="0090401D"/>
    <w:rsid w:val="00904296"/>
    <w:rsid w:val="009043D6"/>
    <w:rsid w:val="009046FB"/>
    <w:rsid w:val="009048ED"/>
    <w:rsid w:val="00904BE7"/>
    <w:rsid w:val="00905069"/>
    <w:rsid w:val="00905183"/>
    <w:rsid w:val="00905504"/>
    <w:rsid w:val="00905601"/>
    <w:rsid w:val="00905C10"/>
    <w:rsid w:val="00906131"/>
    <w:rsid w:val="009062D2"/>
    <w:rsid w:val="00906736"/>
    <w:rsid w:val="009067BC"/>
    <w:rsid w:val="0090691F"/>
    <w:rsid w:val="00906940"/>
    <w:rsid w:val="00906F88"/>
    <w:rsid w:val="00907054"/>
    <w:rsid w:val="009071A6"/>
    <w:rsid w:val="0090788E"/>
    <w:rsid w:val="00907B11"/>
    <w:rsid w:val="00907ECC"/>
    <w:rsid w:val="0091034A"/>
    <w:rsid w:val="00910AE7"/>
    <w:rsid w:val="00910C8D"/>
    <w:rsid w:val="00910D4C"/>
    <w:rsid w:val="00911344"/>
    <w:rsid w:val="009115BD"/>
    <w:rsid w:val="0091168E"/>
    <w:rsid w:val="00911BF0"/>
    <w:rsid w:val="00911DCC"/>
    <w:rsid w:val="00912147"/>
    <w:rsid w:val="00912151"/>
    <w:rsid w:val="009125FF"/>
    <w:rsid w:val="009127F9"/>
    <w:rsid w:val="009127FE"/>
    <w:rsid w:val="00912A94"/>
    <w:rsid w:val="00913070"/>
    <w:rsid w:val="0091316D"/>
    <w:rsid w:val="009133CD"/>
    <w:rsid w:val="009133F9"/>
    <w:rsid w:val="0091364E"/>
    <w:rsid w:val="0091386B"/>
    <w:rsid w:val="00913B92"/>
    <w:rsid w:val="00913DC9"/>
    <w:rsid w:val="00913F79"/>
    <w:rsid w:val="00913FA8"/>
    <w:rsid w:val="009140D1"/>
    <w:rsid w:val="0091438A"/>
    <w:rsid w:val="009144B7"/>
    <w:rsid w:val="00914572"/>
    <w:rsid w:val="00914649"/>
    <w:rsid w:val="00914E65"/>
    <w:rsid w:val="00914EAD"/>
    <w:rsid w:val="00915812"/>
    <w:rsid w:val="009159BB"/>
    <w:rsid w:val="00915A4A"/>
    <w:rsid w:val="00915BB8"/>
    <w:rsid w:val="0091621B"/>
    <w:rsid w:val="00916241"/>
    <w:rsid w:val="00916836"/>
    <w:rsid w:val="0091683D"/>
    <w:rsid w:val="00916A90"/>
    <w:rsid w:val="00916AEC"/>
    <w:rsid w:val="00916B27"/>
    <w:rsid w:val="009171D5"/>
    <w:rsid w:val="0091780F"/>
    <w:rsid w:val="00920028"/>
    <w:rsid w:val="00920368"/>
    <w:rsid w:val="00920736"/>
    <w:rsid w:val="0092077B"/>
    <w:rsid w:val="00920831"/>
    <w:rsid w:val="0092084C"/>
    <w:rsid w:val="00921316"/>
    <w:rsid w:val="00921430"/>
    <w:rsid w:val="009215F7"/>
    <w:rsid w:val="00921743"/>
    <w:rsid w:val="00921AFA"/>
    <w:rsid w:val="00921CCD"/>
    <w:rsid w:val="00922200"/>
    <w:rsid w:val="0092277B"/>
    <w:rsid w:val="009227E1"/>
    <w:rsid w:val="00922E86"/>
    <w:rsid w:val="009235AA"/>
    <w:rsid w:val="0092360A"/>
    <w:rsid w:val="009236F1"/>
    <w:rsid w:val="00923729"/>
    <w:rsid w:val="009239BD"/>
    <w:rsid w:val="00923A03"/>
    <w:rsid w:val="00923EFD"/>
    <w:rsid w:val="00923F9D"/>
    <w:rsid w:val="00924311"/>
    <w:rsid w:val="009243CD"/>
    <w:rsid w:val="00924865"/>
    <w:rsid w:val="00924B5D"/>
    <w:rsid w:val="009253AB"/>
    <w:rsid w:val="009254C9"/>
    <w:rsid w:val="009257D8"/>
    <w:rsid w:val="00925ABF"/>
    <w:rsid w:val="00925C83"/>
    <w:rsid w:val="00925EC4"/>
    <w:rsid w:val="009261D1"/>
    <w:rsid w:val="009263E6"/>
    <w:rsid w:val="00926AEE"/>
    <w:rsid w:val="00927086"/>
    <w:rsid w:val="009271EA"/>
    <w:rsid w:val="0092723E"/>
    <w:rsid w:val="0092748D"/>
    <w:rsid w:val="00927921"/>
    <w:rsid w:val="00927B56"/>
    <w:rsid w:val="00927B5F"/>
    <w:rsid w:val="009300B4"/>
    <w:rsid w:val="00930165"/>
    <w:rsid w:val="009304F4"/>
    <w:rsid w:val="00930529"/>
    <w:rsid w:val="00930919"/>
    <w:rsid w:val="00930A95"/>
    <w:rsid w:val="00930ABC"/>
    <w:rsid w:val="00931163"/>
    <w:rsid w:val="0093124A"/>
    <w:rsid w:val="009313F3"/>
    <w:rsid w:val="0093158F"/>
    <w:rsid w:val="009316AE"/>
    <w:rsid w:val="0093170E"/>
    <w:rsid w:val="00931836"/>
    <w:rsid w:val="00931885"/>
    <w:rsid w:val="00931BB8"/>
    <w:rsid w:val="00931E5E"/>
    <w:rsid w:val="009322B7"/>
    <w:rsid w:val="00932488"/>
    <w:rsid w:val="0093285F"/>
    <w:rsid w:val="00932961"/>
    <w:rsid w:val="00932D38"/>
    <w:rsid w:val="00932F17"/>
    <w:rsid w:val="009330F0"/>
    <w:rsid w:val="00933144"/>
    <w:rsid w:val="00933194"/>
    <w:rsid w:val="00933248"/>
    <w:rsid w:val="0093329B"/>
    <w:rsid w:val="009333B9"/>
    <w:rsid w:val="009334C2"/>
    <w:rsid w:val="0093358D"/>
    <w:rsid w:val="00933996"/>
    <w:rsid w:val="00933A07"/>
    <w:rsid w:val="00933C4B"/>
    <w:rsid w:val="00933D7C"/>
    <w:rsid w:val="00933F93"/>
    <w:rsid w:val="0093401E"/>
    <w:rsid w:val="00934232"/>
    <w:rsid w:val="0093470D"/>
    <w:rsid w:val="009347A1"/>
    <w:rsid w:val="009347ED"/>
    <w:rsid w:val="00934B49"/>
    <w:rsid w:val="00934EFE"/>
    <w:rsid w:val="009353CC"/>
    <w:rsid w:val="0093540D"/>
    <w:rsid w:val="0093580E"/>
    <w:rsid w:val="0093590E"/>
    <w:rsid w:val="00935C2C"/>
    <w:rsid w:val="00935CCE"/>
    <w:rsid w:val="00935D27"/>
    <w:rsid w:val="00935E28"/>
    <w:rsid w:val="00935E54"/>
    <w:rsid w:val="009368F9"/>
    <w:rsid w:val="00936D9D"/>
    <w:rsid w:val="00936F7F"/>
    <w:rsid w:val="00937028"/>
    <w:rsid w:val="009370FD"/>
    <w:rsid w:val="0094004B"/>
    <w:rsid w:val="0094059C"/>
    <w:rsid w:val="00940BBF"/>
    <w:rsid w:val="00941263"/>
    <w:rsid w:val="009412B6"/>
    <w:rsid w:val="0094176D"/>
    <w:rsid w:val="00941A90"/>
    <w:rsid w:val="00941B6A"/>
    <w:rsid w:val="00941E0A"/>
    <w:rsid w:val="00941E31"/>
    <w:rsid w:val="00941FC2"/>
    <w:rsid w:val="00942643"/>
    <w:rsid w:val="009426B0"/>
    <w:rsid w:val="00942731"/>
    <w:rsid w:val="009427B0"/>
    <w:rsid w:val="009428A8"/>
    <w:rsid w:val="00942D6B"/>
    <w:rsid w:val="00942E54"/>
    <w:rsid w:val="00942FD5"/>
    <w:rsid w:val="00943091"/>
    <w:rsid w:val="009431AA"/>
    <w:rsid w:val="0094338A"/>
    <w:rsid w:val="00943455"/>
    <w:rsid w:val="009438E9"/>
    <w:rsid w:val="00943A8B"/>
    <w:rsid w:val="00943C81"/>
    <w:rsid w:val="009444A2"/>
    <w:rsid w:val="0094457C"/>
    <w:rsid w:val="009447AB"/>
    <w:rsid w:val="00944ADE"/>
    <w:rsid w:val="00944EA2"/>
    <w:rsid w:val="0094505B"/>
    <w:rsid w:val="009452CC"/>
    <w:rsid w:val="00945814"/>
    <w:rsid w:val="00945E57"/>
    <w:rsid w:val="0094613C"/>
    <w:rsid w:val="0094629D"/>
    <w:rsid w:val="00946669"/>
    <w:rsid w:val="009466CF"/>
    <w:rsid w:val="00946AB0"/>
    <w:rsid w:val="00946EA3"/>
    <w:rsid w:val="00947247"/>
    <w:rsid w:val="009475C4"/>
    <w:rsid w:val="00947620"/>
    <w:rsid w:val="00947A6C"/>
    <w:rsid w:val="00947C39"/>
    <w:rsid w:val="00950066"/>
    <w:rsid w:val="009502C9"/>
    <w:rsid w:val="00950425"/>
    <w:rsid w:val="00950872"/>
    <w:rsid w:val="009508EB"/>
    <w:rsid w:val="00950EF5"/>
    <w:rsid w:val="00951285"/>
    <w:rsid w:val="009514E3"/>
    <w:rsid w:val="009519F8"/>
    <w:rsid w:val="00951B18"/>
    <w:rsid w:val="00951C88"/>
    <w:rsid w:val="009520A8"/>
    <w:rsid w:val="009522CA"/>
    <w:rsid w:val="009524A2"/>
    <w:rsid w:val="0095262E"/>
    <w:rsid w:val="0095270A"/>
    <w:rsid w:val="0095275B"/>
    <w:rsid w:val="00952855"/>
    <w:rsid w:val="00952AD1"/>
    <w:rsid w:val="00952DAC"/>
    <w:rsid w:val="009535FF"/>
    <w:rsid w:val="00953AB1"/>
    <w:rsid w:val="00953C07"/>
    <w:rsid w:val="00953E54"/>
    <w:rsid w:val="00953E5E"/>
    <w:rsid w:val="0095400D"/>
    <w:rsid w:val="00954099"/>
    <w:rsid w:val="009540D9"/>
    <w:rsid w:val="009542F9"/>
    <w:rsid w:val="009546F5"/>
    <w:rsid w:val="009547E2"/>
    <w:rsid w:val="00954E38"/>
    <w:rsid w:val="0095507E"/>
    <w:rsid w:val="009550A1"/>
    <w:rsid w:val="009555CD"/>
    <w:rsid w:val="009558EF"/>
    <w:rsid w:val="00955906"/>
    <w:rsid w:val="00955C10"/>
    <w:rsid w:val="00955EED"/>
    <w:rsid w:val="009561D1"/>
    <w:rsid w:val="009561DA"/>
    <w:rsid w:val="00956813"/>
    <w:rsid w:val="00956990"/>
    <w:rsid w:val="00956A54"/>
    <w:rsid w:val="00956AEC"/>
    <w:rsid w:val="009570C2"/>
    <w:rsid w:val="00957EED"/>
    <w:rsid w:val="00957F2E"/>
    <w:rsid w:val="009607CA"/>
    <w:rsid w:val="00960899"/>
    <w:rsid w:val="00960916"/>
    <w:rsid w:val="00960A11"/>
    <w:rsid w:val="00960A7C"/>
    <w:rsid w:val="00960C1D"/>
    <w:rsid w:val="00961115"/>
    <w:rsid w:val="009615D7"/>
    <w:rsid w:val="009617CD"/>
    <w:rsid w:val="00961826"/>
    <w:rsid w:val="00961B2A"/>
    <w:rsid w:val="00961BFD"/>
    <w:rsid w:val="00961D94"/>
    <w:rsid w:val="00961D97"/>
    <w:rsid w:val="00962724"/>
    <w:rsid w:val="009627B4"/>
    <w:rsid w:val="009627F1"/>
    <w:rsid w:val="009628DB"/>
    <w:rsid w:val="00962E07"/>
    <w:rsid w:val="00962FD7"/>
    <w:rsid w:val="0096302E"/>
    <w:rsid w:val="009632BD"/>
    <w:rsid w:val="009634F6"/>
    <w:rsid w:val="00963567"/>
    <w:rsid w:val="00963634"/>
    <w:rsid w:val="00963924"/>
    <w:rsid w:val="00964540"/>
    <w:rsid w:val="00964803"/>
    <w:rsid w:val="00964C9C"/>
    <w:rsid w:val="00964CC9"/>
    <w:rsid w:val="00964F38"/>
    <w:rsid w:val="0096564A"/>
    <w:rsid w:val="00965C8E"/>
    <w:rsid w:val="00965D54"/>
    <w:rsid w:val="00965E1E"/>
    <w:rsid w:val="00965E5C"/>
    <w:rsid w:val="00965F78"/>
    <w:rsid w:val="00966026"/>
    <w:rsid w:val="0096605A"/>
    <w:rsid w:val="0096690C"/>
    <w:rsid w:val="00966AEC"/>
    <w:rsid w:val="00966F87"/>
    <w:rsid w:val="009671F0"/>
    <w:rsid w:val="00967448"/>
    <w:rsid w:val="009676D1"/>
    <w:rsid w:val="00967798"/>
    <w:rsid w:val="00967D9B"/>
    <w:rsid w:val="00970101"/>
    <w:rsid w:val="009707D0"/>
    <w:rsid w:val="00970A98"/>
    <w:rsid w:val="00970AEB"/>
    <w:rsid w:val="009713BA"/>
    <w:rsid w:val="00971463"/>
    <w:rsid w:val="0097171C"/>
    <w:rsid w:val="009717AE"/>
    <w:rsid w:val="00971DC4"/>
    <w:rsid w:val="0097223F"/>
    <w:rsid w:val="00972794"/>
    <w:rsid w:val="009729AD"/>
    <w:rsid w:val="00972AA0"/>
    <w:rsid w:val="00972B8F"/>
    <w:rsid w:val="009733A1"/>
    <w:rsid w:val="0097346C"/>
    <w:rsid w:val="009739D6"/>
    <w:rsid w:val="00973C60"/>
    <w:rsid w:val="00973DD3"/>
    <w:rsid w:val="00973EBC"/>
    <w:rsid w:val="0097424D"/>
    <w:rsid w:val="009742F0"/>
    <w:rsid w:val="00974697"/>
    <w:rsid w:val="00974BB3"/>
    <w:rsid w:val="00974C72"/>
    <w:rsid w:val="00974CFB"/>
    <w:rsid w:val="00974E8E"/>
    <w:rsid w:val="00974F28"/>
    <w:rsid w:val="00975CDA"/>
    <w:rsid w:val="00976122"/>
    <w:rsid w:val="009765EC"/>
    <w:rsid w:val="009766A8"/>
    <w:rsid w:val="009768B6"/>
    <w:rsid w:val="0097696C"/>
    <w:rsid w:val="00976C8D"/>
    <w:rsid w:val="00976D24"/>
    <w:rsid w:val="009771F3"/>
    <w:rsid w:val="00977C1F"/>
    <w:rsid w:val="00977F2B"/>
    <w:rsid w:val="009802A6"/>
    <w:rsid w:val="009802D8"/>
    <w:rsid w:val="00980F79"/>
    <w:rsid w:val="009810A3"/>
    <w:rsid w:val="0098189D"/>
    <w:rsid w:val="00981955"/>
    <w:rsid w:val="00981B31"/>
    <w:rsid w:val="00981C04"/>
    <w:rsid w:val="00981E12"/>
    <w:rsid w:val="00982681"/>
    <w:rsid w:val="00982C82"/>
    <w:rsid w:val="00982F91"/>
    <w:rsid w:val="00983307"/>
    <w:rsid w:val="009834BB"/>
    <w:rsid w:val="00983658"/>
    <w:rsid w:val="0098399D"/>
    <w:rsid w:val="00983C0F"/>
    <w:rsid w:val="00983CB9"/>
    <w:rsid w:val="00983F51"/>
    <w:rsid w:val="00983F8F"/>
    <w:rsid w:val="009841E0"/>
    <w:rsid w:val="0098481F"/>
    <w:rsid w:val="00984A20"/>
    <w:rsid w:val="009850F0"/>
    <w:rsid w:val="00985106"/>
    <w:rsid w:val="0098538F"/>
    <w:rsid w:val="0098570B"/>
    <w:rsid w:val="0098583A"/>
    <w:rsid w:val="00985874"/>
    <w:rsid w:val="00985E15"/>
    <w:rsid w:val="0098608E"/>
    <w:rsid w:val="00986213"/>
    <w:rsid w:val="00986DD9"/>
    <w:rsid w:val="0098703C"/>
    <w:rsid w:val="009875F8"/>
    <w:rsid w:val="00987606"/>
    <w:rsid w:val="00987CC0"/>
    <w:rsid w:val="00987E38"/>
    <w:rsid w:val="00987E4B"/>
    <w:rsid w:val="00987F21"/>
    <w:rsid w:val="009900CD"/>
    <w:rsid w:val="00990274"/>
    <w:rsid w:val="009904BB"/>
    <w:rsid w:val="00990735"/>
    <w:rsid w:val="00990C27"/>
    <w:rsid w:val="00990C85"/>
    <w:rsid w:val="00990F13"/>
    <w:rsid w:val="00990F8C"/>
    <w:rsid w:val="00990FF3"/>
    <w:rsid w:val="00991119"/>
    <w:rsid w:val="009912CA"/>
    <w:rsid w:val="00991A4C"/>
    <w:rsid w:val="00991A95"/>
    <w:rsid w:val="00991D92"/>
    <w:rsid w:val="009920F1"/>
    <w:rsid w:val="0099225C"/>
    <w:rsid w:val="0099269F"/>
    <w:rsid w:val="00992B78"/>
    <w:rsid w:val="00992BD9"/>
    <w:rsid w:val="00992DBD"/>
    <w:rsid w:val="00992E19"/>
    <w:rsid w:val="00993103"/>
    <w:rsid w:val="00993956"/>
    <w:rsid w:val="00993A61"/>
    <w:rsid w:val="00993C4F"/>
    <w:rsid w:val="00993E66"/>
    <w:rsid w:val="0099404A"/>
    <w:rsid w:val="00994785"/>
    <w:rsid w:val="00994B3A"/>
    <w:rsid w:val="00994E84"/>
    <w:rsid w:val="009950EF"/>
    <w:rsid w:val="009957E4"/>
    <w:rsid w:val="00995829"/>
    <w:rsid w:val="009959C7"/>
    <w:rsid w:val="00995CD7"/>
    <w:rsid w:val="00996023"/>
    <w:rsid w:val="00996456"/>
    <w:rsid w:val="00996B60"/>
    <w:rsid w:val="00996D66"/>
    <w:rsid w:val="00996DDC"/>
    <w:rsid w:val="00996FC2"/>
    <w:rsid w:val="00997079"/>
    <w:rsid w:val="009972F9"/>
    <w:rsid w:val="0099732C"/>
    <w:rsid w:val="009978FF"/>
    <w:rsid w:val="00997B24"/>
    <w:rsid w:val="00997D9D"/>
    <w:rsid w:val="00997DD5"/>
    <w:rsid w:val="009A073F"/>
    <w:rsid w:val="009A0AA7"/>
    <w:rsid w:val="009A1221"/>
    <w:rsid w:val="009A135D"/>
    <w:rsid w:val="009A1A81"/>
    <w:rsid w:val="009A1ABC"/>
    <w:rsid w:val="009A2040"/>
    <w:rsid w:val="009A20E8"/>
    <w:rsid w:val="009A2166"/>
    <w:rsid w:val="009A27B4"/>
    <w:rsid w:val="009A28E3"/>
    <w:rsid w:val="009A2AC6"/>
    <w:rsid w:val="009A2AEB"/>
    <w:rsid w:val="009A2D19"/>
    <w:rsid w:val="009A306C"/>
    <w:rsid w:val="009A3157"/>
    <w:rsid w:val="009A3353"/>
    <w:rsid w:val="009A3656"/>
    <w:rsid w:val="009A36EC"/>
    <w:rsid w:val="009A386A"/>
    <w:rsid w:val="009A3A79"/>
    <w:rsid w:val="009A3DBF"/>
    <w:rsid w:val="009A3EBA"/>
    <w:rsid w:val="009A3F0D"/>
    <w:rsid w:val="009A4129"/>
    <w:rsid w:val="009A447C"/>
    <w:rsid w:val="009A497D"/>
    <w:rsid w:val="009A4C62"/>
    <w:rsid w:val="009A4E7C"/>
    <w:rsid w:val="009A4F02"/>
    <w:rsid w:val="009A5153"/>
    <w:rsid w:val="009A57AF"/>
    <w:rsid w:val="009A5D2C"/>
    <w:rsid w:val="009A60A5"/>
    <w:rsid w:val="009A61C1"/>
    <w:rsid w:val="009A677C"/>
    <w:rsid w:val="009A689A"/>
    <w:rsid w:val="009A6B24"/>
    <w:rsid w:val="009A7165"/>
    <w:rsid w:val="009A7264"/>
    <w:rsid w:val="009A7270"/>
    <w:rsid w:val="009A7761"/>
    <w:rsid w:val="009A7B02"/>
    <w:rsid w:val="009A7CE1"/>
    <w:rsid w:val="009A7E92"/>
    <w:rsid w:val="009A7EE3"/>
    <w:rsid w:val="009B0032"/>
    <w:rsid w:val="009B0371"/>
    <w:rsid w:val="009B0438"/>
    <w:rsid w:val="009B050C"/>
    <w:rsid w:val="009B0855"/>
    <w:rsid w:val="009B0946"/>
    <w:rsid w:val="009B0AA1"/>
    <w:rsid w:val="009B0E14"/>
    <w:rsid w:val="009B1164"/>
    <w:rsid w:val="009B13B3"/>
    <w:rsid w:val="009B1812"/>
    <w:rsid w:val="009B1B61"/>
    <w:rsid w:val="009B1DC1"/>
    <w:rsid w:val="009B220F"/>
    <w:rsid w:val="009B237B"/>
    <w:rsid w:val="009B23E4"/>
    <w:rsid w:val="009B2468"/>
    <w:rsid w:val="009B2D1A"/>
    <w:rsid w:val="009B2F24"/>
    <w:rsid w:val="009B2FB1"/>
    <w:rsid w:val="009B32B1"/>
    <w:rsid w:val="009B33A4"/>
    <w:rsid w:val="009B398B"/>
    <w:rsid w:val="009B39F6"/>
    <w:rsid w:val="009B3B3F"/>
    <w:rsid w:val="009B3D1D"/>
    <w:rsid w:val="009B3DA7"/>
    <w:rsid w:val="009B3DFB"/>
    <w:rsid w:val="009B3E94"/>
    <w:rsid w:val="009B4004"/>
    <w:rsid w:val="009B43DA"/>
    <w:rsid w:val="009B44BE"/>
    <w:rsid w:val="009B47CE"/>
    <w:rsid w:val="009B48C3"/>
    <w:rsid w:val="009B5117"/>
    <w:rsid w:val="009B53CF"/>
    <w:rsid w:val="009B5C7C"/>
    <w:rsid w:val="009B5D90"/>
    <w:rsid w:val="009B61D3"/>
    <w:rsid w:val="009B6482"/>
    <w:rsid w:val="009B6490"/>
    <w:rsid w:val="009B6554"/>
    <w:rsid w:val="009B656F"/>
    <w:rsid w:val="009B6AAE"/>
    <w:rsid w:val="009B6BFD"/>
    <w:rsid w:val="009B6CC1"/>
    <w:rsid w:val="009B6F71"/>
    <w:rsid w:val="009B7038"/>
    <w:rsid w:val="009B706E"/>
    <w:rsid w:val="009B7719"/>
    <w:rsid w:val="009B7B5B"/>
    <w:rsid w:val="009B7CC3"/>
    <w:rsid w:val="009B7CEF"/>
    <w:rsid w:val="009B7FB4"/>
    <w:rsid w:val="009C012F"/>
    <w:rsid w:val="009C03C0"/>
    <w:rsid w:val="009C06D8"/>
    <w:rsid w:val="009C0929"/>
    <w:rsid w:val="009C0CB4"/>
    <w:rsid w:val="009C16D5"/>
    <w:rsid w:val="009C188A"/>
    <w:rsid w:val="009C1F75"/>
    <w:rsid w:val="009C20FF"/>
    <w:rsid w:val="009C2462"/>
    <w:rsid w:val="009C2687"/>
    <w:rsid w:val="009C2A71"/>
    <w:rsid w:val="009C2A94"/>
    <w:rsid w:val="009C2ABC"/>
    <w:rsid w:val="009C3125"/>
    <w:rsid w:val="009C3278"/>
    <w:rsid w:val="009C3484"/>
    <w:rsid w:val="009C34F8"/>
    <w:rsid w:val="009C35EA"/>
    <w:rsid w:val="009C37EA"/>
    <w:rsid w:val="009C3AE6"/>
    <w:rsid w:val="009C3CEB"/>
    <w:rsid w:val="009C3E91"/>
    <w:rsid w:val="009C4A1F"/>
    <w:rsid w:val="009C4DA3"/>
    <w:rsid w:val="009C5AC1"/>
    <w:rsid w:val="009C5DD3"/>
    <w:rsid w:val="009C61B2"/>
    <w:rsid w:val="009C61BD"/>
    <w:rsid w:val="009C6627"/>
    <w:rsid w:val="009C687B"/>
    <w:rsid w:val="009C6984"/>
    <w:rsid w:val="009C6B86"/>
    <w:rsid w:val="009C6CA8"/>
    <w:rsid w:val="009C7193"/>
    <w:rsid w:val="009C7432"/>
    <w:rsid w:val="009C7548"/>
    <w:rsid w:val="009C7719"/>
    <w:rsid w:val="009C79AB"/>
    <w:rsid w:val="009C79C7"/>
    <w:rsid w:val="009C7F74"/>
    <w:rsid w:val="009D03FD"/>
    <w:rsid w:val="009D0726"/>
    <w:rsid w:val="009D098D"/>
    <w:rsid w:val="009D0AD9"/>
    <w:rsid w:val="009D0CB1"/>
    <w:rsid w:val="009D0D8A"/>
    <w:rsid w:val="009D0F65"/>
    <w:rsid w:val="009D0FC5"/>
    <w:rsid w:val="009D10B7"/>
    <w:rsid w:val="009D1395"/>
    <w:rsid w:val="009D16E9"/>
    <w:rsid w:val="009D1776"/>
    <w:rsid w:val="009D1F00"/>
    <w:rsid w:val="009D22FE"/>
    <w:rsid w:val="009D23F4"/>
    <w:rsid w:val="009D2535"/>
    <w:rsid w:val="009D2538"/>
    <w:rsid w:val="009D29F4"/>
    <w:rsid w:val="009D2BAC"/>
    <w:rsid w:val="009D2C9B"/>
    <w:rsid w:val="009D3208"/>
    <w:rsid w:val="009D328E"/>
    <w:rsid w:val="009D3730"/>
    <w:rsid w:val="009D380C"/>
    <w:rsid w:val="009D3B03"/>
    <w:rsid w:val="009D3B41"/>
    <w:rsid w:val="009D3BB5"/>
    <w:rsid w:val="009D42DA"/>
    <w:rsid w:val="009D4312"/>
    <w:rsid w:val="009D45C0"/>
    <w:rsid w:val="009D4AD8"/>
    <w:rsid w:val="009D4B90"/>
    <w:rsid w:val="009D4CD3"/>
    <w:rsid w:val="009D4F31"/>
    <w:rsid w:val="009D50AE"/>
    <w:rsid w:val="009D51E7"/>
    <w:rsid w:val="009D5442"/>
    <w:rsid w:val="009D5619"/>
    <w:rsid w:val="009D5BB7"/>
    <w:rsid w:val="009D5F22"/>
    <w:rsid w:val="009D60B4"/>
    <w:rsid w:val="009D6198"/>
    <w:rsid w:val="009D633F"/>
    <w:rsid w:val="009D6AAA"/>
    <w:rsid w:val="009D6D0E"/>
    <w:rsid w:val="009D6E00"/>
    <w:rsid w:val="009D70F9"/>
    <w:rsid w:val="009D74AB"/>
    <w:rsid w:val="009D753F"/>
    <w:rsid w:val="009D7646"/>
    <w:rsid w:val="009D768B"/>
    <w:rsid w:val="009D7E5D"/>
    <w:rsid w:val="009D7F86"/>
    <w:rsid w:val="009E0139"/>
    <w:rsid w:val="009E06FD"/>
    <w:rsid w:val="009E0B6B"/>
    <w:rsid w:val="009E0BA8"/>
    <w:rsid w:val="009E0C5B"/>
    <w:rsid w:val="009E0CA2"/>
    <w:rsid w:val="009E0DCF"/>
    <w:rsid w:val="009E0EB2"/>
    <w:rsid w:val="009E0FA0"/>
    <w:rsid w:val="009E1353"/>
    <w:rsid w:val="009E18D1"/>
    <w:rsid w:val="009E212E"/>
    <w:rsid w:val="009E25C1"/>
    <w:rsid w:val="009E26A2"/>
    <w:rsid w:val="009E3AB6"/>
    <w:rsid w:val="009E3CF9"/>
    <w:rsid w:val="009E3E4A"/>
    <w:rsid w:val="009E44DB"/>
    <w:rsid w:val="009E454B"/>
    <w:rsid w:val="009E4681"/>
    <w:rsid w:val="009E48D1"/>
    <w:rsid w:val="009E49B0"/>
    <w:rsid w:val="009E4A22"/>
    <w:rsid w:val="009E4A26"/>
    <w:rsid w:val="009E4D59"/>
    <w:rsid w:val="009E4DCE"/>
    <w:rsid w:val="009E508C"/>
    <w:rsid w:val="009E512F"/>
    <w:rsid w:val="009E54B6"/>
    <w:rsid w:val="009E5545"/>
    <w:rsid w:val="009E5811"/>
    <w:rsid w:val="009E5943"/>
    <w:rsid w:val="009E5962"/>
    <w:rsid w:val="009E5A50"/>
    <w:rsid w:val="009E5A79"/>
    <w:rsid w:val="009E5B50"/>
    <w:rsid w:val="009E5CA4"/>
    <w:rsid w:val="009E5FD9"/>
    <w:rsid w:val="009E635D"/>
    <w:rsid w:val="009E6446"/>
    <w:rsid w:val="009E6A5F"/>
    <w:rsid w:val="009E6B07"/>
    <w:rsid w:val="009E6BF8"/>
    <w:rsid w:val="009E6F2A"/>
    <w:rsid w:val="009E72CC"/>
    <w:rsid w:val="009E7482"/>
    <w:rsid w:val="009E7622"/>
    <w:rsid w:val="009E79CF"/>
    <w:rsid w:val="009E7A42"/>
    <w:rsid w:val="009E7C82"/>
    <w:rsid w:val="009E7D75"/>
    <w:rsid w:val="009E7E1E"/>
    <w:rsid w:val="009E7E8A"/>
    <w:rsid w:val="009E7FAD"/>
    <w:rsid w:val="009F00D4"/>
    <w:rsid w:val="009F01E8"/>
    <w:rsid w:val="009F0493"/>
    <w:rsid w:val="009F04AF"/>
    <w:rsid w:val="009F050D"/>
    <w:rsid w:val="009F06DA"/>
    <w:rsid w:val="009F0766"/>
    <w:rsid w:val="009F08D9"/>
    <w:rsid w:val="009F0C72"/>
    <w:rsid w:val="009F0CAC"/>
    <w:rsid w:val="009F0DBF"/>
    <w:rsid w:val="009F0E10"/>
    <w:rsid w:val="009F0E27"/>
    <w:rsid w:val="009F0E3F"/>
    <w:rsid w:val="009F114C"/>
    <w:rsid w:val="009F127E"/>
    <w:rsid w:val="009F1638"/>
    <w:rsid w:val="009F1E57"/>
    <w:rsid w:val="009F1E7C"/>
    <w:rsid w:val="009F2237"/>
    <w:rsid w:val="009F25AF"/>
    <w:rsid w:val="009F26A1"/>
    <w:rsid w:val="009F26E9"/>
    <w:rsid w:val="009F271D"/>
    <w:rsid w:val="009F2724"/>
    <w:rsid w:val="009F2CD5"/>
    <w:rsid w:val="009F2E8B"/>
    <w:rsid w:val="009F34C8"/>
    <w:rsid w:val="009F3A42"/>
    <w:rsid w:val="009F44D8"/>
    <w:rsid w:val="009F454D"/>
    <w:rsid w:val="009F45AE"/>
    <w:rsid w:val="009F4701"/>
    <w:rsid w:val="009F483C"/>
    <w:rsid w:val="009F4C1D"/>
    <w:rsid w:val="009F4E3F"/>
    <w:rsid w:val="009F5072"/>
    <w:rsid w:val="009F5462"/>
    <w:rsid w:val="009F54BE"/>
    <w:rsid w:val="009F5943"/>
    <w:rsid w:val="009F5BE4"/>
    <w:rsid w:val="009F5C47"/>
    <w:rsid w:val="009F5D5C"/>
    <w:rsid w:val="009F5E66"/>
    <w:rsid w:val="009F6055"/>
    <w:rsid w:val="009F643A"/>
    <w:rsid w:val="009F6487"/>
    <w:rsid w:val="009F64EC"/>
    <w:rsid w:val="009F65DF"/>
    <w:rsid w:val="009F6689"/>
    <w:rsid w:val="009F6932"/>
    <w:rsid w:val="009F722C"/>
    <w:rsid w:val="009F72BE"/>
    <w:rsid w:val="009F7777"/>
    <w:rsid w:val="009F7D19"/>
    <w:rsid w:val="00A002C8"/>
    <w:rsid w:val="00A0058B"/>
    <w:rsid w:val="00A00FF0"/>
    <w:rsid w:val="00A012AD"/>
    <w:rsid w:val="00A0156C"/>
    <w:rsid w:val="00A01631"/>
    <w:rsid w:val="00A0165C"/>
    <w:rsid w:val="00A0189C"/>
    <w:rsid w:val="00A01C60"/>
    <w:rsid w:val="00A02098"/>
    <w:rsid w:val="00A0295E"/>
    <w:rsid w:val="00A0298C"/>
    <w:rsid w:val="00A02ED8"/>
    <w:rsid w:val="00A02F40"/>
    <w:rsid w:val="00A0309B"/>
    <w:rsid w:val="00A0313E"/>
    <w:rsid w:val="00A0324B"/>
    <w:rsid w:val="00A0349F"/>
    <w:rsid w:val="00A03988"/>
    <w:rsid w:val="00A03A8E"/>
    <w:rsid w:val="00A03CC7"/>
    <w:rsid w:val="00A0435C"/>
    <w:rsid w:val="00A049F7"/>
    <w:rsid w:val="00A04A90"/>
    <w:rsid w:val="00A04AE4"/>
    <w:rsid w:val="00A04DA4"/>
    <w:rsid w:val="00A0516F"/>
    <w:rsid w:val="00A051C1"/>
    <w:rsid w:val="00A0544D"/>
    <w:rsid w:val="00A05572"/>
    <w:rsid w:val="00A05B28"/>
    <w:rsid w:val="00A05B5B"/>
    <w:rsid w:val="00A05B97"/>
    <w:rsid w:val="00A05D70"/>
    <w:rsid w:val="00A06205"/>
    <w:rsid w:val="00A06302"/>
    <w:rsid w:val="00A0667E"/>
    <w:rsid w:val="00A06C94"/>
    <w:rsid w:val="00A06F17"/>
    <w:rsid w:val="00A06F7F"/>
    <w:rsid w:val="00A07113"/>
    <w:rsid w:val="00A07131"/>
    <w:rsid w:val="00A0741B"/>
    <w:rsid w:val="00A07538"/>
    <w:rsid w:val="00A07596"/>
    <w:rsid w:val="00A07597"/>
    <w:rsid w:val="00A075EC"/>
    <w:rsid w:val="00A07D57"/>
    <w:rsid w:val="00A07F49"/>
    <w:rsid w:val="00A101FD"/>
    <w:rsid w:val="00A10216"/>
    <w:rsid w:val="00A10259"/>
    <w:rsid w:val="00A10693"/>
    <w:rsid w:val="00A107A4"/>
    <w:rsid w:val="00A10DAA"/>
    <w:rsid w:val="00A10DBD"/>
    <w:rsid w:val="00A10E79"/>
    <w:rsid w:val="00A10F0F"/>
    <w:rsid w:val="00A1133F"/>
    <w:rsid w:val="00A11B71"/>
    <w:rsid w:val="00A11CC6"/>
    <w:rsid w:val="00A11E63"/>
    <w:rsid w:val="00A11F70"/>
    <w:rsid w:val="00A120B1"/>
    <w:rsid w:val="00A122B5"/>
    <w:rsid w:val="00A12C2A"/>
    <w:rsid w:val="00A12DE8"/>
    <w:rsid w:val="00A131EA"/>
    <w:rsid w:val="00A13A3F"/>
    <w:rsid w:val="00A13A95"/>
    <w:rsid w:val="00A13C60"/>
    <w:rsid w:val="00A13CE3"/>
    <w:rsid w:val="00A13D1A"/>
    <w:rsid w:val="00A13F81"/>
    <w:rsid w:val="00A14367"/>
    <w:rsid w:val="00A14A2F"/>
    <w:rsid w:val="00A14DE4"/>
    <w:rsid w:val="00A1562B"/>
    <w:rsid w:val="00A1598E"/>
    <w:rsid w:val="00A15999"/>
    <w:rsid w:val="00A15BA1"/>
    <w:rsid w:val="00A15C08"/>
    <w:rsid w:val="00A15ED9"/>
    <w:rsid w:val="00A161BF"/>
    <w:rsid w:val="00A1689E"/>
    <w:rsid w:val="00A16B02"/>
    <w:rsid w:val="00A16BC7"/>
    <w:rsid w:val="00A16C17"/>
    <w:rsid w:val="00A16C20"/>
    <w:rsid w:val="00A16D5D"/>
    <w:rsid w:val="00A16DDA"/>
    <w:rsid w:val="00A17056"/>
    <w:rsid w:val="00A171A6"/>
    <w:rsid w:val="00A172CF"/>
    <w:rsid w:val="00A1759C"/>
    <w:rsid w:val="00A176A4"/>
    <w:rsid w:val="00A179E0"/>
    <w:rsid w:val="00A17E53"/>
    <w:rsid w:val="00A17F4A"/>
    <w:rsid w:val="00A20248"/>
    <w:rsid w:val="00A20BAA"/>
    <w:rsid w:val="00A20F4F"/>
    <w:rsid w:val="00A21091"/>
    <w:rsid w:val="00A2130C"/>
    <w:rsid w:val="00A2132D"/>
    <w:rsid w:val="00A216A0"/>
    <w:rsid w:val="00A21ADA"/>
    <w:rsid w:val="00A21C92"/>
    <w:rsid w:val="00A21FB0"/>
    <w:rsid w:val="00A224F0"/>
    <w:rsid w:val="00A23330"/>
    <w:rsid w:val="00A23813"/>
    <w:rsid w:val="00A23BD1"/>
    <w:rsid w:val="00A23CB3"/>
    <w:rsid w:val="00A240CB"/>
    <w:rsid w:val="00A24150"/>
    <w:rsid w:val="00A24496"/>
    <w:rsid w:val="00A24748"/>
    <w:rsid w:val="00A24794"/>
    <w:rsid w:val="00A247EE"/>
    <w:rsid w:val="00A24D1E"/>
    <w:rsid w:val="00A25A47"/>
    <w:rsid w:val="00A265E9"/>
    <w:rsid w:val="00A267EC"/>
    <w:rsid w:val="00A26A82"/>
    <w:rsid w:val="00A26EC6"/>
    <w:rsid w:val="00A270AE"/>
    <w:rsid w:val="00A271B6"/>
    <w:rsid w:val="00A271DC"/>
    <w:rsid w:val="00A277D7"/>
    <w:rsid w:val="00A27989"/>
    <w:rsid w:val="00A27C8A"/>
    <w:rsid w:val="00A27F2D"/>
    <w:rsid w:val="00A30089"/>
    <w:rsid w:val="00A30B98"/>
    <w:rsid w:val="00A311C8"/>
    <w:rsid w:val="00A317EC"/>
    <w:rsid w:val="00A3186D"/>
    <w:rsid w:val="00A320C4"/>
    <w:rsid w:val="00A32391"/>
    <w:rsid w:val="00A32466"/>
    <w:rsid w:val="00A32C4D"/>
    <w:rsid w:val="00A32F77"/>
    <w:rsid w:val="00A3324B"/>
    <w:rsid w:val="00A33474"/>
    <w:rsid w:val="00A34372"/>
    <w:rsid w:val="00A345A9"/>
    <w:rsid w:val="00A347F4"/>
    <w:rsid w:val="00A3482E"/>
    <w:rsid w:val="00A34B0B"/>
    <w:rsid w:val="00A34D5F"/>
    <w:rsid w:val="00A34EF5"/>
    <w:rsid w:val="00A34F99"/>
    <w:rsid w:val="00A34F9F"/>
    <w:rsid w:val="00A359CF"/>
    <w:rsid w:val="00A35AB0"/>
    <w:rsid w:val="00A35B60"/>
    <w:rsid w:val="00A35E4A"/>
    <w:rsid w:val="00A35F00"/>
    <w:rsid w:val="00A3601F"/>
    <w:rsid w:val="00A361E8"/>
    <w:rsid w:val="00A36372"/>
    <w:rsid w:val="00A3673B"/>
    <w:rsid w:val="00A3676D"/>
    <w:rsid w:val="00A36982"/>
    <w:rsid w:val="00A37056"/>
    <w:rsid w:val="00A37B18"/>
    <w:rsid w:val="00A37B6D"/>
    <w:rsid w:val="00A37C41"/>
    <w:rsid w:val="00A37D31"/>
    <w:rsid w:val="00A40BA1"/>
    <w:rsid w:val="00A40E88"/>
    <w:rsid w:val="00A412E9"/>
    <w:rsid w:val="00A414EB"/>
    <w:rsid w:val="00A4170F"/>
    <w:rsid w:val="00A41FED"/>
    <w:rsid w:val="00A42A92"/>
    <w:rsid w:val="00A42D70"/>
    <w:rsid w:val="00A43172"/>
    <w:rsid w:val="00A4338E"/>
    <w:rsid w:val="00A4394D"/>
    <w:rsid w:val="00A440B1"/>
    <w:rsid w:val="00A44680"/>
    <w:rsid w:val="00A44A51"/>
    <w:rsid w:val="00A44BA6"/>
    <w:rsid w:val="00A44DC6"/>
    <w:rsid w:val="00A45393"/>
    <w:rsid w:val="00A4540D"/>
    <w:rsid w:val="00A458BF"/>
    <w:rsid w:val="00A45972"/>
    <w:rsid w:val="00A459B5"/>
    <w:rsid w:val="00A45C8B"/>
    <w:rsid w:val="00A45DC5"/>
    <w:rsid w:val="00A46452"/>
    <w:rsid w:val="00A4651F"/>
    <w:rsid w:val="00A46722"/>
    <w:rsid w:val="00A4675D"/>
    <w:rsid w:val="00A4692D"/>
    <w:rsid w:val="00A46A0C"/>
    <w:rsid w:val="00A46C2D"/>
    <w:rsid w:val="00A46CE5"/>
    <w:rsid w:val="00A471C1"/>
    <w:rsid w:val="00A472CA"/>
    <w:rsid w:val="00A476BA"/>
    <w:rsid w:val="00A47781"/>
    <w:rsid w:val="00A4783F"/>
    <w:rsid w:val="00A4784F"/>
    <w:rsid w:val="00A47915"/>
    <w:rsid w:val="00A4796B"/>
    <w:rsid w:val="00A479B6"/>
    <w:rsid w:val="00A47A5F"/>
    <w:rsid w:val="00A47AC8"/>
    <w:rsid w:val="00A5059B"/>
    <w:rsid w:val="00A50B23"/>
    <w:rsid w:val="00A50C78"/>
    <w:rsid w:val="00A514B9"/>
    <w:rsid w:val="00A5180D"/>
    <w:rsid w:val="00A51B2E"/>
    <w:rsid w:val="00A52087"/>
    <w:rsid w:val="00A52248"/>
    <w:rsid w:val="00A52383"/>
    <w:rsid w:val="00A52695"/>
    <w:rsid w:val="00A52894"/>
    <w:rsid w:val="00A52C78"/>
    <w:rsid w:val="00A52CE5"/>
    <w:rsid w:val="00A53111"/>
    <w:rsid w:val="00A53174"/>
    <w:rsid w:val="00A535E5"/>
    <w:rsid w:val="00A53CA3"/>
    <w:rsid w:val="00A53EDA"/>
    <w:rsid w:val="00A53F43"/>
    <w:rsid w:val="00A5440D"/>
    <w:rsid w:val="00A54419"/>
    <w:rsid w:val="00A5463A"/>
    <w:rsid w:val="00A54706"/>
    <w:rsid w:val="00A549BD"/>
    <w:rsid w:val="00A54B04"/>
    <w:rsid w:val="00A54EFB"/>
    <w:rsid w:val="00A558C3"/>
    <w:rsid w:val="00A55A9A"/>
    <w:rsid w:val="00A55CA6"/>
    <w:rsid w:val="00A55E28"/>
    <w:rsid w:val="00A560CB"/>
    <w:rsid w:val="00A565D7"/>
    <w:rsid w:val="00A5661A"/>
    <w:rsid w:val="00A56899"/>
    <w:rsid w:val="00A56D96"/>
    <w:rsid w:val="00A56FC9"/>
    <w:rsid w:val="00A57350"/>
    <w:rsid w:val="00A5758C"/>
    <w:rsid w:val="00A575CC"/>
    <w:rsid w:val="00A57CF5"/>
    <w:rsid w:val="00A57E86"/>
    <w:rsid w:val="00A57E87"/>
    <w:rsid w:val="00A57EAD"/>
    <w:rsid w:val="00A60397"/>
    <w:rsid w:val="00A60487"/>
    <w:rsid w:val="00A60C7A"/>
    <w:rsid w:val="00A60ED1"/>
    <w:rsid w:val="00A61277"/>
    <w:rsid w:val="00A612ED"/>
    <w:rsid w:val="00A61DC8"/>
    <w:rsid w:val="00A61EE5"/>
    <w:rsid w:val="00A623B9"/>
    <w:rsid w:val="00A62A50"/>
    <w:rsid w:val="00A630C4"/>
    <w:rsid w:val="00A635F4"/>
    <w:rsid w:val="00A6362B"/>
    <w:rsid w:val="00A6384B"/>
    <w:rsid w:val="00A63997"/>
    <w:rsid w:val="00A63B05"/>
    <w:rsid w:val="00A63B6B"/>
    <w:rsid w:val="00A6408D"/>
    <w:rsid w:val="00A64155"/>
    <w:rsid w:val="00A64334"/>
    <w:rsid w:val="00A64BBB"/>
    <w:rsid w:val="00A64C38"/>
    <w:rsid w:val="00A64C78"/>
    <w:rsid w:val="00A64CDD"/>
    <w:rsid w:val="00A650C1"/>
    <w:rsid w:val="00A65296"/>
    <w:rsid w:val="00A65363"/>
    <w:rsid w:val="00A6594C"/>
    <w:rsid w:val="00A65AFD"/>
    <w:rsid w:val="00A65C08"/>
    <w:rsid w:val="00A65E59"/>
    <w:rsid w:val="00A65EB4"/>
    <w:rsid w:val="00A65FF3"/>
    <w:rsid w:val="00A6632D"/>
    <w:rsid w:val="00A66373"/>
    <w:rsid w:val="00A66C99"/>
    <w:rsid w:val="00A66ED6"/>
    <w:rsid w:val="00A67486"/>
    <w:rsid w:val="00A67739"/>
    <w:rsid w:val="00A677B5"/>
    <w:rsid w:val="00A6785C"/>
    <w:rsid w:val="00A67BBE"/>
    <w:rsid w:val="00A67F5A"/>
    <w:rsid w:val="00A7010D"/>
    <w:rsid w:val="00A7013F"/>
    <w:rsid w:val="00A70739"/>
    <w:rsid w:val="00A708CA"/>
    <w:rsid w:val="00A7093A"/>
    <w:rsid w:val="00A70BDB"/>
    <w:rsid w:val="00A70BFF"/>
    <w:rsid w:val="00A70C12"/>
    <w:rsid w:val="00A70D17"/>
    <w:rsid w:val="00A710C4"/>
    <w:rsid w:val="00A7119D"/>
    <w:rsid w:val="00A7120E"/>
    <w:rsid w:val="00A7171D"/>
    <w:rsid w:val="00A717E1"/>
    <w:rsid w:val="00A71977"/>
    <w:rsid w:val="00A7198C"/>
    <w:rsid w:val="00A71B63"/>
    <w:rsid w:val="00A71F3C"/>
    <w:rsid w:val="00A72096"/>
    <w:rsid w:val="00A7282A"/>
    <w:rsid w:val="00A72864"/>
    <w:rsid w:val="00A72B5D"/>
    <w:rsid w:val="00A72D82"/>
    <w:rsid w:val="00A73182"/>
    <w:rsid w:val="00A731D0"/>
    <w:rsid w:val="00A732D6"/>
    <w:rsid w:val="00A7394B"/>
    <w:rsid w:val="00A739F5"/>
    <w:rsid w:val="00A74011"/>
    <w:rsid w:val="00A74878"/>
    <w:rsid w:val="00A748D8"/>
    <w:rsid w:val="00A74A8E"/>
    <w:rsid w:val="00A74F34"/>
    <w:rsid w:val="00A75302"/>
    <w:rsid w:val="00A7552B"/>
    <w:rsid w:val="00A75820"/>
    <w:rsid w:val="00A7590F"/>
    <w:rsid w:val="00A75E8D"/>
    <w:rsid w:val="00A75F9F"/>
    <w:rsid w:val="00A76208"/>
    <w:rsid w:val="00A768DB"/>
    <w:rsid w:val="00A76B03"/>
    <w:rsid w:val="00A76E34"/>
    <w:rsid w:val="00A76E57"/>
    <w:rsid w:val="00A77107"/>
    <w:rsid w:val="00A7743E"/>
    <w:rsid w:val="00A774B5"/>
    <w:rsid w:val="00A776F7"/>
    <w:rsid w:val="00A77AED"/>
    <w:rsid w:val="00A77BB5"/>
    <w:rsid w:val="00A77D08"/>
    <w:rsid w:val="00A77F99"/>
    <w:rsid w:val="00A80095"/>
    <w:rsid w:val="00A804D3"/>
    <w:rsid w:val="00A80C98"/>
    <w:rsid w:val="00A8146F"/>
    <w:rsid w:val="00A815F7"/>
    <w:rsid w:val="00A8168A"/>
    <w:rsid w:val="00A817DD"/>
    <w:rsid w:val="00A818E3"/>
    <w:rsid w:val="00A81CF5"/>
    <w:rsid w:val="00A81E4B"/>
    <w:rsid w:val="00A8218C"/>
    <w:rsid w:val="00A826F3"/>
    <w:rsid w:val="00A82C59"/>
    <w:rsid w:val="00A82E37"/>
    <w:rsid w:val="00A83217"/>
    <w:rsid w:val="00A832C0"/>
    <w:rsid w:val="00A83340"/>
    <w:rsid w:val="00A8335B"/>
    <w:rsid w:val="00A834FA"/>
    <w:rsid w:val="00A83646"/>
    <w:rsid w:val="00A83AD5"/>
    <w:rsid w:val="00A83F68"/>
    <w:rsid w:val="00A84297"/>
    <w:rsid w:val="00A84432"/>
    <w:rsid w:val="00A8468C"/>
    <w:rsid w:val="00A84744"/>
    <w:rsid w:val="00A8475E"/>
    <w:rsid w:val="00A84E93"/>
    <w:rsid w:val="00A84F4E"/>
    <w:rsid w:val="00A851F4"/>
    <w:rsid w:val="00A858D6"/>
    <w:rsid w:val="00A86CE3"/>
    <w:rsid w:val="00A87926"/>
    <w:rsid w:val="00A87A1B"/>
    <w:rsid w:val="00A9010C"/>
    <w:rsid w:val="00A90161"/>
    <w:rsid w:val="00A901B4"/>
    <w:rsid w:val="00A9073E"/>
    <w:rsid w:val="00A90917"/>
    <w:rsid w:val="00A91548"/>
    <w:rsid w:val="00A91D89"/>
    <w:rsid w:val="00A92073"/>
    <w:rsid w:val="00A9252A"/>
    <w:rsid w:val="00A92686"/>
    <w:rsid w:val="00A927C8"/>
    <w:rsid w:val="00A928C2"/>
    <w:rsid w:val="00A92A0D"/>
    <w:rsid w:val="00A9350A"/>
    <w:rsid w:val="00A93AFF"/>
    <w:rsid w:val="00A93CEB"/>
    <w:rsid w:val="00A93E48"/>
    <w:rsid w:val="00A9419B"/>
    <w:rsid w:val="00A94399"/>
    <w:rsid w:val="00A943ED"/>
    <w:rsid w:val="00A9450D"/>
    <w:rsid w:val="00A94A1A"/>
    <w:rsid w:val="00A94A27"/>
    <w:rsid w:val="00A94B18"/>
    <w:rsid w:val="00A94E97"/>
    <w:rsid w:val="00A956B9"/>
    <w:rsid w:val="00A95807"/>
    <w:rsid w:val="00A95919"/>
    <w:rsid w:val="00A95ADA"/>
    <w:rsid w:val="00A96270"/>
    <w:rsid w:val="00A96695"/>
    <w:rsid w:val="00A967BE"/>
    <w:rsid w:val="00A96A98"/>
    <w:rsid w:val="00A96BB0"/>
    <w:rsid w:val="00A97181"/>
    <w:rsid w:val="00A97447"/>
    <w:rsid w:val="00A97879"/>
    <w:rsid w:val="00AA09CE"/>
    <w:rsid w:val="00AA0A09"/>
    <w:rsid w:val="00AA0C66"/>
    <w:rsid w:val="00AA105B"/>
    <w:rsid w:val="00AA11C2"/>
    <w:rsid w:val="00AA12BE"/>
    <w:rsid w:val="00AA1791"/>
    <w:rsid w:val="00AA195E"/>
    <w:rsid w:val="00AA1A6B"/>
    <w:rsid w:val="00AA1B7C"/>
    <w:rsid w:val="00AA1F14"/>
    <w:rsid w:val="00AA1F23"/>
    <w:rsid w:val="00AA2312"/>
    <w:rsid w:val="00AA257B"/>
    <w:rsid w:val="00AA27FD"/>
    <w:rsid w:val="00AA295E"/>
    <w:rsid w:val="00AA2B0C"/>
    <w:rsid w:val="00AA2C4E"/>
    <w:rsid w:val="00AA2CC8"/>
    <w:rsid w:val="00AA300C"/>
    <w:rsid w:val="00AA33B4"/>
    <w:rsid w:val="00AA356E"/>
    <w:rsid w:val="00AA366B"/>
    <w:rsid w:val="00AA36CB"/>
    <w:rsid w:val="00AA3822"/>
    <w:rsid w:val="00AA3C30"/>
    <w:rsid w:val="00AA3FF8"/>
    <w:rsid w:val="00AA41CA"/>
    <w:rsid w:val="00AA4405"/>
    <w:rsid w:val="00AA4496"/>
    <w:rsid w:val="00AA4603"/>
    <w:rsid w:val="00AA51CB"/>
    <w:rsid w:val="00AA520A"/>
    <w:rsid w:val="00AA5331"/>
    <w:rsid w:val="00AA5465"/>
    <w:rsid w:val="00AA5547"/>
    <w:rsid w:val="00AA5845"/>
    <w:rsid w:val="00AA5D53"/>
    <w:rsid w:val="00AA6853"/>
    <w:rsid w:val="00AA68F3"/>
    <w:rsid w:val="00AA6A6F"/>
    <w:rsid w:val="00AA6FDB"/>
    <w:rsid w:val="00AA6FF5"/>
    <w:rsid w:val="00AA7022"/>
    <w:rsid w:val="00AA7142"/>
    <w:rsid w:val="00AA7300"/>
    <w:rsid w:val="00AA768E"/>
    <w:rsid w:val="00AA77F6"/>
    <w:rsid w:val="00AB0466"/>
    <w:rsid w:val="00AB049D"/>
    <w:rsid w:val="00AB04E0"/>
    <w:rsid w:val="00AB078D"/>
    <w:rsid w:val="00AB0C5D"/>
    <w:rsid w:val="00AB10DD"/>
    <w:rsid w:val="00AB1224"/>
    <w:rsid w:val="00AB136B"/>
    <w:rsid w:val="00AB15D9"/>
    <w:rsid w:val="00AB1A3F"/>
    <w:rsid w:val="00AB1A6F"/>
    <w:rsid w:val="00AB222A"/>
    <w:rsid w:val="00AB2267"/>
    <w:rsid w:val="00AB2801"/>
    <w:rsid w:val="00AB2A8E"/>
    <w:rsid w:val="00AB3237"/>
    <w:rsid w:val="00AB337D"/>
    <w:rsid w:val="00AB351F"/>
    <w:rsid w:val="00AB3B2C"/>
    <w:rsid w:val="00AB3C55"/>
    <w:rsid w:val="00AB3DFE"/>
    <w:rsid w:val="00AB3F44"/>
    <w:rsid w:val="00AB3F9B"/>
    <w:rsid w:val="00AB3FC8"/>
    <w:rsid w:val="00AB47AE"/>
    <w:rsid w:val="00AB4887"/>
    <w:rsid w:val="00AB491B"/>
    <w:rsid w:val="00AB4B79"/>
    <w:rsid w:val="00AB50DA"/>
    <w:rsid w:val="00AB541D"/>
    <w:rsid w:val="00AB54FB"/>
    <w:rsid w:val="00AB58D9"/>
    <w:rsid w:val="00AB5909"/>
    <w:rsid w:val="00AB5B85"/>
    <w:rsid w:val="00AB5BA2"/>
    <w:rsid w:val="00AB5E64"/>
    <w:rsid w:val="00AB6213"/>
    <w:rsid w:val="00AB6345"/>
    <w:rsid w:val="00AB64FF"/>
    <w:rsid w:val="00AB669F"/>
    <w:rsid w:val="00AB6726"/>
    <w:rsid w:val="00AB674E"/>
    <w:rsid w:val="00AB68D4"/>
    <w:rsid w:val="00AB698B"/>
    <w:rsid w:val="00AB6A1C"/>
    <w:rsid w:val="00AB6BF4"/>
    <w:rsid w:val="00AB6C7E"/>
    <w:rsid w:val="00AB6F8D"/>
    <w:rsid w:val="00AB7271"/>
    <w:rsid w:val="00AB72BA"/>
    <w:rsid w:val="00AB73AC"/>
    <w:rsid w:val="00AC00D1"/>
    <w:rsid w:val="00AC0BAE"/>
    <w:rsid w:val="00AC0D08"/>
    <w:rsid w:val="00AC0E06"/>
    <w:rsid w:val="00AC0E6E"/>
    <w:rsid w:val="00AC0F2D"/>
    <w:rsid w:val="00AC0F75"/>
    <w:rsid w:val="00AC146E"/>
    <w:rsid w:val="00AC14CC"/>
    <w:rsid w:val="00AC17FF"/>
    <w:rsid w:val="00AC1F26"/>
    <w:rsid w:val="00AC1F7A"/>
    <w:rsid w:val="00AC26D3"/>
    <w:rsid w:val="00AC28C8"/>
    <w:rsid w:val="00AC2B6B"/>
    <w:rsid w:val="00AC2B7A"/>
    <w:rsid w:val="00AC2C93"/>
    <w:rsid w:val="00AC34F6"/>
    <w:rsid w:val="00AC3560"/>
    <w:rsid w:val="00AC3720"/>
    <w:rsid w:val="00AC3B50"/>
    <w:rsid w:val="00AC3E2A"/>
    <w:rsid w:val="00AC41A1"/>
    <w:rsid w:val="00AC41A4"/>
    <w:rsid w:val="00AC43F1"/>
    <w:rsid w:val="00AC444F"/>
    <w:rsid w:val="00AC45CB"/>
    <w:rsid w:val="00AC46B7"/>
    <w:rsid w:val="00AC47EE"/>
    <w:rsid w:val="00AC4DF7"/>
    <w:rsid w:val="00AC4F90"/>
    <w:rsid w:val="00AC5092"/>
    <w:rsid w:val="00AC50D6"/>
    <w:rsid w:val="00AC5620"/>
    <w:rsid w:val="00AC577A"/>
    <w:rsid w:val="00AC5805"/>
    <w:rsid w:val="00AC5F82"/>
    <w:rsid w:val="00AC6316"/>
    <w:rsid w:val="00AC6334"/>
    <w:rsid w:val="00AC6442"/>
    <w:rsid w:val="00AC6792"/>
    <w:rsid w:val="00AC6BF2"/>
    <w:rsid w:val="00AC6D1E"/>
    <w:rsid w:val="00AC6EFC"/>
    <w:rsid w:val="00AC7428"/>
    <w:rsid w:val="00AC7526"/>
    <w:rsid w:val="00AC7C2A"/>
    <w:rsid w:val="00AC7CBD"/>
    <w:rsid w:val="00AC7DA5"/>
    <w:rsid w:val="00AD03AA"/>
    <w:rsid w:val="00AD0475"/>
    <w:rsid w:val="00AD0732"/>
    <w:rsid w:val="00AD0C83"/>
    <w:rsid w:val="00AD0D4D"/>
    <w:rsid w:val="00AD0E8E"/>
    <w:rsid w:val="00AD0F5C"/>
    <w:rsid w:val="00AD1118"/>
    <w:rsid w:val="00AD1353"/>
    <w:rsid w:val="00AD136B"/>
    <w:rsid w:val="00AD162C"/>
    <w:rsid w:val="00AD1635"/>
    <w:rsid w:val="00AD1928"/>
    <w:rsid w:val="00AD1939"/>
    <w:rsid w:val="00AD195D"/>
    <w:rsid w:val="00AD1C76"/>
    <w:rsid w:val="00AD1DA8"/>
    <w:rsid w:val="00AD1FD8"/>
    <w:rsid w:val="00AD226D"/>
    <w:rsid w:val="00AD27FA"/>
    <w:rsid w:val="00AD2BFB"/>
    <w:rsid w:val="00AD2EA5"/>
    <w:rsid w:val="00AD3041"/>
    <w:rsid w:val="00AD309C"/>
    <w:rsid w:val="00AD3154"/>
    <w:rsid w:val="00AD3442"/>
    <w:rsid w:val="00AD39CC"/>
    <w:rsid w:val="00AD39F6"/>
    <w:rsid w:val="00AD3A58"/>
    <w:rsid w:val="00AD3D02"/>
    <w:rsid w:val="00AD4150"/>
    <w:rsid w:val="00AD4389"/>
    <w:rsid w:val="00AD4508"/>
    <w:rsid w:val="00AD46C7"/>
    <w:rsid w:val="00AD470E"/>
    <w:rsid w:val="00AD4897"/>
    <w:rsid w:val="00AD4AF2"/>
    <w:rsid w:val="00AD4E4E"/>
    <w:rsid w:val="00AD4EE4"/>
    <w:rsid w:val="00AD506D"/>
    <w:rsid w:val="00AD527B"/>
    <w:rsid w:val="00AD55F8"/>
    <w:rsid w:val="00AD5706"/>
    <w:rsid w:val="00AD6535"/>
    <w:rsid w:val="00AD6705"/>
    <w:rsid w:val="00AD694E"/>
    <w:rsid w:val="00AD6DC1"/>
    <w:rsid w:val="00AD7056"/>
    <w:rsid w:val="00AD71C1"/>
    <w:rsid w:val="00AD7292"/>
    <w:rsid w:val="00AD7676"/>
    <w:rsid w:val="00AD7C24"/>
    <w:rsid w:val="00AD7E2D"/>
    <w:rsid w:val="00AD7EBD"/>
    <w:rsid w:val="00AD7F6C"/>
    <w:rsid w:val="00AE04F2"/>
    <w:rsid w:val="00AE0594"/>
    <w:rsid w:val="00AE05D0"/>
    <w:rsid w:val="00AE0AF1"/>
    <w:rsid w:val="00AE0D05"/>
    <w:rsid w:val="00AE0DE0"/>
    <w:rsid w:val="00AE0F1D"/>
    <w:rsid w:val="00AE0F97"/>
    <w:rsid w:val="00AE1112"/>
    <w:rsid w:val="00AE1394"/>
    <w:rsid w:val="00AE15C2"/>
    <w:rsid w:val="00AE1B61"/>
    <w:rsid w:val="00AE1F3C"/>
    <w:rsid w:val="00AE25E4"/>
    <w:rsid w:val="00AE262E"/>
    <w:rsid w:val="00AE280A"/>
    <w:rsid w:val="00AE28B1"/>
    <w:rsid w:val="00AE2A4E"/>
    <w:rsid w:val="00AE30A6"/>
    <w:rsid w:val="00AE3535"/>
    <w:rsid w:val="00AE3DB7"/>
    <w:rsid w:val="00AE41A5"/>
    <w:rsid w:val="00AE444C"/>
    <w:rsid w:val="00AE4728"/>
    <w:rsid w:val="00AE484C"/>
    <w:rsid w:val="00AE4855"/>
    <w:rsid w:val="00AE4ACC"/>
    <w:rsid w:val="00AE4AD0"/>
    <w:rsid w:val="00AE4C10"/>
    <w:rsid w:val="00AE4C85"/>
    <w:rsid w:val="00AE5327"/>
    <w:rsid w:val="00AE56B3"/>
    <w:rsid w:val="00AE587D"/>
    <w:rsid w:val="00AE65EA"/>
    <w:rsid w:val="00AE6EC6"/>
    <w:rsid w:val="00AE7A20"/>
    <w:rsid w:val="00AE7C88"/>
    <w:rsid w:val="00AF0031"/>
    <w:rsid w:val="00AF06CF"/>
    <w:rsid w:val="00AF088D"/>
    <w:rsid w:val="00AF09A0"/>
    <w:rsid w:val="00AF0E93"/>
    <w:rsid w:val="00AF0FEA"/>
    <w:rsid w:val="00AF1132"/>
    <w:rsid w:val="00AF159C"/>
    <w:rsid w:val="00AF16E8"/>
    <w:rsid w:val="00AF19DA"/>
    <w:rsid w:val="00AF1CC8"/>
    <w:rsid w:val="00AF1F33"/>
    <w:rsid w:val="00AF24F4"/>
    <w:rsid w:val="00AF2523"/>
    <w:rsid w:val="00AF32A8"/>
    <w:rsid w:val="00AF353A"/>
    <w:rsid w:val="00AF3725"/>
    <w:rsid w:val="00AF37BB"/>
    <w:rsid w:val="00AF409C"/>
    <w:rsid w:val="00AF48D8"/>
    <w:rsid w:val="00AF4C4D"/>
    <w:rsid w:val="00AF4CE7"/>
    <w:rsid w:val="00AF4DCF"/>
    <w:rsid w:val="00AF4F48"/>
    <w:rsid w:val="00AF5463"/>
    <w:rsid w:val="00AF5803"/>
    <w:rsid w:val="00AF6141"/>
    <w:rsid w:val="00AF6243"/>
    <w:rsid w:val="00AF6247"/>
    <w:rsid w:val="00AF627A"/>
    <w:rsid w:val="00AF67D8"/>
    <w:rsid w:val="00AF689E"/>
    <w:rsid w:val="00AF6B67"/>
    <w:rsid w:val="00AF725C"/>
    <w:rsid w:val="00AF7286"/>
    <w:rsid w:val="00AF740C"/>
    <w:rsid w:val="00AF7970"/>
    <w:rsid w:val="00AF7A87"/>
    <w:rsid w:val="00AF7F22"/>
    <w:rsid w:val="00B00057"/>
    <w:rsid w:val="00B00370"/>
    <w:rsid w:val="00B003AF"/>
    <w:rsid w:val="00B003F2"/>
    <w:rsid w:val="00B003FD"/>
    <w:rsid w:val="00B0065C"/>
    <w:rsid w:val="00B010C8"/>
    <w:rsid w:val="00B01242"/>
    <w:rsid w:val="00B01359"/>
    <w:rsid w:val="00B01599"/>
    <w:rsid w:val="00B0162B"/>
    <w:rsid w:val="00B01A60"/>
    <w:rsid w:val="00B01B56"/>
    <w:rsid w:val="00B01CA3"/>
    <w:rsid w:val="00B01CEE"/>
    <w:rsid w:val="00B01CF3"/>
    <w:rsid w:val="00B01F10"/>
    <w:rsid w:val="00B01F9E"/>
    <w:rsid w:val="00B0206F"/>
    <w:rsid w:val="00B02096"/>
    <w:rsid w:val="00B020A8"/>
    <w:rsid w:val="00B0210F"/>
    <w:rsid w:val="00B022D7"/>
    <w:rsid w:val="00B023A3"/>
    <w:rsid w:val="00B0243C"/>
    <w:rsid w:val="00B02468"/>
    <w:rsid w:val="00B024D9"/>
    <w:rsid w:val="00B02570"/>
    <w:rsid w:val="00B02B35"/>
    <w:rsid w:val="00B02EFC"/>
    <w:rsid w:val="00B03785"/>
    <w:rsid w:val="00B03835"/>
    <w:rsid w:val="00B03861"/>
    <w:rsid w:val="00B03E2A"/>
    <w:rsid w:val="00B04299"/>
    <w:rsid w:val="00B04336"/>
    <w:rsid w:val="00B0435B"/>
    <w:rsid w:val="00B04421"/>
    <w:rsid w:val="00B048EB"/>
    <w:rsid w:val="00B04C2F"/>
    <w:rsid w:val="00B05131"/>
    <w:rsid w:val="00B05724"/>
    <w:rsid w:val="00B057AA"/>
    <w:rsid w:val="00B05909"/>
    <w:rsid w:val="00B05B82"/>
    <w:rsid w:val="00B06088"/>
    <w:rsid w:val="00B064FF"/>
    <w:rsid w:val="00B066FC"/>
    <w:rsid w:val="00B0678D"/>
    <w:rsid w:val="00B068A1"/>
    <w:rsid w:val="00B06C95"/>
    <w:rsid w:val="00B07437"/>
    <w:rsid w:val="00B07478"/>
    <w:rsid w:val="00B074A6"/>
    <w:rsid w:val="00B07830"/>
    <w:rsid w:val="00B07D4B"/>
    <w:rsid w:val="00B07E69"/>
    <w:rsid w:val="00B07E78"/>
    <w:rsid w:val="00B07F6F"/>
    <w:rsid w:val="00B1003F"/>
    <w:rsid w:val="00B102C0"/>
    <w:rsid w:val="00B102EF"/>
    <w:rsid w:val="00B104F3"/>
    <w:rsid w:val="00B106A7"/>
    <w:rsid w:val="00B10887"/>
    <w:rsid w:val="00B110CC"/>
    <w:rsid w:val="00B1144E"/>
    <w:rsid w:val="00B114CD"/>
    <w:rsid w:val="00B11707"/>
    <w:rsid w:val="00B117A0"/>
    <w:rsid w:val="00B11918"/>
    <w:rsid w:val="00B11B53"/>
    <w:rsid w:val="00B124B8"/>
    <w:rsid w:val="00B125A7"/>
    <w:rsid w:val="00B12A4A"/>
    <w:rsid w:val="00B12B2B"/>
    <w:rsid w:val="00B12B32"/>
    <w:rsid w:val="00B12F7D"/>
    <w:rsid w:val="00B12FFE"/>
    <w:rsid w:val="00B13047"/>
    <w:rsid w:val="00B13078"/>
    <w:rsid w:val="00B133A0"/>
    <w:rsid w:val="00B134A3"/>
    <w:rsid w:val="00B135CE"/>
    <w:rsid w:val="00B135EB"/>
    <w:rsid w:val="00B136BB"/>
    <w:rsid w:val="00B139EA"/>
    <w:rsid w:val="00B13D2C"/>
    <w:rsid w:val="00B13E5E"/>
    <w:rsid w:val="00B1436C"/>
    <w:rsid w:val="00B14654"/>
    <w:rsid w:val="00B1483F"/>
    <w:rsid w:val="00B14A39"/>
    <w:rsid w:val="00B15A3E"/>
    <w:rsid w:val="00B15A6E"/>
    <w:rsid w:val="00B15CF2"/>
    <w:rsid w:val="00B15CFF"/>
    <w:rsid w:val="00B16516"/>
    <w:rsid w:val="00B1673F"/>
    <w:rsid w:val="00B16A07"/>
    <w:rsid w:val="00B16B78"/>
    <w:rsid w:val="00B16D42"/>
    <w:rsid w:val="00B17072"/>
    <w:rsid w:val="00B173D3"/>
    <w:rsid w:val="00B173DA"/>
    <w:rsid w:val="00B17462"/>
    <w:rsid w:val="00B1776E"/>
    <w:rsid w:val="00B17E86"/>
    <w:rsid w:val="00B206A0"/>
    <w:rsid w:val="00B209EA"/>
    <w:rsid w:val="00B20E72"/>
    <w:rsid w:val="00B21154"/>
    <w:rsid w:val="00B21224"/>
    <w:rsid w:val="00B2139B"/>
    <w:rsid w:val="00B2175C"/>
    <w:rsid w:val="00B2185B"/>
    <w:rsid w:val="00B21BDA"/>
    <w:rsid w:val="00B21F03"/>
    <w:rsid w:val="00B2217B"/>
    <w:rsid w:val="00B22457"/>
    <w:rsid w:val="00B2266F"/>
    <w:rsid w:val="00B2285D"/>
    <w:rsid w:val="00B22CAE"/>
    <w:rsid w:val="00B23219"/>
    <w:rsid w:val="00B2325C"/>
    <w:rsid w:val="00B232F7"/>
    <w:rsid w:val="00B23655"/>
    <w:rsid w:val="00B237C5"/>
    <w:rsid w:val="00B23825"/>
    <w:rsid w:val="00B2394E"/>
    <w:rsid w:val="00B23B25"/>
    <w:rsid w:val="00B23C4B"/>
    <w:rsid w:val="00B23C68"/>
    <w:rsid w:val="00B23EA9"/>
    <w:rsid w:val="00B23EE5"/>
    <w:rsid w:val="00B24902"/>
    <w:rsid w:val="00B249B8"/>
    <w:rsid w:val="00B24CC6"/>
    <w:rsid w:val="00B25625"/>
    <w:rsid w:val="00B25824"/>
    <w:rsid w:val="00B258E7"/>
    <w:rsid w:val="00B258EF"/>
    <w:rsid w:val="00B25C49"/>
    <w:rsid w:val="00B25C5A"/>
    <w:rsid w:val="00B25E5C"/>
    <w:rsid w:val="00B25FC5"/>
    <w:rsid w:val="00B26153"/>
    <w:rsid w:val="00B26307"/>
    <w:rsid w:val="00B26340"/>
    <w:rsid w:val="00B263AF"/>
    <w:rsid w:val="00B26994"/>
    <w:rsid w:val="00B26C7D"/>
    <w:rsid w:val="00B26FE3"/>
    <w:rsid w:val="00B27176"/>
    <w:rsid w:val="00B27234"/>
    <w:rsid w:val="00B277AE"/>
    <w:rsid w:val="00B27C5C"/>
    <w:rsid w:val="00B27CA9"/>
    <w:rsid w:val="00B27E41"/>
    <w:rsid w:val="00B27EB1"/>
    <w:rsid w:val="00B30665"/>
    <w:rsid w:val="00B30847"/>
    <w:rsid w:val="00B30BCC"/>
    <w:rsid w:val="00B31348"/>
    <w:rsid w:val="00B31692"/>
    <w:rsid w:val="00B31B9A"/>
    <w:rsid w:val="00B31E2F"/>
    <w:rsid w:val="00B3227B"/>
    <w:rsid w:val="00B322EC"/>
    <w:rsid w:val="00B323E7"/>
    <w:rsid w:val="00B3245D"/>
    <w:rsid w:val="00B328D5"/>
    <w:rsid w:val="00B32CEA"/>
    <w:rsid w:val="00B32D91"/>
    <w:rsid w:val="00B32DC2"/>
    <w:rsid w:val="00B32EF0"/>
    <w:rsid w:val="00B33180"/>
    <w:rsid w:val="00B33363"/>
    <w:rsid w:val="00B333F3"/>
    <w:rsid w:val="00B33C54"/>
    <w:rsid w:val="00B33E3E"/>
    <w:rsid w:val="00B33E7A"/>
    <w:rsid w:val="00B33EC8"/>
    <w:rsid w:val="00B345B0"/>
    <w:rsid w:val="00B34636"/>
    <w:rsid w:val="00B3472E"/>
    <w:rsid w:val="00B34846"/>
    <w:rsid w:val="00B34B29"/>
    <w:rsid w:val="00B34BE2"/>
    <w:rsid w:val="00B34C84"/>
    <w:rsid w:val="00B34E95"/>
    <w:rsid w:val="00B34ECA"/>
    <w:rsid w:val="00B34F3D"/>
    <w:rsid w:val="00B34FA5"/>
    <w:rsid w:val="00B34FC7"/>
    <w:rsid w:val="00B35239"/>
    <w:rsid w:val="00B356E9"/>
    <w:rsid w:val="00B35704"/>
    <w:rsid w:val="00B35E66"/>
    <w:rsid w:val="00B35F78"/>
    <w:rsid w:val="00B3628A"/>
    <w:rsid w:val="00B3631D"/>
    <w:rsid w:val="00B365A7"/>
    <w:rsid w:val="00B36912"/>
    <w:rsid w:val="00B36D48"/>
    <w:rsid w:val="00B36D94"/>
    <w:rsid w:val="00B36DD3"/>
    <w:rsid w:val="00B37241"/>
    <w:rsid w:val="00B3765B"/>
    <w:rsid w:val="00B37A97"/>
    <w:rsid w:val="00B37B7A"/>
    <w:rsid w:val="00B37F29"/>
    <w:rsid w:val="00B40048"/>
    <w:rsid w:val="00B4006F"/>
    <w:rsid w:val="00B4028E"/>
    <w:rsid w:val="00B403B4"/>
    <w:rsid w:val="00B40450"/>
    <w:rsid w:val="00B40846"/>
    <w:rsid w:val="00B40AB6"/>
    <w:rsid w:val="00B40F06"/>
    <w:rsid w:val="00B419CE"/>
    <w:rsid w:val="00B41AEB"/>
    <w:rsid w:val="00B41BAB"/>
    <w:rsid w:val="00B4220D"/>
    <w:rsid w:val="00B42262"/>
    <w:rsid w:val="00B42399"/>
    <w:rsid w:val="00B423A5"/>
    <w:rsid w:val="00B4243D"/>
    <w:rsid w:val="00B42518"/>
    <w:rsid w:val="00B42A90"/>
    <w:rsid w:val="00B42AE1"/>
    <w:rsid w:val="00B42C98"/>
    <w:rsid w:val="00B42C9D"/>
    <w:rsid w:val="00B42E87"/>
    <w:rsid w:val="00B4310A"/>
    <w:rsid w:val="00B4337E"/>
    <w:rsid w:val="00B433EE"/>
    <w:rsid w:val="00B43538"/>
    <w:rsid w:val="00B437E9"/>
    <w:rsid w:val="00B43BD7"/>
    <w:rsid w:val="00B43F12"/>
    <w:rsid w:val="00B4401E"/>
    <w:rsid w:val="00B442DD"/>
    <w:rsid w:val="00B445BE"/>
    <w:rsid w:val="00B44757"/>
    <w:rsid w:val="00B44790"/>
    <w:rsid w:val="00B44915"/>
    <w:rsid w:val="00B4503F"/>
    <w:rsid w:val="00B45055"/>
    <w:rsid w:val="00B45104"/>
    <w:rsid w:val="00B4510C"/>
    <w:rsid w:val="00B452C6"/>
    <w:rsid w:val="00B45385"/>
    <w:rsid w:val="00B453CE"/>
    <w:rsid w:val="00B45414"/>
    <w:rsid w:val="00B4549B"/>
    <w:rsid w:val="00B45925"/>
    <w:rsid w:val="00B45AD7"/>
    <w:rsid w:val="00B45ADC"/>
    <w:rsid w:val="00B469F1"/>
    <w:rsid w:val="00B46AEE"/>
    <w:rsid w:val="00B46B39"/>
    <w:rsid w:val="00B46FD3"/>
    <w:rsid w:val="00B47054"/>
    <w:rsid w:val="00B47217"/>
    <w:rsid w:val="00B47386"/>
    <w:rsid w:val="00B474BA"/>
    <w:rsid w:val="00B47652"/>
    <w:rsid w:val="00B4769A"/>
    <w:rsid w:val="00B47C16"/>
    <w:rsid w:val="00B47DC0"/>
    <w:rsid w:val="00B47F0B"/>
    <w:rsid w:val="00B50012"/>
    <w:rsid w:val="00B50382"/>
    <w:rsid w:val="00B5062B"/>
    <w:rsid w:val="00B50708"/>
    <w:rsid w:val="00B50FC1"/>
    <w:rsid w:val="00B51697"/>
    <w:rsid w:val="00B5176B"/>
    <w:rsid w:val="00B51888"/>
    <w:rsid w:val="00B518B1"/>
    <w:rsid w:val="00B51C3A"/>
    <w:rsid w:val="00B51C74"/>
    <w:rsid w:val="00B51CCF"/>
    <w:rsid w:val="00B51D97"/>
    <w:rsid w:val="00B52187"/>
    <w:rsid w:val="00B5244C"/>
    <w:rsid w:val="00B528BD"/>
    <w:rsid w:val="00B52ABB"/>
    <w:rsid w:val="00B52AED"/>
    <w:rsid w:val="00B52DAE"/>
    <w:rsid w:val="00B52E58"/>
    <w:rsid w:val="00B52FE8"/>
    <w:rsid w:val="00B533B9"/>
    <w:rsid w:val="00B53414"/>
    <w:rsid w:val="00B5352E"/>
    <w:rsid w:val="00B535CC"/>
    <w:rsid w:val="00B53759"/>
    <w:rsid w:val="00B537F6"/>
    <w:rsid w:val="00B53AB9"/>
    <w:rsid w:val="00B53B0B"/>
    <w:rsid w:val="00B53BFF"/>
    <w:rsid w:val="00B53E15"/>
    <w:rsid w:val="00B541AE"/>
    <w:rsid w:val="00B54782"/>
    <w:rsid w:val="00B54886"/>
    <w:rsid w:val="00B54A7E"/>
    <w:rsid w:val="00B5512E"/>
    <w:rsid w:val="00B55647"/>
    <w:rsid w:val="00B5574E"/>
    <w:rsid w:val="00B55848"/>
    <w:rsid w:val="00B55A41"/>
    <w:rsid w:val="00B55B5F"/>
    <w:rsid w:val="00B55C17"/>
    <w:rsid w:val="00B55DAF"/>
    <w:rsid w:val="00B562AC"/>
    <w:rsid w:val="00B56585"/>
    <w:rsid w:val="00B5685C"/>
    <w:rsid w:val="00B56BFC"/>
    <w:rsid w:val="00B56C31"/>
    <w:rsid w:val="00B5706E"/>
    <w:rsid w:val="00B5740E"/>
    <w:rsid w:val="00B57499"/>
    <w:rsid w:val="00B57593"/>
    <w:rsid w:val="00B575CE"/>
    <w:rsid w:val="00B57681"/>
    <w:rsid w:val="00B57EFA"/>
    <w:rsid w:val="00B601AB"/>
    <w:rsid w:val="00B605BF"/>
    <w:rsid w:val="00B608E5"/>
    <w:rsid w:val="00B609DD"/>
    <w:rsid w:val="00B60A3B"/>
    <w:rsid w:val="00B60ABD"/>
    <w:rsid w:val="00B60CB6"/>
    <w:rsid w:val="00B60D72"/>
    <w:rsid w:val="00B60EC6"/>
    <w:rsid w:val="00B60FCD"/>
    <w:rsid w:val="00B6134A"/>
    <w:rsid w:val="00B6149C"/>
    <w:rsid w:val="00B618EB"/>
    <w:rsid w:val="00B62DCF"/>
    <w:rsid w:val="00B62F87"/>
    <w:rsid w:val="00B6314A"/>
    <w:rsid w:val="00B6331A"/>
    <w:rsid w:val="00B63B5C"/>
    <w:rsid w:val="00B64072"/>
    <w:rsid w:val="00B6417E"/>
    <w:rsid w:val="00B64204"/>
    <w:rsid w:val="00B6449D"/>
    <w:rsid w:val="00B64A4A"/>
    <w:rsid w:val="00B64C5C"/>
    <w:rsid w:val="00B64D83"/>
    <w:rsid w:val="00B64E0E"/>
    <w:rsid w:val="00B6515B"/>
    <w:rsid w:val="00B654A5"/>
    <w:rsid w:val="00B654FB"/>
    <w:rsid w:val="00B656D3"/>
    <w:rsid w:val="00B65778"/>
    <w:rsid w:val="00B657C8"/>
    <w:rsid w:val="00B65874"/>
    <w:rsid w:val="00B663E8"/>
    <w:rsid w:val="00B66573"/>
    <w:rsid w:val="00B6672E"/>
    <w:rsid w:val="00B66A8A"/>
    <w:rsid w:val="00B66D3F"/>
    <w:rsid w:val="00B66F2A"/>
    <w:rsid w:val="00B6714A"/>
    <w:rsid w:val="00B672EF"/>
    <w:rsid w:val="00B6772E"/>
    <w:rsid w:val="00B677E5"/>
    <w:rsid w:val="00B67992"/>
    <w:rsid w:val="00B705F7"/>
    <w:rsid w:val="00B70647"/>
    <w:rsid w:val="00B709E4"/>
    <w:rsid w:val="00B70B60"/>
    <w:rsid w:val="00B70C11"/>
    <w:rsid w:val="00B70E99"/>
    <w:rsid w:val="00B71012"/>
    <w:rsid w:val="00B7116D"/>
    <w:rsid w:val="00B711C6"/>
    <w:rsid w:val="00B7139F"/>
    <w:rsid w:val="00B713AD"/>
    <w:rsid w:val="00B718CC"/>
    <w:rsid w:val="00B71A0C"/>
    <w:rsid w:val="00B71A10"/>
    <w:rsid w:val="00B71BAB"/>
    <w:rsid w:val="00B71D1B"/>
    <w:rsid w:val="00B71E8A"/>
    <w:rsid w:val="00B71E96"/>
    <w:rsid w:val="00B72697"/>
    <w:rsid w:val="00B729EC"/>
    <w:rsid w:val="00B72B38"/>
    <w:rsid w:val="00B73080"/>
    <w:rsid w:val="00B7312D"/>
    <w:rsid w:val="00B73156"/>
    <w:rsid w:val="00B73641"/>
    <w:rsid w:val="00B73883"/>
    <w:rsid w:val="00B738FE"/>
    <w:rsid w:val="00B73F57"/>
    <w:rsid w:val="00B740F2"/>
    <w:rsid w:val="00B744A2"/>
    <w:rsid w:val="00B7475E"/>
    <w:rsid w:val="00B74C75"/>
    <w:rsid w:val="00B75022"/>
    <w:rsid w:val="00B750F4"/>
    <w:rsid w:val="00B751E4"/>
    <w:rsid w:val="00B7527D"/>
    <w:rsid w:val="00B755B4"/>
    <w:rsid w:val="00B75B59"/>
    <w:rsid w:val="00B75CB4"/>
    <w:rsid w:val="00B75E30"/>
    <w:rsid w:val="00B76163"/>
    <w:rsid w:val="00B76512"/>
    <w:rsid w:val="00B76C4E"/>
    <w:rsid w:val="00B7708A"/>
    <w:rsid w:val="00B774C1"/>
    <w:rsid w:val="00B77810"/>
    <w:rsid w:val="00B77BB6"/>
    <w:rsid w:val="00B77D81"/>
    <w:rsid w:val="00B77FE4"/>
    <w:rsid w:val="00B805BA"/>
    <w:rsid w:val="00B8061E"/>
    <w:rsid w:val="00B806CC"/>
    <w:rsid w:val="00B8075C"/>
    <w:rsid w:val="00B8082A"/>
    <w:rsid w:val="00B80A37"/>
    <w:rsid w:val="00B81008"/>
    <w:rsid w:val="00B81260"/>
    <w:rsid w:val="00B81474"/>
    <w:rsid w:val="00B81518"/>
    <w:rsid w:val="00B81609"/>
    <w:rsid w:val="00B81DDA"/>
    <w:rsid w:val="00B827BA"/>
    <w:rsid w:val="00B82CC7"/>
    <w:rsid w:val="00B82E62"/>
    <w:rsid w:val="00B83001"/>
    <w:rsid w:val="00B830C3"/>
    <w:rsid w:val="00B83620"/>
    <w:rsid w:val="00B83681"/>
    <w:rsid w:val="00B83BAC"/>
    <w:rsid w:val="00B8408D"/>
    <w:rsid w:val="00B848F9"/>
    <w:rsid w:val="00B84949"/>
    <w:rsid w:val="00B855B3"/>
    <w:rsid w:val="00B8564D"/>
    <w:rsid w:val="00B85B6B"/>
    <w:rsid w:val="00B85F5F"/>
    <w:rsid w:val="00B85FB3"/>
    <w:rsid w:val="00B860FE"/>
    <w:rsid w:val="00B8619E"/>
    <w:rsid w:val="00B8628A"/>
    <w:rsid w:val="00B86346"/>
    <w:rsid w:val="00B867FA"/>
    <w:rsid w:val="00B86BAB"/>
    <w:rsid w:val="00B86DEE"/>
    <w:rsid w:val="00B86E77"/>
    <w:rsid w:val="00B87853"/>
    <w:rsid w:val="00B87B62"/>
    <w:rsid w:val="00B87CC4"/>
    <w:rsid w:val="00B9087D"/>
    <w:rsid w:val="00B90E58"/>
    <w:rsid w:val="00B90FF0"/>
    <w:rsid w:val="00B91097"/>
    <w:rsid w:val="00B9111A"/>
    <w:rsid w:val="00B91262"/>
    <w:rsid w:val="00B91425"/>
    <w:rsid w:val="00B915DC"/>
    <w:rsid w:val="00B91A2E"/>
    <w:rsid w:val="00B91ABA"/>
    <w:rsid w:val="00B91C4C"/>
    <w:rsid w:val="00B91E1A"/>
    <w:rsid w:val="00B91F23"/>
    <w:rsid w:val="00B91FE4"/>
    <w:rsid w:val="00B92525"/>
    <w:rsid w:val="00B93467"/>
    <w:rsid w:val="00B940DD"/>
    <w:rsid w:val="00B94110"/>
    <w:rsid w:val="00B94198"/>
    <w:rsid w:val="00B943AD"/>
    <w:rsid w:val="00B94C85"/>
    <w:rsid w:val="00B94DE0"/>
    <w:rsid w:val="00B94E8E"/>
    <w:rsid w:val="00B955DE"/>
    <w:rsid w:val="00B9596D"/>
    <w:rsid w:val="00B959C7"/>
    <w:rsid w:val="00B95EC9"/>
    <w:rsid w:val="00B96278"/>
    <w:rsid w:val="00B964FC"/>
    <w:rsid w:val="00B96508"/>
    <w:rsid w:val="00B969AA"/>
    <w:rsid w:val="00B969DF"/>
    <w:rsid w:val="00B96B77"/>
    <w:rsid w:val="00B96ED1"/>
    <w:rsid w:val="00B96F40"/>
    <w:rsid w:val="00B97AB2"/>
    <w:rsid w:val="00BA0034"/>
    <w:rsid w:val="00BA0552"/>
    <w:rsid w:val="00BA07F7"/>
    <w:rsid w:val="00BA0B71"/>
    <w:rsid w:val="00BA0CE3"/>
    <w:rsid w:val="00BA0EF4"/>
    <w:rsid w:val="00BA0F65"/>
    <w:rsid w:val="00BA101E"/>
    <w:rsid w:val="00BA1879"/>
    <w:rsid w:val="00BA1E86"/>
    <w:rsid w:val="00BA2329"/>
    <w:rsid w:val="00BA274F"/>
    <w:rsid w:val="00BA2BF0"/>
    <w:rsid w:val="00BA2F41"/>
    <w:rsid w:val="00BA3077"/>
    <w:rsid w:val="00BA39B9"/>
    <w:rsid w:val="00BA3A39"/>
    <w:rsid w:val="00BA3BB8"/>
    <w:rsid w:val="00BA3C73"/>
    <w:rsid w:val="00BA3F15"/>
    <w:rsid w:val="00BA44A6"/>
    <w:rsid w:val="00BA4509"/>
    <w:rsid w:val="00BA484B"/>
    <w:rsid w:val="00BA4896"/>
    <w:rsid w:val="00BA53F4"/>
    <w:rsid w:val="00BA5D2B"/>
    <w:rsid w:val="00BA5E79"/>
    <w:rsid w:val="00BA5E9C"/>
    <w:rsid w:val="00BA5F80"/>
    <w:rsid w:val="00BA600C"/>
    <w:rsid w:val="00BA6052"/>
    <w:rsid w:val="00BA60FB"/>
    <w:rsid w:val="00BA62EF"/>
    <w:rsid w:val="00BA6E6B"/>
    <w:rsid w:val="00BA6F7D"/>
    <w:rsid w:val="00BA73D5"/>
    <w:rsid w:val="00BA7BAC"/>
    <w:rsid w:val="00BA7DDF"/>
    <w:rsid w:val="00BA7E9C"/>
    <w:rsid w:val="00BB0285"/>
    <w:rsid w:val="00BB0395"/>
    <w:rsid w:val="00BB05EC"/>
    <w:rsid w:val="00BB06DB"/>
    <w:rsid w:val="00BB07C1"/>
    <w:rsid w:val="00BB09D1"/>
    <w:rsid w:val="00BB0B31"/>
    <w:rsid w:val="00BB0B7A"/>
    <w:rsid w:val="00BB0BBB"/>
    <w:rsid w:val="00BB0C41"/>
    <w:rsid w:val="00BB0D57"/>
    <w:rsid w:val="00BB0F6C"/>
    <w:rsid w:val="00BB1539"/>
    <w:rsid w:val="00BB1786"/>
    <w:rsid w:val="00BB18FD"/>
    <w:rsid w:val="00BB1A30"/>
    <w:rsid w:val="00BB1A3D"/>
    <w:rsid w:val="00BB1B21"/>
    <w:rsid w:val="00BB1C5F"/>
    <w:rsid w:val="00BB1DCB"/>
    <w:rsid w:val="00BB24A1"/>
    <w:rsid w:val="00BB259C"/>
    <w:rsid w:val="00BB260D"/>
    <w:rsid w:val="00BB2702"/>
    <w:rsid w:val="00BB2CCF"/>
    <w:rsid w:val="00BB3176"/>
    <w:rsid w:val="00BB3957"/>
    <w:rsid w:val="00BB39BB"/>
    <w:rsid w:val="00BB39BE"/>
    <w:rsid w:val="00BB39D5"/>
    <w:rsid w:val="00BB3A11"/>
    <w:rsid w:val="00BB3A1D"/>
    <w:rsid w:val="00BB3C05"/>
    <w:rsid w:val="00BB3D86"/>
    <w:rsid w:val="00BB3DEA"/>
    <w:rsid w:val="00BB3F1B"/>
    <w:rsid w:val="00BB4688"/>
    <w:rsid w:val="00BB50EB"/>
    <w:rsid w:val="00BB5186"/>
    <w:rsid w:val="00BB52D7"/>
    <w:rsid w:val="00BB54B4"/>
    <w:rsid w:val="00BB59FB"/>
    <w:rsid w:val="00BB5D4C"/>
    <w:rsid w:val="00BB5DAA"/>
    <w:rsid w:val="00BB6719"/>
    <w:rsid w:val="00BB672B"/>
    <w:rsid w:val="00BB67BB"/>
    <w:rsid w:val="00BB74A8"/>
    <w:rsid w:val="00BB76D3"/>
    <w:rsid w:val="00BB77D5"/>
    <w:rsid w:val="00BB7853"/>
    <w:rsid w:val="00BB79F4"/>
    <w:rsid w:val="00BB7E86"/>
    <w:rsid w:val="00BC0360"/>
    <w:rsid w:val="00BC04E9"/>
    <w:rsid w:val="00BC06C6"/>
    <w:rsid w:val="00BC094C"/>
    <w:rsid w:val="00BC0E78"/>
    <w:rsid w:val="00BC10C0"/>
    <w:rsid w:val="00BC16C7"/>
    <w:rsid w:val="00BC1968"/>
    <w:rsid w:val="00BC1CAC"/>
    <w:rsid w:val="00BC1F99"/>
    <w:rsid w:val="00BC1FC0"/>
    <w:rsid w:val="00BC217E"/>
    <w:rsid w:val="00BC2FAF"/>
    <w:rsid w:val="00BC3390"/>
    <w:rsid w:val="00BC41BA"/>
    <w:rsid w:val="00BC4899"/>
    <w:rsid w:val="00BC48F8"/>
    <w:rsid w:val="00BC4B92"/>
    <w:rsid w:val="00BC4CA8"/>
    <w:rsid w:val="00BC4D1D"/>
    <w:rsid w:val="00BC55FD"/>
    <w:rsid w:val="00BC5834"/>
    <w:rsid w:val="00BC5CD5"/>
    <w:rsid w:val="00BC6748"/>
    <w:rsid w:val="00BC7282"/>
    <w:rsid w:val="00BC7312"/>
    <w:rsid w:val="00BC7D34"/>
    <w:rsid w:val="00BC7E8D"/>
    <w:rsid w:val="00BD07CF"/>
    <w:rsid w:val="00BD0A8C"/>
    <w:rsid w:val="00BD0D25"/>
    <w:rsid w:val="00BD1090"/>
    <w:rsid w:val="00BD11C8"/>
    <w:rsid w:val="00BD12F3"/>
    <w:rsid w:val="00BD17F8"/>
    <w:rsid w:val="00BD1ED8"/>
    <w:rsid w:val="00BD1EE6"/>
    <w:rsid w:val="00BD2D83"/>
    <w:rsid w:val="00BD3075"/>
    <w:rsid w:val="00BD3274"/>
    <w:rsid w:val="00BD3345"/>
    <w:rsid w:val="00BD3B66"/>
    <w:rsid w:val="00BD4003"/>
    <w:rsid w:val="00BD40C7"/>
    <w:rsid w:val="00BD444C"/>
    <w:rsid w:val="00BD4557"/>
    <w:rsid w:val="00BD47A6"/>
    <w:rsid w:val="00BD520C"/>
    <w:rsid w:val="00BD54C9"/>
    <w:rsid w:val="00BD56D5"/>
    <w:rsid w:val="00BD56DF"/>
    <w:rsid w:val="00BD5903"/>
    <w:rsid w:val="00BD590A"/>
    <w:rsid w:val="00BD60CB"/>
    <w:rsid w:val="00BD66F8"/>
    <w:rsid w:val="00BD683B"/>
    <w:rsid w:val="00BD6876"/>
    <w:rsid w:val="00BD6B8F"/>
    <w:rsid w:val="00BD6F0A"/>
    <w:rsid w:val="00BD717B"/>
    <w:rsid w:val="00BD71AB"/>
    <w:rsid w:val="00BD76C4"/>
    <w:rsid w:val="00BD7E03"/>
    <w:rsid w:val="00BE01EB"/>
    <w:rsid w:val="00BE0226"/>
    <w:rsid w:val="00BE022A"/>
    <w:rsid w:val="00BE061C"/>
    <w:rsid w:val="00BE08ED"/>
    <w:rsid w:val="00BE09D9"/>
    <w:rsid w:val="00BE0D69"/>
    <w:rsid w:val="00BE13F9"/>
    <w:rsid w:val="00BE16E4"/>
    <w:rsid w:val="00BE198F"/>
    <w:rsid w:val="00BE26A5"/>
    <w:rsid w:val="00BE2714"/>
    <w:rsid w:val="00BE27CF"/>
    <w:rsid w:val="00BE284E"/>
    <w:rsid w:val="00BE296F"/>
    <w:rsid w:val="00BE2A32"/>
    <w:rsid w:val="00BE2C4D"/>
    <w:rsid w:val="00BE2D86"/>
    <w:rsid w:val="00BE2F69"/>
    <w:rsid w:val="00BE3527"/>
    <w:rsid w:val="00BE3585"/>
    <w:rsid w:val="00BE36D8"/>
    <w:rsid w:val="00BE36EE"/>
    <w:rsid w:val="00BE3A25"/>
    <w:rsid w:val="00BE3DD0"/>
    <w:rsid w:val="00BE3E73"/>
    <w:rsid w:val="00BE44BF"/>
    <w:rsid w:val="00BE4C6E"/>
    <w:rsid w:val="00BE4D38"/>
    <w:rsid w:val="00BE5234"/>
    <w:rsid w:val="00BE5581"/>
    <w:rsid w:val="00BE5CCB"/>
    <w:rsid w:val="00BE5D7E"/>
    <w:rsid w:val="00BE60B5"/>
    <w:rsid w:val="00BE6794"/>
    <w:rsid w:val="00BE68FE"/>
    <w:rsid w:val="00BE6BDD"/>
    <w:rsid w:val="00BE6D35"/>
    <w:rsid w:val="00BE71EF"/>
    <w:rsid w:val="00BE73A5"/>
    <w:rsid w:val="00BE755F"/>
    <w:rsid w:val="00BE7604"/>
    <w:rsid w:val="00BE7D53"/>
    <w:rsid w:val="00BE7E9C"/>
    <w:rsid w:val="00BE7F69"/>
    <w:rsid w:val="00BF0197"/>
    <w:rsid w:val="00BF021F"/>
    <w:rsid w:val="00BF0777"/>
    <w:rsid w:val="00BF07D7"/>
    <w:rsid w:val="00BF0FAB"/>
    <w:rsid w:val="00BF102A"/>
    <w:rsid w:val="00BF1164"/>
    <w:rsid w:val="00BF11A1"/>
    <w:rsid w:val="00BF132E"/>
    <w:rsid w:val="00BF1604"/>
    <w:rsid w:val="00BF1633"/>
    <w:rsid w:val="00BF1702"/>
    <w:rsid w:val="00BF1F97"/>
    <w:rsid w:val="00BF216F"/>
    <w:rsid w:val="00BF2C0C"/>
    <w:rsid w:val="00BF2CA5"/>
    <w:rsid w:val="00BF2E2B"/>
    <w:rsid w:val="00BF2E8B"/>
    <w:rsid w:val="00BF330C"/>
    <w:rsid w:val="00BF3354"/>
    <w:rsid w:val="00BF33AB"/>
    <w:rsid w:val="00BF35CC"/>
    <w:rsid w:val="00BF3A1E"/>
    <w:rsid w:val="00BF3AF8"/>
    <w:rsid w:val="00BF3B38"/>
    <w:rsid w:val="00BF3B5E"/>
    <w:rsid w:val="00BF3CD5"/>
    <w:rsid w:val="00BF3F03"/>
    <w:rsid w:val="00BF405B"/>
    <w:rsid w:val="00BF44EA"/>
    <w:rsid w:val="00BF4CFF"/>
    <w:rsid w:val="00BF4F9D"/>
    <w:rsid w:val="00BF52FC"/>
    <w:rsid w:val="00BF53E0"/>
    <w:rsid w:val="00BF5973"/>
    <w:rsid w:val="00BF5A9A"/>
    <w:rsid w:val="00BF61BB"/>
    <w:rsid w:val="00BF630A"/>
    <w:rsid w:val="00BF64E0"/>
    <w:rsid w:val="00BF6555"/>
    <w:rsid w:val="00BF6615"/>
    <w:rsid w:val="00BF6A70"/>
    <w:rsid w:val="00BF6FEF"/>
    <w:rsid w:val="00BF7A63"/>
    <w:rsid w:val="00BF7E1B"/>
    <w:rsid w:val="00BF7F52"/>
    <w:rsid w:val="00C001DC"/>
    <w:rsid w:val="00C0058E"/>
    <w:rsid w:val="00C006CD"/>
    <w:rsid w:val="00C00866"/>
    <w:rsid w:val="00C0094C"/>
    <w:rsid w:val="00C0098C"/>
    <w:rsid w:val="00C00E2A"/>
    <w:rsid w:val="00C0140F"/>
    <w:rsid w:val="00C0143D"/>
    <w:rsid w:val="00C017CE"/>
    <w:rsid w:val="00C018D3"/>
    <w:rsid w:val="00C01903"/>
    <w:rsid w:val="00C01A37"/>
    <w:rsid w:val="00C01A80"/>
    <w:rsid w:val="00C01AB6"/>
    <w:rsid w:val="00C01AE7"/>
    <w:rsid w:val="00C01C20"/>
    <w:rsid w:val="00C01FCC"/>
    <w:rsid w:val="00C02233"/>
    <w:rsid w:val="00C022E5"/>
    <w:rsid w:val="00C025B8"/>
    <w:rsid w:val="00C027D9"/>
    <w:rsid w:val="00C02C5D"/>
    <w:rsid w:val="00C02E05"/>
    <w:rsid w:val="00C02E6E"/>
    <w:rsid w:val="00C02FA8"/>
    <w:rsid w:val="00C0335A"/>
    <w:rsid w:val="00C037EF"/>
    <w:rsid w:val="00C038A8"/>
    <w:rsid w:val="00C03914"/>
    <w:rsid w:val="00C03CF1"/>
    <w:rsid w:val="00C03DE9"/>
    <w:rsid w:val="00C041E0"/>
    <w:rsid w:val="00C04304"/>
    <w:rsid w:val="00C04820"/>
    <w:rsid w:val="00C048FF"/>
    <w:rsid w:val="00C04D04"/>
    <w:rsid w:val="00C0534A"/>
    <w:rsid w:val="00C055FF"/>
    <w:rsid w:val="00C05738"/>
    <w:rsid w:val="00C05D3B"/>
    <w:rsid w:val="00C060E9"/>
    <w:rsid w:val="00C06376"/>
    <w:rsid w:val="00C0646C"/>
    <w:rsid w:val="00C065FA"/>
    <w:rsid w:val="00C068D2"/>
    <w:rsid w:val="00C06D90"/>
    <w:rsid w:val="00C06FC3"/>
    <w:rsid w:val="00C0705D"/>
    <w:rsid w:val="00C07A9E"/>
    <w:rsid w:val="00C07B4B"/>
    <w:rsid w:val="00C1006E"/>
    <w:rsid w:val="00C10127"/>
    <w:rsid w:val="00C11106"/>
    <w:rsid w:val="00C11158"/>
    <w:rsid w:val="00C116AE"/>
    <w:rsid w:val="00C11851"/>
    <w:rsid w:val="00C11870"/>
    <w:rsid w:val="00C11B7E"/>
    <w:rsid w:val="00C12038"/>
    <w:rsid w:val="00C1203D"/>
    <w:rsid w:val="00C1226E"/>
    <w:rsid w:val="00C12728"/>
    <w:rsid w:val="00C128E0"/>
    <w:rsid w:val="00C12946"/>
    <w:rsid w:val="00C129F8"/>
    <w:rsid w:val="00C12C80"/>
    <w:rsid w:val="00C1323D"/>
    <w:rsid w:val="00C1367A"/>
    <w:rsid w:val="00C139F0"/>
    <w:rsid w:val="00C13B77"/>
    <w:rsid w:val="00C13C5C"/>
    <w:rsid w:val="00C13CD0"/>
    <w:rsid w:val="00C13E0C"/>
    <w:rsid w:val="00C1433F"/>
    <w:rsid w:val="00C146F9"/>
    <w:rsid w:val="00C148D7"/>
    <w:rsid w:val="00C14DB3"/>
    <w:rsid w:val="00C14EB2"/>
    <w:rsid w:val="00C14FDC"/>
    <w:rsid w:val="00C1537A"/>
    <w:rsid w:val="00C15396"/>
    <w:rsid w:val="00C158C7"/>
    <w:rsid w:val="00C158D5"/>
    <w:rsid w:val="00C160E7"/>
    <w:rsid w:val="00C16114"/>
    <w:rsid w:val="00C162B1"/>
    <w:rsid w:val="00C165A6"/>
    <w:rsid w:val="00C167FF"/>
    <w:rsid w:val="00C16A8E"/>
    <w:rsid w:val="00C16B0E"/>
    <w:rsid w:val="00C16D6C"/>
    <w:rsid w:val="00C17031"/>
    <w:rsid w:val="00C170CA"/>
    <w:rsid w:val="00C171E6"/>
    <w:rsid w:val="00C17213"/>
    <w:rsid w:val="00C17312"/>
    <w:rsid w:val="00C1732C"/>
    <w:rsid w:val="00C1748C"/>
    <w:rsid w:val="00C17729"/>
    <w:rsid w:val="00C178C0"/>
    <w:rsid w:val="00C17B68"/>
    <w:rsid w:val="00C17BB4"/>
    <w:rsid w:val="00C20141"/>
    <w:rsid w:val="00C2030E"/>
    <w:rsid w:val="00C207C0"/>
    <w:rsid w:val="00C20FAC"/>
    <w:rsid w:val="00C21124"/>
    <w:rsid w:val="00C21A00"/>
    <w:rsid w:val="00C223DA"/>
    <w:rsid w:val="00C22697"/>
    <w:rsid w:val="00C22711"/>
    <w:rsid w:val="00C22742"/>
    <w:rsid w:val="00C22AD2"/>
    <w:rsid w:val="00C22CD9"/>
    <w:rsid w:val="00C233E7"/>
    <w:rsid w:val="00C23408"/>
    <w:rsid w:val="00C23A32"/>
    <w:rsid w:val="00C23A70"/>
    <w:rsid w:val="00C23CA7"/>
    <w:rsid w:val="00C23D7B"/>
    <w:rsid w:val="00C23EB6"/>
    <w:rsid w:val="00C24B26"/>
    <w:rsid w:val="00C24F2E"/>
    <w:rsid w:val="00C252B1"/>
    <w:rsid w:val="00C256B0"/>
    <w:rsid w:val="00C25E44"/>
    <w:rsid w:val="00C25EBE"/>
    <w:rsid w:val="00C2620F"/>
    <w:rsid w:val="00C264A6"/>
    <w:rsid w:val="00C26B96"/>
    <w:rsid w:val="00C26D39"/>
    <w:rsid w:val="00C26EC1"/>
    <w:rsid w:val="00C26F79"/>
    <w:rsid w:val="00C270CD"/>
    <w:rsid w:val="00C271E5"/>
    <w:rsid w:val="00C273A6"/>
    <w:rsid w:val="00C275E4"/>
    <w:rsid w:val="00C27765"/>
    <w:rsid w:val="00C279BF"/>
    <w:rsid w:val="00C27C4B"/>
    <w:rsid w:val="00C27D1C"/>
    <w:rsid w:val="00C27E81"/>
    <w:rsid w:val="00C27FC4"/>
    <w:rsid w:val="00C3071C"/>
    <w:rsid w:val="00C307C0"/>
    <w:rsid w:val="00C308B2"/>
    <w:rsid w:val="00C308E4"/>
    <w:rsid w:val="00C30C7D"/>
    <w:rsid w:val="00C311C3"/>
    <w:rsid w:val="00C3120B"/>
    <w:rsid w:val="00C31242"/>
    <w:rsid w:val="00C312AB"/>
    <w:rsid w:val="00C31608"/>
    <w:rsid w:val="00C319B3"/>
    <w:rsid w:val="00C31A33"/>
    <w:rsid w:val="00C321CF"/>
    <w:rsid w:val="00C323A1"/>
    <w:rsid w:val="00C32F96"/>
    <w:rsid w:val="00C339C4"/>
    <w:rsid w:val="00C33C5D"/>
    <w:rsid w:val="00C34144"/>
    <w:rsid w:val="00C3480E"/>
    <w:rsid w:val="00C34A72"/>
    <w:rsid w:val="00C34EB7"/>
    <w:rsid w:val="00C34F2D"/>
    <w:rsid w:val="00C34FAB"/>
    <w:rsid w:val="00C35711"/>
    <w:rsid w:val="00C35856"/>
    <w:rsid w:val="00C36199"/>
    <w:rsid w:val="00C36448"/>
    <w:rsid w:val="00C367E0"/>
    <w:rsid w:val="00C36965"/>
    <w:rsid w:val="00C36ACD"/>
    <w:rsid w:val="00C36D47"/>
    <w:rsid w:val="00C36EAF"/>
    <w:rsid w:val="00C370CA"/>
    <w:rsid w:val="00C372CD"/>
    <w:rsid w:val="00C37359"/>
    <w:rsid w:val="00C374C9"/>
    <w:rsid w:val="00C375FA"/>
    <w:rsid w:val="00C37685"/>
    <w:rsid w:val="00C377D8"/>
    <w:rsid w:val="00C378EC"/>
    <w:rsid w:val="00C40468"/>
    <w:rsid w:val="00C40668"/>
    <w:rsid w:val="00C40759"/>
    <w:rsid w:val="00C40FBF"/>
    <w:rsid w:val="00C41023"/>
    <w:rsid w:val="00C41112"/>
    <w:rsid w:val="00C41124"/>
    <w:rsid w:val="00C411C1"/>
    <w:rsid w:val="00C41515"/>
    <w:rsid w:val="00C4155C"/>
    <w:rsid w:val="00C4155D"/>
    <w:rsid w:val="00C41A13"/>
    <w:rsid w:val="00C41A15"/>
    <w:rsid w:val="00C41AAA"/>
    <w:rsid w:val="00C41DDC"/>
    <w:rsid w:val="00C426EF"/>
    <w:rsid w:val="00C427A9"/>
    <w:rsid w:val="00C428EB"/>
    <w:rsid w:val="00C42EA5"/>
    <w:rsid w:val="00C43446"/>
    <w:rsid w:val="00C43B74"/>
    <w:rsid w:val="00C43DB8"/>
    <w:rsid w:val="00C4417A"/>
    <w:rsid w:val="00C441C2"/>
    <w:rsid w:val="00C44412"/>
    <w:rsid w:val="00C446BE"/>
    <w:rsid w:val="00C44A54"/>
    <w:rsid w:val="00C45352"/>
    <w:rsid w:val="00C45728"/>
    <w:rsid w:val="00C45BB7"/>
    <w:rsid w:val="00C45C4F"/>
    <w:rsid w:val="00C45E19"/>
    <w:rsid w:val="00C45FF2"/>
    <w:rsid w:val="00C4616B"/>
    <w:rsid w:val="00C466DA"/>
    <w:rsid w:val="00C46A61"/>
    <w:rsid w:val="00C46C51"/>
    <w:rsid w:val="00C46CDA"/>
    <w:rsid w:val="00C4734B"/>
    <w:rsid w:val="00C4735F"/>
    <w:rsid w:val="00C4761A"/>
    <w:rsid w:val="00C4781D"/>
    <w:rsid w:val="00C47889"/>
    <w:rsid w:val="00C47D09"/>
    <w:rsid w:val="00C47D78"/>
    <w:rsid w:val="00C47E96"/>
    <w:rsid w:val="00C47EDF"/>
    <w:rsid w:val="00C50480"/>
    <w:rsid w:val="00C5092A"/>
    <w:rsid w:val="00C509C6"/>
    <w:rsid w:val="00C50A81"/>
    <w:rsid w:val="00C50E2A"/>
    <w:rsid w:val="00C51045"/>
    <w:rsid w:val="00C51888"/>
    <w:rsid w:val="00C51A69"/>
    <w:rsid w:val="00C51B13"/>
    <w:rsid w:val="00C51C25"/>
    <w:rsid w:val="00C51F9C"/>
    <w:rsid w:val="00C520F6"/>
    <w:rsid w:val="00C52764"/>
    <w:rsid w:val="00C528F7"/>
    <w:rsid w:val="00C52BE5"/>
    <w:rsid w:val="00C52C23"/>
    <w:rsid w:val="00C52CFB"/>
    <w:rsid w:val="00C52E50"/>
    <w:rsid w:val="00C531B7"/>
    <w:rsid w:val="00C53277"/>
    <w:rsid w:val="00C5331F"/>
    <w:rsid w:val="00C53AE8"/>
    <w:rsid w:val="00C54052"/>
    <w:rsid w:val="00C548BD"/>
    <w:rsid w:val="00C5512E"/>
    <w:rsid w:val="00C554CE"/>
    <w:rsid w:val="00C55637"/>
    <w:rsid w:val="00C55696"/>
    <w:rsid w:val="00C556BA"/>
    <w:rsid w:val="00C557BB"/>
    <w:rsid w:val="00C55A3C"/>
    <w:rsid w:val="00C55D97"/>
    <w:rsid w:val="00C56053"/>
    <w:rsid w:val="00C561AF"/>
    <w:rsid w:val="00C563FE"/>
    <w:rsid w:val="00C5671E"/>
    <w:rsid w:val="00C56A53"/>
    <w:rsid w:val="00C56E90"/>
    <w:rsid w:val="00C56F77"/>
    <w:rsid w:val="00C572A4"/>
    <w:rsid w:val="00C573CA"/>
    <w:rsid w:val="00C574E9"/>
    <w:rsid w:val="00C575F4"/>
    <w:rsid w:val="00C57A77"/>
    <w:rsid w:val="00C57E02"/>
    <w:rsid w:val="00C6010F"/>
    <w:rsid w:val="00C601C5"/>
    <w:rsid w:val="00C6035D"/>
    <w:rsid w:val="00C603A8"/>
    <w:rsid w:val="00C6088B"/>
    <w:rsid w:val="00C60B14"/>
    <w:rsid w:val="00C60BD5"/>
    <w:rsid w:val="00C6128F"/>
    <w:rsid w:val="00C61778"/>
    <w:rsid w:val="00C61790"/>
    <w:rsid w:val="00C61A77"/>
    <w:rsid w:val="00C61D59"/>
    <w:rsid w:val="00C61EAC"/>
    <w:rsid w:val="00C62163"/>
    <w:rsid w:val="00C621E3"/>
    <w:rsid w:val="00C62563"/>
    <w:rsid w:val="00C6299A"/>
    <w:rsid w:val="00C62B69"/>
    <w:rsid w:val="00C62F1C"/>
    <w:rsid w:val="00C63CB2"/>
    <w:rsid w:val="00C63D12"/>
    <w:rsid w:val="00C64021"/>
    <w:rsid w:val="00C64165"/>
    <w:rsid w:val="00C641A9"/>
    <w:rsid w:val="00C64488"/>
    <w:rsid w:val="00C6450A"/>
    <w:rsid w:val="00C64883"/>
    <w:rsid w:val="00C64A81"/>
    <w:rsid w:val="00C64BF2"/>
    <w:rsid w:val="00C64DCA"/>
    <w:rsid w:val="00C64F57"/>
    <w:rsid w:val="00C64F69"/>
    <w:rsid w:val="00C6512D"/>
    <w:rsid w:val="00C6558A"/>
    <w:rsid w:val="00C65F56"/>
    <w:rsid w:val="00C660E5"/>
    <w:rsid w:val="00C66364"/>
    <w:rsid w:val="00C663F3"/>
    <w:rsid w:val="00C66507"/>
    <w:rsid w:val="00C66707"/>
    <w:rsid w:val="00C6684E"/>
    <w:rsid w:val="00C66B90"/>
    <w:rsid w:val="00C66F7D"/>
    <w:rsid w:val="00C66FE0"/>
    <w:rsid w:val="00C6716D"/>
    <w:rsid w:val="00C672A7"/>
    <w:rsid w:val="00C67494"/>
    <w:rsid w:val="00C67671"/>
    <w:rsid w:val="00C67861"/>
    <w:rsid w:val="00C679E5"/>
    <w:rsid w:val="00C67C9F"/>
    <w:rsid w:val="00C67EDF"/>
    <w:rsid w:val="00C67F7F"/>
    <w:rsid w:val="00C70445"/>
    <w:rsid w:val="00C705A0"/>
    <w:rsid w:val="00C70BD5"/>
    <w:rsid w:val="00C70C14"/>
    <w:rsid w:val="00C70D57"/>
    <w:rsid w:val="00C70DC0"/>
    <w:rsid w:val="00C70FC6"/>
    <w:rsid w:val="00C710BA"/>
    <w:rsid w:val="00C7127A"/>
    <w:rsid w:val="00C712F6"/>
    <w:rsid w:val="00C7135B"/>
    <w:rsid w:val="00C71479"/>
    <w:rsid w:val="00C714F6"/>
    <w:rsid w:val="00C71ACD"/>
    <w:rsid w:val="00C71DB5"/>
    <w:rsid w:val="00C71F70"/>
    <w:rsid w:val="00C72137"/>
    <w:rsid w:val="00C7228F"/>
    <w:rsid w:val="00C72318"/>
    <w:rsid w:val="00C7256E"/>
    <w:rsid w:val="00C726C3"/>
    <w:rsid w:val="00C72A0E"/>
    <w:rsid w:val="00C72EBF"/>
    <w:rsid w:val="00C732DE"/>
    <w:rsid w:val="00C73328"/>
    <w:rsid w:val="00C73836"/>
    <w:rsid w:val="00C73895"/>
    <w:rsid w:val="00C73FF9"/>
    <w:rsid w:val="00C7419C"/>
    <w:rsid w:val="00C745DD"/>
    <w:rsid w:val="00C74D08"/>
    <w:rsid w:val="00C75161"/>
    <w:rsid w:val="00C75178"/>
    <w:rsid w:val="00C75428"/>
    <w:rsid w:val="00C754C9"/>
    <w:rsid w:val="00C75709"/>
    <w:rsid w:val="00C75C12"/>
    <w:rsid w:val="00C75C68"/>
    <w:rsid w:val="00C75E9A"/>
    <w:rsid w:val="00C75EE9"/>
    <w:rsid w:val="00C75EF9"/>
    <w:rsid w:val="00C75F41"/>
    <w:rsid w:val="00C7629D"/>
    <w:rsid w:val="00C762A2"/>
    <w:rsid w:val="00C76313"/>
    <w:rsid w:val="00C76523"/>
    <w:rsid w:val="00C76692"/>
    <w:rsid w:val="00C76918"/>
    <w:rsid w:val="00C76952"/>
    <w:rsid w:val="00C76B3D"/>
    <w:rsid w:val="00C77366"/>
    <w:rsid w:val="00C775DF"/>
    <w:rsid w:val="00C77757"/>
    <w:rsid w:val="00C804F2"/>
    <w:rsid w:val="00C806A5"/>
    <w:rsid w:val="00C807BC"/>
    <w:rsid w:val="00C80A8C"/>
    <w:rsid w:val="00C80DA3"/>
    <w:rsid w:val="00C812DA"/>
    <w:rsid w:val="00C814F8"/>
    <w:rsid w:val="00C8190C"/>
    <w:rsid w:val="00C81C3F"/>
    <w:rsid w:val="00C81EF6"/>
    <w:rsid w:val="00C81F47"/>
    <w:rsid w:val="00C81F53"/>
    <w:rsid w:val="00C8228F"/>
    <w:rsid w:val="00C827BF"/>
    <w:rsid w:val="00C82837"/>
    <w:rsid w:val="00C82C53"/>
    <w:rsid w:val="00C82D41"/>
    <w:rsid w:val="00C831A0"/>
    <w:rsid w:val="00C831E0"/>
    <w:rsid w:val="00C833E4"/>
    <w:rsid w:val="00C83A0F"/>
    <w:rsid w:val="00C83EEA"/>
    <w:rsid w:val="00C84A89"/>
    <w:rsid w:val="00C86136"/>
    <w:rsid w:val="00C8613B"/>
    <w:rsid w:val="00C86186"/>
    <w:rsid w:val="00C861C0"/>
    <w:rsid w:val="00C86312"/>
    <w:rsid w:val="00C86344"/>
    <w:rsid w:val="00C8661D"/>
    <w:rsid w:val="00C868E5"/>
    <w:rsid w:val="00C86953"/>
    <w:rsid w:val="00C86C07"/>
    <w:rsid w:val="00C86DCB"/>
    <w:rsid w:val="00C86E45"/>
    <w:rsid w:val="00C875C3"/>
    <w:rsid w:val="00C876E4"/>
    <w:rsid w:val="00C87A6D"/>
    <w:rsid w:val="00C87BDB"/>
    <w:rsid w:val="00C87DE1"/>
    <w:rsid w:val="00C90045"/>
    <w:rsid w:val="00C900D7"/>
    <w:rsid w:val="00C90716"/>
    <w:rsid w:val="00C90873"/>
    <w:rsid w:val="00C90C72"/>
    <w:rsid w:val="00C90DDA"/>
    <w:rsid w:val="00C90FBF"/>
    <w:rsid w:val="00C911B5"/>
    <w:rsid w:val="00C911F5"/>
    <w:rsid w:val="00C91354"/>
    <w:rsid w:val="00C914A0"/>
    <w:rsid w:val="00C919EE"/>
    <w:rsid w:val="00C91D54"/>
    <w:rsid w:val="00C920AB"/>
    <w:rsid w:val="00C927A8"/>
    <w:rsid w:val="00C927D2"/>
    <w:rsid w:val="00C92920"/>
    <w:rsid w:val="00C92A9E"/>
    <w:rsid w:val="00C92B95"/>
    <w:rsid w:val="00C92C9F"/>
    <w:rsid w:val="00C92D1E"/>
    <w:rsid w:val="00C92D94"/>
    <w:rsid w:val="00C9332E"/>
    <w:rsid w:val="00C9335F"/>
    <w:rsid w:val="00C93565"/>
    <w:rsid w:val="00C938D0"/>
    <w:rsid w:val="00C93DC1"/>
    <w:rsid w:val="00C93EA4"/>
    <w:rsid w:val="00C93FFD"/>
    <w:rsid w:val="00C9449D"/>
    <w:rsid w:val="00C944B0"/>
    <w:rsid w:val="00C944DC"/>
    <w:rsid w:val="00C948E8"/>
    <w:rsid w:val="00C94A5B"/>
    <w:rsid w:val="00C94B9B"/>
    <w:rsid w:val="00C94D68"/>
    <w:rsid w:val="00C94EF3"/>
    <w:rsid w:val="00C94F3B"/>
    <w:rsid w:val="00C95059"/>
    <w:rsid w:val="00C9535B"/>
    <w:rsid w:val="00C953F4"/>
    <w:rsid w:val="00C954F5"/>
    <w:rsid w:val="00C95564"/>
    <w:rsid w:val="00C9559D"/>
    <w:rsid w:val="00C956F5"/>
    <w:rsid w:val="00C95766"/>
    <w:rsid w:val="00C957A6"/>
    <w:rsid w:val="00C957F1"/>
    <w:rsid w:val="00C95AC3"/>
    <w:rsid w:val="00C95D9B"/>
    <w:rsid w:val="00C963EB"/>
    <w:rsid w:val="00C966D2"/>
    <w:rsid w:val="00C96752"/>
    <w:rsid w:val="00C96777"/>
    <w:rsid w:val="00C96B1D"/>
    <w:rsid w:val="00C96C95"/>
    <w:rsid w:val="00C96EBA"/>
    <w:rsid w:val="00C9701A"/>
    <w:rsid w:val="00C97034"/>
    <w:rsid w:val="00C97069"/>
    <w:rsid w:val="00C970B1"/>
    <w:rsid w:val="00C974E7"/>
    <w:rsid w:val="00C977F4"/>
    <w:rsid w:val="00C97AF3"/>
    <w:rsid w:val="00C97BA2"/>
    <w:rsid w:val="00C97C14"/>
    <w:rsid w:val="00CA0637"/>
    <w:rsid w:val="00CA065D"/>
    <w:rsid w:val="00CA0DF8"/>
    <w:rsid w:val="00CA16E0"/>
    <w:rsid w:val="00CA196C"/>
    <w:rsid w:val="00CA210A"/>
    <w:rsid w:val="00CA26EE"/>
    <w:rsid w:val="00CA2977"/>
    <w:rsid w:val="00CA29F9"/>
    <w:rsid w:val="00CA2E60"/>
    <w:rsid w:val="00CA345C"/>
    <w:rsid w:val="00CA39E1"/>
    <w:rsid w:val="00CA3B3D"/>
    <w:rsid w:val="00CA4883"/>
    <w:rsid w:val="00CA4975"/>
    <w:rsid w:val="00CA4D09"/>
    <w:rsid w:val="00CA4F35"/>
    <w:rsid w:val="00CA5068"/>
    <w:rsid w:val="00CA51A5"/>
    <w:rsid w:val="00CA5216"/>
    <w:rsid w:val="00CA531B"/>
    <w:rsid w:val="00CA5367"/>
    <w:rsid w:val="00CA5948"/>
    <w:rsid w:val="00CA5C7B"/>
    <w:rsid w:val="00CA5CAA"/>
    <w:rsid w:val="00CA5DD8"/>
    <w:rsid w:val="00CA60FD"/>
    <w:rsid w:val="00CA64CF"/>
    <w:rsid w:val="00CA65CB"/>
    <w:rsid w:val="00CA670F"/>
    <w:rsid w:val="00CA6728"/>
    <w:rsid w:val="00CA6A14"/>
    <w:rsid w:val="00CA6CBF"/>
    <w:rsid w:val="00CA6D46"/>
    <w:rsid w:val="00CA6EC1"/>
    <w:rsid w:val="00CA6F9C"/>
    <w:rsid w:val="00CA7037"/>
    <w:rsid w:val="00CA738F"/>
    <w:rsid w:val="00CA739D"/>
    <w:rsid w:val="00CA73AA"/>
    <w:rsid w:val="00CA743D"/>
    <w:rsid w:val="00CA749C"/>
    <w:rsid w:val="00CA75E9"/>
    <w:rsid w:val="00CA7E27"/>
    <w:rsid w:val="00CB01CA"/>
    <w:rsid w:val="00CB024B"/>
    <w:rsid w:val="00CB0565"/>
    <w:rsid w:val="00CB081F"/>
    <w:rsid w:val="00CB0B35"/>
    <w:rsid w:val="00CB0E57"/>
    <w:rsid w:val="00CB1058"/>
    <w:rsid w:val="00CB157A"/>
    <w:rsid w:val="00CB1B36"/>
    <w:rsid w:val="00CB1B38"/>
    <w:rsid w:val="00CB1B3C"/>
    <w:rsid w:val="00CB211F"/>
    <w:rsid w:val="00CB2212"/>
    <w:rsid w:val="00CB2737"/>
    <w:rsid w:val="00CB2A37"/>
    <w:rsid w:val="00CB2CC8"/>
    <w:rsid w:val="00CB2F38"/>
    <w:rsid w:val="00CB335E"/>
    <w:rsid w:val="00CB352D"/>
    <w:rsid w:val="00CB36E8"/>
    <w:rsid w:val="00CB3965"/>
    <w:rsid w:val="00CB4249"/>
    <w:rsid w:val="00CB4416"/>
    <w:rsid w:val="00CB455D"/>
    <w:rsid w:val="00CB462B"/>
    <w:rsid w:val="00CB4A54"/>
    <w:rsid w:val="00CB4DDD"/>
    <w:rsid w:val="00CB5123"/>
    <w:rsid w:val="00CB56A7"/>
    <w:rsid w:val="00CB56B3"/>
    <w:rsid w:val="00CB570B"/>
    <w:rsid w:val="00CB5723"/>
    <w:rsid w:val="00CB57D6"/>
    <w:rsid w:val="00CB590A"/>
    <w:rsid w:val="00CB59A4"/>
    <w:rsid w:val="00CB5A20"/>
    <w:rsid w:val="00CB5B7E"/>
    <w:rsid w:val="00CB5BBB"/>
    <w:rsid w:val="00CB5CD1"/>
    <w:rsid w:val="00CB5E4F"/>
    <w:rsid w:val="00CB5EB7"/>
    <w:rsid w:val="00CB606B"/>
    <w:rsid w:val="00CB62F9"/>
    <w:rsid w:val="00CB6343"/>
    <w:rsid w:val="00CB6518"/>
    <w:rsid w:val="00CB6AF5"/>
    <w:rsid w:val="00CB6BD8"/>
    <w:rsid w:val="00CB701F"/>
    <w:rsid w:val="00CB710B"/>
    <w:rsid w:val="00CB71E8"/>
    <w:rsid w:val="00CB7246"/>
    <w:rsid w:val="00CB74D8"/>
    <w:rsid w:val="00CB7615"/>
    <w:rsid w:val="00CB76EB"/>
    <w:rsid w:val="00CB7741"/>
    <w:rsid w:val="00CB7D1F"/>
    <w:rsid w:val="00CB7D89"/>
    <w:rsid w:val="00CB7DD5"/>
    <w:rsid w:val="00CB7FEB"/>
    <w:rsid w:val="00CC07F0"/>
    <w:rsid w:val="00CC0B56"/>
    <w:rsid w:val="00CC1035"/>
    <w:rsid w:val="00CC16F2"/>
    <w:rsid w:val="00CC1910"/>
    <w:rsid w:val="00CC19A0"/>
    <w:rsid w:val="00CC1ADE"/>
    <w:rsid w:val="00CC1CC1"/>
    <w:rsid w:val="00CC1D5C"/>
    <w:rsid w:val="00CC1DB1"/>
    <w:rsid w:val="00CC20E4"/>
    <w:rsid w:val="00CC2358"/>
    <w:rsid w:val="00CC236C"/>
    <w:rsid w:val="00CC23BA"/>
    <w:rsid w:val="00CC24C1"/>
    <w:rsid w:val="00CC2C3E"/>
    <w:rsid w:val="00CC2E0A"/>
    <w:rsid w:val="00CC2EE3"/>
    <w:rsid w:val="00CC3194"/>
    <w:rsid w:val="00CC3374"/>
    <w:rsid w:val="00CC3552"/>
    <w:rsid w:val="00CC3669"/>
    <w:rsid w:val="00CC3794"/>
    <w:rsid w:val="00CC3AD9"/>
    <w:rsid w:val="00CC3C27"/>
    <w:rsid w:val="00CC3F65"/>
    <w:rsid w:val="00CC3F9D"/>
    <w:rsid w:val="00CC4067"/>
    <w:rsid w:val="00CC415A"/>
    <w:rsid w:val="00CC4B5F"/>
    <w:rsid w:val="00CC4F0F"/>
    <w:rsid w:val="00CC4F7B"/>
    <w:rsid w:val="00CC5330"/>
    <w:rsid w:val="00CC53E3"/>
    <w:rsid w:val="00CC55D3"/>
    <w:rsid w:val="00CC579D"/>
    <w:rsid w:val="00CC5CEB"/>
    <w:rsid w:val="00CC5EC2"/>
    <w:rsid w:val="00CC6031"/>
    <w:rsid w:val="00CC605E"/>
    <w:rsid w:val="00CC6622"/>
    <w:rsid w:val="00CC6676"/>
    <w:rsid w:val="00CC6825"/>
    <w:rsid w:val="00CC69AE"/>
    <w:rsid w:val="00CC6BF4"/>
    <w:rsid w:val="00CC770A"/>
    <w:rsid w:val="00CC7925"/>
    <w:rsid w:val="00CC7A58"/>
    <w:rsid w:val="00CC7A9E"/>
    <w:rsid w:val="00CC7B61"/>
    <w:rsid w:val="00CC7D01"/>
    <w:rsid w:val="00CC7D21"/>
    <w:rsid w:val="00CC7F0D"/>
    <w:rsid w:val="00CC7F91"/>
    <w:rsid w:val="00CC7F97"/>
    <w:rsid w:val="00CD05EB"/>
    <w:rsid w:val="00CD079D"/>
    <w:rsid w:val="00CD0C14"/>
    <w:rsid w:val="00CD1199"/>
    <w:rsid w:val="00CD135D"/>
    <w:rsid w:val="00CD145E"/>
    <w:rsid w:val="00CD1520"/>
    <w:rsid w:val="00CD1901"/>
    <w:rsid w:val="00CD1ABF"/>
    <w:rsid w:val="00CD1B95"/>
    <w:rsid w:val="00CD1D20"/>
    <w:rsid w:val="00CD1DBD"/>
    <w:rsid w:val="00CD21CE"/>
    <w:rsid w:val="00CD275C"/>
    <w:rsid w:val="00CD2BFF"/>
    <w:rsid w:val="00CD2D7C"/>
    <w:rsid w:val="00CD3067"/>
    <w:rsid w:val="00CD3081"/>
    <w:rsid w:val="00CD30C1"/>
    <w:rsid w:val="00CD312E"/>
    <w:rsid w:val="00CD3143"/>
    <w:rsid w:val="00CD3291"/>
    <w:rsid w:val="00CD3903"/>
    <w:rsid w:val="00CD3941"/>
    <w:rsid w:val="00CD3A99"/>
    <w:rsid w:val="00CD3E42"/>
    <w:rsid w:val="00CD43CA"/>
    <w:rsid w:val="00CD4558"/>
    <w:rsid w:val="00CD4788"/>
    <w:rsid w:val="00CD4D85"/>
    <w:rsid w:val="00CD5045"/>
    <w:rsid w:val="00CD554F"/>
    <w:rsid w:val="00CD5D08"/>
    <w:rsid w:val="00CD5D7C"/>
    <w:rsid w:val="00CD5EBD"/>
    <w:rsid w:val="00CD659F"/>
    <w:rsid w:val="00CD6827"/>
    <w:rsid w:val="00CD6D31"/>
    <w:rsid w:val="00CD6EE6"/>
    <w:rsid w:val="00CD6FED"/>
    <w:rsid w:val="00CD70AF"/>
    <w:rsid w:val="00CD74CE"/>
    <w:rsid w:val="00CD75C2"/>
    <w:rsid w:val="00CD763D"/>
    <w:rsid w:val="00CD7EC4"/>
    <w:rsid w:val="00CE0020"/>
    <w:rsid w:val="00CE037E"/>
    <w:rsid w:val="00CE04E8"/>
    <w:rsid w:val="00CE088D"/>
    <w:rsid w:val="00CE08CA"/>
    <w:rsid w:val="00CE0924"/>
    <w:rsid w:val="00CE0D0A"/>
    <w:rsid w:val="00CE0ED6"/>
    <w:rsid w:val="00CE1084"/>
    <w:rsid w:val="00CE114F"/>
    <w:rsid w:val="00CE1258"/>
    <w:rsid w:val="00CE1268"/>
    <w:rsid w:val="00CE15A8"/>
    <w:rsid w:val="00CE1A46"/>
    <w:rsid w:val="00CE20F9"/>
    <w:rsid w:val="00CE2B1A"/>
    <w:rsid w:val="00CE2B5B"/>
    <w:rsid w:val="00CE2BAE"/>
    <w:rsid w:val="00CE2F21"/>
    <w:rsid w:val="00CE2F9B"/>
    <w:rsid w:val="00CE388D"/>
    <w:rsid w:val="00CE3A15"/>
    <w:rsid w:val="00CE3C18"/>
    <w:rsid w:val="00CE3D76"/>
    <w:rsid w:val="00CE4192"/>
    <w:rsid w:val="00CE43C3"/>
    <w:rsid w:val="00CE4456"/>
    <w:rsid w:val="00CE45BB"/>
    <w:rsid w:val="00CE48DE"/>
    <w:rsid w:val="00CE4B1A"/>
    <w:rsid w:val="00CE4F90"/>
    <w:rsid w:val="00CE50FD"/>
    <w:rsid w:val="00CE51B1"/>
    <w:rsid w:val="00CE51C9"/>
    <w:rsid w:val="00CE52AE"/>
    <w:rsid w:val="00CE5754"/>
    <w:rsid w:val="00CE5D4D"/>
    <w:rsid w:val="00CE5E1C"/>
    <w:rsid w:val="00CE6054"/>
    <w:rsid w:val="00CE6163"/>
    <w:rsid w:val="00CE63F7"/>
    <w:rsid w:val="00CE676B"/>
    <w:rsid w:val="00CE698A"/>
    <w:rsid w:val="00CE6C3D"/>
    <w:rsid w:val="00CE6F2F"/>
    <w:rsid w:val="00CE743D"/>
    <w:rsid w:val="00CE7524"/>
    <w:rsid w:val="00CE76D3"/>
    <w:rsid w:val="00CE7822"/>
    <w:rsid w:val="00CE7B2E"/>
    <w:rsid w:val="00CE7C19"/>
    <w:rsid w:val="00CE7EB0"/>
    <w:rsid w:val="00CF067C"/>
    <w:rsid w:val="00CF0AB8"/>
    <w:rsid w:val="00CF0B97"/>
    <w:rsid w:val="00CF116B"/>
    <w:rsid w:val="00CF117E"/>
    <w:rsid w:val="00CF16A2"/>
    <w:rsid w:val="00CF1919"/>
    <w:rsid w:val="00CF193D"/>
    <w:rsid w:val="00CF19E1"/>
    <w:rsid w:val="00CF21ED"/>
    <w:rsid w:val="00CF24EB"/>
    <w:rsid w:val="00CF259E"/>
    <w:rsid w:val="00CF2820"/>
    <w:rsid w:val="00CF2A41"/>
    <w:rsid w:val="00CF2EA2"/>
    <w:rsid w:val="00CF3554"/>
    <w:rsid w:val="00CF3A00"/>
    <w:rsid w:val="00CF40DB"/>
    <w:rsid w:val="00CF462D"/>
    <w:rsid w:val="00CF47DA"/>
    <w:rsid w:val="00CF48C4"/>
    <w:rsid w:val="00CF5028"/>
    <w:rsid w:val="00CF5154"/>
    <w:rsid w:val="00CF540C"/>
    <w:rsid w:val="00CF5438"/>
    <w:rsid w:val="00CF587B"/>
    <w:rsid w:val="00CF5898"/>
    <w:rsid w:val="00CF5BAF"/>
    <w:rsid w:val="00CF5CC2"/>
    <w:rsid w:val="00CF600E"/>
    <w:rsid w:val="00CF64CC"/>
    <w:rsid w:val="00CF65B4"/>
    <w:rsid w:val="00CF67C7"/>
    <w:rsid w:val="00CF689F"/>
    <w:rsid w:val="00CF6AC3"/>
    <w:rsid w:val="00CF6CB0"/>
    <w:rsid w:val="00CF70BF"/>
    <w:rsid w:val="00CF754F"/>
    <w:rsid w:val="00CF76E4"/>
    <w:rsid w:val="00CF7871"/>
    <w:rsid w:val="00CF789D"/>
    <w:rsid w:val="00CF7A5A"/>
    <w:rsid w:val="00D0052E"/>
    <w:rsid w:val="00D00640"/>
    <w:rsid w:val="00D00876"/>
    <w:rsid w:val="00D00AC7"/>
    <w:rsid w:val="00D00BA4"/>
    <w:rsid w:val="00D00C4A"/>
    <w:rsid w:val="00D011C1"/>
    <w:rsid w:val="00D01302"/>
    <w:rsid w:val="00D01AEF"/>
    <w:rsid w:val="00D02DD2"/>
    <w:rsid w:val="00D02F18"/>
    <w:rsid w:val="00D02FC8"/>
    <w:rsid w:val="00D03230"/>
    <w:rsid w:val="00D036CD"/>
    <w:rsid w:val="00D03DF6"/>
    <w:rsid w:val="00D03F1B"/>
    <w:rsid w:val="00D03FA9"/>
    <w:rsid w:val="00D04208"/>
    <w:rsid w:val="00D04280"/>
    <w:rsid w:val="00D049A6"/>
    <w:rsid w:val="00D04E8E"/>
    <w:rsid w:val="00D04EB3"/>
    <w:rsid w:val="00D05670"/>
    <w:rsid w:val="00D05AE2"/>
    <w:rsid w:val="00D06616"/>
    <w:rsid w:val="00D0665A"/>
    <w:rsid w:val="00D066D4"/>
    <w:rsid w:val="00D068E5"/>
    <w:rsid w:val="00D06D1B"/>
    <w:rsid w:val="00D06D37"/>
    <w:rsid w:val="00D06E7A"/>
    <w:rsid w:val="00D0709A"/>
    <w:rsid w:val="00D079B5"/>
    <w:rsid w:val="00D079F3"/>
    <w:rsid w:val="00D07ACF"/>
    <w:rsid w:val="00D07D25"/>
    <w:rsid w:val="00D07D79"/>
    <w:rsid w:val="00D105D2"/>
    <w:rsid w:val="00D107D0"/>
    <w:rsid w:val="00D10C8A"/>
    <w:rsid w:val="00D10D25"/>
    <w:rsid w:val="00D10FE2"/>
    <w:rsid w:val="00D111BA"/>
    <w:rsid w:val="00D1131F"/>
    <w:rsid w:val="00D11DA5"/>
    <w:rsid w:val="00D11ED9"/>
    <w:rsid w:val="00D1247C"/>
    <w:rsid w:val="00D127D3"/>
    <w:rsid w:val="00D129A2"/>
    <w:rsid w:val="00D12C85"/>
    <w:rsid w:val="00D12EF2"/>
    <w:rsid w:val="00D13255"/>
    <w:rsid w:val="00D1385E"/>
    <w:rsid w:val="00D1386A"/>
    <w:rsid w:val="00D13870"/>
    <w:rsid w:val="00D139A3"/>
    <w:rsid w:val="00D13CC7"/>
    <w:rsid w:val="00D13D0B"/>
    <w:rsid w:val="00D1439E"/>
    <w:rsid w:val="00D1445E"/>
    <w:rsid w:val="00D14B24"/>
    <w:rsid w:val="00D14BF7"/>
    <w:rsid w:val="00D14C52"/>
    <w:rsid w:val="00D14DCB"/>
    <w:rsid w:val="00D14F27"/>
    <w:rsid w:val="00D1500B"/>
    <w:rsid w:val="00D15431"/>
    <w:rsid w:val="00D1546E"/>
    <w:rsid w:val="00D159BC"/>
    <w:rsid w:val="00D15DBF"/>
    <w:rsid w:val="00D16098"/>
    <w:rsid w:val="00D1635C"/>
    <w:rsid w:val="00D16A7D"/>
    <w:rsid w:val="00D16B6F"/>
    <w:rsid w:val="00D17014"/>
    <w:rsid w:val="00D172C6"/>
    <w:rsid w:val="00D177B9"/>
    <w:rsid w:val="00D17AEE"/>
    <w:rsid w:val="00D17CBF"/>
    <w:rsid w:val="00D17D09"/>
    <w:rsid w:val="00D20305"/>
    <w:rsid w:val="00D20748"/>
    <w:rsid w:val="00D2075E"/>
    <w:rsid w:val="00D20D6C"/>
    <w:rsid w:val="00D20E69"/>
    <w:rsid w:val="00D20F79"/>
    <w:rsid w:val="00D2106A"/>
    <w:rsid w:val="00D2138F"/>
    <w:rsid w:val="00D21A95"/>
    <w:rsid w:val="00D21B68"/>
    <w:rsid w:val="00D2208B"/>
    <w:rsid w:val="00D22093"/>
    <w:rsid w:val="00D223DB"/>
    <w:rsid w:val="00D22613"/>
    <w:rsid w:val="00D2269E"/>
    <w:rsid w:val="00D22954"/>
    <w:rsid w:val="00D22C62"/>
    <w:rsid w:val="00D2305E"/>
    <w:rsid w:val="00D233FD"/>
    <w:rsid w:val="00D23496"/>
    <w:rsid w:val="00D2369E"/>
    <w:rsid w:val="00D2388B"/>
    <w:rsid w:val="00D2398D"/>
    <w:rsid w:val="00D241C2"/>
    <w:rsid w:val="00D24551"/>
    <w:rsid w:val="00D248FD"/>
    <w:rsid w:val="00D24C0A"/>
    <w:rsid w:val="00D24CC2"/>
    <w:rsid w:val="00D2500E"/>
    <w:rsid w:val="00D251EB"/>
    <w:rsid w:val="00D25467"/>
    <w:rsid w:val="00D25513"/>
    <w:rsid w:val="00D25678"/>
    <w:rsid w:val="00D2587C"/>
    <w:rsid w:val="00D259F0"/>
    <w:rsid w:val="00D25DB1"/>
    <w:rsid w:val="00D261DB"/>
    <w:rsid w:val="00D262C0"/>
    <w:rsid w:val="00D26376"/>
    <w:rsid w:val="00D2643C"/>
    <w:rsid w:val="00D26552"/>
    <w:rsid w:val="00D2662E"/>
    <w:rsid w:val="00D26759"/>
    <w:rsid w:val="00D272A4"/>
    <w:rsid w:val="00D272E9"/>
    <w:rsid w:val="00D27A71"/>
    <w:rsid w:val="00D27EE3"/>
    <w:rsid w:val="00D27EFA"/>
    <w:rsid w:val="00D302ED"/>
    <w:rsid w:val="00D30444"/>
    <w:rsid w:val="00D30D4C"/>
    <w:rsid w:val="00D30F7A"/>
    <w:rsid w:val="00D30FB4"/>
    <w:rsid w:val="00D31237"/>
    <w:rsid w:val="00D31435"/>
    <w:rsid w:val="00D314F9"/>
    <w:rsid w:val="00D32275"/>
    <w:rsid w:val="00D322AB"/>
    <w:rsid w:val="00D325DF"/>
    <w:rsid w:val="00D32A95"/>
    <w:rsid w:val="00D332F7"/>
    <w:rsid w:val="00D33612"/>
    <w:rsid w:val="00D33B23"/>
    <w:rsid w:val="00D33B6D"/>
    <w:rsid w:val="00D33E3C"/>
    <w:rsid w:val="00D340E4"/>
    <w:rsid w:val="00D34153"/>
    <w:rsid w:val="00D34474"/>
    <w:rsid w:val="00D344E6"/>
    <w:rsid w:val="00D34988"/>
    <w:rsid w:val="00D34AA1"/>
    <w:rsid w:val="00D34ADA"/>
    <w:rsid w:val="00D34BFB"/>
    <w:rsid w:val="00D34C90"/>
    <w:rsid w:val="00D353D7"/>
    <w:rsid w:val="00D35AC4"/>
    <w:rsid w:val="00D35F87"/>
    <w:rsid w:val="00D35FB4"/>
    <w:rsid w:val="00D35FCC"/>
    <w:rsid w:val="00D3632B"/>
    <w:rsid w:val="00D36369"/>
    <w:rsid w:val="00D36452"/>
    <w:rsid w:val="00D36567"/>
    <w:rsid w:val="00D36689"/>
    <w:rsid w:val="00D366C1"/>
    <w:rsid w:val="00D368C8"/>
    <w:rsid w:val="00D368CA"/>
    <w:rsid w:val="00D36DD7"/>
    <w:rsid w:val="00D37093"/>
    <w:rsid w:val="00D37954"/>
    <w:rsid w:val="00D3795D"/>
    <w:rsid w:val="00D37B50"/>
    <w:rsid w:val="00D37C7D"/>
    <w:rsid w:val="00D40716"/>
    <w:rsid w:val="00D40A49"/>
    <w:rsid w:val="00D40CAB"/>
    <w:rsid w:val="00D40CDC"/>
    <w:rsid w:val="00D40D2C"/>
    <w:rsid w:val="00D41964"/>
    <w:rsid w:val="00D41D17"/>
    <w:rsid w:val="00D41D67"/>
    <w:rsid w:val="00D41D96"/>
    <w:rsid w:val="00D42159"/>
    <w:rsid w:val="00D421BC"/>
    <w:rsid w:val="00D425BF"/>
    <w:rsid w:val="00D42FCC"/>
    <w:rsid w:val="00D43427"/>
    <w:rsid w:val="00D43439"/>
    <w:rsid w:val="00D438E0"/>
    <w:rsid w:val="00D4394A"/>
    <w:rsid w:val="00D44005"/>
    <w:rsid w:val="00D4401C"/>
    <w:rsid w:val="00D44038"/>
    <w:rsid w:val="00D44278"/>
    <w:rsid w:val="00D444F7"/>
    <w:rsid w:val="00D44861"/>
    <w:rsid w:val="00D44A91"/>
    <w:rsid w:val="00D44BDB"/>
    <w:rsid w:val="00D44CE8"/>
    <w:rsid w:val="00D44DBE"/>
    <w:rsid w:val="00D450CC"/>
    <w:rsid w:val="00D45474"/>
    <w:rsid w:val="00D45623"/>
    <w:rsid w:val="00D456A2"/>
    <w:rsid w:val="00D45E11"/>
    <w:rsid w:val="00D45EFB"/>
    <w:rsid w:val="00D45FB0"/>
    <w:rsid w:val="00D4685E"/>
    <w:rsid w:val="00D4689E"/>
    <w:rsid w:val="00D46B3B"/>
    <w:rsid w:val="00D46D19"/>
    <w:rsid w:val="00D46E87"/>
    <w:rsid w:val="00D47549"/>
    <w:rsid w:val="00D476A6"/>
    <w:rsid w:val="00D47742"/>
    <w:rsid w:val="00D47834"/>
    <w:rsid w:val="00D47C3F"/>
    <w:rsid w:val="00D507DE"/>
    <w:rsid w:val="00D509CD"/>
    <w:rsid w:val="00D511E3"/>
    <w:rsid w:val="00D512D9"/>
    <w:rsid w:val="00D51598"/>
    <w:rsid w:val="00D516B2"/>
    <w:rsid w:val="00D519A6"/>
    <w:rsid w:val="00D52238"/>
    <w:rsid w:val="00D522F8"/>
    <w:rsid w:val="00D526A9"/>
    <w:rsid w:val="00D52725"/>
    <w:rsid w:val="00D52C40"/>
    <w:rsid w:val="00D53200"/>
    <w:rsid w:val="00D535D4"/>
    <w:rsid w:val="00D53943"/>
    <w:rsid w:val="00D53B94"/>
    <w:rsid w:val="00D53C37"/>
    <w:rsid w:val="00D53F7A"/>
    <w:rsid w:val="00D54118"/>
    <w:rsid w:val="00D54152"/>
    <w:rsid w:val="00D5429A"/>
    <w:rsid w:val="00D5430E"/>
    <w:rsid w:val="00D545D5"/>
    <w:rsid w:val="00D54708"/>
    <w:rsid w:val="00D54732"/>
    <w:rsid w:val="00D54CF9"/>
    <w:rsid w:val="00D5500F"/>
    <w:rsid w:val="00D5546C"/>
    <w:rsid w:val="00D5570B"/>
    <w:rsid w:val="00D55983"/>
    <w:rsid w:val="00D55E0A"/>
    <w:rsid w:val="00D564FD"/>
    <w:rsid w:val="00D56774"/>
    <w:rsid w:val="00D568E3"/>
    <w:rsid w:val="00D56DE0"/>
    <w:rsid w:val="00D571C5"/>
    <w:rsid w:val="00D572F0"/>
    <w:rsid w:val="00D57761"/>
    <w:rsid w:val="00D57B6A"/>
    <w:rsid w:val="00D57C62"/>
    <w:rsid w:val="00D57C73"/>
    <w:rsid w:val="00D57FF3"/>
    <w:rsid w:val="00D602B1"/>
    <w:rsid w:val="00D602E7"/>
    <w:rsid w:val="00D603C9"/>
    <w:rsid w:val="00D60448"/>
    <w:rsid w:val="00D60891"/>
    <w:rsid w:val="00D609FB"/>
    <w:rsid w:val="00D60C01"/>
    <w:rsid w:val="00D60CB2"/>
    <w:rsid w:val="00D610A8"/>
    <w:rsid w:val="00D6130A"/>
    <w:rsid w:val="00D61453"/>
    <w:rsid w:val="00D61B59"/>
    <w:rsid w:val="00D61CF7"/>
    <w:rsid w:val="00D61DA1"/>
    <w:rsid w:val="00D61E75"/>
    <w:rsid w:val="00D61E84"/>
    <w:rsid w:val="00D61F41"/>
    <w:rsid w:val="00D620A1"/>
    <w:rsid w:val="00D623FA"/>
    <w:rsid w:val="00D62680"/>
    <w:rsid w:val="00D6269D"/>
    <w:rsid w:val="00D6307B"/>
    <w:rsid w:val="00D6311C"/>
    <w:rsid w:val="00D63273"/>
    <w:rsid w:val="00D632AB"/>
    <w:rsid w:val="00D632D5"/>
    <w:rsid w:val="00D63A13"/>
    <w:rsid w:val="00D63EC4"/>
    <w:rsid w:val="00D640B5"/>
    <w:rsid w:val="00D64139"/>
    <w:rsid w:val="00D646BC"/>
    <w:rsid w:val="00D64F73"/>
    <w:rsid w:val="00D65A42"/>
    <w:rsid w:val="00D65AD4"/>
    <w:rsid w:val="00D65B72"/>
    <w:rsid w:val="00D65B73"/>
    <w:rsid w:val="00D65D7F"/>
    <w:rsid w:val="00D65F70"/>
    <w:rsid w:val="00D66411"/>
    <w:rsid w:val="00D66584"/>
    <w:rsid w:val="00D6722A"/>
    <w:rsid w:val="00D6761A"/>
    <w:rsid w:val="00D676A6"/>
    <w:rsid w:val="00D67C3F"/>
    <w:rsid w:val="00D70137"/>
    <w:rsid w:val="00D7034F"/>
    <w:rsid w:val="00D70521"/>
    <w:rsid w:val="00D705E9"/>
    <w:rsid w:val="00D705F7"/>
    <w:rsid w:val="00D70899"/>
    <w:rsid w:val="00D70A7D"/>
    <w:rsid w:val="00D70B18"/>
    <w:rsid w:val="00D70BF7"/>
    <w:rsid w:val="00D70C6E"/>
    <w:rsid w:val="00D70EAD"/>
    <w:rsid w:val="00D712E1"/>
    <w:rsid w:val="00D713F5"/>
    <w:rsid w:val="00D7191F"/>
    <w:rsid w:val="00D71A7D"/>
    <w:rsid w:val="00D71C73"/>
    <w:rsid w:val="00D71CF5"/>
    <w:rsid w:val="00D71F44"/>
    <w:rsid w:val="00D7251E"/>
    <w:rsid w:val="00D72BAA"/>
    <w:rsid w:val="00D72D24"/>
    <w:rsid w:val="00D7340B"/>
    <w:rsid w:val="00D735E1"/>
    <w:rsid w:val="00D7374E"/>
    <w:rsid w:val="00D73824"/>
    <w:rsid w:val="00D73AF0"/>
    <w:rsid w:val="00D743FA"/>
    <w:rsid w:val="00D74821"/>
    <w:rsid w:val="00D74866"/>
    <w:rsid w:val="00D74AB4"/>
    <w:rsid w:val="00D74EFD"/>
    <w:rsid w:val="00D75164"/>
    <w:rsid w:val="00D754D6"/>
    <w:rsid w:val="00D754EC"/>
    <w:rsid w:val="00D7559B"/>
    <w:rsid w:val="00D7566C"/>
    <w:rsid w:val="00D75747"/>
    <w:rsid w:val="00D7577F"/>
    <w:rsid w:val="00D75852"/>
    <w:rsid w:val="00D75E70"/>
    <w:rsid w:val="00D75F6F"/>
    <w:rsid w:val="00D7602C"/>
    <w:rsid w:val="00D7607F"/>
    <w:rsid w:val="00D7620F"/>
    <w:rsid w:val="00D762F2"/>
    <w:rsid w:val="00D7634F"/>
    <w:rsid w:val="00D763D6"/>
    <w:rsid w:val="00D764C5"/>
    <w:rsid w:val="00D76563"/>
    <w:rsid w:val="00D766AF"/>
    <w:rsid w:val="00D7681A"/>
    <w:rsid w:val="00D76ECC"/>
    <w:rsid w:val="00D77091"/>
    <w:rsid w:val="00D77173"/>
    <w:rsid w:val="00D772B4"/>
    <w:rsid w:val="00D7755F"/>
    <w:rsid w:val="00D7785B"/>
    <w:rsid w:val="00D77B16"/>
    <w:rsid w:val="00D77E0F"/>
    <w:rsid w:val="00D77F22"/>
    <w:rsid w:val="00D77F81"/>
    <w:rsid w:val="00D80C8B"/>
    <w:rsid w:val="00D80D5C"/>
    <w:rsid w:val="00D80DF1"/>
    <w:rsid w:val="00D81158"/>
    <w:rsid w:val="00D813DB"/>
    <w:rsid w:val="00D815D7"/>
    <w:rsid w:val="00D8169C"/>
    <w:rsid w:val="00D818EA"/>
    <w:rsid w:val="00D81A3A"/>
    <w:rsid w:val="00D81B43"/>
    <w:rsid w:val="00D81BB7"/>
    <w:rsid w:val="00D81EEA"/>
    <w:rsid w:val="00D81FD7"/>
    <w:rsid w:val="00D81FF8"/>
    <w:rsid w:val="00D821C1"/>
    <w:rsid w:val="00D828E4"/>
    <w:rsid w:val="00D82960"/>
    <w:rsid w:val="00D8298C"/>
    <w:rsid w:val="00D82D09"/>
    <w:rsid w:val="00D82E8C"/>
    <w:rsid w:val="00D831F2"/>
    <w:rsid w:val="00D83482"/>
    <w:rsid w:val="00D83A1A"/>
    <w:rsid w:val="00D83AF4"/>
    <w:rsid w:val="00D83F05"/>
    <w:rsid w:val="00D842AD"/>
    <w:rsid w:val="00D84696"/>
    <w:rsid w:val="00D84831"/>
    <w:rsid w:val="00D84857"/>
    <w:rsid w:val="00D84AD4"/>
    <w:rsid w:val="00D84C07"/>
    <w:rsid w:val="00D84FC2"/>
    <w:rsid w:val="00D85451"/>
    <w:rsid w:val="00D85536"/>
    <w:rsid w:val="00D85723"/>
    <w:rsid w:val="00D85734"/>
    <w:rsid w:val="00D85C45"/>
    <w:rsid w:val="00D85CD3"/>
    <w:rsid w:val="00D85E4F"/>
    <w:rsid w:val="00D86292"/>
    <w:rsid w:val="00D862F7"/>
    <w:rsid w:val="00D863B9"/>
    <w:rsid w:val="00D869FA"/>
    <w:rsid w:val="00D86A2B"/>
    <w:rsid w:val="00D8707F"/>
    <w:rsid w:val="00D870BE"/>
    <w:rsid w:val="00D87483"/>
    <w:rsid w:val="00D8758F"/>
    <w:rsid w:val="00D8784E"/>
    <w:rsid w:val="00D87C32"/>
    <w:rsid w:val="00D87C4A"/>
    <w:rsid w:val="00D87CCC"/>
    <w:rsid w:val="00D87D8F"/>
    <w:rsid w:val="00D87E07"/>
    <w:rsid w:val="00D90A8C"/>
    <w:rsid w:val="00D90E68"/>
    <w:rsid w:val="00D91111"/>
    <w:rsid w:val="00D9124C"/>
    <w:rsid w:val="00D913F3"/>
    <w:rsid w:val="00D9148A"/>
    <w:rsid w:val="00D916A6"/>
    <w:rsid w:val="00D917A9"/>
    <w:rsid w:val="00D92134"/>
    <w:rsid w:val="00D922C4"/>
    <w:rsid w:val="00D92362"/>
    <w:rsid w:val="00D9245D"/>
    <w:rsid w:val="00D928D2"/>
    <w:rsid w:val="00D92AF5"/>
    <w:rsid w:val="00D92E21"/>
    <w:rsid w:val="00D932F9"/>
    <w:rsid w:val="00D93630"/>
    <w:rsid w:val="00D938EB"/>
    <w:rsid w:val="00D9391E"/>
    <w:rsid w:val="00D93926"/>
    <w:rsid w:val="00D93C26"/>
    <w:rsid w:val="00D93DC4"/>
    <w:rsid w:val="00D9444E"/>
    <w:rsid w:val="00D9454E"/>
    <w:rsid w:val="00D94E30"/>
    <w:rsid w:val="00D95414"/>
    <w:rsid w:val="00D95571"/>
    <w:rsid w:val="00D95924"/>
    <w:rsid w:val="00D95F4E"/>
    <w:rsid w:val="00D965D6"/>
    <w:rsid w:val="00D966E2"/>
    <w:rsid w:val="00D97121"/>
    <w:rsid w:val="00D974A1"/>
    <w:rsid w:val="00D97AA1"/>
    <w:rsid w:val="00D97FC7"/>
    <w:rsid w:val="00DA01E2"/>
    <w:rsid w:val="00DA053C"/>
    <w:rsid w:val="00DA0938"/>
    <w:rsid w:val="00DA0CCD"/>
    <w:rsid w:val="00DA0F33"/>
    <w:rsid w:val="00DA0F97"/>
    <w:rsid w:val="00DA105C"/>
    <w:rsid w:val="00DA12EC"/>
    <w:rsid w:val="00DA1877"/>
    <w:rsid w:val="00DA18F0"/>
    <w:rsid w:val="00DA195A"/>
    <w:rsid w:val="00DA19C1"/>
    <w:rsid w:val="00DA1BBF"/>
    <w:rsid w:val="00DA1BF9"/>
    <w:rsid w:val="00DA1CBB"/>
    <w:rsid w:val="00DA1F1B"/>
    <w:rsid w:val="00DA23B7"/>
    <w:rsid w:val="00DA251C"/>
    <w:rsid w:val="00DA2723"/>
    <w:rsid w:val="00DA2743"/>
    <w:rsid w:val="00DA2926"/>
    <w:rsid w:val="00DA2B0D"/>
    <w:rsid w:val="00DA2FE0"/>
    <w:rsid w:val="00DA3198"/>
    <w:rsid w:val="00DA31AB"/>
    <w:rsid w:val="00DA3998"/>
    <w:rsid w:val="00DA3A46"/>
    <w:rsid w:val="00DA3EAF"/>
    <w:rsid w:val="00DA3EF3"/>
    <w:rsid w:val="00DA420E"/>
    <w:rsid w:val="00DA4225"/>
    <w:rsid w:val="00DA4352"/>
    <w:rsid w:val="00DA4581"/>
    <w:rsid w:val="00DA4785"/>
    <w:rsid w:val="00DA478F"/>
    <w:rsid w:val="00DA5315"/>
    <w:rsid w:val="00DA59B6"/>
    <w:rsid w:val="00DA5CDF"/>
    <w:rsid w:val="00DA6378"/>
    <w:rsid w:val="00DA6531"/>
    <w:rsid w:val="00DA65A6"/>
    <w:rsid w:val="00DA687C"/>
    <w:rsid w:val="00DA6C92"/>
    <w:rsid w:val="00DA6F6E"/>
    <w:rsid w:val="00DA708B"/>
    <w:rsid w:val="00DA70AF"/>
    <w:rsid w:val="00DA71E5"/>
    <w:rsid w:val="00DA7354"/>
    <w:rsid w:val="00DA7489"/>
    <w:rsid w:val="00DA79FC"/>
    <w:rsid w:val="00DA7B3E"/>
    <w:rsid w:val="00DA7DC8"/>
    <w:rsid w:val="00DA7E5E"/>
    <w:rsid w:val="00DB0039"/>
    <w:rsid w:val="00DB0155"/>
    <w:rsid w:val="00DB0325"/>
    <w:rsid w:val="00DB0CA2"/>
    <w:rsid w:val="00DB1513"/>
    <w:rsid w:val="00DB180A"/>
    <w:rsid w:val="00DB186B"/>
    <w:rsid w:val="00DB19BF"/>
    <w:rsid w:val="00DB1A19"/>
    <w:rsid w:val="00DB2289"/>
    <w:rsid w:val="00DB22B8"/>
    <w:rsid w:val="00DB2585"/>
    <w:rsid w:val="00DB25A3"/>
    <w:rsid w:val="00DB2668"/>
    <w:rsid w:val="00DB2BD2"/>
    <w:rsid w:val="00DB31A3"/>
    <w:rsid w:val="00DB353D"/>
    <w:rsid w:val="00DB3588"/>
    <w:rsid w:val="00DB362F"/>
    <w:rsid w:val="00DB38D5"/>
    <w:rsid w:val="00DB39CF"/>
    <w:rsid w:val="00DB3A7C"/>
    <w:rsid w:val="00DB3AD9"/>
    <w:rsid w:val="00DB3B37"/>
    <w:rsid w:val="00DB3B82"/>
    <w:rsid w:val="00DB3F93"/>
    <w:rsid w:val="00DB40CB"/>
    <w:rsid w:val="00DB44A8"/>
    <w:rsid w:val="00DB4885"/>
    <w:rsid w:val="00DB4F81"/>
    <w:rsid w:val="00DB5073"/>
    <w:rsid w:val="00DB5145"/>
    <w:rsid w:val="00DB54E7"/>
    <w:rsid w:val="00DB5830"/>
    <w:rsid w:val="00DB58F7"/>
    <w:rsid w:val="00DB5D11"/>
    <w:rsid w:val="00DB5E35"/>
    <w:rsid w:val="00DB5FD0"/>
    <w:rsid w:val="00DB6082"/>
    <w:rsid w:val="00DB6212"/>
    <w:rsid w:val="00DB6245"/>
    <w:rsid w:val="00DB68BC"/>
    <w:rsid w:val="00DB6A6F"/>
    <w:rsid w:val="00DB6E2D"/>
    <w:rsid w:val="00DB7012"/>
    <w:rsid w:val="00DB724B"/>
    <w:rsid w:val="00DB74C9"/>
    <w:rsid w:val="00DB75BF"/>
    <w:rsid w:val="00DB77E7"/>
    <w:rsid w:val="00DB7985"/>
    <w:rsid w:val="00DB7BD4"/>
    <w:rsid w:val="00DB7CD8"/>
    <w:rsid w:val="00DB7E2D"/>
    <w:rsid w:val="00DC0525"/>
    <w:rsid w:val="00DC0671"/>
    <w:rsid w:val="00DC0796"/>
    <w:rsid w:val="00DC09CF"/>
    <w:rsid w:val="00DC09E7"/>
    <w:rsid w:val="00DC0A83"/>
    <w:rsid w:val="00DC0C17"/>
    <w:rsid w:val="00DC0D0E"/>
    <w:rsid w:val="00DC0D6B"/>
    <w:rsid w:val="00DC0DD8"/>
    <w:rsid w:val="00DC0FD9"/>
    <w:rsid w:val="00DC11BA"/>
    <w:rsid w:val="00DC198F"/>
    <w:rsid w:val="00DC1B7B"/>
    <w:rsid w:val="00DC1C10"/>
    <w:rsid w:val="00DC1CCA"/>
    <w:rsid w:val="00DC1FF2"/>
    <w:rsid w:val="00DC2157"/>
    <w:rsid w:val="00DC2358"/>
    <w:rsid w:val="00DC23F9"/>
    <w:rsid w:val="00DC2530"/>
    <w:rsid w:val="00DC2873"/>
    <w:rsid w:val="00DC2E32"/>
    <w:rsid w:val="00DC2E56"/>
    <w:rsid w:val="00DC3131"/>
    <w:rsid w:val="00DC31B6"/>
    <w:rsid w:val="00DC33A1"/>
    <w:rsid w:val="00DC349F"/>
    <w:rsid w:val="00DC39A8"/>
    <w:rsid w:val="00DC39AF"/>
    <w:rsid w:val="00DC39E5"/>
    <w:rsid w:val="00DC3B2B"/>
    <w:rsid w:val="00DC3DF5"/>
    <w:rsid w:val="00DC3E5B"/>
    <w:rsid w:val="00DC48C1"/>
    <w:rsid w:val="00DC4A59"/>
    <w:rsid w:val="00DC4AD9"/>
    <w:rsid w:val="00DC4C15"/>
    <w:rsid w:val="00DC4FC1"/>
    <w:rsid w:val="00DC50DD"/>
    <w:rsid w:val="00DC54F2"/>
    <w:rsid w:val="00DC553F"/>
    <w:rsid w:val="00DC5973"/>
    <w:rsid w:val="00DC5AB8"/>
    <w:rsid w:val="00DC5B40"/>
    <w:rsid w:val="00DC5B8E"/>
    <w:rsid w:val="00DC5CE7"/>
    <w:rsid w:val="00DC61F0"/>
    <w:rsid w:val="00DC63FD"/>
    <w:rsid w:val="00DC6424"/>
    <w:rsid w:val="00DC68AD"/>
    <w:rsid w:val="00DC6996"/>
    <w:rsid w:val="00DC6B57"/>
    <w:rsid w:val="00DC6B58"/>
    <w:rsid w:val="00DC6ED2"/>
    <w:rsid w:val="00DC6EE6"/>
    <w:rsid w:val="00DC6F50"/>
    <w:rsid w:val="00DC7704"/>
    <w:rsid w:val="00DC7A2C"/>
    <w:rsid w:val="00DC7AA3"/>
    <w:rsid w:val="00DC7C54"/>
    <w:rsid w:val="00DC7F62"/>
    <w:rsid w:val="00DD0633"/>
    <w:rsid w:val="00DD0748"/>
    <w:rsid w:val="00DD0846"/>
    <w:rsid w:val="00DD0DCE"/>
    <w:rsid w:val="00DD10A9"/>
    <w:rsid w:val="00DD1786"/>
    <w:rsid w:val="00DD1AA5"/>
    <w:rsid w:val="00DD1AF0"/>
    <w:rsid w:val="00DD1C52"/>
    <w:rsid w:val="00DD224B"/>
    <w:rsid w:val="00DD230C"/>
    <w:rsid w:val="00DD2418"/>
    <w:rsid w:val="00DD25F1"/>
    <w:rsid w:val="00DD2658"/>
    <w:rsid w:val="00DD26F3"/>
    <w:rsid w:val="00DD2728"/>
    <w:rsid w:val="00DD33CA"/>
    <w:rsid w:val="00DD34BF"/>
    <w:rsid w:val="00DD3615"/>
    <w:rsid w:val="00DD381E"/>
    <w:rsid w:val="00DD3865"/>
    <w:rsid w:val="00DD3D5C"/>
    <w:rsid w:val="00DD40C7"/>
    <w:rsid w:val="00DD460A"/>
    <w:rsid w:val="00DD461C"/>
    <w:rsid w:val="00DD46A0"/>
    <w:rsid w:val="00DD480B"/>
    <w:rsid w:val="00DD4AC6"/>
    <w:rsid w:val="00DD4F39"/>
    <w:rsid w:val="00DD50E4"/>
    <w:rsid w:val="00DD535D"/>
    <w:rsid w:val="00DD5EC5"/>
    <w:rsid w:val="00DD5EE3"/>
    <w:rsid w:val="00DD5FB6"/>
    <w:rsid w:val="00DD6128"/>
    <w:rsid w:val="00DD6149"/>
    <w:rsid w:val="00DD61AD"/>
    <w:rsid w:val="00DD61D1"/>
    <w:rsid w:val="00DD6478"/>
    <w:rsid w:val="00DD64FF"/>
    <w:rsid w:val="00DD6527"/>
    <w:rsid w:val="00DD6F66"/>
    <w:rsid w:val="00DD7404"/>
    <w:rsid w:val="00DD7C0B"/>
    <w:rsid w:val="00DD7F98"/>
    <w:rsid w:val="00DE023F"/>
    <w:rsid w:val="00DE059A"/>
    <w:rsid w:val="00DE06AC"/>
    <w:rsid w:val="00DE0BAE"/>
    <w:rsid w:val="00DE0BDE"/>
    <w:rsid w:val="00DE0E42"/>
    <w:rsid w:val="00DE191A"/>
    <w:rsid w:val="00DE1968"/>
    <w:rsid w:val="00DE1B84"/>
    <w:rsid w:val="00DE218D"/>
    <w:rsid w:val="00DE2557"/>
    <w:rsid w:val="00DE27EC"/>
    <w:rsid w:val="00DE2AC8"/>
    <w:rsid w:val="00DE2B0A"/>
    <w:rsid w:val="00DE2D9F"/>
    <w:rsid w:val="00DE2DB2"/>
    <w:rsid w:val="00DE2FEB"/>
    <w:rsid w:val="00DE35C3"/>
    <w:rsid w:val="00DE3ADE"/>
    <w:rsid w:val="00DE3B59"/>
    <w:rsid w:val="00DE3D7E"/>
    <w:rsid w:val="00DE3DA5"/>
    <w:rsid w:val="00DE4020"/>
    <w:rsid w:val="00DE472C"/>
    <w:rsid w:val="00DE473F"/>
    <w:rsid w:val="00DE4DE0"/>
    <w:rsid w:val="00DE51DB"/>
    <w:rsid w:val="00DE53E6"/>
    <w:rsid w:val="00DE5513"/>
    <w:rsid w:val="00DE5720"/>
    <w:rsid w:val="00DE585B"/>
    <w:rsid w:val="00DE58E8"/>
    <w:rsid w:val="00DE5A40"/>
    <w:rsid w:val="00DE5B37"/>
    <w:rsid w:val="00DE5D44"/>
    <w:rsid w:val="00DE5D8A"/>
    <w:rsid w:val="00DE5F88"/>
    <w:rsid w:val="00DE62CF"/>
    <w:rsid w:val="00DE64D1"/>
    <w:rsid w:val="00DE64DC"/>
    <w:rsid w:val="00DE64E8"/>
    <w:rsid w:val="00DE652A"/>
    <w:rsid w:val="00DE65CE"/>
    <w:rsid w:val="00DE661C"/>
    <w:rsid w:val="00DE68F0"/>
    <w:rsid w:val="00DE6B28"/>
    <w:rsid w:val="00DE6FEE"/>
    <w:rsid w:val="00DE705A"/>
    <w:rsid w:val="00DE70F5"/>
    <w:rsid w:val="00DE712A"/>
    <w:rsid w:val="00DE716F"/>
    <w:rsid w:val="00DE720F"/>
    <w:rsid w:val="00DE72A6"/>
    <w:rsid w:val="00DE73B5"/>
    <w:rsid w:val="00DE74FA"/>
    <w:rsid w:val="00DE7B52"/>
    <w:rsid w:val="00DF07C1"/>
    <w:rsid w:val="00DF07E4"/>
    <w:rsid w:val="00DF0905"/>
    <w:rsid w:val="00DF0B3F"/>
    <w:rsid w:val="00DF0D78"/>
    <w:rsid w:val="00DF0E1C"/>
    <w:rsid w:val="00DF0F24"/>
    <w:rsid w:val="00DF10B9"/>
    <w:rsid w:val="00DF1931"/>
    <w:rsid w:val="00DF1A9E"/>
    <w:rsid w:val="00DF1B98"/>
    <w:rsid w:val="00DF1C9C"/>
    <w:rsid w:val="00DF1EE5"/>
    <w:rsid w:val="00DF20CB"/>
    <w:rsid w:val="00DF24EB"/>
    <w:rsid w:val="00DF26E1"/>
    <w:rsid w:val="00DF29BB"/>
    <w:rsid w:val="00DF2CDF"/>
    <w:rsid w:val="00DF2D14"/>
    <w:rsid w:val="00DF2D46"/>
    <w:rsid w:val="00DF2FF1"/>
    <w:rsid w:val="00DF31DB"/>
    <w:rsid w:val="00DF31F6"/>
    <w:rsid w:val="00DF3E40"/>
    <w:rsid w:val="00DF3F6A"/>
    <w:rsid w:val="00DF4161"/>
    <w:rsid w:val="00DF41D1"/>
    <w:rsid w:val="00DF41E3"/>
    <w:rsid w:val="00DF44BE"/>
    <w:rsid w:val="00DF4B26"/>
    <w:rsid w:val="00DF4C38"/>
    <w:rsid w:val="00DF4FD5"/>
    <w:rsid w:val="00DF532E"/>
    <w:rsid w:val="00DF567A"/>
    <w:rsid w:val="00DF5690"/>
    <w:rsid w:val="00DF5868"/>
    <w:rsid w:val="00DF5A47"/>
    <w:rsid w:val="00DF5E40"/>
    <w:rsid w:val="00DF5EF7"/>
    <w:rsid w:val="00DF5FA3"/>
    <w:rsid w:val="00DF60E3"/>
    <w:rsid w:val="00DF6129"/>
    <w:rsid w:val="00DF638E"/>
    <w:rsid w:val="00DF6709"/>
    <w:rsid w:val="00DF6D38"/>
    <w:rsid w:val="00DF7093"/>
    <w:rsid w:val="00DF71D1"/>
    <w:rsid w:val="00DF72C5"/>
    <w:rsid w:val="00DF7308"/>
    <w:rsid w:val="00DF7485"/>
    <w:rsid w:val="00DF77D5"/>
    <w:rsid w:val="00DF79E8"/>
    <w:rsid w:val="00DF7A89"/>
    <w:rsid w:val="00DF7E65"/>
    <w:rsid w:val="00DF7E6C"/>
    <w:rsid w:val="00E000C0"/>
    <w:rsid w:val="00E001B4"/>
    <w:rsid w:val="00E0048B"/>
    <w:rsid w:val="00E00514"/>
    <w:rsid w:val="00E00A60"/>
    <w:rsid w:val="00E00AD1"/>
    <w:rsid w:val="00E00CF1"/>
    <w:rsid w:val="00E011A1"/>
    <w:rsid w:val="00E011A8"/>
    <w:rsid w:val="00E01225"/>
    <w:rsid w:val="00E0129A"/>
    <w:rsid w:val="00E01397"/>
    <w:rsid w:val="00E01CE0"/>
    <w:rsid w:val="00E020B2"/>
    <w:rsid w:val="00E021E8"/>
    <w:rsid w:val="00E023A7"/>
    <w:rsid w:val="00E0248C"/>
    <w:rsid w:val="00E025AE"/>
    <w:rsid w:val="00E02682"/>
    <w:rsid w:val="00E029AD"/>
    <w:rsid w:val="00E02B12"/>
    <w:rsid w:val="00E03001"/>
    <w:rsid w:val="00E030DB"/>
    <w:rsid w:val="00E0317A"/>
    <w:rsid w:val="00E03765"/>
    <w:rsid w:val="00E0393A"/>
    <w:rsid w:val="00E03974"/>
    <w:rsid w:val="00E03AD9"/>
    <w:rsid w:val="00E03AF9"/>
    <w:rsid w:val="00E03B77"/>
    <w:rsid w:val="00E041F4"/>
    <w:rsid w:val="00E04314"/>
    <w:rsid w:val="00E0504A"/>
    <w:rsid w:val="00E05702"/>
    <w:rsid w:val="00E061B1"/>
    <w:rsid w:val="00E065BE"/>
    <w:rsid w:val="00E06AE1"/>
    <w:rsid w:val="00E075D9"/>
    <w:rsid w:val="00E07618"/>
    <w:rsid w:val="00E07640"/>
    <w:rsid w:val="00E07778"/>
    <w:rsid w:val="00E07784"/>
    <w:rsid w:val="00E07CD1"/>
    <w:rsid w:val="00E07F19"/>
    <w:rsid w:val="00E1026B"/>
    <w:rsid w:val="00E107D5"/>
    <w:rsid w:val="00E10886"/>
    <w:rsid w:val="00E10FB8"/>
    <w:rsid w:val="00E10FFD"/>
    <w:rsid w:val="00E11026"/>
    <w:rsid w:val="00E11212"/>
    <w:rsid w:val="00E11508"/>
    <w:rsid w:val="00E118A1"/>
    <w:rsid w:val="00E11A99"/>
    <w:rsid w:val="00E12324"/>
    <w:rsid w:val="00E12352"/>
    <w:rsid w:val="00E124AD"/>
    <w:rsid w:val="00E12663"/>
    <w:rsid w:val="00E128E2"/>
    <w:rsid w:val="00E12AA7"/>
    <w:rsid w:val="00E133C6"/>
    <w:rsid w:val="00E13463"/>
    <w:rsid w:val="00E134A4"/>
    <w:rsid w:val="00E139C3"/>
    <w:rsid w:val="00E13BFA"/>
    <w:rsid w:val="00E13CFC"/>
    <w:rsid w:val="00E14677"/>
    <w:rsid w:val="00E1468A"/>
    <w:rsid w:val="00E149E8"/>
    <w:rsid w:val="00E14CD3"/>
    <w:rsid w:val="00E14ECF"/>
    <w:rsid w:val="00E1525D"/>
    <w:rsid w:val="00E15319"/>
    <w:rsid w:val="00E15545"/>
    <w:rsid w:val="00E1562B"/>
    <w:rsid w:val="00E156ED"/>
    <w:rsid w:val="00E15BB8"/>
    <w:rsid w:val="00E15D6E"/>
    <w:rsid w:val="00E1629F"/>
    <w:rsid w:val="00E16867"/>
    <w:rsid w:val="00E16B63"/>
    <w:rsid w:val="00E16C19"/>
    <w:rsid w:val="00E16C2E"/>
    <w:rsid w:val="00E16E33"/>
    <w:rsid w:val="00E170C8"/>
    <w:rsid w:val="00E17722"/>
    <w:rsid w:val="00E1787A"/>
    <w:rsid w:val="00E179AD"/>
    <w:rsid w:val="00E17A46"/>
    <w:rsid w:val="00E17AA8"/>
    <w:rsid w:val="00E17C21"/>
    <w:rsid w:val="00E20231"/>
    <w:rsid w:val="00E202B5"/>
    <w:rsid w:val="00E206D1"/>
    <w:rsid w:val="00E207B5"/>
    <w:rsid w:val="00E20B62"/>
    <w:rsid w:val="00E20C6D"/>
    <w:rsid w:val="00E20F86"/>
    <w:rsid w:val="00E21AF7"/>
    <w:rsid w:val="00E21DF5"/>
    <w:rsid w:val="00E22535"/>
    <w:rsid w:val="00E228A3"/>
    <w:rsid w:val="00E22A1F"/>
    <w:rsid w:val="00E22C77"/>
    <w:rsid w:val="00E238F1"/>
    <w:rsid w:val="00E238FD"/>
    <w:rsid w:val="00E23D10"/>
    <w:rsid w:val="00E2400D"/>
    <w:rsid w:val="00E240D0"/>
    <w:rsid w:val="00E2417E"/>
    <w:rsid w:val="00E242C3"/>
    <w:rsid w:val="00E24395"/>
    <w:rsid w:val="00E24A60"/>
    <w:rsid w:val="00E24BC4"/>
    <w:rsid w:val="00E25333"/>
    <w:rsid w:val="00E25442"/>
    <w:rsid w:val="00E255CE"/>
    <w:rsid w:val="00E25806"/>
    <w:rsid w:val="00E25B04"/>
    <w:rsid w:val="00E25BA5"/>
    <w:rsid w:val="00E25C43"/>
    <w:rsid w:val="00E25CC6"/>
    <w:rsid w:val="00E25E70"/>
    <w:rsid w:val="00E2603D"/>
    <w:rsid w:val="00E2624F"/>
    <w:rsid w:val="00E268F3"/>
    <w:rsid w:val="00E26AFA"/>
    <w:rsid w:val="00E26BDB"/>
    <w:rsid w:val="00E26F3E"/>
    <w:rsid w:val="00E27102"/>
    <w:rsid w:val="00E27553"/>
    <w:rsid w:val="00E27869"/>
    <w:rsid w:val="00E301F8"/>
    <w:rsid w:val="00E3033D"/>
    <w:rsid w:val="00E30348"/>
    <w:rsid w:val="00E3046F"/>
    <w:rsid w:val="00E30734"/>
    <w:rsid w:val="00E3074E"/>
    <w:rsid w:val="00E30984"/>
    <w:rsid w:val="00E30B26"/>
    <w:rsid w:val="00E30C5F"/>
    <w:rsid w:val="00E30D13"/>
    <w:rsid w:val="00E30EA3"/>
    <w:rsid w:val="00E31210"/>
    <w:rsid w:val="00E31A15"/>
    <w:rsid w:val="00E31B21"/>
    <w:rsid w:val="00E31BD3"/>
    <w:rsid w:val="00E31F57"/>
    <w:rsid w:val="00E32033"/>
    <w:rsid w:val="00E321BE"/>
    <w:rsid w:val="00E32287"/>
    <w:rsid w:val="00E323ED"/>
    <w:rsid w:val="00E32579"/>
    <w:rsid w:val="00E32641"/>
    <w:rsid w:val="00E32866"/>
    <w:rsid w:val="00E32CD8"/>
    <w:rsid w:val="00E32D0F"/>
    <w:rsid w:val="00E330F1"/>
    <w:rsid w:val="00E33140"/>
    <w:rsid w:val="00E3329F"/>
    <w:rsid w:val="00E333E1"/>
    <w:rsid w:val="00E33F8A"/>
    <w:rsid w:val="00E34152"/>
    <w:rsid w:val="00E34171"/>
    <w:rsid w:val="00E347D5"/>
    <w:rsid w:val="00E349C5"/>
    <w:rsid w:val="00E34C5C"/>
    <w:rsid w:val="00E34F57"/>
    <w:rsid w:val="00E34F94"/>
    <w:rsid w:val="00E35011"/>
    <w:rsid w:val="00E35240"/>
    <w:rsid w:val="00E3557F"/>
    <w:rsid w:val="00E35782"/>
    <w:rsid w:val="00E358E9"/>
    <w:rsid w:val="00E359C9"/>
    <w:rsid w:val="00E35A26"/>
    <w:rsid w:val="00E35B62"/>
    <w:rsid w:val="00E35BEB"/>
    <w:rsid w:val="00E35EB7"/>
    <w:rsid w:val="00E36117"/>
    <w:rsid w:val="00E36235"/>
    <w:rsid w:val="00E3666F"/>
    <w:rsid w:val="00E366F4"/>
    <w:rsid w:val="00E3676A"/>
    <w:rsid w:val="00E367CF"/>
    <w:rsid w:val="00E369C8"/>
    <w:rsid w:val="00E37BA1"/>
    <w:rsid w:val="00E40200"/>
    <w:rsid w:val="00E40305"/>
    <w:rsid w:val="00E40870"/>
    <w:rsid w:val="00E408A4"/>
    <w:rsid w:val="00E408E2"/>
    <w:rsid w:val="00E40D34"/>
    <w:rsid w:val="00E410E9"/>
    <w:rsid w:val="00E4127A"/>
    <w:rsid w:val="00E41379"/>
    <w:rsid w:val="00E4157E"/>
    <w:rsid w:val="00E416ED"/>
    <w:rsid w:val="00E41807"/>
    <w:rsid w:val="00E41D01"/>
    <w:rsid w:val="00E41D87"/>
    <w:rsid w:val="00E41E48"/>
    <w:rsid w:val="00E42072"/>
    <w:rsid w:val="00E4236D"/>
    <w:rsid w:val="00E427DB"/>
    <w:rsid w:val="00E42C5A"/>
    <w:rsid w:val="00E42FBE"/>
    <w:rsid w:val="00E43007"/>
    <w:rsid w:val="00E43837"/>
    <w:rsid w:val="00E4394E"/>
    <w:rsid w:val="00E43A6C"/>
    <w:rsid w:val="00E43B41"/>
    <w:rsid w:val="00E43B9A"/>
    <w:rsid w:val="00E43BA2"/>
    <w:rsid w:val="00E43E5E"/>
    <w:rsid w:val="00E44055"/>
    <w:rsid w:val="00E44390"/>
    <w:rsid w:val="00E443F2"/>
    <w:rsid w:val="00E44636"/>
    <w:rsid w:val="00E44814"/>
    <w:rsid w:val="00E44853"/>
    <w:rsid w:val="00E44920"/>
    <w:rsid w:val="00E44968"/>
    <w:rsid w:val="00E44B65"/>
    <w:rsid w:val="00E44D2F"/>
    <w:rsid w:val="00E452A6"/>
    <w:rsid w:val="00E45367"/>
    <w:rsid w:val="00E4554F"/>
    <w:rsid w:val="00E45AA5"/>
    <w:rsid w:val="00E45C49"/>
    <w:rsid w:val="00E45DC4"/>
    <w:rsid w:val="00E46025"/>
    <w:rsid w:val="00E46106"/>
    <w:rsid w:val="00E46589"/>
    <w:rsid w:val="00E465B2"/>
    <w:rsid w:val="00E46702"/>
    <w:rsid w:val="00E467B2"/>
    <w:rsid w:val="00E46A58"/>
    <w:rsid w:val="00E46C41"/>
    <w:rsid w:val="00E46D5B"/>
    <w:rsid w:val="00E4722C"/>
    <w:rsid w:val="00E47263"/>
    <w:rsid w:val="00E47509"/>
    <w:rsid w:val="00E475FA"/>
    <w:rsid w:val="00E47943"/>
    <w:rsid w:val="00E479A3"/>
    <w:rsid w:val="00E47AA0"/>
    <w:rsid w:val="00E47BC7"/>
    <w:rsid w:val="00E47D35"/>
    <w:rsid w:val="00E50289"/>
    <w:rsid w:val="00E50373"/>
    <w:rsid w:val="00E516D5"/>
    <w:rsid w:val="00E51F14"/>
    <w:rsid w:val="00E51F53"/>
    <w:rsid w:val="00E521BB"/>
    <w:rsid w:val="00E521D5"/>
    <w:rsid w:val="00E52627"/>
    <w:rsid w:val="00E52877"/>
    <w:rsid w:val="00E52F1F"/>
    <w:rsid w:val="00E53307"/>
    <w:rsid w:val="00E53344"/>
    <w:rsid w:val="00E53546"/>
    <w:rsid w:val="00E5369E"/>
    <w:rsid w:val="00E5371B"/>
    <w:rsid w:val="00E53A18"/>
    <w:rsid w:val="00E53B2F"/>
    <w:rsid w:val="00E53D89"/>
    <w:rsid w:val="00E53F61"/>
    <w:rsid w:val="00E53FB7"/>
    <w:rsid w:val="00E5407D"/>
    <w:rsid w:val="00E541B5"/>
    <w:rsid w:val="00E54673"/>
    <w:rsid w:val="00E548BC"/>
    <w:rsid w:val="00E54972"/>
    <w:rsid w:val="00E54A5F"/>
    <w:rsid w:val="00E54C0D"/>
    <w:rsid w:val="00E54D68"/>
    <w:rsid w:val="00E54D79"/>
    <w:rsid w:val="00E54DC4"/>
    <w:rsid w:val="00E54F58"/>
    <w:rsid w:val="00E554CC"/>
    <w:rsid w:val="00E554E4"/>
    <w:rsid w:val="00E556AC"/>
    <w:rsid w:val="00E55A31"/>
    <w:rsid w:val="00E55CF2"/>
    <w:rsid w:val="00E562EF"/>
    <w:rsid w:val="00E56D84"/>
    <w:rsid w:val="00E56D99"/>
    <w:rsid w:val="00E57344"/>
    <w:rsid w:val="00E57505"/>
    <w:rsid w:val="00E57663"/>
    <w:rsid w:val="00E57FD4"/>
    <w:rsid w:val="00E60660"/>
    <w:rsid w:val="00E609EF"/>
    <w:rsid w:val="00E60A31"/>
    <w:rsid w:val="00E60C8F"/>
    <w:rsid w:val="00E60DD6"/>
    <w:rsid w:val="00E60E91"/>
    <w:rsid w:val="00E60ECF"/>
    <w:rsid w:val="00E60F21"/>
    <w:rsid w:val="00E61355"/>
    <w:rsid w:val="00E614B2"/>
    <w:rsid w:val="00E61664"/>
    <w:rsid w:val="00E61784"/>
    <w:rsid w:val="00E61906"/>
    <w:rsid w:val="00E61D06"/>
    <w:rsid w:val="00E61D25"/>
    <w:rsid w:val="00E61D60"/>
    <w:rsid w:val="00E61EDE"/>
    <w:rsid w:val="00E62022"/>
    <w:rsid w:val="00E622C1"/>
    <w:rsid w:val="00E626DE"/>
    <w:rsid w:val="00E6292D"/>
    <w:rsid w:val="00E62C94"/>
    <w:rsid w:val="00E634C6"/>
    <w:rsid w:val="00E635C5"/>
    <w:rsid w:val="00E6387F"/>
    <w:rsid w:val="00E63AC8"/>
    <w:rsid w:val="00E63FB0"/>
    <w:rsid w:val="00E64013"/>
    <w:rsid w:val="00E645FA"/>
    <w:rsid w:val="00E646AE"/>
    <w:rsid w:val="00E6496B"/>
    <w:rsid w:val="00E649CD"/>
    <w:rsid w:val="00E64E33"/>
    <w:rsid w:val="00E65432"/>
    <w:rsid w:val="00E65471"/>
    <w:rsid w:val="00E654B9"/>
    <w:rsid w:val="00E656DC"/>
    <w:rsid w:val="00E6671F"/>
    <w:rsid w:val="00E669B2"/>
    <w:rsid w:val="00E66D42"/>
    <w:rsid w:val="00E6784F"/>
    <w:rsid w:val="00E67871"/>
    <w:rsid w:val="00E67955"/>
    <w:rsid w:val="00E67BE3"/>
    <w:rsid w:val="00E67C39"/>
    <w:rsid w:val="00E7004D"/>
    <w:rsid w:val="00E703F7"/>
    <w:rsid w:val="00E70566"/>
    <w:rsid w:val="00E705D7"/>
    <w:rsid w:val="00E706C3"/>
    <w:rsid w:val="00E708DD"/>
    <w:rsid w:val="00E70AA1"/>
    <w:rsid w:val="00E70EFA"/>
    <w:rsid w:val="00E71036"/>
    <w:rsid w:val="00E712DE"/>
    <w:rsid w:val="00E716D1"/>
    <w:rsid w:val="00E717D5"/>
    <w:rsid w:val="00E719FA"/>
    <w:rsid w:val="00E71E97"/>
    <w:rsid w:val="00E71F3F"/>
    <w:rsid w:val="00E721B8"/>
    <w:rsid w:val="00E72484"/>
    <w:rsid w:val="00E72647"/>
    <w:rsid w:val="00E72806"/>
    <w:rsid w:val="00E72858"/>
    <w:rsid w:val="00E72AE4"/>
    <w:rsid w:val="00E72DD4"/>
    <w:rsid w:val="00E72EF4"/>
    <w:rsid w:val="00E72F92"/>
    <w:rsid w:val="00E73248"/>
    <w:rsid w:val="00E734F1"/>
    <w:rsid w:val="00E73AFB"/>
    <w:rsid w:val="00E73C95"/>
    <w:rsid w:val="00E73D47"/>
    <w:rsid w:val="00E73F34"/>
    <w:rsid w:val="00E74058"/>
    <w:rsid w:val="00E74429"/>
    <w:rsid w:val="00E745AB"/>
    <w:rsid w:val="00E74C5A"/>
    <w:rsid w:val="00E74CA6"/>
    <w:rsid w:val="00E74D14"/>
    <w:rsid w:val="00E74E63"/>
    <w:rsid w:val="00E74EDE"/>
    <w:rsid w:val="00E74FBD"/>
    <w:rsid w:val="00E7501B"/>
    <w:rsid w:val="00E75386"/>
    <w:rsid w:val="00E753B8"/>
    <w:rsid w:val="00E756BE"/>
    <w:rsid w:val="00E75819"/>
    <w:rsid w:val="00E75969"/>
    <w:rsid w:val="00E75E08"/>
    <w:rsid w:val="00E75F45"/>
    <w:rsid w:val="00E762F8"/>
    <w:rsid w:val="00E768FC"/>
    <w:rsid w:val="00E769BC"/>
    <w:rsid w:val="00E76A3C"/>
    <w:rsid w:val="00E76C3E"/>
    <w:rsid w:val="00E771D6"/>
    <w:rsid w:val="00E77333"/>
    <w:rsid w:val="00E77B99"/>
    <w:rsid w:val="00E77D91"/>
    <w:rsid w:val="00E77F7A"/>
    <w:rsid w:val="00E803A9"/>
    <w:rsid w:val="00E80495"/>
    <w:rsid w:val="00E8051D"/>
    <w:rsid w:val="00E8098F"/>
    <w:rsid w:val="00E80C5A"/>
    <w:rsid w:val="00E80CAC"/>
    <w:rsid w:val="00E80DB5"/>
    <w:rsid w:val="00E80E1C"/>
    <w:rsid w:val="00E822DB"/>
    <w:rsid w:val="00E82589"/>
    <w:rsid w:val="00E8286B"/>
    <w:rsid w:val="00E82B53"/>
    <w:rsid w:val="00E83259"/>
    <w:rsid w:val="00E833AF"/>
    <w:rsid w:val="00E833FB"/>
    <w:rsid w:val="00E834DD"/>
    <w:rsid w:val="00E837B6"/>
    <w:rsid w:val="00E83984"/>
    <w:rsid w:val="00E83B71"/>
    <w:rsid w:val="00E83CFF"/>
    <w:rsid w:val="00E844E9"/>
    <w:rsid w:val="00E84849"/>
    <w:rsid w:val="00E8498A"/>
    <w:rsid w:val="00E849B0"/>
    <w:rsid w:val="00E849CC"/>
    <w:rsid w:val="00E84BEC"/>
    <w:rsid w:val="00E8533A"/>
    <w:rsid w:val="00E856C1"/>
    <w:rsid w:val="00E85B2A"/>
    <w:rsid w:val="00E85F84"/>
    <w:rsid w:val="00E8617E"/>
    <w:rsid w:val="00E863DD"/>
    <w:rsid w:val="00E86429"/>
    <w:rsid w:val="00E86661"/>
    <w:rsid w:val="00E86682"/>
    <w:rsid w:val="00E866C1"/>
    <w:rsid w:val="00E86F06"/>
    <w:rsid w:val="00E87134"/>
    <w:rsid w:val="00E87CC8"/>
    <w:rsid w:val="00E9068D"/>
    <w:rsid w:val="00E90771"/>
    <w:rsid w:val="00E907D5"/>
    <w:rsid w:val="00E90E1C"/>
    <w:rsid w:val="00E90F6F"/>
    <w:rsid w:val="00E91248"/>
    <w:rsid w:val="00E912E4"/>
    <w:rsid w:val="00E9153A"/>
    <w:rsid w:val="00E91581"/>
    <w:rsid w:val="00E918C9"/>
    <w:rsid w:val="00E921EC"/>
    <w:rsid w:val="00E923EB"/>
    <w:rsid w:val="00E9254F"/>
    <w:rsid w:val="00E9278C"/>
    <w:rsid w:val="00E9283F"/>
    <w:rsid w:val="00E9288A"/>
    <w:rsid w:val="00E928FB"/>
    <w:rsid w:val="00E9297F"/>
    <w:rsid w:val="00E92A0A"/>
    <w:rsid w:val="00E92BD0"/>
    <w:rsid w:val="00E930B3"/>
    <w:rsid w:val="00E9310C"/>
    <w:rsid w:val="00E93202"/>
    <w:rsid w:val="00E93386"/>
    <w:rsid w:val="00E9345F"/>
    <w:rsid w:val="00E934EF"/>
    <w:rsid w:val="00E9366F"/>
    <w:rsid w:val="00E9378A"/>
    <w:rsid w:val="00E93AA8"/>
    <w:rsid w:val="00E93DD8"/>
    <w:rsid w:val="00E940BB"/>
    <w:rsid w:val="00E94279"/>
    <w:rsid w:val="00E942DA"/>
    <w:rsid w:val="00E94325"/>
    <w:rsid w:val="00E948C4"/>
    <w:rsid w:val="00E94D2F"/>
    <w:rsid w:val="00E94E8E"/>
    <w:rsid w:val="00E95224"/>
    <w:rsid w:val="00E95677"/>
    <w:rsid w:val="00E95679"/>
    <w:rsid w:val="00E9589A"/>
    <w:rsid w:val="00E95E1F"/>
    <w:rsid w:val="00E961CE"/>
    <w:rsid w:val="00E96BF2"/>
    <w:rsid w:val="00E96F47"/>
    <w:rsid w:val="00E96FB4"/>
    <w:rsid w:val="00E97426"/>
    <w:rsid w:val="00E9749E"/>
    <w:rsid w:val="00E97780"/>
    <w:rsid w:val="00E978D0"/>
    <w:rsid w:val="00E97C3A"/>
    <w:rsid w:val="00E97E33"/>
    <w:rsid w:val="00EA01C9"/>
    <w:rsid w:val="00EA036C"/>
    <w:rsid w:val="00EA0428"/>
    <w:rsid w:val="00EA0455"/>
    <w:rsid w:val="00EA06F9"/>
    <w:rsid w:val="00EA073E"/>
    <w:rsid w:val="00EA0931"/>
    <w:rsid w:val="00EA09AA"/>
    <w:rsid w:val="00EA1071"/>
    <w:rsid w:val="00EA1076"/>
    <w:rsid w:val="00EA10C8"/>
    <w:rsid w:val="00EA1137"/>
    <w:rsid w:val="00EA12E3"/>
    <w:rsid w:val="00EA147C"/>
    <w:rsid w:val="00EA179F"/>
    <w:rsid w:val="00EA17B1"/>
    <w:rsid w:val="00EA19F7"/>
    <w:rsid w:val="00EA1C19"/>
    <w:rsid w:val="00EA22B5"/>
    <w:rsid w:val="00EA230F"/>
    <w:rsid w:val="00EA2499"/>
    <w:rsid w:val="00EA2727"/>
    <w:rsid w:val="00EA2972"/>
    <w:rsid w:val="00EA2B47"/>
    <w:rsid w:val="00EA2B57"/>
    <w:rsid w:val="00EA2DE5"/>
    <w:rsid w:val="00EA3795"/>
    <w:rsid w:val="00EA37C0"/>
    <w:rsid w:val="00EA3825"/>
    <w:rsid w:val="00EA382A"/>
    <w:rsid w:val="00EA3836"/>
    <w:rsid w:val="00EA39A4"/>
    <w:rsid w:val="00EA3A9F"/>
    <w:rsid w:val="00EA3C40"/>
    <w:rsid w:val="00EA41E9"/>
    <w:rsid w:val="00EA41EE"/>
    <w:rsid w:val="00EA4429"/>
    <w:rsid w:val="00EA4C46"/>
    <w:rsid w:val="00EA4E93"/>
    <w:rsid w:val="00EA5079"/>
    <w:rsid w:val="00EA50DF"/>
    <w:rsid w:val="00EA51DC"/>
    <w:rsid w:val="00EA52A1"/>
    <w:rsid w:val="00EA5682"/>
    <w:rsid w:val="00EA5AB8"/>
    <w:rsid w:val="00EA5CE4"/>
    <w:rsid w:val="00EA616B"/>
    <w:rsid w:val="00EA616F"/>
    <w:rsid w:val="00EA64D3"/>
    <w:rsid w:val="00EA65CE"/>
    <w:rsid w:val="00EA6AB4"/>
    <w:rsid w:val="00EA6B9B"/>
    <w:rsid w:val="00EB01D7"/>
    <w:rsid w:val="00EB0313"/>
    <w:rsid w:val="00EB0DE2"/>
    <w:rsid w:val="00EB0E5A"/>
    <w:rsid w:val="00EB1616"/>
    <w:rsid w:val="00EB19EA"/>
    <w:rsid w:val="00EB1A25"/>
    <w:rsid w:val="00EB1F6B"/>
    <w:rsid w:val="00EB1FE2"/>
    <w:rsid w:val="00EB21B4"/>
    <w:rsid w:val="00EB2644"/>
    <w:rsid w:val="00EB2769"/>
    <w:rsid w:val="00EB2C4A"/>
    <w:rsid w:val="00EB2FF3"/>
    <w:rsid w:val="00EB3456"/>
    <w:rsid w:val="00EB36C2"/>
    <w:rsid w:val="00EB3909"/>
    <w:rsid w:val="00EB3B14"/>
    <w:rsid w:val="00EB3DD0"/>
    <w:rsid w:val="00EB3F02"/>
    <w:rsid w:val="00EB4290"/>
    <w:rsid w:val="00EB42F1"/>
    <w:rsid w:val="00EB473C"/>
    <w:rsid w:val="00EB5802"/>
    <w:rsid w:val="00EB58D8"/>
    <w:rsid w:val="00EB5A46"/>
    <w:rsid w:val="00EB6683"/>
    <w:rsid w:val="00EB66A4"/>
    <w:rsid w:val="00EB6BE6"/>
    <w:rsid w:val="00EB7260"/>
    <w:rsid w:val="00EB75BA"/>
    <w:rsid w:val="00EB7882"/>
    <w:rsid w:val="00EB7892"/>
    <w:rsid w:val="00EB7FE4"/>
    <w:rsid w:val="00EC046B"/>
    <w:rsid w:val="00EC0855"/>
    <w:rsid w:val="00EC09BA"/>
    <w:rsid w:val="00EC0BA7"/>
    <w:rsid w:val="00EC0EE8"/>
    <w:rsid w:val="00EC1371"/>
    <w:rsid w:val="00EC14AB"/>
    <w:rsid w:val="00EC19F6"/>
    <w:rsid w:val="00EC1E74"/>
    <w:rsid w:val="00EC21C9"/>
    <w:rsid w:val="00EC2333"/>
    <w:rsid w:val="00EC2753"/>
    <w:rsid w:val="00EC275D"/>
    <w:rsid w:val="00EC294C"/>
    <w:rsid w:val="00EC3007"/>
    <w:rsid w:val="00EC32A2"/>
    <w:rsid w:val="00EC3B16"/>
    <w:rsid w:val="00EC3C67"/>
    <w:rsid w:val="00EC40C2"/>
    <w:rsid w:val="00EC4407"/>
    <w:rsid w:val="00EC4AC4"/>
    <w:rsid w:val="00EC50DD"/>
    <w:rsid w:val="00EC51B3"/>
    <w:rsid w:val="00EC52C0"/>
    <w:rsid w:val="00EC55D8"/>
    <w:rsid w:val="00EC561F"/>
    <w:rsid w:val="00EC5C66"/>
    <w:rsid w:val="00EC5FF9"/>
    <w:rsid w:val="00EC61A3"/>
    <w:rsid w:val="00EC63ED"/>
    <w:rsid w:val="00EC6734"/>
    <w:rsid w:val="00EC69A9"/>
    <w:rsid w:val="00EC6A35"/>
    <w:rsid w:val="00EC6D7F"/>
    <w:rsid w:val="00EC6E40"/>
    <w:rsid w:val="00EC76B8"/>
    <w:rsid w:val="00EC79E2"/>
    <w:rsid w:val="00EC7AC3"/>
    <w:rsid w:val="00EC7E5E"/>
    <w:rsid w:val="00ED00F5"/>
    <w:rsid w:val="00ED0341"/>
    <w:rsid w:val="00ED0489"/>
    <w:rsid w:val="00ED09D1"/>
    <w:rsid w:val="00ED0B58"/>
    <w:rsid w:val="00ED0F84"/>
    <w:rsid w:val="00ED12C4"/>
    <w:rsid w:val="00ED164D"/>
    <w:rsid w:val="00ED1856"/>
    <w:rsid w:val="00ED1A2F"/>
    <w:rsid w:val="00ED1D52"/>
    <w:rsid w:val="00ED1EEA"/>
    <w:rsid w:val="00ED22EE"/>
    <w:rsid w:val="00ED2500"/>
    <w:rsid w:val="00ED25A9"/>
    <w:rsid w:val="00ED2859"/>
    <w:rsid w:val="00ED2ABB"/>
    <w:rsid w:val="00ED2ABD"/>
    <w:rsid w:val="00ED2BD9"/>
    <w:rsid w:val="00ED2C7C"/>
    <w:rsid w:val="00ED2F32"/>
    <w:rsid w:val="00ED2FEF"/>
    <w:rsid w:val="00ED30E7"/>
    <w:rsid w:val="00ED31A3"/>
    <w:rsid w:val="00ED31AB"/>
    <w:rsid w:val="00ED391A"/>
    <w:rsid w:val="00ED3E75"/>
    <w:rsid w:val="00ED3FF1"/>
    <w:rsid w:val="00ED4040"/>
    <w:rsid w:val="00ED4196"/>
    <w:rsid w:val="00ED467B"/>
    <w:rsid w:val="00ED4A45"/>
    <w:rsid w:val="00ED4B34"/>
    <w:rsid w:val="00ED5121"/>
    <w:rsid w:val="00ED5590"/>
    <w:rsid w:val="00ED5753"/>
    <w:rsid w:val="00ED5AA6"/>
    <w:rsid w:val="00ED5B02"/>
    <w:rsid w:val="00ED61E1"/>
    <w:rsid w:val="00ED6AD4"/>
    <w:rsid w:val="00ED6C35"/>
    <w:rsid w:val="00ED6D59"/>
    <w:rsid w:val="00ED70EA"/>
    <w:rsid w:val="00ED7242"/>
    <w:rsid w:val="00ED774C"/>
    <w:rsid w:val="00ED7788"/>
    <w:rsid w:val="00ED78BE"/>
    <w:rsid w:val="00ED7A66"/>
    <w:rsid w:val="00ED7EAB"/>
    <w:rsid w:val="00EE0169"/>
    <w:rsid w:val="00EE01DB"/>
    <w:rsid w:val="00EE09B8"/>
    <w:rsid w:val="00EE0B9C"/>
    <w:rsid w:val="00EE0CB4"/>
    <w:rsid w:val="00EE11A3"/>
    <w:rsid w:val="00EE13A0"/>
    <w:rsid w:val="00EE145B"/>
    <w:rsid w:val="00EE14BB"/>
    <w:rsid w:val="00EE157B"/>
    <w:rsid w:val="00EE1632"/>
    <w:rsid w:val="00EE1A4F"/>
    <w:rsid w:val="00EE1C70"/>
    <w:rsid w:val="00EE1E37"/>
    <w:rsid w:val="00EE1ED8"/>
    <w:rsid w:val="00EE1F9A"/>
    <w:rsid w:val="00EE241D"/>
    <w:rsid w:val="00EE246E"/>
    <w:rsid w:val="00EE2C9C"/>
    <w:rsid w:val="00EE2D23"/>
    <w:rsid w:val="00EE2D9A"/>
    <w:rsid w:val="00EE31EB"/>
    <w:rsid w:val="00EE3441"/>
    <w:rsid w:val="00EE35A2"/>
    <w:rsid w:val="00EE35F7"/>
    <w:rsid w:val="00EE3625"/>
    <w:rsid w:val="00EE3B77"/>
    <w:rsid w:val="00EE4062"/>
    <w:rsid w:val="00EE40BC"/>
    <w:rsid w:val="00EE4360"/>
    <w:rsid w:val="00EE4CB5"/>
    <w:rsid w:val="00EE4F72"/>
    <w:rsid w:val="00EE4FCA"/>
    <w:rsid w:val="00EE51DE"/>
    <w:rsid w:val="00EE52AD"/>
    <w:rsid w:val="00EE5DB6"/>
    <w:rsid w:val="00EE6411"/>
    <w:rsid w:val="00EE67B9"/>
    <w:rsid w:val="00EE67DA"/>
    <w:rsid w:val="00EE688C"/>
    <w:rsid w:val="00EE6A65"/>
    <w:rsid w:val="00EE6D90"/>
    <w:rsid w:val="00EE6E53"/>
    <w:rsid w:val="00EE725F"/>
    <w:rsid w:val="00EE7389"/>
    <w:rsid w:val="00EE7777"/>
    <w:rsid w:val="00EE7AAC"/>
    <w:rsid w:val="00EE7E90"/>
    <w:rsid w:val="00EF002F"/>
    <w:rsid w:val="00EF0267"/>
    <w:rsid w:val="00EF0505"/>
    <w:rsid w:val="00EF0D9A"/>
    <w:rsid w:val="00EF1041"/>
    <w:rsid w:val="00EF13E9"/>
    <w:rsid w:val="00EF1AFF"/>
    <w:rsid w:val="00EF1BB3"/>
    <w:rsid w:val="00EF1BFB"/>
    <w:rsid w:val="00EF238B"/>
    <w:rsid w:val="00EF2502"/>
    <w:rsid w:val="00EF2576"/>
    <w:rsid w:val="00EF279E"/>
    <w:rsid w:val="00EF29DC"/>
    <w:rsid w:val="00EF2AF5"/>
    <w:rsid w:val="00EF2C05"/>
    <w:rsid w:val="00EF2C7C"/>
    <w:rsid w:val="00EF2CA4"/>
    <w:rsid w:val="00EF2DCA"/>
    <w:rsid w:val="00EF2F70"/>
    <w:rsid w:val="00EF2FC9"/>
    <w:rsid w:val="00EF378B"/>
    <w:rsid w:val="00EF38EF"/>
    <w:rsid w:val="00EF3AD6"/>
    <w:rsid w:val="00EF4047"/>
    <w:rsid w:val="00EF4086"/>
    <w:rsid w:val="00EF438D"/>
    <w:rsid w:val="00EF4CED"/>
    <w:rsid w:val="00EF5093"/>
    <w:rsid w:val="00EF5210"/>
    <w:rsid w:val="00EF5AA0"/>
    <w:rsid w:val="00EF5C1E"/>
    <w:rsid w:val="00EF5E9C"/>
    <w:rsid w:val="00EF6208"/>
    <w:rsid w:val="00EF68D8"/>
    <w:rsid w:val="00EF750B"/>
    <w:rsid w:val="00EF75E1"/>
    <w:rsid w:val="00EF7E00"/>
    <w:rsid w:val="00F002E3"/>
    <w:rsid w:val="00F0037E"/>
    <w:rsid w:val="00F008F0"/>
    <w:rsid w:val="00F00BBF"/>
    <w:rsid w:val="00F01348"/>
    <w:rsid w:val="00F01522"/>
    <w:rsid w:val="00F015B4"/>
    <w:rsid w:val="00F01651"/>
    <w:rsid w:val="00F017BF"/>
    <w:rsid w:val="00F018EC"/>
    <w:rsid w:val="00F01B66"/>
    <w:rsid w:val="00F0239A"/>
    <w:rsid w:val="00F02427"/>
    <w:rsid w:val="00F0255C"/>
    <w:rsid w:val="00F0269C"/>
    <w:rsid w:val="00F028CA"/>
    <w:rsid w:val="00F02B45"/>
    <w:rsid w:val="00F02CDA"/>
    <w:rsid w:val="00F03045"/>
    <w:rsid w:val="00F030C0"/>
    <w:rsid w:val="00F0371C"/>
    <w:rsid w:val="00F03F84"/>
    <w:rsid w:val="00F0406C"/>
    <w:rsid w:val="00F041E3"/>
    <w:rsid w:val="00F044FF"/>
    <w:rsid w:val="00F046DD"/>
    <w:rsid w:val="00F04A02"/>
    <w:rsid w:val="00F04A8D"/>
    <w:rsid w:val="00F04DE7"/>
    <w:rsid w:val="00F04EA1"/>
    <w:rsid w:val="00F0512F"/>
    <w:rsid w:val="00F0518A"/>
    <w:rsid w:val="00F05230"/>
    <w:rsid w:val="00F053A8"/>
    <w:rsid w:val="00F05838"/>
    <w:rsid w:val="00F058A2"/>
    <w:rsid w:val="00F0590E"/>
    <w:rsid w:val="00F0601D"/>
    <w:rsid w:val="00F0656F"/>
    <w:rsid w:val="00F066F9"/>
    <w:rsid w:val="00F06AA2"/>
    <w:rsid w:val="00F06D3D"/>
    <w:rsid w:val="00F077B5"/>
    <w:rsid w:val="00F07810"/>
    <w:rsid w:val="00F07F32"/>
    <w:rsid w:val="00F102FB"/>
    <w:rsid w:val="00F1050C"/>
    <w:rsid w:val="00F10904"/>
    <w:rsid w:val="00F1093F"/>
    <w:rsid w:val="00F10DB6"/>
    <w:rsid w:val="00F115A6"/>
    <w:rsid w:val="00F11C0C"/>
    <w:rsid w:val="00F11CBF"/>
    <w:rsid w:val="00F11DB3"/>
    <w:rsid w:val="00F12157"/>
    <w:rsid w:val="00F123BD"/>
    <w:rsid w:val="00F12460"/>
    <w:rsid w:val="00F1255A"/>
    <w:rsid w:val="00F12DBA"/>
    <w:rsid w:val="00F1305A"/>
    <w:rsid w:val="00F13069"/>
    <w:rsid w:val="00F13C39"/>
    <w:rsid w:val="00F13DAA"/>
    <w:rsid w:val="00F14002"/>
    <w:rsid w:val="00F144FC"/>
    <w:rsid w:val="00F145E1"/>
    <w:rsid w:val="00F14629"/>
    <w:rsid w:val="00F146F8"/>
    <w:rsid w:val="00F14E7C"/>
    <w:rsid w:val="00F151B4"/>
    <w:rsid w:val="00F15A60"/>
    <w:rsid w:val="00F15D75"/>
    <w:rsid w:val="00F15D7B"/>
    <w:rsid w:val="00F15E62"/>
    <w:rsid w:val="00F16033"/>
    <w:rsid w:val="00F1634D"/>
    <w:rsid w:val="00F16357"/>
    <w:rsid w:val="00F165AD"/>
    <w:rsid w:val="00F16882"/>
    <w:rsid w:val="00F169F6"/>
    <w:rsid w:val="00F173E2"/>
    <w:rsid w:val="00F17441"/>
    <w:rsid w:val="00F1748C"/>
    <w:rsid w:val="00F179D8"/>
    <w:rsid w:val="00F17D6D"/>
    <w:rsid w:val="00F17F36"/>
    <w:rsid w:val="00F17F88"/>
    <w:rsid w:val="00F2030F"/>
    <w:rsid w:val="00F2036D"/>
    <w:rsid w:val="00F203B3"/>
    <w:rsid w:val="00F208FF"/>
    <w:rsid w:val="00F20BA2"/>
    <w:rsid w:val="00F20EC3"/>
    <w:rsid w:val="00F21D14"/>
    <w:rsid w:val="00F21EE9"/>
    <w:rsid w:val="00F223CE"/>
    <w:rsid w:val="00F224DA"/>
    <w:rsid w:val="00F2287B"/>
    <w:rsid w:val="00F22A54"/>
    <w:rsid w:val="00F239B8"/>
    <w:rsid w:val="00F23A0B"/>
    <w:rsid w:val="00F23A82"/>
    <w:rsid w:val="00F23C04"/>
    <w:rsid w:val="00F23C6D"/>
    <w:rsid w:val="00F23D9E"/>
    <w:rsid w:val="00F23E41"/>
    <w:rsid w:val="00F2481A"/>
    <w:rsid w:val="00F25791"/>
    <w:rsid w:val="00F258CF"/>
    <w:rsid w:val="00F258E7"/>
    <w:rsid w:val="00F25A84"/>
    <w:rsid w:val="00F25E64"/>
    <w:rsid w:val="00F26021"/>
    <w:rsid w:val="00F260FB"/>
    <w:rsid w:val="00F26255"/>
    <w:rsid w:val="00F2659B"/>
    <w:rsid w:val="00F26E02"/>
    <w:rsid w:val="00F27065"/>
    <w:rsid w:val="00F27090"/>
    <w:rsid w:val="00F27140"/>
    <w:rsid w:val="00F27746"/>
    <w:rsid w:val="00F27961"/>
    <w:rsid w:val="00F27B2F"/>
    <w:rsid w:val="00F27DB0"/>
    <w:rsid w:val="00F27F77"/>
    <w:rsid w:val="00F301C6"/>
    <w:rsid w:val="00F30258"/>
    <w:rsid w:val="00F304CB"/>
    <w:rsid w:val="00F30794"/>
    <w:rsid w:val="00F307E6"/>
    <w:rsid w:val="00F3086E"/>
    <w:rsid w:val="00F30B70"/>
    <w:rsid w:val="00F30CAB"/>
    <w:rsid w:val="00F313FA"/>
    <w:rsid w:val="00F314C8"/>
    <w:rsid w:val="00F322FD"/>
    <w:rsid w:val="00F3246E"/>
    <w:rsid w:val="00F327BB"/>
    <w:rsid w:val="00F33728"/>
    <w:rsid w:val="00F3378C"/>
    <w:rsid w:val="00F33895"/>
    <w:rsid w:val="00F339BB"/>
    <w:rsid w:val="00F339C8"/>
    <w:rsid w:val="00F347DD"/>
    <w:rsid w:val="00F34C3E"/>
    <w:rsid w:val="00F34D76"/>
    <w:rsid w:val="00F34D83"/>
    <w:rsid w:val="00F354E7"/>
    <w:rsid w:val="00F359F4"/>
    <w:rsid w:val="00F35B42"/>
    <w:rsid w:val="00F35B51"/>
    <w:rsid w:val="00F36588"/>
    <w:rsid w:val="00F36D4A"/>
    <w:rsid w:val="00F37089"/>
    <w:rsid w:val="00F3730E"/>
    <w:rsid w:val="00F37328"/>
    <w:rsid w:val="00F373E0"/>
    <w:rsid w:val="00F376FE"/>
    <w:rsid w:val="00F37733"/>
    <w:rsid w:val="00F3787D"/>
    <w:rsid w:val="00F37A4D"/>
    <w:rsid w:val="00F37B88"/>
    <w:rsid w:val="00F40155"/>
    <w:rsid w:val="00F4060A"/>
    <w:rsid w:val="00F406FD"/>
    <w:rsid w:val="00F40D3E"/>
    <w:rsid w:val="00F40DAD"/>
    <w:rsid w:val="00F40F0C"/>
    <w:rsid w:val="00F4103C"/>
    <w:rsid w:val="00F411D1"/>
    <w:rsid w:val="00F412F4"/>
    <w:rsid w:val="00F4134B"/>
    <w:rsid w:val="00F41871"/>
    <w:rsid w:val="00F41A00"/>
    <w:rsid w:val="00F41CA8"/>
    <w:rsid w:val="00F4218D"/>
    <w:rsid w:val="00F424FA"/>
    <w:rsid w:val="00F42702"/>
    <w:rsid w:val="00F42B1E"/>
    <w:rsid w:val="00F42F1F"/>
    <w:rsid w:val="00F42F3C"/>
    <w:rsid w:val="00F42F82"/>
    <w:rsid w:val="00F4318E"/>
    <w:rsid w:val="00F43419"/>
    <w:rsid w:val="00F43583"/>
    <w:rsid w:val="00F43F0B"/>
    <w:rsid w:val="00F44050"/>
    <w:rsid w:val="00F4443B"/>
    <w:rsid w:val="00F4461A"/>
    <w:rsid w:val="00F44B50"/>
    <w:rsid w:val="00F44F9E"/>
    <w:rsid w:val="00F45215"/>
    <w:rsid w:val="00F454FF"/>
    <w:rsid w:val="00F45A07"/>
    <w:rsid w:val="00F45F89"/>
    <w:rsid w:val="00F45FC8"/>
    <w:rsid w:val="00F46223"/>
    <w:rsid w:val="00F464B5"/>
    <w:rsid w:val="00F46A58"/>
    <w:rsid w:val="00F46A97"/>
    <w:rsid w:val="00F46AF1"/>
    <w:rsid w:val="00F46B51"/>
    <w:rsid w:val="00F46B74"/>
    <w:rsid w:val="00F46C40"/>
    <w:rsid w:val="00F46F8D"/>
    <w:rsid w:val="00F471D1"/>
    <w:rsid w:val="00F474B5"/>
    <w:rsid w:val="00F475FD"/>
    <w:rsid w:val="00F50067"/>
    <w:rsid w:val="00F5040F"/>
    <w:rsid w:val="00F50412"/>
    <w:rsid w:val="00F5052A"/>
    <w:rsid w:val="00F505FB"/>
    <w:rsid w:val="00F50778"/>
    <w:rsid w:val="00F507A8"/>
    <w:rsid w:val="00F50DDB"/>
    <w:rsid w:val="00F50E9F"/>
    <w:rsid w:val="00F5124D"/>
    <w:rsid w:val="00F512D6"/>
    <w:rsid w:val="00F51527"/>
    <w:rsid w:val="00F51D25"/>
    <w:rsid w:val="00F522D6"/>
    <w:rsid w:val="00F5242A"/>
    <w:rsid w:val="00F526F2"/>
    <w:rsid w:val="00F52950"/>
    <w:rsid w:val="00F52A23"/>
    <w:rsid w:val="00F52CBC"/>
    <w:rsid w:val="00F52CD0"/>
    <w:rsid w:val="00F52E78"/>
    <w:rsid w:val="00F5334E"/>
    <w:rsid w:val="00F53648"/>
    <w:rsid w:val="00F53BF3"/>
    <w:rsid w:val="00F54046"/>
    <w:rsid w:val="00F5406F"/>
    <w:rsid w:val="00F5425E"/>
    <w:rsid w:val="00F546BA"/>
    <w:rsid w:val="00F546FE"/>
    <w:rsid w:val="00F54818"/>
    <w:rsid w:val="00F54D56"/>
    <w:rsid w:val="00F5509C"/>
    <w:rsid w:val="00F5520B"/>
    <w:rsid w:val="00F553C1"/>
    <w:rsid w:val="00F553FF"/>
    <w:rsid w:val="00F55B2F"/>
    <w:rsid w:val="00F55D43"/>
    <w:rsid w:val="00F55DF8"/>
    <w:rsid w:val="00F56108"/>
    <w:rsid w:val="00F562DD"/>
    <w:rsid w:val="00F563E9"/>
    <w:rsid w:val="00F567B9"/>
    <w:rsid w:val="00F56E5E"/>
    <w:rsid w:val="00F57169"/>
    <w:rsid w:val="00F57172"/>
    <w:rsid w:val="00F5720D"/>
    <w:rsid w:val="00F576CF"/>
    <w:rsid w:val="00F576E8"/>
    <w:rsid w:val="00F577A0"/>
    <w:rsid w:val="00F57E3F"/>
    <w:rsid w:val="00F57EEE"/>
    <w:rsid w:val="00F57F66"/>
    <w:rsid w:val="00F600E8"/>
    <w:rsid w:val="00F601EC"/>
    <w:rsid w:val="00F60301"/>
    <w:rsid w:val="00F606E7"/>
    <w:rsid w:val="00F60754"/>
    <w:rsid w:val="00F6080C"/>
    <w:rsid w:val="00F60A52"/>
    <w:rsid w:val="00F60DC8"/>
    <w:rsid w:val="00F610AE"/>
    <w:rsid w:val="00F612D4"/>
    <w:rsid w:val="00F612D7"/>
    <w:rsid w:val="00F61405"/>
    <w:rsid w:val="00F61A9F"/>
    <w:rsid w:val="00F61B3D"/>
    <w:rsid w:val="00F61ED1"/>
    <w:rsid w:val="00F61F15"/>
    <w:rsid w:val="00F6206D"/>
    <w:rsid w:val="00F62191"/>
    <w:rsid w:val="00F62280"/>
    <w:rsid w:val="00F624D1"/>
    <w:rsid w:val="00F62C6B"/>
    <w:rsid w:val="00F63076"/>
    <w:rsid w:val="00F63137"/>
    <w:rsid w:val="00F6339C"/>
    <w:rsid w:val="00F637C7"/>
    <w:rsid w:val="00F6424A"/>
    <w:rsid w:val="00F644A9"/>
    <w:rsid w:val="00F647ED"/>
    <w:rsid w:val="00F64B2F"/>
    <w:rsid w:val="00F64BA2"/>
    <w:rsid w:val="00F64BBB"/>
    <w:rsid w:val="00F64CAB"/>
    <w:rsid w:val="00F64CAF"/>
    <w:rsid w:val="00F64E87"/>
    <w:rsid w:val="00F64F8C"/>
    <w:rsid w:val="00F65299"/>
    <w:rsid w:val="00F65784"/>
    <w:rsid w:val="00F65BF4"/>
    <w:rsid w:val="00F6623D"/>
    <w:rsid w:val="00F669DC"/>
    <w:rsid w:val="00F66C8E"/>
    <w:rsid w:val="00F66D99"/>
    <w:rsid w:val="00F67132"/>
    <w:rsid w:val="00F67294"/>
    <w:rsid w:val="00F6763D"/>
    <w:rsid w:val="00F67A7B"/>
    <w:rsid w:val="00F67C71"/>
    <w:rsid w:val="00F67DEC"/>
    <w:rsid w:val="00F67E93"/>
    <w:rsid w:val="00F702B3"/>
    <w:rsid w:val="00F70575"/>
    <w:rsid w:val="00F70ACD"/>
    <w:rsid w:val="00F70ECA"/>
    <w:rsid w:val="00F713E6"/>
    <w:rsid w:val="00F7173E"/>
    <w:rsid w:val="00F7189D"/>
    <w:rsid w:val="00F718A9"/>
    <w:rsid w:val="00F71BF9"/>
    <w:rsid w:val="00F71C6D"/>
    <w:rsid w:val="00F71CD1"/>
    <w:rsid w:val="00F71D61"/>
    <w:rsid w:val="00F72270"/>
    <w:rsid w:val="00F7231F"/>
    <w:rsid w:val="00F7305D"/>
    <w:rsid w:val="00F73297"/>
    <w:rsid w:val="00F7335D"/>
    <w:rsid w:val="00F73536"/>
    <w:rsid w:val="00F73901"/>
    <w:rsid w:val="00F73AFE"/>
    <w:rsid w:val="00F73FCC"/>
    <w:rsid w:val="00F740C5"/>
    <w:rsid w:val="00F744C6"/>
    <w:rsid w:val="00F74680"/>
    <w:rsid w:val="00F74730"/>
    <w:rsid w:val="00F74AAE"/>
    <w:rsid w:val="00F74B39"/>
    <w:rsid w:val="00F74BB5"/>
    <w:rsid w:val="00F74E59"/>
    <w:rsid w:val="00F74F65"/>
    <w:rsid w:val="00F74FE7"/>
    <w:rsid w:val="00F75381"/>
    <w:rsid w:val="00F756CD"/>
    <w:rsid w:val="00F75B27"/>
    <w:rsid w:val="00F75C0C"/>
    <w:rsid w:val="00F75F31"/>
    <w:rsid w:val="00F762AC"/>
    <w:rsid w:val="00F765A6"/>
    <w:rsid w:val="00F7665A"/>
    <w:rsid w:val="00F76717"/>
    <w:rsid w:val="00F768E9"/>
    <w:rsid w:val="00F76A11"/>
    <w:rsid w:val="00F77058"/>
    <w:rsid w:val="00F7710C"/>
    <w:rsid w:val="00F7736C"/>
    <w:rsid w:val="00F775E5"/>
    <w:rsid w:val="00F77ACE"/>
    <w:rsid w:val="00F77DD2"/>
    <w:rsid w:val="00F80687"/>
    <w:rsid w:val="00F80875"/>
    <w:rsid w:val="00F80B94"/>
    <w:rsid w:val="00F80C80"/>
    <w:rsid w:val="00F80E4B"/>
    <w:rsid w:val="00F80E5B"/>
    <w:rsid w:val="00F80F70"/>
    <w:rsid w:val="00F8134A"/>
    <w:rsid w:val="00F8155B"/>
    <w:rsid w:val="00F81642"/>
    <w:rsid w:val="00F816F7"/>
    <w:rsid w:val="00F817BD"/>
    <w:rsid w:val="00F81C25"/>
    <w:rsid w:val="00F81C7A"/>
    <w:rsid w:val="00F81FED"/>
    <w:rsid w:val="00F821AF"/>
    <w:rsid w:val="00F82411"/>
    <w:rsid w:val="00F82488"/>
    <w:rsid w:val="00F8251E"/>
    <w:rsid w:val="00F82E75"/>
    <w:rsid w:val="00F82FEF"/>
    <w:rsid w:val="00F8325A"/>
    <w:rsid w:val="00F835BE"/>
    <w:rsid w:val="00F83606"/>
    <w:rsid w:val="00F83654"/>
    <w:rsid w:val="00F8380A"/>
    <w:rsid w:val="00F83B69"/>
    <w:rsid w:val="00F843B7"/>
    <w:rsid w:val="00F845B6"/>
    <w:rsid w:val="00F848F6"/>
    <w:rsid w:val="00F85067"/>
    <w:rsid w:val="00F853E7"/>
    <w:rsid w:val="00F858EB"/>
    <w:rsid w:val="00F85C4A"/>
    <w:rsid w:val="00F865F8"/>
    <w:rsid w:val="00F8681B"/>
    <w:rsid w:val="00F86F4A"/>
    <w:rsid w:val="00F8726E"/>
    <w:rsid w:val="00F872FB"/>
    <w:rsid w:val="00F878F8"/>
    <w:rsid w:val="00F87B7C"/>
    <w:rsid w:val="00F87E5B"/>
    <w:rsid w:val="00F9080B"/>
    <w:rsid w:val="00F908DC"/>
    <w:rsid w:val="00F9090E"/>
    <w:rsid w:val="00F90C46"/>
    <w:rsid w:val="00F90D6A"/>
    <w:rsid w:val="00F90E17"/>
    <w:rsid w:val="00F91238"/>
    <w:rsid w:val="00F913C6"/>
    <w:rsid w:val="00F914CD"/>
    <w:rsid w:val="00F91567"/>
    <w:rsid w:val="00F91912"/>
    <w:rsid w:val="00F91BB6"/>
    <w:rsid w:val="00F91D9B"/>
    <w:rsid w:val="00F91FE4"/>
    <w:rsid w:val="00F91FEC"/>
    <w:rsid w:val="00F923C7"/>
    <w:rsid w:val="00F92671"/>
    <w:rsid w:val="00F92E88"/>
    <w:rsid w:val="00F9307F"/>
    <w:rsid w:val="00F931C0"/>
    <w:rsid w:val="00F9378A"/>
    <w:rsid w:val="00F93989"/>
    <w:rsid w:val="00F93A2C"/>
    <w:rsid w:val="00F93E66"/>
    <w:rsid w:val="00F9435C"/>
    <w:rsid w:val="00F9461A"/>
    <w:rsid w:val="00F9471D"/>
    <w:rsid w:val="00F94784"/>
    <w:rsid w:val="00F94B5C"/>
    <w:rsid w:val="00F94C74"/>
    <w:rsid w:val="00F951C4"/>
    <w:rsid w:val="00F9522B"/>
    <w:rsid w:val="00F955E8"/>
    <w:rsid w:val="00F95A3B"/>
    <w:rsid w:val="00F95AEB"/>
    <w:rsid w:val="00F95B0E"/>
    <w:rsid w:val="00F961C3"/>
    <w:rsid w:val="00F961EF"/>
    <w:rsid w:val="00F964E9"/>
    <w:rsid w:val="00F96955"/>
    <w:rsid w:val="00F96DC5"/>
    <w:rsid w:val="00F97261"/>
    <w:rsid w:val="00F9754B"/>
    <w:rsid w:val="00F979A2"/>
    <w:rsid w:val="00F97EAA"/>
    <w:rsid w:val="00FA008B"/>
    <w:rsid w:val="00FA032B"/>
    <w:rsid w:val="00FA0435"/>
    <w:rsid w:val="00FA04C3"/>
    <w:rsid w:val="00FA06CE"/>
    <w:rsid w:val="00FA09EE"/>
    <w:rsid w:val="00FA0C59"/>
    <w:rsid w:val="00FA0F90"/>
    <w:rsid w:val="00FA109C"/>
    <w:rsid w:val="00FA133B"/>
    <w:rsid w:val="00FA171B"/>
    <w:rsid w:val="00FA1AE6"/>
    <w:rsid w:val="00FA1CD1"/>
    <w:rsid w:val="00FA2348"/>
    <w:rsid w:val="00FA257B"/>
    <w:rsid w:val="00FA2B88"/>
    <w:rsid w:val="00FA2DFB"/>
    <w:rsid w:val="00FA2FE3"/>
    <w:rsid w:val="00FA36D7"/>
    <w:rsid w:val="00FA3700"/>
    <w:rsid w:val="00FA3760"/>
    <w:rsid w:val="00FA396C"/>
    <w:rsid w:val="00FA3B6F"/>
    <w:rsid w:val="00FA4097"/>
    <w:rsid w:val="00FA435B"/>
    <w:rsid w:val="00FA468D"/>
    <w:rsid w:val="00FA56D0"/>
    <w:rsid w:val="00FA5A71"/>
    <w:rsid w:val="00FA5B13"/>
    <w:rsid w:val="00FA5C5F"/>
    <w:rsid w:val="00FA5E71"/>
    <w:rsid w:val="00FA5FAD"/>
    <w:rsid w:val="00FA5FF0"/>
    <w:rsid w:val="00FA6080"/>
    <w:rsid w:val="00FA623F"/>
    <w:rsid w:val="00FA66CC"/>
    <w:rsid w:val="00FA66E4"/>
    <w:rsid w:val="00FA6D78"/>
    <w:rsid w:val="00FA6DB7"/>
    <w:rsid w:val="00FA6E01"/>
    <w:rsid w:val="00FA7067"/>
    <w:rsid w:val="00FA71B2"/>
    <w:rsid w:val="00FA75D1"/>
    <w:rsid w:val="00FA7824"/>
    <w:rsid w:val="00FA78FD"/>
    <w:rsid w:val="00FA7A6C"/>
    <w:rsid w:val="00FA7DA2"/>
    <w:rsid w:val="00FA7EF5"/>
    <w:rsid w:val="00FB0176"/>
    <w:rsid w:val="00FB0335"/>
    <w:rsid w:val="00FB0483"/>
    <w:rsid w:val="00FB0559"/>
    <w:rsid w:val="00FB0612"/>
    <w:rsid w:val="00FB069E"/>
    <w:rsid w:val="00FB0837"/>
    <w:rsid w:val="00FB09FB"/>
    <w:rsid w:val="00FB0A00"/>
    <w:rsid w:val="00FB0A94"/>
    <w:rsid w:val="00FB0E16"/>
    <w:rsid w:val="00FB11BD"/>
    <w:rsid w:val="00FB12E0"/>
    <w:rsid w:val="00FB1A39"/>
    <w:rsid w:val="00FB1B2A"/>
    <w:rsid w:val="00FB1C35"/>
    <w:rsid w:val="00FB1E17"/>
    <w:rsid w:val="00FB200F"/>
    <w:rsid w:val="00FB205F"/>
    <w:rsid w:val="00FB2275"/>
    <w:rsid w:val="00FB234D"/>
    <w:rsid w:val="00FB251F"/>
    <w:rsid w:val="00FB2826"/>
    <w:rsid w:val="00FB2893"/>
    <w:rsid w:val="00FB29B8"/>
    <w:rsid w:val="00FB2DED"/>
    <w:rsid w:val="00FB2E95"/>
    <w:rsid w:val="00FB31CE"/>
    <w:rsid w:val="00FB33A6"/>
    <w:rsid w:val="00FB3457"/>
    <w:rsid w:val="00FB3809"/>
    <w:rsid w:val="00FB390D"/>
    <w:rsid w:val="00FB3925"/>
    <w:rsid w:val="00FB3E40"/>
    <w:rsid w:val="00FB41AA"/>
    <w:rsid w:val="00FB44C0"/>
    <w:rsid w:val="00FB44E4"/>
    <w:rsid w:val="00FB486D"/>
    <w:rsid w:val="00FB4B10"/>
    <w:rsid w:val="00FB4CB0"/>
    <w:rsid w:val="00FB4F5E"/>
    <w:rsid w:val="00FB4FC2"/>
    <w:rsid w:val="00FB51B4"/>
    <w:rsid w:val="00FB5598"/>
    <w:rsid w:val="00FB57E9"/>
    <w:rsid w:val="00FB5887"/>
    <w:rsid w:val="00FB5B36"/>
    <w:rsid w:val="00FB5EB0"/>
    <w:rsid w:val="00FB626D"/>
    <w:rsid w:val="00FB6292"/>
    <w:rsid w:val="00FB66E0"/>
    <w:rsid w:val="00FB6C10"/>
    <w:rsid w:val="00FB7002"/>
    <w:rsid w:val="00FB7547"/>
    <w:rsid w:val="00FB7590"/>
    <w:rsid w:val="00FB7682"/>
    <w:rsid w:val="00FB7851"/>
    <w:rsid w:val="00FB78EB"/>
    <w:rsid w:val="00FB7910"/>
    <w:rsid w:val="00FB7996"/>
    <w:rsid w:val="00FB7AC8"/>
    <w:rsid w:val="00FB7EB0"/>
    <w:rsid w:val="00FC01A3"/>
    <w:rsid w:val="00FC037B"/>
    <w:rsid w:val="00FC0400"/>
    <w:rsid w:val="00FC082D"/>
    <w:rsid w:val="00FC0A27"/>
    <w:rsid w:val="00FC0E39"/>
    <w:rsid w:val="00FC1000"/>
    <w:rsid w:val="00FC1189"/>
    <w:rsid w:val="00FC1222"/>
    <w:rsid w:val="00FC14E5"/>
    <w:rsid w:val="00FC152A"/>
    <w:rsid w:val="00FC16F0"/>
    <w:rsid w:val="00FC1B80"/>
    <w:rsid w:val="00FC1BB2"/>
    <w:rsid w:val="00FC1FA9"/>
    <w:rsid w:val="00FC2251"/>
    <w:rsid w:val="00FC24CB"/>
    <w:rsid w:val="00FC2515"/>
    <w:rsid w:val="00FC2C6E"/>
    <w:rsid w:val="00FC2EBA"/>
    <w:rsid w:val="00FC3136"/>
    <w:rsid w:val="00FC34DB"/>
    <w:rsid w:val="00FC3909"/>
    <w:rsid w:val="00FC3BE5"/>
    <w:rsid w:val="00FC3E5E"/>
    <w:rsid w:val="00FC45EA"/>
    <w:rsid w:val="00FC496D"/>
    <w:rsid w:val="00FC4EAF"/>
    <w:rsid w:val="00FC4F02"/>
    <w:rsid w:val="00FC4FE2"/>
    <w:rsid w:val="00FC5065"/>
    <w:rsid w:val="00FC553D"/>
    <w:rsid w:val="00FC5889"/>
    <w:rsid w:val="00FC5BC5"/>
    <w:rsid w:val="00FC5D7E"/>
    <w:rsid w:val="00FC5FB4"/>
    <w:rsid w:val="00FC6138"/>
    <w:rsid w:val="00FC6445"/>
    <w:rsid w:val="00FC6549"/>
    <w:rsid w:val="00FC686B"/>
    <w:rsid w:val="00FC6A27"/>
    <w:rsid w:val="00FC7031"/>
    <w:rsid w:val="00FC72D4"/>
    <w:rsid w:val="00FC7323"/>
    <w:rsid w:val="00FC735B"/>
    <w:rsid w:val="00FC75E1"/>
    <w:rsid w:val="00FC768F"/>
    <w:rsid w:val="00FC775F"/>
    <w:rsid w:val="00FC77AF"/>
    <w:rsid w:val="00FC780C"/>
    <w:rsid w:val="00FC7A0C"/>
    <w:rsid w:val="00FC7B27"/>
    <w:rsid w:val="00FC7C4D"/>
    <w:rsid w:val="00FC7E99"/>
    <w:rsid w:val="00FD02B5"/>
    <w:rsid w:val="00FD0A83"/>
    <w:rsid w:val="00FD0A91"/>
    <w:rsid w:val="00FD0DD3"/>
    <w:rsid w:val="00FD0DF0"/>
    <w:rsid w:val="00FD0F54"/>
    <w:rsid w:val="00FD13CE"/>
    <w:rsid w:val="00FD141E"/>
    <w:rsid w:val="00FD14F1"/>
    <w:rsid w:val="00FD1A57"/>
    <w:rsid w:val="00FD24E5"/>
    <w:rsid w:val="00FD2A15"/>
    <w:rsid w:val="00FD2B6B"/>
    <w:rsid w:val="00FD2B83"/>
    <w:rsid w:val="00FD2B8E"/>
    <w:rsid w:val="00FD2C50"/>
    <w:rsid w:val="00FD2D18"/>
    <w:rsid w:val="00FD3086"/>
    <w:rsid w:val="00FD3403"/>
    <w:rsid w:val="00FD39AA"/>
    <w:rsid w:val="00FD3E52"/>
    <w:rsid w:val="00FD40A0"/>
    <w:rsid w:val="00FD4182"/>
    <w:rsid w:val="00FD4681"/>
    <w:rsid w:val="00FD4EF3"/>
    <w:rsid w:val="00FD4F33"/>
    <w:rsid w:val="00FD4FC4"/>
    <w:rsid w:val="00FD5038"/>
    <w:rsid w:val="00FD533E"/>
    <w:rsid w:val="00FD53FD"/>
    <w:rsid w:val="00FD586E"/>
    <w:rsid w:val="00FD5924"/>
    <w:rsid w:val="00FD5CB6"/>
    <w:rsid w:val="00FD62B8"/>
    <w:rsid w:val="00FD637E"/>
    <w:rsid w:val="00FD694C"/>
    <w:rsid w:val="00FD6CD7"/>
    <w:rsid w:val="00FD7035"/>
    <w:rsid w:val="00FD7198"/>
    <w:rsid w:val="00FD728D"/>
    <w:rsid w:val="00FD7363"/>
    <w:rsid w:val="00FD758B"/>
    <w:rsid w:val="00FD7694"/>
    <w:rsid w:val="00FD7939"/>
    <w:rsid w:val="00FE0070"/>
    <w:rsid w:val="00FE030B"/>
    <w:rsid w:val="00FE0A15"/>
    <w:rsid w:val="00FE1136"/>
    <w:rsid w:val="00FE1542"/>
    <w:rsid w:val="00FE1981"/>
    <w:rsid w:val="00FE1B59"/>
    <w:rsid w:val="00FE1E19"/>
    <w:rsid w:val="00FE234C"/>
    <w:rsid w:val="00FE266B"/>
    <w:rsid w:val="00FE2794"/>
    <w:rsid w:val="00FE2840"/>
    <w:rsid w:val="00FE29B8"/>
    <w:rsid w:val="00FE2AE0"/>
    <w:rsid w:val="00FE2C81"/>
    <w:rsid w:val="00FE3275"/>
    <w:rsid w:val="00FE3303"/>
    <w:rsid w:val="00FE368F"/>
    <w:rsid w:val="00FE38DD"/>
    <w:rsid w:val="00FE3941"/>
    <w:rsid w:val="00FE3AFD"/>
    <w:rsid w:val="00FE3CD9"/>
    <w:rsid w:val="00FE4549"/>
    <w:rsid w:val="00FE4686"/>
    <w:rsid w:val="00FE4944"/>
    <w:rsid w:val="00FE4BBD"/>
    <w:rsid w:val="00FE4D6A"/>
    <w:rsid w:val="00FE4DBA"/>
    <w:rsid w:val="00FE4DDB"/>
    <w:rsid w:val="00FE5431"/>
    <w:rsid w:val="00FE5A47"/>
    <w:rsid w:val="00FE6235"/>
    <w:rsid w:val="00FE6374"/>
    <w:rsid w:val="00FE6A6E"/>
    <w:rsid w:val="00FE6DD3"/>
    <w:rsid w:val="00FE7176"/>
    <w:rsid w:val="00FE7495"/>
    <w:rsid w:val="00FE76F5"/>
    <w:rsid w:val="00FE7B37"/>
    <w:rsid w:val="00FE7B5C"/>
    <w:rsid w:val="00FE7C35"/>
    <w:rsid w:val="00FF017A"/>
    <w:rsid w:val="00FF02F5"/>
    <w:rsid w:val="00FF032F"/>
    <w:rsid w:val="00FF051D"/>
    <w:rsid w:val="00FF09E6"/>
    <w:rsid w:val="00FF09FB"/>
    <w:rsid w:val="00FF0E12"/>
    <w:rsid w:val="00FF1108"/>
    <w:rsid w:val="00FF1560"/>
    <w:rsid w:val="00FF1694"/>
    <w:rsid w:val="00FF1E6F"/>
    <w:rsid w:val="00FF21FB"/>
    <w:rsid w:val="00FF249B"/>
    <w:rsid w:val="00FF2606"/>
    <w:rsid w:val="00FF296C"/>
    <w:rsid w:val="00FF2D2F"/>
    <w:rsid w:val="00FF2E02"/>
    <w:rsid w:val="00FF32BC"/>
    <w:rsid w:val="00FF36EC"/>
    <w:rsid w:val="00FF3E0D"/>
    <w:rsid w:val="00FF4273"/>
    <w:rsid w:val="00FF4529"/>
    <w:rsid w:val="00FF473C"/>
    <w:rsid w:val="00FF48A0"/>
    <w:rsid w:val="00FF4E44"/>
    <w:rsid w:val="00FF4F7C"/>
    <w:rsid w:val="00FF52D6"/>
    <w:rsid w:val="00FF5520"/>
    <w:rsid w:val="00FF55DE"/>
    <w:rsid w:val="00FF5733"/>
    <w:rsid w:val="00FF5E92"/>
    <w:rsid w:val="00FF5EB6"/>
    <w:rsid w:val="00FF6039"/>
    <w:rsid w:val="00FF6808"/>
    <w:rsid w:val="00FF723E"/>
    <w:rsid w:val="00FF75FC"/>
    <w:rsid w:val="00FF7603"/>
    <w:rsid w:val="00FF7837"/>
    <w:rsid w:val="00FF79AA"/>
    <w:rsid w:val="156315EC"/>
    <w:rsid w:val="51F23709"/>
    <w:rsid w:val="5B273164"/>
    <w:rsid w:val="6CB91810"/>
    <w:rsid w:val="7708668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84386" fillcolor="white">
      <v:fill color="white"/>
      <o:colormru v:ext="edit" colors="#b81ee8,#07c93a,#bd5703"/>
      <o:colormenu v:ext="edit" fillcolor="none [3212]" strokecolor="none [1609]"/>
    </o:shapedefaults>
    <o:shapelayout v:ext="edit">
      <o:idmap v:ext="edit" data="1,131,680"/>
      <o:rules v:ext="edit">
        <o:r id="V:Rule1" type="callout" idref="#_x0000_s696387"/>
        <o:r id="V:Rule3" type="callout" idref="#_x0000_s697030"/>
        <o:r id="V:Rule5" type="callout" idref="#_x0000_s697172"/>
        <o:r id="V:Rule6" type="callout" idref="#_x0000_s697039"/>
        <o:r id="V:Rule8" type="callout" idref="#_x0000_s697118"/>
        <o:r id="V:Rule9" type="callout" idref="#_x0000_s696851"/>
        <o:r id="V:Rule10" type="callout" idref="#_x0000_s696857"/>
        <o:r id="V:Rule11" type="callout" idref="#_x0000_s696852"/>
        <o:r id="V:Rule20" type="callout" idref="#_x0000_s696945"/>
        <o:r id="V:Rule21" type="callout" idref="#_x0000_s697195"/>
        <o:r id="V:Rule22" type="callout" idref="#_x0000_s696771"/>
        <o:r id="V:Rule23" type="callout" idref="#_x0000_s696820"/>
        <o:r id="V:Rule24" type="connector" idref="#_x0000_s697062"/>
        <o:r id="V:Rule25" type="connector" idref="#_x0000_s696999"/>
        <o:r id="V:Rule26" type="connector" idref="#_x0000_s697012"/>
        <o:r id="V:Rule27" type="connector" idref="#_x0000_s697182"/>
        <o:r id="V:Rule28" type="connector" idref="#_x0000_s697183"/>
        <o:r id="V:Rule29" type="connector" idref="#_x0000_s696893"/>
        <o:r id="V:Rule30" type="connector" idref="#_x0000_s696895"/>
        <o:r id="V:Rule31" type="connector" idref="#_x0000_s697155"/>
        <o:r id="V:Rule32" type="connector" idref="#_x0000_s1485"/>
        <o:r id="V:Rule33" type="connector" idref="#_x0000_s697000"/>
        <o:r id="V:Rule34" type="connector" idref="#_x0000_s69708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nhideWhenUsed="0" w:qFormat="1"/>
    <w:lsdException w:name="heading 2" w:uiPriority="0" w:qFormat="1"/>
    <w:lsdException w:name="heading 3" w:qFormat="1"/>
    <w:lsdException w:name="heading 4" w:uiPriority="0" w:qFormat="1"/>
    <w:lsdException w:name="heading 5" w:semiHidden="1" w:uiPriority="0" w:qFormat="1"/>
    <w:lsdException w:name="heading 6" w:uiPriority="0"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qFormat="1"/>
    <w:lsdException w:name="annotation text" w:semiHidden="1" w:qFormat="1"/>
    <w:lsdException w:name="header" w:qFormat="1"/>
    <w:lsdException w:name="footer" w:qFormat="1"/>
    <w:lsdException w:name="index heading" w:semiHidden="1"/>
    <w:lsdException w:name="caption" w:uiPriority="0" w:qFormat="1"/>
    <w:lsdException w:name="table of figures" w:semiHidden="1"/>
    <w:lsdException w:name="envelope address" w:semiHidden="1"/>
    <w:lsdException w:name="envelope return" w:semiHidden="1"/>
    <w:lsdException w:name="footnote reference" w:semiHidden="1"/>
    <w:lsdException w:name="annotation reference" w:semiHidden="1" w:qFormat="1"/>
    <w:lsdException w:name="line number" w:semiHidden="1"/>
    <w:lsdException w:name="page number" w:uiPriority="0" w:unhideWhenUsed="0" w:qFormat="1"/>
    <w:lsdException w:name="endnote reference" w:semiHidden="1" w:qFormat="1"/>
    <w:lsdException w:name="endnote text" w:semiHidden="1" w:qFormat="1"/>
    <w:lsdException w:name="table of authorities" w:semiHidden="1"/>
    <w:lsdException w:name="macro" w:semiHidden="1"/>
    <w:lsdException w:name="toa heading" w:semiHidden="1"/>
    <w:lsdException w:name="List" w:qFormat="1"/>
    <w:lsdException w:name="List Bullet" w:semiHidden="1" w:qFormat="1"/>
    <w:lsdException w:name="List Number" w:semiHidden="1"/>
    <w:lsdException w:name="List 2" w:uiPriority="0" w:qFormat="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semiHidden="1" w:uiPriority="1"/>
    <w:lsdException w:name="Body Text" w:qFormat="1"/>
    <w:lsdException w:name="Body Text Indent"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uiPriority="0" w:unhideWhenUsed="0" w:qFormat="1"/>
    <w:lsdException w:name="Subtitle" w:uiPriority="11" w:unhideWhenUsed="0" w:qFormat="1"/>
    <w:lsdException w:name="Salutation" w:uiPriority="0" w:unhideWhenUsed="0"/>
    <w:lsdException w:name="Date" w:semiHidden="1" w:qFormat="1"/>
    <w:lsdException w:name="Body Text First Indent" w:uiPriority="0" w:qFormat="1"/>
    <w:lsdException w:name="Body Text First Indent 2" w:semiHidden="1" w:uiPriority="0" w:qFormat="1"/>
    <w:lsdException w:name="Note Heading" w:semiHidden="1" w:uiPriority="0" w:qFormat="1"/>
    <w:lsdException w:name="Body Text 2" w:qFormat="1"/>
    <w:lsdException w:name="Body Text 3" w:uiPriority="0" w:qFormat="1"/>
    <w:lsdException w:name="Body Text Indent 2" w:uiPriority="0" w:qFormat="1"/>
    <w:lsdException w:name="Body Text Indent 3" w:semiHidden="1" w:uiPriority="0" w:qFormat="1"/>
    <w:lsdException w:name="Block Text" w:semiHidden="1" w:uiPriority="0" w:qFormat="1"/>
    <w:lsdException w:name="Hyperlink" w:qFormat="1"/>
    <w:lsdException w:name="FollowedHyperlink" w:semiHidden="1" w:qFormat="1"/>
    <w:lsdException w:name="Strong" w:uiPriority="22" w:unhideWhenUsed="0" w:qFormat="1"/>
    <w:lsdException w:name="Emphasis" w:uiPriority="20" w:unhideWhenUsed="0" w:qFormat="1"/>
    <w:lsdException w:name="Document Map" w:uiPriority="0" w:qFormat="1"/>
    <w:lsdException w:name="Plain Text" w:uiPriority="0" w:qFormat="1"/>
    <w:lsdException w:name="E-mail Signature" w:semiHidden="1"/>
    <w:lsdException w:name="HTML Top of Form" w:semiHidden="1"/>
    <w:lsdException w:name="HTML Bottom of Form" w:semiHidden="1"/>
    <w:lsdException w:name="Normal (Web)"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qFormat="1"/>
    <w:lsdException w:name="HTML Sample" w:semiHidden="1"/>
    <w:lsdException w:name="HTML Typewriter" w:semiHidden="1" w:uiPriority="0" w:qFormat="1"/>
    <w:lsdException w:name="HTML Variable" w:semiHidden="1"/>
    <w:lsdException w:name="Normal Table" w:semiHidden="1" w:qFormat="1"/>
    <w:lsdException w:name="annotation subject" w:semiHidden="1"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uiPriority="0" w:qFormat="1"/>
    <w:lsdException w:name="Table Grid 2" w:semiHidden="1"/>
    <w:lsdException w:name="Table Grid 3" w:semiHidden="1"/>
    <w:lsdException w:name="Table Grid 4" w:semiHidden="1"/>
    <w:lsdException w:name="Table Grid 5" w:semiHidden="1"/>
    <w:lsdException w:name="Table Grid 6" w:semiHidden="1" w:uiPriority="0" w:qFormat="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uiPriority="0" w:qFormat="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qFormat="1"/>
    <w:lsdException w:name="Table Grid" w:uiPriority="0" w:unhideWhenUsed="0" w:qFormat="1"/>
    <w:lsdException w:name="Table Theme" w:semiHidden="1"/>
    <w:lsdException w:name="Placeholder Text" w:semiHidden="1" w:unhideWhenUsed="0" w:qFormat="1"/>
    <w:lsdException w:name="No Spacing" w:uiPriority="0"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nhideWhenUsed="0"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1">
    <w:name w:val="Normal"/>
    <w:qFormat/>
    <w:rsid w:val="00DF6D38"/>
    <w:pPr>
      <w:widowControl w:val="0"/>
      <w:jc w:val="both"/>
    </w:pPr>
    <w:rPr>
      <w:rFonts w:ascii="Times New Roman" w:eastAsia="宋体" w:hAnsi="Times New Roman" w:cs="Times New Roman"/>
      <w:kern w:val="2"/>
      <w:sz w:val="21"/>
      <w:szCs w:val="24"/>
    </w:rPr>
  </w:style>
  <w:style w:type="paragraph" w:styleId="10">
    <w:name w:val="heading 1"/>
    <w:basedOn w:val="a1"/>
    <w:next w:val="a1"/>
    <w:link w:val="1Char"/>
    <w:uiPriority w:val="99"/>
    <w:qFormat/>
    <w:rsid w:val="002A5A5E"/>
    <w:pPr>
      <w:keepNext/>
      <w:keepLines/>
      <w:spacing w:before="340" w:after="330" w:line="578" w:lineRule="auto"/>
      <w:outlineLvl w:val="0"/>
    </w:pPr>
    <w:rPr>
      <w:b/>
      <w:bCs/>
      <w:kern w:val="44"/>
      <w:sz w:val="44"/>
      <w:szCs w:val="44"/>
    </w:rPr>
  </w:style>
  <w:style w:type="paragraph" w:styleId="20">
    <w:name w:val="heading 2"/>
    <w:basedOn w:val="a1"/>
    <w:next w:val="a1"/>
    <w:link w:val="2Char"/>
    <w:unhideWhenUsed/>
    <w:qFormat/>
    <w:rsid w:val="002A5A5E"/>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0">
    <w:name w:val="heading 3"/>
    <w:basedOn w:val="a1"/>
    <w:next w:val="a1"/>
    <w:link w:val="3Char"/>
    <w:uiPriority w:val="99"/>
    <w:unhideWhenUsed/>
    <w:qFormat/>
    <w:rsid w:val="002A5A5E"/>
    <w:pPr>
      <w:keepNext/>
      <w:keepLines/>
      <w:spacing w:before="260" w:after="260" w:line="416" w:lineRule="atLeast"/>
      <w:ind w:firstLineChars="177" w:firstLine="425"/>
      <w:outlineLvl w:val="2"/>
    </w:pPr>
    <w:rPr>
      <w:rFonts w:ascii="宋体" w:hAnsi="宋体" w:cs="宋体"/>
      <w:sz w:val="32"/>
      <w:szCs w:val="32"/>
    </w:rPr>
  </w:style>
  <w:style w:type="paragraph" w:styleId="4">
    <w:name w:val="heading 4"/>
    <w:basedOn w:val="a1"/>
    <w:next w:val="a1"/>
    <w:link w:val="4Char"/>
    <w:unhideWhenUsed/>
    <w:qFormat/>
    <w:rsid w:val="002A5A5E"/>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0">
    <w:name w:val="heading 5"/>
    <w:basedOn w:val="a1"/>
    <w:next w:val="a1"/>
    <w:link w:val="5Char"/>
    <w:semiHidden/>
    <w:unhideWhenUsed/>
    <w:qFormat/>
    <w:rsid w:val="002A5A5E"/>
    <w:pPr>
      <w:keepNext/>
      <w:keepLines/>
      <w:widowControl/>
      <w:spacing w:before="280" w:after="290" w:line="372" w:lineRule="auto"/>
      <w:ind w:firstLineChars="177" w:firstLine="425"/>
      <w:outlineLvl w:val="4"/>
    </w:pPr>
    <w:rPr>
      <w:color w:val="000000"/>
      <w:kern w:val="0"/>
      <w:sz w:val="28"/>
      <w:szCs w:val="28"/>
    </w:rPr>
  </w:style>
  <w:style w:type="paragraph" w:styleId="62">
    <w:name w:val="heading 6"/>
    <w:basedOn w:val="a1"/>
    <w:next w:val="a1"/>
    <w:link w:val="6Char"/>
    <w:unhideWhenUsed/>
    <w:qFormat/>
    <w:rsid w:val="002A5A5E"/>
    <w:pPr>
      <w:keepNext/>
      <w:keepLines/>
      <w:widowControl/>
      <w:spacing w:before="240" w:after="64" w:line="316" w:lineRule="auto"/>
      <w:ind w:firstLineChars="177" w:firstLine="425"/>
      <w:outlineLvl w:val="5"/>
    </w:pPr>
    <w:rPr>
      <w:rFonts w:ascii="Arial" w:eastAsia="黑体" w:hAnsi="Arial"/>
      <w:color w:val="000000"/>
      <w:kern w:val="0"/>
      <w:sz w:val="24"/>
    </w:rPr>
  </w:style>
  <w:style w:type="paragraph" w:styleId="70">
    <w:name w:val="heading 7"/>
    <w:basedOn w:val="10"/>
    <w:next w:val="a1"/>
    <w:link w:val="7Char"/>
    <w:autoRedefine/>
    <w:uiPriority w:val="99"/>
    <w:semiHidden/>
    <w:unhideWhenUsed/>
    <w:qFormat/>
    <w:rsid w:val="002A5A5E"/>
    <w:pPr>
      <w:widowControl/>
      <w:spacing w:before="240" w:after="64" w:line="316" w:lineRule="auto"/>
      <w:ind w:firstLineChars="177" w:firstLine="425"/>
      <w:outlineLvl w:val="6"/>
    </w:pPr>
    <w:rPr>
      <w:color w:val="000000"/>
      <w:kern w:val="0"/>
      <w:sz w:val="24"/>
      <w:szCs w:val="24"/>
    </w:rPr>
  </w:style>
  <w:style w:type="paragraph" w:styleId="81">
    <w:name w:val="heading 8"/>
    <w:basedOn w:val="10"/>
    <w:next w:val="a1"/>
    <w:link w:val="8Char"/>
    <w:autoRedefine/>
    <w:uiPriority w:val="99"/>
    <w:semiHidden/>
    <w:unhideWhenUsed/>
    <w:qFormat/>
    <w:rsid w:val="002A5A5E"/>
    <w:pPr>
      <w:widowControl/>
      <w:spacing w:before="240" w:after="64" w:line="316" w:lineRule="auto"/>
      <w:ind w:firstLineChars="177" w:firstLine="425"/>
      <w:outlineLvl w:val="7"/>
    </w:pPr>
    <w:rPr>
      <w:rFonts w:ascii="Arial" w:eastAsia="黑体" w:hAnsi="Arial"/>
      <w:b w:val="0"/>
      <w:bCs w:val="0"/>
      <w:color w:val="000000"/>
      <w:kern w:val="0"/>
      <w:sz w:val="24"/>
      <w:szCs w:val="24"/>
    </w:rPr>
  </w:style>
  <w:style w:type="paragraph" w:styleId="90">
    <w:name w:val="heading 9"/>
    <w:basedOn w:val="10"/>
    <w:next w:val="a1"/>
    <w:link w:val="9Char"/>
    <w:autoRedefine/>
    <w:uiPriority w:val="99"/>
    <w:semiHidden/>
    <w:unhideWhenUsed/>
    <w:qFormat/>
    <w:rsid w:val="002A5A5E"/>
    <w:pPr>
      <w:widowControl/>
      <w:spacing w:beforeLines="50" w:after="64" w:line="400" w:lineRule="exact"/>
      <w:ind w:firstLineChars="177" w:firstLine="425"/>
      <w:jc w:val="center"/>
      <w:outlineLvl w:val="8"/>
    </w:pPr>
    <w:rPr>
      <w:b w:val="0"/>
      <w:bCs w:val="0"/>
      <w:color w:val="000000"/>
      <w:kern w:val="0"/>
      <w:sz w:val="24"/>
      <w:szCs w:val="21"/>
    </w:rPr>
  </w:style>
  <w:style w:type="character" w:default="1" w:styleId="a2">
    <w:name w:val="Default Paragraph Font"/>
    <w:uiPriority w:val="1"/>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te Heading"/>
    <w:basedOn w:val="10"/>
    <w:next w:val="a1"/>
    <w:link w:val="Char"/>
    <w:autoRedefine/>
    <w:semiHidden/>
    <w:unhideWhenUsed/>
    <w:qFormat/>
    <w:rsid w:val="002A5A5E"/>
    <w:pPr>
      <w:keepNext w:val="0"/>
      <w:keepLines w:val="0"/>
      <w:spacing w:before="0" w:after="0" w:line="500" w:lineRule="atLeast"/>
      <w:ind w:firstLineChars="177" w:firstLine="425"/>
      <w:jc w:val="center"/>
      <w:outlineLvl w:val="9"/>
    </w:pPr>
    <w:rPr>
      <w:rFonts w:asciiTheme="minorHAnsi" w:eastAsiaTheme="minorEastAsia" w:hAnsiTheme="minorHAnsi" w:cstheme="minorBidi"/>
      <w:b w:val="0"/>
      <w:bCs w:val="0"/>
      <w:kern w:val="2"/>
      <w:sz w:val="24"/>
      <w:szCs w:val="22"/>
    </w:rPr>
  </w:style>
  <w:style w:type="paragraph" w:styleId="a6">
    <w:name w:val="Normal Indent"/>
    <w:basedOn w:val="10"/>
    <w:next w:val="a1"/>
    <w:link w:val="Char0"/>
    <w:autoRedefine/>
    <w:uiPriority w:val="99"/>
    <w:unhideWhenUsed/>
    <w:qFormat/>
    <w:rsid w:val="002A5A5E"/>
    <w:pPr>
      <w:keepNext w:val="0"/>
      <w:keepLines w:val="0"/>
      <w:adjustRightInd w:val="0"/>
      <w:snapToGrid w:val="0"/>
      <w:spacing w:before="0" w:after="0" w:line="300" w:lineRule="auto"/>
      <w:ind w:firstLineChars="200" w:firstLine="200"/>
      <w:outlineLvl w:val="9"/>
    </w:pPr>
    <w:rPr>
      <w:rFonts w:ascii="FangSong_GB2312" w:eastAsia="FangSong_GB2312" w:hAnsiTheme="minorHAnsi" w:cstheme="minorBidi"/>
      <w:b w:val="0"/>
      <w:bCs w:val="0"/>
      <w:kern w:val="2"/>
      <w:sz w:val="28"/>
      <w:szCs w:val="24"/>
    </w:rPr>
  </w:style>
  <w:style w:type="paragraph" w:styleId="a7">
    <w:name w:val="caption"/>
    <w:basedOn w:val="10"/>
    <w:next w:val="a1"/>
    <w:link w:val="Char1"/>
    <w:autoRedefine/>
    <w:unhideWhenUsed/>
    <w:qFormat/>
    <w:rsid w:val="002A5A5E"/>
    <w:pPr>
      <w:keepNext w:val="0"/>
      <w:keepLines w:val="0"/>
      <w:spacing w:before="0" w:after="0" w:line="500" w:lineRule="atLeast"/>
      <w:ind w:firstLineChars="200" w:firstLine="521"/>
      <w:outlineLvl w:val="9"/>
    </w:pPr>
    <w:rPr>
      <w:rFonts w:asciiTheme="minorHAnsi" w:eastAsiaTheme="minorEastAsia" w:hAnsiTheme="minorHAnsi" w:cstheme="minorBidi"/>
      <w:b w:val="0"/>
      <w:bCs w:val="0"/>
      <w:color w:val="000000"/>
      <w:kern w:val="2"/>
      <w:sz w:val="28"/>
      <w:szCs w:val="22"/>
    </w:rPr>
  </w:style>
  <w:style w:type="paragraph" w:styleId="a">
    <w:name w:val="List Bullet"/>
    <w:basedOn w:val="a1"/>
    <w:autoRedefine/>
    <w:uiPriority w:val="99"/>
    <w:semiHidden/>
    <w:unhideWhenUsed/>
    <w:qFormat/>
    <w:rsid w:val="002A5A5E"/>
    <w:pPr>
      <w:numPr>
        <w:numId w:val="1"/>
      </w:numPr>
    </w:pPr>
    <w:rPr>
      <w:rFonts w:ascii="Calibri" w:hAnsi="Calibri"/>
    </w:rPr>
  </w:style>
  <w:style w:type="paragraph" w:styleId="a8">
    <w:name w:val="Document Map"/>
    <w:basedOn w:val="a1"/>
    <w:link w:val="Char2"/>
    <w:unhideWhenUsed/>
    <w:qFormat/>
    <w:rsid w:val="002A5A5E"/>
    <w:rPr>
      <w:rFonts w:ascii="宋体"/>
      <w:sz w:val="18"/>
      <w:szCs w:val="18"/>
    </w:rPr>
  </w:style>
  <w:style w:type="paragraph" w:styleId="a9">
    <w:name w:val="annotation text"/>
    <w:basedOn w:val="a1"/>
    <w:link w:val="Char3"/>
    <w:uiPriority w:val="99"/>
    <w:semiHidden/>
    <w:unhideWhenUsed/>
    <w:qFormat/>
    <w:rsid w:val="002A5A5E"/>
    <w:pPr>
      <w:jc w:val="left"/>
    </w:pPr>
    <w:rPr>
      <w:rFonts w:ascii="Calibri" w:eastAsiaTheme="minorEastAsia" w:hAnsi="Calibri" w:cstheme="minorBidi"/>
      <w:color w:val="000000"/>
      <w:sz w:val="24"/>
    </w:rPr>
  </w:style>
  <w:style w:type="paragraph" w:styleId="63">
    <w:name w:val="index 6"/>
    <w:basedOn w:val="a1"/>
    <w:next w:val="a1"/>
    <w:autoRedefine/>
    <w:uiPriority w:val="99"/>
    <w:semiHidden/>
    <w:unhideWhenUsed/>
    <w:rsid w:val="002A5A5E"/>
    <w:pPr>
      <w:ind w:leftChars="1000" w:left="1000"/>
    </w:pPr>
  </w:style>
  <w:style w:type="paragraph" w:styleId="aa">
    <w:name w:val="Salutation"/>
    <w:basedOn w:val="a1"/>
    <w:next w:val="a1"/>
    <w:link w:val="Char4"/>
    <w:rsid w:val="002A5A5E"/>
  </w:style>
  <w:style w:type="paragraph" w:styleId="31">
    <w:name w:val="Body Text 3"/>
    <w:basedOn w:val="a1"/>
    <w:link w:val="3Char0"/>
    <w:unhideWhenUsed/>
    <w:qFormat/>
    <w:rsid w:val="002A5A5E"/>
    <w:pPr>
      <w:spacing w:after="120"/>
    </w:pPr>
    <w:rPr>
      <w:rFonts w:ascii="Calibri" w:eastAsiaTheme="minorEastAsia" w:hAnsi="Calibri" w:cstheme="minorBidi"/>
      <w:color w:val="000000"/>
      <w:sz w:val="16"/>
      <w:szCs w:val="16"/>
    </w:rPr>
  </w:style>
  <w:style w:type="paragraph" w:styleId="ab">
    <w:name w:val="Body Text"/>
    <w:basedOn w:val="a1"/>
    <w:link w:val="Char5"/>
    <w:uiPriority w:val="99"/>
    <w:unhideWhenUsed/>
    <w:qFormat/>
    <w:rsid w:val="002A5A5E"/>
    <w:pPr>
      <w:spacing w:after="120"/>
    </w:pPr>
  </w:style>
  <w:style w:type="paragraph" w:styleId="ac">
    <w:name w:val="Body Text Indent"/>
    <w:basedOn w:val="10"/>
    <w:next w:val="a1"/>
    <w:link w:val="Char6"/>
    <w:autoRedefine/>
    <w:uiPriority w:val="99"/>
    <w:unhideWhenUsed/>
    <w:qFormat/>
    <w:rsid w:val="002A5A5E"/>
    <w:pPr>
      <w:keepNext w:val="0"/>
      <w:keepLines w:val="0"/>
      <w:spacing w:before="0" w:after="0" w:line="240" w:lineRule="auto"/>
      <w:ind w:firstLineChars="200" w:firstLine="480"/>
      <w:outlineLvl w:val="9"/>
    </w:pPr>
    <w:rPr>
      <w:rFonts w:asciiTheme="minorHAnsi" w:eastAsiaTheme="minorEastAsia" w:hAnsiTheme="minorHAnsi" w:cstheme="minorBidi"/>
      <w:b w:val="0"/>
      <w:bCs w:val="0"/>
      <w:kern w:val="2"/>
      <w:sz w:val="24"/>
      <w:szCs w:val="24"/>
    </w:rPr>
  </w:style>
  <w:style w:type="paragraph" w:styleId="21">
    <w:name w:val="List 2"/>
    <w:basedOn w:val="a1"/>
    <w:link w:val="2Char0"/>
    <w:unhideWhenUsed/>
    <w:qFormat/>
    <w:rsid w:val="002A5A5E"/>
    <w:pPr>
      <w:ind w:leftChars="200" w:left="100" w:hangingChars="200" w:hanging="200"/>
      <w:contextualSpacing/>
    </w:pPr>
    <w:rPr>
      <w:rFonts w:ascii="楷体_GB2312" w:eastAsia="楷体_GB2312" w:hAnsi="宋体" w:cstheme="minorBidi"/>
      <w:color w:val="000000"/>
      <w:sz w:val="24"/>
      <w:szCs w:val="28"/>
    </w:rPr>
  </w:style>
  <w:style w:type="paragraph" w:styleId="ad">
    <w:name w:val="Block Text"/>
    <w:basedOn w:val="a1"/>
    <w:semiHidden/>
    <w:unhideWhenUsed/>
    <w:qFormat/>
    <w:rsid w:val="002A5A5E"/>
    <w:pPr>
      <w:spacing w:after="120"/>
      <w:ind w:leftChars="700" w:left="1440" w:rightChars="700" w:right="1440"/>
    </w:pPr>
  </w:style>
  <w:style w:type="paragraph" w:styleId="ae">
    <w:name w:val="Plain Text"/>
    <w:basedOn w:val="10"/>
    <w:next w:val="a1"/>
    <w:link w:val="Char7"/>
    <w:autoRedefine/>
    <w:unhideWhenUsed/>
    <w:qFormat/>
    <w:rsid w:val="002A5A5E"/>
    <w:pPr>
      <w:keepNext w:val="0"/>
      <w:keepLines w:val="0"/>
      <w:spacing w:before="0" w:after="0" w:line="240" w:lineRule="auto"/>
      <w:outlineLvl w:val="9"/>
    </w:pPr>
    <w:rPr>
      <w:rFonts w:ascii="宋体" w:hAnsi="Courier New" w:cs="Courier New"/>
      <w:b w:val="0"/>
      <w:bCs w:val="0"/>
      <w:kern w:val="2"/>
      <w:sz w:val="21"/>
      <w:szCs w:val="21"/>
    </w:rPr>
  </w:style>
  <w:style w:type="paragraph" w:styleId="af">
    <w:name w:val="Date"/>
    <w:basedOn w:val="a1"/>
    <w:next w:val="a1"/>
    <w:link w:val="Char8"/>
    <w:uiPriority w:val="99"/>
    <w:semiHidden/>
    <w:unhideWhenUsed/>
    <w:qFormat/>
    <w:rsid w:val="002A5A5E"/>
    <w:pPr>
      <w:ind w:leftChars="2500" w:left="100"/>
    </w:pPr>
    <w:rPr>
      <w:rFonts w:asciiTheme="minorHAnsi" w:eastAsiaTheme="minorEastAsia" w:hAnsiTheme="minorHAnsi" w:cstheme="minorBidi"/>
    </w:rPr>
  </w:style>
  <w:style w:type="paragraph" w:styleId="22">
    <w:name w:val="Body Text Indent 2"/>
    <w:basedOn w:val="10"/>
    <w:next w:val="a1"/>
    <w:link w:val="2Char1"/>
    <w:autoRedefine/>
    <w:unhideWhenUsed/>
    <w:qFormat/>
    <w:rsid w:val="002A5A5E"/>
    <w:pPr>
      <w:keepNext w:val="0"/>
      <w:keepLines w:val="0"/>
      <w:spacing w:before="0" w:after="120" w:line="480" w:lineRule="auto"/>
      <w:ind w:leftChars="200" w:left="420" w:firstLineChars="177" w:firstLine="425"/>
      <w:outlineLvl w:val="9"/>
    </w:pPr>
    <w:rPr>
      <w:rFonts w:ascii="Calibri" w:eastAsiaTheme="minorEastAsia" w:hAnsi="Calibri" w:cstheme="minorBidi"/>
      <w:b w:val="0"/>
      <w:bCs w:val="0"/>
      <w:color w:val="000000"/>
      <w:kern w:val="2"/>
      <w:sz w:val="21"/>
      <w:szCs w:val="22"/>
    </w:rPr>
  </w:style>
  <w:style w:type="paragraph" w:styleId="af0">
    <w:name w:val="endnote text"/>
    <w:basedOn w:val="a1"/>
    <w:link w:val="Char9"/>
    <w:uiPriority w:val="99"/>
    <w:semiHidden/>
    <w:unhideWhenUsed/>
    <w:qFormat/>
    <w:rsid w:val="002A5A5E"/>
    <w:pPr>
      <w:snapToGrid w:val="0"/>
      <w:jc w:val="left"/>
    </w:pPr>
  </w:style>
  <w:style w:type="paragraph" w:styleId="af1">
    <w:name w:val="Balloon Text"/>
    <w:basedOn w:val="a1"/>
    <w:link w:val="Chara"/>
    <w:uiPriority w:val="99"/>
    <w:unhideWhenUsed/>
    <w:qFormat/>
    <w:rsid w:val="002A5A5E"/>
    <w:rPr>
      <w:sz w:val="18"/>
      <w:szCs w:val="18"/>
    </w:rPr>
  </w:style>
  <w:style w:type="paragraph" w:styleId="af2">
    <w:name w:val="footer"/>
    <w:basedOn w:val="a1"/>
    <w:link w:val="Charb"/>
    <w:uiPriority w:val="99"/>
    <w:unhideWhenUsed/>
    <w:qFormat/>
    <w:rsid w:val="002A5A5E"/>
    <w:pPr>
      <w:tabs>
        <w:tab w:val="center" w:pos="4153"/>
        <w:tab w:val="right" w:pos="8306"/>
      </w:tabs>
      <w:snapToGrid w:val="0"/>
      <w:jc w:val="left"/>
    </w:pPr>
    <w:rPr>
      <w:sz w:val="18"/>
      <w:szCs w:val="18"/>
    </w:rPr>
  </w:style>
  <w:style w:type="paragraph" w:styleId="af3">
    <w:name w:val="header"/>
    <w:basedOn w:val="a1"/>
    <w:link w:val="Charc"/>
    <w:uiPriority w:val="99"/>
    <w:unhideWhenUsed/>
    <w:qFormat/>
    <w:rsid w:val="002A5A5E"/>
    <w:pPr>
      <w:pBdr>
        <w:bottom w:val="single" w:sz="6" w:space="1" w:color="auto"/>
      </w:pBdr>
      <w:tabs>
        <w:tab w:val="center" w:pos="4153"/>
        <w:tab w:val="right" w:pos="8306"/>
      </w:tabs>
      <w:snapToGrid w:val="0"/>
      <w:jc w:val="center"/>
    </w:pPr>
    <w:rPr>
      <w:sz w:val="18"/>
      <w:szCs w:val="18"/>
    </w:rPr>
  </w:style>
  <w:style w:type="paragraph" w:styleId="11">
    <w:name w:val="toc 1"/>
    <w:basedOn w:val="a1"/>
    <w:next w:val="a1"/>
    <w:autoRedefine/>
    <w:uiPriority w:val="39"/>
    <w:unhideWhenUsed/>
    <w:qFormat/>
    <w:rsid w:val="002A5A5E"/>
    <w:pPr>
      <w:tabs>
        <w:tab w:val="right" w:leader="dot" w:pos="8302"/>
      </w:tabs>
      <w:spacing w:line="360" w:lineRule="auto"/>
      <w:contextualSpacing/>
      <w:jc w:val="center"/>
    </w:pPr>
    <w:rPr>
      <w:rFonts w:eastAsiaTheme="minorEastAsia"/>
      <w:b/>
      <w:bCs/>
      <w:iCs/>
      <w:kern w:val="0"/>
      <w:sz w:val="36"/>
      <w:szCs w:val="36"/>
    </w:rPr>
  </w:style>
  <w:style w:type="paragraph" w:styleId="af4">
    <w:name w:val="Subtitle"/>
    <w:basedOn w:val="a1"/>
    <w:next w:val="a1"/>
    <w:link w:val="Chard"/>
    <w:uiPriority w:val="11"/>
    <w:qFormat/>
    <w:rsid w:val="002A5A5E"/>
    <w:pPr>
      <w:spacing w:before="200" w:after="200" w:line="360" w:lineRule="auto"/>
      <w:ind w:firstLineChars="177" w:firstLine="496"/>
      <w:jc w:val="left"/>
      <w:outlineLvl w:val="1"/>
    </w:pPr>
    <w:rPr>
      <w:rFonts w:ascii="黑体" w:eastAsia="黑体" w:hAnsi="黑体"/>
      <w:bCs/>
      <w:kern w:val="44"/>
      <w:sz w:val="28"/>
      <w:szCs w:val="28"/>
    </w:rPr>
  </w:style>
  <w:style w:type="paragraph" w:styleId="af5">
    <w:name w:val="List"/>
    <w:basedOn w:val="a1"/>
    <w:uiPriority w:val="99"/>
    <w:unhideWhenUsed/>
    <w:qFormat/>
    <w:rsid w:val="002A5A5E"/>
    <w:pPr>
      <w:ind w:left="200" w:hangingChars="200" w:hanging="200"/>
      <w:contextualSpacing/>
    </w:pPr>
  </w:style>
  <w:style w:type="paragraph" w:styleId="af6">
    <w:name w:val="footnote text"/>
    <w:basedOn w:val="a1"/>
    <w:link w:val="Char10"/>
    <w:uiPriority w:val="99"/>
    <w:unhideWhenUsed/>
    <w:rsid w:val="002A5A5E"/>
    <w:pPr>
      <w:widowControl/>
      <w:jc w:val="left"/>
    </w:pPr>
    <w:rPr>
      <w:rFonts w:ascii="Calibri" w:hAnsi="Calibri"/>
      <w:szCs w:val="22"/>
    </w:rPr>
  </w:style>
  <w:style w:type="paragraph" w:styleId="32">
    <w:name w:val="Body Text Indent 3"/>
    <w:basedOn w:val="a1"/>
    <w:link w:val="3Char1"/>
    <w:semiHidden/>
    <w:unhideWhenUsed/>
    <w:qFormat/>
    <w:rsid w:val="002A5A5E"/>
    <w:pPr>
      <w:spacing w:after="120"/>
      <w:ind w:leftChars="200" w:left="420"/>
    </w:pPr>
    <w:rPr>
      <w:rFonts w:ascii="Calibri" w:eastAsiaTheme="minorEastAsia" w:hAnsi="Calibri" w:cstheme="minorBidi"/>
      <w:color w:val="000000"/>
      <w:sz w:val="16"/>
      <w:szCs w:val="16"/>
    </w:rPr>
  </w:style>
  <w:style w:type="paragraph" w:styleId="23">
    <w:name w:val="toc 2"/>
    <w:basedOn w:val="a1"/>
    <w:next w:val="a1"/>
    <w:autoRedefine/>
    <w:uiPriority w:val="39"/>
    <w:unhideWhenUsed/>
    <w:qFormat/>
    <w:rsid w:val="002A5A5E"/>
    <w:pPr>
      <w:spacing w:before="120" w:line="500" w:lineRule="atLeast"/>
      <w:ind w:left="210" w:firstLineChars="177" w:firstLine="425"/>
      <w:jc w:val="left"/>
    </w:pPr>
    <w:rPr>
      <w:b/>
      <w:bCs/>
      <w:color w:val="000000"/>
      <w:sz w:val="24"/>
    </w:rPr>
  </w:style>
  <w:style w:type="paragraph" w:styleId="24">
    <w:name w:val="Body Text 2"/>
    <w:basedOn w:val="a1"/>
    <w:link w:val="2Char2"/>
    <w:uiPriority w:val="99"/>
    <w:unhideWhenUsed/>
    <w:qFormat/>
    <w:rsid w:val="002A5A5E"/>
    <w:pPr>
      <w:spacing w:after="120" w:line="480" w:lineRule="auto"/>
    </w:pPr>
    <w:rPr>
      <w:rFonts w:asciiTheme="minorHAnsi" w:eastAsiaTheme="minorEastAsia" w:hAnsiTheme="minorHAnsi" w:cstheme="minorBidi"/>
      <w:sz w:val="24"/>
    </w:rPr>
  </w:style>
  <w:style w:type="paragraph" w:styleId="af7">
    <w:name w:val="Message Header"/>
    <w:basedOn w:val="a1"/>
    <w:next w:val="a1"/>
    <w:link w:val="Chare"/>
    <w:autoRedefine/>
    <w:qFormat/>
    <w:rsid w:val="002A5A5E"/>
    <w:pPr>
      <w:pBdr>
        <w:top w:val="single" w:sz="6" w:space="1" w:color="auto"/>
        <w:left w:val="single" w:sz="6" w:space="1" w:color="auto"/>
        <w:bottom w:val="single" w:sz="6" w:space="1" w:color="auto"/>
        <w:right w:val="single" w:sz="6" w:space="1" w:color="auto"/>
      </w:pBdr>
      <w:shd w:val="pct20" w:color="auto" w:fill="auto"/>
      <w:ind w:leftChars="500" w:left="1000" w:hangingChars="500" w:hanging="500"/>
    </w:pPr>
    <w:rPr>
      <w:rFonts w:ascii="Arial" w:hAnsi="Arial"/>
      <w:sz w:val="24"/>
    </w:rPr>
  </w:style>
  <w:style w:type="paragraph" w:styleId="HTML">
    <w:name w:val="HTML Preformatted"/>
    <w:basedOn w:val="a1"/>
    <w:link w:val="HTMLChar1"/>
    <w:uiPriority w:val="99"/>
    <w:unhideWhenUsed/>
    <w:qFormat/>
    <w:rsid w:val="002A5A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atLeast"/>
      <w:ind w:firstLineChars="177" w:firstLine="425"/>
      <w:jc w:val="left"/>
    </w:pPr>
    <w:rPr>
      <w:rFonts w:ascii="宋体" w:hAnsi="宋体" w:cs="宋体"/>
      <w:sz w:val="24"/>
    </w:rPr>
  </w:style>
  <w:style w:type="paragraph" w:styleId="af8">
    <w:name w:val="Normal (Web)"/>
    <w:basedOn w:val="10"/>
    <w:next w:val="a1"/>
    <w:autoRedefine/>
    <w:uiPriority w:val="99"/>
    <w:unhideWhenUsed/>
    <w:qFormat/>
    <w:rsid w:val="002A5A5E"/>
    <w:pPr>
      <w:keepNext w:val="0"/>
      <w:keepLines w:val="0"/>
      <w:spacing w:before="0" w:after="0" w:line="240" w:lineRule="auto"/>
      <w:ind w:firstLineChars="200" w:firstLine="420"/>
      <w:outlineLvl w:val="9"/>
    </w:pPr>
    <w:rPr>
      <w:rFonts w:ascii="Calibri" w:hAnsi="Calibri"/>
      <w:b w:val="0"/>
      <w:bCs w:val="0"/>
      <w:kern w:val="2"/>
      <w:sz w:val="21"/>
      <w:szCs w:val="22"/>
    </w:rPr>
  </w:style>
  <w:style w:type="paragraph" w:styleId="af9">
    <w:name w:val="Title"/>
    <w:basedOn w:val="a1"/>
    <w:link w:val="Char11"/>
    <w:qFormat/>
    <w:rsid w:val="002A5A5E"/>
    <w:pPr>
      <w:tabs>
        <w:tab w:val="left" w:pos="5400"/>
      </w:tabs>
      <w:snapToGrid w:val="0"/>
      <w:spacing w:before="200" w:after="200" w:line="360" w:lineRule="auto"/>
      <w:ind w:firstLineChars="177" w:firstLine="581"/>
      <w:jc w:val="left"/>
      <w:outlineLvl w:val="0"/>
    </w:pPr>
    <w:rPr>
      <w:rFonts w:ascii="黑体" w:eastAsia="黑体" w:hAnsi="黑体"/>
      <w:color w:val="000000"/>
      <w:spacing w:val="4"/>
      <w:kern w:val="44"/>
      <w:sz w:val="32"/>
      <w:szCs w:val="32"/>
    </w:rPr>
  </w:style>
  <w:style w:type="paragraph" w:styleId="afa">
    <w:name w:val="annotation subject"/>
    <w:basedOn w:val="a9"/>
    <w:next w:val="a9"/>
    <w:link w:val="Charf"/>
    <w:uiPriority w:val="99"/>
    <w:semiHidden/>
    <w:unhideWhenUsed/>
    <w:qFormat/>
    <w:rsid w:val="002A5A5E"/>
    <w:rPr>
      <w:b/>
      <w:bCs/>
    </w:rPr>
  </w:style>
  <w:style w:type="paragraph" w:styleId="afb">
    <w:name w:val="Body Text First Indent"/>
    <w:basedOn w:val="ab"/>
    <w:next w:val="a1"/>
    <w:link w:val="Charf0"/>
    <w:autoRedefine/>
    <w:unhideWhenUsed/>
    <w:qFormat/>
    <w:rsid w:val="002A5A5E"/>
    <w:pPr>
      <w:spacing w:after="0" w:line="360" w:lineRule="auto"/>
      <w:ind w:firstLineChars="200" w:firstLine="480"/>
    </w:pPr>
    <w:rPr>
      <w:color w:val="FF0000"/>
      <w:sz w:val="24"/>
    </w:rPr>
  </w:style>
  <w:style w:type="paragraph" w:styleId="25">
    <w:name w:val="Body Text First Indent 2"/>
    <w:basedOn w:val="ac"/>
    <w:link w:val="2Char3"/>
    <w:semiHidden/>
    <w:unhideWhenUsed/>
    <w:qFormat/>
    <w:rsid w:val="002A5A5E"/>
    <w:pPr>
      <w:spacing w:after="120"/>
      <w:ind w:leftChars="200" w:left="420" w:firstLine="420"/>
    </w:pPr>
    <w:rPr>
      <w:sz w:val="28"/>
    </w:rPr>
  </w:style>
  <w:style w:type="table" w:styleId="afc">
    <w:name w:val="Table Grid"/>
    <w:basedOn w:val="a3"/>
    <w:qFormat/>
    <w:rsid w:val="002A5A5E"/>
    <w:pPr>
      <w:widowControl w:val="0"/>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d">
    <w:name w:val="Table Elegant"/>
    <w:basedOn w:val="a3"/>
    <w:semiHidden/>
    <w:unhideWhenUsed/>
    <w:qFormat/>
    <w:rsid w:val="002A5A5E"/>
    <w:pPr>
      <w:widowControl w:val="0"/>
    </w:pPr>
    <w:rPr>
      <w:rFonts w:ascii="Times New Roman" w:eastAsia="宋体"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op w:val="nil"/>
          <w:left w:val="nil"/>
          <w:bottom w:val="nil"/>
          <w:right w:val="nil"/>
          <w:insideH w:val="nil"/>
          <w:insideV w:val="nil"/>
          <w:tl2br w:val="nil"/>
          <w:tr2bl w:val="nil"/>
        </w:tcBorders>
      </w:tcPr>
    </w:tblStylePr>
  </w:style>
  <w:style w:type="table" w:styleId="12">
    <w:name w:val="Table Grid 1"/>
    <w:basedOn w:val="a3"/>
    <w:semiHidden/>
    <w:unhideWhenUsed/>
    <w:qFormat/>
    <w:rsid w:val="002A5A5E"/>
    <w:pPr>
      <w:widowControl w:val="0"/>
    </w:pPr>
    <w:rPr>
      <w:rFonts w:ascii="Times New Roman" w:eastAsia="宋体" w:hAnsi="Times New Roman"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64">
    <w:name w:val="Table Grid 6"/>
    <w:basedOn w:val="a3"/>
    <w:semiHidden/>
    <w:unhideWhenUsed/>
    <w:qFormat/>
    <w:rsid w:val="002A5A5E"/>
    <w:pPr>
      <w:widowControl w:val="0"/>
      <w:spacing w:line="440" w:lineRule="exact"/>
      <w:ind w:firstLineChars="200" w:firstLine="496"/>
    </w:pPr>
    <w:rPr>
      <w:rFonts w:ascii="Times New Roman" w:eastAsia="宋体" w:hAnsi="Times New Roman" w:cs="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character" w:styleId="afe">
    <w:name w:val="Strong"/>
    <w:basedOn w:val="a2"/>
    <w:uiPriority w:val="22"/>
    <w:qFormat/>
    <w:rsid w:val="002A5A5E"/>
    <w:rPr>
      <w:b/>
      <w:bCs/>
    </w:rPr>
  </w:style>
  <w:style w:type="character" w:styleId="aff">
    <w:name w:val="endnote reference"/>
    <w:basedOn w:val="a2"/>
    <w:uiPriority w:val="99"/>
    <w:semiHidden/>
    <w:unhideWhenUsed/>
    <w:qFormat/>
    <w:rsid w:val="002A5A5E"/>
    <w:rPr>
      <w:vertAlign w:val="superscript"/>
    </w:rPr>
  </w:style>
  <w:style w:type="character" w:styleId="aff0">
    <w:name w:val="page number"/>
    <w:qFormat/>
    <w:rsid w:val="002A5A5E"/>
    <w:rPr>
      <w:rFonts w:cs="Times New Roman"/>
    </w:rPr>
  </w:style>
  <w:style w:type="character" w:styleId="aff1">
    <w:name w:val="FollowedHyperlink"/>
    <w:basedOn w:val="a2"/>
    <w:uiPriority w:val="99"/>
    <w:semiHidden/>
    <w:unhideWhenUsed/>
    <w:qFormat/>
    <w:rsid w:val="002A5A5E"/>
    <w:rPr>
      <w:color w:val="800080" w:themeColor="followedHyperlink"/>
      <w:u w:val="single"/>
    </w:rPr>
  </w:style>
  <w:style w:type="character" w:styleId="HTML0">
    <w:name w:val="HTML Typewriter"/>
    <w:semiHidden/>
    <w:unhideWhenUsed/>
    <w:qFormat/>
    <w:rsid w:val="002A5A5E"/>
    <w:rPr>
      <w:rFonts w:ascii="宋体" w:eastAsia="宋体" w:hAnsi="宋体" w:cs="宋体" w:hint="eastAsia"/>
      <w:sz w:val="24"/>
      <w:szCs w:val="24"/>
    </w:rPr>
  </w:style>
  <w:style w:type="character" w:styleId="aff2">
    <w:name w:val="Hyperlink"/>
    <w:uiPriority w:val="99"/>
    <w:unhideWhenUsed/>
    <w:qFormat/>
    <w:rsid w:val="002A5A5E"/>
    <w:rPr>
      <w:color w:val="0000FF"/>
      <w:u w:val="single"/>
    </w:rPr>
  </w:style>
  <w:style w:type="character" w:styleId="aff3">
    <w:name w:val="annotation reference"/>
    <w:uiPriority w:val="99"/>
    <w:semiHidden/>
    <w:unhideWhenUsed/>
    <w:qFormat/>
    <w:rsid w:val="002A5A5E"/>
    <w:rPr>
      <w:sz w:val="21"/>
      <w:szCs w:val="21"/>
    </w:rPr>
  </w:style>
  <w:style w:type="character" w:customStyle="1" w:styleId="1Char">
    <w:name w:val="标题 1 Char"/>
    <w:basedOn w:val="a2"/>
    <w:link w:val="10"/>
    <w:qFormat/>
    <w:rsid w:val="002A5A5E"/>
    <w:rPr>
      <w:rFonts w:ascii="Times New Roman" w:eastAsia="宋体" w:hAnsi="Times New Roman" w:cs="Times New Roman"/>
      <w:b/>
      <w:bCs/>
      <w:kern w:val="44"/>
      <w:sz w:val="44"/>
      <w:szCs w:val="44"/>
    </w:rPr>
  </w:style>
  <w:style w:type="character" w:customStyle="1" w:styleId="2Char">
    <w:name w:val="标题 2 Char"/>
    <w:basedOn w:val="a2"/>
    <w:link w:val="20"/>
    <w:uiPriority w:val="99"/>
    <w:semiHidden/>
    <w:qFormat/>
    <w:rsid w:val="002A5A5E"/>
    <w:rPr>
      <w:rFonts w:asciiTheme="majorHAnsi" w:eastAsiaTheme="majorEastAsia" w:hAnsiTheme="majorHAnsi" w:cstheme="majorBidi"/>
      <w:b/>
      <w:bCs/>
      <w:sz w:val="32"/>
      <w:szCs w:val="32"/>
    </w:rPr>
  </w:style>
  <w:style w:type="character" w:customStyle="1" w:styleId="3Char">
    <w:name w:val="标题 3 Char"/>
    <w:basedOn w:val="a2"/>
    <w:link w:val="30"/>
    <w:uiPriority w:val="99"/>
    <w:qFormat/>
    <w:rsid w:val="002A5A5E"/>
    <w:rPr>
      <w:rFonts w:ascii="宋体" w:eastAsia="宋体" w:hAnsi="宋体" w:cs="宋体"/>
      <w:sz w:val="32"/>
      <w:szCs w:val="32"/>
    </w:rPr>
  </w:style>
  <w:style w:type="character" w:customStyle="1" w:styleId="4Char">
    <w:name w:val="标题 4 Char"/>
    <w:basedOn w:val="a2"/>
    <w:link w:val="4"/>
    <w:qFormat/>
    <w:rsid w:val="002A5A5E"/>
    <w:rPr>
      <w:rFonts w:asciiTheme="majorHAnsi" w:eastAsiaTheme="majorEastAsia" w:hAnsiTheme="majorHAnsi" w:cstheme="majorBidi"/>
      <w:b/>
      <w:bCs/>
      <w:sz w:val="28"/>
      <w:szCs w:val="28"/>
    </w:rPr>
  </w:style>
  <w:style w:type="character" w:customStyle="1" w:styleId="5Char">
    <w:name w:val="标题 5 Char"/>
    <w:basedOn w:val="a2"/>
    <w:link w:val="50"/>
    <w:semiHidden/>
    <w:qFormat/>
    <w:rsid w:val="002A5A5E"/>
    <w:rPr>
      <w:rFonts w:ascii="Times New Roman" w:eastAsia="宋体" w:hAnsi="Times New Roman" w:cs="Times New Roman"/>
      <w:color w:val="000000"/>
      <w:kern w:val="0"/>
      <w:sz w:val="28"/>
      <w:szCs w:val="28"/>
    </w:rPr>
  </w:style>
  <w:style w:type="character" w:customStyle="1" w:styleId="6Char">
    <w:name w:val="标题 6 Char"/>
    <w:basedOn w:val="a2"/>
    <w:link w:val="62"/>
    <w:semiHidden/>
    <w:qFormat/>
    <w:rsid w:val="002A5A5E"/>
    <w:rPr>
      <w:rFonts w:ascii="Arial" w:eastAsia="黑体" w:hAnsi="Arial" w:cs="Times New Roman"/>
      <w:color w:val="000000"/>
      <w:kern w:val="0"/>
      <w:sz w:val="24"/>
      <w:szCs w:val="24"/>
    </w:rPr>
  </w:style>
  <w:style w:type="character" w:customStyle="1" w:styleId="7Char">
    <w:name w:val="标题 7 Char"/>
    <w:basedOn w:val="a2"/>
    <w:link w:val="70"/>
    <w:uiPriority w:val="99"/>
    <w:semiHidden/>
    <w:qFormat/>
    <w:rsid w:val="002A5A5E"/>
    <w:rPr>
      <w:rFonts w:ascii="Times New Roman" w:eastAsia="宋体" w:hAnsi="Times New Roman" w:cs="Times New Roman"/>
      <w:b/>
      <w:bCs/>
      <w:color w:val="000000"/>
      <w:kern w:val="0"/>
      <w:sz w:val="24"/>
      <w:szCs w:val="24"/>
    </w:rPr>
  </w:style>
  <w:style w:type="character" w:customStyle="1" w:styleId="8Char">
    <w:name w:val="标题 8 Char"/>
    <w:basedOn w:val="a2"/>
    <w:link w:val="81"/>
    <w:uiPriority w:val="99"/>
    <w:semiHidden/>
    <w:qFormat/>
    <w:rsid w:val="002A5A5E"/>
    <w:rPr>
      <w:rFonts w:ascii="Arial" w:eastAsia="黑体" w:hAnsi="Arial" w:cs="Times New Roman"/>
      <w:color w:val="000000"/>
      <w:kern w:val="0"/>
      <w:sz w:val="24"/>
      <w:szCs w:val="24"/>
    </w:rPr>
  </w:style>
  <w:style w:type="character" w:customStyle="1" w:styleId="9Char">
    <w:name w:val="标题 9 Char"/>
    <w:basedOn w:val="a2"/>
    <w:link w:val="90"/>
    <w:uiPriority w:val="99"/>
    <w:semiHidden/>
    <w:qFormat/>
    <w:rsid w:val="002A5A5E"/>
    <w:rPr>
      <w:rFonts w:ascii="Times New Roman" w:eastAsia="宋体" w:hAnsi="Times New Roman" w:cs="Times New Roman"/>
      <w:color w:val="000000"/>
      <w:kern w:val="0"/>
      <w:sz w:val="24"/>
      <w:szCs w:val="21"/>
    </w:rPr>
  </w:style>
  <w:style w:type="character" w:customStyle="1" w:styleId="Charb">
    <w:name w:val="页脚 Char"/>
    <w:basedOn w:val="a2"/>
    <w:link w:val="af2"/>
    <w:uiPriority w:val="99"/>
    <w:qFormat/>
    <w:rsid w:val="002A5A5E"/>
    <w:rPr>
      <w:rFonts w:ascii="Times New Roman" w:eastAsia="宋体" w:hAnsi="Times New Roman" w:cs="Times New Roman"/>
      <w:sz w:val="18"/>
      <w:szCs w:val="18"/>
    </w:rPr>
  </w:style>
  <w:style w:type="character" w:customStyle="1" w:styleId="Char11">
    <w:name w:val="标题 Char1"/>
    <w:basedOn w:val="a2"/>
    <w:link w:val="af9"/>
    <w:uiPriority w:val="10"/>
    <w:qFormat/>
    <w:locked/>
    <w:rsid w:val="002A5A5E"/>
    <w:rPr>
      <w:rFonts w:ascii="黑体" w:eastAsia="黑体" w:hAnsi="黑体" w:cs="Times New Roman"/>
      <w:color w:val="000000"/>
      <w:spacing w:val="4"/>
      <w:kern w:val="44"/>
      <w:sz w:val="32"/>
      <w:szCs w:val="32"/>
    </w:rPr>
  </w:style>
  <w:style w:type="character" w:customStyle="1" w:styleId="Charf1">
    <w:name w:val="标题 Char"/>
    <w:basedOn w:val="a2"/>
    <w:uiPriority w:val="10"/>
    <w:qFormat/>
    <w:rsid w:val="002A5A5E"/>
    <w:rPr>
      <w:rFonts w:asciiTheme="majorHAnsi" w:eastAsia="宋体" w:hAnsiTheme="majorHAnsi" w:cstheme="majorBidi"/>
      <w:b/>
      <w:bCs/>
      <w:sz w:val="32"/>
      <w:szCs w:val="32"/>
    </w:rPr>
  </w:style>
  <w:style w:type="character" w:customStyle="1" w:styleId="Chard">
    <w:name w:val="副标题 Char"/>
    <w:basedOn w:val="a2"/>
    <w:link w:val="af4"/>
    <w:uiPriority w:val="11"/>
    <w:qFormat/>
    <w:rsid w:val="002A5A5E"/>
    <w:rPr>
      <w:rFonts w:ascii="黑体" w:eastAsia="黑体" w:hAnsi="黑体" w:cs="Times New Roman"/>
      <w:bCs/>
      <w:kern w:val="44"/>
      <w:sz w:val="28"/>
      <w:szCs w:val="28"/>
    </w:rPr>
  </w:style>
  <w:style w:type="character" w:customStyle="1" w:styleId="Charf2">
    <w:name w:val="【正文】 Char"/>
    <w:basedOn w:val="a2"/>
    <w:link w:val="aff4"/>
    <w:qFormat/>
    <w:locked/>
    <w:rsid w:val="002A5A5E"/>
    <w:rPr>
      <w:sz w:val="24"/>
      <w:szCs w:val="24"/>
    </w:rPr>
  </w:style>
  <w:style w:type="paragraph" w:customStyle="1" w:styleId="aff4">
    <w:name w:val="【正文】"/>
    <w:basedOn w:val="a1"/>
    <w:link w:val="Charf2"/>
    <w:qFormat/>
    <w:rsid w:val="002A5A5E"/>
    <w:pPr>
      <w:widowControl/>
      <w:adjustRightInd w:val="0"/>
      <w:snapToGrid w:val="0"/>
      <w:spacing w:line="360" w:lineRule="auto"/>
      <w:ind w:firstLineChars="200" w:firstLine="480"/>
      <w:jc w:val="left"/>
    </w:pPr>
    <w:rPr>
      <w:rFonts w:asciiTheme="minorHAnsi" w:eastAsiaTheme="minorEastAsia" w:hAnsiTheme="minorHAnsi" w:cstheme="minorBidi"/>
      <w:sz w:val="24"/>
    </w:rPr>
  </w:style>
  <w:style w:type="character" w:customStyle="1" w:styleId="Charf3">
    <w:name w:val="【表头】 Char"/>
    <w:link w:val="aff5"/>
    <w:qFormat/>
    <w:locked/>
    <w:rsid w:val="002A5A5E"/>
    <w:rPr>
      <w:rFonts w:ascii="宋体" w:eastAsia="宋体" w:hAnsi="宋体"/>
      <w:b/>
      <w:szCs w:val="21"/>
    </w:rPr>
  </w:style>
  <w:style w:type="paragraph" w:customStyle="1" w:styleId="aff5">
    <w:name w:val="【表头】"/>
    <w:basedOn w:val="a1"/>
    <w:link w:val="Charf3"/>
    <w:qFormat/>
    <w:rsid w:val="002A5A5E"/>
    <w:pPr>
      <w:spacing w:line="500" w:lineRule="atLeast"/>
      <w:ind w:firstLineChars="177" w:firstLine="425"/>
      <w:jc w:val="center"/>
    </w:pPr>
    <w:rPr>
      <w:rFonts w:ascii="宋体" w:hAnsi="宋体" w:cstheme="minorBidi"/>
      <w:b/>
      <w:szCs w:val="21"/>
    </w:rPr>
  </w:style>
  <w:style w:type="table" w:customStyle="1" w:styleId="aff6">
    <w:name w:val="环评表格"/>
    <w:basedOn w:val="a3"/>
    <w:qFormat/>
    <w:rsid w:val="002A5A5E"/>
    <w:pPr>
      <w:snapToGrid w:val="0"/>
      <w:jc w:val="center"/>
    </w:pPr>
    <w:rPr>
      <w:rFonts w:ascii="Times New Roman" w:eastAsia="宋体" w:hAnsi="Times New Roman" w:cs="Times New Roman"/>
    </w:rPr>
    <w:tblPr>
      <w:tblInd w:w="0" w:type="dxa"/>
      <w:tblBorders>
        <w:top w:val="single" w:sz="12" w:space="0" w:color="auto"/>
        <w:bottom w:val="single" w:sz="12"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character" w:customStyle="1" w:styleId="Char2">
    <w:name w:val="文档结构图 Char"/>
    <w:basedOn w:val="a2"/>
    <w:link w:val="a8"/>
    <w:qFormat/>
    <w:rsid w:val="002A5A5E"/>
    <w:rPr>
      <w:rFonts w:ascii="宋体" w:eastAsia="宋体" w:hAnsi="Times New Roman" w:cs="Times New Roman"/>
      <w:sz w:val="18"/>
      <w:szCs w:val="18"/>
    </w:rPr>
  </w:style>
  <w:style w:type="character" w:customStyle="1" w:styleId="Chara">
    <w:name w:val="批注框文本 Char"/>
    <w:basedOn w:val="a2"/>
    <w:link w:val="af1"/>
    <w:uiPriority w:val="99"/>
    <w:qFormat/>
    <w:rsid w:val="002A5A5E"/>
    <w:rPr>
      <w:rFonts w:ascii="Times New Roman" w:eastAsia="宋体" w:hAnsi="Times New Roman" w:cs="Times New Roman"/>
      <w:sz w:val="18"/>
      <w:szCs w:val="18"/>
    </w:rPr>
  </w:style>
  <w:style w:type="character" w:customStyle="1" w:styleId="Charc">
    <w:name w:val="页眉 Char"/>
    <w:basedOn w:val="a2"/>
    <w:link w:val="af3"/>
    <w:uiPriority w:val="99"/>
    <w:qFormat/>
    <w:rsid w:val="002A5A5E"/>
    <w:rPr>
      <w:rFonts w:ascii="Times New Roman" w:eastAsia="宋体" w:hAnsi="Times New Roman" w:cs="Times New Roman"/>
      <w:sz w:val="18"/>
      <w:szCs w:val="18"/>
    </w:rPr>
  </w:style>
  <w:style w:type="character" w:customStyle="1" w:styleId="fontstyle01">
    <w:name w:val="fontstyle01"/>
    <w:basedOn w:val="a2"/>
    <w:qFormat/>
    <w:rsid w:val="002A5A5E"/>
    <w:rPr>
      <w:rFonts w:ascii="宋体" w:eastAsia="宋体" w:hAnsi="宋体" w:hint="eastAsia"/>
      <w:color w:val="000000"/>
      <w:sz w:val="24"/>
      <w:szCs w:val="24"/>
    </w:rPr>
  </w:style>
  <w:style w:type="character" w:customStyle="1" w:styleId="fontstyle11">
    <w:name w:val="fontstyle11"/>
    <w:basedOn w:val="a2"/>
    <w:qFormat/>
    <w:rsid w:val="002A5A5E"/>
    <w:rPr>
      <w:rFonts w:ascii="TimesNewRomanPSMT" w:hAnsi="TimesNewRomanPSMT" w:hint="default"/>
      <w:color w:val="000000"/>
      <w:sz w:val="24"/>
      <w:szCs w:val="24"/>
    </w:rPr>
  </w:style>
  <w:style w:type="character" w:customStyle="1" w:styleId="CharChar">
    <w:name w:val="【表中文字】 Char Char"/>
    <w:link w:val="aff7"/>
    <w:qFormat/>
    <w:locked/>
    <w:rsid w:val="002A5A5E"/>
    <w:rPr>
      <w:rFonts w:ascii="Times New Roman" w:eastAsia="宋体" w:hAnsiTheme="minorEastAsia" w:cs="Times New Roman"/>
      <w:szCs w:val="21"/>
    </w:rPr>
  </w:style>
  <w:style w:type="paragraph" w:customStyle="1" w:styleId="aff7">
    <w:name w:val="【表中文字】"/>
    <w:basedOn w:val="a1"/>
    <w:link w:val="CharChar"/>
    <w:qFormat/>
    <w:rsid w:val="002A5A5E"/>
    <w:pPr>
      <w:jc w:val="center"/>
    </w:pPr>
    <w:rPr>
      <w:rFonts w:hAnsiTheme="minorEastAsia"/>
      <w:szCs w:val="21"/>
    </w:rPr>
  </w:style>
  <w:style w:type="paragraph" w:customStyle="1" w:styleId="p17">
    <w:name w:val="p17"/>
    <w:basedOn w:val="a1"/>
    <w:qFormat/>
    <w:rsid w:val="002A5A5E"/>
    <w:pPr>
      <w:widowControl/>
      <w:spacing w:line="560" w:lineRule="atLeast"/>
    </w:pPr>
    <w:rPr>
      <w:rFonts w:ascii="Arial" w:hAnsi="Arial"/>
      <w:b/>
      <w:kern w:val="0"/>
      <w:sz w:val="36"/>
      <w:szCs w:val="20"/>
    </w:rPr>
  </w:style>
  <w:style w:type="table" w:customStyle="1" w:styleId="aff8">
    <w:name w:val="&gt;&gt; 表格样式 &lt;&lt;"/>
    <w:basedOn w:val="a3"/>
    <w:qFormat/>
    <w:rsid w:val="002A5A5E"/>
    <w:pPr>
      <w:keepLines/>
      <w:jc w:val="center"/>
    </w:pPr>
    <w:rPr>
      <w:rFonts w:ascii="Times New Roman" w:eastAsia="宋体" w:hAnsi="Times New Roman" w:cs="Times New Roman"/>
      <w:szCs w:val="21"/>
    </w:rPr>
    <w:tblPr>
      <w:tblInd w:w="0" w:type="dxa"/>
      <w:tblBorders>
        <w:top w:val="single" w:sz="12" w:space="0" w:color="auto"/>
        <w:bottom w:val="single" w:sz="12" w:space="0" w:color="auto"/>
        <w:insideH w:val="single" w:sz="8" w:space="0" w:color="auto"/>
        <w:insideV w:val="single" w:sz="8" w:space="0" w:color="auto"/>
      </w:tblBorders>
      <w:tblCellMar>
        <w:top w:w="0" w:type="dxa"/>
        <w:left w:w="108" w:type="dxa"/>
        <w:bottom w:w="0" w:type="dxa"/>
        <w:right w:w="108" w:type="dxa"/>
      </w:tblCellMar>
    </w:tblPr>
    <w:tcPr>
      <w:vAlign w:val="center"/>
    </w:tcPr>
    <w:tblStylePr w:type="firstRow">
      <w:rPr>
        <w:rFonts w:ascii="宋体" w:eastAsia="宋体" w:hAnsi="宋体" w:hint="eastAsia"/>
        <w:b w:val="0"/>
        <w:sz w:val="21"/>
        <w:szCs w:val="21"/>
      </w:rPr>
      <w:tblPr/>
      <w:tcPr>
        <w:tcBorders>
          <w:top w:val="single" w:sz="12" w:space="0" w:color="auto"/>
          <w:left w:val="nil"/>
          <w:bottom w:val="single" w:sz="8" w:space="0" w:color="auto"/>
          <w:right w:val="nil"/>
          <w:insideH w:val="nil"/>
          <w:insideV w:val="single" w:sz="8" w:space="0" w:color="auto"/>
          <w:tl2br w:val="nil"/>
          <w:tr2bl w:val="nil"/>
        </w:tcBorders>
      </w:tcPr>
    </w:tblStylePr>
    <w:tblStylePr w:type="lastRow">
      <w:tblPr/>
      <w:tcPr>
        <w:tcBorders>
          <w:top w:val="single" w:sz="8" w:space="0" w:color="auto"/>
          <w:left w:val="nil"/>
          <w:bottom w:val="single" w:sz="12" w:space="0" w:color="auto"/>
          <w:right w:val="nil"/>
          <w:insideH w:val="nil"/>
          <w:insideV w:val="single" w:sz="8" w:space="0" w:color="auto"/>
          <w:tl2br w:val="nil"/>
          <w:tr2bl w:val="nil"/>
        </w:tcBorders>
      </w:tcPr>
    </w:tblStylePr>
    <w:tblStylePr w:type="firstCol">
      <w:pPr>
        <w:jc w:val="center"/>
      </w:pPr>
      <w:rPr>
        <w:rFonts w:ascii="宋体" w:eastAsia="宋体" w:hAnsi="宋体" w:hint="eastAsia"/>
        <w:b w:val="0"/>
        <w:sz w:val="21"/>
        <w:szCs w:val="21"/>
      </w:rPr>
      <w:tblPr/>
      <w:tcPr>
        <w:tcBorders>
          <w:top w:val="single" w:sz="12" w:space="0" w:color="auto"/>
          <w:left w:val="nil"/>
          <w:bottom w:val="single" w:sz="12" w:space="0" w:color="auto"/>
          <w:right w:val="single" w:sz="8" w:space="0" w:color="auto"/>
          <w:insideH w:val="nil"/>
          <w:insideV w:val="nil"/>
          <w:tl2br w:val="nil"/>
          <w:tr2bl w:val="nil"/>
        </w:tcBorders>
      </w:tcPr>
    </w:tblStylePr>
    <w:tblStylePr w:type="lastCol">
      <w:tblPr/>
      <w:tcPr>
        <w:tcBorders>
          <w:top w:val="single" w:sz="12" w:space="0" w:color="auto"/>
          <w:left w:val="single" w:sz="8" w:space="0" w:color="auto"/>
          <w:bottom w:val="single" w:sz="12" w:space="0" w:color="auto"/>
          <w:right w:val="nil"/>
          <w:insideH w:val="nil"/>
          <w:insideV w:val="nil"/>
          <w:tl2br w:val="nil"/>
          <w:tr2bl w:val="nil"/>
        </w:tcBorders>
      </w:tcPr>
    </w:tblStylePr>
  </w:style>
  <w:style w:type="character" w:customStyle="1" w:styleId="Charf4">
    <w:name w:val="【表中文字】 Char"/>
    <w:qFormat/>
    <w:locked/>
    <w:rsid w:val="002A5A5E"/>
    <w:rPr>
      <w:rFonts w:ascii="Times New Roman" w:hAnsi="Times New Roman" w:cs="Times New Roman"/>
    </w:rPr>
  </w:style>
  <w:style w:type="character" w:customStyle="1" w:styleId="3Char2">
    <w:name w:val="3级标题 Char"/>
    <w:basedOn w:val="a2"/>
    <w:link w:val="33"/>
    <w:qFormat/>
    <w:locked/>
    <w:rsid w:val="002A5A5E"/>
    <w:rPr>
      <w:rFonts w:ascii="黑体" w:eastAsia="黑体" w:hAnsi="黑体"/>
      <w:sz w:val="24"/>
      <w:szCs w:val="24"/>
    </w:rPr>
  </w:style>
  <w:style w:type="paragraph" w:customStyle="1" w:styleId="33">
    <w:name w:val="3级标题"/>
    <w:basedOn w:val="a1"/>
    <w:link w:val="3Char2"/>
    <w:qFormat/>
    <w:rsid w:val="002A5A5E"/>
    <w:pPr>
      <w:spacing w:before="160" w:after="160" w:line="360" w:lineRule="auto"/>
      <w:ind w:firstLineChars="177" w:firstLine="425"/>
    </w:pPr>
    <w:rPr>
      <w:rFonts w:ascii="黑体" w:eastAsia="黑体" w:hAnsi="黑体" w:cstheme="minorBidi"/>
      <w:sz w:val="24"/>
    </w:rPr>
  </w:style>
  <w:style w:type="character" w:customStyle="1" w:styleId="Char5">
    <w:name w:val="正文文本 Char"/>
    <w:basedOn w:val="a2"/>
    <w:link w:val="ab"/>
    <w:uiPriority w:val="1"/>
    <w:qFormat/>
    <w:locked/>
    <w:rsid w:val="002A5A5E"/>
    <w:rPr>
      <w:rFonts w:ascii="Times New Roman" w:eastAsia="宋体" w:hAnsi="Times New Roman" w:cs="Times New Roman"/>
      <w:szCs w:val="24"/>
    </w:rPr>
  </w:style>
  <w:style w:type="character" w:customStyle="1" w:styleId="Char12">
    <w:name w:val="正文文本 Char1"/>
    <w:basedOn w:val="a2"/>
    <w:semiHidden/>
    <w:qFormat/>
    <w:rsid w:val="002A5A5E"/>
    <w:rPr>
      <w:rFonts w:ascii="Times New Roman" w:eastAsia="宋体" w:hAnsi="Times New Roman" w:cs="Times New Roman"/>
      <w:szCs w:val="24"/>
    </w:rPr>
  </w:style>
  <w:style w:type="table" w:customStyle="1" w:styleId="13">
    <w:name w:val="&gt;&gt; 表格样式 &lt;&lt;1"/>
    <w:basedOn w:val="a3"/>
    <w:qFormat/>
    <w:rsid w:val="002A5A5E"/>
    <w:pPr>
      <w:keepLines/>
      <w:jc w:val="center"/>
    </w:pPr>
    <w:rPr>
      <w:rFonts w:ascii="Times New Roman" w:eastAsia="宋体" w:hAnsi="Times New Roman" w:cs="Times New Roman"/>
      <w:szCs w:val="21"/>
    </w:rPr>
    <w:tblPr>
      <w:tblInd w:w="0" w:type="dxa"/>
      <w:tblBorders>
        <w:top w:val="single" w:sz="12" w:space="0" w:color="auto"/>
        <w:bottom w:val="single" w:sz="12" w:space="0" w:color="auto"/>
        <w:insideH w:val="single" w:sz="8" w:space="0" w:color="auto"/>
        <w:insideV w:val="single" w:sz="8" w:space="0" w:color="auto"/>
      </w:tblBorders>
      <w:tblCellMar>
        <w:top w:w="0" w:type="dxa"/>
        <w:left w:w="108" w:type="dxa"/>
        <w:bottom w:w="0" w:type="dxa"/>
        <w:right w:w="108" w:type="dxa"/>
      </w:tblCellMar>
    </w:tblPr>
    <w:tcPr>
      <w:vAlign w:val="center"/>
    </w:tcPr>
    <w:tblStylePr w:type="firstRow">
      <w:rPr>
        <w:rFonts w:ascii="宋体" w:eastAsia="宋体" w:hAnsi="宋体" w:hint="eastAsia"/>
        <w:b w:val="0"/>
        <w:sz w:val="21"/>
        <w:szCs w:val="21"/>
      </w:rPr>
      <w:tblPr/>
      <w:tcPr>
        <w:tcBorders>
          <w:top w:val="single" w:sz="12" w:space="0" w:color="auto"/>
          <w:left w:val="nil"/>
          <w:bottom w:val="single" w:sz="8" w:space="0" w:color="auto"/>
          <w:right w:val="nil"/>
          <w:insideH w:val="nil"/>
          <w:insideV w:val="single" w:sz="8" w:space="0" w:color="auto"/>
          <w:tl2br w:val="nil"/>
          <w:tr2bl w:val="nil"/>
        </w:tcBorders>
      </w:tcPr>
    </w:tblStylePr>
    <w:tblStylePr w:type="lastRow">
      <w:tblPr/>
      <w:tcPr>
        <w:tcBorders>
          <w:top w:val="single" w:sz="8" w:space="0" w:color="auto"/>
          <w:left w:val="nil"/>
          <w:bottom w:val="single" w:sz="12" w:space="0" w:color="auto"/>
          <w:right w:val="nil"/>
          <w:insideH w:val="nil"/>
          <w:insideV w:val="single" w:sz="8" w:space="0" w:color="auto"/>
          <w:tl2br w:val="nil"/>
          <w:tr2bl w:val="nil"/>
        </w:tcBorders>
      </w:tcPr>
    </w:tblStylePr>
    <w:tblStylePr w:type="firstCol">
      <w:pPr>
        <w:jc w:val="center"/>
      </w:pPr>
      <w:rPr>
        <w:rFonts w:ascii="宋体" w:eastAsia="宋体" w:hAnsi="宋体" w:hint="eastAsia"/>
        <w:b w:val="0"/>
        <w:sz w:val="21"/>
        <w:szCs w:val="21"/>
      </w:rPr>
      <w:tblPr/>
      <w:tcPr>
        <w:tcBorders>
          <w:top w:val="single" w:sz="12" w:space="0" w:color="auto"/>
          <w:left w:val="nil"/>
          <w:bottom w:val="single" w:sz="12" w:space="0" w:color="auto"/>
          <w:right w:val="single" w:sz="8" w:space="0" w:color="auto"/>
          <w:insideH w:val="nil"/>
          <w:insideV w:val="nil"/>
          <w:tl2br w:val="nil"/>
          <w:tr2bl w:val="nil"/>
        </w:tcBorders>
      </w:tcPr>
    </w:tblStylePr>
    <w:tblStylePr w:type="lastCol">
      <w:tblPr/>
      <w:tcPr>
        <w:tcBorders>
          <w:top w:val="single" w:sz="12" w:space="0" w:color="auto"/>
          <w:left w:val="single" w:sz="8" w:space="0" w:color="auto"/>
          <w:bottom w:val="single" w:sz="12" w:space="0" w:color="auto"/>
          <w:right w:val="nil"/>
          <w:insideH w:val="nil"/>
          <w:insideV w:val="nil"/>
          <w:tl2br w:val="nil"/>
          <w:tr2bl w:val="nil"/>
        </w:tcBorders>
      </w:tcPr>
    </w:tblStylePr>
  </w:style>
  <w:style w:type="paragraph" w:customStyle="1" w:styleId="aff9">
    <w:name w:val="表格"/>
    <w:basedOn w:val="a1"/>
    <w:link w:val="Charf5"/>
    <w:qFormat/>
    <w:rsid w:val="002A5A5E"/>
    <w:pPr>
      <w:adjustRightInd w:val="0"/>
      <w:spacing w:before="40" w:after="40"/>
    </w:pPr>
    <w:rPr>
      <w:rFonts w:ascii="昆仑仿宋" w:eastAsia="昆仑仿宋"/>
      <w:kern w:val="0"/>
      <w:sz w:val="24"/>
      <w:szCs w:val="20"/>
    </w:rPr>
  </w:style>
  <w:style w:type="character" w:customStyle="1" w:styleId="Charf5">
    <w:name w:val="表格 Char"/>
    <w:link w:val="aff9"/>
    <w:qFormat/>
    <w:locked/>
    <w:rsid w:val="002A5A5E"/>
    <w:rPr>
      <w:rFonts w:ascii="昆仑仿宋" w:eastAsia="昆仑仿宋" w:hAnsi="Times New Roman" w:cs="Times New Roman"/>
      <w:kern w:val="0"/>
      <w:sz w:val="24"/>
      <w:szCs w:val="20"/>
    </w:rPr>
  </w:style>
  <w:style w:type="character" w:customStyle="1" w:styleId="CharChar2">
    <w:name w:val="Char Char2"/>
    <w:qFormat/>
    <w:rsid w:val="002A5A5E"/>
    <w:rPr>
      <w:rFonts w:ascii="黑体" w:eastAsia="黑体" w:hAnsi="黑体" w:hint="eastAsia"/>
      <w:bCs/>
      <w:kern w:val="44"/>
      <w:sz w:val="28"/>
      <w:szCs w:val="44"/>
      <w:lang w:val="en-US" w:eastAsia="zh-CN" w:bidi="ar-SA"/>
    </w:rPr>
  </w:style>
  <w:style w:type="table" w:customStyle="1" w:styleId="14">
    <w:name w:val="环评表格1"/>
    <w:basedOn w:val="a3"/>
    <w:qFormat/>
    <w:rsid w:val="002A5A5E"/>
    <w:pPr>
      <w:snapToGrid w:val="0"/>
      <w:jc w:val="center"/>
    </w:pPr>
    <w:rPr>
      <w:rFonts w:ascii="Times New Roman" w:eastAsia="宋体" w:hAnsi="Times New Roman" w:cs="Times New Roman"/>
    </w:rPr>
    <w:tblPr>
      <w:tblInd w:w="0" w:type="dxa"/>
      <w:tblBorders>
        <w:top w:val="single" w:sz="12" w:space="0" w:color="auto"/>
        <w:bottom w:val="single" w:sz="12"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character" w:customStyle="1" w:styleId="Charf6">
    <w:name w:val="内容 Char"/>
    <w:link w:val="affa"/>
    <w:qFormat/>
    <w:locked/>
    <w:rsid w:val="002A5A5E"/>
    <w:rPr>
      <w:rFonts w:ascii="Calibri" w:hAnsi="Calibri"/>
      <w:color w:val="000000"/>
      <w:sz w:val="24"/>
      <w:szCs w:val="24"/>
    </w:rPr>
  </w:style>
  <w:style w:type="paragraph" w:customStyle="1" w:styleId="affa">
    <w:name w:val="内容"/>
    <w:basedOn w:val="a1"/>
    <w:link w:val="Charf6"/>
    <w:qFormat/>
    <w:rsid w:val="002A5A5E"/>
    <w:pPr>
      <w:spacing w:beforeLines="50"/>
      <w:ind w:firstLineChars="200" w:firstLine="200"/>
    </w:pPr>
    <w:rPr>
      <w:rFonts w:ascii="Calibri" w:eastAsiaTheme="minorEastAsia" w:hAnsi="Calibri" w:cstheme="minorBidi"/>
      <w:color w:val="000000"/>
      <w:sz w:val="24"/>
    </w:rPr>
  </w:style>
  <w:style w:type="character" w:customStyle="1" w:styleId="1Char1">
    <w:name w:val="标题 1 Char1"/>
    <w:qFormat/>
    <w:rsid w:val="002A5A5E"/>
    <w:rPr>
      <w:rFonts w:ascii="Times New Roman" w:eastAsia="宋体" w:hAnsi="Times New Roman" w:cs="Times New Roman" w:hint="default"/>
      <w:b/>
      <w:kern w:val="0"/>
      <w:sz w:val="24"/>
      <w:szCs w:val="24"/>
    </w:rPr>
  </w:style>
  <w:style w:type="character" w:customStyle="1" w:styleId="2Char10">
    <w:name w:val="标题 2 Char1"/>
    <w:basedOn w:val="a2"/>
    <w:semiHidden/>
    <w:qFormat/>
    <w:rsid w:val="002A5A5E"/>
    <w:rPr>
      <w:rFonts w:asciiTheme="majorHAnsi" w:eastAsiaTheme="majorEastAsia" w:hAnsiTheme="majorHAnsi" w:cstheme="majorBidi" w:hint="default"/>
      <w:b/>
      <w:bCs/>
      <w:kern w:val="2"/>
      <w:sz w:val="32"/>
      <w:szCs w:val="32"/>
    </w:rPr>
  </w:style>
  <w:style w:type="character" w:customStyle="1" w:styleId="3Char10">
    <w:name w:val="标题 3 Char1"/>
    <w:basedOn w:val="a2"/>
    <w:semiHidden/>
    <w:qFormat/>
    <w:rsid w:val="002A5A5E"/>
    <w:rPr>
      <w:b/>
      <w:bCs/>
      <w:kern w:val="2"/>
      <w:sz w:val="32"/>
      <w:szCs w:val="32"/>
    </w:rPr>
  </w:style>
  <w:style w:type="character" w:customStyle="1" w:styleId="4Char1">
    <w:name w:val="标题 4 Char1"/>
    <w:basedOn w:val="a2"/>
    <w:semiHidden/>
    <w:qFormat/>
    <w:rsid w:val="002A5A5E"/>
    <w:rPr>
      <w:rFonts w:asciiTheme="majorHAnsi" w:eastAsiaTheme="majorEastAsia" w:hAnsiTheme="majorHAnsi" w:cstheme="majorBidi" w:hint="default"/>
      <w:b/>
      <w:bCs/>
      <w:kern w:val="2"/>
      <w:sz w:val="28"/>
      <w:szCs w:val="28"/>
    </w:rPr>
  </w:style>
  <w:style w:type="character" w:customStyle="1" w:styleId="5Char1">
    <w:name w:val="标题 5 Char1"/>
    <w:basedOn w:val="a2"/>
    <w:semiHidden/>
    <w:qFormat/>
    <w:rsid w:val="002A5A5E"/>
    <w:rPr>
      <w:rFonts w:asciiTheme="minorEastAsia" w:eastAsiaTheme="minorEastAsia" w:hAnsiTheme="minorEastAsia" w:hint="eastAsia"/>
      <w:b/>
      <w:bCs/>
      <w:kern w:val="2"/>
      <w:sz w:val="28"/>
      <w:szCs w:val="28"/>
    </w:rPr>
  </w:style>
  <w:style w:type="character" w:customStyle="1" w:styleId="6Char1">
    <w:name w:val="标题 6 Char1"/>
    <w:basedOn w:val="a2"/>
    <w:semiHidden/>
    <w:qFormat/>
    <w:rsid w:val="002A5A5E"/>
    <w:rPr>
      <w:rFonts w:asciiTheme="majorHAnsi" w:eastAsiaTheme="majorEastAsia" w:hAnsiTheme="majorHAnsi" w:cstheme="majorBidi" w:hint="default"/>
      <w:b/>
      <w:bCs/>
      <w:kern w:val="2"/>
      <w:sz w:val="24"/>
      <w:szCs w:val="24"/>
    </w:rPr>
  </w:style>
  <w:style w:type="character" w:customStyle="1" w:styleId="HTMLChar1">
    <w:name w:val="HTML 预设格式 Char1"/>
    <w:basedOn w:val="a2"/>
    <w:link w:val="HTML"/>
    <w:uiPriority w:val="99"/>
    <w:semiHidden/>
    <w:qFormat/>
    <w:locked/>
    <w:rsid w:val="002A5A5E"/>
    <w:rPr>
      <w:rFonts w:ascii="宋体" w:eastAsia="宋体" w:hAnsi="宋体" w:cs="宋体"/>
      <w:sz w:val="24"/>
      <w:szCs w:val="24"/>
    </w:rPr>
  </w:style>
  <w:style w:type="character" w:customStyle="1" w:styleId="HTMLChar">
    <w:name w:val="HTML 预设格式 Char"/>
    <w:basedOn w:val="a2"/>
    <w:uiPriority w:val="99"/>
    <w:semiHidden/>
    <w:qFormat/>
    <w:rsid w:val="002A5A5E"/>
    <w:rPr>
      <w:rFonts w:ascii="Courier New" w:eastAsia="宋体" w:hAnsi="Courier New" w:cs="Courier New"/>
      <w:sz w:val="20"/>
      <w:szCs w:val="20"/>
    </w:rPr>
  </w:style>
  <w:style w:type="character" w:customStyle="1" w:styleId="7Char1">
    <w:name w:val="标题 7 Char1"/>
    <w:basedOn w:val="a2"/>
    <w:uiPriority w:val="99"/>
    <w:semiHidden/>
    <w:qFormat/>
    <w:rsid w:val="002A5A5E"/>
    <w:rPr>
      <w:rFonts w:asciiTheme="minorEastAsia" w:eastAsiaTheme="minorEastAsia" w:hAnsiTheme="minorEastAsia" w:hint="eastAsia"/>
      <w:b/>
      <w:bCs/>
      <w:kern w:val="2"/>
      <w:sz w:val="24"/>
      <w:szCs w:val="24"/>
    </w:rPr>
  </w:style>
  <w:style w:type="character" w:customStyle="1" w:styleId="8Char1">
    <w:name w:val="标题 8 Char1"/>
    <w:basedOn w:val="a2"/>
    <w:uiPriority w:val="99"/>
    <w:semiHidden/>
    <w:qFormat/>
    <w:rsid w:val="002A5A5E"/>
    <w:rPr>
      <w:rFonts w:asciiTheme="majorHAnsi" w:eastAsiaTheme="majorEastAsia" w:hAnsiTheme="majorHAnsi" w:cstheme="majorBidi" w:hint="default"/>
      <w:kern w:val="2"/>
      <w:sz w:val="24"/>
      <w:szCs w:val="24"/>
    </w:rPr>
  </w:style>
  <w:style w:type="character" w:customStyle="1" w:styleId="9Char1">
    <w:name w:val="标题 9 Char1"/>
    <w:basedOn w:val="a2"/>
    <w:uiPriority w:val="99"/>
    <w:semiHidden/>
    <w:qFormat/>
    <w:rsid w:val="002A5A5E"/>
    <w:rPr>
      <w:rFonts w:asciiTheme="majorHAnsi" w:eastAsiaTheme="majorEastAsia" w:hAnsiTheme="majorHAnsi" w:cstheme="majorBidi" w:hint="default"/>
      <w:kern w:val="2"/>
      <w:sz w:val="21"/>
      <w:szCs w:val="21"/>
    </w:rPr>
  </w:style>
  <w:style w:type="character" w:customStyle="1" w:styleId="Char0">
    <w:name w:val="正文缩进 Char"/>
    <w:basedOn w:val="a2"/>
    <w:link w:val="a6"/>
    <w:semiHidden/>
    <w:qFormat/>
    <w:locked/>
    <w:rsid w:val="002A5A5E"/>
    <w:rPr>
      <w:rFonts w:ascii="FangSong_GB2312" w:eastAsia="FangSong_GB2312"/>
      <w:sz w:val="28"/>
      <w:szCs w:val="24"/>
    </w:rPr>
  </w:style>
  <w:style w:type="character" w:customStyle="1" w:styleId="Char3">
    <w:name w:val="批注文字 Char"/>
    <w:basedOn w:val="a2"/>
    <w:link w:val="a9"/>
    <w:uiPriority w:val="99"/>
    <w:semiHidden/>
    <w:qFormat/>
    <w:locked/>
    <w:rsid w:val="002A5A5E"/>
    <w:rPr>
      <w:rFonts w:ascii="Calibri" w:hAnsi="Calibri"/>
      <w:color w:val="000000"/>
      <w:sz w:val="24"/>
      <w:szCs w:val="24"/>
    </w:rPr>
  </w:style>
  <w:style w:type="character" w:customStyle="1" w:styleId="Char13">
    <w:name w:val="页眉 Char1"/>
    <w:basedOn w:val="a2"/>
    <w:uiPriority w:val="99"/>
    <w:semiHidden/>
    <w:qFormat/>
    <w:rsid w:val="002A5A5E"/>
    <w:rPr>
      <w:rFonts w:ascii="Times New Roman" w:eastAsia="宋体" w:hAnsi="Times New Roman" w:cs="Times New Roman"/>
      <w:sz w:val="18"/>
      <w:szCs w:val="18"/>
    </w:rPr>
  </w:style>
  <w:style w:type="character" w:customStyle="1" w:styleId="Char1">
    <w:name w:val="题注 Char"/>
    <w:basedOn w:val="a2"/>
    <w:link w:val="a7"/>
    <w:uiPriority w:val="35"/>
    <w:semiHidden/>
    <w:qFormat/>
    <w:locked/>
    <w:rsid w:val="002A5A5E"/>
    <w:rPr>
      <w:color w:val="000000"/>
      <w:sz w:val="28"/>
    </w:rPr>
  </w:style>
  <w:style w:type="character" w:customStyle="1" w:styleId="2Char0">
    <w:name w:val="列表 2 Char"/>
    <w:link w:val="21"/>
    <w:semiHidden/>
    <w:qFormat/>
    <w:locked/>
    <w:rsid w:val="002A5A5E"/>
    <w:rPr>
      <w:rFonts w:ascii="楷体_GB2312" w:eastAsia="楷体_GB2312" w:hAnsi="宋体"/>
      <w:color w:val="000000"/>
      <w:sz w:val="24"/>
      <w:szCs w:val="28"/>
    </w:rPr>
  </w:style>
  <w:style w:type="character" w:customStyle="1" w:styleId="Char6">
    <w:name w:val="正文文本缩进 Char"/>
    <w:basedOn w:val="a2"/>
    <w:link w:val="ac"/>
    <w:uiPriority w:val="99"/>
    <w:semiHidden/>
    <w:qFormat/>
    <w:locked/>
    <w:rsid w:val="002A5A5E"/>
    <w:rPr>
      <w:sz w:val="24"/>
      <w:szCs w:val="24"/>
    </w:rPr>
  </w:style>
  <w:style w:type="character" w:customStyle="1" w:styleId="Char14">
    <w:name w:val="正文文本缩进 Char1"/>
    <w:basedOn w:val="a2"/>
    <w:uiPriority w:val="99"/>
    <w:semiHidden/>
    <w:qFormat/>
    <w:rsid w:val="002A5A5E"/>
    <w:rPr>
      <w:rFonts w:ascii="Times New Roman" w:eastAsia="宋体" w:hAnsi="Times New Roman" w:cs="Times New Roman"/>
      <w:szCs w:val="24"/>
    </w:rPr>
  </w:style>
  <w:style w:type="character" w:customStyle="1" w:styleId="Char8">
    <w:name w:val="日期 Char"/>
    <w:basedOn w:val="a2"/>
    <w:link w:val="af"/>
    <w:uiPriority w:val="99"/>
    <w:semiHidden/>
    <w:qFormat/>
    <w:locked/>
    <w:rsid w:val="002A5A5E"/>
    <w:rPr>
      <w:szCs w:val="24"/>
    </w:rPr>
  </w:style>
  <w:style w:type="character" w:customStyle="1" w:styleId="Charf0">
    <w:name w:val="正文首行缩进 Char"/>
    <w:basedOn w:val="a2"/>
    <w:link w:val="afb"/>
    <w:qFormat/>
    <w:locked/>
    <w:rsid w:val="002A5A5E"/>
    <w:rPr>
      <w:rFonts w:ascii="Times New Roman" w:eastAsia="宋体" w:hAnsi="Times New Roman" w:cs="Times New Roman"/>
      <w:color w:val="FF0000"/>
      <w:kern w:val="2"/>
      <w:sz w:val="24"/>
      <w:szCs w:val="24"/>
    </w:rPr>
  </w:style>
  <w:style w:type="character" w:customStyle="1" w:styleId="Char15">
    <w:name w:val="正文首行缩进 Char1"/>
    <w:basedOn w:val="Char5"/>
    <w:semiHidden/>
    <w:qFormat/>
    <w:rsid w:val="002A5A5E"/>
    <w:rPr>
      <w:rFonts w:ascii="Times New Roman" w:eastAsia="宋体" w:hAnsi="Times New Roman" w:cs="Times New Roman"/>
      <w:szCs w:val="24"/>
    </w:rPr>
  </w:style>
  <w:style w:type="character" w:customStyle="1" w:styleId="2Char3">
    <w:name w:val="正文首行缩进 2 Char"/>
    <w:basedOn w:val="Char6"/>
    <w:link w:val="25"/>
    <w:semiHidden/>
    <w:qFormat/>
    <w:locked/>
    <w:rsid w:val="002A5A5E"/>
    <w:rPr>
      <w:sz w:val="28"/>
      <w:szCs w:val="24"/>
    </w:rPr>
  </w:style>
  <w:style w:type="character" w:customStyle="1" w:styleId="Char">
    <w:name w:val="注释标题 Char"/>
    <w:basedOn w:val="a2"/>
    <w:link w:val="a5"/>
    <w:semiHidden/>
    <w:qFormat/>
    <w:locked/>
    <w:rsid w:val="002A5A5E"/>
    <w:rPr>
      <w:sz w:val="24"/>
    </w:rPr>
  </w:style>
  <w:style w:type="character" w:customStyle="1" w:styleId="Char16">
    <w:name w:val="注释标题 Char1"/>
    <w:basedOn w:val="a2"/>
    <w:semiHidden/>
    <w:qFormat/>
    <w:rsid w:val="002A5A5E"/>
    <w:rPr>
      <w:rFonts w:ascii="Times New Roman" w:eastAsia="宋体" w:hAnsi="Times New Roman" w:cs="Times New Roman"/>
      <w:szCs w:val="24"/>
    </w:rPr>
  </w:style>
  <w:style w:type="character" w:customStyle="1" w:styleId="2Char2">
    <w:name w:val="正文文本 2 Char"/>
    <w:link w:val="24"/>
    <w:uiPriority w:val="99"/>
    <w:qFormat/>
    <w:locked/>
    <w:rsid w:val="002A5A5E"/>
    <w:rPr>
      <w:sz w:val="24"/>
      <w:szCs w:val="24"/>
    </w:rPr>
  </w:style>
  <w:style w:type="character" w:customStyle="1" w:styleId="3Char0">
    <w:name w:val="正文文本 3 Char"/>
    <w:basedOn w:val="a2"/>
    <w:link w:val="31"/>
    <w:semiHidden/>
    <w:qFormat/>
    <w:locked/>
    <w:rsid w:val="002A5A5E"/>
    <w:rPr>
      <w:rFonts w:ascii="Calibri" w:hAnsi="Calibri"/>
      <w:color w:val="000000"/>
      <w:sz w:val="16"/>
      <w:szCs w:val="16"/>
    </w:rPr>
  </w:style>
  <w:style w:type="character" w:customStyle="1" w:styleId="2Char1">
    <w:name w:val="正文文本缩进 2 Char"/>
    <w:basedOn w:val="a2"/>
    <w:link w:val="22"/>
    <w:semiHidden/>
    <w:qFormat/>
    <w:locked/>
    <w:rsid w:val="002A5A5E"/>
    <w:rPr>
      <w:rFonts w:ascii="Calibri" w:hAnsi="Calibri"/>
      <w:color w:val="000000"/>
    </w:rPr>
  </w:style>
  <w:style w:type="character" w:customStyle="1" w:styleId="2Char11">
    <w:name w:val="正文文本缩进 2 Char1"/>
    <w:basedOn w:val="a2"/>
    <w:uiPriority w:val="99"/>
    <w:semiHidden/>
    <w:qFormat/>
    <w:rsid w:val="002A5A5E"/>
    <w:rPr>
      <w:rFonts w:ascii="Times New Roman" w:eastAsia="宋体" w:hAnsi="Times New Roman" w:cs="Times New Roman"/>
      <w:szCs w:val="24"/>
    </w:rPr>
  </w:style>
  <w:style w:type="character" w:customStyle="1" w:styleId="3Char1">
    <w:name w:val="正文文本缩进 3 Char"/>
    <w:basedOn w:val="a2"/>
    <w:link w:val="32"/>
    <w:semiHidden/>
    <w:qFormat/>
    <w:locked/>
    <w:rsid w:val="002A5A5E"/>
    <w:rPr>
      <w:rFonts w:ascii="Calibri" w:hAnsi="Calibri"/>
      <w:color w:val="000000"/>
      <w:sz w:val="16"/>
      <w:szCs w:val="16"/>
    </w:rPr>
  </w:style>
  <w:style w:type="character" w:customStyle="1" w:styleId="Char7">
    <w:name w:val="纯文本 Char"/>
    <w:basedOn w:val="a2"/>
    <w:link w:val="ae"/>
    <w:qFormat/>
    <w:locked/>
    <w:rsid w:val="002A5A5E"/>
    <w:rPr>
      <w:rFonts w:ascii="宋体" w:eastAsia="宋体" w:hAnsi="Courier New" w:cs="Courier New"/>
      <w:szCs w:val="21"/>
    </w:rPr>
  </w:style>
  <w:style w:type="character" w:customStyle="1" w:styleId="Char17">
    <w:name w:val="纯文本 Char1"/>
    <w:basedOn w:val="a2"/>
    <w:qFormat/>
    <w:rsid w:val="002A5A5E"/>
    <w:rPr>
      <w:rFonts w:ascii="宋体" w:eastAsia="宋体" w:hAnsi="Courier New" w:cs="Courier New"/>
      <w:szCs w:val="21"/>
    </w:rPr>
  </w:style>
  <w:style w:type="character" w:customStyle="1" w:styleId="Char18">
    <w:name w:val="批注文字 Char1"/>
    <w:basedOn w:val="a2"/>
    <w:uiPriority w:val="99"/>
    <w:semiHidden/>
    <w:qFormat/>
    <w:rsid w:val="002A5A5E"/>
    <w:rPr>
      <w:rFonts w:ascii="Times New Roman" w:eastAsia="宋体" w:hAnsi="Times New Roman" w:cs="Times New Roman"/>
      <w:szCs w:val="24"/>
    </w:rPr>
  </w:style>
  <w:style w:type="character" w:customStyle="1" w:styleId="Charf">
    <w:name w:val="批注主题 Char"/>
    <w:basedOn w:val="Char3"/>
    <w:link w:val="afa"/>
    <w:uiPriority w:val="99"/>
    <w:semiHidden/>
    <w:qFormat/>
    <w:locked/>
    <w:rsid w:val="002A5A5E"/>
    <w:rPr>
      <w:rFonts w:ascii="Calibri" w:hAnsi="Calibri"/>
      <w:b/>
      <w:bCs/>
      <w:color w:val="000000"/>
      <w:sz w:val="24"/>
      <w:szCs w:val="24"/>
    </w:rPr>
  </w:style>
  <w:style w:type="character" w:customStyle="1" w:styleId="Charf7">
    <w:name w:val="无间隔 Char"/>
    <w:link w:val="affb"/>
    <w:qFormat/>
    <w:locked/>
    <w:rsid w:val="002A5A5E"/>
    <w:rPr>
      <w:rFonts w:ascii="Calibri" w:hAnsi="Calibri"/>
      <w:color w:val="000000"/>
      <w:sz w:val="24"/>
      <w:szCs w:val="24"/>
    </w:rPr>
  </w:style>
  <w:style w:type="paragraph" w:styleId="affb">
    <w:name w:val="No Spacing"/>
    <w:link w:val="Charf7"/>
    <w:qFormat/>
    <w:rsid w:val="002A5A5E"/>
    <w:pPr>
      <w:widowControl w:val="0"/>
      <w:jc w:val="both"/>
    </w:pPr>
    <w:rPr>
      <w:rFonts w:ascii="Calibri" w:hAnsi="Calibri"/>
      <w:color w:val="000000"/>
      <w:kern w:val="2"/>
      <w:sz w:val="24"/>
      <w:szCs w:val="24"/>
    </w:rPr>
  </w:style>
  <w:style w:type="paragraph" w:customStyle="1" w:styleId="CharCharChar1CharCharCharCharCharCharChar">
    <w:name w:val="Char Char Char1 Char Char Char Char Char Char Char"/>
    <w:basedOn w:val="10"/>
    <w:next w:val="a1"/>
    <w:autoRedefine/>
    <w:uiPriority w:val="39"/>
    <w:semiHidden/>
    <w:qFormat/>
    <w:rsid w:val="002A5A5E"/>
    <w:pPr>
      <w:keepNext w:val="0"/>
      <w:keepLines w:val="0"/>
      <w:spacing w:before="0" w:after="0" w:line="240" w:lineRule="auto"/>
      <w:outlineLvl w:val="9"/>
    </w:pPr>
    <w:rPr>
      <w:b w:val="0"/>
      <w:bCs w:val="0"/>
      <w:kern w:val="2"/>
      <w:sz w:val="21"/>
      <w:szCs w:val="24"/>
    </w:rPr>
  </w:style>
  <w:style w:type="character" w:customStyle="1" w:styleId="4CharChar">
    <w:name w:val="【标题4】 Char Char"/>
    <w:link w:val="40"/>
    <w:qFormat/>
    <w:locked/>
    <w:rsid w:val="002A5A5E"/>
    <w:rPr>
      <w:rFonts w:ascii="Times New Roman" w:eastAsia="Times New Roman" w:hAnsi="Times New Roman" w:cs="Times New Roman"/>
      <w:b/>
      <w:bCs/>
      <w:sz w:val="24"/>
    </w:rPr>
  </w:style>
  <w:style w:type="paragraph" w:customStyle="1" w:styleId="40">
    <w:name w:val="【标题4】"/>
    <w:basedOn w:val="10"/>
    <w:next w:val="a1"/>
    <w:link w:val="4CharChar"/>
    <w:autoRedefine/>
    <w:qFormat/>
    <w:rsid w:val="002A5A5E"/>
    <w:pPr>
      <w:keepNext w:val="0"/>
      <w:spacing w:before="0" w:after="0" w:line="440" w:lineRule="exact"/>
      <w:jc w:val="left"/>
      <w:outlineLvl w:val="3"/>
    </w:pPr>
    <w:rPr>
      <w:rFonts w:eastAsia="Times New Roman"/>
      <w:kern w:val="2"/>
      <w:sz w:val="24"/>
      <w:szCs w:val="22"/>
    </w:rPr>
  </w:style>
  <w:style w:type="character" w:customStyle="1" w:styleId="3CharChar">
    <w:name w:val="【标题3】 Char Char"/>
    <w:link w:val="34"/>
    <w:qFormat/>
    <w:locked/>
    <w:rsid w:val="002A5A5E"/>
    <w:rPr>
      <w:b/>
      <w:bCs/>
      <w:sz w:val="24"/>
    </w:rPr>
  </w:style>
  <w:style w:type="paragraph" w:customStyle="1" w:styleId="34">
    <w:name w:val="【标题3】"/>
    <w:basedOn w:val="30"/>
    <w:next w:val="a1"/>
    <w:link w:val="3CharChar"/>
    <w:autoRedefine/>
    <w:qFormat/>
    <w:rsid w:val="002A5A5E"/>
    <w:pPr>
      <w:keepNext w:val="0"/>
      <w:spacing w:before="60" w:after="60" w:line="440" w:lineRule="exact"/>
      <w:ind w:firstLineChars="0" w:firstLine="0"/>
    </w:pPr>
    <w:rPr>
      <w:rFonts w:asciiTheme="minorHAnsi" w:eastAsiaTheme="minorEastAsia" w:hAnsiTheme="minorHAnsi" w:cstheme="minorBidi"/>
      <w:b/>
      <w:bCs/>
      <w:sz w:val="24"/>
      <w:szCs w:val="22"/>
    </w:rPr>
  </w:style>
  <w:style w:type="paragraph" w:customStyle="1" w:styleId="affc">
    <w:name w:val="缩进"/>
    <w:basedOn w:val="10"/>
    <w:next w:val="a1"/>
    <w:autoRedefine/>
    <w:uiPriority w:val="99"/>
    <w:qFormat/>
    <w:rsid w:val="002A5A5E"/>
    <w:pPr>
      <w:keepNext w:val="0"/>
      <w:keepLines w:val="0"/>
      <w:spacing w:before="0" w:after="0" w:line="360" w:lineRule="auto"/>
      <w:ind w:firstLineChars="200" w:firstLine="200"/>
      <w:outlineLvl w:val="9"/>
    </w:pPr>
    <w:rPr>
      <w:rFonts w:ascii="Calibri" w:hAnsi="Calibri"/>
      <w:b w:val="0"/>
      <w:bCs w:val="0"/>
      <w:kern w:val="2"/>
      <w:sz w:val="24"/>
      <w:szCs w:val="21"/>
    </w:rPr>
  </w:style>
  <w:style w:type="character" w:customStyle="1" w:styleId="Charf8">
    <w:name w:val="正文样式 Char"/>
    <w:link w:val="affd"/>
    <w:qFormat/>
    <w:locked/>
    <w:rsid w:val="002A5A5E"/>
    <w:rPr>
      <w:rFonts w:ascii="宋体" w:eastAsia="宋体" w:hAnsi="宋体"/>
      <w:color w:val="000000"/>
      <w:sz w:val="24"/>
      <w:szCs w:val="24"/>
    </w:rPr>
  </w:style>
  <w:style w:type="paragraph" w:customStyle="1" w:styleId="affd">
    <w:name w:val="正文样式"/>
    <w:basedOn w:val="10"/>
    <w:next w:val="a1"/>
    <w:link w:val="Charf8"/>
    <w:autoRedefine/>
    <w:qFormat/>
    <w:rsid w:val="002A5A5E"/>
    <w:pPr>
      <w:keepNext w:val="0"/>
      <w:keepLines w:val="0"/>
      <w:spacing w:before="0" w:after="0" w:line="460" w:lineRule="exact"/>
      <w:ind w:firstLineChars="200" w:firstLine="200"/>
      <w:outlineLvl w:val="9"/>
    </w:pPr>
    <w:rPr>
      <w:rFonts w:ascii="宋体" w:hAnsi="宋体" w:cstheme="minorBidi"/>
      <w:b w:val="0"/>
      <w:bCs w:val="0"/>
      <w:color w:val="000000"/>
      <w:kern w:val="2"/>
      <w:sz w:val="24"/>
      <w:szCs w:val="24"/>
    </w:rPr>
  </w:style>
  <w:style w:type="character" w:customStyle="1" w:styleId="00CharChar">
    <w:name w:val="正文00 Char Char"/>
    <w:link w:val="00"/>
    <w:qFormat/>
    <w:locked/>
    <w:rsid w:val="002A5A5E"/>
    <w:rPr>
      <w:rFonts w:ascii="Times New Roman" w:hAnsiTheme="minorEastAsia" w:cs="Times New Roman"/>
      <w:bCs/>
      <w:color w:val="FF0000"/>
      <w:kern w:val="0"/>
      <w:sz w:val="24"/>
      <w:szCs w:val="24"/>
    </w:rPr>
  </w:style>
  <w:style w:type="paragraph" w:customStyle="1" w:styleId="00">
    <w:name w:val="正文00"/>
    <w:basedOn w:val="10"/>
    <w:next w:val="a1"/>
    <w:link w:val="00CharChar"/>
    <w:autoRedefine/>
    <w:qFormat/>
    <w:rsid w:val="002A5A5E"/>
    <w:pPr>
      <w:keepNext w:val="0"/>
      <w:keepLines w:val="0"/>
      <w:spacing w:before="0" w:after="0" w:line="360" w:lineRule="auto"/>
      <w:ind w:firstLineChars="200" w:firstLine="480"/>
      <w:textAlignment w:val="center"/>
      <w:outlineLvl w:val="9"/>
    </w:pPr>
    <w:rPr>
      <w:rFonts w:eastAsiaTheme="minorEastAsia" w:hAnsiTheme="minorEastAsia"/>
      <w:b w:val="0"/>
      <w:color w:val="FF0000"/>
      <w:kern w:val="0"/>
      <w:sz w:val="24"/>
      <w:szCs w:val="24"/>
    </w:rPr>
  </w:style>
  <w:style w:type="paragraph" w:customStyle="1" w:styleId="affe">
    <w:name w:val="表样式"/>
    <w:basedOn w:val="10"/>
    <w:next w:val="a1"/>
    <w:autoRedefine/>
    <w:uiPriority w:val="99"/>
    <w:qFormat/>
    <w:rsid w:val="002A5A5E"/>
    <w:pPr>
      <w:keepNext w:val="0"/>
      <w:keepLines w:val="0"/>
      <w:spacing w:before="0" w:after="0" w:line="500" w:lineRule="atLeast"/>
      <w:ind w:firstLineChars="177" w:firstLine="425"/>
      <w:jc w:val="center"/>
      <w:outlineLvl w:val="9"/>
    </w:pPr>
    <w:rPr>
      <w:rFonts w:ascii="FangSong_GB2312" w:eastAsia="黑体"/>
      <w:b w:val="0"/>
      <w:bCs w:val="0"/>
      <w:color w:val="000000"/>
      <w:kern w:val="2"/>
      <w:sz w:val="24"/>
      <w:szCs w:val="24"/>
    </w:rPr>
  </w:style>
  <w:style w:type="character" w:customStyle="1" w:styleId="NormalChar">
    <w:name w:val="Normal Char"/>
    <w:link w:val="15"/>
    <w:qFormat/>
    <w:locked/>
    <w:rsid w:val="002A5A5E"/>
    <w:rPr>
      <w:rFonts w:ascii="Times New Roman" w:hAnsi="Times New Roman" w:cs="Times New Roman"/>
      <w:b/>
      <w:bCs/>
      <w:sz w:val="24"/>
      <w:szCs w:val="24"/>
    </w:rPr>
  </w:style>
  <w:style w:type="paragraph" w:customStyle="1" w:styleId="15">
    <w:name w:val="正文1"/>
    <w:next w:val="a1"/>
    <w:link w:val="NormalChar"/>
    <w:autoRedefine/>
    <w:uiPriority w:val="99"/>
    <w:qFormat/>
    <w:rsid w:val="002A5A5E"/>
    <w:pPr>
      <w:widowControl w:val="0"/>
      <w:adjustRightInd w:val="0"/>
      <w:jc w:val="center"/>
    </w:pPr>
    <w:rPr>
      <w:rFonts w:ascii="Times New Roman" w:hAnsi="Times New Roman" w:cs="Times New Roman"/>
      <w:b/>
      <w:bCs/>
      <w:kern w:val="2"/>
      <w:sz w:val="24"/>
      <w:szCs w:val="24"/>
    </w:rPr>
  </w:style>
  <w:style w:type="character" w:customStyle="1" w:styleId="zoe1Char">
    <w:name w:val="样式 正文zoe + 幼圆1 Char"/>
    <w:link w:val="zoe1"/>
    <w:qFormat/>
    <w:locked/>
    <w:rsid w:val="002A5A5E"/>
    <w:rPr>
      <w:rFonts w:ascii="幼圆" w:eastAsia="幼圆" w:hAnsi="幼圆"/>
      <w:sz w:val="24"/>
    </w:rPr>
  </w:style>
  <w:style w:type="paragraph" w:customStyle="1" w:styleId="zoe1">
    <w:name w:val="样式 正文zoe + 幼圆1"/>
    <w:basedOn w:val="10"/>
    <w:next w:val="a1"/>
    <w:link w:val="zoe1Char"/>
    <w:autoRedefine/>
    <w:qFormat/>
    <w:rsid w:val="002A5A5E"/>
    <w:pPr>
      <w:keepNext w:val="0"/>
      <w:keepLines w:val="0"/>
      <w:adjustRightInd w:val="0"/>
      <w:spacing w:before="0" w:after="0" w:line="360" w:lineRule="auto"/>
      <w:ind w:firstLineChars="200" w:firstLine="480"/>
      <w:outlineLvl w:val="9"/>
    </w:pPr>
    <w:rPr>
      <w:rFonts w:ascii="幼圆" w:eastAsia="幼圆" w:hAnsi="幼圆" w:cstheme="minorBidi"/>
      <w:b w:val="0"/>
      <w:bCs w:val="0"/>
      <w:kern w:val="2"/>
      <w:sz w:val="24"/>
      <w:szCs w:val="22"/>
    </w:rPr>
  </w:style>
  <w:style w:type="paragraph" w:customStyle="1" w:styleId="CharCharCharCharCharCharCharCharCharCharCharCharCharCharCharCharCharCharCharCharChar1Char">
    <w:name w:val="Char Char Char Char Char Char Char Char Char Char Char Char Char Char Char Char Char Char Char Char Char1 Char"/>
    <w:basedOn w:val="10"/>
    <w:next w:val="a1"/>
    <w:autoRedefine/>
    <w:uiPriority w:val="99"/>
    <w:qFormat/>
    <w:rsid w:val="002A5A5E"/>
    <w:pPr>
      <w:keepNext w:val="0"/>
      <w:keepLines w:val="0"/>
      <w:spacing w:before="0" w:after="0" w:line="360" w:lineRule="auto"/>
      <w:ind w:firstLineChars="200" w:firstLine="200"/>
      <w:outlineLvl w:val="9"/>
    </w:pPr>
    <w:rPr>
      <w:rFonts w:ascii="宋体" w:hAnsi="宋体" w:cs="宋体"/>
      <w:b w:val="0"/>
      <w:bCs w:val="0"/>
      <w:color w:val="000000"/>
      <w:kern w:val="2"/>
      <w:sz w:val="24"/>
      <w:szCs w:val="24"/>
    </w:rPr>
  </w:style>
  <w:style w:type="paragraph" w:customStyle="1" w:styleId="0">
    <w:name w:val="0"/>
    <w:basedOn w:val="10"/>
    <w:next w:val="a1"/>
    <w:autoRedefine/>
    <w:uiPriority w:val="99"/>
    <w:qFormat/>
    <w:rsid w:val="002A5A5E"/>
    <w:pPr>
      <w:keepNext w:val="0"/>
      <w:keepLines w:val="0"/>
      <w:widowControl/>
      <w:snapToGrid w:val="0"/>
      <w:spacing w:before="0" w:after="0" w:line="365" w:lineRule="atLeast"/>
      <w:ind w:left="1" w:firstLineChars="177" w:firstLine="425"/>
      <w:outlineLvl w:val="9"/>
    </w:pPr>
    <w:rPr>
      <w:b w:val="0"/>
      <w:bCs w:val="0"/>
      <w:color w:val="000000"/>
      <w:kern w:val="0"/>
      <w:sz w:val="20"/>
      <w:szCs w:val="20"/>
    </w:rPr>
  </w:style>
  <w:style w:type="character" w:customStyle="1" w:styleId="Char19">
    <w:name w:val="表头 Char1"/>
    <w:link w:val="afff"/>
    <w:qFormat/>
    <w:locked/>
    <w:rsid w:val="002A5A5E"/>
    <w:rPr>
      <w:rFonts w:ascii="Times New Roman" w:hAnsi="Times New Roman" w:cs="Times New Roman"/>
      <w:b/>
      <w:sz w:val="24"/>
      <w:szCs w:val="24"/>
    </w:rPr>
  </w:style>
  <w:style w:type="paragraph" w:customStyle="1" w:styleId="afff">
    <w:name w:val="表头"/>
    <w:basedOn w:val="10"/>
    <w:next w:val="a1"/>
    <w:link w:val="Char19"/>
    <w:autoRedefine/>
    <w:qFormat/>
    <w:rsid w:val="002A5A5E"/>
    <w:pPr>
      <w:keepNext w:val="0"/>
      <w:keepLines w:val="0"/>
      <w:spacing w:before="0" w:after="0" w:line="0" w:lineRule="atLeast"/>
      <w:contextualSpacing/>
      <w:jc w:val="center"/>
      <w:outlineLvl w:val="9"/>
    </w:pPr>
    <w:rPr>
      <w:rFonts w:eastAsiaTheme="minorEastAsia"/>
      <w:bCs w:val="0"/>
      <w:kern w:val="2"/>
      <w:sz w:val="24"/>
      <w:szCs w:val="24"/>
    </w:rPr>
  </w:style>
  <w:style w:type="character" w:customStyle="1" w:styleId="CharChar0">
    <w:name w:val="正文内容 Char Char"/>
    <w:link w:val="afff0"/>
    <w:qFormat/>
    <w:locked/>
    <w:rsid w:val="002A5A5E"/>
    <w:rPr>
      <w:sz w:val="28"/>
      <w:szCs w:val="28"/>
    </w:rPr>
  </w:style>
  <w:style w:type="paragraph" w:customStyle="1" w:styleId="afff0">
    <w:name w:val="正文内容"/>
    <w:basedOn w:val="10"/>
    <w:next w:val="a1"/>
    <w:link w:val="CharChar0"/>
    <w:autoRedefine/>
    <w:qFormat/>
    <w:rsid w:val="002A5A5E"/>
    <w:pPr>
      <w:keepNext w:val="0"/>
      <w:keepLines w:val="0"/>
      <w:overflowPunct w:val="0"/>
      <w:topLinePunct/>
      <w:spacing w:beforeLines="50" w:after="0" w:line="480" w:lineRule="exact"/>
      <w:ind w:firstLineChars="200" w:firstLine="560"/>
      <w:outlineLvl w:val="9"/>
    </w:pPr>
    <w:rPr>
      <w:rFonts w:asciiTheme="minorHAnsi" w:eastAsiaTheme="minorEastAsia" w:hAnsiTheme="minorHAnsi" w:cstheme="minorBidi"/>
      <w:b w:val="0"/>
      <w:bCs w:val="0"/>
      <w:kern w:val="2"/>
      <w:sz w:val="28"/>
      <w:szCs w:val="28"/>
    </w:rPr>
  </w:style>
  <w:style w:type="paragraph" w:customStyle="1" w:styleId="afff1">
    <w:name w:val="中文报告书样式"/>
    <w:basedOn w:val="10"/>
    <w:next w:val="a1"/>
    <w:autoRedefine/>
    <w:uiPriority w:val="99"/>
    <w:qFormat/>
    <w:rsid w:val="002A5A5E"/>
    <w:pPr>
      <w:keepNext w:val="0"/>
      <w:keepLines w:val="0"/>
      <w:adjustRightInd w:val="0"/>
      <w:spacing w:before="0" w:after="0" w:line="480" w:lineRule="atLeast"/>
      <w:ind w:firstLineChars="177" w:firstLine="482"/>
      <w:outlineLvl w:val="9"/>
    </w:pPr>
    <w:rPr>
      <w:b w:val="0"/>
      <w:bCs w:val="0"/>
      <w:color w:val="000000"/>
      <w:kern w:val="24"/>
      <w:sz w:val="24"/>
      <w:szCs w:val="20"/>
    </w:rPr>
  </w:style>
  <w:style w:type="paragraph" w:customStyle="1" w:styleId="afff2">
    <w:name w:val="表内文"/>
    <w:basedOn w:val="10"/>
    <w:next w:val="a1"/>
    <w:autoRedefine/>
    <w:uiPriority w:val="99"/>
    <w:qFormat/>
    <w:rsid w:val="002A5A5E"/>
    <w:pPr>
      <w:keepNext w:val="0"/>
      <w:keepLines w:val="0"/>
      <w:spacing w:before="0" w:after="0" w:line="320" w:lineRule="atLeast"/>
      <w:ind w:firstLineChars="177" w:firstLine="425"/>
      <w:jc w:val="center"/>
      <w:outlineLvl w:val="9"/>
    </w:pPr>
    <w:rPr>
      <w:b w:val="0"/>
      <w:bCs w:val="0"/>
      <w:color w:val="000000"/>
      <w:kern w:val="2"/>
      <w:sz w:val="24"/>
      <w:szCs w:val="20"/>
    </w:rPr>
  </w:style>
  <w:style w:type="paragraph" w:customStyle="1" w:styleId="afff3">
    <w:name w:val="表格式"/>
    <w:basedOn w:val="af5"/>
    <w:next w:val="a1"/>
    <w:autoRedefine/>
    <w:uiPriority w:val="99"/>
    <w:qFormat/>
    <w:rsid w:val="002A5A5E"/>
    <w:pPr>
      <w:spacing w:line="480" w:lineRule="exact"/>
      <w:ind w:left="0" w:firstLineChars="0" w:firstLine="0"/>
      <w:contextualSpacing w:val="0"/>
      <w:jc w:val="center"/>
    </w:pPr>
    <w:rPr>
      <w:rFonts w:ascii="宋体" w:hAnsi="宋体"/>
      <w:color w:val="000000"/>
      <w:sz w:val="24"/>
      <w:szCs w:val="20"/>
    </w:rPr>
  </w:style>
  <w:style w:type="paragraph" w:customStyle="1" w:styleId="ParaCharCharCharChar">
    <w:name w:val="默认段落字体 Para Char Char Char Char"/>
    <w:basedOn w:val="10"/>
    <w:next w:val="a1"/>
    <w:autoRedefine/>
    <w:uiPriority w:val="99"/>
    <w:qFormat/>
    <w:rsid w:val="002A5A5E"/>
    <w:pPr>
      <w:keepNext w:val="0"/>
      <w:keepLines w:val="0"/>
      <w:spacing w:before="0" w:after="0" w:line="500" w:lineRule="atLeast"/>
      <w:ind w:firstLineChars="177" w:firstLine="425"/>
      <w:outlineLvl w:val="9"/>
    </w:pPr>
    <w:rPr>
      <w:b w:val="0"/>
      <w:bCs w:val="0"/>
      <w:color w:val="000000"/>
      <w:kern w:val="2"/>
      <w:sz w:val="24"/>
      <w:szCs w:val="24"/>
    </w:rPr>
  </w:style>
  <w:style w:type="paragraph" w:customStyle="1" w:styleId="CharCharChar1CharCharCharCharCharChar1CharCharCharCharCharChar">
    <w:name w:val="Char Char Char1 Char Char Char Char Char Char1 Char Char Char Char Char Char"/>
    <w:basedOn w:val="10"/>
    <w:next w:val="a1"/>
    <w:autoRedefine/>
    <w:uiPriority w:val="99"/>
    <w:qFormat/>
    <w:rsid w:val="002A5A5E"/>
    <w:pPr>
      <w:keepNext w:val="0"/>
      <w:keepLines w:val="0"/>
      <w:snapToGrid w:val="0"/>
      <w:spacing w:before="0" w:after="0" w:line="360" w:lineRule="auto"/>
      <w:ind w:firstLineChars="200" w:firstLine="200"/>
      <w:outlineLvl w:val="9"/>
    </w:pPr>
    <w:rPr>
      <w:rFonts w:eastAsia="FangSong_GB2312"/>
      <w:b w:val="0"/>
      <w:bCs w:val="0"/>
      <w:color w:val="000000"/>
      <w:kern w:val="2"/>
      <w:sz w:val="24"/>
      <w:szCs w:val="24"/>
    </w:rPr>
  </w:style>
  <w:style w:type="paragraph" w:customStyle="1" w:styleId="16">
    <w:name w:val="纯文本1"/>
    <w:basedOn w:val="10"/>
    <w:next w:val="a1"/>
    <w:autoRedefine/>
    <w:uiPriority w:val="99"/>
    <w:qFormat/>
    <w:rsid w:val="002A5A5E"/>
    <w:pPr>
      <w:keepNext w:val="0"/>
      <w:keepLines w:val="0"/>
      <w:adjustRightInd w:val="0"/>
      <w:spacing w:before="0" w:after="0" w:line="500" w:lineRule="atLeast"/>
      <w:ind w:firstLineChars="177" w:firstLine="425"/>
      <w:outlineLvl w:val="9"/>
    </w:pPr>
    <w:rPr>
      <w:rFonts w:ascii="宋体" w:hAnsi="Courier New"/>
      <w:b w:val="0"/>
      <w:bCs w:val="0"/>
      <w:color w:val="000000"/>
      <w:kern w:val="2"/>
      <w:sz w:val="24"/>
      <w:szCs w:val="20"/>
    </w:rPr>
  </w:style>
  <w:style w:type="character" w:customStyle="1" w:styleId="Charf9">
    <w:name w:val="正文(首行缩进) Char"/>
    <w:link w:val="afff4"/>
    <w:qFormat/>
    <w:locked/>
    <w:rsid w:val="002A5A5E"/>
    <w:rPr>
      <w:snapToGrid w:val="0"/>
      <w:sz w:val="24"/>
      <w:szCs w:val="24"/>
    </w:rPr>
  </w:style>
  <w:style w:type="paragraph" w:customStyle="1" w:styleId="afff4">
    <w:name w:val="正文(首行缩进)"/>
    <w:basedOn w:val="10"/>
    <w:next w:val="a1"/>
    <w:link w:val="Charf9"/>
    <w:autoRedefine/>
    <w:qFormat/>
    <w:rsid w:val="002A5A5E"/>
    <w:pPr>
      <w:keepNext w:val="0"/>
      <w:keepLines w:val="0"/>
      <w:adjustRightInd w:val="0"/>
      <w:snapToGrid w:val="0"/>
      <w:spacing w:before="0" w:after="0" w:line="360" w:lineRule="auto"/>
      <w:ind w:firstLineChars="200" w:firstLine="200"/>
      <w:outlineLvl w:val="9"/>
    </w:pPr>
    <w:rPr>
      <w:rFonts w:asciiTheme="minorHAnsi" w:eastAsiaTheme="minorEastAsia" w:hAnsiTheme="minorHAnsi" w:cstheme="minorBidi"/>
      <w:b w:val="0"/>
      <w:bCs w:val="0"/>
      <w:snapToGrid w:val="0"/>
      <w:kern w:val="2"/>
      <w:sz w:val="24"/>
      <w:szCs w:val="24"/>
    </w:rPr>
  </w:style>
  <w:style w:type="paragraph" w:customStyle="1" w:styleId="26">
    <w:name w:val="纯文本2"/>
    <w:basedOn w:val="10"/>
    <w:next w:val="a1"/>
    <w:autoRedefine/>
    <w:uiPriority w:val="99"/>
    <w:qFormat/>
    <w:rsid w:val="002A5A5E"/>
    <w:pPr>
      <w:keepNext w:val="0"/>
      <w:keepLines w:val="0"/>
      <w:spacing w:before="0" w:after="0" w:line="500" w:lineRule="atLeast"/>
      <w:ind w:firstLineChars="177" w:firstLine="425"/>
      <w:outlineLvl w:val="9"/>
    </w:pPr>
    <w:rPr>
      <w:rFonts w:ascii="宋体" w:hAnsi="Courier New"/>
      <w:b w:val="0"/>
      <w:bCs w:val="0"/>
      <w:color w:val="000000"/>
      <w:kern w:val="0"/>
      <w:sz w:val="20"/>
      <w:szCs w:val="21"/>
    </w:rPr>
  </w:style>
  <w:style w:type="paragraph" w:customStyle="1" w:styleId="17">
    <w:name w:val="日期1"/>
    <w:basedOn w:val="10"/>
    <w:next w:val="a1"/>
    <w:autoRedefine/>
    <w:uiPriority w:val="99"/>
    <w:qFormat/>
    <w:rsid w:val="002A5A5E"/>
    <w:pPr>
      <w:keepNext w:val="0"/>
      <w:keepLines w:val="0"/>
      <w:spacing w:before="0" w:after="0" w:line="500" w:lineRule="atLeast"/>
      <w:ind w:leftChars="2500" w:left="100" w:firstLineChars="177" w:firstLine="425"/>
      <w:outlineLvl w:val="9"/>
    </w:pPr>
    <w:rPr>
      <w:rFonts w:ascii="Calibri" w:hAnsi="Calibri"/>
      <w:b w:val="0"/>
      <w:bCs w:val="0"/>
      <w:color w:val="000000"/>
      <w:kern w:val="0"/>
      <w:sz w:val="20"/>
      <w:szCs w:val="20"/>
    </w:rPr>
  </w:style>
  <w:style w:type="paragraph" w:customStyle="1" w:styleId="18">
    <w:name w:val="无间隔1"/>
    <w:next w:val="a1"/>
    <w:autoRedefine/>
    <w:uiPriority w:val="99"/>
    <w:qFormat/>
    <w:rsid w:val="002A5A5E"/>
    <w:rPr>
      <w:rFonts w:ascii="Calibri" w:eastAsia="宋体" w:hAnsi="Calibri" w:cs="Times New Roman"/>
      <w:color w:val="000000"/>
      <w:sz w:val="24"/>
    </w:rPr>
  </w:style>
  <w:style w:type="paragraph" w:customStyle="1" w:styleId="afff5">
    <w:name w:val="正文（我）"/>
    <w:basedOn w:val="10"/>
    <w:next w:val="a1"/>
    <w:autoRedefine/>
    <w:uiPriority w:val="99"/>
    <w:qFormat/>
    <w:rsid w:val="002A5A5E"/>
    <w:pPr>
      <w:keepNext w:val="0"/>
      <w:keepLines w:val="0"/>
      <w:spacing w:before="0" w:after="0" w:line="500" w:lineRule="atLeast"/>
      <w:ind w:firstLineChars="200" w:firstLine="200"/>
      <w:outlineLvl w:val="9"/>
    </w:pPr>
    <w:rPr>
      <w:b w:val="0"/>
      <w:bCs w:val="0"/>
      <w:color w:val="000000"/>
      <w:kern w:val="2"/>
      <w:sz w:val="28"/>
      <w:szCs w:val="24"/>
    </w:rPr>
  </w:style>
  <w:style w:type="paragraph" w:customStyle="1" w:styleId="Char1a">
    <w:name w:val="Char1"/>
    <w:basedOn w:val="10"/>
    <w:next w:val="a1"/>
    <w:autoRedefine/>
    <w:uiPriority w:val="99"/>
    <w:qFormat/>
    <w:rsid w:val="002A5A5E"/>
    <w:pPr>
      <w:keepNext w:val="0"/>
      <w:keepLines w:val="0"/>
      <w:spacing w:before="0" w:after="0" w:line="500" w:lineRule="atLeast"/>
      <w:ind w:left="510" w:firstLineChars="177" w:firstLine="425"/>
      <w:outlineLvl w:val="9"/>
    </w:pPr>
    <w:rPr>
      <w:b w:val="0"/>
      <w:bCs w:val="0"/>
      <w:color w:val="000000"/>
      <w:kern w:val="2"/>
      <w:sz w:val="24"/>
      <w:szCs w:val="21"/>
    </w:rPr>
  </w:style>
  <w:style w:type="paragraph" w:customStyle="1" w:styleId="Charfa">
    <w:name w:val="Char"/>
    <w:basedOn w:val="10"/>
    <w:next w:val="ab"/>
    <w:autoRedefine/>
    <w:qFormat/>
    <w:rsid w:val="002A5A5E"/>
    <w:pPr>
      <w:keepNext w:val="0"/>
      <w:keepLines w:val="0"/>
      <w:spacing w:before="0" w:after="0" w:line="360" w:lineRule="auto"/>
      <w:ind w:firstLineChars="200" w:firstLine="200"/>
      <w:jc w:val="center"/>
      <w:outlineLvl w:val="9"/>
    </w:pPr>
    <w:rPr>
      <w:rFonts w:ascii="宋体" w:hAnsi="宋体" w:cs="宋体"/>
      <w:bCs w:val="0"/>
      <w:color w:val="000000"/>
      <w:kern w:val="2"/>
      <w:sz w:val="30"/>
      <w:szCs w:val="30"/>
    </w:rPr>
  </w:style>
  <w:style w:type="paragraph" w:customStyle="1" w:styleId="CharCharChar1CharCharCharCharCharCharCharChar">
    <w:name w:val="Char Char Char1 Char Char Char Char Char Char Char Char"/>
    <w:basedOn w:val="10"/>
    <w:next w:val="a1"/>
    <w:autoRedefine/>
    <w:uiPriority w:val="99"/>
    <w:qFormat/>
    <w:rsid w:val="002A5A5E"/>
    <w:pPr>
      <w:keepNext w:val="0"/>
      <w:keepLines w:val="0"/>
      <w:spacing w:before="0" w:after="0" w:line="360" w:lineRule="auto"/>
      <w:ind w:firstLineChars="200" w:firstLine="200"/>
      <w:outlineLvl w:val="9"/>
    </w:pPr>
    <w:rPr>
      <w:rFonts w:ascii="宋体" w:hAnsi="宋体" w:cs="宋体"/>
      <w:b w:val="0"/>
      <w:bCs w:val="0"/>
      <w:color w:val="000000"/>
      <w:kern w:val="2"/>
      <w:sz w:val="24"/>
      <w:szCs w:val="24"/>
    </w:rPr>
  </w:style>
  <w:style w:type="paragraph" w:customStyle="1" w:styleId="CharCharCharCharCharCharCharCharCharCharCharCharCharCharCharChar">
    <w:name w:val="Char Char Char Char Char Char Char Char Char Char Char Char Char Char Char Char"/>
    <w:basedOn w:val="10"/>
    <w:next w:val="a1"/>
    <w:autoRedefine/>
    <w:uiPriority w:val="99"/>
    <w:qFormat/>
    <w:rsid w:val="002A5A5E"/>
    <w:pPr>
      <w:keepNext w:val="0"/>
      <w:keepLines w:val="0"/>
      <w:spacing w:before="0" w:after="0" w:line="360" w:lineRule="auto"/>
      <w:ind w:firstLineChars="200" w:firstLine="200"/>
      <w:outlineLvl w:val="9"/>
    </w:pPr>
    <w:rPr>
      <w:rFonts w:ascii="宋体" w:hAnsi="宋体" w:cs="宋体"/>
      <w:b w:val="0"/>
      <w:bCs w:val="0"/>
      <w:color w:val="000000"/>
      <w:kern w:val="2"/>
      <w:sz w:val="24"/>
      <w:szCs w:val="24"/>
    </w:rPr>
  </w:style>
  <w:style w:type="character" w:customStyle="1" w:styleId="27">
    <w:name w:val="正文文本 (2)_"/>
    <w:link w:val="28"/>
    <w:qFormat/>
    <w:locked/>
    <w:rsid w:val="002A5A5E"/>
    <w:rPr>
      <w:rFonts w:ascii="MingLiU" w:eastAsia="MingLiU" w:hAnsi="MingLiU"/>
      <w:sz w:val="23"/>
      <w:szCs w:val="23"/>
      <w:shd w:val="clear" w:color="auto" w:fill="FFFFFF"/>
    </w:rPr>
  </w:style>
  <w:style w:type="paragraph" w:customStyle="1" w:styleId="28">
    <w:name w:val="正文文本 (2)"/>
    <w:basedOn w:val="10"/>
    <w:next w:val="a1"/>
    <w:link w:val="27"/>
    <w:autoRedefine/>
    <w:qFormat/>
    <w:rsid w:val="002A5A5E"/>
    <w:pPr>
      <w:keepNext w:val="0"/>
      <w:keepLines w:val="0"/>
      <w:shd w:val="clear" w:color="auto" w:fill="FFFFFF"/>
      <w:spacing w:before="0" w:after="0" w:line="466" w:lineRule="exact"/>
      <w:ind w:firstLineChars="177" w:firstLine="425"/>
      <w:jc w:val="distribute"/>
      <w:outlineLvl w:val="9"/>
    </w:pPr>
    <w:rPr>
      <w:rFonts w:ascii="MingLiU" w:eastAsia="MingLiU" w:hAnsi="MingLiU" w:cstheme="minorBidi"/>
      <w:b w:val="0"/>
      <w:bCs w:val="0"/>
      <w:kern w:val="2"/>
      <w:sz w:val="23"/>
      <w:szCs w:val="23"/>
    </w:rPr>
  </w:style>
  <w:style w:type="paragraph" w:customStyle="1" w:styleId="afff6">
    <w:name w:val="公式"/>
    <w:basedOn w:val="10"/>
    <w:next w:val="a1"/>
    <w:autoRedefine/>
    <w:uiPriority w:val="99"/>
    <w:qFormat/>
    <w:rsid w:val="002A5A5E"/>
    <w:pPr>
      <w:keepNext w:val="0"/>
      <w:keepLines w:val="0"/>
      <w:spacing w:before="0" w:after="0" w:line="312" w:lineRule="auto"/>
      <w:ind w:firstLineChars="177" w:firstLine="425"/>
      <w:jc w:val="right"/>
      <w:outlineLvl w:val="9"/>
    </w:pPr>
    <w:rPr>
      <w:rFonts w:ascii="宋体" w:hAnsi="宋体"/>
      <w:b w:val="0"/>
      <w:bCs w:val="0"/>
      <w:color w:val="000000"/>
      <w:kern w:val="2"/>
      <w:sz w:val="24"/>
      <w:szCs w:val="24"/>
    </w:rPr>
  </w:style>
  <w:style w:type="paragraph" w:customStyle="1" w:styleId="41">
    <w:name w:val="纯文本4"/>
    <w:basedOn w:val="10"/>
    <w:next w:val="a1"/>
    <w:autoRedefine/>
    <w:uiPriority w:val="99"/>
    <w:qFormat/>
    <w:rsid w:val="002A5A5E"/>
    <w:pPr>
      <w:keepNext w:val="0"/>
      <w:keepLines w:val="0"/>
      <w:spacing w:before="0" w:after="0" w:line="500" w:lineRule="atLeast"/>
      <w:ind w:firstLineChars="177" w:firstLine="425"/>
      <w:outlineLvl w:val="9"/>
    </w:pPr>
    <w:rPr>
      <w:rFonts w:ascii="宋体" w:hAnsi="Courier New"/>
      <w:b w:val="0"/>
      <w:bCs w:val="0"/>
      <w:kern w:val="0"/>
      <w:sz w:val="20"/>
      <w:szCs w:val="21"/>
    </w:rPr>
  </w:style>
  <w:style w:type="paragraph" w:customStyle="1" w:styleId="29">
    <w:name w:val="日期2"/>
    <w:basedOn w:val="10"/>
    <w:next w:val="a1"/>
    <w:autoRedefine/>
    <w:uiPriority w:val="99"/>
    <w:qFormat/>
    <w:rsid w:val="002A5A5E"/>
    <w:pPr>
      <w:keepNext w:val="0"/>
      <w:keepLines w:val="0"/>
      <w:spacing w:before="0" w:after="0" w:line="500" w:lineRule="atLeast"/>
      <w:ind w:leftChars="2500" w:left="100" w:firstLineChars="177" w:firstLine="425"/>
      <w:outlineLvl w:val="9"/>
    </w:pPr>
    <w:rPr>
      <w:rFonts w:ascii="Calibri" w:hAnsi="Calibri"/>
      <w:b w:val="0"/>
      <w:bCs w:val="0"/>
      <w:kern w:val="0"/>
      <w:sz w:val="20"/>
      <w:szCs w:val="20"/>
    </w:rPr>
  </w:style>
  <w:style w:type="paragraph" w:customStyle="1" w:styleId="2a">
    <w:name w:val="无间隔2"/>
    <w:next w:val="a1"/>
    <w:autoRedefine/>
    <w:uiPriority w:val="99"/>
    <w:qFormat/>
    <w:rsid w:val="002A5A5E"/>
    <w:rPr>
      <w:rFonts w:ascii="Calibri" w:eastAsia="宋体" w:hAnsi="Calibri" w:cs="Times New Roman"/>
      <w:sz w:val="22"/>
    </w:rPr>
  </w:style>
  <w:style w:type="paragraph" w:customStyle="1" w:styleId="51">
    <w:name w:val="纯文本5"/>
    <w:basedOn w:val="10"/>
    <w:next w:val="a1"/>
    <w:autoRedefine/>
    <w:uiPriority w:val="99"/>
    <w:qFormat/>
    <w:rsid w:val="002A5A5E"/>
    <w:pPr>
      <w:keepNext w:val="0"/>
      <w:keepLines w:val="0"/>
      <w:spacing w:before="0" w:after="0" w:line="500" w:lineRule="atLeast"/>
      <w:ind w:firstLineChars="177" w:firstLine="425"/>
      <w:outlineLvl w:val="9"/>
    </w:pPr>
    <w:rPr>
      <w:rFonts w:ascii="宋体" w:hAnsi="Courier New"/>
      <w:b w:val="0"/>
      <w:bCs w:val="0"/>
      <w:kern w:val="0"/>
      <w:sz w:val="20"/>
      <w:szCs w:val="21"/>
    </w:rPr>
  </w:style>
  <w:style w:type="paragraph" w:customStyle="1" w:styleId="Char120">
    <w:name w:val="Char12"/>
    <w:basedOn w:val="10"/>
    <w:next w:val="a1"/>
    <w:autoRedefine/>
    <w:uiPriority w:val="99"/>
    <w:qFormat/>
    <w:rsid w:val="002A5A5E"/>
    <w:pPr>
      <w:keepNext w:val="0"/>
      <w:keepLines w:val="0"/>
      <w:spacing w:before="0" w:after="0" w:line="500" w:lineRule="atLeast"/>
      <w:ind w:left="510" w:firstLineChars="177" w:firstLine="425"/>
      <w:outlineLvl w:val="9"/>
    </w:pPr>
    <w:rPr>
      <w:b w:val="0"/>
      <w:bCs w:val="0"/>
      <w:kern w:val="2"/>
      <w:sz w:val="24"/>
      <w:szCs w:val="21"/>
    </w:rPr>
  </w:style>
  <w:style w:type="paragraph" w:customStyle="1" w:styleId="CharCharChar1CharCharCharCharCharCharCharChar2">
    <w:name w:val="Char Char Char1 Char Char Char Char Char Char Char Char2"/>
    <w:basedOn w:val="10"/>
    <w:next w:val="a1"/>
    <w:autoRedefine/>
    <w:uiPriority w:val="99"/>
    <w:qFormat/>
    <w:rsid w:val="002A5A5E"/>
    <w:pPr>
      <w:keepNext w:val="0"/>
      <w:keepLines w:val="0"/>
      <w:spacing w:before="0" w:after="0" w:line="360" w:lineRule="auto"/>
      <w:ind w:firstLineChars="200" w:firstLine="200"/>
      <w:outlineLvl w:val="9"/>
    </w:pPr>
    <w:rPr>
      <w:rFonts w:ascii="宋体" w:hAnsi="宋体" w:cs="宋体"/>
      <w:b w:val="0"/>
      <w:bCs w:val="0"/>
      <w:kern w:val="2"/>
      <w:sz w:val="24"/>
      <w:szCs w:val="24"/>
    </w:rPr>
  </w:style>
  <w:style w:type="paragraph" w:customStyle="1" w:styleId="CharCharCharCharCharCharCharCharCharCharCharCharCharCharCharChar2">
    <w:name w:val="Char Char Char Char Char Char Char Char Char Char Char Char Char Char Char Char2"/>
    <w:basedOn w:val="10"/>
    <w:next w:val="a1"/>
    <w:autoRedefine/>
    <w:uiPriority w:val="99"/>
    <w:qFormat/>
    <w:rsid w:val="002A5A5E"/>
    <w:pPr>
      <w:keepNext w:val="0"/>
      <w:keepLines w:val="0"/>
      <w:spacing w:before="0" w:after="0" w:line="360" w:lineRule="auto"/>
      <w:ind w:firstLineChars="200" w:firstLine="200"/>
      <w:outlineLvl w:val="9"/>
    </w:pPr>
    <w:rPr>
      <w:rFonts w:ascii="宋体" w:hAnsi="宋体" w:cs="宋体"/>
      <w:b w:val="0"/>
      <w:bCs w:val="0"/>
      <w:kern w:val="2"/>
      <w:sz w:val="24"/>
      <w:szCs w:val="24"/>
    </w:rPr>
  </w:style>
  <w:style w:type="paragraph" w:customStyle="1" w:styleId="42">
    <w:name w:val="正文4"/>
    <w:next w:val="a1"/>
    <w:autoRedefine/>
    <w:uiPriority w:val="99"/>
    <w:qFormat/>
    <w:rsid w:val="002A5A5E"/>
    <w:pPr>
      <w:widowControl w:val="0"/>
      <w:adjustRightInd w:val="0"/>
      <w:spacing w:line="360" w:lineRule="atLeast"/>
    </w:pPr>
    <w:rPr>
      <w:rFonts w:ascii="宋体" w:eastAsia="宋体" w:hAnsi="Times New Roman" w:cs="Times New Roman"/>
      <w:sz w:val="24"/>
    </w:rPr>
  </w:style>
  <w:style w:type="paragraph" w:customStyle="1" w:styleId="35">
    <w:name w:val="日期3"/>
    <w:basedOn w:val="10"/>
    <w:next w:val="a1"/>
    <w:autoRedefine/>
    <w:uiPriority w:val="99"/>
    <w:qFormat/>
    <w:rsid w:val="002A5A5E"/>
    <w:pPr>
      <w:keepNext w:val="0"/>
      <w:keepLines w:val="0"/>
      <w:spacing w:before="0" w:after="0" w:line="500" w:lineRule="atLeast"/>
      <w:ind w:leftChars="2500" w:left="100" w:firstLineChars="177" w:firstLine="425"/>
      <w:outlineLvl w:val="9"/>
    </w:pPr>
    <w:rPr>
      <w:rFonts w:ascii="Calibri" w:hAnsi="Calibri"/>
      <w:b w:val="0"/>
      <w:bCs w:val="0"/>
      <w:kern w:val="0"/>
      <w:sz w:val="20"/>
      <w:szCs w:val="20"/>
    </w:rPr>
  </w:style>
  <w:style w:type="paragraph" w:customStyle="1" w:styleId="36">
    <w:name w:val="无间隔3"/>
    <w:next w:val="a1"/>
    <w:autoRedefine/>
    <w:uiPriority w:val="99"/>
    <w:qFormat/>
    <w:rsid w:val="002A5A5E"/>
    <w:rPr>
      <w:rFonts w:ascii="Calibri" w:eastAsia="宋体" w:hAnsi="Calibri" w:cs="Times New Roman"/>
      <w:sz w:val="22"/>
    </w:rPr>
  </w:style>
  <w:style w:type="paragraph" w:customStyle="1" w:styleId="Char110">
    <w:name w:val="Char11"/>
    <w:basedOn w:val="10"/>
    <w:next w:val="a1"/>
    <w:autoRedefine/>
    <w:uiPriority w:val="99"/>
    <w:qFormat/>
    <w:rsid w:val="002A5A5E"/>
    <w:pPr>
      <w:keepNext w:val="0"/>
      <w:keepLines w:val="0"/>
      <w:spacing w:before="0" w:after="0" w:line="500" w:lineRule="atLeast"/>
      <w:ind w:left="510" w:firstLineChars="177" w:firstLine="425"/>
      <w:outlineLvl w:val="9"/>
    </w:pPr>
    <w:rPr>
      <w:b w:val="0"/>
      <w:bCs w:val="0"/>
      <w:kern w:val="2"/>
      <w:sz w:val="24"/>
      <w:szCs w:val="21"/>
    </w:rPr>
  </w:style>
  <w:style w:type="paragraph" w:customStyle="1" w:styleId="CharCharChar1CharCharCharCharCharCharCharChar1">
    <w:name w:val="Char Char Char1 Char Char Char Char Char Char Char Char1"/>
    <w:basedOn w:val="10"/>
    <w:next w:val="a1"/>
    <w:autoRedefine/>
    <w:uiPriority w:val="99"/>
    <w:qFormat/>
    <w:rsid w:val="002A5A5E"/>
    <w:pPr>
      <w:keepNext w:val="0"/>
      <w:keepLines w:val="0"/>
      <w:spacing w:before="0" w:after="0" w:line="360" w:lineRule="auto"/>
      <w:ind w:firstLineChars="200" w:firstLine="200"/>
      <w:outlineLvl w:val="9"/>
    </w:pPr>
    <w:rPr>
      <w:rFonts w:ascii="宋体" w:hAnsi="宋体" w:cs="宋体"/>
      <w:b w:val="0"/>
      <w:bCs w:val="0"/>
      <w:kern w:val="2"/>
      <w:sz w:val="24"/>
      <w:szCs w:val="24"/>
    </w:rPr>
  </w:style>
  <w:style w:type="paragraph" w:customStyle="1" w:styleId="CharCharCharCharCharCharCharCharCharCharCharCharCharCharCharChar1">
    <w:name w:val="Char Char Char Char Char Char Char Char Char Char Char Char Char Char Char Char1"/>
    <w:basedOn w:val="10"/>
    <w:next w:val="a1"/>
    <w:autoRedefine/>
    <w:uiPriority w:val="99"/>
    <w:qFormat/>
    <w:rsid w:val="002A5A5E"/>
    <w:pPr>
      <w:keepNext w:val="0"/>
      <w:keepLines w:val="0"/>
      <w:spacing w:before="0" w:after="0" w:line="360" w:lineRule="auto"/>
      <w:ind w:firstLineChars="200" w:firstLine="200"/>
      <w:outlineLvl w:val="9"/>
    </w:pPr>
    <w:rPr>
      <w:rFonts w:ascii="宋体" w:hAnsi="宋体" w:cs="宋体"/>
      <w:b w:val="0"/>
      <w:bCs w:val="0"/>
      <w:kern w:val="2"/>
      <w:sz w:val="24"/>
      <w:szCs w:val="24"/>
    </w:rPr>
  </w:style>
  <w:style w:type="character" w:customStyle="1" w:styleId="1CharChar">
    <w:name w:val="正缩1 Char Char"/>
    <w:link w:val="1Char0"/>
    <w:qFormat/>
    <w:locked/>
    <w:rsid w:val="002A5A5E"/>
    <w:rPr>
      <w:rFonts w:ascii="FangSong_GB2312" w:eastAsia="FangSong_GB2312"/>
      <w:snapToGrid w:val="0"/>
      <w:color w:val="000000"/>
      <w:sz w:val="28"/>
    </w:rPr>
  </w:style>
  <w:style w:type="paragraph" w:customStyle="1" w:styleId="1Char0">
    <w:name w:val="正缩1 Char"/>
    <w:basedOn w:val="10"/>
    <w:next w:val="a1"/>
    <w:link w:val="1CharChar"/>
    <w:autoRedefine/>
    <w:qFormat/>
    <w:rsid w:val="002A5A5E"/>
    <w:pPr>
      <w:keepNext w:val="0"/>
      <w:keepLines w:val="0"/>
      <w:adjustRightInd w:val="0"/>
      <w:snapToGrid w:val="0"/>
      <w:spacing w:before="0" w:after="0" w:line="500" w:lineRule="exact"/>
      <w:ind w:firstLineChars="177" w:firstLine="567"/>
      <w:outlineLvl w:val="9"/>
    </w:pPr>
    <w:rPr>
      <w:rFonts w:ascii="FangSong_GB2312" w:eastAsia="FangSong_GB2312" w:hAnsiTheme="minorHAnsi" w:cstheme="minorBidi"/>
      <w:b w:val="0"/>
      <w:bCs w:val="0"/>
      <w:snapToGrid w:val="0"/>
      <w:color w:val="000000"/>
      <w:kern w:val="2"/>
      <w:sz w:val="28"/>
      <w:szCs w:val="22"/>
    </w:rPr>
  </w:style>
  <w:style w:type="character" w:customStyle="1" w:styleId="Charfb">
    <w:name w:val="报告正文 Char"/>
    <w:link w:val="afff7"/>
    <w:qFormat/>
    <w:locked/>
    <w:rsid w:val="002A5A5E"/>
    <w:rPr>
      <w:sz w:val="24"/>
    </w:rPr>
  </w:style>
  <w:style w:type="paragraph" w:customStyle="1" w:styleId="afff7">
    <w:name w:val="报告正文"/>
    <w:basedOn w:val="10"/>
    <w:next w:val="a1"/>
    <w:link w:val="Charfb"/>
    <w:autoRedefine/>
    <w:qFormat/>
    <w:rsid w:val="002A5A5E"/>
    <w:pPr>
      <w:keepNext w:val="0"/>
      <w:keepLines w:val="0"/>
      <w:spacing w:before="0" w:after="0" w:line="360" w:lineRule="auto"/>
      <w:ind w:firstLineChars="200" w:firstLine="200"/>
      <w:outlineLvl w:val="9"/>
    </w:pPr>
    <w:rPr>
      <w:rFonts w:asciiTheme="minorHAnsi" w:eastAsiaTheme="minorEastAsia" w:hAnsiTheme="minorHAnsi" w:cstheme="minorBidi"/>
      <w:b w:val="0"/>
      <w:bCs w:val="0"/>
      <w:kern w:val="2"/>
      <w:sz w:val="24"/>
      <w:szCs w:val="22"/>
    </w:rPr>
  </w:style>
  <w:style w:type="character" w:customStyle="1" w:styleId="111Char">
    <w:name w:val="正文111 Char"/>
    <w:basedOn w:val="a2"/>
    <w:link w:val="111"/>
    <w:qFormat/>
    <w:locked/>
    <w:rsid w:val="002A5A5E"/>
    <w:rPr>
      <w:rFonts w:ascii="FangSong_GB2312" w:eastAsia="FangSong_GB2312"/>
      <w:spacing w:val="6"/>
      <w:sz w:val="24"/>
      <w:szCs w:val="24"/>
    </w:rPr>
  </w:style>
  <w:style w:type="paragraph" w:customStyle="1" w:styleId="111">
    <w:name w:val="正文111"/>
    <w:basedOn w:val="10"/>
    <w:next w:val="a1"/>
    <w:link w:val="111Char"/>
    <w:autoRedefine/>
    <w:qFormat/>
    <w:rsid w:val="002A5A5E"/>
    <w:pPr>
      <w:keepNext w:val="0"/>
      <w:keepLines w:val="0"/>
      <w:spacing w:before="0" w:after="0" w:line="520" w:lineRule="exact"/>
      <w:ind w:firstLineChars="200" w:firstLine="200"/>
      <w:outlineLvl w:val="9"/>
    </w:pPr>
    <w:rPr>
      <w:rFonts w:ascii="FangSong_GB2312" w:eastAsia="FangSong_GB2312" w:hAnsiTheme="minorHAnsi" w:cstheme="minorBidi"/>
      <w:b w:val="0"/>
      <w:bCs w:val="0"/>
      <w:spacing w:val="6"/>
      <w:kern w:val="2"/>
      <w:sz w:val="24"/>
      <w:szCs w:val="24"/>
    </w:rPr>
  </w:style>
  <w:style w:type="character" w:customStyle="1" w:styleId="Char1b">
    <w:name w:val="表格内文字 Char1"/>
    <w:basedOn w:val="a2"/>
    <w:link w:val="afff8"/>
    <w:qFormat/>
    <w:locked/>
    <w:rsid w:val="002A5A5E"/>
    <w:rPr>
      <w:szCs w:val="21"/>
      <w:lang w:val="zh-CN"/>
    </w:rPr>
  </w:style>
  <w:style w:type="paragraph" w:customStyle="1" w:styleId="afff8">
    <w:name w:val="表格内文字"/>
    <w:next w:val="a1"/>
    <w:link w:val="Char1b"/>
    <w:autoRedefine/>
    <w:qFormat/>
    <w:rsid w:val="002A5A5E"/>
    <w:rPr>
      <w:kern w:val="2"/>
      <w:sz w:val="21"/>
      <w:szCs w:val="21"/>
      <w:lang w:val="zh-CN"/>
    </w:rPr>
  </w:style>
  <w:style w:type="paragraph" w:customStyle="1" w:styleId="Charfc">
    <w:name w:val="麦志勤正文 Char"/>
    <w:basedOn w:val="10"/>
    <w:next w:val="a1"/>
    <w:autoRedefine/>
    <w:uiPriority w:val="99"/>
    <w:qFormat/>
    <w:rsid w:val="002A5A5E"/>
    <w:pPr>
      <w:keepNext w:val="0"/>
      <w:keepLines w:val="0"/>
      <w:adjustRightInd w:val="0"/>
      <w:snapToGrid w:val="0"/>
      <w:spacing w:beforeLines="20" w:after="0" w:line="300" w:lineRule="auto"/>
      <w:ind w:firstLineChars="200" w:firstLine="200"/>
      <w:outlineLvl w:val="9"/>
    </w:pPr>
    <w:rPr>
      <w:rFonts w:ascii="宋体" w:hAnsi="宋体"/>
      <w:b w:val="0"/>
      <w:bCs w:val="0"/>
      <w:kern w:val="2"/>
      <w:sz w:val="24"/>
      <w:szCs w:val="20"/>
    </w:rPr>
  </w:style>
  <w:style w:type="character" w:customStyle="1" w:styleId="----------------CharChar">
    <w:name w:val="正文---------------- Char Char"/>
    <w:basedOn w:val="a2"/>
    <w:link w:val="----------------"/>
    <w:qFormat/>
    <w:locked/>
    <w:rsid w:val="002A5A5E"/>
    <w:rPr>
      <w:rFonts w:ascii="宋体" w:eastAsia="宋体" w:hAnsi="宋体" w:cs="宋体"/>
      <w:spacing w:val="16"/>
      <w:sz w:val="24"/>
    </w:rPr>
  </w:style>
  <w:style w:type="paragraph" w:customStyle="1" w:styleId="----------------">
    <w:name w:val="正文----------------"/>
    <w:basedOn w:val="10"/>
    <w:next w:val="a1"/>
    <w:link w:val="----------------CharChar"/>
    <w:autoRedefine/>
    <w:qFormat/>
    <w:rsid w:val="002A5A5E"/>
    <w:pPr>
      <w:keepNext w:val="0"/>
      <w:keepLines w:val="0"/>
      <w:spacing w:before="0" w:after="0" w:line="440" w:lineRule="exact"/>
      <w:ind w:firstLineChars="200" w:firstLine="544"/>
      <w:outlineLvl w:val="9"/>
    </w:pPr>
    <w:rPr>
      <w:rFonts w:ascii="宋体" w:hAnsi="宋体" w:cs="宋体"/>
      <w:b w:val="0"/>
      <w:bCs w:val="0"/>
      <w:spacing w:val="16"/>
      <w:kern w:val="2"/>
      <w:sz w:val="24"/>
      <w:szCs w:val="22"/>
    </w:rPr>
  </w:style>
  <w:style w:type="paragraph" w:customStyle="1" w:styleId="122">
    <w:name w:val="样式 样式 样式1 + 首行缩进:  2 字符 + 首行缩进:  2 字符"/>
    <w:basedOn w:val="10"/>
    <w:next w:val="a1"/>
    <w:autoRedefine/>
    <w:uiPriority w:val="99"/>
    <w:qFormat/>
    <w:rsid w:val="002A5A5E"/>
    <w:pPr>
      <w:keepNext w:val="0"/>
      <w:keepLines w:val="0"/>
      <w:spacing w:before="0" w:after="0" w:line="360" w:lineRule="auto"/>
      <w:ind w:firstLineChars="250" w:firstLine="600"/>
      <w:outlineLvl w:val="9"/>
    </w:pPr>
    <w:rPr>
      <w:rFonts w:cs="宋体"/>
      <w:b w:val="0"/>
      <w:kern w:val="2"/>
      <w:sz w:val="24"/>
      <w:szCs w:val="24"/>
    </w:rPr>
  </w:style>
  <w:style w:type="paragraph" w:customStyle="1" w:styleId="220">
    <w:name w:val="样式 宋体 小四 左 行距: 固定值 22 磅"/>
    <w:basedOn w:val="10"/>
    <w:next w:val="a1"/>
    <w:autoRedefine/>
    <w:uiPriority w:val="99"/>
    <w:qFormat/>
    <w:rsid w:val="002A5A5E"/>
    <w:pPr>
      <w:keepNext w:val="0"/>
      <w:keepLines w:val="0"/>
      <w:spacing w:before="0" w:after="0" w:line="440" w:lineRule="exact"/>
      <w:ind w:firstLineChars="200" w:firstLine="200"/>
      <w:jc w:val="left"/>
      <w:outlineLvl w:val="9"/>
    </w:pPr>
    <w:rPr>
      <w:rFonts w:ascii="宋体" w:hAnsi="宋体" w:cs="宋体"/>
      <w:b w:val="0"/>
      <w:bCs w:val="0"/>
      <w:kern w:val="2"/>
      <w:sz w:val="24"/>
      <w:szCs w:val="20"/>
    </w:rPr>
  </w:style>
  <w:style w:type="character" w:customStyle="1" w:styleId="Charfd">
    <w:name w:val="表格标题采用 Char"/>
    <w:link w:val="afff9"/>
    <w:qFormat/>
    <w:locked/>
    <w:rsid w:val="002A5A5E"/>
    <w:rPr>
      <w:rFonts w:ascii="宋体" w:eastAsia="宋体" w:hAnsi="宋体"/>
      <w:b/>
      <w:color w:val="000000"/>
      <w:sz w:val="24"/>
      <w:szCs w:val="24"/>
    </w:rPr>
  </w:style>
  <w:style w:type="paragraph" w:customStyle="1" w:styleId="afff9">
    <w:name w:val="表格标题采用"/>
    <w:basedOn w:val="10"/>
    <w:next w:val="a1"/>
    <w:link w:val="Charfd"/>
    <w:autoRedefine/>
    <w:qFormat/>
    <w:rsid w:val="002A5A5E"/>
    <w:pPr>
      <w:keepNext w:val="0"/>
      <w:keepLines w:val="0"/>
      <w:spacing w:before="0" w:after="0" w:line="500" w:lineRule="atLeast"/>
      <w:ind w:firstLineChars="177" w:firstLine="480"/>
      <w:jc w:val="center"/>
      <w:outlineLvl w:val="9"/>
    </w:pPr>
    <w:rPr>
      <w:rFonts w:ascii="宋体" w:hAnsi="宋体" w:cstheme="minorBidi"/>
      <w:bCs w:val="0"/>
      <w:color w:val="000000"/>
      <w:kern w:val="2"/>
      <w:sz w:val="24"/>
      <w:szCs w:val="24"/>
    </w:rPr>
  </w:style>
  <w:style w:type="character" w:customStyle="1" w:styleId="Charfe">
    <w:name w:val="表格内容 Char"/>
    <w:link w:val="afffa"/>
    <w:qFormat/>
    <w:locked/>
    <w:rsid w:val="002A5A5E"/>
    <w:rPr>
      <w:snapToGrid w:val="0"/>
      <w:color w:val="FF0000"/>
      <w:szCs w:val="21"/>
    </w:rPr>
  </w:style>
  <w:style w:type="paragraph" w:customStyle="1" w:styleId="afffa">
    <w:name w:val="表格内容"/>
    <w:basedOn w:val="10"/>
    <w:next w:val="a1"/>
    <w:link w:val="Charfe"/>
    <w:autoRedefine/>
    <w:qFormat/>
    <w:rsid w:val="002A5A5E"/>
    <w:pPr>
      <w:keepNext w:val="0"/>
      <w:keepLines w:val="0"/>
      <w:snapToGrid w:val="0"/>
      <w:spacing w:before="0" w:after="0" w:line="240" w:lineRule="exact"/>
      <w:ind w:firstLineChars="177" w:firstLine="425"/>
      <w:jc w:val="center"/>
      <w:outlineLvl w:val="9"/>
    </w:pPr>
    <w:rPr>
      <w:rFonts w:asciiTheme="minorHAnsi" w:eastAsiaTheme="minorEastAsia" w:hAnsiTheme="minorHAnsi" w:cstheme="minorBidi"/>
      <w:b w:val="0"/>
      <w:bCs w:val="0"/>
      <w:snapToGrid w:val="0"/>
      <w:color w:val="FF0000"/>
      <w:kern w:val="2"/>
      <w:sz w:val="21"/>
      <w:szCs w:val="21"/>
    </w:rPr>
  </w:style>
  <w:style w:type="paragraph" w:customStyle="1" w:styleId="Charff">
    <w:name w:val="正文段落格式 Char"/>
    <w:basedOn w:val="10"/>
    <w:next w:val="a1"/>
    <w:autoRedefine/>
    <w:uiPriority w:val="99"/>
    <w:qFormat/>
    <w:rsid w:val="002A5A5E"/>
    <w:pPr>
      <w:keepNext w:val="0"/>
      <w:keepLines w:val="0"/>
      <w:spacing w:before="0" w:after="0" w:line="360" w:lineRule="auto"/>
      <w:ind w:firstLineChars="200" w:firstLine="200"/>
      <w:outlineLvl w:val="9"/>
    </w:pPr>
    <w:rPr>
      <w:b w:val="0"/>
      <w:bCs w:val="0"/>
      <w:kern w:val="2"/>
      <w:sz w:val="28"/>
      <w:szCs w:val="20"/>
    </w:rPr>
  </w:style>
  <w:style w:type="paragraph" w:customStyle="1" w:styleId="reader-word-layer">
    <w:name w:val="reader-word-layer"/>
    <w:basedOn w:val="10"/>
    <w:next w:val="a1"/>
    <w:autoRedefine/>
    <w:uiPriority w:val="99"/>
    <w:qFormat/>
    <w:rsid w:val="002A5A5E"/>
    <w:pPr>
      <w:keepNext w:val="0"/>
      <w:keepLines w:val="0"/>
      <w:widowControl/>
      <w:spacing w:before="100" w:beforeAutospacing="1" w:after="100" w:afterAutospacing="1" w:line="500" w:lineRule="atLeast"/>
      <w:ind w:firstLineChars="177" w:firstLine="425"/>
      <w:jc w:val="left"/>
      <w:outlineLvl w:val="9"/>
    </w:pPr>
    <w:rPr>
      <w:rFonts w:ascii="宋体" w:hAnsi="宋体" w:cs="宋体"/>
      <w:b w:val="0"/>
      <w:bCs w:val="0"/>
      <w:kern w:val="0"/>
      <w:sz w:val="24"/>
      <w:szCs w:val="24"/>
    </w:rPr>
  </w:style>
  <w:style w:type="paragraph" w:customStyle="1" w:styleId="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w:next w:val="a1"/>
    <w:autoRedefine/>
    <w:uiPriority w:val="99"/>
    <w:qFormat/>
    <w:rsid w:val="002A5A5E"/>
    <w:pPr>
      <w:widowControl w:val="0"/>
      <w:jc w:val="both"/>
    </w:pPr>
    <w:rPr>
      <w:rFonts w:ascii="Times New Roman" w:eastAsia="宋体" w:hAnsi="Times New Roman" w:cs="Times New Roman"/>
      <w:kern w:val="2"/>
      <w:sz w:val="21"/>
      <w:szCs w:val="24"/>
    </w:rPr>
  </w:style>
  <w:style w:type="paragraph" w:customStyle="1" w:styleId="afffb">
    <w:name w:val="表格文字"/>
    <w:basedOn w:val="10"/>
    <w:next w:val="a1"/>
    <w:autoRedefine/>
    <w:qFormat/>
    <w:rsid w:val="002A5A5E"/>
    <w:pPr>
      <w:keepNext w:val="0"/>
      <w:keepLines w:val="0"/>
      <w:spacing w:before="0" w:after="0" w:line="500" w:lineRule="atLeast"/>
      <w:ind w:firstLineChars="177" w:firstLine="425"/>
      <w:jc w:val="center"/>
      <w:outlineLvl w:val="9"/>
    </w:pPr>
    <w:rPr>
      <w:rFonts w:ascii="FangSong_GB2312" w:eastAsia="FangSong_GB2312" w:hAnsi="Arial Black"/>
      <w:b w:val="0"/>
      <w:bCs w:val="0"/>
      <w:sz w:val="24"/>
      <w:szCs w:val="24"/>
    </w:rPr>
  </w:style>
  <w:style w:type="paragraph" w:customStyle="1" w:styleId="afffc">
    <w:name w:val="表格样式"/>
    <w:basedOn w:val="ae"/>
    <w:next w:val="a1"/>
    <w:autoRedefine/>
    <w:uiPriority w:val="99"/>
    <w:qFormat/>
    <w:rsid w:val="002A5A5E"/>
    <w:pPr>
      <w:spacing w:line="720" w:lineRule="auto"/>
      <w:ind w:firstLineChars="177" w:firstLine="425"/>
    </w:pPr>
    <w:rPr>
      <w:rFonts w:cs="Times New Roman"/>
      <w:szCs w:val="20"/>
    </w:rPr>
  </w:style>
  <w:style w:type="paragraph" w:customStyle="1" w:styleId="Char30">
    <w:name w:val="Char3"/>
    <w:basedOn w:val="10"/>
    <w:next w:val="a1"/>
    <w:autoRedefine/>
    <w:uiPriority w:val="99"/>
    <w:qFormat/>
    <w:rsid w:val="002A5A5E"/>
    <w:pPr>
      <w:keepNext w:val="0"/>
      <w:keepLines w:val="0"/>
      <w:spacing w:before="0" w:after="0" w:line="500" w:lineRule="atLeast"/>
      <w:ind w:firstLineChars="177" w:firstLine="425"/>
      <w:outlineLvl w:val="9"/>
    </w:pPr>
    <w:rPr>
      <w:b w:val="0"/>
      <w:bCs w:val="0"/>
      <w:kern w:val="2"/>
      <w:sz w:val="24"/>
      <w:szCs w:val="24"/>
    </w:rPr>
  </w:style>
  <w:style w:type="paragraph" w:customStyle="1" w:styleId="Char2CharCharChar">
    <w:name w:val="Char2 Char Char Char"/>
    <w:basedOn w:val="10"/>
    <w:next w:val="a1"/>
    <w:autoRedefine/>
    <w:uiPriority w:val="99"/>
    <w:qFormat/>
    <w:rsid w:val="002A5A5E"/>
    <w:pPr>
      <w:keepNext w:val="0"/>
      <w:keepLines w:val="0"/>
      <w:autoSpaceDE w:val="0"/>
      <w:autoSpaceDN w:val="0"/>
      <w:adjustRightInd w:val="0"/>
      <w:snapToGrid w:val="0"/>
      <w:spacing w:before="50" w:after="50" w:line="360" w:lineRule="auto"/>
      <w:ind w:firstLineChars="200" w:firstLine="560"/>
      <w:outlineLvl w:val="9"/>
    </w:pPr>
    <w:rPr>
      <w:rFonts w:ascii="宋体" w:eastAsia="FangSong_GB2312" w:hAnsi="宋体"/>
      <w:b w:val="0"/>
      <w:bCs w:val="0"/>
      <w:color w:val="000000"/>
      <w:kern w:val="2"/>
      <w:sz w:val="24"/>
      <w:szCs w:val="24"/>
    </w:rPr>
  </w:style>
  <w:style w:type="paragraph" w:customStyle="1" w:styleId="CharCharCharCharCharCharCharCharCharChar1CharCharCharCharCharCharCharCharCharCharCharCharChar">
    <w:name w:val="Char Char Char Char Char Char Char Char Char Char1 Char Char Char Char Char Char Char Char Char Char Char Char Char"/>
    <w:basedOn w:val="10"/>
    <w:next w:val="a1"/>
    <w:autoRedefine/>
    <w:uiPriority w:val="99"/>
    <w:qFormat/>
    <w:rsid w:val="002A5A5E"/>
    <w:pPr>
      <w:keepNext w:val="0"/>
      <w:keepLines w:val="0"/>
      <w:spacing w:before="0" w:after="0" w:line="500" w:lineRule="atLeast"/>
      <w:ind w:firstLineChars="177" w:firstLine="425"/>
      <w:outlineLvl w:val="9"/>
    </w:pPr>
    <w:rPr>
      <w:b w:val="0"/>
      <w:bCs w:val="0"/>
      <w:kern w:val="2"/>
      <w:sz w:val="24"/>
      <w:szCs w:val="24"/>
    </w:rPr>
  </w:style>
  <w:style w:type="character" w:customStyle="1" w:styleId="CharCharCharCharChar1">
    <w:name w:val="Char Char Char Char Char1"/>
    <w:link w:val="CharCharCharChar"/>
    <w:uiPriority w:val="99"/>
    <w:qFormat/>
    <w:locked/>
    <w:rsid w:val="002A5A5E"/>
    <w:rPr>
      <w:rFonts w:ascii="Arial" w:hAnsi="Arial" w:cs="Arial"/>
      <w:b/>
      <w:sz w:val="24"/>
      <w:lang w:eastAsia="en-US"/>
    </w:rPr>
  </w:style>
  <w:style w:type="paragraph" w:customStyle="1" w:styleId="CharCharCharChar">
    <w:name w:val="Char Char Char Char"/>
    <w:basedOn w:val="10"/>
    <w:next w:val="a1"/>
    <w:link w:val="CharCharCharCharChar1"/>
    <w:autoRedefine/>
    <w:uiPriority w:val="99"/>
    <w:qFormat/>
    <w:rsid w:val="002A5A5E"/>
    <w:pPr>
      <w:keepNext w:val="0"/>
      <w:keepLines w:val="0"/>
      <w:widowControl/>
      <w:spacing w:before="0" w:after="160" w:line="240" w:lineRule="exact"/>
      <w:ind w:firstLineChars="177" w:firstLine="425"/>
      <w:jc w:val="left"/>
      <w:outlineLvl w:val="9"/>
    </w:pPr>
    <w:rPr>
      <w:rFonts w:ascii="Arial" w:eastAsiaTheme="minorEastAsia" w:hAnsi="Arial" w:cs="Arial"/>
      <w:bCs w:val="0"/>
      <w:kern w:val="2"/>
      <w:sz w:val="24"/>
      <w:szCs w:val="22"/>
      <w:lang w:eastAsia="en-US"/>
    </w:rPr>
  </w:style>
  <w:style w:type="paragraph" w:customStyle="1" w:styleId="xl24">
    <w:name w:val="xl24"/>
    <w:basedOn w:val="10"/>
    <w:next w:val="a1"/>
    <w:autoRedefine/>
    <w:uiPriority w:val="99"/>
    <w:qFormat/>
    <w:rsid w:val="002A5A5E"/>
    <w:pPr>
      <w:keepNext w:val="0"/>
      <w:keepLines w:val="0"/>
      <w:widowControl/>
      <w:pBdr>
        <w:bottom w:val="single" w:sz="4" w:space="0" w:color="auto"/>
        <w:right w:val="single" w:sz="4" w:space="0" w:color="auto"/>
      </w:pBdr>
      <w:spacing w:before="100" w:beforeAutospacing="1" w:after="100" w:afterAutospacing="1" w:line="500" w:lineRule="atLeast"/>
      <w:ind w:firstLineChars="177" w:firstLine="425"/>
      <w:jc w:val="center"/>
      <w:outlineLvl w:val="9"/>
    </w:pPr>
    <w:rPr>
      <w:rFonts w:ascii="宋体" w:hAnsi="宋体"/>
      <w:b w:val="0"/>
      <w:bCs w:val="0"/>
      <w:kern w:val="0"/>
      <w:sz w:val="24"/>
      <w:szCs w:val="21"/>
    </w:rPr>
  </w:style>
  <w:style w:type="character" w:customStyle="1" w:styleId="Charff0">
    <w:name w:val="正文文本缩进一 Char"/>
    <w:link w:val="afffd"/>
    <w:qFormat/>
    <w:locked/>
    <w:rsid w:val="002A5A5E"/>
    <w:rPr>
      <w:rFonts w:ascii="宋体" w:eastAsia="宋体" w:hAnsi="宋体"/>
      <w:sz w:val="28"/>
      <w:szCs w:val="24"/>
    </w:rPr>
  </w:style>
  <w:style w:type="paragraph" w:customStyle="1" w:styleId="afffd">
    <w:name w:val="正文文本缩进一"/>
    <w:basedOn w:val="ac"/>
    <w:next w:val="a1"/>
    <w:link w:val="Charff0"/>
    <w:autoRedefine/>
    <w:qFormat/>
    <w:rsid w:val="002A5A5E"/>
    <w:pPr>
      <w:spacing w:line="360" w:lineRule="auto"/>
      <w:ind w:firstLine="560"/>
    </w:pPr>
    <w:rPr>
      <w:rFonts w:ascii="宋体" w:eastAsia="宋体" w:hAnsi="宋体"/>
      <w:sz w:val="28"/>
    </w:rPr>
  </w:style>
  <w:style w:type="paragraph" w:customStyle="1" w:styleId="afffe">
    <w:name w:val="正文文本缩进二"/>
    <w:basedOn w:val="22"/>
    <w:next w:val="a1"/>
    <w:autoRedefine/>
    <w:uiPriority w:val="99"/>
    <w:qFormat/>
    <w:rsid w:val="002A5A5E"/>
    <w:rPr>
      <w:rFonts w:ascii="Times New Roman" w:hAnsi="Times New Roman"/>
      <w:color w:val="auto"/>
      <w:szCs w:val="24"/>
    </w:rPr>
  </w:style>
  <w:style w:type="character" w:customStyle="1" w:styleId="DefaultChar">
    <w:name w:val="Default Char"/>
    <w:link w:val="Default"/>
    <w:qFormat/>
    <w:locked/>
    <w:rsid w:val="002A5A5E"/>
    <w:rPr>
      <w:rFonts w:ascii="宋体" w:eastAsia="宋体" w:hAnsi="宋体" w:cs="宋体"/>
      <w:color w:val="000000"/>
      <w:sz w:val="24"/>
      <w:szCs w:val="24"/>
    </w:rPr>
  </w:style>
  <w:style w:type="paragraph" w:customStyle="1" w:styleId="Default">
    <w:name w:val="Default"/>
    <w:next w:val="a1"/>
    <w:link w:val="DefaultChar"/>
    <w:autoRedefine/>
    <w:qFormat/>
    <w:rsid w:val="002A5A5E"/>
    <w:pPr>
      <w:widowControl w:val="0"/>
      <w:autoSpaceDE w:val="0"/>
      <w:autoSpaceDN w:val="0"/>
      <w:adjustRightInd w:val="0"/>
    </w:pPr>
    <w:rPr>
      <w:rFonts w:ascii="宋体" w:eastAsia="宋体" w:hAnsi="宋体" w:cs="宋体"/>
      <w:color w:val="000000"/>
      <w:kern w:val="2"/>
      <w:sz w:val="24"/>
      <w:szCs w:val="24"/>
    </w:rPr>
  </w:style>
  <w:style w:type="paragraph" w:customStyle="1" w:styleId="affff">
    <w:name w:val="表中文字"/>
    <w:basedOn w:val="10"/>
    <w:next w:val="a1"/>
    <w:autoRedefine/>
    <w:uiPriority w:val="99"/>
    <w:qFormat/>
    <w:rsid w:val="002A5A5E"/>
    <w:pPr>
      <w:keepNext w:val="0"/>
      <w:keepLines w:val="0"/>
      <w:spacing w:before="0" w:after="0" w:line="500" w:lineRule="atLeast"/>
      <w:ind w:firstLineChars="177" w:firstLine="425"/>
      <w:jc w:val="center"/>
      <w:outlineLvl w:val="9"/>
    </w:pPr>
    <w:rPr>
      <w:b w:val="0"/>
      <w:bCs w:val="0"/>
      <w:kern w:val="2"/>
      <w:sz w:val="24"/>
      <w:szCs w:val="20"/>
    </w:rPr>
  </w:style>
  <w:style w:type="character" w:customStyle="1" w:styleId="2Char4">
    <w:name w:val="正文2 Char"/>
    <w:link w:val="2b"/>
    <w:qFormat/>
    <w:locked/>
    <w:rsid w:val="002A5A5E"/>
    <w:rPr>
      <w:rFonts w:ascii="宋体" w:eastAsia="宋体" w:hAnsi="宋体"/>
      <w:sz w:val="24"/>
    </w:rPr>
  </w:style>
  <w:style w:type="paragraph" w:customStyle="1" w:styleId="2b">
    <w:name w:val="正文2"/>
    <w:next w:val="a1"/>
    <w:link w:val="2Char4"/>
    <w:autoRedefine/>
    <w:qFormat/>
    <w:rsid w:val="002A5A5E"/>
    <w:pPr>
      <w:widowControl w:val="0"/>
      <w:adjustRightInd w:val="0"/>
      <w:spacing w:line="360" w:lineRule="atLeast"/>
    </w:pPr>
    <w:rPr>
      <w:rFonts w:ascii="宋体" w:eastAsia="宋体" w:hAnsi="宋体"/>
      <w:kern w:val="2"/>
      <w:sz w:val="24"/>
      <w:szCs w:val="22"/>
    </w:rPr>
  </w:style>
  <w:style w:type="paragraph" w:customStyle="1" w:styleId="2c">
    <w:name w:val="样式 列表 2 + 华文仿宋 居中"/>
    <w:basedOn w:val="21"/>
    <w:next w:val="a1"/>
    <w:autoRedefine/>
    <w:uiPriority w:val="99"/>
    <w:qFormat/>
    <w:rsid w:val="002A5A5E"/>
    <w:pPr>
      <w:spacing w:line="500" w:lineRule="exact"/>
      <w:ind w:leftChars="0" w:left="0" w:firstLineChars="177" w:firstLine="425"/>
      <w:contextualSpacing w:val="0"/>
      <w:jc w:val="center"/>
    </w:pPr>
    <w:rPr>
      <w:kern w:val="0"/>
    </w:rPr>
  </w:style>
  <w:style w:type="paragraph" w:customStyle="1" w:styleId="lily">
    <w:name w:val="lily 正文"/>
    <w:basedOn w:val="10"/>
    <w:next w:val="a1"/>
    <w:autoRedefine/>
    <w:uiPriority w:val="99"/>
    <w:qFormat/>
    <w:rsid w:val="002A5A5E"/>
    <w:pPr>
      <w:keepNext w:val="0"/>
      <w:keepLines w:val="0"/>
      <w:spacing w:before="0" w:after="0" w:line="440" w:lineRule="atLeast"/>
      <w:ind w:firstLineChars="200" w:firstLine="480"/>
      <w:outlineLvl w:val="9"/>
    </w:pPr>
    <w:rPr>
      <w:b w:val="0"/>
      <w:bCs w:val="0"/>
      <w:kern w:val="2"/>
      <w:sz w:val="24"/>
      <w:szCs w:val="24"/>
    </w:rPr>
  </w:style>
  <w:style w:type="paragraph" w:customStyle="1" w:styleId="lily0">
    <w:name w:val="lily 表格标题"/>
    <w:basedOn w:val="10"/>
    <w:next w:val="a1"/>
    <w:autoRedefine/>
    <w:uiPriority w:val="99"/>
    <w:qFormat/>
    <w:rsid w:val="002A5A5E"/>
    <w:pPr>
      <w:keepNext w:val="0"/>
      <w:keepLines w:val="0"/>
      <w:spacing w:before="0" w:after="0" w:line="440" w:lineRule="atLeast"/>
      <w:ind w:firstLineChars="177" w:firstLine="425"/>
      <w:jc w:val="center"/>
      <w:outlineLvl w:val="9"/>
    </w:pPr>
    <w:rPr>
      <w:rFonts w:eastAsia="黑体"/>
      <w:kern w:val="2"/>
      <w:sz w:val="24"/>
      <w:szCs w:val="24"/>
    </w:rPr>
  </w:style>
  <w:style w:type="paragraph" w:customStyle="1" w:styleId="CharCharCharCharCharCharChar">
    <w:name w:val="Char Char Char Char Char Char Char"/>
    <w:basedOn w:val="10"/>
    <w:next w:val="a1"/>
    <w:autoRedefine/>
    <w:uiPriority w:val="99"/>
    <w:qFormat/>
    <w:rsid w:val="002A5A5E"/>
    <w:pPr>
      <w:keepNext w:val="0"/>
      <w:keepLines w:val="0"/>
      <w:spacing w:before="0" w:after="0" w:line="360" w:lineRule="auto"/>
      <w:ind w:firstLineChars="200" w:firstLine="200"/>
      <w:outlineLvl w:val="9"/>
    </w:pPr>
    <w:rPr>
      <w:rFonts w:ascii="宋体" w:hAnsi="宋体" w:cs="宋体"/>
      <w:b w:val="0"/>
      <w:bCs w:val="0"/>
      <w:color w:val="000000"/>
      <w:kern w:val="2"/>
      <w:sz w:val="24"/>
      <w:szCs w:val="18"/>
    </w:rPr>
  </w:style>
  <w:style w:type="paragraph" w:customStyle="1" w:styleId="affff0">
    <w:name w:val="表内容"/>
    <w:basedOn w:val="10"/>
    <w:next w:val="a1"/>
    <w:autoRedefine/>
    <w:uiPriority w:val="99"/>
    <w:qFormat/>
    <w:rsid w:val="002A5A5E"/>
    <w:pPr>
      <w:keepNext w:val="0"/>
      <w:keepLines w:val="0"/>
      <w:spacing w:before="0" w:after="0" w:line="320" w:lineRule="exact"/>
      <w:ind w:firstLineChars="177" w:firstLine="425"/>
      <w:jc w:val="center"/>
      <w:outlineLvl w:val="9"/>
    </w:pPr>
    <w:rPr>
      <w:b w:val="0"/>
      <w:bCs w:val="0"/>
      <w:kern w:val="2"/>
      <w:sz w:val="24"/>
      <w:szCs w:val="21"/>
    </w:rPr>
  </w:style>
  <w:style w:type="paragraph" w:customStyle="1" w:styleId="affff1">
    <w:name w:val="小四表文左齐"/>
    <w:basedOn w:val="10"/>
    <w:next w:val="a1"/>
    <w:autoRedefine/>
    <w:uiPriority w:val="99"/>
    <w:qFormat/>
    <w:rsid w:val="002A5A5E"/>
    <w:pPr>
      <w:keepNext w:val="0"/>
      <w:keepLines w:val="0"/>
      <w:spacing w:before="0" w:after="0" w:line="360" w:lineRule="auto"/>
      <w:ind w:firstLineChars="200" w:firstLine="200"/>
      <w:jc w:val="center"/>
      <w:outlineLvl w:val="9"/>
    </w:pPr>
    <w:rPr>
      <w:rFonts w:ascii="FangSong_GB2312" w:eastAsia="FangSong_GB2312" w:hAnsi="宋体"/>
      <w:b w:val="0"/>
      <w:bCs w:val="0"/>
      <w:w w:val="90"/>
      <w:kern w:val="2"/>
      <w:sz w:val="24"/>
      <w:szCs w:val="24"/>
    </w:rPr>
  </w:style>
  <w:style w:type="paragraph" w:customStyle="1" w:styleId="a0">
    <w:name w:val="表序号"/>
    <w:basedOn w:val="10"/>
    <w:next w:val="a1"/>
    <w:autoRedefine/>
    <w:uiPriority w:val="99"/>
    <w:qFormat/>
    <w:rsid w:val="002A5A5E"/>
    <w:pPr>
      <w:keepNext w:val="0"/>
      <w:keepLines w:val="0"/>
      <w:pageBreakBefore/>
      <w:numPr>
        <w:ilvl w:val="5"/>
        <w:numId w:val="2"/>
      </w:numPr>
      <w:tabs>
        <w:tab w:val="left" w:pos="360"/>
        <w:tab w:val="left" w:pos="2977"/>
      </w:tabs>
      <w:spacing w:beforeLines="50" w:afterLines="50" w:line="500" w:lineRule="exact"/>
      <w:ind w:left="2637" w:firstLineChars="177" w:hanging="432"/>
      <w:jc w:val="left"/>
    </w:pPr>
    <w:rPr>
      <w:rFonts w:ascii="宋体" w:hAnsi="宋体"/>
      <w:b w:val="0"/>
      <w:bCs w:val="0"/>
      <w:kern w:val="2"/>
      <w:sz w:val="32"/>
      <w:szCs w:val="32"/>
    </w:rPr>
  </w:style>
  <w:style w:type="paragraph" w:customStyle="1" w:styleId="110">
    <w:name w:val="样式 标题 1标题1章标题 + 宋体"/>
    <w:basedOn w:val="10"/>
    <w:next w:val="a1"/>
    <w:autoRedefine/>
    <w:uiPriority w:val="99"/>
    <w:qFormat/>
    <w:rsid w:val="002A5A5E"/>
    <w:pPr>
      <w:keepNext w:val="0"/>
      <w:keepLines w:val="0"/>
      <w:pageBreakBefore/>
      <w:tabs>
        <w:tab w:val="left" w:pos="2977"/>
      </w:tabs>
      <w:spacing w:beforeLines="50" w:afterLines="50" w:line="500" w:lineRule="exact"/>
      <w:ind w:left="2637" w:firstLineChars="177" w:hanging="432"/>
      <w:jc w:val="center"/>
    </w:pPr>
    <w:rPr>
      <w:rFonts w:ascii="宋体" w:hAnsi="宋体"/>
      <w:kern w:val="2"/>
      <w:sz w:val="32"/>
      <w:szCs w:val="32"/>
    </w:rPr>
  </w:style>
  <w:style w:type="paragraph" w:customStyle="1" w:styleId="19">
    <w:name w:val="样式1"/>
    <w:basedOn w:val="10"/>
    <w:next w:val="ad"/>
    <w:autoRedefine/>
    <w:uiPriority w:val="99"/>
    <w:qFormat/>
    <w:rsid w:val="002A5A5E"/>
    <w:pPr>
      <w:keepNext w:val="0"/>
      <w:keepLines w:val="0"/>
      <w:adjustRightInd w:val="0"/>
      <w:snapToGrid w:val="0"/>
      <w:spacing w:before="0" w:after="0" w:line="360" w:lineRule="auto"/>
      <w:ind w:firstLineChars="200" w:firstLine="200"/>
      <w:jc w:val="center"/>
      <w:outlineLvl w:val="9"/>
    </w:pPr>
    <w:rPr>
      <w:rFonts w:ascii="FangSong_GB2312" w:eastAsia="FangSong_GB2312" w:hAnsi="宋体"/>
      <w:b w:val="0"/>
      <w:kern w:val="2"/>
      <w:sz w:val="24"/>
      <w:szCs w:val="24"/>
    </w:rPr>
  </w:style>
  <w:style w:type="paragraph" w:customStyle="1" w:styleId="061">
    <w:name w:val="样式 表格标题 + 首行缩进:  0.61 字符"/>
    <w:basedOn w:val="10"/>
    <w:next w:val="a1"/>
    <w:autoRedefine/>
    <w:uiPriority w:val="99"/>
    <w:qFormat/>
    <w:rsid w:val="002A5A5E"/>
    <w:pPr>
      <w:keepNext w:val="0"/>
      <w:keepLines w:val="0"/>
      <w:wordWrap w:val="0"/>
      <w:adjustRightInd w:val="0"/>
      <w:snapToGrid w:val="0"/>
      <w:spacing w:before="0" w:after="0" w:line="400" w:lineRule="exact"/>
      <w:ind w:leftChars="-68" w:left="-143" w:firstLineChars="61" w:firstLine="128"/>
      <w:jc w:val="center"/>
      <w:outlineLvl w:val="9"/>
    </w:pPr>
    <w:rPr>
      <w:rFonts w:cs="宋体"/>
      <w:b w:val="0"/>
      <w:bCs w:val="0"/>
      <w:kern w:val="2"/>
      <w:sz w:val="24"/>
      <w:szCs w:val="20"/>
    </w:rPr>
  </w:style>
  <w:style w:type="paragraph" w:customStyle="1" w:styleId="37">
    <w:name w:val="正文3"/>
    <w:next w:val="a1"/>
    <w:autoRedefine/>
    <w:uiPriority w:val="99"/>
    <w:qFormat/>
    <w:rsid w:val="002A5A5E"/>
    <w:pPr>
      <w:widowControl w:val="0"/>
      <w:adjustRightInd w:val="0"/>
      <w:spacing w:line="360" w:lineRule="atLeast"/>
    </w:pPr>
    <w:rPr>
      <w:rFonts w:ascii="宋体" w:eastAsia="宋体" w:hAnsi="Times New Roman" w:cs="Times New Roman"/>
      <w:sz w:val="24"/>
    </w:rPr>
  </w:style>
  <w:style w:type="paragraph" w:customStyle="1" w:styleId="xl27">
    <w:name w:val="xl27"/>
    <w:basedOn w:val="10"/>
    <w:next w:val="a1"/>
    <w:autoRedefine/>
    <w:uiPriority w:val="99"/>
    <w:qFormat/>
    <w:rsid w:val="002A5A5E"/>
    <w:pPr>
      <w:keepNext w:val="0"/>
      <w:keepLines w:val="0"/>
      <w:widowControl/>
      <w:pBdr>
        <w:bottom w:val="single" w:sz="12" w:space="0" w:color="auto"/>
      </w:pBdr>
      <w:spacing w:before="100" w:after="100" w:line="500" w:lineRule="atLeast"/>
      <w:ind w:firstLineChars="177" w:firstLine="425"/>
      <w:jc w:val="center"/>
      <w:outlineLvl w:val="9"/>
    </w:pPr>
    <w:rPr>
      <w:rFonts w:ascii="宋体" w:hAnsi="宋体"/>
      <w:b w:val="0"/>
      <w:bCs w:val="0"/>
      <w:kern w:val="0"/>
      <w:sz w:val="24"/>
      <w:szCs w:val="20"/>
    </w:rPr>
  </w:style>
  <w:style w:type="paragraph" w:customStyle="1" w:styleId="affff2">
    <w:name w:val="表文字"/>
    <w:basedOn w:val="10"/>
    <w:next w:val="a1"/>
    <w:autoRedefine/>
    <w:uiPriority w:val="99"/>
    <w:qFormat/>
    <w:rsid w:val="002A5A5E"/>
    <w:pPr>
      <w:keepNext w:val="0"/>
      <w:keepLines w:val="0"/>
      <w:tabs>
        <w:tab w:val="left" w:pos="945"/>
        <w:tab w:val="right" w:leader="dot" w:pos="1155"/>
        <w:tab w:val="left" w:pos="8715"/>
      </w:tabs>
      <w:adjustRightInd w:val="0"/>
      <w:snapToGrid w:val="0"/>
      <w:spacing w:beforeLines="15" w:after="0" w:line="360" w:lineRule="auto"/>
      <w:ind w:firstLineChars="177" w:firstLine="425"/>
      <w:jc w:val="center"/>
      <w:outlineLvl w:val="9"/>
    </w:pPr>
    <w:rPr>
      <w:rFonts w:ascii="宋体" w:hAnsi="宋体"/>
      <w:b w:val="0"/>
      <w:bCs w:val="0"/>
      <w:color w:val="000000"/>
      <w:kern w:val="0"/>
      <w:sz w:val="24"/>
      <w:szCs w:val="9"/>
    </w:rPr>
  </w:style>
  <w:style w:type="paragraph" w:customStyle="1" w:styleId="Document">
    <w:name w:val="Document"/>
    <w:basedOn w:val="10"/>
    <w:next w:val="a1"/>
    <w:autoRedefine/>
    <w:uiPriority w:val="99"/>
    <w:qFormat/>
    <w:rsid w:val="002A5A5E"/>
    <w:pPr>
      <w:keepNext w:val="0"/>
      <w:keepLines w:val="0"/>
      <w:widowControl/>
      <w:spacing w:before="0" w:after="0" w:line="500" w:lineRule="atLeast"/>
      <w:ind w:firstLineChars="177" w:firstLine="425"/>
      <w:jc w:val="center"/>
      <w:outlineLvl w:val="9"/>
    </w:pPr>
    <w:rPr>
      <w:rFonts w:ascii="Financial  (MF)" w:hAnsi="Financial  (MF)"/>
      <w:b w:val="0"/>
      <w:bCs w:val="0"/>
      <w:kern w:val="0"/>
      <w:sz w:val="24"/>
      <w:szCs w:val="20"/>
      <w:lang w:eastAsia="en-US"/>
    </w:rPr>
  </w:style>
  <w:style w:type="paragraph" w:customStyle="1" w:styleId="affff3">
    <w:name w:val="表题"/>
    <w:basedOn w:val="10"/>
    <w:next w:val="a1"/>
    <w:autoRedefine/>
    <w:uiPriority w:val="99"/>
    <w:qFormat/>
    <w:rsid w:val="002A5A5E"/>
    <w:pPr>
      <w:keepNext w:val="0"/>
      <w:keepLines w:val="0"/>
      <w:tabs>
        <w:tab w:val="right" w:pos="0"/>
      </w:tabs>
      <w:adjustRightInd w:val="0"/>
      <w:snapToGrid w:val="0"/>
      <w:spacing w:before="0" w:after="0" w:line="500" w:lineRule="atLeast"/>
      <w:ind w:firstLineChars="177" w:firstLine="425"/>
      <w:jc w:val="center"/>
      <w:outlineLvl w:val="9"/>
    </w:pPr>
    <w:rPr>
      <w:rFonts w:ascii="宋体" w:hAnsi="宋体"/>
      <w:bCs w:val="0"/>
      <w:spacing w:val="12"/>
      <w:kern w:val="2"/>
      <w:sz w:val="24"/>
      <w:szCs w:val="24"/>
    </w:rPr>
  </w:style>
  <w:style w:type="paragraph" w:customStyle="1" w:styleId="affff4">
    <w:name w:val="图框文"/>
    <w:basedOn w:val="10"/>
    <w:next w:val="a1"/>
    <w:autoRedefine/>
    <w:uiPriority w:val="99"/>
    <w:qFormat/>
    <w:rsid w:val="002A5A5E"/>
    <w:pPr>
      <w:keepNext w:val="0"/>
      <w:keepLines w:val="0"/>
      <w:kinsoku w:val="0"/>
      <w:wordWrap w:val="0"/>
      <w:overflowPunct w:val="0"/>
      <w:autoSpaceDE w:val="0"/>
      <w:autoSpaceDN w:val="0"/>
      <w:spacing w:before="0" w:after="0" w:line="0" w:lineRule="atLeast"/>
      <w:ind w:firstLineChars="177" w:firstLine="425"/>
      <w:jc w:val="center"/>
      <w:outlineLvl w:val="9"/>
    </w:pPr>
    <w:rPr>
      <w:rFonts w:ascii="FangSong_GB2312" w:eastAsia="FangSong_GB2312"/>
      <w:b w:val="0"/>
      <w:bCs w:val="0"/>
      <w:kern w:val="2"/>
      <w:sz w:val="24"/>
      <w:szCs w:val="20"/>
    </w:rPr>
  </w:style>
  <w:style w:type="paragraph" w:customStyle="1" w:styleId="affff5">
    <w:name w:val="流程图"/>
    <w:basedOn w:val="10"/>
    <w:next w:val="a1"/>
    <w:autoRedefine/>
    <w:uiPriority w:val="99"/>
    <w:qFormat/>
    <w:rsid w:val="002A5A5E"/>
    <w:pPr>
      <w:keepNext w:val="0"/>
      <w:keepLines w:val="0"/>
      <w:tabs>
        <w:tab w:val="left" w:pos="0"/>
      </w:tabs>
      <w:autoSpaceDE w:val="0"/>
      <w:autoSpaceDN w:val="0"/>
      <w:adjustRightInd w:val="0"/>
      <w:spacing w:before="0" w:after="0" w:line="240" w:lineRule="atLeast"/>
      <w:ind w:firstLineChars="177" w:firstLine="425"/>
      <w:jc w:val="center"/>
      <w:outlineLvl w:val="9"/>
    </w:pPr>
    <w:rPr>
      <w:rFonts w:ascii="宋体"/>
      <w:b w:val="0"/>
      <w:bCs w:val="0"/>
      <w:kern w:val="2"/>
      <w:sz w:val="24"/>
      <w:szCs w:val="20"/>
    </w:rPr>
  </w:style>
  <w:style w:type="paragraph" w:customStyle="1" w:styleId="Char1CharCharChar">
    <w:name w:val="Char1 Char Char Char"/>
    <w:basedOn w:val="10"/>
    <w:next w:val="a1"/>
    <w:autoRedefine/>
    <w:uiPriority w:val="99"/>
    <w:qFormat/>
    <w:rsid w:val="002A5A5E"/>
    <w:pPr>
      <w:keepNext w:val="0"/>
      <w:keepLines w:val="0"/>
      <w:spacing w:before="0" w:after="0" w:line="500" w:lineRule="atLeast"/>
      <w:ind w:firstLineChars="200" w:firstLine="480"/>
      <w:outlineLvl w:val="9"/>
    </w:pPr>
    <w:rPr>
      <w:rFonts w:ascii="宋体"/>
      <w:b w:val="0"/>
      <w:bCs w:val="0"/>
      <w:kern w:val="2"/>
      <w:sz w:val="28"/>
      <w:szCs w:val="24"/>
    </w:rPr>
  </w:style>
  <w:style w:type="character" w:customStyle="1" w:styleId="5Char0">
    <w:name w:val="5文章(治) Char"/>
    <w:link w:val="52"/>
    <w:qFormat/>
    <w:locked/>
    <w:rsid w:val="002A5A5E"/>
    <w:rPr>
      <w:sz w:val="24"/>
      <w:szCs w:val="28"/>
    </w:rPr>
  </w:style>
  <w:style w:type="paragraph" w:customStyle="1" w:styleId="52">
    <w:name w:val="5文章(治)"/>
    <w:basedOn w:val="10"/>
    <w:next w:val="a1"/>
    <w:link w:val="5Char0"/>
    <w:autoRedefine/>
    <w:qFormat/>
    <w:rsid w:val="002A5A5E"/>
    <w:pPr>
      <w:keepNext w:val="0"/>
      <w:keepLines w:val="0"/>
      <w:spacing w:before="0" w:after="0" w:line="360" w:lineRule="auto"/>
      <w:ind w:firstLineChars="200" w:firstLine="560"/>
      <w:outlineLvl w:val="9"/>
    </w:pPr>
    <w:rPr>
      <w:rFonts w:asciiTheme="minorHAnsi" w:eastAsiaTheme="minorEastAsia" w:hAnsiTheme="minorHAnsi" w:cstheme="minorBidi"/>
      <w:b w:val="0"/>
      <w:bCs w:val="0"/>
      <w:kern w:val="2"/>
      <w:sz w:val="24"/>
      <w:szCs w:val="28"/>
    </w:rPr>
  </w:style>
  <w:style w:type="character" w:customStyle="1" w:styleId="7Char0">
    <w:name w:val="7表格(治) Char"/>
    <w:link w:val="71"/>
    <w:qFormat/>
    <w:locked/>
    <w:rsid w:val="002A5A5E"/>
    <w:rPr>
      <w:rFonts w:ascii="Times New Roman" w:eastAsia="宋体" w:hAnsi="Times New Roman" w:cs="Times New Roman"/>
      <w:kern w:val="0"/>
      <w:sz w:val="20"/>
      <w:szCs w:val="20"/>
    </w:rPr>
  </w:style>
  <w:style w:type="paragraph" w:customStyle="1" w:styleId="71">
    <w:name w:val="7表格(治)"/>
    <w:next w:val="a1"/>
    <w:link w:val="7Char0"/>
    <w:autoRedefine/>
    <w:qFormat/>
    <w:rsid w:val="002A5A5E"/>
    <w:pPr>
      <w:jc w:val="center"/>
    </w:pPr>
    <w:rPr>
      <w:rFonts w:ascii="Times New Roman" w:eastAsia="宋体" w:hAnsi="Times New Roman" w:cs="Times New Roman"/>
    </w:rPr>
  </w:style>
  <w:style w:type="paragraph" w:customStyle="1" w:styleId="CharCharCharCharCharCharChar3">
    <w:name w:val="Char Char Char Char Char Char Char3"/>
    <w:basedOn w:val="10"/>
    <w:next w:val="a1"/>
    <w:autoRedefine/>
    <w:uiPriority w:val="99"/>
    <w:qFormat/>
    <w:rsid w:val="002A5A5E"/>
    <w:pPr>
      <w:keepNext w:val="0"/>
      <w:keepLines w:val="0"/>
      <w:spacing w:before="0" w:after="0" w:line="500" w:lineRule="atLeast"/>
      <w:ind w:firstLineChars="177" w:firstLine="425"/>
      <w:outlineLvl w:val="9"/>
    </w:pPr>
    <w:rPr>
      <w:b w:val="0"/>
      <w:bCs w:val="0"/>
      <w:kern w:val="2"/>
      <w:sz w:val="24"/>
      <w:szCs w:val="21"/>
    </w:rPr>
  </w:style>
  <w:style w:type="paragraph" w:customStyle="1" w:styleId="CharChar19">
    <w:name w:val="Char Char19"/>
    <w:basedOn w:val="10"/>
    <w:next w:val="a1"/>
    <w:autoRedefine/>
    <w:uiPriority w:val="99"/>
    <w:qFormat/>
    <w:rsid w:val="002A5A5E"/>
    <w:pPr>
      <w:keepNext w:val="0"/>
      <w:keepLines w:val="0"/>
      <w:spacing w:before="0" w:after="0" w:line="500" w:lineRule="atLeast"/>
      <w:ind w:firstLineChars="177" w:firstLine="425"/>
      <w:outlineLvl w:val="9"/>
    </w:pPr>
    <w:rPr>
      <w:b w:val="0"/>
      <w:bCs w:val="0"/>
      <w:kern w:val="2"/>
      <w:sz w:val="24"/>
      <w:szCs w:val="21"/>
    </w:rPr>
  </w:style>
  <w:style w:type="paragraph" w:customStyle="1" w:styleId="affff6">
    <w:name w:val="图表文字"/>
    <w:next w:val="a1"/>
    <w:autoRedefine/>
    <w:uiPriority w:val="99"/>
    <w:qFormat/>
    <w:rsid w:val="002A5A5E"/>
    <w:pPr>
      <w:widowControl w:val="0"/>
      <w:spacing w:line="260" w:lineRule="exact"/>
      <w:ind w:rightChars="-71" w:right="-149"/>
      <w:jc w:val="center"/>
    </w:pPr>
    <w:rPr>
      <w:rFonts w:ascii="Times New Roman" w:eastAsia="宋体" w:hAnsi="Times New Roman" w:cs="Times New Roman"/>
      <w:kern w:val="2"/>
      <w:sz w:val="21"/>
      <w:szCs w:val="21"/>
    </w:rPr>
  </w:style>
  <w:style w:type="paragraph" w:customStyle="1" w:styleId="1a">
    <w:name w:val="表1"/>
    <w:next w:val="a1"/>
    <w:autoRedefine/>
    <w:uiPriority w:val="99"/>
    <w:qFormat/>
    <w:rsid w:val="002A5A5E"/>
    <w:pPr>
      <w:adjustRightInd w:val="0"/>
      <w:snapToGrid w:val="0"/>
      <w:jc w:val="center"/>
    </w:pPr>
    <w:rPr>
      <w:rFonts w:ascii="宋体" w:eastAsia="宋体" w:hAnsi="Times New Roman" w:cs="Times New Roman"/>
      <w:sz w:val="21"/>
    </w:rPr>
  </w:style>
  <w:style w:type="paragraph" w:customStyle="1" w:styleId="CharCharCharChar1">
    <w:name w:val="Char Char Char Char1"/>
    <w:basedOn w:val="10"/>
    <w:next w:val="a1"/>
    <w:autoRedefine/>
    <w:uiPriority w:val="99"/>
    <w:qFormat/>
    <w:rsid w:val="002A5A5E"/>
    <w:pPr>
      <w:keepNext w:val="0"/>
      <w:keepLines w:val="0"/>
      <w:spacing w:before="120" w:after="120" w:line="360" w:lineRule="auto"/>
      <w:ind w:firstLineChars="177" w:firstLine="420"/>
      <w:outlineLvl w:val="9"/>
    </w:pPr>
    <w:rPr>
      <w:b w:val="0"/>
      <w:bCs w:val="0"/>
      <w:kern w:val="2"/>
      <w:sz w:val="24"/>
      <w:szCs w:val="24"/>
    </w:rPr>
  </w:style>
  <w:style w:type="character" w:customStyle="1" w:styleId="1Char2">
    <w:name w:val="表头1 Char"/>
    <w:link w:val="1b"/>
    <w:qFormat/>
    <w:locked/>
    <w:rsid w:val="002A5A5E"/>
    <w:rPr>
      <w:rFonts w:ascii="黑体" w:eastAsia="黑体" w:hAnsi="黑体"/>
      <w:sz w:val="24"/>
      <w:szCs w:val="28"/>
    </w:rPr>
  </w:style>
  <w:style w:type="paragraph" w:customStyle="1" w:styleId="1b">
    <w:name w:val="表头1"/>
    <w:basedOn w:val="10"/>
    <w:next w:val="a1"/>
    <w:link w:val="1Char2"/>
    <w:autoRedefine/>
    <w:qFormat/>
    <w:rsid w:val="002A5A5E"/>
    <w:pPr>
      <w:keepNext w:val="0"/>
      <w:keepLines w:val="0"/>
      <w:tabs>
        <w:tab w:val="left" w:pos="605"/>
      </w:tabs>
      <w:adjustRightInd w:val="0"/>
      <w:snapToGrid w:val="0"/>
      <w:spacing w:before="0" w:after="0" w:line="500" w:lineRule="atLeast"/>
      <w:ind w:firstLineChars="177" w:firstLine="425"/>
      <w:jc w:val="center"/>
      <w:outlineLvl w:val="9"/>
    </w:pPr>
    <w:rPr>
      <w:rFonts w:ascii="黑体" w:eastAsia="黑体" w:hAnsi="黑体" w:cstheme="minorBidi"/>
      <w:b w:val="0"/>
      <w:bCs w:val="0"/>
      <w:kern w:val="2"/>
      <w:sz w:val="24"/>
      <w:szCs w:val="28"/>
    </w:rPr>
  </w:style>
  <w:style w:type="paragraph" w:customStyle="1" w:styleId="1c">
    <w:name w:val="列表1"/>
    <w:basedOn w:val="10"/>
    <w:next w:val="a1"/>
    <w:autoRedefine/>
    <w:uiPriority w:val="99"/>
    <w:qFormat/>
    <w:rsid w:val="002A5A5E"/>
    <w:pPr>
      <w:keepNext w:val="0"/>
      <w:keepLines w:val="0"/>
      <w:spacing w:before="0" w:after="0" w:line="360" w:lineRule="exact"/>
      <w:ind w:firstLineChars="177" w:firstLine="425"/>
      <w:jc w:val="center"/>
      <w:outlineLvl w:val="9"/>
    </w:pPr>
    <w:rPr>
      <w:rFonts w:ascii="FangSong_GB2312" w:eastAsia="FangSong_GB2312"/>
      <w:b w:val="0"/>
      <w:bCs w:val="0"/>
      <w:kern w:val="2"/>
      <w:sz w:val="28"/>
      <w:szCs w:val="20"/>
    </w:rPr>
  </w:style>
  <w:style w:type="character" w:customStyle="1" w:styleId="127Char">
    <w:name w:val="样式127 Char"/>
    <w:link w:val="127"/>
    <w:qFormat/>
    <w:locked/>
    <w:rsid w:val="002A5A5E"/>
    <w:rPr>
      <w:snapToGrid w:val="0"/>
      <w:color w:val="000000"/>
      <w:sz w:val="24"/>
      <w:szCs w:val="28"/>
    </w:rPr>
  </w:style>
  <w:style w:type="paragraph" w:customStyle="1" w:styleId="127">
    <w:name w:val="样式127"/>
    <w:basedOn w:val="10"/>
    <w:next w:val="a1"/>
    <w:link w:val="127Char"/>
    <w:autoRedefine/>
    <w:qFormat/>
    <w:rsid w:val="002A5A5E"/>
    <w:pPr>
      <w:keepNext w:val="0"/>
      <w:keepLines w:val="0"/>
      <w:snapToGrid w:val="0"/>
      <w:spacing w:before="0" w:after="0" w:line="520" w:lineRule="exact"/>
      <w:ind w:firstLineChars="200" w:firstLine="480"/>
      <w:outlineLvl w:val="9"/>
    </w:pPr>
    <w:rPr>
      <w:rFonts w:asciiTheme="minorHAnsi" w:eastAsiaTheme="minorEastAsia" w:hAnsiTheme="minorHAnsi" w:cstheme="minorBidi"/>
      <w:b w:val="0"/>
      <w:bCs w:val="0"/>
      <w:snapToGrid w:val="0"/>
      <w:color w:val="000000"/>
      <w:kern w:val="2"/>
      <w:sz w:val="24"/>
      <w:szCs w:val="28"/>
    </w:rPr>
  </w:style>
  <w:style w:type="paragraph" w:customStyle="1" w:styleId="CharCharCharCharCharCharChar1">
    <w:name w:val="Char Char Char Char Char Char Char1"/>
    <w:basedOn w:val="10"/>
    <w:next w:val="a1"/>
    <w:autoRedefine/>
    <w:uiPriority w:val="99"/>
    <w:qFormat/>
    <w:rsid w:val="002A5A5E"/>
    <w:pPr>
      <w:keepNext w:val="0"/>
      <w:keepLines w:val="0"/>
      <w:spacing w:before="0" w:after="0" w:line="360" w:lineRule="auto"/>
      <w:ind w:firstLineChars="200" w:firstLine="200"/>
      <w:outlineLvl w:val="9"/>
    </w:pPr>
    <w:rPr>
      <w:rFonts w:ascii="宋体" w:hAnsi="宋体" w:cs="宋体"/>
      <w:b w:val="0"/>
      <w:bCs w:val="0"/>
      <w:kern w:val="2"/>
      <w:sz w:val="24"/>
      <w:szCs w:val="24"/>
    </w:rPr>
  </w:style>
  <w:style w:type="paragraph" w:customStyle="1" w:styleId="53">
    <w:name w:val="样式5"/>
    <w:basedOn w:val="af5"/>
    <w:next w:val="a1"/>
    <w:autoRedefine/>
    <w:uiPriority w:val="99"/>
    <w:qFormat/>
    <w:rsid w:val="002A5A5E"/>
    <w:pPr>
      <w:spacing w:line="500" w:lineRule="atLeast"/>
      <w:ind w:left="482" w:firstLineChars="0" w:firstLine="0"/>
      <w:contextualSpacing w:val="0"/>
    </w:pPr>
    <w:rPr>
      <w:sz w:val="24"/>
    </w:rPr>
  </w:style>
  <w:style w:type="paragraph" w:customStyle="1" w:styleId="-1">
    <w:name w:val="正文文字-1"/>
    <w:next w:val="a1"/>
    <w:autoRedefine/>
    <w:uiPriority w:val="99"/>
    <w:qFormat/>
    <w:rsid w:val="002A5A5E"/>
    <w:pPr>
      <w:widowControl w:val="0"/>
      <w:spacing w:before="120" w:after="120" w:line="480" w:lineRule="exact"/>
      <w:ind w:firstLineChars="210" w:firstLine="588"/>
      <w:jc w:val="both"/>
    </w:pPr>
    <w:rPr>
      <w:rFonts w:ascii="Times New Roman" w:eastAsia="宋体" w:hAnsi="Times New Roman" w:cs="Times New Roman"/>
      <w:kern w:val="2"/>
      <w:sz w:val="24"/>
      <w:szCs w:val="24"/>
    </w:rPr>
  </w:style>
  <w:style w:type="paragraph" w:customStyle="1" w:styleId="-121121">
    <w:name w:val="样式 样式 正文文字-1 + 首行缩进:  2.1 字符1 + 首行缩进:  2.1 字符"/>
    <w:basedOn w:val="10"/>
    <w:next w:val="a1"/>
    <w:autoRedefine/>
    <w:uiPriority w:val="99"/>
    <w:qFormat/>
    <w:rsid w:val="002A5A5E"/>
    <w:pPr>
      <w:keepNext w:val="0"/>
      <w:keepLines w:val="0"/>
      <w:spacing w:before="120" w:after="120" w:line="400" w:lineRule="exact"/>
      <w:ind w:firstLineChars="210" w:firstLine="210"/>
      <w:outlineLvl w:val="9"/>
    </w:pPr>
    <w:rPr>
      <w:rFonts w:cs="宋体"/>
      <w:b w:val="0"/>
      <w:bCs w:val="0"/>
      <w:kern w:val="2"/>
      <w:sz w:val="24"/>
      <w:szCs w:val="20"/>
    </w:rPr>
  </w:style>
  <w:style w:type="paragraph" w:customStyle="1" w:styleId="-121">
    <w:name w:val="样式 正文文字-1 + 首行缩进:  2.1 字符"/>
    <w:basedOn w:val="10"/>
    <w:next w:val="a1"/>
    <w:autoRedefine/>
    <w:uiPriority w:val="99"/>
    <w:qFormat/>
    <w:rsid w:val="002A5A5E"/>
    <w:pPr>
      <w:keepNext w:val="0"/>
      <w:keepLines w:val="0"/>
      <w:spacing w:before="60" w:after="60" w:line="440" w:lineRule="exact"/>
      <w:ind w:firstLineChars="210" w:firstLine="210"/>
      <w:outlineLvl w:val="9"/>
    </w:pPr>
    <w:rPr>
      <w:rFonts w:cs="宋体"/>
      <w:b w:val="0"/>
      <w:bCs w:val="0"/>
      <w:kern w:val="2"/>
      <w:sz w:val="24"/>
      <w:szCs w:val="20"/>
    </w:rPr>
  </w:style>
  <w:style w:type="paragraph" w:customStyle="1" w:styleId="-1211">
    <w:name w:val="样式 正文文字-1 + 首行缩进:  2.1 字符1"/>
    <w:basedOn w:val="10"/>
    <w:next w:val="a1"/>
    <w:autoRedefine/>
    <w:qFormat/>
    <w:rsid w:val="002A5A5E"/>
    <w:pPr>
      <w:keepNext w:val="0"/>
      <w:keepLines w:val="0"/>
      <w:spacing w:before="120" w:after="120" w:line="440" w:lineRule="exact"/>
      <w:ind w:firstLineChars="210" w:firstLine="210"/>
      <w:outlineLvl w:val="9"/>
    </w:pPr>
    <w:rPr>
      <w:rFonts w:cs="宋体"/>
      <w:b w:val="0"/>
      <w:bCs w:val="0"/>
      <w:kern w:val="2"/>
      <w:sz w:val="24"/>
      <w:szCs w:val="20"/>
    </w:rPr>
  </w:style>
  <w:style w:type="paragraph" w:customStyle="1" w:styleId="150">
    <w:name w:val="样式 四号 行距: 1.5 倍行距"/>
    <w:basedOn w:val="10"/>
    <w:next w:val="a1"/>
    <w:autoRedefine/>
    <w:uiPriority w:val="99"/>
    <w:qFormat/>
    <w:rsid w:val="002A5A5E"/>
    <w:pPr>
      <w:keepNext w:val="0"/>
      <w:keepLines w:val="0"/>
      <w:spacing w:before="0" w:after="0" w:line="360" w:lineRule="auto"/>
      <w:ind w:firstLineChars="200" w:firstLine="560"/>
      <w:outlineLvl w:val="9"/>
    </w:pPr>
    <w:rPr>
      <w:rFonts w:cs="宋体"/>
      <w:b w:val="0"/>
      <w:bCs w:val="0"/>
      <w:kern w:val="2"/>
      <w:sz w:val="24"/>
      <w:szCs w:val="20"/>
    </w:rPr>
  </w:style>
  <w:style w:type="character" w:customStyle="1" w:styleId="Charff1">
    <w:name w:val="国电正文 Char"/>
    <w:link w:val="affff7"/>
    <w:semiHidden/>
    <w:qFormat/>
    <w:locked/>
    <w:rsid w:val="002A5A5E"/>
    <w:rPr>
      <w:color w:val="000000"/>
      <w:sz w:val="24"/>
    </w:rPr>
  </w:style>
  <w:style w:type="paragraph" w:customStyle="1" w:styleId="affff7">
    <w:name w:val="国电正文"/>
    <w:basedOn w:val="10"/>
    <w:next w:val="a1"/>
    <w:link w:val="Charff1"/>
    <w:autoRedefine/>
    <w:semiHidden/>
    <w:qFormat/>
    <w:rsid w:val="002A5A5E"/>
    <w:pPr>
      <w:keepNext w:val="0"/>
      <w:keepLines w:val="0"/>
      <w:spacing w:before="0" w:after="0" w:line="360" w:lineRule="auto"/>
      <w:ind w:firstLineChars="200" w:firstLine="480"/>
      <w:outlineLvl w:val="9"/>
    </w:pPr>
    <w:rPr>
      <w:rFonts w:asciiTheme="minorHAnsi" w:eastAsiaTheme="minorEastAsia" w:hAnsiTheme="minorHAnsi" w:cstheme="minorBidi"/>
      <w:b w:val="0"/>
      <w:bCs w:val="0"/>
      <w:color w:val="000000"/>
      <w:kern w:val="2"/>
      <w:sz w:val="24"/>
      <w:szCs w:val="22"/>
    </w:rPr>
  </w:style>
  <w:style w:type="character" w:customStyle="1" w:styleId="-1CharChar">
    <w:name w:val="正文文字-1 Char Char"/>
    <w:basedOn w:val="a2"/>
    <w:link w:val="-1Char"/>
    <w:qFormat/>
    <w:locked/>
    <w:rsid w:val="002A5A5E"/>
    <w:rPr>
      <w:sz w:val="24"/>
      <w:szCs w:val="24"/>
    </w:rPr>
  </w:style>
  <w:style w:type="paragraph" w:customStyle="1" w:styleId="-1Char">
    <w:name w:val="正文文字-1 Char"/>
    <w:next w:val="a1"/>
    <w:link w:val="-1CharChar"/>
    <w:autoRedefine/>
    <w:qFormat/>
    <w:rsid w:val="002A5A5E"/>
    <w:pPr>
      <w:widowControl w:val="0"/>
      <w:spacing w:before="120" w:after="120" w:line="480" w:lineRule="exact"/>
      <w:ind w:firstLineChars="210" w:firstLine="588"/>
      <w:jc w:val="both"/>
    </w:pPr>
    <w:rPr>
      <w:kern w:val="2"/>
      <w:sz w:val="24"/>
      <w:szCs w:val="24"/>
    </w:rPr>
  </w:style>
  <w:style w:type="paragraph" w:customStyle="1" w:styleId="Char1CharCharChar1">
    <w:name w:val="Char1 Char Char Char1"/>
    <w:basedOn w:val="10"/>
    <w:next w:val="a1"/>
    <w:autoRedefine/>
    <w:uiPriority w:val="99"/>
    <w:qFormat/>
    <w:rsid w:val="002A5A5E"/>
    <w:pPr>
      <w:keepNext w:val="0"/>
      <w:keepLines w:val="0"/>
      <w:spacing w:before="0" w:after="0" w:line="500" w:lineRule="atLeast"/>
      <w:ind w:firstLineChars="200" w:firstLine="480"/>
      <w:outlineLvl w:val="9"/>
    </w:pPr>
    <w:rPr>
      <w:b w:val="0"/>
      <w:bCs w:val="0"/>
      <w:kern w:val="2"/>
      <w:sz w:val="24"/>
      <w:szCs w:val="24"/>
    </w:rPr>
  </w:style>
  <w:style w:type="paragraph" w:customStyle="1" w:styleId="Char1CharCharCharCharChar">
    <w:name w:val="Char1 Char Char Char Char Char"/>
    <w:basedOn w:val="10"/>
    <w:next w:val="a1"/>
    <w:autoRedefine/>
    <w:uiPriority w:val="99"/>
    <w:qFormat/>
    <w:rsid w:val="002A5A5E"/>
    <w:pPr>
      <w:keepNext w:val="0"/>
      <w:keepLines w:val="0"/>
      <w:spacing w:before="0" w:after="0" w:line="360" w:lineRule="auto"/>
      <w:ind w:firstLineChars="200" w:firstLine="200"/>
      <w:outlineLvl w:val="9"/>
    </w:pPr>
    <w:rPr>
      <w:rFonts w:ascii="Tahoma" w:hAnsi="Tahoma"/>
      <w:b w:val="0"/>
      <w:bCs w:val="0"/>
      <w:kern w:val="2"/>
      <w:sz w:val="24"/>
      <w:szCs w:val="20"/>
    </w:rPr>
  </w:style>
  <w:style w:type="paragraph" w:customStyle="1" w:styleId="CharCharCharCharCharCharChar2">
    <w:name w:val="Char Char Char Char Char Char Char2"/>
    <w:basedOn w:val="10"/>
    <w:next w:val="a1"/>
    <w:autoRedefine/>
    <w:uiPriority w:val="99"/>
    <w:qFormat/>
    <w:rsid w:val="002A5A5E"/>
    <w:pPr>
      <w:keepNext w:val="0"/>
      <w:keepLines w:val="0"/>
      <w:spacing w:before="0" w:after="0" w:line="360" w:lineRule="auto"/>
      <w:ind w:firstLineChars="200" w:firstLine="200"/>
      <w:outlineLvl w:val="9"/>
    </w:pPr>
    <w:rPr>
      <w:rFonts w:ascii="宋体" w:hAnsi="宋体" w:cs="宋体"/>
      <w:b w:val="0"/>
      <w:bCs w:val="0"/>
      <w:kern w:val="2"/>
      <w:sz w:val="24"/>
      <w:szCs w:val="24"/>
    </w:rPr>
  </w:style>
  <w:style w:type="paragraph" w:customStyle="1" w:styleId="152">
    <w:name w:val="样式 四号 行距: 1.5 倍行距2"/>
    <w:basedOn w:val="10"/>
    <w:next w:val="a1"/>
    <w:autoRedefine/>
    <w:uiPriority w:val="99"/>
    <w:qFormat/>
    <w:rsid w:val="002A5A5E"/>
    <w:pPr>
      <w:keepNext w:val="0"/>
      <w:keepLines w:val="0"/>
      <w:spacing w:before="0" w:after="0" w:line="360" w:lineRule="auto"/>
      <w:ind w:firstLineChars="200" w:firstLine="560"/>
      <w:outlineLvl w:val="9"/>
    </w:pPr>
    <w:rPr>
      <w:rFonts w:cs="宋体"/>
      <w:b w:val="0"/>
      <w:bCs w:val="0"/>
      <w:kern w:val="2"/>
      <w:sz w:val="24"/>
      <w:szCs w:val="20"/>
    </w:rPr>
  </w:style>
  <w:style w:type="paragraph" w:customStyle="1" w:styleId="153">
    <w:name w:val="样式 四号 行距: 1.5 倍行距3"/>
    <w:basedOn w:val="10"/>
    <w:next w:val="a1"/>
    <w:autoRedefine/>
    <w:uiPriority w:val="99"/>
    <w:qFormat/>
    <w:rsid w:val="002A5A5E"/>
    <w:pPr>
      <w:keepNext w:val="0"/>
      <w:keepLines w:val="0"/>
      <w:spacing w:before="0" w:after="0" w:line="360" w:lineRule="auto"/>
      <w:ind w:firstLineChars="450" w:firstLine="1260"/>
      <w:outlineLvl w:val="9"/>
    </w:pPr>
    <w:rPr>
      <w:rFonts w:cs="宋体"/>
      <w:b w:val="0"/>
      <w:bCs w:val="0"/>
      <w:kern w:val="2"/>
      <w:sz w:val="24"/>
      <w:szCs w:val="20"/>
    </w:rPr>
  </w:style>
  <w:style w:type="paragraph" w:customStyle="1" w:styleId="54">
    <w:name w:val="正文5"/>
    <w:next w:val="a1"/>
    <w:autoRedefine/>
    <w:uiPriority w:val="99"/>
    <w:qFormat/>
    <w:rsid w:val="002A5A5E"/>
    <w:pPr>
      <w:widowControl w:val="0"/>
      <w:adjustRightInd w:val="0"/>
      <w:spacing w:line="360" w:lineRule="atLeast"/>
    </w:pPr>
    <w:rPr>
      <w:rFonts w:ascii="宋体" w:eastAsia="宋体" w:hAnsi="Times New Roman" w:cs="Times New Roman"/>
      <w:sz w:val="24"/>
    </w:rPr>
  </w:style>
  <w:style w:type="paragraph" w:customStyle="1" w:styleId="Char20">
    <w:name w:val="Char2"/>
    <w:basedOn w:val="10"/>
    <w:next w:val="a1"/>
    <w:autoRedefine/>
    <w:uiPriority w:val="99"/>
    <w:qFormat/>
    <w:rsid w:val="002A5A5E"/>
    <w:pPr>
      <w:keepNext w:val="0"/>
      <w:keepLines w:val="0"/>
      <w:spacing w:before="0" w:after="0" w:line="500" w:lineRule="atLeast"/>
      <w:ind w:firstLineChars="177" w:firstLine="425"/>
      <w:outlineLvl w:val="9"/>
    </w:pPr>
    <w:rPr>
      <w:b w:val="0"/>
      <w:bCs w:val="0"/>
      <w:kern w:val="2"/>
      <w:sz w:val="24"/>
      <w:szCs w:val="24"/>
    </w:rPr>
  </w:style>
  <w:style w:type="paragraph" w:customStyle="1" w:styleId="affff8">
    <w:name w:val="表格正文"/>
    <w:basedOn w:val="10"/>
    <w:next w:val="a1"/>
    <w:autoRedefine/>
    <w:uiPriority w:val="99"/>
    <w:qFormat/>
    <w:rsid w:val="002A5A5E"/>
    <w:pPr>
      <w:keepNext w:val="0"/>
      <w:keepLines w:val="0"/>
      <w:spacing w:before="0" w:after="0" w:line="300" w:lineRule="auto"/>
      <w:ind w:firstLineChars="177" w:firstLine="425"/>
      <w:jc w:val="center"/>
      <w:outlineLvl w:val="9"/>
    </w:pPr>
    <w:rPr>
      <w:b w:val="0"/>
      <w:bCs w:val="0"/>
      <w:kern w:val="2"/>
      <w:sz w:val="24"/>
      <w:szCs w:val="24"/>
    </w:rPr>
  </w:style>
  <w:style w:type="character" w:customStyle="1" w:styleId="xfwChar">
    <w:name w:val="xfw Char"/>
    <w:basedOn w:val="a2"/>
    <w:link w:val="xfw"/>
    <w:qFormat/>
    <w:locked/>
    <w:rsid w:val="002A5A5E"/>
    <w:rPr>
      <w:sz w:val="24"/>
      <w:szCs w:val="28"/>
    </w:rPr>
  </w:style>
  <w:style w:type="paragraph" w:customStyle="1" w:styleId="xfw">
    <w:name w:val="xfw"/>
    <w:basedOn w:val="10"/>
    <w:next w:val="a1"/>
    <w:link w:val="xfwChar"/>
    <w:autoRedefine/>
    <w:qFormat/>
    <w:rsid w:val="002A5A5E"/>
    <w:pPr>
      <w:keepNext w:val="0"/>
      <w:keepLines w:val="0"/>
      <w:spacing w:before="0" w:after="0" w:line="360" w:lineRule="auto"/>
      <w:ind w:firstLineChars="200" w:firstLine="200"/>
      <w:outlineLvl w:val="9"/>
    </w:pPr>
    <w:rPr>
      <w:rFonts w:asciiTheme="minorHAnsi" w:eastAsiaTheme="minorEastAsia" w:hAnsiTheme="minorHAnsi" w:cstheme="minorBidi"/>
      <w:b w:val="0"/>
      <w:bCs w:val="0"/>
      <w:kern w:val="2"/>
      <w:sz w:val="24"/>
      <w:szCs w:val="28"/>
    </w:rPr>
  </w:style>
  <w:style w:type="character" w:customStyle="1" w:styleId="01CharChar">
    <w:name w:val="正文01 Char Char"/>
    <w:link w:val="01"/>
    <w:qFormat/>
    <w:locked/>
    <w:rsid w:val="002A5A5E"/>
    <w:rPr>
      <w:rFonts w:ascii="宋体" w:eastAsia="宋体" w:hAnsi="宋体" w:cs="宋体"/>
      <w:snapToGrid w:val="0"/>
      <w:kern w:val="56"/>
      <w:sz w:val="24"/>
      <w:lang w:val="zh-CN"/>
    </w:rPr>
  </w:style>
  <w:style w:type="paragraph" w:customStyle="1" w:styleId="01">
    <w:name w:val="正文01"/>
    <w:basedOn w:val="10"/>
    <w:next w:val="a1"/>
    <w:link w:val="01CharChar"/>
    <w:autoRedefine/>
    <w:qFormat/>
    <w:rsid w:val="002A5A5E"/>
    <w:pPr>
      <w:keepNext w:val="0"/>
      <w:keepLines w:val="0"/>
      <w:adjustRightInd w:val="0"/>
      <w:snapToGrid w:val="0"/>
      <w:spacing w:before="0" w:after="0" w:line="360" w:lineRule="auto"/>
      <w:ind w:firstLineChars="200" w:firstLine="200"/>
      <w:outlineLvl w:val="9"/>
    </w:pPr>
    <w:rPr>
      <w:rFonts w:ascii="宋体" w:hAnsi="宋体" w:cs="宋体"/>
      <w:b w:val="0"/>
      <w:bCs w:val="0"/>
      <w:snapToGrid w:val="0"/>
      <w:kern w:val="56"/>
      <w:sz w:val="24"/>
      <w:szCs w:val="22"/>
      <w:lang w:val="zh-CN"/>
    </w:rPr>
  </w:style>
  <w:style w:type="paragraph" w:customStyle="1" w:styleId="reader-word-layerreader-word-s8-5">
    <w:name w:val="reader-word-layer reader-word-s8-5"/>
    <w:basedOn w:val="10"/>
    <w:next w:val="a1"/>
    <w:autoRedefine/>
    <w:uiPriority w:val="99"/>
    <w:qFormat/>
    <w:rsid w:val="002A5A5E"/>
    <w:pPr>
      <w:keepNext w:val="0"/>
      <w:keepLines w:val="0"/>
      <w:widowControl/>
      <w:spacing w:before="100" w:beforeAutospacing="1" w:after="100" w:afterAutospacing="1" w:line="500" w:lineRule="atLeast"/>
      <w:ind w:firstLineChars="177" w:firstLine="425"/>
      <w:jc w:val="left"/>
      <w:outlineLvl w:val="9"/>
    </w:pPr>
    <w:rPr>
      <w:rFonts w:ascii="宋体" w:hAnsi="宋体" w:cs="宋体"/>
      <w:b w:val="0"/>
      <w:bCs w:val="0"/>
      <w:kern w:val="0"/>
      <w:sz w:val="24"/>
      <w:szCs w:val="24"/>
    </w:rPr>
  </w:style>
  <w:style w:type="paragraph" w:customStyle="1" w:styleId="reader-word-layerreader-word-s8-2">
    <w:name w:val="reader-word-layer reader-word-s8-2"/>
    <w:basedOn w:val="10"/>
    <w:next w:val="a1"/>
    <w:autoRedefine/>
    <w:uiPriority w:val="99"/>
    <w:qFormat/>
    <w:rsid w:val="002A5A5E"/>
    <w:pPr>
      <w:keepNext w:val="0"/>
      <w:keepLines w:val="0"/>
      <w:widowControl/>
      <w:spacing w:before="100" w:beforeAutospacing="1" w:after="100" w:afterAutospacing="1" w:line="500" w:lineRule="atLeast"/>
      <w:ind w:firstLineChars="177" w:firstLine="425"/>
      <w:jc w:val="left"/>
      <w:outlineLvl w:val="9"/>
    </w:pPr>
    <w:rPr>
      <w:rFonts w:ascii="宋体" w:hAnsi="宋体" w:cs="宋体"/>
      <w:b w:val="0"/>
      <w:bCs w:val="0"/>
      <w:kern w:val="0"/>
      <w:sz w:val="24"/>
      <w:szCs w:val="24"/>
    </w:rPr>
  </w:style>
  <w:style w:type="paragraph" w:customStyle="1" w:styleId="reader-word-layerreader-word-s8-9">
    <w:name w:val="reader-word-layer reader-word-s8-9"/>
    <w:basedOn w:val="10"/>
    <w:next w:val="a1"/>
    <w:autoRedefine/>
    <w:uiPriority w:val="99"/>
    <w:qFormat/>
    <w:rsid w:val="002A5A5E"/>
    <w:pPr>
      <w:keepNext w:val="0"/>
      <w:keepLines w:val="0"/>
      <w:widowControl/>
      <w:spacing w:before="100" w:beforeAutospacing="1" w:after="100" w:afterAutospacing="1" w:line="500" w:lineRule="atLeast"/>
      <w:ind w:firstLineChars="177" w:firstLine="425"/>
      <w:jc w:val="left"/>
      <w:outlineLvl w:val="9"/>
    </w:pPr>
    <w:rPr>
      <w:rFonts w:ascii="宋体" w:hAnsi="宋体" w:cs="宋体"/>
      <w:b w:val="0"/>
      <w:bCs w:val="0"/>
      <w:kern w:val="0"/>
      <w:sz w:val="24"/>
      <w:szCs w:val="24"/>
    </w:rPr>
  </w:style>
  <w:style w:type="paragraph" w:customStyle="1" w:styleId="reader-word-layerreader-word-s8-8">
    <w:name w:val="reader-word-layer reader-word-s8-8"/>
    <w:basedOn w:val="10"/>
    <w:next w:val="a1"/>
    <w:autoRedefine/>
    <w:uiPriority w:val="99"/>
    <w:qFormat/>
    <w:rsid w:val="002A5A5E"/>
    <w:pPr>
      <w:keepNext w:val="0"/>
      <w:keepLines w:val="0"/>
      <w:widowControl/>
      <w:spacing w:before="100" w:beforeAutospacing="1" w:after="100" w:afterAutospacing="1" w:line="500" w:lineRule="atLeast"/>
      <w:ind w:firstLineChars="177" w:firstLine="425"/>
      <w:jc w:val="left"/>
      <w:outlineLvl w:val="9"/>
    </w:pPr>
    <w:rPr>
      <w:rFonts w:ascii="宋体" w:hAnsi="宋体" w:cs="宋体"/>
      <w:b w:val="0"/>
      <w:bCs w:val="0"/>
      <w:kern w:val="0"/>
      <w:sz w:val="24"/>
      <w:szCs w:val="24"/>
    </w:rPr>
  </w:style>
  <w:style w:type="paragraph" w:customStyle="1" w:styleId="reader-word-layerreader-word-s8-12">
    <w:name w:val="reader-word-layer reader-word-s8-12"/>
    <w:basedOn w:val="10"/>
    <w:next w:val="a1"/>
    <w:autoRedefine/>
    <w:uiPriority w:val="99"/>
    <w:qFormat/>
    <w:rsid w:val="002A5A5E"/>
    <w:pPr>
      <w:keepNext w:val="0"/>
      <w:keepLines w:val="0"/>
      <w:widowControl/>
      <w:spacing w:before="100" w:beforeAutospacing="1" w:after="100" w:afterAutospacing="1" w:line="500" w:lineRule="atLeast"/>
      <w:ind w:firstLineChars="177" w:firstLine="425"/>
      <w:jc w:val="left"/>
      <w:outlineLvl w:val="9"/>
    </w:pPr>
    <w:rPr>
      <w:rFonts w:ascii="宋体" w:hAnsi="宋体" w:cs="宋体"/>
      <w:b w:val="0"/>
      <w:bCs w:val="0"/>
      <w:kern w:val="0"/>
      <w:sz w:val="24"/>
      <w:szCs w:val="24"/>
    </w:rPr>
  </w:style>
  <w:style w:type="paragraph" w:customStyle="1" w:styleId="reader-word-layerreader-word-s8-0">
    <w:name w:val="reader-word-layer reader-word-s8-0"/>
    <w:basedOn w:val="10"/>
    <w:next w:val="a1"/>
    <w:autoRedefine/>
    <w:uiPriority w:val="99"/>
    <w:qFormat/>
    <w:rsid w:val="002A5A5E"/>
    <w:pPr>
      <w:keepNext w:val="0"/>
      <w:keepLines w:val="0"/>
      <w:widowControl/>
      <w:spacing w:before="100" w:beforeAutospacing="1" w:after="100" w:afterAutospacing="1" w:line="500" w:lineRule="atLeast"/>
      <w:ind w:firstLineChars="177" w:firstLine="425"/>
      <w:jc w:val="left"/>
      <w:outlineLvl w:val="9"/>
    </w:pPr>
    <w:rPr>
      <w:rFonts w:ascii="宋体" w:hAnsi="宋体" w:cs="宋体"/>
      <w:b w:val="0"/>
      <w:bCs w:val="0"/>
      <w:kern w:val="0"/>
      <w:sz w:val="24"/>
      <w:szCs w:val="24"/>
    </w:rPr>
  </w:style>
  <w:style w:type="paragraph" w:customStyle="1" w:styleId="reader-word-layerreader-word-s8-7">
    <w:name w:val="reader-word-layer reader-word-s8-7"/>
    <w:basedOn w:val="10"/>
    <w:next w:val="a1"/>
    <w:autoRedefine/>
    <w:uiPriority w:val="99"/>
    <w:qFormat/>
    <w:rsid w:val="002A5A5E"/>
    <w:pPr>
      <w:keepNext w:val="0"/>
      <w:keepLines w:val="0"/>
      <w:widowControl/>
      <w:spacing w:before="100" w:beforeAutospacing="1" w:after="100" w:afterAutospacing="1" w:line="500" w:lineRule="atLeast"/>
      <w:ind w:firstLineChars="177" w:firstLine="425"/>
      <w:jc w:val="left"/>
      <w:outlineLvl w:val="9"/>
    </w:pPr>
    <w:rPr>
      <w:rFonts w:ascii="宋体" w:hAnsi="宋体" w:cs="宋体"/>
      <w:b w:val="0"/>
      <w:bCs w:val="0"/>
      <w:kern w:val="0"/>
      <w:sz w:val="24"/>
      <w:szCs w:val="24"/>
    </w:rPr>
  </w:style>
  <w:style w:type="paragraph" w:customStyle="1" w:styleId="reader-word-layerreader-word-s8-6">
    <w:name w:val="reader-word-layer reader-word-s8-6"/>
    <w:basedOn w:val="10"/>
    <w:next w:val="a1"/>
    <w:autoRedefine/>
    <w:uiPriority w:val="99"/>
    <w:qFormat/>
    <w:rsid w:val="002A5A5E"/>
    <w:pPr>
      <w:keepNext w:val="0"/>
      <w:keepLines w:val="0"/>
      <w:widowControl/>
      <w:spacing w:before="100" w:beforeAutospacing="1" w:after="100" w:afterAutospacing="1" w:line="500" w:lineRule="atLeast"/>
      <w:ind w:firstLineChars="177" w:firstLine="425"/>
      <w:jc w:val="left"/>
      <w:outlineLvl w:val="9"/>
    </w:pPr>
    <w:rPr>
      <w:rFonts w:ascii="宋体" w:hAnsi="宋体" w:cs="宋体"/>
      <w:b w:val="0"/>
      <w:bCs w:val="0"/>
      <w:kern w:val="0"/>
      <w:sz w:val="24"/>
      <w:szCs w:val="24"/>
    </w:rPr>
  </w:style>
  <w:style w:type="paragraph" w:customStyle="1" w:styleId="CharChar1CharCharCharCharCharCharChar">
    <w:name w:val="Char Char1 Char Char Char Char Char Char Char"/>
    <w:basedOn w:val="10"/>
    <w:next w:val="a1"/>
    <w:autoRedefine/>
    <w:uiPriority w:val="99"/>
    <w:qFormat/>
    <w:rsid w:val="002A5A5E"/>
    <w:pPr>
      <w:keepNext w:val="0"/>
      <w:keepLines w:val="0"/>
      <w:spacing w:before="0" w:after="0" w:line="500" w:lineRule="atLeast"/>
      <w:ind w:firstLineChars="177" w:firstLine="425"/>
      <w:outlineLvl w:val="9"/>
    </w:pPr>
    <w:rPr>
      <w:rFonts w:cs="宋体"/>
      <w:b w:val="0"/>
      <w:bCs w:val="0"/>
      <w:color w:val="000000"/>
      <w:kern w:val="2"/>
      <w:sz w:val="24"/>
      <w:szCs w:val="24"/>
      <w:lang w:val="zh-CN"/>
    </w:rPr>
  </w:style>
  <w:style w:type="paragraph" w:customStyle="1" w:styleId="089">
    <w:name w:val="样式 首行缩进:  0.89 厘米"/>
    <w:basedOn w:val="10"/>
    <w:next w:val="a1"/>
    <w:autoRedefine/>
    <w:uiPriority w:val="99"/>
    <w:qFormat/>
    <w:rsid w:val="002A5A5E"/>
    <w:pPr>
      <w:keepNext w:val="0"/>
      <w:keepLines w:val="0"/>
      <w:spacing w:beforeLines="50" w:after="0" w:line="440" w:lineRule="exact"/>
      <w:ind w:firstLineChars="177" w:firstLine="505"/>
      <w:outlineLvl w:val="9"/>
    </w:pPr>
    <w:rPr>
      <w:rFonts w:cs="宋体"/>
      <w:b w:val="0"/>
      <w:bCs w:val="0"/>
      <w:kern w:val="2"/>
      <w:sz w:val="24"/>
      <w:szCs w:val="20"/>
    </w:rPr>
  </w:style>
  <w:style w:type="paragraph" w:customStyle="1" w:styleId="2d">
    <w:name w:val="表格文字2"/>
    <w:basedOn w:val="10"/>
    <w:next w:val="a1"/>
    <w:autoRedefine/>
    <w:uiPriority w:val="99"/>
    <w:qFormat/>
    <w:rsid w:val="002A5A5E"/>
    <w:pPr>
      <w:keepNext w:val="0"/>
      <w:keepLines w:val="0"/>
      <w:spacing w:before="0" w:after="0" w:line="500" w:lineRule="atLeast"/>
      <w:ind w:firstLineChars="177" w:firstLine="425"/>
      <w:jc w:val="center"/>
      <w:outlineLvl w:val="9"/>
    </w:pPr>
    <w:rPr>
      <w:b w:val="0"/>
      <w:bCs w:val="0"/>
      <w:kern w:val="2"/>
      <w:sz w:val="24"/>
      <w:szCs w:val="21"/>
    </w:rPr>
  </w:style>
  <w:style w:type="character" w:customStyle="1" w:styleId="31Char">
    <w:name w:val="样式 标题 3 + 黑色1 Char"/>
    <w:basedOn w:val="a2"/>
    <w:link w:val="310"/>
    <w:qFormat/>
    <w:locked/>
    <w:rsid w:val="002A5A5E"/>
    <w:rPr>
      <w:b/>
      <w:bCs/>
      <w:color w:val="000000"/>
      <w:sz w:val="28"/>
      <w:szCs w:val="30"/>
    </w:rPr>
  </w:style>
  <w:style w:type="paragraph" w:customStyle="1" w:styleId="310">
    <w:name w:val="样式 标题 3 + 黑色1"/>
    <w:basedOn w:val="30"/>
    <w:next w:val="a1"/>
    <w:link w:val="31Char"/>
    <w:autoRedefine/>
    <w:qFormat/>
    <w:rsid w:val="002A5A5E"/>
    <w:pPr>
      <w:spacing w:beforeLines="50" w:afterLines="50" w:line="360" w:lineRule="auto"/>
    </w:pPr>
    <w:rPr>
      <w:rFonts w:asciiTheme="minorHAnsi" w:eastAsiaTheme="minorEastAsia" w:hAnsiTheme="minorHAnsi" w:cstheme="minorBidi"/>
      <w:b/>
      <w:bCs/>
      <w:color w:val="000000"/>
      <w:sz w:val="28"/>
      <w:szCs w:val="30"/>
    </w:rPr>
  </w:style>
  <w:style w:type="paragraph" w:customStyle="1" w:styleId="38">
    <w:name w:val="正文缩进3"/>
    <w:basedOn w:val="10"/>
    <w:next w:val="a1"/>
    <w:autoRedefine/>
    <w:uiPriority w:val="99"/>
    <w:qFormat/>
    <w:rsid w:val="002A5A5E"/>
    <w:pPr>
      <w:keepNext w:val="0"/>
      <w:keepLines w:val="0"/>
      <w:spacing w:before="0" w:after="0" w:line="500" w:lineRule="atLeast"/>
      <w:ind w:firstLineChars="177" w:firstLine="420"/>
      <w:outlineLvl w:val="9"/>
    </w:pPr>
    <w:rPr>
      <w:b w:val="0"/>
      <w:bCs w:val="0"/>
      <w:kern w:val="2"/>
      <w:sz w:val="24"/>
      <w:szCs w:val="24"/>
    </w:rPr>
  </w:style>
  <w:style w:type="paragraph" w:customStyle="1" w:styleId="p0">
    <w:name w:val="p0"/>
    <w:basedOn w:val="10"/>
    <w:next w:val="a1"/>
    <w:autoRedefine/>
    <w:uiPriority w:val="99"/>
    <w:qFormat/>
    <w:rsid w:val="002A5A5E"/>
    <w:pPr>
      <w:keepNext w:val="0"/>
      <w:keepLines w:val="0"/>
      <w:widowControl/>
      <w:spacing w:before="100" w:beforeAutospacing="1" w:after="100" w:afterAutospacing="1" w:line="500" w:lineRule="atLeast"/>
      <w:ind w:firstLineChars="177" w:firstLine="425"/>
      <w:jc w:val="left"/>
      <w:outlineLvl w:val="9"/>
    </w:pPr>
    <w:rPr>
      <w:rFonts w:ascii="宋体" w:hAnsi="宋体" w:cs="宋体"/>
      <w:b w:val="0"/>
      <w:bCs w:val="0"/>
      <w:kern w:val="0"/>
      <w:sz w:val="24"/>
      <w:szCs w:val="24"/>
    </w:rPr>
  </w:style>
  <w:style w:type="paragraph" w:customStyle="1" w:styleId="65">
    <w:name w:val="正文6"/>
    <w:next w:val="a1"/>
    <w:autoRedefine/>
    <w:uiPriority w:val="99"/>
    <w:qFormat/>
    <w:rsid w:val="002A5A5E"/>
    <w:pPr>
      <w:widowControl w:val="0"/>
      <w:adjustRightInd w:val="0"/>
      <w:spacing w:line="360" w:lineRule="atLeast"/>
    </w:pPr>
    <w:rPr>
      <w:rFonts w:ascii="宋体" w:eastAsia="宋体" w:hAnsi="Times New Roman" w:cs="Times New Roman"/>
      <w:sz w:val="24"/>
    </w:rPr>
  </w:style>
  <w:style w:type="paragraph" w:customStyle="1" w:styleId="affff9">
    <w:name w:val="新正文"/>
    <w:basedOn w:val="10"/>
    <w:next w:val="a1"/>
    <w:autoRedefine/>
    <w:uiPriority w:val="99"/>
    <w:qFormat/>
    <w:rsid w:val="002A5A5E"/>
    <w:pPr>
      <w:keepNext w:val="0"/>
      <w:keepLines w:val="0"/>
      <w:spacing w:before="0" w:after="0" w:line="360" w:lineRule="auto"/>
      <w:ind w:firstLineChars="177" w:firstLine="480"/>
      <w:outlineLvl w:val="9"/>
    </w:pPr>
    <w:rPr>
      <w:rFonts w:cs="宋体"/>
      <w:b w:val="0"/>
      <w:bCs w:val="0"/>
      <w:kern w:val="2"/>
      <w:sz w:val="24"/>
      <w:szCs w:val="20"/>
    </w:rPr>
  </w:style>
  <w:style w:type="paragraph" w:customStyle="1" w:styleId="Arial15">
    <w:name w:val="样式 Arial 小四 行距: 1.5 倍行距"/>
    <w:basedOn w:val="10"/>
    <w:next w:val="a1"/>
    <w:autoRedefine/>
    <w:uiPriority w:val="99"/>
    <w:qFormat/>
    <w:rsid w:val="002A5A5E"/>
    <w:pPr>
      <w:keepNext w:val="0"/>
      <w:keepLines w:val="0"/>
      <w:spacing w:before="0" w:after="0" w:line="360" w:lineRule="auto"/>
      <w:ind w:firstLineChars="200" w:firstLine="480"/>
      <w:outlineLvl w:val="9"/>
    </w:pPr>
    <w:rPr>
      <w:b w:val="0"/>
      <w:bCs w:val="0"/>
      <w:kern w:val="2"/>
      <w:sz w:val="24"/>
      <w:szCs w:val="20"/>
    </w:rPr>
  </w:style>
  <w:style w:type="paragraph" w:customStyle="1" w:styleId="CharCharCharCharCharChar1Char">
    <w:name w:val="Char Char Char Char Char Char1 Char"/>
    <w:basedOn w:val="10"/>
    <w:next w:val="a1"/>
    <w:autoRedefine/>
    <w:uiPriority w:val="99"/>
    <w:qFormat/>
    <w:rsid w:val="002A5A5E"/>
    <w:pPr>
      <w:keepNext w:val="0"/>
      <w:keepLines w:val="0"/>
      <w:spacing w:before="0" w:after="0" w:line="500" w:lineRule="atLeast"/>
      <w:ind w:firstLineChars="177" w:firstLine="425"/>
      <w:outlineLvl w:val="9"/>
    </w:pPr>
    <w:rPr>
      <w:b w:val="0"/>
      <w:bCs w:val="0"/>
      <w:kern w:val="2"/>
      <w:sz w:val="24"/>
      <w:szCs w:val="24"/>
    </w:rPr>
  </w:style>
  <w:style w:type="paragraph" w:customStyle="1" w:styleId="39">
    <w:name w:val="样式 标题3"/>
    <w:basedOn w:val="30"/>
    <w:next w:val="a1"/>
    <w:autoRedefine/>
    <w:uiPriority w:val="99"/>
    <w:qFormat/>
    <w:rsid w:val="002A5A5E"/>
    <w:pPr>
      <w:spacing w:beforeLines="50" w:afterLines="50" w:line="360" w:lineRule="auto"/>
      <w:ind w:firstLine="200"/>
      <w:jc w:val="left"/>
    </w:pPr>
    <w:rPr>
      <w:b/>
      <w:bCs/>
      <w:sz w:val="28"/>
      <w:szCs w:val="24"/>
    </w:rPr>
  </w:style>
  <w:style w:type="paragraph" w:customStyle="1" w:styleId="CharCharCharCharCharCharCharCharCharCharCharChar">
    <w:name w:val="Char Char Char Char Char Char Char Char Char Char Char Char"/>
    <w:basedOn w:val="10"/>
    <w:next w:val="a1"/>
    <w:autoRedefine/>
    <w:uiPriority w:val="99"/>
    <w:qFormat/>
    <w:rsid w:val="002A5A5E"/>
    <w:pPr>
      <w:keepNext w:val="0"/>
      <w:keepLines w:val="0"/>
      <w:tabs>
        <w:tab w:val="left" w:pos="1723"/>
      </w:tabs>
      <w:spacing w:before="0" w:after="0" w:line="500" w:lineRule="atLeast"/>
      <w:ind w:left="1723" w:firstLineChars="177" w:hanging="1080"/>
      <w:outlineLvl w:val="9"/>
    </w:pPr>
    <w:rPr>
      <w:rFonts w:eastAsia="FangSong_GB2312"/>
      <w:b w:val="0"/>
      <w:bCs w:val="0"/>
      <w:kern w:val="2"/>
      <w:sz w:val="24"/>
      <w:szCs w:val="32"/>
    </w:rPr>
  </w:style>
  <w:style w:type="paragraph" w:customStyle="1" w:styleId="CharCharChar">
    <w:name w:val="Char Char Char"/>
    <w:basedOn w:val="10"/>
    <w:next w:val="a1"/>
    <w:autoRedefine/>
    <w:uiPriority w:val="99"/>
    <w:qFormat/>
    <w:rsid w:val="002A5A5E"/>
    <w:pPr>
      <w:keepNext w:val="0"/>
      <w:keepLines w:val="0"/>
      <w:spacing w:before="0" w:after="0" w:line="500" w:lineRule="atLeast"/>
      <w:ind w:firstLineChars="177" w:firstLine="425"/>
      <w:outlineLvl w:val="9"/>
    </w:pPr>
    <w:rPr>
      <w:b w:val="0"/>
      <w:bCs w:val="0"/>
      <w:kern w:val="2"/>
      <w:sz w:val="24"/>
      <w:szCs w:val="24"/>
    </w:rPr>
  </w:style>
  <w:style w:type="paragraph" w:customStyle="1" w:styleId="2e">
    <w:name w:val="封面标准号2"/>
    <w:basedOn w:val="10"/>
    <w:next w:val="a1"/>
    <w:autoRedefine/>
    <w:uiPriority w:val="99"/>
    <w:qFormat/>
    <w:rsid w:val="002A5A5E"/>
    <w:pPr>
      <w:keepNext w:val="0"/>
      <w:keepLines w:val="0"/>
      <w:framePr w:w="9138" w:h="1244" w:wrap="auto" w:vAnchor="page" w:hAnchor="margin" w:y="2908" w:anchorLock="1"/>
      <w:kinsoku w:val="0"/>
      <w:overflowPunct w:val="0"/>
      <w:autoSpaceDE w:val="0"/>
      <w:autoSpaceDN w:val="0"/>
      <w:adjustRightInd w:val="0"/>
      <w:spacing w:before="357" w:after="0" w:line="280" w:lineRule="exact"/>
      <w:ind w:firstLineChars="177" w:firstLine="425"/>
      <w:jc w:val="right"/>
      <w:outlineLvl w:val="9"/>
    </w:pPr>
    <w:rPr>
      <w:b w:val="0"/>
      <w:bCs w:val="0"/>
      <w:kern w:val="0"/>
      <w:sz w:val="28"/>
      <w:szCs w:val="20"/>
    </w:rPr>
  </w:style>
  <w:style w:type="paragraph" w:customStyle="1" w:styleId="66">
    <w:name w:val="纯文本6"/>
    <w:basedOn w:val="10"/>
    <w:next w:val="a1"/>
    <w:autoRedefine/>
    <w:uiPriority w:val="99"/>
    <w:qFormat/>
    <w:rsid w:val="002A5A5E"/>
    <w:pPr>
      <w:keepNext w:val="0"/>
      <w:keepLines w:val="0"/>
      <w:spacing w:before="0" w:after="0" w:line="500" w:lineRule="atLeast"/>
      <w:ind w:firstLineChars="177" w:firstLine="425"/>
      <w:outlineLvl w:val="9"/>
    </w:pPr>
    <w:rPr>
      <w:rFonts w:ascii="宋体" w:hAnsi="Courier New"/>
      <w:b w:val="0"/>
      <w:bCs w:val="0"/>
      <w:kern w:val="0"/>
      <w:sz w:val="20"/>
      <w:szCs w:val="21"/>
    </w:rPr>
  </w:style>
  <w:style w:type="paragraph" w:customStyle="1" w:styleId="43">
    <w:name w:val="日期4"/>
    <w:basedOn w:val="10"/>
    <w:next w:val="a1"/>
    <w:autoRedefine/>
    <w:uiPriority w:val="99"/>
    <w:qFormat/>
    <w:rsid w:val="002A5A5E"/>
    <w:pPr>
      <w:keepNext w:val="0"/>
      <w:keepLines w:val="0"/>
      <w:spacing w:before="0" w:after="0" w:line="500" w:lineRule="atLeast"/>
      <w:ind w:leftChars="2500" w:left="100" w:firstLineChars="177" w:firstLine="425"/>
      <w:outlineLvl w:val="9"/>
    </w:pPr>
    <w:rPr>
      <w:rFonts w:ascii="Calibri" w:hAnsi="Calibri"/>
      <w:b w:val="0"/>
      <w:bCs w:val="0"/>
      <w:kern w:val="0"/>
      <w:sz w:val="20"/>
      <w:szCs w:val="20"/>
    </w:rPr>
  </w:style>
  <w:style w:type="paragraph" w:customStyle="1" w:styleId="44">
    <w:name w:val="无间隔4"/>
    <w:next w:val="a1"/>
    <w:autoRedefine/>
    <w:uiPriority w:val="99"/>
    <w:qFormat/>
    <w:rsid w:val="002A5A5E"/>
    <w:rPr>
      <w:rFonts w:ascii="Calibri" w:eastAsia="宋体" w:hAnsi="Calibri" w:cs="Times New Roman"/>
      <w:sz w:val="22"/>
    </w:rPr>
  </w:style>
  <w:style w:type="paragraph" w:customStyle="1" w:styleId="72">
    <w:name w:val="纯文本7"/>
    <w:basedOn w:val="10"/>
    <w:next w:val="a1"/>
    <w:autoRedefine/>
    <w:uiPriority w:val="99"/>
    <w:qFormat/>
    <w:rsid w:val="002A5A5E"/>
    <w:pPr>
      <w:keepNext w:val="0"/>
      <w:keepLines w:val="0"/>
      <w:spacing w:before="0" w:after="0" w:line="500" w:lineRule="atLeast"/>
      <w:ind w:firstLineChars="177" w:firstLine="425"/>
      <w:outlineLvl w:val="9"/>
    </w:pPr>
    <w:rPr>
      <w:rFonts w:ascii="宋体" w:hAnsi="Courier New"/>
      <w:b w:val="0"/>
      <w:bCs w:val="0"/>
      <w:kern w:val="0"/>
      <w:sz w:val="20"/>
      <w:szCs w:val="21"/>
    </w:rPr>
  </w:style>
  <w:style w:type="paragraph" w:customStyle="1" w:styleId="affffa">
    <w:name w:val="表题行"/>
    <w:basedOn w:val="10"/>
    <w:next w:val="a1"/>
    <w:autoRedefine/>
    <w:uiPriority w:val="99"/>
    <w:qFormat/>
    <w:rsid w:val="002A5A5E"/>
    <w:pPr>
      <w:keepNext w:val="0"/>
      <w:keepLines w:val="0"/>
      <w:spacing w:before="0" w:after="0" w:line="500" w:lineRule="atLeast"/>
      <w:ind w:firstLineChars="177" w:firstLine="425"/>
      <w:jc w:val="center"/>
      <w:outlineLvl w:val="9"/>
    </w:pPr>
    <w:rPr>
      <w:kern w:val="2"/>
      <w:sz w:val="18"/>
      <w:szCs w:val="21"/>
    </w:rPr>
  </w:style>
  <w:style w:type="paragraph" w:customStyle="1" w:styleId="a90">
    <w:name w:val="a9"/>
    <w:basedOn w:val="10"/>
    <w:next w:val="a1"/>
    <w:autoRedefine/>
    <w:uiPriority w:val="99"/>
    <w:qFormat/>
    <w:rsid w:val="002A5A5E"/>
    <w:pPr>
      <w:keepNext w:val="0"/>
      <w:keepLines w:val="0"/>
      <w:widowControl/>
      <w:snapToGrid w:val="0"/>
      <w:spacing w:before="120" w:after="120" w:line="360" w:lineRule="auto"/>
      <w:ind w:firstLineChars="177" w:firstLine="480"/>
      <w:outlineLvl w:val="9"/>
    </w:pPr>
    <w:rPr>
      <w:b w:val="0"/>
      <w:bCs w:val="0"/>
      <w:kern w:val="0"/>
      <w:sz w:val="24"/>
      <w:szCs w:val="24"/>
    </w:rPr>
  </w:style>
  <w:style w:type="paragraph" w:customStyle="1" w:styleId="affffb">
    <w:name w:val="表文"/>
    <w:basedOn w:val="10"/>
    <w:next w:val="a1"/>
    <w:link w:val="Charff2"/>
    <w:autoRedefine/>
    <w:qFormat/>
    <w:rsid w:val="002A5A5E"/>
    <w:pPr>
      <w:keepNext w:val="0"/>
      <w:keepLines w:val="0"/>
      <w:spacing w:before="0" w:after="0" w:line="500" w:lineRule="atLeast"/>
      <w:ind w:firstLineChars="177" w:firstLine="425"/>
      <w:jc w:val="center"/>
      <w:outlineLvl w:val="9"/>
    </w:pPr>
    <w:rPr>
      <w:b w:val="0"/>
      <w:bCs w:val="0"/>
      <w:kern w:val="2"/>
      <w:sz w:val="24"/>
      <w:szCs w:val="24"/>
    </w:rPr>
  </w:style>
  <w:style w:type="paragraph" w:customStyle="1" w:styleId="affffc">
    <w:name w:val="报告"/>
    <w:basedOn w:val="10"/>
    <w:next w:val="a1"/>
    <w:autoRedefine/>
    <w:uiPriority w:val="99"/>
    <w:qFormat/>
    <w:rsid w:val="002A5A5E"/>
    <w:pPr>
      <w:keepNext w:val="0"/>
      <w:keepLines w:val="0"/>
      <w:adjustRightInd w:val="0"/>
      <w:spacing w:before="0" w:after="0" w:line="360" w:lineRule="auto"/>
      <w:ind w:firstLineChars="177" w:firstLine="505"/>
      <w:outlineLvl w:val="9"/>
    </w:pPr>
    <w:rPr>
      <w:rFonts w:ascii="TimesNewRoman" w:hAnsi="TimesNewRoman"/>
      <w:b w:val="0"/>
      <w:bCs w:val="0"/>
      <w:kern w:val="0"/>
      <w:sz w:val="24"/>
      <w:szCs w:val="20"/>
    </w:rPr>
  </w:style>
  <w:style w:type="paragraph" w:customStyle="1" w:styleId="affffd">
    <w:name w:val="韩奇"/>
    <w:basedOn w:val="10"/>
    <w:next w:val="a1"/>
    <w:autoRedefine/>
    <w:uiPriority w:val="99"/>
    <w:qFormat/>
    <w:rsid w:val="002A5A5E"/>
    <w:pPr>
      <w:keepNext w:val="0"/>
      <w:keepLines w:val="0"/>
      <w:adjustRightInd w:val="0"/>
      <w:spacing w:before="0" w:after="0" w:line="500" w:lineRule="exact"/>
      <w:ind w:firstLineChars="200" w:firstLine="200"/>
      <w:outlineLvl w:val="9"/>
    </w:pPr>
    <w:rPr>
      <w:rFonts w:eastAsia="楷体_GB2312"/>
      <w:b w:val="0"/>
      <w:bCs w:val="0"/>
      <w:kern w:val="0"/>
      <w:sz w:val="28"/>
      <w:szCs w:val="20"/>
    </w:rPr>
  </w:style>
  <w:style w:type="paragraph" w:customStyle="1" w:styleId="xl41">
    <w:name w:val="xl41"/>
    <w:basedOn w:val="10"/>
    <w:next w:val="a1"/>
    <w:autoRedefine/>
    <w:uiPriority w:val="99"/>
    <w:qFormat/>
    <w:rsid w:val="002A5A5E"/>
    <w:pPr>
      <w:keepNext w:val="0"/>
      <w:keepLines w:val="0"/>
      <w:widowControl/>
      <w:pBdr>
        <w:top w:val="single" w:sz="8" w:space="0" w:color="auto"/>
        <w:left w:val="single" w:sz="8" w:space="0" w:color="auto"/>
        <w:right w:val="single" w:sz="8" w:space="0" w:color="auto"/>
      </w:pBdr>
      <w:spacing w:before="100" w:beforeAutospacing="1" w:after="100" w:afterAutospacing="1" w:line="500" w:lineRule="atLeast"/>
      <w:ind w:firstLineChars="177" w:firstLine="425"/>
      <w:jc w:val="center"/>
      <w:outlineLvl w:val="9"/>
    </w:pPr>
    <w:rPr>
      <w:rFonts w:ascii="宋体" w:hAnsi="宋体" w:cs="宋体"/>
      <w:b w:val="0"/>
      <w:bCs w:val="0"/>
      <w:color w:val="000000"/>
      <w:kern w:val="0"/>
      <w:sz w:val="24"/>
      <w:szCs w:val="21"/>
    </w:rPr>
  </w:style>
  <w:style w:type="paragraph" w:customStyle="1" w:styleId="xl39">
    <w:name w:val="xl39"/>
    <w:basedOn w:val="10"/>
    <w:next w:val="a1"/>
    <w:autoRedefine/>
    <w:uiPriority w:val="99"/>
    <w:qFormat/>
    <w:rsid w:val="002A5A5E"/>
    <w:pPr>
      <w:keepNext w:val="0"/>
      <w:keepLines w:val="0"/>
      <w:widowControl/>
      <w:pBdr>
        <w:left w:val="single" w:sz="8" w:space="0" w:color="auto"/>
        <w:right w:val="single" w:sz="8" w:space="0" w:color="auto"/>
      </w:pBdr>
      <w:spacing w:before="100" w:beforeAutospacing="1" w:after="100" w:afterAutospacing="1" w:line="500" w:lineRule="atLeast"/>
      <w:ind w:firstLineChars="177" w:firstLine="425"/>
      <w:jc w:val="center"/>
      <w:outlineLvl w:val="9"/>
    </w:pPr>
    <w:rPr>
      <w:rFonts w:ascii="宋体" w:hAnsi="宋体" w:cs="宋体"/>
      <w:b w:val="0"/>
      <w:bCs w:val="0"/>
      <w:color w:val="000000"/>
      <w:kern w:val="0"/>
      <w:sz w:val="24"/>
      <w:szCs w:val="21"/>
    </w:rPr>
  </w:style>
  <w:style w:type="paragraph" w:customStyle="1" w:styleId="qilu">
    <w:name w:val="qilu"/>
    <w:basedOn w:val="10"/>
    <w:next w:val="a1"/>
    <w:autoRedefine/>
    <w:uiPriority w:val="99"/>
    <w:qFormat/>
    <w:rsid w:val="002A5A5E"/>
    <w:pPr>
      <w:keepNext w:val="0"/>
      <w:keepLines w:val="0"/>
      <w:autoSpaceDE w:val="0"/>
      <w:autoSpaceDN w:val="0"/>
      <w:adjustRightInd w:val="0"/>
      <w:spacing w:before="0" w:after="0" w:line="500" w:lineRule="atLeast"/>
      <w:ind w:firstLineChars="177" w:firstLine="425"/>
      <w:jc w:val="left"/>
      <w:outlineLvl w:val="9"/>
    </w:pPr>
    <w:rPr>
      <w:rFonts w:ascii="宋体"/>
      <w:bCs w:val="0"/>
      <w:kern w:val="0"/>
      <w:sz w:val="28"/>
      <w:szCs w:val="20"/>
    </w:rPr>
  </w:style>
  <w:style w:type="paragraph" w:customStyle="1" w:styleId="CharCharCharCharCharCharCharCharCharCharCharCharCharCharChar">
    <w:name w:val="Char Char Char Char Char Char Char Char Char Char Char Char Char Char Char"/>
    <w:basedOn w:val="10"/>
    <w:next w:val="a1"/>
    <w:autoRedefine/>
    <w:uiPriority w:val="99"/>
    <w:qFormat/>
    <w:rsid w:val="002A5A5E"/>
    <w:pPr>
      <w:keepNext w:val="0"/>
      <w:keepLines w:val="0"/>
      <w:spacing w:before="0" w:after="0" w:line="360" w:lineRule="auto"/>
      <w:ind w:firstLineChars="200" w:firstLine="200"/>
      <w:outlineLvl w:val="9"/>
    </w:pPr>
    <w:rPr>
      <w:rFonts w:ascii="宋体" w:hAnsi="宋体" w:cs="宋体"/>
      <w:b w:val="0"/>
      <w:bCs w:val="0"/>
      <w:kern w:val="2"/>
      <w:sz w:val="24"/>
      <w:szCs w:val="24"/>
    </w:rPr>
  </w:style>
  <w:style w:type="paragraph" w:customStyle="1" w:styleId="xl43">
    <w:name w:val="xl43"/>
    <w:basedOn w:val="10"/>
    <w:next w:val="a1"/>
    <w:autoRedefine/>
    <w:uiPriority w:val="99"/>
    <w:qFormat/>
    <w:rsid w:val="002A5A5E"/>
    <w:pPr>
      <w:keepNext w:val="0"/>
      <w:keepLines w:val="0"/>
      <w:widowControl/>
      <w:pBdr>
        <w:top w:val="single" w:sz="8" w:space="0" w:color="auto"/>
        <w:left w:val="single" w:sz="8" w:space="0" w:color="auto"/>
        <w:right w:val="single" w:sz="8" w:space="0" w:color="auto"/>
      </w:pBdr>
      <w:spacing w:before="100" w:beforeAutospacing="1" w:after="100" w:afterAutospacing="1" w:line="500" w:lineRule="atLeast"/>
      <w:ind w:firstLineChars="177" w:firstLine="425"/>
      <w:jc w:val="center"/>
      <w:outlineLvl w:val="9"/>
    </w:pPr>
    <w:rPr>
      <w:b w:val="0"/>
      <w:bCs w:val="0"/>
      <w:color w:val="000000"/>
      <w:kern w:val="0"/>
      <w:sz w:val="24"/>
      <w:szCs w:val="21"/>
    </w:rPr>
  </w:style>
  <w:style w:type="paragraph" w:customStyle="1" w:styleId="3a">
    <w:name w:val="标题样式3"/>
    <w:basedOn w:val="30"/>
    <w:next w:val="a1"/>
    <w:autoRedefine/>
    <w:uiPriority w:val="99"/>
    <w:qFormat/>
    <w:rsid w:val="002A5A5E"/>
    <w:pPr>
      <w:widowControl/>
      <w:tabs>
        <w:tab w:val="left" w:pos="0"/>
      </w:tabs>
      <w:spacing w:before="0" w:after="0" w:line="360" w:lineRule="auto"/>
      <w:jc w:val="left"/>
    </w:pPr>
    <w:rPr>
      <w:rFonts w:ascii="黑体" w:eastAsia="黑体" w:hAnsi="Times New Roman" w:cs="Times New Roman"/>
      <w:b/>
      <w:bCs/>
      <w:kern w:val="0"/>
      <w:sz w:val="24"/>
    </w:rPr>
  </w:style>
  <w:style w:type="paragraph" w:customStyle="1" w:styleId="affffe">
    <w:name w:val="报告正文文字"/>
    <w:basedOn w:val="10"/>
    <w:next w:val="a1"/>
    <w:autoRedefine/>
    <w:uiPriority w:val="99"/>
    <w:qFormat/>
    <w:rsid w:val="002A5A5E"/>
    <w:pPr>
      <w:keepNext w:val="0"/>
      <w:keepLines w:val="0"/>
      <w:widowControl/>
      <w:autoSpaceDE w:val="0"/>
      <w:autoSpaceDN w:val="0"/>
      <w:spacing w:before="0" w:after="0" w:line="360" w:lineRule="auto"/>
      <w:ind w:firstLineChars="200" w:firstLine="480"/>
      <w:outlineLvl w:val="9"/>
    </w:pPr>
    <w:rPr>
      <w:rFonts w:ascii="宋体" w:hAnsi="宋体"/>
      <w:b w:val="0"/>
      <w:bCs w:val="0"/>
      <w:color w:val="000000"/>
      <w:spacing w:val="4"/>
      <w:kern w:val="0"/>
      <w:sz w:val="24"/>
      <w:szCs w:val="20"/>
    </w:rPr>
  </w:style>
  <w:style w:type="paragraph" w:customStyle="1" w:styleId="xl26">
    <w:name w:val="xl26"/>
    <w:basedOn w:val="10"/>
    <w:next w:val="a1"/>
    <w:autoRedefine/>
    <w:uiPriority w:val="99"/>
    <w:qFormat/>
    <w:rsid w:val="002A5A5E"/>
    <w:pPr>
      <w:keepNext w:val="0"/>
      <w:keepLines w:val="0"/>
      <w:widowControl/>
      <w:pBdr>
        <w:bottom w:val="single" w:sz="4" w:space="0" w:color="auto"/>
        <w:right w:val="single" w:sz="4" w:space="0" w:color="auto"/>
      </w:pBdr>
      <w:spacing w:before="100" w:beforeAutospacing="1" w:after="100" w:afterAutospacing="1" w:line="500" w:lineRule="atLeast"/>
      <w:ind w:firstLineChars="177" w:firstLine="425"/>
      <w:jc w:val="center"/>
      <w:outlineLvl w:val="9"/>
    </w:pPr>
    <w:rPr>
      <w:rFonts w:eastAsia="Arial Unicode MS"/>
      <w:b w:val="0"/>
      <w:bCs w:val="0"/>
      <w:kern w:val="0"/>
      <w:sz w:val="24"/>
      <w:szCs w:val="21"/>
    </w:rPr>
  </w:style>
  <w:style w:type="paragraph" w:customStyle="1" w:styleId="PlainText1">
    <w:name w:val="Plain Text1"/>
    <w:basedOn w:val="10"/>
    <w:next w:val="a1"/>
    <w:autoRedefine/>
    <w:uiPriority w:val="99"/>
    <w:qFormat/>
    <w:rsid w:val="002A5A5E"/>
    <w:pPr>
      <w:keepNext w:val="0"/>
      <w:keepLines w:val="0"/>
      <w:autoSpaceDE w:val="0"/>
      <w:autoSpaceDN w:val="0"/>
      <w:adjustRightInd w:val="0"/>
      <w:spacing w:before="0" w:after="0" w:line="500" w:lineRule="atLeast"/>
      <w:ind w:firstLineChars="177" w:firstLine="425"/>
      <w:outlineLvl w:val="9"/>
    </w:pPr>
    <w:rPr>
      <w:rFonts w:ascii="宋体" w:hAnsi="Tms Rmn"/>
      <w:b w:val="0"/>
      <w:bCs w:val="0"/>
      <w:kern w:val="0"/>
      <w:sz w:val="24"/>
      <w:szCs w:val="20"/>
    </w:rPr>
  </w:style>
  <w:style w:type="character" w:customStyle="1" w:styleId="1Char10">
    <w:name w:val="段落1 Char1"/>
    <w:link w:val="1d"/>
    <w:qFormat/>
    <w:locked/>
    <w:rsid w:val="002A5A5E"/>
    <w:rPr>
      <w:rFonts w:ascii="宋体" w:eastAsia="宋体" w:hAnsi="宋体"/>
      <w:spacing w:val="6"/>
      <w:sz w:val="28"/>
    </w:rPr>
  </w:style>
  <w:style w:type="paragraph" w:customStyle="1" w:styleId="1d">
    <w:name w:val="段落1"/>
    <w:basedOn w:val="10"/>
    <w:next w:val="a1"/>
    <w:link w:val="1Char10"/>
    <w:autoRedefine/>
    <w:qFormat/>
    <w:rsid w:val="002A5A5E"/>
    <w:pPr>
      <w:keepNext w:val="0"/>
      <w:keepLines w:val="0"/>
      <w:adjustRightInd w:val="0"/>
      <w:spacing w:before="0" w:after="0" w:line="440" w:lineRule="exact"/>
      <w:ind w:firstLineChars="200" w:firstLine="600"/>
      <w:outlineLvl w:val="9"/>
    </w:pPr>
    <w:rPr>
      <w:rFonts w:ascii="宋体" w:hAnsi="宋体" w:cstheme="minorBidi"/>
      <w:b w:val="0"/>
      <w:bCs w:val="0"/>
      <w:spacing w:val="6"/>
      <w:kern w:val="2"/>
      <w:sz w:val="28"/>
      <w:szCs w:val="22"/>
    </w:rPr>
  </w:style>
  <w:style w:type="paragraph" w:customStyle="1" w:styleId="table">
    <w:name w:val="table"/>
    <w:basedOn w:val="10"/>
    <w:next w:val="a1"/>
    <w:autoRedefine/>
    <w:uiPriority w:val="99"/>
    <w:qFormat/>
    <w:rsid w:val="002A5A5E"/>
    <w:pPr>
      <w:keepNext w:val="0"/>
      <w:keepLines w:val="0"/>
      <w:widowControl/>
      <w:overflowPunct w:val="0"/>
      <w:autoSpaceDE w:val="0"/>
      <w:autoSpaceDN w:val="0"/>
      <w:adjustRightInd w:val="0"/>
      <w:spacing w:before="60" w:after="60" w:line="500" w:lineRule="atLeast"/>
      <w:ind w:firstLineChars="177" w:firstLine="425"/>
      <w:jc w:val="center"/>
      <w:outlineLvl w:val="9"/>
    </w:pPr>
    <w:rPr>
      <w:rFonts w:ascii="仿宋体" w:eastAsia="仿宋体"/>
      <w:b w:val="0"/>
      <w:bCs w:val="0"/>
      <w:kern w:val="0"/>
      <w:sz w:val="24"/>
      <w:szCs w:val="20"/>
    </w:rPr>
  </w:style>
  <w:style w:type="paragraph" w:customStyle="1" w:styleId="xl58">
    <w:name w:val="xl58"/>
    <w:basedOn w:val="10"/>
    <w:next w:val="a1"/>
    <w:autoRedefine/>
    <w:uiPriority w:val="99"/>
    <w:qFormat/>
    <w:rsid w:val="002A5A5E"/>
    <w:pPr>
      <w:keepNext w:val="0"/>
      <w:keepLines w:val="0"/>
      <w:widowControl/>
      <w:pBdr>
        <w:top w:val="single" w:sz="12" w:space="0" w:color="auto"/>
        <w:bottom w:val="single" w:sz="8" w:space="0" w:color="auto"/>
        <w:right w:val="single" w:sz="8" w:space="0" w:color="auto"/>
      </w:pBdr>
      <w:spacing w:before="100" w:beforeAutospacing="1" w:after="100" w:afterAutospacing="1" w:line="500" w:lineRule="atLeast"/>
      <w:ind w:firstLineChars="177" w:firstLine="425"/>
      <w:jc w:val="center"/>
      <w:outlineLvl w:val="9"/>
    </w:pPr>
    <w:rPr>
      <w:rFonts w:ascii="宋体" w:hAnsi="宋体" w:cs="宋体"/>
      <w:b w:val="0"/>
      <w:bCs w:val="0"/>
      <w:color w:val="000000"/>
      <w:kern w:val="0"/>
      <w:sz w:val="24"/>
      <w:szCs w:val="21"/>
    </w:rPr>
  </w:style>
  <w:style w:type="paragraph" w:customStyle="1" w:styleId="CharCharCharCharCharCharCharCharCharCharCharCharCharCharCharCharCharCharCharCharCharChar">
    <w:name w:val="Char Char Char Char Char Char Char Char Char Char Char Char Char Char Char Char Char Char Char Char Char Char"/>
    <w:basedOn w:val="10"/>
    <w:next w:val="a1"/>
    <w:autoRedefine/>
    <w:uiPriority w:val="99"/>
    <w:qFormat/>
    <w:rsid w:val="002A5A5E"/>
    <w:pPr>
      <w:keepNext w:val="0"/>
      <w:keepLines w:val="0"/>
      <w:widowControl/>
      <w:spacing w:before="0" w:after="160" w:line="240" w:lineRule="exact"/>
      <w:ind w:firstLineChars="177" w:firstLine="425"/>
      <w:jc w:val="left"/>
      <w:outlineLvl w:val="9"/>
    </w:pPr>
    <w:rPr>
      <w:b w:val="0"/>
      <w:bCs w:val="0"/>
      <w:kern w:val="2"/>
      <w:sz w:val="24"/>
      <w:szCs w:val="20"/>
    </w:rPr>
  </w:style>
  <w:style w:type="paragraph" w:customStyle="1" w:styleId="WW-">
    <w:name w:val="WW-正文（首行缩进两字）"/>
    <w:basedOn w:val="10"/>
    <w:next w:val="a1"/>
    <w:autoRedefine/>
    <w:uiPriority w:val="99"/>
    <w:qFormat/>
    <w:rsid w:val="002A5A5E"/>
    <w:pPr>
      <w:keepNext w:val="0"/>
      <w:keepLines w:val="0"/>
      <w:suppressAutoHyphens/>
      <w:spacing w:before="0" w:after="0" w:line="500" w:lineRule="atLeast"/>
      <w:ind w:firstLineChars="177" w:firstLine="420"/>
      <w:outlineLvl w:val="9"/>
    </w:pPr>
    <w:rPr>
      <w:b w:val="0"/>
      <w:bCs w:val="0"/>
      <w:kern w:val="2"/>
      <w:sz w:val="24"/>
      <w:szCs w:val="20"/>
    </w:rPr>
  </w:style>
  <w:style w:type="paragraph" w:customStyle="1" w:styleId="afffff">
    <w:name w:val="表格内容格式"/>
    <w:basedOn w:val="10"/>
    <w:next w:val="a1"/>
    <w:autoRedefine/>
    <w:uiPriority w:val="99"/>
    <w:qFormat/>
    <w:rsid w:val="002A5A5E"/>
    <w:pPr>
      <w:keepNext w:val="0"/>
      <w:keepLines w:val="0"/>
      <w:tabs>
        <w:tab w:val="left" w:pos="1935"/>
      </w:tabs>
      <w:adjustRightInd w:val="0"/>
      <w:snapToGrid w:val="0"/>
      <w:spacing w:before="0" w:after="0" w:line="500" w:lineRule="atLeast"/>
      <w:ind w:rightChars="-45" w:right="-45" w:firstLineChars="177" w:firstLine="425"/>
      <w:outlineLvl w:val="9"/>
    </w:pPr>
    <w:rPr>
      <w:b w:val="0"/>
      <w:bCs w:val="0"/>
      <w:color w:val="000000"/>
      <w:kern w:val="0"/>
      <w:sz w:val="24"/>
      <w:szCs w:val="20"/>
    </w:rPr>
  </w:style>
  <w:style w:type="paragraph" w:customStyle="1" w:styleId="font0">
    <w:name w:val="font0"/>
    <w:basedOn w:val="10"/>
    <w:next w:val="a1"/>
    <w:autoRedefine/>
    <w:qFormat/>
    <w:rsid w:val="002A5A5E"/>
    <w:pPr>
      <w:keepNext w:val="0"/>
      <w:keepLines w:val="0"/>
      <w:widowControl/>
      <w:adjustRightInd w:val="0"/>
      <w:snapToGrid w:val="0"/>
      <w:spacing w:before="100" w:beforeAutospacing="1" w:after="100" w:afterAutospacing="1" w:line="360" w:lineRule="auto"/>
      <w:ind w:firstLineChars="177" w:firstLine="425"/>
      <w:jc w:val="left"/>
      <w:outlineLvl w:val="9"/>
    </w:pPr>
    <w:rPr>
      <w:rFonts w:ascii="宋体" w:hAnsi="宋体"/>
      <w:b w:val="0"/>
      <w:bCs w:val="0"/>
      <w:kern w:val="0"/>
      <w:sz w:val="24"/>
      <w:szCs w:val="24"/>
    </w:rPr>
  </w:style>
  <w:style w:type="paragraph" w:customStyle="1" w:styleId="a60">
    <w:name w:val="a6"/>
    <w:next w:val="a1"/>
    <w:autoRedefine/>
    <w:uiPriority w:val="99"/>
    <w:qFormat/>
    <w:rsid w:val="002A5A5E"/>
    <w:pPr>
      <w:spacing w:line="280" w:lineRule="atLeast"/>
      <w:ind w:firstLine="360"/>
      <w:jc w:val="center"/>
    </w:pPr>
    <w:rPr>
      <w:rFonts w:ascii="Times New Roman" w:eastAsia="宋体" w:hAnsi="Times New Roman" w:cs="Times New Roman"/>
      <w:color w:val="000000"/>
      <w:sz w:val="18"/>
      <w:szCs w:val="18"/>
    </w:rPr>
  </w:style>
  <w:style w:type="paragraph" w:customStyle="1" w:styleId="afffff0">
    <w:name w:val="图表名"/>
    <w:basedOn w:val="10"/>
    <w:next w:val="a1"/>
    <w:autoRedefine/>
    <w:uiPriority w:val="99"/>
    <w:qFormat/>
    <w:rsid w:val="002A5A5E"/>
    <w:pPr>
      <w:keepNext w:val="0"/>
      <w:keepLines w:val="0"/>
      <w:spacing w:beforeLines="30" w:after="0" w:line="440" w:lineRule="exact"/>
      <w:ind w:firstLineChars="177" w:firstLine="480"/>
      <w:outlineLvl w:val="9"/>
    </w:pPr>
    <w:rPr>
      <w:rFonts w:eastAsia="黑体"/>
      <w:b w:val="0"/>
      <w:bCs w:val="0"/>
      <w:kern w:val="2"/>
      <w:sz w:val="24"/>
      <w:szCs w:val="20"/>
    </w:rPr>
  </w:style>
  <w:style w:type="paragraph" w:customStyle="1" w:styleId="a9cxspmiddle">
    <w:name w:val="a9cxspmiddle"/>
    <w:basedOn w:val="10"/>
    <w:next w:val="a1"/>
    <w:autoRedefine/>
    <w:uiPriority w:val="99"/>
    <w:qFormat/>
    <w:rsid w:val="002A5A5E"/>
    <w:pPr>
      <w:keepNext w:val="0"/>
      <w:keepLines w:val="0"/>
      <w:widowControl/>
      <w:snapToGrid w:val="0"/>
      <w:spacing w:before="0" w:after="0" w:line="360" w:lineRule="auto"/>
      <w:ind w:firstLineChars="177" w:firstLine="480"/>
      <w:outlineLvl w:val="9"/>
    </w:pPr>
    <w:rPr>
      <w:b w:val="0"/>
      <w:bCs w:val="0"/>
      <w:kern w:val="0"/>
      <w:sz w:val="24"/>
      <w:szCs w:val="24"/>
    </w:rPr>
  </w:style>
  <w:style w:type="paragraph" w:customStyle="1" w:styleId="2f">
    <w:name w:val="样式 首行缩进:  2 字符"/>
    <w:basedOn w:val="10"/>
    <w:next w:val="a1"/>
    <w:autoRedefine/>
    <w:uiPriority w:val="99"/>
    <w:qFormat/>
    <w:rsid w:val="002A5A5E"/>
    <w:pPr>
      <w:keepNext w:val="0"/>
      <w:keepLines w:val="0"/>
      <w:spacing w:before="0" w:after="0" w:line="360" w:lineRule="auto"/>
      <w:ind w:firstLineChars="200" w:firstLine="200"/>
      <w:outlineLvl w:val="9"/>
    </w:pPr>
    <w:rPr>
      <w:b w:val="0"/>
      <w:bCs w:val="0"/>
      <w:kern w:val="2"/>
      <w:sz w:val="24"/>
      <w:szCs w:val="24"/>
    </w:rPr>
  </w:style>
  <w:style w:type="paragraph" w:customStyle="1" w:styleId="xl35">
    <w:name w:val="xl35"/>
    <w:basedOn w:val="10"/>
    <w:next w:val="a1"/>
    <w:autoRedefine/>
    <w:uiPriority w:val="99"/>
    <w:qFormat/>
    <w:rsid w:val="002A5A5E"/>
    <w:pPr>
      <w:keepNext w:val="0"/>
      <w:keepLines w:val="0"/>
      <w:widowControl/>
      <w:pBdr>
        <w:bottom w:val="single" w:sz="8" w:space="0" w:color="auto"/>
        <w:right w:val="single" w:sz="8" w:space="0" w:color="auto"/>
      </w:pBdr>
      <w:spacing w:before="100" w:beforeAutospacing="1" w:after="100" w:afterAutospacing="1" w:line="500" w:lineRule="atLeast"/>
      <w:ind w:firstLineChars="177" w:firstLine="425"/>
      <w:jc w:val="center"/>
      <w:outlineLvl w:val="9"/>
    </w:pPr>
    <w:rPr>
      <w:b w:val="0"/>
      <w:bCs w:val="0"/>
      <w:color w:val="000000"/>
      <w:kern w:val="0"/>
      <w:sz w:val="24"/>
      <w:szCs w:val="21"/>
    </w:rPr>
  </w:style>
  <w:style w:type="paragraph" w:customStyle="1" w:styleId="120">
    <w:name w:val="表1表2"/>
    <w:basedOn w:val="10"/>
    <w:next w:val="a1"/>
    <w:autoRedefine/>
    <w:uiPriority w:val="99"/>
    <w:qFormat/>
    <w:rsid w:val="002A5A5E"/>
    <w:pPr>
      <w:keepNext w:val="0"/>
      <w:keepLines w:val="0"/>
      <w:autoSpaceDE w:val="0"/>
      <w:autoSpaceDN w:val="0"/>
      <w:adjustRightInd w:val="0"/>
      <w:spacing w:before="0" w:after="0" w:line="500" w:lineRule="atLeast"/>
      <w:ind w:firstLineChars="177" w:firstLine="425"/>
      <w:jc w:val="center"/>
      <w:outlineLvl w:val="9"/>
    </w:pPr>
    <w:rPr>
      <w:rFonts w:eastAsia="FangSong_GB2312"/>
      <w:b w:val="0"/>
      <w:bCs w:val="0"/>
      <w:kern w:val="0"/>
      <w:sz w:val="24"/>
      <w:szCs w:val="21"/>
    </w:rPr>
  </w:style>
  <w:style w:type="paragraph" w:customStyle="1" w:styleId="xl23">
    <w:name w:val="xl23"/>
    <w:basedOn w:val="10"/>
    <w:next w:val="a1"/>
    <w:autoRedefine/>
    <w:uiPriority w:val="99"/>
    <w:qFormat/>
    <w:rsid w:val="002A5A5E"/>
    <w:pPr>
      <w:keepNext w:val="0"/>
      <w:keepLines w:val="0"/>
      <w:widowControl/>
      <w:pBdr>
        <w:top w:val="single" w:sz="4" w:space="0" w:color="auto"/>
        <w:left w:val="single" w:sz="4" w:space="0" w:color="auto"/>
        <w:right w:val="single" w:sz="4" w:space="0" w:color="auto"/>
      </w:pBdr>
      <w:spacing w:before="100" w:beforeAutospacing="1" w:after="100" w:afterAutospacing="1" w:line="500" w:lineRule="atLeast"/>
      <w:ind w:firstLineChars="177" w:firstLine="425"/>
      <w:jc w:val="center"/>
      <w:outlineLvl w:val="9"/>
    </w:pPr>
    <w:rPr>
      <w:rFonts w:ascii="宋体" w:hAnsi="宋体" w:cs="宋体"/>
      <w:b w:val="0"/>
      <w:bCs w:val="0"/>
      <w:kern w:val="0"/>
      <w:sz w:val="24"/>
      <w:szCs w:val="24"/>
    </w:rPr>
  </w:style>
  <w:style w:type="paragraph" w:customStyle="1" w:styleId="afffff1">
    <w:name w:val="公式说明"/>
    <w:next w:val="a1"/>
    <w:autoRedefine/>
    <w:uiPriority w:val="99"/>
    <w:qFormat/>
    <w:rsid w:val="002A5A5E"/>
    <w:pPr>
      <w:ind w:firstLineChars="200" w:firstLine="200"/>
    </w:pPr>
    <w:rPr>
      <w:rFonts w:ascii="Times New Roman" w:eastAsia="宋体" w:hAnsi="Times New Roman" w:cs="Times New Roman"/>
      <w:kern w:val="2"/>
      <w:sz w:val="24"/>
    </w:rPr>
  </w:style>
  <w:style w:type="paragraph" w:customStyle="1" w:styleId="BodyText22">
    <w:name w:val="Body Text 22"/>
    <w:basedOn w:val="10"/>
    <w:next w:val="a1"/>
    <w:autoRedefine/>
    <w:uiPriority w:val="99"/>
    <w:qFormat/>
    <w:rsid w:val="002A5A5E"/>
    <w:pPr>
      <w:keepNext w:val="0"/>
      <w:keepLines w:val="0"/>
      <w:adjustRightInd w:val="0"/>
      <w:spacing w:before="0" w:after="0" w:line="440" w:lineRule="atLeast"/>
      <w:ind w:firstLineChars="177" w:firstLine="480"/>
      <w:outlineLvl w:val="9"/>
    </w:pPr>
    <w:rPr>
      <w:rFonts w:eastAsia="FangSong_GB2312"/>
      <w:b w:val="0"/>
      <w:bCs w:val="0"/>
      <w:kern w:val="2"/>
      <w:sz w:val="24"/>
      <w:szCs w:val="20"/>
    </w:rPr>
  </w:style>
  <w:style w:type="paragraph" w:customStyle="1" w:styleId="1110">
    <w:name w:val="1.1.1"/>
    <w:basedOn w:val="10"/>
    <w:next w:val="a1"/>
    <w:autoRedefine/>
    <w:uiPriority w:val="99"/>
    <w:qFormat/>
    <w:rsid w:val="002A5A5E"/>
    <w:pPr>
      <w:keepNext w:val="0"/>
      <w:keepLines w:val="0"/>
      <w:spacing w:before="0" w:after="0" w:line="500" w:lineRule="atLeast"/>
      <w:ind w:firstLineChars="177" w:firstLine="425"/>
      <w:outlineLvl w:val="9"/>
    </w:pPr>
    <w:rPr>
      <w:rFonts w:ascii="黑体"/>
      <w:b w:val="0"/>
      <w:bCs w:val="0"/>
      <w:kern w:val="2"/>
      <w:sz w:val="24"/>
      <w:szCs w:val="24"/>
    </w:rPr>
  </w:style>
  <w:style w:type="paragraph" w:customStyle="1" w:styleId="afffff2">
    <w:name w:val="报告表格"/>
    <w:basedOn w:val="10"/>
    <w:next w:val="a1"/>
    <w:autoRedefine/>
    <w:uiPriority w:val="99"/>
    <w:qFormat/>
    <w:rsid w:val="002A5A5E"/>
    <w:pPr>
      <w:keepNext w:val="0"/>
      <w:keepLines w:val="0"/>
      <w:autoSpaceDE w:val="0"/>
      <w:autoSpaceDN w:val="0"/>
      <w:adjustRightInd w:val="0"/>
      <w:spacing w:before="40" w:after="40" w:line="500" w:lineRule="atLeast"/>
      <w:ind w:firstLineChars="177" w:firstLine="425"/>
      <w:jc w:val="center"/>
      <w:outlineLvl w:val="9"/>
    </w:pPr>
    <w:rPr>
      <w:b w:val="0"/>
      <w:bCs w:val="0"/>
      <w:kern w:val="0"/>
      <w:sz w:val="24"/>
      <w:szCs w:val="20"/>
    </w:rPr>
  </w:style>
  <w:style w:type="paragraph" w:customStyle="1" w:styleId="afffff3">
    <w:name w:val="表中正文"/>
    <w:basedOn w:val="10"/>
    <w:next w:val="a1"/>
    <w:autoRedefine/>
    <w:uiPriority w:val="99"/>
    <w:qFormat/>
    <w:rsid w:val="002A5A5E"/>
    <w:pPr>
      <w:keepNext w:val="0"/>
      <w:keepLines w:val="0"/>
      <w:tabs>
        <w:tab w:val="left" w:pos="958"/>
        <w:tab w:val="left" w:pos="7320"/>
        <w:tab w:val="left" w:pos="8160"/>
      </w:tabs>
      <w:adjustRightInd w:val="0"/>
      <w:spacing w:before="0" w:after="0" w:line="360" w:lineRule="atLeast"/>
      <w:ind w:right="113" w:firstLineChars="177" w:firstLine="425"/>
      <w:jc w:val="center"/>
      <w:outlineLvl w:val="9"/>
    </w:pPr>
    <w:rPr>
      <w:rFonts w:ascii="宋体" w:hAnsi="宋体"/>
      <w:b w:val="0"/>
      <w:bCs w:val="0"/>
      <w:spacing w:val="6"/>
      <w:kern w:val="20"/>
      <w:sz w:val="24"/>
      <w:szCs w:val="24"/>
    </w:rPr>
  </w:style>
  <w:style w:type="paragraph" w:customStyle="1" w:styleId="1203">
    <w:name w:val="样式 段落1 + 左 首行缩进:  2 字符 加宽量  0.3 磅"/>
    <w:basedOn w:val="10"/>
    <w:next w:val="a1"/>
    <w:autoRedefine/>
    <w:uiPriority w:val="99"/>
    <w:qFormat/>
    <w:rsid w:val="002A5A5E"/>
    <w:pPr>
      <w:keepNext w:val="0"/>
      <w:keepLines w:val="0"/>
      <w:tabs>
        <w:tab w:val="left" w:pos="4254"/>
      </w:tabs>
      <w:adjustRightInd w:val="0"/>
      <w:spacing w:before="0" w:after="0" w:line="440" w:lineRule="exact"/>
      <w:ind w:firstLineChars="200" w:firstLine="504"/>
      <w:outlineLvl w:val="9"/>
    </w:pPr>
    <w:rPr>
      <w:b w:val="0"/>
      <w:color w:val="0000FF"/>
      <w:spacing w:val="6"/>
      <w:kern w:val="0"/>
      <w:sz w:val="24"/>
      <w:szCs w:val="20"/>
    </w:rPr>
  </w:style>
  <w:style w:type="character" w:customStyle="1" w:styleId="2Char12">
    <w:name w:val="正文首行缩进 2 Char1"/>
    <w:basedOn w:val="Char14"/>
    <w:uiPriority w:val="99"/>
    <w:semiHidden/>
    <w:qFormat/>
    <w:rsid w:val="002A5A5E"/>
    <w:rPr>
      <w:rFonts w:ascii="Times New Roman" w:eastAsia="宋体" w:hAnsi="Times New Roman" w:cs="Times New Roman"/>
      <w:szCs w:val="24"/>
    </w:rPr>
  </w:style>
  <w:style w:type="paragraph" w:customStyle="1" w:styleId="afffff4">
    <w:name w:val="三级标题"/>
    <w:basedOn w:val="10"/>
    <w:next w:val="25"/>
    <w:autoRedefine/>
    <w:uiPriority w:val="99"/>
    <w:qFormat/>
    <w:rsid w:val="002A5A5E"/>
    <w:pPr>
      <w:keepNext w:val="0"/>
      <w:keepLines w:val="0"/>
      <w:adjustRightInd w:val="0"/>
      <w:snapToGrid w:val="0"/>
      <w:spacing w:before="0" w:after="0" w:line="360" w:lineRule="exact"/>
      <w:ind w:firstLineChars="177" w:firstLine="425"/>
      <w:jc w:val="center"/>
      <w:outlineLvl w:val="9"/>
    </w:pPr>
    <w:rPr>
      <w:b w:val="0"/>
      <w:kern w:val="2"/>
      <w:sz w:val="24"/>
      <w:szCs w:val="20"/>
    </w:rPr>
  </w:style>
  <w:style w:type="paragraph" w:customStyle="1" w:styleId="unnamed2">
    <w:name w:val="unnamed2"/>
    <w:basedOn w:val="10"/>
    <w:next w:val="a1"/>
    <w:autoRedefine/>
    <w:uiPriority w:val="99"/>
    <w:qFormat/>
    <w:rsid w:val="002A5A5E"/>
    <w:pPr>
      <w:keepNext w:val="0"/>
      <w:keepLines w:val="0"/>
      <w:widowControl/>
      <w:spacing w:before="100" w:beforeAutospacing="1" w:after="100" w:afterAutospacing="1" w:line="500" w:lineRule="atLeast"/>
      <w:ind w:firstLineChars="177" w:firstLine="425"/>
      <w:jc w:val="left"/>
      <w:outlineLvl w:val="9"/>
    </w:pPr>
    <w:rPr>
      <w:rFonts w:ascii="Arial Unicode MS" w:eastAsia="Arial Unicode MS" w:hAnsi="Arial Unicode MS" w:cs="Arial Unicode MS"/>
      <w:b w:val="0"/>
      <w:bCs w:val="0"/>
      <w:color w:val="000000"/>
      <w:kern w:val="0"/>
      <w:sz w:val="24"/>
      <w:szCs w:val="24"/>
    </w:rPr>
  </w:style>
  <w:style w:type="paragraph" w:customStyle="1" w:styleId="afffff5">
    <w:name w:val="样式表格"/>
    <w:basedOn w:val="10"/>
    <w:next w:val="a1"/>
    <w:autoRedefine/>
    <w:uiPriority w:val="99"/>
    <w:qFormat/>
    <w:rsid w:val="002A5A5E"/>
    <w:pPr>
      <w:keepNext w:val="0"/>
      <w:keepLines w:val="0"/>
      <w:spacing w:before="0" w:after="0" w:line="240" w:lineRule="exact"/>
      <w:ind w:firstLineChars="177" w:firstLine="425"/>
      <w:outlineLvl w:val="9"/>
    </w:pPr>
    <w:rPr>
      <w:b w:val="0"/>
      <w:bCs w:val="0"/>
      <w:color w:val="000000"/>
      <w:kern w:val="0"/>
      <w:sz w:val="24"/>
      <w:szCs w:val="21"/>
    </w:rPr>
  </w:style>
  <w:style w:type="paragraph" w:customStyle="1" w:styleId="font5">
    <w:name w:val="font5"/>
    <w:basedOn w:val="10"/>
    <w:next w:val="a1"/>
    <w:autoRedefine/>
    <w:qFormat/>
    <w:rsid w:val="002A5A5E"/>
    <w:pPr>
      <w:keepNext w:val="0"/>
      <w:keepLines w:val="0"/>
      <w:widowControl/>
      <w:spacing w:before="100" w:beforeAutospacing="1" w:after="100" w:afterAutospacing="1" w:line="500" w:lineRule="atLeast"/>
      <w:ind w:firstLineChars="177" w:firstLine="425"/>
      <w:jc w:val="left"/>
      <w:outlineLvl w:val="9"/>
    </w:pPr>
    <w:rPr>
      <w:rFonts w:ascii="宋体" w:hAnsi="宋体"/>
      <w:b w:val="0"/>
      <w:bCs w:val="0"/>
      <w:kern w:val="0"/>
      <w:sz w:val="18"/>
      <w:szCs w:val="20"/>
    </w:rPr>
  </w:style>
  <w:style w:type="paragraph" w:customStyle="1" w:styleId="2f0">
    <w:name w:val="样式2"/>
    <w:basedOn w:val="10"/>
    <w:next w:val="a1"/>
    <w:autoRedefine/>
    <w:uiPriority w:val="99"/>
    <w:qFormat/>
    <w:rsid w:val="002A5A5E"/>
    <w:pPr>
      <w:keepNext w:val="0"/>
      <w:keepLines w:val="0"/>
      <w:tabs>
        <w:tab w:val="left" w:pos="360"/>
      </w:tabs>
      <w:spacing w:before="50" w:after="50" w:line="440" w:lineRule="exact"/>
      <w:ind w:firstLineChars="177" w:firstLine="425"/>
      <w:outlineLvl w:val="9"/>
    </w:pPr>
    <w:rPr>
      <w:rFonts w:eastAsia="黑体"/>
      <w:b w:val="0"/>
      <w:bCs w:val="0"/>
      <w:kern w:val="2"/>
      <w:sz w:val="24"/>
      <w:szCs w:val="20"/>
    </w:rPr>
  </w:style>
  <w:style w:type="character" w:customStyle="1" w:styleId="cucd-2Char">
    <w:name w:val="cucd-2 Char"/>
    <w:link w:val="cucd-2"/>
    <w:qFormat/>
    <w:locked/>
    <w:rsid w:val="002A5A5E"/>
    <w:rPr>
      <w:rFonts w:ascii="黑体" w:eastAsia="黑体" w:hAnsi="黑体"/>
      <w:b/>
      <w:sz w:val="30"/>
      <w:szCs w:val="24"/>
    </w:rPr>
  </w:style>
  <w:style w:type="paragraph" w:customStyle="1" w:styleId="cucd-2">
    <w:name w:val="cucd-2"/>
    <w:next w:val="cucd-3"/>
    <w:link w:val="cucd-2Char"/>
    <w:autoRedefine/>
    <w:qFormat/>
    <w:rsid w:val="002A5A5E"/>
    <w:pPr>
      <w:tabs>
        <w:tab w:val="left" w:pos="576"/>
      </w:tabs>
      <w:spacing w:line="360" w:lineRule="auto"/>
      <w:ind w:left="576" w:hanging="576"/>
      <w:outlineLvl w:val="1"/>
    </w:pPr>
    <w:rPr>
      <w:rFonts w:ascii="黑体" w:eastAsia="黑体" w:hAnsi="黑体"/>
      <w:b/>
      <w:kern w:val="2"/>
      <w:sz w:val="30"/>
      <w:szCs w:val="24"/>
    </w:rPr>
  </w:style>
  <w:style w:type="paragraph" w:customStyle="1" w:styleId="cucd-3">
    <w:name w:val="cucd-3"/>
    <w:next w:val="a1"/>
    <w:link w:val="cucd-3Char"/>
    <w:autoRedefine/>
    <w:uiPriority w:val="99"/>
    <w:qFormat/>
    <w:rsid w:val="002A5A5E"/>
    <w:pPr>
      <w:tabs>
        <w:tab w:val="left" w:pos="720"/>
      </w:tabs>
      <w:spacing w:line="360" w:lineRule="auto"/>
      <w:ind w:left="720" w:hanging="720"/>
      <w:outlineLvl w:val="2"/>
    </w:pPr>
    <w:rPr>
      <w:rFonts w:ascii="Calibri" w:eastAsia="宋体" w:hAnsi="Calibri" w:cs="Times New Roman"/>
      <w:b/>
      <w:kern w:val="2"/>
      <w:sz w:val="28"/>
      <w:szCs w:val="24"/>
    </w:rPr>
  </w:style>
  <w:style w:type="character" w:customStyle="1" w:styleId="cucd-3Char">
    <w:name w:val="cucd-3 Char"/>
    <w:link w:val="cucd-3"/>
    <w:uiPriority w:val="99"/>
    <w:qFormat/>
    <w:locked/>
    <w:rsid w:val="002A5A5E"/>
    <w:rPr>
      <w:rFonts w:ascii="Calibri" w:eastAsia="宋体" w:hAnsi="Calibri" w:cs="Times New Roman"/>
      <w:b/>
      <w:sz w:val="28"/>
      <w:szCs w:val="24"/>
    </w:rPr>
  </w:style>
  <w:style w:type="paragraph" w:customStyle="1" w:styleId="afffff6">
    <w:name w:val="表中"/>
    <w:basedOn w:val="10"/>
    <w:next w:val="a1"/>
    <w:autoRedefine/>
    <w:uiPriority w:val="99"/>
    <w:qFormat/>
    <w:rsid w:val="002A5A5E"/>
    <w:pPr>
      <w:keepNext w:val="0"/>
      <w:keepLines w:val="0"/>
      <w:spacing w:before="0" w:after="0" w:line="280" w:lineRule="exact"/>
      <w:ind w:firstLineChars="177" w:firstLine="425"/>
      <w:jc w:val="center"/>
      <w:outlineLvl w:val="9"/>
    </w:pPr>
    <w:rPr>
      <w:b w:val="0"/>
      <w:bCs w:val="0"/>
      <w:kern w:val="2"/>
      <w:sz w:val="18"/>
      <w:szCs w:val="18"/>
    </w:rPr>
  </w:style>
  <w:style w:type="paragraph" w:customStyle="1" w:styleId="2f1">
    <w:name w:val="样式 四号 首行缩进:  2 字符"/>
    <w:basedOn w:val="10"/>
    <w:next w:val="a1"/>
    <w:autoRedefine/>
    <w:uiPriority w:val="99"/>
    <w:qFormat/>
    <w:rsid w:val="002A5A5E"/>
    <w:pPr>
      <w:keepNext w:val="0"/>
      <w:keepLines w:val="0"/>
      <w:spacing w:before="0" w:after="0" w:line="480" w:lineRule="atLeast"/>
      <w:ind w:firstLineChars="200" w:firstLine="200"/>
      <w:outlineLvl w:val="9"/>
    </w:pPr>
    <w:rPr>
      <w:b w:val="0"/>
      <w:bCs w:val="0"/>
      <w:kern w:val="2"/>
      <w:sz w:val="24"/>
      <w:szCs w:val="20"/>
    </w:rPr>
  </w:style>
  <w:style w:type="paragraph" w:customStyle="1" w:styleId="xl38">
    <w:name w:val="xl38"/>
    <w:basedOn w:val="10"/>
    <w:next w:val="a1"/>
    <w:autoRedefine/>
    <w:uiPriority w:val="99"/>
    <w:qFormat/>
    <w:rsid w:val="002A5A5E"/>
    <w:pPr>
      <w:keepNext w:val="0"/>
      <w:keepLines w:val="0"/>
      <w:widowControl/>
      <w:spacing w:before="100" w:beforeAutospacing="1" w:after="100" w:afterAutospacing="1" w:line="500" w:lineRule="atLeast"/>
      <w:ind w:firstLineChars="177" w:firstLine="425"/>
      <w:jc w:val="left"/>
      <w:outlineLvl w:val="9"/>
    </w:pPr>
    <w:rPr>
      <w:b w:val="0"/>
      <w:bCs w:val="0"/>
      <w:color w:val="000000"/>
      <w:kern w:val="0"/>
      <w:sz w:val="24"/>
      <w:szCs w:val="21"/>
    </w:rPr>
  </w:style>
  <w:style w:type="paragraph" w:customStyle="1" w:styleId="2f2">
    <w:name w:val="表头2"/>
    <w:basedOn w:val="10"/>
    <w:next w:val="a1"/>
    <w:autoRedefine/>
    <w:uiPriority w:val="99"/>
    <w:qFormat/>
    <w:rsid w:val="002A5A5E"/>
    <w:pPr>
      <w:keepNext w:val="0"/>
      <w:keepLines w:val="0"/>
      <w:spacing w:before="0" w:after="0" w:line="480" w:lineRule="auto"/>
      <w:ind w:firstLineChars="177" w:firstLine="425"/>
      <w:jc w:val="center"/>
      <w:outlineLvl w:val="9"/>
    </w:pPr>
    <w:rPr>
      <w:rFonts w:ascii="黑体" w:eastAsia="黑体"/>
      <w:b w:val="0"/>
      <w:bCs w:val="0"/>
      <w:color w:val="000000"/>
      <w:kern w:val="2"/>
      <w:sz w:val="24"/>
      <w:szCs w:val="24"/>
    </w:rPr>
  </w:style>
  <w:style w:type="paragraph" w:customStyle="1" w:styleId="60">
    <w:name w:val="标题6"/>
    <w:basedOn w:val="10"/>
    <w:next w:val="15"/>
    <w:autoRedefine/>
    <w:uiPriority w:val="99"/>
    <w:qFormat/>
    <w:rsid w:val="002A5A5E"/>
    <w:pPr>
      <w:keepNext w:val="0"/>
      <w:keepLines w:val="0"/>
      <w:numPr>
        <w:numId w:val="3"/>
      </w:numPr>
      <w:spacing w:before="0" w:after="0" w:line="480" w:lineRule="exact"/>
      <w:ind w:firstLineChars="177" w:firstLine="177"/>
      <w:jc w:val="left"/>
      <w:outlineLvl w:val="9"/>
    </w:pPr>
    <w:rPr>
      <w:b w:val="0"/>
      <w:bCs w:val="0"/>
      <w:spacing w:val="10"/>
      <w:kern w:val="2"/>
      <w:sz w:val="28"/>
      <w:szCs w:val="20"/>
    </w:rPr>
  </w:style>
  <w:style w:type="paragraph" w:customStyle="1" w:styleId="ltext2">
    <w:name w:val="l_text2"/>
    <w:basedOn w:val="10"/>
    <w:next w:val="a1"/>
    <w:autoRedefine/>
    <w:uiPriority w:val="99"/>
    <w:qFormat/>
    <w:rsid w:val="002A5A5E"/>
    <w:pPr>
      <w:keepNext w:val="0"/>
      <w:keepLines w:val="0"/>
      <w:widowControl/>
      <w:numPr>
        <w:numId w:val="4"/>
      </w:numPr>
      <w:overflowPunct w:val="0"/>
      <w:autoSpaceDE w:val="0"/>
      <w:autoSpaceDN w:val="0"/>
      <w:adjustRightInd w:val="0"/>
      <w:spacing w:before="0" w:after="0" w:line="500" w:lineRule="atLeast"/>
      <w:ind w:left="0" w:firstLineChars="177" w:firstLine="0"/>
      <w:jc w:val="center"/>
      <w:outlineLvl w:val="9"/>
    </w:pPr>
    <w:rPr>
      <w:rFonts w:ascii="楷体" w:eastAsia="楷体" w:cs="楷体"/>
      <w:b w:val="0"/>
      <w:bCs w:val="0"/>
      <w:kern w:val="0"/>
      <w:position w:val="-30"/>
      <w:sz w:val="22"/>
      <w:szCs w:val="24"/>
    </w:rPr>
  </w:style>
  <w:style w:type="paragraph" w:customStyle="1" w:styleId="xl54">
    <w:name w:val="xl54"/>
    <w:basedOn w:val="10"/>
    <w:next w:val="a1"/>
    <w:autoRedefine/>
    <w:uiPriority w:val="99"/>
    <w:qFormat/>
    <w:rsid w:val="002A5A5E"/>
    <w:pPr>
      <w:keepNext w:val="0"/>
      <w:keepLines w:val="0"/>
      <w:widowControl/>
      <w:pBdr>
        <w:top w:val="single" w:sz="12" w:space="0" w:color="auto"/>
        <w:left w:val="single" w:sz="12" w:space="0" w:color="auto"/>
        <w:right w:val="single" w:sz="8" w:space="0" w:color="auto"/>
      </w:pBdr>
      <w:spacing w:before="100" w:beforeAutospacing="1" w:after="100" w:afterAutospacing="1" w:line="500" w:lineRule="atLeast"/>
      <w:ind w:firstLineChars="177" w:firstLine="425"/>
      <w:jc w:val="center"/>
      <w:outlineLvl w:val="9"/>
    </w:pPr>
    <w:rPr>
      <w:rFonts w:ascii="宋体" w:hAnsi="宋体" w:cs="宋体"/>
      <w:b w:val="0"/>
      <w:bCs w:val="0"/>
      <w:color w:val="000000"/>
      <w:kern w:val="0"/>
      <w:sz w:val="24"/>
      <w:szCs w:val="21"/>
    </w:rPr>
  </w:style>
  <w:style w:type="paragraph" w:customStyle="1" w:styleId="xl46">
    <w:name w:val="xl46"/>
    <w:basedOn w:val="10"/>
    <w:next w:val="a1"/>
    <w:autoRedefine/>
    <w:uiPriority w:val="99"/>
    <w:qFormat/>
    <w:rsid w:val="002A5A5E"/>
    <w:pPr>
      <w:keepNext w:val="0"/>
      <w:keepLines w:val="0"/>
      <w:widowControl/>
      <w:pBdr>
        <w:left w:val="single" w:sz="8" w:space="0" w:color="auto"/>
        <w:bottom w:val="single" w:sz="8" w:space="0" w:color="auto"/>
        <w:right w:val="single" w:sz="12" w:space="0" w:color="auto"/>
      </w:pBdr>
      <w:spacing w:before="100" w:beforeAutospacing="1" w:after="100" w:afterAutospacing="1" w:line="500" w:lineRule="atLeast"/>
      <w:ind w:firstLineChars="177" w:firstLine="425"/>
      <w:jc w:val="center"/>
      <w:outlineLvl w:val="9"/>
    </w:pPr>
    <w:rPr>
      <w:b w:val="0"/>
      <w:bCs w:val="0"/>
      <w:color w:val="000000"/>
      <w:kern w:val="0"/>
      <w:sz w:val="24"/>
      <w:szCs w:val="21"/>
    </w:rPr>
  </w:style>
  <w:style w:type="paragraph" w:customStyle="1" w:styleId="222">
    <w:name w:val="222"/>
    <w:basedOn w:val="10"/>
    <w:next w:val="a1"/>
    <w:autoRedefine/>
    <w:uiPriority w:val="99"/>
    <w:qFormat/>
    <w:rsid w:val="002A5A5E"/>
    <w:pPr>
      <w:keepNext w:val="0"/>
      <w:keepLines w:val="0"/>
      <w:snapToGrid w:val="0"/>
      <w:spacing w:before="0" w:after="0" w:line="440" w:lineRule="exact"/>
      <w:ind w:firstLineChars="200" w:firstLine="480"/>
      <w:outlineLvl w:val="9"/>
    </w:pPr>
    <w:rPr>
      <w:rFonts w:cs="宋体"/>
      <w:b w:val="0"/>
      <w:bCs w:val="0"/>
      <w:kern w:val="2"/>
      <w:sz w:val="24"/>
      <w:szCs w:val="20"/>
    </w:rPr>
  </w:style>
  <w:style w:type="paragraph" w:customStyle="1" w:styleId="afffff7">
    <w:name w:val="表名"/>
    <w:basedOn w:val="10"/>
    <w:next w:val="a1"/>
    <w:autoRedefine/>
    <w:uiPriority w:val="99"/>
    <w:qFormat/>
    <w:rsid w:val="002A5A5E"/>
    <w:pPr>
      <w:keepNext w:val="0"/>
      <w:keepLines w:val="0"/>
      <w:widowControl/>
      <w:overflowPunct w:val="0"/>
      <w:autoSpaceDE w:val="0"/>
      <w:autoSpaceDN w:val="0"/>
      <w:adjustRightInd w:val="0"/>
      <w:spacing w:before="60" w:after="0" w:line="480" w:lineRule="exact"/>
      <w:ind w:firstLineChars="177" w:firstLine="425"/>
      <w:jc w:val="center"/>
      <w:outlineLvl w:val="9"/>
    </w:pPr>
    <w:rPr>
      <w:rFonts w:ascii="黑体" w:eastAsia="黑体" w:hAnsi="Arial"/>
      <w:b w:val="0"/>
      <w:bCs w:val="0"/>
      <w:color w:val="000000"/>
      <w:kern w:val="0"/>
      <w:sz w:val="26"/>
      <w:szCs w:val="20"/>
    </w:rPr>
  </w:style>
  <w:style w:type="paragraph" w:customStyle="1" w:styleId="a70">
    <w:name w:val="a7"/>
    <w:basedOn w:val="10"/>
    <w:next w:val="a1"/>
    <w:autoRedefine/>
    <w:uiPriority w:val="99"/>
    <w:qFormat/>
    <w:rsid w:val="002A5A5E"/>
    <w:pPr>
      <w:keepNext w:val="0"/>
      <w:keepLines w:val="0"/>
      <w:widowControl/>
      <w:overflowPunct w:val="0"/>
      <w:snapToGrid w:val="0"/>
      <w:spacing w:before="0" w:after="0" w:line="280" w:lineRule="atLeast"/>
      <w:ind w:firstLineChars="177" w:firstLine="425"/>
      <w:jc w:val="center"/>
      <w:outlineLvl w:val="9"/>
    </w:pPr>
    <w:rPr>
      <w:rFonts w:ascii="宋体" w:hAnsi="宋体"/>
      <w:b w:val="0"/>
      <w:bCs w:val="0"/>
      <w:kern w:val="0"/>
      <w:sz w:val="18"/>
      <w:szCs w:val="18"/>
    </w:rPr>
  </w:style>
  <w:style w:type="paragraph" w:customStyle="1" w:styleId="font9">
    <w:name w:val="font9"/>
    <w:basedOn w:val="10"/>
    <w:next w:val="a1"/>
    <w:autoRedefine/>
    <w:qFormat/>
    <w:rsid w:val="002A5A5E"/>
    <w:pPr>
      <w:keepNext w:val="0"/>
      <w:keepLines w:val="0"/>
      <w:widowControl/>
      <w:spacing w:before="100" w:beforeAutospacing="1" w:after="100" w:afterAutospacing="1" w:line="500" w:lineRule="atLeast"/>
      <w:ind w:firstLineChars="177" w:firstLine="425"/>
      <w:jc w:val="left"/>
      <w:outlineLvl w:val="9"/>
    </w:pPr>
    <w:rPr>
      <w:b w:val="0"/>
      <w:bCs w:val="0"/>
      <w:color w:val="000000"/>
      <w:kern w:val="0"/>
      <w:sz w:val="24"/>
      <w:szCs w:val="21"/>
    </w:rPr>
  </w:style>
  <w:style w:type="paragraph" w:customStyle="1" w:styleId="ParaCharCharCharCharCharCharChar">
    <w:name w:val="默认段落字体 Para Char Char Char Char Char Char Char"/>
    <w:basedOn w:val="10"/>
    <w:next w:val="a1"/>
    <w:autoRedefine/>
    <w:uiPriority w:val="99"/>
    <w:qFormat/>
    <w:rsid w:val="002A5A5E"/>
    <w:pPr>
      <w:keepNext w:val="0"/>
      <w:keepLines w:val="0"/>
      <w:spacing w:before="0" w:after="0" w:line="500" w:lineRule="atLeast"/>
      <w:ind w:firstLineChars="177" w:firstLine="425"/>
      <w:outlineLvl w:val="9"/>
    </w:pPr>
    <w:rPr>
      <w:b w:val="0"/>
      <w:bCs w:val="0"/>
      <w:kern w:val="2"/>
      <w:sz w:val="24"/>
      <w:szCs w:val="24"/>
    </w:rPr>
  </w:style>
  <w:style w:type="paragraph" w:customStyle="1" w:styleId="CharChar2CharChar">
    <w:name w:val="段落 Char Char2 Char Char"/>
    <w:basedOn w:val="10"/>
    <w:next w:val="a1"/>
    <w:autoRedefine/>
    <w:uiPriority w:val="99"/>
    <w:qFormat/>
    <w:rsid w:val="002A5A5E"/>
    <w:pPr>
      <w:keepNext w:val="0"/>
      <w:keepLines w:val="0"/>
      <w:tabs>
        <w:tab w:val="left" w:pos="1021"/>
      </w:tabs>
      <w:spacing w:before="0" w:after="0" w:line="540" w:lineRule="exact"/>
      <w:ind w:firstLineChars="200" w:firstLine="480"/>
      <w:outlineLvl w:val="9"/>
    </w:pPr>
    <w:rPr>
      <w:rFonts w:ascii="宋体" w:hAnsi="宋体" w:cs="宋体"/>
      <w:b w:val="0"/>
      <w:bCs w:val="0"/>
      <w:kern w:val="24"/>
      <w:sz w:val="24"/>
      <w:szCs w:val="24"/>
    </w:rPr>
  </w:style>
  <w:style w:type="character" w:customStyle="1" w:styleId="Charff3">
    <w:name w:val="样式表 Char"/>
    <w:link w:val="afffff8"/>
    <w:qFormat/>
    <w:locked/>
    <w:rsid w:val="002A5A5E"/>
    <w:rPr>
      <w:rFonts w:ascii="黑体" w:eastAsia="黑体" w:hAnsi="黑体" w:cs="宋体"/>
      <w:color w:val="000000"/>
      <w:spacing w:val="8"/>
      <w:sz w:val="24"/>
      <w:szCs w:val="24"/>
    </w:rPr>
  </w:style>
  <w:style w:type="paragraph" w:customStyle="1" w:styleId="afffff8">
    <w:name w:val="样式表"/>
    <w:basedOn w:val="a7"/>
    <w:next w:val="a1"/>
    <w:link w:val="Charff3"/>
    <w:autoRedefine/>
    <w:qFormat/>
    <w:rsid w:val="002A5A5E"/>
    <w:pPr>
      <w:widowControl/>
      <w:spacing w:beforeLines="50"/>
      <w:ind w:firstLineChars="0" w:firstLine="0"/>
      <w:jc w:val="center"/>
    </w:pPr>
    <w:rPr>
      <w:rFonts w:ascii="黑体" w:eastAsia="黑体" w:hAnsi="黑体" w:cs="宋体"/>
      <w:spacing w:val="8"/>
      <w:sz w:val="24"/>
      <w:szCs w:val="24"/>
    </w:rPr>
  </w:style>
  <w:style w:type="paragraph" w:customStyle="1" w:styleId="1e">
    <w:name w:val="正文文字进缩1"/>
    <w:basedOn w:val="10"/>
    <w:next w:val="a1"/>
    <w:autoRedefine/>
    <w:uiPriority w:val="99"/>
    <w:qFormat/>
    <w:rsid w:val="002A5A5E"/>
    <w:pPr>
      <w:keepNext w:val="0"/>
      <w:keepLines w:val="0"/>
      <w:spacing w:before="0" w:after="0" w:line="360" w:lineRule="auto"/>
      <w:ind w:left="555" w:firstLineChars="177" w:firstLine="425"/>
      <w:outlineLvl w:val="9"/>
    </w:pPr>
    <w:rPr>
      <w:rFonts w:ascii="黑体" w:eastAsia="黑体"/>
      <w:bCs w:val="0"/>
      <w:kern w:val="2"/>
      <w:sz w:val="28"/>
      <w:szCs w:val="20"/>
    </w:rPr>
  </w:style>
  <w:style w:type="paragraph" w:customStyle="1" w:styleId="CharCharCharCharCharCharCharCharChar">
    <w:name w:val="Char Char Char Char Char Char Char Char Char"/>
    <w:basedOn w:val="10"/>
    <w:next w:val="a1"/>
    <w:autoRedefine/>
    <w:uiPriority w:val="99"/>
    <w:qFormat/>
    <w:rsid w:val="002A5A5E"/>
    <w:pPr>
      <w:keepNext w:val="0"/>
      <w:keepLines w:val="0"/>
      <w:widowControl/>
      <w:spacing w:before="0" w:after="160" w:line="240" w:lineRule="exact"/>
      <w:ind w:firstLineChars="177" w:firstLine="425"/>
      <w:jc w:val="left"/>
      <w:outlineLvl w:val="9"/>
    </w:pPr>
    <w:rPr>
      <w:rFonts w:ascii="Verdana" w:eastAsia="FangSong_GB2312" w:hAnsi="Verdana"/>
      <w:b w:val="0"/>
      <w:bCs w:val="0"/>
      <w:kern w:val="0"/>
      <w:sz w:val="24"/>
      <w:szCs w:val="20"/>
      <w:lang w:eastAsia="en-US"/>
    </w:rPr>
  </w:style>
  <w:style w:type="paragraph" w:customStyle="1" w:styleId="line1">
    <w:name w:val="line1"/>
    <w:basedOn w:val="10"/>
    <w:next w:val="a1"/>
    <w:autoRedefine/>
    <w:uiPriority w:val="99"/>
    <w:qFormat/>
    <w:rsid w:val="002A5A5E"/>
    <w:pPr>
      <w:keepNext w:val="0"/>
      <w:keepLines w:val="0"/>
      <w:widowControl/>
      <w:spacing w:before="100" w:beforeAutospacing="1" w:after="100" w:afterAutospacing="1" w:line="360" w:lineRule="atLeast"/>
      <w:ind w:firstLineChars="177" w:firstLine="425"/>
      <w:jc w:val="left"/>
      <w:outlineLvl w:val="9"/>
    </w:pPr>
    <w:rPr>
      <w:rFonts w:ascii="宋体" w:hAnsi="宋体"/>
      <w:b w:val="0"/>
      <w:bCs w:val="0"/>
      <w:kern w:val="0"/>
      <w:sz w:val="24"/>
      <w:szCs w:val="24"/>
    </w:rPr>
  </w:style>
  <w:style w:type="paragraph" w:customStyle="1" w:styleId="xl42">
    <w:name w:val="xl42"/>
    <w:basedOn w:val="10"/>
    <w:next w:val="a1"/>
    <w:autoRedefine/>
    <w:uiPriority w:val="99"/>
    <w:qFormat/>
    <w:rsid w:val="002A5A5E"/>
    <w:pPr>
      <w:keepNext w:val="0"/>
      <w:keepLines w:val="0"/>
      <w:widowControl/>
      <w:pBdr>
        <w:left w:val="single" w:sz="8" w:space="0" w:color="auto"/>
        <w:bottom w:val="single" w:sz="8" w:space="0" w:color="auto"/>
        <w:right w:val="single" w:sz="8" w:space="0" w:color="auto"/>
      </w:pBdr>
      <w:spacing w:before="100" w:beforeAutospacing="1" w:after="100" w:afterAutospacing="1" w:line="500" w:lineRule="atLeast"/>
      <w:ind w:firstLineChars="177" w:firstLine="425"/>
      <w:jc w:val="center"/>
      <w:outlineLvl w:val="9"/>
    </w:pPr>
    <w:rPr>
      <w:rFonts w:ascii="宋体" w:hAnsi="宋体" w:cs="宋体"/>
      <w:b w:val="0"/>
      <w:bCs w:val="0"/>
      <w:color w:val="000000"/>
      <w:kern w:val="0"/>
      <w:sz w:val="24"/>
      <w:szCs w:val="21"/>
    </w:rPr>
  </w:style>
  <w:style w:type="paragraph" w:customStyle="1" w:styleId="afffff9">
    <w:name w:val="表中正文居中"/>
    <w:next w:val="a1"/>
    <w:autoRedefine/>
    <w:uiPriority w:val="99"/>
    <w:qFormat/>
    <w:rsid w:val="002A5A5E"/>
    <w:pPr>
      <w:spacing w:before="120" w:after="120" w:line="240" w:lineRule="atLeast"/>
      <w:jc w:val="center"/>
    </w:pPr>
    <w:rPr>
      <w:rFonts w:ascii="宋体" w:eastAsia="宋体" w:hAnsi="Times New Roman" w:cs="Times New Roman"/>
      <w:kern w:val="2"/>
      <w:sz w:val="21"/>
    </w:rPr>
  </w:style>
  <w:style w:type="character" w:customStyle="1" w:styleId="1-1Char">
    <w:name w:val="正文1-1 Char"/>
    <w:link w:val="1-1"/>
    <w:qFormat/>
    <w:locked/>
    <w:rsid w:val="002A5A5E"/>
    <w:rPr>
      <w:rFonts w:ascii="宋体" w:eastAsia="FangSong_GB2312" w:hAnsi="宋体" w:cs="宋体"/>
      <w:sz w:val="28"/>
      <w:szCs w:val="24"/>
    </w:rPr>
  </w:style>
  <w:style w:type="paragraph" w:customStyle="1" w:styleId="1-1">
    <w:name w:val="正文1-1"/>
    <w:basedOn w:val="10"/>
    <w:next w:val="a1"/>
    <w:link w:val="1-1Char"/>
    <w:autoRedefine/>
    <w:qFormat/>
    <w:rsid w:val="002A5A5E"/>
    <w:pPr>
      <w:keepNext w:val="0"/>
      <w:keepLines w:val="0"/>
      <w:widowControl/>
      <w:snapToGrid w:val="0"/>
      <w:spacing w:before="0" w:after="0" w:line="360" w:lineRule="auto"/>
      <w:ind w:firstLineChars="200" w:firstLine="200"/>
      <w:jc w:val="left"/>
      <w:outlineLvl w:val="9"/>
    </w:pPr>
    <w:rPr>
      <w:rFonts w:ascii="宋体" w:eastAsia="FangSong_GB2312" w:hAnsi="宋体" w:cs="宋体"/>
      <w:b w:val="0"/>
      <w:bCs w:val="0"/>
      <w:kern w:val="2"/>
      <w:sz w:val="28"/>
      <w:szCs w:val="24"/>
    </w:rPr>
  </w:style>
  <w:style w:type="paragraph" w:customStyle="1" w:styleId="xl40">
    <w:name w:val="xl40"/>
    <w:basedOn w:val="10"/>
    <w:next w:val="a1"/>
    <w:autoRedefine/>
    <w:uiPriority w:val="99"/>
    <w:qFormat/>
    <w:rsid w:val="002A5A5E"/>
    <w:pPr>
      <w:keepNext w:val="0"/>
      <w:keepLines w:val="0"/>
      <w:widowControl/>
      <w:pBdr>
        <w:left w:val="single" w:sz="12" w:space="0" w:color="auto"/>
      </w:pBdr>
      <w:spacing w:before="100" w:beforeAutospacing="1" w:after="100" w:afterAutospacing="1" w:line="500" w:lineRule="atLeast"/>
      <w:ind w:firstLineChars="177" w:firstLine="425"/>
      <w:jc w:val="center"/>
      <w:outlineLvl w:val="9"/>
    </w:pPr>
    <w:rPr>
      <w:rFonts w:ascii="宋体" w:hAnsi="宋体" w:cs="宋体"/>
      <w:b w:val="0"/>
      <w:bCs w:val="0"/>
      <w:kern w:val="0"/>
      <w:sz w:val="24"/>
      <w:szCs w:val="24"/>
    </w:rPr>
  </w:style>
  <w:style w:type="paragraph" w:customStyle="1" w:styleId="afffffa">
    <w:name w:val="自定义缩进"/>
    <w:basedOn w:val="10"/>
    <w:next w:val="a1"/>
    <w:autoRedefine/>
    <w:uiPriority w:val="99"/>
    <w:qFormat/>
    <w:rsid w:val="002A5A5E"/>
    <w:pPr>
      <w:keepLines w:val="0"/>
      <w:spacing w:before="0" w:after="0" w:line="336" w:lineRule="auto"/>
      <w:ind w:firstLineChars="200" w:firstLine="480"/>
      <w:jc w:val="left"/>
      <w:outlineLvl w:val="9"/>
    </w:pPr>
    <w:rPr>
      <w:rFonts w:ascii="宋体" w:hAnsi="宋体"/>
      <w:b w:val="0"/>
      <w:bCs w:val="0"/>
      <w:kern w:val="0"/>
      <w:sz w:val="24"/>
      <w:szCs w:val="20"/>
    </w:rPr>
  </w:style>
  <w:style w:type="paragraph" w:customStyle="1" w:styleId="xl57">
    <w:name w:val="xl57"/>
    <w:basedOn w:val="10"/>
    <w:next w:val="a1"/>
    <w:autoRedefine/>
    <w:uiPriority w:val="99"/>
    <w:qFormat/>
    <w:rsid w:val="002A5A5E"/>
    <w:pPr>
      <w:keepNext w:val="0"/>
      <w:keepLines w:val="0"/>
      <w:widowControl/>
      <w:pBdr>
        <w:top w:val="single" w:sz="12" w:space="0" w:color="auto"/>
        <w:bottom w:val="single" w:sz="8" w:space="0" w:color="auto"/>
      </w:pBdr>
      <w:spacing w:before="100" w:beforeAutospacing="1" w:after="100" w:afterAutospacing="1" w:line="500" w:lineRule="atLeast"/>
      <w:ind w:firstLineChars="177" w:firstLine="425"/>
      <w:jc w:val="center"/>
      <w:outlineLvl w:val="9"/>
    </w:pPr>
    <w:rPr>
      <w:rFonts w:ascii="宋体" w:hAnsi="宋体" w:cs="宋体"/>
      <w:b w:val="0"/>
      <w:bCs w:val="0"/>
      <w:color w:val="000000"/>
      <w:kern w:val="0"/>
      <w:sz w:val="24"/>
      <w:szCs w:val="21"/>
    </w:rPr>
  </w:style>
  <w:style w:type="character" w:customStyle="1" w:styleId="Char1c">
    <w:name w:val="日期 Char1"/>
    <w:basedOn w:val="a2"/>
    <w:uiPriority w:val="99"/>
    <w:semiHidden/>
    <w:qFormat/>
    <w:rsid w:val="002A5A5E"/>
    <w:rPr>
      <w:rFonts w:ascii="Times New Roman" w:eastAsia="宋体" w:hAnsi="Times New Roman" w:cs="Times New Roman"/>
      <w:szCs w:val="24"/>
    </w:rPr>
  </w:style>
  <w:style w:type="paragraph" w:customStyle="1" w:styleId="afffffb">
    <w:name w:val="样式 日期 + 宋体"/>
    <w:basedOn w:val="af"/>
    <w:next w:val="a1"/>
    <w:autoRedefine/>
    <w:uiPriority w:val="99"/>
    <w:qFormat/>
    <w:rsid w:val="002A5A5E"/>
    <w:pPr>
      <w:widowControl/>
      <w:overflowPunct w:val="0"/>
      <w:autoSpaceDE w:val="0"/>
      <w:autoSpaceDN w:val="0"/>
      <w:adjustRightInd w:val="0"/>
      <w:spacing w:line="480" w:lineRule="exact"/>
      <w:ind w:leftChars="0" w:left="0" w:firstLineChars="177" w:firstLine="425"/>
    </w:pPr>
    <w:rPr>
      <w:rFonts w:ascii="宋体" w:hAnsi="宋体"/>
      <w:color w:val="000000"/>
      <w:kern w:val="0"/>
      <w:sz w:val="28"/>
      <w:szCs w:val="20"/>
      <w:lang w:val="en-GB"/>
    </w:rPr>
  </w:style>
  <w:style w:type="paragraph" w:customStyle="1" w:styleId="font7">
    <w:name w:val="font7"/>
    <w:basedOn w:val="10"/>
    <w:next w:val="a1"/>
    <w:autoRedefine/>
    <w:qFormat/>
    <w:rsid w:val="002A5A5E"/>
    <w:pPr>
      <w:keepNext w:val="0"/>
      <w:keepLines w:val="0"/>
      <w:widowControl/>
      <w:spacing w:before="100" w:beforeAutospacing="1" w:after="100" w:afterAutospacing="1" w:line="500" w:lineRule="atLeast"/>
      <w:ind w:firstLineChars="177" w:firstLine="425"/>
      <w:jc w:val="left"/>
      <w:outlineLvl w:val="9"/>
    </w:pPr>
    <w:rPr>
      <w:rFonts w:ascii="宋体" w:hAnsi="宋体" w:cs="宋体"/>
      <w:b w:val="0"/>
      <w:bCs w:val="0"/>
      <w:color w:val="000000"/>
      <w:kern w:val="0"/>
      <w:sz w:val="24"/>
      <w:szCs w:val="21"/>
    </w:rPr>
  </w:style>
  <w:style w:type="paragraph" w:customStyle="1" w:styleId="2f3">
    <w:name w:val="样式 标题2　自动设置"/>
    <w:basedOn w:val="20"/>
    <w:next w:val="a1"/>
    <w:autoRedefine/>
    <w:uiPriority w:val="99"/>
    <w:qFormat/>
    <w:rsid w:val="002A5A5E"/>
    <w:pPr>
      <w:tabs>
        <w:tab w:val="left" w:pos="1710"/>
      </w:tabs>
      <w:spacing w:before="0" w:after="60" w:line="240" w:lineRule="auto"/>
      <w:ind w:left="1710" w:firstLineChars="177" w:hanging="720"/>
    </w:pPr>
    <w:rPr>
      <w:rFonts w:ascii="宋体" w:eastAsia="宋体" w:hAnsi="宋体" w:cs="宋体"/>
      <w:color w:val="000000"/>
      <w:kern w:val="0"/>
      <w:sz w:val="28"/>
      <w:szCs w:val="20"/>
    </w:rPr>
  </w:style>
  <w:style w:type="paragraph" w:customStyle="1" w:styleId="121">
    <w:name w:val="样式 段落1 + 首行缩进:  2 字符"/>
    <w:basedOn w:val="1d"/>
    <w:next w:val="a1"/>
    <w:autoRedefine/>
    <w:uiPriority w:val="99"/>
    <w:qFormat/>
    <w:rsid w:val="002A5A5E"/>
    <w:pPr>
      <w:spacing w:line="480" w:lineRule="exact"/>
      <w:ind w:firstLine="504"/>
      <w:jc w:val="left"/>
    </w:pPr>
    <w:rPr>
      <w:rFonts w:cs="宋体"/>
      <w:sz w:val="24"/>
    </w:rPr>
  </w:style>
  <w:style w:type="character" w:customStyle="1" w:styleId="cucd-4CharChar">
    <w:name w:val="cucd-4 Char Char"/>
    <w:link w:val="cucd-4"/>
    <w:qFormat/>
    <w:locked/>
    <w:rsid w:val="002A5A5E"/>
    <w:rPr>
      <w:b/>
      <w:sz w:val="24"/>
      <w:szCs w:val="24"/>
    </w:rPr>
  </w:style>
  <w:style w:type="paragraph" w:customStyle="1" w:styleId="cucd-4">
    <w:name w:val="cucd-4"/>
    <w:next w:val="cucd-0"/>
    <w:link w:val="cucd-4CharChar"/>
    <w:autoRedefine/>
    <w:qFormat/>
    <w:rsid w:val="002A5A5E"/>
    <w:pPr>
      <w:tabs>
        <w:tab w:val="left" w:pos="0"/>
      </w:tabs>
      <w:spacing w:line="360" w:lineRule="auto"/>
      <w:outlineLvl w:val="3"/>
    </w:pPr>
    <w:rPr>
      <w:b/>
      <w:kern w:val="2"/>
      <w:sz w:val="24"/>
      <w:szCs w:val="24"/>
    </w:rPr>
  </w:style>
  <w:style w:type="paragraph" w:customStyle="1" w:styleId="cucd-0">
    <w:name w:val="cucd-0"/>
    <w:next w:val="a1"/>
    <w:link w:val="cucd-0Char1"/>
    <w:autoRedefine/>
    <w:uiPriority w:val="99"/>
    <w:qFormat/>
    <w:rsid w:val="002A5A5E"/>
    <w:pPr>
      <w:spacing w:line="360" w:lineRule="auto"/>
      <w:ind w:firstLineChars="200" w:firstLine="480"/>
    </w:pPr>
    <w:rPr>
      <w:rFonts w:ascii="Calibri" w:eastAsia="宋体" w:hAnsi="Calibri" w:cs="Times New Roman"/>
      <w:kern w:val="2"/>
      <w:sz w:val="24"/>
      <w:szCs w:val="24"/>
    </w:rPr>
  </w:style>
  <w:style w:type="character" w:customStyle="1" w:styleId="cucd-0Char1">
    <w:name w:val="cucd-0 Char1"/>
    <w:link w:val="cucd-0"/>
    <w:uiPriority w:val="99"/>
    <w:qFormat/>
    <w:locked/>
    <w:rsid w:val="002A5A5E"/>
    <w:rPr>
      <w:rFonts w:ascii="Calibri" w:eastAsia="宋体" w:hAnsi="Calibri" w:cs="Times New Roman"/>
      <w:sz w:val="24"/>
      <w:szCs w:val="24"/>
    </w:rPr>
  </w:style>
  <w:style w:type="paragraph" w:customStyle="1" w:styleId="afffffc">
    <w:name w:val="居中正文"/>
    <w:basedOn w:val="afb"/>
    <w:next w:val="a1"/>
    <w:autoRedefine/>
    <w:uiPriority w:val="99"/>
    <w:qFormat/>
    <w:rsid w:val="002A5A5E"/>
    <w:pPr>
      <w:adjustRightInd w:val="0"/>
      <w:spacing w:before="120"/>
      <w:ind w:firstLineChars="0" w:firstLine="0"/>
      <w:jc w:val="center"/>
    </w:pPr>
    <w:rPr>
      <w:rFonts w:hAnsi="Calibri"/>
      <w:kern w:val="28"/>
      <w:szCs w:val="20"/>
    </w:rPr>
  </w:style>
  <w:style w:type="paragraph" w:customStyle="1" w:styleId="MTDisplayEquation">
    <w:name w:val="MTDisplayEquation"/>
    <w:basedOn w:val="10"/>
    <w:next w:val="a1"/>
    <w:autoRedefine/>
    <w:uiPriority w:val="99"/>
    <w:qFormat/>
    <w:rsid w:val="002A5A5E"/>
    <w:pPr>
      <w:keepNext w:val="0"/>
      <w:keepLines w:val="0"/>
      <w:tabs>
        <w:tab w:val="center" w:pos="4160"/>
        <w:tab w:val="right" w:pos="8300"/>
      </w:tabs>
      <w:spacing w:before="0" w:after="0" w:line="500" w:lineRule="atLeast"/>
      <w:ind w:firstLineChars="200" w:firstLine="420"/>
      <w:outlineLvl w:val="9"/>
    </w:pPr>
    <w:rPr>
      <w:rFonts w:ascii="宋体" w:hAnsi="宋体"/>
      <w:b w:val="0"/>
      <w:bCs w:val="0"/>
      <w:kern w:val="2"/>
      <w:sz w:val="24"/>
      <w:szCs w:val="24"/>
    </w:rPr>
  </w:style>
  <w:style w:type="paragraph" w:customStyle="1" w:styleId="font11">
    <w:name w:val="font11"/>
    <w:basedOn w:val="10"/>
    <w:next w:val="a1"/>
    <w:autoRedefine/>
    <w:uiPriority w:val="99"/>
    <w:qFormat/>
    <w:rsid w:val="002A5A5E"/>
    <w:pPr>
      <w:keepNext w:val="0"/>
      <w:keepLines w:val="0"/>
      <w:widowControl/>
      <w:spacing w:before="100" w:beforeAutospacing="1" w:after="100" w:afterAutospacing="1" w:line="500" w:lineRule="atLeast"/>
      <w:ind w:firstLineChars="177" w:firstLine="425"/>
      <w:jc w:val="left"/>
      <w:outlineLvl w:val="9"/>
    </w:pPr>
    <w:rPr>
      <w:rFonts w:ascii="宋体" w:hAnsi="宋体" w:cs="宋体"/>
      <w:color w:val="000000"/>
      <w:kern w:val="0"/>
      <w:sz w:val="18"/>
      <w:szCs w:val="18"/>
    </w:rPr>
  </w:style>
  <w:style w:type="paragraph" w:customStyle="1" w:styleId="2f4">
    <w:name w:val="正文 + 首行缩进:  2 字符"/>
    <w:basedOn w:val="10"/>
    <w:next w:val="a1"/>
    <w:autoRedefine/>
    <w:uiPriority w:val="99"/>
    <w:qFormat/>
    <w:rsid w:val="002A5A5E"/>
    <w:pPr>
      <w:keepNext w:val="0"/>
      <w:keepLines w:val="0"/>
      <w:spacing w:before="0" w:after="0" w:line="460" w:lineRule="atLeast"/>
      <w:ind w:firstLineChars="200" w:firstLine="528"/>
      <w:outlineLvl w:val="9"/>
    </w:pPr>
    <w:rPr>
      <w:b w:val="0"/>
      <w:bCs w:val="0"/>
      <w:spacing w:val="12"/>
      <w:kern w:val="2"/>
      <w:sz w:val="24"/>
      <w:szCs w:val="20"/>
    </w:rPr>
  </w:style>
  <w:style w:type="paragraph" w:customStyle="1" w:styleId="a30">
    <w:name w:val="a3"/>
    <w:basedOn w:val="10"/>
    <w:next w:val="a1"/>
    <w:autoRedefine/>
    <w:uiPriority w:val="99"/>
    <w:qFormat/>
    <w:rsid w:val="002A5A5E"/>
    <w:pPr>
      <w:keepNext w:val="0"/>
      <w:keepLines w:val="0"/>
      <w:widowControl/>
      <w:spacing w:before="100" w:beforeAutospacing="1" w:after="100" w:afterAutospacing="1" w:line="500" w:lineRule="atLeast"/>
      <w:ind w:firstLineChars="177" w:firstLine="425"/>
      <w:jc w:val="left"/>
      <w:outlineLvl w:val="9"/>
    </w:pPr>
    <w:rPr>
      <w:rFonts w:ascii="宋体" w:hAnsi="宋体"/>
      <w:b w:val="0"/>
      <w:bCs w:val="0"/>
      <w:color w:val="000000"/>
      <w:kern w:val="0"/>
      <w:sz w:val="24"/>
      <w:szCs w:val="20"/>
    </w:rPr>
  </w:style>
  <w:style w:type="paragraph" w:customStyle="1" w:styleId="205">
    <w:name w:val="样式 标题 2节 + 行距: 多倍行距 0.5 字行"/>
    <w:basedOn w:val="20"/>
    <w:next w:val="a1"/>
    <w:autoRedefine/>
    <w:uiPriority w:val="99"/>
    <w:qFormat/>
    <w:rsid w:val="002A5A5E"/>
    <w:pPr>
      <w:spacing w:before="0" w:after="80" w:line="300" w:lineRule="auto"/>
      <w:ind w:left="576" w:firstLineChars="177" w:hanging="576"/>
    </w:pPr>
    <w:rPr>
      <w:rFonts w:ascii="Arial" w:eastAsia="宋体" w:hAnsi="Arial" w:cs="黑体"/>
      <w:sz w:val="28"/>
      <w:szCs w:val="28"/>
    </w:rPr>
  </w:style>
  <w:style w:type="paragraph" w:customStyle="1" w:styleId="3b">
    <w:name w:val="样式3"/>
    <w:basedOn w:val="30"/>
    <w:next w:val="a1"/>
    <w:autoRedefine/>
    <w:uiPriority w:val="99"/>
    <w:qFormat/>
    <w:rsid w:val="002A5A5E"/>
    <w:pPr>
      <w:keepNext w:val="0"/>
      <w:keepLines w:val="0"/>
      <w:tabs>
        <w:tab w:val="left" w:pos="3930"/>
        <w:tab w:val="left" w:pos="5775"/>
      </w:tabs>
      <w:snapToGrid w:val="0"/>
      <w:spacing w:before="240" w:after="0" w:line="240" w:lineRule="auto"/>
      <w:outlineLvl w:val="9"/>
    </w:pPr>
    <w:rPr>
      <w:rFonts w:ascii="楷体_GB2312" w:eastAsia="黑体" w:hAnsi="Times New Roman" w:cs="Times New Roman"/>
      <w:b/>
      <w:color w:val="000000"/>
      <w:kern w:val="0"/>
      <w:sz w:val="28"/>
      <w:szCs w:val="20"/>
    </w:rPr>
  </w:style>
  <w:style w:type="character" w:customStyle="1" w:styleId="1CharChar1">
    <w:name w:val="段落1 Char Char1"/>
    <w:link w:val="1Char3"/>
    <w:qFormat/>
    <w:locked/>
    <w:rsid w:val="002A5A5E"/>
    <w:rPr>
      <w:rFonts w:ascii="宋体" w:eastAsia="宋体" w:hAnsi="宋体"/>
      <w:spacing w:val="8"/>
      <w:sz w:val="24"/>
    </w:rPr>
  </w:style>
  <w:style w:type="paragraph" w:customStyle="1" w:styleId="1Char3">
    <w:name w:val="段落1 Char"/>
    <w:basedOn w:val="10"/>
    <w:next w:val="a1"/>
    <w:link w:val="1CharChar1"/>
    <w:autoRedefine/>
    <w:qFormat/>
    <w:rsid w:val="002A5A5E"/>
    <w:pPr>
      <w:keepNext w:val="0"/>
      <w:keepLines w:val="0"/>
      <w:adjustRightInd w:val="0"/>
      <w:spacing w:before="0" w:after="0" w:line="440" w:lineRule="exact"/>
      <w:ind w:firstLineChars="200" w:firstLine="200"/>
      <w:outlineLvl w:val="9"/>
    </w:pPr>
    <w:rPr>
      <w:rFonts w:ascii="宋体" w:hAnsi="宋体" w:cstheme="minorBidi"/>
      <w:b w:val="0"/>
      <w:bCs w:val="0"/>
      <w:spacing w:val="8"/>
      <w:kern w:val="2"/>
      <w:sz w:val="24"/>
      <w:szCs w:val="22"/>
    </w:rPr>
  </w:style>
  <w:style w:type="paragraph" w:customStyle="1" w:styleId="xl36">
    <w:name w:val="xl36"/>
    <w:basedOn w:val="10"/>
    <w:next w:val="a1"/>
    <w:autoRedefine/>
    <w:uiPriority w:val="99"/>
    <w:qFormat/>
    <w:rsid w:val="002A5A5E"/>
    <w:pPr>
      <w:keepNext w:val="0"/>
      <w:keepLines w:val="0"/>
      <w:widowControl/>
      <w:pBdr>
        <w:bottom w:val="single" w:sz="4" w:space="0" w:color="auto"/>
        <w:right w:val="single" w:sz="4" w:space="0" w:color="auto"/>
      </w:pBdr>
      <w:spacing w:before="100" w:beforeAutospacing="1" w:after="100" w:afterAutospacing="1" w:line="500" w:lineRule="atLeast"/>
      <w:ind w:firstLineChars="177" w:firstLine="425"/>
      <w:outlineLvl w:val="9"/>
    </w:pPr>
    <w:rPr>
      <w:rFonts w:ascii="楷体_GB2312" w:eastAsia="楷体_GB2312" w:hAnsi="Arial Unicode MS"/>
      <w:b w:val="0"/>
      <w:bCs w:val="0"/>
      <w:kern w:val="0"/>
      <w:sz w:val="24"/>
      <w:szCs w:val="24"/>
    </w:rPr>
  </w:style>
  <w:style w:type="character" w:customStyle="1" w:styleId="CharChar1">
    <w:name w:val="正文(首行缩进)宋旭峰 Char Char"/>
    <w:link w:val="afffffd"/>
    <w:qFormat/>
    <w:locked/>
    <w:rsid w:val="002A5A5E"/>
    <w:rPr>
      <w:snapToGrid w:val="0"/>
      <w:sz w:val="24"/>
      <w:szCs w:val="24"/>
    </w:rPr>
  </w:style>
  <w:style w:type="paragraph" w:customStyle="1" w:styleId="afffffd">
    <w:name w:val="正文(首行缩进)宋旭峰"/>
    <w:basedOn w:val="a6"/>
    <w:next w:val="a1"/>
    <w:link w:val="CharChar1"/>
    <w:autoRedefine/>
    <w:qFormat/>
    <w:rsid w:val="002A5A5E"/>
    <w:pPr>
      <w:adjustRightInd/>
      <w:spacing w:line="360" w:lineRule="auto"/>
      <w:ind w:firstLineChars="177" w:firstLine="480"/>
      <w:contextualSpacing/>
    </w:pPr>
    <w:rPr>
      <w:rFonts w:asciiTheme="minorHAnsi" w:eastAsiaTheme="minorEastAsia"/>
      <w:snapToGrid w:val="0"/>
      <w:sz w:val="24"/>
    </w:rPr>
  </w:style>
  <w:style w:type="paragraph" w:customStyle="1" w:styleId="afffffe">
    <w:name w:val="标准"/>
    <w:basedOn w:val="10"/>
    <w:next w:val="a1"/>
    <w:autoRedefine/>
    <w:uiPriority w:val="99"/>
    <w:qFormat/>
    <w:rsid w:val="002A5A5E"/>
    <w:pPr>
      <w:keepLines w:val="0"/>
      <w:adjustRightInd w:val="0"/>
      <w:snapToGrid w:val="0"/>
      <w:spacing w:before="0" w:after="0" w:line="312" w:lineRule="atLeast"/>
      <w:ind w:firstLineChars="177" w:firstLine="590"/>
      <w:outlineLvl w:val="9"/>
    </w:pPr>
    <w:rPr>
      <w:b w:val="0"/>
      <w:bCs w:val="0"/>
      <w:kern w:val="0"/>
      <w:sz w:val="28"/>
      <w:szCs w:val="20"/>
    </w:rPr>
  </w:style>
  <w:style w:type="paragraph" w:customStyle="1" w:styleId="240">
    <w:name w:val="样式 正文文本缩进 + 行距: 固定值 24 磅"/>
    <w:basedOn w:val="ac"/>
    <w:next w:val="a1"/>
    <w:autoRedefine/>
    <w:uiPriority w:val="99"/>
    <w:qFormat/>
    <w:rsid w:val="002A5A5E"/>
    <w:pPr>
      <w:adjustRightInd w:val="0"/>
      <w:snapToGrid w:val="0"/>
      <w:spacing w:line="360" w:lineRule="auto"/>
      <w:ind w:firstLine="560"/>
    </w:pPr>
    <w:rPr>
      <w:rFonts w:ascii="宋体" w:cs="宋体"/>
    </w:rPr>
  </w:style>
  <w:style w:type="paragraph" w:customStyle="1" w:styleId="affffff">
    <w:name w:val="表后空行"/>
    <w:basedOn w:val="10"/>
    <w:next w:val="a1"/>
    <w:autoRedefine/>
    <w:uiPriority w:val="99"/>
    <w:qFormat/>
    <w:rsid w:val="002A5A5E"/>
    <w:pPr>
      <w:keepNext w:val="0"/>
      <w:keepLines w:val="0"/>
      <w:overflowPunct w:val="0"/>
      <w:adjustRightInd w:val="0"/>
      <w:spacing w:before="0" w:after="0" w:line="500" w:lineRule="atLeast"/>
      <w:ind w:firstLineChars="177" w:firstLine="425"/>
      <w:outlineLvl w:val="9"/>
    </w:pPr>
    <w:rPr>
      <w:b w:val="0"/>
      <w:bCs w:val="0"/>
      <w:color w:val="000000"/>
      <w:kern w:val="28"/>
      <w:sz w:val="10"/>
      <w:szCs w:val="20"/>
    </w:rPr>
  </w:style>
  <w:style w:type="paragraph" w:customStyle="1" w:styleId="xl37">
    <w:name w:val="xl37"/>
    <w:basedOn w:val="10"/>
    <w:next w:val="a1"/>
    <w:autoRedefine/>
    <w:uiPriority w:val="99"/>
    <w:qFormat/>
    <w:rsid w:val="002A5A5E"/>
    <w:pPr>
      <w:keepNext w:val="0"/>
      <w:keepLines w:val="0"/>
      <w:widowControl/>
      <w:pBdr>
        <w:bottom w:val="single" w:sz="8" w:space="0" w:color="auto"/>
        <w:right w:val="single" w:sz="8" w:space="0" w:color="auto"/>
      </w:pBdr>
      <w:spacing w:before="100" w:beforeAutospacing="1" w:after="100" w:afterAutospacing="1" w:line="500" w:lineRule="atLeast"/>
      <w:ind w:firstLineChars="177" w:firstLine="425"/>
      <w:jc w:val="center"/>
      <w:outlineLvl w:val="9"/>
    </w:pPr>
    <w:rPr>
      <w:b w:val="0"/>
      <w:bCs w:val="0"/>
      <w:color w:val="000000"/>
      <w:kern w:val="0"/>
      <w:sz w:val="24"/>
      <w:szCs w:val="21"/>
    </w:rPr>
  </w:style>
  <w:style w:type="character" w:customStyle="1" w:styleId="10Char">
    <w:name w:val="正文样式10 Char"/>
    <w:link w:val="100"/>
    <w:qFormat/>
    <w:locked/>
    <w:rsid w:val="002A5A5E"/>
    <w:rPr>
      <w:rFonts w:ascii="宋体" w:eastAsia="宋体" w:hAnsi="宋体" w:cs="Arial"/>
      <w:bCs/>
      <w:color w:val="FF00FF"/>
      <w:sz w:val="24"/>
      <w:lang w:val="zh-CN"/>
    </w:rPr>
  </w:style>
  <w:style w:type="paragraph" w:customStyle="1" w:styleId="100">
    <w:name w:val="正文样式10"/>
    <w:basedOn w:val="10"/>
    <w:next w:val="a1"/>
    <w:link w:val="10Char"/>
    <w:autoRedefine/>
    <w:qFormat/>
    <w:rsid w:val="002A5A5E"/>
    <w:pPr>
      <w:keepNext w:val="0"/>
      <w:keepLines w:val="0"/>
      <w:spacing w:before="0" w:after="0" w:line="500" w:lineRule="exact"/>
      <w:ind w:firstLineChars="200" w:firstLine="480"/>
      <w:outlineLvl w:val="9"/>
    </w:pPr>
    <w:rPr>
      <w:rFonts w:ascii="宋体" w:hAnsi="宋体" w:cs="Arial"/>
      <w:b w:val="0"/>
      <w:color w:val="FF00FF"/>
      <w:kern w:val="2"/>
      <w:sz w:val="24"/>
      <w:szCs w:val="22"/>
      <w:lang w:val="zh-CN"/>
    </w:rPr>
  </w:style>
  <w:style w:type="paragraph" w:customStyle="1" w:styleId="151">
    <w:name w:val="15"/>
    <w:basedOn w:val="10"/>
    <w:next w:val="a1"/>
    <w:autoRedefine/>
    <w:uiPriority w:val="99"/>
    <w:qFormat/>
    <w:rsid w:val="002A5A5E"/>
    <w:pPr>
      <w:keepNext w:val="0"/>
      <w:keepLines w:val="0"/>
      <w:widowControl/>
      <w:snapToGrid w:val="0"/>
      <w:spacing w:before="100" w:beforeAutospacing="1" w:after="100" w:afterAutospacing="1" w:line="500" w:lineRule="atLeast"/>
      <w:ind w:firstLineChars="177" w:firstLine="425"/>
      <w:jc w:val="left"/>
      <w:outlineLvl w:val="9"/>
    </w:pPr>
    <w:rPr>
      <w:b w:val="0"/>
      <w:bCs w:val="0"/>
      <w:kern w:val="0"/>
      <w:sz w:val="20"/>
      <w:szCs w:val="20"/>
    </w:rPr>
  </w:style>
  <w:style w:type="paragraph" w:customStyle="1" w:styleId="affffff0">
    <w:name w:val="标准正文"/>
    <w:basedOn w:val="10"/>
    <w:next w:val="a1"/>
    <w:autoRedefine/>
    <w:uiPriority w:val="99"/>
    <w:qFormat/>
    <w:rsid w:val="002A5A5E"/>
    <w:pPr>
      <w:keepNext w:val="0"/>
      <w:keepLines w:val="0"/>
      <w:spacing w:before="0" w:after="0" w:line="400" w:lineRule="exact"/>
      <w:ind w:firstLineChars="177" w:firstLine="480"/>
      <w:outlineLvl w:val="9"/>
    </w:pPr>
    <w:rPr>
      <w:b w:val="0"/>
      <w:bCs w:val="0"/>
      <w:kern w:val="2"/>
      <w:sz w:val="24"/>
      <w:szCs w:val="20"/>
    </w:rPr>
  </w:style>
  <w:style w:type="paragraph" w:customStyle="1" w:styleId="CharChar1CharCharCharCharCharCharCharCharCharCharCharCharCharCharCharCharCharCharCharChar1Char">
    <w:name w:val="Char Char1 Char Char Char Char Char Char Char Char Char Char Char Char Char Char Char Char Char Char Char Char1 Char"/>
    <w:basedOn w:val="10"/>
    <w:next w:val="a1"/>
    <w:autoRedefine/>
    <w:uiPriority w:val="99"/>
    <w:qFormat/>
    <w:rsid w:val="002A5A5E"/>
    <w:pPr>
      <w:keepNext w:val="0"/>
      <w:keepLines w:val="0"/>
      <w:spacing w:before="0" w:after="0" w:line="360" w:lineRule="auto"/>
      <w:ind w:firstLineChars="200" w:firstLine="200"/>
      <w:outlineLvl w:val="9"/>
    </w:pPr>
    <w:rPr>
      <w:rFonts w:ascii="宋体" w:hAnsi="宋体" w:cs="宋体"/>
      <w:b w:val="0"/>
      <w:bCs w:val="0"/>
      <w:kern w:val="2"/>
      <w:sz w:val="24"/>
      <w:szCs w:val="24"/>
    </w:rPr>
  </w:style>
  <w:style w:type="paragraph" w:customStyle="1" w:styleId="2f5">
    <w:name w:val="样式 表格文字 + 首行缩进:  2 字符"/>
    <w:basedOn w:val="afffb"/>
    <w:next w:val="a1"/>
    <w:autoRedefine/>
    <w:uiPriority w:val="99"/>
    <w:qFormat/>
    <w:rsid w:val="002A5A5E"/>
    <w:pPr>
      <w:adjustRightInd w:val="0"/>
      <w:snapToGrid w:val="0"/>
    </w:pPr>
    <w:rPr>
      <w:rFonts w:hAnsi="MS Shell Dlg"/>
      <w:kern w:val="0"/>
      <w:szCs w:val="20"/>
    </w:rPr>
  </w:style>
  <w:style w:type="paragraph" w:customStyle="1" w:styleId="xl29">
    <w:name w:val="xl29"/>
    <w:basedOn w:val="10"/>
    <w:next w:val="a1"/>
    <w:autoRedefine/>
    <w:uiPriority w:val="99"/>
    <w:qFormat/>
    <w:rsid w:val="002A5A5E"/>
    <w:pPr>
      <w:keepNext w:val="0"/>
      <w:keepLines w:val="0"/>
      <w:widowControl/>
      <w:pBdr>
        <w:left w:val="single" w:sz="4" w:space="0" w:color="auto"/>
        <w:bottom w:val="single" w:sz="4" w:space="0" w:color="auto"/>
      </w:pBdr>
      <w:spacing w:before="100" w:beforeAutospacing="1" w:after="100" w:afterAutospacing="1" w:line="500" w:lineRule="atLeast"/>
      <w:ind w:firstLineChars="177" w:firstLine="425"/>
      <w:jc w:val="center"/>
      <w:outlineLvl w:val="9"/>
    </w:pPr>
    <w:rPr>
      <w:rFonts w:ascii="宋体" w:hAnsi="宋体"/>
      <w:b w:val="0"/>
      <w:bCs w:val="0"/>
      <w:kern w:val="0"/>
      <w:sz w:val="24"/>
      <w:szCs w:val="24"/>
    </w:rPr>
  </w:style>
  <w:style w:type="paragraph" w:customStyle="1" w:styleId="xl22">
    <w:name w:val="xl22"/>
    <w:basedOn w:val="10"/>
    <w:next w:val="a1"/>
    <w:autoRedefine/>
    <w:uiPriority w:val="99"/>
    <w:qFormat/>
    <w:rsid w:val="002A5A5E"/>
    <w:pPr>
      <w:keepNext w:val="0"/>
      <w:keepLines w:val="0"/>
      <w:widowControl/>
      <w:pBdr>
        <w:top w:val="single" w:sz="4" w:space="0" w:color="auto"/>
        <w:left w:val="single" w:sz="4" w:space="0" w:color="auto"/>
        <w:bottom w:val="single" w:sz="4" w:space="0" w:color="auto"/>
        <w:right w:val="single" w:sz="4" w:space="0" w:color="auto"/>
      </w:pBdr>
      <w:spacing w:before="100" w:beforeAutospacing="1" w:after="100" w:afterAutospacing="1" w:line="500" w:lineRule="atLeast"/>
      <w:ind w:firstLineChars="177" w:firstLine="425"/>
      <w:jc w:val="left"/>
      <w:outlineLvl w:val="9"/>
    </w:pPr>
    <w:rPr>
      <w:rFonts w:ascii="宋体" w:hAnsi="宋体" w:cs="宋体"/>
      <w:b w:val="0"/>
      <w:bCs w:val="0"/>
      <w:kern w:val="0"/>
      <w:sz w:val="24"/>
      <w:szCs w:val="24"/>
    </w:rPr>
  </w:style>
  <w:style w:type="paragraph" w:customStyle="1" w:styleId="xl55">
    <w:name w:val="xl55"/>
    <w:basedOn w:val="10"/>
    <w:next w:val="a1"/>
    <w:autoRedefine/>
    <w:uiPriority w:val="99"/>
    <w:qFormat/>
    <w:rsid w:val="002A5A5E"/>
    <w:pPr>
      <w:keepNext w:val="0"/>
      <w:keepLines w:val="0"/>
      <w:widowControl/>
      <w:pBdr>
        <w:left w:val="single" w:sz="12" w:space="0" w:color="auto"/>
        <w:bottom w:val="single" w:sz="8" w:space="0" w:color="auto"/>
        <w:right w:val="single" w:sz="8" w:space="0" w:color="auto"/>
      </w:pBdr>
      <w:spacing w:before="100" w:beforeAutospacing="1" w:after="100" w:afterAutospacing="1" w:line="500" w:lineRule="atLeast"/>
      <w:ind w:firstLineChars="177" w:firstLine="425"/>
      <w:jc w:val="center"/>
      <w:outlineLvl w:val="9"/>
    </w:pPr>
    <w:rPr>
      <w:rFonts w:ascii="宋体" w:hAnsi="宋体" w:cs="宋体"/>
      <w:b w:val="0"/>
      <w:bCs w:val="0"/>
      <w:color w:val="000000"/>
      <w:kern w:val="0"/>
      <w:sz w:val="24"/>
      <w:szCs w:val="21"/>
    </w:rPr>
  </w:style>
  <w:style w:type="paragraph" w:customStyle="1" w:styleId="xl53">
    <w:name w:val="xl53"/>
    <w:basedOn w:val="10"/>
    <w:next w:val="a1"/>
    <w:autoRedefine/>
    <w:uiPriority w:val="99"/>
    <w:qFormat/>
    <w:rsid w:val="002A5A5E"/>
    <w:pPr>
      <w:keepNext w:val="0"/>
      <w:keepLines w:val="0"/>
      <w:widowControl/>
      <w:pBdr>
        <w:left w:val="single" w:sz="8" w:space="0" w:color="auto"/>
        <w:bottom w:val="single" w:sz="8" w:space="0" w:color="auto"/>
        <w:right w:val="single" w:sz="12" w:space="0" w:color="auto"/>
      </w:pBdr>
      <w:spacing w:before="100" w:beforeAutospacing="1" w:after="100" w:afterAutospacing="1" w:line="500" w:lineRule="atLeast"/>
      <w:ind w:firstLineChars="177" w:firstLine="425"/>
      <w:jc w:val="center"/>
      <w:outlineLvl w:val="9"/>
    </w:pPr>
    <w:rPr>
      <w:rFonts w:ascii="宋体" w:hAnsi="宋体" w:cs="宋体"/>
      <w:b w:val="0"/>
      <w:bCs w:val="0"/>
      <w:color w:val="000000"/>
      <w:kern w:val="0"/>
      <w:sz w:val="24"/>
      <w:szCs w:val="21"/>
    </w:rPr>
  </w:style>
  <w:style w:type="paragraph" w:customStyle="1" w:styleId="affffff1">
    <w:name w:val="正文段落"/>
    <w:next w:val="a1"/>
    <w:autoRedefine/>
    <w:uiPriority w:val="99"/>
    <w:qFormat/>
    <w:rsid w:val="002A5A5E"/>
    <w:pPr>
      <w:spacing w:beforeLines="50"/>
      <w:ind w:firstLineChars="200" w:firstLine="505"/>
    </w:pPr>
    <w:rPr>
      <w:rFonts w:ascii="Times New Roman" w:eastAsia="宋体" w:hAnsi="Times New Roman" w:cs="Times New Roman"/>
      <w:kern w:val="2"/>
      <w:sz w:val="24"/>
    </w:rPr>
  </w:style>
  <w:style w:type="paragraph" w:customStyle="1" w:styleId="textstyle1">
    <w:name w:val="textstyle1"/>
    <w:basedOn w:val="10"/>
    <w:next w:val="a1"/>
    <w:autoRedefine/>
    <w:uiPriority w:val="99"/>
    <w:qFormat/>
    <w:rsid w:val="002A5A5E"/>
    <w:pPr>
      <w:keepNext w:val="0"/>
      <w:keepLines w:val="0"/>
      <w:widowControl/>
      <w:numPr>
        <w:numId w:val="5"/>
      </w:numPr>
      <w:overflowPunct w:val="0"/>
      <w:autoSpaceDE w:val="0"/>
      <w:autoSpaceDN w:val="0"/>
      <w:adjustRightInd w:val="0"/>
      <w:spacing w:before="120" w:after="0" w:line="500" w:lineRule="atLeast"/>
      <w:ind w:left="288" w:firstLineChars="177" w:firstLine="432"/>
      <w:outlineLvl w:val="9"/>
    </w:pPr>
    <w:rPr>
      <w:rFonts w:ascii="楷体" w:eastAsia="楷体"/>
      <w:b w:val="0"/>
      <w:bCs w:val="0"/>
      <w:kern w:val="0"/>
      <w:sz w:val="24"/>
      <w:szCs w:val="20"/>
    </w:rPr>
  </w:style>
  <w:style w:type="paragraph" w:customStyle="1" w:styleId="311">
    <w:name w:val="正文文本 31"/>
    <w:basedOn w:val="10"/>
    <w:next w:val="a1"/>
    <w:autoRedefine/>
    <w:uiPriority w:val="99"/>
    <w:qFormat/>
    <w:rsid w:val="002A5A5E"/>
    <w:pPr>
      <w:keepNext w:val="0"/>
      <w:keepLines w:val="0"/>
      <w:adjustRightInd w:val="0"/>
      <w:spacing w:before="0" w:after="0" w:line="360" w:lineRule="atLeast"/>
      <w:ind w:firstLineChars="177" w:firstLine="425"/>
      <w:jc w:val="center"/>
      <w:outlineLvl w:val="9"/>
    </w:pPr>
    <w:rPr>
      <w:rFonts w:ascii="仿宋体" w:eastAsia="仿宋体" w:hAnsi="宋体"/>
      <w:b w:val="0"/>
      <w:bCs w:val="0"/>
      <w:kern w:val="0"/>
      <w:sz w:val="24"/>
      <w:szCs w:val="20"/>
    </w:rPr>
  </w:style>
  <w:style w:type="paragraph" w:customStyle="1" w:styleId="Charff4">
    <w:name w:val="样式 Char"/>
    <w:basedOn w:val="10"/>
    <w:next w:val="a1"/>
    <w:autoRedefine/>
    <w:uiPriority w:val="99"/>
    <w:qFormat/>
    <w:rsid w:val="002A5A5E"/>
    <w:pPr>
      <w:keepNext w:val="0"/>
      <w:keepLines w:val="0"/>
      <w:spacing w:before="0" w:after="0" w:line="500" w:lineRule="atLeast"/>
      <w:ind w:firstLineChars="177" w:firstLine="425"/>
      <w:outlineLvl w:val="9"/>
    </w:pPr>
    <w:rPr>
      <w:b w:val="0"/>
      <w:bCs w:val="0"/>
      <w:kern w:val="2"/>
      <w:sz w:val="24"/>
      <w:szCs w:val="21"/>
    </w:rPr>
  </w:style>
  <w:style w:type="paragraph" w:customStyle="1" w:styleId="xl52">
    <w:name w:val="xl52"/>
    <w:basedOn w:val="10"/>
    <w:next w:val="a1"/>
    <w:autoRedefine/>
    <w:uiPriority w:val="99"/>
    <w:qFormat/>
    <w:rsid w:val="002A5A5E"/>
    <w:pPr>
      <w:keepNext w:val="0"/>
      <w:keepLines w:val="0"/>
      <w:widowControl/>
      <w:pBdr>
        <w:top w:val="single" w:sz="12" w:space="0" w:color="auto"/>
        <w:left w:val="single" w:sz="8" w:space="0" w:color="auto"/>
        <w:right w:val="single" w:sz="12" w:space="0" w:color="auto"/>
      </w:pBdr>
      <w:spacing w:before="100" w:beforeAutospacing="1" w:after="100" w:afterAutospacing="1" w:line="500" w:lineRule="atLeast"/>
      <w:ind w:firstLineChars="177" w:firstLine="425"/>
      <w:jc w:val="center"/>
      <w:outlineLvl w:val="9"/>
    </w:pPr>
    <w:rPr>
      <w:rFonts w:ascii="宋体" w:hAnsi="宋体" w:cs="宋体"/>
      <w:b w:val="0"/>
      <w:bCs w:val="0"/>
      <w:color w:val="000000"/>
      <w:kern w:val="0"/>
      <w:sz w:val="24"/>
      <w:szCs w:val="21"/>
    </w:rPr>
  </w:style>
  <w:style w:type="paragraph" w:customStyle="1" w:styleId="1f">
    <w:name w:val="表格1"/>
    <w:basedOn w:val="10"/>
    <w:next w:val="a1"/>
    <w:autoRedefine/>
    <w:uiPriority w:val="99"/>
    <w:qFormat/>
    <w:rsid w:val="002A5A5E"/>
    <w:pPr>
      <w:keepNext w:val="0"/>
      <w:keepLines w:val="0"/>
      <w:adjustRightInd w:val="0"/>
      <w:spacing w:before="0" w:after="120" w:line="20" w:lineRule="atLeast"/>
      <w:ind w:firstLineChars="177" w:firstLine="425"/>
      <w:jc w:val="center"/>
      <w:outlineLvl w:val="9"/>
    </w:pPr>
    <w:rPr>
      <w:rFonts w:ascii="仿宋体"/>
      <w:b w:val="0"/>
      <w:bCs w:val="0"/>
      <w:color w:val="000000"/>
      <w:kern w:val="0"/>
      <w:sz w:val="24"/>
      <w:szCs w:val="20"/>
    </w:rPr>
  </w:style>
  <w:style w:type="paragraph" w:customStyle="1" w:styleId="xl47">
    <w:name w:val="xl47"/>
    <w:basedOn w:val="10"/>
    <w:next w:val="a1"/>
    <w:autoRedefine/>
    <w:uiPriority w:val="99"/>
    <w:qFormat/>
    <w:rsid w:val="002A5A5E"/>
    <w:pPr>
      <w:keepNext w:val="0"/>
      <w:keepLines w:val="0"/>
      <w:widowControl/>
      <w:pBdr>
        <w:top w:val="single" w:sz="8" w:space="0" w:color="auto"/>
        <w:left w:val="single" w:sz="12" w:space="0" w:color="auto"/>
        <w:right w:val="single" w:sz="8" w:space="0" w:color="auto"/>
      </w:pBdr>
      <w:spacing w:before="100" w:beforeAutospacing="1" w:after="100" w:afterAutospacing="1" w:line="500" w:lineRule="atLeast"/>
      <w:ind w:firstLineChars="177" w:firstLine="425"/>
      <w:jc w:val="center"/>
      <w:outlineLvl w:val="9"/>
    </w:pPr>
    <w:rPr>
      <w:b w:val="0"/>
      <w:bCs w:val="0"/>
      <w:color w:val="000000"/>
      <w:kern w:val="0"/>
      <w:sz w:val="24"/>
      <w:szCs w:val="21"/>
    </w:rPr>
  </w:style>
  <w:style w:type="paragraph" w:customStyle="1" w:styleId="1f0">
    <w:name w:val="列出段落1"/>
    <w:basedOn w:val="10"/>
    <w:next w:val="a1"/>
    <w:autoRedefine/>
    <w:uiPriority w:val="99"/>
    <w:qFormat/>
    <w:rsid w:val="002A5A5E"/>
    <w:pPr>
      <w:keepNext w:val="0"/>
      <w:keepLines w:val="0"/>
      <w:widowControl/>
      <w:spacing w:before="0" w:after="0" w:line="500" w:lineRule="atLeast"/>
      <w:ind w:firstLineChars="200" w:firstLine="420"/>
      <w:jc w:val="left"/>
      <w:outlineLvl w:val="9"/>
    </w:pPr>
    <w:rPr>
      <w:b w:val="0"/>
      <w:bCs w:val="0"/>
      <w:kern w:val="0"/>
      <w:sz w:val="24"/>
      <w:szCs w:val="24"/>
    </w:rPr>
  </w:style>
  <w:style w:type="paragraph" w:customStyle="1" w:styleId="xl33">
    <w:name w:val="xl33"/>
    <w:basedOn w:val="10"/>
    <w:next w:val="a1"/>
    <w:autoRedefine/>
    <w:uiPriority w:val="99"/>
    <w:qFormat/>
    <w:rsid w:val="002A5A5E"/>
    <w:pPr>
      <w:keepNext w:val="0"/>
      <w:keepLines w:val="0"/>
      <w:widowControl/>
      <w:pBdr>
        <w:left w:val="single" w:sz="12" w:space="0" w:color="auto"/>
        <w:right w:val="single" w:sz="8" w:space="0" w:color="auto"/>
      </w:pBdr>
      <w:spacing w:before="100" w:beforeAutospacing="1" w:after="100" w:afterAutospacing="1" w:line="500" w:lineRule="atLeast"/>
      <w:ind w:firstLineChars="177" w:firstLine="425"/>
      <w:jc w:val="center"/>
      <w:outlineLvl w:val="9"/>
    </w:pPr>
    <w:rPr>
      <w:b w:val="0"/>
      <w:bCs w:val="0"/>
      <w:color w:val="000000"/>
      <w:kern w:val="0"/>
      <w:sz w:val="24"/>
      <w:szCs w:val="21"/>
    </w:rPr>
  </w:style>
  <w:style w:type="paragraph" w:customStyle="1" w:styleId="1f1">
    <w:name w:val="样式 标题 1 + 自动设置"/>
    <w:basedOn w:val="10"/>
    <w:next w:val="a1"/>
    <w:autoRedefine/>
    <w:uiPriority w:val="99"/>
    <w:qFormat/>
    <w:rsid w:val="002A5A5E"/>
    <w:pPr>
      <w:tabs>
        <w:tab w:val="left" w:pos="432"/>
        <w:tab w:val="left" w:pos="700"/>
        <w:tab w:val="left" w:pos="1860"/>
      </w:tabs>
      <w:autoSpaceDE w:val="0"/>
      <w:autoSpaceDN w:val="0"/>
      <w:adjustRightInd w:val="0"/>
      <w:spacing w:before="0" w:after="0" w:line="240" w:lineRule="auto"/>
      <w:ind w:left="1860" w:firstLineChars="177" w:hanging="1290"/>
      <w:jc w:val="left"/>
    </w:pPr>
    <w:rPr>
      <w:sz w:val="28"/>
      <w:szCs w:val="20"/>
    </w:rPr>
  </w:style>
  <w:style w:type="paragraph" w:customStyle="1" w:styleId="1f2">
    <w:name w:val="页脚1"/>
    <w:basedOn w:val="15"/>
    <w:next w:val="a1"/>
    <w:autoRedefine/>
    <w:uiPriority w:val="99"/>
    <w:qFormat/>
    <w:rsid w:val="002A5A5E"/>
    <w:pPr>
      <w:tabs>
        <w:tab w:val="center" w:pos="4153"/>
        <w:tab w:val="right" w:pos="8306"/>
      </w:tabs>
      <w:spacing w:line="240" w:lineRule="atLeast"/>
    </w:pPr>
    <w:rPr>
      <w:rFonts w:hAnsi="Calibri"/>
      <w:sz w:val="18"/>
      <w:szCs w:val="20"/>
    </w:rPr>
  </w:style>
  <w:style w:type="paragraph" w:customStyle="1" w:styleId="221">
    <w:name w:val="样式 样式 首行缩进:  2 字符 + 首行缩进:  2 字符"/>
    <w:basedOn w:val="10"/>
    <w:next w:val="a1"/>
    <w:autoRedefine/>
    <w:uiPriority w:val="99"/>
    <w:qFormat/>
    <w:rsid w:val="002A5A5E"/>
    <w:pPr>
      <w:keepNext w:val="0"/>
      <w:keepLines w:val="0"/>
      <w:spacing w:before="0" w:after="0" w:line="500" w:lineRule="atLeast"/>
      <w:ind w:firstLineChars="200" w:firstLine="587"/>
      <w:outlineLvl w:val="9"/>
    </w:pPr>
    <w:rPr>
      <w:rFonts w:ascii="宋体"/>
      <w:b w:val="0"/>
      <w:bCs w:val="0"/>
      <w:kern w:val="2"/>
      <w:sz w:val="27"/>
      <w:szCs w:val="27"/>
    </w:rPr>
  </w:style>
  <w:style w:type="paragraph" w:customStyle="1" w:styleId="xl44">
    <w:name w:val="xl44"/>
    <w:basedOn w:val="10"/>
    <w:next w:val="a1"/>
    <w:autoRedefine/>
    <w:uiPriority w:val="99"/>
    <w:qFormat/>
    <w:rsid w:val="002A5A5E"/>
    <w:pPr>
      <w:keepNext w:val="0"/>
      <w:keepLines w:val="0"/>
      <w:widowControl/>
      <w:pBdr>
        <w:left w:val="single" w:sz="8" w:space="0" w:color="auto"/>
        <w:bottom w:val="single" w:sz="8" w:space="0" w:color="auto"/>
        <w:right w:val="single" w:sz="8" w:space="0" w:color="auto"/>
      </w:pBdr>
      <w:spacing w:before="100" w:beforeAutospacing="1" w:after="100" w:afterAutospacing="1" w:line="500" w:lineRule="atLeast"/>
      <w:ind w:firstLineChars="177" w:firstLine="425"/>
      <w:jc w:val="center"/>
      <w:outlineLvl w:val="9"/>
    </w:pPr>
    <w:rPr>
      <w:b w:val="0"/>
      <w:bCs w:val="0"/>
      <w:color w:val="000000"/>
      <w:kern w:val="0"/>
      <w:sz w:val="24"/>
      <w:szCs w:val="21"/>
    </w:rPr>
  </w:style>
  <w:style w:type="paragraph" w:customStyle="1" w:styleId="affffff2">
    <w:name w:val="正文王"/>
    <w:basedOn w:val="ae"/>
    <w:next w:val="a1"/>
    <w:autoRedefine/>
    <w:uiPriority w:val="99"/>
    <w:qFormat/>
    <w:rsid w:val="002A5A5E"/>
    <w:pPr>
      <w:spacing w:line="440" w:lineRule="exact"/>
      <w:ind w:firstLineChars="177" w:firstLine="425"/>
    </w:pPr>
    <w:rPr>
      <w:rFonts w:ascii="Arial" w:hAnsi="Arial" w:cs="Times New Roman"/>
      <w:kern w:val="0"/>
      <w:sz w:val="24"/>
      <w:szCs w:val="24"/>
    </w:rPr>
  </w:style>
  <w:style w:type="paragraph" w:customStyle="1" w:styleId="affffff3">
    <w:name w:val="表文左对齐"/>
    <w:basedOn w:val="affffb"/>
    <w:next w:val="a1"/>
    <w:autoRedefine/>
    <w:uiPriority w:val="99"/>
    <w:qFormat/>
    <w:rsid w:val="002A5A5E"/>
    <w:pPr>
      <w:spacing w:line="320" w:lineRule="exact"/>
      <w:ind w:firstLine="420"/>
      <w:jc w:val="left"/>
    </w:pPr>
    <w:rPr>
      <w:color w:val="000000"/>
      <w:szCs w:val="20"/>
    </w:rPr>
  </w:style>
  <w:style w:type="paragraph" w:customStyle="1" w:styleId="ParaChar">
    <w:name w:val="默认段落字体 Para Char"/>
    <w:basedOn w:val="10"/>
    <w:next w:val="a1"/>
    <w:autoRedefine/>
    <w:uiPriority w:val="99"/>
    <w:qFormat/>
    <w:rsid w:val="002A5A5E"/>
    <w:pPr>
      <w:keepNext w:val="0"/>
      <w:keepLines w:val="0"/>
      <w:spacing w:before="0" w:after="0" w:line="500" w:lineRule="atLeast"/>
      <w:ind w:firstLineChars="177" w:firstLine="425"/>
      <w:outlineLvl w:val="9"/>
    </w:pPr>
    <w:rPr>
      <w:rFonts w:ascii="宋体"/>
      <w:b w:val="0"/>
      <w:bCs w:val="0"/>
      <w:kern w:val="2"/>
      <w:sz w:val="28"/>
      <w:szCs w:val="24"/>
    </w:rPr>
  </w:style>
  <w:style w:type="paragraph" w:customStyle="1" w:styleId="xl30">
    <w:name w:val="xl30"/>
    <w:basedOn w:val="10"/>
    <w:next w:val="a1"/>
    <w:autoRedefine/>
    <w:uiPriority w:val="99"/>
    <w:qFormat/>
    <w:rsid w:val="002A5A5E"/>
    <w:pPr>
      <w:keepNext w:val="0"/>
      <w:keepLines w:val="0"/>
      <w:widowControl/>
      <w:pBdr>
        <w:left w:val="single" w:sz="8" w:space="0" w:color="auto"/>
        <w:bottom w:val="single" w:sz="8" w:space="0" w:color="auto"/>
        <w:right w:val="single" w:sz="8" w:space="0" w:color="auto"/>
      </w:pBdr>
      <w:spacing w:before="100" w:beforeAutospacing="1" w:after="100" w:afterAutospacing="1" w:line="500" w:lineRule="atLeast"/>
      <w:ind w:firstLineChars="177" w:firstLine="425"/>
      <w:jc w:val="center"/>
      <w:outlineLvl w:val="9"/>
    </w:pPr>
    <w:rPr>
      <w:rFonts w:ascii="宋体" w:hAnsi="宋体"/>
      <w:b w:val="0"/>
      <w:bCs w:val="0"/>
      <w:kern w:val="0"/>
      <w:sz w:val="24"/>
      <w:szCs w:val="21"/>
    </w:rPr>
  </w:style>
  <w:style w:type="paragraph" w:customStyle="1" w:styleId="affffff4">
    <w:name w:val="段落"/>
    <w:basedOn w:val="10"/>
    <w:next w:val="a1"/>
    <w:autoRedefine/>
    <w:uiPriority w:val="99"/>
    <w:qFormat/>
    <w:rsid w:val="002A5A5E"/>
    <w:pPr>
      <w:keepNext w:val="0"/>
      <w:keepLines w:val="0"/>
      <w:adjustRightInd w:val="0"/>
      <w:snapToGrid w:val="0"/>
      <w:spacing w:before="0" w:after="0" w:line="280" w:lineRule="exact"/>
      <w:ind w:firstLineChars="177" w:firstLine="425"/>
      <w:outlineLvl w:val="9"/>
    </w:pPr>
    <w:rPr>
      <w:b w:val="0"/>
      <w:bCs w:val="0"/>
      <w:kern w:val="0"/>
      <w:sz w:val="18"/>
      <w:szCs w:val="20"/>
    </w:rPr>
  </w:style>
  <w:style w:type="paragraph" w:customStyle="1" w:styleId="1000">
    <w:name w:val="样式 样式1 + 两端对齐 左侧:  0 厘米 首行缩进:  0 厘米"/>
    <w:basedOn w:val="10"/>
    <w:next w:val="a1"/>
    <w:autoRedefine/>
    <w:uiPriority w:val="99"/>
    <w:qFormat/>
    <w:rsid w:val="002A5A5E"/>
    <w:pPr>
      <w:pageBreakBefore/>
      <w:spacing w:before="240" w:after="120" w:line="500" w:lineRule="atLeast"/>
      <w:ind w:firstLineChars="177" w:firstLine="425"/>
      <w:jc w:val="center"/>
    </w:pPr>
    <w:rPr>
      <w:rFonts w:eastAsia="黑体" w:cs="宋体"/>
      <w:b w:val="0"/>
      <w:bCs w:val="0"/>
      <w:kern w:val="2"/>
      <w:sz w:val="36"/>
      <w:szCs w:val="24"/>
    </w:rPr>
  </w:style>
  <w:style w:type="character" w:customStyle="1" w:styleId="1Char4">
    <w:name w:val="正文样式1 Char"/>
    <w:link w:val="1f3"/>
    <w:qFormat/>
    <w:locked/>
    <w:rsid w:val="002A5A5E"/>
    <w:rPr>
      <w:rFonts w:ascii="宋体" w:eastAsia="宋体" w:hAnsi="宋体"/>
      <w:sz w:val="24"/>
    </w:rPr>
  </w:style>
  <w:style w:type="paragraph" w:customStyle="1" w:styleId="1f3">
    <w:name w:val="正文样式1"/>
    <w:basedOn w:val="10"/>
    <w:next w:val="a1"/>
    <w:link w:val="1Char4"/>
    <w:autoRedefine/>
    <w:qFormat/>
    <w:rsid w:val="002A5A5E"/>
    <w:pPr>
      <w:keepNext w:val="0"/>
      <w:keepLines w:val="0"/>
      <w:adjustRightInd w:val="0"/>
      <w:spacing w:before="0" w:after="0" w:line="288" w:lineRule="auto"/>
      <w:ind w:firstLineChars="150" w:firstLine="360"/>
      <w:outlineLvl w:val="9"/>
    </w:pPr>
    <w:rPr>
      <w:rFonts w:ascii="宋体" w:hAnsi="宋体" w:cstheme="minorBidi"/>
      <w:b w:val="0"/>
      <w:bCs w:val="0"/>
      <w:kern w:val="2"/>
      <w:sz w:val="24"/>
      <w:szCs w:val="22"/>
    </w:rPr>
  </w:style>
  <w:style w:type="paragraph" w:customStyle="1" w:styleId="82">
    <w:name w:val="8"/>
    <w:basedOn w:val="10"/>
    <w:next w:val="ac"/>
    <w:autoRedefine/>
    <w:uiPriority w:val="99"/>
    <w:qFormat/>
    <w:rsid w:val="002A5A5E"/>
    <w:pPr>
      <w:keepNext w:val="0"/>
      <w:keepLines w:val="0"/>
      <w:spacing w:before="0" w:after="0" w:line="400" w:lineRule="exact"/>
      <w:ind w:firstLineChars="215" w:firstLine="516"/>
      <w:outlineLvl w:val="9"/>
    </w:pPr>
    <w:rPr>
      <w:b w:val="0"/>
      <w:bCs w:val="0"/>
      <w:kern w:val="2"/>
      <w:sz w:val="24"/>
      <w:szCs w:val="24"/>
    </w:rPr>
  </w:style>
  <w:style w:type="character" w:customStyle="1" w:styleId="cucd-1Char">
    <w:name w:val="cucd-1 Char"/>
    <w:link w:val="cucd-1"/>
    <w:qFormat/>
    <w:locked/>
    <w:rsid w:val="002A5A5E"/>
    <w:rPr>
      <w:rFonts w:ascii="黑体" w:eastAsia="黑体" w:hAnsi="黑体"/>
      <w:b/>
      <w:sz w:val="36"/>
      <w:szCs w:val="24"/>
    </w:rPr>
  </w:style>
  <w:style w:type="paragraph" w:customStyle="1" w:styleId="cucd-1">
    <w:name w:val="cucd-1"/>
    <w:next w:val="cucd-2"/>
    <w:link w:val="cucd-1Char"/>
    <w:autoRedefine/>
    <w:qFormat/>
    <w:rsid w:val="002A5A5E"/>
    <w:pPr>
      <w:pageBreakBefore/>
      <w:tabs>
        <w:tab w:val="left" w:pos="432"/>
      </w:tabs>
      <w:spacing w:beforeLines="100" w:line="360" w:lineRule="auto"/>
      <w:ind w:left="432" w:hanging="432"/>
      <w:jc w:val="center"/>
      <w:outlineLvl w:val="0"/>
    </w:pPr>
    <w:rPr>
      <w:rFonts w:ascii="黑体" w:eastAsia="黑体" w:hAnsi="黑体"/>
      <w:b/>
      <w:kern w:val="2"/>
      <w:sz w:val="36"/>
      <w:szCs w:val="24"/>
    </w:rPr>
  </w:style>
  <w:style w:type="paragraph" w:customStyle="1" w:styleId="CharCharCharCharCharChar1CharCharCharChar">
    <w:name w:val="Char Char Char Char Char Char1 Char Char Char Char"/>
    <w:basedOn w:val="10"/>
    <w:next w:val="a1"/>
    <w:autoRedefine/>
    <w:uiPriority w:val="99"/>
    <w:qFormat/>
    <w:rsid w:val="002A5A5E"/>
    <w:pPr>
      <w:keepNext w:val="0"/>
      <w:keepLines w:val="0"/>
      <w:spacing w:before="0" w:after="0" w:line="500" w:lineRule="atLeast"/>
      <w:ind w:firstLineChars="177" w:firstLine="425"/>
      <w:outlineLvl w:val="9"/>
    </w:pPr>
    <w:rPr>
      <w:b w:val="0"/>
      <w:bCs w:val="0"/>
      <w:kern w:val="2"/>
      <w:sz w:val="24"/>
      <w:szCs w:val="24"/>
    </w:rPr>
  </w:style>
  <w:style w:type="paragraph" w:customStyle="1" w:styleId="affffff5">
    <w:name w:val="表内"/>
    <w:basedOn w:val="10"/>
    <w:next w:val="a1"/>
    <w:autoRedefine/>
    <w:uiPriority w:val="99"/>
    <w:qFormat/>
    <w:rsid w:val="002A5A5E"/>
    <w:pPr>
      <w:keepNext w:val="0"/>
      <w:keepLines w:val="0"/>
      <w:adjustRightInd w:val="0"/>
      <w:spacing w:before="0" w:after="0" w:line="500" w:lineRule="atLeast"/>
      <w:ind w:leftChars="-38" w:left="-78" w:hangingChars="1" w:hanging="2"/>
      <w:jc w:val="center"/>
      <w:outlineLvl w:val="9"/>
    </w:pPr>
    <w:rPr>
      <w:rFonts w:ascii="宋体" w:hAnsi="宋体"/>
      <w:b w:val="0"/>
      <w:bCs w:val="0"/>
      <w:color w:val="FF0000"/>
      <w:kern w:val="2"/>
      <w:sz w:val="24"/>
      <w:szCs w:val="20"/>
    </w:rPr>
  </w:style>
  <w:style w:type="paragraph" w:customStyle="1" w:styleId="a9cxsplast">
    <w:name w:val="a9cxsplast"/>
    <w:basedOn w:val="10"/>
    <w:next w:val="a1"/>
    <w:autoRedefine/>
    <w:uiPriority w:val="99"/>
    <w:qFormat/>
    <w:rsid w:val="002A5A5E"/>
    <w:pPr>
      <w:keepNext w:val="0"/>
      <w:keepLines w:val="0"/>
      <w:widowControl/>
      <w:snapToGrid w:val="0"/>
      <w:spacing w:before="0" w:after="120" w:line="360" w:lineRule="auto"/>
      <w:ind w:firstLineChars="177" w:firstLine="480"/>
      <w:outlineLvl w:val="9"/>
    </w:pPr>
    <w:rPr>
      <w:b w:val="0"/>
      <w:bCs w:val="0"/>
      <w:kern w:val="0"/>
      <w:sz w:val="24"/>
      <w:szCs w:val="24"/>
    </w:rPr>
  </w:style>
  <w:style w:type="paragraph" w:customStyle="1" w:styleId="Char2CharCharCharCharCharChar">
    <w:name w:val="Char2 Char Char Char Char Char Char"/>
    <w:basedOn w:val="10"/>
    <w:next w:val="a1"/>
    <w:autoRedefine/>
    <w:uiPriority w:val="99"/>
    <w:qFormat/>
    <w:rsid w:val="002A5A5E"/>
    <w:pPr>
      <w:keepNext w:val="0"/>
      <w:keepLines w:val="0"/>
      <w:spacing w:before="0" w:after="0" w:line="360" w:lineRule="auto"/>
      <w:ind w:firstLineChars="200" w:firstLine="200"/>
      <w:outlineLvl w:val="9"/>
    </w:pPr>
    <w:rPr>
      <w:rFonts w:ascii="宋体" w:hAnsi="宋体" w:cs="宋体"/>
      <w:b w:val="0"/>
      <w:bCs w:val="0"/>
      <w:kern w:val="2"/>
      <w:sz w:val="24"/>
      <w:szCs w:val="24"/>
    </w:rPr>
  </w:style>
  <w:style w:type="paragraph" w:customStyle="1" w:styleId="y">
    <w:name w:val="y表格"/>
    <w:basedOn w:val="ab"/>
    <w:next w:val="a1"/>
    <w:autoRedefine/>
    <w:uiPriority w:val="99"/>
    <w:qFormat/>
    <w:rsid w:val="002A5A5E"/>
    <w:pPr>
      <w:widowControl/>
      <w:adjustRightInd w:val="0"/>
      <w:snapToGrid w:val="0"/>
      <w:spacing w:after="0"/>
      <w:ind w:firstLineChars="177" w:firstLine="425"/>
      <w:jc w:val="center"/>
    </w:pPr>
    <w:rPr>
      <w:rFonts w:ascii="宋体" w:hAnsi="宋体" w:cstheme="minorBidi" w:hint="eastAsia"/>
      <w:sz w:val="24"/>
      <w:szCs w:val="20"/>
    </w:rPr>
  </w:style>
  <w:style w:type="paragraph" w:customStyle="1" w:styleId="affffff6">
    <w:name w:val="表格文字（居中）"/>
    <w:basedOn w:val="10"/>
    <w:next w:val="a1"/>
    <w:autoRedefine/>
    <w:uiPriority w:val="99"/>
    <w:qFormat/>
    <w:rsid w:val="002A5A5E"/>
    <w:pPr>
      <w:keepNext w:val="0"/>
      <w:keepLines w:val="0"/>
      <w:spacing w:before="0" w:after="0" w:line="500" w:lineRule="atLeast"/>
      <w:ind w:firstLineChars="177" w:firstLine="425"/>
      <w:jc w:val="center"/>
      <w:outlineLvl w:val="9"/>
    </w:pPr>
    <w:rPr>
      <w:b w:val="0"/>
      <w:bCs w:val="0"/>
      <w:kern w:val="2"/>
      <w:sz w:val="24"/>
      <w:szCs w:val="21"/>
    </w:rPr>
  </w:style>
  <w:style w:type="paragraph" w:customStyle="1" w:styleId="3025">
    <w:name w:val="样式 标题 3头 + 行距: 多倍行距 0.25 字行"/>
    <w:basedOn w:val="30"/>
    <w:next w:val="a1"/>
    <w:autoRedefine/>
    <w:uiPriority w:val="99"/>
    <w:qFormat/>
    <w:rsid w:val="002A5A5E"/>
    <w:pPr>
      <w:numPr>
        <w:numId w:val="6"/>
      </w:numPr>
      <w:tabs>
        <w:tab w:val="clear" w:pos="360"/>
        <w:tab w:val="left" w:pos="578"/>
      </w:tabs>
      <w:spacing w:before="60" w:after="0" w:line="60" w:lineRule="auto"/>
      <w:ind w:left="578" w:hanging="578"/>
    </w:pPr>
    <w:rPr>
      <w:rFonts w:ascii="Times New Roman" w:hAnsi="Times New Roman" w:cs="黑体"/>
      <w:b/>
      <w:bCs/>
      <w:kern w:val="0"/>
      <w:sz w:val="28"/>
      <w:szCs w:val="28"/>
    </w:rPr>
  </w:style>
  <w:style w:type="paragraph" w:customStyle="1" w:styleId="CharCharCharCharCharCharCharChar1CharCharCharCharCharCharChar">
    <w:name w:val="Char Char Char Char Char Char Char Char1 Char Char Char Char Char Char Char"/>
    <w:basedOn w:val="10"/>
    <w:next w:val="a1"/>
    <w:autoRedefine/>
    <w:uiPriority w:val="99"/>
    <w:qFormat/>
    <w:rsid w:val="002A5A5E"/>
    <w:pPr>
      <w:keepNext w:val="0"/>
      <w:keepLines w:val="0"/>
      <w:snapToGrid w:val="0"/>
      <w:spacing w:before="0" w:after="0" w:line="360" w:lineRule="auto"/>
      <w:ind w:firstLineChars="200" w:firstLine="200"/>
      <w:outlineLvl w:val="9"/>
    </w:pPr>
    <w:rPr>
      <w:rFonts w:eastAsia="FangSong_GB2312"/>
      <w:b w:val="0"/>
      <w:bCs w:val="0"/>
      <w:kern w:val="2"/>
      <w:sz w:val="24"/>
      <w:szCs w:val="24"/>
    </w:rPr>
  </w:style>
  <w:style w:type="paragraph" w:customStyle="1" w:styleId="Date1">
    <w:name w:val="Date1"/>
    <w:basedOn w:val="10"/>
    <w:next w:val="a1"/>
    <w:autoRedefine/>
    <w:uiPriority w:val="99"/>
    <w:qFormat/>
    <w:rsid w:val="002A5A5E"/>
    <w:pPr>
      <w:keepNext w:val="0"/>
      <w:keepLines w:val="0"/>
      <w:adjustRightInd w:val="0"/>
      <w:spacing w:before="0" w:after="0" w:line="500" w:lineRule="atLeast"/>
      <w:ind w:firstLineChars="177" w:firstLine="425"/>
      <w:outlineLvl w:val="9"/>
    </w:pPr>
    <w:rPr>
      <w:b w:val="0"/>
      <w:bCs w:val="0"/>
      <w:kern w:val="2"/>
      <w:sz w:val="24"/>
      <w:szCs w:val="20"/>
    </w:rPr>
  </w:style>
  <w:style w:type="paragraph" w:customStyle="1" w:styleId="affffff7">
    <w:name w:val="a"/>
    <w:basedOn w:val="10"/>
    <w:next w:val="a1"/>
    <w:autoRedefine/>
    <w:uiPriority w:val="99"/>
    <w:qFormat/>
    <w:rsid w:val="002A5A5E"/>
    <w:pPr>
      <w:keepNext w:val="0"/>
      <w:keepLines w:val="0"/>
      <w:widowControl/>
      <w:spacing w:before="100" w:beforeAutospacing="1" w:after="100" w:afterAutospacing="1" w:line="500" w:lineRule="atLeast"/>
      <w:ind w:firstLineChars="177" w:firstLine="425"/>
      <w:jc w:val="left"/>
      <w:outlineLvl w:val="9"/>
    </w:pPr>
    <w:rPr>
      <w:rFonts w:ascii="宋体" w:hAnsi="宋体" w:cs="宋体"/>
      <w:b w:val="0"/>
      <w:bCs w:val="0"/>
      <w:kern w:val="0"/>
      <w:sz w:val="24"/>
      <w:szCs w:val="24"/>
    </w:rPr>
  </w:style>
  <w:style w:type="paragraph" w:customStyle="1" w:styleId="xl51">
    <w:name w:val="xl51"/>
    <w:basedOn w:val="10"/>
    <w:next w:val="a1"/>
    <w:autoRedefine/>
    <w:uiPriority w:val="99"/>
    <w:qFormat/>
    <w:rsid w:val="002A5A5E"/>
    <w:pPr>
      <w:keepNext w:val="0"/>
      <w:keepLines w:val="0"/>
      <w:widowControl/>
      <w:pBdr>
        <w:top w:val="single" w:sz="12" w:space="0" w:color="auto"/>
        <w:left w:val="single" w:sz="8" w:space="0" w:color="auto"/>
        <w:right w:val="single" w:sz="8" w:space="0" w:color="auto"/>
      </w:pBdr>
      <w:spacing w:before="100" w:beforeAutospacing="1" w:after="100" w:afterAutospacing="1" w:line="500" w:lineRule="atLeast"/>
      <w:ind w:firstLineChars="177" w:firstLine="425"/>
      <w:jc w:val="center"/>
      <w:outlineLvl w:val="9"/>
    </w:pPr>
    <w:rPr>
      <w:rFonts w:ascii="宋体" w:hAnsi="宋体" w:cs="宋体"/>
      <w:b w:val="0"/>
      <w:bCs w:val="0"/>
      <w:color w:val="000000"/>
      <w:kern w:val="0"/>
      <w:sz w:val="24"/>
      <w:szCs w:val="21"/>
    </w:rPr>
  </w:style>
  <w:style w:type="paragraph" w:customStyle="1" w:styleId="wtext">
    <w:name w:val="wtext"/>
    <w:basedOn w:val="10"/>
    <w:next w:val="a1"/>
    <w:autoRedefine/>
    <w:uiPriority w:val="99"/>
    <w:qFormat/>
    <w:rsid w:val="002A5A5E"/>
    <w:pPr>
      <w:keepNext w:val="0"/>
      <w:keepLines w:val="0"/>
      <w:widowControl/>
      <w:spacing w:before="100" w:beforeAutospacing="1" w:after="100" w:afterAutospacing="1" w:line="500" w:lineRule="atLeast"/>
      <w:ind w:firstLineChars="177" w:firstLine="425"/>
      <w:jc w:val="left"/>
      <w:outlineLvl w:val="9"/>
    </w:pPr>
    <w:rPr>
      <w:rFonts w:ascii="Arial Unicode MS" w:eastAsia="Arial Unicode MS" w:hAnsi="Arial Unicode MS" w:cs="Arial Unicode MS"/>
      <w:b w:val="0"/>
      <w:bCs w:val="0"/>
      <w:kern w:val="0"/>
      <w:sz w:val="24"/>
      <w:szCs w:val="24"/>
    </w:rPr>
  </w:style>
  <w:style w:type="paragraph" w:customStyle="1" w:styleId="T">
    <w:name w:val="T表格"/>
    <w:basedOn w:val="Default"/>
    <w:next w:val="Default"/>
    <w:autoRedefine/>
    <w:uiPriority w:val="99"/>
    <w:qFormat/>
    <w:rsid w:val="002A5A5E"/>
    <w:rPr>
      <w:rFonts w:hAnsi="Calibri" w:cs="Times New Roman"/>
      <w:color w:val="auto"/>
      <w:sz w:val="21"/>
      <w:szCs w:val="22"/>
    </w:rPr>
  </w:style>
  <w:style w:type="character" w:customStyle="1" w:styleId="cauc-0Char1">
    <w:name w:val="cauc-0 Char1"/>
    <w:link w:val="cauc-0"/>
    <w:qFormat/>
    <w:locked/>
    <w:rsid w:val="002A5A5E"/>
    <w:rPr>
      <w:sz w:val="24"/>
      <w:szCs w:val="24"/>
    </w:rPr>
  </w:style>
  <w:style w:type="paragraph" w:customStyle="1" w:styleId="cauc-0">
    <w:name w:val="cauc-0"/>
    <w:next w:val="a1"/>
    <w:link w:val="cauc-0Char1"/>
    <w:autoRedefine/>
    <w:qFormat/>
    <w:rsid w:val="002A5A5E"/>
    <w:pPr>
      <w:spacing w:line="360" w:lineRule="auto"/>
      <w:ind w:firstLineChars="200" w:firstLine="480"/>
    </w:pPr>
    <w:rPr>
      <w:kern w:val="2"/>
      <w:sz w:val="24"/>
      <w:szCs w:val="24"/>
    </w:rPr>
  </w:style>
  <w:style w:type="paragraph" w:customStyle="1" w:styleId="affffff8">
    <w:name w:val="保定正文"/>
    <w:basedOn w:val="10"/>
    <w:next w:val="a1"/>
    <w:autoRedefine/>
    <w:uiPriority w:val="99"/>
    <w:qFormat/>
    <w:rsid w:val="002A5A5E"/>
    <w:pPr>
      <w:keepNext w:val="0"/>
      <w:keepLines w:val="0"/>
      <w:snapToGrid w:val="0"/>
      <w:spacing w:before="0" w:after="0" w:line="360" w:lineRule="auto"/>
      <w:ind w:firstLineChars="200" w:firstLine="200"/>
      <w:outlineLvl w:val="9"/>
    </w:pPr>
    <w:rPr>
      <w:rFonts w:cs="宋体"/>
      <w:b w:val="0"/>
      <w:bCs w:val="0"/>
      <w:kern w:val="0"/>
      <w:sz w:val="24"/>
      <w:szCs w:val="20"/>
    </w:rPr>
  </w:style>
  <w:style w:type="paragraph" w:customStyle="1" w:styleId="a20">
    <w:name w:val="a2"/>
    <w:basedOn w:val="10"/>
    <w:next w:val="a1"/>
    <w:autoRedefine/>
    <w:uiPriority w:val="99"/>
    <w:qFormat/>
    <w:rsid w:val="002A5A5E"/>
    <w:pPr>
      <w:keepNext w:val="0"/>
      <w:keepLines w:val="0"/>
      <w:widowControl/>
      <w:spacing w:before="120" w:after="0" w:line="360" w:lineRule="auto"/>
      <w:ind w:firstLineChars="177" w:firstLine="425"/>
      <w:jc w:val="center"/>
      <w:outlineLvl w:val="9"/>
    </w:pPr>
    <w:rPr>
      <w:rFonts w:ascii="黑体" w:eastAsia="黑体"/>
      <w:b w:val="0"/>
      <w:bCs w:val="0"/>
      <w:kern w:val="0"/>
      <w:sz w:val="24"/>
      <w:szCs w:val="21"/>
    </w:rPr>
  </w:style>
  <w:style w:type="paragraph" w:customStyle="1" w:styleId="3H3l3CT3h33rdlevelHeading3-oldISO2sect11">
    <w:name w:val="样式 标题 3H3l3CT标题 3(节)h33rd levelHeading 3 - oldISO2sect1...1"/>
    <w:basedOn w:val="30"/>
    <w:next w:val="a1"/>
    <w:autoRedefine/>
    <w:uiPriority w:val="99"/>
    <w:qFormat/>
    <w:rsid w:val="002A5A5E"/>
    <w:pPr>
      <w:tabs>
        <w:tab w:val="left" w:pos="720"/>
      </w:tabs>
      <w:adjustRightInd w:val="0"/>
      <w:spacing w:before="100" w:after="0" w:line="360" w:lineRule="auto"/>
      <w:jc w:val="left"/>
    </w:pPr>
    <w:rPr>
      <w:rFonts w:ascii="Times New Roman" w:hAnsi="Times New Roman"/>
      <w:kern w:val="0"/>
      <w:sz w:val="28"/>
      <w:szCs w:val="20"/>
    </w:rPr>
  </w:style>
  <w:style w:type="paragraph" w:customStyle="1" w:styleId="affffff9">
    <w:name w:val="悬挂式正文"/>
    <w:basedOn w:val="10"/>
    <w:next w:val="a1"/>
    <w:autoRedefine/>
    <w:uiPriority w:val="99"/>
    <w:qFormat/>
    <w:rsid w:val="002A5A5E"/>
    <w:pPr>
      <w:keepNext w:val="0"/>
      <w:keepLines w:val="0"/>
      <w:tabs>
        <w:tab w:val="center" w:pos="6804"/>
        <w:tab w:val="right" w:pos="7371"/>
      </w:tabs>
      <w:overflowPunct w:val="0"/>
      <w:adjustRightInd w:val="0"/>
      <w:spacing w:before="0" w:after="0" w:line="360" w:lineRule="auto"/>
      <w:ind w:left="1701" w:firstLineChars="177" w:hanging="1134"/>
      <w:outlineLvl w:val="9"/>
    </w:pPr>
    <w:rPr>
      <w:b w:val="0"/>
      <w:bCs w:val="0"/>
      <w:kern w:val="0"/>
      <w:sz w:val="28"/>
      <w:szCs w:val="20"/>
    </w:rPr>
  </w:style>
  <w:style w:type="paragraph" w:customStyle="1" w:styleId="affffffa">
    <w:name w:val="表格名称"/>
    <w:basedOn w:val="10"/>
    <w:next w:val="a1"/>
    <w:autoRedefine/>
    <w:uiPriority w:val="99"/>
    <w:qFormat/>
    <w:rsid w:val="002A5A5E"/>
    <w:pPr>
      <w:tabs>
        <w:tab w:val="left" w:pos="720"/>
      </w:tabs>
      <w:spacing w:beforeLines="20" w:after="0" w:line="440" w:lineRule="exact"/>
      <w:ind w:firstLineChars="177" w:firstLine="480"/>
      <w:outlineLvl w:val="9"/>
    </w:pPr>
    <w:rPr>
      <w:rFonts w:eastAsia="黑体"/>
      <w:b w:val="0"/>
      <w:bCs w:val="0"/>
      <w:kern w:val="2"/>
      <w:sz w:val="24"/>
      <w:szCs w:val="20"/>
    </w:rPr>
  </w:style>
  <w:style w:type="paragraph" w:customStyle="1" w:styleId="xl45">
    <w:name w:val="xl45"/>
    <w:basedOn w:val="10"/>
    <w:next w:val="a1"/>
    <w:autoRedefine/>
    <w:uiPriority w:val="99"/>
    <w:qFormat/>
    <w:rsid w:val="002A5A5E"/>
    <w:pPr>
      <w:keepNext w:val="0"/>
      <w:keepLines w:val="0"/>
      <w:widowControl/>
      <w:pBdr>
        <w:top w:val="single" w:sz="8" w:space="0" w:color="auto"/>
        <w:left w:val="single" w:sz="8" w:space="0" w:color="auto"/>
        <w:right w:val="single" w:sz="12" w:space="0" w:color="auto"/>
      </w:pBdr>
      <w:spacing w:before="100" w:beforeAutospacing="1" w:after="100" w:afterAutospacing="1" w:line="500" w:lineRule="atLeast"/>
      <w:ind w:firstLineChars="177" w:firstLine="425"/>
      <w:jc w:val="center"/>
      <w:outlineLvl w:val="9"/>
    </w:pPr>
    <w:rPr>
      <w:b w:val="0"/>
      <w:bCs w:val="0"/>
      <w:color w:val="000000"/>
      <w:kern w:val="0"/>
      <w:sz w:val="24"/>
      <w:szCs w:val="21"/>
    </w:rPr>
  </w:style>
  <w:style w:type="paragraph" w:customStyle="1" w:styleId="07720">
    <w:name w:val="样式 首行缩进:  0.77 厘米 行距: 固定值 20 磅"/>
    <w:basedOn w:val="10"/>
    <w:next w:val="a1"/>
    <w:autoRedefine/>
    <w:uiPriority w:val="99"/>
    <w:qFormat/>
    <w:rsid w:val="002A5A5E"/>
    <w:pPr>
      <w:keepNext w:val="0"/>
      <w:keepLines w:val="0"/>
      <w:spacing w:before="0" w:after="0" w:line="360" w:lineRule="auto"/>
      <w:ind w:firstLineChars="177" w:firstLine="435"/>
      <w:outlineLvl w:val="9"/>
    </w:pPr>
    <w:rPr>
      <w:b w:val="0"/>
      <w:bCs w:val="0"/>
      <w:kern w:val="2"/>
      <w:sz w:val="24"/>
      <w:szCs w:val="20"/>
    </w:rPr>
  </w:style>
  <w:style w:type="character" w:customStyle="1" w:styleId="ltextChar">
    <w:name w:val="l_text Char"/>
    <w:link w:val="ltext"/>
    <w:qFormat/>
    <w:locked/>
    <w:rsid w:val="002A5A5E"/>
    <w:rPr>
      <w:rFonts w:ascii="宋体" w:eastAsia="宋体" w:hAnsi="宋体"/>
      <w:sz w:val="28"/>
      <w:szCs w:val="28"/>
      <w:lang w:val="en-GB"/>
    </w:rPr>
  </w:style>
  <w:style w:type="paragraph" w:customStyle="1" w:styleId="ltext">
    <w:name w:val="l_text"/>
    <w:basedOn w:val="10"/>
    <w:next w:val="a1"/>
    <w:link w:val="ltextChar"/>
    <w:autoRedefine/>
    <w:qFormat/>
    <w:rsid w:val="002A5A5E"/>
    <w:pPr>
      <w:keepNext w:val="0"/>
      <w:keepLines w:val="0"/>
      <w:widowControl/>
      <w:overflowPunct w:val="0"/>
      <w:autoSpaceDE w:val="0"/>
      <w:autoSpaceDN w:val="0"/>
      <w:adjustRightInd w:val="0"/>
      <w:spacing w:before="0" w:after="0" w:line="480" w:lineRule="exact"/>
      <w:ind w:firstLineChars="177" w:firstLine="567"/>
      <w:outlineLvl w:val="9"/>
    </w:pPr>
    <w:rPr>
      <w:rFonts w:ascii="宋体" w:hAnsi="宋体" w:cstheme="minorBidi"/>
      <w:b w:val="0"/>
      <w:bCs w:val="0"/>
      <w:kern w:val="2"/>
      <w:sz w:val="28"/>
      <w:szCs w:val="28"/>
      <w:lang w:val="en-GB"/>
    </w:rPr>
  </w:style>
  <w:style w:type="paragraph" w:customStyle="1" w:styleId="affffffb">
    <w:name w:val="一级条标题"/>
    <w:basedOn w:val="10"/>
    <w:next w:val="a1"/>
    <w:autoRedefine/>
    <w:uiPriority w:val="99"/>
    <w:qFormat/>
    <w:rsid w:val="002A5A5E"/>
    <w:pPr>
      <w:keepNext w:val="0"/>
      <w:keepLines w:val="0"/>
      <w:widowControl/>
      <w:tabs>
        <w:tab w:val="left" w:pos="360"/>
      </w:tabs>
      <w:spacing w:before="0" w:after="0" w:line="500" w:lineRule="atLeast"/>
      <w:ind w:left="360" w:hangingChars="200" w:hanging="360"/>
      <w:outlineLvl w:val="2"/>
    </w:pPr>
    <w:rPr>
      <w:rFonts w:ascii="黑体" w:eastAsia="黑体"/>
      <w:b w:val="0"/>
      <w:bCs w:val="0"/>
      <w:kern w:val="0"/>
      <w:sz w:val="24"/>
      <w:szCs w:val="20"/>
    </w:rPr>
  </w:style>
  <w:style w:type="paragraph" w:customStyle="1" w:styleId="73">
    <w:name w:val="7"/>
    <w:basedOn w:val="10"/>
    <w:next w:val="ac"/>
    <w:autoRedefine/>
    <w:uiPriority w:val="99"/>
    <w:qFormat/>
    <w:rsid w:val="002A5A5E"/>
    <w:pPr>
      <w:keepNext w:val="0"/>
      <w:keepLines w:val="0"/>
      <w:spacing w:before="0" w:after="0" w:line="400" w:lineRule="exact"/>
      <w:ind w:firstLineChars="215" w:firstLine="516"/>
      <w:outlineLvl w:val="9"/>
    </w:pPr>
    <w:rPr>
      <w:b w:val="0"/>
      <w:bCs w:val="0"/>
      <w:kern w:val="2"/>
      <w:sz w:val="24"/>
      <w:szCs w:val="24"/>
    </w:rPr>
  </w:style>
  <w:style w:type="paragraph" w:customStyle="1" w:styleId="1f4">
    <w:name w:val="图标1"/>
    <w:next w:val="a1"/>
    <w:autoRedefine/>
    <w:uiPriority w:val="99"/>
    <w:qFormat/>
    <w:rsid w:val="002A5A5E"/>
    <w:pPr>
      <w:spacing w:line="0" w:lineRule="atLeast"/>
      <w:jc w:val="center"/>
    </w:pPr>
    <w:rPr>
      <w:rFonts w:ascii="Times New Roman" w:eastAsia="宋体" w:hAnsi="Times New Roman" w:cs="Times New Roman"/>
      <w:kern w:val="2"/>
      <w:sz w:val="21"/>
    </w:rPr>
  </w:style>
  <w:style w:type="paragraph" w:customStyle="1" w:styleId="EIA3">
    <w:name w:val="EIA标题3"/>
    <w:basedOn w:val="30"/>
    <w:next w:val="a1"/>
    <w:autoRedefine/>
    <w:uiPriority w:val="99"/>
    <w:qFormat/>
    <w:rsid w:val="002A5A5E"/>
    <w:pPr>
      <w:tabs>
        <w:tab w:val="left" w:pos="720"/>
      </w:tabs>
      <w:spacing w:beforeLines="50" w:afterLines="50" w:line="440" w:lineRule="exact"/>
    </w:pPr>
    <w:rPr>
      <w:rFonts w:ascii="Times New Roman" w:eastAsia="楷体_GB2312" w:hAnsi="Times New Roman" w:cs="Times New Roman"/>
      <w:b/>
      <w:color w:val="000000"/>
      <w:kern w:val="0"/>
      <w:sz w:val="24"/>
      <w:szCs w:val="20"/>
    </w:rPr>
  </w:style>
  <w:style w:type="paragraph" w:customStyle="1" w:styleId="affffffc">
    <w:name w:val="法规列表"/>
    <w:basedOn w:val="10"/>
    <w:next w:val="a1"/>
    <w:autoRedefine/>
    <w:uiPriority w:val="99"/>
    <w:qFormat/>
    <w:rsid w:val="002A5A5E"/>
    <w:pPr>
      <w:keepNext w:val="0"/>
      <w:keepLines w:val="0"/>
      <w:tabs>
        <w:tab w:val="left" w:pos="420"/>
      </w:tabs>
      <w:spacing w:beforeLines="50" w:after="0" w:line="500" w:lineRule="atLeast"/>
      <w:ind w:left="432" w:firstLineChars="177" w:hanging="432"/>
      <w:outlineLvl w:val="9"/>
    </w:pPr>
    <w:rPr>
      <w:rFonts w:eastAsia="FangSong_GB2312"/>
      <w:b w:val="0"/>
      <w:bCs w:val="0"/>
      <w:kern w:val="2"/>
      <w:sz w:val="24"/>
      <w:szCs w:val="20"/>
    </w:rPr>
  </w:style>
  <w:style w:type="paragraph" w:customStyle="1" w:styleId="affffffd">
    <w:name w:val="个人情况"/>
    <w:basedOn w:val="ab"/>
    <w:next w:val="a1"/>
    <w:autoRedefine/>
    <w:uiPriority w:val="99"/>
    <w:qFormat/>
    <w:rsid w:val="002A5A5E"/>
    <w:pPr>
      <w:widowControl/>
      <w:overflowPunct w:val="0"/>
      <w:autoSpaceDE w:val="0"/>
      <w:autoSpaceDN w:val="0"/>
      <w:adjustRightInd w:val="0"/>
      <w:spacing w:after="160"/>
      <w:ind w:firstLineChars="177" w:firstLine="425"/>
      <w:jc w:val="left"/>
    </w:pPr>
    <w:rPr>
      <w:rFonts w:hAnsiTheme="minorHAnsi" w:cstheme="minorBidi" w:hint="eastAsia"/>
      <w:sz w:val="20"/>
      <w:szCs w:val="20"/>
    </w:rPr>
  </w:style>
  <w:style w:type="paragraph" w:customStyle="1" w:styleId="affffffe">
    <w:name w:val="河石管道 表格正文"/>
    <w:next w:val="a1"/>
    <w:autoRedefine/>
    <w:uiPriority w:val="99"/>
    <w:qFormat/>
    <w:rsid w:val="002A5A5E"/>
    <w:pPr>
      <w:jc w:val="center"/>
    </w:pPr>
    <w:rPr>
      <w:rFonts w:ascii="Times New Roman" w:eastAsia="宋体" w:hAnsi="Times New Roman" w:cs="Times New Roman"/>
      <w:kern w:val="2"/>
      <w:sz w:val="18"/>
      <w:szCs w:val="21"/>
    </w:rPr>
  </w:style>
  <w:style w:type="paragraph" w:customStyle="1" w:styleId="xl48">
    <w:name w:val="xl48"/>
    <w:basedOn w:val="10"/>
    <w:next w:val="a1"/>
    <w:autoRedefine/>
    <w:uiPriority w:val="99"/>
    <w:qFormat/>
    <w:rsid w:val="002A5A5E"/>
    <w:pPr>
      <w:keepNext w:val="0"/>
      <w:keepLines w:val="0"/>
      <w:widowControl/>
      <w:pBdr>
        <w:top w:val="single" w:sz="8" w:space="0" w:color="auto"/>
        <w:left w:val="single" w:sz="8" w:space="0" w:color="auto"/>
        <w:right w:val="single" w:sz="8" w:space="0" w:color="auto"/>
      </w:pBdr>
      <w:spacing w:before="100" w:beforeAutospacing="1" w:after="100" w:afterAutospacing="1" w:line="500" w:lineRule="atLeast"/>
      <w:ind w:firstLineChars="177" w:firstLine="425"/>
      <w:jc w:val="center"/>
      <w:outlineLvl w:val="9"/>
    </w:pPr>
    <w:rPr>
      <w:b w:val="0"/>
      <w:bCs w:val="0"/>
      <w:color w:val="000000"/>
      <w:kern w:val="0"/>
      <w:sz w:val="24"/>
      <w:szCs w:val="21"/>
    </w:rPr>
  </w:style>
  <w:style w:type="paragraph" w:customStyle="1" w:styleId="afffffff">
    <w:name w:val="正文缩近"/>
    <w:basedOn w:val="10"/>
    <w:next w:val="a1"/>
    <w:autoRedefine/>
    <w:uiPriority w:val="99"/>
    <w:qFormat/>
    <w:rsid w:val="002A5A5E"/>
    <w:pPr>
      <w:keepNext w:val="0"/>
      <w:keepLines w:val="0"/>
      <w:spacing w:before="0" w:after="0" w:line="360" w:lineRule="auto"/>
      <w:ind w:firstLineChars="200" w:firstLine="560"/>
      <w:outlineLvl w:val="9"/>
    </w:pPr>
    <w:rPr>
      <w:b w:val="0"/>
      <w:bCs w:val="0"/>
      <w:kern w:val="2"/>
      <w:sz w:val="28"/>
      <w:szCs w:val="28"/>
    </w:rPr>
  </w:style>
  <w:style w:type="paragraph" w:customStyle="1" w:styleId="font10">
    <w:name w:val="font10"/>
    <w:basedOn w:val="10"/>
    <w:next w:val="a1"/>
    <w:autoRedefine/>
    <w:qFormat/>
    <w:rsid w:val="002A5A5E"/>
    <w:pPr>
      <w:keepNext w:val="0"/>
      <w:keepLines w:val="0"/>
      <w:widowControl/>
      <w:spacing w:before="100" w:beforeAutospacing="1" w:after="100" w:afterAutospacing="1" w:line="500" w:lineRule="atLeast"/>
      <w:ind w:firstLineChars="177" w:firstLine="425"/>
      <w:jc w:val="left"/>
      <w:outlineLvl w:val="9"/>
    </w:pPr>
    <w:rPr>
      <w:rFonts w:ascii="Symbol" w:hAnsi="Symbol" w:cs="宋体"/>
      <w:b w:val="0"/>
      <w:bCs w:val="0"/>
      <w:color w:val="000000"/>
      <w:kern w:val="0"/>
      <w:sz w:val="24"/>
      <w:szCs w:val="21"/>
    </w:rPr>
  </w:style>
  <w:style w:type="paragraph" w:customStyle="1" w:styleId="xl34">
    <w:name w:val="xl34"/>
    <w:basedOn w:val="10"/>
    <w:next w:val="a1"/>
    <w:autoRedefine/>
    <w:uiPriority w:val="99"/>
    <w:qFormat/>
    <w:rsid w:val="002A5A5E"/>
    <w:pPr>
      <w:keepNext w:val="0"/>
      <w:keepLines w:val="0"/>
      <w:widowControl/>
      <w:pBdr>
        <w:bottom w:val="single" w:sz="4" w:space="0" w:color="auto"/>
        <w:right w:val="single" w:sz="4" w:space="0" w:color="auto"/>
      </w:pBdr>
      <w:spacing w:before="100" w:beforeAutospacing="1" w:after="100" w:afterAutospacing="1" w:line="500" w:lineRule="atLeast"/>
      <w:ind w:firstLineChars="177" w:firstLine="425"/>
      <w:jc w:val="center"/>
      <w:outlineLvl w:val="9"/>
    </w:pPr>
    <w:rPr>
      <w:rFonts w:ascii="楷体_GB2312" w:eastAsia="楷体_GB2312" w:hAnsi="Arial Unicode MS"/>
      <w:b w:val="0"/>
      <w:bCs w:val="0"/>
      <w:kern w:val="0"/>
      <w:sz w:val="24"/>
      <w:szCs w:val="24"/>
    </w:rPr>
  </w:style>
  <w:style w:type="paragraph" w:customStyle="1" w:styleId="xl31">
    <w:name w:val="xl31"/>
    <w:basedOn w:val="10"/>
    <w:next w:val="a1"/>
    <w:autoRedefine/>
    <w:uiPriority w:val="99"/>
    <w:qFormat/>
    <w:rsid w:val="002A5A5E"/>
    <w:pPr>
      <w:keepNext w:val="0"/>
      <w:keepLines w:val="0"/>
      <w:widowControl/>
      <w:pBdr>
        <w:bottom w:val="single" w:sz="12" w:space="0" w:color="auto"/>
        <w:right w:val="single" w:sz="8" w:space="0" w:color="auto"/>
      </w:pBdr>
      <w:spacing w:before="100" w:beforeAutospacing="1" w:after="100" w:afterAutospacing="1" w:line="500" w:lineRule="atLeast"/>
      <w:ind w:firstLineChars="177" w:firstLine="425"/>
      <w:jc w:val="center"/>
      <w:outlineLvl w:val="9"/>
    </w:pPr>
    <w:rPr>
      <w:b w:val="0"/>
      <w:bCs w:val="0"/>
      <w:color w:val="000000"/>
      <w:kern w:val="0"/>
      <w:sz w:val="24"/>
      <w:szCs w:val="21"/>
    </w:rPr>
  </w:style>
  <w:style w:type="paragraph" w:customStyle="1" w:styleId="afffffff0">
    <w:name w:val="图表名称"/>
    <w:basedOn w:val="10"/>
    <w:next w:val="a1"/>
    <w:autoRedefine/>
    <w:uiPriority w:val="99"/>
    <w:qFormat/>
    <w:rsid w:val="002A5A5E"/>
    <w:pPr>
      <w:keepNext w:val="0"/>
      <w:keepLines w:val="0"/>
      <w:spacing w:beforeLines="50" w:after="0" w:line="400" w:lineRule="exact"/>
      <w:ind w:firstLineChars="177" w:firstLine="471"/>
      <w:jc w:val="center"/>
      <w:outlineLvl w:val="9"/>
    </w:pPr>
    <w:rPr>
      <w:rFonts w:ascii="宋体" w:eastAsia="黑体" w:hAnsi="宋体"/>
      <w:b w:val="0"/>
      <w:bCs w:val="0"/>
      <w:kern w:val="2"/>
      <w:sz w:val="24"/>
      <w:szCs w:val="24"/>
    </w:rPr>
  </w:style>
  <w:style w:type="paragraph" w:customStyle="1" w:styleId="afffffff1">
    <w:name w:val="单元格"/>
    <w:basedOn w:val="10"/>
    <w:next w:val="a1"/>
    <w:autoRedefine/>
    <w:uiPriority w:val="99"/>
    <w:qFormat/>
    <w:rsid w:val="002A5A5E"/>
    <w:pPr>
      <w:keepNext w:val="0"/>
      <w:keepLines w:val="0"/>
      <w:spacing w:before="0" w:after="0" w:line="500" w:lineRule="atLeast"/>
      <w:ind w:firstLineChars="177" w:firstLine="425"/>
      <w:jc w:val="center"/>
      <w:outlineLvl w:val="9"/>
    </w:pPr>
    <w:rPr>
      <w:rFonts w:ascii="楷体_GB2312" w:eastAsia="楷体_GB2312"/>
      <w:b w:val="0"/>
      <w:bCs w:val="0"/>
      <w:kern w:val="2"/>
      <w:sz w:val="24"/>
      <w:szCs w:val="20"/>
    </w:rPr>
  </w:style>
  <w:style w:type="paragraph" w:customStyle="1" w:styleId="DefaultParagraphFontParaCharCharChar">
    <w:name w:val="Default Paragraph Font Para Char Char Char"/>
    <w:basedOn w:val="10"/>
    <w:next w:val="a1"/>
    <w:autoRedefine/>
    <w:uiPriority w:val="99"/>
    <w:qFormat/>
    <w:rsid w:val="002A5A5E"/>
    <w:pPr>
      <w:keepNext w:val="0"/>
      <w:keepLines w:val="0"/>
      <w:widowControl/>
      <w:spacing w:before="0" w:after="160" w:line="240" w:lineRule="exact"/>
      <w:ind w:firstLineChars="177" w:firstLine="425"/>
      <w:jc w:val="left"/>
      <w:outlineLvl w:val="9"/>
    </w:pPr>
    <w:rPr>
      <w:rFonts w:ascii="Arial" w:hAnsi="Arial"/>
      <w:b w:val="0"/>
      <w:bCs w:val="0"/>
      <w:kern w:val="2"/>
      <w:sz w:val="24"/>
      <w:szCs w:val="24"/>
    </w:rPr>
  </w:style>
  <w:style w:type="paragraph" w:customStyle="1" w:styleId="font8">
    <w:name w:val="font8"/>
    <w:basedOn w:val="10"/>
    <w:next w:val="a1"/>
    <w:autoRedefine/>
    <w:qFormat/>
    <w:rsid w:val="002A5A5E"/>
    <w:pPr>
      <w:keepNext w:val="0"/>
      <w:keepLines w:val="0"/>
      <w:widowControl/>
      <w:spacing w:before="100" w:beforeAutospacing="1" w:after="100" w:afterAutospacing="1" w:line="500" w:lineRule="atLeast"/>
      <w:ind w:firstLineChars="177" w:firstLine="425"/>
      <w:jc w:val="left"/>
      <w:outlineLvl w:val="9"/>
    </w:pPr>
    <w:rPr>
      <w:b w:val="0"/>
      <w:bCs w:val="0"/>
      <w:color w:val="000000"/>
      <w:kern w:val="0"/>
      <w:sz w:val="24"/>
      <w:szCs w:val="21"/>
    </w:rPr>
  </w:style>
  <w:style w:type="paragraph" w:customStyle="1" w:styleId="1520">
    <w:name w:val="样式 日期 + 宋体 行距: 1.5 倍行距2"/>
    <w:basedOn w:val="af"/>
    <w:next w:val="a1"/>
    <w:autoRedefine/>
    <w:uiPriority w:val="99"/>
    <w:qFormat/>
    <w:rsid w:val="002A5A5E"/>
    <w:pPr>
      <w:widowControl/>
      <w:overflowPunct w:val="0"/>
      <w:autoSpaceDE w:val="0"/>
      <w:autoSpaceDN w:val="0"/>
      <w:adjustRightInd w:val="0"/>
      <w:spacing w:line="480" w:lineRule="exact"/>
      <w:ind w:leftChars="0" w:left="0" w:firstLineChars="177" w:firstLine="425"/>
    </w:pPr>
    <w:rPr>
      <w:rFonts w:ascii="宋体" w:hAnsi="宋体" w:cs="宋体"/>
      <w:color w:val="000000"/>
      <w:kern w:val="0"/>
      <w:sz w:val="28"/>
      <w:szCs w:val="20"/>
      <w:lang w:val="en-GB"/>
    </w:rPr>
  </w:style>
  <w:style w:type="paragraph" w:customStyle="1" w:styleId="afffffff2">
    <w:name w:val="表体"/>
    <w:basedOn w:val="afff"/>
    <w:next w:val="a1"/>
    <w:autoRedefine/>
    <w:uiPriority w:val="99"/>
    <w:qFormat/>
    <w:rsid w:val="002A5A5E"/>
    <w:pPr>
      <w:overflowPunct w:val="0"/>
      <w:spacing w:line="360" w:lineRule="exact"/>
      <w:ind w:left="-57" w:right="-57"/>
    </w:pPr>
    <w:rPr>
      <w:color w:val="000080"/>
      <w:kern w:val="24"/>
      <w:szCs w:val="20"/>
    </w:rPr>
  </w:style>
  <w:style w:type="paragraph" w:customStyle="1" w:styleId="085">
    <w:name w:val="样式 样式表格 + 首行缩进:  0.85 厘米"/>
    <w:basedOn w:val="afffff5"/>
    <w:next w:val="a1"/>
    <w:autoRedefine/>
    <w:uiPriority w:val="99"/>
    <w:qFormat/>
    <w:rsid w:val="002A5A5E"/>
    <w:pPr>
      <w:spacing w:line="320" w:lineRule="exact"/>
    </w:pPr>
    <w:rPr>
      <w:rFonts w:cs="宋体"/>
      <w:szCs w:val="20"/>
    </w:rPr>
  </w:style>
  <w:style w:type="paragraph" w:customStyle="1" w:styleId="y0">
    <w:name w:val="y表头"/>
    <w:basedOn w:val="ab"/>
    <w:next w:val="a1"/>
    <w:autoRedefine/>
    <w:uiPriority w:val="99"/>
    <w:qFormat/>
    <w:rsid w:val="002A5A5E"/>
    <w:pPr>
      <w:tabs>
        <w:tab w:val="left" w:pos="900"/>
      </w:tabs>
      <w:adjustRightInd w:val="0"/>
      <w:spacing w:after="0"/>
      <w:ind w:firstLineChars="177" w:firstLine="425"/>
      <w:jc w:val="center"/>
    </w:pPr>
    <w:rPr>
      <w:rFonts w:ascii="宋体" w:eastAsia="楷体_GB2312" w:hAnsi="宋体" w:cstheme="minorBidi" w:hint="eastAsia"/>
      <w:b/>
      <w:sz w:val="24"/>
      <w:szCs w:val="20"/>
    </w:rPr>
  </w:style>
  <w:style w:type="paragraph" w:customStyle="1" w:styleId="xl32">
    <w:name w:val="xl32"/>
    <w:basedOn w:val="10"/>
    <w:next w:val="a1"/>
    <w:autoRedefine/>
    <w:uiPriority w:val="99"/>
    <w:qFormat/>
    <w:rsid w:val="002A5A5E"/>
    <w:pPr>
      <w:keepNext w:val="0"/>
      <w:keepLines w:val="0"/>
      <w:widowControl/>
      <w:pBdr>
        <w:top w:val="single" w:sz="12" w:space="0" w:color="auto"/>
        <w:right w:val="single" w:sz="8" w:space="0" w:color="auto"/>
      </w:pBdr>
      <w:spacing w:before="100" w:beforeAutospacing="1" w:after="100" w:afterAutospacing="1" w:line="500" w:lineRule="atLeast"/>
      <w:ind w:firstLineChars="177" w:firstLine="425"/>
      <w:jc w:val="center"/>
      <w:outlineLvl w:val="9"/>
    </w:pPr>
    <w:rPr>
      <w:rFonts w:ascii="宋体" w:hAnsi="宋体" w:cs="宋体"/>
      <w:b w:val="0"/>
      <w:bCs w:val="0"/>
      <w:color w:val="000000"/>
      <w:kern w:val="0"/>
      <w:sz w:val="24"/>
      <w:szCs w:val="21"/>
    </w:rPr>
  </w:style>
  <w:style w:type="paragraph" w:customStyle="1" w:styleId="yz">
    <w:name w:val="yz"/>
    <w:basedOn w:val="ab"/>
    <w:next w:val="a1"/>
    <w:autoRedefine/>
    <w:uiPriority w:val="99"/>
    <w:qFormat/>
    <w:rsid w:val="002A5A5E"/>
    <w:pPr>
      <w:tabs>
        <w:tab w:val="left" w:pos="900"/>
      </w:tabs>
      <w:adjustRightInd w:val="0"/>
      <w:spacing w:after="0"/>
      <w:ind w:firstLineChars="200" w:firstLine="200"/>
    </w:pPr>
    <w:rPr>
      <w:rFonts w:ascii="宋体" w:hAnsi="宋体" w:cstheme="minorBidi" w:hint="eastAsia"/>
      <w:sz w:val="24"/>
      <w:szCs w:val="20"/>
    </w:rPr>
  </w:style>
  <w:style w:type="paragraph" w:customStyle="1" w:styleId="1f5">
    <w:name w:val="图表目录1"/>
    <w:basedOn w:val="15"/>
    <w:next w:val="15"/>
    <w:autoRedefine/>
    <w:uiPriority w:val="99"/>
    <w:qFormat/>
    <w:rsid w:val="002A5A5E"/>
    <w:pPr>
      <w:tabs>
        <w:tab w:val="right" w:leader="dot" w:pos="8051"/>
      </w:tabs>
      <w:ind w:left="840" w:hanging="840"/>
    </w:pPr>
    <w:rPr>
      <w:rFonts w:hAnsi="Calibri"/>
      <w:szCs w:val="20"/>
    </w:rPr>
  </w:style>
  <w:style w:type="character" w:customStyle="1" w:styleId="001Char1">
    <w:name w:val="正文001 Char1"/>
    <w:link w:val="001"/>
    <w:qFormat/>
    <w:locked/>
    <w:rsid w:val="002A5A5E"/>
    <w:rPr>
      <w:rFonts w:ascii="Arial" w:hAnsi="Arial" w:cs="Arial"/>
      <w:sz w:val="24"/>
    </w:rPr>
  </w:style>
  <w:style w:type="paragraph" w:customStyle="1" w:styleId="001">
    <w:name w:val="正文001"/>
    <w:basedOn w:val="10"/>
    <w:next w:val="a1"/>
    <w:link w:val="001Char1"/>
    <w:autoRedefine/>
    <w:qFormat/>
    <w:rsid w:val="002A5A5E"/>
    <w:pPr>
      <w:keepNext w:val="0"/>
      <w:keepLines w:val="0"/>
      <w:spacing w:before="60" w:after="0" w:line="360" w:lineRule="auto"/>
      <w:ind w:firstLineChars="200" w:firstLine="200"/>
      <w:outlineLvl w:val="9"/>
    </w:pPr>
    <w:rPr>
      <w:rFonts w:ascii="Arial" w:eastAsiaTheme="minorEastAsia" w:hAnsi="Arial" w:cs="Arial"/>
      <w:b w:val="0"/>
      <w:bCs w:val="0"/>
      <w:kern w:val="2"/>
      <w:sz w:val="24"/>
      <w:szCs w:val="22"/>
    </w:rPr>
  </w:style>
  <w:style w:type="paragraph" w:customStyle="1" w:styleId="xl28">
    <w:name w:val="xl28"/>
    <w:basedOn w:val="10"/>
    <w:next w:val="a1"/>
    <w:autoRedefine/>
    <w:uiPriority w:val="99"/>
    <w:qFormat/>
    <w:rsid w:val="002A5A5E"/>
    <w:pPr>
      <w:keepNext w:val="0"/>
      <w:keepLines w:val="0"/>
      <w:widowControl/>
      <w:pBdr>
        <w:bottom w:val="single" w:sz="8" w:space="0" w:color="auto"/>
        <w:right w:val="single" w:sz="8" w:space="0" w:color="auto"/>
      </w:pBdr>
      <w:spacing w:before="100" w:beforeAutospacing="1" w:after="100" w:afterAutospacing="1" w:line="500" w:lineRule="atLeast"/>
      <w:ind w:firstLineChars="177" w:firstLine="425"/>
      <w:jc w:val="center"/>
      <w:outlineLvl w:val="9"/>
    </w:pPr>
    <w:rPr>
      <w:rFonts w:ascii="宋体" w:hAnsi="宋体" w:cs="宋体"/>
      <w:b w:val="0"/>
      <w:bCs w:val="0"/>
      <w:color w:val="000000"/>
      <w:kern w:val="0"/>
      <w:sz w:val="24"/>
      <w:szCs w:val="21"/>
    </w:rPr>
  </w:style>
  <w:style w:type="paragraph" w:customStyle="1" w:styleId="Charff5">
    <w:name w:val="表 头 Char"/>
    <w:basedOn w:val="10"/>
    <w:next w:val="a1"/>
    <w:autoRedefine/>
    <w:uiPriority w:val="99"/>
    <w:qFormat/>
    <w:rsid w:val="002A5A5E"/>
    <w:pPr>
      <w:keepNext w:val="0"/>
      <w:keepLines w:val="0"/>
      <w:adjustRightInd w:val="0"/>
      <w:spacing w:before="120" w:after="120" w:line="360" w:lineRule="atLeast"/>
      <w:ind w:firstLineChars="177" w:firstLine="425"/>
      <w:jc w:val="center"/>
      <w:outlineLvl w:val="9"/>
    </w:pPr>
    <w:rPr>
      <w:rFonts w:eastAsia="黑体"/>
      <w:b w:val="0"/>
      <w:bCs w:val="0"/>
      <w:spacing w:val="10"/>
      <w:kern w:val="0"/>
      <w:sz w:val="24"/>
      <w:szCs w:val="20"/>
    </w:rPr>
  </w:style>
  <w:style w:type="paragraph" w:customStyle="1" w:styleId="67">
    <w:name w:val="6"/>
    <w:basedOn w:val="10"/>
    <w:next w:val="ac"/>
    <w:link w:val="6Char0"/>
    <w:autoRedefine/>
    <w:qFormat/>
    <w:rsid w:val="002A5A5E"/>
    <w:pPr>
      <w:keepNext w:val="0"/>
      <w:keepLines w:val="0"/>
      <w:spacing w:before="0" w:after="0" w:line="400" w:lineRule="exact"/>
      <w:ind w:firstLineChars="215" w:firstLine="516"/>
      <w:outlineLvl w:val="9"/>
    </w:pPr>
    <w:rPr>
      <w:b w:val="0"/>
      <w:bCs w:val="0"/>
      <w:kern w:val="2"/>
      <w:sz w:val="24"/>
      <w:szCs w:val="24"/>
    </w:rPr>
  </w:style>
  <w:style w:type="character" w:customStyle="1" w:styleId="cucd-TBChar">
    <w:name w:val="cucd-TB Char"/>
    <w:link w:val="cucd-TB"/>
    <w:qFormat/>
    <w:locked/>
    <w:rsid w:val="002A5A5E"/>
    <w:rPr>
      <w:szCs w:val="24"/>
    </w:rPr>
  </w:style>
  <w:style w:type="paragraph" w:customStyle="1" w:styleId="cucd-TB">
    <w:name w:val="cucd-TB"/>
    <w:next w:val="a1"/>
    <w:link w:val="cucd-TBChar"/>
    <w:autoRedefine/>
    <w:qFormat/>
    <w:rsid w:val="002A5A5E"/>
    <w:pPr>
      <w:spacing w:line="360" w:lineRule="auto"/>
      <w:jc w:val="center"/>
    </w:pPr>
    <w:rPr>
      <w:kern w:val="2"/>
      <w:sz w:val="21"/>
      <w:szCs w:val="24"/>
    </w:rPr>
  </w:style>
  <w:style w:type="paragraph" w:customStyle="1" w:styleId="afffffff3">
    <w:name w:val="标准条文"/>
    <w:basedOn w:val="Default"/>
    <w:next w:val="Default"/>
    <w:autoRedefine/>
    <w:uiPriority w:val="99"/>
    <w:qFormat/>
    <w:rsid w:val="002A5A5E"/>
    <w:rPr>
      <w:rFonts w:hAnsi="Calibri" w:cs="Times New Roman"/>
      <w:color w:val="auto"/>
    </w:rPr>
  </w:style>
  <w:style w:type="paragraph" w:customStyle="1" w:styleId="ParaCharCharCharCharCharChar1CharCharCharChar">
    <w:name w:val="默认段落字体 Para Char Char Char Char Char Char1 Char Char Char Char"/>
    <w:basedOn w:val="10"/>
    <w:next w:val="a1"/>
    <w:autoRedefine/>
    <w:uiPriority w:val="99"/>
    <w:qFormat/>
    <w:rsid w:val="002A5A5E"/>
    <w:pPr>
      <w:keepNext w:val="0"/>
      <w:keepLines w:val="0"/>
      <w:snapToGrid w:val="0"/>
      <w:spacing w:before="0" w:after="0" w:line="360" w:lineRule="auto"/>
      <w:ind w:firstLineChars="200" w:firstLine="200"/>
      <w:outlineLvl w:val="9"/>
    </w:pPr>
    <w:rPr>
      <w:rFonts w:eastAsia="FangSong_GB2312"/>
      <w:b w:val="0"/>
      <w:bCs w:val="0"/>
      <w:kern w:val="2"/>
      <w:sz w:val="24"/>
      <w:szCs w:val="24"/>
    </w:rPr>
  </w:style>
  <w:style w:type="paragraph" w:customStyle="1" w:styleId="1f6">
    <w:name w:val="1文章"/>
    <w:basedOn w:val="10"/>
    <w:next w:val="a1"/>
    <w:autoRedefine/>
    <w:uiPriority w:val="99"/>
    <w:qFormat/>
    <w:rsid w:val="002A5A5E"/>
    <w:pPr>
      <w:keepNext w:val="0"/>
      <w:keepLines w:val="0"/>
      <w:snapToGrid w:val="0"/>
      <w:spacing w:before="0" w:after="0" w:line="420" w:lineRule="auto"/>
      <w:ind w:firstLineChars="177" w:firstLine="516"/>
      <w:outlineLvl w:val="9"/>
    </w:pPr>
    <w:rPr>
      <w:b w:val="0"/>
      <w:bCs w:val="0"/>
      <w:color w:val="000000"/>
      <w:kern w:val="2"/>
      <w:sz w:val="24"/>
      <w:szCs w:val="24"/>
    </w:rPr>
  </w:style>
  <w:style w:type="character" w:customStyle="1" w:styleId="cucd-TB-HeadChar">
    <w:name w:val="cucd-TB-Head Char"/>
    <w:link w:val="cucd-TB-Head"/>
    <w:qFormat/>
    <w:locked/>
    <w:rsid w:val="002A5A5E"/>
    <w:rPr>
      <w:rFonts w:ascii="宋体" w:eastAsia="黑体" w:hAnsi="宋体"/>
      <w:color w:val="548DD4"/>
      <w:sz w:val="24"/>
      <w:szCs w:val="21"/>
    </w:rPr>
  </w:style>
  <w:style w:type="paragraph" w:customStyle="1" w:styleId="cucd-TB-Head">
    <w:name w:val="cucd-TB-Head"/>
    <w:basedOn w:val="10"/>
    <w:next w:val="cucd-0"/>
    <w:link w:val="cucd-TB-HeadChar"/>
    <w:autoRedefine/>
    <w:qFormat/>
    <w:rsid w:val="002A5A5E"/>
    <w:pPr>
      <w:keepNext w:val="0"/>
      <w:keepLines w:val="0"/>
      <w:spacing w:before="120" w:after="0" w:line="360" w:lineRule="auto"/>
      <w:ind w:firstLineChars="177" w:firstLine="425"/>
      <w:jc w:val="center"/>
      <w:outlineLvl w:val="9"/>
    </w:pPr>
    <w:rPr>
      <w:rFonts w:ascii="宋体" w:eastAsia="黑体" w:hAnsi="宋体" w:cstheme="minorBidi"/>
      <w:b w:val="0"/>
      <w:bCs w:val="0"/>
      <w:color w:val="548DD4"/>
      <w:kern w:val="2"/>
      <w:sz w:val="24"/>
      <w:szCs w:val="21"/>
    </w:rPr>
  </w:style>
  <w:style w:type="character" w:customStyle="1" w:styleId="Char1d">
    <w:name w:val="表 头 Char1"/>
    <w:link w:val="afffffff4"/>
    <w:qFormat/>
    <w:locked/>
    <w:rsid w:val="002A5A5E"/>
    <w:rPr>
      <w:rFonts w:ascii="黑体" w:eastAsia="黑体" w:hAnsi="黑体"/>
      <w:spacing w:val="10"/>
      <w:sz w:val="24"/>
    </w:rPr>
  </w:style>
  <w:style w:type="paragraph" w:customStyle="1" w:styleId="afffffff4">
    <w:name w:val="表 头"/>
    <w:basedOn w:val="10"/>
    <w:next w:val="a1"/>
    <w:link w:val="Char1d"/>
    <w:autoRedefine/>
    <w:qFormat/>
    <w:rsid w:val="002A5A5E"/>
    <w:pPr>
      <w:keepNext w:val="0"/>
      <w:keepLines w:val="0"/>
      <w:adjustRightInd w:val="0"/>
      <w:spacing w:before="60" w:after="120" w:line="360" w:lineRule="atLeast"/>
      <w:ind w:firstLineChars="177" w:firstLine="425"/>
      <w:jc w:val="center"/>
      <w:outlineLvl w:val="9"/>
    </w:pPr>
    <w:rPr>
      <w:rFonts w:ascii="黑体" w:eastAsia="黑体" w:hAnsi="黑体" w:cstheme="minorBidi"/>
      <w:b w:val="0"/>
      <w:bCs w:val="0"/>
      <w:spacing w:val="10"/>
      <w:kern w:val="2"/>
      <w:sz w:val="24"/>
      <w:szCs w:val="22"/>
    </w:rPr>
  </w:style>
  <w:style w:type="paragraph" w:customStyle="1" w:styleId="CharChar1Char">
    <w:name w:val="Char Char1 Char"/>
    <w:basedOn w:val="10"/>
    <w:next w:val="a1"/>
    <w:autoRedefine/>
    <w:uiPriority w:val="99"/>
    <w:qFormat/>
    <w:rsid w:val="002A5A5E"/>
    <w:pPr>
      <w:keepNext w:val="0"/>
      <w:keepLines w:val="0"/>
      <w:spacing w:before="0" w:after="0" w:line="360" w:lineRule="auto"/>
      <w:ind w:firstLineChars="200" w:firstLine="200"/>
      <w:outlineLvl w:val="9"/>
    </w:pPr>
    <w:rPr>
      <w:rFonts w:ascii="宋体" w:hAnsi="宋体" w:cs="宋体"/>
      <w:b w:val="0"/>
      <w:bCs w:val="0"/>
      <w:kern w:val="2"/>
      <w:sz w:val="24"/>
      <w:szCs w:val="24"/>
    </w:rPr>
  </w:style>
  <w:style w:type="paragraph" w:customStyle="1" w:styleId="afffffff5">
    <w:name w:val="报告书表格"/>
    <w:basedOn w:val="10"/>
    <w:next w:val="a1"/>
    <w:autoRedefine/>
    <w:uiPriority w:val="99"/>
    <w:qFormat/>
    <w:rsid w:val="002A5A5E"/>
    <w:pPr>
      <w:keepNext w:val="0"/>
      <w:keepLines w:val="0"/>
      <w:adjustRightInd w:val="0"/>
      <w:spacing w:before="60" w:after="60" w:line="240" w:lineRule="atLeast"/>
      <w:ind w:firstLineChars="177" w:firstLine="425"/>
      <w:jc w:val="center"/>
      <w:outlineLvl w:val="9"/>
    </w:pPr>
    <w:rPr>
      <w:b w:val="0"/>
      <w:bCs w:val="0"/>
      <w:kern w:val="0"/>
      <w:sz w:val="24"/>
      <w:szCs w:val="20"/>
    </w:rPr>
  </w:style>
  <w:style w:type="paragraph" w:customStyle="1" w:styleId="afffffff6">
    <w:name w:val="段"/>
    <w:next w:val="a1"/>
    <w:autoRedefine/>
    <w:uiPriority w:val="99"/>
    <w:qFormat/>
    <w:rsid w:val="002A5A5E"/>
    <w:pPr>
      <w:autoSpaceDE w:val="0"/>
      <w:autoSpaceDN w:val="0"/>
      <w:ind w:firstLineChars="200" w:firstLine="200"/>
      <w:jc w:val="both"/>
    </w:pPr>
    <w:rPr>
      <w:rFonts w:ascii="宋体" w:eastAsia="宋体" w:hAnsi="Times New Roman" w:cs="Times New Roman"/>
      <w:sz w:val="21"/>
    </w:rPr>
  </w:style>
  <w:style w:type="paragraph" w:customStyle="1" w:styleId="CharCharCharCharCharCharCharChar2CharCharCharCharCharCharCharCharCharCharCharCharChar">
    <w:name w:val="Char Char Char Char Char Char Char Char2 Char Char Char Char Char Char Char Char Char Char Char Char Char"/>
    <w:basedOn w:val="10"/>
    <w:next w:val="a1"/>
    <w:autoRedefine/>
    <w:uiPriority w:val="99"/>
    <w:qFormat/>
    <w:rsid w:val="002A5A5E"/>
    <w:pPr>
      <w:keepNext w:val="0"/>
      <w:keepLines w:val="0"/>
      <w:spacing w:before="0" w:after="0" w:line="336" w:lineRule="auto"/>
      <w:ind w:firstLineChars="200" w:firstLine="200"/>
      <w:outlineLvl w:val="9"/>
    </w:pPr>
    <w:rPr>
      <w:rFonts w:ascii="宋体" w:eastAsia="汉鼎简书宋" w:hAnsi="宋体" w:cs="宋体"/>
      <w:b w:val="0"/>
      <w:bCs w:val="0"/>
      <w:spacing w:val="4"/>
      <w:kern w:val="2"/>
      <w:sz w:val="24"/>
      <w:szCs w:val="24"/>
    </w:rPr>
  </w:style>
  <w:style w:type="paragraph" w:customStyle="1" w:styleId="afffffff7">
    <w:name w:val="表头名称"/>
    <w:basedOn w:val="a6"/>
    <w:next w:val="a1"/>
    <w:autoRedefine/>
    <w:uiPriority w:val="99"/>
    <w:qFormat/>
    <w:rsid w:val="002A5A5E"/>
    <w:pPr>
      <w:autoSpaceDE w:val="0"/>
      <w:autoSpaceDN w:val="0"/>
      <w:snapToGrid/>
      <w:spacing w:line="360" w:lineRule="auto"/>
      <w:ind w:firstLineChars="177" w:firstLine="0"/>
      <w:jc w:val="center"/>
    </w:pPr>
    <w:rPr>
      <w:rFonts w:ascii="黑体" w:eastAsia="黑体" w:hAnsi="宋体"/>
      <w:sz w:val="24"/>
      <w:szCs w:val="20"/>
    </w:rPr>
  </w:style>
  <w:style w:type="paragraph" w:customStyle="1" w:styleId="font12">
    <w:name w:val="font12"/>
    <w:basedOn w:val="10"/>
    <w:next w:val="a1"/>
    <w:autoRedefine/>
    <w:uiPriority w:val="99"/>
    <w:qFormat/>
    <w:rsid w:val="002A5A5E"/>
    <w:pPr>
      <w:keepNext w:val="0"/>
      <w:keepLines w:val="0"/>
      <w:widowControl/>
      <w:spacing w:before="100" w:beforeAutospacing="1" w:after="100" w:afterAutospacing="1" w:line="500" w:lineRule="atLeast"/>
      <w:ind w:firstLineChars="177" w:firstLine="425"/>
      <w:jc w:val="left"/>
      <w:outlineLvl w:val="9"/>
    </w:pPr>
    <w:rPr>
      <w:rFonts w:ascii="Symbol" w:hAnsi="Symbol" w:cs="宋体"/>
      <w:b w:val="0"/>
      <w:bCs w:val="0"/>
      <w:color w:val="000000"/>
      <w:kern w:val="0"/>
      <w:sz w:val="24"/>
      <w:szCs w:val="21"/>
    </w:rPr>
  </w:style>
  <w:style w:type="paragraph" w:customStyle="1" w:styleId="AFTERTITLE">
    <w:name w:val="AFTERTITLE"/>
    <w:basedOn w:val="10"/>
    <w:next w:val="a1"/>
    <w:autoRedefine/>
    <w:uiPriority w:val="99"/>
    <w:qFormat/>
    <w:rsid w:val="002A5A5E"/>
    <w:pPr>
      <w:keepNext w:val="0"/>
      <w:keepLines w:val="0"/>
      <w:widowControl/>
      <w:spacing w:before="0" w:after="0" w:line="360" w:lineRule="atLeast"/>
      <w:ind w:firstLineChars="200" w:firstLine="200"/>
      <w:jc w:val="center"/>
      <w:outlineLvl w:val="9"/>
    </w:pPr>
    <w:rPr>
      <w:bCs w:val="0"/>
      <w:caps/>
      <w:kern w:val="0"/>
      <w:sz w:val="24"/>
      <w:szCs w:val="20"/>
      <w:lang w:val="fr-FR"/>
    </w:rPr>
  </w:style>
  <w:style w:type="paragraph" w:customStyle="1" w:styleId="font6">
    <w:name w:val="font6"/>
    <w:basedOn w:val="10"/>
    <w:next w:val="a1"/>
    <w:autoRedefine/>
    <w:qFormat/>
    <w:rsid w:val="002A5A5E"/>
    <w:pPr>
      <w:keepNext w:val="0"/>
      <w:keepLines w:val="0"/>
      <w:widowControl/>
      <w:spacing w:before="100" w:beforeAutospacing="1" w:after="100" w:afterAutospacing="1" w:line="500" w:lineRule="atLeast"/>
      <w:ind w:firstLineChars="177" w:firstLine="425"/>
      <w:jc w:val="left"/>
      <w:outlineLvl w:val="9"/>
    </w:pPr>
    <w:rPr>
      <w:b w:val="0"/>
      <w:bCs w:val="0"/>
      <w:color w:val="000000"/>
      <w:kern w:val="0"/>
      <w:sz w:val="24"/>
      <w:szCs w:val="21"/>
    </w:rPr>
  </w:style>
  <w:style w:type="paragraph" w:customStyle="1" w:styleId="afffffff8">
    <w:name w:val="表序"/>
    <w:basedOn w:val="10"/>
    <w:next w:val="a1"/>
    <w:autoRedefine/>
    <w:uiPriority w:val="99"/>
    <w:qFormat/>
    <w:rsid w:val="002A5A5E"/>
    <w:pPr>
      <w:keepNext w:val="0"/>
      <w:keepLines w:val="0"/>
      <w:snapToGrid w:val="0"/>
      <w:spacing w:before="0" w:after="0" w:line="400" w:lineRule="exact"/>
      <w:ind w:firstLineChars="177" w:firstLine="425"/>
      <w:outlineLvl w:val="9"/>
    </w:pPr>
    <w:rPr>
      <w:rFonts w:ascii="宋体" w:hAnsi="宋体"/>
      <w:b w:val="0"/>
      <w:bCs w:val="0"/>
      <w:kern w:val="0"/>
      <w:sz w:val="24"/>
      <w:szCs w:val="20"/>
    </w:rPr>
  </w:style>
  <w:style w:type="paragraph" w:customStyle="1" w:styleId="2f6">
    <w:name w:val="段落2"/>
    <w:basedOn w:val="10"/>
    <w:next w:val="a1"/>
    <w:autoRedefine/>
    <w:uiPriority w:val="99"/>
    <w:qFormat/>
    <w:rsid w:val="002A5A5E"/>
    <w:pPr>
      <w:keepNext w:val="0"/>
      <w:keepLines w:val="0"/>
      <w:adjustRightInd w:val="0"/>
      <w:spacing w:before="0" w:after="0" w:line="440" w:lineRule="atLeast"/>
      <w:ind w:firstLineChars="177" w:firstLine="425"/>
      <w:outlineLvl w:val="9"/>
    </w:pPr>
    <w:rPr>
      <w:b w:val="0"/>
      <w:bCs w:val="0"/>
      <w:spacing w:val="6"/>
      <w:kern w:val="2"/>
      <w:sz w:val="28"/>
      <w:szCs w:val="20"/>
    </w:rPr>
  </w:style>
  <w:style w:type="paragraph" w:customStyle="1" w:styleId="afffffff9">
    <w:name w:val="公式题注"/>
    <w:next w:val="a1"/>
    <w:autoRedefine/>
    <w:uiPriority w:val="99"/>
    <w:qFormat/>
    <w:rsid w:val="002A5A5E"/>
    <w:pPr>
      <w:spacing w:line="0" w:lineRule="atLeast"/>
      <w:jc w:val="right"/>
    </w:pPr>
    <w:rPr>
      <w:rFonts w:ascii="Times New Roman" w:eastAsia="黑体" w:hAnsi="Times New Roman" w:cs="Times New Roman"/>
      <w:kern w:val="2"/>
      <w:sz w:val="24"/>
    </w:rPr>
  </w:style>
  <w:style w:type="paragraph" w:customStyle="1" w:styleId="1f7">
    <w:name w:val="尾注文本1"/>
    <w:basedOn w:val="15"/>
    <w:next w:val="a1"/>
    <w:autoRedefine/>
    <w:uiPriority w:val="99"/>
    <w:qFormat/>
    <w:rsid w:val="002A5A5E"/>
    <w:rPr>
      <w:rFonts w:hAnsi="Calibri"/>
      <w:sz w:val="21"/>
      <w:szCs w:val="20"/>
    </w:rPr>
  </w:style>
  <w:style w:type="paragraph" w:customStyle="1" w:styleId="1f8">
    <w:name w:val="正文文字缩进1"/>
    <w:basedOn w:val="ac"/>
    <w:next w:val="a1"/>
    <w:autoRedefine/>
    <w:uiPriority w:val="99"/>
    <w:qFormat/>
    <w:rsid w:val="002A5A5E"/>
    <w:pPr>
      <w:spacing w:line="360" w:lineRule="auto"/>
      <w:ind w:firstLineChars="0" w:firstLine="551"/>
    </w:pPr>
    <w:rPr>
      <w:rFonts w:ascii="黑体" w:eastAsia="黑体"/>
      <w:b/>
      <w:sz w:val="28"/>
      <w:szCs w:val="20"/>
    </w:rPr>
  </w:style>
  <w:style w:type="character" w:customStyle="1" w:styleId="4Char0">
    <w:name w:val="样式4 Char"/>
    <w:link w:val="45"/>
    <w:qFormat/>
    <w:locked/>
    <w:rsid w:val="002A5A5E"/>
    <w:rPr>
      <w:rFonts w:ascii="宋体" w:eastAsia="宋体" w:hAnsi="宋体"/>
      <w:bCs/>
      <w:sz w:val="24"/>
      <w:szCs w:val="24"/>
    </w:rPr>
  </w:style>
  <w:style w:type="paragraph" w:customStyle="1" w:styleId="45">
    <w:name w:val="样式4"/>
    <w:basedOn w:val="ab"/>
    <w:next w:val="a1"/>
    <w:link w:val="4Char0"/>
    <w:autoRedefine/>
    <w:qFormat/>
    <w:rsid w:val="002A5A5E"/>
    <w:pPr>
      <w:spacing w:before="156" w:after="0" w:line="360" w:lineRule="auto"/>
      <w:ind w:firstLineChars="200" w:firstLine="480"/>
    </w:pPr>
    <w:rPr>
      <w:rFonts w:ascii="宋体" w:hAnsi="宋体" w:cstheme="minorBidi"/>
      <w:bCs/>
      <w:sz w:val="24"/>
    </w:rPr>
  </w:style>
  <w:style w:type="paragraph" w:customStyle="1" w:styleId="afffffffa">
    <w:name w:val="项目编号"/>
    <w:basedOn w:val="10"/>
    <w:next w:val="a1"/>
    <w:autoRedefine/>
    <w:uiPriority w:val="99"/>
    <w:qFormat/>
    <w:rsid w:val="002A5A5E"/>
    <w:pPr>
      <w:keepNext w:val="0"/>
      <w:keepLines w:val="0"/>
      <w:spacing w:before="120" w:after="120" w:line="360" w:lineRule="auto"/>
      <w:ind w:firstLineChars="177" w:firstLine="425"/>
      <w:outlineLvl w:val="9"/>
    </w:pPr>
    <w:rPr>
      <w:b w:val="0"/>
      <w:bCs w:val="0"/>
      <w:kern w:val="2"/>
      <w:sz w:val="24"/>
      <w:szCs w:val="20"/>
    </w:rPr>
  </w:style>
  <w:style w:type="paragraph" w:customStyle="1" w:styleId="CharCharCharCharCharCharCharCharCharCharChar">
    <w:name w:val="Char Char Char Char Char Char Char Char Char Char Char"/>
    <w:basedOn w:val="10"/>
    <w:next w:val="a1"/>
    <w:autoRedefine/>
    <w:uiPriority w:val="99"/>
    <w:qFormat/>
    <w:rsid w:val="002A5A5E"/>
    <w:pPr>
      <w:keepNext w:val="0"/>
      <w:keepLines w:val="0"/>
      <w:spacing w:before="0" w:after="0" w:line="500" w:lineRule="atLeast"/>
      <w:ind w:firstLineChars="177" w:firstLine="425"/>
      <w:outlineLvl w:val="9"/>
    </w:pPr>
    <w:rPr>
      <w:b w:val="0"/>
      <w:bCs w:val="0"/>
      <w:kern w:val="2"/>
      <w:sz w:val="24"/>
      <w:szCs w:val="24"/>
    </w:rPr>
  </w:style>
  <w:style w:type="paragraph" w:customStyle="1" w:styleId="2220">
    <w:name w:val="样式 样式 样式 首行缩进:  2 字符 + 首行缩进:  2 字符 + 首行缩进:  2 字符"/>
    <w:basedOn w:val="10"/>
    <w:next w:val="a1"/>
    <w:autoRedefine/>
    <w:uiPriority w:val="99"/>
    <w:qFormat/>
    <w:rsid w:val="002A5A5E"/>
    <w:pPr>
      <w:keepNext w:val="0"/>
      <w:keepLines w:val="0"/>
      <w:spacing w:before="0" w:after="0" w:line="500" w:lineRule="atLeast"/>
      <w:ind w:firstLineChars="200" w:firstLine="567"/>
      <w:outlineLvl w:val="9"/>
    </w:pPr>
    <w:rPr>
      <w:rFonts w:ascii="宋体"/>
      <w:b w:val="0"/>
      <w:bCs w:val="0"/>
      <w:kern w:val="2"/>
      <w:sz w:val="27"/>
      <w:szCs w:val="20"/>
    </w:rPr>
  </w:style>
  <w:style w:type="paragraph" w:customStyle="1" w:styleId="afffffffb">
    <w:name w:val="表、图名"/>
    <w:basedOn w:val="10"/>
    <w:next w:val="a1"/>
    <w:autoRedefine/>
    <w:uiPriority w:val="99"/>
    <w:qFormat/>
    <w:rsid w:val="002A5A5E"/>
    <w:pPr>
      <w:keepNext w:val="0"/>
      <w:keepLines w:val="0"/>
      <w:adjustRightInd w:val="0"/>
      <w:snapToGrid w:val="0"/>
      <w:spacing w:before="0" w:after="0" w:line="360" w:lineRule="auto"/>
      <w:ind w:firstLineChars="177" w:firstLine="482"/>
      <w:jc w:val="center"/>
      <w:outlineLvl w:val="9"/>
    </w:pPr>
    <w:rPr>
      <w:rFonts w:hAnsi="宋体"/>
      <w:bCs w:val="0"/>
      <w:color w:val="000000"/>
      <w:kern w:val="0"/>
      <w:sz w:val="24"/>
      <w:szCs w:val="21"/>
    </w:rPr>
  </w:style>
  <w:style w:type="paragraph" w:customStyle="1" w:styleId="1f9">
    <w:name w:val="正文 1"/>
    <w:basedOn w:val="10"/>
    <w:next w:val="a1"/>
    <w:autoRedefine/>
    <w:uiPriority w:val="99"/>
    <w:qFormat/>
    <w:rsid w:val="002A5A5E"/>
    <w:pPr>
      <w:keepNext w:val="0"/>
      <w:keepLines w:val="0"/>
      <w:spacing w:before="0" w:after="0" w:line="480" w:lineRule="exact"/>
      <w:ind w:firstLineChars="177" w:firstLine="567"/>
      <w:outlineLvl w:val="9"/>
    </w:pPr>
    <w:rPr>
      <w:b w:val="0"/>
      <w:bCs w:val="0"/>
      <w:kern w:val="2"/>
      <w:sz w:val="28"/>
      <w:szCs w:val="20"/>
    </w:rPr>
  </w:style>
  <w:style w:type="paragraph" w:customStyle="1" w:styleId="z">
    <w:name w:val="z正文"/>
    <w:basedOn w:val="ac"/>
    <w:next w:val="a1"/>
    <w:autoRedefine/>
    <w:uiPriority w:val="99"/>
    <w:qFormat/>
    <w:rsid w:val="002A5A5E"/>
    <w:pPr>
      <w:autoSpaceDE w:val="0"/>
      <w:autoSpaceDN w:val="0"/>
      <w:adjustRightInd w:val="0"/>
      <w:snapToGrid w:val="0"/>
      <w:spacing w:line="360" w:lineRule="auto"/>
      <w:ind w:firstLine="200"/>
    </w:pPr>
  </w:style>
  <w:style w:type="paragraph" w:customStyle="1" w:styleId="154">
    <w:name w:val="样式 日期 + 宋体 行距: 1.5 倍行距"/>
    <w:basedOn w:val="af"/>
    <w:next w:val="a1"/>
    <w:autoRedefine/>
    <w:uiPriority w:val="99"/>
    <w:qFormat/>
    <w:rsid w:val="002A5A5E"/>
    <w:pPr>
      <w:widowControl/>
      <w:overflowPunct w:val="0"/>
      <w:autoSpaceDE w:val="0"/>
      <w:autoSpaceDN w:val="0"/>
      <w:adjustRightInd w:val="0"/>
      <w:spacing w:line="480" w:lineRule="exact"/>
      <w:ind w:leftChars="0" w:left="0" w:firstLineChars="200" w:firstLine="200"/>
    </w:pPr>
    <w:rPr>
      <w:rFonts w:ascii="宋体" w:hAnsi="宋体" w:cs="宋体"/>
      <w:color w:val="000000"/>
      <w:kern w:val="0"/>
      <w:sz w:val="28"/>
      <w:szCs w:val="20"/>
      <w:lang w:val="en-GB"/>
    </w:rPr>
  </w:style>
  <w:style w:type="paragraph" w:customStyle="1" w:styleId="xl49">
    <w:name w:val="xl49"/>
    <w:basedOn w:val="10"/>
    <w:next w:val="a1"/>
    <w:autoRedefine/>
    <w:uiPriority w:val="99"/>
    <w:qFormat/>
    <w:rsid w:val="002A5A5E"/>
    <w:pPr>
      <w:keepNext w:val="0"/>
      <w:keepLines w:val="0"/>
      <w:widowControl/>
      <w:pBdr>
        <w:left w:val="single" w:sz="8" w:space="0" w:color="auto"/>
        <w:right w:val="single" w:sz="8" w:space="0" w:color="auto"/>
      </w:pBdr>
      <w:spacing w:before="100" w:beforeAutospacing="1" w:after="100" w:afterAutospacing="1" w:line="500" w:lineRule="atLeast"/>
      <w:ind w:firstLineChars="177" w:firstLine="425"/>
      <w:jc w:val="center"/>
      <w:outlineLvl w:val="9"/>
    </w:pPr>
    <w:rPr>
      <w:b w:val="0"/>
      <w:bCs w:val="0"/>
      <w:color w:val="000000"/>
      <w:kern w:val="0"/>
      <w:sz w:val="24"/>
      <w:szCs w:val="21"/>
    </w:rPr>
  </w:style>
  <w:style w:type="paragraph" w:customStyle="1" w:styleId="xl25">
    <w:name w:val="xl25"/>
    <w:basedOn w:val="10"/>
    <w:next w:val="a1"/>
    <w:autoRedefine/>
    <w:uiPriority w:val="99"/>
    <w:qFormat/>
    <w:rsid w:val="002A5A5E"/>
    <w:pPr>
      <w:keepNext w:val="0"/>
      <w:keepLines w:val="0"/>
      <w:widowControl/>
      <w:pBdr>
        <w:left w:val="single" w:sz="4" w:space="0" w:color="auto"/>
        <w:bottom w:val="single" w:sz="4" w:space="0" w:color="auto"/>
        <w:right w:val="single" w:sz="4" w:space="0" w:color="auto"/>
      </w:pBdr>
      <w:autoSpaceDE w:val="0"/>
      <w:autoSpaceDN w:val="0"/>
      <w:snapToGrid w:val="0"/>
      <w:spacing w:before="100" w:beforeAutospacing="1" w:after="100" w:afterAutospacing="1" w:line="500" w:lineRule="atLeast"/>
      <w:ind w:firstLineChars="177" w:firstLine="425"/>
      <w:jc w:val="center"/>
      <w:outlineLvl w:val="9"/>
    </w:pPr>
    <w:rPr>
      <w:rFonts w:ascii="Arial Unicode MS" w:eastAsia="Arial Unicode MS" w:hAnsi="Arial Unicode MS"/>
      <w:b w:val="0"/>
      <w:bCs w:val="0"/>
      <w:kern w:val="0"/>
      <w:sz w:val="24"/>
      <w:szCs w:val="20"/>
    </w:rPr>
  </w:style>
  <w:style w:type="paragraph" w:customStyle="1" w:styleId="CharCharCharCharCharCharCharCharCharChar">
    <w:name w:val="Char Char Char Char Char Char Char Char Char Char"/>
    <w:basedOn w:val="10"/>
    <w:next w:val="a1"/>
    <w:autoRedefine/>
    <w:uiPriority w:val="99"/>
    <w:qFormat/>
    <w:rsid w:val="002A5A5E"/>
    <w:pPr>
      <w:keepNext w:val="0"/>
      <w:keepLines w:val="0"/>
      <w:spacing w:before="0" w:after="0" w:line="500" w:lineRule="atLeast"/>
      <w:ind w:firstLineChars="177" w:firstLine="425"/>
      <w:jc w:val="center"/>
      <w:outlineLvl w:val="9"/>
    </w:pPr>
    <w:rPr>
      <w:rFonts w:ascii="黑体" w:eastAsia="黑体" w:hAnsi="宋体"/>
      <w:bCs w:val="0"/>
      <w:color w:val="000000"/>
      <w:kern w:val="24"/>
      <w:sz w:val="32"/>
      <w:szCs w:val="32"/>
    </w:rPr>
  </w:style>
  <w:style w:type="paragraph" w:customStyle="1" w:styleId="afffffffc">
    <w:name w:val="表内字"/>
    <w:next w:val="a1"/>
    <w:autoRedefine/>
    <w:uiPriority w:val="99"/>
    <w:qFormat/>
    <w:rsid w:val="002A5A5E"/>
    <w:pPr>
      <w:spacing w:line="312" w:lineRule="auto"/>
      <w:jc w:val="center"/>
    </w:pPr>
    <w:rPr>
      <w:rFonts w:ascii="Times New Roman" w:eastAsia="宋体" w:hAnsi="Times New Roman" w:cs="Times New Roman"/>
      <w:color w:val="000000"/>
      <w:sz w:val="21"/>
    </w:rPr>
  </w:style>
  <w:style w:type="paragraph" w:customStyle="1" w:styleId="afffffffd">
    <w:name w:val="表的格式（小四）"/>
    <w:basedOn w:val="10"/>
    <w:next w:val="a1"/>
    <w:autoRedefine/>
    <w:uiPriority w:val="99"/>
    <w:qFormat/>
    <w:rsid w:val="002A5A5E"/>
    <w:pPr>
      <w:keepNext w:val="0"/>
      <w:keepLines w:val="0"/>
      <w:adjustRightInd w:val="0"/>
      <w:spacing w:before="0" w:after="0" w:line="360" w:lineRule="atLeast"/>
      <w:ind w:firstLineChars="177" w:firstLine="425"/>
      <w:jc w:val="center"/>
      <w:outlineLvl w:val="9"/>
    </w:pPr>
    <w:rPr>
      <w:b w:val="0"/>
      <w:bCs w:val="0"/>
      <w:kern w:val="0"/>
      <w:sz w:val="24"/>
      <w:szCs w:val="20"/>
    </w:rPr>
  </w:style>
  <w:style w:type="paragraph" w:customStyle="1" w:styleId="112">
    <w:name w:val="列出段落11"/>
    <w:basedOn w:val="10"/>
    <w:next w:val="a1"/>
    <w:autoRedefine/>
    <w:uiPriority w:val="99"/>
    <w:qFormat/>
    <w:rsid w:val="002A5A5E"/>
    <w:pPr>
      <w:keepNext w:val="0"/>
      <w:keepLines w:val="0"/>
      <w:spacing w:before="0" w:after="0" w:line="500" w:lineRule="atLeast"/>
      <w:ind w:firstLineChars="200" w:firstLine="420"/>
      <w:outlineLvl w:val="9"/>
    </w:pPr>
    <w:rPr>
      <w:rFonts w:ascii="Calibri" w:hAnsi="Calibri"/>
      <w:b w:val="0"/>
      <w:bCs w:val="0"/>
      <w:kern w:val="2"/>
      <w:sz w:val="24"/>
      <w:szCs w:val="24"/>
    </w:rPr>
  </w:style>
  <w:style w:type="paragraph" w:customStyle="1" w:styleId="acee">
    <w:name w:val="acee正文"/>
    <w:basedOn w:val="10"/>
    <w:next w:val="a1"/>
    <w:autoRedefine/>
    <w:uiPriority w:val="99"/>
    <w:qFormat/>
    <w:rsid w:val="002A5A5E"/>
    <w:pPr>
      <w:keepNext w:val="0"/>
      <w:keepLines w:val="0"/>
      <w:spacing w:before="0" w:after="0" w:line="480" w:lineRule="exact"/>
      <w:ind w:firstLineChars="200" w:firstLine="640"/>
      <w:outlineLvl w:val="9"/>
    </w:pPr>
    <w:rPr>
      <w:rFonts w:ascii="FangSong_GB2312" w:eastAsia="FangSong_GB2312" w:hAnsi="宋体"/>
      <w:b w:val="0"/>
      <w:bCs w:val="0"/>
      <w:kern w:val="2"/>
      <w:sz w:val="32"/>
      <w:szCs w:val="24"/>
    </w:rPr>
  </w:style>
  <w:style w:type="paragraph" w:customStyle="1" w:styleId="xl56">
    <w:name w:val="xl56"/>
    <w:basedOn w:val="10"/>
    <w:next w:val="a1"/>
    <w:autoRedefine/>
    <w:uiPriority w:val="99"/>
    <w:qFormat/>
    <w:rsid w:val="002A5A5E"/>
    <w:pPr>
      <w:keepNext w:val="0"/>
      <w:keepLines w:val="0"/>
      <w:widowControl/>
      <w:pBdr>
        <w:top w:val="single" w:sz="12" w:space="0" w:color="auto"/>
        <w:left w:val="single" w:sz="8" w:space="0" w:color="auto"/>
        <w:bottom w:val="single" w:sz="8" w:space="0" w:color="auto"/>
      </w:pBdr>
      <w:spacing w:before="100" w:beforeAutospacing="1" w:after="100" w:afterAutospacing="1" w:line="500" w:lineRule="atLeast"/>
      <w:ind w:firstLineChars="177" w:firstLine="425"/>
      <w:jc w:val="center"/>
      <w:outlineLvl w:val="9"/>
    </w:pPr>
    <w:rPr>
      <w:rFonts w:ascii="宋体" w:hAnsi="宋体" w:cs="宋体"/>
      <w:b w:val="0"/>
      <w:bCs w:val="0"/>
      <w:color w:val="000000"/>
      <w:kern w:val="0"/>
      <w:sz w:val="24"/>
      <w:szCs w:val="21"/>
    </w:rPr>
  </w:style>
  <w:style w:type="paragraph" w:customStyle="1" w:styleId="EIA2">
    <w:name w:val="EIA标题2"/>
    <w:basedOn w:val="20"/>
    <w:next w:val="a1"/>
    <w:autoRedefine/>
    <w:uiPriority w:val="99"/>
    <w:qFormat/>
    <w:rsid w:val="002A5A5E"/>
    <w:pPr>
      <w:tabs>
        <w:tab w:val="left" w:pos="576"/>
      </w:tabs>
      <w:spacing w:before="0" w:after="120" w:line="440" w:lineRule="exact"/>
      <w:ind w:firstLineChars="177" w:firstLine="425"/>
      <w:jc w:val="left"/>
    </w:pPr>
    <w:rPr>
      <w:rFonts w:ascii="Times New Roman" w:eastAsia="黑体" w:hAnsi="Times New Roman" w:cs="Times New Roman"/>
      <w:b w:val="0"/>
      <w:bCs w:val="0"/>
      <w:color w:val="000000"/>
      <w:sz w:val="24"/>
      <w:szCs w:val="20"/>
    </w:rPr>
  </w:style>
  <w:style w:type="paragraph" w:customStyle="1" w:styleId="afffffffe">
    <w:name w:val="样式"/>
    <w:basedOn w:val="10"/>
    <w:next w:val="a1"/>
    <w:autoRedefine/>
    <w:uiPriority w:val="99"/>
    <w:qFormat/>
    <w:rsid w:val="002A5A5E"/>
    <w:pPr>
      <w:keepNext w:val="0"/>
      <w:keepLines w:val="0"/>
      <w:pBdr>
        <w:bottom w:val="single" w:sz="4" w:space="1" w:color="auto"/>
      </w:pBdr>
      <w:spacing w:before="0" w:after="0" w:line="500" w:lineRule="atLeast"/>
      <w:ind w:firstLineChars="177" w:firstLine="425"/>
      <w:outlineLvl w:val="9"/>
    </w:pPr>
    <w:rPr>
      <w:b w:val="0"/>
      <w:bCs w:val="0"/>
      <w:kern w:val="2"/>
      <w:sz w:val="18"/>
      <w:szCs w:val="24"/>
    </w:rPr>
  </w:style>
  <w:style w:type="paragraph" w:customStyle="1" w:styleId="446626">
    <w:name w:val="样式 标题 4常用标题 4 + 段前: 6 磅 段后: 6 磅 行距: 固定值 26 磅"/>
    <w:basedOn w:val="4"/>
    <w:next w:val="a1"/>
    <w:autoRedefine/>
    <w:uiPriority w:val="99"/>
    <w:qFormat/>
    <w:rsid w:val="002A5A5E"/>
    <w:pPr>
      <w:tabs>
        <w:tab w:val="left" w:pos="2250"/>
      </w:tabs>
      <w:spacing w:before="0" w:after="0" w:line="240" w:lineRule="auto"/>
      <w:ind w:left="2250" w:firstLineChars="177" w:hanging="420"/>
    </w:pPr>
    <w:rPr>
      <w:rFonts w:ascii="Arial" w:eastAsia="黑体" w:hAnsi="Arial" w:cs="宋体"/>
      <w:szCs w:val="20"/>
    </w:rPr>
  </w:style>
  <w:style w:type="paragraph" w:customStyle="1" w:styleId="EIA">
    <w:name w:val="EIA正文"/>
    <w:basedOn w:val="10"/>
    <w:next w:val="a1"/>
    <w:autoRedefine/>
    <w:uiPriority w:val="99"/>
    <w:qFormat/>
    <w:rsid w:val="002A5A5E"/>
    <w:pPr>
      <w:keepNext w:val="0"/>
      <w:keepLines w:val="0"/>
      <w:spacing w:before="0" w:after="0" w:line="360" w:lineRule="auto"/>
      <w:ind w:firstLineChars="177" w:firstLine="578"/>
      <w:outlineLvl w:val="9"/>
    </w:pPr>
    <w:rPr>
      <w:rFonts w:ascii="宋体" w:hAnsi="宋体"/>
      <w:b w:val="0"/>
      <w:bCs w:val="0"/>
      <w:kern w:val="2"/>
      <w:sz w:val="24"/>
      <w:szCs w:val="20"/>
    </w:rPr>
  </w:style>
  <w:style w:type="paragraph" w:customStyle="1" w:styleId="55">
    <w:name w:val="5"/>
    <w:basedOn w:val="10"/>
    <w:next w:val="a6"/>
    <w:autoRedefine/>
    <w:qFormat/>
    <w:rsid w:val="002A5A5E"/>
    <w:pPr>
      <w:keepNext w:val="0"/>
      <w:keepLines w:val="0"/>
      <w:spacing w:before="0" w:after="0" w:line="500" w:lineRule="atLeast"/>
      <w:ind w:firstLineChars="177" w:firstLine="420"/>
      <w:outlineLvl w:val="9"/>
    </w:pPr>
    <w:rPr>
      <w:b w:val="0"/>
      <w:bCs w:val="0"/>
      <w:kern w:val="2"/>
      <w:sz w:val="24"/>
      <w:szCs w:val="21"/>
    </w:rPr>
  </w:style>
  <w:style w:type="paragraph" w:customStyle="1" w:styleId="affffffff">
    <w:name w:val="+正文"/>
    <w:basedOn w:val="10"/>
    <w:next w:val="a1"/>
    <w:autoRedefine/>
    <w:uiPriority w:val="99"/>
    <w:qFormat/>
    <w:rsid w:val="002A5A5E"/>
    <w:pPr>
      <w:keepNext w:val="0"/>
      <w:keepLines w:val="0"/>
      <w:adjustRightInd w:val="0"/>
      <w:snapToGrid w:val="0"/>
      <w:spacing w:before="0" w:after="0" w:line="360" w:lineRule="auto"/>
      <w:ind w:firstLineChars="200" w:firstLine="200"/>
      <w:outlineLvl w:val="9"/>
    </w:pPr>
    <w:rPr>
      <w:b w:val="0"/>
      <w:bCs w:val="0"/>
      <w:kern w:val="2"/>
      <w:sz w:val="24"/>
      <w:szCs w:val="28"/>
    </w:rPr>
  </w:style>
  <w:style w:type="paragraph" w:customStyle="1" w:styleId="155">
    <w:name w:val="样式 宋体 四号 两端对齐 行距: 1.5 倍行距"/>
    <w:basedOn w:val="10"/>
    <w:next w:val="a1"/>
    <w:autoRedefine/>
    <w:uiPriority w:val="99"/>
    <w:qFormat/>
    <w:rsid w:val="002A5A5E"/>
    <w:pPr>
      <w:keepNext w:val="0"/>
      <w:keepLines w:val="0"/>
      <w:widowControl/>
      <w:overflowPunct w:val="0"/>
      <w:autoSpaceDE w:val="0"/>
      <w:autoSpaceDN w:val="0"/>
      <w:adjustRightInd w:val="0"/>
      <w:spacing w:before="0" w:after="0" w:line="480" w:lineRule="exact"/>
      <w:ind w:firstLineChars="200" w:firstLine="200"/>
      <w:outlineLvl w:val="9"/>
    </w:pPr>
    <w:rPr>
      <w:rFonts w:ascii="宋体" w:hAnsi="宋体" w:cs="宋体"/>
      <w:b w:val="0"/>
      <w:bCs w:val="0"/>
      <w:kern w:val="0"/>
      <w:sz w:val="28"/>
      <w:szCs w:val="20"/>
      <w:lang w:val="en-GB"/>
    </w:rPr>
  </w:style>
  <w:style w:type="character" w:customStyle="1" w:styleId="snCharChar">
    <w:name w:val="sn Char Char"/>
    <w:link w:val="sn"/>
    <w:qFormat/>
    <w:locked/>
    <w:rsid w:val="002A5A5E"/>
    <w:rPr>
      <w:rFonts w:ascii="Arial" w:hAnsi="Arial" w:cs="Arial"/>
      <w:sz w:val="24"/>
      <w:szCs w:val="24"/>
    </w:rPr>
  </w:style>
  <w:style w:type="paragraph" w:customStyle="1" w:styleId="sn">
    <w:name w:val="sn"/>
    <w:basedOn w:val="afb"/>
    <w:next w:val="a1"/>
    <w:link w:val="snCharChar"/>
    <w:autoRedefine/>
    <w:qFormat/>
    <w:rsid w:val="002A5A5E"/>
    <w:pPr>
      <w:spacing w:line="240" w:lineRule="auto"/>
    </w:pPr>
    <w:rPr>
      <w:rFonts w:ascii="Arial" w:eastAsiaTheme="minorEastAsia" w:hAnsi="Arial" w:cs="Arial"/>
    </w:rPr>
  </w:style>
  <w:style w:type="paragraph" w:customStyle="1" w:styleId="CharCharCharChar2">
    <w:name w:val="Char Char Char Char2"/>
    <w:basedOn w:val="10"/>
    <w:next w:val="a1"/>
    <w:autoRedefine/>
    <w:uiPriority w:val="99"/>
    <w:qFormat/>
    <w:rsid w:val="002A5A5E"/>
    <w:pPr>
      <w:keepNext w:val="0"/>
      <w:keepLines w:val="0"/>
      <w:spacing w:before="0" w:after="0" w:line="500" w:lineRule="atLeast"/>
      <w:ind w:firstLineChars="177" w:firstLine="425"/>
      <w:outlineLvl w:val="9"/>
    </w:pPr>
    <w:rPr>
      <w:b w:val="0"/>
      <w:bCs w:val="0"/>
      <w:kern w:val="2"/>
      <w:sz w:val="24"/>
      <w:szCs w:val="24"/>
    </w:rPr>
  </w:style>
  <w:style w:type="paragraph" w:customStyle="1" w:styleId="1fa">
    <w:name w:val="1表格"/>
    <w:basedOn w:val="10"/>
    <w:next w:val="a1"/>
    <w:autoRedefine/>
    <w:uiPriority w:val="99"/>
    <w:qFormat/>
    <w:rsid w:val="002A5A5E"/>
    <w:pPr>
      <w:keepNext w:val="0"/>
      <w:keepLines w:val="0"/>
      <w:snapToGrid w:val="0"/>
      <w:spacing w:before="0" w:after="0" w:line="500" w:lineRule="atLeast"/>
      <w:ind w:firstLineChars="177" w:firstLine="425"/>
      <w:jc w:val="center"/>
      <w:outlineLvl w:val="9"/>
    </w:pPr>
    <w:rPr>
      <w:b w:val="0"/>
      <w:bCs w:val="0"/>
      <w:color w:val="000000"/>
      <w:spacing w:val="4"/>
      <w:kern w:val="0"/>
      <w:sz w:val="24"/>
      <w:szCs w:val="24"/>
    </w:rPr>
  </w:style>
  <w:style w:type="paragraph" w:customStyle="1" w:styleId="333CharTimesNew3">
    <w:name w:val="样式 标题 3样式　标题 3　自动设置标题 3 Char章 + Times New 表题3"/>
    <w:basedOn w:val="30"/>
    <w:next w:val="a1"/>
    <w:autoRedefine/>
    <w:uiPriority w:val="99"/>
    <w:qFormat/>
    <w:rsid w:val="002A5A5E"/>
    <w:pPr>
      <w:tabs>
        <w:tab w:val="left" w:pos="1830"/>
        <w:tab w:val="left" w:pos="3800"/>
        <w:tab w:val="left" w:pos="5200"/>
      </w:tabs>
      <w:autoSpaceDE w:val="0"/>
      <w:autoSpaceDN w:val="0"/>
      <w:adjustRightInd w:val="0"/>
      <w:spacing w:before="120" w:after="0" w:line="240" w:lineRule="auto"/>
      <w:ind w:left="1830" w:hanging="420"/>
    </w:pPr>
    <w:rPr>
      <w:rFonts w:ascii="Times New Roman" w:hAnsi="Times New Roman"/>
      <w:b/>
      <w:bCs/>
      <w:kern w:val="0"/>
      <w:sz w:val="28"/>
      <w:szCs w:val="28"/>
    </w:rPr>
  </w:style>
  <w:style w:type="paragraph" w:customStyle="1" w:styleId="BulletIndent">
    <w:name w:val="Bullet_Indent"/>
    <w:basedOn w:val="10"/>
    <w:next w:val="a1"/>
    <w:autoRedefine/>
    <w:uiPriority w:val="99"/>
    <w:qFormat/>
    <w:rsid w:val="002A5A5E"/>
    <w:pPr>
      <w:keepNext w:val="0"/>
      <w:keepLines w:val="0"/>
      <w:widowControl/>
      <w:spacing w:before="0" w:after="240" w:line="500" w:lineRule="atLeast"/>
      <w:ind w:left="1440" w:firstLineChars="177" w:hanging="720"/>
      <w:jc w:val="left"/>
      <w:outlineLvl w:val="9"/>
    </w:pPr>
    <w:rPr>
      <w:b w:val="0"/>
      <w:bCs w:val="0"/>
      <w:kern w:val="0"/>
      <w:sz w:val="24"/>
      <w:szCs w:val="20"/>
    </w:rPr>
  </w:style>
  <w:style w:type="paragraph" w:customStyle="1" w:styleId="zhengwen">
    <w:name w:val="zhengwen"/>
    <w:basedOn w:val="10"/>
    <w:next w:val="a1"/>
    <w:autoRedefine/>
    <w:uiPriority w:val="99"/>
    <w:qFormat/>
    <w:rsid w:val="002A5A5E"/>
    <w:pPr>
      <w:keepNext w:val="0"/>
      <w:keepLines w:val="0"/>
      <w:widowControl/>
      <w:spacing w:before="100" w:beforeAutospacing="1" w:after="100" w:afterAutospacing="1" w:line="800" w:lineRule="atLeast"/>
      <w:ind w:firstLineChars="177" w:firstLine="425"/>
      <w:jc w:val="left"/>
      <w:outlineLvl w:val="9"/>
    </w:pPr>
    <w:rPr>
      <w:rFonts w:ascii="Arial Unicode MS" w:hAnsi="Arial Unicode MS"/>
      <w:b w:val="0"/>
      <w:bCs w:val="0"/>
      <w:color w:val="333333"/>
      <w:kern w:val="0"/>
      <w:sz w:val="18"/>
      <w:szCs w:val="18"/>
    </w:rPr>
  </w:style>
  <w:style w:type="paragraph" w:customStyle="1" w:styleId="xl50">
    <w:name w:val="xl50"/>
    <w:basedOn w:val="10"/>
    <w:next w:val="a1"/>
    <w:autoRedefine/>
    <w:uiPriority w:val="99"/>
    <w:qFormat/>
    <w:rsid w:val="002A5A5E"/>
    <w:pPr>
      <w:keepNext w:val="0"/>
      <w:keepLines w:val="0"/>
      <w:widowControl/>
      <w:pBdr>
        <w:left w:val="single" w:sz="8" w:space="0" w:color="auto"/>
        <w:bottom w:val="single" w:sz="8" w:space="0" w:color="auto"/>
        <w:right w:val="single" w:sz="8" w:space="0" w:color="auto"/>
      </w:pBdr>
      <w:spacing w:before="100" w:beforeAutospacing="1" w:after="100" w:afterAutospacing="1" w:line="500" w:lineRule="atLeast"/>
      <w:ind w:firstLineChars="177" w:firstLine="425"/>
      <w:jc w:val="center"/>
      <w:outlineLvl w:val="9"/>
    </w:pPr>
    <w:rPr>
      <w:b w:val="0"/>
      <w:bCs w:val="0"/>
      <w:color w:val="000000"/>
      <w:kern w:val="0"/>
      <w:sz w:val="24"/>
      <w:szCs w:val="21"/>
    </w:rPr>
  </w:style>
  <w:style w:type="paragraph" w:customStyle="1" w:styleId="2f7">
    <w:name w:val="表格2"/>
    <w:basedOn w:val="10"/>
    <w:next w:val="a1"/>
    <w:autoRedefine/>
    <w:uiPriority w:val="99"/>
    <w:qFormat/>
    <w:rsid w:val="002A5A5E"/>
    <w:pPr>
      <w:keepNext w:val="0"/>
      <w:keepLines w:val="0"/>
      <w:spacing w:beforeLines="5" w:after="0" w:line="500" w:lineRule="atLeast"/>
      <w:ind w:firstLineChars="177" w:firstLine="425"/>
      <w:jc w:val="center"/>
      <w:outlineLvl w:val="9"/>
    </w:pPr>
    <w:rPr>
      <w:rFonts w:ascii="宋体"/>
      <w:b w:val="0"/>
      <w:bCs w:val="0"/>
      <w:kern w:val="2"/>
      <w:sz w:val="24"/>
      <w:szCs w:val="20"/>
    </w:rPr>
  </w:style>
  <w:style w:type="paragraph" w:customStyle="1" w:styleId="CharCharCharChar1CharCharChar1CharCharChar">
    <w:name w:val="Char Char Char Char1 Char Char Char1 Char Char Char"/>
    <w:basedOn w:val="10"/>
    <w:next w:val="a1"/>
    <w:autoRedefine/>
    <w:uiPriority w:val="99"/>
    <w:qFormat/>
    <w:rsid w:val="002A5A5E"/>
    <w:pPr>
      <w:keepNext w:val="0"/>
      <w:keepLines w:val="0"/>
      <w:spacing w:before="0" w:after="0" w:line="360" w:lineRule="auto"/>
      <w:ind w:firstLineChars="200" w:firstLine="200"/>
      <w:outlineLvl w:val="9"/>
    </w:pPr>
    <w:rPr>
      <w:rFonts w:ascii="宋体" w:hAnsi="宋体" w:cs="宋体"/>
      <w:b w:val="0"/>
      <w:bCs w:val="0"/>
      <w:kern w:val="2"/>
      <w:sz w:val="24"/>
      <w:szCs w:val="24"/>
    </w:rPr>
  </w:style>
  <w:style w:type="paragraph" w:customStyle="1" w:styleId="IDCA-Head2ndLine">
    <w:name w:val="IDC A-Head (2nd Line)"/>
    <w:basedOn w:val="10"/>
    <w:next w:val="a1"/>
    <w:autoRedefine/>
    <w:uiPriority w:val="99"/>
    <w:qFormat/>
    <w:rsid w:val="002A5A5E"/>
    <w:pPr>
      <w:keepNext w:val="0"/>
      <w:keepLines w:val="0"/>
      <w:widowControl/>
      <w:numPr>
        <w:numId w:val="2"/>
      </w:numPr>
      <w:spacing w:before="0" w:after="0" w:line="500" w:lineRule="atLeast"/>
      <w:ind w:firstLineChars="177" w:firstLine="177"/>
      <w:jc w:val="center"/>
      <w:outlineLvl w:val="9"/>
    </w:pPr>
    <w:rPr>
      <w:b w:val="0"/>
      <w:bCs w:val="0"/>
      <w:caps/>
      <w:kern w:val="0"/>
      <w:sz w:val="24"/>
      <w:szCs w:val="20"/>
    </w:rPr>
  </w:style>
  <w:style w:type="paragraph" w:customStyle="1" w:styleId="affffffff0">
    <w:name w:val="表格文字（黑体）"/>
    <w:basedOn w:val="afffb"/>
    <w:next w:val="a1"/>
    <w:autoRedefine/>
    <w:uiPriority w:val="99"/>
    <w:qFormat/>
    <w:rsid w:val="002A5A5E"/>
    <w:rPr>
      <w:rFonts w:ascii="Times New Roman" w:eastAsia="宋体" w:hAnsi="Times New Roman"/>
      <w:kern w:val="2"/>
      <w:sz w:val="21"/>
    </w:rPr>
  </w:style>
  <w:style w:type="paragraph" w:customStyle="1" w:styleId="BodyText21">
    <w:name w:val="Body Text 21"/>
    <w:basedOn w:val="10"/>
    <w:next w:val="a1"/>
    <w:autoRedefine/>
    <w:uiPriority w:val="99"/>
    <w:qFormat/>
    <w:rsid w:val="002A5A5E"/>
    <w:pPr>
      <w:keepNext w:val="0"/>
      <w:keepLines w:val="0"/>
      <w:autoSpaceDE w:val="0"/>
      <w:autoSpaceDN w:val="0"/>
      <w:adjustRightInd w:val="0"/>
      <w:spacing w:before="0" w:after="0" w:line="480" w:lineRule="exact"/>
      <w:ind w:firstLineChars="177" w:firstLine="540"/>
      <w:outlineLvl w:val="9"/>
    </w:pPr>
    <w:rPr>
      <w:rFonts w:ascii="宋体" w:hAnsi="Tms Rmn"/>
      <w:b w:val="0"/>
      <w:bCs w:val="0"/>
      <w:kern w:val="0"/>
      <w:sz w:val="24"/>
      <w:szCs w:val="20"/>
    </w:rPr>
  </w:style>
  <w:style w:type="character" w:customStyle="1" w:styleId="Charff6">
    <w:name w:val="二级标题 Char"/>
    <w:basedOn w:val="2Char"/>
    <w:link w:val="affffffff1"/>
    <w:qFormat/>
    <w:locked/>
    <w:rsid w:val="002A5A5E"/>
    <w:rPr>
      <w:rFonts w:ascii="Arial" w:eastAsia="黑体" w:hAnsi="黑体" w:cs="Arial"/>
      <w:color w:val="000000"/>
      <w:kern w:val="0"/>
      <w:sz w:val="28"/>
      <w:szCs w:val="30"/>
    </w:rPr>
  </w:style>
  <w:style w:type="paragraph" w:customStyle="1" w:styleId="affffffff1">
    <w:name w:val="二级标题"/>
    <w:basedOn w:val="20"/>
    <w:next w:val="a1"/>
    <w:link w:val="Charff6"/>
    <w:autoRedefine/>
    <w:qFormat/>
    <w:rsid w:val="002A5A5E"/>
    <w:pPr>
      <w:spacing w:before="200" w:after="200" w:line="360" w:lineRule="auto"/>
    </w:pPr>
    <w:rPr>
      <w:rFonts w:ascii="Arial" w:eastAsia="黑体" w:hAnsi="黑体" w:cs="Arial"/>
      <w:color w:val="000000"/>
      <w:kern w:val="0"/>
      <w:sz w:val="28"/>
      <w:szCs w:val="30"/>
    </w:rPr>
  </w:style>
  <w:style w:type="paragraph" w:customStyle="1" w:styleId="affffffff2">
    <w:name w:val="正文曹"/>
    <w:basedOn w:val="ac"/>
    <w:next w:val="a1"/>
    <w:autoRedefine/>
    <w:uiPriority w:val="99"/>
    <w:qFormat/>
    <w:rsid w:val="002A5A5E"/>
    <w:pPr>
      <w:widowControl/>
      <w:spacing w:line="500" w:lineRule="exact"/>
      <w:jc w:val="left"/>
    </w:pPr>
    <w:rPr>
      <w:rFonts w:ascii="宋体" w:hAnsi="宋体"/>
      <w:color w:val="000000"/>
    </w:rPr>
  </w:style>
  <w:style w:type="character" w:customStyle="1" w:styleId="2CharChar">
    <w:name w:val="【标题2】 Char Char"/>
    <w:link w:val="2f8"/>
    <w:qFormat/>
    <w:locked/>
    <w:rsid w:val="002A5A5E"/>
    <w:rPr>
      <w:rFonts w:ascii="宋体" w:eastAsia="宋体" w:hAnsi="宋体"/>
      <w:b/>
      <w:bCs/>
      <w:sz w:val="28"/>
    </w:rPr>
  </w:style>
  <w:style w:type="paragraph" w:customStyle="1" w:styleId="2f8">
    <w:name w:val="【标题2】"/>
    <w:basedOn w:val="20"/>
    <w:next w:val="a1"/>
    <w:link w:val="2CharChar"/>
    <w:autoRedefine/>
    <w:qFormat/>
    <w:rsid w:val="002A5A5E"/>
    <w:pPr>
      <w:keepNext w:val="0"/>
      <w:tabs>
        <w:tab w:val="left" w:pos="720"/>
      </w:tabs>
      <w:spacing w:before="0" w:after="0" w:line="440" w:lineRule="exact"/>
    </w:pPr>
    <w:rPr>
      <w:rFonts w:ascii="宋体" w:eastAsia="宋体" w:hAnsi="宋体" w:cstheme="minorBidi"/>
      <w:sz w:val="28"/>
      <w:szCs w:val="22"/>
    </w:rPr>
  </w:style>
  <w:style w:type="character" w:customStyle="1" w:styleId="Charff7">
    <w:name w:val="表格内正文 Char"/>
    <w:link w:val="affffffff3"/>
    <w:qFormat/>
    <w:locked/>
    <w:rsid w:val="002A5A5E"/>
    <w:rPr>
      <w:rFonts w:ascii="宋体" w:eastAsia="宋体" w:hAnsi="宋体"/>
      <w:szCs w:val="24"/>
    </w:rPr>
  </w:style>
  <w:style w:type="paragraph" w:customStyle="1" w:styleId="affffffff3">
    <w:name w:val="表格内正文"/>
    <w:basedOn w:val="10"/>
    <w:next w:val="a1"/>
    <w:link w:val="Charff7"/>
    <w:autoRedefine/>
    <w:qFormat/>
    <w:rsid w:val="002A5A5E"/>
    <w:pPr>
      <w:keepNext w:val="0"/>
      <w:keepLines w:val="0"/>
      <w:spacing w:before="0" w:after="0" w:line="360" w:lineRule="auto"/>
      <w:jc w:val="center"/>
      <w:outlineLvl w:val="9"/>
    </w:pPr>
    <w:rPr>
      <w:rFonts w:ascii="宋体" w:hAnsi="宋体" w:cstheme="minorBidi"/>
      <w:b w:val="0"/>
      <w:bCs w:val="0"/>
      <w:kern w:val="2"/>
      <w:sz w:val="21"/>
      <w:szCs w:val="24"/>
    </w:rPr>
  </w:style>
  <w:style w:type="paragraph" w:customStyle="1" w:styleId="cucd-00">
    <w:name w:val="样式 cucd-0 + 宋体"/>
    <w:basedOn w:val="cucd-0"/>
    <w:next w:val="a1"/>
    <w:autoRedefine/>
    <w:uiPriority w:val="99"/>
    <w:qFormat/>
    <w:rsid w:val="002A5A5E"/>
    <w:rPr>
      <w:rFonts w:ascii="宋体" w:hAnsi="宋体"/>
    </w:rPr>
  </w:style>
  <w:style w:type="paragraph" w:customStyle="1" w:styleId="CharCharCharCharCharCharCharCharCharCharCharChar1CharCharCharCharCharCharCharCharCharCharCharChar1Char">
    <w:name w:val="Char Char Char Char Char Char Char Char Char Char Char Char1 Char Char Char Char Char Char Char Char Char Char Char Char1 Char"/>
    <w:basedOn w:val="10"/>
    <w:next w:val="a1"/>
    <w:autoRedefine/>
    <w:uiPriority w:val="99"/>
    <w:semiHidden/>
    <w:qFormat/>
    <w:rsid w:val="002A5A5E"/>
    <w:pPr>
      <w:keepNext w:val="0"/>
      <w:keepLines w:val="0"/>
      <w:spacing w:before="0" w:after="0" w:line="336" w:lineRule="auto"/>
      <w:ind w:firstLineChars="200" w:firstLine="200"/>
      <w:outlineLvl w:val="9"/>
    </w:pPr>
    <w:rPr>
      <w:rFonts w:ascii="宋体" w:eastAsia="汉鼎简书宋" w:hAnsi="宋体" w:cs="宋体"/>
      <w:b w:val="0"/>
      <w:bCs w:val="0"/>
      <w:kern w:val="2"/>
      <w:sz w:val="24"/>
      <w:szCs w:val="24"/>
    </w:rPr>
  </w:style>
  <w:style w:type="paragraph" w:customStyle="1" w:styleId="CharCharChar1Char">
    <w:name w:val="Char Char Char1 Char"/>
    <w:basedOn w:val="10"/>
    <w:next w:val="a1"/>
    <w:autoRedefine/>
    <w:uiPriority w:val="99"/>
    <w:semiHidden/>
    <w:qFormat/>
    <w:rsid w:val="002A5A5E"/>
    <w:pPr>
      <w:keepNext w:val="0"/>
      <w:keepLines w:val="0"/>
      <w:spacing w:before="0" w:after="0" w:line="500" w:lineRule="atLeast"/>
      <w:ind w:firstLineChars="177" w:firstLine="425"/>
      <w:outlineLvl w:val="9"/>
    </w:pPr>
    <w:rPr>
      <w:b w:val="0"/>
      <w:bCs w:val="0"/>
      <w:kern w:val="2"/>
      <w:sz w:val="24"/>
      <w:szCs w:val="24"/>
    </w:rPr>
  </w:style>
  <w:style w:type="paragraph" w:customStyle="1" w:styleId="affffffff4">
    <w:name w:val="正文(a)"/>
    <w:basedOn w:val="10"/>
    <w:next w:val="a1"/>
    <w:autoRedefine/>
    <w:uiPriority w:val="99"/>
    <w:semiHidden/>
    <w:qFormat/>
    <w:rsid w:val="002A5A5E"/>
    <w:pPr>
      <w:keepNext w:val="0"/>
      <w:keepLines w:val="0"/>
      <w:widowControl/>
      <w:tabs>
        <w:tab w:val="left" w:pos="1139"/>
        <w:tab w:val="left" w:pos="1332"/>
      </w:tabs>
      <w:spacing w:before="0" w:after="0" w:line="351" w:lineRule="atLeast"/>
      <w:ind w:left="-141" w:firstLineChars="177" w:firstLine="566"/>
      <w:outlineLvl w:val="9"/>
    </w:pPr>
    <w:rPr>
      <w:rFonts w:ascii="宋体" w:cs="宋体"/>
      <w:b w:val="0"/>
      <w:color w:val="000000"/>
      <w:spacing w:val="5"/>
      <w:kern w:val="0"/>
      <w:sz w:val="24"/>
      <w:szCs w:val="21"/>
      <w:u w:color="000000"/>
    </w:rPr>
  </w:style>
  <w:style w:type="character" w:styleId="affffffff5">
    <w:name w:val="Placeholder Text"/>
    <w:basedOn w:val="a2"/>
    <w:uiPriority w:val="99"/>
    <w:semiHidden/>
    <w:qFormat/>
    <w:rsid w:val="002A5A5E"/>
    <w:rPr>
      <w:color w:val="808080"/>
    </w:rPr>
  </w:style>
  <w:style w:type="character" w:customStyle="1" w:styleId="Char1e">
    <w:name w:val="页脚 Char1"/>
    <w:basedOn w:val="a2"/>
    <w:uiPriority w:val="99"/>
    <w:semiHidden/>
    <w:qFormat/>
    <w:rsid w:val="002A5A5E"/>
    <w:rPr>
      <w:rFonts w:ascii="Times New Roman" w:eastAsia="宋体" w:hAnsi="Times New Roman" w:cs="Times New Roman"/>
      <w:sz w:val="18"/>
      <w:szCs w:val="18"/>
    </w:rPr>
  </w:style>
  <w:style w:type="character" w:customStyle="1" w:styleId="Char1f">
    <w:name w:val="文档结构图 Char1"/>
    <w:basedOn w:val="a2"/>
    <w:uiPriority w:val="99"/>
    <w:semiHidden/>
    <w:qFormat/>
    <w:rsid w:val="002A5A5E"/>
    <w:rPr>
      <w:rFonts w:ascii="宋体" w:eastAsia="宋体" w:hAnsi="Times New Roman" w:cs="Times New Roman"/>
      <w:sz w:val="18"/>
      <w:szCs w:val="18"/>
    </w:rPr>
  </w:style>
  <w:style w:type="character" w:customStyle="1" w:styleId="Char1f0">
    <w:name w:val="副标题 Char1"/>
    <w:basedOn w:val="a2"/>
    <w:uiPriority w:val="11"/>
    <w:qFormat/>
    <w:rsid w:val="002A5A5E"/>
    <w:rPr>
      <w:rFonts w:asciiTheme="majorHAnsi" w:eastAsia="宋体" w:hAnsiTheme="majorHAnsi" w:cstheme="majorBidi"/>
      <w:b/>
      <w:bCs/>
      <w:kern w:val="28"/>
      <w:sz w:val="32"/>
      <w:szCs w:val="32"/>
    </w:rPr>
  </w:style>
  <w:style w:type="character" w:customStyle="1" w:styleId="fontstyle21">
    <w:name w:val="fontstyle21"/>
    <w:basedOn w:val="a2"/>
    <w:qFormat/>
    <w:rsid w:val="002A5A5E"/>
    <w:rPr>
      <w:rFonts w:ascii="Times New Roman" w:hAnsi="Times New Roman" w:cs="Times New Roman" w:hint="default"/>
      <w:color w:val="000000"/>
      <w:sz w:val="24"/>
      <w:szCs w:val="24"/>
    </w:rPr>
  </w:style>
  <w:style w:type="character" w:customStyle="1" w:styleId="2Char13">
    <w:name w:val="正文文本 2 Char1"/>
    <w:basedOn w:val="a2"/>
    <w:semiHidden/>
    <w:qFormat/>
    <w:rsid w:val="002A5A5E"/>
    <w:rPr>
      <w:rFonts w:ascii="Times New Roman" w:eastAsia="宋体" w:hAnsi="Times New Roman" w:cs="Times New Roman"/>
      <w:szCs w:val="24"/>
    </w:rPr>
  </w:style>
  <w:style w:type="character" w:customStyle="1" w:styleId="3Char11">
    <w:name w:val="正文文本 3 Char1"/>
    <w:basedOn w:val="a2"/>
    <w:semiHidden/>
    <w:qFormat/>
    <w:rsid w:val="002A5A5E"/>
    <w:rPr>
      <w:rFonts w:ascii="Times New Roman" w:eastAsia="宋体" w:hAnsi="Times New Roman" w:cs="Times New Roman"/>
      <w:sz w:val="16"/>
      <w:szCs w:val="16"/>
    </w:rPr>
  </w:style>
  <w:style w:type="character" w:customStyle="1" w:styleId="3Char12">
    <w:name w:val="正文文本缩进 3 Char1"/>
    <w:basedOn w:val="a2"/>
    <w:uiPriority w:val="99"/>
    <w:semiHidden/>
    <w:qFormat/>
    <w:rsid w:val="002A5A5E"/>
    <w:rPr>
      <w:rFonts w:ascii="Times New Roman" w:eastAsia="宋体" w:hAnsi="Times New Roman" w:cs="Times New Roman"/>
      <w:sz w:val="16"/>
      <w:szCs w:val="16"/>
    </w:rPr>
  </w:style>
  <w:style w:type="character" w:customStyle="1" w:styleId="Char1f1">
    <w:name w:val="批注主题 Char1"/>
    <w:basedOn w:val="Char18"/>
    <w:uiPriority w:val="99"/>
    <w:semiHidden/>
    <w:qFormat/>
    <w:rsid w:val="002A5A5E"/>
    <w:rPr>
      <w:rFonts w:ascii="Times New Roman" w:eastAsia="宋体" w:hAnsi="Times New Roman" w:cs="Times New Roman"/>
      <w:b/>
      <w:bCs/>
      <w:szCs w:val="24"/>
    </w:rPr>
  </w:style>
  <w:style w:type="character" w:customStyle="1" w:styleId="Char1f2">
    <w:name w:val="批注框文本 Char1"/>
    <w:basedOn w:val="a2"/>
    <w:semiHidden/>
    <w:qFormat/>
    <w:rsid w:val="002A5A5E"/>
    <w:rPr>
      <w:rFonts w:ascii="Times New Roman" w:eastAsia="宋体" w:hAnsi="Times New Roman" w:cs="Times New Roman"/>
      <w:sz w:val="18"/>
      <w:szCs w:val="18"/>
    </w:rPr>
  </w:style>
  <w:style w:type="character" w:customStyle="1" w:styleId="CharChar3">
    <w:name w:val="【正文】 Char Char"/>
    <w:qFormat/>
    <w:rsid w:val="002A5A5E"/>
    <w:rPr>
      <w:sz w:val="24"/>
    </w:rPr>
  </w:style>
  <w:style w:type="character" w:customStyle="1" w:styleId="fontstyle31">
    <w:name w:val="fontstyle31"/>
    <w:basedOn w:val="a2"/>
    <w:qFormat/>
    <w:rsid w:val="002A5A5E"/>
    <w:rPr>
      <w:rFonts w:ascii="TimesNewRomanPS-ItalicMT" w:hAnsi="TimesNewRomanPS-ItalicMT" w:hint="default"/>
      <w:i/>
      <w:iCs/>
      <w:color w:val="000000"/>
      <w:sz w:val="14"/>
      <w:szCs w:val="14"/>
    </w:rPr>
  </w:style>
  <w:style w:type="character" w:customStyle="1" w:styleId="Char1CharChar">
    <w:name w:val="表正文 Char1 Char Char"/>
    <w:qFormat/>
    <w:rsid w:val="002A5A5E"/>
    <w:rPr>
      <w:sz w:val="24"/>
    </w:rPr>
  </w:style>
  <w:style w:type="character" w:customStyle="1" w:styleId="style81">
    <w:name w:val="style81"/>
    <w:qFormat/>
    <w:rsid w:val="002A5A5E"/>
    <w:rPr>
      <w:rFonts w:ascii="宋体" w:eastAsia="黑体" w:hAnsi="宋体" w:cs="宋体" w:hint="eastAsia"/>
      <w:kern w:val="2"/>
      <w:sz w:val="24"/>
      <w:szCs w:val="24"/>
      <w:lang w:val="en-US" w:eastAsia="zh-CN" w:bidi="ar-SA"/>
    </w:rPr>
  </w:style>
  <w:style w:type="character" w:customStyle="1" w:styleId="zoe1CharChar">
    <w:name w:val="样式 正文zoe + 幼圆1 Char Char"/>
    <w:qFormat/>
    <w:rsid w:val="002A5A5E"/>
    <w:rPr>
      <w:rFonts w:ascii="幼圆" w:eastAsia="宋体" w:hAnsi="幼圆" w:cs="Times New Roman" w:hint="eastAsia"/>
      <w:kern w:val="0"/>
      <w:sz w:val="24"/>
      <w:szCs w:val="20"/>
    </w:rPr>
  </w:style>
  <w:style w:type="character" w:customStyle="1" w:styleId="CharChar4">
    <w:name w:val="正文(首行缩进) Char Char"/>
    <w:qFormat/>
    <w:rsid w:val="002A5A5E"/>
    <w:rPr>
      <w:snapToGrid w:val="0"/>
      <w:sz w:val="24"/>
      <w:szCs w:val="24"/>
    </w:rPr>
  </w:style>
  <w:style w:type="character" w:customStyle="1" w:styleId="CharChar5">
    <w:name w:val="表格 Char Char"/>
    <w:qFormat/>
    <w:rsid w:val="002A5A5E"/>
    <w:rPr>
      <w:rFonts w:ascii="宋体" w:eastAsia="宋体" w:hAnsi="宋体" w:cs="Times New Roman" w:hint="eastAsia"/>
      <w:snapToGrid w:val="0"/>
      <w:kern w:val="0"/>
      <w:sz w:val="20"/>
      <w:szCs w:val="20"/>
    </w:rPr>
  </w:style>
  <w:style w:type="character" w:customStyle="1" w:styleId="CharChar17">
    <w:name w:val="Char Char17"/>
    <w:qFormat/>
    <w:rsid w:val="002A5A5E"/>
    <w:rPr>
      <w:rFonts w:ascii="Times New Roman" w:eastAsia="黑体" w:hAnsi="Times New Roman" w:cs="Times New Roman" w:hint="default"/>
      <w:bCs/>
      <w:color w:val="000000"/>
      <w:sz w:val="28"/>
      <w:szCs w:val="28"/>
    </w:rPr>
  </w:style>
  <w:style w:type="character" w:customStyle="1" w:styleId="CharChar16">
    <w:name w:val="Char Char16"/>
    <w:qFormat/>
    <w:rsid w:val="002A5A5E"/>
    <w:rPr>
      <w:rFonts w:ascii="Times New Roman" w:eastAsia="宋体" w:hAnsi="Times New Roman" w:cs="Times New Roman" w:hint="default"/>
      <w:b/>
      <w:bCs/>
      <w:color w:val="000000"/>
      <w:sz w:val="28"/>
      <w:szCs w:val="28"/>
    </w:rPr>
  </w:style>
  <w:style w:type="character" w:customStyle="1" w:styleId="CharChar6">
    <w:name w:val="正文文本缩进 Char Char"/>
    <w:basedOn w:val="a2"/>
    <w:qFormat/>
    <w:rsid w:val="002A5A5E"/>
  </w:style>
  <w:style w:type="character" w:customStyle="1" w:styleId="affffffff6">
    <w:name w:val="正文文本_"/>
    <w:qFormat/>
    <w:rsid w:val="002A5A5E"/>
    <w:rPr>
      <w:rFonts w:ascii="MingLiU" w:eastAsia="MingLiU" w:hAnsi="MingLiU" w:cs="MingLiU" w:hint="eastAsia"/>
      <w:sz w:val="23"/>
      <w:szCs w:val="23"/>
      <w:u w:val="none"/>
    </w:rPr>
  </w:style>
  <w:style w:type="character" w:customStyle="1" w:styleId="TimesNewRoman3">
    <w:name w:val="正文文本 + Times New Roman3"/>
    <w:qFormat/>
    <w:rsid w:val="002A5A5E"/>
    <w:rPr>
      <w:rFonts w:ascii="Times New Roman" w:eastAsia="MingLiU" w:hAnsi="Times New Roman" w:cs="Times New Roman" w:hint="default"/>
      <w:sz w:val="23"/>
      <w:szCs w:val="23"/>
      <w:u w:val="none"/>
    </w:rPr>
  </w:style>
  <w:style w:type="character" w:customStyle="1" w:styleId="TimesNewRoman2">
    <w:name w:val="正文文本 + Times New Roman2"/>
    <w:qFormat/>
    <w:rsid w:val="002A5A5E"/>
    <w:rPr>
      <w:rFonts w:ascii="Times New Roman" w:eastAsia="MingLiU" w:hAnsi="Times New Roman" w:cs="Times New Roman" w:hint="default"/>
      <w:b/>
      <w:bCs/>
      <w:sz w:val="16"/>
      <w:szCs w:val="16"/>
      <w:u w:val="none"/>
    </w:rPr>
  </w:style>
  <w:style w:type="character" w:customStyle="1" w:styleId="2TimesNewRoman">
    <w:name w:val="正文文本 (2) + Times New Roman"/>
    <w:qFormat/>
    <w:rsid w:val="002A5A5E"/>
    <w:rPr>
      <w:rFonts w:ascii="Times New Roman" w:eastAsia="MingLiU" w:hAnsi="Times New Roman" w:cs="Times New Roman" w:hint="default"/>
      <w:b/>
      <w:bCs/>
      <w:sz w:val="20"/>
      <w:szCs w:val="20"/>
      <w:lang w:bidi="ar-SA"/>
    </w:rPr>
  </w:style>
  <w:style w:type="character" w:customStyle="1" w:styleId="0pt">
    <w:name w:val="正文文本 + 间距 0 pt"/>
    <w:qFormat/>
    <w:rsid w:val="002A5A5E"/>
    <w:rPr>
      <w:rFonts w:ascii="MingLiU" w:eastAsia="MingLiU" w:hAnsi="MingLiU" w:cs="MingLiU" w:hint="eastAsia"/>
      <w:spacing w:val="-11"/>
      <w:sz w:val="23"/>
      <w:szCs w:val="23"/>
      <w:u w:val="none"/>
    </w:rPr>
  </w:style>
  <w:style w:type="character" w:customStyle="1" w:styleId="0pt10">
    <w:name w:val="正文文本 + 间距 0 pt10"/>
    <w:qFormat/>
    <w:rsid w:val="002A5A5E"/>
    <w:rPr>
      <w:rFonts w:ascii="MingLiU" w:eastAsia="MingLiU" w:hAnsi="MingLiU" w:cs="MingLiU" w:hint="eastAsia"/>
      <w:spacing w:val="-15"/>
      <w:sz w:val="23"/>
      <w:szCs w:val="23"/>
      <w:u w:val="none"/>
    </w:rPr>
  </w:style>
  <w:style w:type="character" w:customStyle="1" w:styleId="CharChar172">
    <w:name w:val="Char Char172"/>
    <w:qFormat/>
    <w:rsid w:val="002A5A5E"/>
    <w:rPr>
      <w:rFonts w:ascii="Times New Roman" w:eastAsia="黑体" w:hAnsi="Times New Roman" w:cs="Times New Roman" w:hint="default"/>
      <w:bCs/>
      <w:color w:val="000000"/>
      <w:sz w:val="28"/>
      <w:szCs w:val="28"/>
    </w:rPr>
  </w:style>
  <w:style w:type="character" w:customStyle="1" w:styleId="CharChar162">
    <w:name w:val="Char Char162"/>
    <w:qFormat/>
    <w:rsid w:val="002A5A5E"/>
    <w:rPr>
      <w:rFonts w:ascii="Times New Roman" w:eastAsia="宋体" w:hAnsi="Times New Roman" w:cs="Times New Roman" w:hint="default"/>
      <w:b/>
      <w:bCs/>
      <w:color w:val="000000"/>
      <w:sz w:val="28"/>
      <w:szCs w:val="28"/>
    </w:rPr>
  </w:style>
  <w:style w:type="character" w:customStyle="1" w:styleId="CharChar171">
    <w:name w:val="Char Char171"/>
    <w:qFormat/>
    <w:rsid w:val="002A5A5E"/>
    <w:rPr>
      <w:rFonts w:ascii="Times New Roman" w:eastAsia="黑体" w:hAnsi="Times New Roman" w:cs="Times New Roman" w:hint="default"/>
      <w:bCs/>
      <w:color w:val="000000"/>
      <w:sz w:val="28"/>
      <w:szCs w:val="28"/>
    </w:rPr>
  </w:style>
  <w:style w:type="character" w:customStyle="1" w:styleId="CharChar161">
    <w:name w:val="Char Char161"/>
    <w:qFormat/>
    <w:rsid w:val="002A5A5E"/>
    <w:rPr>
      <w:rFonts w:ascii="Times New Roman" w:eastAsia="宋体" w:hAnsi="Times New Roman" w:cs="Times New Roman" w:hint="default"/>
      <w:b/>
      <w:bCs/>
      <w:color w:val="000000"/>
      <w:sz w:val="28"/>
      <w:szCs w:val="28"/>
    </w:rPr>
  </w:style>
  <w:style w:type="character" w:customStyle="1" w:styleId="affffffff7">
    <w:name w:val="样式 黑体 四号"/>
    <w:basedOn w:val="a2"/>
    <w:qFormat/>
    <w:rsid w:val="002A5A5E"/>
    <w:rPr>
      <w:rFonts w:ascii="黑体" w:eastAsia="黑体" w:hAnsi="黑体" w:hint="eastAsia"/>
      <w:sz w:val="28"/>
    </w:rPr>
  </w:style>
  <w:style w:type="character" w:customStyle="1" w:styleId="affffffff8">
    <w:name w:val="样式 黑体 小三"/>
    <w:basedOn w:val="a2"/>
    <w:qFormat/>
    <w:rsid w:val="002A5A5E"/>
    <w:rPr>
      <w:rFonts w:ascii="Times New Roman" w:eastAsia="FangSong_GB2312" w:hAnsi="Times New Roman" w:cs="Times New Roman" w:hint="default"/>
    </w:rPr>
  </w:style>
  <w:style w:type="character" w:customStyle="1" w:styleId="NormalCharChar">
    <w:name w:val="Normal Char Char"/>
    <w:qFormat/>
    <w:rsid w:val="002A5A5E"/>
    <w:rPr>
      <w:rFonts w:ascii="宋体" w:eastAsia="宋体" w:hAnsi="Times New Roman" w:hint="eastAsia"/>
      <w:kern w:val="2"/>
      <w:sz w:val="24"/>
      <w:szCs w:val="22"/>
      <w:lang w:val="en-US" w:eastAsia="zh-CN" w:bidi="ar-SA"/>
    </w:rPr>
  </w:style>
  <w:style w:type="character" w:customStyle="1" w:styleId="CharChar40">
    <w:name w:val="Char Char4"/>
    <w:qFormat/>
    <w:rsid w:val="002A5A5E"/>
    <w:rPr>
      <w:rFonts w:ascii="楷体_GB2312" w:eastAsia="楷体_GB2312" w:hint="eastAsia"/>
      <w:color w:val="000000"/>
      <w:sz w:val="24"/>
      <w:szCs w:val="24"/>
      <w:shd w:val="clear" w:color="auto" w:fill="FFFFFF"/>
      <w:lang w:val="zh-CN" w:eastAsia="zh-CN" w:bidi="ar-SA"/>
    </w:rPr>
  </w:style>
  <w:style w:type="character" w:customStyle="1" w:styleId="Charff8">
    <w:name w:val="表头 Char"/>
    <w:qFormat/>
    <w:rsid w:val="002A5A5E"/>
    <w:rPr>
      <w:rFonts w:ascii="黑体" w:eastAsia="黑体" w:hAnsi="黑体" w:hint="eastAsia"/>
      <w:shadow/>
      <w:kern w:val="2"/>
      <w:sz w:val="24"/>
      <w:szCs w:val="24"/>
      <w:lang w:val="en-US" w:eastAsia="zh-CN" w:bidi="ar-SA"/>
    </w:rPr>
  </w:style>
  <w:style w:type="character" w:customStyle="1" w:styleId="----------------Char">
    <w:name w:val="正文---------------- Char"/>
    <w:qFormat/>
    <w:rsid w:val="002A5A5E"/>
    <w:rPr>
      <w:rFonts w:ascii="Times New Roman" w:eastAsia="宋体" w:hAnsi="Times New Roman" w:cs="Times New Roman" w:hint="default"/>
      <w:spacing w:val="16"/>
      <w:sz w:val="24"/>
      <w:szCs w:val="20"/>
    </w:rPr>
  </w:style>
  <w:style w:type="character" w:customStyle="1" w:styleId="CharChar7">
    <w:name w:val="表格标题 Char Char"/>
    <w:qFormat/>
    <w:rsid w:val="002A5A5E"/>
    <w:rPr>
      <w:rFonts w:ascii="宋体" w:eastAsia="宋体" w:hAnsi="宋体" w:hint="eastAsia"/>
      <w:szCs w:val="21"/>
    </w:rPr>
  </w:style>
  <w:style w:type="character" w:customStyle="1" w:styleId="style151">
    <w:name w:val="style151"/>
    <w:qFormat/>
    <w:rsid w:val="002A5A5E"/>
    <w:rPr>
      <w:spacing w:val="240"/>
      <w:sz w:val="18"/>
      <w:szCs w:val="18"/>
    </w:rPr>
  </w:style>
  <w:style w:type="character" w:customStyle="1" w:styleId="Char1f3">
    <w:name w:val="正 Char1"/>
    <w:qFormat/>
    <w:rsid w:val="002A5A5E"/>
    <w:rPr>
      <w:rFonts w:ascii="宋体" w:eastAsia="宋体" w:hAnsi="宋体" w:cs="宋体" w:hint="eastAsia"/>
      <w:sz w:val="24"/>
    </w:rPr>
  </w:style>
  <w:style w:type="character" w:customStyle="1" w:styleId="affffffff9">
    <w:name w:val="样式 样式 四号 蓝色 + 自动设置"/>
    <w:basedOn w:val="a2"/>
    <w:qFormat/>
    <w:rsid w:val="002A5A5E"/>
    <w:rPr>
      <w:color w:val="auto"/>
      <w:sz w:val="24"/>
    </w:rPr>
  </w:style>
  <w:style w:type="character" w:customStyle="1" w:styleId="apple-converted-space">
    <w:name w:val="apple-converted-space"/>
    <w:basedOn w:val="a2"/>
    <w:qFormat/>
    <w:rsid w:val="002A5A5E"/>
  </w:style>
  <w:style w:type="character" w:customStyle="1" w:styleId="111CharChar">
    <w:name w:val="正文111 Char Char"/>
    <w:qFormat/>
    <w:rsid w:val="002A5A5E"/>
    <w:rPr>
      <w:rFonts w:ascii="Times New Roman" w:eastAsia="FangSong_GB2312" w:hAnsi="Times New Roman" w:cs="Times New Roman" w:hint="default"/>
      <w:spacing w:val="6"/>
      <w:sz w:val="24"/>
      <w:szCs w:val="24"/>
    </w:rPr>
  </w:style>
  <w:style w:type="character" w:customStyle="1" w:styleId="1fb">
    <w:name w:val="已访问的超链接1"/>
    <w:basedOn w:val="a2"/>
    <w:qFormat/>
    <w:rsid w:val="002A5A5E"/>
    <w:rPr>
      <w:color w:val="800080"/>
      <w:u w:val="single"/>
    </w:rPr>
  </w:style>
  <w:style w:type="character" w:customStyle="1" w:styleId="defaultfont">
    <w:name w:val="defaultfont"/>
    <w:basedOn w:val="a2"/>
    <w:qFormat/>
    <w:rsid w:val="002A5A5E"/>
  </w:style>
  <w:style w:type="character" w:customStyle="1" w:styleId="2CharCharChar">
    <w:name w:val="正文文本 2 Char Char Char"/>
    <w:qFormat/>
    <w:rsid w:val="002A5A5E"/>
    <w:rPr>
      <w:kern w:val="2"/>
      <w:sz w:val="21"/>
      <w:szCs w:val="24"/>
    </w:rPr>
  </w:style>
  <w:style w:type="character" w:customStyle="1" w:styleId="Char1Char1">
    <w:name w:val="题注 Char1 Char1"/>
    <w:qFormat/>
    <w:rsid w:val="002A5A5E"/>
    <w:rPr>
      <w:rFonts w:ascii="Arial" w:eastAsia="黑体" w:hAnsi="Arial" w:cs="Arial" w:hint="default"/>
      <w:color w:val="000000"/>
      <w:spacing w:val="4"/>
      <w:kern w:val="2"/>
      <w:sz w:val="21"/>
      <w:szCs w:val="21"/>
      <w:lang w:val="en-US" w:eastAsia="zh-CN" w:bidi="ar-SA"/>
    </w:rPr>
  </w:style>
  <w:style w:type="character" w:customStyle="1" w:styleId="default1">
    <w:name w:val="default1"/>
    <w:qFormat/>
    <w:rsid w:val="002A5A5E"/>
    <w:rPr>
      <w:sz w:val="21"/>
      <w:szCs w:val="21"/>
    </w:rPr>
  </w:style>
  <w:style w:type="character" w:customStyle="1" w:styleId="CharCharCharCharCharCharCharCharCharCharCharCharCharCharCharCharCharCharCharCharCharCharCharCharCharCharCharCharCharCharCharCharCharCharCharCharCharCharCharCharCharCharCharCharCharChar">
    <w:name w:val="正文（首行缩进两字） Char Char Char Char Char Char Char Char Char Char Char Char Char Char Char Char Char Char Char Char Char Char Char Char Char Char Char Char Char Char Char Char Char Char Char Char Char Char Char Char Char Char Char Char Char Char"/>
    <w:qFormat/>
    <w:rsid w:val="002A5A5E"/>
    <w:rPr>
      <w:rFonts w:ascii="宋体" w:eastAsia="宋体" w:hAnsi="宋体" w:hint="eastAsia"/>
      <w:sz w:val="21"/>
      <w:lang w:val="en-US" w:eastAsia="zh-CN" w:bidi="ar-SA"/>
    </w:rPr>
  </w:style>
  <w:style w:type="character" w:customStyle="1" w:styleId="style3">
    <w:name w:val="style3"/>
    <w:basedOn w:val="a2"/>
    <w:qFormat/>
    <w:rsid w:val="002A5A5E"/>
  </w:style>
  <w:style w:type="character" w:customStyle="1" w:styleId="textfont11">
    <w:name w:val="textfont11"/>
    <w:qFormat/>
    <w:rsid w:val="002A5A5E"/>
    <w:rPr>
      <w:color w:val="000000"/>
      <w:sz w:val="21"/>
      <w:szCs w:val="21"/>
      <w:u w:val="none"/>
    </w:rPr>
  </w:style>
  <w:style w:type="character" w:customStyle="1" w:styleId="2CharChar0">
    <w:name w:val="正文2 Char Char"/>
    <w:qFormat/>
    <w:rsid w:val="002A5A5E"/>
    <w:rPr>
      <w:sz w:val="21"/>
    </w:rPr>
  </w:style>
  <w:style w:type="character" w:customStyle="1" w:styleId="CharCharChar0">
    <w:name w:val="批注框文本 Char Char Char"/>
    <w:qFormat/>
    <w:rsid w:val="002A5A5E"/>
    <w:rPr>
      <w:kern w:val="2"/>
      <w:sz w:val="18"/>
      <w:szCs w:val="18"/>
    </w:rPr>
  </w:style>
  <w:style w:type="character" w:customStyle="1" w:styleId="apple-style-span">
    <w:name w:val="apple-style-span"/>
    <w:basedOn w:val="a2"/>
    <w:qFormat/>
    <w:rsid w:val="002A5A5E"/>
  </w:style>
  <w:style w:type="character" w:customStyle="1" w:styleId="zy">
    <w:name w:val="zy"/>
    <w:basedOn w:val="a2"/>
    <w:qFormat/>
    <w:rsid w:val="002A5A5E"/>
  </w:style>
  <w:style w:type="character" w:customStyle="1" w:styleId="unnamed11">
    <w:name w:val="unnamed11"/>
    <w:qFormat/>
    <w:rsid w:val="002A5A5E"/>
    <w:rPr>
      <w:spacing w:val="400"/>
      <w:sz w:val="18"/>
      <w:szCs w:val="18"/>
    </w:rPr>
  </w:style>
  <w:style w:type="character" w:customStyle="1" w:styleId="oblogtext">
    <w:name w:val="oblogtext"/>
    <w:basedOn w:val="a2"/>
    <w:qFormat/>
    <w:rsid w:val="002A5A5E"/>
  </w:style>
  <w:style w:type="character" w:customStyle="1" w:styleId="Char1f4">
    <w:name w:val="题注 Char1"/>
    <w:qFormat/>
    <w:rsid w:val="002A5A5E"/>
    <w:rPr>
      <w:rFonts w:ascii="Arial" w:eastAsia="黑体" w:hAnsi="Arial" w:cs="Arial" w:hint="default"/>
    </w:rPr>
  </w:style>
  <w:style w:type="character" w:customStyle="1" w:styleId="txt31">
    <w:name w:val="txt31"/>
    <w:qFormat/>
    <w:rsid w:val="002A5A5E"/>
    <w:rPr>
      <w:dstrike/>
      <w:sz w:val="18"/>
    </w:rPr>
  </w:style>
  <w:style w:type="character" w:customStyle="1" w:styleId="Charff9">
    <w:name w:val="中创国发题注 Char"/>
    <w:qFormat/>
    <w:locked/>
    <w:rsid w:val="002A5A5E"/>
    <w:rPr>
      <w:rFonts w:ascii="Cambria" w:eastAsia="黑体" w:hAnsi="Cambria" w:cs="Cambria" w:hint="default"/>
      <w:lang w:val="en-US" w:eastAsia="zh-CN" w:bidi="ar-SA"/>
    </w:rPr>
  </w:style>
  <w:style w:type="character" w:customStyle="1" w:styleId="2TimesNewRomanChar">
    <w:name w:val="样式 标题 2 + Times New Roman Char"/>
    <w:qFormat/>
    <w:rsid w:val="002A5A5E"/>
    <w:rPr>
      <w:rFonts w:ascii="Times New Roman" w:eastAsia="黑体" w:hAnsi="Times New Roman" w:cs="Times New Roman" w:hint="default"/>
      <w:color w:val="000000"/>
      <w:kern w:val="2"/>
      <w:sz w:val="28"/>
      <w:szCs w:val="30"/>
      <w:lang w:val="en-US" w:eastAsia="zh-CN" w:bidi="ar-SA"/>
    </w:rPr>
  </w:style>
  <w:style w:type="character" w:customStyle="1" w:styleId="zw1">
    <w:name w:val="zw1"/>
    <w:qFormat/>
    <w:rsid w:val="002A5A5E"/>
    <w:rPr>
      <w:rFonts w:ascii="宋体" w:eastAsia="宋体" w:hAnsi="宋体" w:hint="eastAsia"/>
      <w:spacing w:val="400"/>
      <w:sz w:val="22"/>
      <w:szCs w:val="22"/>
    </w:rPr>
  </w:style>
  <w:style w:type="character" w:customStyle="1" w:styleId="1Char5">
    <w:name w:val="样式1 Char"/>
    <w:qFormat/>
    <w:rsid w:val="002A5A5E"/>
    <w:rPr>
      <w:rFonts w:ascii="Arial" w:eastAsia="宋体" w:hAnsi="Arial" w:cs="Arial" w:hint="default"/>
      <w:kern w:val="2"/>
      <w:sz w:val="24"/>
      <w:szCs w:val="24"/>
      <w:lang w:val="en-US" w:eastAsia="zh-CN" w:bidi="ar-SA"/>
    </w:rPr>
  </w:style>
  <w:style w:type="character" w:customStyle="1" w:styleId="ddd">
    <w:name w:val="ddd"/>
    <w:basedOn w:val="a2"/>
    <w:qFormat/>
    <w:rsid w:val="002A5A5E"/>
  </w:style>
  <w:style w:type="character" w:customStyle="1" w:styleId="2Char5">
    <w:name w:val="样式2 Char"/>
    <w:qFormat/>
    <w:rsid w:val="002A5A5E"/>
    <w:rPr>
      <w:rFonts w:ascii="宋体" w:eastAsia="黑体" w:hAnsi="黑体" w:hint="eastAsia"/>
      <w:b/>
      <w:bCs/>
      <w:kern w:val="2"/>
      <w:sz w:val="32"/>
      <w:szCs w:val="32"/>
      <w:lang w:val="en-US" w:eastAsia="zh-CN" w:bidi="ar-SA"/>
    </w:rPr>
  </w:style>
  <w:style w:type="character" w:customStyle="1" w:styleId="f10wentitle">
    <w:name w:val="f10wentitle"/>
    <w:basedOn w:val="a2"/>
    <w:qFormat/>
    <w:rsid w:val="002A5A5E"/>
  </w:style>
  <w:style w:type="character" w:customStyle="1" w:styleId="cucd-0Char">
    <w:name w:val="cucd-0 Char"/>
    <w:qFormat/>
    <w:rsid w:val="002A5A5E"/>
    <w:rPr>
      <w:kern w:val="2"/>
      <w:sz w:val="24"/>
      <w:szCs w:val="24"/>
      <w:lang w:val="en-US" w:eastAsia="zh-CN" w:bidi="ar-SA"/>
    </w:rPr>
  </w:style>
  <w:style w:type="character" w:customStyle="1" w:styleId="6666661">
    <w:name w:val="6666661"/>
    <w:qFormat/>
    <w:rsid w:val="002A5A5E"/>
    <w:rPr>
      <w:color w:val="666666"/>
      <w:sz w:val="18"/>
      <w:szCs w:val="18"/>
      <w:u w:val="none"/>
    </w:rPr>
  </w:style>
  <w:style w:type="character" w:customStyle="1" w:styleId="001CharChar">
    <w:name w:val="正文001 Char Char"/>
    <w:qFormat/>
    <w:rsid w:val="002A5A5E"/>
    <w:rPr>
      <w:rFonts w:ascii="Arial" w:eastAsia="宋体" w:hAnsi="Arial" w:cs="Arial" w:hint="default"/>
      <w:kern w:val="2"/>
      <w:sz w:val="24"/>
      <w:lang w:val="en-US" w:eastAsia="zh-CN" w:bidi="ar-SA"/>
    </w:rPr>
  </w:style>
  <w:style w:type="character" w:customStyle="1" w:styleId="1CharChar0">
    <w:name w:val="正文样式1 Char Char"/>
    <w:qFormat/>
    <w:rsid w:val="002A5A5E"/>
    <w:rPr>
      <w:rFonts w:ascii="宋体" w:eastAsia="宋体" w:hAnsi="宋体" w:hint="eastAsia"/>
      <w:sz w:val="24"/>
    </w:rPr>
  </w:style>
  <w:style w:type="character" w:customStyle="1" w:styleId="tpccontent1">
    <w:name w:val="tpc_content1"/>
    <w:qFormat/>
    <w:rsid w:val="002A5A5E"/>
    <w:rPr>
      <w:sz w:val="17"/>
      <w:szCs w:val="17"/>
    </w:rPr>
  </w:style>
  <w:style w:type="character" w:customStyle="1" w:styleId="grame">
    <w:name w:val="grame"/>
    <w:basedOn w:val="a2"/>
    <w:qFormat/>
    <w:rsid w:val="002A5A5E"/>
  </w:style>
  <w:style w:type="character" w:customStyle="1" w:styleId="cucd-3CharChar">
    <w:name w:val="cucd-3 Char Char"/>
    <w:qFormat/>
    <w:rsid w:val="002A5A5E"/>
    <w:rPr>
      <w:b/>
      <w:sz w:val="28"/>
      <w:szCs w:val="24"/>
      <w:lang w:val="en-US" w:eastAsia="zh-CN" w:bidi="ar-SA"/>
    </w:rPr>
  </w:style>
  <w:style w:type="character" w:customStyle="1" w:styleId="CharChar8">
    <w:name w:val="正文样式 Char Char"/>
    <w:qFormat/>
    <w:rsid w:val="002A5A5E"/>
    <w:rPr>
      <w:rFonts w:ascii="宋体" w:eastAsia="宋体" w:hAnsi="宋体" w:hint="eastAsia"/>
      <w:color w:val="000000"/>
      <w:sz w:val="24"/>
      <w:szCs w:val="24"/>
    </w:rPr>
  </w:style>
  <w:style w:type="character" w:customStyle="1" w:styleId="f9wen1">
    <w:name w:val="f9wen1"/>
    <w:qFormat/>
    <w:rsid w:val="002A5A5E"/>
    <w:rPr>
      <w:dstrike/>
      <w:spacing w:val="12"/>
      <w:sz w:val="18"/>
    </w:rPr>
  </w:style>
  <w:style w:type="character" w:customStyle="1" w:styleId="3CharCharChar">
    <w:name w:val="正文文本缩进 3 Char Char Char"/>
    <w:qFormat/>
    <w:rsid w:val="002A5A5E"/>
    <w:rPr>
      <w:rFonts w:ascii="宋体" w:eastAsia="宋体" w:hAnsi="宋体" w:hint="eastAsia"/>
      <w:kern w:val="2"/>
      <w:sz w:val="24"/>
    </w:rPr>
  </w:style>
  <w:style w:type="character" w:customStyle="1" w:styleId="10CharChar">
    <w:name w:val="正文样式10 Char Char"/>
    <w:qFormat/>
    <w:rsid w:val="002A5A5E"/>
    <w:rPr>
      <w:rFonts w:ascii="宋体" w:eastAsia="宋体" w:hAnsi="宋体" w:cs="Arial" w:hint="eastAsia"/>
      <w:bCs/>
      <w:color w:val="FF00FF"/>
      <w:sz w:val="24"/>
      <w:lang w:val="zh-CN"/>
    </w:rPr>
  </w:style>
  <w:style w:type="character" w:customStyle="1" w:styleId="1fc">
    <w:name w:val="访问过的超链接1"/>
    <w:qFormat/>
    <w:rsid w:val="002A5A5E"/>
    <w:rPr>
      <w:color w:val="800080"/>
      <w:u w:val="single"/>
    </w:rPr>
  </w:style>
  <w:style w:type="character" w:customStyle="1" w:styleId="a11">
    <w:name w:val="a11"/>
    <w:qFormat/>
    <w:rsid w:val="002A5A5E"/>
    <w:rPr>
      <w:color w:val="000000"/>
      <w:sz w:val="18"/>
      <w:szCs w:val="18"/>
    </w:rPr>
  </w:style>
  <w:style w:type="character" w:customStyle="1" w:styleId="Char21">
    <w:name w:val="表头 Char2"/>
    <w:qFormat/>
    <w:rsid w:val="002A5A5E"/>
    <w:rPr>
      <w:rFonts w:ascii="宋体" w:eastAsia="FangSong_GB2312" w:hAnsi="宋体" w:hint="eastAsia"/>
      <w:b/>
      <w:color w:val="000000"/>
      <w:sz w:val="18"/>
    </w:rPr>
  </w:style>
  <w:style w:type="character" w:customStyle="1" w:styleId="1CharChar2">
    <w:name w:val="正文1 Char Char"/>
    <w:qFormat/>
    <w:rsid w:val="002A5A5E"/>
    <w:rPr>
      <w:rFonts w:ascii="宋体" w:eastAsia="宋体" w:hAnsi="宋体" w:hint="eastAsia"/>
      <w:sz w:val="28"/>
    </w:rPr>
  </w:style>
  <w:style w:type="character" w:customStyle="1" w:styleId="CharCharChar1">
    <w:name w:val="正文首行缩进 Char Char Char"/>
    <w:qFormat/>
    <w:rsid w:val="002A5A5E"/>
    <w:rPr>
      <w:kern w:val="2"/>
      <w:sz w:val="24"/>
    </w:rPr>
  </w:style>
  <w:style w:type="character" w:customStyle="1" w:styleId="3CharCharChar0">
    <w:name w:val="正文文本 3 Char Char Char"/>
    <w:qFormat/>
    <w:rsid w:val="002A5A5E"/>
    <w:rPr>
      <w:kern w:val="2"/>
      <w:sz w:val="16"/>
      <w:szCs w:val="16"/>
    </w:rPr>
  </w:style>
  <w:style w:type="character" w:customStyle="1" w:styleId="CharCharChar2">
    <w:name w:val="日期 Char Char Char"/>
    <w:qFormat/>
    <w:rsid w:val="002A5A5E"/>
    <w:rPr>
      <w:rFonts w:ascii="黑体" w:eastAsia="黑体" w:hAnsi="黑体" w:hint="eastAsia"/>
      <w:sz w:val="28"/>
      <w:lang w:val="en-GB"/>
    </w:rPr>
  </w:style>
  <w:style w:type="character" w:customStyle="1" w:styleId="CharCharChar3">
    <w:name w:val="批注主题 Char Char Char"/>
    <w:qFormat/>
    <w:rsid w:val="002A5A5E"/>
    <w:rPr>
      <w:b/>
      <w:bCs/>
      <w:kern w:val="2"/>
      <w:sz w:val="21"/>
      <w:szCs w:val="24"/>
    </w:rPr>
  </w:style>
  <w:style w:type="character" w:customStyle="1" w:styleId="2CharCharChar0">
    <w:name w:val="正文文本缩进 2 Char Char Char"/>
    <w:qFormat/>
    <w:rsid w:val="002A5A5E"/>
    <w:rPr>
      <w:kern w:val="2"/>
      <w:sz w:val="27"/>
    </w:rPr>
  </w:style>
  <w:style w:type="character" w:customStyle="1" w:styleId="2CharCharChar1">
    <w:name w:val="正文首行缩进 2 Char Char Char"/>
    <w:qFormat/>
    <w:rsid w:val="002A5A5E"/>
    <w:rPr>
      <w:kern w:val="2"/>
      <w:sz w:val="28"/>
      <w:szCs w:val="24"/>
    </w:rPr>
  </w:style>
  <w:style w:type="character" w:customStyle="1" w:styleId="Charffa">
    <w:name w:val="图表注 Char"/>
    <w:qFormat/>
    <w:rsid w:val="002A5A5E"/>
    <w:rPr>
      <w:rFonts w:ascii="Arial" w:eastAsia="黑体" w:hAnsi="Arial" w:cs="Arial" w:hint="default"/>
      <w:kern w:val="2"/>
      <w:lang w:val="en-US" w:eastAsia="zh-CN" w:bidi="ar-SA"/>
    </w:rPr>
  </w:style>
  <w:style w:type="character" w:customStyle="1" w:styleId="CharChar9">
    <w:name w:val="表头 Char Char"/>
    <w:qFormat/>
    <w:rsid w:val="002A5A5E"/>
    <w:rPr>
      <w:rFonts w:ascii="宋体" w:eastAsia="宋体" w:hAnsi="宋体" w:hint="eastAsia"/>
      <w:b/>
      <w:kern w:val="2"/>
      <w:sz w:val="24"/>
      <w:szCs w:val="24"/>
      <w:lang w:val="en-US" w:eastAsia="zh-CN" w:bidi="ar-SA"/>
    </w:rPr>
  </w:style>
  <w:style w:type="character" w:customStyle="1" w:styleId="javascript">
    <w:name w:val="javascript"/>
    <w:basedOn w:val="a2"/>
    <w:qFormat/>
    <w:rsid w:val="002A5A5E"/>
  </w:style>
  <w:style w:type="character" w:customStyle="1" w:styleId="content">
    <w:name w:val="content"/>
    <w:basedOn w:val="a2"/>
    <w:qFormat/>
    <w:rsid w:val="002A5A5E"/>
  </w:style>
  <w:style w:type="character" w:customStyle="1" w:styleId="CharCharChar4">
    <w:name w:val="文档结构图 Char Char Char"/>
    <w:qFormat/>
    <w:rsid w:val="002A5A5E"/>
    <w:rPr>
      <w:kern w:val="2"/>
      <w:sz w:val="21"/>
      <w:szCs w:val="24"/>
      <w:shd w:val="clear" w:color="auto" w:fill="000080"/>
    </w:rPr>
  </w:style>
  <w:style w:type="character" w:customStyle="1" w:styleId="text1">
    <w:name w:val="text1"/>
    <w:qFormat/>
    <w:rsid w:val="002A5A5E"/>
    <w:rPr>
      <w:rFonts w:ascii="宋体" w:eastAsia="宋体" w:hAnsi="宋体" w:hint="eastAsia"/>
      <w:color w:val="999999"/>
      <w:sz w:val="18"/>
      <w:szCs w:val="18"/>
      <w:u w:val="none"/>
    </w:rPr>
  </w:style>
  <w:style w:type="character" w:customStyle="1" w:styleId="001Char">
    <w:name w:val="正文001 Char"/>
    <w:qFormat/>
    <w:rsid w:val="002A5A5E"/>
    <w:rPr>
      <w:rFonts w:ascii="Arial" w:eastAsia="宋体" w:hAnsi="Arial" w:cs="Arial" w:hint="default"/>
      <w:kern w:val="2"/>
      <w:sz w:val="24"/>
      <w:lang w:val="en-US" w:eastAsia="zh-CN" w:bidi="ar-SA"/>
    </w:rPr>
  </w:style>
  <w:style w:type="character" w:customStyle="1" w:styleId="141">
    <w:name w:val="141"/>
    <w:qFormat/>
    <w:rsid w:val="002A5A5E"/>
    <w:rPr>
      <w:color w:val="000000"/>
      <w:spacing w:val="330"/>
      <w:sz w:val="21"/>
      <w:szCs w:val="21"/>
    </w:rPr>
  </w:style>
  <w:style w:type="character" w:customStyle="1" w:styleId="redfont1">
    <w:name w:val="red_font1"/>
    <w:qFormat/>
    <w:rsid w:val="002A5A5E"/>
    <w:rPr>
      <w:color w:val="FF0000"/>
      <w:sz w:val="18"/>
      <w:szCs w:val="18"/>
      <w:u w:val="none"/>
    </w:rPr>
  </w:style>
  <w:style w:type="character" w:customStyle="1" w:styleId="cucd-1CharChar">
    <w:name w:val="cucd-1 Char Char"/>
    <w:qFormat/>
    <w:rsid w:val="002A5A5E"/>
    <w:rPr>
      <w:rFonts w:ascii="黑体" w:eastAsia="黑体" w:hAnsi="黑体" w:hint="eastAsia"/>
      <w:b/>
      <w:sz w:val="36"/>
      <w:szCs w:val="24"/>
      <w:lang w:val="en-US" w:eastAsia="zh-CN" w:bidi="ar-SA"/>
    </w:rPr>
  </w:style>
  <w:style w:type="character" w:customStyle="1" w:styleId="Char22">
    <w:name w:val="题注 Char2"/>
    <w:qFormat/>
    <w:rsid w:val="002A5A5E"/>
    <w:rPr>
      <w:rFonts w:ascii="Arial" w:eastAsia="黑体" w:hAnsi="Arial" w:cs="Arial" w:hint="default"/>
      <w:kern w:val="2"/>
      <w:lang w:val="en-US" w:eastAsia="zh-CN" w:bidi="ar-SA"/>
    </w:rPr>
  </w:style>
  <w:style w:type="character" w:customStyle="1" w:styleId="mainfont21">
    <w:name w:val="mainfont21"/>
    <w:qFormat/>
    <w:rsid w:val="002A5A5E"/>
    <w:rPr>
      <w:color w:val="666666"/>
      <w:sz w:val="18"/>
      <w:szCs w:val="18"/>
      <w:u w:val="none"/>
    </w:rPr>
  </w:style>
  <w:style w:type="character" w:customStyle="1" w:styleId="CharCharChar5">
    <w:name w:val="标题 Char Char Char"/>
    <w:qFormat/>
    <w:rsid w:val="002A5A5E"/>
    <w:rPr>
      <w:rFonts w:ascii="Helvetica" w:eastAsia="黑体" w:hAnsi="Helvetica" w:hint="default"/>
      <w:snapToGrid w:val="0"/>
      <w:color w:val="000000"/>
      <w:spacing w:val="4"/>
      <w:kern w:val="2"/>
      <w:sz w:val="32"/>
      <w:szCs w:val="32"/>
    </w:rPr>
  </w:style>
  <w:style w:type="character" w:customStyle="1" w:styleId="CharCharCharCharCharCharCharCharCharCharCharCharCharCharCharCharCharCharCharCharCharCharCharCharCharCharCharCharCharCharCharCharCharCharCharCharCharCharCharCharCharCharCharCharCharCharChar">
    <w:name w:val="正文（首行缩进两字） Char Char Char Char Char Char Char Char Char Char Char Char Char Char Char Char Char Char Char Char Char Char Char Char Char Char Char Char Char Char Char Char Char Char Char Char Char Char Char Char Char Char Char Char Char Char Char"/>
    <w:qFormat/>
    <w:rsid w:val="002A5A5E"/>
    <w:rPr>
      <w:rFonts w:ascii="宋体" w:eastAsia="宋体" w:hAnsi="宋体" w:hint="eastAsia"/>
      <w:kern w:val="2"/>
      <w:sz w:val="24"/>
      <w:lang w:val="en-US" w:eastAsia="zh-CN" w:bidi="ar-SA"/>
    </w:rPr>
  </w:style>
  <w:style w:type="character" w:customStyle="1" w:styleId="textcontents">
    <w:name w:val="textcontents"/>
    <w:basedOn w:val="a2"/>
    <w:qFormat/>
    <w:rsid w:val="002A5A5E"/>
  </w:style>
  <w:style w:type="character" w:customStyle="1" w:styleId="CharCharChar6">
    <w:name w:val="批注文字 Char Char Char"/>
    <w:qFormat/>
    <w:rsid w:val="002A5A5E"/>
    <w:rPr>
      <w:kern w:val="2"/>
      <w:sz w:val="21"/>
      <w:szCs w:val="24"/>
    </w:rPr>
  </w:style>
  <w:style w:type="character" w:customStyle="1" w:styleId="cucd-TBCharChar">
    <w:name w:val="cucd-TB Char Char"/>
    <w:qFormat/>
    <w:rsid w:val="002A5A5E"/>
    <w:rPr>
      <w:szCs w:val="24"/>
      <w:lang w:val="en-US" w:eastAsia="zh-CN" w:bidi="ar-SA"/>
    </w:rPr>
  </w:style>
  <w:style w:type="character" w:customStyle="1" w:styleId="zzsy051">
    <w:name w:val="zzsy051"/>
    <w:qFormat/>
    <w:rsid w:val="002A5A5E"/>
    <w:rPr>
      <w:rFonts w:ascii="宋体" w:eastAsia="宋体" w:hAnsi="宋体" w:hint="eastAsia"/>
      <w:b/>
      <w:bCs/>
      <w:color w:val="FF0000"/>
      <w:sz w:val="24"/>
      <w:szCs w:val="24"/>
    </w:rPr>
  </w:style>
  <w:style w:type="character" w:customStyle="1" w:styleId="1Char6">
    <w:name w:val="正文1 Char"/>
    <w:qFormat/>
    <w:rsid w:val="002A5A5E"/>
    <w:rPr>
      <w:rFonts w:ascii="宋体" w:eastAsia="宋体" w:hAnsi="宋体" w:hint="eastAsia"/>
      <w:sz w:val="28"/>
    </w:rPr>
  </w:style>
  <w:style w:type="character" w:customStyle="1" w:styleId="Charffb">
    <w:name w:val="样式 日期 + 宋体 Char"/>
    <w:qFormat/>
    <w:rsid w:val="002A5A5E"/>
    <w:rPr>
      <w:rFonts w:ascii="宋体" w:eastAsia="宋体" w:hAnsi="宋体" w:hint="eastAsia"/>
      <w:kern w:val="2"/>
      <w:sz w:val="28"/>
      <w:lang w:val="en-GB" w:eastAsia="zh-CN" w:bidi="ar-SA"/>
    </w:rPr>
  </w:style>
  <w:style w:type="character" w:customStyle="1" w:styleId="HTMLCharCharChar">
    <w:name w:val="HTML 预设格式 Char Char Char"/>
    <w:qFormat/>
    <w:rsid w:val="002A5A5E"/>
    <w:rPr>
      <w:rFonts w:ascii="Arial" w:hAnsi="Arial" w:cs="Arial" w:hint="default"/>
      <w:sz w:val="21"/>
      <w:szCs w:val="21"/>
    </w:rPr>
  </w:style>
  <w:style w:type="character" w:customStyle="1" w:styleId="ltextCharChar">
    <w:name w:val="l_text Char Char"/>
    <w:qFormat/>
    <w:rsid w:val="002A5A5E"/>
    <w:rPr>
      <w:rFonts w:ascii="宋体" w:eastAsia="宋体" w:hAnsi="宋体" w:hint="eastAsia"/>
      <w:sz w:val="28"/>
      <w:szCs w:val="28"/>
    </w:rPr>
  </w:style>
  <w:style w:type="character" w:customStyle="1" w:styleId="unnamed31">
    <w:name w:val="unnamed31"/>
    <w:qFormat/>
    <w:rsid w:val="002A5A5E"/>
    <w:rPr>
      <w:sz w:val="18"/>
    </w:rPr>
  </w:style>
  <w:style w:type="character" w:customStyle="1" w:styleId="CharChara">
    <w:name w:val="样式 日期 + 宋体 Char Char"/>
    <w:qFormat/>
    <w:rsid w:val="002A5A5E"/>
    <w:rPr>
      <w:rFonts w:ascii="宋体" w:eastAsia="宋体" w:hAnsi="宋体" w:hint="eastAsia"/>
      <w:kern w:val="2"/>
      <w:sz w:val="28"/>
      <w:lang w:eastAsia="zh-CN" w:bidi="ar-SA"/>
    </w:rPr>
  </w:style>
  <w:style w:type="character" w:customStyle="1" w:styleId="1Char11">
    <w:name w:val="正文1 Char1"/>
    <w:qFormat/>
    <w:rsid w:val="002A5A5E"/>
    <w:rPr>
      <w:rFonts w:ascii="宋体" w:eastAsia="宋体" w:hAnsi="宋体" w:hint="eastAsia"/>
      <w:snapToGrid w:val="0"/>
      <w:sz w:val="24"/>
      <w:szCs w:val="24"/>
      <w:lang w:val="en-US" w:eastAsia="zh-CN" w:bidi="ar-SA"/>
    </w:rPr>
  </w:style>
  <w:style w:type="character" w:customStyle="1" w:styleId="CharCharChar7">
    <w:name w:val="页脚 Char Char Char"/>
    <w:qFormat/>
    <w:rsid w:val="002A5A5E"/>
    <w:rPr>
      <w:kern w:val="2"/>
      <w:sz w:val="18"/>
      <w:szCs w:val="18"/>
    </w:rPr>
  </w:style>
  <w:style w:type="character" w:customStyle="1" w:styleId="cucd-TB-HeadCharChar">
    <w:name w:val="cucd-TB-Head Char Char"/>
    <w:qFormat/>
    <w:rsid w:val="002A5A5E"/>
    <w:rPr>
      <w:rFonts w:ascii="宋体" w:eastAsia="黑体" w:hAnsi="宋体" w:hint="eastAsia"/>
      <w:sz w:val="24"/>
      <w:szCs w:val="21"/>
    </w:rPr>
  </w:style>
  <w:style w:type="character" w:customStyle="1" w:styleId="CharCharb">
    <w:name w:val="样式表 Char Char"/>
    <w:qFormat/>
    <w:rsid w:val="002A5A5E"/>
    <w:rPr>
      <w:rFonts w:ascii="黑体" w:eastAsia="黑体" w:hAnsi="黑体" w:cs="宋体" w:hint="eastAsia"/>
      <w:color w:val="000000"/>
      <w:spacing w:val="8"/>
    </w:rPr>
  </w:style>
  <w:style w:type="character" w:customStyle="1" w:styleId="px14">
    <w:name w:val="px14"/>
    <w:basedOn w:val="a2"/>
    <w:qFormat/>
    <w:rsid w:val="002A5A5E"/>
  </w:style>
  <w:style w:type="character" w:customStyle="1" w:styleId="1-1CharChar">
    <w:name w:val="正文1-1 Char Char"/>
    <w:qFormat/>
    <w:rsid w:val="002A5A5E"/>
    <w:rPr>
      <w:rFonts w:ascii="宋体" w:eastAsia="FangSong_GB2312" w:hAnsi="宋体" w:cs="宋体" w:hint="eastAsia"/>
      <w:sz w:val="28"/>
      <w:szCs w:val="24"/>
    </w:rPr>
  </w:style>
  <w:style w:type="character" w:customStyle="1" w:styleId="cucd-0CharChar">
    <w:name w:val="cucd-0 Char Char"/>
    <w:qFormat/>
    <w:rsid w:val="002A5A5E"/>
    <w:rPr>
      <w:kern w:val="2"/>
      <w:sz w:val="24"/>
      <w:szCs w:val="24"/>
      <w:lang w:val="en-US" w:eastAsia="zh-CN" w:bidi="ar-SA"/>
    </w:rPr>
  </w:style>
  <w:style w:type="character" w:customStyle="1" w:styleId="postbody1">
    <w:name w:val="postbody1"/>
    <w:qFormat/>
    <w:rsid w:val="002A5A5E"/>
    <w:rPr>
      <w:sz w:val="21"/>
      <w:szCs w:val="21"/>
    </w:rPr>
  </w:style>
  <w:style w:type="character" w:customStyle="1" w:styleId="cucd-TB-HeadChar1">
    <w:name w:val="cucd-TB-Head Char1"/>
    <w:qFormat/>
    <w:rsid w:val="002A5A5E"/>
    <w:rPr>
      <w:rFonts w:ascii="宋体" w:eastAsia="宋体" w:hAnsi="宋体" w:hint="eastAsia"/>
      <w:b/>
      <w:kern w:val="2"/>
      <w:sz w:val="24"/>
      <w:szCs w:val="24"/>
      <w:lang w:val="en-US" w:eastAsia="zh-CN" w:bidi="ar-SA"/>
    </w:rPr>
  </w:style>
  <w:style w:type="character" w:customStyle="1" w:styleId="defaultfont1">
    <w:name w:val="defaultfont1"/>
    <w:basedOn w:val="a2"/>
    <w:qFormat/>
    <w:rsid w:val="002A5A5E"/>
  </w:style>
  <w:style w:type="character" w:customStyle="1" w:styleId="cucd-3Char1">
    <w:name w:val="cucd-3 Char1"/>
    <w:qFormat/>
    <w:rsid w:val="002A5A5E"/>
    <w:rPr>
      <w:b/>
      <w:kern w:val="2"/>
      <w:sz w:val="28"/>
      <w:szCs w:val="24"/>
      <w:lang w:val="en-US" w:eastAsia="zh-CN" w:bidi="ar-SA"/>
    </w:rPr>
  </w:style>
  <w:style w:type="character" w:customStyle="1" w:styleId="unnamed3">
    <w:name w:val="unnamed3"/>
    <w:basedOn w:val="a2"/>
    <w:qFormat/>
    <w:rsid w:val="002A5A5E"/>
  </w:style>
  <w:style w:type="character" w:customStyle="1" w:styleId="affffffffa">
    <w:name w:val="样式 方正宋三简体 四号"/>
    <w:qFormat/>
    <w:rsid w:val="002A5A5E"/>
    <w:rPr>
      <w:rFonts w:ascii="宋体" w:eastAsia="宋体" w:hAnsi="宋体" w:hint="eastAsia"/>
      <w:sz w:val="27"/>
      <w:szCs w:val="27"/>
    </w:rPr>
  </w:style>
  <w:style w:type="character" w:customStyle="1" w:styleId="jczi14">
    <w:name w:val="jc zi14"/>
    <w:basedOn w:val="a2"/>
    <w:qFormat/>
    <w:rsid w:val="002A5A5E"/>
  </w:style>
  <w:style w:type="character" w:customStyle="1" w:styleId="DefaultCharChar">
    <w:name w:val="Default Char Char"/>
    <w:qFormat/>
    <w:rsid w:val="002A5A5E"/>
    <w:rPr>
      <w:color w:val="000000"/>
      <w:sz w:val="24"/>
      <w:szCs w:val="24"/>
      <w:lang w:val="en-US" w:eastAsia="zh-CN" w:bidi="ar-SA"/>
    </w:rPr>
  </w:style>
  <w:style w:type="character" w:customStyle="1" w:styleId="3CharChar0">
    <w:name w:val="正文文本缩进 3 Char Char"/>
    <w:basedOn w:val="a2"/>
    <w:qFormat/>
    <w:rsid w:val="002A5A5E"/>
    <w:rPr>
      <w:rFonts w:ascii="宋体" w:eastAsia="宋体" w:hAnsi="宋体" w:hint="eastAsia"/>
      <w:b/>
      <w:bCs/>
      <w:kern w:val="2"/>
      <w:sz w:val="24"/>
      <w:szCs w:val="24"/>
      <w:lang w:val="en-US" w:eastAsia="zh-CN" w:bidi="ar-SA"/>
    </w:rPr>
  </w:style>
  <w:style w:type="character" w:customStyle="1" w:styleId="fontstyle41">
    <w:name w:val="fontstyle41"/>
    <w:basedOn w:val="a2"/>
    <w:qFormat/>
    <w:rsid w:val="002A5A5E"/>
    <w:rPr>
      <w:rFonts w:ascii="SymbolMT" w:eastAsia="SymbolMT" w:hAnsi="SymbolMT" w:hint="eastAsia"/>
      <w:color w:val="000000"/>
      <w:sz w:val="24"/>
      <w:szCs w:val="24"/>
    </w:rPr>
  </w:style>
  <w:style w:type="character" w:customStyle="1" w:styleId="fontstyle51">
    <w:name w:val="fontstyle51"/>
    <w:basedOn w:val="a2"/>
    <w:qFormat/>
    <w:rsid w:val="002A5A5E"/>
    <w:rPr>
      <w:rFonts w:ascii="TimesNewRomanPS-ItalicMT" w:hAnsi="TimesNewRomanPS-ItalicMT" w:hint="default"/>
      <w:i/>
      <w:iCs/>
      <w:color w:val="000000"/>
      <w:sz w:val="24"/>
      <w:szCs w:val="24"/>
    </w:rPr>
  </w:style>
  <w:style w:type="character" w:customStyle="1" w:styleId="CharCharc">
    <w:name w:val="【表头】 Char Char"/>
    <w:qFormat/>
    <w:rsid w:val="002A5A5E"/>
    <w:rPr>
      <w:b/>
      <w:sz w:val="24"/>
    </w:rPr>
  </w:style>
  <w:style w:type="character" w:customStyle="1" w:styleId="Charffc">
    <w:name w:val="普通(网站) Char"/>
    <w:qFormat/>
    <w:locked/>
    <w:rsid w:val="002A5A5E"/>
    <w:rPr>
      <w:rFonts w:ascii="Calibri" w:hAnsi="Calibri" w:hint="default"/>
      <w:color w:val="000000"/>
      <w:sz w:val="24"/>
      <w:szCs w:val="24"/>
    </w:rPr>
  </w:style>
  <w:style w:type="character" w:customStyle="1" w:styleId="1fd">
    <w:name w:val="默认段落字体1"/>
    <w:semiHidden/>
    <w:qFormat/>
    <w:rsid w:val="002A5A5E"/>
    <w:rPr>
      <w:rFonts w:ascii="Times New Roman" w:hAnsi="Times New Roman" w:cs="Times New Roman" w:hint="default"/>
      <w:sz w:val="21"/>
    </w:rPr>
  </w:style>
  <w:style w:type="character" w:customStyle="1" w:styleId="Char23">
    <w:name w:val="正文首行缩进 Char2"/>
    <w:basedOn w:val="a2"/>
    <w:uiPriority w:val="99"/>
    <w:semiHidden/>
    <w:qFormat/>
    <w:rsid w:val="002A5A5E"/>
    <w:rPr>
      <w:rFonts w:ascii="Times New Roman" w:eastAsia="宋体" w:hAnsi="Times New Roman" w:cs="Times New Roman" w:hint="default"/>
      <w:kern w:val="0"/>
      <w:sz w:val="24"/>
      <w:szCs w:val="24"/>
    </w:rPr>
  </w:style>
  <w:style w:type="table" w:customStyle="1" w:styleId="pxg2">
    <w:name w:val="网格型（pxg）2"/>
    <w:basedOn w:val="a3"/>
    <w:qFormat/>
    <w:rsid w:val="002A5A5E"/>
    <w:rPr>
      <w:rFonts w:ascii="Calibri" w:eastAsia="宋体"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6">
    <w:name w:val="网格型4"/>
    <w:basedOn w:val="a3"/>
    <w:qFormat/>
    <w:rsid w:val="002A5A5E"/>
    <w:pPr>
      <w:widowControl w:val="0"/>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e">
    <w:name w:val="网格型1"/>
    <w:basedOn w:val="a3"/>
    <w:qFormat/>
    <w:rsid w:val="002A5A5E"/>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
    <w:name w:val="网格型刘1"/>
    <w:basedOn w:val="a3"/>
    <w:uiPriority w:val="99"/>
    <w:qFormat/>
    <w:rsid w:val="002A5A5E"/>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0010">
    <w:name w:val="网格型001"/>
    <w:basedOn w:val="a3"/>
    <w:qFormat/>
    <w:rsid w:val="002A5A5E"/>
    <w:rPr>
      <w:rFonts w:ascii="Calibri" w:eastAsia="宋体"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002">
    <w:name w:val="网格型002"/>
    <w:basedOn w:val="a3"/>
    <w:qFormat/>
    <w:rsid w:val="002A5A5E"/>
    <w:rPr>
      <w:rFonts w:ascii="Calibri" w:eastAsia="宋体"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003">
    <w:name w:val="网格型003"/>
    <w:basedOn w:val="a3"/>
    <w:qFormat/>
    <w:rsid w:val="002A5A5E"/>
    <w:rPr>
      <w:rFonts w:ascii="Calibri" w:eastAsia="宋体" w:hAnsi="Calibri" w:cs="Times New Roman"/>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0031">
    <w:name w:val="网格型0031"/>
    <w:basedOn w:val="a3"/>
    <w:qFormat/>
    <w:rsid w:val="002A5A5E"/>
    <w:rPr>
      <w:rFonts w:ascii="Calibri" w:eastAsia="宋体"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004">
    <w:name w:val="网格型004"/>
    <w:basedOn w:val="a3"/>
    <w:qFormat/>
    <w:rsid w:val="002A5A5E"/>
    <w:rPr>
      <w:rFonts w:ascii="Calibri" w:eastAsia="宋体"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005">
    <w:name w:val="网格型005"/>
    <w:basedOn w:val="a3"/>
    <w:qFormat/>
    <w:rsid w:val="002A5A5E"/>
    <w:rPr>
      <w:rFonts w:ascii="Calibri" w:eastAsia="宋体" w:hAnsi="Calibri" w:cs="Times New Roman"/>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0032">
    <w:name w:val="网格型0032"/>
    <w:basedOn w:val="a3"/>
    <w:qFormat/>
    <w:rsid w:val="002A5A5E"/>
    <w:rPr>
      <w:rFonts w:ascii="Calibri" w:eastAsia="宋体"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006">
    <w:name w:val="网格型006"/>
    <w:basedOn w:val="a3"/>
    <w:qFormat/>
    <w:rsid w:val="002A5A5E"/>
    <w:rPr>
      <w:rFonts w:ascii="Calibri" w:eastAsia="宋体" w:hAnsi="Calibri" w:cs="Times New Roman"/>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0033">
    <w:name w:val="网格型0033"/>
    <w:basedOn w:val="a3"/>
    <w:qFormat/>
    <w:rsid w:val="002A5A5E"/>
    <w:rPr>
      <w:rFonts w:ascii="Calibri" w:eastAsia="宋体"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0034">
    <w:name w:val="网格型0034"/>
    <w:basedOn w:val="a3"/>
    <w:qFormat/>
    <w:rsid w:val="002A5A5E"/>
    <w:rPr>
      <w:rFonts w:ascii="Calibri" w:eastAsia="宋体"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007">
    <w:name w:val="网格型007"/>
    <w:basedOn w:val="a3"/>
    <w:qFormat/>
    <w:rsid w:val="002A5A5E"/>
    <w:rPr>
      <w:rFonts w:ascii="Calibri" w:eastAsia="宋体" w:hAnsi="Calibri" w:cs="Times New Roman"/>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0035">
    <w:name w:val="网格型0035"/>
    <w:basedOn w:val="a3"/>
    <w:qFormat/>
    <w:rsid w:val="002A5A5E"/>
    <w:rPr>
      <w:rFonts w:ascii="Calibri" w:eastAsia="宋体"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008">
    <w:name w:val="网格型008"/>
    <w:basedOn w:val="a3"/>
    <w:uiPriority w:val="59"/>
    <w:qFormat/>
    <w:rsid w:val="002A5A5E"/>
    <w:rPr>
      <w:rFonts w:ascii="Calibri" w:eastAsia="宋体"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
    <w:name w:val="网格型11"/>
    <w:basedOn w:val="a3"/>
    <w:uiPriority w:val="59"/>
    <w:qFormat/>
    <w:rsid w:val="002A5A5E"/>
    <w:rPr>
      <w:rFonts w:ascii="Times New Roman" w:eastAsia="宋体"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9">
    <w:name w:val="网格型2"/>
    <w:basedOn w:val="a3"/>
    <w:qFormat/>
    <w:rsid w:val="002A5A5E"/>
    <w:rPr>
      <w:rFonts w:ascii="Times New Roman" w:eastAsia="宋体"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c">
    <w:name w:val="网格型3"/>
    <w:basedOn w:val="a3"/>
    <w:qFormat/>
    <w:rsid w:val="002A5A5E"/>
    <w:rPr>
      <w:rFonts w:ascii="Times New Roman" w:eastAsia="宋体"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xg1">
    <w:name w:val="网格型（pxg）1"/>
    <w:basedOn w:val="a3"/>
    <w:qFormat/>
    <w:rsid w:val="002A5A5E"/>
    <w:rPr>
      <w:rFonts w:ascii="Calibri" w:eastAsia="宋体"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xg3">
    <w:name w:val="网格型（pxg）3"/>
    <w:basedOn w:val="a3"/>
    <w:qFormat/>
    <w:rsid w:val="002A5A5E"/>
    <w:rPr>
      <w:rFonts w:ascii="Calibri" w:eastAsia="宋体"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ucd-table">
    <w:name w:val="cucd-table"/>
    <w:basedOn w:val="a3"/>
    <w:qFormat/>
    <w:rsid w:val="002A5A5E"/>
    <w:pPr>
      <w:jc w:val="center"/>
    </w:pPr>
    <w:rPr>
      <w:rFonts w:ascii="Times New Roman" w:eastAsia="宋体" w:hAnsi="Times New Roman" w:cs="Times New Roman"/>
    </w:rPr>
    <w:tblPr>
      <w:tblInd w:w="0" w:type="dxa"/>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CellMar>
        <w:top w:w="0" w:type="dxa"/>
        <w:left w:w="108" w:type="dxa"/>
        <w:bottom w:w="0" w:type="dxa"/>
        <w:right w:w="108" w:type="dxa"/>
      </w:tblCellMar>
    </w:tblPr>
    <w:tcPr>
      <w:vAlign w:val="center"/>
    </w:tcPr>
    <w:tblStylePr w:type="firstRow">
      <w:rPr>
        <w:b/>
        <w:i w:val="0"/>
      </w:rPr>
      <w:tblPr/>
      <w:tcPr>
        <w:tcBorders>
          <w:top w:val="thinThickSmallGap" w:sz="12" w:space="0" w:color="auto"/>
          <w:left w:val="thinThickSmallGap" w:sz="12" w:space="0" w:color="auto"/>
          <w:bottom w:val="single" w:sz="4" w:space="0" w:color="auto"/>
          <w:right w:val="thickThinSmallGap" w:sz="12" w:space="0" w:color="auto"/>
          <w:insideH w:val="single" w:sz="6" w:space="0" w:color="auto"/>
          <w:insideV w:val="single" w:sz="6" w:space="0" w:color="auto"/>
          <w:tl2br w:val="nil"/>
          <w:tr2bl w:val="nil"/>
        </w:tcBorders>
        <w:shd w:val="clear" w:color="auto" w:fill="D9D9D9"/>
      </w:tcPr>
    </w:tblStylePr>
  </w:style>
  <w:style w:type="table" w:customStyle="1" w:styleId="affffffffb">
    <w:name w:val="报告书格式"/>
    <w:basedOn w:val="a3"/>
    <w:qFormat/>
    <w:rsid w:val="002A5A5E"/>
    <w:pPr>
      <w:adjustRightInd w:val="0"/>
      <w:snapToGrid w:val="0"/>
      <w:jc w:val="center"/>
    </w:pPr>
    <w:rPr>
      <w:rFonts w:ascii="Times New Roman" w:eastAsia="宋体" w:hAnsi="Times New Roman" w:cs="Times New Roman"/>
      <w:sz w:val="18"/>
      <w:szCs w:val="18"/>
    </w:rPr>
    <w:tblPr>
      <w:tblInd w:w="0" w:type="dxa"/>
      <w:tblBorders>
        <w:top w:val="single" w:sz="4" w:space="0" w:color="auto"/>
        <w:bottom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table" w:customStyle="1" w:styleId="114">
    <w:name w:val="网格型刘11"/>
    <w:basedOn w:val="a3"/>
    <w:uiPriority w:val="99"/>
    <w:qFormat/>
    <w:rsid w:val="002A5A5E"/>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f5">
    <w:name w:val="普通(网站) Char1"/>
    <w:qFormat/>
    <w:locked/>
    <w:rsid w:val="002A5A5E"/>
    <w:rPr>
      <w:rFonts w:ascii="Calibri" w:hAnsi="Calibri"/>
      <w:color w:val="000000"/>
      <w:sz w:val="24"/>
      <w:szCs w:val="24"/>
    </w:rPr>
  </w:style>
  <w:style w:type="character" w:customStyle="1" w:styleId="Char9">
    <w:name w:val="尾注文本 Char"/>
    <w:basedOn w:val="a2"/>
    <w:link w:val="af0"/>
    <w:uiPriority w:val="99"/>
    <w:semiHidden/>
    <w:qFormat/>
    <w:rsid w:val="002A5A5E"/>
    <w:rPr>
      <w:rFonts w:ascii="Times New Roman" w:eastAsia="宋体" w:hAnsi="Times New Roman" w:cs="Times New Roman"/>
      <w:szCs w:val="24"/>
    </w:rPr>
  </w:style>
  <w:style w:type="table" w:customStyle="1" w:styleId="affffffffc">
    <w:name w:val="[表格样式]"/>
    <w:basedOn w:val="a3"/>
    <w:uiPriority w:val="99"/>
    <w:qFormat/>
    <w:rsid w:val="002A5A5E"/>
    <w:pPr>
      <w:adjustRightInd w:val="0"/>
      <w:snapToGrid w:val="0"/>
      <w:jc w:val="center"/>
    </w:pPr>
    <w:rPr>
      <w:rFonts w:ascii="Times New Roman" w:eastAsia="宋体" w:hAnsi="Times New Roman"/>
      <w:snapToGrid w:val="0"/>
    </w:rPr>
    <w:tblPr>
      <w:tblInd w:w="0" w:type="dxa"/>
      <w:tblBorders>
        <w:top w:val="single" w:sz="12" w:space="0" w:color="auto"/>
        <w:bottom w:val="single" w:sz="12"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character" w:customStyle="1" w:styleId="00Char">
    <w:name w:val="正文00 Char"/>
    <w:qFormat/>
    <w:rsid w:val="002A5A5E"/>
    <w:rPr>
      <w:rFonts w:ascii="Times New Roman" w:eastAsia="宋体" w:hAnsi="Times New Roman" w:cs="Times New Roman"/>
      <w:sz w:val="24"/>
      <w:szCs w:val="24"/>
    </w:rPr>
  </w:style>
  <w:style w:type="character" w:customStyle="1" w:styleId="CharCharCharCharCharCharChar0">
    <w:name w:val="正文文本最新 Char Char Char Char Char Char Char"/>
    <w:qFormat/>
    <w:rsid w:val="002A5A5E"/>
    <w:rPr>
      <w:rFonts w:eastAsia="宋体"/>
      <w:kern w:val="2"/>
      <w:sz w:val="28"/>
      <w:lang w:val="en-US" w:eastAsia="zh-CN"/>
    </w:rPr>
  </w:style>
  <w:style w:type="paragraph" w:styleId="affffffffd">
    <w:name w:val="List Paragraph"/>
    <w:basedOn w:val="a1"/>
    <w:uiPriority w:val="99"/>
    <w:qFormat/>
    <w:rsid w:val="002A5A5E"/>
    <w:pPr>
      <w:ind w:firstLineChars="200" w:firstLine="420"/>
    </w:pPr>
  </w:style>
  <w:style w:type="character" w:customStyle="1" w:styleId="2Char6">
    <w:name w:val="缩进2 Char"/>
    <w:link w:val="2fa"/>
    <w:qFormat/>
    <w:rsid w:val="002A5A5E"/>
    <w:rPr>
      <w:rFonts w:ascii="宋体" w:hAnsi="宋体"/>
      <w:sz w:val="24"/>
      <w:szCs w:val="21"/>
    </w:rPr>
  </w:style>
  <w:style w:type="paragraph" w:customStyle="1" w:styleId="2fa">
    <w:name w:val="缩进2"/>
    <w:basedOn w:val="a1"/>
    <w:link w:val="2Char6"/>
    <w:qFormat/>
    <w:rsid w:val="002A5A5E"/>
    <w:pPr>
      <w:spacing w:line="360" w:lineRule="auto"/>
      <w:ind w:firstLineChars="200" w:firstLine="200"/>
    </w:pPr>
    <w:rPr>
      <w:rFonts w:ascii="宋体" w:eastAsiaTheme="minorEastAsia" w:hAnsi="宋体" w:cstheme="minorBidi"/>
      <w:sz w:val="24"/>
      <w:szCs w:val="21"/>
    </w:rPr>
  </w:style>
  <w:style w:type="character" w:customStyle="1" w:styleId="Charff2">
    <w:name w:val="表文 Char"/>
    <w:link w:val="affffb"/>
    <w:qFormat/>
    <w:rsid w:val="002A5A5E"/>
    <w:rPr>
      <w:rFonts w:ascii="Times New Roman" w:eastAsia="宋体" w:hAnsi="Times New Roman" w:cs="Times New Roman"/>
      <w:sz w:val="24"/>
      <w:szCs w:val="24"/>
    </w:rPr>
  </w:style>
  <w:style w:type="character" w:customStyle="1" w:styleId="affffffffe">
    <w:name w:val="表头 字符"/>
    <w:qFormat/>
    <w:rsid w:val="002A5A5E"/>
    <w:rPr>
      <w:rFonts w:ascii="Times New Roman" w:eastAsia="黑体" w:hAnsi="Times New Roman"/>
      <w:sz w:val="24"/>
    </w:rPr>
  </w:style>
  <w:style w:type="character" w:customStyle="1" w:styleId="47">
    <w:name w:val="标题 4 字符"/>
    <w:qFormat/>
    <w:rsid w:val="002A5A5E"/>
    <w:rPr>
      <w:rFonts w:ascii="Times New Roman" w:hAnsi="Times New Roman"/>
      <w:kern w:val="2"/>
      <w:sz w:val="24"/>
    </w:rPr>
  </w:style>
  <w:style w:type="character" w:customStyle="1" w:styleId="afffffffff">
    <w:name w:val="页眉 字符"/>
    <w:uiPriority w:val="99"/>
    <w:qFormat/>
    <w:rsid w:val="002A5A5E"/>
    <w:rPr>
      <w:rFonts w:ascii="Times New Roman" w:eastAsia="宋体" w:hAnsi="Times New Roman"/>
      <w:sz w:val="18"/>
      <w:szCs w:val="18"/>
    </w:rPr>
  </w:style>
  <w:style w:type="character" w:customStyle="1" w:styleId="afffffffff0">
    <w:name w:val="页脚 字符"/>
    <w:uiPriority w:val="99"/>
    <w:qFormat/>
    <w:rsid w:val="002A5A5E"/>
    <w:rPr>
      <w:rFonts w:ascii="Times New Roman" w:eastAsia="宋体" w:hAnsi="Times New Roman"/>
      <w:sz w:val="18"/>
      <w:szCs w:val="18"/>
    </w:rPr>
  </w:style>
  <w:style w:type="character" w:customStyle="1" w:styleId="afffffffff1">
    <w:name w:val="纯文本 字符"/>
    <w:qFormat/>
    <w:rsid w:val="002A5A5E"/>
    <w:rPr>
      <w:rFonts w:ascii="宋体" w:hAnsi="Courier New"/>
    </w:rPr>
  </w:style>
  <w:style w:type="paragraph" w:customStyle="1" w:styleId="NormalWeb1">
    <w:name w:val="Normal (Web)1"/>
    <w:basedOn w:val="a1"/>
    <w:next w:val="a1"/>
    <w:qFormat/>
    <w:rsid w:val="002A5A5E"/>
    <w:pPr>
      <w:widowControl/>
      <w:jc w:val="left"/>
    </w:pPr>
    <w:rPr>
      <w:rFonts w:ascii="宋体"/>
      <w:kern w:val="0"/>
      <w:sz w:val="24"/>
      <w:szCs w:val="21"/>
    </w:rPr>
  </w:style>
  <w:style w:type="paragraph" w:customStyle="1" w:styleId="TableParagraph">
    <w:name w:val="Table Paragraph"/>
    <w:basedOn w:val="a1"/>
    <w:uiPriority w:val="1"/>
    <w:qFormat/>
    <w:rsid w:val="002A5A5E"/>
    <w:pPr>
      <w:autoSpaceDE w:val="0"/>
      <w:autoSpaceDN w:val="0"/>
      <w:jc w:val="center"/>
    </w:pPr>
    <w:rPr>
      <w:rFonts w:ascii="仿宋" w:eastAsia="仿宋" w:hAnsi="仿宋" w:hint="eastAsia"/>
      <w:kern w:val="0"/>
      <w:sz w:val="22"/>
      <w:szCs w:val="22"/>
    </w:rPr>
  </w:style>
  <w:style w:type="paragraph" w:customStyle="1" w:styleId="afffffffff2">
    <w:name w:val="表内文字"/>
    <w:basedOn w:val="a1"/>
    <w:qFormat/>
    <w:rsid w:val="002A5A5E"/>
    <w:pPr>
      <w:widowControl/>
      <w:spacing w:after="200" w:line="276" w:lineRule="auto"/>
      <w:jc w:val="center"/>
    </w:pPr>
    <w:rPr>
      <w:color w:val="000000"/>
      <w:kern w:val="0"/>
      <w:sz w:val="22"/>
      <w:szCs w:val="18"/>
    </w:rPr>
  </w:style>
  <w:style w:type="paragraph" w:customStyle="1" w:styleId="afffffffff3">
    <w:name w:val="a正文"/>
    <w:basedOn w:val="a1"/>
    <w:qFormat/>
    <w:rsid w:val="002A5A5E"/>
    <w:pPr>
      <w:spacing w:line="520" w:lineRule="exact"/>
      <w:ind w:firstLine="561"/>
    </w:pPr>
    <w:rPr>
      <w:sz w:val="28"/>
      <w:szCs w:val="22"/>
    </w:rPr>
  </w:style>
  <w:style w:type="paragraph" w:customStyle="1" w:styleId="2fb">
    <w:name w:val="列出段落2"/>
    <w:basedOn w:val="a1"/>
    <w:uiPriority w:val="34"/>
    <w:qFormat/>
    <w:rsid w:val="002A5A5E"/>
    <w:pPr>
      <w:widowControl/>
      <w:spacing w:after="200" w:line="276" w:lineRule="auto"/>
      <w:ind w:firstLine="420"/>
      <w:jc w:val="left"/>
    </w:pPr>
    <w:rPr>
      <w:rFonts w:asciiTheme="minorHAnsi" w:eastAsiaTheme="minorEastAsia" w:hAnsiTheme="minorHAnsi" w:cstheme="minorBidi"/>
      <w:kern w:val="0"/>
      <w:sz w:val="24"/>
    </w:rPr>
  </w:style>
  <w:style w:type="paragraph" w:customStyle="1" w:styleId="afffffffff4">
    <w:name w:val="表中的文字"/>
    <w:basedOn w:val="affff"/>
    <w:link w:val="Charffd"/>
    <w:qFormat/>
    <w:rsid w:val="002A5A5E"/>
    <w:pPr>
      <w:widowControl/>
      <w:adjustRightInd w:val="0"/>
      <w:snapToGrid w:val="0"/>
      <w:spacing w:line="440" w:lineRule="exact"/>
      <w:ind w:firstLineChars="0" w:firstLine="0"/>
    </w:pPr>
    <w:rPr>
      <w:bCs/>
      <w:color w:val="000000"/>
      <w:kern w:val="0"/>
      <w:sz w:val="21"/>
      <w:szCs w:val="21"/>
    </w:rPr>
  </w:style>
  <w:style w:type="character" w:customStyle="1" w:styleId="Charffd">
    <w:name w:val="表中的文字 Char"/>
    <w:link w:val="afffffffff4"/>
    <w:qFormat/>
    <w:rsid w:val="002A5A5E"/>
    <w:rPr>
      <w:rFonts w:ascii="Times New Roman" w:eastAsia="宋体" w:hAnsi="Times New Roman" w:cs="Times New Roman"/>
      <w:bCs/>
      <w:color w:val="000000"/>
      <w:kern w:val="0"/>
      <w:szCs w:val="21"/>
    </w:rPr>
  </w:style>
  <w:style w:type="paragraph" w:customStyle="1" w:styleId="1120">
    <w:name w:val="样式 正文11 + 首行缩进:  2 字符"/>
    <w:basedOn w:val="a1"/>
    <w:qFormat/>
    <w:rsid w:val="002A5A5E"/>
    <w:pPr>
      <w:spacing w:line="500" w:lineRule="exact"/>
      <w:ind w:firstLineChars="200" w:firstLine="560"/>
    </w:pPr>
    <w:rPr>
      <w:rFonts w:ascii="宋体" w:hAnsi="宋体" w:cs="宋体"/>
      <w:color w:val="FF0000"/>
      <w:sz w:val="28"/>
      <w:szCs w:val="20"/>
    </w:rPr>
  </w:style>
  <w:style w:type="paragraph" w:customStyle="1" w:styleId="afffffffff5">
    <w:name w:val="表格表头"/>
    <w:basedOn w:val="a1"/>
    <w:next w:val="a1"/>
    <w:qFormat/>
    <w:rsid w:val="002A5A5E"/>
    <w:pPr>
      <w:tabs>
        <w:tab w:val="left" w:pos="567"/>
        <w:tab w:val="left" w:pos="3289"/>
      </w:tabs>
      <w:snapToGrid w:val="0"/>
      <w:ind w:left="995" w:hangingChars="472" w:hanging="995"/>
      <w:contextualSpacing/>
      <w:jc w:val="center"/>
    </w:pPr>
    <w:rPr>
      <w:b/>
      <w:szCs w:val="21"/>
    </w:rPr>
  </w:style>
  <w:style w:type="character" w:customStyle="1" w:styleId="Charffe">
    <w:name w:val="图头 Char"/>
    <w:link w:val="afffffffff6"/>
    <w:qFormat/>
    <w:rsid w:val="002A5A5E"/>
    <w:rPr>
      <w:rFonts w:ascii="黑体" w:eastAsia="黑体"/>
      <w:sz w:val="28"/>
      <w:szCs w:val="28"/>
    </w:rPr>
  </w:style>
  <w:style w:type="paragraph" w:customStyle="1" w:styleId="afffffffff6">
    <w:name w:val="图头"/>
    <w:basedOn w:val="a1"/>
    <w:link w:val="Charffe"/>
    <w:qFormat/>
    <w:rsid w:val="002A5A5E"/>
    <w:pPr>
      <w:spacing w:line="360" w:lineRule="auto"/>
      <w:jc w:val="center"/>
    </w:pPr>
    <w:rPr>
      <w:rFonts w:ascii="黑体" w:eastAsia="黑体" w:hAnsiTheme="minorHAnsi" w:cstheme="minorBidi"/>
      <w:sz w:val="28"/>
      <w:szCs w:val="28"/>
    </w:rPr>
  </w:style>
  <w:style w:type="paragraph" w:customStyle="1" w:styleId="2fc">
    <w:name w:val="2兴业表格"/>
    <w:basedOn w:val="a1"/>
    <w:qFormat/>
    <w:rsid w:val="002A5A5E"/>
    <w:pPr>
      <w:adjustRightInd w:val="0"/>
      <w:snapToGrid w:val="0"/>
      <w:jc w:val="center"/>
    </w:pPr>
    <w:rPr>
      <w:szCs w:val="21"/>
    </w:rPr>
  </w:style>
  <w:style w:type="character" w:customStyle="1" w:styleId="Char4">
    <w:name w:val="称呼 Char"/>
    <w:basedOn w:val="a2"/>
    <w:link w:val="aa"/>
    <w:qFormat/>
    <w:rsid w:val="002A5A5E"/>
    <w:rPr>
      <w:rFonts w:ascii="Times New Roman" w:eastAsia="宋体" w:hAnsi="Times New Roman" w:cs="Times New Roman"/>
      <w:szCs w:val="24"/>
    </w:rPr>
  </w:style>
  <w:style w:type="character" w:customStyle="1" w:styleId="1ff0">
    <w:name w:val="正文文本 字符1"/>
    <w:semiHidden/>
    <w:qFormat/>
    <w:rsid w:val="002A5A5E"/>
    <w:rPr>
      <w:rFonts w:ascii="Times New Roman" w:eastAsia="宋体" w:hAnsi="Times New Roman"/>
      <w:sz w:val="24"/>
    </w:rPr>
  </w:style>
  <w:style w:type="paragraph" w:customStyle="1" w:styleId="Char40">
    <w:name w:val="Char4"/>
    <w:basedOn w:val="a1"/>
    <w:next w:val="30"/>
    <w:qFormat/>
    <w:rsid w:val="002A5A5E"/>
    <w:pPr>
      <w:widowControl/>
      <w:spacing w:line="360" w:lineRule="auto"/>
      <w:ind w:firstLineChars="200" w:firstLine="480"/>
    </w:pPr>
    <w:rPr>
      <w:color w:val="000000"/>
      <w:kern w:val="0"/>
      <w:sz w:val="24"/>
      <w:szCs w:val="20"/>
    </w:rPr>
  </w:style>
  <w:style w:type="table" w:customStyle="1" w:styleId="1ff1">
    <w:name w:val="魏秀珍表格1"/>
    <w:basedOn w:val="a3"/>
    <w:qFormat/>
    <w:rsid w:val="002A5A5E"/>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1CharCharChar2">
    <w:name w:val="Char1 Char Char Char2"/>
    <w:basedOn w:val="a1"/>
    <w:qFormat/>
    <w:rsid w:val="002A5A5E"/>
    <w:pPr>
      <w:ind w:firstLineChars="200" w:firstLine="480"/>
    </w:pPr>
    <w:rPr>
      <w:rFonts w:ascii="宋体"/>
      <w:sz w:val="28"/>
    </w:rPr>
  </w:style>
  <w:style w:type="character" w:customStyle="1" w:styleId="1ff2">
    <w:name w:val="不明显强调1"/>
    <w:basedOn w:val="a2"/>
    <w:uiPriority w:val="19"/>
    <w:qFormat/>
    <w:rsid w:val="002A5A5E"/>
    <w:rPr>
      <w:rFonts w:eastAsia="宋体" w:cs="Times New Roman"/>
      <w:i/>
      <w:iCs/>
      <w:color w:val="808080"/>
      <w:szCs w:val="22"/>
      <w:lang w:eastAsia="zh-CN"/>
    </w:rPr>
  </w:style>
  <w:style w:type="character" w:customStyle="1" w:styleId="CharChar10">
    <w:name w:val="Char Char1"/>
    <w:uiPriority w:val="99"/>
    <w:qFormat/>
    <w:rsid w:val="002A5A5E"/>
    <w:rPr>
      <w:rFonts w:eastAsia="宋体" w:cs="Times New Roman"/>
      <w:kern w:val="2"/>
      <w:sz w:val="18"/>
      <w:szCs w:val="18"/>
      <w:lang w:val="en-US" w:eastAsia="zh-CN"/>
    </w:rPr>
  </w:style>
  <w:style w:type="character" w:customStyle="1" w:styleId="Charfff">
    <w:name w:val="脚注文本 Char"/>
    <w:basedOn w:val="a2"/>
    <w:link w:val="af6"/>
    <w:uiPriority w:val="99"/>
    <w:qFormat/>
    <w:rsid w:val="002A5A5E"/>
    <w:rPr>
      <w:rFonts w:ascii="Calibri" w:eastAsia="宋体" w:hAnsi="Calibri" w:cs="Times New Roman"/>
    </w:rPr>
  </w:style>
  <w:style w:type="character" w:customStyle="1" w:styleId="Char10">
    <w:name w:val="脚注文本 Char1"/>
    <w:basedOn w:val="a2"/>
    <w:link w:val="af6"/>
    <w:uiPriority w:val="99"/>
    <w:semiHidden/>
    <w:qFormat/>
    <w:rsid w:val="002A5A5E"/>
    <w:rPr>
      <w:rFonts w:ascii="Times New Roman" w:eastAsia="宋体" w:hAnsi="Times New Roman" w:cs="Times New Roman"/>
      <w:sz w:val="18"/>
      <w:szCs w:val="18"/>
    </w:rPr>
  </w:style>
  <w:style w:type="paragraph" w:customStyle="1" w:styleId="DecimalAligned">
    <w:name w:val="Decimal Aligned"/>
    <w:basedOn w:val="a1"/>
    <w:uiPriority w:val="40"/>
    <w:qFormat/>
    <w:rsid w:val="002A5A5E"/>
    <w:pPr>
      <w:widowControl/>
      <w:tabs>
        <w:tab w:val="decimal" w:pos="360"/>
      </w:tabs>
      <w:spacing w:after="200" w:line="276" w:lineRule="auto"/>
      <w:jc w:val="left"/>
    </w:pPr>
    <w:rPr>
      <w:rFonts w:ascii="Calibri" w:hAnsi="Calibri"/>
      <w:kern w:val="0"/>
      <w:sz w:val="22"/>
      <w:szCs w:val="22"/>
    </w:rPr>
  </w:style>
  <w:style w:type="table" w:customStyle="1" w:styleId="56">
    <w:name w:val="网格型5"/>
    <w:basedOn w:val="a3"/>
    <w:uiPriority w:val="99"/>
    <w:qFormat/>
    <w:rsid w:val="002A5A5E"/>
    <w:rPr>
      <w:rFonts w:ascii="Times New Roman" w:eastAsia="宋体" w:hAnsi="Times New Roman"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
    <w:name w:val="浅色底纹 - 强调文字颜色 11"/>
    <w:basedOn w:val="a3"/>
    <w:uiPriority w:val="60"/>
    <w:qFormat/>
    <w:rsid w:val="002A5A5E"/>
    <w:rPr>
      <w:rFonts w:ascii="Calibri" w:eastAsia="宋体" w:hAnsi="Calibri" w:cs="Times New Roman"/>
      <w:color w:val="365F91"/>
      <w:sz w:val="22"/>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l2br w:val="nil"/>
          <w:tr2bl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style>
  <w:style w:type="paragraph" w:customStyle="1" w:styleId="Style2">
    <w:name w:val="_Style 2"/>
    <w:qFormat/>
    <w:rsid w:val="002A5A5E"/>
    <w:pPr>
      <w:widowControl w:val="0"/>
      <w:spacing w:line="360" w:lineRule="auto"/>
      <w:jc w:val="both"/>
    </w:pPr>
    <w:rPr>
      <w:rFonts w:ascii="Times New Roman" w:eastAsia="宋体" w:hAnsi="Times New Roman" w:cs="Times New Roman"/>
      <w:kern w:val="2"/>
      <w:sz w:val="24"/>
      <w:szCs w:val="22"/>
    </w:rPr>
  </w:style>
  <w:style w:type="paragraph" w:customStyle="1" w:styleId="aaa">
    <w:name w:val="aaa正文"/>
    <w:basedOn w:val="a1"/>
    <w:link w:val="aaaChar"/>
    <w:qFormat/>
    <w:rsid w:val="002A5A5E"/>
    <w:pPr>
      <w:spacing w:line="480" w:lineRule="exact"/>
      <w:ind w:firstLineChars="200" w:firstLine="200"/>
    </w:pPr>
    <w:rPr>
      <w:rFonts w:hAnsi="Calibri"/>
      <w:kern w:val="0"/>
      <w:sz w:val="24"/>
    </w:rPr>
  </w:style>
  <w:style w:type="character" w:customStyle="1" w:styleId="font01">
    <w:name w:val="font01"/>
    <w:qFormat/>
    <w:rsid w:val="002A5A5E"/>
    <w:rPr>
      <w:rFonts w:ascii="Times New Roman" w:hAnsi="Times New Roman" w:cs="Times New Roman" w:hint="default"/>
      <w:color w:val="000000"/>
      <w:sz w:val="24"/>
      <w:szCs w:val="24"/>
      <w:u w:val="none"/>
    </w:rPr>
  </w:style>
  <w:style w:type="character" w:customStyle="1" w:styleId="aaaChar">
    <w:name w:val="aaa正文 Char"/>
    <w:link w:val="aaa"/>
    <w:qFormat/>
    <w:rsid w:val="002A5A5E"/>
    <w:rPr>
      <w:rFonts w:ascii="Times New Roman" w:eastAsia="宋体" w:hAnsi="Calibri" w:cs="Times New Roman"/>
      <w:kern w:val="0"/>
      <w:sz w:val="24"/>
      <w:szCs w:val="24"/>
    </w:rPr>
  </w:style>
  <w:style w:type="paragraph" w:customStyle="1" w:styleId="zzzzzz">
    <w:name w:val="zzzzzz"/>
    <w:basedOn w:val="a1"/>
    <w:qFormat/>
    <w:rsid w:val="002A5A5E"/>
    <w:pPr>
      <w:spacing w:line="360" w:lineRule="auto"/>
      <w:ind w:firstLineChars="200" w:firstLine="200"/>
      <w:jc w:val="left"/>
    </w:pPr>
    <w:rPr>
      <w:rFonts w:ascii="FangSong_GB2312" w:eastAsia="FangSong_GB2312" w:hAnsi="宋体" w:cs="宋体"/>
      <w:kern w:val="0"/>
      <w:sz w:val="28"/>
      <w:szCs w:val="28"/>
    </w:rPr>
  </w:style>
  <w:style w:type="character" w:customStyle="1" w:styleId="1151Char">
    <w:name w:val="样式 样式 标题 1 + (西文) 仿宋 (中文) 仿宋 行距: 1.5 倍行距 + (中文) 仿宋 小四1 Char"/>
    <w:basedOn w:val="a2"/>
    <w:link w:val="1151"/>
    <w:qFormat/>
    <w:rsid w:val="002A5A5E"/>
    <w:rPr>
      <w:rFonts w:ascii="Arial" w:eastAsia="黑体" w:hAnsi="Arial" w:cs="Arial"/>
      <w:color w:val="000000"/>
      <w:kern w:val="44"/>
      <w:sz w:val="30"/>
      <w:szCs w:val="30"/>
    </w:rPr>
  </w:style>
  <w:style w:type="paragraph" w:customStyle="1" w:styleId="1151">
    <w:name w:val="样式 样式 标题 1 + (西文) 仿宋 (中文) 仿宋 行距: 1.5 倍行距 + (中文) 仿宋 小四1"/>
    <w:basedOn w:val="a1"/>
    <w:link w:val="1151Char"/>
    <w:qFormat/>
    <w:rsid w:val="002A5A5E"/>
    <w:pPr>
      <w:keepNext/>
      <w:keepLines/>
      <w:spacing w:line="360" w:lineRule="auto"/>
      <w:outlineLvl w:val="0"/>
    </w:pPr>
    <w:rPr>
      <w:rFonts w:ascii="Arial" w:eastAsia="黑体" w:hAnsi="Arial" w:cs="Arial"/>
      <w:color w:val="000000"/>
      <w:kern w:val="44"/>
      <w:sz w:val="30"/>
      <w:szCs w:val="30"/>
    </w:rPr>
  </w:style>
  <w:style w:type="character" w:customStyle="1" w:styleId="Bodytext1">
    <w:name w:val="Body text|1_"/>
    <w:basedOn w:val="a2"/>
    <w:link w:val="Bodytext10"/>
    <w:qFormat/>
    <w:rsid w:val="002A5A5E"/>
    <w:rPr>
      <w:rFonts w:ascii="宋体" w:eastAsia="宋体" w:hAnsi="宋体" w:cs="宋体"/>
      <w:sz w:val="22"/>
      <w:lang w:val="zh-TW" w:eastAsia="zh-TW" w:bidi="zh-TW"/>
    </w:rPr>
  </w:style>
  <w:style w:type="paragraph" w:customStyle="1" w:styleId="Bodytext10">
    <w:name w:val="Body text|1"/>
    <w:basedOn w:val="a1"/>
    <w:link w:val="Bodytext1"/>
    <w:qFormat/>
    <w:rsid w:val="002A5A5E"/>
    <w:pPr>
      <w:spacing w:after="160" w:line="446" w:lineRule="auto"/>
      <w:ind w:firstLine="400"/>
      <w:jc w:val="left"/>
    </w:pPr>
    <w:rPr>
      <w:rFonts w:ascii="宋体" w:hAnsi="宋体" w:cs="宋体"/>
      <w:sz w:val="22"/>
      <w:szCs w:val="22"/>
      <w:lang w:val="zh-TW" w:eastAsia="zh-TW" w:bidi="zh-TW"/>
    </w:rPr>
  </w:style>
  <w:style w:type="character" w:customStyle="1" w:styleId="Chare">
    <w:name w:val="信息标题 Char"/>
    <w:basedOn w:val="a2"/>
    <w:link w:val="af7"/>
    <w:qFormat/>
    <w:rsid w:val="002A5A5E"/>
    <w:rPr>
      <w:rFonts w:ascii="Arial" w:eastAsia="宋体" w:hAnsi="Arial" w:cs="Times New Roman"/>
      <w:sz w:val="24"/>
      <w:szCs w:val="24"/>
      <w:shd w:val="pct20" w:color="auto" w:fill="auto"/>
    </w:rPr>
  </w:style>
  <w:style w:type="paragraph" w:customStyle="1" w:styleId="11111">
    <w:name w:val="11111"/>
    <w:basedOn w:val="a1"/>
    <w:next w:val="a1"/>
    <w:autoRedefine/>
    <w:qFormat/>
    <w:rsid w:val="002A5A5E"/>
    <w:pPr>
      <w:spacing w:line="360" w:lineRule="auto"/>
      <w:ind w:firstLineChars="200" w:firstLine="200"/>
    </w:pPr>
    <w:rPr>
      <w:rFonts w:ascii="宋体" w:hAnsi="宋体" w:cs="宋体"/>
      <w:sz w:val="24"/>
    </w:rPr>
  </w:style>
  <w:style w:type="paragraph" w:customStyle="1" w:styleId="2fd">
    <w:name w:val="正文文字 2"/>
    <w:basedOn w:val="a1"/>
    <w:next w:val="a1"/>
    <w:autoRedefine/>
    <w:uiPriority w:val="99"/>
    <w:qFormat/>
    <w:rsid w:val="002A5A5E"/>
    <w:pPr>
      <w:ind w:left="240"/>
    </w:pPr>
    <w:rPr>
      <w:rFonts w:ascii="Arial" w:hAnsi="Arial"/>
      <w:sz w:val="28"/>
    </w:rPr>
  </w:style>
  <w:style w:type="character" w:customStyle="1" w:styleId="BodyTextChar">
    <w:name w:val="Body Text Char"/>
    <w:basedOn w:val="a2"/>
    <w:autoRedefine/>
    <w:uiPriority w:val="99"/>
    <w:semiHidden/>
    <w:qFormat/>
    <w:rsid w:val="002A5A5E"/>
    <w:rPr>
      <w:rFonts w:ascii="Calibri" w:hAnsi="Calibri" w:cs="Times New Roman"/>
      <w:sz w:val="24"/>
      <w:szCs w:val="24"/>
    </w:rPr>
  </w:style>
  <w:style w:type="paragraph" w:customStyle="1" w:styleId="CharCharChar10">
    <w:name w:val="Char Char Char1"/>
    <w:autoRedefine/>
    <w:uiPriority w:val="99"/>
    <w:qFormat/>
    <w:rsid w:val="002A5A5E"/>
    <w:pPr>
      <w:widowControl w:val="0"/>
      <w:snapToGrid w:val="0"/>
      <w:spacing w:line="360" w:lineRule="auto"/>
      <w:ind w:firstLineChars="200" w:firstLine="200"/>
      <w:jc w:val="both"/>
    </w:pPr>
    <w:rPr>
      <w:rFonts w:ascii="Times New Roman" w:eastAsia="FangSong_GB2312" w:hAnsi="Times New Roman" w:cs="Times New Roman"/>
      <w:kern w:val="2"/>
      <w:sz w:val="28"/>
      <w:szCs w:val="28"/>
    </w:rPr>
  </w:style>
  <w:style w:type="character" w:customStyle="1" w:styleId="font71">
    <w:name w:val="font71"/>
    <w:basedOn w:val="a2"/>
    <w:autoRedefine/>
    <w:qFormat/>
    <w:rsid w:val="002A5A5E"/>
    <w:rPr>
      <w:rFonts w:ascii="仿宋" w:eastAsia="仿宋" w:hAnsi="仿宋" w:cs="仿宋"/>
      <w:color w:val="000000"/>
      <w:sz w:val="21"/>
      <w:szCs w:val="21"/>
      <w:u w:val="none"/>
    </w:rPr>
  </w:style>
  <w:style w:type="character" w:customStyle="1" w:styleId="font61">
    <w:name w:val="font61"/>
    <w:basedOn w:val="a2"/>
    <w:autoRedefine/>
    <w:qFormat/>
    <w:rsid w:val="002A5A5E"/>
    <w:rPr>
      <w:rFonts w:ascii="宋体" w:eastAsia="宋体" w:hAnsi="宋体" w:cs="宋体"/>
      <w:color w:val="000000"/>
      <w:sz w:val="21"/>
      <w:szCs w:val="21"/>
      <w:u w:val="none"/>
    </w:rPr>
  </w:style>
  <w:style w:type="character" w:customStyle="1" w:styleId="font101">
    <w:name w:val="font101"/>
    <w:basedOn w:val="a2"/>
    <w:autoRedefine/>
    <w:uiPriority w:val="99"/>
    <w:qFormat/>
    <w:rsid w:val="002A5A5E"/>
    <w:rPr>
      <w:rFonts w:ascii="Times New Roman" w:hAnsi="Times New Roman" w:cs="Times New Roman"/>
      <w:color w:val="000000"/>
      <w:sz w:val="18"/>
      <w:szCs w:val="18"/>
      <w:u w:val="none"/>
      <w:vertAlign w:val="superscript"/>
    </w:rPr>
  </w:style>
  <w:style w:type="character" w:customStyle="1" w:styleId="font132">
    <w:name w:val="font132"/>
    <w:basedOn w:val="a2"/>
    <w:autoRedefine/>
    <w:uiPriority w:val="99"/>
    <w:qFormat/>
    <w:rsid w:val="002A5A5E"/>
    <w:rPr>
      <w:rFonts w:ascii="宋体" w:eastAsia="宋体" w:hAnsi="宋体" w:cs="宋体"/>
      <w:color w:val="000000"/>
      <w:sz w:val="24"/>
      <w:szCs w:val="24"/>
      <w:u w:val="none"/>
      <w:vertAlign w:val="superscript"/>
    </w:rPr>
  </w:style>
  <w:style w:type="character" w:customStyle="1" w:styleId="font13">
    <w:name w:val="font13"/>
    <w:basedOn w:val="a2"/>
    <w:autoRedefine/>
    <w:uiPriority w:val="99"/>
    <w:qFormat/>
    <w:rsid w:val="002A5A5E"/>
    <w:rPr>
      <w:rFonts w:ascii="宋体" w:eastAsia="宋体" w:hAnsi="宋体" w:cs="宋体"/>
      <w:color w:val="000000"/>
      <w:sz w:val="18"/>
      <w:szCs w:val="18"/>
      <w:u w:val="none"/>
    </w:rPr>
  </w:style>
  <w:style w:type="character" w:customStyle="1" w:styleId="font131">
    <w:name w:val="font131"/>
    <w:basedOn w:val="a2"/>
    <w:autoRedefine/>
    <w:uiPriority w:val="99"/>
    <w:qFormat/>
    <w:rsid w:val="002A5A5E"/>
    <w:rPr>
      <w:rFonts w:ascii="宋体" w:eastAsia="宋体" w:hAnsi="宋体" w:cs="宋体"/>
      <w:color w:val="000000"/>
      <w:sz w:val="18"/>
      <w:szCs w:val="18"/>
      <w:u w:val="none"/>
      <w:vertAlign w:val="superscript"/>
    </w:rPr>
  </w:style>
  <w:style w:type="paragraph" w:customStyle="1" w:styleId="115">
    <w:name w:val="正文11"/>
    <w:basedOn w:val="a1"/>
    <w:autoRedefine/>
    <w:uiPriority w:val="99"/>
    <w:qFormat/>
    <w:rsid w:val="002A5A5E"/>
    <w:pPr>
      <w:widowControl/>
      <w:adjustRightInd w:val="0"/>
      <w:snapToGrid w:val="0"/>
      <w:spacing w:after="200" w:line="360" w:lineRule="auto"/>
      <w:ind w:firstLineChars="200" w:firstLine="200"/>
      <w:jc w:val="left"/>
    </w:pPr>
    <w:rPr>
      <w:rFonts w:ascii="Tahoma" w:eastAsia="FangSong_GB2312" w:hAnsi="Tahoma" w:cs="Tahoma"/>
      <w:kern w:val="0"/>
      <w:sz w:val="24"/>
    </w:rPr>
  </w:style>
  <w:style w:type="character" w:customStyle="1" w:styleId="font31">
    <w:name w:val="font31"/>
    <w:basedOn w:val="a2"/>
    <w:autoRedefine/>
    <w:qFormat/>
    <w:rsid w:val="002A5A5E"/>
    <w:rPr>
      <w:rFonts w:ascii="宋体" w:eastAsia="宋体" w:hAnsi="宋体" w:cs="宋体"/>
      <w:color w:val="000000"/>
      <w:sz w:val="24"/>
      <w:szCs w:val="24"/>
      <w:u w:val="none"/>
      <w:vertAlign w:val="superscript"/>
    </w:rPr>
  </w:style>
  <w:style w:type="character" w:customStyle="1" w:styleId="font21">
    <w:name w:val="font21"/>
    <w:basedOn w:val="a2"/>
    <w:autoRedefine/>
    <w:qFormat/>
    <w:rsid w:val="002A5A5E"/>
    <w:rPr>
      <w:rFonts w:ascii="宋体" w:eastAsia="宋体" w:hAnsi="宋体" w:cs="宋体"/>
      <w:color w:val="000000"/>
      <w:sz w:val="24"/>
      <w:szCs w:val="24"/>
      <w:u w:val="none"/>
      <w:vertAlign w:val="superscript"/>
    </w:rPr>
  </w:style>
  <w:style w:type="character" w:customStyle="1" w:styleId="font41">
    <w:name w:val="font41"/>
    <w:basedOn w:val="a2"/>
    <w:autoRedefine/>
    <w:qFormat/>
    <w:rsid w:val="002A5A5E"/>
    <w:rPr>
      <w:rFonts w:ascii="仿宋" w:eastAsia="仿宋" w:hAnsi="仿宋" w:cs="仿宋"/>
      <w:color w:val="000000"/>
      <w:sz w:val="21"/>
      <w:szCs w:val="21"/>
      <w:u w:val="none"/>
    </w:rPr>
  </w:style>
  <w:style w:type="paragraph" w:customStyle="1" w:styleId="GB2312151">
    <w:name w:val="样式 (中文) 楷体_GB2312 三号 行距: 1.5 倍行距1"/>
    <w:basedOn w:val="a1"/>
    <w:autoRedefine/>
    <w:uiPriority w:val="99"/>
    <w:qFormat/>
    <w:rsid w:val="002A5A5E"/>
    <w:pPr>
      <w:spacing w:line="360" w:lineRule="auto"/>
      <w:ind w:firstLineChars="200" w:firstLine="640"/>
    </w:pPr>
    <w:rPr>
      <w:rFonts w:ascii="Calibri" w:hAnsi="Calibri" w:cs="宋体"/>
      <w:sz w:val="28"/>
      <w:szCs w:val="20"/>
    </w:rPr>
  </w:style>
  <w:style w:type="character" w:customStyle="1" w:styleId="font51">
    <w:name w:val="font51"/>
    <w:basedOn w:val="a2"/>
    <w:autoRedefine/>
    <w:qFormat/>
    <w:rsid w:val="002A5A5E"/>
    <w:rPr>
      <w:rFonts w:ascii="宋体" w:eastAsia="宋体" w:hAnsi="宋体" w:cs="宋体"/>
      <w:color w:val="000000"/>
      <w:sz w:val="30"/>
      <w:szCs w:val="30"/>
      <w:u w:val="none"/>
    </w:rPr>
  </w:style>
  <w:style w:type="character" w:customStyle="1" w:styleId="font91">
    <w:name w:val="font91"/>
    <w:basedOn w:val="a2"/>
    <w:autoRedefine/>
    <w:qFormat/>
    <w:rsid w:val="002A5A5E"/>
    <w:rPr>
      <w:rFonts w:ascii="Times New Roman" w:hAnsi="Times New Roman" w:cs="Times New Roman"/>
      <w:color w:val="000000"/>
      <w:sz w:val="30"/>
      <w:szCs w:val="30"/>
      <w:u w:val="none"/>
    </w:rPr>
  </w:style>
  <w:style w:type="character" w:customStyle="1" w:styleId="font81">
    <w:name w:val="font81"/>
    <w:basedOn w:val="a2"/>
    <w:autoRedefine/>
    <w:qFormat/>
    <w:rsid w:val="002A5A5E"/>
    <w:rPr>
      <w:rFonts w:ascii="宋体" w:eastAsia="宋体" w:hAnsi="宋体" w:cs="宋体" w:hint="eastAsia"/>
      <w:color w:val="FF0000"/>
      <w:sz w:val="20"/>
      <w:szCs w:val="20"/>
      <w:u w:val="none"/>
    </w:rPr>
  </w:style>
  <w:style w:type="paragraph" w:customStyle="1" w:styleId="WPSOffice2">
    <w:name w:val="WPSOffice手动目录 2"/>
    <w:autoRedefine/>
    <w:qFormat/>
    <w:rsid w:val="002A5A5E"/>
    <w:pPr>
      <w:ind w:leftChars="200" w:left="200"/>
    </w:pPr>
    <w:rPr>
      <w:rFonts w:ascii="Times New Roman" w:eastAsia="宋体" w:hAnsi="Times New Roman" w:cs="Times New Roman"/>
    </w:rPr>
  </w:style>
  <w:style w:type="character" w:customStyle="1" w:styleId="font112">
    <w:name w:val="font112"/>
    <w:basedOn w:val="a2"/>
    <w:autoRedefine/>
    <w:qFormat/>
    <w:rsid w:val="002A5A5E"/>
    <w:rPr>
      <w:rFonts w:ascii="FangSong_GB2312" w:eastAsia="FangSong_GB2312" w:cs="FangSong_GB2312"/>
      <w:color w:val="000000"/>
      <w:sz w:val="24"/>
      <w:szCs w:val="24"/>
      <w:u w:val="none"/>
    </w:rPr>
  </w:style>
  <w:style w:type="character" w:customStyle="1" w:styleId="font141">
    <w:name w:val="font141"/>
    <w:basedOn w:val="a2"/>
    <w:autoRedefine/>
    <w:qFormat/>
    <w:rsid w:val="002A5A5E"/>
    <w:rPr>
      <w:rFonts w:ascii="宋体" w:eastAsia="宋体" w:hAnsi="宋体" w:cs="宋体" w:hint="eastAsia"/>
      <w:color w:val="000000"/>
      <w:sz w:val="24"/>
      <w:szCs w:val="24"/>
      <w:u w:val="none"/>
    </w:rPr>
  </w:style>
  <w:style w:type="character" w:customStyle="1" w:styleId="font151">
    <w:name w:val="font151"/>
    <w:basedOn w:val="a2"/>
    <w:autoRedefine/>
    <w:qFormat/>
    <w:rsid w:val="002A5A5E"/>
    <w:rPr>
      <w:rFonts w:ascii="宋体" w:eastAsia="宋体" w:hAnsi="宋体" w:cs="宋体" w:hint="eastAsia"/>
      <w:color w:val="000000"/>
      <w:sz w:val="24"/>
      <w:szCs w:val="24"/>
      <w:u w:val="none"/>
    </w:rPr>
  </w:style>
  <w:style w:type="character" w:customStyle="1" w:styleId="font161">
    <w:name w:val="font161"/>
    <w:basedOn w:val="a2"/>
    <w:autoRedefine/>
    <w:qFormat/>
    <w:rsid w:val="002A5A5E"/>
    <w:rPr>
      <w:rFonts w:ascii="宋体" w:eastAsia="宋体" w:hAnsi="宋体" w:cs="宋体" w:hint="eastAsia"/>
      <w:color w:val="000000"/>
      <w:sz w:val="24"/>
      <w:szCs w:val="24"/>
      <w:u w:val="none"/>
    </w:rPr>
  </w:style>
  <w:style w:type="character" w:customStyle="1" w:styleId="font111">
    <w:name w:val="font111"/>
    <w:basedOn w:val="a2"/>
    <w:autoRedefine/>
    <w:qFormat/>
    <w:rsid w:val="002A5A5E"/>
    <w:rPr>
      <w:rFonts w:ascii="FangSong_GB2312" w:eastAsia="FangSong_GB2312" w:cs="FangSong_GB2312"/>
      <w:color w:val="000000"/>
      <w:sz w:val="24"/>
      <w:szCs w:val="24"/>
      <w:u w:val="none"/>
    </w:rPr>
  </w:style>
  <w:style w:type="paragraph" w:customStyle="1" w:styleId="TimesNewRoman20">
    <w:name w:val="样式 正文（勃利） + (符号) Times New Roman 首行缩进:  2 字符"/>
    <w:basedOn w:val="afffffffff7"/>
    <w:autoRedefine/>
    <w:qFormat/>
    <w:rsid w:val="002A5A5E"/>
    <w:rPr>
      <w:rFonts w:cs="宋体"/>
      <w:szCs w:val="20"/>
    </w:rPr>
  </w:style>
  <w:style w:type="paragraph" w:customStyle="1" w:styleId="afffffffff7">
    <w:name w:val="正文（勃利）"/>
    <w:autoRedefine/>
    <w:qFormat/>
    <w:rsid w:val="002A5A5E"/>
    <w:pPr>
      <w:adjustRightInd w:val="0"/>
      <w:snapToGrid w:val="0"/>
      <w:spacing w:line="360" w:lineRule="auto"/>
      <w:ind w:firstLineChars="200" w:firstLine="200"/>
      <w:jc w:val="both"/>
    </w:pPr>
    <w:rPr>
      <w:rFonts w:ascii="Times New Roman" w:eastAsia="宋体" w:hAnsi="宋体" w:cs="Times New Roman"/>
      <w:color w:val="000000"/>
      <w:kern w:val="2"/>
      <w:sz w:val="28"/>
      <w:szCs w:val="30"/>
    </w:rPr>
  </w:style>
  <w:style w:type="paragraph" w:customStyle="1" w:styleId="1530">
    <w:name w:val="样式 宋体 小四 行距: 1.5 倍行距3"/>
    <w:basedOn w:val="a1"/>
    <w:autoRedefine/>
    <w:qFormat/>
    <w:rsid w:val="002A5A5E"/>
    <w:pPr>
      <w:spacing w:line="360" w:lineRule="auto"/>
    </w:pPr>
    <w:rPr>
      <w:rFonts w:ascii="宋体" w:hAnsi="宋体" w:cs="宋体"/>
      <w:sz w:val="28"/>
      <w:szCs w:val="20"/>
    </w:rPr>
  </w:style>
  <w:style w:type="character" w:customStyle="1" w:styleId="6Char0">
    <w:name w:val="6 Char"/>
    <w:link w:val="67"/>
    <w:autoRedefine/>
    <w:qFormat/>
    <w:rsid w:val="002A5A5E"/>
    <w:rPr>
      <w:rFonts w:ascii="Times New Roman" w:eastAsia="宋体" w:hAnsi="Times New Roman" w:cs="Times New Roman"/>
      <w:sz w:val="24"/>
      <w:szCs w:val="24"/>
    </w:rPr>
  </w:style>
  <w:style w:type="paragraph" w:customStyle="1" w:styleId="1150">
    <w:name w:val="样式 标题 1 + (西文) 仿宋 (中文) 仿宋 行距: 1.5 倍行距"/>
    <w:basedOn w:val="10"/>
    <w:autoRedefine/>
    <w:qFormat/>
    <w:rsid w:val="002A5A5E"/>
    <w:pPr>
      <w:pageBreakBefore/>
      <w:spacing w:beforeLines="50" w:afterLines="50" w:line="360" w:lineRule="auto"/>
      <w:jc w:val="center"/>
    </w:pPr>
    <w:rPr>
      <w:rFonts w:ascii="黑体" w:eastAsia="黑体" w:hAnsi="黑体"/>
      <w:color w:val="000000"/>
      <w:sz w:val="30"/>
      <w:szCs w:val="30"/>
    </w:rPr>
  </w:style>
  <w:style w:type="paragraph" w:customStyle="1" w:styleId="115TimesNewRoman">
    <w:name w:val="样式 样式 样式 标题 1 + (西文) 仿宋 (中文) 仿宋 行距: 1.5 倍行距 + Times New Roman + ..."/>
    <w:basedOn w:val="115TimesNewRoman0"/>
    <w:autoRedefine/>
    <w:qFormat/>
    <w:rsid w:val="002A5A5E"/>
    <w:rPr>
      <w:rFonts w:eastAsia="黑体" w:cs="宋体"/>
      <w:sz w:val="30"/>
    </w:rPr>
  </w:style>
  <w:style w:type="paragraph" w:customStyle="1" w:styleId="115TimesNewRoman0">
    <w:name w:val="样式 样式 标题 1 + (西文) 仿宋 (中文) 仿宋 行距: 1.5 倍行距 + Times New Roman"/>
    <w:basedOn w:val="a1"/>
    <w:autoRedefine/>
    <w:qFormat/>
    <w:rsid w:val="002A5A5E"/>
    <w:pPr>
      <w:keepNext/>
      <w:keepLines/>
      <w:spacing w:line="360" w:lineRule="auto"/>
      <w:outlineLvl w:val="0"/>
    </w:pPr>
    <w:rPr>
      <w:rFonts w:ascii="Calibri" w:hAnsi="Calibri"/>
      <w:b/>
      <w:bCs/>
      <w:kern w:val="44"/>
      <w:sz w:val="32"/>
      <w:szCs w:val="20"/>
    </w:rPr>
  </w:style>
  <w:style w:type="character" w:customStyle="1" w:styleId="115TimesNewRomanChar">
    <w:name w:val="样式 样式 样式 样式 标题 1 + (西文) 仿宋 (中文) 仿宋 行距: 1.5 倍行距 + Times New Roman... Char"/>
    <w:link w:val="115TimesNewRoman1"/>
    <w:autoRedefine/>
    <w:qFormat/>
    <w:rsid w:val="002A5A5E"/>
    <w:rPr>
      <w:rFonts w:eastAsia="宋体"/>
      <w:color w:val="000000"/>
    </w:rPr>
  </w:style>
  <w:style w:type="paragraph" w:customStyle="1" w:styleId="115TimesNewRoman1">
    <w:name w:val="样式 样式 样式 样式 标题 1 + (西文) 仿宋 (中文) 仿宋 行距: 1.5 倍行距 + Times New Roman..."/>
    <w:basedOn w:val="115TimesNewRoman"/>
    <w:link w:val="115TimesNewRomanChar"/>
    <w:autoRedefine/>
    <w:qFormat/>
    <w:rsid w:val="002A5A5E"/>
    <w:rPr>
      <w:rFonts w:asciiTheme="minorHAnsi" w:eastAsia="宋体" w:hAnsiTheme="minorHAnsi" w:cstheme="minorBidi"/>
      <w:b w:val="0"/>
      <w:bCs w:val="0"/>
      <w:color w:val="000000"/>
      <w:kern w:val="2"/>
      <w:sz w:val="21"/>
      <w:szCs w:val="22"/>
    </w:rPr>
  </w:style>
  <w:style w:type="character" w:customStyle="1" w:styleId="font121">
    <w:name w:val="font121"/>
    <w:basedOn w:val="a2"/>
    <w:autoRedefine/>
    <w:qFormat/>
    <w:rsid w:val="002A5A5E"/>
    <w:rPr>
      <w:rFonts w:ascii="宋体" w:eastAsia="宋体" w:hAnsi="宋体" w:cs="宋体" w:hint="eastAsia"/>
      <w:b/>
      <w:bCs/>
      <w:color w:val="000000"/>
      <w:sz w:val="20"/>
      <w:szCs w:val="20"/>
      <w:u w:val="none"/>
    </w:rPr>
  </w:style>
  <w:style w:type="paragraph" w:customStyle="1" w:styleId="57">
    <w:name w:val="5正文"/>
    <w:basedOn w:val="a1"/>
    <w:autoRedefine/>
    <w:qFormat/>
    <w:rsid w:val="002A5A5E"/>
    <w:pPr>
      <w:spacing w:line="360" w:lineRule="auto"/>
      <w:ind w:firstLineChars="200" w:firstLine="420"/>
    </w:pPr>
    <w:rPr>
      <w:rFonts w:ascii="Calibri" w:hAnsi="Calibri"/>
    </w:rPr>
  </w:style>
  <w:style w:type="paragraph" w:customStyle="1" w:styleId="1">
    <w:name w:val="1标题"/>
    <w:basedOn w:val="1ff3"/>
    <w:autoRedefine/>
    <w:qFormat/>
    <w:rsid w:val="002A5A5E"/>
    <w:pPr>
      <w:numPr>
        <w:numId w:val="7"/>
      </w:numPr>
      <w:jc w:val="center"/>
    </w:pPr>
    <w:rPr>
      <w:rFonts w:ascii="Times New Roman" w:hAnsi="Times New Roman"/>
      <w:sz w:val="36"/>
    </w:rPr>
  </w:style>
  <w:style w:type="paragraph" w:customStyle="1" w:styleId="1ff3">
    <w:name w:val="采用1级"/>
    <w:basedOn w:val="a1"/>
    <w:next w:val="2fe"/>
    <w:autoRedefine/>
    <w:qFormat/>
    <w:rsid w:val="002A5A5E"/>
    <w:pPr>
      <w:adjustRightInd w:val="0"/>
      <w:outlineLvl w:val="0"/>
    </w:pPr>
    <w:rPr>
      <w:rFonts w:ascii="Calibri" w:eastAsia="黑体" w:hAnsi="Calibri"/>
      <w:kern w:val="52"/>
      <w:sz w:val="32"/>
    </w:rPr>
  </w:style>
  <w:style w:type="paragraph" w:customStyle="1" w:styleId="2fe">
    <w:name w:val="采用2级"/>
    <w:basedOn w:val="ab"/>
    <w:autoRedefine/>
    <w:qFormat/>
    <w:rsid w:val="002A5A5E"/>
    <w:pPr>
      <w:adjustRightInd w:val="0"/>
      <w:snapToGrid w:val="0"/>
      <w:spacing w:after="0" w:line="360" w:lineRule="auto"/>
      <w:outlineLvl w:val="1"/>
    </w:pPr>
    <w:rPr>
      <w:rFonts w:ascii="Calibri" w:eastAsia="黑体" w:hAnsi="Calibri"/>
      <w:sz w:val="30"/>
    </w:rPr>
  </w:style>
  <w:style w:type="character" w:customStyle="1" w:styleId="15Char">
    <w:name w:val="样式 样式 标题 + (西文) 宋体 小二 行距: 1.5 倍行距 + (中文) 仿宋 (符号) 仿宋 黑色 Char"/>
    <w:link w:val="156"/>
    <w:autoRedefine/>
    <w:qFormat/>
    <w:rsid w:val="002A5A5E"/>
    <w:rPr>
      <w:rFonts w:ascii="黑体" w:eastAsia="黑体" w:hAnsi="黑体" w:cs="黑体"/>
      <w:kern w:val="52"/>
      <w:sz w:val="32"/>
      <w:szCs w:val="24"/>
    </w:rPr>
  </w:style>
  <w:style w:type="paragraph" w:customStyle="1" w:styleId="156">
    <w:name w:val="样式 样式 标题 + (西文) 宋体 小二 行距: 1.5 倍行距 + (中文) 仿宋 (符号) 仿宋 黑色"/>
    <w:basedOn w:val="1"/>
    <w:link w:val="15Char"/>
    <w:autoRedefine/>
    <w:qFormat/>
    <w:rsid w:val="002A5A5E"/>
    <w:rPr>
      <w:rFonts w:ascii="黑体" w:hAnsi="黑体" w:cs="黑体"/>
      <w:sz w:val="32"/>
    </w:rPr>
  </w:style>
  <w:style w:type="paragraph" w:customStyle="1" w:styleId="157">
    <w:name w:val="样式 标题 + (西文) 宋体 小二 行距: 1.5 倍行距"/>
    <w:basedOn w:val="af9"/>
    <w:autoRedefine/>
    <w:qFormat/>
    <w:rsid w:val="002A5A5E"/>
    <w:pPr>
      <w:tabs>
        <w:tab w:val="clear" w:pos="5400"/>
      </w:tabs>
      <w:snapToGrid/>
      <w:spacing w:before="0" w:after="0"/>
      <w:ind w:firstLineChars="0" w:firstLine="0"/>
      <w:jc w:val="center"/>
    </w:pPr>
    <w:rPr>
      <w:rFonts w:ascii="Times New Roman" w:hAnsi="Times New Roman"/>
      <w:b/>
      <w:bCs/>
      <w:color w:val="auto"/>
      <w:spacing w:val="0"/>
      <w:kern w:val="2"/>
    </w:rPr>
  </w:style>
  <w:style w:type="character" w:customStyle="1" w:styleId="15Char0">
    <w:name w:val="样式 样式 标题 + (西文) 宋体 小二 行距: 1.5 倍行距 + (中文) 仿宋 黑色 Char"/>
    <w:link w:val="158"/>
    <w:autoRedefine/>
    <w:qFormat/>
    <w:rsid w:val="002A5A5E"/>
    <w:rPr>
      <w:rFonts w:eastAsia="宋体"/>
      <w:color w:val="000000"/>
    </w:rPr>
  </w:style>
  <w:style w:type="paragraph" w:customStyle="1" w:styleId="158">
    <w:name w:val="样式 样式 标题 + (西文) 宋体 小二 行距: 1.5 倍行距 + (中文) 仿宋 黑色"/>
    <w:basedOn w:val="157"/>
    <w:link w:val="15Char0"/>
    <w:autoRedefine/>
    <w:qFormat/>
    <w:rsid w:val="002A5A5E"/>
    <w:rPr>
      <w:rFonts w:asciiTheme="minorHAnsi" w:eastAsia="宋体" w:hAnsiTheme="minorHAnsi" w:cstheme="minorBidi"/>
      <w:b w:val="0"/>
      <w:bCs w:val="0"/>
      <w:color w:val="000000"/>
      <w:sz w:val="21"/>
      <w:szCs w:val="22"/>
    </w:rPr>
  </w:style>
  <w:style w:type="paragraph" w:customStyle="1" w:styleId="2">
    <w:name w:val="2标题"/>
    <w:basedOn w:val="2fe"/>
    <w:autoRedefine/>
    <w:qFormat/>
    <w:rsid w:val="002A5A5E"/>
    <w:pPr>
      <w:numPr>
        <w:ilvl w:val="1"/>
        <w:numId w:val="7"/>
      </w:numPr>
      <w:jc w:val="left"/>
    </w:pPr>
    <w:rPr>
      <w:sz w:val="32"/>
    </w:rPr>
  </w:style>
  <w:style w:type="character" w:customStyle="1" w:styleId="115TimesNewRoman1Char">
    <w:name w:val="样式 样式 样式 样式 标题 1 + (西文) 仿宋 (中文) 仿宋 行距: 1.5 倍行距 + Times New Roman...1 Char"/>
    <w:link w:val="115TimesNewRoman10"/>
    <w:autoRedefine/>
    <w:qFormat/>
    <w:rsid w:val="002A5A5E"/>
    <w:rPr>
      <w:rFonts w:eastAsia="黑体"/>
      <w:color w:val="000000"/>
    </w:rPr>
  </w:style>
  <w:style w:type="paragraph" w:customStyle="1" w:styleId="115TimesNewRoman10">
    <w:name w:val="样式 样式 样式 样式 标题 1 + (西文) 仿宋 (中文) 仿宋 行距: 1.5 倍行距 + Times New Roman...1"/>
    <w:basedOn w:val="115TimesNewRoman"/>
    <w:link w:val="115TimesNewRoman1Char"/>
    <w:autoRedefine/>
    <w:qFormat/>
    <w:rsid w:val="002A5A5E"/>
    <w:rPr>
      <w:rFonts w:asciiTheme="minorHAnsi" w:hAnsiTheme="minorHAnsi" w:cstheme="minorBidi"/>
      <w:b w:val="0"/>
      <w:bCs w:val="0"/>
      <w:color w:val="000000"/>
      <w:kern w:val="2"/>
      <w:sz w:val="21"/>
      <w:szCs w:val="22"/>
    </w:rPr>
  </w:style>
  <w:style w:type="paragraph" w:customStyle="1" w:styleId="3">
    <w:name w:val="3标题"/>
    <w:basedOn w:val="3d"/>
    <w:next w:val="57"/>
    <w:autoRedefine/>
    <w:qFormat/>
    <w:rsid w:val="002A5A5E"/>
    <w:pPr>
      <w:numPr>
        <w:ilvl w:val="2"/>
        <w:numId w:val="7"/>
      </w:numPr>
      <w:jc w:val="left"/>
    </w:pPr>
    <w:rPr>
      <w:rFonts w:hAnsi="华文中宋"/>
      <w:sz w:val="30"/>
    </w:rPr>
  </w:style>
  <w:style w:type="paragraph" w:customStyle="1" w:styleId="3d">
    <w:name w:val="采用3级"/>
    <w:basedOn w:val="ab"/>
    <w:autoRedefine/>
    <w:qFormat/>
    <w:rsid w:val="002A5A5E"/>
    <w:pPr>
      <w:adjustRightInd w:val="0"/>
      <w:spacing w:after="0"/>
      <w:outlineLvl w:val="2"/>
    </w:pPr>
    <w:rPr>
      <w:rFonts w:ascii="Calibri" w:eastAsia="黑体" w:hAnsi="Calibri"/>
      <w:sz w:val="28"/>
    </w:rPr>
  </w:style>
  <w:style w:type="paragraph" w:customStyle="1" w:styleId="61">
    <w:name w:val="6表头"/>
    <w:link w:val="68"/>
    <w:autoRedefine/>
    <w:qFormat/>
    <w:rsid w:val="002A5A5E"/>
    <w:pPr>
      <w:numPr>
        <w:ilvl w:val="4"/>
        <w:numId w:val="7"/>
      </w:numPr>
      <w:spacing w:beforeLines="50"/>
      <w:ind w:left="0"/>
    </w:pPr>
    <w:rPr>
      <w:rFonts w:ascii="黑体" w:eastAsia="黑体" w:hAnsi="黑体" w:cs="Times New Roman"/>
      <w:sz w:val="24"/>
    </w:rPr>
  </w:style>
  <w:style w:type="character" w:customStyle="1" w:styleId="68">
    <w:name w:val="6表头 字符"/>
    <w:link w:val="61"/>
    <w:qFormat/>
    <w:rsid w:val="002A5A5E"/>
    <w:rPr>
      <w:rFonts w:ascii="黑体" w:eastAsia="黑体" w:hAnsi="黑体" w:cs="Times New Roman"/>
      <w:kern w:val="0"/>
      <w:sz w:val="24"/>
      <w:szCs w:val="20"/>
    </w:rPr>
  </w:style>
  <w:style w:type="character" w:customStyle="1" w:styleId="6Char2">
    <w:name w:val="6表头 Char"/>
    <w:autoRedefine/>
    <w:qFormat/>
    <w:rsid w:val="002A5A5E"/>
    <w:rPr>
      <w:rFonts w:ascii="黑体" w:eastAsia="黑体" w:hAnsi="黑体"/>
      <w:sz w:val="24"/>
    </w:rPr>
  </w:style>
  <w:style w:type="paragraph" w:customStyle="1" w:styleId="afffffffff8">
    <w:name w:val="采用正文"/>
    <w:basedOn w:val="ab"/>
    <w:autoRedefine/>
    <w:qFormat/>
    <w:rsid w:val="002A5A5E"/>
    <w:pPr>
      <w:adjustRightInd w:val="0"/>
      <w:snapToGrid w:val="0"/>
      <w:spacing w:after="0" w:line="360" w:lineRule="auto"/>
      <w:ind w:firstLineChars="200" w:firstLine="200"/>
    </w:pPr>
    <w:rPr>
      <w:rFonts w:ascii="Calibri" w:hAnsi="Calibri"/>
      <w:sz w:val="24"/>
    </w:rPr>
  </w:style>
  <w:style w:type="paragraph" w:customStyle="1" w:styleId="AAA0">
    <w:name w:val="AAA表格"/>
    <w:basedOn w:val="a1"/>
    <w:autoRedefine/>
    <w:qFormat/>
    <w:rsid w:val="002A5A5E"/>
    <w:pPr>
      <w:snapToGrid w:val="0"/>
      <w:jc w:val="center"/>
    </w:pPr>
    <w:rPr>
      <w:rFonts w:ascii="Calibri" w:hAnsi="Calibri"/>
    </w:rPr>
  </w:style>
  <w:style w:type="paragraph" w:customStyle="1" w:styleId="74">
    <w:name w:val="7表"/>
    <w:basedOn w:val="afffffffff8"/>
    <w:autoRedefine/>
    <w:qFormat/>
    <w:rsid w:val="002A5A5E"/>
    <w:pPr>
      <w:spacing w:line="240" w:lineRule="auto"/>
      <w:ind w:firstLineChars="0" w:firstLine="0"/>
      <w:jc w:val="center"/>
    </w:pPr>
    <w:rPr>
      <w:rFonts w:ascii="Times New Roman" w:eastAsia="仿宋" w:hAnsi="Times New Roman"/>
      <w:sz w:val="20"/>
      <w:szCs w:val="22"/>
    </w:rPr>
  </w:style>
  <w:style w:type="character" w:customStyle="1" w:styleId="font122">
    <w:name w:val="font122"/>
    <w:basedOn w:val="a2"/>
    <w:autoRedefine/>
    <w:qFormat/>
    <w:rsid w:val="002A5A5E"/>
    <w:rPr>
      <w:rFonts w:ascii="宋体" w:eastAsia="宋体" w:hAnsi="宋体" w:cs="宋体" w:hint="eastAsia"/>
      <w:color w:val="000000"/>
      <w:sz w:val="20"/>
      <w:szCs w:val="20"/>
      <w:u w:val="none"/>
    </w:rPr>
  </w:style>
  <w:style w:type="character" w:customStyle="1" w:styleId="font171">
    <w:name w:val="font171"/>
    <w:basedOn w:val="a2"/>
    <w:autoRedefine/>
    <w:qFormat/>
    <w:rsid w:val="002A5A5E"/>
    <w:rPr>
      <w:rFonts w:ascii="Times New Roman" w:hAnsi="Times New Roman" w:cs="Times New Roman" w:hint="default"/>
      <w:color w:val="000000"/>
      <w:sz w:val="18"/>
      <w:szCs w:val="18"/>
      <w:u w:val="none"/>
      <w:vertAlign w:val="superscript"/>
    </w:rPr>
  </w:style>
  <w:style w:type="paragraph" w:customStyle="1" w:styleId="116">
    <w:name w:val="样式11"/>
    <w:basedOn w:val="a1"/>
    <w:autoRedefine/>
    <w:qFormat/>
    <w:rsid w:val="002A5A5E"/>
    <w:pPr>
      <w:ind w:firstLineChars="200" w:firstLine="200"/>
      <w:jc w:val="left"/>
    </w:pPr>
    <w:rPr>
      <w:rFonts w:ascii="FangSong_GB2312" w:eastAsia="FangSong_GB2312" w:hAnsi="Calibri"/>
      <w:bCs/>
      <w:sz w:val="28"/>
      <w:szCs w:val="28"/>
    </w:rPr>
  </w:style>
  <w:style w:type="character" w:customStyle="1" w:styleId="font191">
    <w:name w:val="font191"/>
    <w:basedOn w:val="a2"/>
    <w:autoRedefine/>
    <w:qFormat/>
    <w:rsid w:val="002A5A5E"/>
    <w:rPr>
      <w:rFonts w:ascii="Times New Roman" w:hAnsi="Times New Roman" w:cs="Times New Roman" w:hint="default"/>
      <w:color w:val="000000"/>
      <w:sz w:val="20"/>
      <w:szCs w:val="20"/>
      <w:u w:val="none"/>
      <w:vertAlign w:val="superscript"/>
    </w:rPr>
  </w:style>
  <w:style w:type="character" w:customStyle="1" w:styleId="font201">
    <w:name w:val="font201"/>
    <w:basedOn w:val="a2"/>
    <w:autoRedefine/>
    <w:qFormat/>
    <w:rsid w:val="002A5A5E"/>
    <w:rPr>
      <w:rFonts w:ascii="等线 Light" w:eastAsia="等线 Light" w:hAnsi="等线 Light" w:cs="等线 Light"/>
      <w:color w:val="000000"/>
      <w:sz w:val="20"/>
      <w:szCs w:val="20"/>
      <w:u w:val="none"/>
    </w:rPr>
  </w:style>
  <w:style w:type="paragraph" w:customStyle="1" w:styleId="5">
    <w:name w:val="5级"/>
    <w:basedOn w:val="a1"/>
    <w:next w:val="a1"/>
    <w:autoRedefine/>
    <w:qFormat/>
    <w:rsid w:val="002A5A5E"/>
    <w:pPr>
      <w:keepNext/>
      <w:widowControl/>
      <w:numPr>
        <w:ilvl w:val="4"/>
        <w:numId w:val="8"/>
      </w:numPr>
      <w:adjustRightInd w:val="0"/>
      <w:snapToGrid w:val="0"/>
      <w:spacing w:beforeLines="50" w:line="360" w:lineRule="auto"/>
      <w:jc w:val="left"/>
      <w:outlineLvl w:val="4"/>
    </w:pPr>
    <w:rPr>
      <w:kern w:val="0"/>
      <w:sz w:val="24"/>
    </w:rPr>
  </w:style>
  <w:style w:type="paragraph" w:customStyle="1" w:styleId="75">
    <w:name w:val="7正文"/>
    <w:basedOn w:val="a1"/>
    <w:autoRedefine/>
    <w:qFormat/>
    <w:rsid w:val="002A5A5E"/>
    <w:pPr>
      <w:widowControl/>
      <w:adjustRightInd w:val="0"/>
      <w:snapToGrid w:val="0"/>
      <w:spacing w:line="360" w:lineRule="auto"/>
      <w:ind w:firstLineChars="200" w:firstLine="486"/>
      <w:jc w:val="left"/>
    </w:pPr>
    <w:rPr>
      <w:kern w:val="0"/>
      <w:sz w:val="24"/>
    </w:rPr>
  </w:style>
  <w:style w:type="paragraph" w:customStyle="1" w:styleId="6">
    <w:name w:val="6级"/>
    <w:basedOn w:val="a1"/>
    <w:next w:val="a1"/>
    <w:autoRedefine/>
    <w:qFormat/>
    <w:rsid w:val="002A5A5E"/>
    <w:pPr>
      <w:keepNext/>
      <w:widowControl/>
      <w:numPr>
        <w:ilvl w:val="5"/>
        <w:numId w:val="8"/>
      </w:numPr>
      <w:adjustRightInd w:val="0"/>
      <w:snapToGrid w:val="0"/>
      <w:spacing w:line="360" w:lineRule="auto"/>
      <w:jc w:val="left"/>
    </w:pPr>
    <w:rPr>
      <w:kern w:val="0"/>
      <w:sz w:val="24"/>
    </w:rPr>
  </w:style>
  <w:style w:type="paragraph" w:customStyle="1" w:styleId="9-2">
    <w:name w:val="9-2公式"/>
    <w:basedOn w:val="57"/>
    <w:autoRedefine/>
    <w:qFormat/>
    <w:rsid w:val="002A5A5E"/>
    <w:pPr>
      <w:keepNext/>
      <w:adjustRightInd w:val="0"/>
      <w:ind w:firstLineChars="0" w:firstLine="0"/>
      <w:jc w:val="center"/>
    </w:pPr>
  </w:style>
  <w:style w:type="paragraph" w:customStyle="1" w:styleId="91">
    <w:name w:val="9表格"/>
    <w:basedOn w:val="a1"/>
    <w:autoRedefine/>
    <w:qFormat/>
    <w:rsid w:val="002A5A5E"/>
    <w:pPr>
      <w:widowControl/>
      <w:adjustRightInd w:val="0"/>
      <w:snapToGrid w:val="0"/>
    </w:pPr>
    <w:rPr>
      <w:kern w:val="0"/>
    </w:rPr>
  </w:style>
  <w:style w:type="paragraph" w:customStyle="1" w:styleId="8">
    <w:name w:val="8表头"/>
    <w:basedOn w:val="a1"/>
    <w:next w:val="a1"/>
    <w:autoRedefine/>
    <w:qFormat/>
    <w:rsid w:val="002A5A5E"/>
    <w:pPr>
      <w:keepNext/>
      <w:widowControl/>
      <w:numPr>
        <w:ilvl w:val="7"/>
        <w:numId w:val="8"/>
      </w:numPr>
      <w:adjustRightInd w:val="0"/>
      <w:snapToGrid w:val="0"/>
    </w:pPr>
    <w:rPr>
      <w:rFonts w:ascii="黑体" w:eastAsia="黑体" w:hAnsi="Calibri"/>
      <w:kern w:val="0"/>
      <w:sz w:val="24"/>
    </w:rPr>
  </w:style>
  <w:style w:type="paragraph" w:customStyle="1" w:styleId="92">
    <w:name w:val="9图"/>
    <w:basedOn w:val="91"/>
    <w:link w:val="9Char0"/>
    <w:autoRedefine/>
    <w:qFormat/>
    <w:rsid w:val="002A5A5E"/>
    <w:pPr>
      <w:keepNext/>
    </w:pPr>
    <w:rPr>
      <w:sz w:val="24"/>
    </w:rPr>
  </w:style>
  <w:style w:type="character" w:customStyle="1" w:styleId="9Char0">
    <w:name w:val="9图 Char"/>
    <w:link w:val="92"/>
    <w:qFormat/>
    <w:rsid w:val="002A5A5E"/>
    <w:rPr>
      <w:rFonts w:ascii="Times New Roman" w:eastAsia="宋体" w:hAnsi="Times New Roman" w:cs="Times New Roman"/>
      <w:kern w:val="0"/>
      <w:sz w:val="24"/>
      <w:szCs w:val="24"/>
    </w:rPr>
  </w:style>
  <w:style w:type="paragraph" w:customStyle="1" w:styleId="9">
    <w:name w:val="9图名"/>
    <w:basedOn w:val="a1"/>
    <w:link w:val="9Char2"/>
    <w:autoRedefine/>
    <w:qFormat/>
    <w:rsid w:val="002A5A5E"/>
    <w:pPr>
      <w:widowControl/>
      <w:numPr>
        <w:ilvl w:val="8"/>
        <w:numId w:val="8"/>
      </w:numPr>
      <w:adjustRightInd w:val="0"/>
      <w:snapToGrid w:val="0"/>
      <w:spacing w:line="360" w:lineRule="auto"/>
    </w:pPr>
    <w:rPr>
      <w:rFonts w:ascii="黑体" w:eastAsia="黑体" w:hAnsi="黑体"/>
      <w:kern w:val="0"/>
      <w:sz w:val="28"/>
    </w:rPr>
  </w:style>
  <w:style w:type="character" w:customStyle="1" w:styleId="9Char2">
    <w:name w:val="9图名 Char"/>
    <w:link w:val="9"/>
    <w:qFormat/>
    <w:rsid w:val="002A5A5E"/>
    <w:rPr>
      <w:rFonts w:ascii="黑体" w:eastAsia="黑体" w:hAnsi="黑体" w:cs="Times New Roman"/>
      <w:kern w:val="0"/>
      <w:sz w:val="28"/>
      <w:szCs w:val="24"/>
    </w:rPr>
  </w:style>
  <w:style w:type="paragraph" w:customStyle="1" w:styleId="7">
    <w:name w:val="7级"/>
    <w:basedOn w:val="a1"/>
    <w:autoRedefine/>
    <w:qFormat/>
    <w:rsid w:val="002A5A5E"/>
    <w:pPr>
      <w:keepNext/>
      <w:widowControl/>
      <w:numPr>
        <w:ilvl w:val="6"/>
        <w:numId w:val="9"/>
      </w:numPr>
      <w:adjustRightInd w:val="0"/>
      <w:snapToGrid w:val="0"/>
      <w:spacing w:line="360" w:lineRule="auto"/>
      <w:jc w:val="left"/>
    </w:pPr>
    <w:rPr>
      <w:rFonts w:ascii="Calibri" w:hAnsi="Calibri"/>
      <w:kern w:val="0"/>
      <w:sz w:val="24"/>
    </w:rPr>
  </w:style>
  <w:style w:type="paragraph" w:customStyle="1" w:styleId="2TimesNewRoman0">
    <w:name w:val="样式 标题 2 + Times New Roman 四号"/>
    <w:basedOn w:val="20"/>
    <w:autoRedefine/>
    <w:qFormat/>
    <w:rsid w:val="002A5A5E"/>
    <w:pPr>
      <w:spacing w:before="0" w:after="0"/>
    </w:pPr>
    <w:rPr>
      <w:rFonts w:ascii="Times New Roman" w:eastAsia="黑体" w:hAnsi="Times New Roman" w:cs="Times New Roman"/>
      <w:sz w:val="28"/>
    </w:rPr>
  </w:style>
  <w:style w:type="paragraph" w:customStyle="1" w:styleId="3e">
    <w:name w:val="样式 标题 3 + 加粗"/>
    <w:basedOn w:val="30"/>
    <w:autoRedefine/>
    <w:qFormat/>
    <w:rsid w:val="002A5A5E"/>
    <w:pPr>
      <w:autoSpaceDE w:val="0"/>
      <w:autoSpaceDN w:val="0"/>
      <w:spacing w:before="0" w:after="0" w:line="360" w:lineRule="auto"/>
      <w:ind w:firstLineChars="0" w:firstLine="0"/>
      <w:textAlignment w:val="baseline"/>
    </w:pPr>
    <w:rPr>
      <w:rFonts w:ascii="Calibri" w:eastAsia="黑体" w:hAnsi="Calibri" w:cs="Times New Roman"/>
      <w:b/>
      <w:bCs/>
      <w:sz w:val="28"/>
      <w:szCs w:val="28"/>
      <w:lang w:val="zh-CN"/>
    </w:rPr>
  </w:style>
  <w:style w:type="paragraph" w:customStyle="1" w:styleId="80">
    <w:name w:val="8图名"/>
    <w:basedOn w:val="a1"/>
    <w:qFormat/>
    <w:rsid w:val="002A5A5E"/>
    <w:pPr>
      <w:numPr>
        <w:ilvl w:val="5"/>
        <w:numId w:val="7"/>
      </w:numPr>
      <w:spacing w:afterLines="50"/>
    </w:pPr>
    <w:rPr>
      <w:rFonts w:ascii="黑体" w:eastAsia="黑体" w:hAnsi="宋体"/>
    </w:rPr>
  </w:style>
  <w:style w:type="paragraph" w:customStyle="1" w:styleId="1570">
    <w:name w:val="样式 四号 行距: 1.5 倍行距7"/>
    <w:basedOn w:val="a1"/>
    <w:qFormat/>
    <w:rsid w:val="002A5A5E"/>
    <w:pPr>
      <w:spacing w:line="360" w:lineRule="auto"/>
      <w:ind w:firstLineChars="192" w:firstLine="538"/>
    </w:pPr>
    <w:rPr>
      <w:rFonts w:ascii="Calibri" w:hAnsi="Calibri" w:cs="宋体"/>
      <w:sz w:val="24"/>
      <w:szCs w:val="20"/>
    </w:rPr>
  </w:style>
  <w:style w:type="character" w:customStyle="1" w:styleId="1ff4">
    <w:name w:val="样式 四号1"/>
    <w:qFormat/>
    <w:rsid w:val="002A5A5E"/>
    <w:rPr>
      <w:sz w:val="24"/>
    </w:rPr>
  </w:style>
  <w:style w:type="paragraph" w:customStyle="1" w:styleId="1580">
    <w:name w:val="样式 四号 行距: 1.5 倍行距8"/>
    <w:basedOn w:val="a1"/>
    <w:qFormat/>
    <w:rsid w:val="002A5A5E"/>
    <w:pPr>
      <w:spacing w:line="360" w:lineRule="auto"/>
      <w:ind w:firstLineChars="221" w:firstLine="619"/>
    </w:pPr>
    <w:rPr>
      <w:rFonts w:ascii="Calibri" w:hAnsi="Calibri" w:cs="宋体"/>
      <w:sz w:val="24"/>
      <w:szCs w:val="20"/>
    </w:rPr>
  </w:style>
  <w:style w:type="character" w:customStyle="1" w:styleId="font14">
    <w:name w:val="font14"/>
    <w:basedOn w:val="a2"/>
    <w:qFormat/>
    <w:rsid w:val="002A5A5E"/>
    <w:rPr>
      <w:rFonts w:ascii="Times New Roman" w:hAnsi="Times New Roman" w:cs="Times New Roman" w:hint="default"/>
      <w:color w:val="000000"/>
      <w:sz w:val="22"/>
      <w:szCs w:val="22"/>
      <w:u w:val="none"/>
    </w:rPr>
  </w:style>
  <w:style w:type="paragraph" w:customStyle="1" w:styleId="1ff5">
    <w:name w:val="1表头"/>
    <w:basedOn w:val="15"/>
    <w:qFormat/>
    <w:rsid w:val="002A5A5E"/>
    <w:pPr>
      <w:snapToGrid w:val="0"/>
      <w:spacing w:after="120" w:line="360" w:lineRule="auto"/>
      <w:ind w:firstLineChars="200" w:firstLine="200"/>
    </w:pPr>
    <w:rPr>
      <w:rFonts w:eastAsia="宋体"/>
      <w:bCs w:val="0"/>
      <w:kern w:val="0"/>
      <w:sz w:val="28"/>
      <w:szCs w:val="28"/>
    </w:rPr>
  </w:style>
  <w:style w:type="paragraph" w:customStyle="1" w:styleId="font1">
    <w:name w:val="font1"/>
    <w:basedOn w:val="a1"/>
    <w:qFormat/>
    <w:rsid w:val="002A5A5E"/>
    <w:pPr>
      <w:widowControl/>
      <w:spacing w:before="100" w:beforeAutospacing="1" w:after="100" w:afterAutospacing="1"/>
      <w:jc w:val="left"/>
    </w:pPr>
    <w:rPr>
      <w:rFonts w:ascii="宋体" w:hAnsi="宋体" w:cs="宋体"/>
      <w:color w:val="000000"/>
      <w:kern w:val="0"/>
      <w:sz w:val="22"/>
      <w:szCs w:val="22"/>
    </w:rPr>
  </w:style>
  <w:style w:type="paragraph" w:customStyle="1" w:styleId="font2">
    <w:name w:val="font2"/>
    <w:basedOn w:val="a1"/>
    <w:qFormat/>
    <w:rsid w:val="002A5A5E"/>
    <w:pPr>
      <w:widowControl/>
      <w:spacing w:before="100" w:beforeAutospacing="1" w:after="100" w:afterAutospacing="1"/>
      <w:jc w:val="left"/>
    </w:pPr>
    <w:rPr>
      <w:rFonts w:ascii="宋体" w:hAnsi="宋体" w:cs="宋体"/>
      <w:color w:val="000000"/>
      <w:kern w:val="0"/>
      <w:sz w:val="22"/>
      <w:szCs w:val="22"/>
    </w:rPr>
  </w:style>
  <w:style w:type="paragraph" w:customStyle="1" w:styleId="font3">
    <w:name w:val="font3"/>
    <w:basedOn w:val="a1"/>
    <w:qFormat/>
    <w:rsid w:val="002A5A5E"/>
    <w:pPr>
      <w:widowControl/>
      <w:spacing w:before="100" w:beforeAutospacing="1" w:after="100" w:afterAutospacing="1"/>
      <w:jc w:val="left"/>
    </w:pPr>
    <w:rPr>
      <w:rFonts w:ascii="宋体" w:hAnsi="宋体" w:cs="宋体"/>
      <w:color w:val="000000"/>
      <w:kern w:val="0"/>
      <w:sz w:val="18"/>
      <w:szCs w:val="18"/>
    </w:rPr>
  </w:style>
  <w:style w:type="paragraph" w:customStyle="1" w:styleId="et2">
    <w:name w:val="et2"/>
    <w:basedOn w:val="a1"/>
    <w:qFormat/>
    <w:rsid w:val="002A5A5E"/>
    <w:pPr>
      <w:widowControl/>
      <w:spacing w:before="100" w:beforeAutospacing="1" w:after="100" w:afterAutospacing="1"/>
      <w:jc w:val="center"/>
    </w:pPr>
    <w:rPr>
      <w:rFonts w:ascii="宋体" w:hAnsi="宋体" w:cs="宋体"/>
      <w:color w:val="000000"/>
      <w:kern w:val="0"/>
      <w:sz w:val="24"/>
    </w:rPr>
  </w:style>
  <w:style w:type="paragraph" w:customStyle="1" w:styleId="et3">
    <w:name w:val="et3"/>
    <w:basedOn w:val="a1"/>
    <w:qFormat/>
    <w:rsid w:val="002A5A5E"/>
    <w:pPr>
      <w:widowControl/>
      <w:shd w:val="clear" w:color="auto" w:fill="FFFFFF"/>
      <w:spacing w:before="100" w:beforeAutospacing="1" w:after="100" w:afterAutospacing="1"/>
      <w:jc w:val="center"/>
    </w:pPr>
    <w:rPr>
      <w:rFonts w:ascii="宋体" w:hAnsi="宋体" w:cs="宋体"/>
      <w:color w:val="000000"/>
      <w:kern w:val="0"/>
      <w:sz w:val="24"/>
    </w:rPr>
  </w:style>
  <w:style w:type="paragraph" w:customStyle="1" w:styleId="et5">
    <w:name w:val="et5"/>
    <w:basedOn w:val="a1"/>
    <w:qFormat/>
    <w:rsid w:val="002A5A5E"/>
    <w:pPr>
      <w:widowControl/>
      <w:spacing w:before="100" w:beforeAutospacing="1" w:after="100" w:afterAutospacing="1"/>
      <w:jc w:val="center"/>
    </w:pPr>
    <w:rPr>
      <w:rFonts w:ascii="宋体" w:hAnsi="宋体" w:cs="宋体"/>
      <w:color w:val="000000"/>
      <w:kern w:val="0"/>
      <w:sz w:val="24"/>
    </w:rPr>
  </w:style>
  <w:style w:type="paragraph" w:customStyle="1" w:styleId="et6">
    <w:name w:val="et6"/>
    <w:basedOn w:val="a1"/>
    <w:qFormat/>
    <w:rsid w:val="002A5A5E"/>
    <w:pPr>
      <w:widowControl/>
      <w:shd w:val="clear" w:color="auto" w:fill="92D050"/>
      <w:spacing w:before="100" w:beforeAutospacing="1" w:after="100" w:afterAutospacing="1"/>
      <w:jc w:val="center"/>
    </w:pPr>
    <w:rPr>
      <w:rFonts w:ascii="宋体" w:hAnsi="宋体" w:cs="宋体"/>
      <w:color w:val="000000"/>
      <w:kern w:val="0"/>
      <w:sz w:val="24"/>
    </w:rPr>
  </w:style>
  <w:style w:type="paragraph" w:customStyle="1" w:styleId="et7">
    <w:name w:val="et7"/>
    <w:basedOn w:val="a1"/>
    <w:qFormat/>
    <w:rsid w:val="002A5A5E"/>
    <w:pPr>
      <w:widowControl/>
      <w:spacing w:before="100" w:beforeAutospacing="1" w:after="100" w:afterAutospacing="1"/>
      <w:jc w:val="center"/>
    </w:pPr>
    <w:rPr>
      <w:rFonts w:ascii="宋体" w:hAnsi="宋体" w:cs="宋体"/>
      <w:color w:val="000000"/>
      <w:kern w:val="0"/>
      <w:sz w:val="24"/>
    </w:rPr>
  </w:style>
  <w:style w:type="paragraph" w:customStyle="1" w:styleId="et8">
    <w:name w:val="et8"/>
    <w:basedOn w:val="a1"/>
    <w:qFormat/>
    <w:rsid w:val="002A5A5E"/>
    <w:pPr>
      <w:widowControl/>
      <w:spacing w:before="100" w:beforeAutospacing="1" w:after="100" w:afterAutospacing="1"/>
      <w:jc w:val="center"/>
    </w:pPr>
    <w:rPr>
      <w:rFonts w:ascii="宋体" w:hAnsi="宋体" w:cs="宋体"/>
      <w:color w:val="000000"/>
      <w:kern w:val="0"/>
      <w:sz w:val="24"/>
    </w:rPr>
  </w:style>
  <w:style w:type="paragraph" w:customStyle="1" w:styleId="et9">
    <w:name w:val="et9"/>
    <w:basedOn w:val="a1"/>
    <w:qFormat/>
    <w:rsid w:val="002A5A5E"/>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color w:val="000000"/>
      <w:kern w:val="0"/>
      <w:sz w:val="24"/>
    </w:rPr>
  </w:style>
  <w:style w:type="paragraph" w:customStyle="1" w:styleId="et10">
    <w:name w:val="et10"/>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11">
    <w:name w:val="et11"/>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12">
    <w:name w:val="et12"/>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13">
    <w:name w:val="et13"/>
    <w:basedOn w:val="a1"/>
    <w:qFormat/>
    <w:rsid w:val="002A5A5E"/>
    <w:pPr>
      <w:widowControl/>
      <w:pBdr>
        <w:top w:val="single" w:sz="4" w:space="0" w:color="000000"/>
        <w:left w:val="single" w:sz="4" w:space="0" w:color="000000"/>
        <w:right w:val="single" w:sz="4" w:space="0" w:color="000000"/>
      </w:pBdr>
      <w:shd w:val="clear" w:color="auto" w:fill="00B0F0"/>
      <w:spacing w:before="100" w:beforeAutospacing="1" w:after="100" w:afterAutospacing="1"/>
      <w:jc w:val="center"/>
    </w:pPr>
    <w:rPr>
      <w:rFonts w:ascii="宋体" w:hAnsi="宋体" w:cs="宋体"/>
      <w:color w:val="000000"/>
      <w:kern w:val="0"/>
      <w:sz w:val="24"/>
    </w:rPr>
  </w:style>
  <w:style w:type="paragraph" w:customStyle="1" w:styleId="et14">
    <w:name w:val="et14"/>
    <w:basedOn w:val="a1"/>
    <w:qFormat/>
    <w:rsid w:val="002A5A5E"/>
    <w:pPr>
      <w:widowControl/>
      <w:pBdr>
        <w:top w:val="single" w:sz="4" w:space="0" w:color="000000"/>
        <w:left w:val="single" w:sz="4" w:space="0" w:color="000000"/>
        <w:bottom w:val="single" w:sz="4" w:space="0" w:color="000000"/>
        <w:right w:val="single" w:sz="4" w:space="0" w:color="000000"/>
      </w:pBdr>
      <w:shd w:val="clear" w:color="auto" w:fill="00B0F0"/>
      <w:spacing w:before="100" w:beforeAutospacing="1" w:after="100" w:afterAutospacing="1"/>
      <w:jc w:val="center"/>
    </w:pPr>
    <w:rPr>
      <w:rFonts w:ascii="宋体" w:hAnsi="宋体" w:cs="宋体"/>
      <w:kern w:val="0"/>
      <w:sz w:val="24"/>
    </w:rPr>
  </w:style>
  <w:style w:type="paragraph" w:customStyle="1" w:styleId="et15">
    <w:name w:val="et15"/>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kern w:val="0"/>
      <w:sz w:val="24"/>
    </w:rPr>
  </w:style>
  <w:style w:type="paragraph" w:customStyle="1" w:styleId="et16">
    <w:name w:val="et16"/>
    <w:basedOn w:val="a1"/>
    <w:qFormat/>
    <w:rsid w:val="002A5A5E"/>
    <w:pPr>
      <w:widowControl/>
      <w:pBdr>
        <w:top w:val="single" w:sz="4" w:space="0" w:color="000000"/>
        <w:left w:val="single" w:sz="4" w:space="0" w:color="000000"/>
        <w:right w:val="single" w:sz="4" w:space="0" w:color="000000"/>
      </w:pBdr>
      <w:shd w:val="clear" w:color="auto" w:fill="FFFFFF"/>
      <w:spacing w:before="100" w:beforeAutospacing="1" w:after="100" w:afterAutospacing="1"/>
      <w:jc w:val="center"/>
    </w:pPr>
    <w:rPr>
      <w:rFonts w:ascii="宋体" w:hAnsi="宋体" w:cs="宋体"/>
      <w:color w:val="000000"/>
      <w:kern w:val="0"/>
      <w:sz w:val="24"/>
    </w:rPr>
  </w:style>
  <w:style w:type="paragraph" w:customStyle="1" w:styleId="et17">
    <w:name w:val="et17"/>
    <w:basedOn w:val="a1"/>
    <w:qFormat/>
    <w:rsid w:val="002A5A5E"/>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18">
    <w:name w:val="et18"/>
    <w:basedOn w:val="a1"/>
    <w:qFormat/>
    <w:rsid w:val="002A5A5E"/>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color w:val="000000"/>
      <w:kern w:val="0"/>
      <w:sz w:val="24"/>
    </w:rPr>
  </w:style>
  <w:style w:type="paragraph" w:customStyle="1" w:styleId="et19">
    <w:name w:val="et19"/>
    <w:basedOn w:val="a1"/>
    <w:qFormat/>
    <w:rsid w:val="002A5A5E"/>
    <w:pPr>
      <w:widowControl/>
      <w:pBdr>
        <w:top w:val="single" w:sz="4" w:space="0" w:color="000000"/>
        <w:left w:val="single" w:sz="4" w:space="0" w:color="000000"/>
        <w:right w:val="single" w:sz="4" w:space="0" w:color="000000"/>
      </w:pBdr>
      <w:shd w:val="clear" w:color="auto" w:fill="FFFFFF"/>
      <w:spacing w:before="100" w:beforeAutospacing="1" w:after="100" w:afterAutospacing="1"/>
      <w:jc w:val="center"/>
    </w:pPr>
    <w:rPr>
      <w:rFonts w:ascii="宋体" w:hAnsi="宋体" w:cs="宋体"/>
      <w:color w:val="000000"/>
      <w:kern w:val="0"/>
      <w:sz w:val="24"/>
    </w:rPr>
  </w:style>
  <w:style w:type="paragraph" w:customStyle="1" w:styleId="et20">
    <w:name w:val="et20"/>
    <w:basedOn w:val="a1"/>
    <w:qFormat/>
    <w:rsid w:val="002A5A5E"/>
    <w:pPr>
      <w:widowControl/>
      <w:pBdr>
        <w:top w:val="single" w:sz="4" w:space="0" w:color="000000"/>
        <w:bottom w:val="single" w:sz="4" w:space="0" w:color="000000"/>
      </w:pBdr>
      <w:shd w:val="clear" w:color="auto" w:fill="FFFFFF"/>
      <w:spacing w:before="100" w:beforeAutospacing="1" w:after="100" w:afterAutospacing="1"/>
      <w:jc w:val="center"/>
    </w:pPr>
    <w:rPr>
      <w:rFonts w:ascii="宋体" w:hAnsi="宋体" w:cs="宋体"/>
      <w:color w:val="000000"/>
      <w:kern w:val="0"/>
      <w:sz w:val="24"/>
    </w:rPr>
  </w:style>
  <w:style w:type="paragraph" w:customStyle="1" w:styleId="et21">
    <w:name w:val="et21"/>
    <w:basedOn w:val="a1"/>
    <w:qFormat/>
    <w:rsid w:val="002A5A5E"/>
    <w:pPr>
      <w:widowControl/>
      <w:pBdr>
        <w:top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color w:val="000000"/>
      <w:kern w:val="0"/>
      <w:sz w:val="24"/>
    </w:rPr>
  </w:style>
  <w:style w:type="paragraph" w:customStyle="1" w:styleId="et22">
    <w:name w:val="et22"/>
    <w:basedOn w:val="a1"/>
    <w:qFormat/>
    <w:rsid w:val="002A5A5E"/>
    <w:pPr>
      <w:widowControl/>
      <w:pBdr>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color w:val="000000"/>
      <w:kern w:val="0"/>
      <w:sz w:val="24"/>
    </w:rPr>
  </w:style>
  <w:style w:type="paragraph" w:customStyle="1" w:styleId="et23">
    <w:name w:val="et23"/>
    <w:basedOn w:val="a1"/>
    <w:qFormat/>
    <w:rsid w:val="002A5A5E"/>
    <w:pPr>
      <w:widowControl/>
      <w:pBdr>
        <w:top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color w:val="000000"/>
      <w:kern w:val="0"/>
      <w:sz w:val="24"/>
    </w:rPr>
  </w:style>
  <w:style w:type="paragraph" w:customStyle="1" w:styleId="et24">
    <w:name w:val="et24"/>
    <w:basedOn w:val="a1"/>
    <w:qFormat/>
    <w:rsid w:val="002A5A5E"/>
    <w:pPr>
      <w:widowControl/>
      <w:pBdr>
        <w:top w:val="single" w:sz="4" w:space="0" w:color="000000"/>
        <w:left w:val="single" w:sz="4" w:space="0" w:color="000000"/>
        <w:right w:val="single" w:sz="4" w:space="0" w:color="000000"/>
      </w:pBdr>
      <w:shd w:val="clear" w:color="auto" w:fill="FFFFFF"/>
      <w:spacing w:before="100" w:beforeAutospacing="1" w:after="100" w:afterAutospacing="1"/>
      <w:jc w:val="center"/>
    </w:pPr>
    <w:rPr>
      <w:rFonts w:ascii="宋体" w:hAnsi="宋体" w:cs="宋体"/>
      <w:color w:val="000000"/>
      <w:kern w:val="0"/>
      <w:sz w:val="24"/>
    </w:rPr>
  </w:style>
  <w:style w:type="paragraph" w:customStyle="1" w:styleId="et25">
    <w:name w:val="et25"/>
    <w:basedOn w:val="a1"/>
    <w:qFormat/>
    <w:rsid w:val="002A5A5E"/>
    <w:pPr>
      <w:widowControl/>
      <w:pBdr>
        <w:top w:val="single" w:sz="4" w:space="0" w:color="000000"/>
        <w:left w:val="single" w:sz="4" w:space="0" w:color="000000"/>
        <w:right w:val="single" w:sz="4" w:space="0" w:color="000000"/>
      </w:pBdr>
      <w:shd w:val="clear" w:color="auto" w:fill="FFFFFF"/>
      <w:spacing w:before="100" w:beforeAutospacing="1" w:after="100" w:afterAutospacing="1"/>
      <w:jc w:val="center"/>
    </w:pPr>
    <w:rPr>
      <w:rFonts w:ascii="宋体" w:hAnsi="宋体" w:cs="宋体"/>
      <w:color w:val="000000"/>
      <w:kern w:val="0"/>
      <w:sz w:val="24"/>
    </w:rPr>
  </w:style>
  <w:style w:type="paragraph" w:customStyle="1" w:styleId="et29">
    <w:name w:val="et29"/>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30">
    <w:name w:val="et30"/>
    <w:basedOn w:val="a1"/>
    <w:qFormat/>
    <w:rsid w:val="002A5A5E"/>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color w:val="000000"/>
      <w:kern w:val="0"/>
      <w:sz w:val="18"/>
      <w:szCs w:val="18"/>
    </w:rPr>
  </w:style>
  <w:style w:type="paragraph" w:customStyle="1" w:styleId="et31">
    <w:name w:val="et31"/>
    <w:basedOn w:val="a1"/>
    <w:qFormat/>
    <w:rsid w:val="002A5A5E"/>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color w:val="000000"/>
      <w:kern w:val="0"/>
      <w:sz w:val="18"/>
      <w:szCs w:val="18"/>
    </w:rPr>
  </w:style>
  <w:style w:type="paragraph" w:customStyle="1" w:styleId="et32">
    <w:name w:val="et32"/>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18"/>
      <w:szCs w:val="18"/>
    </w:rPr>
  </w:style>
  <w:style w:type="paragraph" w:customStyle="1" w:styleId="et33">
    <w:name w:val="et33"/>
    <w:basedOn w:val="a1"/>
    <w:qFormat/>
    <w:rsid w:val="002A5A5E"/>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color w:val="000000"/>
      <w:kern w:val="0"/>
      <w:sz w:val="24"/>
    </w:rPr>
  </w:style>
  <w:style w:type="paragraph" w:customStyle="1" w:styleId="et34">
    <w:name w:val="et34"/>
    <w:basedOn w:val="a1"/>
    <w:qFormat/>
    <w:rsid w:val="002A5A5E"/>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color w:val="000000"/>
      <w:kern w:val="0"/>
      <w:sz w:val="24"/>
    </w:rPr>
  </w:style>
  <w:style w:type="paragraph" w:customStyle="1" w:styleId="et4">
    <w:name w:val="et4"/>
    <w:basedOn w:val="a1"/>
    <w:qFormat/>
    <w:rsid w:val="002A5A5E"/>
    <w:pPr>
      <w:widowControl/>
      <w:spacing w:before="100" w:beforeAutospacing="1" w:after="100" w:afterAutospacing="1"/>
      <w:jc w:val="center"/>
      <w:textAlignment w:val="bottom"/>
    </w:pPr>
    <w:rPr>
      <w:rFonts w:ascii="仿宋" w:eastAsia="仿宋" w:hAnsi="仿宋" w:cs="宋体"/>
      <w:color w:val="000000"/>
      <w:kern w:val="0"/>
      <w:sz w:val="20"/>
      <w:szCs w:val="20"/>
    </w:rPr>
  </w:style>
  <w:style w:type="paragraph" w:customStyle="1" w:styleId="font4">
    <w:name w:val="font4"/>
    <w:basedOn w:val="a1"/>
    <w:qFormat/>
    <w:rsid w:val="002A5A5E"/>
    <w:pPr>
      <w:widowControl/>
      <w:spacing w:before="100" w:beforeAutospacing="1" w:after="100" w:afterAutospacing="1"/>
      <w:jc w:val="left"/>
    </w:pPr>
    <w:rPr>
      <w:rFonts w:ascii="宋体" w:hAnsi="宋体" w:cs="宋体"/>
      <w:color w:val="FF0000"/>
      <w:kern w:val="0"/>
      <w:sz w:val="20"/>
      <w:szCs w:val="20"/>
    </w:rPr>
  </w:style>
  <w:style w:type="paragraph" w:customStyle="1" w:styleId="font15">
    <w:name w:val="font15"/>
    <w:basedOn w:val="a1"/>
    <w:qFormat/>
    <w:rsid w:val="002A5A5E"/>
    <w:pPr>
      <w:widowControl/>
      <w:spacing w:before="100" w:beforeAutospacing="1" w:after="100" w:afterAutospacing="1"/>
      <w:jc w:val="left"/>
    </w:pPr>
    <w:rPr>
      <w:rFonts w:ascii="宋体" w:hAnsi="宋体" w:cs="宋体"/>
      <w:b/>
      <w:bCs/>
      <w:color w:val="FF0000"/>
      <w:kern w:val="0"/>
      <w:sz w:val="20"/>
      <w:szCs w:val="20"/>
    </w:rPr>
  </w:style>
  <w:style w:type="paragraph" w:customStyle="1" w:styleId="font16">
    <w:name w:val="font16"/>
    <w:basedOn w:val="a1"/>
    <w:qFormat/>
    <w:rsid w:val="002A5A5E"/>
    <w:pPr>
      <w:widowControl/>
      <w:spacing w:before="100" w:beforeAutospacing="1" w:after="100" w:afterAutospacing="1"/>
      <w:jc w:val="left"/>
    </w:pPr>
    <w:rPr>
      <w:rFonts w:ascii="宋体" w:hAnsi="宋体" w:cs="宋体"/>
      <w:b/>
      <w:bCs/>
      <w:color w:val="000000"/>
      <w:kern w:val="0"/>
      <w:sz w:val="18"/>
      <w:szCs w:val="18"/>
    </w:rPr>
  </w:style>
  <w:style w:type="paragraph" w:customStyle="1" w:styleId="font17">
    <w:name w:val="font17"/>
    <w:basedOn w:val="a1"/>
    <w:qFormat/>
    <w:rsid w:val="002A5A5E"/>
    <w:pPr>
      <w:widowControl/>
      <w:spacing w:before="100" w:beforeAutospacing="1" w:after="100" w:afterAutospacing="1"/>
      <w:jc w:val="left"/>
    </w:pPr>
    <w:rPr>
      <w:rFonts w:ascii="仿宋" w:eastAsia="仿宋" w:hAnsi="仿宋" w:cs="宋体"/>
      <w:b/>
      <w:bCs/>
      <w:color w:val="000000"/>
      <w:kern w:val="0"/>
      <w:sz w:val="20"/>
      <w:szCs w:val="20"/>
      <w:vertAlign w:val="superscript"/>
    </w:rPr>
  </w:style>
  <w:style w:type="paragraph" w:customStyle="1" w:styleId="font18">
    <w:name w:val="font18"/>
    <w:basedOn w:val="a1"/>
    <w:qFormat/>
    <w:rsid w:val="002A5A5E"/>
    <w:pPr>
      <w:widowControl/>
      <w:spacing w:before="100" w:beforeAutospacing="1" w:after="100" w:afterAutospacing="1"/>
      <w:jc w:val="left"/>
    </w:pPr>
    <w:rPr>
      <w:rFonts w:ascii="宋体" w:hAnsi="宋体" w:cs="宋体"/>
      <w:b/>
      <w:bCs/>
      <w:color w:val="000000"/>
      <w:kern w:val="0"/>
      <w:sz w:val="20"/>
      <w:szCs w:val="20"/>
    </w:rPr>
  </w:style>
  <w:style w:type="paragraph" w:customStyle="1" w:styleId="et26">
    <w:name w:val="et26"/>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0000"/>
      <w:kern w:val="0"/>
      <w:sz w:val="20"/>
      <w:szCs w:val="20"/>
    </w:rPr>
  </w:style>
  <w:style w:type="paragraph" w:customStyle="1" w:styleId="et27">
    <w:name w:val="et27"/>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0000"/>
      <w:kern w:val="0"/>
      <w:sz w:val="20"/>
      <w:szCs w:val="20"/>
    </w:rPr>
  </w:style>
  <w:style w:type="paragraph" w:customStyle="1" w:styleId="et28">
    <w:name w:val="et28"/>
    <w:basedOn w:val="a1"/>
    <w:qFormat/>
    <w:rsid w:val="002A5A5E"/>
    <w:pPr>
      <w:widowControl/>
      <w:pBdr>
        <w:top w:val="single" w:sz="4" w:space="0" w:color="000000"/>
        <w:left w:val="single" w:sz="4" w:space="0" w:color="000000"/>
        <w:bottom w:val="single" w:sz="4" w:space="0" w:color="000000"/>
      </w:pBdr>
      <w:spacing w:before="100" w:beforeAutospacing="1" w:after="100" w:afterAutospacing="1"/>
      <w:jc w:val="center"/>
    </w:pPr>
    <w:rPr>
      <w:rFonts w:ascii="宋体" w:hAnsi="宋体" w:cs="宋体"/>
      <w:b/>
      <w:bCs/>
      <w:color w:val="000000"/>
      <w:kern w:val="0"/>
      <w:sz w:val="24"/>
    </w:rPr>
  </w:style>
  <w:style w:type="paragraph" w:customStyle="1" w:styleId="et35">
    <w:name w:val="et35"/>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0000"/>
      <w:kern w:val="0"/>
      <w:sz w:val="20"/>
      <w:szCs w:val="20"/>
    </w:rPr>
  </w:style>
  <w:style w:type="paragraph" w:customStyle="1" w:styleId="et38">
    <w:name w:val="et38"/>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0000"/>
      <w:kern w:val="0"/>
      <w:sz w:val="20"/>
      <w:szCs w:val="20"/>
    </w:rPr>
  </w:style>
  <w:style w:type="paragraph" w:customStyle="1" w:styleId="et39">
    <w:name w:val="et39"/>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FF0000"/>
      <w:kern w:val="0"/>
      <w:sz w:val="20"/>
      <w:szCs w:val="20"/>
    </w:rPr>
  </w:style>
  <w:style w:type="paragraph" w:customStyle="1" w:styleId="et40">
    <w:name w:val="et40"/>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0000"/>
      <w:kern w:val="0"/>
      <w:sz w:val="18"/>
      <w:szCs w:val="18"/>
    </w:rPr>
  </w:style>
  <w:style w:type="paragraph" w:customStyle="1" w:styleId="et41">
    <w:name w:val="et41"/>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0000"/>
      <w:kern w:val="0"/>
      <w:sz w:val="20"/>
      <w:szCs w:val="20"/>
    </w:rPr>
  </w:style>
  <w:style w:type="paragraph" w:customStyle="1" w:styleId="et36">
    <w:name w:val="et36"/>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0000"/>
      <w:kern w:val="0"/>
      <w:sz w:val="20"/>
      <w:szCs w:val="20"/>
    </w:rPr>
  </w:style>
  <w:style w:type="paragraph" w:customStyle="1" w:styleId="et37">
    <w:name w:val="et37"/>
    <w:basedOn w:val="a1"/>
    <w:qFormat/>
    <w:rsid w:val="002A5A5E"/>
    <w:pPr>
      <w:widowControl/>
      <w:pBdr>
        <w:top w:val="single" w:sz="4" w:space="0" w:color="000000"/>
        <w:left w:val="single" w:sz="4" w:space="0" w:color="000000"/>
        <w:bottom w:val="single" w:sz="4" w:space="0" w:color="000000"/>
      </w:pBdr>
      <w:spacing w:before="100" w:beforeAutospacing="1" w:after="100" w:afterAutospacing="1"/>
      <w:jc w:val="center"/>
    </w:pPr>
    <w:rPr>
      <w:rFonts w:ascii="宋体" w:hAnsi="宋体" w:cs="宋体"/>
      <w:b/>
      <w:bCs/>
      <w:color w:val="000000"/>
      <w:kern w:val="0"/>
      <w:sz w:val="24"/>
    </w:rPr>
  </w:style>
  <w:style w:type="paragraph" w:customStyle="1" w:styleId="et42">
    <w:name w:val="et42"/>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0"/>
      <w:szCs w:val="20"/>
    </w:rPr>
  </w:style>
  <w:style w:type="paragraph" w:customStyle="1" w:styleId="et43">
    <w:name w:val="et43"/>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0000"/>
      <w:kern w:val="0"/>
      <w:sz w:val="18"/>
      <w:szCs w:val="18"/>
    </w:rPr>
  </w:style>
  <w:style w:type="paragraph" w:customStyle="1" w:styleId="et44">
    <w:name w:val="et44"/>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0000"/>
      <w:kern w:val="0"/>
      <w:sz w:val="20"/>
      <w:szCs w:val="20"/>
    </w:rPr>
  </w:style>
  <w:style w:type="paragraph" w:customStyle="1" w:styleId="et45">
    <w:name w:val="et45"/>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0000"/>
      <w:kern w:val="0"/>
      <w:sz w:val="20"/>
      <w:szCs w:val="20"/>
    </w:rPr>
  </w:style>
  <w:style w:type="paragraph" w:customStyle="1" w:styleId="et46">
    <w:name w:val="et46"/>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FF0000"/>
      <w:kern w:val="0"/>
      <w:sz w:val="20"/>
      <w:szCs w:val="20"/>
    </w:rPr>
  </w:style>
  <w:style w:type="paragraph" w:customStyle="1" w:styleId="et47">
    <w:name w:val="et47"/>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0000"/>
      <w:kern w:val="0"/>
      <w:sz w:val="18"/>
      <w:szCs w:val="18"/>
    </w:rPr>
  </w:style>
  <w:style w:type="paragraph" w:customStyle="1" w:styleId="et48">
    <w:name w:val="et48"/>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0000"/>
      <w:kern w:val="0"/>
      <w:sz w:val="20"/>
      <w:szCs w:val="20"/>
    </w:rPr>
  </w:style>
  <w:style w:type="paragraph" w:customStyle="1" w:styleId="et49">
    <w:name w:val="et49"/>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0000"/>
      <w:kern w:val="0"/>
      <w:sz w:val="20"/>
      <w:szCs w:val="20"/>
    </w:rPr>
  </w:style>
  <w:style w:type="paragraph" w:customStyle="1" w:styleId="font19">
    <w:name w:val="font19"/>
    <w:basedOn w:val="a1"/>
    <w:qFormat/>
    <w:rsid w:val="002A5A5E"/>
    <w:pPr>
      <w:widowControl/>
      <w:spacing w:before="100" w:beforeAutospacing="1" w:after="100" w:afterAutospacing="1"/>
      <w:jc w:val="left"/>
    </w:pPr>
    <w:rPr>
      <w:rFonts w:ascii="仿宋" w:eastAsia="仿宋" w:hAnsi="仿宋" w:cs="宋体"/>
      <w:b/>
      <w:bCs/>
      <w:color w:val="000000"/>
      <w:kern w:val="0"/>
      <w:sz w:val="22"/>
      <w:szCs w:val="22"/>
    </w:rPr>
  </w:style>
  <w:style w:type="paragraph" w:customStyle="1" w:styleId="font20">
    <w:name w:val="font20"/>
    <w:basedOn w:val="a1"/>
    <w:qFormat/>
    <w:rsid w:val="002A5A5E"/>
    <w:pPr>
      <w:widowControl/>
      <w:spacing w:before="100" w:beforeAutospacing="1" w:after="100" w:afterAutospacing="1"/>
      <w:jc w:val="left"/>
    </w:pPr>
    <w:rPr>
      <w:rFonts w:ascii="宋体" w:hAnsi="宋体" w:cs="宋体"/>
      <w:color w:val="000000"/>
      <w:kern w:val="0"/>
      <w:sz w:val="24"/>
    </w:rPr>
  </w:style>
  <w:style w:type="paragraph" w:customStyle="1" w:styleId="et52">
    <w:name w:val="et52"/>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B0F0"/>
      <w:kern w:val="0"/>
      <w:sz w:val="24"/>
    </w:rPr>
  </w:style>
  <w:style w:type="paragraph" w:customStyle="1" w:styleId="et53">
    <w:name w:val="et53"/>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FF0000"/>
      <w:kern w:val="0"/>
      <w:sz w:val="24"/>
    </w:rPr>
  </w:style>
  <w:style w:type="paragraph" w:customStyle="1" w:styleId="et54">
    <w:name w:val="et54"/>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70C0"/>
      <w:kern w:val="0"/>
      <w:sz w:val="24"/>
    </w:rPr>
  </w:style>
  <w:style w:type="paragraph" w:customStyle="1" w:styleId="et55">
    <w:name w:val="et55"/>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70C0"/>
      <w:kern w:val="0"/>
      <w:sz w:val="24"/>
    </w:rPr>
  </w:style>
  <w:style w:type="paragraph" w:customStyle="1" w:styleId="et57">
    <w:name w:val="et57"/>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B0F0"/>
      <w:kern w:val="0"/>
      <w:sz w:val="24"/>
    </w:rPr>
  </w:style>
  <w:style w:type="paragraph" w:customStyle="1" w:styleId="et61">
    <w:name w:val="et61"/>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FF0000"/>
      <w:kern w:val="0"/>
      <w:sz w:val="24"/>
    </w:rPr>
  </w:style>
  <w:style w:type="paragraph" w:customStyle="1" w:styleId="et62">
    <w:name w:val="et62"/>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B0F0"/>
      <w:kern w:val="0"/>
      <w:sz w:val="24"/>
    </w:rPr>
  </w:style>
  <w:style w:type="paragraph" w:customStyle="1" w:styleId="et63">
    <w:name w:val="et63"/>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kern w:val="0"/>
      <w:sz w:val="24"/>
    </w:rPr>
  </w:style>
  <w:style w:type="paragraph" w:customStyle="1" w:styleId="et64">
    <w:name w:val="et64"/>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65">
    <w:name w:val="et65"/>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FF0000"/>
      <w:kern w:val="0"/>
      <w:sz w:val="24"/>
    </w:rPr>
  </w:style>
  <w:style w:type="paragraph" w:customStyle="1" w:styleId="et66">
    <w:name w:val="et66"/>
    <w:basedOn w:val="a1"/>
    <w:qFormat/>
    <w:rsid w:val="002A5A5E"/>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b/>
      <w:bCs/>
      <w:kern w:val="0"/>
      <w:sz w:val="24"/>
    </w:rPr>
  </w:style>
  <w:style w:type="paragraph" w:customStyle="1" w:styleId="et67">
    <w:name w:val="et67"/>
    <w:basedOn w:val="a1"/>
    <w:qFormat/>
    <w:rsid w:val="002A5A5E"/>
    <w:pPr>
      <w:widowControl/>
      <w:pBdr>
        <w:left w:val="single" w:sz="4" w:space="0" w:color="000000"/>
        <w:right w:val="single" w:sz="4" w:space="0" w:color="000000"/>
      </w:pBdr>
      <w:spacing w:before="100" w:beforeAutospacing="1" w:after="100" w:afterAutospacing="1"/>
      <w:jc w:val="center"/>
    </w:pPr>
    <w:rPr>
      <w:rFonts w:ascii="宋体" w:hAnsi="宋体" w:cs="宋体"/>
      <w:b/>
      <w:bCs/>
      <w:kern w:val="0"/>
      <w:sz w:val="24"/>
    </w:rPr>
  </w:style>
  <w:style w:type="paragraph" w:customStyle="1" w:styleId="et68">
    <w:name w:val="et68"/>
    <w:basedOn w:val="a1"/>
    <w:qFormat/>
    <w:rsid w:val="002A5A5E"/>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kern w:val="0"/>
      <w:sz w:val="24"/>
    </w:rPr>
  </w:style>
  <w:style w:type="paragraph" w:customStyle="1" w:styleId="et69">
    <w:name w:val="et69"/>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kern w:val="0"/>
      <w:sz w:val="24"/>
    </w:rPr>
  </w:style>
  <w:style w:type="paragraph" w:customStyle="1" w:styleId="et70">
    <w:name w:val="et70"/>
    <w:basedOn w:val="a1"/>
    <w:qFormat/>
    <w:rsid w:val="002A5A5E"/>
    <w:pPr>
      <w:widowControl/>
      <w:pBdr>
        <w:left w:val="single" w:sz="4" w:space="0" w:color="000000"/>
        <w:right w:val="single" w:sz="4" w:space="0" w:color="000000"/>
      </w:pBdr>
      <w:spacing w:before="100" w:beforeAutospacing="1" w:after="100" w:afterAutospacing="1"/>
      <w:jc w:val="center"/>
    </w:pPr>
    <w:rPr>
      <w:rFonts w:ascii="宋体" w:hAnsi="宋体" w:cs="宋体"/>
      <w:b/>
      <w:bCs/>
      <w:color w:val="00B050"/>
      <w:kern w:val="0"/>
      <w:sz w:val="24"/>
    </w:rPr>
  </w:style>
  <w:style w:type="paragraph" w:customStyle="1" w:styleId="et71">
    <w:name w:val="et71"/>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B050"/>
      <w:kern w:val="0"/>
      <w:sz w:val="24"/>
    </w:rPr>
  </w:style>
  <w:style w:type="paragraph" w:customStyle="1" w:styleId="et72">
    <w:name w:val="et72"/>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b/>
      <w:bCs/>
      <w:color w:val="00B050"/>
      <w:kern w:val="0"/>
      <w:sz w:val="24"/>
    </w:rPr>
  </w:style>
  <w:style w:type="paragraph" w:customStyle="1" w:styleId="et73">
    <w:name w:val="et73"/>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B050"/>
      <w:kern w:val="0"/>
      <w:sz w:val="24"/>
    </w:rPr>
  </w:style>
  <w:style w:type="paragraph" w:customStyle="1" w:styleId="et74">
    <w:name w:val="et74"/>
    <w:basedOn w:val="a1"/>
    <w:qFormat/>
    <w:rsid w:val="002A5A5E"/>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b/>
      <w:bCs/>
      <w:color w:val="000000"/>
      <w:kern w:val="0"/>
      <w:sz w:val="24"/>
    </w:rPr>
  </w:style>
  <w:style w:type="paragraph" w:customStyle="1" w:styleId="et75">
    <w:name w:val="et75"/>
    <w:basedOn w:val="a1"/>
    <w:qFormat/>
    <w:rsid w:val="002A5A5E"/>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77">
    <w:name w:val="et77"/>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kern w:val="0"/>
      <w:sz w:val="24"/>
    </w:rPr>
  </w:style>
  <w:style w:type="paragraph" w:customStyle="1" w:styleId="et78">
    <w:name w:val="et78"/>
    <w:basedOn w:val="a1"/>
    <w:qFormat/>
    <w:rsid w:val="002A5A5E"/>
    <w:pPr>
      <w:widowControl/>
      <w:pBdr>
        <w:left w:val="single" w:sz="4" w:space="0" w:color="000000"/>
        <w:right w:val="single" w:sz="4" w:space="0" w:color="000000"/>
      </w:pBdr>
      <w:spacing w:before="100" w:beforeAutospacing="1" w:after="100" w:afterAutospacing="1"/>
      <w:jc w:val="center"/>
    </w:pPr>
    <w:rPr>
      <w:rFonts w:ascii="宋体" w:hAnsi="宋体" w:cs="宋体"/>
      <w:b/>
      <w:bCs/>
      <w:color w:val="000000"/>
      <w:kern w:val="0"/>
      <w:sz w:val="24"/>
    </w:rPr>
  </w:style>
  <w:style w:type="paragraph" w:customStyle="1" w:styleId="et79">
    <w:name w:val="et79"/>
    <w:basedOn w:val="a1"/>
    <w:qFormat/>
    <w:rsid w:val="002A5A5E"/>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81">
    <w:name w:val="et81"/>
    <w:basedOn w:val="a1"/>
    <w:qFormat/>
    <w:rsid w:val="002A5A5E"/>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0000"/>
      <w:kern w:val="0"/>
      <w:sz w:val="24"/>
    </w:rPr>
  </w:style>
  <w:style w:type="paragraph" w:customStyle="1" w:styleId="et82">
    <w:name w:val="et82"/>
    <w:basedOn w:val="a1"/>
    <w:qFormat/>
    <w:rsid w:val="002A5A5E"/>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84">
    <w:name w:val="et84"/>
    <w:basedOn w:val="a1"/>
    <w:qFormat/>
    <w:rsid w:val="002A5A5E"/>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86">
    <w:name w:val="et86"/>
    <w:basedOn w:val="a1"/>
    <w:qFormat/>
    <w:rsid w:val="002A5A5E"/>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88">
    <w:name w:val="et88"/>
    <w:basedOn w:val="a1"/>
    <w:qFormat/>
    <w:rsid w:val="002A5A5E"/>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0000"/>
      <w:kern w:val="0"/>
      <w:sz w:val="24"/>
    </w:rPr>
  </w:style>
  <w:style w:type="paragraph" w:customStyle="1" w:styleId="et89">
    <w:name w:val="et89"/>
    <w:basedOn w:val="a1"/>
    <w:qFormat/>
    <w:rsid w:val="002A5A5E"/>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91">
    <w:name w:val="et91"/>
    <w:basedOn w:val="a1"/>
    <w:qFormat/>
    <w:rsid w:val="002A5A5E"/>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kern w:val="0"/>
      <w:sz w:val="24"/>
    </w:rPr>
  </w:style>
  <w:style w:type="paragraph" w:customStyle="1" w:styleId="et92">
    <w:name w:val="et92"/>
    <w:basedOn w:val="a1"/>
    <w:qFormat/>
    <w:rsid w:val="002A5A5E"/>
    <w:pPr>
      <w:widowControl/>
      <w:pBdr>
        <w:left w:val="single" w:sz="4" w:space="0" w:color="000000"/>
        <w:right w:val="single" w:sz="4" w:space="0" w:color="000000"/>
      </w:pBdr>
      <w:spacing w:before="100" w:beforeAutospacing="1" w:after="100" w:afterAutospacing="1"/>
      <w:jc w:val="center"/>
    </w:pPr>
    <w:rPr>
      <w:rFonts w:ascii="宋体" w:hAnsi="宋体" w:cs="宋体"/>
      <w:kern w:val="0"/>
      <w:sz w:val="24"/>
    </w:rPr>
  </w:style>
  <w:style w:type="paragraph" w:customStyle="1" w:styleId="et93">
    <w:name w:val="et93"/>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kern w:val="0"/>
      <w:sz w:val="24"/>
    </w:rPr>
  </w:style>
  <w:style w:type="paragraph" w:customStyle="1" w:styleId="et95">
    <w:name w:val="et95"/>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70C0"/>
      <w:kern w:val="0"/>
      <w:sz w:val="24"/>
    </w:rPr>
  </w:style>
  <w:style w:type="paragraph" w:customStyle="1" w:styleId="et96">
    <w:name w:val="et96"/>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70C0"/>
      <w:kern w:val="0"/>
      <w:sz w:val="24"/>
    </w:rPr>
  </w:style>
  <w:style w:type="paragraph" w:customStyle="1" w:styleId="et97">
    <w:name w:val="et97"/>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98">
    <w:name w:val="et98"/>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C00000"/>
      <w:kern w:val="0"/>
      <w:sz w:val="24"/>
    </w:rPr>
  </w:style>
  <w:style w:type="paragraph" w:customStyle="1" w:styleId="et99">
    <w:name w:val="et99"/>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C00000"/>
      <w:kern w:val="0"/>
      <w:sz w:val="24"/>
    </w:rPr>
  </w:style>
  <w:style w:type="paragraph" w:customStyle="1" w:styleId="et100">
    <w:name w:val="et100"/>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FFC000"/>
      <w:kern w:val="0"/>
      <w:sz w:val="24"/>
    </w:rPr>
  </w:style>
  <w:style w:type="paragraph" w:customStyle="1" w:styleId="et101">
    <w:name w:val="et101"/>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FFC000"/>
      <w:kern w:val="0"/>
      <w:sz w:val="24"/>
    </w:rPr>
  </w:style>
  <w:style w:type="paragraph" w:customStyle="1" w:styleId="et102">
    <w:name w:val="et102"/>
    <w:basedOn w:val="a1"/>
    <w:qFormat/>
    <w:rsid w:val="002A5A5E"/>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kern w:val="0"/>
      <w:sz w:val="24"/>
    </w:rPr>
  </w:style>
  <w:style w:type="paragraph" w:customStyle="1" w:styleId="et106">
    <w:name w:val="et106"/>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0000"/>
      <w:kern w:val="0"/>
      <w:sz w:val="24"/>
    </w:rPr>
  </w:style>
  <w:style w:type="paragraph" w:customStyle="1" w:styleId="et108">
    <w:name w:val="et108"/>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B050"/>
      <w:kern w:val="0"/>
      <w:sz w:val="24"/>
    </w:rPr>
  </w:style>
  <w:style w:type="paragraph" w:customStyle="1" w:styleId="et109">
    <w:name w:val="et109"/>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B050"/>
      <w:kern w:val="0"/>
      <w:sz w:val="24"/>
    </w:rPr>
  </w:style>
  <w:style w:type="paragraph" w:customStyle="1" w:styleId="et110">
    <w:name w:val="et110"/>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b/>
      <w:bCs/>
      <w:color w:val="00B050"/>
      <w:kern w:val="0"/>
      <w:sz w:val="24"/>
    </w:rPr>
  </w:style>
  <w:style w:type="paragraph" w:customStyle="1" w:styleId="et113">
    <w:name w:val="et113"/>
    <w:basedOn w:val="a1"/>
    <w:qFormat/>
    <w:rsid w:val="002A5A5E"/>
    <w:pPr>
      <w:widowControl/>
      <w:pBdr>
        <w:left w:val="single" w:sz="4" w:space="0" w:color="000000"/>
        <w:right w:val="single" w:sz="4" w:space="0" w:color="000000"/>
      </w:pBdr>
      <w:spacing w:before="100" w:beforeAutospacing="1" w:after="100" w:afterAutospacing="1"/>
      <w:jc w:val="center"/>
    </w:pPr>
    <w:rPr>
      <w:rFonts w:ascii="宋体" w:hAnsi="宋体" w:cs="宋体"/>
      <w:b/>
      <w:bCs/>
      <w:color w:val="00B0F0"/>
      <w:kern w:val="0"/>
      <w:sz w:val="24"/>
    </w:rPr>
  </w:style>
  <w:style w:type="paragraph" w:customStyle="1" w:styleId="et114">
    <w:name w:val="et114"/>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B0F0"/>
      <w:kern w:val="0"/>
      <w:sz w:val="24"/>
    </w:rPr>
  </w:style>
  <w:style w:type="paragraph" w:customStyle="1" w:styleId="et116">
    <w:name w:val="et116"/>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0000"/>
      <w:kern w:val="0"/>
      <w:sz w:val="24"/>
    </w:rPr>
  </w:style>
  <w:style w:type="paragraph" w:customStyle="1" w:styleId="et117">
    <w:name w:val="et117"/>
    <w:basedOn w:val="a1"/>
    <w:qFormat/>
    <w:rsid w:val="002A5A5E"/>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B0F0"/>
      <w:kern w:val="0"/>
      <w:sz w:val="24"/>
    </w:rPr>
  </w:style>
  <w:style w:type="paragraph" w:customStyle="1" w:styleId="et118">
    <w:name w:val="et118"/>
    <w:basedOn w:val="a1"/>
    <w:qFormat/>
    <w:rsid w:val="002A5A5E"/>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B0F0"/>
      <w:kern w:val="0"/>
      <w:sz w:val="24"/>
    </w:rPr>
  </w:style>
  <w:style w:type="paragraph" w:customStyle="1" w:styleId="et121">
    <w:name w:val="et121"/>
    <w:basedOn w:val="a1"/>
    <w:qFormat/>
    <w:rsid w:val="002A5A5E"/>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123">
    <w:name w:val="et123"/>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124">
    <w:name w:val="et124"/>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125">
    <w:name w:val="et125"/>
    <w:basedOn w:val="a1"/>
    <w:qFormat/>
    <w:rsid w:val="002A5A5E"/>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127">
    <w:name w:val="et127"/>
    <w:basedOn w:val="a1"/>
    <w:qFormat/>
    <w:rsid w:val="002A5A5E"/>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129">
    <w:name w:val="et129"/>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132">
    <w:name w:val="et132"/>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color w:val="000000"/>
      <w:kern w:val="0"/>
      <w:sz w:val="24"/>
    </w:rPr>
  </w:style>
  <w:style w:type="paragraph" w:customStyle="1" w:styleId="et133">
    <w:name w:val="et133"/>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B0F0"/>
      <w:kern w:val="0"/>
      <w:sz w:val="24"/>
    </w:rPr>
  </w:style>
  <w:style w:type="paragraph" w:customStyle="1" w:styleId="et134">
    <w:name w:val="et134"/>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FF0000"/>
      <w:kern w:val="0"/>
      <w:sz w:val="24"/>
    </w:rPr>
  </w:style>
  <w:style w:type="paragraph" w:customStyle="1" w:styleId="et136">
    <w:name w:val="et136"/>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FF0000"/>
      <w:kern w:val="0"/>
      <w:sz w:val="24"/>
    </w:rPr>
  </w:style>
  <w:style w:type="paragraph" w:customStyle="1" w:styleId="et137">
    <w:name w:val="et137"/>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FF0000"/>
      <w:kern w:val="0"/>
      <w:sz w:val="24"/>
    </w:rPr>
  </w:style>
  <w:style w:type="paragraph" w:customStyle="1" w:styleId="et138">
    <w:name w:val="et138"/>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FF0000"/>
      <w:kern w:val="0"/>
      <w:sz w:val="24"/>
    </w:rPr>
  </w:style>
  <w:style w:type="paragraph" w:customStyle="1" w:styleId="et139">
    <w:name w:val="et139"/>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FF0000"/>
      <w:kern w:val="0"/>
      <w:sz w:val="24"/>
    </w:rPr>
  </w:style>
  <w:style w:type="paragraph" w:customStyle="1" w:styleId="et140">
    <w:name w:val="et140"/>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B0F0"/>
      <w:kern w:val="0"/>
      <w:sz w:val="24"/>
    </w:rPr>
  </w:style>
  <w:style w:type="paragraph" w:customStyle="1" w:styleId="et141">
    <w:name w:val="et141"/>
    <w:basedOn w:val="a1"/>
    <w:qFormat/>
    <w:rsid w:val="002A5A5E"/>
    <w:pPr>
      <w:widowControl/>
      <w:pBdr>
        <w:left w:val="single" w:sz="4" w:space="0" w:color="000000"/>
        <w:right w:val="single" w:sz="4" w:space="0" w:color="000000"/>
      </w:pBdr>
      <w:spacing w:before="100" w:beforeAutospacing="1" w:after="100" w:afterAutospacing="1"/>
      <w:jc w:val="center"/>
    </w:pPr>
    <w:rPr>
      <w:rFonts w:ascii="宋体" w:hAnsi="宋体" w:cs="宋体"/>
      <w:b/>
      <w:bCs/>
      <w:color w:val="7030A0"/>
      <w:kern w:val="0"/>
      <w:sz w:val="24"/>
    </w:rPr>
  </w:style>
  <w:style w:type="paragraph" w:customStyle="1" w:styleId="et142">
    <w:name w:val="et142"/>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7030A0"/>
      <w:kern w:val="0"/>
      <w:sz w:val="24"/>
    </w:rPr>
  </w:style>
  <w:style w:type="paragraph" w:customStyle="1" w:styleId="et143">
    <w:name w:val="et143"/>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b/>
      <w:bCs/>
      <w:color w:val="7030A0"/>
      <w:kern w:val="0"/>
      <w:sz w:val="24"/>
    </w:rPr>
  </w:style>
  <w:style w:type="paragraph" w:customStyle="1" w:styleId="et144">
    <w:name w:val="et144"/>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7030A0"/>
      <w:kern w:val="0"/>
      <w:sz w:val="24"/>
    </w:rPr>
  </w:style>
  <w:style w:type="paragraph" w:customStyle="1" w:styleId="et145">
    <w:name w:val="et145"/>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color w:val="0070C0"/>
      <w:kern w:val="0"/>
      <w:sz w:val="24"/>
    </w:rPr>
  </w:style>
  <w:style w:type="paragraph" w:customStyle="1" w:styleId="et147">
    <w:name w:val="et147"/>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70C0"/>
      <w:kern w:val="0"/>
      <w:sz w:val="24"/>
    </w:rPr>
  </w:style>
  <w:style w:type="paragraph" w:customStyle="1" w:styleId="et150">
    <w:name w:val="et150"/>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b/>
      <w:bCs/>
      <w:color w:val="000000"/>
      <w:kern w:val="0"/>
      <w:sz w:val="24"/>
    </w:rPr>
  </w:style>
  <w:style w:type="paragraph" w:customStyle="1" w:styleId="et153">
    <w:name w:val="et153"/>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kern w:val="0"/>
      <w:sz w:val="24"/>
    </w:rPr>
  </w:style>
  <w:style w:type="paragraph" w:customStyle="1" w:styleId="et155">
    <w:name w:val="et155"/>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70C0"/>
      <w:kern w:val="0"/>
      <w:sz w:val="24"/>
    </w:rPr>
  </w:style>
  <w:style w:type="paragraph" w:customStyle="1" w:styleId="et156">
    <w:name w:val="et156"/>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b/>
      <w:bCs/>
      <w:kern w:val="0"/>
      <w:sz w:val="24"/>
    </w:rPr>
  </w:style>
  <w:style w:type="paragraph" w:customStyle="1" w:styleId="et158">
    <w:name w:val="et158"/>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0000"/>
      <w:kern w:val="0"/>
      <w:sz w:val="24"/>
    </w:rPr>
  </w:style>
  <w:style w:type="paragraph" w:customStyle="1" w:styleId="et159">
    <w:name w:val="et159"/>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color w:val="000000"/>
      <w:kern w:val="0"/>
      <w:sz w:val="24"/>
    </w:rPr>
  </w:style>
  <w:style w:type="paragraph" w:customStyle="1" w:styleId="et163">
    <w:name w:val="et163"/>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0000"/>
      <w:kern w:val="0"/>
      <w:sz w:val="24"/>
    </w:rPr>
  </w:style>
  <w:style w:type="paragraph" w:customStyle="1" w:styleId="et165">
    <w:name w:val="et165"/>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B050"/>
      <w:kern w:val="0"/>
      <w:sz w:val="24"/>
    </w:rPr>
  </w:style>
  <w:style w:type="paragraph" w:customStyle="1" w:styleId="et166">
    <w:name w:val="et166"/>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0000"/>
      <w:kern w:val="0"/>
      <w:sz w:val="24"/>
    </w:rPr>
  </w:style>
  <w:style w:type="paragraph" w:customStyle="1" w:styleId="et167">
    <w:name w:val="et167"/>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b/>
      <w:bCs/>
      <w:color w:val="00B0F0"/>
      <w:kern w:val="0"/>
      <w:sz w:val="24"/>
    </w:rPr>
  </w:style>
  <w:style w:type="paragraph" w:customStyle="1" w:styleId="et169">
    <w:name w:val="et169"/>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7030A0"/>
      <w:kern w:val="0"/>
      <w:sz w:val="24"/>
    </w:rPr>
  </w:style>
  <w:style w:type="paragraph" w:customStyle="1" w:styleId="et172">
    <w:name w:val="et172"/>
    <w:basedOn w:val="a1"/>
    <w:qFormat/>
    <w:rsid w:val="002A5A5E"/>
    <w:pPr>
      <w:widowControl/>
      <w:pBdr>
        <w:left w:val="single" w:sz="4" w:space="0" w:color="000000"/>
        <w:right w:val="single" w:sz="4" w:space="0" w:color="000000"/>
      </w:pBdr>
      <w:spacing w:before="100" w:beforeAutospacing="1" w:after="100" w:afterAutospacing="1"/>
      <w:jc w:val="center"/>
    </w:pPr>
    <w:rPr>
      <w:rFonts w:ascii="宋体" w:hAnsi="宋体" w:cs="宋体"/>
      <w:color w:val="00B0F0"/>
      <w:kern w:val="0"/>
      <w:sz w:val="24"/>
    </w:rPr>
  </w:style>
  <w:style w:type="paragraph" w:customStyle="1" w:styleId="et173">
    <w:name w:val="et173"/>
    <w:basedOn w:val="a1"/>
    <w:qFormat/>
    <w:rsid w:val="002A5A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b/>
      <w:bCs/>
      <w:color w:val="00B0F0"/>
      <w:kern w:val="0"/>
      <w:sz w:val="24"/>
    </w:rPr>
  </w:style>
  <w:style w:type="character" w:customStyle="1" w:styleId="font22">
    <w:name w:val="font22"/>
    <w:basedOn w:val="a2"/>
    <w:qFormat/>
    <w:rsid w:val="002A5A5E"/>
    <w:rPr>
      <w:rFonts w:ascii="仿宋" w:eastAsia="仿宋" w:hAnsi="仿宋" w:hint="eastAsia"/>
      <w:color w:val="000000"/>
      <w:sz w:val="22"/>
      <w:szCs w:val="22"/>
      <w:u w:val="none"/>
    </w:rPr>
  </w:style>
  <w:style w:type="character" w:customStyle="1" w:styleId="font211">
    <w:name w:val="font211"/>
    <w:basedOn w:val="a2"/>
    <w:qFormat/>
    <w:rsid w:val="002A5A5E"/>
    <w:rPr>
      <w:rFonts w:ascii="仿宋" w:eastAsia="仿宋" w:hAnsi="仿宋" w:hint="eastAsia"/>
      <w:color w:val="000000"/>
      <w:sz w:val="22"/>
      <w:szCs w:val="22"/>
      <w:u w:val="none"/>
      <w:vertAlign w:val="superscript"/>
    </w:rPr>
  </w:style>
  <w:style w:type="paragraph" w:customStyle="1" w:styleId="afffffffff9">
    <w:name w:val="标准书眉_奇数页"/>
    <w:next w:val="a1"/>
    <w:qFormat/>
    <w:rsid w:val="002A5A5E"/>
    <w:pPr>
      <w:tabs>
        <w:tab w:val="center" w:pos="4154"/>
        <w:tab w:val="right" w:pos="8306"/>
      </w:tabs>
      <w:spacing w:after="120"/>
      <w:jc w:val="right"/>
    </w:pPr>
    <w:rPr>
      <w:rFonts w:ascii="Times New Roman" w:eastAsia="宋体" w:hAnsi="Times New Roman" w:cs="Times New Roman"/>
      <w:sz w:val="21"/>
    </w:rPr>
  </w:style>
  <w:style w:type="paragraph" w:customStyle="1" w:styleId="76">
    <w:name w:val="正文7"/>
    <w:rsid w:val="002A5A5E"/>
    <w:pPr>
      <w:jc w:val="both"/>
    </w:pPr>
    <w:rPr>
      <w:rFonts w:ascii="Times New Roman" w:eastAsia="宋体" w:hAnsi="Times New Roman" w:cs="Times New Roman"/>
      <w:kern w:val="2"/>
      <w:sz w:val="21"/>
      <w:szCs w:val="21"/>
    </w:rPr>
  </w:style>
  <w:style w:type="paragraph" w:customStyle="1" w:styleId="83">
    <w:name w:val="正文8"/>
    <w:rsid w:val="002A5A5E"/>
    <w:pPr>
      <w:jc w:val="both"/>
    </w:pPr>
    <w:rPr>
      <w:rFonts w:ascii="Times New Roman" w:eastAsia="宋体" w:hAnsi="Times New Roman" w:cs="Times New Roman"/>
      <w:kern w:val="2"/>
      <w:sz w:val="21"/>
      <w:szCs w:val="21"/>
    </w:rPr>
  </w:style>
  <w:style w:type="paragraph" w:customStyle="1" w:styleId="M">
    <w:name w:val="M正文"/>
    <w:basedOn w:val="a1"/>
    <w:link w:val="M0"/>
    <w:autoRedefine/>
    <w:qFormat/>
    <w:rsid w:val="002A5A5E"/>
    <w:pPr>
      <w:widowControl/>
      <w:kinsoku w:val="0"/>
      <w:autoSpaceDE w:val="0"/>
      <w:autoSpaceDN w:val="0"/>
      <w:adjustRightInd w:val="0"/>
      <w:snapToGrid w:val="0"/>
      <w:spacing w:line="360" w:lineRule="auto"/>
      <w:ind w:firstLineChars="200" w:firstLine="200"/>
      <w:jc w:val="left"/>
      <w:textAlignment w:val="baseline"/>
    </w:pPr>
    <w:rPr>
      <w:snapToGrid w:val="0"/>
      <w:color w:val="000000"/>
      <w:kern w:val="0"/>
      <w:sz w:val="24"/>
      <w:lang w:eastAsia="en-US"/>
    </w:rPr>
  </w:style>
  <w:style w:type="character" w:customStyle="1" w:styleId="M0">
    <w:name w:val="M正文 字符"/>
    <w:basedOn w:val="a2"/>
    <w:link w:val="M"/>
    <w:autoRedefine/>
    <w:qFormat/>
    <w:rsid w:val="002A5A5E"/>
    <w:rPr>
      <w:rFonts w:ascii="Times New Roman" w:eastAsia="宋体" w:hAnsi="Times New Roman" w:cs="Times New Roman"/>
      <w:snapToGrid w:val="0"/>
      <w:color w:val="000000"/>
      <w:kern w:val="0"/>
      <w:sz w:val="24"/>
      <w:szCs w:val="24"/>
      <w:lang w:eastAsia="en-US"/>
    </w:rPr>
  </w:style>
  <w:style w:type="table" w:customStyle="1" w:styleId="TableNormal">
    <w:name w:val="Table Normal"/>
    <w:autoRedefine/>
    <w:unhideWhenUsed/>
    <w:qFormat/>
    <w:rsid w:val="002A5A5E"/>
    <w:rPr>
      <w:rFonts w:ascii="Times New Roman" w:eastAsia="宋体" w:hAnsi="Times New Roman" w:cs="Times New Roman"/>
    </w:rPr>
    <w:tblPr>
      <w:tblCellMar>
        <w:top w:w="0" w:type="dxa"/>
        <w:left w:w="0" w:type="dxa"/>
        <w:bottom w:w="0" w:type="dxa"/>
        <w:right w:w="0" w:type="dxa"/>
      </w:tblCellMar>
    </w:tblPr>
  </w:style>
  <w:style w:type="paragraph" w:customStyle="1" w:styleId="TableText">
    <w:name w:val="Table Text"/>
    <w:basedOn w:val="a1"/>
    <w:autoRedefine/>
    <w:semiHidden/>
    <w:qFormat/>
    <w:rsid w:val="002A5A5E"/>
    <w:pPr>
      <w:widowControl/>
      <w:kinsoku w:val="0"/>
      <w:autoSpaceDE w:val="0"/>
      <w:autoSpaceDN w:val="0"/>
      <w:adjustRightInd w:val="0"/>
      <w:snapToGrid w:val="0"/>
      <w:jc w:val="left"/>
      <w:textAlignment w:val="baseline"/>
    </w:pPr>
    <w:rPr>
      <w:rFonts w:eastAsia="Times New Roman"/>
      <w:snapToGrid w:val="0"/>
      <w:color w:val="000000"/>
      <w:kern w:val="0"/>
      <w:sz w:val="20"/>
      <w:szCs w:val="20"/>
      <w:lang w:eastAsia="en-US"/>
    </w:rPr>
  </w:style>
  <w:style w:type="paragraph" w:customStyle="1" w:styleId="afffffffffa">
    <w:name w:val="【表格】"/>
    <w:basedOn w:val="a1"/>
    <w:link w:val="afffffffffb"/>
    <w:qFormat/>
    <w:rsid w:val="002A5A5E"/>
    <w:pPr>
      <w:adjustRightInd w:val="0"/>
      <w:snapToGrid w:val="0"/>
      <w:spacing w:line="400" w:lineRule="exact"/>
    </w:pPr>
    <w:rPr>
      <w:spacing w:val="-4"/>
    </w:rPr>
  </w:style>
  <w:style w:type="character" w:customStyle="1" w:styleId="afffffffffb">
    <w:name w:val="【表格】 字符"/>
    <w:link w:val="afffffffffa"/>
    <w:qFormat/>
    <w:rsid w:val="002A5A5E"/>
    <w:rPr>
      <w:rFonts w:ascii="Times New Roman" w:eastAsia="宋体" w:hAnsi="Times New Roman" w:cs="Times New Roman"/>
      <w:spacing w:val="-4"/>
      <w:kern w:val="2"/>
      <w:sz w:val="21"/>
      <w:szCs w:val="24"/>
    </w:rPr>
  </w:style>
  <w:style w:type="table" w:customStyle="1" w:styleId="TableNormal1">
    <w:name w:val="Table Normal1"/>
    <w:basedOn w:val="a3"/>
    <w:rsid w:val="002A5A5E"/>
    <w:rPr>
      <w:rFonts w:ascii="Times New Roman" w:eastAsia="Times New Roman" w:hAnsi="Times New Roman" w:cs="Times New Roman"/>
    </w:rPr>
    <w:tblPr>
      <w:tblInd w:w="0" w:type="dxa"/>
      <w:tblCellMar>
        <w:top w:w="0" w:type="dxa"/>
        <w:left w:w="0" w:type="dxa"/>
        <w:bottom w:w="0" w:type="dxa"/>
        <w:right w:w="0" w:type="dxa"/>
      </w:tblCellMar>
    </w:tblPr>
  </w:style>
  <w:style w:type="table" w:customStyle="1" w:styleId="69">
    <w:name w:val="网格型6"/>
    <w:basedOn w:val="a3"/>
    <w:next w:val="afc"/>
    <w:uiPriority w:val="99"/>
    <w:qFormat/>
    <w:rsid w:val="00C96EBA"/>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21349269">
      <w:bodyDiv w:val="1"/>
      <w:marLeft w:val="0"/>
      <w:marRight w:val="0"/>
      <w:marTop w:val="0"/>
      <w:marBottom w:val="0"/>
      <w:divBdr>
        <w:top w:val="none" w:sz="0" w:space="0" w:color="auto"/>
        <w:left w:val="none" w:sz="0" w:space="0" w:color="auto"/>
        <w:bottom w:val="none" w:sz="0" w:space="0" w:color="auto"/>
        <w:right w:val="none" w:sz="0" w:space="0" w:color="auto"/>
      </w:divBdr>
    </w:div>
    <w:div w:id="378942690">
      <w:bodyDiv w:val="1"/>
      <w:marLeft w:val="0"/>
      <w:marRight w:val="0"/>
      <w:marTop w:val="0"/>
      <w:marBottom w:val="0"/>
      <w:divBdr>
        <w:top w:val="none" w:sz="0" w:space="0" w:color="auto"/>
        <w:left w:val="none" w:sz="0" w:space="0" w:color="auto"/>
        <w:bottom w:val="none" w:sz="0" w:space="0" w:color="auto"/>
        <w:right w:val="none" w:sz="0" w:space="0" w:color="auto"/>
      </w:divBdr>
    </w:div>
    <w:div w:id="401148764">
      <w:bodyDiv w:val="1"/>
      <w:marLeft w:val="0"/>
      <w:marRight w:val="0"/>
      <w:marTop w:val="0"/>
      <w:marBottom w:val="0"/>
      <w:divBdr>
        <w:top w:val="none" w:sz="0" w:space="0" w:color="auto"/>
        <w:left w:val="none" w:sz="0" w:space="0" w:color="auto"/>
        <w:bottom w:val="none" w:sz="0" w:space="0" w:color="auto"/>
        <w:right w:val="none" w:sz="0" w:space="0" w:color="auto"/>
      </w:divBdr>
    </w:div>
    <w:div w:id="959528955">
      <w:bodyDiv w:val="1"/>
      <w:marLeft w:val="0"/>
      <w:marRight w:val="0"/>
      <w:marTop w:val="0"/>
      <w:marBottom w:val="0"/>
      <w:divBdr>
        <w:top w:val="none" w:sz="0" w:space="0" w:color="auto"/>
        <w:left w:val="none" w:sz="0" w:space="0" w:color="auto"/>
        <w:bottom w:val="none" w:sz="0" w:space="0" w:color="auto"/>
        <w:right w:val="none" w:sz="0" w:space="0" w:color="auto"/>
      </w:divBdr>
    </w:div>
    <w:div w:id="1000355140">
      <w:bodyDiv w:val="1"/>
      <w:marLeft w:val="0"/>
      <w:marRight w:val="0"/>
      <w:marTop w:val="0"/>
      <w:marBottom w:val="0"/>
      <w:divBdr>
        <w:top w:val="none" w:sz="0" w:space="0" w:color="auto"/>
        <w:left w:val="none" w:sz="0" w:space="0" w:color="auto"/>
        <w:bottom w:val="none" w:sz="0" w:space="0" w:color="auto"/>
        <w:right w:val="none" w:sz="0" w:space="0" w:color="auto"/>
      </w:divBdr>
    </w:div>
    <w:div w:id="1095327095">
      <w:bodyDiv w:val="1"/>
      <w:marLeft w:val="0"/>
      <w:marRight w:val="0"/>
      <w:marTop w:val="0"/>
      <w:marBottom w:val="0"/>
      <w:divBdr>
        <w:top w:val="none" w:sz="0" w:space="0" w:color="auto"/>
        <w:left w:val="none" w:sz="0" w:space="0" w:color="auto"/>
        <w:bottom w:val="none" w:sz="0" w:space="0" w:color="auto"/>
        <w:right w:val="none" w:sz="0" w:space="0" w:color="auto"/>
      </w:divBdr>
    </w:div>
    <w:div w:id="1270356844">
      <w:bodyDiv w:val="1"/>
      <w:marLeft w:val="0"/>
      <w:marRight w:val="0"/>
      <w:marTop w:val="0"/>
      <w:marBottom w:val="0"/>
      <w:divBdr>
        <w:top w:val="none" w:sz="0" w:space="0" w:color="auto"/>
        <w:left w:val="none" w:sz="0" w:space="0" w:color="auto"/>
        <w:bottom w:val="none" w:sz="0" w:space="0" w:color="auto"/>
        <w:right w:val="none" w:sz="0" w:space="0" w:color="auto"/>
      </w:divBdr>
    </w:div>
    <w:div w:id="1279072320">
      <w:bodyDiv w:val="1"/>
      <w:marLeft w:val="0"/>
      <w:marRight w:val="0"/>
      <w:marTop w:val="0"/>
      <w:marBottom w:val="0"/>
      <w:divBdr>
        <w:top w:val="none" w:sz="0" w:space="0" w:color="auto"/>
        <w:left w:val="none" w:sz="0" w:space="0" w:color="auto"/>
        <w:bottom w:val="none" w:sz="0" w:space="0" w:color="auto"/>
        <w:right w:val="none" w:sz="0" w:space="0" w:color="auto"/>
      </w:divBdr>
    </w:div>
    <w:div w:id="1322272422">
      <w:bodyDiv w:val="1"/>
      <w:marLeft w:val="0"/>
      <w:marRight w:val="0"/>
      <w:marTop w:val="0"/>
      <w:marBottom w:val="0"/>
      <w:divBdr>
        <w:top w:val="none" w:sz="0" w:space="0" w:color="auto"/>
        <w:left w:val="none" w:sz="0" w:space="0" w:color="auto"/>
        <w:bottom w:val="none" w:sz="0" w:space="0" w:color="auto"/>
        <w:right w:val="none" w:sz="0" w:space="0" w:color="auto"/>
      </w:divBdr>
    </w:div>
    <w:div w:id="1367633406">
      <w:bodyDiv w:val="1"/>
      <w:marLeft w:val="0"/>
      <w:marRight w:val="0"/>
      <w:marTop w:val="0"/>
      <w:marBottom w:val="0"/>
      <w:divBdr>
        <w:top w:val="none" w:sz="0" w:space="0" w:color="auto"/>
        <w:left w:val="none" w:sz="0" w:space="0" w:color="auto"/>
        <w:bottom w:val="none" w:sz="0" w:space="0" w:color="auto"/>
        <w:right w:val="none" w:sz="0" w:space="0" w:color="auto"/>
      </w:divBdr>
    </w:div>
    <w:div w:id="17639106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117" Type="http://schemas.openxmlformats.org/officeDocument/2006/relationships/image" Target="media/image89.jpeg"/><Relationship Id="rId21" Type="http://schemas.openxmlformats.org/officeDocument/2006/relationships/hyperlink" Target="https://huanbao.bjx.com.cn/topics/hjyxpjwjsp/" TargetMode="External"/><Relationship Id="rId42" Type="http://schemas.openxmlformats.org/officeDocument/2006/relationships/image" Target="media/image22.png"/><Relationship Id="rId47" Type="http://schemas.openxmlformats.org/officeDocument/2006/relationships/image" Target="media/image27.png"/><Relationship Id="rId63" Type="http://schemas.openxmlformats.org/officeDocument/2006/relationships/image" Target="media/image40.png"/><Relationship Id="rId68" Type="http://schemas.openxmlformats.org/officeDocument/2006/relationships/oleObject" Target="embeddings/oleObject2.bin"/><Relationship Id="rId84" Type="http://schemas.openxmlformats.org/officeDocument/2006/relationships/image" Target="media/image59.png"/><Relationship Id="rId89" Type="http://schemas.openxmlformats.org/officeDocument/2006/relationships/image" Target="media/image64.png"/><Relationship Id="rId112" Type="http://schemas.openxmlformats.org/officeDocument/2006/relationships/image" Target="media/image84.png"/><Relationship Id="rId16" Type="http://schemas.openxmlformats.org/officeDocument/2006/relationships/image" Target="media/image5.png"/><Relationship Id="rId107" Type="http://schemas.openxmlformats.org/officeDocument/2006/relationships/image" Target="media/image79.wmf"/><Relationship Id="rId11" Type="http://schemas.openxmlformats.org/officeDocument/2006/relationships/image" Target="media/image2.png"/><Relationship Id="rId32" Type="http://schemas.openxmlformats.org/officeDocument/2006/relationships/image" Target="media/image14.png"/><Relationship Id="rId37" Type="http://schemas.openxmlformats.org/officeDocument/2006/relationships/hyperlink" Target="file:///F:\360&#29992;&#25143;&#25991;&#20214;\&#28216;&#25103;&#22823;&#21381;\&#22825;&#20806;&#20859;&#29482;&#26377;&#38480;&#20844;&#21496;&#29615;&#35780;\1106&#22825;&#20806;&#20859;&#29482;\&#22825;&#20806;&#20859;&#29482;&#26377;&#38480;&#20844;&#21496;&#29615;&#35780;1117.docx" TargetMode="External"/><Relationship Id="rId53" Type="http://schemas.openxmlformats.org/officeDocument/2006/relationships/hyperlink" Target="http://baike.soso.com/v784546.htm?ch=ch.bk.innerlink" TargetMode="External"/><Relationship Id="rId58" Type="http://schemas.openxmlformats.org/officeDocument/2006/relationships/image" Target="media/image35.jpeg"/><Relationship Id="rId74" Type="http://schemas.openxmlformats.org/officeDocument/2006/relationships/image" Target="media/image49.jpeg"/><Relationship Id="rId79" Type="http://schemas.openxmlformats.org/officeDocument/2006/relationships/image" Target="media/image54.png"/><Relationship Id="rId102" Type="http://schemas.openxmlformats.org/officeDocument/2006/relationships/oleObject" Target="embeddings/oleObject5.bin"/><Relationship Id="rId123" Type="http://schemas.openxmlformats.org/officeDocument/2006/relationships/image" Target="media/image95.emf"/><Relationship Id="rId128" Type="http://schemas.openxmlformats.org/officeDocument/2006/relationships/header" Target="header4.xml"/><Relationship Id="rId5" Type="http://schemas.openxmlformats.org/officeDocument/2006/relationships/settings" Target="settings.xml"/><Relationship Id="rId90" Type="http://schemas.openxmlformats.org/officeDocument/2006/relationships/image" Target="media/image65.png"/><Relationship Id="rId95" Type="http://schemas.openxmlformats.org/officeDocument/2006/relationships/image" Target="media/image70.png"/><Relationship Id="rId19" Type="http://schemas.openxmlformats.org/officeDocument/2006/relationships/hyperlink" Target="https://huanbao.bjx.com.cn/topics/hjyxpjwjsp/" TargetMode="External"/><Relationship Id="rId14" Type="http://schemas.openxmlformats.org/officeDocument/2006/relationships/hyperlink" Target="https://www.so.com/link?m=uPleCVt3B7YQIkEd34el4t3mGdnCM4isS0XruZHPSeajhEcMKORjpcNImgGwG/A2qi4I76UOWausuAJ8j9IX+KvavsJk8H09KvqvNEYlEf3nItfOo/dwnR07vbQchzTet09Hzi69NKpZQEIGRAnn21olHZ2tqVUWhilL3ss30YDFriIKDVNcvSJ0G+utswUfC2EQ66770NjSZ6arLD9kmYdW/wAwxKcA8OjqXn7SPnb0xM3aDqINoLgeHUS/GBF5rOooI6K9JEBxeJIozi8XSWN9Y0vUviqRHRa4WGf2WRE86WpOXHnUaq+0oi51emydo" TargetMode="External"/><Relationship Id="rId22" Type="http://schemas.openxmlformats.org/officeDocument/2006/relationships/hyperlink" Target="https://huanbao.bjx.com.cn/topics/hjyxpjwjsp/" TargetMode="Externa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image" Target="media/image33.png"/><Relationship Id="rId64" Type="http://schemas.openxmlformats.org/officeDocument/2006/relationships/image" Target="media/image41.png"/><Relationship Id="rId69" Type="http://schemas.openxmlformats.org/officeDocument/2006/relationships/image" Target="media/image44.png"/><Relationship Id="rId77" Type="http://schemas.openxmlformats.org/officeDocument/2006/relationships/image" Target="media/image52.jpeg"/><Relationship Id="rId100" Type="http://schemas.openxmlformats.org/officeDocument/2006/relationships/oleObject" Target="embeddings/oleObject4.bin"/><Relationship Id="rId105" Type="http://schemas.openxmlformats.org/officeDocument/2006/relationships/image" Target="media/image77.png"/><Relationship Id="rId113" Type="http://schemas.openxmlformats.org/officeDocument/2006/relationships/image" Target="media/image85.png"/><Relationship Id="rId118" Type="http://schemas.openxmlformats.org/officeDocument/2006/relationships/image" Target="media/image90.wmf"/><Relationship Id="rId126"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image" Target="media/image31.png"/><Relationship Id="rId72" Type="http://schemas.openxmlformats.org/officeDocument/2006/relationships/image" Target="media/image47.png"/><Relationship Id="rId80" Type="http://schemas.openxmlformats.org/officeDocument/2006/relationships/image" Target="media/image55.png"/><Relationship Id="rId85" Type="http://schemas.openxmlformats.org/officeDocument/2006/relationships/image" Target="media/image60.png"/><Relationship Id="rId93" Type="http://schemas.openxmlformats.org/officeDocument/2006/relationships/image" Target="media/image68.png"/><Relationship Id="rId98" Type="http://schemas.openxmlformats.org/officeDocument/2006/relationships/oleObject" Target="embeddings/oleObject3.bin"/><Relationship Id="rId121" Type="http://schemas.openxmlformats.org/officeDocument/2006/relationships/image" Target="media/image93.emf"/><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hyperlink" Target="file:///F:\360&#29992;&#25143;&#25991;&#20214;\&#28216;&#25103;&#22823;&#21381;\&#22825;&#20806;&#20859;&#29482;&#26377;&#38480;&#20844;&#21496;&#29615;&#35780;\1106&#22825;&#20806;&#20859;&#29482;\&#22825;&#20806;&#20859;&#29482;&#26377;&#38480;&#20844;&#21496;&#29615;&#35780;1117.docx" TargetMode="External"/><Relationship Id="rId46" Type="http://schemas.openxmlformats.org/officeDocument/2006/relationships/image" Target="media/image26.png"/><Relationship Id="rId59" Type="http://schemas.openxmlformats.org/officeDocument/2006/relationships/image" Target="media/image36.png"/><Relationship Id="rId67" Type="http://schemas.openxmlformats.org/officeDocument/2006/relationships/image" Target="media/image43.wmf"/><Relationship Id="rId103" Type="http://schemas.openxmlformats.org/officeDocument/2006/relationships/image" Target="media/image75.png"/><Relationship Id="rId108" Type="http://schemas.openxmlformats.org/officeDocument/2006/relationships/image" Target="media/image80.wmf"/><Relationship Id="rId116" Type="http://schemas.openxmlformats.org/officeDocument/2006/relationships/image" Target="media/image88.png"/><Relationship Id="rId124" Type="http://schemas.openxmlformats.org/officeDocument/2006/relationships/header" Target="header2.xml"/><Relationship Id="rId129" Type="http://schemas.openxmlformats.org/officeDocument/2006/relationships/footer" Target="footer4.xml"/><Relationship Id="rId20" Type="http://schemas.openxmlformats.org/officeDocument/2006/relationships/hyperlink" Target="https://huanbao.bjx.com.cn/topics/hjyxpjwjsp/" TargetMode="External"/><Relationship Id="rId41" Type="http://schemas.openxmlformats.org/officeDocument/2006/relationships/image" Target="media/image21.png"/><Relationship Id="rId54" Type="http://schemas.openxmlformats.org/officeDocument/2006/relationships/hyperlink" Target="http://baike.soso.com/v7685627.htm?ch=ch.bk.innerlink" TargetMode="External"/><Relationship Id="rId62" Type="http://schemas.openxmlformats.org/officeDocument/2006/relationships/image" Target="media/image39.png"/><Relationship Id="rId70" Type="http://schemas.openxmlformats.org/officeDocument/2006/relationships/image" Target="media/image45.png"/><Relationship Id="rId75" Type="http://schemas.openxmlformats.org/officeDocument/2006/relationships/image" Target="media/image50.jpeg"/><Relationship Id="rId83" Type="http://schemas.openxmlformats.org/officeDocument/2006/relationships/image" Target="media/image58.png"/><Relationship Id="rId88" Type="http://schemas.openxmlformats.org/officeDocument/2006/relationships/image" Target="media/image63.png"/><Relationship Id="rId91" Type="http://schemas.openxmlformats.org/officeDocument/2006/relationships/image" Target="media/image66.png"/><Relationship Id="rId96" Type="http://schemas.openxmlformats.org/officeDocument/2006/relationships/image" Target="media/image71.png"/><Relationship Id="rId111" Type="http://schemas.openxmlformats.org/officeDocument/2006/relationships/image" Target="media/image83.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huanbao.bjx.com.cn/topics/hjyxpjwjsp/" TargetMode="External"/><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image" Target="media/image29.png"/><Relationship Id="rId57" Type="http://schemas.openxmlformats.org/officeDocument/2006/relationships/image" Target="media/image34.png"/><Relationship Id="rId106" Type="http://schemas.openxmlformats.org/officeDocument/2006/relationships/image" Target="media/image78.png"/><Relationship Id="rId114" Type="http://schemas.openxmlformats.org/officeDocument/2006/relationships/image" Target="media/image86.png"/><Relationship Id="rId119" Type="http://schemas.openxmlformats.org/officeDocument/2006/relationships/image" Target="media/image91.emf"/><Relationship Id="rId127" Type="http://schemas.openxmlformats.org/officeDocument/2006/relationships/footer" Target="footer3.xml"/><Relationship Id="rId10" Type="http://schemas.openxmlformats.org/officeDocument/2006/relationships/footer" Target="footer1.xml"/><Relationship Id="rId31" Type="http://schemas.openxmlformats.org/officeDocument/2006/relationships/image" Target="media/image13.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37.png"/><Relationship Id="rId65" Type="http://schemas.openxmlformats.org/officeDocument/2006/relationships/image" Target="media/image42.wmf"/><Relationship Id="rId73" Type="http://schemas.openxmlformats.org/officeDocument/2006/relationships/image" Target="media/image48.png"/><Relationship Id="rId78" Type="http://schemas.openxmlformats.org/officeDocument/2006/relationships/image" Target="media/image53.png"/><Relationship Id="rId81" Type="http://schemas.openxmlformats.org/officeDocument/2006/relationships/image" Target="media/image56.png"/><Relationship Id="rId86" Type="http://schemas.openxmlformats.org/officeDocument/2006/relationships/image" Target="media/image61.png"/><Relationship Id="rId94" Type="http://schemas.openxmlformats.org/officeDocument/2006/relationships/image" Target="media/image69.png"/><Relationship Id="rId99" Type="http://schemas.openxmlformats.org/officeDocument/2006/relationships/image" Target="media/image73.wmf"/><Relationship Id="rId101" Type="http://schemas.openxmlformats.org/officeDocument/2006/relationships/image" Target="media/image74.wmf"/><Relationship Id="rId122" Type="http://schemas.openxmlformats.org/officeDocument/2006/relationships/image" Target="media/image94.emf"/><Relationship Id="rId13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s://huanbao.bjx.com.cn/topics/hjyxpjwjsp/" TargetMode="External"/><Relationship Id="rId39" Type="http://schemas.openxmlformats.org/officeDocument/2006/relationships/image" Target="media/image19.png"/><Relationship Id="rId109" Type="http://schemas.openxmlformats.org/officeDocument/2006/relationships/image" Target="media/image81.png"/><Relationship Id="rId34" Type="http://schemas.openxmlformats.org/officeDocument/2006/relationships/image" Target="media/image16.png"/><Relationship Id="rId50" Type="http://schemas.openxmlformats.org/officeDocument/2006/relationships/image" Target="media/image30.png"/><Relationship Id="rId55" Type="http://schemas.openxmlformats.org/officeDocument/2006/relationships/hyperlink" Target="http://baike.soso.com/v72439.htm?ch=ch.bk.innerlink" TargetMode="External"/><Relationship Id="rId76" Type="http://schemas.openxmlformats.org/officeDocument/2006/relationships/image" Target="media/image51.png"/><Relationship Id="rId97" Type="http://schemas.openxmlformats.org/officeDocument/2006/relationships/image" Target="media/image72.wmf"/><Relationship Id="rId104" Type="http://schemas.openxmlformats.org/officeDocument/2006/relationships/image" Target="media/image76.png"/><Relationship Id="rId120" Type="http://schemas.openxmlformats.org/officeDocument/2006/relationships/image" Target="media/image92.emf"/><Relationship Id="rId125" Type="http://schemas.openxmlformats.org/officeDocument/2006/relationships/header" Target="header3.xml"/><Relationship Id="rId7" Type="http://schemas.openxmlformats.org/officeDocument/2006/relationships/footnotes" Target="footnotes.xml"/><Relationship Id="rId71" Type="http://schemas.openxmlformats.org/officeDocument/2006/relationships/image" Target="media/image46.png"/><Relationship Id="rId92" Type="http://schemas.openxmlformats.org/officeDocument/2006/relationships/image" Target="media/image67.png"/><Relationship Id="rId2" Type="http://schemas.openxmlformats.org/officeDocument/2006/relationships/customXml" Target="../customXml/item2.xml"/><Relationship Id="rId29" Type="http://schemas.openxmlformats.org/officeDocument/2006/relationships/image" Target="media/image11.png"/><Relationship Id="rId24" Type="http://schemas.openxmlformats.org/officeDocument/2006/relationships/hyperlink" Target="https://huanbao.bjx.com.cn/topics/hjyxpjwjsp/" TargetMode="External"/><Relationship Id="rId40" Type="http://schemas.openxmlformats.org/officeDocument/2006/relationships/image" Target="media/image20.png"/><Relationship Id="rId45" Type="http://schemas.openxmlformats.org/officeDocument/2006/relationships/image" Target="media/image25.png"/><Relationship Id="rId66" Type="http://schemas.openxmlformats.org/officeDocument/2006/relationships/oleObject" Target="embeddings/oleObject1.bin"/><Relationship Id="rId87" Type="http://schemas.openxmlformats.org/officeDocument/2006/relationships/image" Target="media/image62.png"/><Relationship Id="rId110" Type="http://schemas.openxmlformats.org/officeDocument/2006/relationships/image" Target="media/image82.png"/><Relationship Id="rId115" Type="http://schemas.openxmlformats.org/officeDocument/2006/relationships/image" Target="media/image87.png"/><Relationship Id="rId131" Type="http://schemas.openxmlformats.org/officeDocument/2006/relationships/theme" Target="theme/theme1.xml"/><Relationship Id="rId61" Type="http://schemas.openxmlformats.org/officeDocument/2006/relationships/image" Target="media/image38.png"/><Relationship Id="rId82" Type="http://schemas.openxmlformats.org/officeDocument/2006/relationships/image" Target="media/image5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696386"/>
    <customShpInfo spid="_x0000_s696387"/>
    <customShpInfo spid="_x0000_s696738"/>
    <customShpInfo spid="_x0000_s1485"/>
    <customShpInfo spid="_x0000_s697051"/>
    <customShpInfo spid="_x0000_s697049"/>
    <customShpInfo spid="_x0000_s696887"/>
    <customShpInfo spid="_x0000_s697053"/>
    <customShpInfo spid="_x0000_s697052"/>
    <customShpInfo spid="_x0000_s697050"/>
    <customShpInfo spid="_x0000_s696893"/>
    <customShpInfo spid="_x0000_s696895"/>
    <customShpInfo spid="_x0000_s697048"/>
    <customShpInfo spid="_x0000_s697030"/>
    <customShpInfo spid="_x0000_s697029"/>
    <customShpInfo spid="_x0000_s697039"/>
    <customShpInfo spid="_x0000_s697118"/>
    <customShpInfo spid="_x0000_s697119"/>
    <customShpInfo spid="_x0000_s696851"/>
    <customShpInfo spid="_x0000_s696859"/>
    <customShpInfo spid="_x0000_s696858"/>
    <customShpInfo spid="_x0000_s696857"/>
    <customShpInfo spid="_x0000_s696852"/>
    <customShpInfo spid="_x0000_s696853"/>
    <customShpInfo spid="_x0000_s697001"/>
    <customShpInfo spid="_x0000_s697002"/>
    <customShpInfo spid="_x0000_s697006"/>
    <customShpInfo spid="_x0000_s697007"/>
    <customShpInfo spid="_x0000_s697066"/>
    <customShpInfo spid="_x0000_s697013"/>
    <customShpInfo spid="_x0000_s697064"/>
    <customShpInfo spid="_x0000_s697063"/>
    <customShpInfo spid="_x0000_s697062"/>
    <customShpInfo spid="_x0000_s697000"/>
    <customShpInfo spid="_x0000_s696999"/>
    <customShpInfo spid="_x0000_s697008"/>
    <customShpInfo spid="_x0000_s697012"/>
    <customShpInfo spid="_x0000_s697010"/>
    <customShpInfo spid="_x0000_s697009"/>
    <customShpInfo spid="_x0000_s696463"/>
    <customShpInfo spid="_x0000_s696464"/>
    <customShpInfo spid="_x0000_s696462"/>
    <customShpInfo spid="_x0000_s696433"/>
    <customShpInfo spid="_x0000_s696429"/>
    <customShpInfo spid="_x0000_s696422"/>
    <customShpInfo spid="_x0000_s696431"/>
    <customShpInfo spid="_x0000_s696423"/>
    <customShpInfo spid="_x0000_s696415"/>
    <customShpInfo spid="_x0000_s696419"/>
    <customShpInfo spid="_x0000_s696424"/>
    <customShpInfo spid="_x0000_s696425"/>
    <customShpInfo spid="_x0000_s696427"/>
    <customShpInfo spid="_x0000_s696458"/>
    <customShpInfo spid="_x0000_s696417"/>
    <customShpInfo spid="_x0000_s696430"/>
    <customShpInfo spid="_x0000_s696416"/>
    <customShpInfo spid="_x0000_s696428"/>
    <customShpInfo spid="_x0000_s696460"/>
    <customShpInfo spid="_x0000_s696457"/>
    <customShpInfo spid="_x0000_s696421"/>
    <customShpInfo spid="_x0000_s696420"/>
    <customShpInfo spid="_x0000_s696461"/>
    <customShpInfo spid="_x0000_s697075"/>
    <customShpInfo spid="_x0000_s697074"/>
    <customShpInfo spid="_x0000_s696426"/>
    <customShpInfo spid="_x0000_s696465"/>
    <customShpInfo spid="_x0000_s696418"/>
    <customShpInfo spid="_x0000_s696459"/>
    <customShpInfo spid="_x0000_s696432"/>
    <customShpInfo spid="_x0000_s696466"/>
    <customShpInfo spid="_x0000_s697020"/>
    <customShpInfo spid="_x0000_s697084"/>
    <customShpInfo spid="_x0000_s697083"/>
    <customShpInfo spid="_x0000_s696705"/>
    <customShpInfo spid="_x0000_s696708"/>
    <customShpInfo spid="_x0000_s696706"/>
    <customShpInfo spid="_x0000_s696714"/>
    <customShpInfo spid="_x0000_s696694"/>
    <customShpInfo spid="_x0000_s696707"/>
    <customShpInfo spid="_x0000_s696693"/>
    <customShpInfo spid="_x0000_s696698"/>
    <customShpInfo spid="_x0000_s696697"/>
    <customShpInfo spid="_x0000_s696945"/>
    <customShpInfo spid="_x0000_s697147"/>
    <customShpInfo spid="_x0000_s697104"/>
    <customShpInfo spid="_x0000_s697133"/>
    <customShpInfo spid="_x0000_s697137"/>
    <customShpInfo spid="_x0000_s697135"/>
    <customShpInfo spid="_x0000_s697130"/>
    <customShpInfo spid="_x0000_s697139"/>
    <customShpInfo spid="_x0000_s697138"/>
    <customShpInfo spid="_x0000_s697136"/>
    <customShpInfo spid="_x0000_s697134"/>
    <customShpInfo spid="_x0000_s697131"/>
    <customShpInfo spid="_x0000_s697129"/>
    <customShpInfo spid="_x0000_s697128"/>
    <customShpInfo spid="_x0000_s697096"/>
    <customShpInfo spid="_x0000_s697109"/>
    <customShpInfo spid="_x0000_s697108"/>
    <customShpInfo spid="_x0000_s697110"/>
    <customShpInfo spid="_x0000_s696772"/>
    <customShpInfo spid="_x0000_s696771"/>
    <customShpInfo spid="_x0000_s696820"/>
    <customShpInfo spid="_x0000_s696829"/>
    <customShpInfo spid="_x0000_s696754"/>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4F4023A-C5E4-4B7C-943C-E046285A6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7385</TotalTime>
  <Pages>323</Pages>
  <Words>39066</Words>
  <Characters>222682</Characters>
  <Application>Microsoft Office Word</Application>
  <DocSecurity>0</DocSecurity>
  <Lines>1855</Lines>
  <Paragraphs>522</Paragraphs>
  <ScaleCrop>false</ScaleCrop>
  <Company>China</Company>
  <LinksUpToDate>false</LinksUpToDate>
  <CharactersWithSpaces>261226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用户</cp:lastModifiedBy>
  <cp:revision>247</cp:revision>
  <cp:lastPrinted>2020-03-19T08:55:00Z</cp:lastPrinted>
  <dcterms:created xsi:type="dcterms:W3CDTF">2025-10-14T03:39:00Z</dcterms:created>
  <dcterms:modified xsi:type="dcterms:W3CDTF">2026-07-02T10:13:00Z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eyJoZGlkIjoiMTRhNDY5ZmVhZmFmNWZiYjliMjAyZmU1OWQ5ZjZmNjAiLCJ1c2VySWQiOiIxNDEzNjIzNjEzIn0=</vt:lpwstr>
  </property>
  <property fmtid="{D5CDD505-2E9C-101B-9397-08002B2CF9AE}" pid="3" name="KSOProductBuildVer">
    <vt:lpwstr>2052-12.1.0.21171</vt:lpwstr>
  </property>
  <property fmtid="{D5CDD505-2E9C-101B-9397-08002B2CF9AE}" pid="4" name="ICV">
    <vt:lpwstr>99CFDCBEB7D54BAE94FF1AB316255A23_12</vt:lpwstr>
  </property>
</Properties>
</file>